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F4D52" w:rsidRPr="001F4D52" w:rsidRDefault="001F4D52" w:rsidP="001F4D52">
      <w:bookmarkStart w:id="0" w:name="_GoBack"/>
      <w:bookmarkEnd w:id="0"/>
    </w:p>
    <w:tbl>
      <w:tblPr>
        <w:tblW w:w="5000" w:type="pct"/>
        <w:tblLook w:val="04A0" w:firstRow="1" w:lastRow="0" w:firstColumn="1" w:lastColumn="0" w:noHBand="0" w:noVBand="1"/>
      </w:tblPr>
      <w:tblGrid>
        <w:gridCol w:w="10440"/>
      </w:tblGrid>
      <w:tr w:rsidR="0035701C">
        <w:tc>
          <w:tcPr>
            <w:tcW w:w="0" w:type="auto"/>
          </w:tcPr>
          <w:p w:rsidR="0035701C" w:rsidRDefault="00FB561B">
            <w:r>
              <w:rPr>
                <w:noProof/>
                <w:lang w:val="fr-FR" w:eastAsia="fr-FR"/>
              </w:rPr>
              <w:drawing>
                <wp:anchor distT="0" distB="0" distL="114300" distR="114300" simplePos="0" relativeHeight="251658240" behindDoc="0" locked="0" layoutInCell="1" allowOverlap="1">
                  <wp:simplePos x="0" y="0"/>
                  <wp:positionH relativeFrom="column">
                    <wp:align>left</wp:align>
                  </wp:positionH>
                  <wp:positionV relativeFrom="paragraph">
                    <wp:align>top</wp:align>
                  </wp:positionV>
                  <wp:extent cx="2723810" cy="1038095"/>
                  <wp:effectExtent l="0" t="0" r="0" b="0"/>
                  <wp:wrapTopAndBottom/>
                  <wp:docPr id="100002" name="Image 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8"/>
                          <a:stretch>
                            <a:fillRect/>
                          </a:stretch>
                        </pic:blipFill>
                        <pic:spPr>
                          <a:xfrm>
                            <a:off x="0" y="0"/>
                            <a:ext cx="2723810" cy="1038095"/>
                          </a:xfrm>
                          <a:prstGeom prst="rect">
                            <a:avLst/>
                          </a:prstGeom>
                        </pic:spPr>
                      </pic:pic>
                    </a:graphicData>
                  </a:graphic>
                </wp:anchor>
              </w:drawing>
            </w:r>
            <w:r>
              <w:rPr>
                <w:noProof/>
                <w:lang w:val="fr-FR" w:eastAsia="fr-FR"/>
              </w:rPr>
              <w:drawing>
                <wp:anchor distT="0" distB="0" distL="114300" distR="114300" simplePos="0" relativeHeight="251659264" behindDoc="0" locked="0" layoutInCell="1" allowOverlap="1">
                  <wp:simplePos x="0" y="0"/>
                  <wp:positionH relativeFrom="column">
                    <wp:align>right</wp:align>
                  </wp:positionH>
                  <wp:positionV relativeFrom="paragraph">
                    <wp:align>top</wp:align>
                  </wp:positionV>
                  <wp:extent cx="2857899" cy="924054"/>
                  <wp:effectExtent l="0" t="0" r="0" b="0"/>
                  <wp:wrapTopAndBottom/>
                  <wp:docPr id="100004" name="Image 10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9"/>
                          <a:stretch>
                            <a:fillRect/>
                          </a:stretch>
                        </pic:blipFill>
                        <pic:spPr>
                          <a:xfrm>
                            <a:off x="0" y="0"/>
                            <a:ext cx="2857899" cy="924054"/>
                          </a:xfrm>
                          <a:prstGeom prst="rect">
                            <a:avLst/>
                          </a:prstGeom>
                        </pic:spPr>
                      </pic:pic>
                    </a:graphicData>
                  </a:graphic>
                </wp:anchor>
              </w:drawing>
            </w:r>
          </w:p>
        </w:tc>
      </w:tr>
      <w:tr w:rsidR="0035701C">
        <w:tc>
          <w:tcPr>
            <w:tcW w:w="0" w:type="auto"/>
          </w:tcPr>
          <w:p w:rsidR="0035701C" w:rsidRDefault="00FB561B">
            <w:pPr>
              <w:pStyle w:val="Titre"/>
            </w:pPr>
            <w:r>
              <w:t>Programme de Développement Rural de la Corse (PDRC)</w:t>
            </w:r>
          </w:p>
          <w:p w:rsidR="0035701C" w:rsidRDefault="0035701C">
            <w:pPr>
              <w:pStyle w:val="Titre"/>
            </w:pPr>
          </w:p>
        </w:tc>
      </w:tr>
      <w:tr w:rsidR="0035701C">
        <w:tc>
          <w:tcPr>
            <w:tcW w:w="0" w:type="auto"/>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7"/>
              <w:gridCol w:w="5107"/>
            </w:tblGrid>
            <w:tr w:rsidR="0035701C">
              <w:tc>
                <w:tcPr>
                  <w:tcW w:w="2500" w:type="pct"/>
                </w:tcPr>
                <w:p w:rsidR="0035701C" w:rsidRDefault="00FB561B">
                  <w:pPr>
                    <w:pStyle w:val="Lgende"/>
                    <w:jc w:val="center"/>
                  </w:pPr>
                  <w:r>
                    <w:t>CCI</w:t>
                  </w:r>
                </w:p>
              </w:tc>
              <w:tc>
                <w:tcPr>
                  <w:tcW w:w="2500" w:type="pct"/>
                </w:tcPr>
                <w:p w:rsidR="0035701C" w:rsidRDefault="00FB561B">
                  <w:pPr>
                    <w:jc w:val="center"/>
                  </w:pPr>
                  <w:r>
                    <w:t>2014FR06RDRP094</w:t>
                  </w:r>
                </w:p>
              </w:tc>
            </w:tr>
            <w:tr w:rsidR="0035701C">
              <w:tc>
                <w:tcPr>
                  <w:tcW w:w="2500" w:type="pct"/>
                </w:tcPr>
                <w:p w:rsidR="0035701C" w:rsidRDefault="00FB561B">
                  <w:pPr>
                    <w:pStyle w:val="Lgende"/>
                    <w:jc w:val="center"/>
                  </w:pPr>
                  <w:r>
                    <w:t>Type de programme</w:t>
                  </w:r>
                </w:p>
              </w:tc>
              <w:tc>
                <w:tcPr>
                  <w:tcW w:w="2500" w:type="pct"/>
                </w:tcPr>
                <w:p w:rsidR="0035701C" w:rsidRDefault="00FB561B">
                  <w:pPr>
                    <w:jc w:val="center"/>
                  </w:pPr>
                  <w:r>
                    <w:t>Programme de développement rural</w:t>
                  </w:r>
                </w:p>
              </w:tc>
            </w:tr>
            <w:tr w:rsidR="0035701C">
              <w:tc>
                <w:tcPr>
                  <w:tcW w:w="2500" w:type="pct"/>
                </w:tcPr>
                <w:p w:rsidR="0035701C" w:rsidRDefault="00FB561B">
                  <w:pPr>
                    <w:pStyle w:val="Lgende"/>
                    <w:jc w:val="center"/>
                  </w:pPr>
                  <w:r>
                    <w:t>Pays</w:t>
                  </w:r>
                </w:p>
              </w:tc>
              <w:tc>
                <w:tcPr>
                  <w:tcW w:w="2500" w:type="pct"/>
                </w:tcPr>
                <w:p w:rsidR="0035701C" w:rsidRDefault="00FB561B">
                  <w:pPr>
                    <w:jc w:val="center"/>
                  </w:pPr>
                  <w:r>
                    <w:t>France</w:t>
                  </w:r>
                </w:p>
              </w:tc>
            </w:tr>
            <w:tr w:rsidR="0035701C">
              <w:tc>
                <w:tcPr>
                  <w:tcW w:w="2500" w:type="pct"/>
                </w:tcPr>
                <w:p w:rsidR="0035701C" w:rsidRDefault="00FB561B">
                  <w:pPr>
                    <w:pStyle w:val="Lgende"/>
                    <w:jc w:val="center"/>
                  </w:pPr>
                  <w:r>
                    <w:t>Région</w:t>
                  </w:r>
                </w:p>
              </w:tc>
              <w:tc>
                <w:tcPr>
                  <w:tcW w:w="2500" w:type="pct"/>
                </w:tcPr>
                <w:p w:rsidR="0035701C" w:rsidRDefault="00FB561B">
                  <w:pPr>
                    <w:jc w:val="center"/>
                  </w:pPr>
                  <w:r>
                    <w:t>Corse</w:t>
                  </w:r>
                </w:p>
              </w:tc>
            </w:tr>
            <w:tr w:rsidR="0035701C">
              <w:tc>
                <w:tcPr>
                  <w:tcW w:w="2500" w:type="pct"/>
                </w:tcPr>
                <w:p w:rsidR="0035701C" w:rsidRDefault="00FB561B">
                  <w:pPr>
                    <w:pStyle w:val="Lgende"/>
                    <w:jc w:val="center"/>
                  </w:pPr>
                  <w:r>
                    <w:t>Période de programmation</w:t>
                  </w:r>
                </w:p>
              </w:tc>
              <w:tc>
                <w:tcPr>
                  <w:tcW w:w="2500" w:type="pct"/>
                </w:tcPr>
                <w:p w:rsidR="0035701C" w:rsidRDefault="00FB561B">
                  <w:pPr>
                    <w:jc w:val="center"/>
                  </w:pPr>
                  <w:r>
                    <w:t>2014 - 2022</w:t>
                  </w:r>
                </w:p>
              </w:tc>
            </w:tr>
            <w:tr w:rsidR="0035701C">
              <w:tc>
                <w:tcPr>
                  <w:tcW w:w="2500" w:type="pct"/>
                </w:tcPr>
                <w:p w:rsidR="0035701C" w:rsidRDefault="00FB561B">
                  <w:pPr>
                    <w:pStyle w:val="Lgende"/>
                    <w:jc w:val="center"/>
                  </w:pPr>
                  <w:r>
                    <w:t>Autorité de gestion</w:t>
                  </w:r>
                </w:p>
              </w:tc>
              <w:tc>
                <w:tcPr>
                  <w:tcW w:w="2500" w:type="pct"/>
                </w:tcPr>
                <w:p w:rsidR="0035701C" w:rsidRDefault="00FB561B">
                  <w:pPr>
                    <w:jc w:val="center"/>
                  </w:pPr>
                  <w:r>
                    <w:t>Collectivité Territoriale de Corse</w:t>
                  </w:r>
                </w:p>
              </w:tc>
            </w:tr>
            <w:tr w:rsidR="0035701C">
              <w:tc>
                <w:tcPr>
                  <w:tcW w:w="2500" w:type="pct"/>
                </w:tcPr>
                <w:p w:rsidR="0035701C" w:rsidRDefault="00FB561B">
                  <w:pPr>
                    <w:pStyle w:val="Lgende"/>
                    <w:jc w:val="center"/>
                  </w:pPr>
                  <w:r>
                    <w:t>Version</w:t>
                  </w:r>
                </w:p>
              </w:tc>
              <w:tc>
                <w:tcPr>
                  <w:tcW w:w="2500" w:type="pct"/>
                </w:tcPr>
                <w:p w:rsidR="0035701C" w:rsidRDefault="00FB561B">
                  <w:pPr>
                    <w:jc w:val="center"/>
                  </w:pPr>
                  <w:r>
                    <w:t>10.1</w:t>
                  </w:r>
                </w:p>
              </w:tc>
            </w:tr>
            <w:tr w:rsidR="0035701C">
              <w:tc>
                <w:tcPr>
                  <w:tcW w:w="2500" w:type="pct"/>
                </w:tcPr>
                <w:p w:rsidR="0035701C" w:rsidRDefault="00FB561B">
                  <w:pPr>
                    <w:pStyle w:val="Lgende"/>
                    <w:jc w:val="center"/>
                  </w:pPr>
                  <w:r>
                    <w:t>Statut de la version</w:t>
                  </w:r>
                </w:p>
              </w:tc>
              <w:tc>
                <w:tcPr>
                  <w:tcW w:w="2500" w:type="pct"/>
                </w:tcPr>
                <w:p w:rsidR="0035701C" w:rsidRDefault="00FB561B">
                  <w:pPr>
                    <w:jc w:val="center"/>
                  </w:pPr>
                  <w:r>
                    <w:t>Adopté par CE</w:t>
                  </w:r>
                </w:p>
              </w:tc>
            </w:tr>
            <w:tr w:rsidR="0035701C">
              <w:tc>
                <w:tcPr>
                  <w:tcW w:w="2500" w:type="pct"/>
                </w:tcPr>
                <w:p w:rsidR="0035701C" w:rsidRDefault="00FB561B">
                  <w:pPr>
                    <w:pStyle w:val="Lgende"/>
                    <w:jc w:val="center"/>
                  </w:pPr>
                  <w:r>
                    <w:t>Date de dernière modification</w:t>
                  </w:r>
                </w:p>
              </w:tc>
              <w:tc>
                <w:tcPr>
                  <w:tcW w:w="2500" w:type="pct"/>
                </w:tcPr>
                <w:p w:rsidR="0035701C" w:rsidRDefault="00FB561B">
                  <w:pPr>
                    <w:jc w:val="center"/>
                  </w:pPr>
                  <w:r>
                    <w:t>31/03/2022 - 11:43:28 CEST</w:t>
                  </w:r>
                </w:p>
              </w:tc>
            </w:tr>
          </w:tbl>
          <w:p w:rsidR="0035701C" w:rsidRDefault="0035701C">
            <w:pPr>
              <w:pStyle w:val="Titre"/>
            </w:pPr>
          </w:p>
        </w:tc>
      </w:tr>
    </w:tbl>
    <w:p w:rsidR="0035701C" w:rsidRDefault="0035701C">
      <w:pPr>
        <w:sectPr w:rsidR="0035701C">
          <w:headerReference w:type="even" r:id="rId10"/>
          <w:headerReference w:type="default" r:id="rId11"/>
          <w:footerReference w:type="even" r:id="rId12"/>
          <w:footerReference w:type="default" r:id="rId13"/>
          <w:headerReference w:type="first" r:id="rId14"/>
          <w:footerReference w:type="first" r:id="rId15"/>
          <w:pgSz w:w="12240" w:h="15840"/>
          <w:pgMar w:top="900" w:right="900" w:bottom="900" w:left="900" w:header="720" w:footer="720" w:gutter="0"/>
          <w:pgNumType w:start="1"/>
          <w:cols w:space="720"/>
          <w:vAlign w:val="both"/>
        </w:sectPr>
      </w:pPr>
    </w:p>
    <w:p w:rsidR="0035701C" w:rsidRDefault="00FB561B">
      <w:pPr>
        <w:jc w:val="center"/>
        <w:rPr>
          <w:b/>
          <w:sz w:val="32"/>
        </w:rPr>
      </w:pPr>
      <w:r>
        <w:rPr>
          <w:b/>
          <w:sz w:val="32"/>
        </w:rPr>
        <w:lastRenderedPageBreak/>
        <w:t xml:space="preserve">Table des </w:t>
      </w:r>
      <w:r>
        <w:rPr>
          <w:b/>
          <w:sz w:val="32"/>
        </w:rPr>
        <w:t>matières</w:t>
      </w:r>
    </w:p>
    <w:p w:rsidR="0035701C" w:rsidRDefault="0035701C">
      <w:pPr>
        <w:jc w:val="center"/>
        <w:rPr>
          <w:b/>
          <w:sz w:val="32"/>
        </w:rPr>
      </w:pPr>
    </w:p>
    <w:p w:rsidR="0035701C" w:rsidRDefault="00FB561B">
      <w:pPr>
        <w:pStyle w:val="TM1"/>
        <w:rPr>
          <w:rFonts w:ascii="Calibri" w:hAnsi="Calibri"/>
          <w:noProof/>
          <w:sz w:val="22"/>
        </w:rPr>
      </w:pPr>
      <w:r>
        <w:fldChar w:fldCharType="begin"/>
      </w:r>
      <w:r>
        <w:instrText>TOC \o "1-3" \h \z \u</w:instrText>
      </w:r>
      <w:r>
        <w:fldChar w:fldCharType="separate"/>
      </w:r>
      <w:hyperlink w:anchor="_Toc256000000" w:history="1">
        <w:r>
          <w:rPr>
            <w:rStyle w:val="Lienhypertexte"/>
          </w:rPr>
          <w:t>1. Intitulé du programme de développement rural</w:t>
        </w:r>
        <w:r>
          <w:tab/>
        </w:r>
        <w:r>
          <w:fldChar w:fldCharType="begin"/>
        </w:r>
        <w:r>
          <w:instrText xml:space="preserve"> PAGEREF _Toc256000000 \h </w:instrText>
        </w:r>
        <w:r>
          <w:fldChar w:fldCharType="separate"/>
        </w:r>
        <w:r>
          <w:t>11</w:t>
        </w:r>
        <w:r>
          <w:fldChar w:fldCharType="end"/>
        </w:r>
      </w:hyperlink>
    </w:p>
    <w:p w:rsidR="0035701C" w:rsidRDefault="00FB561B">
      <w:pPr>
        <w:pStyle w:val="TM2"/>
        <w:rPr>
          <w:rFonts w:ascii="Calibri" w:hAnsi="Calibri"/>
          <w:noProof/>
          <w:sz w:val="22"/>
        </w:rPr>
      </w:pPr>
      <w:hyperlink w:anchor="_Toc256000001" w:history="1">
        <w:r>
          <w:rPr>
            <w:rStyle w:val="Lienhypertexte"/>
          </w:rPr>
          <w:t>1.1. Modification</w:t>
        </w:r>
        <w:r>
          <w:tab/>
        </w:r>
        <w:r>
          <w:fldChar w:fldCharType="begin"/>
        </w:r>
        <w:r>
          <w:instrText xml:space="preserve"> PAGEREF _Toc256000001 \h </w:instrText>
        </w:r>
        <w:r>
          <w:fldChar w:fldCharType="separate"/>
        </w:r>
        <w:r>
          <w:t>11</w:t>
        </w:r>
        <w:r>
          <w:fldChar w:fldCharType="end"/>
        </w:r>
      </w:hyperlink>
    </w:p>
    <w:p w:rsidR="0035701C" w:rsidRDefault="00FB561B">
      <w:pPr>
        <w:pStyle w:val="TM3"/>
        <w:rPr>
          <w:rFonts w:ascii="Calibri" w:hAnsi="Calibri"/>
          <w:noProof/>
          <w:sz w:val="22"/>
        </w:rPr>
      </w:pPr>
      <w:hyperlink w:anchor="_Toc256000002" w:history="1">
        <w:r>
          <w:rPr>
            <w:rStyle w:val="Lienhypertexte"/>
          </w:rPr>
          <w:t>1.1.1. Typ</w:t>
        </w:r>
        <w:r>
          <w:rPr>
            <w:rStyle w:val="Lienhypertexte"/>
          </w:rPr>
          <w:t>e de modification au titre du règlement (UE) n° 1305/2013</w:t>
        </w:r>
        <w:r>
          <w:tab/>
        </w:r>
        <w:r>
          <w:fldChar w:fldCharType="begin"/>
        </w:r>
        <w:r>
          <w:instrText xml:space="preserve"> PAGEREF _Toc256000002 \h </w:instrText>
        </w:r>
        <w:r>
          <w:fldChar w:fldCharType="separate"/>
        </w:r>
        <w:r>
          <w:t>11</w:t>
        </w:r>
        <w:r>
          <w:fldChar w:fldCharType="end"/>
        </w:r>
      </w:hyperlink>
    </w:p>
    <w:p w:rsidR="0035701C" w:rsidRDefault="00FB561B">
      <w:pPr>
        <w:pStyle w:val="TM3"/>
        <w:rPr>
          <w:rFonts w:ascii="Calibri" w:hAnsi="Calibri"/>
          <w:noProof/>
          <w:sz w:val="22"/>
        </w:rPr>
      </w:pPr>
      <w:hyperlink w:anchor="_Toc256000003" w:history="1">
        <w:r>
          <w:rPr>
            <w:rStyle w:val="Lienhypertexte"/>
          </w:rPr>
          <w:t>1.1.2. Modification apportée aux informations fournies dans l'AP</w:t>
        </w:r>
        <w:r>
          <w:tab/>
        </w:r>
        <w:r>
          <w:fldChar w:fldCharType="begin"/>
        </w:r>
        <w:r>
          <w:instrText xml:space="preserve"> PA</w:instrText>
        </w:r>
        <w:r>
          <w:instrText xml:space="preserve">GEREF _Toc256000003 \h </w:instrText>
        </w:r>
        <w:r>
          <w:fldChar w:fldCharType="separate"/>
        </w:r>
        <w:r>
          <w:t>11</w:t>
        </w:r>
        <w:r>
          <w:fldChar w:fldCharType="end"/>
        </w:r>
      </w:hyperlink>
    </w:p>
    <w:p w:rsidR="0035701C" w:rsidRDefault="00FB561B">
      <w:pPr>
        <w:pStyle w:val="TM3"/>
        <w:rPr>
          <w:rFonts w:ascii="Calibri" w:hAnsi="Calibri"/>
          <w:noProof/>
          <w:sz w:val="22"/>
        </w:rPr>
      </w:pPr>
      <w:hyperlink w:anchor="_Toc256000004" w:history="1">
        <w:r>
          <w:rPr>
            <w:rStyle w:val="Lienhypertexte"/>
          </w:rPr>
          <w:t>1.1.3. Modification liée à l'article 4, paragraphe 2, troisième alinéa, du règlement (UE) n° 808/2014 (non soumise aux limites éta</w:t>
        </w:r>
        <w:r>
          <w:rPr>
            <w:rStyle w:val="Lienhypertexte"/>
          </w:rPr>
          <w:t>blies dans cet article)</w:t>
        </w:r>
        <w:r>
          <w:tab/>
        </w:r>
        <w:r>
          <w:fldChar w:fldCharType="begin"/>
        </w:r>
        <w:r>
          <w:instrText xml:space="preserve"> PAGEREF _Toc256000004 \h </w:instrText>
        </w:r>
        <w:r>
          <w:fldChar w:fldCharType="separate"/>
        </w:r>
        <w:r>
          <w:t>11</w:t>
        </w:r>
        <w:r>
          <w:fldChar w:fldCharType="end"/>
        </w:r>
      </w:hyperlink>
    </w:p>
    <w:p w:rsidR="0035701C" w:rsidRDefault="00FB561B">
      <w:pPr>
        <w:pStyle w:val="TM3"/>
        <w:rPr>
          <w:rFonts w:ascii="Calibri" w:hAnsi="Calibri"/>
          <w:noProof/>
          <w:sz w:val="22"/>
        </w:rPr>
      </w:pPr>
      <w:hyperlink w:anchor="_Toc256000005" w:history="1">
        <w:r>
          <w:rPr>
            <w:rStyle w:val="Lienhypertexte"/>
          </w:rPr>
          <w:t>1.1.4. Consultation du comité de suivi [article 49, paragraphe 3, du règlement (UE) n° 1303/2013]</w:t>
        </w:r>
        <w:r>
          <w:tab/>
        </w:r>
        <w:r>
          <w:fldChar w:fldCharType="begin"/>
        </w:r>
        <w:r>
          <w:instrText xml:space="preserve"> PAG</w:instrText>
        </w:r>
        <w:r>
          <w:instrText xml:space="preserve">EREF _Toc256000005 \h </w:instrText>
        </w:r>
        <w:r>
          <w:fldChar w:fldCharType="separate"/>
        </w:r>
        <w:r>
          <w:t>11</w:t>
        </w:r>
        <w:r>
          <w:fldChar w:fldCharType="end"/>
        </w:r>
      </w:hyperlink>
    </w:p>
    <w:p w:rsidR="0035701C" w:rsidRDefault="00FB561B">
      <w:pPr>
        <w:pStyle w:val="TM3"/>
        <w:rPr>
          <w:rFonts w:ascii="Calibri" w:hAnsi="Calibri"/>
          <w:noProof/>
          <w:sz w:val="22"/>
        </w:rPr>
      </w:pPr>
      <w:hyperlink w:anchor="_Toc256000006" w:history="1">
        <w:r>
          <w:rPr>
            <w:rStyle w:val="Lienhypertexte"/>
          </w:rPr>
          <w:t>1.1.5. Description de la modification - article 4, paragraphe 1, du règlement (UE) n° 808/2014</w:t>
        </w:r>
        <w:r>
          <w:tab/>
        </w:r>
        <w:r>
          <w:fldChar w:fldCharType="begin"/>
        </w:r>
        <w:r>
          <w:instrText xml:space="preserve"> PAGEREF _Toc256000006 \h </w:instrText>
        </w:r>
        <w:r>
          <w:fldChar w:fldCharType="separate"/>
        </w:r>
        <w:r>
          <w:t>11</w:t>
        </w:r>
        <w:r>
          <w:fldChar w:fldCharType="end"/>
        </w:r>
      </w:hyperlink>
    </w:p>
    <w:p w:rsidR="0035701C" w:rsidRDefault="00FB561B">
      <w:pPr>
        <w:pStyle w:val="TM1"/>
        <w:rPr>
          <w:rFonts w:ascii="Calibri" w:hAnsi="Calibri"/>
          <w:noProof/>
          <w:sz w:val="22"/>
        </w:rPr>
      </w:pPr>
      <w:hyperlink w:anchor="_Toc256000007" w:history="1">
        <w:r>
          <w:rPr>
            <w:rStyle w:val="Lienhypertexte"/>
          </w:rPr>
          <w:t>2. État membre ou subdivision administrative</w:t>
        </w:r>
        <w:r>
          <w:tab/>
        </w:r>
        <w:r>
          <w:fldChar w:fldCharType="begin"/>
        </w:r>
        <w:r>
          <w:instrText xml:space="preserve"> PAGEREF _Toc256000007 \h </w:instrText>
        </w:r>
        <w:r>
          <w:fldChar w:fldCharType="separate"/>
        </w:r>
        <w:r>
          <w:t>16</w:t>
        </w:r>
        <w:r>
          <w:fldChar w:fldCharType="end"/>
        </w:r>
      </w:hyperlink>
    </w:p>
    <w:p w:rsidR="0035701C" w:rsidRDefault="00FB561B">
      <w:pPr>
        <w:pStyle w:val="TM2"/>
        <w:rPr>
          <w:rFonts w:ascii="Calibri" w:hAnsi="Calibri"/>
          <w:noProof/>
          <w:sz w:val="22"/>
        </w:rPr>
      </w:pPr>
      <w:hyperlink w:anchor="_Toc256000008" w:history="1">
        <w:r>
          <w:rPr>
            <w:rStyle w:val="Lienhypertexte"/>
          </w:rPr>
          <w:t>2.1. Zone géographique couverte par le programme</w:t>
        </w:r>
        <w:r>
          <w:tab/>
        </w:r>
        <w:r>
          <w:fldChar w:fldCharType="begin"/>
        </w:r>
        <w:r>
          <w:instrText xml:space="preserve"> PAGEREF _Toc256000008 \h </w:instrText>
        </w:r>
        <w:r>
          <w:fldChar w:fldCharType="separate"/>
        </w:r>
        <w:r>
          <w:t>16</w:t>
        </w:r>
        <w:r>
          <w:fldChar w:fldCharType="end"/>
        </w:r>
      </w:hyperlink>
    </w:p>
    <w:p w:rsidR="0035701C" w:rsidRDefault="00FB561B">
      <w:pPr>
        <w:pStyle w:val="TM2"/>
        <w:rPr>
          <w:rFonts w:ascii="Calibri" w:hAnsi="Calibri"/>
          <w:noProof/>
          <w:sz w:val="22"/>
        </w:rPr>
      </w:pPr>
      <w:hyperlink w:anchor="_Toc256000009" w:history="1">
        <w:r>
          <w:rPr>
            <w:rStyle w:val="Lienhypertexte"/>
          </w:rPr>
          <w:t>2.2. Niveau de nomenclature de la région</w:t>
        </w:r>
        <w:r>
          <w:tab/>
        </w:r>
        <w:r>
          <w:fldChar w:fldCharType="begin"/>
        </w:r>
        <w:r>
          <w:instrText xml:space="preserve"> PAGEREF _Toc256000009 \h </w:instrText>
        </w:r>
        <w:r>
          <w:fldChar w:fldCharType="separate"/>
        </w:r>
        <w:r>
          <w:t>20</w:t>
        </w:r>
        <w:r>
          <w:fldChar w:fldCharType="end"/>
        </w:r>
      </w:hyperlink>
    </w:p>
    <w:p w:rsidR="0035701C" w:rsidRDefault="00FB561B">
      <w:pPr>
        <w:pStyle w:val="TM1"/>
        <w:rPr>
          <w:rFonts w:ascii="Calibri" w:hAnsi="Calibri"/>
          <w:noProof/>
          <w:sz w:val="22"/>
        </w:rPr>
      </w:pPr>
      <w:hyperlink w:anchor="_Toc256000010" w:history="1">
        <w:r>
          <w:rPr>
            <w:rStyle w:val="Lienhypertexte"/>
          </w:rPr>
          <w:t>3. Évaluation ex-ante</w:t>
        </w:r>
        <w:r>
          <w:tab/>
        </w:r>
        <w:r>
          <w:fldChar w:fldCharType="begin"/>
        </w:r>
        <w:r>
          <w:instrText xml:space="preserve"> PAGEREF _Toc256000010 \h </w:instrText>
        </w:r>
        <w:r>
          <w:fldChar w:fldCharType="separate"/>
        </w:r>
        <w:r>
          <w:t>21</w:t>
        </w:r>
        <w:r>
          <w:fldChar w:fldCharType="end"/>
        </w:r>
      </w:hyperlink>
    </w:p>
    <w:p w:rsidR="0035701C" w:rsidRDefault="00FB561B">
      <w:pPr>
        <w:pStyle w:val="TM2"/>
        <w:rPr>
          <w:rFonts w:ascii="Calibri" w:hAnsi="Calibri"/>
          <w:noProof/>
          <w:sz w:val="22"/>
        </w:rPr>
      </w:pPr>
      <w:hyperlink w:anchor="_Toc256000011" w:history="1">
        <w:r>
          <w:rPr>
            <w:rStyle w:val="Lienhypertexte"/>
          </w:rPr>
          <w:t>3.1. Description du processus, y compris le calendrier des principaux événements et les rapports intermédiaires, en ce qui concerne les étapes clés de l'évolution du PDR.</w:t>
        </w:r>
        <w:r>
          <w:tab/>
        </w:r>
        <w:r>
          <w:fldChar w:fldCharType="begin"/>
        </w:r>
        <w:r>
          <w:instrText xml:space="preserve"> PAGEREF _Toc256000011 \h </w:instrText>
        </w:r>
        <w:r>
          <w:fldChar w:fldCharType="separate"/>
        </w:r>
        <w:r>
          <w:t>21</w:t>
        </w:r>
        <w:r>
          <w:fldChar w:fldCharType="end"/>
        </w:r>
      </w:hyperlink>
    </w:p>
    <w:p w:rsidR="0035701C" w:rsidRDefault="00FB561B">
      <w:pPr>
        <w:pStyle w:val="TM2"/>
        <w:rPr>
          <w:rFonts w:ascii="Calibri" w:hAnsi="Calibri"/>
          <w:noProof/>
          <w:sz w:val="22"/>
        </w:rPr>
      </w:pPr>
      <w:hyperlink w:anchor="_Toc256000012" w:history="1">
        <w:r>
          <w:rPr>
            <w:rStyle w:val="Lienhypertexte"/>
          </w:rPr>
          <w:t>3.2. Tableau structuré contenant les recommandations de l’évaluation ex ante et indiquant la manière dont elles ont été prises en compte.</w:t>
        </w:r>
        <w:r>
          <w:tab/>
        </w:r>
        <w:r>
          <w:fldChar w:fldCharType="begin"/>
        </w:r>
        <w:r>
          <w:instrText xml:space="preserve"> PAGEREF _Toc256000012 \h </w:instrText>
        </w:r>
        <w:r>
          <w:fldChar w:fldCharType="separate"/>
        </w:r>
        <w:r>
          <w:t>23</w:t>
        </w:r>
        <w:r>
          <w:fldChar w:fldCharType="end"/>
        </w:r>
      </w:hyperlink>
    </w:p>
    <w:p w:rsidR="0035701C" w:rsidRDefault="00FB561B">
      <w:pPr>
        <w:pStyle w:val="TM3"/>
        <w:rPr>
          <w:rFonts w:ascii="Calibri" w:hAnsi="Calibri"/>
          <w:noProof/>
          <w:sz w:val="22"/>
        </w:rPr>
      </w:pPr>
      <w:hyperlink w:anchor="_Toc256000013" w:history="1">
        <w:r>
          <w:rPr>
            <w:rStyle w:val="Lienhypertexte"/>
          </w:rPr>
          <w:t>3.2.1. Dispositif de suivi et d’évaluation</w:t>
        </w:r>
        <w:r>
          <w:tab/>
        </w:r>
        <w:r>
          <w:fldChar w:fldCharType="begin"/>
        </w:r>
        <w:r>
          <w:instrText xml:space="preserve"> PAGEREF _Toc256000013 \h </w:instrText>
        </w:r>
        <w:r>
          <w:fldChar w:fldCharType="separate"/>
        </w:r>
        <w:r>
          <w:t>23</w:t>
        </w:r>
        <w:r>
          <w:fldChar w:fldCharType="end"/>
        </w:r>
      </w:hyperlink>
    </w:p>
    <w:p w:rsidR="0035701C" w:rsidRDefault="00FB561B">
      <w:pPr>
        <w:pStyle w:val="TM3"/>
        <w:rPr>
          <w:rFonts w:ascii="Calibri" w:hAnsi="Calibri"/>
          <w:noProof/>
          <w:sz w:val="22"/>
        </w:rPr>
      </w:pPr>
      <w:hyperlink w:anchor="_Toc256000014" w:history="1">
        <w:r>
          <w:rPr>
            <w:rStyle w:val="Lienhypertexte"/>
          </w:rPr>
          <w:t>3.</w:t>
        </w:r>
        <w:r>
          <w:rPr>
            <w:rStyle w:val="Lienhypertexte"/>
          </w:rPr>
          <w:t>2.2. Dispositif de suivi et d’évaluation (2015)</w:t>
        </w:r>
        <w:r>
          <w:tab/>
        </w:r>
        <w:r>
          <w:fldChar w:fldCharType="begin"/>
        </w:r>
        <w:r>
          <w:instrText xml:space="preserve"> PAGEREF _Toc256000014 \h </w:instrText>
        </w:r>
        <w:r>
          <w:fldChar w:fldCharType="separate"/>
        </w:r>
        <w:r>
          <w:t>24</w:t>
        </w:r>
        <w:r>
          <w:fldChar w:fldCharType="end"/>
        </w:r>
      </w:hyperlink>
    </w:p>
    <w:p w:rsidR="0035701C" w:rsidRDefault="00FB561B">
      <w:pPr>
        <w:pStyle w:val="TM3"/>
        <w:rPr>
          <w:rFonts w:ascii="Calibri" w:hAnsi="Calibri"/>
          <w:noProof/>
          <w:sz w:val="22"/>
        </w:rPr>
      </w:pPr>
      <w:hyperlink w:anchor="_Toc256000015" w:history="1">
        <w:r>
          <w:rPr>
            <w:rStyle w:val="Lienhypertexte"/>
          </w:rPr>
          <w:t>3.2.3. La cohérence des modalités de mise en oeuvre des mesures</w:t>
        </w:r>
        <w:r>
          <w:tab/>
        </w:r>
        <w:r>
          <w:fldChar w:fldCharType="begin"/>
        </w:r>
        <w:r>
          <w:instrText xml:space="preserve"> PAGEREF _Toc2</w:instrText>
        </w:r>
        <w:r>
          <w:instrText xml:space="preserve">56000015 \h </w:instrText>
        </w:r>
        <w:r>
          <w:fldChar w:fldCharType="separate"/>
        </w:r>
        <w:r>
          <w:t>24</w:t>
        </w:r>
        <w:r>
          <w:fldChar w:fldCharType="end"/>
        </w:r>
      </w:hyperlink>
    </w:p>
    <w:p w:rsidR="0035701C" w:rsidRDefault="00FB561B">
      <w:pPr>
        <w:pStyle w:val="TM3"/>
        <w:rPr>
          <w:rFonts w:ascii="Calibri" w:hAnsi="Calibri"/>
          <w:noProof/>
          <w:sz w:val="22"/>
        </w:rPr>
      </w:pPr>
      <w:hyperlink w:anchor="_Toc256000016" w:history="1">
        <w:r>
          <w:rPr>
            <w:rStyle w:val="Lienhypertexte"/>
          </w:rPr>
          <w:t>3.2.4. La cohérence externe du Programme avec les autres instruments concernés</w:t>
        </w:r>
        <w:r>
          <w:tab/>
        </w:r>
        <w:r>
          <w:fldChar w:fldCharType="begin"/>
        </w:r>
        <w:r>
          <w:instrText xml:space="preserve"> PAGEREF _Toc256000016 \h </w:instrText>
        </w:r>
        <w:r>
          <w:fldChar w:fldCharType="separate"/>
        </w:r>
        <w:r>
          <w:t>25</w:t>
        </w:r>
        <w:r>
          <w:fldChar w:fldCharType="end"/>
        </w:r>
      </w:hyperlink>
    </w:p>
    <w:p w:rsidR="0035701C" w:rsidRDefault="00FB561B">
      <w:pPr>
        <w:pStyle w:val="TM3"/>
        <w:rPr>
          <w:rFonts w:ascii="Calibri" w:hAnsi="Calibri"/>
          <w:noProof/>
          <w:sz w:val="22"/>
        </w:rPr>
      </w:pPr>
      <w:hyperlink w:anchor="_Toc256000017" w:history="1">
        <w:r>
          <w:rPr>
            <w:rStyle w:val="Lienhypertexte"/>
          </w:rPr>
          <w:t>3.2.5. La cohérence interne du Programme</w:t>
        </w:r>
        <w:r>
          <w:tab/>
        </w:r>
        <w:r>
          <w:fldChar w:fldCharType="begin"/>
        </w:r>
        <w:r>
          <w:instrText xml:space="preserve"> PAGEREF _Toc256000017 \h </w:instrText>
        </w:r>
        <w:r>
          <w:fldChar w:fldCharType="separate"/>
        </w:r>
        <w:r>
          <w:t>25</w:t>
        </w:r>
        <w:r>
          <w:fldChar w:fldCharType="end"/>
        </w:r>
      </w:hyperlink>
    </w:p>
    <w:p w:rsidR="0035701C" w:rsidRDefault="00FB561B">
      <w:pPr>
        <w:pStyle w:val="TM3"/>
        <w:rPr>
          <w:rFonts w:ascii="Calibri" w:hAnsi="Calibri"/>
          <w:noProof/>
          <w:sz w:val="22"/>
        </w:rPr>
      </w:pPr>
      <w:hyperlink w:anchor="_Toc256000018" w:history="1">
        <w:r>
          <w:rPr>
            <w:rStyle w:val="Lienhypertexte"/>
          </w:rPr>
          <w:t>3.2.6. La cohérence stratégique</w:t>
        </w:r>
        <w:r>
          <w:tab/>
        </w:r>
        <w:r>
          <w:fldChar w:fldCharType="begin"/>
        </w:r>
        <w:r>
          <w:instrText xml:space="preserve"> PAGEREF _Toc256000018 \h </w:instrText>
        </w:r>
        <w:r>
          <w:fldChar w:fldCharType="separate"/>
        </w:r>
        <w:r>
          <w:t>26</w:t>
        </w:r>
        <w:r>
          <w:fldChar w:fldCharType="end"/>
        </w:r>
      </w:hyperlink>
    </w:p>
    <w:p w:rsidR="0035701C" w:rsidRDefault="00FB561B">
      <w:pPr>
        <w:pStyle w:val="TM3"/>
        <w:rPr>
          <w:rFonts w:ascii="Calibri" w:hAnsi="Calibri"/>
          <w:noProof/>
          <w:sz w:val="22"/>
        </w:rPr>
      </w:pPr>
      <w:hyperlink w:anchor="_Toc256000019" w:history="1">
        <w:r>
          <w:rPr>
            <w:rStyle w:val="Lienhypertexte"/>
          </w:rPr>
          <w:t>3.2.7. La pertinence</w:t>
        </w:r>
        <w:r>
          <w:tab/>
        </w:r>
        <w:r>
          <w:fldChar w:fldCharType="begin"/>
        </w:r>
        <w:r>
          <w:instrText xml:space="preserve"> PAGEREF _Toc256000019 \h </w:instrText>
        </w:r>
        <w:r>
          <w:fldChar w:fldCharType="separate"/>
        </w:r>
        <w:r>
          <w:t>26</w:t>
        </w:r>
        <w:r>
          <w:fldChar w:fldCharType="end"/>
        </w:r>
      </w:hyperlink>
    </w:p>
    <w:p w:rsidR="0035701C" w:rsidRDefault="00FB561B">
      <w:pPr>
        <w:pStyle w:val="TM3"/>
        <w:rPr>
          <w:rFonts w:ascii="Calibri" w:hAnsi="Calibri"/>
          <w:noProof/>
          <w:sz w:val="22"/>
        </w:rPr>
      </w:pPr>
      <w:hyperlink w:anchor="_Toc256000020" w:history="1">
        <w:r>
          <w:rPr>
            <w:rStyle w:val="Lienhypertexte"/>
          </w:rPr>
          <w:t>3.2.8. La pertinence (2015)</w:t>
        </w:r>
        <w:r>
          <w:tab/>
        </w:r>
        <w:r>
          <w:fldChar w:fldCharType="begin"/>
        </w:r>
        <w:r>
          <w:instrText xml:space="preserve"> PAGEREF _Toc256000020 \h </w:instrText>
        </w:r>
        <w:r>
          <w:fldChar w:fldCharType="separate"/>
        </w:r>
        <w:r>
          <w:t>27</w:t>
        </w:r>
        <w:r>
          <w:fldChar w:fldCharType="end"/>
        </w:r>
      </w:hyperlink>
    </w:p>
    <w:p w:rsidR="0035701C" w:rsidRDefault="00FB561B">
      <w:pPr>
        <w:pStyle w:val="TM3"/>
        <w:rPr>
          <w:rFonts w:ascii="Calibri" w:hAnsi="Calibri"/>
          <w:noProof/>
          <w:sz w:val="22"/>
        </w:rPr>
      </w:pPr>
      <w:hyperlink w:anchor="_Toc256000021" w:history="1">
        <w:r>
          <w:rPr>
            <w:rStyle w:val="Lienhypertexte"/>
          </w:rPr>
          <w:t>3.2.9. La pertinence des indicateurs</w:t>
        </w:r>
        <w:r>
          <w:tab/>
        </w:r>
        <w:r>
          <w:fldChar w:fldCharType="begin"/>
        </w:r>
        <w:r>
          <w:instrText xml:space="preserve"> PAGEREF _Toc256000021 \h </w:instrText>
        </w:r>
        <w:r>
          <w:fldChar w:fldCharType="separate"/>
        </w:r>
        <w:r>
          <w:t>28</w:t>
        </w:r>
        <w:r>
          <w:fldChar w:fldCharType="end"/>
        </w:r>
      </w:hyperlink>
    </w:p>
    <w:p w:rsidR="0035701C" w:rsidRDefault="00FB561B">
      <w:pPr>
        <w:pStyle w:val="TM3"/>
        <w:rPr>
          <w:rFonts w:ascii="Calibri" w:hAnsi="Calibri"/>
          <w:noProof/>
          <w:sz w:val="22"/>
        </w:rPr>
      </w:pPr>
      <w:hyperlink w:anchor="_Toc256000022" w:history="1">
        <w:r>
          <w:rPr>
            <w:rStyle w:val="Lienhypertexte"/>
          </w:rPr>
          <w:t>3.2.10. La pertinence des indicateurs (2015)</w:t>
        </w:r>
        <w:r>
          <w:tab/>
        </w:r>
        <w:r>
          <w:fldChar w:fldCharType="begin"/>
        </w:r>
        <w:r>
          <w:instrText xml:space="preserve"> PAGEREF _Toc256000022 \h </w:instrText>
        </w:r>
        <w:r>
          <w:fldChar w:fldCharType="separate"/>
        </w:r>
        <w:r>
          <w:t>28</w:t>
        </w:r>
        <w:r>
          <w:fldChar w:fldCharType="end"/>
        </w:r>
      </w:hyperlink>
    </w:p>
    <w:p w:rsidR="0035701C" w:rsidRDefault="00FB561B">
      <w:pPr>
        <w:pStyle w:val="TM3"/>
        <w:rPr>
          <w:rFonts w:ascii="Calibri" w:hAnsi="Calibri"/>
          <w:noProof/>
          <w:sz w:val="22"/>
        </w:rPr>
      </w:pPr>
      <w:hyperlink w:anchor="_Toc256000023" w:history="1">
        <w:r>
          <w:rPr>
            <w:rStyle w:val="Lienhypertexte"/>
          </w:rPr>
          <w:t>3.2.11. La pertinence des mesures prévues pour promouvoir les priorités tr</w:t>
        </w:r>
        <w:r>
          <w:rPr>
            <w:rStyle w:val="Lienhypertexte"/>
          </w:rPr>
          <w:t>ansversales</w:t>
        </w:r>
        <w:r>
          <w:tab/>
        </w:r>
        <w:r>
          <w:fldChar w:fldCharType="begin"/>
        </w:r>
        <w:r>
          <w:instrText xml:space="preserve"> PAGEREF _Toc256000023 \h </w:instrText>
        </w:r>
        <w:r>
          <w:fldChar w:fldCharType="separate"/>
        </w:r>
        <w:r>
          <w:t>29</w:t>
        </w:r>
        <w:r>
          <w:fldChar w:fldCharType="end"/>
        </w:r>
      </w:hyperlink>
    </w:p>
    <w:p w:rsidR="0035701C" w:rsidRDefault="00FB561B">
      <w:pPr>
        <w:pStyle w:val="TM3"/>
        <w:rPr>
          <w:rFonts w:ascii="Calibri" w:hAnsi="Calibri"/>
          <w:noProof/>
          <w:sz w:val="22"/>
        </w:rPr>
      </w:pPr>
      <w:hyperlink w:anchor="_Toc256000024" w:history="1">
        <w:r>
          <w:rPr>
            <w:rStyle w:val="Lienhypertexte"/>
          </w:rPr>
          <w:t>3.2.12. Le partenariat et la mise en oeuvre du programme</w:t>
        </w:r>
        <w:r>
          <w:tab/>
        </w:r>
        <w:r>
          <w:fldChar w:fldCharType="begin"/>
        </w:r>
        <w:r>
          <w:instrText xml:space="preserve"> PAGEREF _Toc256000024 \h </w:instrText>
        </w:r>
        <w:r>
          <w:fldChar w:fldCharType="separate"/>
        </w:r>
        <w:r>
          <w:t>29</w:t>
        </w:r>
        <w:r>
          <w:fldChar w:fldCharType="end"/>
        </w:r>
      </w:hyperlink>
    </w:p>
    <w:p w:rsidR="0035701C" w:rsidRDefault="00FB561B">
      <w:pPr>
        <w:pStyle w:val="TM2"/>
        <w:rPr>
          <w:rFonts w:ascii="Calibri" w:hAnsi="Calibri"/>
          <w:noProof/>
          <w:sz w:val="22"/>
        </w:rPr>
      </w:pPr>
      <w:hyperlink w:anchor="_Toc256000025" w:history="1">
        <w:r>
          <w:rPr>
            <w:rStyle w:val="Lienhypertexte"/>
          </w:rPr>
          <w:t>3.3. Rapport de l'évaluation ex-ante</w:t>
        </w:r>
        <w:r>
          <w:tab/>
        </w:r>
        <w:r>
          <w:fldChar w:fldCharType="begin"/>
        </w:r>
        <w:r>
          <w:instrText xml:space="preserve"> PAGEREF _Toc256000025 \h </w:instrText>
        </w:r>
        <w:r>
          <w:fldChar w:fldCharType="separate"/>
        </w:r>
        <w:r>
          <w:t>30</w:t>
        </w:r>
        <w:r>
          <w:fldChar w:fldCharType="end"/>
        </w:r>
      </w:hyperlink>
    </w:p>
    <w:p w:rsidR="0035701C" w:rsidRDefault="00FB561B">
      <w:pPr>
        <w:pStyle w:val="TM1"/>
        <w:rPr>
          <w:rFonts w:ascii="Calibri" w:hAnsi="Calibri"/>
          <w:noProof/>
          <w:sz w:val="22"/>
        </w:rPr>
      </w:pPr>
      <w:hyperlink w:anchor="_Toc256000026" w:history="1">
        <w:r>
          <w:rPr>
            <w:rStyle w:val="Lienhypertexte"/>
          </w:rPr>
          <w:t>4. Analyse SWOT et recensement des besoins</w:t>
        </w:r>
        <w:r>
          <w:tab/>
        </w:r>
        <w:r>
          <w:fldChar w:fldCharType="begin"/>
        </w:r>
        <w:r>
          <w:instrText xml:space="preserve"> PAGEREF _Toc256000026 \h </w:instrText>
        </w:r>
        <w:r>
          <w:fldChar w:fldCharType="separate"/>
        </w:r>
        <w:r>
          <w:t>31</w:t>
        </w:r>
        <w:r>
          <w:fldChar w:fldCharType="end"/>
        </w:r>
      </w:hyperlink>
    </w:p>
    <w:p w:rsidR="0035701C" w:rsidRDefault="00FB561B">
      <w:pPr>
        <w:pStyle w:val="TM2"/>
        <w:rPr>
          <w:rFonts w:ascii="Calibri" w:hAnsi="Calibri"/>
          <w:noProof/>
          <w:sz w:val="22"/>
        </w:rPr>
      </w:pPr>
      <w:hyperlink w:anchor="_Toc256000027" w:history="1">
        <w:r>
          <w:rPr>
            <w:rStyle w:val="Lienhypertexte"/>
          </w:rPr>
          <w:t>4.1. SWOT</w:t>
        </w:r>
        <w:r>
          <w:tab/>
        </w:r>
        <w:r>
          <w:fldChar w:fldCharType="begin"/>
        </w:r>
        <w:r>
          <w:instrText xml:space="preserve"> PAGEREF _Toc256000027 \h </w:instrText>
        </w:r>
        <w:r>
          <w:fldChar w:fldCharType="separate"/>
        </w:r>
        <w:r>
          <w:t>31</w:t>
        </w:r>
        <w:r>
          <w:fldChar w:fldCharType="end"/>
        </w:r>
      </w:hyperlink>
    </w:p>
    <w:p w:rsidR="0035701C" w:rsidRDefault="00FB561B">
      <w:pPr>
        <w:pStyle w:val="TM3"/>
        <w:rPr>
          <w:rFonts w:ascii="Calibri" w:hAnsi="Calibri"/>
          <w:noProof/>
          <w:sz w:val="22"/>
        </w:rPr>
      </w:pPr>
      <w:hyperlink w:anchor="_Toc256000028" w:history="1">
        <w:r>
          <w:rPr>
            <w:rStyle w:val="Lienhypertexte"/>
          </w:rPr>
          <w:t>4.1.1. Description générale exhaustive de la situation actuelle de la zone de programmation, sur la ba</w:t>
        </w:r>
        <w:r>
          <w:rPr>
            <w:rStyle w:val="Lienhypertexte"/>
          </w:rPr>
          <w:t>se d’indicateurs contextuels communs et spécifiques d'un programme et d’autres informations qualitatives actualisées</w:t>
        </w:r>
        <w:r>
          <w:tab/>
        </w:r>
        <w:r>
          <w:fldChar w:fldCharType="begin"/>
        </w:r>
        <w:r>
          <w:instrText xml:space="preserve"> PAGEREF _Toc256000028 \h </w:instrText>
        </w:r>
        <w:r>
          <w:fldChar w:fldCharType="separate"/>
        </w:r>
        <w:r>
          <w:t>31</w:t>
        </w:r>
        <w:r>
          <w:fldChar w:fldCharType="end"/>
        </w:r>
      </w:hyperlink>
    </w:p>
    <w:p w:rsidR="0035701C" w:rsidRDefault="00FB561B">
      <w:pPr>
        <w:pStyle w:val="TM3"/>
        <w:rPr>
          <w:rFonts w:ascii="Calibri" w:hAnsi="Calibri"/>
          <w:noProof/>
          <w:sz w:val="22"/>
        </w:rPr>
      </w:pPr>
      <w:hyperlink w:anchor="_Toc256000029" w:history="1">
        <w:r>
          <w:rPr>
            <w:rStyle w:val="Lienhypertexte"/>
          </w:rPr>
          <w:t>4.1.2. For</w:t>
        </w:r>
        <w:r>
          <w:rPr>
            <w:rStyle w:val="Lienhypertexte"/>
          </w:rPr>
          <w:t>ces recensées dans la zone de programmation</w:t>
        </w:r>
        <w:r>
          <w:tab/>
        </w:r>
        <w:r>
          <w:fldChar w:fldCharType="begin"/>
        </w:r>
        <w:r>
          <w:instrText xml:space="preserve"> PAGEREF _Toc256000029 \h </w:instrText>
        </w:r>
        <w:r>
          <w:fldChar w:fldCharType="separate"/>
        </w:r>
        <w:r>
          <w:t>63</w:t>
        </w:r>
        <w:r>
          <w:fldChar w:fldCharType="end"/>
        </w:r>
      </w:hyperlink>
    </w:p>
    <w:p w:rsidR="0035701C" w:rsidRDefault="00FB561B">
      <w:pPr>
        <w:pStyle w:val="TM3"/>
        <w:rPr>
          <w:rFonts w:ascii="Calibri" w:hAnsi="Calibri"/>
          <w:noProof/>
          <w:sz w:val="22"/>
        </w:rPr>
      </w:pPr>
      <w:hyperlink w:anchor="_Toc256000030" w:history="1">
        <w:r>
          <w:rPr>
            <w:rStyle w:val="Lienhypertexte"/>
          </w:rPr>
          <w:t>4.1.3. Faiblesses recensées dans la zone de programmation</w:t>
        </w:r>
        <w:r>
          <w:tab/>
        </w:r>
        <w:r>
          <w:fldChar w:fldCharType="begin"/>
        </w:r>
        <w:r>
          <w:instrText xml:space="preserve"> PAGEREF _Toc256000030 \</w:instrText>
        </w:r>
        <w:r>
          <w:instrText xml:space="preserve">h </w:instrText>
        </w:r>
        <w:r>
          <w:fldChar w:fldCharType="separate"/>
        </w:r>
        <w:r>
          <w:t>65</w:t>
        </w:r>
        <w:r>
          <w:fldChar w:fldCharType="end"/>
        </w:r>
      </w:hyperlink>
    </w:p>
    <w:p w:rsidR="0035701C" w:rsidRDefault="00FB561B">
      <w:pPr>
        <w:pStyle w:val="TM3"/>
        <w:rPr>
          <w:rFonts w:ascii="Calibri" w:hAnsi="Calibri"/>
          <w:noProof/>
          <w:sz w:val="22"/>
        </w:rPr>
      </w:pPr>
      <w:hyperlink w:anchor="_Toc256000031" w:history="1">
        <w:r>
          <w:rPr>
            <w:rStyle w:val="Lienhypertexte"/>
          </w:rPr>
          <w:t>4.1.4. Opportunités recensées dans la zone de programmation</w:t>
        </w:r>
        <w:r>
          <w:tab/>
        </w:r>
        <w:r>
          <w:fldChar w:fldCharType="begin"/>
        </w:r>
        <w:r>
          <w:instrText xml:space="preserve"> PAGEREF _Toc256000031 \h </w:instrText>
        </w:r>
        <w:r>
          <w:fldChar w:fldCharType="separate"/>
        </w:r>
        <w:r>
          <w:t>68</w:t>
        </w:r>
        <w:r>
          <w:fldChar w:fldCharType="end"/>
        </w:r>
      </w:hyperlink>
    </w:p>
    <w:p w:rsidR="0035701C" w:rsidRDefault="00FB561B">
      <w:pPr>
        <w:pStyle w:val="TM3"/>
        <w:rPr>
          <w:rFonts w:ascii="Calibri" w:hAnsi="Calibri"/>
          <w:noProof/>
          <w:sz w:val="22"/>
        </w:rPr>
      </w:pPr>
      <w:hyperlink w:anchor="_Toc256000032" w:history="1">
        <w:r>
          <w:rPr>
            <w:rStyle w:val="Lienhypertexte"/>
          </w:rPr>
          <w:t>4.1.5. Menaces recensées dans la zone de programmation</w:t>
        </w:r>
        <w:r>
          <w:tab/>
        </w:r>
        <w:r>
          <w:fldChar w:fldCharType="begin"/>
        </w:r>
        <w:r>
          <w:instrText xml:space="preserve"> PAGEREF _Toc256000032 \h </w:instrText>
        </w:r>
        <w:r>
          <w:fldChar w:fldCharType="separate"/>
        </w:r>
        <w:r>
          <w:t>70</w:t>
        </w:r>
        <w:r>
          <w:fldChar w:fldCharType="end"/>
        </w:r>
      </w:hyperlink>
    </w:p>
    <w:p w:rsidR="0035701C" w:rsidRDefault="00FB561B">
      <w:pPr>
        <w:pStyle w:val="TM3"/>
        <w:rPr>
          <w:rFonts w:ascii="Calibri" w:hAnsi="Calibri"/>
          <w:noProof/>
          <w:sz w:val="22"/>
        </w:rPr>
      </w:pPr>
      <w:hyperlink w:anchor="_Toc256000033" w:history="1">
        <w:r>
          <w:rPr>
            <w:rStyle w:val="Lienhypertexte"/>
          </w:rPr>
          <w:t xml:space="preserve">4.1.6. Indicateurs contextuels </w:t>
        </w:r>
        <w:r>
          <w:rPr>
            <w:rStyle w:val="Lienhypertexte"/>
          </w:rPr>
          <w:t>communs</w:t>
        </w:r>
        <w:r>
          <w:tab/>
        </w:r>
        <w:r>
          <w:fldChar w:fldCharType="begin"/>
        </w:r>
        <w:r>
          <w:instrText xml:space="preserve"> PAGEREF _Toc256000033 \h </w:instrText>
        </w:r>
        <w:r>
          <w:fldChar w:fldCharType="separate"/>
        </w:r>
        <w:r>
          <w:t>73</w:t>
        </w:r>
        <w:r>
          <w:fldChar w:fldCharType="end"/>
        </w:r>
      </w:hyperlink>
    </w:p>
    <w:p w:rsidR="0035701C" w:rsidRDefault="00FB561B">
      <w:pPr>
        <w:pStyle w:val="TM3"/>
        <w:rPr>
          <w:rFonts w:ascii="Calibri" w:hAnsi="Calibri"/>
          <w:noProof/>
          <w:sz w:val="22"/>
        </w:rPr>
      </w:pPr>
      <w:hyperlink w:anchor="_Toc256000034" w:history="1">
        <w:r>
          <w:rPr>
            <w:rStyle w:val="Lienhypertexte"/>
          </w:rPr>
          <w:t>4.1.7. Indicateurs contextuels spécifiques d'un programme</w:t>
        </w:r>
        <w:r>
          <w:tab/>
        </w:r>
        <w:r>
          <w:fldChar w:fldCharType="begin"/>
        </w:r>
        <w:r>
          <w:instrText xml:space="preserve"> PAGEREF _Toc256000034 \h </w:instrText>
        </w:r>
        <w:r>
          <w:fldChar w:fldCharType="separate"/>
        </w:r>
        <w:r>
          <w:t>83</w:t>
        </w:r>
        <w:r>
          <w:fldChar w:fldCharType="end"/>
        </w:r>
      </w:hyperlink>
    </w:p>
    <w:p w:rsidR="0035701C" w:rsidRDefault="00FB561B">
      <w:pPr>
        <w:pStyle w:val="TM2"/>
        <w:rPr>
          <w:rFonts w:ascii="Calibri" w:hAnsi="Calibri"/>
          <w:noProof/>
          <w:sz w:val="22"/>
        </w:rPr>
      </w:pPr>
      <w:hyperlink w:anchor="_Toc256000035" w:history="1">
        <w:r>
          <w:rPr>
            <w:rStyle w:val="Lienhypertexte"/>
          </w:rPr>
          <w:t>4.2. Évaluation des besoins</w:t>
        </w:r>
        <w:r>
          <w:tab/>
        </w:r>
        <w:r>
          <w:fldChar w:fldCharType="begin"/>
        </w:r>
        <w:r>
          <w:instrText xml:space="preserve"> PAGEREF _Toc256000035 \h </w:instrText>
        </w:r>
        <w:r>
          <w:fldChar w:fldCharType="separate"/>
        </w:r>
        <w:r>
          <w:t>84</w:t>
        </w:r>
        <w:r>
          <w:fldChar w:fldCharType="end"/>
        </w:r>
      </w:hyperlink>
    </w:p>
    <w:p w:rsidR="0035701C" w:rsidRDefault="00FB561B">
      <w:pPr>
        <w:pStyle w:val="TM3"/>
        <w:rPr>
          <w:rFonts w:ascii="Calibri" w:hAnsi="Calibri"/>
          <w:noProof/>
          <w:sz w:val="22"/>
        </w:rPr>
      </w:pPr>
      <w:hyperlink w:anchor="_Toc256000036" w:history="1">
        <w:r>
          <w:rPr>
            <w:rStyle w:val="Lienhypertexte"/>
          </w:rPr>
          <w:t>4.2.1. 01-Protéger le périmè</w:t>
        </w:r>
        <w:r>
          <w:rPr>
            <w:rStyle w:val="Lienhypertexte"/>
          </w:rPr>
          <w:t>tre agricole et forestier</w:t>
        </w:r>
        <w:r>
          <w:tab/>
        </w:r>
        <w:r>
          <w:fldChar w:fldCharType="begin"/>
        </w:r>
        <w:r>
          <w:instrText xml:space="preserve"> PAGEREF _Toc256000036 \h </w:instrText>
        </w:r>
        <w:r>
          <w:fldChar w:fldCharType="separate"/>
        </w:r>
        <w:r>
          <w:t>96</w:t>
        </w:r>
        <w:r>
          <w:fldChar w:fldCharType="end"/>
        </w:r>
      </w:hyperlink>
    </w:p>
    <w:p w:rsidR="0035701C" w:rsidRDefault="00FB561B">
      <w:pPr>
        <w:pStyle w:val="TM3"/>
        <w:rPr>
          <w:rFonts w:ascii="Calibri" w:hAnsi="Calibri"/>
          <w:noProof/>
          <w:sz w:val="22"/>
        </w:rPr>
      </w:pPr>
      <w:hyperlink w:anchor="_Toc256000037" w:history="1">
        <w:r>
          <w:rPr>
            <w:rStyle w:val="Lienhypertexte"/>
          </w:rPr>
          <w:t>4.2.2. 02-Mobiliser le foncier agricole, forestier et rural</w:t>
        </w:r>
        <w:r>
          <w:tab/>
        </w:r>
        <w:r>
          <w:fldChar w:fldCharType="begin"/>
        </w:r>
        <w:r>
          <w:instrText xml:space="preserve"> PAGEREF _Toc256000037 \h </w:instrText>
        </w:r>
        <w:r>
          <w:fldChar w:fldCharType="separate"/>
        </w:r>
        <w:r>
          <w:t>96</w:t>
        </w:r>
        <w:r>
          <w:fldChar w:fldCharType="end"/>
        </w:r>
      </w:hyperlink>
    </w:p>
    <w:p w:rsidR="0035701C" w:rsidRDefault="00FB561B">
      <w:pPr>
        <w:pStyle w:val="TM3"/>
        <w:rPr>
          <w:rFonts w:ascii="Calibri" w:hAnsi="Calibri"/>
          <w:noProof/>
          <w:sz w:val="22"/>
        </w:rPr>
      </w:pPr>
      <w:hyperlink w:anchor="_Toc256000038" w:history="1">
        <w:r>
          <w:rPr>
            <w:rStyle w:val="Lienhypertexte"/>
          </w:rPr>
          <w:t>4.2.3. 03-Equiper le foncier agricole, forestier et rural</w:t>
        </w:r>
        <w:r>
          <w:tab/>
        </w:r>
        <w:r>
          <w:fldChar w:fldCharType="begin"/>
        </w:r>
        <w:r>
          <w:instrText xml:space="preserve"> PAGEREF _Toc256000038 \h </w:instrText>
        </w:r>
        <w:r>
          <w:fldChar w:fldCharType="separate"/>
        </w:r>
        <w:r>
          <w:t>97</w:t>
        </w:r>
        <w:r>
          <w:fldChar w:fldCharType="end"/>
        </w:r>
      </w:hyperlink>
    </w:p>
    <w:p w:rsidR="0035701C" w:rsidRDefault="00FB561B">
      <w:pPr>
        <w:pStyle w:val="TM3"/>
        <w:rPr>
          <w:rFonts w:ascii="Calibri" w:hAnsi="Calibri"/>
          <w:noProof/>
          <w:sz w:val="22"/>
        </w:rPr>
      </w:pPr>
      <w:hyperlink w:anchor="_Toc256000039" w:history="1">
        <w:r>
          <w:rPr>
            <w:rStyle w:val="Lienhypertexte"/>
          </w:rPr>
          <w:t>4.2.4. 04-Sensibiliser, communiquer et Eduquer sur les produits et savoir-faire locaux</w:t>
        </w:r>
        <w:r>
          <w:tab/>
        </w:r>
        <w:r>
          <w:fldChar w:fldCharType="begin"/>
        </w:r>
        <w:r>
          <w:instrText xml:space="preserve"> PAGEREF _Toc256000039 \h </w:instrText>
        </w:r>
        <w:r>
          <w:fldChar w:fldCharType="separate"/>
        </w:r>
        <w:r>
          <w:t>97</w:t>
        </w:r>
        <w:r>
          <w:fldChar w:fldCharType="end"/>
        </w:r>
      </w:hyperlink>
    </w:p>
    <w:p w:rsidR="0035701C" w:rsidRDefault="00FB561B">
      <w:pPr>
        <w:pStyle w:val="TM3"/>
        <w:rPr>
          <w:rFonts w:ascii="Calibri" w:hAnsi="Calibri"/>
          <w:noProof/>
          <w:sz w:val="22"/>
        </w:rPr>
      </w:pPr>
      <w:hyperlink w:anchor="_Toc256000040" w:history="1">
        <w:r>
          <w:rPr>
            <w:rStyle w:val="Lienhypertexte"/>
          </w:rPr>
          <w:t>4.2.5. 05-Professi</w:t>
        </w:r>
        <w:r>
          <w:rPr>
            <w:rStyle w:val="Lienhypertexte"/>
          </w:rPr>
          <w:t>onnaliser par la formation, des agriculteurs, des sylviculteurs et des entrepreneurs en milieu rural</w:t>
        </w:r>
        <w:r>
          <w:tab/>
        </w:r>
        <w:r>
          <w:fldChar w:fldCharType="begin"/>
        </w:r>
        <w:r>
          <w:instrText xml:space="preserve"> PAGEREF _Toc256000040 \h </w:instrText>
        </w:r>
        <w:r>
          <w:fldChar w:fldCharType="separate"/>
        </w:r>
        <w:r>
          <w:t>98</w:t>
        </w:r>
        <w:r>
          <w:fldChar w:fldCharType="end"/>
        </w:r>
      </w:hyperlink>
    </w:p>
    <w:p w:rsidR="0035701C" w:rsidRDefault="00FB561B">
      <w:pPr>
        <w:pStyle w:val="TM3"/>
        <w:rPr>
          <w:rFonts w:ascii="Calibri" w:hAnsi="Calibri"/>
          <w:noProof/>
          <w:sz w:val="22"/>
        </w:rPr>
      </w:pPr>
      <w:hyperlink w:anchor="_Toc256000041" w:history="1">
        <w:r>
          <w:rPr>
            <w:rStyle w:val="Lienhypertexte"/>
          </w:rPr>
          <w:t xml:space="preserve">4.2.6. 06-Diffuser les </w:t>
        </w:r>
        <w:r>
          <w:rPr>
            <w:rStyle w:val="Lienhypertexte"/>
          </w:rPr>
          <w:t>connaissances issues de R&amp;D par la formation et l'appui technique</w:t>
        </w:r>
        <w:r>
          <w:tab/>
        </w:r>
        <w:r>
          <w:fldChar w:fldCharType="begin"/>
        </w:r>
        <w:r>
          <w:instrText xml:space="preserve"> PAGEREF _Toc256000041 \h </w:instrText>
        </w:r>
        <w:r>
          <w:fldChar w:fldCharType="separate"/>
        </w:r>
        <w:r>
          <w:t>99</w:t>
        </w:r>
        <w:r>
          <w:fldChar w:fldCharType="end"/>
        </w:r>
      </w:hyperlink>
    </w:p>
    <w:p w:rsidR="0035701C" w:rsidRDefault="00FB561B">
      <w:pPr>
        <w:pStyle w:val="TM3"/>
        <w:rPr>
          <w:rFonts w:ascii="Calibri" w:hAnsi="Calibri"/>
          <w:noProof/>
          <w:sz w:val="22"/>
        </w:rPr>
      </w:pPr>
      <w:hyperlink w:anchor="_Toc256000042" w:history="1">
        <w:r>
          <w:rPr>
            <w:rStyle w:val="Lienhypertexte"/>
          </w:rPr>
          <w:t xml:space="preserve">4.2.7. 07-Maintenir, augmenter le nombre d'actifs agricoles </w:t>
        </w:r>
        <w:r>
          <w:rPr>
            <w:rStyle w:val="Lienhypertexte"/>
          </w:rPr>
          <w:t>et redynamiser les  transmissions</w:t>
        </w:r>
        <w:r>
          <w:tab/>
        </w:r>
        <w:r>
          <w:fldChar w:fldCharType="begin"/>
        </w:r>
        <w:r>
          <w:instrText xml:space="preserve"> PAGEREF _Toc256000042 \h </w:instrText>
        </w:r>
        <w:r>
          <w:fldChar w:fldCharType="separate"/>
        </w:r>
        <w:r>
          <w:t>100</w:t>
        </w:r>
        <w:r>
          <w:fldChar w:fldCharType="end"/>
        </w:r>
      </w:hyperlink>
    </w:p>
    <w:p w:rsidR="0035701C" w:rsidRDefault="00FB561B">
      <w:pPr>
        <w:pStyle w:val="TM3"/>
        <w:rPr>
          <w:rFonts w:ascii="Calibri" w:hAnsi="Calibri"/>
          <w:noProof/>
          <w:sz w:val="22"/>
        </w:rPr>
      </w:pPr>
      <w:hyperlink w:anchor="_Toc256000043" w:history="1">
        <w:r>
          <w:rPr>
            <w:rStyle w:val="Lienhypertexte"/>
          </w:rPr>
          <w:t>4.2.8. 08-Améliorer le revenu des agriculteurs par le développement de l'outil de production</w:t>
        </w:r>
        <w:r>
          <w:rPr>
            <w:rStyle w:val="Lienhypertexte"/>
          </w:rPr>
          <w:t xml:space="preserve"> et la diversification des activités</w:t>
        </w:r>
        <w:r>
          <w:tab/>
        </w:r>
        <w:r>
          <w:fldChar w:fldCharType="begin"/>
        </w:r>
        <w:r>
          <w:instrText xml:space="preserve"> PAGEREF _Toc256000043 \h </w:instrText>
        </w:r>
        <w:r>
          <w:fldChar w:fldCharType="separate"/>
        </w:r>
        <w:r>
          <w:t>100</w:t>
        </w:r>
        <w:r>
          <w:fldChar w:fldCharType="end"/>
        </w:r>
      </w:hyperlink>
    </w:p>
    <w:p w:rsidR="0035701C" w:rsidRDefault="00FB561B">
      <w:pPr>
        <w:pStyle w:val="TM3"/>
        <w:rPr>
          <w:rFonts w:ascii="Calibri" w:hAnsi="Calibri"/>
          <w:noProof/>
          <w:sz w:val="22"/>
        </w:rPr>
      </w:pPr>
      <w:hyperlink w:anchor="_Toc256000044" w:history="1">
        <w:r>
          <w:rPr>
            <w:rStyle w:val="Lienhypertexte"/>
          </w:rPr>
          <w:t>4.2.9. 09-Accroître et élargir la production et la transformation pour répondre à la dem</w:t>
        </w:r>
        <w:r>
          <w:rPr>
            <w:rStyle w:val="Lienhypertexte"/>
          </w:rPr>
          <w:t>ande et augmenter les parts du marché local</w:t>
        </w:r>
        <w:r>
          <w:tab/>
        </w:r>
        <w:r>
          <w:fldChar w:fldCharType="begin"/>
        </w:r>
        <w:r>
          <w:instrText xml:space="preserve"> PAGEREF _Toc256000044 \h </w:instrText>
        </w:r>
        <w:r>
          <w:fldChar w:fldCharType="separate"/>
        </w:r>
        <w:r>
          <w:t>101</w:t>
        </w:r>
        <w:r>
          <w:fldChar w:fldCharType="end"/>
        </w:r>
      </w:hyperlink>
    </w:p>
    <w:p w:rsidR="0035701C" w:rsidRDefault="00FB561B">
      <w:pPr>
        <w:pStyle w:val="TM3"/>
        <w:rPr>
          <w:rFonts w:ascii="Calibri" w:hAnsi="Calibri"/>
          <w:noProof/>
          <w:sz w:val="22"/>
        </w:rPr>
      </w:pPr>
      <w:hyperlink w:anchor="_Toc256000045" w:history="1">
        <w:r>
          <w:rPr>
            <w:rStyle w:val="Lienhypertexte"/>
          </w:rPr>
          <w:t>4.2.10. 10-Moderniser les infrastructures des exploitations</w:t>
        </w:r>
        <w:r>
          <w:tab/>
        </w:r>
        <w:r>
          <w:fldChar w:fldCharType="begin"/>
        </w:r>
        <w:r>
          <w:instrText xml:space="preserve"> PAGEREF _Toc256000045</w:instrText>
        </w:r>
        <w:r>
          <w:instrText xml:space="preserve"> \h </w:instrText>
        </w:r>
        <w:r>
          <w:fldChar w:fldCharType="separate"/>
        </w:r>
        <w:r>
          <w:t>102</w:t>
        </w:r>
        <w:r>
          <w:fldChar w:fldCharType="end"/>
        </w:r>
      </w:hyperlink>
    </w:p>
    <w:p w:rsidR="0035701C" w:rsidRDefault="00FB561B">
      <w:pPr>
        <w:pStyle w:val="TM3"/>
        <w:rPr>
          <w:rFonts w:ascii="Calibri" w:hAnsi="Calibri"/>
          <w:noProof/>
          <w:sz w:val="22"/>
        </w:rPr>
      </w:pPr>
      <w:hyperlink w:anchor="_Toc256000046" w:history="1">
        <w:r>
          <w:rPr>
            <w:rStyle w:val="Lienhypertexte"/>
          </w:rPr>
          <w:t>4.2.11. 11-Accroître la capacité d'investissement en développant les outils d'ingénierie financière</w:t>
        </w:r>
        <w:r>
          <w:tab/>
        </w:r>
        <w:r>
          <w:fldChar w:fldCharType="begin"/>
        </w:r>
        <w:r>
          <w:instrText xml:space="preserve"> PAGEREF _Toc256000046 \h </w:instrText>
        </w:r>
        <w:r>
          <w:fldChar w:fldCharType="separate"/>
        </w:r>
        <w:r>
          <w:t>103</w:t>
        </w:r>
        <w:r>
          <w:fldChar w:fldCharType="end"/>
        </w:r>
      </w:hyperlink>
    </w:p>
    <w:p w:rsidR="0035701C" w:rsidRDefault="00FB561B">
      <w:pPr>
        <w:pStyle w:val="TM3"/>
        <w:rPr>
          <w:rFonts w:ascii="Calibri" w:hAnsi="Calibri"/>
          <w:noProof/>
          <w:sz w:val="22"/>
        </w:rPr>
      </w:pPr>
      <w:hyperlink w:anchor="_Toc256000047" w:history="1">
        <w:r>
          <w:rPr>
            <w:rStyle w:val="Lienhypertexte"/>
          </w:rPr>
          <w:t>4.2.12. 12-Favoriser une utilisation efficace de l’énergie et de la production d’énergie renouvelable</w:t>
        </w:r>
        <w:r>
          <w:tab/>
        </w:r>
        <w:r>
          <w:fldChar w:fldCharType="begin"/>
        </w:r>
        <w:r>
          <w:instrText xml:space="preserve"> PAGEREF _Toc256000047 \h </w:instrText>
        </w:r>
        <w:r>
          <w:fldChar w:fldCharType="separate"/>
        </w:r>
        <w:r>
          <w:t>103</w:t>
        </w:r>
        <w:r>
          <w:fldChar w:fldCharType="end"/>
        </w:r>
      </w:hyperlink>
    </w:p>
    <w:p w:rsidR="0035701C" w:rsidRDefault="00FB561B">
      <w:pPr>
        <w:pStyle w:val="TM3"/>
        <w:rPr>
          <w:rFonts w:ascii="Calibri" w:hAnsi="Calibri"/>
          <w:noProof/>
          <w:sz w:val="22"/>
        </w:rPr>
      </w:pPr>
      <w:hyperlink w:anchor="_Toc256000048" w:history="1">
        <w:r>
          <w:rPr>
            <w:rStyle w:val="Lienhypertexte"/>
          </w:rPr>
          <w:t>4.2.13. 13-Encourager la restructuration des unités d’élevage et favoriser la reconquête et la gestion des parcours pastoraux</w:t>
        </w:r>
        <w:r>
          <w:tab/>
        </w:r>
        <w:r>
          <w:fldChar w:fldCharType="begin"/>
        </w:r>
        <w:r>
          <w:instrText xml:space="preserve"> PAGEREF _Toc256000048 \h </w:instrText>
        </w:r>
        <w:r>
          <w:fldChar w:fldCharType="separate"/>
        </w:r>
        <w:r>
          <w:t>104</w:t>
        </w:r>
        <w:r>
          <w:fldChar w:fldCharType="end"/>
        </w:r>
      </w:hyperlink>
    </w:p>
    <w:p w:rsidR="0035701C" w:rsidRDefault="00FB561B">
      <w:pPr>
        <w:pStyle w:val="TM3"/>
        <w:rPr>
          <w:rFonts w:ascii="Calibri" w:hAnsi="Calibri"/>
          <w:noProof/>
          <w:sz w:val="22"/>
        </w:rPr>
      </w:pPr>
      <w:hyperlink w:anchor="_Toc256000049" w:history="1">
        <w:r>
          <w:rPr>
            <w:rStyle w:val="Lienhypertexte"/>
          </w:rPr>
          <w:t>4.2.14. 14-Pérenniser l'arboriculture et développer les cultures pérennes</w:t>
        </w:r>
        <w:r>
          <w:tab/>
        </w:r>
        <w:r>
          <w:fldChar w:fldCharType="begin"/>
        </w:r>
        <w:r>
          <w:instrText xml:space="preserve"> PAGEREF _Toc256000049 \h </w:instrText>
        </w:r>
        <w:r>
          <w:fldChar w:fldCharType="separate"/>
        </w:r>
        <w:r>
          <w:t>105</w:t>
        </w:r>
        <w:r>
          <w:fldChar w:fldCharType="end"/>
        </w:r>
      </w:hyperlink>
    </w:p>
    <w:p w:rsidR="0035701C" w:rsidRDefault="00FB561B">
      <w:pPr>
        <w:pStyle w:val="TM3"/>
        <w:rPr>
          <w:rFonts w:ascii="Calibri" w:hAnsi="Calibri"/>
          <w:noProof/>
          <w:sz w:val="22"/>
        </w:rPr>
      </w:pPr>
      <w:hyperlink w:anchor="_Toc256000050" w:history="1">
        <w:r>
          <w:rPr>
            <w:rStyle w:val="Lienhypertexte"/>
          </w:rPr>
          <w:t>4.2.15. 15-Compenser les handicaps naturels liés à la montagne, au climat et à l'insularité</w:t>
        </w:r>
        <w:r>
          <w:tab/>
        </w:r>
        <w:r>
          <w:fldChar w:fldCharType="begin"/>
        </w:r>
        <w:r>
          <w:instrText xml:space="preserve"> PAGEREF _Toc256000050 \h </w:instrText>
        </w:r>
        <w:r>
          <w:fldChar w:fldCharType="separate"/>
        </w:r>
        <w:r>
          <w:t>106</w:t>
        </w:r>
        <w:r>
          <w:fldChar w:fldCharType="end"/>
        </w:r>
      </w:hyperlink>
    </w:p>
    <w:p w:rsidR="0035701C" w:rsidRDefault="00FB561B">
      <w:pPr>
        <w:pStyle w:val="TM3"/>
        <w:rPr>
          <w:rFonts w:ascii="Calibri" w:hAnsi="Calibri"/>
          <w:noProof/>
          <w:sz w:val="22"/>
        </w:rPr>
      </w:pPr>
      <w:hyperlink w:anchor="_Toc256000051" w:history="1">
        <w:r>
          <w:rPr>
            <w:rStyle w:val="Lienhypertexte"/>
          </w:rPr>
          <w:t>4.2.16. 16-Accroître la contribution de l’agriculture à la valorisation du patrimoine naturel, au maintien de la biodiversité</w:t>
        </w:r>
        <w:r>
          <w:tab/>
        </w:r>
        <w:r>
          <w:fldChar w:fldCharType="begin"/>
        </w:r>
        <w:r>
          <w:instrText xml:space="preserve"> PAGEREF _Toc256000051 \h </w:instrText>
        </w:r>
        <w:r>
          <w:fldChar w:fldCharType="separate"/>
        </w:r>
        <w:r>
          <w:t>107</w:t>
        </w:r>
        <w:r>
          <w:fldChar w:fldCharType="end"/>
        </w:r>
      </w:hyperlink>
    </w:p>
    <w:p w:rsidR="0035701C" w:rsidRDefault="00FB561B">
      <w:pPr>
        <w:pStyle w:val="TM3"/>
        <w:rPr>
          <w:rFonts w:ascii="Calibri" w:hAnsi="Calibri"/>
          <w:noProof/>
          <w:sz w:val="22"/>
        </w:rPr>
      </w:pPr>
      <w:hyperlink w:anchor="_Toc256000052" w:history="1">
        <w:r>
          <w:rPr>
            <w:rStyle w:val="Lienhypertexte"/>
          </w:rPr>
          <w:t>4.2.17. 17-Gérer les risques</w:t>
        </w:r>
        <w:r>
          <w:tab/>
        </w:r>
        <w:r>
          <w:fldChar w:fldCharType="begin"/>
        </w:r>
        <w:r>
          <w:instrText xml:space="preserve"> PAGEREF _Toc256000052 \h </w:instrText>
        </w:r>
        <w:r>
          <w:fldChar w:fldCharType="separate"/>
        </w:r>
        <w:r>
          <w:t>108</w:t>
        </w:r>
        <w:r>
          <w:fldChar w:fldCharType="end"/>
        </w:r>
      </w:hyperlink>
    </w:p>
    <w:p w:rsidR="0035701C" w:rsidRDefault="00FB561B">
      <w:pPr>
        <w:pStyle w:val="TM3"/>
        <w:rPr>
          <w:rFonts w:ascii="Calibri" w:hAnsi="Calibri"/>
          <w:noProof/>
          <w:sz w:val="22"/>
        </w:rPr>
      </w:pPr>
      <w:hyperlink w:anchor="_Toc256000053" w:history="1">
        <w:r>
          <w:rPr>
            <w:rStyle w:val="Lienhypertexte"/>
          </w:rPr>
          <w:t>4.2.18. 18-Poursuivre et consoli</w:t>
        </w:r>
        <w:r>
          <w:rPr>
            <w:rStyle w:val="Lienhypertexte"/>
          </w:rPr>
          <w:t>der les actions de Recherche et Développement</w:t>
        </w:r>
        <w:r>
          <w:tab/>
        </w:r>
        <w:r>
          <w:fldChar w:fldCharType="begin"/>
        </w:r>
        <w:r>
          <w:instrText xml:space="preserve"> PAGEREF _Toc256000053 \h </w:instrText>
        </w:r>
        <w:r>
          <w:fldChar w:fldCharType="separate"/>
        </w:r>
        <w:r>
          <w:t>108</w:t>
        </w:r>
        <w:r>
          <w:fldChar w:fldCharType="end"/>
        </w:r>
      </w:hyperlink>
    </w:p>
    <w:p w:rsidR="0035701C" w:rsidRDefault="00FB561B">
      <w:pPr>
        <w:pStyle w:val="TM3"/>
        <w:rPr>
          <w:rFonts w:ascii="Calibri" w:hAnsi="Calibri"/>
          <w:noProof/>
          <w:sz w:val="22"/>
        </w:rPr>
      </w:pPr>
      <w:hyperlink w:anchor="_Toc256000054" w:history="1">
        <w:r>
          <w:rPr>
            <w:rStyle w:val="Lienhypertexte"/>
          </w:rPr>
          <w:t>4.2.19. 19-Soutenir les démarches de qualité, valoriser les liens produits/Terro</w:t>
        </w:r>
        <w:r>
          <w:rPr>
            <w:rStyle w:val="Lienhypertexte"/>
          </w:rPr>
          <w:t>irs  et développer la qualité environnementale</w:t>
        </w:r>
        <w:r>
          <w:tab/>
        </w:r>
        <w:r>
          <w:fldChar w:fldCharType="begin"/>
        </w:r>
        <w:r>
          <w:instrText xml:space="preserve"> PAGEREF _Toc256000054 \h </w:instrText>
        </w:r>
        <w:r>
          <w:fldChar w:fldCharType="separate"/>
        </w:r>
        <w:r>
          <w:t>109</w:t>
        </w:r>
        <w:r>
          <w:fldChar w:fldCharType="end"/>
        </w:r>
      </w:hyperlink>
    </w:p>
    <w:p w:rsidR="0035701C" w:rsidRDefault="00FB561B">
      <w:pPr>
        <w:pStyle w:val="TM3"/>
        <w:rPr>
          <w:rFonts w:ascii="Calibri" w:hAnsi="Calibri"/>
          <w:noProof/>
          <w:sz w:val="22"/>
        </w:rPr>
      </w:pPr>
      <w:hyperlink w:anchor="_Toc256000055" w:history="1">
        <w:r>
          <w:rPr>
            <w:rStyle w:val="Lienhypertexte"/>
          </w:rPr>
          <w:t xml:space="preserve">4.2.20. 20-Renforcer la promotion et la commercialisation des produits sur le </w:t>
        </w:r>
        <w:r>
          <w:rPr>
            <w:rStyle w:val="Lienhypertexte"/>
          </w:rPr>
          <w:t>marché local, national et international</w:t>
        </w:r>
        <w:r>
          <w:tab/>
        </w:r>
        <w:r>
          <w:fldChar w:fldCharType="begin"/>
        </w:r>
        <w:r>
          <w:instrText xml:space="preserve"> PAGEREF _Toc256000055 \h </w:instrText>
        </w:r>
        <w:r>
          <w:fldChar w:fldCharType="separate"/>
        </w:r>
        <w:r>
          <w:t>110</w:t>
        </w:r>
        <w:r>
          <w:fldChar w:fldCharType="end"/>
        </w:r>
      </w:hyperlink>
    </w:p>
    <w:p w:rsidR="0035701C" w:rsidRDefault="00FB561B">
      <w:pPr>
        <w:pStyle w:val="TM3"/>
        <w:rPr>
          <w:rFonts w:ascii="Calibri" w:hAnsi="Calibri"/>
          <w:noProof/>
          <w:sz w:val="22"/>
        </w:rPr>
      </w:pPr>
      <w:hyperlink w:anchor="_Toc256000056" w:history="1">
        <w:r>
          <w:rPr>
            <w:rStyle w:val="Lienhypertexte"/>
          </w:rPr>
          <w:t>4.2.21. 21-Promouvoir les actions collectives et l’organisation économique des product</w:t>
        </w:r>
        <w:r>
          <w:rPr>
            <w:rStyle w:val="Lienhypertexte"/>
          </w:rPr>
          <w:t>eurs (agriculteurs, sylviculteurs</w:t>
        </w:r>
        <w:r>
          <w:tab/>
        </w:r>
        <w:r>
          <w:fldChar w:fldCharType="begin"/>
        </w:r>
        <w:r>
          <w:instrText xml:space="preserve"> PAGEREF _Toc256000056 \h </w:instrText>
        </w:r>
        <w:r>
          <w:fldChar w:fldCharType="separate"/>
        </w:r>
        <w:r>
          <w:t>111</w:t>
        </w:r>
        <w:r>
          <w:fldChar w:fldCharType="end"/>
        </w:r>
      </w:hyperlink>
    </w:p>
    <w:p w:rsidR="0035701C" w:rsidRDefault="00FB561B">
      <w:pPr>
        <w:pStyle w:val="TM3"/>
        <w:rPr>
          <w:rFonts w:ascii="Calibri" w:hAnsi="Calibri"/>
          <w:noProof/>
          <w:sz w:val="22"/>
        </w:rPr>
      </w:pPr>
      <w:hyperlink w:anchor="_Toc256000057" w:history="1">
        <w:r>
          <w:rPr>
            <w:rStyle w:val="Lienhypertexte"/>
          </w:rPr>
          <w:t xml:space="preserve">4.2.22. 22-Favoriser la diversification des productions par l'innovation technologique et </w:t>
        </w:r>
        <w:r>
          <w:rPr>
            <w:rStyle w:val="Lienhypertexte"/>
          </w:rPr>
          <w:t>l'émergence de nouveaux produits</w:t>
        </w:r>
        <w:r>
          <w:tab/>
        </w:r>
        <w:r>
          <w:fldChar w:fldCharType="begin"/>
        </w:r>
        <w:r>
          <w:instrText xml:space="preserve"> PAGEREF _Toc256000057 \h </w:instrText>
        </w:r>
        <w:r>
          <w:fldChar w:fldCharType="separate"/>
        </w:r>
        <w:r>
          <w:t>112</w:t>
        </w:r>
        <w:r>
          <w:fldChar w:fldCharType="end"/>
        </w:r>
      </w:hyperlink>
    </w:p>
    <w:p w:rsidR="0035701C" w:rsidRDefault="00FB561B">
      <w:pPr>
        <w:pStyle w:val="TM3"/>
        <w:rPr>
          <w:rFonts w:ascii="Calibri" w:hAnsi="Calibri"/>
          <w:noProof/>
          <w:sz w:val="22"/>
        </w:rPr>
      </w:pPr>
      <w:hyperlink w:anchor="_Toc256000058" w:history="1">
        <w:r>
          <w:rPr>
            <w:rStyle w:val="Lienhypertexte"/>
          </w:rPr>
          <w:t>4.2.23. 23-Favoriser le regroupement foncier et économique des propriétaires forestiers</w:t>
        </w:r>
        <w:r>
          <w:tab/>
        </w:r>
        <w:r>
          <w:fldChar w:fldCharType="begin"/>
        </w:r>
        <w:r>
          <w:instrText xml:space="preserve"> PAG</w:instrText>
        </w:r>
        <w:r>
          <w:instrText xml:space="preserve">EREF _Toc256000058 \h </w:instrText>
        </w:r>
        <w:r>
          <w:fldChar w:fldCharType="separate"/>
        </w:r>
        <w:r>
          <w:t>113</w:t>
        </w:r>
        <w:r>
          <w:fldChar w:fldCharType="end"/>
        </w:r>
      </w:hyperlink>
    </w:p>
    <w:p w:rsidR="0035701C" w:rsidRDefault="00FB561B">
      <w:pPr>
        <w:pStyle w:val="TM3"/>
        <w:rPr>
          <w:rFonts w:ascii="Calibri" w:hAnsi="Calibri"/>
          <w:noProof/>
          <w:sz w:val="22"/>
        </w:rPr>
      </w:pPr>
      <w:hyperlink w:anchor="_Toc256000059" w:history="1">
        <w:r>
          <w:rPr>
            <w:rStyle w:val="Lienhypertexte"/>
          </w:rPr>
          <w:t>4.2.24. 24-Développer la polyvalence dans l’usage des sols  et notamment les pratiques sylvo-pastorales</w:t>
        </w:r>
        <w:r>
          <w:tab/>
        </w:r>
        <w:r>
          <w:fldChar w:fldCharType="begin"/>
        </w:r>
        <w:r>
          <w:instrText xml:space="preserve"> PAGEREF _Toc256000059 \h </w:instrText>
        </w:r>
        <w:r>
          <w:fldChar w:fldCharType="separate"/>
        </w:r>
        <w:r>
          <w:t>113</w:t>
        </w:r>
        <w:r>
          <w:fldChar w:fldCharType="end"/>
        </w:r>
      </w:hyperlink>
    </w:p>
    <w:p w:rsidR="0035701C" w:rsidRDefault="00FB561B">
      <w:pPr>
        <w:pStyle w:val="TM3"/>
        <w:rPr>
          <w:rFonts w:ascii="Calibri" w:hAnsi="Calibri"/>
          <w:noProof/>
          <w:sz w:val="22"/>
        </w:rPr>
      </w:pPr>
      <w:hyperlink w:anchor="_Toc256000060" w:history="1">
        <w:r>
          <w:rPr>
            <w:rStyle w:val="Lienhypertexte"/>
          </w:rPr>
          <w:t>4.2.25. 25-Développer la sylviculture en lien avec le stockage du carbone et la biodiversité, améliorer l’exploitation forestière</w:t>
        </w:r>
        <w:r>
          <w:tab/>
        </w:r>
        <w:r>
          <w:fldChar w:fldCharType="begin"/>
        </w:r>
        <w:r>
          <w:instrText xml:space="preserve"> PAGEREF _Toc256000060</w:instrText>
        </w:r>
        <w:r>
          <w:instrText xml:space="preserve"> \h </w:instrText>
        </w:r>
        <w:r>
          <w:fldChar w:fldCharType="separate"/>
        </w:r>
        <w:r>
          <w:t>114</w:t>
        </w:r>
        <w:r>
          <w:fldChar w:fldCharType="end"/>
        </w:r>
      </w:hyperlink>
    </w:p>
    <w:p w:rsidR="0035701C" w:rsidRDefault="00FB561B">
      <w:pPr>
        <w:pStyle w:val="TM3"/>
        <w:rPr>
          <w:rFonts w:ascii="Calibri" w:hAnsi="Calibri"/>
          <w:noProof/>
          <w:sz w:val="22"/>
        </w:rPr>
      </w:pPr>
      <w:hyperlink w:anchor="_Toc256000061" w:history="1">
        <w:r>
          <w:rPr>
            <w:rStyle w:val="Lienhypertexte"/>
          </w:rPr>
          <w:t>4.2.26. 26-Accroître la compétitivité et les usages des produits de la forêt</w:t>
        </w:r>
        <w:r>
          <w:tab/>
        </w:r>
        <w:r>
          <w:fldChar w:fldCharType="begin"/>
        </w:r>
        <w:r>
          <w:instrText xml:space="preserve"> PAGEREF _Toc256000061 \h </w:instrText>
        </w:r>
        <w:r>
          <w:fldChar w:fldCharType="separate"/>
        </w:r>
        <w:r>
          <w:t>115</w:t>
        </w:r>
        <w:r>
          <w:fldChar w:fldCharType="end"/>
        </w:r>
      </w:hyperlink>
    </w:p>
    <w:p w:rsidR="0035701C" w:rsidRDefault="00FB561B">
      <w:pPr>
        <w:pStyle w:val="TM3"/>
        <w:rPr>
          <w:rFonts w:ascii="Calibri" w:hAnsi="Calibri"/>
          <w:noProof/>
          <w:sz w:val="22"/>
        </w:rPr>
      </w:pPr>
      <w:hyperlink w:anchor="_Toc256000062" w:history="1">
        <w:r>
          <w:rPr>
            <w:rStyle w:val="Lienhypertexte"/>
          </w:rPr>
          <w:t>4.2.27. 27-Susciter, accompagner l'émergence de dynamique territoriale de projet</w:t>
        </w:r>
        <w:r>
          <w:tab/>
        </w:r>
        <w:r>
          <w:fldChar w:fldCharType="begin"/>
        </w:r>
        <w:r>
          <w:instrText xml:space="preserve"> PAGEREF _Toc256000062 \h </w:instrText>
        </w:r>
        <w:r>
          <w:fldChar w:fldCharType="separate"/>
        </w:r>
        <w:r>
          <w:t>116</w:t>
        </w:r>
        <w:r>
          <w:fldChar w:fldCharType="end"/>
        </w:r>
      </w:hyperlink>
    </w:p>
    <w:p w:rsidR="0035701C" w:rsidRDefault="00FB561B">
      <w:pPr>
        <w:pStyle w:val="TM3"/>
        <w:rPr>
          <w:rFonts w:ascii="Calibri" w:hAnsi="Calibri"/>
          <w:noProof/>
          <w:sz w:val="22"/>
        </w:rPr>
      </w:pPr>
      <w:hyperlink w:anchor="_Toc256000063" w:history="1">
        <w:r>
          <w:rPr>
            <w:rStyle w:val="Lienhypertexte"/>
          </w:rPr>
          <w:t>4.2.28. 28-Accompagner l'animation territoriale et l'ingénierie, notamment sur le foncier</w:t>
        </w:r>
        <w:r>
          <w:tab/>
        </w:r>
        <w:r>
          <w:fldChar w:fldCharType="begin"/>
        </w:r>
        <w:r>
          <w:instrText xml:space="preserve"> PAGEREF _Toc256000063 \h </w:instrText>
        </w:r>
        <w:r>
          <w:fldChar w:fldCharType="separate"/>
        </w:r>
        <w:r>
          <w:t>116</w:t>
        </w:r>
        <w:r>
          <w:fldChar w:fldCharType="end"/>
        </w:r>
      </w:hyperlink>
    </w:p>
    <w:p w:rsidR="0035701C" w:rsidRDefault="00FB561B">
      <w:pPr>
        <w:pStyle w:val="TM3"/>
        <w:rPr>
          <w:rFonts w:ascii="Calibri" w:hAnsi="Calibri"/>
          <w:noProof/>
          <w:sz w:val="22"/>
        </w:rPr>
      </w:pPr>
      <w:hyperlink w:anchor="_Toc256000064" w:history="1">
        <w:r>
          <w:rPr>
            <w:rStyle w:val="Lienhypertexte"/>
          </w:rPr>
          <w:t>4.2.29. 29-Favoriser</w:t>
        </w:r>
        <w:r>
          <w:rPr>
            <w:rStyle w:val="Lienhypertexte"/>
          </w:rPr>
          <w:t xml:space="preserve"> la coopération, l'innovation organisationnelle et la constitution de réseaux</w:t>
        </w:r>
        <w:r>
          <w:tab/>
        </w:r>
        <w:r>
          <w:fldChar w:fldCharType="begin"/>
        </w:r>
        <w:r>
          <w:instrText xml:space="preserve"> PAGEREF _Toc256000064 \h </w:instrText>
        </w:r>
        <w:r>
          <w:fldChar w:fldCharType="separate"/>
        </w:r>
        <w:r>
          <w:t>117</w:t>
        </w:r>
        <w:r>
          <w:fldChar w:fldCharType="end"/>
        </w:r>
      </w:hyperlink>
    </w:p>
    <w:p w:rsidR="0035701C" w:rsidRDefault="00FB561B">
      <w:pPr>
        <w:pStyle w:val="TM3"/>
        <w:rPr>
          <w:rFonts w:ascii="Calibri" w:hAnsi="Calibri"/>
          <w:noProof/>
          <w:sz w:val="22"/>
        </w:rPr>
      </w:pPr>
      <w:hyperlink w:anchor="_Toc256000065" w:history="1">
        <w:r>
          <w:rPr>
            <w:rStyle w:val="Lienhypertexte"/>
          </w:rPr>
          <w:t xml:space="preserve">4.2.30. 30-Favoriser les approches du </w:t>
        </w:r>
        <w:r>
          <w:rPr>
            <w:rStyle w:val="Lienhypertexte"/>
          </w:rPr>
          <w:t>développement endogène visant à la valorisation des ressources</w:t>
        </w:r>
        <w:r>
          <w:tab/>
        </w:r>
        <w:r>
          <w:fldChar w:fldCharType="begin"/>
        </w:r>
        <w:r>
          <w:instrText xml:space="preserve"> PAGEREF _Toc256000065 \h </w:instrText>
        </w:r>
        <w:r>
          <w:fldChar w:fldCharType="separate"/>
        </w:r>
        <w:r>
          <w:t>117</w:t>
        </w:r>
        <w:r>
          <w:fldChar w:fldCharType="end"/>
        </w:r>
      </w:hyperlink>
    </w:p>
    <w:p w:rsidR="0035701C" w:rsidRDefault="00FB561B">
      <w:pPr>
        <w:pStyle w:val="TM3"/>
        <w:rPr>
          <w:rFonts w:ascii="Calibri" w:hAnsi="Calibri"/>
          <w:noProof/>
          <w:sz w:val="22"/>
        </w:rPr>
      </w:pPr>
      <w:hyperlink w:anchor="_Toc256000066" w:history="1">
        <w:r>
          <w:rPr>
            <w:rStyle w:val="Lienhypertexte"/>
          </w:rPr>
          <w:t>4.2.31. 31-Développer la mise en place des services essentiels</w:t>
        </w:r>
        <w:r>
          <w:rPr>
            <w:rStyle w:val="Lienhypertexte"/>
          </w:rPr>
          <w:t xml:space="preserve"> et l'accueil en milieu rural</w:t>
        </w:r>
        <w:r>
          <w:tab/>
        </w:r>
        <w:r>
          <w:fldChar w:fldCharType="begin"/>
        </w:r>
        <w:r>
          <w:instrText xml:space="preserve"> PAGEREF _Toc256000066 \h </w:instrText>
        </w:r>
        <w:r>
          <w:fldChar w:fldCharType="separate"/>
        </w:r>
        <w:r>
          <w:t>118</w:t>
        </w:r>
        <w:r>
          <w:fldChar w:fldCharType="end"/>
        </w:r>
      </w:hyperlink>
    </w:p>
    <w:p w:rsidR="0035701C" w:rsidRDefault="00FB561B">
      <w:pPr>
        <w:pStyle w:val="TM3"/>
        <w:rPr>
          <w:rFonts w:ascii="Calibri" w:hAnsi="Calibri"/>
          <w:noProof/>
          <w:sz w:val="22"/>
        </w:rPr>
      </w:pPr>
      <w:hyperlink w:anchor="_Toc256000067" w:history="1">
        <w:r>
          <w:rPr>
            <w:rStyle w:val="Lienhypertexte"/>
          </w:rPr>
          <w:t>4.2.32. 32-Préserver le bon état de l'environnement, assurer le renouvellement des ressources na</w:t>
        </w:r>
        <w:r>
          <w:rPr>
            <w:rStyle w:val="Lienhypertexte"/>
          </w:rPr>
          <w:t>turelles et prévenir le risque incendie</w:t>
        </w:r>
        <w:r>
          <w:tab/>
        </w:r>
        <w:r>
          <w:fldChar w:fldCharType="begin"/>
        </w:r>
        <w:r>
          <w:instrText xml:space="preserve"> PAGEREF _Toc256000067 \h </w:instrText>
        </w:r>
        <w:r>
          <w:fldChar w:fldCharType="separate"/>
        </w:r>
        <w:r>
          <w:t>119</w:t>
        </w:r>
        <w:r>
          <w:fldChar w:fldCharType="end"/>
        </w:r>
      </w:hyperlink>
    </w:p>
    <w:p w:rsidR="0035701C" w:rsidRDefault="00FB561B">
      <w:pPr>
        <w:pStyle w:val="TM3"/>
        <w:rPr>
          <w:rFonts w:ascii="Calibri" w:hAnsi="Calibri"/>
          <w:noProof/>
          <w:sz w:val="22"/>
        </w:rPr>
      </w:pPr>
      <w:hyperlink w:anchor="_Toc256000068" w:history="1">
        <w:r>
          <w:rPr>
            <w:rStyle w:val="Lienhypertexte"/>
          </w:rPr>
          <w:t>4.2.33. 33-Maintenir une occupation du territoire et favoriser le lien social</w:t>
        </w:r>
        <w:r>
          <w:tab/>
        </w:r>
        <w:r>
          <w:fldChar w:fldCharType="begin"/>
        </w:r>
        <w:r>
          <w:instrText xml:space="preserve"> PAGEREF</w:instrText>
        </w:r>
        <w:r>
          <w:instrText xml:space="preserve"> _Toc256000068 \h </w:instrText>
        </w:r>
        <w:r>
          <w:fldChar w:fldCharType="separate"/>
        </w:r>
        <w:r>
          <w:t>120</w:t>
        </w:r>
        <w:r>
          <w:fldChar w:fldCharType="end"/>
        </w:r>
      </w:hyperlink>
    </w:p>
    <w:p w:rsidR="0035701C" w:rsidRDefault="00FB561B">
      <w:pPr>
        <w:pStyle w:val="TM3"/>
        <w:rPr>
          <w:rFonts w:ascii="Calibri" w:hAnsi="Calibri"/>
          <w:noProof/>
          <w:sz w:val="22"/>
        </w:rPr>
      </w:pPr>
      <w:hyperlink w:anchor="_Toc256000069" w:history="1">
        <w:r>
          <w:rPr>
            <w:rStyle w:val="Lienhypertexte"/>
          </w:rPr>
          <w:t>4.2.34. 34-Favoriser un équilibre entre le tourisme et les autres secteurs  économiques</w:t>
        </w:r>
        <w:r>
          <w:tab/>
        </w:r>
        <w:r>
          <w:fldChar w:fldCharType="begin"/>
        </w:r>
        <w:r>
          <w:instrText xml:space="preserve"> PAGEREF _Toc256000069 \h </w:instrText>
        </w:r>
        <w:r>
          <w:fldChar w:fldCharType="separate"/>
        </w:r>
        <w:r>
          <w:t>121</w:t>
        </w:r>
        <w:r>
          <w:fldChar w:fldCharType="end"/>
        </w:r>
      </w:hyperlink>
    </w:p>
    <w:p w:rsidR="0035701C" w:rsidRDefault="00FB561B">
      <w:pPr>
        <w:pStyle w:val="TM1"/>
        <w:rPr>
          <w:rFonts w:ascii="Calibri" w:hAnsi="Calibri"/>
          <w:noProof/>
          <w:sz w:val="22"/>
        </w:rPr>
      </w:pPr>
      <w:hyperlink w:anchor="_Toc256000070" w:history="1">
        <w:r>
          <w:rPr>
            <w:rStyle w:val="Lienhypertexte"/>
          </w:rPr>
          <w:t>5. Description de la stratégie</w:t>
        </w:r>
        <w:r>
          <w:tab/>
        </w:r>
        <w:r>
          <w:fldChar w:fldCharType="begin"/>
        </w:r>
        <w:r>
          <w:instrText xml:space="preserve"> PAGEREF _Toc256000070 \h </w:instrText>
        </w:r>
        <w:r>
          <w:fldChar w:fldCharType="separate"/>
        </w:r>
        <w:r>
          <w:t>122</w:t>
        </w:r>
        <w:r>
          <w:fldChar w:fldCharType="end"/>
        </w:r>
      </w:hyperlink>
    </w:p>
    <w:p w:rsidR="0035701C" w:rsidRDefault="00FB561B">
      <w:pPr>
        <w:pStyle w:val="TM2"/>
        <w:rPr>
          <w:rFonts w:ascii="Calibri" w:hAnsi="Calibri"/>
          <w:noProof/>
          <w:sz w:val="22"/>
        </w:rPr>
      </w:pPr>
      <w:hyperlink w:anchor="_Toc256000071" w:history="1">
        <w:r>
          <w:rPr>
            <w:rStyle w:val="Lienhypertexte"/>
          </w:rPr>
          <w:t>5.1. Justi</w:t>
        </w:r>
        <w:r>
          <w:rPr>
            <w:rStyle w:val="Lienhypertexte"/>
          </w:rPr>
          <w:t>fication des besoins retenus auxquels le PDR doit répondre et du choix des objectifs, des priorités, des domaines prioritaires et de la fixation des cibles sur la base d'éléments probants issus de l’analyse SWOT et de l'évaluation des besoins. Le cas échéa</w:t>
        </w:r>
        <w:r>
          <w:rPr>
            <w:rStyle w:val="Lienhypertexte"/>
          </w:rPr>
          <w:t>nt, inclusion, dans le programme, d'une justification des sous-programmes thématiques. Cette justification démontrera notamment le respect des exigences visées à l'article 8, paragraphe 1, point c), i) et iv), du règlement (UE) n° 1305/2013</w:t>
        </w:r>
        <w:r>
          <w:tab/>
        </w:r>
        <w:r>
          <w:fldChar w:fldCharType="begin"/>
        </w:r>
        <w:r>
          <w:instrText xml:space="preserve"> PAGEREF _Toc25</w:instrText>
        </w:r>
        <w:r>
          <w:instrText xml:space="preserve">6000071 \h </w:instrText>
        </w:r>
        <w:r>
          <w:fldChar w:fldCharType="separate"/>
        </w:r>
        <w:r>
          <w:t>122</w:t>
        </w:r>
        <w:r>
          <w:fldChar w:fldCharType="end"/>
        </w:r>
      </w:hyperlink>
    </w:p>
    <w:p w:rsidR="0035701C" w:rsidRDefault="00FB561B">
      <w:pPr>
        <w:pStyle w:val="TM2"/>
        <w:rPr>
          <w:rFonts w:ascii="Calibri" w:hAnsi="Calibri"/>
          <w:noProof/>
          <w:sz w:val="22"/>
        </w:rPr>
      </w:pPr>
      <w:hyperlink w:anchor="_Toc256000072" w:history="1">
        <w:r>
          <w:rPr>
            <w:rStyle w:val="Lienhypertexte"/>
          </w:rPr>
          <w:t>5.2. Combinaison et justification des mesures de développement rural pour chaque domaine prioritaire, y compris la justification des dotatio</w:t>
        </w:r>
        <w:r>
          <w:rPr>
            <w:rStyle w:val="Lienhypertexte"/>
          </w:rPr>
          <w:t>ns financières en faveur des mesures et de l'adéquation des ressources financières par rapport aux objectifs définis par l'article 8, paragraphe 1, points c) ii) et c) iii), du règlement (UE) n° 1305/2013. La combinaison de mesures inscrites dans la logiqu</w:t>
        </w:r>
        <w:r>
          <w:rPr>
            <w:rStyle w:val="Lienhypertexte"/>
          </w:rPr>
          <w:t>e d'intervention est fondée sur les éléments de preuve issus de l'analyse SWOT ainsi que la justification et la hiérarchisation des besoins figurant au point 5.1.</w:t>
        </w:r>
        <w:r>
          <w:tab/>
        </w:r>
        <w:r>
          <w:fldChar w:fldCharType="begin"/>
        </w:r>
        <w:r>
          <w:instrText xml:space="preserve"> PAGEREF _Toc256000072 \h </w:instrText>
        </w:r>
        <w:r>
          <w:fldChar w:fldCharType="separate"/>
        </w:r>
        <w:r>
          <w:t>129</w:t>
        </w:r>
        <w:r>
          <w:fldChar w:fldCharType="end"/>
        </w:r>
      </w:hyperlink>
    </w:p>
    <w:p w:rsidR="0035701C" w:rsidRDefault="00FB561B">
      <w:pPr>
        <w:pStyle w:val="TM3"/>
        <w:rPr>
          <w:rFonts w:ascii="Calibri" w:hAnsi="Calibri"/>
          <w:noProof/>
          <w:sz w:val="22"/>
        </w:rPr>
      </w:pPr>
      <w:hyperlink w:anchor="_Toc256000073" w:history="1">
        <w:r>
          <w:rPr>
            <w:rStyle w:val="Lienhypertexte"/>
          </w:rPr>
          <w:t>5.2.1. P1: favoriser le transfert de connaissances et l'innovation dans les secteurs de l'agriculture et de la foresterie, ainsi que dans les zones rurales</w:t>
        </w:r>
        <w:r>
          <w:tab/>
        </w:r>
        <w:r>
          <w:fldChar w:fldCharType="begin"/>
        </w:r>
        <w:r>
          <w:instrText xml:space="preserve"> PAGEREF _Toc256000073 \h </w:instrText>
        </w:r>
        <w:r>
          <w:fldChar w:fldCharType="separate"/>
        </w:r>
        <w:r>
          <w:t>129</w:t>
        </w:r>
        <w:r>
          <w:fldChar w:fldCharType="end"/>
        </w:r>
      </w:hyperlink>
    </w:p>
    <w:p w:rsidR="0035701C" w:rsidRDefault="00FB561B">
      <w:pPr>
        <w:pStyle w:val="TM3"/>
        <w:rPr>
          <w:rFonts w:ascii="Calibri" w:hAnsi="Calibri"/>
          <w:noProof/>
          <w:sz w:val="22"/>
        </w:rPr>
      </w:pPr>
      <w:hyperlink w:anchor="_Toc256000074" w:history="1">
        <w:r>
          <w:rPr>
            <w:rStyle w:val="Lienhypertexte"/>
          </w:rPr>
          <w:t>5.2.2. P2: amélioration de la viabilité des exploitations agricoles et la compétitivité de tous les types d'agriculture dans toutes les régions et promotion d</w:t>
        </w:r>
        <w:r>
          <w:rPr>
            <w:rStyle w:val="Lienhypertexte"/>
          </w:rPr>
          <w:t>es technologies agricoles innovantes et de la gestion durable des forêts</w:t>
        </w:r>
        <w:r>
          <w:tab/>
        </w:r>
        <w:r>
          <w:fldChar w:fldCharType="begin"/>
        </w:r>
        <w:r>
          <w:instrText xml:space="preserve"> PAGEREF _Toc256000074 \h </w:instrText>
        </w:r>
        <w:r>
          <w:fldChar w:fldCharType="separate"/>
        </w:r>
        <w:r>
          <w:t>131</w:t>
        </w:r>
        <w:r>
          <w:fldChar w:fldCharType="end"/>
        </w:r>
      </w:hyperlink>
    </w:p>
    <w:p w:rsidR="0035701C" w:rsidRDefault="00FB561B">
      <w:pPr>
        <w:pStyle w:val="TM3"/>
        <w:rPr>
          <w:rFonts w:ascii="Calibri" w:hAnsi="Calibri"/>
          <w:noProof/>
          <w:sz w:val="22"/>
        </w:rPr>
      </w:pPr>
      <w:hyperlink w:anchor="_Toc256000075" w:history="1">
        <w:r>
          <w:rPr>
            <w:rStyle w:val="Lienhypertexte"/>
          </w:rPr>
          <w:t>5.2.3. P3: promouvoir l'organisation de la chaîne al</w:t>
        </w:r>
        <w:r>
          <w:rPr>
            <w:rStyle w:val="Lienhypertexte"/>
          </w:rPr>
          <w:t>imentaire, y compris la transformation et la commercialisation des produits agricoles, le bien-être animal ainsi que la gestion des risques dans le secteur de l'agriculture</w:t>
        </w:r>
        <w:r>
          <w:tab/>
        </w:r>
        <w:r>
          <w:fldChar w:fldCharType="begin"/>
        </w:r>
        <w:r>
          <w:instrText xml:space="preserve"> PAGEREF _Toc256000075 \h </w:instrText>
        </w:r>
        <w:r>
          <w:fldChar w:fldCharType="separate"/>
        </w:r>
        <w:r>
          <w:t>133</w:t>
        </w:r>
        <w:r>
          <w:fldChar w:fldCharType="end"/>
        </w:r>
      </w:hyperlink>
    </w:p>
    <w:p w:rsidR="0035701C" w:rsidRDefault="00FB561B">
      <w:pPr>
        <w:pStyle w:val="TM3"/>
        <w:rPr>
          <w:rFonts w:ascii="Calibri" w:hAnsi="Calibri"/>
          <w:noProof/>
          <w:sz w:val="22"/>
        </w:rPr>
      </w:pPr>
      <w:hyperlink w:anchor="_Toc256000076" w:history="1">
        <w:r>
          <w:rPr>
            <w:rStyle w:val="Lienhypertexte"/>
          </w:rPr>
          <w:t>5.2.4. P4: restaurer, préserver et renforcer les écosystèmes liés à l'agriculture et à la foresterie</w:t>
        </w:r>
        <w:r>
          <w:tab/>
        </w:r>
        <w:r>
          <w:fldChar w:fldCharType="begin"/>
        </w:r>
        <w:r>
          <w:instrText xml:space="preserve"> PAGEREF _Toc256000076 \h </w:instrText>
        </w:r>
        <w:r>
          <w:fldChar w:fldCharType="separate"/>
        </w:r>
        <w:r>
          <w:t>135</w:t>
        </w:r>
        <w:r>
          <w:fldChar w:fldCharType="end"/>
        </w:r>
      </w:hyperlink>
    </w:p>
    <w:p w:rsidR="0035701C" w:rsidRDefault="00FB561B">
      <w:pPr>
        <w:pStyle w:val="TM3"/>
        <w:rPr>
          <w:rFonts w:ascii="Calibri" w:hAnsi="Calibri"/>
          <w:noProof/>
          <w:sz w:val="22"/>
        </w:rPr>
      </w:pPr>
      <w:hyperlink w:anchor="_Toc256000077" w:history="1">
        <w:r>
          <w:rPr>
            <w:rStyle w:val="Lienhypertexte"/>
          </w:rPr>
          <w:t>5.2.5. P5: promouvoir l’utilisation efficace des ressources et soutenir la transition vers une économie à faibles émissions de CO2 et résiliente aux changements climatiques, dans les secteurs agricole et alimentaire ainsi que dans l</w:t>
        </w:r>
        <w:r>
          <w:rPr>
            <w:rStyle w:val="Lienhypertexte"/>
          </w:rPr>
          <w:t>e secteur de la foresterie</w:t>
        </w:r>
        <w:r>
          <w:tab/>
        </w:r>
        <w:r>
          <w:fldChar w:fldCharType="begin"/>
        </w:r>
        <w:r>
          <w:instrText xml:space="preserve"> PAGEREF _Toc256000077 \h </w:instrText>
        </w:r>
        <w:r>
          <w:fldChar w:fldCharType="separate"/>
        </w:r>
        <w:r>
          <w:t>139</w:t>
        </w:r>
        <w:r>
          <w:fldChar w:fldCharType="end"/>
        </w:r>
      </w:hyperlink>
    </w:p>
    <w:p w:rsidR="0035701C" w:rsidRDefault="00FB561B">
      <w:pPr>
        <w:pStyle w:val="TM3"/>
        <w:rPr>
          <w:rFonts w:ascii="Calibri" w:hAnsi="Calibri"/>
          <w:noProof/>
          <w:sz w:val="22"/>
        </w:rPr>
      </w:pPr>
      <w:hyperlink w:anchor="_Toc256000078" w:history="1">
        <w:r>
          <w:rPr>
            <w:rStyle w:val="Lienhypertexte"/>
          </w:rPr>
          <w:t xml:space="preserve">5.2.6. P6: promouvoir l'inclusion sociale, la réduction de la pauvreté et le développement </w:t>
        </w:r>
        <w:r>
          <w:rPr>
            <w:rStyle w:val="Lienhypertexte"/>
          </w:rPr>
          <w:t>économique dans les zones rurales</w:t>
        </w:r>
        <w:r>
          <w:tab/>
        </w:r>
        <w:r>
          <w:fldChar w:fldCharType="begin"/>
        </w:r>
        <w:r>
          <w:instrText xml:space="preserve"> PAGEREF _Toc256000078 \h </w:instrText>
        </w:r>
        <w:r>
          <w:fldChar w:fldCharType="separate"/>
        </w:r>
        <w:r>
          <w:t>143</w:t>
        </w:r>
        <w:r>
          <w:fldChar w:fldCharType="end"/>
        </w:r>
      </w:hyperlink>
    </w:p>
    <w:p w:rsidR="0035701C" w:rsidRDefault="00FB561B">
      <w:pPr>
        <w:pStyle w:val="TM2"/>
        <w:rPr>
          <w:rFonts w:ascii="Calibri" w:hAnsi="Calibri"/>
          <w:noProof/>
          <w:sz w:val="22"/>
        </w:rPr>
      </w:pPr>
      <w:hyperlink w:anchor="_Toc256000079" w:history="1">
        <w:r>
          <w:rPr>
            <w:rStyle w:val="Lienhypertexte"/>
          </w:rPr>
          <w:t>5.3. Description de la manière dont les objectifs transversaux seront traités, y compris les</w:t>
        </w:r>
        <w:r>
          <w:rPr>
            <w:rStyle w:val="Lienhypertexte"/>
          </w:rPr>
          <w:t xml:space="preserve"> exigences spécifiques énoncées à l’article 8, paragraphe 1, point c) et v), du règlement (UE) n° 1305/2013</w:t>
        </w:r>
        <w:r>
          <w:tab/>
        </w:r>
        <w:r>
          <w:fldChar w:fldCharType="begin"/>
        </w:r>
        <w:r>
          <w:instrText xml:space="preserve"> PAGEREF _Toc256000079 \h </w:instrText>
        </w:r>
        <w:r>
          <w:fldChar w:fldCharType="separate"/>
        </w:r>
        <w:r>
          <w:t>146</w:t>
        </w:r>
        <w:r>
          <w:fldChar w:fldCharType="end"/>
        </w:r>
      </w:hyperlink>
    </w:p>
    <w:p w:rsidR="0035701C" w:rsidRDefault="00FB561B">
      <w:pPr>
        <w:pStyle w:val="TM2"/>
        <w:rPr>
          <w:rFonts w:ascii="Calibri" w:hAnsi="Calibri"/>
          <w:noProof/>
          <w:sz w:val="22"/>
        </w:rPr>
      </w:pPr>
      <w:hyperlink w:anchor="_Toc256000080" w:history="1">
        <w:r>
          <w:rPr>
            <w:rStyle w:val="Lienhypertexte"/>
          </w:rPr>
          <w:t>5.4. Tableau récap</w:t>
        </w:r>
        <w:r>
          <w:rPr>
            <w:rStyle w:val="Lienhypertexte"/>
          </w:rPr>
          <w:t>itulatif de la logique d’intervention indiquant les priorités et domaines prioritaires retenus pour le PDR, les objectifs quantifiés et la combinaison de mesures à utiliser pour les atteindre (tableau généré automatiquement à partir des informations fourni</w:t>
        </w:r>
        <w:r>
          <w:rPr>
            <w:rStyle w:val="Lienhypertexte"/>
          </w:rPr>
          <w:t>es aux sections 5.2 et 11)</w:t>
        </w:r>
        <w:r>
          <w:tab/>
        </w:r>
        <w:r>
          <w:fldChar w:fldCharType="begin"/>
        </w:r>
        <w:r>
          <w:instrText xml:space="preserve"> PAGEREF _Toc256000080 \h </w:instrText>
        </w:r>
        <w:r>
          <w:fldChar w:fldCharType="separate"/>
        </w:r>
        <w:r>
          <w:t>151</w:t>
        </w:r>
        <w:r>
          <w:fldChar w:fldCharType="end"/>
        </w:r>
      </w:hyperlink>
    </w:p>
    <w:p w:rsidR="0035701C" w:rsidRDefault="00FB561B">
      <w:pPr>
        <w:pStyle w:val="TM2"/>
        <w:rPr>
          <w:rFonts w:ascii="Calibri" w:hAnsi="Calibri"/>
          <w:noProof/>
          <w:sz w:val="22"/>
        </w:rPr>
      </w:pPr>
      <w:hyperlink w:anchor="_Toc256000081" w:history="1">
        <w:r>
          <w:rPr>
            <w:rStyle w:val="Lienhypertexte"/>
          </w:rPr>
          <w:t xml:space="preserve">5.5. Description de la capacité de conseil en vue de la fourniture des conseils et du soutien </w:t>
        </w:r>
        <w:r>
          <w:rPr>
            <w:rStyle w:val="Lienhypertexte"/>
          </w:rPr>
          <w:t>adéquats concernant les exigences réglementaires et les actions relatives à l'innovation, afin de démontrer les mesures prises conformément à l'article 8, paragraphe 1, point c) vi), du règlement (UE) n° 1305/2013</w:t>
        </w:r>
        <w:r>
          <w:tab/>
        </w:r>
        <w:r>
          <w:fldChar w:fldCharType="begin"/>
        </w:r>
        <w:r>
          <w:instrText xml:space="preserve"> PAGEREF _Toc256000081 \h </w:instrText>
        </w:r>
        <w:r>
          <w:fldChar w:fldCharType="separate"/>
        </w:r>
        <w:r>
          <w:t>153</w:t>
        </w:r>
        <w:r>
          <w:fldChar w:fldCharType="end"/>
        </w:r>
      </w:hyperlink>
    </w:p>
    <w:p w:rsidR="0035701C" w:rsidRDefault="00FB561B">
      <w:pPr>
        <w:pStyle w:val="TM1"/>
        <w:rPr>
          <w:rFonts w:ascii="Calibri" w:hAnsi="Calibri"/>
          <w:noProof/>
          <w:sz w:val="22"/>
        </w:rPr>
      </w:pPr>
      <w:hyperlink w:anchor="_Toc256000082" w:history="1">
        <w:r>
          <w:rPr>
            <w:rStyle w:val="Lienhypertexte"/>
          </w:rPr>
          <w:t>6. Évaluation des conditions ex-ante</w:t>
        </w:r>
        <w:r>
          <w:tab/>
        </w:r>
        <w:r>
          <w:fldChar w:fldCharType="begin"/>
        </w:r>
        <w:r>
          <w:instrText xml:space="preserve"> PAGEREF _Toc256000082 \h </w:instrText>
        </w:r>
        <w:r>
          <w:fldChar w:fldCharType="separate"/>
        </w:r>
        <w:r>
          <w:t>155</w:t>
        </w:r>
        <w:r>
          <w:fldChar w:fldCharType="end"/>
        </w:r>
      </w:hyperlink>
    </w:p>
    <w:p w:rsidR="0035701C" w:rsidRDefault="00FB561B">
      <w:pPr>
        <w:pStyle w:val="TM2"/>
        <w:rPr>
          <w:rFonts w:ascii="Calibri" w:hAnsi="Calibri"/>
          <w:noProof/>
          <w:sz w:val="22"/>
        </w:rPr>
      </w:pPr>
      <w:hyperlink w:anchor="_Toc256000083" w:history="1">
        <w:r>
          <w:rPr>
            <w:rStyle w:val="Lienhypertexte"/>
          </w:rPr>
          <w:t>6.1. Informations supplémentaires</w:t>
        </w:r>
        <w:r>
          <w:tab/>
        </w:r>
        <w:r>
          <w:fldChar w:fldCharType="begin"/>
        </w:r>
        <w:r>
          <w:instrText xml:space="preserve"> PAGEREF _Toc256000083 \h </w:instrText>
        </w:r>
        <w:r>
          <w:fldChar w:fldCharType="separate"/>
        </w:r>
        <w:r>
          <w:t>155</w:t>
        </w:r>
        <w:r>
          <w:fldChar w:fldCharType="end"/>
        </w:r>
      </w:hyperlink>
    </w:p>
    <w:p w:rsidR="0035701C" w:rsidRDefault="00FB561B">
      <w:pPr>
        <w:pStyle w:val="TM2"/>
        <w:rPr>
          <w:rFonts w:ascii="Calibri" w:hAnsi="Calibri"/>
          <w:noProof/>
          <w:sz w:val="22"/>
        </w:rPr>
      </w:pPr>
      <w:hyperlink w:anchor="_Toc256000084" w:history="1">
        <w:r>
          <w:rPr>
            <w:rStyle w:val="Lienhypertexte"/>
          </w:rPr>
          <w:t>6.2. Conditions ex-ante</w:t>
        </w:r>
        <w:r>
          <w:tab/>
        </w:r>
        <w:r>
          <w:fldChar w:fldCharType="begin"/>
        </w:r>
        <w:r>
          <w:instrText xml:space="preserve"> PAGEREF _Toc256000084 \h </w:instrText>
        </w:r>
        <w:r>
          <w:fldChar w:fldCharType="separate"/>
        </w:r>
        <w:r>
          <w:t>156</w:t>
        </w:r>
        <w:r>
          <w:fldChar w:fldCharType="end"/>
        </w:r>
      </w:hyperlink>
    </w:p>
    <w:p w:rsidR="0035701C" w:rsidRDefault="00FB561B">
      <w:pPr>
        <w:pStyle w:val="TM3"/>
        <w:rPr>
          <w:rFonts w:ascii="Calibri" w:hAnsi="Calibri"/>
          <w:noProof/>
          <w:sz w:val="22"/>
        </w:rPr>
      </w:pPr>
      <w:hyperlink w:anchor="_Toc256000085" w:history="1">
        <w:r>
          <w:rPr>
            <w:rStyle w:val="Lienhypertexte"/>
          </w:rPr>
          <w:t>6.2.1. Liste des mesures à prendre pour les conditions ex ante générales</w:t>
        </w:r>
        <w:r>
          <w:tab/>
        </w:r>
        <w:r>
          <w:fldChar w:fldCharType="begin"/>
        </w:r>
        <w:r>
          <w:instrText xml:space="preserve"> PAGEREF _Toc256000085 \h </w:instrText>
        </w:r>
        <w:r>
          <w:fldChar w:fldCharType="separate"/>
        </w:r>
        <w:r>
          <w:t>179</w:t>
        </w:r>
        <w:r>
          <w:fldChar w:fldCharType="end"/>
        </w:r>
      </w:hyperlink>
    </w:p>
    <w:p w:rsidR="0035701C" w:rsidRDefault="00FB561B">
      <w:pPr>
        <w:pStyle w:val="TM3"/>
        <w:rPr>
          <w:rFonts w:ascii="Calibri" w:hAnsi="Calibri"/>
          <w:noProof/>
          <w:sz w:val="22"/>
        </w:rPr>
      </w:pPr>
      <w:hyperlink w:anchor="_Toc256000086" w:history="1">
        <w:r>
          <w:rPr>
            <w:rStyle w:val="Lienhypertexte"/>
          </w:rPr>
          <w:t>6.2.2. Liste des mesures à prendre pour les conditions ex ante liées à des priorités</w:t>
        </w:r>
        <w:r>
          <w:tab/>
        </w:r>
        <w:r>
          <w:fldChar w:fldCharType="begin"/>
        </w:r>
        <w:r>
          <w:instrText xml:space="preserve"> PAGEREF _Toc256000086 \h </w:instrText>
        </w:r>
        <w:r>
          <w:fldChar w:fldCharType="separate"/>
        </w:r>
        <w:r>
          <w:t>180</w:t>
        </w:r>
        <w:r>
          <w:fldChar w:fldCharType="end"/>
        </w:r>
      </w:hyperlink>
    </w:p>
    <w:p w:rsidR="0035701C" w:rsidRDefault="00FB561B">
      <w:pPr>
        <w:pStyle w:val="TM1"/>
        <w:rPr>
          <w:rFonts w:ascii="Calibri" w:hAnsi="Calibri"/>
          <w:noProof/>
          <w:sz w:val="22"/>
        </w:rPr>
      </w:pPr>
      <w:hyperlink w:anchor="_Toc256000087" w:history="1">
        <w:r>
          <w:rPr>
            <w:rStyle w:val="Lienhypertexte"/>
          </w:rPr>
          <w:t>7. Description du cadre de per</w:t>
        </w:r>
        <w:r>
          <w:rPr>
            <w:rStyle w:val="Lienhypertexte"/>
          </w:rPr>
          <w:t>formance</w:t>
        </w:r>
        <w:r>
          <w:tab/>
        </w:r>
        <w:r>
          <w:fldChar w:fldCharType="begin"/>
        </w:r>
        <w:r>
          <w:instrText xml:space="preserve"> PAGEREF _Toc256000087 \h </w:instrText>
        </w:r>
        <w:r>
          <w:fldChar w:fldCharType="separate"/>
        </w:r>
        <w:r>
          <w:t>181</w:t>
        </w:r>
        <w:r>
          <w:fldChar w:fldCharType="end"/>
        </w:r>
      </w:hyperlink>
    </w:p>
    <w:p w:rsidR="0035701C" w:rsidRDefault="00FB561B">
      <w:pPr>
        <w:pStyle w:val="TM2"/>
        <w:rPr>
          <w:rFonts w:ascii="Calibri" w:hAnsi="Calibri"/>
          <w:noProof/>
          <w:sz w:val="22"/>
        </w:rPr>
      </w:pPr>
      <w:hyperlink w:anchor="_Toc256000088" w:history="1">
        <w:r>
          <w:rPr>
            <w:rStyle w:val="Lienhypertexte"/>
          </w:rPr>
          <w:t>7.1. Indicateurs</w:t>
        </w:r>
        <w:r>
          <w:tab/>
        </w:r>
        <w:r>
          <w:fldChar w:fldCharType="begin"/>
        </w:r>
        <w:r>
          <w:instrText xml:space="preserve"> PAGEREF _Toc256000088 \h </w:instrText>
        </w:r>
        <w:r>
          <w:fldChar w:fldCharType="separate"/>
        </w:r>
        <w:r>
          <w:t>181</w:t>
        </w:r>
        <w:r>
          <w:fldChar w:fldCharType="end"/>
        </w:r>
      </w:hyperlink>
    </w:p>
    <w:p w:rsidR="0035701C" w:rsidRDefault="00FB561B">
      <w:pPr>
        <w:pStyle w:val="TM3"/>
        <w:rPr>
          <w:rFonts w:ascii="Calibri" w:hAnsi="Calibri"/>
          <w:noProof/>
          <w:sz w:val="22"/>
        </w:rPr>
      </w:pPr>
      <w:hyperlink w:anchor="_Toc256000089" w:history="1">
        <w:r>
          <w:rPr>
            <w:rStyle w:val="Lienhypertexte"/>
          </w:rPr>
          <w:t xml:space="preserve">7.1.1. P2: amélioration de la viabilité des exploitations agricoles et la compétitivité de tous les types d'agriculture dans toutes les régions et promotion des technologies agricoles innovantes et de la gestion durable des </w:t>
        </w:r>
        <w:r>
          <w:rPr>
            <w:rStyle w:val="Lienhypertexte"/>
          </w:rPr>
          <w:t>forêts</w:t>
        </w:r>
        <w:r>
          <w:tab/>
        </w:r>
        <w:r>
          <w:fldChar w:fldCharType="begin"/>
        </w:r>
        <w:r>
          <w:instrText xml:space="preserve"> PAGEREF _Toc256000089 \h </w:instrText>
        </w:r>
        <w:r>
          <w:fldChar w:fldCharType="separate"/>
        </w:r>
        <w:r>
          <w:t>185</w:t>
        </w:r>
        <w:r>
          <w:fldChar w:fldCharType="end"/>
        </w:r>
      </w:hyperlink>
    </w:p>
    <w:p w:rsidR="0035701C" w:rsidRDefault="00FB561B">
      <w:pPr>
        <w:pStyle w:val="TM3"/>
        <w:rPr>
          <w:rFonts w:ascii="Calibri" w:hAnsi="Calibri"/>
          <w:noProof/>
          <w:sz w:val="22"/>
        </w:rPr>
      </w:pPr>
      <w:hyperlink w:anchor="_Toc256000090" w:history="1">
        <w:r>
          <w:rPr>
            <w:rStyle w:val="Lienhypertexte"/>
          </w:rPr>
          <w:t>7.1.2. P3: promouvoir l'organisation de la chaîne alimentaire, y compris la transformation et la commercialisation des</w:t>
        </w:r>
        <w:r>
          <w:rPr>
            <w:rStyle w:val="Lienhypertexte"/>
          </w:rPr>
          <w:t xml:space="preserve"> produits agricoles, le bien-être animal ainsi que la gestion des risques dans le secteur de l'agriculture</w:t>
        </w:r>
        <w:r>
          <w:tab/>
        </w:r>
        <w:r>
          <w:fldChar w:fldCharType="begin"/>
        </w:r>
        <w:r>
          <w:instrText xml:space="preserve"> PAGEREF _Toc256000090 \h </w:instrText>
        </w:r>
        <w:r>
          <w:fldChar w:fldCharType="separate"/>
        </w:r>
        <w:r>
          <w:t>185</w:t>
        </w:r>
        <w:r>
          <w:fldChar w:fldCharType="end"/>
        </w:r>
      </w:hyperlink>
    </w:p>
    <w:p w:rsidR="0035701C" w:rsidRDefault="00FB561B">
      <w:pPr>
        <w:pStyle w:val="TM3"/>
        <w:rPr>
          <w:rFonts w:ascii="Calibri" w:hAnsi="Calibri"/>
          <w:noProof/>
          <w:sz w:val="22"/>
        </w:rPr>
      </w:pPr>
      <w:hyperlink w:anchor="_Toc256000091" w:history="1">
        <w:r>
          <w:rPr>
            <w:rStyle w:val="Lienhypertexte"/>
          </w:rPr>
          <w:t>7.1.3. P4: restaur</w:t>
        </w:r>
        <w:r>
          <w:rPr>
            <w:rStyle w:val="Lienhypertexte"/>
          </w:rPr>
          <w:t>er, préserver et renforcer les écosystèmes liés à l'agriculture et à la foresterie</w:t>
        </w:r>
        <w:r>
          <w:tab/>
        </w:r>
        <w:r>
          <w:fldChar w:fldCharType="begin"/>
        </w:r>
        <w:r>
          <w:instrText xml:space="preserve"> PAGEREF _Toc256000091 \h </w:instrText>
        </w:r>
        <w:r>
          <w:fldChar w:fldCharType="separate"/>
        </w:r>
        <w:r>
          <w:t>186</w:t>
        </w:r>
        <w:r>
          <w:fldChar w:fldCharType="end"/>
        </w:r>
      </w:hyperlink>
    </w:p>
    <w:p w:rsidR="0035701C" w:rsidRDefault="00FB561B">
      <w:pPr>
        <w:pStyle w:val="TM3"/>
        <w:rPr>
          <w:rFonts w:ascii="Calibri" w:hAnsi="Calibri"/>
          <w:noProof/>
          <w:sz w:val="22"/>
        </w:rPr>
      </w:pPr>
      <w:hyperlink w:anchor="_Toc256000092" w:history="1">
        <w:r>
          <w:rPr>
            <w:rStyle w:val="Lienhypertexte"/>
          </w:rPr>
          <w:t>7.1.4. P5: promouvoir l’utilisation effica</w:t>
        </w:r>
        <w:r>
          <w:rPr>
            <w:rStyle w:val="Lienhypertexte"/>
          </w:rPr>
          <w:t>ce des ressources et soutenir la transition vers une économie à faibles émissions de CO2 et résiliente aux changements climatiques, dans les secteurs agricole et alimentaire ainsi que dans le secteur de la foresterie</w:t>
        </w:r>
        <w:r>
          <w:tab/>
        </w:r>
        <w:r>
          <w:fldChar w:fldCharType="begin"/>
        </w:r>
        <w:r>
          <w:instrText xml:space="preserve"> PAGEREF _Toc256000092 \h </w:instrText>
        </w:r>
        <w:r>
          <w:fldChar w:fldCharType="separate"/>
        </w:r>
        <w:r>
          <w:t>186</w:t>
        </w:r>
        <w:r>
          <w:fldChar w:fldCharType="end"/>
        </w:r>
      </w:hyperlink>
    </w:p>
    <w:p w:rsidR="0035701C" w:rsidRDefault="00FB561B">
      <w:pPr>
        <w:pStyle w:val="TM3"/>
        <w:rPr>
          <w:rFonts w:ascii="Calibri" w:hAnsi="Calibri"/>
          <w:noProof/>
          <w:sz w:val="22"/>
        </w:rPr>
      </w:pPr>
      <w:hyperlink w:anchor="_Toc256000093" w:history="1">
        <w:r>
          <w:rPr>
            <w:rStyle w:val="Lienhypertexte"/>
          </w:rPr>
          <w:t>7.1.5. P6: promouvoir l'inclusion sociale, la réduction de la pauvreté et le développement économique dans les zones rurales</w:t>
        </w:r>
        <w:r>
          <w:tab/>
        </w:r>
        <w:r>
          <w:fldChar w:fldCharType="begin"/>
        </w:r>
        <w:r>
          <w:instrText xml:space="preserve"> PAGEREF _Toc256000093 \h </w:instrText>
        </w:r>
        <w:r>
          <w:fldChar w:fldCharType="separate"/>
        </w:r>
        <w:r>
          <w:t>187</w:t>
        </w:r>
        <w:r>
          <w:fldChar w:fldCharType="end"/>
        </w:r>
      </w:hyperlink>
    </w:p>
    <w:p w:rsidR="0035701C" w:rsidRDefault="00FB561B">
      <w:pPr>
        <w:pStyle w:val="TM2"/>
        <w:rPr>
          <w:rFonts w:ascii="Calibri" w:hAnsi="Calibri"/>
          <w:noProof/>
          <w:sz w:val="22"/>
        </w:rPr>
      </w:pPr>
      <w:hyperlink w:anchor="_Toc256000094" w:history="1">
        <w:r>
          <w:rPr>
            <w:rStyle w:val="Lienhypertexte"/>
          </w:rPr>
          <w:t>7.2. Autres indicateurs</w:t>
        </w:r>
        <w:r>
          <w:tab/>
        </w:r>
        <w:r>
          <w:fldChar w:fldCharType="begin"/>
        </w:r>
        <w:r>
          <w:instrText xml:space="preserve"> PAGEREF _Toc256000094 \h </w:instrText>
        </w:r>
        <w:r>
          <w:fldChar w:fldCharType="separate"/>
        </w:r>
        <w:r>
          <w:t>189</w:t>
        </w:r>
        <w:r>
          <w:fldChar w:fldCharType="end"/>
        </w:r>
      </w:hyperlink>
    </w:p>
    <w:p w:rsidR="0035701C" w:rsidRDefault="00FB561B">
      <w:pPr>
        <w:pStyle w:val="TM3"/>
        <w:rPr>
          <w:rFonts w:ascii="Calibri" w:hAnsi="Calibri"/>
          <w:noProof/>
          <w:sz w:val="22"/>
        </w:rPr>
      </w:pPr>
      <w:hyperlink w:anchor="_Toc256000095" w:history="1">
        <w:r>
          <w:rPr>
            <w:rStyle w:val="Lienhypertexte"/>
          </w:rPr>
          <w:t>7.2.1. P3:</w:t>
        </w:r>
        <w:r>
          <w:rPr>
            <w:rStyle w:val="Lienhypertexte"/>
          </w:rPr>
          <w:t xml:space="preserve"> promouvoir l'organisation de la chaîne alimentaire, y compris la transformation et la commercialisation des produits agricoles, le bien-être animal ainsi que la gestion des risques dans le secteur de l'agriculture</w:t>
        </w:r>
        <w:r>
          <w:tab/>
        </w:r>
        <w:r>
          <w:fldChar w:fldCharType="begin"/>
        </w:r>
        <w:r>
          <w:instrText xml:space="preserve"> PAGEREF _Toc256000095 \h </w:instrText>
        </w:r>
        <w:r>
          <w:fldChar w:fldCharType="separate"/>
        </w:r>
        <w:r>
          <w:t>190</w:t>
        </w:r>
        <w:r>
          <w:fldChar w:fldCharType="end"/>
        </w:r>
      </w:hyperlink>
    </w:p>
    <w:p w:rsidR="0035701C" w:rsidRDefault="00FB561B">
      <w:pPr>
        <w:pStyle w:val="TM3"/>
        <w:rPr>
          <w:rFonts w:ascii="Calibri" w:hAnsi="Calibri"/>
          <w:noProof/>
          <w:sz w:val="22"/>
        </w:rPr>
      </w:pPr>
      <w:hyperlink w:anchor="_Toc256000096" w:history="1">
        <w:r>
          <w:rPr>
            <w:rStyle w:val="Lienhypertexte"/>
          </w:rPr>
          <w:t>7.2.2. P4: restaurer, préserver et renforcer les écosystèmes liés à l'agriculture et à la foresterie</w:t>
        </w:r>
        <w:r>
          <w:tab/>
        </w:r>
        <w:r>
          <w:fldChar w:fldCharType="begin"/>
        </w:r>
        <w:r>
          <w:instrText xml:space="preserve"> PAGEREF _Toc256000096 \h </w:instrText>
        </w:r>
        <w:r>
          <w:fldChar w:fldCharType="separate"/>
        </w:r>
        <w:r>
          <w:t>190</w:t>
        </w:r>
        <w:r>
          <w:fldChar w:fldCharType="end"/>
        </w:r>
      </w:hyperlink>
    </w:p>
    <w:p w:rsidR="0035701C" w:rsidRDefault="00FB561B">
      <w:pPr>
        <w:pStyle w:val="TM3"/>
        <w:rPr>
          <w:rFonts w:ascii="Calibri" w:hAnsi="Calibri"/>
          <w:noProof/>
          <w:sz w:val="22"/>
        </w:rPr>
      </w:pPr>
      <w:hyperlink w:anchor="_Toc256000097" w:history="1">
        <w:r>
          <w:rPr>
            <w:rStyle w:val="Lienhypertexte"/>
          </w:rPr>
          <w:t xml:space="preserve">7.2.3. P5: promouvoir l’utilisation efficace des ressources et soutenir la transition vers une économie à faibles émissions de CO2 et résiliente aux changements climatiques, dans les </w:t>
        </w:r>
        <w:r>
          <w:rPr>
            <w:rStyle w:val="Lienhypertexte"/>
          </w:rPr>
          <w:t>secteurs agricole et alimentaire ainsi que dans le secteur de la foresterie</w:t>
        </w:r>
        <w:r>
          <w:tab/>
        </w:r>
        <w:r>
          <w:fldChar w:fldCharType="begin"/>
        </w:r>
        <w:r>
          <w:instrText xml:space="preserve"> PAGEREF _Toc256000097 \h </w:instrText>
        </w:r>
        <w:r>
          <w:fldChar w:fldCharType="separate"/>
        </w:r>
        <w:r>
          <w:t>190</w:t>
        </w:r>
        <w:r>
          <w:fldChar w:fldCharType="end"/>
        </w:r>
      </w:hyperlink>
    </w:p>
    <w:p w:rsidR="0035701C" w:rsidRDefault="00FB561B">
      <w:pPr>
        <w:pStyle w:val="TM2"/>
        <w:rPr>
          <w:rFonts w:ascii="Calibri" w:hAnsi="Calibri"/>
          <w:noProof/>
          <w:sz w:val="22"/>
        </w:rPr>
      </w:pPr>
      <w:hyperlink w:anchor="_Toc256000098" w:history="1">
        <w:r>
          <w:rPr>
            <w:rStyle w:val="Lienhypertexte"/>
          </w:rPr>
          <w:t>7.3. Réserve</w:t>
        </w:r>
        <w:r>
          <w:tab/>
        </w:r>
        <w:r>
          <w:fldChar w:fldCharType="begin"/>
        </w:r>
        <w:r>
          <w:instrText xml:space="preserve"> PAGEREF _Toc256000098 \h </w:instrText>
        </w:r>
        <w:r>
          <w:fldChar w:fldCharType="separate"/>
        </w:r>
        <w:r>
          <w:t>192</w:t>
        </w:r>
        <w:r>
          <w:fldChar w:fldCharType="end"/>
        </w:r>
      </w:hyperlink>
    </w:p>
    <w:p w:rsidR="0035701C" w:rsidRDefault="00FB561B">
      <w:pPr>
        <w:pStyle w:val="TM1"/>
        <w:rPr>
          <w:rFonts w:ascii="Calibri" w:hAnsi="Calibri"/>
          <w:noProof/>
          <w:sz w:val="22"/>
        </w:rPr>
      </w:pPr>
      <w:hyperlink w:anchor="_Toc256000099" w:history="1">
        <w:r>
          <w:rPr>
            <w:rStyle w:val="Lienhypertexte"/>
          </w:rPr>
          <w:t>8. Description des mesures retenues</w:t>
        </w:r>
        <w:r>
          <w:tab/>
        </w:r>
        <w:r>
          <w:fldChar w:fldCharType="begin"/>
        </w:r>
        <w:r>
          <w:instrText xml:space="preserve"> PAGEREF _Toc256000099 \h </w:instrText>
        </w:r>
        <w:r>
          <w:fldChar w:fldCharType="separate"/>
        </w:r>
        <w:r>
          <w:t>193</w:t>
        </w:r>
        <w:r>
          <w:fldChar w:fldCharType="end"/>
        </w:r>
      </w:hyperlink>
    </w:p>
    <w:p w:rsidR="0035701C" w:rsidRDefault="00FB561B">
      <w:pPr>
        <w:pStyle w:val="TM2"/>
        <w:rPr>
          <w:rFonts w:ascii="Calibri" w:hAnsi="Calibri"/>
          <w:noProof/>
          <w:sz w:val="22"/>
        </w:rPr>
      </w:pPr>
      <w:hyperlink w:anchor="_Toc256000100" w:history="1">
        <w:r>
          <w:rPr>
            <w:rStyle w:val="Lienhypertexte"/>
          </w:rPr>
          <w:t>8.1. Description des conditions générales, appliquées à plus d’une mesure, y compris, le cas échéant, la définition de la zone rurale, les niveaux de référence, la conditionnalité, l’utilisation prévue des instruments financiers, l’utilisation prévue d</w:t>
        </w:r>
        <w:r>
          <w:rPr>
            <w:rStyle w:val="Lienhypertexte"/>
          </w:rPr>
          <w:t>es avances et les dispositions communes en matière d'investissement, y compris les dispositions des articles 45 et 46 du règlement (UE) n° 1305/2013</w:t>
        </w:r>
        <w:r>
          <w:tab/>
        </w:r>
        <w:r>
          <w:fldChar w:fldCharType="begin"/>
        </w:r>
        <w:r>
          <w:instrText xml:space="preserve"> PAGEREF _Toc256000100 \h </w:instrText>
        </w:r>
        <w:r>
          <w:fldChar w:fldCharType="separate"/>
        </w:r>
        <w:r>
          <w:t>193</w:t>
        </w:r>
        <w:r>
          <w:fldChar w:fldCharType="end"/>
        </w:r>
      </w:hyperlink>
    </w:p>
    <w:p w:rsidR="0035701C" w:rsidRDefault="00FB561B">
      <w:pPr>
        <w:pStyle w:val="TM2"/>
        <w:rPr>
          <w:rFonts w:ascii="Calibri" w:hAnsi="Calibri"/>
          <w:noProof/>
          <w:sz w:val="22"/>
        </w:rPr>
      </w:pPr>
      <w:hyperlink w:anchor="_Toc256000101" w:history="1">
        <w:r>
          <w:rPr>
            <w:rStyle w:val="Lienhypertexte"/>
          </w:rPr>
          <w:t>8.2. Description par mesure</w:t>
        </w:r>
        <w:r>
          <w:tab/>
        </w:r>
        <w:r>
          <w:fldChar w:fldCharType="begin"/>
        </w:r>
        <w:r>
          <w:instrText xml:space="preserve"> PAGEREF _Toc256000101 \h </w:instrText>
        </w:r>
        <w:r>
          <w:fldChar w:fldCharType="separate"/>
        </w:r>
        <w:r>
          <w:t>206</w:t>
        </w:r>
        <w:r>
          <w:fldChar w:fldCharType="end"/>
        </w:r>
      </w:hyperlink>
    </w:p>
    <w:p w:rsidR="0035701C" w:rsidRDefault="00FB561B">
      <w:pPr>
        <w:pStyle w:val="TM3"/>
        <w:rPr>
          <w:rFonts w:ascii="Calibri" w:hAnsi="Calibri"/>
          <w:noProof/>
          <w:sz w:val="22"/>
        </w:rPr>
      </w:pPr>
      <w:hyperlink w:anchor="_Toc256000102" w:history="1">
        <w:r>
          <w:rPr>
            <w:rStyle w:val="Lienhypertexte"/>
          </w:rPr>
          <w:t xml:space="preserve">8.2.1. M01 - Transfert de connaissances et actions d'information (article </w:t>
        </w:r>
        <w:r>
          <w:rPr>
            <w:rStyle w:val="Lienhypertexte"/>
          </w:rPr>
          <w:t>14)</w:t>
        </w:r>
        <w:r>
          <w:tab/>
        </w:r>
        <w:r>
          <w:fldChar w:fldCharType="begin"/>
        </w:r>
        <w:r>
          <w:instrText xml:space="preserve"> PAGEREF _Toc256000102 \h </w:instrText>
        </w:r>
        <w:r>
          <w:fldChar w:fldCharType="separate"/>
        </w:r>
        <w:r>
          <w:t>206</w:t>
        </w:r>
        <w:r>
          <w:fldChar w:fldCharType="end"/>
        </w:r>
      </w:hyperlink>
    </w:p>
    <w:p w:rsidR="0035701C" w:rsidRDefault="00FB561B">
      <w:pPr>
        <w:pStyle w:val="TM3"/>
        <w:rPr>
          <w:rFonts w:ascii="Calibri" w:hAnsi="Calibri"/>
          <w:noProof/>
          <w:sz w:val="22"/>
        </w:rPr>
      </w:pPr>
      <w:hyperlink w:anchor="_Toc256000103" w:history="1">
        <w:r>
          <w:rPr>
            <w:rStyle w:val="Lienhypertexte"/>
          </w:rPr>
          <w:t>8.2.2. M04 - Investissements physiques (article 17)</w:t>
        </w:r>
        <w:r>
          <w:tab/>
        </w:r>
        <w:r>
          <w:fldChar w:fldCharType="begin"/>
        </w:r>
        <w:r>
          <w:instrText xml:space="preserve"> PAGEREF _Toc256000103 \h </w:instrText>
        </w:r>
        <w:r>
          <w:fldChar w:fldCharType="separate"/>
        </w:r>
        <w:r>
          <w:t>223</w:t>
        </w:r>
        <w:r>
          <w:fldChar w:fldCharType="end"/>
        </w:r>
      </w:hyperlink>
    </w:p>
    <w:p w:rsidR="0035701C" w:rsidRDefault="00FB561B">
      <w:pPr>
        <w:pStyle w:val="TM3"/>
        <w:rPr>
          <w:rFonts w:ascii="Calibri" w:hAnsi="Calibri"/>
          <w:noProof/>
          <w:sz w:val="22"/>
        </w:rPr>
      </w:pPr>
      <w:hyperlink w:anchor="_Toc256000104" w:history="1">
        <w:r>
          <w:rPr>
            <w:rStyle w:val="Lienhypertexte"/>
          </w:rPr>
          <w:t>8.2.3. M05 - Reconstitution du potentiel de production agricole endommagé par des catastrophes naturelles et des événements catastrophiques et mise en place de mesures de prévention appropriées (a</w:t>
        </w:r>
        <w:r>
          <w:rPr>
            <w:rStyle w:val="Lienhypertexte"/>
          </w:rPr>
          <w:t>rticle 18)</w:t>
        </w:r>
        <w:r>
          <w:tab/>
        </w:r>
        <w:r>
          <w:fldChar w:fldCharType="begin"/>
        </w:r>
        <w:r>
          <w:instrText xml:space="preserve"> PAGEREF _Toc256000104 \h </w:instrText>
        </w:r>
        <w:r>
          <w:fldChar w:fldCharType="separate"/>
        </w:r>
        <w:r>
          <w:t>305</w:t>
        </w:r>
        <w:r>
          <w:fldChar w:fldCharType="end"/>
        </w:r>
      </w:hyperlink>
    </w:p>
    <w:p w:rsidR="0035701C" w:rsidRDefault="00FB561B">
      <w:pPr>
        <w:pStyle w:val="TM3"/>
        <w:rPr>
          <w:rFonts w:ascii="Calibri" w:hAnsi="Calibri"/>
          <w:noProof/>
          <w:sz w:val="22"/>
        </w:rPr>
      </w:pPr>
      <w:hyperlink w:anchor="_Toc256000105" w:history="1">
        <w:r>
          <w:rPr>
            <w:rStyle w:val="Lienhypertexte"/>
          </w:rPr>
          <w:t>8.2.4. M06 - Développement des exploitations agricoles et des entreprises (article 19)</w:t>
        </w:r>
        <w:r>
          <w:tab/>
        </w:r>
        <w:r>
          <w:fldChar w:fldCharType="begin"/>
        </w:r>
        <w:r>
          <w:instrText xml:space="preserve"> PAGEREF _Toc256000105 \h </w:instrText>
        </w:r>
        <w:r>
          <w:fldChar w:fldCharType="separate"/>
        </w:r>
        <w:r>
          <w:t>314</w:t>
        </w:r>
        <w:r>
          <w:fldChar w:fldCharType="end"/>
        </w:r>
      </w:hyperlink>
    </w:p>
    <w:p w:rsidR="0035701C" w:rsidRDefault="00FB561B">
      <w:pPr>
        <w:pStyle w:val="TM3"/>
        <w:rPr>
          <w:rFonts w:ascii="Calibri" w:hAnsi="Calibri"/>
          <w:noProof/>
          <w:sz w:val="22"/>
        </w:rPr>
      </w:pPr>
      <w:hyperlink w:anchor="_Toc256000106" w:history="1">
        <w:r>
          <w:rPr>
            <w:rStyle w:val="Lienhypertexte"/>
          </w:rPr>
          <w:t>8.2.5. M07 - Services de base et rénovation des villages dans les zones rurales (article 20)</w:t>
        </w:r>
        <w:r>
          <w:tab/>
        </w:r>
        <w:r>
          <w:fldChar w:fldCharType="begin"/>
        </w:r>
        <w:r>
          <w:instrText xml:space="preserve"> PAGEREF _Toc256000106 \h </w:instrText>
        </w:r>
        <w:r>
          <w:fldChar w:fldCharType="separate"/>
        </w:r>
        <w:r>
          <w:t>348</w:t>
        </w:r>
        <w:r>
          <w:fldChar w:fldCharType="end"/>
        </w:r>
      </w:hyperlink>
    </w:p>
    <w:p w:rsidR="0035701C" w:rsidRDefault="00FB561B">
      <w:pPr>
        <w:pStyle w:val="TM3"/>
        <w:rPr>
          <w:rFonts w:ascii="Calibri" w:hAnsi="Calibri"/>
          <w:noProof/>
          <w:sz w:val="22"/>
        </w:rPr>
      </w:pPr>
      <w:hyperlink w:anchor="_Toc256000107" w:history="1">
        <w:r>
          <w:rPr>
            <w:rStyle w:val="Lienhypertexte"/>
          </w:rPr>
          <w:t>8.2.6. M08 - Investissements dans le développement des zones forestières et amélioration de la viabilité des forêts (articles 21 à 26)</w:t>
        </w:r>
        <w:r>
          <w:tab/>
        </w:r>
        <w:r>
          <w:fldChar w:fldCharType="begin"/>
        </w:r>
        <w:r>
          <w:instrText xml:space="preserve"> PAGEREF _Toc256000107 \h </w:instrText>
        </w:r>
        <w:r>
          <w:fldChar w:fldCharType="separate"/>
        </w:r>
        <w:r>
          <w:t>408</w:t>
        </w:r>
        <w:r>
          <w:fldChar w:fldCharType="end"/>
        </w:r>
      </w:hyperlink>
    </w:p>
    <w:p w:rsidR="0035701C" w:rsidRDefault="00FB561B">
      <w:pPr>
        <w:pStyle w:val="TM3"/>
        <w:rPr>
          <w:rFonts w:ascii="Calibri" w:hAnsi="Calibri"/>
          <w:noProof/>
          <w:sz w:val="22"/>
        </w:rPr>
      </w:pPr>
      <w:hyperlink w:anchor="_Toc256000108" w:history="1">
        <w:r>
          <w:rPr>
            <w:rStyle w:val="Lienhypertexte"/>
          </w:rPr>
          <w:t>8.2.7. M10 - Agroenvironnement - climat (article 28)</w:t>
        </w:r>
        <w:r>
          <w:tab/>
        </w:r>
        <w:r>
          <w:fldChar w:fldCharType="begin"/>
        </w:r>
        <w:r>
          <w:instrText xml:space="preserve"> PAGEREF _Toc256000108 \h </w:instrText>
        </w:r>
        <w:r>
          <w:fldChar w:fldCharType="separate"/>
        </w:r>
        <w:r>
          <w:t>441</w:t>
        </w:r>
        <w:r>
          <w:fldChar w:fldCharType="end"/>
        </w:r>
      </w:hyperlink>
    </w:p>
    <w:p w:rsidR="0035701C" w:rsidRDefault="00FB561B">
      <w:pPr>
        <w:pStyle w:val="TM3"/>
        <w:rPr>
          <w:rFonts w:ascii="Calibri" w:hAnsi="Calibri"/>
          <w:noProof/>
          <w:sz w:val="22"/>
        </w:rPr>
      </w:pPr>
      <w:hyperlink w:anchor="_Toc256000109" w:history="1">
        <w:r>
          <w:rPr>
            <w:rStyle w:val="Lienhypertexte"/>
          </w:rPr>
          <w:t>8.2.8. M11 - Agriculture biologique (article 29)</w:t>
        </w:r>
        <w:r>
          <w:tab/>
        </w:r>
        <w:r>
          <w:fldChar w:fldCharType="begin"/>
        </w:r>
        <w:r>
          <w:instrText xml:space="preserve"> PAGEREF _Toc256000109 \h </w:instrText>
        </w:r>
        <w:r>
          <w:fldChar w:fldCharType="separate"/>
        </w:r>
        <w:r>
          <w:t>744</w:t>
        </w:r>
        <w:r>
          <w:fldChar w:fldCharType="end"/>
        </w:r>
      </w:hyperlink>
    </w:p>
    <w:p w:rsidR="0035701C" w:rsidRDefault="00FB561B">
      <w:pPr>
        <w:pStyle w:val="TM3"/>
        <w:rPr>
          <w:rFonts w:ascii="Calibri" w:hAnsi="Calibri"/>
          <w:noProof/>
          <w:sz w:val="22"/>
        </w:rPr>
      </w:pPr>
      <w:hyperlink w:anchor="_Toc256000110" w:history="1">
        <w:r>
          <w:rPr>
            <w:rStyle w:val="Lienhypertexte"/>
          </w:rPr>
          <w:t>8.2.9. M13 - Paiements en faveur des zones soumise</w:t>
        </w:r>
        <w:r>
          <w:rPr>
            <w:rStyle w:val="Lienhypertexte"/>
          </w:rPr>
          <w:t>s à des contraintes naturelles ou à d'autres contraintes spécifiques (article 31)</w:t>
        </w:r>
        <w:r>
          <w:tab/>
        </w:r>
        <w:r>
          <w:fldChar w:fldCharType="begin"/>
        </w:r>
        <w:r>
          <w:instrText xml:space="preserve"> PAGEREF _Toc256000110 \h </w:instrText>
        </w:r>
        <w:r>
          <w:fldChar w:fldCharType="separate"/>
        </w:r>
        <w:r>
          <w:t>770</w:t>
        </w:r>
        <w:r>
          <w:fldChar w:fldCharType="end"/>
        </w:r>
      </w:hyperlink>
    </w:p>
    <w:p w:rsidR="0035701C" w:rsidRDefault="00FB561B">
      <w:pPr>
        <w:pStyle w:val="TM3"/>
        <w:rPr>
          <w:rFonts w:ascii="Calibri" w:hAnsi="Calibri"/>
          <w:noProof/>
          <w:sz w:val="22"/>
        </w:rPr>
      </w:pPr>
      <w:hyperlink w:anchor="_Toc256000111" w:history="1">
        <w:r>
          <w:rPr>
            <w:rStyle w:val="Lienhypertexte"/>
          </w:rPr>
          <w:t>8.2.10. M19 - Soutien au développement local</w:t>
        </w:r>
        <w:r>
          <w:rPr>
            <w:rStyle w:val="Lienhypertexte"/>
          </w:rPr>
          <w:t xml:space="preserve"> Leader (CLLD - développement local mené par les acteurs locaux) (article 35 du règlement (UE) n° 1303/2013)</w:t>
        </w:r>
        <w:r>
          <w:tab/>
        </w:r>
        <w:r>
          <w:fldChar w:fldCharType="begin"/>
        </w:r>
        <w:r>
          <w:instrText xml:space="preserve"> PAGEREF _Toc256000111 \h </w:instrText>
        </w:r>
        <w:r>
          <w:fldChar w:fldCharType="separate"/>
        </w:r>
        <w:r>
          <w:t>797</w:t>
        </w:r>
        <w:r>
          <w:fldChar w:fldCharType="end"/>
        </w:r>
      </w:hyperlink>
    </w:p>
    <w:p w:rsidR="0035701C" w:rsidRDefault="00FB561B">
      <w:pPr>
        <w:pStyle w:val="TM1"/>
        <w:rPr>
          <w:rFonts w:ascii="Calibri" w:hAnsi="Calibri"/>
          <w:noProof/>
          <w:sz w:val="22"/>
        </w:rPr>
      </w:pPr>
      <w:hyperlink w:anchor="_Toc256000112" w:history="1">
        <w:r>
          <w:rPr>
            <w:rStyle w:val="Lienhypertexte"/>
          </w:rPr>
          <w:t>9. Plan d’évalua</w:t>
        </w:r>
        <w:r>
          <w:rPr>
            <w:rStyle w:val="Lienhypertexte"/>
          </w:rPr>
          <w:t>tion</w:t>
        </w:r>
        <w:r>
          <w:tab/>
        </w:r>
        <w:r>
          <w:fldChar w:fldCharType="begin"/>
        </w:r>
        <w:r>
          <w:instrText xml:space="preserve"> PAGEREF _Toc256000112 \h </w:instrText>
        </w:r>
        <w:r>
          <w:fldChar w:fldCharType="separate"/>
        </w:r>
        <w:r>
          <w:t>827</w:t>
        </w:r>
        <w:r>
          <w:fldChar w:fldCharType="end"/>
        </w:r>
      </w:hyperlink>
    </w:p>
    <w:p w:rsidR="0035701C" w:rsidRDefault="00FB561B">
      <w:pPr>
        <w:pStyle w:val="TM2"/>
        <w:rPr>
          <w:rFonts w:ascii="Calibri" w:hAnsi="Calibri"/>
          <w:noProof/>
          <w:sz w:val="22"/>
        </w:rPr>
      </w:pPr>
      <w:hyperlink w:anchor="_Toc256000113" w:history="1">
        <w:r>
          <w:rPr>
            <w:rStyle w:val="Lienhypertexte"/>
          </w:rPr>
          <w:t>9.1. Objectifs et finalité</w:t>
        </w:r>
        <w:r>
          <w:tab/>
        </w:r>
        <w:r>
          <w:fldChar w:fldCharType="begin"/>
        </w:r>
        <w:r>
          <w:instrText xml:space="preserve"> PAGEREF _Toc256000113 \h </w:instrText>
        </w:r>
        <w:r>
          <w:fldChar w:fldCharType="separate"/>
        </w:r>
        <w:r>
          <w:t>827</w:t>
        </w:r>
        <w:r>
          <w:fldChar w:fldCharType="end"/>
        </w:r>
      </w:hyperlink>
    </w:p>
    <w:p w:rsidR="0035701C" w:rsidRDefault="00FB561B">
      <w:pPr>
        <w:pStyle w:val="TM2"/>
        <w:rPr>
          <w:rFonts w:ascii="Calibri" w:hAnsi="Calibri"/>
          <w:noProof/>
          <w:sz w:val="22"/>
        </w:rPr>
      </w:pPr>
      <w:hyperlink w:anchor="_Toc256000114" w:history="1">
        <w:r>
          <w:rPr>
            <w:rStyle w:val="Lienhypertexte"/>
          </w:rPr>
          <w:t>9.2. Gouvernance et coordination</w:t>
        </w:r>
        <w:r>
          <w:tab/>
        </w:r>
        <w:r>
          <w:fldChar w:fldCharType="begin"/>
        </w:r>
        <w:r>
          <w:instrText xml:space="preserve"> PAGEREF _Toc256000114 \h </w:instrText>
        </w:r>
        <w:r>
          <w:fldChar w:fldCharType="separate"/>
        </w:r>
        <w:r>
          <w:t>828</w:t>
        </w:r>
        <w:r>
          <w:fldChar w:fldCharType="end"/>
        </w:r>
      </w:hyperlink>
    </w:p>
    <w:p w:rsidR="0035701C" w:rsidRDefault="00FB561B">
      <w:pPr>
        <w:pStyle w:val="TM2"/>
        <w:rPr>
          <w:rFonts w:ascii="Calibri" w:hAnsi="Calibri"/>
          <w:noProof/>
          <w:sz w:val="22"/>
        </w:rPr>
      </w:pPr>
      <w:hyperlink w:anchor="_Toc256000115" w:history="1">
        <w:r>
          <w:rPr>
            <w:rStyle w:val="Lienhypertexte"/>
          </w:rPr>
          <w:t>9.3. Sujets et activités d'évaluation</w:t>
        </w:r>
        <w:r>
          <w:tab/>
        </w:r>
        <w:r>
          <w:fldChar w:fldCharType="begin"/>
        </w:r>
        <w:r>
          <w:instrText xml:space="preserve"> PAGEREF _Toc256000115 \h </w:instrText>
        </w:r>
        <w:r>
          <w:fldChar w:fldCharType="separate"/>
        </w:r>
        <w:r>
          <w:t>829</w:t>
        </w:r>
        <w:r>
          <w:fldChar w:fldCharType="end"/>
        </w:r>
      </w:hyperlink>
    </w:p>
    <w:p w:rsidR="0035701C" w:rsidRDefault="00FB561B">
      <w:pPr>
        <w:pStyle w:val="TM2"/>
        <w:rPr>
          <w:rFonts w:ascii="Calibri" w:hAnsi="Calibri"/>
          <w:noProof/>
          <w:sz w:val="22"/>
        </w:rPr>
      </w:pPr>
      <w:hyperlink w:anchor="_Toc256000116" w:history="1">
        <w:r>
          <w:rPr>
            <w:rStyle w:val="Lienhypertexte"/>
          </w:rPr>
          <w:t>9.4. Données et informations</w:t>
        </w:r>
        <w:r>
          <w:tab/>
        </w:r>
        <w:r>
          <w:fldChar w:fldCharType="begin"/>
        </w:r>
        <w:r>
          <w:instrText xml:space="preserve"> PAGEREF _Toc256000116 \h </w:instrText>
        </w:r>
        <w:r>
          <w:fldChar w:fldCharType="separate"/>
        </w:r>
        <w:r>
          <w:t>831</w:t>
        </w:r>
        <w:r>
          <w:fldChar w:fldCharType="end"/>
        </w:r>
      </w:hyperlink>
    </w:p>
    <w:p w:rsidR="0035701C" w:rsidRDefault="00FB561B">
      <w:pPr>
        <w:pStyle w:val="TM2"/>
        <w:rPr>
          <w:rFonts w:ascii="Calibri" w:hAnsi="Calibri"/>
          <w:noProof/>
          <w:sz w:val="22"/>
        </w:rPr>
      </w:pPr>
      <w:hyperlink w:anchor="_Toc256000117" w:history="1">
        <w:r>
          <w:rPr>
            <w:rStyle w:val="Lienhypertexte"/>
          </w:rPr>
          <w:t>9.5. Calendrier</w:t>
        </w:r>
        <w:r>
          <w:tab/>
        </w:r>
        <w:r>
          <w:fldChar w:fldCharType="begin"/>
        </w:r>
        <w:r>
          <w:instrText xml:space="preserve"> PAGEREF _Toc256000117 \h </w:instrText>
        </w:r>
        <w:r>
          <w:fldChar w:fldCharType="separate"/>
        </w:r>
        <w:r>
          <w:t>833</w:t>
        </w:r>
        <w:r>
          <w:fldChar w:fldCharType="end"/>
        </w:r>
      </w:hyperlink>
    </w:p>
    <w:p w:rsidR="0035701C" w:rsidRDefault="00FB561B">
      <w:pPr>
        <w:pStyle w:val="TM2"/>
        <w:rPr>
          <w:rFonts w:ascii="Calibri" w:hAnsi="Calibri"/>
          <w:noProof/>
          <w:sz w:val="22"/>
        </w:rPr>
      </w:pPr>
      <w:hyperlink w:anchor="_Toc256000118" w:history="1">
        <w:r>
          <w:rPr>
            <w:rStyle w:val="Lienhypertexte"/>
          </w:rPr>
          <w:t>9.6. Communication</w:t>
        </w:r>
        <w:r>
          <w:tab/>
        </w:r>
        <w:r>
          <w:fldChar w:fldCharType="begin"/>
        </w:r>
        <w:r>
          <w:instrText xml:space="preserve"> PAGEREF _Toc</w:instrText>
        </w:r>
        <w:r>
          <w:instrText xml:space="preserve">256000118 \h </w:instrText>
        </w:r>
        <w:r>
          <w:fldChar w:fldCharType="separate"/>
        </w:r>
        <w:r>
          <w:t>833</w:t>
        </w:r>
        <w:r>
          <w:fldChar w:fldCharType="end"/>
        </w:r>
      </w:hyperlink>
    </w:p>
    <w:p w:rsidR="0035701C" w:rsidRDefault="00FB561B">
      <w:pPr>
        <w:pStyle w:val="TM2"/>
        <w:rPr>
          <w:rFonts w:ascii="Calibri" w:hAnsi="Calibri"/>
          <w:noProof/>
          <w:sz w:val="22"/>
        </w:rPr>
      </w:pPr>
      <w:hyperlink w:anchor="_Toc256000119" w:history="1">
        <w:r>
          <w:rPr>
            <w:rStyle w:val="Lienhypertexte"/>
          </w:rPr>
          <w:t>9.7. Ressources</w:t>
        </w:r>
        <w:r>
          <w:tab/>
        </w:r>
        <w:r>
          <w:fldChar w:fldCharType="begin"/>
        </w:r>
        <w:r>
          <w:instrText xml:space="preserve"> PAGEREF _Toc256000119 \h </w:instrText>
        </w:r>
        <w:r>
          <w:fldChar w:fldCharType="separate"/>
        </w:r>
        <w:r>
          <w:t>834</w:t>
        </w:r>
        <w:r>
          <w:fldChar w:fldCharType="end"/>
        </w:r>
      </w:hyperlink>
    </w:p>
    <w:p w:rsidR="0035701C" w:rsidRDefault="00FB561B">
      <w:pPr>
        <w:pStyle w:val="TM1"/>
        <w:rPr>
          <w:rFonts w:ascii="Calibri" w:hAnsi="Calibri"/>
          <w:noProof/>
          <w:sz w:val="22"/>
        </w:rPr>
      </w:pPr>
      <w:hyperlink w:anchor="_Toc256000120" w:history="1">
        <w:r>
          <w:rPr>
            <w:rStyle w:val="Lienhypertexte"/>
          </w:rPr>
          <w:t>10. Plan de financement</w:t>
        </w:r>
        <w:r>
          <w:tab/>
        </w:r>
        <w:r>
          <w:fldChar w:fldCharType="begin"/>
        </w:r>
        <w:r>
          <w:instrText xml:space="preserve"> PAGEREF _Toc256000120 \h </w:instrText>
        </w:r>
        <w:r>
          <w:fldChar w:fldCharType="separate"/>
        </w:r>
        <w:r>
          <w:t>836</w:t>
        </w:r>
        <w:r>
          <w:fldChar w:fldCharType="end"/>
        </w:r>
      </w:hyperlink>
    </w:p>
    <w:p w:rsidR="0035701C" w:rsidRDefault="00FB561B">
      <w:pPr>
        <w:pStyle w:val="TM2"/>
        <w:rPr>
          <w:rFonts w:ascii="Calibri" w:hAnsi="Calibri"/>
          <w:noProof/>
          <w:sz w:val="22"/>
        </w:rPr>
      </w:pPr>
      <w:hyperlink w:anchor="_Toc256000121" w:history="1">
        <w:r>
          <w:rPr>
            <w:rStyle w:val="Lienhypertexte"/>
          </w:rPr>
          <w:t>10.1. Participation annuelle du Feader (en euros)</w:t>
        </w:r>
        <w:r>
          <w:tab/>
        </w:r>
        <w:r>
          <w:fldChar w:fldCharType="begin"/>
        </w:r>
        <w:r>
          <w:instrText xml:space="preserve"> PAGEREF _Toc256000121 \h </w:instrText>
        </w:r>
        <w:r>
          <w:fldChar w:fldCharType="separate"/>
        </w:r>
        <w:r>
          <w:t>836</w:t>
        </w:r>
        <w:r>
          <w:fldChar w:fldCharType="end"/>
        </w:r>
      </w:hyperlink>
    </w:p>
    <w:p w:rsidR="0035701C" w:rsidRDefault="00FB561B">
      <w:pPr>
        <w:pStyle w:val="TM2"/>
        <w:rPr>
          <w:rFonts w:ascii="Calibri" w:hAnsi="Calibri"/>
          <w:noProof/>
          <w:sz w:val="22"/>
        </w:rPr>
      </w:pPr>
      <w:hyperlink w:anchor="_Toc256000122" w:history="1">
        <w:r>
          <w:rPr>
            <w:rStyle w:val="Lienhypertexte"/>
          </w:rPr>
          <w:t>10.2. Taux unique de participation du Feader applicable à l'ensemble des mesures réparties par type de région visées à l'article 59, paragraphe 3, du règlemen</w:t>
        </w:r>
        <w:r>
          <w:rPr>
            <w:rStyle w:val="Lienhypertexte"/>
          </w:rPr>
          <w:t>t (UE) n° 1305/2013</w:t>
        </w:r>
        <w:r>
          <w:tab/>
        </w:r>
        <w:r>
          <w:fldChar w:fldCharType="begin"/>
        </w:r>
        <w:r>
          <w:instrText xml:space="preserve"> PAGEREF _Toc256000122 \h </w:instrText>
        </w:r>
        <w:r>
          <w:fldChar w:fldCharType="separate"/>
        </w:r>
        <w:r>
          <w:t>838</w:t>
        </w:r>
        <w:r>
          <w:fldChar w:fldCharType="end"/>
        </w:r>
      </w:hyperlink>
    </w:p>
    <w:p w:rsidR="0035701C" w:rsidRDefault="00FB561B">
      <w:pPr>
        <w:pStyle w:val="TM2"/>
        <w:rPr>
          <w:rFonts w:ascii="Calibri" w:hAnsi="Calibri"/>
          <w:noProof/>
          <w:sz w:val="22"/>
        </w:rPr>
      </w:pPr>
      <w:hyperlink w:anchor="_Toc256000123" w:history="1">
        <w:r>
          <w:rPr>
            <w:rStyle w:val="Lienhypertexte"/>
          </w:rPr>
          <w:t xml:space="preserve">10.3. Répartition par mesure ou par type d’opération bénéficiant d’un taux de participation spécifique du </w:t>
        </w:r>
        <w:r>
          <w:rPr>
            <w:rStyle w:val="Lienhypertexte"/>
          </w:rPr>
          <w:t>Feader (en €, ensemble de la période 2014-2022)</w:t>
        </w:r>
        <w:r>
          <w:tab/>
        </w:r>
        <w:r>
          <w:fldChar w:fldCharType="begin"/>
        </w:r>
        <w:r>
          <w:instrText xml:space="preserve"> PAGEREF _Toc256000123 \h </w:instrText>
        </w:r>
        <w:r>
          <w:fldChar w:fldCharType="separate"/>
        </w:r>
        <w:r>
          <w:t>839</w:t>
        </w:r>
        <w:r>
          <w:fldChar w:fldCharType="end"/>
        </w:r>
      </w:hyperlink>
    </w:p>
    <w:p w:rsidR="0035701C" w:rsidRDefault="00FB561B">
      <w:pPr>
        <w:pStyle w:val="TM3"/>
        <w:rPr>
          <w:rFonts w:ascii="Calibri" w:hAnsi="Calibri"/>
          <w:noProof/>
          <w:sz w:val="22"/>
        </w:rPr>
      </w:pPr>
      <w:hyperlink w:anchor="_Toc256000124" w:history="1">
        <w:r>
          <w:rPr>
            <w:rStyle w:val="Lienhypertexte"/>
          </w:rPr>
          <w:t>10.3.1. M01 - Transfert de connaissances et actions d'information (article 14)</w:t>
        </w:r>
        <w:r>
          <w:tab/>
        </w:r>
        <w:r>
          <w:fldChar w:fldCharType="begin"/>
        </w:r>
        <w:r>
          <w:instrText xml:space="preserve"> PAGEREF _Toc256000124 \h </w:instrText>
        </w:r>
        <w:r>
          <w:fldChar w:fldCharType="separate"/>
        </w:r>
        <w:r>
          <w:t>839</w:t>
        </w:r>
        <w:r>
          <w:fldChar w:fldCharType="end"/>
        </w:r>
      </w:hyperlink>
    </w:p>
    <w:p w:rsidR="0035701C" w:rsidRDefault="00FB561B">
      <w:pPr>
        <w:pStyle w:val="TM3"/>
        <w:rPr>
          <w:rFonts w:ascii="Calibri" w:hAnsi="Calibri"/>
          <w:noProof/>
          <w:sz w:val="22"/>
        </w:rPr>
      </w:pPr>
      <w:hyperlink w:anchor="_Toc256000125" w:history="1">
        <w:r>
          <w:rPr>
            <w:rStyle w:val="Lienhypertexte"/>
          </w:rPr>
          <w:t>10.3.2. M04 - Investissements physiques (article 17)</w:t>
        </w:r>
        <w:r>
          <w:tab/>
        </w:r>
        <w:r>
          <w:fldChar w:fldCharType="begin"/>
        </w:r>
        <w:r>
          <w:instrText xml:space="preserve"> PAGEREF _Toc256000125 \h </w:instrText>
        </w:r>
        <w:r>
          <w:fldChar w:fldCharType="separate"/>
        </w:r>
        <w:r>
          <w:t>840</w:t>
        </w:r>
        <w:r>
          <w:fldChar w:fldCharType="end"/>
        </w:r>
      </w:hyperlink>
    </w:p>
    <w:p w:rsidR="0035701C" w:rsidRDefault="00FB561B">
      <w:pPr>
        <w:pStyle w:val="TM3"/>
        <w:rPr>
          <w:rFonts w:ascii="Calibri" w:hAnsi="Calibri"/>
          <w:noProof/>
          <w:sz w:val="22"/>
        </w:rPr>
      </w:pPr>
      <w:hyperlink w:anchor="_Toc256000126" w:history="1">
        <w:r>
          <w:rPr>
            <w:rStyle w:val="Lienhypertexte"/>
          </w:rPr>
          <w:t>10.3.3. M05 - Reconstitution du potentiel de production agricole endommagé par des catastrophes naturelles et des événements catastrophiques et mise en place de mesures de prévention appropriées (</w:t>
        </w:r>
        <w:r>
          <w:rPr>
            <w:rStyle w:val="Lienhypertexte"/>
          </w:rPr>
          <w:t>article 18)</w:t>
        </w:r>
        <w:r>
          <w:tab/>
        </w:r>
        <w:r>
          <w:fldChar w:fldCharType="begin"/>
        </w:r>
        <w:r>
          <w:instrText xml:space="preserve"> PAGEREF _Toc256000126 \h </w:instrText>
        </w:r>
        <w:r>
          <w:fldChar w:fldCharType="separate"/>
        </w:r>
        <w:r>
          <w:t>842</w:t>
        </w:r>
        <w:r>
          <w:fldChar w:fldCharType="end"/>
        </w:r>
      </w:hyperlink>
    </w:p>
    <w:p w:rsidR="0035701C" w:rsidRDefault="00FB561B">
      <w:pPr>
        <w:pStyle w:val="TM3"/>
        <w:rPr>
          <w:rFonts w:ascii="Calibri" w:hAnsi="Calibri"/>
          <w:noProof/>
          <w:sz w:val="22"/>
        </w:rPr>
      </w:pPr>
      <w:hyperlink w:anchor="_Toc256000127" w:history="1">
        <w:r>
          <w:rPr>
            <w:rStyle w:val="Lienhypertexte"/>
          </w:rPr>
          <w:t>10.3.4. M06 - Développement des exploitations agricoles et des entreprises (article 19)</w:t>
        </w:r>
        <w:r>
          <w:tab/>
        </w:r>
        <w:r>
          <w:fldChar w:fldCharType="begin"/>
        </w:r>
        <w:r>
          <w:instrText xml:space="preserve"> PAGEREF _Toc256000127 \h </w:instrText>
        </w:r>
        <w:r>
          <w:fldChar w:fldCharType="separate"/>
        </w:r>
        <w:r>
          <w:t>843</w:t>
        </w:r>
        <w:r>
          <w:fldChar w:fldCharType="end"/>
        </w:r>
      </w:hyperlink>
    </w:p>
    <w:p w:rsidR="0035701C" w:rsidRDefault="00FB561B">
      <w:pPr>
        <w:pStyle w:val="TM3"/>
        <w:rPr>
          <w:rFonts w:ascii="Calibri" w:hAnsi="Calibri"/>
          <w:noProof/>
          <w:sz w:val="22"/>
        </w:rPr>
      </w:pPr>
      <w:hyperlink w:anchor="_Toc256000128" w:history="1">
        <w:r>
          <w:rPr>
            <w:rStyle w:val="Lienhypertexte"/>
          </w:rPr>
          <w:t>10.3.5. M07 - Services de base et rénovation des villages dans les zones rurales (article 20)</w:t>
        </w:r>
        <w:r>
          <w:tab/>
        </w:r>
        <w:r>
          <w:fldChar w:fldCharType="begin"/>
        </w:r>
        <w:r>
          <w:instrText xml:space="preserve"> PAGEREF _Toc256000128 \h </w:instrText>
        </w:r>
        <w:r>
          <w:fldChar w:fldCharType="separate"/>
        </w:r>
        <w:r>
          <w:t>844</w:t>
        </w:r>
        <w:r>
          <w:fldChar w:fldCharType="end"/>
        </w:r>
      </w:hyperlink>
    </w:p>
    <w:p w:rsidR="0035701C" w:rsidRDefault="00FB561B">
      <w:pPr>
        <w:pStyle w:val="TM3"/>
        <w:rPr>
          <w:rFonts w:ascii="Calibri" w:hAnsi="Calibri"/>
          <w:noProof/>
          <w:sz w:val="22"/>
        </w:rPr>
      </w:pPr>
      <w:hyperlink w:anchor="_Toc256000129" w:history="1">
        <w:r>
          <w:rPr>
            <w:rStyle w:val="Lienhypertexte"/>
          </w:rPr>
          <w:t>10.3.6. M08 - Investissements dans le développement des zones forestières et amélioration de la viabilité des forêts (articles 21 à 26)</w:t>
        </w:r>
        <w:r>
          <w:tab/>
        </w:r>
        <w:r>
          <w:fldChar w:fldCharType="begin"/>
        </w:r>
        <w:r>
          <w:instrText xml:space="preserve"> PAGEREF _Toc256000129 \h </w:instrText>
        </w:r>
        <w:r>
          <w:fldChar w:fldCharType="separate"/>
        </w:r>
        <w:r>
          <w:t>845</w:t>
        </w:r>
        <w:r>
          <w:fldChar w:fldCharType="end"/>
        </w:r>
      </w:hyperlink>
    </w:p>
    <w:p w:rsidR="0035701C" w:rsidRDefault="00FB561B">
      <w:pPr>
        <w:pStyle w:val="TM3"/>
        <w:rPr>
          <w:rFonts w:ascii="Calibri" w:hAnsi="Calibri"/>
          <w:noProof/>
          <w:sz w:val="22"/>
        </w:rPr>
      </w:pPr>
      <w:hyperlink w:anchor="_Toc256000130" w:history="1">
        <w:r>
          <w:rPr>
            <w:rStyle w:val="Lienhypertexte"/>
          </w:rPr>
          <w:t>10.3.7. M10 - Agroenvironnement - climat (article 28)</w:t>
        </w:r>
        <w:r>
          <w:tab/>
        </w:r>
        <w:r>
          <w:fldChar w:fldCharType="begin"/>
        </w:r>
        <w:r>
          <w:instrText xml:space="preserve"> PAGEREF _Toc256000130 \h </w:instrText>
        </w:r>
        <w:r>
          <w:fldChar w:fldCharType="separate"/>
        </w:r>
        <w:r>
          <w:t>846</w:t>
        </w:r>
        <w:r>
          <w:fldChar w:fldCharType="end"/>
        </w:r>
      </w:hyperlink>
    </w:p>
    <w:p w:rsidR="0035701C" w:rsidRDefault="00FB561B">
      <w:pPr>
        <w:pStyle w:val="TM3"/>
        <w:rPr>
          <w:rFonts w:ascii="Calibri" w:hAnsi="Calibri"/>
          <w:noProof/>
          <w:sz w:val="22"/>
        </w:rPr>
      </w:pPr>
      <w:hyperlink w:anchor="_Toc256000131" w:history="1">
        <w:r>
          <w:rPr>
            <w:rStyle w:val="Lienhypertexte"/>
          </w:rPr>
          <w:t>10.3.8. M11 - Agriculture biologique (article 29)</w:t>
        </w:r>
        <w:r>
          <w:tab/>
        </w:r>
        <w:r>
          <w:fldChar w:fldCharType="begin"/>
        </w:r>
        <w:r>
          <w:instrText xml:space="preserve"> PAGEREF _Toc256000131 \h </w:instrText>
        </w:r>
        <w:r>
          <w:fldChar w:fldCharType="separate"/>
        </w:r>
        <w:r>
          <w:t>847</w:t>
        </w:r>
        <w:r>
          <w:fldChar w:fldCharType="end"/>
        </w:r>
      </w:hyperlink>
    </w:p>
    <w:p w:rsidR="0035701C" w:rsidRDefault="00FB561B">
      <w:pPr>
        <w:pStyle w:val="TM3"/>
        <w:rPr>
          <w:rFonts w:ascii="Calibri" w:hAnsi="Calibri"/>
          <w:noProof/>
          <w:sz w:val="22"/>
        </w:rPr>
      </w:pPr>
      <w:hyperlink w:anchor="_Toc256000132" w:history="1">
        <w:r>
          <w:rPr>
            <w:rStyle w:val="Lienhypertexte"/>
          </w:rPr>
          <w:t>10.3.9. M13 - Paiements en faveur des zones soumis</w:t>
        </w:r>
        <w:r>
          <w:rPr>
            <w:rStyle w:val="Lienhypertexte"/>
          </w:rPr>
          <w:t>es à des contraintes naturelles ou à d'autres contraintes spécifiques (article 31)</w:t>
        </w:r>
        <w:r>
          <w:tab/>
        </w:r>
        <w:r>
          <w:fldChar w:fldCharType="begin"/>
        </w:r>
        <w:r>
          <w:instrText xml:space="preserve"> PAGEREF _Toc256000132 \h </w:instrText>
        </w:r>
        <w:r>
          <w:fldChar w:fldCharType="separate"/>
        </w:r>
        <w:r>
          <w:t>848</w:t>
        </w:r>
        <w:r>
          <w:fldChar w:fldCharType="end"/>
        </w:r>
      </w:hyperlink>
    </w:p>
    <w:p w:rsidR="0035701C" w:rsidRDefault="00FB561B">
      <w:pPr>
        <w:pStyle w:val="TM3"/>
        <w:rPr>
          <w:rFonts w:ascii="Calibri" w:hAnsi="Calibri"/>
          <w:noProof/>
          <w:sz w:val="22"/>
        </w:rPr>
      </w:pPr>
      <w:hyperlink w:anchor="_Toc256000133" w:history="1">
        <w:r>
          <w:rPr>
            <w:rStyle w:val="Lienhypertexte"/>
          </w:rPr>
          <w:t>10.3.10. M19 - Soutien au développement lo</w:t>
        </w:r>
        <w:r>
          <w:rPr>
            <w:rStyle w:val="Lienhypertexte"/>
          </w:rPr>
          <w:t>cal Leader (CLLD - développement local mené par les acteurs locaux) (article 35 du règlement (UE) n° 1303/2013)</w:t>
        </w:r>
        <w:r>
          <w:tab/>
        </w:r>
        <w:r>
          <w:fldChar w:fldCharType="begin"/>
        </w:r>
        <w:r>
          <w:instrText xml:space="preserve"> PAGEREF _Toc256000133 \h </w:instrText>
        </w:r>
        <w:r>
          <w:fldChar w:fldCharType="separate"/>
        </w:r>
        <w:r>
          <w:t>850</w:t>
        </w:r>
        <w:r>
          <w:fldChar w:fldCharType="end"/>
        </w:r>
      </w:hyperlink>
    </w:p>
    <w:p w:rsidR="0035701C" w:rsidRDefault="00FB561B">
      <w:pPr>
        <w:pStyle w:val="TM3"/>
        <w:rPr>
          <w:rFonts w:ascii="Calibri" w:hAnsi="Calibri"/>
          <w:noProof/>
          <w:sz w:val="22"/>
        </w:rPr>
      </w:pPr>
      <w:hyperlink w:anchor="_Toc256000134" w:history="1">
        <w:r>
          <w:rPr>
            <w:rStyle w:val="Lienhypertexte"/>
          </w:rPr>
          <w:t>10.3.11. M20 -</w:t>
        </w:r>
        <w:r>
          <w:rPr>
            <w:rStyle w:val="Lienhypertexte"/>
          </w:rPr>
          <w:t xml:space="preserve"> Assistance technique demandée par les États membres (articles 51 à 54)</w:t>
        </w:r>
        <w:r>
          <w:tab/>
        </w:r>
        <w:r>
          <w:fldChar w:fldCharType="begin"/>
        </w:r>
        <w:r>
          <w:instrText xml:space="preserve"> PAGEREF _Toc256000134 \h </w:instrText>
        </w:r>
        <w:r>
          <w:fldChar w:fldCharType="separate"/>
        </w:r>
        <w:r>
          <w:t>851</w:t>
        </w:r>
        <w:r>
          <w:fldChar w:fldCharType="end"/>
        </w:r>
      </w:hyperlink>
    </w:p>
    <w:p w:rsidR="0035701C" w:rsidRDefault="00FB561B">
      <w:pPr>
        <w:pStyle w:val="TM2"/>
        <w:rPr>
          <w:rFonts w:ascii="Calibri" w:hAnsi="Calibri"/>
          <w:noProof/>
          <w:sz w:val="22"/>
        </w:rPr>
      </w:pPr>
      <w:hyperlink w:anchor="_Toc256000135" w:history="1">
        <w:r>
          <w:rPr>
            <w:rStyle w:val="Lienhypertexte"/>
          </w:rPr>
          <w:t>10.4. Ventilation indicative par mesure pour chaque so</w:t>
        </w:r>
        <w:r>
          <w:rPr>
            <w:rStyle w:val="Lienhypertexte"/>
          </w:rPr>
          <w:t>us-programme</w:t>
        </w:r>
        <w:r>
          <w:tab/>
        </w:r>
        <w:r>
          <w:fldChar w:fldCharType="begin"/>
        </w:r>
        <w:r>
          <w:instrText xml:space="preserve"> PAGEREF _Toc256000135 \h </w:instrText>
        </w:r>
        <w:r>
          <w:fldChar w:fldCharType="separate"/>
        </w:r>
        <w:r>
          <w:t>852</w:t>
        </w:r>
        <w:r>
          <w:fldChar w:fldCharType="end"/>
        </w:r>
      </w:hyperlink>
    </w:p>
    <w:p w:rsidR="0035701C" w:rsidRDefault="00FB561B">
      <w:pPr>
        <w:pStyle w:val="TM1"/>
        <w:rPr>
          <w:rFonts w:ascii="Calibri" w:hAnsi="Calibri"/>
          <w:noProof/>
          <w:sz w:val="22"/>
        </w:rPr>
      </w:pPr>
      <w:hyperlink w:anchor="_Toc256000136" w:history="1">
        <w:r>
          <w:rPr>
            <w:rStyle w:val="Lienhypertexte"/>
          </w:rPr>
          <w:t>11. Plan des indicateurs</w:t>
        </w:r>
        <w:r>
          <w:tab/>
        </w:r>
        <w:r>
          <w:fldChar w:fldCharType="begin"/>
        </w:r>
        <w:r>
          <w:instrText xml:space="preserve"> PAGEREF _Toc256000136 \h </w:instrText>
        </w:r>
        <w:r>
          <w:fldChar w:fldCharType="separate"/>
        </w:r>
        <w:r>
          <w:t>853</w:t>
        </w:r>
        <w:r>
          <w:fldChar w:fldCharType="end"/>
        </w:r>
      </w:hyperlink>
    </w:p>
    <w:p w:rsidR="0035701C" w:rsidRDefault="00FB561B">
      <w:pPr>
        <w:pStyle w:val="TM2"/>
        <w:rPr>
          <w:rFonts w:ascii="Calibri" w:hAnsi="Calibri"/>
          <w:noProof/>
          <w:sz w:val="22"/>
        </w:rPr>
      </w:pPr>
      <w:hyperlink w:anchor="_Toc256000137" w:history="1">
        <w:r>
          <w:rPr>
            <w:rStyle w:val="Lienhypertexte"/>
          </w:rPr>
          <w:t>11.1. Plan des indicateurs</w:t>
        </w:r>
        <w:r>
          <w:tab/>
        </w:r>
        <w:r>
          <w:fldChar w:fldCharType="begin"/>
        </w:r>
        <w:r>
          <w:instrText xml:space="preserve"> PAGEREF _Toc256000137 \h </w:instrText>
        </w:r>
        <w:r>
          <w:fldChar w:fldCharType="separate"/>
        </w:r>
        <w:r>
          <w:t>853</w:t>
        </w:r>
        <w:r>
          <w:fldChar w:fldCharType="end"/>
        </w:r>
      </w:hyperlink>
    </w:p>
    <w:p w:rsidR="0035701C" w:rsidRDefault="00FB561B">
      <w:pPr>
        <w:pStyle w:val="TM3"/>
        <w:rPr>
          <w:rFonts w:ascii="Calibri" w:hAnsi="Calibri"/>
          <w:noProof/>
          <w:sz w:val="22"/>
        </w:rPr>
      </w:pPr>
      <w:hyperlink w:anchor="_Toc256000138" w:history="1">
        <w:r>
          <w:rPr>
            <w:rStyle w:val="Lienhypertexte"/>
          </w:rPr>
          <w:t>11.1.1. P1: favoriser le transfert de connaissances et l'innovation dans les secteurs de l'agriculture et de la foresterie, ainsi que dans les zones rurales</w:t>
        </w:r>
        <w:r>
          <w:tab/>
        </w:r>
        <w:r>
          <w:fldChar w:fldCharType="begin"/>
        </w:r>
        <w:r>
          <w:instrText xml:space="preserve"> </w:instrText>
        </w:r>
        <w:r>
          <w:instrText xml:space="preserve">PAGEREF _Toc256000138 \h </w:instrText>
        </w:r>
        <w:r>
          <w:fldChar w:fldCharType="separate"/>
        </w:r>
        <w:r>
          <w:t>853</w:t>
        </w:r>
        <w:r>
          <w:fldChar w:fldCharType="end"/>
        </w:r>
      </w:hyperlink>
    </w:p>
    <w:p w:rsidR="0035701C" w:rsidRDefault="00FB561B">
      <w:pPr>
        <w:pStyle w:val="TM3"/>
        <w:rPr>
          <w:rFonts w:ascii="Calibri" w:hAnsi="Calibri"/>
          <w:noProof/>
          <w:sz w:val="22"/>
        </w:rPr>
      </w:pPr>
      <w:hyperlink w:anchor="_Toc256000139" w:history="1">
        <w:r>
          <w:rPr>
            <w:rStyle w:val="Lienhypertexte"/>
          </w:rPr>
          <w:t xml:space="preserve">11.1.2. P2: amélioration de la viabilité des exploitations agricoles et la compétitivité de tous les types d'agriculture dans </w:t>
        </w:r>
        <w:r>
          <w:rPr>
            <w:rStyle w:val="Lienhypertexte"/>
          </w:rPr>
          <w:t>toutes les régions et promotion des technologies agricoles innovantes et de la gestion durable des forêts</w:t>
        </w:r>
        <w:r>
          <w:tab/>
        </w:r>
        <w:r>
          <w:fldChar w:fldCharType="begin"/>
        </w:r>
        <w:r>
          <w:instrText xml:space="preserve"> PAGEREF _Toc256000139 \h </w:instrText>
        </w:r>
        <w:r>
          <w:fldChar w:fldCharType="separate"/>
        </w:r>
        <w:r>
          <w:t>856</w:t>
        </w:r>
        <w:r>
          <w:fldChar w:fldCharType="end"/>
        </w:r>
      </w:hyperlink>
    </w:p>
    <w:p w:rsidR="0035701C" w:rsidRDefault="00FB561B">
      <w:pPr>
        <w:pStyle w:val="TM3"/>
        <w:rPr>
          <w:rFonts w:ascii="Calibri" w:hAnsi="Calibri"/>
          <w:noProof/>
          <w:sz w:val="22"/>
        </w:rPr>
      </w:pPr>
      <w:hyperlink w:anchor="_Toc256000140" w:history="1">
        <w:r>
          <w:rPr>
            <w:rStyle w:val="Lienhypertexte"/>
          </w:rPr>
          <w:t>11.1.3. P3: promouvo</w:t>
        </w:r>
        <w:r>
          <w:rPr>
            <w:rStyle w:val="Lienhypertexte"/>
          </w:rPr>
          <w:t>ir l'organisation de la chaîne alimentaire, y compris la transformation et la commercialisation des produits agricoles, le bien-être animal ainsi que la gestion des risques dans le secteur de l'agriculture</w:t>
        </w:r>
        <w:r>
          <w:tab/>
        </w:r>
        <w:r>
          <w:fldChar w:fldCharType="begin"/>
        </w:r>
        <w:r>
          <w:instrText xml:space="preserve"> PAGEREF _Toc256000140 \h </w:instrText>
        </w:r>
        <w:r>
          <w:fldChar w:fldCharType="separate"/>
        </w:r>
        <w:r>
          <w:t>858</w:t>
        </w:r>
        <w:r>
          <w:fldChar w:fldCharType="end"/>
        </w:r>
      </w:hyperlink>
    </w:p>
    <w:p w:rsidR="0035701C" w:rsidRDefault="00FB561B">
      <w:pPr>
        <w:pStyle w:val="TM3"/>
        <w:rPr>
          <w:rFonts w:ascii="Calibri" w:hAnsi="Calibri"/>
          <w:noProof/>
          <w:sz w:val="22"/>
        </w:rPr>
      </w:pPr>
      <w:hyperlink w:anchor="_Toc256000141" w:history="1">
        <w:r>
          <w:rPr>
            <w:rStyle w:val="Lienhypertexte"/>
          </w:rPr>
          <w:t>11.1.4. P4: restaurer, préserver et renforcer les écosystèmes liés à l'agriculture et à la foresterie</w:t>
        </w:r>
        <w:r>
          <w:tab/>
        </w:r>
        <w:r>
          <w:fldChar w:fldCharType="begin"/>
        </w:r>
        <w:r>
          <w:instrText xml:space="preserve"> PAGEREF _Toc256000141 \h </w:instrText>
        </w:r>
        <w:r>
          <w:fldChar w:fldCharType="separate"/>
        </w:r>
        <w:r>
          <w:t>860</w:t>
        </w:r>
        <w:r>
          <w:fldChar w:fldCharType="end"/>
        </w:r>
      </w:hyperlink>
    </w:p>
    <w:p w:rsidR="0035701C" w:rsidRDefault="00FB561B">
      <w:pPr>
        <w:pStyle w:val="TM3"/>
        <w:rPr>
          <w:rFonts w:ascii="Calibri" w:hAnsi="Calibri"/>
          <w:noProof/>
          <w:sz w:val="22"/>
        </w:rPr>
      </w:pPr>
      <w:hyperlink w:anchor="_Toc256000142" w:history="1">
        <w:r>
          <w:rPr>
            <w:rStyle w:val="Lienhypertexte"/>
          </w:rPr>
          <w:t>11.1.5. P5: promouvoir l’utilisation efficace des ressources et soutenir la transition vers une économie à faibles émissions de CO2 et résiliente aux changements climatiques, dans les secteurs agricol</w:t>
        </w:r>
        <w:r>
          <w:rPr>
            <w:rStyle w:val="Lienhypertexte"/>
          </w:rPr>
          <w:t>e et alimentaire ainsi que dans le secteur de la foresterie</w:t>
        </w:r>
        <w:r>
          <w:tab/>
        </w:r>
        <w:r>
          <w:fldChar w:fldCharType="begin"/>
        </w:r>
        <w:r>
          <w:instrText xml:space="preserve"> PAGEREF _Toc256000142 \h </w:instrText>
        </w:r>
        <w:r>
          <w:fldChar w:fldCharType="separate"/>
        </w:r>
        <w:r>
          <w:t>865</w:t>
        </w:r>
        <w:r>
          <w:fldChar w:fldCharType="end"/>
        </w:r>
      </w:hyperlink>
    </w:p>
    <w:p w:rsidR="0035701C" w:rsidRDefault="00FB561B">
      <w:pPr>
        <w:pStyle w:val="TM3"/>
        <w:rPr>
          <w:rFonts w:ascii="Calibri" w:hAnsi="Calibri"/>
          <w:noProof/>
          <w:sz w:val="22"/>
        </w:rPr>
      </w:pPr>
      <w:hyperlink w:anchor="_Toc256000143" w:history="1">
        <w:r>
          <w:rPr>
            <w:rStyle w:val="Lienhypertexte"/>
          </w:rPr>
          <w:t>11.1.6. P6: promouvoir l'inclusion sociale, la réduction de la pau</w:t>
        </w:r>
        <w:r>
          <w:rPr>
            <w:rStyle w:val="Lienhypertexte"/>
          </w:rPr>
          <w:t>vreté et le développement économique dans les zones rurales</w:t>
        </w:r>
        <w:r>
          <w:tab/>
        </w:r>
        <w:r>
          <w:fldChar w:fldCharType="begin"/>
        </w:r>
        <w:r>
          <w:instrText xml:space="preserve"> PAGEREF _Toc256000143 \h </w:instrText>
        </w:r>
        <w:r>
          <w:fldChar w:fldCharType="separate"/>
        </w:r>
        <w:r>
          <w:t>871</w:t>
        </w:r>
        <w:r>
          <w:fldChar w:fldCharType="end"/>
        </w:r>
      </w:hyperlink>
    </w:p>
    <w:p w:rsidR="0035701C" w:rsidRDefault="00FB561B">
      <w:pPr>
        <w:pStyle w:val="TM2"/>
        <w:rPr>
          <w:rFonts w:ascii="Calibri" w:hAnsi="Calibri"/>
          <w:noProof/>
          <w:sz w:val="22"/>
        </w:rPr>
      </w:pPr>
      <w:hyperlink w:anchor="_Toc256000144" w:history="1">
        <w:r>
          <w:rPr>
            <w:rStyle w:val="Lienhypertexte"/>
          </w:rPr>
          <w:t>11.2. Aperçu des résultats prévus et des dépenses prévues, par mes</w:t>
        </w:r>
        <w:r>
          <w:rPr>
            <w:rStyle w:val="Lienhypertexte"/>
          </w:rPr>
          <w:t>ure et par domaine prioritaire (généré automatiquement)</w:t>
        </w:r>
        <w:r>
          <w:tab/>
        </w:r>
        <w:r>
          <w:fldChar w:fldCharType="begin"/>
        </w:r>
        <w:r>
          <w:instrText xml:space="preserve"> PAGEREF _Toc256000144 \h </w:instrText>
        </w:r>
        <w:r>
          <w:fldChar w:fldCharType="separate"/>
        </w:r>
        <w:r>
          <w:t>876</w:t>
        </w:r>
        <w:r>
          <w:fldChar w:fldCharType="end"/>
        </w:r>
      </w:hyperlink>
    </w:p>
    <w:p w:rsidR="0035701C" w:rsidRDefault="00FB561B">
      <w:pPr>
        <w:pStyle w:val="TM2"/>
        <w:rPr>
          <w:rFonts w:ascii="Calibri" w:hAnsi="Calibri"/>
          <w:noProof/>
          <w:sz w:val="22"/>
        </w:rPr>
      </w:pPr>
      <w:hyperlink w:anchor="_Toc256000145" w:history="1">
        <w:r>
          <w:rPr>
            <w:rStyle w:val="Lienhypertexte"/>
          </w:rPr>
          <w:t>11.3. Effets secondaires: détermination des contributions potentielles</w:t>
        </w:r>
        <w:r>
          <w:rPr>
            <w:rStyle w:val="Lienhypertexte"/>
          </w:rPr>
          <w:t xml:space="preserve"> des mesures/sous-mesures de développement rural programmées au titre d’un domaine prioritaire donné à d’autres domaines prioritaires/cibles</w:t>
        </w:r>
        <w:r>
          <w:tab/>
        </w:r>
        <w:r>
          <w:fldChar w:fldCharType="begin"/>
        </w:r>
        <w:r>
          <w:instrText xml:space="preserve"> PAGEREF _Toc256000145 \h </w:instrText>
        </w:r>
        <w:r>
          <w:fldChar w:fldCharType="separate"/>
        </w:r>
        <w:r>
          <w:t>880</w:t>
        </w:r>
        <w:r>
          <w:fldChar w:fldCharType="end"/>
        </w:r>
      </w:hyperlink>
    </w:p>
    <w:p w:rsidR="0035701C" w:rsidRDefault="00FB561B">
      <w:pPr>
        <w:pStyle w:val="TM2"/>
        <w:rPr>
          <w:rFonts w:ascii="Calibri" w:hAnsi="Calibri"/>
          <w:noProof/>
          <w:sz w:val="22"/>
        </w:rPr>
      </w:pPr>
      <w:hyperlink w:anchor="_Toc256000146" w:history="1">
        <w:r>
          <w:rPr>
            <w:rStyle w:val="Lienhypertexte"/>
          </w:rPr>
          <w:t>11.4. Tableau montrant comment les mesures/régimes environnementaux sont programmés pour la réalisation d’un ou de plusieurs objectifs environnementaux/climatiques</w:t>
        </w:r>
        <w:r>
          <w:tab/>
        </w:r>
        <w:r>
          <w:fldChar w:fldCharType="begin"/>
        </w:r>
        <w:r>
          <w:instrText xml:space="preserve"> PAGEREF _Toc256000146 \h </w:instrText>
        </w:r>
        <w:r>
          <w:fldChar w:fldCharType="separate"/>
        </w:r>
        <w:r>
          <w:t>884</w:t>
        </w:r>
        <w:r>
          <w:fldChar w:fldCharType="end"/>
        </w:r>
      </w:hyperlink>
    </w:p>
    <w:p w:rsidR="0035701C" w:rsidRDefault="00FB561B">
      <w:pPr>
        <w:pStyle w:val="TM3"/>
        <w:rPr>
          <w:rFonts w:ascii="Calibri" w:hAnsi="Calibri"/>
          <w:noProof/>
          <w:sz w:val="22"/>
        </w:rPr>
      </w:pPr>
      <w:hyperlink w:anchor="_Toc256000147" w:history="1">
        <w:r>
          <w:rPr>
            <w:rStyle w:val="Lienhypertexte"/>
          </w:rPr>
          <w:t>11.4.1. Terres agricoles</w:t>
        </w:r>
        <w:r>
          <w:tab/>
        </w:r>
        <w:r>
          <w:fldChar w:fldCharType="begin"/>
        </w:r>
        <w:r>
          <w:instrText xml:space="preserve"> PAGEREF _Toc256000147 \h </w:instrText>
        </w:r>
        <w:r>
          <w:fldChar w:fldCharType="separate"/>
        </w:r>
        <w:r>
          <w:t>884</w:t>
        </w:r>
        <w:r>
          <w:fldChar w:fldCharType="end"/>
        </w:r>
      </w:hyperlink>
    </w:p>
    <w:p w:rsidR="0035701C" w:rsidRDefault="00FB561B">
      <w:pPr>
        <w:pStyle w:val="TM3"/>
        <w:rPr>
          <w:rFonts w:ascii="Calibri" w:hAnsi="Calibri"/>
          <w:noProof/>
          <w:sz w:val="22"/>
        </w:rPr>
      </w:pPr>
      <w:hyperlink w:anchor="_Toc256000148" w:history="1">
        <w:r>
          <w:rPr>
            <w:rStyle w:val="Lienhypertexte"/>
          </w:rPr>
          <w:t>11.4.2. Zones forestières</w:t>
        </w:r>
        <w:r>
          <w:tab/>
        </w:r>
        <w:r>
          <w:fldChar w:fldCharType="begin"/>
        </w:r>
        <w:r>
          <w:instrText xml:space="preserve"> PAGEREF _Toc2560001</w:instrText>
        </w:r>
        <w:r>
          <w:instrText xml:space="preserve">48 \h </w:instrText>
        </w:r>
        <w:r>
          <w:fldChar w:fldCharType="separate"/>
        </w:r>
        <w:r>
          <w:t>887</w:t>
        </w:r>
        <w:r>
          <w:fldChar w:fldCharType="end"/>
        </w:r>
      </w:hyperlink>
    </w:p>
    <w:p w:rsidR="0035701C" w:rsidRDefault="00FB561B">
      <w:pPr>
        <w:pStyle w:val="TM2"/>
        <w:rPr>
          <w:rFonts w:ascii="Calibri" w:hAnsi="Calibri"/>
          <w:noProof/>
          <w:sz w:val="22"/>
        </w:rPr>
      </w:pPr>
      <w:hyperlink w:anchor="_Toc256000149" w:history="1">
        <w:r>
          <w:rPr>
            <w:rStyle w:val="Lienhypertexte"/>
          </w:rPr>
          <w:t>11.5. Objectif et réalisation spécifique du programme</w:t>
        </w:r>
        <w:r>
          <w:tab/>
        </w:r>
        <w:r>
          <w:fldChar w:fldCharType="begin"/>
        </w:r>
        <w:r>
          <w:instrText xml:space="preserve"> PAGEREF _Toc256000149 \h </w:instrText>
        </w:r>
        <w:r>
          <w:fldChar w:fldCharType="separate"/>
        </w:r>
        <w:r>
          <w:t>888</w:t>
        </w:r>
        <w:r>
          <w:fldChar w:fldCharType="end"/>
        </w:r>
      </w:hyperlink>
    </w:p>
    <w:p w:rsidR="0035701C" w:rsidRDefault="00FB561B">
      <w:pPr>
        <w:pStyle w:val="TM1"/>
        <w:rPr>
          <w:rFonts w:ascii="Calibri" w:hAnsi="Calibri"/>
          <w:noProof/>
          <w:sz w:val="22"/>
        </w:rPr>
      </w:pPr>
      <w:hyperlink w:anchor="_Toc256000150" w:history="1">
        <w:r>
          <w:rPr>
            <w:rStyle w:val="Lienhypertexte"/>
          </w:rPr>
          <w:t>12. Financement national complémentaire</w:t>
        </w:r>
        <w:r>
          <w:tab/>
        </w:r>
        <w:r>
          <w:fldChar w:fldCharType="begin"/>
        </w:r>
        <w:r>
          <w:instrText xml:space="preserve"> PAGEREF _Toc256000150 \h </w:instrText>
        </w:r>
        <w:r>
          <w:fldChar w:fldCharType="separate"/>
        </w:r>
        <w:r>
          <w:t>889</w:t>
        </w:r>
        <w:r>
          <w:fldChar w:fldCharType="end"/>
        </w:r>
      </w:hyperlink>
    </w:p>
    <w:p w:rsidR="0035701C" w:rsidRDefault="00FB561B">
      <w:pPr>
        <w:pStyle w:val="TM2"/>
        <w:rPr>
          <w:rFonts w:ascii="Calibri" w:hAnsi="Calibri"/>
          <w:noProof/>
          <w:sz w:val="22"/>
        </w:rPr>
      </w:pPr>
      <w:hyperlink w:anchor="_Toc256000151" w:history="1">
        <w:r>
          <w:rPr>
            <w:rStyle w:val="Lienhypertexte"/>
          </w:rPr>
          <w:t>12.1. M01 - Transfert de connaissances et action</w:t>
        </w:r>
        <w:r>
          <w:rPr>
            <w:rStyle w:val="Lienhypertexte"/>
          </w:rPr>
          <w:t>s d'information (article 14)</w:t>
        </w:r>
        <w:r>
          <w:tab/>
        </w:r>
        <w:r>
          <w:fldChar w:fldCharType="begin"/>
        </w:r>
        <w:r>
          <w:instrText xml:space="preserve"> PAGEREF _Toc256000151 \h </w:instrText>
        </w:r>
        <w:r>
          <w:fldChar w:fldCharType="separate"/>
        </w:r>
        <w:r>
          <w:t>889</w:t>
        </w:r>
        <w:r>
          <w:fldChar w:fldCharType="end"/>
        </w:r>
      </w:hyperlink>
    </w:p>
    <w:p w:rsidR="0035701C" w:rsidRDefault="00FB561B">
      <w:pPr>
        <w:pStyle w:val="TM2"/>
        <w:rPr>
          <w:rFonts w:ascii="Calibri" w:hAnsi="Calibri"/>
          <w:noProof/>
          <w:sz w:val="22"/>
        </w:rPr>
      </w:pPr>
      <w:hyperlink w:anchor="_Toc256000152" w:history="1">
        <w:r>
          <w:rPr>
            <w:rStyle w:val="Lienhypertexte"/>
          </w:rPr>
          <w:t>12.2. M04 - Investissements physiques (article 17)</w:t>
        </w:r>
        <w:r>
          <w:tab/>
        </w:r>
        <w:r>
          <w:fldChar w:fldCharType="begin"/>
        </w:r>
        <w:r>
          <w:instrText xml:space="preserve"> PAGEREF _Toc256000152 \h </w:instrText>
        </w:r>
        <w:r>
          <w:fldChar w:fldCharType="separate"/>
        </w:r>
        <w:r>
          <w:t>889</w:t>
        </w:r>
        <w:r>
          <w:fldChar w:fldCharType="end"/>
        </w:r>
      </w:hyperlink>
    </w:p>
    <w:p w:rsidR="0035701C" w:rsidRDefault="00FB561B">
      <w:pPr>
        <w:pStyle w:val="TM2"/>
        <w:rPr>
          <w:rFonts w:ascii="Calibri" w:hAnsi="Calibri"/>
          <w:noProof/>
          <w:sz w:val="22"/>
        </w:rPr>
      </w:pPr>
      <w:hyperlink w:anchor="_Toc256000153" w:history="1">
        <w:r>
          <w:rPr>
            <w:rStyle w:val="Lienhypertexte"/>
          </w:rPr>
          <w:t xml:space="preserve">12.3. M05 - Reconstitution du potentiel de production agricole endommagé par des catastrophes naturelles et des événements catastrophiques et mise en place de mesures de </w:t>
        </w:r>
        <w:r>
          <w:rPr>
            <w:rStyle w:val="Lienhypertexte"/>
          </w:rPr>
          <w:t>prévention appropriées (article 18)</w:t>
        </w:r>
        <w:r>
          <w:tab/>
        </w:r>
        <w:r>
          <w:fldChar w:fldCharType="begin"/>
        </w:r>
        <w:r>
          <w:instrText xml:space="preserve"> PAGEREF _Toc256000153 \h </w:instrText>
        </w:r>
        <w:r>
          <w:fldChar w:fldCharType="separate"/>
        </w:r>
        <w:r>
          <w:t>890</w:t>
        </w:r>
        <w:r>
          <w:fldChar w:fldCharType="end"/>
        </w:r>
      </w:hyperlink>
    </w:p>
    <w:p w:rsidR="0035701C" w:rsidRDefault="00FB561B">
      <w:pPr>
        <w:pStyle w:val="TM2"/>
        <w:rPr>
          <w:rFonts w:ascii="Calibri" w:hAnsi="Calibri"/>
          <w:noProof/>
          <w:sz w:val="22"/>
        </w:rPr>
      </w:pPr>
      <w:hyperlink w:anchor="_Toc256000154" w:history="1">
        <w:r>
          <w:rPr>
            <w:rStyle w:val="Lienhypertexte"/>
          </w:rPr>
          <w:t>12.4. M06 - Développement des exploitations agricoles et des entreprises (article 19)</w:t>
        </w:r>
        <w:r>
          <w:tab/>
        </w:r>
        <w:r>
          <w:fldChar w:fldCharType="begin"/>
        </w:r>
        <w:r>
          <w:instrText xml:space="preserve"> PAG</w:instrText>
        </w:r>
        <w:r>
          <w:instrText xml:space="preserve">EREF _Toc256000154 \h </w:instrText>
        </w:r>
        <w:r>
          <w:fldChar w:fldCharType="separate"/>
        </w:r>
        <w:r>
          <w:t>890</w:t>
        </w:r>
        <w:r>
          <w:fldChar w:fldCharType="end"/>
        </w:r>
      </w:hyperlink>
    </w:p>
    <w:p w:rsidR="0035701C" w:rsidRDefault="00FB561B">
      <w:pPr>
        <w:pStyle w:val="TM2"/>
        <w:rPr>
          <w:rFonts w:ascii="Calibri" w:hAnsi="Calibri"/>
          <w:noProof/>
          <w:sz w:val="22"/>
        </w:rPr>
      </w:pPr>
      <w:hyperlink w:anchor="_Toc256000155" w:history="1">
        <w:r>
          <w:rPr>
            <w:rStyle w:val="Lienhypertexte"/>
          </w:rPr>
          <w:t>12.5. M07 - Services de base et rénovation des villages dans les zones rurales (article 20)</w:t>
        </w:r>
        <w:r>
          <w:tab/>
        </w:r>
        <w:r>
          <w:fldChar w:fldCharType="begin"/>
        </w:r>
        <w:r>
          <w:instrText xml:space="preserve"> PAGEREF _Toc256000155 \h </w:instrText>
        </w:r>
        <w:r>
          <w:fldChar w:fldCharType="separate"/>
        </w:r>
        <w:r>
          <w:t>890</w:t>
        </w:r>
        <w:r>
          <w:fldChar w:fldCharType="end"/>
        </w:r>
      </w:hyperlink>
    </w:p>
    <w:p w:rsidR="0035701C" w:rsidRDefault="00FB561B">
      <w:pPr>
        <w:pStyle w:val="TM2"/>
        <w:rPr>
          <w:rFonts w:ascii="Calibri" w:hAnsi="Calibri"/>
          <w:noProof/>
          <w:sz w:val="22"/>
        </w:rPr>
      </w:pPr>
      <w:hyperlink w:anchor="_Toc256000156" w:history="1">
        <w:r>
          <w:rPr>
            <w:rStyle w:val="Lienhypertexte"/>
          </w:rPr>
          <w:t>12.6. M08 - Investissements dans le développement des zones forestières et amélioration de la viabilité des forêts (articles 21 à 26)</w:t>
        </w:r>
        <w:r>
          <w:tab/>
        </w:r>
        <w:r>
          <w:fldChar w:fldCharType="begin"/>
        </w:r>
        <w:r>
          <w:instrText xml:space="preserve"> PAGEREF _Toc256000156 \h </w:instrText>
        </w:r>
        <w:r>
          <w:fldChar w:fldCharType="separate"/>
        </w:r>
        <w:r>
          <w:t>890</w:t>
        </w:r>
        <w:r>
          <w:fldChar w:fldCharType="end"/>
        </w:r>
      </w:hyperlink>
    </w:p>
    <w:p w:rsidR="0035701C" w:rsidRDefault="00FB561B">
      <w:pPr>
        <w:pStyle w:val="TM2"/>
        <w:rPr>
          <w:rFonts w:ascii="Calibri" w:hAnsi="Calibri"/>
          <w:noProof/>
          <w:sz w:val="22"/>
        </w:rPr>
      </w:pPr>
      <w:hyperlink w:anchor="_Toc256000157" w:history="1">
        <w:r>
          <w:rPr>
            <w:rStyle w:val="Lienhypertexte"/>
          </w:rPr>
          <w:t>12.7. M10 - Agroenvironnement - climat (article 28)</w:t>
        </w:r>
        <w:r>
          <w:tab/>
        </w:r>
        <w:r>
          <w:fldChar w:fldCharType="begin"/>
        </w:r>
        <w:r>
          <w:instrText xml:space="preserve"> PAGEREF _Toc256000157 \h </w:instrText>
        </w:r>
        <w:r>
          <w:fldChar w:fldCharType="separate"/>
        </w:r>
        <w:r>
          <w:t>891</w:t>
        </w:r>
        <w:r>
          <w:fldChar w:fldCharType="end"/>
        </w:r>
      </w:hyperlink>
    </w:p>
    <w:p w:rsidR="0035701C" w:rsidRDefault="00FB561B">
      <w:pPr>
        <w:pStyle w:val="TM2"/>
        <w:rPr>
          <w:rFonts w:ascii="Calibri" w:hAnsi="Calibri"/>
          <w:noProof/>
          <w:sz w:val="22"/>
        </w:rPr>
      </w:pPr>
      <w:hyperlink w:anchor="_Toc256000158" w:history="1">
        <w:r>
          <w:rPr>
            <w:rStyle w:val="Lienhypertexte"/>
          </w:rPr>
          <w:t>12.8. M11 - Agriculture biologique (article 29)</w:t>
        </w:r>
        <w:r>
          <w:tab/>
        </w:r>
        <w:r>
          <w:fldChar w:fldCharType="begin"/>
        </w:r>
        <w:r>
          <w:instrText xml:space="preserve"> PAGEREF _Toc256000158 \h </w:instrText>
        </w:r>
        <w:r>
          <w:fldChar w:fldCharType="separate"/>
        </w:r>
        <w:r>
          <w:t>891</w:t>
        </w:r>
        <w:r>
          <w:fldChar w:fldCharType="end"/>
        </w:r>
      </w:hyperlink>
    </w:p>
    <w:p w:rsidR="0035701C" w:rsidRDefault="00FB561B">
      <w:pPr>
        <w:pStyle w:val="TM2"/>
        <w:rPr>
          <w:rFonts w:ascii="Calibri" w:hAnsi="Calibri"/>
          <w:noProof/>
          <w:sz w:val="22"/>
        </w:rPr>
      </w:pPr>
      <w:hyperlink w:anchor="_Toc256000159" w:history="1">
        <w:r>
          <w:rPr>
            <w:rStyle w:val="Lienhypertexte"/>
          </w:rPr>
          <w:t>12.9. M13 - Paiements en faveur des zones soumises à</w:t>
        </w:r>
        <w:r>
          <w:rPr>
            <w:rStyle w:val="Lienhypertexte"/>
          </w:rPr>
          <w:t xml:space="preserve"> des contraintes naturelles ou à d'autres contraintes spécifiques (article 31)</w:t>
        </w:r>
        <w:r>
          <w:tab/>
        </w:r>
        <w:r>
          <w:fldChar w:fldCharType="begin"/>
        </w:r>
        <w:r>
          <w:instrText xml:space="preserve"> PAGEREF _Toc256000159 \h </w:instrText>
        </w:r>
        <w:r>
          <w:fldChar w:fldCharType="separate"/>
        </w:r>
        <w:r>
          <w:t>891</w:t>
        </w:r>
        <w:r>
          <w:fldChar w:fldCharType="end"/>
        </w:r>
      </w:hyperlink>
    </w:p>
    <w:p w:rsidR="0035701C" w:rsidRDefault="00FB561B">
      <w:pPr>
        <w:pStyle w:val="TM2"/>
        <w:rPr>
          <w:rFonts w:ascii="Calibri" w:hAnsi="Calibri"/>
          <w:noProof/>
          <w:sz w:val="22"/>
        </w:rPr>
      </w:pPr>
      <w:hyperlink w:anchor="_Toc256000160" w:history="1">
        <w:r>
          <w:rPr>
            <w:rStyle w:val="Lienhypertexte"/>
          </w:rPr>
          <w:t>12.10. M19 - Soutien au développement local Le</w:t>
        </w:r>
        <w:r>
          <w:rPr>
            <w:rStyle w:val="Lienhypertexte"/>
          </w:rPr>
          <w:t>ader (CLLD - développement local mené par les acteurs locaux) (article 35 du règlement (UE) n° 1303/2013)</w:t>
        </w:r>
        <w:r>
          <w:tab/>
        </w:r>
        <w:r>
          <w:fldChar w:fldCharType="begin"/>
        </w:r>
        <w:r>
          <w:instrText xml:space="preserve"> PAGEREF _Toc256000160 \h </w:instrText>
        </w:r>
        <w:r>
          <w:fldChar w:fldCharType="separate"/>
        </w:r>
        <w:r>
          <w:t>891</w:t>
        </w:r>
        <w:r>
          <w:fldChar w:fldCharType="end"/>
        </w:r>
      </w:hyperlink>
    </w:p>
    <w:p w:rsidR="0035701C" w:rsidRDefault="00FB561B">
      <w:pPr>
        <w:pStyle w:val="TM2"/>
        <w:rPr>
          <w:rFonts w:ascii="Calibri" w:hAnsi="Calibri"/>
          <w:noProof/>
          <w:sz w:val="22"/>
        </w:rPr>
      </w:pPr>
      <w:hyperlink w:anchor="_Toc256000161" w:history="1">
        <w:r>
          <w:rPr>
            <w:rStyle w:val="Lienhypertexte"/>
          </w:rPr>
          <w:t xml:space="preserve">12.11. M20 - </w:t>
        </w:r>
        <w:r>
          <w:rPr>
            <w:rStyle w:val="Lienhypertexte"/>
          </w:rPr>
          <w:t>Assistance technique demandée par les États membres (articles 51 à 54)</w:t>
        </w:r>
        <w:r>
          <w:tab/>
        </w:r>
        <w:r>
          <w:fldChar w:fldCharType="begin"/>
        </w:r>
        <w:r>
          <w:instrText xml:space="preserve"> PAGEREF _Toc256000161 \h </w:instrText>
        </w:r>
        <w:r>
          <w:fldChar w:fldCharType="separate"/>
        </w:r>
        <w:r>
          <w:t>891</w:t>
        </w:r>
        <w:r>
          <w:fldChar w:fldCharType="end"/>
        </w:r>
      </w:hyperlink>
    </w:p>
    <w:p w:rsidR="0035701C" w:rsidRDefault="00FB561B">
      <w:pPr>
        <w:pStyle w:val="TM1"/>
        <w:rPr>
          <w:rFonts w:ascii="Calibri" w:hAnsi="Calibri"/>
          <w:noProof/>
          <w:sz w:val="22"/>
        </w:rPr>
      </w:pPr>
      <w:hyperlink w:anchor="_Toc256000162" w:history="1">
        <w:r>
          <w:rPr>
            <w:rStyle w:val="Lienhypertexte"/>
          </w:rPr>
          <w:t>13. Éléments nécessaires pour l'évaluation relative au</w:t>
        </w:r>
        <w:r>
          <w:rPr>
            <w:rStyle w:val="Lienhypertexte"/>
          </w:rPr>
          <w:t>x aides d'État</w:t>
        </w:r>
        <w:r>
          <w:tab/>
        </w:r>
        <w:r>
          <w:fldChar w:fldCharType="begin"/>
        </w:r>
        <w:r>
          <w:instrText xml:space="preserve"> PAGEREF _Toc256000162 \h </w:instrText>
        </w:r>
        <w:r>
          <w:fldChar w:fldCharType="separate"/>
        </w:r>
        <w:r>
          <w:t>892</w:t>
        </w:r>
        <w:r>
          <w:fldChar w:fldCharType="end"/>
        </w:r>
      </w:hyperlink>
    </w:p>
    <w:p w:rsidR="0035701C" w:rsidRDefault="00FB561B">
      <w:pPr>
        <w:pStyle w:val="TM2"/>
        <w:rPr>
          <w:rFonts w:ascii="Calibri" w:hAnsi="Calibri"/>
          <w:noProof/>
          <w:sz w:val="22"/>
        </w:rPr>
      </w:pPr>
      <w:hyperlink w:anchor="_Toc256000163" w:history="1">
        <w:r>
          <w:rPr>
            <w:rStyle w:val="Lienhypertexte"/>
          </w:rPr>
          <w:t>13.1. M01 - Transfert de connaissances et actions d'information (article 14)</w:t>
        </w:r>
        <w:r>
          <w:tab/>
        </w:r>
        <w:r>
          <w:fldChar w:fldCharType="begin"/>
        </w:r>
        <w:r>
          <w:instrText xml:space="preserve"> PAGEREF _Toc256000163 \h </w:instrText>
        </w:r>
        <w:r>
          <w:fldChar w:fldCharType="separate"/>
        </w:r>
        <w:r>
          <w:t>894</w:t>
        </w:r>
        <w:r>
          <w:fldChar w:fldCharType="end"/>
        </w:r>
      </w:hyperlink>
    </w:p>
    <w:p w:rsidR="0035701C" w:rsidRDefault="00FB561B">
      <w:pPr>
        <w:pStyle w:val="TM2"/>
        <w:rPr>
          <w:rFonts w:ascii="Calibri" w:hAnsi="Calibri"/>
          <w:noProof/>
          <w:sz w:val="22"/>
        </w:rPr>
      </w:pPr>
      <w:hyperlink w:anchor="_Toc256000164" w:history="1">
        <w:r>
          <w:rPr>
            <w:rStyle w:val="Lienhypertexte"/>
          </w:rPr>
          <w:t>13.2. M04 - Investissements physiques (article 17)</w:t>
        </w:r>
        <w:r>
          <w:tab/>
        </w:r>
        <w:r>
          <w:fldChar w:fldCharType="begin"/>
        </w:r>
        <w:r>
          <w:instrText xml:space="preserve"> PAGEREF _Toc256000164 \h </w:instrText>
        </w:r>
        <w:r>
          <w:fldChar w:fldCharType="separate"/>
        </w:r>
        <w:r>
          <w:t>894</w:t>
        </w:r>
        <w:r>
          <w:fldChar w:fldCharType="end"/>
        </w:r>
      </w:hyperlink>
    </w:p>
    <w:p w:rsidR="0035701C" w:rsidRDefault="00FB561B">
      <w:pPr>
        <w:pStyle w:val="TM2"/>
        <w:rPr>
          <w:rFonts w:ascii="Calibri" w:hAnsi="Calibri"/>
          <w:noProof/>
          <w:sz w:val="22"/>
        </w:rPr>
      </w:pPr>
      <w:hyperlink w:anchor="_Toc256000165" w:history="1">
        <w:r>
          <w:rPr>
            <w:rStyle w:val="Lienhypertexte"/>
          </w:rPr>
          <w:t>13.3. M05 - Reconstitution du potentiel de production agricole endommagé par des catastrophes naturelles et des événements catastrophiques et mise en place de mesures de prévention appropriées (article 18)</w:t>
        </w:r>
        <w:r>
          <w:tab/>
        </w:r>
        <w:r>
          <w:fldChar w:fldCharType="begin"/>
        </w:r>
        <w:r>
          <w:instrText xml:space="preserve"> PAGEREF _Toc256000</w:instrText>
        </w:r>
        <w:r>
          <w:instrText xml:space="preserve">165 \h </w:instrText>
        </w:r>
        <w:r>
          <w:fldChar w:fldCharType="separate"/>
        </w:r>
        <w:r>
          <w:t>895</w:t>
        </w:r>
        <w:r>
          <w:fldChar w:fldCharType="end"/>
        </w:r>
      </w:hyperlink>
    </w:p>
    <w:p w:rsidR="0035701C" w:rsidRDefault="00FB561B">
      <w:pPr>
        <w:pStyle w:val="TM2"/>
        <w:rPr>
          <w:rFonts w:ascii="Calibri" w:hAnsi="Calibri"/>
          <w:noProof/>
          <w:sz w:val="22"/>
        </w:rPr>
      </w:pPr>
      <w:hyperlink w:anchor="_Toc256000166" w:history="1">
        <w:r>
          <w:rPr>
            <w:rStyle w:val="Lienhypertexte"/>
          </w:rPr>
          <w:t>13.4. M06 - Développement des exploitations agricoles et des entreprises (article 19)</w:t>
        </w:r>
        <w:r>
          <w:tab/>
        </w:r>
        <w:r>
          <w:fldChar w:fldCharType="begin"/>
        </w:r>
        <w:r>
          <w:instrText xml:space="preserve"> PAGEREF _Toc256000166 \h </w:instrText>
        </w:r>
        <w:r>
          <w:fldChar w:fldCharType="separate"/>
        </w:r>
        <w:r>
          <w:t>895</w:t>
        </w:r>
        <w:r>
          <w:fldChar w:fldCharType="end"/>
        </w:r>
      </w:hyperlink>
    </w:p>
    <w:p w:rsidR="0035701C" w:rsidRDefault="00FB561B">
      <w:pPr>
        <w:pStyle w:val="TM2"/>
        <w:rPr>
          <w:rFonts w:ascii="Calibri" w:hAnsi="Calibri"/>
          <w:noProof/>
          <w:sz w:val="22"/>
        </w:rPr>
      </w:pPr>
      <w:hyperlink w:anchor="_Toc256000167" w:history="1">
        <w:r>
          <w:rPr>
            <w:rStyle w:val="Lienhypertexte"/>
          </w:rPr>
          <w:t>13.5. M07 - Services de base et rénovation des villages dans les zones rurales (article 20)</w:t>
        </w:r>
        <w:r>
          <w:tab/>
        </w:r>
        <w:r>
          <w:fldChar w:fldCharType="begin"/>
        </w:r>
        <w:r>
          <w:instrText xml:space="preserve"> PAGEREF _Toc256000167 \h </w:instrText>
        </w:r>
        <w:r>
          <w:fldChar w:fldCharType="separate"/>
        </w:r>
        <w:r>
          <w:t>896</w:t>
        </w:r>
        <w:r>
          <w:fldChar w:fldCharType="end"/>
        </w:r>
      </w:hyperlink>
    </w:p>
    <w:p w:rsidR="0035701C" w:rsidRDefault="00FB561B">
      <w:pPr>
        <w:pStyle w:val="TM2"/>
        <w:rPr>
          <w:rFonts w:ascii="Calibri" w:hAnsi="Calibri"/>
          <w:noProof/>
          <w:sz w:val="22"/>
        </w:rPr>
      </w:pPr>
      <w:hyperlink w:anchor="_Toc256000168" w:history="1">
        <w:r>
          <w:rPr>
            <w:rStyle w:val="Lienhypertexte"/>
          </w:rPr>
          <w:t>13.6. M08 - Investissements dans le développement des zones forestières et amélioration de la viabilité des forêts (articles 21 à 26)</w:t>
        </w:r>
        <w:r>
          <w:tab/>
        </w:r>
        <w:r>
          <w:fldChar w:fldCharType="begin"/>
        </w:r>
        <w:r>
          <w:instrText xml:space="preserve"> PAGEREF _Toc256000168 \h </w:instrText>
        </w:r>
        <w:r>
          <w:fldChar w:fldCharType="separate"/>
        </w:r>
        <w:r>
          <w:t>897</w:t>
        </w:r>
        <w:r>
          <w:fldChar w:fldCharType="end"/>
        </w:r>
      </w:hyperlink>
    </w:p>
    <w:p w:rsidR="0035701C" w:rsidRDefault="00FB561B">
      <w:pPr>
        <w:pStyle w:val="TM2"/>
        <w:rPr>
          <w:rFonts w:ascii="Calibri" w:hAnsi="Calibri"/>
          <w:noProof/>
          <w:sz w:val="22"/>
        </w:rPr>
      </w:pPr>
      <w:hyperlink w:anchor="_Toc256000169" w:history="1">
        <w:r>
          <w:rPr>
            <w:rStyle w:val="Lienhypertexte"/>
          </w:rPr>
          <w:t>13.7. M10 - Agroenvironnement - climat (article 28)</w:t>
        </w:r>
        <w:r>
          <w:tab/>
        </w:r>
        <w:r>
          <w:fldChar w:fldCharType="begin"/>
        </w:r>
        <w:r>
          <w:instrText xml:space="preserve"> PAGEREF _Toc256000169 \h </w:instrText>
        </w:r>
        <w:r>
          <w:fldChar w:fldCharType="separate"/>
        </w:r>
        <w:r>
          <w:t>897</w:t>
        </w:r>
        <w:r>
          <w:fldChar w:fldCharType="end"/>
        </w:r>
      </w:hyperlink>
    </w:p>
    <w:p w:rsidR="0035701C" w:rsidRDefault="00FB561B">
      <w:pPr>
        <w:pStyle w:val="TM2"/>
        <w:rPr>
          <w:rFonts w:ascii="Calibri" w:hAnsi="Calibri"/>
          <w:noProof/>
          <w:sz w:val="22"/>
        </w:rPr>
      </w:pPr>
      <w:hyperlink w:anchor="_Toc256000170" w:history="1">
        <w:r>
          <w:rPr>
            <w:rStyle w:val="Lienhypertexte"/>
          </w:rPr>
          <w:t>13.8. M11 - Agriculture biologique (article 29)</w:t>
        </w:r>
        <w:r>
          <w:tab/>
        </w:r>
        <w:r>
          <w:fldChar w:fldCharType="begin"/>
        </w:r>
        <w:r>
          <w:instrText xml:space="preserve"> PAGEREF _Toc256000170 \h </w:instrText>
        </w:r>
        <w:r>
          <w:fldChar w:fldCharType="separate"/>
        </w:r>
        <w:r>
          <w:t>898</w:t>
        </w:r>
        <w:r>
          <w:fldChar w:fldCharType="end"/>
        </w:r>
      </w:hyperlink>
    </w:p>
    <w:p w:rsidR="0035701C" w:rsidRDefault="00FB561B">
      <w:pPr>
        <w:pStyle w:val="TM2"/>
        <w:rPr>
          <w:rFonts w:ascii="Calibri" w:hAnsi="Calibri"/>
          <w:noProof/>
          <w:sz w:val="22"/>
        </w:rPr>
      </w:pPr>
      <w:hyperlink w:anchor="_Toc256000171" w:history="1">
        <w:r>
          <w:rPr>
            <w:rStyle w:val="Lienhypertexte"/>
          </w:rPr>
          <w:t>13.9. M13 - Paiements en faveur des zones soumises à des contraintes naturelles ou à d'autres contraintes spécifiques (article 31)</w:t>
        </w:r>
        <w:r>
          <w:tab/>
        </w:r>
        <w:r>
          <w:fldChar w:fldCharType="begin"/>
        </w:r>
        <w:r>
          <w:instrText xml:space="preserve"> PAGEREF _Toc256000171 \h </w:instrText>
        </w:r>
        <w:r>
          <w:fldChar w:fldCharType="separate"/>
        </w:r>
        <w:r>
          <w:t>898</w:t>
        </w:r>
        <w:r>
          <w:fldChar w:fldCharType="end"/>
        </w:r>
      </w:hyperlink>
    </w:p>
    <w:p w:rsidR="0035701C" w:rsidRDefault="00FB561B">
      <w:pPr>
        <w:pStyle w:val="TM2"/>
        <w:rPr>
          <w:rFonts w:ascii="Calibri" w:hAnsi="Calibri"/>
          <w:noProof/>
          <w:sz w:val="22"/>
        </w:rPr>
      </w:pPr>
      <w:hyperlink w:anchor="_Toc256000172" w:history="1">
        <w:r>
          <w:rPr>
            <w:rStyle w:val="Lienhypertexte"/>
          </w:rPr>
          <w:t>13.10. M19 - Soutien au développement local Leader (CLLD - développement local mené par les acteurs locaux) (article 35 du règlement (UE) n° 1303/2013)</w:t>
        </w:r>
        <w:r>
          <w:tab/>
        </w:r>
        <w:r>
          <w:fldChar w:fldCharType="begin"/>
        </w:r>
        <w:r>
          <w:instrText xml:space="preserve"> PAGEREF _Toc256000172 \h </w:instrText>
        </w:r>
        <w:r>
          <w:fldChar w:fldCharType="separate"/>
        </w:r>
        <w:r>
          <w:t>899</w:t>
        </w:r>
        <w:r>
          <w:fldChar w:fldCharType="end"/>
        </w:r>
      </w:hyperlink>
    </w:p>
    <w:p w:rsidR="0035701C" w:rsidRDefault="00FB561B">
      <w:pPr>
        <w:pStyle w:val="TM2"/>
        <w:rPr>
          <w:rFonts w:ascii="Calibri" w:hAnsi="Calibri"/>
          <w:noProof/>
          <w:sz w:val="22"/>
        </w:rPr>
      </w:pPr>
      <w:hyperlink w:anchor="_Toc256000173" w:history="1">
        <w:r>
          <w:rPr>
            <w:rStyle w:val="Lienhypertexte"/>
          </w:rPr>
          <w:t>13.11. M20 - Assistance technique demandée par les États membres (articles 51 à 54)</w:t>
        </w:r>
        <w:r>
          <w:tab/>
        </w:r>
        <w:r>
          <w:fldChar w:fldCharType="begin"/>
        </w:r>
        <w:r>
          <w:instrText xml:space="preserve"> PAGEREF _Toc256000173 \h </w:instrText>
        </w:r>
        <w:r>
          <w:fldChar w:fldCharType="separate"/>
        </w:r>
        <w:r>
          <w:t>899</w:t>
        </w:r>
        <w:r>
          <w:fldChar w:fldCharType="end"/>
        </w:r>
      </w:hyperlink>
    </w:p>
    <w:p w:rsidR="0035701C" w:rsidRDefault="00FB561B">
      <w:pPr>
        <w:pStyle w:val="TM1"/>
        <w:rPr>
          <w:rFonts w:ascii="Calibri" w:hAnsi="Calibri"/>
          <w:noProof/>
          <w:sz w:val="22"/>
        </w:rPr>
      </w:pPr>
      <w:hyperlink w:anchor="_Toc256000174" w:history="1">
        <w:r>
          <w:rPr>
            <w:rStyle w:val="Lienhypertexte"/>
          </w:rPr>
          <w:t>14. Informations sur la complémentarité</w:t>
        </w:r>
        <w:r>
          <w:tab/>
        </w:r>
        <w:r>
          <w:fldChar w:fldCharType="begin"/>
        </w:r>
        <w:r>
          <w:instrText xml:space="preserve"> PAGEREF _Toc256000174 \h </w:instrText>
        </w:r>
        <w:r>
          <w:fldChar w:fldCharType="separate"/>
        </w:r>
        <w:r>
          <w:t>901</w:t>
        </w:r>
        <w:r>
          <w:fldChar w:fldCharType="end"/>
        </w:r>
      </w:hyperlink>
    </w:p>
    <w:p w:rsidR="0035701C" w:rsidRDefault="00FB561B">
      <w:pPr>
        <w:pStyle w:val="TM2"/>
        <w:rPr>
          <w:rFonts w:ascii="Calibri" w:hAnsi="Calibri"/>
          <w:noProof/>
          <w:sz w:val="22"/>
        </w:rPr>
      </w:pPr>
      <w:hyperlink w:anchor="_Toc256000175" w:history="1">
        <w:r>
          <w:rPr>
            <w:rStyle w:val="Lienhypertexte"/>
          </w:rPr>
          <w:t>14.1. Description des moyens d’assurer la complémentarité et la cohérence av</w:t>
        </w:r>
        <w:r>
          <w:rPr>
            <w:rStyle w:val="Lienhypertexte"/>
          </w:rPr>
          <w:t>ec:</w:t>
        </w:r>
        <w:r>
          <w:tab/>
        </w:r>
        <w:r>
          <w:fldChar w:fldCharType="begin"/>
        </w:r>
        <w:r>
          <w:instrText xml:space="preserve"> PAGEREF _Toc256000175 \h </w:instrText>
        </w:r>
        <w:r>
          <w:fldChar w:fldCharType="separate"/>
        </w:r>
        <w:r>
          <w:t>901</w:t>
        </w:r>
        <w:r>
          <w:fldChar w:fldCharType="end"/>
        </w:r>
      </w:hyperlink>
    </w:p>
    <w:p w:rsidR="0035701C" w:rsidRDefault="00FB561B">
      <w:pPr>
        <w:pStyle w:val="TM3"/>
        <w:rPr>
          <w:rFonts w:ascii="Calibri" w:hAnsi="Calibri"/>
          <w:noProof/>
          <w:sz w:val="22"/>
        </w:rPr>
      </w:pPr>
      <w:hyperlink w:anchor="_Toc256000176" w:history="1">
        <w:r>
          <w:rPr>
            <w:rStyle w:val="Lienhypertexte"/>
          </w:rPr>
          <w:t>14.1.1. Avec d’autres instruments de l’Union et, en particulier, avec les Fonds ESI, le pilier 1, dont l’écologisation, et</w:t>
        </w:r>
        <w:r>
          <w:rPr>
            <w:rStyle w:val="Lienhypertexte"/>
          </w:rPr>
          <w:t xml:space="preserve"> d’autres instruments de la politique agricole commune</w:t>
        </w:r>
        <w:r>
          <w:tab/>
        </w:r>
        <w:r>
          <w:fldChar w:fldCharType="begin"/>
        </w:r>
        <w:r>
          <w:instrText xml:space="preserve"> PAGEREF _Toc256000176 \h </w:instrText>
        </w:r>
        <w:r>
          <w:fldChar w:fldCharType="separate"/>
        </w:r>
        <w:r>
          <w:t>901</w:t>
        </w:r>
        <w:r>
          <w:fldChar w:fldCharType="end"/>
        </w:r>
      </w:hyperlink>
    </w:p>
    <w:p w:rsidR="0035701C" w:rsidRDefault="00FB561B">
      <w:pPr>
        <w:pStyle w:val="TM3"/>
        <w:rPr>
          <w:rFonts w:ascii="Calibri" w:hAnsi="Calibri"/>
          <w:noProof/>
          <w:sz w:val="22"/>
        </w:rPr>
      </w:pPr>
      <w:hyperlink w:anchor="_Toc256000177" w:history="1">
        <w:r>
          <w:rPr>
            <w:rStyle w:val="Lienhypertexte"/>
          </w:rPr>
          <w:t xml:space="preserve">14.1.2. Lorsqu'un État membre a choisi de soumettre un programme </w:t>
        </w:r>
        <w:r>
          <w:rPr>
            <w:rStyle w:val="Lienhypertexte"/>
          </w:rPr>
          <w:t>national et une série de programmes régionaux comme indiqué à l'article 6, paragraphe 2, du règlement (UE) n° 1305/2013, informations sur la complémentarité entre ces programmes</w:t>
        </w:r>
        <w:r>
          <w:tab/>
        </w:r>
        <w:r>
          <w:fldChar w:fldCharType="begin"/>
        </w:r>
        <w:r>
          <w:instrText xml:space="preserve"> PAGEREF _Toc256000177 \h </w:instrText>
        </w:r>
        <w:r>
          <w:fldChar w:fldCharType="separate"/>
        </w:r>
        <w:r>
          <w:t>907</w:t>
        </w:r>
        <w:r>
          <w:fldChar w:fldCharType="end"/>
        </w:r>
      </w:hyperlink>
    </w:p>
    <w:p w:rsidR="0035701C" w:rsidRDefault="00FB561B">
      <w:pPr>
        <w:pStyle w:val="TM2"/>
        <w:rPr>
          <w:rFonts w:ascii="Calibri" w:hAnsi="Calibri"/>
          <w:noProof/>
          <w:sz w:val="22"/>
        </w:rPr>
      </w:pPr>
      <w:hyperlink w:anchor="_Toc256000178" w:history="1">
        <w:r>
          <w:rPr>
            <w:rStyle w:val="Lienhypertexte"/>
          </w:rPr>
          <w:t>14.2. Le cas échéant, informations sur la complémentarité avec d’autres instruments de l’Union, dont LIFE</w:t>
        </w:r>
        <w:r>
          <w:tab/>
        </w:r>
        <w:r>
          <w:fldChar w:fldCharType="begin"/>
        </w:r>
        <w:r>
          <w:instrText xml:space="preserve"> PAGEREF _Toc256000178 \h </w:instrText>
        </w:r>
        <w:r>
          <w:fldChar w:fldCharType="separate"/>
        </w:r>
        <w:r>
          <w:t>908</w:t>
        </w:r>
        <w:r>
          <w:fldChar w:fldCharType="end"/>
        </w:r>
      </w:hyperlink>
    </w:p>
    <w:p w:rsidR="0035701C" w:rsidRDefault="00FB561B">
      <w:pPr>
        <w:pStyle w:val="TM1"/>
        <w:rPr>
          <w:rFonts w:ascii="Calibri" w:hAnsi="Calibri"/>
          <w:noProof/>
          <w:sz w:val="22"/>
        </w:rPr>
      </w:pPr>
      <w:hyperlink w:anchor="_Toc256000179" w:history="1">
        <w:r>
          <w:rPr>
            <w:rStyle w:val="Lienhypertexte"/>
          </w:rPr>
          <w:t>15. Modalités de mise en œuvre du programme</w:t>
        </w:r>
        <w:r>
          <w:tab/>
        </w:r>
        <w:r>
          <w:fldChar w:fldCharType="begin"/>
        </w:r>
        <w:r>
          <w:instrText xml:space="preserve"> PAGEREF _Toc256000179 \h </w:instrText>
        </w:r>
        <w:r>
          <w:fldChar w:fldCharType="separate"/>
        </w:r>
        <w:r>
          <w:t>911</w:t>
        </w:r>
        <w:r>
          <w:fldChar w:fldCharType="end"/>
        </w:r>
      </w:hyperlink>
    </w:p>
    <w:p w:rsidR="0035701C" w:rsidRDefault="00FB561B">
      <w:pPr>
        <w:pStyle w:val="TM2"/>
        <w:rPr>
          <w:rFonts w:ascii="Calibri" w:hAnsi="Calibri"/>
          <w:noProof/>
          <w:sz w:val="22"/>
        </w:rPr>
      </w:pPr>
      <w:hyperlink w:anchor="_Toc256000180" w:history="1">
        <w:r>
          <w:rPr>
            <w:rStyle w:val="Lienhypertexte"/>
          </w:rPr>
          <w:t xml:space="preserve">15.1. Désignation par l’État membre de toutes les </w:t>
        </w:r>
        <w:r>
          <w:rPr>
            <w:rStyle w:val="Lienhypertexte"/>
          </w:rPr>
          <w:t>autorités visées à l’article 65, paragraphe 2, du règlement (UE) n° 1305/2013 et description sommaire de la structure de gestion et de contrôle du programme requise par l’article 55, paragraphe 3, point i), du règlement (UE) n° 1303/2013 et les disposition</w:t>
        </w:r>
        <w:r>
          <w:rPr>
            <w:rStyle w:val="Lienhypertexte"/>
          </w:rPr>
          <w:t>s de l'article 74, paragraphe 3, du règlement (UE) n° 1303/2013</w:t>
        </w:r>
        <w:r>
          <w:tab/>
        </w:r>
        <w:r>
          <w:fldChar w:fldCharType="begin"/>
        </w:r>
        <w:r>
          <w:instrText xml:space="preserve"> PAGEREF _Toc256000180 \h </w:instrText>
        </w:r>
        <w:r>
          <w:fldChar w:fldCharType="separate"/>
        </w:r>
        <w:r>
          <w:t>911</w:t>
        </w:r>
        <w:r>
          <w:fldChar w:fldCharType="end"/>
        </w:r>
      </w:hyperlink>
    </w:p>
    <w:p w:rsidR="0035701C" w:rsidRDefault="00FB561B">
      <w:pPr>
        <w:pStyle w:val="TM3"/>
        <w:rPr>
          <w:rFonts w:ascii="Calibri" w:hAnsi="Calibri"/>
          <w:noProof/>
          <w:sz w:val="22"/>
        </w:rPr>
      </w:pPr>
      <w:hyperlink w:anchor="_Toc256000181" w:history="1">
        <w:r>
          <w:rPr>
            <w:rStyle w:val="Lienhypertexte"/>
          </w:rPr>
          <w:t>15.1.1. Autorités</w:t>
        </w:r>
        <w:r>
          <w:tab/>
        </w:r>
        <w:r>
          <w:fldChar w:fldCharType="begin"/>
        </w:r>
        <w:r>
          <w:instrText xml:space="preserve"> PAGEREF _Toc256000181 \h </w:instrText>
        </w:r>
        <w:r>
          <w:fldChar w:fldCharType="separate"/>
        </w:r>
        <w:r>
          <w:t>911</w:t>
        </w:r>
        <w:r>
          <w:fldChar w:fldCharType="end"/>
        </w:r>
      </w:hyperlink>
    </w:p>
    <w:p w:rsidR="0035701C" w:rsidRDefault="00FB561B">
      <w:pPr>
        <w:pStyle w:val="TM3"/>
        <w:rPr>
          <w:rFonts w:ascii="Calibri" w:hAnsi="Calibri"/>
          <w:noProof/>
          <w:sz w:val="22"/>
        </w:rPr>
      </w:pPr>
      <w:hyperlink w:anchor="_Toc256000182" w:history="1">
        <w:r>
          <w:rPr>
            <w:rStyle w:val="Lienhypertexte"/>
          </w:rPr>
          <w:t>15.1.2. Description sommaire de la structure de gestion et de contrôle du programme et des modalités de l'examen indépendant des plaintes</w:t>
        </w:r>
        <w:r>
          <w:tab/>
        </w:r>
        <w:r>
          <w:fldChar w:fldCharType="begin"/>
        </w:r>
        <w:r>
          <w:instrText xml:space="preserve"> PAGEREF _Toc256000182 \h </w:instrText>
        </w:r>
        <w:r>
          <w:fldChar w:fldCharType="separate"/>
        </w:r>
        <w:r>
          <w:t>911</w:t>
        </w:r>
        <w:r>
          <w:fldChar w:fldCharType="end"/>
        </w:r>
      </w:hyperlink>
    </w:p>
    <w:p w:rsidR="0035701C" w:rsidRDefault="00FB561B">
      <w:pPr>
        <w:pStyle w:val="TM2"/>
        <w:rPr>
          <w:rFonts w:ascii="Calibri" w:hAnsi="Calibri"/>
          <w:noProof/>
          <w:sz w:val="22"/>
        </w:rPr>
      </w:pPr>
      <w:hyperlink w:anchor="_Toc256000183" w:history="1">
        <w:r>
          <w:rPr>
            <w:rStyle w:val="Lienhypertexte"/>
          </w:rPr>
          <w:t>15.2. Composition envisagée du comité de suivi</w:t>
        </w:r>
        <w:r>
          <w:tab/>
        </w:r>
        <w:r>
          <w:fldChar w:fldCharType="begin"/>
        </w:r>
        <w:r>
          <w:instrText xml:space="preserve"> PAGEREF _Toc256000183 \h </w:instrText>
        </w:r>
        <w:r>
          <w:fldChar w:fldCharType="separate"/>
        </w:r>
        <w:r>
          <w:t>916</w:t>
        </w:r>
        <w:r>
          <w:fldChar w:fldCharType="end"/>
        </w:r>
      </w:hyperlink>
    </w:p>
    <w:p w:rsidR="0035701C" w:rsidRDefault="00FB561B">
      <w:pPr>
        <w:pStyle w:val="TM2"/>
        <w:rPr>
          <w:rFonts w:ascii="Calibri" w:hAnsi="Calibri"/>
          <w:noProof/>
          <w:sz w:val="22"/>
        </w:rPr>
      </w:pPr>
      <w:hyperlink w:anchor="_Toc256000184" w:history="1">
        <w:r>
          <w:rPr>
            <w:rStyle w:val="Lienhypertexte"/>
          </w:rPr>
          <w:t>15.3. Dispositions prévues pour assurer la publicité du programme, y compris au moyen du réseau rural national, en faisant référence à la stratégie d'information et de publicité, qui décrit en détail les dispositions pratiques en matièr</w:t>
        </w:r>
        <w:r>
          <w:rPr>
            <w:rStyle w:val="Lienhypertexte"/>
          </w:rPr>
          <w:t>e d'information et de publicité pour le programme, visées à l'article 13 du règlement (UE) n° 808/2014</w:t>
        </w:r>
        <w:r>
          <w:tab/>
        </w:r>
        <w:r>
          <w:fldChar w:fldCharType="begin"/>
        </w:r>
        <w:r>
          <w:instrText xml:space="preserve"> PAGEREF _Toc256000184 \h </w:instrText>
        </w:r>
        <w:r>
          <w:fldChar w:fldCharType="separate"/>
        </w:r>
        <w:r>
          <w:t>921</w:t>
        </w:r>
        <w:r>
          <w:fldChar w:fldCharType="end"/>
        </w:r>
      </w:hyperlink>
    </w:p>
    <w:p w:rsidR="0035701C" w:rsidRDefault="00FB561B">
      <w:pPr>
        <w:pStyle w:val="TM2"/>
        <w:rPr>
          <w:rFonts w:ascii="Calibri" w:hAnsi="Calibri"/>
          <w:noProof/>
          <w:sz w:val="22"/>
        </w:rPr>
      </w:pPr>
      <w:hyperlink w:anchor="_Toc256000185" w:history="1">
        <w:r>
          <w:rPr>
            <w:rStyle w:val="Lienhypertexte"/>
          </w:rPr>
          <w:t xml:space="preserve">15.4. Description des </w:t>
        </w:r>
        <w:r>
          <w:rPr>
            <w:rStyle w:val="Lienhypertexte"/>
          </w:rPr>
          <w:t xml:space="preserve">mécanismes qui assurent la cohérence avec les stratégies locales de développement mises en œuvre dans le cadre de Leader, les activités envisagées au titre de la mesure «Coopération» visée à l’article 35 du règlement (UE) n° 1305/2013, la mesure «Services </w:t>
        </w:r>
        <w:r>
          <w:rPr>
            <w:rStyle w:val="Lienhypertexte"/>
          </w:rPr>
          <w:t>de base et rénovation des villages dans les zones rurales» visée à l’article 20 de ce règlement, et des autres Fonds ESI</w:t>
        </w:r>
        <w:r>
          <w:tab/>
        </w:r>
        <w:r>
          <w:fldChar w:fldCharType="begin"/>
        </w:r>
        <w:r>
          <w:instrText xml:space="preserve"> PAGEREF _Toc256000185 \h </w:instrText>
        </w:r>
        <w:r>
          <w:fldChar w:fldCharType="separate"/>
        </w:r>
        <w:r>
          <w:t>922</w:t>
        </w:r>
        <w:r>
          <w:fldChar w:fldCharType="end"/>
        </w:r>
      </w:hyperlink>
    </w:p>
    <w:p w:rsidR="0035701C" w:rsidRDefault="00FB561B">
      <w:pPr>
        <w:pStyle w:val="TM2"/>
        <w:rPr>
          <w:rFonts w:ascii="Calibri" w:hAnsi="Calibri"/>
          <w:noProof/>
          <w:sz w:val="22"/>
        </w:rPr>
      </w:pPr>
      <w:hyperlink w:anchor="_Toc256000186" w:history="1">
        <w:r>
          <w:rPr>
            <w:rStyle w:val="Lienhypertexte"/>
          </w:rPr>
          <w:t>15.5</w:t>
        </w:r>
        <w:r>
          <w:rPr>
            <w:rStyle w:val="Lienhypertexte"/>
          </w:rPr>
          <w:t>. Description des actions visant à réduire la charge administrative pour les bénéficiaires au titre de l’article 27, paragraphe 1, du règlement (UE) n° 1303/2013</w:t>
        </w:r>
        <w:r>
          <w:tab/>
        </w:r>
        <w:r>
          <w:fldChar w:fldCharType="begin"/>
        </w:r>
        <w:r>
          <w:instrText xml:space="preserve"> PAGEREF _Toc256000186 \h </w:instrText>
        </w:r>
        <w:r>
          <w:fldChar w:fldCharType="separate"/>
        </w:r>
        <w:r>
          <w:t>923</w:t>
        </w:r>
        <w:r>
          <w:fldChar w:fldCharType="end"/>
        </w:r>
      </w:hyperlink>
    </w:p>
    <w:p w:rsidR="0035701C" w:rsidRDefault="00FB561B">
      <w:pPr>
        <w:pStyle w:val="TM2"/>
        <w:rPr>
          <w:rFonts w:ascii="Calibri" w:hAnsi="Calibri"/>
          <w:noProof/>
          <w:sz w:val="22"/>
        </w:rPr>
      </w:pPr>
      <w:hyperlink w:anchor="_Toc256000187" w:history="1">
        <w:r>
          <w:rPr>
            <w:rStyle w:val="Lienhypertexte"/>
          </w:rPr>
          <w:t>15.6. Description de l'usage de l'assistance technique, y compris les activités relatives à la préparation, à la gestion, au suivi, à l’évaluation, à l’information et au contrôle du programme et de sa mise en œuvre, ains</w:t>
        </w:r>
        <w:r>
          <w:rPr>
            <w:rStyle w:val="Lienhypertexte"/>
          </w:rPr>
          <w:t>i que les activités relatives aux périodes de programmations précédentes ou subséquentes visées à l'article 59, paragraphe 1, du règlement (UE) n° 1303/2013</w:t>
        </w:r>
        <w:r>
          <w:tab/>
        </w:r>
        <w:r>
          <w:fldChar w:fldCharType="begin"/>
        </w:r>
        <w:r>
          <w:instrText xml:space="preserve"> PAGEREF _Toc256000187 \h </w:instrText>
        </w:r>
        <w:r>
          <w:fldChar w:fldCharType="separate"/>
        </w:r>
        <w:r>
          <w:t>925</w:t>
        </w:r>
        <w:r>
          <w:fldChar w:fldCharType="end"/>
        </w:r>
      </w:hyperlink>
    </w:p>
    <w:p w:rsidR="0035701C" w:rsidRDefault="00FB561B">
      <w:pPr>
        <w:pStyle w:val="TM1"/>
        <w:rPr>
          <w:rFonts w:ascii="Calibri" w:hAnsi="Calibri"/>
          <w:noProof/>
          <w:sz w:val="22"/>
        </w:rPr>
      </w:pPr>
      <w:hyperlink w:anchor="_Toc256000188" w:history="1">
        <w:r>
          <w:rPr>
            <w:rStyle w:val="Lienhypertexte"/>
          </w:rPr>
          <w:t>16. Liste des mesures pour associer les partenaires</w:t>
        </w:r>
        <w:r>
          <w:tab/>
        </w:r>
        <w:r>
          <w:fldChar w:fldCharType="begin"/>
        </w:r>
        <w:r>
          <w:instrText xml:space="preserve"> PAGEREF _Toc256000188 \h </w:instrText>
        </w:r>
        <w:r>
          <w:fldChar w:fldCharType="separate"/>
        </w:r>
        <w:r>
          <w:t>928</w:t>
        </w:r>
        <w:r>
          <w:fldChar w:fldCharType="end"/>
        </w:r>
      </w:hyperlink>
    </w:p>
    <w:p w:rsidR="0035701C" w:rsidRDefault="00FB561B">
      <w:pPr>
        <w:pStyle w:val="TM2"/>
        <w:rPr>
          <w:rFonts w:ascii="Calibri" w:hAnsi="Calibri"/>
          <w:noProof/>
          <w:sz w:val="22"/>
        </w:rPr>
      </w:pPr>
      <w:hyperlink w:anchor="_Toc256000189" w:history="1">
        <w:r>
          <w:rPr>
            <w:rStyle w:val="Lienhypertexte"/>
          </w:rPr>
          <w:t>16.1. 1- Projets de réglements</w:t>
        </w:r>
        <w:r>
          <w:tab/>
        </w:r>
        <w:r>
          <w:fldChar w:fldCharType="begin"/>
        </w:r>
        <w:r>
          <w:instrText xml:space="preserve"> PAGEREF _T</w:instrText>
        </w:r>
        <w:r>
          <w:instrText xml:space="preserve">oc256000189 \h </w:instrText>
        </w:r>
        <w:r>
          <w:fldChar w:fldCharType="separate"/>
        </w:r>
        <w:r>
          <w:t>928</w:t>
        </w:r>
        <w:r>
          <w:fldChar w:fldCharType="end"/>
        </w:r>
      </w:hyperlink>
    </w:p>
    <w:p w:rsidR="0035701C" w:rsidRDefault="00FB561B">
      <w:pPr>
        <w:pStyle w:val="TM3"/>
        <w:rPr>
          <w:rFonts w:ascii="Calibri" w:hAnsi="Calibri"/>
          <w:noProof/>
          <w:sz w:val="22"/>
        </w:rPr>
      </w:pPr>
      <w:hyperlink w:anchor="_Toc256000190" w:history="1">
        <w:r>
          <w:rPr>
            <w:rStyle w:val="Lienhypertexte"/>
          </w:rPr>
          <w:t>16.1.1. Objet de la consultation correspondante</w:t>
        </w:r>
        <w:r>
          <w:tab/>
        </w:r>
        <w:r>
          <w:fldChar w:fldCharType="begin"/>
        </w:r>
        <w:r>
          <w:instrText xml:space="preserve"> PAGEREF _Toc256000190 \h </w:instrText>
        </w:r>
        <w:r>
          <w:fldChar w:fldCharType="separate"/>
        </w:r>
        <w:r>
          <w:t>928</w:t>
        </w:r>
        <w:r>
          <w:fldChar w:fldCharType="end"/>
        </w:r>
      </w:hyperlink>
    </w:p>
    <w:p w:rsidR="0035701C" w:rsidRDefault="00FB561B">
      <w:pPr>
        <w:pStyle w:val="TM3"/>
        <w:rPr>
          <w:rFonts w:ascii="Calibri" w:hAnsi="Calibri"/>
          <w:noProof/>
          <w:sz w:val="22"/>
        </w:rPr>
      </w:pPr>
      <w:hyperlink w:anchor="_Toc256000191" w:history="1">
        <w:r>
          <w:rPr>
            <w:rStyle w:val="Lienhypertexte"/>
          </w:rPr>
          <w:t>16.1.2. Résumé des résultats</w:t>
        </w:r>
        <w:r>
          <w:tab/>
        </w:r>
        <w:r>
          <w:fldChar w:fldCharType="begin"/>
        </w:r>
        <w:r>
          <w:instrText xml:space="preserve"> PAGEREF _Toc256000191 \h </w:instrText>
        </w:r>
        <w:r>
          <w:fldChar w:fldCharType="separate"/>
        </w:r>
        <w:r>
          <w:t>928</w:t>
        </w:r>
        <w:r>
          <w:fldChar w:fldCharType="end"/>
        </w:r>
      </w:hyperlink>
    </w:p>
    <w:p w:rsidR="0035701C" w:rsidRDefault="00FB561B">
      <w:pPr>
        <w:pStyle w:val="TM2"/>
        <w:rPr>
          <w:rFonts w:ascii="Calibri" w:hAnsi="Calibri"/>
          <w:noProof/>
          <w:sz w:val="22"/>
        </w:rPr>
      </w:pPr>
      <w:hyperlink w:anchor="_Toc256000192" w:history="1">
        <w:r>
          <w:rPr>
            <w:rStyle w:val="Lienhypertexte"/>
          </w:rPr>
          <w:t>16.2. 2- Orientations stratégiques</w:t>
        </w:r>
        <w:r>
          <w:tab/>
        </w:r>
        <w:r>
          <w:fldChar w:fldCharType="begin"/>
        </w:r>
        <w:r>
          <w:instrText xml:space="preserve"> PAGEREF _Toc256000</w:instrText>
        </w:r>
        <w:r>
          <w:instrText xml:space="preserve">192 \h </w:instrText>
        </w:r>
        <w:r>
          <w:fldChar w:fldCharType="separate"/>
        </w:r>
        <w:r>
          <w:t>929</w:t>
        </w:r>
        <w:r>
          <w:fldChar w:fldCharType="end"/>
        </w:r>
      </w:hyperlink>
    </w:p>
    <w:p w:rsidR="0035701C" w:rsidRDefault="00FB561B">
      <w:pPr>
        <w:pStyle w:val="TM3"/>
        <w:rPr>
          <w:rFonts w:ascii="Calibri" w:hAnsi="Calibri"/>
          <w:noProof/>
          <w:sz w:val="22"/>
        </w:rPr>
      </w:pPr>
      <w:hyperlink w:anchor="_Toc256000193" w:history="1">
        <w:r>
          <w:rPr>
            <w:rStyle w:val="Lienhypertexte"/>
          </w:rPr>
          <w:t>16.2.1. Objet de la consultation correspondante</w:t>
        </w:r>
        <w:r>
          <w:tab/>
        </w:r>
        <w:r>
          <w:fldChar w:fldCharType="begin"/>
        </w:r>
        <w:r>
          <w:instrText xml:space="preserve"> PAGEREF _Toc256000193 \h </w:instrText>
        </w:r>
        <w:r>
          <w:fldChar w:fldCharType="separate"/>
        </w:r>
        <w:r>
          <w:t>929</w:t>
        </w:r>
        <w:r>
          <w:fldChar w:fldCharType="end"/>
        </w:r>
      </w:hyperlink>
    </w:p>
    <w:p w:rsidR="0035701C" w:rsidRDefault="00FB561B">
      <w:pPr>
        <w:pStyle w:val="TM3"/>
        <w:rPr>
          <w:rFonts w:ascii="Calibri" w:hAnsi="Calibri"/>
          <w:noProof/>
          <w:sz w:val="22"/>
        </w:rPr>
      </w:pPr>
      <w:hyperlink w:anchor="_Toc256000194" w:history="1">
        <w:r>
          <w:rPr>
            <w:rStyle w:val="Lienhypertexte"/>
          </w:rPr>
          <w:t>16.2.2. Résumé des résultats</w:t>
        </w:r>
        <w:r>
          <w:tab/>
        </w:r>
        <w:r>
          <w:fldChar w:fldCharType="begin"/>
        </w:r>
        <w:r>
          <w:instrText xml:space="preserve"> PAGEREF _Toc256000194 \h </w:instrText>
        </w:r>
        <w:r>
          <w:fldChar w:fldCharType="separate"/>
        </w:r>
        <w:r>
          <w:t>931</w:t>
        </w:r>
        <w:r>
          <w:fldChar w:fldCharType="end"/>
        </w:r>
      </w:hyperlink>
    </w:p>
    <w:p w:rsidR="0035701C" w:rsidRDefault="00FB561B">
      <w:pPr>
        <w:pStyle w:val="TM2"/>
        <w:rPr>
          <w:rFonts w:ascii="Calibri" w:hAnsi="Calibri"/>
          <w:noProof/>
          <w:sz w:val="22"/>
        </w:rPr>
      </w:pPr>
      <w:hyperlink w:anchor="_Toc256000195" w:history="1">
        <w:r>
          <w:rPr>
            <w:rStyle w:val="Lienhypertexte"/>
          </w:rPr>
          <w:t>16.3. 3- Consultation filières agricoles</w:t>
        </w:r>
        <w:r>
          <w:tab/>
        </w:r>
        <w:r>
          <w:fldChar w:fldCharType="begin"/>
        </w:r>
        <w:r>
          <w:instrText xml:space="preserve"> PAGEREF _Toc256000195 \h </w:instrText>
        </w:r>
        <w:r>
          <w:fldChar w:fldCharType="separate"/>
        </w:r>
        <w:r>
          <w:t>932</w:t>
        </w:r>
        <w:r>
          <w:fldChar w:fldCharType="end"/>
        </w:r>
      </w:hyperlink>
    </w:p>
    <w:p w:rsidR="0035701C" w:rsidRDefault="00FB561B">
      <w:pPr>
        <w:pStyle w:val="TM3"/>
        <w:rPr>
          <w:rFonts w:ascii="Calibri" w:hAnsi="Calibri"/>
          <w:noProof/>
          <w:sz w:val="22"/>
        </w:rPr>
      </w:pPr>
      <w:hyperlink w:anchor="_Toc256000196" w:history="1">
        <w:r>
          <w:rPr>
            <w:rStyle w:val="Lienhypertexte"/>
          </w:rPr>
          <w:t>16.3.1. Objet de la consultation correspondante</w:t>
        </w:r>
        <w:r>
          <w:tab/>
        </w:r>
        <w:r>
          <w:fldChar w:fldCharType="begin"/>
        </w:r>
        <w:r>
          <w:instrText xml:space="preserve"> PAGEREF _Toc256000196 \h </w:instrText>
        </w:r>
        <w:r>
          <w:fldChar w:fldCharType="separate"/>
        </w:r>
        <w:r>
          <w:t>932</w:t>
        </w:r>
        <w:r>
          <w:fldChar w:fldCharType="end"/>
        </w:r>
      </w:hyperlink>
    </w:p>
    <w:p w:rsidR="0035701C" w:rsidRDefault="00FB561B">
      <w:pPr>
        <w:pStyle w:val="TM3"/>
        <w:rPr>
          <w:rFonts w:ascii="Calibri" w:hAnsi="Calibri"/>
          <w:noProof/>
          <w:sz w:val="22"/>
        </w:rPr>
      </w:pPr>
      <w:hyperlink w:anchor="_Toc256000197" w:history="1">
        <w:r>
          <w:rPr>
            <w:rStyle w:val="Lienhypertexte"/>
          </w:rPr>
          <w:t>16.3.2. Résumé des résultats</w:t>
        </w:r>
        <w:r>
          <w:tab/>
        </w:r>
        <w:r>
          <w:fldChar w:fldCharType="begin"/>
        </w:r>
        <w:r>
          <w:instrText xml:space="preserve"> PAGEREF _Toc256000197 \h </w:instrText>
        </w:r>
        <w:r>
          <w:fldChar w:fldCharType="separate"/>
        </w:r>
        <w:r>
          <w:t>933</w:t>
        </w:r>
        <w:r>
          <w:fldChar w:fldCharType="end"/>
        </w:r>
      </w:hyperlink>
    </w:p>
    <w:p w:rsidR="0035701C" w:rsidRDefault="00FB561B">
      <w:pPr>
        <w:pStyle w:val="TM2"/>
        <w:rPr>
          <w:rFonts w:ascii="Calibri" w:hAnsi="Calibri"/>
          <w:noProof/>
          <w:sz w:val="22"/>
        </w:rPr>
      </w:pPr>
      <w:hyperlink w:anchor="_Toc256000198" w:history="1">
        <w:r>
          <w:rPr>
            <w:rStyle w:val="Lienhypertexte"/>
          </w:rPr>
          <w:t>16.4. 4- Consultation Réseau Rural</w:t>
        </w:r>
        <w:r>
          <w:tab/>
        </w:r>
        <w:r>
          <w:fldChar w:fldCharType="begin"/>
        </w:r>
        <w:r>
          <w:instrText xml:space="preserve"> PAGEREF _Toc256000198 \h </w:instrText>
        </w:r>
        <w:r>
          <w:fldChar w:fldCharType="separate"/>
        </w:r>
        <w:r>
          <w:t>933</w:t>
        </w:r>
        <w:r>
          <w:fldChar w:fldCharType="end"/>
        </w:r>
      </w:hyperlink>
    </w:p>
    <w:p w:rsidR="0035701C" w:rsidRDefault="00FB561B">
      <w:pPr>
        <w:pStyle w:val="TM3"/>
        <w:rPr>
          <w:rFonts w:ascii="Calibri" w:hAnsi="Calibri"/>
          <w:noProof/>
          <w:sz w:val="22"/>
        </w:rPr>
      </w:pPr>
      <w:hyperlink w:anchor="_Toc256000199" w:history="1">
        <w:r>
          <w:rPr>
            <w:rStyle w:val="Lienhypertexte"/>
          </w:rPr>
          <w:t>16.4.1. Objet de la consultation correspondante</w:t>
        </w:r>
        <w:r>
          <w:tab/>
        </w:r>
        <w:r>
          <w:fldChar w:fldCharType="begin"/>
        </w:r>
        <w:r>
          <w:instrText xml:space="preserve"> PAGEREF _Toc256000199 \h </w:instrText>
        </w:r>
        <w:r>
          <w:fldChar w:fldCharType="separate"/>
        </w:r>
        <w:r>
          <w:t>933</w:t>
        </w:r>
        <w:r>
          <w:fldChar w:fldCharType="end"/>
        </w:r>
      </w:hyperlink>
    </w:p>
    <w:p w:rsidR="0035701C" w:rsidRDefault="00FB561B">
      <w:pPr>
        <w:pStyle w:val="TM3"/>
        <w:rPr>
          <w:rFonts w:ascii="Calibri" w:hAnsi="Calibri"/>
          <w:noProof/>
          <w:sz w:val="22"/>
        </w:rPr>
      </w:pPr>
      <w:hyperlink w:anchor="_Toc256000200" w:history="1">
        <w:r>
          <w:rPr>
            <w:rStyle w:val="Lienhypertexte"/>
          </w:rPr>
          <w:t>16.4.2. Résumé des résultats</w:t>
        </w:r>
        <w:r>
          <w:tab/>
        </w:r>
        <w:r>
          <w:fldChar w:fldCharType="begin"/>
        </w:r>
        <w:r>
          <w:instrText xml:space="preserve"> PAGEREF _Toc256000200 \h </w:instrText>
        </w:r>
        <w:r>
          <w:fldChar w:fldCharType="separate"/>
        </w:r>
        <w:r>
          <w:t>934</w:t>
        </w:r>
        <w:r>
          <w:fldChar w:fldCharType="end"/>
        </w:r>
      </w:hyperlink>
    </w:p>
    <w:p w:rsidR="0035701C" w:rsidRDefault="00FB561B">
      <w:pPr>
        <w:pStyle w:val="TM2"/>
        <w:rPr>
          <w:rFonts w:ascii="Calibri" w:hAnsi="Calibri"/>
          <w:noProof/>
          <w:sz w:val="22"/>
        </w:rPr>
      </w:pPr>
      <w:hyperlink w:anchor="_Toc256000201" w:history="1">
        <w:r>
          <w:rPr>
            <w:rStyle w:val="Lienhypertexte"/>
          </w:rPr>
          <w:t>16.5. 5 - Consultation publique</w:t>
        </w:r>
        <w:r>
          <w:tab/>
        </w:r>
        <w:r>
          <w:fldChar w:fldCharType="begin"/>
        </w:r>
        <w:r>
          <w:instrText xml:space="preserve"> PAGEREF _Toc256000201 \h </w:instrText>
        </w:r>
        <w:r>
          <w:fldChar w:fldCharType="separate"/>
        </w:r>
        <w:r>
          <w:t>936</w:t>
        </w:r>
        <w:r>
          <w:fldChar w:fldCharType="end"/>
        </w:r>
      </w:hyperlink>
    </w:p>
    <w:p w:rsidR="0035701C" w:rsidRDefault="00FB561B">
      <w:pPr>
        <w:pStyle w:val="TM3"/>
        <w:rPr>
          <w:rFonts w:ascii="Calibri" w:hAnsi="Calibri"/>
          <w:noProof/>
          <w:sz w:val="22"/>
        </w:rPr>
      </w:pPr>
      <w:hyperlink w:anchor="_Toc256000202" w:history="1">
        <w:r>
          <w:rPr>
            <w:rStyle w:val="Lienhypertexte"/>
          </w:rPr>
          <w:t>16.5.1. Objet de la consultation correspondante</w:t>
        </w:r>
        <w:r>
          <w:tab/>
        </w:r>
        <w:r>
          <w:fldChar w:fldCharType="begin"/>
        </w:r>
        <w:r>
          <w:instrText xml:space="preserve"> PAGEREF _Toc256000202 \h </w:instrText>
        </w:r>
        <w:r>
          <w:fldChar w:fldCharType="separate"/>
        </w:r>
        <w:r>
          <w:t>936</w:t>
        </w:r>
        <w:r>
          <w:fldChar w:fldCharType="end"/>
        </w:r>
      </w:hyperlink>
    </w:p>
    <w:p w:rsidR="0035701C" w:rsidRDefault="00FB561B">
      <w:pPr>
        <w:pStyle w:val="TM3"/>
        <w:rPr>
          <w:rFonts w:ascii="Calibri" w:hAnsi="Calibri"/>
          <w:noProof/>
          <w:sz w:val="22"/>
        </w:rPr>
      </w:pPr>
      <w:hyperlink w:anchor="_Toc256000203" w:history="1">
        <w:r>
          <w:rPr>
            <w:rStyle w:val="Lienhypertexte"/>
          </w:rPr>
          <w:t>16.5.2. Résumé des résultats</w:t>
        </w:r>
        <w:r>
          <w:tab/>
        </w:r>
        <w:r>
          <w:fldChar w:fldCharType="begin"/>
        </w:r>
        <w:r>
          <w:instrText xml:space="preserve"> PAGEREF _Toc256000203 \h </w:instrText>
        </w:r>
        <w:r>
          <w:fldChar w:fldCharType="separate"/>
        </w:r>
        <w:r>
          <w:t>937</w:t>
        </w:r>
        <w:r>
          <w:fldChar w:fldCharType="end"/>
        </w:r>
      </w:hyperlink>
    </w:p>
    <w:p w:rsidR="0035701C" w:rsidRDefault="00FB561B">
      <w:pPr>
        <w:pStyle w:val="TM2"/>
        <w:rPr>
          <w:rFonts w:ascii="Calibri" w:hAnsi="Calibri"/>
          <w:noProof/>
          <w:sz w:val="22"/>
        </w:rPr>
      </w:pPr>
      <w:hyperlink w:anchor="_Toc256000204" w:history="1">
        <w:r>
          <w:rPr>
            <w:rStyle w:val="Lienhypertexte"/>
          </w:rPr>
          <w:t>16.6. 6 - Participation de l'Office de l'Environnement</w:t>
        </w:r>
        <w:r>
          <w:tab/>
        </w:r>
        <w:r>
          <w:fldChar w:fldCharType="begin"/>
        </w:r>
        <w:r>
          <w:instrText xml:space="preserve"> PAGEREF _Toc25600020</w:instrText>
        </w:r>
        <w:r>
          <w:instrText xml:space="preserve">4 \h </w:instrText>
        </w:r>
        <w:r>
          <w:fldChar w:fldCharType="separate"/>
        </w:r>
        <w:r>
          <w:t>937</w:t>
        </w:r>
        <w:r>
          <w:fldChar w:fldCharType="end"/>
        </w:r>
      </w:hyperlink>
    </w:p>
    <w:p w:rsidR="0035701C" w:rsidRDefault="00FB561B">
      <w:pPr>
        <w:pStyle w:val="TM3"/>
        <w:rPr>
          <w:rFonts w:ascii="Calibri" w:hAnsi="Calibri"/>
          <w:noProof/>
          <w:sz w:val="22"/>
        </w:rPr>
      </w:pPr>
      <w:hyperlink w:anchor="_Toc256000205" w:history="1">
        <w:r>
          <w:rPr>
            <w:rStyle w:val="Lienhypertexte"/>
          </w:rPr>
          <w:t>16.6.1. Objet de la consultation correspondante</w:t>
        </w:r>
        <w:r>
          <w:tab/>
        </w:r>
        <w:r>
          <w:fldChar w:fldCharType="begin"/>
        </w:r>
        <w:r>
          <w:instrText xml:space="preserve"> PAGEREF _Toc256000205 \h </w:instrText>
        </w:r>
        <w:r>
          <w:fldChar w:fldCharType="separate"/>
        </w:r>
        <w:r>
          <w:t>937</w:t>
        </w:r>
        <w:r>
          <w:fldChar w:fldCharType="end"/>
        </w:r>
      </w:hyperlink>
    </w:p>
    <w:p w:rsidR="0035701C" w:rsidRDefault="00FB561B">
      <w:pPr>
        <w:pStyle w:val="TM3"/>
        <w:rPr>
          <w:rFonts w:ascii="Calibri" w:hAnsi="Calibri"/>
          <w:noProof/>
          <w:sz w:val="22"/>
        </w:rPr>
      </w:pPr>
      <w:hyperlink w:anchor="_Toc256000206" w:history="1">
        <w:r>
          <w:rPr>
            <w:rStyle w:val="Lienhypertexte"/>
          </w:rPr>
          <w:t>16.6.2. Résumé des résultats</w:t>
        </w:r>
        <w:r>
          <w:tab/>
        </w:r>
        <w:r>
          <w:fldChar w:fldCharType="begin"/>
        </w:r>
        <w:r>
          <w:instrText xml:space="preserve"> PAGEREF _Toc256000206 \h </w:instrText>
        </w:r>
        <w:r>
          <w:fldChar w:fldCharType="separate"/>
        </w:r>
        <w:r>
          <w:t>937</w:t>
        </w:r>
        <w:r>
          <w:fldChar w:fldCharType="end"/>
        </w:r>
      </w:hyperlink>
    </w:p>
    <w:p w:rsidR="0035701C" w:rsidRDefault="00FB561B">
      <w:pPr>
        <w:pStyle w:val="TM2"/>
        <w:rPr>
          <w:rFonts w:ascii="Calibri" w:hAnsi="Calibri"/>
          <w:noProof/>
          <w:sz w:val="22"/>
        </w:rPr>
      </w:pPr>
      <w:hyperlink w:anchor="_Toc256000207" w:history="1">
        <w:r>
          <w:rPr>
            <w:rStyle w:val="Lienhypertexte"/>
          </w:rPr>
          <w:t>16.7. 7 - Participation des Départements de Haute Corse et de la</w:t>
        </w:r>
        <w:r>
          <w:rPr>
            <w:rStyle w:val="Lienhypertexte"/>
          </w:rPr>
          <w:t xml:space="preserve"> DRAAF à l’élaboration de la stratégie DFCI</w:t>
        </w:r>
        <w:r>
          <w:tab/>
        </w:r>
        <w:r>
          <w:fldChar w:fldCharType="begin"/>
        </w:r>
        <w:r>
          <w:instrText xml:space="preserve"> PAGEREF _Toc256000207 \h </w:instrText>
        </w:r>
        <w:r>
          <w:fldChar w:fldCharType="separate"/>
        </w:r>
        <w:r>
          <w:t>938</w:t>
        </w:r>
        <w:r>
          <w:fldChar w:fldCharType="end"/>
        </w:r>
      </w:hyperlink>
    </w:p>
    <w:p w:rsidR="0035701C" w:rsidRDefault="00FB561B">
      <w:pPr>
        <w:pStyle w:val="TM3"/>
        <w:rPr>
          <w:rFonts w:ascii="Calibri" w:hAnsi="Calibri"/>
          <w:noProof/>
          <w:sz w:val="22"/>
        </w:rPr>
      </w:pPr>
      <w:hyperlink w:anchor="_Toc256000208" w:history="1">
        <w:r>
          <w:rPr>
            <w:rStyle w:val="Lienhypertexte"/>
          </w:rPr>
          <w:t>16.7.1. Objet de la consultation correspondante</w:t>
        </w:r>
        <w:r>
          <w:tab/>
        </w:r>
        <w:r>
          <w:fldChar w:fldCharType="begin"/>
        </w:r>
        <w:r>
          <w:instrText xml:space="preserve"> PAGEREF _Toc256000208 \h </w:instrText>
        </w:r>
        <w:r>
          <w:fldChar w:fldCharType="separate"/>
        </w:r>
        <w:r>
          <w:t>938</w:t>
        </w:r>
        <w:r>
          <w:fldChar w:fldCharType="end"/>
        </w:r>
      </w:hyperlink>
    </w:p>
    <w:p w:rsidR="0035701C" w:rsidRDefault="00FB561B">
      <w:pPr>
        <w:pStyle w:val="TM3"/>
        <w:rPr>
          <w:rFonts w:ascii="Calibri" w:hAnsi="Calibri"/>
          <w:noProof/>
          <w:sz w:val="22"/>
        </w:rPr>
      </w:pPr>
      <w:hyperlink w:anchor="_Toc256000209" w:history="1">
        <w:r>
          <w:rPr>
            <w:rStyle w:val="Lienhypertexte"/>
          </w:rPr>
          <w:t>16.7.2. Résumé des résultats</w:t>
        </w:r>
        <w:r>
          <w:tab/>
        </w:r>
        <w:r>
          <w:fldChar w:fldCharType="begin"/>
        </w:r>
        <w:r>
          <w:instrText xml:space="preserve"> PAGEREF _Toc256000209 \h </w:instrText>
        </w:r>
        <w:r>
          <w:fldChar w:fldCharType="separate"/>
        </w:r>
        <w:r>
          <w:t>938</w:t>
        </w:r>
        <w:r>
          <w:fldChar w:fldCharType="end"/>
        </w:r>
      </w:hyperlink>
    </w:p>
    <w:p w:rsidR="0035701C" w:rsidRDefault="00FB561B">
      <w:pPr>
        <w:pStyle w:val="TM2"/>
        <w:rPr>
          <w:rFonts w:ascii="Calibri" w:hAnsi="Calibri"/>
          <w:noProof/>
          <w:sz w:val="22"/>
        </w:rPr>
      </w:pPr>
      <w:hyperlink w:anchor="_Toc256000210" w:history="1">
        <w:r>
          <w:rPr>
            <w:rStyle w:val="Lienhypertexte"/>
          </w:rPr>
          <w:t>16.8. Explications ou informations supplémentaires (facultatives) pour compléter la liste de mesures</w:t>
        </w:r>
        <w:r>
          <w:tab/>
        </w:r>
        <w:r>
          <w:fldChar w:fldCharType="begin"/>
        </w:r>
        <w:r>
          <w:instrText xml:space="preserve"> PAGEREF _Toc256000210 \h </w:instrText>
        </w:r>
        <w:r>
          <w:fldChar w:fldCharType="separate"/>
        </w:r>
        <w:r>
          <w:t>938</w:t>
        </w:r>
        <w:r>
          <w:fldChar w:fldCharType="end"/>
        </w:r>
      </w:hyperlink>
    </w:p>
    <w:p w:rsidR="0035701C" w:rsidRDefault="00FB561B">
      <w:pPr>
        <w:pStyle w:val="TM1"/>
        <w:rPr>
          <w:rFonts w:ascii="Calibri" w:hAnsi="Calibri"/>
          <w:noProof/>
          <w:sz w:val="22"/>
        </w:rPr>
      </w:pPr>
      <w:hyperlink w:anchor="_Toc256000211" w:history="1">
        <w:r>
          <w:rPr>
            <w:rStyle w:val="Lienhypertexte"/>
          </w:rPr>
          <w:t>17. Réseau rural national</w:t>
        </w:r>
        <w:r>
          <w:tab/>
        </w:r>
        <w:r>
          <w:fldChar w:fldCharType="begin"/>
        </w:r>
        <w:r>
          <w:instrText xml:space="preserve"> PAGEREF _Toc256000211 \h </w:instrText>
        </w:r>
        <w:r>
          <w:fldChar w:fldCharType="separate"/>
        </w:r>
        <w:r>
          <w:t>940</w:t>
        </w:r>
        <w:r>
          <w:fldChar w:fldCharType="end"/>
        </w:r>
      </w:hyperlink>
    </w:p>
    <w:p w:rsidR="0035701C" w:rsidRDefault="00FB561B">
      <w:pPr>
        <w:pStyle w:val="TM2"/>
        <w:rPr>
          <w:rFonts w:ascii="Calibri" w:hAnsi="Calibri"/>
          <w:noProof/>
          <w:sz w:val="22"/>
        </w:rPr>
      </w:pPr>
      <w:hyperlink w:anchor="_Toc256000212" w:history="1">
        <w:r>
          <w:rPr>
            <w:rStyle w:val="Lienhypertexte"/>
          </w:rPr>
          <w:t>17.1. Procédure et calendr</w:t>
        </w:r>
        <w:r>
          <w:rPr>
            <w:rStyle w:val="Lienhypertexte"/>
          </w:rPr>
          <w:t>ier de mise en place du réseau rural national (ci-après le «RRN»)</w:t>
        </w:r>
        <w:r>
          <w:tab/>
        </w:r>
        <w:r>
          <w:fldChar w:fldCharType="begin"/>
        </w:r>
        <w:r>
          <w:instrText xml:space="preserve"> PAGEREF _Toc256000212 \h </w:instrText>
        </w:r>
        <w:r>
          <w:fldChar w:fldCharType="separate"/>
        </w:r>
        <w:r>
          <w:t>940</w:t>
        </w:r>
        <w:r>
          <w:fldChar w:fldCharType="end"/>
        </w:r>
      </w:hyperlink>
    </w:p>
    <w:p w:rsidR="0035701C" w:rsidRDefault="00FB561B">
      <w:pPr>
        <w:pStyle w:val="TM2"/>
        <w:rPr>
          <w:rFonts w:ascii="Calibri" w:hAnsi="Calibri"/>
          <w:noProof/>
          <w:sz w:val="22"/>
        </w:rPr>
      </w:pPr>
      <w:hyperlink w:anchor="_Toc256000213" w:history="1">
        <w:r>
          <w:rPr>
            <w:rStyle w:val="Lienhypertexte"/>
          </w:rPr>
          <w:t>17.2. Organisation prévue du réseau, à savoir la manière don</w:t>
        </w:r>
        <w:r>
          <w:rPr>
            <w:rStyle w:val="Lienhypertexte"/>
          </w:rPr>
          <w:t>t les organisations et les administrations concernées par le développement rural, et notamment les partenaires visés à l’article 54, paragraphe 1, du règlement (UE) nº 1305/2013, seront associés, et la manière dont les activités de mise en réseau seront fa</w:t>
        </w:r>
        <w:r>
          <w:rPr>
            <w:rStyle w:val="Lienhypertexte"/>
          </w:rPr>
          <w:t>cilitées</w:t>
        </w:r>
        <w:r>
          <w:tab/>
        </w:r>
        <w:r>
          <w:fldChar w:fldCharType="begin"/>
        </w:r>
        <w:r>
          <w:instrText xml:space="preserve"> PAGEREF _Toc256000213 \h </w:instrText>
        </w:r>
        <w:r>
          <w:fldChar w:fldCharType="separate"/>
        </w:r>
        <w:r>
          <w:t>940</w:t>
        </w:r>
        <w:r>
          <w:fldChar w:fldCharType="end"/>
        </w:r>
      </w:hyperlink>
    </w:p>
    <w:p w:rsidR="0035701C" w:rsidRDefault="00FB561B">
      <w:pPr>
        <w:pStyle w:val="TM2"/>
        <w:rPr>
          <w:rFonts w:ascii="Calibri" w:hAnsi="Calibri"/>
          <w:noProof/>
          <w:sz w:val="22"/>
        </w:rPr>
      </w:pPr>
      <w:hyperlink w:anchor="_Toc256000214" w:history="1">
        <w:r>
          <w:rPr>
            <w:rStyle w:val="Lienhypertexte"/>
          </w:rPr>
          <w:t>17.3. Description succincte des principales catégories d'activités à entreprendre par le RRN conformément aux object</w:t>
        </w:r>
        <w:r>
          <w:rPr>
            <w:rStyle w:val="Lienhypertexte"/>
          </w:rPr>
          <w:t>ifs du programme</w:t>
        </w:r>
        <w:r>
          <w:tab/>
        </w:r>
        <w:r>
          <w:fldChar w:fldCharType="begin"/>
        </w:r>
        <w:r>
          <w:instrText xml:space="preserve"> PAGEREF _Toc256000214 \h </w:instrText>
        </w:r>
        <w:r>
          <w:fldChar w:fldCharType="separate"/>
        </w:r>
        <w:r>
          <w:t>941</w:t>
        </w:r>
        <w:r>
          <w:fldChar w:fldCharType="end"/>
        </w:r>
      </w:hyperlink>
    </w:p>
    <w:p w:rsidR="0035701C" w:rsidRDefault="00FB561B">
      <w:pPr>
        <w:pStyle w:val="TM2"/>
        <w:rPr>
          <w:rFonts w:ascii="Calibri" w:hAnsi="Calibri"/>
          <w:noProof/>
          <w:sz w:val="22"/>
        </w:rPr>
      </w:pPr>
      <w:hyperlink w:anchor="_Toc256000215" w:history="1">
        <w:r>
          <w:rPr>
            <w:rStyle w:val="Lienhypertexte"/>
          </w:rPr>
          <w:t>17.4. Ressources disponibles pour la mise en place et le fonctionnement du RRN</w:t>
        </w:r>
        <w:r>
          <w:tab/>
        </w:r>
        <w:r>
          <w:fldChar w:fldCharType="begin"/>
        </w:r>
        <w:r>
          <w:instrText xml:space="preserve"> PAGEREF _Toc256000215 \h </w:instrText>
        </w:r>
        <w:r>
          <w:fldChar w:fldCharType="separate"/>
        </w:r>
        <w:r>
          <w:t>942</w:t>
        </w:r>
        <w:r>
          <w:fldChar w:fldCharType="end"/>
        </w:r>
      </w:hyperlink>
    </w:p>
    <w:p w:rsidR="0035701C" w:rsidRDefault="00FB561B">
      <w:pPr>
        <w:pStyle w:val="TM1"/>
        <w:rPr>
          <w:rFonts w:ascii="Calibri" w:hAnsi="Calibri"/>
          <w:noProof/>
          <w:sz w:val="22"/>
        </w:rPr>
      </w:pPr>
      <w:hyperlink w:anchor="_Toc256000216" w:history="1">
        <w:r>
          <w:rPr>
            <w:rStyle w:val="Lienhypertexte"/>
          </w:rPr>
          <w:t>18. Évaluation ex ante du caractère vérifiable et contrôlable et du risque d'erreur</w:t>
        </w:r>
        <w:r>
          <w:tab/>
        </w:r>
        <w:r>
          <w:fldChar w:fldCharType="begin"/>
        </w:r>
        <w:r>
          <w:instrText xml:space="preserve"> PAGEREF _Toc256000216 \h </w:instrText>
        </w:r>
        <w:r>
          <w:fldChar w:fldCharType="separate"/>
        </w:r>
        <w:r>
          <w:t>943</w:t>
        </w:r>
        <w:r>
          <w:fldChar w:fldCharType="end"/>
        </w:r>
      </w:hyperlink>
    </w:p>
    <w:p w:rsidR="0035701C" w:rsidRDefault="00FB561B">
      <w:pPr>
        <w:pStyle w:val="TM2"/>
        <w:rPr>
          <w:rFonts w:ascii="Calibri" w:hAnsi="Calibri"/>
          <w:noProof/>
          <w:sz w:val="22"/>
        </w:rPr>
      </w:pPr>
      <w:hyperlink w:anchor="_Toc256000217" w:history="1">
        <w:r>
          <w:rPr>
            <w:rStyle w:val="Lienhypertexte"/>
          </w:rPr>
          <w:t>18.1. Déclaration de l'autorité de gestion et de l'organisme payeur sur le caractère vérifiable et contrôlable des mesures soutenues au titre du PDR</w:t>
        </w:r>
        <w:r>
          <w:tab/>
        </w:r>
        <w:r>
          <w:fldChar w:fldCharType="begin"/>
        </w:r>
        <w:r>
          <w:instrText xml:space="preserve"> PAGEREF _Toc256000217 \h </w:instrText>
        </w:r>
        <w:r>
          <w:fldChar w:fldCharType="separate"/>
        </w:r>
        <w:r>
          <w:t>943</w:t>
        </w:r>
        <w:r>
          <w:fldChar w:fldCharType="end"/>
        </w:r>
      </w:hyperlink>
    </w:p>
    <w:p w:rsidR="0035701C" w:rsidRDefault="00FB561B">
      <w:pPr>
        <w:pStyle w:val="TM2"/>
        <w:rPr>
          <w:rFonts w:ascii="Calibri" w:hAnsi="Calibri"/>
          <w:noProof/>
          <w:sz w:val="22"/>
        </w:rPr>
      </w:pPr>
      <w:hyperlink w:anchor="_Toc256000218" w:history="1">
        <w:r>
          <w:rPr>
            <w:rStyle w:val="Lienhypertexte"/>
          </w:rPr>
          <w:t>18.2. Déclaration de l'organisme indépendant du point de vue fonctionnel des autorités responsables de la mise en œuvre du programme confirmant l'adéquation e</w:t>
        </w:r>
        <w:r>
          <w:rPr>
            <w:rStyle w:val="Lienhypertexte"/>
          </w:rPr>
          <w:t>t l'exactitude des calculs des coûts standard, des coûts supplémentaires et des pertes de revenus</w:t>
        </w:r>
        <w:r>
          <w:tab/>
        </w:r>
        <w:r>
          <w:fldChar w:fldCharType="begin"/>
        </w:r>
        <w:r>
          <w:instrText xml:space="preserve"> PAGEREF _Toc256000218 \h </w:instrText>
        </w:r>
        <w:r>
          <w:fldChar w:fldCharType="separate"/>
        </w:r>
        <w:r>
          <w:t>948</w:t>
        </w:r>
        <w:r>
          <w:fldChar w:fldCharType="end"/>
        </w:r>
      </w:hyperlink>
    </w:p>
    <w:p w:rsidR="0035701C" w:rsidRDefault="00FB561B">
      <w:pPr>
        <w:pStyle w:val="TM1"/>
        <w:rPr>
          <w:rFonts w:ascii="Calibri" w:hAnsi="Calibri"/>
          <w:noProof/>
          <w:sz w:val="22"/>
        </w:rPr>
      </w:pPr>
      <w:hyperlink w:anchor="_Toc256000219" w:history="1">
        <w:r>
          <w:rPr>
            <w:rStyle w:val="Lienhypertexte"/>
          </w:rPr>
          <w:t>19. Dispositions transitoire</w:t>
        </w:r>
        <w:r>
          <w:rPr>
            <w:rStyle w:val="Lienhypertexte"/>
          </w:rPr>
          <w:t>s</w:t>
        </w:r>
        <w:r>
          <w:tab/>
        </w:r>
        <w:r>
          <w:fldChar w:fldCharType="begin"/>
        </w:r>
        <w:r>
          <w:instrText xml:space="preserve"> PAGEREF _Toc256000219 \h </w:instrText>
        </w:r>
        <w:r>
          <w:fldChar w:fldCharType="separate"/>
        </w:r>
        <w:r>
          <w:t>1006</w:t>
        </w:r>
        <w:r>
          <w:fldChar w:fldCharType="end"/>
        </w:r>
      </w:hyperlink>
    </w:p>
    <w:p w:rsidR="0035701C" w:rsidRDefault="00FB561B">
      <w:pPr>
        <w:pStyle w:val="TM2"/>
        <w:rPr>
          <w:rFonts w:ascii="Calibri" w:hAnsi="Calibri"/>
          <w:noProof/>
          <w:sz w:val="22"/>
        </w:rPr>
      </w:pPr>
      <w:hyperlink w:anchor="_Toc256000220" w:history="1">
        <w:r>
          <w:rPr>
            <w:rStyle w:val="Lienhypertexte"/>
          </w:rPr>
          <w:t>19.1. Description des conditions transitoires par mesure</w:t>
        </w:r>
        <w:r>
          <w:tab/>
        </w:r>
        <w:r>
          <w:fldChar w:fldCharType="begin"/>
        </w:r>
        <w:r>
          <w:instrText xml:space="preserve"> PAGEREF _Toc256000220 \h </w:instrText>
        </w:r>
        <w:r>
          <w:fldChar w:fldCharType="separate"/>
        </w:r>
        <w:r>
          <w:t>1006</w:t>
        </w:r>
        <w:r>
          <w:fldChar w:fldCharType="end"/>
        </w:r>
      </w:hyperlink>
    </w:p>
    <w:p w:rsidR="0035701C" w:rsidRDefault="00FB561B">
      <w:pPr>
        <w:pStyle w:val="TM2"/>
        <w:rPr>
          <w:rFonts w:ascii="Calibri" w:hAnsi="Calibri"/>
          <w:noProof/>
          <w:sz w:val="22"/>
        </w:rPr>
      </w:pPr>
      <w:hyperlink w:anchor="_Toc256000221" w:history="1">
        <w:r>
          <w:rPr>
            <w:rStyle w:val="Lienhypertexte"/>
          </w:rPr>
          <w:t>19.2. Tableau indicatif des reports</w:t>
        </w:r>
        <w:r>
          <w:tab/>
        </w:r>
        <w:r>
          <w:fldChar w:fldCharType="begin"/>
        </w:r>
        <w:r>
          <w:instrText xml:space="preserve"> PAGEREF _Toc256000221 \h </w:instrText>
        </w:r>
        <w:r>
          <w:fldChar w:fldCharType="separate"/>
        </w:r>
        <w:r>
          <w:t>1006</w:t>
        </w:r>
        <w:r>
          <w:fldChar w:fldCharType="end"/>
        </w:r>
      </w:hyperlink>
    </w:p>
    <w:p w:rsidR="0035701C" w:rsidRDefault="00FB561B">
      <w:pPr>
        <w:pStyle w:val="TM1"/>
        <w:rPr>
          <w:rFonts w:ascii="Calibri" w:hAnsi="Calibri"/>
          <w:noProof/>
          <w:sz w:val="22"/>
        </w:rPr>
      </w:pPr>
      <w:hyperlink w:anchor="_Toc256000222" w:history="1">
        <w:r>
          <w:rPr>
            <w:rStyle w:val="Lienhypertexte"/>
          </w:rPr>
          <w:t>20. Sous-programmes th</w:t>
        </w:r>
        <w:r>
          <w:rPr>
            <w:rStyle w:val="Lienhypertexte"/>
          </w:rPr>
          <w:t>ématiques</w:t>
        </w:r>
        <w:r>
          <w:tab/>
        </w:r>
        <w:r>
          <w:fldChar w:fldCharType="begin"/>
        </w:r>
        <w:r>
          <w:instrText xml:space="preserve"> PAGEREF _Toc256000222 \h </w:instrText>
        </w:r>
        <w:r>
          <w:fldChar w:fldCharType="separate"/>
        </w:r>
        <w:r>
          <w:t>1007</w:t>
        </w:r>
        <w:r>
          <w:fldChar w:fldCharType="end"/>
        </w:r>
      </w:hyperlink>
    </w:p>
    <w:p w:rsidR="0035701C" w:rsidRDefault="00FB561B">
      <w:pPr>
        <w:pStyle w:val="TM2"/>
        <w:rPr>
          <w:rFonts w:ascii="Calibri" w:hAnsi="Calibri"/>
          <w:noProof/>
          <w:sz w:val="22"/>
        </w:rPr>
      </w:pPr>
      <w:hyperlink w:anchor="_Toc256000223" w:history="1">
        <w:r>
          <w:rPr>
            <w:rStyle w:val="Lienhypertexte"/>
          </w:rPr>
          <w:t>Documents</w:t>
        </w:r>
        <w:r>
          <w:tab/>
        </w:r>
        <w:r>
          <w:fldChar w:fldCharType="begin"/>
        </w:r>
        <w:r>
          <w:instrText xml:space="preserve"> PAGEREF _Toc256000223 \h </w:instrText>
        </w:r>
        <w:r>
          <w:fldChar w:fldCharType="separate"/>
        </w:r>
        <w:r>
          <w:t>1008</w:t>
        </w:r>
        <w:r>
          <w:fldChar w:fldCharType="end"/>
        </w:r>
      </w:hyperlink>
    </w:p>
    <w:p w:rsidR="0035701C" w:rsidRDefault="00FB561B">
      <w:pPr>
        <w:sectPr w:rsidR="0035701C">
          <w:pgSz w:w="12240" w:h="15840"/>
          <w:pgMar w:top="900" w:right="900" w:bottom="900" w:left="900" w:header="720" w:footer="720" w:gutter="0"/>
          <w:cols w:space="720"/>
        </w:sectPr>
      </w:pPr>
      <w:r>
        <w:fldChar w:fldCharType="end"/>
      </w:r>
    </w:p>
    <w:p w:rsidR="0035701C" w:rsidRDefault="00FB561B">
      <w:pPr>
        <w:pStyle w:val="Titre1"/>
      </w:pPr>
      <w:bookmarkStart w:id="1" w:name="_Toc256000000"/>
      <w:r>
        <w:lastRenderedPageBreak/>
        <w:t>Intitulé du programme de développement rural</w:t>
      </w:r>
      <w:bookmarkEnd w:id="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0" w:type="auto"/>
          </w:tcPr>
          <w:p w:rsidR="0035701C" w:rsidRDefault="00FB561B">
            <w:pPr>
              <w:pStyle w:val="Corpsdetexte"/>
            </w:pPr>
            <w:r>
              <w:t>Programme de Développement Rural de la Corse (PDRC)</w:t>
            </w:r>
          </w:p>
        </w:tc>
      </w:tr>
    </w:tbl>
    <w:p w:rsidR="0035701C" w:rsidRDefault="0035701C"/>
    <w:p w:rsidR="0035701C" w:rsidRDefault="00FB561B">
      <w:pPr>
        <w:pStyle w:val="Titre2"/>
      </w:pPr>
      <w:bookmarkStart w:id="2" w:name="_Toc256000001"/>
      <w:r>
        <w:t>Modification</w:t>
      </w:r>
      <w:bookmarkEnd w:id="2"/>
    </w:p>
    <w:p w:rsidR="0035701C" w:rsidRDefault="00FB561B">
      <w:pPr>
        <w:pStyle w:val="Titre3"/>
        <w:jc w:val="left"/>
      </w:pPr>
      <w:bookmarkStart w:id="3" w:name="_Toc256000002"/>
      <w:r>
        <w:t>Type de modification au titre du règlement (UE) n° 1305/2013</w:t>
      </w:r>
      <w:bookmarkEnd w:id="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0" w:type="auto"/>
          </w:tcPr>
          <w:p w:rsidR="0035701C" w:rsidRDefault="00FB561B">
            <w:pPr>
              <w:pStyle w:val="Corpsdetexte"/>
            </w:pPr>
            <w:r>
              <w:t xml:space="preserve">b. </w:t>
            </w:r>
            <w:r>
              <w:t>Décision au titre de l'article 11, point a), deuxième ou troisième alinéa</w:t>
            </w:r>
          </w:p>
        </w:tc>
      </w:tr>
    </w:tbl>
    <w:p w:rsidR="0035701C" w:rsidRDefault="00FB561B">
      <w:pPr>
        <w:pStyle w:val="Titre3"/>
        <w:jc w:val="left"/>
      </w:pPr>
      <w:bookmarkStart w:id="4" w:name="_Toc256000003"/>
      <w:r>
        <w:t>Modification apportée aux informations fournies dans l'AP</w:t>
      </w:r>
      <w:bookmarkEnd w:id="4"/>
      <w: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0" w:type="auto"/>
          </w:tcPr>
          <w:p w:rsidR="0035701C" w:rsidRDefault="0035701C">
            <w:pPr>
              <w:pStyle w:val="Corpsdetexte"/>
            </w:pPr>
          </w:p>
        </w:tc>
      </w:tr>
    </w:tbl>
    <w:p w:rsidR="0035701C" w:rsidRDefault="00FB561B">
      <w:pPr>
        <w:pStyle w:val="Titre3"/>
        <w:jc w:val="left"/>
      </w:pPr>
      <w:bookmarkStart w:id="5" w:name="_Toc256000004"/>
      <w:r>
        <w:t xml:space="preserve">Modification liée à l'article 4, paragraphe 2, troisième alinéa, du règlement (UE) n° 808/2014 (non soumise aux limites </w:t>
      </w:r>
      <w:r>
        <w:t>établies dans cet article)</w:t>
      </w:r>
      <w:bookmarkEnd w:id="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0" w:type="auto"/>
          </w:tcPr>
          <w:p w:rsidR="0035701C" w:rsidRDefault="00FB561B" w:rsidP="00FB561B">
            <w:pPr>
              <w:numPr>
                <w:ilvl w:val="0"/>
                <w:numId w:val="20"/>
              </w:numPr>
            </w:pPr>
            <w:r>
              <w:t>d. Transfert entre piliers [article 58, paragraphe 7, du règlement (UE) n° 1305/2013]</w:t>
            </w:r>
          </w:p>
        </w:tc>
      </w:tr>
    </w:tbl>
    <w:p w:rsidR="0035701C" w:rsidRDefault="00FB561B">
      <w:pPr>
        <w:pStyle w:val="Titre3"/>
        <w:jc w:val="left"/>
      </w:pPr>
      <w:bookmarkStart w:id="6" w:name="_Toc256000005"/>
      <w:r>
        <w:t>Consultation du comité de suivi [article 49, paragraphe 3, du règlement (UE) n° 1303/2013]</w:t>
      </w:r>
      <w:bookmarkEnd w:id="6"/>
    </w:p>
    <w:p w:rsidR="0035701C" w:rsidRDefault="00FB561B">
      <w:pPr>
        <w:pStyle w:val="Titre4"/>
        <w:jc w:val="left"/>
      </w:pPr>
      <w:r>
        <w:t>Date</w:t>
      </w:r>
    </w:p>
    <w:p w:rsidR="0035701C" w:rsidRDefault="0035701C"/>
    <w:p w:rsidR="0035701C" w:rsidRDefault="00FB561B">
      <w:pPr>
        <w:pStyle w:val="Titre4"/>
        <w:jc w:val="left"/>
      </w:pPr>
      <w:r>
        <w:t>Avis du comité de suivi</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 xml:space="preserve">La consultation </w:t>
            </w:r>
            <w:r>
              <w:rPr>
                <w:szCs w:val="24"/>
              </w:rPr>
              <w:t>lancée le 21 janvier et échue le 2 février n'a donné lieu à aucune observation.</w:t>
            </w:r>
          </w:p>
          <w:p w:rsidR="0035701C" w:rsidRDefault="0035701C">
            <w:pPr>
              <w:pStyle w:val="Corpsdetexte"/>
            </w:pPr>
          </w:p>
        </w:tc>
      </w:tr>
    </w:tbl>
    <w:p w:rsidR="0035701C" w:rsidRDefault="00FB561B">
      <w:pPr>
        <w:pStyle w:val="Titre3"/>
        <w:jc w:val="left"/>
      </w:pPr>
      <w:bookmarkStart w:id="7" w:name="_Toc256000006"/>
      <w:r>
        <w:t>Description de la modification - article 4, paragraphe 1, du règlement (UE) n° 808/2014</w:t>
      </w:r>
      <w:bookmarkEnd w:id="7"/>
    </w:p>
    <w:p w:rsidR="0035701C" w:rsidRDefault="00FB561B">
      <w:pPr>
        <w:pStyle w:val="Titre4"/>
        <w:jc w:val="left"/>
      </w:pPr>
      <w:r>
        <w:t>Ajout du montant du transfert 1er pilier 2022</w:t>
      </w:r>
    </w:p>
    <w:p w:rsidR="0035701C" w:rsidRDefault="00FB561B">
      <w:pPr>
        <w:pStyle w:val="Titre5"/>
        <w:rPr>
          <w:b w:val="0"/>
        </w:rPr>
      </w:pPr>
      <w:r>
        <w:rPr>
          <w:b w:val="0"/>
        </w:rPr>
        <w:t>Raisons et/ou problèmes d'exécution just</w:t>
      </w:r>
      <w:r>
        <w:rPr>
          <w:b w:val="0"/>
        </w:rPr>
        <w:t>ifiant la modification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Le Montant du transfert 2022 s'établit à 3M€ qui se répartissent de façon à respecter le principe de non-régression environnementale :</w:t>
            </w:r>
          </w:p>
          <w:p w:rsidR="0035701C" w:rsidRDefault="00FB561B">
            <w:pPr>
              <w:spacing w:before="240" w:after="240"/>
              <w:jc w:val="left"/>
              <w:rPr>
                <w:szCs w:val="24"/>
              </w:rPr>
            </w:pPr>
            <w:r>
              <w:rPr>
                <w:szCs w:val="24"/>
              </w:rPr>
              <w:t>+ 1,084M€ sur le TO 4.1.1 et TO 4.1.2 (P2) avec un taux de cofinancement à 100%</w:t>
            </w:r>
          </w:p>
          <w:p w:rsidR="0035701C" w:rsidRDefault="00FB561B">
            <w:pPr>
              <w:spacing w:before="240" w:after="240"/>
              <w:jc w:val="left"/>
              <w:rPr>
                <w:szCs w:val="24"/>
              </w:rPr>
            </w:pPr>
            <w:r>
              <w:rPr>
                <w:szCs w:val="24"/>
              </w:rPr>
              <w:lastRenderedPageBreak/>
              <w:t>+ 0,5 M€ sur le TO</w:t>
            </w:r>
            <w:r>
              <w:rPr>
                <w:szCs w:val="24"/>
              </w:rPr>
              <w:t xml:space="preserve"> 4.1.3 (P4) avec un taux de cofinancement à 100%</w:t>
            </w:r>
          </w:p>
          <w:p w:rsidR="0035701C" w:rsidRDefault="00FB561B">
            <w:pPr>
              <w:spacing w:before="240" w:after="240"/>
              <w:jc w:val="left"/>
              <w:rPr>
                <w:szCs w:val="24"/>
              </w:rPr>
            </w:pPr>
            <w:r>
              <w:rPr>
                <w:szCs w:val="24"/>
              </w:rPr>
              <w:t>+ 1,416 M€ sur la M13 (P4) avec un taux de cofinancement à 75%</w:t>
            </w:r>
          </w:p>
          <w:p w:rsidR="0035701C" w:rsidRDefault="0035701C">
            <w:pPr>
              <w:pStyle w:val="Corpsdetexte"/>
            </w:pPr>
          </w:p>
        </w:tc>
      </w:tr>
    </w:tbl>
    <w:p w:rsidR="0035701C" w:rsidRDefault="00FB561B">
      <w:pPr>
        <w:pStyle w:val="Titre5"/>
        <w:rPr>
          <w:b w:val="0"/>
        </w:rPr>
      </w:pPr>
      <w:r>
        <w:rPr>
          <w:b w:val="0"/>
        </w:rPr>
        <w:lastRenderedPageBreak/>
        <w:t>Effets attendus de la modification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 xml:space="preserve">L'intégration du transfert issu du 1er pillier pour 2022 induit une modification de la part financière des </w:t>
            </w:r>
            <w:r>
              <w:rPr>
                <w:szCs w:val="24"/>
              </w:rPr>
              <w:t>mesures environnementales de 63.03% à 63.04% du programme, s'insrivant dans le principe de non-regression environnementale.</w:t>
            </w:r>
          </w:p>
          <w:p w:rsidR="0035701C" w:rsidRDefault="00FB561B">
            <w:pPr>
              <w:spacing w:before="240" w:after="240"/>
              <w:jc w:val="left"/>
              <w:rPr>
                <w:szCs w:val="24"/>
              </w:rPr>
            </w:pPr>
            <w:r>
              <w:rPr>
                <w:szCs w:val="24"/>
              </w:rPr>
              <w:t>Ce complément vient en partie abonder :</w:t>
            </w:r>
          </w:p>
          <w:p w:rsidR="0035701C" w:rsidRDefault="00FB561B">
            <w:pPr>
              <w:spacing w:before="240" w:after="240"/>
              <w:jc w:val="left"/>
              <w:rPr>
                <w:szCs w:val="24"/>
              </w:rPr>
            </w:pPr>
            <w:r>
              <w:rPr>
                <w:szCs w:val="24"/>
              </w:rPr>
              <w:t>- les mesures en faveur des exploitations agricoles sur les priorités P2 et P4 pour répondre</w:t>
            </w:r>
            <w:r>
              <w:rPr>
                <w:szCs w:val="24"/>
              </w:rPr>
              <w:t xml:space="preserve"> aux besoins nouveaux liés au lancement d'Appels à projets spécifiques (Bien-être animal, logement ouvrier...etc)</w:t>
            </w:r>
          </w:p>
          <w:p w:rsidR="0035701C" w:rsidRDefault="00FB561B">
            <w:pPr>
              <w:spacing w:before="240" w:after="240"/>
              <w:jc w:val="left"/>
              <w:rPr>
                <w:szCs w:val="24"/>
              </w:rPr>
            </w:pPr>
            <w:r>
              <w:rPr>
                <w:szCs w:val="24"/>
              </w:rPr>
              <w:t xml:space="preserve">- et sur l'ICHN afin de compléter l'enveloppe de la campagne 2022, à périmètre constant, sans augmentation des surfaces bénéficiant de l'ichn </w:t>
            </w:r>
            <w:r>
              <w:rPr>
                <w:szCs w:val="24"/>
              </w:rPr>
              <w:t>ni des bénéficiaires.</w:t>
            </w:r>
          </w:p>
          <w:p w:rsidR="0035701C" w:rsidRDefault="0035701C">
            <w:pPr>
              <w:pStyle w:val="Corpsdetexte"/>
            </w:pPr>
          </w:p>
        </w:tc>
      </w:tr>
    </w:tbl>
    <w:p w:rsidR="0035701C" w:rsidRDefault="00FB561B">
      <w:pPr>
        <w:pStyle w:val="Titre5"/>
        <w:rPr>
          <w:b w:val="0"/>
        </w:rPr>
      </w:pPr>
      <w:r>
        <w:rPr>
          <w:b w:val="0"/>
        </w:rPr>
        <w:t>Incidence du changement sur les indicateurs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Les indicateurs de dépenses publiques et la section 10.1 (montant de FEADER par année) sont mis à jour.</w:t>
            </w:r>
          </w:p>
          <w:p w:rsidR="0035701C" w:rsidRDefault="0035701C">
            <w:pPr>
              <w:pStyle w:val="Corpsdetexte"/>
            </w:pPr>
          </w:p>
        </w:tc>
      </w:tr>
    </w:tbl>
    <w:p w:rsidR="0035701C" w:rsidRDefault="00FB561B">
      <w:pPr>
        <w:pStyle w:val="Titre5"/>
        <w:rPr>
          <w:b w:val="0"/>
        </w:rPr>
      </w:pPr>
      <w:r>
        <w:rPr>
          <w:b w:val="0"/>
        </w:rPr>
        <w:t>Lien entre la modification et l'AP</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4"/>
        <w:jc w:val="left"/>
      </w:pPr>
      <w:r>
        <w:t xml:space="preserve">Modifications additionnelles du </w:t>
      </w:r>
      <w:r>
        <w:t>contenu des mesures</w:t>
      </w:r>
    </w:p>
    <w:p w:rsidR="0035701C" w:rsidRDefault="00FB561B">
      <w:pPr>
        <w:pStyle w:val="Titre5"/>
        <w:rPr>
          <w:b w:val="0"/>
        </w:rPr>
      </w:pPr>
      <w:r>
        <w:rPr>
          <w:b w:val="0"/>
        </w:rPr>
        <w:t>Raisons et/ou problèmes d'exécution justifiant la modification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Les modifications portent sur les points suivants :</w:t>
            </w:r>
          </w:p>
          <w:tbl>
            <w:tblPr>
              <w:tblW w:w="6405" w:type="dxa"/>
              <w:tblBorders>
                <w:top w:val="single" w:sz="4" w:space="0" w:color="000000"/>
                <w:left w:val="single" w:sz="4" w:space="0" w:color="000000"/>
                <w:bottom w:val="single" w:sz="4" w:space="0" w:color="000000"/>
                <w:right w:val="single" w:sz="4" w:space="0" w:color="000000"/>
              </w:tblBorders>
              <w:tblCellMar>
                <w:top w:w="15" w:type="dxa"/>
                <w:left w:w="15" w:type="dxa"/>
                <w:bottom w:w="15" w:type="dxa"/>
                <w:right w:w="15" w:type="dxa"/>
              </w:tblCellMar>
              <w:tblLook w:val="04A0" w:firstRow="1" w:lastRow="0" w:firstColumn="1" w:lastColumn="0" w:noHBand="0" w:noVBand="1"/>
            </w:tblPr>
            <w:tblGrid>
              <w:gridCol w:w="1603"/>
              <w:gridCol w:w="4802"/>
            </w:tblGrid>
            <w:tr w:rsidR="0035701C">
              <w:trPr>
                <w:trHeight w:val="1860"/>
              </w:trPr>
              <w:tc>
                <w:tcPr>
                  <w:tcW w:w="142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lastRenderedPageBreak/>
                    <w:t>TO 4.1.2</w:t>
                  </w:r>
                </w:p>
              </w:tc>
              <w:tc>
                <w:tcPr>
                  <w:tcW w:w="508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240"/>
                    <w:jc w:val="left"/>
                    <w:rPr>
                      <w:color w:val="000000"/>
                      <w:szCs w:val="24"/>
                    </w:rPr>
                  </w:pPr>
                  <w:r>
                    <w:rPr>
                      <w:color w:val="000000"/>
                      <w:szCs w:val="24"/>
                    </w:rPr>
                    <w:t>Sur le TO 4.1.2 relatifs aux investissements dans les exploitations agricoles, la mesure voit l'ajout de la pris</w:t>
                  </w:r>
                  <w:r>
                    <w:rPr>
                      <w:color w:val="000000"/>
                      <w:szCs w:val="24"/>
                    </w:rPr>
                    <w:t>e en compte des investissements destinés à l'accueil ou l'hébergement des personnels ouvriers agricoles répondant aux besoins de l'exploitation (travaux, taille, récolte...etc). Il s'agit d'avoir un effet levier pour agir sur les bonnes conditions d'accuei</w:t>
                  </w:r>
                  <w:r>
                    <w:rPr>
                      <w:color w:val="000000"/>
                      <w:szCs w:val="24"/>
                    </w:rPr>
                    <w:t>l des salariés des exploitations agricoles, en les accompagnant dans les aménagements de leurs bâtiments de logement (essentiellement les exploitations employant de la main d'oeuvre en arboriculture, viticulture) : il s'agit d'une priorité sociale pour l'A</w:t>
                  </w:r>
                  <w:r>
                    <w:rPr>
                      <w:color w:val="000000"/>
                      <w:szCs w:val="24"/>
                    </w:rPr>
                    <w:t>G.</w:t>
                  </w:r>
                </w:p>
                <w:p w:rsidR="0035701C" w:rsidRDefault="00FB561B">
                  <w:pPr>
                    <w:spacing w:before="240" w:after="0"/>
                    <w:jc w:val="left"/>
                    <w:rPr>
                      <w:color w:val="000000"/>
                      <w:szCs w:val="24"/>
                    </w:rPr>
                  </w:pPr>
                  <w:r>
                    <w:rPr>
                      <w:color w:val="000000"/>
                      <w:szCs w:val="24"/>
                    </w:rPr>
                    <w:t>Par ailleurs dans la description de l'aide du TO 4.1.2  il est précisé que les matériels de pilotage comprennent les sondes hydriques de mesure de l'humidité des sols. Ces matériels étant mobiles et non obligatoirement attachés à des parcelles, il s'agi</w:t>
                  </w:r>
                  <w:r>
                    <w:rPr>
                      <w:color w:val="000000"/>
                      <w:szCs w:val="24"/>
                    </w:rPr>
                    <w:t>t d'éviter une potentielle ambiguité de rattachement entre le TO 4.1.1 (mise en valeur) et le TO 4.1.2 (équipements). L'acquisition de sonde est incluse dans le TO 4.1.1 lorsque qu'elle est associée à une opération de mise en valeur sur une parcelle précis</w:t>
                  </w:r>
                  <w:r>
                    <w:rPr>
                      <w:color w:val="000000"/>
                      <w:szCs w:val="24"/>
                    </w:rPr>
                    <w:t>e, et sur le TO 4.1.2 lorsque qu'elle est acquise indépendamment d'une telle opération.</w:t>
                  </w:r>
                </w:p>
              </w:tc>
            </w:tr>
            <w:tr w:rsidR="0035701C">
              <w:trPr>
                <w:trHeight w:val="1860"/>
              </w:trPr>
              <w:tc>
                <w:tcPr>
                  <w:tcW w:w="142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TO 4.1.2 et 4.1.1 Investissements exploitations agricoles</w:t>
                  </w:r>
                </w:p>
              </w:tc>
              <w:tc>
                <w:tcPr>
                  <w:tcW w:w="508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240"/>
                    <w:jc w:val="left"/>
                    <w:rPr>
                      <w:color w:val="000000"/>
                      <w:szCs w:val="24"/>
                    </w:rPr>
                  </w:pPr>
                  <w:r>
                    <w:rPr>
                      <w:color w:val="000000"/>
                      <w:szCs w:val="24"/>
                    </w:rPr>
                    <w:t xml:space="preserve">Erratum V7 : dans la modification de la V7, le tableau de description des modifications indique que pour les </w:t>
                  </w:r>
                  <w:r>
                    <w:rPr>
                      <w:color w:val="000000"/>
                      <w:szCs w:val="24"/>
                    </w:rPr>
                    <w:t>TO 4.1.1 et 4.1.2 le § Montant et taux d'aide intègre la "Simplification de l’application de la règle pour les éleveurs en race locale reconnue, avec suppression de la notion d’atelier principal".</w:t>
                  </w:r>
                </w:p>
                <w:p w:rsidR="0035701C" w:rsidRDefault="00FB561B">
                  <w:pPr>
                    <w:spacing w:before="240" w:after="0"/>
                    <w:jc w:val="left"/>
                    <w:rPr>
                      <w:color w:val="000000"/>
                      <w:szCs w:val="24"/>
                    </w:rPr>
                  </w:pPr>
                  <w:r>
                    <w:rPr>
                      <w:color w:val="000000"/>
                      <w:szCs w:val="24"/>
                    </w:rPr>
                    <w:t>La suppression de la notion d'atelier principal a été omise</w:t>
                  </w:r>
                  <w:r>
                    <w:rPr>
                      <w:color w:val="000000"/>
                      <w:szCs w:val="24"/>
                    </w:rPr>
                    <w:t xml:space="preserve"> dans la mesure, et ces éléments sont désormais retranscrits en accord avec l'énoncé des modifications, avec la précision d'une date d'effectivité établie à celle de la V7.</w:t>
                  </w:r>
                </w:p>
              </w:tc>
            </w:tr>
            <w:tr w:rsidR="0035701C">
              <w:trPr>
                <w:trHeight w:val="1860"/>
              </w:trPr>
              <w:tc>
                <w:tcPr>
                  <w:tcW w:w="142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TO 4.1.2 et ligne de partage OCM viti-vinicole</w:t>
                  </w:r>
                </w:p>
              </w:tc>
              <w:tc>
                <w:tcPr>
                  <w:tcW w:w="508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240"/>
                    <w:jc w:val="left"/>
                    <w:rPr>
                      <w:color w:val="000000"/>
                      <w:szCs w:val="24"/>
                    </w:rPr>
                  </w:pPr>
                  <w:r>
                    <w:rPr>
                      <w:color w:val="000000"/>
                      <w:szCs w:val="24"/>
                    </w:rPr>
                    <w:t xml:space="preserve">Le TO 4.1.2 élargit la possibilité </w:t>
                  </w:r>
                  <w:r>
                    <w:rPr>
                      <w:color w:val="000000"/>
                      <w:szCs w:val="24"/>
                    </w:rPr>
                    <w:t xml:space="preserve">de soutenir les opérations visant au retraitement des effluents des unités de transformation déjà éligibles, aux caves particulières (transformation à la ferme), dès lors que ces dispositifs ne sont pas des mises aux normes et constituent des alternatives </w:t>
                  </w:r>
                  <w:r>
                    <w:rPr>
                      <w:color w:val="000000"/>
                      <w:szCs w:val="24"/>
                    </w:rPr>
                    <w:lastRenderedPageBreak/>
                    <w:t>favorables pour l'environnement (en substitution à des épandages ou des collectes ou en modernisation des équipements).</w:t>
                  </w:r>
                </w:p>
                <w:p w:rsidR="0035701C" w:rsidRDefault="00FB561B">
                  <w:pPr>
                    <w:spacing w:before="240" w:after="0"/>
                    <w:jc w:val="left"/>
                    <w:rPr>
                      <w:color w:val="000000"/>
                      <w:szCs w:val="24"/>
                    </w:rPr>
                  </w:pPr>
                  <w:r>
                    <w:rPr>
                      <w:color w:val="000000"/>
                      <w:szCs w:val="24"/>
                    </w:rPr>
                    <w:t>L'introduction de l'éligibilité des stations d'épuration des caves vinicoles dans le TO 4.1.2, non éligibles dans le PNA, est ainsi étab</w:t>
                  </w:r>
                  <w:r>
                    <w:rPr>
                      <w:color w:val="000000"/>
                      <w:szCs w:val="24"/>
                    </w:rPr>
                    <w:t>lie dans le respect de cette ligne de partage.</w:t>
                  </w:r>
                  <w:r>
                    <w:rPr>
                      <w:color w:val="000000"/>
                      <w:szCs w:val="24"/>
                    </w:rPr>
                    <w:br/>
                    <w:t>L'ajout de cette précision est intégré dans la section 14 du programme.</w:t>
                  </w:r>
                </w:p>
              </w:tc>
            </w:tr>
            <w:tr w:rsidR="0035701C">
              <w:trPr>
                <w:trHeight w:val="1860"/>
              </w:trPr>
              <w:tc>
                <w:tcPr>
                  <w:tcW w:w="142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lastRenderedPageBreak/>
                    <w:t>TO 4.1.1 et 4.1.2</w:t>
                  </w:r>
                </w:p>
              </w:tc>
              <w:tc>
                <w:tcPr>
                  <w:tcW w:w="508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 xml:space="preserve">Sur les 2 TO le taux d'intervention concernant les clôtures est bonifié, passant de 50% à 60%. En outre la définition </w:t>
                  </w:r>
                  <w:r>
                    <w:rPr>
                      <w:color w:val="000000"/>
                      <w:szCs w:val="24"/>
                    </w:rPr>
                    <w:t>de la "contention" est précisée dans le § dépenses admissibles, afin que la bonification ne concerne que les clôtures et portails, et pas les barrières</w:t>
                  </w:r>
                </w:p>
              </w:tc>
            </w:tr>
            <w:tr w:rsidR="0035701C">
              <w:trPr>
                <w:trHeight w:val="1860"/>
              </w:trPr>
              <w:tc>
                <w:tcPr>
                  <w:tcW w:w="142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TO 4.1.2</w:t>
                  </w:r>
                </w:p>
              </w:tc>
              <w:tc>
                <w:tcPr>
                  <w:tcW w:w="508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Dans les dépenses inéligibles, la mention indiquant proscrire les Bâtiments d’élevage dans les</w:t>
                  </w:r>
                  <w:r>
                    <w:rPr>
                      <w:color w:val="000000"/>
                      <w:szCs w:val="24"/>
                    </w:rPr>
                    <w:t xml:space="preserve"> systèmes de stabulation hors sol, est complétée en précisant que cette disposition ne s'applique pas aux investissements retenus dans le cadre des appels à projets en faveur du Bien Etre Animal : le principe de ces appels à projets sur le BEA ont été insc</w:t>
                  </w:r>
                  <w:r>
                    <w:rPr>
                      <w:color w:val="000000"/>
                      <w:szCs w:val="24"/>
                    </w:rPr>
                    <w:t>rits dans la V9.</w:t>
                  </w:r>
                </w:p>
              </w:tc>
            </w:tr>
            <w:tr w:rsidR="0035701C">
              <w:trPr>
                <w:trHeight w:val="1860"/>
              </w:trPr>
              <w:tc>
                <w:tcPr>
                  <w:tcW w:w="142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TO 4.1.3</w:t>
                  </w:r>
                </w:p>
              </w:tc>
              <w:tc>
                <w:tcPr>
                  <w:tcW w:w="5085"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 xml:space="preserve"> Pour les agriculteurs agissant en collectif sous forme de groupement la définition inclut une définition plus précise. En effet seule la notion de part sociale était considérée alors que les groupements peuvent prendre la forme </w:t>
                  </w:r>
                  <w:r>
                    <w:rPr>
                      <w:color w:val="000000"/>
                      <w:szCs w:val="24"/>
                    </w:rPr>
                    <w:t>d'associations dans lesquelles il n'y a pas de part sociale, mais des adhérents. La définition retenue est : toute forme juridique collective exclusivement constituée d'agriculteurs : personnes morales ou physiques détenant la totalité des parts sociales (</w:t>
                  </w:r>
                  <w:r>
                    <w:rPr>
                      <w:color w:val="000000"/>
                      <w:szCs w:val="24"/>
                    </w:rPr>
                    <w:t>y compris les CUMA et les coopératives de production) ou constituant la totalité des adhérents.</w:t>
                  </w:r>
                </w:p>
              </w:tc>
            </w:tr>
            <w:tr w:rsidR="0035701C">
              <w:trPr>
                <w:trHeight w:val="1860"/>
              </w:trPr>
              <w:tc>
                <w:tcPr>
                  <w:tcW w:w="1638"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TO 8.3</w:t>
                  </w:r>
                </w:p>
              </w:tc>
              <w:tc>
                <w:tcPr>
                  <w:tcW w:w="7516" w:type="dxa"/>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 xml:space="preserve">Le TO 8.3 élargit la possibilité de retenir comme nouvelles dépenses éligibles : les frais généraux liés aux opérations financées (article 45(2) du </w:t>
                  </w:r>
                  <w:r>
                    <w:rPr>
                      <w:color w:val="000000"/>
                      <w:szCs w:val="24"/>
                    </w:rPr>
                    <w:t xml:space="preserve">règlement UE n° 1305/2013 dans la limite de 10% du montant des dépenses éligibles : honoraires d’architectes et rémunérations d’ingénieurs et consultants, les dépenses liées au conseil en matière de durabilité environnementale et économique, y compris les </w:t>
                  </w:r>
                  <w:r>
                    <w:rPr>
                      <w:color w:val="000000"/>
                      <w:szCs w:val="24"/>
                    </w:rPr>
                    <w:lastRenderedPageBreak/>
                    <w:t>couts liés aux études de faisabilité ; Ainsi que "les équipements liés à l'opérationnalité des ouvrages de Défense des Personnes Contre les Incendies (DPCI) dans les massifs PRMF (Protection Rapprochée des Massifs Forestiers remarquables), type  équipement</w:t>
                  </w:r>
                  <w:r>
                    <w:rPr>
                      <w:color w:val="000000"/>
                      <w:szCs w:val="24"/>
                    </w:rPr>
                    <w:t>s de balisage, barrières et signalétique sur le risque", initialement inéligibles au FEADER sont rendus éligibles.</w:t>
                  </w:r>
                </w:p>
              </w:tc>
            </w:tr>
          </w:tbl>
          <w:p w:rsidR="0035701C" w:rsidRDefault="00FB561B">
            <w:pPr>
              <w:spacing w:before="240" w:after="240"/>
              <w:jc w:val="left"/>
              <w:rPr>
                <w:szCs w:val="24"/>
              </w:rPr>
            </w:pPr>
            <w:r>
              <w:rPr>
                <w:szCs w:val="24"/>
              </w:rPr>
              <w:lastRenderedPageBreak/>
              <w:t> </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5"/>
        <w:rPr>
          <w:b w:val="0"/>
        </w:rPr>
      </w:pPr>
      <w:r>
        <w:rPr>
          <w:b w:val="0"/>
        </w:rPr>
        <w:lastRenderedPageBreak/>
        <w:t>Effets attendus de la modification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Modifications et corrrections en vue d'améliorer la mise en oeuvre du programme</w:t>
            </w:r>
          </w:p>
          <w:p w:rsidR="0035701C" w:rsidRDefault="0035701C">
            <w:pPr>
              <w:pStyle w:val="Corpsdetexte"/>
            </w:pPr>
          </w:p>
        </w:tc>
      </w:tr>
    </w:tbl>
    <w:p w:rsidR="0035701C" w:rsidRDefault="00FB561B">
      <w:pPr>
        <w:pStyle w:val="Titre5"/>
        <w:rPr>
          <w:b w:val="0"/>
        </w:rPr>
      </w:pPr>
      <w:r>
        <w:rPr>
          <w:b w:val="0"/>
        </w:rPr>
        <w:t xml:space="preserve">Incidence du </w:t>
      </w:r>
      <w:r>
        <w:rPr>
          <w:b w:val="0"/>
        </w:rPr>
        <w:t>changement sur les indicateurs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5"/>
        <w:rPr>
          <w:b w:val="0"/>
        </w:rPr>
      </w:pPr>
      <w:r>
        <w:rPr>
          <w:b w:val="0"/>
        </w:rPr>
        <w:t>Lien entre la modification et l'AP</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35701C">
      <w:pPr>
        <w:sectPr w:rsidR="0035701C">
          <w:pgSz w:w="12240" w:h="15840"/>
          <w:pgMar w:top="900" w:right="900" w:bottom="900" w:left="900" w:header="720" w:footer="720" w:gutter="0"/>
          <w:cols w:space="720"/>
        </w:sectPr>
      </w:pPr>
    </w:p>
    <w:p w:rsidR="0035701C" w:rsidRDefault="00FB561B">
      <w:pPr>
        <w:pStyle w:val="Titre1"/>
        <w:rPr>
          <w:b w:val="0"/>
        </w:rPr>
      </w:pPr>
      <w:bookmarkStart w:id="8" w:name="_Toc256000007"/>
      <w:r>
        <w:rPr>
          <w:b w:val="0"/>
        </w:rPr>
        <w:lastRenderedPageBreak/>
        <w:t>État membre ou subdivision administrative</w:t>
      </w:r>
      <w:bookmarkEnd w:id="8"/>
    </w:p>
    <w:p w:rsidR="0035701C" w:rsidRDefault="00FB561B">
      <w:pPr>
        <w:pStyle w:val="Titre2"/>
        <w:rPr>
          <w:b w:val="0"/>
        </w:rPr>
      </w:pPr>
      <w:bookmarkStart w:id="9" w:name="_Toc256000008"/>
      <w:r>
        <w:rPr>
          <w:b w:val="0"/>
        </w:rPr>
        <w:t>Zone géographique couverte par le programme</w:t>
      </w:r>
      <w:bookmarkEnd w:id="9"/>
    </w:p>
    <w:p w:rsidR="0035701C" w:rsidRDefault="00FB561B">
      <w:r>
        <w:t xml:space="preserve">Zone géographique: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Pr>
          <w:p w:rsidR="0035701C" w:rsidRDefault="00FB561B">
            <w:pPr>
              <w:pStyle w:val="Corpsdetexte"/>
            </w:pPr>
            <w:r>
              <w:t>Corse</w:t>
            </w:r>
          </w:p>
        </w:tc>
      </w:tr>
    </w:tbl>
    <w:p w:rsidR="0035701C" w:rsidRDefault="00FB561B">
      <w:r>
        <w:t xml:space="preserve">Description: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 xml:space="preserve">La Corse est connue comme </w:t>
            </w:r>
            <w:r>
              <w:rPr>
                <w:szCs w:val="24"/>
              </w:rPr>
              <w:t>étant une « montagne dans la mer " (fig 1). Son altitude moyenne de 568 m en fait la plus élevée des îles de Méditerranée occidentale. De plus, seuls 10 % du territoire de l’île présentent une pente inférieure à 12 % et, hormis la plaine orientale, les ter</w:t>
            </w:r>
            <w:r>
              <w:rPr>
                <w:szCs w:val="24"/>
              </w:rPr>
              <w:t>rains plats sont rares. Si la géographie particulière constitue un frein pour de nombreuses activités (agriculture, transport, aménagement…), elle représente néanmoins un support de développement pour le tourisme.</w:t>
            </w:r>
          </w:p>
          <w:p w:rsidR="0035701C" w:rsidRDefault="00FB561B">
            <w:pPr>
              <w:spacing w:before="240" w:after="240"/>
              <w:jc w:val="left"/>
              <w:rPr>
                <w:szCs w:val="24"/>
              </w:rPr>
            </w:pPr>
            <w:r>
              <w:rPr>
                <w:szCs w:val="24"/>
              </w:rPr>
              <w:t>Le climat de la Corse est de type méditerr</w:t>
            </w:r>
            <w:r>
              <w:rPr>
                <w:szCs w:val="24"/>
              </w:rPr>
              <w:t>anéen, caractérisé par une grande amplitude thermique et pluviométrique entre été et hiver ainsi qu’entre plaine et montagne. Les précipitations moyennes sont de l’ordre de 500 mm par an sur le littoral, et peuvent atteindre 2000 mm en haute montagne.</w:t>
            </w:r>
          </w:p>
          <w:p w:rsidR="0035701C" w:rsidRDefault="00FB561B">
            <w:pPr>
              <w:spacing w:before="240" w:after="240"/>
              <w:jc w:val="left"/>
              <w:rPr>
                <w:szCs w:val="24"/>
              </w:rPr>
            </w:pPr>
            <w:r>
              <w:rPr>
                <w:szCs w:val="24"/>
              </w:rPr>
              <w:t>En 2</w:t>
            </w:r>
            <w:r>
              <w:rPr>
                <w:szCs w:val="24"/>
              </w:rPr>
              <w:t>012, la population de la Corse atteint près de 320 000 personnes (IC1). Avec 36.3 h/km² (IC4 ; fig 2 &amp; fig 3), elle demeure la moins densément peuplée des régions françaises. La déprise agricole et rurale a laissé des traces sur l’état du foncier. Ainsi, l</w:t>
            </w:r>
            <w:r>
              <w:rPr>
                <w:szCs w:val="24"/>
              </w:rPr>
              <w:t>e Groupement d’Intérêt Public pour la Reconstitution des Titres de Propriété en Corse, estime que plus de 40% du territoire sont dépourvus de titres ou en indivision.</w:t>
            </w:r>
          </w:p>
          <w:p w:rsidR="0035701C" w:rsidRDefault="00FB561B">
            <w:pPr>
              <w:spacing w:before="240" w:after="240"/>
              <w:jc w:val="left"/>
              <w:rPr>
                <w:szCs w:val="24"/>
              </w:rPr>
            </w:pPr>
            <w:r>
              <w:rPr>
                <w:szCs w:val="24"/>
              </w:rPr>
              <w:t>Pour le présent PDR, les zones rurales concernent l’ensemble de la Corse.</w:t>
            </w:r>
          </w:p>
          <w:p w:rsidR="0035701C" w:rsidRDefault="00FB561B">
            <w:pPr>
              <w:spacing w:before="240" w:after="240"/>
              <w:jc w:val="left"/>
              <w:rPr>
                <w:szCs w:val="24"/>
              </w:rPr>
            </w:pPr>
            <w:r>
              <w:rPr>
                <w:szCs w:val="24"/>
              </w:rPr>
              <w:t>En 2010, le PIB</w:t>
            </w:r>
            <w:r>
              <w:rPr>
                <w:szCs w:val="24"/>
              </w:rPr>
              <w:t xml:space="preserve"> de la Corse (IC8) s'élève à 7,81 milliards d'euros. A partir de 1997, l’économie Corse a commencé à rattraper son retard sur les autres régions françaises. Avec 24 979 euros, le PIB par habitant se situe dans la moyenne des régions françaises de province.</w:t>
            </w:r>
            <w:r>
              <w:rPr>
                <w:szCs w:val="24"/>
              </w:rPr>
              <w:t xml:space="preserve"> Le tertiaire marchand occupe une place prépondérante, grâce notamment aux activités liées au tourisme (fig 4). La construction est un autre pilier de l'économie, et en même temps un facteur de fragilité important. En effet, une économie qui repose essenti</w:t>
            </w:r>
            <w:r>
              <w:rPr>
                <w:szCs w:val="24"/>
              </w:rPr>
              <w:t>ellement sur un seul secteur d’activité est soumis directement aux aléas de celui-ci. A l'inverse, le tissu industriel est très restreint. De même, l’agriculture ne représente que 2% du PIB. Enfin, les services administrés ont un poids supérieur à toutes l</w:t>
            </w:r>
            <w:r>
              <w:rPr>
                <w:szCs w:val="24"/>
              </w:rPr>
              <w:t>es autres régions.</w:t>
            </w:r>
          </w:p>
          <w:p w:rsidR="0035701C" w:rsidRDefault="0035701C">
            <w:pPr>
              <w:pStyle w:val="Corpsdetexte"/>
            </w:pPr>
          </w:p>
          <w:p w:rsidR="0035701C" w:rsidRDefault="00FB561B">
            <w:pPr>
              <w:pStyle w:val="Corpsdetexte3"/>
              <w:jc w:val="center"/>
            </w:pPr>
            <w:r>
              <w:rPr>
                <w:noProof/>
                <w:lang w:val="fr-FR" w:eastAsia="fr-FR"/>
              </w:rPr>
              <w:lastRenderedPageBreak/>
              <w:drawing>
                <wp:inline distT="0" distB="0" distL="0" distR="0">
                  <wp:extent cx="2257425" cy="5133975"/>
                  <wp:effectExtent l="0" t="0" r="0" b="0"/>
                  <wp:docPr id="100006" name="Image 1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6"/>
                          <a:stretch>
                            <a:fillRect/>
                          </a:stretch>
                        </pic:blipFill>
                        <pic:spPr>
                          <a:xfrm>
                            <a:off x="0" y="0"/>
                            <a:ext cx="2257425" cy="5133975"/>
                          </a:xfrm>
                          <a:prstGeom prst="rect">
                            <a:avLst/>
                          </a:prstGeom>
                        </pic:spPr>
                      </pic:pic>
                    </a:graphicData>
                  </a:graphic>
                </wp:inline>
              </w:drawing>
            </w:r>
          </w:p>
          <w:p w:rsidR="0035701C" w:rsidRDefault="00FB561B">
            <w:pPr>
              <w:pStyle w:val="Pieddepage"/>
              <w:jc w:val="center"/>
            </w:pPr>
            <w:r>
              <w:t>Figure 1 : relief de la Corse Source : BD Alti, IGN, 2003</w:t>
            </w:r>
          </w:p>
          <w:p w:rsidR="0035701C" w:rsidRDefault="00FB561B">
            <w:pPr>
              <w:pStyle w:val="Pieddepage"/>
              <w:jc w:val="center"/>
            </w:pPr>
            <w:r>
              <w:rPr>
                <w:noProof/>
                <w:lang w:val="fr-FR" w:eastAsia="fr-FR"/>
              </w:rPr>
              <w:lastRenderedPageBreak/>
              <w:drawing>
                <wp:inline distT="0" distB="0" distL="0" distR="0">
                  <wp:extent cx="3981450" cy="5410200"/>
                  <wp:effectExtent l="0" t="0" r="0" b="0"/>
                  <wp:docPr id="100008" name="Image 10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7"/>
                          <a:stretch>
                            <a:fillRect/>
                          </a:stretch>
                        </pic:blipFill>
                        <pic:spPr>
                          <a:xfrm>
                            <a:off x="0" y="0"/>
                            <a:ext cx="3981450" cy="5410200"/>
                          </a:xfrm>
                          <a:prstGeom prst="rect">
                            <a:avLst/>
                          </a:prstGeom>
                        </pic:spPr>
                      </pic:pic>
                    </a:graphicData>
                  </a:graphic>
                </wp:inline>
              </w:drawing>
            </w:r>
          </w:p>
          <w:p w:rsidR="0035701C" w:rsidRDefault="00FB561B">
            <w:pPr>
              <w:pStyle w:val="Pieddepage"/>
              <w:jc w:val="center"/>
            </w:pPr>
            <w:r>
              <w:t>Figure 2 : Densité de population de la Corse Source : INSEE, 2010</w:t>
            </w:r>
          </w:p>
          <w:p w:rsidR="0035701C" w:rsidRDefault="00FB561B">
            <w:pPr>
              <w:pStyle w:val="Pieddepage"/>
              <w:jc w:val="center"/>
            </w:pPr>
            <w:r>
              <w:rPr>
                <w:noProof/>
                <w:lang w:val="fr-FR" w:eastAsia="fr-FR"/>
              </w:rPr>
              <w:lastRenderedPageBreak/>
              <w:drawing>
                <wp:inline distT="0" distB="0" distL="0" distR="0">
                  <wp:extent cx="5457825" cy="3914775"/>
                  <wp:effectExtent l="0" t="0" r="0" b="0"/>
                  <wp:docPr id="100010" name="Image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18"/>
                          <a:stretch>
                            <a:fillRect/>
                          </a:stretch>
                        </pic:blipFill>
                        <pic:spPr>
                          <a:xfrm>
                            <a:off x="0" y="0"/>
                            <a:ext cx="5457825" cy="3914775"/>
                          </a:xfrm>
                          <a:prstGeom prst="rect">
                            <a:avLst/>
                          </a:prstGeom>
                        </pic:spPr>
                      </pic:pic>
                    </a:graphicData>
                  </a:graphic>
                </wp:inline>
              </w:drawing>
            </w:r>
          </w:p>
          <w:p w:rsidR="0035701C" w:rsidRDefault="00FB561B">
            <w:pPr>
              <w:pStyle w:val="Pieddepage"/>
              <w:jc w:val="center"/>
            </w:pPr>
            <w:r>
              <w:t>Figure 3 : Pyramides des âges au 1er janvier 2009 Source : INSEE, 2009</w:t>
            </w:r>
          </w:p>
          <w:p w:rsidR="0035701C" w:rsidRDefault="00FB561B">
            <w:pPr>
              <w:pStyle w:val="Pieddepage"/>
              <w:jc w:val="center"/>
            </w:pPr>
            <w:r>
              <w:rPr>
                <w:noProof/>
                <w:lang w:val="fr-FR" w:eastAsia="fr-FR"/>
              </w:rPr>
              <w:drawing>
                <wp:inline distT="0" distB="0" distL="0" distR="0">
                  <wp:extent cx="6000750" cy="3267075"/>
                  <wp:effectExtent l="0" t="0" r="0" b="0"/>
                  <wp:docPr id="100012" name="Image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19"/>
                          <a:stretch>
                            <a:fillRect/>
                          </a:stretch>
                        </pic:blipFill>
                        <pic:spPr>
                          <a:xfrm>
                            <a:off x="0" y="0"/>
                            <a:ext cx="6000750" cy="3267075"/>
                          </a:xfrm>
                          <a:prstGeom prst="rect">
                            <a:avLst/>
                          </a:prstGeom>
                        </pic:spPr>
                      </pic:pic>
                    </a:graphicData>
                  </a:graphic>
                </wp:inline>
              </w:drawing>
            </w:r>
          </w:p>
          <w:p w:rsidR="0035701C" w:rsidRDefault="00FB561B">
            <w:pPr>
              <w:pStyle w:val="Pieddepage"/>
              <w:jc w:val="center"/>
            </w:pPr>
            <w:r>
              <w:t xml:space="preserve">Figure 4 : Répartition de la </w:t>
            </w:r>
            <w:r>
              <w:t>valeur ajoutée brute par secteur d’activité en 2010 Source : INSEE, 2010</w:t>
            </w:r>
          </w:p>
          <w:p w:rsidR="0035701C" w:rsidRDefault="0035701C">
            <w:pPr>
              <w:pStyle w:val="Pieddepage"/>
              <w:jc w:val="center"/>
            </w:pPr>
          </w:p>
        </w:tc>
      </w:tr>
    </w:tbl>
    <w:p w:rsidR="0035701C" w:rsidRDefault="00FB561B">
      <w:pPr>
        <w:pStyle w:val="Titre2"/>
        <w:rPr>
          <w:b w:val="0"/>
        </w:rPr>
      </w:pPr>
      <w:bookmarkStart w:id="10" w:name="_Toc256000009"/>
      <w:r>
        <w:rPr>
          <w:b w:val="0"/>
        </w:rPr>
        <w:lastRenderedPageBreak/>
        <w:t>Niveau de nomenclature de la région</w:t>
      </w:r>
      <w:bookmarkEnd w:id="10"/>
    </w:p>
    <w:p w:rsidR="0035701C" w:rsidRDefault="00FB561B">
      <w:r>
        <w:t xml:space="preserve">Description: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 xml:space="preserve">La Corse est une région en transition en application de l'article 2 de la décision d'exécution de la Commission du 18 février 2014 </w:t>
            </w:r>
            <w:r>
              <w:rPr>
                <w:szCs w:val="24"/>
              </w:rPr>
              <w:t>[notifiée sous le numéro C(2014) 974] établissant la liste des régions éligibles à un financement du Fonds européen de développement régional et du Fonds social européen et des États membres éligibles à un financement par le Fonds de cohésion pour la pério</w:t>
            </w:r>
            <w:r>
              <w:rPr>
                <w:szCs w:val="24"/>
              </w:rPr>
              <w:t>de 2014-2020.</w:t>
            </w:r>
          </w:p>
          <w:p w:rsidR="0035701C" w:rsidRDefault="0035701C">
            <w:pPr>
              <w:pStyle w:val="Corpsdetexte"/>
            </w:pPr>
          </w:p>
        </w:tc>
      </w:tr>
    </w:tbl>
    <w:p w:rsidR="0035701C" w:rsidRDefault="0035701C">
      <w:pPr>
        <w:sectPr w:rsidR="0035701C">
          <w:pgSz w:w="12240" w:h="15840"/>
          <w:pgMar w:top="900" w:right="900" w:bottom="900" w:left="900" w:header="720" w:footer="720" w:gutter="0"/>
          <w:cols w:space="720"/>
        </w:sectPr>
      </w:pPr>
    </w:p>
    <w:p w:rsidR="0035701C" w:rsidRDefault="00FB561B">
      <w:pPr>
        <w:pStyle w:val="Titre1"/>
      </w:pPr>
      <w:bookmarkStart w:id="11" w:name="_Toc256000010"/>
      <w:r>
        <w:lastRenderedPageBreak/>
        <w:t>Évaluation ex-ante</w:t>
      </w:r>
      <w:bookmarkEnd w:id="11"/>
    </w:p>
    <w:p w:rsidR="0035701C" w:rsidRDefault="00FB561B">
      <w:pPr>
        <w:pStyle w:val="Titre2"/>
      </w:pPr>
      <w:bookmarkStart w:id="12" w:name="_Toc256000011"/>
      <w:r>
        <w:t>Description du processus, y compris le calendrier des principaux événements et les rapports intermédiaires, en ce qui concerne les étapes clés de l'évolution du PDR.</w:t>
      </w:r>
      <w:bookmarkEnd w:id="1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1.1.Méthodologie prévue</w:t>
            </w:r>
          </w:p>
          <w:p w:rsidR="0035701C" w:rsidRDefault="00FB561B">
            <w:pPr>
              <w:spacing w:before="240" w:after="240"/>
              <w:jc w:val="left"/>
              <w:rPr>
                <w:szCs w:val="24"/>
              </w:rPr>
            </w:pPr>
            <w:r>
              <w:rPr>
                <w:szCs w:val="24"/>
              </w:rPr>
              <w:t xml:space="preserve">L’évaluation ex-ante </w:t>
            </w:r>
            <w:r>
              <w:rPr>
                <w:szCs w:val="24"/>
              </w:rPr>
              <w:t>est réalisée en parallèle à l’évaluation environnementale par le même prestataire.</w:t>
            </w:r>
          </w:p>
          <w:p w:rsidR="0035701C" w:rsidRDefault="00FB561B">
            <w:pPr>
              <w:spacing w:before="240" w:after="240"/>
              <w:jc w:val="left"/>
              <w:rPr>
                <w:szCs w:val="24"/>
              </w:rPr>
            </w:pPr>
            <w:r>
              <w:rPr>
                <w:szCs w:val="24"/>
              </w:rPr>
              <w:t>Le cadre de l’évaluation répond aux directives et indications définies dans le Règlement général et le document d'orientation sur l'évaluation ex ante de la Commission (octo</w:t>
            </w:r>
            <w:r>
              <w:rPr>
                <w:szCs w:val="24"/>
              </w:rPr>
              <w:t>bre 2011), et qui ont été précisées, pour ce qui concerne le FEADER, dans le guide de l’évaluation ex-ante présenté par la Commission Européenne le Réseau Européen d’Evaluation du Développement Rural (août 2012).</w:t>
            </w:r>
          </w:p>
          <w:p w:rsidR="0035701C" w:rsidRDefault="00FB561B">
            <w:pPr>
              <w:spacing w:before="240" w:after="240"/>
              <w:jc w:val="left"/>
              <w:rPr>
                <w:szCs w:val="24"/>
              </w:rPr>
            </w:pPr>
            <w:r>
              <w:rPr>
                <w:szCs w:val="24"/>
              </w:rPr>
              <w:t>Outre les objectifs et modalités de réalisa</w:t>
            </w:r>
            <w:r>
              <w:rPr>
                <w:szCs w:val="24"/>
              </w:rPr>
              <w:t>tions techniques inhérentes à l’évaluation, les objectifs généraux de l’évaluation ex-ante sont déclinés comme suit, avec comme finalité de faire de l’évaluation ex-ante une aide aux concepteurs pour mieux élaborer la programmation :</w:t>
            </w:r>
          </w:p>
          <w:p w:rsidR="0035701C" w:rsidRDefault="00FB561B" w:rsidP="00FB561B">
            <w:pPr>
              <w:numPr>
                <w:ilvl w:val="0"/>
                <w:numId w:val="21"/>
              </w:numPr>
              <w:spacing w:before="240" w:after="0"/>
              <w:ind w:hanging="210"/>
              <w:jc w:val="left"/>
              <w:rPr>
                <w:szCs w:val="24"/>
              </w:rPr>
            </w:pPr>
            <w:r>
              <w:rPr>
                <w:szCs w:val="24"/>
              </w:rPr>
              <w:t xml:space="preserve">Porter un avis et des </w:t>
            </w:r>
            <w:r>
              <w:rPr>
                <w:szCs w:val="24"/>
              </w:rPr>
              <w:t xml:space="preserve">recommandations sur la programmation en élaboration en vue d’en </w:t>
            </w:r>
            <w:r>
              <w:rPr>
                <w:b/>
                <w:bCs/>
                <w:i/>
                <w:iCs/>
                <w:szCs w:val="24"/>
              </w:rPr>
              <w:t>améliorer la qualité de la conception</w:t>
            </w:r>
          </w:p>
          <w:p w:rsidR="0035701C" w:rsidRDefault="00FB561B" w:rsidP="00FB561B">
            <w:pPr>
              <w:numPr>
                <w:ilvl w:val="0"/>
                <w:numId w:val="21"/>
              </w:numPr>
              <w:spacing w:before="0" w:after="0"/>
              <w:ind w:hanging="210"/>
              <w:jc w:val="left"/>
              <w:rPr>
                <w:szCs w:val="24"/>
              </w:rPr>
            </w:pPr>
            <w:r>
              <w:rPr>
                <w:szCs w:val="24"/>
              </w:rPr>
              <w:t>Mener l’analyse indépendamment des rédacteurs (</w:t>
            </w:r>
            <w:r>
              <w:rPr>
                <w:b/>
                <w:bCs/>
                <w:szCs w:val="24"/>
              </w:rPr>
              <w:t>interactivité</w:t>
            </w:r>
            <w:r>
              <w:rPr>
                <w:szCs w:val="24"/>
              </w:rPr>
              <w:t>)</w:t>
            </w:r>
          </w:p>
          <w:p w:rsidR="0035701C" w:rsidRDefault="00FB561B" w:rsidP="00FB561B">
            <w:pPr>
              <w:numPr>
                <w:ilvl w:val="0"/>
                <w:numId w:val="21"/>
              </w:numPr>
              <w:spacing w:before="0" w:after="0"/>
              <w:ind w:hanging="210"/>
              <w:jc w:val="left"/>
              <w:rPr>
                <w:szCs w:val="24"/>
              </w:rPr>
            </w:pPr>
            <w:r>
              <w:rPr>
                <w:szCs w:val="24"/>
              </w:rPr>
              <w:t>Emettre ces avis et recommandations au fur et à mesure de l’élaboration du programme pour pe</w:t>
            </w:r>
            <w:r>
              <w:rPr>
                <w:szCs w:val="24"/>
              </w:rPr>
              <w:t>rmettre leur prise en compte par les rédacteurs (</w:t>
            </w:r>
            <w:r>
              <w:rPr>
                <w:b/>
                <w:bCs/>
                <w:szCs w:val="24"/>
              </w:rPr>
              <w:t>itération</w:t>
            </w:r>
            <w:r>
              <w:rPr>
                <w:szCs w:val="24"/>
              </w:rPr>
              <w:t>)</w:t>
            </w:r>
          </w:p>
          <w:p w:rsidR="0035701C" w:rsidRDefault="00FB561B" w:rsidP="00FB561B">
            <w:pPr>
              <w:numPr>
                <w:ilvl w:val="0"/>
                <w:numId w:val="21"/>
              </w:numPr>
              <w:spacing w:before="0" w:after="0"/>
              <w:ind w:hanging="210"/>
              <w:jc w:val="left"/>
              <w:rPr>
                <w:szCs w:val="24"/>
              </w:rPr>
            </w:pPr>
            <w:r>
              <w:rPr>
                <w:szCs w:val="24"/>
              </w:rPr>
              <w:t>Réaliser l’</w:t>
            </w:r>
            <w:r>
              <w:rPr>
                <w:b/>
                <w:bCs/>
                <w:szCs w:val="24"/>
              </w:rPr>
              <w:t>évaluation stratégique environnementale</w:t>
            </w:r>
            <w:r>
              <w:rPr>
                <w:szCs w:val="24"/>
              </w:rPr>
              <w:t xml:space="preserve"> (ESE) du programme également au fur et à mesure</w:t>
            </w:r>
          </w:p>
          <w:p w:rsidR="0035701C" w:rsidRDefault="00FB561B" w:rsidP="00FB561B">
            <w:pPr>
              <w:numPr>
                <w:ilvl w:val="0"/>
                <w:numId w:val="21"/>
              </w:numPr>
              <w:spacing w:before="0" w:after="240"/>
              <w:ind w:hanging="210"/>
              <w:jc w:val="left"/>
              <w:rPr>
                <w:szCs w:val="24"/>
              </w:rPr>
            </w:pPr>
            <w:r>
              <w:rPr>
                <w:szCs w:val="24"/>
              </w:rPr>
              <w:t>Modifier éventuellement les documents suite à leur soumission aux instances compétences (Etat, Co</w:t>
            </w:r>
            <w:r>
              <w:rPr>
                <w:szCs w:val="24"/>
              </w:rPr>
              <w:t>mmission) (</w:t>
            </w:r>
            <w:r>
              <w:rPr>
                <w:i/>
                <w:iCs/>
                <w:szCs w:val="24"/>
              </w:rPr>
              <w:t>commande conditionnelle</w:t>
            </w:r>
            <w:r>
              <w:rPr>
                <w:szCs w:val="24"/>
              </w:rPr>
              <w: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L’évaluation se déroule en 4 étapes au rythme de la rédaction du programme :</w:t>
            </w:r>
          </w:p>
          <w:p w:rsidR="0035701C" w:rsidRDefault="00FB561B">
            <w:pPr>
              <w:spacing w:before="240" w:after="240"/>
              <w:ind w:left="1134"/>
              <w:jc w:val="left"/>
              <w:rPr>
                <w:szCs w:val="24"/>
              </w:rPr>
            </w:pPr>
            <w:r>
              <w:rPr>
                <w:szCs w:val="24"/>
              </w:rPr>
              <w:t>Etape 1 :   Analyse des enjeux stratégiques et des besoins</w:t>
            </w:r>
          </w:p>
          <w:p w:rsidR="0035701C" w:rsidRDefault="00FB561B">
            <w:pPr>
              <w:spacing w:before="240" w:after="240"/>
              <w:ind w:left="1134"/>
              <w:jc w:val="left"/>
              <w:rPr>
                <w:szCs w:val="24"/>
              </w:rPr>
            </w:pPr>
            <w:r>
              <w:rPr>
                <w:szCs w:val="24"/>
              </w:rPr>
              <w:t>Etape 2 :   Analyse de la logique d’intervention et des objectifs de réalisations</w:t>
            </w:r>
            <w:r>
              <w:rPr>
                <w:szCs w:val="24"/>
              </w:rPr>
              <w:t xml:space="preserve"> du programme en construction</w:t>
            </w:r>
          </w:p>
          <w:p w:rsidR="0035701C" w:rsidRDefault="00FB561B">
            <w:pPr>
              <w:spacing w:before="240" w:after="240"/>
              <w:ind w:left="1134"/>
              <w:jc w:val="left"/>
              <w:rPr>
                <w:szCs w:val="24"/>
              </w:rPr>
            </w:pPr>
            <w:r>
              <w:rPr>
                <w:szCs w:val="24"/>
              </w:rPr>
              <w:t>Etape 3 :   Analyse du document de programme en finalisation</w:t>
            </w:r>
          </w:p>
          <w:p w:rsidR="0035701C" w:rsidRDefault="00FB561B">
            <w:pPr>
              <w:spacing w:before="240" w:after="240"/>
              <w:ind w:left="1134"/>
              <w:jc w:val="left"/>
              <w:rPr>
                <w:szCs w:val="24"/>
              </w:rPr>
            </w:pPr>
            <w:r>
              <w:rPr>
                <w:szCs w:val="24"/>
              </w:rPr>
              <w:t>Etape 4 :   Rédaction du rapport d’évaluation ex-ante final intégrant le rapport d’évaluation stratégique environnementale</w:t>
            </w:r>
          </w:p>
          <w:p w:rsidR="0035701C" w:rsidRDefault="00FB561B">
            <w:pPr>
              <w:spacing w:before="240" w:after="240"/>
              <w:jc w:val="left"/>
              <w:rPr>
                <w:szCs w:val="24"/>
              </w:rPr>
            </w:pPr>
            <w:r>
              <w:rPr>
                <w:b/>
                <w:bCs/>
                <w:szCs w:val="24"/>
              </w:rPr>
              <w:t>Les tâches à réaliser au fur et à mesure p</w:t>
            </w:r>
            <w:r>
              <w:rPr>
                <w:b/>
                <w:bCs/>
                <w:szCs w:val="24"/>
              </w:rPr>
              <w:t>ermettent de répondre progressivement aux questions posées :</w:t>
            </w:r>
          </w:p>
          <w:p w:rsidR="0035701C" w:rsidRDefault="0035701C">
            <w:pPr>
              <w:pStyle w:val="Corpsdetexte"/>
            </w:pPr>
          </w:p>
          <w:p w:rsidR="0035701C" w:rsidRDefault="00FB561B">
            <w:pPr>
              <w:pStyle w:val="Corpsdetexte3"/>
              <w:jc w:val="center"/>
            </w:pPr>
            <w:r>
              <w:rPr>
                <w:noProof/>
                <w:lang w:val="fr-FR" w:eastAsia="fr-FR"/>
              </w:rPr>
              <w:lastRenderedPageBreak/>
              <w:drawing>
                <wp:inline distT="0" distB="0" distL="0" distR="0">
                  <wp:extent cx="5353050" cy="2838450"/>
                  <wp:effectExtent l="0" t="0" r="0" b="0"/>
                  <wp:docPr id="100014" name="Image 10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20"/>
                          <a:stretch>
                            <a:fillRect/>
                          </a:stretch>
                        </pic:blipFill>
                        <pic:spPr>
                          <a:xfrm>
                            <a:off x="0" y="0"/>
                            <a:ext cx="5353050" cy="2838450"/>
                          </a:xfrm>
                          <a:prstGeom prst="rect">
                            <a:avLst/>
                          </a:prstGeom>
                        </pic:spPr>
                      </pic:pic>
                    </a:graphicData>
                  </a:graphic>
                </wp:inline>
              </w:drawing>
            </w:r>
          </w:p>
          <w:p w:rsidR="0035701C" w:rsidRDefault="00FB561B">
            <w:pPr>
              <w:pStyle w:val="Pieddepage"/>
              <w:jc w:val="center"/>
            </w:pPr>
            <w:r>
              <w:t>Avancement méthodologie Ex anté</w:t>
            </w:r>
          </w:p>
          <w:p w:rsidR="0035701C" w:rsidRDefault="00FB561B">
            <w:pPr>
              <w:pStyle w:val="Pieddepage"/>
            </w:pPr>
            <w:r>
              <w:rPr>
                <w:noProof/>
                <w:lang w:val="fr-FR" w:eastAsia="fr-FR"/>
              </w:rPr>
              <w:drawing>
                <wp:inline distT="0" distB="0" distL="0" distR="0">
                  <wp:extent cx="6629400" cy="3272412"/>
                  <wp:effectExtent l="0" t="0" r="0" b="0"/>
                  <wp:docPr id="100016" name="Image 10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21"/>
                          <a:stretch>
                            <a:fillRect/>
                          </a:stretch>
                        </pic:blipFill>
                        <pic:spPr>
                          <a:xfrm>
                            <a:off x="0" y="0"/>
                            <a:ext cx="6629400" cy="3272412"/>
                          </a:xfrm>
                          <a:prstGeom prst="rect">
                            <a:avLst/>
                          </a:prstGeom>
                        </pic:spPr>
                      </pic:pic>
                    </a:graphicData>
                  </a:graphic>
                </wp:inline>
              </w:drawing>
            </w:r>
          </w:p>
          <w:p w:rsidR="0035701C" w:rsidRDefault="00FB561B">
            <w:pPr>
              <w:pStyle w:val="Pieddepage"/>
              <w:jc w:val="center"/>
            </w:pPr>
            <w:r>
              <w:t>Avancement travaux</w:t>
            </w:r>
          </w:p>
          <w:p w:rsidR="0035701C" w:rsidRDefault="0035701C">
            <w:pPr>
              <w:pStyle w:val="Pieddepage"/>
              <w:jc w:val="center"/>
            </w:pPr>
          </w:p>
        </w:tc>
      </w:tr>
    </w:tbl>
    <w:p w:rsidR="0035701C" w:rsidRDefault="00FB561B">
      <w:pPr>
        <w:pStyle w:val="Titre2"/>
      </w:pPr>
      <w:r>
        <w:lastRenderedPageBreak/>
        <w:br w:type="page"/>
      </w:r>
      <w:bookmarkStart w:id="13" w:name="_Toc256000012"/>
      <w:r>
        <w:lastRenderedPageBreak/>
        <w:t>Tableau structuré contenant les recommandations de l’évaluation ex ante et indiquant la manière dont elles ont été prises en compte.</w:t>
      </w:r>
      <w:bookmarkEnd w:id="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2"/>
        <w:gridCol w:w="3731"/>
        <w:gridCol w:w="3193"/>
      </w:tblGrid>
      <w:tr w:rsidR="0035701C">
        <w:tc>
          <w:tcPr>
            <w:tcW w:w="12000" w:type="dxa"/>
            <w:shd w:val="clear" w:color="auto" w:fill="C0C0C0"/>
          </w:tcPr>
          <w:p w:rsidR="0035701C" w:rsidRDefault="00FB561B">
            <w:pPr>
              <w:rPr>
                <w:b/>
              </w:rPr>
            </w:pPr>
            <w:r>
              <w:rPr>
                <w:b/>
              </w:rPr>
              <w:t>Intitulé (ou référence) de la recommandation</w:t>
            </w:r>
          </w:p>
        </w:tc>
        <w:tc>
          <w:tcPr>
            <w:tcW w:w="12000" w:type="dxa"/>
            <w:shd w:val="clear" w:color="auto" w:fill="C0C0C0"/>
          </w:tcPr>
          <w:p w:rsidR="0035701C" w:rsidRDefault="00FB561B">
            <w:pPr>
              <w:rPr>
                <w:b/>
              </w:rPr>
            </w:pPr>
            <w:r>
              <w:rPr>
                <w:b/>
              </w:rPr>
              <w:t>Catégorie de recommandation</w:t>
            </w:r>
          </w:p>
        </w:tc>
        <w:tc>
          <w:tcPr>
            <w:tcW w:w="12000" w:type="dxa"/>
            <w:shd w:val="clear" w:color="auto" w:fill="C0C0C0"/>
          </w:tcPr>
          <w:p w:rsidR="0035701C" w:rsidRDefault="00FB561B">
            <w:r>
              <w:rPr>
                <w:b/>
              </w:rPr>
              <w:t>Date</w:t>
            </w:r>
          </w:p>
        </w:tc>
      </w:tr>
      <w:tr w:rsidR="0035701C">
        <w:tc>
          <w:tcPr>
            <w:tcW w:w="12000" w:type="dxa"/>
            <w:shd w:val="clear" w:color="auto" w:fill="FFFFFF"/>
          </w:tcPr>
          <w:p w:rsidR="0035701C" w:rsidRDefault="00FB561B">
            <w:r>
              <w:t>Dispositif de suivi et d’évaluation</w:t>
            </w:r>
          </w:p>
        </w:tc>
        <w:tc>
          <w:tcPr>
            <w:tcW w:w="12000" w:type="dxa"/>
            <w:shd w:val="clear" w:color="auto" w:fill="FFFFFF"/>
          </w:tcPr>
          <w:p w:rsidR="0035701C" w:rsidRDefault="0035701C"/>
        </w:tc>
        <w:tc>
          <w:tcPr>
            <w:tcW w:w="12000" w:type="dxa"/>
            <w:shd w:val="clear" w:color="auto" w:fill="FFFFFF"/>
          </w:tcPr>
          <w:p w:rsidR="0035701C" w:rsidRDefault="00FB561B">
            <w:r>
              <w:t>01/07/2014</w:t>
            </w:r>
          </w:p>
        </w:tc>
      </w:tr>
      <w:tr w:rsidR="0035701C">
        <w:tc>
          <w:tcPr>
            <w:tcW w:w="12000" w:type="dxa"/>
            <w:shd w:val="clear" w:color="auto" w:fill="FFFFFF"/>
          </w:tcPr>
          <w:p w:rsidR="0035701C" w:rsidRDefault="00FB561B">
            <w:r>
              <w:t>Dispositif de suivi et d’évaluation (2015)</w:t>
            </w:r>
          </w:p>
        </w:tc>
        <w:tc>
          <w:tcPr>
            <w:tcW w:w="12000" w:type="dxa"/>
            <w:shd w:val="clear" w:color="auto" w:fill="FFFFFF"/>
          </w:tcPr>
          <w:p w:rsidR="0035701C" w:rsidRDefault="0035701C"/>
        </w:tc>
        <w:tc>
          <w:tcPr>
            <w:tcW w:w="12000" w:type="dxa"/>
            <w:shd w:val="clear" w:color="auto" w:fill="FFFFFF"/>
          </w:tcPr>
          <w:p w:rsidR="0035701C" w:rsidRDefault="00FB561B">
            <w:r>
              <w:t>01/07/2015</w:t>
            </w:r>
          </w:p>
        </w:tc>
      </w:tr>
      <w:tr w:rsidR="0035701C">
        <w:tc>
          <w:tcPr>
            <w:tcW w:w="12000" w:type="dxa"/>
            <w:shd w:val="clear" w:color="auto" w:fill="FFFFFF"/>
          </w:tcPr>
          <w:p w:rsidR="0035701C" w:rsidRDefault="00FB561B">
            <w:r>
              <w:t>La cohérence des modalités de mise en oeuvre des mesures</w:t>
            </w:r>
          </w:p>
        </w:tc>
        <w:tc>
          <w:tcPr>
            <w:tcW w:w="12000" w:type="dxa"/>
            <w:shd w:val="clear" w:color="auto" w:fill="FFFFFF"/>
          </w:tcPr>
          <w:p w:rsidR="0035701C" w:rsidRDefault="0035701C"/>
        </w:tc>
        <w:tc>
          <w:tcPr>
            <w:tcW w:w="12000" w:type="dxa"/>
            <w:shd w:val="clear" w:color="auto" w:fill="FFFFFF"/>
          </w:tcPr>
          <w:p w:rsidR="0035701C" w:rsidRDefault="00FB561B">
            <w:r>
              <w:t>01/07/2014</w:t>
            </w:r>
          </w:p>
        </w:tc>
      </w:tr>
      <w:tr w:rsidR="0035701C">
        <w:tc>
          <w:tcPr>
            <w:tcW w:w="12000" w:type="dxa"/>
            <w:shd w:val="clear" w:color="auto" w:fill="FFFFFF"/>
          </w:tcPr>
          <w:p w:rsidR="0035701C" w:rsidRDefault="00FB561B">
            <w:r>
              <w:t>La</w:t>
            </w:r>
            <w:r>
              <w:t xml:space="preserve"> cohérence externe du Programme avec les autres instruments concernés</w:t>
            </w:r>
          </w:p>
        </w:tc>
        <w:tc>
          <w:tcPr>
            <w:tcW w:w="12000" w:type="dxa"/>
            <w:shd w:val="clear" w:color="auto" w:fill="FFFFFF"/>
          </w:tcPr>
          <w:p w:rsidR="0035701C" w:rsidRDefault="0035701C"/>
        </w:tc>
        <w:tc>
          <w:tcPr>
            <w:tcW w:w="12000" w:type="dxa"/>
            <w:shd w:val="clear" w:color="auto" w:fill="FFFFFF"/>
          </w:tcPr>
          <w:p w:rsidR="0035701C" w:rsidRDefault="00FB561B">
            <w:r>
              <w:t>01/07/2014</w:t>
            </w:r>
          </w:p>
        </w:tc>
      </w:tr>
      <w:tr w:rsidR="0035701C">
        <w:tc>
          <w:tcPr>
            <w:tcW w:w="12000" w:type="dxa"/>
            <w:shd w:val="clear" w:color="auto" w:fill="FFFFFF"/>
          </w:tcPr>
          <w:p w:rsidR="0035701C" w:rsidRDefault="00FB561B">
            <w:r>
              <w:t>La cohérence interne du Programme</w:t>
            </w:r>
          </w:p>
        </w:tc>
        <w:tc>
          <w:tcPr>
            <w:tcW w:w="12000" w:type="dxa"/>
            <w:shd w:val="clear" w:color="auto" w:fill="FFFFFF"/>
          </w:tcPr>
          <w:p w:rsidR="0035701C" w:rsidRDefault="0035701C"/>
        </w:tc>
        <w:tc>
          <w:tcPr>
            <w:tcW w:w="12000" w:type="dxa"/>
            <w:shd w:val="clear" w:color="auto" w:fill="FFFFFF"/>
          </w:tcPr>
          <w:p w:rsidR="0035701C" w:rsidRDefault="00FB561B">
            <w:r>
              <w:t>01/07/2014</w:t>
            </w:r>
          </w:p>
        </w:tc>
      </w:tr>
      <w:tr w:rsidR="0035701C">
        <w:tc>
          <w:tcPr>
            <w:tcW w:w="12000" w:type="dxa"/>
            <w:shd w:val="clear" w:color="auto" w:fill="FFFFFF"/>
          </w:tcPr>
          <w:p w:rsidR="0035701C" w:rsidRDefault="00FB561B">
            <w:r>
              <w:t>La cohérence stratégique</w:t>
            </w:r>
          </w:p>
        </w:tc>
        <w:tc>
          <w:tcPr>
            <w:tcW w:w="12000" w:type="dxa"/>
            <w:shd w:val="clear" w:color="auto" w:fill="FFFFFF"/>
          </w:tcPr>
          <w:p w:rsidR="0035701C" w:rsidRDefault="0035701C"/>
        </w:tc>
        <w:tc>
          <w:tcPr>
            <w:tcW w:w="12000" w:type="dxa"/>
            <w:shd w:val="clear" w:color="auto" w:fill="FFFFFF"/>
          </w:tcPr>
          <w:p w:rsidR="0035701C" w:rsidRDefault="00FB561B">
            <w:r>
              <w:t>01/07/2014</w:t>
            </w:r>
          </w:p>
        </w:tc>
      </w:tr>
      <w:tr w:rsidR="0035701C">
        <w:tc>
          <w:tcPr>
            <w:tcW w:w="12000" w:type="dxa"/>
            <w:shd w:val="clear" w:color="auto" w:fill="FFFFFF"/>
          </w:tcPr>
          <w:p w:rsidR="0035701C" w:rsidRDefault="00FB561B">
            <w:r>
              <w:t>La pertinence</w:t>
            </w:r>
          </w:p>
        </w:tc>
        <w:tc>
          <w:tcPr>
            <w:tcW w:w="12000" w:type="dxa"/>
            <w:shd w:val="clear" w:color="auto" w:fill="FFFFFF"/>
          </w:tcPr>
          <w:p w:rsidR="0035701C" w:rsidRDefault="0035701C"/>
        </w:tc>
        <w:tc>
          <w:tcPr>
            <w:tcW w:w="12000" w:type="dxa"/>
            <w:shd w:val="clear" w:color="auto" w:fill="FFFFFF"/>
          </w:tcPr>
          <w:p w:rsidR="0035701C" w:rsidRDefault="00FB561B">
            <w:r>
              <w:t>01/07/2014</w:t>
            </w:r>
          </w:p>
        </w:tc>
      </w:tr>
      <w:tr w:rsidR="0035701C">
        <w:tc>
          <w:tcPr>
            <w:tcW w:w="12000" w:type="dxa"/>
            <w:shd w:val="clear" w:color="auto" w:fill="FFFFFF"/>
          </w:tcPr>
          <w:p w:rsidR="0035701C" w:rsidRDefault="00FB561B">
            <w:r>
              <w:t>La pertinence (2015)</w:t>
            </w:r>
          </w:p>
        </w:tc>
        <w:tc>
          <w:tcPr>
            <w:tcW w:w="12000" w:type="dxa"/>
            <w:shd w:val="clear" w:color="auto" w:fill="FFFFFF"/>
          </w:tcPr>
          <w:p w:rsidR="0035701C" w:rsidRDefault="0035701C"/>
        </w:tc>
        <w:tc>
          <w:tcPr>
            <w:tcW w:w="12000" w:type="dxa"/>
            <w:shd w:val="clear" w:color="auto" w:fill="FFFFFF"/>
          </w:tcPr>
          <w:p w:rsidR="0035701C" w:rsidRDefault="00FB561B">
            <w:r>
              <w:t>01/07/2015</w:t>
            </w:r>
          </w:p>
        </w:tc>
      </w:tr>
      <w:tr w:rsidR="0035701C">
        <w:tc>
          <w:tcPr>
            <w:tcW w:w="12000" w:type="dxa"/>
            <w:shd w:val="clear" w:color="auto" w:fill="FFFFFF"/>
          </w:tcPr>
          <w:p w:rsidR="0035701C" w:rsidRDefault="00FB561B">
            <w:r>
              <w:t xml:space="preserve">La pertinence des </w:t>
            </w:r>
            <w:r>
              <w:t>indicateurs</w:t>
            </w:r>
          </w:p>
        </w:tc>
        <w:tc>
          <w:tcPr>
            <w:tcW w:w="12000" w:type="dxa"/>
            <w:shd w:val="clear" w:color="auto" w:fill="FFFFFF"/>
          </w:tcPr>
          <w:p w:rsidR="0035701C" w:rsidRDefault="0035701C"/>
        </w:tc>
        <w:tc>
          <w:tcPr>
            <w:tcW w:w="12000" w:type="dxa"/>
            <w:shd w:val="clear" w:color="auto" w:fill="FFFFFF"/>
          </w:tcPr>
          <w:p w:rsidR="0035701C" w:rsidRDefault="00FB561B">
            <w:r>
              <w:t>01/07/2014</w:t>
            </w:r>
          </w:p>
        </w:tc>
      </w:tr>
      <w:tr w:rsidR="0035701C">
        <w:tc>
          <w:tcPr>
            <w:tcW w:w="12000" w:type="dxa"/>
            <w:shd w:val="clear" w:color="auto" w:fill="FFFFFF"/>
          </w:tcPr>
          <w:p w:rsidR="0035701C" w:rsidRDefault="00FB561B">
            <w:r>
              <w:t>La pertinence des indicateurs (2015)</w:t>
            </w:r>
          </w:p>
        </w:tc>
        <w:tc>
          <w:tcPr>
            <w:tcW w:w="12000" w:type="dxa"/>
            <w:shd w:val="clear" w:color="auto" w:fill="FFFFFF"/>
          </w:tcPr>
          <w:p w:rsidR="0035701C" w:rsidRDefault="0035701C"/>
        </w:tc>
        <w:tc>
          <w:tcPr>
            <w:tcW w:w="12000" w:type="dxa"/>
            <w:shd w:val="clear" w:color="auto" w:fill="FFFFFF"/>
          </w:tcPr>
          <w:p w:rsidR="0035701C" w:rsidRDefault="00FB561B">
            <w:r>
              <w:t>01/07/2015</w:t>
            </w:r>
          </w:p>
        </w:tc>
      </w:tr>
      <w:tr w:rsidR="0035701C">
        <w:tc>
          <w:tcPr>
            <w:tcW w:w="12000" w:type="dxa"/>
            <w:shd w:val="clear" w:color="auto" w:fill="FFFFFF"/>
          </w:tcPr>
          <w:p w:rsidR="0035701C" w:rsidRDefault="00FB561B">
            <w:r>
              <w:t>La pertinence des mesures prévues pour promouvoir les priorités transversales</w:t>
            </w:r>
          </w:p>
        </w:tc>
        <w:tc>
          <w:tcPr>
            <w:tcW w:w="12000" w:type="dxa"/>
            <w:shd w:val="clear" w:color="auto" w:fill="FFFFFF"/>
          </w:tcPr>
          <w:p w:rsidR="0035701C" w:rsidRDefault="0035701C"/>
        </w:tc>
        <w:tc>
          <w:tcPr>
            <w:tcW w:w="12000" w:type="dxa"/>
            <w:shd w:val="clear" w:color="auto" w:fill="FFFFFF"/>
          </w:tcPr>
          <w:p w:rsidR="0035701C" w:rsidRDefault="00FB561B">
            <w:r>
              <w:t>01/07/2014</w:t>
            </w:r>
          </w:p>
        </w:tc>
      </w:tr>
      <w:tr w:rsidR="0035701C">
        <w:tc>
          <w:tcPr>
            <w:tcW w:w="12000" w:type="dxa"/>
            <w:shd w:val="clear" w:color="auto" w:fill="FFFFFF"/>
          </w:tcPr>
          <w:p w:rsidR="0035701C" w:rsidRDefault="00FB561B">
            <w:r>
              <w:t>Le partenariat et la mise en oeuvre du programme</w:t>
            </w:r>
          </w:p>
        </w:tc>
        <w:tc>
          <w:tcPr>
            <w:tcW w:w="12000" w:type="dxa"/>
            <w:shd w:val="clear" w:color="auto" w:fill="FFFFFF"/>
          </w:tcPr>
          <w:p w:rsidR="0035701C" w:rsidRDefault="0035701C"/>
        </w:tc>
        <w:tc>
          <w:tcPr>
            <w:tcW w:w="12000" w:type="dxa"/>
            <w:shd w:val="clear" w:color="auto" w:fill="FFFFFF"/>
          </w:tcPr>
          <w:p w:rsidR="0035701C" w:rsidRDefault="00FB561B">
            <w:r>
              <w:t>01/07/2015</w:t>
            </w:r>
          </w:p>
        </w:tc>
      </w:tr>
    </w:tbl>
    <w:p w:rsidR="0035701C" w:rsidRDefault="0035701C">
      <w:pPr>
        <w:rPr>
          <w:b/>
        </w:rPr>
      </w:pPr>
    </w:p>
    <w:p w:rsidR="0035701C" w:rsidRDefault="00FB561B">
      <w:pPr>
        <w:pStyle w:val="Titre3"/>
        <w:jc w:val="left"/>
      </w:pPr>
      <w:bookmarkStart w:id="14" w:name="_Toc256000013"/>
      <w:r>
        <w:t xml:space="preserve">Dispositif de suivi et </w:t>
      </w:r>
      <w:r>
        <w:t>d’évaluation</w:t>
      </w:r>
      <w:bookmarkEnd w:id="14"/>
    </w:p>
    <w:p w:rsidR="0035701C" w:rsidRDefault="00FB561B">
      <w:r>
        <w:t xml:space="preserve">Catégorie de recommandation: </w:t>
      </w:r>
    </w:p>
    <w:p w:rsidR="0035701C" w:rsidRDefault="00FB561B">
      <w:r>
        <w:t>Date: 01/07/2014</w:t>
      </w:r>
    </w:p>
    <w:p w:rsidR="0035701C" w:rsidRDefault="00FB561B">
      <w:r>
        <w:t xml:space="preserve">Sujet: </w:t>
      </w:r>
    </w:p>
    <w:p w:rsidR="0035701C" w:rsidRDefault="00FB561B">
      <w:r>
        <w:t>Description de la recommandation.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Le dispositif de suivi et d’évaluation est encore à définir :</w:t>
            </w:r>
            <w:r>
              <w:rPr>
                <w:szCs w:val="24"/>
              </w:rPr>
              <w:br/>
            </w:r>
            <w:r>
              <w:rPr>
                <w:szCs w:val="24"/>
              </w:rPr>
              <w:lastRenderedPageBreak/>
              <w:t>• Suivi annuel des indicateurs de réalisation et de résultats</w:t>
            </w:r>
            <w:r>
              <w:rPr>
                <w:szCs w:val="24"/>
              </w:rPr>
              <w:br/>
              <w:t>• Evaluation à mi-parcours des</w:t>
            </w:r>
            <w:r>
              <w:rPr>
                <w:szCs w:val="24"/>
              </w:rPr>
              <w:t xml:space="preserve"> mises en oeuvre des mesures selon les critères de sélection, priorisation et bonification des actions aidées.</w:t>
            </w:r>
            <w:r>
              <w:rPr>
                <w:szCs w:val="24"/>
              </w:rPr>
              <w:br/>
              <w:t>• Renseignement des indicateurs environnementaux en fin de programmation</w:t>
            </w:r>
            <w:r>
              <w:rPr>
                <w:szCs w:val="24"/>
              </w:rPr>
              <w:br/>
              <w:t>• Evaluation en fin de parcours des indicateurs des objectifs stratégiqu</w:t>
            </w:r>
            <w:r>
              <w:rPr>
                <w:szCs w:val="24"/>
              </w:rPr>
              <w:t>es régionaux</w:t>
            </w:r>
          </w:p>
          <w:p w:rsidR="0035701C" w:rsidRDefault="0035701C">
            <w:pPr>
              <w:pStyle w:val="Corpsdetexte"/>
            </w:pPr>
          </w:p>
        </w:tc>
      </w:tr>
    </w:tbl>
    <w:p w:rsidR="0035701C" w:rsidRDefault="00FB561B">
      <w:r>
        <w:lastRenderedPageBreak/>
        <w:t>Manière dont la recommandation a été prise en compte ou justification de sa non-prise en compte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Le dispositif de suivi et d'évaluation est désormais détaillé au point 9.</w:t>
            </w:r>
          </w:p>
          <w:p w:rsidR="0035701C" w:rsidRDefault="0035701C">
            <w:pPr>
              <w:pStyle w:val="Corpsdetexte"/>
            </w:pPr>
          </w:p>
        </w:tc>
      </w:tr>
    </w:tbl>
    <w:p w:rsidR="0035701C" w:rsidRDefault="00FB561B">
      <w:pPr>
        <w:pStyle w:val="Titre3"/>
        <w:jc w:val="left"/>
      </w:pPr>
      <w:bookmarkStart w:id="15" w:name="_Toc256000014"/>
      <w:r>
        <w:t>Dispositif de suivi et d’évaluation (2015)</w:t>
      </w:r>
      <w:bookmarkEnd w:id="15"/>
    </w:p>
    <w:p w:rsidR="0035701C" w:rsidRDefault="00FB561B">
      <w:r>
        <w:t xml:space="preserve">Catégorie de recommandation: </w:t>
      </w:r>
    </w:p>
    <w:p w:rsidR="0035701C" w:rsidRDefault="00FB561B">
      <w:r>
        <w:t>Date: 01/07/2015</w:t>
      </w:r>
    </w:p>
    <w:p w:rsidR="0035701C" w:rsidRDefault="00FB561B">
      <w:r>
        <w:t xml:space="preserve">Sujet: </w:t>
      </w:r>
    </w:p>
    <w:p w:rsidR="0035701C" w:rsidRDefault="00FB561B">
      <w:r>
        <w:t>Description de la recommandation.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Le dispositif est détaillé. Les modalités de mise en oeuvre sont précisées.</w:t>
            </w:r>
            <w:r>
              <w:rPr>
                <w:szCs w:val="24"/>
              </w:rPr>
              <w:br/>
              <w:t xml:space="preserve">Les modalités spécifiques pour collecter les informations nécessaires pour renseigner les </w:t>
            </w:r>
            <w:r>
              <w:rPr>
                <w:szCs w:val="24"/>
              </w:rPr>
              <w:t>indicateurs pour l’évaluation à mi-parcours, les indicateurs environnementaux et les indicateurs des objectifs stratégiques régionaux sont encore à préciser.</w:t>
            </w:r>
          </w:p>
          <w:p w:rsidR="0035701C" w:rsidRDefault="0035701C">
            <w:pPr>
              <w:pStyle w:val="Corpsdetexte"/>
            </w:pPr>
          </w:p>
        </w:tc>
      </w:tr>
    </w:tbl>
    <w:p w:rsidR="0035701C" w:rsidRDefault="00FB561B">
      <w:r>
        <w:t>Manière dont la recommandation a été prise en compte ou justification de sa non-prise en compte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Un travail préparatoire sera effectué en 2016 lors de la mise en place du dispositif d’évaluation.</w:t>
            </w:r>
          </w:p>
          <w:p w:rsidR="0035701C" w:rsidRDefault="0035701C">
            <w:pPr>
              <w:pStyle w:val="Corpsdetexte"/>
            </w:pPr>
          </w:p>
        </w:tc>
      </w:tr>
    </w:tbl>
    <w:p w:rsidR="0035701C" w:rsidRDefault="00FB561B">
      <w:pPr>
        <w:pStyle w:val="Titre3"/>
        <w:jc w:val="left"/>
      </w:pPr>
      <w:bookmarkStart w:id="16" w:name="_Toc256000015"/>
      <w:r>
        <w:t>La cohérence des modalités de mise en oeuvre des mesures</w:t>
      </w:r>
      <w:bookmarkEnd w:id="16"/>
    </w:p>
    <w:p w:rsidR="0035701C" w:rsidRDefault="00FB561B">
      <w:r>
        <w:t xml:space="preserve">Catégorie de recommandation: </w:t>
      </w:r>
    </w:p>
    <w:p w:rsidR="0035701C" w:rsidRDefault="00FB561B">
      <w:r>
        <w:t>Date: 01/07/2014</w:t>
      </w:r>
    </w:p>
    <w:p w:rsidR="0035701C" w:rsidRDefault="00FB561B">
      <w:r>
        <w:t xml:space="preserve">Sujet: </w:t>
      </w:r>
    </w:p>
    <w:p w:rsidR="0035701C" w:rsidRDefault="00FB561B">
      <w:r>
        <w:t>Description de la recommandation.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 xml:space="preserve">De façon </w:t>
            </w:r>
            <w:r>
              <w:rPr>
                <w:szCs w:val="24"/>
              </w:rPr>
              <w:t>générale, il reste à préciser les critères de sélection, priorisation et bonification.</w:t>
            </w:r>
            <w:r>
              <w:rPr>
                <w:szCs w:val="24"/>
              </w:rPr>
              <w:br/>
              <w:t>Les objectifs cibles de réalisation doivent encore être établis.</w:t>
            </w:r>
            <w:r>
              <w:rPr>
                <w:szCs w:val="24"/>
              </w:rPr>
              <w:br/>
              <w:t>Les modalités prévues (éligibilité, sélection) pour amplifier les incidences environnementales positives</w:t>
            </w:r>
            <w:r>
              <w:rPr>
                <w:szCs w:val="24"/>
              </w:rPr>
              <w:t xml:space="preserve">, ou </w:t>
            </w:r>
            <w:r>
              <w:rPr>
                <w:szCs w:val="24"/>
              </w:rPr>
              <w:lastRenderedPageBreak/>
              <w:t>pour limiter ou corriger les incidences négatives, mises en évidentes dans le rapport environnemental doivent encore être intégrées.</w:t>
            </w:r>
          </w:p>
          <w:p w:rsidR="0035701C" w:rsidRDefault="0035701C">
            <w:pPr>
              <w:pStyle w:val="Corpsdetexte"/>
            </w:pPr>
          </w:p>
        </w:tc>
      </w:tr>
    </w:tbl>
    <w:p w:rsidR="0035701C" w:rsidRDefault="00FB561B">
      <w:r>
        <w:lastRenderedPageBreak/>
        <w:t>Manière dont la recommandation a été prise en compte ou justification de sa non-prise en compte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 xml:space="preserve">Des précisions ont </w:t>
            </w:r>
            <w:r>
              <w:rPr>
                <w:szCs w:val="24"/>
              </w:rPr>
              <w:t>été apportées dans la description des mesures (section 8)</w:t>
            </w:r>
          </w:p>
          <w:p w:rsidR="0035701C" w:rsidRDefault="0035701C">
            <w:pPr>
              <w:pStyle w:val="Corpsdetexte"/>
            </w:pPr>
          </w:p>
        </w:tc>
      </w:tr>
    </w:tbl>
    <w:p w:rsidR="0035701C" w:rsidRDefault="00FB561B">
      <w:pPr>
        <w:pStyle w:val="Titre3"/>
        <w:jc w:val="left"/>
      </w:pPr>
      <w:bookmarkStart w:id="17" w:name="_Toc256000016"/>
      <w:r>
        <w:t>La cohérence externe du Programme avec les autres instruments concernés</w:t>
      </w:r>
      <w:bookmarkEnd w:id="17"/>
    </w:p>
    <w:p w:rsidR="0035701C" w:rsidRDefault="00FB561B">
      <w:r>
        <w:t xml:space="preserve">Catégorie de recommandation: </w:t>
      </w:r>
    </w:p>
    <w:p w:rsidR="0035701C" w:rsidRDefault="00FB561B">
      <w:r>
        <w:t>Date: 01/07/2014</w:t>
      </w:r>
    </w:p>
    <w:p w:rsidR="0035701C" w:rsidRDefault="00FB561B">
      <w:r>
        <w:t xml:space="preserve">Sujet: </w:t>
      </w:r>
    </w:p>
    <w:p w:rsidR="0035701C" w:rsidRDefault="00FB561B">
      <w:r>
        <w:t>Description de la recommandation.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Des points de connexion entre FEADE</w:t>
            </w:r>
            <w:r>
              <w:rPr>
                <w:szCs w:val="24"/>
              </w:rPr>
              <w:t>R et FEDER sont à clarifier :</w:t>
            </w:r>
            <w:r>
              <w:rPr>
                <w:szCs w:val="24"/>
              </w:rPr>
              <w:br/>
              <w:t>• Production d’énergie renouvelable et économie d’énergie</w:t>
            </w:r>
            <w:r>
              <w:rPr>
                <w:szCs w:val="24"/>
              </w:rPr>
              <w:br/>
              <w:t>• Recherche-développement et innovation</w:t>
            </w:r>
            <w:r>
              <w:rPr>
                <w:szCs w:val="24"/>
              </w:rPr>
              <w:br/>
              <w:t>• Création d’entreprises</w:t>
            </w:r>
            <w:r>
              <w:rPr>
                <w:szCs w:val="24"/>
              </w:rPr>
              <w:br/>
              <w:t>• Gestion des risques (incendies)</w:t>
            </w:r>
            <w:r>
              <w:rPr>
                <w:szCs w:val="24"/>
              </w:rPr>
              <w:br/>
              <w:t>Des points de connexion entre FEADER et FSE sont à clarifier :</w:t>
            </w:r>
            <w:r>
              <w:rPr>
                <w:szCs w:val="24"/>
              </w:rPr>
              <w:br/>
              <w:t>• Chan</w:t>
            </w:r>
            <w:r>
              <w:rPr>
                <w:szCs w:val="24"/>
              </w:rPr>
              <w:t>tiers d’insertion dans le secteur rural</w:t>
            </w:r>
            <w:r>
              <w:rPr>
                <w:szCs w:val="24"/>
              </w:rPr>
              <w:br/>
              <w:t>• Formation des actifs</w:t>
            </w:r>
          </w:p>
          <w:p w:rsidR="0035701C" w:rsidRDefault="0035701C">
            <w:pPr>
              <w:pStyle w:val="Corpsdetexte"/>
            </w:pPr>
          </w:p>
        </w:tc>
      </w:tr>
    </w:tbl>
    <w:p w:rsidR="0035701C" w:rsidRDefault="00FB561B">
      <w:r>
        <w:t>Manière dont la recommandation a été prise en compte ou justification de sa non-prise en compte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Les lignes de partage et la complémentarité entre les fonds ont été détaillées au point 14.</w:t>
            </w:r>
          </w:p>
          <w:p w:rsidR="0035701C" w:rsidRDefault="0035701C">
            <w:pPr>
              <w:pStyle w:val="Corpsdetexte"/>
            </w:pPr>
          </w:p>
        </w:tc>
      </w:tr>
    </w:tbl>
    <w:p w:rsidR="0035701C" w:rsidRDefault="00FB561B">
      <w:pPr>
        <w:pStyle w:val="Titre3"/>
        <w:jc w:val="left"/>
      </w:pPr>
      <w:bookmarkStart w:id="18" w:name="_Toc256000017"/>
      <w:r>
        <w:t>L</w:t>
      </w:r>
      <w:r>
        <w:t>a cohérence interne du Programme</w:t>
      </w:r>
      <w:bookmarkEnd w:id="18"/>
    </w:p>
    <w:p w:rsidR="0035701C" w:rsidRDefault="00FB561B">
      <w:r>
        <w:t xml:space="preserve">Catégorie de recommandation: </w:t>
      </w:r>
    </w:p>
    <w:p w:rsidR="0035701C" w:rsidRDefault="00FB561B">
      <w:r>
        <w:t>Date: 01/07/2014</w:t>
      </w:r>
    </w:p>
    <w:p w:rsidR="0035701C" w:rsidRDefault="00FB561B">
      <w:r>
        <w:t xml:space="preserve">Sujet: </w:t>
      </w:r>
    </w:p>
    <w:p w:rsidR="0035701C" w:rsidRDefault="00FB561B">
      <w:r>
        <w:t>Description de la recommandation.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 xml:space="preserve">Avec une concentration du budget à 82% sur les priorités 2 et 4, ainsi qu’une concentration à 90% sur 6 mesures, l’orientation </w:t>
            </w:r>
            <w:r>
              <w:rPr>
                <w:szCs w:val="24"/>
              </w:rPr>
              <w:t>stratégique du PDRC est très claire.</w:t>
            </w:r>
            <w:r>
              <w:rPr>
                <w:szCs w:val="24"/>
              </w:rPr>
              <w:br/>
            </w:r>
            <w:r>
              <w:rPr>
                <w:szCs w:val="24"/>
              </w:rPr>
              <w:lastRenderedPageBreak/>
              <w:t>L’importance du cofinancement régional, y compris les tops-up est à souligner.</w:t>
            </w:r>
          </w:p>
          <w:p w:rsidR="0035701C" w:rsidRDefault="0035701C">
            <w:pPr>
              <w:pStyle w:val="Corpsdetexte"/>
            </w:pPr>
          </w:p>
        </w:tc>
      </w:tr>
    </w:tbl>
    <w:p w:rsidR="0035701C" w:rsidRDefault="00FB561B">
      <w:r>
        <w:lastRenderedPageBreak/>
        <w:t>Manière dont la recommandation a été prise en compte ou justification de sa non-prise en compte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 xml:space="preserve">Cette concentration est justifiée par les </w:t>
            </w:r>
            <w:r>
              <w:rPr>
                <w:szCs w:val="24"/>
              </w:rPr>
              <w:t>orientations du programme en relation avec les éléments révélés par l'analyse AFOM.</w:t>
            </w:r>
          </w:p>
          <w:p w:rsidR="0035701C" w:rsidRDefault="0035701C">
            <w:pPr>
              <w:pStyle w:val="Corpsdetexte"/>
            </w:pPr>
          </w:p>
        </w:tc>
      </w:tr>
    </w:tbl>
    <w:p w:rsidR="0035701C" w:rsidRDefault="00FB561B">
      <w:pPr>
        <w:pStyle w:val="Titre3"/>
        <w:jc w:val="left"/>
      </w:pPr>
      <w:bookmarkStart w:id="19" w:name="_Toc256000018"/>
      <w:r>
        <w:t>La cohérence stratégique</w:t>
      </w:r>
      <w:bookmarkEnd w:id="19"/>
    </w:p>
    <w:p w:rsidR="0035701C" w:rsidRDefault="00FB561B">
      <w:r>
        <w:t xml:space="preserve">Catégorie de recommandation: </w:t>
      </w:r>
    </w:p>
    <w:p w:rsidR="0035701C" w:rsidRDefault="00FB561B">
      <w:r>
        <w:t>Date: 01/07/2014</w:t>
      </w:r>
    </w:p>
    <w:p w:rsidR="0035701C" w:rsidRDefault="00FB561B">
      <w:r>
        <w:t xml:space="preserve">Sujet: </w:t>
      </w:r>
    </w:p>
    <w:p w:rsidR="0035701C" w:rsidRDefault="00FB561B">
      <w:r>
        <w:t>Description de la recommandation.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Même si la Corse n’a pas à contribuer aux objectifs cibl</w:t>
            </w:r>
            <w:r>
              <w:rPr>
                <w:szCs w:val="24"/>
              </w:rPr>
              <w:t>es du cadre national, le PDRC devrait participer à l’orientation majeure d’agroécologie.</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r>
        <w:t>Manière dont la recommandation a été prise en compte ou justification de sa non-prise en compte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 xml:space="preserve">Bien que le terme Agroécologie n'apparaisse pas, les concepts </w:t>
            </w:r>
            <w:r>
              <w:rPr>
                <w:szCs w:val="24"/>
              </w:rPr>
              <w:t>développés dans la définition de l’Agroécologie font écho aux orientations stratégiques agriculture, développement rural et foret du 8 novembre 2013 et à leur mise en œuvre dans le PDRC 2014 2020. Comme souhaité par ailleurs par la Commission, il n'est pas</w:t>
            </w:r>
            <w:r>
              <w:rPr>
                <w:szCs w:val="24"/>
              </w:rPr>
              <w:t xml:space="preserve"> fait référence à une disposition nationale en tant que telle.</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3"/>
        <w:jc w:val="left"/>
      </w:pPr>
      <w:bookmarkStart w:id="20" w:name="_Toc256000019"/>
      <w:r>
        <w:t>La pertinence</w:t>
      </w:r>
      <w:bookmarkEnd w:id="20"/>
    </w:p>
    <w:p w:rsidR="0035701C" w:rsidRDefault="00FB561B">
      <w:r>
        <w:t xml:space="preserve">Catégorie de recommandation: </w:t>
      </w:r>
    </w:p>
    <w:p w:rsidR="0035701C" w:rsidRDefault="00FB561B">
      <w:r>
        <w:t>Date: 01/07/2014</w:t>
      </w:r>
    </w:p>
    <w:p w:rsidR="0035701C" w:rsidRDefault="00FB561B">
      <w:r>
        <w:t xml:space="preserve">Sujet: </w:t>
      </w:r>
    </w:p>
    <w:p w:rsidR="0035701C" w:rsidRDefault="00FB561B">
      <w:r>
        <w:t>Description de la recommandation.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Le diagnostic et l’identification des besoins spécifiques de la Corse sont le fruit de</w:t>
            </w:r>
            <w:r>
              <w:rPr>
                <w:szCs w:val="24"/>
              </w:rPr>
              <w:t xml:space="preserve"> travaux programmatiques </w:t>
            </w:r>
            <w:r>
              <w:rPr>
                <w:szCs w:val="24"/>
              </w:rPr>
              <w:lastRenderedPageBreak/>
              <w:t>antérieurs et d’une concertation menée avec les partenaires et les professionnels.</w:t>
            </w:r>
            <w:r>
              <w:rPr>
                <w:szCs w:val="24"/>
              </w:rPr>
              <w:br/>
              <w:t>La validation par l’Assemblée Territoriale de la Corse, en décembre 2013 du schéma régional du développement rural, puis en juin 2014 du Plan d’Amén</w:t>
            </w:r>
            <w:r>
              <w:rPr>
                <w:szCs w:val="24"/>
              </w:rPr>
              <w:t>agement et de Développement Durable de la Corse (PADDUC), indiquent la pertinence des orientations stratégiques du PDRC et des choix des priorités et mesures du FEADER.</w:t>
            </w:r>
            <w:r>
              <w:rPr>
                <w:szCs w:val="24"/>
              </w:rPr>
              <w:br/>
              <w:t>Quelques éclaircissements sont encore attendus pour affiner le chaînage entre le diagno</w:t>
            </w:r>
            <w:r>
              <w:rPr>
                <w:szCs w:val="24"/>
              </w:rPr>
              <w:t>stic et le choix des mesures (logique d’intervention), en particulier sur la question du foncier et de la ressource en eau.</w:t>
            </w:r>
          </w:p>
          <w:p w:rsidR="0035701C" w:rsidRDefault="0035701C">
            <w:pPr>
              <w:pStyle w:val="Corpsdetexte"/>
            </w:pPr>
          </w:p>
        </w:tc>
      </w:tr>
    </w:tbl>
    <w:p w:rsidR="0035701C" w:rsidRDefault="00FB561B">
      <w:r>
        <w:lastRenderedPageBreak/>
        <w:t>Manière dont la recommandation a été prise en compte ou justification de sa non-prise en compte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 xml:space="preserve">La SWOT a été revisitée pour bien </w:t>
            </w:r>
            <w:r>
              <w:rPr>
                <w:szCs w:val="24"/>
              </w:rPr>
              <w:t>indiquer les enjeux correspondant aux besoins spécifiques qui fondent le choix des domaines prioritaires.</w:t>
            </w:r>
          </w:p>
          <w:p w:rsidR="0035701C" w:rsidRDefault="00FB561B">
            <w:pPr>
              <w:spacing w:before="240" w:after="240"/>
              <w:jc w:val="left"/>
              <w:rPr>
                <w:szCs w:val="24"/>
              </w:rPr>
            </w:pPr>
            <w:r>
              <w:rPr>
                <w:szCs w:val="24"/>
              </w:rPr>
              <w:t>Concernant la protection du foncier, le PDRC a peu de prise. Seule la mesure 7.1.1 planification foncière a un impact direct.</w:t>
            </w:r>
          </w:p>
          <w:p w:rsidR="0035701C" w:rsidRDefault="0035701C">
            <w:pPr>
              <w:pStyle w:val="Corpsdetexte"/>
            </w:pPr>
          </w:p>
        </w:tc>
      </w:tr>
    </w:tbl>
    <w:p w:rsidR="0035701C" w:rsidRDefault="00FB561B">
      <w:pPr>
        <w:pStyle w:val="Titre3"/>
        <w:jc w:val="left"/>
      </w:pPr>
      <w:bookmarkStart w:id="21" w:name="_Toc256000020"/>
      <w:r>
        <w:t>La pertinence (2015)</w:t>
      </w:r>
      <w:bookmarkEnd w:id="21"/>
    </w:p>
    <w:p w:rsidR="0035701C" w:rsidRDefault="00FB561B">
      <w:r>
        <w:t>C</w:t>
      </w:r>
      <w:r>
        <w:t xml:space="preserve">atégorie de recommandation: </w:t>
      </w:r>
    </w:p>
    <w:p w:rsidR="0035701C" w:rsidRDefault="00FB561B">
      <w:r>
        <w:t>Date: 01/07/2015</w:t>
      </w:r>
    </w:p>
    <w:p w:rsidR="0035701C" w:rsidRDefault="00FB561B">
      <w:r>
        <w:t xml:space="preserve">Sujet: </w:t>
      </w:r>
    </w:p>
    <w:p w:rsidR="0035701C" w:rsidRDefault="00FB561B">
      <w:r>
        <w:t>Description de la recommandation.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La stratégie est bien étayée par le diagnostic. La SWOT et les besoins, puis la réponse apportée dans le choix des mesures sont explicites.</w:t>
            </w:r>
            <w:r>
              <w:rPr>
                <w:szCs w:val="24"/>
              </w:rPr>
              <w:br/>
              <w:t xml:space="preserve">Un éclaircissement pourrait </w:t>
            </w:r>
            <w:r>
              <w:rPr>
                <w:szCs w:val="24"/>
              </w:rPr>
              <w:t>être fait pour expliquer comment l’orientation régionale n°1 concernant le foncier est traitée. L’articulation entre les orientations régionales qui sont présentés et les domaines prioritaires n’est toutefois pas évidente, les thématiques n’étant pas dével</w:t>
            </w:r>
            <w:r>
              <w:rPr>
                <w:szCs w:val="24"/>
              </w:rPr>
              <w:t>oppées de façon similaire.</w:t>
            </w:r>
          </w:p>
          <w:p w:rsidR="0035701C" w:rsidRDefault="0035701C">
            <w:pPr>
              <w:pStyle w:val="Corpsdetexte"/>
            </w:pPr>
          </w:p>
        </w:tc>
      </w:tr>
    </w:tbl>
    <w:p w:rsidR="0035701C" w:rsidRDefault="00FB561B">
      <w:r>
        <w:t>Manière dont la recommandation a été prise en compte ou justification de sa non-prise en compte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 xml:space="preserve">Concernant l’Orientation Stratégique n°1 de la Collectivité Territoriale de Corse  sur la protection du foncier, le PDRC a peu de </w:t>
            </w:r>
            <w:r>
              <w:rPr>
                <w:szCs w:val="24"/>
              </w:rPr>
              <w:t>prise. Seule la mesure 7.1.1 planification foncière à un impact direct.</w:t>
            </w:r>
          </w:p>
          <w:p w:rsidR="0035701C" w:rsidRDefault="00FB561B">
            <w:pPr>
              <w:spacing w:before="240" w:after="240"/>
              <w:jc w:val="left"/>
              <w:rPr>
                <w:szCs w:val="24"/>
              </w:rPr>
            </w:pPr>
            <w:r>
              <w:rPr>
                <w:szCs w:val="24"/>
              </w:rPr>
              <w:t>Les Orientations stratégiques n’ont pas toutes vocations à trouver une solution via le PDRC.</w:t>
            </w:r>
          </w:p>
          <w:p w:rsidR="0035701C" w:rsidRDefault="0035701C">
            <w:pPr>
              <w:pStyle w:val="Corpsdetexte"/>
            </w:pPr>
          </w:p>
        </w:tc>
      </w:tr>
    </w:tbl>
    <w:p w:rsidR="0035701C" w:rsidRDefault="00FB561B">
      <w:pPr>
        <w:pStyle w:val="Titre3"/>
        <w:jc w:val="left"/>
      </w:pPr>
      <w:bookmarkStart w:id="22" w:name="_Toc256000021"/>
      <w:r>
        <w:lastRenderedPageBreak/>
        <w:t>La pertinence des indicateurs</w:t>
      </w:r>
      <w:bookmarkEnd w:id="22"/>
    </w:p>
    <w:p w:rsidR="0035701C" w:rsidRDefault="00FB561B">
      <w:r>
        <w:t xml:space="preserve">Catégorie de recommandation: </w:t>
      </w:r>
    </w:p>
    <w:p w:rsidR="0035701C" w:rsidRDefault="00FB561B">
      <w:r>
        <w:t>Date: 01/07/2014</w:t>
      </w:r>
    </w:p>
    <w:p w:rsidR="0035701C" w:rsidRDefault="00FB561B">
      <w:r>
        <w:t xml:space="preserve">Sujet: </w:t>
      </w:r>
    </w:p>
    <w:p w:rsidR="0035701C" w:rsidRDefault="00FB561B">
      <w:r>
        <w:t>Desc</w:t>
      </w:r>
      <w:r>
        <w:t>ription de la recommandation.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La contribution des mesures (réalisations) aux domaines prioritaires (résultats) peut être assez claire à l’exception de la contribution des mesures d’aides à l’investissement aux domaines prioritaires environnementaux dont le</w:t>
            </w:r>
            <w:r>
              <w:rPr>
                <w:szCs w:val="24"/>
              </w:rPr>
              <w:t>s résultats se mesurent en termes de surface.</w:t>
            </w:r>
          </w:p>
          <w:p w:rsidR="0035701C" w:rsidRDefault="0035701C">
            <w:pPr>
              <w:pStyle w:val="Corpsdetexte"/>
            </w:pPr>
          </w:p>
        </w:tc>
      </w:tr>
    </w:tbl>
    <w:p w:rsidR="0035701C" w:rsidRDefault="00FB561B">
      <w:r>
        <w:t>Manière dont la recommandation a été prise en compte ou justification de sa non-prise en compte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Les indicateurs sont définis dans l'acte d'exécution du Règlement (EU) 1305/2013</w:t>
            </w:r>
          </w:p>
          <w:p w:rsidR="0035701C" w:rsidRDefault="0035701C">
            <w:pPr>
              <w:pStyle w:val="Corpsdetexte"/>
            </w:pPr>
          </w:p>
        </w:tc>
      </w:tr>
    </w:tbl>
    <w:p w:rsidR="0035701C" w:rsidRDefault="00FB561B">
      <w:pPr>
        <w:pStyle w:val="Titre3"/>
        <w:jc w:val="left"/>
      </w:pPr>
      <w:bookmarkStart w:id="23" w:name="_Toc256000022"/>
      <w:r>
        <w:t>La pertinence des indicateurs</w:t>
      </w:r>
      <w:r>
        <w:t xml:space="preserve"> (2015)</w:t>
      </w:r>
      <w:bookmarkEnd w:id="23"/>
    </w:p>
    <w:p w:rsidR="0035701C" w:rsidRDefault="00FB561B">
      <w:r>
        <w:t xml:space="preserve">Catégorie de recommandation: </w:t>
      </w:r>
    </w:p>
    <w:p w:rsidR="0035701C" w:rsidRDefault="00FB561B">
      <w:r>
        <w:t>Date: 01/07/2015</w:t>
      </w:r>
    </w:p>
    <w:p w:rsidR="0035701C" w:rsidRDefault="00FB561B">
      <w:r>
        <w:t xml:space="preserve">Sujet: </w:t>
      </w:r>
    </w:p>
    <w:p w:rsidR="0035701C" w:rsidRDefault="00FB561B">
      <w:r>
        <w:t>Description de la recommandation.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Les indicateurs de réalisations et de résultats correspondent aux indicateurs prévus dans le Règlement.</w:t>
            </w:r>
            <w:r>
              <w:rPr>
                <w:szCs w:val="24"/>
              </w:rPr>
              <w:br/>
              <w:t>Quelques remarques de détail sur les indicateurs de rés</w:t>
            </w:r>
            <w:r>
              <w:rPr>
                <w:szCs w:val="24"/>
              </w:rPr>
              <w:t>ultats sont faites.</w:t>
            </w:r>
            <w:r>
              <w:rPr>
                <w:szCs w:val="24"/>
              </w:rPr>
              <w:br/>
              <w:t>L’établissement de la valeur intermédiaire dans le cadre de performance est réaliste, sauf en ce qui concerne les aides à l’investissement si l’on prend en compte les paiements et non pas les engagements (Priorité 2 dépenses publiques).</w:t>
            </w:r>
          </w:p>
          <w:p w:rsidR="0035701C" w:rsidRDefault="0035701C">
            <w:pPr>
              <w:pStyle w:val="Corpsdetexte"/>
            </w:pPr>
          </w:p>
        </w:tc>
      </w:tr>
    </w:tbl>
    <w:p w:rsidR="0035701C" w:rsidRDefault="00FB561B">
      <w:r>
        <w:t>Manière dont la recommandation a été prise en compte ou justification de sa non-prise en compte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Ce sont bien les paiements qui sont pris en compte.</w:t>
            </w:r>
          </w:p>
          <w:p w:rsidR="0035701C" w:rsidRDefault="00FB561B">
            <w:pPr>
              <w:spacing w:before="240" w:after="240"/>
              <w:jc w:val="left"/>
              <w:rPr>
                <w:szCs w:val="24"/>
              </w:rPr>
            </w:pPr>
            <w:r>
              <w:rPr>
                <w:szCs w:val="24"/>
              </w:rPr>
              <w:t>Un travail reste à conduire en 2016 concernant les indicateurs de suivi, notamment concernant le suivi en</w:t>
            </w:r>
            <w:r>
              <w:rPr>
                <w:szCs w:val="24"/>
              </w:rPr>
              <w:t>vironnemental.</w:t>
            </w:r>
          </w:p>
          <w:p w:rsidR="0035701C" w:rsidRDefault="0035701C">
            <w:pPr>
              <w:pStyle w:val="Corpsdetexte"/>
            </w:pPr>
          </w:p>
        </w:tc>
      </w:tr>
    </w:tbl>
    <w:p w:rsidR="0035701C" w:rsidRDefault="00FB561B">
      <w:pPr>
        <w:pStyle w:val="Titre3"/>
        <w:jc w:val="left"/>
      </w:pPr>
      <w:bookmarkStart w:id="24" w:name="_Toc256000023"/>
      <w:r>
        <w:lastRenderedPageBreak/>
        <w:t>La pertinence des mesures prévues pour promouvoir les priorités transversales</w:t>
      </w:r>
      <w:bookmarkEnd w:id="24"/>
    </w:p>
    <w:p w:rsidR="0035701C" w:rsidRDefault="00FB561B">
      <w:r>
        <w:t xml:space="preserve">Catégorie de recommandation: </w:t>
      </w:r>
    </w:p>
    <w:p w:rsidR="0035701C" w:rsidRDefault="00FB561B">
      <w:r>
        <w:t>Date: 01/07/2014</w:t>
      </w:r>
    </w:p>
    <w:p w:rsidR="0035701C" w:rsidRDefault="00FB561B">
      <w:r>
        <w:t xml:space="preserve">Sujet: </w:t>
      </w:r>
    </w:p>
    <w:p w:rsidR="0035701C" w:rsidRDefault="00FB561B">
      <w:r>
        <w:t>Description de la recommandation.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 xml:space="preserve">La contribution du PDRC aux priorités transversales est importante et à </w:t>
            </w:r>
            <w:r>
              <w:rPr>
                <w:szCs w:val="24"/>
              </w:rPr>
              <w:t>préciser :</w:t>
            </w:r>
            <w:r>
              <w:rPr>
                <w:szCs w:val="24"/>
              </w:rPr>
              <w:br/>
              <w:t>• Développement durable</w:t>
            </w:r>
            <w:r>
              <w:rPr>
                <w:szCs w:val="24"/>
              </w:rPr>
              <w:br/>
              <w:t>• Protection de l’environnement</w:t>
            </w:r>
            <w:r>
              <w:rPr>
                <w:szCs w:val="24"/>
              </w:rPr>
              <w:br/>
              <w:t>• Utilisation rationnelle des ressources</w:t>
            </w:r>
            <w:r>
              <w:rPr>
                <w:szCs w:val="24"/>
              </w:rPr>
              <w:br/>
              <w:t>• Lutte et adaptation au changement climatique</w:t>
            </w:r>
            <w:r>
              <w:rPr>
                <w:szCs w:val="24"/>
              </w:rPr>
              <w:br/>
              <w:t>• Prévention et gestion des risques</w:t>
            </w:r>
            <w:r>
              <w:rPr>
                <w:szCs w:val="24"/>
              </w:rPr>
              <w:br/>
              <w:t>• Egalité femmes/hommes</w:t>
            </w:r>
          </w:p>
          <w:p w:rsidR="0035701C" w:rsidRDefault="0035701C">
            <w:pPr>
              <w:pStyle w:val="Corpsdetexte"/>
            </w:pPr>
          </w:p>
        </w:tc>
      </w:tr>
    </w:tbl>
    <w:p w:rsidR="0035701C" w:rsidRDefault="00FB561B">
      <w:r>
        <w:t>Manière dont la recommandation a été pr</w:t>
      </w:r>
      <w:r>
        <w:t>ise en compte ou justification de sa non-prise en compte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Cette partie a été détaillée au point 5.3</w:t>
            </w:r>
          </w:p>
          <w:p w:rsidR="0035701C" w:rsidRDefault="0035701C">
            <w:pPr>
              <w:pStyle w:val="Corpsdetexte"/>
            </w:pPr>
          </w:p>
        </w:tc>
      </w:tr>
    </w:tbl>
    <w:p w:rsidR="0035701C" w:rsidRDefault="00FB561B">
      <w:pPr>
        <w:pStyle w:val="Titre3"/>
        <w:jc w:val="left"/>
      </w:pPr>
      <w:bookmarkStart w:id="25" w:name="_Toc256000024"/>
      <w:r>
        <w:t>Le partenariat et la mise en oeuvre du programme</w:t>
      </w:r>
      <w:bookmarkEnd w:id="25"/>
    </w:p>
    <w:p w:rsidR="0035701C" w:rsidRDefault="00FB561B">
      <w:r>
        <w:t xml:space="preserve">Catégorie de recommandation: </w:t>
      </w:r>
    </w:p>
    <w:p w:rsidR="0035701C" w:rsidRDefault="00FB561B">
      <w:r>
        <w:t>Date: 01/07/2015</w:t>
      </w:r>
    </w:p>
    <w:p w:rsidR="0035701C" w:rsidRDefault="00FB561B">
      <w:r>
        <w:t xml:space="preserve">Sujet: </w:t>
      </w:r>
    </w:p>
    <w:p w:rsidR="0035701C" w:rsidRDefault="00FB561B">
      <w:r>
        <w:t>Description de la recommandation.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t>L’organisation de</w:t>
            </w:r>
            <w:r>
              <w:rPr>
                <w:szCs w:val="24"/>
              </w:rPr>
              <w:t xml:space="preserve"> la mise en oeuvre du programme est spécifique à la Corse. Une convention quadripartite spécifique entre la CTC autorité de gestion, l’ODARC, l’Etat et l’ASP définit les modalités de gestion et de contrôle.</w:t>
            </w:r>
            <w:r>
              <w:rPr>
                <w:szCs w:val="24"/>
              </w:rPr>
              <w:br/>
              <w:t>Le suivi du FEADER s’inscrit dans le cadre de sui</w:t>
            </w:r>
            <w:r>
              <w:rPr>
                <w:szCs w:val="24"/>
              </w:rPr>
              <w:t xml:space="preserve">vi inter-fonds. L’ampleur des travaux de suivi du comté régional de programmation des aides (CRPA) risque d’occulter le suivi spécifique des décisions d’attribution des aides du FEADER faites par l’autorité de gestion. Un comité technique des cofinanceurs </w:t>
            </w:r>
            <w:r>
              <w:rPr>
                <w:szCs w:val="24"/>
              </w:rPr>
              <w:t>du FEADER pourrait être institué pour préparer la présentation spécifique faite au CRPA.</w:t>
            </w:r>
            <w:r>
              <w:rPr>
                <w:szCs w:val="24"/>
              </w:rPr>
              <w:br/>
              <w:t>Les mesures prises pour associer les partenaires dans le cadre de l’élaboration du PDR sont bien précisées dans le chapitre 16.</w:t>
            </w:r>
            <w:r>
              <w:rPr>
                <w:szCs w:val="24"/>
              </w:rPr>
              <w:br/>
              <w:t>La déclinaison du réseau rural national</w:t>
            </w:r>
            <w:r>
              <w:rPr>
                <w:szCs w:val="24"/>
              </w:rPr>
              <w:t xml:space="preserve"> en Corse doit encore être précisée.</w:t>
            </w:r>
          </w:p>
          <w:p w:rsidR="0035701C" w:rsidRDefault="0035701C">
            <w:pPr>
              <w:pStyle w:val="Corpsdetexte"/>
            </w:pPr>
          </w:p>
        </w:tc>
      </w:tr>
    </w:tbl>
    <w:p w:rsidR="0035701C" w:rsidRDefault="00FB561B">
      <w:r>
        <w:t>Manière dont la recommandation a été prise en compte ou justification de sa non-prise en compte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szCs w:val="24"/>
              </w:rPr>
              <w:lastRenderedPageBreak/>
              <w:t xml:space="preserve">Un pré COREPA sera instauré. Constitué par les services instructeurs et les cofinanceur du programme il est chargé de la </w:t>
            </w:r>
            <w:r>
              <w:rPr>
                <w:szCs w:val="24"/>
              </w:rPr>
              <w:t>vérification de la participation et de la disponibilité financière des co financeurs.</w:t>
            </w:r>
          </w:p>
          <w:p w:rsidR="0035701C" w:rsidRDefault="00FB561B">
            <w:pPr>
              <w:spacing w:before="240" w:after="240"/>
              <w:jc w:val="left"/>
              <w:rPr>
                <w:szCs w:val="24"/>
              </w:rPr>
            </w:pPr>
            <w:r>
              <w:rPr>
                <w:szCs w:val="24"/>
              </w:rPr>
              <w:t>L’organisation du pré COREPA pourra se faire par fonds spécifique.</w:t>
            </w:r>
          </w:p>
          <w:p w:rsidR="0035701C" w:rsidRDefault="00FB561B">
            <w:pPr>
              <w:spacing w:before="240" w:after="240"/>
              <w:jc w:val="left"/>
              <w:rPr>
                <w:szCs w:val="24"/>
              </w:rPr>
            </w:pPr>
            <w:r>
              <w:rPr>
                <w:szCs w:val="24"/>
              </w:rPr>
              <w:t xml:space="preserve">Concernant le Comité de suivi plurifond, sur la base de notre expérience 2007 2013 et sur </w:t>
            </w:r>
            <w:r>
              <w:rPr>
                <w:szCs w:val="24"/>
              </w:rPr>
              <w:t>recommandation de la Commission, des réunions spécifiques FEADER seront organisées.</w:t>
            </w:r>
          </w:p>
          <w:p w:rsidR="0035701C" w:rsidRDefault="00FB561B">
            <w:pPr>
              <w:spacing w:before="240" w:after="240"/>
              <w:jc w:val="left"/>
              <w:rPr>
                <w:szCs w:val="24"/>
              </w:rPr>
            </w:pPr>
            <w:r>
              <w:rPr>
                <w:szCs w:val="24"/>
              </w:rPr>
              <w:t>La partie concernant le Réseau Rural Régional a été ajoutée.</w:t>
            </w:r>
          </w:p>
          <w:p w:rsidR="0035701C" w:rsidRDefault="0035701C">
            <w:pPr>
              <w:pStyle w:val="Corpsdetexte"/>
            </w:pPr>
          </w:p>
        </w:tc>
      </w:tr>
    </w:tbl>
    <w:p w:rsidR="0035701C" w:rsidRDefault="00FB561B">
      <w:pPr>
        <w:pStyle w:val="Titre2"/>
        <w:rPr>
          <w:b w:val="0"/>
        </w:rPr>
      </w:pPr>
      <w:bookmarkStart w:id="26" w:name="_Toc256000025"/>
      <w:r>
        <w:rPr>
          <w:b w:val="0"/>
        </w:rPr>
        <w:t>Rapport de l'évaluation ex-ante</w:t>
      </w:r>
      <w:bookmarkEnd w:id="26"/>
    </w:p>
    <w:p w:rsidR="0035701C" w:rsidRDefault="00FB561B">
      <w:r>
        <w:t>Voir les documents joints</w:t>
      </w:r>
    </w:p>
    <w:p w:rsidR="0035701C" w:rsidRDefault="0035701C">
      <w:pPr>
        <w:sectPr w:rsidR="0035701C">
          <w:pgSz w:w="12240" w:h="15840"/>
          <w:pgMar w:top="900" w:right="900" w:bottom="900" w:left="900" w:header="720" w:footer="720" w:gutter="0"/>
          <w:cols w:space="720"/>
        </w:sectPr>
      </w:pPr>
    </w:p>
    <w:p w:rsidR="0035701C" w:rsidRDefault="00FB561B">
      <w:pPr>
        <w:pStyle w:val="Titre1"/>
      </w:pPr>
      <w:bookmarkStart w:id="27" w:name="_Toc256000026"/>
      <w:r>
        <w:lastRenderedPageBreak/>
        <w:t>Analyse SWOT et recensement des besoins</w:t>
      </w:r>
      <w:bookmarkEnd w:id="27"/>
    </w:p>
    <w:p w:rsidR="0035701C" w:rsidRDefault="00FB561B">
      <w:pPr>
        <w:pStyle w:val="Titre2"/>
      </w:pPr>
      <w:bookmarkStart w:id="28" w:name="_Toc256000027"/>
      <w:r>
        <w:t>S</w:t>
      </w:r>
      <w:r>
        <w:t>WOT</w:t>
      </w:r>
      <w:bookmarkEnd w:id="28"/>
    </w:p>
    <w:p w:rsidR="0035701C" w:rsidRDefault="00FB561B">
      <w:pPr>
        <w:pStyle w:val="Titre3"/>
        <w:jc w:val="left"/>
      </w:pPr>
      <w:bookmarkStart w:id="29" w:name="_Toc256000028"/>
      <w:r>
        <w:t>Description générale exhaustive de la situation actuelle de la zone de programmation, sur la base d’indicateurs contextuels communs et spécifiques d'un programme et d’autres informations qualitatives actualisées</w:t>
      </w:r>
      <w:bookmarkEnd w:id="2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b/>
                <w:bCs/>
                <w:szCs w:val="24"/>
              </w:rPr>
              <w:t>Situation socio-économique de la Corse</w:t>
            </w:r>
          </w:p>
          <w:p w:rsidR="0035701C" w:rsidRDefault="00FB561B">
            <w:pPr>
              <w:spacing w:before="240" w:after="240"/>
              <w:jc w:val="left"/>
              <w:rPr>
                <w:szCs w:val="24"/>
              </w:rPr>
            </w:pPr>
            <w:r>
              <w:rPr>
                <w:szCs w:val="24"/>
              </w:rPr>
              <w:t xml:space="preserve">La Corse comprend près de 320 000 habitants (IC 1), pour une superficie de moins de 9 000 km2 (IC 3). La densité de population y est une des plus faibles de France (IC 4). La population y est globalement plus âgée que dans le reste de la France et de l’EU </w:t>
            </w:r>
            <w:r>
              <w:rPr>
                <w:szCs w:val="24"/>
              </w:rPr>
              <w:t>27 (IC 2). Le taux de chômage est de l’ordre de la moyenne nationale et de la moyenne EU27 (IC 7).</w:t>
            </w:r>
          </w:p>
          <w:p w:rsidR="0035701C" w:rsidRDefault="00FB561B">
            <w:pPr>
              <w:spacing w:before="240" w:after="240"/>
              <w:jc w:val="left"/>
              <w:rPr>
                <w:szCs w:val="24"/>
              </w:rPr>
            </w:pPr>
            <w:r>
              <w:rPr>
                <w:szCs w:val="24"/>
              </w:rPr>
              <w:t xml:space="preserve">Le PIB par habitant y est inférieur de 10 points à la moyenne EU27 (IC 8). Le secteur primaire y a une place particulièrement faible (environ 1.4% de la VAB </w:t>
            </w:r>
            <w:r>
              <w:rPr>
                <w:szCs w:val="24"/>
              </w:rPr>
              <w:t>IC 10), l’industrie est également peu présente. Le secteur des services est très largement majoritaire, notamment le tertiaire non marchand et le tourisme. La productivité du travail est inférieure à la moyenne nationale (IC 12).</w:t>
            </w:r>
          </w:p>
          <w:p w:rsidR="0035701C" w:rsidRDefault="00FB561B">
            <w:pPr>
              <w:spacing w:before="240" w:after="240"/>
              <w:jc w:val="left"/>
              <w:rPr>
                <w:szCs w:val="24"/>
              </w:rPr>
            </w:pPr>
            <w:r>
              <w:rPr>
                <w:szCs w:val="24"/>
              </w:rPr>
              <w:t>Le tissu économique insula</w:t>
            </w:r>
            <w:r>
              <w:rPr>
                <w:szCs w:val="24"/>
              </w:rPr>
              <w:t>ire est composé en très grande partie de très petites entreprises. En effet, près de 70% des entreprises du secteur marchand (hors agriculture), ne comprennent aucun salarié (IS 4).</w:t>
            </w:r>
          </w:p>
          <w:p w:rsidR="0035701C" w:rsidRDefault="00FB561B">
            <w:pPr>
              <w:spacing w:before="240" w:after="240"/>
              <w:jc w:val="left"/>
              <w:rPr>
                <w:szCs w:val="24"/>
              </w:rPr>
            </w:pPr>
            <w:r>
              <w:rPr>
                <w:szCs w:val="24"/>
              </w:rPr>
              <w:t>Le secteur de la construction en Corse est proportionnellement le plus imp</w:t>
            </w:r>
            <w:r>
              <w:rPr>
                <w:szCs w:val="24"/>
              </w:rPr>
              <w:t>ortant de toutes les régions françaises. Il représente en effet 10.2% de la valeur ajoutée totale (IS 2).</w:t>
            </w:r>
          </w:p>
          <w:p w:rsidR="0035701C" w:rsidRDefault="00FB561B">
            <w:pPr>
              <w:spacing w:before="240" w:after="240"/>
              <w:jc w:val="left"/>
              <w:rPr>
                <w:szCs w:val="24"/>
              </w:rPr>
            </w:pPr>
            <w:r>
              <w:rPr>
                <w:szCs w:val="24"/>
              </w:rPr>
              <w:t>La Corse est l'une des régions françaises où les revenus sont les plus faibles (IC 9). En 2011, la moitié des ménages a un revenu annuel inférieur à 1</w:t>
            </w:r>
            <w:r>
              <w:rPr>
                <w:szCs w:val="24"/>
              </w:rPr>
              <w:t>7 700 euros. Ainsi, en Corse, un habitant sur cinq vit sous le seuil de pauvreté en 2010, avec un niveau de vie inférieur à 924 euros mensuel. La Corse est la région française où le taux de pauvreté est le plus important.</w:t>
            </w:r>
          </w:p>
          <w:p w:rsidR="0035701C" w:rsidRDefault="00FB561B">
            <w:pPr>
              <w:spacing w:before="240" w:after="240"/>
              <w:jc w:val="left"/>
              <w:rPr>
                <w:szCs w:val="24"/>
              </w:rPr>
            </w:pPr>
            <w:r>
              <w:rPr>
                <w:szCs w:val="24"/>
              </w:rPr>
              <w:t>Faiblement peuplée, avec une popul</w:t>
            </w:r>
            <w:r>
              <w:rPr>
                <w:szCs w:val="24"/>
              </w:rPr>
              <w:t>ation âgée et des revenus faibles, la Corse présente de nombreuses caractéristiques d’une région en retard de développement.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La problématique particulière du foncier en Corse</w:t>
            </w:r>
          </w:p>
          <w:p w:rsidR="0035701C" w:rsidRDefault="00FB561B">
            <w:pPr>
              <w:spacing w:before="240" w:after="240"/>
              <w:jc w:val="left"/>
              <w:rPr>
                <w:szCs w:val="24"/>
              </w:rPr>
            </w:pPr>
            <w:r>
              <w:rPr>
                <w:szCs w:val="24"/>
              </w:rPr>
              <w:t>L’accès au foncier est unanimement considéré en Corse comme un des principaux f</w:t>
            </w:r>
            <w:r>
              <w:rPr>
                <w:szCs w:val="24"/>
              </w:rPr>
              <w:t>reins à l’installation, voire au développement de l’agriculture de manière générale. En effet, une concurrence pour l’usage des sols est bien présente entre construction, tourisme et agriculture.</w:t>
            </w:r>
          </w:p>
          <w:p w:rsidR="0035701C" w:rsidRDefault="00FB561B">
            <w:pPr>
              <w:spacing w:before="240" w:after="240"/>
              <w:jc w:val="left"/>
              <w:rPr>
                <w:szCs w:val="24"/>
              </w:rPr>
            </w:pPr>
            <w:r>
              <w:rPr>
                <w:szCs w:val="24"/>
              </w:rPr>
              <w:t>Dans les zones de montagne, ce n’est pas à proprement parler</w:t>
            </w:r>
            <w:r>
              <w:rPr>
                <w:szCs w:val="24"/>
              </w:rPr>
              <w:t xml:space="preserve"> la concurrence qui freine l’agriculture mais bien les faire-valoir des terres. Après plusieurs dizaines d’années de déprise, sur des zones de faible valeur économique, les propriétaires ne sont bien souvent plus identifiés. Très souvent, les successions n</w:t>
            </w:r>
            <w:r>
              <w:rPr>
                <w:szCs w:val="24"/>
              </w:rPr>
              <w:t>e sont pas réalisées et les parcelles, bien souvent de très petites tailles, restent en indivis, ce qui rend extrêmement difficile l’obtention de baux (cf. Fig. 7 propriétaires nés avant 1900 ; réputés décédés).</w:t>
            </w:r>
          </w:p>
          <w:p w:rsidR="0035701C" w:rsidRDefault="00FB561B">
            <w:pPr>
              <w:spacing w:before="240" w:after="240"/>
              <w:jc w:val="left"/>
              <w:rPr>
                <w:szCs w:val="24"/>
              </w:rPr>
            </w:pPr>
            <w:r>
              <w:rPr>
                <w:szCs w:val="24"/>
              </w:rPr>
              <w:t xml:space="preserve">Le foncier s’est fortement morcelé au cours </w:t>
            </w:r>
            <w:r>
              <w:rPr>
                <w:szCs w:val="24"/>
              </w:rPr>
              <w:t xml:space="preserve">du temps ; il est caractérisé par des parcelles de petites tailles </w:t>
            </w:r>
            <w:r>
              <w:rPr>
                <w:szCs w:val="24"/>
              </w:rPr>
              <w:lastRenderedPageBreak/>
              <w:t>(cf. fig. 6 : surface moyenne des parcelles).</w:t>
            </w:r>
          </w:p>
          <w:p w:rsidR="0035701C" w:rsidRDefault="00FB561B">
            <w:pPr>
              <w:spacing w:before="240" w:after="240"/>
              <w:jc w:val="left"/>
              <w:rPr>
                <w:szCs w:val="24"/>
              </w:rPr>
            </w:pPr>
            <w:r>
              <w:rPr>
                <w:b/>
                <w:bCs/>
                <w:szCs w:val="24"/>
              </w:rPr>
              <w:t>Le relief</w:t>
            </w:r>
          </w:p>
          <w:p w:rsidR="0035701C" w:rsidRDefault="00FB561B">
            <w:pPr>
              <w:spacing w:before="240" w:after="240"/>
              <w:jc w:val="left"/>
              <w:rPr>
                <w:szCs w:val="24"/>
              </w:rPr>
            </w:pPr>
            <w:r>
              <w:rPr>
                <w:szCs w:val="24"/>
              </w:rPr>
              <w:t>Le territoire est caractérisé par une altitude supérieure à toutes les grandes îles de Méditerranée (Figure 8), limitant les possibil</w:t>
            </w:r>
            <w:r>
              <w:rPr>
                <w:szCs w:val="24"/>
              </w:rPr>
              <w:t>ités de mises en valeur par la mécanisation. (Figure 9).</w:t>
            </w:r>
          </w:p>
          <w:p w:rsidR="0035701C" w:rsidRDefault="00FB561B">
            <w:pPr>
              <w:spacing w:before="240" w:after="240"/>
              <w:jc w:val="left"/>
              <w:rPr>
                <w:szCs w:val="24"/>
              </w:rPr>
            </w:pPr>
            <w:r>
              <w:rPr>
                <w:b/>
                <w:bCs/>
                <w:szCs w:val="24"/>
              </w:rPr>
              <w:t>Environnement et climat</w:t>
            </w:r>
          </w:p>
          <w:p w:rsidR="0035701C" w:rsidRDefault="00FB561B">
            <w:pPr>
              <w:spacing w:before="240" w:after="240"/>
              <w:jc w:val="left"/>
              <w:rPr>
                <w:szCs w:val="24"/>
              </w:rPr>
            </w:pPr>
            <w:r>
              <w:rPr>
                <w:szCs w:val="24"/>
              </w:rPr>
              <w:t>La Corse est unanimement considérée comme offrant une faune et une flore remarquables et relativement préservées. En effet, ses nombreuses zones protégées (Parc Naturel région</w:t>
            </w:r>
            <w:r>
              <w:rPr>
                <w:szCs w:val="24"/>
              </w:rPr>
              <w:t>al, Six réserves naturelles, Natura 2000…) sont la reconnaissance d’un patrimoine naturel exceptionnel. La Corse bénéficie également, depuis 1991 d’un Office de l’Environnement, en charge d'impulser et de coordonner la politique régionale environnementale.</w:t>
            </w:r>
          </w:p>
          <w:p w:rsidR="0035701C" w:rsidRDefault="00FB561B">
            <w:pPr>
              <w:spacing w:before="240" w:after="240"/>
              <w:jc w:val="left"/>
              <w:rPr>
                <w:szCs w:val="24"/>
              </w:rPr>
            </w:pPr>
            <w:r>
              <w:rPr>
                <w:szCs w:val="24"/>
              </w:rPr>
              <w:t xml:space="preserve">L’occupation des sols de la Corse indique bien une préservation de la ressource naturelle. En effet, la part de pelouse et de pâturage naturel y est près de quatre fois supérieure à la moyenne nationale et européenne. Les surfaces occupées par les forêts </w:t>
            </w:r>
            <w:r>
              <w:rPr>
                <w:szCs w:val="24"/>
              </w:rPr>
              <w:t>sont largement supérieures à la moyenne nationale (et dans le même ordre que la moyenne européenne) et en augmentation constante (IC31). La surface couverte par le réseau Natura 2000 est très largement supérieure à la moyenne nationale (IC34, 15,36% pour l</w:t>
            </w:r>
            <w:r>
              <w:rPr>
                <w:szCs w:val="24"/>
              </w:rPr>
              <w:t>a Corse contre 12,56% pour l’ensemble du territoire national).</w:t>
            </w:r>
          </w:p>
          <w:p w:rsidR="0035701C" w:rsidRDefault="00FB561B">
            <w:pPr>
              <w:spacing w:before="240" w:after="240"/>
              <w:jc w:val="left"/>
              <w:rPr>
                <w:szCs w:val="24"/>
              </w:rPr>
            </w:pPr>
            <w:r>
              <w:rPr>
                <w:szCs w:val="24"/>
              </w:rPr>
              <w:t>Les eaux de surface corses sont généralement considérées comme de très bonne qualité (IC40).</w:t>
            </w:r>
          </w:p>
          <w:p w:rsidR="0035701C" w:rsidRDefault="00FB561B">
            <w:pPr>
              <w:spacing w:before="240" w:after="240"/>
              <w:jc w:val="left"/>
              <w:rPr>
                <w:szCs w:val="24"/>
              </w:rPr>
            </w:pPr>
            <w:r>
              <w:rPr>
                <w:szCs w:val="24"/>
              </w:rPr>
              <w:t>L’agriculture corse participe également au maintien de ce patrimoine. Le maintien d’un élevage exten</w:t>
            </w:r>
            <w:r>
              <w:rPr>
                <w:szCs w:val="24"/>
              </w:rPr>
              <w:t>sif en montagne permet de lutter contre la déprise des milieux et leur fermeture. L’absence d’ateliers hors sol ou d’élevage intensif ne fait pas peser sur les sols la menace d’une saturation en nitrates. De même, quasiment sans culture chauffée, sans atel</w:t>
            </w:r>
            <w:r>
              <w:rPr>
                <w:szCs w:val="24"/>
              </w:rPr>
              <w:t>iers d’élevage intensif, la consommation d’énergie liée à l’agriculture est très faible.</w:t>
            </w:r>
          </w:p>
          <w:p w:rsidR="0035701C" w:rsidRDefault="00FB561B">
            <w:pPr>
              <w:spacing w:before="240" w:after="240"/>
              <w:jc w:val="left"/>
              <w:rPr>
                <w:szCs w:val="24"/>
              </w:rPr>
            </w:pPr>
            <w:r>
              <w:rPr>
                <w:szCs w:val="24"/>
              </w:rPr>
              <w:t xml:space="preserve">Toutefois, la faible intensification des exploitations (irrigation, recours aux intrants, hors sol…) et le recours à des ressources spontanées (prairies naturelles et </w:t>
            </w:r>
            <w:r>
              <w:rPr>
                <w:szCs w:val="24"/>
              </w:rPr>
              <w:t>aux parcours) ne permet pas de sécuriser les processus de production et rend l’agriculture corse particulièrement vulnérable aux aléas climatiques.</w:t>
            </w:r>
          </w:p>
          <w:p w:rsidR="0035701C" w:rsidRDefault="00FB561B">
            <w:pPr>
              <w:spacing w:before="240" w:after="240"/>
              <w:jc w:val="left"/>
              <w:rPr>
                <w:szCs w:val="24"/>
              </w:rPr>
            </w:pPr>
            <w:r>
              <w:rPr>
                <w:szCs w:val="24"/>
              </w:rPr>
              <w:t>Quasiment l’ensemble du territoire de la Corse est reconnu comme souffrant d’un handicap naturel ou spécifiq</w:t>
            </w:r>
            <w:r>
              <w:rPr>
                <w:szCs w:val="24"/>
              </w:rPr>
              <w:t>ue, qui se traduit notamment par un écart de revenus avec la moyenne des exploitations nationales (annexe M13). D’un point de vue structurel, l’ensemble de l’île est soumis au handicap permanent de l’insularité. Ce handicap se manifeste notamment par un su</w:t>
            </w:r>
            <w:r>
              <w:rPr>
                <w:szCs w:val="24"/>
              </w:rPr>
              <w:t>rcoût lié au transport (tant pour les intrants que pour l’expédition des productions).</w:t>
            </w:r>
          </w:p>
          <w:p w:rsidR="0035701C" w:rsidRDefault="00FB561B">
            <w:pPr>
              <w:spacing w:before="240" w:after="240"/>
              <w:jc w:val="left"/>
              <w:rPr>
                <w:szCs w:val="24"/>
              </w:rPr>
            </w:pPr>
            <w:r>
              <w:rPr>
                <w:szCs w:val="24"/>
              </w:rPr>
              <w:t xml:space="preserve">Le climat de la Corse est de type méditerranéen, caractérisé par des étés secs et chauds et des hivers doux et humides. La proximité de la mer et l’altitude influencent </w:t>
            </w:r>
            <w:r>
              <w:rPr>
                <w:szCs w:val="24"/>
              </w:rPr>
              <w:t xml:space="preserve">très fortement le climat. Ainsi, les forts écarts de températures et les forts écarts de précipitations sont présents entre plaine et montagne. En effet, les précipitations moyennes sont de l’ordre de 500 mm par an sur le littoral, elles peuvent atteindre </w:t>
            </w:r>
            <w:r>
              <w:rPr>
                <w:szCs w:val="24"/>
              </w:rPr>
              <w:t>2000 mm en haute montagne. Ces écarts de température et de pluviométrie peuvent parfois être à l’origine de calamité agricole.</w:t>
            </w:r>
          </w:p>
          <w:p w:rsidR="0035701C" w:rsidRDefault="00FB561B">
            <w:pPr>
              <w:spacing w:before="240" w:after="240"/>
              <w:jc w:val="left"/>
              <w:rPr>
                <w:szCs w:val="24"/>
              </w:rPr>
            </w:pPr>
            <w:r>
              <w:rPr>
                <w:szCs w:val="24"/>
              </w:rPr>
              <w:t>Le climat méditerranéen auquel est soumis la Corse implique une concentration de la pluviométrie notamment au printemps et en aut</w:t>
            </w:r>
            <w:r>
              <w:rPr>
                <w:szCs w:val="24"/>
              </w:rPr>
              <w:t xml:space="preserve">omne qui, liée aux caractéristiques géomorphologiques des sols, induit des </w:t>
            </w:r>
            <w:r>
              <w:rPr>
                <w:szCs w:val="24"/>
              </w:rPr>
              <w:lastRenderedPageBreak/>
              <w:t>inondations très localisées avec des intensités parfois importantes.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Les milieux naturels et biodiversité</w:t>
            </w:r>
          </w:p>
          <w:p w:rsidR="0035701C" w:rsidRDefault="00FB561B">
            <w:pPr>
              <w:spacing w:before="240" w:after="240"/>
              <w:jc w:val="left"/>
              <w:rPr>
                <w:szCs w:val="24"/>
              </w:rPr>
            </w:pPr>
            <w:r>
              <w:rPr>
                <w:szCs w:val="24"/>
              </w:rPr>
              <w:t xml:space="preserve">Fin 2011, 34 % du territoire terrestre de la Corse est inscrit à </w:t>
            </w:r>
            <w:r>
              <w:rPr>
                <w:szCs w:val="24"/>
              </w:rPr>
              <w:t>l’inventaire modernisé des ZNIEFF de 2011. La modernisation conduite depuis 2005 a conduit à créer 68 ZNIEFF de type 1 (total: 258) et deux de type 2 (total : 42). Elles englobent entre autres les plus récentes zones Natura 2000 créées pour une plus grande</w:t>
            </w:r>
            <w:r>
              <w:rPr>
                <w:szCs w:val="24"/>
              </w:rPr>
              <w:t xml:space="preserve"> cohérence des politiques de conservation.</w:t>
            </w:r>
          </w:p>
          <w:p w:rsidR="0035701C" w:rsidRDefault="00FB561B">
            <w:pPr>
              <w:spacing w:before="240" w:after="240"/>
              <w:jc w:val="left"/>
              <w:rPr>
                <w:szCs w:val="24"/>
              </w:rPr>
            </w:pPr>
            <w:r>
              <w:rPr>
                <w:szCs w:val="24"/>
              </w:rPr>
              <w:t>Les réserves naturelles protègent différents milieux pour une superficie totale de 83 425 ha dont  81 000 ha d’écosystèmes marins, 1 338 ha de mi lieux littoraux, et 1 886 de milieux humides.</w:t>
            </w:r>
          </w:p>
          <w:p w:rsidR="0035701C" w:rsidRDefault="00FB561B">
            <w:pPr>
              <w:spacing w:before="240" w:after="240"/>
              <w:jc w:val="left"/>
              <w:rPr>
                <w:szCs w:val="24"/>
              </w:rPr>
            </w:pPr>
            <w:r>
              <w:rPr>
                <w:szCs w:val="24"/>
              </w:rPr>
              <w:t xml:space="preserve">Il existe 29 arrêtés </w:t>
            </w:r>
            <w:r>
              <w:rPr>
                <w:szCs w:val="24"/>
              </w:rPr>
              <w:t>de protection de biotopes (APB) pour environ 1 700 ha, la majorité concernent des chauves-souris (9 APB), des plantes et oiseaux  du littoral.</w:t>
            </w:r>
          </w:p>
          <w:p w:rsidR="0035701C" w:rsidRDefault="00FB561B">
            <w:pPr>
              <w:spacing w:before="240" w:after="240"/>
              <w:jc w:val="left"/>
              <w:rPr>
                <w:szCs w:val="24"/>
              </w:rPr>
            </w:pPr>
            <w:r>
              <w:rPr>
                <w:szCs w:val="24"/>
              </w:rPr>
              <w:t>Les réserves biologiques forestières sont au nombre de sept et couvrent moins de 1 000 ha.</w:t>
            </w:r>
          </w:p>
          <w:p w:rsidR="0035701C" w:rsidRDefault="00FB561B">
            <w:pPr>
              <w:spacing w:before="240" w:after="240"/>
              <w:jc w:val="left"/>
              <w:rPr>
                <w:szCs w:val="24"/>
              </w:rPr>
            </w:pPr>
            <w:r>
              <w:rPr>
                <w:szCs w:val="24"/>
              </w:rPr>
              <w:t>La Stratégie de créati</w:t>
            </w:r>
            <w:r>
              <w:rPr>
                <w:szCs w:val="24"/>
              </w:rPr>
              <w:t>on des aires protégées  (SCAP)  pour le milieu terrestre et l’Analyse stratégique régionale pour le milieu marin vont encadrer dans le futur la création ou l’extension des aires protégées réglementairement.</w:t>
            </w:r>
          </w:p>
          <w:p w:rsidR="0035701C" w:rsidRDefault="00FB561B">
            <w:pPr>
              <w:spacing w:before="240" w:after="240"/>
              <w:jc w:val="left"/>
              <w:rPr>
                <w:szCs w:val="24"/>
              </w:rPr>
            </w:pPr>
            <w:r>
              <w:rPr>
                <w:szCs w:val="24"/>
              </w:rPr>
              <w:t>En raison de l‘intérêt fondamental au regard de l</w:t>
            </w:r>
            <w:r>
              <w:rPr>
                <w:szCs w:val="24"/>
              </w:rPr>
              <w:t xml:space="preserve">a préservation de la biodiversité plusieurs outils de préservation et de gestion ont été mis en place en Corse. La constitution du réseau Natura 2000 réalisé dans le cadre des directives Habitats 92/43/CEE et Oiseaux 2009/147/CE, le réseau Natura 2000 est </w:t>
            </w:r>
            <w:r>
              <w:rPr>
                <w:szCs w:val="24"/>
              </w:rPr>
              <w:t>constitué de 88 sites dont 67 au titre de la directive Habitats (près de 14 % du territoire terrestre de la Corse) et 21 zones de protection spéciales (ZPS) au titre de la directive Oiseaux (6,2% du territoire terrestre) auxquels s’ajoutent plus de 100 000</w:t>
            </w:r>
            <w:r>
              <w:rPr>
                <w:szCs w:val="24"/>
              </w:rPr>
              <w:t xml:space="preserve"> ha de milieux marins (17 sites marins). Il est aujourd’hui stabilisé et en cours de mise en œuvre.</w:t>
            </w:r>
          </w:p>
          <w:p w:rsidR="0035701C" w:rsidRDefault="00FB561B">
            <w:pPr>
              <w:spacing w:before="240" w:after="240"/>
              <w:jc w:val="left"/>
              <w:rPr>
                <w:szCs w:val="24"/>
              </w:rPr>
            </w:pPr>
            <w:r>
              <w:rPr>
                <w:szCs w:val="24"/>
              </w:rPr>
              <w:t>•          en août 2011, 80 sites étaient dotés d’un arrêté préfectoral portant création et composition de comité de pilotage local (COPIL) ; 31 d’entre eux</w:t>
            </w:r>
            <w:r>
              <w:rPr>
                <w:szCs w:val="24"/>
              </w:rPr>
              <w:t xml:space="preserve"> étaient dotés d’un arrêté préfectoral portant approbation de document d’objectifs (DOCOB) ;</w:t>
            </w:r>
          </w:p>
          <w:p w:rsidR="0035701C" w:rsidRDefault="00FB561B">
            <w:pPr>
              <w:spacing w:before="240" w:after="240"/>
              <w:jc w:val="left"/>
              <w:rPr>
                <w:szCs w:val="24"/>
              </w:rPr>
            </w:pPr>
            <w:r>
              <w:rPr>
                <w:szCs w:val="24"/>
              </w:rPr>
              <w:t>•          55 DOCOB étaient terminés et en cours d’animation ou d’actualisation en mars 2011 ;</w:t>
            </w:r>
          </w:p>
          <w:p w:rsidR="0035701C" w:rsidRDefault="00FB561B">
            <w:pPr>
              <w:spacing w:before="240" w:after="240"/>
              <w:jc w:val="left"/>
              <w:rPr>
                <w:szCs w:val="24"/>
              </w:rPr>
            </w:pPr>
            <w:r>
              <w:rPr>
                <w:szCs w:val="24"/>
              </w:rPr>
              <w:t>•          le chantier des cartographies d’habitats des sites Natura</w:t>
            </w:r>
            <w:r>
              <w:rPr>
                <w:szCs w:val="24"/>
              </w:rPr>
              <w:t xml:space="preserve"> 2000 est aujourd’hui presque finalisé.</w:t>
            </w:r>
          </w:p>
          <w:p w:rsidR="0035701C" w:rsidRDefault="00FB561B">
            <w:pPr>
              <w:spacing w:before="240" w:after="240"/>
              <w:jc w:val="left"/>
              <w:rPr>
                <w:szCs w:val="24"/>
              </w:rPr>
            </w:pPr>
            <w:r>
              <w:rPr>
                <w:szCs w:val="24"/>
              </w:rPr>
              <w:t>Les zones Natura 2000 recouvrent 15,4% du territoire de la Corse et 13,6% des terres agricoles (contre respectivement 12,6 et 8,1% pour la France ; IC34).</w:t>
            </w:r>
          </w:p>
          <w:p w:rsidR="0035701C" w:rsidRDefault="00FB561B">
            <w:pPr>
              <w:spacing w:before="240" w:after="240"/>
              <w:jc w:val="left"/>
              <w:rPr>
                <w:szCs w:val="24"/>
              </w:rPr>
            </w:pPr>
            <w:r>
              <w:rPr>
                <w:szCs w:val="24"/>
              </w:rPr>
              <w:t xml:space="preserve">Les Orientations régionales de gestion et de conservation de </w:t>
            </w:r>
            <w:r>
              <w:rPr>
                <w:szCs w:val="24"/>
              </w:rPr>
              <w:t xml:space="preserve">la faune sauvage et de ses habitats (ORGFH) ont été adoptées par l’Assemblée de Corse en décembre 2009 et approuvées par le préfet en août 2010. Suite aux évolutions  législatives de 2003 et 2005 (transfert des compétences de l’État), il a été convenu que </w:t>
            </w:r>
            <w:r>
              <w:rPr>
                <w:szCs w:val="24"/>
              </w:rPr>
              <w:t>le suivi des ORGFH serait confié à la CTC via l’OEC. L’objectif aujourd’hui est de continuer les suivis et les études relatives aux différentes espèces prioritaires</w:t>
            </w:r>
          </w:p>
          <w:p w:rsidR="0035701C" w:rsidRDefault="00FB561B">
            <w:pPr>
              <w:spacing w:before="240" w:after="240"/>
              <w:jc w:val="left"/>
              <w:rPr>
                <w:szCs w:val="24"/>
              </w:rPr>
            </w:pPr>
            <w:r>
              <w:rPr>
                <w:szCs w:val="24"/>
              </w:rPr>
              <w:t>La Corse présente un faible nombre d’unités industrielles sur son territoire et son agricul</w:t>
            </w:r>
            <w:r>
              <w:rPr>
                <w:szCs w:val="24"/>
              </w:rPr>
              <w:t xml:space="preserve">ture est essentiellement extensive. Plus d’un tiers du territoire terrestre, y compris le réseau des aires Natura 2000 </w:t>
            </w:r>
            <w:r>
              <w:rPr>
                <w:szCs w:val="24"/>
              </w:rPr>
              <w:lastRenderedPageBreak/>
              <w:t xml:space="preserve">(plus de 60 DOCOB N2000 validés) est répertorié pour son intérêt écologique et considéré au titre des politiques de conservation (Profil </w:t>
            </w:r>
            <w:r>
              <w:rPr>
                <w:szCs w:val="24"/>
              </w:rPr>
              <w:t>environnemental régional de la Corse 2012 – DREAL Corse – juin 2013).</w:t>
            </w:r>
          </w:p>
          <w:p w:rsidR="0035701C" w:rsidRDefault="00FB561B">
            <w:pPr>
              <w:spacing w:before="240" w:after="240"/>
              <w:jc w:val="left"/>
              <w:rPr>
                <w:szCs w:val="24"/>
              </w:rPr>
            </w:pPr>
            <w:r>
              <w:rPr>
                <w:szCs w:val="24"/>
              </w:rPr>
              <w:t>A titre d’exemple, la taille de la maille des milieux naturels illustre favorablement la relative préservation des milieux naturels en Corse (cf. fig 10).</w:t>
            </w:r>
          </w:p>
          <w:p w:rsidR="0035701C" w:rsidRDefault="00FB561B">
            <w:pPr>
              <w:spacing w:before="240" w:after="240"/>
              <w:jc w:val="left"/>
              <w:rPr>
                <w:szCs w:val="24"/>
              </w:rPr>
            </w:pPr>
            <w:r>
              <w:rPr>
                <w:b/>
                <w:bCs/>
                <w:szCs w:val="24"/>
              </w:rPr>
              <w:t>Sol et érosion</w:t>
            </w:r>
          </w:p>
          <w:p w:rsidR="0035701C" w:rsidRDefault="00FB561B">
            <w:pPr>
              <w:spacing w:before="240" w:after="240"/>
              <w:jc w:val="left"/>
              <w:rPr>
                <w:szCs w:val="24"/>
              </w:rPr>
            </w:pPr>
            <w:r>
              <w:rPr>
                <w:szCs w:val="24"/>
              </w:rPr>
              <w:t>Selon la modélis</w:t>
            </w:r>
            <w:r>
              <w:rPr>
                <w:szCs w:val="24"/>
              </w:rPr>
              <w:t>ation MESALES (Gis Sol INRA, SOeS 2010), les aléas liés à l'érosion les plus importants concernent les coteaux de Haute Corse à l’automne et les montagnes en automne et en hiver. Les plaines littorales où se concentrent aujourd’hui les zones de cultures so</w:t>
            </w:r>
            <w:r>
              <w:rPr>
                <w:szCs w:val="24"/>
              </w:rPr>
              <w:t>nt caractérisées par un aléa très faible à faible.</w:t>
            </w:r>
          </w:p>
          <w:p w:rsidR="0035701C" w:rsidRDefault="00FB561B">
            <w:pPr>
              <w:spacing w:before="240" w:after="240"/>
              <w:jc w:val="left"/>
              <w:rPr>
                <w:szCs w:val="24"/>
              </w:rPr>
            </w:pPr>
            <w:r>
              <w:rPr>
                <w:szCs w:val="24"/>
              </w:rPr>
              <w:t>Dans certaines conditions, les risques d'érosion peuvent augmenter :</w:t>
            </w:r>
          </w:p>
          <w:p w:rsidR="0035701C" w:rsidRDefault="00FB561B">
            <w:pPr>
              <w:spacing w:before="240" w:after="240"/>
              <w:jc w:val="left"/>
              <w:rPr>
                <w:szCs w:val="24"/>
              </w:rPr>
            </w:pPr>
            <w:r>
              <w:rPr>
                <w:szCs w:val="24"/>
              </w:rPr>
              <w:t>- après incendies,</w:t>
            </w:r>
          </w:p>
          <w:p w:rsidR="0035701C" w:rsidRDefault="00FB561B">
            <w:pPr>
              <w:spacing w:before="240" w:after="240"/>
              <w:jc w:val="left"/>
              <w:rPr>
                <w:szCs w:val="24"/>
              </w:rPr>
            </w:pPr>
            <w:r>
              <w:rPr>
                <w:szCs w:val="24"/>
              </w:rPr>
              <w:t> - à l’aval des coteaux artificialisés par l’urbanisation</w:t>
            </w:r>
          </w:p>
          <w:p w:rsidR="0035701C" w:rsidRDefault="00FB561B">
            <w:pPr>
              <w:spacing w:before="240" w:after="240"/>
              <w:jc w:val="left"/>
              <w:rPr>
                <w:szCs w:val="24"/>
              </w:rPr>
            </w:pPr>
            <w:r>
              <w:rPr>
                <w:szCs w:val="24"/>
              </w:rPr>
              <w:t> - à la faveur de la destruction des terrasses anthropiques</w:t>
            </w:r>
          </w:p>
          <w:p w:rsidR="0035701C" w:rsidRDefault="00FB561B">
            <w:pPr>
              <w:spacing w:before="240" w:after="240"/>
              <w:jc w:val="left"/>
              <w:rPr>
                <w:szCs w:val="24"/>
              </w:rPr>
            </w:pPr>
            <w:r>
              <w:rPr>
                <w:szCs w:val="24"/>
              </w:rPr>
              <w:t> - sur les parcelles agricoles dans certaines conditions :</w:t>
            </w:r>
          </w:p>
          <w:p w:rsidR="0035701C" w:rsidRDefault="00FB561B">
            <w:pPr>
              <w:spacing w:before="240" w:after="240"/>
              <w:jc w:val="left"/>
              <w:rPr>
                <w:szCs w:val="24"/>
              </w:rPr>
            </w:pPr>
            <w:r>
              <w:rPr>
                <w:szCs w:val="24"/>
              </w:rPr>
              <w:t>- sur terrains de pentes supérieures à 15%, les passages répétés d'engins, les  opérations de dessouchage, de nivellement, de gros travaux du sol… peuvent  conduire au décapage du sol avec un impa</w:t>
            </w:r>
            <w:r>
              <w:rPr>
                <w:szCs w:val="24"/>
              </w:rPr>
              <w:t>ct important sur les pertes de  matière organique et les risques d'érosion,</w:t>
            </w:r>
          </w:p>
          <w:p w:rsidR="0035701C" w:rsidRDefault="00FB561B">
            <w:pPr>
              <w:spacing w:before="240" w:after="240"/>
              <w:jc w:val="left"/>
              <w:rPr>
                <w:szCs w:val="24"/>
              </w:rPr>
            </w:pPr>
            <w:r>
              <w:rPr>
                <w:szCs w:val="24"/>
              </w:rPr>
              <w:t> - sur terrains occupés par des concentrations animales excessives,</w:t>
            </w:r>
          </w:p>
          <w:p w:rsidR="0035701C" w:rsidRDefault="00FB561B">
            <w:pPr>
              <w:spacing w:before="240" w:after="240"/>
              <w:jc w:val="left"/>
              <w:rPr>
                <w:szCs w:val="24"/>
              </w:rPr>
            </w:pPr>
            <w:r>
              <w:rPr>
                <w:szCs w:val="24"/>
              </w:rPr>
              <w:t> - sur sols nus en période hivernale,</w:t>
            </w:r>
          </w:p>
          <w:p w:rsidR="0035701C" w:rsidRDefault="00FB561B">
            <w:pPr>
              <w:spacing w:before="240" w:after="240"/>
              <w:jc w:val="left"/>
              <w:rPr>
                <w:szCs w:val="24"/>
              </w:rPr>
            </w:pPr>
            <w:r>
              <w:rPr>
                <w:szCs w:val="24"/>
              </w:rPr>
              <w:t xml:space="preserve"> - avec la pratique du désherbage total sous vignes et vergers, y compris </w:t>
            </w:r>
            <w:r>
              <w:rPr>
                <w:szCs w:val="24"/>
              </w:rPr>
              <w:t>sur terrains  relativement plats.</w:t>
            </w:r>
          </w:p>
          <w:p w:rsidR="0035701C" w:rsidRDefault="00FB561B">
            <w:pPr>
              <w:spacing w:before="240" w:after="240"/>
              <w:jc w:val="left"/>
              <w:rPr>
                <w:szCs w:val="24"/>
              </w:rPr>
            </w:pPr>
            <w:r>
              <w:rPr>
                <w:szCs w:val="24"/>
              </w:rPr>
              <w:t>La tendance actuelle est à la pratique d'engrais vert semé entre  les rangs ou au maintien d'une couverture végétale spontanée de graminées.</w:t>
            </w:r>
          </w:p>
          <w:p w:rsidR="0035701C" w:rsidRDefault="00FB561B">
            <w:pPr>
              <w:spacing w:before="240" w:after="240"/>
              <w:jc w:val="left"/>
              <w:rPr>
                <w:szCs w:val="24"/>
              </w:rPr>
            </w:pPr>
            <w:r>
              <w:rPr>
                <w:szCs w:val="24"/>
              </w:rPr>
              <w:t>En Corse, les teneurs en matière organique observées dans le sol sont très variab</w:t>
            </w:r>
            <w:r>
              <w:rPr>
                <w:szCs w:val="24"/>
              </w:rPr>
              <w:t>les en fonction de l’utilisation et du type de sol et diminuent toujours de la surface à la profondeur. Globalement, elles sont</w:t>
            </w:r>
          </w:p>
          <w:p w:rsidR="0035701C" w:rsidRDefault="00FB561B">
            <w:pPr>
              <w:spacing w:before="240" w:after="240"/>
              <w:jc w:val="left"/>
              <w:rPr>
                <w:szCs w:val="24"/>
              </w:rPr>
            </w:pPr>
            <w:r>
              <w:rPr>
                <w:szCs w:val="24"/>
              </w:rPr>
              <w:t>- Plus élevées en sols calcaires et colluviaux,</w:t>
            </w:r>
          </w:p>
          <w:p w:rsidR="0035701C" w:rsidRDefault="00FB561B">
            <w:pPr>
              <w:spacing w:before="240" w:after="240"/>
              <w:jc w:val="left"/>
              <w:rPr>
                <w:szCs w:val="24"/>
              </w:rPr>
            </w:pPr>
            <w:r>
              <w:rPr>
                <w:szCs w:val="24"/>
              </w:rPr>
              <w:t>- Plus élevées en sols issus de schiste par rapport aux sols issus de granite ou</w:t>
            </w:r>
            <w:r>
              <w:rPr>
                <w:szCs w:val="24"/>
              </w:rPr>
              <w:t xml:space="preserve"> de dépôt miocène</w:t>
            </w:r>
          </w:p>
          <w:p w:rsidR="0035701C" w:rsidRDefault="00FB561B">
            <w:pPr>
              <w:spacing w:before="240" w:after="240"/>
              <w:jc w:val="left"/>
              <w:rPr>
                <w:szCs w:val="24"/>
              </w:rPr>
            </w:pPr>
            <w:r>
              <w:rPr>
                <w:szCs w:val="24"/>
              </w:rPr>
              <w:t>- Plus faibles en sols très riches en magnésium,</w:t>
            </w:r>
          </w:p>
          <w:p w:rsidR="0035701C" w:rsidRDefault="00FB561B">
            <w:pPr>
              <w:spacing w:before="240" w:after="240"/>
              <w:jc w:val="left"/>
              <w:rPr>
                <w:szCs w:val="24"/>
              </w:rPr>
            </w:pPr>
            <w:r>
              <w:rPr>
                <w:szCs w:val="24"/>
              </w:rPr>
              <w:t>- Plus élevées en surface en sols caillouteux et surtout en sols à mauvais drainage,</w:t>
            </w:r>
          </w:p>
          <w:p w:rsidR="0035701C" w:rsidRDefault="00FB561B">
            <w:pPr>
              <w:spacing w:before="240" w:after="240"/>
              <w:jc w:val="left"/>
              <w:rPr>
                <w:szCs w:val="24"/>
              </w:rPr>
            </w:pPr>
            <w:r>
              <w:rPr>
                <w:szCs w:val="24"/>
              </w:rPr>
              <w:t>- Plus faibles en profondeur plus les sols sont évolués en alluvions anciennes.</w:t>
            </w:r>
          </w:p>
          <w:p w:rsidR="0035701C" w:rsidRDefault="00FB561B">
            <w:pPr>
              <w:spacing w:before="240" w:after="240"/>
              <w:jc w:val="left"/>
              <w:rPr>
                <w:szCs w:val="24"/>
              </w:rPr>
            </w:pPr>
            <w:r>
              <w:rPr>
                <w:szCs w:val="24"/>
              </w:rPr>
              <w:t>Des références agronomiq</w:t>
            </w:r>
            <w:r>
              <w:rPr>
                <w:szCs w:val="24"/>
              </w:rPr>
              <w:t xml:space="preserve">ues établies localement (essais agronomiques à la Station Expérimentale </w:t>
            </w:r>
            <w:r>
              <w:rPr>
                <w:szCs w:val="24"/>
              </w:rPr>
              <w:lastRenderedPageBreak/>
              <w:t>d’Irrigation (SEI) de Migliacciaro) montrent que la pratique d’engrais vert et surtout l’enherbement permettent d’enrichir fortement le sol en matière organique, d’autant plus avec l’i</w:t>
            </w:r>
            <w:r>
              <w:rPr>
                <w:szCs w:val="24"/>
              </w:rPr>
              <w:t>rrigation au goutte à goutte ou en sol léger et caillouteux.</w:t>
            </w:r>
          </w:p>
          <w:p w:rsidR="0035701C" w:rsidRDefault="00FB561B">
            <w:pPr>
              <w:spacing w:before="240" w:after="240"/>
              <w:jc w:val="left"/>
              <w:rPr>
                <w:szCs w:val="24"/>
              </w:rPr>
            </w:pPr>
            <w:r>
              <w:rPr>
                <w:b/>
                <w:bCs/>
                <w:szCs w:val="24"/>
              </w:rPr>
              <w:t xml:space="preserve">Eau et irrigation </w:t>
            </w:r>
          </w:p>
          <w:p w:rsidR="0035701C" w:rsidRDefault="00FB561B">
            <w:pPr>
              <w:spacing w:before="240" w:after="240"/>
              <w:jc w:val="left"/>
              <w:rPr>
                <w:szCs w:val="24"/>
              </w:rPr>
            </w:pPr>
            <w:r>
              <w:rPr>
                <w:szCs w:val="24"/>
              </w:rPr>
              <w:t>Plus de 89% des masses d’eau superficielles ont été qualifiées en bon ou très bon état écologique (source SDAGE de Corse, cf. à titre d’illustration fig. 12 : concentrations en</w:t>
            </w:r>
            <w:r>
              <w:rPr>
                <w:szCs w:val="24"/>
              </w:rPr>
              <w:t xml:space="preserve"> nitrate).</w:t>
            </w:r>
          </w:p>
          <w:p w:rsidR="0035701C" w:rsidRDefault="00FB561B">
            <w:pPr>
              <w:spacing w:before="240" w:after="240"/>
              <w:jc w:val="left"/>
              <w:rPr>
                <w:szCs w:val="24"/>
              </w:rPr>
            </w:pPr>
            <w:r>
              <w:rPr>
                <w:szCs w:val="24"/>
              </w:rPr>
              <w:t>Aucune masse d'eau n'est en mauvais état, et  deux plans d'eau sont qualifiés en état moins que bon. Il s'agit de la retenue de Figari (état moyen) et de la retenue de Codole (état médiocre). Huit des quatorze masses d'eau côtières sont en bon o</w:t>
            </w:r>
            <w:r>
              <w:rPr>
                <w:szCs w:val="24"/>
              </w:rPr>
              <w:t>u très bon état. Six sont en état moyen (Canari, littoral bastiais, golfe de Porto Vecchio, golfe de Sant' Amanza, goulet de Bonifacio et golfe d'Ajaccio). Toutes les masses d’eaux superficielles corses sont en bon état chimique, sauf 3 masses d’eau de tra</w:t>
            </w:r>
            <w:r>
              <w:rPr>
                <w:szCs w:val="24"/>
              </w:rPr>
              <w:t>nsition (étangs de Biguglia, Diana, Urbino) du fait de traces de pesticides notamment d'hydro-simazine, de HCH et de cyclodiène (Ces trois molécules ne sont plus autorisées en France pour l'agriculture).</w:t>
            </w:r>
          </w:p>
          <w:p w:rsidR="0035701C" w:rsidRDefault="00FB561B">
            <w:pPr>
              <w:spacing w:before="240" w:after="240"/>
              <w:jc w:val="left"/>
              <w:rPr>
                <w:szCs w:val="24"/>
              </w:rPr>
            </w:pPr>
            <w:r>
              <w:rPr>
                <w:szCs w:val="24"/>
              </w:rPr>
              <w:t xml:space="preserve">Un seul cours d’eau est en mauvais état chimique en </w:t>
            </w:r>
            <w:r>
              <w:rPr>
                <w:szCs w:val="24"/>
              </w:rPr>
              <w:t xml:space="preserve">incluant les substances considérées comme ubiquistes : le ruisseau de Luri aval (source : SDAGE de Corse 2010-2015). Globalement, l'agriculture n'a que peu d'impact sur l'état chimique ou biologique des masses en Corse. En Corse les prélèvements sont pour </w:t>
            </w:r>
            <w:r>
              <w:rPr>
                <w:szCs w:val="24"/>
              </w:rPr>
              <w:t>les trois quarts effectués dans les eaux superficielles. Les origines sont toutefois très variables en fonction des usages puisque si l'alimentation en eau potable prélève des volumes comparables entre les eaux souterraines et superficielles, les prélèveme</w:t>
            </w:r>
            <w:r>
              <w:rPr>
                <w:szCs w:val="24"/>
              </w:rPr>
              <w:t>nts agricoles s’effectuent uniquement dans les eaux superficielles. Ces deux usages, alimentation en eau potable et prélèvements agricoles, se partagent la quasi-totalité de la ressource.</w:t>
            </w:r>
          </w:p>
          <w:p w:rsidR="0035701C" w:rsidRDefault="00FB561B">
            <w:pPr>
              <w:spacing w:before="240" w:after="240"/>
              <w:jc w:val="left"/>
              <w:rPr>
                <w:szCs w:val="24"/>
              </w:rPr>
            </w:pPr>
            <w:r>
              <w:rPr>
                <w:szCs w:val="24"/>
              </w:rPr>
              <w:t xml:space="preserve">La problématique des pesticides agricoles est donc faible en Corse. </w:t>
            </w:r>
            <w:r>
              <w:rPr>
                <w:szCs w:val="24"/>
              </w:rPr>
              <w:t>Néanmoins la présence de cultures habituellement génératrices de problèmes de ce type justifie les actions entreprises dans le sens de la réduction de l'usage des phytosanitaire (plan Ecophyto, MAEC...).</w:t>
            </w:r>
          </w:p>
          <w:p w:rsidR="0035701C" w:rsidRDefault="00FB561B">
            <w:pPr>
              <w:spacing w:before="240" w:after="240"/>
              <w:jc w:val="left"/>
              <w:rPr>
                <w:szCs w:val="24"/>
              </w:rPr>
            </w:pPr>
            <w:r>
              <w:rPr>
                <w:szCs w:val="24"/>
              </w:rPr>
              <w:t>L’absence de problème de nitrate ou de phosphore agr</w:t>
            </w:r>
            <w:r>
              <w:rPr>
                <w:szCs w:val="24"/>
              </w:rPr>
              <w:t>icole, attesté par l’absence de zone zones vulnérables en Corse au sens de la directive « nitrates » n°91/676/CEE est à noter.</w:t>
            </w:r>
          </w:p>
          <w:p w:rsidR="0035701C" w:rsidRDefault="00FB561B">
            <w:pPr>
              <w:spacing w:before="240" w:after="240"/>
              <w:jc w:val="left"/>
              <w:rPr>
                <w:szCs w:val="24"/>
              </w:rPr>
            </w:pPr>
            <w:r>
              <w:rPr>
                <w:szCs w:val="24"/>
              </w:rPr>
              <w:t>Les volumes prélevés fluctuent selon les années, les derniers chiffres montrant une baisse des prélèvements agricoles et une stab</w:t>
            </w:r>
            <w:r>
              <w:rPr>
                <w:szCs w:val="24"/>
              </w:rPr>
              <w:t>ilité des prélèvements pour l’AEP. Globalement 70 à 100 millions de m3 sont prélevés en Corse, volume à comparer aux 900 millions de m3 turbinés pour la production d'hydroélectricité (source : SDAGE de Corse 2010 2015).</w:t>
            </w:r>
          </w:p>
          <w:p w:rsidR="0035701C" w:rsidRDefault="00FB561B">
            <w:pPr>
              <w:spacing w:before="240" w:after="240"/>
              <w:jc w:val="left"/>
              <w:rPr>
                <w:szCs w:val="24"/>
              </w:rPr>
            </w:pPr>
            <w:r>
              <w:rPr>
                <w:szCs w:val="24"/>
              </w:rPr>
              <w:t>Les prélèvements en eau brute représ</w:t>
            </w:r>
            <w:r>
              <w:rPr>
                <w:szCs w:val="24"/>
              </w:rPr>
              <w:t>entent en ordre de grandeur environ 1% de la lame d’eau arrosant la Corse (soit 99,7 mm3/ 1000mm de pluviométrie annuelle moyenne sur l’ensemble du relief - Source : Agence de l’eau 2009), les usages agricoles étant majoritaires (cf. fig 11).</w:t>
            </w:r>
          </w:p>
          <w:p w:rsidR="0035701C" w:rsidRDefault="00FB561B">
            <w:pPr>
              <w:spacing w:before="240" w:after="240"/>
              <w:jc w:val="left"/>
              <w:rPr>
                <w:szCs w:val="24"/>
              </w:rPr>
            </w:pPr>
            <w:r>
              <w:rPr>
                <w:szCs w:val="24"/>
              </w:rPr>
              <w:t>Le prélèvemen</w:t>
            </w:r>
            <w:r>
              <w:rPr>
                <w:szCs w:val="24"/>
              </w:rPr>
              <w:t>t de 1 % de la lame d'eau est calculé en tenant compte des capacités de stockage maximal sur l'île. Elles concernent les ouvrages de la CTC gérés par l'OEHC et ceux d'EDF. Il s'agit donc de stockages inter-saisonniers qui représentent à l'échelle des volum</w:t>
            </w:r>
            <w:r>
              <w:rPr>
                <w:szCs w:val="24"/>
              </w:rPr>
              <w:t>es consommés la quasi totalité de l'origine de l'eau consommée. Les autres masses d'eau superficielles ainsi que les masses d'eau souterraines restent donc peu sollicitées à l'exception de quelques-unes d'entre elles (cf. carte des masses d'eau en état moi</w:t>
            </w:r>
            <w:r>
              <w:rPr>
                <w:szCs w:val="24"/>
              </w:rPr>
              <w:t>ns que bon en raison de la pression prélèvement).</w:t>
            </w:r>
          </w:p>
          <w:p w:rsidR="0035701C" w:rsidRDefault="00FB561B">
            <w:pPr>
              <w:spacing w:before="240" w:after="240"/>
              <w:jc w:val="left"/>
              <w:rPr>
                <w:szCs w:val="24"/>
              </w:rPr>
            </w:pPr>
            <w:r>
              <w:rPr>
                <w:szCs w:val="24"/>
              </w:rPr>
              <w:t xml:space="preserve">Une augmentation globale de la consommation en eau est à prévoir dans les années à venir dans un contexte </w:t>
            </w:r>
            <w:r>
              <w:rPr>
                <w:szCs w:val="24"/>
              </w:rPr>
              <w:lastRenderedPageBreak/>
              <w:t>de changement climatique. Tous les secteurs économiques devraient être concernés et, au premier chef</w:t>
            </w:r>
            <w:r>
              <w:rPr>
                <w:szCs w:val="24"/>
              </w:rPr>
              <w:t>, les besoins en eau brutes (agriculture, jardins privatifs, golf, ...) et les besoins en AEP en lien avec l'intensification de l'activité touristique.</w:t>
            </w:r>
          </w:p>
          <w:p w:rsidR="0035701C" w:rsidRDefault="00FB561B">
            <w:pPr>
              <w:spacing w:before="240" w:after="240"/>
              <w:jc w:val="left"/>
              <w:rPr>
                <w:szCs w:val="24"/>
              </w:rPr>
            </w:pPr>
            <w:r>
              <w:rPr>
                <w:szCs w:val="24"/>
              </w:rPr>
              <w:t xml:space="preserve">En ce qui concerne l'agriculture, cette augmentation résulte de la volonté de Collectivité Territoriale </w:t>
            </w:r>
            <w:r>
              <w:rPr>
                <w:szCs w:val="24"/>
              </w:rPr>
              <w:t>de Corse de développer les activités agricoles, notamment dans l'intérieur. Ainsi depuis les années 70, la superficie irriguée connaît une nette tendance à la croissance (de 9 000 à près de 12 000 Ha), en lien avec la densification des réseaux collectifs O</w:t>
            </w:r>
            <w:r>
              <w:rPr>
                <w:szCs w:val="24"/>
              </w:rPr>
              <w:t>EHC sur les grandes plaines littorales.</w:t>
            </w:r>
          </w:p>
          <w:p w:rsidR="0035701C" w:rsidRDefault="00FB561B">
            <w:pPr>
              <w:spacing w:before="240" w:after="240"/>
              <w:jc w:val="left"/>
              <w:rPr>
                <w:szCs w:val="24"/>
              </w:rPr>
            </w:pPr>
            <w:r>
              <w:rPr>
                <w:szCs w:val="24"/>
              </w:rPr>
              <w:t>Néanmoins cette orientation doit être menée dans un souci de promouvoir une agriculture plus économe en eau. Sur la précédente programmation, les dossiers ont été instruits en tenant compte des besoins optimum des cu</w:t>
            </w:r>
            <w:r>
              <w:rPr>
                <w:szCs w:val="24"/>
              </w:rPr>
              <w:t>ltures basés sur des références techniques et culturales validées y compris dans les périmètres collectifs de l'OEHC. En dehors de ces périmètres, toutes les opérations ont fait l'objet d'une instruction règlementaire tenant compte de l'adéquation entre le</w:t>
            </w:r>
            <w:r>
              <w:rPr>
                <w:szCs w:val="24"/>
              </w:rPr>
              <w:t>s besoins et la ressource. Plusieurs projets collectifs ont d'ailleurs dû être abandonnés suite à des études hydrologiques aux conclusions négatives.</w:t>
            </w:r>
          </w:p>
          <w:p w:rsidR="0035701C" w:rsidRDefault="00FB561B">
            <w:pPr>
              <w:spacing w:before="240" w:after="240"/>
              <w:jc w:val="left"/>
              <w:rPr>
                <w:szCs w:val="24"/>
              </w:rPr>
            </w:pPr>
            <w:r>
              <w:rPr>
                <w:szCs w:val="24"/>
              </w:rPr>
              <w:t>Ces démarches doivent poursuivies sur la nouvelle programmation. L'accent sera toutefois mis sur la format</w:t>
            </w:r>
            <w:r>
              <w:rPr>
                <w:szCs w:val="24"/>
              </w:rPr>
              <w:t>ion initiale et continue des irrigants avec des objectifs de gestion de l'irrigation (méthode du bilan hydrique, utilisation d'outils de suivi hydrique de l'état des sols ou des végétaux).</w:t>
            </w:r>
          </w:p>
          <w:p w:rsidR="0035701C" w:rsidRDefault="00FB561B">
            <w:pPr>
              <w:spacing w:before="240" w:after="240"/>
              <w:jc w:val="left"/>
              <w:rPr>
                <w:szCs w:val="24"/>
              </w:rPr>
            </w:pPr>
            <w:r>
              <w:rPr>
                <w:szCs w:val="24"/>
              </w:rPr>
              <w:t>En juin 2011, 107 communes sur les 360 de Corse sont concernées par</w:t>
            </w:r>
            <w:r>
              <w:rPr>
                <w:szCs w:val="24"/>
              </w:rPr>
              <w:t xml:space="preserve"> un PPRI (plan de prévention du risque inondation)  approuvé ou prescrit (40 en Corse-du-Sud et 67 en Haute-Corse).</w:t>
            </w:r>
          </w:p>
          <w:p w:rsidR="0035701C" w:rsidRDefault="00FB561B">
            <w:pPr>
              <w:spacing w:before="240" w:after="240"/>
              <w:jc w:val="left"/>
              <w:rPr>
                <w:szCs w:val="24"/>
              </w:rPr>
            </w:pPr>
            <w:r>
              <w:rPr>
                <w:szCs w:val="24"/>
              </w:rPr>
              <w:t>Les actions de prévention des inondations sont financés dans le cadre du Programme d’Action de Prévention des Inondations, mis en place en 2</w:t>
            </w:r>
            <w:r>
              <w:rPr>
                <w:szCs w:val="24"/>
              </w:rPr>
              <w:t xml:space="preserve">004 par le Plan Bachelot et aidé financièrement par l’État (taux de subvention variant entre 20 et 50% suivant les actions), constitue un programme d’action publique à long terme sur l’ensemble d’un bassin versant, visant à l’atténuation du risque lié aux </w:t>
            </w:r>
            <w:r>
              <w:rPr>
                <w:szCs w:val="24"/>
              </w:rPr>
              <w:t>inondations pour les personnes et les biens.</w:t>
            </w:r>
          </w:p>
          <w:p w:rsidR="0035701C" w:rsidRDefault="00FB561B">
            <w:pPr>
              <w:spacing w:before="240" w:after="240"/>
              <w:jc w:val="left"/>
              <w:rPr>
                <w:szCs w:val="24"/>
              </w:rPr>
            </w:pPr>
            <w:r>
              <w:rPr>
                <w:b/>
                <w:bCs/>
                <w:szCs w:val="24"/>
              </w:rPr>
              <w:t>Energie consommée</w:t>
            </w:r>
          </w:p>
          <w:p w:rsidR="0035701C" w:rsidRDefault="00FB561B">
            <w:pPr>
              <w:spacing w:before="240" w:after="240"/>
              <w:jc w:val="left"/>
              <w:rPr>
                <w:szCs w:val="24"/>
              </w:rPr>
            </w:pPr>
            <w:r>
              <w:rPr>
                <w:szCs w:val="24"/>
              </w:rPr>
              <w:t>La consommation d'énergie primaire en Corse est essentiellement d'origine pétrolière (Fioul lourd à destination des centrales thermiques, fioul domestique et carburants). La part importante d'é</w:t>
            </w:r>
            <w:r>
              <w:rPr>
                <w:szCs w:val="24"/>
              </w:rPr>
              <w:t>nergie issue de centrales hydroélectriques est également à noter. Le bois ne représente qu'1 % de la consommation d'énergie primaire en Corse. La consommation d'énergie primaire issue du solaire photovoltaïque et de l'éolien reste marginale (figure 30).</w:t>
            </w:r>
          </w:p>
          <w:p w:rsidR="0035701C" w:rsidRDefault="00FB561B">
            <w:pPr>
              <w:spacing w:before="240" w:after="240"/>
              <w:jc w:val="left"/>
              <w:rPr>
                <w:szCs w:val="24"/>
              </w:rPr>
            </w:pPr>
            <w:r>
              <w:rPr>
                <w:szCs w:val="24"/>
              </w:rPr>
              <w:t>L'</w:t>
            </w:r>
            <w:r>
              <w:rPr>
                <w:szCs w:val="24"/>
              </w:rPr>
              <w:t>agriculture corse n'est que faiblement consommatrice d'énergie.  En Corse, seul 33,34 ktep/ha sont utilisé, contre 86,51 pour la France et 66,84 pour l'Europe (IC44).</w:t>
            </w:r>
          </w:p>
          <w:p w:rsidR="0035701C" w:rsidRDefault="00FB561B">
            <w:pPr>
              <w:spacing w:before="240" w:after="240"/>
              <w:jc w:val="left"/>
              <w:rPr>
                <w:szCs w:val="24"/>
              </w:rPr>
            </w:pPr>
            <w:r>
              <w:rPr>
                <w:b/>
                <w:bCs/>
                <w:szCs w:val="24"/>
              </w:rPr>
              <w:t>Le changement climatique</w:t>
            </w:r>
          </w:p>
          <w:p w:rsidR="0035701C" w:rsidRDefault="00FB561B">
            <w:pPr>
              <w:spacing w:before="240" w:after="240"/>
              <w:jc w:val="left"/>
              <w:rPr>
                <w:szCs w:val="24"/>
              </w:rPr>
            </w:pPr>
            <w:r>
              <w:rPr>
                <w:i/>
                <w:iCs/>
                <w:szCs w:val="24"/>
              </w:rPr>
              <w:t>- L’atténuation</w:t>
            </w:r>
          </w:p>
          <w:p w:rsidR="0035701C" w:rsidRDefault="00FB561B">
            <w:pPr>
              <w:spacing w:before="240" w:after="240"/>
              <w:jc w:val="left"/>
              <w:rPr>
                <w:szCs w:val="24"/>
              </w:rPr>
            </w:pPr>
            <w:r>
              <w:rPr>
                <w:szCs w:val="24"/>
              </w:rPr>
              <w:t xml:space="preserve">En ce qui concerne la contribution potentielle </w:t>
            </w:r>
            <w:r>
              <w:rPr>
                <w:szCs w:val="24"/>
              </w:rPr>
              <w:t>de l’agriculture à l’objectif d’atténuation du changement climatique, il est à noter que, la consommation finale totale d’énergie du secteur agricole en Corse est estimée à 5 ktep en 2008, soit moins de 1% des consommations finales régionales. Le secteur r</w:t>
            </w:r>
            <w:r>
              <w:rPr>
                <w:szCs w:val="24"/>
              </w:rPr>
              <w:t xml:space="preserve">eprésente 10% des émissions de GES (principalement des gaz à effet de serre non énergétiques) de la région contre 21% au niveau national (IC 45 ; source CITEPA valeur 2008) et 13.5% au niveau mondial (hors </w:t>
            </w:r>
            <w:r>
              <w:rPr>
                <w:szCs w:val="24"/>
              </w:rPr>
              <w:lastRenderedPageBreak/>
              <w:t>forêt/déforestation en 2008), (Source Schéma Régio</w:t>
            </w:r>
            <w:r>
              <w:rPr>
                <w:szCs w:val="24"/>
              </w:rPr>
              <w:t>nal Air Energie de la Corse : SRCAE 2013).</w:t>
            </w:r>
          </w:p>
          <w:p w:rsidR="0035701C" w:rsidRDefault="00FB561B">
            <w:pPr>
              <w:spacing w:before="240" w:after="240"/>
              <w:jc w:val="left"/>
              <w:rPr>
                <w:szCs w:val="24"/>
              </w:rPr>
            </w:pPr>
            <w:r>
              <w:rPr>
                <w:szCs w:val="24"/>
              </w:rPr>
              <w:t>La contribution de la Corse à la séquestration de carbone peut être considérée par le fait que l’île est couverte à 65.56% de forêts et autres terres boisées (IC29). Néanmoins l’uniformisation et le vieillissement</w:t>
            </w:r>
            <w:r>
              <w:rPr>
                <w:szCs w:val="24"/>
              </w:rPr>
              <w:t xml:space="preserve"> de ces milieux représentent un facteur de risque non négligeable.</w:t>
            </w:r>
          </w:p>
          <w:p w:rsidR="0035701C" w:rsidRDefault="00FB561B">
            <w:pPr>
              <w:spacing w:before="240" w:after="240"/>
              <w:jc w:val="left"/>
              <w:rPr>
                <w:szCs w:val="24"/>
              </w:rPr>
            </w:pPr>
            <w:r>
              <w:rPr>
                <w:szCs w:val="24"/>
              </w:rPr>
              <w:t>A contrario, la consommation de produits de provenance continentale par les incidences du transport des marchandises et la production d’énergie ne sont pas sans impact environnemental.</w:t>
            </w:r>
          </w:p>
          <w:p w:rsidR="0035701C" w:rsidRDefault="00FB561B">
            <w:pPr>
              <w:spacing w:before="240" w:after="240"/>
              <w:jc w:val="left"/>
              <w:rPr>
                <w:szCs w:val="24"/>
              </w:rPr>
            </w:pPr>
            <w:r>
              <w:rPr>
                <w:i/>
                <w:iCs/>
                <w:szCs w:val="24"/>
              </w:rPr>
              <w:t xml:space="preserve">- </w:t>
            </w:r>
            <w:r>
              <w:rPr>
                <w:i/>
                <w:iCs/>
                <w:szCs w:val="24"/>
              </w:rPr>
              <w:t>L’impact du changement climatique</w:t>
            </w:r>
          </w:p>
          <w:p w:rsidR="0035701C" w:rsidRDefault="00FB561B">
            <w:pPr>
              <w:spacing w:before="240" w:after="240"/>
              <w:jc w:val="left"/>
              <w:rPr>
                <w:szCs w:val="24"/>
              </w:rPr>
            </w:pPr>
            <w:r>
              <w:rPr>
                <w:szCs w:val="24"/>
              </w:rPr>
              <w:t>Les scénarios relatifs au changement climatique en Méditerranée ciblent les éléments suivants (Source : Cf. synthèse de la Banque Européenne d’Investissement/Plan Bleu/ Euromed : Etude sur le changement climatique et énerg</w:t>
            </w:r>
            <w:r>
              <w:rPr>
                <w:szCs w:val="24"/>
              </w:rPr>
              <w:t>ie en Méditerranée – 2008) :</w:t>
            </w:r>
          </w:p>
          <w:p w:rsidR="0035701C" w:rsidRDefault="00FB561B" w:rsidP="00FB561B">
            <w:pPr>
              <w:numPr>
                <w:ilvl w:val="0"/>
                <w:numId w:val="22"/>
              </w:numPr>
              <w:spacing w:before="240" w:after="0"/>
              <w:ind w:hanging="210"/>
              <w:jc w:val="left"/>
              <w:rPr>
                <w:szCs w:val="24"/>
              </w:rPr>
            </w:pPr>
            <w:r>
              <w:rPr>
                <w:szCs w:val="24"/>
              </w:rPr>
              <w:t>Une augmentation de la température de l’air</w:t>
            </w:r>
          </w:p>
          <w:p w:rsidR="0035701C" w:rsidRDefault="00FB561B" w:rsidP="00FB561B">
            <w:pPr>
              <w:numPr>
                <w:ilvl w:val="0"/>
                <w:numId w:val="22"/>
              </w:numPr>
              <w:spacing w:before="0" w:after="0"/>
              <w:ind w:hanging="210"/>
              <w:jc w:val="left"/>
              <w:rPr>
                <w:szCs w:val="24"/>
              </w:rPr>
            </w:pPr>
            <w:r>
              <w:rPr>
                <w:szCs w:val="24"/>
              </w:rPr>
              <w:t>Une baisse de la pluviométrie</w:t>
            </w:r>
          </w:p>
          <w:p w:rsidR="0035701C" w:rsidRDefault="00FB561B" w:rsidP="00FB561B">
            <w:pPr>
              <w:numPr>
                <w:ilvl w:val="0"/>
                <w:numId w:val="22"/>
              </w:numPr>
              <w:spacing w:before="0" w:after="0"/>
              <w:ind w:hanging="210"/>
              <w:jc w:val="left"/>
              <w:rPr>
                <w:szCs w:val="24"/>
              </w:rPr>
            </w:pPr>
            <w:r>
              <w:rPr>
                <w:szCs w:val="24"/>
              </w:rPr>
              <w:t>Une hausse des périodes de sécheresse, avec un nombre de jours avec une température supérieure à 30°</w:t>
            </w:r>
          </w:p>
          <w:p w:rsidR="0035701C" w:rsidRDefault="00FB561B" w:rsidP="00FB561B">
            <w:pPr>
              <w:numPr>
                <w:ilvl w:val="0"/>
                <w:numId w:val="22"/>
              </w:numPr>
              <w:spacing w:before="0" w:after="240"/>
              <w:ind w:hanging="210"/>
              <w:jc w:val="left"/>
              <w:rPr>
                <w:szCs w:val="24"/>
              </w:rPr>
            </w:pPr>
            <w:r>
              <w:rPr>
                <w:szCs w:val="24"/>
              </w:rPr>
              <w:t>Une hausse du niveau de la mer</w:t>
            </w:r>
          </w:p>
          <w:p w:rsidR="0035701C" w:rsidRDefault="00FB561B">
            <w:pPr>
              <w:spacing w:before="240" w:after="240"/>
              <w:jc w:val="left"/>
              <w:rPr>
                <w:szCs w:val="24"/>
              </w:rPr>
            </w:pPr>
            <w:r>
              <w:rPr>
                <w:szCs w:val="24"/>
              </w:rPr>
              <w:t>Ces éléments prédicti</w:t>
            </w:r>
            <w:r>
              <w:rPr>
                <w:szCs w:val="24"/>
              </w:rPr>
              <w:t>fs rapportés à la Corse semblent démontrer une modération relative de ces phénomènes par rapport à d’autres situations régionales de Méditerranée.</w:t>
            </w:r>
          </w:p>
          <w:p w:rsidR="0035701C" w:rsidRDefault="00FB561B">
            <w:pPr>
              <w:spacing w:before="240" w:after="240"/>
              <w:jc w:val="left"/>
              <w:rPr>
                <w:szCs w:val="24"/>
              </w:rPr>
            </w:pPr>
            <w:r>
              <w:rPr>
                <w:szCs w:val="24"/>
              </w:rPr>
              <w:t>Cf. Figure 13 : Extrêmes de températures et de précipitations dans les pays du bassin méditerranéen, Source :</w:t>
            </w:r>
            <w:r>
              <w:rPr>
                <w:szCs w:val="24"/>
              </w:rPr>
              <w:t xml:space="preserve"> Synthèse de la Banque Européenne d’Investissement/Plan Bleu/ Euromed : Etude sur le changement climatique et énergie en Méditerranée – 2008</w:t>
            </w:r>
          </w:p>
          <w:p w:rsidR="0035701C" w:rsidRDefault="00FB561B">
            <w:pPr>
              <w:spacing w:before="240" w:after="240"/>
              <w:jc w:val="left"/>
              <w:rPr>
                <w:szCs w:val="24"/>
              </w:rPr>
            </w:pPr>
            <w:r>
              <w:rPr>
                <w:szCs w:val="24"/>
              </w:rPr>
              <w:t>Les impacts prévisibles restent néanmoins à considérer :</w:t>
            </w:r>
          </w:p>
          <w:p w:rsidR="0035701C" w:rsidRDefault="00FB561B" w:rsidP="00FB561B">
            <w:pPr>
              <w:numPr>
                <w:ilvl w:val="0"/>
                <w:numId w:val="23"/>
              </w:numPr>
              <w:spacing w:before="240" w:after="0"/>
              <w:ind w:hanging="210"/>
              <w:jc w:val="left"/>
              <w:rPr>
                <w:szCs w:val="24"/>
              </w:rPr>
            </w:pPr>
            <w:r>
              <w:rPr>
                <w:szCs w:val="24"/>
              </w:rPr>
              <w:t>Une augmentation prévisible de l’évapotranspiration</w:t>
            </w:r>
          </w:p>
          <w:p w:rsidR="0035701C" w:rsidRDefault="00FB561B" w:rsidP="00FB561B">
            <w:pPr>
              <w:numPr>
                <w:ilvl w:val="0"/>
                <w:numId w:val="23"/>
              </w:numPr>
              <w:spacing w:before="0" w:after="0"/>
              <w:ind w:hanging="210"/>
              <w:jc w:val="left"/>
              <w:rPr>
                <w:szCs w:val="24"/>
              </w:rPr>
            </w:pPr>
            <w:r>
              <w:rPr>
                <w:szCs w:val="24"/>
              </w:rPr>
              <w:t>Une mo</w:t>
            </w:r>
            <w:r>
              <w:rPr>
                <w:szCs w:val="24"/>
              </w:rPr>
              <w:t>dification progressive de biotope pouvant impacter la biodiversité</w:t>
            </w:r>
          </w:p>
          <w:p w:rsidR="0035701C" w:rsidRDefault="00FB561B" w:rsidP="00FB561B">
            <w:pPr>
              <w:numPr>
                <w:ilvl w:val="0"/>
                <w:numId w:val="23"/>
              </w:numPr>
              <w:spacing w:before="0" w:after="240"/>
              <w:ind w:hanging="210"/>
              <w:jc w:val="left"/>
              <w:rPr>
                <w:szCs w:val="24"/>
              </w:rPr>
            </w:pPr>
            <w:r>
              <w:rPr>
                <w:szCs w:val="24"/>
              </w:rPr>
              <w:t>Un accroissement du risque incendie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Situation agricole</w:t>
            </w:r>
          </w:p>
          <w:p w:rsidR="0035701C" w:rsidRDefault="00FB561B">
            <w:pPr>
              <w:spacing w:before="240" w:after="240"/>
              <w:jc w:val="left"/>
              <w:rPr>
                <w:szCs w:val="24"/>
              </w:rPr>
            </w:pPr>
            <w:r>
              <w:rPr>
                <w:szCs w:val="24"/>
              </w:rPr>
              <w:t xml:space="preserve">Le taux d’emploi dans l’agriculture est très largement inférieur à la moyenne nationale (IC 13). Par contre, le taux d’emploi dans </w:t>
            </w:r>
            <w:r>
              <w:rPr>
                <w:szCs w:val="24"/>
              </w:rPr>
              <w:t>le tourisme et l’agroalimentaire est très nettement supérieur à la moyenne nationale.</w:t>
            </w:r>
          </w:p>
          <w:p w:rsidR="0035701C" w:rsidRDefault="00FB561B">
            <w:pPr>
              <w:spacing w:before="240" w:after="240"/>
              <w:jc w:val="left"/>
              <w:rPr>
                <w:szCs w:val="24"/>
              </w:rPr>
            </w:pPr>
            <w:r>
              <w:rPr>
                <w:szCs w:val="24"/>
              </w:rPr>
              <w:t>En effet, le secteur de l’agroalimentaire et du tourisme sont deux secteurs économiques particulièrement importants en Corse (IC 13). Des synergies existent entre agroali</w:t>
            </w:r>
            <w:r>
              <w:rPr>
                <w:szCs w:val="24"/>
              </w:rPr>
              <w:t>mentaire, tourisme et agriculture, mais elles restent pour l’instant peu importantes et doivent être développées.</w:t>
            </w:r>
          </w:p>
          <w:p w:rsidR="0035701C" w:rsidRDefault="00FB561B">
            <w:pPr>
              <w:spacing w:before="240" w:after="240"/>
              <w:jc w:val="left"/>
              <w:rPr>
                <w:szCs w:val="24"/>
              </w:rPr>
            </w:pPr>
            <w:r>
              <w:rPr>
                <w:szCs w:val="24"/>
              </w:rPr>
              <w:t>La surface moyenne par exploitation agricole en Corse est supérieure à la moyenne nationale (64 ha contre 54 ha, IC 17). Cet écart est essenti</w:t>
            </w:r>
            <w:r>
              <w:rPr>
                <w:szCs w:val="24"/>
              </w:rPr>
              <w:t>ellement dû aux prairies et pâturages permanents et donc aux exploitations d’élevage extensif qui entretiennent des surfaces très importantes (IC 18).</w:t>
            </w:r>
          </w:p>
          <w:p w:rsidR="0035701C" w:rsidRDefault="00FB561B">
            <w:pPr>
              <w:spacing w:before="240" w:after="240"/>
              <w:jc w:val="left"/>
              <w:rPr>
                <w:szCs w:val="24"/>
              </w:rPr>
            </w:pPr>
            <w:r>
              <w:rPr>
                <w:szCs w:val="24"/>
              </w:rPr>
              <w:lastRenderedPageBreak/>
              <w:t>Toutefois, la taille économique des exploitations corses reste inférieure à la moyenne nationale (64 000€</w:t>
            </w:r>
            <w:r>
              <w:rPr>
                <w:szCs w:val="24"/>
              </w:rPr>
              <w:t xml:space="preserve"> de PBS /Expl° contre 98 000€ de PBS /Expl°, IC 17). De même, la productivité agricole en Corse est très inférieure à la moyenne nationale (22 000€/UTA, contre 38 000€/UTA, IC 14). Par conséquent, le revenu agricole par UTA est très inférieur en Corse à la</w:t>
            </w:r>
            <w:r>
              <w:rPr>
                <w:szCs w:val="24"/>
              </w:rPr>
              <w:t xml:space="preserve"> moyenne nationale (17 000€ contre 30 000€ par UTA, IC 26).</w:t>
            </w:r>
          </w:p>
          <w:p w:rsidR="0035701C" w:rsidRDefault="00FB561B">
            <w:pPr>
              <w:spacing w:before="240" w:after="240"/>
              <w:jc w:val="left"/>
              <w:rPr>
                <w:szCs w:val="24"/>
              </w:rPr>
            </w:pPr>
            <w:r>
              <w:rPr>
                <w:szCs w:val="24"/>
              </w:rPr>
              <w:t>Bien qu’entretenant une surface importante, l’exploitation agricole moyenne de Corse ne génère que peu de revenus pour l’agriculteur.</w:t>
            </w:r>
          </w:p>
          <w:p w:rsidR="0035701C" w:rsidRDefault="00FB561B">
            <w:pPr>
              <w:spacing w:before="240" w:after="240"/>
              <w:jc w:val="left"/>
              <w:rPr>
                <w:szCs w:val="24"/>
              </w:rPr>
            </w:pPr>
            <w:r>
              <w:rPr>
                <w:szCs w:val="24"/>
              </w:rPr>
              <w:t>Un premier cas de contamination d'une plante par la bactérie X</w:t>
            </w:r>
            <w:r>
              <w:rPr>
                <w:szCs w:val="24"/>
              </w:rPr>
              <w:t xml:space="preserve">ylella fastidiosa vient d'être répertorié, fin juillet 2015, en Corse. Cette bactérie transmise et dispersée par des insectes s’attaque à différentes espèces végétales (vigne, agrumes, prunus, café, avocat, luzerne, laurier rose, chêne, érable, etc). Elle </w:t>
            </w:r>
            <w:r>
              <w:rPr>
                <w:szCs w:val="24"/>
              </w:rPr>
              <w:t>conduit à des dépérissements massifs de certaines espèces d’intérêt économique (agrumes, vigne, oliviers). Il s'agit là d'un risque majeur pour l'agriculture corse.</w:t>
            </w:r>
          </w:p>
          <w:p w:rsidR="0035701C" w:rsidRDefault="00FB561B">
            <w:pPr>
              <w:spacing w:before="240" w:after="240"/>
              <w:jc w:val="left"/>
              <w:rPr>
                <w:szCs w:val="24"/>
              </w:rPr>
            </w:pPr>
            <w:r>
              <w:rPr>
                <w:i/>
                <w:iCs/>
                <w:szCs w:val="24"/>
              </w:rPr>
              <w:t>Surface agricole, relief et foncier de la Corse</w:t>
            </w:r>
          </w:p>
          <w:p w:rsidR="0035701C" w:rsidRDefault="00FB561B">
            <w:pPr>
              <w:spacing w:before="240" w:after="240"/>
              <w:jc w:val="left"/>
              <w:rPr>
                <w:szCs w:val="24"/>
              </w:rPr>
            </w:pPr>
            <w:r>
              <w:rPr>
                <w:szCs w:val="24"/>
              </w:rPr>
              <w:t>La superficie agricole utilisée (SAU) repré</w:t>
            </w:r>
            <w:r>
              <w:rPr>
                <w:szCs w:val="24"/>
              </w:rPr>
              <w:t>sente 180 000 ha (IC18) soit environ 20% de la surface de la Corse. Plus de 85% de la SAU sont constitués de prairies et pâturages permanents, environ 8% en cultures pérennes et 6% en terres arables.</w:t>
            </w:r>
          </w:p>
          <w:p w:rsidR="0035701C" w:rsidRDefault="00FB561B">
            <w:pPr>
              <w:spacing w:before="240" w:after="240"/>
              <w:jc w:val="left"/>
              <w:rPr>
                <w:szCs w:val="24"/>
              </w:rPr>
            </w:pPr>
            <w:r>
              <w:rPr>
                <w:szCs w:val="24"/>
              </w:rPr>
              <w:t>Les activités agricoles sont réparties sur tout le terri</w:t>
            </w:r>
            <w:r>
              <w:rPr>
                <w:szCs w:val="24"/>
              </w:rPr>
              <w:t>toire en fonction de l’altitude et des potentialités des terrains :</w:t>
            </w:r>
          </w:p>
          <w:p w:rsidR="0035701C" w:rsidRDefault="00FB561B" w:rsidP="00FB561B">
            <w:pPr>
              <w:numPr>
                <w:ilvl w:val="0"/>
                <w:numId w:val="24"/>
              </w:numPr>
              <w:spacing w:before="240" w:after="0"/>
              <w:ind w:hanging="210"/>
              <w:jc w:val="left"/>
              <w:rPr>
                <w:szCs w:val="24"/>
              </w:rPr>
            </w:pPr>
            <w:r>
              <w:rPr>
                <w:szCs w:val="24"/>
              </w:rPr>
              <w:t>en plaine, se situent préférentiellement les cultures arboricoles, fourragères et horticoles,</w:t>
            </w:r>
          </w:p>
          <w:p w:rsidR="0035701C" w:rsidRDefault="00FB561B" w:rsidP="00FB561B">
            <w:pPr>
              <w:numPr>
                <w:ilvl w:val="0"/>
                <w:numId w:val="24"/>
              </w:numPr>
              <w:spacing w:before="0" w:after="0"/>
              <w:ind w:hanging="210"/>
              <w:jc w:val="left"/>
              <w:rPr>
                <w:szCs w:val="24"/>
              </w:rPr>
            </w:pPr>
            <w:r>
              <w:rPr>
                <w:szCs w:val="24"/>
              </w:rPr>
              <w:t>en coteaux, les terroirs viticoles de qualité,</w:t>
            </w:r>
          </w:p>
          <w:p w:rsidR="0035701C" w:rsidRDefault="00FB561B" w:rsidP="00FB561B">
            <w:pPr>
              <w:numPr>
                <w:ilvl w:val="0"/>
                <w:numId w:val="24"/>
              </w:numPr>
              <w:spacing w:before="0" w:after="0"/>
              <w:ind w:hanging="210"/>
              <w:jc w:val="left"/>
              <w:rPr>
                <w:szCs w:val="24"/>
              </w:rPr>
            </w:pPr>
            <w:r>
              <w:rPr>
                <w:szCs w:val="24"/>
              </w:rPr>
              <w:t>plus en altitude, les vergers traditionnels d’o</w:t>
            </w:r>
            <w:r>
              <w:rPr>
                <w:szCs w:val="24"/>
              </w:rPr>
              <w:t>liviers et de châtaigniers, caractérisés par des peuplements d’arbres âgés et de faible densité,</w:t>
            </w:r>
          </w:p>
          <w:p w:rsidR="0035701C" w:rsidRDefault="00FB561B" w:rsidP="00FB561B">
            <w:pPr>
              <w:numPr>
                <w:ilvl w:val="0"/>
                <w:numId w:val="24"/>
              </w:numPr>
              <w:spacing w:before="0" w:after="240"/>
              <w:ind w:hanging="210"/>
              <w:jc w:val="left"/>
              <w:rPr>
                <w:szCs w:val="24"/>
              </w:rPr>
            </w:pPr>
            <w:r>
              <w:rPr>
                <w:szCs w:val="24"/>
              </w:rPr>
              <w:t>sur l'ensemble du territoire, des parcours naturels aux potentialités fourragères, une flore mellifère spécifique.</w:t>
            </w:r>
          </w:p>
          <w:p w:rsidR="0035701C" w:rsidRDefault="00FB561B">
            <w:pPr>
              <w:spacing w:before="240" w:after="240"/>
              <w:jc w:val="left"/>
              <w:rPr>
                <w:szCs w:val="24"/>
              </w:rPr>
            </w:pPr>
            <w:r>
              <w:rPr>
                <w:i/>
                <w:iCs/>
                <w:szCs w:val="24"/>
              </w:rPr>
              <w:t>La production agricole</w:t>
            </w:r>
          </w:p>
          <w:p w:rsidR="0035701C" w:rsidRDefault="00FB561B">
            <w:pPr>
              <w:spacing w:before="240" w:after="240"/>
              <w:jc w:val="left"/>
              <w:rPr>
                <w:szCs w:val="24"/>
              </w:rPr>
            </w:pPr>
            <w:r>
              <w:rPr>
                <w:szCs w:val="24"/>
              </w:rPr>
              <w:t xml:space="preserve">La production locale </w:t>
            </w:r>
            <w:r>
              <w:rPr>
                <w:szCs w:val="24"/>
              </w:rPr>
              <w:t>ne satisfait globalement qu’un tiers du marché local  (cf. figure 14 et 15).</w:t>
            </w:r>
          </w:p>
          <w:p w:rsidR="0035701C" w:rsidRDefault="00FB561B">
            <w:pPr>
              <w:spacing w:before="240" w:after="240"/>
              <w:jc w:val="left"/>
              <w:rPr>
                <w:szCs w:val="24"/>
              </w:rPr>
            </w:pPr>
            <w:r>
              <w:rPr>
                <w:i/>
                <w:iCs/>
                <w:szCs w:val="24"/>
              </w:rPr>
              <w:t>Diversité des productions insulaires :</w:t>
            </w:r>
          </w:p>
          <w:p w:rsidR="0035701C" w:rsidRDefault="00FB561B">
            <w:pPr>
              <w:spacing w:before="240" w:after="240"/>
              <w:jc w:val="left"/>
              <w:rPr>
                <w:szCs w:val="24"/>
              </w:rPr>
            </w:pPr>
            <w:r>
              <w:rPr>
                <w:szCs w:val="24"/>
              </w:rPr>
              <w:t>De l’élevage extensif de montagne aux grandes cultures de plaine, l’agriculture corse est caractérisée par sa très grande diversité. Ses pro</w:t>
            </w:r>
            <w:r>
              <w:rPr>
                <w:szCs w:val="24"/>
              </w:rPr>
              <w:t>ductions traditionnelles sont nombreuses et font partie du patrimoine de la Corse (cf. figure 16 : Nombre d’exploitation et effectif animaux ou surface par type de production).</w:t>
            </w:r>
          </w:p>
          <w:p w:rsidR="0035701C" w:rsidRDefault="00FB561B">
            <w:pPr>
              <w:spacing w:before="240" w:after="240"/>
              <w:jc w:val="left"/>
              <w:rPr>
                <w:szCs w:val="24"/>
              </w:rPr>
            </w:pPr>
            <w:r>
              <w:rPr>
                <w:szCs w:val="24"/>
              </w:rPr>
              <w:t>Bien que de volume modeste, la production de farine de châtaignes est une des p</w:t>
            </w:r>
            <w:r>
              <w:rPr>
                <w:szCs w:val="24"/>
              </w:rPr>
              <w:t>roductions emblématiques de la Corse. Ancrée dans la culture de l’île et support de nombreuses traditions, la châtaigneraie insulaire compte près de 1 200 hectares exploités par une centaine d’agriculteurs. La farine de châtaigne bénéficie d’une AOC depuis</w:t>
            </w:r>
            <w:r>
              <w:rPr>
                <w:szCs w:val="24"/>
              </w:rPr>
              <w:t xml:space="preserve"> 2006. La récolte de châtaignes est exclusivement réalisée sur des vergers anciens. L’arrivée du cynips en 2010 (hyménoptère de la famille des guêpes) menace directement la survie de la filière : la baisse de production peut atteindre 80% sur les vergers l</w:t>
            </w:r>
            <w:r>
              <w:rPr>
                <w:szCs w:val="24"/>
              </w:rPr>
              <w:t>es plus atteints.</w:t>
            </w:r>
          </w:p>
          <w:p w:rsidR="0035701C" w:rsidRDefault="00FB561B">
            <w:pPr>
              <w:spacing w:before="240" w:after="240"/>
              <w:jc w:val="left"/>
              <w:rPr>
                <w:szCs w:val="24"/>
              </w:rPr>
            </w:pPr>
            <w:r>
              <w:rPr>
                <w:szCs w:val="24"/>
              </w:rPr>
              <w:t xml:space="preserve">Les fruits et légumes sont également une filière particulièrement importante. L’essentiel de la </w:t>
            </w:r>
            <w:r>
              <w:rPr>
                <w:szCs w:val="24"/>
              </w:rPr>
              <w:lastRenderedPageBreak/>
              <w:t>commercialisation est faite localement durant la période estivale. Les surfaces de vergers de fruits d’été (abricot, cerise, pêche, nectarine,</w:t>
            </w:r>
            <w:r>
              <w:rPr>
                <w:szCs w:val="24"/>
              </w:rPr>
              <w:t xml:space="preserve"> pomme, raisin de table et prune) représentent environ 1 000 hectares pour près de 130 agriculteurs. Concernant le maraichage, près de 170 agriculteurs cultivent environ 500 hectares.</w:t>
            </w:r>
          </w:p>
          <w:p w:rsidR="0035701C" w:rsidRDefault="00FB561B">
            <w:pPr>
              <w:spacing w:before="240" w:after="240"/>
              <w:jc w:val="left"/>
              <w:rPr>
                <w:szCs w:val="24"/>
              </w:rPr>
            </w:pPr>
            <w:r>
              <w:rPr>
                <w:szCs w:val="24"/>
              </w:rPr>
              <w:t xml:space="preserve">L’olivier en Corse, comme dans le reste du bassin méditerranéen, occupe </w:t>
            </w:r>
            <w:r>
              <w:rPr>
                <w:szCs w:val="24"/>
              </w:rPr>
              <w:t xml:space="preserve">une place très importante dans l’histoire agricole. En plein renouveau, bénéficiant d’une AOC depuis 2004, les vergers d’oliviers représentent environ 2 100 hectares exploités par près de 500 agriculteurs. Une partie de ces vergers est composée d’oliviers </w:t>
            </w:r>
            <w:r>
              <w:rPr>
                <w:szCs w:val="24"/>
              </w:rPr>
              <w:t>anciens, parfois multiséculaires, véritable patrimoine vivant de l’histoire agricole de la Corse.</w:t>
            </w:r>
          </w:p>
          <w:p w:rsidR="0035701C" w:rsidRDefault="00FB561B">
            <w:pPr>
              <w:spacing w:before="240" w:after="240"/>
              <w:jc w:val="left"/>
              <w:rPr>
                <w:szCs w:val="24"/>
              </w:rPr>
            </w:pPr>
            <w:r>
              <w:rPr>
                <w:szCs w:val="24"/>
              </w:rPr>
              <w:t>La Corse est la principale région productrice d’agrumes de France métropolitaine, avec près de 2 000 hectares exploités par plus de 200 agriculteurs. Les deux</w:t>
            </w:r>
            <w:r>
              <w:rPr>
                <w:szCs w:val="24"/>
              </w:rPr>
              <w:t xml:space="preserve"> productions agrumicoles majeures sont la clémentine et le pomelo. Les surfaces de vergers d’orangers et de citronniers sont plus confidentielles. Sur des surfaces plus modestes (environ 300 ha), la Corse est également productrice de kiwis. L’essentiel de </w:t>
            </w:r>
            <w:r>
              <w:rPr>
                <w:szCs w:val="24"/>
              </w:rPr>
              <w:t>la production est expédiée vers la France continentale.</w:t>
            </w:r>
          </w:p>
          <w:p w:rsidR="0035701C" w:rsidRDefault="00FB561B">
            <w:pPr>
              <w:spacing w:before="240" w:after="240"/>
              <w:jc w:val="left"/>
              <w:rPr>
                <w:szCs w:val="24"/>
              </w:rPr>
            </w:pPr>
            <w:r>
              <w:rPr>
                <w:szCs w:val="24"/>
              </w:rPr>
              <w:t>La vigne est la principale production agricole de l’île. Bénéficiant de 8 AOC réparties sur l’ensemble de la Corse, la vigne est cultivée sur plus de 6 500 hectares par plus de 250 viticulteurs. La su</w:t>
            </w:r>
            <w:r>
              <w:rPr>
                <w:szCs w:val="24"/>
              </w:rPr>
              <w:t>rface déclarée en AOC représente 60% du vignoble. Orientés vers la qualité et le terroir, les vins de Corse sont commercialisés essentiellement localement mais l’expédition représente également un débouché très important.</w:t>
            </w:r>
          </w:p>
          <w:p w:rsidR="0035701C" w:rsidRDefault="00FB561B">
            <w:pPr>
              <w:spacing w:before="240" w:after="240"/>
              <w:jc w:val="left"/>
              <w:rPr>
                <w:szCs w:val="24"/>
              </w:rPr>
            </w:pPr>
            <w:r>
              <w:rPr>
                <w:szCs w:val="24"/>
              </w:rPr>
              <w:t>La Corse est la première région fr</w:t>
            </w:r>
            <w:r>
              <w:rPr>
                <w:szCs w:val="24"/>
              </w:rPr>
              <w:t>ançaise productrice d’amandes. L’essentiel de la production est expédié en France continentale. On compte environ 70 agriculteurs pour près de 550 hectares.</w:t>
            </w:r>
          </w:p>
          <w:p w:rsidR="0035701C" w:rsidRDefault="00FB561B">
            <w:pPr>
              <w:spacing w:before="240" w:after="240"/>
              <w:jc w:val="left"/>
              <w:rPr>
                <w:szCs w:val="24"/>
              </w:rPr>
            </w:pPr>
            <w:r>
              <w:rPr>
                <w:szCs w:val="24"/>
              </w:rPr>
              <w:t>Bien que de production modeste, la culture de la noisette est également à citer. On recense en effe</w:t>
            </w:r>
            <w:r>
              <w:rPr>
                <w:szCs w:val="24"/>
              </w:rPr>
              <w:t>t en Corse une trentaine d’exploitants pour une surface d’environ 80 hectares.</w:t>
            </w:r>
          </w:p>
          <w:p w:rsidR="0035701C" w:rsidRDefault="00FB561B">
            <w:pPr>
              <w:spacing w:before="240" w:after="240"/>
              <w:jc w:val="left"/>
              <w:rPr>
                <w:szCs w:val="24"/>
              </w:rPr>
            </w:pPr>
            <w:r>
              <w:rPr>
                <w:szCs w:val="24"/>
              </w:rPr>
              <w:t xml:space="preserve">La production de Plantes à Parfum, Aromatiques et Médicinales de Corse est également remarquable. Celle-ci, exclusivement certifiée en Agriculture Biologique, est surtout </w:t>
            </w:r>
            <w:r>
              <w:rPr>
                <w:szCs w:val="24"/>
              </w:rPr>
              <w:t>orientée vers le marché de l’aromathérapie. Toutefois, la qualité spécifique des huiles essentielles corses intéresse de plus en plus les industries cosmétiques. On compte une vingtaine de producteurs, pour environ 90 hectares de cultures.</w:t>
            </w:r>
          </w:p>
          <w:p w:rsidR="0035701C" w:rsidRDefault="00FB561B">
            <w:pPr>
              <w:spacing w:before="240" w:after="240"/>
              <w:jc w:val="left"/>
              <w:rPr>
                <w:szCs w:val="24"/>
              </w:rPr>
            </w:pPr>
            <w:r>
              <w:rPr>
                <w:szCs w:val="24"/>
              </w:rPr>
              <w:t>Pour les activit</w:t>
            </w:r>
            <w:r>
              <w:rPr>
                <w:szCs w:val="24"/>
              </w:rPr>
              <w:t>és d’élevage, l’apiculture, l’élevage bovin, ovin, caprin, porcin et équin sont pratiqués en Corse. Pour chacun de ces élevages, une race rustique spécifique à la Corse est présente. Bien adaptées à leur biotope, celles-ci peuvent également être une source</w:t>
            </w:r>
            <w:r>
              <w:rPr>
                <w:szCs w:val="24"/>
              </w:rPr>
              <w:t xml:space="preserve"> de meilleure valorisation par la différenciation des productions (en étant notamment le support d’indication géographique). Si une partie du fourrage nécessaire à l’élevage est produit localement, une part importante est issue de la production continental</w:t>
            </w:r>
            <w:r>
              <w:rPr>
                <w:szCs w:val="24"/>
              </w:rPr>
              <w:t>e.</w:t>
            </w:r>
          </w:p>
          <w:p w:rsidR="0035701C" w:rsidRDefault="00FB561B">
            <w:pPr>
              <w:spacing w:before="240" w:after="240"/>
              <w:jc w:val="left"/>
              <w:rPr>
                <w:szCs w:val="24"/>
              </w:rPr>
            </w:pPr>
            <w:r>
              <w:rPr>
                <w:szCs w:val="24"/>
              </w:rPr>
              <w:t>L’AOC Miel de Corse est composée d’une gamme de six miels. Plus de 150 apiculteurs récoltent un peu moins de 15 000 ruches. Une des particularités de l’apiculture corse est l’utilisation par des abeilles endémiques de la végétation naturelle spontanée.</w:t>
            </w:r>
          </w:p>
          <w:p w:rsidR="0035701C" w:rsidRDefault="00FB561B">
            <w:pPr>
              <w:spacing w:before="240" w:after="240"/>
              <w:jc w:val="left"/>
              <w:rPr>
                <w:szCs w:val="24"/>
              </w:rPr>
            </w:pPr>
            <w:r>
              <w:rPr>
                <w:szCs w:val="24"/>
              </w:rPr>
              <w:t>L’élevage extensif est une composante très importante de l’agriculture insulaire. Il concerne essentiellement l’élevage bovin et caprin (dans une moindre mesure l’élevage ovin et porcin). L’élevage extensif se caractérise par une utilisation de la ressourc</w:t>
            </w:r>
            <w:r>
              <w:rPr>
                <w:szCs w:val="24"/>
              </w:rPr>
              <w:t>e naturelle spontanée, sur des surfaces très importantes et sur tous types de couvert (estive, prairie, landes, parcours, chênaie, châtaigneraie…).</w:t>
            </w:r>
          </w:p>
          <w:p w:rsidR="0035701C" w:rsidRDefault="00FB561B">
            <w:pPr>
              <w:spacing w:before="240" w:after="240"/>
              <w:jc w:val="left"/>
              <w:rPr>
                <w:szCs w:val="24"/>
              </w:rPr>
            </w:pPr>
            <w:r>
              <w:rPr>
                <w:szCs w:val="24"/>
              </w:rPr>
              <w:t xml:space="preserve">En Corse, seul l’élevage de bovins allaitant est pratiqué. Le cheptel corse comprend environ 70 000 UGB et </w:t>
            </w:r>
            <w:r>
              <w:rPr>
                <w:szCs w:val="24"/>
              </w:rPr>
              <w:lastRenderedPageBreak/>
              <w:t>p</w:t>
            </w:r>
            <w:r>
              <w:rPr>
                <w:szCs w:val="24"/>
              </w:rPr>
              <w:t>our près de 1000 agriculteurs. C’est l’activité agricole la plus présente sur les exploitations agricoles de Corse. Cet élevage est présent sur l’ensemble de l’ile : des élevages extensifs de montagne aux ateliers de plaine avec production de fourrage et c</w:t>
            </w:r>
            <w:r>
              <w:rPr>
                <w:szCs w:val="24"/>
              </w:rPr>
              <w:t>éréales.</w:t>
            </w:r>
          </w:p>
          <w:p w:rsidR="0035701C" w:rsidRDefault="00FB561B">
            <w:pPr>
              <w:spacing w:before="240" w:after="240"/>
              <w:jc w:val="left"/>
              <w:rPr>
                <w:szCs w:val="24"/>
              </w:rPr>
            </w:pPr>
            <w:r>
              <w:rPr>
                <w:szCs w:val="24"/>
              </w:rPr>
              <w:t>L’élevage de brebis et chèvres laitières est particulièrement important en Corse. Le fromage est un élément marquant de la tradition agro pastorale corse. Actuellement, l’élevage ovin partage avec l’élevage caprin une AOC sur le Broccio, fromage d</w:t>
            </w:r>
            <w:r>
              <w:rPr>
                <w:szCs w:val="24"/>
              </w:rPr>
              <w:t>e lactosérum. Des démarches sont en cours pour faire reconnaitre d’autres types de fromages.</w:t>
            </w:r>
          </w:p>
          <w:p w:rsidR="0035701C" w:rsidRDefault="00FB561B">
            <w:pPr>
              <w:spacing w:before="240" w:after="240"/>
              <w:jc w:val="left"/>
              <w:rPr>
                <w:szCs w:val="24"/>
              </w:rPr>
            </w:pPr>
            <w:r>
              <w:rPr>
                <w:szCs w:val="24"/>
              </w:rPr>
              <w:t>L’élevage caprin est essentiellement extensif et la dynamique d’installation est importante. Seul l’élevage laitier est pratiqué et la vente de cabris destinés à l</w:t>
            </w:r>
            <w:r>
              <w:rPr>
                <w:szCs w:val="24"/>
              </w:rPr>
              <w:t>’alimentation ne représente qu’une faible part du revenu des exploitations. La majeure partie du lait est transformée à la ferme. Environ 260 agriculteurs élèvent un peu plus de 31 000 chèvres.</w:t>
            </w:r>
          </w:p>
          <w:p w:rsidR="0035701C" w:rsidRDefault="00FB561B">
            <w:pPr>
              <w:spacing w:before="240" w:after="240"/>
              <w:jc w:val="left"/>
              <w:rPr>
                <w:szCs w:val="24"/>
              </w:rPr>
            </w:pPr>
            <w:r>
              <w:rPr>
                <w:szCs w:val="24"/>
              </w:rPr>
              <w:t>L’élevage ovin en Corse est également essentiellement laitier.</w:t>
            </w:r>
            <w:r>
              <w:rPr>
                <w:szCs w:val="24"/>
              </w:rPr>
              <w:t xml:space="preserve"> Si la majeure partie du lait est livré à l’industrie fromagère de l’île, une part importante est transformée à la ferme. Les élevages sont plus spécifiquement situés en plaine et piémont. Environ 92 000 brebis sont élevées par près de 500 agriculteurs.</w:t>
            </w:r>
          </w:p>
          <w:p w:rsidR="0035701C" w:rsidRDefault="00FB561B">
            <w:pPr>
              <w:spacing w:before="240" w:after="240"/>
              <w:jc w:val="left"/>
              <w:rPr>
                <w:szCs w:val="24"/>
              </w:rPr>
            </w:pPr>
            <w:r>
              <w:rPr>
                <w:szCs w:val="24"/>
              </w:rPr>
              <w:t>Bi</w:t>
            </w:r>
            <w:r>
              <w:rPr>
                <w:szCs w:val="24"/>
              </w:rPr>
              <w:t>en que traditionnel, l’élevage porcin, destiné à la production de charcuterie sèche est encore peu présent en Corse (292 exploitations pour 22 000 porcins). Mais une AOC récente sur les produits les plus emblématiques du porc Nustrale (coppe, lonzi et pris</w:t>
            </w:r>
            <w:r>
              <w:rPr>
                <w:szCs w:val="24"/>
              </w:rPr>
              <w:t>utti) laisse présager une évolution positive. L’élevage porcin corse est essentiellement un élevage de plein air extensif, le plus souvent avec une valorisation du parcours par les animaux (glands, châtaignes).</w:t>
            </w:r>
          </w:p>
          <w:p w:rsidR="0035701C" w:rsidRDefault="00FB561B">
            <w:pPr>
              <w:spacing w:before="240" w:after="240"/>
              <w:jc w:val="left"/>
              <w:rPr>
                <w:szCs w:val="24"/>
              </w:rPr>
            </w:pPr>
            <w:r>
              <w:rPr>
                <w:szCs w:val="24"/>
              </w:rPr>
              <w:t>Les productions laitières et charcutières cor</w:t>
            </w:r>
            <w:r>
              <w:rPr>
                <w:szCs w:val="24"/>
              </w:rPr>
              <w:t>ses ne suffisent pas à répondre à la demande locale.</w:t>
            </w:r>
          </w:p>
          <w:p w:rsidR="0035701C" w:rsidRDefault="00FB561B">
            <w:pPr>
              <w:spacing w:before="240" w:after="240"/>
              <w:jc w:val="left"/>
              <w:rPr>
                <w:szCs w:val="24"/>
              </w:rPr>
            </w:pPr>
            <w:r>
              <w:rPr>
                <w:szCs w:val="24"/>
              </w:rPr>
              <w:t>Les exploitations agricoles corses détiennent également un nombre important d’équidés. En effet, plus de 400 exploitations sont détentrices d’équins en Corse pour plus de 2 000 équidés au total. Ils sont</w:t>
            </w:r>
            <w:r>
              <w:rPr>
                <w:szCs w:val="24"/>
              </w:rPr>
              <w:t xml:space="preserve"> essentiellement destinés à un usage de loisir, mais une part non négligeable est également utilisée pour l’agriculture (sur des sentiers non praticables avec des véhicules motorisés).</w:t>
            </w:r>
          </w:p>
          <w:p w:rsidR="0035701C" w:rsidRDefault="00FB561B">
            <w:pPr>
              <w:spacing w:before="240" w:after="240"/>
              <w:jc w:val="left"/>
              <w:rPr>
                <w:szCs w:val="24"/>
              </w:rPr>
            </w:pPr>
            <w:r>
              <w:rPr>
                <w:szCs w:val="24"/>
              </w:rPr>
              <w:t>Avec une part de la SAU de 3.7% (IC19 ; contre 2.66% en France), l’Agri</w:t>
            </w:r>
            <w:r>
              <w:rPr>
                <w:szCs w:val="24"/>
              </w:rPr>
              <w:t>culture Biologique se porte particulièrement bien en Corse. Depuis 2007, on note une réelle dynamique de conversion sur l’ile. Quasiment l’ensemble des productions insulaires sont représentées.</w:t>
            </w:r>
          </w:p>
          <w:p w:rsidR="0035701C" w:rsidRDefault="00FB561B">
            <w:pPr>
              <w:spacing w:before="240" w:after="240"/>
              <w:jc w:val="left"/>
              <w:rPr>
                <w:szCs w:val="24"/>
              </w:rPr>
            </w:pPr>
            <w:r>
              <w:rPr>
                <w:szCs w:val="24"/>
              </w:rPr>
              <w:t xml:space="preserve">En Corse, 4 exploitations sur 10 sont engagées dans une </w:t>
            </w:r>
            <w:r>
              <w:rPr>
                <w:szCs w:val="24"/>
              </w:rPr>
              <w:t>production sous signe officiel de qualité (AOC/AOP, IGP, Label Rouge ou agriculture biologique). Outres les produits déjà certifiés (figure 17) de nombreuse démarches sont en cours (fruits, charcuteries, fromages, viandes…). La part des productions sous si</w:t>
            </w:r>
            <w:r>
              <w:rPr>
                <w:szCs w:val="24"/>
              </w:rPr>
              <w:t>gne de qualité ne cesse d’augmenter, notamment pour l’AB.</w:t>
            </w:r>
          </w:p>
          <w:p w:rsidR="0035701C" w:rsidRDefault="00FB561B">
            <w:pPr>
              <w:spacing w:before="240" w:after="240"/>
              <w:jc w:val="left"/>
              <w:rPr>
                <w:szCs w:val="24"/>
              </w:rPr>
            </w:pPr>
            <w:r>
              <w:rPr>
                <w:szCs w:val="24"/>
              </w:rPr>
              <w:t>La diversité des productions implique un effort de recherche et développement continu dans la zone de programmation, en particulier autour des pôles de compétences de recherche (Corsic’agropole pour</w:t>
            </w:r>
            <w:r>
              <w:rPr>
                <w:szCs w:val="24"/>
              </w:rPr>
              <w:t xml:space="preserve"> les filières végétales et pôle d’Altiani pour l’élevage).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La population agricole insulaire :</w:t>
            </w:r>
          </w:p>
          <w:p w:rsidR="0035701C" w:rsidRDefault="00FB561B">
            <w:pPr>
              <w:spacing w:before="240" w:after="240"/>
              <w:jc w:val="left"/>
              <w:rPr>
                <w:szCs w:val="24"/>
              </w:rPr>
            </w:pPr>
            <w:r>
              <w:rPr>
                <w:szCs w:val="24"/>
              </w:rPr>
              <w:t xml:space="preserve">La population agricole corse est vieillissante, en effet, plus de 90% des chefs d’exploitations agricoles ont </w:t>
            </w:r>
            <w:r>
              <w:rPr>
                <w:szCs w:val="24"/>
              </w:rPr>
              <w:lastRenderedPageBreak/>
              <w:t>plus de 35 ans (IC23). Parmi les agriculteurs de p</w:t>
            </w:r>
            <w:r>
              <w:rPr>
                <w:szCs w:val="24"/>
              </w:rPr>
              <w:t>lus de 70 ans, on peut observer une sur représentation des exploitations en viticulture et arboriculture (RA 2010).</w:t>
            </w:r>
          </w:p>
          <w:p w:rsidR="0035701C" w:rsidRDefault="00FB561B">
            <w:pPr>
              <w:spacing w:before="240" w:after="240"/>
              <w:jc w:val="left"/>
              <w:rPr>
                <w:szCs w:val="24"/>
              </w:rPr>
            </w:pPr>
            <w:r>
              <w:rPr>
                <w:szCs w:val="24"/>
              </w:rPr>
              <w:t xml:space="preserve">Les successions sont également incertaines, chez les plus de 50 ans, près de 70% ne connaissent pas leur successeur (RA 2010). La formation </w:t>
            </w:r>
            <w:r>
              <w:rPr>
                <w:szCs w:val="24"/>
              </w:rPr>
              <w:t>des chefs d’exploitation est également préoccupante. En effet, environ 32 % des exploitants ont une formation élémentaire et complète en agriculture, contre plus de 50% au niveau national (IC 24).</w:t>
            </w:r>
          </w:p>
          <w:p w:rsidR="0035701C" w:rsidRDefault="00FB561B">
            <w:pPr>
              <w:spacing w:before="240" w:after="240"/>
              <w:jc w:val="left"/>
              <w:rPr>
                <w:szCs w:val="24"/>
              </w:rPr>
            </w:pPr>
            <w:r>
              <w:rPr>
                <w:szCs w:val="24"/>
              </w:rPr>
              <w:t>Si la Corse installe en moyenne une quarantaine de jeunes a</w:t>
            </w:r>
            <w:r>
              <w:rPr>
                <w:szCs w:val="24"/>
              </w:rPr>
              <w:t>griculteurs par an (dont un tiers de femme), ce n’est pas suffisant pour assurer le renouvellement des générations (IS  5) : le nombre global d’agriculteurs diminue. L’âge moyen des agriculteurs corses est supérieur à la moyenne nationale (IC23). Les enjeu</w:t>
            </w:r>
            <w:r>
              <w:rPr>
                <w:szCs w:val="24"/>
              </w:rPr>
              <w:t>x de l’installation en Corse s’expriment tant en terme de renouvellement des générations, que d’occupation de l’espace et du maintien d’un taille économique suffisante de l’agriculture insulaire.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L’installation agricole</w:t>
            </w:r>
          </w:p>
          <w:p w:rsidR="0035701C" w:rsidRDefault="00FB561B">
            <w:pPr>
              <w:spacing w:before="240" w:after="240"/>
              <w:jc w:val="left"/>
              <w:rPr>
                <w:szCs w:val="24"/>
              </w:rPr>
            </w:pPr>
            <w:r>
              <w:rPr>
                <w:szCs w:val="24"/>
              </w:rPr>
              <w:t>Les effectifs d’exploitants agrico</w:t>
            </w:r>
            <w:r>
              <w:rPr>
                <w:szCs w:val="24"/>
              </w:rPr>
              <w:t>les ont subi une baisse continue depuis plusieurs décennies. Cette évolution est à mettre en relation avec la déprise rurale, et notamment de l’intérieur de la Corse qui se confond avec la montagne (cf. figure 18).</w:t>
            </w:r>
          </w:p>
          <w:p w:rsidR="0035701C" w:rsidRDefault="00FB561B">
            <w:pPr>
              <w:spacing w:before="240" w:after="240"/>
              <w:jc w:val="left"/>
              <w:rPr>
                <w:szCs w:val="24"/>
              </w:rPr>
            </w:pPr>
            <w:r>
              <w:rPr>
                <w:szCs w:val="24"/>
              </w:rPr>
              <w:t>Cette diminution traduit à la fois des di</w:t>
            </w:r>
            <w:r>
              <w:rPr>
                <w:szCs w:val="24"/>
              </w:rPr>
              <w:t>fficultés à transmettre des structures d’exploitations peu capitalisées, et à renouveler le public de nouveaux agriculteurs. Ces phénomènes étant eux-mêmes la conséquence de l’évolution socio-économique de la Corse et des perspectives propres au secteur ag</w:t>
            </w:r>
            <w:r>
              <w:rPr>
                <w:szCs w:val="24"/>
              </w:rPr>
              <w:t>ricole au cours du temps.</w:t>
            </w:r>
          </w:p>
          <w:p w:rsidR="0035701C" w:rsidRDefault="00FB561B">
            <w:pPr>
              <w:spacing w:before="240" w:after="240"/>
              <w:jc w:val="left"/>
              <w:rPr>
                <w:szCs w:val="24"/>
              </w:rPr>
            </w:pPr>
            <w:r>
              <w:rPr>
                <w:szCs w:val="24"/>
              </w:rPr>
              <w:t>Environ 20% de la population agricole se situent dans la tranche d’âge des plus de 60 ans contre 20% qui ont moins de 40 ans. En relation avec la pyramide des âges, une part significative d’actifs est susceptible de mettre un term</w:t>
            </w:r>
            <w:r>
              <w:rPr>
                <w:szCs w:val="24"/>
              </w:rPr>
              <w:t>e à son activité dans les prochaines années.</w:t>
            </w:r>
          </w:p>
          <w:p w:rsidR="0035701C" w:rsidRDefault="00FB561B">
            <w:pPr>
              <w:spacing w:before="240" w:after="240"/>
              <w:jc w:val="left"/>
              <w:rPr>
                <w:szCs w:val="24"/>
              </w:rPr>
            </w:pPr>
            <w:r>
              <w:rPr>
                <w:szCs w:val="24"/>
              </w:rPr>
              <w:t>Le principal moyen permettant d’accompagner le renouvellement du public agricole, était constitué jusqu’à récemment par l’octroi d’une Dotation de Jeune Agriculteur dans le cadre de règles communautaires et nati</w:t>
            </w:r>
            <w:r>
              <w:rPr>
                <w:szCs w:val="24"/>
              </w:rPr>
              <w:t>onales spécifiques.</w:t>
            </w:r>
          </w:p>
          <w:p w:rsidR="0035701C" w:rsidRDefault="00FB561B">
            <w:pPr>
              <w:spacing w:before="240" w:after="240"/>
              <w:jc w:val="left"/>
              <w:rPr>
                <w:szCs w:val="24"/>
              </w:rPr>
            </w:pPr>
            <w:r>
              <w:rPr>
                <w:szCs w:val="24"/>
              </w:rPr>
              <w:t>La CTC gère depuis 2007 en tant qu’Autorité de Gestion du PDRC, le processus de dotation d’installation en Corse.</w:t>
            </w:r>
          </w:p>
          <w:p w:rsidR="0035701C" w:rsidRDefault="00FB561B">
            <w:pPr>
              <w:spacing w:before="240" w:after="240"/>
              <w:jc w:val="left"/>
              <w:rPr>
                <w:szCs w:val="24"/>
              </w:rPr>
            </w:pPr>
            <w:r>
              <w:rPr>
                <w:szCs w:val="24"/>
              </w:rPr>
              <w:t>Ainsi, sur la période de programmation précédente de 2008 à 2013; 245 projets d’installation de jeunes agriculteurs ont ét</w:t>
            </w:r>
            <w:r>
              <w:rPr>
                <w:szCs w:val="24"/>
              </w:rPr>
              <w:t>é validés (cf. figure 19. NB : l’année 2007 les installations ont été comptabilisées au titre de la programmation précédente), ceci avec une augmentation constante sur la période.</w:t>
            </w:r>
          </w:p>
          <w:p w:rsidR="0035701C" w:rsidRDefault="00FB561B">
            <w:pPr>
              <w:spacing w:before="240" w:after="240"/>
              <w:jc w:val="left"/>
              <w:rPr>
                <w:szCs w:val="24"/>
              </w:rPr>
            </w:pPr>
            <w:r>
              <w:rPr>
                <w:szCs w:val="24"/>
              </w:rPr>
              <w:t>Cet accompagnement est à mettre en relation avec le nombre d’exploitations a</w:t>
            </w:r>
            <w:r>
              <w:rPr>
                <w:szCs w:val="24"/>
              </w:rPr>
              <w:t>gricoles en Corse qui s’établit à 2830 (IC17).</w:t>
            </w:r>
          </w:p>
          <w:p w:rsidR="0035701C" w:rsidRDefault="00FB561B">
            <w:pPr>
              <w:spacing w:before="240" w:after="240"/>
              <w:jc w:val="left"/>
              <w:rPr>
                <w:szCs w:val="24"/>
              </w:rPr>
            </w:pPr>
            <w:r>
              <w:rPr>
                <w:szCs w:val="24"/>
              </w:rPr>
              <w:t>La moyenne d’âge des jeunes installés sur la période 2007-2013 est de 31 ans (cf. figure 20).</w:t>
            </w:r>
          </w:p>
          <w:p w:rsidR="0035701C" w:rsidRDefault="00FB561B">
            <w:pPr>
              <w:spacing w:before="240" w:after="240"/>
              <w:jc w:val="left"/>
              <w:rPr>
                <w:szCs w:val="24"/>
              </w:rPr>
            </w:pPr>
            <w:r>
              <w:rPr>
                <w:szCs w:val="24"/>
              </w:rPr>
              <w:t>Plus de 80% des jeunes installés ont un niveau de formation de niveau IV ou inférieur. Ainsi le niveau de formation</w:t>
            </w:r>
            <w:r>
              <w:rPr>
                <w:szCs w:val="24"/>
              </w:rPr>
              <w:t xml:space="preserve"> initiale se répartit de la façon suivante (cf. figure 21).</w:t>
            </w:r>
          </w:p>
          <w:p w:rsidR="0035701C" w:rsidRDefault="00FB561B">
            <w:pPr>
              <w:spacing w:before="240" w:after="240"/>
              <w:jc w:val="left"/>
              <w:rPr>
                <w:szCs w:val="24"/>
              </w:rPr>
            </w:pPr>
            <w:r>
              <w:rPr>
                <w:szCs w:val="24"/>
              </w:rPr>
              <w:t xml:space="preserve">Les deux tiers des jeunes installés ont mené leur projet sur 1 seul atelier de production (64%), un tiers est en </w:t>
            </w:r>
            <w:r>
              <w:rPr>
                <w:szCs w:val="24"/>
              </w:rPr>
              <w:lastRenderedPageBreak/>
              <w:t>poly-activité (31% sur 2 ateliers, 4% sur 3 ateliers).</w:t>
            </w:r>
          </w:p>
          <w:p w:rsidR="0035701C" w:rsidRDefault="00FB561B">
            <w:pPr>
              <w:spacing w:before="240" w:after="240"/>
              <w:jc w:val="left"/>
              <w:rPr>
                <w:szCs w:val="24"/>
              </w:rPr>
            </w:pPr>
            <w:r>
              <w:rPr>
                <w:szCs w:val="24"/>
              </w:rPr>
              <w:t xml:space="preserve">Les installations se font à </w:t>
            </w:r>
            <w:r>
              <w:rPr>
                <w:szCs w:val="24"/>
              </w:rPr>
              <w:t>97% en activité principale contre 3% en activité secondaire. Il s’agit majoritairement de création nouvelle à 78%, pour 22% de reprise d’exploitation.</w:t>
            </w:r>
          </w:p>
          <w:p w:rsidR="0035701C" w:rsidRDefault="00FB561B">
            <w:pPr>
              <w:spacing w:before="240" w:after="240"/>
              <w:jc w:val="left"/>
              <w:rPr>
                <w:szCs w:val="24"/>
              </w:rPr>
            </w:pPr>
            <w:r>
              <w:rPr>
                <w:szCs w:val="24"/>
              </w:rPr>
              <w:t>La répartition géographique des nouvelles exploitations semble démontrer une moins grande opportunité dan</w:t>
            </w:r>
            <w:r>
              <w:rPr>
                <w:szCs w:val="24"/>
              </w:rPr>
              <w:t>s les zones de montagne (cf. figure 22).</w:t>
            </w:r>
          </w:p>
          <w:p w:rsidR="0035701C" w:rsidRDefault="00FB561B">
            <w:pPr>
              <w:spacing w:before="240" w:after="240"/>
              <w:jc w:val="left"/>
              <w:rPr>
                <w:szCs w:val="24"/>
              </w:rPr>
            </w:pPr>
            <w:r>
              <w:rPr>
                <w:szCs w:val="24"/>
              </w:rPr>
              <w:t>Les installations relevées sur la période 2007-2013 se situent majoritairement sur des ateliers d’élevage. Elles traduisent également des singularités pas nécessairement en relation avec la dynamique de production d</w:t>
            </w:r>
            <w:r>
              <w:rPr>
                <w:szCs w:val="24"/>
              </w:rPr>
              <w:t>es secteurs considérés. On peut relever par exemple la faiblesse de nouvelles installations en agrumiculture ou à contrario des demandes plus importantes sur les filières caprine et porcine (cf. figure 23).</w:t>
            </w:r>
          </w:p>
          <w:p w:rsidR="0035701C" w:rsidRDefault="00FB561B">
            <w:pPr>
              <w:spacing w:before="240" w:after="240"/>
              <w:jc w:val="left"/>
              <w:rPr>
                <w:szCs w:val="24"/>
              </w:rPr>
            </w:pPr>
            <w:r>
              <w:rPr>
                <w:szCs w:val="24"/>
              </w:rPr>
              <w:t>La SAU totale de ces projets représente 15.534 ha</w:t>
            </w:r>
            <w:r>
              <w:rPr>
                <w:szCs w:val="24"/>
              </w:rPr>
              <w:t xml:space="preserve"> dont 3591 ha de Surface Fourragère Principale (SFP) à comparer avec les 180 000ha de SAU (IC18)</w:t>
            </w:r>
          </w:p>
          <w:p w:rsidR="0035701C" w:rsidRDefault="00FB561B">
            <w:pPr>
              <w:spacing w:before="240" w:after="240"/>
              <w:jc w:val="left"/>
              <w:rPr>
                <w:szCs w:val="24"/>
              </w:rPr>
            </w:pPr>
            <w:r>
              <w:rPr>
                <w:szCs w:val="24"/>
              </w:rPr>
              <w:t>Plus de la moitié des jeunes installés associe production et première transformation (cf. figure 24).</w:t>
            </w:r>
          </w:p>
          <w:p w:rsidR="0035701C" w:rsidRDefault="00FB561B">
            <w:pPr>
              <w:spacing w:before="240" w:after="240"/>
              <w:jc w:val="left"/>
              <w:rPr>
                <w:szCs w:val="24"/>
              </w:rPr>
            </w:pPr>
            <w:r>
              <w:rPr>
                <w:szCs w:val="24"/>
              </w:rPr>
              <w:t>Moins d’un tiers des projets d’installation a recours à u</w:t>
            </w:r>
            <w:r>
              <w:rPr>
                <w:szCs w:val="24"/>
              </w:rPr>
              <w:t>n emprunt pour financer les investissements nécessaires à leurs activités (cf. figure 25).</w:t>
            </w:r>
          </w:p>
          <w:p w:rsidR="0035701C" w:rsidRDefault="00FB561B">
            <w:pPr>
              <w:spacing w:before="240" w:after="240"/>
              <w:jc w:val="left"/>
              <w:rPr>
                <w:szCs w:val="24"/>
              </w:rPr>
            </w:pPr>
            <w:r>
              <w:rPr>
                <w:szCs w:val="24"/>
              </w:rPr>
              <w:t>La typologie des projets des jeunes agriculteurs soutenus sur la période montre une prépondérance en nombre des dossiers d’aide en matériel. En termes de volume fina</w:t>
            </w:r>
            <w:r>
              <w:rPr>
                <w:szCs w:val="24"/>
              </w:rPr>
              <w:t>ncier sur les 14,9 M€ d’aide mobilisée, les opérations en bâtiment arrivent à un niveau comparable à celui des matériels ; les opérations de mise en valeur des parcelles agricoles (plantation de nouveaux terrain, aménagement de parcelle, rénovation et rest</w:t>
            </w:r>
            <w:r>
              <w:rPr>
                <w:szCs w:val="24"/>
              </w:rPr>
              <w:t>ructuration de verger, requalification des parcours d’élevage, mise en place d’irrigation…) étant les moins mobilisées (cf. figure 26).</w:t>
            </w:r>
          </w:p>
          <w:p w:rsidR="0035701C" w:rsidRDefault="00FB561B">
            <w:pPr>
              <w:spacing w:before="240" w:after="240"/>
              <w:jc w:val="left"/>
              <w:rPr>
                <w:szCs w:val="24"/>
              </w:rPr>
            </w:pPr>
            <w:r>
              <w:rPr>
                <w:i/>
                <w:iCs/>
                <w:szCs w:val="24"/>
              </w:rPr>
              <w:t>Diversification agricole</w:t>
            </w:r>
          </w:p>
          <w:p w:rsidR="0035701C" w:rsidRDefault="00FB561B">
            <w:pPr>
              <w:spacing w:before="240" w:after="240"/>
              <w:jc w:val="left"/>
              <w:rPr>
                <w:szCs w:val="24"/>
              </w:rPr>
            </w:pPr>
            <w:r>
              <w:rPr>
                <w:szCs w:val="24"/>
              </w:rPr>
              <w:t xml:space="preserve">La taille économique des exploitations agricoles corses est particulièrement faible (IC 17). </w:t>
            </w:r>
            <w:r>
              <w:rPr>
                <w:szCs w:val="24"/>
              </w:rPr>
              <w:t>Ainsi, la diversification apparait comme un des moyens d’augmenter le revenu du ménage agricole. La diversification profite également des synergies entre tourisme et agriculture (vente directe, hébergement touristique…).</w:t>
            </w:r>
          </w:p>
          <w:p w:rsidR="0035701C" w:rsidRDefault="00FB561B">
            <w:pPr>
              <w:spacing w:before="240" w:after="240"/>
              <w:jc w:val="left"/>
              <w:rPr>
                <w:szCs w:val="24"/>
              </w:rPr>
            </w:pPr>
            <w:r>
              <w:rPr>
                <w:szCs w:val="24"/>
              </w:rPr>
              <w:t>L’agroalimentaire</w:t>
            </w:r>
          </w:p>
          <w:p w:rsidR="0035701C" w:rsidRDefault="00FB561B">
            <w:pPr>
              <w:spacing w:before="240" w:after="240"/>
              <w:jc w:val="left"/>
              <w:rPr>
                <w:szCs w:val="24"/>
              </w:rPr>
            </w:pPr>
            <w:r>
              <w:rPr>
                <w:szCs w:val="24"/>
              </w:rPr>
              <w:t>Dans un tissu ind</w:t>
            </w:r>
            <w:r>
              <w:rPr>
                <w:szCs w:val="24"/>
              </w:rPr>
              <w:t>ustriel restreint, l’agroalimentaire constitue la première activité industrielle de Corse. Ses entreprises réalisent ainsi 45% du chiffre d’affaire du secteur de l’industrie. Cette proportion est deux fois plus importante qu’au niveau national. Au 1er janv</w:t>
            </w:r>
            <w:r>
              <w:rPr>
                <w:szCs w:val="24"/>
              </w:rPr>
              <w:t>ier 2010, 645 structures appartiennent aux IAA. L'activité la plus représentée est la boulangerie, regroupant 365 établissements (Figure 27 : Répartition des établissements IAA, employeurs ou non en Corse selon l'activité principale de l'établissement).</w:t>
            </w:r>
          </w:p>
          <w:p w:rsidR="0035701C" w:rsidRDefault="00FB561B">
            <w:pPr>
              <w:spacing w:before="240" w:after="240"/>
              <w:jc w:val="left"/>
              <w:rPr>
                <w:szCs w:val="24"/>
              </w:rPr>
            </w:pPr>
            <w:r>
              <w:rPr>
                <w:szCs w:val="24"/>
              </w:rPr>
              <w:t>En</w:t>
            </w:r>
            <w:r>
              <w:rPr>
                <w:szCs w:val="24"/>
              </w:rPr>
              <w:t xml:space="preserve"> Corse, l'activité agroalimentaire hors boulangerie compte plus de 200 entreprises en 2009, soit 44 % du secteur des IAA, c'est 10 points de plus qu'en France hors Dom et Tom et hors Paris. Les entreprises réalisant plus 50 millions d'euros de chiffre d'af</w:t>
            </w:r>
            <w:r>
              <w:rPr>
                <w:szCs w:val="24"/>
              </w:rPr>
              <w:t>faires sont absentes de l'île alors qu'elles ont une importance toute particulière au niveau national.</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lastRenderedPageBreak/>
              <w:t>La forêt</w:t>
            </w:r>
          </w:p>
          <w:p w:rsidR="0035701C" w:rsidRDefault="00FB561B">
            <w:pPr>
              <w:spacing w:before="240" w:after="240"/>
              <w:jc w:val="left"/>
              <w:rPr>
                <w:szCs w:val="24"/>
              </w:rPr>
            </w:pPr>
            <w:r>
              <w:rPr>
                <w:szCs w:val="24"/>
              </w:rPr>
              <w:t>La forêt privée est composée essentiellement d’essences feuillues, dont les plus représentatives sont le chêne vert, le chêne-liège et le chât</w:t>
            </w:r>
            <w:r>
              <w:rPr>
                <w:szCs w:val="24"/>
              </w:rPr>
              <w:t xml:space="preserve">aignier. La forêt publique, relevant du régime forestier (territoriale et communale), pour sa majeure partie en moyenne et haute montagne, concentre l’essentiel de la ressource résineuse en pin laricio (86%) et en pin maritime (56%), sans oublier le hêtre </w:t>
            </w:r>
            <w:r>
              <w:rPr>
                <w:szCs w:val="24"/>
              </w:rPr>
              <w:t>(74%).</w:t>
            </w:r>
          </w:p>
          <w:p w:rsidR="0035701C" w:rsidRDefault="00FB561B">
            <w:pPr>
              <w:spacing w:before="240" w:after="240"/>
              <w:jc w:val="left"/>
              <w:rPr>
                <w:szCs w:val="24"/>
              </w:rPr>
            </w:pPr>
            <w:r>
              <w:rPr>
                <w:szCs w:val="24"/>
              </w:rPr>
              <w:t>La forêt en Corse est en progression depuis plusieurs années. La Corse est ainsi la région la plus boisée de France, ces formations occupant désormais 570.000ha soit 65% du territoire (IC29). Actuellement très peu exploité, le potentiel est pourtant</w:t>
            </w:r>
            <w:r>
              <w:rPr>
                <w:szCs w:val="24"/>
              </w:rPr>
              <w:t xml:space="preserve"> présent, tant en bois d’œuvre qu’en bois énergie. La grande majorité du bois d’œuvre de Corse est importée.</w:t>
            </w:r>
          </w:p>
          <w:p w:rsidR="0035701C" w:rsidRDefault="00FB561B">
            <w:pPr>
              <w:spacing w:before="240" w:after="240"/>
              <w:jc w:val="left"/>
              <w:rPr>
                <w:szCs w:val="24"/>
              </w:rPr>
            </w:pPr>
            <w:r>
              <w:rPr>
                <w:szCs w:val="24"/>
              </w:rPr>
              <w:t>La biomasse forestière est en augmentation (30 000 000 m3, augmentant d' 1 M m3/an).</w:t>
            </w:r>
          </w:p>
          <w:p w:rsidR="0035701C" w:rsidRDefault="00FB561B">
            <w:pPr>
              <w:spacing w:before="240" w:after="240"/>
              <w:jc w:val="left"/>
              <w:rPr>
                <w:szCs w:val="24"/>
              </w:rPr>
            </w:pPr>
            <w:r>
              <w:rPr>
                <w:szCs w:val="24"/>
              </w:rPr>
              <w:t>La superficie boisée de Corse est considérée à 83% comme forêt</w:t>
            </w:r>
            <w:r>
              <w:rPr>
                <w:szCs w:val="24"/>
              </w:rPr>
              <w:t xml:space="preserve"> de production. C'est la région française la plus boisée (couverture nationale: 25%). La forêt privée représente environ 77% de la superficie, et la forêt publique 23% (14% communales et 8% CTC).</w:t>
            </w:r>
          </w:p>
          <w:p w:rsidR="0035701C" w:rsidRDefault="00FB561B">
            <w:pPr>
              <w:spacing w:before="240" w:after="240"/>
              <w:jc w:val="left"/>
              <w:rPr>
                <w:szCs w:val="24"/>
              </w:rPr>
            </w:pPr>
            <w:r>
              <w:rPr>
                <w:szCs w:val="24"/>
              </w:rPr>
              <w:t>27% des sites se trouvent à plus de 1000m d'une route access</w:t>
            </w:r>
            <w:r>
              <w:rPr>
                <w:szCs w:val="24"/>
              </w:rPr>
              <w:t>ible aux camions (moyenne nationale de 7%).</w:t>
            </w:r>
          </w:p>
          <w:p w:rsidR="0035701C" w:rsidRDefault="00FB561B">
            <w:pPr>
              <w:spacing w:before="240" w:after="240"/>
              <w:jc w:val="left"/>
              <w:rPr>
                <w:szCs w:val="24"/>
              </w:rPr>
            </w:pPr>
            <w:r>
              <w:rPr>
                <w:szCs w:val="24"/>
              </w:rPr>
              <w:t>La filière est constituée d’un faible nombre d'acteurs dans la transformation et l'exploitation (2 scieries se partagent le marché; 5 exploitants forestiers). En aval 150 entreprises ont été identifiées pour la v</w:t>
            </w:r>
            <w:r>
              <w:rPr>
                <w:szCs w:val="24"/>
              </w:rPr>
              <w:t>ente de bois quasi-exclusivement importé et représentant 800 emplois directs et induits (menuiserie, charpente, BTP), soit moins de 1% de l'emploi local (moyenne nationale: 2,1%).</w:t>
            </w:r>
          </w:p>
          <w:p w:rsidR="0035701C" w:rsidRDefault="00FB561B">
            <w:pPr>
              <w:spacing w:before="240" w:after="240"/>
              <w:jc w:val="left"/>
              <w:rPr>
                <w:szCs w:val="24"/>
              </w:rPr>
            </w:pPr>
            <w:r>
              <w:rPr>
                <w:szCs w:val="24"/>
              </w:rPr>
              <w:t>L’exploitation tous usages confondus, s’approche de 100 000m3/an (bois bûche</w:t>
            </w:r>
            <w:r>
              <w:rPr>
                <w:szCs w:val="24"/>
              </w:rPr>
              <w:t xml:space="preserve"> 50%, bois énergie 15%, bois d’œuvre 35%).</w:t>
            </w:r>
          </w:p>
          <w:p w:rsidR="0035701C" w:rsidRDefault="00FB561B">
            <w:pPr>
              <w:spacing w:before="240" w:after="240"/>
              <w:jc w:val="left"/>
              <w:rPr>
                <w:szCs w:val="24"/>
              </w:rPr>
            </w:pPr>
            <w:r>
              <w:rPr>
                <w:szCs w:val="24"/>
              </w:rPr>
              <w:t xml:space="preserve">La forêt corse voit sa mise en valeur handicapée par la topographie, la dispersion des peuplements productifs et le morcellement de la propriété en forêt privée. L’exploitabilité, telle que définie par l’IFN, est </w:t>
            </w:r>
            <w:r>
              <w:rPr>
                <w:szCs w:val="24"/>
              </w:rPr>
              <w:t>la plus faible des régions de métropole. Aussi, les volumes exploités ne représentent-ils qu’une faible part de la production biologique et les volumes sur pied s’accroissent de façon régulière.</w:t>
            </w:r>
          </w:p>
          <w:p w:rsidR="0035701C" w:rsidRDefault="00FB561B">
            <w:pPr>
              <w:spacing w:before="240" w:after="240"/>
              <w:jc w:val="left"/>
              <w:rPr>
                <w:szCs w:val="24"/>
              </w:rPr>
            </w:pPr>
            <w:r>
              <w:rPr>
                <w:szCs w:val="24"/>
              </w:rPr>
              <w:t>Le feu constitue la principale menace pesant sur le patrimoin</w:t>
            </w:r>
            <w:r>
              <w:rPr>
                <w:szCs w:val="24"/>
              </w:rPr>
              <w:t>e forestier insulaire. Même si les incendies se déclenchent prioritairement dans les milieux de type maquis, il existe des risques de débordement des grands incendies vers les milieux plus forestiers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Les déséquilibres ruraux</w:t>
            </w:r>
          </w:p>
          <w:p w:rsidR="0035701C" w:rsidRDefault="00FB561B">
            <w:pPr>
              <w:spacing w:before="240" w:after="240"/>
              <w:jc w:val="left"/>
              <w:rPr>
                <w:szCs w:val="24"/>
              </w:rPr>
            </w:pPr>
            <w:r>
              <w:rPr>
                <w:szCs w:val="24"/>
              </w:rPr>
              <w:t>Une part très importante de l</w:t>
            </w:r>
            <w:r>
              <w:rPr>
                <w:szCs w:val="24"/>
              </w:rPr>
              <w:t xml:space="preserve">a population corse est regroupée autour des agglomérations (principalement Bastia et Ajaccio mais également Corte, Porto Vecchio et Calvi), laissant l’intérieur très faiblement peuplé. A la périphérie des agglomérations attractives, on constate une réelle </w:t>
            </w:r>
            <w:r>
              <w:rPr>
                <w:szCs w:val="24"/>
              </w:rPr>
              <w:t>concurrence entre usage résidentiel et agricole du foncier.</w:t>
            </w:r>
          </w:p>
          <w:p w:rsidR="0035701C" w:rsidRDefault="00FB561B">
            <w:pPr>
              <w:spacing w:before="240" w:after="240"/>
              <w:jc w:val="left"/>
              <w:rPr>
                <w:szCs w:val="24"/>
              </w:rPr>
            </w:pPr>
            <w:r>
              <w:rPr>
                <w:szCs w:val="24"/>
              </w:rPr>
              <w:t>Les communes de l’intérieur ont, depuis le début du XXe siècle et jusqu’aux années soixante-dix, perdu leurs populations au bénéfice de l’extérieur puis du littoral de l’île. Les communes littoral</w:t>
            </w:r>
            <w:r>
              <w:rPr>
                <w:szCs w:val="24"/>
              </w:rPr>
              <w:t xml:space="preserve">es ont ensuite absorbé un peu plus de 90% du gain démographique de ces cinquante dernières années. Les densités de </w:t>
            </w:r>
            <w:r>
              <w:rPr>
                <w:szCs w:val="24"/>
              </w:rPr>
              <w:lastRenderedPageBreak/>
              <w:t>population extrêmement faibles dans l’intérieur rendent la gestion du territoire difficile (IC4 36,3 hab/km²).</w:t>
            </w:r>
          </w:p>
          <w:p w:rsidR="0035701C" w:rsidRDefault="00FB561B">
            <w:pPr>
              <w:spacing w:before="240" w:after="240"/>
              <w:jc w:val="left"/>
              <w:rPr>
                <w:szCs w:val="24"/>
              </w:rPr>
            </w:pPr>
            <w:r>
              <w:rPr>
                <w:szCs w:val="24"/>
              </w:rPr>
              <w:t>Le relief particulièrement esc</w:t>
            </w:r>
            <w:r>
              <w:rPr>
                <w:szCs w:val="24"/>
              </w:rPr>
              <w:t>arpé de l’île allonge les délais de transports. Ainsi, il faut près de trois heures pour effectuer les 150 km de route qui relient Bastia à Ajaccio. De nombreux villages isolés, loin des voies de communication, voient leur population décliner. Cette situat</w:t>
            </w:r>
            <w:r>
              <w:rPr>
                <w:szCs w:val="24"/>
              </w:rPr>
              <w:t>ion pose de nombreux problèmes d’accès aux services (santé, éducation, culture) et d’attractivité du territoire (cf. figure 28 : Déséquilibre d’accès aux services essentiels -santé éducation…- &amp; figure 29 : Déséquilibre de répartition des capacités d’accue</w:t>
            </w:r>
            <w:r>
              <w:rPr>
                <w:szCs w:val="24"/>
              </w:rPr>
              <w:t>il : littoralisation des activités)</w:t>
            </w:r>
          </w:p>
          <w:p w:rsidR="0035701C" w:rsidRDefault="00FB561B">
            <w:pPr>
              <w:spacing w:before="240" w:after="240"/>
              <w:jc w:val="left"/>
              <w:rPr>
                <w:szCs w:val="24"/>
              </w:rPr>
            </w:pPr>
            <w:r>
              <w:rPr>
                <w:szCs w:val="24"/>
              </w:rPr>
              <w:t>Dans ce contexte, l’agriculture de montagne, notamment l’élevage extensif, apparait comme l’une des principales activités susceptibles de maintenir une activité économique dans ces zones.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Situation institutionnelle</w:t>
            </w:r>
          </w:p>
          <w:p w:rsidR="0035701C" w:rsidRDefault="00FB561B">
            <w:pPr>
              <w:spacing w:before="240" w:after="240"/>
              <w:jc w:val="left"/>
              <w:rPr>
                <w:szCs w:val="24"/>
              </w:rPr>
            </w:pPr>
            <w:r>
              <w:rPr>
                <w:szCs w:val="24"/>
              </w:rPr>
              <w:t xml:space="preserve">La </w:t>
            </w:r>
            <w:r>
              <w:rPr>
                <w:szCs w:val="24"/>
              </w:rPr>
              <w:t>spécificité de la Corse dans la République s’est traduite par plusieurs statuts successifs (1982, 1991, 2002). La Corse est aujourd’hui la seule collectivité territoriale à statut particulier au sens de l’article 72 al. 1 de la Constitution Française.</w:t>
            </w:r>
          </w:p>
          <w:p w:rsidR="0035701C" w:rsidRDefault="00FB561B">
            <w:pPr>
              <w:spacing w:before="240" w:after="240"/>
              <w:jc w:val="left"/>
              <w:rPr>
                <w:szCs w:val="24"/>
              </w:rPr>
            </w:pPr>
            <w:r>
              <w:rPr>
                <w:szCs w:val="24"/>
              </w:rPr>
              <w:t>La d</w:t>
            </w:r>
            <w:r>
              <w:rPr>
                <w:szCs w:val="24"/>
              </w:rPr>
              <w:t>ernière loi de décentralisation du 22 janvier 2002 apporte un certain nombre de nouveautés institutionnelles. En effet, La Corse est désormais compétente en matière d’aménagement de l’espace, de protection du patrimoine et donne également plus de compétenc</w:t>
            </w:r>
            <w:r>
              <w:rPr>
                <w:szCs w:val="24"/>
              </w:rPr>
              <w:t>es en termes de développement économique. L’Assemblée de Corse dispose également de compétences encadrées d’adaptation des règlements.</w:t>
            </w:r>
          </w:p>
          <w:p w:rsidR="0035701C" w:rsidRDefault="00FB561B">
            <w:pPr>
              <w:spacing w:before="240" w:after="240"/>
              <w:jc w:val="left"/>
              <w:rPr>
                <w:szCs w:val="24"/>
              </w:rPr>
            </w:pPr>
            <w:r>
              <w:rPr>
                <w:szCs w:val="24"/>
              </w:rPr>
              <w:t>Pour exercer ses nouvelles compétences, la Collectivité Territoriale de Corse peut s’appuyer sur ses sept agences et offi</w:t>
            </w:r>
            <w:r>
              <w:rPr>
                <w:szCs w:val="24"/>
              </w:rPr>
              <w:t>ces.</w:t>
            </w:r>
          </w:p>
          <w:p w:rsidR="0035701C" w:rsidRDefault="00FB561B">
            <w:pPr>
              <w:spacing w:before="240" w:after="240"/>
              <w:jc w:val="left"/>
              <w:rPr>
                <w:szCs w:val="24"/>
              </w:rPr>
            </w:pPr>
            <w:r>
              <w:rPr>
                <w:szCs w:val="24"/>
              </w:rPr>
              <w:t>L’Office du Développement Agricole et Rural de la Corse, établissement public territorial, est en charge de coordonner l’ensemble des politiques de développement agricole menées en Corse.</w:t>
            </w:r>
          </w:p>
          <w:p w:rsidR="0035701C" w:rsidRDefault="00FB561B">
            <w:pPr>
              <w:spacing w:before="240" w:after="240"/>
              <w:jc w:val="left"/>
              <w:rPr>
                <w:szCs w:val="24"/>
              </w:rPr>
            </w:pPr>
            <w:r>
              <w:rPr>
                <w:szCs w:val="24"/>
              </w:rPr>
              <w:t>L’Office de l’Environnement de la Corse est également en charge</w:t>
            </w:r>
            <w:r>
              <w:rPr>
                <w:szCs w:val="24"/>
              </w:rPr>
              <w:t xml:space="preserve"> d'impulser et de coordonner la politique régionale environnementale.</w:t>
            </w:r>
          </w:p>
          <w:p w:rsidR="0035701C" w:rsidRDefault="00FB561B">
            <w:pPr>
              <w:spacing w:before="240" w:after="240"/>
              <w:jc w:val="left"/>
              <w:rPr>
                <w:szCs w:val="24"/>
              </w:rPr>
            </w:pPr>
            <w:r>
              <w:rPr>
                <w:szCs w:val="24"/>
              </w:rPr>
              <w:t>D’autres offices exercent également leurs compétences au service de la politique de la Collectivité, notamment l’Office de l’Equipement Hydraulique de la Corse, en charge des aménagement</w:t>
            </w:r>
            <w:r>
              <w:rPr>
                <w:szCs w:val="24"/>
              </w:rPr>
              <w:t>s hydrauliques, l’Agence du Tourisme de la Corse en charge de la politique touristique de Corse ou encore l’Agence d'Aménagement durable, de planification et d'urbanisme de la Corse en charge de l’aménagement, de l’urbanisme et de l’énergie.</w:t>
            </w:r>
          </w:p>
          <w:p w:rsidR="0035701C" w:rsidRDefault="00FB561B">
            <w:pPr>
              <w:spacing w:before="240" w:after="240"/>
              <w:jc w:val="left"/>
              <w:rPr>
                <w:szCs w:val="24"/>
              </w:rPr>
            </w:pPr>
            <w:r>
              <w:rPr>
                <w:szCs w:val="24"/>
              </w:rPr>
              <w:t>On peut égalem</w:t>
            </w:r>
            <w:r>
              <w:rPr>
                <w:szCs w:val="24"/>
              </w:rPr>
              <w:t>ent citer  l'Agence de développement économique de la Corse (ADEC) et  l'Office des transports de la Corse (OTC).</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Usage des TIC en Corse :</w:t>
            </w:r>
          </w:p>
          <w:p w:rsidR="0035701C" w:rsidRDefault="00FB561B">
            <w:pPr>
              <w:spacing w:before="240" w:after="240"/>
              <w:jc w:val="left"/>
              <w:rPr>
                <w:szCs w:val="24"/>
              </w:rPr>
            </w:pPr>
            <w:r>
              <w:rPr>
                <w:szCs w:val="24"/>
              </w:rPr>
              <w:t xml:space="preserve">Les ménages sont globalement bien équipés (taux d’équipement en ordinateur de 71% contre 67% pour l’ensemble de la </w:t>
            </w:r>
            <w:r>
              <w:rPr>
                <w:szCs w:val="24"/>
              </w:rPr>
              <w:t xml:space="preserve">France) et ont un accès au débit de l’ordre de la moyenne nationale (58% de ménages </w:t>
            </w:r>
            <w:r>
              <w:rPr>
                <w:szCs w:val="24"/>
              </w:rPr>
              <w:lastRenderedPageBreak/>
              <w:t>connectés).</w:t>
            </w:r>
          </w:p>
          <w:p w:rsidR="0035701C" w:rsidRDefault="00FB561B">
            <w:pPr>
              <w:spacing w:before="240" w:after="240"/>
              <w:jc w:val="left"/>
              <w:rPr>
                <w:szCs w:val="24"/>
              </w:rPr>
            </w:pPr>
            <w:r>
              <w:rPr>
                <w:szCs w:val="24"/>
              </w:rPr>
              <w:t>Par contre, si les communes sont pratiquement toutes équipées en ordinateur, seules 37% ont un site internet (contre 63% en PACA), de même, 14% des communes Cor</w:t>
            </w:r>
            <w:r>
              <w:rPr>
                <w:szCs w:val="24"/>
              </w:rPr>
              <w:t xml:space="preserve">ses proposent des démarches en ligne (contre 33% pour PACA) </w:t>
            </w:r>
            <w:r>
              <w:rPr>
                <w:i/>
                <w:iCs/>
                <w:szCs w:val="24"/>
              </w:rPr>
              <w:t>(Source : CTC-Corse Numérique, Baromètre 2011).</w:t>
            </w:r>
          </w:p>
          <w:p w:rsidR="0035701C" w:rsidRDefault="00FB561B">
            <w:pPr>
              <w:spacing w:before="240" w:after="240"/>
              <w:jc w:val="left"/>
              <w:rPr>
                <w:szCs w:val="24"/>
              </w:rPr>
            </w:pPr>
            <w:r>
              <w:rPr>
                <w:szCs w:val="24"/>
              </w:rPr>
              <w:t>L’accès aux TIC est inégal sur le territoire : des zones grises existent ainsi que des fractures entre le très haut débit (THD) et le haut-débit (HD</w:t>
            </w:r>
            <w:r>
              <w:rPr>
                <w:szCs w:val="24"/>
              </w:rPr>
              <w:t xml:space="preserve">). Cette situation freine le développement des entreprises et des services dans les zones mal desservies. En partie en lien avec ce problème, l’usage des TIC dans les PME / TPE doit être développé. Aussi, un investissement important est à réaliser dans ce </w:t>
            </w:r>
            <w:r>
              <w:rPr>
                <w:szCs w:val="24"/>
              </w:rPr>
              <w:t>domaine pour la création et l’amélioration des infrastructures (FEDER).</w:t>
            </w:r>
          </w:p>
          <w:p w:rsidR="0035701C" w:rsidRDefault="00FB561B">
            <w:pPr>
              <w:spacing w:before="240" w:after="240"/>
              <w:jc w:val="left"/>
              <w:rPr>
                <w:szCs w:val="24"/>
              </w:rPr>
            </w:pPr>
            <w:r>
              <w:rPr>
                <w:i/>
                <w:iCs/>
                <w:szCs w:val="24"/>
              </w:rPr>
              <w:t>PDRC 2007-2013</w:t>
            </w:r>
          </w:p>
          <w:p w:rsidR="0035701C" w:rsidRDefault="00FB561B">
            <w:pPr>
              <w:spacing w:before="240" w:after="240"/>
              <w:jc w:val="left"/>
              <w:rPr>
                <w:szCs w:val="24"/>
              </w:rPr>
            </w:pPr>
            <w:r>
              <w:rPr>
                <w:szCs w:val="24"/>
              </w:rPr>
              <w:t>Le statut particulier de la Corse s’est également traduit par une mise en œuvre à l’échelon régional du second pilier de la PAC durant la précédente programmation. En ef</w:t>
            </w:r>
            <w:r>
              <w:rPr>
                <w:szCs w:val="24"/>
              </w:rPr>
              <w:t xml:space="preserve">fet, la Collectivité Territoriale de Corse était déjà Autorité de gestion pour la programmation FEADER 2007-2013. Le statut particulier de la Corse et le rôle d’autorité de gestion ont également permis d’avoir recours à un organisme payeur spécifique pour </w:t>
            </w:r>
            <w:r>
              <w:rPr>
                <w:szCs w:val="24"/>
              </w:rPr>
              <w:t>la précédente programmation : l’OP ODARC.</w:t>
            </w:r>
          </w:p>
          <w:p w:rsidR="0035701C" w:rsidRDefault="00FB561B">
            <w:pPr>
              <w:spacing w:before="240" w:after="240"/>
              <w:jc w:val="left"/>
              <w:rPr>
                <w:szCs w:val="24"/>
              </w:rPr>
            </w:pPr>
            <w:r>
              <w:rPr>
                <w:i/>
                <w:iCs/>
                <w:szCs w:val="24"/>
              </w:rPr>
              <w:t>Orientations stratégiques pour l’agriculture, le développement local et le secteur forestier et la filière bois</w:t>
            </w:r>
          </w:p>
          <w:p w:rsidR="0035701C" w:rsidRDefault="00FB561B">
            <w:pPr>
              <w:spacing w:before="240" w:after="240"/>
              <w:jc w:val="left"/>
              <w:rPr>
                <w:szCs w:val="24"/>
              </w:rPr>
            </w:pPr>
            <w:r>
              <w:rPr>
                <w:szCs w:val="24"/>
              </w:rPr>
              <w:t>Fort de son expérience d’Autorité de gestion, la Collectivité Territoriale de Corse a décidé de lancer</w:t>
            </w:r>
            <w:r>
              <w:rPr>
                <w:szCs w:val="24"/>
              </w:rPr>
              <w:t xml:space="preserve"> une très large consultation afin de tracer des orientations stratégiques pour l’agriculture, le développement local, le secteur forestier et la filière bois. Celles-ci, loin de se limiter au PDR Corse, ont pour vocation de définir très largement la politi</w:t>
            </w:r>
            <w:r>
              <w:rPr>
                <w:szCs w:val="24"/>
              </w:rPr>
              <w:t>que agricole et rurale qui sera menée par la Corse pendant les prochaines années. C’est l’ODARC qui a été chargé par l’Assemblée de Corse de la conduite de cette consultation qui a permis la rédaction des orientations.</w:t>
            </w:r>
          </w:p>
          <w:p w:rsidR="0035701C" w:rsidRDefault="00FB561B">
            <w:pPr>
              <w:spacing w:before="240" w:after="240"/>
              <w:jc w:val="left"/>
              <w:rPr>
                <w:szCs w:val="24"/>
              </w:rPr>
            </w:pPr>
            <w:r>
              <w:rPr>
                <w:szCs w:val="24"/>
              </w:rPr>
              <w:t>Celles-ci, adoptées le 8 novembre 201</w:t>
            </w:r>
            <w:r>
              <w:rPr>
                <w:szCs w:val="24"/>
              </w:rPr>
              <w:t>3 par l’Assemblé de Corse, ont servi de base stratégique à la construction du PDR Corse 2014 2020.</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i/>
                <w:iCs/>
                <w:szCs w:val="24"/>
              </w:rPr>
              <w:t>Le PADDUC</w:t>
            </w:r>
          </w:p>
          <w:p w:rsidR="0035701C" w:rsidRDefault="00FB561B">
            <w:pPr>
              <w:spacing w:before="240" w:after="240"/>
              <w:jc w:val="left"/>
              <w:rPr>
                <w:szCs w:val="24"/>
              </w:rPr>
            </w:pPr>
            <w:r>
              <w:rPr>
                <w:szCs w:val="24"/>
              </w:rPr>
              <w:t>Le Plan d'Aménagement et de Développement Durable de la Corse ou PADDUC, est prévu par la Loi de décentralisation du 22 janvier 2002.</w:t>
            </w:r>
          </w:p>
          <w:p w:rsidR="0035701C" w:rsidRDefault="00FB561B">
            <w:pPr>
              <w:spacing w:before="240" w:after="240"/>
              <w:jc w:val="left"/>
              <w:rPr>
                <w:szCs w:val="24"/>
              </w:rPr>
            </w:pPr>
            <w:r>
              <w:rPr>
                <w:szCs w:val="24"/>
              </w:rPr>
              <w:t>Il s’agit d</w:t>
            </w:r>
            <w:r>
              <w:rPr>
                <w:szCs w:val="24"/>
              </w:rPr>
              <w:t>’un plan destiné à cadrer l'aménagement du territoire en Corse. Il a valeur de Directive territoriale d'aménagement, de Schéma de mise en valeur de la mer de Schéma régional d'aménagement et de développement du territoire et de Schéma régional de transport</w:t>
            </w:r>
            <w:r>
              <w:rPr>
                <w:szCs w:val="24"/>
              </w:rPr>
              <w:t>.</w:t>
            </w:r>
          </w:p>
          <w:p w:rsidR="0035701C" w:rsidRDefault="00FB561B">
            <w:pPr>
              <w:spacing w:before="240" w:after="240"/>
              <w:jc w:val="left"/>
              <w:rPr>
                <w:szCs w:val="24"/>
              </w:rPr>
            </w:pPr>
            <w:r>
              <w:rPr>
                <w:szCs w:val="24"/>
              </w:rPr>
              <w:t xml:space="preserve">Il est actuellement en préparation par l'Assemblée territoriale de Corse. Ses objectifs sont notamment de localiser les grandes infrastructures et équipements ; de fixer des objectifs régionaux de développement économique, agricole, social, culturel et </w:t>
            </w:r>
            <w:r>
              <w:rPr>
                <w:szCs w:val="24"/>
              </w:rPr>
              <w:t>touristique de l'ile et ceux relatifs à la préservation de l'environnement ; de définir de grandes orientations pour l'aménagement de l'espace, des transports dans une approche multimodale, de valorisation des ressources énergétiques, de protection et de m</w:t>
            </w:r>
            <w:r>
              <w:rPr>
                <w:szCs w:val="24"/>
              </w:rPr>
              <w:t xml:space="preserve">ise en valeur du territoire ; éventuellement de compléter la liste des espaces terrestres et marins, des sites et paysages </w:t>
            </w:r>
            <w:r>
              <w:rPr>
                <w:szCs w:val="24"/>
              </w:rPr>
              <w:lastRenderedPageBreak/>
              <w:t>remarquables, des caractéristiques du patrimoine naturel et culturel du littoral et des milieux nécessaires au maintien des équilibre</w:t>
            </w:r>
            <w:r>
              <w:rPr>
                <w:szCs w:val="24"/>
              </w:rPr>
              <w:t>s biologiques à préserver. Il pourra éventuellement préciser les modalités d'application de la Loi Littoral et de la Loi Montagne selon les spécificités géographiques du territoire.</w:t>
            </w:r>
          </w:p>
          <w:p w:rsidR="0035701C" w:rsidRDefault="00FB561B">
            <w:pPr>
              <w:spacing w:before="240" w:after="240"/>
              <w:jc w:val="left"/>
              <w:rPr>
                <w:szCs w:val="24"/>
              </w:rPr>
            </w:pPr>
            <w:r>
              <w:rPr>
                <w:szCs w:val="24"/>
              </w:rPr>
              <w:t> </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3962400" cy="4257675"/>
                  <wp:effectExtent l="0" t="0" r="0" b="0"/>
                  <wp:docPr id="100018" name="Image 10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22"/>
                          <a:stretch>
                            <a:fillRect/>
                          </a:stretch>
                        </pic:blipFill>
                        <pic:spPr>
                          <a:xfrm>
                            <a:off x="0" y="0"/>
                            <a:ext cx="3962400" cy="4257675"/>
                          </a:xfrm>
                          <a:prstGeom prst="rect">
                            <a:avLst/>
                          </a:prstGeom>
                        </pic:spPr>
                      </pic:pic>
                    </a:graphicData>
                  </a:graphic>
                </wp:inline>
              </w:drawing>
            </w:r>
          </w:p>
          <w:p w:rsidR="0035701C" w:rsidRDefault="00FB561B">
            <w:pPr>
              <w:pStyle w:val="Pieddepage"/>
              <w:jc w:val="center"/>
            </w:pPr>
            <w:r>
              <w:t>figure 10 : taille de la maille des milieux naturels (source CEMAGREF</w:t>
            </w:r>
            <w:r>
              <w:t>)</w:t>
            </w:r>
          </w:p>
          <w:p w:rsidR="0035701C" w:rsidRDefault="00FB561B">
            <w:pPr>
              <w:pStyle w:val="Pieddepage"/>
              <w:jc w:val="center"/>
            </w:pPr>
            <w:r>
              <w:rPr>
                <w:noProof/>
                <w:lang w:val="fr-FR" w:eastAsia="fr-FR"/>
              </w:rPr>
              <w:drawing>
                <wp:inline distT="0" distB="0" distL="0" distR="0">
                  <wp:extent cx="3962400" cy="2628900"/>
                  <wp:effectExtent l="0" t="0" r="0" b="0"/>
                  <wp:docPr id="100020" name="Image 10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23"/>
                          <a:stretch>
                            <a:fillRect/>
                          </a:stretch>
                        </pic:blipFill>
                        <pic:spPr>
                          <a:xfrm>
                            <a:off x="0" y="0"/>
                            <a:ext cx="3962400" cy="2628900"/>
                          </a:xfrm>
                          <a:prstGeom prst="rect">
                            <a:avLst/>
                          </a:prstGeom>
                        </pic:spPr>
                      </pic:pic>
                    </a:graphicData>
                  </a:graphic>
                </wp:inline>
              </w:drawing>
            </w:r>
          </w:p>
          <w:p w:rsidR="0035701C" w:rsidRDefault="00FB561B">
            <w:pPr>
              <w:pStyle w:val="Pieddepage"/>
              <w:jc w:val="center"/>
            </w:pPr>
            <w:r>
              <w:lastRenderedPageBreak/>
              <w:t>figure 11: prélèvements en eau</w:t>
            </w:r>
          </w:p>
          <w:p w:rsidR="0035701C" w:rsidRDefault="00FB561B">
            <w:pPr>
              <w:pStyle w:val="Pieddepage"/>
              <w:jc w:val="center"/>
            </w:pPr>
            <w:r>
              <w:rPr>
                <w:noProof/>
                <w:lang w:val="fr-FR" w:eastAsia="fr-FR"/>
              </w:rPr>
              <w:drawing>
                <wp:inline distT="0" distB="0" distL="0" distR="0">
                  <wp:extent cx="4048125" cy="3505200"/>
                  <wp:effectExtent l="0" t="0" r="0" b="0"/>
                  <wp:docPr id="100022" name="Image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24"/>
                          <a:stretch>
                            <a:fillRect/>
                          </a:stretch>
                        </pic:blipFill>
                        <pic:spPr>
                          <a:xfrm>
                            <a:off x="0" y="0"/>
                            <a:ext cx="4048125" cy="3505200"/>
                          </a:xfrm>
                          <a:prstGeom prst="rect">
                            <a:avLst/>
                          </a:prstGeom>
                        </pic:spPr>
                      </pic:pic>
                    </a:graphicData>
                  </a:graphic>
                </wp:inline>
              </w:drawing>
            </w:r>
          </w:p>
          <w:p w:rsidR="0035701C" w:rsidRDefault="00FB561B">
            <w:pPr>
              <w:pStyle w:val="Pieddepage"/>
              <w:jc w:val="center"/>
            </w:pPr>
            <w:r>
              <w:t>fig. 12 : concentrations en nitrate (site DATAR)</w:t>
            </w:r>
          </w:p>
          <w:p w:rsidR="0035701C" w:rsidRDefault="00FB561B">
            <w:pPr>
              <w:pStyle w:val="Pieddepage"/>
              <w:jc w:val="center"/>
            </w:pPr>
            <w:r>
              <w:rPr>
                <w:noProof/>
                <w:lang w:val="fr-FR" w:eastAsia="fr-FR"/>
              </w:rPr>
              <w:drawing>
                <wp:inline distT="0" distB="0" distL="0" distR="0">
                  <wp:extent cx="5800725" cy="4010025"/>
                  <wp:effectExtent l="0" t="0" r="0" b="0"/>
                  <wp:docPr id="100024" name="Image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25"/>
                          <a:stretch>
                            <a:fillRect/>
                          </a:stretch>
                        </pic:blipFill>
                        <pic:spPr>
                          <a:xfrm>
                            <a:off x="0" y="0"/>
                            <a:ext cx="5800725" cy="4010025"/>
                          </a:xfrm>
                          <a:prstGeom prst="rect">
                            <a:avLst/>
                          </a:prstGeom>
                        </pic:spPr>
                      </pic:pic>
                    </a:graphicData>
                  </a:graphic>
                </wp:inline>
              </w:drawing>
            </w:r>
          </w:p>
          <w:p w:rsidR="0035701C" w:rsidRDefault="00FB561B">
            <w:pPr>
              <w:pStyle w:val="Pieddepage"/>
              <w:jc w:val="center"/>
            </w:pPr>
            <w:r>
              <w:t>figure 13 : Extrêmes de températures et de précipitations dans les pays du bassin méditerranéen</w:t>
            </w:r>
          </w:p>
          <w:p w:rsidR="0035701C" w:rsidRDefault="00FB561B">
            <w:pPr>
              <w:pStyle w:val="Pieddepage"/>
              <w:jc w:val="center"/>
            </w:pPr>
            <w:r>
              <w:rPr>
                <w:noProof/>
                <w:lang w:val="fr-FR" w:eastAsia="fr-FR"/>
              </w:rPr>
              <w:lastRenderedPageBreak/>
              <w:drawing>
                <wp:inline distT="0" distB="0" distL="0" distR="0">
                  <wp:extent cx="4895850" cy="3171825"/>
                  <wp:effectExtent l="0" t="0" r="0" b="0"/>
                  <wp:docPr id="100026" name="Image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26"/>
                          <a:stretch>
                            <a:fillRect/>
                          </a:stretch>
                        </pic:blipFill>
                        <pic:spPr>
                          <a:xfrm>
                            <a:off x="0" y="0"/>
                            <a:ext cx="4895850" cy="3171825"/>
                          </a:xfrm>
                          <a:prstGeom prst="rect">
                            <a:avLst/>
                          </a:prstGeom>
                        </pic:spPr>
                      </pic:pic>
                    </a:graphicData>
                  </a:graphic>
                </wp:inline>
              </w:drawing>
            </w:r>
          </w:p>
          <w:p w:rsidR="0035701C" w:rsidRDefault="00FB561B">
            <w:pPr>
              <w:pStyle w:val="Pieddepage"/>
              <w:jc w:val="center"/>
            </w:pPr>
            <w:r>
              <w:t xml:space="preserve">Figure 14 : Satisfaction de la demande locale par l’offre locale de </w:t>
            </w:r>
            <w:r>
              <w:t>produits Agricole. Source : Estimation dans le cadre des travaux d’élaboration du PADDUC - CTC 2012</w:t>
            </w:r>
          </w:p>
          <w:p w:rsidR="0035701C" w:rsidRDefault="00FB561B">
            <w:pPr>
              <w:pStyle w:val="Pieddepage"/>
              <w:jc w:val="center"/>
            </w:pPr>
            <w:r>
              <w:rPr>
                <w:noProof/>
                <w:lang w:val="fr-FR" w:eastAsia="fr-FR"/>
              </w:rPr>
              <w:lastRenderedPageBreak/>
              <w:drawing>
                <wp:inline distT="0" distB="0" distL="0" distR="0">
                  <wp:extent cx="4400550" cy="7086600"/>
                  <wp:effectExtent l="0" t="0" r="0" b="0"/>
                  <wp:docPr id="100028" name="Image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27"/>
                          <a:stretch>
                            <a:fillRect/>
                          </a:stretch>
                        </pic:blipFill>
                        <pic:spPr>
                          <a:xfrm>
                            <a:off x="0" y="0"/>
                            <a:ext cx="4400550" cy="7086600"/>
                          </a:xfrm>
                          <a:prstGeom prst="rect">
                            <a:avLst/>
                          </a:prstGeom>
                        </pic:spPr>
                      </pic:pic>
                    </a:graphicData>
                  </a:graphic>
                </wp:inline>
              </w:drawing>
            </w:r>
          </w:p>
          <w:p w:rsidR="0035701C" w:rsidRDefault="00FB561B">
            <w:pPr>
              <w:pStyle w:val="Pieddepage"/>
              <w:jc w:val="center"/>
            </w:pPr>
            <w:r>
              <w:t>Figure 15 : Satisfaction de la demande locale (suite)</w:t>
            </w:r>
          </w:p>
          <w:p w:rsidR="0035701C" w:rsidRDefault="00FB561B">
            <w:pPr>
              <w:pStyle w:val="Pieddepage"/>
              <w:jc w:val="center"/>
            </w:pPr>
            <w:r>
              <w:rPr>
                <w:noProof/>
                <w:lang w:val="fr-FR" w:eastAsia="fr-FR"/>
              </w:rPr>
              <w:lastRenderedPageBreak/>
              <w:drawing>
                <wp:inline distT="0" distB="0" distL="0" distR="0">
                  <wp:extent cx="5210175" cy="5010150"/>
                  <wp:effectExtent l="0" t="0" r="0" b="0"/>
                  <wp:docPr id="100030" name="Image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28"/>
                          <a:stretch>
                            <a:fillRect/>
                          </a:stretch>
                        </pic:blipFill>
                        <pic:spPr>
                          <a:xfrm>
                            <a:off x="0" y="0"/>
                            <a:ext cx="5210175" cy="5010150"/>
                          </a:xfrm>
                          <a:prstGeom prst="rect">
                            <a:avLst/>
                          </a:prstGeom>
                        </pic:spPr>
                      </pic:pic>
                    </a:graphicData>
                  </a:graphic>
                </wp:inline>
              </w:drawing>
            </w:r>
          </w:p>
          <w:p w:rsidR="0035701C" w:rsidRDefault="00FB561B">
            <w:pPr>
              <w:pStyle w:val="Pieddepage"/>
              <w:jc w:val="center"/>
            </w:pPr>
            <w:r>
              <w:t>Figure 16 : Nombre d’exploitation et effectif animaux ou surface par type de production Source : A</w:t>
            </w:r>
            <w:r>
              <w:t>greste RA 2000 et RA 2010</w:t>
            </w:r>
          </w:p>
          <w:p w:rsidR="0035701C" w:rsidRDefault="00FB561B">
            <w:pPr>
              <w:pStyle w:val="Pieddepage"/>
              <w:jc w:val="center"/>
            </w:pPr>
            <w:r>
              <w:rPr>
                <w:noProof/>
                <w:lang w:val="fr-FR" w:eastAsia="fr-FR"/>
              </w:rPr>
              <w:lastRenderedPageBreak/>
              <w:drawing>
                <wp:inline distT="0" distB="0" distL="0" distR="0">
                  <wp:extent cx="6048375" cy="4886325"/>
                  <wp:effectExtent l="0" t="0" r="0" b="0"/>
                  <wp:docPr id="100032" name="Image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29"/>
                          <a:stretch>
                            <a:fillRect/>
                          </a:stretch>
                        </pic:blipFill>
                        <pic:spPr>
                          <a:xfrm>
                            <a:off x="0" y="0"/>
                            <a:ext cx="6048375" cy="4886325"/>
                          </a:xfrm>
                          <a:prstGeom prst="rect">
                            <a:avLst/>
                          </a:prstGeom>
                        </pic:spPr>
                      </pic:pic>
                    </a:graphicData>
                  </a:graphic>
                </wp:inline>
              </w:drawing>
            </w:r>
          </w:p>
          <w:p w:rsidR="0035701C" w:rsidRDefault="00FB561B">
            <w:pPr>
              <w:pStyle w:val="Pieddepage"/>
              <w:jc w:val="center"/>
            </w:pPr>
            <w:r>
              <w:t>Figure 17 : Les signes de la qualité et de l’origine en corse - Source : INAO ; 2013</w:t>
            </w:r>
          </w:p>
          <w:p w:rsidR="0035701C" w:rsidRDefault="00FB561B">
            <w:pPr>
              <w:pStyle w:val="Pieddepage"/>
              <w:jc w:val="center"/>
            </w:pPr>
            <w:r>
              <w:rPr>
                <w:noProof/>
                <w:lang w:val="fr-FR" w:eastAsia="fr-FR"/>
              </w:rPr>
              <w:drawing>
                <wp:inline distT="0" distB="0" distL="0" distR="0">
                  <wp:extent cx="4171950" cy="1590675"/>
                  <wp:effectExtent l="0" t="0" r="0" b="0"/>
                  <wp:docPr id="100034" name="Image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30"/>
                          <a:stretch>
                            <a:fillRect/>
                          </a:stretch>
                        </pic:blipFill>
                        <pic:spPr>
                          <a:xfrm>
                            <a:off x="0" y="0"/>
                            <a:ext cx="4171950" cy="1590675"/>
                          </a:xfrm>
                          <a:prstGeom prst="rect">
                            <a:avLst/>
                          </a:prstGeom>
                        </pic:spPr>
                      </pic:pic>
                    </a:graphicData>
                  </a:graphic>
                </wp:inline>
              </w:drawing>
            </w:r>
          </w:p>
          <w:p w:rsidR="0035701C" w:rsidRDefault="00FB561B">
            <w:pPr>
              <w:pStyle w:val="Pieddepage"/>
              <w:jc w:val="center"/>
            </w:pPr>
            <w:r>
              <w:t>figure 18 : évolution des effectifs d’exploitants agricoles  (agreste)</w:t>
            </w:r>
          </w:p>
          <w:p w:rsidR="0035701C" w:rsidRDefault="00FB561B">
            <w:pPr>
              <w:pStyle w:val="Pieddepage"/>
              <w:jc w:val="center"/>
            </w:pPr>
            <w:r>
              <w:rPr>
                <w:noProof/>
                <w:lang w:val="fr-FR" w:eastAsia="fr-FR"/>
              </w:rPr>
              <w:lastRenderedPageBreak/>
              <w:drawing>
                <wp:inline distT="0" distB="0" distL="0" distR="0">
                  <wp:extent cx="5419725" cy="3362325"/>
                  <wp:effectExtent l="0" t="0" r="0" b="0"/>
                  <wp:docPr id="100036" name="Image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31"/>
                          <a:stretch>
                            <a:fillRect/>
                          </a:stretch>
                        </pic:blipFill>
                        <pic:spPr>
                          <a:xfrm>
                            <a:off x="0" y="0"/>
                            <a:ext cx="5419725" cy="3362325"/>
                          </a:xfrm>
                          <a:prstGeom prst="rect">
                            <a:avLst/>
                          </a:prstGeom>
                        </pic:spPr>
                      </pic:pic>
                    </a:graphicData>
                  </a:graphic>
                </wp:inline>
              </w:drawing>
            </w:r>
          </w:p>
          <w:p w:rsidR="0035701C" w:rsidRDefault="00FB561B">
            <w:pPr>
              <w:pStyle w:val="Pieddepage"/>
              <w:jc w:val="center"/>
            </w:pPr>
            <w:r>
              <w:t>figure 19 : Installation (source PDRC 2007-2013)</w:t>
            </w:r>
          </w:p>
          <w:p w:rsidR="0035701C" w:rsidRDefault="00FB561B">
            <w:pPr>
              <w:pStyle w:val="Pieddepage"/>
              <w:jc w:val="center"/>
            </w:pPr>
            <w:r>
              <w:rPr>
                <w:noProof/>
                <w:lang w:val="fr-FR" w:eastAsia="fr-FR"/>
              </w:rPr>
              <w:drawing>
                <wp:inline distT="0" distB="0" distL="0" distR="0">
                  <wp:extent cx="3848100" cy="2752725"/>
                  <wp:effectExtent l="0" t="0" r="0" b="0"/>
                  <wp:docPr id="100038" name="Image 100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
                          <pic:cNvPicPr>
                            <a:picLocks noChangeAspect="1"/>
                          </pic:cNvPicPr>
                        </pic:nvPicPr>
                        <pic:blipFill>
                          <a:blip r:embed="rId32"/>
                          <a:stretch>
                            <a:fillRect/>
                          </a:stretch>
                        </pic:blipFill>
                        <pic:spPr>
                          <a:xfrm>
                            <a:off x="0" y="0"/>
                            <a:ext cx="3848100" cy="2752725"/>
                          </a:xfrm>
                          <a:prstGeom prst="rect">
                            <a:avLst/>
                          </a:prstGeom>
                        </pic:spPr>
                      </pic:pic>
                    </a:graphicData>
                  </a:graphic>
                </wp:inline>
              </w:drawing>
            </w:r>
          </w:p>
          <w:p w:rsidR="0035701C" w:rsidRDefault="00FB561B">
            <w:pPr>
              <w:pStyle w:val="Pieddepage"/>
              <w:jc w:val="center"/>
            </w:pPr>
            <w:r>
              <w:t>figure 20 : moyen</w:t>
            </w:r>
            <w:r>
              <w:t xml:space="preserve">ne d’âge des jeunes installé sur la période 2007-2013 </w:t>
            </w:r>
          </w:p>
          <w:p w:rsidR="0035701C" w:rsidRDefault="00FB561B">
            <w:pPr>
              <w:pStyle w:val="Pieddepage"/>
              <w:jc w:val="center"/>
            </w:pPr>
            <w:r>
              <w:rPr>
                <w:noProof/>
                <w:lang w:val="fr-FR" w:eastAsia="fr-FR"/>
              </w:rPr>
              <w:lastRenderedPageBreak/>
              <w:drawing>
                <wp:inline distT="0" distB="0" distL="0" distR="0">
                  <wp:extent cx="6124575" cy="3086100"/>
                  <wp:effectExtent l="0" t="0" r="0" b="0"/>
                  <wp:docPr id="100040" name="Image 100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
                          <pic:cNvPicPr>
                            <a:picLocks noChangeAspect="1"/>
                          </pic:cNvPicPr>
                        </pic:nvPicPr>
                        <pic:blipFill>
                          <a:blip r:embed="rId33"/>
                          <a:stretch>
                            <a:fillRect/>
                          </a:stretch>
                        </pic:blipFill>
                        <pic:spPr>
                          <a:xfrm>
                            <a:off x="0" y="0"/>
                            <a:ext cx="6124575" cy="3086100"/>
                          </a:xfrm>
                          <a:prstGeom prst="rect">
                            <a:avLst/>
                          </a:prstGeom>
                        </pic:spPr>
                      </pic:pic>
                    </a:graphicData>
                  </a:graphic>
                </wp:inline>
              </w:drawing>
            </w:r>
          </w:p>
          <w:p w:rsidR="0035701C" w:rsidRDefault="00FB561B">
            <w:pPr>
              <w:pStyle w:val="Pieddepage"/>
              <w:jc w:val="center"/>
            </w:pPr>
            <w:r>
              <w:t>figure 21 : formation initiale (PDRC 2007-2013)</w:t>
            </w:r>
          </w:p>
          <w:p w:rsidR="0035701C" w:rsidRDefault="00FB561B">
            <w:pPr>
              <w:pStyle w:val="Pieddepage"/>
              <w:jc w:val="center"/>
            </w:pPr>
            <w:r>
              <w:rPr>
                <w:noProof/>
                <w:lang w:val="fr-FR" w:eastAsia="fr-FR"/>
              </w:rPr>
              <w:lastRenderedPageBreak/>
              <w:drawing>
                <wp:inline distT="0" distB="0" distL="0" distR="0">
                  <wp:extent cx="4276725" cy="5838825"/>
                  <wp:effectExtent l="0" t="0" r="0" b="0"/>
                  <wp:docPr id="100042" name="Image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
                          <pic:cNvPicPr>
                            <a:picLocks noChangeAspect="1"/>
                          </pic:cNvPicPr>
                        </pic:nvPicPr>
                        <pic:blipFill>
                          <a:blip r:embed="rId34"/>
                          <a:stretch>
                            <a:fillRect/>
                          </a:stretch>
                        </pic:blipFill>
                        <pic:spPr>
                          <a:xfrm>
                            <a:off x="0" y="0"/>
                            <a:ext cx="4276725" cy="5838825"/>
                          </a:xfrm>
                          <a:prstGeom prst="rect">
                            <a:avLst/>
                          </a:prstGeom>
                        </pic:spPr>
                      </pic:pic>
                    </a:graphicData>
                  </a:graphic>
                </wp:inline>
              </w:drawing>
            </w:r>
          </w:p>
          <w:p w:rsidR="0035701C" w:rsidRDefault="00FB561B">
            <w:pPr>
              <w:pStyle w:val="Pieddepage"/>
              <w:jc w:val="center"/>
            </w:pPr>
            <w:r>
              <w:t>figure 6 : surface moyenne des parcelles (source GIRTEC)</w:t>
            </w:r>
          </w:p>
          <w:p w:rsidR="0035701C" w:rsidRDefault="00FB561B">
            <w:pPr>
              <w:pStyle w:val="Pieddepage"/>
              <w:jc w:val="center"/>
            </w:pPr>
            <w:r>
              <w:rPr>
                <w:noProof/>
                <w:lang w:val="fr-FR" w:eastAsia="fr-FR"/>
              </w:rPr>
              <w:lastRenderedPageBreak/>
              <w:drawing>
                <wp:inline distT="0" distB="0" distL="0" distR="0">
                  <wp:extent cx="4267200" cy="5772150"/>
                  <wp:effectExtent l="0" t="0" r="0" b="0"/>
                  <wp:docPr id="100044" name="Image 10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
                          <pic:cNvPicPr>
                            <a:picLocks noChangeAspect="1"/>
                          </pic:cNvPicPr>
                        </pic:nvPicPr>
                        <pic:blipFill>
                          <a:blip r:embed="rId35"/>
                          <a:stretch>
                            <a:fillRect/>
                          </a:stretch>
                        </pic:blipFill>
                        <pic:spPr>
                          <a:xfrm>
                            <a:off x="0" y="0"/>
                            <a:ext cx="4267200" cy="5772150"/>
                          </a:xfrm>
                          <a:prstGeom prst="rect">
                            <a:avLst/>
                          </a:prstGeom>
                        </pic:spPr>
                      </pic:pic>
                    </a:graphicData>
                  </a:graphic>
                </wp:inline>
              </w:drawing>
            </w:r>
          </w:p>
          <w:p w:rsidR="0035701C" w:rsidRDefault="00FB561B">
            <w:pPr>
              <w:pStyle w:val="Pieddepage"/>
              <w:jc w:val="center"/>
            </w:pPr>
            <w:r>
              <w:t>Figure 7 : propriétaires nés avant 1900 (réputés décédés) (source GIRTEC)</w:t>
            </w:r>
          </w:p>
          <w:p w:rsidR="0035701C" w:rsidRDefault="00FB561B">
            <w:pPr>
              <w:pStyle w:val="Pieddepage"/>
              <w:jc w:val="center"/>
            </w:pPr>
            <w:r>
              <w:rPr>
                <w:noProof/>
                <w:lang w:val="fr-FR" w:eastAsia="fr-FR"/>
              </w:rPr>
              <w:lastRenderedPageBreak/>
              <w:drawing>
                <wp:inline distT="0" distB="0" distL="0" distR="0">
                  <wp:extent cx="3905250" cy="2847975"/>
                  <wp:effectExtent l="0" t="0" r="0" b="0"/>
                  <wp:docPr id="100046" name="Image 10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
                          <pic:cNvPicPr>
                            <a:picLocks noChangeAspect="1"/>
                          </pic:cNvPicPr>
                        </pic:nvPicPr>
                        <pic:blipFill>
                          <a:blip r:embed="rId36"/>
                          <a:stretch>
                            <a:fillRect/>
                          </a:stretch>
                        </pic:blipFill>
                        <pic:spPr>
                          <a:xfrm>
                            <a:off x="0" y="0"/>
                            <a:ext cx="3905250" cy="2847975"/>
                          </a:xfrm>
                          <a:prstGeom prst="rect">
                            <a:avLst/>
                          </a:prstGeom>
                        </pic:spPr>
                      </pic:pic>
                    </a:graphicData>
                  </a:graphic>
                </wp:inline>
              </w:drawing>
            </w:r>
          </w:p>
          <w:p w:rsidR="0035701C" w:rsidRDefault="00FB561B">
            <w:pPr>
              <w:pStyle w:val="Pieddepage"/>
              <w:jc w:val="center"/>
            </w:pPr>
            <w:r>
              <w:t>figure 8 : com</w:t>
            </w:r>
            <w:r>
              <w:t>paraison relief (source MNT -DCW)</w:t>
            </w:r>
          </w:p>
          <w:p w:rsidR="0035701C" w:rsidRDefault="00FB561B">
            <w:pPr>
              <w:pStyle w:val="Pieddepage"/>
              <w:jc w:val="center"/>
            </w:pPr>
            <w:r>
              <w:rPr>
                <w:noProof/>
                <w:lang w:val="fr-FR" w:eastAsia="fr-FR"/>
              </w:rPr>
              <w:drawing>
                <wp:inline distT="0" distB="0" distL="0" distR="0">
                  <wp:extent cx="3095625" cy="5124450"/>
                  <wp:effectExtent l="0" t="0" r="0" b="0"/>
                  <wp:docPr id="100048" name="Image 10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
                          <pic:cNvPicPr>
                            <a:picLocks noChangeAspect="1"/>
                          </pic:cNvPicPr>
                        </pic:nvPicPr>
                        <pic:blipFill>
                          <a:blip r:embed="rId37"/>
                          <a:stretch>
                            <a:fillRect/>
                          </a:stretch>
                        </pic:blipFill>
                        <pic:spPr>
                          <a:xfrm>
                            <a:off x="0" y="0"/>
                            <a:ext cx="3095625" cy="5124450"/>
                          </a:xfrm>
                          <a:prstGeom prst="rect">
                            <a:avLst/>
                          </a:prstGeom>
                        </pic:spPr>
                      </pic:pic>
                    </a:graphicData>
                  </a:graphic>
                </wp:inline>
              </w:drawing>
            </w:r>
          </w:p>
          <w:p w:rsidR="0035701C" w:rsidRDefault="00FB561B">
            <w:pPr>
              <w:pStyle w:val="Pieddepage"/>
              <w:jc w:val="center"/>
            </w:pPr>
            <w:r>
              <w:lastRenderedPageBreak/>
              <w:t>figure 9 : classe de pentes (source IGN BD alti)</w:t>
            </w:r>
          </w:p>
          <w:p w:rsidR="0035701C" w:rsidRDefault="00FB561B">
            <w:pPr>
              <w:pStyle w:val="Pieddepage"/>
              <w:jc w:val="center"/>
            </w:pPr>
            <w:r>
              <w:rPr>
                <w:noProof/>
                <w:lang w:val="fr-FR" w:eastAsia="fr-FR"/>
              </w:rPr>
              <w:drawing>
                <wp:inline distT="0" distB="0" distL="0" distR="0">
                  <wp:extent cx="3781425" cy="5886450"/>
                  <wp:effectExtent l="0" t="0" r="0" b="0"/>
                  <wp:docPr id="100050" name="Image 100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
                          <pic:cNvPicPr>
                            <a:picLocks noChangeAspect="1"/>
                          </pic:cNvPicPr>
                        </pic:nvPicPr>
                        <pic:blipFill>
                          <a:blip r:embed="rId38"/>
                          <a:stretch>
                            <a:fillRect/>
                          </a:stretch>
                        </pic:blipFill>
                        <pic:spPr>
                          <a:xfrm>
                            <a:off x="0" y="0"/>
                            <a:ext cx="3781425" cy="5886450"/>
                          </a:xfrm>
                          <a:prstGeom prst="rect">
                            <a:avLst/>
                          </a:prstGeom>
                        </pic:spPr>
                      </pic:pic>
                    </a:graphicData>
                  </a:graphic>
                </wp:inline>
              </w:drawing>
            </w:r>
          </w:p>
          <w:p w:rsidR="0035701C" w:rsidRDefault="00FB561B">
            <w:pPr>
              <w:pStyle w:val="Pieddepage"/>
              <w:jc w:val="center"/>
            </w:pPr>
            <w:r>
              <w:t>figure 22 : répartition géographique des nouvelles exploitations (PDRC 2007-2013)</w:t>
            </w:r>
          </w:p>
          <w:p w:rsidR="0035701C" w:rsidRDefault="00FB561B">
            <w:pPr>
              <w:pStyle w:val="Pieddepage"/>
            </w:pPr>
            <w:r>
              <w:rPr>
                <w:noProof/>
                <w:lang w:val="fr-FR" w:eastAsia="fr-FR"/>
              </w:rPr>
              <w:lastRenderedPageBreak/>
              <w:drawing>
                <wp:inline distT="0" distB="0" distL="0" distR="0">
                  <wp:extent cx="6629400" cy="3124950"/>
                  <wp:effectExtent l="0" t="0" r="0" b="0"/>
                  <wp:docPr id="100052" name="Image 10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
                          <pic:cNvPicPr>
                            <a:picLocks noChangeAspect="1"/>
                          </pic:cNvPicPr>
                        </pic:nvPicPr>
                        <pic:blipFill>
                          <a:blip r:embed="rId39"/>
                          <a:stretch>
                            <a:fillRect/>
                          </a:stretch>
                        </pic:blipFill>
                        <pic:spPr>
                          <a:xfrm>
                            <a:off x="0" y="0"/>
                            <a:ext cx="6629400" cy="3124950"/>
                          </a:xfrm>
                          <a:prstGeom prst="rect">
                            <a:avLst/>
                          </a:prstGeom>
                        </pic:spPr>
                      </pic:pic>
                    </a:graphicData>
                  </a:graphic>
                </wp:inline>
              </w:drawing>
            </w:r>
          </w:p>
          <w:p w:rsidR="0035701C" w:rsidRDefault="00FB561B">
            <w:pPr>
              <w:pStyle w:val="Pieddepage"/>
              <w:jc w:val="center"/>
            </w:pPr>
            <w:r>
              <w:t>figure 23 : filière d'installation (2007-2013)</w:t>
            </w:r>
          </w:p>
          <w:p w:rsidR="0035701C" w:rsidRDefault="00FB561B">
            <w:pPr>
              <w:pStyle w:val="Pieddepage"/>
            </w:pPr>
            <w:r>
              <w:rPr>
                <w:noProof/>
                <w:lang w:val="fr-FR" w:eastAsia="fr-FR"/>
              </w:rPr>
              <w:drawing>
                <wp:inline distT="0" distB="0" distL="0" distR="0">
                  <wp:extent cx="6629400" cy="4401097"/>
                  <wp:effectExtent l="0" t="0" r="0" b="0"/>
                  <wp:docPr id="100054" name="Image 10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
                          <pic:cNvPicPr>
                            <a:picLocks noChangeAspect="1"/>
                          </pic:cNvPicPr>
                        </pic:nvPicPr>
                        <pic:blipFill>
                          <a:blip r:embed="rId40"/>
                          <a:stretch>
                            <a:fillRect/>
                          </a:stretch>
                        </pic:blipFill>
                        <pic:spPr>
                          <a:xfrm>
                            <a:off x="0" y="0"/>
                            <a:ext cx="6629400" cy="4401097"/>
                          </a:xfrm>
                          <a:prstGeom prst="rect">
                            <a:avLst/>
                          </a:prstGeom>
                        </pic:spPr>
                      </pic:pic>
                    </a:graphicData>
                  </a:graphic>
                </wp:inline>
              </w:drawing>
            </w:r>
          </w:p>
          <w:p w:rsidR="0035701C" w:rsidRDefault="00FB561B">
            <w:pPr>
              <w:pStyle w:val="Pieddepage"/>
              <w:jc w:val="center"/>
            </w:pPr>
            <w:r>
              <w:t xml:space="preserve">figure 24 : production et première </w:t>
            </w:r>
            <w:r>
              <w:t>transformation au niveau des installations agricoles (PDRC 2007-2013)</w:t>
            </w:r>
          </w:p>
          <w:p w:rsidR="0035701C" w:rsidRDefault="00FB561B">
            <w:pPr>
              <w:pStyle w:val="Pieddepage"/>
            </w:pPr>
            <w:r>
              <w:rPr>
                <w:noProof/>
                <w:lang w:val="fr-FR" w:eastAsia="fr-FR"/>
              </w:rPr>
              <w:lastRenderedPageBreak/>
              <w:drawing>
                <wp:inline distT="0" distB="0" distL="0" distR="0">
                  <wp:extent cx="6629400" cy="3525668"/>
                  <wp:effectExtent l="0" t="0" r="0" b="0"/>
                  <wp:docPr id="100056" name="Image 100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
                          <pic:cNvPicPr>
                            <a:picLocks noChangeAspect="1"/>
                          </pic:cNvPicPr>
                        </pic:nvPicPr>
                        <pic:blipFill>
                          <a:blip r:embed="rId41"/>
                          <a:stretch>
                            <a:fillRect/>
                          </a:stretch>
                        </pic:blipFill>
                        <pic:spPr>
                          <a:xfrm>
                            <a:off x="0" y="0"/>
                            <a:ext cx="6629400" cy="3525668"/>
                          </a:xfrm>
                          <a:prstGeom prst="rect">
                            <a:avLst/>
                          </a:prstGeom>
                        </pic:spPr>
                      </pic:pic>
                    </a:graphicData>
                  </a:graphic>
                </wp:inline>
              </w:drawing>
            </w:r>
          </w:p>
          <w:p w:rsidR="0035701C" w:rsidRDefault="00FB561B">
            <w:pPr>
              <w:pStyle w:val="Pieddepage"/>
              <w:jc w:val="center"/>
            </w:pPr>
            <w:r>
              <w:t>figure 25 : projets d’installation ayant recours à un emprunt (PDRC 2007-2013)</w:t>
            </w:r>
          </w:p>
          <w:p w:rsidR="0035701C" w:rsidRDefault="00FB561B">
            <w:pPr>
              <w:pStyle w:val="Pieddepage"/>
            </w:pPr>
            <w:r>
              <w:rPr>
                <w:noProof/>
                <w:lang w:val="fr-FR" w:eastAsia="fr-FR"/>
              </w:rPr>
              <w:drawing>
                <wp:inline distT="0" distB="0" distL="0" distR="0">
                  <wp:extent cx="6629400" cy="4011591"/>
                  <wp:effectExtent l="0" t="0" r="0" b="0"/>
                  <wp:docPr id="100058" name="Image 100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
                          <pic:cNvPicPr>
                            <a:picLocks noChangeAspect="1"/>
                          </pic:cNvPicPr>
                        </pic:nvPicPr>
                        <pic:blipFill>
                          <a:blip r:embed="rId42"/>
                          <a:stretch>
                            <a:fillRect/>
                          </a:stretch>
                        </pic:blipFill>
                        <pic:spPr>
                          <a:xfrm>
                            <a:off x="0" y="0"/>
                            <a:ext cx="6629400" cy="4011591"/>
                          </a:xfrm>
                          <a:prstGeom prst="rect">
                            <a:avLst/>
                          </a:prstGeom>
                        </pic:spPr>
                      </pic:pic>
                    </a:graphicData>
                  </a:graphic>
                </wp:inline>
              </w:drawing>
            </w:r>
          </w:p>
          <w:p w:rsidR="0035701C" w:rsidRDefault="00FB561B">
            <w:pPr>
              <w:pStyle w:val="Pieddepage"/>
              <w:jc w:val="center"/>
            </w:pPr>
            <w:r>
              <w:t>figure 26 : typologie des projets des jeunes agriculteurs (PDRC 2007-2013)</w:t>
            </w:r>
          </w:p>
          <w:p w:rsidR="0035701C" w:rsidRDefault="00FB561B">
            <w:pPr>
              <w:pStyle w:val="Pieddepage"/>
            </w:pPr>
            <w:r>
              <w:rPr>
                <w:noProof/>
                <w:lang w:val="fr-FR" w:eastAsia="fr-FR"/>
              </w:rPr>
              <w:lastRenderedPageBreak/>
              <w:drawing>
                <wp:inline distT="0" distB="0" distL="0" distR="0">
                  <wp:extent cx="6629400" cy="3356836"/>
                  <wp:effectExtent l="0" t="0" r="0" b="0"/>
                  <wp:docPr id="100060" name="Image 100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
                          <pic:cNvPicPr>
                            <a:picLocks noChangeAspect="1"/>
                          </pic:cNvPicPr>
                        </pic:nvPicPr>
                        <pic:blipFill>
                          <a:blip r:embed="rId43"/>
                          <a:stretch>
                            <a:fillRect/>
                          </a:stretch>
                        </pic:blipFill>
                        <pic:spPr>
                          <a:xfrm>
                            <a:off x="0" y="0"/>
                            <a:ext cx="6629400" cy="3356836"/>
                          </a:xfrm>
                          <a:prstGeom prst="rect">
                            <a:avLst/>
                          </a:prstGeom>
                        </pic:spPr>
                      </pic:pic>
                    </a:graphicData>
                  </a:graphic>
                </wp:inline>
              </w:drawing>
            </w:r>
          </w:p>
          <w:p w:rsidR="0035701C" w:rsidRDefault="00FB561B">
            <w:pPr>
              <w:pStyle w:val="Pieddepage"/>
              <w:jc w:val="center"/>
            </w:pPr>
            <w:r>
              <w:t xml:space="preserve">figure 27 : Répartition </w:t>
            </w:r>
            <w:r>
              <w:t>des établissements IAA en Corse Source : Insee 2010</w:t>
            </w:r>
          </w:p>
          <w:p w:rsidR="0035701C" w:rsidRDefault="00FB561B">
            <w:pPr>
              <w:pStyle w:val="Pieddepage"/>
              <w:jc w:val="center"/>
            </w:pPr>
            <w:r>
              <w:rPr>
                <w:noProof/>
                <w:lang w:val="fr-FR" w:eastAsia="fr-FR"/>
              </w:rPr>
              <w:lastRenderedPageBreak/>
              <w:drawing>
                <wp:inline distT="0" distB="0" distL="0" distR="0">
                  <wp:extent cx="2867025" cy="5048250"/>
                  <wp:effectExtent l="0" t="0" r="0" b="0"/>
                  <wp:docPr id="100062" name="Image 10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
                          <pic:cNvPicPr>
                            <a:picLocks noChangeAspect="1"/>
                          </pic:cNvPicPr>
                        </pic:nvPicPr>
                        <pic:blipFill>
                          <a:blip r:embed="rId44"/>
                          <a:stretch>
                            <a:fillRect/>
                          </a:stretch>
                        </pic:blipFill>
                        <pic:spPr>
                          <a:xfrm>
                            <a:off x="0" y="0"/>
                            <a:ext cx="2867025" cy="5048250"/>
                          </a:xfrm>
                          <a:prstGeom prst="rect">
                            <a:avLst/>
                          </a:prstGeom>
                        </pic:spPr>
                      </pic:pic>
                    </a:graphicData>
                  </a:graphic>
                </wp:inline>
              </w:drawing>
            </w:r>
          </w:p>
          <w:p w:rsidR="0035701C" w:rsidRDefault="00FB561B">
            <w:pPr>
              <w:pStyle w:val="Pieddepage"/>
              <w:jc w:val="center"/>
            </w:pPr>
            <w:r>
              <w:t>Figure 28 : Déséquilibre d’accès aux services essentiels (santé éducation…) (source travaux PADDUC 2012)</w:t>
            </w:r>
          </w:p>
          <w:p w:rsidR="0035701C" w:rsidRDefault="00FB561B">
            <w:pPr>
              <w:pStyle w:val="Pieddepage"/>
              <w:jc w:val="center"/>
            </w:pPr>
            <w:r>
              <w:rPr>
                <w:noProof/>
                <w:lang w:val="fr-FR" w:eastAsia="fr-FR"/>
              </w:rPr>
              <w:lastRenderedPageBreak/>
              <w:drawing>
                <wp:inline distT="0" distB="0" distL="0" distR="0">
                  <wp:extent cx="2800350" cy="5124450"/>
                  <wp:effectExtent l="0" t="0" r="0" b="0"/>
                  <wp:docPr id="100064" name="Image 100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
                          <pic:cNvPicPr>
                            <a:picLocks noChangeAspect="1"/>
                          </pic:cNvPicPr>
                        </pic:nvPicPr>
                        <pic:blipFill>
                          <a:blip r:embed="rId45"/>
                          <a:stretch>
                            <a:fillRect/>
                          </a:stretch>
                        </pic:blipFill>
                        <pic:spPr>
                          <a:xfrm>
                            <a:off x="0" y="0"/>
                            <a:ext cx="2800350" cy="5124450"/>
                          </a:xfrm>
                          <a:prstGeom prst="rect">
                            <a:avLst/>
                          </a:prstGeom>
                        </pic:spPr>
                      </pic:pic>
                    </a:graphicData>
                  </a:graphic>
                </wp:inline>
              </w:drawing>
            </w:r>
          </w:p>
          <w:p w:rsidR="0035701C" w:rsidRDefault="00FB561B">
            <w:pPr>
              <w:pStyle w:val="Pieddepage"/>
              <w:jc w:val="center"/>
            </w:pPr>
            <w:r>
              <w:t>Figure 29 : Déséquilibre de répartition des capacités d’accueil : littoralisation des activités</w:t>
            </w:r>
            <w:r>
              <w:t xml:space="preserve"> (source INSEE)</w:t>
            </w:r>
          </w:p>
          <w:p w:rsidR="0035701C" w:rsidRDefault="00FB561B">
            <w:pPr>
              <w:pStyle w:val="Pieddepage"/>
            </w:pPr>
            <w:r>
              <w:rPr>
                <w:noProof/>
                <w:lang w:val="fr-FR" w:eastAsia="fr-FR"/>
              </w:rPr>
              <w:lastRenderedPageBreak/>
              <w:drawing>
                <wp:inline distT="0" distB="0" distL="0" distR="0">
                  <wp:extent cx="6629400" cy="4684903"/>
                  <wp:effectExtent l="0" t="0" r="0" b="0"/>
                  <wp:docPr id="100066" name="Image 100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
                          <pic:cNvPicPr>
                            <a:picLocks noChangeAspect="1"/>
                          </pic:cNvPicPr>
                        </pic:nvPicPr>
                        <pic:blipFill>
                          <a:blip r:embed="rId46"/>
                          <a:stretch>
                            <a:fillRect/>
                          </a:stretch>
                        </pic:blipFill>
                        <pic:spPr>
                          <a:xfrm>
                            <a:off x="0" y="0"/>
                            <a:ext cx="6629400" cy="4684903"/>
                          </a:xfrm>
                          <a:prstGeom prst="rect">
                            <a:avLst/>
                          </a:prstGeom>
                        </pic:spPr>
                      </pic:pic>
                    </a:graphicData>
                  </a:graphic>
                </wp:inline>
              </w:drawing>
            </w:r>
          </w:p>
          <w:p w:rsidR="0035701C" w:rsidRDefault="00FB561B">
            <w:pPr>
              <w:pStyle w:val="Pieddepage"/>
              <w:jc w:val="center"/>
            </w:pPr>
            <w:r>
              <w:t xml:space="preserve">Figure 30 : Répartition de la consommation d'énergie en Corse </w:t>
            </w:r>
          </w:p>
          <w:p w:rsidR="0035701C" w:rsidRDefault="0035701C">
            <w:pPr>
              <w:pStyle w:val="Pieddepage"/>
              <w:jc w:val="center"/>
            </w:pPr>
          </w:p>
        </w:tc>
      </w:tr>
    </w:tbl>
    <w:p w:rsidR="0035701C" w:rsidRDefault="00FB561B">
      <w:pPr>
        <w:pStyle w:val="Titre3"/>
        <w:jc w:val="left"/>
      </w:pPr>
      <w:bookmarkStart w:id="30" w:name="_Toc256000029"/>
      <w:r>
        <w:lastRenderedPageBreak/>
        <w:t>Forces recensées dans la zone de programmation</w:t>
      </w:r>
      <w:bookmarkEnd w:id="3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b/>
                <w:bCs/>
                <w:szCs w:val="24"/>
              </w:rPr>
              <w:t>Contexte institutionnel</w:t>
            </w:r>
          </w:p>
          <w:p w:rsidR="0035701C" w:rsidRDefault="00FB561B" w:rsidP="00FB561B">
            <w:pPr>
              <w:numPr>
                <w:ilvl w:val="0"/>
                <w:numId w:val="25"/>
              </w:numPr>
              <w:spacing w:before="240" w:after="0"/>
              <w:ind w:hanging="210"/>
              <w:jc w:val="left"/>
              <w:rPr>
                <w:szCs w:val="24"/>
              </w:rPr>
            </w:pPr>
            <w:r>
              <w:rPr>
                <w:szCs w:val="24"/>
              </w:rPr>
              <w:t>Dans le cadre de son statut spécifique, la CTC a pour compétence l’élaboration d’un Plan d’Aménagement</w:t>
            </w:r>
            <w:r>
              <w:rPr>
                <w:szCs w:val="24"/>
              </w:rPr>
              <w:t xml:space="preserve"> et de Développement Durable de la Corse (PADDUC).</w:t>
            </w:r>
          </w:p>
          <w:p w:rsidR="0035701C" w:rsidRDefault="00FB561B" w:rsidP="00FB561B">
            <w:pPr>
              <w:numPr>
                <w:ilvl w:val="0"/>
                <w:numId w:val="25"/>
              </w:numPr>
              <w:spacing w:before="0" w:after="240"/>
              <w:ind w:hanging="210"/>
              <w:jc w:val="left"/>
              <w:rPr>
                <w:szCs w:val="24"/>
              </w:rPr>
            </w:pPr>
            <w:r>
              <w:rPr>
                <w:szCs w:val="24"/>
              </w:rPr>
              <w:t>Une collectivité territoriale (CTC) qui dispose, de par son statut et contrairement aux autres régions métropolitaines, de compétences spécifiques et de prérogatives élargies en matière d’agriculture, de d</w:t>
            </w:r>
            <w:r>
              <w:rPr>
                <w:szCs w:val="24"/>
              </w:rPr>
              <w:t>éveloppement rural et de forêt.</w:t>
            </w:r>
          </w:p>
          <w:p w:rsidR="0035701C" w:rsidRDefault="00FB561B">
            <w:pPr>
              <w:spacing w:before="240" w:after="240"/>
              <w:jc w:val="left"/>
              <w:rPr>
                <w:szCs w:val="24"/>
              </w:rPr>
            </w:pPr>
            <w:r>
              <w:rPr>
                <w:b/>
                <w:bCs/>
                <w:szCs w:val="24"/>
              </w:rPr>
              <w:t>Les territoires et le Développement rural</w:t>
            </w:r>
          </w:p>
          <w:p w:rsidR="0035701C" w:rsidRDefault="00FB561B" w:rsidP="00FB561B">
            <w:pPr>
              <w:numPr>
                <w:ilvl w:val="0"/>
                <w:numId w:val="26"/>
              </w:numPr>
              <w:spacing w:before="240" w:after="0"/>
              <w:ind w:hanging="210"/>
              <w:jc w:val="left"/>
              <w:rPr>
                <w:szCs w:val="24"/>
              </w:rPr>
            </w:pPr>
            <w:r>
              <w:rPr>
                <w:szCs w:val="24"/>
              </w:rPr>
              <w:t>La latitude, l’insularité et le relief contribuent à une grande diversité des milieux et des climats, a l’origine d’une grande diversité de production agricole.</w:t>
            </w:r>
          </w:p>
          <w:p w:rsidR="0035701C" w:rsidRDefault="00FB561B" w:rsidP="00FB561B">
            <w:pPr>
              <w:numPr>
                <w:ilvl w:val="0"/>
                <w:numId w:val="26"/>
              </w:numPr>
              <w:spacing w:before="0" w:after="0"/>
              <w:ind w:hanging="210"/>
              <w:jc w:val="left"/>
              <w:rPr>
                <w:szCs w:val="24"/>
              </w:rPr>
            </w:pPr>
            <w:r>
              <w:rPr>
                <w:szCs w:val="24"/>
              </w:rPr>
              <w:t xml:space="preserve">Un cadre de vie </w:t>
            </w:r>
            <w:r>
              <w:rPr>
                <w:szCs w:val="24"/>
              </w:rPr>
              <w:t>associant mer et montagne, un espace rural présentant un patrimoine naturel, culturel et bâti remarquable (terrasses anthropiques, architecture des villages, sentiers…).</w:t>
            </w:r>
          </w:p>
          <w:p w:rsidR="0035701C" w:rsidRDefault="00FB561B" w:rsidP="00FB561B">
            <w:pPr>
              <w:numPr>
                <w:ilvl w:val="0"/>
                <w:numId w:val="26"/>
              </w:numPr>
              <w:spacing w:before="0" w:after="0"/>
              <w:ind w:hanging="210"/>
              <w:jc w:val="left"/>
              <w:rPr>
                <w:szCs w:val="24"/>
              </w:rPr>
            </w:pPr>
            <w:r>
              <w:rPr>
                <w:szCs w:val="24"/>
              </w:rPr>
              <w:t>La concrétisation de routes touristiques dans les territoires mettant en réseau des op</w:t>
            </w:r>
            <w:r>
              <w:rPr>
                <w:szCs w:val="24"/>
              </w:rPr>
              <w:t xml:space="preserve">érateurs </w:t>
            </w:r>
            <w:r>
              <w:rPr>
                <w:szCs w:val="24"/>
              </w:rPr>
              <w:lastRenderedPageBreak/>
              <w:t>susceptibles de profiter de l’économie touristique.</w:t>
            </w:r>
          </w:p>
          <w:p w:rsidR="0035701C" w:rsidRDefault="00FB561B" w:rsidP="00FB561B">
            <w:pPr>
              <w:numPr>
                <w:ilvl w:val="0"/>
                <w:numId w:val="26"/>
              </w:numPr>
              <w:spacing w:before="0" w:after="240"/>
              <w:ind w:hanging="210"/>
              <w:jc w:val="left"/>
              <w:rPr>
                <w:szCs w:val="24"/>
              </w:rPr>
            </w:pPr>
            <w:r>
              <w:rPr>
                <w:szCs w:val="24"/>
              </w:rPr>
              <w:t>Un flux touristique participant fortement à l’activité économique de l’ensemble de la zone de programmation considérée comme rurale.</w:t>
            </w:r>
          </w:p>
          <w:p w:rsidR="0035701C" w:rsidRDefault="00FB561B">
            <w:pPr>
              <w:spacing w:before="240" w:after="240"/>
              <w:jc w:val="left"/>
              <w:rPr>
                <w:szCs w:val="24"/>
              </w:rPr>
            </w:pPr>
            <w:r>
              <w:rPr>
                <w:b/>
                <w:bCs/>
                <w:szCs w:val="24"/>
              </w:rPr>
              <w:t>Produits et productions</w:t>
            </w:r>
          </w:p>
          <w:p w:rsidR="0035701C" w:rsidRDefault="00FB561B" w:rsidP="00FB561B">
            <w:pPr>
              <w:numPr>
                <w:ilvl w:val="0"/>
                <w:numId w:val="27"/>
              </w:numPr>
              <w:spacing w:before="240" w:after="0"/>
              <w:ind w:hanging="210"/>
              <w:jc w:val="left"/>
              <w:rPr>
                <w:szCs w:val="24"/>
              </w:rPr>
            </w:pPr>
            <w:r>
              <w:rPr>
                <w:szCs w:val="24"/>
              </w:rPr>
              <w:t>Une permanence de l’élevage dans les t</w:t>
            </w:r>
            <w:r>
              <w:rPr>
                <w:szCs w:val="24"/>
              </w:rPr>
              <w:t>erritoires de montagne et une fonction agro-sylvo-pastorale de la forêt au travers de l’utilisation par les animaux de la ressource (feuillage, glands, châtaigne,…).</w:t>
            </w:r>
          </w:p>
          <w:p w:rsidR="0035701C" w:rsidRDefault="00FB561B" w:rsidP="00FB561B">
            <w:pPr>
              <w:numPr>
                <w:ilvl w:val="0"/>
                <w:numId w:val="27"/>
              </w:numPr>
              <w:spacing w:before="0" w:after="0"/>
              <w:ind w:hanging="210"/>
              <w:jc w:val="left"/>
              <w:rPr>
                <w:szCs w:val="24"/>
              </w:rPr>
            </w:pPr>
            <w:r>
              <w:rPr>
                <w:szCs w:val="24"/>
              </w:rPr>
              <w:t>Un secteur agroalimentaire en croissance, qui représente la première activité industrielle</w:t>
            </w:r>
            <w:r>
              <w:rPr>
                <w:szCs w:val="24"/>
              </w:rPr>
              <w:t xml:space="preserve"> de l’île.</w:t>
            </w:r>
          </w:p>
          <w:p w:rsidR="0035701C" w:rsidRDefault="00FB561B" w:rsidP="00FB561B">
            <w:pPr>
              <w:numPr>
                <w:ilvl w:val="0"/>
                <w:numId w:val="27"/>
              </w:numPr>
              <w:spacing w:before="0" w:after="0"/>
              <w:ind w:hanging="210"/>
              <w:jc w:val="left"/>
              <w:rPr>
                <w:szCs w:val="24"/>
              </w:rPr>
            </w:pPr>
            <w:r>
              <w:rPr>
                <w:szCs w:val="24"/>
              </w:rPr>
              <w:t>Des produits de terroir qui présentent une forte identité et typicité. Ils sont, pour la plupart, engagés dans des démarches qualité (AOC, IGP,...). L’augmentation globale de la production sous signe officiel de qualité s’accompagne majoritairem</w:t>
            </w:r>
            <w:r>
              <w:rPr>
                <w:szCs w:val="24"/>
              </w:rPr>
              <w:t>ent d’une amélioration de la rentabilité des exploitations.</w:t>
            </w:r>
          </w:p>
          <w:p w:rsidR="0035701C" w:rsidRDefault="00FB561B" w:rsidP="00FB561B">
            <w:pPr>
              <w:numPr>
                <w:ilvl w:val="0"/>
                <w:numId w:val="27"/>
              </w:numPr>
              <w:spacing w:before="0" w:after="0"/>
              <w:ind w:hanging="210"/>
              <w:jc w:val="left"/>
              <w:rPr>
                <w:szCs w:val="24"/>
              </w:rPr>
            </w:pPr>
            <w:r>
              <w:rPr>
                <w:szCs w:val="24"/>
              </w:rPr>
              <w:t>Des filières professionnelles agricoles qui se sont progressivement organisées.</w:t>
            </w:r>
          </w:p>
          <w:p w:rsidR="0035701C" w:rsidRDefault="00FB561B" w:rsidP="00FB561B">
            <w:pPr>
              <w:numPr>
                <w:ilvl w:val="0"/>
                <w:numId w:val="27"/>
              </w:numPr>
              <w:spacing w:before="0" w:after="0"/>
              <w:ind w:hanging="210"/>
              <w:jc w:val="left"/>
              <w:rPr>
                <w:szCs w:val="24"/>
              </w:rPr>
            </w:pPr>
            <w:r>
              <w:rPr>
                <w:szCs w:val="24"/>
              </w:rPr>
              <w:t>Une part de la production orientée vers l’exportation (Viticulture, Agrumes, quelques nouvelles filières)</w:t>
            </w:r>
          </w:p>
          <w:p w:rsidR="0035701C" w:rsidRDefault="00FB561B" w:rsidP="00FB561B">
            <w:pPr>
              <w:numPr>
                <w:ilvl w:val="0"/>
                <w:numId w:val="27"/>
              </w:numPr>
              <w:spacing w:before="0" w:after="0"/>
              <w:ind w:hanging="210"/>
              <w:jc w:val="left"/>
              <w:rPr>
                <w:szCs w:val="24"/>
              </w:rPr>
            </w:pPr>
            <w:r>
              <w:rPr>
                <w:szCs w:val="24"/>
              </w:rPr>
              <w:t>Une restru</w:t>
            </w:r>
            <w:r>
              <w:rPr>
                <w:szCs w:val="24"/>
              </w:rPr>
              <w:t>cturation progressive du vignoble (en variété et technique), facteur d’augmentation de la qualité de la production</w:t>
            </w:r>
          </w:p>
          <w:p w:rsidR="0035701C" w:rsidRDefault="00FB561B" w:rsidP="00FB561B">
            <w:pPr>
              <w:numPr>
                <w:ilvl w:val="0"/>
                <w:numId w:val="27"/>
              </w:numPr>
              <w:spacing w:before="0" w:after="0"/>
              <w:ind w:hanging="210"/>
              <w:jc w:val="left"/>
              <w:rPr>
                <w:szCs w:val="24"/>
              </w:rPr>
            </w:pPr>
            <w:r>
              <w:rPr>
                <w:szCs w:val="24"/>
              </w:rPr>
              <w:t>Une augmentation du verger d’oliviers.</w:t>
            </w:r>
          </w:p>
          <w:p w:rsidR="0035701C" w:rsidRDefault="00FB561B" w:rsidP="00FB561B">
            <w:pPr>
              <w:numPr>
                <w:ilvl w:val="0"/>
                <w:numId w:val="27"/>
              </w:numPr>
              <w:spacing w:before="0" w:after="0"/>
              <w:ind w:hanging="210"/>
              <w:jc w:val="left"/>
              <w:rPr>
                <w:szCs w:val="24"/>
              </w:rPr>
            </w:pPr>
            <w:r>
              <w:rPr>
                <w:szCs w:val="24"/>
              </w:rPr>
              <w:t>Un accroissement de la production apicole sur les 10 dernières années.</w:t>
            </w:r>
          </w:p>
          <w:p w:rsidR="0035701C" w:rsidRDefault="00FB561B" w:rsidP="00FB561B">
            <w:pPr>
              <w:numPr>
                <w:ilvl w:val="0"/>
                <w:numId w:val="27"/>
              </w:numPr>
              <w:spacing w:before="0" w:after="240"/>
              <w:ind w:hanging="210"/>
              <w:jc w:val="left"/>
              <w:rPr>
                <w:szCs w:val="24"/>
              </w:rPr>
            </w:pPr>
            <w:r>
              <w:rPr>
                <w:szCs w:val="24"/>
              </w:rPr>
              <w:t xml:space="preserve">L’émergence d’une filière </w:t>
            </w:r>
            <w:r>
              <w:rPr>
                <w:szCs w:val="24"/>
              </w:rPr>
              <w:t>biologique diversifiée</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b/>
                <w:bCs/>
                <w:szCs w:val="24"/>
              </w:rPr>
              <w:t>Les producteurs et l’installation agricole</w:t>
            </w:r>
          </w:p>
          <w:p w:rsidR="0035701C" w:rsidRDefault="00FB561B" w:rsidP="00FB561B">
            <w:pPr>
              <w:numPr>
                <w:ilvl w:val="0"/>
                <w:numId w:val="28"/>
              </w:numPr>
              <w:spacing w:before="240" w:after="0"/>
              <w:ind w:hanging="210"/>
              <w:jc w:val="left"/>
              <w:rPr>
                <w:szCs w:val="24"/>
              </w:rPr>
            </w:pPr>
            <w:r>
              <w:rPr>
                <w:szCs w:val="24"/>
              </w:rPr>
              <w:t>Une politique régionale de l’installation agricole fortement soutenue</w:t>
            </w:r>
          </w:p>
          <w:p w:rsidR="0035701C" w:rsidRDefault="00FB561B" w:rsidP="00FB561B">
            <w:pPr>
              <w:numPr>
                <w:ilvl w:val="0"/>
                <w:numId w:val="28"/>
              </w:numPr>
              <w:spacing w:before="0" w:after="0"/>
              <w:ind w:hanging="210"/>
              <w:jc w:val="left"/>
              <w:rPr>
                <w:szCs w:val="24"/>
              </w:rPr>
            </w:pPr>
            <w:r>
              <w:rPr>
                <w:szCs w:val="24"/>
              </w:rPr>
              <w:t>Des filières socioprofessionnelles à l’écoute de la politique d’installation</w:t>
            </w:r>
          </w:p>
          <w:p w:rsidR="0035701C" w:rsidRDefault="00FB561B" w:rsidP="00FB561B">
            <w:pPr>
              <w:numPr>
                <w:ilvl w:val="0"/>
                <w:numId w:val="28"/>
              </w:numPr>
              <w:spacing w:before="0" w:after="0"/>
              <w:ind w:hanging="210"/>
              <w:jc w:val="left"/>
              <w:rPr>
                <w:szCs w:val="24"/>
              </w:rPr>
            </w:pPr>
            <w:r>
              <w:rPr>
                <w:szCs w:val="24"/>
              </w:rPr>
              <w:t>Un taux de défaillance très faible des no</w:t>
            </w:r>
            <w:r>
              <w:rPr>
                <w:szCs w:val="24"/>
              </w:rPr>
              <w:t>uvelles exploitations</w:t>
            </w:r>
          </w:p>
          <w:p w:rsidR="0035701C" w:rsidRDefault="00FB561B" w:rsidP="00FB561B">
            <w:pPr>
              <w:numPr>
                <w:ilvl w:val="0"/>
                <w:numId w:val="28"/>
              </w:numPr>
              <w:spacing w:before="0" w:after="240"/>
              <w:ind w:hanging="210"/>
              <w:jc w:val="left"/>
              <w:rPr>
                <w:szCs w:val="24"/>
              </w:rPr>
            </w:pPr>
            <w:r>
              <w:rPr>
                <w:szCs w:val="24"/>
              </w:rPr>
              <w:t>Part croissante de femmes au sein de la population agricole offrant une meilleure mixité au corps social et professionnel en zone rurale et une meilleure diversification de l’activité.</w:t>
            </w:r>
          </w:p>
          <w:p w:rsidR="0035701C" w:rsidRDefault="00FB561B">
            <w:pPr>
              <w:spacing w:before="240" w:after="240"/>
              <w:jc w:val="left"/>
              <w:rPr>
                <w:szCs w:val="24"/>
              </w:rPr>
            </w:pPr>
            <w:r>
              <w:rPr>
                <w:b/>
                <w:bCs/>
                <w:szCs w:val="24"/>
              </w:rPr>
              <w:t>Gestion des ressources naturelles, biodiversité e</w:t>
            </w:r>
            <w:r>
              <w:rPr>
                <w:b/>
                <w:bCs/>
                <w:szCs w:val="24"/>
              </w:rPr>
              <w:t>t paysages</w:t>
            </w:r>
          </w:p>
          <w:p w:rsidR="0035701C" w:rsidRDefault="00FB561B" w:rsidP="00FB561B">
            <w:pPr>
              <w:numPr>
                <w:ilvl w:val="0"/>
                <w:numId w:val="29"/>
              </w:numPr>
              <w:spacing w:before="240" w:after="0"/>
              <w:ind w:hanging="210"/>
              <w:jc w:val="left"/>
              <w:rPr>
                <w:szCs w:val="24"/>
              </w:rPr>
            </w:pPr>
            <w:r>
              <w:rPr>
                <w:szCs w:val="24"/>
              </w:rPr>
              <w:t>L’approbation du premier SDAGE (schéma directeur d'aménagement et de gestion des eaux) de Corse 2010-2015 permet de renforcer les actions de la CTC conformément aux obligations de la directive européenne sur l’eau.</w:t>
            </w:r>
          </w:p>
          <w:p w:rsidR="0035701C" w:rsidRDefault="00FB561B" w:rsidP="00FB561B">
            <w:pPr>
              <w:numPr>
                <w:ilvl w:val="0"/>
                <w:numId w:val="29"/>
              </w:numPr>
              <w:spacing w:before="0" w:after="0"/>
              <w:ind w:hanging="210"/>
              <w:jc w:val="left"/>
              <w:rPr>
                <w:szCs w:val="24"/>
              </w:rPr>
            </w:pPr>
            <w:r>
              <w:rPr>
                <w:szCs w:val="24"/>
              </w:rPr>
              <w:t xml:space="preserve">Les prélèvements d’eau sont </w:t>
            </w:r>
            <w:r>
              <w:rPr>
                <w:szCs w:val="24"/>
              </w:rPr>
              <w:t>globalement faibles au regard des précipitations et la qualité de la ressource est satisfaisante sur la plupart des bassins</w:t>
            </w:r>
          </w:p>
          <w:p w:rsidR="0035701C" w:rsidRDefault="00FB561B" w:rsidP="00FB561B">
            <w:pPr>
              <w:numPr>
                <w:ilvl w:val="0"/>
                <w:numId w:val="29"/>
              </w:numPr>
              <w:spacing w:before="0" w:after="0"/>
              <w:ind w:hanging="210"/>
              <w:jc w:val="left"/>
              <w:rPr>
                <w:szCs w:val="24"/>
              </w:rPr>
            </w:pPr>
            <w:r>
              <w:rPr>
                <w:szCs w:val="24"/>
              </w:rPr>
              <w:t>Bon état générale des masses d’eau, faiblement impacté par l’agriculture</w:t>
            </w:r>
          </w:p>
          <w:p w:rsidR="0035701C" w:rsidRDefault="00FB561B" w:rsidP="00FB561B">
            <w:pPr>
              <w:numPr>
                <w:ilvl w:val="0"/>
                <w:numId w:val="29"/>
              </w:numPr>
              <w:spacing w:before="0" w:after="0"/>
              <w:ind w:hanging="210"/>
              <w:jc w:val="left"/>
              <w:rPr>
                <w:szCs w:val="24"/>
              </w:rPr>
            </w:pPr>
            <w:r>
              <w:rPr>
                <w:szCs w:val="24"/>
              </w:rPr>
              <w:t>La pluviométrie est importante pour cette région méditerran</w:t>
            </w:r>
            <w:r>
              <w:rPr>
                <w:szCs w:val="24"/>
              </w:rPr>
              <w:t>éenne</w:t>
            </w:r>
          </w:p>
          <w:p w:rsidR="0035701C" w:rsidRDefault="00FB561B" w:rsidP="00FB561B">
            <w:pPr>
              <w:numPr>
                <w:ilvl w:val="0"/>
                <w:numId w:val="29"/>
              </w:numPr>
              <w:spacing w:before="0" w:after="0"/>
              <w:ind w:hanging="210"/>
              <w:jc w:val="left"/>
              <w:rPr>
                <w:szCs w:val="24"/>
              </w:rPr>
            </w:pPr>
            <w:r>
              <w:rPr>
                <w:szCs w:val="24"/>
              </w:rPr>
              <w:t>Des ressources locales abondantes à exploiter (bois, surfaces de parcours, eau, carrières)</w:t>
            </w:r>
          </w:p>
          <w:p w:rsidR="0035701C" w:rsidRDefault="00FB561B" w:rsidP="00FB561B">
            <w:pPr>
              <w:numPr>
                <w:ilvl w:val="0"/>
                <w:numId w:val="29"/>
              </w:numPr>
              <w:spacing w:before="0" w:after="0"/>
              <w:ind w:hanging="210"/>
              <w:jc w:val="left"/>
              <w:rPr>
                <w:szCs w:val="24"/>
              </w:rPr>
            </w:pPr>
            <w:r>
              <w:rPr>
                <w:szCs w:val="24"/>
              </w:rPr>
              <w:t xml:space="preserve">Une forêt à la fois méditerranéenne et montagnarde avec des essences variées (Chêne vert, Chêne-liège, hêtre, châtaignier, arbousier, Pin Lariccio, Pin </w:t>
            </w:r>
            <w:r>
              <w:rPr>
                <w:szCs w:val="24"/>
              </w:rPr>
              <w:t>Maritime mésogéen, aulne cordé,...) autorisant une gamme d’usage très diversifiée. Volume de bois important dans le cadre d’une gestion durable (énergie, construction, bois d’œuvre).</w:t>
            </w:r>
          </w:p>
          <w:p w:rsidR="0035701C" w:rsidRDefault="00FB561B" w:rsidP="00FB561B">
            <w:pPr>
              <w:numPr>
                <w:ilvl w:val="0"/>
                <w:numId w:val="29"/>
              </w:numPr>
              <w:spacing w:before="0" w:after="0"/>
              <w:ind w:hanging="210"/>
              <w:jc w:val="left"/>
              <w:rPr>
                <w:szCs w:val="24"/>
              </w:rPr>
            </w:pPr>
            <w:r>
              <w:rPr>
                <w:szCs w:val="24"/>
              </w:rPr>
              <w:t>Des activités agricoles et pastorales qui contribuent depuis toujours dan</w:t>
            </w:r>
            <w:r>
              <w:rPr>
                <w:szCs w:val="24"/>
              </w:rPr>
              <w:t xml:space="preserve">s ce contexte insulaire, </w:t>
            </w:r>
            <w:r>
              <w:rPr>
                <w:szCs w:val="24"/>
              </w:rPr>
              <w:lastRenderedPageBreak/>
              <w:t>méditerranéen et montagneux à l’ambiance paysagère, sociale et culturelle de l’île. Elles exercent un rôle déterminant dans le maintien de la biodiversité, de la gestion de l’espace et la préservation des paysages, notamment au tra</w:t>
            </w:r>
            <w:r>
              <w:rPr>
                <w:szCs w:val="24"/>
              </w:rPr>
              <w:t>vers de leurs actions qui contribuent à la prévention des incendies.</w:t>
            </w:r>
          </w:p>
          <w:p w:rsidR="0035701C" w:rsidRDefault="00FB561B" w:rsidP="00FB561B">
            <w:pPr>
              <w:numPr>
                <w:ilvl w:val="0"/>
                <w:numId w:val="29"/>
              </w:numPr>
              <w:spacing w:before="0" w:after="0"/>
              <w:ind w:hanging="210"/>
              <w:jc w:val="left"/>
              <w:rPr>
                <w:szCs w:val="24"/>
              </w:rPr>
            </w:pPr>
            <w:r>
              <w:rPr>
                <w:szCs w:val="24"/>
              </w:rPr>
              <w:t>Un environnement relativement préservé et protégé qui constitue la richesse de l’île et un facteur d’attractivité touristique.</w:t>
            </w:r>
          </w:p>
          <w:p w:rsidR="0035701C" w:rsidRDefault="00FB561B" w:rsidP="00FB561B">
            <w:pPr>
              <w:numPr>
                <w:ilvl w:val="0"/>
                <w:numId w:val="29"/>
              </w:numPr>
              <w:spacing w:before="0" w:after="0"/>
              <w:ind w:hanging="210"/>
              <w:jc w:val="left"/>
              <w:rPr>
                <w:szCs w:val="24"/>
              </w:rPr>
            </w:pPr>
            <w:r>
              <w:rPr>
                <w:szCs w:val="24"/>
              </w:rPr>
              <w:t>Une biodiversité et un endémisme qui accroît de manière cons</w:t>
            </w:r>
            <w:r>
              <w:rPr>
                <w:szCs w:val="24"/>
              </w:rPr>
              <w:t>idérable la richesse patrimoniale de l’île : de nombreuses espèces terrestres ou aquatiques rares ou en limite d’aire géographiques sont inventoriées.</w:t>
            </w:r>
          </w:p>
          <w:p w:rsidR="0035701C" w:rsidRDefault="00FB561B" w:rsidP="00FB561B">
            <w:pPr>
              <w:numPr>
                <w:ilvl w:val="0"/>
                <w:numId w:val="29"/>
              </w:numPr>
              <w:spacing w:before="0" w:after="0"/>
              <w:ind w:hanging="210"/>
              <w:jc w:val="left"/>
              <w:rPr>
                <w:szCs w:val="24"/>
              </w:rPr>
            </w:pPr>
            <w:r>
              <w:rPr>
                <w:szCs w:val="24"/>
              </w:rPr>
              <w:t>Bon niveau de connaissance et de protection de la Biodiversité (Natura 2000 et autres protections)</w:t>
            </w:r>
          </w:p>
          <w:p w:rsidR="0035701C" w:rsidRDefault="00FB561B" w:rsidP="00FB561B">
            <w:pPr>
              <w:numPr>
                <w:ilvl w:val="0"/>
                <w:numId w:val="29"/>
              </w:numPr>
              <w:spacing w:before="0" w:after="240"/>
              <w:ind w:hanging="210"/>
              <w:jc w:val="left"/>
              <w:rPr>
                <w:szCs w:val="24"/>
              </w:rPr>
            </w:pPr>
            <w:r>
              <w:rPr>
                <w:szCs w:val="24"/>
              </w:rPr>
              <w:t>Des ra</w:t>
            </w:r>
            <w:r>
              <w:rPr>
                <w:szCs w:val="24"/>
              </w:rPr>
              <w:t>ces locales rustiques adaptées aux conditions d’exploitation et à leur milieu (parcours, châtaigneraies, chênaies) et sources de valeur ajoutée.</w:t>
            </w:r>
          </w:p>
          <w:p w:rsidR="0035701C" w:rsidRDefault="0035701C">
            <w:pPr>
              <w:pStyle w:val="Corpsdetexte"/>
            </w:pPr>
          </w:p>
        </w:tc>
      </w:tr>
    </w:tbl>
    <w:p w:rsidR="0035701C" w:rsidRDefault="00FB561B">
      <w:pPr>
        <w:pStyle w:val="Titre3"/>
        <w:jc w:val="left"/>
      </w:pPr>
      <w:bookmarkStart w:id="31" w:name="_Toc256000030"/>
      <w:r>
        <w:lastRenderedPageBreak/>
        <w:t>Faiblesses recensées dans la zone de programmation</w:t>
      </w:r>
      <w:bookmarkEnd w:id="3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b/>
                <w:bCs/>
                <w:szCs w:val="24"/>
              </w:rPr>
              <w:t>Contexte institutionnel</w:t>
            </w:r>
          </w:p>
          <w:p w:rsidR="0035701C" w:rsidRDefault="00FB561B" w:rsidP="00FB561B">
            <w:pPr>
              <w:numPr>
                <w:ilvl w:val="0"/>
                <w:numId w:val="30"/>
              </w:numPr>
              <w:spacing w:before="240" w:after="0"/>
              <w:ind w:hanging="210"/>
              <w:jc w:val="left"/>
              <w:rPr>
                <w:szCs w:val="24"/>
              </w:rPr>
            </w:pPr>
            <w:r>
              <w:rPr>
                <w:szCs w:val="24"/>
              </w:rPr>
              <w:t xml:space="preserve">Un déficit de réalisation des </w:t>
            </w:r>
            <w:r>
              <w:rPr>
                <w:szCs w:val="24"/>
              </w:rPr>
              <w:t>documents d’urbanisme par les collectivités locales rendant difficile la protection des zones agricoles et leur mobilisation.</w:t>
            </w:r>
          </w:p>
          <w:p w:rsidR="0035701C" w:rsidRDefault="00FB561B" w:rsidP="00FB561B">
            <w:pPr>
              <w:numPr>
                <w:ilvl w:val="0"/>
                <w:numId w:val="30"/>
              </w:numPr>
              <w:spacing w:before="0" w:after="240"/>
              <w:ind w:hanging="210"/>
              <w:jc w:val="left"/>
              <w:rPr>
                <w:szCs w:val="24"/>
              </w:rPr>
            </w:pPr>
            <w:r>
              <w:rPr>
                <w:szCs w:val="24"/>
              </w:rPr>
              <w:t>Un déficit de réalisation des plans d’aménagements des forêts publiques et des PSG-Plans simples de gestion en forêt privée.</w:t>
            </w:r>
          </w:p>
          <w:p w:rsidR="0035701C" w:rsidRDefault="00FB561B">
            <w:pPr>
              <w:spacing w:before="240" w:after="240"/>
              <w:jc w:val="left"/>
              <w:rPr>
                <w:szCs w:val="24"/>
              </w:rPr>
            </w:pPr>
            <w:r>
              <w:rPr>
                <w:b/>
                <w:bCs/>
                <w:szCs w:val="24"/>
              </w:rPr>
              <w:t>Terri</w:t>
            </w:r>
            <w:r>
              <w:rPr>
                <w:b/>
                <w:bCs/>
                <w:szCs w:val="24"/>
              </w:rPr>
              <w:t>toires et développement rural</w:t>
            </w:r>
          </w:p>
          <w:p w:rsidR="0035701C" w:rsidRDefault="00FB561B" w:rsidP="00FB561B">
            <w:pPr>
              <w:numPr>
                <w:ilvl w:val="0"/>
                <w:numId w:val="31"/>
              </w:numPr>
              <w:spacing w:before="240" w:after="0"/>
              <w:ind w:hanging="210"/>
              <w:jc w:val="left"/>
              <w:rPr>
                <w:szCs w:val="24"/>
              </w:rPr>
            </w:pPr>
            <w:r>
              <w:rPr>
                <w:szCs w:val="24"/>
              </w:rPr>
              <w:t>Une densité de population rurale très faible, un habitat dispersé en villages et hameaux. Cette faiblesse étant consubstantielle de l’absence d’activité et du manque de services essentiels aux populations (écoles, services pub</w:t>
            </w:r>
            <w:r>
              <w:rPr>
                <w:szCs w:val="24"/>
              </w:rPr>
              <w:t>lics et de santé, commerces de proximité)</w:t>
            </w:r>
          </w:p>
          <w:p w:rsidR="0035701C" w:rsidRDefault="00FB561B" w:rsidP="00FB561B">
            <w:pPr>
              <w:numPr>
                <w:ilvl w:val="0"/>
                <w:numId w:val="31"/>
              </w:numPr>
              <w:spacing w:before="0" w:after="0"/>
              <w:ind w:hanging="210"/>
              <w:jc w:val="left"/>
              <w:rPr>
                <w:szCs w:val="24"/>
              </w:rPr>
            </w:pPr>
            <w:r>
              <w:rPr>
                <w:szCs w:val="24"/>
              </w:rPr>
              <w:t>Un développement des territoires inégal (phénomène d’archipellisation) et souffrant d’isolement relatif au cloisonnement de l’île en vallées.</w:t>
            </w:r>
          </w:p>
          <w:p w:rsidR="0035701C" w:rsidRDefault="00FB561B" w:rsidP="00FB561B">
            <w:pPr>
              <w:numPr>
                <w:ilvl w:val="0"/>
                <w:numId w:val="31"/>
              </w:numPr>
              <w:spacing w:before="0" w:after="0"/>
              <w:ind w:hanging="210"/>
              <w:jc w:val="left"/>
              <w:rPr>
                <w:szCs w:val="24"/>
              </w:rPr>
            </w:pPr>
            <w:r>
              <w:rPr>
                <w:szCs w:val="24"/>
              </w:rPr>
              <w:t>Une situation géographique périphérique de la Corse, en marge des grands</w:t>
            </w:r>
            <w:r>
              <w:rPr>
                <w:szCs w:val="24"/>
              </w:rPr>
              <w:t xml:space="preserve"> flux économiques.</w:t>
            </w:r>
          </w:p>
          <w:p w:rsidR="0035701C" w:rsidRDefault="00FB561B" w:rsidP="00FB561B">
            <w:pPr>
              <w:numPr>
                <w:ilvl w:val="0"/>
                <w:numId w:val="31"/>
              </w:numPr>
              <w:spacing w:before="0" w:after="0"/>
              <w:ind w:hanging="210"/>
              <w:jc w:val="left"/>
              <w:rPr>
                <w:szCs w:val="24"/>
              </w:rPr>
            </w:pPr>
            <w:r>
              <w:rPr>
                <w:szCs w:val="24"/>
              </w:rPr>
              <w:t>De trop petites collectivités (360 communes) n’ayant pas les moyens du développement et des intercommunalités trop récentes dans l’intérieur de la Corse.</w:t>
            </w:r>
          </w:p>
          <w:p w:rsidR="0035701C" w:rsidRDefault="00FB561B" w:rsidP="00FB561B">
            <w:pPr>
              <w:numPr>
                <w:ilvl w:val="0"/>
                <w:numId w:val="31"/>
              </w:numPr>
              <w:spacing w:before="0" w:after="0"/>
              <w:ind w:hanging="210"/>
              <w:jc w:val="left"/>
              <w:rPr>
                <w:szCs w:val="24"/>
              </w:rPr>
            </w:pPr>
            <w:r>
              <w:rPr>
                <w:szCs w:val="24"/>
              </w:rPr>
              <w:t xml:space="preserve">Un phénomène de péri-urbanisation grandissant, qui s’est fortement accentué ces 15 </w:t>
            </w:r>
            <w:r>
              <w:rPr>
                <w:szCs w:val="24"/>
              </w:rPr>
              <w:t>dernières années, qui accompagne souvent la disparition de sol agricole et une spéculation sur les prix du foncier.</w:t>
            </w:r>
          </w:p>
          <w:p w:rsidR="0035701C" w:rsidRDefault="00FB561B" w:rsidP="00FB561B">
            <w:pPr>
              <w:numPr>
                <w:ilvl w:val="0"/>
                <w:numId w:val="31"/>
              </w:numPr>
              <w:spacing w:before="0" w:after="0"/>
              <w:ind w:hanging="210"/>
              <w:jc w:val="left"/>
              <w:rPr>
                <w:szCs w:val="24"/>
              </w:rPr>
            </w:pPr>
            <w:r>
              <w:rPr>
                <w:szCs w:val="24"/>
              </w:rPr>
              <w:t>Des flux touristiques encore inégalement répartis dans l’espace et dans le temps. La fréquentation tend à se concentrer sur le littoral et s</w:t>
            </w:r>
            <w:r>
              <w:rPr>
                <w:szCs w:val="24"/>
              </w:rPr>
              <w:t>ur la période estivale, et ce malgré des améliorations sensibles de l’étalement de la saison touristique en arrière-saison,</w:t>
            </w:r>
          </w:p>
          <w:p w:rsidR="0035701C" w:rsidRDefault="00FB561B" w:rsidP="00FB561B">
            <w:pPr>
              <w:numPr>
                <w:ilvl w:val="0"/>
                <w:numId w:val="31"/>
              </w:numPr>
              <w:spacing w:before="0" w:after="0"/>
              <w:ind w:hanging="210"/>
              <w:jc w:val="left"/>
              <w:rPr>
                <w:szCs w:val="24"/>
              </w:rPr>
            </w:pPr>
            <w:r>
              <w:rPr>
                <w:szCs w:val="24"/>
              </w:rPr>
              <w:t>Des services essentiels à la population rurale absents ou mal répartis (Santé et Education).</w:t>
            </w:r>
          </w:p>
          <w:p w:rsidR="0035701C" w:rsidRDefault="00FB561B" w:rsidP="00FB561B">
            <w:pPr>
              <w:numPr>
                <w:ilvl w:val="0"/>
                <w:numId w:val="31"/>
              </w:numPr>
              <w:spacing w:before="0" w:after="0"/>
              <w:ind w:hanging="210"/>
              <w:jc w:val="left"/>
              <w:rPr>
                <w:szCs w:val="24"/>
              </w:rPr>
            </w:pPr>
            <w:r>
              <w:rPr>
                <w:szCs w:val="24"/>
              </w:rPr>
              <w:t>Une difficulté pour les collectivités à</w:t>
            </w:r>
            <w:r>
              <w:rPr>
                <w:szCs w:val="24"/>
              </w:rPr>
              <w:t xml:space="preserve"> assumer les coûts liés aux aménagements ruraux.</w:t>
            </w:r>
          </w:p>
          <w:p w:rsidR="0035701C" w:rsidRDefault="00FB561B" w:rsidP="00FB561B">
            <w:pPr>
              <w:numPr>
                <w:ilvl w:val="0"/>
                <w:numId w:val="31"/>
              </w:numPr>
              <w:spacing w:before="0" w:after="0"/>
              <w:ind w:hanging="210"/>
              <w:jc w:val="left"/>
              <w:rPr>
                <w:szCs w:val="24"/>
              </w:rPr>
            </w:pPr>
            <w:r>
              <w:rPr>
                <w:szCs w:val="24"/>
              </w:rPr>
              <w:t>Une problématique foncière généralisée caractérisée par l’indivision, l’absence de propriétaires (décédés), l’absence de mise à jour du cadastre, l’absence de titre; cette situation peut concerner jusqu’à 80</w:t>
            </w:r>
            <w:r>
              <w:rPr>
                <w:szCs w:val="24"/>
              </w:rPr>
              <w:t>% des parcelles en milieu rural sur certaines Communes, ce qui annihile toute possibilité de création ou de développement d’activité. Ainsi une grande partie des baux ruraux sont « verbaux ».</w:t>
            </w:r>
          </w:p>
          <w:p w:rsidR="0035701C" w:rsidRDefault="00FB561B" w:rsidP="00FB561B">
            <w:pPr>
              <w:numPr>
                <w:ilvl w:val="0"/>
                <w:numId w:val="31"/>
              </w:numPr>
              <w:spacing w:before="0" w:after="0"/>
              <w:ind w:hanging="210"/>
              <w:jc w:val="left"/>
              <w:rPr>
                <w:szCs w:val="24"/>
              </w:rPr>
            </w:pPr>
            <w:r>
              <w:rPr>
                <w:szCs w:val="24"/>
              </w:rPr>
              <w:lastRenderedPageBreak/>
              <w:t>Une insuffisance des réseaux (routiers, TIC, électrique, eau)</w:t>
            </w:r>
          </w:p>
          <w:p w:rsidR="0035701C" w:rsidRDefault="00FB561B" w:rsidP="00FB561B">
            <w:pPr>
              <w:numPr>
                <w:ilvl w:val="0"/>
                <w:numId w:val="31"/>
              </w:numPr>
              <w:spacing w:before="0" w:after="240"/>
              <w:ind w:hanging="210"/>
              <w:jc w:val="left"/>
              <w:rPr>
                <w:szCs w:val="24"/>
              </w:rPr>
            </w:pPr>
            <w:r>
              <w:rPr>
                <w:szCs w:val="24"/>
              </w:rPr>
              <w:t>Un</w:t>
            </w:r>
            <w:r>
              <w:rPr>
                <w:szCs w:val="24"/>
              </w:rPr>
              <w:t xml:space="preserve"> relief difficile et montagneux qui complique l’accès et l’exploitabilité de la ressource (île la plus pentue de Méditerranée) et la logistique des exploitations agricoles et forestières (transport des intrants et commercialisation).</w:t>
            </w:r>
          </w:p>
          <w:p w:rsidR="0035701C" w:rsidRDefault="00FB561B">
            <w:pPr>
              <w:spacing w:before="240" w:after="240"/>
              <w:jc w:val="left"/>
              <w:rPr>
                <w:szCs w:val="24"/>
              </w:rPr>
            </w:pPr>
            <w:r>
              <w:rPr>
                <w:b/>
                <w:bCs/>
                <w:szCs w:val="24"/>
              </w:rPr>
              <w:t>Produits et Production</w:t>
            </w:r>
            <w:r>
              <w:rPr>
                <w:b/>
                <w:bCs/>
                <w:szCs w:val="24"/>
              </w:rPr>
              <w:t xml:space="preserve">s </w:t>
            </w:r>
          </w:p>
          <w:p w:rsidR="0035701C" w:rsidRDefault="00FB561B" w:rsidP="00FB561B">
            <w:pPr>
              <w:numPr>
                <w:ilvl w:val="0"/>
                <w:numId w:val="32"/>
              </w:numPr>
              <w:spacing w:before="240" w:after="0"/>
              <w:ind w:hanging="210"/>
              <w:jc w:val="left"/>
              <w:rPr>
                <w:szCs w:val="24"/>
              </w:rPr>
            </w:pPr>
            <w:r>
              <w:rPr>
                <w:szCs w:val="24"/>
              </w:rPr>
              <w:t>Une économie faiblement productive et générant une consommation de biens et denrées extérieurs à l’île (tourisme, BTP). Des secteurs fragiles et engendrant une certaine dépendance de la Corse face à une économie mondialisée.</w:t>
            </w:r>
          </w:p>
          <w:p w:rsidR="0035701C" w:rsidRDefault="00FB561B" w:rsidP="00FB561B">
            <w:pPr>
              <w:numPr>
                <w:ilvl w:val="0"/>
                <w:numId w:val="32"/>
              </w:numPr>
              <w:spacing w:before="0" w:after="0"/>
              <w:ind w:hanging="210"/>
              <w:jc w:val="left"/>
              <w:rPr>
                <w:szCs w:val="24"/>
              </w:rPr>
            </w:pPr>
            <w:r>
              <w:rPr>
                <w:szCs w:val="24"/>
              </w:rPr>
              <w:t>Une absence d’activité écono</w:t>
            </w:r>
            <w:r>
              <w:rPr>
                <w:szCs w:val="24"/>
              </w:rPr>
              <w:t>mique motrice en milieu rural avec un tissu économique réduit à des TPE</w:t>
            </w:r>
          </w:p>
          <w:p w:rsidR="0035701C" w:rsidRDefault="00FB561B" w:rsidP="00FB561B">
            <w:pPr>
              <w:numPr>
                <w:ilvl w:val="0"/>
                <w:numId w:val="32"/>
              </w:numPr>
              <w:spacing w:before="0" w:after="0"/>
              <w:ind w:hanging="210"/>
              <w:jc w:val="left"/>
              <w:rPr>
                <w:szCs w:val="24"/>
              </w:rPr>
            </w:pPr>
            <w:r>
              <w:rPr>
                <w:szCs w:val="24"/>
              </w:rPr>
              <w:t>Une agriculture qui ne pèse que faiblement dans l’économie insulaire (2% du PIB de la Corse)</w:t>
            </w:r>
          </w:p>
          <w:p w:rsidR="0035701C" w:rsidRDefault="00FB561B" w:rsidP="00FB561B">
            <w:pPr>
              <w:numPr>
                <w:ilvl w:val="0"/>
                <w:numId w:val="32"/>
              </w:numPr>
              <w:spacing w:before="0" w:after="0"/>
              <w:ind w:hanging="210"/>
              <w:jc w:val="left"/>
              <w:rPr>
                <w:szCs w:val="24"/>
              </w:rPr>
            </w:pPr>
            <w:r>
              <w:rPr>
                <w:szCs w:val="24"/>
              </w:rPr>
              <w:t>Une irrégularité de la production intra et inter-annuelle, ne facilitant pas les accords co</w:t>
            </w:r>
            <w:r>
              <w:rPr>
                <w:szCs w:val="24"/>
              </w:rPr>
              <w:t>mmerciaux et ne permettant pas de satisfaire le marché local.</w:t>
            </w:r>
          </w:p>
          <w:p w:rsidR="0035701C" w:rsidRDefault="00FB561B" w:rsidP="00FB561B">
            <w:pPr>
              <w:numPr>
                <w:ilvl w:val="0"/>
                <w:numId w:val="32"/>
              </w:numPr>
              <w:spacing w:before="0" w:after="0"/>
              <w:ind w:hanging="210"/>
              <w:jc w:val="left"/>
              <w:rPr>
                <w:szCs w:val="24"/>
              </w:rPr>
            </w:pPr>
            <w:r>
              <w:rPr>
                <w:szCs w:val="24"/>
              </w:rPr>
              <w:t>Des terres agricoles à fortes potentialités concentrées sur le littoral et les pénéplaines et limitées en montagnes. Avec les terres pastorales potentiellement améliorables, avec ou sans travail</w:t>
            </w:r>
            <w:r>
              <w:rPr>
                <w:szCs w:val="24"/>
              </w:rPr>
              <w:t xml:space="preserve"> du sol, elles représentent 127 000 ha, soit approximativement 15% du territoire.</w:t>
            </w:r>
          </w:p>
          <w:p w:rsidR="0035701C" w:rsidRDefault="00FB561B" w:rsidP="00FB561B">
            <w:pPr>
              <w:numPr>
                <w:ilvl w:val="0"/>
                <w:numId w:val="32"/>
              </w:numPr>
              <w:spacing w:before="0" w:after="0"/>
              <w:ind w:hanging="210"/>
              <w:jc w:val="left"/>
              <w:rPr>
                <w:szCs w:val="24"/>
              </w:rPr>
            </w:pPr>
            <w:r>
              <w:rPr>
                <w:szCs w:val="24"/>
              </w:rPr>
              <w:t>Des niveaux de revenus des producteurs inférieurs, pour des productions agricoles identiques, hors zone défavorisées.</w:t>
            </w:r>
          </w:p>
          <w:p w:rsidR="0035701C" w:rsidRDefault="00FB561B" w:rsidP="00FB561B">
            <w:pPr>
              <w:numPr>
                <w:ilvl w:val="0"/>
                <w:numId w:val="32"/>
              </w:numPr>
              <w:spacing w:before="0" w:after="0"/>
              <w:ind w:hanging="210"/>
              <w:jc w:val="left"/>
              <w:rPr>
                <w:szCs w:val="24"/>
              </w:rPr>
            </w:pPr>
            <w:r>
              <w:rPr>
                <w:szCs w:val="24"/>
              </w:rPr>
              <w:t xml:space="preserve">Des facteurs de production essentiels non maîtrisés par </w:t>
            </w:r>
            <w:r>
              <w:rPr>
                <w:szCs w:val="24"/>
              </w:rPr>
              <w:t>les exploitants (accès au foncier, accès au crédit bancaire)</w:t>
            </w:r>
          </w:p>
          <w:p w:rsidR="0035701C" w:rsidRDefault="00FB561B" w:rsidP="00FB561B">
            <w:pPr>
              <w:numPr>
                <w:ilvl w:val="0"/>
                <w:numId w:val="32"/>
              </w:numPr>
              <w:spacing w:before="0" w:after="0"/>
              <w:ind w:hanging="210"/>
              <w:jc w:val="left"/>
              <w:rPr>
                <w:szCs w:val="24"/>
              </w:rPr>
            </w:pPr>
            <w:r>
              <w:rPr>
                <w:szCs w:val="24"/>
              </w:rPr>
              <w:t>Une baisse des surfaces en culture notamment en arboriculture (kiwi, amande, châtaigne, prune), maraichage et agrumiculture.</w:t>
            </w:r>
          </w:p>
          <w:p w:rsidR="0035701C" w:rsidRDefault="00FB561B" w:rsidP="00FB561B">
            <w:pPr>
              <w:numPr>
                <w:ilvl w:val="0"/>
                <w:numId w:val="32"/>
              </w:numPr>
              <w:spacing w:before="0" w:after="0"/>
              <w:ind w:hanging="210"/>
              <w:jc w:val="left"/>
              <w:rPr>
                <w:szCs w:val="24"/>
              </w:rPr>
            </w:pPr>
            <w:r>
              <w:rPr>
                <w:szCs w:val="24"/>
              </w:rPr>
              <w:t>Une diminution des effectifs ovins-caprins et porcins sur les 10 derni</w:t>
            </w:r>
            <w:r>
              <w:rPr>
                <w:szCs w:val="24"/>
              </w:rPr>
              <w:t>ères années</w:t>
            </w:r>
          </w:p>
          <w:p w:rsidR="0035701C" w:rsidRDefault="00FB561B" w:rsidP="00FB561B">
            <w:pPr>
              <w:numPr>
                <w:ilvl w:val="0"/>
                <w:numId w:val="32"/>
              </w:numPr>
              <w:spacing w:before="0" w:after="0"/>
              <w:ind w:hanging="210"/>
              <w:jc w:val="left"/>
              <w:rPr>
                <w:szCs w:val="24"/>
              </w:rPr>
            </w:pPr>
            <w:r>
              <w:rPr>
                <w:szCs w:val="24"/>
              </w:rPr>
              <w:t>Une insuffisance de mise en valeur fourragère sur les exploitations d’élevage, sur la valorisation et la maîtrise des ligneux et un manque de technicité dans ces domaines.</w:t>
            </w:r>
          </w:p>
          <w:p w:rsidR="0035701C" w:rsidRDefault="00FB561B" w:rsidP="00FB561B">
            <w:pPr>
              <w:numPr>
                <w:ilvl w:val="0"/>
                <w:numId w:val="32"/>
              </w:numPr>
              <w:spacing w:before="0" w:after="0"/>
              <w:ind w:hanging="210"/>
              <w:jc w:val="left"/>
              <w:rPr>
                <w:szCs w:val="24"/>
              </w:rPr>
            </w:pPr>
            <w:r>
              <w:rPr>
                <w:szCs w:val="24"/>
              </w:rPr>
              <w:t>Des contraintes physiques à la mise en valeur des sols.</w:t>
            </w:r>
          </w:p>
          <w:p w:rsidR="0035701C" w:rsidRDefault="00FB561B" w:rsidP="00FB561B">
            <w:pPr>
              <w:numPr>
                <w:ilvl w:val="0"/>
                <w:numId w:val="32"/>
              </w:numPr>
              <w:spacing w:before="0" w:after="0"/>
              <w:ind w:hanging="210"/>
              <w:jc w:val="left"/>
              <w:rPr>
                <w:szCs w:val="24"/>
              </w:rPr>
            </w:pPr>
            <w:r>
              <w:rPr>
                <w:szCs w:val="24"/>
              </w:rPr>
              <w:t>Une insuffisance</w:t>
            </w:r>
            <w:r>
              <w:rPr>
                <w:szCs w:val="24"/>
              </w:rPr>
              <w:t xml:space="preserve"> de la coopération économique dans les secteurs de l’élevage en amont (CUMA notamment) comme en aval de la production.</w:t>
            </w:r>
          </w:p>
          <w:p w:rsidR="0035701C" w:rsidRDefault="00FB561B" w:rsidP="00FB561B">
            <w:pPr>
              <w:numPr>
                <w:ilvl w:val="0"/>
                <w:numId w:val="32"/>
              </w:numPr>
              <w:spacing w:before="0" w:after="0"/>
              <w:ind w:hanging="210"/>
              <w:jc w:val="left"/>
              <w:rPr>
                <w:szCs w:val="24"/>
              </w:rPr>
            </w:pPr>
            <w:r>
              <w:rPr>
                <w:szCs w:val="24"/>
              </w:rPr>
              <w:t>Une insuffisance des réseaux de suivis et de gestion des risques sanitaires</w:t>
            </w:r>
          </w:p>
          <w:p w:rsidR="0035701C" w:rsidRDefault="00FB561B" w:rsidP="00FB561B">
            <w:pPr>
              <w:numPr>
                <w:ilvl w:val="0"/>
                <w:numId w:val="32"/>
              </w:numPr>
              <w:spacing w:before="0" w:after="0"/>
              <w:ind w:hanging="210"/>
              <w:jc w:val="left"/>
              <w:rPr>
                <w:szCs w:val="24"/>
              </w:rPr>
            </w:pPr>
            <w:r>
              <w:rPr>
                <w:szCs w:val="24"/>
              </w:rPr>
              <w:t xml:space="preserve">Des bâtiments d'exploitation agricole insuffisamment adaptés </w:t>
            </w:r>
            <w:r>
              <w:rPr>
                <w:szCs w:val="24"/>
              </w:rPr>
              <w:t>aux systèmes de productions".</w:t>
            </w:r>
          </w:p>
          <w:p w:rsidR="0035701C" w:rsidRDefault="00FB561B" w:rsidP="00FB561B">
            <w:pPr>
              <w:numPr>
                <w:ilvl w:val="0"/>
                <w:numId w:val="32"/>
              </w:numPr>
              <w:spacing w:before="0" w:after="0"/>
              <w:ind w:hanging="210"/>
              <w:jc w:val="left"/>
              <w:rPr>
                <w:szCs w:val="24"/>
              </w:rPr>
            </w:pPr>
            <w:r>
              <w:rPr>
                <w:szCs w:val="24"/>
              </w:rPr>
              <w:t>Une déconnexion entre recherche, formation et besoins des professionnels</w:t>
            </w:r>
          </w:p>
          <w:p w:rsidR="0035701C" w:rsidRDefault="00FB561B" w:rsidP="00FB561B">
            <w:pPr>
              <w:numPr>
                <w:ilvl w:val="0"/>
                <w:numId w:val="32"/>
              </w:numPr>
              <w:spacing w:before="0" w:after="0"/>
              <w:ind w:hanging="210"/>
              <w:jc w:val="left"/>
              <w:rPr>
                <w:szCs w:val="24"/>
              </w:rPr>
            </w:pPr>
            <w:r>
              <w:rPr>
                <w:szCs w:val="24"/>
              </w:rPr>
              <w:t>Pour l’élevage, une part des aides européennes importantes dans la constitution du revenu</w:t>
            </w:r>
          </w:p>
          <w:p w:rsidR="0035701C" w:rsidRDefault="00FB561B" w:rsidP="00FB561B">
            <w:pPr>
              <w:numPr>
                <w:ilvl w:val="0"/>
                <w:numId w:val="32"/>
              </w:numPr>
              <w:spacing w:before="0" w:after="0"/>
              <w:ind w:hanging="210"/>
              <w:jc w:val="left"/>
              <w:rPr>
                <w:szCs w:val="24"/>
              </w:rPr>
            </w:pPr>
            <w:r>
              <w:rPr>
                <w:szCs w:val="24"/>
              </w:rPr>
              <w:t>La dépendance au continent français (fourrages, intrants, compl</w:t>
            </w:r>
            <w:r>
              <w:rPr>
                <w:szCs w:val="24"/>
              </w:rPr>
              <w:t>éments alimentaires)</w:t>
            </w:r>
          </w:p>
          <w:p w:rsidR="0035701C" w:rsidRDefault="00FB561B" w:rsidP="00FB561B">
            <w:pPr>
              <w:numPr>
                <w:ilvl w:val="0"/>
                <w:numId w:val="32"/>
              </w:numPr>
              <w:spacing w:before="0" w:after="0"/>
              <w:ind w:hanging="210"/>
              <w:jc w:val="left"/>
              <w:rPr>
                <w:szCs w:val="24"/>
              </w:rPr>
            </w:pPr>
            <w:r>
              <w:rPr>
                <w:szCs w:val="24"/>
              </w:rPr>
              <w:t>Une offre saisonnée globalement déficitaire  en volumes (fromage, charcuterie)</w:t>
            </w:r>
          </w:p>
          <w:p w:rsidR="0035701C" w:rsidRDefault="00FB561B" w:rsidP="00FB561B">
            <w:pPr>
              <w:numPr>
                <w:ilvl w:val="0"/>
                <w:numId w:val="32"/>
              </w:numPr>
              <w:spacing w:before="0" w:after="0"/>
              <w:ind w:hanging="210"/>
              <w:jc w:val="left"/>
              <w:rPr>
                <w:szCs w:val="24"/>
              </w:rPr>
            </w:pPr>
            <w:r>
              <w:rPr>
                <w:szCs w:val="24"/>
              </w:rPr>
              <w:t>Des organisations interprofessionnelles encore fragiles, en agriculture comme en sylviculture</w:t>
            </w:r>
          </w:p>
          <w:p w:rsidR="0035701C" w:rsidRDefault="00FB561B" w:rsidP="00FB561B">
            <w:pPr>
              <w:numPr>
                <w:ilvl w:val="0"/>
                <w:numId w:val="32"/>
              </w:numPr>
              <w:spacing w:before="0" w:after="0"/>
              <w:ind w:hanging="210"/>
              <w:jc w:val="left"/>
              <w:rPr>
                <w:szCs w:val="24"/>
              </w:rPr>
            </w:pPr>
            <w:r>
              <w:rPr>
                <w:szCs w:val="24"/>
              </w:rPr>
              <w:t>Absence de masse critique au niveau interprofessionnel (sylvic</w:t>
            </w:r>
            <w:r>
              <w:rPr>
                <w:szCs w:val="24"/>
              </w:rPr>
              <w:t>ulture par exemple)</w:t>
            </w:r>
          </w:p>
          <w:p w:rsidR="0035701C" w:rsidRDefault="00FB561B" w:rsidP="00FB561B">
            <w:pPr>
              <w:numPr>
                <w:ilvl w:val="0"/>
                <w:numId w:val="32"/>
              </w:numPr>
              <w:spacing w:before="0" w:after="0"/>
              <w:ind w:hanging="210"/>
              <w:jc w:val="left"/>
              <w:rPr>
                <w:szCs w:val="24"/>
              </w:rPr>
            </w:pPr>
            <w:r>
              <w:rPr>
                <w:szCs w:val="24"/>
              </w:rPr>
              <w:t>Des élevages cumulant de fortes contraintes, notamment en zone de montagne : topographie, sols, desserte, climat.</w:t>
            </w:r>
          </w:p>
          <w:p w:rsidR="0035701C" w:rsidRDefault="00FB561B" w:rsidP="00FB561B">
            <w:pPr>
              <w:numPr>
                <w:ilvl w:val="0"/>
                <w:numId w:val="32"/>
              </w:numPr>
              <w:spacing w:before="0" w:after="0"/>
              <w:ind w:hanging="210"/>
              <w:jc w:val="left"/>
              <w:rPr>
                <w:szCs w:val="24"/>
              </w:rPr>
            </w:pPr>
            <w:r>
              <w:rPr>
                <w:szCs w:val="24"/>
              </w:rPr>
              <w:t xml:space="preserve">Des crises sanitaires à répétition (fièvre catarrhale) et la survenance de nouvelles maladies/parasites (matsucoccus, </w:t>
            </w:r>
            <w:r>
              <w:rPr>
                <w:szCs w:val="24"/>
              </w:rPr>
              <w:t>cynips,…) liée notamment à la facilité de circulation des biens et des personnes et l’absence de contrôle. Des espèces invasives présentes et mal contrôlées.</w:t>
            </w:r>
          </w:p>
          <w:p w:rsidR="0035701C" w:rsidRDefault="00FB561B" w:rsidP="00FB561B">
            <w:pPr>
              <w:numPr>
                <w:ilvl w:val="0"/>
                <w:numId w:val="32"/>
              </w:numPr>
              <w:spacing w:before="0" w:after="0"/>
              <w:ind w:hanging="210"/>
              <w:jc w:val="left"/>
              <w:rPr>
                <w:szCs w:val="24"/>
              </w:rPr>
            </w:pPr>
            <w:r>
              <w:rPr>
                <w:szCs w:val="24"/>
              </w:rPr>
              <w:t>Contexte difficile pour l'extraction des bois (relief, logistique, saisonnalité,…) et pour la sylv</w:t>
            </w:r>
            <w:r>
              <w:rPr>
                <w:szCs w:val="24"/>
              </w:rPr>
              <w:t>iculture. Une forêt notoirement sous exploitée.</w:t>
            </w:r>
          </w:p>
          <w:p w:rsidR="0035701C" w:rsidRDefault="00FB561B" w:rsidP="00FB561B">
            <w:pPr>
              <w:numPr>
                <w:ilvl w:val="0"/>
                <w:numId w:val="32"/>
              </w:numPr>
              <w:spacing w:before="0" w:after="0"/>
              <w:ind w:hanging="210"/>
              <w:jc w:val="left"/>
              <w:rPr>
                <w:szCs w:val="24"/>
              </w:rPr>
            </w:pPr>
            <w:r>
              <w:rPr>
                <w:szCs w:val="24"/>
              </w:rPr>
              <w:t>Un déficit de sylviculture, entraînant une production de bois de faible qualité.</w:t>
            </w:r>
          </w:p>
          <w:p w:rsidR="0035701C" w:rsidRDefault="00FB561B" w:rsidP="00FB561B">
            <w:pPr>
              <w:numPr>
                <w:ilvl w:val="0"/>
                <w:numId w:val="32"/>
              </w:numPr>
              <w:spacing w:before="0" w:after="0"/>
              <w:ind w:hanging="210"/>
              <w:jc w:val="left"/>
              <w:rPr>
                <w:szCs w:val="24"/>
              </w:rPr>
            </w:pPr>
            <w:r>
              <w:rPr>
                <w:szCs w:val="24"/>
              </w:rPr>
              <w:lastRenderedPageBreak/>
              <w:t>Une accessibilité très défavorable à la sylviculture (réseau peu développé).</w:t>
            </w:r>
          </w:p>
          <w:p w:rsidR="0035701C" w:rsidRDefault="00FB561B" w:rsidP="00FB561B">
            <w:pPr>
              <w:numPr>
                <w:ilvl w:val="0"/>
                <w:numId w:val="32"/>
              </w:numPr>
              <w:spacing w:before="0" w:after="0"/>
              <w:ind w:hanging="210"/>
              <w:jc w:val="left"/>
              <w:rPr>
                <w:szCs w:val="24"/>
              </w:rPr>
            </w:pPr>
            <w:r>
              <w:rPr>
                <w:szCs w:val="24"/>
              </w:rPr>
              <w:t xml:space="preserve">Un manque d'adaptation des entreprises de 1ère et </w:t>
            </w:r>
            <w:r>
              <w:rPr>
                <w:szCs w:val="24"/>
              </w:rPr>
              <w:t>de 2nde transformation forestière (exploitants forestiers, scieries) qui conduit à une sous-valorisation des essences et des produits locaux en aval (2nde transformation : menuiserie, charpente).</w:t>
            </w:r>
          </w:p>
          <w:p w:rsidR="0035701C" w:rsidRDefault="00FB561B" w:rsidP="00FB561B">
            <w:pPr>
              <w:numPr>
                <w:ilvl w:val="0"/>
                <w:numId w:val="32"/>
              </w:numPr>
              <w:spacing w:before="0" w:after="0"/>
              <w:ind w:hanging="210"/>
              <w:jc w:val="left"/>
              <w:rPr>
                <w:szCs w:val="24"/>
              </w:rPr>
            </w:pPr>
            <w:r>
              <w:rPr>
                <w:szCs w:val="24"/>
              </w:rPr>
              <w:t>Une faiblesse voire une inexistence de la pratique du bois d</w:t>
            </w:r>
            <w:r>
              <w:rPr>
                <w:szCs w:val="24"/>
              </w:rPr>
              <w:t>ans l'habitat (1% de construction bois en Corse, contre 11% en France).</w:t>
            </w:r>
          </w:p>
          <w:p w:rsidR="0035701C" w:rsidRDefault="00FB561B" w:rsidP="00FB561B">
            <w:pPr>
              <w:numPr>
                <w:ilvl w:val="0"/>
                <w:numId w:val="32"/>
              </w:numPr>
              <w:spacing w:before="0" w:after="240"/>
              <w:ind w:hanging="210"/>
              <w:jc w:val="left"/>
              <w:rPr>
                <w:szCs w:val="24"/>
              </w:rPr>
            </w:pPr>
            <w:r>
              <w:rPr>
                <w:szCs w:val="24"/>
              </w:rPr>
              <w:t>Une sous-valorisation des produits de la forêt :</w:t>
            </w:r>
            <w:r>
              <w:rPr>
                <w:szCs w:val="24"/>
              </w:rPr>
              <w:br/>
              <w:t>- petits bois (valorisation principale en bois énergie pour du bois valorisable en bois d'œuvre)</w:t>
            </w:r>
            <w:r>
              <w:rPr>
                <w:szCs w:val="24"/>
              </w:rPr>
              <w:br/>
              <w:t xml:space="preserve">- "crise du marché du bouchon (baisse </w:t>
            </w:r>
            <w:r>
              <w:rPr>
                <w:szCs w:val="24"/>
              </w:rPr>
              <w:t>des prix du liège, concurrence des bouchons en résine) entrainant une dégradation de la qualité générale du liège en Corse et une régression du nombre d'ouvriers qualifiés pour l'extraction du liège."</w:t>
            </w:r>
          </w:p>
          <w:p w:rsidR="0035701C" w:rsidRDefault="00FB561B">
            <w:pPr>
              <w:spacing w:before="240" w:after="240"/>
              <w:jc w:val="left"/>
              <w:rPr>
                <w:szCs w:val="24"/>
              </w:rPr>
            </w:pPr>
            <w:r>
              <w:rPr>
                <w:b/>
                <w:bCs/>
                <w:szCs w:val="24"/>
              </w:rPr>
              <w:t>Les producteurs et l’installation agricole</w:t>
            </w:r>
          </w:p>
          <w:p w:rsidR="0035701C" w:rsidRDefault="00FB561B" w:rsidP="00FB561B">
            <w:pPr>
              <w:numPr>
                <w:ilvl w:val="0"/>
                <w:numId w:val="33"/>
              </w:numPr>
              <w:spacing w:before="240" w:after="0"/>
              <w:ind w:hanging="210"/>
              <w:jc w:val="left"/>
              <w:rPr>
                <w:szCs w:val="24"/>
              </w:rPr>
            </w:pPr>
            <w:r>
              <w:rPr>
                <w:szCs w:val="24"/>
              </w:rPr>
              <w:t>Une populati</w:t>
            </w:r>
            <w:r>
              <w:rPr>
                <w:szCs w:val="24"/>
              </w:rPr>
              <w:t>on agricole vieillissante sans repreneurs, avec des difficultés à investir. L’installation agricole souffre d’un manque d’attractivité et d’une lenteur dans le déroulement du projet</w:t>
            </w:r>
          </w:p>
          <w:p w:rsidR="0035701C" w:rsidRDefault="00FB561B" w:rsidP="00FB561B">
            <w:pPr>
              <w:numPr>
                <w:ilvl w:val="0"/>
                <w:numId w:val="33"/>
              </w:numPr>
              <w:spacing w:before="0" w:after="0"/>
              <w:ind w:hanging="210"/>
              <w:jc w:val="left"/>
              <w:rPr>
                <w:szCs w:val="24"/>
              </w:rPr>
            </w:pPr>
            <w:r>
              <w:rPr>
                <w:szCs w:val="24"/>
              </w:rPr>
              <w:t>Une baisse de la population agricole et du nombre d’exploitations</w:t>
            </w:r>
          </w:p>
          <w:p w:rsidR="0035701C" w:rsidRDefault="00FB561B" w:rsidP="00FB561B">
            <w:pPr>
              <w:numPr>
                <w:ilvl w:val="0"/>
                <w:numId w:val="33"/>
              </w:numPr>
              <w:spacing w:before="0" w:after="0"/>
              <w:ind w:hanging="210"/>
              <w:jc w:val="left"/>
              <w:rPr>
                <w:szCs w:val="24"/>
              </w:rPr>
            </w:pPr>
            <w:r>
              <w:rPr>
                <w:szCs w:val="24"/>
              </w:rPr>
              <w:t xml:space="preserve">Une </w:t>
            </w:r>
            <w:r>
              <w:rPr>
                <w:szCs w:val="24"/>
              </w:rPr>
              <w:t>technicité et un niveau de formation trop faible des exploitants, Formation initiale des agriculteurs au plus bas niveau (diplôme de niveau IV)</w:t>
            </w:r>
          </w:p>
          <w:p w:rsidR="0035701C" w:rsidRDefault="00FB561B" w:rsidP="00FB561B">
            <w:pPr>
              <w:numPr>
                <w:ilvl w:val="0"/>
                <w:numId w:val="33"/>
              </w:numPr>
              <w:spacing w:before="0" w:after="0"/>
              <w:ind w:hanging="210"/>
              <w:jc w:val="left"/>
              <w:rPr>
                <w:szCs w:val="24"/>
              </w:rPr>
            </w:pPr>
            <w:r>
              <w:rPr>
                <w:szCs w:val="24"/>
              </w:rPr>
              <w:t>Accompagnement technique rendu difficile en l’absence de formation initiale suffisante notamment dans les filièr</w:t>
            </w:r>
            <w:r>
              <w:rPr>
                <w:szCs w:val="24"/>
              </w:rPr>
              <w:t>es d’élevage ou cumulant plusieurs ateliers (poly-élevage et transformation par exemple).</w:t>
            </w:r>
          </w:p>
          <w:p w:rsidR="0035701C" w:rsidRDefault="00FB561B" w:rsidP="00FB561B">
            <w:pPr>
              <w:numPr>
                <w:ilvl w:val="0"/>
                <w:numId w:val="33"/>
              </w:numPr>
              <w:spacing w:before="0" w:after="0"/>
              <w:ind w:hanging="210"/>
              <w:jc w:val="left"/>
              <w:rPr>
                <w:szCs w:val="24"/>
              </w:rPr>
            </w:pPr>
            <w:r>
              <w:rPr>
                <w:szCs w:val="24"/>
              </w:rPr>
              <w:t>un taux de renouvellement encore insuffisant qui ne permet pas encore de compenser les départs prévisibles</w:t>
            </w:r>
          </w:p>
          <w:p w:rsidR="0035701C" w:rsidRDefault="00FB561B" w:rsidP="00FB561B">
            <w:pPr>
              <w:numPr>
                <w:ilvl w:val="0"/>
                <w:numId w:val="33"/>
              </w:numPr>
              <w:spacing w:before="0" w:after="0"/>
              <w:ind w:hanging="210"/>
              <w:jc w:val="left"/>
              <w:rPr>
                <w:szCs w:val="24"/>
              </w:rPr>
            </w:pPr>
            <w:r>
              <w:rPr>
                <w:szCs w:val="24"/>
              </w:rPr>
              <w:t>Une insuffisance de transmission (cession/reprise) des expl</w:t>
            </w:r>
            <w:r>
              <w:rPr>
                <w:szCs w:val="24"/>
              </w:rPr>
              <w:t>oitations, annihilant les efforts consentis pour moderniser ces outils de travail et constituer un patrimoine.</w:t>
            </w:r>
          </w:p>
          <w:p w:rsidR="0035701C" w:rsidRDefault="00FB561B" w:rsidP="00FB561B">
            <w:pPr>
              <w:numPr>
                <w:ilvl w:val="0"/>
                <w:numId w:val="33"/>
              </w:numPr>
              <w:spacing w:before="0" w:after="0"/>
              <w:ind w:hanging="210"/>
              <w:jc w:val="left"/>
              <w:rPr>
                <w:szCs w:val="24"/>
              </w:rPr>
            </w:pPr>
            <w:r>
              <w:rPr>
                <w:szCs w:val="24"/>
              </w:rPr>
              <w:t>Une démographie rurale et un cadre de vie apparaissant peu attractifs pour les jeunes, en particulier hors cadre familial</w:t>
            </w:r>
          </w:p>
          <w:p w:rsidR="0035701C" w:rsidRDefault="00FB561B" w:rsidP="00FB561B">
            <w:pPr>
              <w:numPr>
                <w:ilvl w:val="0"/>
                <w:numId w:val="33"/>
              </w:numPr>
              <w:spacing w:before="0" w:after="0"/>
              <w:ind w:hanging="210"/>
              <w:jc w:val="left"/>
              <w:rPr>
                <w:szCs w:val="24"/>
              </w:rPr>
            </w:pPr>
            <w:r>
              <w:rPr>
                <w:szCs w:val="24"/>
              </w:rPr>
              <w:t>Des problèmes liés à l’</w:t>
            </w:r>
            <w:r>
              <w:rPr>
                <w:szCs w:val="24"/>
              </w:rPr>
              <w:t>absence de réseaux (eau, électricité) qui constituent un frein à l’installation de jeunes en particulier en zone de montagne.</w:t>
            </w:r>
          </w:p>
          <w:p w:rsidR="0035701C" w:rsidRDefault="00FB561B" w:rsidP="00FB561B">
            <w:pPr>
              <w:numPr>
                <w:ilvl w:val="0"/>
                <w:numId w:val="33"/>
              </w:numPr>
              <w:spacing w:before="0" w:after="0"/>
              <w:ind w:hanging="210"/>
              <w:jc w:val="left"/>
              <w:rPr>
                <w:szCs w:val="24"/>
              </w:rPr>
            </w:pPr>
            <w:r>
              <w:rPr>
                <w:szCs w:val="24"/>
              </w:rPr>
              <w:t>Un âge moyen d’installation aidée (31 ans) qui n’apparait pas en rapport avec le niveau de formation majoritaire (niveau IV). L’ag</w:t>
            </w:r>
            <w:r>
              <w:rPr>
                <w:szCs w:val="24"/>
              </w:rPr>
              <w:t>riculture n’attire pas suffisamment de très jeunes publics.</w:t>
            </w:r>
          </w:p>
          <w:p w:rsidR="0035701C" w:rsidRDefault="00FB561B" w:rsidP="00FB561B">
            <w:pPr>
              <w:numPr>
                <w:ilvl w:val="0"/>
                <w:numId w:val="33"/>
              </w:numPr>
              <w:spacing w:before="0" w:after="0"/>
              <w:ind w:hanging="210"/>
              <w:jc w:val="left"/>
              <w:rPr>
                <w:szCs w:val="24"/>
              </w:rPr>
            </w:pPr>
            <w:r>
              <w:rPr>
                <w:szCs w:val="24"/>
              </w:rPr>
              <w:t>Création d’exploitation délicate pour certaines productions en raison du délai d’entrée en production (arboriculture, vigne…).</w:t>
            </w:r>
          </w:p>
          <w:p w:rsidR="0035701C" w:rsidRDefault="00FB561B" w:rsidP="00FB561B">
            <w:pPr>
              <w:numPr>
                <w:ilvl w:val="0"/>
                <w:numId w:val="33"/>
              </w:numPr>
              <w:spacing w:before="0" w:after="0"/>
              <w:ind w:hanging="210"/>
              <w:jc w:val="left"/>
              <w:rPr>
                <w:szCs w:val="24"/>
              </w:rPr>
            </w:pPr>
            <w:r>
              <w:rPr>
                <w:szCs w:val="24"/>
              </w:rPr>
              <w:t>une structuration lente de la jeune exploitation du fait de la fragil</w:t>
            </w:r>
            <w:r>
              <w:rPr>
                <w:szCs w:val="24"/>
              </w:rPr>
              <w:t>ité des plans de financement caractérisés par une carence en fonds propres et une défaillance du financement bancaire.</w:t>
            </w:r>
          </w:p>
          <w:p w:rsidR="0035701C" w:rsidRDefault="00FB561B" w:rsidP="00FB561B">
            <w:pPr>
              <w:numPr>
                <w:ilvl w:val="0"/>
                <w:numId w:val="33"/>
              </w:numPr>
              <w:spacing w:before="0" w:after="240"/>
              <w:ind w:hanging="210"/>
              <w:jc w:val="left"/>
              <w:rPr>
                <w:szCs w:val="24"/>
              </w:rPr>
            </w:pPr>
            <w:r>
              <w:rPr>
                <w:szCs w:val="24"/>
              </w:rPr>
              <w:t>Un nombre d’installation insuffisant</w:t>
            </w:r>
          </w:p>
          <w:p w:rsidR="0035701C" w:rsidRDefault="00FB561B">
            <w:pPr>
              <w:spacing w:before="240" w:after="240"/>
              <w:jc w:val="left"/>
              <w:rPr>
                <w:szCs w:val="24"/>
              </w:rPr>
            </w:pPr>
            <w:r>
              <w:rPr>
                <w:b/>
                <w:bCs/>
                <w:szCs w:val="24"/>
              </w:rPr>
              <w:t>Gestion des ressources naturelles, Biodiversité et paysages</w:t>
            </w:r>
          </w:p>
          <w:p w:rsidR="0035701C" w:rsidRDefault="00FB561B" w:rsidP="00FB561B">
            <w:pPr>
              <w:numPr>
                <w:ilvl w:val="0"/>
                <w:numId w:val="34"/>
              </w:numPr>
              <w:spacing w:before="240" w:after="0"/>
              <w:ind w:hanging="210"/>
              <w:jc w:val="left"/>
              <w:rPr>
                <w:szCs w:val="24"/>
              </w:rPr>
            </w:pPr>
            <w:r>
              <w:rPr>
                <w:szCs w:val="24"/>
              </w:rPr>
              <w:t>Une absence d’anticipation au changement</w:t>
            </w:r>
            <w:r>
              <w:rPr>
                <w:szCs w:val="24"/>
              </w:rPr>
              <w:t xml:space="preserve"> climatique (irrigation, cultivars,…) et aux aléas (volatilité des prix, difficulté d’assurance, crise financière, épizootie, calamités)</w:t>
            </w:r>
          </w:p>
          <w:p w:rsidR="0035701C" w:rsidRDefault="00FB561B" w:rsidP="00FB561B">
            <w:pPr>
              <w:numPr>
                <w:ilvl w:val="0"/>
                <w:numId w:val="34"/>
              </w:numPr>
              <w:spacing w:before="0" w:after="0"/>
              <w:ind w:hanging="210"/>
              <w:jc w:val="left"/>
              <w:rPr>
                <w:szCs w:val="24"/>
              </w:rPr>
            </w:pPr>
            <w:r>
              <w:rPr>
                <w:szCs w:val="24"/>
              </w:rPr>
              <w:t>Une fermeture des milieux favorisant le risque incendie (emmaquisement)</w:t>
            </w:r>
          </w:p>
          <w:p w:rsidR="0035701C" w:rsidRDefault="00FB561B" w:rsidP="00FB561B">
            <w:pPr>
              <w:numPr>
                <w:ilvl w:val="0"/>
                <w:numId w:val="34"/>
              </w:numPr>
              <w:spacing w:before="0" w:after="0"/>
              <w:ind w:hanging="210"/>
              <w:jc w:val="left"/>
              <w:rPr>
                <w:szCs w:val="24"/>
              </w:rPr>
            </w:pPr>
            <w:r>
              <w:rPr>
                <w:szCs w:val="24"/>
              </w:rPr>
              <w:t>Forêts vieillissantes générant des risques de c</w:t>
            </w:r>
            <w:r>
              <w:rPr>
                <w:szCs w:val="24"/>
              </w:rPr>
              <w:t>hablîs important</w:t>
            </w:r>
          </w:p>
          <w:p w:rsidR="0035701C" w:rsidRDefault="00FB561B" w:rsidP="00FB561B">
            <w:pPr>
              <w:numPr>
                <w:ilvl w:val="0"/>
                <w:numId w:val="34"/>
              </w:numPr>
              <w:spacing w:before="0" w:after="0"/>
              <w:ind w:hanging="210"/>
              <w:jc w:val="left"/>
              <w:rPr>
                <w:szCs w:val="24"/>
              </w:rPr>
            </w:pPr>
            <w:r>
              <w:rPr>
                <w:szCs w:val="24"/>
              </w:rPr>
              <w:t>En haute montagne, forte pente favorisant l’érosion dans des zones ou l’agriculture est absente ou pratiqué uniquement sous forme de pâturage.</w:t>
            </w:r>
          </w:p>
          <w:p w:rsidR="0035701C" w:rsidRDefault="00FB561B" w:rsidP="00FB561B">
            <w:pPr>
              <w:numPr>
                <w:ilvl w:val="0"/>
                <w:numId w:val="34"/>
              </w:numPr>
              <w:spacing w:before="0" w:after="0"/>
              <w:ind w:hanging="210"/>
              <w:jc w:val="left"/>
              <w:rPr>
                <w:szCs w:val="24"/>
              </w:rPr>
            </w:pPr>
            <w:r>
              <w:rPr>
                <w:szCs w:val="24"/>
              </w:rPr>
              <w:t>Sur les coteaux : pente rendant difficile la mécanisation.</w:t>
            </w:r>
          </w:p>
          <w:p w:rsidR="0035701C" w:rsidRDefault="00FB561B" w:rsidP="00FB561B">
            <w:pPr>
              <w:numPr>
                <w:ilvl w:val="0"/>
                <w:numId w:val="34"/>
              </w:numPr>
              <w:spacing w:before="0" w:after="240"/>
              <w:ind w:hanging="210"/>
              <w:jc w:val="left"/>
              <w:rPr>
                <w:szCs w:val="24"/>
              </w:rPr>
            </w:pPr>
            <w:r>
              <w:rPr>
                <w:szCs w:val="24"/>
              </w:rPr>
              <w:lastRenderedPageBreak/>
              <w:t xml:space="preserve">Les revenus agricoles faibles et les </w:t>
            </w:r>
            <w:r>
              <w:rPr>
                <w:szCs w:val="24"/>
              </w:rPr>
              <w:t>difficultés liées aux systèmes agropastoraux dans les zones à contrainte conduisent à la déprise agricole qui entraine un effet négatif sur le maintien des espaces naturels et la protection de la biodiversité.</w:t>
            </w:r>
          </w:p>
          <w:p w:rsidR="0035701C" w:rsidRDefault="0035701C">
            <w:pPr>
              <w:pStyle w:val="Corpsdetexte"/>
            </w:pPr>
          </w:p>
        </w:tc>
      </w:tr>
    </w:tbl>
    <w:p w:rsidR="0035701C" w:rsidRDefault="00FB561B">
      <w:pPr>
        <w:pStyle w:val="Titre3"/>
        <w:jc w:val="left"/>
      </w:pPr>
      <w:bookmarkStart w:id="32" w:name="_Toc256000031"/>
      <w:r>
        <w:lastRenderedPageBreak/>
        <w:t>Opportunités recensées dans la zone de progr</w:t>
      </w:r>
      <w:r>
        <w:t>ammation</w:t>
      </w:r>
      <w:bookmarkEnd w:id="3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b/>
                <w:bCs/>
                <w:szCs w:val="24"/>
              </w:rPr>
              <w:t>Contexte institutionnel</w:t>
            </w:r>
          </w:p>
          <w:p w:rsidR="0035701C" w:rsidRDefault="00FB561B" w:rsidP="00FB561B">
            <w:pPr>
              <w:numPr>
                <w:ilvl w:val="0"/>
                <w:numId w:val="35"/>
              </w:numPr>
              <w:spacing w:before="240" w:after="240"/>
              <w:ind w:hanging="210"/>
              <w:jc w:val="left"/>
              <w:rPr>
                <w:szCs w:val="24"/>
              </w:rPr>
            </w:pPr>
            <w:r>
              <w:rPr>
                <w:szCs w:val="24"/>
              </w:rPr>
              <w:t>Un développement de l’intercommunalité pouvant faciliter l’initiative et le portage technique et financier des projets.</w:t>
            </w:r>
          </w:p>
          <w:p w:rsidR="0035701C" w:rsidRDefault="00FB561B">
            <w:pPr>
              <w:spacing w:before="240" w:after="240"/>
              <w:jc w:val="left"/>
              <w:rPr>
                <w:szCs w:val="24"/>
              </w:rPr>
            </w:pPr>
            <w:r>
              <w:rPr>
                <w:b/>
                <w:bCs/>
                <w:szCs w:val="24"/>
              </w:rPr>
              <w:t>Territoire et développement rural</w:t>
            </w:r>
          </w:p>
          <w:p w:rsidR="0035701C" w:rsidRDefault="00FB561B" w:rsidP="00FB561B">
            <w:pPr>
              <w:numPr>
                <w:ilvl w:val="0"/>
                <w:numId w:val="36"/>
              </w:numPr>
              <w:spacing w:before="240" w:after="0"/>
              <w:ind w:hanging="210"/>
              <w:jc w:val="left"/>
              <w:rPr>
                <w:szCs w:val="24"/>
              </w:rPr>
            </w:pPr>
            <w:r>
              <w:rPr>
                <w:szCs w:val="24"/>
              </w:rPr>
              <w:t xml:space="preserve">Une situation géographique au cœur de la Méditerranée pouvant </w:t>
            </w:r>
            <w:r>
              <w:rPr>
                <w:szCs w:val="24"/>
              </w:rPr>
              <w:t>engendrer un développement des relations régionales (Corse/Sardaigne) et entre la rive Nord (Italie, PACA) et Sud (Malte, Maghreb).</w:t>
            </w:r>
          </w:p>
          <w:p w:rsidR="0035701C" w:rsidRDefault="00FB561B" w:rsidP="00FB561B">
            <w:pPr>
              <w:numPr>
                <w:ilvl w:val="0"/>
                <w:numId w:val="36"/>
              </w:numPr>
              <w:spacing w:before="0" w:after="0"/>
              <w:ind w:hanging="210"/>
              <w:jc w:val="left"/>
              <w:rPr>
                <w:szCs w:val="24"/>
              </w:rPr>
            </w:pPr>
            <w:r>
              <w:rPr>
                <w:szCs w:val="24"/>
              </w:rPr>
              <w:t xml:space="preserve">La mise en œuvre d’un plan montagne issu des propositions du PADDUC en faveur de ces territoires, permettant l’émergence de </w:t>
            </w:r>
            <w:r>
              <w:rPr>
                <w:szCs w:val="24"/>
              </w:rPr>
              <w:t>services essentiels à la population, l’amélioration des réseaux et le développement d’activités endogènes (pleine nature, production agricole et forestière).</w:t>
            </w:r>
          </w:p>
          <w:p w:rsidR="0035701C" w:rsidRDefault="00FB561B" w:rsidP="00FB561B">
            <w:pPr>
              <w:numPr>
                <w:ilvl w:val="0"/>
                <w:numId w:val="36"/>
              </w:numPr>
              <w:spacing w:before="0" w:after="0"/>
              <w:ind w:hanging="210"/>
              <w:jc w:val="left"/>
              <w:rPr>
                <w:szCs w:val="24"/>
              </w:rPr>
            </w:pPr>
            <w:r>
              <w:rPr>
                <w:szCs w:val="24"/>
              </w:rPr>
              <w:t>Des besoins de services à la population favorisés par l’accroissement de la population potentielle</w:t>
            </w:r>
            <w:r>
              <w:rPr>
                <w:szCs w:val="24"/>
              </w:rPr>
              <w:t>ment pourvoyeurs d’emplois qui pourraient se diffuser au monde rural.</w:t>
            </w:r>
          </w:p>
          <w:p w:rsidR="0035701C" w:rsidRDefault="00FB561B" w:rsidP="00FB561B">
            <w:pPr>
              <w:numPr>
                <w:ilvl w:val="0"/>
                <w:numId w:val="36"/>
              </w:numPr>
              <w:spacing w:before="0" w:after="0"/>
              <w:ind w:hanging="210"/>
              <w:jc w:val="left"/>
              <w:rPr>
                <w:szCs w:val="24"/>
              </w:rPr>
            </w:pPr>
            <w:r>
              <w:rPr>
                <w:szCs w:val="24"/>
              </w:rPr>
              <w:t>Une rationalisation de l’occupation et de l’usage des sols sous tendue par des actions collectives sur le foncier, ou la réalisation de documents de planification urbaine permettant de g</w:t>
            </w:r>
            <w:r>
              <w:rPr>
                <w:szCs w:val="24"/>
              </w:rPr>
              <w:t>arantir la terre agricole et contribuer à limiter les départs et/ou la propagation des incendies.</w:t>
            </w:r>
          </w:p>
          <w:p w:rsidR="0035701C" w:rsidRDefault="00FB561B" w:rsidP="00FB561B">
            <w:pPr>
              <w:numPr>
                <w:ilvl w:val="0"/>
                <w:numId w:val="36"/>
              </w:numPr>
              <w:spacing w:before="0" w:after="0"/>
              <w:ind w:hanging="210"/>
              <w:jc w:val="left"/>
              <w:rPr>
                <w:szCs w:val="24"/>
              </w:rPr>
            </w:pPr>
            <w:r>
              <w:rPr>
                <w:szCs w:val="24"/>
              </w:rPr>
              <w:t>Une ouverture croissante des mentalités à la démarche de regroupement du foncier sous forme d’association foncière de propriétaires</w:t>
            </w:r>
          </w:p>
          <w:p w:rsidR="0035701C" w:rsidRDefault="00FB561B" w:rsidP="00FB561B">
            <w:pPr>
              <w:numPr>
                <w:ilvl w:val="0"/>
                <w:numId w:val="36"/>
              </w:numPr>
              <w:spacing w:before="0" w:after="240"/>
              <w:ind w:hanging="210"/>
              <w:jc w:val="left"/>
              <w:rPr>
                <w:szCs w:val="24"/>
              </w:rPr>
            </w:pPr>
            <w:r>
              <w:rPr>
                <w:szCs w:val="24"/>
              </w:rPr>
              <w:t>L’étalement de la saison t</w:t>
            </w:r>
            <w:r>
              <w:rPr>
                <w:szCs w:val="24"/>
              </w:rPr>
              <w:t>ouristique et le développement d’un tourisme vert et culturel profitant au secteur agricole et aux activités de pleine nature ou de service dans les zones rurales.</w:t>
            </w:r>
          </w:p>
          <w:p w:rsidR="0035701C" w:rsidRDefault="00FB561B">
            <w:pPr>
              <w:spacing w:before="240" w:after="240"/>
              <w:jc w:val="left"/>
              <w:rPr>
                <w:szCs w:val="24"/>
              </w:rPr>
            </w:pPr>
            <w:r>
              <w:rPr>
                <w:b/>
                <w:bCs/>
                <w:szCs w:val="24"/>
              </w:rPr>
              <w:t>Produits et productions</w:t>
            </w:r>
          </w:p>
          <w:p w:rsidR="0035701C" w:rsidRDefault="00FB561B" w:rsidP="00FB561B">
            <w:pPr>
              <w:numPr>
                <w:ilvl w:val="0"/>
                <w:numId w:val="37"/>
              </w:numPr>
              <w:spacing w:before="240" w:after="0"/>
              <w:ind w:hanging="210"/>
              <w:jc w:val="left"/>
              <w:rPr>
                <w:szCs w:val="24"/>
              </w:rPr>
            </w:pPr>
            <w:r>
              <w:rPr>
                <w:szCs w:val="24"/>
              </w:rPr>
              <w:t>Une réorientation de l’économie de la Corse vers un modèle plus prod</w:t>
            </w:r>
            <w:r>
              <w:rPr>
                <w:szCs w:val="24"/>
              </w:rPr>
              <w:t>uctif (vs consommation) qui favorise l’emploi agricole, forestier et rural.</w:t>
            </w:r>
          </w:p>
          <w:p w:rsidR="0035701C" w:rsidRDefault="00FB561B" w:rsidP="00FB561B">
            <w:pPr>
              <w:numPr>
                <w:ilvl w:val="0"/>
                <w:numId w:val="37"/>
              </w:numPr>
              <w:spacing w:before="0" w:after="0"/>
              <w:ind w:hanging="210"/>
              <w:jc w:val="left"/>
              <w:rPr>
                <w:szCs w:val="24"/>
              </w:rPr>
            </w:pPr>
            <w:r>
              <w:rPr>
                <w:szCs w:val="24"/>
              </w:rPr>
              <w:t>Une demande de produits agricoles ou transformés apparaissant supérieure à l'offre dans la plupart des filières. Le marché local notamment lié au tourisme offre arithmétiquement de</w:t>
            </w:r>
            <w:r>
              <w:rPr>
                <w:szCs w:val="24"/>
              </w:rPr>
              <w:t xml:space="preserve"> très larges potentialités.</w:t>
            </w:r>
          </w:p>
          <w:p w:rsidR="0035701C" w:rsidRDefault="00FB561B" w:rsidP="00FB561B">
            <w:pPr>
              <w:numPr>
                <w:ilvl w:val="0"/>
                <w:numId w:val="37"/>
              </w:numPr>
              <w:spacing w:before="0" w:after="0"/>
              <w:ind w:hanging="210"/>
              <w:jc w:val="left"/>
              <w:rPr>
                <w:szCs w:val="24"/>
              </w:rPr>
            </w:pPr>
            <w:r>
              <w:rPr>
                <w:szCs w:val="24"/>
              </w:rPr>
              <w:t>Une augmentation de la capacité d’auto-approvisionnement de l’île qui permette de diminuer d’autant la dépendance vis-à-vis de l’extérieur (notamment bois d’œuvre, viande, fruits et légumes frais)</w:t>
            </w:r>
          </w:p>
          <w:p w:rsidR="0035701C" w:rsidRDefault="00FB561B" w:rsidP="00FB561B">
            <w:pPr>
              <w:numPr>
                <w:ilvl w:val="0"/>
                <w:numId w:val="37"/>
              </w:numPr>
              <w:spacing w:before="0" w:after="0"/>
              <w:ind w:hanging="210"/>
              <w:jc w:val="left"/>
              <w:rPr>
                <w:szCs w:val="24"/>
              </w:rPr>
            </w:pPr>
            <w:r>
              <w:rPr>
                <w:szCs w:val="24"/>
              </w:rPr>
              <w:t xml:space="preserve">L’émergence de nouveaux signes </w:t>
            </w:r>
            <w:r>
              <w:rPr>
                <w:szCs w:val="24"/>
              </w:rPr>
              <w:t>de qualité dans les années à venir pouvant contribuer à développer la valeur ajoutée.</w:t>
            </w:r>
          </w:p>
          <w:p w:rsidR="0035701C" w:rsidRDefault="00FB561B" w:rsidP="00FB561B">
            <w:pPr>
              <w:numPr>
                <w:ilvl w:val="0"/>
                <w:numId w:val="37"/>
              </w:numPr>
              <w:spacing w:before="0" w:after="0"/>
              <w:ind w:hanging="210"/>
              <w:jc w:val="left"/>
              <w:rPr>
                <w:szCs w:val="24"/>
              </w:rPr>
            </w:pPr>
            <w:r>
              <w:rPr>
                <w:szCs w:val="24"/>
              </w:rPr>
              <w:t xml:space="preserve">Accompagner la structuration d’une filière bois notamment pour la filière bois-énergie, pour l’exploitation des résineux (pin lariccio) et pour la promotion de nouvelles </w:t>
            </w:r>
            <w:r>
              <w:rPr>
                <w:szCs w:val="24"/>
              </w:rPr>
              <w:t>techniques d’extraction du bois,</w:t>
            </w:r>
          </w:p>
          <w:p w:rsidR="0035701C" w:rsidRDefault="00FB561B" w:rsidP="00FB561B">
            <w:pPr>
              <w:numPr>
                <w:ilvl w:val="0"/>
                <w:numId w:val="37"/>
              </w:numPr>
              <w:spacing w:before="0" w:after="0"/>
              <w:ind w:hanging="210"/>
              <w:jc w:val="left"/>
              <w:rPr>
                <w:szCs w:val="24"/>
              </w:rPr>
            </w:pPr>
            <w:r>
              <w:rPr>
                <w:szCs w:val="24"/>
              </w:rPr>
              <w:t xml:space="preserve">Un volume de bois important propre à soutenir une exploitation durable de la ressource (énergie, </w:t>
            </w:r>
            <w:r>
              <w:rPr>
                <w:szCs w:val="24"/>
              </w:rPr>
              <w:lastRenderedPageBreak/>
              <w:t>construction, bois d’œuvre). Important potentiel en bois d’œuvre et en bois énergie (bûches, plaquettes,…).</w:t>
            </w:r>
          </w:p>
          <w:p w:rsidR="0035701C" w:rsidRDefault="00FB561B" w:rsidP="00FB561B">
            <w:pPr>
              <w:numPr>
                <w:ilvl w:val="0"/>
                <w:numId w:val="37"/>
              </w:numPr>
              <w:spacing w:before="0" w:after="0"/>
              <w:ind w:hanging="210"/>
              <w:jc w:val="left"/>
              <w:rPr>
                <w:szCs w:val="24"/>
              </w:rPr>
            </w:pPr>
            <w:r>
              <w:rPr>
                <w:szCs w:val="24"/>
              </w:rPr>
              <w:t>Une demande potent</w:t>
            </w:r>
            <w:r>
              <w:rPr>
                <w:szCs w:val="24"/>
              </w:rPr>
              <w:t>ielle de bois dans la construction de la part des consommateurs finaux et pouvant tirer profit du bois de pin Lariccio dont la résistance mécanique vient d’être récemment normalisée.</w:t>
            </w:r>
          </w:p>
          <w:p w:rsidR="0035701C" w:rsidRDefault="00FB561B" w:rsidP="00FB561B">
            <w:pPr>
              <w:numPr>
                <w:ilvl w:val="0"/>
                <w:numId w:val="37"/>
              </w:numPr>
              <w:spacing w:before="0" w:after="0"/>
              <w:ind w:hanging="210"/>
              <w:jc w:val="left"/>
              <w:rPr>
                <w:szCs w:val="24"/>
              </w:rPr>
            </w:pPr>
            <w:r>
              <w:rPr>
                <w:szCs w:val="24"/>
              </w:rPr>
              <w:t>Une meilleure intégration des références technico-économiques dans l’acte</w:t>
            </w:r>
            <w:r>
              <w:rPr>
                <w:szCs w:val="24"/>
              </w:rPr>
              <w:t xml:space="preserve"> de production, permettant d’accroître la compétitivité des exploitations.</w:t>
            </w:r>
          </w:p>
          <w:p w:rsidR="0035701C" w:rsidRDefault="00FB561B" w:rsidP="00FB561B">
            <w:pPr>
              <w:numPr>
                <w:ilvl w:val="0"/>
                <w:numId w:val="37"/>
              </w:numPr>
              <w:spacing w:before="0" w:after="0"/>
              <w:ind w:hanging="210"/>
              <w:jc w:val="left"/>
              <w:rPr>
                <w:szCs w:val="24"/>
              </w:rPr>
            </w:pPr>
            <w:r>
              <w:rPr>
                <w:szCs w:val="24"/>
              </w:rPr>
              <w:t>Un développement agricole tiré par les produits bien valorisés à l’export (agrumes, vins sous Indication Géographique) ou dont la demande est supérieure à l’offre (fromage, charcute</w:t>
            </w:r>
            <w:r>
              <w:rPr>
                <w:szCs w:val="24"/>
              </w:rPr>
              <w:t>rie issus de filières locales).</w:t>
            </w:r>
          </w:p>
          <w:p w:rsidR="0035701C" w:rsidRDefault="00FB561B" w:rsidP="00FB561B">
            <w:pPr>
              <w:numPr>
                <w:ilvl w:val="0"/>
                <w:numId w:val="37"/>
              </w:numPr>
              <w:spacing w:before="0" w:after="0"/>
              <w:ind w:hanging="210"/>
              <w:jc w:val="left"/>
              <w:rPr>
                <w:szCs w:val="24"/>
              </w:rPr>
            </w:pPr>
            <w:r>
              <w:rPr>
                <w:szCs w:val="24"/>
              </w:rPr>
              <w:t>La concrétisation de projets pilotes associant la plaine (production de fourrage) et les zones d’élevage de montagne, en vue de constituer une véritable filière collective fourragère.</w:t>
            </w:r>
          </w:p>
          <w:p w:rsidR="0035701C" w:rsidRDefault="00FB561B" w:rsidP="00FB561B">
            <w:pPr>
              <w:numPr>
                <w:ilvl w:val="0"/>
                <w:numId w:val="37"/>
              </w:numPr>
              <w:spacing w:before="0" w:after="0"/>
              <w:ind w:hanging="210"/>
              <w:jc w:val="left"/>
              <w:rPr>
                <w:szCs w:val="24"/>
              </w:rPr>
            </w:pPr>
            <w:r>
              <w:rPr>
                <w:szCs w:val="24"/>
              </w:rPr>
              <w:t>Une diffusion de cultivars issus de la r</w:t>
            </w:r>
            <w:r>
              <w:rPr>
                <w:szCs w:val="24"/>
              </w:rPr>
              <w:t>echerche locale, adaptés aux changements climatiques, aux problématiques sanitaires et à l’amélioration de la qualité.</w:t>
            </w:r>
          </w:p>
          <w:p w:rsidR="0035701C" w:rsidRDefault="00FB561B" w:rsidP="00FB561B">
            <w:pPr>
              <w:numPr>
                <w:ilvl w:val="0"/>
                <w:numId w:val="37"/>
              </w:numPr>
              <w:spacing w:before="0" w:after="0"/>
              <w:ind w:hanging="210"/>
              <w:jc w:val="left"/>
              <w:rPr>
                <w:szCs w:val="24"/>
              </w:rPr>
            </w:pPr>
            <w:r>
              <w:rPr>
                <w:szCs w:val="24"/>
              </w:rPr>
              <w:t>L’émergence des modèles de gestion agroforestiers adaptés à la Corse notamment au travers de la maitrise du sylvo-pastoralisme</w:t>
            </w:r>
          </w:p>
          <w:p w:rsidR="0035701C" w:rsidRDefault="00FB561B" w:rsidP="00FB561B">
            <w:pPr>
              <w:numPr>
                <w:ilvl w:val="0"/>
                <w:numId w:val="37"/>
              </w:numPr>
              <w:spacing w:before="0" w:after="0"/>
              <w:ind w:hanging="210"/>
              <w:jc w:val="left"/>
              <w:rPr>
                <w:szCs w:val="24"/>
              </w:rPr>
            </w:pPr>
            <w:r>
              <w:rPr>
                <w:szCs w:val="24"/>
              </w:rPr>
              <w:t>Une divers</w:t>
            </w:r>
            <w:r>
              <w:rPr>
                <w:szCs w:val="24"/>
              </w:rPr>
              <w:t>ification des activités autour de l’agriculture (vente directe, accueil à la ferme...)</w:t>
            </w:r>
          </w:p>
          <w:p w:rsidR="0035701C" w:rsidRDefault="00FB561B" w:rsidP="00FB561B">
            <w:pPr>
              <w:numPr>
                <w:ilvl w:val="0"/>
                <w:numId w:val="37"/>
              </w:numPr>
              <w:spacing w:before="0" w:after="0"/>
              <w:ind w:hanging="210"/>
              <w:jc w:val="left"/>
              <w:rPr>
                <w:szCs w:val="24"/>
              </w:rPr>
            </w:pPr>
            <w:r>
              <w:rPr>
                <w:szCs w:val="24"/>
              </w:rPr>
              <w:t>Le renforcement et le développement des 2 pôles agronomiques et de R&amp;D récemment créés : Pôle de Compétence en élevage d’Altiani (PCE) pour les filières animales, créé d</w:t>
            </w:r>
            <w:r>
              <w:rPr>
                <w:szCs w:val="24"/>
              </w:rPr>
              <w:t>ans le Centre de la Corse, et Corsic'Agropole pour les filières végétales en plaine orientale.</w:t>
            </w:r>
          </w:p>
          <w:p w:rsidR="0035701C" w:rsidRDefault="00FB561B" w:rsidP="00FB561B">
            <w:pPr>
              <w:numPr>
                <w:ilvl w:val="0"/>
                <w:numId w:val="37"/>
              </w:numPr>
              <w:spacing w:before="0" w:after="0"/>
              <w:ind w:hanging="210"/>
              <w:jc w:val="left"/>
              <w:rPr>
                <w:szCs w:val="24"/>
              </w:rPr>
            </w:pPr>
            <w:r>
              <w:rPr>
                <w:szCs w:val="24"/>
              </w:rPr>
              <w:t>Un meilleur respect des obligations de réalisation de documents de gestion durable pour les forêts privées (&gt;25ha) et pour les forêts publiques soumises (plans d</w:t>
            </w:r>
            <w:r>
              <w:rPr>
                <w:szCs w:val="24"/>
              </w:rPr>
              <w:t>’aménagement).</w:t>
            </w:r>
          </w:p>
          <w:p w:rsidR="0035701C" w:rsidRDefault="00FB561B" w:rsidP="00FB561B">
            <w:pPr>
              <w:numPr>
                <w:ilvl w:val="0"/>
                <w:numId w:val="37"/>
              </w:numPr>
              <w:spacing w:before="0" w:after="0"/>
              <w:ind w:hanging="210"/>
              <w:jc w:val="left"/>
              <w:rPr>
                <w:szCs w:val="24"/>
              </w:rPr>
            </w:pPr>
            <w:r>
              <w:rPr>
                <w:szCs w:val="24"/>
              </w:rPr>
              <w:t>Une multiplication progressive d’associations syndicales autorisées, qui pourront en outre s’élargir à des problématiques forestières.</w:t>
            </w:r>
          </w:p>
          <w:p w:rsidR="0035701C" w:rsidRDefault="00FB561B" w:rsidP="00FB561B">
            <w:pPr>
              <w:numPr>
                <w:ilvl w:val="0"/>
                <w:numId w:val="37"/>
              </w:numPr>
              <w:spacing w:before="0" w:after="0"/>
              <w:ind w:hanging="210"/>
              <w:jc w:val="left"/>
              <w:rPr>
                <w:szCs w:val="24"/>
              </w:rPr>
            </w:pPr>
            <w:r>
              <w:rPr>
                <w:szCs w:val="24"/>
              </w:rPr>
              <w:t xml:space="preserve">Des possibilités nombreuses de diversifier l'offre de produits issus des forêts et de capter le potentiel </w:t>
            </w:r>
            <w:r>
              <w:rPr>
                <w:szCs w:val="24"/>
              </w:rPr>
              <w:t>du marché local (bois de chauffage, bois énergie, ébénisterie, construction, fermetures, menuiserie…).</w:t>
            </w:r>
          </w:p>
          <w:p w:rsidR="0035701C" w:rsidRDefault="00FB561B" w:rsidP="00FB561B">
            <w:pPr>
              <w:numPr>
                <w:ilvl w:val="0"/>
                <w:numId w:val="37"/>
              </w:numPr>
              <w:spacing w:before="0" w:after="0"/>
              <w:ind w:hanging="210"/>
              <w:jc w:val="left"/>
              <w:rPr>
                <w:szCs w:val="24"/>
              </w:rPr>
            </w:pPr>
            <w:r>
              <w:rPr>
                <w:szCs w:val="24"/>
              </w:rPr>
              <w:t>Un projet de labellisation de bois de Corse en cours d’élaboration, permettant de développer une offre marketing et de répondre aux besoins exprimés dans</w:t>
            </w:r>
            <w:r>
              <w:rPr>
                <w:szCs w:val="24"/>
              </w:rPr>
              <w:t xml:space="preserve"> les marchés publics.</w:t>
            </w:r>
          </w:p>
          <w:p w:rsidR="0035701C" w:rsidRDefault="00FB561B" w:rsidP="00FB561B">
            <w:pPr>
              <w:numPr>
                <w:ilvl w:val="0"/>
                <w:numId w:val="37"/>
              </w:numPr>
              <w:spacing w:before="0" w:after="240"/>
              <w:ind w:hanging="210"/>
              <w:jc w:val="left"/>
              <w:rPr>
                <w:szCs w:val="24"/>
              </w:rPr>
            </w:pPr>
            <w:r>
              <w:rPr>
                <w:szCs w:val="24"/>
              </w:rPr>
              <w:t xml:space="preserve">Une sylviculture qui pourrait être relancée, par exemple pour le liège en utilisant du liège broyé, même de mauvaise qualité, afin de fabriquer des panneaux d'isolation, ou en couplant la valorisation énergétique des sous-produits de </w:t>
            </w:r>
            <w:r>
              <w:rPr>
                <w:szCs w:val="24"/>
              </w:rPr>
              <w:t>la forêt.</w:t>
            </w:r>
          </w:p>
          <w:p w:rsidR="0035701C" w:rsidRDefault="00FB561B">
            <w:pPr>
              <w:spacing w:before="240" w:after="240"/>
              <w:jc w:val="left"/>
              <w:rPr>
                <w:szCs w:val="24"/>
              </w:rPr>
            </w:pPr>
            <w:r>
              <w:rPr>
                <w:b/>
                <w:bCs/>
                <w:szCs w:val="24"/>
              </w:rPr>
              <w:t>Les producteurs et l’installation agricole</w:t>
            </w:r>
          </w:p>
          <w:p w:rsidR="0035701C" w:rsidRDefault="00FB561B" w:rsidP="00FB561B">
            <w:pPr>
              <w:numPr>
                <w:ilvl w:val="0"/>
                <w:numId w:val="38"/>
              </w:numPr>
              <w:spacing w:before="240" w:after="0"/>
              <w:ind w:hanging="210"/>
              <w:jc w:val="left"/>
              <w:rPr>
                <w:szCs w:val="24"/>
              </w:rPr>
            </w:pPr>
            <w:r>
              <w:rPr>
                <w:szCs w:val="24"/>
              </w:rPr>
              <w:t>Une redéfinition des besoins et de l’offre de formation permettant de professionnaliser les agriculteurs et les professionnels du bois.</w:t>
            </w:r>
          </w:p>
          <w:p w:rsidR="0035701C" w:rsidRDefault="00FB561B" w:rsidP="00FB561B">
            <w:pPr>
              <w:numPr>
                <w:ilvl w:val="0"/>
                <w:numId w:val="38"/>
              </w:numPr>
              <w:spacing w:before="0" w:after="0"/>
              <w:ind w:hanging="210"/>
              <w:jc w:val="left"/>
              <w:rPr>
                <w:szCs w:val="24"/>
              </w:rPr>
            </w:pPr>
            <w:r>
              <w:rPr>
                <w:szCs w:val="24"/>
              </w:rPr>
              <w:t xml:space="preserve">L’éventualité d’imbriquer un dispositif de formation initiale et </w:t>
            </w:r>
            <w:r>
              <w:rPr>
                <w:szCs w:val="24"/>
              </w:rPr>
              <w:t>continue à la démarche d'installation aidée</w:t>
            </w:r>
          </w:p>
          <w:p w:rsidR="0035701C" w:rsidRDefault="00FB561B" w:rsidP="00FB561B">
            <w:pPr>
              <w:numPr>
                <w:ilvl w:val="0"/>
                <w:numId w:val="38"/>
              </w:numPr>
              <w:spacing w:before="0" w:after="0"/>
              <w:ind w:hanging="210"/>
              <w:jc w:val="left"/>
              <w:rPr>
                <w:szCs w:val="24"/>
              </w:rPr>
            </w:pPr>
            <w:r>
              <w:rPr>
                <w:szCs w:val="24"/>
              </w:rPr>
              <w:t xml:space="preserve">Une modification du processus de l’installation au niveau national : intégrations de dispositions dans la loi d’avenir agricole (mi 2014) permettant de favoriser l’installation : </w:t>
            </w:r>
          </w:p>
          <w:p w:rsidR="0035701C" w:rsidRDefault="00FB561B" w:rsidP="00FB561B">
            <w:pPr>
              <w:numPr>
                <w:ilvl w:val="1"/>
                <w:numId w:val="38"/>
              </w:numPr>
              <w:spacing w:before="0" w:after="0"/>
              <w:ind w:hanging="244"/>
              <w:jc w:val="left"/>
              <w:rPr>
                <w:szCs w:val="24"/>
              </w:rPr>
            </w:pPr>
            <w:r>
              <w:rPr>
                <w:szCs w:val="24"/>
              </w:rPr>
              <w:t>réforme des points d’info instal</w:t>
            </w:r>
            <w:r>
              <w:rPr>
                <w:szCs w:val="24"/>
              </w:rPr>
              <w:t>lation (guichet d’information à l’installation élargie aux Ainés),</w:t>
            </w:r>
          </w:p>
          <w:p w:rsidR="0035701C" w:rsidRDefault="00FB561B" w:rsidP="00FB561B">
            <w:pPr>
              <w:numPr>
                <w:ilvl w:val="1"/>
                <w:numId w:val="38"/>
              </w:numPr>
              <w:spacing w:before="0" w:after="0"/>
              <w:ind w:hanging="244"/>
              <w:jc w:val="left"/>
              <w:rPr>
                <w:szCs w:val="24"/>
              </w:rPr>
            </w:pPr>
            <w:r>
              <w:rPr>
                <w:szCs w:val="24"/>
              </w:rPr>
              <w:t>réforme du statut social de l’installation progressive (création d’un statut spécifique à la MSA),</w:t>
            </w:r>
          </w:p>
          <w:p w:rsidR="0035701C" w:rsidRDefault="00FB561B" w:rsidP="00FB561B">
            <w:pPr>
              <w:numPr>
                <w:ilvl w:val="1"/>
                <w:numId w:val="38"/>
              </w:numPr>
              <w:spacing w:before="0" w:after="0"/>
              <w:ind w:hanging="244"/>
              <w:jc w:val="left"/>
              <w:rPr>
                <w:szCs w:val="24"/>
              </w:rPr>
            </w:pPr>
            <w:r>
              <w:rPr>
                <w:szCs w:val="24"/>
              </w:rPr>
              <w:t>réforme du schéma des structures (suppression de la notion de SMI -surface minimum d’insta</w:t>
            </w:r>
            <w:r>
              <w:rPr>
                <w:szCs w:val="24"/>
              </w:rPr>
              <w:t xml:space="preserve">llation, remplacée par l’AMA-activité minimum d’assujettissement qui prend en </w:t>
            </w:r>
            <w:r>
              <w:rPr>
                <w:szCs w:val="24"/>
              </w:rPr>
              <w:lastRenderedPageBreak/>
              <w:t>compte à la fois les activités de production, liées aux surfaces, mais aussi les activités de transformation, de commercialisation et d’agro-tourisme.</w:t>
            </w:r>
          </w:p>
          <w:p w:rsidR="0035701C" w:rsidRDefault="00FB561B" w:rsidP="00FB561B">
            <w:pPr>
              <w:numPr>
                <w:ilvl w:val="0"/>
                <w:numId w:val="38"/>
              </w:numPr>
              <w:spacing w:before="0" w:after="0"/>
              <w:ind w:hanging="210"/>
              <w:jc w:val="left"/>
              <w:rPr>
                <w:szCs w:val="24"/>
              </w:rPr>
            </w:pPr>
            <w:r>
              <w:rPr>
                <w:szCs w:val="24"/>
              </w:rPr>
              <w:t>Une simplification régional</w:t>
            </w:r>
            <w:r>
              <w:rPr>
                <w:szCs w:val="24"/>
              </w:rPr>
              <w:t>e du schéma de l’installation agricole, optimisant l’accompagnement pré et post installation, et accélérant les délais de l’installation.</w:t>
            </w:r>
          </w:p>
          <w:p w:rsidR="0035701C" w:rsidRDefault="00FB561B" w:rsidP="00FB561B">
            <w:pPr>
              <w:numPr>
                <w:ilvl w:val="0"/>
                <w:numId w:val="38"/>
              </w:numPr>
              <w:spacing w:before="0" w:after="0"/>
              <w:ind w:hanging="210"/>
              <w:jc w:val="left"/>
              <w:rPr>
                <w:szCs w:val="24"/>
              </w:rPr>
            </w:pPr>
            <w:r>
              <w:rPr>
                <w:szCs w:val="24"/>
              </w:rPr>
              <w:t>Une meilleure détection des jeunes publics vers des métiers mieux valorisés.</w:t>
            </w:r>
          </w:p>
          <w:p w:rsidR="0035701C" w:rsidRDefault="00FB561B" w:rsidP="00FB561B">
            <w:pPr>
              <w:numPr>
                <w:ilvl w:val="0"/>
                <w:numId w:val="38"/>
              </w:numPr>
              <w:spacing w:before="0" w:after="0"/>
              <w:ind w:hanging="210"/>
              <w:jc w:val="left"/>
              <w:rPr>
                <w:szCs w:val="24"/>
              </w:rPr>
            </w:pPr>
            <w:r>
              <w:rPr>
                <w:szCs w:val="24"/>
              </w:rPr>
              <w:t>Un accroissement de l’offre foncière spéc</w:t>
            </w:r>
            <w:r>
              <w:rPr>
                <w:szCs w:val="24"/>
              </w:rPr>
              <w:t xml:space="preserve">ifique à l’installation des JA ou des ainés, soutenus : </w:t>
            </w:r>
          </w:p>
          <w:p w:rsidR="0035701C" w:rsidRDefault="00FB561B" w:rsidP="00FB561B">
            <w:pPr>
              <w:numPr>
                <w:ilvl w:val="1"/>
                <w:numId w:val="38"/>
              </w:numPr>
              <w:spacing w:before="0" w:after="0"/>
              <w:ind w:hanging="244"/>
              <w:jc w:val="left"/>
              <w:rPr>
                <w:szCs w:val="24"/>
              </w:rPr>
            </w:pPr>
            <w:r>
              <w:rPr>
                <w:szCs w:val="24"/>
              </w:rPr>
              <w:t>par le fonds foncier nouvellement mis en place (partenariat entre la CTC et la SAFER, permettant à celle-ci d'acheter des terrains agricoles et de les mettre en location à des agriculteurs),</w:t>
            </w:r>
          </w:p>
          <w:p w:rsidR="0035701C" w:rsidRDefault="00FB561B" w:rsidP="00FB561B">
            <w:pPr>
              <w:numPr>
                <w:ilvl w:val="1"/>
                <w:numId w:val="38"/>
              </w:numPr>
              <w:spacing w:before="0" w:after="0"/>
              <w:ind w:hanging="244"/>
              <w:jc w:val="left"/>
              <w:rPr>
                <w:szCs w:val="24"/>
              </w:rPr>
            </w:pPr>
            <w:r>
              <w:rPr>
                <w:szCs w:val="24"/>
              </w:rPr>
              <w:t xml:space="preserve">par les </w:t>
            </w:r>
            <w:r>
              <w:rPr>
                <w:szCs w:val="24"/>
              </w:rPr>
              <w:t>projets collectifs de foncier regroupé en association foncière qui se multiplient progressivement</w:t>
            </w:r>
          </w:p>
          <w:p w:rsidR="0035701C" w:rsidRDefault="00FB561B" w:rsidP="00FB561B">
            <w:pPr>
              <w:numPr>
                <w:ilvl w:val="1"/>
                <w:numId w:val="38"/>
              </w:numPr>
              <w:spacing w:before="0" w:after="0"/>
              <w:ind w:hanging="244"/>
              <w:jc w:val="left"/>
              <w:rPr>
                <w:szCs w:val="24"/>
              </w:rPr>
            </w:pPr>
            <w:r>
              <w:rPr>
                <w:szCs w:val="24"/>
              </w:rPr>
              <w:t>par l’anticipation, la recherche et la contractualisation du foncier notamment au cours des projets d’élaboration des documents d’urbanismes qui pourraient êt</w:t>
            </w:r>
            <w:r>
              <w:rPr>
                <w:szCs w:val="24"/>
              </w:rPr>
              <w:t>re soumis par le PADDUC à la réalisation d’un DOCOBAS (Document d’objectif agricole et sylvicole)</w:t>
            </w:r>
          </w:p>
          <w:p w:rsidR="0035701C" w:rsidRDefault="00FB561B" w:rsidP="00FB561B">
            <w:pPr>
              <w:numPr>
                <w:ilvl w:val="0"/>
                <w:numId w:val="38"/>
              </w:numPr>
              <w:spacing w:before="0" w:after="240"/>
              <w:ind w:hanging="210"/>
              <w:jc w:val="left"/>
              <w:rPr>
                <w:szCs w:val="24"/>
              </w:rPr>
            </w:pPr>
            <w:r>
              <w:rPr>
                <w:szCs w:val="24"/>
              </w:rPr>
              <w:t>Les évolutions techniques ou les opportunités économiques qui favoriseraient le retour de nouveaux publics vers les métiers de l’agriculture et du rural : fil</w:t>
            </w:r>
            <w:r>
              <w:rPr>
                <w:szCs w:val="24"/>
              </w:rPr>
              <w:t>ières innovantes dans les secteurs de l’agro-alimentaire, du tourisme rural, de l’exploitation agricole et forestière.</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b/>
                <w:bCs/>
                <w:szCs w:val="24"/>
              </w:rPr>
              <w:t>Gestion des ressources naturelles, Biodiversité et paysages</w:t>
            </w:r>
          </w:p>
          <w:p w:rsidR="0035701C" w:rsidRDefault="00FB561B" w:rsidP="00FB561B">
            <w:pPr>
              <w:numPr>
                <w:ilvl w:val="0"/>
                <w:numId w:val="39"/>
              </w:numPr>
              <w:spacing w:before="240" w:after="0"/>
              <w:ind w:hanging="210"/>
              <w:jc w:val="left"/>
              <w:rPr>
                <w:szCs w:val="24"/>
              </w:rPr>
            </w:pPr>
            <w:r>
              <w:rPr>
                <w:szCs w:val="24"/>
              </w:rPr>
              <w:t xml:space="preserve">Une maîtrise accrue de la qualité environnementale des productions par les </w:t>
            </w:r>
            <w:r>
              <w:rPr>
                <w:szCs w:val="24"/>
              </w:rPr>
              <w:t>producteurs qui peut favoriser leur valorisation et contribuer en association avec une forte identité culturelle à l’émergence d’un marketing territorial.</w:t>
            </w:r>
          </w:p>
          <w:p w:rsidR="0035701C" w:rsidRDefault="00FB561B" w:rsidP="00FB561B">
            <w:pPr>
              <w:numPr>
                <w:ilvl w:val="0"/>
                <w:numId w:val="39"/>
              </w:numPr>
              <w:spacing w:before="0" w:after="0"/>
              <w:ind w:hanging="210"/>
              <w:jc w:val="left"/>
              <w:rPr>
                <w:szCs w:val="24"/>
              </w:rPr>
            </w:pPr>
            <w:r>
              <w:rPr>
                <w:szCs w:val="24"/>
              </w:rPr>
              <w:t>Une intégration des propositions de l’Assemblée de Corse dans les politiques spécifiques à la Corse (</w:t>
            </w:r>
            <w:r>
              <w:rPr>
                <w:szCs w:val="24"/>
              </w:rPr>
              <w:t>PADDUC, loi d’avenir) pourrait changer radicalement les outils de maîtrise et de mobilisation du foncier notamment en pérennisant et organisant sa vocation agro-sylvo-pastorale.</w:t>
            </w:r>
          </w:p>
          <w:p w:rsidR="0035701C" w:rsidRDefault="00FB561B" w:rsidP="00FB561B">
            <w:pPr>
              <w:numPr>
                <w:ilvl w:val="0"/>
                <w:numId w:val="39"/>
              </w:numPr>
              <w:spacing w:before="0" w:after="0"/>
              <w:ind w:hanging="210"/>
              <w:jc w:val="left"/>
              <w:rPr>
                <w:szCs w:val="24"/>
              </w:rPr>
            </w:pPr>
            <w:r>
              <w:rPr>
                <w:szCs w:val="24"/>
              </w:rPr>
              <w:t>L’intégration et le développement de techniques d'irrigation innovantes (par e</w:t>
            </w:r>
            <w:r>
              <w:rPr>
                <w:szCs w:val="24"/>
              </w:rPr>
              <w:t>xemple eaux usées) contribuant à une gestion économe de la ressource (utilisation des eaux usées par exemple)</w:t>
            </w:r>
          </w:p>
          <w:p w:rsidR="0035701C" w:rsidRDefault="00FB561B" w:rsidP="00FB561B">
            <w:pPr>
              <w:numPr>
                <w:ilvl w:val="0"/>
                <w:numId w:val="39"/>
              </w:numPr>
              <w:spacing w:before="0" w:after="0"/>
              <w:ind w:hanging="210"/>
              <w:jc w:val="left"/>
              <w:rPr>
                <w:szCs w:val="24"/>
              </w:rPr>
            </w:pPr>
            <w:r>
              <w:rPr>
                <w:szCs w:val="24"/>
              </w:rPr>
              <w:t>Un dynamisme de l'agriculture biologique qui perdure et tire profit d’une marque régionale en cours de création.</w:t>
            </w:r>
          </w:p>
          <w:p w:rsidR="0035701C" w:rsidRDefault="00FB561B" w:rsidP="00FB561B">
            <w:pPr>
              <w:numPr>
                <w:ilvl w:val="0"/>
                <w:numId w:val="39"/>
              </w:numPr>
              <w:spacing w:before="0" w:after="0"/>
              <w:ind w:hanging="210"/>
              <w:jc w:val="left"/>
              <w:rPr>
                <w:szCs w:val="24"/>
              </w:rPr>
            </w:pPr>
            <w:r>
              <w:rPr>
                <w:szCs w:val="24"/>
              </w:rPr>
              <w:t>Une multifonctionnalité de la for</w:t>
            </w:r>
            <w:r>
              <w:rPr>
                <w:szCs w:val="24"/>
              </w:rPr>
              <w:t>êt offrant de nombreuses possibilités d’associer l’exploitation de la ressource à des activités économiques liées à sa fonction sociale (accueil des publics), et agro-sylvo pastorale (activités d'élevage).</w:t>
            </w:r>
          </w:p>
          <w:p w:rsidR="0035701C" w:rsidRDefault="00FB561B" w:rsidP="00FB561B">
            <w:pPr>
              <w:numPr>
                <w:ilvl w:val="0"/>
                <w:numId w:val="39"/>
              </w:numPr>
              <w:spacing w:before="0" w:after="240"/>
              <w:ind w:hanging="210"/>
              <w:jc w:val="left"/>
              <w:rPr>
                <w:szCs w:val="24"/>
              </w:rPr>
            </w:pPr>
            <w:r>
              <w:rPr>
                <w:szCs w:val="24"/>
              </w:rPr>
              <w:t xml:space="preserve">Des possibilités de mettre en œuvre des démarches </w:t>
            </w:r>
            <w:r>
              <w:rPr>
                <w:szCs w:val="24"/>
              </w:rPr>
              <w:t>de protection : habitats et  espèces protégées (Natura 2000), réserves, Parc naturel, associant protection et développement.</w:t>
            </w:r>
          </w:p>
          <w:p w:rsidR="0035701C" w:rsidRDefault="0035701C">
            <w:pPr>
              <w:pStyle w:val="Corpsdetexte"/>
            </w:pPr>
          </w:p>
        </w:tc>
      </w:tr>
    </w:tbl>
    <w:p w:rsidR="0035701C" w:rsidRDefault="00FB561B">
      <w:pPr>
        <w:pStyle w:val="Titre3"/>
        <w:jc w:val="left"/>
      </w:pPr>
      <w:bookmarkStart w:id="33" w:name="_Toc256000032"/>
      <w:r>
        <w:lastRenderedPageBreak/>
        <w:t>Menaces recensées dans la zone de programmation</w:t>
      </w:r>
      <w:bookmarkEnd w:id="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Pr>
          <w:p w:rsidR="0035701C" w:rsidRDefault="00FB561B">
            <w:pPr>
              <w:spacing w:before="0" w:after="240"/>
              <w:jc w:val="left"/>
              <w:rPr>
                <w:szCs w:val="24"/>
              </w:rPr>
            </w:pPr>
            <w:r>
              <w:rPr>
                <w:b/>
                <w:bCs/>
                <w:szCs w:val="24"/>
              </w:rPr>
              <w:t>Contexte institutionnel</w:t>
            </w:r>
          </w:p>
          <w:p w:rsidR="0035701C" w:rsidRDefault="00FB561B" w:rsidP="00FB561B">
            <w:pPr>
              <w:numPr>
                <w:ilvl w:val="0"/>
                <w:numId w:val="40"/>
              </w:numPr>
              <w:spacing w:before="240" w:after="0"/>
              <w:ind w:hanging="210"/>
              <w:jc w:val="left"/>
              <w:rPr>
                <w:szCs w:val="24"/>
              </w:rPr>
            </w:pPr>
            <w:r>
              <w:rPr>
                <w:szCs w:val="24"/>
              </w:rPr>
              <w:t xml:space="preserve">Manque de convergence entre les deux piliers de la PAC. </w:t>
            </w:r>
            <w:r>
              <w:rPr>
                <w:szCs w:val="24"/>
              </w:rPr>
              <w:t xml:space="preserve">Si la gestion locale du second pilier de la PAC a pu permettre d’adapter finement la politique européenne aux spécificités corses, cela n’a pas </w:t>
            </w:r>
            <w:r>
              <w:rPr>
                <w:szCs w:val="24"/>
              </w:rPr>
              <w:lastRenderedPageBreak/>
              <w:t>pu être le cas sur le 1er pilier dont le pilotage n’est pas assuré par la région. Cette situation induit des ori</w:t>
            </w:r>
            <w:r>
              <w:rPr>
                <w:szCs w:val="24"/>
              </w:rPr>
              <w:t>entations a minima divergentes, voire éventuellement antagonistes entre les deux piliers.</w:t>
            </w:r>
          </w:p>
          <w:p w:rsidR="0035701C" w:rsidRDefault="00FB561B" w:rsidP="00FB561B">
            <w:pPr>
              <w:numPr>
                <w:ilvl w:val="0"/>
                <w:numId w:val="40"/>
              </w:numPr>
              <w:spacing w:before="0" w:after="240"/>
              <w:ind w:hanging="210"/>
              <w:jc w:val="left"/>
              <w:rPr>
                <w:szCs w:val="24"/>
              </w:rPr>
            </w:pPr>
            <w:r>
              <w:rPr>
                <w:szCs w:val="24"/>
              </w:rPr>
              <w:t>Un PADDUC qui tarde à entrer en application.</w:t>
            </w:r>
          </w:p>
          <w:p w:rsidR="0035701C" w:rsidRDefault="00FB561B">
            <w:pPr>
              <w:spacing w:before="240" w:after="240"/>
              <w:jc w:val="left"/>
              <w:rPr>
                <w:szCs w:val="24"/>
              </w:rPr>
            </w:pPr>
            <w:r>
              <w:rPr>
                <w:b/>
                <w:bCs/>
                <w:szCs w:val="24"/>
              </w:rPr>
              <w:t>Territoires et développement local</w:t>
            </w:r>
          </w:p>
          <w:p w:rsidR="0035701C" w:rsidRDefault="00FB561B" w:rsidP="00FB561B">
            <w:pPr>
              <w:numPr>
                <w:ilvl w:val="0"/>
                <w:numId w:val="41"/>
              </w:numPr>
              <w:spacing w:before="240" w:after="240"/>
              <w:ind w:hanging="210"/>
              <w:jc w:val="left"/>
              <w:rPr>
                <w:szCs w:val="24"/>
              </w:rPr>
            </w:pPr>
            <w:r>
              <w:rPr>
                <w:szCs w:val="24"/>
              </w:rPr>
              <w:t>Une accentuation du déséquilibre des territoires et de la désertification sous l’effet</w:t>
            </w:r>
            <w:r>
              <w:rPr>
                <w:szCs w:val="24"/>
              </w:rPr>
              <w:t xml:space="preserve"> d’un tropisme littoral que les politiques publiques peineraient à endiguer.</w:t>
            </w:r>
          </w:p>
          <w:p w:rsidR="0035701C" w:rsidRDefault="00FB561B">
            <w:pPr>
              <w:spacing w:before="240" w:after="240"/>
              <w:jc w:val="left"/>
              <w:rPr>
                <w:szCs w:val="24"/>
              </w:rPr>
            </w:pPr>
            <w:r>
              <w:rPr>
                <w:b/>
                <w:bCs/>
                <w:szCs w:val="24"/>
              </w:rPr>
              <w:t>Produits et productions</w:t>
            </w:r>
          </w:p>
          <w:p w:rsidR="0035701C" w:rsidRDefault="00FB561B" w:rsidP="00FB561B">
            <w:pPr>
              <w:numPr>
                <w:ilvl w:val="0"/>
                <w:numId w:val="42"/>
              </w:numPr>
              <w:spacing w:before="240" w:after="0"/>
              <w:ind w:hanging="210"/>
              <w:jc w:val="left"/>
              <w:rPr>
                <w:szCs w:val="24"/>
              </w:rPr>
            </w:pPr>
            <w:r>
              <w:rPr>
                <w:szCs w:val="24"/>
              </w:rPr>
              <w:t>Des pressions spéculatives, des difficultés d’accès et de mobilisation du foncier non résolues à court ou moyen terme.</w:t>
            </w:r>
          </w:p>
          <w:p w:rsidR="0035701C" w:rsidRDefault="00FB561B" w:rsidP="00FB561B">
            <w:pPr>
              <w:numPr>
                <w:ilvl w:val="0"/>
                <w:numId w:val="42"/>
              </w:numPr>
              <w:spacing w:before="0" w:after="0"/>
              <w:ind w:hanging="210"/>
              <w:jc w:val="left"/>
              <w:rPr>
                <w:szCs w:val="24"/>
              </w:rPr>
            </w:pPr>
            <w:r>
              <w:rPr>
                <w:szCs w:val="24"/>
              </w:rPr>
              <w:t xml:space="preserve">Des filières « jeunes » en termes </w:t>
            </w:r>
            <w:r>
              <w:rPr>
                <w:szCs w:val="24"/>
              </w:rPr>
              <w:t>d’orientation vers la qualité et d’organisation économique ou fragiles en termes d’effectif et de dimension économique.</w:t>
            </w:r>
          </w:p>
          <w:p w:rsidR="0035701C" w:rsidRDefault="00FB561B" w:rsidP="00FB561B">
            <w:pPr>
              <w:numPr>
                <w:ilvl w:val="0"/>
                <w:numId w:val="42"/>
              </w:numPr>
              <w:spacing w:before="0" w:after="0"/>
              <w:ind w:hanging="210"/>
              <w:jc w:val="left"/>
              <w:rPr>
                <w:szCs w:val="24"/>
              </w:rPr>
            </w:pPr>
            <w:r>
              <w:rPr>
                <w:szCs w:val="24"/>
              </w:rPr>
              <w:t>Des conflits d’usage entre éleveurs et cultivateurs accentués par une vision divergente du potentiel économique des sols.</w:t>
            </w:r>
          </w:p>
          <w:p w:rsidR="0035701C" w:rsidRDefault="00FB561B" w:rsidP="00FB561B">
            <w:pPr>
              <w:numPr>
                <w:ilvl w:val="0"/>
                <w:numId w:val="42"/>
              </w:numPr>
              <w:spacing w:before="0" w:after="0"/>
              <w:ind w:hanging="210"/>
              <w:jc w:val="left"/>
              <w:rPr>
                <w:szCs w:val="24"/>
              </w:rPr>
            </w:pPr>
            <w:r>
              <w:rPr>
                <w:szCs w:val="24"/>
              </w:rPr>
              <w:t>Une structurat</w:t>
            </w:r>
            <w:r>
              <w:rPr>
                <w:szCs w:val="24"/>
              </w:rPr>
              <w:t>ion des exploitations trop lente ou sous-dimensionnée ne garantissant pas un accroissement suffisant de leur performance économique, de leur transmissibilité et de leur pérennité, notamment en élevage.</w:t>
            </w:r>
          </w:p>
          <w:p w:rsidR="0035701C" w:rsidRDefault="00FB561B" w:rsidP="00FB561B">
            <w:pPr>
              <w:numPr>
                <w:ilvl w:val="0"/>
                <w:numId w:val="42"/>
              </w:numPr>
              <w:spacing w:before="0" w:after="0"/>
              <w:ind w:hanging="210"/>
              <w:jc w:val="left"/>
              <w:rPr>
                <w:szCs w:val="24"/>
              </w:rPr>
            </w:pPr>
            <w:r>
              <w:rPr>
                <w:szCs w:val="24"/>
              </w:rPr>
              <w:t xml:space="preserve">Une poursuite des importations de ressources exogènes </w:t>
            </w:r>
            <w:r>
              <w:rPr>
                <w:szCs w:val="24"/>
              </w:rPr>
              <w:t>pour satisfaire aux attentes du marché (lait, bois, races, etc.) qui galvaude l’image des produits typiques.</w:t>
            </w:r>
          </w:p>
          <w:p w:rsidR="0035701C" w:rsidRDefault="00FB561B" w:rsidP="00FB561B">
            <w:pPr>
              <w:numPr>
                <w:ilvl w:val="0"/>
                <w:numId w:val="42"/>
              </w:numPr>
              <w:spacing w:before="0" w:after="0"/>
              <w:ind w:hanging="210"/>
              <w:jc w:val="left"/>
              <w:rPr>
                <w:szCs w:val="24"/>
              </w:rPr>
            </w:pPr>
            <w:r>
              <w:rPr>
                <w:szCs w:val="24"/>
              </w:rPr>
              <w:t>La permanence d’une agriculture à deux vitesses : exploitations dégageant une valeur ajoutée vs absence de valeur ajoutée.</w:t>
            </w:r>
          </w:p>
          <w:p w:rsidR="0035701C" w:rsidRDefault="00FB561B" w:rsidP="00FB561B">
            <w:pPr>
              <w:numPr>
                <w:ilvl w:val="0"/>
                <w:numId w:val="42"/>
              </w:numPr>
              <w:spacing w:before="0" w:after="0"/>
              <w:ind w:hanging="210"/>
              <w:jc w:val="left"/>
              <w:rPr>
                <w:szCs w:val="24"/>
              </w:rPr>
            </w:pPr>
            <w:r>
              <w:rPr>
                <w:szCs w:val="24"/>
              </w:rPr>
              <w:t>Un risque de manque d’en</w:t>
            </w:r>
            <w:r>
              <w:rPr>
                <w:szCs w:val="24"/>
              </w:rPr>
              <w:t>tretien, d’abandon et de défection de cultures pérennes notamment arboricoles compte tenu des difficultés de départ à la retraite et de transmissions.</w:t>
            </w:r>
          </w:p>
          <w:p w:rsidR="0035701C" w:rsidRDefault="00FB561B" w:rsidP="00FB561B">
            <w:pPr>
              <w:numPr>
                <w:ilvl w:val="0"/>
                <w:numId w:val="42"/>
              </w:numPr>
              <w:spacing w:before="0" w:after="0"/>
              <w:ind w:hanging="210"/>
              <w:jc w:val="left"/>
              <w:rPr>
                <w:szCs w:val="24"/>
              </w:rPr>
            </w:pPr>
            <w:r>
              <w:rPr>
                <w:szCs w:val="24"/>
              </w:rPr>
              <w:t>Une production locale peinant à valoriser, et garantir la rémunération de ses produits auprès des metteur</w:t>
            </w:r>
            <w:r>
              <w:rPr>
                <w:szCs w:val="24"/>
              </w:rPr>
              <w:t>s en marché de la grande distribution, compte tenu de son manque d’organisation, ou de sa difficulté à fournir les marchés en quantité et dans le temps.</w:t>
            </w:r>
          </w:p>
          <w:p w:rsidR="0035701C" w:rsidRDefault="00FB561B" w:rsidP="00FB561B">
            <w:pPr>
              <w:numPr>
                <w:ilvl w:val="0"/>
                <w:numId w:val="42"/>
              </w:numPr>
              <w:spacing w:before="0" w:after="0"/>
              <w:ind w:hanging="210"/>
              <w:jc w:val="left"/>
              <w:rPr>
                <w:szCs w:val="24"/>
              </w:rPr>
            </w:pPr>
            <w:r>
              <w:rPr>
                <w:szCs w:val="24"/>
              </w:rPr>
              <w:t>Commercialisation de produits non qualitatifs étiquetés « Corses » nuisant à l’image des produits de qu</w:t>
            </w:r>
            <w:r>
              <w:rPr>
                <w:szCs w:val="24"/>
              </w:rPr>
              <w:t>alité.</w:t>
            </w:r>
          </w:p>
          <w:p w:rsidR="0035701C" w:rsidRDefault="00FB561B" w:rsidP="00FB561B">
            <w:pPr>
              <w:numPr>
                <w:ilvl w:val="0"/>
                <w:numId w:val="42"/>
              </w:numPr>
              <w:spacing w:before="0" w:after="0"/>
              <w:ind w:hanging="210"/>
              <w:jc w:val="left"/>
              <w:rPr>
                <w:szCs w:val="24"/>
              </w:rPr>
            </w:pPr>
            <w:r>
              <w:rPr>
                <w:szCs w:val="24"/>
              </w:rPr>
              <w:t>La persistance d'un marché souterrain sur le bois bûche engendrant une concurrence déloyale vis-à-vis des professionnels ou une dépréciation de la ressource au détriment des propriétaires forestiers.</w:t>
            </w:r>
          </w:p>
          <w:p w:rsidR="0035701C" w:rsidRDefault="00FB561B" w:rsidP="00FB561B">
            <w:pPr>
              <w:numPr>
                <w:ilvl w:val="0"/>
                <w:numId w:val="42"/>
              </w:numPr>
              <w:spacing w:before="0" w:after="0"/>
              <w:ind w:hanging="210"/>
              <w:jc w:val="left"/>
              <w:rPr>
                <w:szCs w:val="24"/>
              </w:rPr>
            </w:pPr>
            <w:r>
              <w:rPr>
                <w:szCs w:val="24"/>
              </w:rPr>
              <w:t>Une forte exposition aux risques sanitaires (épiz</w:t>
            </w:r>
            <w:r>
              <w:rPr>
                <w:szCs w:val="24"/>
              </w:rPr>
              <w:t>ootie, calamités) en particulier consécutivement au changement climatique.</w:t>
            </w:r>
          </w:p>
          <w:p w:rsidR="0035701C" w:rsidRDefault="00FB561B" w:rsidP="00FB561B">
            <w:pPr>
              <w:numPr>
                <w:ilvl w:val="0"/>
                <w:numId w:val="42"/>
              </w:numPr>
              <w:spacing w:before="0" w:after="0"/>
              <w:ind w:hanging="210"/>
              <w:jc w:val="left"/>
              <w:rPr>
                <w:szCs w:val="24"/>
              </w:rPr>
            </w:pPr>
            <w:r>
              <w:rPr>
                <w:szCs w:val="24"/>
              </w:rPr>
              <w:t>Une focalisation de l'offre forestière sur une seule essence emblématique (le pin Laricio) qui négligerait la mise en valeur des autres potentiels : ensemble des massifs et des esse</w:t>
            </w:r>
            <w:r>
              <w:rPr>
                <w:szCs w:val="24"/>
              </w:rPr>
              <w:t>nces de Corse.</w:t>
            </w:r>
          </w:p>
          <w:p w:rsidR="0035701C" w:rsidRDefault="00FB561B" w:rsidP="00FB561B">
            <w:pPr>
              <w:numPr>
                <w:ilvl w:val="0"/>
                <w:numId w:val="42"/>
              </w:numPr>
              <w:spacing w:before="0" w:after="0"/>
              <w:ind w:hanging="210"/>
              <w:jc w:val="left"/>
              <w:rPr>
                <w:szCs w:val="24"/>
              </w:rPr>
            </w:pPr>
            <w:r>
              <w:rPr>
                <w:szCs w:val="24"/>
              </w:rPr>
              <w:t>Il existe un risque de sous-valorisation du bois d'œuvre en produit à faible plus-value et d’une surexploitation ponctuelle de la ressource en cas de mise en place de filières de bois énergie surdimensionnées au regard de l’exploitabilité ac</w:t>
            </w:r>
            <w:r>
              <w:rPr>
                <w:szCs w:val="24"/>
              </w:rPr>
              <w:t>tuelle des forêts et en l’absence de stratégie d’approvisionnement et d’aménagement à long terme des massifs.</w:t>
            </w:r>
          </w:p>
          <w:p w:rsidR="0035701C" w:rsidRDefault="00FB561B" w:rsidP="00FB561B">
            <w:pPr>
              <w:numPr>
                <w:ilvl w:val="0"/>
                <w:numId w:val="42"/>
              </w:numPr>
              <w:spacing w:before="0" w:after="0"/>
              <w:ind w:hanging="210"/>
              <w:jc w:val="left"/>
              <w:rPr>
                <w:szCs w:val="24"/>
              </w:rPr>
            </w:pPr>
            <w:r>
              <w:rPr>
                <w:szCs w:val="24"/>
              </w:rPr>
              <w:t>Problème de l'entretien des dessertes existantes et à venir.</w:t>
            </w:r>
          </w:p>
          <w:p w:rsidR="0035701C" w:rsidRDefault="00FB561B" w:rsidP="00FB561B">
            <w:pPr>
              <w:numPr>
                <w:ilvl w:val="0"/>
                <w:numId w:val="42"/>
              </w:numPr>
              <w:spacing w:before="0" w:after="0"/>
              <w:ind w:hanging="210"/>
              <w:jc w:val="left"/>
              <w:rPr>
                <w:szCs w:val="24"/>
              </w:rPr>
            </w:pPr>
            <w:r>
              <w:rPr>
                <w:szCs w:val="24"/>
              </w:rPr>
              <w:t>Une concurrence croissante des bois importés si on ne parvient pas à aménager suffisa</w:t>
            </w:r>
            <w:r>
              <w:rPr>
                <w:szCs w:val="24"/>
              </w:rPr>
              <w:t>mment les massifs pour en extraire la ressource.</w:t>
            </w:r>
          </w:p>
          <w:p w:rsidR="0035701C" w:rsidRDefault="00FB561B" w:rsidP="00FB561B">
            <w:pPr>
              <w:numPr>
                <w:ilvl w:val="0"/>
                <w:numId w:val="42"/>
              </w:numPr>
              <w:spacing w:before="0" w:after="240"/>
              <w:ind w:hanging="210"/>
              <w:jc w:val="left"/>
              <w:rPr>
                <w:szCs w:val="24"/>
              </w:rPr>
            </w:pPr>
            <w:r>
              <w:rPr>
                <w:szCs w:val="24"/>
              </w:rPr>
              <w:t>Une insuffisance de sensibilisation des prescripteurs de la construction pour les usages du bois.</w:t>
            </w:r>
          </w:p>
          <w:p w:rsidR="0035701C" w:rsidRDefault="00FB561B">
            <w:pPr>
              <w:spacing w:before="240" w:after="240"/>
              <w:jc w:val="left"/>
              <w:rPr>
                <w:szCs w:val="24"/>
              </w:rPr>
            </w:pPr>
            <w:r>
              <w:rPr>
                <w:b/>
                <w:bCs/>
                <w:szCs w:val="24"/>
              </w:rPr>
              <w:lastRenderedPageBreak/>
              <w:t>Les producteurs et l’installation agricole</w:t>
            </w:r>
          </w:p>
          <w:p w:rsidR="0035701C" w:rsidRDefault="00FB561B" w:rsidP="00FB561B">
            <w:pPr>
              <w:numPr>
                <w:ilvl w:val="0"/>
                <w:numId w:val="43"/>
              </w:numPr>
              <w:spacing w:before="240" w:after="0"/>
              <w:ind w:hanging="210"/>
              <w:jc w:val="left"/>
              <w:rPr>
                <w:szCs w:val="24"/>
              </w:rPr>
            </w:pPr>
            <w:r>
              <w:rPr>
                <w:szCs w:val="24"/>
              </w:rPr>
              <w:t>Une désaffection pour les activités agricoles et d’élevage hors ou</w:t>
            </w:r>
            <w:r>
              <w:rPr>
                <w:szCs w:val="24"/>
              </w:rPr>
              <w:t xml:space="preserve"> dans un cadre familial (problème de vocation), notamment pour les filières laitières ovines et caprines.</w:t>
            </w:r>
          </w:p>
          <w:p w:rsidR="0035701C" w:rsidRDefault="00FB561B" w:rsidP="00FB561B">
            <w:pPr>
              <w:numPr>
                <w:ilvl w:val="0"/>
                <w:numId w:val="43"/>
              </w:numPr>
              <w:spacing w:before="0" w:after="0"/>
              <w:ind w:hanging="210"/>
              <w:jc w:val="left"/>
              <w:rPr>
                <w:szCs w:val="24"/>
              </w:rPr>
            </w:pPr>
            <w:r>
              <w:rPr>
                <w:szCs w:val="24"/>
              </w:rPr>
              <w:t>Des départs tardifs à la retraite, réduisant la capacité de transmission des exploitations.</w:t>
            </w:r>
          </w:p>
          <w:p w:rsidR="0035701C" w:rsidRDefault="00FB561B" w:rsidP="00FB561B">
            <w:pPr>
              <w:numPr>
                <w:ilvl w:val="0"/>
                <w:numId w:val="43"/>
              </w:numPr>
              <w:spacing w:before="0" w:after="0"/>
              <w:ind w:hanging="210"/>
              <w:jc w:val="left"/>
              <w:rPr>
                <w:szCs w:val="24"/>
              </w:rPr>
            </w:pPr>
            <w:r>
              <w:rPr>
                <w:szCs w:val="24"/>
              </w:rPr>
              <w:t xml:space="preserve">Risque d’abandon de certaines productions agricoles </w:t>
            </w:r>
            <w:r>
              <w:rPr>
                <w:szCs w:val="24"/>
              </w:rPr>
              <w:t xml:space="preserve">pérennes liées à des difficultés de transmission (par exemple vergers traditionnels en zone de montagne compte tenu de la pénibilité du travail, zones péri-urbaines soumises à d’autres enjeux spatiaux, vergers d’agrumes en plaine orientale nécessitant des </w:t>
            </w:r>
            <w:r>
              <w:rPr>
                <w:szCs w:val="24"/>
              </w:rPr>
              <w:t>investissements à moyen-long terme).</w:t>
            </w:r>
          </w:p>
          <w:p w:rsidR="0035701C" w:rsidRDefault="00FB561B" w:rsidP="00FB561B">
            <w:pPr>
              <w:numPr>
                <w:ilvl w:val="0"/>
                <w:numId w:val="43"/>
              </w:numPr>
              <w:spacing w:before="0" w:after="240"/>
              <w:ind w:hanging="210"/>
              <w:jc w:val="left"/>
              <w:rPr>
                <w:szCs w:val="24"/>
              </w:rPr>
            </w:pPr>
            <w:r>
              <w:rPr>
                <w:szCs w:val="24"/>
              </w:rPr>
              <w:t>Une insuffisance d’incitation à la transmission (cession/reprise) des exploitations agricoles.</w:t>
            </w:r>
          </w:p>
          <w:p w:rsidR="0035701C" w:rsidRDefault="00FB561B">
            <w:pPr>
              <w:spacing w:before="240" w:after="240"/>
              <w:jc w:val="left"/>
              <w:rPr>
                <w:szCs w:val="24"/>
              </w:rPr>
            </w:pPr>
            <w:r>
              <w:rPr>
                <w:b/>
                <w:bCs/>
                <w:szCs w:val="24"/>
              </w:rPr>
              <w:t>Gestion des ressources naturelles, biodiversité et paysage</w:t>
            </w:r>
          </w:p>
          <w:p w:rsidR="0035701C" w:rsidRDefault="00FB561B" w:rsidP="00FB561B">
            <w:pPr>
              <w:numPr>
                <w:ilvl w:val="0"/>
                <w:numId w:val="44"/>
              </w:numPr>
              <w:spacing w:before="240" w:after="0"/>
              <w:ind w:hanging="210"/>
              <w:jc w:val="left"/>
              <w:rPr>
                <w:szCs w:val="24"/>
              </w:rPr>
            </w:pPr>
            <w:r>
              <w:rPr>
                <w:szCs w:val="24"/>
              </w:rPr>
              <w:t>Un accroissement du risque incendie en raison des effets du chang</w:t>
            </w:r>
            <w:r>
              <w:rPr>
                <w:szCs w:val="24"/>
              </w:rPr>
              <w:t>ement climatique et d’une nouvelle déprise agricole. Ces incendies pourraient avoir un caractère plus violent ou affecter de plus grandes surfaces.</w:t>
            </w:r>
          </w:p>
          <w:p w:rsidR="0035701C" w:rsidRDefault="00FB561B" w:rsidP="00FB561B">
            <w:pPr>
              <w:numPr>
                <w:ilvl w:val="0"/>
                <w:numId w:val="44"/>
              </w:numPr>
              <w:spacing w:before="0" w:after="0"/>
              <w:ind w:hanging="210"/>
              <w:jc w:val="left"/>
              <w:rPr>
                <w:szCs w:val="24"/>
              </w:rPr>
            </w:pPr>
            <w:r>
              <w:rPr>
                <w:szCs w:val="24"/>
              </w:rPr>
              <w:t>Une augmentation de la déprise agricole et de la fermeture des paysages entrainant une perte de biodiversité</w:t>
            </w:r>
            <w:r>
              <w:rPr>
                <w:szCs w:val="24"/>
              </w:rPr>
              <w:t>, mais aussi de savoir-faire et d’identité.</w:t>
            </w:r>
          </w:p>
          <w:p w:rsidR="0035701C" w:rsidRDefault="00FB561B" w:rsidP="00FB561B">
            <w:pPr>
              <w:numPr>
                <w:ilvl w:val="0"/>
                <w:numId w:val="44"/>
              </w:numPr>
              <w:spacing w:before="0" w:after="0"/>
              <w:ind w:hanging="210"/>
              <w:jc w:val="left"/>
              <w:rPr>
                <w:szCs w:val="24"/>
              </w:rPr>
            </w:pPr>
            <w:r>
              <w:rPr>
                <w:szCs w:val="24"/>
              </w:rPr>
              <w:t>Ressources génétiques de race locale menacées (Caprins, Porcins, Abeilles, Equins, Bovins, Ovins)</w:t>
            </w:r>
          </w:p>
          <w:p w:rsidR="0035701C" w:rsidRDefault="00FB561B" w:rsidP="00FB561B">
            <w:pPr>
              <w:numPr>
                <w:ilvl w:val="0"/>
                <w:numId w:val="44"/>
              </w:numPr>
              <w:spacing w:before="0" w:after="0"/>
              <w:ind w:hanging="210"/>
              <w:jc w:val="left"/>
              <w:rPr>
                <w:szCs w:val="24"/>
              </w:rPr>
            </w:pPr>
            <w:r>
              <w:rPr>
                <w:szCs w:val="24"/>
              </w:rPr>
              <w:t>Risque sanitaires (Cynips, Xylella fastidiosa, épizooties…)</w:t>
            </w:r>
          </w:p>
          <w:p w:rsidR="0035701C" w:rsidRDefault="00FB561B" w:rsidP="00FB561B">
            <w:pPr>
              <w:numPr>
                <w:ilvl w:val="0"/>
                <w:numId w:val="44"/>
              </w:numPr>
              <w:spacing w:before="0" w:after="0"/>
              <w:ind w:hanging="210"/>
              <w:jc w:val="left"/>
              <w:rPr>
                <w:szCs w:val="24"/>
              </w:rPr>
            </w:pPr>
            <w:r>
              <w:rPr>
                <w:szCs w:val="24"/>
              </w:rPr>
              <w:t>Intensification de certaines cultures, induisant un ri</w:t>
            </w:r>
            <w:r>
              <w:rPr>
                <w:szCs w:val="24"/>
              </w:rPr>
              <w:t>sque sur la qualité de l’eau.</w:t>
            </w:r>
          </w:p>
          <w:p w:rsidR="0035701C" w:rsidRDefault="00FB561B" w:rsidP="00FB561B">
            <w:pPr>
              <w:numPr>
                <w:ilvl w:val="0"/>
                <w:numId w:val="44"/>
              </w:numPr>
              <w:spacing w:before="0" w:after="240"/>
              <w:ind w:hanging="210"/>
              <w:jc w:val="left"/>
              <w:rPr>
                <w:szCs w:val="24"/>
              </w:rPr>
            </w:pPr>
            <w:r>
              <w:rPr>
                <w:szCs w:val="24"/>
              </w:rPr>
              <w:t>Risque d’artificialisation des terres et d’urbanisation forte sur le littoral, risque d’érosion.</w:t>
            </w:r>
          </w:p>
          <w:p w:rsidR="0035701C" w:rsidRDefault="00FB561B" w:rsidP="00FB561B">
            <w:pPr>
              <w:numPr>
                <w:ilvl w:val="0"/>
                <w:numId w:val="45"/>
              </w:numPr>
              <w:spacing w:before="240" w:after="240"/>
              <w:ind w:hanging="210"/>
              <w:jc w:val="left"/>
              <w:rPr>
                <w:szCs w:val="24"/>
              </w:rPr>
            </w:pPr>
            <w:r>
              <w:rPr>
                <w:szCs w:val="24"/>
              </w:rPr>
              <w:t>Disparition des terrasses</w:t>
            </w:r>
          </w:p>
          <w:p w:rsidR="0035701C" w:rsidRDefault="0035701C">
            <w:pPr>
              <w:pStyle w:val="Corpsdetexte"/>
            </w:pPr>
          </w:p>
        </w:tc>
      </w:tr>
    </w:tbl>
    <w:p w:rsidR="0035701C" w:rsidRDefault="0035701C">
      <w:pPr>
        <w:sectPr w:rsidR="0035701C">
          <w:pgSz w:w="12240" w:h="15840"/>
          <w:pgMar w:top="900" w:right="900" w:bottom="900" w:left="900" w:header="720" w:footer="720" w:gutter="0"/>
          <w:cols w:space="720"/>
        </w:sectPr>
      </w:pPr>
    </w:p>
    <w:p w:rsidR="0035701C" w:rsidRDefault="00FB561B">
      <w:pPr>
        <w:pStyle w:val="Titre3"/>
        <w:jc w:val="left"/>
      </w:pPr>
      <w:bookmarkStart w:id="34" w:name="_Toc256000033"/>
      <w:r>
        <w:lastRenderedPageBreak/>
        <w:t>Indicateurs contextuels communs</w:t>
      </w:r>
      <w:bookmarkEnd w:id="3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050"/>
        <w:gridCol w:w="2076"/>
        <w:gridCol w:w="1726"/>
        <w:gridCol w:w="1596"/>
        <w:gridCol w:w="1612"/>
        <w:gridCol w:w="1596"/>
      </w:tblGrid>
      <w:tr w:rsidR="0035701C">
        <w:tc>
          <w:tcPr>
            <w:tcW w:w="6464" w:type="dxa"/>
            <w:gridSpan w:val="6"/>
            <w:shd w:val="clear" w:color="auto" w:fill="808080"/>
            <w:tcMar>
              <w:top w:w="20" w:type="dxa"/>
              <w:bottom w:w="20" w:type="dxa"/>
            </w:tcMar>
            <w:vAlign w:val="center"/>
          </w:tcPr>
          <w:p w:rsidR="0035701C" w:rsidRDefault="00FB561B">
            <w:pPr>
              <w:jc w:val="left"/>
              <w:rPr>
                <w:b/>
                <w:sz w:val="20"/>
              </w:rPr>
            </w:pPr>
            <w:r>
              <w:rPr>
                <w:b/>
                <w:sz w:val="20"/>
              </w:rPr>
              <w:t>I Situation socioéconomique et rurale</w:t>
            </w:r>
          </w:p>
        </w:tc>
      </w:tr>
      <w:tr w:rsidR="0035701C">
        <w:tc>
          <w:tcPr>
            <w:tcW w:w="6464" w:type="dxa"/>
            <w:gridSpan w:val="6"/>
            <w:shd w:val="clear" w:color="auto" w:fill="C0C0C0"/>
            <w:tcMar>
              <w:top w:w="20" w:type="dxa"/>
              <w:bottom w:w="20" w:type="dxa"/>
            </w:tcMar>
            <w:vAlign w:val="center"/>
          </w:tcPr>
          <w:p w:rsidR="0035701C" w:rsidRDefault="00FB561B">
            <w:pPr>
              <w:jc w:val="left"/>
              <w:rPr>
                <w:sz w:val="16"/>
              </w:rPr>
            </w:pPr>
            <w:r>
              <w:rPr>
                <w:sz w:val="16"/>
              </w:rPr>
              <w:t>1 Population</w:t>
            </w:r>
          </w:p>
        </w:tc>
      </w:tr>
      <w:tr w:rsidR="0035701C">
        <w:tc>
          <w:tcPr>
            <w:tcW w:w="12000" w:type="dxa"/>
            <w:shd w:val="clear" w:color="auto" w:fill="C0C0C0"/>
            <w:tcMar>
              <w:top w:w="20" w:type="dxa"/>
              <w:bottom w:w="20" w:type="dxa"/>
            </w:tcMar>
            <w:vAlign w:val="center"/>
          </w:tcPr>
          <w:p w:rsidR="0035701C" w:rsidRDefault="00FB561B">
            <w:pPr>
              <w:jc w:val="center"/>
              <w:rPr>
                <w:sz w:val="16"/>
              </w:rPr>
            </w:pPr>
            <w:r>
              <w:rPr>
                <w:sz w:val="16"/>
              </w:rPr>
              <w:t>Nom de</w:t>
            </w:r>
            <w:r>
              <w:rPr>
                <w:sz w:val="16"/>
              </w:rPr>
              <w:t xml:space="preserve"> l'indicateur</w:t>
            </w:r>
          </w:p>
        </w:tc>
        <w:tc>
          <w:tcPr>
            <w:tcW w:w="12000" w:type="dxa"/>
            <w:shd w:val="clear" w:color="auto" w:fill="C0C0C0"/>
            <w:tcMar>
              <w:top w:w="20" w:type="dxa"/>
              <w:bottom w:w="20" w:type="dxa"/>
            </w:tcMar>
            <w:vAlign w:val="center"/>
          </w:tcPr>
          <w:p w:rsidR="0035701C" w:rsidRDefault="00FB561B">
            <w:pPr>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totale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Habitants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316 578</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2012 p</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rurales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100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2012 p</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intermédiaires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2012 p</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urbaines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2012 p</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2 Pyramide des âges</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 xml:space="preserve">Nom </w:t>
            </w:r>
            <w:r>
              <w:rPr>
                <w:sz w:val="16"/>
              </w:rPr>
              <w:t>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population totale &lt; 15 ans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population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15,3</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2012 p</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population totale 15 - 64 ans </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population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64,4</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2012 p</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population totale &gt; 64 ans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de la </w:t>
            </w:r>
            <w:r>
              <w:rPr>
                <w:sz w:val="16"/>
              </w:rPr>
              <w:t>population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20,3</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2012 p</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rurales &lt; 15 ans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population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15,3</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2012 p</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rurales 15 - 64 ans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population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64,4</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2012 p</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rurales &gt; 64 ans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population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20,3</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2012 p</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3 Territoire</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 xml:space="preserve">Nom de </w:t>
            </w:r>
            <w:r>
              <w:rPr>
                <w:sz w:val="16"/>
              </w:rPr>
              <w:t>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total</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km2</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8 680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rurales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 de la superficie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100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intermédiaires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 de la superficie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2012 p</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urbaines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 de la superficie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2012 p</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4 Densité de population</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ensemble du territoire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Habitants/km2</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36,3</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rurales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Habitants/km2</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36,3</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5 Taux d'emploi</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total (15-64 ans)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hommes (15-64 ans)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67,2</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femmes (15-64 ans)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52,9</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zones rurales (peu peuplées) (15-64 ans)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total (20-64 ans)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65,8</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hommes (20-64 ans)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73,9</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femmes (20-64 ans)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57,7</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6 Taux d'emploi indépendant</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total (15-64 ans)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15,9</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7 Taux de chômage</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total (15-74 ans)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8,3</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jeunes (15-24 ans)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25,5</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zones rurales (peu peuplées) </w:t>
            </w:r>
            <w:r>
              <w:rPr>
                <w:sz w:val="16"/>
              </w:rPr>
              <w:lastRenderedPageBreak/>
              <w:t>(15-74 ans)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lastRenderedPageBreak/>
              <w:t>%</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8,3</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jeunes (15-24 ans)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25,5</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8 PIB par habitant</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 xml:space="preserve">Nom de </w:t>
            </w:r>
            <w:r>
              <w:rPr>
                <w:sz w:val="16"/>
              </w:rPr>
              <w:t>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total</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Indice PPA (UE - 27 = 100)</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90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zones rurales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Indice PPA (UE - 27 = 100)</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89,5</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9 Taux de pauvreté</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total</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population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19,3</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zones rurales (peu peuplées)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population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19,4</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10 Structure de l'économie (VAB)</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économie totale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Mio EUR</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6 922</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secteur primaire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1,4</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secteur secondaire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15,6</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secteur tertiaire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83,1</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rurales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100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intermédiaires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urbaines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11 Structure de l’emploi</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économie totale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1000 personnes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119,2</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secteur primaire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3,4</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secteur secondaire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17,1</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secteur tertiaire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79,4</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rurales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99,9</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intermédiaires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urbaines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12 Productivité du travail par secteur économique</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 xml:space="preserve">Nom de </w:t>
            </w:r>
            <w:r>
              <w:rPr>
                <w:sz w:val="16"/>
              </w:rPr>
              <w:t>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économie totale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EUR/personne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58 070,5</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secteur primaire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EUR/personne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23 585,4</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secteur secondaire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EUR/personne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52 764,7</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secteur tertiaire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EUR/personne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60 706,4</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rurales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EUR/personne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58 119,2</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intermédiaires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EUR/personne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urbaines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EUR/personne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bl>
    <w:p w:rsidR="0035701C" w:rsidRDefault="00FB561B">
      <w: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144"/>
        <w:gridCol w:w="2429"/>
        <w:gridCol w:w="1671"/>
        <w:gridCol w:w="1465"/>
        <w:gridCol w:w="1482"/>
        <w:gridCol w:w="1465"/>
      </w:tblGrid>
      <w:tr w:rsidR="0035701C">
        <w:tc>
          <w:tcPr>
            <w:tcW w:w="6464" w:type="dxa"/>
            <w:gridSpan w:val="6"/>
            <w:shd w:val="clear" w:color="auto" w:fill="808080"/>
            <w:tcMar>
              <w:top w:w="20" w:type="dxa"/>
              <w:bottom w:w="20" w:type="dxa"/>
            </w:tcMar>
            <w:vAlign w:val="center"/>
          </w:tcPr>
          <w:p w:rsidR="0035701C" w:rsidRDefault="00FB561B">
            <w:pPr>
              <w:jc w:val="left"/>
              <w:rPr>
                <w:b/>
                <w:sz w:val="20"/>
              </w:rPr>
            </w:pPr>
            <w:r>
              <w:rPr>
                <w:b/>
                <w:sz w:val="20"/>
              </w:rPr>
              <w:t>II Agriculture/analyse sectorielle</w:t>
            </w:r>
          </w:p>
        </w:tc>
      </w:tr>
      <w:tr w:rsidR="0035701C">
        <w:tc>
          <w:tcPr>
            <w:tcW w:w="6464" w:type="dxa"/>
            <w:gridSpan w:val="6"/>
            <w:shd w:val="clear" w:color="auto" w:fill="C0C0C0"/>
            <w:tcMar>
              <w:top w:w="20" w:type="dxa"/>
              <w:bottom w:w="20" w:type="dxa"/>
            </w:tcMar>
            <w:vAlign w:val="center"/>
          </w:tcPr>
          <w:p w:rsidR="0035701C" w:rsidRDefault="00FB561B">
            <w:pPr>
              <w:jc w:val="left"/>
              <w:rPr>
                <w:sz w:val="16"/>
              </w:rPr>
            </w:pPr>
            <w:r>
              <w:rPr>
                <w:sz w:val="16"/>
              </w:rPr>
              <w:t>13 Emploi par activité économique</w:t>
            </w:r>
          </w:p>
        </w:tc>
      </w:tr>
      <w:tr w:rsidR="0035701C">
        <w:tc>
          <w:tcPr>
            <w:tcW w:w="12000" w:type="dxa"/>
            <w:shd w:val="clear" w:color="auto" w:fill="C0C0C0"/>
            <w:tcMar>
              <w:top w:w="20" w:type="dxa"/>
              <w:bottom w:w="20" w:type="dxa"/>
            </w:tcMar>
            <w:vAlign w:val="center"/>
          </w:tcPr>
          <w:p w:rsidR="0035701C" w:rsidRDefault="00FB561B">
            <w:pPr>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économie totale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1000 personnes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76,5</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agriculture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1000 personnes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1,5</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agriculture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1,9</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foresterie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1000 personnes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foresterie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industrie agroalimentaire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1000 personnes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2,8</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industrie agroalimentaire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3,6</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tourisme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1000 personnes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5,4</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tourisme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7</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14 Productivité du travail dans l’agriculture</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productivité totale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EUR/UTA</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21 888</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2009 - 2011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15 Productivité du travail dans la foresterie</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productivité totale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EUR/UTA</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48 950,2</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 xml:space="preserve">Ajout France; transmis le 20/12/13 par le MAAF. Attention définition régionale spécifique </w:t>
            </w:r>
          </w:p>
        </w:tc>
      </w:tr>
      <w:tr w:rsidR="0035701C">
        <w:tc>
          <w:tcPr>
            <w:tcW w:w="6464" w:type="dxa"/>
            <w:gridSpan w:val="6"/>
            <w:shd w:val="clear" w:color="auto" w:fill="C0C0C0"/>
            <w:tcMar>
              <w:top w:w="20" w:type="dxa"/>
              <w:bottom w:w="20" w:type="dxa"/>
            </w:tcMar>
            <w:vAlign w:val="center"/>
          </w:tcPr>
          <w:p w:rsidR="0035701C" w:rsidRDefault="00FB561B">
            <w:pPr>
              <w:jc w:val="left"/>
              <w:rPr>
                <w:sz w:val="16"/>
              </w:rPr>
            </w:pPr>
            <w:r>
              <w:rPr>
                <w:sz w:val="16"/>
              </w:rPr>
              <w:t>16 Productivité du travail dans l’industrie agroalimentaire</w:t>
            </w:r>
          </w:p>
        </w:tc>
      </w:tr>
      <w:tr w:rsidR="0035701C">
        <w:tc>
          <w:tcPr>
            <w:tcW w:w="12000" w:type="dxa"/>
            <w:shd w:val="clear" w:color="auto" w:fill="C0C0C0"/>
            <w:tcMar>
              <w:top w:w="20" w:type="dxa"/>
              <w:bottom w:w="20" w:type="dxa"/>
            </w:tcMar>
            <w:vAlign w:val="center"/>
          </w:tcPr>
          <w:p w:rsidR="0035701C" w:rsidRDefault="00FB561B">
            <w:pPr>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jc w:val="center"/>
              <w:rPr>
                <w:sz w:val="16"/>
              </w:rPr>
            </w:pPr>
            <w:r>
              <w:rPr>
                <w:sz w:val="16"/>
              </w:rPr>
              <w:t xml:space="preserve">Année mise à </w:t>
            </w:r>
            <w:r>
              <w:rPr>
                <w:sz w:val="16"/>
              </w:rPr>
              <w:t>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productivité totale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EUR/personne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46 090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17 Exploitations agricoles (fermes)</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 total</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2 830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taille d'exploitation &lt; 2 ha</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310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taille d'exploitation 2-4,9 ha</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250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taille d'exploitation 5-9,9 ha</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200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taille d'exploitation 10-19,9 ha</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320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taille d’exploitation 20-29,9 ha</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200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taille d'exploitation 30-49,9 ha</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330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taille d'exploitation 50-99,9 ha</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610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taille d'exploitation &gt; 100 ha</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610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taille économique d'exploitation &lt; 2000 production standard (PS)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150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taille économique d'exploitation 2 000 </w:t>
            </w:r>
            <w:r>
              <w:rPr>
                <w:sz w:val="16"/>
              </w:rPr>
              <w:t>- 3 999 PS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120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taille économique </w:t>
            </w:r>
            <w:r>
              <w:rPr>
                <w:sz w:val="16"/>
              </w:rPr>
              <w:lastRenderedPageBreak/>
              <w:t>d'exploitation 4 000 - 7 999 PS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lastRenderedPageBreak/>
              <w:t>Nombre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190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taille économique d'exploitation 8 000 - 14 999 PS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340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taille économique d'exploitation 15 000 - 24 999 PS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480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taille économique d'exploitation 25 000 - 49 999 PS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740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taille économique d'exploitation 50 000 - 99 999 PS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420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taille économique d'exploitation 100 000 - 249 999 PS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240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taille économique d'exploitation</w:t>
            </w:r>
            <w:r>
              <w:rPr>
                <w:sz w:val="16"/>
              </w:rPr>
              <w:t xml:space="preserve"> 250 000 - 499 999 PS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80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taille économique d'exploitation &gt; 500 000 PS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50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taille physique moyenne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ha de SAU/exploitation</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63,6</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taille économique moyenne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EUR de PS/exploitation</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64 057,67</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taille </w:t>
            </w:r>
            <w:r>
              <w:rPr>
                <w:sz w:val="16"/>
              </w:rPr>
              <w:t>moyenne en unités de travail (personnes)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Personnes/exploitation</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1,7</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taille moyenne en unités de travail (UTA)</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UTA/exploitation</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1,4</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18 Surface agricole</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SAU </w:t>
            </w:r>
            <w:r>
              <w:rPr>
                <w:sz w:val="16"/>
              </w:rPr>
              <w:t>totale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ha</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179 940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terres arables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SAU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6,4</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prairies permanentes et pâturages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SAU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85,9</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cultures permanentes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SAU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7,7</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19 Surface agricole en agriculture biologique</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 xml:space="preserve">Nom de </w:t>
            </w:r>
            <w:r>
              <w:rPr>
                <w:sz w:val="16"/>
              </w:rPr>
              <w:t>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certifiée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ha de SAU</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7 894</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en conversion</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ha de SAU</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1 535</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part de la SAU (certifiée et en conversion)</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SAU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5,6</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2012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20 Terres irriguées</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 xml:space="preserve">Nom de </w:t>
            </w:r>
            <w:r>
              <w:rPr>
                <w:sz w:val="16"/>
              </w:rPr>
              <w:t>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total</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ha</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12 020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part de la SAU</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SAU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6,7</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21 Unités de gros bétail</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nombre </w:t>
            </w:r>
            <w:r>
              <w:rPr>
                <w:sz w:val="16"/>
              </w:rPr>
              <w:t>total</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UGB</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71 380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22 Main-d’œuvre agricole</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main-d’œuvre agricole régulière totale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Personnes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4 890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main-d’œuvre agricole régulière totale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UTA</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3 790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lastRenderedPageBreak/>
              <w:t>23 Pyramide des âges des chefs d'exploitation agricole</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 total de chefs d'exploitation</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2 830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part des &lt; 35 ans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 des gestionnaires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8,5</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ratio &lt;35 / &gt;= 55 ans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 de jeunes gestionnaires pour 100 gestionnaires âgés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22,6</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24 Formation agricole des chefs d’exploitation</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part du nombre total de chefs </w:t>
            </w:r>
            <w:r>
              <w:rPr>
                <w:sz w:val="16"/>
              </w:rPr>
              <w:t>d'exploitation ayant une formation agricole élémentaire ou complète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31,4</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part des chefs d'exploitation &lt; 35 ans ayant une formation agricole élémentaire ou complète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58,3</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25 Revenu des facteurs agricoles</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 xml:space="preserve">Nom de </w:t>
            </w:r>
            <w:r>
              <w:rPr>
                <w:sz w:val="16"/>
              </w:rPr>
              <w:t>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revenu total</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EUR/UTA</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17 112,3</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revenu total (indice)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Indice 2005 = 100</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93,6</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26 Revenu d'entreprise agricole</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 xml:space="preserve">Valeur mise à </w:t>
            </w:r>
            <w:r>
              <w:rPr>
                <w:sz w:val="16"/>
              </w:rPr>
              <w:t>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Niveau de vie des agriculteurs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EUR/UTA</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14 564,5</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Niveau de vie des agriculteurs en proportion du niveau de vie des personnes occupées dans les autres secteurs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71,1</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 xml:space="preserve">PROXY : Donnée indisponible en </w:t>
            </w:r>
            <w:r>
              <w:rPr>
                <w:i/>
                <w:sz w:val="16"/>
              </w:rPr>
              <w:t>Corse, valeur Nationale</w:t>
            </w:r>
          </w:p>
        </w:tc>
      </w:tr>
      <w:tr w:rsidR="0035701C">
        <w:tc>
          <w:tcPr>
            <w:tcW w:w="6464" w:type="dxa"/>
            <w:gridSpan w:val="6"/>
            <w:shd w:val="clear" w:color="auto" w:fill="C0C0C0"/>
            <w:tcMar>
              <w:top w:w="20" w:type="dxa"/>
              <w:bottom w:w="20" w:type="dxa"/>
            </w:tcMar>
            <w:vAlign w:val="center"/>
          </w:tcPr>
          <w:p w:rsidR="0035701C" w:rsidRDefault="00FB561B">
            <w:pPr>
              <w:jc w:val="left"/>
              <w:rPr>
                <w:sz w:val="16"/>
              </w:rPr>
            </w:pPr>
            <w:r>
              <w:rPr>
                <w:sz w:val="16"/>
              </w:rPr>
              <w:t>27 Productivité totale des facteurs dans l’agriculture</w:t>
            </w:r>
          </w:p>
        </w:tc>
      </w:tr>
      <w:tr w:rsidR="0035701C">
        <w:tc>
          <w:tcPr>
            <w:tcW w:w="12000" w:type="dxa"/>
            <w:shd w:val="clear" w:color="auto" w:fill="C0C0C0"/>
            <w:tcMar>
              <w:top w:w="20" w:type="dxa"/>
              <w:bottom w:w="20" w:type="dxa"/>
            </w:tcMar>
            <w:vAlign w:val="center"/>
          </w:tcPr>
          <w:p w:rsidR="0035701C" w:rsidRDefault="00FB561B">
            <w:pPr>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productivité totale (indice)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Indice 2005 = 100</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103,7</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2009 - 2011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 xml:space="preserve">28 Formation brute de </w:t>
            </w:r>
            <w:r>
              <w:rPr>
                <w:sz w:val="16"/>
              </w:rPr>
              <w:t>capital fixe dans l'agriculture</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Formation brute de capital fixe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Mio EUR</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33,1</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part de la VAB de l’agriculture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de l'agriculture dans la VAB </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32,9</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 xml:space="preserve">29 Forêts </w:t>
            </w:r>
            <w:r>
              <w:rPr>
                <w:sz w:val="16"/>
              </w:rPr>
              <w:t>et autres terres boisées (000)</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total</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1000 ha</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570,6</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Ajout France; transmis le 20/12/13 par le MAAF</w:t>
            </w:r>
          </w:p>
          <w:p w:rsidR="0035701C" w:rsidRDefault="0035701C">
            <w:pPr>
              <w:rPr>
                <w:i/>
                <w:sz w:val="16"/>
              </w:rPr>
            </w:pP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part de la superficie totale des terres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superficie</w:t>
            </w:r>
            <w:r>
              <w:rPr>
                <w:sz w:val="16"/>
              </w:rPr>
              <w:t xml:space="preserve"> totale des terres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65,5</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Ajout France; transmis le 20/12/13 par le MAAF</w:t>
            </w:r>
          </w:p>
        </w:tc>
      </w:tr>
      <w:tr w:rsidR="0035701C">
        <w:tc>
          <w:tcPr>
            <w:tcW w:w="6464" w:type="dxa"/>
            <w:gridSpan w:val="6"/>
            <w:shd w:val="clear" w:color="auto" w:fill="C0C0C0"/>
            <w:tcMar>
              <w:top w:w="20" w:type="dxa"/>
              <w:bottom w:w="20" w:type="dxa"/>
            </w:tcMar>
            <w:vAlign w:val="center"/>
          </w:tcPr>
          <w:p w:rsidR="0035701C" w:rsidRDefault="00FB561B">
            <w:pPr>
              <w:jc w:val="left"/>
              <w:rPr>
                <w:sz w:val="16"/>
              </w:rPr>
            </w:pPr>
            <w:r>
              <w:rPr>
                <w:sz w:val="16"/>
              </w:rPr>
              <w:t>30 Infrastructures touristiques</w:t>
            </w:r>
          </w:p>
        </w:tc>
      </w:tr>
      <w:tr w:rsidR="0035701C">
        <w:tc>
          <w:tcPr>
            <w:tcW w:w="12000" w:type="dxa"/>
            <w:shd w:val="clear" w:color="auto" w:fill="C0C0C0"/>
            <w:tcMar>
              <w:top w:w="20" w:type="dxa"/>
              <w:bottom w:w="20" w:type="dxa"/>
            </w:tcMar>
            <w:vAlign w:val="center"/>
          </w:tcPr>
          <w:p w:rsidR="0035701C" w:rsidRDefault="00FB561B">
            <w:pPr>
              <w:jc w:val="center"/>
              <w:rPr>
                <w:sz w:val="16"/>
              </w:rPr>
            </w:pPr>
            <w:r>
              <w:rPr>
                <w:sz w:val="16"/>
              </w:rPr>
              <w:lastRenderedPageBreak/>
              <w:t>Nom de l'indicateur</w:t>
            </w:r>
          </w:p>
        </w:tc>
        <w:tc>
          <w:tcPr>
            <w:tcW w:w="12000" w:type="dxa"/>
            <w:shd w:val="clear" w:color="auto" w:fill="C0C0C0"/>
            <w:tcMar>
              <w:top w:w="20" w:type="dxa"/>
              <w:bottom w:w="20" w:type="dxa"/>
            </w:tcMar>
            <w:vAlign w:val="center"/>
          </w:tcPr>
          <w:p w:rsidR="0035701C" w:rsidRDefault="00FB561B">
            <w:pPr>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nombre de lits en établissements collectifs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Nombre de </w:t>
            </w:r>
            <w:r>
              <w:rPr>
                <w:sz w:val="16"/>
              </w:rPr>
              <w:t>places-lits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133 460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rurales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100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intermédiaires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zones urbaines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bl>
    <w:p w:rsidR="0035701C" w:rsidRDefault="00FB561B">
      <w: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433"/>
        <w:gridCol w:w="2129"/>
        <w:gridCol w:w="1535"/>
        <w:gridCol w:w="1514"/>
        <w:gridCol w:w="1531"/>
        <w:gridCol w:w="1514"/>
      </w:tblGrid>
      <w:tr w:rsidR="0035701C">
        <w:tc>
          <w:tcPr>
            <w:tcW w:w="6464" w:type="dxa"/>
            <w:gridSpan w:val="6"/>
            <w:shd w:val="clear" w:color="auto" w:fill="808080"/>
            <w:tcMar>
              <w:top w:w="20" w:type="dxa"/>
              <w:bottom w:w="20" w:type="dxa"/>
            </w:tcMar>
            <w:vAlign w:val="center"/>
          </w:tcPr>
          <w:p w:rsidR="0035701C" w:rsidRDefault="00FB561B">
            <w:pPr>
              <w:jc w:val="left"/>
              <w:rPr>
                <w:b/>
                <w:sz w:val="20"/>
              </w:rPr>
            </w:pPr>
            <w:r>
              <w:rPr>
                <w:b/>
                <w:sz w:val="20"/>
              </w:rPr>
              <w:t>III Environnement/climat</w:t>
            </w:r>
          </w:p>
        </w:tc>
      </w:tr>
      <w:tr w:rsidR="0035701C">
        <w:tc>
          <w:tcPr>
            <w:tcW w:w="6464" w:type="dxa"/>
            <w:gridSpan w:val="6"/>
            <w:shd w:val="clear" w:color="auto" w:fill="C0C0C0"/>
            <w:tcMar>
              <w:top w:w="20" w:type="dxa"/>
              <w:bottom w:w="20" w:type="dxa"/>
            </w:tcMar>
            <w:vAlign w:val="center"/>
          </w:tcPr>
          <w:p w:rsidR="0035701C" w:rsidRDefault="00FB561B">
            <w:pPr>
              <w:jc w:val="left"/>
              <w:rPr>
                <w:sz w:val="16"/>
              </w:rPr>
            </w:pPr>
            <w:r>
              <w:rPr>
                <w:sz w:val="16"/>
              </w:rPr>
              <w:t>31 Occupation des sols</w:t>
            </w:r>
          </w:p>
        </w:tc>
      </w:tr>
      <w:tr w:rsidR="0035701C">
        <w:tc>
          <w:tcPr>
            <w:tcW w:w="12000" w:type="dxa"/>
            <w:shd w:val="clear" w:color="auto" w:fill="C0C0C0"/>
            <w:tcMar>
              <w:top w:w="20" w:type="dxa"/>
              <w:bottom w:w="20" w:type="dxa"/>
            </w:tcMar>
            <w:vAlign w:val="center"/>
          </w:tcPr>
          <w:p w:rsidR="0035701C" w:rsidRDefault="00FB561B">
            <w:pPr>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jc w:val="center"/>
              <w:rPr>
                <w:sz w:val="16"/>
              </w:rPr>
            </w:pPr>
            <w:r>
              <w:rPr>
                <w:sz w:val="16"/>
              </w:rPr>
              <w:t xml:space="preserve">Valeur </w:t>
            </w:r>
            <w:r>
              <w:rPr>
                <w:sz w:val="16"/>
              </w:rPr>
              <w:t>mise à jour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part des terres agricoles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 de la superficie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11,7</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2006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part des prairies naturelles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 de la superficie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2006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part des terres forestières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 de la superficie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30,1</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2006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part des </w:t>
            </w:r>
            <w:r>
              <w:rPr>
                <w:sz w:val="16"/>
              </w:rPr>
              <w:t>espaces de forêts et de végétation arbustive en mutation</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 de la superficie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11,1</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2006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part des espaces naturels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 de la superficie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34,6</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2006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part des terres artificialisées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 de la superficie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1,9</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2006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part des </w:t>
            </w:r>
            <w:r>
              <w:rPr>
                <w:sz w:val="16"/>
              </w:rPr>
              <w:t>autres terres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 de la superficie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0,6</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2006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32 Zones soumises à des contraintes naturelles</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total</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SAU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99,1</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100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2019</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 xml:space="preserve">Ajout France; </w:t>
            </w:r>
            <w:r>
              <w:rPr>
                <w:i/>
                <w:sz w:val="16"/>
              </w:rPr>
              <w:t>transmis le 20/12/13 par le MAAF, modifié après réforme du zonage ICHN</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montagne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SAU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88,7</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Ajout France; transmis le 20/12/13 par le MAAF</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autres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SAU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6,9</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2019</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 xml:space="preserve">Ajout France; transmis le </w:t>
            </w:r>
            <w:r>
              <w:rPr>
                <w:i/>
                <w:sz w:val="16"/>
              </w:rPr>
              <w:t>20/12/13 par le MAAF, modifié après réforme du zonage ICHN</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spécifiques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SAU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10,3</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4,4</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2019</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Ajout France; transmis le 20/12/13 par le MAAF, modifié après réforme du zonage ICHN</w:t>
            </w:r>
          </w:p>
          <w:p w:rsidR="0035701C" w:rsidRDefault="0035701C">
            <w:pPr>
              <w:rPr>
                <w:i/>
                <w:sz w:val="16"/>
              </w:rPr>
            </w:pPr>
          </w:p>
        </w:tc>
      </w:tr>
      <w:tr w:rsidR="0035701C">
        <w:tc>
          <w:tcPr>
            <w:tcW w:w="6464" w:type="dxa"/>
            <w:gridSpan w:val="6"/>
            <w:shd w:val="clear" w:color="auto" w:fill="C0C0C0"/>
            <w:tcMar>
              <w:top w:w="20" w:type="dxa"/>
              <w:bottom w:w="20" w:type="dxa"/>
            </w:tcMar>
            <w:vAlign w:val="center"/>
          </w:tcPr>
          <w:p w:rsidR="0035701C" w:rsidRDefault="00FB561B">
            <w:pPr>
              <w:jc w:val="left"/>
              <w:rPr>
                <w:sz w:val="16"/>
              </w:rPr>
            </w:pPr>
            <w:r>
              <w:rPr>
                <w:sz w:val="16"/>
              </w:rPr>
              <w:t>33 Intensité de l’agriculture</w:t>
            </w:r>
          </w:p>
        </w:tc>
      </w:tr>
      <w:tr w:rsidR="0035701C">
        <w:tc>
          <w:tcPr>
            <w:tcW w:w="12000" w:type="dxa"/>
            <w:shd w:val="clear" w:color="auto" w:fill="C0C0C0"/>
            <w:tcMar>
              <w:top w:w="20" w:type="dxa"/>
              <w:bottom w:w="20" w:type="dxa"/>
            </w:tcMar>
            <w:vAlign w:val="center"/>
          </w:tcPr>
          <w:p w:rsidR="0035701C" w:rsidRDefault="00FB561B">
            <w:pPr>
              <w:jc w:val="center"/>
              <w:rPr>
                <w:sz w:val="16"/>
              </w:rPr>
            </w:pPr>
            <w:r>
              <w:rPr>
                <w:sz w:val="16"/>
              </w:rPr>
              <w:t xml:space="preserve">Nom de </w:t>
            </w:r>
            <w:r>
              <w:rPr>
                <w:sz w:val="16"/>
              </w:rPr>
              <w:t>l'indicateur</w:t>
            </w:r>
          </w:p>
        </w:tc>
        <w:tc>
          <w:tcPr>
            <w:tcW w:w="12000" w:type="dxa"/>
            <w:shd w:val="clear" w:color="auto" w:fill="C0C0C0"/>
            <w:tcMar>
              <w:top w:w="20" w:type="dxa"/>
              <w:bottom w:w="20" w:type="dxa"/>
            </w:tcMar>
            <w:vAlign w:val="center"/>
          </w:tcPr>
          <w:p w:rsidR="0035701C" w:rsidRDefault="00FB561B">
            <w:pPr>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faible intensité</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SAU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75,2</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2007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intensité moyenne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SAU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18,2</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2007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haute intensité</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SAU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6,6</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2007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pâturages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SAU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90,5</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34 Zones Natura 2000</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part du territoire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territoire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15,4</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part de la SAU (y compris prairies naturelles)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SAU</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13,6</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part de la </w:t>
            </w:r>
            <w:r>
              <w:rPr>
                <w:sz w:val="16"/>
              </w:rPr>
              <w:t>surface forestière totale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surface forestière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12,5</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35 Indice des populations d'oiseaux des champs</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total (indice)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Indice 2000 = 100</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96,2</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2008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PROXY : Valeur non disponible a l’échelle de la Corse. La Corse est exclue de ce type d'étude en raison de la spécificité de sa faune aviaire</w:t>
            </w:r>
          </w:p>
        </w:tc>
      </w:tr>
      <w:tr w:rsidR="0035701C">
        <w:tc>
          <w:tcPr>
            <w:tcW w:w="6464" w:type="dxa"/>
            <w:gridSpan w:val="6"/>
            <w:shd w:val="clear" w:color="auto" w:fill="C0C0C0"/>
            <w:tcMar>
              <w:top w:w="20" w:type="dxa"/>
              <w:bottom w:w="20" w:type="dxa"/>
            </w:tcMar>
            <w:vAlign w:val="center"/>
          </w:tcPr>
          <w:p w:rsidR="0035701C" w:rsidRDefault="00FB561B">
            <w:pPr>
              <w:jc w:val="left"/>
              <w:rPr>
                <w:sz w:val="16"/>
              </w:rPr>
            </w:pPr>
            <w:r>
              <w:rPr>
                <w:sz w:val="16"/>
              </w:rPr>
              <w:lastRenderedPageBreak/>
              <w:t>36 État de conservation des habitats agricoles (formations herbeuses)</w:t>
            </w:r>
          </w:p>
        </w:tc>
      </w:tr>
      <w:tr w:rsidR="0035701C">
        <w:tc>
          <w:tcPr>
            <w:tcW w:w="12000" w:type="dxa"/>
            <w:shd w:val="clear" w:color="auto" w:fill="C0C0C0"/>
            <w:tcMar>
              <w:top w:w="20" w:type="dxa"/>
              <w:bottom w:w="20" w:type="dxa"/>
            </w:tcMar>
            <w:vAlign w:val="center"/>
          </w:tcPr>
          <w:p w:rsidR="0035701C" w:rsidRDefault="00FB561B">
            <w:pPr>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favorable </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des évaluations d'habitats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7,7</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2003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Ajout France; transmis le 20/12/13 par le MAAF. Donnée de la région biogéographique dominante de la Région (administrative)</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défavorable - insuffisant</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r>
              <w:rPr>
                <w:sz w:val="16"/>
              </w:rPr>
              <w:t>des évaluations d'habitats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46,2</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2003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Ajout France; transmis le 20/12/13 par le MAAF. Donnée de la région biogéographique dominante de la Région (administrative)</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défavorable - mauvais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des évaluations d'habitats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23,1</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2003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Ajout France; transmis le 20/12/13 par le MAAF. Donnée de la région biogéographique dominante de la Région (administrative)</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inconnu</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des évaluations d'habitats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23,1</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2003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 xml:space="preserve">Ajout France; transmis le 20/12/13 par le MAAF. Donnée de la région </w:t>
            </w:r>
            <w:r>
              <w:rPr>
                <w:i/>
                <w:sz w:val="16"/>
              </w:rPr>
              <w:t>biogéographique dominante de la Région (administrative)</w:t>
            </w:r>
          </w:p>
        </w:tc>
      </w:tr>
      <w:tr w:rsidR="0035701C">
        <w:tc>
          <w:tcPr>
            <w:tcW w:w="6464" w:type="dxa"/>
            <w:gridSpan w:val="6"/>
            <w:shd w:val="clear" w:color="auto" w:fill="C0C0C0"/>
            <w:tcMar>
              <w:top w:w="20" w:type="dxa"/>
              <w:bottom w:w="20" w:type="dxa"/>
            </w:tcMar>
            <w:vAlign w:val="center"/>
          </w:tcPr>
          <w:p w:rsidR="0035701C" w:rsidRDefault="00FB561B">
            <w:pPr>
              <w:jc w:val="left"/>
              <w:rPr>
                <w:sz w:val="16"/>
              </w:rPr>
            </w:pPr>
            <w:r>
              <w:rPr>
                <w:sz w:val="16"/>
              </w:rPr>
              <w:t>37 Agriculture à haute valeur naturelle</w:t>
            </w:r>
          </w:p>
        </w:tc>
      </w:tr>
      <w:tr w:rsidR="0035701C">
        <w:tc>
          <w:tcPr>
            <w:tcW w:w="12000" w:type="dxa"/>
            <w:shd w:val="clear" w:color="auto" w:fill="C0C0C0"/>
            <w:tcMar>
              <w:top w:w="20" w:type="dxa"/>
              <w:bottom w:w="20" w:type="dxa"/>
            </w:tcMar>
            <w:vAlign w:val="center"/>
          </w:tcPr>
          <w:p w:rsidR="0035701C" w:rsidRDefault="00FB561B">
            <w:pPr>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total</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SAU totale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65,8</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Ajout France; transmis le 20/12/13</w:t>
            </w:r>
            <w:r>
              <w:rPr>
                <w:i/>
                <w:sz w:val="16"/>
              </w:rPr>
              <w:t xml:space="preserve"> par le MAAF</w:t>
            </w:r>
          </w:p>
        </w:tc>
      </w:tr>
      <w:tr w:rsidR="0035701C">
        <w:tc>
          <w:tcPr>
            <w:tcW w:w="6464" w:type="dxa"/>
            <w:gridSpan w:val="6"/>
            <w:shd w:val="clear" w:color="auto" w:fill="C0C0C0"/>
            <w:tcMar>
              <w:top w:w="20" w:type="dxa"/>
              <w:bottom w:w="20" w:type="dxa"/>
            </w:tcMar>
            <w:vAlign w:val="center"/>
          </w:tcPr>
          <w:p w:rsidR="0035701C" w:rsidRDefault="00FB561B">
            <w:pPr>
              <w:jc w:val="left"/>
              <w:rPr>
                <w:sz w:val="16"/>
              </w:rPr>
            </w:pPr>
            <w:r>
              <w:rPr>
                <w:sz w:val="16"/>
              </w:rPr>
              <w:t>38 Forêts protégées</w:t>
            </w:r>
          </w:p>
        </w:tc>
      </w:tr>
      <w:tr w:rsidR="0035701C">
        <w:tc>
          <w:tcPr>
            <w:tcW w:w="12000" w:type="dxa"/>
            <w:shd w:val="clear" w:color="auto" w:fill="C0C0C0"/>
            <w:tcMar>
              <w:top w:w="20" w:type="dxa"/>
              <w:bottom w:w="20" w:type="dxa"/>
            </w:tcMar>
            <w:vAlign w:val="center"/>
          </w:tcPr>
          <w:p w:rsidR="0035701C" w:rsidRDefault="00FB561B">
            <w:pPr>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classe 1.1</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surface de forêts et autres terres boisées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0,2</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Ajout France; transmis le 20/12/13 par le MAAF.</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classe </w:t>
            </w:r>
            <w:r>
              <w:rPr>
                <w:sz w:val="16"/>
              </w:rPr>
              <w:t>1.2</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surface de forêts et autres terres boisées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Ajout France; transmis le 20/12/13 par le MAAF.</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classe 1.3</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surface de forêts et autres terres boisées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0,3</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 xml:space="preserve">Ajout France; transmis le 20/12/13 par le </w:t>
            </w:r>
            <w:r>
              <w:rPr>
                <w:i/>
                <w:sz w:val="16"/>
              </w:rPr>
              <w:t>MAAF.</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classe 2</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surface de forêts et autres terres boisées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47,3</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Ajout France; transmis le 20/12/13 par le MAAF.</w:t>
            </w:r>
          </w:p>
        </w:tc>
      </w:tr>
      <w:tr w:rsidR="0035701C">
        <w:tc>
          <w:tcPr>
            <w:tcW w:w="6464" w:type="dxa"/>
            <w:gridSpan w:val="6"/>
            <w:shd w:val="clear" w:color="auto" w:fill="C0C0C0"/>
            <w:tcMar>
              <w:top w:w="20" w:type="dxa"/>
              <w:bottom w:w="20" w:type="dxa"/>
            </w:tcMar>
            <w:vAlign w:val="center"/>
          </w:tcPr>
          <w:p w:rsidR="0035701C" w:rsidRDefault="00FB561B">
            <w:pPr>
              <w:jc w:val="left"/>
              <w:rPr>
                <w:sz w:val="16"/>
              </w:rPr>
            </w:pPr>
            <w:r>
              <w:rPr>
                <w:sz w:val="16"/>
              </w:rPr>
              <w:t>39 Prélèvements d'eau dans l’agriculture</w:t>
            </w:r>
          </w:p>
        </w:tc>
      </w:tr>
      <w:tr w:rsidR="0035701C">
        <w:tc>
          <w:tcPr>
            <w:tcW w:w="12000" w:type="dxa"/>
            <w:shd w:val="clear" w:color="auto" w:fill="C0C0C0"/>
            <w:tcMar>
              <w:top w:w="20" w:type="dxa"/>
              <w:bottom w:w="20" w:type="dxa"/>
            </w:tcMar>
            <w:vAlign w:val="center"/>
          </w:tcPr>
          <w:p w:rsidR="0035701C" w:rsidRDefault="00FB561B">
            <w:pPr>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jc w:val="center"/>
              <w:rPr>
                <w:sz w:val="16"/>
              </w:rPr>
            </w:pPr>
            <w:r>
              <w:rPr>
                <w:sz w:val="16"/>
              </w:rPr>
              <w:t xml:space="preserve">Année mise à </w:t>
            </w:r>
            <w:r>
              <w:rPr>
                <w:sz w:val="16"/>
              </w:rPr>
              <w:t>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total</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1000 m3</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7 777</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2010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40 Qualité de l’eau</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Excédent potentiel d’azote sur les terres agricoles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kg N/ha/année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51,8</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2006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 xml:space="preserve">Donnée non disponible à </w:t>
            </w:r>
            <w:r>
              <w:rPr>
                <w:i/>
                <w:sz w:val="16"/>
              </w:rPr>
              <w:t>l'échelle de la Corse. Donnée Nationale</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Excédent potentiel de phosphore sur les terres agricoles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kg P/ha/année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2,5</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2006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Donnée non disponible à l'échelle de la Corse. Donnée Nationale</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Nitrates dans l'eau douce - Eaux superficielles: </w:t>
            </w:r>
            <w:r>
              <w:rPr>
                <w:sz w:val="16"/>
              </w:rPr>
              <w:t>qualité élevée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des sites faisant l'objet d'un suivi</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97</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Ajout France; transmis le 20/12/13 par le MAAF</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Nitrates dans l'eau douce - Eaux superficielles: qualité moyenne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des sites faisant l'objet d'un suivi</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3</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Ajout</w:t>
            </w:r>
            <w:r>
              <w:rPr>
                <w:i/>
                <w:sz w:val="16"/>
              </w:rPr>
              <w:t xml:space="preserve"> France; transmis le 20/12/13 par le MAAF</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Nitrates dans l'eau douce - Eaux superficielles: qualité faible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des sites faisant l'objet d'un suivi</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Ajout France; transmis le 20/12/13 par le MAAF</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Nitrates dans l'eau douce - Eaux </w:t>
            </w:r>
            <w:r>
              <w:rPr>
                <w:sz w:val="16"/>
              </w:rPr>
              <w:t>souterraines: qualité élevée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des sites faisant l'objet d'un suivi</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100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Ajout France; transmis le 20/12/13 par le MAAF</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Nitrates dans l'eau douce - Eaux souterraines: qualité moyenne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des sites faisant l'objet d'un suivi</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Ajout France; transmis le 20/12/13 par le MAAF</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Nitrates dans l'eau douce - Eaux souterraines: qualité faible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des sites faisant l'objet d'un suivi</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Ajout France; transmis le 20/12/13 par le MAAF</w:t>
            </w:r>
          </w:p>
        </w:tc>
      </w:tr>
      <w:tr w:rsidR="0035701C">
        <w:tc>
          <w:tcPr>
            <w:tcW w:w="6464" w:type="dxa"/>
            <w:gridSpan w:val="6"/>
            <w:shd w:val="clear" w:color="auto" w:fill="C0C0C0"/>
            <w:tcMar>
              <w:top w:w="20" w:type="dxa"/>
              <w:bottom w:w="20" w:type="dxa"/>
            </w:tcMar>
            <w:vAlign w:val="center"/>
          </w:tcPr>
          <w:p w:rsidR="0035701C" w:rsidRDefault="00FB561B">
            <w:pPr>
              <w:jc w:val="left"/>
              <w:rPr>
                <w:sz w:val="16"/>
              </w:rPr>
            </w:pPr>
            <w:r>
              <w:rPr>
                <w:sz w:val="16"/>
              </w:rPr>
              <w:t>41 Matière organique dans le</w:t>
            </w:r>
            <w:r>
              <w:rPr>
                <w:sz w:val="16"/>
              </w:rPr>
              <w:t xml:space="preserve"> sol des terres arables</w:t>
            </w:r>
          </w:p>
        </w:tc>
      </w:tr>
      <w:tr w:rsidR="0035701C">
        <w:tc>
          <w:tcPr>
            <w:tcW w:w="12000" w:type="dxa"/>
            <w:shd w:val="clear" w:color="auto" w:fill="C0C0C0"/>
            <w:tcMar>
              <w:top w:w="20" w:type="dxa"/>
              <w:bottom w:w="20" w:type="dxa"/>
            </w:tcMar>
            <w:vAlign w:val="center"/>
          </w:tcPr>
          <w:p w:rsidR="0035701C" w:rsidRDefault="00FB561B">
            <w:pPr>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Estimation totale du stock de carbone organique </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Mégatonnes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50,8</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2013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Ajout France; transmis le 20/12/13 par le MAAF</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Teneur moyenne en </w:t>
            </w:r>
            <w:r>
              <w:rPr>
                <w:sz w:val="16"/>
              </w:rPr>
              <w:t>carbone organique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g/kg</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33</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2013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Ajout France; transmis le 20/12/13 par le MAAF</w:t>
            </w:r>
          </w:p>
        </w:tc>
      </w:tr>
      <w:tr w:rsidR="0035701C">
        <w:tc>
          <w:tcPr>
            <w:tcW w:w="6464" w:type="dxa"/>
            <w:gridSpan w:val="6"/>
            <w:shd w:val="clear" w:color="auto" w:fill="C0C0C0"/>
            <w:tcMar>
              <w:top w:w="20" w:type="dxa"/>
              <w:bottom w:w="20" w:type="dxa"/>
            </w:tcMar>
            <w:vAlign w:val="center"/>
          </w:tcPr>
          <w:p w:rsidR="0035701C" w:rsidRDefault="00FB561B">
            <w:pPr>
              <w:jc w:val="left"/>
              <w:rPr>
                <w:sz w:val="16"/>
              </w:rPr>
            </w:pPr>
            <w:r>
              <w:rPr>
                <w:sz w:val="16"/>
              </w:rPr>
              <w:t>42 Érosion des sols par l’eau</w:t>
            </w:r>
          </w:p>
        </w:tc>
      </w:tr>
      <w:tr w:rsidR="0035701C">
        <w:tc>
          <w:tcPr>
            <w:tcW w:w="12000" w:type="dxa"/>
            <w:shd w:val="clear" w:color="auto" w:fill="C0C0C0"/>
            <w:tcMar>
              <w:top w:w="20" w:type="dxa"/>
              <w:bottom w:w="20" w:type="dxa"/>
            </w:tcMar>
            <w:vAlign w:val="center"/>
          </w:tcPr>
          <w:p w:rsidR="0035701C" w:rsidRDefault="00FB561B">
            <w:pPr>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taux de perte de sols par érosion hydrique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Tonnes/ha/année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5</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2006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surface agricole affectée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1000 ha</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19 200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2006 - 2007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surface agricole affectée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de la surface agricole</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10,2</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2006 - 2007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6464" w:type="dxa"/>
            <w:gridSpan w:val="6"/>
            <w:shd w:val="clear" w:color="auto" w:fill="C0C0C0"/>
            <w:tcMar>
              <w:top w:w="20" w:type="dxa"/>
              <w:bottom w:w="20" w:type="dxa"/>
            </w:tcMar>
            <w:vAlign w:val="center"/>
          </w:tcPr>
          <w:p w:rsidR="0035701C" w:rsidRDefault="00FB561B">
            <w:pPr>
              <w:spacing w:before="20" w:after="20"/>
              <w:jc w:val="left"/>
              <w:rPr>
                <w:sz w:val="16"/>
              </w:rPr>
            </w:pPr>
            <w:r>
              <w:rPr>
                <w:sz w:val="16"/>
              </w:rPr>
              <w:t>43 Production d’énergie renouvelable issue de l’agriculture et de la foresterie</w:t>
            </w:r>
          </w:p>
        </w:tc>
      </w:tr>
      <w:tr w:rsidR="0035701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 xml:space="preserve">Nom de </w:t>
            </w:r>
            <w:r>
              <w:rPr>
                <w:sz w:val="16"/>
              </w:rPr>
              <w:t>l'indicateur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issue de l’agriculture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ktep</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Pas de production d’énergie renouvelable par l'agriculture en Corse</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issue de la foresterie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ktep</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19,3</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2011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 xml:space="preserve">Profil </w:t>
            </w:r>
            <w:r>
              <w:rPr>
                <w:i/>
                <w:sz w:val="16"/>
              </w:rPr>
              <w:t>environnemental de la Corse, 2012, p78</w:t>
            </w:r>
          </w:p>
          <w:p w:rsidR="0035701C" w:rsidRDefault="00FB561B">
            <w:pPr>
              <w:rPr>
                <w:i/>
                <w:sz w:val="16"/>
              </w:rPr>
            </w:pPr>
            <w:r>
              <w:rPr>
                <w:i/>
                <w:sz w:val="16"/>
              </w:rPr>
              <w:t>60 000t de bois biomasse, soit pour 1 t  de bois = 0.3215 tep (Conseil Mondial de l'energie); d'ou 19.29 Ktep (ou Ktoe)</w:t>
            </w:r>
          </w:p>
        </w:tc>
      </w:tr>
      <w:tr w:rsidR="0035701C">
        <w:tc>
          <w:tcPr>
            <w:tcW w:w="6464" w:type="dxa"/>
            <w:gridSpan w:val="6"/>
            <w:shd w:val="clear" w:color="auto" w:fill="C0C0C0"/>
            <w:tcMar>
              <w:top w:w="20" w:type="dxa"/>
              <w:bottom w:w="20" w:type="dxa"/>
            </w:tcMar>
            <w:vAlign w:val="center"/>
          </w:tcPr>
          <w:p w:rsidR="0035701C" w:rsidRDefault="00FB561B">
            <w:pPr>
              <w:jc w:val="left"/>
              <w:rPr>
                <w:sz w:val="16"/>
              </w:rPr>
            </w:pPr>
            <w:r>
              <w:rPr>
                <w:sz w:val="16"/>
              </w:rPr>
              <w:t>44 Utilisation d'énergie dans l’agriculture, la foresterie et l'industrie agroalimentaire</w:t>
            </w:r>
          </w:p>
        </w:tc>
      </w:tr>
      <w:tr w:rsidR="0035701C">
        <w:tc>
          <w:tcPr>
            <w:tcW w:w="12000" w:type="dxa"/>
            <w:shd w:val="clear" w:color="auto" w:fill="C0C0C0"/>
            <w:tcMar>
              <w:top w:w="20" w:type="dxa"/>
              <w:bottom w:w="20" w:type="dxa"/>
            </w:tcMar>
            <w:vAlign w:val="center"/>
          </w:tcPr>
          <w:p w:rsidR="0035701C" w:rsidRDefault="00FB561B">
            <w:pPr>
              <w:jc w:val="center"/>
              <w:rPr>
                <w:sz w:val="16"/>
              </w:rPr>
            </w:pPr>
            <w:r>
              <w:rPr>
                <w:sz w:val="16"/>
              </w:rPr>
              <w:t xml:space="preserve">Nom </w:t>
            </w:r>
            <w:r>
              <w:rPr>
                <w:sz w:val="16"/>
              </w:rPr>
              <w:t>de l'indicateur</w:t>
            </w:r>
          </w:p>
        </w:tc>
        <w:tc>
          <w:tcPr>
            <w:tcW w:w="12000" w:type="dxa"/>
            <w:shd w:val="clear" w:color="auto" w:fill="C0C0C0"/>
            <w:tcMar>
              <w:top w:w="20" w:type="dxa"/>
              <w:bottom w:w="20" w:type="dxa"/>
            </w:tcMar>
            <w:vAlign w:val="center"/>
          </w:tcPr>
          <w:p w:rsidR="0035701C" w:rsidRDefault="00FB561B">
            <w:pPr>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agriculture et foresterie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ktep</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4,9</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2008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SRCAE, 2013, P40; Source : Bilan 2008 ADEME-OEC</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utilisation par ha (agriculture et foresterie)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kg d'équivalent pétrole par ha </w:t>
            </w:r>
            <w:r>
              <w:rPr>
                <w:sz w:val="16"/>
              </w:rPr>
              <w:t>de SAU</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27,3</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2008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SRCAE, 2013, P30; Source : Bilan 2008 ADEME-OEC, divisé par UAA 179 940 ha, Indicateur 18</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industrie agroalimentaire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ktep</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2008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Non disponible : Industrie : 30.8kToe</w:t>
            </w:r>
          </w:p>
        </w:tc>
      </w:tr>
      <w:tr w:rsidR="0035701C">
        <w:tc>
          <w:tcPr>
            <w:tcW w:w="6464" w:type="dxa"/>
            <w:gridSpan w:val="6"/>
            <w:shd w:val="clear" w:color="auto" w:fill="C0C0C0"/>
            <w:tcMar>
              <w:top w:w="20" w:type="dxa"/>
              <w:bottom w:w="20" w:type="dxa"/>
            </w:tcMar>
            <w:vAlign w:val="center"/>
          </w:tcPr>
          <w:p w:rsidR="0035701C" w:rsidRDefault="00FB561B">
            <w:pPr>
              <w:jc w:val="left"/>
              <w:rPr>
                <w:sz w:val="16"/>
              </w:rPr>
            </w:pPr>
            <w:r>
              <w:rPr>
                <w:sz w:val="16"/>
              </w:rPr>
              <w:t xml:space="preserve">45 Émissions de gaz à effet de serre </w:t>
            </w:r>
            <w:r>
              <w:rPr>
                <w:sz w:val="16"/>
              </w:rPr>
              <w:t>provenant de l'agriculture</w:t>
            </w:r>
          </w:p>
        </w:tc>
      </w:tr>
      <w:tr w:rsidR="0035701C">
        <w:tc>
          <w:tcPr>
            <w:tcW w:w="12000" w:type="dxa"/>
            <w:shd w:val="clear" w:color="auto" w:fill="C0C0C0"/>
            <w:tcMar>
              <w:top w:w="20" w:type="dxa"/>
              <w:bottom w:w="20" w:type="dxa"/>
            </w:tcMar>
            <w:vAlign w:val="center"/>
          </w:tcPr>
          <w:p w:rsidR="0035701C" w:rsidRDefault="00FB561B">
            <w:pPr>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 mise à jour</w:t>
            </w:r>
          </w:p>
        </w:tc>
        <w:tc>
          <w:tcPr>
            <w:tcW w:w="12000" w:type="dxa"/>
            <w:shd w:val="clear" w:color="auto" w:fill="C0C0C0"/>
            <w:tcMar>
              <w:top w:w="20" w:type="dxa"/>
              <w:bottom w:w="20" w:type="dxa"/>
            </w:tcMar>
            <w:vAlign w:val="center"/>
          </w:tcPr>
          <w:p w:rsidR="0035701C" w:rsidRDefault="00FB561B">
            <w:pPr>
              <w:jc w:val="center"/>
              <w:rPr>
                <w:sz w:val="16"/>
              </w:rPr>
            </w:pPr>
            <w:r>
              <w:rPr>
                <w:sz w:val="16"/>
              </w:rPr>
              <w:t>Année mise à jour</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total de l’agriculture (CH4, N2O et émissions/absorptions des sols)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1000 tonnes d'équivalent CO2</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268,2</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2008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 xml:space="preserve">SRCAE, 2013, P123; Source : </w:t>
            </w:r>
            <w:r>
              <w:rPr>
                <w:i/>
                <w:sz w:val="16"/>
              </w:rPr>
              <w:t>Bilan 2008 ADEME-OEC</w:t>
            </w:r>
          </w:p>
        </w:tc>
      </w:tr>
      <w:tr w:rsidR="0035701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part des émissions totales de GES</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du total d'émissions nettes</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10</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2008  </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 </w:t>
            </w:r>
          </w:p>
        </w:tc>
      </w:tr>
      <w:tr w:rsidR="0035701C">
        <w:tc>
          <w:tcPr>
            <w:tcW w:w="-17536" w:type="dxa"/>
            <w:gridSpan w:val="6"/>
            <w:shd w:val="clear" w:color="auto" w:fill="FFFFFF"/>
            <w:tcMar>
              <w:top w:w="20" w:type="dxa"/>
              <w:bottom w:w="20" w:type="dxa"/>
            </w:tcMar>
            <w:vAlign w:val="center"/>
          </w:tcPr>
          <w:p w:rsidR="0035701C" w:rsidRDefault="00FB561B">
            <w:pPr>
              <w:rPr>
                <w:i/>
                <w:sz w:val="16"/>
              </w:rPr>
            </w:pPr>
            <w:r>
              <w:rPr>
                <w:sz w:val="16"/>
              </w:rPr>
              <w:t xml:space="preserve">Comment: </w:t>
            </w:r>
            <w:r>
              <w:rPr>
                <w:i/>
                <w:sz w:val="16"/>
              </w:rPr>
              <w:t>SRCAE, 2013, P123; Source : Bilan 2008 ADEME-OEC</w:t>
            </w:r>
          </w:p>
        </w:tc>
      </w:tr>
    </w:tbl>
    <w:p w:rsidR="0035701C" w:rsidRDefault="0035701C">
      <w:pPr>
        <w:sectPr w:rsidR="0035701C">
          <w:pgSz w:w="12240" w:h="15840"/>
          <w:pgMar w:top="900" w:right="900" w:bottom="900" w:left="900" w:header="720" w:footer="720" w:gutter="0"/>
          <w:cols w:space="720"/>
        </w:sectPr>
      </w:pPr>
    </w:p>
    <w:p w:rsidR="0035701C" w:rsidRDefault="00FB561B">
      <w:pPr>
        <w:pStyle w:val="Titre3"/>
        <w:jc w:val="left"/>
      </w:pPr>
      <w:bookmarkStart w:id="35" w:name="_Toc256000034"/>
      <w:r>
        <w:t>Indicateurs contextuels spécifiques d'un programme</w:t>
      </w:r>
      <w:bookmarkEnd w:id="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6"/>
        <w:gridCol w:w="1776"/>
        <w:gridCol w:w="1776"/>
        <w:gridCol w:w="1776"/>
        <w:gridCol w:w="1776"/>
        <w:gridCol w:w="1776"/>
      </w:tblGrid>
      <w:tr w:rsidR="0035701C">
        <w:tc>
          <w:tcPr>
            <w:tcW w:w="12000" w:type="dxa"/>
            <w:shd w:val="clear" w:color="auto" w:fill="C0C0C0"/>
            <w:tcMar>
              <w:top w:w="20" w:type="dxa"/>
              <w:bottom w:w="20" w:type="dxa"/>
            </w:tcMar>
            <w:vAlign w:val="center"/>
          </w:tcPr>
          <w:p w:rsidR="0035701C" w:rsidRDefault="00FB561B">
            <w:pPr>
              <w:jc w:val="center"/>
              <w:rPr>
                <w:sz w:val="16"/>
              </w:rPr>
            </w:pPr>
            <w:r>
              <w:rPr>
                <w:sz w:val="16"/>
              </w:rPr>
              <w:t>Secteur</w:t>
            </w:r>
          </w:p>
        </w:tc>
        <w:tc>
          <w:tcPr>
            <w:tcW w:w="12000" w:type="dxa"/>
            <w:shd w:val="clear" w:color="auto" w:fill="C0C0C0"/>
            <w:tcMar>
              <w:top w:w="20" w:type="dxa"/>
              <w:bottom w:w="20" w:type="dxa"/>
            </w:tcMar>
            <w:vAlign w:val="center"/>
          </w:tcPr>
          <w:p w:rsidR="0035701C" w:rsidRDefault="00FB561B">
            <w:pPr>
              <w:jc w:val="center"/>
              <w:rPr>
                <w:sz w:val="16"/>
              </w:rPr>
            </w:pPr>
            <w:r>
              <w:rPr>
                <w:sz w:val="16"/>
              </w:rPr>
              <w:t>Code</w:t>
            </w:r>
          </w:p>
        </w:tc>
        <w:tc>
          <w:tcPr>
            <w:tcW w:w="12000" w:type="dxa"/>
            <w:shd w:val="clear" w:color="auto" w:fill="C0C0C0"/>
            <w:tcMar>
              <w:top w:w="20" w:type="dxa"/>
              <w:bottom w:w="20" w:type="dxa"/>
            </w:tcMar>
            <w:vAlign w:val="center"/>
          </w:tcPr>
          <w:p w:rsidR="0035701C" w:rsidRDefault="00FB561B">
            <w:pPr>
              <w:jc w:val="center"/>
              <w:rPr>
                <w:sz w:val="16"/>
              </w:rPr>
            </w:pPr>
            <w:r>
              <w:rPr>
                <w:sz w:val="16"/>
              </w:rPr>
              <w:t>Nom de l'indicateur</w:t>
            </w:r>
          </w:p>
        </w:tc>
        <w:tc>
          <w:tcPr>
            <w:tcW w:w="12000" w:type="dxa"/>
            <w:shd w:val="clear" w:color="auto" w:fill="C0C0C0"/>
            <w:tcMar>
              <w:top w:w="20" w:type="dxa"/>
              <w:bottom w:w="20" w:type="dxa"/>
            </w:tcMar>
            <w:vAlign w:val="center"/>
          </w:tcPr>
          <w:p w:rsidR="0035701C" w:rsidRDefault="00FB561B">
            <w:pPr>
              <w:jc w:val="center"/>
              <w:rPr>
                <w:sz w:val="16"/>
              </w:rPr>
            </w:pPr>
            <w:r>
              <w:rPr>
                <w:sz w:val="16"/>
              </w:rPr>
              <w:t>Valeur</w:t>
            </w:r>
          </w:p>
        </w:tc>
        <w:tc>
          <w:tcPr>
            <w:tcW w:w="12000" w:type="dxa"/>
            <w:shd w:val="clear" w:color="auto" w:fill="C0C0C0"/>
            <w:tcMar>
              <w:top w:w="20" w:type="dxa"/>
              <w:bottom w:w="20" w:type="dxa"/>
            </w:tcMar>
            <w:vAlign w:val="center"/>
          </w:tcPr>
          <w:p w:rsidR="0035701C" w:rsidRDefault="00FB561B">
            <w:pPr>
              <w:jc w:val="center"/>
              <w:rPr>
                <w:sz w:val="16"/>
              </w:rPr>
            </w:pPr>
            <w:r>
              <w:rPr>
                <w:sz w:val="16"/>
              </w:rPr>
              <w:t>Unité</w:t>
            </w:r>
          </w:p>
        </w:tc>
        <w:tc>
          <w:tcPr>
            <w:tcW w:w="12000" w:type="dxa"/>
            <w:shd w:val="clear" w:color="auto" w:fill="C0C0C0"/>
            <w:tcMar>
              <w:top w:w="20" w:type="dxa"/>
              <w:bottom w:w="20" w:type="dxa"/>
            </w:tcMar>
            <w:vAlign w:val="center"/>
          </w:tcPr>
          <w:p w:rsidR="0035701C" w:rsidRDefault="00FB561B">
            <w:pPr>
              <w:rPr>
                <w:sz w:val="16"/>
              </w:rPr>
            </w:pPr>
            <w:r>
              <w:rPr>
                <w:sz w:val="16"/>
              </w:rPr>
              <w:t>Année</w:t>
            </w:r>
          </w:p>
        </w:tc>
      </w:tr>
      <w:tr w:rsidR="0035701C">
        <w:tc>
          <w:tcPr>
            <w:tcW w:w="12000" w:type="dxa"/>
            <w:tcMar>
              <w:top w:w="20" w:type="dxa"/>
              <w:bottom w:w="20" w:type="dxa"/>
            </w:tcMar>
            <w:vAlign w:val="center"/>
          </w:tcPr>
          <w:p w:rsidR="0035701C" w:rsidRDefault="00FB561B">
            <w:pPr>
              <w:spacing w:before="20" w:after="20"/>
              <w:jc w:val="left"/>
              <w:rPr>
                <w:sz w:val="16"/>
              </w:rPr>
            </w:pPr>
            <w:r>
              <w:rPr>
                <w:sz w:val="16"/>
              </w:rPr>
              <w:t>I Situation socioéconomique et rurale</w:t>
            </w:r>
          </w:p>
        </w:tc>
        <w:tc>
          <w:tcPr>
            <w:tcW w:w="12000" w:type="dxa"/>
            <w:tcMar>
              <w:top w:w="20" w:type="dxa"/>
              <w:bottom w:w="20" w:type="dxa"/>
            </w:tcMar>
            <w:vAlign w:val="center"/>
          </w:tcPr>
          <w:p w:rsidR="0035701C" w:rsidRDefault="00FB561B">
            <w:pPr>
              <w:spacing w:before="20" w:after="20"/>
              <w:jc w:val="left"/>
              <w:rPr>
                <w:sz w:val="16"/>
              </w:rPr>
            </w:pPr>
            <w:r>
              <w:rPr>
                <w:sz w:val="16"/>
              </w:rPr>
              <w:t>IS4</w:t>
            </w:r>
          </w:p>
        </w:tc>
        <w:tc>
          <w:tcPr>
            <w:tcW w:w="12000" w:type="dxa"/>
            <w:tcMar>
              <w:top w:w="20" w:type="dxa"/>
              <w:bottom w:w="20" w:type="dxa"/>
            </w:tcMar>
            <w:vAlign w:val="center"/>
          </w:tcPr>
          <w:p w:rsidR="0035701C" w:rsidRDefault="00FB561B">
            <w:pPr>
              <w:spacing w:before="20" w:after="20"/>
              <w:jc w:val="left"/>
              <w:rPr>
                <w:sz w:val="16"/>
              </w:rPr>
            </w:pPr>
            <w:r>
              <w:rPr>
                <w:sz w:val="16"/>
              </w:rPr>
              <w:t>Part d'entreprise ayant plus de 50 salariés</w:t>
            </w:r>
          </w:p>
        </w:tc>
        <w:tc>
          <w:tcPr>
            <w:tcW w:w="12000" w:type="dxa"/>
            <w:tcMar>
              <w:top w:w="20" w:type="dxa"/>
              <w:bottom w:w="20" w:type="dxa"/>
            </w:tcMar>
            <w:vAlign w:val="center"/>
          </w:tcPr>
          <w:p w:rsidR="0035701C" w:rsidRDefault="00FB561B">
            <w:pPr>
              <w:spacing w:before="20" w:after="20"/>
              <w:jc w:val="right"/>
              <w:rPr>
                <w:sz w:val="16"/>
              </w:rPr>
            </w:pPr>
            <w:r>
              <w:rPr>
                <w:sz w:val="16"/>
              </w:rPr>
              <w:t>0.4</w:t>
            </w:r>
          </w:p>
        </w:tc>
        <w:tc>
          <w:tcPr>
            <w:tcW w:w="12000" w:type="dxa"/>
            <w:tcMar>
              <w:top w:w="20" w:type="dxa"/>
              <w:bottom w:w="20" w:type="dxa"/>
            </w:tcMar>
            <w:vAlign w:val="center"/>
          </w:tcPr>
          <w:p w:rsidR="0035701C" w:rsidRDefault="00FB561B">
            <w:pPr>
              <w:spacing w:before="20" w:after="20"/>
              <w:jc w:val="left"/>
              <w:rPr>
                <w:sz w:val="16"/>
              </w:rPr>
            </w:pPr>
            <w:r>
              <w:rPr>
                <w:sz w:val="16"/>
              </w:rPr>
              <w:t>%</w:t>
            </w:r>
          </w:p>
        </w:tc>
        <w:tc>
          <w:tcPr>
            <w:tcW w:w="12000" w:type="dxa"/>
            <w:tcMar>
              <w:top w:w="20" w:type="dxa"/>
              <w:bottom w:w="20" w:type="dxa"/>
            </w:tcMar>
            <w:vAlign w:val="center"/>
          </w:tcPr>
          <w:p w:rsidR="0035701C" w:rsidRDefault="00FB561B">
            <w:pPr>
              <w:spacing w:before="20" w:after="20"/>
              <w:jc w:val="left"/>
              <w:rPr>
                <w:sz w:val="16"/>
              </w:rPr>
            </w:pPr>
            <w:r>
              <w:rPr>
                <w:sz w:val="16"/>
              </w:rPr>
              <w:t>2012</w:t>
            </w:r>
          </w:p>
        </w:tc>
      </w:tr>
      <w:tr w:rsidR="0035701C">
        <w:tc>
          <w:tcPr>
            <w:tcW w:w="6464" w:type="dxa"/>
            <w:gridSpan w:val="6"/>
            <w:tcMar>
              <w:top w:w="20" w:type="dxa"/>
              <w:bottom w:w="20" w:type="dxa"/>
            </w:tcMar>
            <w:vAlign w:val="center"/>
          </w:tcPr>
          <w:p w:rsidR="0035701C" w:rsidRDefault="00FB561B">
            <w:pPr>
              <w:rPr>
                <w:i/>
                <w:sz w:val="16"/>
              </w:rPr>
            </w:pPr>
            <w:r>
              <w:rPr>
                <w:sz w:val="16"/>
              </w:rPr>
              <w:t xml:space="preserve">Comment: </w:t>
            </w:r>
            <w:r>
              <w:rPr>
                <w:i/>
                <w:sz w:val="16"/>
              </w:rPr>
              <w:t>source : Source : Insee, répertoire des entreprises et des établissements,  1er janvier 2012; Corse</w:t>
            </w:r>
          </w:p>
        </w:tc>
      </w:tr>
      <w:tr w:rsidR="0035701C">
        <w:tc>
          <w:tcPr>
            <w:tcW w:w="12000" w:type="dxa"/>
            <w:tcMar>
              <w:top w:w="20" w:type="dxa"/>
              <w:bottom w:w="20" w:type="dxa"/>
            </w:tcMar>
            <w:vAlign w:val="center"/>
          </w:tcPr>
          <w:p w:rsidR="0035701C" w:rsidRDefault="00FB561B">
            <w:pPr>
              <w:spacing w:before="20" w:after="20"/>
              <w:jc w:val="left"/>
              <w:rPr>
                <w:sz w:val="16"/>
              </w:rPr>
            </w:pPr>
            <w:r>
              <w:rPr>
                <w:sz w:val="16"/>
              </w:rPr>
              <w:t xml:space="preserve">I Situation socioéconomique </w:t>
            </w:r>
            <w:r>
              <w:rPr>
                <w:sz w:val="16"/>
              </w:rPr>
              <w:t>et rurale</w:t>
            </w:r>
          </w:p>
        </w:tc>
        <w:tc>
          <w:tcPr>
            <w:tcW w:w="12000" w:type="dxa"/>
            <w:tcMar>
              <w:top w:w="20" w:type="dxa"/>
              <w:bottom w:w="20" w:type="dxa"/>
            </w:tcMar>
            <w:vAlign w:val="center"/>
          </w:tcPr>
          <w:p w:rsidR="0035701C" w:rsidRDefault="00FB561B">
            <w:pPr>
              <w:spacing w:before="20" w:after="20"/>
              <w:jc w:val="left"/>
              <w:rPr>
                <w:sz w:val="16"/>
              </w:rPr>
            </w:pPr>
            <w:r>
              <w:rPr>
                <w:sz w:val="16"/>
              </w:rPr>
              <w:t>IS2</w:t>
            </w:r>
          </w:p>
        </w:tc>
        <w:tc>
          <w:tcPr>
            <w:tcW w:w="12000" w:type="dxa"/>
            <w:tcMar>
              <w:top w:w="20" w:type="dxa"/>
              <w:bottom w:w="20" w:type="dxa"/>
            </w:tcMar>
            <w:vAlign w:val="center"/>
          </w:tcPr>
          <w:p w:rsidR="0035701C" w:rsidRDefault="00FB561B">
            <w:pPr>
              <w:spacing w:before="20" w:after="20"/>
              <w:jc w:val="left"/>
              <w:rPr>
                <w:sz w:val="16"/>
              </w:rPr>
            </w:pPr>
            <w:r>
              <w:rPr>
                <w:sz w:val="16"/>
              </w:rPr>
              <w:t>Valeur ajoutée brute de l'Industrie</w:t>
            </w:r>
          </w:p>
        </w:tc>
        <w:tc>
          <w:tcPr>
            <w:tcW w:w="12000" w:type="dxa"/>
            <w:tcMar>
              <w:top w:w="20" w:type="dxa"/>
              <w:bottom w:w="20" w:type="dxa"/>
            </w:tcMar>
            <w:vAlign w:val="center"/>
          </w:tcPr>
          <w:p w:rsidR="0035701C" w:rsidRDefault="00FB561B">
            <w:pPr>
              <w:spacing w:before="20" w:after="20"/>
              <w:jc w:val="right"/>
              <w:rPr>
                <w:sz w:val="16"/>
              </w:rPr>
            </w:pPr>
            <w:r>
              <w:rPr>
                <w:sz w:val="16"/>
              </w:rPr>
              <w:t>5.9</w:t>
            </w:r>
          </w:p>
        </w:tc>
        <w:tc>
          <w:tcPr>
            <w:tcW w:w="12000" w:type="dxa"/>
            <w:tcMar>
              <w:top w:w="20" w:type="dxa"/>
              <w:bottom w:w="20" w:type="dxa"/>
            </w:tcMar>
            <w:vAlign w:val="center"/>
          </w:tcPr>
          <w:p w:rsidR="0035701C" w:rsidRDefault="00FB561B">
            <w:pPr>
              <w:spacing w:before="20" w:after="20"/>
              <w:jc w:val="left"/>
              <w:rPr>
                <w:sz w:val="16"/>
              </w:rPr>
            </w:pPr>
            <w:r>
              <w:rPr>
                <w:sz w:val="16"/>
              </w:rPr>
              <w:t>%</w:t>
            </w:r>
          </w:p>
        </w:tc>
        <w:tc>
          <w:tcPr>
            <w:tcW w:w="12000" w:type="dxa"/>
            <w:tcMar>
              <w:top w:w="20" w:type="dxa"/>
              <w:bottom w:w="20" w:type="dxa"/>
            </w:tcMar>
            <w:vAlign w:val="center"/>
          </w:tcPr>
          <w:p w:rsidR="0035701C" w:rsidRDefault="00FB561B">
            <w:pPr>
              <w:spacing w:before="20" w:after="20"/>
              <w:jc w:val="left"/>
              <w:rPr>
                <w:sz w:val="16"/>
              </w:rPr>
            </w:pPr>
            <w:r>
              <w:rPr>
                <w:sz w:val="16"/>
              </w:rPr>
              <w:t>2012</w:t>
            </w:r>
          </w:p>
        </w:tc>
      </w:tr>
      <w:tr w:rsidR="0035701C">
        <w:tc>
          <w:tcPr>
            <w:tcW w:w="12000" w:type="dxa"/>
            <w:tcMar>
              <w:top w:w="20" w:type="dxa"/>
              <w:bottom w:w="20" w:type="dxa"/>
            </w:tcMar>
            <w:vAlign w:val="center"/>
          </w:tcPr>
          <w:p w:rsidR="0035701C" w:rsidRDefault="00FB561B">
            <w:pPr>
              <w:spacing w:before="20" w:after="20"/>
              <w:jc w:val="left"/>
              <w:rPr>
                <w:sz w:val="16"/>
              </w:rPr>
            </w:pPr>
            <w:r>
              <w:rPr>
                <w:sz w:val="16"/>
              </w:rPr>
              <w:t>I Situation socioéconomique et rurale</w:t>
            </w:r>
          </w:p>
        </w:tc>
        <w:tc>
          <w:tcPr>
            <w:tcW w:w="12000" w:type="dxa"/>
            <w:tcMar>
              <w:top w:w="20" w:type="dxa"/>
              <w:bottom w:w="20" w:type="dxa"/>
            </w:tcMar>
            <w:vAlign w:val="center"/>
          </w:tcPr>
          <w:p w:rsidR="0035701C" w:rsidRDefault="00FB561B">
            <w:pPr>
              <w:spacing w:before="20" w:after="20"/>
              <w:jc w:val="left"/>
              <w:rPr>
                <w:sz w:val="16"/>
              </w:rPr>
            </w:pPr>
            <w:r>
              <w:rPr>
                <w:sz w:val="16"/>
              </w:rPr>
              <w:t>IS4</w:t>
            </w:r>
          </w:p>
        </w:tc>
        <w:tc>
          <w:tcPr>
            <w:tcW w:w="12000" w:type="dxa"/>
            <w:tcMar>
              <w:top w:w="20" w:type="dxa"/>
              <w:bottom w:w="20" w:type="dxa"/>
            </w:tcMar>
            <w:vAlign w:val="center"/>
          </w:tcPr>
          <w:p w:rsidR="0035701C" w:rsidRDefault="00FB561B">
            <w:pPr>
              <w:spacing w:before="20" w:after="20"/>
              <w:jc w:val="left"/>
              <w:rPr>
                <w:sz w:val="16"/>
              </w:rPr>
            </w:pPr>
            <w:r>
              <w:rPr>
                <w:sz w:val="16"/>
              </w:rPr>
              <w:t>Part d'entreprise ayant entre 1 et 9 salariés</w:t>
            </w:r>
          </w:p>
        </w:tc>
        <w:tc>
          <w:tcPr>
            <w:tcW w:w="12000" w:type="dxa"/>
            <w:tcMar>
              <w:top w:w="20" w:type="dxa"/>
              <w:bottom w:w="20" w:type="dxa"/>
            </w:tcMar>
            <w:vAlign w:val="center"/>
          </w:tcPr>
          <w:p w:rsidR="0035701C" w:rsidRDefault="00FB561B">
            <w:pPr>
              <w:spacing w:before="20" w:after="20"/>
              <w:jc w:val="right"/>
              <w:rPr>
                <w:sz w:val="16"/>
              </w:rPr>
            </w:pPr>
            <w:r>
              <w:rPr>
                <w:sz w:val="16"/>
              </w:rPr>
              <w:t>27.6</w:t>
            </w:r>
          </w:p>
        </w:tc>
        <w:tc>
          <w:tcPr>
            <w:tcW w:w="12000" w:type="dxa"/>
            <w:tcMar>
              <w:top w:w="20" w:type="dxa"/>
              <w:bottom w:w="20" w:type="dxa"/>
            </w:tcMar>
            <w:vAlign w:val="center"/>
          </w:tcPr>
          <w:p w:rsidR="0035701C" w:rsidRDefault="00FB561B">
            <w:pPr>
              <w:spacing w:before="20" w:after="20"/>
              <w:jc w:val="left"/>
              <w:rPr>
                <w:sz w:val="16"/>
              </w:rPr>
            </w:pPr>
            <w:r>
              <w:rPr>
                <w:sz w:val="16"/>
              </w:rPr>
              <w:t>%</w:t>
            </w:r>
          </w:p>
        </w:tc>
        <w:tc>
          <w:tcPr>
            <w:tcW w:w="12000" w:type="dxa"/>
            <w:tcMar>
              <w:top w:w="20" w:type="dxa"/>
              <w:bottom w:w="20" w:type="dxa"/>
            </w:tcMar>
            <w:vAlign w:val="center"/>
          </w:tcPr>
          <w:p w:rsidR="0035701C" w:rsidRDefault="00FB561B">
            <w:pPr>
              <w:spacing w:before="20" w:after="20"/>
              <w:jc w:val="left"/>
              <w:rPr>
                <w:sz w:val="16"/>
              </w:rPr>
            </w:pPr>
            <w:r>
              <w:rPr>
                <w:sz w:val="16"/>
              </w:rPr>
              <w:t>2012</w:t>
            </w:r>
          </w:p>
        </w:tc>
      </w:tr>
      <w:tr w:rsidR="0035701C">
        <w:tc>
          <w:tcPr>
            <w:tcW w:w="6464" w:type="dxa"/>
            <w:gridSpan w:val="6"/>
            <w:tcMar>
              <w:top w:w="20" w:type="dxa"/>
              <w:bottom w:w="20" w:type="dxa"/>
            </w:tcMar>
            <w:vAlign w:val="center"/>
          </w:tcPr>
          <w:p w:rsidR="0035701C" w:rsidRDefault="00FB561B">
            <w:pPr>
              <w:rPr>
                <w:i/>
                <w:sz w:val="16"/>
              </w:rPr>
            </w:pPr>
            <w:r>
              <w:rPr>
                <w:sz w:val="16"/>
              </w:rPr>
              <w:t xml:space="preserve">Comment: </w:t>
            </w:r>
            <w:r>
              <w:rPr>
                <w:i/>
                <w:sz w:val="16"/>
              </w:rPr>
              <w:t xml:space="preserve">source : Source : Insee, répertoire des entreprises et des établissements,  1er </w:t>
            </w:r>
            <w:r>
              <w:rPr>
                <w:i/>
                <w:sz w:val="16"/>
              </w:rPr>
              <w:t>janvier 2012; Corse</w:t>
            </w:r>
          </w:p>
        </w:tc>
      </w:tr>
      <w:tr w:rsidR="0035701C">
        <w:tc>
          <w:tcPr>
            <w:tcW w:w="12000" w:type="dxa"/>
            <w:tcMar>
              <w:top w:w="20" w:type="dxa"/>
              <w:bottom w:w="20" w:type="dxa"/>
            </w:tcMar>
            <w:vAlign w:val="center"/>
          </w:tcPr>
          <w:p w:rsidR="0035701C" w:rsidRDefault="00FB561B">
            <w:pPr>
              <w:spacing w:before="20" w:after="20"/>
              <w:jc w:val="left"/>
              <w:rPr>
                <w:sz w:val="16"/>
              </w:rPr>
            </w:pPr>
            <w:r>
              <w:rPr>
                <w:sz w:val="16"/>
              </w:rPr>
              <w:t>II Agriculture/analyse sectorielle</w:t>
            </w:r>
          </w:p>
        </w:tc>
        <w:tc>
          <w:tcPr>
            <w:tcW w:w="12000" w:type="dxa"/>
            <w:tcMar>
              <w:top w:w="20" w:type="dxa"/>
              <w:bottom w:w="20" w:type="dxa"/>
            </w:tcMar>
            <w:vAlign w:val="center"/>
          </w:tcPr>
          <w:p w:rsidR="0035701C" w:rsidRDefault="00FB561B">
            <w:pPr>
              <w:spacing w:before="20" w:after="20"/>
              <w:jc w:val="left"/>
              <w:rPr>
                <w:sz w:val="16"/>
              </w:rPr>
            </w:pPr>
            <w:r>
              <w:rPr>
                <w:sz w:val="16"/>
              </w:rPr>
              <w:t>IS1</w:t>
            </w:r>
          </w:p>
        </w:tc>
        <w:tc>
          <w:tcPr>
            <w:tcW w:w="12000" w:type="dxa"/>
            <w:tcMar>
              <w:top w:w="20" w:type="dxa"/>
              <w:bottom w:w="20" w:type="dxa"/>
            </w:tcMar>
            <w:vAlign w:val="center"/>
          </w:tcPr>
          <w:p w:rsidR="0035701C" w:rsidRDefault="00FB561B">
            <w:pPr>
              <w:spacing w:before="20" w:after="20"/>
              <w:jc w:val="left"/>
              <w:rPr>
                <w:sz w:val="16"/>
              </w:rPr>
            </w:pPr>
            <w:r>
              <w:rPr>
                <w:sz w:val="16"/>
              </w:rPr>
              <w:t>Nombre d'installations d'agriculteur soutenues par an</w:t>
            </w:r>
          </w:p>
        </w:tc>
        <w:tc>
          <w:tcPr>
            <w:tcW w:w="12000" w:type="dxa"/>
            <w:tcMar>
              <w:top w:w="20" w:type="dxa"/>
              <w:bottom w:w="20" w:type="dxa"/>
            </w:tcMar>
            <w:vAlign w:val="center"/>
          </w:tcPr>
          <w:p w:rsidR="0035701C" w:rsidRDefault="00FB561B">
            <w:pPr>
              <w:spacing w:before="20" w:after="20"/>
              <w:jc w:val="right"/>
              <w:rPr>
                <w:sz w:val="16"/>
              </w:rPr>
            </w:pPr>
            <w:r>
              <w:rPr>
                <w:sz w:val="16"/>
              </w:rPr>
              <w:t>34</w:t>
            </w:r>
          </w:p>
        </w:tc>
        <w:tc>
          <w:tcPr>
            <w:tcW w:w="12000" w:type="dxa"/>
            <w:tcMar>
              <w:top w:w="20" w:type="dxa"/>
              <w:bottom w:w="20" w:type="dxa"/>
            </w:tcMar>
            <w:vAlign w:val="center"/>
          </w:tcPr>
          <w:p w:rsidR="0035701C" w:rsidRDefault="00FB561B">
            <w:pPr>
              <w:spacing w:before="20" w:after="20"/>
              <w:jc w:val="left"/>
              <w:rPr>
                <w:sz w:val="16"/>
              </w:rPr>
            </w:pPr>
            <w:r>
              <w:rPr>
                <w:sz w:val="16"/>
              </w:rPr>
              <w:t>nombre</w:t>
            </w:r>
          </w:p>
        </w:tc>
        <w:tc>
          <w:tcPr>
            <w:tcW w:w="12000" w:type="dxa"/>
            <w:tcMar>
              <w:top w:w="20" w:type="dxa"/>
              <w:bottom w:w="20" w:type="dxa"/>
            </w:tcMar>
            <w:vAlign w:val="center"/>
          </w:tcPr>
          <w:p w:rsidR="0035701C" w:rsidRDefault="00FB561B">
            <w:pPr>
              <w:spacing w:before="20" w:after="20"/>
              <w:jc w:val="left"/>
              <w:rPr>
                <w:sz w:val="16"/>
              </w:rPr>
            </w:pPr>
            <w:r>
              <w:rPr>
                <w:sz w:val="16"/>
              </w:rPr>
              <w:t>2014</w:t>
            </w:r>
          </w:p>
        </w:tc>
      </w:tr>
      <w:tr w:rsidR="0035701C">
        <w:tc>
          <w:tcPr>
            <w:tcW w:w="6464" w:type="dxa"/>
            <w:gridSpan w:val="6"/>
            <w:tcMar>
              <w:top w:w="20" w:type="dxa"/>
              <w:bottom w:w="20" w:type="dxa"/>
            </w:tcMar>
            <w:vAlign w:val="center"/>
          </w:tcPr>
          <w:p w:rsidR="0035701C" w:rsidRDefault="00FB561B">
            <w:pPr>
              <w:rPr>
                <w:i/>
                <w:sz w:val="16"/>
              </w:rPr>
            </w:pPr>
            <w:r>
              <w:rPr>
                <w:sz w:val="16"/>
              </w:rPr>
              <w:t xml:space="preserve">Comment: </w:t>
            </w:r>
            <w:r>
              <w:rPr>
                <w:i/>
                <w:sz w:val="16"/>
              </w:rPr>
              <w:t>Moyenne annuelle 2008-2014. Source : ODARC; Aide payée</w:t>
            </w:r>
          </w:p>
        </w:tc>
      </w:tr>
      <w:tr w:rsidR="0035701C">
        <w:tc>
          <w:tcPr>
            <w:tcW w:w="12000" w:type="dxa"/>
            <w:tcMar>
              <w:top w:w="20" w:type="dxa"/>
              <w:bottom w:w="20" w:type="dxa"/>
            </w:tcMar>
            <w:vAlign w:val="center"/>
          </w:tcPr>
          <w:p w:rsidR="0035701C" w:rsidRDefault="00FB561B">
            <w:pPr>
              <w:spacing w:before="20" w:after="20"/>
              <w:jc w:val="left"/>
              <w:rPr>
                <w:sz w:val="16"/>
              </w:rPr>
            </w:pPr>
            <w:r>
              <w:rPr>
                <w:sz w:val="16"/>
              </w:rPr>
              <w:t>I Situation socioéconomique et rurale</w:t>
            </w:r>
          </w:p>
        </w:tc>
        <w:tc>
          <w:tcPr>
            <w:tcW w:w="12000" w:type="dxa"/>
            <w:tcMar>
              <w:top w:w="20" w:type="dxa"/>
              <w:bottom w:w="20" w:type="dxa"/>
            </w:tcMar>
            <w:vAlign w:val="center"/>
          </w:tcPr>
          <w:p w:rsidR="0035701C" w:rsidRDefault="00FB561B">
            <w:pPr>
              <w:spacing w:before="20" w:after="20"/>
              <w:jc w:val="left"/>
              <w:rPr>
                <w:sz w:val="16"/>
              </w:rPr>
            </w:pPr>
            <w:r>
              <w:rPr>
                <w:sz w:val="16"/>
              </w:rPr>
              <w:t>IS2</w:t>
            </w:r>
          </w:p>
        </w:tc>
        <w:tc>
          <w:tcPr>
            <w:tcW w:w="12000" w:type="dxa"/>
            <w:tcMar>
              <w:top w:w="20" w:type="dxa"/>
              <w:bottom w:w="20" w:type="dxa"/>
            </w:tcMar>
            <w:vAlign w:val="center"/>
          </w:tcPr>
          <w:p w:rsidR="0035701C" w:rsidRDefault="00FB561B">
            <w:pPr>
              <w:spacing w:before="20" w:after="20"/>
              <w:jc w:val="left"/>
              <w:rPr>
                <w:sz w:val="16"/>
              </w:rPr>
            </w:pPr>
            <w:r>
              <w:rPr>
                <w:sz w:val="16"/>
              </w:rPr>
              <w:t xml:space="preserve">Valeur ajoutée </w:t>
            </w:r>
            <w:r>
              <w:rPr>
                <w:sz w:val="16"/>
              </w:rPr>
              <w:t>brute du Tertiaire Marchand</w:t>
            </w:r>
          </w:p>
        </w:tc>
        <w:tc>
          <w:tcPr>
            <w:tcW w:w="12000" w:type="dxa"/>
            <w:tcMar>
              <w:top w:w="20" w:type="dxa"/>
              <w:bottom w:w="20" w:type="dxa"/>
            </w:tcMar>
            <w:vAlign w:val="center"/>
          </w:tcPr>
          <w:p w:rsidR="0035701C" w:rsidRDefault="00FB561B">
            <w:pPr>
              <w:spacing w:before="20" w:after="20"/>
              <w:jc w:val="right"/>
              <w:rPr>
                <w:sz w:val="16"/>
              </w:rPr>
            </w:pPr>
            <w:r>
              <w:rPr>
                <w:sz w:val="16"/>
              </w:rPr>
              <w:t>49.3</w:t>
            </w:r>
          </w:p>
        </w:tc>
        <w:tc>
          <w:tcPr>
            <w:tcW w:w="12000" w:type="dxa"/>
            <w:tcMar>
              <w:top w:w="20" w:type="dxa"/>
              <w:bottom w:w="20" w:type="dxa"/>
            </w:tcMar>
            <w:vAlign w:val="center"/>
          </w:tcPr>
          <w:p w:rsidR="0035701C" w:rsidRDefault="00FB561B">
            <w:pPr>
              <w:spacing w:before="20" w:after="20"/>
              <w:jc w:val="left"/>
              <w:rPr>
                <w:sz w:val="16"/>
              </w:rPr>
            </w:pPr>
            <w:r>
              <w:rPr>
                <w:sz w:val="16"/>
              </w:rPr>
              <w:t>%</w:t>
            </w:r>
          </w:p>
        </w:tc>
        <w:tc>
          <w:tcPr>
            <w:tcW w:w="12000" w:type="dxa"/>
            <w:tcMar>
              <w:top w:w="20" w:type="dxa"/>
              <w:bottom w:w="20" w:type="dxa"/>
            </w:tcMar>
            <w:vAlign w:val="center"/>
          </w:tcPr>
          <w:p w:rsidR="0035701C" w:rsidRDefault="00FB561B">
            <w:pPr>
              <w:spacing w:before="20" w:after="20"/>
              <w:jc w:val="left"/>
              <w:rPr>
                <w:sz w:val="16"/>
              </w:rPr>
            </w:pPr>
            <w:r>
              <w:rPr>
                <w:sz w:val="16"/>
              </w:rPr>
              <w:t>2012</w:t>
            </w:r>
          </w:p>
        </w:tc>
      </w:tr>
      <w:tr w:rsidR="0035701C">
        <w:tc>
          <w:tcPr>
            <w:tcW w:w="12000" w:type="dxa"/>
            <w:tcMar>
              <w:top w:w="20" w:type="dxa"/>
              <w:bottom w:w="20" w:type="dxa"/>
            </w:tcMar>
            <w:vAlign w:val="center"/>
          </w:tcPr>
          <w:p w:rsidR="0035701C" w:rsidRDefault="00FB561B">
            <w:pPr>
              <w:spacing w:before="20" w:after="20"/>
              <w:jc w:val="left"/>
              <w:rPr>
                <w:sz w:val="16"/>
              </w:rPr>
            </w:pPr>
            <w:r>
              <w:rPr>
                <w:sz w:val="16"/>
              </w:rPr>
              <w:t>I Situation socioéconomique et rurale</w:t>
            </w:r>
          </w:p>
        </w:tc>
        <w:tc>
          <w:tcPr>
            <w:tcW w:w="12000" w:type="dxa"/>
            <w:tcMar>
              <w:top w:w="20" w:type="dxa"/>
              <w:bottom w:w="20" w:type="dxa"/>
            </w:tcMar>
            <w:vAlign w:val="center"/>
          </w:tcPr>
          <w:p w:rsidR="0035701C" w:rsidRDefault="00FB561B">
            <w:pPr>
              <w:spacing w:before="20" w:after="20"/>
              <w:jc w:val="left"/>
              <w:rPr>
                <w:sz w:val="16"/>
              </w:rPr>
            </w:pPr>
            <w:r>
              <w:rPr>
                <w:sz w:val="16"/>
              </w:rPr>
              <w:t>IS4</w:t>
            </w:r>
          </w:p>
        </w:tc>
        <w:tc>
          <w:tcPr>
            <w:tcW w:w="12000" w:type="dxa"/>
            <w:tcMar>
              <w:top w:w="20" w:type="dxa"/>
              <w:bottom w:w="20" w:type="dxa"/>
            </w:tcMar>
            <w:vAlign w:val="center"/>
          </w:tcPr>
          <w:p w:rsidR="0035701C" w:rsidRDefault="00FB561B">
            <w:pPr>
              <w:spacing w:before="20" w:after="20"/>
              <w:jc w:val="left"/>
              <w:rPr>
                <w:sz w:val="16"/>
              </w:rPr>
            </w:pPr>
            <w:r>
              <w:rPr>
                <w:sz w:val="16"/>
              </w:rPr>
              <w:t>Nombre d'entreprise total en Corse</w:t>
            </w:r>
          </w:p>
        </w:tc>
        <w:tc>
          <w:tcPr>
            <w:tcW w:w="12000" w:type="dxa"/>
            <w:tcMar>
              <w:top w:w="20" w:type="dxa"/>
              <w:bottom w:w="20" w:type="dxa"/>
            </w:tcMar>
            <w:vAlign w:val="center"/>
          </w:tcPr>
          <w:p w:rsidR="0035701C" w:rsidRDefault="00FB561B">
            <w:pPr>
              <w:spacing w:before="20" w:after="20"/>
              <w:jc w:val="right"/>
              <w:rPr>
                <w:sz w:val="16"/>
              </w:rPr>
            </w:pPr>
            <w:r>
              <w:rPr>
                <w:sz w:val="16"/>
              </w:rPr>
              <w:t>31935</w:t>
            </w:r>
          </w:p>
        </w:tc>
        <w:tc>
          <w:tcPr>
            <w:tcW w:w="12000" w:type="dxa"/>
            <w:tcMar>
              <w:top w:w="20" w:type="dxa"/>
              <w:bottom w:w="20" w:type="dxa"/>
            </w:tcMar>
            <w:vAlign w:val="center"/>
          </w:tcPr>
          <w:p w:rsidR="0035701C" w:rsidRDefault="00FB561B">
            <w:pPr>
              <w:spacing w:before="20" w:after="20"/>
              <w:jc w:val="left"/>
              <w:rPr>
                <w:sz w:val="16"/>
              </w:rPr>
            </w:pPr>
            <w:r>
              <w:rPr>
                <w:sz w:val="16"/>
              </w:rPr>
              <w:t>nombre</w:t>
            </w:r>
          </w:p>
        </w:tc>
        <w:tc>
          <w:tcPr>
            <w:tcW w:w="12000" w:type="dxa"/>
            <w:tcMar>
              <w:top w:w="20" w:type="dxa"/>
              <w:bottom w:w="20" w:type="dxa"/>
            </w:tcMar>
            <w:vAlign w:val="center"/>
          </w:tcPr>
          <w:p w:rsidR="0035701C" w:rsidRDefault="00FB561B">
            <w:pPr>
              <w:spacing w:before="20" w:after="20"/>
              <w:jc w:val="left"/>
              <w:rPr>
                <w:sz w:val="16"/>
              </w:rPr>
            </w:pPr>
            <w:r>
              <w:rPr>
                <w:sz w:val="16"/>
              </w:rPr>
              <w:t>2012</w:t>
            </w:r>
          </w:p>
        </w:tc>
      </w:tr>
      <w:tr w:rsidR="0035701C">
        <w:tc>
          <w:tcPr>
            <w:tcW w:w="6464" w:type="dxa"/>
            <w:gridSpan w:val="6"/>
            <w:tcMar>
              <w:top w:w="20" w:type="dxa"/>
              <w:bottom w:w="20" w:type="dxa"/>
            </w:tcMar>
            <w:vAlign w:val="center"/>
          </w:tcPr>
          <w:p w:rsidR="0035701C" w:rsidRDefault="00FB561B">
            <w:pPr>
              <w:rPr>
                <w:i/>
                <w:sz w:val="16"/>
              </w:rPr>
            </w:pPr>
            <w:r>
              <w:rPr>
                <w:sz w:val="16"/>
              </w:rPr>
              <w:t xml:space="preserve">Comment: </w:t>
            </w:r>
            <w:r>
              <w:rPr>
                <w:i/>
                <w:sz w:val="16"/>
              </w:rPr>
              <w:t>source : Source : Insee, répertoire des entreprises et des établissements,  1er janvier 2012; Corse</w:t>
            </w:r>
          </w:p>
        </w:tc>
      </w:tr>
      <w:tr w:rsidR="0035701C">
        <w:tc>
          <w:tcPr>
            <w:tcW w:w="12000" w:type="dxa"/>
            <w:tcMar>
              <w:top w:w="20" w:type="dxa"/>
              <w:bottom w:w="20" w:type="dxa"/>
            </w:tcMar>
            <w:vAlign w:val="center"/>
          </w:tcPr>
          <w:p w:rsidR="0035701C" w:rsidRDefault="00FB561B">
            <w:pPr>
              <w:spacing w:before="20" w:after="20"/>
              <w:jc w:val="left"/>
              <w:rPr>
                <w:sz w:val="16"/>
              </w:rPr>
            </w:pPr>
            <w:r>
              <w:rPr>
                <w:sz w:val="16"/>
              </w:rPr>
              <w:t xml:space="preserve">I </w:t>
            </w:r>
            <w:r>
              <w:rPr>
                <w:sz w:val="16"/>
              </w:rPr>
              <w:t>Situation socioéconomique et rurale</w:t>
            </w:r>
          </w:p>
        </w:tc>
        <w:tc>
          <w:tcPr>
            <w:tcW w:w="12000" w:type="dxa"/>
            <w:tcMar>
              <w:top w:w="20" w:type="dxa"/>
              <w:bottom w:w="20" w:type="dxa"/>
            </w:tcMar>
            <w:vAlign w:val="center"/>
          </w:tcPr>
          <w:p w:rsidR="0035701C" w:rsidRDefault="00FB561B">
            <w:pPr>
              <w:spacing w:before="20" w:after="20"/>
              <w:jc w:val="left"/>
              <w:rPr>
                <w:sz w:val="16"/>
              </w:rPr>
            </w:pPr>
            <w:r>
              <w:rPr>
                <w:sz w:val="16"/>
              </w:rPr>
              <w:t>IS2</w:t>
            </w:r>
          </w:p>
        </w:tc>
        <w:tc>
          <w:tcPr>
            <w:tcW w:w="12000" w:type="dxa"/>
            <w:tcMar>
              <w:top w:w="20" w:type="dxa"/>
              <w:bottom w:w="20" w:type="dxa"/>
            </w:tcMar>
            <w:vAlign w:val="center"/>
          </w:tcPr>
          <w:p w:rsidR="0035701C" w:rsidRDefault="00FB561B">
            <w:pPr>
              <w:spacing w:before="20" w:after="20"/>
              <w:jc w:val="left"/>
              <w:rPr>
                <w:sz w:val="16"/>
              </w:rPr>
            </w:pPr>
            <w:r>
              <w:rPr>
                <w:sz w:val="16"/>
              </w:rPr>
              <w:t>Valeur ajoutée brute Totale</w:t>
            </w:r>
          </w:p>
        </w:tc>
        <w:tc>
          <w:tcPr>
            <w:tcW w:w="12000" w:type="dxa"/>
            <w:tcMar>
              <w:top w:w="20" w:type="dxa"/>
              <w:bottom w:w="20" w:type="dxa"/>
            </w:tcMar>
            <w:vAlign w:val="center"/>
          </w:tcPr>
          <w:p w:rsidR="0035701C" w:rsidRDefault="00FB561B">
            <w:pPr>
              <w:spacing w:before="20" w:after="20"/>
              <w:jc w:val="right"/>
              <w:rPr>
                <w:sz w:val="16"/>
              </w:rPr>
            </w:pPr>
            <w:r>
              <w:rPr>
                <w:sz w:val="16"/>
              </w:rPr>
              <w:t>7579.73</w:t>
            </w:r>
          </w:p>
        </w:tc>
        <w:tc>
          <w:tcPr>
            <w:tcW w:w="12000" w:type="dxa"/>
            <w:tcMar>
              <w:top w:w="20" w:type="dxa"/>
              <w:bottom w:w="20" w:type="dxa"/>
            </w:tcMar>
            <w:vAlign w:val="center"/>
          </w:tcPr>
          <w:p w:rsidR="0035701C" w:rsidRDefault="00FB561B">
            <w:pPr>
              <w:spacing w:before="20" w:after="20"/>
              <w:jc w:val="left"/>
              <w:rPr>
                <w:sz w:val="16"/>
              </w:rPr>
            </w:pPr>
            <w:r>
              <w:rPr>
                <w:sz w:val="16"/>
              </w:rPr>
              <w:t>Millions d'€ courants</w:t>
            </w:r>
          </w:p>
        </w:tc>
        <w:tc>
          <w:tcPr>
            <w:tcW w:w="12000" w:type="dxa"/>
            <w:tcMar>
              <w:top w:w="20" w:type="dxa"/>
              <w:bottom w:w="20" w:type="dxa"/>
            </w:tcMar>
            <w:vAlign w:val="center"/>
          </w:tcPr>
          <w:p w:rsidR="0035701C" w:rsidRDefault="00FB561B">
            <w:pPr>
              <w:spacing w:before="20" w:after="20"/>
              <w:jc w:val="left"/>
              <w:rPr>
                <w:sz w:val="16"/>
              </w:rPr>
            </w:pPr>
            <w:r>
              <w:rPr>
                <w:sz w:val="16"/>
              </w:rPr>
              <w:t>2012</w:t>
            </w:r>
          </w:p>
        </w:tc>
      </w:tr>
      <w:tr w:rsidR="0035701C">
        <w:tc>
          <w:tcPr>
            <w:tcW w:w="12000" w:type="dxa"/>
            <w:tcMar>
              <w:top w:w="20" w:type="dxa"/>
              <w:bottom w:w="20" w:type="dxa"/>
            </w:tcMar>
            <w:vAlign w:val="center"/>
          </w:tcPr>
          <w:p w:rsidR="0035701C" w:rsidRDefault="00FB561B">
            <w:pPr>
              <w:spacing w:before="20" w:after="20"/>
              <w:jc w:val="left"/>
              <w:rPr>
                <w:sz w:val="16"/>
              </w:rPr>
            </w:pPr>
            <w:r>
              <w:rPr>
                <w:sz w:val="16"/>
              </w:rPr>
              <w:t>I Situation socioéconomique et rurale</w:t>
            </w:r>
          </w:p>
        </w:tc>
        <w:tc>
          <w:tcPr>
            <w:tcW w:w="12000" w:type="dxa"/>
            <w:tcMar>
              <w:top w:w="20" w:type="dxa"/>
              <w:bottom w:w="20" w:type="dxa"/>
            </w:tcMar>
            <w:vAlign w:val="center"/>
          </w:tcPr>
          <w:p w:rsidR="0035701C" w:rsidRDefault="00FB561B">
            <w:pPr>
              <w:spacing w:before="20" w:after="20"/>
              <w:jc w:val="left"/>
              <w:rPr>
                <w:sz w:val="16"/>
              </w:rPr>
            </w:pPr>
            <w:r>
              <w:rPr>
                <w:sz w:val="16"/>
              </w:rPr>
              <w:t>IS2</w:t>
            </w:r>
          </w:p>
        </w:tc>
        <w:tc>
          <w:tcPr>
            <w:tcW w:w="12000" w:type="dxa"/>
            <w:tcMar>
              <w:top w:w="20" w:type="dxa"/>
              <w:bottom w:w="20" w:type="dxa"/>
            </w:tcMar>
            <w:vAlign w:val="center"/>
          </w:tcPr>
          <w:p w:rsidR="0035701C" w:rsidRDefault="00FB561B">
            <w:pPr>
              <w:spacing w:before="20" w:after="20"/>
              <w:jc w:val="left"/>
              <w:rPr>
                <w:sz w:val="16"/>
              </w:rPr>
            </w:pPr>
            <w:r>
              <w:rPr>
                <w:sz w:val="16"/>
              </w:rPr>
              <w:t>Valeur ajoutée brute de l'Agriculture</w:t>
            </w:r>
          </w:p>
        </w:tc>
        <w:tc>
          <w:tcPr>
            <w:tcW w:w="12000" w:type="dxa"/>
            <w:tcMar>
              <w:top w:w="20" w:type="dxa"/>
              <w:bottom w:w="20" w:type="dxa"/>
            </w:tcMar>
            <w:vAlign w:val="center"/>
          </w:tcPr>
          <w:p w:rsidR="0035701C" w:rsidRDefault="00FB561B">
            <w:pPr>
              <w:spacing w:before="20" w:after="20"/>
              <w:jc w:val="right"/>
              <w:rPr>
                <w:sz w:val="16"/>
              </w:rPr>
            </w:pPr>
            <w:r>
              <w:rPr>
                <w:sz w:val="16"/>
              </w:rPr>
              <w:t>1.2</w:t>
            </w:r>
          </w:p>
        </w:tc>
        <w:tc>
          <w:tcPr>
            <w:tcW w:w="12000" w:type="dxa"/>
            <w:tcMar>
              <w:top w:w="20" w:type="dxa"/>
              <w:bottom w:w="20" w:type="dxa"/>
            </w:tcMar>
            <w:vAlign w:val="center"/>
          </w:tcPr>
          <w:p w:rsidR="0035701C" w:rsidRDefault="00FB561B">
            <w:pPr>
              <w:spacing w:before="20" w:after="20"/>
              <w:jc w:val="left"/>
              <w:rPr>
                <w:sz w:val="16"/>
              </w:rPr>
            </w:pPr>
            <w:r>
              <w:rPr>
                <w:sz w:val="16"/>
              </w:rPr>
              <w:t>%</w:t>
            </w:r>
          </w:p>
        </w:tc>
        <w:tc>
          <w:tcPr>
            <w:tcW w:w="12000" w:type="dxa"/>
            <w:tcMar>
              <w:top w:w="20" w:type="dxa"/>
              <w:bottom w:w="20" w:type="dxa"/>
            </w:tcMar>
            <w:vAlign w:val="center"/>
          </w:tcPr>
          <w:p w:rsidR="0035701C" w:rsidRDefault="00FB561B">
            <w:pPr>
              <w:spacing w:before="20" w:after="20"/>
              <w:jc w:val="left"/>
              <w:rPr>
                <w:sz w:val="16"/>
              </w:rPr>
            </w:pPr>
            <w:r>
              <w:rPr>
                <w:sz w:val="16"/>
              </w:rPr>
              <w:t>2012</w:t>
            </w:r>
          </w:p>
        </w:tc>
      </w:tr>
      <w:tr w:rsidR="0035701C">
        <w:tc>
          <w:tcPr>
            <w:tcW w:w="6464" w:type="dxa"/>
            <w:gridSpan w:val="6"/>
            <w:tcMar>
              <w:top w:w="20" w:type="dxa"/>
              <w:bottom w:w="20" w:type="dxa"/>
            </w:tcMar>
            <w:vAlign w:val="center"/>
          </w:tcPr>
          <w:p w:rsidR="0035701C" w:rsidRDefault="00FB561B">
            <w:pPr>
              <w:rPr>
                <w:i/>
                <w:sz w:val="16"/>
              </w:rPr>
            </w:pPr>
            <w:r>
              <w:rPr>
                <w:sz w:val="16"/>
              </w:rPr>
              <w:t xml:space="preserve">Comment: </w:t>
            </w:r>
            <w:r>
              <w:rPr>
                <w:i/>
                <w:sz w:val="16"/>
              </w:rPr>
              <w:t>Source : Insee, comptes régionaux base 2010</w:t>
            </w:r>
          </w:p>
        </w:tc>
      </w:tr>
      <w:tr w:rsidR="0035701C">
        <w:tc>
          <w:tcPr>
            <w:tcW w:w="12000" w:type="dxa"/>
            <w:tcMar>
              <w:top w:w="20" w:type="dxa"/>
              <w:bottom w:w="20" w:type="dxa"/>
            </w:tcMar>
            <w:vAlign w:val="center"/>
          </w:tcPr>
          <w:p w:rsidR="0035701C" w:rsidRDefault="00FB561B">
            <w:pPr>
              <w:spacing w:before="20" w:after="20"/>
              <w:jc w:val="left"/>
              <w:rPr>
                <w:sz w:val="16"/>
              </w:rPr>
            </w:pPr>
            <w:r>
              <w:rPr>
                <w:sz w:val="16"/>
              </w:rPr>
              <w:t xml:space="preserve">I </w:t>
            </w:r>
            <w:r>
              <w:rPr>
                <w:sz w:val="16"/>
              </w:rPr>
              <w:t>Situation socioéconomique et rurale</w:t>
            </w:r>
          </w:p>
        </w:tc>
        <w:tc>
          <w:tcPr>
            <w:tcW w:w="12000" w:type="dxa"/>
            <w:tcMar>
              <w:top w:w="20" w:type="dxa"/>
              <w:bottom w:w="20" w:type="dxa"/>
            </w:tcMar>
            <w:vAlign w:val="center"/>
          </w:tcPr>
          <w:p w:rsidR="0035701C" w:rsidRDefault="00FB561B">
            <w:pPr>
              <w:spacing w:before="20" w:after="20"/>
              <w:jc w:val="left"/>
              <w:rPr>
                <w:sz w:val="16"/>
              </w:rPr>
            </w:pPr>
            <w:r>
              <w:rPr>
                <w:sz w:val="16"/>
              </w:rPr>
              <w:t>IS4</w:t>
            </w:r>
          </w:p>
        </w:tc>
        <w:tc>
          <w:tcPr>
            <w:tcW w:w="12000" w:type="dxa"/>
            <w:tcMar>
              <w:top w:w="20" w:type="dxa"/>
              <w:bottom w:w="20" w:type="dxa"/>
            </w:tcMar>
            <w:vAlign w:val="center"/>
          </w:tcPr>
          <w:p w:rsidR="0035701C" w:rsidRDefault="00FB561B">
            <w:pPr>
              <w:spacing w:before="20" w:after="20"/>
              <w:jc w:val="left"/>
              <w:rPr>
                <w:sz w:val="16"/>
              </w:rPr>
            </w:pPr>
            <w:r>
              <w:rPr>
                <w:sz w:val="16"/>
              </w:rPr>
              <w:t>Part d'entreprise ayant entre 10 et 49 salariés</w:t>
            </w:r>
          </w:p>
        </w:tc>
        <w:tc>
          <w:tcPr>
            <w:tcW w:w="12000" w:type="dxa"/>
            <w:tcMar>
              <w:top w:w="20" w:type="dxa"/>
              <w:bottom w:w="20" w:type="dxa"/>
            </w:tcMar>
            <w:vAlign w:val="center"/>
          </w:tcPr>
          <w:p w:rsidR="0035701C" w:rsidRDefault="00FB561B">
            <w:pPr>
              <w:spacing w:before="20" w:after="20"/>
              <w:jc w:val="right"/>
              <w:rPr>
                <w:sz w:val="16"/>
              </w:rPr>
            </w:pPr>
            <w:r>
              <w:rPr>
                <w:sz w:val="16"/>
              </w:rPr>
              <w:t>3.8</w:t>
            </w:r>
          </w:p>
        </w:tc>
        <w:tc>
          <w:tcPr>
            <w:tcW w:w="12000" w:type="dxa"/>
            <w:tcMar>
              <w:top w:w="20" w:type="dxa"/>
              <w:bottom w:w="20" w:type="dxa"/>
            </w:tcMar>
            <w:vAlign w:val="center"/>
          </w:tcPr>
          <w:p w:rsidR="0035701C" w:rsidRDefault="00FB561B">
            <w:pPr>
              <w:spacing w:before="20" w:after="20"/>
              <w:jc w:val="left"/>
              <w:rPr>
                <w:sz w:val="16"/>
              </w:rPr>
            </w:pPr>
            <w:r>
              <w:rPr>
                <w:sz w:val="16"/>
              </w:rPr>
              <w:t>%</w:t>
            </w:r>
          </w:p>
        </w:tc>
        <w:tc>
          <w:tcPr>
            <w:tcW w:w="12000" w:type="dxa"/>
            <w:tcMar>
              <w:top w:w="20" w:type="dxa"/>
              <w:bottom w:w="20" w:type="dxa"/>
            </w:tcMar>
            <w:vAlign w:val="center"/>
          </w:tcPr>
          <w:p w:rsidR="0035701C" w:rsidRDefault="00FB561B">
            <w:pPr>
              <w:spacing w:before="20" w:after="20"/>
              <w:jc w:val="left"/>
              <w:rPr>
                <w:sz w:val="16"/>
              </w:rPr>
            </w:pPr>
            <w:r>
              <w:rPr>
                <w:sz w:val="16"/>
              </w:rPr>
              <w:t>2012</w:t>
            </w:r>
          </w:p>
        </w:tc>
      </w:tr>
      <w:tr w:rsidR="0035701C">
        <w:tc>
          <w:tcPr>
            <w:tcW w:w="6464" w:type="dxa"/>
            <w:gridSpan w:val="6"/>
            <w:tcMar>
              <w:top w:w="20" w:type="dxa"/>
              <w:bottom w:w="20" w:type="dxa"/>
            </w:tcMar>
            <w:vAlign w:val="center"/>
          </w:tcPr>
          <w:p w:rsidR="0035701C" w:rsidRDefault="00FB561B">
            <w:pPr>
              <w:rPr>
                <w:i/>
                <w:sz w:val="16"/>
              </w:rPr>
            </w:pPr>
            <w:r>
              <w:rPr>
                <w:sz w:val="16"/>
              </w:rPr>
              <w:t xml:space="preserve">Comment: </w:t>
            </w:r>
            <w:r>
              <w:rPr>
                <w:i/>
                <w:sz w:val="16"/>
              </w:rPr>
              <w:t>source : Source : Insee, répertoire des entreprises et des établissements,  1er janvier 2012. Corse</w:t>
            </w:r>
          </w:p>
          <w:p w:rsidR="0035701C" w:rsidRDefault="0035701C">
            <w:pPr>
              <w:rPr>
                <w:i/>
                <w:sz w:val="16"/>
              </w:rPr>
            </w:pPr>
          </w:p>
        </w:tc>
      </w:tr>
      <w:tr w:rsidR="0035701C">
        <w:tc>
          <w:tcPr>
            <w:tcW w:w="12000" w:type="dxa"/>
            <w:tcMar>
              <w:top w:w="20" w:type="dxa"/>
              <w:bottom w:w="20" w:type="dxa"/>
            </w:tcMar>
            <w:vAlign w:val="center"/>
          </w:tcPr>
          <w:p w:rsidR="0035701C" w:rsidRDefault="00FB561B">
            <w:pPr>
              <w:spacing w:before="20" w:after="20"/>
              <w:jc w:val="left"/>
              <w:rPr>
                <w:sz w:val="16"/>
              </w:rPr>
            </w:pPr>
            <w:r>
              <w:rPr>
                <w:sz w:val="16"/>
              </w:rPr>
              <w:t>I Situation socioéconomique et rurale</w:t>
            </w:r>
          </w:p>
        </w:tc>
        <w:tc>
          <w:tcPr>
            <w:tcW w:w="12000" w:type="dxa"/>
            <w:tcMar>
              <w:top w:w="20" w:type="dxa"/>
              <w:bottom w:w="20" w:type="dxa"/>
            </w:tcMar>
            <w:vAlign w:val="center"/>
          </w:tcPr>
          <w:p w:rsidR="0035701C" w:rsidRDefault="00FB561B">
            <w:pPr>
              <w:spacing w:before="20" w:after="20"/>
              <w:jc w:val="left"/>
              <w:rPr>
                <w:sz w:val="16"/>
              </w:rPr>
            </w:pPr>
            <w:r>
              <w:rPr>
                <w:sz w:val="16"/>
              </w:rPr>
              <w:t>IS2</w:t>
            </w:r>
          </w:p>
        </w:tc>
        <w:tc>
          <w:tcPr>
            <w:tcW w:w="12000" w:type="dxa"/>
            <w:tcMar>
              <w:top w:w="20" w:type="dxa"/>
              <w:bottom w:w="20" w:type="dxa"/>
            </w:tcMar>
            <w:vAlign w:val="center"/>
          </w:tcPr>
          <w:p w:rsidR="0035701C" w:rsidRDefault="00FB561B">
            <w:pPr>
              <w:spacing w:before="20" w:after="20"/>
              <w:jc w:val="left"/>
              <w:rPr>
                <w:sz w:val="16"/>
              </w:rPr>
            </w:pPr>
            <w:r>
              <w:rPr>
                <w:sz w:val="16"/>
              </w:rPr>
              <w:t>Valeur ajoutée brute de la Construction</w:t>
            </w:r>
          </w:p>
        </w:tc>
        <w:tc>
          <w:tcPr>
            <w:tcW w:w="12000" w:type="dxa"/>
            <w:tcMar>
              <w:top w:w="20" w:type="dxa"/>
              <w:bottom w:w="20" w:type="dxa"/>
            </w:tcMar>
            <w:vAlign w:val="center"/>
          </w:tcPr>
          <w:p w:rsidR="0035701C" w:rsidRDefault="00FB561B">
            <w:pPr>
              <w:spacing w:before="20" w:after="20"/>
              <w:jc w:val="right"/>
              <w:rPr>
                <w:sz w:val="16"/>
              </w:rPr>
            </w:pPr>
            <w:r>
              <w:rPr>
                <w:sz w:val="16"/>
              </w:rPr>
              <w:t>10.8</w:t>
            </w:r>
          </w:p>
        </w:tc>
        <w:tc>
          <w:tcPr>
            <w:tcW w:w="12000" w:type="dxa"/>
            <w:tcMar>
              <w:top w:w="20" w:type="dxa"/>
              <w:bottom w:w="20" w:type="dxa"/>
            </w:tcMar>
            <w:vAlign w:val="center"/>
          </w:tcPr>
          <w:p w:rsidR="0035701C" w:rsidRDefault="00FB561B">
            <w:pPr>
              <w:spacing w:before="20" w:after="20"/>
              <w:jc w:val="left"/>
              <w:rPr>
                <w:sz w:val="16"/>
              </w:rPr>
            </w:pPr>
            <w:r>
              <w:rPr>
                <w:sz w:val="16"/>
              </w:rPr>
              <w:t>%</w:t>
            </w:r>
          </w:p>
        </w:tc>
        <w:tc>
          <w:tcPr>
            <w:tcW w:w="12000" w:type="dxa"/>
            <w:tcMar>
              <w:top w:w="20" w:type="dxa"/>
              <w:bottom w:w="20" w:type="dxa"/>
            </w:tcMar>
            <w:vAlign w:val="center"/>
          </w:tcPr>
          <w:p w:rsidR="0035701C" w:rsidRDefault="00FB561B">
            <w:pPr>
              <w:spacing w:before="20" w:after="20"/>
              <w:jc w:val="left"/>
              <w:rPr>
                <w:sz w:val="16"/>
              </w:rPr>
            </w:pPr>
            <w:r>
              <w:rPr>
                <w:sz w:val="16"/>
              </w:rPr>
              <w:t>2012</w:t>
            </w:r>
          </w:p>
        </w:tc>
      </w:tr>
      <w:tr w:rsidR="0035701C">
        <w:tc>
          <w:tcPr>
            <w:tcW w:w="12000" w:type="dxa"/>
            <w:tcMar>
              <w:top w:w="20" w:type="dxa"/>
              <w:bottom w:w="20" w:type="dxa"/>
            </w:tcMar>
            <w:vAlign w:val="center"/>
          </w:tcPr>
          <w:p w:rsidR="0035701C" w:rsidRDefault="00FB561B">
            <w:pPr>
              <w:spacing w:before="20" w:after="20"/>
              <w:jc w:val="left"/>
              <w:rPr>
                <w:sz w:val="16"/>
              </w:rPr>
            </w:pPr>
            <w:r>
              <w:rPr>
                <w:sz w:val="16"/>
              </w:rPr>
              <w:t>I Situation socioéconomique et rurale</w:t>
            </w:r>
          </w:p>
        </w:tc>
        <w:tc>
          <w:tcPr>
            <w:tcW w:w="12000" w:type="dxa"/>
            <w:tcMar>
              <w:top w:w="20" w:type="dxa"/>
              <w:bottom w:w="20" w:type="dxa"/>
            </w:tcMar>
            <w:vAlign w:val="center"/>
          </w:tcPr>
          <w:p w:rsidR="0035701C" w:rsidRDefault="00FB561B">
            <w:pPr>
              <w:spacing w:before="20" w:after="20"/>
              <w:jc w:val="left"/>
              <w:rPr>
                <w:sz w:val="16"/>
              </w:rPr>
            </w:pPr>
            <w:r>
              <w:rPr>
                <w:sz w:val="16"/>
              </w:rPr>
              <w:t>IS2</w:t>
            </w:r>
          </w:p>
        </w:tc>
        <w:tc>
          <w:tcPr>
            <w:tcW w:w="12000" w:type="dxa"/>
            <w:tcMar>
              <w:top w:w="20" w:type="dxa"/>
              <w:bottom w:w="20" w:type="dxa"/>
            </w:tcMar>
            <w:vAlign w:val="center"/>
          </w:tcPr>
          <w:p w:rsidR="0035701C" w:rsidRDefault="00FB561B">
            <w:pPr>
              <w:spacing w:before="20" w:after="20"/>
              <w:jc w:val="left"/>
              <w:rPr>
                <w:sz w:val="16"/>
              </w:rPr>
            </w:pPr>
            <w:r>
              <w:rPr>
                <w:sz w:val="16"/>
              </w:rPr>
              <w:t>Valeur ajoutée brute du Tertiaire non marchand</w:t>
            </w:r>
          </w:p>
        </w:tc>
        <w:tc>
          <w:tcPr>
            <w:tcW w:w="12000" w:type="dxa"/>
            <w:tcMar>
              <w:top w:w="20" w:type="dxa"/>
              <w:bottom w:w="20" w:type="dxa"/>
            </w:tcMar>
            <w:vAlign w:val="center"/>
          </w:tcPr>
          <w:p w:rsidR="0035701C" w:rsidRDefault="00FB561B">
            <w:pPr>
              <w:spacing w:before="20" w:after="20"/>
              <w:jc w:val="right"/>
              <w:rPr>
                <w:sz w:val="16"/>
              </w:rPr>
            </w:pPr>
            <w:r>
              <w:rPr>
                <w:sz w:val="16"/>
              </w:rPr>
              <w:t>32.5</w:t>
            </w:r>
          </w:p>
        </w:tc>
        <w:tc>
          <w:tcPr>
            <w:tcW w:w="12000" w:type="dxa"/>
            <w:tcMar>
              <w:top w:w="20" w:type="dxa"/>
              <w:bottom w:w="20" w:type="dxa"/>
            </w:tcMar>
            <w:vAlign w:val="center"/>
          </w:tcPr>
          <w:p w:rsidR="0035701C" w:rsidRDefault="00FB561B">
            <w:pPr>
              <w:spacing w:before="20" w:after="20"/>
              <w:jc w:val="left"/>
              <w:rPr>
                <w:sz w:val="16"/>
              </w:rPr>
            </w:pPr>
            <w:r>
              <w:rPr>
                <w:sz w:val="16"/>
              </w:rPr>
              <w:t>%</w:t>
            </w:r>
          </w:p>
        </w:tc>
        <w:tc>
          <w:tcPr>
            <w:tcW w:w="12000" w:type="dxa"/>
            <w:tcMar>
              <w:top w:w="20" w:type="dxa"/>
              <w:bottom w:w="20" w:type="dxa"/>
            </w:tcMar>
            <w:vAlign w:val="center"/>
          </w:tcPr>
          <w:p w:rsidR="0035701C" w:rsidRDefault="00FB561B">
            <w:pPr>
              <w:spacing w:before="20" w:after="20"/>
              <w:jc w:val="left"/>
              <w:rPr>
                <w:sz w:val="16"/>
              </w:rPr>
            </w:pPr>
            <w:r>
              <w:rPr>
                <w:sz w:val="16"/>
              </w:rPr>
              <w:t>2012</w:t>
            </w:r>
          </w:p>
        </w:tc>
      </w:tr>
      <w:tr w:rsidR="0035701C">
        <w:tc>
          <w:tcPr>
            <w:tcW w:w="12000" w:type="dxa"/>
            <w:tcMar>
              <w:top w:w="20" w:type="dxa"/>
              <w:bottom w:w="20" w:type="dxa"/>
            </w:tcMar>
            <w:vAlign w:val="center"/>
          </w:tcPr>
          <w:p w:rsidR="0035701C" w:rsidRDefault="00FB561B">
            <w:pPr>
              <w:spacing w:before="20" w:after="20"/>
              <w:jc w:val="left"/>
              <w:rPr>
                <w:sz w:val="16"/>
              </w:rPr>
            </w:pPr>
            <w:r>
              <w:rPr>
                <w:sz w:val="16"/>
              </w:rPr>
              <w:t>I Situation socioéconomique et rurale</w:t>
            </w:r>
          </w:p>
        </w:tc>
        <w:tc>
          <w:tcPr>
            <w:tcW w:w="12000" w:type="dxa"/>
            <w:tcMar>
              <w:top w:w="20" w:type="dxa"/>
              <w:bottom w:w="20" w:type="dxa"/>
            </w:tcMar>
            <w:vAlign w:val="center"/>
          </w:tcPr>
          <w:p w:rsidR="0035701C" w:rsidRDefault="00FB561B">
            <w:pPr>
              <w:spacing w:before="20" w:after="20"/>
              <w:jc w:val="left"/>
              <w:rPr>
                <w:sz w:val="16"/>
              </w:rPr>
            </w:pPr>
            <w:r>
              <w:rPr>
                <w:sz w:val="16"/>
              </w:rPr>
              <w:t>IS4</w:t>
            </w:r>
          </w:p>
        </w:tc>
        <w:tc>
          <w:tcPr>
            <w:tcW w:w="12000" w:type="dxa"/>
            <w:tcMar>
              <w:top w:w="20" w:type="dxa"/>
              <w:bottom w:w="20" w:type="dxa"/>
            </w:tcMar>
            <w:vAlign w:val="center"/>
          </w:tcPr>
          <w:p w:rsidR="0035701C" w:rsidRDefault="00FB561B">
            <w:pPr>
              <w:spacing w:before="20" w:after="20"/>
              <w:jc w:val="left"/>
              <w:rPr>
                <w:sz w:val="16"/>
              </w:rPr>
            </w:pPr>
            <w:r>
              <w:rPr>
                <w:sz w:val="16"/>
              </w:rPr>
              <w:t>Part d'entreprise n'ayant pas de salarié</w:t>
            </w:r>
          </w:p>
        </w:tc>
        <w:tc>
          <w:tcPr>
            <w:tcW w:w="12000" w:type="dxa"/>
            <w:tcMar>
              <w:top w:w="20" w:type="dxa"/>
              <w:bottom w:w="20" w:type="dxa"/>
            </w:tcMar>
            <w:vAlign w:val="center"/>
          </w:tcPr>
          <w:p w:rsidR="0035701C" w:rsidRDefault="00FB561B">
            <w:pPr>
              <w:spacing w:before="20" w:after="20"/>
              <w:jc w:val="right"/>
              <w:rPr>
                <w:sz w:val="16"/>
              </w:rPr>
            </w:pPr>
            <w:r>
              <w:rPr>
                <w:sz w:val="16"/>
              </w:rPr>
              <w:t>68.2</w:t>
            </w:r>
          </w:p>
        </w:tc>
        <w:tc>
          <w:tcPr>
            <w:tcW w:w="12000" w:type="dxa"/>
            <w:tcMar>
              <w:top w:w="20" w:type="dxa"/>
              <w:bottom w:w="20" w:type="dxa"/>
            </w:tcMar>
            <w:vAlign w:val="center"/>
          </w:tcPr>
          <w:p w:rsidR="0035701C" w:rsidRDefault="00FB561B">
            <w:pPr>
              <w:spacing w:before="20" w:after="20"/>
              <w:jc w:val="left"/>
              <w:rPr>
                <w:sz w:val="16"/>
              </w:rPr>
            </w:pPr>
            <w:r>
              <w:rPr>
                <w:sz w:val="16"/>
              </w:rPr>
              <w:t>%</w:t>
            </w:r>
          </w:p>
        </w:tc>
        <w:tc>
          <w:tcPr>
            <w:tcW w:w="12000" w:type="dxa"/>
            <w:tcMar>
              <w:top w:w="20" w:type="dxa"/>
              <w:bottom w:w="20" w:type="dxa"/>
            </w:tcMar>
            <w:vAlign w:val="center"/>
          </w:tcPr>
          <w:p w:rsidR="0035701C" w:rsidRDefault="00FB561B">
            <w:pPr>
              <w:spacing w:before="20" w:after="20"/>
              <w:jc w:val="left"/>
              <w:rPr>
                <w:sz w:val="16"/>
              </w:rPr>
            </w:pPr>
            <w:r>
              <w:rPr>
                <w:sz w:val="16"/>
              </w:rPr>
              <w:t>2012</w:t>
            </w:r>
          </w:p>
        </w:tc>
      </w:tr>
      <w:tr w:rsidR="0035701C">
        <w:tc>
          <w:tcPr>
            <w:tcW w:w="6464" w:type="dxa"/>
            <w:gridSpan w:val="6"/>
            <w:tcMar>
              <w:top w:w="20" w:type="dxa"/>
              <w:bottom w:w="20" w:type="dxa"/>
            </w:tcMar>
            <w:vAlign w:val="center"/>
          </w:tcPr>
          <w:p w:rsidR="0035701C" w:rsidRDefault="00FB561B">
            <w:pPr>
              <w:rPr>
                <w:i/>
                <w:sz w:val="16"/>
              </w:rPr>
            </w:pPr>
            <w:r>
              <w:rPr>
                <w:sz w:val="16"/>
              </w:rPr>
              <w:t xml:space="preserve">Comment: </w:t>
            </w:r>
            <w:r>
              <w:rPr>
                <w:i/>
                <w:sz w:val="16"/>
              </w:rPr>
              <w:t>source : Source : Insee, répertoire des entreprises et des établissements,  1er janvier 2012; Corse</w:t>
            </w:r>
          </w:p>
        </w:tc>
      </w:tr>
    </w:tbl>
    <w:p w:rsidR="0035701C" w:rsidRDefault="0035701C">
      <w:pPr>
        <w:jc w:val="center"/>
        <w:rPr>
          <w:sz w:val="16"/>
        </w:rPr>
        <w:sectPr w:rsidR="0035701C">
          <w:pgSz w:w="12240" w:h="15840"/>
          <w:pgMar w:top="900" w:right="900" w:bottom="900" w:left="900" w:header="720" w:footer="720" w:gutter="0"/>
          <w:cols w:space="720"/>
        </w:sectPr>
      </w:pPr>
    </w:p>
    <w:p w:rsidR="0035701C" w:rsidRDefault="00FB561B">
      <w:pPr>
        <w:pStyle w:val="Titre2"/>
      </w:pPr>
      <w:bookmarkStart w:id="36" w:name="_Toc256000035"/>
      <w:r>
        <w:t>Évaluation des besoins</w:t>
      </w:r>
      <w:bookmarkEnd w:id="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648"/>
        <w:gridCol w:w="648"/>
        <w:gridCol w:w="648"/>
        <w:gridCol w:w="648"/>
        <w:gridCol w:w="648"/>
        <w:gridCol w:w="648"/>
        <w:gridCol w:w="648"/>
        <w:gridCol w:w="648"/>
        <w:gridCol w:w="648"/>
        <w:gridCol w:w="648"/>
        <w:gridCol w:w="648"/>
        <w:gridCol w:w="648"/>
        <w:gridCol w:w="648"/>
        <w:gridCol w:w="648"/>
        <w:gridCol w:w="648"/>
        <w:gridCol w:w="648"/>
        <w:gridCol w:w="648"/>
        <w:gridCol w:w="648"/>
        <w:gridCol w:w="648"/>
        <w:gridCol w:w="648"/>
        <w:gridCol w:w="648"/>
      </w:tblGrid>
      <w:tr w:rsidR="0035701C">
        <w:tc>
          <w:tcPr>
            <w:tcW w:w="12000" w:type="dxa"/>
            <w:vMerge w:val="restart"/>
            <w:shd w:val="clear" w:color="auto" w:fill="808080"/>
            <w:tcMar>
              <w:top w:w="20" w:type="dxa"/>
              <w:bottom w:w="20" w:type="dxa"/>
            </w:tcMar>
            <w:vAlign w:val="center"/>
          </w:tcPr>
          <w:p w:rsidR="0035701C" w:rsidRDefault="00FB561B">
            <w:pPr>
              <w:jc w:val="left"/>
              <w:rPr>
                <w:b/>
                <w:sz w:val="20"/>
              </w:rPr>
            </w:pPr>
            <w:r>
              <w:rPr>
                <w:b/>
                <w:sz w:val="20"/>
              </w:rPr>
              <w:t>Intitulé (ou référence) du besoin</w:t>
            </w:r>
          </w:p>
        </w:tc>
        <w:tc>
          <w:tcPr>
            <w:tcW w:w="-29536" w:type="dxa"/>
            <w:gridSpan w:val="3"/>
            <w:shd w:val="clear" w:color="auto" w:fill="808080"/>
            <w:tcMar>
              <w:top w:w="20" w:type="dxa"/>
              <w:bottom w:w="20" w:type="dxa"/>
            </w:tcMar>
            <w:vAlign w:val="center"/>
          </w:tcPr>
          <w:p w:rsidR="0035701C" w:rsidRDefault="00FB561B">
            <w:pPr>
              <w:jc w:val="center"/>
              <w:rPr>
                <w:b/>
                <w:sz w:val="20"/>
              </w:rPr>
            </w:pPr>
            <w:r>
              <w:rPr>
                <w:b/>
                <w:sz w:val="20"/>
              </w:rPr>
              <w:t>P1</w:t>
            </w:r>
          </w:p>
        </w:tc>
        <w:tc>
          <w:tcPr>
            <w:tcW w:w="24000" w:type="dxa"/>
            <w:gridSpan w:val="2"/>
            <w:shd w:val="clear" w:color="auto" w:fill="808080"/>
            <w:tcMar>
              <w:top w:w="20" w:type="dxa"/>
              <w:bottom w:w="20" w:type="dxa"/>
            </w:tcMar>
            <w:vAlign w:val="center"/>
          </w:tcPr>
          <w:p w:rsidR="0035701C" w:rsidRDefault="00FB561B">
            <w:pPr>
              <w:jc w:val="center"/>
              <w:rPr>
                <w:b/>
                <w:sz w:val="20"/>
              </w:rPr>
            </w:pPr>
            <w:r>
              <w:rPr>
                <w:b/>
                <w:sz w:val="20"/>
              </w:rPr>
              <w:t>P2</w:t>
            </w:r>
          </w:p>
        </w:tc>
        <w:tc>
          <w:tcPr>
            <w:tcW w:w="24000" w:type="dxa"/>
            <w:gridSpan w:val="2"/>
            <w:shd w:val="clear" w:color="auto" w:fill="808080"/>
            <w:tcMar>
              <w:top w:w="20" w:type="dxa"/>
              <w:bottom w:w="20" w:type="dxa"/>
            </w:tcMar>
            <w:vAlign w:val="center"/>
          </w:tcPr>
          <w:p w:rsidR="0035701C" w:rsidRDefault="00FB561B">
            <w:pPr>
              <w:jc w:val="center"/>
              <w:rPr>
                <w:b/>
                <w:sz w:val="20"/>
              </w:rPr>
            </w:pPr>
            <w:r>
              <w:rPr>
                <w:b/>
                <w:sz w:val="20"/>
              </w:rPr>
              <w:t>P3</w:t>
            </w:r>
          </w:p>
        </w:tc>
        <w:tc>
          <w:tcPr>
            <w:tcW w:w="-29536" w:type="dxa"/>
            <w:gridSpan w:val="3"/>
            <w:shd w:val="clear" w:color="auto" w:fill="808080"/>
            <w:tcMar>
              <w:top w:w="20" w:type="dxa"/>
              <w:bottom w:w="20" w:type="dxa"/>
            </w:tcMar>
            <w:vAlign w:val="center"/>
          </w:tcPr>
          <w:p w:rsidR="0035701C" w:rsidRDefault="00FB561B">
            <w:pPr>
              <w:jc w:val="center"/>
              <w:rPr>
                <w:b/>
                <w:sz w:val="20"/>
              </w:rPr>
            </w:pPr>
            <w:r>
              <w:rPr>
                <w:b/>
                <w:sz w:val="20"/>
              </w:rPr>
              <w:t>P4</w:t>
            </w:r>
          </w:p>
        </w:tc>
        <w:tc>
          <w:tcPr>
            <w:tcW w:w="-5536" w:type="dxa"/>
            <w:gridSpan w:val="5"/>
            <w:shd w:val="clear" w:color="auto" w:fill="808080"/>
            <w:tcMar>
              <w:top w:w="20" w:type="dxa"/>
              <w:bottom w:w="20" w:type="dxa"/>
            </w:tcMar>
            <w:vAlign w:val="center"/>
          </w:tcPr>
          <w:p w:rsidR="0035701C" w:rsidRDefault="00FB561B">
            <w:pPr>
              <w:jc w:val="center"/>
              <w:rPr>
                <w:b/>
                <w:sz w:val="20"/>
              </w:rPr>
            </w:pPr>
            <w:r>
              <w:rPr>
                <w:b/>
                <w:sz w:val="20"/>
              </w:rPr>
              <w:t>P5</w:t>
            </w:r>
          </w:p>
        </w:tc>
        <w:tc>
          <w:tcPr>
            <w:tcW w:w="-29536" w:type="dxa"/>
            <w:gridSpan w:val="3"/>
            <w:shd w:val="clear" w:color="auto" w:fill="808080"/>
            <w:tcMar>
              <w:top w:w="20" w:type="dxa"/>
              <w:bottom w:w="20" w:type="dxa"/>
            </w:tcMar>
            <w:vAlign w:val="center"/>
          </w:tcPr>
          <w:p w:rsidR="0035701C" w:rsidRDefault="00FB561B">
            <w:pPr>
              <w:jc w:val="center"/>
              <w:rPr>
                <w:b/>
                <w:sz w:val="20"/>
              </w:rPr>
            </w:pPr>
            <w:r>
              <w:rPr>
                <w:b/>
                <w:sz w:val="20"/>
              </w:rPr>
              <w:t>P6</w:t>
            </w:r>
          </w:p>
        </w:tc>
        <w:tc>
          <w:tcPr>
            <w:tcW w:w="-29536" w:type="dxa"/>
            <w:gridSpan w:val="3"/>
            <w:shd w:val="clear" w:color="auto" w:fill="808080"/>
            <w:tcMar>
              <w:top w:w="20" w:type="dxa"/>
              <w:bottom w:w="20" w:type="dxa"/>
            </w:tcMar>
            <w:vAlign w:val="center"/>
          </w:tcPr>
          <w:p w:rsidR="0035701C" w:rsidRDefault="00FB561B">
            <w:pPr>
              <w:jc w:val="center"/>
              <w:rPr>
                <w:b/>
                <w:sz w:val="20"/>
              </w:rPr>
            </w:pPr>
            <w:r>
              <w:rPr>
                <w:b/>
                <w:sz w:val="20"/>
              </w:rPr>
              <w:t>Objectifs transversaux</w:t>
            </w:r>
          </w:p>
        </w:tc>
      </w:tr>
      <w:tr w:rsidR="0035701C">
        <w:tc>
          <w:tcPr>
            <w:tcW w:w="12000" w:type="dxa"/>
            <w:vMerge/>
            <w:shd w:val="clear" w:color="auto" w:fill="808080"/>
            <w:tcMar>
              <w:top w:w="20" w:type="dxa"/>
              <w:bottom w:w="20" w:type="dxa"/>
            </w:tcMar>
            <w:vAlign w:val="center"/>
          </w:tcPr>
          <w:p w:rsidR="0035701C" w:rsidRDefault="0035701C">
            <w:pPr>
              <w:jc w:val="center"/>
              <w:rPr>
                <w:b/>
                <w:sz w:val="20"/>
              </w:rPr>
            </w:pPr>
          </w:p>
        </w:tc>
        <w:tc>
          <w:tcPr>
            <w:tcW w:w="12000" w:type="dxa"/>
            <w:shd w:val="clear" w:color="auto" w:fill="C0C0C0"/>
            <w:tcMar>
              <w:top w:w="20" w:type="dxa"/>
              <w:bottom w:w="20" w:type="dxa"/>
            </w:tcMar>
            <w:vAlign w:val="center"/>
          </w:tcPr>
          <w:p w:rsidR="0035701C" w:rsidRDefault="00FB561B">
            <w:pPr>
              <w:jc w:val="center"/>
              <w:rPr>
                <w:sz w:val="16"/>
              </w:rPr>
            </w:pPr>
            <w:r>
              <w:rPr>
                <w:sz w:val="16"/>
              </w:rPr>
              <w:t>1A</w:t>
            </w:r>
          </w:p>
        </w:tc>
        <w:tc>
          <w:tcPr>
            <w:tcW w:w="12000" w:type="dxa"/>
            <w:shd w:val="clear" w:color="auto" w:fill="C0C0C0"/>
            <w:tcMar>
              <w:top w:w="20" w:type="dxa"/>
              <w:bottom w:w="20" w:type="dxa"/>
            </w:tcMar>
            <w:vAlign w:val="center"/>
          </w:tcPr>
          <w:p w:rsidR="0035701C" w:rsidRDefault="00FB561B">
            <w:pPr>
              <w:jc w:val="center"/>
              <w:rPr>
                <w:sz w:val="16"/>
              </w:rPr>
            </w:pPr>
            <w:r>
              <w:rPr>
                <w:sz w:val="16"/>
              </w:rPr>
              <w:t>1B</w:t>
            </w:r>
          </w:p>
        </w:tc>
        <w:tc>
          <w:tcPr>
            <w:tcW w:w="12000" w:type="dxa"/>
            <w:shd w:val="clear" w:color="auto" w:fill="C0C0C0"/>
            <w:tcMar>
              <w:top w:w="20" w:type="dxa"/>
              <w:bottom w:w="20" w:type="dxa"/>
            </w:tcMar>
            <w:vAlign w:val="center"/>
          </w:tcPr>
          <w:p w:rsidR="0035701C" w:rsidRDefault="00FB561B">
            <w:pPr>
              <w:jc w:val="center"/>
              <w:rPr>
                <w:sz w:val="16"/>
              </w:rPr>
            </w:pPr>
            <w:r>
              <w:rPr>
                <w:sz w:val="16"/>
              </w:rPr>
              <w:t>1C</w:t>
            </w:r>
          </w:p>
        </w:tc>
        <w:tc>
          <w:tcPr>
            <w:tcW w:w="12000" w:type="dxa"/>
            <w:shd w:val="clear" w:color="auto" w:fill="C0C0C0"/>
            <w:tcMar>
              <w:top w:w="20" w:type="dxa"/>
              <w:bottom w:w="20" w:type="dxa"/>
            </w:tcMar>
            <w:vAlign w:val="center"/>
          </w:tcPr>
          <w:p w:rsidR="0035701C" w:rsidRDefault="00FB561B">
            <w:pPr>
              <w:jc w:val="center"/>
              <w:rPr>
                <w:sz w:val="16"/>
              </w:rPr>
            </w:pPr>
            <w:r>
              <w:rPr>
                <w:sz w:val="16"/>
              </w:rPr>
              <w:t>2A</w:t>
            </w:r>
          </w:p>
        </w:tc>
        <w:tc>
          <w:tcPr>
            <w:tcW w:w="12000" w:type="dxa"/>
            <w:shd w:val="clear" w:color="auto" w:fill="C0C0C0"/>
            <w:tcMar>
              <w:top w:w="20" w:type="dxa"/>
              <w:bottom w:w="20" w:type="dxa"/>
            </w:tcMar>
            <w:vAlign w:val="center"/>
          </w:tcPr>
          <w:p w:rsidR="0035701C" w:rsidRDefault="00FB561B">
            <w:pPr>
              <w:jc w:val="center"/>
              <w:rPr>
                <w:sz w:val="16"/>
              </w:rPr>
            </w:pPr>
            <w:r>
              <w:rPr>
                <w:sz w:val="16"/>
              </w:rPr>
              <w:t>2B</w:t>
            </w:r>
          </w:p>
        </w:tc>
        <w:tc>
          <w:tcPr>
            <w:tcW w:w="12000" w:type="dxa"/>
            <w:shd w:val="clear" w:color="auto" w:fill="C0C0C0"/>
            <w:tcMar>
              <w:top w:w="20" w:type="dxa"/>
              <w:bottom w:w="20" w:type="dxa"/>
            </w:tcMar>
            <w:vAlign w:val="center"/>
          </w:tcPr>
          <w:p w:rsidR="0035701C" w:rsidRDefault="00FB561B">
            <w:pPr>
              <w:jc w:val="center"/>
              <w:rPr>
                <w:sz w:val="16"/>
              </w:rPr>
            </w:pPr>
            <w:r>
              <w:rPr>
                <w:sz w:val="16"/>
              </w:rPr>
              <w:t>3A</w:t>
            </w:r>
          </w:p>
        </w:tc>
        <w:tc>
          <w:tcPr>
            <w:tcW w:w="12000" w:type="dxa"/>
            <w:shd w:val="clear" w:color="auto" w:fill="C0C0C0"/>
            <w:tcMar>
              <w:top w:w="20" w:type="dxa"/>
              <w:bottom w:w="20" w:type="dxa"/>
            </w:tcMar>
            <w:vAlign w:val="center"/>
          </w:tcPr>
          <w:p w:rsidR="0035701C" w:rsidRDefault="00FB561B">
            <w:pPr>
              <w:jc w:val="center"/>
              <w:rPr>
                <w:sz w:val="16"/>
              </w:rPr>
            </w:pPr>
            <w:r>
              <w:rPr>
                <w:sz w:val="16"/>
              </w:rPr>
              <w:t>3B</w:t>
            </w:r>
          </w:p>
        </w:tc>
        <w:tc>
          <w:tcPr>
            <w:tcW w:w="12000" w:type="dxa"/>
            <w:shd w:val="clear" w:color="auto" w:fill="C0C0C0"/>
            <w:tcMar>
              <w:top w:w="20" w:type="dxa"/>
              <w:bottom w:w="20" w:type="dxa"/>
            </w:tcMar>
            <w:vAlign w:val="center"/>
          </w:tcPr>
          <w:p w:rsidR="0035701C" w:rsidRDefault="00FB561B">
            <w:pPr>
              <w:jc w:val="center"/>
              <w:rPr>
                <w:sz w:val="16"/>
              </w:rPr>
            </w:pPr>
            <w:r>
              <w:rPr>
                <w:sz w:val="16"/>
              </w:rPr>
              <w:t>4A</w:t>
            </w:r>
          </w:p>
        </w:tc>
        <w:tc>
          <w:tcPr>
            <w:tcW w:w="12000" w:type="dxa"/>
            <w:shd w:val="clear" w:color="auto" w:fill="C0C0C0"/>
            <w:tcMar>
              <w:top w:w="20" w:type="dxa"/>
              <w:bottom w:w="20" w:type="dxa"/>
            </w:tcMar>
            <w:vAlign w:val="center"/>
          </w:tcPr>
          <w:p w:rsidR="0035701C" w:rsidRDefault="00FB561B">
            <w:pPr>
              <w:jc w:val="center"/>
              <w:rPr>
                <w:sz w:val="16"/>
              </w:rPr>
            </w:pPr>
            <w:r>
              <w:rPr>
                <w:sz w:val="16"/>
              </w:rPr>
              <w:t>4B</w:t>
            </w:r>
          </w:p>
        </w:tc>
        <w:tc>
          <w:tcPr>
            <w:tcW w:w="12000" w:type="dxa"/>
            <w:shd w:val="clear" w:color="auto" w:fill="C0C0C0"/>
            <w:tcMar>
              <w:top w:w="20" w:type="dxa"/>
              <w:bottom w:w="20" w:type="dxa"/>
            </w:tcMar>
            <w:vAlign w:val="center"/>
          </w:tcPr>
          <w:p w:rsidR="0035701C" w:rsidRDefault="00FB561B">
            <w:pPr>
              <w:jc w:val="center"/>
              <w:rPr>
                <w:sz w:val="16"/>
              </w:rPr>
            </w:pPr>
            <w:r>
              <w:rPr>
                <w:sz w:val="16"/>
              </w:rPr>
              <w:t>4C</w:t>
            </w:r>
          </w:p>
        </w:tc>
        <w:tc>
          <w:tcPr>
            <w:tcW w:w="12000" w:type="dxa"/>
            <w:shd w:val="clear" w:color="auto" w:fill="C0C0C0"/>
            <w:tcMar>
              <w:top w:w="20" w:type="dxa"/>
              <w:bottom w:w="20" w:type="dxa"/>
            </w:tcMar>
            <w:vAlign w:val="center"/>
          </w:tcPr>
          <w:p w:rsidR="0035701C" w:rsidRDefault="00FB561B">
            <w:pPr>
              <w:jc w:val="center"/>
              <w:rPr>
                <w:sz w:val="16"/>
              </w:rPr>
            </w:pPr>
            <w:r>
              <w:rPr>
                <w:sz w:val="16"/>
              </w:rPr>
              <w:t>5A</w:t>
            </w:r>
          </w:p>
        </w:tc>
        <w:tc>
          <w:tcPr>
            <w:tcW w:w="12000" w:type="dxa"/>
            <w:shd w:val="clear" w:color="auto" w:fill="C0C0C0"/>
            <w:tcMar>
              <w:top w:w="20" w:type="dxa"/>
              <w:bottom w:w="20" w:type="dxa"/>
            </w:tcMar>
            <w:vAlign w:val="center"/>
          </w:tcPr>
          <w:p w:rsidR="0035701C" w:rsidRDefault="00FB561B">
            <w:pPr>
              <w:jc w:val="center"/>
              <w:rPr>
                <w:sz w:val="16"/>
              </w:rPr>
            </w:pPr>
            <w:r>
              <w:rPr>
                <w:sz w:val="16"/>
              </w:rPr>
              <w:t>5B</w:t>
            </w:r>
          </w:p>
        </w:tc>
        <w:tc>
          <w:tcPr>
            <w:tcW w:w="12000" w:type="dxa"/>
            <w:shd w:val="clear" w:color="auto" w:fill="C0C0C0"/>
            <w:tcMar>
              <w:top w:w="20" w:type="dxa"/>
              <w:bottom w:w="20" w:type="dxa"/>
            </w:tcMar>
            <w:vAlign w:val="center"/>
          </w:tcPr>
          <w:p w:rsidR="0035701C" w:rsidRDefault="00FB561B">
            <w:pPr>
              <w:jc w:val="center"/>
              <w:rPr>
                <w:sz w:val="16"/>
              </w:rPr>
            </w:pPr>
            <w:r>
              <w:rPr>
                <w:sz w:val="16"/>
              </w:rPr>
              <w:t>5C</w:t>
            </w:r>
          </w:p>
        </w:tc>
        <w:tc>
          <w:tcPr>
            <w:tcW w:w="12000" w:type="dxa"/>
            <w:shd w:val="clear" w:color="auto" w:fill="C0C0C0"/>
            <w:tcMar>
              <w:top w:w="20" w:type="dxa"/>
              <w:bottom w:w="20" w:type="dxa"/>
            </w:tcMar>
            <w:vAlign w:val="center"/>
          </w:tcPr>
          <w:p w:rsidR="0035701C" w:rsidRDefault="00FB561B">
            <w:pPr>
              <w:jc w:val="center"/>
              <w:rPr>
                <w:sz w:val="16"/>
              </w:rPr>
            </w:pPr>
            <w:r>
              <w:rPr>
                <w:sz w:val="16"/>
              </w:rPr>
              <w:t>5D</w:t>
            </w:r>
          </w:p>
        </w:tc>
        <w:tc>
          <w:tcPr>
            <w:tcW w:w="12000" w:type="dxa"/>
            <w:shd w:val="clear" w:color="auto" w:fill="C0C0C0"/>
            <w:tcMar>
              <w:top w:w="20" w:type="dxa"/>
              <w:bottom w:w="20" w:type="dxa"/>
            </w:tcMar>
            <w:vAlign w:val="center"/>
          </w:tcPr>
          <w:p w:rsidR="0035701C" w:rsidRDefault="00FB561B">
            <w:pPr>
              <w:jc w:val="center"/>
              <w:rPr>
                <w:sz w:val="16"/>
              </w:rPr>
            </w:pPr>
            <w:r>
              <w:rPr>
                <w:sz w:val="16"/>
              </w:rPr>
              <w:t>5E</w:t>
            </w:r>
          </w:p>
        </w:tc>
        <w:tc>
          <w:tcPr>
            <w:tcW w:w="12000" w:type="dxa"/>
            <w:shd w:val="clear" w:color="auto" w:fill="C0C0C0"/>
            <w:tcMar>
              <w:top w:w="20" w:type="dxa"/>
              <w:bottom w:w="20" w:type="dxa"/>
            </w:tcMar>
            <w:vAlign w:val="center"/>
          </w:tcPr>
          <w:p w:rsidR="0035701C" w:rsidRDefault="00FB561B">
            <w:pPr>
              <w:jc w:val="center"/>
              <w:rPr>
                <w:sz w:val="16"/>
              </w:rPr>
            </w:pPr>
            <w:r>
              <w:rPr>
                <w:sz w:val="16"/>
              </w:rPr>
              <w:t>6A</w:t>
            </w:r>
          </w:p>
        </w:tc>
        <w:tc>
          <w:tcPr>
            <w:tcW w:w="12000" w:type="dxa"/>
            <w:shd w:val="clear" w:color="auto" w:fill="C0C0C0"/>
            <w:tcMar>
              <w:top w:w="20" w:type="dxa"/>
              <w:bottom w:w="20" w:type="dxa"/>
            </w:tcMar>
            <w:vAlign w:val="center"/>
          </w:tcPr>
          <w:p w:rsidR="0035701C" w:rsidRDefault="00FB561B">
            <w:pPr>
              <w:jc w:val="center"/>
              <w:rPr>
                <w:sz w:val="16"/>
              </w:rPr>
            </w:pPr>
            <w:r>
              <w:rPr>
                <w:sz w:val="16"/>
              </w:rPr>
              <w:t>6B</w:t>
            </w:r>
          </w:p>
        </w:tc>
        <w:tc>
          <w:tcPr>
            <w:tcW w:w="12000" w:type="dxa"/>
            <w:shd w:val="clear" w:color="auto" w:fill="C0C0C0"/>
            <w:tcMar>
              <w:top w:w="20" w:type="dxa"/>
              <w:bottom w:w="20" w:type="dxa"/>
            </w:tcMar>
            <w:vAlign w:val="center"/>
          </w:tcPr>
          <w:p w:rsidR="0035701C" w:rsidRDefault="00FB561B">
            <w:pPr>
              <w:jc w:val="center"/>
              <w:rPr>
                <w:sz w:val="16"/>
              </w:rPr>
            </w:pPr>
            <w:r>
              <w:rPr>
                <w:sz w:val="16"/>
              </w:rPr>
              <w:t>6C</w:t>
            </w:r>
          </w:p>
        </w:tc>
        <w:tc>
          <w:tcPr>
            <w:tcW w:w="12000" w:type="dxa"/>
            <w:shd w:val="clear" w:color="auto" w:fill="C0C0C0"/>
            <w:tcMar>
              <w:top w:w="20" w:type="dxa"/>
              <w:bottom w:w="20" w:type="dxa"/>
            </w:tcMar>
            <w:vAlign w:val="center"/>
          </w:tcPr>
          <w:p w:rsidR="0035701C" w:rsidRDefault="00FB561B">
            <w:pPr>
              <w:jc w:val="center"/>
              <w:rPr>
                <w:sz w:val="16"/>
              </w:rPr>
            </w:pPr>
            <w:r>
              <w:rPr>
                <w:sz w:val="16"/>
              </w:rPr>
              <w:t>Environnement</w:t>
            </w:r>
          </w:p>
        </w:tc>
        <w:tc>
          <w:tcPr>
            <w:tcW w:w="12000" w:type="dxa"/>
            <w:shd w:val="clear" w:color="auto" w:fill="C0C0C0"/>
            <w:tcMar>
              <w:top w:w="20" w:type="dxa"/>
              <w:bottom w:w="20" w:type="dxa"/>
            </w:tcMar>
            <w:vAlign w:val="center"/>
          </w:tcPr>
          <w:p w:rsidR="0035701C" w:rsidRDefault="00FB561B">
            <w:pPr>
              <w:jc w:val="center"/>
              <w:rPr>
                <w:sz w:val="16"/>
              </w:rPr>
            </w:pPr>
            <w:r>
              <w:rPr>
                <w:sz w:val="16"/>
              </w:rPr>
              <w:t>Atténuation des changements climatiques et adaptation à ces changements</w:t>
            </w:r>
          </w:p>
        </w:tc>
        <w:tc>
          <w:tcPr>
            <w:tcW w:w="12000" w:type="dxa"/>
            <w:shd w:val="clear" w:color="auto" w:fill="C0C0C0"/>
            <w:tcMar>
              <w:top w:w="20" w:type="dxa"/>
              <w:bottom w:w="20" w:type="dxa"/>
            </w:tcMar>
            <w:vAlign w:val="center"/>
          </w:tcPr>
          <w:p w:rsidR="0035701C" w:rsidRDefault="00FB561B">
            <w:pPr>
              <w:jc w:val="center"/>
              <w:rPr>
                <w:sz w:val="16"/>
              </w:rPr>
            </w:pPr>
            <w:r>
              <w:rPr>
                <w:sz w:val="16"/>
              </w:rPr>
              <w:t>Innovation</w:t>
            </w: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01-Protéger le périmètre agricole et forestier</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02-Mobiliser le foncier agricole, forestier et rural </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03-Equiper le foncier agricole, forestier et rural </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04-Sensibiliser, communiquer et Eduquer sur les produits et savoir-faire locaux </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05-Professionnaliser par la formation, des agriculteurs, des sylviculteurs et des entrepreneurs en milieu rural </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06-Diffuser les connaissances issues de R&amp;D par la formation et l'appui technique </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07-Maintenir, augmenter le nombre d'actifs agricoles et redynamiser les  transmissions</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08-Améliorer le revenu des agriculteurs par le développement de l'outil de production et la diversification des activités</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09-Accroître et élargir la production et la transformation pour répondre à la demande et augmenter les parts du marché local</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10-Moderniser les infrastructures des exploitations </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11-Accroître la capacité d'investissement en développant les outils d'ingénierie financière </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12-Favoriser une utilisation efficace de l’énergie et de la production d’énergie renouvelable</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13-Encourager la </w:t>
            </w:r>
            <w:r>
              <w:rPr>
                <w:sz w:val="16"/>
              </w:rPr>
              <w:t>restructuration des unités d’élevage et favoriser la reconquête et la gestion des parcours pastoraux</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14-Pérenniser l'arboriculture et développer les cultures pérennes</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15-Compenser les handicaps naturels liés à la montagne, au climat et à l'insularité </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16-Accroître la contribution de l’agriculture à la valorisation du patrimoine naturel, au maintien de la biodiversité</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17-Gérer les risques </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18-Poursuivre et consolider les actions de Recherche et Développement</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19-Soutenir les démarches de qualité, valoriser les liens produits/Terroirs  et développer la qualité </w:t>
            </w:r>
            <w:r>
              <w:rPr>
                <w:sz w:val="16"/>
              </w:rPr>
              <w:t>environnementale</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20-Renforcer la promotion et la commercialisation des produits sur le marché local, national et international </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21-Promouvoir les actions collectives et l’organisation économique des </w:t>
            </w:r>
            <w:r>
              <w:rPr>
                <w:sz w:val="16"/>
              </w:rPr>
              <w:t>producteurs (agriculteurs, sylviculteurs</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22-Favoriser la diversification des productions par l'innovation technologique et l'émergence de nouveaux produits </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23-Favoriser le regroupement foncier et économique des propriétaires forestiers </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24-Développer la polyvalence dans l’usage des sols  et notamment les pratiques sylvo-pastorales</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25-Développer la sylviculture en lien avec le stockage du carbone et la biodiversité, améliorer l’exploitation forestière </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26-Accroître la compétitivité et les usages des produits de la forêt </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27-Susciter, accompagner l'émergence de dynamique territoriale de projet </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28-Accompagner l'animation territoriale et l'ingénierie, notamment sur le foncier </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29-Favoriser la coopération, l'innovation organisationnelle et la constitution de réseaux </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30-Favoriser les approches du développement endogène visant à la valorisation des ressources</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31-Développer la mise en place des services essentiels et l'accueil en milieu rural </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32-Préserver le bon état de l'environnement, assurer le renouvellement des ressources naturelles et prévenir le risque incendie </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 xml:space="preserve">33-Maintenir une occupation du territoire et favoriser le lien social </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r>
      <w:tr w:rsidR="0035701C">
        <w:tc>
          <w:tcPr>
            <w:tcW w:w="12000" w:type="dxa"/>
            <w:shd w:val="clear" w:color="auto" w:fill="FFFFFF"/>
            <w:tcMar>
              <w:top w:w="20" w:type="dxa"/>
              <w:bottom w:w="20" w:type="dxa"/>
            </w:tcMar>
            <w:vAlign w:val="bottom"/>
          </w:tcPr>
          <w:p w:rsidR="0035701C" w:rsidRDefault="00FB561B">
            <w:pPr>
              <w:jc w:val="left"/>
              <w:rPr>
                <w:sz w:val="16"/>
              </w:rPr>
            </w:pPr>
            <w:r>
              <w:rPr>
                <w:sz w:val="16"/>
              </w:rPr>
              <w:t>34-Favoriser un équilibre entre le tourisme et les autres secteurs  économiques</w:t>
            </w: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35701C">
            <w:pPr>
              <w:jc w:val="center"/>
              <w:rPr>
                <w:sz w:val="16"/>
              </w:rP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FB561B">
            <w:pPr>
              <w:jc w:val="center"/>
            </w:pPr>
            <w:r>
              <w:rPr>
                <w:b/>
                <w:sz w:val="16"/>
              </w:rPr>
              <w:t>X</w:t>
            </w: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c>
          <w:tcPr>
            <w:tcW w:w="12000" w:type="dxa"/>
            <w:shd w:val="clear" w:color="auto" w:fill="FFFFFF"/>
            <w:tcMar>
              <w:top w:w="20" w:type="dxa"/>
              <w:bottom w:w="20" w:type="dxa"/>
            </w:tcMar>
            <w:vAlign w:val="bottom"/>
          </w:tcPr>
          <w:p w:rsidR="0035701C" w:rsidRDefault="0035701C">
            <w:pPr>
              <w:jc w:val="center"/>
            </w:pPr>
          </w:p>
        </w:tc>
      </w:tr>
    </w:tbl>
    <w:p w:rsidR="0035701C" w:rsidRDefault="0035701C">
      <w:pPr>
        <w:sectPr w:rsidR="0035701C">
          <w:pgSz w:w="15840" w:h="12240" w:orient="landscape"/>
          <w:pgMar w:top="900" w:right="900" w:bottom="900" w:left="900" w:header="720" w:footer="720" w:gutter="0"/>
          <w:cols w:space="720"/>
        </w:sectPr>
      </w:pPr>
    </w:p>
    <w:p w:rsidR="0035701C" w:rsidRDefault="00FB561B">
      <w:pPr>
        <w:pStyle w:val="Titre3"/>
        <w:jc w:val="left"/>
      </w:pPr>
      <w:bookmarkStart w:id="37" w:name="_Toc256000036"/>
      <w:r>
        <w:t xml:space="preserve">01-Protéger le périmètre </w:t>
      </w:r>
      <w:r>
        <w:t>agricole et forestier</w:t>
      </w:r>
      <w:bookmarkEnd w:id="37"/>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FFFFFF"/>
            <w:tcMar>
              <w:top w:w="20" w:type="dxa"/>
              <w:bottom w:w="20" w:type="dxa"/>
            </w:tcMar>
            <w:vAlign w:val="bottom"/>
          </w:tcPr>
          <w:p w:rsidR="0035701C" w:rsidRDefault="00FB561B" w:rsidP="00FB561B">
            <w:pPr>
              <w:numPr>
                <w:ilvl w:val="0"/>
                <w:numId w:val="46"/>
              </w:numPr>
            </w:pPr>
            <w:r>
              <w:t>6B) Promouvoir le développement local dans les zones rurales</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FFFFFF"/>
            <w:tcMar>
              <w:top w:w="20" w:type="dxa"/>
              <w:bottom w:w="20" w:type="dxa"/>
            </w:tcMar>
            <w:vAlign w:val="bottom"/>
          </w:tcPr>
          <w:p w:rsidR="0035701C" w:rsidRDefault="00FB561B" w:rsidP="00FB561B">
            <w:pPr>
              <w:numPr>
                <w:ilvl w:val="0"/>
                <w:numId w:val="47"/>
              </w:numPr>
            </w:pPr>
            <w:r>
              <w:t>Environnement</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 xml:space="preserve">Il s’agit d’adopter comme principe de précaution et comme point de départ à la mise en </w:t>
            </w:r>
            <w:r>
              <w:rPr>
                <w:szCs w:val="24"/>
              </w:rPr>
              <w:t>œuvre de la politique foncière, la reconnaissance et la protection de l’ensemble de ces espaces à vocation agricole et forestière ; de fixer comme socle normatif un niveau de protection élevé, en incitant à la mise en œuvre d’outils fonciers (diagnostic ag</w:t>
            </w:r>
            <w:r>
              <w:rPr>
                <w:szCs w:val="24"/>
              </w:rPr>
              <w:t>ricole, PAEN, ZAP, AFP…etc).</w:t>
            </w:r>
          </w:p>
          <w:p w:rsidR="0035701C" w:rsidRDefault="0035701C">
            <w:pPr>
              <w:pStyle w:val="Corpsdetexte"/>
            </w:pPr>
          </w:p>
        </w:tc>
      </w:tr>
    </w:tbl>
    <w:p w:rsidR="0035701C" w:rsidRDefault="00FB561B">
      <w:pPr>
        <w:pStyle w:val="Titre3"/>
        <w:jc w:val="left"/>
      </w:pPr>
      <w:bookmarkStart w:id="38" w:name="_Toc256000037"/>
      <w:r>
        <w:t>02-Mobiliser le foncier agricole, forestier et rural</w:t>
      </w:r>
      <w:bookmarkEnd w:id="38"/>
      <w:r>
        <w:t xml:space="preserve"> </w:t>
      </w:r>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48"/>
              </w:numPr>
            </w:pPr>
            <w:r>
              <w:t xml:space="preserve">2A) Améliorer les résultats économiques de toutes les exploitations agricoles et faciliter la restructuration et la modernisation des </w:t>
            </w:r>
            <w:r>
              <w:t>exploitations agricoles, notamment en vue d'accroître la participation au marché et l'orientation vers le marché ainsi que la diversification agricole</w:t>
            </w:r>
          </w:p>
          <w:p w:rsidR="0035701C" w:rsidRDefault="00FB561B" w:rsidP="00FB561B">
            <w:pPr>
              <w:numPr>
                <w:ilvl w:val="0"/>
                <w:numId w:val="48"/>
              </w:numPr>
            </w:pPr>
            <w:r>
              <w:t>4C) Prévenir l'érosion des sols et améliorer la gestion des sols</w:t>
            </w:r>
          </w:p>
          <w:p w:rsidR="0035701C" w:rsidRDefault="00FB561B" w:rsidP="00FB561B">
            <w:pPr>
              <w:numPr>
                <w:ilvl w:val="0"/>
                <w:numId w:val="48"/>
              </w:numPr>
            </w:pPr>
            <w:r>
              <w:t xml:space="preserve">6B) Promouvoir le développement local </w:t>
            </w:r>
            <w:r>
              <w:t>dans les zones rurales</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49"/>
              </w:numPr>
            </w:pPr>
            <w:r>
              <w:t>Environnement</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 xml:space="preserve">Les dispositions de protection des périmètres agricoles appellent en contrepartie des initiatives effectives en matière de la mobilisation et de l’aménagement du foncier rural et </w:t>
            </w:r>
            <w:r>
              <w:rPr>
                <w:szCs w:val="24"/>
              </w:rPr>
              <w:t>forestier. Il s’agit notamment de contribuer à :</w:t>
            </w:r>
          </w:p>
          <w:p w:rsidR="0035701C" w:rsidRDefault="00FB561B" w:rsidP="00FB561B">
            <w:pPr>
              <w:numPr>
                <w:ilvl w:val="0"/>
                <w:numId w:val="50"/>
              </w:numPr>
              <w:spacing w:before="240" w:after="0"/>
              <w:ind w:hanging="210"/>
              <w:jc w:val="left"/>
              <w:rPr>
                <w:szCs w:val="24"/>
              </w:rPr>
            </w:pPr>
            <w:r>
              <w:rPr>
                <w:szCs w:val="24"/>
              </w:rPr>
              <w:t>La réalisation de remembrement dans les zones agricoles,</w:t>
            </w:r>
          </w:p>
          <w:p w:rsidR="0035701C" w:rsidRDefault="00FB561B" w:rsidP="00FB561B">
            <w:pPr>
              <w:numPr>
                <w:ilvl w:val="0"/>
                <w:numId w:val="50"/>
              </w:numPr>
              <w:spacing w:before="0" w:after="0"/>
              <w:ind w:hanging="210"/>
              <w:jc w:val="left"/>
              <w:rPr>
                <w:szCs w:val="24"/>
              </w:rPr>
            </w:pPr>
            <w:r>
              <w:rPr>
                <w:szCs w:val="24"/>
              </w:rPr>
              <w:t xml:space="preserve">L’amplification de la politique de création d’Associations Foncières initiée ces dernières années (cf. carte ci-dessous), en promouvant notamment les </w:t>
            </w:r>
            <w:r>
              <w:rPr>
                <w:szCs w:val="24"/>
              </w:rPr>
              <w:t>approches multifonctionnelles, inclusives agriculture/forêt, et en mobilisant l’outil financier (FFAF) créé avec la CADEC.</w:t>
            </w:r>
          </w:p>
          <w:p w:rsidR="0035701C" w:rsidRDefault="00FB561B" w:rsidP="00FB561B">
            <w:pPr>
              <w:numPr>
                <w:ilvl w:val="0"/>
                <w:numId w:val="50"/>
              </w:numPr>
              <w:spacing w:before="0" w:after="0"/>
              <w:ind w:hanging="210"/>
              <w:jc w:val="left"/>
              <w:rPr>
                <w:szCs w:val="24"/>
              </w:rPr>
            </w:pPr>
            <w:r>
              <w:rPr>
                <w:szCs w:val="24"/>
              </w:rPr>
              <w:t>Multiplication des documents de planification forestière (Plan Simple de Gestion, plan de développement de massif…),</w:t>
            </w:r>
          </w:p>
          <w:p w:rsidR="0035701C" w:rsidRDefault="00FB561B" w:rsidP="00FB561B">
            <w:pPr>
              <w:numPr>
                <w:ilvl w:val="0"/>
                <w:numId w:val="50"/>
              </w:numPr>
              <w:spacing w:before="0" w:after="0"/>
              <w:ind w:hanging="210"/>
              <w:jc w:val="left"/>
              <w:rPr>
                <w:szCs w:val="24"/>
              </w:rPr>
            </w:pPr>
            <w:r>
              <w:rPr>
                <w:szCs w:val="24"/>
              </w:rPr>
              <w:t>Mise en place d’</w:t>
            </w:r>
            <w:r>
              <w:rPr>
                <w:szCs w:val="24"/>
              </w:rPr>
              <w:t>un cadre régional à la gestion et la coordination des Associations Foncières (Fédération des AF),</w:t>
            </w:r>
          </w:p>
          <w:p w:rsidR="0035701C" w:rsidRDefault="00FB561B" w:rsidP="00FB561B">
            <w:pPr>
              <w:numPr>
                <w:ilvl w:val="0"/>
                <w:numId w:val="50"/>
              </w:numPr>
              <w:spacing w:before="0" w:after="0"/>
              <w:ind w:hanging="210"/>
              <w:jc w:val="left"/>
              <w:rPr>
                <w:szCs w:val="24"/>
              </w:rPr>
            </w:pPr>
            <w:r>
              <w:rPr>
                <w:szCs w:val="24"/>
              </w:rPr>
              <w:t>Mise en place d’une procédure de récupération de terres incultes identique aux DOM, la primauté étant toutefois donnée aux démarches participatives de type As</w:t>
            </w:r>
            <w:r>
              <w:rPr>
                <w:szCs w:val="24"/>
              </w:rPr>
              <w:t>sociations Foncières,</w:t>
            </w:r>
          </w:p>
          <w:p w:rsidR="0035701C" w:rsidRDefault="00FB561B" w:rsidP="00FB561B">
            <w:pPr>
              <w:numPr>
                <w:ilvl w:val="0"/>
                <w:numId w:val="50"/>
              </w:numPr>
              <w:spacing w:before="0" w:after="240"/>
              <w:ind w:hanging="210"/>
              <w:jc w:val="left"/>
              <w:rPr>
                <w:szCs w:val="24"/>
              </w:rPr>
            </w:pPr>
            <w:r>
              <w:rPr>
                <w:szCs w:val="24"/>
              </w:rPr>
              <w:t>Intégration de la problématique de l’habitat par intervention concomitante de l’EPF et de la restructuration du foncier agricole.</w:t>
            </w:r>
          </w:p>
          <w:p w:rsidR="0035701C" w:rsidRDefault="00FB561B">
            <w:pPr>
              <w:spacing w:before="240" w:after="240"/>
              <w:jc w:val="left"/>
              <w:rPr>
                <w:szCs w:val="24"/>
              </w:rPr>
            </w:pPr>
            <w:r>
              <w:rPr>
                <w:szCs w:val="24"/>
              </w:rPr>
              <w:t xml:space="preserve">Un volet spécifique devra concerner les problématiques du foncier forestier : sa planification, sa </w:t>
            </w:r>
            <w:r>
              <w:rPr>
                <w:szCs w:val="24"/>
              </w:rPr>
              <w:t>mobilisation et son exploitation.</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3"/>
        <w:jc w:val="left"/>
      </w:pPr>
      <w:bookmarkStart w:id="39" w:name="_Toc256000038"/>
      <w:r>
        <w:t>03-Equiper le foncier agricole, forestier et rural</w:t>
      </w:r>
      <w:bookmarkEnd w:id="39"/>
      <w:r>
        <w:t xml:space="preserve"> </w:t>
      </w:r>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51"/>
              </w:numPr>
            </w:pPr>
            <w:r>
              <w:t xml:space="preserve">2A) Améliorer les résultats économiques de toutes les exploitations agricoles et faciliter la restructuration et la modernisation des </w:t>
            </w:r>
            <w:r>
              <w:t>exploitations agricoles, notamment en vue d'accroître la participation au marché et l'orientation vers le marché ainsi que la diversification agricole</w:t>
            </w:r>
          </w:p>
          <w:p w:rsidR="0035701C" w:rsidRDefault="00FB561B" w:rsidP="00FB561B">
            <w:pPr>
              <w:numPr>
                <w:ilvl w:val="0"/>
                <w:numId w:val="51"/>
              </w:numPr>
            </w:pPr>
            <w:r>
              <w:t>4C) Prévenir l'érosion des sols et améliorer la gestion des sols</w:t>
            </w:r>
          </w:p>
          <w:p w:rsidR="0035701C" w:rsidRDefault="00FB561B" w:rsidP="00FB561B">
            <w:pPr>
              <w:numPr>
                <w:ilvl w:val="0"/>
                <w:numId w:val="51"/>
              </w:numPr>
            </w:pPr>
            <w:r>
              <w:t>5A) Développer l'utilisation efficace de</w:t>
            </w:r>
            <w:r>
              <w:t xml:space="preserve"> l'eau dans l'agriculture</w:t>
            </w:r>
          </w:p>
          <w:p w:rsidR="0035701C" w:rsidRDefault="00FB561B" w:rsidP="00FB561B">
            <w:pPr>
              <w:numPr>
                <w:ilvl w:val="0"/>
                <w:numId w:val="51"/>
              </w:numPr>
            </w:pPr>
            <w:r>
              <w:t>5E) Promouvoir la conservation et la séquestration du carbone dans les secteurs de l'agriculture et de la foresterie</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52"/>
              </w:numPr>
            </w:pPr>
            <w:r>
              <w:t>Environnement</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Il est nécessaire que les terrains agricoles protégés dans les</w:t>
            </w:r>
            <w:r>
              <w:rPr>
                <w:szCs w:val="24"/>
              </w:rPr>
              <w:t xml:space="preserve"> périmètres agricoles ou concernés par des initiatives collectives (Associations Foncières) fassent l’objet d’une politique d’équipement prioritaire et avec un niveau de soutien majoré : travaux d’équipement hydraulique, réhabilitation de vergers, desserte</w:t>
            </w:r>
            <w:r>
              <w:rPr>
                <w:szCs w:val="24"/>
              </w:rPr>
              <w:t>, clôtures périmètrales.</w:t>
            </w:r>
          </w:p>
          <w:p w:rsidR="0035701C" w:rsidRDefault="0035701C">
            <w:pPr>
              <w:pStyle w:val="Corpsdetexte"/>
            </w:pPr>
          </w:p>
        </w:tc>
      </w:tr>
    </w:tbl>
    <w:p w:rsidR="0035701C" w:rsidRDefault="00FB561B">
      <w:pPr>
        <w:pStyle w:val="Titre3"/>
        <w:jc w:val="left"/>
      </w:pPr>
      <w:bookmarkStart w:id="40" w:name="_Toc256000039"/>
      <w:r>
        <w:t>04-Sensibiliser, communiquer et Eduquer sur les produits et savoir-faire locaux</w:t>
      </w:r>
      <w:bookmarkEnd w:id="40"/>
      <w:r>
        <w:t xml:space="preserve"> </w:t>
      </w:r>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53"/>
              </w:numPr>
            </w:pPr>
            <w:r>
              <w:t>1A) Favoriser l'innovation, la coopération et le développement de la base de connaissances dans les zones rurales</w:t>
            </w:r>
          </w:p>
          <w:p w:rsidR="0035701C" w:rsidRDefault="00FB561B" w:rsidP="00FB561B">
            <w:pPr>
              <w:numPr>
                <w:ilvl w:val="0"/>
                <w:numId w:val="53"/>
              </w:numPr>
            </w:pPr>
            <w:r>
              <w:t>2A) Améliorer les résultats économiques de toutes les exploitations agricoles et faciliter la restructuration et la modernisation des exploitations agricoles, notamment en vue d'accroître la participation au marché et l'orientation vers le marché ainsi que</w:t>
            </w:r>
            <w:r>
              <w:t xml:space="preserve"> la diversification agricole</w:t>
            </w:r>
          </w:p>
          <w:p w:rsidR="0035701C" w:rsidRDefault="00FB561B" w:rsidP="00FB561B">
            <w:pPr>
              <w:numPr>
                <w:ilvl w:val="0"/>
                <w:numId w:val="53"/>
              </w:numPr>
            </w:pPr>
            <w:r>
              <w:t>2B) Faciliter l'entrée d'exploitants agricoles suffisamment qualifiés dans le secteur de l'agriculture, et en particulier le renouvellement des générations</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54"/>
              </w:numPr>
            </w:pPr>
            <w:r>
              <w:t>Innovation</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 xml:space="preserve">L’objectif est </w:t>
            </w:r>
            <w:r>
              <w:rPr>
                <w:szCs w:val="24"/>
              </w:rPr>
              <w:t xml:space="preserve">d’encourager, dans la durée, un mouvement vers les métiers de la production primaire (agriculture, exploitation forestière) en sensibilisant et en proposant une offre de formation au jeune public. Cette orientation va de paire avec un véritable changement </w:t>
            </w:r>
            <w:r>
              <w:rPr>
                <w:szCs w:val="24"/>
              </w:rPr>
              <w:t>dans l’accès au foncier (cf. besoins 1, 2 et 3) et avec une amplification des dispositifs de l’installation.</w:t>
            </w:r>
          </w:p>
          <w:p w:rsidR="0035701C" w:rsidRDefault="0035701C">
            <w:pPr>
              <w:pStyle w:val="Corpsdetexte"/>
            </w:pPr>
          </w:p>
        </w:tc>
      </w:tr>
    </w:tbl>
    <w:p w:rsidR="0035701C" w:rsidRDefault="00FB561B">
      <w:pPr>
        <w:pStyle w:val="Titre3"/>
        <w:jc w:val="left"/>
      </w:pPr>
      <w:bookmarkStart w:id="41" w:name="_Toc256000040"/>
      <w:r>
        <w:t>05-Professionnaliser par la formation, des agriculteurs, des sylviculteurs et des entrepreneurs en milieu rural</w:t>
      </w:r>
      <w:bookmarkEnd w:id="41"/>
      <w:r>
        <w:t xml:space="preserve"> </w:t>
      </w:r>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55"/>
              </w:numPr>
            </w:pPr>
            <w:r>
              <w:t>1C) Favoriser l'apprentissage tout au long de la vie et la formation professionnelle dans les secteurs de l'agriculture et de la foresterie</w:t>
            </w:r>
          </w:p>
          <w:p w:rsidR="0035701C" w:rsidRDefault="00FB561B" w:rsidP="00FB561B">
            <w:pPr>
              <w:numPr>
                <w:ilvl w:val="0"/>
                <w:numId w:val="55"/>
              </w:numPr>
            </w:pPr>
            <w:r>
              <w:t xml:space="preserve">2A) Améliorer les résultats économiques de toutes les exploitations agricoles et faciliter la restructuration et la </w:t>
            </w:r>
            <w:r>
              <w:t>modernisation des exploitations agricoles, notamment en vue d'accroître la participation au marché et l'orientation vers le marché ainsi que la diversification agricole</w:t>
            </w:r>
          </w:p>
          <w:p w:rsidR="0035701C" w:rsidRDefault="00FB561B" w:rsidP="00FB561B">
            <w:pPr>
              <w:numPr>
                <w:ilvl w:val="0"/>
                <w:numId w:val="55"/>
              </w:numPr>
            </w:pPr>
            <w:r>
              <w:t>2B) Faciliter l'entrée d'exploitants agricoles suffisamment qualifiés dans le secteur d</w:t>
            </w:r>
            <w:r>
              <w:t>e l'agriculture, et en particulier le renouvellement des générations</w:t>
            </w:r>
          </w:p>
          <w:p w:rsidR="0035701C" w:rsidRDefault="00FB561B" w:rsidP="00FB561B">
            <w:pPr>
              <w:numPr>
                <w:ilvl w:val="0"/>
                <w:numId w:val="55"/>
              </w:numPr>
            </w:pPr>
            <w:r>
              <w:t>3A) Améliorer la compétitivité des producteurs primaires en les intégrant mieux dans la chaîne agroalimentaire au moyen des programmes de qualité, en conférant une valeur ajoutée aux prod</w:t>
            </w:r>
            <w:r>
              <w:t>uits agricoles, et par le biais de la promotion sur les marchés locaux et des circuits d’approvisionnement courts, des groupements de producteurs et des organisations interprofessionnelles</w:t>
            </w:r>
          </w:p>
          <w:p w:rsidR="0035701C" w:rsidRDefault="00FB561B" w:rsidP="00FB561B">
            <w:pPr>
              <w:numPr>
                <w:ilvl w:val="0"/>
                <w:numId w:val="55"/>
              </w:numPr>
            </w:pPr>
            <w:r>
              <w:t>4B) Améliorer la gestion de l'eau, y compris la gestion des engrais</w:t>
            </w:r>
            <w:r>
              <w:t xml:space="preserve"> et des pesticides</w:t>
            </w:r>
          </w:p>
          <w:p w:rsidR="0035701C" w:rsidRDefault="00FB561B" w:rsidP="00FB561B">
            <w:pPr>
              <w:numPr>
                <w:ilvl w:val="0"/>
                <w:numId w:val="55"/>
              </w:numPr>
            </w:pPr>
            <w:r>
              <w:t>5E) Promouvoir la conservation et la séquestration du carbone dans les secteurs de l'agriculture et de la foresterie</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56"/>
              </w:numPr>
            </w:pPr>
            <w:r>
              <w:t>Innovation</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b/>
                <w:bCs/>
                <w:szCs w:val="24"/>
              </w:rPr>
              <w:t>- Description du besoin</w:t>
            </w:r>
          </w:p>
          <w:p w:rsidR="0035701C" w:rsidRDefault="00FB561B">
            <w:pPr>
              <w:spacing w:before="240" w:after="240"/>
              <w:jc w:val="left"/>
              <w:rPr>
                <w:szCs w:val="24"/>
              </w:rPr>
            </w:pPr>
            <w:r>
              <w:rPr>
                <w:szCs w:val="24"/>
              </w:rPr>
              <w:t xml:space="preserve">Le déficit de formation freine </w:t>
            </w:r>
            <w:r>
              <w:rPr>
                <w:szCs w:val="24"/>
              </w:rPr>
              <w:t>l’entrepreneuriat, l’innovation et la compétitivité des acteurs, tout particulièrement en milieu rural.</w:t>
            </w:r>
          </w:p>
          <w:p w:rsidR="0035701C" w:rsidRDefault="00FB561B">
            <w:pPr>
              <w:spacing w:before="240" w:after="240"/>
              <w:jc w:val="left"/>
              <w:rPr>
                <w:szCs w:val="24"/>
              </w:rPr>
            </w:pPr>
            <w:r>
              <w:rPr>
                <w:szCs w:val="24"/>
              </w:rPr>
              <w:t>En outre, la professionnalisation d’un secteur d’activité, par ailleurs vieillissant, doit devenir une priorité sous peine de voir les exploitations pér</w:t>
            </w:r>
            <w:r>
              <w:rPr>
                <w:szCs w:val="24"/>
              </w:rPr>
              <w:t>icliter, mais aussi les techniques traditionnelles disparaître en même temps que s’opérerait une standardisation des productions.</w:t>
            </w:r>
          </w:p>
          <w:p w:rsidR="0035701C" w:rsidRDefault="00FB561B">
            <w:pPr>
              <w:spacing w:before="240" w:after="240"/>
              <w:jc w:val="left"/>
              <w:rPr>
                <w:szCs w:val="24"/>
              </w:rPr>
            </w:pPr>
            <w:r>
              <w:rPr>
                <w:szCs w:val="24"/>
              </w:rPr>
              <w:t>Il apparaît également qu’un des enjeux permettant de remédier à cette situation réside dans l’amélioration du lien entre les b</w:t>
            </w:r>
            <w:r>
              <w:rPr>
                <w:szCs w:val="24"/>
              </w:rPr>
              <w:t>esoins des actifs ruraux et l’offre de formation globale dispensée dans l’île.</w:t>
            </w:r>
          </w:p>
          <w:p w:rsidR="0035701C" w:rsidRDefault="0035701C">
            <w:pPr>
              <w:pStyle w:val="Corpsdetexte"/>
            </w:pPr>
          </w:p>
        </w:tc>
      </w:tr>
    </w:tbl>
    <w:p w:rsidR="0035701C" w:rsidRDefault="00FB561B">
      <w:pPr>
        <w:pStyle w:val="Titre3"/>
        <w:jc w:val="left"/>
      </w:pPr>
      <w:bookmarkStart w:id="42" w:name="_Toc256000041"/>
      <w:r>
        <w:t>06-Diffuser les connaissances issues de R&amp;D par la formation et l'appui technique</w:t>
      </w:r>
      <w:bookmarkEnd w:id="42"/>
      <w:r>
        <w:t xml:space="preserve"> </w:t>
      </w:r>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57"/>
              </w:numPr>
            </w:pPr>
            <w:r>
              <w:t>1A) Favoriser l'innovation, la coopération et le développeme</w:t>
            </w:r>
            <w:r>
              <w:t>nt de la base de connaissances dans les zones rurales</w:t>
            </w:r>
          </w:p>
          <w:p w:rsidR="0035701C" w:rsidRDefault="00FB561B" w:rsidP="00FB561B">
            <w:pPr>
              <w:numPr>
                <w:ilvl w:val="0"/>
                <w:numId w:val="57"/>
              </w:numPr>
            </w:pPr>
            <w:r>
              <w:t>2A) Améliorer les résultats économiques de toutes les exploitations agricoles et faciliter la restructuration et la modernisation des exploitations agricoles, notamment en vue d'accroître la participati</w:t>
            </w:r>
            <w:r>
              <w:t>on au marché et l'orientation vers le marché ainsi que la diversification agricole</w:t>
            </w:r>
          </w:p>
          <w:p w:rsidR="0035701C" w:rsidRDefault="00FB561B" w:rsidP="00FB561B">
            <w:pPr>
              <w:numPr>
                <w:ilvl w:val="0"/>
                <w:numId w:val="57"/>
              </w:numPr>
            </w:pPr>
            <w:r>
              <w:t>3A) Améliorer la compétitivité des producteurs primaires en les intégrant mieux dans la chaîne agroalimentaire au moyen des programmes de qualité, en conférant une valeur aj</w:t>
            </w:r>
            <w:r>
              <w:t>outée aux produits agricoles, et par le biais de la promotion sur les marchés locaux et des circuits d’approvisionnement courts, des groupements de producteurs et des organisations interprofessionnelles</w:t>
            </w:r>
          </w:p>
          <w:p w:rsidR="0035701C" w:rsidRDefault="00FB561B" w:rsidP="00FB561B">
            <w:pPr>
              <w:numPr>
                <w:ilvl w:val="0"/>
                <w:numId w:val="57"/>
              </w:numPr>
            </w:pPr>
            <w:r>
              <w:t>4B) Améliorer la gestion de l'eau, y compris la gesti</w:t>
            </w:r>
            <w:r>
              <w:t>on des engrais et des pesticides</w:t>
            </w:r>
          </w:p>
          <w:p w:rsidR="0035701C" w:rsidRDefault="00FB561B" w:rsidP="00FB561B">
            <w:pPr>
              <w:numPr>
                <w:ilvl w:val="0"/>
                <w:numId w:val="57"/>
              </w:numPr>
            </w:pPr>
            <w:r>
              <w:t>5E) Promouvoir la conservation et la séquestration du carbone dans les secteurs de l'agriculture et de la foresterie</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58"/>
              </w:numPr>
            </w:pPr>
            <w:r>
              <w:t>Environnement</w:t>
            </w:r>
          </w:p>
          <w:p w:rsidR="0035701C" w:rsidRDefault="00FB561B" w:rsidP="00FB561B">
            <w:pPr>
              <w:numPr>
                <w:ilvl w:val="0"/>
                <w:numId w:val="58"/>
              </w:numPr>
            </w:pPr>
            <w:r>
              <w:t xml:space="preserve">Atténuation des changements climatiques et adaptation à ces </w:t>
            </w:r>
            <w:r>
              <w:t>changements</w:t>
            </w:r>
          </w:p>
          <w:p w:rsidR="0035701C" w:rsidRDefault="00FB561B" w:rsidP="00FB561B">
            <w:pPr>
              <w:numPr>
                <w:ilvl w:val="0"/>
                <w:numId w:val="58"/>
              </w:numPr>
            </w:pPr>
            <w:r>
              <w:t>Innovation</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b/>
                <w:bCs/>
                <w:szCs w:val="24"/>
              </w:rPr>
              <w:t>E</w:t>
            </w:r>
            <w:r>
              <w:rPr>
                <w:szCs w:val="24"/>
              </w:rPr>
              <w:t>n aval, des actions de R&amp;D le conseil technique à destination des agriculteurs ou l'appui technique a pour objet d’assurer la meilleure diffusion de la connaissance et de l’innovation auprès des exploitants. Dans certai</w:t>
            </w:r>
            <w:r>
              <w:rPr>
                <w:szCs w:val="24"/>
              </w:rPr>
              <w:t>ns secteurs, il s’est parfois cantonné à un rôle de palliatif au manque de formation initiale des exploitants et ce, en dépit de techniciens compétents. Naturellement, l’efficience de cet appui technique pourra être améliorée dès lors que la formation init</w:t>
            </w:r>
            <w:r>
              <w:rPr>
                <w:szCs w:val="24"/>
              </w:rPr>
              <w:t xml:space="preserve">iale des exploitants aura progressé. L’amélioration de l’appui technique réside également sur la définition ou la mise à jour des référentiels techniques et la coordination de l’action de l’ensemble des intervenants des organismes amenés à agir auprès des </w:t>
            </w:r>
            <w:r>
              <w:rPr>
                <w:szCs w:val="24"/>
              </w:rPr>
              <w:t>exploitants.</w:t>
            </w:r>
          </w:p>
          <w:p w:rsidR="0035701C" w:rsidRDefault="0035701C">
            <w:pPr>
              <w:pStyle w:val="Corpsdetexte"/>
            </w:pPr>
          </w:p>
        </w:tc>
      </w:tr>
    </w:tbl>
    <w:p w:rsidR="0035701C" w:rsidRDefault="00FB561B">
      <w:pPr>
        <w:pStyle w:val="Titre3"/>
        <w:jc w:val="left"/>
      </w:pPr>
      <w:bookmarkStart w:id="43" w:name="_Toc256000042"/>
      <w:r>
        <w:t>07-Maintenir, augmenter le nombre d'actifs agricoles et redynamiser les  transmissions</w:t>
      </w:r>
      <w:bookmarkEnd w:id="43"/>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59"/>
              </w:numPr>
            </w:pPr>
            <w:r>
              <w:t xml:space="preserve">2B) Faciliter l'entrée d'exploitants agricoles suffisamment qualifiés dans le secteur de l'agriculture, et en particulier </w:t>
            </w:r>
            <w:r>
              <w:t>le renouvellement des générations</w:t>
            </w:r>
          </w:p>
        </w:tc>
      </w:tr>
    </w:tbl>
    <w:p w:rsidR="0035701C" w:rsidRDefault="00FB561B">
      <w:r>
        <w:t>Objectifs transversaux</w:t>
      </w:r>
    </w:p>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Les conditions qui permettent et favorisent l’installation d’activités en milieu rural sont multiples : sociales, culturelles et naturellement, économiques.</w:t>
            </w:r>
          </w:p>
          <w:p w:rsidR="0035701C" w:rsidRDefault="00FB561B">
            <w:pPr>
              <w:spacing w:before="240" w:after="240"/>
              <w:jc w:val="left"/>
              <w:rPr>
                <w:szCs w:val="24"/>
              </w:rPr>
            </w:pPr>
            <w:r>
              <w:rPr>
                <w:szCs w:val="24"/>
              </w:rPr>
              <w:t xml:space="preserve">Le constat mène à considérer </w:t>
            </w:r>
            <w:r>
              <w:rPr>
                <w:szCs w:val="24"/>
              </w:rPr>
              <w:t xml:space="preserve">que sur la dernière décennie (2000-2010), la population agricole insulaire a enregistré une perte d’effectif de près de 20% (21% au niveau national). Les installations sont parfois tardives et la population présente globalement un profil déséquilibré vers </w:t>
            </w:r>
            <w:r>
              <w:rPr>
                <w:szCs w:val="24"/>
              </w:rPr>
              <w:t>les classes d’âge les plus âgées.</w:t>
            </w:r>
          </w:p>
          <w:p w:rsidR="0035701C" w:rsidRDefault="00FB561B">
            <w:pPr>
              <w:spacing w:before="240" w:after="240"/>
              <w:jc w:val="left"/>
              <w:rPr>
                <w:szCs w:val="24"/>
              </w:rPr>
            </w:pPr>
            <w:r>
              <w:rPr>
                <w:szCs w:val="24"/>
              </w:rPr>
              <w:t>L’ambition de parvenir, à terme, à inverser la tendance de réduction de la population agricole, même si elle semble suivre une évolution sociétale, impose plusieurs défis : celui de créer des opportunités par une mobilisat</w:t>
            </w:r>
            <w:r>
              <w:rPr>
                <w:szCs w:val="24"/>
              </w:rPr>
              <w:t>ion accrue du foncier, d’attirer une nouvelle génération vers les métiers de l’agriculture et de renforcer l’accompagnement du processus d’installation.</w:t>
            </w:r>
          </w:p>
          <w:p w:rsidR="0035701C" w:rsidRDefault="00FB561B">
            <w:pPr>
              <w:spacing w:before="240" w:after="240"/>
              <w:jc w:val="left"/>
              <w:rPr>
                <w:szCs w:val="24"/>
              </w:rPr>
            </w:pPr>
            <w:r>
              <w:rPr>
                <w:szCs w:val="24"/>
              </w:rPr>
              <w:t>Au regard des résultats constatés en matière d’installation agricole sur le programme 2007-2013, soit 2</w:t>
            </w:r>
            <w:r>
              <w:rPr>
                <w:szCs w:val="24"/>
              </w:rPr>
              <w:t>80 installations de jeunes agriculteurs représentant environ 10% de la population agricole professionnelle, il convient de redynamiser ces démarches. Cette stratégie se décline selon plusieurs axes :</w:t>
            </w:r>
          </w:p>
          <w:p w:rsidR="0035701C" w:rsidRDefault="00FB561B" w:rsidP="00FB561B">
            <w:pPr>
              <w:numPr>
                <w:ilvl w:val="0"/>
                <w:numId w:val="60"/>
              </w:numPr>
              <w:spacing w:before="240" w:after="0"/>
              <w:ind w:hanging="210"/>
              <w:jc w:val="left"/>
              <w:rPr>
                <w:szCs w:val="24"/>
              </w:rPr>
            </w:pPr>
            <w:r>
              <w:rPr>
                <w:szCs w:val="24"/>
              </w:rPr>
              <w:t>Accentuer la détection</w:t>
            </w:r>
          </w:p>
          <w:p w:rsidR="0035701C" w:rsidRDefault="00FB561B" w:rsidP="00FB561B">
            <w:pPr>
              <w:numPr>
                <w:ilvl w:val="0"/>
                <w:numId w:val="60"/>
              </w:numPr>
              <w:spacing w:before="0" w:after="0"/>
              <w:ind w:hanging="210"/>
              <w:jc w:val="left"/>
              <w:rPr>
                <w:szCs w:val="24"/>
              </w:rPr>
            </w:pPr>
            <w:r>
              <w:rPr>
                <w:szCs w:val="24"/>
              </w:rPr>
              <w:t>Ancrer les démarches d’installati</w:t>
            </w:r>
            <w:r>
              <w:rPr>
                <w:szCs w:val="24"/>
              </w:rPr>
              <w:t>on dans les territoires</w:t>
            </w:r>
          </w:p>
          <w:p w:rsidR="0035701C" w:rsidRDefault="00FB561B" w:rsidP="00FB561B">
            <w:pPr>
              <w:numPr>
                <w:ilvl w:val="0"/>
                <w:numId w:val="60"/>
              </w:numPr>
              <w:spacing w:before="0" w:after="0"/>
              <w:ind w:hanging="210"/>
              <w:jc w:val="left"/>
              <w:rPr>
                <w:szCs w:val="24"/>
              </w:rPr>
            </w:pPr>
            <w:r>
              <w:rPr>
                <w:szCs w:val="24"/>
              </w:rPr>
              <w:t>Valoriser le métier en professionnalisant les acteurs</w:t>
            </w:r>
          </w:p>
          <w:p w:rsidR="0035701C" w:rsidRDefault="00FB561B" w:rsidP="00FB561B">
            <w:pPr>
              <w:numPr>
                <w:ilvl w:val="0"/>
                <w:numId w:val="60"/>
              </w:numPr>
              <w:spacing w:before="0" w:after="0"/>
              <w:ind w:hanging="210"/>
              <w:jc w:val="left"/>
              <w:rPr>
                <w:szCs w:val="24"/>
              </w:rPr>
            </w:pPr>
            <w:r>
              <w:rPr>
                <w:szCs w:val="24"/>
              </w:rPr>
              <w:t>Simplifier le parcours à l’installation</w:t>
            </w:r>
          </w:p>
          <w:p w:rsidR="0035701C" w:rsidRDefault="00FB561B" w:rsidP="00FB561B">
            <w:pPr>
              <w:numPr>
                <w:ilvl w:val="0"/>
                <w:numId w:val="60"/>
              </w:numPr>
              <w:spacing w:before="0" w:after="0"/>
              <w:ind w:hanging="210"/>
              <w:jc w:val="left"/>
              <w:rPr>
                <w:szCs w:val="24"/>
              </w:rPr>
            </w:pPr>
            <w:r>
              <w:rPr>
                <w:szCs w:val="24"/>
              </w:rPr>
              <w:t>Rationnaliser l’action publique d’orientation en direction des filières, offrant des opportunités en termes de débouchés ou qui peuvent co</w:t>
            </w:r>
            <w:r>
              <w:rPr>
                <w:szCs w:val="24"/>
              </w:rPr>
              <w:t>ncourir à l’augmentation sensible des niveaux de production et de leur qualité.</w:t>
            </w:r>
          </w:p>
          <w:p w:rsidR="0035701C" w:rsidRDefault="00FB561B" w:rsidP="00FB561B">
            <w:pPr>
              <w:numPr>
                <w:ilvl w:val="0"/>
                <w:numId w:val="60"/>
              </w:numPr>
              <w:spacing w:before="0" w:after="240"/>
              <w:ind w:hanging="210"/>
              <w:jc w:val="left"/>
              <w:rPr>
                <w:szCs w:val="24"/>
              </w:rPr>
            </w:pPr>
            <w:r>
              <w:rPr>
                <w:szCs w:val="24"/>
              </w:rPr>
              <w:t>Offrir une gamme d’outils adaptée. L’aide à l’installation (la dotation jeune agriculteur) ne constitue qu’un pilier nécessaire, mais non suffisant, au démarrage de l’activité.</w:t>
            </w:r>
            <w:r>
              <w:rPr>
                <w:szCs w:val="24"/>
              </w:rPr>
              <w:t xml:space="preserve"> En effet, la mobilisation du foncier (avec la création d’un fonds dédié), la mobilisation des outils financiers (avec le renouvellement des financements à 0% et la contre-garantie bancaire)</w:t>
            </w:r>
          </w:p>
          <w:p w:rsidR="0035701C" w:rsidRDefault="0035701C">
            <w:pPr>
              <w:pStyle w:val="Corpsdetexte"/>
            </w:pPr>
          </w:p>
        </w:tc>
      </w:tr>
    </w:tbl>
    <w:p w:rsidR="0035701C" w:rsidRDefault="00FB561B">
      <w:pPr>
        <w:pStyle w:val="Titre3"/>
        <w:jc w:val="left"/>
      </w:pPr>
      <w:bookmarkStart w:id="44" w:name="_Toc256000043"/>
      <w:r>
        <w:t>08-Améliorer le revenu des agriculteurs par le développement de</w:t>
      </w:r>
      <w:r>
        <w:t xml:space="preserve"> l'outil de production et la diversification des activités</w:t>
      </w:r>
      <w:bookmarkEnd w:id="44"/>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61"/>
              </w:numPr>
            </w:pPr>
            <w:r>
              <w:t>2A) Améliorer les résultats économiques de toutes les exploitations agricoles et faciliter la restructuration et la modernisation des exploitations agricoles, notamm</w:t>
            </w:r>
            <w:r>
              <w:t>ent en vue d'accroître la participation au marché et l'orientation vers le marché ainsi que la diversification agricole</w:t>
            </w:r>
          </w:p>
          <w:p w:rsidR="0035701C" w:rsidRDefault="00FB561B" w:rsidP="00FB561B">
            <w:pPr>
              <w:numPr>
                <w:ilvl w:val="0"/>
                <w:numId w:val="61"/>
              </w:numPr>
            </w:pPr>
            <w:r>
              <w:t>4C) Prévenir l'érosion des sols et améliorer la gestion des sols</w:t>
            </w:r>
          </w:p>
          <w:p w:rsidR="0035701C" w:rsidRDefault="00FB561B" w:rsidP="00FB561B">
            <w:pPr>
              <w:numPr>
                <w:ilvl w:val="0"/>
                <w:numId w:val="61"/>
              </w:numPr>
            </w:pPr>
            <w:r>
              <w:t>6A) Faciliter la diversification, la création et le développement de pe</w:t>
            </w:r>
            <w:r>
              <w:t>tites entreprises ainsi que la création d'emplois</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62"/>
              </w:numPr>
            </w:pPr>
            <w:r>
              <w:t>Innovation</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 xml:space="preserve">L’ambition est de parvenir à une amélioration des revenus des agriculteurs et des actifs ruraux favorisant la viabilité mais aussi l’attractivité de ces </w:t>
            </w:r>
            <w:r>
              <w:rPr>
                <w:szCs w:val="24"/>
              </w:rPr>
              <w:t>métiers. Les problématiques dans ces différents secteurs sont certes différentes, mais elles reposent sur des facteurs communs :</w:t>
            </w:r>
          </w:p>
          <w:p w:rsidR="0035701C" w:rsidRDefault="00FB561B" w:rsidP="00FB561B">
            <w:pPr>
              <w:numPr>
                <w:ilvl w:val="0"/>
                <w:numId w:val="63"/>
              </w:numPr>
              <w:spacing w:before="240" w:after="0"/>
              <w:ind w:hanging="210"/>
              <w:jc w:val="left"/>
              <w:rPr>
                <w:szCs w:val="24"/>
              </w:rPr>
            </w:pPr>
            <w:r>
              <w:rPr>
                <w:szCs w:val="24"/>
              </w:rPr>
              <w:t>la professionnalisation, grâce aux services de conseil ou d’animation</w:t>
            </w:r>
          </w:p>
          <w:p w:rsidR="0035701C" w:rsidRDefault="00FB561B" w:rsidP="00FB561B">
            <w:pPr>
              <w:numPr>
                <w:ilvl w:val="0"/>
                <w:numId w:val="63"/>
              </w:numPr>
              <w:spacing w:before="0" w:after="0"/>
              <w:ind w:hanging="210"/>
              <w:jc w:val="left"/>
              <w:rPr>
                <w:szCs w:val="24"/>
              </w:rPr>
            </w:pPr>
            <w:r>
              <w:rPr>
                <w:szCs w:val="24"/>
              </w:rPr>
              <w:t xml:space="preserve">plus largement, l’augmentation de la compétitivité et de </w:t>
            </w:r>
            <w:r>
              <w:rPr>
                <w:szCs w:val="24"/>
              </w:rPr>
              <w:t>la capacité d’innovation,</w:t>
            </w:r>
          </w:p>
          <w:p w:rsidR="0035701C" w:rsidRDefault="00FB561B" w:rsidP="00FB561B">
            <w:pPr>
              <w:numPr>
                <w:ilvl w:val="0"/>
                <w:numId w:val="63"/>
              </w:numPr>
              <w:spacing w:before="0" w:after="0"/>
              <w:ind w:hanging="210"/>
              <w:jc w:val="left"/>
              <w:rPr>
                <w:szCs w:val="24"/>
              </w:rPr>
            </w:pPr>
            <w:r>
              <w:rPr>
                <w:szCs w:val="24"/>
              </w:rPr>
              <w:t>l’innovation organisationnelle,</w:t>
            </w:r>
          </w:p>
          <w:p w:rsidR="0035701C" w:rsidRDefault="00FB561B" w:rsidP="00FB561B">
            <w:pPr>
              <w:numPr>
                <w:ilvl w:val="0"/>
                <w:numId w:val="63"/>
              </w:numPr>
              <w:spacing w:before="0" w:after="0"/>
              <w:ind w:hanging="210"/>
              <w:jc w:val="left"/>
              <w:rPr>
                <w:szCs w:val="24"/>
              </w:rPr>
            </w:pPr>
            <w:r>
              <w:rPr>
                <w:szCs w:val="24"/>
              </w:rPr>
              <w:t>l’amélioration de la qualité des produits ou des services,</w:t>
            </w:r>
          </w:p>
          <w:p w:rsidR="0035701C" w:rsidRDefault="00FB561B" w:rsidP="00FB561B">
            <w:pPr>
              <w:numPr>
                <w:ilvl w:val="0"/>
                <w:numId w:val="63"/>
              </w:numPr>
              <w:spacing w:before="0" w:after="0"/>
              <w:ind w:hanging="210"/>
              <w:jc w:val="left"/>
              <w:rPr>
                <w:szCs w:val="24"/>
              </w:rPr>
            </w:pPr>
            <w:r>
              <w:rPr>
                <w:szCs w:val="24"/>
              </w:rPr>
              <w:t>la maîtrise des coûts,</w:t>
            </w:r>
          </w:p>
          <w:p w:rsidR="0035701C" w:rsidRDefault="00FB561B" w:rsidP="00FB561B">
            <w:pPr>
              <w:numPr>
                <w:ilvl w:val="0"/>
                <w:numId w:val="63"/>
              </w:numPr>
              <w:spacing w:before="0" w:after="0"/>
              <w:ind w:hanging="210"/>
              <w:jc w:val="left"/>
              <w:rPr>
                <w:szCs w:val="24"/>
              </w:rPr>
            </w:pPr>
            <w:r>
              <w:rPr>
                <w:szCs w:val="24"/>
              </w:rPr>
              <w:t>Le développement d'activités de diversification</w:t>
            </w:r>
          </w:p>
          <w:p w:rsidR="0035701C" w:rsidRDefault="00FB561B" w:rsidP="00FB561B">
            <w:pPr>
              <w:numPr>
                <w:ilvl w:val="0"/>
                <w:numId w:val="63"/>
              </w:numPr>
              <w:spacing w:before="0" w:after="0"/>
              <w:ind w:hanging="210"/>
              <w:jc w:val="left"/>
              <w:rPr>
                <w:szCs w:val="24"/>
              </w:rPr>
            </w:pPr>
            <w:r>
              <w:rPr>
                <w:szCs w:val="24"/>
              </w:rPr>
              <w:t xml:space="preserve">un environnement économique favorable, notamment d’opportunités de </w:t>
            </w:r>
            <w:r>
              <w:rPr>
                <w:szCs w:val="24"/>
              </w:rPr>
              <w:t>marché,</w:t>
            </w:r>
          </w:p>
          <w:p w:rsidR="0035701C" w:rsidRDefault="00FB561B" w:rsidP="00FB561B">
            <w:pPr>
              <w:numPr>
                <w:ilvl w:val="0"/>
                <w:numId w:val="63"/>
              </w:numPr>
              <w:spacing w:before="0" w:after="0"/>
              <w:ind w:hanging="210"/>
              <w:jc w:val="left"/>
              <w:rPr>
                <w:szCs w:val="24"/>
              </w:rPr>
            </w:pPr>
            <w:r>
              <w:rPr>
                <w:szCs w:val="24"/>
              </w:rPr>
              <w:t>l’accès au crédit.</w:t>
            </w:r>
          </w:p>
          <w:p w:rsidR="0035701C" w:rsidRDefault="00FB561B" w:rsidP="00FB561B">
            <w:pPr>
              <w:numPr>
                <w:ilvl w:val="0"/>
                <w:numId w:val="63"/>
              </w:numPr>
              <w:spacing w:before="0" w:after="240"/>
              <w:ind w:hanging="210"/>
              <w:jc w:val="left"/>
              <w:rPr>
                <w:szCs w:val="24"/>
              </w:rPr>
            </w:pPr>
            <w:r>
              <w:rPr>
                <w:szCs w:val="24"/>
              </w:rPr>
              <w:t xml:space="preserve">et bien sûr l’accompagnement financier public. Dans ce domaine, la perspective d’une revalorisation des aides directes doit s’accompagner d’un objectif de progression de la part du revenu issue de la production. L’intervention </w:t>
            </w:r>
            <w:r>
              <w:rPr>
                <w:szCs w:val="24"/>
              </w:rPr>
              <w:t>publique devra concourir à conforter ces approches.</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3"/>
        <w:jc w:val="left"/>
      </w:pPr>
      <w:bookmarkStart w:id="45" w:name="_Toc256000044"/>
      <w:r>
        <w:t>09-Accroître et élargir la production et la transformation pour répondre à la demande et augmenter les parts du marché local</w:t>
      </w:r>
      <w:bookmarkEnd w:id="45"/>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64"/>
              </w:numPr>
            </w:pPr>
            <w:r>
              <w:t xml:space="preserve">2A) Améliorer les résultats économiques de </w:t>
            </w:r>
            <w:r>
              <w:t>toutes les exploitations agricoles et faciliter la restructuration et la modernisation des exploitations agricoles, notamment en vue d'accroître la participation au marché et l'orientation vers le marché ainsi que la diversification agricole</w:t>
            </w:r>
          </w:p>
          <w:p w:rsidR="0035701C" w:rsidRDefault="00FB561B" w:rsidP="00FB561B">
            <w:pPr>
              <w:numPr>
                <w:ilvl w:val="0"/>
                <w:numId w:val="64"/>
              </w:numPr>
            </w:pPr>
            <w:r>
              <w:t xml:space="preserve">3A) Améliorer </w:t>
            </w:r>
            <w:r>
              <w:t>la compétitivité des producteurs primaires en les intégrant mieux dans la chaîne agroalimentaire au moyen des programmes de qualité, en conférant une valeur ajoutée aux produits agricoles, et par le biais de la promotion sur les marchés locaux et des circu</w:t>
            </w:r>
            <w:r>
              <w:t>its d’approvisionnement courts, des groupements de producteurs et des organisations interprofessionnelles</w:t>
            </w:r>
          </w:p>
          <w:p w:rsidR="0035701C" w:rsidRDefault="00FB561B" w:rsidP="00FB561B">
            <w:pPr>
              <w:numPr>
                <w:ilvl w:val="0"/>
                <w:numId w:val="64"/>
              </w:numPr>
            </w:pPr>
            <w:r>
              <w:t>4B) Améliorer la gestion de l'eau, y compris la gestion des engrais et des pesticides</w:t>
            </w:r>
          </w:p>
          <w:p w:rsidR="0035701C" w:rsidRDefault="00FB561B" w:rsidP="00FB561B">
            <w:pPr>
              <w:numPr>
                <w:ilvl w:val="0"/>
                <w:numId w:val="64"/>
              </w:numPr>
            </w:pPr>
            <w:r>
              <w:t>4C) Prévenir l'érosion des sols et améliorer la gestion des sols</w:t>
            </w:r>
          </w:p>
          <w:p w:rsidR="0035701C" w:rsidRDefault="00FB561B" w:rsidP="00FB561B">
            <w:pPr>
              <w:numPr>
                <w:ilvl w:val="0"/>
                <w:numId w:val="64"/>
              </w:numPr>
            </w:pPr>
            <w:r>
              <w:t>5E) Promouvoir la conservation et la séquestration du carbone dans les secteurs de l'agriculture et de la foresterie</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65"/>
              </w:numPr>
            </w:pPr>
            <w:r>
              <w:t>Innovation</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Les indicateurs relatifs à la consommation de produits agricoles, surtout au regard du pot</w:t>
            </w:r>
            <w:r>
              <w:rPr>
                <w:szCs w:val="24"/>
              </w:rPr>
              <w:t>entiel que constitue le marché local et touristique amènent à considérer un objectif de réduction de la dépendance de la Corse que se soit en matière d’approvisionnement alimentaire ou du bois d’œuvre actuellement fortement concurrencé sur le marché.</w:t>
            </w:r>
          </w:p>
          <w:p w:rsidR="0035701C" w:rsidRDefault="00FB561B">
            <w:pPr>
              <w:spacing w:before="240" w:after="240"/>
              <w:jc w:val="left"/>
              <w:rPr>
                <w:szCs w:val="24"/>
              </w:rPr>
            </w:pPr>
            <w:r>
              <w:rPr>
                <w:szCs w:val="24"/>
              </w:rPr>
              <w:t xml:space="preserve">Pour </w:t>
            </w:r>
            <w:r>
              <w:rPr>
                <w:szCs w:val="24"/>
              </w:rPr>
              <w:t>favoriser cet auto-approvisionnement, il conviendra notamment :</w:t>
            </w:r>
          </w:p>
          <w:p w:rsidR="0035701C" w:rsidRDefault="00FB561B" w:rsidP="00FB561B">
            <w:pPr>
              <w:numPr>
                <w:ilvl w:val="0"/>
                <w:numId w:val="66"/>
              </w:numPr>
              <w:spacing w:before="240" w:after="0"/>
              <w:ind w:hanging="210"/>
              <w:jc w:val="left"/>
              <w:rPr>
                <w:szCs w:val="24"/>
              </w:rPr>
            </w:pPr>
            <w:r>
              <w:rPr>
                <w:szCs w:val="24"/>
              </w:rPr>
              <w:t>d’agir sur le ciblage de la production ou de la transformation au regard des besoins potentiels du marché (exemple de la fourniture de bois séché à la 2nde transformation),</w:t>
            </w:r>
          </w:p>
          <w:p w:rsidR="0035701C" w:rsidRDefault="00FB561B" w:rsidP="00FB561B">
            <w:pPr>
              <w:numPr>
                <w:ilvl w:val="0"/>
                <w:numId w:val="66"/>
              </w:numPr>
              <w:spacing w:before="0" w:after="0"/>
              <w:ind w:hanging="210"/>
              <w:jc w:val="left"/>
              <w:rPr>
                <w:szCs w:val="24"/>
              </w:rPr>
            </w:pPr>
            <w:r>
              <w:rPr>
                <w:szCs w:val="24"/>
              </w:rPr>
              <w:t xml:space="preserve">de consolider et </w:t>
            </w:r>
            <w:r>
              <w:rPr>
                <w:szCs w:val="24"/>
              </w:rPr>
              <w:t>d’élargir les circuits de vente,</w:t>
            </w:r>
          </w:p>
          <w:p w:rsidR="0035701C" w:rsidRDefault="00FB561B" w:rsidP="00FB561B">
            <w:pPr>
              <w:numPr>
                <w:ilvl w:val="0"/>
                <w:numId w:val="66"/>
              </w:numPr>
              <w:spacing w:before="0" w:after="240"/>
              <w:ind w:hanging="210"/>
              <w:jc w:val="left"/>
              <w:rPr>
                <w:szCs w:val="24"/>
              </w:rPr>
            </w:pPr>
            <w:r>
              <w:rPr>
                <w:szCs w:val="24"/>
              </w:rPr>
              <w:t>de considérer les filières actuellement en déficit de production au regard des potentiels du marché (exemple du lait).</w:t>
            </w:r>
          </w:p>
          <w:p w:rsidR="0035701C" w:rsidRDefault="0035701C">
            <w:pPr>
              <w:pStyle w:val="Corpsdetexte"/>
            </w:pPr>
          </w:p>
        </w:tc>
      </w:tr>
    </w:tbl>
    <w:p w:rsidR="0035701C" w:rsidRDefault="00FB561B">
      <w:pPr>
        <w:pStyle w:val="Titre3"/>
        <w:jc w:val="left"/>
      </w:pPr>
      <w:bookmarkStart w:id="46" w:name="_Toc256000045"/>
      <w:r>
        <w:t>10-Moderniser les infrastructures des exploitations</w:t>
      </w:r>
      <w:bookmarkEnd w:id="46"/>
      <w:r>
        <w:t xml:space="preserve"> </w:t>
      </w:r>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67"/>
              </w:numPr>
            </w:pPr>
            <w:r>
              <w:t>2A) Améliorer les</w:t>
            </w:r>
            <w:r>
              <w:t xml:space="preserve"> résultats économiques de toutes les exploitations agricoles et faciliter la restructuration et la modernisation des exploitations agricoles, notamment en vue d'accroître la participation au marché et l'orientation vers le marché ainsi que la diversificati</w:t>
            </w:r>
            <w:r>
              <w:t>on agricole</w:t>
            </w:r>
          </w:p>
          <w:p w:rsidR="0035701C" w:rsidRDefault="00FB561B" w:rsidP="00FB561B">
            <w:pPr>
              <w:numPr>
                <w:ilvl w:val="0"/>
                <w:numId w:val="67"/>
              </w:numPr>
            </w:pPr>
            <w:r>
              <w:t>4C) Prévenir l'érosion des sols et améliorer la gestion des sols</w:t>
            </w:r>
          </w:p>
          <w:p w:rsidR="0035701C" w:rsidRDefault="00FB561B" w:rsidP="00FB561B">
            <w:pPr>
              <w:numPr>
                <w:ilvl w:val="0"/>
                <w:numId w:val="67"/>
              </w:numPr>
            </w:pPr>
            <w:r>
              <w:t>5A) Développer l'utilisation efficace de l'eau dans l'agriculture</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68"/>
              </w:numPr>
            </w:pPr>
            <w:r>
              <w:t>Environnement</w:t>
            </w:r>
          </w:p>
          <w:p w:rsidR="0035701C" w:rsidRDefault="00FB561B" w:rsidP="00FB561B">
            <w:pPr>
              <w:numPr>
                <w:ilvl w:val="0"/>
                <w:numId w:val="68"/>
              </w:numPr>
            </w:pPr>
            <w:r>
              <w:t>Atténuation des changements climatiques et adaptation à ces changements</w:t>
            </w:r>
          </w:p>
          <w:p w:rsidR="0035701C" w:rsidRDefault="00FB561B" w:rsidP="00FB561B">
            <w:pPr>
              <w:numPr>
                <w:ilvl w:val="0"/>
                <w:numId w:val="68"/>
              </w:numPr>
            </w:pPr>
            <w:r>
              <w:t>Inn</w:t>
            </w:r>
            <w:r>
              <w:t>ovation</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De nombreuses exploitations agricoles souffrent d’un manque de compétitivité lié à une capitalisation insuffisante de leur outil de production (foncier inorganisé ou peu aménagé, équipement structurant en bâtiment et matériel faisant d</w:t>
            </w:r>
            <w:r>
              <w:rPr>
                <w:szCs w:val="24"/>
              </w:rPr>
              <w:t>éfaut) et à un manque d’infrastructures dans leur environnement territorial (voierie et desserte rurale, adduction et irrigation, infrastructures collectives de transformation…). Ceci est particulièrement le cas dans les filières d’élevage en milieu diffic</w:t>
            </w:r>
            <w:r>
              <w:rPr>
                <w:szCs w:val="24"/>
              </w:rPr>
              <w:t>ile.</w:t>
            </w:r>
          </w:p>
          <w:p w:rsidR="0035701C" w:rsidRDefault="00FB561B">
            <w:pPr>
              <w:spacing w:before="240" w:after="240"/>
              <w:jc w:val="left"/>
              <w:rPr>
                <w:szCs w:val="24"/>
              </w:rPr>
            </w:pPr>
            <w:r>
              <w:rPr>
                <w:szCs w:val="24"/>
              </w:rPr>
              <w:t xml:space="preserve">Ces exploitations sont confrontées à plusieurs défis : acquérir une dimension et/ou une organisation plus compétitive et efficiente, intégrer la composante environnementale dans tous les actes de la production, s’insérer dans une stratégie d’accès au </w:t>
            </w:r>
            <w:r>
              <w:rPr>
                <w:szCs w:val="24"/>
              </w:rPr>
              <w:t>marché soit au travers de circuits spécifiques, soit par des démarches collectives.</w:t>
            </w:r>
          </w:p>
          <w:p w:rsidR="0035701C" w:rsidRDefault="00FB561B">
            <w:pPr>
              <w:spacing w:before="240" w:after="240"/>
              <w:jc w:val="left"/>
              <w:rPr>
                <w:szCs w:val="24"/>
              </w:rPr>
            </w:pPr>
            <w:r>
              <w:rPr>
                <w:szCs w:val="24"/>
              </w:rPr>
              <w:t>Dans ces conditions les moyens d’accompagnement des exploitations devront se concentrer sur les éléments suivants :</w:t>
            </w:r>
          </w:p>
          <w:p w:rsidR="0035701C" w:rsidRDefault="00FB561B" w:rsidP="00FB561B">
            <w:pPr>
              <w:numPr>
                <w:ilvl w:val="0"/>
                <w:numId w:val="69"/>
              </w:numPr>
              <w:spacing w:before="240" w:after="0"/>
              <w:ind w:hanging="210"/>
              <w:jc w:val="left"/>
              <w:rPr>
                <w:szCs w:val="24"/>
              </w:rPr>
            </w:pPr>
            <w:r>
              <w:rPr>
                <w:szCs w:val="24"/>
              </w:rPr>
              <w:t xml:space="preserve">Accompagner fortement les agriculteurs en phase </w:t>
            </w:r>
            <w:r>
              <w:rPr>
                <w:szCs w:val="24"/>
              </w:rPr>
              <w:t>d’installation afin d’encourager une création rapide et efficiente.</w:t>
            </w:r>
          </w:p>
          <w:p w:rsidR="0035701C" w:rsidRDefault="00FB561B" w:rsidP="00FB561B">
            <w:pPr>
              <w:numPr>
                <w:ilvl w:val="0"/>
                <w:numId w:val="69"/>
              </w:numPr>
              <w:spacing w:before="0" w:after="0"/>
              <w:ind w:hanging="210"/>
              <w:jc w:val="left"/>
              <w:rPr>
                <w:szCs w:val="24"/>
              </w:rPr>
            </w:pPr>
            <w:r>
              <w:rPr>
                <w:szCs w:val="24"/>
              </w:rPr>
              <w:t xml:space="preserve">Retenir comme modalité d’action prioritaire les interventions collectives destinées à faire progresser un ensemble d’agriculteurs en vue d’obtenir un effet levier technique, qualitatif et </w:t>
            </w:r>
            <w:r>
              <w:rPr>
                <w:szCs w:val="24"/>
              </w:rPr>
              <w:t>économique,</w:t>
            </w:r>
          </w:p>
          <w:p w:rsidR="0035701C" w:rsidRDefault="00FB561B" w:rsidP="00FB561B">
            <w:pPr>
              <w:numPr>
                <w:ilvl w:val="0"/>
                <w:numId w:val="69"/>
              </w:numPr>
              <w:spacing w:before="0" w:after="0"/>
              <w:ind w:hanging="210"/>
              <w:jc w:val="left"/>
              <w:rPr>
                <w:szCs w:val="24"/>
              </w:rPr>
            </w:pPr>
            <w:r>
              <w:rPr>
                <w:szCs w:val="24"/>
              </w:rPr>
              <w:t>Associer la formation et l’accompagnement technique à l’investissement.</w:t>
            </w:r>
          </w:p>
          <w:p w:rsidR="0035701C" w:rsidRDefault="00FB561B" w:rsidP="00FB561B">
            <w:pPr>
              <w:numPr>
                <w:ilvl w:val="0"/>
                <w:numId w:val="69"/>
              </w:numPr>
              <w:spacing w:before="0" w:after="0"/>
              <w:ind w:hanging="210"/>
              <w:jc w:val="left"/>
              <w:rPr>
                <w:szCs w:val="24"/>
              </w:rPr>
            </w:pPr>
            <w:r>
              <w:rPr>
                <w:szCs w:val="24"/>
              </w:rPr>
              <w:t>Privilégier l’accompagnement des infrastructures en bâtiment, le maintien des vergers et les projets de mise en valeur de cultures pérennes,</w:t>
            </w:r>
          </w:p>
          <w:p w:rsidR="0035701C" w:rsidRDefault="00FB561B" w:rsidP="00FB561B">
            <w:pPr>
              <w:numPr>
                <w:ilvl w:val="0"/>
                <w:numId w:val="69"/>
              </w:numPr>
              <w:spacing w:before="0" w:after="0"/>
              <w:ind w:hanging="210"/>
              <w:jc w:val="left"/>
              <w:rPr>
                <w:szCs w:val="24"/>
              </w:rPr>
            </w:pPr>
            <w:r>
              <w:rPr>
                <w:szCs w:val="24"/>
              </w:rPr>
              <w:t xml:space="preserve">Favoriser la création d’outils </w:t>
            </w:r>
            <w:r>
              <w:rPr>
                <w:szCs w:val="24"/>
              </w:rPr>
              <w:t>collectifs de production de transformation et de commercialisation.</w:t>
            </w:r>
          </w:p>
          <w:p w:rsidR="0035701C" w:rsidRDefault="00FB561B" w:rsidP="00FB561B">
            <w:pPr>
              <w:numPr>
                <w:ilvl w:val="0"/>
                <w:numId w:val="69"/>
              </w:numPr>
              <w:spacing w:before="0" w:after="0"/>
              <w:ind w:hanging="210"/>
              <w:jc w:val="left"/>
              <w:rPr>
                <w:szCs w:val="24"/>
              </w:rPr>
            </w:pPr>
            <w:r>
              <w:rPr>
                <w:szCs w:val="24"/>
              </w:rPr>
              <w:t>Encourager les interventions relatives à l’accroissement de la performance environnementale </w:t>
            </w:r>
          </w:p>
          <w:p w:rsidR="0035701C" w:rsidRDefault="00FB561B" w:rsidP="00FB561B">
            <w:pPr>
              <w:numPr>
                <w:ilvl w:val="0"/>
                <w:numId w:val="69"/>
              </w:numPr>
              <w:spacing w:before="0" w:after="240"/>
              <w:ind w:hanging="210"/>
              <w:jc w:val="left"/>
              <w:rPr>
                <w:szCs w:val="24"/>
              </w:rPr>
            </w:pPr>
            <w:r>
              <w:rPr>
                <w:szCs w:val="24"/>
              </w:rPr>
              <w:t>Permettre la diversification non agricole des agriculteurs dans un contexte de maîtrise satisfa</w:t>
            </w:r>
            <w:r>
              <w:rPr>
                <w:szCs w:val="24"/>
              </w:rPr>
              <w:t>isante de l’outil de production.</w:t>
            </w:r>
          </w:p>
          <w:p w:rsidR="0035701C" w:rsidRDefault="0035701C">
            <w:pPr>
              <w:pStyle w:val="Corpsdetexte"/>
            </w:pPr>
          </w:p>
        </w:tc>
      </w:tr>
    </w:tbl>
    <w:p w:rsidR="0035701C" w:rsidRDefault="00FB561B">
      <w:pPr>
        <w:pStyle w:val="Titre3"/>
        <w:jc w:val="left"/>
      </w:pPr>
      <w:bookmarkStart w:id="47" w:name="_Toc256000046"/>
      <w:r>
        <w:t>11-Accroître la capacité d'investissement en développant les outils d'ingénierie financière</w:t>
      </w:r>
      <w:bookmarkEnd w:id="47"/>
      <w:r>
        <w:t xml:space="preserve"> </w:t>
      </w:r>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70"/>
              </w:numPr>
            </w:pPr>
            <w:r>
              <w:t xml:space="preserve">2B) Faciliter l'entrée d'exploitants agricoles suffisamment qualifiés dans le secteur de </w:t>
            </w:r>
            <w:r>
              <w:t>l'agriculture, et en particulier le renouvellement des générations</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71"/>
              </w:numPr>
            </w:pPr>
            <w:r>
              <w:t>Innovation</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 xml:space="preserve">Pour répondre aux besoins de modernisation des exploitations agricoles et forestières il convient également de développer les outils </w:t>
            </w:r>
            <w:r>
              <w:rPr>
                <w:szCs w:val="24"/>
              </w:rPr>
              <w:t>financiers spécifiques et les partenariats, destinés à accompagner tous les exploitants dans leur projet d’investissement.</w:t>
            </w:r>
          </w:p>
          <w:p w:rsidR="0035701C" w:rsidRDefault="00FB561B">
            <w:pPr>
              <w:spacing w:before="240" w:after="240"/>
              <w:jc w:val="left"/>
              <w:rPr>
                <w:szCs w:val="24"/>
              </w:rPr>
            </w:pPr>
            <w:r>
              <w:rPr>
                <w:szCs w:val="24"/>
              </w:rPr>
              <w:t>En effet tout projet d'investissement nécessite un autofinancement et bien souvent un financement bancaire.</w:t>
            </w:r>
          </w:p>
          <w:p w:rsidR="0035701C" w:rsidRDefault="0035701C">
            <w:pPr>
              <w:pStyle w:val="Corpsdetexte"/>
            </w:pPr>
          </w:p>
        </w:tc>
      </w:tr>
    </w:tbl>
    <w:p w:rsidR="0035701C" w:rsidRDefault="00FB561B">
      <w:pPr>
        <w:pStyle w:val="Titre3"/>
        <w:jc w:val="left"/>
      </w:pPr>
      <w:bookmarkStart w:id="48" w:name="_Toc256000047"/>
      <w:r>
        <w:t xml:space="preserve">12-Favoriser une </w:t>
      </w:r>
      <w:r>
        <w:t>utilisation efficace de l’énergie et de la production d’énergie renouvelable</w:t>
      </w:r>
      <w:bookmarkEnd w:id="48"/>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72"/>
              </w:numPr>
            </w:pPr>
            <w:r>
              <w:t>5E) Promouvoir la conservation et la séquestration du carbone dans les secteurs de l'agriculture et de la foresterie</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73"/>
              </w:numPr>
            </w:pPr>
            <w:r>
              <w:t>Enviro</w:t>
            </w:r>
            <w:r>
              <w:t>nnement</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 xml:space="preserve">Les besoins en matière énergétique dans la région doivent se conjuguer afin de tendre vers l’amélioration continue de la part d’énergie produite à partir d’énergies renouvelables et vers une économie d’énergie. Dans ce contexte, il </w:t>
            </w:r>
            <w:r>
              <w:rPr>
                <w:szCs w:val="24"/>
              </w:rPr>
              <w:t>s’agit de :</w:t>
            </w:r>
          </w:p>
          <w:p w:rsidR="0035701C" w:rsidRDefault="00FB561B" w:rsidP="00FB561B">
            <w:pPr>
              <w:numPr>
                <w:ilvl w:val="0"/>
                <w:numId w:val="74"/>
              </w:numPr>
              <w:spacing w:before="240" w:after="0"/>
              <w:ind w:hanging="210"/>
              <w:jc w:val="left"/>
              <w:rPr>
                <w:szCs w:val="24"/>
              </w:rPr>
            </w:pPr>
            <w:r>
              <w:rPr>
                <w:szCs w:val="24"/>
              </w:rPr>
              <w:t>Promouvoir l’utilisation efficace de l’énergie en adaptant les équipements et les infrastructures, en améliorant leur efficacité énergétique, y compris pour ce qui concerne l’amélioration de l’habitat.</w:t>
            </w:r>
          </w:p>
          <w:p w:rsidR="0035701C" w:rsidRDefault="00FB561B" w:rsidP="00FB561B">
            <w:pPr>
              <w:numPr>
                <w:ilvl w:val="0"/>
                <w:numId w:val="74"/>
              </w:numPr>
              <w:spacing w:before="0" w:after="240"/>
              <w:ind w:hanging="210"/>
              <w:jc w:val="left"/>
              <w:rPr>
                <w:szCs w:val="24"/>
              </w:rPr>
            </w:pPr>
            <w:r>
              <w:rPr>
                <w:szCs w:val="24"/>
              </w:rPr>
              <w:t>Développer les filières concourant à la pr</w:t>
            </w:r>
            <w:r>
              <w:rPr>
                <w:szCs w:val="24"/>
              </w:rPr>
              <w:t>oduction d’énergie renouvelable comme les filières solaires, le bois énergie, la cogénération, et la méthanisation.</w:t>
            </w:r>
          </w:p>
          <w:p w:rsidR="0035701C" w:rsidRDefault="0035701C">
            <w:pPr>
              <w:pStyle w:val="Corpsdetexte"/>
            </w:pPr>
          </w:p>
        </w:tc>
      </w:tr>
    </w:tbl>
    <w:p w:rsidR="0035701C" w:rsidRDefault="00FB561B">
      <w:pPr>
        <w:pStyle w:val="Titre3"/>
        <w:jc w:val="left"/>
      </w:pPr>
      <w:bookmarkStart w:id="49" w:name="_Toc256000048"/>
      <w:r>
        <w:t>13-Encourager la restructuration des unités d’élevage et favoriser la reconquête et la gestion des parcours pastoraux</w:t>
      </w:r>
      <w:bookmarkEnd w:id="49"/>
    </w:p>
    <w:p w:rsidR="0035701C" w:rsidRDefault="00FB561B">
      <w:r>
        <w:t>Priorités/Domaines p</w:t>
      </w:r>
      <w:r>
        <w:t>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75"/>
              </w:numPr>
            </w:pPr>
            <w:r>
              <w:t xml:space="preserve">2A) Améliorer les résultats économiques de toutes les exploitations agricoles et faciliter la restructuration et la modernisation des exploitations agricoles, notamment en vue d'accroître la participation au marché et l'orientation vers le </w:t>
            </w:r>
            <w:r>
              <w:t>marché ainsi que la diversification agricole</w:t>
            </w:r>
          </w:p>
          <w:p w:rsidR="0035701C" w:rsidRDefault="00FB561B" w:rsidP="00FB561B">
            <w:pPr>
              <w:numPr>
                <w:ilvl w:val="0"/>
                <w:numId w:val="75"/>
              </w:numPr>
            </w:pPr>
            <w:r>
              <w:t>4C) Prévenir l'érosion des sols et améliorer la gestion des sols</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76"/>
              </w:numPr>
            </w:pPr>
            <w:r>
              <w:t>Environnement</w:t>
            </w:r>
          </w:p>
          <w:p w:rsidR="0035701C" w:rsidRDefault="00FB561B" w:rsidP="00FB561B">
            <w:pPr>
              <w:numPr>
                <w:ilvl w:val="0"/>
                <w:numId w:val="76"/>
              </w:numPr>
            </w:pPr>
            <w:r>
              <w:t>Atténuation des changements climatiques et adaptation à ces changements</w:t>
            </w:r>
          </w:p>
          <w:p w:rsidR="0035701C" w:rsidRDefault="00FB561B" w:rsidP="00FB561B">
            <w:pPr>
              <w:numPr>
                <w:ilvl w:val="0"/>
                <w:numId w:val="76"/>
              </w:numPr>
            </w:pPr>
            <w:r>
              <w:t>Innovation</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Les systèmes</w:t>
            </w:r>
            <w:r>
              <w:rPr>
                <w:szCs w:val="24"/>
              </w:rPr>
              <w:t xml:space="preserve"> pastoraux traditionnels sur parcours, connaissent un certain nombre de difficultés : accès au foncier, insuffisance de l’autonomie alimentaire, absence d’infrastructures de base à l’accomplissement du cycle de production.</w:t>
            </w:r>
          </w:p>
          <w:p w:rsidR="0035701C" w:rsidRDefault="00FB561B">
            <w:pPr>
              <w:spacing w:before="240" w:after="240"/>
              <w:jc w:val="left"/>
              <w:rPr>
                <w:szCs w:val="24"/>
              </w:rPr>
            </w:pPr>
            <w:r>
              <w:rPr>
                <w:szCs w:val="24"/>
              </w:rPr>
              <w:t>Cette fragilité est l’aboutisseme</w:t>
            </w:r>
            <w:r>
              <w:rPr>
                <w:szCs w:val="24"/>
              </w:rPr>
              <w:t xml:space="preserve">nt d’une phase de sédentarisation progressive qui ne s’est pas accompagnée d’une évolution des systèmes pastoraux, ni d’une structuration suffisante des exploitations. La production reste insuffisante au regard des débouchés potentiels sur le marché local </w:t>
            </w:r>
            <w:r>
              <w:rPr>
                <w:szCs w:val="24"/>
              </w:rPr>
              <w:t>ou touristique (viande, lait). Or l’élevage insulaire demeure une composante culturelle, économique, environnementale et sociale emblématique, et son impact constitue un bien public incontournable pour le devenir de la Corse.</w:t>
            </w:r>
          </w:p>
          <w:p w:rsidR="0035701C" w:rsidRDefault="00FB561B">
            <w:pPr>
              <w:spacing w:before="240" w:after="240"/>
              <w:jc w:val="left"/>
              <w:rPr>
                <w:szCs w:val="24"/>
              </w:rPr>
            </w:pPr>
            <w:r>
              <w:rPr>
                <w:szCs w:val="24"/>
              </w:rPr>
              <w:t>Le manque d’infrastructures co</w:t>
            </w:r>
            <w:r>
              <w:rPr>
                <w:szCs w:val="24"/>
              </w:rPr>
              <w:t>ncerne l’ensemble des filières ovines, caprines, porcines et bovines en montagne et dans les zones à forte contraintes de mécanisation.</w:t>
            </w:r>
          </w:p>
          <w:p w:rsidR="0035701C" w:rsidRDefault="00FB561B">
            <w:pPr>
              <w:spacing w:before="240" w:after="240"/>
              <w:jc w:val="left"/>
              <w:rPr>
                <w:szCs w:val="24"/>
              </w:rPr>
            </w:pPr>
            <w:r>
              <w:rPr>
                <w:szCs w:val="24"/>
              </w:rPr>
              <w:t xml:space="preserve">La mise en place d’un dispositif systémique favorisant la reconquête et la gestion des parcours pastoraux doit combiner </w:t>
            </w:r>
            <w:r>
              <w:rPr>
                <w:szCs w:val="24"/>
              </w:rPr>
              <w:t>l’accès au foncier, son équipement en clôture et bâtiment d’élevage, et son amélioration sur des portions de terrains susceptibles de constituer des espaces de travail fonctionnels pour les éleveurs.</w:t>
            </w:r>
          </w:p>
          <w:p w:rsidR="0035701C" w:rsidRDefault="00FB561B">
            <w:pPr>
              <w:spacing w:before="240" w:after="240"/>
              <w:jc w:val="left"/>
              <w:rPr>
                <w:szCs w:val="24"/>
              </w:rPr>
            </w:pPr>
            <w:r>
              <w:rPr>
                <w:szCs w:val="24"/>
              </w:rPr>
              <w:t xml:space="preserve">Ce dispositif doit nécessairement être soutenu par une </w:t>
            </w:r>
            <w:r>
              <w:rPr>
                <w:szCs w:val="24"/>
              </w:rPr>
              <w:t>intensification de la connaissance, s’agissant de l’apport de la R&amp;D pour l’amélioration des pratiques dans tous les domaines relatifs au cycle de production et de transformation.</w:t>
            </w:r>
          </w:p>
          <w:p w:rsidR="0035701C" w:rsidRDefault="00FB561B">
            <w:pPr>
              <w:spacing w:before="240" w:after="240"/>
              <w:jc w:val="left"/>
              <w:rPr>
                <w:szCs w:val="24"/>
              </w:rPr>
            </w:pPr>
            <w:r>
              <w:rPr>
                <w:szCs w:val="24"/>
              </w:rPr>
              <w:t>Il doit surtout maintenir le caractère extensif de l’utilisation des surface</w:t>
            </w:r>
            <w:r>
              <w:rPr>
                <w:szCs w:val="24"/>
              </w:rPr>
              <w:t>s agricoles, modérer les pratiques à forts intrants et respecter les équilibres environnementaux.</w:t>
            </w:r>
          </w:p>
          <w:p w:rsidR="0035701C" w:rsidRDefault="00FB561B">
            <w:pPr>
              <w:spacing w:before="240" w:after="240"/>
              <w:jc w:val="left"/>
              <w:rPr>
                <w:szCs w:val="24"/>
              </w:rPr>
            </w:pPr>
            <w:r>
              <w:rPr>
                <w:szCs w:val="24"/>
              </w:rPr>
              <w:t>La garantie de l’entretien de ces surfaces doit être obtenue par des dispositifs d’accompagnement, notamment lorsque cela contribue à l’amélioration de l’envi</w:t>
            </w:r>
            <w:r>
              <w:rPr>
                <w:szCs w:val="24"/>
              </w:rPr>
              <w:t>ronnement en mobilisant les MAEC.</w:t>
            </w:r>
          </w:p>
          <w:p w:rsidR="0035701C" w:rsidRDefault="00FB561B">
            <w:pPr>
              <w:spacing w:before="240" w:after="240"/>
              <w:jc w:val="left"/>
              <w:rPr>
                <w:szCs w:val="24"/>
              </w:rPr>
            </w:pPr>
            <w:r>
              <w:rPr>
                <w:szCs w:val="24"/>
              </w:rPr>
              <w:t>Outre les gains à rechercher sur chacune des exploitations, ce schéma va de paire avec le développement d’une filière locale de production de fourrage qu’il convient d’accompagner.</w:t>
            </w:r>
          </w:p>
          <w:p w:rsidR="0035701C" w:rsidRDefault="0035701C">
            <w:pPr>
              <w:pStyle w:val="Corpsdetexte"/>
            </w:pPr>
          </w:p>
        </w:tc>
      </w:tr>
    </w:tbl>
    <w:p w:rsidR="0035701C" w:rsidRDefault="00FB561B">
      <w:pPr>
        <w:pStyle w:val="Titre3"/>
        <w:jc w:val="left"/>
      </w:pPr>
      <w:bookmarkStart w:id="50" w:name="_Toc256000049"/>
      <w:r>
        <w:t>14-Pérenniser l'arboriculture et dévelo</w:t>
      </w:r>
      <w:r>
        <w:t>pper les cultures pérennes</w:t>
      </w:r>
      <w:bookmarkEnd w:id="50"/>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77"/>
              </w:numPr>
            </w:pPr>
            <w:r>
              <w:t>2A) Améliorer les résultats économiques de toutes les exploitations agricoles et faciliter la restructuration et la modernisation des exploitations agricoles, notamment en vue d'accroître la partic</w:t>
            </w:r>
            <w:r>
              <w:t>ipation au marché et l'orientation vers le marché ainsi que la diversification agricole</w:t>
            </w:r>
          </w:p>
          <w:p w:rsidR="0035701C" w:rsidRDefault="00FB561B" w:rsidP="00FB561B">
            <w:pPr>
              <w:numPr>
                <w:ilvl w:val="0"/>
                <w:numId w:val="77"/>
              </w:numPr>
            </w:pPr>
            <w:r>
              <w:t>4C) Prévenir l'érosion des sols et améliorer la gestion des sols</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78"/>
              </w:numPr>
            </w:pPr>
            <w:r>
              <w:t>Environnement</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 xml:space="preserve">Il s’agit de favoriser une réouverture des milieux </w:t>
            </w:r>
            <w:r>
              <w:rPr>
                <w:szCs w:val="24"/>
              </w:rPr>
              <w:t>et du paysage, qui connait une remontée biologique rapide si l’on s’en tient aux indicateurs de couverture forestière. L’effet recherché concerne la biodiversité et la gestion de la fertilité des sols favorisant le stockage du Carbone.</w:t>
            </w:r>
          </w:p>
          <w:p w:rsidR="0035701C" w:rsidRDefault="00FB561B">
            <w:pPr>
              <w:spacing w:before="240" w:after="240"/>
              <w:jc w:val="left"/>
              <w:rPr>
                <w:szCs w:val="24"/>
              </w:rPr>
            </w:pPr>
            <w:r>
              <w:rPr>
                <w:szCs w:val="24"/>
              </w:rPr>
              <w:t>Par ailleurs, les di</w:t>
            </w:r>
            <w:r>
              <w:rPr>
                <w:szCs w:val="24"/>
              </w:rPr>
              <w:t xml:space="preserve">fficultés de transmission des exploitations agricoles et de renouvellement des générations contribuent au  vieillissement des cultures pérennes qui ne sont pas renouvelées dans les conditions optimales. Or l’accès au marché pour ces productions repose sur </w:t>
            </w:r>
            <w:r>
              <w:rPr>
                <w:szCs w:val="24"/>
              </w:rPr>
              <w:t>le maintien d’une dimension économique suffisante. Il convient dès lors de favoriser le renouvellement et le développement de ces surfaces en intégrant notamment les problématiques climatiques et environnementales.</w:t>
            </w:r>
          </w:p>
          <w:p w:rsidR="0035701C" w:rsidRDefault="00FB561B">
            <w:pPr>
              <w:spacing w:before="240" w:after="240"/>
              <w:jc w:val="left"/>
              <w:rPr>
                <w:szCs w:val="24"/>
              </w:rPr>
            </w:pPr>
            <w:r>
              <w:rPr>
                <w:szCs w:val="24"/>
              </w:rPr>
              <w:t>Les objectifs concernent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1- Arboricul</w:t>
            </w:r>
            <w:r>
              <w:rPr>
                <w:szCs w:val="24"/>
              </w:rPr>
              <w:t>ture : plantation et rénovation de vergers</w:t>
            </w:r>
          </w:p>
          <w:p w:rsidR="0035701C" w:rsidRDefault="00FB561B" w:rsidP="00FB561B">
            <w:pPr>
              <w:numPr>
                <w:ilvl w:val="0"/>
                <w:numId w:val="79"/>
              </w:numPr>
              <w:spacing w:before="240" w:after="0"/>
              <w:ind w:hanging="244"/>
              <w:jc w:val="left"/>
              <w:rPr>
                <w:szCs w:val="24"/>
              </w:rPr>
            </w:pPr>
            <w:r>
              <w:rPr>
                <w:szCs w:val="24"/>
              </w:rPr>
              <w:t> conserver les vergers dans les filières de production de qualité et de montagne,</w:t>
            </w:r>
          </w:p>
          <w:p w:rsidR="0035701C" w:rsidRDefault="00FB561B" w:rsidP="00FB561B">
            <w:pPr>
              <w:numPr>
                <w:ilvl w:val="0"/>
                <w:numId w:val="79"/>
              </w:numPr>
              <w:spacing w:before="0" w:after="240"/>
              <w:ind w:hanging="244"/>
              <w:jc w:val="left"/>
              <w:rPr>
                <w:szCs w:val="24"/>
              </w:rPr>
            </w:pPr>
            <w:r>
              <w:rPr>
                <w:szCs w:val="24"/>
              </w:rPr>
              <w:t>Assurer le renouvellement des générations d’agriculteurs en maintenant un verger à un niveau de conduite suffisamment performant.</w:t>
            </w:r>
          </w:p>
          <w:p w:rsidR="0035701C" w:rsidRDefault="00FB561B">
            <w:pPr>
              <w:spacing w:before="240" w:after="240"/>
              <w:jc w:val="left"/>
              <w:rPr>
                <w:szCs w:val="24"/>
              </w:rPr>
            </w:pPr>
            <w:r>
              <w:rPr>
                <w:szCs w:val="24"/>
              </w:rPr>
              <w:t>2</w:t>
            </w:r>
            <w:r>
              <w:rPr>
                <w:szCs w:val="24"/>
              </w:rPr>
              <w:t xml:space="preserve"> – Viticulture : La consolidation du secteur viticole nécessite d’accompagner le développement des surfaces de plantation.</w:t>
            </w:r>
          </w:p>
          <w:p w:rsidR="0035701C" w:rsidRDefault="00FB561B">
            <w:pPr>
              <w:spacing w:before="240" w:after="240"/>
              <w:jc w:val="left"/>
              <w:rPr>
                <w:szCs w:val="24"/>
              </w:rPr>
            </w:pPr>
            <w:r>
              <w:rPr>
                <w:szCs w:val="24"/>
              </w:rPr>
              <w:t>3 - Productions horticoles, aromatiques et maraichères : Développer des secteurs qui offrent des opportunités de marché –notamment de</w:t>
            </w:r>
            <w:r>
              <w:rPr>
                <w:szCs w:val="24"/>
              </w:rPr>
              <w:t xml:space="preserve"> circuit court, et un bénéfice environnemental et paysager de protection et de valorisation des sols, en :</w:t>
            </w:r>
          </w:p>
          <w:p w:rsidR="0035701C" w:rsidRDefault="00FB561B" w:rsidP="00FB561B">
            <w:pPr>
              <w:numPr>
                <w:ilvl w:val="0"/>
                <w:numId w:val="80"/>
              </w:numPr>
              <w:spacing w:before="240" w:after="0"/>
              <w:ind w:hanging="244"/>
              <w:jc w:val="left"/>
              <w:rPr>
                <w:szCs w:val="24"/>
              </w:rPr>
            </w:pPr>
            <w:r>
              <w:rPr>
                <w:szCs w:val="24"/>
              </w:rPr>
              <w:t>Soutenant l’installation de nouvelles cultures maraichères y compris sous serre ou de jardins productifs avec une attention particulière pour la péri</w:t>
            </w:r>
            <w:r>
              <w:rPr>
                <w:szCs w:val="24"/>
              </w:rPr>
              <w:t>phérie immédiate des zones villageoises ou urbanisés où le foncier doit être mobilisé.</w:t>
            </w:r>
          </w:p>
          <w:p w:rsidR="0035701C" w:rsidRDefault="00FB561B" w:rsidP="00FB561B">
            <w:pPr>
              <w:numPr>
                <w:ilvl w:val="0"/>
                <w:numId w:val="80"/>
              </w:numPr>
              <w:spacing w:before="0" w:after="240"/>
              <w:ind w:hanging="244"/>
              <w:jc w:val="left"/>
              <w:rPr>
                <w:szCs w:val="24"/>
              </w:rPr>
            </w:pPr>
            <w:r>
              <w:rPr>
                <w:szCs w:val="24"/>
              </w:rPr>
              <w:t>Accompagnant le développement des cultures de plantes aromatiques ou médicinales y compris sur des nouvelles espèces.</w:t>
            </w:r>
          </w:p>
          <w:p w:rsidR="0035701C" w:rsidRDefault="00FB561B">
            <w:pPr>
              <w:spacing w:before="240" w:after="240"/>
              <w:jc w:val="left"/>
              <w:rPr>
                <w:szCs w:val="24"/>
              </w:rPr>
            </w:pPr>
            <w:r>
              <w:rPr>
                <w:szCs w:val="24"/>
              </w:rPr>
              <w:t>4 -  Production fourragère :  renforcer l’autonomie</w:t>
            </w:r>
            <w:r>
              <w:rPr>
                <w:szCs w:val="24"/>
              </w:rPr>
              <w:t xml:space="preserve"> fourragère des exploitations, en augmentant les surfaces en herbe, en structurant les parcours ligneux et en consolidant de véritables « espaces de travail » sur les exploitations de montagne.</w:t>
            </w:r>
          </w:p>
          <w:p w:rsidR="0035701C" w:rsidRDefault="0035701C">
            <w:pPr>
              <w:pStyle w:val="Corpsdetexte"/>
            </w:pPr>
          </w:p>
        </w:tc>
      </w:tr>
    </w:tbl>
    <w:p w:rsidR="0035701C" w:rsidRDefault="00FB561B">
      <w:pPr>
        <w:pStyle w:val="Titre3"/>
        <w:jc w:val="left"/>
      </w:pPr>
      <w:bookmarkStart w:id="51" w:name="_Toc256000050"/>
      <w:r>
        <w:t xml:space="preserve">15-Compenser les handicaps naturels liés à la montagne, au </w:t>
      </w:r>
      <w:r>
        <w:t>climat et à l'insularité</w:t>
      </w:r>
      <w:bookmarkEnd w:id="51"/>
      <w:r>
        <w:t xml:space="preserve"> </w:t>
      </w:r>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81"/>
              </w:numPr>
            </w:pPr>
            <w:r>
              <w:t xml:space="preserve">4A) Restaurer, préserver et renforcer la biodiversité, y compris dans les zones relevant de Natura 2000, les zones soumises à des contraintes naturelles ou à d'autres contraintes spécifiques et les </w:t>
            </w:r>
            <w:r>
              <w:t>zones agricoles à haute valeur naturelle, ainsi que les paysages européens</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82"/>
              </w:numPr>
            </w:pPr>
            <w:r>
              <w:t>Environnement</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La situation insulaire et à démographie et économie fragile de la Corse. Lui a valu d’être considérée comme une région intermédiai</w:t>
            </w:r>
            <w:r>
              <w:rPr>
                <w:szCs w:val="24"/>
              </w:rPr>
              <w:t>re au titre des politiques de cohésion (art 174 TFUE).</w:t>
            </w:r>
          </w:p>
          <w:p w:rsidR="0035701C" w:rsidRDefault="00FB561B">
            <w:pPr>
              <w:spacing w:before="240" w:after="240"/>
              <w:jc w:val="left"/>
              <w:rPr>
                <w:szCs w:val="24"/>
              </w:rPr>
            </w:pPr>
            <w:r>
              <w:rPr>
                <w:szCs w:val="24"/>
              </w:rPr>
              <w:t>En ce qui concerne l’agriculture, la prise en compte de la notion de handicaps est en lien avec le caractère montagnard et les fortes contraintes de relief et de sol en découlant.</w:t>
            </w:r>
          </w:p>
          <w:p w:rsidR="0035701C" w:rsidRDefault="00FB561B">
            <w:pPr>
              <w:spacing w:before="240" w:after="240"/>
              <w:jc w:val="left"/>
              <w:rPr>
                <w:szCs w:val="24"/>
              </w:rPr>
            </w:pPr>
            <w:r>
              <w:rPr>
                <w:szCs w:val="24"/>
              </w:rPr>
              <w:t>Ainsi l’écart de reve</w:t>
            </w:r>
            <w:r>
              <w:rPr>
                <w:szCs w:val="24"/>
              </w:rPr>
              <w:t>nu constaté entre les exploitations de Corse et les exploitations continentales de même nature reste important.</w:t>
            </w:r>
          </w:p>
          <w:p w:rsidR="0035701C" w:rsidRDefault="00FB561B">
            <w:pPr>
              <w:spacing w:before="240" w:after="240"/>
              <w:jc w:val="left"/>
              <w:rPr>
                <w:szCs w:val="24"/>
              </w:rPr>
            </w:pPr>
            <w:r>
              <w:rPr>
                <w:szCs w:val="24"/>
              </w:rPr>
              <w:t>Ces handicaps permanents nécessitent de mobiliser les dispositifs prévus à cet effet dans le cadre second pilier de la PAC.</w:t>
            </w:r>
          </w:p>
          <w:p w:rsidR="0035701C" w:rsidRDefault="0035701C">
            <w:pPr>
              <w:pStyle w:val="Corpsdetexte"/>
            </w:pPr>
          </w:p>
        </w:tc>
      </w:tr>
    </w:tbl>
    <w:p w:rsidR="0035701C" w:rsidRDefault="00FB561B">
      <w:pPr>
        <w:pStyle w:val="Titre3"/>
        <w:jc w:val="left"/>
      </w:pPr>
      <w:bookmarkStart w:id="52" w:name="_Toc256000051"/>
      <w:r>
        <w:t xml:space="preserve">16-Accroître la </w:t>
      </w:r>
      <w:r>
        <w:t>contribution de l’agriculture à la valorisation du patrimoine naturel, au maintien de la biodiversité</w:t>
      </w:r>
      <w:bookmarkEnd w:id="52"/>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83"/>
              </w:numPr>
            </w:pPr>
            <w:r>
              <w:t>4A) Restaurer, préserver et renforcer la biodiversité, y compris dans les zones relevant de Natura 2000, les zones soumise</w:t>
            </w:r>
            <w:r>
              <w:t>s à des contraintes naturelles ou à d'autres contraintes spécifiques et les zones agricoles à haute valeur naturelle, ainsi que les paysages européens</w:t>
            </w:r>
          </w:p>
          <w:p w:rsidR="0035701C" w:rsidRDefault="00FB561B" w:rsidP="00FB561B">
            <w:pPr>
              <w:numPr>
                <w:ilvl w:val="0"/>
                <w:numId w:val="83"/>
              </w:numPr>
            </w:pPr>
            <w:r>
              <w:t>4B) Améliorer la gestion de l'eau, y compris la gestion des engrais et des pesticides</w:t>
            </w:r>
          </w:p>
          <w:p w:rsidR="0035701C" w:rsidRDefault="00FB561B" w:rsidP="00FB561B">
            <w:pPr>
              <w:numPr>
                <w:ilvl w:val="0"/>
                <w:numId w:val="83"/>
              </w:numPr>
            </w:pPr>
            <w:r>
              <w:t>4C) Prévenir l'éros</w:t>
            </w:r>
            <w:r>
              <w:t>ion des sols et améliorer la gestion des sols</w:t>
            </w:r>
          </w:p>
          <w:p w:rsidR="0035701C" w:rsidRDefault="00FB561B" w:rsidP="00FB561B">
            <w:pPr>
              <w:numPr>
                <w:ilvl w:val="0"/>
                <w:numId w:val="83"/>
              </w:numPr>
            </w:pPr>
            <w:r>
              <w:t>5A) Développer l'utilisation efficace de l'eau dans l'agriculture</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84"/>
              </w:numPr>
            </w:pPr>
            <w:r>
              <w:t>Environnement</w:t>
            </w:r>
          </w:p>
          <w:p w:rsidR="0035701C" w:rsidRDefault="00FB561B" w:rsidP="00FB561B">
            <w:pPr>
              <w:numPr>
                <w:ilvl w:val="0"/>
                <w:numId w:val="84"/>
              </w:numPr>
            </w:pPr>
            <w:r>
              <w:t>Atténuation des changements climatiques et adaptation à ces changements</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b/>
                <w:bCs/>
                <w:szCs w:val="24"/>
              </w:rPr>
              <w:t xml:space="preserve">- Description du </w:t>
            </w:r>
            <w:r>
              <w:rPr>
                <w:b/>
                <w:bCs/>
                <w:szCs w:val="24"/>
              </w:rPr>
              <w:t>besoin</w:t>
            </w:r>
          </w:p>
          <w:p w:rsidR="0035701C" w:rsidRDefault="00FB561B">
            <w:pPr>
              <w:spacing w:before="240" w:after="240"/>
              <w:jc w:val="left"/>
              <w:rPr>
                <w:szCs w:val="24"/>
              </w:rPr>
            </w:pPr>
            <w:r>
              <w:rPr>
                <w:szCs w:val="24"/>
              </w:rPr>
              <w:t>Un des objectifs principaux sur lequel l’agriculture corse doit s’investir dans les années à venir est celui d’augmenter la production tout en garantissant à la population une qualité saine et respectueuse de l’environnement. Ainsi le modèle à adopt</w:t>
            </w:r>
            <w:r>
              <w:rPr>
                <w:szCs w:val="24"/>
              </w:rPr>
              <w:t>er ne doit pas être productiviste ; il impose ainsi de définir des systèmes de production adaptés aux potentialités, préservant le bon état des ressources tout en permettant d’optimiser la marge brute des exploitations agricoles.</w:t>
            </w:r>
          </w:p>
          <w:p w:rsidR="0035701C" w:rsidRDefault="00FB561B">
            <w:pPr>
              <w:spacing w:before="240" w:after="240"/>
              <w:jc w:val="left"/>
              <w:rPr>
                <w:szCs w:val="24"/>
              </w:rPr>
            </w:pPr>
            <w:r>
              <w:rPr>
                <w:szCs w:val="24"/>
              </w:rPr>
              <w:t>Ce modèle requière à minim</w:t>
            </w:r>
            <w:r>
              <w:rPr>
                <w:szCs w:val="24"/>
              </w:rPr>
              <w:t>a :</w:t>
            </w:r>
          </w:p>
          <w:p w:rsidR="0035701C" w:rsidRDefault="00FB561B" w:rsidP="00FB561B">
            <w:pPr>
              <w:numPr>
                <w:ilvl w:val="0"/>
                <w:numId w:val="85"/>
              </w:numPr>
              <w:spacing w:before="240" w:after="0"/>
              <w:ind w:hanging="210"/>
              <w:jc w:val="left"/>
              <w:rPr>
                <w:szCs w:val="24"/>
              </w:rPr>
            </w:pPr>
            <w:r>
              <w:rPr>
                <w:szCs w:val="24"/>
              </w:rPr>
              <w:t>une mobilisation de plus d’espace, notamment pour produire des protéines animales (lait, viande) et</w:t>
            </w:r>
          </w:p>
          <w:p w:rsidR="0035701C" w:rsidRDefault="00FB561B" w:rsidP="00FB561B">
            <w:pPr>
              <w:numPr>
                <w:ilvl w:val="0"/>
                <w:numId w:val="85"/>
              </w:numPr>
              <w:spacing w:before="0" w:after="0"/>
              <w:ind w:hanging="210"/>
              <w:jc w:val="left"/>
              <w:rPr>
                <w:szCs w:val="24"/>
              </w:rPr>
            </w:pPr>
            <w:r>
              <w:rPr>
                <w:szCs w:val="24"/>
              </w:rPr>
              <w:t>une intensification de la connaissance et de l’innovation.</w:t>
            </w:r>
          </w:p>
          <w:p w:rsidR="0035701C" w:rsidRDefault="00FB561B" w:rsidP="00FB561B">
            <w:pPr>
              <w:numPr>
                <w:ilvl w:val="0"/>
                <w:numId w:val="85"/>
              </w:numPr>
              <w:spacing w:before="0" w:after="0"/>
              <w:ind w:hanging="210"/>
              <w:jc w:val="left"/>
              <w:rPr>
                <w:szCs w:val="24"/>
              </w:rPr>
            </w:pPr>
            <w:r>
              <w:rPr>
                <w:szCs w:val="24"/>
              </w:rPr>
              <w:t xml:space="preserve">Il ne s’agit pas d’intensifier à tout prix les systèmes ou de les fragiliser sur le plan </w:t>
            </w:r>
            <w:r>
              <w:rPr>
                <w:szCs w:val="24"/>
              </w:rPr>
              <w:t>économique, mais de parvenir à une évolution fonctionnelle basée préférentiellement sur l’addition de savoir-faire et de l’innovation : investissement et accroissement de la capacité sont indissociables.</w:t>
            </w:r>
          </w:p>
          <w:p w:rsidR="0035701C" w:rsidRDefault="00FB561B" w:rsidP="00FB561B">
            <w:pPr>
              <w:numPr>
                <w:ilvl w:val="0"/>
                <w:numId w:val="85"/>
              </w:numPr>
              <w:spacing w:before="0" w:after="0"/>
              <w:ind w:hanging="210"/>
              <w:jc w:val="left"/>
              <w:rPr>
                <w:szCs w:val="24"/>
              </w:rPr>
            </w:pPr>
            <w:r>
              <w:rPr>
                <w:szCs w:val="24"/>
              </w:rPr>
              <w:t xml:space="preserve">Les systèmes de production doivent devenir durables </w:t>
            </w:r>
            <w:r>
              <w:rPr>
                <w:szCs w:val="24"/>
              </w:rPr>
              <w:t>et gagner en résilience.</w:t>
            </w:r>
          </w:p>
          <w:p w:rsidR="0035701C" w:rsidRDefault="00FB561B" w:rsidP="00FB561B">
            <w:pPr>
              <w:numPr>
                <w:ilvl w:val="0"/>
                <w:numId w:val="85"/>
              </w:numPr>
              <w:spacing w:before="0" w:after="0"/>
              <w:ind w:hanging="210"/>
              <w:jc w:val="left"/>
              <w:rPr>
                <w:szCs w:val="24"/>
              </w:rPr>
            </w:pPr>
            <w:r>
              <w:rPr>
                <w:szCs w:val="24"/>
              </w:rPr>
              <w:t>Il est ainsi nécessaire de considérer notamment les questions :</w:t>
            </w:r>
          </w:p>
          <w:p w:rsidR="0035701C" w:rsidRDefault="00FB561B" w:rsidP="00FB561B">
            <w:pPr>
              <w:numPr>
                <w:ilvl w:val="0"/>
                <w:numId w:val="85"/>
              </w:numPr>
              <w:spacing w:before="0" w:after="0"/>
              <w:ind w:hanging="210"/>
              <w:jc w:val="left"/>
              <w:rPr>
                <w:szCs w:val="24"/>
              </w:rPr>
            </w:pPr>
            <w:r>
              <w:rPr>
                <w:szCs w:val="24"/>
              </w:rPr>
              <w:t>de l’impact des pratiques sur les ressources naturelles (sol, eau, air) et la biodiversité,</w:t>
            </w:r>
          </w:p>
          <w:p w:rsidR="0035701C" w:rsidRDefault="00FB561B" w:rsidP="00FB561B">
            <w:pPr>
              <w:numPr>
                <w:ilvl w:val="0"/>
                <w:numId w:val="85"/>
              </w:numPr>
              <w:spacing w:before="0" w:after="0"/>
              <w:ind w:hanging="210"/>
              <w:jc w:val="left"/>
              <w:rPr>
                <w:szCs w:val="24"/>
              </w:rPr>
            </w:pPr>
            <w:r>
              <w:rPr>
                <w:szCs w:val="24"/>
              </w:rPr>
              <w:t>de l’adaptation aux effets du changement climatique,</w:t>
            </w:r>
          </w:p>
          <w:p w:rsidR="0035701C" w:rsidRDefault="00FB561B" w:rsidP="00FB561B">
            <w:pPr>
              <w:numPr>
                <w:ilvl w:val="0"/>
                <w:numId w:val="85"/>
              </w:numPr>
              <w:spacing w:before="0" w:after="240"/>
              <w:ind w:hanging="210"/>
              <w:jc w:val="left"/>
              <w:rPr>
                <w:szCs w:val="24"/>
              </w:rPr>
            </w:pPr>
            <w:r>
              <w:rPr>
                <w:szCs w:val="24"/>
              </w:rPr>
              <w:t>et des défis posés par</w:t>
            </w:r>
            <w:r>
              <w:rPr>
                <w:szCs w:val="24"/>
              </w:rPr>
              <w:t xml:space="preserve"> la transition énergétique.</w:t>
            </w:r>
          </w:p>
          <w:p w:rsidR="0035701C" w:rsidRDefault="0035701C">
            <w:pPr>
              <w:pStyle w:val="Corpsdetexte"/>
            </w:pPr>
          </w:p>
        </w:tc>
      </w:tr>
    </w:tbl>
    <w:p w:rsidR="0035701C" w:rsidRDefault="00FB561B">
      <w:pPr>
        <w:pStyle w:val="Titre3"/>
        <w:jc w:val="left"/>
      </w:pPr>
      <w:bookmarkStart w:id="53" w:name="_Toc256000052"/>
      <w:r>
        <w:t>17-Gérer les risques</w:t>
      </w:r>
      <w:bookmarkEnd w:id="53"/>
      <w:r>
        <w:t xml:space="preserve"> </w:t>
      </w:r>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86"/>
              </w:numPr>
            </w:pPr>
            <w:r>
              <w:t>3B) Soutien à la prévention et à la gestion des risques au niveau des exploitations</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87"/>
              </w:numPr>
            </w:pPr>
            <w:r>
              <w:t>Environnement</w:t>
            </w:r>
          </w:p>
          <w:p w:rsidR="0035701C" w:rsidRDefault="00FB561B" w:rsidP="00FB561B">
            <w:pPr>
              <w:numPr>
                <w:ilvl w:val="0"/>
                <w:numId w:val="87"/>
              </w:numPr>
            </w:pPr>
            <w:r>
              <w:t xml:space="preserve">Atténuation des changements climatiques et </w:t>
            </w:r>
            <w:r>
              <w:t>adaptation à ces changements</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b/>
                <w:bCs/>
                <w:szCs w:val="24"/>
              </w:rPr>
              <w:t>- Description du besoin</w:t>
            </w:r>
          </w:p>
          <w:p w:rsidR="0035701C" w:rsidRDefault="00FB561B">
            <w:pPr>
              <w:spacing w:before="240" w:after="240"/>
              <w:jc w:val="left"/>
              <w:rPr>
                <w:szCs w:val="24"/>
              </w:rPr>
            </w:pPr>
            <w:r>
              <w:rPr>
                <w:szCs w:val="24"/>
              </w:rPr>
              <w:t>Les producteurs sont soumis à une série de risques de plusieurs natures (spéculation, calamités, épizooties, espèces nuisibles, incendies).</w:t>
            </w:r>
          </w:p>
          <w:p w:rsidR="0035701C" w:rsidRDefault="00FB561B">
            <w:pPr>
              <w:spacing w:before="240" w:after="240"/>
              <w:jc w:val="left"/>
              <w:rPr>
                <w:szCs w:val="24"/>
              </w:rPr>
            </w:pPr>
            <w:r>
              <w:rPr>
                <w:szCs w:val="24"/>
              </w:rPr>
              <w:t xml:space="preserve">Les exemples récents et récurrents (cynips du </w:t>
            </w:r>
            <w:r>
              <w:rPr>
                <w:szCs w:val="24"/>
              </w:rPr>
              <w:t>châtaignier, fièvre catarrhale ovine) viennent rappeler qu’une maîtrise accrue de la prévention et de la lutte sont nécessaires, bien que la surveillance et la sureté en matière de prévention et de lutte soit une compétence principalement dévolue à l’état.</w:t>
            </w:r>
          </w:p>
          <w:p w:rsidR="0035701C" w:rsidRDefault="00FB561B">
            <w:pPr>
              <w:spacing w:before="240" w:after="240"/>
              <w:jc w:val="left"/>
              <w:rPr>
                <w:szCs w:val="24"/>
              </w:rPr>
            </w:pPr>
            <w:r>
              <w:rPr>
                <w:szCs w:val="24"/>
              </w:rPr>
              <w:t>Dans le domaine des incendies, il convient de promouvoir une prévention active, imbriquant les activités agricoles, plutôt qu’une approche passive.</w:t>
            </w:r>
          </w:p>
          <w:p w:rsidR="0035701C" w:rsidRDefault="00FB561B">
            <w:pPr>
              <w:spacing w:before="240" w:after="240"/>
              <w:jc w:val="left"/>
              <w:rPr>
                <w:szCs w:val="24"/>
              </w:rPr>
            </w:pPr>
            <w:r>
              <w:rPr>
                <w:szCs w:val="24"/>
              </w:rPr>
              <w:t>Par ailleurs, un risque inondation existe sur certains territoires (communes littorales de plaine, embouchu</w:t>
            </w:r>
            <w:r>
              <w:rPr>
                <w:szCs w:val="24"/>
              </w:rPr>
              <w:t>res de cours d’eau, fond de vallée). Les plans de préventions des risques inondations (PPRI) interviennent en soutien aux actions de prévention dans ce domaine.</w:t>
            </w:r>
          </w:p>
          <w:p w:rsidR="0035701C" w:rsidRDefault="00FB561B">
            <w:pPr>
              <w:spacing w:before="240" w:after="240"/>
              <w:jc w:val="left"/>
              <w:rPr>
                <w:szCs w:val="24"/>
              </w:rPr>
            </w:pPr>
            <w:r>
              <w:rPr>
                <w:szCs w:val="24"/>
              </w:rPr>
              <w:t>En complément, le programme national de gestion des risques intervient auprès des exploitants a</w:t>
            </w:r>
            <w:r>
              <w:rPr>
                <w:szCs w:val="24"/>
              </w:rPr>
              <w:t>gricoles qui ont subi des dommages (Mesure M17).</w:t>
            </w:r>
          </w:p>
          <w:p w:rsidR="0035701C" w:rsidRDefault="0035701C">
            <w:pPr>
              <w:pStyle w:val="Corpsdetexte"/>
            </w:pPr>
          </w:p>
        </w:tc>
      </w:tr>
    </w:tbl>
    <w:p w:rsidR="0035701C" w:rsidRDefault="00FB561B">
      <w:pPr>
        <w:pStyle w:val="Titre3"/>
        <w:jc w:val="left"/>
      </w:pPr>
      <w:bookmarkStart w:id="54" w:name="_Toc256000053"/>
      <w:r>
        <w:t>18-Poursuivre et consolider les actions de Recherche et Développement</w:t>
      </w:r>
      <w:bookmarkEnd w:id="54"/>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88"/>
              </w:numPr>
            </w:pPr>
            <w:r>
              <w:t xml:space="preserve">1A) Favoriser l'innovation, la coopération et le développement de la base de connaissances dans les </w:t>
            </w:r>
            <w:r>
              <w:t>zones rurales</w:t>
            </w:r>
          </w:p>
          <w:p w:rsidR="0035701C" w:rsidRDefault="00FB561B" w:rsidP="00FB561B">
            <w:pPr>
              <w:numPr>
                <w:ilvl w:val="0"/>
                <w:numId w:val="88"/>
              </w:numPr>
            </w:pPr>
            <w:r>
              <w:t>1B) Renforcer les liens entre l'agriculture, la production alimentaire et la foresterie, la recherche et l'innovation, y compris aux fins d'améliorer la gestion et les performances dans le domaine de l'environnement</w:t>
            </w:r>
          </w:p>
          <w:p w:rsidR="0035701C" w:rsidRDefault="00FB561B" w:rsidP="00FB561B">
            <w:pPr>
              <w:numPr>
                <w:ilvl w:val="0"/>
                <w:numId w:val="88"/>
              </w:numPr>
            </w:pPr>
            <w:r>
              <w:t>2A) Améliorer les résultat</w:t>
            </w:r>
            <w:r>
              <w:t>s économiques de toutes les exploitations agricoles et faciliter la restructuration et la modernisation des exploitations agricoles, notamment en vue d'accroître la participation au marché et l'orientation vers le marché ainsi que la diversification agrico</w:t>
            </w:r>
            <w:r>
              <w:t>le</w:t>
            </w:r>
          </w:p>
          <w:p w:rsidR="0035701C" w:rsidRDefault="00FB561B" w:rsidP="00FB561B">
            <w:pPr>
              <w:numPr>
                <w:ilvl w:val="0"/>
                <w:numId w:val="88"/>
              </w:numPr>
            </w:pPr>
            <w:r>
              <w:t>5E) Promouvoir la conservation et la séquestration du carbone dans les secteurs de l'agriculture et de la foresterie</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89"/>
              </w:numPr>
            </w:pPr>
            <w:r>
              <w:t>Environnement</w:t>
            </w:r>
          </w:p>
          <w:p w:rsidR="0035701C" w:rsidRDefault="00FB561B" w:rsidP="00FB561B">
            <w:pPr>
              <w:numPr>
                <w:ilvl w:val="0"/>
                <w:numId w:val="89"/>
              </w:numPr>
            </w:pPr>
            <w:r>
              <w:t>Atténuation des changements climatiques et adaptation à ces changements</w:t>
            </w:r>
          </w:p>
          <w:p w:rsidR="0035701C" w:rsidRDefault="00FB561B" w:rsidP="00FB561B">
            <w:pPr>
              <w:numPr>
                <w:ilvl w:val="0"/>
                <w:numId w:val="89"/>
              </w:numPr>
            </w:pPr>
            <w:r>
              <w:t>Innovation</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Les actions de Recherche et Développement (R&amp;D) sont nécessaires en amont de la formation et de l’appui technique. Elles ont une place cruciale pour fournir des références et des pistes d’action dans la perspective d’un développement harmonieux de l’agricu</w:t>
            </w:r>
            <w:r>
              <w:rPr>
                <w:szCs w:val="24"/>
              </w:rPr>
              <w:t>lture et de son adaptation aux défis techniques, économiques, climatiques et sanitaires.</w:t>
            </w:r>
          </w:p>
          <w:p w:rsidR="0035701C" w:rsidRDefault="00FB561B">
            <w:pPr>
              <w:spacing w:before="240" w:after="240"/>
              <w:jc w:val="left"/>
              <w:rPr>
                <w:szCs w:val="24"/>
              </w:rPr>
            </w:pPr>
            <w:r>
              <w:rPr>
                <w:szCs w:val="24"/>
              </w:rPr>
              <w:t>Cet effort est d’autant plus important que les problématiques spécifiques qui se posent à un territoire méditerranéen et montagneux comme la Corse peuvent être considé</w:t>
            </w:r>
            <w:r>
              <w:rPr>
                <w:szCs w:val="24"/>
              </w:rPr>
              <w:t>rées comme marginales à l’échelle de la recherche scientifique et de la production mondialisée.</w:t>
            </w:r>
          </w:p>
          <w:p w:rsidR="0035701C" w:rsidRDefault="00FB561B">
            <w:pPr>
              <w:spacing w:before="240" w:after="240"/>
              <w:jc w:val="left"/>
              <w:rPr>
                <w:szCs w:val="24"/>
              </w:rPr>
            </w:pPr>
            <w:r>
              <w:rPr>
                <w:szCs w:val="24"/>
              </w:rPr>
              <w:t>En même temps, les recherches menées localement essayent de tirer profit de coopérations et du lien avec des thématiques transversales, notamment celles qui con</w:t>
            </w:r>
            <w:r>
              <w:rPr>
                <w:szCs w:val="24"/>
              </w:rPr>
              <w:t>cernent les approches territoriales et environnementales.</w:t>
            </w:r>
          </w:p>
          <w:p w:rsidR="0035701C" w:rsidRDefault="00FB561B">
            <w:pPr>
              <w:spacing w:before="240" w:after="240"/>
              <w:jc w:val="left"/>
              <w:rPr>
                <w:szCs w:val="24"/>
              </w:rPr>
            </w:pPr>
            <w:r>
              <w:rPr>
                <w:szCs w:val="24"/>
              </w:rPr>
              <w:t>La réduction progressive des unités de recherche de l’INRA et la charge de plus en plus importante assumée par les filières organisées ont incité les décideurs à mettre en place deux pôles de compét</w:t>
            </w:r>
            <w:r>
              <w:rPr>
                <w:szCs w:val="24"/>
              </w:rPr>
              <w:t>ence, respectivement en filière végétale en plaine orientale (Corsic'Agropole) et en élevage dans le centre Corse (PCE Altiani ODARC). Ces projets ouvrent des perspectives importantes pour l’avenir.</w:t>
            </w:r>
          </w:p>
          <w:p w:rsidR="0035701C" w:rsidRDefault="0035701C">
            <w:pPr>
              <w:pStyle w:val="Corpsdetexte"/>
            </w:pPr>
          </w:p>
        </w:tc>
      </w:tr>
    </w:tbl>
    <w:p w:rsidR="0035701C" w:rsidRDefault="00FB561B">
      <w:pPr>
        <w:pStyle w:val="Titre3"/>
        <w:jc w:val="left"/>
      </w:pPr>
      <w:bookmarkStart w:id="55" w:name="_Toc256000054"/>
      <w:r>
        <w:t xml:space="preserve">19-Soutenir les démarches de qualité, valoriser les </w:t>
      </w:r>
      <w:r>
        <w:t>liens produits/Terroirs  et développer la qualité environnementale</w:t>
      </w:r>
      <w:bookmarkEnd w:id="55"/>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90"/>
              </w:numPr>
            </w:pPr>
            <w:r>
              <w:t>1A) Favoriser l'innovation, la coopération et le développement de la base de connaissances dans les zones rurales</w:t>
            </w:r>
          </w:p>
          <w:p w:rsidR="0035701C" w:rsidRDefault="00FB561B" w:rsidP="00FB561B">
            <w:pPr>
              <w:numPr>
                <w:ilvl w:val="0"/>
                <w:numId w:val="90"/>
              </w:numPr>
            </w:pPr>
            <w:r>
              <w:t xml:space="preserve">2A) Améliorer les résultats économiques de </w:t>
            </w:r>
            <w:r>
              <w:t>toutes les exploitations agricoles et faciliter la restructuration et la modernisation des exploitations agricoles, notamment en vue d'accroître la participation au marché et l'orientation vers le marché ainsi que la diversification agricole</w:t>
            </w:r>
          </w:p>
          <w:p w:rsidR="0035701C" w:rsidRDefault="00FB561B" w:rsidP="00FB561B">
            <w:pPr>
              <w:numPr>
                <w:ilvl w:val="0"/>
                <w:numId w:val="90"/>
              </w:numPr>
            </w:pPr>
            <w:r>
              <w:t xml:space="preserve">3A) Améliorer </w:t>
            </w:r>
            <w:r>
              <w:t>la compétitivité des producteurs primaires en les intégrant mieux dans la chaîne agroalimentaire au moyen des programmes de qualité, en conférant une valeur ajoutée aux produits agricoles, et par le biais de la promotion sur les marchés locaux et des circu</w:t>
            </w:r>
            <w:r>
              <w:t>its d’approvisionnement courts, des groupements de producteurs et des organisations interprofessionnelles</w:t>
            </w:r>
          </w:p>
          <w:p w:rsidR="0035701C" w:rsidRDefault="00FB561B" w:rsidP="00FB561B">
            <w:pPr>
              <w:numPr>
                <w:ilvl w:val="0"/>
                <w:numId w:val="90"/>
              </w:numPr>
            </w:pPr>
            <w:r>
              <w:t>4B) Améliorer la gestion de l'eau, y compris la gestion des engrais et des pesticides</w:t>
            </w:r>
          </w:p>
          <w:p w:rsidR="0035701C" w:rsidRDefault="00FB561B" w:rsidP="00FB561B">
            <w:pPr>
              <w:numPr>
                <w:ilvl w:val="0"/>
                <w:numId w:val="90"/>
              </w:numPr>
            </w:pPr>
            <w:r>
              <w:t>5E) Promouvoir la conservation et la séquestration du carbone da</w:t>
            </w:r>
            <w:r>
              <w:t>ns les secteurs de l'agriculture et de la foresterie</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91"/>
              </w:numPr>
            </w:pPr>
            <w:r>
              <w:t>Environnement</w:t>
            </w:r>
          </w:p>
          <w:p w:rsidR="0035701C" w:rsidRDefault="00FB561B" w:rsidP="00FB561B">
            <w:pPr>
              <w:numPr>
                <w:ilvl w:val="0"/>
                <w:numId w:val="91"/>
              </w:numPr>
            </w:pPr>
            <w:r>
              <w:t>Innovation</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 xml:space="preserve">Les démarches de production sous signe officiel de qualité (agriculture biologique, label rouge) et d’origine (AOC/AOP, IGP) ont permis ces </w:t>
            </w:r>
            <w:r>
              <w:rPr>
                <w:szCs w:val="24"/>
              </w:rPr>
              <w:t>dernières années, une progression notable de certaines filières de production, en offrant une meilleure visibilité aux productions et en permettant une amélioration de la valeur ajoutée.</w:t>
            </w:r>
          </w:p>
          <w:p w:rsidR="0035701C" w:rsidRDefault="00FB561B">
            <w:pPr>
              <w:spacing w:before="240" w:after="240"/>
              <w:jc w:val="left"/>
              <w:rPr>
                <w:szCs w:val="24"/>
              </w:rPr>
            </w:pPr>
            <w:r>
              <w:rPr>
                <w:szCs w:val="24"/>
              </w:rPr>
              <w:t>Les productions certifiées sont un facteur de compétitivité indéniabl</w:t>
            </w:r>
            <w:r>
              <w:rPr>
                <w:szCs w:val="24"/>
              </w:rPr>
              <w:t>e pour les producteurs et les filières face à la concurrence. Elles représentent une stratégie de différenciation et de valorisation de l’offre, de manière lisible et contrôlable, et un modèle de production soutenable.</w:t>
            </w:r>
          </w:p>
          <w:p w:rsidR="0035701C" w:rsidRDefault="00FB561B">
            <w:pPr>
              <w:spacing w:before="240" w:after="240"/>
              <w:jc w:val="left"/>
              <w:rPr>
                <w:szCs w:val="24"/>
              </w:rPr>
            </w:pPr>
            <w:r>
              <w:rPr>
                <w:szCs w:val="24"/>
              </w:rPr>
              <w:t>Le positionnement d’autres production</w:t>
            </w:r>
            <w:r>
              <w:rPr>
                <w:szCs w:val="24"/>
              </w:rPr>
              <w:t>s non transformées (viande, fruits et légumes de saison) susceptibles d’offrir au consommateur une saisonnalité et un lien au territoire doivent également s’inscrire dans une stratégie de différenciation et d’affirmation de l’originalité des produits ; les</w:t>
            </w:r>
            <w:r>
              <w:rPr>
                <w:szCs w:val="24"/>
              </w:rPr>
              <w:t xml:space="preserve"> questions qualitatives et environnementale y ont également toute leur place, celles-ci peuvent se définir autour de label voire de certification environnementale.</w:t>
            </w:r>
          </w:p>
          <w:p w:rsidR="0035701C" w:rsidRDefault="00FB561B">
            <w:pPr>
              <w:spacing w:before="240" w:after="240"/>
              <w:jc w:val="left"/>
              <w:rPr>
                <w:szCs w:val="24"/>
              </w:rPr>
            </w:pPr>
            <w:r>
              <w:rPr>
                <w:szCs w:val="24"/>
              </w:rPr>
              <w:t>Ce soutien aux démarches de certification de la qualité requière également un préalable au n</w:t>
            </w:r>
            <w:r>
              <w:rPr>
                <w:szCs w:val="24"/>
              </w:rPr>
              <w:t>iveau de l’accompagnement des exploitations agricoles. Il convient ainsi :</w:t>
            </w:r>
          </w:p>
          <w:p w:rsidR="0035701C" w:rsidRDefault="00FB561B" w:rsidP="00FB561B">
            <w:pPr>
              <w:numPr>
                <w:ilvl w:val="0"/>
                <w:numId w:val="92"/>
              </w:numPr>
              <w:spacing w:before="240" w:after="0"/>
              <w:ind w:hanging="210"/>
              <w:jc w:val="left"/>
              <w:rPr>
                <w:szCs w:val="24"/>
              </w:rPr>
            </w:pPr>
            <w:r>
              <w:rPr>
                <w:szCs w:val="24"/>
              </w:rPr>
              <w:t>de s’assurer d’un socle technique adéquat, notamment au cours de la phase d’installation ou de conversion en démarche qualité. Il est nécessaire notamment que des formations aux dém</w:t>
            </w:r>
            <w:r>
              <w:rPr>
                <w:szCs w:val="24"/>
              </w:rPr>
              <w:t>arches de qualité soient réalisées par les filières concernées au sein des centres de formation et des lycées agricoles,</w:t>
            </w:r>
          </w:p>
          <w:p w:rsidR="0035701C" w:rsidRDefault="00FB561B" w:rsidP="00FB561B">
            <w:pPr>
              <w:numPr>
                <w:ilvl w:val="0"/>
                <w:numId w:val="92"/>
              </w:numPr>
              <w:spacing w:before="0" w:after="0"/>
              <w:ind w:hanging="210"/>
              <w:jc w:val="left"/>
              <w:rPr>
                <w:szCs w:val="24"/>
              </w:rPr>
            </w:pPr>
            <w:r>
              <w:rPr>
                <w:szCs w:val="24"/>
              </w:rPr>
              <w:t xml:space="preserve">d’accompagner spécifiquement le candidat à l’installation, dans sa démarche qualité : suivi du parcours en installation adapté aux </w:t>
            </w:r>
            <w:r>
              <w:rPr>
                <w:szCs w:val="24"/>
              </w:rPr>
              <w:t>contraintes de la certification, bonification de la DJA intervenant au moment de la certification effective de la production,</w:t>
            </w:r>
          </w:p>
          <w:p w:rsidR="0035701C" w:rsidRDefault="00FB561B" w:rsidP="00FB561B">
            <w:pPr>
              <w:numPr>
                <w:ilvl w:val="0"/>
                <w:numId w:val="92"/>
              </w:numPr>
              <w:spacing w:before="0" w:after="0"/>
              <w:ind w:hanging="210"/>
              <w:jc w:val="left"/>
              <w:rPr>
                <w:szCs w:val="24"/>
              </w:rPr>
            </w:pPr>
            <w:r>
              <w:rPr>
                <w:szCs w:val="24"/>
              </w:rPr>
              <w:t>d'accorder un soutien supplémentaire aux acteurs qui s’engagent dans les démarches de certification,</w:t>
            </w:r>
          </w:p>
          <w:p w:rsidR="0035701C" w:rsidRDefault="00FB561B" w:rsidP="00FB561B">
            <w:pPr>
              <w:numPr>
                <w:ilvl w:val="0"/>
                <w:numId w:val="92"/>
              </w:numPr>
              <w:spacing w:before="0" w:after="240"/>
              <w:ind w:hanging="210"/>
              <w:jc w:val="left"/>
              <w:rPr>
                <w:szCs w:val="24"/>
              </w:rPr>
            </w:pPr>
            <w:r>
              <w:rPr>
                <w:szCs w:val="24"/>
              </w:rPr>
              <w:t>de sensibiliser les producteu</w:t>
            </w:r>
            <w:r>
              <w:rPr>
                <w:szCs w:val="24"/>
              </w:rPr>
              <w:t>rs sur les avantages à se structurer collectivement en se basant sur les expériences réussies (valeur d’exemple).</w:t>
            </w:r>
          </w:p>
          <w:p w:rsidR="0035701C" w:rsidRDefault="0035701C">
            <w:pPr>
              <w:pStyle w:val="Corpsdetexte"/>
            </w:pPr>
          </w:p>
        </w:tc>
      </w:tr>
    </w:tbl>
    <w:p w:rsidR="0035701C" w:rsidRDefault="00FB561B">
      <w:pPr>
        <w:pStyle w:val="Titre3"/>
        <w:jc w:val="left"/>
      </w:pPr>
      <w:bookmarkStart w:id="56" w:name="_Toc256000055"/>
      <w:r>
        <w:t>20-Renforcer la promotion et la commercialisation des produits sur le marché local, national et international</w:t>
      </w:r>
      <w:bookmarkEnd w:id="56"/>
      <w:r>
        <w:t xml:space="preserve"> </w:t>
      </w:r>
    </w:p>
    <w:p w:rsidR="0035701C" w:rsidRDefault="00FB561B">
      <w:r>
        <w:t>Priorités/Domaines prioritair</w:t>
      </w:r>
      <w:r>
        <w:t>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93"/>
              </w:numPr>
            </w:pPr>
            <w:r>
              <w:t>3A) Améliorer la compétitivité des producteurs primaires en les intégrant mieux dans la chaîne agroalimentaire au moyen des programmes de qualité, en conférant une valeur ajoutée aux produits agricoles, et par le biais de la promotion sur les marchés lo</w:t>
            </w:r>
            <w:r>
              <w:t>caux et des circuits d’approvisionnement courts, des groupements de producteurs et des organisations interprofessionnelles</w:t>
            </w:r>
          </w:p>
          <w:p w:rsidR="0035701C" w:rsidRDefault="00FB561B" w:rsidP="00FB561B">
            <w:pPr>
              <w:numPr>
                <w:ilvl w:val="0"/>
                <w:numId w:val="93"/>
              </w:numPr>
            </w:pPr>
            <w:r>
              <w:t>5E) Promouvoir la conservation et la séquestration du carbone dans les secteurs de l'agriculture et de la foresterie</w:t>
            </w:r>
          </w:p>
          <w:p w:rsidR="0035701C" w:rsidRDefault="00FB561B" w:rsidP="00FB561B">
            <w:pPr>
              <w:numPr>
                <w:ilvl w:val="0"/>
                <w:numId w:val="93"/>
              </w:numPr>
            </w:pPr>
            <w:r>
              <w:t>6A) Faciliter la</w:t>
            </w:r>
            <w:r>
              <w:t xml:space="preserve"> diversification, la création et le développement de petites entreprises ainsi que la création d'emplois</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94"/>
              </w:numPr>
            </w:pPr>
            <w:r>
              <w:t>Innovation</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 xml:space="preserve">La pénétration du marché local, hors exportation indirecte liée au tourisme, réside dans la </w:t>
            </w:r>
            <w:r>
              <w:rPr>
                <w:szCs w:val="24"/>
              </w:rPr>
              <w:t>modification radicale de la relation : agriculteur / consommateur. Pour ce qui concerne la distribution, une promotion plus volontariste des produits locaux doit être recherchée avec les GMS (Grandes et Moyennes Surfaces). Parallèlement les producteurs doi</w:t>
            </w:r>
            <w:r>
              <w:rPr>
                <w:szCs w:val="24"/>
              </w:rPr>
              <w:t>vent nécessairement intégrer les exigences liées aux modalités inhérentes à cette mise en marché.</w:t>
            </w:r>
          </w:p>
          <w:p w:rsidR="0035701C" w:rsidRDefault="00FB561B">
            <w:pPr>
              <w:spacing w:before="240" w:after="240"/>
              <w:jc w:val="left"/>
              <w:rPr>
                <w:szCs w:val="24"/>
              </w:rPr>
            </w:pPr>
            <w:r>
              <w:rPr>
                <w:szCs w:val="24"/>
              </w:rPr>
              <w:t>Il s’agit notamment :</w:t>
            </w:r>
          </w:p>
          <w:p w:rsidR="0035701C" w:rsidRDefault="00FB561B" w:rsidP="00FB561B">
            <w:pPr>
              <w:numPr>
                <w:ilvl w:val="0"/>
                <w:numId w:val="95"/>
              </w:numPr>
              <w:spacing w:before="240" w:after="0"/>
              <w:ind w:hanging="210"/>
              <w:jc w:val="left"/>
              <w:rPr>
                <w:szCs w:val="24"/>
              </w:rPr>
            </w:pPr>
            <w:r>
              <w:rPr>
                <w:szCs w:val="24"/>
              </w:rPr>
              <w:t>de développer les actions avec la restauration et l’hôtellerie (formation des professionnels à la cuisine de terroir, mise en place d’un</w:t>
            </w:r>
            <w:r>
              <w:rPr>
                <w:szCs w:val="24"/>
              </w:rPr>
              <w:t>e offre culinaire et gastronomique labellisée et contrôlable),</w:t>
            </w:r>
          </w:p>
          <w:p w:rsidR="0035701C" w:rsidRDefault="00FB561B" w:rsidP="00FB561B">
            <w:pPr>
              <w:numPr>
                <w:ilvl w:val="0"/>
                <w:numId w:val="95"/>
              </w:numPr>
              <w:spacing w:before="0" w:after="0"/>
              <w:ind w:hanging="210"/>
              <w:jc w:val="left"/>
              <w:rPr>
                <w:szCs w:val="24"/>
              </w:rPr>
            </w:pPr>
            <w:r>
              <w:rPr>
                <w:szCs w:val="24"/>
              </w:rPr>
              <w:t>de mutualiser l’information sur la disponibilité de la production,</w:t>
            </w:r>
          </w:p>
          <w:p w:rsidR="0035701C" w:rsidRDefault="00FB561B" w:rsidP="00FB561B">
            <w:pPr>
              <w:numPr>
                <w:ilvl w:val="0"/>
                <w:numId w:val="95"/>
              </w:numPr>
              <w:spacing w:before="0" w:after="0"/>
              <w:ind w:hanging="210"/>
              <w:jc w:val="left"/>
              <w:rPr>
                <w:szCs w:val="24"/>
              </w:rPr>
            </w:pPr>
            <w:r>
              <w:rPr>
                <w:szCs w:val="24"/>
              </w:rPr>
              <w:t>d’organiser, regrouper, structurer l’offre fermière pour faciliter la diffusion de ces produits,</w:t>
            </w:r>
          </w:p>
          <w:p w:rsidR="0035701C" w:rsidRDefault="00FB561B" w:rsidP="00FB561B">
            <w:pPr>
              <w:numPr>
                <w:ilvl w:val="0"/>
                <w:numId w:val="95"/>
              </w:numPr>
              <w:spacing w:before="0" w:after="0"/>
              <w:ind w:hanging="210"/>
              <w:jc w:val="left"/>
              <w:rPr>
                <w:szCs w:val="24"/>
              </w:rPr>
            </w:pPr>
            <w:r>
              <w:rPr>
                <w:szCs w:val="24"/>
              </w:rPr>
              <w:t>d'accompagner les producteurs</w:t>
            </w:r>
            <w:r>
              <w:rPr>
                <w:szCs w:val="24"/>
              </w:rPr>
              <w:t xml:space="preserve"> en agriculture biologique dans leur démarche d’organisation de la filière et de commercialisation,</w:t>
            </w:r>
          </w:p>
          <w:p w:rsidR="0035701C" w:rsidRDefault="00FB561B" w:rsidP="00FB561B">
            <w:pPr>
              <w:numPr>
                <w:ilvl w:val="0"/>
                <w:numId w:val="95"/>
              </w:numPr>
              <w:spacing w:before="0" w:after="0"/>
              <w:ind w:hanging="210"/>
              <w:jc w:val="left"/>
              <w:rPr>
                <w:szCs w:val="24"/>
              </w:rPr>
            </w:pPr>
            <w:r>
              <w:rPr>
                <w:szCs w:val="24"/>
              </w:rPr>
              <w:t>de développer les partenariats avec les GMS (grandes et moyennes surfaces) afin d’assurer un approvisionnement en produits locaux,</w:t>
            </w:r>
          </w:p>
          <w:p w:rsidR="0035701C" w:rsidRDefault="00FB561B" w:rsidP="00FB561B">
            <w:pPr>
              <w:numPr>
                <w:ilvl w:val="0"/>
                <w:numId w:val="95"/>
              </w:numPr>
              <w:spacing w:before="0" w:after="0"/>
              <w:ind w:hanging="210"/>
              <w:jc w:val="left"/>
              <w:rPr>
                <w:szCs w:val="24"/>
              </w:rPr>
            </w:pPr>
            <w:r>
              <w:rPr>
                <w:szCs w:val="24"/>
              </w:rPr>
              <w:t>d'étudier l’opportunité d</w:t>
            </w:r>
            <w:r>
              <w:rPr>
                <w:szCs w:val="24"/>
              </w:rPr>
              <w:t>e créer des dispositifs de groupage, notamment des magasins coopératifs multi-produits et des magasins d’expédition (plateformes).</w:t>
            </w:r>
          </w:p>
          <w:p w:rsidR="0035701C" w:rsidRDefault="00FB561B" w:rsidP="00FB561B">
            <w:pPr>
              <w:numPr>
                <w:ilvl w:val="0"/>
                <w:numId w:val="95"/>
              </w:numPr>
              <w:spacing w:before="0" w:after="0"/>
              <w:ind w:hanging="210"/>
              <w:jc w:val="left"/>
              <w:rPr>
                <w:szCs w:val="24"/>
              </w:rPr>
            </w:pPr>
            <w:r>
              <w:rPr>
                <w:szCs w:val="24"/>
              </w:rPr>
              <w:t>de promouvoir les produits certifiés pour les différencier des autres produits, en y associant l’ensemble des ressources du t</w:t>
            </w:r>
            <w:r>
              <w:rPr>
                <w:szCs w:val="24"/>
              </w:rPr>
              <w:t>erritoire dans un processus de développement global,</w:t>
            </w:r>
          </w:p>
          <w:p w:rsidR="0035701C" w:rsidRDefault="00FB561B" w:rsidP="00FB561B">
            <w:pPr>
              <w:numPr>
                <w:ilvl w:val="0"/>
                <w:numId w:val="95"/>
              </w:numPr>
              <w:spacing w:before="0" w:after="0"/>
              <w:ind w:hanging="210"/>
              <w:jc w:val="left"/>
              <w:rPr>
                <w:szCs w:val="24"/>
              </w:rPr>
            </w:pPr>
            <w:r>
              <w:rPr>
                <w:szCs w:val="24"/>
              </w:rPr>
              <w:t>de communiquer envers le grand public, sur les produits notamment sur leur saisonnalité,</w:t>
            </w:r>
          </w:p>
          <w:p w:rsidR="0035701C" w:rsidRDefault="00FB561B" w:rsidP="00FB561B">
            <w:pPr>
              <w:numPr>
                <w:ilvl w:val="0"/>
                <w:numId w:val="95"/>
              </w:numPr>
              <w:spacing w:before="0" w:after="0"/>
              <w:ind w:hanging="210"/>
              <w:jc w:val="left"/>
              <w:rPr>
                <w:szCs w:val="24"/>
              </w:rPr>
            </w:pPr>
            <w:r>
              <w:rPr>
                <w:szCs w:val="24"/>
              </w:rPr>
              <w:t>de développer les manifestations événementielles en Corse et sur le continent, avec la mise en avant de différents</w:t>
            </w:r>
            <w:r>
              <w:rPr>
                <w:szCs w:val="24"/>
              </w:rPr>
              <w:t xml:space="preserve"> produits régionaux (ex. démarche Corsica Made, « semaines corses » et autres vitrines institutionnelles),</w:t>
            </w:r>
          </w:p>
          <w:p w:rsidR="0035701C" w:rsidRDefault="00FB561B" w:rsidP="00FB561B">
            <w:pPr>
              <w:numPr>
                <w:ilvl w:val="0"/>
                <w:numId w:val="95"/>
              </w:numPr>
              <w:spacing w:before="0" w:after="240"/>
              <w:ind w:hanging="210"/>
              <w:jc w:val="left"/>
              <w:rPr>
                <w:szCs w:val="24"/>
              </w:rPr>
            </w:pPr>
            <w:r>
              <w:rPr>
                <w:szCs w:val="24"/>
              </w:rPr>
              <w:t>de communiquer auprès des prescripteurs, notamment les metteurs en marché, afin que leur action soit en cohérence avec la qualité du produit qu’ils v</w:t>
            </w:r>
            <w:r>
              <w:rPr>
                <w:szCs w:val="24"/>
              </w:rPr>
              <w:t>endent.</w:t>
            </w:r>
          </w:p>
          <w:p w:rsidR="0035701C" w:rsidRDefault="0035701C">
            <w:pPr>
              <w:pStyle w:val="Corpsdetexte"/>
            </w:pPr>
          </w:p>
        </w:tc>
      </w:tr>
    </w:tbl>
    <w:p w:rsidR="0035701C" w:rsidRDefault="00FB561B">
      <w:pPr>
        <w:pStyle w:val="Titre3"/>
        <w:jc w:val="left"/>
      </w:pPr>
      <w:bookmarkStart w:id="57" w:name="_Toc256000056"/>
      <w:r>
        <w:t>21-Promouvoir les actions collectives et l’organisation économique des producteurs (agriculteurs, sylviculteurs</w:t>
      </w:r>
      <w:bookmarkEnd w:id="57"/>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96"/>
              </w:numPr>
            </w:pPr>
            <w:r>
              <w:t xml:space="preserve">1A) Favoriser l'innovation, la coopération et le développement de la base de connaissances dans les </w:t>
            </w:r>
            <w:r>
              <w:t>zones rurales</w:t>
            </w:r>
          </w:p>
          <w:p w:rsidR="0035701C" w:rsidRDefault="00FB561B" w:rsidP="00FB561B">
            <w:pPr>
              <w:numPr>
                <w:ilvl w:val="0"/>
                <w:numId w:val="96"/>
              </w:numPr>
            </w:pPr>
            <w:r>
              <w:t>2A) Améliorer les résultats économiques de toutes les exploitations agricoles et faciliter la restructuration et la modernisation des exploitations agricoles, notamment en vue d'accroître la participation au marché et l'orientation vers le ma</w:t>
            </w:r>
            <w:r>
              <w:t>rché ainsi que la diversification agricole</w:t>
            </w:r>
          </w:p>
          <w:p w:rsidR="0035701C" w:rsidRDefault="00FB561B" w:rsidP="00FB561B">
            <w:pPr>
              <w:numPr>
                <w:ilvl w:val="0"/>
                <w:numId w:val="96"/>
              </w:numPr>
            </w:pPr>
            <w:r>
              <w:t xml:space="preserve">3A) Améliorer la compétitivité des producteurs primaires en les intégrant mieux dans la chaîne agroalimentaire au moyen des programmes de qualité, en conférant une valeur ajoutée aux produits agricoles, et par le </w:t>
            </w:r>
            <w:r>
              <w:t>biais de la promotion sur les marchés locaux et des circuits d’approvisionnement courts, des groupements de producteurs et des organisations interprofessionnelles</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97"/>
              </w:numPr>
            </w:pPr>
            <w:r>
              <w:t>Innovation</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b/>
                <w:bCs/>
                <w:szCs w:val="24"/>
              </w:rPr>
              <w:t>- Description du besoin</w:t>
            </w:r>
          </w:p>
          <w:p w:rsidR="0035701C" w:rsidRDefault="00FB561B">
            <w:pPr>
              <w:spacing w:before="240" w:after="240"/>
              <w:jc w:val="left"/>
              <w:rPr>
                <w:szCs w:val="24"/>
              </w:rPr>
            </w:pPr>
            <w:r>
              <w:rPr>
                <w:szCs w:val="24"/>
              </w:rPr>
              <w:t>Il s’agit d’encourage</w:t>
            </w:r>
            <w:r>
              <w:rPr>
                <w:szCs w:val="24"/>
              </w:rPr>
              <w:t>r la mise en place et le développement de projets collectifs structurant et l’organisation économique des producteurs, afin de faciliter l’accès au marché</w:t>
            </w:r>
          </w:p>
          <w:p w:rsidR="0035701C" w:rsidRDefault="00FB561B">
            <w:pPr>
              <w:spacing w:before="240" w:after="240"/>
              <w:jc w:val="left"/>
              <w:rPr>
                <w:szCs w:val="24"/>
              </w:rPr>
            </w:pPr>
            <w:r>
              <w:rPr>
                <w:szCs w:val="24"/>
              </w:rPr>
              <w:t>Il est nécessaire de :</w:t>
            </w:r>
          </w:p>
          <w:p w:rsidR="0035701C" w:rsidRDefault="00FB561B" w:rsidP="00FB561B">
            <w:pPr>
              <w:numPr>
                <w:ilvl w:val="0"/>
                <w:numId w:val="98"/>
              </w:numPr>
              <w:spacing w:before="240" w:after="0"/>
              <w:ind w:hanging="210"/>
              <w:jc w:val="left"/>
              <w:rPr>
                <w:szCs w:val="24"/>
              </w:rPr>
            </w:pPr>
            <w:r>
              <w:rPr>
                <w:szCs w:val="24"/>
              </w:rPr>
              <w:t>Organiser et structurer les filières de production et de commercialisation</w:t>
            </w:r>
          </w:p>
          <w:p w:rsidR="0035701C" w:rsidRDefault="00FB561B" w:rsidP="00FB561B">
            <w:pPr>
              <w:numPr>
                <w:ilvl w:val="0"/>
                <w:numId w:val="98"/>
              </w:numPr>
              <w:spacing w:before="0" w:after="0"/>
              <w:ind w:hanging="210"/>
              <w:jc w:val="left"/>
              <w:rPr>
                <w:szCs w:val="24"/>
              </w:rPr>
            </w:pPr>
            <w:r>
              <w:rPr>
                <w:szCs w:val="24"/>
              </w:rPr>
              <w:t>Obtenir et mettre en place des signes officiels de qualité et des marques collectives.</w:t>
            </w:r>
          </w:p>
          <w:p w:rsidR="0035701C" w:rsidRDefault="00FB561B" w:rsidP="00FB561B">
            <w:pPr>
              <w:numPr>
                <w:ilvl w:val="0"/>
                <w:numId w:val="98"/>
              </w:numPr>
              <w:spacing w:before="0" w:after="0"/>
              <w:ind w:hanging="210"/>
              <w:jc w:val="left"/>
              <w:rPr>
                <w:szCs w:val="24"/>
              </w:rPr>
            </w:pPr>
            <w:r>
              <w:rPr>
                <w:szCs w:val="24"/>
              </w:rPr>
              <w:t>Favoriser les synergies entre opérateurs.</w:t>
            </w:r>
          </w:p>
          <w:p w:rsidR="0035701C" w:rsidRDefault="00FB561B" w:rsidP="00FB561B">
            <w:pPr>
              <w:numPr>
                <w:ilvl w:val="0"/>
                <w:numId w:val="98"/>
              </w:numPr>
              <w:spacing w:before="0" w:after="0"/>
              <w:ind w:hanging="210"/>
              <w:jc w:val="left"/>
              <w:rPr>
                <w:szCs w:val="24"/>
              </w:rPr>
            </w:pPr>
            <w:r>
              <w:rPr>
                <w:szCs w:val="24"/>
              </w:rPr>
              <w:t>de favoriser la mise en place de circuits courts dans les territoires (foires, marchés…),</w:t>
            </w:r>
          </w:p>
          <w:p w:rsidR="0035701C" w:rsidRDefault="00FB561B" w:rsidP="00FB561B">
            <w:pPr>
              <w:numPr>
                <w:ilvl w:val="0"/>
                <w:numId w:val="98"/>
              </w:numPr>
              <w:spacing w:before="0" w:after="240"/>
              <w:ind w:hanging="210"/>
              <w:jc w:val="left"/>
              <w:rPr>
                <w:szCs w:val="24"/>
              </w:rPr>
            </w:pPr>
            <w:r>
              <w:rPr>
                <w:szCs w:val="24"/>
              </w:rPr>
              <w:t>de mutualiser l’information sur la di</w:t>
            </w:r>
            <w:r>
              <w:rPr>
                <w:szCs w:val="24"/>
              </w:rPr>
              <w:t>sponibilité de la production.</w:t>
            </w:r>
          </w:p>
          <w:p w:rsidR="0035701C" w:rsidRDefault="0035701C">
            <w:pPr>
              <w:pStyle w:val="Corpsdetexte"/>
            </w:pPr>
          </w:p>
        </w:tc>
      </w:tr>
    </w:tbl>
    <w:p w:rsidR="0035701C" w:rsidRDefault="00FB561B">
      <w:pPr>
        <w:pStyle w:val="Titre3"/>
        <w:jc w:val="left"/>
      </w:pPr>
      <w:bookmarkStart w:id="58" w:name="_Toc256000057"/>
      <w:r>
        <w:t>22-Favoriser la diversification des productions par l'innovation technologique et l'émergence de nouveaux produits</w:t>
      </w:r>
      <w:bookmarkEnd w:id="58"/>
      <w:r>
        <w:t xml:space="preserve"> </w:t>
      </w:r>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99"/>
              </w:numPr>
            </w:pPr>
            <w:r>
              <w:t>1A) Favoriser l'innovation, la coopération et le développement de la base de</w:t>
            </w:r>
            <w:r>
              <w:t xml:space="preserve"> connaissances dans les zones rurales</w:t>
            </w:r>
          </w:p>
          <w:p w:rsidR="0035701C" w:rsidRDefault="00FB561B" w:rsidP="00FB561B">
            <w:pPr>
              <w:numPr>
                <w:ilvl w:val="0"/>
                <w:numId w:val="99"/>
              </w:numPr>
            </w:pPr>
            <w:r>
              <w:t xml:space="preserve">2A) Améliorer les résultats économiques de toutes les exploitations agricoles et faciliter la restructuration et la modernisation des exploitations agricoles, notamment en vue d'accroître la participation au marché et </w:t>
            </w:r>
            <w:r>
              <w:t>l'orientation vers le marché ainsi que la diversification agricole</w:t>
            </w:r>
          </w:p>
          <w:p w:rsidR="0035701C" w:rsidRDefault="00FB561B" w:rsidP="00FB561B">
            <w:pPr>
              <w:numPr>
                <w:ilvl w:val="0"/>
                <w:numId w:val="99"/>
              </w:numPr>
            </w:pPr>
            <w:r>
              <w:t>3A) Améliorer la compétitivité des producteurs primaires en les intégrant mieux dans la chaîne agroalimentaire au moyen des programmes de qualité, en conférant une valeur ajoutée aux produi</w:t>
            </w:r>
            <w:r>
              <w:t>ts agricoles, et par le biais de la promotion sur les marchés locaux et des circuits d’approvisionnement courts, des groupements de producteurs et des organisations interprofessionnelles</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00"/>
              </w:numPr>
            </w:pPr>
            <w:r>
              <w:t>Innovation</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Les nouveaux produits</w:t>
            </w:r>
            <w:r>
              <w:rPr>
                <w:szCs w:val="24"/>
              </w:rPr>
              <w:t xml:space="preserve"> et les innovations technologiques sont bien souvent générateurs d’une augmentation de la valeur ajoutée pour les secteurs concernés. C’est pourquoi, il nous  apparaît comme nécessaire de :</w:t>
            </w:r>
          </w:p>
          <w:p w:rsidR="0035701C" w:rsidRDefault="00FB561B" w:rsidP="00FB561B">
            <w:pPr>
              <w:numPr>
                <w:ilvl w:val="0"/>
                <w:numId w:val="101"/>
              </w:numPr>
              <w:spacing w:before="240" w:after="0"/>
              <w:ind w:hanging="210"/>
              <w:jc w:val="left"/>
              <w:rPr>
                <w:szCs w:val="24"/>
              </w:rPr>
            </w:pPr>
            <w:r>
              <w:rPr>
                <w:szCs w:val="24"/>
              </w:rPr>
              <w:t>Mettre au point de nouveaux produits, pratiques, procédés et techn</w:t>
            </w:r>
            <w:r>
              <w:rPr>
                <w:szCs w:val="24"/>
              </w:rPr>
              <w:t>ologies dans les secteurs de l’agriculture, de l’alimentation et de filière bois.</w:t>
            </w:r>
          </w:p>
          <w:p w:rsidR="0035701C" w:rsidRDefault="00FB561B" w:rsidP="00FB561B">
            <w:pPr>
              <w:numPr>
                <w:ilvl w:val="0"/>
                <w:numId w:val="101"/>
              </w:numPr>
              <w:spacing w:before="0" w:after="0"/>
              <w:ind w:hanging="210"/>
              <w:jc w:val="left"/>
              <w:rPr>
                <w:szCs w:val="24"/>
              </w:rPr>
            </w:pPr>
            <w:r>
              <w:rPr>
                <w:szCs w:val="24"/>
              </w:rPr>
              <w:t>Développer de nouvelles filières et de nouveaux marchés</w:t>
            </w:r>
          </w:p>
          <w:p w:rsidR="0035701C" w:rsidRDefault="00FB561B" w:rsidP="00FB561B">
            <w:pPr>
              <w:numPr>
                <w:ilvl w:val="0"/>
                <w:numId w:val="101"/>
              </w:numPr>
              <w:spacing w:before="0" w:after="240"/>
              <w:ind w:hanging="210"/>
              <w:jc w:val="left"/>
              <w:rPr>
                <w:szCs w:val="24"/>
              </w:rPr>
            </w:pPr>
            <w:r>
              <w:rPr>
                <w:szCs w:val="24"/>
              </w:rPr>
              <w:t>Favoriser la coopération et l’innovation</w:t>
            </w:r>
          </w:p>
          <w:p w:rsidR="0035701C" w:rsidRDefault="00FB561B" w:rsidP="00FB561B">
            <w:pPr>
              <w:numPr>
                <w:ilvl w:val="0"/>
                <w:numId w:val="102"/>
              </w:numPr>
              <w:spacing w:before="240" w:after="240"/>
              <w:ind w:hanging="210"/>
              <w:jc w:val="left"/>
              <w:rPr>
                <w:szCs w:val="24"/>
              </w:rPr>
            </w:pPr>
            <w:r>
              <w:rPr>
                <w:szCs w:val="24"/>
              </w:rPr>
              <w:t> </w:t>
            </w:r>
          </w:p>
          <w:p w:rsidR="0035701C" w:rsidRDefault="0035701C">
            <w:pPr>
              <w:pStyle w:val="Corpsdetexte"/>
            </w:pPr>
          </w:p>
        </w:tc>
      </w:tr>
    </w:tbl>
    <w:p w:rsidR="0035701C" w:rsidRDefault="00FB561B">
      <w:pPr>
        <w:pStyle w:val="Titre3"/>
        <w:jc w:val="left"/>
      </w:pPr>
      <w:bookmarkStart w:id="59" w:name="_Toc256000058"/>
      <w:r>
        <w:t xml:space="preserve">23-Favoriser le regroupement foncier et économique des propriétaires </w:t>
      </w:r>
      <w:r>
        <w:t>forestiers</w:t>
      </w:r>
      <w:bookmarkEnd w:id="59"/>
      <w:r>
        <w:t xml:space="preserve"> </w:t>
      </w:r>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03"/>
              </w:numPr>
            </w:pPr>
            <w:r>
              <w:t>5E) Promouvoir la conservation et la séquestration du carbone dans les secteurs de l'agriculture et de la foresterie</w:t>
            </w:r>
          </w:p>
          <w:p w:rsidR="0035701C" w:rsidRDefault="00FB561B" w:rsidP="00FB561B">
            <w:pPr>
              <w:numPr>
                <w:ilvl w:val="0"/>
                <w:numId w:val="103"/>
              </w:numPr>
            </w:pPr>
            <w:r>
              <w:t>6B) Promouvoir le développement local dans les zones rurales</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04"/>
              </w:numPr>
            </w:pPr>
            <w:r>
              <w:t>Environnement</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Il convient d’agir prioritairement sur le regroupement foncier et économique des propriétaires, notamment pour :</w:t>
            </w:r>
          </w:p>
          <w:p w:rsidR="0035701C" w:rsidRDefault="00FB561B" w:rsidP="00FB561B">
            <w:pPr>
              <w:numPr>
                <w:ilvl w:val="0"/>
                <w:numId w:val="105"/>
              </w:numPr>
              <w:spacing w:before="240" w:after="0"/>
              <w:ind w:hanging="210"/>
              <w:jc w:val="left"/>
              <w:rPr>
                <w:szCs w:val="24"/>
              </w:rPr>
            </w:pPr>
            <w:r>
              <w:rPr>
                <w:szCs w:val="24"/>
              </w:rPr>
              <w:t>Amplifier les approches de projet de développement et d'aménagement de territoire,</w:t>
            </w:r>
          </w:p>
          <w:p w:rsidR="0035701C" w:rsidRDefault="00FB561B" w:rsidP="00FB561B">
            <w:pPr>
              <w:numPr>
                <w:ilvl w:val="0"/>
                <w:numId w:val="105"/>
              </w:numPr>
              <w:spacing w:before="0" w:after="0"/>
              <w:ind w:hanging="210"/>
              <w:jc w:val="left"/>
              <w:rPr>
                <w:szCs w:val="24"/>
              </w:rPr>
            </w:pPr>
            <w:r>
              <w:rPr>
                <w:szCs w:val="24"/>
              </w:rPr>
              <w:t>Réaliser des Chartes Forestières,</w:t>
            </w:r>
          </w:p>
          <w:p w:rsidR="0035701C" w:rsidRDefault="00FB561B" w:rsidP="00FB561B">
            <w:pPr>
              <w:numPr>
                <w:ilvl w:val="0"/>
                <w:numId w:val="105"/>
              </w:numPr>
              <w:spacing w:before="0" w:after="0"/>
              <w:ind w:hanging="210"/>
              <w:jc w:val="left"/>
              <w:rPr>
                <w:szCs w:val="24"/>
              </w:rPr>
            </w:pPr>
            <w:r>
              <w:rPr>
                <w:szCs w:val="24"/>
              </w:rPr>
              <w:t>Réaliser des Plans de développement de massif (PDM)</w:t>
            </w:r>
          </w:p>
          <w:p w:rsidR="0035701C" w:rsidRDefault="00FB561B" w:rsidP="00FB561B">
            <w:pPr>
              <w:numPr>
                <w:ilvl w:val="0"/>
                <w:numId w:val="105"/>
              </w:numPr>
              <w:spacing w:before="0" w:after="240"/>
              <w:ind w:hanging="210"/>
              <w:jc w:val="left"/>
              <w:rPr>
                <w:szCs w:val="24"/>
              </w:rPr>
            </w:pPr>
            <w:r>
              <w:rPr>
                <w:szCs w:val="24"/>
              </w:rPr>
              <w:t>Constituer des outils et organisation facilitant la coopération entre les acteurs du monde rural.</w:t>
            </w:r>
          </w:p>
          <w:p w:rsidR="0035701C" w:rsidRDefault="0035701C">
            <w:pPr>
              <w:pStyle w:val="Corpsdetexte"/>
            </w:pPr>
          </w:p>
        </w:tc>
      </w:tr>
    </w:tbl>
    <w:p w:rsidR="0035701C" w:rsidRDefault="00FB561B">
      <w:pPr>
        <w:pStyle w:val="Titre3"/>
        <w:jc w:val="left"/>
      </w:pPr>
      <w:bookmarkStart w:id="60" w:name="_Toc256000059"/>
      <w:r>
        <w:t>24-Développer la polyvalence dans l’usage des sols  et notamment les pratiques sylvo-pastorales</w:t>
      </w:r>
      <w:bookmarkEnd w:id="60"/>
    </w:p>
    <w:p w:rsidR="0035701C" w:rsidRDefault="00FB561B">
      <w:r>
        <w:t>Priorit</w:t>
      </w:r>
      <w:r>
        <w: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06"/>
              </w:numPr>
            </w:pPr>
            <w:r>
              <w:t>2A) Améliorer les résultats économiques de toutes les exploitations agricoles et faciliter la restructuration et la modernisation des exploitations agricoles, notamment en vue d'accroître la participation au marché et l'orientation</w:t>
            </w:r>
            <w:r>
              <w:t xml:space="preserve"> vers le marché ainsi que la diversification agricole</w:t>
            </w:r>
          </w:p>
          <w:p w:rsidR="0035701C" w:rsidRDefault="00FB561B" w:rsidP="00FB561B">
            <w:pPr>
              <w:numPr>
                <w:ilvl w:val="0"/>
                <w:numId w:val="106"/>
              </w:numPr>
            </w:pPr>
            <w:r>
              <w:t>6B) Promouvoir le développement local dans les zones rurales</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07"/>
              </w:numPr>
            </w:pPr>
            <w:r>
              <w:t>Environnement</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b/>
                <w:bCs/>
                <w:szCs w:val="24"/>
              </w:rPr>
              <w:t>- Description du besoin</w:t>
            </w:r>
          </w:p>
          <w:p w:rsidR="0035701C" w:rsidRDefault="00FB561B">
            <w:pPr>
              <w:spacing w:before="240" w:after="240"/>
              <w:jc w:val="left"/>
              <w:rPr>
                <w:szCs w:val="24"/>
              </w:rPr>
            </w:pPr>
            <w:r>
              <w:rPr>
                <w:szCs w:val="24"/>
              </w:rPr>
              <w:t xml:space="preserve">Compte tenu de la mixité des usages des formations végétales de </w:t>
            </w:r>
            <w:r>
              <w:rPr>
                <w:szCs w:val="24"/>
              </w:rPr>
              <w:t>l’île il convient de promouvoir les approches multifonctionnelles et notamment les pratiques sylvo-pastorales ou l’accueil du public en forêt</w:t>
            </w:r>
          </w:p>
          <w:p w:rsidR="0035701C" w:rsidRDefault="0035701C">
            <w:pPr>
              <w:pStyle w:val="Corpsdetexte"/>
            </w:pPr>
          </w:p>
        </w:tc>
      </w:tr>
    </w:tbl>
    <w:p w:rsidR="0035701C" w:rsidRDefault="00FB561B">
      <w:pPr>
        <w:pStyle w:val="Titre3"/>
        <w:jc w:val="left"/>
      </w:pPr>
      <w:bookmarkStart w:id="61" w:name="_Toc256000060"/>
      <w:r>
        <w:t xml:space="preserve">25-Développer la sylviculture en lien avec le stockage du carbone et la biodiversité, améliorer l’exploitation </w:t>
      </w:r>
      <w:r>
        <w:t>forestière</w:t>
      </w:r>
      <w:bookmarkEnd w:id="61"/>
      <w:r>
        <w:t xml:space="preserve"> </w:t>
      </w:r>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08"/>
              </w:numPr>
            </w:pPr>
            <w:r>
              <w:t>5E) Promouvoir la conservation et la séquestration du carbone dans les secteurs de l'agriculture et de la foresterie</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09"/>
              </w:numPr>
            </w:pPr>
            <w:r>
              <w:t>Environnement</w:t>
            </w:r>
          </w:p>
          <w:p w:rsidR="0035701C" w:rsidRDefault="00FB561B" w:rsidP="00FB561B">
            <w:pPr>
              <w:numPr>
                <w:ilvl w:val="0"/>
                <w:numId w:val="109"/>
              </w:numPr>
            </w:pPr>
            <w:r>
              <w:t>Atténuation des changements climatiques et adaptation à c</w:t>
            </w:r>
            <w:r>
              <w:t>es changements</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 xml:space="preserve">L’exploitation forestière nécessite de lourds investissements et un entretien des ouvrages importants compte tenu des contraintes du relief. Il s’agit donc de l’améliorer par des dispositifs efficients, innovants ou alternatifs </w:t>
            </w:r>
            <w:r>
              <w:rPr>
                <w:szCs w:val="24"/>
              </w:rPr>
              <w:t>:</w:t>
            </w:r>
          </w:p>
          <w:p w:rsidR="0035701C" w:rsidRDefault="00FB561B" w:rsidP="00FB561B">
            <w:pPr>
              <w:numPr>
                <w:ilvl w:val="0"/>
                <w:numId w:val="110"/>
              </w:numPr>
              <w:spacing w:before="240" w:after="0"/>
              <w:ind w:hanging="210"/>
              <w:jc w:val="left"/>
              <w:rPr>
                <w:szCs w:val="24"/>
              </w:rPr>
            </w:pPr>
            <w:r>
              <w:rPr>
                <w:szCs w:val="24"/>
              </w:rPr>
              <w:t>privilégier systématiquement des schémas de desserte par massif et non plus par entité forestière,</w:t>
            </w:r>
          </w:p>
          <w:p w:rsidR="0035701C" w:rsidRDefault="00FB561B" w:rsidP="00FB561B">
            <w:pPr>
              <w:numPr>
                <w:ilvl w:val="0"/>
                <w:numId w:val="110"/>
              </w:numPr>
              <w:spacing w:before="0" w:after="0"/>
              <w:ind w:hanging="210"/>
              <w:jc w:val="left"/>
              <w:rPr>
                <w:szCs w:val="24"/>
              </w:rPr>
            </w:pPr>
            <w:r>
              <w:rPr>
                <w:szCs w:val="24"/>
              </w:rPr>
              <w:t>rationnaliser la desserte pour mieux desservir les massifs tout en diminuant les coûts,</w:t>
            </w:r>
          </w:p>
          <w:p w:rsidR="0035701C" w:rsidRDefault="00FB561B" w:rsidP="00FB561B">
            <w:pPr>
              <w:numPr>
                <w:ilvl w:val="0"/>
                <w:numId w:val="110"/>
              </w:numPr>
              <w:spacing w:before="0" w:after="0"/>
              <w:ind w:hanging="210"/>
              <w:jc w:val="left"/>
              <w:rPr>
                <w:szCs w:val="24"/>
              </w:rPr>
            </w:pPr>
            <w:r>
              <w:rPr>
                <w:szCs w:val="24"/>
              </w:rPr>
              <w:t>tester le débardage par câble-mât afin de pallier au manque de pist</w:t>
            </w:r>
            <w:r>
              <w:rPr>
                <w:szCs w:val="24"/>
              </w:rPr>
              <w:t>es,</w:t>
            </w:r>
          </w:p>
          <w:p w:rsidR="0035701C" w:rsidRDefault="00FB561B" w:rsidP="00FB561B">
            <w:pPr>
              <w:numPr>
                <w:ilvl w:val="0"/>
                <w:numId w:val="110"/>
              </w:numPr>
              <w:spacing w:before="0" w:after="0"/>
              <w:ind w:hanging="210"/>
              <w:jc w:val="left"/>
              <w:rPr>
                <w:szCs w:val="24"/>
              </w:rPr>
            </w:pPr>
            <w:r>
              <w:rPr>
                <w:szCs w:val="24"/>
              </w:rPr>
              <w:t>régénérer les subéraies en mauvais état et trouver de nouveaux débouchés : broyage liège/bois pour du paillage utilisé dans les espaces verts, utilisation de machines séparant le liège du bois après trituration,</w:t>
            </w:r>
          </w:p>
          <w:p w:rsidR="0035701C" w:rsidRDefault="00FB561B" w:rsidP="00FB561B">
            <w:pPr>
              <w:numPr>
                <w:ilvl w:val="0"/>
                <w:numId w:val="110"/>
              </w:numPr>
              <w:spacing w:before="0" w:after="0"/>
              <w:ind w:hanging="210"/>
              <w:jc w:val="left"/>
              <w:rPr>
                <w:szCs w:val="24"/>
              </w:rPr>
            </w:pPr>
            <w:r>
              <w:rPr>
                <w:szCs w:val="24"/>
              </w:rPr>
              <w:t xml:space="preserve">favoriser une sylviculture concourant à </w:t>
            </w:r>
            <w:r>
              <w:rPr>
                <w:szCs w:val="24"/>
              </w:rPr>
              <w:t>valoriser les bois de qualité des feuillus traditionnellement utilisés en menuiserie,</w:t>
            </w:r>
          </w:p>
          <w:p w:rsidR="0035701C" w:rsidRDefault="00FB561B" w:rsidP="00FB561B">
            <w:pPr>
              <w:numPr>
                <w:ilvl w:val="0"/>
                <w:numId w:val="110"/>
              </w:numPr>
              <w:spacing w:before="0" w:after="0"/>
              <w:ind w:hanging="210"/>
              <w:jc w:val="left"/>
              <w:rPr>
                <w:szCs w:val="24"/>
              </w:rPr>
            </w:pPr>
            <w:r>
              <w:rPr>
                <w:szCs w:val="24"/>
              </w:rPr>
              <w:t>trier le liège levé pour mieux différencier les prix,</w:t>
            </w:r>
          </w:p>
          <w:p w:rsidR="0035701C" w:rsidRDefault="00FB561B" w:rsidP="00FB561B">
            <w:pPr>
              <w:numPr>
                <w:ilvl w:val="0"/>
                <w:numId w:val="110"/>
              </w:numPr>
              <w:spacing w:before="0" w:after="0"/>
              <w:ind w:hanging="210"/>
              <w:jc w:val="left"/>
              <w:rPr>
                <w:szCs w:val="24"/>
              </w:rPr>
            </w:pPr>
            <w:r>
              <w:rPr>
                <w:szCs w:val="24"/>
              </w:rPr>
              <w:t>généraliser l'utilisation des cahiers des charges existants pour l'exploitation du liège,</w:t>
            </w:r>
          </w:p>
          <w:p w:rsidR="0035701C" w:rsidRDefault="00FB561B" w:rsidP="00FB561B">
            <w:pPr>
              <w:numPr>
                <w:ilvl w:val="0"/>
                <w:numId w:val="110"/>
              </w:numPr>
              <w:spacing w:before="0" w:after="0"/>
              <w:ind w:hanging="210"/>
              <w:jc w:val="left"/>
              <w:rPr>
                <w:szCs w:val="24"/>
              </w:rPr>
            </w:pPr>
            <w:r>
              <w:rPr>
                <w:szCs w:val="24"/>
              </w:rPr>
              <w:t>veiller à protéger les rég</w:t>
            </w:r>
            <w:r>
              <w:rPr>
                <w:szCs w:val="24"/>
              </w:rPr>
              <w:t>énérations,</w:t>
            </w:r>
          </w:p>
          <w:p w:rsidR="0035701C" w:rsidRDefault="00FB561B" w:rsidP="00FB561B">
            <w:pPr>
              <w:numPr>
                <w:ilvl w:val="0"/>
                <w:numId w:val="110"/>
              </w:numPr>
              <w:spacing w:before="0" w:after="0"/>
              <w:ind w:hanging="210"/>
              <w:jc w:val="left"/>
              <w:rPr>
                <w:szCs w:val="24"/>
              </w:rPr>
            </w:pPr>
            <w:r>
              <w:rPr>
                <w:szCs w:val="24"/>
              </w:rPr>
              <w:t>procéder à des enrichissements en espèces,</w:t>
            </w:r>
          </w:p>
          <w:p w:rsidR="0035701C" w:rsidRDefault="00FB561B" w:rsidP="00FB561B">
            <w:pPr>
              <w:numPr>
                <w:ilvl w:val="0"/>
                <w:numId w:val="110"/>
              </w:numPr>
              <w:spacing w:before="0" w:after="0"/>
              <w:ind w:hanging="210"/>
              <w:jc w:val="left"/>
              <w:rPr>
                <w:szCs w:val="24"/>
              </w:rPr>
            </w:pPr>
            <w:r>
              <w:rPr>
                <w:szCs w:val="24"/>
              </w:rPr>
              <w:t>amplifier la communication en direction des propriétaires forestiers et des Communes Forestières afin qu’ils s’engagent dans les démarches concourant à l’exploitation de leur forêt,</w:t>
            </w:r>
          </w:p>
          <w:p w:rsidR="0035701C" w:rsidRDefault="00FB561B" w:rsidP="00FB561B">
            <w:pPr>
              <w:numPr>
                <w:ilvl w:val="0"/>
                <w:numId w:val="110"/>
              </w:numPr>
              <w:spacing w:before="0" w:after="240"/>
              <w:ind w:hanging="210"/>
              <w:jc w:val="left"/>
              <w:rPr>
                <w:szCs w:val="24"/>
              </w:rPr>
            </w:pPr>
            <w:r>
              <w:rPr>
                <w:szCs w:val="24"/>
              </w:rPr>
              <w:t xml:space="preserve">favoriser </w:t>
            </w:r>
            <w:r>
              <w:rPr>
                <w:szCs w:val="24"/>
              </w:rPr>
              <w:t>l'installation de petits exploitants spécialisés dans les travaux d'éclaircies,</w:t>
            </w:r>
          </w:p>
          <w:p w:rsidR="0035701C" w:rsidRDefault="0035701C">
            <w:pPr>
              <w:pStyle w:val="Corpsdetexte"/>
            </w:pPr>
          </w:p>
        </w:tc>
      </w:tr>
    </w:tbl>
    <w:p w:rsidR="0035701C" w:rsidRDefault="00FB561B">
      <w:pPr>
        <w:pStyle w:val="Titre3"/>
        <w:jc w:val="left"/>
      </w:pPr>
      <w:bookmarkStart w:id="62" w:name="_Toc256000061"/>
      <w:r>
        <w:t>26-Accroître la compétitivité et les usages des produits de la forêt</w:t>
      </w:r>
      <w:bookmarkEnd w:id="62"/>
      <w:r>
        <w:t xml:space="preserve"> </w:t>
      </w:r>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11"/>
              </w:numPr>
            </w:pPr>
            <w:r>
              <w:t>1A) Favoriser l'innovation, la coopération et le développement de la bas</w:t>
            </w:r>
            <w:r>
              <w:t>e de connaissances dans les zones rurales</w:t>
            </w:r>
          </w:p>
          <w:p w:rsidR="0035701C" w:rsidRDefault="00FB561B" w:rsidP="00FB561B">
            <w:pPr>
              <w:numPr>
                <w:ilvl w:val="0"/>
                <w:numId w:val="111"/>
              </w:numPr>
            </w:pPr>
            <w:r>
              <w:t>5E) Promouvoir la conservation et la séquestration du carbone dans les secteurs de l'agriculture et de la foresterie</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12"/>
              </w:numPr>
            </w:pPr>
            <w:r>
              <w:t>Atténuation des changements climatiques et adaptation à ces changements</w:t>
            </w:r>
          </w:p>
          <w:p w:rsidR="0035701C" w:rsidRDefault="00FB561B" w:rsidP="00FB561B">
            <w:pPr>
              <w:numPr>
                <w:ilvl w:val="0"/>
                <w:numId w:val="112"/>
              </w:numPr>
            </w:pPr>
            <w:r>
              <w:t>Innovation</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Il s’agit de favoriser la compétitivité des filières valorisant les produits provenant de la ressource forestière locale.</w:t>
            </w:r>
          </w:p>
          <w:p w:rsidR="0035701C" w:rsidRDefault="00FB561B">
            <w:pPr>
              <w:spacing w:before="240" w:after="240"/>
              <w:jc w:val="left"/>
              <w:rPr>
                <w:szCs w:val="24"/>
              </w:rPr>
            </w:pPr>
            <w:r>
              <w:rPr>
                <w:szCs w:val="24"/>
              </w:rPr>
              <w:t>Il convient notamment de favoriser l’émergence l’exploitation de la ressource locale et son utilisation au sei</w:t>
            </w:r>
            <w:r>
              <w:rPr>
                <w:szCs w:val="24"/>
              </w:rPr>
              <w:t>n du territoire, qu’il s’agisse de sciage local ou de valorisation en bois énergie.</w:t>
            </w:r>
          </w:p>
          <w:p w:rsidR="0035701C" w:rsidRDefault="00FB561B">
            <w:pPr>
              <w:spacing w:before="240" w:after="240"/>
              <w:jc w:val="left"/>
              <w:rPr>
                <w:szCs w:val="24"/>
              </w:rPr>
            </w:pPr>
            <w:r>
              <w:rPr>
                <w:szCs w:val="24"/>
              </w:rPr>
              <w:t>Il convient également de favoriser la compétitivité des produits de la forêt corse en développant la recherche, la prospection et l’innovation. Il s’agit en particulier :</w:t>
            </w:r>
          </w:p>
          <w:p w:rsidR="0035701C" w:rsidRDefault="00FB561B" w:rsidP="00FB561B">
            <w:pPr>
              <w:numPr>
                <w:ilvl w:val="0"/>
                <w:numId w:val="113"/>
              </w:numPr>
              <w:spacing w:before="240" w:after="0"/>
              <w:ind w:hanging="210"/>
              <w:jc w:val="left"/>
              <w:rPr>
                <w:szCs w:val="24"/>
              </w:rPr>
            </w:pPr>
            <w:r>
              <w:rPr>
                <w:szCs w:val="24"/>
              </w:rPr>
              <w:t>d</w:t>
            </w:r>
            <w:r>
              <w:rPr>
                <w:szCs w:val="24"/>
              </w:rPr>
              <w:t>’intégrer la ressource forestière au panier des productions du territoire et à sa promotion,</w:t>
            </w:r>
          </w:p>
          <w:p w:rsidR="0035701C" w:rsidRDefault="00FB561B" w:rsidP="00FB561B">
            <w:pPr>
              <w:numPr>
                <w:ilvl w:val="0"/>
                <w:numId w:val="113"/>
              </w:numPr>
              <w:spacing w:before="0" w:after="0"/>
              <w:ind w:hanging="210"/>
              <w:jc w:val="left"/>
              <w:rPr>
                <w:szCs w:val="24"/>
              </w:rPr>
            </w:pPr>
            <w:r>
              <w:rPr>
                <w:szCs w:val="24"/>
              </w:rPr>
              <w:t xml:space="preserve">de valoriser les résultats des études sur le classement du pin Lariccio et développer les études visant à qualifier et à différencier l’offre. La mise en place </w:t>
            </w:r>
            <w:r>
              <w:rPr>
                <w:szCs w:val="24"/>
              </w:rPr>
              <w:t>d’un label certifiant l’origine et la qualité des bois sur le modèle de type label « Bois des Alpes » doit être encouragée,</w:t>
            </w:r>
          </w:p>
          <w:p w:rsidR="0035701C" w:rsidRDefault="00FB561B" w:rsidP="00FB561B">
            <w:pPr>
              <w:numPr>
                <w:ilvl w:val="0"/>
                <w:numId w:val="113"/>
              </w:numPr>
              <w:spacing w:before="0" w:after="0"/>
              <w:ind w:hanging="210"/>
              <w:jc w:val="left"/>
              <w:rPr>
                <w:szCs w:val="24"/>
              </w:rPr>
            </w:pPr>
            <w:r>
              <w:rPr>
                <w:szCs w:val="24"/>
              </w:rPr>
              <w:t>de prospecter les marchés de niche innovants, et à forte valeur ajoutée : par exemple étudier les marchés à l’exportation pour les s</w:t>
            </w:r>
            <w:r>
              <w:rPr>
                <w:szCs w:val="24"/>
              </w:rPr>
              <w:t>ciages de pin Lariccio suite aux résultats de l’étude de classification,</w:t>
            </w:r>
          </w:p>
          <w:p w:rsidR="0035701C" w:rsidRDefault="00FB561B" w:rsidP="00FB561B">
            <w:pPr>
              <w:numPr>
                <w:ilvl w:val="0"/>
                <w:numId w:val="113"/>
              </w:numPr>
              <w:spacing w:before="0" w:after="0"/>
              <w:ind w:hanging="210"/>
              <w:jc w:val="left"/>
              <w:rPr>
                <w:szCs w:val="24"/>
              </w:rPr>
            </w:pPr>
            <w:r>
              <w:rPr>
                <w:szCs w:val="24"/>
              </w:rPr>
              <w:t>de développer et promouvoir l’utilisation du bois d’œuvre certifié issu de l’exploitation forestière locale par le biais des appels d'offres,</w:t>
            </w:r>
          </w:p>
          <w:p w:rsidR="0035701C" w:rsidRDefault="00FB561B" w:rsidP="00FB561B">
            <w:pPr>
              <w:numPr>
                <w:ilvl w:val="0"/>
                <w:numId w:val="113"/>
              </w:numPr>
              <w:spacing w:before="0" w:after="240"/>
              <w:ind w:hanging="210"/>
              <w:jc w:val="left"/>
              <w:rPr>
                <w:szCs w:val="24"/>
              </w:rPr>
            </w:pPr>
            <w:r>
              <w:rPr>
                <w:szCs w:val="24"/>
              </w:rPr>
              <w:t>de mieux connecter l'amont et l'aval de l</w:t>
            </w:r>
            <w:r>
              <w:rPr>
                <w:szCs w:val="24"/>
              </w:rPr>
              <w:t>a filière, 1ère et 2nde transformation, notamment en mettant sur le marché des produits séchés répondant aux besoins des entreprises ; les scieries devant être équipées en matériel de séchage du bois.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Il s’agit enfin de développer et rationaliser les fil</w:t>
            </w:r>
            <w:r>
              <w:rPr>
                <w:szCs w:val="24"/>
              </w:rPr>
              <w:t>ières valorisant la biomasse forestière, avec un souci de maintenir un équilibre de la ressource dans une perspective de gestion durable de la forêt.</w:t>
            </w:r>
          </w:p>
          <w:p w:rsidR="0035701C" w:rsidRDefault="0035701C">
            <w:pPr>
              <w:pStyle w:val="Corpsdetexte"/>
            </w:pPr>
          </w:p>
        </w:tc>
      </w:tr>
    </w:tbl>
    <w:p w:rsidR="0035701C" w:rsidRDefault="00FB561B">
      <w:pPr>
        <w:pStyle w:val="Titre3"/>
        <w:jc w:val="left"/>
      </w:pPr>
      <w:bookmarkStart w:id="63" w:name="_Toc256000062"/>
      <w:r>
        <w:t>27-Susciter, accompagner l'émergence de dynamique territoriale de projet</w:t>
      </w:r>
      <w:bookmarkEnd w:id="63"/>
      <w:r>
        <w:t xml:space="preserve"> </w:t>
      </w:r>
    </w:p>
    <w:p w:rsidR="0035701C" w:rsidRDefault="00FB561B">
      <w:r>
        <w:t>Priorités/Domaines prioritaire</w:t>
      </w:r>
      <w:r>
        <w: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14"/>
              </w:numPr>
            </w:pPr>
            <w:r>
              <w:t>6B) Promouvoir le développement local dans les zones rurales</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15"/>
              </w:numPr>
            </w:pPr>
            <w:r>
              <w:t>Innovation</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 xml:space="preserve">Le développement de l’agriculture et de l’activité forestière doit être initié à partir et au cœur de « l’écosystème rural » constitué par ses </w:t>
            </w:r>
            <w:r>
              <w:rPr>
                <w:szCs w:val="24"/>
              </w:rPr>
              <w:t>hommes et ses territoires.</w:t>
            </w:r>
          </w:p>
          <w:p w:rsidR="0035701C" w:rsidRDefault="00FB561B">
            <w:pPr>
              <w:spacing w:before="240" w:after="240"/>
              <w:jc w:val="left"/>
              <w:rPr>
                <w:szCs w:val="24"/>
              </w:rPr>
            </w:pPr>
            <w:r>
              <w:rPr>
                <w:szCs w:val="24"/>
              </w:rPr>
              <w:t>Il s’agit de favoriser une Gouvernance Multi Niveau (GML) en associant à partir des territoires, toutes les parties-prenantes à la définition, à la conception et au fonctionnement de projets d’utilité sociale, économique, culture</w:t>
            </w:r>
            <w:r>
              <w:rPr>
                <w:szCs w:val="24"/>
              </w:rPr>
              <w:t>lle et environnementale ; en fonction des objectifs du projet : propriétaires fonciers, élus, agriculteurs, exploitants forestiers, artisans et commerçants, associations, activités de services, acteurs touristiques, institutions.</w:t>
            </w:r>
          </w:p>
          <w:p w:rsidR="0035701C" w:rsidRDefault="00FB561B">
            <w:pPr>
              <w:spacing w:before="240" w:after="240"/>
              <w:jc w:val="left"/>
              <w:rPr>
                <w:szCs w:val="24"/>
              </w:rPr>
            </w:pPr>
            <w:r>
              <w:rPr>
                <w:szCs w:val="24"/>
              </w:rPr>
              <w:t>Dans le domaine agricole e</w:t>
            </w:r>
            <w:r>
              <w:rPr>
                <w:szCs w:val="24"/>
              </w:rPr>
              <w:t>t forestier, il convient ainsi d’accompagner l’ensemble des dynamiques territoriales qui peuvent se cristalliser autour de différents projets, notamment : aménagement foncier, micro-filière ou groupement agricole, projet de circuit court, organisation de m</w:t>
            </w:r>
            <w:r>
              <w:rPr>
                <w:szCs w:val="24"/>
              </w:rPr>
              <w:t>arché ou de manifestation, projet associatif…etc.</w:t>
            </w:r>
          </w:p>
          <w:p w:rsidR="0035701C" w:rsidRDefault="0035701C">
            <w:pPr>
              <w:pStyle w:val="Corpsdetexte"/>
            </w:pPr>
          </w:p>
        </w:tc>
      </w:tr>
    </w:tbl>
    <w:p w:rsidR="0035701C" w:rsidRDefault="00FB561B">
      <w:pPr>
        <w:pStyle w:val="Titre3"/>
        <w:jc w:val="left"/>
      </w:pPr>
      <w:bookmarkStart w:id="64" w:name="_Toc256000063"/>
      <w:r>
        <w:t>28-Accompagner l'animation territoriale et l'ingénierie, notamment sur le foncier</w:t>
      </w:r>
      <w:bookmarkEnd w:id="64"/>
      <w:r>
        <w:t xml:space="preserve"> </w:t>
      </w:r>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16"/>
              </w:numPr>
            </w:pPr>
            <w:r>
              <w:t>6B) Promouvoir le développement local dans les zones rurales</w:t>
            </w:r>
          </w:p>
        </w:tc>
      </w:tr>
    </w:tbl>
    <w:p w:rsidR="0035701C" w:rsidRDefault="00FB561B">
      <w:r>
        <w:t>Objectifs transversaux</w:t>
      </w:r>
    </w:p>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Il s’agit essentiellement de renforcer l’initiative des collectivités locales en milieu rural souvent peu-développée (cf. le nbr de communes) par l’animation territoriale et un appui à l’ingénierie technique et financière ; les communes et EPCI</w:t>
            </w:r>
            <w:r>
              <w:rPr>
                <w:szCs w:val="24"/>
              </w:rPr>
              <w:t xml:space="preserve"> devant devenir de véritables initiateurs du développement local.</w:t>
            </w:r>
          </w:p>
          <w:p w:rsidR="0035701C" w:rsidRDefault="00FB561B">
            <w:pPr>
              <w:spacing w:before="240" w:after="240"/>
              <w:jc w:val="left"/>
              <w:rPr>
                <w:szCs w:val="24"/>
              </w:rPr>
            </w:pPr>
            <w:r>
              <w:rPr>
                <w:szCs w:val="24"/>
              </w:rPr>
              <w:t xml:space="preserve">Les actions de regroupement foncier qui sont une solution à la problématique de « désordre » foncier nécessitent spécifiquement un accompagnement. Cette animation est nécessaire en matière </w:t>
            </w:r>
            <w:r>
              <w:rPr>
                <w:szCs w:val="24"/>
              </w:rPr>
              <w:t>de sensibilisation des populations et de planification des terrains, notamment pour des usages forestiers</w:t>
            </w:r>
          </w:p>
          <w:p w:rsidR="0035701C" w:rsidRDefault="0035701C">
            <w:pPr>
              <w:pStyle w:val="Corpsdetexte"/>
            </w:pPr>
          </w:p>
        </w:tc>
      </w:tr>
    </w:tbl>
    <w:p w:rsidR="0035701C" w:rsidRDefault="00FB561B">
      <w:pPr>
        <w:pStyle w:val="Titre3"/>
        <w:jc w:val="left"/>
      </w:pPr>
      <w:bookmarkStart w:id="65" w:name="_Toc256000064"/>
      <w:r>
        <w:t>29-Favoriser la coopération, l'innovation organisationnelle et la constitution de réseaux</w:t>
      </w:r>
      <w:bookmarkEnd w:id="65"/>
      <w:r>
        <w:t xml:space="preserve"> </w:t>
      </w:r>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17"/>
              </w:numPr>
            </w:pPr>
            <w:r>
              <w:t>1A) Favoriser l'innovatio</w:t>
            </w:r>
            <w:r>
              <w:t>n, la coopération et le développement de la base de connaissances dans les zones rurales</w:t>
            </w:r>
          </w:p>
          <w:p w:rsidR="0035701C" w:rsidRDefault="00FB561B" w:rsidP="00FB561B">
            <w:pPr>
              <w:numPr>
                <w:ilvl w:val="0"/>
                <w:numId w:val="117"/>
              </w:numPr>
            </w:pPr>
            <w:r>
              <w:t>2A) Améliorer les résultats économiques de toutes les exploitations agricoles et faciliter la restructuration et la modernisation des exploitations agricoles, notammen</w:t>
            </w:r>
            <w:r>
              <w:t>t en vue d'accroître la participation au marché et l'orientation vers le marché ainsi que la diversification agricole</w:t>
            </w:r>
          </w:p>
          <w:p w:rsidR="0035701C" w:rsidRDefault="00FB561B" w:rsidP="00FB561B">
            <w:pPr>
              <w:numPr>
                <w:ilvl w:val="0"/>
                <w:numId w:val="117"/>
              </w:numPr>
            </w:pPr>
            <w:r>
              <w:t>5E) Promouvoir la conservation et la séquestration du carbone dans les secteurs de l'agriculture et de la foresterie</w:t>
            </w:r>
          </w:p>
          <w:p w:rsidR="0035701C" w:rsidRDefault="00FB561B" w:rsidP="00FB561B">
            <w:pPr>
              <w:numPr>
                <w:ilvl w:val="0"/>
                <w:numId w:val="117"/>
              </w:numPr>
            </w:pPr>
            <w:r>
              <w:t>6A) Faciliter la dive</w:t>
            </w:r>
            <w:r>
              <w:t>rsification, la création et le développement de petites entreprises ainsi que la création d'emplois</w:t>
            </w:r>
          </w:p>
          <w:p w:rsidR="0035701C" w:rsidRDefault="00FB561B" w:rsidP="00FB561B">
            <w:pPr>
              <w:numPr>
                <w:ilvl w:val="0"/>
                <w:numId w:val="117"/>
              </w:numPr>
            </w:pPr>
            <w:r>
              <w:t>6B) Promouvoir le développement local dans les zones rurales</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18"/>
              </w:numPr>
            </w:pPr>
            <w:r>
              <w:t>Innovation</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 xml:space="preserve">Il s’agit de favoriser la coopération, </w:t>
            </w:r>
            <w:r>
              <w:rPr>
                <w:szCs w:val="24"/>
              </w:rPr>
              <w:t>l’innovation et la constitution de réseaux en milieu rural.</w:t>
            </w:r>
          </w:p>
          <w:p w:rsidR="0035701C" w:rsidRDefault="00FB561B">
            <w:pPr>
              <w:spacing w:before="240" w:after="240"/>
              <w:jc w:val="left"/>
              <w:rPr>
                <w:szCs w:val="24"/>
              </w:rPr>
            </w:pPr>
            <w:r>
              <w:rPr>
                <w:szCs w:val="24"/>
              </w:rPr>
              <w:t>L’expérience montre que les acteurs ruraux peuvent aussi tirer profit de transfert de l’innovation par la coopération transnationale, interrégionale, dans le cadre des démarches LEADER, ou la part</w:t>
            </w:r>
            <w:r>
              <w:rPr>
                <w:szCs w:val="24"/>
              </w:rPr>
              <w:t xml:space="preserve">icipation au </w:t>
            </w:r>
            <w:r>
              <w:rPr>
                <w:i/>
                <w:iCs/>
                <w:szCs w:val="24"/>
              </w:rPr>
              <w:t>Réseau Rural Européen</w:t>
            </w:r>
            <w:r>
              <w:rPr>
                <w:szCs w:val="24"/>
              </w:rPr>
              <w:t>.</w:t>
            </w:r>
          </w:p>
          <w:p w:rsidR="0035701C" w:rsidRDefault="00FB561B">
            <w:pPr>
              <w:spacing w:before="240" w:after="240"/>
              <w:jc w:val="left"/>
              <w:rPr>
                <w:szCs w:val="24"/>
              </w:rPr>
            </w:pPr>
            <w:r>
              <w:rPr>
                <w:szCs w:val="24"/>
              </w:rPr>
              <w:t xml:space="preserve">Des dynamiques comme la </w:t>
            </w:r>
            <w:r>
              <w:rPr>
                <w:i/>
                <w:iCs/>
                <w:szCs w:val="24"/>
              </w:rPr>
              <w:t xml:space="preserve">route des sens </w:t>
            </w:r>
            <w:r>
              <w:rPr>
                <w:szCs w:val="24"/>
              </w:rPr>
              <w:t xml:space="preserve">ou celle des programmes LEADER, ou plus récemment les initiatives des marchés de producteurs dans différents territoires de Corse sont là pour attester de la pertinence de ces </w:t>
            </w:r>
            <w:r>
              <w:rPr>
                <w:szCs w:val="24"/>
              </w:rPr>
              <w:t>approches.</w:t>
            </w:r>
          </w:p>
          <w:p w:rsidR="0035701C" w:rsidRDefault="00FB561B">
            <w:pPr>
              <w:spacing w:before="240" w:after="240"/>
              <w:jc w:val="left"/>
              <w:rPr>
                <w:szCs w:val="24"/>
              </w:rPr>
            </w:pPr>
            <w:r>
              <w:rPr>
                <w:szCs w:val="24"/>
              </w:rPr>
              <w:t>Enfin, il ya un besoin d’accompagnement d’un marketing territorial autour des produits, des savoir faire et du territoire. Il s’agit d’une innovation non technologique qui répond positivement aux besoins des territoires.</w:t>
            </w:r>
          </w:p>
          <w:p w:rsidR="0035701C" w:rsidRDefault="0035701C">
            <w:pPr>
              <w:pStyle w:val="Corpsdetexte"/>
            </w:pPr>
          </w:p>
        </w:tc>
      </w:tr>
    </w:tbl>
    <w:p w:rsidR="0035701C" w:rsidRDefault="00FB561B">
      <w:pPr>
        <w:pStyle w:val="Titre3"/>
        <w:jc w:val="left"/>
      </w:pPr>
      <w:bookmarkStart w:id="66" w:name="_Toc256000065"/>
      <w:r>
        <w:t xml:space="preserve">30-Favoriser les </w:t>
      </w:r>
      <w:r>
        <w:t>approches du développement endogène visant à la valorisation des ressources</w:t>
      </w:r>
      <w:bookmarkEnd w:id="66"/>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19"/>
              </w:numPr>
            </w:pPr>
            <w:r>
              <w:t>1A) Favoriser l'innovation, la coopération et le développement de la base de connaissances dans les zones rurales</w:t>
            </w:r>
          </w:p>
          <w:p w:rsidR="0035701C" w:rsidRDefault="00FB561B" w:rsidP="00FB561B">
            <w:pPr>
              <w:numPr>
                <w:ilvl w:val="0"/>
                <w:numId w:val="119"/>
              </w:numPr>
            </w:pPr>
            <w:r>
              <w:t>2A) Améliorer les résultats économ</w:t>
            </w:r>
            <w:r>
              <w:t>iques de toutes les exploitations agricoles et faciliter la restructuration et la modernisation des exploitations agricoles, notamment en vue d'accroître la participation au marché et l'orientation vers le marché ainsi que la diversification agricole</w:t>
            </w:r>
          </w:p>
          <w:p w:rsidR="0035701C" w:rsidRDefault="00FB561B" w:rsidP="00FB561B">
            <w:pPr>
              <w:numPr>
                <w:ilvl w:val="0"/>
                <w:numId w:val="119"/>
              </w:numPr>
            </w:pPr>
            <w:r>
              <w:t>2B) F</w:t>
            </w:r>
            <w:r>
              <w:t>aciliter l'entrée d'exploitants agricoles suffisamment qualifiés dans le secteur de l'agriculture, et en particulier le renouvellement des générations</w:t>
            </w:r>
          </w:p>
          <w:p w:rsidR="0035701C" w:rsidRDefault="00FB561B" w:rsidP="00FB561B">
            <w:pPr>
              <w:numPr>
                <w:ilvl w:val="0"/>
                <w:numId w:val="119"/>
              </w:numPr>
            </w:pPr>
            <w:r>
              <w:t xml:space="preserve">4A) Restaurer, préserver et renforcer la biodiversité, y compris dans les zones relevant de Natura 2000, </w:t>
            </w:r>
            <w:r>
              <w:t>les zones soumises à des contraintes naturelles ou à d'autres contraintes spécifiques et les zones agricoles à haute valeur naturelle, ainsi que les paysages européens</w:t>
            </w:r>
          </w:p>
          <w:p w:rsidR="0035701C" w:rsidRDefault="00FB561B" w:rsidP="00FB561B">
            <w:pPr>
              <w:numPr>
                <w:ilvl w:val="0"/>
                <w:numId w:val="119"/>
              </w:numPr>
            </w:pPr>
            <w:r>
              <w:t>5E) Promouvoir la conservation et la séquestration du carbone dans les secteurs de l'agr</w:t>
            </w:r>
            <w:r>
              <w:t>iculture et de la foresterie</w:t>
            </w:r>
          </w:p>
          <w:p w:rsidR="0035701C" w:rsidRDefault="00FB561B" w:rsidP="00FB561B">
            <w:pPr>
              <w:numPr>
                <w:ilvl w:val="0"/>
                <w:numId w:val="119"/>
              </w:numPr>
            </w:pPr>
            <w:r>
              <w:t>6A) Faciliter la diversification, la création et le développement de petites entreprises ainsi que la création d'emplois</w:t>
            </w:r>
          </w:p>
          <w:p w:rsidR="0035701C" w:rsidRDefault="00FB561B" w:rsidP="00FB561B">
            <w:pPr>
              <w:numPr>
                <w:ilvl w:val="0"/>
                <w:numId w:val="119"/>
              </w:numPr>
            </w:pPr>
            <w:r>
              <w:t>6B) Promouvoir le développement local dans les zones rurales</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20"/>
              </w:numPr>
            </w:pPr>
            <w:r>
              <w:t>Innovation</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Un certain nombre d’initiatives qui ont trait à la valorisation des ressources naturelles, culturelles et patrimoniales au cœur des territoires ruraux sont souvent le point de départ de l’émergence de dynamiques touristiques ou collectives ou d</w:t>
            </w:r>
            <w:r>
              <w:rPr>
                <w:szCs w:val="24"/>
              </w:rPr>
              <w:t>e micro-filières. Ces activités nécessitent une hybridation des ressources publiques-privées qu’il convient d’accompagner. Des besoins d’accueil spécifique de ces entreprises sont nécessaires.</w:t>
            </w:r>
          </w:p>
          <w:p w:rsidR="0035701C" w:rsidRDefault="0035701C">
            <w:pPr>
              <w:pStyle w:val="Corpsdetexte"/>
            </w:pPr>
          </w:p>
        </w:tc>
      </w:tr>
    </w:tbl>
    <w:p w:rsidR="0035701C" w:rsidRDefault="00FB561B">
      <w:pPr>
        <w:pStyle w:val="Titre3"/>
        <w:jc w:val="left"/>
      </w:pPr>
      <w:bookmarkStart w:id="67" w:name="_Toc256000066"/>
      <w:r>
        <w:t xml:space="preserve">31-Développer la mise en place des services essentiels et </w:t>
      </w:r>
      <w:r>
        <w:t>l'accueil en milieu rural</w:t>
      </w:r>
      <w:bookmarkEnd w:id="67"/>
      <w:r>
        <w:t xml:space="preserve"> </w:t>
      </w:r>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21"/>
              </w:numPr>
            </w:pPr>
            <w:r>
              <w:t>2A) Améliorer les résultats économiques de toutes les exploitations agricoles et faciliter la restructuration et la modernisation des exploitations agricoles, notamment en vue d'accroître la partic</w:t>
            </w:r>
            <w:r>
              <w:t>ipation au marché et l'orientation vers le marché ainsi que la diversification agricole</w:t>
            </w:r>
          </w:p>
          <w:p w:rsidR="0035701C" w:rsidRDefault="00FB561B" w:rsidP="00FB561B">
            <w:pPr>
              <w:numPr>
                <w:ilvl w:val="0"/>
                <w:numId w:val="121"/>
              </w:numPr>
            </w:pPr>
            <w:r>
              <w:t>6A) Faciliter la diversification, la création et le développement de petites entreprises ainsi que la création d'emplois</w:t>
            </w:r>
          </w:p>
          <w:p w:rsidR="0035701C" w:rsidRDefault="00FB561B" w:rsidP="00FB561B">
            <w:pPr>
              <w:numPr>
                <w:ilvl w:val="0"/>
                <w:numId w:val="121"/>
              </w:numPr>
            </w:pPr>
            <w:r>
              <w:t xml:space="preserve">6B) Promouvoir le développement local dans les </w:t>
            </w:r>
            <w:r>
              <w:t>zones rurales</w:t>
            </w:r>
          </w:p>
        </w:tc>
      </w:tr>
    </w:tbl>
    <w:p w:rsidR="0035701C" w:rsidRDefault="00FB561B">
      <w:r>
        <w:t>Objectifs transversaux</w:t>
      </w:r>
    </w:p>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Les atouts des territoires ruraux résident essentiellement dans l’ambiance qui leur est attachée : ressources naturelles et patrimoines culturels en sont la principale expression.</w:t>
            </w:r>
          </w:p>
          <w:p w:rsidR="0035701C" w:rsidRDefault="00FB561B">
            <w:pPr>
              <w:spacing w:before="240" w:after="240"/>
              <w:jc w:val="left"/>
              <w:rPr>
                <w:szCs w:val="24"/>
              </w:rPr>
            </w:pPr>
            <w:r>
              <w:rPr>
                <w:szCs w:val="24"/>
              </w:rPr>
              <w:t>Les faiblesses principales</w:t>
            </w:r>
            <w:r>
              <w:rPr>
                <w:szCs w:val="24"/>
              </w:rPr>
              <w:t xml:space="preserve"> sont relatives à une faible démographie à la fois cause et conséquence de la réduction des activités.</w:t>
            </w:r>
          </w:p>
          <w:p w:rsidR="0035701C" w:rsidRDefault="00FB561B">
            <w:pPr>
              <w:spacing w:before="240" w:after="240"/>
              <w:jc w:val="left"/>
              <w:rPr>
                <w:szCs w:val="24"/>
              </w:rPr>
            </w:pPr>
            <w:r>
              <w:rPr>
                <w:szCs w:val="24"/>
              </w:rPr>
              <w:t>En dépit des possibilités existantes en matière de travail à distance, l’installation de nouvelles populations et leur maintien n’est soutenable que si u</w:t>
            </w:r>
            <w:r>
              <w:rPr>
                <w:szCs w:val="24"/>
              </w:rPr>
              <w:t>n certain nombre de services essentiels sont disponibles dans le territoire.</w:t>
            </w:r>
          </w:p>
          <w:p w:rsidR="0035701C" w:rsidRDefault="0035701C">
            <w:pPr>
              <w:pStyle w:val="Corpsdetexte"/>
            </w:pPr>
          </w:p>
        </w:tc>
      </w:tr>
    </w:tbl>
    <w:p w:rsidR="0035701C" w:rsidRDefault="00FB561B">
      <w:pPr>
        <w:pStyle w:val="Titre3"/>
        <w:jc w:val="left"/>
      </w:pPr>
      <w:bookmarkStart w:id="68" w:name="_Toc256000067"/>
      <w:r>
        <w:t>32-Préserver le bon état de l'environnement, assurer le renouvellement des ressources naturelles et prévenir le risque incendie</w:t>
      </w:r>
      <w:bookmarkEnd w:id="68"/>
      <w:r>
        <w:t xml:space="preserve"> </w:t>
      </w:r>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22"/>
              </w:numPr>
            </w:pPr>
            <w:r>
              <w:t>4A) Restaurer, p</w:t>
            </w:r>
            <w:r>
              <w:t>réserver et renforcer la biodiversité, y compris dans les zones relevant de Natura 2000, les zones soumises à des contraintes naturelles ou à d'autres contraintes spécifiques et les zones agricoles à haute valeur naturelle, ainsi que les paysages européens</w:t>
            </w:r>
          </w:p>
          <w:p w:rsidR="0035701C" w:rsidRDefault="00FB561B" w:rsidP="00FB561B">
            <w:pPr>
              <w:numPr>
                <w:ilvl w:val="0"/>
                <w:numId w:val="122"/>
              </w:numPr>
            </w:pPr>
            <w:r>
              <w:t>4B) Améliorer la gestion de l'eau, y compris la gestion des engrais et des pesticides</w:t>
            </w:r>
          </w:p>
          <w:p w:rsidR="0035701C" w:rsidRDefault="00FB561B" w:rsidP="00FB561B">
            <w:pPr>
              <w:numPr>
                <w:ilvl w:val="0"/>
                <w:numId w:val="122"/>
              </w:numPr>
            </w:pPr>
            <w:r>
              <w:t>4C) Prévenir l'érosion des sols et améliorer la gestion des sols</w:t>
            </w:r>
          </w:p>
          <w:p w:rsidR="0035701C" w:rsidRDefault="00FB561B" w:rsidP="00FB561B">
            <w:pPr>
              <w:numPr>
                <w:ilvl w:val="0"/>
                <w:numId w:val="122"/>
              </w:numPr>
            </w:pPr>
            <w:r>
              <w:t>5A) Développer l'utilisation efficace de l'eau dans l'agriculture</w:t>
            </w:r>
          </w:p>
          <w:p w:rsidR="0035701C" w:rsidRDefault="00FB561B" w:rsidP="00FB561B">
            <w:pPr>
              <w:numPr>
                <w:ilvl w:val="0"/>
                <w:numId w:val="122"/>
              </w:numPr>
            </w:pPr>
            <w:r>
              <w:t>5E) Promouvoir la conservation et la s</w:t>
            </w:r>
            <w:r>
              <w:t>équestration du carbone dans les secteurs de l'agriculture et de la foresterie</w:t>
            </w:r>
          </w:p>
        </w:tc>
      </w:tr>
    </w:tbl>
    <w:p w:rsidR="0035701C" w:rsidRDefault="00FB561B">
      <w:r>
        <w:t>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23"/>
              </w:numPr>
            </w:pPr>
            <w:r>
              <w:t>Environnement</w:t>
            </w:r>
          </w:p>
        </w:tc>
      </w:tr>
    </w:tbl>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b/>
                <w:bCs/>
                <w:szCs w:val="24"/>
              </w:rPr>
              <w:t>- Description du besoin</w:t>
            </w:r>
          </w:p>
          <w:p w:rsidR="0035701C" w:rsidRDefault="00FB561B">
            <w:pPr>
              <w:spacing w:before="240" w:after="240"/>
              <w:jc w:val="left"/>
              <w:rPr>
                <w:szCs w:val="24"/>
              </w:rPr>
            </w:pPr>
            <w:r>
              <w:rPr>
                <w:szCs w:val="24"/>
              </w:rPr>
              <w:t>Le développement de l’agriculture et de l’exploitation forestière doit s’inscrire dans une perspective</w:t>
            </w:r>
            <w:r>
              <w:rPr>
                <w:szCs w:val="24"/>
              </w:rPr>
              <w:t xml:space="preserve"> globale de gestion durable. Celle-ci implique la protection et la gestion conforme à cet objectif des ressources naturelles notamment des sols, de l’eau et de la biodiversité :</w:t>
            </w:r>
          </w:p>
          <w:p w:rsidR="0035701C" w:rsidRDefault="00FB561B">
            <w:pPr>
              <w:spacing w:before="240" w:after="240"/>
              <w:jc w:val="left"/>
              <w:rPr>
                <w:szCs w:val="24"/>
              </w:rPr>
            </w:pPr>
            <w:r>
              <w:rPr>
                <w:szCs w:val="24"/>
              </w:rPr>
              <w:t>La gestion durable de la ressource en eau induit un objectif d’amélioration de</w:t>
            </w:r>
            <w:r>
              <w:rPr>
                <w:szCs w:val="24"/>
              </w:rPr>
              <w:t>s rendements des réseaux, leur interconnexion et une irrigation rationnelle et maitrisée.</w:t>
            </w:r>
          </w:p>
          <w:p w:rsidR="0035701C" w:rsidRDefault="00FB561B">
            <w:pPr>
              <w:spacing w:before="240" w:after="240"/>
              <w:jc w:val="left"/>
              <w:rPr>
                <w:szCs w:val="24"/>
              </w:rPr>
            </w:pPr>
            <w:r>
              <w:rPr>
                <w:szCs w:val="24"/>
              </w:rPr>
              <w:t>Pour autant des aménagements structurants complémentaires et leur usage mixte permettraient de sécuriser l’alimentation en eau et épargneraient une sollicitation exce</w:t>
            </w:r>
            <w:r>
              <w:rPr>
                <w:szCs w:val="24"/>
              </w:rPr>
              <w:t>ssive de la ressource en période de pointe. L’abondance de la ressource sur l’année autorise de tels aménagements dans le respect de la Directive Cadre sur l'Eau (DCE).</w:t>
            </w:r>
          </w:p>
          <w:p w:rsidR="0035701C" w:rsidRDefault="00FB561B">
            <w:pPr>
              <w:spacing w:before="240" w:after="240"/>
              <w:jc w:val="left"/>
              <w:rPr>
                <w:szCs w:val="24"/>
              </w:rPr>
            </w:pPr>
            <w:r>
              <w:rPr>
                <w:szCs w:val="24"/>
              </w:rPr>
              <w:t>Les stratégies d’irrigation doivent être orientées en fonction d’une gestion économe de</w:t>
            </w:r>
            <w:r>
              <w:rPr>
                <w:szCs w:val="24"/>
              </w:rPr>
              <w:t xml:space="preserve"> la ressource, et de leur incidence économique.</w:t>
            </w:r>
          </w:p>
          <w:p w:rsidR="0035701C" w:rsidRDefault="00FB561B">
            <w:pPr>
              <w:spacing w:before="240" w:after="240"/>
              <w:jc w:val="left"/>
              <w:rPr>
                <w:szCs w:val="24"/>
              </w:rPr>
            </w:pPr>
            <w:r>
              <w:rPr>
                <w:szCs w:val="24"/>
              </w:rPr>
              <w:t xml:space="preserve">S’agissant de la préservation des sols la problématique principale concerne l’érosion et le maintien des sols dans un état biologique et chimique satisfaisant (problématiques phyto sanitaires et pollutions). </w:t>
            </w:r>
            <w:r>
              <w:rPr>
                <w:szCs w:val="24"/>
              </w:rPr>
              <w:t>Des techniques culturales ou des conduites adaptées doivent être préconisées.</w:t>
            </w:r>
          </w:p>
          <w:p w:rsidR="0035701C" w:rsidRDefault="00FB561B">
            <w:pPr>
              <w:spacing w:before="240" w:after="240"/>
              <w:jc w:val="left"/>
              <w:rPr>
                <w:szCs w:val="24"/>
              </w:rPr>
            </w:pPr>
            <w:r>
              <w:rPr>
                <w:szCs w:val="24"/>
              </w:rPr>
              <w:t>Enfin, des pratiques compatibles avec le maintien de la biodiversité doivent être encouragées au niveau de l’aménagement des territoires et des exploitations (MAEC). Il s’agit en</w:t>
            </w:r>
            <w:r>
              <w:rPr>
                <w:szCs w:val="24"/>
              </w:rPr>
              <w:t xml:space="preserve"> particulier de veiller à la réduction et à l’optimisation des pratiques phytosanitaires qui ont notamment un impact sur les populations d'abeilles. Cette approche concerne également les produits sanitaires en élevage.</w:t>
            </w:r>
          </w:p>
          <w:p w:rsidR="0035701C" w:rsidRDefault="00FB561B">
            <w:pPr>
              <w:spacing w:before="240" w:after="240"/>
              <w:jc w:val="left"/>
              <w:rPr>
                <w:szCs w:val="24"/>
              </w:rPr>
            </w:pPr>
            <w:r>
              <w:rPr>
                <w:szCs w:val="24"/>
              </w:rPr>
              <w:t>Enfin il convient d’encourager positi</w:t>
            </w:r>
            <w:r>
              <w:rPr>
                <w:szCs w:val="24"/>
              </w:rPr>
              <w:t>vement l’usage des ressources locales de matériaux de constructions (la pierre, le bois, le liège…) qui peuvent contribuer à orienter l’habitat vers la qualité environnementale.</w:t>
            </w:r>
          </w:p>
          <w:p w:rsidR="0035701C" w:rsidRDefault="0035701C">
            <w:pPr>
              <w:pStyle w:val="Corpsdetexte"/>
            </w:pPr>
          </w:p>
        </w:tc>
      </w:tr>
    </w:tbl>
    <w:p w:rsidR="0035701C" w:rsidRDefault="00FB561B">
      <w:pPr>
        <w:pStyle w:val="Titre3"/>
        <w:jc w:val="left"/>
      </w:pPr>
      <w:bookmarkStart w:id="69" w:name="_Toc256000068"/>
      <w:r>
        <w:t>33-Maintenir une occupation du territoire et favoriser le lien social</w:t>
      </w:r>
      <w:bookmarkEnd w:id="69"/>
      <w:r>
        <w:t xml:space="preserve"> </w:t>
      </w:r>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24"/>
              </w:numPr>
            </w:pPr>
            <w:r>
              <w:t>2A) Améliorer les résultats économiques de toutes les exploitations agricoles et faciliter la restructuration et la modernisation des exploitations agricoles, notamment en vue d'accroître la participation au marché et l'orie</w:t>
            </w:r>
            <w:r>
              <w:t>ntation vers le marché ainsi que la diversification agricole</w:t>
            </w:r>
          </w:p>
          <w:p w:rsidR="0035701C" w:rsidRDefault="00FB561B" w:rsidP="00FB561B">
            <w:pPr>
              <w:numPr>
                <w:ilvl w:val="0"/>
                <w:numId w:val="124"/>
              </w:numPr>
            </w:pPr>
            <w:r>
              <w:t>2B) Faciliter l'entrée d'exploitants agricoles suffisamment qualifiés dans le secteur de l'agriculture, et en particulier le renouvellement des générations</w:t>
            </w:r>
          </w:p>
          <w:p w:rsidR="0035701C" w:rsidRDefault="00FB561B" w:rsidP="00FB561B">
            <w:pPr>
              <w:numPr>
                <w:ilvl w:val="0"/>
                <w:numId w:val="124"/>
              </w:numPr>
            </w:pPr>
            <w:r>
              <w:t>5E) Promouvoir la conservation et la sé</w:t>
            </w:r>
            <w:r>
              <w:t>questration du carbone dans les secteurs de l'agriculture et de la foresterie</w:t>
            </w:r>
          </w:p>
          <w:p w:rsidR="0035701C" w:rsidRDefault="00FB561B" w:rsidP="00FB561B">
            <w:pPr>
              <w:numPr>
                <w:ilvl w:val="0"/>
                <w:numId w:val="124"/>
              </w:numPr>
            </w:pPr>
            <w:r>
              <w:t>6A) Faciliter la diversification, la création et le développement de petites entreprises ainsi que la création d'emplois</w:t>
            </w:r>
          </w:p>
          <w:p w:rsidR="0035701C" w:rsidRDefault="00FB561B" w:rsidP="00FB561B">
            <w:pPr>
              <w:numPr>
                <w:ilvl w:val="0"/>
                <w:numId w:val="124"/>
              </w:numPr>
            </w:pPr>
            <w:r>
              <w:t>6B) Promouvoir le développement local dans les zones rura</w:t>
            </w:r>
            <w:r>
              <w:t>les</w:t>
            </w:r>
          </w:p>
        </w:tc>
      </w:tr>
    </w:tbl>
    <w:p w:rsidR="0035701C" w:rsidRDefault="00FB561B">
      <w:r>
        <w:t>Objectifs transversaux</w:t>
      </w:r>
    </w:p>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b/>
                <w:bCs/>
                <w:szCs w:val="24"/>
              </w:rPr>
              <w:t>- Description du besoin</w:t>
            </w:r>
          </w:p>
          <w:p w:rsidR="0035701C" w:rsidRDefault="00FB561B">
            <w:pPr>
              <w:spacing w:before="240" w:after="240"/>
              <w:jc w:val="left"/>
              <w:rPr>
                <w:szCs w:val="24"/>
              </w:rPr>
            </w:pPr>
            <w:r>
              <w:rPr>
                <w:szCs w:val="24"/>
              </w:rPr>
              <w:t xml:space="preserve">Une meilleure occupation du territoire favorise l’inclusion sociale et un développement soutenable. Ainsi l’action en faveur des territoires ruraux doit intégrer les approches concourant à </w:t>
            </w:r>
            <w:r>
              <w:rPr>
                <w:szCs w:val="24"/>
              </w:rPr>
              <w:t>créer du lien à l’intérieur des populations ou de l’intégration sociale, avec une attention particulière en direction des personnes fragiles : femmes, jeunes, retraités, personnes dans la précarité. Il s’agit notamment de favoriser :</w:t>
            </w:r>
          </w:p>
          <w:p w:rsidR="0035701C" w:rsidRDefault="00FB561B" w:rsidP="00FB561B">
            <w:pPr>
              <w:numPr>
                <w:ilvl w:val="0"/>
                <w:numId w:val="125"/>
              </w:numPr>
              <w:spacing w:before="240" w:after="0"/>
              <w:ind w:hanging="210"/>
              <w:jc w:val="left"/>
              <w:rPr>
                <w:szCs w:val="24"/>
              </w:rPr>
            </w:pPr>
            <w:r>
              <w:rPr>
                <w:szCs w:val="24"/>
              </w:rPr>
              <w:t>les activités relevant</w:t>
            </w:r>
            <w:r>
              <w:rPr>
                <w:szCs w:val="24"/>
              </w:rPr>
              <w:t xml:space="preserve"> de l’Economie Sociale et Solidaire qui incluent le secteur associatif,</w:t>
            </w:r>
          </w:p>
          <w:p w:rsidR="0035701C" w:rsidRDefault="00FB561B" w:rsidP="00FB561B">
            <w:pPr>
              <w:numPr>
                <w:ilvl w:val="0"/>
                <w:numId w:val="125"/>
              </w:numPr>
              <w:spacing w:before="0" w:after="0"/>
              <w:ind w:hanging="210"/>
              <w:jc w:val="left"/>
              <w:rPr>
                <w:szCs w:val="24"/>
              </w:rPr>
            </w:pPr>
            <w:r>
              <w:rPr>
                <w:szCs w:val="24"/>
              </w:rPr>
              <w:t>les projets de création de lieux de vie,</w:t>
            </w:r>
          </w:p>
          <w:p w:rsidR="0035701C" w:rsidRDefault="00FB561B" w:rsidP="00FB561B">
            <w:pPr>
              <w:numPr>
                <w:ilvl w:val="0"/>
                <w:numId w:val="125"/>
              </w:numPr>
              <w:spacing w:before="0" w:after="240"/>
              <w:ind w:hanging="210"/>
              <w:jc w:val="left"/>
              <w:rPr>
                <w:szCs w:val="24"/>
              </w:rPr>
            </w:pPr>
            <w:r>
              <w:rPr>
                <w:szCs w:val="24"/>
              </w:rPr>
              <w:t>les jardins qui présentent un intérêt social, culturel et d’entretien des paysages et de protection dans le cadre de la lutte anti-incendie. Il</w:t>
            </w:r>
            <w:r>
              <w:rPr>
                <w:szCs w:val="24"/>
              </w:rPr>
              <w:t>s peuvent s’inscrire dans le cadre de la redynamisation de la vie dans les villages et être accompagnés également en ville.</w:t>
            </w:r>
          </w:p>
          <w:p w:rsidR="0035701C" w:rsidRDefault="0035701C">
            <w:pPr>
              <w:pStyle w:val="Corpsdetexte"/>
            </w:pPr>
          </w:p>
        </w:tc>
      </w:tr>
    </w:tbl>
    <w:p w:rsidR="0035701C" w:rsidRDefault="00FB561B">
      <w:pPr>
        <w:pStyle w:val="Titre3"/>
        <w:jc w:val="left"/>
      </w:pPr>
      <w:bookmarkStart w:id="70" w:name="_Toc256000069"/>
      <w:r>
        <w:t>34-Favoriser un équilibre entre le tourisme et les autres secteurs  économiques</w:t>
      </w:r>
      <w:bookmarkEnd w:id="70"/>
    </w:p>
    <w:p w:rsidR="0035701C" w:rsidRDefault="00FB561B">
      <w:r>
        <w:t>Priorités/Domaines prioritaires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26"/>
              </w:numPr>
            </w:pPr>
            <w:r>
              <w:t xml:space="preserve">2B) Faciliter </w:t>
            </w:r>
            <w:r>
              <w:t>l'entrée d'exploitants agricoles suffisamment qualifiés dans le secteur de l'agriculture, et en particulier le renouvellement des générations</w:t>
            </w:r>
          </w:p>
          <w:p w:rsidR="0035701C" w:rsidRDefault="00FB561B" w:rsidP="00FB561B">
            <w:pPr>
              <w:numPr>
                <w:ilvl w:val="0"/>
                <w:numId w:val="126"/>
              </w:numPr>
            </w:pPr>
            <w:r>
              <w:t>5E) Promouvoir la conservation et la séquestration du carbone dans les secteurs de l'agriculture et de la forester</w:t>
            </w:r>
            <w:r>
              <w:t>ie</w:t>
            </w:r>
          </w:p>
          <w:p w:rsidR="0035701C" w:rsidRDefault="00FB561B" w:rsidP="00FB561B">
            <w:pPr>
              <w:numPr>
                <w:ilvl w:val="0"/>
                <w:numId w:val="126"/>
              </w:numPr>
            </w:pPr>
            <w:r>
              <w:t>6A) Faciliter la diversification, la création et le développement de petites entreprises ainsi que la création d'emplois</w:t>
            </w:r>
          </w:p>
          <w:p w:rsidR="0035701C" w:rsidRDefault="00FB561B" w:rsidP="00FB561B">
            <w:pPr>
              <w:numPr>
                <w:ilvl w:val="0"/>
                <w:numId w:val="126"/>
              </w:numPr>
            </w:pPr>
            <w:r>
              <w:t>6B) Promouvoir le développement local dans les zones rurales</w:t>
            </w:r>
          </w:p>
        </w:tc>
      </w:tr>
    </w:tbl>
    <w:p w:rsidR="0035701C" w:rsidRDefault="00FB561B">
      <w:r>
        <w:t>Objectifs transversaux</w:t>
      </w:r>
    </w:p>
    <w:p w:rsidR="0035701C" w:rsidRDefault="00FB561B">
      <w:r>
        <w:t>Description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 xml:space="preserve">Il est nécessaire de développer et </w:t>
            </w:r>
            <w:r>
              <w:rPr>
                <w:szCs w:val="24"/>
              </w:rPr>
              <w:t>de favoriser en milieu rural les synergies et la complémentarité entre les secteurs agricoles et touristiques notamment.</w:t>
            </w:r>
          </w:p>
          <w:p w:rsidR="0035701C" w:rsidRDefault="00FB561B">
            <w:pPr>
              <w:spacing w:before="240" w:after="240"/>
              <w:jc w:val="left"/>
              <w:rPr>
                <w:szCs w:val="24"/>
              </w:rPr>
            </w:pPr>
            <w:r>
              <w:rPr>
                <w:szCs w:val="24"/>
              </w:rPr>
              <w:t>L'agriculture Corse constitue un atout pour le tourisme par l'attrait de ses savoir faire et inversement le tourisme doit permettre aux</w:t>
            </w:r>
            <w:r>
              <w:rPr>
                <w:szCs w:val="24"/>
              </w:rPr>
              <w:t xml:space="preserve"> exploitations agricoles de développer notamment des activités de diversification.</w:t>
            </w:r>
          </w:p>
          <w:p w:rsidR="0035701C" w:rsidRDefault="00FB561B">
            <w:pPr>
              <w:spacing w:before="240" w:after="240"/>
              <w:jc w:val="left"/>
              <w:rPr>
                <w:szCs w:val="24"/>
              </w:rPr>
            </w:pPr>
            <w:r>
              <w:rPr>
                <w:szCs w:val="24"/>
              </w:rPr>
              <w:t>Ainsi, l’accompagnement des entreprises en milieux rural devra tendre vers un meilleur équilibre entre les différents types d’activité.</w:t>
            </w:r>
          </w:p>
          <w:p w:rsidR="0035701C" w:rsidRDefault="0035701C">
            <w:pPr>
              <w:pStyle w:val="Corpsdetexte"/>
            </w:pPr>
          </w:p>
        </w:tc>
      </w:tr>
    </w:tbl>
    <w:p w:rsidR="0035701C" w:rsidRDefault="0035701C">
      <w:pPr>
        <w:sectPr w:rsidR="0035701C">
          <w:pgSz w:w="12240" w:h="15840"/>
          <w:pgMar w:top="900" w:right="900" w:bottom="900" w:left="900" w:header="720" w:footer="720" w:gutter="0"/>
          <w:cols w:space="720"/>
        </w:sectPr>
      </w:pPr>
    </w:p>
    <w:p w:rsidR="0035701C" w:rsidRDefault="00FB561B">
      <w:pPr>
        <w:pStyle w:val="Titre1"/>
      </w:pPr>
      <w:bookmarkStart w:id="71" w:name="_Toc256000070"/>
      <w:r>
        <w:t>Description de la stratég</w:t>
      </w:r>
      <w:r>
        <w:t>ie</w:t>
      </w:r>
      <w:bookmarkEnd w:id="71"/>
    </w:p>
    <w:p w:rsidR="0035701C" w:rsidRDefault="00FB561B">
      <w:pPr>
        <w:pStyle w:val="Titre2"/>
      </w:pPr>
      <w:bookmarkStart w:id="72" w:name="_Toc256000071"/>
      <w:r>
        <w:t>Justification des besoins retenus auxquels le PDR doit répondre et du choix des objectifs, des priorités, des domaines prioritaires et de la fixation des cibles sur la base d'éléments probants issus de l’analyse SWOT et de l'évaluation des besoins. Le c</w:t>
      </w:r>
      <w:r>
        <w:t>as échéant, inclusion, dans le programme, d'une justification des sous-programmes thématiques. Cette justification démontrera notamment le respect des exigences visées à l'article 8, paragraphe 1, point c), i) et iv), du règlement (UE) n° 1305/2013</w:t>
      </w:r>
      <w:bookmarkEnd w:id="7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b/>
                <w:bCs/>
                <w:szCs w:val="24"/>
              </w:rPr>
              <w:t>A - L’a</w:t>
            </w:r>
            <w:r>
              <w:rPr>
                <w:b/>
                <w:bCs/>
                <w:szCs w:val="24"/>
              </w:rPr>
              <w:t>pproche stratégique</w:t>
            </w:r>
          </w:p>
          <w:p w:rsidR="0035701C" w:rsidRDefault="00FB561B">
            <w:pPr>
              <w:spacing w:before="240" w:after="240"/>
              <w:jc w:val="left"/>
              <w:rPr>
                <w:szCs w:val="24"/>
              </w:rPr>
            </w:pPr>
            <w:r>
              <w:rPr>
                <w:szCs w:val="24"/>
              </w:rPr>
              <w:t>La situation révélée par la description de la zone rurale et l’analyse AFOM, démontre que la production agricole et forestière de la Corse est singulière si on la compare à d’autres régions européennes, même insulaires.</w:t>
            </w:r>
          </w:p>
          <w:p w:rsidR="0035701C" w:rsidRDefault="00FB561B">
            <w:pPr>
              <w:spacing w:before="240" w:after="240"/>
              <w:jc w:val="left"/>
              <w:rPr>
                <w:szCs w:val="24"/>
              </w:rPr>
            </w:pPr>
            <w:r>
              <w:rPr>
                <w:szCs w:val="24"/>
              </w:rPr>
              <w:t>Si la baisse con</w:t>
            </w:r>
            <w:r>
              <w:rPr>
                <w:szCs w:val="24"/>
              </w:rPr>
              <w:t>tinue de la part de l’agriculture en termes d’emplois et de part de PIB est une tendance commune aux régions développées, l’agriculture de la Corse semble être restée à l’écart des grands mouvements du progrès technico économique et agraire de ce secteur d</w:t>
            </w:r>
            <w:r>
              <w:rPr>
                <w:szCs w:val="24"/>
              </w:rPr>
              <w:t>’activités.</w:t>
            </w:r>
          </w:p>
          <w:p w:rsidR="0035701C" w:rsidRDefault="00FB561B">
            <w:pPr>
              <w:spacing w:before="240" w:after="240"/>
              <w:jc w:val="left"/>
              <w:rPr>
                <w:szCs w:val="24"/>
              </w:rPr>
            </w:pPr>
            <w:r>
              <w:rPr>
                <w:szCs w:val="24"/>
              </w:rPr>
              <w:t>D’origine pastorale et vivrière, faute d’une amélioration rapide et suffisante de ses structures et de ses marchés et marquée par son insularité elle peine toujours à acquérir une dimension économique et une organisation lui conférant une masse</w:t>
            </w:r>
            <w:r>
              <w:rPr>
                <w:szCs w:val="24"/>
              </w:rPr>
              <w:t xml:space="preserve"> critique suffisante pour prétendre à un développement générateur de revenus et d’emplois.</w:t>
            </w:r>
          </w:p>
          <w:p w:rsidR="0035701C" w:rsidRDefault="00FB561B">
            <w:pPr>
              <w:spacing w:before="240" w:after="240"/>
              <w:jc w:val="left"/>
              <w:rPr>
                <w:szCs w:val="24"/>
              </w:rPr>
            </w:pPr>
            <w:r>
              <w:rPr>
                <w:szCs w:val="24"/>
              </w:rPr>
              <w:t>Le constat qu’il existe de nombreuses ressources est pondéré par le fait que des contraintes physiques et logistiques (foncier, accessibilité, pente), et surtout éco</w:t>
            </w:r>
            <w:r>
              <w:rPr>
                <w:szCs w:val="24"/>
              </w:rPr>
              <w:t>nomiques en limitent la mobilisation.</w:t>
            </w:r>
          </w:p>
          <w:p w:rsidR="0035701C" w:rsidRDefault="00FB561B">
            <w:pPr>
              <w:spacing w:before="240" w:after="240"/>
              <w:jc w:val="left"/>
              <w:rPr>
                <w:szCs w:val="24"/>
              </w:rPr>
            </w:pPr>
            <w:r>
              <w:rPr>
                <w:szCs w:val="24"/>
              </w:rPr>
              <w:t>A l’inverse d’autres régions, la Corse a cependant échappé à certains excès, ce qui lui vaut à juste titre d’être considérée comme générant des externalités positives sur l’environnement et le paysage.</w:t>
            </w:r>
          </w:p>
          <w:p w:rsidR="0035701C" w:rsidRDefault="00FB561B">
            <w:pPr>
              <w:spacing w:before="240" w:after="240"/>
              <w:jc w:val="left"/>
              <w:rPr>
                <w:szCs w:val="24"/>
              </w:rPr>
            </w:pPr>
            <w:r>
              <w:rPr>
                <w:szCs w:val="24"/>
              </w:rPr>
              <w:t xml:space="preserve">Terre de </w:t>
            </w:r>
            <w:r>
              <w:rPr>
                <w:szCs w:val="24"/>
              </w:rPr>
              <w:t>tradition plus que de production, la Corse s’est engagée sur la valorisation des savoir faire et des produits à forte typicité au travers de la reconnaissance de signes de qualité et d’origine distinctifs. Il convient de souligner que ces démarches de cert</w:t>
            </w:r>
            <w:r>
              <w:rPr>
                <w:szCs w:val="24"/>
              </w:rPr>
              <w:t>ification de l’origine ont été, ces dernières années, un facteur important de l’amélioration de la compétitivité des entreprises qui s’y sont engagées.</w:t>
            </w:r>
          </w:p>
          <w:p w:rsidR="0035701C" w:rsidRDefault="00FB561B">
            <w:pPr>
              <w:spacing w:before="240" w:after="240"/>
              <w:jc w:val="left"/>
              <w:rPr>
                <w:szCs w:val="24"/>
              </w:rPr>
            </w:pPr>
            <w:r>
              <w:rPr>
                <w:szCs w:val="24"/>
              </w:rPr>
              <w:t xml:space="preserve">Même si cette trajectoire cache des disparités géographiques et sectorielles, la question foncière, les </w:t>
            </w:r>
            <w:r>
              <w:rPr>
                <w:szCs w:val="24"/>
              </w:rPr>
              <w:t>possibilités et le niveau de recrutement de nouveaux agriculteurs sont, dans la situation actuelle, à la fois la conséquence de cette situation et désormais un frein essentiel à la progression de ce secteur d’activités.</w:t>
            </w:r>
          </w:p>
          <w:p w:rsidR="0035701C" w:rsidRDefault="00FB561B">
            <w:pPr>
              <w:spacing w:before="240" w:after="240"/>
              <w:jc w:val="left"/>
              <w:rPr>
                <w:szCs w:val="24"/>
              </w:rPr>
            </w:pPr>
            <w:r>
              <w:rPr>
                <w:szCs w:val="24"/>
              </w:rPr>
              <w:t>C’est en ce sens que ces problématiq</w:t>
            </w:r>
            <w:r>
              <w:rPr>
                <w:szCs w:val="24"/>
              </w:rPr>
              <w:t>ues du « foncier », de la « formation » et de « l’installation » ont été considérées comme prioritaires au sein des orientations validées par l’Assemblée de Corse en novembre 2013 (Orientations Stratégiques agriculture, développement rural et forêt - Délib</w:t>
            </w:r>
            <w:r>
              <w:rPr>
                <w:szCs w:val="24"/>
              </w:rPr>
              <w:t>ération AC n°13/233), consécutivement à un large travail de concertation en partenariat avec les filières agricoles et les territoires ruraux.</w:t>
            </w:r>
          </w:p>
          <w:p w:rsidR="0035701C" w:rsidRDefault="00FB561B">
            <w:pPr>
              <w:spacing w:before="240" w:after="240"/>
              <w:jc w:val="left"/>
              <w:rPr>
                <w:szCs w:val="24"/>
              </w:rPr>
            </w:pPr>
            <w:r>
              <w:rPr>
                <w:szCs w:val="24"/>
              </w:rPr>
              <w:t xml:space="preserve">Ces défis de la </w:t>
            </w:r>
            <w:r>
              <w:rPr>
                <w:i/>
                <w:iCs/>
                <w:szCs w:val="24"/>
              </w:rPr>
              <w:t>terre et des hommes</w:t>
            </w:r>
            <w:r>
              <w:rPr>
                <w:szCs w:val="24"/>
              </w:rPr>
              <w:t xml:space="preserve"> ne masquent pas d’autres nécessités que constituent : le maintien du bon état environnemental, l’atténuation et la prévention des risques liés au changement climatique, la recherche d’une amélioration de la compétitivité technique et sur les marchés, la r</w:t>
            </w:r>
            <w:r>
              <w:rPr>
                <w:szCs w:val="24"/>
              </w:rPr>
              <w:t>echerche d’un équilibre territorial.</w:t>
            </w:r>
          </w:p>
          <w:p w:rsidR="0035701C" w:rsidRDefault="00FB561B">
            <w:pPr>
              <w:spacing w:before="240" w:after="240"/>
              <w:jc w:val="left"/>
              <w:rPr>
                <w:szCs w:val="24"/>
              </w:rPr>
            </w:pPr>
            <w:r>
              <w:rPr>
                <w:szCs w:val="24"/>
              </w:rPr>
              <w:t xml:space="preserve">Ainsi les 34 besoins présentés dans le § 4.2 peuvent être classés par grandes orientations en référence au plan des </w:t>
            </w:r>
            <w:r>
              <w:rPr>
                <w:i/>
                <w:iCs/>
                <w:szCs w:val="24"/>
              </w:rPr>
              <w:t>Orientations agriculture, développement rural et forêt</w:t>
            </w:r>
            <w:r>
              <w:rPr>
                <w:szCs w:val="24"/>
              </w:rPr>
              <w:t xml:space="preserve"> validé par l’Assemblée de Corse – délibération A</w:t>
            </w:r>
            <w:r>
              <w:rPr>
                <w:szCs w:val="24"/>
              </w:rPr>
              <w:t>C 13/233 du 7 novembre 2013 :</w:t>
            </w:r>
          </w:p>
          <w:p w:rsidR="0035701C" w:rsidRDefault="00FB561B" w:rsidP="00FB561B">
            <w:pPr>
              <w:numPr>
                <w:ilvl w:val="0"/>
                <w:numId w:val="127"/>
              </w:numPr>
              <w:spacing w:before="240" w:after="240"/>
              <w:ind w:hanging="210"/>
              <w:jc w:val="left"/>
              <w:rPr>
                <w:szCs w:val="24"/>
              </w:rPr>
            </w:pPr>
            <w:r>
              <w:rPr>
                <w:szCs w:val="24"/>
              </w:rPr>
              <w:t>Orientation n°1 : Protéger, Maîtriser et Mobiliser le foncier</w:t>
            </w:r>
          </w:p>
          <w:p w:rsidR="0035701C" w:rsidRDefault="00FB561B">
            <w:pPr>
              <w:spacing w:before="240" w:after="240"/>
              <w:ind w:left="1200"/>
              <w:jc w:val="left"/>
              <w:rPr>
                <w:szCs w:val="24"/>
              </w:rPr>
            </w:pPr>
            <w:r>
              <w:rPr>
                <w:szCs w:val="24"/>
              </w:rPr>
              <w:t>Il s’agit de modifier radicalement les approches en matière de mobilisation du foncier, maîtriser le prix de la terre agricole, créer un effet levier pour l’install</w:t>
            </w:r>
            <w:r>
              <w:rPr>
                <w:szCs w:val="24"/>
              </w:rPr>
              <w:t>ation, et lutter contre la spéculation. Cela nécessite d’abord une action en faveur de la délimitation et de la protection du périmètre agricole et forestier.</w:t>
            </w:r>
          </w:p>
          <w:p w:rsidR="0035701C" w:rsidRDefault="00FB561B">
            <w:pPr>
              <w:spacing w:before="240" w:after="240"/>
              <w:ind w:left="1200"/>
              <w:jc w:val="left"/>
              <w:rPr>
                <w:szCs w:val="24"/>
              </w:rPr>
            </w:pPr>
            <w:r>
              <w:rPr>
                <w:szCs w:val="24"/>
              </w:rPr>
              <w:t>Les besoins n° 1 à 3 relèvent de cette orientation.</w:t>
            </w:r>
          </w:p>
          <w:p w:rsidR="0035701C" w:rsidRDefault="00FB561B" w:rsidP="00FB561B">
            <w:pPr>
              <w:numPr>
                <w:ilvl w:val="0"/>
                <w:numId w:val="128"/>
              </w:numPr>
              <w:spacing w:before="240" w:after="240"/>
              <w:ind w:hanging="210"/>
              <w:jc w:val="left"/>
              <w:rPr>
                <w:szCs w:val="24"/>
              </w:rPr>
            </w:pPr>
            <w:r>
              <w:rPr>
                <w:szCs w:val="24"/>
              </w:rPr>
              <w:t>Orientation n°2 : Intensifier la connaissance</w:t>
            </w:r>
            <w:r>
              <w:rPr>
                <w:szCs w:val="24"/>
              </w:rPr>
              <w:t>, accroître la capacité d’innovation, accroître l’installation</w:t>
            </w:r>
          </w:p>
          <w:p w:rsidR="0035701C" w:rsidRDefault="00FB561B">
            <w:pPr>
              <w:spacing w:before="240" w:after="240"/>
              <w:ind w:left="1200"/>
              <w:jc w:val="left"/>
              <w:rPr>
                <w:szCs w:val="24"/>
              </w:rPr>
            </w:pPr>
            <w:r>
              <w:rPr>
                <w:szCs w:val="24"/>
              </w:rPr>
              <w:t>L’ambition d’augmenter le nombre d’actifs du secteur primaire et de faire progresser l’économie du monde rural en Corse nécessite de faire émerger une partie non négligeable de la population ve</w:t>
            </w:r>
            <w:r>
              <w:rPr>
                <w:szCs w:val="24"/>
              </w:rPr>
              <w:t>rs les métiers de l’agriculture, de la sylviculture. Elle nécessite d’accroître également le niveau de compétence des actifs afin de renforcer la compétitivité de l’ensemble des entreprises en milieu rural.</w:t>
            </w:r>
          </w:p>
          <w:p w:rsidR="0035701C" w:rsidRDefault="00FB561B">
            <w:pPr>
              <w:spacing w:before="240" w:after="240"/>
              <w:ind w:left="1200"/>
              <w:jc w:val="left"/>
              <w:rPr>
                <w:szCs w:val="24"/>
              </w:rPr>
            </w:pPr>
            <w:r>
              <w:rPr>
                <w:szCs w:val="24"/>
              </w:rPr>
              <w:t>Les besoins n° 4 à 6 relèvent de cette orientatio</w:t>
            </w:r>
            <w:r>
              <w:rPr>
                <w:szCs w:val="24"/>
              </w:rPr>
              <w:t>n.</w:t>
            </w:r>
          </w:p>
          <w:p w:rsidR="0035701C" w:rsidRDefault="00FB561B" w:rsidP="00FB561B">
            <w:pPr>
              <w:numPr>
                <w:ilvl w:val="0"/>
                <w:numId w:val="129"/>
              </w:numPr>
              <w:spacing w:before="240" w:after="240"/>
              <w:ind w:hanging="210"/>
              <w:jc w:val="left"/>
              <w:rPr>
                <w:szCs w:val="24"/>
              </w:rPr>
            </w:pPr>
            <w:r>
              <w:rPr>
                <w:szCs w:val="24"/>
              </w:rPr>
              <w:t>Orientation n°3 : Orienter l’accompagnement public vers la production, la qualité et l’efficience environnementale</w:t>
            </w:r>
          </w:p>
          <w:p w:rsidR="0035701C" w:rsidRDefault="00FB561B">
            <w:pPr>
              <w:spacing w:before="240" w:after="240"/>
              <w:ind w:left="1200"/>
              <w:jc w:val="left"/>
              <w:rPr>
                <w:szCs w:val="24"/>
              </w:rPr>
            </w:pPr>
            <w:r>
              <w:rPr>
                <w:szCs w:val="24"/>
              </w:rPr>
              <w:t>L'ambition est de développer le niveau de production agricole corse compte tenu du faible niveau de cette dernière et d'un décalage fort e</w:t>
            </w:r>
            <w:r>
              <w:rPr>
                <w:szCs w:val="24"/>
              </w:rPr>
              <w:t>ntre offre et demande. Cette augmentation ne devra pas se faire au détriment de la valeur ajoutée. Ainsi, les signes officiels de qualité et les bonnes pratiques environnementales doivent continuer à être soutenus pour atteindre cet objectif.</w:t>
            </w:r>
          </w:p>
          <w:p w:rsidR="0035701C" w:rsidRDefault="00FB561B">
            <w:pPr>
              <w:spacing w:before="240" w:after="240"/>
              <w:ind w:left="1200"/>
              <w:jc w:val="left"/>
              <w:rPr>
                <w:szCs w:val="24"/>
              </w:rPr>
            </w:pPr>
            <w:r>
              <w:rPr>
                <w:szCs w:val="24"/>
              </w:rPr>
              <w:t>Les besoins n</w:t>
            </w:r>
            <w:r>
              <w:rPr>
                <w:szCs w:val="24"/>
              </w:rPr>
              <w:t>° 7 à 26 relèvent de cette orientation.</w:t>
            </w:r>
          </w:p>
          <w:p w:rsidR="0035701C" w:rsidRDefault="00FB561B" w:rsidP="00FB561B">
            <w:pPr>
              <w:numPr>
                <w:ilvl w:val="0"/>
                <w:numId w:val="130"/>
              </w:numPr>
              <w:spacing w:before="240" w:after="240"/>
              <w:ind w:hanging="210"/>
              <w:jc w:val="left"/>
              <w:rPr>
                <w:szCs w:val="24"/>
              </w:rPr>
            </w:pPr>
            <w:r>
              <w:rPr>
                <w:szCs w:val="24"/>
              </w:rPr>
              <w:t>Orientation n°4 : Consolider l’action territoriale</w:t>
            </w:r>
          </w:p>
          <w:p w:rsidR="0035701C" w:rsidRDefault="00FB561B">
            <w:pPr>
              <w:spacing w:before="240" w:after="240"/>
              <w:ind w:left="1200"/>
              <w:jc w:val="left"/>
              <w:rPr>
                <w:szCs w:val="24"/>
              </w:rPr>
            </w:pPr>
            <w:r>
              <w:rPr>
                <w:szCs w:val="24"/>
              </w:rPr>
              <w:t>Les besoins n° 27 à 34 relèvent de cette orientation.</w:t>
            </w:r>
          </w:p>
          <w:p w:rsidR="0035701C" w:rsidRDefault="00FB561B">
            <w:pPr>
              <w:spacing w:before="240" w:after="240"/>
              <w:jc w:val="left"/>
              <w:rPr>
                <w:szCs w:val="24"/>
              </w:rPr>
            </w:pPr>
            <w:r>
              <w:rPr>
                <w:szCs w:val="24"/>
              </w:rPr>
              <w:t>Ces orientations stratégiques sont le fruit d'un travail de consultation explicité en section 16 du PDRC.</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i/>
                <w:iCs/>
                <w:szCs w:val="24"/>
              </w:rPr>
              <w:t>Stratégie en lien avec la réduction des pollutions d’origine agricole et la gestion qualitative des masses d’eau</w:t>
            </w:r>
          </w:p>
          <w:p w:rsidR="0035701C" w:rsidRDefault="00FB561B">
            <w:pPr>
              <w:spacing w:before="240" w:after="240"/>
              <w:jc w:val="left"/>
              <w:rPr>
                <w:szCs w:val="24"/>
              </w:rPr>
            </w:pPr>
            <w:r>
              <w:rPr>
                <w:szCs w:val="24"/>
              </w:rPr>
              <w:t>Dans la continuité du précédent PDRC, la Collectivité Territoriale de Corse entend poursuivre et renforcer les efforts entrepris quant à la lut</w:t>
            </w:r>
            <w:r>
              <w:rPr>
                <w:szCs w:val="24"/>
              </w:rPr>
              <w:t>te contre les pollutions d’origine agricole et la réduction des intrants. Parallèlement aux orientations du SDAGE, la démarche doit également contribuer à la mise en œuvre du plan Ecophyto 2018. En fonction de la nature et de l’origine de la pollution, les</w:t>
            </w:r>
            <w:r>
              <w:rPr>
                <w:szCs w:val="24"/>
              </w:rPr>
              <w:t xml:space="preserve"> interventions doivent contribuer à :</w:t>
            </w:r>
          </w:p>
          <w:p w:rsidR="0035701C" w:rsidRDefault="00FB561B" w:rsidP="00FB561B">
            <w:pPr>
              <w:numPr>
                <w:ilvl w:val="0"/>
                <w:numId w:val="131"/>
              </w:numPr>
              <w:spacing w:before="240" w:after="0"/>
              <w:ind w:hanging="210"/>
              <w:jc w:val="left"/>
              <w:rPr>
                <w:szCs w:val="24"/>
              </w:rPr>
            </w:pPr>
            <w:r>
              <w:rPr>
                <w:szCs w:val="24"/>
              </w:rPr>
              <w:t>Participer à l’équipement des ateliers agricoles en dispositifs de traitement des effluents efficients voire de réutilisation des effluents traités ;</w:t>
            </w:r>
          </w:p>
          <w:p w:rsidR="0035701C" w:rsidRDefault="00FB561B" w:rsidP="00FB561B">
            <w:pPr>
              <w:numPr>
                <w:ilvl w:val="0"/>
                <w:numId w:val="131"/>
              </w:numPr>
              <w:spacing w:before="0" w:after="0"/>
              <w:ind w:hanging="210"/>
              <w:jc w:val="left"/>
              <w:rPr>
                <w:szCs w:val="24"/>
              </w:rPr>
            </w:pPr>
            <w:r>
              <w:rPr>
                <w:szCs w:val="24"/>
              </w:rPr>
              <w:t>Promouvoir la mise en œuvre de plans d’épandage et les investissemen</w:t>
            </w:r>
            <w:r>
              <w:rPr>
                <w:szCs w:val="24"/>
              </w:rPr>
              <w:t>ts relatifs aux matériels et équipements destinés à l’épandage ;</w:t>
            </w:r>
          </w:p>
          <w:p w:rsidR="0035701C" w:rsidRDefault="00FB561B" w:rsidP="00FB561B">
            <w:pPr>
              <w:numPr>
                <w:ilvl w:val="0"/>
                <w:numId w:val="131"/>
              </w:numPr>
              <w:spacing w:before="0" w:after="0"/>
              <w:ind w:hanging="210"/>
              <w:jc w:val="left"/>
              <w:rPr>
                <w:szCs w:val="24"/>
              </w:rPr>
            </w:pPr>
            <w:r>
              <w:rPr>
                <w:szCs w:val="24"/>
              </w:rPr>
              <w:t>Favoriser le recours à des investissements rationalisant l’abreuvement, limitant l’accès à des cours d’eau par la contention des animaux, permettant de protéger les berges, de prévenir les ri</w:t>
            </w:r>
            <w:r>
              <w:rPr>
                <w:szCs w:val="24"/>
              </w:rPr>
              <w:t>sques de pollution ponctuelle ;</w:t>
            </w:r>
          </w:p>
          <w:p w:rsidR="0035701C" w:rsidRDefault="00FB561B" w:rsidP="00FB561B">
            <w:pPr>
              <w:numPr>
                <w:ilvl w:val="0"/>
                <w:numId w:val="131"/>
              </w:numPr>
              <w:spacing w:before="0" w:after="0"/>
              <w:ind w:hanging="210"/>
              <w:jc w:val="left"/>
              <w:rPr>
                <w:szCs w:val="24"/>
              </w:rPr>
            </w:pPr>
            <w:r>
              <w:rPr>
                <w:szCs w:val="24"/>
              </w:rPr>
              <w:t>Promouvoir des cultures ou variétés végétales résilientes minimisant les intrants en fertilisants et engrais chimiques et l’emploi de pesticides ;</w:t>
            </w:r>
          </w:p>
          <w:p w:rsidR="0035701C" w:rsidRDefault="00FB561B" w:rsidP="00FB561B">
            <w:pPr>
              <w:numPr>
                <w:ilvl w:val="0"/>
                <w:numId w:val="131"/>
              </w:numPr>
              <w:spacing w:before="0" w:after="0"/>
              <w:ind w:hanging="210"/>
              <w:jc w:val="left"/>
              <w:rPr>
                <w:szCs w:val="24"/>
              </w:rPr>
            </w:pPr>
            <w:r>
              <w:rPr>
                <w:szCs w:val="24"/>
              </w:rPr>
              <w:t xml:space="preserve">Promouvoir la production biologique (soutien à la conversion des exploitants </w:t>
            </w:r>
            <w:r>
              <w:rPr>
                <w:szCs w:val="24"/>
              </w:rPr>
              <w:t>et au maintien de l’activité, promotion des produits, …) ou à défaut des techniques et des pratiques alternatives peu polluantes et avec une meilleure performance environnementale (désherbage mécanique ou thermique, semis direct, lutte biologique, piégeage</w:t>
            </w:r>
            <w:r>
              <w:rPr>
                <w:szCs w:val="24"/>
              </w:rPr>
              <w:t>, …),</w:t>
            </w:r>
          </w:p>
          <w:p w:rsidR="0035701C" w:rsidRDefault="00FB561B" w:rsidP="00FB561B">
            <w:pPr>
              <w:numPr>
                <w:ilvl w:val="0"/>
                <w:numId w:val="131"/>
              </w:numPr>
              <w:spacing w:before="0" w:after="0"/>
              <w:ind w:hanging="210"/>
              <w:jc w:val="left"/>
              <w:rPr>
                <w:szCs w:val="24"/>
              </w:rPr>
            </w:pPr>
            <w:r>
              <w:rPr>
                <w:szCs w:val="24"/>
              </w:rPr>
              <w:t>Réduire les risques de pollution ponctuelle en contribuant à généraliser les aires de remplissage et de rinçage individuelles ou collectives, et en incitant à une gestion optimisée des fonds de cuves des pulvérisateurs,</w:t>
            </w:r>
          </w:p>
          <w:p w:rsidR="0035701C" w:rsidRDefault="00FB561B" w:rsidP="00FB561B">
            <w:pPr>
              <w:numPr>
                <w:ilvl w:val="0"/>
                <w:numId w:val="131"/>
              </w:numPr>
              <w:spacing w:before="0" w:after="0"/>
              <w:ind w:hanging="210"/>
              <w:jc w:val="left"/>
              <w:rPr>
                <w:szCs w:val="24"/>
              </w:rPr>
            </w:pPr>
            <w:r>
              <w:rPr>
                <w:szCs w:val="24"/>
              </w:rPr>
              <w:t>Développer les infrastructures</w:t>
            </w:r>
            <w:r>
              <w:rPr>
                <w:szCs w:val="24"/>
              </w:rPr>
              <w:t xml:space="preserve"> agro-écologiques (bandes enherbées, haies, …) de façon à mailler les espaces agricoles et limiter les transferts en direction des milieux aquatiques,</w:t>
            </w:r>
          </w:p>
          <w:p w:rsidR="0035701C" w:rsidRDefault="00FB561B" w:rsidP="00FB561B">
            <w:pPr>
              <w:numPr>
                <w:ilvl w:val="0"/>
                <w:numId w:val="131"/>
              </w:numPr>
              <w:spacing w:before="0" w:after="240"/>
              <w:ind w:hanging="210"/>
              <w:jc w:val="left"/>
              <w:rPr>
                <w:szCs w:val="24"/>
              </w:rPr>
            </w:pPr>
            <w:r>
              <w:rPr>
                <w:szCs w:val="24"/>
              </w:rPr>
              <w:t xml:space="preserve">Contribuer à la mise en place de formations professionnelles et d’outils d’aide à la décision à </w:t>
            </w:r>
            <w:r>
              <w:rPr>
                <w:szCs w:val="24"/>
              </w:rPr>
              <w:t>destination des exploitants et des conseillers agricoles notamment en matière d’utilisation et de gestion des pesticides, de mise en œuvre de pratiques alternatives.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B – Justification des besoins pris en compte par le programme : Lien entre mesures du pr</w:t>
            </w:r>
            <w:r>
              <w:rPr>
                <w:b/>
                <w:bCs/>
                <w:szCs w:val="24"/>
              </w:rPr>
              <w:t>ogramme et besoins</w:t>
            </w:r>
          </w:p>
          <w:p w:rsidR="0035701C" w:rsidRDefault="00FB561B">
            <w:pPr>
              <w:spacing w:before="240" w:after="240"/>
              <w:jc w:val="left"/>
              <w:rPr>
                <w:szCs w:val="24"/>
              </w:rPr>
            </w:pPr>
            <w:r>
              <w:rPr>
                <w:b/>
                <w:bCs/>
                <w:szCs w:val="24"/>
              </w:rPr>
              <w:t>Besoins pris en compte dans le programme :</w:t>
            </w:r>
          </w:p>
          <w:p w:rsidR="0035701C" w:rsidRDefault="00FB561B" w:rsidP="00FB561B">
            <w:pPr>
              <w:numPr>
                <w:ilvl w:val="0"/>
                <w:numId w:val="132"/>
              </w:numPr>
              <w:spacing w:before="240" w:after="0"/>
              <w:ind w:hanging="210"/>
              <w:jc w:val="left"/>
              <w:rPr>
                <w:szCs w:val="24"/>
              </w:rPr>
            </w:pPr>
            <w:r>
              <w:rPr>
                <w:szCs w:val="24"/>
              </w:rPr>
              <w:t>1 - Protéger le périmètre agricole et forestier</w:t>
            </w:r>
          </w:p>
          <w:p w:rsidR="0035701C" w:rsidRDefault="00FB561B" w:rsidP="00FB561B">
            <w:pPr>
              <w:numPr>
                <w:ilvl w:val="0"/>
                <w:numId w:val="132"/>
              </w:numPr>
              <w:spacing w:before="0" w:after="0"/>
              <w:ind w:hanging="210"/>
              <w:jc w:val="left"/>
              <w:rPr>
                <w:szCs w:val="24"/>
              </w:rPr>
            </w:pPr>
            <w:r>
              <w:rPr>
                <w:szCs w:val="24"/>
              </w:rPr>
              <w:t>2 - Mobiliser le foncier agricole, forestier et rural</w:t>
            </w:r>
          </w:p>
          <w:p w:rsidR="0035701C" w:rsidRDefault="00FB561B" w:rsidP="00FB561B">
            <w:pPr>
              <w:numPr>
                <w:ilvl w:val="0"/>
                <w:numId w:val="132"/>
              </w:numPr>
              <w:spacing w:before="0" w:after="0"/>
              <w:ind w:hanging="210"/>
              <w:jc w:val="left"/>
              <w:rPr>
                <w:szCs w:val="24"/>
              </w:rPr>
            </w:pPr>
            <w:r>
              <w:rPr>
                <w:szCs w:val="24"/>
              </w:rPr>
              <w:t>3 - Equiper le foncier agricole, forestier et rural</w:t>
            </w:r>
          </w:p>
          <w:p w:rsidR="0035701C" w:rsidRDefault="00FB561B" w:rsidP="00FB561B">
            <w:pPr>
              <w:numPr>
                <w:ilvl w:val="0"/>
                <w:numId w:val="132"/>
              </w:numPr>
              <w:spacing w:before="0" w:after="0"/>
              <w:ind w:hanging="210"/>
              <w:jc w:val="left"/>
              <w:rPr>
                <w:szCs w:val="24"/>
              </w:rPr>
            </w:pPr>
            <w:r>
              <w:rPr>
                <w:szCs w:val="24"/>
              </w:rPr>
              <w:t>4 - Sensibiliser, communiquer et éduquer</w:t>
            </w:r>
            <w:r>
              <w:rPr>
                <w:szCs w:val="24"/>
              </w:rPr>
              <w:t xml:space="preserve"> sur les produits et savoir-faire locaux</w:t>
            </w:r>
          </w:p>
          <w:p w:rsidR="0035701C" w:rsidRDefault="00FB561B" w:rsidP="00FB561B">
            <w:pPr>
              <w:numPr>
                <w:ilvl w:val="0"/>
                <w:numId w:val="132"/>
              </w:numPr>
              <w:spacing w:before="0" w:after="0"/>
              <w:ind w:hanging="210"/>
              <w:jc w:val="left"/>
              <w:rPr>
                <w:szCs w:val="24"/>
              </w:rPr>
            </w:pPr>
            <w:r>
              <w:rPr>
                <w:szCs w:val="24"/>
              </w:rPr>
              <w:t>5 - Professionnaliser par la formation, accompagnement technique et administratif des agriculteurs, des sylviculteurs et des entrepreneurs en milieu rural</w:t>
            </w:r>
          </w:p>
          <w:p w:rsidR="0035701C" w:rsidRDefault="00FB561B" w:rsidP="00FB561B">
            <w:pPr>
              <w:numPr>
                <w:ilvl w:val="0"/>
                <w:numId w:val="132"/>
              </w:numPr>
              <w:spacing w:before="0" w:after="0"/>
              <w:ind w:hanging="210"/>
              <w:jc w:val="left"/>
              <w:rPr>
                <w:szCs w:val="24"/>
              </w:rPr>
            </w:pPr>
            <w:r>
              <w:rPr>
                <w:szCs w:val="24"/>
              </w:rPr>
              <w:t>6 - Renforcer la diffusion des connaissances issues de R&amp;D p</w:t>
            </w:r>
            <w:r>
              <w:rPr>
                <w:szCs w:val="24"/>
              </w:rPr>
              <w:t>ar la formation et l'appui technique</w:t>
            </w:r>
          </w:p>
          <w:p w:rsidR="0035701C" w:rsidRDefault="00FB561B" w:rsidP="00FB561B">
            <w:pPr>
              <w:numPr>
                <w:ilvl w:val="0"/>
                <w:numId w:val="132"/>
              </w:numPr>
              <w:spacing w:before="0" w:after="0"/>
              <w:ind w:hanging="210"/>
              <w:jc w:val="left"/>
              <w:rPr>
                <w:szCs w:val="24"/>
              </w:rPr>
            </w:pPr>
            <w:r>
              <w:rPr>
                <w:szCs w:val="24"/>
              </w:rPr>
              <w:t>7 - Maintenir, voire augmenter le nombre d'actifs agricoles, en redynamisant les démarches de détection d'installation et de transmission</w:t>
            </w:r>
          </w:p>
          <w:p w:rsidR="0035701C" w:rsidRDefault="00FB561B" w:rsidP="00FB561B">
            <w:pPr>
              <w:numPr>
                <w:ilvl w:val="0"/>
                <w:numId w:val="132"/>
              </w:numPr>
              <w:spacing w:before="0" w:after="0"/>
              <w:ind w:hanging="210"/>
              <w:jc w:val="left"/>
              <w:rPr>
                <w:szCs w:val="24"/>
              </w:rPr>
            </w:pPr>
            <w:r>
              <w:rPr>
                <w:szCs w:val="24"/>
              </w:rPr>
              <w:t>8 - Améliorer le revenu des agriculteurs par le développement de l'outil de trava</w:t>
            </w:r>
            <w:r>
              <w:rPr>
                <w:szCs w:val="24"/>
              </w:rPr>
              <w:t>il et la diversification des activités</w:t>
            </w:r>
          </w:p>
          <w:p w:rsidR="0035701C" w:rsidRDefault="00FB561B" w:rsidP="00FB561B">
            <w:pPr>
              <w:numPr>
                <w:ilvl w:val="0"/>
                <w:numId w:val="132"/>
              </w:numPr>
              <w:spacing w:before="0" w:after="0"/>
              <w:ind w:hanging="210"/>
              <w:jc w:val="left"/>
              <w:rPr>
                <w:szCs w:val="24"/>
              </w:rPr>
            </w:pPr>
            <w:r>
              <w:rPr>
                <w:szCs w:val="24"/>
              </w:rPr>
              <w:t>9 - Accroître et élargir la production et la transformation pour répondre à la demande et augmenter les parts du marché local</w:t>
            </w:r>
          </w:p>
          <w:p w:rsidR="0035701C" w:rsidRDefault="00FB561B" w:rsidP="00FB561B">
            <w:pPr>
              <w:numPr>
                <w:ilvl w:val="0"/>
                <w:numId w:val="132"/>
              </w:numPr>
              <w:spacing w:before="0" w:after="0"/>
              <w:ind w:hanging="210"/>
              <w:jc w:val="left"/>
              <w:rPr>
                <w:szCs w:val="24"/>
              </w:rPr>
            </w:pPr>
            <w:r>
              <w:rPr>
                <w:szCs w:val="24"/>
              </w:rPr>
              <w:t>10 - Moderniser les infrastructures des exploitations</w:t>
            </w:r>
          </w:p>
          <w:p w:rsidR="0035701C" w:rsidRDefault="00FB561B" w:rsidP="00FB561B">
            <w:pPr>
              <w:numPr>
                <w:ilvl w:val="0"/>
                <w:numId w:val="132"/>
              </w:numPr>
              <w:spacing w:before="0" w:after="0"/>
              <w:ind w:hanging="210"/>
              <w:jc w:val="left"/>
              <w:rPr>
                <w:szCs w:val="24"/>
              </w:rPr>
            </w:pPr>
            <w:r>
              <w:rPr>
                <w:szCs w:val="24"/>
              </w:rPr>
              <w:t xml:space="preserve">13 - Encourager la restructuration </w:t>
            </w:r>
            <w:r>
              <w:rPr>
                <w:szCs w:val="24"/>
              </w:rPr>
              <w:t>des unités d’élevage et favoriser la reconquête et la gestion des parcours pastoraux</w:t>
            </w:r>
          </w:p>
          <w:p w:rsidR="0035701C" w:rsidRDefault="00FB561B" w:rsidP="00FB561B">
            <w:pPr>
              <w:numPr>
                <w:ilvl w:val="0"/>
                <w:numId w:val="132"/>
              </w:numPr>
              <w:spacing w:before="0" w:after="0"/>
              <w:ind w:hanging="210"/>
              <w:jc w:val="left"/>
              <w:rPr>
                <w:szCs w:val="24"/>
              </w:rPr>
            </w:pPr>
            <w:r>
              <w:rPr>
                <w:szCs w:val="24"/>
              </w:rPr>
              <w:t>14 - Pérenniser l'arboriculture et les cultures pérennes</w:t>
            </w:r>
          </w:p>
          <w:p w:rsidR="0035701C" w:rsidRDefault="00FB561B" w:rsidP="00FB561B">
            <w:pPr>
              <w:numPr>
                <w:ilvl w:val="0"/>
                <w:numId w:val="132"/>
              </w:numPr>
              <w:spacing w:before="0" w:after="0"/>
              <w:ind w:hanging="210"/>
              <w:jc w:val="left"/>
              <w:rPr>
                <w:szCs w:val="24"/>
              </w:rPr>
            </w:pPr>
            <w:r>
              <w:rPr>
                <w:szCs w:val="24"/>
              </w:rPr>
              <w:t>15 - Compenser les handicaps naturels liés à la montagne, au climat et à l'insularité</w:t>
            </w:r>
          </w:p>
          <w:p w:rsidR="0035701C" w:rsidRDefault="00FB561B" w:rsidP="00FB561B">
            <w:pPr>
              <w:numPr>
                <w:ilvl w:val="0"/>
                <w:numId w:val="132"/>
              </w:numPr>
              <w:spacing w:before="0" w:after="0"/>
              <w:ind w:hanging="210"/>
              <w:jc w:val="left"/>
              <w:rPr>
                <w:szCs w:val="24"/>
              </w:rPr>
            </w:pPr>
            <w:r>
              <w:rPr>
                <w:szCs w:val="24"/>
              </w:rPr>
              <w:t>16 - Accroître la contributi</w:t>
            </w:r>
            <w:r>
              <w:rPr>
                <w:szCs w:val="24"/>
              </w:rPr>
              <w:t>on de l’agriculture à la valorisation du patrimoine naturel, au maintien de la biodiversité, à la qualité des paysages agricoles</w:t>
            </w:r>
          </w:p>
          <w:p w:rsidR="0035701C" w:rsidRDefault="00FB561B" w:rsidP="00FB561B">
            <w:pPr>
              <w:numPr>
                <w:ilvl w:val="0"/>
                <w:numId w:val="132"/>
              </w:numPr>
              <w:spacing w:before="0" w:after="0"/>
              <w:ind w:hanging="210"/>
              <w:jc w:val="left"/>
              <w:rPr>
                <w:szCs w:val="24"/>
              </w:rPr>
            </w:pPr>
            <w:r>
              <w:rPr>
                <w:szCs w:val="24"/>
              </w:rPr>
              <w:t>18 - Poursuivre et consolider les actions de Recherche et Développement</w:t>
            </w:r>
          </w:p>
          <w:p w:rsidR="0035701C" w:rsidRDefault="00FB561B" w:rsidP="00FB561B">
            <w:pPr>
              <w:numPr>
                <w:ilvl w:val="0"/>
                <w:numId w:val="132"/>
              </w:numPr>
              <w:spacing w:before="0" w:after="0"/>
              <w:ind w:hanging="210"/>
              <w:jc w:val="left"/>
              <w:rPr>
                <w:szCs w:val="24"/>
              </w:rPr>
            </w:pPr>
            <w:r>
              <w:rPr>
                <w:szCs w:val="24"/>
              </w:rPr>
              <w:t xml:space="preserve">19 - Encourager et soutenir les démarches de qualité, </w:t>
            </w:r>
            <w:r>
              <w:rPr>
                <w:szCs w:val="24"/>
              </w:rPr>
              <w:t>valoriser les liens produits/terroirs et développer la qualité environnementale, notamment l'Agriculture Biologique</w:t>
            </w:r>
          </w:p>
          <w:p w:rsidR="0035701C" w:rsidRDefault="00FB561B" w:rsidP="00FB561B">
            <w:pPr>
              <w:numPr>
                <w:ilvl w:val="0"/>
                <w:numId w:val="132"/>
              </w:numPr>
              <w:spacing w:before="0" w:after="0"/>
              <w:ind w:hanging="210"/>
              <w:jc w:val="left"/>
              <w:rPr>
                <w:szCs w:val="24"/>
              </w:rPr>
            </w:pPr>
            <w:r>
              <w:rPr>
                <w:szCs w:val="24"/>
              </w:rPr>
              <w:t>20 - Renforcer la commercialisation et la promotion des produits sur le marché local, national et international</w:t>
            </w:r>
          </w:p>
          <w:p w:rsidR="0035701C" w:rsidRDefault="00FB561B" w:rsidP="00FB561B">
            <w:pPr>
              <w:numPr>
                <w:ilvl w:val="0"/>
                <w:numId w:val="132"/>
              </w:numPr>
              <w:spacing w:before="0" w:after="0"/>
              <w:ind w:hanging="210"/>
              <w:jc w:val="left"/>
              <w:rPr>
                <w:szCs w:val="24"/>
              </w:rPr>
            </w:pPr>
            <w:r>
              <w:rPr>
                <w:szCs w:val="24"/>
              </w:rPr>
              <w:t xml:space="preserve">21 - Promouvoir les actions </w:t>
            </w:r>
            <w:r>
              <w:rPr>
                <w:szCs w:val="24"/>
              </w:rPr>
              <w:t>collectives et l’organisation économique des producteurs</w:t>
            </w:r>
          </w:p>
          <w:p w:rsidR="0035701C" w:rsidRDefault="00FB561B" w:rsidP="00FB561B">
            <w:pPr>
              <w:numPr>
                <w:ilvl w:val="0"/>
                <w:numId w:val="132"/>
              </w:numPr>
              <w:spacing w:before="0" w:after="0"/>
              <w:ind w:hanging="210"/>
              <w:jc w:val="left"/>
              <w:rPr>
                <w:szCs w:val="24"/>
              </w:rPr>
            </w:pPr>
            <w:r>
              <w:rPr>
                <w:szCs w:val="24"/>
              </w:rPr>
              <w:t>22 - Favoriser la diversification des productions par l'innovation technologique et l'émergence de nouveaux produits</w:t>
            </w:r>
          </w:p>
          <w:p w:rsidR="0035701C" w:rsidRDefault="00FB561B" w:rsidP="00FB561B">
            <w:pPr>
              <w:numPr>
                <w:ilvl w:val="0"/>
                <w:numId w:val="132"/>
              </w:numPr>
              <w:spacing w:before="0" w:after="0"/>
              <w:ind w:hanging="210"/>
              <w:jc w:val="left"/>
              <w:rPr>
                <w:szCs w:val="24"/>
              </w:rPr>
            </w:pPr>
            <w:r>
              <w:rPr>
                <w:szCs w:val="24"/>
              </w:rPr>
              <w:t>23 - Favoriser le regroupement foncier et économique des propriétaires forestiers</w:t>
            </w:r>
          </w:p>
          <w:p w:rsidR="0035701C" w:rsidRDefault="00FB561B" w:rsidP="00FB561B">
            <w:pPr>
              <w:numPr>
                <w:ilvl w:val="0"/>
                <w:numId w:val="132"/>
              </w:numPr>
              <w:spacing w:before="0" w:after="0"/>
              <w:ind w:hanging="210"/>
              <w:jc w:val="left"/>
              <w:rPr>
                <w:szCs w:val="24"/>
              </w:rPr>
            </w:pPr>
            <w:r>
              <w:rPr>
                <w:szCs w:val="24"/>
              </w:rPr>
              <w:t>24 - Développer la planification multifonctionnelle de l'usage des sols et notamment les pratiques sylvo-pastorales</w:t>
            </w:r>
          </w:p>
          <w:p w:rsidR="0035701C" w:rsidRDefault="00FB561B" w:rsidP="00FB561B">
            <w:pPr>
              <w:numPr>
                <w:ilvl w:val="0"/>
                <w:numId w:val="132"/>
              </w:numPr>
              <w:spacing w:before="0" w:after="0"/>
              <w:ind w:hanging="210"/>
              <w:jc w:val="left"/>
              <w:rPr>
                <w:szCs w:val="24"/>
              </w:rPr>
            </w:pPr>
            <w:r>
              <w:rPr>
                <w:szCs w:val="24"/>
              </w:rPr>
              <w:t>25 - Développer la sylviculture en lien avec le stockage du carbone et la biodiversité et améliorer l’exploitation forestière</w:t>
            </w:r>
          </w:p>
          <w:p w:rsidR="0035701C" w:rsidRDefault="00FB561B" w:rsidP="00FB561B">
            <w:pPr>
              <w:numPr>
                <w:ilvl w:val="0"/>
                <w:numId w:val="132"/>
              </w:numPr>
              <w:spacing w:before="0" w:after="0"/>
              <w:ind w:hanging="210"/>
              <w:jc w:val="left"/>
              <w:rPr>
                <w:szCs w:val="24"/>
              </w:rPr>
            </w:pPr>
            <w:r>
              <w:rPr>
                <w:szCs w:val="24"/>
              </w:rPr>
              <w:t>26 - Accroître</w:t>
            </w:r>
            <w:r>
              <w:rPr>
                <w:szCs w:val="24"/>
              </w:rPr>
              <w:t xml:space="preserve"> la compétitivité, les usages et la performance des produits issus de la forêt</w:t>
            </w:r>
          </w:p>
          <w:p w:rsidR="0035701C" w:rsidRDefault="00FB561B" w:rsidP="00FB561B">
            <w:pPr>
              <w:numPr>
                <w:ilvl w:val="0"/>
                <w:numId w:val="132"/>
              </w:numPr>
              <w:spacing w:before="0" w:after="0"/>
              <w:ind w:hanging="210"/>
              <w:jc w:val="left"/>
              <w:rPr>
                <w:szCs w:val="24"/>
              </w:rPr>
            </w:pPr>
            <w:r>
              <w:rPr>
                <w:szCs w:val="24"/>
              </w:rPr>
              <w:t>27 - Susciter, accompagner l'émergence de dynamiques territoriales de projets</w:t>
            </w:r>
          </w:p>
          <w:p w:rsidR="0035701C" w:rsidRDefault="00FB561B" w:rsidP="00FB561B">
            <w:pPr>
              <w:numPr>
                <w:ilvl w:val="0"/>
                <w:numId w:val="132"/>
              </w:numPr>
              <w:spacing w:before="0" w:after="0"/>
              <w:ind w:hanging="210"/>
              <w:jc w:val="left"/>
              <w:rPr>
                <w:szCs w:val="24"/>
              </w:rPr>
            </w:pPr>
            <w:r>
              <w:rPr>
                <w:szCs w:val="24"/>
              </w:rPr>
              <w:t>28 - Accompagner l'animation territoriale et l'ingénierie, notamment sur le foncier</w:t>
            </w:r>
          </w:p>
          <w:p w:rsidR="0035701C" w:rsidRDefault="00FB561B" w:rsidP="00FB561B">
            <w:pPr>
              <w:numPr>
                <w:ilvl w:val="0"/>
                <w:numId w:val="132"/>
              </w:numPr>
              <w:spacing w:before="0" w:after="0"/>
              <w:ind w:hanging="210"/>
              <w:jc w:val="left"/>
              <w:rPr>
                <w:szCs w:val="24"/>
              </w:rPr>
            </w:pPr>
            <w:r>
              <w:rPr>
                <w:szCs w:val="24"/>
              </w:rPr>
              <w:t xml:space="preserve">29 - Favoriser </w:t>
            </w:r>
            <w:r>
              <w:rPr>
                <w:szCs w:val="24"/>
              </w:rPr>
              <w:t>la coopération, l'innovation organisationnelle et la constitution de réseaux. Ce besoin est considéré au travers des approches LEADER ; s'agissant des filières de production la stratégie est mise en oeuvre au travers d'un plan Etat-Région "plan d'avenir" t</w:t>
            </w:r>
            <w:r>
              <w:rPr>
                <w:szCs w:val="24"/>
              </w:rPr>
              <w:t>riennal mis en oeuvre par l'ODARC et FranceAgrimer.</w:t>
            </w:r>
          </w:p>
          <w:p w:rsidR="0035701C" w:rsidRDefault="00FB561B" w:rsidP="00FB561B">
            <w:pPr>
              <w:numPr>
                <w:ilvl w:val="0"/>
                <w:numId w:val="132"/>
              </w:numPr>
              <w:spacing w:before="0" w:after="0"/>
              <w:ind w:hanging="210"/>
              <w:jc w:val="left"/>
              <w:rPr>
                <w:szCs w:val="24"/>
              </w:rPr>
            </w:pPr>
            <w:r>
              <w:rPr>
                <w:szCs w:val="24"/>
              </w:rPr>
              <w:t>30 - Favoriser les approches du développement endogène visant à la valorisation des ressources productives, culturelles et patrimoniales des territoires</w:t>
            </w:r>
          </w:p>
          <w:p w:rsidR="0035701C" w:rsidRDefault="00FB561B" w:rsidP="00FB561B">
            <w:pPr>
              <w:numPr>
                <w:ilvl w:val="0"/>
                <w:numId w:val="132"/>
              </w:numPr>
              <w:spacing w:before="0" w:after="0"/>
              <w:ind w:hanging="210"/>
              <w:jc w:val="left"/>
              <w:rPr>
                <w:szCs w:val="24"/>
              </w:rPr>
            </w:pPr>
            <w:r>
              <w:rPr>
                <w:szCs w:val="24"/>
              </w:rPr>
              <w:t>31 - Développer la mise en place des services essen</w:t>
            </w:r>
            <w:r>
              <w:rPr>
                <w:szCs w:val="24"/>
              </w:rPr>
              <w:t>tiels et l'accueil en milieu rural</w:t>
            </w:r>
          </w:p>
          <w:p w:rsidR="0035701C" w:rsidRDefault="00FB561B" w:rsidP="00FB561B">
            <w:pPr>
              <w:numPr>
                <w:ilvl w:val="0"/>
                <w:numId w:val="132"/>
              </w:numPr>
              <w:spacing w:before="0" w:after="0"/>
              <w:ind w:hanging="210"/>
              <w:jc w:val="left"/>
              <w:rPr>
                <w:szCs w:val="24"/>
              </w:rPr>
            </w:pPr>
            <w:r>
              <w:rPr>
                <w:szCs w:val="24"/>
              </w:rPr>
              <w:t>32 - Préserver le bon état de l'environnement, assurer le renouvellement des ressources naturelles et prévenir le risque incendie</w:t>
            </w:r>
          </w:p>
          <w:p w:rsidR="0035701C" w:rsidRDefault="00FB561B" w:rsidP="00FB561B">
            <w:pPr>
              <w:numPr>
                <w:ilvl w:val="0"/>
                <w:numId w:val="132"/>
              </w:numPr>
              <w:spacing w:before="0" w:after="0"/>
              <w:ind w:hanging="210"/>
              <w:jc w:val="left"/>
              <w:rPr>
                <w:szCs w:val="24"/>
              </w:rPr>
            </w:pPr>
            <w:r>
              <w:rPr>
                <w:szCs w:val="24"/>
              </w:rPr>
              <w:t>33 - Maintenir une occupation du territoire et favoriser le lien social</w:t>
            </w:r>
          </w:p>
          <w:p w:rsidR="0035701C" w:rsidRDefault="00FB561B" w:rsidP="00FB561B">
            <w:pPr>
              <w:numPr>
                <w:ilvl w:val="0"/>
                <w:numId w:val="132"/>
              </w:numPr>
              <w:spacing w:before="0" w:after="240"/>
              <w:ind w:hanging="210"/>
              <w:jc w:val="left"/>
              <w:rPr>
                <w:szCs w:val="24"/>
              </w:rPr>
            </w:pPr>
            <w:r>
              <w:rPr>
                <w:szCs w:val="24"/>
              </w:rPr>
              <w:t>34 - Favoriser un é</w:t>
            </w:r>
            <w:r>
              <w:rPr>
                <w:szCs w:val="24"/>
              </w:rPr>
              <w:t>quilibre entre le tourisme et les secteurs économiques</w:t>
            </w:r>
          </w:p>
          <w:p w:rsidR="0035701C" w:rsidRDefault="00FB561B">
            <w:pPr>
              <w:spacing w:before="240" w:after="240"/>
              <w:jc w:val="left"/>
              <w:rPr>
                <w:szCs w:val="24"/>
              </w:rPr>
            </w:pPr>
            <w:r>
              <w:rPr>
                <w:b/>
                <w:bCs/>
                <w:szCs w:val="24"/>
              </w:rPr>
              <w:t>Besoins partiellement  pris en compte dans le programme :</w:t>
            </w:r>
          </w:p>
          <w:p w:rsidR="0035701C" w:rsidRDefault="00FB561B" w:rsidP="00FB561B">
            <w:pPr>
              <w:numPr>
                <w:ilvl w:val="0"/>
                <w:numId w:val="133"/>
              </w:numPr>
              <w:spacing w:before="240" w:after="240"/>
              <w:ind w:hanging="210"/>
              <w:jc w:val="left"/>
              <w:rPr>
                <w:szCs w:val="24"/>
              </w:rPr>
            </w:pPr>
            <w:r>
              <w:rPr>
                <w:szCs w:val="24"/>
              </w:rPr>
              <w:t>12 – Favoriser une utilisation efficace de l’énergie et favoriser la production d’énergie renouvelable</w:t>
            </w:r>
          </w:p>
          <w:p w:rsidR="0035701C" w:rsidRDefault="00FB561B">
            <w:pPr>
              <w:spacing w:before="240" w:after="240"/>
              <w:ind w:left="720"/>
              <w:jc w:val="left"/>
              <w:rPr>
                <w:szCs w:val="24"/>
              </w:rPr>
            </w:pPr>
            <w:r>
              <w:rPr>
                <w:szCs w:val="24"/>
              </w:rPr>
              <w:t>Seule la partie concernant l’amont de la</w:t>
            </w:r>
            <w:r>
              <w:rPr>
                <w:szCs w:val="24"/>
              </w:rPr>
              <w:t xml:space="preserve"> filière bois énergie est prise en compte.</w:t>
            </w:r>
          </w:p>
          <w:p w:rsidR="0035701C" w:rsidRDefault="00FB561B">
            <w:pPr>
              <w:spacing w:before="240" w:after="240"/>
              <w:ind w:left="720"/>
              <w:jc w:val="left"/>
              <w:rPr>
                <w:szCs w:val="24"/>
              </w:rPr>
            </w:pPr>
            <w:r>
              <w:rPr>
                <w:szCs w:val="24"/>
              </w:rPr>
              <w:t>La ligne de partage établie en région (cf. notamment FEDER) flèche ces interventions sur d’autres dispositifs que le PDRC, qu’il s’agisse de la réalisation d’unités de production d’énergie renouvelable (méthanisat</w:t>
            </w:r>
            <w:r>
              <w:rPr>
                <w:szCs w:val="24"/>
              </w:rPr>
              <w:t>ion…), ou de dispositif d’économie.</w:t>
            </w:r>
          </w:p>
          <w:p w:rsidR="0035701C" w:rsidRDefault="00FB561B" w:rsidP="00FB561B">
            <w:pPr>
              <w:numPr>
                <w:ilvl w:val="0"/>
                <w:numId w:val="134"/>
              </w:numPr>
              <w:spacing w:before="240" w:after="240"/>
              <w:ind w:hanging="210"/>
              <w:jc w:val="left"/>
              <w:rPr>
                <w:szCs w:val="24"/>
              </w:rPr>
            </w:pPr>
            <w:r>
              <w:rPr>
                <w:szCs w:val="24"/>
              </w:rPr>
              <w:t xml:space="preserve">17 - Gérer les risques. Ce besoin est considéré au travers de la reconstitution du potentiel de production, et complété au niveau national, la France a élaboré un programme national de développement rural dans lequel la </w:t>
            </w:r>
            <w:r>
              <w:rPr>
                <w:szCs w:val="24"/>
              </w:rPr>
              <w:t>mesure 17 du règlement (UE) n° 1305/2013 sera programmée.</w:t>
            </w:r>
          </w:p>
          <w:p w:rsidR="0035701C" w:rsidRDefault="00FB561B">
            <w:pPr>
              <w:spacing w:before="240" w:after="240"/>
              <w:jc w:val="left"/>
              <w:rPr>
                <w:szCs w:val="24"/>
              </w:rPr>
            </w:pPr>
            <w:r>
              <w:rPr>
                <w:b/>
                <w:bCs/>
                <w:szCs w:val="24"/>
              </w:rPr>
              <w:t>Besoins non pris en compte dans le programme :</w:t>
            </w:r>
          </w:p>
          <w:p w:rsidR="0035701C" w:rsidRDefault="00FB561B" w:rsidP="00FB561B">
            <w:pPr>
              <w:numPr>
                <w:ilvl w:val="0"/>
                <w:numId w:val="135"/>
              </w:numPr>
              <w:spacing w:before="240" w:after="240"/>
              <w:ind w:hanging="210"/>
              <w:jc w:val="left"/>
              <w:rPr>
                <w:szCs w:val="24"/>
              </w:rPr>
            </w:pPr>
            <w:r>
              <w:rPr>
                <w:szCs w:val="24"/>
              </w:rPr>
              <w:t>11 - Accroître la capacité d'investissement en développant les outils d'ingénierie financière</w:t>
            </w:r>
          </w:p>
          <w:p w:rsidR="0035701C" w:rsidRDefault="00FB561B">
            <w:pPr>
              <w:spacing w:before="240" w:after="240"/>
              <w:ind w:left="720"/>
              <w:jc w:val="left"/>
              <w:rPr>
                <w:szCs w:val="24"/>
              </w:rPr>
            </w:pPr>
            <w:r>
              <w:rPr>
                <w:szCs w:val="24"/>
              </w:rPr>
              <w:t xml:space="preserve">La mise en œuvre d’outils financiers sera envisagée hors </w:t>
            </w:r>
            <w:r>
              <w:rPr>
                <w:szCs w:val="24"/>
              </w:rPr>
              <w:t>PDRC. L’impact sur le risque de sur-financement des opérations sera néanmoins borné, dans la mesure où ces fonds seront adossés à des régimes de minimis par catégorie.</w:t>
            </w:r>
          </w:p>
          <w:p w:rsidR="0035701C" w:rsidRDefault="00FB561B">
            <w:pPr>
              <w:spacing w:before="240" w:after="240"/>
              <w:ind w:left="720"/>
              <w:jc w:val="left"/>
              <w:rPr>
                <w:szCs w:val="24"/>
              </w:rPr>
            </w:pPr>
            <w:r>
              <w:rPr>
                <w:szCs w:val="24"/>
              </w:rPr>
              <w:t>Compte tenu des difficultés rencontrées dans la mise en œuvre d'un outil d'ingénierie fi</w:t>
            </w:r>
            <w:r>
              <w:rPr>
                <w:szCs w:val="24"/>
              </w:rPr>
              <w:t xml:space="preserve">nancière lors de la programmation précédente et de la non prise en compte de ces dernières par les nouveaux règlements (problématique de la déclaration de dépense; exigence de la cour des comptes suite à son audit; difficultés à identifier précisément par </w:t>
            </w:r>
            <w:r>
              <w:rPr>
                <w:szCs w:val="24"/>
              </w:rPr>
              <w:t>des données statistiques la carence du marché dans le domaine du financement agricole...), la mise en oeuvre d’outils financiers sera envisagée hors PDRC.</w:t>
            </w:r>
          </w:p>
          <w:p w:rsidR="0035701C" w:rsidRDefault="00FB561B">
            <w:pPr>
              <w:spacing w:before="240" w:after="240"/>
              <w:jc w:val="left"/>
              <w:rPr>
                <w:szCs w:val="24"/>
              </w:rPr>
            </w:pPr>
            <w:r>
              <w:rPr>
                <w:b/>
                <w:bCs/>
                <w:szCs w:val="24"/>
              </w:rPr>
              <w:t>C – Choix des priorités et domaines prioritaires pris en compte</w:t>
            </w:r>
          </w:p>
          <w:p w:rsidR="0035701C" w:rsidRDefault="00FB561B">
            <w:pPr>
              <w:spacing w:before="240" w:after="240"/>
              <w:jc w:val="left"/>
              <w:rPr>
                <w:szCs w:val="24"/>
              </w:rPr>
            </w:pPr>
            <w:r>
              <w:rPr>
                <w:szCs w:val="24"/>
              </w:rPr>
              <w:t>Priorité 1 :</w:t>
            </w:r>
          </w:p>
          <w:p w:rsidR="0035701C" w:rsidRDefault="00FB561B" w:rsidP="00FB561B">
            <w:pPr>
              <w:numPr>
                <w:ilvl w:val="0"/>
                <w:numId w:val="136"/>
              </w:numPr>
              <w:spacing w:before="240" w:after="0"/>
              <w:ind w:hanging="210"/>
              <w:jc w:val="left"/>
              <w:rPr>
                <w:szCs w:val="24"/>
              </w:rPr>
            </w:pPr>
            <w:r>
              <w:rPr>
                <w:szCs w:val="24"/>
              </w:rPr>
              <w:t>1a) favoriser l'innovati</w:t>
            </w:r>
            <w:r>
              <w:rPr>
                <w:szCs w:val="24"/>
              </w:rPr>
              <w:t>on, la coopération et le développement de la base de connaissances dans les zones rurales;</w:t>
            </w:r>
          </w:p>
          <w:p w:rsidR="0035701C" w:rsidRDefault="00FB561B" w:rsidP="00FB561B">
            <w:pPr>
              <w:numPr>
                <w:ilvl w:val="0"/>
                <w:numId w:val="136"/>
              </w:numPr>
              <w:spacing w:before="0" w:after="0"/>
              <w:ind w:hanging="210"/>
              <w:jc w:val="left"/>
              <w:rPr>
                <w:szCs w:val="24"/>
              </w:rPr>
            </w:pPr>
            <w:r>
              <w:rPr>
                <w:szCs w:val="24"/>
              </w:rPr>
              <w:t xml:space="preserve">1b) renforcer les liens entre l'agriculture, la production alimentaire et la foresterie, la recherche et l'innovation, y compris aux fins d'améliorer la gestion et </w:t>
            </w:r>
            <w:r>
              <w:rPr>
                <w:szCs w:val="24"/>
              </w:rPr>
              <w:t>les performances dans le domaine de l'environnement;</w:t>
            </w:r>
          </w:p>
          <w:p w:rsidR="0035701C" w:rsidRDefault="00FB561B" w:rsidP="00FB561B">
            <w:pPr>
              <w:numPr>
                <w:ilvl w:val="0"/>
                <w:numId w:val="136"/>
              </w:numPr>
              <w:spacing w:before="0" w:after="240"/>
              <w:ind w:hanging="210"/>
              <w:jc w:val="left"/>
              <w:rPr>
                <w:szCs w:val="24"/>
              </w:rPr>
            </w:pPr>
            <w:r>
              <w:rPr>
                <w:szCs w:val="24"/>
              </w:rPr>
              <w:t>1c) favoriser l'apprentissage tout au long de la vie et la formation professionnelle dans les secteurs de l'agriculture et de la foresterie;</w:t>
            </w:r>
          </w:p>
          <w:p w:rsidR="0035701C" w:rsidRDefault="00FB561B">
            <w:pPr>
              <w:spacing w:before="240" w:after="240"/>
              <w:jc w:val="left"/>
              <w:rPr>
                <w:szCs w:val="24"/>
              </w:rPr>
            </w:pPr>
            <w:r>
              <w:rPr>
                <w:szCs w:val="24"/>
              </w:rPr>
              <w:t>Priorité 2 :      </w:t>
            </w:r>
          </w:p>
          <w:p w:rsidR="0035701C" w:rsidRDefault="00FB561B" w:rsidP="00FB561B">
            <w:pPr>
              <w:numPr>
                <w:ilvl w:val="0"/>
                <w:numId w:val="137"/>
              </w:numPr>
              <w:spacing w:before="240" w:after="0"/>
              <w:ind w:hanging="210"/>
              <w:jc w:val="left"/>
              <w:rPr>
                <w:szCs w:val="24"/>
              </w:rPr>
            </w:pPr>
            <w:r>
              <w:rPr>
                <w:szCs w:val="24"/>
              </w:rPr>
              <w:t xml:space="preserve">2a) améliorer les résultats économiques de </w:t>
            </w:r>
            <w:r>
              <w:rPr>
                <w:szCs w:val="24"/>
              </w:rPr>
              <w:t>toutes les exploitations agricoles et faciliter la restructuration et la modernisation des exploitations agricoles, notamment en vue d'accroître la participation au marché et l'orientation vers le marché ainsi que la diversification agricole;</w:t>
            </w:r>
          </w:p>
          <w:p w:rsidR="0035701C" w:rsidRDefault="00FB561B" w:rsidP="00FB561B">
            <w:pPr>
              <w:numPr>
                <w:ilvl w:val="0"/>
                <w:numId w:val="137"/>
              </w:numPr>
              <w:spacing w:before="0" w:after="240"/>
              <w:ind w:hanging="210"/>
              <w:jc w:val="left"/>
              <w:rPr>
                <w:szCs w:val="24"/>
              </w:rPr>
            </w:pPr>
            <w:r>
              <w:rPr>
                <w:szCs w:val="24"/>
              </w:rPr>
              <w:t>2b) faciliter</w:t>
            </w:r>
            <w:r>
              <w:rPr>
                <w:szCs w:val="24"/>
              </w:rPr>
              <w:t xml:space="preserve"> l'entrée d'exploitants agricoles suffisamment qualifiés dans le secteur de l'agriculture, et en particulier le renouvellement des générations;</w:t>
            </w:r>
          </w:p>
          <w:p w:rsidR="0035701C" w:rsidRDefault="00FB561B">
            <w:pPr>
              <w:spacing w:before="240" w:after="240"/>
              <w:jc w:val="left"/>
              <w:rPr>
                <w:szCs w:val="24"/>
              </w:rPr>
            </w:pPr>
            <w:r>
              <w:rPr>
                <w:szCs w:val="24"/>
              </w:rPr>
              <w:t>Priorité 3 :      </w:t>
            </w:r>
          </w:p>
          <w:p w:rsidR="0035701C" w:rsidRDefault="00FB561B" w:rsidP="00FB561B">
            <w:pPr>
              <w:numPr>
                <w:ilvl w:val="0"/>
                <w:numId w:val="138"/>
              </w:numPr>
              <w:spacing w:before="240" w:after="0"/>
              <w:ind w:hanging="210"/>
              <w:jc w:val="left"/>
              <w:rPr>
                <w:szCs w:val="24"/>
              </w:rPr>
            </w:pPr>
            <w:r>
              <w:rPr>
                <w:szCs w:val="24"/>
              </w:rPr>
              <w:t>3a) améliorer la compétitivité des producteurs primaires en les intégrant mieux dans la chaîn</w:t>
            </w:r>
            <w:r>
              <w:rPr>
                <w:szCs w:val="24"/>
              </w:rPr>
              <w:t>e agroalimentaire au moyen des programmes de qualité, en conférant une valeur ajoutée aux produits agricoles, et par le biais de la promotion sur les marchés locaux et des circuits d'approvisionnement courts, des groupements et des organisations de product</w:t>
            </w:r>
            <w:r>
              <w:rPr>
                <w:szCs w:val="24"/>
              </w:rPr>
              <w:t>eurs et des organisations interprofessionnelles;</w:t>
            </w:r>
          </w:p>
          <w:p w:rsidR="0035701C" w:rsidRDefault="00FB561B" w:rsidP="00FB561B">
            <w:pPr>
              <w:numPr>
                <w:ilvl w:val="0"/>
                <w:numId w:val="138"/>
              </w:numPr>
              <w:spacing w:before="0" w:after="240"/>
              <w:ind w:hanging="210"/>
              <w:jc w:val="left"/>
              <w:rPr>
                <w:szCs w:val="24"/>
              </w:rPr>
            </w:pPr>
            <w:r>
              <w:rPr>
                <w:szCs w:val="24"/>
              </w:rPr>
              <w:t>3b) le soutien à la prévention et à la gestion des risques au niveau des exploitations;</w:t>
            </w:r>
          </w:p>
          <w:p w:rsidR="0035701C" w:rsidRDefault="00FB561B">
            <w:pPr>
              <w:spacing w:before="240" w:after="240"/>
              <w:jc w:val="left"/>
              <w:rPr>
                <w:szCs w:val="24"/>
              </w:rPr>
            </w:pPr>
            <w:r>
              <w:rPr>
                <w:szCs w:val="24"/>
              </w:rPr>
              <w:t>Priorité 4 :      </w:t>
            </w:r>
          </w:p>
          <w:p w:rsidR="0035701C" w:rsidRDefault="00FB561B" w:rsidP="00FB561B">
            <w:pPr>
              <w:numPr>
                <w:ilvl w:val="0"/>
                <w:numId w:val="139"/>
              </w:numPr>
              <w:spacing w:before="240" w:after="0"/>
              <w:ind w:hanging="210"/>
              <w:jc w:val="left"/>
              <w:rPr>
                <w:szCs w:val="24"/>
              </w:rPr>
            </w:pPr>
            <w:r>
              <w:rPr>
                <w:szCs w:val="24"/>
              </w:rPr>
              <w:t xml:space="preserve">4a) restaurer, préserver et renforcer la biodiversité (y compris dans les zones relevant de Natura </w:t>
            </w:r>
            <w:r>
              <w:rPr>
                <w:szCs w:val="24"/>
              </w:rPr>
              <w:t>2000, dans les zones soumises à des contraintes naturelles ou à d'autres contraintes spécifiques,)  les zones agricoles à haute valeur naturelle, ainsi que les paysages européens;</w:t>
            </w:r>
          </w:p>
          <w:p w:rsidR="0035701C" w:rsidRDefault="00FB561B" w:rsidP="00FB561B">
            <w:pPr>
              <w:numPr>
                <w:ilvl w:val="0"/>
                <w:numId w:val="139"/>
              </w:numPr>
              <w:spacing w:before="0" w:after="0"/>
              <w:ind w:hanging="210"/>
              <w:jc w:val="left"/>
              <w:rPr>
                <w:szCs w:val="24"/>
              </w:rPr>
            </w:pPr>
            <w:r>
              <w:rPr>
                <w:szCs w:val="24"/>
              </w:rPr>
              <w:t>4b) améliorer la gestion de l'eau, y compris la gestion des engrais et des p</w:t>
            </w:r>
            <w:r>
              <w:rPr>
                <w:szCs w:val="24"/>
              </w:rPr>
              <w:t>esticides;</w:t>
            </w:r>
          </w:p>
          <w:p w:rsidR="0035701C" w:rsidRDefault="00FB561B" w:rsidP="00FB561B">
            <w:pPr>
              <w:numPr>
                <w:ilvl w:val="0"/>
                <w:numId w:val="139"/>
              </w:numPr>
              <w:spacing w:before="0" w:after="240"/>
              <w:ind w:hanging="210"/>
              <w:jc w:val="left"/>
              <w:rPr>
                <w:szCs w:val="24"/>
              </w:rPr>
            </w:pPr>
            <w:r>
              <w:rPr>
                <w:szCs w:val="24"/>
              </w:rPr>
              <w:t>4c) prévenir l'érosion des sols et améliorer la gestion des sols;</w:t>
            </w:r>
          </w:p>
          <w:p w:rsidR="0035701C" w:rsidRDefault="00FB561B">
            <w:pPr>
              <w:spacing w:before="240" w:after="240"/>
              <w:jc w:val="left"/>
              <w:rPr>
                <w:szCs w:val="24"/>
              </w:rPr>
            </w:pPr>
            <w:r>
              <w:rPr>
                <w:szCs w:val="24"/>
              </w:rPr>
              <w:t>Priorité 5 :      </w:t>
            </w:r>
          </w:p>
          <w:p w:rsidR="0035701C" w:rsidRDefault="00FB561B" w:rsidP="00FB561B">
            <w:pPr>
              <w:numPr>
                <w:ilvl w:val="0"/>
                <w:numId w:val="140"/>
              </w:numPr>
              <w:spacing w:before="240" w:after="0"/>
              <w:ind w:hanging="210"/>
              <w:jc w:val="left"/>
              <w:rPr>
                <w:szCs w:val="24"/>
              </w:rPr>
            </w:pPr>
            <w:r>
              <w:rPr>
                <w:szCs w:val="24"/>
              </w:rPr>
              <w:t>5a) développer l'utilisation efficace de l'eau dans l'agriculture;</w:t>
            </w:r>
          </w:p>
          <w:p w:rsidR="0035701C" w:rsidRDefault="00FB561B" w:rsidP="00FB561B">
            <w:pPr>
              <w:numPr>
                <w:ilvl w:val="0"/>
                <w:numId w:val="140"/>
              </w:numPr>
              <w:spacing w:before="0" w:after="240"/>
              <w:ind w:hanging="210"/>
              <w:jc w:val="left"/>
              <w:rPr>
                <w:szCs w:val="24"/>
              </w:rPr>
            </w:pPr>
            <w:r>
              <w:rPr>
                <w:szCs w:val="24"/>
              </w:rPr>
              <w:t xml:space="preserve">5e) promouvoir la conservation et la séquestration du carbone dans les secteurs de </w:t>
            </w:r>
            <w:r>
              <w:rPr>
                <w:szCs w:val="24"/>
              </w:rPr>
              <w:t>l'agriculture et de la foresterie;</w:t>
            </w:r>
          </w:p>
          <w:p w:rsidR="0035701C" w:rsidRDefault="00FB561B">
            <w:pPr>
              <w:spacing w:before="240" w:after="240"/>
              <w:jc w:val="left"/>
              <w:rPr>
                <w:szCs w:val="24"/>
              </w:rPr>
            </w:pPr>
            <w:r>
              <w:rPr>
                <w:szCs w:val="24"/>
              </w:rPr>
              <w:t>Priorité 6 :      </w:t>
            </w:r>
          </w:p>
          <w:p w:rsidR="0035701C" w:rsidRDefault="00FB561B" w:rsidP="00FB561B">
            <w:pPr>
              <w:numPr>
                <w:ilvl w:val="0"/>
                <w:numId w:val="141"/>
              </w:numPr>
              <w:spacing w:before="240" w:after="0"/>
              <w:ind w:hanging="210"/>
              <w:jc w:val="left"/>
              <w:rPr>
                <w:szCs w:val="24"/>
              </w:rPr>
            </w:pPr>
            <w:r>
              <w:rPr>
                <w:szCs w:val="24"/>
              </w:rPr>
              <w:t>6a) faciliter la diversification, la création et le développement de petites entreprises ainsi que la création d'emplois</w:t>
            </w:r>
          </w:p>
          <w:p w:rsidR="0035701C" w:rsidRDefault="00FB561B" w:rsidP="00FB561B">
            <w:pPr>
              <w:numPr>
                <w:ilvl w:val="0"/>
                <w:numId w:val="141"/>
              </w:numPr>
              <w:spacing w:before="0" w:after="240"/>
              <w:ind w:hanging="210"/>
              <w:jc w:val="left"/>
              <w:rPr>
                <w:szCs w:val="24"/>
              </w:rPr>
            </w:pPr>
            <w:r>
              <w:rPr>
                <w:szCs w:val="24"/>
              </w:rPr>
              <w:t>6b) promouvoir le développement local dans les zones rurales;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 xml:space="preserve">D - Stratégie </w:t>
            </w:r>
            <w:r>
              <w:rPr>
                <w:b/>
                <w:bCs/>
                <w:szCs w:val="24"/>
              </w:rPr>
              <w:t>liée à la Transition 2021-22 et à la mobilisation des fonds EURI</w:t>
            </w:r>
          </w:p>
          <w:p w:rsidR="0035701C" w:rsidRDefault="00FB561B">
            <w:pPr>
              <w:spacing w:before="240" w:after="240"/>
              <w:jc w:val="left"/>
              <w:rPr>
                <w:szCs w:val="24"/>
              </w:rPr>
            </w:pPr>
            <w:r>
              <w:rPr>
                <w:szCs w:val="24"/>
              </w:rPr>
              <w:t>Pour la transition le choix a été fait d'assurer la continuité du programme :</w:t>
            </w:r>
          </w:p>
          <w:p w:rsidR="0035701C" w:rsidRDefault="00FB561B" w:rsidP="00FB561B">
            <w:pPr>
              <w:numPr>
                <w:ilvl w:val="0"/>
                <w:numId w:val="142"/>
              </w:numPr>
              <w:spacing w:before="240" w:after="0"/>
              <w:ind w:hanging="210"/>
              <w:jc w:val="left"/>
              <w:rPr>
                <w:szCs w:val="24"/>
              </w:rPr>
            </w:pPr>
            <w:r>
              <w:rPr>
                <w:szCs w:val="24"/>
              </w:rPr>
              <w:t>sur les mesures pluri-annuelles (M13-ICHN, M10-API, M11-CAB);</w:t>
            </w:r>
          </w:p>
          <w:p w:rsidR="0035701C" w:rsidRDefault="00FB561B" w:rsidP="00FB561B">
            <w:pPr>
              <w:numPr>
                <w:ilvl w:val="0"/>
                <w:numId w:val="142"/>
              </w:numPr>
              <w:spacing w:before="0" w:after="0"/>
              <w:ind w:hanging="210"/>
              <w:jc w:val="left"/>
              <w:rPr>
                <w:szCs w:val="24"/>
              </w:rPr>
            </w:pPr>
            <w:r>
              <w:rPr>
                <w:szCs w:val="24"/>
              </w:rPr>
              <w:t>sur les mesures qui relèvent d'aspects réglementair</w:t>
            </w:r>
            <w:r>
              <w:rPr>
                <w:szCs w:val="24"/>
              </w:rPr>
              <w:t>es (LEADER);</w:t>
            </w:r>
          </w:p>
          <w:p w:rsidR="0035701C" w:rsidRDefault="00FB561B" w:rsidP="00FB561B">
            <w:pPr>
              <w:numPr>
                <w:ilvl w:val="0"/>
                <w:numId w:val="142"/>
              </w:numPr>
              <w:spacing w:before="0" w:after="0"/>
              <w:ind w:hanging="210"/>
              <w:jc w:val="left"/>
              <w:rPr>
                <w:szCs w:val="24"/>
              </w:rPr>
            </w:pPr>
            <w:r>
              <w:rPr>
                <w:szCs w:val="24"/>
              </w:rPr>
              <w:t>sur les mesures qui affichent des besoins en continuité (M6-DJA)</w:t>
            </w:r>
          </w:p>
          <w:p w:rsidR="0035701C" w:rsidRDefault="00FB561B" w:rsidP="00FB561B">
            <w:pPr>
              <w:numPr>
                <w:ilvl w:val="0"/>
                <w:numId w:val="142"/>
              </w:numPr>
              <w:spacing w:before="0" w:after="240"/>
              <w:ind w:hanging="210"/>
              <w:jc w:val="left"/>
              <w:rPr>
                <w:szCs w:val="24"/>
              </w:rPr>
            </w:pPr>
            <w:r>
              <w:rPr>
                <w:szCs w:val="24"/>
              </w:rPr>
              <w:t>et sur les mesures affichant des besoins nouveaux (M4, M7, M8, M6) ou suceptibles d'avoir un effet levier sur la programmation</w:t>
            </w:r>
          </w:p>
          <w:p w:rsidR="0035701C" w:rsidRDefault="00FB561B">
            <w:pPr>
              <w:spacing w:before="240" w:after="240"/>
              <w:ind w:left="600"/>
              <w:jc w:val="left"/>
              <w:rPr>
                <w:szCs w:val="24"/>
              </w:rPr>
            </w:pPr>
            <w:r>
              <w:rPr>
                <w:szCs w:val="24"/>
              </w:rPr>
              <w:t>Le FEADER socle vient ainsi doter :</w:t>
            </w:r>
          </w:p>
          <w:p w:rsidR="0035701C" w:rsidRDefault="00FB561B" w:rsidP="00FB561B">
            <w:pPr>
              <w:numPr>
                <w:ilvl w:val="0"/>
                <w:numId w:val="143"/>
              </w:numPr>
              <w:spacing w:before="240" w:after="0"/>
              <w:ind w:hanging="210"/>
              <w:jc w:val="left"/>
              <w:rPr>
                <w:szCs w:val="24"/>
              </w:rPr>
            </w:pPr>
            <w:r>
              <w:rPr>
                <w:szCs w:val="24"/>
              </w:rPr>
              <w:t xml:space="preserve">Les mesures </w:t>
            </w:r>
            <w:r>
              <w:rPr>
                <w:szCs w:val="24"/>
              </w:rPr>
              <w:t>LEADER pour respecter les 5% à la maquette</w:t>
            </w:r>
          </w:p>
          <w:p w:rsidR="0035701C" w:rsidRDefault="00FB561B" w:rsidP="00FB561B">
            <w:pPr>
              <w:numPr>
                <w:ilvl w:val="0"/>
                <w:numId w:val="143"/>
              </w:numPr>
              <w:spacing w:before="0" w:after="0"/>
              <w:ind w:hanging="210"/>
              <w:jc w:val="left"/>
              <w:rPr>
                <w:szCs w:val="24"/>
              </w:rPr>
            </w:pPr>
            <w:r>
              <w:rPr>
                <w:szCs w:val="24"/>
              </w:rPr>
              <w:t>La mesure ICHN, CAB et MAEC (API et PRM)</w:t>
            </w:r>
          </w:p>
          <w:p w:rsidR="0035701C" w:rsidRDefault="00FB561B" w:rsidP="00FB561B">
            <w:pPr>
              <w:numPr>
                <w:ilvl w:val="0"/>
                <w:numId w:val="143"/>
              </w:numPr>
              <w:spacing w:before="0" w:after="0"/>
              <w:ind w:hanging="210"/>
              <w:jc w:val="left"/>
              <w:rPr>
                <w:szCs w:val="24"/>
              </w:rPr>
            </w:pPr>
            <w:r>
              <w:rPr>
                <w:szCs w:val="24"/>
              </w:rPr>
              <w:t xml:space="preserve">L’ensemble des autres mesures qui justifient des besoins additionnelles (M4 en faveur des exploitations, M6 dont la DJA (6.1) et les 6.4 en relation avec les modifications </w:t>
            </w:r>
            <w:r>
              <w:rPr>
                <w:szCs w:val="24"/>
              </w:rPr>
              <w:t>du contenu de ces TO, M7 sur les TO les plus dynamiques, M8 sur la DFCI (8.3) et (8.6), ainsi que sur l'AT)</w:t>
            </w:r>
          </w:p>
          <w:p w:rsidR="0035701C" w:rsidRDefault="00FB561B" w:rsidP="00FB561B">
            <w:pPr>
              <w:numPr>
                <w:ilvl w:val="0"/>
                <w:numId w:val="143"/>
              </w:numPr>
              <w:spacing w:before="0" w:after="240"/>
              <w:ind w:hanging="210"/>
              <w:jc w:val="left"/>
              <w:rPr>
                <w:szCs w:val="24"/>
              </w:rPr>
            </w:pPr>
            <w:r>
              <w:rPr>
                <w:szCs w:val="24"/>
              </w:rPr>
              <w:t>Le transfert P1 vient doter exclusivement les mesures en faveurs des exploitations agricoles M4 et M13.</w:t>
            </w:r>
          </w:p>
          <w:p w:rsidR="0035701C" w:rsidRDefault="00FB561B">
            <w:pPr>
              <w:spacing w:before="240" w:after="240"/>
              <w:jc w:val="left"/>
              <w:rPr>
                <w:szCs w:val="24"/>
              </w:rPr>
            </w:pPr>
            <w:r>
              <w:rPr>
                <w:szCs w:val="24"/>
              </w:rPr>
              <w:t>Concernant la stratégie de Relance les fonds</w:t>
            </w:r>
            <w:r>
              <w:rPr>
                <w:szCs w:val="24"/>
              </w:rPr>
              <w:t xml:space="preserve"> </w:t>
            </w:r>
            <w:r>
              <w:rPr>
                <w:szCs w:val="24"/>
                <w:u w:val="single"/>
              </w:rPr>
              <w:t>EURI </w:t>
            </w:r>
            <w:r>
              <w:rPr>
                <w:szCs w:val="24"/>
              </w:rPr>
              <w:t xml:space="preserve"> sont répartis :</w:t>
            </w:r>
          </w:p>
          <w:p w:rsidR="0035701C" w:rsidRDefault="00FB561B">
            <w:pPr>
              <w:spacing w:before="240" w:after="240"/>
              <w:ind w:left="601"/>
              <w:jc w:val="left"/>
              <w:rPr>
                <w:szCs w:val="24"/>
              </w:rPr>
            </w:pPr>
            <w:r>
              <w:rPr>
                <w:szCs w:val="24"/>
              </w:rPr>
              <w:t>- à 55% pour le soutien des investissements des exploitations agricoles, en conformité avec le règlement EURI. Ces fonds additionnels sont fléchés sur les mesures où l'effet levier, par l'augmentation des taux d'aide, peut constituer</w:t>
            </w:r>
            <w:r>
              <w:rPr>
                <w:szCs w:val="24"/>
              </w:rPr>
              <w:t xml:space="preserve"> un atout pour la relance en faveur du secteur agricole (TO4.1) et agro-alimentaire (TO4.2), et où l'effet peut être immédiat, assurant en outre un bon rythme d'engagement des crédits, avec un taux de cofinancement porté à 100% afin d’optimiser la mise en </w:t>
            </w:r>
            <w:r>
              <w:rPr>
                <w:szCs w:val="24"/>
              </w:rPr>
              <w:t>œuvre des crédits.</w:t>
            </w:r>
          </w:p>
          <w:p w:rsidR="0035701C" w:rsidRDefault="00FB561B">
            <w:pPr>
              <w:spacing w:before="240" w:after="240"/>
              <w:ind w:left="601"/>
              <w:jc w:val="left"/>
              <w:rPr>
                <w:szCs w:val="24"/>
              </w:rPr>
            </w:pPr>
            <w:r>
              <w:rPr>
                <w:szCs w:val="24"/>
              </w:rPr>
              <w:t>- à 45% pour financer des mesures sur la P4, concernant un nouveau TO 4.1.3 en faveur des interventions concernant le pastoralisme et l'arboriculture traditionnelle de montagne, concourant à la fois au maintien de la biodiversité et à la</w:t>
            </w:r>
            <w:r>
              <w:rPr>
                <w:szCs w:val="24"/>
              </w:rPr>
              <w:t xml:space="preserve"> diversité/qualité des paysages, et au soutien des investissements en faveur de ces secteurs avec des taux d'intervention relevés. Ainsi l'affectation des crédits répond aux dérogations admissibles sur la non régression environnementale dans la mesure où l</w:t>
            </w:r>
            <w:r>
              <w:rPr>
                <w:szCs w:val="24"/>
              </w:rPr>
              <w:t>e choix de consacrer 55% des fonds relance aux investissements a été privilégié.</w:t>
            </w:r>
          </w:p>
          <w:p w:rsidR="0035701C" w:rsidRDefault="00FB561B">
            <w:pPr>
              <w:spacing w:before="240" w:after="240"/>
              <w:ind w:left="601"/>
              <w:jc w:val="left"/>
              <w:rPr>
                <w:szCs w:val="24"/>
              </w:rPr>
            </w:pPr>
            <w:r>
              <w:rPr>
                <w:szCs w:val="24"/>
              </w:rPr>
              <w:t>Les enjeux de la relance sont de concentrer les moyens sur les opérateurs économiques agricoles. En effet durant la Crise de la Covid-19, qui n'est pas achevée, le secteur agr</w:t>
            </w:r>
            <w:r>
              <w:rPr>
                <w:szCs w:val="24"/>
              </w:rPr>
              <w:t>icole a été fortement affecté par les difficultés de débouchés commerciaux qui restent fortement liés à l'activité touristique qui permet de valoriser les produits de qualités (vin, agneaux, cabris, fromages, charcuterie, agrumes, farine de châtaigne...) p</w:t>
            </w:r>
            <w:r>
              <w:rPr>
                <w:szCs w:val="24"/>
              </w:rPr>
              <w:t>our la plupart sous SIQO (AOP, IGP). De plus des problèmes de transport et de main d'oeuvre liés aux difficultés de mobilité de travailleurs ont impacté certains secteurs (viticulture, arboriculture). Les revenus des exploitations agricoles ont ainsi connu</w:t>
            </w:r>
            <w:r>
              <w:rPr>
                <w:szCs w:val="24"/>
              </w:rPr>
              <w:t xml:space="preserve"> une baisse entrainant un risque de disparition, notamment dans les activités pastorales. De fait, il s'agit de soutenir ces différents secteurs en assurant leur compétitivité et leur perennité tout en assurant un fléchage favorable aux démarches en faveur</w:t>
            </w:r>
            <w:r>
              <w:rPr>
                <w:szCs w:val="24"/>
              </w:rPr>
              <w:t xml:space="preserve"> de l'environnement. La Mesure M04 concentre ainsi la totalité des fonds EURI.</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35701C">
      <w:pPr>
        <w:sectPr w:rsidR="0035701C">
          <w:pgSz w:w="12240" w:h="15840"/>
          <w:pgMar w:top="900" w:right="900" w:bottom="900" w:left="900" w:header="720" w:footer="720" w:gutter="0"/>
          <w:cols w:space="720"/>
        </w:sectPr>
      </w:pPr>
    </w:p>
    <w:p w:rsidR="0035701C" w:rsidRDefault="00FB561B">
      <w:pPr>
        <w:pStyle w:val="Titre2"/>
      </w:pPr>
      <w:bookmarkStart w:id="73" w:name="_Toc256000072"/>
      <w:r>
        <w:t>Combinaison et justification des mesures de développement rural pour chaque domaine prioritaire, y compris la justification des dotations financières en faveur des</w:t>
      </w:r>
      <w:r>
        <w:t xml:space="preserve"> mesures et de l'adéquation des ressources financières par rapport aux objectifs définis par l'article 8, paragraphe 1, points c) ii) et c) iii), du règlement (UE) n° 1305/2013. La combinaison de mesures inscrites dans la logique d'intervention est fondée </w:t>
      </w:r>
      <w:r>
        <w:t>sur les éléments de preuve issus de l'analyse SWOT ainsi que la justification et la hiérarchisation des besoins figurant au point 5.1.</w:t>
      </w:r>
      <w:bookmarkEnd w:id="73"/>
    </w:p>
    <w:p w:rsidR="0035701C" w:rsidRDefault="00FB561B">
      <w:pPr>
        <w:pStyle w:val="Titre3"/>
        <w:jc w:val="left"/>
      </w:pPr>
      <w:bookmarkStart w:id="74" w:name="_Toc256000073"/>
      <w:r>
        <w:t>P1: favoriser le transfert de connaissances et l'innovation dans les secteurs de l'agriculture et de la foresterie, ainsi</w:t>
      </w:r>
      <w:r>
        <w:t xml:space="preserve"> que dans les zones rurales</w:t>
      </w:r>
      <w:bookmarkEnd w:id="74"/>
    </w:p>
    <w:p w:rsidR="0035701C" w:rsidRDefault="00FB561B">
      <w:pPr>
        <w:pStyle w:val="Titre4"/>
        <w:jc w:val="left"/>
      </w:pPr>
      <w:r>
        <w:t>1A) Favoriser l'innovation, la coopération et le développement de la base de connaissances dans les zones rurales</w:t>
      </w:r>
    </w:p>
    <w:p w:rsidR="0035701C" w:rsidRDefault="00FB561B">
      <w:pPr>
        <w:pStyle w:val="Titre5"/>
        <w:rPr>
          <w:b w:val="0"/>
        </w:rPr>
      </w:pPr>
      <w:r>
        <w:rPr>
          <w:b w:val="0"/>
        </w:rPr>
        <w:t>Choix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44"/>
              </w:numPr>
            </w:pPr>
            <w:r>
              <w:t>M01 - Transfert de connaissances et actions d'information (article 14)</w:t>
            </w:r>
          </w:p>
        </w:tc>
      </w:tr>
    </w:tbl>
    <w:p w:rsidR="0035701C" w:rsidRDefault="00FB561B">
      <w:pPr>
        <w:pStyle w:val="Titre5"/>
      </w:pPr>
      <w:r>
        <w:t>C</w:t>
      </w:r>
      <w:r>
        <w:t>ombinaison et justification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Ce domaine prioritaire répond aux besoins suivants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04-Sensibiliser, communiquer et éduquer sur les produits et savoir-faire locaux</w:t>
            </w:r>
          </w:p>
          <w:p w:rsidR="0035701C" w:rsidRDefault="00FB561B">
            <w:pPr>
              <w:spacing w:before="240" w:after="240"/>
              <w:jc w:val="left"/>
              <w:rPr>
                <w:szCs w:val="24"/>
              </w:rPr>
            </w:pPr>
            <w:r>
              <w:rPr>
                <w:szCs w:val="24"/>
              </w:rPr>
              <w:t xml:space="preserve">06-Diffuser les connaissances issues de R&amp;D par la </w:t>
            </w:r>
            <w:r>
              <w:rPr>
                <w:szCs w:val="24"/>
              </w:rPr>
              <w:t>formation et l'appui technique</w:t>
            </w:r>
          </w:p>
          <w:p w:rsidR="0035701C" w:rsidRDefault="00FB561B">
            <w:pPr>
              <w:spacing w:before="240" w:after="240"/>
              <w:jc w:val="left"/>
              <w:rPr>
                <w:szCs w:val="24"/>
              </w:rPr>
            </w:pPr>
            <w:r>
              <w:rPr>
                <w:szCs w:val="24"/>
              </w:rPr>
              <w:t>18-Poursuivre et consolider les actions de Recherche et Développement</w:t>
            </w:r>
          </w:p>
          <w:p w:rsidR="0035701C" w:rsidRDefault="00FB561B">
            <w:pPr>
              <w:spacing w:before="240" w:after="240"/>
              <w:jc w:val="left"/>
              <w:rPr>
                <w:szCs w:val="24"/>
              </w:rPr>
            </w:pPr>
            <w:r>
              <w:rPr>
                <w:szCs w:val="24"/>
              </w:rPr>
              <w:t>19-Soutenir les démarches de qualité, valoriser les liens produits/Terroirs et développer la qualité environnementale</w:t>
            </w:r>
          </w:p>
          <w:p w:rsidR="0035701C" w:rsidRDefault="00FB561B">
            <w:pPr>
              <w:spacing w:before="240" w:after="240"/>
              <w:jc w:val="left"/>
              <w:rPr>
                <w:szCs w:val="24"/>
              </w:rPr>
            </w:pPr>
            <w:r>
              <w:rPr>
                <w:szCs w:val="24"/>
              </w:rPr>
              <w:t>21-Promouvoir les actions collectives</w:t>
            </w:r>
            <w:r>
              <w:rPr>
                <w:szCs w:val="24"/>
              </w:rPr>
              <w:t xml:space="preserve"> et l’organisation économique des producteurs (agriculteurs, sylviculteurs</w:t>
            </w:r>
          </w:p>
          <w:p w:rsidR="0035701C" w:rsidRDefault="00FB561B">
            <w:pPr>
              <w:spacing w:before="240" w:after="240"/>
              <w:jc w:val="left"/>
              <w:rPr>
                <w:szCs w:val="24"/>
              </w:rPr>
            </w:pPr>
            <w:r>
              <w:rPr>
                <w:szCs w:val="24"/>
              </w:rPr>
              <w:t>22-Favoriser la diversification des productions par l'innovation technologique et l'émergence de nouveaux produits</w:t>
            </w:r>
          </w:p>
          <w:p w:rsidR="0035701C" w:rsidRDefault="00FB561B">
            <w:pPr>
              <w:spacing w:before="240" w:after="240"/>
              <w:jc w:val="left"/>
              <w:rPr>
                <w:szCs w:val="24"/>
              </w:rPr>
            </w:pPr>
            <w:r>
              <w:rPr>
                <w:szCs w:val="24"/>
              </w:rPr>
              <w:t>26-Accroître la compétitivité et les usages des produits de la for</w:t>
            </w:r>
            <w:r>
              <w:rPr>
                <w:szCs w:val="24"/>
              </w:rPr>
              <w:t>êt</w:t>
            </w:r>
          </w:p>
          <w:p w:rsidR="0035701C" w:rsidRDefault="00FB561B">
            <w:pPr>
              <w:spacing w:before="240" w:after="240"/>
              <w:jc w:val="left"/>
              <w:rPr>
                <w:szCs w:val="24"/>
              </w:rPr>
            </w:pPr>
            <w:r>
              <w:rPr>
                <w:szCs w:val="24"/>
              </w:rPr>
              <w:t>29-Favoriser la coopération, l'innovation organisationnelle et la constitution de réseaux</w:t>
            </w:r>
          </w:p>
          <w:p w:rsidR="0035701C" w:rsidRDefault="00FB561B">
            <w:pPr>
              <w:spacing w:before="240" w:after="240"/>
              <w:jc w:val="left"/>
              <w:rPr>
                <w:szCs w:val="24"/>
              </w:rPr>
            </w:pPr>
            <w:r>
              <w:rPr>
                <w:szCs w:val="24"/>
              </w:rPr>
              <w:t>30-Favoriser les approches du développement endogène visant à la valorisation des ressources</w:t>
            </w:r>
          </w:p>
          <w:p w:rsidR="0035701C" w:rsidRDefault="00FB561B">
            <w:pPr>
              <w:spacing w:before="240" w:after="240"/>
              <w:jc w:val="left"/>
              <w:rPr>
                <w:szCs w:val="24"/>
              </w:rPr>
            </w:pPr>
            <w:r>
              <w:rPr>
                <w:szCs w:val="24"/>
              </w:rPr>
              <w:t xml:space="preserve">Ce domaine prioritaire est couvert essentiellement par la mesure </w:t>
            </w:r>
            <w:r>
              <w:rPr>
                <w:szCs w:val="24"/>
              </w:rPr>
              <w:t>formation (1.1 ; 1.3.1 ; 1.3.2). En effet compte tenu du niveau de formation initial et général des agriculteurs en Corse, il est nécessaire de mettre l’accent sur des actions ciblées, d’abord à titre individuel (1.1 ; 1.3.1 ; 1.3.2). Ces actions de format</w:t>
            </w:r>
            <w:r>
              <w:rPr>
                <w:szCs w:val="24"/>
              </w:rPr>
              <w:t>ion sont renforcées par la mise en place hors PDRC d'aide au conseil via le régime d'aide SA40833 sur fonds de la Collectivité de Corse et le Plan d'avenir Etat-Région mis en oeuvre par l'ODARC et FranceAgrimer qui permet la mise en place d'actions de coop</w:t>
            </w:r>
            <w:r>
              <w:rPr>
                <w:szCs w:val="24"/>
              </w:rPr>
              <w:t>ération collectives. Cette progression de la connaissance est le facteur primordial de l’amélioration de la compétitivité des exploitations et d’une appréhension efficace de la qualité environnementale.</w:t>
            </w:r>
          </w:p>
          <w:p w:rsidR="0035701C" w:rsidRDefault="0035701C">
            <w:pPr>
              <w:pStyle w:val="Corpsdetexte"/>
            </w:pPr>
          </w:p>
        </w:tc>
      </w:tr>
    </w:tbl>
    <w:p w:rsidR="0035701C" w:rsidRDefault="0035701C"/>
    <w:p w:rsidR="0035701C" w:rsidRDefault="00FB561B">
      <w:pPr>
        <w:pStyle w:val="Titre4"/>
        <w:jc w:val="left"/>
      </w:pPr>
      <w:r>
        <w:t xml:space="preserve">1B) Renforcer les liens entre l'agriculture, la </w:t>
      </w:r>
      <w:r>
        <w:t>production alimentaire et la foresterie, la recherche et l'innovation, y compris aux fins d'améliorer la gestion et les performances dans le domaine de l'environnement</w:t>
      </w:r>
    </w:p>
    <w:p w:rsidR="0035701C" w:rsidRDefault="00FB561B">
      <w:pPr>
        <w:pStyle w:val="Titre5"/>
      </w:pPr>
      <w:r>
        <w:t>Choix des mesures de développement rural</w:t>
      </w:r>
    </w:p>
    <w:p w:rsidR="0035701C" w:rsidRDefault="00FB561B">
      <w:pPr>
        <w:pStyle w:val="Titre5"/>
      </w:pPr>
      <w:r>
        <w:t>Combinaison et justification des mesures de dév</w:t>
      </w:r>
      <w:r>
        <w:t>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Ce domaine prioritaire répond au besoin suivant :</w:t>
            </w:r>
          </w:p>
          <w:p w:rsidR="0035701C" w:rsidRDefault="00FB561B">
            <w:pPr>
              <w:spacing w:before="240" w:after="240"/>
              <w:jc w:val="left"/>
              <w:rPr>
                <w:szCs w:val="24"/>
              </w:rPr>
            </w:pPr>
            <w:r>
              <w:rPr>
                <w:szCs w:val="24"/>
              </w:rPr>
              <w:t>18-Poursuivre et consolider les actions de Recherche et Développement</w:t>
            </w:r>
          </w:p>
          <w:p w:rsidR="0035701C" w:rsidRDefault="00FB561B">
            <w:pPr>
              <w:spacing w:before="240" w:after="240"/>
              <w:jc w:val="left"/>
              <w:rPr>
                <w:szCs w:val="24"/>
              </w:rPr>
            </w:pPr>
            <w:r>
              <w:rPr>
                <w:szCs w:val="24"/>
              </w:rPr>
              <w:t>Pour renforcer les liens entre l'agriculture, la production alimentaire et la foresterie, la recherche et l'innovation,</w:t>
            </w:r>
            <w:r>
              <w:rPr>
                <w:szCs w:val="24"/>
              </w:rPr>
              <w:t xml:space="preserve"> y compris aux fins d'améliorer la gestion et les performances dans le domaine de l’environnement, il convient de diffuser les avancées technologique et organisationnelle issues de la R&amp;D, notamment par l’appui technique.</w:t>
            </w:r>
          </w:p>
          <w:p w:rsidR="0035701C" w:rsidRDefault="00FB561B">
            <w:pPr>
              <w:spacing w:before="240" w:after="240"/>
              <w:jc w:val="left"/>
              <w:rPr>
                <w:szCs w:val="24"/>
              </w:rPr>
            </w:pPr>
            <w:r>
              <w:rPr>
                <w:szCs w:val="24"/>
              </w:rPr>
              <w:t>Les actions de R&amp;D doivent être re</w:t>
            </w:r>
            <w:r>
              <w:rPr>
                <w:szCs w:val="24"/>
              </w:rPr>
              <w:t>nforcées et mise au service des acteurs du rural afin de favoriser une approche concrète de la recherche à même de proposer de nouveaux produits. Le lien acteurs économiques du rural et R&amp;D doit être favorisé par le renforcement de la coopération et la con</w:t>
            </w:r>
            <w:r>
              <w:rPr>
                <w:szCs w:val="24"/>
              </w:rPr>
              <w:t>stitution de réseau.</w:t>
            </w:r>
          </w:p>
          <w:p w:rsidR="0035701C" w:rsidRDefault="00FB561B">
            <w:pPr>
              <w:spacing w:before="240" w:after="240"/>
              <w:jc w:val="left"/>
              <w:rPr>
                <w:szCs w:val="24"/>
              </w:rPr>
            </w:pPr>
            <w:r>
              <w:rPr>
                <w:szCs w:val="24"/>
              </w:rPr>
              <w:t>Compte tenu de l’offre en produits de qualité que compte la Corse, et du fait que cet axe de production s’est révélé particulièrement structurant, de notables innovations sont à rechercher pour ce qui concerne la diffusion de ces prati</w:t>
            </w:r>
            <w:r>
              <w:rPr>
                <w:szCs w:val="24"/>
              </w:rPr>
              <w:t>ques auprès des producteurs et des consommateurs, au travers d'un plan d'avenir Etat-Région mis en oeuvre hors PDRC par l'ODARC et FranceAgrimer.</w:t>
            </w:r>
          </w:p>
          <w:p w:rsidR="0035701C" w:rsidRDefault="0035701C">
            <w:pPr>
              <w:pStyle w:val="Corpsdetexte"/>
            </w:pPr>
          </w:p>
        </w:tc>
      </w:tr>
    </w:tbl>
    <w:p w:rsidR="0035701C" w:rsidRDefault="0035701C"/>
    <w:p w:rsidR="0035701C" w:rsidRDefault="00FB561B">
      <w:pPr>
        <w:pStyle w:val="Titre4"/>
        <w:jc w:val="left"/>
      </w:pPr>
      <w:r>
        <w:t>1C) Favoriser l'apprentissage tout au long de la vie et la formation professionnelle dans les secteurs de l</w:t>
      </w:r>
      <w:r>
        <w:t>'agriculture et de la foresterie</w:t>
      </w:r>
    </w:p>
    <w:p w:rsidR="0035701C" w:rsidRDefault="00FB561B">
      <w:pPr>
        <w:pStyle w:val="Titre5"/>
      </w:pPr>
      <w:r>
        <w:t>Choix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45"/>
              </w:numPr>
            </w:pPr>
            <w:r>
              <w:t>M01 - Transfert de connaissances et actions d'information (article 14)</w:t>
            </w:r>
          </w:p>
        </w:tc>
      </w:tr>
    </w:tbl>
    <w:p w:rsidR="0035701C" w:rsidRDefault="00FB561B">
      <w:pPr>
        <w:pStyle w:val="Titre5"/>
      </w:pPr>
      <w:r>
        <w:t>Combinaison et justification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 xml:space="preserve">Ce domaine prioritaire répond au besoin </w:t>
            </w:r>
            <w:r>
              <w:rPr>
                <w:szCs w:val="24"/>
              </w:rPr>
              <w:t>suivant :</w:t>
            </w:r>
          </w:p>
          <w:p w:rsidR="0035701C" w:rsidRDefault="00FB561B">
            <w:pPr>
              <w:spacing w:before="240" w:after="240"/>
              <w:jc w:val="left"/>
              <w:rPr>
                <w:szCs w:val="24"/>
              </w:rPr>
            </w:pPr>
            <w:r>
              <w:rPr>
                <w:szCs w:val="24"/>
              </w:rPr>
              <w:t>05-Professionnaliser par la formation, des agriculteurs, des sylviculteurs et des entrepreneurs en milieu rural</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Afin de favoriser l'apprentissage tout au long de la vie et la formation professionnelle dans les secteurs de l'agriculture et de la</w:t>
            </w:r>
            <w:r>
              <w:rPr>
                <w:szCs w:val="24"/>
              </w:rPr>
              <w:t xml:space="preserve"> foresterie, on cherchera à proposer un catalogue de formation correspondant aux besoins du territoire.</w:t>
            </w:r>
          </w:p>
          <w:p w:rsidR="0035701C" w:rsidRDefault="00FB561B">
            <w:pPr>
              <w:spacing w:before="240" w:after="240"/>
              <w:jc w:val="left"/>
              <w:rPr>
                <w:szCs w:val="24"/>
              </w:rPr>
            </w:pPr>
            <w:r>
              <w:rPr>
                <w:szCs w:val="24"/>
              </w:rPr>
              <w:t>Grâce aux actions de formation professionnelle et d’acquisition de compétences qui leur sont destinées, nous visons plusieurs objectifs : accroitre la p</w:t>
            </w:r>
            <w:r>
              <w:rPr>
                <w:szCs w:val="24"/>
              </w:rPr>
              <w:t>roduction pour répondre à la demande, renforcer la connaissance et les méthodes de productions ainsi que professionnaliser les acteurs du monde rural.</w:t>
            </w:r>
          </w:p>
          <w:p w:rsidR="0035701C" w:rsidRDefault="00FB561B">
            <w:pPr>
              <w:spacing w:before="240" w:after="240"/>
              <w:jc w:val="left"/>
              <w:rPr>
                <w:szCs w:val="24"/>
              </w:rPr>
            </w:pPr>
            <w:r>
              <w:rPr>
                <w:szCs w:val="24"/>
              </w:rPr>
              <w:t>L’intervention couvre à la fois la formation et les échanges au bénéfice des ainés, exploitants agricoles</w:t>
            </w:r>
            <w:r>
              <w:rPr>
                <w:szCs w:val="24"/>
              </w:rPr>
              <w:t>, forestiers et actifs ruraux.</w:t>
            </w:r>
          </w:p>
          <w:p w:rsidR="0035701C" w:rsidRDefault="0035701C">
            <w:pPr>
              <w:pStyle w:val="Corpsdetexte"/>
            </w:pPr>
          </w:p>
        </w:tc>
      </w:tr>
    </w:tbl>
    <w:p w:rsidR="0035701C" w:rsidRDefault="0035701C"/>
    <w:p w:rsidR="0035701C" w:rsidRDefault="00FB561B">
      <w:pPr>
        <w:pStyle w:val="Titre3"/>
        <w:jc w:val="left"/>
      </w:pPr>
      <w:bookmarkStart w:id="75" w:name="_Toc256000074"/>
      <w:r>
        <w:t xml:space="preserve">P2: amélioration de la viabilité des exploitations agricoles et la compétitivité de tous les types d'agriculture dans toutes les régions et promotion des technologies agricoles innovantes et de la gestion durable des </w:t>
      </w:r>
      <w:r>
        <w:t>forêts</w:t>
      </w:r>
      <w:bookmarkEnd w:id="75"/>
    </w:p>
    <w:p w:rsidR="0035701C" w:rsidRDefault="00FB561B">
      <w:pPr>
        <w:pStyle w:val="Titre4"/>
        <w:jc w:val="left"/>
      </w:pPr>
      <w:r>
        <w:t>2A) Améliorer les résultats économiques de toutes les exploitations agricoles et faciliter la restructuration et la modernisation des exploitations agricoles, notamment en vue d'accroître la participation au marché et l'orientation vers le marché ai</w:t>
      </w:r>
      <w:r>
        <w:t>nsi que la diversification agricole</w:t>
      </w:r>
    </w:p>
    <w:p w:rsidR="0035701C" w:rsidRDefault="00FB561B">
      <w:pPr>
        <w:pStyle w:val="Titre5"/>
        <w:rPr>
          <w:b w:val="0"/>
        </w:rPr>
      </w:pPr>
      <w:r>
        <w:rPr>
          <w:b w:val="0"/>
        </w:rPr>
        <w:t>Choix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46"/>
              </w:numPr>
            </w:pPr>
            <w:r>
              <w:t>M01 - Transfert de connaissances et actions d'information (article 14)</w:t>
            </w:r>
          </w:p>
          <w:p w:rsidR="0035701C" w:rsidRDefault="00FB561B" w:rsidP="00FB561B">
            <w:pPr>
              <w:numPr>
                <w:ilvl w:val="0"/>
                <w:numId w:val="146"/>
              </w:numPr>
            </w:pPr>
            <w:r>
              <w:t>M04 - Investissements physiques (article 17)</w:t>
            </w:r>
          </w:p>
          <w:p w:rsidR="0035701C" w:rsidRDefault="00FB561B" w:rsidP="00FB561B">
            <w:pPr>
              <w:numPr>
                <w:ilvl w:val="0"/>
                <w:numId w:val="146"/>
              </w:numPr>
            </w:pPr>
            <w:r>
              <w:t>M07 - Services de base et rénovation des villages dans les zone</w:t>
            </w:r>
            <w:r>
              <w:t xml:space="preserve">s rurales (article 20) </w:t>
            </w:r>
          </w:p>
        </w:tc>
      </w:tr>
    </w:tbl>
    <w:p w:rsidR="0035701C" w:rsidRDefault="00FB561B">
      <w:pPr>
        <w:pStyle w:val="Titre5"/>
      </w:pPr>
      <w:r>
        <w:t>Combinaison et justification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Ce domaine prioritaire répond aux besoins suivant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02 Mobiliser le foncier</w:t>
            </w:r>
          </w:p>
          <w:p w:rsidR="0035701C" w:rsidRDefault="00FB561B">
            <w:pPr>
              <w:spacing w:before="240" w:after="240"/>
              <w:jc w:val="left"/>
              <w:rPr>
                <w:szCs w:val="24"/>
              </w:rPr>
            </w:pPr>
            <w:r>
              <w:rPr>
                <w:szCs w:val="24"/>
              </w:rPr>
              <w:t>03 Equiper le foncier</w:t>
            </w:r>
          </w:p>
          <w:p w:rsidR="0035701C" w:rsidRDefault="00FB561B">
            <w:pPr>
              <w:spacing w:before="240" w:after="240"/>
              <w:jc w:val="left"/>
              <w:rPr>
                <w:szCs w:val="24"/>
              </w:rPr>
            </w:pPr>
            <w:r>
              <w:rPr>
                <w:szCs w:val="24"/>
              </w:rPr>
              <w:t>04 Sensibiliser</w:t>
            </w:r>
          </w:p>
          <w:p w:rsidR="0035701C" w:rsidRDefault="00FB561B">
            <w:pPr>
              <w:spacing w:before="240" w:after="240"/>
              <w:jc w:val="left"/>
              <w:rPr>
                <w:szCs w:val="24"/>
              </w:rPr>
            </w:pPr>
            <w:r>
              <w:rPr>
                <w:szCs w:val="24"/>
              </w:rPr>
              <w:t>05 Formation</w:t>
            </w:r>
          </w:p>
          <w:p w:rsidR="0035701C" w:rsidRDefault="00FB561B">
            <w:pPr>
              <w:spacing w:before="240" w:after="240"/>
              <w:jc w:val="left"/>
              <w:rPr>
                <w:szCs w:val="24"/>
              </w:rPr>
            </w:pPr>
            <w:r>
              <w:rPr>
                <w:szCs w:val="24"/>
              </w:rPr>
              <w:t>06 Diffuser R&amp;D</w:t>
            </w:r>
          </w:p>
          <w:p w:rsidR="0035701C" w:rsidRDefault="00FB561B">
            <w:pPr>
              <w:spacing w:before="240" w:after="240"/>
              <w:jc w:val="left"/>
              <w:rPr>
                <w:szCs w:val="24"/>
              </w:rPr>
            </w:pPr>
            <w:r>
              <w:rPr>
                <w:szCs w:val="24"/>
              </w:rPr>
              <w:t xml:space="preserve">08 Revenu des </w:t>
            </w:r>
            <w:r>
              <w:rPr>
                <w:szCs w:val="24"/>
              </w:rPr>
              <w:t>agriculteurs</w:t>
            </w:r>
          </w:p>
          <w:p w:rsidR="0035701C" w:rsidRDefault="00FB561B">
            <w:pPr>
              <w:spacing w:before="240" w:after="240"/>
              <w:jc w:val="left"/>
              <w:rPr>
                <w:szCs w:val="24"/>
              </w:rPr>
            </w:pPr>
            <w:r>
              <w:rPr>
                <w:szCs w:val="24"/>
              </w:rPr>
              <w:t>09 Production et la transformation</w:t>
            </w:r>
          </w:p>
          <w:p w:rsidR="0035701C" w:rsidRDefault="00FB561B">
            <w:pPr>
              <w:spacing w:before="240" w:after="240"/>
              <w:jc w:val="left"/>
              <w:rPr>
                <w:szCs w:val="24"/>
              </w:rPr>
            </w:pPr>
            <w:r>
              <w:rPr>
                <w:szCs w:val="24"/>
              </w:rPr>
              <w:t>10 Moderniser les exploitations</w:t>
            </w:r>
          </w:p>
          <w:p w:rsidR="0035701C" w:rsidRDefault="00FB561B">
            <w:pPr>
              <w:spacing w:before="240" w:after="240"/>
              <w:jc w:val="left"/>
              <w:rPr>
                <w:szCs w:val="24"/>
              </w:rPr>
            </w:pPr>
            <w:r>
              <w:rPr>
                <w:szCs w:val="24"/>
              </w:rPr>
              <w:t>13 Elevages et parcours pastoraux</w:t>
            </w:r>
          </w:p>
          <w:p w:rsidR="0035701C" w:rsidRDefault="00FB561B">
            <w:pPr>
              <w:spacing w:before="240" w:after="240"/>
              <w:jc w:val="left"/>
              <w:rPr>
                <w:szCs w:val="24"/>
              </w:rPr>
            </w:pPr>
            <w:r>
              <w:rPr>
                <w:szCs w:val="24"/>
              </w:rPr>
              <w:t>14 Cultures pérennes</w:t>
            </w:r>
          </w:p>
          <w:p w:rsidR="0035701C" w:rsidRDefault="00FB561B">
            <w:pPr>
              <w:spacing w:before="240" w:after="240"/>
              <w:jc w:val="left"/>
              <w:rPr>
                <w:szCs w:val="24"/>
              </w:rPr>
            </w:pPr>
            <w:r>
              <w:rPr>
                <w:szCs w:val="24"/>
              </w:rPr>
              <w:t>18 R&amp;D</w:t>
            </w:r>
          </w:p>
          <w:p w:rsidR="0035701C" w:rsidRDefault="00FB561B">
            <w:pPr>
              <w:spacing w:before="240" w:after="240"/>
              <w:jc w:val="left"/>
              <w:rPr>
                <w:szCs w:val="24"/>
              </w:rPr>
            </w:pPr>
            <w:r>
              <w:rPr>
                <w:szCs w:val="24"/>
              </w:rPr>
              <w:t>19 Démarches de qualité</w:t>
            </w:r>
          </w:p>
          <w:p w:rsidR="0035701C" w:rsidRDefault="00FB561B">
            <w:pPr>
              <w:spacing w:before="240" w:after="240"/>
              <w:jc w:val="left"/>
              <w:rPr>
                <w:szCs w:val="24"/>
              </w:rPr>
            </w:pPr>
            <w:r>
              <w:rPr>
                <w:szCs w:val="24"/>
              </w:rPr>
              <w:t>21 Actions collectives</w:t>
            </w:r>
          </w:p>
          <w:p w:rsidR="0035701C" w:rsidRDefault="00FB561B">
            <w:pPr>
              <w:spacing w:before="240" w:after="240"/>
              <w:jc w:val="left"/>
              <w:rPr>
                <w:szCs w:val="24"/>
              </w:rPr>
            </w:pPr>
            <w:r>
              <w:rPr>
                <w:szCs w:val="24"/>
              </w:rPr>
              <w:t>22 Diversification productions</w:t>
            </w:r>
          </w:p>
          <w:p w:rsidR="0035701C" w:rsidRDefault="00FB561B">
            <w:pPr>
              <w:spacing w:before="240" w:after="240"/>
              <w:jc w:val="left"/>
              <w:rPr>
                <w:szCs w:val="24"/>
              </w:rPr>
            </w:pPr>
            <w:r>
              <w:rPr>
                <w:szCs w:val="24"/>
              </w:rPr>
              <w:t>24 Sols et pratiques sylvo-pastorale</w:t>
            </w:r>
            <w:r>
              <w:rPr>
                <w:szCs w:val="24"/>
              </w:rPr>
              <w:t>s</w:t>
            </w:r>
          </w:p>
          <w:p w:rsidR="0035701C" w:rsidRDefault="00FB561B">
            <w:pPr>
              <w:spacing w:before="240" w:after="240"/>
              <w:jc w:val="left"/>
              <w:rPr>
                <w:szCs w:val="24"/>
              </w:rPr>
            </w:pPr>
            <w:r>
              <w:rPr>
                <w:szCs w:val="24"/>
              </w:rPr>
              <w:t>29 Coopération</w:t>
            </w:r>
          </w:p>
          <w:p w:rsidR="0035701C" w:rsidRDefault="00FB561B">
            <w:pPr>
              <w:spacing w:before="240" w:after="240"/>
              <w:jc w:val="left"/>
              <w:rPr>
                <w:szCs w:val="24"/>
              </w:rPr>
            </w:pPr>
            <w:r>
              <w:rPr>
                <w:szCs w:val="24"/>
              </w:rPr>
              <w:t>30 Ressources local</w:t>
            </w:r>
          </w:p>
          <w:p w:rsidR="0035701C" w:rsidRDefault="00FB561B">
            <w:pPr>
              <w:spacing w:before="240" w:after="240"/>
              <w:jc w:val="left"/>
              <w:rPr>
                <w:szCs w:val="24"/>
              </w:rPr>
            </w:pPr>
            <w:r>
              <w:rPr>
                <w:szCs w:val="24"/>
              </w:rPr>
              <w:t>31 Services essentiels rural</w:t>
            </w:r>
          </w:p>
          <w:p w:rsidR="0035701C" w:rsidRDefault="00FB561B">
            <w:pPr>
              <w:spacing w:before="240" w:after="240"/>
              <w:jc w:val="left"/>
              <w:rPr>
                <w:szCs w:val="24"/>
              </w:rPr>
            </w:pPr>
            <w:r>
              <w:rPr>
                <w:szCs w:val="24"/>
              </w:rPr>
              <w:t>33 Occupation du territoire</w:t>
            </w:r>
          </w:p>
          <w:p w:rsidR="0035701C" w:rsidRDefault="00FB561B">
            <w:pPr>
              <w:spacing w:before="240" w:after="240"/>
              <w:jc w:val="left"/>
              <w:rPr>
                <w:szCs w:val="24"/>
              </w:rPr>
            </w:pPr>
            <w:r>
              <w:rPr>
                <w:szCs w:val="24"/>
              </w:rPr>
              <w:t xml:space="preserve">La M1 permet d'accompagner par de la formation ou des échanges d'expérience les exploitants. La M 4.1 a pour objectif de contribuer à pallier le manque de </w:t>
            </w:r>
            <w:r>
              <w:rPr>
                <w:szCs w:val="24"/>
              </w:rPr>
              <w:t>compétitivité lié à une capitalisation insuffisante des outils de production agricole (foncier inorganisé ou peu aménagé, équipement structurant en bâtiment et matériel faisant défaut), y compris en intégrant la composante environnementale dans tous les ac</w:t>
            </w:r>
            <w:r>
              <w:rPr>
                <w:szCs w:val="24"/>
              </w:rPr>
              <w:t>tes de la production, et en se situant dans une stratégie d’accès au marché.</w:t>
            </w:r>
          </w:p>
          <w:p w:rsidR="0035701C" w:rsidRDefault="00FB561B">
            <w:pPr>
              <w:spacing w:before="240" w:after="240"/>
              <w:jc w:val="left"/>
              <w:rPr>
                <w:szCs w:val="24"/>
              </w:rPr>
            </w:pPr>
            <w:r>
              <w:rPr>
                <w:szCs w:val="24"/>
              </w:rPr>
              <w:t>La M 4.3 doit constituer une réponse au manque d’infrastructures des territoires (voierie et desserte rurale, adduction et irrigation,…).</w:t>
            </w:r>
          </w:p>
          <w:p w:rsidR="0035701C" w:rsidRDefault="00FB561B">
            <w:pPr>
              <w:spacing w:before="240" w:after="240"/>
              <w:jc w:val="left"/>
              <w:rPr>
                <w:szCs w:val="24"/>
              </w:rPr>
            </w:pPr>
            <w:r>
              <w:rPr>
                <w:szCs w:val="24"/>
              </w:rPr>
              <w:t>Le TO 7.2 a pour vocation d'accompagner s</w:t>
            </w:r>
            <w:r>
              <w:rPr>
                <w:szCs w:val="24"/>
              </w:rPr>
              <w:t>pécifiquement le raccordement des exploitations agricoles en zone rurale au réseau électrique afin de favoriser la pérennité et la compétitivité de ce secteur.</w:t>
            </w:r>
          </w:p>
          <w:p w:rsidR="0035701C" w:rsidRDefault="00FB561B">
            <w:pPr>
              <w:spacing w:before="240" w:after="240"/>
              <w:jc w:val="left"/>
              <w:rPr>
                <w:szCs w:val="24"/>
              </w:rPr>
            </w:pPr>
            <w:r>
              <w:rPr>
                <w:szCs w:val="24"/>
              </w:rPr>
              <w:t>Près de 15% du FEADER sont affectés au DP 2a. Ce poids a été déterminé au regard de l’enjeu fort</w:t>
            </w:r>
            <w:r>
              <w:rPr>
                <w:szCs w:val="24"/>
              </w:rPr>
              <w:t xml:space="preserve"> de compétitivité des exploitations, en cohérence avec l’ensemble de la maquette.</w:t>
            </w:r>
          </w:p>
          <w:p w:rsidR="0035701C" w:rsidRDefault="0035701C">
            <w:pPr>
              <w:pStyle w:val="Corpsdetexte"/>
            </w:pPr>
          </w:p>
        </w:tc>
      </w:tr>
    </w:tbl>
    <w:p w:rsidR="0035701C" w:rsidRDefault="0035701C"/>
    <w:p w:rsidR="0035701C" w:rsidRDefault="00FB561B">
      <w:pPr>
        <w:pStyle w:val="Titre4"/>
        <w:jc w:val="left"/>
      </w:pPr>
      <w:r>
        <w:t>2B) Faciliter l'entrée d'exploitants agricoles suffisamment qualifiés dans le secteur de l'agriculture, et en particulier le renouvellement des générations</w:t>
      </w:r>
    </w:p>
    <w:p w:rsidR="0035701C" w:rsidRDefault="00FB561B">
      <w:pPr>
        <w:pStyle w:val="Titre5"/>
      </w:pPr>
      <w:r>
        <w:t>Choix des mesur</w:t>
      </w:r>
      <w:r>
        <w:t>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47"/>
              </w:numPr>
            </w:pPr>
            <w:r>
              <w:t>M06 - Développement des exploitations agricoles et des entreprises (article 19)</w:t>
            </w:r>
          </w:p>
        </w:tc>
      </w:tr>
    </w:tbl>
    <w:p w:rsidR="0035701C" w:rsidRDefault="00FB561B">
      <w:pPr>
        <w:pStyle w:val="Titre5"/>
      </w:pPr>
      <w:r>
        <w:t>Combinaison et justification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Ce domaine prioritaire répond aux besoins suivants :</w:t>
            </w:r>
          </w:p>
          <w:p w:rsidR="0035701C" w:rsidRDefault="00FB561B">
            <w:pPr>
              <w:spacing w:before="240" w:after="240"/>
              <w:jc w:val="left"/>
              <w:rPr>
                <w:szCs w:val="24"/>
              </w:rPr>
            </w:pPr>
            <w:r>
              <w:rPr>
                <w:szCs w:val="24"/>
              </w:rPr>
              <w:t xml:space="preserve">04-Sensibiliser, communiquer et </w:t>
            </w:r>
            <w:r>
              <w:rPr>
                <w:szCs w:val="24"/>
              </w:rPr>
              <w:t>éduquer sur les produits et savoir-faire locaux</w:t>
            </w:r>
          </w:p>
          <w:p w:rsidR="0035701C" w:rsidRDefault="00FB561B">
            <w:pPr>
              <w:spacing w:before="240" w:after="240"/>
              <w:jc w:val="left"/>
              <w:rPr>
                <w:szCs w:val="24"/>
              </w:rPr>
            </w:pPr>
            <w:r>
              <w:rPr>
                <w:szCs w:val="24"/>
              </w:rPr>
              <w:t>05-Professionnaliser par la formation, des agriculteurs, des sylviculteurs et des entrepreneurs en milieu rural</w:t>
            </w:r>
          </w:p>
          <w:p w:rsidR="0035701C" w:rsidRDefault="00FB561B">
            <w:pPr>
              <w:spacing w:before="240" w:after="240"/>
              <w:jc w:val="left"/>
              <w:rPr>
                <w:szCs w:val="24"/>
              </w:rPr>
            </w:pPr>
            <w:r>
              <w:rPr>
                <w:szCs w:val="24"/>
              </w:rPr>
              <w:t>07-Maintenir, augmenter le nombre d'actifs agricoles et redynamiser les transmissions</w:t>
            </w:r>
          </w:p>
          <w:p w:rsidR="0035701C" w:rsidRDefault="00FB561B">
            <w:pPr>
              <w:spacing w:before="240" w:after="240"/>
              <w:jc w:val="left"/>
              <w:rPr>
                <w:szCs w:val="24"/>
              </w:rPr>
            </w:pPr>
            <w:r>
              <w:rPr>
                <w:szCs w:val="24"/>
              </w:rPr>
              <w:t>11-Accroît</w:t>
            </w:r>
            <w:r>
              <w:rPr>
                <w:szCs w:val="24"/>
              </w:rPr>
              <w:t>re la capacité d'investissement en développant les outils d'ingénierie financière</w:t>
            </w:r>
          </w:p>
          <w:p w:rsidR="0035701C" w:rsidRDefault="00FB561B">
            <w:pPr>
              <w:spacing w:before="240" w:after="240"/>
              <w:jc w:val="left"/>
              <w:rPr>
                <w:szCs w:val="24"/>
              </w:rPr>
            </w:pPr>
            <w:r>
              <w:rPr>
                <w:szCs w:val="24"/>
              </w:rPr>
              <w:t>30-Favoriser les approches du développement endogène visant à la valorisation des ressources</w:t>
            </w:r>
          </w:p>
          <w:p w:rsidR="0035701C" w:rsidRDefault="00FB561B">
            <w:pPr>
              <w:spacing w:before="240" w:after="240"/>
              <w:jc w:val="left"/>
              <w:rPr>
                <w:szCs w:val="24"/>
              </w:rPr>
            </w:pPr>
            <w:r>
              <w:rPr>
                <w:szCs w:val="24"/>
              </w:rPr>
              <w:t>33-Maintenir une occupation du territoire et favoriser le lien social</w:t>
            </w:r>
          </w:p>
          <w:p w:rsidR="0035701C" w:rsidRDefault="00FB561B">
            <w:pPr>
              <w:spacing w:before="240" w:after="240"/>
              <w:jc w:val="left"/>
              <w:rPr>
                <w:szCs w:val="24"/>
              </w:rPr>
            </w:pPr>
            <w:r>
              <w:rPr>
                <w:szCs w:val="24"/>
              </w:rPr>
              <w:t>34-Favorise</w:t>
            </w:r>
            <w:r>
              <w:rPr>
                <w:szCs w:val="24"/>
              </w:rPr>
              <w:t>r un équilibre entre le tourisme et les autres secteurs économiques</w:t>
            </w:r>
          </w:p>
          <w:p w:rsidR="0035701C" w:rsidRDefault="00FB561B">
            <w:pPr>
              <w:spacing w:before="240" w:after="240"/>
              <w:jc w:val="left"/>
              <w:rPr>
                <w:szCs w:val="24"/>
              </w:rPr>
            </w:pPr>
            <w:r>
              <w:rPr>
                <w:szCs w:val="24"/>
              </w:rPr>
              <w:t>Pour faciliter l'entrée d'exploitants agricoles suffisamment qualifiés dans le secteur de l'agriculture, et en particulier le renouvellement des générations plusieurs axes de travail ont é</w:t>
            </w:r>
            <w:r>
              <w:rPr>
                <w:szCs w:val="24"/>
              </w:rPr>
              <w:t>té dégagés. On cherchera d’abord à soutenir financièrement les exploitants nouvellement installé, y compris les petites exploitations en les incitant à se former (6.1 ; 6.3). Un système de conseil spécifique à destination des JA est également prévu hors PD</w:t>
            </w:r>
            <w:r>
              <w:rPr>
                <w:szCs w:val="24"/>
              </w:rPr>
              <w:t>RC via la mobilisation du régime d'aide conseil agricole (SA40833) sur fonds de la région.</w:t>
            </w:r>
          </w:p>
          <w:p w:rsidR="0035701C" w:rsidRDefault="0035701C">
            <w:pPr>
              <w:pStyle w:val="Corpsdetexte"/>
            </w:pPr>
          </w:p>
        </w:tc>
      </w:tr>
    </w:tbl>
    <w:p w:rsidR="0035701C" w:rsidRDefault="0035701C"/>
    <w:p w:rsidR="0035701C" w:rsidRDefault="00FB561B">
      <w:pPr>
        <w:pStyle w:val="Titre3"/>
        <w:jc w:val="left"/>
      </w:pPr>
      <w:bookmarkStart w:id="76" w:name="_Toc256000075"/>
      <w:r>
        <w:t xml:space="preserve">P3: promouvoir l'organisation de la chaîne alimentaire, y compris la transformation et la commercialisation des produits agricoles, le bien-être animal ainsi que </w:t>
      </w:r>
      <w:r>
        <w:t>la gestion des risques dans le secteur de l'agriculture</w:t>
      </w:r>
      <w:bookmarkEnd w:id="76"/>
    </w:p>
    <w:p w:rsidR="0035701C" w:rsidRDefault="00FB561B">
      <w:pPr>
        <w:pStyle w:val="Titre4"/>
        <w:jc w:val="left"/>
      </w:pPr>
      <w:r>
        <w:t>3A) Améliorer la compétitivité des producteurs primaires en les intégrant mieux dans la chaîne agroalimentaire au moyen des programmes de qualité, en conférant une valeur ajoutée aux produits agricole</w:t>
      </w:r>
      <w:r>
        <w:t>s, et par le biais de la promotion sur les marchés locaux et des circuits d’approvisionnement courts, des groupements de producteurs et des organisations interprofessionnelles</w:t>
      </w:r>
    </w:p>
    <w:p w:rsidR="0035701C" w:rsidRDefault="00FB561B">
      <w:pPr>
        <w:pStyle w:val="Titre5"/>
        <w:rPr>
          <w:b w:val="0"/>
        </w:rPr>
      </w:pPr>
      <w:r>
        <w:rPr>
          <w:b w:val="0"/>
        </w:rPr>
        <w:t>Choix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48"/>
              </w:numPr>
            </w:pPr>
            <w:r>
              <w:t>M04 - Investissements physiques (articl</w:t>
            </w:r>
            <w:r>
              <w:t>e 17)</w:t>
            </w:r>
          </w:p>
        </w:tc>
      </w:tr>
    </w:tbl>
    <w:p w:rsidR="0035701C" w:rsidRDefault="00FB561B">
      <w:pPr>
        <w:pStyle w:val="Titre5"/>
      </w:pPr>
      <w:r>
        <w:t>Combinaison et justification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Ce domaine prioritaire répond aux besoins suivants :</w:t>
            </w:r>
          </w:p>
          <w:p w:rsidR="0035701C" w:rsidRDefault="00FB561B">
            <w:pPr>
              <w:spacing w:before="240" w:after="240"/>
              <w:jc w:val="left"/>
              <w:rPr>
                <w:szCs w:val="24"/>
              </w:rPr>
            </w:pPr>
            <w:r>
              <w:rPr>
                <w:szCs w:val="24"/>
              </w:rPr>
              <w:t>05-Professionnaliser par la formation, des agriculteurs, des sylviculteurs et des entrepreneurs en milieu rural</w:t>
            </w:r>
          </w:p>
          <w:p w:rsidR="0035701C" w:rsidRDefault="00FB561B">
            <w:pPr>
              <w:spacing w:before="240" w:after="240"/>
              <w:jc w:val="left"/>
              <w:rPr>
                <w:szCs w:val="24"/>
              </w:rPr>
            </w:pPr>
            <w:r>
              <w:rPr>
                <w:szCs w:val="24"/>
              </w:rPr>
              <w:t xml:space="preserve">06-Diffuser les </w:t>
            </w:r>
            <w:r>
              <w:rPr>
                <w:szCs w:val="24"/>
              </w:rPr>
              <w:t>connaissances issues de R&amp;D par la formation et l'appui technique</w:t>
            </w:r>
          </w:p>
          <w:p w:rsidR="0035701C" w:rsidRDefault="00FB561B">
            <w:pPr>
              <w:spacing w:before="240" w:after="240"/>
              <w:jc w:val="left"/>
              <w:rPr>
                <w:szCs w:val="24"/>
              </w:rPr>
            </w:pPr>
            <w:r>
              <w:rPr>
                <w:szCs w:val="24"/>
              </w:rPr>
              <w:t>09-Accroître et élargir la production et la transformation pour répondre à la demande et augmenter les parts du marché local</w:t>
            </w:r>
          </w:p>
          <w:p w:rsidR="0035701C" w:rsidRDefault="00FB561B">
            <w:pPr>
              <w:spacing w:before="240" w:after="240"/>
              <w:jc w:val="left"/>
              <w:rPr>
                <w:szCs w:val="24"/>
              </w:rPr>
            </w:pPr>
            <w:r>
              <w:rPr>
                <w:szCs w:val="24"/>
              </w:rPr>
              <w:t>19-Soutenir les démarches de qualité, valoriser les liens produit</w:t>
            </w:r>
            <w:r>
              <w:rPr>
                <w:szCs w:val="24"/>
              </w:rPr>
              <w:t>s/terroirs et développer la qualité environnementale</w:t>
            </w:r>
          </w:p>
          <w:p w:rsidR="0035701C" w:rsidRDefault="00FB561B">
            <w:pPr>
              <w:spacing w:before="240" w:after="240"/>
              <w:jc w:val="left"/>
              <w:rPr>
                <w:szCs w:val="24"/>
              </w:rPr>
            </w:pPr>
            <w:r>
              <w:rPr>
                <w:szCs w:val="24"/>
              </w:rPr>
              <w:t>20-Renforcer la promotion et la commercialisation des produits sur le marché local, national et international</w:t>
            </w:r>
          </w:p>
          <w:p w:rsidR="0035701C" w:rsidRDefault="00FB561B">
            <w:pPr>
              <w:spacing w:before="240" w:after="240"/>
              <w:jc w:val="left"/>
              <w:rPr>
                <w:szCs w:val="24"/>
              </w:rPr>
            </w:pPr>
            <w:r>
              <w:rPr>
                <w:szCs w:val="24"/>
              </w:rPr>
              <w:t>21-Promouvoir les actions collectives et l’organisation économique des producteurs (agriculte</w:t>
            </w:r>
            <w:r>
              <w:rPr>
                <w:szCs w:val="24"/>
              </w:rPr>
              <w:t>urs, sylviculteurs</w:t>
            </w:r>
          </w:p>
          <w:p w:rsidR="0035701C" w:rsidRDefault="00FB561B">
            <w:pPr>
              <w:spacing w:before="240" w:after="240"/>
              <w:jc w:val="left"/>
              <w:rPr>
                <w:szCs w:val="24"/>
              </w:rPr>
            </w:pPr>
            <w:r>
              <w:rPr>
                <w:szCs w:val="24"/>
              </w:rPr>
              <w:t>22-Favoriser la diversification des productions par l'innovation technologique et l'émergence de nouveaux produits</w:t>
            </w:r>
          </w:p>
          <w:p w:rsidR="0035701C" w:rsidRDefault="00FB561B">
            <w:pPr>
              <w:spacing w:before="240" w:after="240"/>
              <w:jc w:val="left"/>
              <w:rPr>
                <w:szCs w:val="24"/>
              </w:rPr>
            </w:pPr>
            <w:r>
              <w:rPr>
                <w:szCs w:val="24"/>
              </w:rPr>
              <w:t xml:space="preserve">Ce domaine prioritaire s’inscrit précisément dans la stratégie de production et de différenciation de l’offre agricole de </w:t>
            </w:r>
            <w:r>
              <w:rPr>
                <w:szCs w:val="24"/>
              </w:rPr>
              <w:t>la Corse, compte tenu de son impossibilité à rivaliser avec les productions de masses, et à contrario de son aptitude conférée par sa typicité et son ancrage aux terroirs. En ce sens la mesure liée à l’investissement dans les industries agroalimentaires (4</w:t>
            </w:r>
            <w:r>
              <w:rPr>
                <w:szCs w:val="24"/>
              </w:rPr>
              <w:t>.1 lorsque la transformation à lieu à la ferme ; 4.2 pour les industries agro-alimentaires) concerne directement ce domaine prioritaire. Le soutien à la production biologique (M11) contribue indirectement à cet objectif, ainsi que la formation (1.1 ; 1.3.2</w:t>
            </w:r>
            <w:r>
              <w:rPr>
                <w:szCs w:val="24"/>
              </w:rPr>
              <w:t>) qui comprend des modules dédiés à la transformation des produits sous signe de qualité.</w:t>
            </w:r>
          </w:p>
          <w:p w:rsidR="0035701C" w:rsidRDefault="00FB561B">
            <w:pPr>
              <w:spacing w:before="240" w:after="240"/>
              <w:jc w:val="left"/>
              <w:rPr>
                <w:szCs w:val="24"/>
              </w:rPr>
            </w:pPr>
            <w:r>
              <w:rPr>
                <w:szCs w:val="24"/>
              </w:rPr>
              <w:t>1% du FEADER sont affectés au DP 3A. Ce poids a été déterminé en fonction du coût unitaire de la participation au régime de qualité, de la situation actuelle des fili</w:t>
            </w:r>
            <w:r>
              <w:rPr>
                <w:szCs w:val="24"/>
              </w:rPr>
              <w:t>ères Corses et en cohérence avec l’ensemble des équilibres de la maquette qu’il a fallu trouver et des autres DP.</w:t>
            </w:r>
          </w:p>
          <w:p w:rsidR="0035701C" w:rsidRDefault="0035701C">
            <w:pPr>
              <w:pStyle w:val="Corpsdetexte"/>
            </w:pPr>
          </w:p>
        </w:tc>
      </w:tr>
    </w:tbl>
    <w:p w:rsidR="0035701C" w:rsidRDefault="0035701C"/>
    <w:p w:rsidR="0035701C" w:rsidRDefault="00FB561B">
      <w:pPr>
        <w:pStyle w:val="Titre4"/>
        <w:jc w:val="left"/>
      </w:pPr>
      <w:r>
        <w:t>3B) Soutien à la prévention et à la gestion des risques au niveau des exploitations</w:t>
      </w:r>
    </w:p>
    <w:p w:rsidR="0035701C" w:rsidRDefault="00FB561B">
      <w:pPr>
        <w:pStyle w:val="Titre5"/>
      </w:pPr>
      <w:r>
        <w:t>Choix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49"/>
              </w:numPr>
            </w:pPr>
            <w:r>
              <w:t xml:space="preserve">M05 - Reconstitution du potentiel de production agricole endommagé par des catastrophes naturelles et des événements catastrophiques et mise en place de mesures de prévention appropriées (article 18) </w:t>
            </w:r>
          </w:p>
        </w:tc>
      </w:tr>
    </w:tbl>
    <w:p w:rsidR="0035701C" w:rsidRDefault="00FB561B">
      <w:pPr>
        <w:pStyle w:val="Titre5"/>
      </w:pPr>
      <w:r>
        <w:t>Combinaison et justification des mesures de développem</w:t>
      </w:r>
      <w:r>
        <w:t>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Ce domaine prioritaire répond au besoin 17-Gérer les risques</w:t>
            </w:r>
          </w:p>
          <w:p w:rsidR="0035701C" w:rsidRDefault="00FB561B">
            <w:pPr>
              <w:spacing w:before="240" w:after="240"/>
              <w:jc w:val="left"/>
              <w:rPr>
                <w:szCs w:val="24"/>
              </w:rPr>
            </w:pPr>
            <w:r>
              <w:rPr>
                <w:szCs w:val="24"/>
              </w:rPr>
              <w:t>Dans le programme, ce domaine prioritaire est couvert par la mesure de restauration du potentiel productif dans les châtaigneraies consécutivement à l'infestation d'un parasite (cynips)</w:t>
            </w:r>
            <w:r>
              <w:rPr>
                <w:szCs w:val="24"/>
              </w:rPr>
              <w:t xml:space="preserve"> M05.</w:t>
            </w:r>
          </w:p>
          <w:p w:rsidR="0035701C" w:rsidRDefault="00FB561B">
            <w:pPr>
              <w:spacing w:before="240" w:after="240"/>
              <w:jc w:val="left"/>
              <w:rPr>
                <w:szCs w:val="24"/>
              </w:rPr>
            </w:pPr>
            <w:r>
              <w:rPr>
                <w:szCs w:val="24"/>
              </w:rPr>
              <w:t>La part du FEADER et de dépense public totale affectés au DP 3B est très faible (moins de 1%) mais correspond au besoin estimé pour la mesure concernée. Cette estimation est issue d’un dialogue avec la filière concernée.</w:t>
            </w:r>
          </w:p>
          <w:p w:rsidR="0035701C" w:rsidRDefault="00FB561B">
            <w:pPr>
              <w:spacing w:before="240" w:after="240"/>
              <w:jc w:val="left"/>
              <w:rPr>
                <w:szCs w:val="24"/>
              </w:rPr>
            </w:pPr>
            <w:r>
              <w:rPr>
                <w:szCs w:val="24"/>
              </w:rPr>
              <w:t>L’indicateur cible T7 du DP 3</w:t>
            </w:r>
            <w:r>
              <w:rPr>
                <w:szCs w:val="24"/>
              </w:rPr>
              <w:t>B) (pourcentage d’exploitations participant aux programmes de gestion des risques)  n’est pas renseigné pour la Corse puisque nous ne mettrons en œuvre que la sous mesure 5.2.</w:t>
            </w:r>
          </w:p>
          <w:p w:rsidR="0035701C" w:rsidRDefault="00FB561B">
            <w:pPr>
              <w:spacing w:before="240" w:after="240"/>
              <w:jc w:val="left"/>
              <w:rPr>
                <w:szCs w:val="24"/>
              </w:rPr>
            </w:pPr>
            <w:r>
              <w:rPr>
                <w:szCs w:val="24"/>
              </w:rPr>
              <w:t>L’indicateur d’objectif retenu concerne donc les surfaces restaurées et il est f</w:t>
            </w:r>
            <w:r>
              <w:rPr>
                <w:szCs w:val="24"/>
              </w:rPr>
              <w:t>ixé à 75 ha.        </w:t>
            </w:r>
          </w:p>
          <w:p w:rsidR="0035701C" w:rsidRDefault="0035701C">
            <w:pPr>
              <w:pStyle w:val="Corpsdetexte"/>
            </w:pPr>
          </w:p>
        </w:tc>
      </w:tr>
    </w:tbl>
    <w:p w:rsidR="0035701C" w:rsidRDefault="0035701C"/>
    <w:p w:rsidR="0035701C" w:rsidRDefault="00FB561B">
      <w:pPr>
        <w:pStyle w:val="Titre3"/>
        <w:jc w:val="left"/>
      </w:pPr>
      <w:bookmarkStart w:id="77" w:name="_Toc256000076"/>
      <w:r>
        <w:t>P4: restaurer, préserver et renforcer les écosystèmes liés à l'agriculture et à la foresterie</w:t>
      </w:r>
      <w:bookmarkEnd w:id="77"/>
    </w:p>
    <w:p w:rsidR="0035701C" w:rsidRDefault="00FB561B">
      <w:pPr>
        <w:pStyle w:val="Titre4"/>
        <w:jc w:val="left"/>
      </w:pPr>
      <w:r>
        <w:t xml:space="preserve">4A) Restaurer, préserver et renforcer la biodiversité, y compris dans les zones relevant de Natura 2000, les zones soumises à des </w:t>
      </w:r>
      <w:r>
        <w:t>contraintes naturelles ou à d'autres contraintes spécifiques et les zones agricoles à haute valeur naturelle, ainsi que les paysages européens</w:t>
      </w:r>
    </w:p>
    <w:p w:rsidR="0035701C" w:rsidRDefault="00FB561B">
      <w:pPr>
        <w:pStyle w:val="Titre5"/>
        <w:rPr>
          <w:b w:val="0"/>
        </w:rPr>
      </w:pPr>
      <w:r>
        <w:rPr>
          <w:b w:val="0"/>
        </w:rPr>
        <w:t>Mesures pour les terres agricoles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50"/>
              </w:numPr>
            </w:pPr>
            <w:r>
              <w:t>M04 - Investissements physiques (article 17)</w:t>
            </w:r>
          </w:p>
          <w:p w:rsidR="0035701C" w:rsidRDefault="00FB561B" w:rsidP="00FB561B">
            <w:pPr>
              <w:numPr>
                <w:ilvl w:val="0"/>
                <w:numId w:val="150"/>
              </w:numPr>
            </w:pPr>
            <w:r>
              <w:t>M07 - Services de base et rénovati</w:t>
            </w:r>
            <w:r>
              <w:t xml:space="preserve">on des villages dans les zones rurales (article 20) </w:t>
            </w:r>
          </w:p>
          <w:p w:rsidR="0035701C" w:rsidRDefault="00FB561B" w:rsidP="00FB561B">
            <w:pPr>
              <w:numPr>
                <w:ilvl w:val="0"/>
                <w:numId w:val="150"/>
              </w:numPr>
            </w:pPr>
            <w:r>
              <w:t>M10 - Agroenvironnement - climat (article 28)</w:t>
            </w:r>
          </w:p>
          <w:p w:rsidR="0035701C" w:rsidRDefault="00FB561B" w:rsidP="00FB561B">
            <w:pPr>
              <w:numPr>
                <w:ilvl w:val="0"/>
                <w:numId w:val="150"/>
              </w:numPr>
            </w:pPr>
            <w:r>
              <w:t>M11 - Agriculture biologique (article 29)</w:t>
            </w:r>
          </w:p>
          <w:p w:rsidR="0035701C" w:rsidRDefault="00FB561B" w:rsidP="00FB561B">
            <w:pPr>
              <w:numPr>
                <w:ilvl w:val="0"/>
                <w:numId w:val="150"/>
              </w:numPr>
            </w:pPr>
            <w:r>
              <w:t>M13 - Paiements en faveur des zones soumises à des contraintes naturelles ou à d'autres contraintes spécifiques (ar</w:t>
            </w:r>
            <w:r>
              <w:t>ticle 31)</w:t>
            </w:r>
          </w:p>
        </w:tc>
      </w:tr>
    </w:tbl>
    <w:p w:rsidR="0035701C" w:rsidRDefault="00FB561B">
      <w:pPr>
        <w:pStyle w:val="Titre5"/>
        <w:rPr>
          <w:b w:val="0"/>
        </w:rPr>
      </w:pPr>
      <w:r>
        <w:rPr>
          <w:b w:val="0"/>
        </w:rPr>
        <w:t>Mesures pour les zones forestières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51"/>
              </w:numPr>
            </w:pPr>
            <w:r>
              <w:t xml:space="preserve">M08 - Investissements dans le développement des zones forestières et amélioration de la viabilité des forêts (articles 21 à 26) </w:t>
            </w:r>
          </w:p>
        </w:tc>
      </w:tr>
    </w:tbl>
    <w:p w:rsidR="0035701C" w:rsidRDefault="00FB561B">
      <w:pPr>
        <w:pStyle w:val="Titre5"/>
      </w:pPr>
      <w:r>
        <w:t>Combinaison et justification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 xml:space="preserve">Ce domaine </w:t>
            </w:r>
            <w:r>
              <w:rPr>
                <w:szCs w:val="24"/>
              </w:rPr>
              <w:t>prioritaire répond aux besoins :</w:t>
            </w:r>
          </w:p>
          <w:p w:rsidR="0035701C" w:rsidRDefault="00FB561B">
            <w:pPr>
              <w:spacing w:before="240" w:after="240"/>
              <w:jc w:val="left"/>
              <w:rPr>
                <w:szCs w:val="24"/>
              </w:rPr>
            </w:pPr>
            <w:r>
              <w:rPr>
                <w:szCs w:val="24"/>
              </w:rPr>
              <w:t>15-Compenser les handicaps naturels</w:t>
            </w:r>
          </w:p>
          <w:p w:rsidR="0035701C" w:rsidRDefault="00FB561B">
            <w:pPr>
              <w:spacing w:before="240" w:after="240"/>
              <w:jc w:val="left"/>
              <w:rPr>
                <w:szCs w:val="24"/>
              </w:rPr>
            </w:pPr>
            <w:r>
              <w:rPr>
                <w:szCs w:val="24"/>
              </w:rPr>
              <w:t>16- contribution de l’agriculture au patrimoine naturel, a la biodiversité</w:t>
            </w:r>
          </w:p>
          <w:p w:rsidR="0035701C" w:rsidRDefault="00FB561B">
            <w:pPr>
              <w:spacing w:before="240" w:after="240"/>
              <w:jc w:val="left"/>
              <w:rPr>
                <w:szCs w:val="24"/>
              </w:rPr>
            </w:pPr>
            <w:r>
              <w:rPr>
                <w:szCs w:val="24"/>
              </w:rPr>
              <w:t>30- Valorisation des ressources locales</w:t>
            </w:r>
          </w:p>
          <w:p w:rsidR="0035701C" w:rsidRDefault="00FB561B">
            <w:pPr>
              <w:spacing w:before="240" w:after="240"/>
              <w:jc w:val="left"/>
              <w:rPr>
                <w:szCs w:val="24"/>
              </w:rPr>
            </w:pPr>
            <w:r>
              <w:rPr>
                <w:szCs w:val="24"/>
              </w:rPr>
              <w:t>32-Préserver le bon état de l'environnement</w:t>
            </w:r>
          </w:p>
          <w:p w:rsidR="0035701C" w:rsidRDefault="00FB561B">
            <w:pPr>
              <w:spacing w:before="240" w:after="240"/>
              <w:jc w:val="left"/>
              <w:rPr>
                <w:szCs w:val="24"/>
              </w:rPr>
            </w:pPr>
            <w:r>
              <w:rPr>
                <w:szCs w:val="24"/>
              </w:rPr>
              <w:t xml:space="preserve">L’approche Natura 2000 sera </w:t>
            </w:r>
            <w:r>
              <w:rPr>
                <w:szCs w:val="24"/>
              </w:rPr>
              <w:t>soutenu par l’investissement pour la préservation de site naturel sensible (7.6.1). La sensibilisation du public à la problématique environnementale fait partie de cette démarche intégré de protection de l’environnement (7.6.4). La mesure de défense forest</w:t>
            </w:r>
            <w:r>
              <w:rPr>
                <w:szCs w:val="24"/>
              </w:rPr>
              <w:t>ière contre l’incendie (8.3) contribue également à ce domaine prioritaire, au travers de la protection des milieux naturels.</w:t>
            </w:r>
          </w:p>
          <w:p w:rsidR="0035701C" w:rsidRDefault="00FB561B">
            <w:pPr>
              <w:spacing w:before="240" w:after="240"/>
              <w:jc w:val="left"/>
              <w:rPr>
                <w:szCs w:val="24"/>
              </w:rPr>
            </w:pPr>
            <w:r>
              <w:rPr>
                <w:szCs w:val="24"/>
              </w:rPr>
              <w:t xml:space="preserve">La mesure 10 est également un des piliers de la politique de préservation de l’environnement du PDRC, principalement les MAEC avec </w:t>
            </w:r>
            <w:r>
              <w:rPr>
                <w:szCs w:val="24"/>
              </w:rPr>
              <w:t>la 10.1. La Biodiversité est également préserver avec la préservation des races menacées (10.1) et l’amélioration du pouvoir pollinisateur de l’abeille.</w:t>
            </w:r>
          </w:p>
          <w:p w:rsidR="0035701C" w:rsidRDefault="00FB561B">
            <w:pPr>
              <w:spacing w:before="240" w:after="240"/>
              <w:jc w:val="left"/>
              <w:rPr>
                <w:szCs w:val="24"/>
              </w:rPr>
            </w:pPr>
            <w:r>
              <w:rPr>
                <w:szCs w:val="24"/>
              </w:rPr>
              <w:t>Le maintien d’une agriculture extensive sur l’ensemble du territoire (13.1 et 13.2) est un enjeu majeur</w:t>
            </w:r>
            <w:r>
              <w:rPr>
                <w:szCs w:val="24"/>
              </w:rPr>
              <w:t xml:space="preserve"> en termes d’ouverture de milieu et de préservation de l’environnement.</w:t>
            </w:r>
          </w:p>
          <w:p w:rsidR="0035701C" w:rsidRDefault="00FB561B">
            <w:pPr>
              <w:spacing w:before="240" w:after="240"/>
              <w:jc w:val="left"/>
              <w:rPr>
                <w:szCs w:val="24"/>
              </w:rPr>
            </w:pPr>
            <w:r>
              <w:rPr>
                <w:szCs w:val="24"/>
              </w:rPr>
              <w:t>Près de 64% du FEADER est affecté au DP 4A. Ce poids peut paraitre élevé, mais il a été estimé finement pour la M13 par le calcul du surcout du différentiel de revenu entre les agricul</w:t>
            </w:r>
            <w:r>
              <w:rPr>
                <w:szCs w:val="24"/>
              </w:rPr>
              <w:t xml:space="preserve">teurs présent en zone de handicap et les autres agriculteurs. La part de ce montant affecté aux MAEC a été déterminé au regard de l’enjeu fort de la préservation de la biodiversité. Concernant les autres mesures, nous nous sommes basé sur notre expérience </w:t>
            </w:r>
            <w:r>
              <w:rPr>
                <w:szCs w:val="24"/>
              </w:rPr>
              <w:t>relative à 2007 2013.</w:t>
            </w:r>
          </w:p>
          <w:p w:rsidR="0035701C" w:rsidRDefault="00FB561B">
            <w:pPr>
              <w:spacing w:before="240" w:after="240"/>
              <w:jc w:val="left"/>
              <w:rPr>
                <w:szCs w:val="24"/>
              </w:rPr>
            </w:pPr>
            <w:r>
              <w:rPr>
                <w:szCs w:val="24"/>
              </w:rPr>
              <w:t>Le niveau d'intervention en faveur des priorités environnementales et du changement climatique est maintenu sur la période de transition 2021-2022 avec un fléchage des fonds sur le soutien aux investissements en faveur du pastoralisme</w:t>
            </w:r>
            <w:r>
              <w:rPr>
                <w:szCs w:val="24"/>
              </w:rPr>
              <w:t xml:space="preserve"> et de l'arboriculture traditionnel de montagne. En effet ces activités contribuent au maintien de secteurs de production favorables au maintien de la biodiversité, de la mosaïque des paysages et de la prévention contre les incendis. La proportion de pâtur</w:t>
            </w:r>
            <w:r>
              <w:rPr>
                <w:szCs w:val="24"/>
              </w:rPr>
              <w:t>ages permanents contribue en outre à renforcer la résilience des productions pastorales vis à vis du changement climatique. Ces nouvelles interventions répondent aux besoins ciblés sur la P_4A (notamment besoins 16, 32).</w:t>
            </w:r>
          </w:p>
          <w:p w:rsidR="0035701C" w:rsidRDefault="0035701C">
            <w:pPr>
              <w:pStyle w:val="Corpsdetexte"/>
            </w:pPr>
          </w:p>
        </w:tc>
      </w:tr>
    </w:tbl>
    <w:p w:rsidR="0035701C" w:rsidRDefault="0035701C"/>
    <w:p w:rsidR="0035701C" w:rsidRDefault="00FB561B">
      <w:pPr>
        <w:pStyle w:val="Titre4"/>
        <w:jc w:val="left"/>
      </w:pPr>
      <w:r>
        <w:t xml:space="preserve">4B) Améliorer la gestion de </w:t>
      </w:r>
      <w:r>
        <w:t>l'eau, y compris la gestion des engrais et des pesticides</w:t>
      </w:r>
    </w:p>
    <w:p w:rsidR="0035701C" w:rsidRDefault="00FB561B">
      <w:pPr>
        <w:pStyle w:val="Titre5"/>
      </w:pPr>
      <w:r>
        <w:t>Mesures pour les terres agricoles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52"/>
              </w:numPr>
            </w:pPr>
            <w:r>
              <w:t>M04 - Investissements physiques (article 17)</w:t>
            </w:r>
          </w:p>
          <w:p w:rsidR="0035701C" w:rsidRDefault="00FB561B" w:rsidP="00FB561B">
            <w:pPr>
              <w:numPr>
                <w:ilvl w:val="0"/>
                <w:numId w:val="152"/>
              </w:numPr>
            </w:pPr>
            <w:r>
              <w:t xml:space="preserve">M07 - Services de base et rénovation des villages dans les zones rurales (article 20) </w:t>
            </w:r>
          </w:p>
          <w:p w:rsidR="0035701C" w:rsidRDefault="00FB561B" w:rsidP="00FB561B">
            <w:pPr>
              <w:numPr>
                <w:ilvl w:val="0"/>
                <w:numId w:val="152"/>
              </w:numPr>
            </w:pPr>
            <w:r>
              <w:t>M10 - Agroenvironnement - climat</w:t>
            </w:r>
            <w:r>
              <w:t xml:space="preserve"> (article 28)</w:t>
            </w:r>
          </w:p>
          <w:p w:rsidR="0035701C" w:rsidRDefault="00FB561B" w:rsidP="00FB561B">
            <w:pPr>
              <w:numPr>
                <w:ilvl w:val="0"/>
                <w:numId w:val="152"/>
              </w:numPr>
            </w:pPr>
            <w:r>
              <w:t>M11 - Agriculture biologique (article 29)</w:t>
            </w:r>
          </w:p>
          <w:p w:rsidR="0035701C" w:rsidRDefault="00FB561B" w:rsidP="00FB561B">
            <w:pPr>
              <w:numPr>
                <w:ilvl w:val="0"/>
                <w:numId w:val="152"/>
              </w:numPr>
            </w:pPr>
            <w:r>
              <w:t>M13 - Paiements en faveur des zones soumises à des contraintes naturelles ou à d'autres contraintes spécifiques (article 31)</w:t>
            </w:r>
          </w:p>
        </w:tc>
      </w:tr>
    </w:tbl>
    <w:p w:rsidR="0035701C" w:rsidRDefault="00FB561B">
      <w:pPr>
        <w:pStyle w:val="Titre5"/>
      </w:pPr>
      <w:r>
        <w:t>Mesures pour les zones forestières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53"/>
              </w:numPr>
            </w:pPr>
            <w:r>
              <w:t xml:space="preserve">M08 - Investissements dans le développement des zones forestières et amélioration de la viabilité des forêts (articles 21 à 26) </w:t>
            </w:r>
          </w:p>
        </w:tc>
      </w:tr>
    </w:tbl>
    <w:p w:rsidR="0035701C" w:rsidRDefault="00FB561B">
      <w:pPr>
        <w:pStyle w:val="Titre5"/>
      </w:pPr>
      <w:r>
        <w:t>Combinaison et justification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Ce domaine prioritaire répond aux besoins :</w:t>
            </w:r>
          </w:p>
          <w:p w:rsidR="0035701C" w:rsidRDefault="00FB561B">
            <w:pPr>
              <w:spacing w:before="240" w:after="240"/>
              <w:jc w:val="left"/>
              <w:rPr>
                <w:szCs w:val="24"/>
              </w:rPr>
            </w:pPr>
            <w:r>
              <w:rPr>
                <w:szCs w:val="24"/>
              </w:rPr>
              <w:t>05- Formation</w:t>
            </w:r>
          </w:p>
          <w:p w:rsidR="0035701C" w:rsidRDefault="00FB561B">
            <w:pPr>
              <w:spacing w:before="240" w:after="240"/>
              <w:jc w:val="left"/>
              <w:rPr>
                <w:szCs w:val="24"/>
              </w:rPr>
            </w:pPr>
            <w:r>
              <w:rPr>
                <w:szCs w:val="24"/>
              </w:rPr>
              <w:t>06-D</w:t>
            </w:r>
            <w:r>
              <w:rPr>
                <w:szCs w:val="24"/>
              </w:rPr>
              <w:t>iffusion R&amp;D</w:t>
            </w:r>
          </w:p>
          <w:p w:rsidR="0035701C" w:rsidRDefault="00FB561B">
            <w:pPr>
              <w:spacing w:before="240" w:after="240"/>
              <w:jc w:val="left"/>
              <w:rPr>
                <w:szCs w:val="24"/>
              </w:rPr>
            </w:pPr>
            <w:r>
              <w:rPr>
                <w:szCs w:val="24"/>
              </w:rPr>
              <w:t>09-Accroître production et la transformation</w:t>
            </w:r>
          </w:p>
          <w:p w:rsidR="0035701C" w:rsidRDefault="00FB561B">
            <w:pPr>
              <w:spacing w:before="240" w:after="240"/>
              <w:jc w:val="left"/>
              <w:rPr>
                <w:szCs w:val="24"/>
              </w:rPr>
            </w:pPr>
            <w:r>
              <w:rPr>
                <w:szCs w:val="24"/>
              </w:rPr>
              <w:t>16-Valorisation du patrimoine naturel, de la biodiversité</w:t>
            </w:r>
          </w:p>
          <w:p w:rsidR="0035701C" w:rsidRDefault="00FB561B">
            <w:pPr>
              <w:spacing w:before="240" w:after="240"/>
              <w:jc w:val="left"/>
              <w:rPr>
                <w:szCs w:val="24"/>
              </w:rPr>
            </w:pPr>
            <w:r>
              <w:rPr>
                <w:szCs w:val="24"/>
              </w:rPr>
              <w:t>19-Démarches de qualité</w:t>
            </w:r>
          </w:p>
          <w:p w:rsidR="0035701C" w:rsidRDefault="00FB561B">
            <w:pPr>
              <w:spacing w:before="240" w:after="240"/>
              <w:jc w:val="left"/>
              <w:rPr>
                <w:szCs w:val="24"/>
              </w:rPr>
            </w:pPr>
            <w:r>
              <w:rPr>
                <w:szCs w:val="24"/>
              </w:rPr>
              <w:t>32-Environnement et incendie</w:t>
            </w:r>
          </w:p>
          <w:p w:rsidR="0035701C" w:rsidRDefault="00FB561B">
            <w:pPr>
              <w:spacing w:before="240" w:after="240"/>
              <w:jc w:val="left"/>
              <w:rPr>
                <w:szCs w:val="24"/>
              </w:rPr>
            </w:pPr>
            <w:r>
              <w:rPr>
                <w:szCs w:val="24"/>
              </w:rPr>
              <w:t>Afin de répondre à cette priorité, la Corse a choisie de mettre principalement en œuvre</w:t>
            </w:r>
            <w:r>
              <w:rPr>
                <w:szCs w:val="24"/>
              </w:rPr>
              <w:t xml:space="preserve"> l’enjeu « eau » identifié en Corse pour les MAEC (10.1). Bien que l’état des masses d’eau en Corse soit satisfaisant, il nous apparait comme essentiel d’inciter les agriculteurs à limiter les pratiques ayant un impact potentiellement négatif sur la qualit</w:t>
            </w:r>
            <w:r>
              <w:rPr>
                <w:szCs w:val="24"/>
              </w:rPr>
              <w:t>é de l’eau. Il convient également de contribuer au maintien et à l’atteinte des objectifs environnementaux de la DCE, dans le respect des orientations du SDAGE de Corse.</w:t>
            </w:r>
          </w:p>
          <w:p w:rsidR="0035701C" w:rsidRDefault="00FB561B">
            <w:pPr>
              <w:spacing w:before="240" w:after="240"/>
              <w:jc w:val="left"/>
              <w:rPr>
                <w:szCs w:val="24"/>
              </w:rPr>
            </w:pPr>
            <w:r>
              <w:rPr>
                <w:szCs w:val="24"/>
              </w:rPr>
              <w:t xml:space="preserve">L’impact de l’agriculture biologique sur la qualité de l’environnement en générale et </w:t>
            </w:r>
            <w:r>
              <w:rPr>
                <w:szCs w:val="24"/>
              </w:rPr>
              <w:t>de l’eau en particulier est également reconnu. C’est pourquoi nous nous appuierons sur les paiements liés à l’agriculture biologique (11.1 et 11.2).</w:t>
            </w:r>
          </w:p>
          <w:p w:rsidR="0035701C" w:rsidRDefault="00FB561B">
            <w:pPr>
              <w:spacing w:before="240" w:after="240"/>
              <w:jc w:val="left"/>
              <w:rPr>
                <w:szCs w:val="24"/>
              </w:rPr>
            </w:pPr>
            <w:r>
              <w:rPr>
                <w:szCs w:val="24"/>
              </w:rPr>
              <w:t>Des formations spécifiques destinées aux exploitants agricoles seront également ciblées sur ce domaine prio</w:t>
            </w:r>
            <w:r>
              <w:rPr>
                <w:szCs w:val="24"/>
              </w:rPr>
              <w:t>ritaire en mobilisant la mesure 1.</w:t>
            </w:r>
          </w:p>
          <w:p w:rsidR="0035701C" w:rsidRDefault="00FB561B">
            <w:pPr>
              <w:spacing w:before="240" w:after="240"/>
              <w:jc w:val="left"/>
              <w:rPr>
                <w:szCs w:val="24"/>
              </w:rPr>
            </w:pPr>
            <w:r>
              <w:rPr>
                <w:szCs w:val="24"/>
              </w:rPr>
              <w:t>Le maintien d’une agriculture extensive sur l’ensemble du territoire (13.1 et 13.2) est un enjeu majeur en termes d’ouverture de milieu et de préservation de l’environnement y compris de l’eau.</w:t>
            </w:r>
          </w:p>
          <w:p w:rsidR="0035701C" w:rsidRDefault="00FB561B">
            <w:pPr>
              <w:spacing w:before="240" w:after="240"/>
              <w:jc w:val="left"/>
              <w:rPr>
                <w:szCs w:val="24"/>
              </w:rPr>
            </w:pPr>
            <w:r>
              <w:rPr>
                <w:szCs w:val="24"/>
              </w:rPr>
              <w:t xml:space="preserve">Près de 4% du FEADER est </w:t>
            </w:r>
            <w:r>
              <w:rPr>
                <w:szCs w:val="24"/>
              </w:rPr>
              <w:t>affecté au DP 4B. Ce montant a pu être finement estimé relativement à notre expérience relative à 2007-2013. Les montants affectés à la priorité 4A participe également indirectement à la qualité de l’eau.</w:t>
            </w:r>
          </w:p>
          <w:p w:rsidR="0035701C" w:rsidRDefault="00FB561B">
            <w:pPr>
              <w:spacing w:before="240" w:after="240"/>
              <w:jc w:val="left"/>
              <w:rPr>
                <w:szCs w:val="24"/>
              </w:rPr>
            </w:pPr>
            <w:r>
              <w:rPr>
                <w:szCs w:val="24"/>
              </w:rPr>
              <w:t>L’indicateur cible T10 du DP 4B) (pourcentage des t</w:t>
            </w:r>
            <w:r>
              <w:rPr>
                <w:szCs w:val="24"/>
              </w:rPr>
              <w:t>erres agricoles sous contrats de gestion visant à améliorer la gestion de l’eau) est estimé à 1.11%. Ce taux peut paraitre faible rapporté à la SAU totale de la Corse. Mais il doit être comparé au surface sur lesquelles ce type d’engagement peuvent être pr</w:t>
            </w:r>
            <w:r>
              <w:rPr>
                <w:szCs w:val="24"/>
              </w:rPr>
              <w:t>is (essentiellement vigne, arboriculture et maraichage). Les données de réalisation de la programmation 2007-2013 ont été utilisées pour estimer cette cible, mises au regard de la dépense publique totale envisagée sur cette opération sur la période 2014-20</w:t>
            </w:r>
            <w:r>
              <w:rPr>
                <w:szCs w:val="24"/>
              </w:rPr>
              <w:t>20.</w:t>
            </w:r>
          </w:p>
          <w:p w:rsidR="0035701C" w:rsidRDefault="0035701C">
            <w:pPr>
              <w:pStyle w:val="Corpsdetexte"/>
            </w:pPr>
          </w:p>
        </w:tc>
      </w:tr>
    </w:tbl>
    <w:p w:rsidR="0035701C" w:rsidRDefault="0035701C"/>
    <w:p w:rsidR="0035701C" w:rsidRDefault="00FB561B">
      <w:pPr>
        <w:pStyle w:val="Titre4"/>
        <w:jc w:val="left"/>
      </w:pPr>
      <w:r>
        <w:t>4C) Prévenir l'érosion des sols et améliorer la gestion des sols</w:t>
      </w:r>
    </w:p>
    <w:p w:rsidR="0035701C" w:rsidRDefault="00FB561B">
      <w:pPr>
        <w:pStyle w:val="Titre5"/>
      </w:pPr>
      <w:r>
        <w:t>Mesures pour les terres agricoles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54"/>
              </w:numPr>
            </w:pPr>
            <w:r>
              <w:t>M04 - Investissements physiques (article 17)</w:t>
            </w:r>
          </w:p>
          <w:p w:rsidR="0035701C" w:rsidRDefault="00FB561B" w:rsidP="00FB561B">
            <w:pPr>
              <w:numPr>
                <w:ilvl w:val="0"/>
                <w:numId w:val="154"/>
              </w:numPr>
            </w:pPr>
            <w:r>
              <w:t xml:space="preserve">M07 - Services de base et rénovation des villages dans les zones rurales (article 20) </w:t>
            </w:r>
          </w:p>
          <w:p w:rsidR="0035701C" w:rsidRDefault="00FB561B" w:rsidP="00FB561B">
            <w:pPr>
              <w:numPr>
                <w:ilvl w:val="0"/>
                <w:numId w:val="154"/>
              </w:numPr>
            </w:pPr>
            <w:r>
              <w:t xml:space="preserve">M10 - </w:t>
            </w:r>
            <w:r>
              <w:t>Agroenvironnement - climat (article 28)</w:t>
            </w:r>
          </w:p>
          <w:p w:rsidR="0035701C" w:rsidRDefault="00FB561B" w:rsidP="00FB561B">
            <w:pPr>
              <w:numPr>
                <w:ilvl w:val="0"/>
                <w:numId w:val="154"/>
              </w:numPr>
            </w:pPr>
            <w:r>
              <w:t>M11 - Agriculture biologique (article 29)</w:t>
            </w:r>
          </w:p>
          <w:p w:rsidR="0035701C" w:rsidRDefault="00FB561B" w:rsidP="00FB561B">
            <w:pPr>
              <w:numPr>
                <w:ilvl w:val="0"/>
                <w:numId w:val="154"/>
              </w:numPr>
            </w:pPr>
            <w:r>
              <w:t>M13 - Paiements en faveur des zones soumises à des contraintes naturelles ou à d'autres contraintes spécifiques (article 31)</w:t>
            </w:r>
          </w:p>
        </w:tc>
      </w:tr>
    </w:tbl>
    <w:p w:rsidR="0035701C" w:rsidRDefault="00FB561B">
      <w:pPr>
        <w:pStyle w:val="Titre5"/>
      </w:pPr>
      <w:r>
        <w:t>Mesures pour les zones forestières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55"/>
              </w:numPr>
            </w:pPr>
            <w:r>
              <w:t xml:space="preserve">M08 - Investissements dans le développement des zones forestières et amélioration de la viabilité des forêts (articles 21 à 26) </w:t>
            </w:r>
          </w:p>
        </w:tc>
      </w:tr>
    </w:tbl>
    <w:p w:rsidR="0035701C" w:rsidRDefault="00FB561B">
      <w:pPr>
        <w:pStyle w:val="Titre5"/>
      </w:pPr>
      <w:r>
        <w:t>Combinaison et justification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Ce domaine prioritaire répond aux besoins :</w:t>
            </w:r>
          </w:p>
          <w:p w:rsidR="0035701C" w:rsidRDefault="00FB561B">
            <w:pPr>
              <w:spacing w:before="240" w:after="240"/>
              <w:jc w:val="left"/>
              <w:rPr>
                <w:szCs w:val="24"/>
              </w:rPr>
            </w:pPr>
            <w:r>
              <w:rPr>
                <w:szCs w:val="24"/>
              </w:rPr>
              <w:t>02 Mobiliser le fo</w:t>
            </w:r>
            <w:r>
              <w:rPr>
                <w:szCs w:val="24"/>
              </w:rPr>
              <w:t>ncier</w:t>
            </w:r>
          </w:p>
          <w:p w:rsidR="0035701C" w:rsidRDefault="00FB561B">
            <w:pPr>
              <w:spacing w:before="240" w:after="240"/>
              <w:jc w:val="left"/>
              <w:rPr>
                <w:szCs w:val="24"/>
              </w:rPr>
            </w:pPr>
            <w:r>
              <w:rPr>
                <w:szCs w:val="24"/>
              </w:rPr>
              <w:t>03 Equiper le foncier</w:t>
            </w:r>
          </w:p>
          <w:p w:rsidR="0035701C" w:rsidRDefault="00FB561B">
            <w:pPr>
              <w:spacing w:before="240" w:after="240"/>
              <w:jc w:val="left"/>
              <w:rPr>
                <w:szCs w:val="24"/>
              </w:rPr>
            </w:pPr>
            <w:r>
              <w:rPr>
                <w:szCs w:val="24"/>
              </w:rPr>
              <w:t>08 Revenu des agriculteurs</w:t>
            </w:r>
          </w:p>
          <w:p w:rsidR="0035701C" w:rsidRDefault="00FB561B">
            <w:pPr>
              <w:spacing w:before="240" w:after="240"/>
              <w:jc w:val="left"/>
              <w:rPr>
                <w:szCs w:val="24"/>
              </w:rPr>
            </w:pPr>
            <w:r>
              <w:rPr>
                <w:szCs w:val="24"/>
              </w:rPr>
              <w:t>09 Production et la transformation</w:t>
            </w:r>
          </w:p>
          <w:p w:rsidR="0035701C" w:rsidRDefault="00FB561B">
            <w:pPr>
              <w:spacing w:before="240" w:after="240"/>
              <w:jc w:val="left"/>
              <w:rPr>
                <w:szCs w:val="24"/>
              </w:rPr>
            </w:pPr>
            <w:r>
              <w:rPr>
                <w:szCs w:val="24"/>
              </w:rPr>
              <w:t>10 Moderniser les exploitations</w:t>
            </w:r>
          </w:p>
          <w:p w:rsidR="0035701C" w:rsidRDefault="00FB561B">
            <w:pPr>
              <w:spacing w:before="240" w:after="240"/>
              <w:jc w:val="left"/>
              <w:rPr>
                <w:szCs w:val="24"/>
              </w:rPr>
            </w:pPr>
            <w:r>
              <w:rPr>
                <w:szCs w:val="24"/>
              </w:rPr>
              <w:t>13 Unités d’élevage et parcours pastoraux</w:t>
            </w:r>
          </w:p>
          <w:p w:rsidR="0035701C" w:rsidRDefault="00FB561B">
            <w:pPr>
              <w:spacing w:before="240" w:after="240"/>
              <w:jc w:val="left"/>
              <w:rPr>
                <w:szCs w:val="24"/>
              </w:rPr>
            </w:pPr>
            <w:r>
              <w:rPr>
                <w:szCs w:val="24"/>
              </w:rPr>
              <w:t>14 Cultures pérennes</w:t>
            </w:r>
          </w:p>
          <w:p w:rsidR="0035701C" w:rsidRDefault="00FB561B">
            <w:pPr>
              <w:spacing w:before="240" w:after="240"/>
              <w:jc w:val="left"/>
              <w:rPr>
                <w:szCs w:val="24"/>
              </w:rPr>
            </w:pPr>
            <w:r>
              <w:rPr>
                <w:szCs w:val="24"/>
              </w:rPr>
              <w:t>16 Patrimoine naturel et biodiversité</w:t>
            </w:r>
          </w:p>
          <w:p w:rsidR="0035701C" w:rsidRDefault="00FB561B">
            <w:pPr>
              <w:spacing w:before="240" w:after="240"/>
              <w:jc w:val="left"/>
              <w:rPr>
                <w:szCs w:val="24"/>
              </w:rPr>
            </w:pPr>
            <w:r>
              <w:rPr>
                <w:szCs w:val="24"/>
              </w:rPr>
              <w:t>32 Environnement et incendie</w:t>
            </w:r>
          </w:p>
          <w:p w:rsidR="0035701C" w:rsidRDefault="00FB561B">
            <w:pPr>
              <w:spacing w:before="240" w:after="240"/>
              <w:jc w:val="left"/>
              <w:rPr>
                <w:szCs w:val="24"/>
              </w:rPr>
            </w:pPr>
            <w:r>
              <w:rPr>
                <w:szCs w:val="24"/>
              </w:rPr>
              <w:t xml:space="preserve">Ce </w:t>
            </w:r>
            <w:r>
              <w:rPr>
                <w:szCs w:val="24"/>
              </w:rPr>
              <w:t>domaine prioritaire est essentiellement couvert par la mise en œuvre de l’enjeu « sol » identifié en Corse pour les MAEC (10.1), notamment en ce qui concerne les techniques de travail du sol, et les modalités de gestion des pâturages et des cultures.</w:t>
            </w:r>
          </w:p>
          <w:p w:rsidR="0035701C" w:rsidRDefault="00FB561B">
            <w:pPr>
              <w:spacing w:before="240" w:after="240"/>
              <w:jc w:val="left"/>
              <w:rPr>
                <w:szCs w:val="24"/>
              </w:rPr>
            </w:pPr>
            <w:r>
              <w:rPr>
                <w:szCs w:val="24"/>
              </w:rPr>
              <w:t>D’aut</w:t>
            </w:r>
            <w:r>
              <w:rPr>
                <w:szCs w:val="24"/>
              </w:rPr>
              <w:t>res mesures contribuent indirectement à ce domaine prioritaire, puisque cet objectif est pris en compte dans les critères des opérations 4.1.2 relatives à la mise en valeur agricole.</w:t>
            </w:r>
          </w:p>
          <w:p w:rsidR="0035701C" w:rsidRDefault="00FB561B">
            <w:pPr>
              <w:spacing w:before="240" w:after="240"/>
              <w:jc w:val="left"/>
              <w:rPr>
                <w:szCs w:val="24"/>
              </w:rPr>
            </w:pPr>
            <w:r>
              <w:rPr>
                <w:szCs w:val="24"/>
              </w:rPr>
              <w:t>Il est également pris en compte dans les opérations liées à la protection</w:t>
            </w:r>
            <w:r>
              <w:rPr>
                <w:szCs w:val="24"/>
              </w:rPr>
              <w:t xml:space="preserve"> incendie (8.3)  et opérations sylvicoles (8.5).</w:t>
            </w:r>
          </w:p>
          <w:p w:rsidR="0035701C" w:rsidRDefault="00FB561B">
            <w:pPr>
              <w:spacing w:before="240" w:after="240"/>
              <w:jc w:val="left"/>
              <w:rPr>
                <w:szCs w:val="24"/>
              </w:rPr>
            </w:pPr>
            <w:r>
              <w:rPr>
                <w:szCs w:val="24"/>
              </w:rPr>
              <w:t>Les actions de formations (1.1) pourront également concerner la protection et la gestion des sols.</w:t>
            </w:r>
          </w:p>
          <w:p w:rsidR="0035701C" w:rsidRDefault="00FB561B">
            <w:pPr>
              <w:spacing w:before="240" w:after="240"/>
              <w:jc w:val="left"/>
              <w:rPr>
                <w:szCs w:val="24"/>
              </w:rPr>
            </w:pPr>
            <w:r>
              <w:rPr>
                <w:szCs w:val="24"/>
              </w:rPr>
              <w:t xml:space="preserve">L’impact de l’agriculture biologique sur la qualité de l’environnement en générale et du sol en particulier </w:t>
            </w:r>
            <w:r>
              <w:rPr>
                <w:szCs w:val="24"/>
              </w:rPr>
              <w:t>est également reconnu. C’est pourquoi nous nous appuierons sur les paiements liés à l’agriculture biologique (11.1 et 11.2).</w:t>
            </w:r>
          </w:p>
          <w:p w:rsidR="0035701C" w:rsidRDefault="00FB561B">
            <w:pPr>
              <w:spacing w:before="240" w:after="240"/>
              <w:jc w:val="left"/>
              <w:rPr>
                <w:szCs w:val="24"/>
              </w:rPr>
            </w:pPr>
            <w:r>
              <w:rPr>
                <w:szCs w:val="24"/>
              </w:rPr>
              <w:t>Le maintien d’une agriculture extensive sur l’ensemble du territoire (13.1 et 13.2) est un enjeu majeur en termes d’ouverture de mi</w:t>
            </w:r>
            <w:r>
              <w:rPr>
                <w:szCs w:val="24"/>
              </w:rPr>
              <w:t>lieu et de préservation de l’environnement et de préservation des sols.</w:t>
            </w:r>
          </w:p>
          <w:p w:rsidR="0035701C" w:rsidRDefault="00FB561B">
            <w:pPr>
              <w:spacing w:before="240" w:after="240"/>
              <w:jc w:val="left"/>
              <w:rPr>
                <w:szCs w:val="24"/>
              </w:rPr>
            </w:pPr>
            <w:r>
              <w:rPr>
                <w:szCs w:val="24"/>
              </w:rPr>
              <w:t>Les actions Natura 2000 conduite sur la mesure 7 (7.6.2 et 7.2) peuvent également avoir un impact positif sur la qualité de l’eau.</w:t>
            </w:r>
          </w:p>
          <w:p w:rsidR="0035701C" w:rsidRDefault="00FB561B">
            <w:pPr>
              <w:spacing w:before="240" w:after="240"/>
              <w:jc w:val="left"/>
              <w:rPr>
                <w:szCs w:val="24"/>
              </w:rPr>
            </w:pPr>
            <w:r>
              <w:rPr>
                <w:szCs w:val="24"/>
              </w:rPr>
              <w:t>Seulement  1% du FEADER est affecté au DP 4C. Ce mont</w:t>
            </w:r>
            <w:r>
              <w:rPr>
                <w:szCs w:val="24"/>
              </w:rPr>
              <w:t>ant a pu être finement estimé relativement à notre expérience relative à 2007 2013. Les montants affectés à la priorité 4A et 4B participe également indirectement à la qualité du sol.</w:t>
            </w:r>
          </w:p>
          <w:p w:rsidR="0035701C" w:rsidRDefault="00FB561B">
            <w:pPr>
              <w:spacing w:before="240" w:after="240"/>
              <w:jc w:val="left"/>
              <w:rPr>
                <w:szCs w:val="24"/>
              </w:rPr>
            </w:pPr>
            <w:r>
              <w:rPr>
                <w:szCs w:val="24"/>
              </w:rPr>
              <w:t xml:space="preserve">L’indicateur cible T12 du DP 4C) (pourcentage des terres agricoles sous </w:t>
            </w:r>
            <w:r>
              <w:rPr>
                <w:szCs w:val="24"/>
              </w:rPr>
              <w:t xml:space="preserve">contrats de gestion visant à améliorer la gestion des sols et/ou à prévenir l’érosion des sols) est estimé à 1 %. Ce taux peut paraitre faible rapporté à la SAU totale de la Corse. Mais il doit être comparé aux surfaces sur lesquelles ce type d’engagement </w:t>
            </w:r>
            <w:r>
              <w:rPr>
                <w:szCs w:val="24"/>
              </w:rPr>
              <w:t>peut être souscrit. Les données de réalisation de la programmation 2007-2013 ont été utilisées pour estimer cette cible, mises au regard de la dépense publique totale envisagée sur cette opération sur la période 2014-2020.</w:t>
            </w:r>
          </w:p>
          <w:p w:rsidR="0035701C" w:rsidRDefault="0035701C">
            <w:pPr>
              <w:pStyle w:val="Corpsdetexte"/>
            </w:pPr>
          </w:p>
        </w:tc>
      </w:tr>
    </w:tbl>
    <w:p w:rsidR="0035701C" w:rsidRDefault="0035701C"/>
    <w:p w:rsidR="0035701C" w:rsidRDefault="00FB561B">
      <w:pPr>
        <w:pStyle w:val="Titre3"/>
        <w:jc w:val="left"/>
      </w:pPr>
      <w:bookmarkStart w:id="78" w:name="_Toc256000077"/>
      <w:r>
        <w:t>P5: promouvoir l’utilisation e</w:t>
      </w:r>
      <w:r>
        <w:t>fficace des ressources et soutenir la transition vers une économie à faibles émissions de CO2 et résiliente aux changements climatiques, dans les secteurs agricole et alimentaire ainsi que dans le secteur de la foresterie</w:t>
      </w:r>
      <w:bookmarkEnd w:id="78"/>
    </w:p>
    <w:p w:rsidR="0035701C" w:rsidRDefault="00FB561B">
      <w:pPr>
        <w:pStyle w:val="Titre4"/>
        <w:jc w:val="left"/>
      </w:pPr>
      <w:r>
        <w:t>5A) Développer l'utilisation effic</w:t>
      </w:r>
      <w:r>
        <w:t>ace de l'eau dans l'agriculture</w:t>
      </w:r>
    </w:p>
    <w:p w:rsidR="0035701C" w:rsidRDefault="00FB561B">
      <w:pPr>
        <w:pStyle w:val="Titre5"/>
        <w:rPr>
          <w:b w:val="0"/>
        </w:rPr>
      </w:pPr>
      <w:r>
        <w:rPr>
          <w:b w:val="0"/>
        </w:rPr>
        <w:t>Choix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56"/>
              </w:numPr>
            </w:pPr>
            <w:r>
              <w:t>M04 - Investissements physiques (article 17)</w:t>
            </w:r>
          </w:p>
        </w:tc>
      </w:tr>
    </w:tbl>
    <w:p w:rsidR="0035701C" w:rsidRDefault="00FB561B">
      <w:pPr>
        <w:pStyle w:val="Titre5"/>
      </w:pPr>
      <w:r>
        <w:t>Combinaison et justification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Ce domaine prioritaire répond aux besoins :</w:t>
            </w:r>
          </w:p>
          <w:p w:rsidR="0035701C" w:rsidRDefault="00FB561B">
            <w:pPr>
              <w:spacing w:before="240" w:after="240"/>
              <w:jc w:val="left"/>
              <w:rPr>
                <w:szCs w:val="24"/>
              </w:rPr>
            </w:pPr>
            <w:r>
              <w:rPr>
                <w:szCs w:val="24"/>
              </w:rPr>
              <w:t xml:space="preserve">03-Equiper le foncier </w:t>
            </w:r>
            <w:r>
              <w:rPr>
                <w:szCs w:val="24"/>
              </w:rPr>
              <w:t>agricole, forestier et rural</w:t>
            </w:r>
          </w:p>
          <w:p w:rsidR="0035701C" w:rsidRDefault="00FB561B">
            <w:pPr>
              <w:spacing w:before="240" w:after="240"/>
              <w:jc w:val="left"/>
              <w:rPr>
                <w:szCs w:val="24"/>
              </w:rPr>
            </w:pPr>
            <w:r>
              <w:rPr>
                <w:szCs w:val="24"/>
              </w:rPr>
              <w:t>10-Moderniser les infrastructures des exploitations</w:t>
            </w:r>
          </w:p>
          <w:p w:rsidR="0035701C" w:rsidRDefault="00FB561B">
            <w:pPr>
              <w:spacing w:before="240" w:after="240"/>
              <w:jc w:val="left"/>
              <w:rPr>
                <w:szCs w:val="24"/>
              </w:rPr>
            </w:pPr>
            <w:r>
              <w:rPr>
                <w:szCs w:val="24"/>
              </w:rPr>
              <w:t>16-Accroître la contribution de l’agriculture à la valorisation du patrimoine naturel, au maintien de la biodiversité</w:t>
            </w:r>
          </w:p>
          <w:p w:rsidR="0035701C" w:rsidRDefault="00FB561B">
            <w:pPr>
              <w:spacing w:before="240" w:after="240"/>
              <w:jc w:val="left"/>
              <w:rPr>
                <w:szCs w:val="24"/>
              </w:rPr>
            </w:pPr>
            <w:r>
              <w:rPr>
                <w:szCs w:val="24"/>
              </w:rPr>
              <w:t>32-Préserver le bon état de l'environnement, assurer le r</w:t>
            </w:r>
            <w:r>
              <w:rPr>
                <w:szCs w:val="24"/>
              </w:rPr>
              <w:t>enouvellement des ressources naturelles et prévenir le risque incendie</w:t>
            </w:r>
          </w:p>
          <w:p w:rsidR="0035701C" w:rsidRDefault="00FB561B">
            <w:pPr>
              <w:spacing w:before="240" w:after="240"/>
              <w:jc w:val="left"/>
              <w:rPr>
                <w:szCs w:val="24"/>
              </w:rPr>
            </w:pPr>
            <w:r>
              <w:rPr>
                <w:szCs w:val="24"/>
              </w:rPr>
              <w:t>Ce domaine prioritaire est essentiellement abordé au travers des exigences environnementales relatives aux investissements des infrastructures de développement agricole (4.3.3), pour ce</w:t>
            </w:r>
            <w:r>
              <w:rPr>
                <w:szCs w:val="24"/>
              </w:rPr>
              <w:t xml:space="preserve"> qui concerne les adductions et stockage de l’eau.</w:t>
            </w:r>
          </w:p>
          <w:p w:rsidR="0035701C" w:rsidRDefault="00FB561B">
            <w:pPr>
              <w:spacing w:before="240" w:after="240"/>
              <w:jc w:val="left"/>
              <w:rPr>
                <w:szCs w:val="24"/>
              </w:rPr>
            </w:pPr>
            <w:r>
              <w:rPr>
                <w:szCs w:val="24"/>
              </w:rPr>
              <w:t>La mobilisation des ressources hydriques doit concourir à une sécurisation du potentiel de production dans les plaines littorales et les basses vallées des principaux fleuves et la revitalisation du secteu</w:t>
            </w:r>
            <w:r>
              <w:rPr>
                <w:szCs w:val="24"/>
              </w:rPr>
              <w:t>r agricole dans l’intérieur de l’île.</w:t>
            </w:r>
          </w:p>
          <w:p w:rsidR="0035701C" w:rsidRDefault="00FB561B" w:rsidP="00FB561B">
            <w:pPr>
              <w:numPr>
                <w:ilvl w:val="0"/>
                <w:numId w:val="157"/>
              </w:numPr>
              <w:spacing w:before="240" w:after="0"/>
              <w:ind w:hanging="210"/>
              <w:jc w:val="left"/>
              <w:rPr>
                <w:szCs w:val="24"/>
              </w:rPr>
            </w:pPr>
            <w:r>
              <w:rPr>
                <w:szCs w:val="24"/>
              </w:rPr>
              <w:t>Sur la partie littorale de l’île, notamment sur la plaine orientale de l’île, les possibilités de desserte en eau reposent sur une capacité totale maximale de stockage ne dépassant pas 2% de la pluviométrie annuelle.</w:t>
            </w:r>
          </w:p>
          <w:p w:rsidR="0035701C" w:rsidRDefault="00FB561B" w:rsidP="00FB561B">
            <w:pPr>
              <w:numPr>
                <w:ilvl w:val="0"/>
                <w:numId w:val="157"/>
              </w:numPr>
              <w:spacing w:before="0" w:after="240"/>
              <w:ind w:hanging="210"/>
              <w:jc w:val="left"/>
              <w:rPr>
                <w:szCs w:val="24"/>
              </w:rPr>
            </w:pPr>
            <w:r>
              <w:rPr>
                <w:szCs w:val="24"/>
              </w:rPr>
              <w:t> Dans l’intérieur, les territoires sont peu équipés. Dans un contexte de changement climatique, la création de nouveaux périmètres irrigués passe par la création de nouvelles capacités de stockage et la mobilisation de ressources non conventionnelles.</w:t>
            </w:r>
          </w:p>
          <w:p w:rsidR="0035701C" w:rsidRDefault="00FB561B">
            <w:pPr>
              <w:spacing w:before="240" w:after="240"/>
              <w:jc w:val="left"/>
              <w:rPr>
                <w:szCs w:val="24"/>
              </w:rPr>
            </w:pPr>
            <w:r>
              <w:rPr>
                <w:szCs w:val="24"/>
              </w:rPr>
              <w:t>La m</w:t>
            </w:r>
            <w:r>
              <w:rPr>
                <w:szCs w:val="24"/>
              </w:rPr>
              <w:t>obilisation et l’utilisation de la ressource hydrique doit se faire en adoptant le principe d’une gestion durable et concertée intégrant les effets induits par le changement climatique, notamment dans un souci de rationalisation et d’optimisation des volum</w:t>
            </w:r>
            <w:r>
              <w:rPr>
                <w:szCs w:val="24"/>
              </w:rPr>
              <w:t>es d’eau consommés.</w:t>
            </w:r>
          </w:p>
          <w:p w:rsidR="0035701C" w:rsidRDefault="00FB561B">
            <w:pPr>
              <w:spacing w:before="240" w:after="240"/>
              <w:jc w:val="left"/>
              <w:rPr>
                <w:szCs w:val="24"/>
              </w:rPr>
            </w:pPr>
            <w:r>
              <w:rPr>
                <w:szCs w:val="24"/>
              </w:rPr>
              <w:t>Seulement  160 000€ de FEADER est affecté au DP 5A. L’indicateur cible T14  est estimé à 40ha. Ces chiffres sont estimés relativement à l'historique de 2007 2013.</w:t>
            </w:r>
          </w:p>
          <w:p w:rsidR="0035701C" w:rsidRDefault="0035701C">
            <w:pPr>
              <w:pStyle w:val="Corpsdetexte"/>
            </w:pPr>
          </w:p>
        </w:tc>
      </w:tr>
    </w:tbl>
    <w:p w:rsidR="0035701C" w:rsidRDefault="0035701C"/>
    <w:p w:rsidR="0035701C" w:rsidRDefault="00FB561B">
      <w:pPr>
        <w:pStyle w:val="Titre4"/>
        <w:jc w:val="left"/>
      </w:pPr>
      <w:r>
        <w:t xml:space="preserve">5B) Développer l'utilisation efficace de l'énergie dans l'agriculture </w:t>
      </w:r>
      <w:r>
        <w:t>et la transformation alimentaire</w:t>
      </w:r>
    </w:p>
    <w:p w:rsidR="0035701C" w:rsidRDefault="00FB561B">
      <w:pPr>
        <w:pStyle w:val="Titre5"/>
      </w:pPr>
      <w:r>
        <w:t>Choix des mesures de développement rural</w:t>
      </w:r>
    </w:p>
    <w:p w:rsidR="0035701C" w:rsidRDefault="00FB561B">
      <w:pPr>
        <w:pStyle w:val="Titre5"/>
      </w:pPr>
      <w:r>
        <w:t>Combinaison et justification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Cette priorité n'est pas retenue pour le PDRC.</w:t>
            </w:r>
          </w:p>
          <w:p w:rsidR="0035701C" w:rsidRDefault="00FB561B">
            <w:pPr>
              <w:spacing w:before="240" w:after="240"/>
              <w:jc w:val="left"/>
              <w:rPr>
                <w:szCs w:val="24"/>
              </w:rPr>
            </w:pPr>
            <w:r>
              <w:rPr>
                <w:szCs w:val="24"/>
              </w:rPr>
              <w:t>En effet, l'agriculture Corse n'est que faiblement consommatrice d'éner</w:t>
            </w:r>
            <w:r>
              <w:rPr>
                <w:szCs w:val="24"/>
              </w:rPr>
              <w:t>gie.  En Corse, seul 33,34 ktep/ha sont utilisé, contre 86,51 pour la France et 66,84 pour l'UE (IC44). Les enjeux en termes d'utilisation efficace de l'énergie dans l'agriculture sont faibles. Pour ces raisons, le DP 5B ne sera pas traité par le FEADER.</w:t>
            </w:r>
          </w:p>
          <w:p w:rsidR="0035701C" w:rsidRDefault="00FB561B">
            <w:pPr>
              <w:spacing w:before="240" w:after="240"/>
              <w:jc w:val="left"/>
              <w:rPr>
                <w:szCs w:val="24"/>
              </w:rPr>
            </w:pPr>
            <w:r>
              <w:rPr>
                <w:szCs w:val="24"/>
              </w:rPr>
              <w:t>Cependant,  en fonction des lignes de partage établies, les dispositifs nationaux ou liés à la mise en œuvre du FEDER pourront contribuer à cet objectif.</w:t>
            </w:r>
          </w:p>
          <w:p w:rsidR="0035701C" w:rsidRDefault="0035701C">
            <w:pPr>
              <w:pStyle w:val="Corpsdetexte"/>
            </w:pPr>
          </w:p>
        </w:tc>
      </w:tr>
    </w:tbl>
    <w:p w:rsidR="0035701C" w:rsidRDefault="0035701C"/>
    <w:p w:rsidR="0035701C" w:rsidRDefault="00FB561B">
      <w:pPr>
        <w:pStyle w:val="Titre4"/>
        <w:jc w:val="left"/>
      </w:pPr>
      <w:r>
        <w:t xml:space="preserve">5C) Faciliter la fourniture et l'utilisation de sources d'énergie renouvelables, de sous-produits, </w:t>
      </w:r>
      <w:r>
        <w:t>des déchets, des résidus et d'autres matières premières non alimentaires à des fins de bioéconomie</w:t>
      </w:r>
    </w:p>
    <w:p w:rsidR="0035701C" w:rsidRDefault="00FB561B">
      <w:pPr>
        <w:pStyle w:val="Titre5"/>
      </w:pPr>
      <w:r>
        <w:t>Choix des mesures de développement rural</w:t>
      </w:r>
    </w:p>
    <w:p w:rsidR="0035701C" w:rsidRDefault="00FB561B">
      <w:pPr>
        <w:pStyle w:val="Titre5"/>
      </w:pPr>
      <w:r>
        <w:t>Combinaison et justification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Le programme ne contribue pas directement à ce domai</w:t>
            </w:r>
            <w:r>
              <w:rPr>
                <w:szCs w:val="24"/>
              </w:rPr>
              <w:t>ne prioritaire. Indirectement certaines opérations de la mesure 8.6 pourront concerner secondairement ce domaine prioritaire.</w:t>
            </w:r>
          </w:p>
          <w:p w:rsidR="0035701C" w:rsidRDefault="00FB561B">
            <w:pPr>
              <w:spacing w:before="240" w:after="240"/>
              <w:jc w:val="left"/>
              <w:rPr>
                <w:szCs w:val="24"/>
              </w:rPr>
            </w:pPr>
            <w:r>
              <w:rPr>
                <w:szCs w:val="24"/>
              </w:rPr>
              <w:t>En effet, l'agriculture Corse, peu intensifiée, ne génère que très peu de déchet ou de sous produit à même d'être valorisé pour de</w:t>
            </w:r>
            <w:r>
              <w:rPr>
                <w:szCs w:val="24"/>
              </w:rPr>
              <w:t xml:space="preserve"> la production d'énergie.</w:t>
            </w:r>
          </w:p>
          <w:p w:rsidR="0035701C" w:rsidRDefault="00FB561B">
            <w:pPr>
              <w:spacing w:before="240" w:after="240"/>
              <w:jc w:val="left"/>
              <w:rPr>
                <w:szCs w:val="24"/>
              </w:rPr>
            </w:pPr>
            <w:r>
              <w:rPr>
                <w:szCs w:val="24"/>
              </w:rPr>
              <w:t>Par ailleurs, en fonction des lignes de partage établies, des dispositifs du FEDER pourront contribuer à aider à la production d’énergie renouvelable (ENR) au bénéfice des exploitations comme des entreprises de la région.</w:t>
            </w:r>
          </w:p>
          <w:p w:rsidR="0035701C" w:rsidRDefault="0035701C">
            <w:pPr>
              <w:pStyle w:val="Corpsdetexte"/>
            </w:pPr>
          </w:p>
        </w:tc>
      </w:tr>
    </w:tbl>
    <w:p w:rsidR="0035701C" w:rsidRDefault="0035701C"/>
    <w:p w:rsidR="0035701C" w:rsidRDefault="00FB561B">
      <w:pPr>
        <w:pStyle w:val="Titre4"/>
        <w:jc w:val="left"/>
      </w:pPr>
      <w:r>
        <w:t>5D) R</w:t>
      </w:r>
      <w:r>
        <w:t>éduire les émissions de gaz à effet de serre et d'ammoniac provenant de l'agriculture</w:t>
      </w:r>
    </w:p>
    <w:p w:rsidR="0035701C" w:rsidRDefault="00FB561B">
      <w:pPr>
        <w:pStyle w:val="Titre5"/>
      </w:pPr>
      <w:r>
        <w:t>Choix des mesures de développement rural</w:t>
      </w:r>
    </w:p>
    <w:p w:rsidR="0035701C" w:rsidRDefault="00FB561B">
      <w:pPr>
        <w:pStyle w:val="Titre5"/>
      </w:pPr>
      <w:r>
        <w:t>Combinaison et justification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Le programme ne cible pas directement ce domaine prioritaire dans</w:t>
            </w:r>
            <w:r>
              <w:rPr>
                <w:szCs w:val="24"/>
              </w:rPr>
              <w:t xml:space="preserve"> la mesure où l’impact des systèmes de production en Corse est décrit comme faible.</w:t>
            </w:r>
          </w:p>
          <w:p w:rsidR="0035701C" w:rsidRDefault="00FB561B">
            <w:pPr>
              <w:spacing w:before="240" w:after="240"/>
              <w:jc w:val="left"/>
              <w:rPr>
                <w:szCs w:val="24"/>
              </w:rPr>
            </w:pPr>
            <w:r>
              <w:rPr>
                <w:szCs w:val="24"/>
              </w:rPr>
              <w:t>L'agriculture Corse n'est que faiblement consommatrice d'énergie.  En Corse, seul 33,34 ktep/ha sont utilisés, contre 86,51 pour la France et 66,84 pour l'Europe (IC44). L'</w:t>
            </w:r>
            <w:r>
              <w:rPr>
                <w:szCs w:val="24"/>
              </w:rPr>
              <w:t>agriculture représente 10% des émissions de GES (principalement des gaz à effet de serre non énergétique) de la région contre 21% au niveau national (IC 45). Les rejets d'ammoniaque d'origine agricole sont également très faibles en Corse.</w:t>
            </w:r>
          </w:p>
          <w:p w:rsidR="0035701C" w:rsidRDefault="0035701C">
            <w:pPr>
              <w:pStyle w:val="Corpsdetexte"/>
            </w:pPr>
          </w:p>
        </w:tc>
      </w:tr>
    </w:tbl>
    <w:p w:rsidR="0035701C" w:rsidRDefault="0035701C"/>
    <w:p w:rsidR="0035701C" w:rsidRDefault="00FB561B">
      <w:pPr>
        <w:pStyle w:val="Titre4"/>
        <w:jc w:val="left"/>
      </w:pPr>
      <w:r>
        <w:t>5E) Promouvoir</w:t>
      </w:r>
      <w:r>
        <w:t xml:space="preserve"> la conservation et la séquestration du carbone dans les secteurs de l'agriculture et de la foresterie</w:t>
      </w:r>
    </w:p>
    <w:p w:rsidR="0035701C" w:rsidRDefault="00FB561B">
      <w:pPr>
        <w:pStyle w:val="Titre5"/>
      </w:pPr>
      <w:r>
        <w:t>Choix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58"/>
              </w:numPr>
            </w:pPr>
            <w:r>
              <w:t>M01 - Transfert de connaissances et actions d'information (article 14)</w:t>
            </w:r>
          </w:p>
          <w:p w:rsidR="0035701C" w:rsidRDefault="00FB561B" w:rsidP="00FB561B">
            <w:pPr>
              <w:numPr>
                <w:ilvl w:val="0"/>
                <w:numId w:val="158"/>
              </w:numPr>
            </w:pPr>
            <w:r>
              <w:t xml:space="preserve">M04 - Investissements physiques (article </w:t>
            </w:r>
            <w:r>
              <w:t>17)</w:t>
            </w:r>
          </w:p>
          <w:p w:rsidR="0035701C" w:rsidRDefault="00FB561B" w:rsidP="00FB561B">
            <w:pPr>
              <w:numPr>
                <w:ilvl w:val="0"/>
                <w:numId w:val="158"/>
              </w:numPr>
            </w:pPr>
            <w:r>
              <w:t>M06 - Développement des exploitations agricoles et des entreprises (article 19)</w:t>
            </w:r>
          </w:p>
          <w:p w:rsidR="0035701C" w:rsidRDefault="00FB561B" w:rsidP="00FB561B">
            <w:pPr>
              <w:numPr>
                <w:ilvl w:val="0"/>
                <w:numId w:val="158"/>
              </w:numPr>
            </w:pPr>
            <w:r>
              <w:t xml:space="preserve">M08 - Investissements dans le développement des zones forestières et amélioration de la viabilité des forêts (articles 21 à 26) </w:t>
            </w:r>
          </w:p>
        </w:tc>
      </w:tr>
    </w:tbl>
    <w:p w:rsidR="0035701C" w:rsidRDefault="00FB561B">
      <w:pPr>
        <w:pStyle w:val="Titre5"/>
      </w:pPr>
      <w:r>
        <w:t xml:space="preserve">Combinaison et justification des mesures </w:t>
      </w:r>
      <w:r>
        <w:t>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Ce domaine prioritaire répond aux besoins :</w:t>
            </w:r>
          </w:p>
          <w:p w:rsidR="0035701C" w:rsidRDefault="00FB561B">
            <w:pPr>
              <w:spacing w:before="240" w:after="240"/>
              <w:jc w:val="left"/>
              <w:rPr>
                <w:szCs w:val="24"/>
              </w:rPr>
            </w:pPr>
            <w:r>
              <w:rPr>
                <w:szCs w:val="24"/>
              </w:rPr>
              <w:t>03 Equiper le foncier</w:t>
            </w:r>
          </w:p>
          <w:p w:rsidR="0035701C" w:rsidRDefault="00FB561B">
            <w:pPr>
              <w:spacing w:before="240" w:after="240"/>
              <w:jc w:val="left"/>
              <w:rPr>
                <w:szCs w:val="24"/>
              </w:rPr>
            </w:pPr>
            <w:r>
              <w:rPr>
                <w:szCs w:val="24"/>
              </w:rPr>
              <w:t>05 Formations</w:t>
            </w:r>
          </w:p>
          <w:p w:rsidR="0035701C" w:rsidRDefault="00FB561B">
            <w:pPr>
              <w:spacing w:before="240" w:after="240"/>
              <w:jc w:val="left"/>
              <w:rPr>
                <w:szCs w:val="24"/>
              </w:rPr>
            </w:pPr>
            <w:r>
              <w:rPr>
                <w:szCs w:val="24"/>
              </w:rPr>
              <w:t>06 Diffusion R&amp;D</w:t>
            </w:r>
          </w:p>
          <w:p w:rsidR="0035701C" w:rsidRDefault="00FB561B">
            <w:pPr>
              <w:spacing w:before="240" w:after="240"/>
              <w:jc w:val="left"/>
              <w:rPr>
                <w:szCs w:val="24"/>
              </w:rPr>
            </w:pPr>
            <w:r>
              <w:rPr>
                <w:szCs w:val="24"/>
              </w:rPr>
              <w:t>09 Production et transformation</w:t>
            </w:r>
          </w:p>
          <w:p w:rsidR="0035701C" w:rsidRDefault="00FB561B">
            <w:pPr>
              <w:spacing w:before="240" w:after="240"/>
              <w:jc w:val="left"/>
              <w:rPr>
                <w:szCs w:val="24"/>
              </w:rPr>
            </w:pPr>
            <w:r>
              <w:rPr>
                <w:szCs w:val="24"/>
              </w:rPr>
              <w:t>12 Energie</w:t>
            </w:r>
          </w:p>
          <w:p w:rsidR="0035701C" w:rsidRDefault="00FB561B">
            <w:pPr>
              <w:spacing w:before="240" w:after="240"/>
              <w:jc w:val="left"/>
              <w:rPr>
                <w:szCs w:val="24"/>
              </w:rPr>
            </w:pPr>
            <w:r>
              <w:rPr>
                <w:szCs w:val="24"/>
              </w:rPr>
              <w:t>18 R&amp;D</w:t>
            </w:r>
          </w:p>
          <w:p w:rsidR="0035701C" w:rsidRDefault="00FB561B">
            <w:pPr>
              <w:spacing w:before="240" w:after="240"/>
              <w:jc w:val="left"/>
              <w:rPr>
                <w:szCs w:val="24"/>
              </w:rPr>
            </w:pPr>
            <w:r>
              <w:rPr>
                <w:szCs w:val="24"/>
              </w:rPr>
              <w:t>19 Démarches de qualité</w:t>
            </w:r>
          </w:p>
          <w:p w:rsidR="0035701C" w:rsidRDefault="00FB561B">
            <w:pPr>
              <w:spacing w:before="240" w:after="240"/>
              <w:jc w:val="left"/>
              <w:rPr>
                <w:szCs w:val="24"/>
              </w:rPr>
            </w:pPr>
            <w:r>
              <w:rPr>
                <w:szCs w:val="24"/>
              </w:rPr>
              <w:t>20 Promotion et la commercialisation</w:t>
            </w:r>
          </w:p>
          <w:p w:rsidR="0035701C" w:rsidRDefault="00FB561B">
            <w:pPr>
              <w:spacing w:before="240" w:after="240"/>
              <w:jc w:val="left"/>
              <w:rPr>
                <w:szCs w:val="24"/>
              </w:rPr>
            </w:pPr>
            <w:r>
              <w:rPr>
                <w:szCs w:val="24"/>
              </w:rPr>
              <w:t>23 Regroupement foncier</w:t>
            </w:r>
          </w:p>
          <w:p w:rsidR="0035701C" w:rsidRDefault="00FB561B">
            <w:pPr>
              <w:spacing w:before="240" w:after="240"/>
              <w:jc w:val="left"/>
              <w:rPr>
                <w:szCs w:val="24"/>
              </w:rPr>
            </w:pPr>
            <w:r>
              <w:rPr>
                <w:szCs w:val="24"/>
              </w:rPr>
              <w:t>2</w:t>
            </w:r>
            <w:r>
              <w:rPr>
                <w:szCs w:val="24"/>
              </w:rPr>
              <w:t>5 Sylviculture</w:t>
            </w:r>
          </w:p>
          <w:p w:rsidR="0035701C" w:rsidRDefault="00FB561B">
            <w:pPr>
              <w:spacing w:before="240" w:after="240"/>
              <w:jc w:val="left"/>
              <w:rPr>
                <w:szCs w:val="24"/>
              </w:rPr>
            </w:pPr>
            <w:r>
              <w:rPr>
                <w:szCs w:val="24"/>
              </w:rPr>
              <w:t>26 Compétitivité forêt</w:t>
            </w:r>
          </w:p>
          <w:p w:rsidR="0035701C" w:rsidRDefault="00FB561B">
            <w:pPr>
              <w:spacing w:before="240" w:after="240"/>
              <w:jc w:val="left"/>
              <w:rPr>
                <w:szCs w:val="24"/>
              </w:rPr>
            </w:pPr>
            <w:r>
              <w:rPr>
                <w:szCs w:val="24"/>
              </w:rPr>
              <w:t>29 Coopération</w:t>
            </w:r>
          </w:p>
          <w:p w:rsidR="0035701C" w:rsidRDefault="00FB561B">
            <w:pPr>
              <w:spacing w:before="240" w:after="240"/>
              <w:jc w:val="left"/>
              <w:rPr>
                <w:szCs w:val="24"/>
              </w:rPr>
            </w:pPr>
            <w:r>
              <w:rPr>
                <w:szCs w:val="24"/>
              </w:rPr>
              <w:t>30 Ressources local</w:t>
            </w:r>
          </w:p>
          <w:p w:rsidR="0035701C" w:rsidRDefault="00FB561B">
            <w:pPr>
              <w:spacing w:before="240" w:after="240"/>
              <w:jc w:val="left"/>
              <w:rPr>
                <w:szCs w:val="24"/>
              </w:rPr>
            </w:pPr>
            <w:r>
              <w:rPr>
                <w:szCs w:val="24"/>
              </w:rPr>
              <w:t>32 Environnement et incendie</w:t>
            </w:r>
          </w:p>
          <w:p w:rsidR="0035701C" w:rsidRDefault="00FB561B">
            <w:pPr>
              <w:spacing w:before="240" w:after="240"/>
              <w:jc w:val="left"/>
              <w:rPr>
                <w:szCs w:val="24"/>
              </w:rPr>
            </w:pPr>
            <w:r>
              <w:rPr>
                <w:szCs w:val="24"/>
              </w:rPr>
              <w:t>33 Occupation du territoire</w:t>
            </w:r>
          </w:p>
          <w:p w:rsidR="0035701C" w:rsidRDefault="00FB561B">
            <w:pPr>
              <w:spacing w:before="240" w:after="240"/>
              <w:jc w:val="left"/>
              <w:rPr>
                <w:szCs w:val="24"/>
              </w:rPr>
            </w:pPr>
            <w:r>
              <w:rPr>
                <w:szCs w:val="24"/>
              </w:rPr>
              <w:t>34 Tourisme équilibré</w:t>
            </w:r>
          </w:p>
          <w:p w:rsidR="0035701C" w:rsidRDefault="00FB561B">
            <w:pPr>
              <w:spacing w:before="240" w:after="240"/>
              <w:jc w:val="left"/>
              <w:rPr>
                <w:szCs w:val="24"/>
              </w:rPr>
            </w:pPr>
            <w:r>
              <w:rPr>
                <w:szCs w:val="24"/>
              </w:rPr>
              <w:t xml:space="preserve">Ce domaine prioritaire est considéré au travers de la mise en œuvre des actions en faveur de la </w:t>
            </w:r>
            <w:r>
              <w:rPr>
                <w:szCs w:val="24"/>
              </w:rPr>
              <w:t>mobilisation du bois et des sous-produits. Ces actions combinées pourront contribuer à une gestion économe et rationnelle de la forêt, assurant un renouvellement du stock de carbone et une croissance soutenue, tout en limitant les risques de rejets liés au</w:t>
            </w:r>
            <w:r>
              <w:rPr>
                <w:szCs w:val="24"/>
              </w:rPr>
              <w:t>x dépérissements. Il s’agit notamment :</w:t>
            </w:r>
          </w:p>
          <w:p w:rsidR="0035701C" w:rsidRDefault="00FB561B" w:rsidP="00FB561B">
            <w:pPr>
              <w:numPr>
                <w:ilvl w:val="0"/>
                <w:numId w:val="159"/>
              </w:numPr>
              <w:spacing w:before="240" w:after="0"/>
              <w:ind w:hanging="210"/>
              <w:jc w:val="left"/>
              <w:rPr>
                <w:szCs w:val="24"/>
              </w:rPr>
            </w:pPr>
            <w:r>
              <w:rPr>
                <w:szCs w:val="24"/>
              </w:rPr>
              <w:t>des actions liées à l’équipement des forêts en infrastructures (4.3.2) qui facilitent la réalisation de travaux sylvicoles ou d’exploitation forestière et concourent en finalité à promouvoir la séquestration du carbo</w:t>
            </w:r>
            <w:r>
              <w:rPr>
                <w:szCs w:val="24"/>
              </w:rPr>
              <w:t>ne.</w:t>
            </w:r>
          </w:p>
          <w:p w:rsidR="0035701C" w:rsidRDefault="00FB561B" w:rsidP="00FB561B">
            <w:pPr>
              <w:numPr>
                <w:ilvl w:val="0"/>
                <w:numId w:val="159"/>
              </w:numPr>
              <w:spacing w:before="0" w:after="0"/>
              <w:ind w:hanging="210"/>
              <w:jc w:val="left"/>
              <w:rPr>
                <w:szCs w:val="24"/>
              </w:rPr>
            </w:pPr>
            <w:r>
              <w:rPr>
                <w:szCs w:val="24"/>
              </w:rPr>
              <w:t>de soutien aux micro-entreprises en milieu rural utilisant la ressource forestière et ligneuse (6.4 : Appel à projet spécifique).</w:t>
            </w:r>
          </w:p>
          <w:p w:rsidR="0035701C" w:rsidRDefault="00FB561B" w:rsidP="00FB561B">
            <w:pPr>
              <w:numPr>
                <w:ilvl w:val="0"/>
                <w:numId w:val="159"/>
              </w:numPr>
              <w:spacing w:before="0" w:after="0"/>
              <w:ind w:hanging="210"/>
              <w:jc w:val="left"/>
              <w:rPr>
                <w:szCs w:val="24"/>
              </w:rPr>
            </w:pPr>
            <w:r>
              <w:rPr>
                <w:szCs w:val="24"/>
              </w:rPr>
              <w:t>des travaux de sylviculture ayant un impact sur la résilience des forêts (8.5 et 8.6) et la séquestration du carbone, y co</w:t>
            </w:r>
            <w:r>
              <w:rPr>
                <w:szCs w:val="24"/>
              </w:rPr>
              <w:t>mpris lorsque ces travaux facilitent en améliorant à long terme le rendement en bois d’œuvre le stockage ultérieur du carbone</w:t>
            </w:r>
          </w:p>
          <w:p w:rsidR="0035701C" w:rsidRDefault="00FB561B" w:rsidP="00FB561B">
            <w:pPr>
              <w:numPr>
                <w:ilvl w:val="0"/>
                <w:numId w:val="159"/>
              </w:numPr>
              <w:spacing w:before="0" w:after="0"/>
              <w:ind w:hanging="210"/>
              <w:jc w:val="left"/>
              <w:rPr>
                <w:szCs w:val="24"/>
              </w:rPr>
            </w:pPr>
            <w:r>
              <w:rPr>
                <w:szCs w:val="24"/>
              </w:rPr>
              <w:t>du soutien aux entreprises de la filière bois en aval de l’exploitation forestière (6.4.2).</w:t>
            </w:r>
          </w:p>
          <w:p w:rsidR="0035701C" w:rsidRDefault="00FB561B" w:rsidP="00FB561B">
            <w:pPr>
              <w:numPr>
                <w:ilvl w:val="0"/>
                <w:numId w:val="159"/>
              </w:numPr>
              <w:spacing w:before="0" w:after="240"/>
              <w:ind w:hanging="210"/>
              <w:jc w:val="left"/>
              <w:rPr>
                <w:szCs w:val="24"/>
              </w:rPr>
            </w:pPr>
            <w:r>
              <w:rPr>
                <w:szCs w:val="24"/>
              </w:rPr>
              <w:t>et des mesures liées à la formation (1</w:t>
            </w:r>
            <w:r>
              <w:rPr>
                <w:szCs w:val="24"/>
              </w:rPr>
              <w:t>.1 et 1.3.2)</w:t>
            </w:r>
          </w:p>
          <w:p w:rsidR="0035701C" w:rsidRDefault="00FB561B">
            <w:pPr>
              <w:spacing w:before="240" w:after="240"/>
              <w:jc w:val="left"/>
              <w:rPr>
                <w:szCs w:val="24"/>
              </w:rPr>
            </w:pPr>
            <w:r>
              <w:rPr>
                <w:szCs w:val="24"/>
              </w:rPr>
              <w:t>Seulement 1% du FEADER est affecté au DP 5E. Ce montant a pu être finement estimé relativement à notre expérience relative à 2007 2013.</w:t>
            </w:r>
          </w:p>
          <w:p w:rsidR="0035701C" w:rsidRDefault="00FB561B">
            <w:pPr>
              <w:spacing w:before="240" w:after="240"/>
              <w:jc w:val="left"/>
              <w:rPr>
                <w:szCs w:val="24"/>
              </w:rPr>
            </w:pPr>
            <w:r>
              <w:rPr>
                <w:szCs w:val="24"/>
              </w:rPr>
              <w:t xml:space="preserve">L’indicateur cible T19 du DP 5E) (pourcentage des terres agricoles et forestières sous contrats de gestion </w:t>
            </w:r>
            <w:r>
              <w:rPr>
                <w:szCs w:val="24"/>
              </w:rPr>
              <w:t>contribuant à la séquestration et à la conservation du carbone) n’est pas renseigné. Il n’est pas prévu de mettre en place ce type de contrat. </w:t>
            </w:r>
          </w:p>
          <w:p w:rsidR="0035701C" w:rsidRDefault="0035701C">
            <w:pPr>
              <w:pStyle w:val="Corpsdetexte"/>
            </w:pPr>
          </w:p>
        </w:tc>
      </w:tr>
    </w:tbl>
    <w:p w:rsidR="0035701C" w:rsidRDefault="0035701C"/>
    <w:p w:rsidR="0035701C" w:rsidRDefault="00FB561B">
      <w:pPr>
        <w:pStyle w:val="Titre3"/>
        <w:jc w:val="left"/>
      </w:pPr>
      <w:bookmarkStart w:id="79" w:name="_Toc256000078"/>
      <w:r>
        <w:t>P6: promouvoir l'inclusion sociale, la réduction de la pauvreté et le développement économique dans les zones</w:t>
      </w:r>
      <w:r>
        <w:t xml:space="preserve"> rurales</w:t>
      </w:r>
      <w:bookmarkEnd w:id="79"/>
    </w:p>
    <w:p w:rsidR="0035701C" w:rsidRDefault="00FB561B">
      <w:pPr>
        <w:pStyle w:val="Titre4"/>
        <w:jc w:val="left"/>
      </w:pPr>
      <w:r>
        <w:t>6A) Faciliter la diversification, la création et le développement de petites entreprises ainsi que la création d'emplois</w:t>
      </w:r>
    </w:p>
    <w:p w:rsidR="0035701C" w:rsidRDefault="00FB561B">
      <w:pPr>
        <w:pStyle w:val="Titre5"/>
        <w:rPr>
          <w:b w:val="0"/>
        </w:rPr>
      </w:pPr>
      <w:r>
        <w:rPr>
          <w:b w:val="0"/>
        </w:rPr>
        <w:t>Choix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60"/>
              </w:numPr>
            </w:pPr>
            <w:r>
              <w:t>M06 - Développement des exploitations agricoles et des entreprises (article 19)</w:t>
            </w:r>
          </w:p>
        </w:tc>
      </w:tr>
    </w:tbl>
    <w:p w:rsidR="0035701C" w:rsidRDefault="00FB561B">
      <w:pPr>
        <w:pStyle w:val="Titre5"/>
      </w:pPr>
      <w:r>
        <w:t>Comb</w:t>
      </w:r>
      <w:r>
        <w:t>inaison et justification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Ce domaine prioritaire répond aux besoins :</w:t>
            </w:r>
          </w:p>
          <w:p w:rsidR="0035701C" w:rsidRDefault="00FB561B">
            <w:pPr>
              <w:spacing w:before="240" w:after="240"/>
              <w:jc w:val="left"/>
              <w:rPr>
                <w:szCs w:val="24"/>
              </w:rPr>
            </w:pPr>
            <w:r>
              <w:rPr>
                <w:szCs w:val="24"/>
              </w:rPr>
              <w:t>08-Améliorer le revenu des agriculteurs par le développement de l'outil de production et la diversification des activités</w:t>
            </w:r>
          </w:p>
          <w:p w:rsidR="0035701C" w:rsidRDefault="00FB561B">
            <w:pPr>
              <w:spacing w:before="240" w:after="240"/>
              <w:jc w:val="left"/>
              <w:rPr>
                <w:szCs w:val="24"/>
              </w:rPr>
            </w:pPr>
            <w:r>
              <w:rPr>
                <w:szCs w:val="24"/>
              </w:rPr>
              <w:t xml:space="preserve">20-Renforcer la promotion et </w:t>
            </w:r>
            <w:r>
              <w:rPr>
                <w:szCs w:val="24"/>
              </w:rPr>
              <w:t>la commercialisation des produits sur le marché local, national et international</w:t>
            </w:r>
          </w:p>
          <w:p w:rsidR="0035701C" w:rsidRDefault="00FB561B">
            <w:pPr>
              <w:spacing w:before="240" w:after="240"/>
              <w:jc w:val="left"/>
              <w:rPr>
                <w:szCs w:val="24"/>
              </w:rPr>
            </w:pPr>
            <w:r>
              <w:rPr>
                <w:szCs w:val="24"/>
              </w:rPr>
              <w:t>29-Favoriser la coopération, l'innovation organisationnelle et la constitution de réseaux</w:t>
            </w:r>
          </w:p>
          <w:p w:rsidR="0035701C" w:rsidRDefault="00FB561B">
            <w:pPr>
              <w:spacing w:before="240" w:after="240"/>
              <w:jc w:val="left"/>
              <w:rPr>
                <w:szCs w:val="24"/>
              </w:rPr>
            </w:pPr>
            <w:r>
              <w:rPr>
                <w:szCs w:val="24"/>
              </w:rPr>
              <w:t>30-Favoriser les approches du développement endogène visant à la valorisation des res</w:t>
            </w:r>
            <w:r>
              <w:rPr>
                <w:szCs w:val="24"/>
              </w:rPr>
              <w:t>sources</w:t>
            </w:r>
          </w:p>
          <w:p w:rsidR="0035701C" w:rsidRDefault="00FB561B">
            <w:pPr>
              <w:spacing w:before="240" w:after="240"/>
              <w:jc w:val="left"/>
              <w:rPr>
                <w:szCs w:val="24"/>
              </w:rPr>
            </w:pPr>
            <w:r>
              <w:rPr>
                <w:szCs w:val="24"/>
              </w:rPr>
              <w:t>31-Développer la mise en place des services essentiels et l'accueil en milieu rural</w:t>
            </w:r>
          </w:p>
          <w:p w:rsidR="0035701C" w:rsidRDefault="00FB561B">
            <w:pPr>
              <w:spacing w:before="240" w:after="240"/>
              <w:jc w:val="left"/>
              <w:rPr>
                <w:szCs w:val="24"/>
              </w:rPr>
            </w:pPr>
            <w:r>
              <w:rPr>
                <w:szCs w:val="24"/>
              </w:rPr>
              <w:t>33-Maintenir une occupation du territoire et favoriser le lien social</w:t>
            </w:r>
          </w:p>
          <w:p w:rsidR="0035701C" w:rsidRDefault="00FB561B">
            <w:pPr>
              <w:spacing w:before="240" w:after="240"/>
              <w:jc w:val="left"/>
              <w:rPr>
                <w:szCs w:val="24"/>
              </w:rPr>
            </w:pPr>
            <w:r>
              <w:rPr>
                <w:szCs w:val="24"/>
              </w:rPr>
              <w:t>34-Favoriser un équilibre entre le tourisme et les autres secteurs économiques</w:t>
            </w:r>
          </w:p>
          <w:p w:rsidR="0035701C" w:rsidRDefault="00FB561B">
            <w:pPr>
              <w:spacing w:before="240" w:after="240"/>
              <w:jc w:val="left"/>
              <w:rPr>
                <w:szCs w:val="24"/>
              </w:rPr>
            </w:pPr>
            <w:r>
              <w:rPr>
                <w:szCs w:val="24"/>
              </w:rPr>
              <w:t>Afin de facilit</w:t>
            </w:r>
            <w:r>
              <w:rPr>
                <w:szCs w:val="24"/>
              </w:rPr>
              <w:t>er la diversification, la création et le développement de petites entreprises ainsi que la création d'emplois, la Corse a souhaité mettre en œuvre des actions déclinées dans le cadre des mesures en faveur du développement des entreprises (6.4.1 et 6.4.2) v</w:t>
            </w:r>
            <w:r>
              <w:rPr>
                <w:szCs w:val="24"/>
              </w:rPr>
              <w:t>isant à faciliter l’éclosion, le développement  et l’insertion de ces entreprises dans le rural.</w:t>
            </w:r>
          </w:p>
          <w:p w:rsidR="0035701C" w:rsidRDefault="00FB561B">
            <w:pPr>
              <w:spacing w:before="240" w:after="240"/>
              <w:jc w:val="left"/>
              <w:rPr>
                <w:szCs w:val="24"/>
              </w:rPr>
            </w:pPr>
            <w:r>
              <w:rPr>
                <w:szCs w:val="24"/>
              </w:rPr>
              <w:t>Seulement  1% du FEADER est affecté au DP 6A. Ce montant a pu être finement estimé relativement à notre expérience relative à 2007 2013.</w:t>
            </w:r>
          </w:p>
          <w:p w:rsidR="0035701C" w:rsidRDefault="00FB561B">
            <w:pPr>
              <w:spacing w:before="240" w:after="240"/>
              <w:jc w:val="left"/>
              <w:rPr>
                <w:szCs w:val="24"/>
              </w:rPr>
            </w:pPr>
            <w:r>
              <w:rPr>
                <w:szCs w:val="24"/>
              </w:rPr>
              <w:t>L’indicateur cible T20</w:t>
            </w:r>
            <w:r>
              <w:rPr>
                <w:szCs w:val="24"/>
              </w:rPr>
              <w:t xml:space="preserve"> du DP 6A) (emplois créés dans les projets soutenus) est de 28. Les données de réalisation de la programmation 2007-2013 ont été utilisées pour estimer cette cible.</w:t>
            </w:r>
          </w:p>
          <w:p w:rsidR="0035701C" w:rsidRDefault="0035701C">
            <w:pPr>
              <w:pStyle w:val="Corpsdetexte"/>
            </w:pPr>
          </w:p>
        </w:tc>
      </w:tr>
    </w:tbl>
    <w:p w:rsidR="0035701C" w:rsidRDefault="0035701C"/>
    <w:p w:rsidR="0035701C" w:rsidRDefault="00FB561B">
      <w:pPr>
        <w:pStyle w:val="Titre4"/>
        <w:jc w:val="left"/>
      </w:pPr>
      <w:r>
        <w:t>6B) Promouvoir le développement local dans les zones rurales</w:t>
      </w:r>
    </w:p>
    <w:p w:rsidR="0035701C" w:rsidRDefault="00FB561B">
      <w:pPr>
        <w:pStyle w:val="Titre5"/>
      </w:pPr>
      <w:r>
        <w:t xml:space="preserve">Choix des mesures de </w:t>
      </w:r>
      <w:r>
        <w:t>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rsidP="00FB561B">
            <w:pPr>
              <w:numPr>
                <w:ilvl w:val="0"/>
                <w:numId w:val="161"/>
              </w:numPr>
            </w:pPr>
            <w:r>
              <w:t xml:space="preserve">M07 - Services de base et rénovation des villages dans les zones rurales (article 20) </w:t>
            </w:r>
          </w:p>
          <w:p w:rsidR="0035701C" w:rsidRDefault="00FB561B" w:rsidP="00FB561B">
            <w:pPr>
              <w:numPr>
                <w:ilvl w:val="0"/>
                <w:numId w:val="161"/>
              </w:numPr>
            </w:pPr>
            <w:r>
              <w:t>M19 - Soutien au développement local Leader (CLLD - développement local mené par les acteurs locaux) (article 35 du règlement (UE) n° 1303/2013)</w:t>
            </w:r>
          </w:p>
        </w:tc>
      </w:tr>
    </w:tbl>
    <w:p w:rsidR="0035701C" w:rsidRDefault="00FB561B">
      <w:pPr>
        <w:pStyle w:val="Titre5"/>
      </w:pPr>
      <w:r>
        <w:t>Com</w:t>
      </w:r>
      <w:r>
        <w:t>binaison et justification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Ce domaine prioritaire répond aux besoins :</w:t>
            </w:r>
          </w:p>
          <w:p w:rsidR="0035701C" w:rsidRDefault="00FB561B">
            <w:pPr>
              <w:spacing w:before="240" w:after="240"/>
              <w:jc w:val="left"/>
              <w:rPr>
                <w:szCs w:val="24"/>
              </w:rPr>
            </w:pPr>
            <w:r>
              <w:rPr>
                <w:szCs w:val="24"/>
              </w:rPr>
              <w:t>01 Protéger les zones agricoles</w:t>
            </w:r>
          </w:p>
          <w:p w:rsidR="0035701C" w:rsidRDefault="00FB561B">
            <w:pPr>
              <w:spacing w:before="240" w:after="240"/>
              <w:jc w:val="left"/>
              <w:rPr>
                <w:szCs w:val="24"/>
              </w:rPr>
            </w:pPr>
            <w:r>
              <w:rPr>
                <w:szCs w:val="24"/>
              </w:rPr>
              <w:t>02 Mobiliser le foncier</w:t>
            </w:r>
          </w:p>
          <w:p w:rsidR="0035701C" w:rsidRDefault="00FB561B">
            <w:pPr>
              <w:spacing w:before="240" w:after="240"/>
              <w:jc w:val="left"/>
              <w:rPr>
                <w:szCs w:val="24"/>
              </w:rPr>
            </w:pPr>
            <w:r>
              <w:rPr>
                <w:szCs w:val="24"/>
              </w:rPr>
              <w:t>23 Regroupement foncier</w:t>
            </w:r>
          </w:p>
          <w:p w:rsidR="0035701C" w:rsidRDefault="00FB561B">
            <w:pPr>
              <w:spacing w:before="240" w:after="240"/>
              <w:jc w:val="left"/>
              <w:rPr>
                <w:szCs w:val="24"/>
              </w:rPr>
            </w:pPr>
            <w:r>
              <w:rPr>
                <w:szCs w:val="24"/>
              </w:rPr>
              <w:t>24 Usage des sols et pratiques sylvo-pastorales</w:t>
            </w:r>
          </w:p>
          <w:p w:rsidR="0035701C" w:rsidRDefault="00FB561B">
            <w:pPr>
              <w:spacing w:before="240" w:after="240"/>
              <w:jc w:val="left"/>
              <w:rPr>
                <w:szCs w:val="24"/>
              </w:rPr>
            </w:pPr>
            <w:r>
              <w:rPr>
                <w:szCs w:val="24"/>
              </w:rPr>
              <w:t>27 Dynamique territoria</w:t>
            </w:r>
            <w:r>
              <w:rPr>
                <w:szCs w:val="24"/>
              </w:rPr>
              <w:t>le</w:t>
            </w:r>
          </w:p>
          <w:p w:rsidR="0035701C" w:rsidRDefault="00FB561B">
            <w:pPr>
              <w:spacing w:before="240" w:after="240"/>
              <w:jc w:val="left"/>
              <w:rPr>
                <w:szCs w:val="24"/>
              </w:rPr>
            </w:pPr>
            <w:r>
              <w:rPr>
                <w:szCs w:val="24"/>
              </w:rPr>
              <w:t>28 Animation territoriale</w:t>
            </w:r>
          </w:p>
          <w:p w:rsidR="0035701C" w:rsidRDefault="00FB561B">
            <w:pPr>
              <w:spacing w:before="240" w:after="240"/>
              <w:jc w:val="left"/>
              <w:rPr>
                <w:szCs w:val="24"/>
              </w:rPr>
            </w:pPr>
            <w:r>
              <w:rPr>
                <w:szCs w:val="24"/>
              </w:rPr>
              <w:t>29 Coopération</w:t>
            </w:r>
          </w:p>
          <w:p w:rsidR="0035701C" w:rsidRDefault="00FB561B">
            <w:pPr>
              <w:spacing w:before="240" w:after="240"/>
              <w:jc w:val="left"/>
              <w:rPr>
                <w:szCs w:val="24"/>
              </w:rPr>
            </w:pPr>
            <w:r>
              <w:rPr>
                <w:szCs w:val="24"/>
              </w:rPr>
              <w:t>30 Valorisation des ressources locales</w:t>
            </w:r>
          </w:p>
          <w:p w:rsidR="0035701C" w:rsidRDefault="00FB561B">
            <w:pPr>
              <w:spacing w:before="240" w:after="240"/>
              <w:jc w:val="left"/>
              <w:rPr>
                <w:szCs w:val="24"/>
              </w:rPr>
            </w:pPr>
            <w:r>
              <w:rPr>
                <w:szCs w:val="24"/>
              </w:rPr>
              <w:t>31 Services essentiels</w:t>
            </w:r>
          </w:p>
          <w:p w:rsidR="0035701C" w:rsidRDefault="00FB561B">
            <w:pPr>
              <w:spacing w:before="240" w:after="240"/>
              <w:jc w:val="left"/>
              <w:rPr>
                <w:szCs w:val="24"/>
              </w:rPr>
            </w:pPr>
            <w:r>
              <w:rPr>
                <w:szCs w:val="24"/>
              </w:rPr>
              <w:t>33 Occupation du territoire</w:t>
            </w:r>
          </w:p>
          <w:p w:rsidR="0035701C" w:rsidRDefault="00FB561B">
            <w:pPr>
              <w:spacing w:before="240" w:after="240"/>
              <w:jc w:val="left"/>
              <w:rPr>
                <w:szCs w:val="24"/>
              </w:rPr>
            </w:pPr>
            <w:r>
              <w:rPr>
                <w:szCs w:val="24"/>
              </w:rPr>
              <w:t>34 Tourisme équilibré</w:t>
            </w:r>
          </w:p>
          <w:p w:rsidR="0035701C" w:rsidRDefault="00FB561B">
            <w:pPr>
              <w:spacing w:before="240" w:after="240"/>
              <w:jc w:val="left"/>
              <w:rPr>
                <w:szCs w:val="24"/>
              </w:rPr>
            </w:pPr>
            <w:r>
              <w:rPr>
                <w:szCs w:val="24"/>
              </w:rPr>
              <w:t xml:space="preserve">Pour promouvoir le développement local dans les zones rurales, une série de mesures seront mise en </w:t>
            </w:r>
            <w:r>
              <w:rPr>
                <w:szCs w:val="24"/>
              </w:rPr>
              <w:t>place.</w:t>
            </w:r>
          </w:p>
          <w:p w:rsidR="0035701C" w:rsidRDefault="00FB561B">
            <w:pPr>
              <w:spacing w:before="240" w:after="240"/>
              <w:jc w:val="left"/>
              <w:rPr>
                <w:szCs w:val="24"/>
              </w:rPr>
            </w:pPr>
            <w:r>
              <w:rPr>
                <w:szCs w:val="24"/>
              </w:rPr>
              <w:t>Des actions seront menées afin de permettre au plus grand nombre d’avoir un accès au service de base, notamment dans le domaine de la santé (7.4). L’accueil du public et des activités touristiques dans les zones de montagne (7.5) doit également perm</w:t>
            </w:r>
            <w:r>
              <w:rPr>
                <w:szCs w:val="24"/>
              </w:rPr>
              <w:t>ettre un développement harmonieux des zones rurales.</w:t>
            </w:r>
          </w:p>
          <w:p w:rsidR="0035701C" w:rsidRDefault="00FB561B">
            <w:pPr>
              <w:spacing w:before="240" w:after="240"/>
              <w:jc w:val="left"/>
              <w:rPr>
                <w:szCs w:val="24"/>
              </w:rPr>
            </w:pPr>
            <w:r>
              <w:rPr>
                <w:szCs w:val="24"/>
              </w:rPr>
              <w:t>L’accès au patrimoine culturel matériel et immatériel (7.6.2) et la création de sentier patrimoniaux (7.6.3) doit également servir à favoriser l’accès à la culture dans les zones rurales.</w:t>
            </w:r>
          </w:p>
          <w:p w:rsidR="0035701C" w:rsidRDefault="00FB561B">
            <w:pPr>
              <w:spacing w:before="240" w:after="240"/>
              <w:jc w:val="left"/>
              <w:rPr>
                <w:szCs w:val="24"/>
              </w:rPr>
            </w:pPr>
            <w:r>
              <w:rPr>
                <w:szCs w:val="24"/>
              </w:rPr>
              <w:t>Une mesure d’ac</w:t>
            </w:r>
            <w:r>
              <w:rPr>
                <w:szCs w:val="24"/>
              </w:rPr>
              <w:t>compagnement des communes dans l’établissement et la mise à jour des plans de développement de leur territoire, dans une optique de mobilisation économique est également prévue (7.1.1).</w:t>
            </w:r>
          </w:p>
          <w:p w:rsidR="0035701C" w:rsidRDefault="00FB561B">
            <w:pPr>
              <w:spacing w:before="240" w:after="240"/>
              <w:jc w:val="left"/>
              <w:rPr>
                <w:szCs w:val="24"/>
              </w:rPr>
            </w:pPr>
            <w:r>
              <w:rPr>
                <w:szCs w:val="24"/>
              </w:rPr>
              <w:t xml:space="preserve">Dans sa conception, la mise en œuvre de l’approche LEADER (mesure 19) </w:t>
            </w:r>
            <w:r>
              <w:rPr>
                <w:szCs w:val="24"/>
              </w:rPr>
              <w:t>contribue au développement local.</w:t>
            </w:r>
          </w:p>
          <w:p w:rsidR="0035701C" w:rsidRDefault="00FB561B">
            <w:pPr>
              <w:spacing w:before="240" w:after="240"/>
              <w:jc w:val="left"/>
              <w:rPr>
                <w:szCs w:val="24"/>
              </w:rPr>
            </w:pPr>
            <w:r>
              <w:rPr>
                <w:szCs w:val="24"/>
              </w:rPr>
              <w:t>Près de  10% du FEADER est affecté au DP 6B. Ce poids a été déterminé au regard de l’enjeu fort du développement des zones rurales en Corse, en cohérence avec l’ensemble des équilibres de la maquette qu’il a fallu trouver.</w:t>
            </w:r>
          </w:p>
          <w:p w:rsidR="0035701C" w:rsidRDefault="00FB561B">
            <w:pPr>
              <w:spacing w:before="240" w:after="240"/>
              <w:jc w:val="left"/>
              <w:rPr>
                <w:szCs w:val="24"/>
              </w:rPr>
            </w:pPr>
            <w:r>
              <w:rPr>
                <w:szCs w:val="24"/>
              </w:rPr>
              <w:t>L’indicateur cible T21 du DP 6B (pourcentage de la population rurale concernée par les stratégies de  développement local) est de 22.11%. Les objectifs en termes de nombre de stratégies de développement retenues ont été utilisés pour estimer cette cible.</w:t>
            </w:r>
          </w:p>
          <w:p w:rsidR="0035701C" w:rsidRDefault="00FB561B">
            <w:pPr>
              <w:spacing w:before="240" w:after="240"/>
              <w:jc w:val="left"/>
              <w:rPr>
                <w:szCs w:val="24"/>
              </w:rPr>
            </w:pPr>
            <w:r>
              <w:rPr>
                <w:szCs w:val="24"/>
              </w:rPr>
              <w:t>L’indicateur cible T22 du DP 6B (pourcentage de la population rurale bénéficiant de meilleurs services/infrastructures) est de 6.68%. Les données de réalisation de la programmation 2007-2013 ont été utilisées pour estimer cette cible.</w:t>
            </w:r>
          </w:p>
          <w:p w:rsidR="0035701C" w:rsidRDefault="00FB561B">
            <w:pPr>
              <w:spacing w:before="240" w:after="240"/>
              <w:jc w:val="left"/>
              <w:rPr>
                <w:szCs w:val="24"/>
              </w:rPr>
            </w:pPr>
            <w:r>
              <w:rPr>
                <w:szCs w:val="24"/>
              </w:rPr>
              <w:t>L’indicateur cible T2</w:t>
            </w:r>
            <w:r>
              <w:rPr>
                <w:szCs w:val="24"/>
              </w:rPr>
              <w:t>3 du DP 6B (emplois créés dans les projets soutenus (Leader)) est de 15. Il est basé sur notre expérience 2007 2013.</w:t>
            </w:r>
          </w:p>
          <w:p w:rsidR="0035701C" w:rsidRDefault="0035701C">
            <w:pPr>
              <w:pStyle w:val="Corpsdetexte"/>
            </w:pPr>
          </w:p>
        </w:tc>
      </w:tr>
    </w:tbl>
    <w:p w:rsidR="0035701C" w:rsidRDefault="0035701C"/>
    <w:p w:rsidR="0035701C" w:rsidRDefault="00FB561B">
      <w:pPr>
        <w:pStyle w:val="Titre4"/>
        <w:jc w:val="left"/>
      </w:pPr>
      <w:r>
        <w:t xml:space="preserve">6C) Améliorer l'accessibilité, l'utilisation et la qualité des technologiques de l'information et de la communication (TIC) dans les </w:t>
      </w:r>
      <w:r>
        <w:t>zones rurales</w:t>
      </w:r>
    </w:p>
    <w:p w:rsidR="0035701C" w:rsidRDefault="00FB561B">
      <w:pPr>
        <w:pStyle w:val="Titre5"/>
      </w:pPr>
      <w:r>
        <w:t>Choix des mesures de développement rural</w:t>
      </w:r>
    </w:p>
    <w:p w:rsidR="0035701C" w:rsidRDefault="00FB561B">
      <w:pPr>
        <w:pStyle w:val="Titre5"/>
      </w:pPr>
      <w:r>
        <w:t>Combinaison et justification des mesures de développement rural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 xml:space="preserve">La priorité 6C (TIC dans le rural) est retenue dans le PO FEDER. Les complémentarités entre les fonds sont détaillées dans la partie 14 </w:t>
            </w:r>
            <w:r>
              <w:rPr>
                <w:szCs w:val="24"/>
              </w:rPr>
              <w:t>du PDR.</w:t>
            </w:r>
          </w:p>
          <w:p w:rsidR="0035701C" w:rsidRDefault="0035701C">
            <w:pPr>
              <w:pStyle w:val="Corpsdetexte"/>
            </w:pPr>
          </w:p>
        </w:tc>
      </w:tr>
    </w:tbl>
    <w:p w:rsidR="0035701C" w:rsidRDefault="0035701C"/>
    <w:p w:rsidR="0035701C" w:rsidRDefault="0035701C">
      <w:pPr>
        <w:sectPr w:rsidR="0035701C">
          <w:pgSz w:w="12240" w:h="15840"/>
          <w:pgMar w:top="900" w:right="900" w:bottom="900" w:left="900" w:header="720" w:footer="720" w:gutter="0"/>
          <w:cols w:space="720"/>
        </w:sectPr>
      </w:pPr>
    </w:p>
    <w:p w:rsidR="0035701C" w:rsidRDefault="00FB561B">
      <w:pPr>
        <w:pStyle w:val="Titre2"/>
      </w:pPr>
      <w:bookmarkStart w:id="80" w:name="_Toc256000079"/>
      <w:r>
        <w:t>Description de la manière dont les objectifs transversaux seront traités, y compris les exigences spécifiques énoncées à l’article 8, paragraphe 1, point c) et v), du règlement (UE) n° 1305/2013</w:t>
      </w:r>
      <w:bookmarkEnd w:id="8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bottom"/>
          </w:tcPr>
          <w:p w:rsidR="0035701C" w:rsidRDefault="00FB561B">
            <w:pPr>
              <w:spacing w:before="0" w:after="240"/>
              <w:jc w:val="left"/>
              <w:rPr>
                <w:szCs w:val="24"/>
              </w:rPr>
            </w:pPr>
            <w:r>
              <w:rPr>
                <w:szCs w:val="24"/>
              </w:rPr>
              <w:t>Les besoins identifiés rejoignent les ob</w:t>
            </w:r>
            <w:r>
              <w:rPr>
                <w:szCs w:val="24"/>
              </w:rPr>
              <w:t>jectifs transversaux des programmes de l’Union Européenne en matière d’environnement, d'adaptation aux changements climatiques et d'atténuation de ces changements, et à l'égard de l'innovation (cf. tableau joint : 5.3 : OT/besoins).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Environnement</w:t>
            </w:r>
          </w:p>
          <w:p w:rsidR="0035701C" w:rsidRDefault="00FB561B">
            <w:pPr>
              <w:spacing w:before="240" w:after="240"/>
              <w:jc w:val="left"/>
              <w:rPr>
                <w:szCs w:val="24"/>
              </w:rPr>
            </w:pPr>
            <w:r>
              <w:rPr>
                <w:szCs w:val="24"/>
              </w:rPr>
              <w:t>Les gra</w:t>
            </w:r>
            <w:r>
              <w:rPr>
                <w:szCs w:val="24"/>
              </w:rPr>
              <w:t>nds enjeux environnementaux mis en évidence par la description de la zone de programmation (analyse AFOM) et l’état initial de l’environnement décrit dans l’Evaluation Stratégique Environnementale du programme (cf. ESE document joint) indiquent la nécessit</w:t>
            </w:r>
            <w:r>
              <w:rPr>
                <w:szCs w:val="24"/>
              </w:rPr>
              <w:t>é d’une gestion durable des ressources naturelles, compte tenu des pressions qui s’exercent en certains endroits par rapport aux risques de sur-fréquentation ou de surexploitation ou, de façon opposée face à des situations de déprises ayant un impact sur l</w:t>
            </w:r>
            <w:r>
              <w:rPr>
                <w:szCs w:val="24"/>
              </w:rPr>
              <w:t>a biodiversité et la fermeture des paysages.</w:t>
            </w:r>
          </w:p>
          <w:p w:rsidR="0035701C" w:rsidRDefault="00FB561B">
            <w:pPr>
              <w:spacing w:before="240" w:after="240"/>
              <w:jc w:val="left"/>
              <w:rPr>
                <w:szCs w:val="24"/>
              </w:rPr>
            </w:pPr>
            <w:r>
              <w:rPr>
                <w:szCs w:val="24"/>
              </w:rPr>
              <w:t>En même temps l’environnement est considéré comme une opportunité majeure de la zone de programmation, dans la mesure où il constitue la principale richesse sur laquelle miser pour le développement de l’île. Cet</w:t>
            </w:r>
            <w:r>
              <w:rPr>
                <w:szCs w:val="24"/>
              </w:rPr>
              <w:t xml:space="preserve"> élément est notamment le socle de l’attractivité et de la typicité de l’île.</w:t>
            </w:r>
          </w:p>
          <w:p w:rsidR="0035701C" w:rsidRDefault="00FB561B">
            <w:pPr>
              <w:spacing w:before="240" w:after="240"/>
              <w:jc w:val="left"/>
              <w:rPr>
                <w:szCs w:val="24"/>
              </w:rPr>
            </w:pPr>
            <w:r>
              <w:rPr>
                <w:szCs w:val="24"/>
              </w:rPr>
              <w:t>Ainsi 16 besoins sont plus particulièrement identifiés en relation avec l’OT1 : Environnement (cf. tableau 5.3 : OT/besoins) :</w:t>
            </w:r>
          </w:p>
          <w:p w:rsidR="0035701C" w:rsidRDefault="00FB561B" w:rsidP="00FB561B">
            <w:pPr>
              <w:numPr>
                <w:ilvl w:val="0"/>
                <w:numId w:val="162"/>
              </w:numPr>
              <w:spacing w:before="240" w:after="0"/>
              <w:ind w:hanging="210"/>
              <w:jc w:val="left"/>
              <w:rPr>
                <w:szCs w:val="24"/>
              </w:rPr>
            </w:pPr>
            <w:r>
              <w:rPr>
                <w:szCs w:val="24"/>
              </w:rPr>
              <w:t>1 - Protéger le périmètre agricole et forestier</w:t>
            </w:r>
          </w:p>
          <w:p w:rsidR="0035701C" w:rsidRDefault="00FB561B" w:rsidP="00FB561B">
            <w:pPr>
              <w:numPr>
                <w:ilvl w:val="0"/>
                <w:numId w:val="162"/>
              </w:numPr>
              <w:spacing w:before="0" w:after="0"/>
              <w:ind w:hanging="210"/>
              <w:jc w:val="left"/>
              <w:rPr>
                <w:szCs w:val="24"/>
              </w:rPr>
            </w:pPr>
            <w:r>
              <w:rPr>
                <w:szCs w:val="24"/>
              </w:rPr>
              <w:t>2 -</w:t>
            </w:r>
            <w:r>
              <w:rPr>
                <w:szCs w:val="24"/>
              </w:rPr>
              <w:t xml:space="preserve"> Mobiliser le foncier agricole, forestier et rural</w:t>
            </w:r>
          </w:p>
          <w:p w:rsidR="0035701C" w:rsidRDefault="00FB561B" w:rsidP="00FB561B">
            <w:pPr>
              <w:numPr>
                <w:ilvl w:val="0"/>
                <w:numId w:val="162"/>
              </w:numPr>
              <w:spacing w:before="0" w:after="0"/>
              <w:ind w:hanging="210"/>
              <w:jc w:val="left"/>
              <w:rPr>
                <w:szCs w:val="24"/>
              </w:rPr>
            </w:pPr>
            <w:r>
              <w:rPr>
                <w:szCs w:val="24"/>
              </w:rPr>
              <w:t>3 - Equiper le foncier agricole, forestier et rural</w:t>
            </w:r>
          </w:p>
          <w:p w:rsidR="0035701C" w:rsidRDefault="00FB561B" w:rsidP="00FB561B">
            <w:pPr>
              <w:numPr>
                <w:ilvl w:val="0"/>
                <w:numId w:val="162"/>
              </w:numPr>
              <w:spacing w:before="0" w:after="0"/>
              <w:ind w:hanging="210"/>
              <w:jc w:val="left"/>
              <w:rPr>
                <w:szCs w:val="24"/>
              </w:rPr>
            </w:pPr>
            <w:r>
              <w:rPr>
                <w:szCs w:val="24"/>
              </w:rPr>
              <w:t>6 - Renforcer la diffusion des connaissances issues de R&amp;D par la formation et l'appui technique</w:t>
            </w:r>
          </w:p>
          <w:p w:rsidR="0035701C" w:rsidRDefault="00FB561B" w:rsidP="00FB561B">
            <w:pPr>
              <w:numPr>
                <w:ilvl w:val="0"/>
                <w:numId w:val="162"/>
              </w:numPr>
              <w:spacing w:before="0" w:after="0"/>
              <w:ind w:hanging="210"/>
              <w:jc w:val="left"/>
              <w:rPr>
                <w:szCs w:val="24"/>
              </w:rPr>
            </w:pPr>
            <w:r>
              <w:rPr>
                <w:szCs w:val="24"/>
              </w:rPr>
              <w:t>10 - Moderniser les infrastructures des exploitations</w:t>
            </w:r>
          </w:p>
          <w:p w:rsidR="0035701C" w:rsidRDefault="00FB561B" w:rsidP="00FB561B">
            <w:pPr>
              <w:numPr>
                <w:ilvl w:val="0"/>
                <w:numId w:val="162"/>
              </w:numPr>
              <w:spacing w:before="0" w:after="0"/>
              <w:ind w:hanging="210"/>
              <w:jc w:val="left"/>
              <w:rPr>
                <w:szCs w:val="24"/>
              </w:rPr>
            </w:pPr>
            <w:r>
              <w:rPr>
                <w:szCs w:val="24"/>
              </w:rPr>
              <w:t>12</w:t>
            </w:r>
            <w:r>
              <w:rPr>
                <w:szCs w:val="24"/>
              </w:rPr>
              <w:t xml:space="preserve"> - Favoriser une utilisation efficace de l'énergie et favoriser la production d'énergie renouvelable</w:t>
            </w:r>
          </w:p>
          <w:p w:rsidR="0035701C" w:rsidRDefault="00FB561B" w:rsidP="00FB561B">
            <w:pPr>
              <w:numPr>
                <w:ilvl w:val="0"/>
                <w:numId w:val="162"/>
              </w:numPr>
              <w:spacing w:before="0" w:after="0"/>
              <w:ind w:hanging="210"/>
              <w:jc w:val="left"/>
              <w:rPr>
                <w:szCs w:val="24"/>
              </w:rPr>
            </w:pPr>
            <w:r>
              <w:rPr>
                <w:szCs w:val="24"/>
              </w:rPr>
              <w:t>13 - Encourager la restructuration des unités d'élevage et favoriser la reconquête et la gestion des parcours pastoraux</w:t>
            </w:r>
          </w:p>
          <w:p w:rsidR="0035701C" w:rsidRDefault="00FB561B" w:rsidP="00FB561B">
            <w:pPr>
              <w:numPr>
                <w:ilvl w:val="0"/>
                <w:numId w:val="162"/>
              </w:numPr>
              <w:spacing w:before="0" w:after="0"/>
              <w:ind w:hanging="210"/>
              <w:jc w:val="left"/>
              <w:rPr>
                <w:szCs w:val="24"/>
              </w:rPr>
            </w:pPr>
            <w:r>
              <w:rPr>
                <w:szCs w:val="24"/>
              </w:rPr>
              <w:t xml:space="preserve">14 - Pérenniser l'arboriculture et </w:t>
            </w:r>
            <w:r>
              <w:rPr>
                <w:szCs w:val="24"/>
              </w:rPr>
              <w:t>développer les cultures pérennes</w:t>
            </w:r>
          </w:p>
          <w:p w:rsidR="0035701C" w:rsidRDefault="00FB561B" w:rsidP="00FB561B">
            <w:pPr>
              <w:numPr>
                <w:ilvl w:val="0"/>
                <w:numId w:val="162"/>
              </w:numPr>
              <w:spacing w:before="0" w:after="0"/>
              <w:ind w:hanging="210"/>
              <w:jc w:val="left"/>
              <w:rPr>
                <w:szCs w:val="24"/>
              </w:rPr>
            </w:pPr>
            <w:r>
              <w:rPr>
                <w:szCs w:val="24"/>
              </w:rPr>
              <w:t>15 - Compenser les handicaps naturels liés à la montagne, au climat et à l'insularité</w:t>
            </w:r>
          </w:p>
          <w:p w:rsidR="0035701C" w:rsidRDefault="00FB561B" w:rsidP="00FB561B">
            <w:pPr>
              <w:numPr>
                <w:ilvl w:val="0"/>
                <w:numId w:val="162"/>
              </w:numPr>
              <w:spacing w:before="0" w:after="0"/>
              <w:ind w:hanging="210"/>
              <w:jc w:val="left"/>
              <w:rPr>
                <w:szCs w:val="24"/>
              </w:rPr>
            </w:pPr>
            <w:r>
              <w:rPr>
                <w:szCs w:val="24"/>
              </w:rPr>
              <w:t>16 - Accroître la contribution de l'agriculture à la valorisation du patrimoine naturel, au maintien de la biodiversité, à la qualité des</w:t>
            </w:r>
            <w:r>
              <w:rPr>
                <w:szCs w:val="24"/>
              </w:rPr>
              <w:t xml:space="preserve"> paysages agricoles</w:t>
            </w:r>
          </w:p>
          <w:p w:rsidR="0035701C" w:rsidRDefault="00FB561B" w:rsidP="00FB561B">
            <w:pPr>
              <w:numPr>
                <w:ilvl w:val="0"/>
                <w:numId w:val="162"/>
              </w:numPr>
              <w:spacing w:before="0" w:after="0"/>
              <w:ind w:hanging="210"/>
              <w:jc w:val="left"/>
              <w:rPr>
                <w:szCs w:val="24"/>
              </w:rPr>
            </w:pPr>
            <w:r>
              <w:rPr>
                <w:szCs w:val="24"/>
              </w:rPr>
              <w:t>17 - Gérer les risques</w:t>
            </w:r>
          </w:p>
          <w:p w:rsidR="0035701C" w:rsidRDefault="00FB561B" w:rsidP="00FB561B">
            <w:pPr>
              <w:numPr>
                <w:ilvl w:val="0"/>
                <w:numId w:val="162"/>
              </w:numPr>
              <w:spacing w:before="0" w:after="0"/>
              <w:ind w:hanging="210"/>
              <w:jc w:val="left"/>
              <w:rPr>
                <w:szCs w:val="24"/>
              </w:rPr>
            </w:pPr>
            <w:r>
              <w:rPr>
                <w:szCs w:val="24"/>
              </w:rPr>
              <w:t>19 - Encourager et soutenir les démarches de qualité, valoriser les liens Produits/Terroirs  et développer la qualité environnementale, notamment l'Agriculture Biologique</w:t>
            </w:r>
          </w:p>
          <w:p w:rsidR="0035701C" w:rsidRDefault="00FB561B" w:rsidP="00FB561B">
            <w:pPr>
              <w:numPr>
                <w:ilvl w:val="0"/>
                <w:numId w:val="162"/>
              </w:numPr>
              <w:spacing w:before="0" w:after="0"/>
              <w:ind w:hanging="210"/>
              <w:jc w:val="left"/>
              <w:rPr>
                <w:szCs w:val="24"/>
              </w:rPr>
            </w:pPr>
            <w:r>
              <w:rPr>
                <w:szCs w:val="24"/>
              </w:rPr>
              <w:t xml:space="preserve">23 - Favoriser le regroupement foncier et </w:t>
            </w:r>
            <w:r>
              <w:rPr>
                <w:szCs w:val="24"/>
              </w:rPr>
              <w:t>économique des propriétaires forestiers</w:t>
            </w:r>
          </w:p>
          <w:p w:rsidR="0035701C" w:rsidRDefault="00FB561B" w:rsidP="00FB561B">
            <w:pPr>
              <w:numPr>
                <w:ilvl w:val="0"/>
                <w:numId w:val="162"/>
              </w:numPr>
              <w:spacing w:before="0" w:after="0"/>
              <w:ind w:hanging="210"/>
              <w:jc w:val="left"/>
              <w:rPr>
                <w:szCs w:val="24"/>
              </w:rPr>
            </w:pPr>
            <w:r>
              <w:rPr>
                <w:szCs w:val="24"/>
              </w:rPr>
              <w:t>24 - Développer la planification multifonctionnelle de l'usage des sols et notamment les pratiques sylvo-pastorales</w:t>
            </w:r>
          </w:p>
          <w:p w:rsidR="0035701C" w:rsidRDefault="00FB561B" w:rsidP="00FB561B">
            <w:pPr>
              <w:numPr>
                <w:ilvl w:val="0"/>
                <w:numId w:val="162"/>
              </w:numPr>
              <w:spacing w:before="0" w:after="0"/>
              <w:ind w:hanging="210"/>
              <w:jc w:val="left"/>
              <w:rPr>
                <w:szCs w:val="24"/>
              </w:rPr>
            </w:pPr>
            <w:r>
              <w:rPr>
                <w:szCs w:val="24"/>
              </w:rPr>
              <w:t xml:space="preserve">25 - Développer la sylviculture en lien avec le stockage du carbone et la biodiversité et améliorer </w:t>
            </w:r>
            <w:r>
              <w:rPr>
                <w:szCs w:val="24"/>
              </w:rPr>
              <w:t>l'exploitation forestière</w:t>
            </w:r>
          </w:p>
          <w:p w:rsidR="0035701C" w:rsidRDefault="00FB561B" w:rsidP="00FB561B">
            <w:pPr>
              <w:numPr>
                <w:ilvl w:val="0"/>
                <w:numId w:val="162"/>
              </w:numPr>
              <w:spacing w:before="0" w:after="240"/>
              <w:ind w:hanging="210"/>
              <w:jc w:val="left"/>
              <w:rPr>
                <w:szCs w:val="24"/>
              </w:rPr>
            </w:pPr>
            <w:r>
              <w:rPr>
                <w:szCs w:val="24"/>
              </w:rPr>
              <w:t>32 - Préserver le bon état de l'environnement, assurer le renouvellement des ressources naturelles et prévenir le risque incendie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xml:space="preserve">Ainsi 7 mesures sur les 11 mesures du programme s’attachent à répondre à ces enjeux (cf. tableau </w:t>
            </w:r>
            <w:r>
              <w:rPr>
                <w:szCs w:val="24"/>
              </w:rPr>
              <w:t>5.3 - mesures/OT).</w:t>
            </w:r>
          </w:p>
          <w:p w:rsidR="0035701C" w:rsidRDefault="00FB561B">
            <w:pPr>
              <w:spacing w:before="240" w:after="240"/>
              <w:jc w:val="left"/>
              <w:rPr>
                <w:szCs w:val="24"/>
              </w:rPr>
            </w:pPr>
            <w:r>
              <w:rPr>
                <w:szCs w:val="24"/>
              </w:rPr>
              <w:t>Il est en effet nécessaire dans le respect de conditions d’instruction des mesures prenant en compte les nécessités de développement durable de:</w:t>
            </w:r>
          </w:p>
          <w:p w:rsidR="0035701C" w:rsidRDefault="00FB561B" w:rsidP="00FB561B">
            <w:pPr>
              <w:numPr>
                <w:ilvl w:val="0"/>
                <w:numId w:val="163"/>
              </w:numPr>
              <w:spacing w:before="240" w:after="0"/>
              <w:ind w:hanging="210"/>
              <w:jc w:val="left"/>
              <w:rPr>
                <w:szCs w:val="24"/>
              </w:rPr>
            </w:pPr>
            <w:r>
              <w:rPr>
                <w:szCs w:val="24"/>
              </w:rPr>
              <w:t>favoriser la formation des agriculteurs aux enjeux du développement durable</w:t>
            </w:r>
          </w:p>
          <w:p w:rsidR="0035701C" w:rsidRDefault="00FB561B" w:rsidP="00FB561B">
            <w:pPr>
              <w:numPr>
                <w:ilvl w:val="0"/>
                <w:numId w:val="163"/>
              </w:numPr>
              <w:spacing w:before="0" w:after="0"/>
              <w:ind w:hanging="210"/>
              <w:jc w:val="left"/>
              <w:rPr>
                <w:szCs w:val="24"/>
              </w:rPr>
            </w:pPr>
            <w:r>
              <w:rPr>
                <w:szCs w:val="24"/>
              </w:rPr>
              <w:t>permettre la mis</w:t>
            </w:r>
            <w:r>
              <w:rPr>
                <w:szCs w:val="24"/>
              </w:rPr>
              <w:t>e en valeur des espaces en déprises en prenant en compte de façon accrue les enjeux environnementaux</w:t>
            </w:r>
          </w:p>
          <w:p w:rsidR="0035701C" w:rsidRDefault="00FB561B" w:rsidP="00FB561B">
            <w:pPr>
              <w:numPr>
                <w:ilvl w:val="0"/>
                <w:numId w:val="163"/>
              </w:numPr>
              <w:spacing w:before="0" w:after="0"/>
              <w:ind w:hanging="210"/>
              <w:jc w:val="left"/>
              <w:rPr>
                <w:szCs w:val="24"/>
              </w:rPr>
            </w:pPr>
            <w:r>
              <w:rPr>
                <w:szCs w:val="24"/>
              </w:rPr>
              <w:t>créer les infrastructures nécessaires à la viabilisation des espaces avec une empreinte écologique limitée</w:t>
            </w:r>
          </w:p>
          <w:p w:rsidR="0035701C" w:rsidRDefault="00FB561B" w:rsidP="00FB561B">
            <w:pPr>
              <w:numPr>
                <w:ilvl w:val="0"/>
                <w:numId w:val="163"/>
              </w:numPr>
              <w:spacing w:before="0" w:after="0"/>
              <w:ind w:hanging="210"/>
              <w:jc w:val="left"/>
              <w:rPr>
                <w:szCs w:val="24"/>
              </w:rPr>
            </w:pPr>
            <w:r>
              <w:rPr>
                <w:szCs w:val="24"/>
              </w:rPr>
              <w:t xml:space="preserve">gérer, protéger et équiper les zones naturelles </w:t>
            </w:r>
            <w:r>
              <w:rPr>
                <w:szCs w:val="24"/>
              </w:rPr>
              <w:t>et notamment les sites Natura 2000.</w:t>
            </w:r>
          </w:p>
          <w:p w:rsidR="0035701C" w:rsidRDefault="00FB561B" w:rsidP="00FB561B">
            <w:pPr>
              <w:numPr>
                <w:ilvl w:val="0"/>
                <w:numId w:val="163"/>
              </w:numPr>
              <w:spacing w:before="0" w:after="0"/>
              <w:ind w:hanging="210"/>
              <w:jc w:val="left"/>
              <w:rPr>
                <w:szCs w:val="24"/>
              </w:rPr>
            </w:pPr>
            <w:r>
              <w:rPr>
                <w:szCs w:val="24"/>
              </w:rPr>
              <w:t>protéger les forêts des risques d’incendies et de prévenir ces risques</w:t>
            </w:r>
          </w:p>
          <w:p w:rsidR="0035701C" w:rsidRDefault="00FB561B" w:rsidP="00FB561B">
            <w:pPr>
              <w:numPr>
                <w:ilvl w:val="0"/>
                <w:numId w:val="163"/>
              </w:numPr>
              <w:spacing w:before="0" w:after="0"/>
              <w:ind w:hanging="210"/>
              <w:jc w:val="left"/>
              <w:rPr>
                <w:szCs w:val="24"/>
              </w:rPr>
            </w:pPr>
            <w:r>
              <w:rPr>
                <w:szCs w:val="24"/>
              </w:rPr>
              <w:t>mettre en œuvre des pratiques sylvicoles en adéquation avec le maintien de la biodiversité et le stockage du carbone</w:t>
            </w:r>
          </w:p>
          <w:p w:rsidR="0035701C" w:rsidRDefault="00FB561B" w:rsidP="00FB561B">
            <w:pPr>
              <w:numPr>
                <w:ilvl w:val="0"/>
                <w:numId w:val="163"/>
              </w:numPr>
              <w:spacing w:before="0" w:after="0"/>
              <w:ind w:hanging="210"/>
              <w:jc w:val="left"/>
              <w:rPr>
                <w:szCs w:val="24"/>
              </w:rPr>
            </w:pPr>
            <w:r>
              <w:rPr>
                <w:szCs w:val="24"/>
              </w:rPr>
              <w:t>accompagner les agriculteurs dan</w:t>
            </w:r>
            <w:r>
              <w:rPr>
                <w:szCs w:val="24"/>
              </w:rPr>
              <w:t>s la mise en œuvre de pratiques agro-écologiques respectueuses de l’environnement</w:t>
            </w:r>
          </w:p>
          <w:p w:rsidR="0035701C" w:rsidRDefault="00FB561B" w:rsidP="00FB561B">
            <w:pPr>
              <w:numPr>
                <w:ilvl w:val="0"/>
                <w:numId w:val="163"/>
              </w:numPr>
              <w:spacing w:before="0" w:after="0"/>
              <w:ind w:hanging="210"/>
              <w:jc w:val="left"/>
              <w:rPr>
                <w:szCs w:val="24"/>
              </w:rPr>
            </w:pPr>
            <w:r>
              <w:rPr>
                <w:szCs w:val="24"/>
              </w:rPr>
              <w:t>développer l’agriculture biologique</w:t>
            </w:r>
          </w:p>
          <w:p w:rsidR="0035701C" w:rsidRDefault="00FB561B" w:rsidP="00FB561B">
            <w:pPr>
              <w:numPr>
                <w:ilvl w:val="0"/>
                <w:numId w:val="163"/>
              </w:numPr>
              <w:spacing w:before="0" w:after="240"/>
              <w:ind w:hanging="210"/>
              <w:jc w:val="left"/>
              <w:rPr>
                <w:szCs w:val="24"/>
              </w:rPr>
            </w:pPr>
            <w:r>
              <w:rPr>
                <w:szCs w:val="24"/>
              </w:rPr>
              <w:t>permettre le maintien de pratiques d’extensification de l’agriculture dans les zones présentant des handicaps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Climat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La situation décr</w:t>
            </w:r>
            <w:r>
              <w:rPr>
                <w:szCs w:val="24"/>
              </w:rPr>
              <w:t>ite dans la zone de programmation montre que la Corse va connaitre dans le contexte méditerranéen, insulaire et montagneux qui la caractérise, une évolution climatique rendant nécessaire un certain nombre de mesures d’adaptation.</w:t>
            </w:r>
          </w:p>
          <w:p w:rsidR="0035701C" w:rsidRDefault="00FB561B">
            <w:pPr>
              <w:spacing w:before="240" w:after="240"/>
              <w:jc w:val="left"/>
              <w:rPr>
                <w:szCs w:val="24"/>
              </w:rPr>
            </w:pPr>
            <w:r>
              <w:rPr>
                <w:szCs w:val="24"/>
              </w:rPr>
              <w:t>L’adaptation à ce changeme</w:t>
            </w:r>
            <w:r>
              <w:rPr>
                <w:szCs w:val="24"/>
              </w:rPr>
              <w:t>nt est envisagée dans le programme par des actions qui tiennent essentiellement à :</w:t>
            </w:r>
          </w:p>
          <w:p w:rsidR="0035701C" w:rsidRDefault="00FB561B" w:rsidP="00FB561B">
            <w:pPr>
              <w:numPr>
                <w:ilvl w:val="0"/>
                <w:numId w:val="164"/>
              </w:numPr>
              <w:spacing w:before="240" w:after="0"/>
              <w:ind w:hanging="210"/>
              <w:jc w:val="left"/>
              <w:rPr>
                <w:szCs w:val="24"/>
              </w:rPr>
            </w:pPr>
            <w:r>
              <w:rPr>
                <w:szCs w:val="24"/>
              </w:rPr>
              <w:t xml:space="preserve">Une gestion renforcée de la ressource en eau et notamment une amélioration ponctuelle de petits stockages, afin d’atteindre un bon état des masses d’eau ; sachant que </w:t>
            </w:r>
            <w:r>
              <w:rPr>
                <w:szCs w:val="24"/>
              </w:rPr>
              <w:t>l’amélioration de l’efficience des principaux réseaux d’irrigation de l’île est financée directement par la région hors FEADER.</w:t>
            </w:r>
          </w:p>
          <w:p w:rsidR="0035701C" w:rsidRDefault="00FB561B" w:rsidP="00FB561B">
            <w:pPr>
              <w:numPr>
                <w:ilvl w:val="0"/>
                <w:numId w:val="164"/>
              </w:numPr>
              <w:spacing w:before="0" w:after="240"/>
              <w:ind w:hanging="210"/>
              <w:jc w:val="left"/>
              <w:rPr>
                <w:szCs w:val="24"/>
              </w:rPr>
            </w:pPr>
            <w:r>
              <w:rPr>
                <w:szCs w:val="24"/>
              </w:rPr>
              <w:t>La recherche et le développement de systèmes de production plus résilients au changement climatique, notamment en assurant une m</w:t>
            </w:r>
            <w:r>
              <w:rPr>
                <w:szCs w:val="24"/>
              </w:rPr>
              <w:t>eilleure autonomie fourragère par le développement des surfaces pastorales et l’accès aux ressources spontanées du territoire.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Pour ce qui concerne les contributions à l’atténuation du changement climatique, il est envisagé sous plusieurs aspects :</w:t>
            </w:r>
          </w:p>
          <w:p w:rsidR="0035701C" w:rsidRDefault="00FB561B" w:rsidP="00FB561B">
            <w:pPr>
              <w:numPr>
                <w:ilvl w:val="0"/>
                <w:numId w:val="165"/>
              </w:numPr>
              <w:spacing w:before="240" w:after="0"/>
              <w:ind w:hanging="210"/>
              <w:jc w:val="left"/>
              <w:rPr>
                <w:szCs w:val="24"/>
              </w:rPr>
            </w:pPr>
            <w:r>
              <w:rPr>
                <w:szCs w:val="24"/>
              </w:rPr>
              <w:t>d’une</w:t>
            </w:r>
            <w:r>
              <w:rPr>
                <w:szCs w:val="24"/>
              </w:rPr>
              <w:t xml:space="preserve"> part développer la production agricole en maintenant des systèmes à faible impact sur les facteurs d’aggravation du changement climatique ; ce qui est déjà le cas si l’on compare les modes de production à certains systèmes continentaux.</w:t>
            </w:r>
          </w:p>
          <w:p w:rsidR="0035701C" w:rsidRDefault="00FB561B" w:rsidP="00FB561B">
            <w:pPr>
              <w:numPr>
                <w:ilvl w:val="0"/>
                <w:numId w:val="165"/>
              </w:numPr>
              <w:spacing w:before="0" w:after="240"/>
              <w:ind w:hanging="210"/>
              <w:jc w:val="left"/>
              <w:rPr>
                <w:szCs w:val="24"/>
              </w:rPr>
            </w:pPr>
            <w:r>
              <w:rPr>
                <w:szCs w:val="24"/>
              </w:rPr>
              <w:t>d’autre part favor</w:t>
            </w:r>
            <w:r>
              <w:rPr>
                <w:szCs w:val="24"/>
              </w:rPr>
              <w:t>iser les pratiques permettant le stockage du carbone, avec la particularité qu’il convient de gérer, protéger et renouveler ce stock.</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Ainsi 7 besoins sont plus particulièrement identifiés en relation avec l’OT2 : Climat (cf. tableau 5.3 : OT/besoins) :</w:t>
            </w:r>
          </w:p>
          <w:p w:rsidR="0035701C" w:rsidRDefault="00FB561B">
            <w:pPr>
              <w:spacing w:before="240" w:after="240"/>
              <w:jc w:val="left"/>
              <w:rPr>
                <w:szCs w:val="24"/>
              </w:rPr>
            </w:pPr>
            <w:r>
              <w:rPr>
                <w:szCs w:val="24"/>
              </w:rPr>
              <w:t> </w:t>
            </w:r>
          </w:p>
          <w:p w:rsidR="0035701C" w:rsidRDefault="00FB561B" w:rsidP="00FB561B">
            <w:pPr>
              <w:numPr>
                <w:ilvl w:val="0"/>
                <w:numId w:val="166"/>
              </w:numPr>
              <w:spacing w:before="240" w:after="0"/>
              <w:ind w:hanging="210"/>
              <w:jc w:val="left"/>
              <w:rPr>
                <w:szCs w:val="24"/>
              </w:rPr>
            </w:pPr>
            <w:r>
              <w:rPr>
                <w:szCs w:val="24"/>
              </w:rPr>
              <w:t>6 - Renforcer la diffusion des connaissances issues de R&amp;D par la formation et l'appui technique</w:t>
            </w:r>
          </w:p>
          <w:p w:rsidR="0035701C" w:rsidRDefault="00FB561B" w:rsidP="00FB561B">
            <w:pPr>
              <w:numPr>
                <w:ilvl w:val="0"/>
                <w:numId w:val="166"/>
              </w:numPr>
              <w:spacing w:before="0" w:after="0"/>
              <w:ind w:hanging="210"/>
              <w:jc w:val="left"/>
              <w:rPr>
                <w:szCs w:val="24"/>
              </w:rPr>
            </w:pPr>
            <w:r>
              <w:rPr>
                <w:szCs w:val="24"/>
              </w:rPr>
              <w:t>10 - Moderniser les infrastructures des exploitations</w:t>
            </w:r>
          </w:p>
          <w:p w:rsidR="0035701C" w:rsidRDefault="00FB561B" w:rsidP="00FB561B">
            <w:pPr>
              <w:numPr>
                <w:ilvl w:val="0"/>
                <w:numId w:val="166"/>
              </w:numPr>
              <w:spacing w:before="0" w:after="0"/>
              <w:ind w:hanging="210"/>
              <w:jc w:val="left"/>
              <w:rPr>
                <w:szCs w:val="24"/>
              </w:rPr>
            </w:pPr>
            <w:r>
              <w:rPr>
                <w:szCs w:val="24"/>
              </w:rPr>
              <w:t xml:space="preserve">13 - Encourager la restructuration des unités d'élevage et favoriser la reconquête et la gestion des </w:t>
            </w:r>
            <w:r>
              <w:rPr>
                <w:szCs w:val="24"/>
              </w:rPr>
              <w:t>parcours pastoraux       </w:t>
            </w:r>
          </w:p>
          <w:p w:rsidR="0035701C" w:rsidRDefault="00FB561B" w:rsidP="00FB561B">
            <w:pPr>
              <w:numPr>
                <w:ilvl w:val="0"/>
                <w:numId w:val="166"/>
              </w:numPr>
              <w:spacing w:before="0" w:after="0"/>
              <w:ind w:hanging="210"/>
              <w:jc w:val="left"/>
              <w:rPr>
                <w:szCs w:val="24"/>
              </w:rPr>
            </w:pPr>
            <w:r>
              <w:rPr>
                <w:szCs w:val="24"/>
              </w:rPr>
              <w:t>16 - Accroître la contribution de l'agriculture à la valorisation du patrimoine naturel, au maintien de la biodiversité, à la qualité des paysages agricoles</w:t>
            </w:r>
          </w:p>
          <w:p w:rsidR="0035701C" w:rsidRDefault="00FB561B" w:rsidP="00FB561B">
            <w:pPr>
              <w:numPr>
                <w:ilvl w:val="0"/>
                <w:numId w:val="166"/>
              </w:numPr>
              <w:spacing w:before="0" w:after="0"/>
              <w:ind w:hanging="210"/>
              <w:jc w:val="left"/>
              <w:rPr>
                <w:szCs w:val="24"/>
              </w:rPr>
            </w:pPr>
            <w:r>
              <w:rPr>
                <w:szCs w:val="24"/>
              </w:rPr>
              <w:t>17 - Gérer les risques</w:t>
            </w:r>
          </w:p>
          <w:p w:rsidR="0035701C" w:rsidRDefault="00FB561B" w:rsidP="00FB561B">
            <w:pPr>
              <w:numPr>
                <w:ilvl w:val="0"/>
                <w:numId w:val="166"/>
              </w:numPr>
              <w:spacing w:before="0" w:after="0"/>
              <w:ind w:hanging="210"/>
              <w:jc w:val="left"/>
              <w:rPr>
                <w:szCs w:val="24"/>
              </w:rPr>
            </w:pPr>
            <w:r>
              <w:rPr>
                <w:szCs w:val="24"/>
              </w:rPr>
              <w:t>25 - Développer la sylviculture en lien avec le st</w:t>
            </w:r>
            <w:r>
              <w:rPr>
                <w:szCs w:val="24"/>
              </w:rPr>
              <w:t>ockage du carbone et la biodiversité et améliorer l'exploitation forestière</w:t>
            </w:r>
          </w:p>
          <w:p w:rsidR="0035701C" w:rsidRDefault="00FB561B" w:rsidP="00FB561B">
            <w:pPr>
              <w:numPr>
                <w:ilvl w:val="0"/>
                <w:numId w:val="166"/>
              </w:numPr>
              <w:spacing w:before="0" w:after="240"/>
              <w:ind w:hanging="210"/>
              <w:jc w:val="left"/>
              <w:rPr>
                <w:szCs w:val="24"/>
              </w:rPr>
            </w:pPr>
            <w:r>
              <w:rPr>
                <w:szCs w:val="24"/>
              </w:rPr>
              <w:t>26 - Accroître la compétitivité  et les usages des produits de la forêt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Ainsi 5 mesures sur les 11 mesures du programme s’attachent à répondre à ces enjeux (cf. tableau 5.3 - mes</w:t>
            </w:r>
            <w:r>
              <w:rPr>
                <w:szCs w:val="24"/>
              </w:rPr>
              <w:t>ures/OT). Il est en effet prévu :</w:t>
            </w:r>
          </w:p>
          <w:p w:rsidR="0035701C" w:rsidRDefault="00FB561B" w:rsidP="00FB561B">
            <w:pPr>
              <w:numPr>
                <w:ilvl w:val="0"/>
                <w:numId w:val="167"/>
              </w:numPr>
              <w:spacing w:before="240" w:after="0"/>
              <w:ind w:hanging="210"/>
              <w:jc w:val="left"/>
              <w:rPr>
                <w:szCs w:val="24"/>
              </w:rPr>
            </w:pPr>
            <w:r>
              <w:rPr>
                <w:szCs w:val="24"/>
              </w:rPr>
              <w:t>D’accompagner les exploitations agricoles en promouvant une irrigation économe, notamment par un équipement ciblé,</w:t>
            </w:r>
          </w:p>
          <w:p w:rsidR="0035701C" w:rsidRDefault="00FB561B" w:rsidP="00FB561B">
            <w:pPr>
              <w:numPr>
                <w:ilvl w:val="0"/>
                <w:numId w:val="167"/>
              </w:numPr>
              <w:spacing w:before="0" w:after="0"/>
              <w:ind w:hanging="210"/>
              <w:jc w:val="left"/>
              <w:rPr>
                <w:szCs w:val="24"/>
              </w:rPr>
            </w:pPr>
            <w:r>
              <w:rPr>
                <w:szCs w:val="24"/>
              </w:rPr>
              <w:t>De soutenir par la formation la maîtrise des pratiques de gestion de la ressource hydrique de la part des p</w:t>
            </w:r>
            <w:r>
              <w:rPr>
                <w:szCs w:val="24"/>
              </w:rPr>
              <w:t>roducteurs</w:t>
            </w:r>
          </w:p>
          <w:p w:rsidR="0035701C" w:rsidRDefault="00FB561B" w:rsidP="00FB561B">
            <w:pPr>
              <w:numPr>
                <w:ilvl w:val="0"/>
                <w:numId w:val="167"/>
              </w:numPr>
              <w:spacing w:before="0" w:after="0"/>
              <w:ind w:hanging="210"/>
              <w:jc w:val="left"/>
              <w:rPr>
                <w:szCs w:val="24"/>
              </w:rPr>
            </w:pPr>
            <w:r>
              <w:rPr>
                <w:szCs w:val="24"/>
              </w:rPr>
              <w:t>De favoriser quelques projets remarquables de petites infrastructures en matière de stockage ponctuel de la ressource en eau,</w:t>
            </w:r>
          </w:p>
          <w:p w:rsidR="0035701C" w:rsidRDefault="00FB561B" w:rsidP="00FB561B">
            <w:pPr>
              <w:numPr>
                <w:ilvl w:val="0"/>
                <w:numId w:val="167"/>
              </w:numPr>
              <w:spacing w:before="0" w:after="0"/>
              <w:ind w:hanging="210"/>
              <w:jc w:val="left"/>
              <w:rPr>
                <w:szCs w:val="24"/>
              </w:rPr>
            </w:pPr>
            <w:r>
              <w:rPr>
                <w:szCs w:val="24"/>
              </w:rPr>
              <w:t>De favoriser le recours aux ressources fourragères spontanées par l’amélioration pastorale des terrains</w:t>
            </w:r>
          </w:p>
          <w:p w:rsidR="0035701C" w:rsidRDefault="00FB561B" w:rsidP="00FB561B">
            <w:pPr>
              <w:numPr>
                <w:ilvl w:val="0"/>
                <w:numId w:val="167"/>
              </w:numPr>
              <w:spacing w:before="0" w:after="0"/>
              <w:ind w:hanging="210"/>
              <w:jc w:val="left"/>
              <w:rPr>
                <w:szCs w:val="24"/>
              </w:rPr>
            </w:pPr>
            <w:r>
              <w:rPr>
                <w:szCs w:val="24"/>
              </w:rPr>
              <w:t>De mettre en œu</w:t>
            </w:r>
            <w:r>
              <w:rPr>
                <w:szCs w:val="24"/>
              </w:rPr>
              <w:t>vre des pratiques sylvicoles en adéquation avec le maintien de la biodiversité et le stockage du carbone</w:t>
            </w:r>
          </w:p>
          <w:p w:rsidR="0035701C" w:rsidRDefault="00FB561B" w:rsidP="00FB561B">
            <w:pPr>
              <w:numPr>
                <w:ilvl w:val="0"/>
                <w:numId w:val="167"/>
              </w:numPr>
              <w:spacing w:before="0" w:after="0"/>
              <w:ind w:hanging="210"/>
              <w:jc w:val="left"/>
              <w:rPr>
                <w:szCs w:val="24"/>
              </w:rPr>
            </w:pPr>
            <w:r>
              <w:rPr>
                <w:szCs w:val="24"/>
              </w:rPr>
              <w:t>D’accompagner les agriculteurs dans la mise en œuvre de pratiques agro-écologiques ayant un impact positif sur la ressource en eau</w:t>
            </w:r>
          </w:p>
          <w:p w:rsidR="0035701C" w:rsidRDefault="00FB561B" w:rsidP="00FB561B">
            <w:pPr>
              <w:numPr>
                <w:ilvl w:val="0"/>
                <w:numId w:val="167"/>
              </w:numPr>
              <w:spacing w:before="0" w:after="0"/>
              <w:ind w:hanging="210"/>
              <w:jc w:val="left"/>
              <w:rPr>
                <w:szCs w:val="24"/>
              </w:rPr>
            </w:pPr>
            <w:r>
              <w:rPr>
                <w:szCs w:val="24"/>
              </w:rPr>
              <w:t>De développer l’agri</w:t>
            </w:r>
            <w:r>
              <w:rPr>
                <w:szCs w:val="24"/>
              </w:rPr>
              <w:t>culture biologique</w:t>
            </w:r>
          </w:p>
          <w:p w:rsidR="0035701C" w:rsidRDefault="00FB561B" w:rsidP="00FB561B">
            <w:pPr>
              <w:numPr>
                <w:ilvl w:val="0"/>
                <w:numId w:val="167"/>
              </w:numPr>
              <w:spacing w:before="0" w:after="240"/>
              <w:ind w:hanging="210"/>
              <w:jc w:val="left"/>
              <w:rPr>
                <w:szCs w:val="24"/>
              </w:rPr>
            </w:pPr>
            <w:r>
              <w:rPr>
                <w:szCs w:val="24"/>
              </w:rPr>
              <w:t>De permettre le maintien de pratiques d’extensification de l’élevage dans les zones présentant des handicaps</w:t>
            </w:r>
          </w:p>
          <w:p w:rsidR="0035701C" w:rsidRDefault="00FB561B">
            <w:pPr>
              <w:spacing w:before="240" w:after="240"/>
              <w:jc w:val="left"/>
              <w:rPr>
                <w:szCs w:val="24"/>
              </w:rPr>
            </w:pPr>
            <w:r>
              <w:rPr>
                <w:b/>
                <w:bCs/>
                <w:szCs w:val="24"/>
              </w:rPr>
              <w:t>Innovation</w:t>
            </w:r>
          </w:p>
          <w:p w:rsidR="0035701C" w:rsidRDefault="00FB561B">
            <w:pPr>
              <w:spacing w:before="240" w:after="240"/>
              <w:jc w:val="left"/>
              <w:rPr>
                <w:szCs w:val="24"/>
              </w:rPr>
            </w:pPr>
            <w:r>
              <w:rPr>
                <w:szCs w:val="24"/>
              </w:rPr>
              <w:t xml:space="preserve">Le PDR Corse vise dans sa stratégie une innovation axée sur les deux priorités transversales précédentes et sur la </w:t>
            </w:r>
            <w:r>
              <w:rPr>
                <w:szCs w:val="24"/>
              </w:rPr>
              <w:t>qualité des produits. Les lieux d’innovation ciblés sont les exploitations agricoles, les entreprises du domaine de l’agroalimentaire, de la forêt et du bois ainsi que les petites entreprises de service à la population en milieu rural. Les moyens consacrés</w:t>
            </w:r>
            <w:r>
              <w:rPr>
                <w:szCs w:val="24"/>
              </w:rPr>
              <w:t xml:space="preserve"> à l’innovation sont essentiellement mis en oeuvre par un plan régional Etat-Région triénnal (Plan d'avenir) qui comprend :</w:t>
            </w:r>
          </w:p>
          <w:p w:rsidR="0035701C" w:rsidRDefault="00FB561B" w:rsidP="00FB561B">
            <w:pPr>
              <w:numPr>
                <w:ilvl w:val="0"/>
                <w:numId w:val="168"/>
              </w:numPr>
              <w:spacing w:before="240" w:after="0"/>
              <w:ind w:hanging="210"/>
              <w:jc w:val="left"/>
              <w:rPr>
                <w:szCs w:val="24"/>
              </w:rPr>
            </w:pPr>
            <w:r>
              <w:rPr>
                <w:szCs w:val="24"/>
              </w:rPr>
              <w:t>des actions de coopération, afin de connecter au mieux le monde de la recherche à celui des entreprises, et de mettre en réseaux les</w:t>
            </w:r>
            <w:r>
              <w:rPr>
                <w:szCs w:val="24"/>
              </w:rPr>
              <w:t xml:space="preserve"> entreprises et les acteurs d'une filière entre eux, notamment par le soutien à la création d'associations interprofessionnelles.</w:t>
            </w:r>
          </w:p>
          <w:p w:rsidR="0035701C" w:rsidRDefault="00FB561B" w:rsidP="00FB561B">
            <w:pPr>
              <w:numPr>
                <w:ilvl w:val="0"/>
                <w:numId w:val="168"/>
              </w:numPr>
              <w:spacing w:before="0" w:after="0"/>
              <w:ind w:hanging="210"/>
              <w:jc w:val="left"/>
              <w:rPr>
                <w:szCs w:val="24"/>
              </w:rPr>
            </w:pPr>
            <w:r>
              <w:rPr>
                <w:szCs w:val="24"/>
              </w:rPr>
              <w:t>des actions d'expérimentation de sélection et de gestion de races locales,</w:t>
            </w:r>
          </w:p>
          <w:p w:rsidR="0035701C" w:rsidRDefault="00FB561B" w:rsidP="00FB561B">
            <w:pPr>
              <w:numPr>
                <w:ilvl w:val="0"/>
                <w:numId w:val="168"/>
              </w:numPr>
              <w:spacing w:before="0" w:after="240"/>
              <w:ind w:hanging="210"/>
              <w:jc w:val="left"/>
              <w:rPr>
                <w:szCs w:val="24"/>
              </w:rPr>
            </w:pPr>
            <w:r>
              <w:rPr>
                <w:szCs w:val="24"/>
              </w:rPr>
              <w:t>le soutien à la recherche et au développement en li</w:t>
            </w:r>
            <w:r>
              <w:rPr>
                <w:szCs w:val="24"/>
              </w:rPr>
              <w:t>en avec les démarches Qualité des produits.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Ainsi 17 besoins sont plus particulièrement identifiés en relation avec l’OT3 : Innovation (cf. tableau 5.3 : OT/besoins) :</w:t>
            </w:r>
          </w:p>
          <w:p w:rsidR="0035701C" w:rsidRDefault="00FB561B" w:rsidP="00FB561B">
            <w:pPr>
              <w:numPr>
                <w:ilvl w:val="0"/>
                <w:numId w:val="169"/>
              </w:numPr>
              <w:spacing w:before="240" w:after="0"/>
              <w:ind w:hanging="210"/>
              <w:jc w:val="left"/>
              <w:rPr>
                <w:szCs w:val="24"/>
              </w:rPr>
            </w:pPr>
            <w:r>
              <w:rPr>
                <w:szCs w:val="24"/>
              </w:rPr>
              <w:t>6 - Renforcer la diffusion des connaissances issues de R&amp;D par la formation et l'appui</w:t>
            </w:r>
            <w:r>
              <w:rPr>
                <w:szCs w:val="24"/>
              </w:rPr>
              <w:t xml:space="preserve"> technique</w:t>
            </w:r>
          </w:p>
          <w:p w:rsidR="0035701C" w:rsidRDefault="00FB561B" w:rsidP="00FB561B">
            <w:pPr>
              <w:numPr>
                <w:ilvl w:val="0"/>
                <w:numId w:val="169"/>
              </w:numPr>
              <w:spacing w:before="0" w:after="0"/>
              <w:ind w:hanging="210"/>
              <w:jc w:val="left"/>
              <w:rPr>
                <w:szCs w:val="24"/>
              </w:rPr>
            </w:pPr>
            <w:r>
              <w:rPr>
                <w:szCs w:val="24"/>
              </w:rPr>
              <w:t>10 - Moderniser les infrastructures des exploitations</w:t>
            </w:r>
          </w:p>
          <w:p w:rsidR="0035701C" w:rsidRDefault="00FB561B" w:rsidP="00FB561B">
            <w:pPr>
              <w:numPr>
                <w:ilvl w:val="0"/>
                <w:numId w:val="169"/>
              </w:numPr>
              <w:spacing w:before="0" w:after="0"/>
              <w:ind w:hanging="210"/>
              <w:jc w:val="left"/>
              <w:rPr>
                <w:szCs w:val="24"/>
              </w:rPr>
            </w:pPr>
            <w:r>
              <w:rPr>
                <w:szCs w:val="24"/>
              </w:rPr>
              <w:t>13 - Encourager la restructuration des unités d'élevage et favoriser la reconquête et la gestion des parcours pastoraux</w:t>
            </w:r>
          </w:p>
          <w:p w:rsidR="0035701C" w:rsidRDefault="00FB561B" w:rsidP="00FB561B">
            <w:pPr>
              <w:numPr>
                <w:ilvl w:val="0"/>
                <w:numId w:val="169"/>
              </w:numPr>
              <w:spacing w:before="0" w:after="0"/>
              <w:ind w:hanging="210"/>
              <w:jc w:val="left"/>
              <w:rPr>
                <w:szCs w:val="24"/>
              </w:rPr>
            </w:pPr>
            <w:r>
              <w:rPr>
                <w:szCs w:val="24"/>
              </w:rPr>
              <w:t>26 - Accroître la compétitivité  et les usages des produits de la forêt</w:t>
            </w:r>
          </w:p>
          <w:p w:rsidR="0035701C" w:rsidRDefault="00FB561B" w:rsidP="00FB561B">
            <w:pPr>
              <w:numPr>
                <w:ilvl w:val="0"/>
                <w:numId w:val="169"/>
              </w:numPr>
              <w:spacing w:before="0" w:after="0"/>
              <w:ind w:hanging="210"/>
              <w:jc w:val="left"/>
              <w:rPr>
                <w:szCs w:val="24"/>
              </w:rPr>
            </w:pPr>
            <w:r>
              <w:rPr>
                <w:szCs w:val="24"/>
              </w:rPr>
              <w:t>4 - Sensibiliser, communiquer et éduquer sur les produits et savoir-faire locaux</w:t>
            </w:r>
          </w:p>
          <w:p w:rsidR="0035701C" w:rsidRDefault="00FB561B" w:rsidP="00FB561B">
            <w:pPr>
              <w:numPr>
                <w:ilvl w:val="0"/>
                <w:numId w:val="169"/>
              </w:numPr>
              <w:spacing w:before="0" w:after="0"/>
              <w:ind w:hanging="210"/>
              <w:jc w:val="left"/>
              <w:rPr>
                <w:szCs w:val="24"/>
              </w:rPr>
            </w:pPr>
            <w:r>
              <w:rPr>
                <w:szCs w:val="24"/>
              </w:rPr>
              <w:t>5 - Professionnaliser par la formation, accompagnement technique et administratif des agriculteurs, des sylviculteurs et des entrepreneurs en milieu rural</w:t>
            </w:r>
          </w:p>
          <w:p w:rsidR="0035701C" w:rsidRDefault="00FB561B" w:rsidP="00FB561B">
            <w:pPr>
              <w:numPr>
                <w:ilvl w:val="0"/>
                <w:numId w:val="169"/>
              </w:numPr>
              <w:spacing w:before="0" w:after="0"/>
              <w:ind w:hanging="210"/>
              <w:jc w:val="left"/>
              <w:rPr>
                <w:szCs w:val="24"/>
              </w:rPr>
            </w:pPr>
            <w:r>
              <w:rPr>
                <w:szCs w:val="24"/>
              </w:rPr>
              <w:t>8 - Améliorer le re</w:t>
            </w:r>
            <w:r>
              <w:rPr>
                <w:szCs w:val="24"/>
              </w:rPr>
              <w:t>venu des agriculteurs par le développement de l'outil de travail et la diversification des activités</w:t>
            </w:r>
          </w:p>
          <w:p w:rsidR="0035701C" w:rsidRDefault="00FB561B" w:rsidP="00FB561B">
            <w:pPr>
              <w:numPr>
                <w:ilvl w:val="0"/>
                <w:numId w:val="169"/>
              </w:numPr>
              <w:spacing w:before="0" w:after="0"/>
              <w:ind w:hanging="210"/>
              <w:jc w:val="left"/>
              <w:rPr>
                <w:szCs w:val="24"/>
              </w:rPr>
            </w:pPr>
            <w:r>
              <w:rPr>
                <w:szCs w:val="24"/>
              </w:rPr>
              <w:t>9 - Accroître et élargir la production et la transformation pour répondre à la demande et augmenter les parts du marché local</w:t>
            </w:r>
          </w:p>
          <w:p w:rsidR="0035701C" w:rsidRDefault="00FB561B" w:rsidP="00FB561B">
            <w:pPr>
              <w:numPr>
                <w:ilvl w:val="0"/>
                <w:numId w:val="169"/>
              </w:numPr>
              <w:spacing w:before="0" w:after="0"/>
              <w:ind w:hanging="210"/>
              <w:jc w:val="left"/>
              <w:rPr>
                <w:szCs w:val="24"/>
              </w:rPr>
            </w:pPr>
            <w:r>
              <w:rPr>
                <w:szCs w:val="24"/>
              </w:rPr>
              <w:t>11 - Accroître la capacité d'</w:t>
            </w:r>
            <w:r>
              <w:rPr>
                <w:szCs w:val="24"/>
              </w:rPr>
              <w:t>investissement en développant les outils d'ingénierie financière</w:t>
            </w:r>
          </w:p>
          <w:p w:rsidR="0035701C" w:rsidRDefault="00FB561B" w:rsidP="00FB561B">
            <w:pPr>
              <w:numPr>
                <w:ilvl w:val="0"/>
                <w:numId w:val="169"/>
              </w:numPr>
              <w:spacing w:before="0" w:after="0"/>
              <w:ind w:hanging="210"/>
              <w:jc w:val="left"/>
              <w:rPr>
                <w:szCs w:val="24"/>
              </w:rPr>
            </w:pPr>
            <w:r>
              <w:rPr>
                <w:szCs w:val="24"/>
              </w:rPr>
              <w:t>18 - Poursuivre et consolider les actions de Recherche et Développement</w:t>
            </w:r>
          </w:p>
          <w:p w:rsidR="0035701C" w:rsidRDefault="00FB561B" w:rsidP="00FB561B">
            <w:pPr>
              <w:numPr>
                <w:ilvl w:val="0"/>
                <w:numId w:val="169"/>
              </w:numPr>
              <w:spacing w:before="0" w:after="0"/>
              <w:ind w:hanging="210"/>
              <w:jc w:val="left"/>
              <w:rPr>
                <w:szCs w:val="24"/>
              </w:rPr>
            </w:pPr>
            <w:r>
              <w:rPr>
                <w:szCs w:val="24"/>
              </w:rPr>
              <w:t>19 - Encourager et soutenir les démarches de qualité, valoriser les liens Produits/Terroirs et développer la qualité en</w:t>
            </w:r>
            <w:r>
              <w:rPr>
                <w:szCs w:val="24"/>
              </w:rPr>
              <w:t>vironnementale, notamment l'Agriculture Biologique</w:t>
            </w:r>
          </w:p>
          <w:p w:rsidR="0035701C" w:rsidRDefault="00FB561B" w:rsidP="00FB561B">
            <w:pPr>
              <w:numPr>
                <w:ilvl w:val="0"/>
                <w:numId w:val="169"/>
              </w:numPr>
              <w:spacing w:before="0" w:after="0"/>
              <w:ind w:hanging="210"/>
              <w:jc w:val="left"/>
              <w:rPr>
                <w:szCs w:val="24"/>
              </w:rPr>
            </w:pPr>
            <w:r>
              <w:rPr>
                <w:szCs w:val="24"/>
              </w:rPr>
              <w:t>20 - Renforcer la diffusion et la promotion des produits sur le marché local, national et international</w:t>
            </w:r>
          </w:p>
          <w:p w:rsidR="0035701C" w:rsidRDefault="00FB561B" w:rsidP="00FB561B">
            <w:pPr>
              <w:numPr>
                <w:ilvl w:val="0"/>
                <w:numId w:val="169"/>
              </w:numPr>
              <w:spacing w:before="0" w:after="0"/>
              <w:ind w:hanging="210"/>
              <w:jc w:val="left"/>
              <w:rPr>
                <w:szCs w:val="24"/>
              </w:rPr>
            </w:pPr>
            <w:r>
              <w:rPr>
                <w:szCs w:val="24"/>
              </w:rPr>
              <w:t>21 - Promouvoir les actions collectives et l'organisation économique des producteurs</w:t>
            </w:r>
          </w:p>
          <w:p w:rsidR="0035701C" w:rsidRDefault="00FB561B" w:rsidP="00FB561B">
            <w:pPr>
              <w:numPr>
                <w:ilvl w:val="0"/>
                <w:numId w:val="169"/>
              </w:numPr>
              <w:spacing w:before="0" w:after="0"/>
              <w:ind w:hanging="210"/>
              <w:jc w:val="left"/>
              <w:rPr>
                <w:szCs w:val="24"/>
              </w:rPr>
            </w:pPr>
            <w:r>
              <w:rPr>
                <w:szCs w:val="24"/>
              </w:rPr>
              <w:t xml:space="preserve">22 - Favoriser </w:t>
            </w:r>
            <w:r>
              <w:rPr>
                <w:szCs w:val="24"/>
              </w:rPr>
              <w:t>la diversification des productions par l'innovation technologique et l'émergence de nouveaux produits</w:t>
            </w:r>
          </w:p>
          <w:p w:rsidR="0035701C" w:rsidRDefault="00FB561B" w:rsidP="00FB561B">
            <w:pPr>
              <w:numPr>
                <w:ilvl w:val="0"/>
                <w:numId w:val="169"/>
              </w:numPr>
              <w:spacing w:before="0" w:after="0"/>
              <w:ind w:hanging="210"/>
              <w:jc w:val="left"/>
              <w:rPr>
                <w:szCs w:val="24"/>
              </w:rPr>
            </w:pPr>
            <w:r>
              <w:rPr>
                <w:szCs w:val="24"/>
              </w:rPr>
              <w:t>27 - Susciter, accompagner l'émergence de dynamique territoriale de projet</w:t>
            </w:r>
          </w:p>
          <w:p w:rsidR="0035701C" w:rsidRDefault="00FB561B" w:rsidP="00FB561B">
            <w:pPr>
              <w:numPr>
                <w:ilvl w:val="0"/>
                <w:numId w:val="169"/>
              </w:numPr>
              <w:spacing w:before="0" w:after="0"/>
              <w:ind w:hanging="210"/>
              <w:jc w:val="left"/>
              <w:rPr>
                <w:szCs w:val="24"/>
              </w:rPr>
            </w:pPr>
            <w:r>
              <w:rPr>
                <w:szCs w:val="24"/>
              </w:rPr>
              <w:t>29 - Favoriser la coopération, l'innovation organisationnelle et la constitutio</w:t>
            </w:r>
            <w:r>
              <w:rPr>
                <w:szCs w:val="24"/>
              </w:rPr>
              <w:t>n de réseaux</w:t>
            </w:r>
          </w:p>
          <w:p w:rsidR="0035701C" w:rsidRDefault="00FB561B" w:rsidP="00FB561B">
            <w:pPr>
              <w:numPr>
                <w:ilvl w:val="0"/>
                <w:numId w:val="169"/>
              </w:numPr>
              <w:spacing w:before="0" w:after="240"/>
              <w:ind w:hanging="210"/>
              <w:jc w:val="left"/>
              <w:rPr>
                <w:szCs w:val="24"/>
              </w:rPr>
            </w:pPr>
            <w:r>
              <w:rPr>
                <w:szCs w:val="24"/>
              </w:rPr>
              <w:t>30 - Favoriser les approches du développement endogène visant à la valorisation des ressources productives, culturelles et patrimoniales des territoires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Ainsi 10 mesures sur les 11 mesures du programme permettent de répondre directement ou i</w:t>
            </w:r>
            <w:r>
              <w:rPr>
                <w:szCs w:val="24"/>
              </w:rPr>
              <w:t>ndirectement à ces enjeux :</w:t>
            </w:r>
          </w:p>
          <w:p w:rsidR="0035701C" w:rsidRDefault="00FB561B" w:rsidP="00FB561B">
            <w:pPr>
              <w:numPr>
                <w:ilvl w:val="0"/>
                <w:numId w:val="170"/>
              </w:numPr>
              <w:spacing w:before="240" w:after="0"/>
              <w:ind w:hanging="210"/>
              <w:jc w:val="left"/>
              <w:rPr>
                <w:szCs w:val="24"/>
              </w:rPr>
            </w:pPr>
            <w:r>
              <w:rPr>
                <w:szCs w:val="24"/>
              </w:rPr>
              <w:t>de favoriser le transfert de connaissances afin de renforcer les capacités individuelles et collectives</w:t>
            </w:r>
          </w:p>
          <w:p w:rsidR="0035701C" w:rsidRDefault="00FB561B" w:rsidP="00FB561B">
            <w:pPr>
              <w:numPr>
                <w:ilvl w:val="0"/>
                <w:numId w:val="170"/>
              </w:numPr>
              <w:spacing w:before="0" w:after="0"/>
              <w:ind w:hanging="210"/>
              <w:jc w:val="left"/>
              <w:rPr>
                <w:szCs w:val="24"/>
              </w:rPr>
            </w:pPr>
            <w:r>
              <w:rPr>
                <w:szCs w:val="24"/>
              </w:rPr>
              <w:t>d’accompagner par des conseils ciblés les jeunes générations de producteurs</w:t>
            </w:r>
          </w:p>
          <w:p w:rsidR="0035701C" w:rsidRDefault="00FB561B" w:rsidP="00FB561B">
            <w:pPr>
              <w:numPr>
                <w:ilvl w:val="0"/>
                <w:numId w:val="170"/>
              </w:numPr>
              <w:spacing w:before="0" w:after="0"/>
              <w:ind w:hanging="210"/>
              <w:jc w:val="left"/>
              <w:rPr>
                <w:szCs w:val="24"/>
              </w:rPr>
            </w:pPr>
            <w:r>
              <w:rPr>
                <w:szCs w:val="24"/>
              </w:rPr>
              <w:t xml:space="preserve">de favoriser le regroupement des producteurs </w:t>
            </w:r>
            <w:r>
              <w:rPr>
                <w:szCs w:val="24"/>
              </w:rPr>
              <w:t>dans des démarches d’organisation professionnelle, en particulier favoriser une offre de produits de qualité.</w:t>
            </w:r>
          </w:p>
          <w:p w:rsidR="0035701C" w:rsidRDefault="00FB561B" w:rsidP="00FB561B">
            <w:pPr>
              <w:numPr>
                <w:ilvl w:val="0"/>
                <w:numId w:val="170"/>
              </w:numPr>
              <w:spacing w:before="0" w:after="0"/>
              <w:ind w:hanging="210"/>
              <w:jc w:val="left"/>
              <w:rPr>
                <w:szCs w:val="24"/>
              </w:rPr>
            </w:pPr>
            <w:r>
              <w:rPr>
                <w:szCs w:val="24"/>
              </w:rPr>
              <w:t>de soutenir l’innovation technologique par la modernisation des exploitations,</w:t>
            </w:r>
          </w:p>
          <w:p w:rsidR="0035701C" w:rsidRDefault="00FB561B" w:rsidP="00FB561B">
            <w:pPr>
              <w:numPr>
                <w:ilvl w:val="0"/>
                <w:numId w:val="170"/>
              </w:numPr>
              <w:spacing w:before="0" w:after="0"/>
              <w:ind w:hanging="210"/>
              <w:jc w:val="left"/>
              <w:rPr>
                <w:szCs w:val="24"/>
              </w:rPr>
            </w:pPr>
            <w:r>
              <w:rPr>
                <w:szCs w:val="24"/>
              </w:rPr>
              <w:t>de favoriser l’émergence d’entreprises et de services présentant un</w:t>
            </w:r>
            <w:r>
              <w:rPr>
                <w:szCs w:val="24"/>
              </w:rPr>
              <w:t>e innovation pour les territoires ruraux</w:t>
            </w:r>
          </w:p>
          <w:p w:rsidR="0035701C" w:rsidRDefault="00FB561B" w:rsidP="00FB561B">
            <w:pPr>
              <w:numPr>
                <w:ilvl w:val="0"/>
                <w:numId w:val="170"/>
              </w:numPr>
              <w:spacing w:before="0" w:after="0"/>
              <w:ind w:hanging="210"/>
              <w:jc w:val="left"/>
              <w:rPr>
                <w:szCs w:val="24"/>
              </w:rPr>
            </w:pPr>
            <w:r>
              <w:rPr>
                <w:szCs w:val="24"/>
              </w:rPr>
              <w:t>de soutenir par la coopération l’innovation collective, et notamment,</w:t>
            </w:r>
          </w:p>
          <w:p w:rsidR="0035701C" w:rsidRDefault="00FB561B" w:rsidP="00FB561B">
            <w:pPr>
              <w:numPr>
                <w:ilvl w:val="0"/>
                <w:numId w:val="170"/>
              </w:numPr>
              <w:spacing w:before="0" w:after="240"/>
              <w:ind w:hanging="210"/>
              <w:jc w:val="left"/>
              <w:rPr>
                <w:szCs w:val="24"/>
              </w:rPr>
            </w:pPr>
            <w:r>
              <w:rPr>
                <w:szCs w:val="24"/>
              </w:rPr>
              <w:t>de mettre en place une plateforme pour le PEI en faveur de la recherche, de l’innovation et du développement.</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35701C">
      <w:pPr>
        <w:sectPr w:rsidR="0035701C">
          <w:pgSz w:w="12240" w:h="15840"/>
          <w:pgMar w:top="900" w:right="900" w:bottom="900" w:left="900" w:header="720" w:footer="720" w:gutter="0"/>
          <w:cols w:space="720"/>
        </w:sectPr>
      </w:pPr>
    </w:p>
    <w:p w:rsidR="0035701C" w:rsidRDefault="00FB561B">
      <w:pPr>
        <w:pStyle w:val="Titre2"/>
      </w:pPr>
      <w:bookmarkStart w:id="81" w:name="_Toc256000080"/>
      <w:r>
        <w:t>Tableau récapitulatif</w:t>
      </w:r>
      <w:r>
        <w:t xml:space="preserve"> de la logique d’intervention indiquant les priorités et domaines prioritaires retenus pour le PDR, les objectifs quantifiés et la combinaison de mesures à utiliser pour les atteindre (tableau généré automatiquement à partir des informations fournies aux s</w:t>
      </w:r>
      <w:r>
        <w:t>ections 5.2 et 11)</w:t>
      </w:r>
      <w:bookmarkEnd w:id="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2131"/>
        <w:gridCol w:w="2131"/>
        <w:gridCol w:w="2131"/>
        <w:gridCol w:w="2132"/>
      </w:tblGrid>
      <w:tr w:rsidR="0035701C">
        <w:tc>
          <w:tcPr>
            <w:tcW w:w="-5536" w:type="dxa"/>
            <w:gridSpan w:val="5"/>
            <w:shd w:val="clear" w:color="auto" w:fill="808080"/>
            <w:tcMar>
              <w:top w:w="20" w:type="dxa"/>
              <w:bottom w:w="20" w:type="dxa"/>
            </w:tcMar>
            <w:vAlign w:val="bottom"/>
          </w:tcPr>
          <w:p w:rsidR="0035701C" w:rsidRDefault="00FB561B">
            <w:pPr>
              <w:jc w:val="left"/>
            </w:pPr>
            <w:r>
              <w:rPr>
                <w:b/>
                <w:sz w:val="20"/>
              </w:rPr>
              <w:t>Priorité 1</w:t>
            </w:r>
          </w:p>
        </w:tc>
      </w:tr>
      <w:tr w:rsidR="0035701C">
        <w:tc>
          <w:tcPr>
            <w:tcW w:w="12000" w:type="dxa"/>
            <w:shd w:val="clear" w:color="auto" w:fill="C0C0C0"/>
            <w:tcMar>
              <w:top w:w="20" w:type="dxa"/>
              <w:bottom w:w="20" w:type="dxa"/>
            </w:tcMar>
            <w:vAlign w:val="bottom"/>
          </w:tcPr>
          <w:p w:rsidR="0035701C" w:rsidRDefault="00FB561B">
            <w:pPr>
              <w:jc w:val="center"/>
              <w:rPr>
                <w:sz w:val="16"/>
              </w:rPr>
            </w:pPr>
            <w:r>
              <w:rPr>
                <w:sz w:val="16"/>
              </w:rPr>
              <w:t>Domaine prioritaire</w:t>
            </w:r>
          </w:p>
        </w:tc>
        <w:tc>
          <w:tcPr>
            <w:tcW w:w="12000" w:type="dxa"/>
            <w:shd w:val="clear" w:color="auto" w:fill="C0C0C0"/>
            <w:tcMar>
              <w:top w:w="20" w:type="dxa"/>
              <w:bottom w:w="20" w:type="dxa"/>
            </w:tcMar>
            <w:vAlign w:val="bottom"/>
          </w:tcPr>
          <w:p w:rsidR="0035701C" w:rsidRDefault="00FB561B">
            <w:pPr>
              <w:jc w:val="center"/>
              <w:rPr>
                <w:sz w:val="16"/>
              </w:rPr>
            </w:pPr>
            <w:r>
              <w:rPr>
                <w:sz w:val="16"/>
              </w:rPr>
              <w:t>Nom de l'indicateur d'objectif</w:t>
            </w:r>
          </w:p>
        </w:tc>
        <w:tc>
          <w:tcPr>
            <w:tcW w:w="12000" w:type="dxa"/>
            <w:shd w:val="clear" w:color="auto" w:fill="C0C0C0"/>
            <w:tcMar>
              <w:top w:w="20" w:type="dxa"/>
              <w:bottom w:w="20" w:type="dxa"/>
            </w:tcMar>
            <w:vAlign w:val="bottom"/>
          </w:tcPr>
          <w:p w:rsidR="0035701C" w:rsidRDefault="00FB561B">
            <w:pPr>
              <w:jc w:val="center"/>
              <w:rPr>
                <w:sz w:val="16"/>
              </w:rPr>
            </w:pPr>
            <w:r>
              <w:rPr>
                <w:sz w:val="16"/>
              </w:rPr>
              <w:t>Valeur cible pour 2025</w:t>
            </w:r>
          </w:p>
        </w:tc>
        <w:tc>
          <w:tcPr>
            <w:tcW w:w="12000" w:type="dxa"/>
            <w:shd w:val="clear" w:color="auto" w:fill="C0C0C0"/>
            <w:tcMar>
              <w:top w:w="20" w:type="dxa"/>
              <w:bottom w:w="20" w:type="dxa"/>
            </w:tcMar>
            <w:vAlign w:val="bottom"/>
          </w:tcPr>
          <w:p w:rsidR="0035701C" w:rsidRDefault="00FB561B">
            <w:pPr>
              <w:jc w:val="center"/>
              <w:rPr>
                <w:sz w:val="16"/>
              </w:rPr>
            </w:pPr>
            <w:r>
              <w:rPr>
                <w:sz w:val="16"/>
              </w:rPr>
              <w:t>Dépenses prévues</w:t>
            </w:r>
          </w:p>
        </w:tc>
        <w:tc>
          <w:tcPr>
            <w:tcW w:w="12000" w:type="dxa"/>
            <w:shd w:val="clear" w:color="auto" w:fill="C0C0C0"/>
            <w:tcMar>
              <w:top w:w="20" w:type="dxa"/>
              <w:bottom w:w="20" w:type="dxa"/>
            </w:tcMar>
            <w:vAlign w:val="bottom"/>
          </w:tcPr>
          <w:p w:rsidR="0035701C" w:rsidRDefault="00FB561B">
            <w:pPr>
              <w:jc w:val="center"/>
              <w:rPr>
                <w:sz w:val="16"/>
              </w:rPr>
            </w:pPr>
            <w:r>
              <w:rPr>
                <w:sz w:val="16"/>
              </w:rPr>
              <w:t>Combinaison de mesures</w:t>
            </w:r>
          </w:p>
        </w:tc>
      </w:tr>
      <w:tr w:rsidR="0035701C">
        <w:tc>
          <w:tcPr>
            <w:tcW w:w="12000" w:type="dxa"/>
            <w:vMerge w:val="restart"/>
            <w:shd w:val="clear" w:color="auto" w:fill="FFFFFF"/>
            <w:tcMar>
              <w:top w:w="20" w:type="dxa"/>
              <w:bottom w:w="20" w:type="dxa"/>
            </w:tcMar>
            <w:vAlign w:val="center"/>
          </w:tcPr>
          <w:p w:rsidR="0035701C" w:rsidRDefault="00FB561B">
            <w:pPr>
              <w:spacing w:before="20" w:after="20"/>
              <w:jc w:val="center"/>
              <w:rPr>
                <w:sz w:val="16"/>
              </w:rPr>
            </w:pPr>
            <w:r>
              <w:rPr>
                <w:sz w:val="16"/>
              </w:rPr>
              <w:t>1A</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T1: pourcentage des dépenses relevant des articles 14, 15 et 35 du règlement (UE) n° 1305/2013 dans le </w:t>
            </w:r>
            <w:r>
              <w:rPr>
                <w:sz w:val="16"/>
              </w:rPr>
              <w:t>total des dépenses au titre du PDR (domaine prioritaire 1A)</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0,22%</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center"/>
              <w:rPr>
                <w:sz w:val="16"/>
              </w:rPr>
            </w:pPr>
            <w:r>
              <w:rPr>
                <w:sz w:val="16"/>
              </w:rPr>
              <w:t>M01</w:t>
            </w:r>
          </w:p>
        </w:tc>
      </w:tr>
      <w:tr w:rsidR="0035701C">
        <w:tc>
          <w:tcPr>
            <w:tcW w:w="12000" w:type="dxa"/>
            <w:vMerge w:val="restart"/>
            <w:shd w:val="clear" w:color="auto" w:fill="FFFFFF"/>
            <w:tcMar>
              <w:top w:w="20" w:type="dxa"/>
              <w:bottom w:w="20" w:type="dxa"/>
            </w:tcMar>
            <w:vAlign w:val="center"/>
          </w:tcPr>
          <w:p w:rsidR="0035701C" w:rsidRDefault="00FB561B">
            <w:pPr>
              <w:spacing w:before="20" w:after="20"/>
              <w:jc w:val="center"/>
              <w:rPr>
                <w:sz w:val="16"/>
              </w:rPr>
            </w:pPr>
            <w:r>
              <w:rPr>
                <w:sz w:val="16"/>
              </w:rPr>
              <w:t>1C</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T3: nombre total de participants formés en vertu de l’article 14 du règlement (UE) n° 1305/2013 (domaine prioritaire 1C)</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300,00</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center"/>
              <w:rPr>
                <w:sz w:val="16"/>
              </w:rPr>
            </w:pPr>
            <w:r>
              <w:rPr>
                <w:sz w:val="16"/>
              </w:rPr>
              <w:t>M01</w:t>
            </w:r>
          </w:p>
        </w:tc>
      </w:tr>
      <w:tr w:rsidR="0035701C">
        <w:trPr>
          <w:trHeight w:val="276"/>
        </w:trPr>
        <w:tc>
          <w:tcPr>
            <w:tcW w:w="-5536" w:type="dxa"/>
            <w:gridSpan w:val="5"/>
            <w:vMerge w:val="restart"/>
            <w:shd w:val="clear" w:color="auto" w:fill="808080"/>
            <w:tcMar>
              <w:top w:w="20" w:type="dxa"/>
              <w:bottom w:w="20" w:type="dxa"/>
            </w:tcMar>
            <w:vAlign w:val="center"/>
          </w:tcPr>
          <w:p w:rsidR="0035701C" w:rsidRDefault="00FB561B">
            <w:pPr>
              <w:spacing w:before="20" w:after="20"/>
              <w:jc w:val="left"/>
            </w:pPr>
            <w:r>
              <w:rPr>
                <w:b/>
                <w:sz w:val="20"/>
              </w:rPr>
              <w:t>Priorité 2</w:t>
            </w:r>
          </w:p>
        </w:tc>
      </w:tr>
      <w:tr w:rsidR="0035701C">
        <w:tc>
          <w:tcPr>
            <w:tcW w:w="12000" w:type="dxa"/>
            <w:vMerge w:val="restart"/>
            <w:shd w:val="clear" w:color="auto" w:fill="C0C0C0"/>
            <w:tcMar>
              <w:top w:w="20" w:type="dxa"/>
              <w:bottom w:w="20" w:type="dxa"/>
            </w:tcMar>
            <w:vAlign w:val="center"/>
          </w:tcPr>
          <w:p w:rsidR="0035701C" w:rsidRDefault="00FB561B">
            <w:pPr>
              <w:spacing w:before="20" w:after="20"/>
              <w:jc w:val="center"/>
              <w:rPr>
                <w:sz w:val="16"/>
              </w:rPr>
            </w:pPr>
            <w:r>
              <w:rPr>
                <w:sz w:val="16"/>
              </w:rPr>
              <w:t>Domaine prioritaire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 xml:space="preserve">Nom de </w:t>
            </w:r>
            <w:r>
              <w:rPr>
                <w:sz w:val="16"/>
              </w:rPr>
              <w:t>l'indicateur d'objectif</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cible pour 2025</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Dépenses prévues</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Combinaison de mesures</w:t>
            </w:r>
          </w:p>
        </w:tc>
      </w:tr>
      <w:tr w:rsidR="0035701C">
        <w:tc>
          <w:tcPr>
            <w:tcW w:w="12000" w:type="dxa"/>
            <w:vMerge w:val="restart"/>
            <w:shd w:val="clear" w:color="auto" w:fill="FFFFFF"/>
            <w:tcMar>
              <w:top w:w="20" w:type="dxa"/>
              <w:bottom w:w="20" w:type="dxa"/>
            </w:tcMar>
            <w:vAlign w:val="center"/>
          </w:tcPr>
          <w:p w:rsidR="0035701C" w:rsidRDefault="00FB561B">
            <w:pPr>
              <w:spacing w:before="20" w:after="20"/>
              <w:jc w:val="center"/>
              <w:rPr>
                <w:sz w:val="16"/>
              </w:rPr>
            </w:pPr>
            <w:r>
              <w:rPr>
                <w:sz w:val="16"/>
              </w:rPr>
              <w:t>2A</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T4: pourcentage d’exploitations agricoles bénéficiant d’un soutien au titre du PDR pour des investissements dans la restructuration ou la modernisation (domaine </w:t>
            </w:r>
            <w:r>
              <w:rPr>
                <w:sz w:val="16"/>
              </w:rPr>
              <w:t>prioritaire 2A)</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38,23%</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67 900 874,00</w:t>
            </w:r>
          </w:p>
        </w:tc>
        <w:tc>
          <w:tcPr>
            <w:tcW w:w="12000" w:type="dxa"/>
            <w:shd w:val="clear" w:color="auto" w:fill="FFFFFF"/>
            <w:tcMar>
              <w:top w:w="20" w:type="dxa"/>
              <w:bottom w:w="20" w:type="dxa"/>
            </w:tcMar>
            <w:vAlign w:val="center"/>
          </w:tcPr>
          <w:p w:rsidR="0035701C" w:rsidRDefault="00FB561B">
            <w:pPr>
              <w:spacing w:before="20" w:after="20"/>
              <w:jc w:val="center"/>
              <w:rPr>
                <w:sz w:val="16"/>
              </w:rPr>
            </w:pPr>
            <w:r>
              <w:rPr>
                <w:sz w:val="16"/>
              </w:rPr>
              <w:t>M01, M04, M07</w:t>
            </w:r>
          </w:p>
        </w:tc>
      </w:tr>
      <w:tr w:rsidR="0035701C">
        <w:tc>
          <w:tcPr>
            <w:tcW w:w="12000" w:type="dxa"/>
            <w:vMerge w:val="restart"/>
            <w:shd w:val="clear" w:color="auto" w:fill="FFFFFF"/>
            <w:tcMar>
              <w:top w:w="20" w:type="dxa"/>
              <w:bottom w:w="20" w:type="dxa"/>
            </w:tcMar>
            <w:vAlign w:val="center"/>
          </w:tcPr>
          <w:p w:rsidR="0035701C" w:rsidRDefault="00FB561B">
            <w:pPr>
              <w:spacing w:before="20" w:after="20"/>
              <w:jc w:val="center"/>
              <w:rPr>
                <w:sz w:val="16"/>
              </w:rPr>
            </w:pPr>
            <w:r>
              <w:rPr>
                <w:sz w:val="16"/>
              </w:rPr>
              <w:t>2B</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T5: pourcentage d’exploitations agricoles avec un plan d’entreprise/des investissements pour les jeunes agriculteurs soutenus par le PDR (domaine prioritaire 2B)</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13,14%</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17 500 004,00</w:t>
            </w:r>
          </w:p>
        </w:tc>
        <w:tc>
          <w:tcPr>
            <w:tcW w:w="12000" w:type="dxa"/>
            <w:shd w:val="clear" w:color="auto" w:fill="FFFFFF"/>
            <w:tcMar>
              <w:top w:w="20" w:type="dxa"/>
              <w:bottom w:w="20" w:type="dxa"/>
            </w:tcMar>
            <w:vAlign w:val="center"/>
          </w:tcPr>
          <w:p w:rsidR="0035701C" w:rsidRDefault="00FB561B">
            <w:pPr>
              <w:spacing w:before="20" w:after="20"/>
              <w:jc w:val="center"/>
              <w:rPr>
                <w:sz w:val="16"/>
              </w:rPr>
            </w:pPr>
            <w:r>
              <w:rPr>
                <w:sz w:val="16"/>
              </w:rPr>
              <w:t>M06</w:t>
            </w:r>
          </w:p>
        </w:tc>
      </w:tr>
      <w:tr w:rsidR="0035701C">
        <w:trPr>
          <w:trHeight w:val="276"/>
        </w:trPr>
        <w:tc>
          <w:tcPr>
            <w:tcW w:w="-5536" w:type="dxa"/>
            <w:gridSpan w:val="5"/>
            <w:vMerge w:val="restart"/>
            <w:shd w:val="clear" w:color="auto" w:fill="808080"/>
            <w:tcMar>
              <w:top w:w="20" w:type="dxa"/>
              <w:bottom w:w="20" w:type="dxa"/>
            </w:tcMar>
            <w:vAlign w:val="center"/>
          </w:tcPr>
          <w:p w:rsidR="0035701C" w:rsidRDefault="00FB561B">
            <w:pPr>
              <w:spacing w:before="20" w:after="20"/>
              <w:jc w:val="left"/>
            </w:pPr>
            <w:r>
              <w:rPr>
                <w:b/>
                <w:sz w:val="20"/>
              </w:rPr>
              <w:t>Priorité 3</w:t>
            </w:r>
          </w:p>
        </w:tc>
      </w:tr>
      <w:tr w:rsidR="0035701C">
        <w:tc>
          <w:tcPr>
            <w:tcW w:w="12000" w:type="dxa"/>
            <w:vMerge w:val="restart"/>
            <w:shd w:val="clear" w:color="auto" w:fill="C0C0C0"/>
            <w:tcMar>
              <w:top w:w="20" w:type="dxa"/>
              <w:bottom w:w="20" w:type="dxa"/>
            </w:tcMar>
            <w:vAlign w:val="center"/>
          </w:tcPr>
          <w:p w:rsidR="0035701C" w:rsidRDefault="00FB561B">
            <w:pPr>
              <w:spacing w:before="20" w:after="20"/>
              <w:jc w:val="center"/>
              <w:rPr>
                <w:sz w:val="16"/>
              </w:rPr>
            </w:pPr>
            <w:r>
              <w:rPr>
                <w:sz w:val="16"/>
              </w:rPr>
              <w:t>Domaine prioritaire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 d'objectif</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cible pour 2025</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Dépenses prévues</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Combinaison de mesures</w:t>
            </w:r>
          </w:p>
        </w:tc>
      </w:tr>
      <w:tr w:rsidR="0035701C">
        <w:tc>
          <w:tcPr>
            <w:tcW w:w="12000" w:type="dxa"/>
            <w:vMerge w:val="restart"/>
            <w:shd w:val="clear" w:color="auto" w:fill="FFFFFF"/>
            <w:tcMar>
              <w:top w:w="20" w:type="dxa"/>
              <w:bottom w:w="20" w:type="dxa"/>
            </w:tcMar>
            <w:vAlign w:val="center"/>
          </w:tcPr>
          <w:p w:rsidR="0035701C" w:rsidRDefault="00FB561B">
            <w:pPr>
              <w:spacing w:before="20" w:after="20"/>
              <w:jc w:val="center"/>
              <w:rPr>
                <w:sz w:val="16"/>
              </w:rPr>
            </w:pPr>
            <w:r>
              <w:rPr>
                <w:sz w:val="16"/>
              </w:rPr>
              <w:t>3A</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T6: pourcentage d’exploitations agricoles percevant un soutien pour participer à des systèmes de qualité, des marchés locaux et des </w:t>
            </w:r>
            <w:r>
              <w:rPr>
                <w:sz w:val="16"/>
              </w:rPr>
              <w:t>circuits d’approvisionnement courts ou des groupements/organisations de producteurs (domaine prioritaire 3A)</w:t>
            </w: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8 700 000,00</w:t>
            </w:r>
          </w:p>
        </w:tc>
        <w:tc>
          <w:tcPr>
            <w:tcW w:w="12000" w:type="dxa"/>
            <w:shd w:val="clear" w:color="auto" w:fill="FFFFFF"/>
            <w:tcMar>
              <w:top w:w="20" w:type="dxa"/>
              <w:bottom w:w="20" w:type="dxa"/>
            </w:tcMar>
            <w:vAlign w:val="center"/>
          </w:tcPr>
          <w:p w:rsidR="0035701C" w:rsidRDefault="00FB561B">
            <w:pPr>
              <w:spacing w:before="20" w:after="20"/>
              <w:jc w:val="center"/>
              <w:rPr>
                <w:sz w:val="16"/>
              </w:rPr>
            </w:pPr>
            <w:r>
              <w:rPr>
                <w:sz w:val="16"/>
              </w:rPr>
              <w:t>M04</w:t>
            </w:r>
          </w:p>
        </w:tc>
      </w:tr>
      <w:tr w:rsidR="0035701C">
        <w:tc>
          <w:tcPr>
            <w:tcW w:w="12000" w:type="dxa"/>
            <w:vMerge w:val="restart"/>
            <w:shd w:val="clear" w:color="auto" w:fill="FFFFFF"/>
            <w:tcMar>
              <w:top w:w="20" w:type="dxa"/>
              <w:bottom w:w="20" w:type="dxa"/>
            </w:tcMar>
            <w:vAlign w:val="center"/>
          </w:tcPr>
          <w:p w:rsidR="0035701C" w:rsidRDefault="00FB561B">
            <w:pPr>
              <w:spacing w:before="20" w:after="20"/>
              <w:jc w:val="center"/>
              <w:rPr>
                <w:sz w:val="16"/>
              </w:rPr>
            </w:pPr>
            <w:r>
              <w:rPr>
                <w:sz w:val="16"/>
              </w:rPr>
              <w:t>3B</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Surfaces dont le potentiel de production est restauré (ha)</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22,00</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600 000,00</w:t>
            </w:r>
          </w:p>
        </w:tc>
        <w:tc>
          <w:tcPr>
            <w:tcW w:w="12000" w:type="dxa"/>
            <w:shd w:val="clear" w:color="auto" w:fill="FFFFFF"/>
            <w:tcMar>
              <w:top w:w="20" w:type="dxa"/>
              <w:bottom w:w="20" w:type="dxa"/>
            </w:tcMar>
            <w:vAlign w:val="center"/>
          </w:tcPr>
          <w:p w:rsidR="0035701C" w:rsidRDefault="00FB561B">
            <w:pPr>
              <w:spacing w:before="20" w:after="20"/>
              <w:jc w:val="center"/>
              <w:rPr>
                <w:sz w:val="16"/>
              </w:rPr>
            </w:pPr>
            <w:r>
              <w:rPr>
                <w:sz w:val="16"/>
              </w:rPr>
              <w:t>M05</w:t>
            </w:r>
          </w:p>
        </w:tc>
      </w:tr>
      <w:tr w:rsidR="0035701C">
        <w:trPr>
          <w:trHeight w:val="276"/>
        </w:trPr>
        <w:tc>
          <w:tcPr>
            <w:tcW w:w="-5536" w:type="dxa"/>
            <w:gridSpan w:val="5"/>
            <w:vMerge w:val="restart"/>
            <w:shd w:val="clear" w:color="auto" w:fill="808080"/>
            <w:tcMar>
              <w:top w:w="20" w:type="dxa"/>
              <w:bottom w:w="20" w:type="dxa"/>
            </w:tcMar>
            <w:vAlign w:val="center"/>
          </w:tcPr>
          <w:p w:rsidR="0035701C" w:rsidRDefault="00FB561B">
            <w:pPr>
              <w:spacing w:before="20" w:after="20"/>
              <w:jc w:val="left"/>
            </w:pPr>
            <w:r>
              <w:rPr>
                <w:b/>
                <w:sz w:val="20"/>
              </w:rPr>
              <w:t>Priorité 4</w:t>
            </w:r>
          </w:p>
        </w:tc>
      </w:tr>
      <w:tr w:rsidR="0035701C">
        <w:tc>
          <w:tcPr>
            <w:tcW w:w="12000" w:type="dxa"/>
            <w:vMerge w:val="restart"/>
            <w:shd w:val="clear" w:color="auto" w:fill="C0C0C0"/>
            <w:tcMar>
              <w:top w:w="20" w:type="dxa"/>
              <w:bottom w:w="20" w:type="dxa"/>
            </w:tcMar>
            <w:vAlign w:val="center"/>
          </w:tcPr>
          <w:p w:rsidR="0035701C" w:rsidRDefault="00FB561B">
            <w:pPr>
              <w:spacing w:before="20" w:after="20"/>
              <w:jc w:val="center"/>
              <w:rPr>
                <w:sz w:val="16"/>
              </w:rPr>
            </w:pPr>
            <w:r>
              <w:rPr>
                <w:sz w:val="16"/>
              </w:rPr>
              <w:t>Domaine prioritaire</w:t>
            </w:r>
          </w:p>
        </w:tc>
        <w:tc>
          <w:tcPr>
            <w:tcW w:w="12000" w:type="dxa"/>
            <w:vMerge w:val="restart"/>
            <w:shd w:val="clear" w:color="auto" w:fill="C0C0C0"/>
            <w:tcMar>
              <w:top w:w="20" w:type="dxa"/>
              <w:bottom w:w="20" w:type="dxa"/>
            </w:tcMar>
            <w:vAlign w:val="center"/>
          </w:tcPr>
          <w:p w:rsidR="0035701C" w:rsidRDefault="00FB561B">
            <w:pPr>
              <w:spacing w:before="20" w:after="20"/>
              <w:jc w:val="center"/>
              <w:rPr>
                <w:sz w:val="16"/>
              </w:rPr>
            </w:pPr>
            <w:r>
              <w:rPr>
                <w:sz w:val="16"/>
              </w:rPr>
              <w:t xml:space="preserve">Nom de </w:t>
            </w:r>
            <w:r>
              <w:rPr>
                <w:sz w:val="16"/>
              </w:rPr>
              <w:t>l'indicateur d'objectif</w:t>
            </w:r>
          </w:p>
        </w:tc>
        <w:tc>
          <w:tcPr>
            <w:tcW w:w="12000" w:type="dxa"/>
            <w:vMerge w:val="restart"/>
            <w:shd w:val="clear" w:color="auto" w:fill="C0C0C0"/>
            <w:tcMar>
              <w:top w:w="20" w:type="dxa"/>
              <w:bottom w:w="20" w:type="dxa"/>
            </w:tcMar>
            <w:vAlign w:val="center"/>
          </w:tcPr>
          <w:p w:rsidR="0035701C" w:rsidRDefault="00FB561B">
            <w:pPr>
              <w:spacing w:before="20" w:after="20"/>
              <w:jc w:val="center"/>
              <w:rPr>
                <w:sz w:val="16"/>
              </w:rPr>
            </w:pPr>
            <w:r>
              <w:rPr>
                <w:sz w:val="16"/>
              </w:rPr>
              <w:t>Valeur cible pour 2025</w:t>
            </w:r>
          </w:p>
        </w:tc>
        <w:tc>
          <w:tcPr>
            <w:tcW w:w="12000" w:type="dxa"/>
            <w:vMerge w:val="restart"/>
            <w:shd w:val="clear" w:color="auto" w:fill="C0C0C0"/>
            <w:tcMar>
              <w:top w:w="20" w:type="dxa"/>
              <w:bottom w:w="20" w:type="dxa"/>
            </w:tcMar>
            <w:vAlign w:val="center"/>
          </w:tcPr>
          <w:p w:rsidR="0035701C" w:rsidRDefault="00FB561B">
            <w:pPr>
              <w:spacing w:before="20" w:after="20"/>
              <w:jc w:val="center"/>
              <w:rPr>
                <w:sz w:val="16"/>
              </w:rPr>
            </w:pPr>
            <w:r>
              <w:rPr>
                <w:sz w:val="16"/>
              </w:rPr>
              <w:t>Dépenses prévues</w:t>
            </w:r>
          </w:p>
        </w:tc>
        <w:tc>
          <w:tcPr>
            <w:tcW w:w="12000" w:type="dxa"/>
            <w:vMerge w:val="restart"/>
            <w:shd w:val="clear" w:color="auto" w:fill="C0C0C0"/>
            <w:tcMar>
              <w:top w:w="20" w:type="dxa"/>
              <w:bottom w:w="20" w:type="dxa"/>
            </w:tcMar>
            <w:vAlign w:val="center"/>
          </w:tcPr>
          <w:p w:rsidR="0035701C" w:rsidRDefault="00FB561B">
            <w:pPr>
              <w:spacing w:before="20" w:after="20"/>
              <w:jc w:val="center"/>
              <w:rPr>
                <w:sz w:val="16"/>
              </w:rPr>
            </w:pPr>
            <w:r>
              <w:rPr>
                <w:sz w:val="16"/>
              </w:rPr>
              <w:t>Combinaison de mesures</w:t>
            </w:r>
          </w:p>
        </w:tc>
      </w:tr>
      <w:tr w:rsidR="0035701C">
        <w:tc>
          <w:tcPr>
            <w:tcW w:w="12000" w:type="dxa"/>
            <w:vMerge w:val="restart"/>
            <w:shd w:val="clear" w:color="auto" w:fill="FFFFFF"/>
            <w:tcMar>
              <w:top w:w="20" w:type="dxa"/>
              <w:bottom w:w="20" w:type="dxa"/>
            </w:tcMar>
            <w:vAlign w:val="center"/>
          </w:tcPr>
          <w:p w:rsidR="0035701C" w:rsidRDefault="00FB561B">
            <w:pPr>
              <w:spacing w:before="20" w:after="20"/>
              <w:jc w:val="center"/>
              <w:rPr>
                <w:sz w:val="16"/>
              </w:rPr>
            </w:pPr>
            <w:r>
              <w:rPr>
                <w:sz w:val="16"/>
              </w:rPr>
              <w:t>4A (agri)</w:t>
            </w:r>
          </w:p>
        </w:tc>
        <w:tc>
          <w:tcPr>
            <w:tcW w:w="12000" w:type="dxa"/>
            <w:vMerge w:val="restart"/>
            <w:shd w:val="clear" w:color="auto" w:fill="FFFFFF"/>
            <w:tcMar>
              <w:top w:w="20" w:type="dxa"/>
              <w:bottom w:w="20" w:type="dxa"/>
            </w:tcMar>
            <w:vAlign w:val="center"/>
          </w:tcPr>
          <w:p w:rsidR="0035701C" w:rsidRDefault="00FB561B">
            <w:pPr>
              <w:spacing w:before="20" w:after="20"/>
              <w:jc w:val="left"/>
              <w:rPr>
                <w:sz w:val="16"/>
              </w:rPr>
            </w:pPr>
            <w:r>
              <w:rPr>
                <w:sz w:val="16"/>
              </w:rPr>
              <w:t>T9: pourcentage des terres agricoles sous contrats de gestion soutenant la biodiversité et/ou la préservation des paysages (domaine prioritaire 4A)</w:t>
            </w:r>
          </w:p>
        </w:tc>
        <w:tc>
          <w:tcPr>
            <w:tcW w:w="12000" w:type="dxa"/>
            <w:vMerge w:val="restart"/>
            <w:shd w:val="clear" w:color="auto" w:fill="FFFFFF"/>
            <w:tcMar>
              <w:top w:w="20" w:type="dxa"/>
              <w:bottom w:w="20" w:type="dxa"/>
            </w:tcMar>
            <w:vAlign w:val="center"/>
          </w:tcPr>
          <w:p w:rsidR="0035701C" w:rsidRDefault="00FB561B">
            <w:pPr>
              <w:spacing w:before="20" w:after="20"/>
              <w:jc w:val="right"/>
              <w:rPr>
                <w:sz w:val="16"/>
              </w:rPr>
            </w:pPr>
            <w:r>
              <w:rPr>
                <w:sz w:val="16"/>
              </w:rPr>
              <w:t>3,06%</w:t>
            </w:r>
          </w:p>
        </w:tc>
        <w:tc>
          <w:tcPr>
            <w:tcW w:w="12000" w:type="dxa"/>
            <w:vMerge w:val="restart"/>
            <w:shd w:val="clear" w:color="auto" w:fill="FFFFFF"/>
            <w:tcMar>
              <w:top w:w="20" w:type="dxa"/>
              <w:bottom w:w="20" w:type="dxa"/>
            </w:tcMar>
            <w:vAlign w:val="center"/>
          </w:tcPr>
          <w:p w:rsidR="0035701C" w:rsidRDefault="00FB561B">
            <w:pPr>
              <w:spacing w:before="20" w:after="20"/>
              <w:jc w:val="right"/>
              <w:rPr>
                <w:sz w:val="16"/>
              </w:rPr>
            </w:pPr>
            <w:r>
              <w:rPr>
                <w:sz w:val="16"/>
              </w:rPr>
              <w:t>168 255 094,00</w:t>
            </w:r>
          </w:p>
        </w:tc>
        <w:tc>
          <w:tcPr>
            <w:tcW w:w="12000" w:type="dxa"/>
            <w:vMerge w:val="restart"/>
            <w:shd w:val="clear" w:color="auto" w:fill="FFFFFF"/>
            <w:tcMar>
              <w:top w:w="20" w:type="dxa"/>
              <w:bottom w:w="20" w:type="dxa"/>
            </w:tcMar>
            <w:vAlign w:val="center"/>
          </w:tcPr>
          <w:p w:rsidR="0035701C" w:rsidRDefault="00FB561B">
            <w:pPr>
              <w:spacing w:before="20" w:after="20"/>
              <w:jc w:val="center"/>
              <w:rPr>
                <w:sz w:val="16"/>
              </w:rPr>
            </w:pPr>
            <w:r>
              <w:rPr>
                <w:sz w:val="16"/>
              </w:rPr>
              <w:t>M04, M07, M10, M11, M13</w:t>
            </w:r>
          </w:p>
        </w:tc>
      </w:tr>
      <w:tr w:rsidR="0035701C">
        <w:tc>
          <w:tcPr>
            <w:tcW w:w="12000" w:type="dxa"/>
            <w:vMerge/>
            <w:shd w:val="clear" w:color="auto" w:fill="FFFFFF"/>
            <w:tcMar>
              <w:top w:w="20" w:type="dxa"/>
              <w:bottom w:w="20" w:type="dxa"/>
            </w:tcMar>
            <w:vAlign w:val="center"/>
          </w:tcPr>
          <w:p w:rsidR="0035701C" w:rsidRDefault="0035701C">
            <w:pPr>
              <w:spacing w:before="20" w:after="20"/>
              <w:jc w:val="center"/>
              <w:rPr>
                <w:sz w:val="16"/>
              </w:rPr>
            </w:pPr>
          </w:p>
        </w:tc>
        <w:tc>
          <w:tcPr>
            <w:tcW w:w="12000" w:type="dxa"/>
            <w:vMerge w:val="restart"/>
            <w:shd w:val="clear" w:color="auto" w:fill="FFFFFF"/>
            <w:tcMar>
              <w:top w:w="20" w:type="dxa"/>
              <w:bottom w:w="20" w:type="dxa"/>
            </w:tcMar>
            <w:vAlign w:val="center"/>
          </w:tcPr>
          <w:p w:rsidR="0035701C" w:rsidRDefault="00FB561B">
            <w:pPr>
              <w:spacing w:before="20" w:after="20"/>
              <w:jc w:val="left"/>
              <w:rPr>
                <w:sz w:val="16"/>
              </w:rPr>
            </w:pPr>
            <w:r>
              <w:rPr>
                <w:sz w:val="16"/>
              </w:rPr>
              <w:t>Surface de Défense des Forêts Contre l'Incendie (ha)</w:t>
            </w:r>
          </w:p>
        </w:tc>
        <w:tc>
          <w:tcPr>
            <w:tcW w:w="12000" w:type="dxa"/>
            <w:vMerge w:val="restart"/>
            <w:shd w:val="clear" w:color="auto" w:fill="FFFFFF"/>
            <w:tcMar>
              <w:top w:w="20" w:type="dxa"/>
              <w:bottom w:w="20" w:type="dxa"/>
            </w:tcMar>
            <w:vAlign w:val="center"/>
          </w:tcPr>
          <w:p w:rsidR="0035701C" w:rsidRDefault="00FB561B">
            <w:pPr>
              <w:spacing w:before="20" w:after="20"/>
              <w:jc w:val="right"/>
              <w:rPr>
                <w:sz w:val="16"/>
              </w:rPr>
            </w:pPr>
            <w:r>
              <w:rPr>
                <w:sz w:val="16"/>
              </w:rPr>
              <w:t>1 600,00</w:t>
            </w:r>
          </w:p>
        </w:tc>
        <w:tc>
          <w:tcPr>
            <w:tcW w:w="12000" w:type="dxa"/>
            <w:vMerge/>
            <w:shd w:val="clear" w:color="auto" w:fill="FFFFFF"/>
            <w:tcMar>
              <w:top w:w="20" w:type="dxa"/>
              <w:bottom w:w="20" w:type="dxa"/>
            </w:tcMar>
            <w:vAlign w:val="center"/>
          </w:tcPr>
          <w:p w:rsidR="0035701C" w:rsidRDefault="0035701C">
            <w:pPr>
              <w:spacing w:before="20" w:after="20"/>
              <w:jc w:val="right"/>
              <w:rPr>
                <w:sz w:val="16"/>
              </w:rPr>
            </w:pPr>
          </w:p>
        </w:tc>
        <w:tc>
          <w:tcPr>
            <w:tcW w:w="12000" w:type="dxa"/>
            <w:vMerge/>
            <w:shd w:val="clear" w:color="auto" w:fill="FFFFFF"/>
            <w:tcMar>
              <w:top w:w="20" w:type="dxa"/>
              <w:bottom w:w="20" w:type="dxa"/>
            </w:tcMar>
            <w:vAlign w:val="center"/>
          </w:tcPr>
          <w:p w:rsidR="0035701C" w:rsidRDefault="0035701C">
            <w:pPr>
              <w:spacing w:before="20" w:after="20"/>
              <w:jc w:val="center"/>
              <w:rPr>
                <w:sz w:val="16"/>
              </w:rPr>
            </w:pPr>
          </w:p>
        </w:tc>
      </w:tr>
      <w:tr w:rsidR="0035701C">
        <w:tc>
          <w:tcPr>
            <w:tcW w:w="12000" w:type="dxa"/>
            <w:vMerge w:val="restart"/>
            <w:shd w:val="clear" w:color="auto" w:fill="FFFFFF"/>
            <w:tcMar>
              <w:top w:w="20" w:type="dxa"/>
              <w:bottom w:w="20" w:type="dxa"/>
            </w:tcMar>
            <w:vAlign w:val="center"/>
          </w:tcPr>
          <w:p w:rsidR="0035701C" w:rsidRDefault="00FB561B">
            <w:pPr>
              <w:spacing w:before="20" w:after="20"/>
              <w:jc w:val="center"/>
              <w:rPr>
                <w:sz w:val="16"/>
              </w:rPr>
            </w:pPr>
            <w:r>
              <w:rPr>
                <w:sz w:val="16"/>
              </w:rPr>
              <w:t>4B (agri)</w:t>
            </w:r>
          </w:p>
        </w:tc>
        <w:tc>
          <w:tcPr>
            <w:tcW w:w="12000" w:type="dxa"/>
            <w:vMerge w:val="restart"/>
            <w:shd w:val="clear" w:color="auto" w:fill="FFFFFF"/>
            <w:tcMar>
              <w:top w:w="20" w:type="dxa"/>
              <w:bottom w:w="20" w:type="dxa"/>
            </w:tcMar>
            <w:vAlign w:val="center"/>
          </w:tcPr>
          <w:p w:rsidR="0035701C" w:rsidRDefault="00FB561B">
            <w:pPr>
              <w:spacing w:before="20" w:after="20"/>
              <w:jc w:val="left"/>
              <w:rPr>
                <w:sz w:val="16"/>
              </w:rPr>
            </w:pPr>
            <w:r>
              <w:rPr>
                <w:sz w:val="16"/>
              </w:rPr>
              <w:t>T10: pourcentage des terres agricoles sous contrats de gestion visant à améliorer la gestion de l’eau (domaine prioritaire 4B)</w:t>
            </w:r>
          </w:p>
        </w:tc>
        <w:tc>
          <w:tcPr>
            <w:tcW w:w="12000" w:type="dxa"/>
            <w:vMerge w:val="restart"/>
            <w:shd w:val="clear" w:color="auto" w:fill="FFFFFF"/>
            <w:tcMar>
              <w:top w:w="20" w:type="dxa"/>
              <w:bottom w:w="20" w:type="dxa"/>
            </w:tcMar>
            <w:vAlign w:val="center"/>
          </w:tcPr>
          <w:p w:rsidR="0035701C" w:rsidRDefault="00FB561B">
            <w:pPr>
              <w:spacing w:before="20" w:after="20"/>
              <w:jc w:val="right"/>
              <w:rPr>
                <w:sz w:val="16"/>
              </w:rPr>
            </w:pPr>
            <w:r>
              <w:rPr>
                <w:sz w:val="16"/>
              </w:rPr>
              <w:t>2,67%</w:t>
            </w:r>
          </w:p>
        </w:tc>
        <w:tc>
          <w:tcPr>
            <w:tcW w:w="12000" w:type="dxa"/>
            <w:vMerge/>
            <w:shd w:val="clear" w:color="auto" w:fill="FFFFFF"/>
            <w:tcMar>
              <w:top w:w="20" w:type="dxa"/>
              <w:bottom w:w="20" w:type="dxa"/>
            </w:tcMar>
            <w:vAlign w:val="center"/>
          </w:tcPr>
          <w:p w:rsidR="0035701C" w:rsidRDefault="0035701C">
            <w:pPr>
              <w:spacing w:before="20" w:after="20"/>
              <w:jc w:val="right"/>
              <w:rPr>
                <w:sz w:val="16"/>
              </w:rPr>
            </w:pPr>
          </w:p>
        </w:tc>
        <w:tc>
          <w:tcPr>
            <w:tcW w:w="12000" w:type="dxa"/>
            <w:vMerge/>
            <w:shd w:val="clear" w:color="auto" w:fill="FFFFFF"/>
            <w:tcMar>
              <w:top w:w="20" w:type="dxa"/>
              <w:bottom w:w="20" w:type="dxa"/>
            </w:tcMar>
            <w:vAlign w:val="center"/>
          </w:tcPr>
          <w:p w:rsidR="0035701C" w:rsidRDefault="0035701C">
            <w:pPr>
              <w:spacing w:before="20" w:after="20"/>
              <w:jc w:val="center"/>
              <w:rPr>
                <w:sz w:val="16"/>
              </w:rPr>
            </w:pPr>
          </w:p>
        </w:tc>
      </w:tr>
      <w:tr w:rsidR="0035701C">
        <w:tc>
          <w:tcPr>
            <w:tcW w:w="12000" w:type="dxa"/>
            <w:vMerge w:val="restart"/>
            <w:shd w:val="clear" w:color="auto" w:fill="FFFFFF"/>
            <w:tcMar>
              <w:top w:w="20" w:type="dxa"/>
              <w:bottom w:w="20" w:type="dxa"/>
            </w:tcMar>
            <w:vAlign w:val="center"/>
          </w:tcPr>
          <w:p w:rsidR="0035701C" w:rsidRDefault="00FB561B">
            <w:pPr>
              <w:spacing w:before="20" w:after="20"/>
              <w:jc w:val="center"/>
              <w:rPr>
                <w:sz w:val="16"/>
              </w:rPr>
            </w:pPr>
            <w:r>
              <w:rPr>
                <w:sz w:val="16"/>
              </w:rPr>
              <w:t xml:space="preserve">4C </w:t>
            </w:r>
            <w:r>
              <w:rPr>
                <w:sz w:val="16"/>
              </w:rPr>
              <w:t>(agri)</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T12: pourcentage des terres agricoles sous contrats de gestion visant à améliorer la gestion des sols et/ou à prévenir l’érosion des sols (domaine prioritaire 4C)</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0,28%</w:t>
            </w:r>
          </w:p>
        </w:tc>
        <w:tc>
          <w:tcPr>
            <w:tcW w:w="12000" w:type="dxa"/>
            <w:vMerge/>
            <w:shd w:val="clear" w:color="auto" w:fill="FFFFFF"/>
            <w:tcMar>
              <w:top w:w="20" w:type="dxa"/>
              <w:bottom w:w="20" w:type="dxa"/>
            </w:tcMar>
            <w:vAlign w:val="center"/>
          </w:tcPr>
          <w:p w:rsidR="0035701C" w:rsidRDefault="0035701C">
            <w:pPr>
              <w:spacing w:before="20" w:after="20"/>
              <w:jc w:val="right"/>
              <w:rPr>
                <w:sz w:val="16"/>
              </w:rPr>
            </w:pPr>
          </w:p>
        </w:tc>
        <w:tc>
          <w:tcPr>
            <w:tcW w:w="12000" w:type="dxa"/>
            <w:vMerge/>
            <w:shd w:val="clear" w:color="auto" w:fill="FFFFFF"/>
            <w:tcMar>
              <w:top w:w="20" w:type="dxa"/>
              <w:bottom w:w="20" w:type="dxa"/>
            </w:tcMar>
            <w:vAlign w:val="center"/>
          </w:tcPr>
          <w:p w:rsidR="0035701C" w:rsidRDefault="0035701C">
            <w:pPr>
              <w:spacing w:before="20" w:after="20"/>
              <w:jc w:val="center"/>
              <w:rPr>
                <w:sz w:val="16"/>
              </w:rPr>
            </w:pPr>
          </w:p>
        </w:tc>
      </w:tr>
      <w:tr w:rsidR="0035701C">
        <w:tc>
          <w:tcPr>
            <w:tcW w:w="12000" w:type="dxa"/>
            <w:vMerge w:val="restart"/>
            <w:shd w:val="clear" w:color="auto" w:fill="FFFFFF"/>
            <w:tcMar>
              <w:top w:w="20" w:type="dxa"/>
              <w:bottom w:w="20" w:type="dxa"/>
            </w:tcMar>
            <w:vAlign w:val="center"/>
          </w:tcPr>
          <w:p w:rsidR="0035701C" w:rsidRDefault="00FB561B">
            <w:pPr>
              <w:spacing w:before="20" w:after="20"/>
              <w:jc w:val="center"/>
              <w:rPr>
                <w:sz w:val="16"/>
              </w:rPr>
            </w:pPr>
            <w:r>
              <w:rPr>
                <w:sz w:val="16"/>
              </w:rPr>
              <w:t>4A (forestry)</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Surface de Défense des Forêts Contre l'Incendie (ha)</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1 600,00</w:t>
            </w:r>
          </w:p>
        </w:tc>
        <w:tc>
          <w:tcPr>
            <w:tcW w:w="12000" w:type="dxa"/>
            <w:vMerge w:val="restart"/>
            <w:shd w:val="clear" w:color="auto" w:fill="FFFFFF"/>
            <w:tcMar>
              <w:top w:w="20" w:type="dxa"/>
              <w:bottom w:w="20" w:type="dxa"/>
            </w:tcMar>
            <w:vAlign w:val="center"/>
          </w:tcPr>
          <w:p w:rsidR="0035701C" w:rsidRDefault="00FB561B">
            <w:pPr>
              <w:spacing w:before="20" w:after="20"/>
              <w:jc w:val="right"/>
              <w:rPr>
                <w:sz w:val="16"/>
              </w:rPr>
            </w:pPr>
            <w:r>
              <w:rPr>
                <w:sz w:val="16"/>
              </w:rPr>
              <w:t>8 500 000,00</w:t>
            </w:r>
          </w:p>
        </w:tc>
        <w:tc>
          <w:tcPr>
            <w:tcW w:w="12000" w:type="dxa"/>
            <w:vMerge w:val="restart"/>
            <w:shd w:val="clear" w:color="auto" w:fill="FFFFFF"/>
            <w:tcMar>
              <w:top w:w="20" w:type="dxa"/>
              <w:bottom w:w="20" w:type="dxa"/>
            </w:tcMar>
            <w:vAlign w:val="center"/>
          </w:tcPr>
          <w:p w:rsidR="0035701C" w:rsidRDefault="00FB561B">
            <w:pPr>
              <w:spacing w:before="20" w:after="20"/>
              <w:jc w:val="center"/>
              <w:rPr>
                <w:sz w:val="16"/>
              </w:rPr>
            </w:pPr>
            <w:r>
              <w:rPr>
                <w:sz w:val="16"/>
              </w:rPr>
              <w:t>M08</w:t>
            </w:r>
          </w:p>
        </w:tc>
      </w:tr>
      <w:tr w:rsidR="0035701C">
        <w:tc>
          <w:tcPr>
            <w:tcW w:w="12000" w:type="dxa"/>
            <w:vMerge w:val="restart"/>
            <w:shd w:val="clear" w:color="auto" w:fill="FFFFFF"/>
            <w:tcMar>
              <w:top w:w="20" w:type="dxa"/>
              <w:bottom w:w="20" w:type="dxa"/>
            </w:tcMar>
            <w:vAlign w:val="center"/>
          </w:tcPr>
          <w:p w:rsidR="0035701C" w:rsidRDefault="00FB561B">
            <w:pPr>
              <w:spacing w:before="20" w:after="20"/>
              <w:jc w:val="center"/>
              <w:rPr>
                <w:sz w:val="16"/>
              </w:rPr>
            </w:pPr>
            <w:r>
              <w:rPr>
                <w:sz w:val="16"/>
              </w:rPr>
              <w:t>4B (forestry)</w:t>
            </w:r>
          </w:p>
        </w:tc>
        <w:tc>
          <w:tcPr>
            <w:tcW w:w="12000" w:type="dxa"/>
            <w:shd w:val="clear" w:color="auto" w:fill="FFFFFF"/>
            <w:tcMar>
              <w:top w:w="20" w:type="dxa"/>
              <w:bottom w:w="20" w:type="dxa"/>
            </w:tcMar>
            <w:vAlign w:val="center"/>
          </w:tcPr>
          <w:p w:rsidR="0035701C" w:rsidRDefault="0035701C">
            <w:pPr>
              <w:spacing w:before="20" w:after="20"/>
              <w:jc w:val="left"/>
              <w:rPr>
                <w:sz w:val="16"/>
              </w:rPr>
            </w:pP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vMerge/>
            <w:shd w:val="clear" w:color="auto" w:fill="FFFFFF"/>
            <w:tcMar>
              <w:top w:w="20" w:type="dxa"/>
              <w:bottom w:w="20" w:type="dxa"/>
            </w:tcMar>
            <w:vAlign w:val="center"/>
          </w:tcPr>
          <w:p w:rsidR="0035701C" w:rsidRDefault="0035701C">
            <w:pPr>
              <w:spacing w:before="20" w:after="20"/>
              <w:jc w:val="right"/>
              <w:rPr>
                <w:sz w:val="16"/>
              </w:rPr>
            </w:pPr>
          </w:p>
        </w:tc>
        <w:tc>
          <w:tcPr>
            <w:tcW w:w="12000" w:type="dxa"/>
            <w:vMerge/>
            <w:shd w:val="clear" w:color="auto" w:fill="FFFFFF"/>
            <w:tcMar>
              <w:top w:w="20" w:type="dxa"/>
              <w:bottom w:w="20" w:type="dxa"/>
            </w:tcMar>
            <w:vAlign w:val="center"/>
          </w:tcPr>
          <w:p w:rsidR="0035701C" w:rsidRDefault="0035701C">
            <w:pPr>
              <w:spacing w:before="20" w:after="20"/>
              <w:jc w:val="center"/>
              <w:rPr>
                <w:sz w:val="16"/>
              </w:rPr>
            </w:pPr>
          </w:p>
        </w:tc>
      </w:tr>
      <w:tr w:rsidR="0035701C">
        <w:tc>
          <w:tcPr>
            <w:tcW w:w="12000" w:type="dxa"/>
            <w:vMerge w:val="restart"/>
            <w:shd w:val="clear" w:color="auto" w:fill="FFFFFF"/>
            <w:tcMar>
              <w:top w:w="20" w:type="dxa"/>
              <w:bottom w:w="20" w:type="dxa"/>
            </w:tcMar>
            <w:vAlign w:val="center"/>
          </w:tcPr>
          <w:p w:rsidR="0035701C" w:rsidRDefault="00FB561B">
            <w:pPr>
              <w:spacing w:before="20" w:after="20"/>
              <w:jc w:val="center"/>
              <w:rPr>
                <w:sz w:val="16"/>
              </w:rPr>
            </w:pPr>
            <w:r>
              <w:rPr>
                <w:sz w:val="16"/>
              </w:rPr>
              <w:t>4C (forestry)</w:t>
            </w:r>
          </w:p>
        </w:tc>
        <w:tc>
          <w:tcPr>
            <w:tcW w:w="12000" w:type="dxa"/>
            <w:shd w:val="clear" w:color="auto" w:fill="FFFFFF"/>
            <w:tcMar>
              <w:top w:w="20" w:type="dxa"/>
              <w:bottom w:w="20" w:type="dxa"/>
            </w:tcMar>
            <w:vAlign w:val="center"/>
          </w:tcPr>
          <w:p w:rsidR="0035701C" w:rsidRDefault="0035701C">
            <w:pPr>
              <w:spacing w:before="20" w:after="20"/>
              <w:jc w:val="left"/>
              <w:rPr>
                <w:sz w:val="16"/>
              </w:rPr>
            </w:pPr>
          </w:p>
        </w:tc>
        <w:tc>
          <w:tcPr>
            <w:tcW w:w="12000" w:type="dxa"/>
            <w:shd w:val="clear" w:color="auto" w:fill="FFFFFF"/>
            <w:tcMar>
              <w:top w:w="20" w:type="dxa"/>
              <w:bottom w:w="20" w:type="dxa"/>
            </w:tcMar>
            <w:vAlign w:val="center"/>
          </w:tcPr>
          <w:p w:rsidR="0035701C" w:rsidRDefault="0035701C">
            <w:pPr>
              <w:spacing w:before="20" w:after="20"/>
              <w:jc w:val="right"/>
              <w:rPr>
                <w:sz w:val="16"/>
              </w:rPr>
            </w:pPr>
          </w:p>
        </w:tc>
        <w:tc>
          <w:tcPr>
            <w:tcW w:w="12000" w:type="dxa"/>
            <w:vMerge/>
            <w:shd w:val="clear" w:color="auto" w:fill="FFFFFF"/>
            <w:tcMar>
              <w:top w:w="20" w:type="dxa"/>
              <w:bottom w:w="20" w:type="dxa"/>
            </w:tcMar>
            <w:vAlign w:val="center"/>
          </w:tcPr>
          <w:p w:rsidR="0035701C" w:rsidRDefault="0035701C">
            <w:pPr>
              <w:spacing w:before="20" w:after="20"/>
              <w:jc w:val="right"/>
              <w:rPr>
                <w:sz w:val="16"/>
              </w:rPr>
            </w:pPr>
          </w:p>
        </w:tc>
        <w:tc>
          <w:tcPr>
            <w:tcW w:w="12000" w:type="dxa"/>
            <w:vMerge/>
            <w:shd w:val="clear" w:color="auto" w:fill="FFFFFF"/>
            <w:tcMar>
              <w:top w:w="20" w:type="dxa"/>
              <w:bottom w:w="20" w:type="dxa"/>
            </w:tcMar>
            <w:vAlign w:val="center"/>
          </w:tcPr>
          <w:p w:rsidR="0035701C" w:rsidRDefault="0035701C">
            <w:pPr>
              <w:spacing w:before="20" w:after="20"/>
              <w:jc w:val="center"/>
              <w:rPr>
                <w:sz w:val="16"/>
              </w:rPr>
            </w:pPr>
          </w:p>
        </w:tc>
      </w:tr>
      <w:tr w:rsidR="0035701C">
        <w:trPr>
          <w:trHeight w:val="276"/>
        </w:trPr>
        <w:tc>
          <w:tcPr>
            <w:tcW w:w="-5536" w:type="dxa"/>
            <w:gridSpan w:val="5"/>
            <w:vMerge w:val="restart"/>
            <w:shd w:val="clear" w:color="auto" w:fill="808080"/>
            <w:tcMar>
              <w:top w:w="20" w:type="dxa"/>
              <w:bottom w:w="20" w:type="dxa"/>
            </w:tcMar>
            <w:vAlign w:val="center"/>
          </w:tcPr>
          <w:p w:rsidR="0035701C" w:rsidRDefault="00FB561B">
            <w:pPr>
              <w:spacing w:before="20" w:after="20"/>
              <w:jc w:val="left"/>
            </w:pPr>
            <w:r>
              <w:rPr>
                <w:b/>
                <w:sz w:val="20"/>
              </w:rPr>
              <w:t>Priorité 5</w:t>
            </w:r>
          </w:p>
        </w:tc>
      </w:tr>
      <w:tr w:rsidR="0035701C">
        <w:tc>
          <w:tcPr>
            <w:tcW w:w="12000" w:type="dxa"/>
            <w:vMerge w:val="restart"/>
            <w:shd w:val="clear" w:color="auto" w:fill="C0C0C0"/>
            <w:tcMar>
              <w:top w:w="20" w:type="dxa"/>
              <w:bottom w:w="20" w:type="dxa"/>
            </w:tcMar>
            <w:vAlign w:val="center"/>
          </w:tcPr>
          <w:p w:rsidR="0035701C" w:rsidRDefault="00FB561B">
            <w:pPr>
              <w:spacing w:before="20" w:after="20"/>
              <w:jc w:val="center"/>
              <w:rPr>
                <w:sz w:val="16"/>
              </w:rPr>
            </w:pPr>
            <w:r>
              <w:rPr>
                <w:sz w:val="16"/>
              </w:rPr>
              <w:t>Domaine prioritaire</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Nom de l'indicateur d'objectif</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Valeur cible pour 2025</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Dépenses prévues</w:t>
            </w:r>
          </w:p>
        </w:tc>
        <w:tc>
          <w:tcPr>
            <w:tcW w:w="12000" w:type="dxa"/>
            <w:shd w:val="clear" w:color="auto" w:fill="C0C0C0"/>
            <w:tcMar>
              <w:top w:w="20" w:type="dxa"/>
              <w:bottom w:w="20" w:type="dxa"/>
            </w:tcMar>
            <w:vAlign w:val="center"/>
          </w:tcPr>
          <w:p w:rsidR="0035701C" w:rsidRDefault="00FB561B">
            <w:pPr>
              <w:spacing w:before="20" w:after="20"/>
              <w:jc w:val="center"/>
              <w:rPr>
                <w:sz w:val="16"/>
              </w:rPr>
            </w:pPr>
            <w:r>
              <w:rPr>
                <w:sz w:val="16"/>
              </w:rPr>
              <w:t>Combinaison de mesures</w:t>
            </w:r>
          </w:p>
        </w:tc>
      </w:tr>
      <w:tr w:rsidR="0035701C">
        <w:tc>
          <w:tcPr>
            <w:tcW w:w="12000" w:type="dxa"/>
            <w:vMerge w:val="restart"/>
            <w:shd w:val="clear" w:color="auto" w:fill="FFFFFF"/>
            <w:tcMar>
              <w:top w:w="20" w:type="dxa"/>
              <w:bottom w:w="20" w:type="dxa"/>
            </w:tcMar>
            <w:vAlign w:val="center"/>
          </w:tcPr>
          <w:p w:rsidR="0035701C" w:rsidRDefault="00FB561B">
            <w:pPr>
              <w:spacing w:before="20" w:after="20"/>
              <w:jc w:val="center"/>
              <w:rPr>
                <w:sz w:val="16"/>
              </w:rPr>
            </w:pPr>
            <w:r>
              <w:rPr>
                <w:sz w:val="16"/>
              </w:rPr>
              <w:t>5A</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T14: pourcentage des terres irriguées passant à un système </w:t>
            </w:r>
            <w:r>
              <w:rPr>
                <w:sz w:val="16"/>
              </w:rPr>
              <w:t>d’irrigation plus efficace (domaine prioritaire 5A)</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0,12%</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320 000,00</w:t>
            </w:r>
          </w:p>
        </w:tc>
        <w:tc>
          <w:tcPr>
            <w:tcW w:w="12000" w:type="dxa"/>
            <w:shd w:val="clear" w:color="auto" w:fill="FFFFFF"/>
            <w:tcMar>
              <w:top w:w="20" w:type="dxa"/>
              <w:bottom w:w="20" w:type="dxa"/>
            </w:tcMar>
            <w:vAlign w:val="center"/>
          </w:tcPr>
          <w:p w:rsidR="0035701C" w:rsidRDefault="00FB561B">
            <w:pPr>
              <w:spacing w:before="20" w:after="20"/>
              <w:jc w:val="center"/>
              <w:rPr>
                <w:sz w:val="16"/>
              </w:rPr>
            </w:pPr>
            <w:r>
              <w:rPr>
                <w:sz w:val="16"/>
              </w:rPr>
              <w:t>M04</w:t>
            </w:r>
          </w:p>
        </w:tc>
      </w:tr>
      <w:tr w:rsidR="0035701C">
        <w:tc>
          <w:tcPr>
            <w:tcW w:w="12000" w:type="dxa"/>
            <w:vMerge w:val="restart"/>
            <w:shd w:val="clear" w:color="auto" w:fill="FFFFFF"/>
            <w:tcMar>
              <w:top w:w="20" w:type="dxa"/>
              <w:bottom w:w="20" w:type="dxa"/>
            </w:tcMar>
            <w:vAlign w:val="center"/>
          </w:tcPr>
          <w:p w:rsidR="0035701C" w:rsidRDefault="00FB561B">
            <w:pPr>
              <w:spacing w:before="20" w:after="20"/>
              <w:jc w:val="center"/>
              <w:rPr>
                <w:sz w:val="16"/>
              </w:rPr>
            </w:pPr>
            <w:r>
              <w:rPr>
                <w:sz w:val="16"/>
              </w:rPr>
              <w:t>5E</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Surfaces forestières dont la résilience est améliorée (ha)</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75,00</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4 530 000,00</w:t>
            </w:r>
          </w:p>
        </w:tc>
        <w:tc>
          <w:tcPr>
            <w:tcW w:w="12000" w:type="dxa"/>
            <w:shd w:val="clear" w:color="auto" w:fill="FFFFFF"/>
            <w:tcMar>
              <w:top w:w="20" w:type="dxa"/>
              <w:bottom w:w="20" w:type="dxa"/>
            </w:tcMar>
            <w:vAlign w:val="center"/>
          </w:tcPr>
          <w:p w:rsidR="0035701C" w:rsidRDefault="00FB561B">
            <w:pPr>
              <w:spacing w:before="20" w:after="20"/>
              <w:jc w:val="center"/>
              <w:rPr>
                <w:sz w:val="16"/>
              </w:rPr>
            </w:pPr>
            <w:r>
              <w:rPr>
                <w:sz w:val="16"/>
              </w:rPr>
              <w:t>M01, M04, M06, M08</w:t>
            </w:r>
          </w:p>
        </w:tc>
      </w:tr>
      <w:tr w:rsidR="0035701C">
        <w:trPr>
          <w:trHeight w:val="276"/>
        </w:trPr>
        <w:tc>
          <w:tcPr>
            <w:tcW w:w="-5536" w:type="dxa"/>
            <w:gridSpan w:val="5"/>
            <w:vMerge w:val="restart"/>
            <w:shd w:val="clear" w:color="auto" w:fill="808080"/>
            <w:tcMar>
              <w:top w:w="20" w:type="dxa"/>
              <w:bottom w:w="20" w:type="dxa"/>
            </w:tcMar>
            <w:vAlign w:val="center"/>
          </w:tcPr>
          <w:p w:rsidR="0035701C" w:rsidRDefault="00FB561B">
            <w:pPr>
              <w:spacing w:before="20" w:after="20"/>
              <w:jc w:val="left"/>
            </w:pPr>
            <w:r>
              <w:rPr>
                <w:b/>
                <w:sz w:val="20"/>
              </w:rPr>
              <w:t>Priorité 6</w:t>
            </w:r>
          </w:p>
        </w:tc>
      </w:tr>
      <w:tr w:rsidR="0035701C">
        <w:tc>
          <w:tcPr>
            <w:tcW w:w="12000" w:type="dxa"/>
            <w:vMerge w:val="restart"/>
            <w:shd w:val="clear" w:color="auto" w:fill="C0C0C0"/>
            <w:tcMar>
              <w:top w:w="20" w:type="dxa"/>
              <w:bottom w:w="20" w:type="dxa"/>
            </w:tcMar>
            <w:vAlign w:val="center"/>
          </w:tcPr>
          <w:p w:rsidR="0035701C" w:rsidRDefault="00FB561B">
            <w:pPr>
              <w:spacing w:before="20" w:after="20"/>
              <w:jc w:val="center"/>
              <w:rPr>
                <w:sz w:val="16"/>
              </w:rPr>
            </w:pPr>
            <w:r>
              <w:rPr>
                <w:sz w:val="16"/>
              </w:rPr>
              <w:t>Domaine prioritaire</w:t>
            </w:r>
          </w:p>
        </w:tc>
        <w:tc>
          <w:tcPr>
            <w:tcW w:w="12000" w:type="dxa"/>
            <w:vMerge w:val="restart"/>
            <w:shd w:val="clear" w:color="auto" w:fill="C0C0C0"/>
            <w:tcMar>
              <w:top w:w="20" w:type="dxa"/>
              <w:bottom w:w="20" w:type="dxa"/>
            </w:tcMar>
            <w:vAlign w:val="center"/>
          </w:tcPr>
          <w:p w:rsidR="0035701C" w:rsidRDefault="00FB561B">
            <w:pPr>
              <w:spacing w:before="20" w:after="20"/>
              <w:jc w:val="center"/>
              <w:rPr>
                <w:sz w:val="16"/>
              </w:rPr>
            </w:pPr>
            <w:r>
              <w:rPr>
                <w:sz w:val="16"/>
              </w:rPr>
              <w:t>Nom de l'indicateur d'objectif</w:t>
            </w:r>
          </w:p>
        </w:tc>
        <w:tc>
          <w:tcPr>
            <w:tcW w:w="12000" w:type="dxa"/>
            <w:vMerge w:val="restart"/>
            <w:shd w:val="clear" w:color="auto" w:fill="C0C0C0"/>
            <w:tcMar>
              <w:top w:w="20" w:type="dxa"/>
              <w:bottom w:w="20" w:type="dxa"/>
            </w:tcMar>
            <w:vAlign w:val="center"/>
          </w:tcPr>
          <w:p w:rsidR="0035701C" w:rsidRDefault="00FB561B">
            <w:pPr>
              <w:spacing w:before="20" w:after="20"/>
              <w:jc w:val="center"/>
              <w:rPr>
                <w:sz w:val="16"/>
              </w:rPr>
            </w:pPr>
            <w:r>
              <w:rPr>
                <w:sz w:val="16"/>
              </w:rPr>
              <w:t xml:space="preserve">Valeur cible pour </w:t>
            </w:r>
            <w:r>
              <w:rPr>
                <w:sz w:val="16"/>
              </w:rPr>
              <w:t>2025</w:t>
            </w:r>
          </w:p>
        </w:tc>
        <w:tc>
          <w:tcPr>
            <w:tcW w:w="12000" w:type="dxa"/>
            <w:vMerge w:val="restart"/>
            <w:shd w:val="clear" w:color="auto" w:fill="C0C0C0"/>
            <w:tcMar>
              <w:top w:w="20" w:type="dxa"/>
              <w:bottom w:w="20" w:type="dxa"/>
            </w:tcMar>
            <w:vAlign w:val="center"/>
          </w:tcPr>
          <w:p w:rsidR="0035701C" w:rsidRDefault="00FB561B">
            <w:pPr>
              <w:spacing w:before="20" w:after="20"/>
              <w:jc w:val="center"/>
              <w:rPr>
                <w:sz w:val="16"/>
              </w:rPr>
            </w:pPr>
            <w:r>
              <w:rPr>
                <w:sz w:val="16"/>
              </w:rPr>
              <w:t>Dépenses prévues</w:t>
            </w:r>
          </w:p>
        </w:tc>
        <w:tc>
          <w:tcPr>
            <w:tcW w:w="12000" w:type="dxa"/>
            <w:vMerge w:val="restart"/>
            <w:shd w:val="clear" w:color="auto" w:fill="C0C0C0"/>
            <w:tcMar>
              <w:top w:w="20" w:type="dxa"/>
              <w:bottom w:w="20" w:type="dxa"/>
            </w:tcMar>
            <w:vAlign w:val="center"/>
          </w:tcPr>
          <w:p w:rsidR="0035701C" w:rsidRDefault="00FB561B">
            <w:pPr>
              <w:spacing w:before="20" w:after="20"/>
              <w:jc w:val="center"/>
              <w:rPr>
                <w:sz w:val="16"/>
              </w:rPr>
            </w:pPr>
            <w:r>
              <w:rPr>
                <w:sz w:val="16"/>
              </w:rPr>
              <w:t>Combinaison de mesures</w:t>
            </w:r>
          </w:p>
        </w:tc>
      </w:tr>
      <w:tr w:rsidR="0035701C">
        <w:tc>
          <w:tcPr>
            <w:tcW w:w="12000" w:type="dxa"/>
            <w:vMerge w:val="restart"/>
            <w:shd w:val="clear" w:color="auto" w:fill="FFFFFF"/>
            <w:tcMar>
              <w:top w:w="20" w:type="dxa"/>
              <w:bottom w:w="20" w:type="dxa"/>
            </w:tcMar>
            <w:vAlign w:val="center"/>
          </w:tcPr>
          <w:p w:rsidR="0035701C" w:rsidRDefault="00FB561B">
            <w:pPr>
              <w:spacing w:before="20" w:after="20"/>
              <w:jc w:val="center"/>
              <w:rPr>
                <w:sz w:val="16"/>
              </w:rPr>
            </w:pPr>
            <w:r>
              <w:rPr>
                <w:sz w:val="16"/>
              </w:rPr>
              <w:t>6A</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T20: emplois créés dans les projets soutenus (domaine prioritaire 6A)</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8,00</w:t>
            </w:r>
          </w:p>
        </w:tc>
        <w:tc>
          <w:tcPr>
            <w:tcW w:w="12000" w:type="dxa"/>
            <w:vMerge w:val="restart"/>
            <w:shd w:val="clear" w:color="auto" w:fill="FFFFFF"/>
            <w:tcMar>
              <w:top w:w="20" w:type="dxa"/>
              <w:bottom w:w="20" w:type="dxa"/>
            </w:tcMar>
            <w:vAlign w:val="center"/>
          </w:tcPr>
          <w:p w:rsidR="0035701C" w:rsidRDefault="00FB561B">
            <w:pPr>
              <w:spacing w:before="20" w:after="20"/>
              <w:jc w:val="right"/>
              <w:rPr>
                <w:sz w:val="16"/>
              </w:rPr>
            </w:pPr>
            <w:r>
              <w:rPr>
                <w:sz w:val="16"/>
              </w:rPr>
              <w:t>3 400 000,00</w:t>
            </w:r>
          </w:p>
        </w:tc>
        <w:tc>
          <w:tcPr>
            <w:tcW w:w="12000" w:type="dxa"/>
            <w:vMerge w:val="restart"/>
            <w:shd w:val="clear" w:color="auto" w:fill="FFFFFF"/>
            <w:tcMar>
              <w:top w:w="20" w:type="dxa"/>
              <w:bottom w:w="20" w:type="dxa"/>
            </w:tcMar>
            <w:vAlign w:val="center"/>
          </w:tcPr>
          <w:p w:rsidR="0035701C" w:rsidRDefault="00FB561B">
            <w:pPr>
              <w:spacing w:before="20" w:after="20"/>
              <w:jc w:val="center"/>
              <w:rPr>
                <w:sz w:val="16"/>
              </w:rPr>
            </w:pPr>
            <w:r>
              <w:rPr>
                <w:sz w:val="16"/>
              </w:rPr>
              <w:t>M06</w:t>
            </w:r>
          </w:p>
        </w:tc>
      </w:tr>
      <w:tr w:rsidR="0035701C">
        <w:tc>
          <w:tcPr>
            <w:tcW w:w="12000" w:type="dxa"/>
            <w:vMerge w:val="restart"/>
            <w:shd w:val="clear" w:color="auto" w:fill="FFFFFF"/>
            <w:tcMar>
              <w:top w:w="20" w:type="dxa"/>
              <w:bottom w:w="20" w:type="dxa"/>
            </w:tcMar>
            <w:vAlign w:val="center"/>
          </w:tcPr>
          <w:p w:rsidR="0035701C" w:rsidRDefault="00FB561B">
            <w:pPr>
              <w:spacing w:before="20" w:after="20"/>
              <w:jc w:val="center"/>
              <w:rPr>
                <w:sz w:val="16"/>
              </w:rPr>
            </w:pPr>
            <w:r>
              <w:rPr>
                <w:sz w:val="16"/>
              </w:rPr>
              <w:t>6B</w:t>
            </w: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 xml:space="preserve">T21: pourcentage de la population rurale concernée par les stratégies de développement local (domaine </w:t>
            </w:r>
            <w:r>
              <w:rPr>
                <w:sz w:val="16"/>
              </w:rPr>
              <w:t>prioritaire 6B)</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53,70%</w:t>
            </w:r>
          </w:p>
        </w:tc>
        <w:tc>
          <w:tcPr>
            <w:tcW w:w="12000" w:type="dxa"/>
            <w:vMerge w:val="restart"/>
            <w:shd w:val="clear" w:color="auto" w:fill="FFFFFF"/>
            <w:tcMar>
              <w:top w:w="20" w:type="dxa"/>
              <w:bottom w:w="20" w:type="dxa"/>
            </w:tcMar>
            <w:vAlign w:val="center"/>
          </w:tcPr>
          <w:p w:rsidR="0035701C" w:rsidRDefault="00FB561B">
            <w:pPr>
              <w:spacing w:before="20" w:after="20"/>
              <w:jc w:val="right"/>
              <w:rPr>
                <w:sz w:val="16"/>
              </w:rPr>
            </w:pPr>
            <w:r>
              <w:rPr>
                <w:sz w:val="16"/>
              </w:rPr>
              <w:t>30 109 225,00</w:t>
            </w:r>
          </w:p>
        </w:tc>
        <w:tc>
          <w:tcPr>
            <w:tcW w:w="12000" w:type="dxa"/>
            <w:vMerge w:val="restart"/>
            <w:shd w:val="clear" w:color="auto" w:fill="FFFFFF"/>
            <w:tcMar>
              <w:top w:w="20" w:type="dxa"/>
              <w:bottom w:w="20" w:type="dxa"/>
            </w:tcMar>
            <w:vAlign w:val="center"/>
          </w:tcPr>
          <w:p w:rsidR="0035701C" w:rsidRDefault="00FB561B">
            <w:pPr>
              <w:spacing w:before="20" w:after="20"/>
              <w:jc w:val="center"/>
              <w:rPr>
                <w:sz w:val="16"/>
              </w:rPr>
            </w:pPr>
            <w:r>
              <w:rPr>
                <w:sz w:val="16"/>
              </w:rPr>
              <w:t>M07, M19</w:t>
            </w:r>
          </w:p>
        </w:tc>
      </w:tr>
      <w:tr w:rsidR="0035701C">
        <w:tc>
          <w:tcPr>
            <w:tcW w:w="12000" w:type="dxa"/>
            <w:vMerge/>
            <w:shd w:val="clear" w:color="auto" w:fill="FFFFFF"/>
            <w:tcMar>
              <w:top w:w="20" w:type="dxa"/>
              <w:bottom w:w="20" w:type="dxa"/>
            </w:tcMar>
            <w:vAlign w:val="center"/>
          </w:tcPr>
          <w:p w:rsidR="0035701C" w:rsidRDefault="0035701C">
            <w:pPr>
              <w:spacing w:before="20" w:after="20"/>
              <w:jc w:val="center"/>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T22: pourcentage de la population rurale bénéficiant de meilleurs services/infrastructures (domaine prioritaire 6B)</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6,68%</w:t>
            </w:r>
          </w:p>
        </w:tc>
        <w:tc>
          <w:tcPr>
            <w:tcW w:w="12000" w:type="dxa"/>
            <w:vMerge/>
            <w:shd w:val="clear" w:color="auto" w:fill="FFFFFF"/>
            <w:tcMar>
              <w:top w:w="20" w:type="dxa"/>
              <w:bottom w:w="20" w:type="dxa"/>
            </w:tcMar>
            <w:vAlign w:val="center"/>
          </w:tcPr>
          <w:p w:rsidR="0035701C" w:rsidRDefault="0035701C">
            <w:pPr>
              <w:spacing w:before="20" w:after="20"/>
              <w:jc w:val="right"/>
              <w:rPr>
                <w:sz w:val="16"/>
              </w:rPr>
            </w:pPr>
          </w:p>
        </w:tc>
        <w:tc>
          <w:tcPr>
            <w:tcW w:w="12000" w:type="dxa"/>
            <w:vMerge/>
            <w:shd w:val="clear" w:color="auto" w:fill="FFFFFF"/>
            <w:tcMar>
              <w:top w:w="20" w:type="dxa"/>
              <w:bottom w:w="20" w:type="dxa"/>
            </w:tcMar>
            <w:vAlign w:val="center"/>
          </w:tcPr>
          <w:p w:rsidR="0035701C" w:rsidRDefault="0035701C">
            <w:pPr>
              <w:spacing w:before="20" w:after="20"/>
              <w:jc w:val="center"/>
              <w:rPr>
                <w:sz w:val="16"/>
              </w:rPr>
            </w:pPr>
          </w:p>
        </w:tc>
      </w:tr>
      <w:tr w:rsidR="0035701C">
        <w:tc>
          <w:tcPr>
            <w:tcW w:w="12000" w:type="dxa"/>
            <w:vMerge/>
            <w:shd w:val="clear" w:color="auto" w:fill="FFFFFF"/>
            <w:tcMar>
              <w:top w:w="20" w:type="dxa"/>
              <w:bottom w:w="20" w:type="dxa"/>
            </w:tcMar>
            <w:vAlign w:val="center"/>
          </w:tcPr>
          <w:p w:rsidR="0035701C" w:rsidRDefault="0035701C">
            <w:pPr>
              <w:spacing w:before="20" w:after="20"/>
              <w:jc w:val="center"/>
              <w:rPr>
                <w:sz w:val="16"/>
              </w:rPr>
            </w:pPr>
          </w:p>
        </w:tc>
        <w:tc>
          <w:tcPr>
            <w:tcW w:w="12000" w:type="dxa"/>
            <w:shd w:val="clear" w:color="auto" w:fill="FFFFFF"/>
            <w:tcMar>
              <w:top w:w="20" w:type="dxa"/>
              <w:bottom w:w="20" w:type="dxa"/>
            </w:tcMar>
            <w:vAlign w:val="center"/>
          </w:tcPr>
          <w:p w:rsidR="0035701C" w:rsidRDefault="00FB561B">
            <w:pPr>
              <w:spacing w:before="20" w:after="20"/>
              <w:jc w:val="left"/>
              <w:rPr>
                <w:sz w:val="16"/>
              </w:rPr>
            </w:pPr>
            <w:r>
              <w:rPr>
                <w:sz w:val="16"/>
              </w:rPr>
              <w:t>T23: emplois créés dans les projets soutenus (Leader) (domaine prioritaire 6B)</w:t>
            </w:r>
          </w:p>
        </w:tc>
        <w:tc>
          <w:tcPr>
            <w:tcW w:w="12000" w:type="dxa"/>
            <w:shd w:val="clear" w:color="auto" w:fill="FFFFFF"/>
            <w:tcMar>
              <w:top w:w="20" w:type="dxa"/>
              <w:bottom w:w="20" w:type="dxa"/>
            </w:tcMar>
            <w:vAlign w:val="center"/>
          </w:tcPr>
          <w:p w:rsidR="0035701C" w:rsidRDefault="00FB561B">
            <w:pPr>
              <w:spacing w:before="20" w:after="20"/>
              <w:jc w:val="right"/>
              <w:rPr>
                <w:sz w:val="16"/>
              </w:rPr>
            </w:pPr>
            <w:r>
              <w:rPr>
                <w:sz w:val="16"/>
              </w:rPr>
              <w:t>12,00</w:t>
            </w:r>
          </w:p>
        </w:tc>
        <w:tc>
          <w:tcPr>
            <w:tcW w:w="12000" w:type="dxa"/>
            <w:vMerge/>
            <w:shd w:val="clear" w:color="auto" w:fill="FFFFFF"/>
            <w:tcMar>
              <w:top w:w="20" w:type="dxa"/>
              <w:bottom w:w="20" w:type="dxa"/>
            </w:tcMar>
            <w:vAlign w:val="center"/>
          </w:tcPr>
          <w:p w:rsidR="0035701C" w:rsidRDefault="0035701C">
            <w:pPr>
              <w:spacing w:before="20" w:after="20"/>
              <w:jc w:val="right"/>
              <w:rPr>
                <w:sz w:val="16"/>
              </w:rPr>
            </w:pPr>
          </w:p>
        </w:tc>
        <w:tc>
          <w:tcPr>
            <w:tcW w:w="12000" w:type="dxa"/>
            <w:vMerge/>
            <w:shd w:val="clear" w:color="auto" w:fill="FFFFFF"/>
            <w:tcMar>
              <w:top w:w="20" w:type="dxa"/>
              <w:bottom w:w="20" w:type="dxa"/>
            </w:tcMar>
            <w:vAlign w:val="center"/>
          </w:tcPr>
          <w:p w:rsidR="0035701C" w:rsidRDefault="0035701C">
            <w:pPr>
              <w:spacing w:before="20" w:after="20"/>
              <w:jc w:val="center"/>
              <w:rPr>
                <w:sz w:val="16"/>
              </w:rPr>
            </w:pPr>
          </w:p>
        </w:tc>
      </w:tr>
    </w:tbl>
    <w:p w:rsidR="0035701C" w:rsidRDefault="0035701C">
      <w:pPr>
        <w:sectPr w:rsidR="0035701C">
          <w:pgSz w:w="12240" w:h="15840"/>
          <w:pgMar w:top="900" w:right="900" w:bottom="900" w:left="900" w:header="720" w:footer="720" w:gutter="0"/>
          <w:cols w:space="720"/>
        </w:sectPr>
      </w:pPr>
    </w:p>
    <w:p w:rsidR="0035701C" w:rsidRDefault="00FB561B">
      <w:pPr>
        <w:pStyle w:val="Titre2"/>
      </w:pPr>
      <w:bookmarkStart w:id="82" w:name="_Toc256000081"/>
      <w:r>
        <w:t>Description de la capacité de conseil en vue de la fourniture des conseils et du soutien adéquats concernant les exigences réglementaires et les actions relatives à l'innovation, afin de démontrer les mesures prises conformément à l'arti</w:t>
      </w:r>
      <w:r>
        <w:t>cle 8, paragraphe 1, point c) vi), du règlement (UE) n° 1305/2013</w:t>
      </w:r>
      <w:bookmarkEnd w:id="82"/>
      <w: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 Corse s’appuie sur son expérience pour apporter des conseils et du soutien adéquat aux bénéficiaires.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Simplification dans l’organisation du PDRC :</w:t>
            </w:r>
          </w:p>
          <w:p w:rsidR="0035701C" w:rsidRDefault="00FB561B">
            <w:pPr>
              <w:spacing w:before="240" w:after="240"/>
              <w:jc w:val="left"/>
              <w:rPr>
                <w:szCs w:val="24"/>
              </w:rPr>
            </w:pPr>
            <w:r>
              <w:rPr>
                <w:szCs w:val="24"/>
              </w:rPr>
              <w:t xml:space="preserve">L’organisation du PDRC 2014 2020 est </w:t>
            </w:r>
            <w:r>
              <w:rPr>
                <w:szCs w:val="24"/>
              </w:rPr>
              <w:t>grandement simplifiée par rapport à la programmation précédente. Ainsi, nous ne comptons plus que deux services instructeurs, dont les missions sont clairement définies (mesures « agricole » et mesures « développement rural »).</w:t>
            </w:r>
          </w:p>
          <w:p w:rsidR="0035701C" w:rsidRDefault="00FB561B">
            <w:pPr>
              <w:spacing w:before="240" w:after="240"/>
              <w:jc w:val="left"/>
              <w:rPr>
                <w:szCs w:val="24"/>
              </w:rPr>
            </w:pPr>
            <w:r>
              <w:rPr>
                <w:szCs w:val="24"/>
              </w:rPr>
              <w:t>Le principe des guichets uni</w:t>
            </w:r>
            <w:r>
              <w:rPr>
                <w:szCs w:val="24"/>
              </w:rPr>
              <w:t>ques pour les agriculteurs est maintenu. Concernant les aides surfaciques (premier et second pilier), le guichet unique du dépôt de la déclaration de surface reste la DDTM. Concernant les aides individuelles agricoles, ce rôle est tenu par l’ODARC. Pour le</w:t>
            </w:r>
            <w:r>
              <w:rPr>
                <w:szCs w:val="24"/>
              </w:rPr>
              <w:t>s aides développement rural, il s’agit de la Collectivité Territoriale de Corse.</w:t>
            </w:r>
          </w:p>
          <w:p w:rsidR="0035701C" w:rsidRDefault="00FB561B">
            <w:pPr>
              <w:spacing w:before="240" w:after="240"/>
              <w:jc w:val="left"/>
              <w:rPr>
                <w:szCs w:val="24"/>
              </w:rPr>
            </w:pPr>
            <w:r>
              <w:rPr>
                <w:szCs w:val="24"/>
              </w:rPr>
              <w:t>La Direction des Affaires Européennes et Internationales de la CTC assure le rôle de coordination entre ces différents entités.</w:t>
            </w:r>
          </w:p>
          <w:p w:rsidR="0035701C" w:rsidRDefault="00FB561B">
            <w:pPr>
              <w:spacing w:before="240" w:after="240"/>
              <w:jc w:val="left"/>
              <w:rPr>
                <w:szCs w:val="24"/>
              </w:rPr>
            </w:pPr>
            <w:r>
              <w:rPr>
                <w:szCs w:val="24"/>
              </w:rPr>
              <w:t>De même, nos habitudes de travail nous ont cond</w:t>
            </w:r>
            <w:r>
              <w:rPr>
                <w:szCs w:val="24"/>
              </w:rPr>
              <w:t>uit à clarifier les rôles de chacun (AG, SI, OP).</w:t>
            </w:r>
          </w:p>
          <w:p w:rsidR="0035701C" w:rsidRDefault="00FB561B">
            <w:pPr>
              <w:spacing w:before="240" w:after="240"/>
              <w:jc w:val="left"/>
              <w:rPr>
                <w:szCs w:val="24"/>
              </w:rPr>
            </w:pPr>
            <w:r>
              <w:rPr>
                <w:szCs w:val="24"/>
              </w:rPr>
              <w:t>Selon la loi n</w:t>
            </w:r>
            <w:r>
              <w:rPr>
                <w:b/>
                <w:bCs/>
                <w:szCs w:val="24"/>
              </w:rPr>
              <w:t xml:space="preserve">° </w:t>
            </w:r>
            <w:r>
              <w:rPr>
                <w:szCs w:val="24"/>
              </w:rPr>
              <w:t>2000-321 du 12 avril 2000 relative aux droits des citoyens dans leurs relations avec les administrations, toute demande adressée à la mauvaise administration doit être transmise au service c</w:t>
            </w:r>
            <w:r>
              <w:rPr>
                <w:szCs w:val="24"/>
              </w:rPr>
              <w:t>ompétent.</w:t>
            </w:r>
          </w:p>
          <w:p w:rsidR="0035701C" w:rsidRDefault="00FB561B">
            <w:pPr>
              <w:spacing w:before="240" w:after="240"/>
              <w:jc w:val="left"/>
              <w:rPr>
                <w:szCs w:val="24"/>
              </w:rPr>
            </w:pPr>
            <w:r>
              <w:rPr>
                <w:szCs w:val="24"/>
              </w:rPr>
              <w:t>Ces dispositions sont de nature à simplifier grandement  les relations entre les acteurs du PDRC et les bénéficiaires.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 xml:space="preserve">Réseau de conseiller au service des bénéficiaires </w:t>
            </w:r>
          </w:p>
          <w:p w:rsidR="0035701C" w:rsidRDefault="00FB561B">
            <w:pPr>
              <w:spacing w:before="240" w:after="240"/>
              <w:jc w:val="left"/>
              <w:rPr>
                <w:szCs w:val="24"/>
              </w:rPr>
            </w:pPr>
            <w:r>
              <w:rPr>
                <w:szCs w:val="24"/>
              </w:rPr>
              <w:t>Des partenariats et échanges réguliers sont conduits avec les Chambres d’a</w:t>
            </w:r>
            <w:r>
              <w:rPr>
                <w:szCs w:val="24"/>
              </w:rPr>
              <w:t>griculture et les services de l’Etat qui ont pour missions de conseiller les agriculteurs ou autres bénéficiaires potentiels. Ceux-ci sont donc informés des évolutions règlementaires et sont à même d’apporter des conseils aux bénéficiaires.</w:t>
            </w:r>
          </w:p>
          <w:p w:rsidR="0035701C" w:rsidRDefault="00FB561B">
            <w:pPr>
              <w:spacing w:before="240" w:after="240"/>
              <w:jc w:val="left"/>
              <w:rPr>
                <w:szCs w:val="24"/>
              </w:rPr>
            </w:pPr>
            <w:r>
              <w:rPr>
                <w:szCs w:val="24"/>
              </w:rPr>
              <w:t>Les deux servic</w:t>
            </w:r>
            <w:r>
              <w:rPr>
                <w:szCs w:val="24"/>
              </w:rPr>
              <w:t>es instructeurs du PDRC (ODARC et CTC) disposent d’une forte présence sur le terrain. Chacune de ces deux structures dispose de conseillers de territoire et d’antennes décentralisées pour l’accueil et le conseil auprès des porteurs de projet. Les agents de</w:t>
            </w:r>
            <w:r>
              <w:rPr>
                <w:szCs w:val="24"/>
              </w:rPr>
              <w:t xml:space="preserve"> territoire peuvent se référer à des agents spécialisés clairement identifié (juriste, bâtiment agricole, spécialiste technique…) autant que de besoins.</w:t>
            </w:r>
          </w:p>
          <w:p w:rsidR="0035701C" w:rsidRDefault="00FB561B">
            <w:pPr>
              <w:spacing w:before="240" w:after="240"/>
              <w:jc w:val="left"/>
              <w:rPr>
                <w:szCs w:val="24"/>
              </w:rPr>
            </w:pPr>
            <w:r>
              <w:rPr>
                <w:szCs w:val="24"/>
              </w:rPr>
              <w:t>Des mesures spécifiques sont prises pour apporter des conseils dans des domaines précis. Concernant les</w:t>
            </w:r>
            <w:r>
              <w:rPr>
                <w:szCs w:val="24"/>
              </w:rPr>
              <w:t xml:space="preserve"> MAEC, les conseils et diagnostics seront apportés directement par des agents de l’OEC (conformément à l'article 28(4) du règlement (UE) n°1305/2013). Des conseils spécifiques pourront être apportés pour les mesures DFCI par les agents de la DRAAF ou de l’</w:t>
            </w:r>
            <w:r>
              <w:rPr>
                <w:szCs w:val="24"/>
              </w:rPr>
              <w:t>OEC.</w:t>
            </w:r>
          </w:p>
          <w:p w:rsidR="0035701C" w:rsidRDefault="00FB561B">
            <w:pPr>
              <w:spacing w:before="240" w:after="240"/>
              <w:jc w:val="left"/>
              <w:rPr>
                <w:szCs w:val="24"/>
              </w:rPr>
            </w:pPr>
            <w:r>
              <w:rPr>
                <w:szCs w:val="24"/>
              </w:rPr>
              <w:t>Concernant le soutien à l’Agriculture Biologique, un soutien spécialisé est apporté par le CIVAM Bio Corse.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Mesures prise par l’Autorité de gestion pour assurer le conseil et l’information en matière d’innovation</w:t>
            </w:r>
          </w:p>
          <w:p w:rsidR="0035701C" w:rsidRDefault="00FB561B">
            <w:pPr>
              <w:spacing w:before="240" w:after="240"/>
              <w:jc w:val="left"/>
              <w:rPr>
                <w:szCs w:val="24"/>
              </w:rPr>
            </w:pPr>
            <w:r>
              <w:rPr>
                <w:szCs w:val="24"/>
              </w:rPr>
              <w:t>L’information en matière d’innovatio</w:t>
            </w:r>
            <w:r>
              <w:rPr>
                <w:szCs w:val="24"/>
              </w:rPr>
              <w:t xml:space="preserve">n pourra s’appuyer notamment sur la mesure coopération de ce programme qui permettra d’encourager les partenariats entre acteurs, et l’innovation via la sous-mesure 16.2 </w:t>
            </w:r>
            <w:r>
              <w:rPr>
                <w:i/>
                <w:iCs/>
                <w:szCs w:val="24"/>
              </w:rPr>
              <w:t>« Aide aux projets pilotes et à la mise au point de nouveaux produits, pratiques, proc</w:t>
            </w:r>
            <w:r>
              <w:rPr>
                <w:i/>
                <w:iCs/>
                <w:szCs w:val="24"/>
              </w:rPr>
              <w:t>édés et technologies ».</w:t>
            </w:r>
          </w:p>
          <w:p w:rsidR="0035701C" w:rsidRDefault="00FB561B">
            <w:pPr>
              <w:spacing w:before="240" w:after="240"/>
              <w:jc w:val="left"/>
              <w:rPr>
                <w:szCs w:val="24"/>
              </w:rPr>
            </w:pPr>
            <w:r>
              <w:rPr>
                <w:szCs w:val="24"/>
              </w:rPr>
              <w:t>De même, des opérations seront financées dans le cadre du Partenariats Européens pour l’Innovation (PEI). Celles ci visent à développer et formaliser les partenariats entre les acteurs du développement, de l’enseignement agricole, l</w:t>
            </w:r>
            <w:r>
              <w:rPr>
                <w:szCs w:val="24"/>
              </w:rPr>
              <w:t>es agriculteurs ou leurs groupements, les chercheurs et les entreprises.</w:t>
            </w:r>
          </w:p>
          <w:p w:rsidR="0035701C" w:rsidRDefault="00FB561B" w:rsidP="00FB561B">
            <w:pPr>
              <w:numPr>
                <w:ilvl w:val="0"/>
                <w:numId w:val="171"/>
              </w:numPr>
              <w:spacing w:before="240" w:after="0"/>
              <w:ind w:hanging="210"/>
              <w:jc w:val="left"/>
              <w:rPr>
                <w:szCs w:val="24"/>
              </w:rPr>
            </w:pPr>
            <w:r>
              <w:rPr>
                <w:szCs w:val="24"/>
              </w:rPr>
              <w:t>Une stratégie de Spécialisation Intelligente (3s) a été adoptée en Corse. Un axe de spécialisation consiste en la valorisation des ressources naturelles et culturelles. Cette stratégi</w:t>
            </w:r>
            <w:r>
              <w:rPr>
                <w:szCs w:val="24"/>
              </w:rPr>
              <w:t>e a été prise en compte pour la rédaction du PDRC.</w:t>
            </w:r>
          </w:p>
          <w:p w:rsidR="0035701C" w:rsidRDefault="00FB561B" w:rsidP="00FB561B">
            <w:pPr>
              <w:numPr>
                <w:ilvl w:val="0"/>
                <w:numId w:val="171"/>
              </w:numPr>
              <w:spacing w:before="0" w:after="0"/>
              <w:ind w:hanging="210"/>
              <w:jc w:val="left"/>
              <w:rPr>
                <w:szCs w:val="24"/>
              </w:rPr>
            </w:pPr>
            <w:r>
              <w:rPr>
                <w:szCs w:val="24"/>
              </w:rPr>
              <w:t xml:space="preserve">Des coopérations avec l'Université de Corse et l'INRA seront recherchées afin d'animer le dispositif du Partenariat Européen pour l'Innovation en lien avec l'ODARC qui instruit l'Appel à Projet PEI. Ces dispositions doivent favoriser : </w:t>
            </w:r>
          </w:p>
          <w:p w:rsidR="0035701C" w:rsidRDefault="00FB561B" w:rsidP="00FB561B">
            <w:pPr>
              <w:numPr>
                <w:ilvl w:val="1"/>
                <w:numId w:val="171"/>
              </w:numPr>
              <w:spacing w:before="0" w:after="0"/>
              <w:ind w:hanging="244"/>
              <w:jc w:val="left"/>
              <w:rPr>
                <w:szCs w:val="24"/>
              </w:rPr>
            </w:pPr>
            <w:r>
              <w:rPr>
                <w:szCs w:val="24"/>
              </w:rPr>
              <w:t>la communication en</w:t>
            </w:r>
            <w:r>
              <w:rPr>
                <w:szCs w:val="24"/>
              </w:rPr>
              <w:t>vers les acteurs du territoire des dispositions du PEI</w:t>
            </w:r>
          </w:p>
          <w:p w:rsidR="0035701C" w:rsidRDefault="00FB561B" w:rsidP="00FB561B">
            <w:pPr>
              <w:numPr>
                <w:ilvl w:val="1"/>
                <w:numId w:val="171"/>
              </w:numPr>
              <w:spacing w:before="0" w:after="0"/>
              <w:ind w:hanging="244"/>
              <w:jc w:val="left"/>
              <w:rPr>
                <w:szCs w:val="24"/>
              </w:rPr>
            </w:pPr>
            <w:r>
              <w:rPr>
                <w:szCs w:val="24"/>
              </w:rPr>
              <w:t>l'expression de besoins en matière de développement,</w:t>
            </w:r>
          </w:p>
          <w:p w:rsidR="0035701C" w:rsidRDefault="00FB561B" w:rsidP="00FB561B">
            <w:pPr>
              <w:numPr>
                <w:ilvl w:val="1"/>
                <w:numId w:val="171"/>
              </w:numPr>
              <w:spacing w:before="0" w:after="0"/>
              <w:ind w:hanging="244"/>
              <w:jc w:val="left"/>
              <w:rPr>
                <w:szCs w:val="24"/>
              </w:rPr>
            </w:pPr>
            <w:r>
              <w:rPr>
                <w:szCs w:val="24"/>
              </w:rPr>
              <w:t>l'orientation des demandeurs vers les dispositifs régionaux soutenant l'innovation.</w:t>
            </w:r>
          </w:p>
          <w:p w:rsidR="0035701C" w:rsidRDefault="00FB561B" w:rsidP="00FB561B">
            <w:pPr>
              <w:numPr>
                <w:ilvl w:val="1"/>
                <w:numId w:val="171"/>
              </w:numPr>
              <w:spacing w:before="0" w:after="240"/>
              <w:ind w:hanging="244"/>
              <w:jc w:val="left"/>
              <w:rPr>
                <w:szCs w:val="24"/>
              </w:rPr>
            </w:pPr>
            <w:r>
              <w:rPr>
                <w:szCs w:val="24"/>
              </w:rPr>
              <w:t>un accompagnement à la recherche de partenaires en vue notamment</w:t>
            </w:r>
            <w:r>
              <w:rPr>
                <w:szCs w:val="24"/>
              </w:rPr>
              <w:t xml:space="preserve"> de constituer un GO.</w:t>
            </w:r>
          </w:p>
          <w:p w:rsidR="0035701C" w:rsidRDefault="0035701C">
            <w:pPr>
              <w:pStyle w:val="Corpsdetexte"/>
            </w:pPr>
          </w:p>
        </w:tc>
      </w:tr>
    </w:tbl>
    <w:p w:rsidR="0035701C" w:rsidRDefault="0035701C">
      <w:pPr>
        <w:sectPr w:rsidR="0035701C">
          <w:pgSz w:w="12240" w:h="15840"/>
          <w:pgMar w:top="900" w:right="900" w:bottom="900" w:left="900" w:header="720" w:footer="720" w:gutter="0"/>
          <w:cols w:space="720"/>
        </w:sectPr>
      </w:pPr>
    </w:p>
    <w:p w:rsidR="0035701C" w:rsidRDefault="00FB561B">
      <w:pPr>
        <w:pStyle w:val="Titre1"/>
      </w:pPr>
      <w:bookmarkStart w:id="83" w:name="_Toc256000082"/>
      <w:r>
        <w:t>Évaluation des conditions ex-ante</w:t>
      </w:r>
      <w:bookmarkEnd w:id="83"/>
    </w:p>
    <w:p w:rsidR="0035701C" w:rsidRDefault="00FB561B">
      <w:pPr>
        <w:pStyle w:val="Titre2"/>
      </w:pPr>
      <w:bookmarkStart w:id="84" w:name="_Toc256000083"/>
      <w:r>
        <w:t>Informations supplémentaires</w:t>
      </w:r>
      <w:bookmarkEnd w:id="8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w:t>
            </w:r>
          </w:p>
          <w:p w:rsidR="0035701C" w:rsidRDefault="0035701C">
            <w:pPr>
              <w:pStyle w:val="Corpsdetexte"/>
            </w:pPr>
          </w:p>
        </w:tc>
      </w:tr>
    </w:tbl>
    <w:p w:rsidR="0035701C" w:rsidRDefault="0035701C">
      <w:pPr>
        <w:sectPr w:rsidR="0035701C">
          <w:pgSz w:w="12240" w:h="15840"/>
          <w:pgMar w:top="900" w:right="900" w:bottom="900" w:left="900" w:header="720" w:footer="720" w:gutter="0"/>
          <w:cols w:space="720"/>
        </w:sectPr>
      </w:pPr>
    </w:p>
    <w:p w:rsidR="0035701C" w:rsidRDefault="00FB561B">
      <w:pPr>
        <w:pStyle w:val="Titre2"/>
      </w:pPr>
      <w:r>
        <w:t xml:space="preserve"> </w:t>
      </w:r>
      <w:bookmarkStart w:id="85" w:name="_Toc256000084"/>
      <w:r>
        <w:t>Conditions ex-ante</w:t>
      </w:r>
      <w:bookmarkEnd w:id="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2851"/>
        <w:gridCol w:w="2851"/>
        <w:gridCol w:w="2851"/>
        <w:gridCol w:w="2852"/>
      </w:tblGrid>
      <w:tr w:rsidR="0035701C">
        <w:tc>
          <w:tcPr>
            <w:tcW w:w="1250" w:type="pct"/>
            <w:shd w:val="clear" w:color="auto" w:fill="C0C0C0"/>
            <w:tcMar>
              <w:top w:w="20" w:type="dxa"/>
              <w:bottom w:w="20" w:type="dxa"/>
            </w:tcMar>
            <w:vAlign w:val="center"/>
          </w:tcPr>
          <w:p w:rsidR="0035701C" w:rsidRDefault="00FB561B">
            <w:pPr>
              <w:jc w:val="center"/>
              <w:rPr>
                <w:b/>
                <w:sz w:val="16"/>
              </w:rPr>
            </w:pPr>
            <w:r>
              <w:rPr>
                <w:b/>
                <w:sz w:val="16"/>
              </w:rPr>
              <w:t>Condition ex ante applicable au niveau national</w:t>
            </w:r>
          </w:p>
        </w:tc>
        <w:tc>
          <w:tcPr>
            <w:tcW w:w="1000" w:type="pct"/>
            <w:shd w:val="clear" w:color="auto" w:fill="C0C0C0"/>
            <w:tcMar>
              <w:top w:w="20" w:type="dxa"/>
              <w:bottom w:w="20" w:type="dxa"/>
            </w:tcMar>
            <w:vAlign w:val="center"/>
          </w:tcPr>
          <w:p w:rsidR="0035701C" w:rsidRDefault="00FB561B">
            <w:pPr>
              <w:jc w:val="center"/>
              <w:rPr>
                <w:b/>
                <w:sz w:val="16"/>
              </w:rPr>
            </w:pPr>
            <w:r>
              <w:rPr>
                <w:b/>
                <w:sz w:val="16"/>
              </w:rPr>
              <w:t>Condition ex ante applicable remplie: oui/non/en partie</w:t>
            </w:r>
          </w:p>
        </w:tc>
        <w:tc>
          <w:tcPr>
            <w:tcW w:w="1250" w:type="pct"/>
            <w:shd w:val="clear" w:color="auto" w:fill="C0C0C0"/>
            <w:tcMar>
              <w:top w:w="20" w:type="dxa"/>
              <w:bottom w:w="20" w:type="dxa"/>
            </w:tcMar>
            <w:vAlign w:val="center"/>
          </w:tcPr>
          <w:p w:rsidR="0035701C" w:rsidRDefault="00FB561B">
            <w:pPr>
              <w:jc w:val="center"/>
              <w:rPr>
                <w:b/>
                <w:sz w:val="16"/>
              </w:rPr>
            </w:pPr>
            <w:r>
              <w:rPr>
                <w:b/>
                <w:sz w:val="16"/>
              </w:rPr>
              <w:t xml:space="preserve">Évaluation de leur </w:t>
            </w:r>
            <w:r>
              <w:rPr>
                <w:b/>
                <w:sz w:val="16"/>
              </w:rPr>
              <w:t>respect</w:t>
            </w:r>
          </w:p>
        </w:tc>
        <w:tc>
          <w:tcPr>
            <w:tcW w:w="1000" w:type="pct"/>
            <w:shd w:val="clear" w:color="auto" w:fill="C0C0C0"/>
            <w:tcMar>
              <w:top w:w="20" w:type="dxa"/>
              <w:bottom w:w="20" w:type="dxa"/>
            </w:tcMar>
            <w:vAlign w:val="center"/>
          </w:tcPr>
          <w:p w:rsidR="0035701C" w:rsidRDefault="00FB561B">
            <w:pPr>
              <w:jc w:val="center"/>
              <w:rPr>
                <w:b/>
                <w:sz w:val="16"/>
              </w:rPr>
            </w:pPr>
            <w:r>
              <w:rPr>
                <w:b/>
                <w:sz w:val="16"/>
              </w:rPr>
              <w:t>Priorités/Domaines prioritaires</w:t>
            </w:r>
          </w:p>
        </w:tc>
        <w:tc>
          <w:tcPr>
            <w:tcW w:w="500" w:type="pct"/>
            <w:shd w:val="clear" w:color="auto" w:fill="C0C0C0"/>
            <w:tcMar>
              <w:top w:w="20" w:type="dxa"/>
              <w:bottom w:w="20" w:type="dxa"/>
            </w:tcMar>
            <w:vAlign w:val="center"/>
          </w:tcPr>
          <w:p w:rsidR="0035701C" w:rsidRDefault="00FB561B">
            <w:pPr>
              <w:jc w:val="center"/>
              <w:rPr>
                <w:sz w:val="16"/>
              </w:rPr>
            </w:pPr>
            <w:r>
              <w:rPr>
                <w:b/>
                <w:sz w:val="16"/>
              </w:rPr>
              <w:t>Mesures</w:t>
            </w:r>
          </w:p>
        </w:tc>
      </w:tr>
      <w:tr w:rsidR="0035701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 xml:space="preserve">P3.1) Prévention et gestion des risques: l'existence, à l'échelon national ou régional, d'évaluations des risques aux fins de la gestion des catastrophes qui prennent en considération l'adaptation au </w:t>
            </w:r>
            <w:r>
              <w:rPr>
                <w:sz w:val="12"/>
              </w:rPr>
              <w:t>changement climatique.</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yes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 xml:space="preserve">Le volet gestion des risques concerne essentiellement le programme de développement rural national dédié. </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3B</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M17, M05</w:t>
            </w: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 xml:space="preserve">P4.1) Bonnes conditions agricoles et environnementales (BCAE): les normes relatives aux bonnes </w:t>
            </w:r>
            <w:r>
              <w:rPr>
                <w:sz w:val="12"/>
              </w:rPr>
              <w:t>conditions agricoles et environnementales des terres visées au titre VI, chapitre 1, du règlement (UE) n° 1306/2013 sont établies au niveau national.</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yes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Voir justification dans la colonne par critère ci-après.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P4</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M10, M11</w:t>
            </w:r>
          </w:p>
        </w:tc>
      </w:tr>
      <w:tr w:rsidR="0035701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 xml:space="preserve">P4.2) Exigences minimales </w:t>
            </w:r>
            <w:r>
              <w:rPr>
                <w:sz w:val="12"/>
              </w:rPr>
              <w:t>applicables à l'utilisation des engrais et des produits phytosanitaires: les exigences minimales applicables à l'utilisation des engrais et des produits phytosanitaires visées au titre III, chapitre 1, article 28, du règlement UE n° 1305/2013 sont définies</w:t>
            </w:r>
            <w:r>
              <w:rPr>
                <w:sz w:val="12"/>
              </w:rPr>
              <w:t xml:space="preserve"> au niveau national.</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yes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Voir justification dans la colonne par critère ci-après.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P4</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M10, M11</w:t>
            </w:r>
          </w:p>
        </w:tc>
      </w:tr>
      <w:tr w:rsidR="0035701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P4.3) Autres normes nationales applicables: les normes nationales obligatoires applicables sont définies aux fins du titre III, chapitre 1, article 28, du règlem</w:t>
            </w:r>
            <w:r>
              <w:rPr>
                <w:sz w:val="12"/>
              </w:rPr>
              <w:t>ent (UE) n° 1305/2013</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yes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Voir justification dans la colonne par critère ci-après.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P4</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M08, M04, M09, M12, M11, M10, M15, M01, M06, M14, M17, M13, M05, M16</w:t>
            </w:r>
          </w:p>
        </w:tc>
      </w:tr>
      <w:tr w:rsidR="0035701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P5.1) Efficacité énergétique: des mesures ont été prises pour promouvoir des améliorations rentables</w:t>
            </w:r>
            <w:r>
              <w:rPr>
                <w:sz w:val="12"/>
              </w:rPr>
              <w:t xml:space="preserve"> de l'efficacité énergétique dans les utilisations finales ainsi que des investissements rentables dans l'efficacité énergétique lors de la construction ou de la rénovation d'immeubles.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yes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Voir justification dans la colonne par critère ci-après.</w:t>
            </w:r>
          </w:p>
        </w:tc>
        <w:tc>
          <w:tcPr>
            <w:tcW w:w="500" w:type="pct"/>
            <w:vMerge w:val="restart"/>
            <w:shd w:val="clear" w:color="auto" w:fill="FFFFFF"/>
            <w:tcMar>
              <w:top w:w="20" w:type="dxa"/>
              <w:bottom w:w="20" w:type="dxa"/>
            </w:tcMar>
            <w:vAlign w:val="center"/>
          </w:tcPr>
          <w:p w:rsidR="0035701C" w:rsidRDefault="0035701C">
            <w:pPr>
              <w:jc w:val="left"/>
              <w:rPr>
                <w:sz w:val="12"/>
              </w:rPr>
            </w:pPr>
          </w:p>
        </w:tc>
        <w:tc>
          <w:tcPr>
            <w:tcW w:w="500" w:type="pct"/>
            <w:vMerge w:val="restart"/>
            <w:shd w:val="clear" w:color="auto" w:fill="FFFFFF"/>
            <w:tcMar>
              <w:top w:w="20" w:type="dxa"/>
              <w:bottom w:w="20" w:type="dxa"/>
            </w:tcMar>
            <w:vAlign w:val="center"/>
          </w:tcPr>
          <w:p w:rsidR="0035701C" w:rsidRDefault="0035701C">
            <w:pPr>
              <w:jc w:val="left"/>
              <w:rPr>
                <w:sz w:val="12"/>
              </w:rPr>
            </w:pP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P5.2) Secteur de l'eau: l'existence, d'une part, d'une politique de prix de l'eau qui fournisse des mesures incitatives appropriées en faveur d'une utilisation efficiente des ressources hydriques par les utilisateurs et, d'autre part, d'une con</w:t>
            </w:r>
            <w:r>
              <w:rPr>
                <w:sz w:val="12"/>
              </w:rPr>
              <w:t>tribution adéquate des différents utilisateurs d'eau à la récupération des coûts des services de l'eau, à un taux déterminé dans le plan approuvé de gestion de district hydrographique pour les investissements soutenus par les programmes.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yes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 xml:space="preserve">Voir </w:t>
            </w:r>
            <w:r>
              <w:rPr>
                <w:sz w:val="12"/>
              </w:rPr>
              <w:t>justification dans la colonne par critère ci-après.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5A</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M04</w:t>
            </w:r>
          </w:p>
        </w:tc>
      </w:tr>
      <w:tr w:rsidR="0035701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P5.3) Énergies renouvelables: des mesures ont été prises pour promouvoir la production et la distribution de sources d'énergie renouvelables.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yes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Voir justification dans la colonne par critère ci-</w:t>
            </w:r>
            <w:r>
              <w:rPr>
                <w:sz w:val="12"/>
              </w:rPr>
              <w:t>après.</w:t>
            </w:r>
          </w:p>
        </w:tc>
        <w:tc>
          <w:tcPr>
            <w:tcW w:w="500" w:type="pct"/>
            <w:vMerge w:val="restart"/>
            <w:shd w:val="clear" w:color="auto" w:fill="FFFFFF"/>
            <w:tcMar>
              <w:top w:w="20" w:type="dxa"/>
              <w:bottom w:w="20" w:type="dxa"/>
            </w:tcMar>
            <w:vAlign w:val="center"/>
          </w:tcPr>
          <w:p w:rsidR="0035701C" w:rsidRDefault="0035701C">
            <w:pPr>
              <w:jc w:val="left"/>
              <w:rPr>
                <w:sz w:val="12"/>
              </w:rPr>
            </w:pPr>
          </w:p>
        </w:tc>
        <w:tc>
          <w:tcPr>
            <w:tcW w:w="500" w:type="pct"/>
            <w:vMerge w:val="restart"/>
            <w:shd w:val="clear" w:color="auto" w:fill="FFFFFF"/>
            <w:tcMar>
              <w:top w:w="20" w:type="dxa"/>
              <w:bottom w:w="20" w:type="dxa"/>
            </w:tcMar>
            <w:vAlign w:val="center"/>
          </w:tcPr>
          <w:p w:rsidR="0035701C" w:rsidRDefault="0035701C">
            <w:pPr>
              <w:jc w:val="left"/>
              <w:rPr>
                <w:sz w:val="12"/>
              </w:rPr>
            </w:pP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G1) Lutte contre la discrimination: l'existence de capacités administratives pour la transposition et l'application de la législation et de la politique de l'Union en matière de lutte contre la discrimination dans le domaine des Fonds ESI.</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yes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Voir justification dans la colonne par critère ci-après.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6B</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M20, M19</w:t>
            </w: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 xml:space="preserve">G2) Égalité entre les hommes et les femmes: l'existence de capacités administratives pour la transposition et l'application de la législation et de la politique de l'Union en </w:t>
            </w:r>
            <w:r>
              <w:rPr>
                <w:sz w:val="12"/>
              </w:rPr>
              <w:t>matière d'égalité entre les hommes et les femmes dans le domaine des Fonds ESI.</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yes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Voir justification dans la colonne par critère ci-après.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6A, 6B</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M19, M06</w:t>
            </w: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 xml:space="preserve">G3) Handicap: l'existence de capacités administratives pour la transposition et </w:t>
            </w:r>
            <w:r>
              <w:rPr>
                <w:sz w:val="12"/>
              </w:rPr>
              <w:t>l'application de la convention des Nations unies sur les droits des personnes handicapées (CNUDPH) dans le domaine des Fonds ESI conformément à la décision 2010/48/CE du Conseil</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yes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Voir justification dans la colonne par critère ci-après.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6A, 6B</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M06, M19</w:t>
            </w: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G4) Marchés publics: l'existence de modalités pour l'application effective de la législation de l'Union en matière de marchés publics dans le domaine des Fonds ESI.</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yes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Voir justification dans la colonne par critère ci-après.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2A, 5A, 6B</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 xml:space="preserve">M04, </w:t>
            </w:r>
            <w:r>
              <w:rPr>
                <w:sz w:val="12"/>
              </w:rPr>
              <w:t>M01, M08</w:t>
            </w: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G5) Aides d'État: l'existence de modalités pour l'application effective de la législation de l'Union en matière d'aides d'État dans le domaine des Fonds ESI.</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yes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Voir justification dans la colonne par critère ci-après.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 xml:space="preserve">P4, 6A, </w:t>
            </w:r>
            <w:r>
              <w:rPr>
                <w:sz w:val="12"/>
              </w:rPr>
              <w:t>5A, 6B, 3A</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M04, M07, M06, M08, M19, M01, M20</w:t>
            </w: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 xml:space="preserve">G6) Législation environnementale régissant l’évaluation des incidences sur l’environnement (EIE) et l’évaluation environnementale stratégique (EES): l'existence de modalités pour l'application </w:t>
            </w:r>
            <w:r>
              <w:rPr>
                <w:sz w:val="12"/>
              </w:rPr>
              <w:t>effective de la législation environnementale de l'Union relative à l'EIE et à l'EES.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yes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Voir justification dans la colonne par critère ci-après.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P4, 3A, 6A, 2A, 5A</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M10, M07, M11, M13, M06, M08, M04</w:t>
            </w: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 xml:space="preserve">G7) Systèmes statistiques et indicateurs de </w:t>
            </w:r>
            <w:r>
              <w:rPr>
                <w:sz w:val="12"/>
              </w:rPr>
              <w:t>résultat: l'existence d'une base statistique nécessaire pour entreprendre des évaluations permettant d'analyser l'efficacité et l'impact des programmes. L'existence d'un système d'indicateurs de résultat requis pour sélectionner les actions qui contribuent</w:t>
            </w:r>
            <w:r>
              <w:rPr>
                <w:sz w:val="12"/>
              </w:rPr>
              <w:t xml:space="preserve"> le plus efficacement aux résultats souhaités, pour suivre l'avancement vers la production des résultats et pour entreprendre l'évaluation des incidences.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yes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Voir justification dans la colonne par critère ci-après.</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 xml:space="preserve">P4, 5B, 6A, 2A, 1C, 5E, 5D, 6B, 1A, 3B, </w:t>
            </w:r>
            <w:r>
              <w:rPr>
                <w:sz w:val="12"/>
              </w:rPr>
              <w:t>1B, 5C, 6C, 5A, 3A, 2B</w:t>
            </w:r>
          </w:p>
        </w:tc>
        <w:tc>
          <w:tcPr>
            <w:tcW w:w="500" w:type="pct"/>
            <w:vMerge w:val="restart"/>
            <w:shd w:val="clear" w:color="auto" w:fill="FFFFFF"/>
            <w:tcMar>
              <w:top w:w="20" w:type="dxa"/>
              <w:bottom w:w="20" w:type="dxa"/>
            </w:tcMar>
            <w:vAlign w:val="center"/>
          </w:tcPr>
          <w:p w:rsidR="0035701C" w:rsidRDefault="00FB561B">
            <w:pPr>
              <w:jc w:val="left"/>
              <w:rPr>
                <w:sz w:val="12"/>
              </w:rPr>
            </w:pPr>
            <w:r>
              <w:rPr>
                <w:sz w:val="12"/>
              </w:rPr>
              <w:t>M06, M04, M16, M19, M10, M13, M08, M05, M20, M07, M11, M01</w:t>
            </w: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r w:rsidR="0035701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c>
          <w:tcPr>
            <w:tcW w:w="500" w:type="pct"/>
            <w:vMerge/>
            <w:shd w:val="clear" w:color="auto" w:fill="FFFFFF"/>
            <w:tcMar>
              <w:top w:w="20" w:type="dxa"/>
              <w:bottom w:w="20" w:type="dxa"/>
            </w:tcMar>
            <w:vAlign w:val="center"/>
          </w:tcPr>
          <w:p w:rsidR="0035701C" w:rsidRDefault="0035701C">
            <w:pPr>
              <w:jc w:val="left"/>
              <w:rPr>
                <w:sz w:val="12"/>
              </w:rPr>
            </w:pPr>
          </w:p>
        </w:tc>
      </w:tr>
    </w:tbl>
    <w:p w:rsidR="0035701C" w:rsidRDefault="00FB561B">
      <w:pPr>
        <w:rPr>
          <w:b/>
        </w:rPr>
      </w:pPr>
      <w:r>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2851"/>
        <w:gridCol w:w="2851"/>
        <w:gridCol w:w="2851"/>
        <w:gridCol w:w="2852"/>
      </w:tblGrid>
      <w:tr w:rsidR="0035701C">
        <w:tc>
          <w:tcPr>
            <w:tcW w:w="1250" w:type="pct"/>
            <w:vMerge w:val="restart"/>
            <w:shd w:val="clear" w:color="auto" w:fill="C0C0C0"/>
            <w:tcMar>
              <w:top w:w="20" w:type="dxa"/>
              <w:bottom w:w="20" w:type="dxa"/>
            </w:tcMar>
            <w:vAlign w:val="center"/>
          </w:tcPr>
          <w:p w:rsidR="0035701C" w:rsidRDefault="00FB561B">
            <w:pPr>
              <w:jc w:val="center"/>
              <w:rPr>
                <w:b/>
                <w:sz w:val="16"/>
              </w:rPr>
            </w:pPr>
            <w:r>
              <w:rPr>
                <w:b/>
                <w:sz w:val="16"/>
              </w:rPr>
              <w:t>Condition ex ante applicable au niveau national</w:t>
            </w:r>
          </w:p>
        </w:tc>
        <w:tc>
          <w:tcPr>
            <w:tcW w:w="1250" w:type="pct"/>
            <w:shd w:val="clear" w:color="auto" w:fill="C0C0C0"/>
            <w:tcMar>
              <w:top w:w="20" w:type="dxa"/>
              <w:bottom w:w="20" w:type="dxa"/>
            </w:tcMar>
            <w:vAlign w:val="center"/>
          </w:tcPr>
          <w:p w:rsidR="0035701C" w:rsidRDefault="00FB561B">
            <w:pPr>
              <w:jc w:val="center"/>
              <w:rPr>
                <w:b/>
                <w:sz w:val="16"/>
              </w:rPr>
            </w:pPr>
            <w:r>
              <w:rPr>
                <w:b/>
                <w:sz w:val="16"/>
              </w:rPr>
              <w:t>Critères</w:t>
            </w:r>
          </w:p>
        </w:tc>
        <w:tc>
          <w:tcPr>
            <w:tcW w:w="500" w:type="pct"/>
            <w:shd w:val="clear" w:color="auto" w:fill="C0C0C0"/>
            <w:tcMar>
              <w:top w:w="20" w:type="dxa"/>
              <w:bottom w:w="20" w:type="dxa"/>
            </w:tcMar>
            <w:vAlign w:val="center"/>
          </w:tcPr>
          <w:p w:rsidR="0035701C" w:rsidRDefault="00FB561B">
            <w:pPr>
              <w:jc w:val="center"/>
              <w:rPr>
                <w:b/>
                <w:sz w:val="16"/>
              </w:rPr>
            </w:pPr>
            <w:r>
              <w:rPr>
                <w:b/>
                <w:sz w:val="16"/>
              </w:rPr>
              <w:t>Critères respectés (oui/non)</w:t>
            </w:r>
          </w:p>
        </w:tc>
        <w:tc>
          <w:tcPr>
            <w:tcW w:w="1000" w:type="pct"/>
            <w:shd w:val="clear" w:color="auto" w:fill="C0C0C0"/>
            <w:tcMar>
              <w:top w:w="20" w:type="dxa"/>
              <w:bottom w:w="20" w:type="dxa"/>
            </w:tcMar>
            <w:vAlign w:val="center"/>
          </w:tcPr>
          <w:p w:rsidR="0035701C" w:rsidRDefault="00FB561B">
            <w:pPr>
              <w:jc w:val="center"/>
              <w:rPr>
                <w:b/>
                <w:sz w:val="16"/>
              </w:rPr>
            </w:pPr>
            <w:r>
              <w:rPr>
                <w:b/>
                <w:sz w:val="16"/>
              </w:rPr>
              <w:t xml:space="preserve">Référence (si critères respectés) [référence aux </w:t>
            </w:r>
            <w:r>
              <w:rPr>
                <w:b/>
                <w:sz w:val="16"/>
              </w:rPr>
              <w:t>stratégies, actes juridiques ou autres documents pertinents]</w:t>
            </w:r>
          </w:p>
        </w:tc>
        <w:tc>
          <w:tcPr>
            <w:tcW w:w="1000" w:type="pct"/>
            <w:shd w:val="clear" w:color="auto" w:fill="C0C0C0"/>
            <w:tcMar>
              <w:top w:w="20" w:type="dxa"/>
              <w:bottom w:w="20" w:type="dxa"/>
            </w:tcMar>
            <w:vAlign w:val="center"/>
          </w:tcPr>
          <w:p w:rsidR="0035701C" w:rsidRDefault="00FB561B">
            <w:pPr>
              <w:jc w:val="center"/>
              <w:rPr>
                <w:sz w:val="16"/>
              </w:rPr>
            </w:pPr>
            <w:r>
              <w:rPr>
                <w:b/>
                <w:sz w:val="16"/>
              </w:rPr>
              <w:t>Évaluation de leur respect</w:t>
            </w:r>
          </w:p>
        </w:tc>
      </w:tr>
      <w:tr w:rsidR="0035701C">
        <w:tc>
          <w:tcPr>
            <w:tcW w:w="1250" w:type="pct"/>
            <w:vMerge w:val="restart"/>
            <w:shd w:val="clear" w:color="auto" w:fill="FFFFFF"/>
            <w:tcMar>
              <w:top w:w="20" w:type="dxa"/>
              <w:bottom w:w="20" w:type="dxa"/>
            </w:tcMar>
            <w:vAlign w:val="center"/>
          </w:tcPr>
          <w:p w:rsidR="0035701C" w:rsidRDefault="00FB561B">
            <w:pPr>
              <w:jc w:val="left"/>
              <w:rPr>
                <w:sz w:val="12"/>
              </w:rPr>
            </w:pPr>
            <w:r>
              <w:rPr>
                <w:sz w:val="12"/>
              </w:rPr>
              <w:t xml:space="preserve">P3.1) Prévention et gestion des risques: l'existence, à l'échelon national ou régional, d'évaluations des risques aux fins de la gestion des catastrophes qui prennent </w:t>
            </w:r>
            <w:r>
              <w:rPr>
                <w:sz w:val="12"/>
              </w:rPr>
              <w:t>en considération l'adaptation au changement climatique.</w:t>
            </w:r>
          </w:p>
        </w:tc>
        <w:tc>
          <w:tcPr>
            <w:tcW w:w="1250" w:type="pct"/>
            <w:shd w:val="clear" w:color="auto" w:fill="FFFFFF"/>
            <w:tcMar>
              <w:top w:w="20" w:type="dxa"/>
              <w:bottom w:w="20" w:type="dxa"/>
            </w:tcMar>
            <w:vAlign w:val="center"/>
          </w:tcPr>
          <w:p w:rsidR="0035701C" w:rsidRDefault="00FB561B">
            <w:pPr>
              <w:jc w:val="left"/>
              <w:rPr>
                <w:sz w:val="12"/>
              </w:rPr>
            </w:pPr>
            <w:r>
              <w:rPr>
                <w:sz w:val="12"/>
              </w:rPr>
              <w:t>P3.1.a) Un plan national ou régional d'évaluation des risques est en place, comprenant: une description du processus, de la méthodologie, des méthodes et des données non sensibles utilisées pour l'éva</w:t>
            </w:r>
            <w:r>
              <w:rPr>
                <w:sz w:val="12"/>
              </w:rPr>
              <w:t>luation des risques, ainsi que des critères fondés sur les risques pour la détermination des priorités d'investissement;</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http://www.corse.developpement-durable.gouv.fr/IMG/pdf/Profil_corse2013_v11MD_p_086-134.pdf</w:t>
            </w:r>
          </w:p>
          <w:p w:rsidR="0035701C" w:rsidRDefault="00FB561B">
            <w:pPr>
              <w:spacing w:before="150" w:after="150"/>
              <w:jc w:val="left"/>
              <w:rPr>
                <w:sz w:val="15"/>
                <w:szCs w:val="15"/>
              </w:rPr>
            </w:pPr>
            <w:r>
              <w:rPr>
                <w:sz w:val="15"/>
                <w:szCs w:val="15"/>
              </w:rPr>
              <w:t>-           La Direction régionale de l</w:t>
            </w:r>
            <w:r>
              <w:rPr>
                <w:sz w:val="15"/>
                <w:szCs w:val="15"/>
              </w:rPr>
              <w:t>’environnement, l’aménagement et du logement (DREAL), service déconcentré de l’Etat, a pour mission d’évaluer et de veiller à la mise en place des plans et actions de prévention des risques. Cela concerne tous les types de risques rencontrés en Corse : ris</w:t>
            </w:r>
            <w:r>
              <w:rPr>
                <w:sz w:val="15"/>
                <w:szCs w:val="15"/>
              </w:rPr>
              <w:t>ques sismiques, d’inondation, d’avalanche, de feux de forêt et de sécheresse :</w:t>
            </w:r>
          </w:p>
          <w:p w:rsidR="0035701C" w:rsidRDefault="00FB561B">
            <w:pPr>
              <w:spacing w:before="150" w:after="150"/>
              <w:jc w:val="left"/>
              <w:rPr>
                <w:sz w:val="15"/>
                <w:szCs w:val="15"/>
              </w:rPr>
            </w:pPr>
            <w:r>
              <w:rPr>
                <w:sz w:val="15"/>
                <w:szCs w:val="15"/>
              </w:rPr>
              <w:t> http://www.corse.developpement-durable.gouv.fr/les-risques-naturels-en-corse-r139.html</w:t>
            </w:r>
          </w:p>
          <w:p w:rsidR="0035701C" w:rsidRDefault="00FB561B">
            <w:pPr>
              <w:spacing w:before="150" w:after="150"/>
              <w:jc w:val="left"/>
              <w:rPr>
                <w:sz w:val="15"/>
                <w:szCs w:val="15"/>
              </w:rPr>
            </w:pPr>
            <w:r>
              <w:rPr>
                <w:sz w:val="15"/>
                <w:szCs w:val="15"/>
              </w:rPr>
              <w:t xml:space="preserve">-               Un Schéma Régional Climat Air Energie (SRCAE) a été arrêté par la CTC en </w:t>
            </w:r>
            <w:r>
              <w:rPr>
                <w:sz w:val="15"/>
                <w:szCs w:val="15"/>
              </w:rPr>
              <w:t>février 2014. Il contient des orientations permettant d'atténuer les effets du changement climatique et de s'y adapter, de prévenir ou de réduire la pollution atmosphérique ou d'en atténuer les effets pour atteindre les normes de qualité de l'air ; ainsi q</w:t>
            </w:r>
            <w:r>
              <w:rPr>
                <w:sz w:val="15"/>
                <w:szCs w:val="15"/>
              </w:rPr>
              <w:t>ue, par zones géographiques, des objectifs qualitatifs et quantitatifs à atteindre en matière de valorisation du potentiel énergétique terrestre, renouvelable et de récupération et en matière de mise en oeuvre de techniques performantes d'efficacité énergé</w:t>
            </w:r>
            <w:r>
              <w:rPr>
                <w:sz w:val="15"/>
                <w:szCs w:val="15"/>
              </w:rPr>
              <w:t>tique : http://www.corse.fr/Le-Schema-Regional-du-Climat-de-l%E2%80%8C-Air-et-de-l%E2%80%8C-Energie_a3945.html</w:t>
            </w:r>
          </w:p>
          <w:p w:rsidR="0035701C" w:rsidRDefault="00FB561B">
            <w:pPr>
              <w:spacing w:before="150" w:after="150"/>
              <w:jc w:val="left"/>
              <w:rPr>
                <w:sz w:val="15"/>
                <w:szCs w:val="15"/>
              </w:rPr>
            </w:pPr>
            <w:r>
              <w:rPr>
                <w:sz w:val="15"/>
                <w:szCs w:val="15"/>
              </w:rPr>
              <w:t> - Un Plan national d’adaptation au changement climatique 2011-2015 a été adopté le 20 juillet 2011 : http://www.developpement-durable.gouv.fr/Co</w:t>
            </w:r>
            <w:r>
              <w:rPr>
                <w:sz w:val="15"/>
                <w:szCs w:val="15"/>
              </w:rPr>
              <w:t>ntenu-du-plan-national-d</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Les risques auxquels est soumis la Corse sont variés (glissements de terrain, inondations, feux de forêts), mais de faible amplitude pour la plupart.</w:t>
            </w:r>
          </w:p>
          <w:p w:rsidR="0035701C" w:rsidRDefault="0035701C">
            <w:pPr>
              <w:jc w:val="left"/>
              <w:rPr>
                <w:sz w:val="12"/>
              </w:rPr>
            </w:pPr>
          </w:p>
          <w:p w:rsidR="0035701C" w:rsidRDefault="00FB561B">
            <w:pPr>
              <w:jc w:val="left"/>
              <w:rPr>
                <w:sz w:val="12"/>
              </w:rPr>
            </w:pPr>
            <w:r>
              <w:rPr>
                <w:sz w:val="12"/>
              </w:rPr>
              <w:t xml:space="preserve">Chaque département est doté d’un dossier Départemental sur les Risques Majeurs </w:t>
            </w:r>
            <w:r>
              <w:rPr>
                <w:sz w:val="12"/>
              </w:rPr>
              <w:t>(DDRM). Le document est consultable dans les Préfectures de départements et dans les mairies concernées</w:t>
            </w:r>
          </w:p>
          <w:p w:rsidR="0035701C" w:rsidRDefault="0035701C">
            <w:pPr>
              <w:jc w:val="left"/>
              <w:rPr>
                <w:sz w:val="12"/>
              </w:rPr>
            </w:pPr>
          </w:p>
          <w:p w:rsidR="0035701C" w:rsidRDefault="00FB561B">
            <w:pPr>
              <w:jc w:val="left"/>
              <w:rPr>
                <w:sz w:val="12"/>
              </w:rPr>
            </w:pPr>
            <w:r>
              <w:rPr>
                <w:sz w:val="12"/>
              </w:rPr>
              <w:t>Les communes dotées de Plans de Prévention des Risques doivent élaborer un Document d’Information Communal sur les Risques Majeurs (DICRIM).</w:t>
            </w:r>
          </w:p>
          <w:p w:rsidR="0035701C" w:rsidRDefault="0035701C">
            <w:pPr>
              <w:jc w:val="left"/>
              <w:rPr>
                <w:sz w:val="12"/>
              </w:rPr>
            </w:pPr>
          </w:p>
          <w:p w:rsidR="0035701C" w:rsidRDefault="00FB561B">
            <w:pPr>
              <w:jc w:val="left"/>
              <w:rPr>
                <w:sz w:val="12"/>
              </w:rPr>
            </w:pPr>
            <w:r>
              <w:rPr>
                <w:sz w:val="12"/>
              </w:rPr>
              <w:t>Les commu</w:t>
            </w:r>
            <w:r>
              <w:rPr>
                <w:sz w:val="12"/>
              </w:rPr>
              <w:t xml:space="preserve">nes dotées d’un Plan de Prévention des Risques (PPR) ou d’un Plan Particulier d’Intervention (PPI) doit élaborer un Plan Communal de Sauvegarde </w:t>
            </w:r>
          </w:p>
          <w:p w:rsidR="0035701C" w:rsidRDefault="0035701C">
            <w:pPr>
              <w:jc w:val="left"/>
              <w:rPr>
                <w:sz w:val="12"/>
              </w:rPr>
            </w:pP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 xml:space="preserve">P3.1.b) Un plan national ou régional d'évaluation des risques est en place, comprenant: une description de </w:t>
            </w:r>
            <w:r>
              <w:rPr>
                <w:sz w:val="12"/>
              </w:rPr>
              <w:t>scénarios à risque unique et à risques multiples;</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Voir références précédentes</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Voir paragraphe précédent</w:t>
            </w: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P3.1.c) Un plan national ou régional d'évaluation des risques est en place, comprenant: la prise en compte, lorsque cela est nécessaire, des stra</w:t>
            </w:r>
            <w:r>
              <w:rPr>
                <w:sz w:val="12"/>
              </w:rPr>
              <w:t>tégies nationales d'adaptation au changement climatique.</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En Corse, le Schéma Régional Climat Air Energie (SRCAE) a été adopté en février 2014.</w:t>
            </w:r>
          </w:p>
          <w:p w:rsidR="0035701C" w:rsidRDefault="00FB561B">
            <w:pPr>
              <w:spacing w:before="150" w:after="150"/>
              <w:jc w:val="left"/>
              <w:rPr>
                <w:sz w:val="15"/>
                <w:szCs w:val="15"/>
              </w:rPr>
            </w:pPr>
            <w:r>
              <w:rPr>
                <w:sz w:val="15"/>
                <w:szCs w:val="15"/>
              </w:rPr>
              <w:t> </w:t>
            </w:r>
          </w:p>
          <w:p w:rsidR="0035701C" w:rsidRDefault="00FB561B">
            <w:pPr>
              <w:spacing w:before="150" w:after="150"/>
              <w:jc w:val="left"/>
              <w:rPr>
                <w:sz w:val="15"/>
                <w:szCs w:val="15"/>
              </w:rPr>
            </w:pPr>
            <w:r>
              <w:rPr>
                <w:sz w:val="15"/>
                <w:szCs w:val="15"/>
              </w:rPr>
              <w:t xml:space="preserve">Le décret n°2011-678 du 16 juin 2011 relatif aux schémas régionaux du climat, de l'air et de l'énergie en </w:t>
            </w:r>
            <w:r>
              <w:rPr>
                <w:sz w:val="15"/>
                <w:szCs w:val="15"/>
              </w:rPr>
              <w:t>définit le contenu et les modalités d'élaboration. Chaque SRCAE comprend un certain nombre de bilans et diagnostics permettant de connaître et caractériser la situation de référence de la région, ainsi que des orientations et objectifs à la fois quantitati</w:t>
            </w:r>
            <w:r>
              <w:rPr>
                <w:sz w:val="15"/>
                <w:szCs w:val="15"/>
              </w:rPr>
              <w:t>fs et qualitatifs aux horizons 2020 et 2050 :</w:t>
            </w:r>
          </w:p>
          <w:p w:rsidR="0035701C" w:rsidRDefault="00FB561B">
            <w:pPr>
              <w:spacing w:before="150" w:after="150"/>
              <w:jc w:val="left"/>
              <w:rPr>
                <w:sz w:val="15"/>
                <w:szCs w:val="15"/>
              </w:rPr>
            </w:pPr>
            <w:r>
              <w:rPr>
                <w:sz w:val="15"/>
                <w:szCs w:val="15"/>
              </w:rPr>
              <w:t>• des orientations permettant d'atténuer les effets du changement climatique et de s'y adapter;</w:t>
            </w:r>
          </w:p>
          <w:p w:rsidR="0035701C" w:rsidRDefault="00FB561B">
            <w:pPr>
              <w:spacing w:before="150" w:after="150"/>
              <w:jc w:val="left"/>
              <w:rPr>
                <w:sz w:val="15"/>
                <w:szCs w:val="15"/>
              </w:rPr>
            </w:pPr>
            <w:r>
              <w:rPr>
                <w:sz w:val="15"/>
                <w:szCs w:val="15"/>
              </w:rPr>
              <w:t>• des orientations permettant, de prévenir ou de réduire la pollution atmosphérique ou d'en atténuer les effets po</w:t>
            </w:r>
            <w:r>
              <w:rPr>
                <w:sz w:val="15"/>
                <w:szCs w:val="15"/>
              </w:rPr>
              <w:t>ur atteindre les normes de qualité de l'air ;</w:t>
            </w:r>
          </w:p>
          <w:p w:rsidR="0035701C" w:rsidRDefault="00FB561B">
            <w:pPr>
              <w:spacing w:before="150" w:after="150"/>
              <w:jc w:val="left"/>
              <w:rPr>
                <w:sz w:val="15"/>
                <w:szCs w:val="15"/>
              </w:rPr>
            </w:pPr>
            <w:r>
              <w:rPr>
                <w:sz w:val="15"/>
                <w:szCs w:val="15"/>
              </w:rPr>
              <w:t>• par zones géographiques, des objectifs qualitatifs et quantitatifs à atteindre en matière de valorisation du potentiel énergétique</w:t>
            </w:r>
            <w:r>
              <w:rPr>
                <w:sz w:val="15"/>
                <w:szCs w:val="15"/>
              </w:rPr>
              <w:br/>
              <w:t>terrestre, renouvelable et de récupération et en matière de mise en oeuvre de</w:t>
            </w:r>
            <w:r>
              <w:rPr>
                <w:sz w:val="15"/>
                <w:szCs w:val="15"/>
              </w:rPr>
              <w:t xml:space="preserve"> techniques performantes d'efficacité énergétique.</w:t>
            </w:r>
          </w:p>
          <w:p w:rsidR="0035701C" w:rsidRDefault="00FB561B">
            <w:pPr>
              <w:spacing w:before="150" w:after="150"/>
              <w:jc w:val="left"/>
              <w:rPr>
                <w:sz w:val="15"/>
                <w:szCs w:val="15"/>
              </w:rPr>
            </w:pPr>
            <w:r>
              <w:rPr>
                <w:sz w:val="15"/>
                <w:szCs w:val="15"/>
              </w:rPr>
              <w:t>Par ailleurs, rapports et études sur le changement climatique:</w:t>
            </w:r>
          </w:p>
          <w:p w:rsidR="0035701C" w:rsidRDefault="00FB561B">
            <w:pPr>
              <w:spacing w:before="150" w:after="150"/>
              <w:jc w:val="left"/>
              <w:rPr>
                <w:sz w:val="15"/>
                <w:szCs w:val="15"/>
              </w:rPr>
            </w:pPr>
            <w:r>
              <w:rPr>
                <w:sz w:val="15"/>
                <w:szCs w:val="15"/>
              </w:rPr>
              <w:t>• rapports du GIEC</w:t>
            </w:r>
          </w:p>
          <w:p w:rsidR="0035701C" w:rsidRDefault="00FB561B">
            <w:pPr>
              <w:spacing w:before="150" w:after="150"/>
              <w:jc w:val="left"/>
              <w:rPr>
                <w:sz w:val="15"/>
                <w:szCs w:val="15"/>
              </w:rPr>
            </w:pPr>
            <w:r>
              <w:rPr>
                <w:sz w:val="15"/>
                <w:szCs w:val="15"/>
              </w:rPr>
              <w:t>• Livre vert du projet CLIMATOR</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Existence du SRCAE</w:t>
            </w:r>
          </w:p>
        </w:tc>
      </w:tr>
      <w:tr w:rsidR="0035701C">
        <w:tc>
          <w:tcPr>
            <w:tcW w:w="1250" w:type="pct"/>
            <w:vMerge w:val="restart"/>
            <w:shd w:val="clear" w:color="auto" w:fill="FFFFFF"/>
            <w:tcMar>
              <w:top w:w="20" w:type="dxa"/>
              <w:bottom w:w="20" w:type="dxa"/>
            </w:tcMar>
            <w:vAlign w:val="center"/>
          </w:tcPr>
          <w:p w:rsidR="0035701C" w:rsidRDefault="00FB561B">
            <w:pPr>
              <w:jc w:val="left"/>
              <w:rPr>
                <w:sz w:val="12"/>
              </w:rPr>
            </w:pPr>
            <w:r>
              <w:rPr>
                <w:sz w:val="12"/>
              </w:rPr>
              <w:t xml:space="preserve">P4.1) Bonnes conditions agricoles et environnementales (BCAE): les </w:t>
            </w:r>
            <w:r>
              <w:rPr>
                <w:sz w:val="12"/>
              </w:rPr>
              <w:t>normes relatives aux bonnes conditions agricoles et environnementales des terres visées au titre VI, chapitre 1, du règlement (UE) n° 1306/2013 sont établies au niveau national.</w:t>
            </w:r>
          </w:p>
        </w:tc>
        <w:tc>
          <w:tcPr>
            <w:tcW w:w="1250" w:type="pct"/>
            <w:shd w:val="clear" w:color="auto" w:fill="FFFFFF"/>
            <w:tcMar>
              <w:top w:w="20" w:type="dxa"/>
              <w:bottom w:w="20" w:type="dxa"/>
            </w:tcMar>
            <w:vAlign w:val="center"/>
          </w:tcPr>
          <w:p w:rsidR="0035701C" w:rsidRDefault="00FB561B">
            <w:pPr>
              <w:jc w:val="left"/>
              <w:rPr>
                <w:sz w:val="12"/>
              </w:rPr>
            </w:pPr>
            <w:r>
              <w:rPr>
                <w:sz w:val="12"/>
              </w:rPr>
              <w:t>P4.1.a) Les normes des bonnes conditions agricoles et environnementales (BCAE)</w:t>
            </w:r>
            <w:r>
              <w:rPr>
                <w:sz w:val="12"/>
              </w:rPr>
              <w:t xml:space="preserve"> sont définies dans la législation nationale et indiquées dans les programmes.</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Décret n° 2015-398 du 7 avril 2015 relatif aux bonnes conditions agricoles et environnementales des terres</w:t>
            </w:r>
          </w:p>
          <w:p w:rsidR="0035701C" w:rsidRDefault="00FB561B">
            <w:pPr>
              <w:spacing w:before="150" w:after="150"/>
              <w:jc w:val="left"/>
              <w:rPr>
                <w:sz w:val="15"/>
                <w:szCs w:val="15"/>
              </w:rPr>
            </w:pPr>
            <w:r>
              <w:rPr>
                <w:sz w:val="15"/>
                <w:szCs w:val="15"/>
              </w:rPr>
              <w:t xml:space="preserve">Conforment au  règlement (UE) n° 1306/2013 du Parlement européen </w:t>
            </w:r>
            <w:r>
              <w:rPr>
                <w:sz w:val="15"/>
                <w:szCs w:val="15"/>
              </w:rPr>
              <w:t>et du Conseil du 17 décembre 2013 relatif au financement, à la gestion et au suivi de la politique agricole commune, et abrogeant les règlements (CEE) n° 372/78, (CE) n° 165/94, (CE) n° 2799/98, (CE) n° 814/2000, (CE) n° 1290/2005, (CE) n° 485/2008</w:t>
            </w:r>
          </w:p>
          <w:p w:rsidR="0035701C" w:rsidRDefault="00FB561B">
            <w:pPr>
              <w:spacing w:before="150" w:after="150"/>
              <w:jc w:val="left"/>
              <w:rPr>
                <w:sz w:val="15"/>
                <w:szCs w:val="15"/>
              </w:rPr>
            </w:pPr>
            <w:r>
              <w:rPr>
                <w:sz w:val="15"/>
                <w:szCs w:val="15"/>
              </w:rPr>
              <w:t>-et mod</w:t>
            </w:r>
            <w:r>
              <w:rPr>
                <w:sz w:val="15"/>
                <w:szCs w:val="15"/>
              </w:rPr>
              <w:t>ifiant le Code rural : sections 4 et 5 du chapitre Ier du titre IV du livre III (partie réglementaire), la section 4 du chapitre V du titre I du livre VI (partie réglementaire) et la section 2 du chapitre Ier du titre VIII du livre VI (partie réglementaire</w:t>
            </w:r>
            <w:r>
              <w:rPr>
                <w:sz w:val="15"/>
                <w:szCs w:val="15"/>
              </w:rPr>
              <w:t>), </w:t>
            </w:r>
          </w:p>
          <w:p w:rsidR="0035701C" w:rsidRDefault="00FB561B">
            <w:pPr>
              <w:spacing w:before="150" w:after="150"/>
              <w:jc w:val="left"/>
              <w:rPr>
                <w:sz w:val="15"/>
                <w:szCs w:val="15"/>
              </w:rPr>
            </w:pPr>
            <w:r>
              <w:rPr>
                <w:sz w:val="15"/>
                <w:szCs w:val="15"/>
              </w:rPr>
              <w:t> http://legifrance.gouv.fr/affichTexte.do?cidTexte=JORFTEXT000030462336&amp;dateTexte=&amp;categorieLien=id</w:t>
            </w:r>
          </w:p>
          <w:p w:rsidR="0035701C" w:rsidRDefault="00FB561B">
            <w:pPr>
              <w:spacing w:before="150" w:after="150"/>
              <w:jc w:val="left"/>
              <w:rPr>
                <w:sz w:val="15"/>
                <w:szCs w:val="15"/>
              </w:rPr>
            </w:pPr>
            <w:r>
              <w:rPr>
                <w:sz w:val="15"/>
                <w:szCs w:val="15"/>
              </w:rPr>
              <w:t> </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 xml:space="preserve">Cette conditionnalité a été vérifiée au niveau de l’accord de partenariat et ne nécessite pas d’évaluation particulière au niveau du programme. </w:t>
            </w:r>
          </w:p>
          <w:p w:rsidR="0035701C" w:rsidRDefault="0035701C">
            <w:pPr>
              <w:jc w:val="left"/>
              <w:rPr>
                <w:sz w:val="12"/>
              </w:rPr>
            </w:pPr>
          </w:p>
          <w:p w:rsidR="0035701C" w:rsidRDefault="00FB561B">
            <w:pPr>
              <w:jc w:val="left"/>
              <w:rPr>
                <w:sz w:val="12"/>
              </w:rPr>
            </w:pPr>
            <w:r>
              <w:rPr>
                <w:sz w:val="12"/>
              </w:rPr>
              <w:t>App</w:t>
            </w:r>
            <w:r>
              <w:rPr>
                <w:sz w:val="12"/>
              </w:rPr>
              <w:t>lication du code rural et du décret dans le PDR</w:t>
            </w:r>
          </w:p>
          <w:p w:rsidR="0035701C" w:rsidRDefault="0035701C">
            <w:pPr>
              <w:jc w:val="left"/>
              <w:rPr>
                <w:sz w:val="12"/>
              </w:rPr>
            </w:pPr>
          </w:p>
        </w:tc>
      </w:tr>
      <w:tr w:rsidR="0035701C">
        <w:tc>
          <w:tcPr>
            <w:tcW w:w="1250" w:type="pct"/>
            <w:vMerge w:val="restart"/>
            <w:shd w:val="clear" w:color="auto" w:fill="FFFFFF"/>
            <w:tcMar>
              <w:top w:w="20" w:type="dxa"/>
              <w:bottom w:w="20" w:type="dxa"/>
            </w:tcMar>
            <w:vAlign w:val="center"/>
          </w:tcPr>
          <w:p w:rsidR="0035701C" w:rsidRDefault="00FB561B">
            <w:pPr>
              <w:jc w:val="left"/>
              <w:rPr>
                <w:sz w:val="12"/>
              </w:rPr>
            </w:pPr>
            <w:r>
              <w:rPr>
                <w:sz w:val="12"/>
              </w:rPr>
              <w:t xml:space="preserve">P4.2) Exigences minimales applicables à l'utilisation des engrais et des produits phytosanitaires: les exigences minimales applicables à l'utilisation des engrais et des produits phytosanitaires visées au </w:t>
            </w:r>
            <w:r>
              <w:rPr>
                <w:sz w:val="12"/>
              </w:rPr>
              <w:t>titre III, chapitre 1, article 28, du règlement UE n° 1305/2013 sont définies au niveau national.</w:t>
            </w:r>
          </w:p>
        </w:tc>
        <w:tc>
          <w:tcPr>
            <w:tcW w:w="1250" w:type="pct"/>
            <w:shd w:val="clear" w:color="auto" w:fill="FFFFFF"/>
            <w:tcMar>
              <w:top w:w="20" w:type="dxa"/>
              <w:bottom w:w="20" w:type="dxa"/>
            </w:tcMar>
            <w:vAlign w:val="center"/>
          </w:tcPr>
          <w:p w:rsidR="0035701C" w:rsidRDefault="00FB561B">
            <w:pPr>
              <w:jc w:val="left"/>
              <w:rPr>
                <w:sz w:val="12"/>
              </w:rPr>
            </w:pPr>
            <w:r>
              <w:rPr>
                <w:sz w:val="12"/>
              </w:rPr>
              <w:t xml:space="preserve">P4.2.a) Les exigences minimales applicables à l'utilisation des engrais et des produits phytosanitaires visées au titre III, chapitre 1, du règlement (UE) n° </w:t>
            </w:r>
            <w:r>
              <w:rPr>
                <w:sz w:val="12"/>
              </w:rPr>
              <w:t>1305/2013 sont définies dans les programmes;</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Code rural : sections 4 et 5 du chapitre Ier du titre IV du livre III (partie réglementaire), la section 4 du chapitre V du titre I du livre VI (partie réglementaire) et la section 2 du chapitre Ier du titre</w:t>
            </w:r>
            <w:r>
              <w:rPr>
                <w:sz w:val="15"/>
                <w:szCs w:val="15"/>
              </w:rPr>
              <w:t xml:space="preserve"> VIII du livre VI (partie réglementaire),</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 xml:space="preserve">Cette conditionnalité a été vérifiée au niveau de l’accord de partenariat et ne nécessite pas d’évaluation particulière au niveau du programme. </w:t>
            </w:r>
          </w:p>
        </w:tc>
      </w:tr>
      <w:tr w:rsidR="0035701C">
        <w:tc>
          <w:tcPr>
            <w:tcW w:w="1250" w:type="pct"/>
            <w:vMerge w:val="restart"/>
            <w:shd w:val="clear" w:color="auto" w:fill="FFFFFF"/>
            <w:tcMar>
              <w:top w:w="20" w:type="dxa"/>
              <w:bottom w:w="20" w:type="dxa"/>
            </w:tcMar>
            <w:vAlign w:val="center"/>
          </w:tcPr>
          <w:p w:rsidR="0035701C" w:rsidRDefault="00FB561B">
            <w:pPr>
              <w:jc w:val="left"/>
              <w:rPr>
                <w:sz w:val="12"/>
              </w:rPr>
            </w:pPr>
            <w:r>
              <w:rPr>
                <w:sz w:val="12"/>
              </w:rPr>
              <w:t>P4.3) Autres normes nationales applicables: les normes nationales o</w:t>
            </w:r>
            <w:r>
              <w:rPr>
                <w:sz w:val="12"/>
              </w:rPr>
              <w:t>bligatoires applicables sont définies aux fins du titre III, chapitre 1, article 28, du règlement (UE) n° 1305/2013</w:t>
            </w:r>
          </w:p>
        </w:tc>
        <w:tc>
          <w:tcPr>
            <w:tcW w:w="1250" w:type="pct"/>
            <w:shd w:val="clear" w:color="auto" w:fill="FFFFFF"/>
            <w:tcMar>
              <w:top w:w="20" w:type="dxa"/>
              <w:bottom w:w="20" w:type="dxa"/>
            </w:tcMar>
            <w:vAlign w:val="center"/>
          </w:tcPr>
          <w:p w:rsidR="0035701C" w:rsidRDefault="00FB561B">
            <w:pPr>
              <w:jc w:val="left"/>
              <w:rPr>
                <w:sz w:val="12"/>
              </w:rPr>
            </w:pPr>
            <w:r>
              <w:rPr>
                <w:sz w:val="12"/>
              </w:rPr>
              <w:t>P4.3.a) Les normes nationales obligatoires applicables sont indiquées dans les programmes.</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Les agriculteurs éligibles à la PAC respecten</w:t>
            </w:r>
            <w:r>
              <w:rPr>
                <w:sz w:val="15"/>
                <w:szCs w:val="15"/>
              </w:rPr>
              <w:t>t les bonnes conditions agricoles et environnementales (BCAE) et notamment :</w:t>
            </w:r>
          </w:p>
          <w:p w:rsidR="0035701C" w:rsidRDefault="00FB561B" w:rsidP="00FB561B">
            <w:pPr>
              <w:numPr>
                <w:ilvl w:val="0"/>
                <w:numId w:val="172"/>
              </w:numPr>
              <w:spacing w:before="150" w:after="0"/>
              <w:ind w:hanging="169"/>
              <w:jc w:val="left"/>
              <w:rPr>
                <w:sz w:val="15"/>
                <w:szCs w:val="15"/>
              </w:rPr>
            </w:pPr>
            <w:r>
              <w:rPr>
                <w:sz w:val="15"/>
                <w:szCs w:val="15"/>
              </w:rPr>
              <w:t>Arrêté du 24 avril 2015 relatif aux règles de bonnes conditions agricoles et environnementales (BCAE)</w:t>
            </w:r>
          </w:p>
          <w:p w:rsidR="0035701C" w:rsidRDefault="00FB561B" w:rsidP="00FB561B">
            <w:pPr>
              <w:numPr>
                <w:ilvl w:val="0"/>
                <w:numId w:val="172"/>
              </w:numPr>
              <w:spacing w:before="0" w:after="0"/>
              <w:ind w:hanging="169"/>
              <w:jc w:val="left"/>
              <w:rPr>
                <w:sz w:val="15"/>
                <w:szCs w:val="15"/>
              </w:rPr>
            </w:pPr>
            <w:r>
              <w:rPr>
                <w:sz w:val="15"/>
                <w:szCs w:val="15"/>
              </w:rPr>
              <w:t xml:space="preserve">Arrêté du 15 avril 2014 relatif à l'admissibilité de certaines surfaces et </w:t>
            </w:r>
            <w:r>
              <w:rPr>
                <w:sz w:val="15"/>
                <w:szCs w:val="15"/>
              </w:rPr>
              <w:t>modifiant l'arrêté du 13 juillet 2010 relatif aux règles de bonnes conditions agricoles et environnementales (BCAE)</w:t>
            </w:r>
          </w:p>
          <w:p w:rsidR="0035701C" w:rsidRDefault="00FB561B" w:rsidP="00FB561B">
            <w:pPr>
              <w:numPr>
                <w:ilvl w:val="0"/>
                <w:numId w:val="172"/>
              </w:numPr>
              <w:spacing w:before="0" w:after="150"/>
              <w:ind w:hanging="169"/>
              <w:jc w:val="left"/>
              <w:rPr>
                <w:sz w:val="15"/>
                <w:szCs w:val="15"/>
              </w:rPr>
            </w:pPr>
            <w:r>
              <w:rPr>
                <w:sz w:val="15"/>
                <w:szCs w:val="15"/>
              </w:rPr>
              <w:t>Arrêté du 12 août 2014 relatif à la mise en œuvre de la conditionnalité au titre de 2014</w:t>
            </w:r>
          </w:p>
          <w:p w:rsidR="0035701C" w:rsidRDefault="00FB561B">
            <w:pPr>
              <w:spacing w:before="150" w:after="150"/>
              <w:jc w:val="left"/>
              <w:rPr>
                <w:sz w:val="15"/>
                <w:szCs w:val="15"/>
              </w:rPr>
            </w:pPr>
            <w:r>
              <w:rPr>
                <w:sz w:val="15"/>
                <w:szCs w:val="15"/>
              </w:rPr>
              <w:t>Cette réglementation sera revue en 2015 pour être e</w:t>
            </w:r>
            <w:r>
              <w:rPr>
                <w:sz w:val="15"/>
                <w:szCs w:val="15"/>
              </w:rPr>
              <w:t>n cohérence avec les dispositions du 1er pilier.</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 xml:space="preserve">Les cahiers des charges des MAEC respectent les règlements et arrêtés en vigueur. </w:t>
            </w:r>
          </w:p>
        </w:tc>
      </w:tr>
      <w:tr w:rsidR="0035701C">
        <w:tc>
          <w:tcPr>
            <w:tcW w:w="1250" w:type="pct"/>
            <w:vMerge w:val="restart"/>
            <w:shd w:val="clear" w:color="auto" w:fill="FFFFFF"/>
            <w:tcMar>
              <w:top w:w="20" w:type="dxa"/>
              <w:bottom w:w="20" w:type="dxa"/>
            </w:tcMar>
            <w:vAlign w:val="center"/>
          </w:tcPr>
          <w:p w:rsidR="0035701C" w:rsidRDefault="00FB561B">
            <w:pPr>
              <w:jc w:val="left"/>
              <w:rPr>
                <w:sz w:val="12"/>
              </w:rPr>
            </w:pPr>
            <w:r>
              <w:rPr>
                <w:sz w:val="12"/>
              </w:rPr>
              <w:t xml:space="preserve">P5.1) Efficacité énergétique: des mesures ont été prises pour promouvoir des améliorations rentables de l'efficacité </w:t>
            </w:r>
            <w:r>
              <w:rPr>
                <w:sz w:val="12"/>
              </w:rPr>
              <w:t>énergétique dans les utilisations finales ainsi que des investissements rentables dans l'efficacité énergétique lors de la construction ou de la rénovation d'immeubles.</w:t>
            </w:r>
          </w:p>
        </w:tc>
        <w:tc>
          <w:tcPr>
            <w:tcW w:w="1250" w:type="pct"/>
            <w:shd w:val="clear" w:color="auto" w:fill="FFFFFF"/>
            <w:tcMar>
              <w:top w:w="20" w:type="dxa"/>
              <w:bottom w:w="20" w:type="dxa"/>
            </w:tcMar>
            <w:vAlign w:val="center"/>
          </w:tcPr>
          <w:p w:rsidR="0035701C" w:rsidRDefault="00FB561B">
            <w:pPr>
              <w:jc w:val="left"/>
              <w:rPr>
                <w:sz w:val="12"/>
              </w:rPr>
            </w:pPr>
            <w:r>
              <w:rPr>
                <w:sz w:val="12"/>
              </w:rPr>
              <w:t>P5.1.a) Mesures destinées à assurer que des exigences minimales existent pour la perfor</w:t>
            </w:r>
            <w:r>
              <w:rPr>
                <w:sz w:val="12"/>
              </w:rPr>
              <w:t>mance énergétique des bâtiments, conformément aux articles 3, 4 et 5 de la directive 2010/31/UE du Parlement européen et du Conseil;</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Règlementation Thermique 2012 pour le neuf :</w:t>
            </w:r>
          </w:p>
          <w:p w:rsidR="0035701C" w:rsidRDefault="00FB561B">
            <w:pPr>
              <w:spacing w:before="150" w:after="150"/>
              <w:jc w:val="left"/>
              <w:rPr>
                <w:sz w:val="15"/>
                <w:szCs w:val="15"/>
              </w:rPr>
            </w:pPr>
            <w:r>
              <w:rPr>
                <w:sz w:val="15"/>
                <w:szCs w:val="15"/>
              </w:rPr>
              <w:t>• Décret no 2010</w:t>
            </w:r>
            <w:r>
              <w:rPr>
                <w:rFonts w:ascii="Cambria Math" w:eastAsia="Cambria Math" w:hAnsi="Cambria Math" w:cs="Cambria Math"/>
                <w:sz w:val="15"/>
                <w:szCs w:val="15"/>
              </w:rPr>
              <w:t>‐</w:t>
            </w:r>
            <w:r>
              <w:rPr>
                <w:sz w:val="15"/>
                <w:szCs w:val="15"/>
              </w:rPr>
              <w:t>126 d9u 26 octobre 2010 relatif aux caractéristiques ther</w:t>
            </w:r>
            <w:r>
              <w:rPr>
                <w:sz w:val="15"/>
                <w:szCs w:val="15"/>
              </w:rPr>
              <w:t>miques et à la performance énergétique des constructions</w:t>
            </w:r>
          </w:p>
          <w:p w:rsidR="0035701C" w:rsidRDefault="00FB561B">
            <w:pPr>
              <w:spacing w:before="150" w:after="150"/>
              <w:jc w:val="left"/>
              <w:rPr>
                <w:sz w:val="15"/>
                <w:szCs w:val="15"/>
              </w:rPr>
            </w:pPr>
            <w:r>
              <w:rPr>
                <w:sz w:val="15"/>
                <w:szCs w:val="15"/>
              </w:rPr>
              <w:t>• Arrêté du 26 octobre 2010 relatif aux caractéristiques thermiques et aux exigences de performance énergétique des bâtiments nouveaux et des parties nouvelles de bâtiments</w:t>
            </w:r>
          </w:p>
          <w:p w:rsidR="0035701C" w:rsidRDefault="00FB561B">
            <w:pPr>
              <w:spacing w:before="150" w:after="150"/>
              <w:jc w:val="left"/>
              <w:rPr>
                <w:sz w:val="15"/>
                <w:szCs w:val="15"/>
              </w:rPr>
            </w:pPr>
            <w:r>
              <w:rPr>
                <w:sz w:val="15"/>
                <w:szCs w:val="15"/>
              </w:rPr>
              <w:t>http://www.legifrance.gouv</w:t>
            </w:r>
            <w:r>
              <w:rPr>
                <w:sz w:val="15"/>
                <w:szCs w:val="15"/>
              </w:rPr>
              <w:t>.fr/jopdf/common/jo_pdf.jsp?numJO=0&amp;dateJO=20101027&amp;numTexte=2&amp;pageDebut=19250&amp;pageFin=19251</w:t>
            </w:r>
          </w:p>
          <w:p w:rsidR="0035701C" w:rsidRDefault="00FB561B">
            <w:pPr>
              <w:spacing w:before="150" w:after="150"/>
              <w:jc w:val="left"/>
              <w:rPr>
                <w:sz w:val="15"/>
                <w:szCs w:val="15"/>
              </w:rPr>
            </w:pPr>
            <w:r>
              <w:rPr>
                <w:sz w:val="15"/>
                <w:szCs w:val="15"/>
              </w:rPr>
              <w:t>http://www.legifrance.gouv.fr/jopdf/common/jo_pdf.jsp?numJO=0&amp;dateJO=20101027&amp;numTexte=7&amp;pageDebut=19260&amp;pageFin=19285</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Cette conditionnalité a été vérifiée au niv</w:t>
            </w:r>
            <w:r>
              <w:rPr>
                <w:sz w:val="12"/>
              </w:rPr>
              <w:t xml:space="preserve">eau de l’accord de partenariat et ne nécessite pas d’évaluation particulière au niveau du programme. </w:t>
            </w: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 xml:space="preserve">P5.1.b) Mesures nécessaires pour établir un système de certification de la performance énergétique des bâtiments conformément à l'article 11 de la </w:t>
            </w:r>
            <w:r>
              <w:rPr>
                <w:sz w:val="12"/>
              </w:rPr>
              <w:t>directive 2010/31/UE;</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b/>
                <w:bCs/>
                <w:sz w:val="15"/>
                <w:szCs w:val="15"/>
              </w:rPr>
              <w:t xml:space="preserve">Arrêté du 15 septembre 2006 relatif au diagnostic de performance énergétique pour les bâtiments existants proposés à la vente en France métropolitaine : </w:t>
            </w:r>
          </w:p>
          <w:p w:rsidR="0035701C" w:rsidRDefault="00FB561B">
            <w:pPr>
              <w:spacing w:before="150" w:after="150"/>
              <w:jc w:val="left"/>
              <w:rPr>
                <w:sz w:val="15"/>
                <w:szCs w:val="15"/>
              </w:rPr>
            </w:pPr>
            <w:r>
              <w:rPr>
                <w:sz w:val="15"/>
                <w:szCs w:val="15"/>
              </w:rPr>
              <w:t>http://www.legifrance.gouv.fr/affichTexte.do?cidTexte=JORFTEXT000000788395</w:t>
            </w:r>
          </w:p>
          <w:p w:rsidR="0035701C" w:rsidRDefault="00FB561B">
            <w:pPr>
              <w:spacing w:before="150" w:after="150"/>
              <w:jc w:val="left"/>
              <w:rPr>
                <w:sz w:val="15"/>
                <w:szCs w:val="15"/>
              </w:rPr>
            </w:pPr>
            <w:r>
              <w:rPr>
                <w:sz w:val="15"/>
                <w:szCs w:val="15"/>
              </w:rPr>
              <w:t>modifié; par</w:t>
            </w:r>
          </w:p>
          <w:p w:rsidR="0035701C" w:rsidRDefault="00FB561B">
            <w:pPr>
              <w:spacing w:before="150" w:after="150"/>
              <w:jc w:val="left"/>
              <w:rPr>
                <w:sz w:val="15"/>
                <w:szCs w:val="15"/>
              </w:rPr>
            </w:pPr>
            <w:r>
              <w:rPr>
                <w:b/>
                <w:bCs/>
                <w:sz w:val="15"/>
                <w:szCs w:val="15"/>
              </w:rPr>
              <w:t xml:space="preserve">Arrêté du 8 février 2012 modifiant l'arrêté du 15 septembre 2006 relatif au diagnostic de performance énergétique pour les bâtiments existants proposés à la vente en France métropolitaine : </w:t>
            </w:r>
          </w:p>
          <w:p w:rsidR="0035701C" w:rsidRDefault="00FB561B">
            <w:pPr>
              <w:spacing w:before="150" w:after="150"/>
              <w:jc w:val="left"/>
              <w:rPr>
                <w:sz w:val="15"/>
                <w:szCs w:val="15"/>
              </w:rPr>
            </w:pPr>
            <w:r>
              <w:rPr>
                <w:sz w:val="15"/>
                <w:szCs w:val="15"/>
              </w:rPr>
              <w:t>http://www.legifrance.gouv.fr/affichTexte.do?cidText</w:t>
            </w:r>
            <w:r>
              <w:rPr>
                <w:sz w:val="15"/>
                <w:szCs w:val="15"/>
              </w:rPr>
              <w:t>e=JORFTEXT000025509925</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 xml:space="preserve">Les références ci-contre s'appliquent. </w:t>
            </w: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P5.1.c) Mesures visant à assurer une planification stratégique en matière d'efficacité énergétique, conformément à l'article 3 de la directive 2012/27/UE du Parlement européen et du Conseil;</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Rapport annuel de mise en œuvre de la directive :</w:t>
            </w:r>
          </w:p>
          <w:p w:rsidR="0035701C" w:rsidRDefault="00FB561B">
            <w:pPr>
              <w:spacing w:before="150" w:after="150"/>
              <w:jc w:val="left"/>
              <w:rPr>
                <w:sz w:val="15"/>
                <w:szCs w:val="15"/>
              </w:rPr>
            </w:pPr>
            <w:r>
              <w:rPr>
                <w:sz w:val="15"/>
                <w:szCs w:val="15"/>
              </w:rPr>
              <w:t>http://www.developpement</w:t>
            </w:r>
            <w:r>
              <w:rPr>
                <w:rFonts w:ascii="Cambria Math" w:eastAsia="Cambria Math" w:hAnsi="Cambria Math" w:cs="Cambria Math"/>
                <w:sz w:val="15"/>
                <w:szCs w:val="15"/>
              </w:rPr>
              <w:t>‐</w:t>
            </w:r>
            <w:r>
              <w:rPr>
                <w:sz w:val="15"/>
                <w:szCs w:val="15"/>
              </w:rPr>
              <w:t>durable.gouv.fr/IMG/pdf/0458_EE.pdf  </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Cette conditionnalité a été vérifiée au niveau de l’accord de partenariat et ne nécessite pas d’évaluation particulière au niveau du prog</w:t>
            </w:r>
            <w:r>
              <w:rPr>
                <w:sz w:val="12"/>
              </w:rPr>
              <w:t>ramme</w:t>
            </w: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P5.1.d) Mesures conformes à l'article 13 de la directive 2006/32/CE du Parlement européen et du Conseil relative à l'efficacité énergétique dans les utilisations finales et aux services énergétiques, et destinées à doter les clients finaux de compt</w:t>
            </w:r>
            <w:r>
              <w:rPr>
                <w:sz w:val="12"/>
              </w:rPr>
              <w:t>eurs individuels dans la mesure où cela est techniquement possible, financièrement raisonnable et proportionné compte tenu des économies d'énergie potentielles.</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3 types de mesures</w:t>
            </w:r>
          </w:p>
          <w:p w:rsidR="0035701C" w:rsidRDefault="00FB561B">
            <w:pPr>
              <w:spacing w:before="150" w:after="150"/>
              <w:jc w:val="left"/>
              <w:rPr>
                <w:sz w:val="15"/>
                <w:szCs w:val="15"/>
              </w:rPr>
            </w:pPr>
            <w:r>
              <w:rPr>
                <w:sz w:val="15"/>
                <w:szCs w:val="15"/>
              </w:rPr>
              <w:t>. pour le gaz :</w:t>
            </w:r>
          </w:p>
          <w:p w:rsidR="0035701C" w:rsidRDefault="00FB561B">
            <w:pPr>
              <w:spacing w:before="150" w:after="150"/>
              <w:jc w:val="left"/>
              <w:rPr>
                <w:sz w:val="15"/>
                <w:szCs w:val="15"/>
              </w:rPr>
            </w:pPr>
            <w:r>
              <w:rPr>
                <w:sz w:val="15"/>
                <w:szCs w:val="15"/>
              </w:rPr>
              <w:t>http://www.legifrance.gouv.fr/affichCodeArticle.do;jsessionid=A073918E735F5C92A787B2173128B6FB.tpdjo05v_1?idArticle=LEGIARTI000027319579&amp;cidTexte=LEGITEXT000023983208&amp;categorieLien=id&amp;dateTexte=20130502</w:t>
            </w:r>
          </w:p>
          <w:p w:rsidR="0035701C" w:rsidRDefault="00FB561B">
            <w:pPr>
              <w:spacing w:before="150" w:after="150"/>
              <w:jc w:val="left"/>
              <w:rPr>
                <w:sz w:val="15"/>
                <w:szCs w:val="15"/>
              </w:rPr>
            </w:pPr>
            <w:r>
              <w:rPr>
                <w:sz w:val="15"/>
                <w:szCs w:val="15"/>
              </w:rPr>
              <w:br/>
              <w:t>http://www.legifrance.gouv.fr/affichCodeArticle.do?i</w:t>
            </w:r>
            <w:r>
              <w:rPr>
                <w:sz w:val="15"/>
                <w:szCs w:val="15"/>
              </w:rPr>
              <w:t>dArticle=LEGIARTI000023987144&amp;cidTexte=LEGITEXT000023983208&amp;dateTexte=20130502&amp;oldAction=rechCodeArticle</w:t>
            </w:r>
          </w:p>
          <w:p w:rsidR="0035701C" w:rsidRDefault="00FB561B">
            <w:pPr>
              <w:spacing w:before="150" w:after="150"/>
              <w:jc w:val="left"/>
              <w:rPr>
                <w:sz w:val="15"/>
                <w:szCs w:val="15"/>
              </w:rPr>
            </w:pPr>
            <w:r>
              <w:rPr>
                <w:sz w:val="15"/>
                <w:szCs w:val="15"/>
              </w:rPr>
              <w:t>. pour l'électricité :</w:t>
            </w:r>
          </w:p>
          <w:p w:rsidR="0035701C" w:rsidRDefault="00FB561B">
            <w:pPr>
              <w:spacing w:before="150" w:after="150"/>
              <w:jc w:val="left"/>
              <w:rPr>
                <w:sz w:val="15"/>
                <w:szCs w:val="15"/>
              </w:rPr>
            </w:pPr>
            <w:r>
              <w:rPr>
                <w:sz w:val="15"/>
                <w:szCs w:val="15"/>
              </w:rPr>
              <w:t>L. 322.8 : exercice des missions des comptages</w:t>
            </w:r>
          </w:p>
          <w:p w:rsidR="0035701C" w:rsidRDefault="00FB561B">
            <w:pPr>
              <w:spacing w:before="150" w:after="150"/>
              <w:jc w:val="left"/>
              <w:rPr>
                <w:sz w:val="15"/>
                <w:szCs w:val="15"/>
              </w:rPr>
            </w:pPr>
            <w:r>
              <w:rPr>
                <w:sz w:val="15"/>
                <w:szCs w:val="15"/>
              </w:rPr>
              <w:t>L.341.4 : mise en place des compteurs communicant : décret 2010-102 (2applica</w:t>
            </w:r>
            <w:r>
              <w:rPr>
                <w:sz w:val="15"/>
                <w:szCs w:val="15"/>
              </w:rPr>
              <w:t>tion de l'article L. 341]4 ] généralisation des compteurs communicants)</w:t>
            </w:r>
          </w:p>
          <w:p w:rsidR="0035701C" w:rsidRDefault="00FB561B">
            <w:pPr>
              <w:spacing w:before="150" w:after="150"/>
              <w:jc w:val="left"/>
              <w:rPr>
                <w:sz w:val="15"/>
                <w:szCs w:val="15"/>
              </w:rPr>
            </w:pPr>
            <w:r>
              <w:rPr>
                <w:sz w:val="15"/>
                <w:szCs w:val="15"/>
              </w:rPr>
              <w:t>Arreté du 4 janvier 2012 (application du décret 2010]102 ]2 spécifications techniques des compteurs)</w:t>
            </w:r>
          </w:p>
          <w:p w:rsidR="0035701C" w:rsidRDefault="00FB561B">
            <w:pPr>
              <w:spacing w:before="150" w:after="150"/>
              <w:jc w:val="left"/>
              <w:rPr>
                <w:sz w:val="15"/>
                <w:szCs w:val="15"/>
              </w:rPr>
            </w:pPr>
            <w:r>
              <w:rPr>
                <w:sz w:val="15"/>
                <w:szCs w:val="15"/>
              </w:rPr>
              <w:t>. pour la chaleur :</w:t>
            </w:r>
          </w:p>
          <w:p w:rsidR="0035701C" w:rsidRDefault="00FB561B">
            <w:pPr>
              <w:spacing w:before="150" w:after="150"/>
              <w:jc w:val="left"/>
              <w:rPr>
                <w:sz w:val="15"/>
                <w:szCs w:val="15"/>
              </w:rPr>
            </w:pPr>
            <w:r>
              <w:rPr>
                <w:sz w:val="15"/>
                <w:szCs w:val="15"/>
              </w:rPr>
              <w:t>http://www.legifrance.gouv.fr/affichCodeArticle.do?idArticl</w:t>
            </w:r>
            <w:r>
              <w:rPr>
                <w:sz w:val="15"/>
                <w:szCs w:val="15"/>
              </w:rPr>
              <w:t>e=LEGIARTI000023986292&amp;cidTexte=LEGITEXT000023983208dateTexte=20110915&amp;oldAction=rechCodeArticle</w:t>
            </w:r>
          </w:p>
          <w:p w:rsidR="0035701C" w:rsidRDefault="00FB561B">
            <w:pPr>
              <w:spacing w:before="150" w:after="150"/>
              <w:jc w:val="left"/>
              <w:rPr>
                <w:sz w:val="15"/>
                <w:szCs w:val="15"/>
              </w:rPr>
            </w:pPr>
            <w:r>
              <w:rPr>
                <w:sz w:val="15"/>
                <w:szCs w:val="15"/>
              </w:rPr>
              <w:t>http://www.legifrance.gouv.fr/affichCode.do;jsessionid=E068B10A1569A6AAFD5D7D353956A7F8.tpdjo03v_1?idSectionTA=LEGISCTA000025744469cidTexte=LEGITEXT00000607409</w:t>
            </w:r>
            <w:r>
              <w:rPr>
                <w:sz w:val="15"/>
                <w:szCs w:val="15"/>
              </w:rPr>
              <w:t>6&amp;dateTexte=20130424</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 xml:space="preserve">Cette conditionnalité a été vérifiée au niveau de l’accord de partenariat et ne nécessite pas d’évaluation particulière au niveau du programme. </w:t>
            </w:r>
          </w:p>
        </w:tc>
      </w:tr>
      <w:tr w:rsidR="0035701C">
        <w:tc>
          <w:tcPr>
            <w:tcW w:w="1250" w:type="pct"/>
            <w:vMerge w:val="restart"/>
            <w:shd w:val="clear" w:color="auto" w:fill="FFFFFF"/>
            <w:tcMar>
              <w:top w:w="20" w:type="dxa"/>
              <w:bottom w:w="20" w:type="dxa"/>
            </w:tcMar>
            <w:vAlign w:val="center"/>
          </w:tcPr>
          <w:p w:rsidR="0035701C" w:rsidRDefault="00FB561B">
            <w:pPr>
              <w:jc w:val="left"/>
              <w:rPr>
                <w:sz w:val="12"/>
              </w:rPr>
            </w:pPr>
            <w:r>
              <w:rPr>
                <w:sz w:val="12"/>
              </w:rPr>
              <w:t xml:space="preserve">P5.2) Secteur de l'eau: l'existence, d'une part, d'une politique de prix de l'eau qui </w:t>
            </w:r>
            <w:r>
              <w:rPr>
                <w:sz w:val="12"/>
              </w:rPr>
              <w:t>fournisse des mesures incitatives appropriées en faveur d'une utilisation efficiente des ressources hydriques par les utilisateurs et, d'autre part, d'une contribution adéquate des différents utilisateurs d'eau à la récupération des coûts des services de l</w:t>
            </w:r>
            <w:r>
              <w:rPr>
                <w:sz w:val="12"/>
              </w:rPr>
              <w:t>'eau, à un taux déterminé dans le plan approuvé de gestion de district hydrographique pour les investissements soutenus par les programmes.</w:t>
            </w:r>
          </w:p>
        </w:tc>
        <w:tc>
          <w:tcPr>
            <w:tcW w:w="1250" w:type="pct"/>
            <w:shd w:val="clear" w:color="auto" w:fill="FFFFFF"/>
            <w:tcMar>
              <w:top w:w="20" w:type="dxa"/>
              <w:bottom w:w="20" w:type="dxa"/>
            </w:tcMar>
            <w:vAlign w:val="center"/>
          </w:tcPr>
          <w:p w:rsidR="0035701C" w:rsidRDefault="00FB561B">
            <w:pPr>
              <w:jc w:val="left"/>
              <w:rPr>
                <w:sz w:val="12"/>
              </w:rPr>
            </w:pPr>
            <w:r>
              <w:rPr>
                <w:sz w:val="12"/>
              </w:rPr>
              <w:t>P5.2.a) Dans les secteurs bénéficiant du soutien du Feader, un État membre a veillé à ce que les différents utilisat</w:t>
            </w:r>
            <w:r>
              <w:rPr>
                <w:sz w:val="12"/>
              </w:rPr>
              <w:t xml:space="preserve">eurs d'eau contribuent à la récupération des coûts des services de l'eau par secteur, conformément à l'article 9, paragraphe 1, premier alinéa, de la directive cadre sur l'eau, compte tenu le cas échéant des effets sociaux, environnementaux et économiques </w:t>
            </w:r>
            <w:r>
              <w:rPr>
                <w:sz w:val="12"/>
              </w:rPr>
              <w:t>de la récupération ainsi que des conditions géographiques et climatiques de la région ou des régions concernées.</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 Mise en oeuvre de l’article 9 de la Directive cadre sur l’eau :</w:t>
            </w:r>
          </w:p>
          <w:p w:rsidR="0035701C" w:rsidRDefault="00FB561B">
            <w:pPr>
              <w:spacing w:before="150" w:after="150"/>
              <w:jc w:val="left"/>
              <w:rPr>
                <w:sz w:val="15"/>
                <w:szCs w:val="15"/>
              </w:rPr>
            </w:pPr>
            <w:r>
              <w:rPr>
                <w:sz w:val="15"/>
                <w:szCs w:val="15"/>
              </w:rPr>
              <w:t>Article 1 II</w:t>
            </w:r>
            <w:r>
              <w:rPr>
                <w:rFonts w:ascii="Cambria Math" w:eastAsia="Cambria Math" w:hAnsi="Cambria Math" w:cs="Cambria Math"/>
                <w:sz w:val="15"/>
                <w:szCs w:val="15"/>
              </w:rPr>
              <w:t>‐</w:t>
            </w:r>
            <w:r>
              <w:rPr>
                <w:sz w:val="15"/>
                <w:szCs w:val="15"/>
              </w:rPr>
              <w:t>2° et article 12</w:t>
            </w:r>
            <w:r>
              <w:rPr>
                <w:rFonts w:ascii="Cambria Math" w:eastAsia="Cambria Math" w:hAnsi="Cambria Math" w:cs="Cambria Math"/>
                <w:sz w:val="15"/>
                <w:szCs w:val="15"/>
              </w:rPr>
              <w:t>‐</w:t>
            </w:r>
            <w:r>
              <w:rPr>
                <w:sz w:val="15"/>
                <w:szCs w:val="15"/>
              </w:rPr>
              <w:t>II de l’arrêté du 17 mars 2006 relatif au c</w:t>
            </w:r>
            <w:r>
              <w:rPr>
                <w:sz w:val="15"/>
                <w:szCs w:val="15"/>
              </w:rPr>
              <w:t>ontenu des schémas directeurs d’aménagement et de gestion des eaux</w:t>
            </w:r>
          </w:p>
          <w:p w:rsidR="0035701C" w:rsidRDefault="00FB561B">
            <w:pPr>
              <w:spacing w:before="150" w:after="150"/>
              <w:jc w:val="left"/>
              <w:rPr>
                <w:sz w:val="15"/>
                <w:szCs w:val="15"/>
              </w:rPr>
            </w:pPr>
            <w:r>
              <w:rPr>
                <w:sz w:val="15"/>
                <w:szCs w:val="15"/>
              </w:rPr>
              <w:t>http://www.legifrance.gouv.fr/affichTexte.do?cidTexte=JORFTEXT000000609821</w:t>
            </w:r>
          </w:p>
          <w:p w:rsidR="0035701C" w:rsidRDefault="00FB561B">
            <w:pPr>
              <w:spacing w:before="150" w:after="150"/>
              <w:jc w:val="left"/>
              <w:rPr>
                <w:sz w:val="15"/>
                <w:szCs w:val="15"/>
              </w:rPr>
            </w:pPr>
            <w:r>
              <w:rPr>
                <w:sz w:val="15"/>
                <w:szCs w:val="15"/>
              </w:rPr>
              <w:t>• Tarification des services d’eau :</w:t>
            </w:r>
          </w:p>
          <w:p w:rsidR="0035701C" w:rsidRDefault="00FB561B">
            <w:pPr>
              <w:spacing w:before="150" w:after="150"/>
              <w:jc w:val="left"/>
              <w:rPr>
                <w:sz w:val="15"/>
                <w:szCs w:val="15"/>
              </w:rPr>
            </w:pPr>
            <w:r>
              <w:rPr>
                <w:sz w:val="15"/>
                <w:szCs w:val="15"/>
              </w:rPr>
              <w:t>Articles L. 2224</w:t>
            </w:r>
            <w:r>
              <w:rPr>
                <w:rFonts w:ascii="Cambria Math" w:eastAsia="Cambria Math" w:hAnsi="Cambria Math" w:cs="Cambria Math"/>
                <w:sz w:val="15"/>
                <w:szCs w:val="15"/>
              </w:rPr>
              <w:t>‐</w:t>
            </w:r>
            <w:r>
              <w:rPr>
                <w:sz w:val="15"/>
                <w:szCs w:val="15"/>
              </w:rPr>
              <w:t>12 à L. 2224</w:t>
            </w:r>
            <w:r>
              <w:rPr>
                <w:rFonts w:ascii="Cambria Math" w:eastAsia="Cambria Math" w:hAnsi="Cambria Math" w:cs="Cambria Math"/>
                <w:sz w:val="15"/>
                <w:szCs w:val="15"/>
              </w:rPr>
              <w:t>‐</w:t>
            </w:r>
            <w:r>
              <w:rPr>
                <w:sz w:val="15"/>
                <w:szCs w:val="15"/>
              </w:rPr>
              <w:t>12</w:t>
            </w:r>
            <w:r>
              <w:rPr>
                <w:rFonts w:ascii="Cambria Math" w:eastAsia="Cambria Math" w:hAnsi="Cambria Math" w:cs="Cambria Math"/>
                <w:sz w:val="15"/>
                <w:szCs w:val="15"/>
              </w:rPr>
              <w:t>‐</w:t>
            </w:r>
            <w:r>
              <w:rPr>
                <w:sz w:val="15"/>
                <w:szCs w:val="15"/>
              </w:rPr>
              <w:t xml:space="preserve">5 du code général des collectivités </w:t>
            </w:r>
            <w:r>
              <w:rPr>
                <w:sz w:val="15"/>
                <w:szCs w:val="15"/>
              </w:rPr>
              <w:t>territoriales relatifs aux règlements des services d’eau et d’assainissement et à la tarification :</w:t>
            </w:r>
          </w:p>
          <w:p w:rsidR="0035701C" w:rsidRDefault="00FB561B">
            <w:pPr>
              <w:spacing w:before="150" w:after="150"/>
              <w:jc w:val="left"/>
              <w:rPr>
                <w:sz w:val="15"/>
                <w:szCs w:val="15"/>
              </w:rPr>
            </w:pPr>
            <w:r>
              <w:rPr>
                <w:sz w:val="15"/>
                <w:szCs w:val="15"/>
              </w:rPr>
              <w:t>http://www.legifrance.gouv.fr/affichCodeArticle.do?cidTexte=LEGITEXT000006070633&amp;idArticle=LEGIARTI000006390376dateTexte=20130621</w:t>
            </w:r>
          </w:p>
          <w:p w:rsidR="0035701C" w:rsidRDefault="00FB561B">
            <w:pPr>
              <w:spacing w:before="150" w:after="150"/>
              <w:jc w:val="left"/>
              <w:rPr>
                <w:sz w:val="15"/>
                <w:szCs w:val="15"/>
              </w:rPr>
            </w:pPr>
            <w:r>
              <w:rPr>
                <w:sz w:val="15"/>
                <w:szCs w:val="15"/>
              </w:rPr>
              <w:t>• Redevance environnementa</w:t>
            </w:r>
            <w:r>
              <w:rPr>
                <w:sz w:val="15"/>
                <w:szCs w:val="15"/>
              </w:rPr>
              <w:t>les :</w:t>
            </w:r>
          </w:p>
          <w:p w:rsidR="0035701C" w:rsidRDefault="00FB561B">
            <w:pPr>
              <w:spacing w:before="150" w:after="150"/>
              <w:jc w:val="left"/>
              <w:rPr>
                <w:sz w:val="15"/>
                <w:szCs w:val="15"/>
              </w:rPr>
            </w:pPr>
            <w:r>
              <w:rPr>
                <w:sz w:val="15"/>
                <w:szCs w:val="15"/>
              </w:rPr>
              <w:t>Articles L. 213</w:t>
            </w:r>
            <w:r>
              <w:rPr>
                <w:rFonts w:ascii="Cambria Math" w:eastAsia="Cambria Math" w:hAnsi="Cambria Math" w:cs="Cambria Math"/>
                <w:sz w:val="15"/>
                <w:szCs w:val="15"/>
              </w:rPr>
              <w:t>‐</w:t>
            </w:r>
            <w:r>
              <w:rPr>
                <w:sz w:val="15"/>
                <w:szCs w:val="15"/>
              </w:rPr>
              <w:t>10 à L. 213</w:t>
            </w:r>
            <w:r>
              <w:rPr>
                <w:rFonts w:ascii="Cambria Math" w:eastAsia="Cambria Math" w:hAnsi="Cambria Math" w:cs="Cambria Math"/>
                <w:sz w:val="15"/>
                <w:szCs w:val="15"/>
              </w:rPr>
              <w:t>‐</w:t>
            </w:r>
            <w:r>
              <w:rPr>
                <w:sz w:val="15"/>
                <w:szCs w:val="15"/>
              </w:rPr>
              <w:t>10</w:t>
            </w:r>
            <w:r>
              <w:rPr>
                <w:rFonts w:ascii="Cambria Math" w:eastAsia="Cambria Math" w:hAnsi="Cambria Math" w:cs="Cambria Math"/>
                <w:sz w:val="15"/>
                <w:szCs w:val="15"/>
              </w:rPr>
              <w:t>‐</w:t>
            </w:r>
            <w:r>
              <w:rPr>
                <w:sz w:val="15"/>
                <w:szCs w:val="15"/>
              </w:rPr>
              <w:t>12 du code de l’environnement relatifs aux redevances environnementales perçues par l’agence de l’eau</w:t>
            </w:r>
          </w:p>
          <w:p w:rsidR="0035701C" w:rsidRDefault="00FB561B">
            <w:pPr>
              <w:spacing w:before="150" w:after="150"/>
              <w:jc w:val="left"/>
              <w:rPr>
                <w:sz w:val="15"/>
                <w:szCs w:val="15"/>
              </w:rPr>
            </w:pPr>
            <w:r>
              <w:rPr>
                <w:sz w:val="15"/>
                <w:szCs w:val="15"/>
              </w:rPr>
              <w:t>http://www.legifrance.gouv.fr/affichCodeArticle.do?cidTexte=LEGITEXT000006074220&amp;idArticle=LEGIARTI000020059174dateTexte=20130110</w:t>
            </w:r>
          </w:p>
          <w:p w:rsidR="0035701C" w:rsidRDefault="00FB561B">
            <w:pPr>
              <w:spacing w:before="150" w:after="150"/>
              <w:jc w:val="left"/>
              <w:rPr>
                <w:sz w:val="15"/>
                <w:szCs w:val="15"/>
              </w:rPr>
            </w:pPr>
            <w:r>
              <w:rPr>
                <w:sz w:val="15"/>
                <w:szCs w:val="15"/>
              </w:rPr>
              <w:br/>
              <w:t>L. 213</w:t>
            </w:r>
            <w:r>
              <w:rPr>
                <w:rFonts w:ascii="Cambria Math" w:eastAsia="Cambria Math" w:hAnsi="Cambria Math" w:cs="Cambria Math"/>
                <w:sz w:val="15"/>
                <w:szCs w:val="15"/>
              </w:rPr>
              <w:t>‐</w:t>
            </w:r>
            <w:r>
              <w:rPr>
                <w:sz w:val="15"/>
                <w:szCs w:val="15"/>
              </w:rPr>
              <w:t>14</w:t>
            </w:r>
            <w:r>
              <w:rPr>
                <w:rFonts w:ascii="Cambria Math" w:eastAsia="Cambria Math" w:hAnsi="Cambria Math" w:cs="Cambria Math"/>
                <w:sz w:val="15"/>
                <w:szCs w:val="15"/>
              </w:rPr>
              <w:t>‐</w:t>
            </w:r>
            <w:r>
              <w:rPr>
                <w:sz w:val="15"/>
                <w:szCs w:val="15"/>
              </w:rPr>
              <w:t>1 à L. 213</w:t>
            </w:r>
            <w:r>
              <w:rPr>
                <w:rFonts w:ascii="Cambria Math" w:eastAsia="Cambria Math" w:hAnsi="Cambria Math" w:cs="Cambria Math"/>
                <w:sz w:val="15"/>
                <w:szCs w:val="15"/>
              </w:rPr>
              <w:t>‐</w:t>
            </w:r>
            <w:r>
              <w:rPr>
                <w:sz w:val="15"/>
                <w:szCs w:val="15"/>
              </w:rPr>
              <w:t>14</w:t>
            </w:r>
            <w:r>
              <w:rPr>
                <w:rFonts w:ascii="Cambria Math" w:eastAsia="Cambria Math" w:hAnsi="Cambria Math" w:cs="Cambria Math"/>
                <w:sz w:val="15"/>
                <w:szCs w:val="15"/>
              </w:rPr>
              <w:t>‐</w:t>
            </w:r>
            <w:r>
              <w:rPr>
                <w:sz w:val="15"/>
                <w:szCs w:val="15"/>
              </w:rPr>
              <w:t>2 du code de l’environnement relatif aux redevances environnementales perçues par les offices de l’ea</w:t>
            </w:r>
            <w:r>
              <w:rPr>
                <w:sz w:val="15"/>
                <w:szCs w:val="15"/>
              </w:rPr>
              <w:t>u</w:t>
            </w:r>
          </w:p>
          <w:p w:rsidR="0035701C" w:rsidRDefault="00FB561B">
            <w:pPr>
              <w:spacing w:before="150" w:after="150"/>
              <w:jc w:val="left"/>
              <w:rPr>
                <w:sz w:val="15"/>
                <w:szCs w:val="15"/>
              </w:rPr>
            </w:pPr>
            <w:r>
              <w:rPr>
                <w:sz w:val="15"/>
                <w:szCs w:val="15"/>
              </w:rPr>
              <w:t>http://www.legifrance.gouv.fr/affichCodeArticle.do?cidTexte=LEGITEXT000006074220&amp;idArticle=LEGIARTI000006833116&amp;dateTexte=categorieLien=cid</w:t>
            </w:r>
          </w:p>
          <w:p w:rsidR="0035701C" w:rsidRDefault="00FB561B">
            <w:pPr>
              <w:spacing w:before="150" w:after="150"/>
              <w:jc w:val="left"/>
              <w:rPr>
                <w:sz w:val="15"/>
                <w:szCs w:val="15"/>
              </w:rPr>
            </w:pPr>
            <w:r>
              <w:rPr>
                <w:sz w:val="15"/>
                <w:szCs w:val="15"/>
              </w:rPr>
              <w:t>Le schéma directeur d’aménagement et de gestion des eaux (SDAGE) constitue le plan de gestion exigé par la directi</w:t>
            </w:r>
            <w:r>
              <w:rPr>
                <w:sz w:val="15"/>
                <w:szCs w:val="15"/>
              </w:rPr>
              <w:t>ve cadre sur l’eau (Directive 2000/60/EC,)</w:t>
            </w:r>
          </w:p>
          <w:p w:rsidR="0035701C" w:rsidRDefault="00FB561B">
            <w:pPr>
              <w:spacing w:before="150" w:after="150"/>
              <w:jc w:val="left"/>
              <w:rPr>
                <w:sz w:val="15"/>
                <w:szCs w:val="15"/>
              </w:rPr>
            </w:pPr>
            <w:r>
              <w:rPr>
                <w:sz w:val="15"/>
                <w:szCs w:val="15"/>
              </w:rPr>
              <w:t>Le SDAGE comprend un document présentant les dispositions prises en matière de tarification de l’eau et de récupération des coûts répondant à l’article 9 de la directive cadre sur l’eau.</w:t>
            </w:r>
          </w:p>
          <w:p w:rsidR="0035701C" w:rsidRDefault="00FB561B">
            <w:pPr>
              <w:spacing w:before="150" w:after="150"/>
              <w:jc w:val="left"/>
              <w:rPr>
                <w:sz w:val="15"/>
                <w:szCs w:val="15"/>
              </w:rPr>
            </w:pPr>
            <w:r>
              <w:rPr>
                <w:sz w:val="15"/>
                <w:szCs w:val="15"/>
              </w:rPr>
              <w:t>Ce document comporte notam</w:t>
            </w:r>
            <w:r>
              <w:rPr>
                <w:sz w:val="15"/>
                <w:szCs w:val="15"/>
              </w:rPr>
              <w:t>ment une synthèse sur la tarification et la récupération des coûts qui indique, à l'échelle du bassin pour chaque secteur économique, le prix moyen, en euro par mètre cube, des services d'eau potable, d'assainissement des eaux usées et d'irrigation. il pré</w:t>
            </w:r>
            <w:r>
              <w:rPr>
                <w:sz w:val="15"/>
                <w:szCs w:val="15"/>
              </w:rPr>
              <w:t>cise le taux de récupération des coûts liés à l'utilisation de l'eau, y compris les coûts pour l'environnement et la ressource, pour chaque secteur économique.</w:t>
            </w:r>
          </w:p>
          <w:p w:rsidR="0035701C" w:rsidRDefault="00FB561B">
            <w:pPr>
              <w:spacing w:before="150" w:after="150"/>
              <w:jc w:val="left"/>
              <w:rPr>
                <w:sz w:val="15"/>
                <w:szCs w:val="15"/>
              </w:rPr>
            </w:pPr>
            <w:r>
              <w:rPr>
                <w:sz w:val="15"/>
                <w:szCs w:val="15"/>
              </w:rPr>
              <w:t>Les principes de tarification et de récupération des coûts selon le principe pollueur payeur son</w:t>
            </w:r>
            <w:r>
              <w:rPr>
                <w:sz w:val="15"/>
                <w:szCs w:val="15"/>
              </w:rPr>
              <w:t>t mis en oeuvre à travers les dispositifs suivants :</w:t>
            </w:r>
          </w:p>
          <w:p w:rsidR="0035701C" w:rsidRDefault="00FB561B">
            <w:pPr>
              <w:spacing w:before="150" w:after="150"/>
              <w:jc w:val="left"/>
              <w:rPr>
                <w:sz w:val="15"/>
                <w:szCs w:val="15"/>
              </w:rPr>
            </w:pPr>
            <w:r>
              <w:rPr>
                <w:sz w:val="15"/>
                <w:szCs w:val="15"/>
              </w:rPr>
              <w:t>Pour les services d’eau et d’assainissement par le principe de tarification et d’équilibre budgétaire des services prévus par le code général des collectivités territoriales</w:t>
            </w:r>
          </w:p>
          <w:p w:rsidR="0035701C" w:rsidRDefault="00FB561B">
            <w:pPr>
              <w:spacing w:before="150" w:after="150"/>
              <w:jc w:val="left"/>
              <w:rPr>
                <w:sz w:val="15"/>
                <w:szCs w:val="15"/>
              </w:rPr>
            </w:pPr>
            <w:r>
              <w:rPr>
                <w:sz w:val="15"/>
                <w:szCs w:val="15"/>
              </w:rPr>
              <w:t xml:space="preserve">Pour les autres services par </w:t>
            </w:r>
            <w:r>
              <w:rPr>
                <w:sz w:val="15"/>
                <w:szCs w:val="15"/>
              </w:rPr>
              <w:t>le dispositif des redevances environnementales perçues par les agences de l’eau ou les offices de l’eau prévu par le code de l’environnement.</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Les références ci-contre s'appliquent dans le PDR.</w:t>
            </w:r>
          </w:p>
        </w:tc>
      </w:tr>
      <w:tr w:rsidR="0035701C">
        <w:tc>
          <w:tcPr>
            <w:tcW w:w="1250" w:type="pct"/>
            <w:vMerge w:val="restart"/>
            <w:shd w:val="clear" w:color="auto" w:fill="FFFFFF"/>
            <w:tcMar>
              <w:top w:w="20" w:type="dxa"/>
              <w:bottom w:w="20" w:type="dxa"/>
            </w:tcMar>
            <w:vAlign w:val="center"/>
          </w:tcPr>
          <w:p w:rsidR="0035701C" w:rsidRDefault="00FB561B">
            <w:pPr>
              <w:jc w:val="left"/>
              <w:rPr>
                <w:sz w:val="12"/>
              </w:rPr>
            </w:pPr>
            <w:r>
              <w:rPr>
                <w:sz w:val="12"/>
              </w:rPr>
              <w:t>P5.3) Énergies renouvelables: des mesures ont été prises pour</w:t>
            </w:r>
            <w:r>
              <w:rPr>
                <w:sz w:val="12"/>
              </w:rPr>
              <w:t xml:space="preserve"> promouvoir la production et la distribution de sources d'énergie renouvelables.</w:t>
            </w:r>
          </w:p>
        </w:tc>
        <w:tc>
          <w:tcPr>
            <w:tcW w:w="1250" w:type="pct"/>
            <w:shd w:val="clear" w:color="auto" w:fill="FFFFFF"/>
            <w:tcMar>
              <w:top w:w="20" w:type="dxa"/>
              <w:bottom w:w="20" w:type="dxa"/>
            </w:tcMar>
            <w:vAlign w:val="center"/>
          </w:tcPr>
          <w:p w:rsidR="0035701C" w:rsidRDefault="00FB561B">
            <w:pPr>
              <w:jc w:val="left"/>
              <w:rPr>
                <w:sz w:val="12"/>
              </w:rPr>
            </w:pPr>
            <w:r>
              <w:rPr>
                <w:sz w:val="12"/>
              </w:rPr>
              <w:t>P5.3.a) Des régimes d'aide transparents, un accès prioritaire ou garanti au réseau de distribution et un appel prioritaire ainsi que des règles types rendues publiques concern</w:t>
            </w:r>
            <w:r>
              <w:rPr>
                <w:sz w:val="12"/>
              </w:rPr>
              <w:t>ant la prise en charge et le partage des coûts des adaptations techniques ont été mis en place conformément à l'article 14, paragraphe 1, et à l'article 16, paragraphes 2 et 3, de la directive 2009/28/CE.</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http://www.developpement</w:t>
            </w:r>
            <w:r>
              <w:rPr>
                <w:rFonts w:ascii="Cambria Math" w:eastAsia="Cambria Math" w:hAnsi="Cambria Math" w:cs="Cambria Math"/>
                <w:sz w:val="15"/>
                <w:szCs w:val="15"/>
              </w:rPr>
              <w:t>‐</w:t>
            </w:r>
            <w:r>
              <w:rPr>
                <w:sz w:val="15"/>
                <w:szCs w:val="15"/>
              </w:rPr>
              <w:t>durable.gouv.fr/IMG/pd</w:t>
            </w:r>
            <w:r>
              <w:rPr>
                <w:sz w:val="15"/>
                <w:szCs w:val="15"/>
              </w:rPr>
              <w:t>f/0825_plan_d_action_national_ENRversion_finale.pdf</w:t>
            </w:r>
          </w:p>
          <w:p w:rsidR="0035701C" w:rsidRDefault="00FB561B">
            <w:pPr>
              <w:spacing w:before="150" w:after="150"/>
              <w:jc w:val="left"/>
              <w:rPr>
                <w:sz w:val="15"/>
                <w:szCs w:val="15"/>
              </w:rPr>
            </w:pPr>
            <w:r>
              <w:rPr>
                <w:sz w:val="15"/>
                <w:szCs w:val="15"/>
              </w:rPr>
              <w:t>Les références sont :</w:t>
            </w:r>
            <w:r>
              <w:rPr>
                <w:rFonts w:ascii="Cambria Math" w:eastAsia="Cambria Math" w:hAnsi="Cambria Math" w:cs="Cambria Math"/>
                <w:sz w:val="15"/>
                <w:szCs w:val="15"/>
              </w:rPr>
              <w:t>‐</w:t>
            </w:r>
            <w:r>
              <w:rPr>
                <w:sz w:val="15"/>
                <w:szCs w:val="15"/>
              </w:rPr>
              <w:t xml:space="preserve"> les articles L. 321</w:t>
            </w:r>
            <w:r>
              <w:rPr>
                <w:rFonts w:ascii="Cambria Math" w:eastAsia="Cambria Math" w:hAnsi="Cambria Math" w:cs="Cambria Math"/>
                <w:sz w:val="15"/>
                <w:szCs w:val="15"/>
              </w:rPr>
              <w:t>‐</w:t>
            </w:r>
            <w:r>
              <w:rPr>
                <w:sz w:val="15"/>
                <w:szCs w:val="15"/>
              </w:rPr>
              <w:t>7, L. 342</w:t>
            </w:r>
            <w:r>
              <w:rPr>
                <w:rFonts w:ascii="Cambria Math" w:eastAsia="Cambria Math" w:hAnsi="Cambria Math" w:cs="Cambria Math"/>
                <w:sz w:val="15"/>
                <w:szCs w:val="15"/>
              </w:rPr>
              <w:t>‐</w:t>
            </w:r>
            <w:r>
              <w:rPr>
                <w:sz w:val="15"/>
                <w:szCs w:val="15"/>
              </w:rPr>
              <w:t>1 et L. 343</w:t>
            </w:r>
            <w:r>
              <w:rPr>
                <w:rFonts w:ascii="Cambria Math" w:eastAsia="Cambria Math" w:hAnsi="Cambria Math" w:cs="Cambria Math"/>
                <w:sz w:val="15"/>
                <w:szCs w:val="15"/>
              </w:rPr>
              <w:t>‐</w:t>
            </w:r>
            <w:r>
              <w:rPr>
                <w:sz w:val="15"/>
                <w:szCs w:val="15"/>
              </w:rPr>
              <w:t>1 du code de l'énergie ( http://www.legifrance.gouv.fr/rechTexte.do )</w:t>
            </w:r>
            <w:r>
              <w:rPr>
                <w:rFonts w:ascii="Cambria Math" w:eastAsia="Cambria Math" w:hAnsi="Cambria Math" w:cs="Cambria Math"/>
                <w:sz w:val="15"/>
                <w:szCs w:val="15"/>
              </w:rPr>
              <w:t>‐</w:t>
            </w:r>
            <w:r>
              <w:rPr>
                <w:sz w:val="15"/>
                <w:szCs w:val="15"/>
              </w:rPr>
              <w:t xml:space="preserve"> le </w:t>
            </w:r>
            <w:r>
              <w:rPr>
                <w:sz w:val="15"/>
                <w:szCs w:val="15"/>
              </w:rPr>
              <w:br/>
              <w:t>décret 2012</w:t>
            </w:r>
            <w:r>
              <w:rPr>
                <w:rFonts w:ascii="Cambria Math" w:eastAsia="Cambria Math" w:hAnsi="Cambria Math" w:cs="Cambria Math"/>
                <w:sz w:val="15"/>
                <w:szCs w:val="15"/>
              </w:rPr>
              <w:t>‐</w:t>
            </w:r>
            <w:r>
              <w:rPr>
                <w:sz w:val="15"/>
                <w:szCs w:val="15"/>
              </w:rPr>
              <w:t>533 (http://www.legifrance.gouv.fr/initRechTexte.do)</w:t>
            </w:r>
            <w:r>
              <w:rPr>
                <w:sz w:val="15"/>
                <w:szCs w:val="15"/>
              </w:rPr>
              <w:t xml:space="preserve"> La priorité de dispatching assurée par le gestionnaire</w:t>
            </w:r>
          </w:p>
          <w:p w:rsidR="0035701C" w:rsidRDefault="00FB561B">
            <w:pPr>
              <w:spacing w:before="150" w:after="150"/>
              <w:jc w:val="left"/>
              <w:rPr>
                <w:sz w:val="15"/>
                <w:szCs w:val="15"/>
              </w:rPr>
            </w:pPr>
            <w:r>
              <w:rPr>
                <w:sz w:val="15"/>
                <w:szCs w:val="15"/>
              </w:rPr>
              <w:t>=&gt; voir 3C</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 xml:space="preserve">Cette conditionnalité a été vérifiée au niveau de l’accord de partenariat et ne nécessite pas d’évaluation particulière au niveau du programme. </w:t>
            </w: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P5.3.b) Un État membre a adopté un plan d</w:t>
            </w:r>
            <w:r>
              <w:rPr>
                <w:sz w:val="12"/>
              </w:rPr>
              <w:t>'action national en matière d'énergies renouvelables conformément à l'article 4 de la directive 2009/28/CE.</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http://www.developpementdurable.gouv.fr/IMG/pdf/0825_plan_d_action_national_ENRversion_finale.pdf</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 xml:space="preserve">Cette conditionnalité a été vérifiée au niveau de l’accord de partenariat et ne nécessite pas d’évaluation particulière au niveau du programme. </w:t>
            </w:r>
          </w:p>
        </w:tc>
      </w:tr>
      <w:tr w:rsidR="0035701C">
        <w:tc>
          <w:tcPr>
            <w:tcW w:w="1250" w:type="pct"/>
            <w:vMerge w:val="restart"/>
            <w:shd w:val="clear" w:color="auto" w:fill="FFFFFF"/>
            <w:tcMar>
              <w:top w:w="20" w:type="dxa"/>
              <w:bottom w:w="20" w:type="dxa"/>
            </w:tcMar>
            <w:vAlign w:val="center"/>
          </w:tcPr>
          <w:p w:rsidR="0035701C" w:rsidRDefault="00FB561B">
            <w:pPr>
              <w:jc w:val="left"/>
              <w:rPr>
                <w:sz w:val="12"/>
              </w:rPr>
            </w:pPr>
            <w:r>
              <w:rPr>
                <w:sz w:val="12"/>
              </w:rPr>
              <w:t>G1) Lutte contre la discrimination: l'existence de capacités administratives pour la transposition et l'applic</w:t>
            </w:r>
            <w:r>
              <w:rPr>
                <w:sz w:val="12"/>
              </w:rPr>
              <w:t>ation de la législation et de la politique de l'Union en matière de lutte contre la discrimination dans le domaine des Fonds ESI.</w:t>
            </w:r>
          </w:p>
        </w:tc>
        <w:tc>
          <w:tcPr>
            <w:tcW w:w="1250" w:type="pct"/>
            <w:shd w:val="clear" w:color="auto" w:fill="FFFFFF"/>
            <w:tcMar>
              <w:top w:w="20" w:type="dxa"/>
              <w:bottom w:w="20" w:type="dxa"/>
            </w:tcMar>
            <w:vAlign w:val="center"/>
          </w:tcPr>
          <w:p w:rsidR="0035701C" w:rsidRDefault="00FB561B">
            <w:pPr>
              <w:jc w:val="left"/>
              <w:rPr>
                <w:sz w:val="12"/>
              </w:rPr>
            </w:pPr>
            <w:r>
              <w:rPr>
                <w:sz w:val="12"/>
              </w:rPr>
              <w:t>G1.a) Des modalités conformes au cadre institutionnel et juridique des États membres, en vue d'associer les organes chargés de</w:t>
            </w:r>
            <w:r>
              <w:rPr>
                <w:sz w:val="12"/>
              </w:rPr>
              <w:t xml:space="preserve"> promouvoir l'égalité de traitement de toutes les personnes à l'ensemble de la préparation et de l'exécution des programmes, notamment en fournissant des conseils en matière d'égalité dans les activités liées aux Fonds ESI.</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Cette conditionnalité est é</w:t>
            </w:r>
            <w:r>
              <w:rPr>
                <w:sz w:val="12"/>
              </w:rPr>
              <w:t>galement vérifiée au niveau de l'accord de partenariat.</w:t>
            </w:r>
          </w:p>
          <w:p w:rsidR="0035701C" w:rsidRDefault="0035701C">
            <w:pPr>
              <w:jc w:val="left"/>
              <w:rPr>
                <w:sz w:val="12"/>
              </w:rPr>
            </w:pPr>
          </w:p>
          <w:p w:rsidR="0035701C" w:rsidRDefault="00FB561B">
            <w:pPr>
              <w:jc w:val="left"/>
              <w:rPr>
                <w:sz w:val="12"/>
              </w:rPr>
            </w:pPr>
            <w:r>
              <w:rPr>
                <w:sz w:val="12"/>
              </w:rPr>
              <w:t>Le programme national d'assistance technique 2014-2020 prévoit de financer les formations sur ces différentes thématiques. La diffusion d'informations peut également être prise en charge dans le cadr</w:t>
            </w:r>
            <w:r>
              <w:rPr>
                <w:sz w:val="12"/>
              </w:rPr>
              <w:t>e de ce programme.</w:t>
            </w:r>
          </w:p>
          <w:p w:rsidR="0035701C" w:rsidRDefault="0035701C">
            <w:pPr>
              <w:jc w:val="left"/>
              <w:rPr>
                <w:sz w:val="12"/>
              </w:rPr>
            </w:pPr>
          </w:p>
          <w:p w:rsidR="0035701C" w:rsidRDefault="0035701C">
            <w:pPr>
              <w:jc w:val="left"/>
              <w:rPr>
                <w:sz w:val="12"/>
              </w:rPr>
            </w:pPr>
          </w:p>
          <w:p w:rsidR="0035701C" w:rsidRDefault="00FB561B">
            <w:pPr>
              <w:jc w:val="left"/>
              <w:rPr>
                <w:sz w:val="12"/>
              </w:rPr>
            </w:pPr>
            <w:r>
              <w:rPr>
                <w:sz w:val="12"/>
              </w:rPr>
              <w:t>Les services de la CTC en charge de la thématique associent et soutiennent l'action des différents partenaires impliqués dans la lutte contre les discriminations. Ces organismes, notamment la Délégation Régionale chargée des droits des</w:t>
            </w:r>
            <w:r>
              <w:rPr>
                <w:sz w:val="12"/>
              </w:rPr>
              <w:t xml:space="preserve"> femmes, ont été associés à la préparation des programmes en région et seront associés aux comités de suivi.</w:t>
            </w:r>
          </w:p>
          <w:p w:rsidR="0035701C" w:rsidRDefault="0035701C">
            <w:pPr>
              <w:jc w:val="left"/>
              <w:rPr>
                <w:sz w:val="12"/>
              </w:rPr>
            </w:pPr>
          </w:p>
          <w:p w:rsidR="0035701C" w:rsidRDefault="00FB561B">
            <w:pPr>
              <w:jc w:val="left"/>
              <w:rPr>
                <w:sz w:val="12"/>
              </w:rPr>
            </w:pPr>
            <w:r>
              <w:rPr>
                <w:sz w:val="12"/>
              </w:rPr>
              <w:t>L’Etat via son administration déconcentrée (DREFP : direction régionale de l’emploi et de la formation professionnelle, Direccte : direction régio</w:t>
            </w:r>
            <w:r>
              <w:rPr>
                <w:sz w:val="12"/>
              </w:rPr>
              <w:t>nale des entreprises, de la concurrence, de la consommation, du travail et de l’emploi…) agit pour lutter contre les discriminations notamment au niveau des organismes de formations ou des entreprises du territoire.</w:t>
            </w:r>
          </w:p>
          <w:p w:rsidR="0035701C" w:rsidRDefault="0035701C">
            <w:pPr>
              <w:jc w:val="left"/>
              <w:rPr>
                <w:sz w:val="12"/>
              </w:rPr>
            </w:pPr>
          </w:p>
          <w:p w:rsidR="0035701C" w:rsidRDefault="0035701C">
            <w:pPr>
              <w:jc w:val="left"/>
              <w:rPr>
                <w:sz w:val="12"/>
              </w:rPr>
            </w:pP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 xml:space="preserve">G1.b) Des modalités de formation du </w:t>
            </w:r>
            <w:r>
              <w:rPr>
                <w:sz w:val="12"/>
              </w:rPr>
              <w:t>personnel des autorités participant à la gestion et au contrôle des Fonds ESI dans le domaine de la législation et de la politique de l'Union en matière de lutte contre la discrimination.</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http://travail-emploi.gouv.fr/informations-pratiques,89/fiches-p</w:t>
            </w:r>
            <w:r>
              <w:rPr>
                <w:sz w:val="15"/>
                <w:szCs w:val="15"/>
              </w:rPr>
              <w:t>ratiques,91/egalite-professionnelle,117/la-protection-contre-les,12789.html</w:t>
            </w:r>
            <w:r>
              <w:rPr>
                <w:sz w:val="15"/>
                <w:szCs w:val="15"/>
              </w:rPr>
              <w:br/>
              <w:t> </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 xml:space="preserve">Cette conditionnalité a été vérifiée au niveau de l’accord de partenariat et ne nécessite pas d’évaluation particulière au niveau du programme. </w:t>
            </w:r>
          </w:p>
          <w:p w:rsidR="0035701C" w:rsidRDefault="0035701C">
            <w:pPr>
              <w:jc w:val="left"/>
              <w:rPr>
                <w:sz w:val="12"/>
              </w:rPr>
            </w:pPr>
          </w:p>
        </w:tc>
      </w:tr>
      <w:tr w:rsidR="0035701C">
        <w:tc>
          <w:tcPr>
            <w:tcW w:w="1250" w:type="pct"/>
            <w:vMerge w:val="restart"/>
            <w:shd w:val="clear" w:color="auto" w:fill="FFFFFF"/>
            <w:tcMar>
              <w:top w:w="20" w:type="dxa"/>
              <w:bottom w:w="20" w:type="dxa"/>
            </w:tcMar>
            <w:vAlign w:val="center"/>
          </w:tcPr>
          <w:p w:rsidR="0035701C" w:rsidRDefault="00FB561B">
            <w:pPr>
              <w:jc w:val="left"/>
              <w:rPr>
                <w:sz w:val="12"/>
              </w:rPr>
            </w:pPr>
            <w:r>
              <w:rPr>
                <w:sz w:val="12"/>
              </w:rPr>
              <w:t xml:space="preserve">G2) Égalité entre les hommes </w:t>
            </w:r>
            <w:r>
              <w:rPr>
                <w:sz w:val="12"/>
              </w:rPr>
              <w:t>et les femmes: l'existence de capacités administratives pour la transposition et l'application de la législation et de la politique de l'Union en matière d'égalité entre les hommes et les femmes dans le domaine des Fonds ESI.</w:t>
            </w:r>
          </w:p>
        </w:tc>
        <w:tc>
          <w:tcPr>
            <w:tcW w:w="1250" w:type="pct"/>
            <w:shd w:val="clear" w:color="auto" w:fill="FFFFFF"/>
            <w:tcMar>
              <w:top w:w="20" w:type="dxa"/>
              <w:bottom w:w="20" w:type="dxa"/>
            </w:tcMar>
            <w:vAlign w:val="center"/>
          </w:tcPr>
          <w:p w:rsidR="0035701C" w:rsidRDefault="00FB561B">
            <w:pPr>
              <w:jc w:val="left"/>
              <w:rPr>
                <w:sz w:val="12"/>
              </w:rPr>
            </w:pPr>
            <w:r>
              <w:rPr>
                <w:sz w:val="12"/>
              </w:rPr>
              <w:t xml:space="preserve">G2.a) Des modalités conformes </w:t>
            </w:r>
            <w:r>
              <w:rPr>
                <w:sz w:val="12"/>
              </w:rPr>
              <w:t>au cadre institutionnel et juridique des États membres, en vue d'associer les organes chargés de promouvoir l'égalité entre les hommes et les femmes à l'ensemble de la préparation et de l'exécution des programmes, notamment en fournissant des conseils en m</w:t>
            </w:r>
            <w:r>
              <w:rPr>
                <w:sz w:val="12"/>
              </w:rPr>
              <w:t>atière d'égalité entre les hommes et les femmes dans les activités liées aux Fonds ESI.</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http://femmes.gouv.fr/wp-content/upload/2012/11/CI-DDF-RELEVE-V7.pdf</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Le programme national d'assistance technique interfonds 2014-2020 prévoit de financer des form</w:t>
            </w:r>
            <w:r>
              <w:rPr>
                <w:sz w:val="12"/>
              </w:rPr>
              <w:t>ations sur différentes thématiques. La diffusion d'informations peut également être prise en charge dans le cadre de ce programme.</w:t>
            </w:r>
          </w:p>
          <w:p w:rsidR="0035701C" w:rsidRDefault="0035701C">
            <w:pPr>
              <w:jc w:val="left"/>
              <w:rPr>
                <w:sz w:val="12"/>
              </w:rPr>
            </w:pPr>
          </w:p>
          <w:p w:rsidR="0035701C" w:rsidRDefault="00FB561B">
            <w:pPr>
              <w:jc w:val="left"/>
              <w:rPr>
                <w:sz w:val="12"/>
              </w:rPr>
            </w:pPr>
            <w:r>
              <w:rPr>
                <w:sz w:val="12"/>
              </w:rPr>
              <w:t>Les organismes chargés de promouvoir l'égalité hommes-femmes ont été associés à la préparation des programmes en région et s</w:t>
            </w:r>
            <w:r>
              <w:rPr>
                <w:sz w:val="12"/>
              </w:rPr>
              <w:t>eront associés au comité de suivi.</w:t>
            </w:r>
          </w:p>
          <w:p w:rsidR="0035701C" w:rsidRDefault="0035701C">
            <w:pPr>
              <w:jc w:val="left"/>
              <w:rPr>
                <w:sz w:val="12"/>
              </w:rPr>
            </w:pPr>
          </w:p>
          <w:p w:rsidR="0035701C" w:rsidRDefault="00FB561B">
            <w:pPr>
              <w:jc w:val="left"/>
              <w:rPr>
                <w:sz w:val="12"/>
              </w:rPr>
            </w:pPr>
            <w:r>
              <w:rPr>
                <w:sz w:val="12"/>
              </w:rPr>
              <w:t>L’Etat via son administration déconcentrée (DREFP : direction régionale de l’emploi et de la formation professionnelle, Direccte : direction régionale des entreprises, de la concurrence, de la consommation, du travail et</w:t>
            </w:r>
            <w:r>
              <w:rPr>
                <w:sz w:val="12"/>
              </w:rPr>
              <w:t xml:space="preserve"> de l’emploi…) agit pour lutter contre les discriminations notamment au niveau des organismes de formations ou des entreprises du territoire.</w:t>
            </w: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 xml:space="preserve">G2.b) Des modalités de formation du personnel des autorités participant à la gestion et au contrôle des Fonds </w:t>
            </w:r>
            <w:r>
              <w:rPr>
                <w:sz w:val="12"/>
              </w:rPr>
              <w:t>ESI dans le domaine de la législation et de la politique de l'Union en matière d'égalité entre les hommes et les femmes et d'intégration de la dimension hommes-femmes.</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Cette conditionnalité a été vérifiée au niveau de l’accord de partenariat et ne néc</w:t>
            </w:r>
            <w:r>
              <w:rPr>
                <w:sz w:val="12"/>
              </w:rPr>
              <w:t>essite pas d’évaluation particulière au niveau du programme.</w:t>
            </w:r>
          </w:p>
        </w:tc>
      </w:tr>
      <w:tr w:rsidR="0035701C">
        <w:tc>
          <w:tcPr>
            <w:tcW w:w="1250" w:type="pct"/>
            <w:vMerge w:val="restart"/>
            <w:shd w:val="clear" w:color="auto" w:fill="FFFFFF"/>
            <w:tcMar>
              <w:top w:w="20" w:type="dxa"/>
              <w:bottom w:w="20" w:type="dxa"/>
            </w:tcMar>
            <w:vAlign w:val="center"/>
          </w:tcPr>
          <w:p w:rsidR="0035701C" w:rsidRDefault="00FB561B">
            <w:pPr>
              <w:jc w:val="left"/>
              <w:rPr>
                <w:sz w:val="12"/>
              </w:rPr>
            </w:pPr>
            <w:r>
              <w:rPr>
                <w:sz w:val="12"/>
              </w:rPr>
              <w:t>G3) Handicap: l'existence de capacités administratives pour la transposition et l'application de la convention des Nations unies sur les droits des personnes handicapées (CNUDPH) dans le domaine</w:t>
            </w:r>
            <w:r>
              <w:rPr>
                <w:sz w:val="12"/>
              </w:rPr>
              <w:t xml:space="preserve"> des Fonds ESI conformément à la décision 2010/48/CE du Conseil</w:t>
            </w:r>
          </w:p>
        </w:tc>
        <w:tc>
          <w:tcPr>
            <w:tcW w:w="1250" w:type="pct"/>
            <w:shd w:val="clear" w:color="auto" w:fill="FFFFFF"/>
            <w:tcMar>
              <w:top w:w="20" w:type="dxa"/>
              <w:bottom w:w="20" w:type="dxa"/>
            </w:tcMar>
            <w:vAlign w:val="center"/>
          </w:tcPr>
          <w:p w:rsidR="0035701C" w:rsidRDefault="00FB561B">
            <w:pPr>
              <w:jc w:val="left"/>
              <w:rPr>
                <w:sz w:val="12"/>
              </w:rPr>
            </w:pPr>
            <w:r>
              <w:rPr>
                <w:sz w:val="12"/>
              </w:rPr>
              <w:t xml:space="preserve">G3.a) Des modalités conformes au cadre institutionnel et juridique des États membres, en vue de consulter et d'associer les organes chargés de protéger les droits des personnes handicapées ou </w:t>
            </w:r>
            <w:r>
              <w:rPr>
                <w:sz w:val="12"/>
              </w:rPr>
              <w:t>les organisations représentatives des personnes handicapées et les autres parties concernées à l'ensemble de la préparation et de l'exécution des programmes.</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 xml:space="preserve">Loi n°2005-102 du 11/2/2005  pour l’égalité des droits et des chances, la participation et la </w:t>
            </w:r>
            <w:r>
              <w:rPr>
                <w:sz w:val="15"/>
                <w:szCs w:val="15"/>
              </w:rPr>
              <w:t>citoyenneté des personnes handicapées :</w:t>
            </w:r>
          </w:p>
          <w:p w:rsidR="0035701C" w:rsidRDefault="00FB561B">
            <w:pPr>
              <w:spacing w:before="150" w:after="150"/>
              <w:jc w:val="left"/>
              <w:rPr>
                <w:sz w:val="15"/>
                <w:szCs w:val="15"/>
              </w:rPr>
            </w:pPr>
            <w:r>
              <w:rPr>
                <w:sz w:val="15"/>
                <w:szCs w:val="15"/>
              </w:rPr>
              <w:t>http://www.legifrance.gouv.fr/affichTexte.do?cidTexte=JORFTEXT000000809647&amp;dateTexte=&amp;categorieLien=id</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La CTC développe des dispositifs de formation professionnelle aux personnes porteuses d'un handicap.</w:t>
            </w:r>
          </w:p>
          <w:p w:rsidR="0035701C" w:rsidRDefault="0035701C">
            <w:pPr>
              <w:jc w:val="left"/>
              <w:rPr>
                <w:sz w:val="12"/>
              </w:rPr>
            </w:pPr>
          </w:p>
          <w:p w:rsidR="0035701C" w:rsidRDefault="00FB561B">
            <w:pPr>
              <w:jc w:val="left"/>
              <w:rPr>
                <w:sz w:val="12"/>
              </w:rPr>
            </w:pPr>
            <w:r>
              <w:rPr>
                <w:sz w:val="12"/>
              </w:rPr>
              <w:t xml:space="preserve">Le comité </w:t>
            </w:r>
            <w:r>
              <w:rPr>
                <w:sz w:val="12"/>
              </w:rPr>
              <w:t>de suivi plurifonds est composé d'associations qui participent activement à ces thématiques.</w:t>
            </w: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 xml:space="preserve">G3.b) Des modalités de formation du personnel des autorités participant à la gestion et au contrôle des Fonds ESI dans le domaine de la législation et de la </w:t>
            </w:r>
            <w:r>
              <w:rPr>
                <w:sz w:val="12"/>
              </w:rPr>
              <w:t>politique de l'Union et des États membres relative aux personnes handicapées, y compris en matière d'accessibilité, et de l'application pratique de la CNUDPH, telle que mise en œuvre dans la législation de l'Union et des États membres le cas échéant.</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Cette conditionnalité a été vérifiée au niveau de l’accord de partenariat et ne nécessite pas d’évaluation particulière au niveau du programme.</w:t>
            </w: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 xml:space="preserve">G3.c) Des modalités destinées à assurer le suivi de la mise en œuvre de l'article 9 de la CNUDPH en relation </w:t>
            </w:r>
            <w:r>
              <w:rPr>
                <w:sz w:val="12"/>
              </w:rPr>
              <w:t>avec les Fonds ESI dans l'ensemble de la préparation et de la mise en œuvre des programmes.</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Loi n° 2005-102 du 11 février 2005 pour l'égalité des droits et des chances, la participation et la citoyenneté des personnes handicapées (Version consolidée au</w:t>
            </w:r>
            <w:r>
              <w:rPr>
                <w:sz w:val="15"/>
                <w:szCs w:val="15"/>
              </w:rPr>
              <w:t xml:space="preserve"> 15 avril 2015) :</w:t>
            </w:r>
          </w:p>
          <w:p w:rsidR="0035701C" w:rsidRDefault="00FB561B">
            <w:pPr>
              <w:spacing w:before="150" w:after="150"/>
              <w:jc w:val="left"/>
              <w:rPr>
                <w:sz w:val="15"/>
                <w:szCs w:val="15"/>
              </w:rPr>
            </w:pPr>
            <w:r>
              <w:rPr>
                <w:sz w:val="15"/>
                <w:szCs w:val="15"/>
              </w:rPr>
              <w:t>http://www.legifrance.gouv.fr/affichTexte.do?cidTexte=JORFTEXT000000809647&amp;dateTexte=&amp;categorieLien=id</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Cette conditionnalité a été vérifiée au niveau de l’accord de partenariat et ne nécessite pas d’évaluation particulière au niveau du p</w:t>
            </w:r>
            <w:r>
              <w:rPr>
                <w:sz w:val="12"/>
              </w:rPr>
              <w:t xml:space="preserve">rogramme. </w:t>
            </w:r>
          </w:p>
        </w:tc>
      </w:tr>
      <w:tr w:rsidR="0035701C">
        <w:tc>
          <w:tcPr>
            <w:tcW w:w="1250" w:type="pct"/>
            <w:vMerge w:val="restart"/>
            <w:shd w:val="clear" w:color="auto" w:fill="FFFFFF"/>
            <w:tcMar>
              <w:top w:w="20" w:type="dxa"/>
              <w:bottom w:w="20" w:type="dxa"/>
            </w:tcMar>
            <w:vAlign w:val="center"/>
          </w:tcPr>
          <w:p w:rsidR="0035701C" w:rsidRDefault="00FB561B">
            <w:pPr>
              <w:jc w:val="left"/>
              <w:rPr>
                <w:sz w:val="12"/>
              </w:rPr>
            </w:pPr>
            <w:r>
              <w:rPr>
                <w:sz w:val="12"/>
              </w:rPr>
              <w:t>G4) Marchés publics: l'existence de modalités pour l'application effective de la législation de l'Union en matière de marchés publics dans le domaine des Fonds ESI.</w:t>
            </w:r>
          </w:p>
        </w:tc>
        <w:tc>
          <w:tcPr>
            <w:tcW w:w="1250" w:type="pct"/>
            <w:shd w:val="clear" w:color="auto" w:fill="FFFFFF"/>
            <w:tcMar>
              <w:top w:w="20" w:type="dxa"/>
              <w:bottom w:w="20" w:type="dxa"/>
            </w:tcMar>
            <w:vAlign w:val="center"/>
          </w:tcPr>
          <w:p w:rsidR="0035701C" w:rsidRDefault="00FB561B">
            <w:pPr>
              <w:jc w:val="left"/>
              <w:rPr>
                <w:sz w:val="12"/>
              </w:rPr>
            </w:pPr>
            <w:r>
              <w:rPr>
                <w:sz w:val="12"/>
              </w:rPr>
              <w:t xml:space="preserve">G4.a) Des modalités pour l'application effective des règles de l'Union en </w:t>
            </w:r>
            <w:r>
              <w:rPr>
                <w:sz w:val="12"/>
              </w:rPr>
              <w:t>matière de marchés publics au moyen de mécanismes appropriés.</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Code des marchés publics : http://www.legifrance.gouv.fr/affichTexte.do?cidTexte=JORFTEXT000000629820</w:t>
            </w:r>
          </w:p>
          <w:p w:rsidR="0035701C" w:rsidRDefault="00FB561B">
            <w:pPr>
              <w:spacing w:before="150" w:after="150"/>
              <w:jc w:val="left"/>
              <w:rPr>
                <w:sz w:val="15"/>
                <w:szCs w:val="15"/>
              </w:rPr>
            </w:pPr>
            <w:r>
              <w:rPr>
                <w:sz w:val="15"/>
                <w:szCs w:val="15"/>
              </w:rPr>
              <w:t>http://www.legifrance.gouv.fr/affichTexte.do?cidTexte=JORFTEXT000000264576&amp;dateTexte=&amp;categorieLien=id</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 xml:space="preserve">Cette conditionnalité a été vérifiée au niveau de l’accord de partenariat et ne nécessite pas d’évaluation particulière au niveau du programme. </w:t>
            </w: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G4.b)</w:t>
            </w:r>
            <w:r>
              <w:rPr>
                <w:sz w:val="12"/>
              </w:rPr>
              <w:t xml:space="preserve"> Des modalités assurant des procédures d'attribution de marché transparentes.</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http://www.economie.gouv.fr/daj/marches-publics</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 xml:space="preserve">Cette conditionnalité a été vérifiée au niveau de l’accord de partenariat et ne nécessite pas d’évaluation particulière au niveau du programme. </w:t>
            </w: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G4.c) Des modalités de formation du personnel intervenant dans la mise en œuvre des Fonds ESI et de diffusion</w:t>
            </w:r>
            <w:r>
              <w:rPr>
                <w:sz w:val="12"/>
              </w:rPr>
              <w:t xml:space="preserve"> d'informations à celui-ci.</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http://www.legifrance.gouv.fr/affichTexte.do?cidTexte=JORFTEXT000025364925</w:t>
            </w:r>
            <w:r>
              <w:rPr>
                <w:sz w:val="15"/>
                <w:szCs w:val="15"/>
              </w:rPr>
              <w:br/>
              <w:t>http://www.economie.gouv.fr/daj/marches-publics</w:t>
            </w:r>
            <w:r>
              <w:rPr>
                <w:sz w:val="15"/>
                <w:szCs w:val="15"/>
              </w:rPr>
              <w:br/>
              <w:t xml:space="preserve">Le programme national d’assistance technique 2014-2020 interfonds prévoit de financer des formations </w:t>
            </w:r>
            <w:r>
              <w:rPr>
                <w:sz w:val="15"/>
                <w:szCs w:val="15"/>
              </w:rPr>
              <w:t>sur différents thématiques dont les  marchés publics. La diffusion d'informations peut également être prise en charge dans le cadre de ce programme</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Ce critère est vérifié dans l'accord de partenariat</w:t>
            </w: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G4.d) Des modalités permettant de garantir la capacit</w:t>
            </w:r>
            <w:r>
              <w:rPr>
                <w:sz w:val="12"/>
              </w:rPr>
              <w:t>é administrative nécessaire pour la transposition et l'application des règles de l'Union en matière de marchés publics.</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http://www.economie.gouv.fr/daj/marches-publics</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 xml:space="preserve">Cette conditionnalité a été vérifiée au niveau de l’accord de partenariat et ne nécessite pas d’évaluation particulière au niveau du programme. </w:t>
            </w:r>
          </w:p>
        </w:tc>
      </w:tr>
      <w:tr w:rsidR="0035701C">
        <w:tc>
          <w:tcPr>
            <w:tcW w:w="1250" w:type="pct"/>
            <w:vMerge w:val="restart"/>
            <w:shd w:val="clear" w:color="auto" w:fill="FFFFFF"/>
            <w:tcMar>
              <w:top w:w="20" w:type="dxa"/>
              <w:bottom w:w="20" w:type="dxa"/>
            </w:tcMar>
            <w:vAlign w:val="center"/>
          </w:tcPr>
          <w:p w:rsidR="0035701C" w:rsidRDefault="00FB561B">
            <w:pPr>
              <w:jc w:val="left"/>
              <w:rPr>
                <w:sz w:val="12"/>
              </w:rPr>
            </w:pPr>
            <w:r>
              <w:rPr>
                <w:sz w:val="12"/>
              </w:rPr>
              <w:t>G5) Aides d'État: l'existence de modalités pour l'application effective de la législation de l'Union en matièr</w:t>
            </w:r>
            <w:r>
              <w:rPr>
                <w:sz w:val="12"/>
              </w:rPr>
              <w:t>e d'aides d'État dans le domaine des Fonds ESI.</w:t>
            </w:r>
          </w:p>
        </w:tc>
        <w:tc>
          <w:tcPr>
            <w:tcW w:w="1250" w:type="pct"/>
            <w:shd w:val="clear" w:color="auto" w:fill="FFFFFF"/>
            <w:tcMar>
              <w:top w:w="20" w:type="dxa"/>
              <w:bottom w:w="20" w:type="dxa"/>
            </w:tcMar>
            <w:vAlign w:val="center"/>
          </w:tcPr>
          <w:p w:rsidR="0035701C" w:rsidRDefault="00FB561B">
            <w:pPr>
              <w:jc w:val="left"/>
              <w:rPr>
                <w:sz w:val="12"/>
              </w:rPr>
            </w:pPr>
            <w:r>
              <w:rPr>
                <w:sz w:val="12"/>
              </w:rPr>
              <w:t>G5.a) Des modalités pour l'application effective des règles de l'Union en matière d'aides d'État.</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Circulaire du  26 janvier 2006 sur l’application des aides d’Etat. :</w:t>
            </w:r>
          </w:p>
          <w:p w:rsidR="0035701C" w:rsidRDefault="00FB561B">
            <w:pPr>
              <w:spacing w:before="150" w:after="150"/>
              <w:jc w:val="left"/>
              <w:rPr>
                <w:sz w:val="15"/>
                <w:szCs w:val="15"/>
              </w:rPr>
            </w:pPr>
            <w:r>
              <w:rPr>
                <w:sz w:val="15"/>
                <w:szCs w:val="15"/>
              </w:rPr>
              <w:t>http://www.legifrance.gouv.fr/affichT</w:t>
            </w:r>
            <w:r>
              <w:rPr>
                <w:sz w:val="15"/>
                <w:szCs w:val="15"/>
              </w:rPr>
              <w:t>exte.do?cidTexte=JORFTEXT000000454790&amp;dateTexte=&amp;categorieLien=id</w:t>
            </w:r>
          </w:p>
          <w:p w:rsidR="0035701C" w:rsidRDefault="00FB561B">
            <w:pPr>
              <w:spacing w:before="150" w:after="150"/>
              <w:jc w:val="left"/>
              <w:rPr>
                <w:sz w:val="15"/>
                <w:szCs w:val="15"/>
              </w:rPr>
            </w:pPr>
            <w:r>
              <w:rPr>
                <w:sz w:val="15"/>
                <w:szCs w:val="15"/>
              </w:rPr>
              <w:t>http://circulaire.legifrance.gouv.fr/pdf/2012/01/cir_34455.pdf</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Cette conditionnalité a été vérifiée au niveau de l’accord de partenariat et ne nécessite pas d’évaluation particulière au niv</w:t>
            </w:r>
            <w:r>
              <w:rPr>
                <w:sz w:val="12"/>
              </w:rPr>
              <w:t xml:space="preserve">eau du programme. </w:t>
            </w:r>
          </w:p>
          <w:p w:rsidR="0035701C" w:rsidRDefault="0035701C">
            <w:pPr>
              <w:jc w:val="left"/>
              <w:rPr>
                <w:sz w:val="12"/>
              </w:rPr>
            </w:pPr>
          </w:p>
          <w:p w:rsidR="0035701C" w:rsidRDefault="00FB561B">
            <w:pPr>
              <w:jc w:val="left"/>
              <w:rPr>
                <w:sz w:val="12"/>
              </w:rPr>
            </w:pPr>
            <w:r>
              <w:rPr>
                <w:sz w:val="12"/>
              </w:rPr>
              <w:t xml:space="preserve">circulaire du Premier Ministre du 26 janvier 2006 qui rappelle les règles générales applicables en matière d’aides d’Etat notamment:  </w:t>
            </w:r>
          </w:p>
          <w:p w:rsidR="0035701C" w:rsidRDefault="0035701C">
            <w:pPr>
              <w:jc w:val="left"/>
              <w:rPr>
                <w:sz w:val="12"/>
              </w:rPr>
            </w:pPr>
          </w:p>
          <w:p w:rsidR="0035701C" w:rsidRDefault="00FB561B">
            <w:pPr>
              <w:jc w:val="left"/>
              <w:rPr>
                <w:sz w:val="12"/>
              </w:rPr>
            </w:pPr>
            <w:r>
              <w:rPr>
                <w:sz w:val="12"/>
              </w:rPr>
              <w:t xml:space="preserve">‐ Les procédures de notification et d’information des régimes d’aide et des aides individuelles à la DG COMP (§3.3) </w:t>
            </w:r>
          </w:p>
          <w:p w:rsidR="0035701C" w:rsidRDefault="00FB561B">
            <w:pPr>
              <w:jc w:val="left"/>
              <w:rPr>
                <w:sz w:val="12"/>
              </w:rPr>
            </w:pPr>
            <w:r>
              <w:rPr>
                <w:sz w:val="12"/>
              </w:rPr>
              <w:t xml:space="preserve">‐ Les règles de cumul (§2.2) </w:t>
            </w:r>
          </w:p>
          <w:p w:rsidR="0035701C" w:rsidRDefault="00FB561B">
            <w:pPr>
              <w:jc w:val="left"/>
              <w:rPr>
                <w:sz w:val="12"/>
              </w:rPr>
            </w:pPr>
            <w:r>
              <w:rPr>
                <w:sz w:val="12"/>
              </w:rPr>
              <w:t>‐ Les règles relatives à la récupération des aides illégales (§3.6) =&gt; responsabilité des Etats membres et de</w:t>
            </w:r>
            <w:r>
              <w:rPr>
                <w:sz w:val="12"/>
              </w:rPr>
              <w:t xml:space="preserve">s collectivités dans les procédures de récupération, conditions de dépôt de plainte… </w:t>
            </w:r>
          </w:p>
          <w:p w:rsidR="0035701C" w:rsidRDefault="0035701C">
            <w:pPr>
              <w:jc w:val="left"/>
              <w:rPr>
                <w:sz w:val="12"/>
              </w:rPr>
            </w:pPr>
          </w:p>
          <w:p w:rsidR="0035701C" w:rsidRDefault="00FB561B">
            <w:pPr>
              <w:jc w:val="left"/>
              <w:rPr>
                <w:sz w:val="12"/>
              </w:rPr>
            </w:pPr>
            <w:r>
              <w:rPr>
                <w:sz w:val="12"/>
              </w:rPr>
              <w:t xml:space="preserve">2/  circulaire  du  Premier  Ministre  du  5  janvier  2012  sur  les  dispositifs d’ingénierie financière qui récapitule les règles relatives aux aides d’Etat et </w:t>
            </w:r>
          </w:p>
          <w:p w:rsidR="0035701C" w:rsidRDefault="00FB561B">
            <w:pPr>
              <w:jc w:val="left"/>
              <w:rPr>
                <w:sz w:val="12"/>
              </w:rPr>
            </w:pPr>
            <w:r>
              <w:rPr>
                <w:sz w:val="12"/>
              </w:rPr>
              <w:t>aux f</w:t>
            </w:r>
            <w:r>
              <w:rPr>
                <w:sz w:val="12"/>
              </w:rPr>
              <w:t xml:space="preserve">onds structurels.  </w:t>
            </w:r>
          </w:p>
          <w:p w:rsidR="0035701C" w:rsidRDefault="00FB561B">
            <w:pPr>
              <w:jc w:val="left"/>
              <w:rPr>
                <w:sz w:val="12"/>
              </w:rPr>
            </w:pPr>
            <w:r>
              <w:rPr>
                <w:sz w:val="12"/>
              </w:rPr>
              <w:t xml:space="preserve">  </w:t>
            </w:r>
          </w:p>
          <w:p w:rsidR="0035701C" w:rsidRDefault="00FB561B">
            <w:pPr>
              <w:jc w:val="left"/>
              <w:rPr>
                <w:sz w:val="12"/>
              </w:rPr>
            </w:pPr>
            <w:r>
              <w:rPr>
                <w:sz w:val="12"/>
              </w:rPr>
              <w:t>3/ Les régimes que la France notifie ou informe à la Commission européenne ont pour objectif de pouvoir être utilisés librement par les  collectivités sans qu’elles aient à notifier ou informer à la Commission à  chaque fois qu’elles</w:t>
            </w:r>
            <w:r>
              <w:rPr>
                <w:sz w:val="12"/>
              </w:rPr>
              <w:t xml:space="preserve"> octroient une aide à une entreprise.  </w:t>
            </w:r>
          </w:p>
          <w:p w:rsidR="0035701C" w:rsidRDefault="00FB561B">
            <w:pPr>
              <w:jc w:val="left"/>
              <w:rPr>
                <w:sz w:val="12"/>
              </w:rPr>
            </w:pPr>
            <w:r>
              <w:rPr>
                <w:sz w:val="12"/>
              </w:rPr>
              <w:t>Les circulaires et décrets permettent aux collectivités et autorités de gestion qui  octroient  les  aides  de  connaitre  l’ensemble  des règles  nationales  et communautaires (régimes d’aides) applicables en matièr</w:t>
            </w:r>
            <w:r>
              <w:rPr>
                <w:sz w:val="12"/>
              </w:rPr>
              <w:t xml:space="preserve">e d’aide d’Etat. Ces textes  administratifs s’imposent  à  l’ensemble  des  organismes  publics  qui octroient des aides aux entreprises </w:t>
            </w:r>
          </w:p>
          <w:p w:rsidR="0035701C" w:rsidRDefault="00FB561B">
            <w:pPr>
              <w:jc w:val="left"/>
              <w:rPr>
                <w:sz w:val="12"/>
              </w:rPr>
            </w:pPr>
            <w:r>
              <w:rPr>
                <w:sz w:val="12"/>
              </w:rPr>
              <w:t xml:space="preserve">  </w:t>
            </w:r>
          </w:p>
          <w:p w:rsidR="0035701C" w:rsidRDefault="00FB561B">
            <w:pPr>
              <w:jc w:val="left"/>
              <w:rPr>
                <w:sz w:val="12"/>
              </w:rPr>
            </w:pPr>
            <w:r>
              <w:rPr>
                <w:sz w:val="12"/>
              </w:rPr>
              <w:t>4/ S’agissant du règlement de minimis, il n’a pas été mis en place de registre central  puisqu’il  s’agit  simpleme</w:t>
            </w:r>
            <w:r>
              <w:rPr>
                <w:sz w:val="12"/>
              </w:rPr>
              <w:t xml:space="preserve">nt  d’une  option  offerte  par  le  règlement n°1998/2008. Il existe environ 37.000 autorités publiques en France pouvant octroyer des aides d’Etat. Il serait donc très difficile de mettre en place un tel registre.  De plus, comme il ne s’agit pas d’aide </w:t>
            </w:r>
            <w:r>
              <w:rPr>
                <w:sz w:val="12"/>
              </w:rPr>
              <w:t>d’Etat à proprement parler (les aides de minimis ne remplissent pas l’ensemble des critères de l’article 107§1 du Traité sur le Fonctionnement de l’Union Européenne). Par conséquent, la Commission européenne n’est pas compétente pour juger de l’opportunité</w:t>
            </w:r>
            <w:r>
              <w:rPr>
                <w:sz w:val="12"/>
              </w:rPr>
              <w:t xml:space="preserve"> de l’utilisation des fonds publics qui ne constituent pas des aides d’Etat. </w:t>
            </w:r>
          </w:p>
          <w:p w:rsidR="0035701C" w:rsidRDefault="0035701C">
            <w:pPr>
              <w:jc w:val="left"/>
              <w:rPr>
                <w:sz w:val="12"/>
              </w:rPr>
            </w:pP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G5.b) Des modalités de formation du personnel intervenant dans la mise en œuvre des Fonds ESI et de diffusion d'informations à celui-ci.</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 xml:space="preserve">Cette conditionnalité a été vérifiée au niveau de l’accord de partenariat et ne nécessite pas d’évaluation particulière au niveau du programme. </w:t>
            </w:r>
          </w:p>
          <w:p w:rsidR="0035701C" w:rsidRDefault="0035701C">
            <w:pPr>
              <w:jc w:val="left"/>
              <w:rPr>
                <w:sz w:val="12"/>
              </w:rPr>
            </w:pPr>
          </w:p>
          <w:p w:rsidR="0035701C" w:rsidRDefault="00FB561B">
            <w:pPr>
              <w:jc w:val="left"/>
              <w:rPr>
                <w:sz w:val="12"/>
              </w:rPr>
            </w:pPr>
            <w:r>
              <w:rPr>
                <w:sz w:val="12"/>
              </w:rPr>
              <w:t>Le programme national d'assistance technique 2014-2020 prévoit de financer des formations sur différentes thém</w:t>
            </w:r>
            <w:r>
              <w:rPr>
                <w:sz w:val="12"/>
              </w:rPr>
              <w:t>atiques dont les aides d'Etat.</w:t>
            </w:r>
          </w:p>
          <w:p w:rsidR="0035701C" w:rsidRDefault="0035701C">
            <w:pPr>
              <w:jc w:val="left"/>
              <w:rPr>
                <w:sz w:val="12"/>
              </w:rPr>
            </w:pPr>
          </w:p>
          <w:p w:rsidR="0035701C" w:rsidRDefault="00FB561B">
            <w:pPr>
              <w:jc w:val="left"/>
              <w:rPr>
                <w:sz w:val="12"/>
              </w:rPr>
            </w:pPr>
            <w:r>
              <w:rPr>
                <w:sz w:val="12"/>
              </w:rPr>
              <w:t>Les équipes en charge de la mise en œuvre de la programmation suivront les formations mises en place par l’Etat. Des sessions de formations seront également prévues en région</w:t>
            </w:r>
          </w:p>
          <w:p w:rsidR="0035701C" w:rsidRDefault="0035701C">
            <w:pPr>
              <w:jc w:val="left"/>
              <w:rPr>
                <w:sz w:val="12"/>
              </w:rPr>
            </w:pP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 xml:space="preserve">G5.c) Des modalités permettant de garantir la </w:t>
            </w:r>
            <w:r>
              <w:rPr>
                <w:sz w:val="12"/>
              </w:rPr>
              <w:t>capacité administrative nécessaire pour la transposition et l'application des règles de l'Union en matière d'aides d'État.</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Cette conditionnalité a été vérifiée au niveau de l’accord de partenariat et ne nécessite pas d’évaluation particulière au nivea</w:t>
            </w:r>
            <w:r>
              <w:rPr>
                <w:sz w:val="12"/>
              </w:rPr>
              <w:t xml:space="preserve">u du programme. </w:t>
            </w:r>
          </w:p>
          <w:p w:rsidR="0035701C" w:rsidRDefault="00FB561B">
            <w:pPr>
              <w:jc w:val="left"/>
              <w:rPr>
                <w:sz w:val="12"/>
              </w:rPr>
            </w:pPr>
            <w:r>
              <w:rPr>
                <w:sz w:val="12"/>
              </w:rPr>
              <w:t>1. Le SGAE est l’interface privilégiée entre la Commission et les ministères en matière d’aides d’Etat. A ce titre, il coordonne les différentes positions des ministères sur les régimes d’aides.  Le SGAE assure par ailleurs la  coordinatio</w:t>
            </w:r>
            <w:r>
              <w:rPr>
                <w:sz w:val="12"/>
              </w:rPr>
              <w:t xml:space="preserve">n d'un « groupe à haut niveau », composé des différents référents « aides d’Etat » de chaque ministère, qui a notamment  pour  responsabilité  le  pilotage  et  le  suivi  des  encadrements européens sur les aides d'Etat. </w:t>
            </w:r>
          </w:p>
          <w:p w:rsidR="0035701C" w:rsidRDefault="00FB561B">
            <w:pPr>
              <w:jc w:val="left"/>
              <w:rPr>
                <w:sz w:val="12"/>
              </w:rPr>
            </w:pPr>
            <w:r>
              <w:rPr>
                <w:sz w:val="12"/>
              </w:rPr>
              <w:t>2.  Le CGET assure  la  coordinat</w:t>
            </w:r>
            <w:r>
              <w:rPr>
                <w:sz w:val="12"/>
              </w:rPr>
              <w:t>ion  des  différentes  administrations compétentes, notamment dans les différents secteurs couverts par le champ des FESI. Pour mener à bien cette mission,  le CGET s’appuie sur les travaux du GHN et du SGAE. Cette coordination permet de fournir une expert</w:t>
            </w:r>
            <w:r>
              <w:rPr>
                <w:sz w:val="12"/>
              </w:rPr>
              <w:t>ise sur les aides d’Etat aux autorités de gestion des 4 fonds. La DATAR, avec l’appui du programme national d’assistance technique, assure l’animation et la coordination interfonds du réseau des autorités de gestion des programmes. Dans ce cadre, le groupe</w:t>
            </w:r>
            <w:r>
              <w:rPr>
                <w:sz w:val="12"/>
              </w:rPr>
              <w:t xml:space="preserve"> interfonds règlementation gestion contrôle prévoit la mise en place d’un réseau d’experts en région sur les aides d’Etat</w:t>
            </w:r>
          </w:p>
          <w:p w:rsidR="0035701C" w:rsidRDefault="0035701C">
            <w:pPr>
              <w:jc w:val="left"/>
              <w:rPr>
                <w:sz w:val="12"/>
              </w:rPr>
            </w:pPr>
          </w:p>
        </w:tc>
      </w:tr>
      <w:tr w:rsidR="0035701C">
        <w:tc>
          <w:tcPr>
            <w:tcW w:w="1250" w:type="pct"/>
            <w:vMerge w:val="restart"/>
            <w:shd w:val="clear" w:color="auto" w:fill="FFFFFF"/>
            <w:tcMar>
              <w:top w:w="20" w:type="dxa"/>
              <w:bottom w:w="20" w:type="dxa"/>
            </w:tcMar>
            <w:vAlign w:val="center"/>
          </w:tcPr>
          <w:p w:rsidR="0035701C" w:rsidRDefault="00FB561B">
            <w:pPr>
              <w:jc w:val="left"/>
              <w:rPr>
                <w:sz w:val="12"/>
              </w:rPr>
            </w:pPr>
            <w:r>
              <w:rPr>
                <w:sz w:val="12"/>
              </w:rPr>
              <w:t>G6) Législation environnementale régissant l’évaluation des incidences sur l’environnement (EIE) et l’évaluation environnementale st</w:t>
            </w:r>
            <w:r>
              <w:rPr>
                <w:sz w:val="12"/>
              </w:rPr>
              <w:t>ratégique (EES): l'existence de modalités pour l'application effective de la législation environnementale de l'Union relative à l'EIE et à l'EES.</w:t>
            </w:r>
          </w:p>
        </w:tc>
        <w:tc>
          <w:tcPr>
            <w:tcW w:w="1250" w:type="pct"/>
            <w:shd w:val="clear" w:color="auto" w:fill="FFFFFF"/>
            <w:tcMar>
              <w:top w:w="20" w:type="dxa"/>
              <w:bottom w:w="20" w:type="dxa"/>
            </w:tcMar>
            <w:vAlign w:val="center"/>
          </w:tcPr>
          <w:p w:rsidR="0035701C" w:rsidRDefault="00FB561B">
            <w:pPr>
              <w:jc w:val="left"/>
              <w:rPr>
                <w:sz w:val="12"/>
              </w:rPr>
            </w:pPr>
            <w:r>
              <w:rPr>
                <w:sz w:val="12"/>
              </w:rPr>
              <w:t>G6.a) Des modalités pour l'application effective de la directive 2011/92/EU du Parlement européen et du Consei</w:t>
            </w:r>
            <w:r>
              <w:rPr>
                <w:sz w:val="12"/>
              </w:rPr>
              <w:t>l (EIE) et de la directive 2001/42/CE du Parlement européen et du Conseil (EES).</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 xml:space="preserve">La direction 2001/42/CE est transposée dans le code de l’environnement aux articles L.122-4 à L 122-12 partie législative et aux articles R122-17 à R122-24 pour la partie </w:t>
            </w:r>
            <w:r>
              <w:rPr>
                <w:sz w:val="15"/>
                <w:szCs w:val="15"/>
              </w:rPr>
              <w:t>réglementaire</w:t>
            </w:r>
          </w:p>
          <w:p w:rsidR="0035701C" w:rsidRDefault="00FB561B">
            <w:pPr>
              <w:spacing w:before="150" w:after="150"/>
              <w:jc w:val="left"/>
              <w:rPr>
                <w:sz w:val="15"/>
                <w:szCs w:val="15"/>
              </w:rPr>
            </w:pPr>
            <w:r>
              <w:rPr>
                <w:sz w:val="15"/>
                <w:szCs w:val="15"/>
              </w:rPr>
              <w:t xml:space="preserve">Transposition dans le code de l’urbanisme aux articles L121-10 à L 121-15  pour la partie législative et articles R 121-14 à R 121-18 pour la partie réglementaire (pour les seuls documents mentionnés à l’article 121-10 du code de l’urbanisme </w:t>
            </w:r>
            <w:r>
              <w:rPr>
                <w:sz w:val="15"/>
                <w:szCs w:val="15"/>
              </w:rPr>
              <w:t>et aux articles L4424-9 et L4433-7 du Code Général des collectivités Territoriales)</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 xml:space="preserve">Cette conditionnalité a été vérifiée au niveau de l’accord de partenariat et ne nécessite pas d’évaluation particulière au niveau du programme. </w:t>
            </w: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G6.b) Des modalités de f</w:t>
            </w:r>
            <w:r>
              <w:rPr>
                <w:sz w:val="12"/>
              </w:rPr>
              <w:t>ormation du personnel intervenant dans l'application des directives régissant l'EIE et l'EES et de diffusion d'informations à celui-ci.</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 xml:space="preserve">Le programme national d’assistance technique 2014-2020 interfonds prévoit de financer des formations sur différents </w:t>
            </w:r>
            <w:r>
              <w:rPr>
                <w:sz w:val="15"/>
                <w:szCs w:val="15"/>
              </w:rPr>
              <w:t>thématiques dont les évaluations stratégiques environnementales.</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 xml:space="preserve">Cette conditionnalité a été vérifiée au niveau de l’accord de partenariat et ne nécessite pas d’évaluation particulière au niveau du programme. </w:t>
            </w: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 xml:space="preserve">G6.c) Des modalités permettant de garantir </w:t>
            </w:r>
            <w:r>
              <w:rPr>
                <w:sz w:val="12"/>
              </w:rPr>
              <w:t>une capacité administrative suffisante.</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L'Accord de partenariat précise que le Ministère de l’écologie, du Développement durable et de l’énergie est l’autorité compétente pour donner des conseils en matière d’application des directives EIA/SEA. Il four</w:t>
            </w:r>
            <w:r>
              <w:rPr>
                <w:sz w:val="15"/>
                <w:szCs w:val="15"/>
              </w:rPr>
              <w:t>nit notamment des éléments de guidances et d’appui à cet effet.</w:t>
            </w:r>
          </w:p>
          <w:p w:rsidR="0035701C" w:rsidRDefault="00FB561B">
            <w:pPr>
              <w:spacing w:before="150" w:after="150"/>
              <w:jc w:val="left"/>
              <w:rPr>
                <w:sz w:val="15"/>
                <w:szCs w:val="15"/>
              </w:rPr>
            </w:pPr>
            <w:r>
              <w:rPr>
                <w:sz w:val="15"/>
                <w:szCs w:val="15"/>
              </w:rPr>
              <w:t> </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 xml:space="preserve">Cette conditionnalité a été vérifiée au niveau de l’accord de partenariat et ne nécessite pas d’évaluation particulière au niveau du programme. </w:t>
            </w:r>
          </w:p>
        </w:tc>
      </w:tr>
      <w:tr w:rsidR="0035701C">
        <w:tc>
          <w:tcPr>
            <w:tcW w:w="1250" w:type="pct"/>
            <w:vMerge w:val="restart"/>
            <w:shd w:val="clear" w:color="auto" w:fill="FFFFFF"/>
            <w:tcMar>
              <w:top w:w="20" w:type="dxa"/>
              <w:bottom w:w="20" w:type="dxa"/>
            </w:tcMar>
            <w:vAlign w:val="center"/>
          </w:tcPr>
          <w:p w:rsidR="0035701C" w:rsidRDefault="00FB561B">
            <w:pPr>
              <w:jc w:val="left"/>
              <w:rPr>
                <w:sz w:val="12"/>
              </w:rPr>
            </w:pPr>
            <w:r>
              <w:rPr>
                <w:sz w:val="12"/>
              </w:rPr>
              <w:t>G7) Systèmes statistiques et indicateurs de</w:t>
            </w:r>
            <w:r>
              <w:rPr>
                <w:sz w:val="12"/>
              </w:rPr>
              <w:t xml:space="preserve"> résultat: l'existence d'une base statistique nécessaire pour entreprendre des évaluations permettant d'analyser l'efficacité et l'impact des programmes. L'existence d'un système d'indicateurs de résultat requis pour sélectionner les actions qui contribuen</w:t>
            </w:r>
            <w:r>
              <w:rPr>
                <w:sz w:val="12"/>
              </w:rPr>
              <w:t>t le plus efficacement aux résultats souhaités, pour suivre l'avancement vers la production des résultats et pour entreprendre l'évaluation des incidences.</w:t>
            </w:r>
          </w:p>
        </w:tc>
        <w:tc>
          <w:tcPr>
            <w:tcW w:w="1250" w:type="pct"/>
            <w:shd w:val="clear" w:color="auto" w:fill="FFFFFF"/>
            <w:tcMar>
              <w:top w:w="20" w:type="dxa"/>
              <w:bottom w:w="20" w:type="dxa"/>
            </w:tcMar>
            <w:vAlign w:val="center"/>
          </w:tcPr>
          <w:p w:rsidR="0035701C" w:rsidRDefault="00FB561B">
            <w:pPr>
              <w:jc w:val="left"/>
              <w:rPr>
                <w:sz w:val="12"/>
              </w:rPr>
            </w:pPr>
            <w:r>
              <w:rPr>
                <w:sz w:val="12"/>
              </w:rPr>
              <w:t>G7.a) Des modalités de collecte et d'agrégation des données statistiques en temps utile sont en plac</w:t>
            </w:r>
            <w:r>
              <w:rPr>
                <w:sz w:val="12"/>
              </w:rPr>
              <w:t>e. Elles comprennent les éléments suivants: la détermination des sources et des mécanismes permettant de garantir la validation statistique.</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 xml:space="preserve">Arrêté du 16 août 2007 portant agrément d’un organisme payeur de dépenses financées par le Fonds européen </w:t>
            </w:r>
            <w:r>
              <w:rPr>
                <w:sz w:val="15"/>
                <w:szCs w:val="15"/>
              </w:rPr>
              <w:t>agricole pour le développement rural (FEADER) de l'ODARC</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Les outils de gestion du PDR (OSIRIS et ISIS) constitueront les sources de données. L'outil ODR (Observatoire de Développement Rural) interviendra également dans le traitement des données.</w:t>
            </w:r>
          </w:p>
          <w:p w:rsidR="0035701C" w:rsidRDefault="00FB561B">
            <w:pPr>
              <w:jc w:val="left"/>
              <w:rPr>
                <w:sz w:val="12"/>
              </w:rPr>
            </w:pPr>
            <w:r>
              <w:rPr>
                <w:sz w:val="12"/>
              </w:rPr>
              <w:t>Les donné</w:t>
            </w:r>
            <w:r>
              <w:rPr>
                <w:sz w:val="12"/>
              </w:rPr>
              <w:t>es seront centralisées au sein de la Direction des Affaires Européennes de la CTC afin d'être agrégées au sein d'un même document comprenant l'ensemble des indicateurs de résultat, de réalisation ainsi que le cadre de performance.</w:t>
            </w: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 xml:space="preserve">G7.b) Des modalités de </w:t>
            </w:r>
            <w:r>
              <w:rPr>
                <w:sz w:val="12"/>
              </w:rPr>
              <w:t>collecte et d'agrégation des données statistiques en temps utile sont en place. Elles comprennent les éléments suivants: des modalités de publication et de mise à disposition de données agrégées au public.</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Les outils de gestion du PDR (OSIRIS et ISIS)</w:t>
            </w:r>
            <w:r>
              <w:rPr>
                <w:sz w:val="12"/>
              </w:rPr>
              <w:t xml:space="preserve"> constitueront les sources de données. L'outil ODR (Observatoire de Développement Rural) interviendra également dans le traitement des données.</w:t>
            </w:r>
          </w:p>
          <w:p w:rsidR="0035701C" w:rsidRDefault="0035701C">
            <w:pPr>
              <w:jc w:val="left"/>
              <w:rPr>
                <w:sz w:val="12"/>
              </w:rPr>
            </w:pPr>
          </w:p>
          <w:p w:rsidR="0035701C" w:rsidRDefault="00FB561B">
            <w:pPr>
              <w:jc w:val="left"/>
              <w:rPr>
                <w:sz w:val="12"/>
              </w:rPr>
            </w:pPr>
            <w:r>
              <w:rPr>
                <w:sz w:val="12"/>
              </w:rPr>
              <w:t xml:space="preserve">Les données agrégées d'avancement et d’exécution financière sont diffusées pour chaque Comité de suivi. </w:t>
            </w:r>
          </w:p>
          <w:p w:rsidR="0035701C" w:rsidRDefault="0035701C">
            <w:pPr>
              <w:jc w:val="left"/>
              <w:rPr>
                <w:sz w:val="12"/>
              </w:rPr>
            </w:pP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G7.c) Un système efficace d'indicateurs de résultat comportant notamment: la sélection d'indicateurs de résultat pour chaque programme fournissant des informations sur ce qui motive la sélection des mesures financées par le programme.</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RÈGLEMENT D’EXÉCU</w:t>
            </w:r>
            <w:r>
              <w:rPr>
                <w:sz w:val="15"/>
                <w:szCs w:val="15"/>
              </w:rPr>
              <w:t>TION (UE) N o 215/2014 DE LA COMMISSION du 7 mars 2014 fixant les modalités d’application du règlement (UE) n o 1303/2013 du Parlement européen et du Conseil portant dispositions communes relatives au Fonds européen de développement régional, au Fonds soci</w:t>
            </w:r>
            <w:r>
              <w:rPr>
                <w:sz w:val="15"/>
                <w:szCs w:val="15"/>
              </w:rPr>
              <w:t xml:space="preserve">al européen, au Fonds de cohésion, au Fonds européen agricole pour le développement rural et au Fonds européen pour les affaires maritimes et la pêche, portant dispositions générales applicables au Fonds européen de développement régional, au Fonds social </w:t>
            </w:r>
            <w:r>
              <w:rPr>
                <w:sz w:val="15"/>
                <w:szCs w:val="15"/>
              </w:rPr>
              <w:t>européen, au Fonds de cohésion et au Fonds européen pour les affaires maritimes et la pêche, en ce qui concerne les méthodologies du soutien aux objectifs liés au changement climatique, la détermination des valeurs intermédiaires et des valeurs cibles dans</w:t>
            </w:r>
            <w:r>
              <w:rPr>
                <w:sz w:val="15"/>
                <w:szCs w:val="15"/>
              </w:rPr>
              <w:t xml:space="preserve"> le cadre de performance et la nomenclature des catégories d’intervention pour les Fonds structurels et d'investissement européens</w:t>
            </w:r>
          </w:p>
          <w:p w:rsidR="0035701C" w:rsidRDefault="00FB561B">
            <w:pPr>
              <w:spacing w:before="150" w:after="150"/>
              <w:jc w:val="left"/>
              <w:rPr>
                <w:sz w:val="15"/>
                <w:szCs w:val="15"/>
              </w:rPr>
            </w:pPr>
            <w:r>
              <w:rPr>
                <w:sz w:val="15"/>
                <w:szCs w:val="15"/>
              </w:rPr>
              <w:t> </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 xml:space="preserve">Les indicateurs de résultat pour le PDR sont définis dans le système commun de suivi et d'évaluation du FEADER (Annexe IV </w:t>
            </w:r>
            <w:r>
              <w:rPr>
                <w:sz w:val="12"/>
              </w:rPr>
              <w:t>de l'acte d’exécution). )</w:t>
            </w: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G7.d) Un système efficace d'indicateurs de résultat comportant notamment: la fixation de valeurs-cibles pour ces indicateurs.</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 xml:space="preserve">RÈGLEMENT D’EXÉCUTION (UE) N o 215/2014 DE LA COMMISSION du 7 mars 2014 fixant les modalités </w:t>
            </w:r>
            <w:r>
              <w:rPr>
                <w:sz w:val="15"/>
                <w:szCs w:val="15"/>
              </w:rPr>
              <w:t>d’application du règlement (UE) n o 1303/2013 du Parlement européen et du Conseil portant dispositions communes relatives au Fonds européen de développement régional, au Fonds social européen, au Fonds de cohésion, au Fonds européen agricole pour le dévelo</w:t>
            </w:r>
            <w:r>
              <w:rPr>
                <w:sz w:val="15"/>
                <w:szCs w:val="15"/>
              </w:rPr>
              <w:t>ppement rural et au Fonds européen pour les affaires maritimes et la pêche, portant dispositions générales applicables au Fonds européen de développement régional, au Fonds social européen, au Fonds de cohésion et au Fonds européen pour les affaires mariti</w:t>
            </w:r>
            <w:r>
              <w:rPr>
                <w:sz w:val="15"/>
                <w:szCs w:val="15"/>
              </w:rPr>
              <w:t>mes et la pêche, en ce qui concerne les méthodologies du soutien aux objectifs liés au changement climatique, la détermination des valeurs intermédiaires et des valeurs cibles dans le cadre de performance et la nomenclature des catégories d’intervention po</w:t>
            </w:r>
            <w:r>
              <w:rPr>
                <w:sz w:val="15"/>
                <w:szCs w:val="15"/>
              </w:rPr>
              <w:t>ur les Fonds structurels et d'investissement européens</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La définition des cibles pour le PDR est prévue par le système commun de suivi et d'évaluation du FEADER (Annexe IV de l'acte d'exécution et lignes directrices relatives au plan des indicateurs)</w:t>
            </w: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G7.e) Un système efficace d'indicateurs de résultat comportant notamment: la congruence de chaque indicateur par rapport aux conditions suivantes: robustesse et validation statistique, clarté de l'interprétation normative, réactivité aux mesures prises, co</w:t>
            </w:r>
            <w:r>
              <w:rPr>
                <w:sz w:val="12"/>
              </w:rPr>
              <w:t>llecte en temps utile des données.</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RÈGLEMENT D’EXÉCUTION (UE) N o 215/2014 DE LA COMMISSION du 7 mars 2014 fixant les modalités d’application du règlement (UE) n o 1303/2013 du Parlement européen et du Conseil portant dispositions communes relatives au</w:t>
            </w:r>
            <w:r>
              <w:rPr>
                <w:sz w:val="15"/>
                <w:szCs w:val="15"/>
              </w:rPr>
              <w:t xml:space="preserve"> Fonds européen de développement régional, au Fonds social européen, au Fonds de cohésion, au Fonds européen agricole pour le développement rural et au Fonds européen pour les affaires maritimes et la pêche, portant dispositions générales applicables au Fo</w:t>
            </w:r>
            <w:r>
              <w:rPr>
                <w:sz w:val="15"/>
                <w:szCs w:val="15"/>
              </w:rPr>
              <w:t>nds européen de développement régional, au Fonds social européen, au Fonds de cohésion et au Fonds européen pour les affaires maritimes et la pêche, en ce qui concerne les méthodologies du soutien aux objectifs liés au changement climatique, la déterminati</w:t>
            </w:r>
            <w:r>
              <w:rPr>
                <w:sz w:val="15"/>
                <w:szCs w:val="15"/>
              </w:rPr>
              <w:t>on des valeurs intermédiaires et des valeurs cibles dans le cadre de performance et la nomenclature des catégories d’intervention pour les Fonds structurels et d'investissement européens</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Les indicateurs sont définis dans le système commun de suivi et d'év</w:t>
            </w:r>
            <w:r>
              <w:rPr>
                <w:sz w:val="12"/>
              </w:rPr>
              <w:t>aluation du FEADER (annexe IV de l'acte d'exécution).</w:t>
            </w:r>
          </w:p>
        </w:tc>
      </w:tr>
      <w:tr w:rsidR="0035701C">
        <w:tc>
          <w:tcPr>
            <w:tcW w:w="1250" w:type="pct"/>
            <w:vMerge/>
            <w:shd w:val="clear" w:color="auto" w:fill="FFFFFF"/>
            <w:tcMar>
              <w:top w:w="20" w:type="dxa"/>
              <w:bottom w:w="20" w:type="dxa"/>
            </w:tcMar>
            <w:vAlign w:val="center"/>
          </w:tcPr>
          <w:p w:rsidR="0035701C" w:rsidRDefault="0035701C">
            <w:pPr>
              <w:jc w:val="left"/>
              <w:rPr>
                <w:sz w:val="12"/>
              </w:rPr>
            </w:pPr>
          </w:p>
        </w:tc>
        <w:tc>
          <w:tcPr>
            <w:tcW w:w="1250" w:type="pct"/>
            <w:shd w:val="clear" w:color="auto" w:fill="FFFFFF"/>
            <w:tcMar>
              <w:top w:w="20" w:type="dxa"/>
              <w:bottom w:w="20" w:type="dxa"/>
            </w:tcMar>
            <w:vAlign w:val="center"/>
          </w:tcPr>
          <w:p w:rsidR="0035701C" w:rsidRDefault="00FB561B">
            <w:pPr>
              <w:jc w:val="left"/>
              <w:rPr>
                <w:sz w:val="12"/>
              </w:rPr>
            </w:pPr>
            <w:r>
              <w:rPr>
                <w:sz w:val="12"/>
              </w:rPr>
              <w:t>G7.f) Des procédures mises en place pour garantir que toute opération financée par le programme est assortie d'un système d'indicateurs efficace.</w:t>
            </w:r>
          </w:p>
        </w:tc>
        <w:tc>
          <w:tcPr>
            <w:tcW w:w="500" w:type="pct"/>
            <w:shd w:val="clear" w:color="auto" w:fill="FFFFFF"/>
            <w:tcMar>
              <w:top w:w="20" w:type="dxa"/>
              <w:bottom w:w="20" w:type="dxa"/>
            </w:tcMar>
            <w:vAlign w:val="center"/>
          </w:tcPr>
          <w:p w:rsidR="0035701C" w:rsidRDefault="00FB561B">
            <w:pPr>
              <w:jc w:val="left"/>
              <w:rPr>
                <w:sz w:val="12"/>
              </w:rPr>
            </w:pPr>
            <w:r>
              <w:rPr>
                <w:sz w:val="12"/>
              </w:rPr>
              <w:t>Yes</w:t>
            </w:r>
          </w:p>
        </w:tc>
        <w:tc>
          <w:tcPr>
            <w:tcW w:w="1000" w:type="pct"/>
            <w:shd w:val="clear" w:color="auto" w:fill="FFFFFF"/>
            <w:tcMar>
              <w:top w:w="20" w:type="dxa"/>
              <w:bottom w:w="20" w:type="dxa"/>
            </w:tcMar>
            <w:vAlign w:val="center"/>
          </w:tcPr>
          <w:p w:rsidR="0035701C" w:rsidRDefault="00FB561B">
            <w:pPr>
              <w:spacing w:before="0" w:after="150"/>
              <w:jc w:val="left"/>
              <w:rPr>
                <w:sz w:val="15"/>
                <w:szCs w:val="15"/>
              </w:rPr>
            </w:pPr>
            <w:r>
              <w:rPr>
                <w:sz w:val="15"/>
                <w:szCs w:val="15"/>
              </w:rPr>
              <w:t xml:space="preserve">RÈGLEMENT D’EXÉCUTION (UE) N o 215/2014 DE LA </w:t>
            </w:r>
            <w:r>
              <w:rPr>
                <w:sz w:val="15"/>
                <w:szCs w:val="15"/>
              </w:rPr>
              <w:t>COMMISSION du 7 mars 2014 fixant les modalités d’application du règlement (UE) n o 1303/2013 du Parlement européen et du Conseil portant dispositions communes relatives au Fonds européen de développement régional, au Fonds social européen, au Fonds de cohé</w:t>
            </w:r>
            <w:r>
              <w:rPr>
                <w:sz w:val="15"/>
                <w:szCs w:val="15"/>
              </w:rPr>
              <w:t>sion, au Fonds européen agricole pour le développement rural et au Fonds européen pour les affaires maritimes et la pêche, portant dispositions générales applicables au Fonds européen de développement régional, au Fonds social européen, au Fonds de cohésio</w:t>
            </w:r>
            <w:r>
              <w:rPr>
                <w:sz w:val="15"/>
                <w:szCs w:val="15"/>
              </w:rPr>
              <w:t>n et au Fonds européen pour les affaires maritimes et la pêche, en ce qui concerne les méthodologies du soutien aux objectifs liés au changement climatique, la détermination des valeurs intermédiaires et des valeurs cibles dans le cadre de performance et l</w:t>
            </w:r>
            <w:r>
              <w:rPr>
                <w:sz w:val="15"/>
                <w:szCs w:val="15"/>
              </w:rPr>
              <w:t>a nomenclature des catégories d’intervention pour les Fonds structurels et d'investissement européens</w:t>
            </w:r>
          </w:p>
          <w:p w:rsidR="0035701C" w:rsidRDefault="0035701C">
            <w:pPr>
              <w:jc w:val="left"/>
              <w:rPr>
                <w:sz w:val="12"/>
              </w:rPr>
            </w:pPr>
          </w:p>
        </w:tc>
        <w:tc>
          <w:tcPr>
            <w:tcW w:w="1000" w:type="pct"/>
            <w:shd w:val="clear" w:color="auto" w:fill="FFFFFF"/>
            <w:tcMar>
              <w:top w:w="20" w:type="dxa"/>
              <w:bottom w:w="20" w:type="dxa"/>
            </w:tcMar>
            <w:vAlign w:val="center"/>
          </w:tcPr>
          <w:p w:rsidR="0035701C" w:rsidRDefault="00FB561B">
            <w:pPr>
              <w:jc w:val="left"/>
              <w:rPr>
                <w:sz w:val="12"/>
              </w:rPr>
            </w:pPr>
            <w:r>
              <w:rPr>
                <w:sz w:val="12"/>
              </w:rPr>
              <w:t>Les indicateurs de réalisation de chaque mesure sont définis dans le système commun de suivi et d'évaluation du FEADER ( Annexe IV de l'acte d'exécution)</w:t>
            </w:r>
            <w:r>
              <w:rPr>
                <w:sz w:val="12"/>
              </w:rPr>
              <w:t>.</w:t>
            </w:r>
          </w:p>
        </w:tc>
      </w:tr>
    </w:tbl>
    <w:p w:rsidR="0035701C" w:rsidRDefault="00FB561B">
      <w:pPr>
        <w:pStyle w:val="Titre3"/>
        <w:jc w:val="left"/>
      </w:pPr>
      <w:r>
        <w:rPr>
          <w:b/>
        </w:rPr>
        <w:br w:type="page"/>
      </w:r>
      <w:bookmarkStart w:id="86" w:name="_Toc256000085"/>
      <w:r>
        <w:t>Liste des mesures à prendre pour les conditions ex ante générales</w:t>
      </w:r>
      <w:bookmarkEnd w:id="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2851"/>
        <w:gridCol w:w="2851"/>
        <w:gridCol w:w="2851"/>
        <w:gridCol w:w="2852"/>
      </w:tblGrid>
      <w:tr w:rsidR="0035701C">
        <w:tc>
          <w:tcPr>
            <w:tcW w:w="1000" w:type="pct"/>
            <w:shd w:val="clear" w:color="auto" w:fill="C0C0C0"/>
            <w:tcMar>
              <w:top w:w="20" w:type="dxa"/>
              <w:bottom w:w="20" w:type="dxa"/>
            </w:tcMar>
            <w:vAlign w:val="center"/>
          </w:tcPr>
          <w:p w:rsidR="0035701C" w:rsidRDefault="00FB561B">
            <w:pPr>
              <w:jc w:val="center"/>
              <w:rPr>
                <w:b/>
                <w:sz w:val="16"/>
              </w:rPr>
            </w:pPr>
            <w:r>
              <w:rPr>
                <w:b/>
                <w:sz w:val="16"/>
              </w:rPr>
              <w:t>Condition ex ante applicable au niveau national</w:t>
            </w:r>
          </w:p>
        </w:tc>
        <w:tc>
          <w:tcPr>
            <w:tcW w:w="1000" w:type="pct"/>
            <w:shd w:val="clear" w:color="auto" w:fill="C0C0C0"/>
            <w:tcMar>
              <w:top w:w="20" w:type="dxa"/>
              <w:bottom w:w="20" w:type="dxa"/>
            </w:tcMar>
            <w:vAlign w:val="center"/>
          </w:tcPr>
          <w:p w:rsidR="0035701C" w:rsidRDefault="00FB561B">
            <w:pPr>
              <w:jc w:val="center"/>
              <w:rPr>
                <w:b/>
                <w:sz w:val="16"/>
              </w:rPr>
            </w:pPr>
            <w:r>
              <w:rPr>
                <w:b/>
                <w:sz w:val="16"/>
              </w:rPr>
              <w:t>Critères manquants</w:t>
            </w:r>
          </w:p>
        </w:tc>
        <w:tc>
          <w:tcPr>
            <w:tcW w:w="1000" w:type="pct"/>
            <w:shd w:val="clear" w:color="auto" w:fill="C0C0C0"/>
            <w:tcMar>
              <w:top w:w="20" w:type="dxa"/>
              <w:bottom w:w="20" w:type="dxa"/>
            </w:tcMar>
            <w:vAlign w:val="center"/>
          </w:tcPr>
          <w:p w:rsidR="0035701C" w:rsidRDefault="00FB561B">
            <w:pPr>
              <w:jc w:val="center"/>
              <w:rPr>
                <w:b/>
                <w:sz w:val="16"/>
              </w:rPr>
            </w:pPr>
            <w:r>
              <w:rPr>
                <w:b/>
                <w:sz w:val="16"/>
              </w:rPr>
              <w:t>Action to be taken</w:t>
            </w:r>
          </w:p>
        </w:tc>
        <w:tc>
          <w:tcPr>
            <w:tcW w:w="1000" w:type="pct"/>
            <w:shd w:val="clear" w:color="auto" w:fill="C0C0C0"/>
            <w:tcMar>
              <w:top w:w="20" w:type="dxa"/>
              <w:bottom w:w="20" w:type="dxa"/>
            </w:tcMar>
            <w:vAlign w:val="center"/>
          </w:tcPr>
          <w:p w:rsidR="0035701C" w:rsidRDefault="00FB561B">
            <w:pPr>
              <w:jc w:val="center"/>
              <w:rPr>
                <w:b/>
                <w:sz w:val="16"/>
              </w:rPr>
            </w:pPr>
            <w:r>
              <w:rPr>
                <w:b/>
                <w:sz w:val="16"/>
              </w:rPr>
              <w:t>Deadline</w:t>
            </w:r>
          </w:p>
        </w:tc>
        <w:tc>
          <w:tcPr>
            <w:tcW w:w="1000" w:type="pct"/>
            <w:shd w:val="clear" w:color="auto" w:fill="C0C0C0"/>
            <w:tcMar>
              <w:top w:w="20" w:type="dxa"/>
              <w:bottom w:w="20" w:type="dxa"/>
            </w:tcMar>
            <w:vAlign w:val="center"/>
          </w:tcPr>
          <w:p w:rsidR="0035701C" w:rsidRDefault="00FB561B">
            <w:pPr>
              <w:jc w:val="center"/>
              <w:rPr>
                <w:sz w:val="16"/>
              </w:rPr>
            </w:pPr>
            <w:r>
              <w:rPr>
                <w:b/>
                <w:sz w:val="16"/>
              </w:rPr>
              <w:t>Bodies responsible for fulfillment</w:t>
            </w:r>
          </w:p>
        </w:tc>
      </w:tr>
    </w:tbl>
    <w:p w:rsidR="0035701C" w:rsidRDefault="00FB561B">
      <w:pPr>
        <w:pStyle w:val="Titre3"/>
        <w:jc w:val="left"/>
      </w:pPr>
      <w:r>
        <w:rPr>
          <w:b/>
        </w:rPr>
        <w:br w:type="page"/>
      </w:r>
      <w:bookmarkStart w:id="87" w:name="_Toc256000086"/>
      <w:r>
        <w:t xml:space="preserve">Liste des mesures à prendre pour les conditions ex </w:t>
      </w:r>
      <w:r>
        <w:t>ante liées à des priorités</w:t>
      </w:r>
      <w:bookmarkEnd w:id="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2851"/>
        <w:gridCol w:w="2851"/>
        <w:gridCol w:w="2851"/>
        <w:gridCol w:w="2852"/>
      </w:tblGrid>
      <w:tr w:rsidR="0035701C">
        <w:tc>
          <w:tcPr>
            <w:tcW w:w="1000" w:type="pct"/>
            <w:shd w:val="clear" w:color="auto" w:fill="C0C0C0"/>
            <w:tcMar>
              <w:top w:w="20" w:type="dxa"/>
              <w:bottom w:w="20" w:type="dxa"/>
            </w:tcMar>
            <w:vAlign w:val="center"/>
          </w:tcPr>
          <w:p w:rsidR="0035701C" w:rsidRDefault="00FB561B">
            <w:pPr>
              <w:jc w:val="center"/>
              <w:rPr>
                <w:b/>
                <w:sz w:val="16"/>
              </w:rPr>
            </w:pPr>
            <w:r>
              <w:rPr>
                <w:b/>
                <w:sz w:val="16"/>
              </w:rPr>
              <w:t>Condition ex ante applicable au niveau national</w:t>
            </w:r>
          </w:p>
        </w:tc>
        <w:tc>
          <w:tcPr>
            <w:tcW w:w="1000" w:type="pct"/>
            <w:shd w:val="clear" w:color="auto" w:fill="C0C0C0"/>
            <w:tcMar>
              <w:top w:w="20" w:type="dxa"/>
              <w:bottom w:w="20" w:type="dxa"/>
            </w:tcMar>
            <w:vAlign w:val="center"/>
          </w:tcPr>
          <w:p w:rsidR="0035701C" w:rsidRDefault="00FB561B">
            <w:pPr>
              <w:jc w:val="center"/>
              <w:rPr>
                <w:b/>
                <w:sz w:val="16"/>
              </w:rPr>
            </w:pPr>
            <w:r>
              <w:rPr>
                <w:b/>
                <w:sz w:val="16"/>
              </w:rPr>
              <w:t>Critères manquants</w:t>
            </w:r>
          </w:p>
        </w:tc>
        <w:tc>
          <w:tcPr>
            <w:tcW w:w="1000" w:type="pct"/>
            <w:shd w:val="clear" w:color="auto" w:fill="C0C0C0"/>
            <w:tcMar>
              <w:top w:w="20" w:type="dxa"/>
              <w:bottom w:w="20" w:type="dxa"/>
            </w:tcMar>
            <w:vAlign w:val="center"/>
          </w:tcPr>
          <w:p w:rsidR="0035701C" w:rsidRDefault="00FB561B">
            <w:pPr>
              <w:jc w:val="center"/>
              <w:rPr>
                <w:b/>
                <w:sz w:val="16"/>
              </w:rPr>
            </w:pPr>
            <w:r>
              <w:rPr>
                <w:b/>
                <w:sz w:val="16"/>
              </w:rPr>
              <w:t>Action to be taken</w:t>
            </w:r>
          </w:p>
        </w:tc>
        <w:tc>
          <w:tcPr>
            <w:tcW w:w="1000" w:type="pct"/>
            <w:shd w:val="clear" w:color="auto" w:fill="C0C0C0"/>
            <w:tcMar>
              <w:top w:w="20" w:type="dxa"/>
              <w:bottom w:w="20" w:type="dxa"/>
            </w:tcMar>
            <w:vAlign w:val="center"/>
          </w:tcPr>
          <w:p w:rsidR="0035701C" w:rsidRDefault="00FB561B">
            <w:pPr>
              <w:jc w:val="center"/>
              <w:rPr>
                <w:b/>
                <w:sz w:val="16"/>
              </w:rPr>
            </w:pPr>
            <w:r>
              <w:rPr>
                <w:b/>
                <w:sz w:val="16"/>
              </w:rPr>
              <w:t>Deadline</w:t>
            </w:r>
          </w:p>
        </w:tc>
        <w:tc>
          <w:tcPr>
            <w:tcW w:w="1000" w:type="pct"/>
            <w:shd w:val="clear" w:color="auto" w:fill="C0C0C0"/>
            <w:tcMar>
              <w:top w:w="20" w:type="dxa"/>
              <w:bottom w:w="20" w:type="dxa"/>
            </w:tcMar>
            <w:vAlign w:val="center"/>
          </w:tcPr>
          <w:p w:rsidR="0035701C" w:rsidRDefault="00FB561B">
            <w:pPr>
              <w:jc w:val="center"/>
              <w:rPr>
                <w:sz w:val="16"/>
              </w:rPr>
            </w:pPr>
            <w:r>
              <w:rPr>
                <w:b/>
                <w:sz w:val="16"/>
              </w:rPr>
              <w:t>Bodies responsible for fulfillment</w:t>
            </w:r>
          </w:p>
        </w:tc>
      </w:tr>
    </w:tbl>
    <w:p w:rsidR="0035701C" w:rsidRDefault="0035701C">
      <w:pPr>
        <w:rPr>
          <w:b/>
        </w:rPr>
        <w:sectPr w:rsidR="0035701C">
          <w:pgSz w:w="15840" w:h="12240" w:orient="landscape"/>
          <w:pgMar w:top="900" w:right="900" w:bottom="900" w:left="900" w:header="720" w:footer="720" w:gutter="0"/>
          <w:cols w:space="720"/>
        </w:sectPr>
      </w:pPr>
    </w:p>
    <w:p w:rsidR="0035701C" w:rsidRDefault="00FB561B">
      <w:pPr>
        <w:pStyle w:val="Titre1"/>
      </w:pPr>
      <w:bookmarkStart w:id="88" w:name="_Toc256000087"/>
      <w:r>
        <w:t>Description du cadre de performance</w:t>
      </w:r>
      <w:bookmarkEnd w:id="88"/>
    </w:p>
    <w:p w:rsidR="0035701C" w:rsidRDefault="00FB561B">
      <w:pPr>
        <w:pStyle w:val="Titre2"/>
      </w:pPr>
      <w:bookmarkStart w:id="89" w:name="_Toc256000088"/>
      <w:r>
        <w:t>Indicateurs</w:t>
      </w:r>
      <w:bookmarkEnd w:id="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2037"/>
        <w:gridCol w:w="2037"/>
        <w:gridCol w:w="2037"/>
        <w:gridCol w:w="2037"/>
        <w:gridCol w:w="2037"/>
        <w:gridCol w:w="2034"/>
      </w:tblGrid>
      <w:tr w:rsidR="0035701C">
        <w:tc>
          <w:tcPr>
            <w:tcW w:w="1000" w:type="pct"/>
            <w:shd w:val="clear" w:color="auto" w:fill="C0C0C0"/>
            <w:tcMar>
              <w:top w:w="20" w:type="dxa"/>
              <w:bottom w:w="20" w:type="dxa"/>
            </w:tcMar>
            <w:vAlign w:val="center"/>
          </w:tcPr>
          <w:p w:rsidR="0035701C" w:rsidRDefault="00FB561B">
            <w:pPr>
              <w:rPr>
                <w:b/>
              </w:rPr>
            </w:pPr>
            <w:r>
              <w:rPr>
                <w:b/>
              </w:rPr>
              <w:t>Priorité</w:t>
            </w:r>
          </w:p>
        </w:tc>
        <w:tc>
          <w:tcPr>
            <w:tcW w:w="1000" w:type="pct"/>
            <w:shd w:val="clear" w:color="auto" w:fill="C0C0C0"/>
            <w:tcMar>
              <w:top w:w="20" w:type="dxa"/>
              <w:bottom w:w="20" w:type="dxa"/>
            </w:tcMar>
            <w:vAlign w:val="center"/>
          </w:tcPr>
          <w:p w:rsidR="0035701C" w:rsidRDefault="00FB561B">
            <w:pPr>
              <w:rPr>
                <w:b/>
              </w:rPr>
            </w:pPr>
            <w:r>
              <w:rPr>
                <w:b/>
              </w:rPr>
              <w:t>Applicable</w:t>
            </w:r>
          </w:p>
        </w:tc>
        <w:tc>
          <w:tcPr>
            <w:tcW w:w="1000" w:type="pct"/>
            <w:shd w:val="clear" w:color="auto" w:fill="C0C0C0"/>
            <w:tcMar>
              <w:top w:w="20" w:type="dxa"/>
              <w:bottom w:w="20" w:type="dxa"/>
            </w:tcMar>
            <w:vAlign w:val="center"/>
          </w:tcPr>
          <w:p w:rsidR="0035701C" w:rsidRDefault="00FB561B">
            <w:pPr>
              <w:jc w:val="left"/>
              <w:rPr>
                <w:b/>
              </w:rPr>
            </w:pPr>
            <w:r>
              <w:rPr>
                <w:b/>
              </w:rPr>
              <w:t xml:space="preserve">Indicateur et </w:t>
            </w:r>
            <w:r>
              <w:rPr>
                <w:b/>
              </w:rPr>
              <w:t>unité de mesure, s’il y a lieu</w:t>
            </w:r>
          </w:p>
        </w:tc>
        <w:tc>
          <w:tcPr>
            <w:tcW w:w="1000" w:type="pct"/>
            <w:shd w:val="clear" w:color="auto" w:fill="C0C0C0"/>
            <w:tcMar>
              <w:top w:w="20" w:type="dxa"/>
              <w:bottom w:w="20" w:type="dxa"/>
            </w:tcMar>
            <w:vAlign w:val="center"/>
          </w:tcPr>
          <w:p w:rsidR="0035701C" w:rsidRDefault="00FB561B">
            <w:pPr>
              <w:jc w:val="left"/>
              <w:rPr>
                <w:b/>
              </w:rPr>
            </w:pPr>
            <w:r>
              <w:rPr>
                <w:b/>
              </w:rPr>
              <w:t>Valeur cible pour 2025 (a)</w:t>
            </w:r>
          </w:p>
        </w:tc>
        <w:tc>
          <w:tcPr>
            <w:tcW w:w="1000" w:type="pct"/>
            <w:shd w:val="clear" w:color="auto" w:fill="C0C0C0"/>
            <w:tcMar>
              <w:top w:w="20" w:type="dxa"/>
              <w:bottom w:w="20" w:type="dxa"/>
            </w:tcMar>
            <w:vAlign w:val="center"/>
          </w:tcPr>
          <w:p w:rsidR="0035701C" w:rsidRDefault="00FB561B">
            <w:pPr>
              <w:jc w:val="left"/>
              <w:rPr>
                <w:b/>
              </w:rPr>
            </w:pPr>
            <w:r>
              <w:rPr>
                <w:b/>
              </w:rPr>
              <w:t>Ajustements/Compléments (b)</w:t>
            </w:r>
          </w:p>
        </w:tc>
        <w:tc>
          <w:tcPr>
            <w:tcW w:w="1000" w:type="pct"/>
            <w:shd w:val="clear" w:color="auto" w:fill="C0C0C0"/>
            <w:tcMar>
              <w:top w:w="20" w:type="dxa"/>
              <w:bottom w:w="20" w:type="dxa"/>
            </w:tcMar>
            <w:vAlign w:val="center"/>
          </w:tcPr>
          <w:p w:rsidR="0035701C" w:rsidRDefault="00FB561B">
            <w:pPr>
              <w:jc w:val="left"/>
              <w:rPr>
                <w:b/>
              </w:rPr>
            </w:pPr>
            <w:r>
              <w:rPr>
                <w:b/>
              </w:rPr>
              <w:t>Ajustement Next Generation EU (C)</w:t>
            </w:r>
          </w:p>
        </w:tc>
        <w:tc>
          <w:tcPr>
            <w:tcW w:w="1000" w:type="pct"/>
            <w:shd w:val="clear" w:color="auto" w:fill="C0C0C0"/>
            <w:tcMar>
              <w:top w:w="20" w:type="dxa"/>
              <w:bottom w:w="20" w:type="dxa"/>
            </w:tcMar>
            <w:vAlign w:val="center"/>
          </w:tcPr>
          <w:p w:rsidR="0035701C" w:rsidRDefault="00FB561B">
            <w:pPr>
              <w:jc w:val="left"/>
            </w:pPr>
            <w:r>
              <w:rPr>
                <w:b/>
              </w:rPr>
              <w:t>Valeur absolue cible (A-B-C)</w:t>
            </w:r>
          </w:p>
        </w:tc>
      </w:tr>
      <w:tr w:rsidR="0035701C">
        <w:tc>
          <w:tcPr>
            <w:tcW w:w="1000" w:type="pct"/>
            <w:vMerge w:val="restart"/>
            <w:shd w:val="clear" w:color="auto" w:fill="FFFFFF"/>
            <w:tcMar>
              <w:top w:w="20" w:type="dxa"/>
              <w:bottom w:w="20" w:type="dxa"/>
            </w:tcMar>
            <w:vAlign w:val="center"/>
          </w:tcPr>
          <w:p w:rsidR="0035701C" w:rsidRDefault="00FB561B">
            <w:pPr>
              <w:jc w:val="left"/>
            </w:pPr>
            <w:r>
              <w:t>P2: amélioration de la viabilité des exploitations agricoles et la compétitivité de tous les types d'agric</w:t>
            </w:r>
            <w:r>
              <w:t>ulture dans toutes les régions et promotion des technologies agricoles innovantes et de la gestion durable des forêts</w:t>
            </w:r>
          </w:p>
        </w:tc>
        <w:tc>
          <w:tcPr>
            <w:tcW w:w="200" w:type="pct"/>
            <w:shd w:val="clear" w:color="auto" w:fill="FFFFFF"/>
            <w:tcMar>
              <w:top w:w="20" w:type="dxa"/>
              <w:bottom w:w="20" w:type="dxa"/>
            </w:tcMar>
            <w:vAlign w:val="center"/>
          </w:tcPr>
          <w:p w:rsidR="0035701C" w:rsidRDefault="00FB561B">
            <w:pPr>
              <w:jc w:val="center"/>
            </w:pPr>
            <w:r>
              <w:t xml:space="preserve"> X </w:t>
            </w:r>
          </w:p>
        </w:tc>
        <w:tc>
          <w:tcPr>
            <w:tcW w:w="1000" w:type="pct"/>
            <w:shd w:val="clear" w:color="auto" w:fill="FFFFFF"/>
            <w:tcMar>
              <w:top w:w="20" w:type="dxa"/>
              <w:bottom w:w="20" w:type="dxa"/>
            </w:tcMar>
            <w:vAlign w:val="center"/>
          </w:tcPr>
          <w:p w:rsidR="0035701C" w:rsidRDefault="00FB561B">
            <w:pPr>
              <w:jc w:val="left"/>
            </w:pPr>
            <w:r>
              <w:t>Nombre d'exploitations agricoles bénéficiant d'un soutien au titre du PDR pour des investissements dans la restructuration ou la moder</w:t>
            </w:r>
            <w:r>
              <w:t>nisation (domaine prioritaire 2A) + exploitations avec un plan d'entreprise/des investissements pour les jeunes agriculteurs soutenus par le PDR (domaine prioritaire 2B)</w:t>
            </w:r>
          </w:p>
        </w:tc>
        <w:tc>
          <w:tcPr>
            <w:tcW w:w="800" w:type="pct"/>
            <w:shd w:val="clear" w:color="auto" w:fill="FFFFFF"/>
            <w:tcMar>
              <w:top w:w="20" w:type="dxa"/>
              <w:bottom w:w="20" w:type="dxa"/>
            </w:tcMar>
            <w:vAlign w:val="center"/>
          </w:tcPr>
          <w:p w:rsidR="0035701C" w:rsidRDefault="00FB561B">
            <w:pPr>
              <w:jc w:val="right"/>
            </w:pPr>
            <w:r>
              <w:t>1 454,00</w:t>
            </w:r>
          </w:p>
        </w:tc>
        <w:tc>
          <w:tcPr>
            <w:tcW w:w="800" w:type="pct"/>
            <w:shd w:val="clear" w:color="auto" w:fill="FFFFFF"/>
            <w:tcMar>
              <w:top w:w="20" w:type="dxa"/>
              <w:bottom w:w="20" w:type="dxa"/>
            </w:tcMar>
            <w:vAlign w:val="center"/>
          </w:tcPr>
          <w:p w:rsidR="0035701C" w:rsidRDefault="00FB561B">
            <w:pPr>
              <w:jc w:val="right"/>
            </w:pPr>
            <w:r>
              <w:t>292,00</w:t>
            </w:r>
          </w:p>
        </w:tc>
        <w:tc>
          <w:tcPr>
            <w:tcW w:w="800" w:type="pct"/>
            <w:shd w:val="clear" w:color="auto" w:fill="FFFFFF"/>
            <w:tcMar>
              <w:top w:w="20" w:type="dxa"/>
              <w:bottom w:w="20" w:type="dxa"/>
            </w:tcMar>
            <w:vAlign w:val="center"/>
          </w:tcPr>
          <w:p w:rsidR="0035701C" w:rsidRDefault="00FB561B">
            <w:pPr>
              <w:jc w:val="right"/>
            </w:pPr>
            <w:r>
              <w:t>29,00</w:t>
            </w:r>
          </w:p>
        </w:tc>
        <w:tc>
          <w:tcPr>
            <w:tcW w:w="800" w:type="pct"/>
            <w:shd w:val="clear" w:color="auto" w:fill="FFFFFF"/>
            <w:tcMar>
              <w:top w:w="20" w:type="dxa"/>
              <w:bottom w:w="20" w:type="dxa"/>
            </w:tcMar>
            <w:vAlign w:val="center"/>
          </w:tcPr>
          <w:p w:rsidR="0035701C" w:rsidRDefault="00FB561B">
            <w:pPr>
              <w:jc w:val="right"/>
            </w:pPr>
            <w:r>
              <w:t>1 133,00</w:t>
            </w:r>
          </w:p>
        </w:tc>
      </w:tr>
      <w:tr w:rsidR="0035701C">
        <w:tc>
          <w:tcPr>
            <w:tcW w:w="1000" w:type="pct"/>
            <w:vMerge/>
            <w:shd w:val="clear" w:color="auto" w:fill="FFFFFF"/>
            <w:tcMar>
              <w:top w:w="20" w:type="dxa"/>
              <w:bottom w:w="20" w:type="dxa"/>
            </w:tcMar>
            <w:vAlign w:val="center"/>
          </w:tcPr>
          <w:p w:rsidR="0035701C" w:rsidRDefault="0035701C">
            <w:pPr>
              <w:jc w:val="left"/>
            </w:pPr>
          </w:p>
        </w:tc>
        <w:tc>
          <w:tcPr>
            <w:tcW w:w="200" w:type="pct"/>
            <w:shd w:val="clear" w:color="auto" w:fill="FFFFFF"/>
            <w:tcMar>
              <w:top w:w="20" w:type="dxa"/>
              <w:bottom w:w="20" w:type="dxa"/>
            </w:tcMar>
            <w:vAlign w:val="center"/>
          </w:tcPr>
          <w:p w:rsidR="0035701C" w:rsidRDefault="00FB561B">
            <w:pPr>
              <w:jc w:val="center"/>
            </w:pPr>
            <w:r>
              <w:t xml:space="preserve"> X </w:t>
            </w:r>
          </w:p>
        </w:tc>
        <w:tc>
          <w:tcPr>
            <w:tcW w:w="1000" w:type="pct"/>
            <w:shd w:val="clear" w:color="auto" w:fill="FFFFFF"/>
            <w:tcMar>
              <w:top w:w="20" w:type="dxa"/>
              <w:bottom w:w="20" w:type="dxa"/>
            </w:tcMar>
            <w:vAlign w:val="center"/>
          </w:tcPr>
          <w:p w:rsidR="0035701C" w:rsidRDefault="00FB561B">
            <w:pPr>
              <w:jc w:val="left"/>
            </w:pPr>
            <w:r>
              <w:t>Total des dépenses publiques P2 (EUR)</w:t>
            </w:r>
          </w:p>
        </w:tc>
        <w:tc>
          <w:tcPr>
            <w:tcW w:w="800" w:type="pct"/>
            <w:shd w:val="clear" w:color="auto" w:fill="FFFFFF"/>
            <w:tcMar>
              <w:top w:w="20" w:type="dxa"/>
              <w:bottom w:w="20" w:type="dxa"/>
            </w:tcMar>
            <w:vAlign w:val="center"/>
          </w:tcPr>
          <w:p w:rsidR="0035701C" w:rsidRDefault="00FB561B">
            <w:pPr>
              <w:jc w:val="right"/>
            </w:pPr>
            <w:r>
              <w:t>85 400 878,00</w:t>
            </w:r>
          </w:p>
        </w:tc>
        <w:tc>
          <w:tcPr>
            <w:tcW w:w="800" w:type="pct"/>
            <w:shd w:val="clear" w:color="auto" w:fill="FFFFFF"/>
            <w:tcMar>
              <w:top w:w="20" w:type="dxa"/>
              <w:bottom w:w="20" w:type="dxa"/>
            </w:tcMar>
            <w:vAlign w:val="center"/>
          </w:tcPr>
          <w:p w:rsidR="0035701C" w:rsidRDefault="00FB561B">
            <w:pPr>
              <w:jc w:val="right"/>
            </w:pPr>
            <w:r>
              <w:t>14 860 000,00</w:t>
            </w:r>
          </w:p>
        </w:tc>
        <w:tc>
          <w:tcPr>
            <w:tcW w:w="800" w:type="pct"/>
            <w:shd w:val="clear" w:color="auto" w:fill="FFFFFF"/>
            <w:tcMar>
              <w:top w:w="20" w:type="dxa"/>
              <w:bottom w:w="20" w:type="dxa"/>
            </w:tcMar>
            <w:vAlign w:val="center"/>
          </w:tcPr>
          <w:p w:rsidR="0035701C" w:rsidRDefault="00FB561B">
            <w:pPr>
              <w:jc w:val="right"/>
            </w:pPr>
            <w:r>
              <w:t>1 191 480,00</w:t>
            </w:r>
          </w:p>
        </w:tc>
        <w:tc>
          <w:tcPr>
            <w:tcW w:w="800" w:type="pct"/>
            <w:shd w:val="clear" w:color="auto" w:fill="FFFFFF"/>
            <w:tcMar>
              <w:top w:w="20" w:type="dxa"/>
              <w:bottom w:w="20" w:type="dxa"/>
            </w:tcMar>
            <w:vAlign w:val="center"/>
          </w:tcPr>
          <w:p w:rsidR="0035701C" w:rsidRDefault="00FB561B">
            <w:pPr>
              <w:jc w:val="right"/>
            </w:pPr>
            <w:r>
              <w:t>69 349 398,00</w:t>
            </w:r>
          </w:p>
        </w:tc>
      </w:tr>
      <w:tr w:rsidR="0035701C">
        <w:tc>
          <w:tcPr>
            <w:tcW w:w="1000" w:type="pct"/>
            <w:vMerge w:val="restart"/>
            <w:shd w:val="clear" w:color="auto" w:fill="FFFFFF"/>
            <w:tcMar>
              <w:top w:w="20" w:type="dxa"/>
              <w:bottom w:w="20" w:type="dxa"/>
            </w:tcMar>
            <w:vAlign w:val="center"/>
          </w:tcPr>
          <w:p w:rsidR="0035701C" w:rsidRDefault="00FB561B">
            <w:pPr>
              <w:jc w:val="left"/>
            </w:pPr>
            <w:r>
              <w:t>P3: promouvoir l'organisation de la chaîne alimentaire, y compris la transformation et la commercialisation des produits agricoles, le bien-être animal ainsi que la gestion des risques dans le secteur</w:t>
            </w:r>
            <w:r>
              <w:t xml:space="preserve"> de l'agriculture</w:t>
            </w:r>
          </w:p>
        </w:tc>
        <w:tc>
          <w:tcPr>
            <w:tcW w:w="200" w:type="pct"/>
            <w:shd w:val="clear" w:color="auto" w:fill="FFFFFF"/>
            <w:tcMar>
              <w:top w:w="20" w:type="dxa"/>
              <w:bottom w:w="20" w:type="dxa"/>
            </w:tcMar>
            <w:vAlign w:val="center"/>
          </w:tcPr>
          <w:p w:rsidR="0035701C" w:rsidRDefault="00FB561B">
            <w:pPr>
              <w:jc w:val="center"/>
            </w:pPr>
            <w:r>
              <w:t xml:space="preserve"> X </w:t>
            </w:r>
          </w:p>
        </w:tc>
        <w:tc>
          <w:tcPr>
            <w:tcW w:w="1000" w:type="pct"/>
            <w:shd w:val="clear" w:color="auto" w:fill="FFFFFF"/>
            <w:tcMar>
              <w:top w:w="20" w:type="dxa"/>
              <w:bottom w:w="20" w:type="dxa"/>
            </w:tcMar>
            <w:vAlign w:val="center"/>
          </w:tcPr>
          <w:p w:rsidR="0035701C" w:rsidRDefault="00FB561B">
            <w:pPr>
              <w:jc w:val="left"/>
            </w:pPr>
            <w:r>
              <w:t>Total des dépenses publiques P3 (EUR)</w:t>
            </w:r>
          </w:p>
        </w:tc>
        <w:tc>
          <w:tcPr>
            <w:tcW w:w="800" w:type="pct"/>
            <w:shd w:val="clear" w:color="auto" w:fill="FFFFFF"/>
            <w:tcMar>
              <w:top w:w="20" w:type="dxa"/>
              <w:bottom w:w="20" w:type="dxa"/>
            </w:tcMar>
            <w:vAlign w:val="center"/>
          </w:tcPr>
          <w:p w:rsidR="0035701C" w:rsidRDefault="00FB561B">
            <w:pPr>
              <w:jc w:val="right"/>
            </w:pPr>
            <w:r>
              <w:t>9 300 000,00</w:t>
            </w:r>
          </w:p>
        </w:tc>
        <w:tc>
          <w:tcPr>
            <w:tcW w:w="800" w:type="pct"/>
            <w:shd w:val="clear" w:color="auto" w:fill="FFFFFF"/>
            <w:tcMar>
              <w:top w:w="20" w:type="dxa"/>
              <w:bottom w:w="20" w:type="dxa"/>
            </w:tcMar>
            <w:vAlign w:val="center"/>
          </w:tcPr>
          <w:p w:rsidR="0035701C" w:rsidRDefault="00FB561B">
            <w:pPr>
              <w:jc w:val="right"/>
            </w:pPr>
            <w:r>
              <w:t>2 100 000,00</w:t>
            </w:r>
          </w:p>
        </w:tc>
        <w:tc>
          <w:tcPr>
            <w:tcW w:w="800" w:type="pct"/>
            <w:shd w:val="clear" w:color="auto" w:fill="FFFFFF"/>
            <w:tcMar>
              <w:top w:w="20" w:type="dxa"/>
              <w:bottom w:w="20" w:type="dxa"/>
            </w:tcMar>
            <w:vAlign w:val="center"/>
          </w:tcPr>
          <w:p w:rsidR="0035701C" w:rsidRDefault="00FB561B">
            <w:pPr>
              <w:jc w:val="right"/>
            </w:pPr>
            <w:r>
              <w:t>3 600 000,00</w:t>
            </w:r>
          </w:p>
        </w:tc>
        <w:tc>
          <w:tcPr>
            <w:tcW w:w="800" w:type="pct"/>
            <w:shd w:val="clear" w:color="auto" w:fill="FFFFFF"/>
            <w:tcMar>
              <w:top w:w="20" w:type="dxa"/>
              <w:bottom w:w="20" w:type="dxa"/>
            </w:tcMar>
            <w:vAlign w:val="center"/>
          </w:tcPr>
          <w:p w:rsidR="0035701C" w:rsidRDefault="00FB561B">
            <w:pPr>
              <w:jc w:val="right"/>
            </w:pPr>
            <w:r>
              <w:t>3 600 000,00</w:t>
            </w:r>
          </w:p>
        </w:tc>
      </w:tr>
      <w:tr w:rsidR="0035701C">
        <w:tc>
          <w:tcPr>
            <w:tcW w:w="1000" w:type="pct"/>
            <w:vMerge/>
            <w:shd w:val="clear" w:color="auto" w:fill="FFFFFF"/>
            <w:tcMar>
              <w:top w:w="20" w:type="dxa"/>
              <w:bottom w:w="20" w:type="dxa"/>
            </w:tcMar>
            <w:vAlign w:val="center"/>
          </w:tcPr>
          <w:p w:rsidR="0035701C" w:rsidRDefault="0035701C">
            <w:pPr>
              <w:jc w:val="left"/>
            </w:pPr>
          </w:p>
        </w:tc>
        <w:tc>
          <w:tcPr>
            <w:tcW w:w="200" w:type="pct"/>
            <w:shd w:val="clear" w:color="auto" w:fill="FFFFFF"/>
            <w:tcMar>
              <w:top w:w="20" w:type="dxa"/>
              <w:bottom w:w="20" w:type="dxa"/>
            </w:tcMar>
            <w:vAlign w:val="center"/>
          </w:tcPr>
          <w:p w:rsidR="0035701C" w:rsidRDefault="0035701C">
            <w:pPr>
              <w:jc w:val="left"/>
            </w:pPr>
          </w:p>
        </w:tc>
        <w:tc>
          <w:tcPr>
            <w:tcW w:w="1000" w:type="pct"/>
            <w:shd w:val="clear" w:color="auto" w:fill="FFFFFF"/>
            <w:tcMar>
              <w:top w:w="20" w:type="dxa"/>
              <w:bottom w:w="20" w:type="dxa"/>
            </w:tcMar>
            <w:vAlign w:val="center"/>
          </w:tcPr>
          <w:p w:rsidR="0035701C" w:rsidRDefault="00FB561B">
            <w:pPr>
              <w:jc w:val="left"/>
            </w:pPr>
            <w:r>
              <w:t xml:space="preserve">Nombre d’exploitations agricoles soutenues percevant un soutien pour participer à des systèmes de qualité, des marchés locaux/circuits d’approvisionnement courts ou des groupements de producteurs (domaine prioritaire 3A) </w:t>
            </w:r>
          </w:p>
        </w:tc>
        <w:tc>
          <w:tcPr>
            <w:tcW w:w="800" w:type="pct"/>
            <w:shd w:val="clear" w:color="auto" w:fill="FFFFFF"/>
            <w:tcMar>
              <w:top w:w="20" w:type="dxa"/>
              <w:bottom w:w="20" w:type="dxa"/>
            </w:tcMar>
            <w:vAlign w:val="center"/>
          </w:tcPr>
          <w:p w:rsidR="0035701C" w:rsidRDefault="0035701C">
            <w:pPr>
              <w:jc w:val="left"/>
            </w:pPr>
          </w:p>
        </w:tc>
        <w:tc>
          <w:tcPr>
            <w:tcW w:w="800" w:type="pct"/>
            <w:shd w:val="clear" w:color="auto" w:fill="FFFFFF"/>
            <w:tcMar>
              <w:top w:w="20" w:type="dxa"/>
              <w:bottom w:w="20" w:type="dxa"/>
            </w:tcMar>
            <w:vAlign w:val="center"/>
          </w:tcPr>
          <w:p w:rsidR="0035701C" w:rsidRDefault="0035701C">
            <w:pPr>
              <w:jc w:val="left"/>
            </w:pPr>
          </w:p>
        </w:tc>
        <w:tc>
          <w:tcPr>
            <w:tcW w:w="800" w:type="pct"/>
            <w:shd w:val="clear" w:color="auto" w:fill="FFFFFF"/>
            <w:tcMar>
              <w:top w:w="20" w:type="dxa"/>
              <w:bottom w:w="20" w:type="dxa"/>
            </w:tcMar>
            <w:vAlign w:val="center"/>
          </w:tcPr>
          <w:p w:rsidR="0035701C" w:rsidRDefault="0035701C">
            <w:pPr>
              <w:jc w:val="left"/>
            </w:pPr>
          </w:p>
        </w:tc>
        <w:tc>
          <w:tcPr>
            <w:tcW w:w="800" w:type="pct"/>
            <w:shd w:val="clear" w:color="auto" w:fill="FFFFFF"/>
            <w:tcMar>
              <w:top w:w="20" w:type="dxa"/>
              <w:bottom w:w="20" w:type="dxa"/>
            </w:tcMar>
            <w:vAlign w:val="center"/>
          </w:tcPr>
          <w:p w:rsidR="0035701C" w:rsidRDefault="0035701C">
            <w:pPr>
              <w:jc w:val="left"/>
            </w:pPr>
          </w:p>
        </w:tc>
      </w:tr>
      <w:tr w:rsidR="0035701C">
        <w:tc>
          <w:tcPr>
            <w:tcW w:w="1000" w:type="pct"/>
            <w:vMerge/>
            <w:shd w:val="clear" w:color="auto" w:fill="FFFFFF"/>
            <w:tcMar>
              <w:top w:w="20" w:type="dxa"/>
              <w:bottom w:w="20" w:type="dxa"/>
            </w:tcMar>
            <w:vAlign w:val="center"/>
          </w:tcPr>
          <w:p w:rsidR="0035701C" w:rsidRDefault="0035701C">
            <w:pPr>
              <w:jc w:val="left"/>
            </w:pPr>
          </w:p>
        </w:tc>
        <w:tc>
          <w:tcPr>
            <w:tcW w:w="200" w:type="pct"/>
            <w:shd w:val="clear" w:color="auto" w:fill="FFFFFF"/>
            <w:tcMar>
              <w:top w:w="20" w:type="dxa"/>
              <w:bottom w:w="20" w:type="dxa"/>
            </w:tcMar>
            <w:vAlign w:val="center"/>
          </w:tcPr>
          <w:p w:rsidR="0035701C" w:rsidRDefault="00FB561B">
            <w:pPr>
              <w:jc w:val="center"/>
            </w:pPr>
            <w:r>
              <w:t xml:space="preserve"> X </w:t>
            </w:r>
          </w:p>
        </w:tc>
        <w:tc>
          <w:tcPr>
            <w:tcW w:w="1000" w:type="pct"/>
            <w:shd w:val="clear" w:color="auto" w:fill="FFFFFF"/>
            <w:tcMar>
              <w:top w:w="20" w:type="dxa"/>
              <w:bottom w:w="20" w:type="dxa"/>
            </w:tcMar>
            <w:vAlign w:val="center"/>
          </w:tcPr>
          <w:p w:rsidR="0035701C" w:rsidRDefault="00FB561B">
            <w:pPr>
              <w:jc w:val="left"/>
            </w:pPr>
            <w:r>
              <w:t xml:space="preserve">Nombre d’exploitations </w:t>
            </w:r>
            <w:r>
              <w:t>participant aux programmes de gestion des risques (domaine prioritaire 3B)</w:t>
            </w:r>
          </w:p>
        </w:tc>
        <w:tc>
          <w:tcPr>
            <w:tcW w:w="800" w:type="pct"/>
            <w:shd w:val="clear" w:color="auto" w:fill="FFFFFF"/>
            <w:tcMar>
              <w:top w:w="20" w:type="dxa"/>
              <w:bottom w:w="20" w:type="dxa"/>
            </w:tcMar>
            <w:vAlign w:val="center"/>
          </w:tcPr>
          <w:p w:rsidR="0035701C" w:rsidRDefault="0035701C">
            <w:pPr>
              <w:jc w:val="left"/>
            </w:pPr>
          </w:p>
        </w:tc>
        <w:tc>
          <w:tcPr>
            <w:tcW w:w="800" w:type="pct"/>
            <w:shd w:val="clear" w:color="auto" w:fill="FFFFFF"/>
            <w:tcMar>
              <w:top w:w="20" w:type="dxa"/>
              <w:bottom w:w="20" w:type="dxa"/>
            </w:tcMar>
            <w:vAlign w:val="center"/>
          </w:tcPr>
          <w:p w:rsidR="0035701C" w:rsidRDefault="0035701C">
            <w:pPr>
              <w:jc w:val="left"/>
            </w:pPr>
          </w:p>
        </w:tc>
        <w:tc>
          <w:tcPr>
            <w:tcW w:w="800" w:type="pct"/>
            <w:shd w:val="clear" w:color="auto" w:fill="FFFFFF"/>
            <w:tcMar>
              <w:top w:w="20" w:type="dxa"/>
              <w:bottom w:w="20" w:type="dxa"/>
            </w:tcMar>
            <w:vAlign w:val="center"/>
          </w:tcPr>
          <w:p w:rsidR="0035701C" w:rsidRDefault="0035701C">
            <w:pPr>
              <w:jc w:val="left"/>
            </w:pPr>
          </w:p>
        </w:tc>
        <w:tc>
          <w:tcPr>
            <w:tcW w:w="800" w:type="pct"/>
            <w:shd w:val="clear" w:color="auto" w:fill="FFFFFF"/>
            <w:tcMar>
              <w:top w:w="20" w:type="dxa"/>
              <w:bottom w:w="20" w:type="dxa"/>
            </w:tcMar>
            <w:vAlign w:val="center"/>
          </w:tcPr>
          <w:p w:rsidR="0035701C" w:rsidRDefault="0035701C">
            <w:pPr>
              <w:jc w:val="left"/>
            </w:pPr>
          </w:p>
        </w:tc>
      </w:tr>
      <w:tr w:rsidR="0035701C">
        <w:tc>
          <w:tcPr>
            <w:tcW w:w="1000" w:type="pct"/>
            <w:vMerge w:val="restart"/>
            <w:shd w:val="clear" w:color="auto" w:fill="FFFFFF"/>
            <w:tcMar>
              <w:top w:w="20" w:type="dxa"/>
              <w:bottom w:w="20" w:type="dxa"/>
            </w:tcMar>
            <w:vAlign w:val="center"/>
          </w:tcPr>
          <w:p w:rsidR="0035701C" w:rsidRDefault="00FB561B">
            <w:pPr>
              <w:jc w:val="left"/>
            </w:pPr>
            <w:r>
              <w:t>P4: restaurer, préserver et renforcer les écosystèmes liés à l'agriculture et à la foresterie</w:t>
            </w:r>
          </w:p>
        </w:tc>
        <w:tc>
          <w:tcPr>
            <w:tcW w:w="200" w:type="pct"/>
            <w:shd w:val="clear" w:color="auto" w:fill="FFFFFF"/>
            <w:tcMar>
              <w:top w:w="20" w:type="dxa"/>
              <w:bottom w:w="20" w:type="dxa"/>
            </w:tcMar>
            <w:vAlign w:val="center"/>
          </w:tcPr>
          <w:p w:rsidR="0035701C" w:rsidRDefault="00FB561B">
            <w:pPr>
              <w:jc w:val="center"/>
            </w:pPr>
            <w:r>
              <w:t xml:space="preserve"> X </w:t>
            </w:r>
          </w:p>
        </w:tc>
        <w:tc>
          <w:tcPr>
            <w:tcW w:w="1000" w:type="pct"/>
            <w:shd w:val="clear" w:color="auto" w:fill="FFFFFF"/>
            <w:tcMar>
              <w:top w:w="20" w:type="dxa"/>
              <w:bottom w:w="20" w:type="dxa"/>
            </w:tcMar>
            <w:vAlign w:val="center"/>
          </w:tcPr>
          <w:p w:rsidR="0035701C" w:rsidRDefault="00FB561B">
            <w:pPr>
              <w:jc w:val="left"/>
            </w:pPr>
            <w:r>
              <w:t>Total des dépenses publiques P4 (EUR)</w:t>
            </w:r>
          </w:p>
        </w:tc>
        <w:tc>
          <w:tcPr>
            <w:tcW w:w="800" w:type="pct"/>
            <w:shd w:val="clear" w:color="auto" w:fill="FFFFFF"/>
            <w:tcMar>
              <w:top w:w="20" w:type="dxa"/>
              <w:bottom w:w="20" w:type="dxa"/>
            </w:tcMar>
            <w:vAlign w:val="center"/>
          </w:tcPr>
          <w:p w:rsidR="0035701C" w:rsidRDefault="00FB561B">
            <w:pPr>
              <w:jc w:val="right"/>
            </w:pPr>
            <w:r>
              <w:t>176 755 094,00</w:t>
            </w:r>
          </w:p>
        </w:tc>
        <w:tc>
          <w:tcPr>
            <w:tcW w:w="800" w:type="pct"/>
            <w:shd w:val="clear" w:color="auto" w:fill="FFFFFF"/>
            <w:tcMar>
              <w:top w:w="20" w:type="dxa"/>
              <w:bottom w:w="20" w:type="dxa"/>
            </w:tcMar>
            <w:vAlign w:val="center"/>
          </w:tcPr>
          <w:p w:rsidR="0035701C" w:rsidRDefault="0035701C">
            <w:pPr>
              <w:jc w:val="right"/>
            </w:pPr>
          </w:p>
        </w:tc>
        <w:tc>
          <w:tcPr>
            <w:tcW w:w="800" w:type="pct"/>
            <w:shd w:val="clear" w:color="auto" w:fill="FFFFFF"/>
            <w:tcMar>
              <w:top w:w="20" w:type="dxa"/>
              <w:bottom w:w="20" w:type="dxa"/>
            </w:tcMar>
            <w:vAlign w:val="center"/>
          </w:tcPr>
          <w:p w:rsidR="0035701C" w:rsidRDefault="00FB561B">
            <w:pPr>
              <w:jc w:val="right"/>
            </w:pPr>
            <w:r>
              <w:t>3 920 000,00</w:t>
            </w:r>
          </w:p>
        </w:tc>
        <w:tc>
          <w:tcPr>
            <w:tcW w:w="800" w:type="pct"/>
            <w:shd w:val="clear" w:color="auto" w:fill="FFFFFF"/>
            <w:tcMar>
              <w:top w:w="20" w:type="dxa"/>
              <w:bottom w:w="20" w:type="dxa"/>
            </w:tcMar>
            <w:vAlign w:val="center"/>
          </w:tcPr>
          <w:p w:rsidR="0035701C" w:rsidRDefault="00FB561B">
            <w:pPr>
              <w:jc w:val="right"/>
            </w:pPr>
            <w:r>
              <w:t>172 835 094,00</w:t>
            </w:r>
          </w:p>
        </w:tc>
      </w:tr>
      <w:tr w:rsidR="0035701C">
        <w:tc>
          <w:tcPr>
            <w:tcW w:w="1000" w:type="pct"/>
            <w:vMerge/>
            <w:shd w:val="clear" w:color="auto" w:fill="FFFFFF"/>
            <w:tcMar>
              <w:top w:w="20" w:type="dxa"/>
              <w:bottom w:w="20" w:type="dxa"/>
            </w:tcMar>
            <w:vAlign w:val="center"/>
          </w:tcPr>
          <w:p w:rsidR="0035701C" w:rsidRDefault="0035701C">
            <w:pPr>
              <w:jc w:val="left"/>
            </w:pPr>
          </w:p>
        </w:tc>
        <w:tc>
          <w:tcPr>
            <w:tcW w:w="200" w:type="pct"/>
            <w:shd w:val="clear" w:color="auto" w:fill="FFFFFF"/>
            <w:tcMar>
              <w:top w:w="20" w:type="dxa"/>
              <w:bottom w:w="20" w:type="dxa"/>
            </w:tcMar>
            <w:vAlign w:val="center"/>
          </w:tcPr>
          <w:p w:rsidR="0035701C" w:rsidRDefault="00FB561B">
            <w:pPr>
              <w:jc w:val="center"/>
            </w:pPr>
            <w:r>
              <w:t xml:space="preserve"> X </w:t>
            </w:r>
          </w:p>
        </w:tc>
        <w:tc>
          <w:tcPr>
            <w:tcW w:w="1000" w:type="pct"/>
            <w:shd w:val="clear" w:color="auto" w:fill="FFFFFF"/>
            <w:tcMar>
              <w:top w:w="20" w:type="dxa"/>
              <w:bottom w:w="20" w:type="dxa"/>
            </w:tcMar>
            <w:vAlign w:val="center"/>
          </w:tcPr>
          <w:p w:rsidR="0035701C" w:rsidRDefault="00FB561B">
            <w:pPr>
              <w:jc w:val="left"/>
            </w:pPr>
            <w:r>
              <w:t>Terres agricoles sous contrats de gestion qui contribuent à la biodiversité (ha) (domaine prioritaire 4A) + amélioration de la gestion de l’eau (ha) (domaine prioritaire 4B) + amélioration de la gestion des sols et prévention de l’éros</w:t>
            </w:r>
            <w:r>
              <w:t>ion des sols (ha) (domaine prioritaire 4C)</w:t>
            </w:r>
          </w:p>
        </w:tc>
        <w:tc>
          <w:tcPr>
            <w:tcW w:w="800" w:type="pct"/>
            <w:shd w:val="clear" w:color="auto" w:fill="FFFFFF"/>
            <w:tcMar>
              <w:top w:w="20" w:type="dxa"/>
              <w:bottom w:w="20" w:type="dxa"/>
            </w:tcMar>
            <w:vAlign w:val="center"/>
          </w:tcPr>
          <w:p w:rsidR="0035701C" w:rsidRDefault="00FB561B">
            <w:pPr>
              <w:jc w:val="right"/>
            </w:pPr>
            <w:r>
              <w:t>10 307,00</w:t>
            </w:r>
          </w:p>
        </w:tc>
        <w:tc>
          <w:tcPr>
            <w:tcW w:w="800" w:type="pct"/>
            <w:shd w:val="clear" w:color="auto" w:fill="FFFFFF"/>
            <w:tcMar>
              <w:top w:w="20" w:type="dxa"/>
              <w:bottom w:w="20" w:type="dxa"/>
            </w:tcMar>
            <w:vAlign w:val="center"/>
          </w:tcPr>
          <w:p w:rsidR="0035701C" w:rsidRDefault="0035701C">
            <w:pPr>
              <w:jc w:val="right"/>
            </w:pPr>
          </w:p>
        </w:tc>
        <w:tc>
          <w:tcPr>
            <w:tcW w:w="800" w:type="pct"/>
            <w:shd w:val="clear" w:color="auto" w:fill="FFFFFF"/>
            <w:tcMar>
              <w:top w:w="20" w:type="dxa"/>
              <w:bottom w:w="20" w:type="dxa"/>
            </w:tcMar>
            <w:vAlign w:val="center"/>
          </w:tcPr>
          <w:p w:rsidR="0035701C" w:rsidRDefault="0035701C">
            <w:pPr>
              <w:jc w:val="right"/>
            </w:pPr>
          </w:p>
        </w:tc>
        <w:tc>
          <w:tcPr>
            <w:tcW w:w="800" w:type="pct"/>
            <w:shd w:val="clear" w:color="auto" w:fill="FFFFFF"/>
            <w:tcMar>
              <w:top w:w="20" w:type="dxa"/>
              <w:bottom w:w="20" w:type="dxa"/>
            </w:tcMar>
            <w:vAlign w:val="center"/>
          </w:tcPr>
          <w:p w:rsidR="0035701C" w:rsidRDefault="00FB561B">
            <w:pPr>
              <w:jc w:val="right"/>
            </w:pPr>
            <w:r>
              <w:t>10 307,00</w:t>
            </w:r>
          </w:p>
        </w:tc>
      </w:tr>
      <w:tr w:rsidR="0035701C">
        <w:tc>
          <w:tcPr>
            <w:tcW w:w="1000" w:type="pct"/>
            <w:vMerge w:val="restart"/>
            <w:shd w:val="clear" w:color="auto" w:fill="FFFFFF"/>
            <w:tcMar>
              <w:top w:w="20" w:type="dxa"/>
              <w:bottom w:w="20" w:type="dxa"/>
            </w:tcMar>
            <w:vAlign w:val="center"/>
          </w:tcPr>
          <w:p w:rsidR="0035701C" w:rsidRDefault="00FB561B">
            <w:pPr>
              <w:jc w:val="left"/>
            </w:pPr>
            <w:r>
              <w:t xml:space="preserve">P5: promouvoir l’utilisation efficace des ressources et soutenir la transition vers une économie à faibles émissions de CO2 et résiliente aux changements climatiques, dans les secteurs </w:t>
            </w:r>
            <w:r>
              <w:t>agricole et alimentaire ainsi que dans le secteur de la foresterie</w:t>
            </w:r>
          </w:p>
        </w:tc>
        <w:tc>
          <w:tcPr>
            <w:tcW w:w="200" w:type="pct"/>
            <w:shd w:val="clear" w:color="auto" w:fill="FFFFFF"/>
            <w:tcMar>
              <w:top w:w="20" w:type="dxa"/>
              <w:bottom w:w="20" w:type="dxa"/>
            </w:tcMar>
            <w:vAlign w:val="center"/>
          </w:tcPr>
          <w:p w:rsidR="0035701C" w:rsidRDefault="00FB561B">
            <w:pPr>
              <w:jc w:val="center"/>
            </w:pPr>
            <w:r>
              <w:t xml:space="preserve"> X </w:t>
            </w:r>
          </w:p>
        </w:tc>
        <w:tc>
          <w:tcPr>
            <w:tcW w:w="1000" w:type="pct"/>
            <w:shd w:val="clear" w:color="auto" w:fill="FFFFFF"/>
            <w:tcMar>
              <w:top w:w="20" w:type="dxa"/>
              <w:bottom w:w="20" w:type="dxa"/>
            </w:tcMar>
            <w:vAlign w:val="center"/>
          </w:tcPr>
          <w:p w:rsidR="0035701C" w:rsidRDefault="00FB561B">
            <w:pPr>
              <w:jc w:val="left"/>
            </w:pPr>
            <w:r>
              <w:t>Total des dépenses publiques P5 (EUR)</w:t>
            </w:r>
          </w:p>
        </w:tc>
        <w:tc>
          <w:tcPr>
            <w:tcW w:w="800" w:type="pct"/>
            <w:shd w:val="clear" w:color="auto" w:fill="FFFFFF"/>
            <w:tcMar>
              <w:top w:w="20" w:type="dxa"/>
              <w:bottom w:w="20" w:type="dxa"/>
            </w:tcMar>
            <w:vAlign w:val="center"/>
          </w:tcPr>
          <w:p w:rsidR="0035701C" w:rsidRDefault="00FB561B">
            <w:pPr>
              <w:jc w:val="right"/>
            </w:pPr>
            <w:r>
              <w:t>4 850 000,00</w:t>
            </w:r>
          </w:p>
        </w:tc>
        <w:tc>
          <w:tcPr>
            <w:tcW w:w="800" w:type="pct"/>
            <w:shd w:val="clear" w:color="auto" w:fill="FFFFFF"/>
            <w:tcMar>
              <w:top w:w="20" w:type="dxa"/>
              <w:bottom w:w="20" w:type="dxa"/>
            </w:tcMar>
            <w:vAlign w:val="center"/>
          </w:tcPr>
          <w:p w:rsidR="0035701C" w:rsidRDefault="0035701C">
            <w:pPr>
              <w:jc w:val="right"/>
            </w:pPr>
          </w:p>
        </w:tc>
        <w:tc>
          <w:tcPr>
            <w:tcW w:w="800" w:type="pct"/>
            <w:shd w:val="clear" w:color="auto" w:fill="FFFFFF"/>
            <w:tcMar>
              <w:top w:w="20" w:type="dxa"/>
              <w:bottom w:w="20" w:type="dxa"/>
            </w:tcMar>
            <w:vAlign w:val="center"/>
          </w:tcPr>
          <w:p w:rsidR="0035701C" w:rsidRDefault="0035701C">
            <w:pPr>
              <w:jc w:val="right"/>
            </w:pPr>
          </w:p>
        </w:tc>
        <w:tc>
          <w:tcPr>
            <w:tcW w:w="800" w:type="pct"/>
            <w:shd w:val="clear" w:color="auto" w:fill="FFFFFF"/>
            <w:tcMar>
              <w:top w:w="20" w:type="dxa"/>
              <w:bottom w:w="20" w:type="dxa"/>
            </w:tcMar>
            <w:vAlign w:val="center"/>
          </w:tcPr>
          <w:p w:rsidR="0035701C" w:rsidRDefault="00FB561B">
            <w:pPr>
              <w:jc w:val="right"/>
            </w:pPr>
            <w:r>
              <w:t>4 850 000,00</w:t>
            </w:r>
          </w:p>
        </w:tc>
      </w:tr>
      <w:tr w:rsidR="0035701C">
        <w:tc>
          <w:tcPr>
            <w:tcW w:w="1000" w:type="pct"/>
            <w:vMerge/>
            <w:shd w:val="clear" w:color="auto" w:fill="FFFFFF"/>
            <w:tcMar>
              <w:top w:w="20" w:type="dxa"/>
              <w:bottom w:w="20" w:type="dxa"/>
            </w:tcMar>
            <w:vAlign w:val="center"/>
          </w:tcPr>
          <w:p w:rsidR="0035701C" w:rsidRDefault="0035701C">
            <w:pPr>
              <w:jc w:val="left"/>
            </w:pPr>
          </w:p>
        </w:tc>
        <w:tc>
          <w:tcPr>
            <w:tcW w:w="200" w:type="pct"/>
            <w:shd w:val="clear" w:color="auto" w:fill="FFFFFF"/>
            <w:tcMar>
              <w:top w:w="20" w:type="dxa"/>
              <w:bottom w:w="20" w:type="dxa"/>
            </w:tcMar>
            <w:vAlign w:val="center"/>
          </w:tcPr>
          <w:p w:rsidR="0035701C" w:rsidRDefault="00FB561B">
            <w:pPr>
              <w:jc w:val="center"/>
            </w:pPr>
            <w:r>
              <w:t xml:space="preserve"> X </w:t>
            </w:r>
          </w:p>
        </w:tc>
        <w:tc>
          <w:tcPr>
            <w:tcW w:w="1000" w:type="pct"/>
            <w:shd w:val="clear" w:color="auto" w:fill="FFFFFF"/>
            <w:tcMar>
              <w:top w:w="20" w:type="dxa"/>
              <w:bottom w:w="20" w:type="dxa"/>
            </w:tcMar>
            <w:vAlign w:val="center"/>
          </w:tcPr>
          <w:p w:rsidR="0035701C" w:rsidRDefault="00FB561B">
            <w:pPr>
              <w:jc w:val="left"/>
            </w:pPr>
            <w:r>
              <w:t xml:space="preserve">Terres agricoles et forestières sous contrats de gestion visant à promouvoir la séquestration/conservation du </w:t>
            </w:r>
            <w:r>
              <w:t xml:space="preserve">carbone (ha) (domaine prioritaire 5E) + terres agricoles sous contrats de gestion visant à réduire les émissions de gaz à effet de serre et/ou les émissions d'ammoniac (ha) (domaine prioritaire 5D) + terres irriguées passant à un système d'irrigation plus </w:t>
            </w:r>
            <w:r>
              <w:t>efficace (ha)  (domaine prioritaire 5A)</w:t>
            </w:r>
          </w:p>
        </w:tc>
        <w:tc>
          <w:tcPr>
            <w:tcW w:w="800" w:type="pct"/>
            <w:shd w:val="clear" w:color="auto" w:fill="FFFFFF"/>
            <w:tcMar>
              <w:top w:w="20" w:type="dxa"/>
              <w:bottom w:w="20" w:type="dxa"/>
            </w:tcMar>
            <w:vAlign w:val="center"/>
          </w:tcPr>
          <w:p w:rsidR="0035701C" w:rsidRDefault="00FB561B">
            <w:pPr>
              <w:jc w:val="right"/>
            </w:pPr>
            <w:r>
              <w:t>15,00</w:t>
            </w:r>
          </w:p>
        </w:tc>
        <w:tc>
          <w:tcPr>
            <w:tcW w:w="800" w:type="pct"/>
            <w:shd w:val="clear" w:color="auto" w:fill="FFFFFF"/>
            <w:tcMar>
              <w:top w:w="20" w:type="dxa"/>
              <w:bottom w:w="20" w:type="dxa"/>
            </w:tcMar>
            <w:vAlign w:val="center"/>
          </w:tcPr>
          <w:p w:rsidR="0035701C" w:rsidRDefault="0035701C">
            <w:pPr>
              <w:jc w:val="right"/>
            </w:pPr>
          </w:p>
        </w:tc>
        <w:tc>
          <w:tcPr>
            <w:tcW w:w="800" w:type="pct"/>
            <w:shd w:val="clear" w:color="auto" w:fill="FFFFFF"/>
            <w:tcMar>
              <w:top w:w="20" w:type="dxa"/>
              <w:bottom w:w="20" w:type="dxa"/>
            </w:tcMar>
            <w:vAlign w:val="center"/>
          </w:tcPr>
          <w:p w:rsidR="0035701C" w:rsidRDefault="0035701C">
            <w:pPr>
              <w:jc w:val="right"/>
            </w:pPr>
          </w:p>
        </w:tc>
        <w:tc>
          <w:tcPr>
            <w:tcW w:w="800" w:type="pct"/>
            <w:shd w:val="clear" w:color="auto" w:fill="FFFFFF"/>
            <w:tcMar>
              <w:top w:w="20" w:type="dxa"/>
              <w:bottom w:w="20" w:type="dxa"/>
            </w:tcMar>
            <w:vAlign w:val="center"/>
          </w:tcPr>
          <w:p w:rsidR="0035701C" w:rsidRDefault="00FB561B">
            <w:pPr>
              <w:jc w:val="right"/>
            </w:pPr>
            <w:r>
              <w:t>15,00</w:t>
            </w:r>
          </w:p>
        </w:tc>
      </w:tr>
      <w:tr w:rsidR="0035701C">
        <w:tc>
          <w:tcPr>
            <w:tcW w:w="1000" w:type="pct"/>
            <w:vMerge/>
            <w:shd w:val="clear" w:color="auto" w:fill="FFFFFF"/>
            <w:tcMar>
              <w:top w:w="20" w:type="dxa"/>
              <w:bottom w:w="20" w:type="dxa"/>
            </w:tcMar>
            <w:vAlign w:val="center"/>
          </w:tcPr>
          <w:p w:rsidR="0035701C" w:rsidRDefault="0035701C">
            <w:pPr>
              <w:jc w:val="left"/>
            </w:pPr>
          </w:p>
        </w:tc>
        <w:tc>
          <w:tcPr>
            <w:tcW w:w="200" w:type="pct"/>
            <w:shd w:val="clear" w:color="auto" w:fill="FFFFFF"/>
            <w:tcMar>
              <w:top w:w="20" w:type="dxa"/>
              <w:bottom w:w="20" w:type="dxa"/>
            </w:tcMar>
            <w:vAlign w:val="center"/>
          </w:tcPr>
          <w:p w:rsidR="0035701C" w:rsidRDefault="00FB561B">
            <w:pPr>
              <w:jc w:val="center"/>
            </w:pPr>
            <w:r>
              <w:t xml:space="preserve"> X </w:t>
            </w:r>
          </w:p>
        </w:tc>
        <w:tc>
          <w:tcPr>
            <w:tcW w:w="1000" w:type="pct"/>
            <w:shd w:val="clear" w:color="auto" w:fill="FFFFFF"/>
            <w:tcMar>
              <w:top w:w="20" w:type="dxa"/>
              <w:bottom w:w="20" w:type="dxa"/>
            </w:tcMar>
            <w:vAlign w:val="center"/>
          </w:tcPr>
          <w:p w:rsidR="0035701C" w:rsidRDefault="00FB561B">
            <w:pPr>
              <w:jc w:val="left"/>
            </w:pPr>
            <w:r>
              <w:t>Nombre d’opérations d’investissements dans les économies d’énergie et l’efficacité énergétique (domaine prioritaire 5B) + dans la production d’énergie renouvelable (domaine prioritaire 5C)</w:t>
            </w:r>
          </w:p>
        </w:tc>
        <w:tc>
          <w:tcPr>
            <w:tcW w:w="800" w:type="pct"/>
            <w:shd w:val="clear" w:color="auto" w:fill="FFFFFF"/>
            <w:tcMar>
              <w:top w:w="20" w:type="dxa"/>
              <w:bottom w:w="20" w:type="dxa"/>
            </w:tcMar>
            <w:vAlign w:val="center"/>
          </w:tcPr>
          <w:p w:rsidR="0035701C" w:rsidRDefault="0035701C">
            <w:pPr>
              <w:jc w:val="left"/>
            </w:pPr>
          </w:p>
        </w:tc>
        <w:tc>
          <w:tcPr>
            <w:tcW w:w="800" w:type="pct"/>
            <w:shd w:val="clear" w:color="auto" w:fill="FFFFFF"/>
            <w:tcMar>
              <w:top w:w="20" w:type="dxa"/>
              <w:bottom w:w="20" w:type="dxa"/>
            </w:tcMar>
            <w:vAlign w:val="center"/>
          </w:tcPr>
          <w:p w:rsidR="0035701C" w:rsidRDefault="0035701C">
            <w:pPr>
              <w:jc w:val="left"/>
            </w:pPr>
          </w:p>
        </w:tc>
        <w:tc>
          <w:tcPr>
            <w:tcW w:w="800" w:type="pct"/>
            <w:shd w:val="clear" w:color="auto" w:fill="FFFFFF"/>
            <w:tcMar>
              <w:top w:w="20" w:type="dxa"/>
              <w:bottom w:w="20" w:type="dxa"/>
            </w:tcMar>
            <w:vAlign w:val="center"/>
          </w:tcPr>
          <w:p w:rsidR="0035701C" w:rsidRDefault="0035701C">
            <w:pPr>
              <w:jc w:val="left"/>
            </w:pPr>
          </w:p>
        </w:tc>
        <w:tc>
          <w:tcPr>
            <w:tcW w:w="800" w:type="pct"/>
            <w:shd w:val="clear" w:color="auto" w:fill="FFFFFF"/>
            <w:tcMar>
              <w:top w:w="20" w:type="dxa"/>
              <w:bottom w:w="20" w:type="dxa"/>
            </w:tcMar>
            <w:vAlign w:val="center"/>
          </w:tcPr>
          <w:p w:rsidR="0035701C" w:rsidRDefault="0035701C">
            <w:pPr>
              <w:jc w:val="left"/>
            </w:pPr>
          </w:p>
        </w:tc>
      </w:tr>
      <w:tr w:rsidR="0035701C">
        <w:tc>
          <w:tcPr>
            <w:tcW w:w="1000" w:type="pct"/>
            <w:vMerge w:val="restart"/>
            <w:shd w:val="clear" w:color="auto" w:fill="FFFFFF"/>
            <w:tcMar>
              <w:top w:w="20" w:type="dxa"/>
              <w:bottom w:w="20" w:type="dxa"/>
            </w:tcMar>
            <w:vAlign w:val="center"/>
          </w:tcPr>
          <w:p w:rsidR="0035701C" w:rsidRDefault="00FB561B">
            <w:pPr>
              <w:jc w:val="left"/>
            </w:pPr>
            <w:r>
              <w:t>P6: promouvoir l'inclusion sociale, la réduction de la pauvreté et le développement économique dans les zones rurales</w:t>
            </w:r>
          </w:p>
        </w:tc>
        <w:tc>
          <w:tcPr>
            <w:tcW w:w="200" w:type="pct"/>
            <w:shd w:val="clear" w:color="auto" w:fill="FFFFFF"/>
            <w:tcMar>
              <w:top w:w="20" w:type="dxa"/>
              <w:bottom w:w="20" w:type="dxa"/>
            </w:tcMar>
            <w:vAlign w:val="center"/>
          </w:tcPr>
          <w:p w:rsidR="0035701C" w:rsidRDefault="00FB561B">
            <w:pPr>
              <w:jc w:val="center"/>
            </w:pPr>
            <w:r>
              <w:t xml:space="preserve"> X </w:t>
            </w:r>
          </w:p>
        </w:tc>
        <w:tc>
          <w:tcPr>
            <w:tcW w:w="1000" w:type="pct"/>
            <w:shd w:val="clear" w:color="auto" w:fill="FFFFFF"/>
            <w:tcMar>
              <w:top w:w="20" w:type="dxa"/>
              <w:bottom w:w="20" w:type="dxa"/>
            </w:tcMar>
            <w:vAlign w:val="center"/>
          </w:tcPr>
          <w:p w:rsidR="0035701C" w:rsidRDefault="00FB561B">
            <w:pPr>
              <w:jc w:val="left"/>
            </w:pPr>
            <w:r>
              <w:t>Total des dépenses publiques P6 (EUR)</w:t>
            </w:r>
          </w:p>
        </w:tc>
        <w:tc>
          <w:tcPr>
            <w:tcW w:w="800" w:type="pct"/>
            <w:shd w:val="clear" w:color="auto" w:fill="FFFFFF"/>
            <w:tcMar>
              <w:top w:w="20" w:type="dxa"/>
              <w:bottom w:w="20" w:type="dxa"/>
            </w:tcMar>
            <w:vAlign w:val="center"/>
          </w:tcPr>
          <w:p w:rsidR="0035701C" w:rsidRDefault="00FB561B">
            <w:pPr>
              <w:jc w:val="right"/>
            </w:pPr>
            <w:r>
              <w:t>33 509 225,00</w:t>
            </w:r>
          </w:p>
        </w:tc>
        <w:tc>
          <w:tcPr>
            <w:tcW w:w="800" w:type="pct"/>
            <w:shd w:val="clear" w:color="auto" w:fill="FFFFFF"/>
            <w:tcMar>
              <w:top w:w="20" w:type="dxa"/>
              <w:bottom w:w="20" w:type="dxa"/>
            </w:tcMar>
            <w:vAlign w:val="center"/>
          </w:tcPr>
          <w:p w:rsidR="0035701C" w:rsidRDefault="0035701C">
            <w:pPr>
              <w:jc w:val="right"/>
            </w:pPr>
          </w:p>
        </w:tc>
        <w:tc>
          <w:tcPr>
            <w:tcW w:w="800" w:type="pct"/>
            <w:shd w:val="clear" w:color="auto" w:fill="FFFFFF"/>
            <w:tcMar>
              <w:top w:w="20" w:type="dxa"/>
              <w:bottom w:w="20" w:type="dxa"/>
            </w:tcMar>
            <w:vAlign w:val="center"/>
          </w:tcPr>
          <w:p w:rsidR="0035701C" w:rsidRDefault="0035701C">
            <w:pPr>
              <w:jc w:val="right"/>
            </w:pPr>
          </w:p>
        </w:tc>
        <w:tc>
          <w:tcPr>
            <w:tcW w:w="800" w:type="pct"/>
            <w:shd w:val="clear" w:color="auto" w:fill="FFFFFF"/>
            <w:tcMar>
              <w:top w:w="20" w:type="dxa"/>
              <w:bottom w:w="20" w:type="dxa"/>
            </w:tcMar>
            <w:vAlign w:val="center"/>
          </w:tcPr>
          <w:p w:rsidR="0035701C" w:rsidRDefault="00FB561B">
            <w:pPr>
              <w:jc w:val="right"/>
            </w:pPr>
            <w:r>
              <w:t>33 509 225,00</w:t>
            </w:r>
          </w:p>
        </w:tc>
      </w:tr>
      <w:tr w:rsidR="0035701C">
        <w:tc>
          <w:tcPr>
            <w:tcW w:w="1000" w:type="pct"/>
            <w:vMerge/>
            <w:shd w:val="clear" w:color="auto" w:fill="FFFFFF"/>
            <w:tcMar>
              <w:top w:w="20" w:type="dxa"/>
              <w:bottom w:w="20" w:type="dxa"/>
            </w:tcMar>
            <w:vAlign w:val="center"/>
          </w:tcPr>
          <w:p w:rsidR="0035701C" w:rsidRDefault="0035701C">
            <w:pPr>
              <w:jc w:val="left"/>
            </w:pPr>
          </w:p>
        </w:tc>
        <w:tc>
          <w:tcPr>
            <w:tcW w:w="200" w:type="pct"/>
            <w:shd w:val="clear" w:color="auto" w:fill="FFFFFF"/>
            <w:tcMar>
              <w:top w:w="20" w:type="dxa"/>
              <w:bottom w:w="20" w:type="dxa"/>
            </w:tcMar>
            <w:vAlign w:val="center"/>
          </w:tcPr>
          <w:p w:rsidR="0035701C" w:rsidRDefault="00FB561B">
            <w:pPr>
              <w:jc w:val="center"/>
            </w:pPr>
            <w:r>
              <w:t xml:space="preserve"> X </w:t>
            </w:r>
          </w:p>
        </w:tc>
        <w:tc>
          <w:tcPr>
            <w:tcW w:w="1000" w:type="pct"/>
            <w:shd w:val="clear" w:color="auto" w:fill="FFFFFF"/>
            <w:tcMar>
              <w:top w:w="20" w:type="dxa"/>
              <w:bottom w:w="20" w:type="dxa"/>
            </w:tcMar>
            <w:vAlign w:val="center"/>
          </w:tcPr>
          <w:p w:rsidR="0035701C" w:rsidRDefault="00FB561B">
            <w:pPr>
              <w:jc w:val="left"/>
            </w:pPr>
            <w:r>
              <w:t xml:space="preserve">Nombre d’opérations bénéficiant d'un soutien visant à </w:t>
            </w:r>
            <w:r>
              <w:t>améliorer les services de base et les infrastructures dans les zones rurales (domaines prioritaires 6B et 6C)</w:t>
            </w:r>
          </w:p>
        </w:tc>
        <w:tc>
          <w:tcPr>
            <w:tcW w:w="800" w:type="pct"/>
            <w:shd w:val="clear" w:color="auto" w:fill="FFFFFF"/>
            <w:tcMar>
              <w:top w:w="20" w:type="dxa"/>
              <w:bottom w:w="20" w:type="dxa"/>
            </w:tcMar>
            <w:vAlign w:val="center"/>
          </w:tcPr>
          <w:p w:rsidR="0035701C" w:rsidRDefault="00FB561B">
            <w:pPr>
              <w:jc w:val="right"/>
            </w:pPr>
            <w:r>
              <w:t>28,00</w:t>
            </w:r>
          </w:p>
        </w:tc>
        <w:tc>
          <w:tcPr>
            <w:tcW w:w="800" w:type="pct"/>
            <w:shd w:val="clear" w:color="auto" w:fill="FFFFFF"/>
            <w:tcMar>
              <w:top w:w="20" w:type="dxa"/>
              <w:bottom w:w="20" w:type="dxa"/>
            </w:tcMar>
            <w:vAlign w:val="center"/>
          </w:tcPr>
          <w:p w:rsidR="0035701C" w:rsidRDefault="0035701C">
            <w:pPr>
              <w:jc w:val="right"/>
            </w:pPr>
          </w:p>
        </w:tc>
        <w:tc>
          <w:tcPr>
            <w:tcW w:w="800" w:type="pct"/>
            <w:shd w:val="clear" w:color="auto" w:fill="FFFFFF"/>
            <w:tcMar>
              <w:top w:w="20" w:type="dxa"/>
              <w:bottom w:w="20" w:type="dxa"/>
            </w:tcMar>
            <w:vAlign w:val="center"/>
          </w:tcPr>
          <w:p w:rsidR="0035701C" w:rsidRDefault="0035701C">
            <w:pPr>
              <w:jc w:val="right"/>
            </w:pPr>
          </w:p>
        </w:tc>
        <w:tc>
          <w:tcPr>
            <w:tcW w:w="800" w:type="pct"/>
            <w:shd w:val="clear" w:color="auto" w:fill="FFFFFF"/>
            <w:tcMar>
              <w:top w:w="20" w:type="dxa"/>
              <w:bottom w:w="20" w:type="dxa"/>
            </w:tcMar>
            <w:vAlign w:val="center"/>
          </w:tcPr>
          <w:p w:rsidR="0035701C" w:rsidRDefault="00FB561B">
            <w:pPr>
              <w:jc w:val="right"/>
            </w:pPr>
            <w:r>
              <w:t>28,00</w:t>
            </w:r>
          </w:p>
        </w:tc>
      </w:tr>
      <w:tr w:rsidR="0035701C">
        <w:tc>
          <w:tcPr>
            <w:tcW w:w="1000" w:type="pct"/>
            <w:vMerge/>
            <w:shd w:val="clear" w:color="auto" w:fill="FFFFFF"/>
            <w:tcMar>
              <w:top w:w="20" w:type="dxa"/>
              <w:bottom w:w="20" w:type="dxa"/>
            </w:tcMar>
            <w:vAlign w:val="center"/>
          </w:tcPr>
          <w:p w:rsidR="0035701C" w:rsidRDefault="0035701C">
            <w:pPr>
              <w:jc w:val="left"/>
            </w:pPr>
          </w:p>
        </w:tc>
        <w:tc>
          <w:tcPr>
            <w:tcW w:w="200" w:type="pct"/>
            <w:shd w:val="clear" w:color="auto" w:fill="FFFFFF"/>
            <w:tcMar>
              <w:top w:w="20" w:type="dxa"/>
              <w:bottom w:w="20" w:type="dxa"/>
            </w:tcMar>
            <w:vAlign w:val="center"/>
          </w:tcPr>
          <w:p w:rsidR="0035701C" w:rsidRDefault="00FB561B">
            <w:pPr>
              <w:jc w:val="center"/>
            </w:pPr>
            <w:r>
              <w:t xml:space="preserve"> X </w:t>
            </w:r>
          </w:p>
        </w:tc>
        <w:tc>
          <w:tcPr>
            <w:tcW w:w="1000" w:type="pct"/>
            <w:shd w:val="clear" w:color="auto" w:fill="FFFFFF"/>
            <w:tcMar>
              <w:top w:w="20" w:type="dxa"/>
              <w:bottom w:w="20" w:type="dxa"/>
            </w:tcMar>
            <w:vAlign w:val="center"/>
          </w:tcPr>
          <w:p w:rsidR="0035701C" w:rsidRDefault="00FB561B">
            <w:pPr>
              <w:jc w:val="left"/>
            </w:pPr>
            <w:r>
              <w:t>Population concernée par les groupes d’action locale (domaine prioritaire 6B)</w:t>
            </w:r>
          </w:p>
        </w:tc>
        <w:tc>
          <w:tcPr>
            <w:tcW w:w="800" w:type="pct"/>
            <w:shd w:val="clear" w:color="auto" w:fill="FFFFFF"/>
            <w:tcMar>
              <w:top w:w="20" w:type="dxa"/>
              <w:bottom w:w="20" w:type="dxa"/>
            </w:tcMar>
            <w:vAlign w:val="center"/>
          </w:tcPr>
          <w:p w:rsidR="0035701C" w:rsidRDefault="00FB561B">
            <w:pPr>
              <w:jc w:val="right"/>
            </w:pPr>
            <w:r>
              <w:t>170 000,00</w:t>
            </w:r>
          </w:p>
        </w:tc>
        <w:tc>
          <w:tcPr>
            <w:tcW w:w="800" w:type="pct"/>
            <w:shd w:val="clear" w:color="auto" w:fill="FFFFFF"/>
            <w:tcMar>
              <w:top w:w="20" w:type="dxa"/>
              <w:bottom w:w="20" w:type="dxa"/>
            </w:tcMar>
            <w:vAlign w:val="center"/>
          </w:tcPr>
          <w:p w:rsidR="0035701C" w:rsidRDefault="0035701C">
            <w:pPr>
              <w:jc w:val="right"/>
            </w:pPr>
          </w:p>
        </w:tc>
        <w:tc>
          <w:tcPr>
            <w:tcW w:w="800" w:type="pct"/>
            <w:shd w:val="clear" w:color="auto" w:fill="FFFFFF"/>
            <w:tcMar>
              <w:top w:w="20" w:type="dxa"/>
              <w:bottom w:w="20" w:type="dxa"/>
            </w:tcMar>
            <w:vAlign w:val="center"/>
          </w:tcPr>
          <w:p w:rsidR="0035701C" w:rsidRDefault="0035701C">
            <w:pPr>
              <w:jc w:val="right"/>
            </w:pPr>
          </w:p>
        </w:tc>
        <w:tc>
          <w:tcPr>
            <w:tcW w:w="800" w:type="pct"/>
            <w:shd w:val="clear" w:color="auto" w:fill="FFFFFF"/>
            <w:tcMar>
              <w:top w:w="20" w:type="dxa"/>
              <w:bottom w:w="20" w:type="dxa"/>
            </w:tcMar>
            <w:vAlign w:val="center"/>
          </w:tcPr>
          <w:p w:rsidR="0035701C" w:rsidRDefault="00FB561B">
            <w:pPr>
              <w:jc w:val="right"/>
            </w:pPr>
            <w:r>
              <w:t>170 000,00</w:t>
            </w:r>
          </w:p>
        </w:tc>
      </w:tr>
    </w:tbl>
    <w:p w:rsidR="0035701C" w:rsidRDefault="0035701C">
      <w:pPr>
        <w:rPr>
          <w:b/>
        </w:rPr>
      </w:pPr>
    </w:p>
    <w:p w:rsidR="0035701C" w:rsidRDefault="0035701C">
      <w:pPr>
        <w:rPr>
          <w:b/>
        </w:rPr>
        <w:sectPr w:rsidR="0035701C">
          <w:pgSz w:w="15840" w:h="12240" w:orient="landscape"/>
          <w:pgMar w:top="900" w:right="900" w:bottom="900" w:left="900" w:header="720" w:footer="720" w:gutter="0"/>
          <w:cols w:space="720"/>
        </w:sectPr>
      </w:pPr>
    </w:p>
    <w:p w:rsidR="0035701C" w:rsidRDefault="00FB561B">
      <w:pPr>
        <w:pStyle w:val="Titre3"/>
        <w:jc w:val="left"/>
      </w:pPr>
      <w:bookmarkStart w:id="90" w:name="_Toc256000089"/>
      <w:r>
        <w:t xml:space="preserve">P2: </w:t>
      </w:r>
      <w:r>
        <w:t>amélioration de la viabilité des exploitations agricoles et la compétitivité de tous les types d'agriculture dans toutes les régions et promotion des technologies agricoles innovantes et de la gestion durable des forêts</w:t>
      </w:r>
      <w:bookmarkEnd w:id="90"/>
    </w:p>
    <w:p w:rsidR="0035701C" w:rsidRDefault="00FB561B">
      <w:pPr>
        <w:pStyle w:val="Titre4"/>
        <w:jc w:val="left"/>
      </w:pPr>
      <w:r>
        <w:t>Nombre d'exploitations agricoles bén</w:t>
      </w:r>
      <w:r>
        <w:t>éficiant d'un soutien au titre du PDR pour des investissements dans la restructuration ou la modernisation (domaine prioritaire 2A) + exploitations avec un plan d'entreprise/des investissements pour les jeunes agriculteurs soutenus par le PDR (domaine prio</w:t>
      </w:r>
      <w:r>
        <w:t>ritaire 2B)</w:t>
      </w:r>
    </w:p>
    <w:p w:rsidR="0035701C" w:rsidRDefault="00FB561B">
      <w:r>
        <w:t xml:space="preserve">Applicable: </w:t>
      </w:r>
      <w:r>
        <w:t>Oui</w:t>
      </w:r>
    </w:p>
    <w:p w:rsidR="0035701C" w:rsidRDefault="00FB561B">
      <w:r>
        <w:t>Valeur cible pour 2025 (a): 1 454,00</w:t>
      </w:r>
    </w:p>
    <w:p w:rsidR="0035701C" w:rsidRDefault="00FB561B">
      <w:r>
        <w:t>Ajustements/Compléments (b): 292,00</w:t>
      </w:r>
    </w:p>
    <w:p w:rsidR="0035701C" w:rsidRDefault="00FB561B">
      <w:r>
        <w:t>Ajustement Next Generation EU (C): 29,00</w:t>
      </w:r>
    </w:p>
    <w:p w:rsidR="0035701C" w:rsidRDefault="00FB561B">
      <w:r>
        <w:t>Valeur absolue cible (A-B-C): 1 133,00</w:t>
      </w:r>
    </w:p>
    <w:p w:rsidR="0035701C" w:rsidRDefault="00FB561B">
      <w:pPr>
        <w:pStyle w:val="Titre4"/>
        <w:jc w:val="left"/>
      </w:pPr>
      <w:r>
        <w:t>Total des dépenses publiques P2 (EUR)</w:t>
      </w:r>
    </w:p>
    <w:p w:rsidR="0035701C" w:rsidRDefault="00FB561B">
      <w:r>
        <w:t>Applicable: Oui</w:t>
      </w:r>
    </w:p>
    <w:p w:rsidR="0035701C" w:rsidRDefault="00FB561B">
      <w:r>
        <w:t>Valeur cible pour 202</w:t>
      </w:r>
      <w:r>
        <w:t>5 (a): 85 400 878,00</w:t>
      </w:r>
    </w:p>
    <w:p w:rsidR="0035701C" w:rsidRDefault="00FB561B">
      <w:r>
        <w:t>Ajustements/Compléments (b): 14 860 000,00</w:t>
      </w:r>
    </w:p>
    <w:p w:rsidR="0035701C" w:rsidRDefault="00FB561B">
      <w:r>
        <w:t>Ajustement Next Generation EU (C): 1 191 480,00</w:t>
      </w:r>
    </w:p>
    <w:p w:rsidR="0035701C" w:rsidRDefault="00FB561B">
      <w:r>
        <w:t>Valeur absolue cible (A-B-C): 69 349 398,00</w:t>
      </w:r>
    </w:p>
    <w:p w:rsidR="0035701C" w:rsidRDefault="00FB561B">
      <w:pPr>
        <w:pStyle w:val="Titre3"/>
        <w:jc w:val="left"/>
      </w:pPr>
      <w:bookmarkStart w:id="91" w:name="_Toc256000090"/>
      <w:r>
        <w:t xml:space="preserve">P3: promouvoir l'organisation de la chaîne alimentaire, y compris la transformation et la </w:t>
      </w:r>
      <w:r>
        <w:t>commercialisation des produits agricoles, le bien-être animal ainsi que la gestion des risques dans le secteur de l'agriculture</w:t>
      </w:r>
      <w:bookmarkEnd w:id="91"/>
    </w:p>
    <w:p w:rsidR="0035701C" w:rsidRDefault="00FB561B">
      <w:pPr>
        <w:pStyle w:val="Titre4"/>
        <w:jc w:val="left"/>
      </w:pPr>
      <w:r>
        <w:t>Total des dépenses publiques P3 (EUR)</w:t>
      </w:r>
    </w:p>
    <w:p w:rsidR="0035701C" w:rsidRDefault="00FB561B">
      <w:r>
        <w:t xml:space="preserve">Applicable: </w:t>
      </w:r>
      <w:r>
        <w:t>Oui</w:t>
      </w:r>
    </w:p>
    <w:p w:rsidR="0035701C" w:rsidRDefault="00FB561B">
      <w:r>
        <w:t>Valeur cible pour 2025 (a): 9 300 000,00</w:t>
      </w:r>
    </w:p>
    <w:p w:rsidR="0035701C" w:rsidRDefault="00FB561B">
      <w:r>
        <w:t>Ajustements/Compléments (b): 2 10</w:t>
      </w:r>
      <w:r>
        <w:t>0 000,00</w:t>
      </w:r>
    </w:p>
    <w:p w:rsidR="0035701C" w:rsidRDefault="00FB561B">
      <w:r>
        <w:t>Ajustement Next Generation EU (C): 3 600 000,00</w:t>
      </w:r>
    </w:p>
    <w:p w:rsidR="0035701C" w:rsidRDefault="00FB561B">
      <w:r>
        <w:t>Valeur absolue cible (A-B-C): 3 600 000,00</w:t>
      </w:r>
    </w:p>
    <w:p w:rsidR="0035701C" w:rsidRDefault="00FB561B">
      <w:pPr>
        <w:pStyle w:val="Titre4"/>
        <w:jc w:val="left"/>
      </w:pPr>
      <w:r>
        <w:t>Nombre d’exploitations agricoles soutenues percevant un soutien pour participer à des systèmes de qualité, des marchés locaux/circuits d’approvisionnement c</w:t>
      </w:r>
      <w:r>
        <w:t xml:space="preserve">ourts ou des groupements de producteurs (domaine prioritaire 3A) </w:t>
      </w:r>
    </w:p>
    <w:p w:rsidR="0035701C" w:rsidRDefault="00FB561B">
      <w:r>
        <w:t>Applicable: Non</w:t>
      </w:r>
    </w:p>
    <w:p w:rsidR="0035701C" w:rsidRDefault="00FB561B">
      <w:r>
        <w:t>Valeur cible pour 2025 (a): 0,00</w:t>
      </w:r>
    </w:p>
    <w:p w:rsidR="0035701C" w:rsidRDefault="00FB561B">
      <w:r>
        <w:t xml:space="preserve">Ajustements/Compléments (b): </w:t>
      </w:r>
    </w:p>
    <w:p w:rsidR="0035701C" w:rsidRDefault="00FB561B">
      <w:r>
        <w:t>Ajustement Next Generation EU (C): 0,00</w:t>
      </w:r>
    </w:p>
    <w:p w:rsidR="0035701C" w:rsidRDefault="00FB561B">
      <w:r>
        <w:t>Valeur absolue cible (A-B-C): 0,00</w:t>
      </w:r>
    </w:p>
    <w:p w:rsidR="0035701C" w:rsidRDefault="00FB561B">
      <w:pPr>
        <w:pStyle w:val="Titre4"/>
        <w:jc w:val="left"/>
      </w:pPr>
      <w:r>
        <w:t>Nombre d’exploitations participant a</w:t>
      </w:r>
      <w:r>
        <w:t>ux programmes de gestion des risques (domaine prioritaire 3B)</w:t>
      </w:r>
    </w:p>
    <w:p w:rsidR="0035701C" w:rsidRDefault="00FB561B">
      <w:r>
        <w:t>Applicable: Oui</w:t>
      </w:r>
    </w:p>
    <w:p w:rsidR="0035701C" w:rsidRDefault="00FB561B">
      <w:r>
        <w:t>Valeur cible pour 2025 (a): 0,00</w:t>
      </w:r>
    </w:p>
    <w:p w:rsidR="0035701C" w:rsidRDefault="00FB561B">
      <w:r>
        <w:t xml:space="preserve">Ajustements/Compléments (b): </w:t>
      </w:r>
    </w:p>
    <w:p w:rsidR="0035701C" w:rsidRDefault="00FB561B">
      <w:r>
        <w:t>Ajustement Next Generation EU (C): 0,00</w:t>
      </w:r>
    </w:p>
    <w:p w:rsidR="0035701C" w:rsidRDefault="00FB561B">
      <w:r>
        <w:t>Valeur absolue cible (A-B-C): 0,00</w:t>
      </w:r>
    </w:p>
    <w:p w:rsidR="0035701C" w:rsidRDefault="00FB561B">
      <w:pPr>
        <w:pStyle w:val="Titre3"/>
        <w:jc w:val="left"/>
      </w:pPr>
      <w:bookmarkStart w:id="92" w:name="_Toc256000091"/>
      <w:r>
        <w:t>P4: restaurer, préserver et renforcer le</w:t>
      </w:r>
      <w:r>
        <w:t>s écosystèmes liés à l'agriculture et à la foresterie</w:t>
      </w:r>
      <w:bookmarkEnd w:id="92"/>
    </w:p>
    <w:p w:rsidR="0035701C" w:rsidRDefault="00FB561B">
      <w:pPr>
        <w:pStyle w:val="Titre4"/>
        <w:jc w:val="left"/>
      </w:pPr>
      <w:r>
        <w:t>Total des dépenses publiques P4 (EUR)</w:t>
      </w:r>
    </w:p>
    <w:p w:rsidR="0035701C" w:rsidRDefault="00FB561B">
      <w:r>
        <w:t xml:space="preserve">Applicable: </w:t>
      </w:r>
      <w:r>
        <w:t>Oui</w:t>
      </w:r>
    </w:p>
    <w:p w:rsidR="0035701C" w:rsidRDefault="00FB561B">
      <w:r>
        <w:t>Valeur cible pour 2025 (a): 176 755 094,00</w:t>
      </w:r>
    </w:p>
    <w:p w:rsidR="0035701C" w:rsidRDefault="00FB561B">
      <w:r>
        <w:t xml:space="preserve">Ajustements/Compléments (b): </w:t>
      </w:r>
    </w:p>
    <w:p w:rsidR="0035701C" w:rsidRDefault="00FB561B">
      <w:r>
        <w:t>Ajustement Next Generation EU (C): 3 920 000,00</w:t>
      </w:r>
    </w:p>
    <w:p w:rsidR="0035701C" w:rsidRDefault="00FB561B">
      <w:r>
        <w:t>Valeur absolue cible (A-B-C</w:t>
      </w:r>
      <w:r>
        <w:t>): 172 835 094,00</w:t>
      </w:r>
    </w:p>
    <w:p w:rsidR="0035701C" w:rsidRDefault="00FB561B">
      <w:pPr>
        <w:pStyle w:val="Titre4"/>
        <w:jc w:val="left"/>
      </w:pPr>
      <w:r>
        <w:t>Terres agricoles sous contrats de gestion qui contribuent à la biodiversité (ha) (domaine prioritaire 4A) + amélioration de la gestion de l’eau (ha) (domaine prioritaire 4B) + amélioration de la gestion des sols et prévention de l’érosion</w:t>
      </w:r>
      <w:r>
        <w:t xml:space="preserve"> des sols (ha) (domaine prioritaire 4C)</w:t>
      </w:r>
    </w:p>
    <w:p w:rsidR="0035701C" w:rsidRDefault="00FB561B">
      <w:r>
        <w:t>Applicable: Oui</w:t>
      </w:r>
    </w:p>
    <w:p w:rsidR="0035701C" w:rsidRDefault="00FB561B">
      <w:r>
        <w:t>Valeur cible pour 2025 (a): 10 307,00</w:t>
      </w:r>
    </w:p>
    <w:p w:rsidR="0035701C" w:rsidRDefault="00FB561B">
      <w:r>
        <w:t xml:space="preserve">Ajustements/Compléments (b): </w:t>
      </w:r>
    </w:p>
    <w:p w:rsidR="0035701C" w:rsidRDefault="00FB561B">
      <w:r>
        <w:t>Ajustement Next Generation EU (C): 0,00</w:t>
      </w:r>
    </w:p>
    <w:p w:rsidR="0035701C" w:rsidRDefault="00FB561B">
      <w:r>
        <w:t>Valeur absolue cible (A-B-C): 10 307,00</w:t>
      </w:r>
    </w:p>
    <w:p w:rsidR="0035701C" w:rsidRDefault="00FB561B">
      <w:pPr>
        <w:pStyle w:val="Titre3"/>
        <w:jc w:val="left"/>
      </w:pPr>
      <w:bookmarkStart w:id="93" w:name="_Toc256000092"/>
      <w:r>
        <w:t>P5: promouvoir l’utilisation efficace des ressources</w:t>
      </w:r>
      <w:r>
        <w:t xml:space="preserve"> et soutenir la transition vers une économie à faibles émissions de CO2 et résiliente aux changements climatiques, dans les secteurs agricole et alimentaire ainsi que dans le secteur de la foresterie</w:t>
      </w:r>
      <w:bookmarkEnd w:id="93"/>
    </w:p>
    <w:p w:rsidR="0035701C" w:rsidRDefault="00FB561B">
      <w:pPr>
        <w:pStyle w:val="Titre4"/>
        <w:jc w:val="left"/>
      </w:pPr>
      <w:r>
        <w:t>Total des dépenses publiques P5 (EUR)</w:t>
      </w:r>
    </w:p>
    <w:p w:rsidR="0035701C" w:rsidRDefault="00FB561B">
      <w:r>
        <w:t xml:space="preserve">Applicable: </w:t>
      </w:r>
      <w:r>
        <w:t>Oui</w:t>
      </w:r>
    </w:p>
    <w:p w:rsidR="0035701C" w:rsidRDefault="00FB561B">
      <w:r>
        <w:t>Va</w:t>
      </w:r>
      <w:r>
        <w:t>leur cible pour 2025 (a): 4 850 000,00</w:t>
      </w:r>
    </w:p>
    <w:p w:rsidR="0035701C" w:rsidRDefault="00FB561B">
      <w:r>
        <w:t xml:space="preserve">Ajustements/Compléments (b): </w:t>
      </w:r>
    </w:p>
    <w:p w:rsidR="0035701C" w:rsidRDefault="00FB561B">
      <w:r>
        <w:t>Ajustement Next Generation EU (C): 0,00</w:t>
      </w:r>
    </w:p>
    <w:p w:rsidR="0035701C" w:rsidRDefault="00FB561B">
      <w:r>
        <w:t>Valeur absolue cible (A-B-C): 4 850 000,00</w:t>
      </w:r>
    </w:p>
    <w:p w:rsidR="0035701C" w:rsidRDefault="00FB561B">
      <w:pPr>
        <w:pStyle w:val="Titre4"/>
        <w:jc w:val="left"/>
      </w:pPr>
      <w:r>
        <w:t>Terres agricoles et forestières sous contrats de gestion visant à promouvoir la séquestration/conservati</w:t>
      </w:r>
      <w:r>
        <w:t>on du carbone (ha) (domaine prioritaire 5E) + terres agricoles sous contrats de gestion visant à réduire les émissions de gaz à effet de serre et/ou les émissions d'ammoniac (ha) (domaine prioritaire 5D) + terres irriguées passant à un système d'irrigation</w:t>
      </w:r>
      <w:r>
        <w:t xml:space="preserve"> plus efficace (ha)  (domaine prioritaire 5A)</w:t>
      </w:r>
    </w:p>
    <w:p w:rsidR="0035701C" w:rsidRDefault="00FB561B">
      <w:r>
        <w:t>Applicable: Oui</w:t>
      </w:r>
    </w:p>
    <w:p w:rsidR="0035701C" w:rsidRDefault="00FB561B">
      <w:r>
        <w:t>Valeur cible pour 2025 (a): 15,00</w:t>
      </w:r>
    </w:p>
    <w:p w:rsidR="0035701C" w:rsidRDefault="00FB561B">
      <w:r>
        <w:t xml:space="preserve">Ajustements/Compléments (b): </w:t>
      </w:r>
    </w:p>
    <w:p w:rsidR="0035701C" w:rsidRDefault="00FB561B">
      <w:r>
        <w:t>Ajustement Next Generation EU (C): 0,00</w:t>
      </w:r>
    </w:p>
    <w:p w:rsidR="0035701C" w:rsidRDefault="00FB561B">
      <w:r>
        <w:t>Valeur absolue cible (A-B-C): 15,00</w:t>
      </w:r>
    </w:p>
    <w:p w:rsidR="0035701C" w:rsidRDefault="00FB561B">
      <w:pPr>
        <w:pStyle w:val="Titre4"/>
        <w:jc w:val="left"/>
      </w:pPr>
      <w:r>
        <w:t>Nombre d’opérations d’investissements dans les économi</w:t>
      </w:r>
      <w:r>
        <w:t>es d’énergie et l’efficacité énergétique (domaine prioritaire 5B) + dans la production d’énergie renouvelable (domaine prioritaire 5C)</w:t>
      </w:r>
    </w:p>
    <w:p w:rsidR="0035701C" w:rsidRDefault="00FB561B">
      <w:r>
        <w:t>Applicable: Oui</w:t>
      </w:r>
    </w:p>
    <w:p w:rsidR="0035701C" w:rsidRDefault="00FB561B">
      <w:r>
        <w:t>Valeur cible pour 2025 (a): 0,00</w:t>
      </w:r>
    </w:p>
    <w:p w:rsidR="0035701C" w:rsidRDefault="00FB561B">
      <w:r>
        <w:t xml:space="preserve">Ajustements/Compléments (b): </w:t>
      </w:r>
    </w:p>
    <w:p w:rsidR="0035701C" w:rsidRDefault="00FB561B">
      <w:r>
        <w:t>Ajustement Next Generation EU (C): 0,00</w:t>
      </w:r>
    </w:p>
    <w:p w:rsidR="0035701C" w:rsidRDefault="00FB561B">
      <w:r>
        <w:t>Va</w:t>
      </w:r>
      <w:r>
        <w:t>leur absolue cible (A-B-C): 0,00</w:t>
      </w:r>
    </w:p>
    <w:p w:rsidR="0035701C" w:rsidRDefault="00FB561B">
      <w:pPr>
        <w:pStyle w:val="Titre3"/>
        <w:jc w:val="left"/>
      </w:pPr>
      <w:bookmarkStart w:id="94" w:name="_Toc256000093"/>
      <w:r>
        <w:t>P6: promouvoir l'inclusion sociale, la réduction de la pauvreté et le développement économique dans les zones rurales</w:t>
      </w:r>
      <w:bookmarkEnd w:id="94"/>
    </w:p>
    <w:p w:rsidR="0035701C" w:rsidRDefault="00FB561B">
      <w:pPr>
        <w:pStyle w:val="Titre4"/>
        <w:jc w:val="left"/>
      </w:pPr>
      <w:r>
        <w:t>Total des dépenses publiques P6 (EUR)</w:t>
      </w:r>
    </w:p>
    <w:p w:rsidR="0035701C" w:rsidRDefault="00FB561B">
      <w:r>
        <w:t xml:space="preserve">Applicable: </w:t>
      </w:r>
      <w:r>
        <w:t>Oui</w:t>
      </w:r>
    </w:p>
    <w:p w:rsidR="0035701C" w:rsidRDefault="00FB561B">
      <w:r>
        <w:t>Valeur cible pour 2025 (a): 33 509 225,00</w:t>
      </w:r>
    </w:p>
    <w:p w:rsidR="0035701C" w:rsidRDefault="00FB561B">
      <w:r>
        <w:t xml:space="preserve">Ajustements/Compléments (b): </w:t>
      </w:r>
    </w:p>
    <w:p w:rsidR="0035701C" w:rsidRDefault="00FB561B">
      <w:r>
        <w:t>Ajustement Next Generation EU (C): 0,00</w:t>
      </w:r>
    </w:p>
    <w:p w:rsidR="0035701C" w:rsidRDefault="00FB561B">
      <w:r>
        <w:t>Valeur absolue cible (A-B-C): 33 509 225,00</w:t>
      </w:r>
    </w:p>
    <w:p w:rsidR="0035701C" w:rsidRDefault="00FB561B">
      <w:pPr>
        <w:pStyle w:val="Titre4"/>
        <w:jc w:val="left"/>
      </w:pPr>
      <w:r>
        <w:t>Nombre d’opérations bénéficiant d'un soutien visant à améliorer les services de base et les infrastructures dans les zones rurales (domaines p</w:t>
      </w:r>
      <w:r>
        <w:t>rioritaires 6B et 6C)</w:t>
      </w:r>
    </w:p>
    <w:p w:rsidR="0035701C" w:rsidRDefault="00FB561B">
      <w:r>
        <w:t>Applicable: Oui</w:t>
      </w:r>
    </w:p>
    <w:p w:rsidR="0035701C" w:rsidRDefault="00FB561B">
      <w:r>
        <w:t>Valeur cible pour 2025 (a): 28,00</w:t>
      </w:r>
    </w:p>
    <w:p w:rsidR="0035701C" w:rsidRDefault="00FB561B">
      <w:r>
        <w:t xml:space="preserve">Ajustements/Compléments (b): </w:t>
      </w:r>
    </w:p>
    <w:p w:rsidR="0035701C" w:rsidRDefault="00FB561B">
      <w:r>
        <w:t>Ajustement Next Generation EU (C): 0,00</w:t>
      </w:r>
    </w:p>
    <w:p w:rsidR="0035701C" w:rsidRDefault="00FB561B">
      <w:r>
        <w:t>Valeur absolue cible (A-B-C): 28,00</w:t>
      </w:r>
    </w:p>
    <w:p w:rsidR="0035701C" w:rsidRDefault="00FB561B">
      <w:pPr>
        <w:pStyle w:val="Titre4"/>
        <w:jc w:val="left"/>
      </w:pPr>
      <w:r>
        <w:t>Population concernée par les groupes d’action locale (domaine prioritaire 6B)</w:t>
      </w:r>
    </w:p>
    <w:p w:rsidR="0035701C" w:rsidRDefault="00FB561B">
      <w:r>
        <w:t>Applicable: Oui</w:t>
      </w:r>
    </w:p>
    <w:p w:rsidR="0035701C" w:rsidRDefault="00FB561B">
      <w:r>
        <w:t>Valeur cible pour 2025 (a): 170 000,00</w:t>
      </w:r>
    </w:p>
    <w:p w:rsidR="0035701C" w:rsidRDefault="00FB561B">
      <w:r>
        <w:t xml:space="preserve">Ajustements/Compléments (b): </w:t>
      </w:r>
    </w:p>
    <w:p w:rsidR="0035701C" w:rsidRDefault="00FB561B">
      <w:r>
        <w:t>Ajustement Next Generation EU (C): 0,00</w:t>
      </w:r>
    </w:p>
    <w:p w:rsidR="0035701C" w:rsidRDefault="00FB561B">
      <w:r>
        <w:t>Valeur absolue cible (A-B-C): 170 000,00</w:t>
      </w:r>
    </w:p>
    <w:p w:rsidR="0035701C" w:rsidRDefault="0035701C">
      <w:pPr>
        <w:sectPr w:rsidR="0035701C">
          <w:pgSz w:w="12240" w:h="15840"/>
          <w:pgMar w:top="900" w:right="900" w:bottom="900" w:left="900" w:header="720" w:footer="720" w:gutter="0"/>
          <w:cols w:space="720"/>
        </w:sectPr>
      </w:pPr>
    </w:p>
    <w:p w:rsidR="0035701C" w:rsidRDefault="00FB561B">
      <w:pPr>
        <w:pStyle w:val="Titre2"/>
      </w:pPr>
      <w:bookmarkStart w:id="95" w:name="_Toc256000094"/>
      <w:r>
        <w:t>Autres indicateurs</w:t>
      </w:r>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7"/>
        <w:gridCol w:w="2037"/>
        <w:gridCol w:w="2037"/>
        <w:gridCol w:w="2037"/>
        <w:gridCol w:w="2037"/>
        <w:gridCol w:w="2037"/>
        <w:gridCol w:w="2034"/>
      </w:tblGrid>
      <w:tr w:rsidR="0035701C">
        <w:tc>
          <w:tcPr>
            <w:tcW w:w="800" w:type="pct"/>
            <w:shd w:val="clear" w:color="auto" w:fill="C0C0C0"/>
            <w:tcMar>
              <w:top w:w="20" w:type="dxa"/>
              <w:bottom w:w="20" w:type="dxa"/>
            </w:tcMar>
            <w:vAlign w:val="center"/>
          </w:tcPr>
          <w:p w:rsidR="0035701C" w:rsidRDefault="00FB561B">
            <w:pPr>
              <w:rPr>
                <w:b/>
              </w:rPr>
            </w:pPr>
            <w:r>
              <w:rPr>
                <w:b/>
              </w:rPr>
              <w:t>Priorité</w:t>
            </w:r>
          </w:p>
        </w:tc>
        <w:tc>
          <w:tcPr>
            <w:tcW w:w="800" w:type="pct"/>
            <w:shd w:val="clear" w:color="auto" w:fill="C0C0C0"/>
            <w:tcMar>
              <w:top w:w="20" w:type="dxa"/>
              <w:bottom w:w="20" w:type="dxa"/>
            </w:tcMar>
            <w:vAlign w:val="center"/>
          </w:tcPr>
          <w:p w:rsidR="0035701C" w:rsidRDefault="00FB561B">
            <w:pPr>
              <w:rPr>
                <w:b/>
              </w:rPr>
            </w:pPr>
            <w:r>
              <w:rPr>
                <w:b/>
              </w:rPr>
              <w:t>Applicable</w:t>
            </w:r>
          </w:p>
        </w:tc>
        <w:tc>
          <w:tcPr>
            <w:tcW w:w="800" w:type="pct"/>
            <w:shd w:val="clear" w:color="auto" w:fill="C0C0C0"/>
            <w:tcMar>
              <w:top w:w="20" w:type="dxa"/>
              <w:bottom w:w="20" w:type="dxa"/>
            </w:tcMar>
            <w:vAlign w:val="center"/>
          </w:tcPr>
          <w:p w:rsidR="0035701C" w:rsidRDefault="00FB561B">
            <w:pPr>
              <w:jc w:val="left"/>
              <w:rPr>
                <w:b/>
              </w:rPr>
            </w:pPr>
            <w:r>
              <w:rPr>
                <w:b/>
              </w:rPr>
              <w:t>Indicateur et unité de mesure, s’il y a l</w:t>
            </w:r>
            <w:r>
              <w:rPr>
                <w:b/>
              </w:rPr>
              <w:t>ieu</w:t>
            </w:r>
          </w:p>
        </w:tc>
        <w:tc>
          <w:tcPr>
            <w:tcW w:w="800" w:type="pct"/>
            <w:shd w:val="clear" w:color="auto" w:fill="C0C0C0"/>
            <w:tcMar>
              <w:top w:w="20" w:type="dxa"/>
              <w:bottom w:w="20" w:type="dxa"/>
            </w:tcMar>
            <w:vAlign w:val="center"/>
          </w:tcPr>
          <w:p w:rsidR="0035701C" w:rsidRDefault="00FB561B">
            <w:pPr>
              <w:jc w:val="left"/>
              <w:rPr>
                <w:b/>
              </w:rPr>
            </w:pPr>
            <w:r>
              <w:rPr>
                <w:b/>
              </w:rPr>
              <w:t>Valeur cible pour 2025 (a)</w:t>
            </w:r>
          </w:p>
        </w:tc>
        <w:tc>
          <w:tcPr>
            <w:tcW w:w="800" w:type="pct"/>
            <w:shd w:val="clear" w:color="auto" w:fill="C0C0C0"/>
            <w:tcMar>
              <w:top w:w="20" w:type="dxa"/>
              <w:bottom w:w="20" w:type="dxa"/>
            </w:tcMar>
            <w:vAlign w:val="center"/>
          </w:tcPr>
          <w:p w:rsidR="0035701C" w:rsidRDefault="00FB561B">
            <w:pPr>
              <w:jc w:val="left"/>
              <w:rPr>
                <w:b/>
              </w:rPr>
            </w:pPr>
            <w:r>
              <w:rPr>
                <w:b/>
              </w:rPr>
              <w:t>Ajustements/Compléments (b)</w:t>
            </w:r>
          </w:p>
        </w:tc>
        <w:tc>
          <w:tcPr>
            <w:tcW w:w="800" w:type="pct"/>
            <w:shd w:val="clear" w:color="auto" w:fill="C0C0C0"/>
            <w:tcMar>
              <w:top w:w="20" w:type="dxa"/>
              <w:bottom w:w="20" w:type="dxa"/>
            </w:tcMar>
            <w:vAlign w:val="center"/>
          </w:tcPr>
          <w:p w:rsidR="0035701C" w:rsidRDefault="00FB561B">
            <w:pPr>
              <w:jc w:val="left"/>
              <w:rPr>
                <w:b/>
              </w:rPr>
            </w:pPr>
            <w:r>
              <w:rPr>
                <w:b/>
              </w:rPr>
              <w:t>Ajustement Next Generation EU (C)</w:t>
            </w:r>
          </w:p>
        </w:tc>
        <w:tc>
          <w:tcPr>
            <w:tcW w:w="800" w:type="pct"/>
            <w:shd w:val="clear" w:color="auto" w:fill="C0C0C0"/>
            <w:tcMar>
              <w:top w:w="20" w:type="dxa"/>
              <w:bottom w:w="20" w:type="dxa"/>
            </w:tcMar>
            <w:vAlign w:val="center"/>
          </w:tcPr>
          <w:p w:rsidR="0035701C" w:rsidRDefault="00FB561B">
            <w:pPr>
              <w:jc w:val="left"/>
            </w:pPr>
            <w:r>
              <w:rPr>
                <w:b/>
              </w:rPr>
              <w:t>Valeur absolue cible (A-B-C)</w:t>
            </w:r>
          </w:p>
        </w:tc>
      </w:tr>
      <w:tr w:rsidR="0035701C">
        <w:tc>
          <w:tcPr>
            <w:tcW w:w="1000" w:type="pct"/>
            <w:vMerge w:val="restart"/>
            <w:shd w:val="clear" w:color="auto" w:fill="FFFFFF"/>
            <w:tcMar>
              <w:top w:w="20" w:type="dxa"/>
              <w:bottom w:w="20" w:type="dxa"/>
            </w:tcMar>
            <w:vAlign w:val="center"/>
          </w:tcPr>
          <w:p w:rsidR="0035701C" w:rsidRDefault="00FB561B">
            <w:pPr>
              <w:jc w:val="left"/>
            </w:pPr>
            <w:r>
              <w:t xml:space="preserve">P3: promouvoir l'organisation de la chaîne alimentaire, y compris la transformation et la commercialisation des produits agricoles, </w:t>
            </w:r>
            <w:r>
              <w:t>le bien-être animal ainsi que la gestion des risques dans le secteur de l'agriculture</w:t>
            </w:r>
          </w:p>
        </w:tc>
        <w:tc>
          <w:tcPr>
            <w:tcW w:w="200" w:type="pct"/>
            <w:shd w:val="clear" w:color="auto" w:fill="FFFFFF"/>
            <w:tcMar>
              <w:top w:w="20" w:type="dxa"/>
              <w:bottom w:w="20" w:type="dxa"/>
            </w:tcMar>
            <w:vAlign w:val="center"/>
          </w:tcPr>
          <w:p w:rsidR="0035701C" w:rsidRDefault="00FB561B">
            <w:pPr>
              <w:jc w:val="center"/>
            </w:pPr>
            <w:r>
              <w:t xml:space="preserve"> X </w:t>
            </w:r>
          </w:p>
        </w:tc>
        <w:tc>
          <w:tcPr>
            <w:tcW w:w="1000" w:type="pct"/>
            <w:shd w:val="clear" w:color="auto" w:fill="FFFFFF"/>
            <w:tcMar>
              <w:top w:w="20" w:type="dxa"/>
              <w:bottom w:w="20" w:type="dxa"/>
            </w:tcMar>
            <w:vAlign w:val="center"/>
          </w:tcPr>
          <w:p w:rsidR="0035701C" w:rsidRDefault="00FB561B">
            <w:pPr>
              <w:jc w:val="left"/>
            </w:pPr>
            <w:r>
              <w:t>Nombre d'entreprises bénéficiaires IAA</w:t>
            </w:r>
          </w:p>
        </w:tc>
        <w:tc>
          <w:tcPr>
            <w:tcW w:w="800" w:type="pct"/>
            <w:shd w:val="clear" w:color="auto" w:fill="FFFFFF"/>
            <w:tcMar>
              <w:top w:w="20" w:type="dxa"/>
              <w:bottom w:w="20" w:type="dxa"/>
            </w:tcMar>
            <w:vAlign w:val="center"/>
          </w:tcPr>
          <w:p w:rsidR="0035701C" w:rsidRDefault="00FB561B">
            <w:pPr>
              <w:jc w:val="right"/>
            </w:pPr>
            <w:r>
              <w:t>19,00</w:t>
            </w:r>
          </w:p>
        </w:tc>
        <w:tc>
          <w:tcPr>
            <w:tcW w:w="800" w:type="pct"/>
            <w:shd w:val="clear" w:color="auto" w:fill="FFFFFF"/>
            <w:tcMar>
              <w:top w:w="20" w:type="dxa"/>
              <w:bottom w:w="20" w:type="dxa"/>
            </w:tcMar>
            <w:vAlign w:val="center"/>
          </w:tcPr>
          <w:p w:rsidR="0035701C" w:rsidRDefault="00FB561B">
            <w:pPr>
              <w:jc w:val="right"/>
            </w:pPr>
            <w:r>
              <w:t>7,00</w:t>
            </w:r>
          </w:p>
        </w:tc>
        <w:tc>
          <w:tcPr>
            <w:tcW w:w="800" w:type="pct"/>
            <w:shd w:val="clear" w:color="auto" w:fill="FFFFFF"/>
            <w:tcMar>
              <w:top w:w="20" w:type="dxa"/>
              <w:bottom w:w="20" w:type="dxa"/>
            </w:tcMar>
            <w:vAlign w:val="center"/>
          </w:tcPr>
          <w:p w:rsidR="0035701C" w:rsidRDefault="0035701C">
            <w:pPr>
              <w:jc w:val="right"/>
            </w:pPr>
          </w:p>
        </w:tc>
        <w:tc>
          <w:tcPr>
            <w:tcW w:w="800" w:type="pct"/>
            <w:shd w:val="clear" w:color="auto" w:fill="FFFFFF"/>
            <w:tcMar>
              <w:top w:w="20" w:type="dxa"/>
              <w:bottom w:w="20" w:type="dxa"/>
            </w:tcMar>
            <w:vAlign w:val="center"/>
          </w:tcPr>
          <w:p w:rsidR="0035701C" w:rsidRDefault="00FB561B">
            <w:pPr>
              <w:jc w:val="right"/>
            </w:pPr>
            <w:r>
              <w:t>12,00</w:t>
            </w:r>
          </w:p>
        </w:tc>
      </w:tr>
      <w:tr w:rsidR="0035701C">
        <w:tc>
          <w:tcPr>
            <w:tcW w:w="1000" w:type="pct"/>
            <w:vMerge w:val="restart"/>
            <w:shd w:val="clear" w:color="auto" w:fill="FFFFFF"/>
            <w:tcMar>
              <w:top w:w="20" w:type="dxa"/>
              <w:bottom w:w="20" w:type="dxa"/>
            </w:tcMar>
            <w:vAlign w:val="center"/>
          </w:tcPr>
          <w:p w:rsidR="0035701C" w:rsidRDefault="00FB561B">
            <w:pPr>
              <w:jc w:val="left"/>
            </w:pPr>
            <w:r>
              <w:t>P4: restaurer, préserver et renforcer les écosystèmes liés à l'agriculture et à la foresterie</w:t>
            </w:r>
          </w:p>
        </w:tc>
        <w:tc>
          <w:tcPr>
            <w:tcW w:w="200" w:type="pct"/>
            <w:shd w:val="clear" w:color="auto" w:fill="FFFFFF"/>
            <w:tcMar>
              <w:top w:w="20" w:type="dxa"/>
              <w:bottom w:w="20" w:type="dxa"/>
            </w:tcMar>
            <w:vAlign w:val="center"/>
          </w:tcPr>
          <w:p w:rsidR="0035701C" w:rsidRDefault="00FB561B">
            <w:pPr>
              <w:jc w:val="center"/>
            </w:pPr>
            <w:r>
              <w:t xml:space="preserve"> X </w:t>
            </w:r>
          </w:p>
        </w:tc>
        <w:tc>
          <w:tcPr>
            <w:tcW w:w="1000" w:type="pct"/>
            <w:shd w:val="clear" w:color="auto" w:fill="FFFFFF"/>
            <w:tcMar>
              <w:top w:w="20" w:type="dxa"/>
              <w:bottom w:w="20" w:type="dxa"/>
            </w:tcMar>
            <w:vAlign w:val="center"/>
          </w:tcPr>
          <w:p w:rsidR="0035701C" w:rsidRDefault="00FB561B">
            <w:pPr>
              <w:jc w:val="left"/>
            </w:pPr>
            <w:r>
              <w:t xml:space="preserve">Surface </w:t>
            </w:r>
            <w:r>
              <w:t>physique ICHN</w:t>
            </w:r>
          </w:p>
        </w:tc>
        <w:tc>
          <w:tcPr>
            <w:tcW w:w="800" w:type="pct"/>
            <w:shd w:val="clear" w:color="auto" w:fill="FFFFFF"/>
            <w:tcMar>
              <w:top w:w="20" w:type="dxa"/>
              <w:bottom w:w="20" w:type="dxa"/>
            </w:tcMar>
            <w:vAlign w:val="center"/>
          </w:tcPr>
          <w:p w:rsidR="0035701C" w:rsidRDefault="00FB561B">
            <w:pPr>
              <w:jc w:val="right"/>
            </w:pPr>
            <w:r>
              <w:t>72 000,00</w:t>
            </w:r>
          </w:p>
        </w:tc>
        <w:tc>
          <w:tcPr>
            <w:tcW w:w="800" w:type="pct"/>
            <w:shd w:val="clear" w:color="auto" w:fill="FFFFFF"/>
            <w:tcMar>
              <w:top w:w="20" w:type="dxa"/>
              <w:bottom w:w="20" w:type="dxa"/>
            </w:tcMar>
            <w:vAlign w:val="center"/>
          </w:tcPr>
          <w:p w:rsidR="0035701C" w:rsidRDefault="0035701C">
            <w:pPr>
              <w:jc w:val="right"/>
            </w:pPr>
          </w:p>
        </w:tc>
        <w:tc>
          <w:tcPr>
            <w:tcW w:w="800" w:type="pct"/>
            <w:shd w:val="clear" w:color="auto" w:fill="FFFFFF"/>
            <w:tcMar>
              <w:top w:w="20" w:type="dxa"/>
              <w:bottom w:w="20" w:type="dxa"/>
            </w:tcMar>
            <w:vAlign w:val="center"/>
          </w:tcPr>
          <w:p w:rsidR="0035701C" w:rsidRDefault="0035701C">
            <w:pPr>
              <w:jc w:val="right"/>
            </w:pPr>
          </w:p>
        </w:tc>
        <w:tc>
          <w:tcPr>
            <w:tcW w:w="800" w:type="pct"/>
            <w:shd w:val="clear" w:color="auto" w:fill="FFFFFF"/>
            <w:tcMar>
              <w:top w:w="20" w:type="dxa"/>
              <w:bottom w:w="20" w:type="dxa"/>
            </w:tcMar>
            <w:vAlign w:val="center"/>
          </w:tcPr>
          <w:p w:rsidR="0035701C" w:rsidRDefault="00FB561B">
            <w:pPr>
              <w:jc w:val="right"/>
            </w:pPr>
            <w:r>
              <w:t>72 000,00</w:t>
            </w:r>
          </w:p>
        </w:tc>
      </w:tr>
      <w:tr w:rsidR="0035701C">
        <w:tc>
          <w:tcPr>
            <w:tcW w:w="1000" w:type="pct"/>
            <w:vMerge w:val="restart"/>
            <w:shd w:val="clear" w:color="auto" w:fill="FFFFFF"/>
            <w:tcMar>
              <w:top w:w="20" w:type="dxa"/>
              <w:bottom w:w="20" w:type="dxa"/>
            </w:tcMar>
            <w:vAlign w:val="center"/>
          </w:tcPr>
          <w:p w:rsidR="0035701C" w:rsidRDefault="00FB561B">
            <w:pPr>
              <w:jc w:val="left"/>
            </w:pPr>
            <w:r>
              <w:t xml:space="preserve">P5: promouvoir l’utilisation efficace des ressources et soutenir la transition vers une économie à faibles émissions de CO2 et résiliente aux changements climatiques, dans les secteurs agricole et alimentaire ainsi que </w:t>
            </w:r>
            <w:r>
              <w:t>dans le secteur de la foresterie</w:t>
            </w:r>
          </w:p>
        </w:tc>
        <w:tc>
          <w:tcPr>
            <w:tcW w:w="200" w:type="pct"/>
            <w:shd w:val="clear" w:color="auto" w:fill="FFFFFF"/>
            <w:tcMar>
              <w:top w:w="20" w:type="dxa"/>
              <w:bottom w:w="20" w:type="dxa"/>
            </w:tcMar>
            <w:vAlign w:val="center"/>
          </w:tcPr>
          <w:p w:rsidR="0035701C" w:rsidRDefault="00FB561B">
            <w:pPr>
              <w:jc w:val="center"/>
            </w:pPr>
            <w:r>
              <w:t xml:space="preserve"> X </w:t>
            </w:r>
          </w:p>
        </w:tc>
        <w:tc>
          <w:tcPr>
            <w:tcW w:w="1000" w:type="pct"/>
            <w:shd w:val="clear" w:color="auto" w:fill="FFFFFF"/>
            <w:tcMar>
              <w:top w:w="20" w:type="dxa"/>
              <w:bottom w:w="20" w:type="dxa"/>
            </w:tcMar>
            <w:vAlign w:val="center"/>
          </w:tcPr>
          <w:p w:rsidR="0035701C" w:rsidRDefault="00FB561B">
            <w:pPr>
              <w:jc w:val="left"/>
            </w:pPr>
            <w:r>
              <w:t>Nombre d'opérations concernant les entreprises de la filière forêt-bois (TO 6.4.2 + TO 8.6 relatives au DP 5E)</w:t>
            </w:r>
          </w:p>
        </w:tc>
        <w:tc>
          <w:tcPr>
            <w:tcW w:w="800" w:type="pct"/>
            <w:shd w:val="clear" w:color="auto" w:fill="FFFFFF"/>
            <w:tcMar>
              <w:top w:w="20" w:type="dxa"/>
              <w:bottom w:w="20" w:type="dxa"/>
            </w:tcMar>
            <w:vAlign w:val="center"/>
          </w:tcPr>
          <w:p w:rsidR="0035701C" w:rsidRDefault="00FB561B">
            <w:pPr>
              <w:jc w:val="right"/>
            </w:pPr>
            <w:r>
              <w:t>17,00</w:t>
            </w:r>
          </w:p>
        </w:tc>
        <w:tc>
          <w:tcPr>
            <w:tcW w:w="800" w:type="pct"/>
            <w:shd w:val="clear" w:color="auto" w:fill="FFFFFF"/>
            <w:tcMar>
              <w:top w:w="20" w:type="dxa"/>
              <w:bottom w:w="20" w:type="dxa"/>
            </w:tcMar>
            <w:vAlign w:val="center"/>
          </w:tcPr>
          <w:p w:rsidR="0035701C" w:rsidRDefault="0035701C">
            <w:pPr>
              <w:jc w:val="right"/>
            </w:pPr>
          </w:p>
        </w:tc>
        <w:tc>
          <w:tcPr>
            <w:tcW w:w="800" w:type="pct"/>
            <w:shd w:val="clear" w:color="auto" w:fill="FFFFFF"/>
            <w:tcMar>
              <w:top w:w="20" w:type="dxa"/>
              <w:bottom w:w="20" w:type="dxa"/>
            </w:tcMar>
            <w:vAlign w:val="center"/>
          </w:tcPr>
          <w:p w:rsidR="0035701C" w:rsidRDefault="0035701C">
            <w:pPr>
              <w:jc w:val="right"/>
            </w:pPr>
          </w:p>
        </w:tc>
        <w:tc>
          <w:tcPr>
            <w:tcW w:w="800" w:type="pct"/>
            <w:shd w:val="clear" w:color="auto" w:fill="FFFFFF"/>
            <w:tcMar>
              <w:top w:w="20" w:type="dxa"/>
              <w:bottom w:w="20" w:type="dxa"/>
            </w:tcMar>
            <w:vAlign w:val="center"/>
          </w:tcPr>
          <w:p w:rsidR="0035701C" w:rsidRDefault="00FB561B">
            <w:pPr>
              <w:jc w:val="right"/>
            </w:pPr>
            <w:r>
              <w:t>17,00</w:t>
            </w:r>
          </w:p>
        </w:tc>
      </w:tr>
      <w:tr w:rsidR="0035701C">
        <w:tc>
          <w:tcPr>
            <w:tcW w:w="1000" w:type="pct"/>
            <w:vMerge/>
            <w:shd w:val="clear" w:color="auto" w:fill="FFFFFF"/>
            <w:tcMar>
              <w:top w:w="20" w:type="dxa"/>
              <w:bottom w:w="20" w:type="dxa"/>
            </w:tcMar>
            <w:vAlign w:val="center"/>
          </w:tcPr>
          <w:p w:rsidR="0035701C" w:rsidRDefault="0035701C">
            <w:pPr>
              <w:jc w:val="left"/>
            </w:pPr>
          </w:p>
        </w:tc>
        <w:tc>
          <w:tcPr>
            <w:tcW w:w="200" w:type="pct"/>
            <w:shd w:val="clear" w:color="auto" w:fill="FFFFFF"/>
            <w:tcMar>
              <w:top w:w="20" w:type="dxa"/>
              <w:bottom w:w="20" w:type="dxa"/>
            </w:tcMar>
            <w:vAlign w:val="center"/>
          </w:tcPr>
          <w:p w:rsidR="0035701C" w:rsidRDefault="00FB561B">
            <w:pPr>
              <w:jc w:val="center"/>
            </w:pPr>
            <w:r>
              <w:t xml:space="preserve"> X </w:t>
            </w:r>
          </w:p>
        </w:tc>
        <w:tc>
          <w:tcPr>
            <w:tcW w:w="1000" w:type="pct"/>
            <w:shd w:val="clear" w:color="auto" w:fill="FFFFFF"/>
            <w:tcMar>
              <w:top w:w="20" w:type="dxa"/>
              <w:bottom w:w="20" w:type="dxa"/>
            </w:tcMar>
            <w:vAlign w:val="center"/>
          </w:tcPr>
          <w:p w:rsidR="0035701C" w:rsidRDefault="00FB561B">
            <w:pPr>
              <w:jc w:val="left"/>
            </w:pPr>
            <w:r>
              <w:t>Surfaces forestières dont la résilience est améliorée (TO 8.5)</w:t>
            </w:r>
          </w:p>
        </w:tc>
        <w:tc>
          <w:tcPr>
            <w:tcW w:w="800" w:type="pct"/>
            <w:shd w:val="clear" w:color="auto" w:fill="FFFFFF"/>
            <w:tcMar>
              <w:top w:w="20" w:type="dxa"/>
              <w:bottom w:w="20" w:type="dxa"/>
            </w:tcMar>
            <w:vAlign w:val="center"/>
          </w:tcPr>
          <w:p w:rsidR="0035701C" w:rsidRDefault="00FB561B">
            <w:pPr>
              <w:jc w:val="right"/>
            </w:pPr>
            <w:r>
              <w:t>75,00</w:t>
            </w:r>
          </w:p>
        </w:tc>
        <w:tc>
          <w:tcPr>
            <w:tcW w:w="800" w:type="pct"/>
            <w:shd w:val="clear" w:color="auto" w:fill="FFFFFF"/>
            <w:tcMar>
              <w:top w:w="20" w:type="dxa"/>
              <w:bottom w:w="20" w:type="dxa"/>
            </w:tcMar>
            <w:vAlign w:val="center"/>
          </w:tcPr>
          <w:p w:rsidR="0035701C" w:rsidRDefault="0035701C">
            <w:pPr>
              <w:jc w:val="right"/>
            </w:pPr>
          </w:p>
        </w:tc>
        <w:tc>
          <w:tcPr>
            <w:tcW w:w="800" w:type="pct"/>
            <w:shd w:val="clear" w:color="auto" w:fill="FFFFFF"/>
            <w:tcMar>
              <w:top w:w="20" w:type="dxa"/>
              <w:bottom w:w="20" w:type="dxa"/>
            </w:tcMar>
            <w:vAlign w:val="center"/>
          </w:tcPr>
          <w:p w:rsidR="0035701C" w:rsidRDefault="0035701C">
            <w:pPr>
              <w:jc w:val="right"/>
            </w:pPr>
          </w:p>
        </w:tc>
        <w:tc>
          <w:tcPr>
            <w:tcW w:w="800" w:type="pct"/>
            <w:shd w:val="clear" w:color="auto" w:fill="FFFFFF"/>
            <w:tcMar>
              <w:top w:w="20" w:type="dxa"/>
              <w:bottom w:w="20" w:type="dxa"/>
            </w:tcMar>
            <w:vAlign w:val="center"/>
          </w:tcPr>
          <w:p w:rsidR="0035701C" w:rsidRDefault="00FB561B">
            <w:pPr>
              <w:jc w:val="right"/>
            </w:pPr>
            <w:r>
              <w:t>75,00</w:t>
            </w:r>
          </w:p>
        </w:tc>
      </w:tr>
    </w:tbl>
    <w:p w:rsidR="0035701C" w:rsidRDefault="0035701C">
      <w:pPr>
        <w:rPr>
          <w:b/>
        </w:rPr>
      </w:pPr>
    </w:p>
    <w:p w:rsidR="0035701C" w:rsidRDefault="00FB561B">
      <w:pPr>
        <w:pStyle w:val="Titre3"/>
        <w:jc w:val="left"/>
      </w:pPr>
      <w:bookmarkStart w:id="96" w:name="_Toc256000095"/>
      <w:r>
        <w:t xml:space="preserve">P3: </w:t>
      </w:r>
      <w:r>
        <w:t>promouvoir l'organisation de la chaîne alimentaire, y compris la transformation et la commercialisation des produits agricoles, le bien-être animal ainsi que la gestion des risques dans le secteur de l'agriculture</w:t>
      </w:r>
      <w:bookmarkEnd w:id="96"/>
    </w:p>
    <w:p w:rsidR="0035701C" w:rsidRDefault="00FB561B">
      <w:pPr>
        <w:pStyle w:val="Titre4"/>
        <w:jc w:val="left"/>
      </w:pPr>
      <w:r>
        <w:t>Nombre d'entreprises bénéficiaires IAA</w:t>
      </w:r>
    </w:p>
    <w:p w:rsidR="0035701C" w:rsidRDefault="00FB561B">
      <w:r>
        <w:t>App</w:t>
      </w:r>
      <w:r>
        <w:t xml:space="preserve">licable: </w:t>
      </w:r>
      <w:r>
        <w:t>Oui</w:t>
      </w:r>
    </w:p>
    <w:p w:rsidR="0035701C" w:rsidRDefault="00FB561B">
      <w:r>
        <w:t>Valeur cible pour 2025 (a): 19,00</w:t>
      </w:r>
    </w:p>
    <w:p w:rsidR="0035701C" w:rsidRDefault="00FB561B">
      <w:r>
        <w:t>Ajustements/Compléments (b): 7,00</w:t>
      </w:r>
    </w:p>
    <w:p w:rsidR="0035701C" w:rsidRDefault="00FB561B">
      <w:r>
        <w:t xml:space="preserve">Ajustement Next Generation EU (C): </w:t>
      </w:r>
    </w:p>
    <w:p w:rsidR="0035701C" w:rsidRDefault="00FB561B">
      <w:r>
        <w:t>Valeur absolue cible (A-B-C): 12,00</w:t>
      </w:r>
    </w:p>
    <w:p w:rsidR="0035701C" w:rsidRDefault="00FB561B">
      <w:pPr>
        <w:pStyle w:val="Titre3"/>
        <w:jc w:val="left"/>
      </w:pPr>
      <w:bookmarkStart w:id="97" w:name="_Toc256000096"/>
      <w:r>
        <w:t>P4: restaurer, préserver et renforcer les écosystèmes liés à l'agriculture et à la foresterie</w:t>
      </w:r>
      <w:bookmarkEnd w:id="97"/>
    </w:p>
    <w:p w:rsidR="0035701C" w:rsidRDefault="00FB561B">
      <w:pPr>
        <w:pStyle w:val="Titre4"/>
        <w:jc w:val="left"/>
      </w:pPr>
      <w:r>
        <w:t xml:space="preserve">Surface </w:t>
      </w:r>
      <w:r>
        <w:t>physique ICHN</w:t>
      </w:r>
    </w:p>
    <w:p w:rsidR="0035701C" w:rsidRDefault="00FB561B">
      <w:r>
        <w:t xml:space="preserve">Applicable: </w:t>
      </w:r>
      <w:r>
        <w:t>Oui</w:t>
      </w:r>
    </w:p>
    <w:p w:rsidR="0035701C" w:rsidRDefault="00FB561B">
      <w:r>
        <w:t>Valeur cible pour 2025 (a): 72 000,00</w:t>
      </w:r>
    </w:p>
    <w:p w:rsidR="0035701C" w:rsidRDefault="00FB561B">
      <w:r>
        <w:t xml:space="preserve">Ajustements/Compléments (b): </w:t>
      </w:r>
    </w:p>
    <w:p w:rsidR="0035701C" w:rsidRDefault="00FB561B">
      <w:r>
        <w:t xml:space="preserve">Ajustement Next Generation EU (C): </w:t>
      </w:r>
    </w:p>
    <w:p w:rsidR="0035701C" w:rsidRDefault="00FB561B">
      <w:r>
        <w:t>Valeur absolue cible (A-B-C): 72 000,00</w:t>
      </w:r>
    </w:p>
    <w:p w:rsidR="0035701C" w:rsidRDefault="00FB561B">
      <w:pPr>
        <w:pStyle w:val="Titre3"/>
        <w:jc w:val="left"/>
      </w:pPr>
      <w:bookmarkStart w:id="98" w:name="_Toc256000097"/>
      <w:r>
        <w:t>P5: promouvoir l’utilisation efficace des ressources et soutenir la transition ver</w:t>
      </w:r>
      <w:r>
        <w:t>s une économie à faibles émissions de CO2 et résiliente aux changements climatiques, dans les secteurs agricole et alimentaire ainsi que dans le secteur de la foresterie</w:t>
      </w:r>
      <w:bookmarkEnd w:id="98"/>
    </w:p>
    <w:p w:rsidR="0035701C" w:rsidRDefault="00FB561B">
      <w:pPr>
        <w:pStyle w:val="Titre4"/>
        <w:jc w:val="left"/>
      </w:pPr>
      <w:r>
        <w:t>Nombre d'opérations concernant les entreprises de la filière forêt-bois (TO 6.4.2 + TO</w:t>
      </w:r>
      <w:r>
        <w:t xml:space="preserve"> 8.6 relatives au DP 5E)</w:t>
      </w:r>
    </w:p>
    <w:p w:rsidR="0035701C" w:rsidRDefault="00FB561B">
      <w:r>
        <w:t xml:space="preserve">Applicable: </w:t>
      </w:r>
      <w:r>
        <w:t>Oui</w:t>
      </w:r>
    </w:p>
    <w:p w:rsidR="0035701C" w:rsidRDefault="00FB561B">
      <w:r>
        <w:t>Valeur cible pour 2025 (a): 17,00</w:t>
      </w:r>
    </w:p>
    <w:p w:rsidR="0035701C" w:rsidRDefault="00FB561B">
      <w:r>
        <w:t xml:space="preserve">Ajustements/Compléments (b): </w:t>
      </w:r>
    </w:p>
    <w:p w:rsidR="0035701C" w:rsidRDefault="00FB561B">
      <w:r>
        <w:t xml:space="preserve">Ajustement Next Generation EU (C): </w:t>
      </w:r>
    </w:p>
    <w:p w:rsidR="0035701C" w:rsidRDefault="00FB561B">
      <w:r>
        <w:t>Valeur absolue cible (A-B-C): 17,00</w:t>
      </w:r>
    </w:p>
    <w:p w:rsidR="0035701C" w:rsidRDefault="00FB561B">
      <w:pPr>
        <w:pStyle w:val="Titre4"/>
        <w:jc w:val="left"/>
      </w:pPr>
      <w:r>
        <w:t>Surfaces forestières dont la résilience est améliorée (TO 8.5)</w:t>
      </w:r>
    </w:p>
    <w:p w:rsidR="0035701C" w:rsidRDefault="00FB561B">
      <w:r>
        <w:t>Applicable: Oui</w:t>
      </w:r>
    </w:p>
    <w:p w:rsidR="0035701C" w:rsidRDefault="00FB561B">
      <w:r>
        <w:t>Valeur cible pour 2025 (a): 75,00</w:t>
      </w:r>
    </w:p>
    <w:p w:rsidR="0035701C" w:rsidRDefault="00FB561B">
      <w:r>
        <w:t xml:space="preserve">Ajustements/Compléments (b): </w:t>
      </w:r>
    </w:p>
    <w:p w:rsidR="0035701C" w:rsidRDefault="00FB561B">
      <w:r>
        <w:t xml:space="preserve">Ajustement Next Generation EU (C): </w:t>
      </w:r>
    </w:p>
    <w:p w:rsidR="0035701C" w:rsidRDefault="00FB561B">
      <w:r>
        <w:t>Valeur absolue cible (A-B-C): 75,00</w:t>
      </w:r>
    </w:p>
    <w:p w:rsidR="0035701C" w:rsidRDefault="00FB561B">
      <w:pPr>
        <w:pStyle w:val="Titre2"/>
      </w:pPr>
      <w:r>
        <w:br w:type="page"/>
      </w:r>
      <w:bookmarkStart w:id="99" w:name="_Toc256000098"/>
      <w:r>
        <w:t>Réserve</w:t>
      </w:r>
      <w:bookmarkEnd w:id="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28"/>
        <w:gridCol w:w="7128"/>
      </w:tblGrid>
      <w:tr w:rsidR="0035701C">
        <w:tc>
          <w:tcPr>
            <w:tcW w:w="1950" w:type="pct"/>
            <w:shd w:val="clear" w:color="auto" w:fill="C0C0C0"/>
            <w:tcMar>
              <w:top w:w="20" w:type="dxa"/>
              <w:bottom w:w="20" w:type="dxa"/>
            </w:tcMar>
            <w:vAlign w:val="center"/>
          </w:tcPr>
          <w:p w:rsidR="0035701C" w:rsidRDefault="00FB561B">
            <w:pPr>
              <w:rPr>
                <w:b/>
              </w:rPr>
            </w:pPr>
            <w:r>
              <w:rPr>
                <w:b/>
              </w:rPr>
              <w:t>Priorité</w:t>
            </w:r>
          </w:p>
        </w:tc>
        <w:tc>
          <w:tcPr>
            <w:tcW w:w="850" w:type="pct"/>
            <w:shd w:val="clear" w:color="auto" w:fill="C0C0C0"/>
            <w:tcMar>
              <w:top w:w="20" w:type="dxa"/>
              <w:bottom w:w="20" w:type="dxa"/>
            </w:tcMar>
            <w:vAlign w:val="center"/>
          </w:tcPr>
          <w:p w:rsidR="0035701C" w:rsidRDefault="00FB561B">
            <w:r>
              <w:rPr>
                <w:b/>
              </w:rPr>
              <w:t>Réserve de performance (en euros)</w:t>
            </w:r>
          </w:p>
        </w:tc>
      </w:tr>
      <w:tr w:rsidR="0035701C">
        <w:tc>
          <w:tcPr>
            <w:tcW w:w="850" w:type="pct"/>
            <w:shd w:val="clear" w:color="auto" w:fill="FFFFFF"/>
            <w:tcMar>
              <w:top w:w="20" w:type="dxa"/>
              <w:bottom w:w="20" w:type="dxa"/>
            </w:tcMar>
            <w:vAlign w:val="center"/>
          </w:tcPr>
          <w:p w:rsidR="0035701C" w:rsidRDefault="00FB561B">
            <w:pPr>
              <w:jc w:val="left"/>
            </w:pPr>
            <w:r>
              <w:t xml:space="preserve">P2: amélioration de la viabilité des exploitations agricoles et la </w:t>
            </w:r>
            <w:r>
              <w:t>compétitivité de tous les types d'agriculture dans toutes les régions et promotion des technologies agricoles innovantes et de la gestion durable des forêts</w:t>
            </w:r>
          </w:p>
        </w:tc>
        <w:tc>
          <w:tcPr>
            <w:tcW w:w="850" w:type="pct"/>
            <w:shd w:val="clear" w:color="auto" w:fill="FFFFFF"/>
            <w:tcMar>
              <w:top w:w="20" w:type="dxa"/>
              <w:bottom w:w="20" w:type="dxa"/>
            </w:tcMar>
            <w:vAlign w:val="center"/>
          </w:tcPr>
          <w:p w:rsidR="0035701C" w:rsidRDefault="00FB561B">
            <w:pPr>
              <w:jc w:val="right"/>
            </w:pPr>
            <w:r>
              <w:t>7 998 204,00</w:t>
            </w:r>
          </w:p>
        </w:tc>
      </w:tr>
      <w:tr w:rsidR="0035701C">
        <w:tc>
          <w:tcPr>
            <w:tcW w:w="850" w:type="pct"/>
            <w:shd w:val="clear" w:color="auto" w:fill="FFFFFF"/>
            <w:tcMar>
              <w:top w:w="20" w:type="dxa"/>
              <w:bottom w:w="20" w:type="dxa"/>
            </w:tcMar>
            <w:vAlign w:val="center"/>
          </w:tcPr>
          <w:p w:rsidR="0035701C" w:rsidRDefault="00FB561B">
            <w:pPr>
              <w:jc w:val="left"/>
            </w:pPr>
            <w:r>
              <w:t>P3: promouvoir l'organisation de la chaîne alimentaire, y compris la transformation e</w:t>
            </w:r>
            <w:r>
              <w:t>t la commercialisation des produits agricoles, le bien-être animal ainsi que la gestion des risques dans le secteur de l'agriculture</w:t>
            </w:r>
          </w:p>
        </w:tc>
        <w:tc>
          <w:tcPr>
            <w:tcW w:w="850" w:type="pct"/>
            <w:shd w:val="clear" w:color="auto" w:fill="FFFFFF"/>
            <w:tcMar>
              <w:top w:w="20" w:type="dxa"/>
              <w:bottom w:w="20" w:type="dxa"/>
            </w:tcMar>
            <w:vAlign w:val="center"/>
          </w:tcPr>
          <w:p w:rsidR="0035701C" w:rsidRDefault="00FB561B">
            <w:pPr>
              <w:jc w:val="right"/>
            </w:pPr>
            <w:r>
              <w:t>85 071,00</w:t>
            </w:r>
          </w:p>
        </w:tc>
      </w:tr>
      <w:tr w:rsidR="0035701C">
        <w:tc>
          <w:tcPr>
            <w:tcW w:w="850" w:type="pct"/>
            <w:shd w:val="clear" w:color="auto" w:fill="FFFFFF"/>
            <w:tcMar>
              <w:top w:w="20" w:type="dxa"/>
              <w:bottom w:w="20" w:type="dxa"/>
            </w:tcMar>
            <w:vAlign w:val="center"/>
          </w:tcPr>
          <w:p w:rsidR="0035701C" w:rsidRDefault="00FB561B">
            <w:pPr>
              <w:jc w:val="left"/>
            </w:pPr>
            <w:r>
              <w:t>P4: restaurer, préserver et renforcer les écosystèmes liés à l'agriculture et à la foresterie</w:t>
            </w:r>
          </w:p>
        </w:tc>
        <w:tc>
          <w:tcPr>
            <w:tcW w:w="850" w:type="pct"/>
            <w:shd w:val="clear" w:color="auto" w:fill="FFFFFF"/>
            <w:tcMar>
              <w:top w:w="20" w:type="dxa"/>
              <w:bottom w:w="20" w:type="dxa"/>
            </w:tcMar>
            <w:vAlign w:val="center"/>
          </w:tcPr>
          <w:p w:rsidR="0035701C" w:rsidRDefault="0035701C">
            <w:pPr>
              <w:jc w:val="right"/>
            </w:pPr>
          </w:p>
        </w:tc>
      </w:tr>
      <w:tr w:rsidR="0035701C">
        <w:tc>
          <w:tcPr>
            <w:tcW w:w="850" w:type="pct"/>
            <w:shd w:val="clear" w:color="auto" w:fill="FFFFFF"/>
            <w:tcMar>
              <w:top w:w="20" w:type="dxa"/>
              <w:bottom w:w="20" w:type="dxa"/>
            </w:tcMar>
            <w:vAlign w:val="center"/>
          </w:tcPr>
          <w:p w:rsidR="0035701C" w:rsidRDefault="00FB561B">
            <w:pPr>
              <w:jc w:val="left"/>
            </w:pPr>
            <w:r>
              <w:t xml:space="preserve">P5: promouvoir </w:t>
            </w:r>
            <w:r>
              <w:t>l’utilisation efficace des ressources et soutenir la transition vers une économie à faibles émissions de CO2 et résiliente aux changements climatiques, dans les secteurs agricole et alimentaire ainsi que dans le secteur de la foresterie</w:t>
            </w:r>
          </w:p>
        </w:tc>
        <w:tc>
          <w:tcPr>
            <w:tcW w:w="850" w:type="pct"/>
            <w:shd w:val="clear" w:color="auto" w:fill="FFFFFF"/>
            <w:tcMar>
              <w:top w:w="20" w:type="dxa"/>
              <w:bottom w:w="20" w:type="dxa"/>
            </w:tcMar>
            <w:vAlign w:val="center"/>
          </w:tcPr>
          <w:p w:rsidR="0035701C" w:rsidRDefault="0035701C">
            <w:pPr>
              <w:jc w:val="right"/>
            </w:pPr>
          </w:p>
        </w:tc>
      </w:tr>
      <w:tr w:rsidR="0035701C">
        <w:tc>
          <w:tcPr>
            <w:tcW w:w="850" w:type="pct"/>
            <w:shd w:val="clear" w:color="auto" w:fill="FFFFFF"/>
            <w:tcMar>
              <w:top w:w="20" w:type="dxa"/>
              <w:bottom w:w="20" w:type="dxa"/>
            </w:tcMar>
            <w:vAlign w:val="center"/>
          </w:tcPr>
          <w:p w:rsidR="0035701C" w:rsidRDefault="00FB561B">
            <w:pPr>
              <w:jc w:val="left"/>
            </w:pPr>
            <w:r>
              <w:t>P6: promouvoir l'</w:t>
            </w:r>
            <w:r>
              <w:t>inclusion sociale, la réduction de la pauvreté et le développement économique dans les zones rurales</w:t>
            </w:r>
          </w:p>
        </w:tc>
        <w:tc>
          <w:tcPr>
            <w:tcW w:w="850" w:type="pct"/>
            <w:shd w:val="clear" w:color="auto" w:fill="FFFFFF"/>
            <w:tcMar>
              <w:top w:w="20" w:type="dxa"/>
              <w:bottom w:w="20" w:type="dxa"/>
            </w:tcMar>
            <w:vAlign w:val="center"/>
          </w:tcPr>
          <w:p w:rsidR="0035701C" w:rsidRDefault="0035701C">
            <w:pPr>
              <w:jc w:val="right"/>
            </w:pPr>
          </w:p>
        </w:tc>
      </w:tr>
      <w:tr w:rsidR="0035701C">
        <w:tc>
          <w:tcPr>
            <w:tcW w:w="850" w:type="pct"/>
            <w:shd w:val="clear" w:color="auto" w:fill="C0C0C0"/>
            <w:tcMar>
              <w:top w:w="20" w:type="dxa"/>
              <w:bottom w:w="20" w:type="dxa"/>
            </w:tcMar>
            <w:vAlign w:val="center"/>
          </w:tcPr>
          <w:p w:rsidR="0035701C" w:rsidRDefault="00FB561B">
            <w:pPr>
              <w:jc w:val="center"/>
              <w:rPr>
                <w:b/>
              </w:rPr>
            </w:pPr>
            <w:r>
              <w:rPr>
                <w:b/>
              </w:rPr>
              <w:t>Total</w:t>
            </w:r>
          </w:p>
        </w:tc>
        <w:tc>
          <w:tcPr>
            <w:tcW w:w="850" w:type="pct"/>
            <w:shd w:val="clear" w:color="auto" w:fill="C0C0C0"/>
            <w:tcMar>
              <w:top w:w="20" w:type="dxa"/>
              <w:bottom w:w="20" w:type="dxa"/>
            </w:tcMar>
            <w:vAlign w:val="center"/>
          </w:tcPr>
          <w:p w:rsidR="0035701C" w:rsidRDefault="00FB561B">
            <w:pPr>
              <w:jc w:val="right"/>
              <w:rPr>
                <w:b/>
              </w:rPr>
            </w:pPr>
            <w:r>
              <w:rPr>
                <w:b/>
              </w:rPr>
              <w:t>8 083 275,00</w:t>
            </w:r>
          </w:p>
        </w:tc>
      </w:tr>
    </w:tbl>
    <w:p w:rsidR="0035701C" w:rsidRDefault="0035701C">
      <w:pPr>
        <w:rPr>
          <w:b/>
        </w:rPr>
        <w:sectPr w:rsidR="0035701C">
          <w:pgSz w:w="15840" w:h="12240" w:orient="landscape"/>
          <w:pgMar w:top="900" w:right="900" w:bottom="900" w:left="900" w:header="720" w:footer="720" w:gutter="0"/>
          <w:cols w:space="720"/>
        </w:sectPr>
      </w:pPr>
    </w:p>
    <w:p w:rsidR="0035701C" w:rsidRDefault="00FB561B">
      <w:pPr>
        <w:pStyle w:val="Titre1"/>
      </w:pPr>
      <w:bookmarkStart w:id="100" w:name="_Toc256000099"/>
      <w:r>
        <w:t>Description des mesures retenues</w:t>
      </w:r>
      <w:bookmarkEnd w:id="100"/>
    </w:p>
    <w:p w:rsidR="0035701C" w:rsidRDefault="00FB561B">
      <w:pPr>
        <w:pStyle w:val="Titre2"/>
      </w:pPr>
      <w:bookmarkStart w:id="101" w:name="_Toc256000100"/>
      <w:r>
        <w:t xml:space="preserve">Description des conditions générales, appliquées à plus d’une mesure, y compris, le </w:t>
      </w:r>
      <w:r>
        <w:t>cas échéant, la définition de la zone rurale, les niveaux de référence, la conditionnalité, l’utilisation prévue des instruments financiers, l’utilisation prévue des avances et les dispositions communes en matière d'investissement, y compris les dispositio</w:t>
      </w:r>
      <w:r>
        <w:t>ns des articles 45 et 46 du règlement (UE) n° 1305/2013</w:t>
      </w:r>
      <w:bookmarkEnd w:id="10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u w:val="single"/>
              </w:rPr>
              <w:t>I - Définition de la zone rurale :</w:t>
            </w:r>
          </w:p>
          <w:p w:rsidR="0035701C" w:rsidRDefault="00FB561B">
            <w:pPr>
              <w:spacing w:before="240" w:after="240"/>
              <w:jc w:val="left"/>
              <w:rPr>
                <w:szCs w:val="24"/>
              </w:rPr>
            </w:pPr>
            <w:r>
              <w:rPr>
                <w:szCs w:val="24"/>
              </w:rPr>
              <w:t>La délimitation de la zone rurale reprend la définition d’Eurostat : la zone rurale comprend la Corse entière.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u w:val="single"/>
              </w:rPr>
              <w:t>II - Description des conditions générales, appliquée</w:t>
            </w:r>
            <w:r>
              <w:rPr>
                <w:b/>
                <w:bCs/>
                <w:szCs w:val="24"/>
                <w:u w:val="single"/>
              </w:rPr>
              <w:t>s à plusieurs mesures, et des dispositions communes en matière d'investissement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II – 1 Définitions et dispositions transversales</w:t>
            </w:r>
          </w:p>
          <w:p w:rsidR="0035701C" w:rsidRDefault="00FB561B">
            <w:pPr>
              <w:spacing w:before="240" w:after="240"/>
              <w:jc w:val="left"/>
              <w:rPr>
                <w:szCs w:val="24"/>
              </w:rPr>
            </w:pPr>
            <w:r>
              <w:rPr>
                <w:i/>
                <w:iCs/>
                <w:szCs w:val="24"/>
              </w:rPr>
              <w:t>Localisation des projets :</w:t>
            </w:r>
          </w:p>
          <w:p w:rsidR="0035701C" w:rsidRDefault="00FB561B" w:rsidP="00FB561B">
            <w:pPr>
              <w:numPr>
                <w:ilvl w:val="0"/>
                <w:numId w:val="173"/>
              </w:numPr>
              <w:spacing w:before="240" w:after="240"/>
              <w:ind w:hanging="210"/>
              <w:jc w:val="left"/>
              <w:rPr>
                <w:szCs w:val="24"/>
              </w:rPr>
            </w:pPr>
            <w:r>
              <w:rPr>
                <w:szCs w:val="24"/>
              </w:rPr>
              <w:t xml:space="preserve">Les projets d'investissement doivent être situés sur le territoire de la Corse, sauf dans les cas </w:t>
            </w:r>
            <w:r>
              <w:rPr>
                <w:szCs w:val="24"/>
              </w:rPr>
              <w:t>indiqué dans certaines opérations et dans le respect des conditions de l'art 70.2 du règlement (UE) n° 1303/2013.</w:t>
            </w:r>
          </w:p>
          <w:p w:rsidR="0035701C" w:rsidRDefault="00FB561B">
            <w:pPr>
              <w:spacing w:before="240" w:after="240"/>
              <w:jc w:val="left"/>
              <w:rPr>
                <w:szCs w:val="24"/>
              </w:rPr>
            </w:pPr>
            <w:r>
              <w:rPr>
                <w:i/>
                <w:iCs/>
                <w:szCs w:val="24"/>
              </w:rPr>
              <w:t>Jeunes agriculteurs :</w:t>
            </w:r>
          </w:p>
          <w:p w:rsidR="0035701C" w:rsidRDefault="00FB561B" w:rsidP="00FB561B">
            <w:pPr>
              <w:numPr>
                <w:ilvl w:val="0"/>
                <w:numId w:val="174"/>
              </w:numPr>
              <w:spacing w:before="240" w:after="0"/>
              <w:ind w:hanging="210"/>
              <w:jc w:val="left"/>
              <w:rPr>
                <w:szCs w:val="24"/>
              </w:rPr>
            </w:pPr>
            <w:r>
              <w:rPr>
                <w:szCs w:val="24"/>
              </w:rPr>
              <w:t xml:space="preserve">Est considéré comme Jeune Agriculteur (JA), tout Agriculteur, bénéficiaire de la DJA, durant les 5 ans consécutifs à la </w:t>
            </w:r>
            <w:r>
              <w:rPr>
                <w:szCs w:val="24"/>
              </w:rPr>
              <w:t>date de la réalisation de son constat d'installation. Dans le cas d’une personne morale, chaque JA doit détenir 10% minimum des parts du capital social de la société ou du groupement, et le JA (ou l’ensemble des JA) doit détenir la majorité des parts, pour</w:t>
            </w:r>
            <w:r>
              <w:rPr>
                <w:szCs w:val="24"/>
              </w:rPr>
              <w:t xml:space="preserve"> que cette personne morale puisse bénéficier des conditions d'aide afférentes aux JA.</w:t>
            </w:r>
          </w:p>
          <w:p w:rsidR="0035701C" w:rsidRDefault="00FB561B" w:rsidP="00FB561B">
            <w:pPr>
              <w:numPr>
                <w:ilvl w:val="0"/>
                <w:numId w:val="174"/>
              </w:numPr>
              <w:spacing w:before="240" w:after="240"/>
              <w:ind w:hanging="210"/>
              <w:jc w:val="left"/>
              <w:rPr>
                <w:szCs w:val="24"/>
              </w:rPr>
            </w:pPr>
            <w:r>
              <w:rPr>
                <w:szCs w:val="24"/>
              </w:rPr>
              <w:t>L'application de taux d'aide spécifiques aux JA, pour certaines mesures du programme s'apprécie selon cette définition, à la date de dépôt du dossier complet présenté par</w:t>
            </w:r>
            <w:r>
              <w:rPr>
                <w:szCs w:val="24"/>
              </w:rPr>
              <w:t xml:space="preserve"> le demandeur de l'aide. Sans préjudice des dispositions prévues pour combiner differentes mesures tel que prévues au TO 6.1 du PDR.</w:t>
            </w:r>
          </w:p>
          <w:p w:rsidR="0035701C" w:rsidRDefault="00FB561B">
            <w:pPr>
              <w:spacing w:before="240" w:after="240"/>
              <w:jc w:val="left"/>
              <w:rPr>
                <w:szCs w:val="24"/>
              </w:rPr>
            </w:pPr>
            <w:r>
              <w:rPr>
                <w:i/>
                <w:iCs/>
                <w:szCs w:val="24"/>
              </w:rPr>
              <w:t>Engagements généraux</w:t>
            </w:r>
          </w:p>
          <w:p w:rsidR="0035701C" w:rsidRDefault="00FB561B" w:rsidP="00FB561B">
            <w:pPr>
              <w:numPr>
                <w:ilvl w:val="0"/>
                <w:numId w:val="175"/>
              </w:numPr>
              <w:spacing w:before="240" w:after="0"/>
              <w:ind w:hanging="210"/>
              <w:jc w:val="left"/>
              <w:rPr>
                <w:szCs w:val="24"/>
              </w:rPr>
            </w:pPr>
            <w:r>
              <w:rPr>
                <w:szCs w:val="24"/>
              </w:rPr>
              <w:t>Le demandeur s’engage à conserver la destination de l’investissement aidé dans le champ agricole et da</w:t>
            </w:r>
            <w:r>
              <w:rPr>
                <w:szCs w:val="24"/>
              </w:rPr>
              <w:t>ns sa fonctionnalité initiale pour une durée à compter de la réception définitive faite par le service instructeur (dernier paiement de l’aide). Cette durée est fixée à 5 années s’il s’agit d’équipements mobiles ou 10 années s’il s’agit d’investissements r</w:t>
            </w:r>
            <w:r>
              <w:rPr>
                <w:szCs w:val="24"/>
              </w:rPr>
              <w:t>elatifs à des biens immobiliers et foncier ; pour les travaux de mise en valeur ou d’infrastructure, cet engagement comprend le maintien en l’état de la parcelle et l’entretien de l’infrastructure.</w:t>
            </w:r>
          </w:p>
          <w:p w:rsidR="0035701C" w:rsidRDefault="00FB561B" w:rsidP="00FB561B">
            <w:pPr>
              <w:numPr>
                <w:ilvl w:val="0"/>
                <w:numId w:val="175"/>
              </w:numPr>
              <w:spacing w:before="0" w:after="0"/>
              <w:ind w:hanging="210"/>
              <w:jc w:val="left"/>
              <w:rPr>
                <w:szCs w:val="24"/>
              </w:rPr>
            </w:pPr>
            <w:r>
              <w:rPr>
                <w:szCs w:val="24"/>
              </w:rPr>
              <w:t>satisfaire aux obligations de publicité FEADER ;</w:t>
            </w:r>
          </w:p>
          <w:p w:rsidR="0035701C" w:rsidRDefault="00FB561B" w:rsidP="00FB561B">
            <w:pPr>
              <w:numPr>
                <w:ilvl w:val="0"/>
                <w:numId w:val="175"/>
              </w:numPr>
              <w:spacing w:before="0" w:after="0"/>
              <w:ind w:hanging="210"/>
              <w:jc w:val="left"/>
              <w:rPr>
                <w:szCs w:val="24"/>
              </w:rPr>
            </w:pPr>
            <w:r>
              <w:rPr>
                <w:szCs w:val="24"/>
              </w:rPr>
              <w:t xml:space="preserve">informer </w:t>
            </w:r>
            <w:r>
              <w:rPr>
                <w:szCs w:val="24"/>
              </w:rPr>
              <w:t>immédiatement l'autorité de gestion de toute cessation d'activité ainsi que des modifications intervenant dans la mise en œuvre de l’opération.</w:t>
            </w:r>
          </w:p>
          <w:p w:rsidR="0035701C" w:rsidRDefault="00FB561B" w:rsidP="00FB561B">
            <w:pPr>
              <w:numPr>
                <w:ilvl w:val="0"/>
                <w:numId w:val="175"/>
              </w:numPr>
              <w:spacing w:before="0" w:after="240"/>
              <w:ind w:hanging="210"/>
              <w:jc w:val="left"/>
              <w:rPr>
                <w:szCs w:val="24"/>
              </w:rPr>
            </w:pPr>
            <w:r>
              <w:rPr>
                <w:szCs w:val="24"/>
              </w:rPr>
              <w:t>se conformer aux obligations liées aux contrôles administratifs sur place, sur pièces, communautaire ou national</w:t>
            </w:r>
            <w:r>
              <w:rPr>
                <w:szCs w:val="24"/>
              </w:rPr>
              <w:t>, pendant la durée de l’engagement.</w:t>
            </w:r>
          </w:p>
          <w:p w:rsidR="0035701C" w:rsidRDefault="00FB561B">
            <w:pPr>
              <w:spacing w:before="240" w:after="240"/>
              <w:jc w:val="left"/>
              <w:rPr>
                <w:szCs w:val="24"/>
              </w:rPr>
            </w:pPr>
            <w:r>
              <w:rPr>
                <w:i/>
                <w:iCs/>
                <w:szCs w:val="24"/>
              </w:rPr>
              <w:t>Eligibilité des matériels d’occasion :</w:t>
            </w:r>
          </w:p>
          <w:p w:rsidR="0035701C" w:rsidRDefault="00FB561B" w:rsidP="00FB561B">
            <w:pPr>
              <w:numPr>
                <w:ilvl w:val="0"/>
                <w:numId w:val="176"/>
              </w:numPr>
              <w:spacing w:before="240" w:after="240"/>
              <w:ind w:hanging="210"/>
              <w:jc w:val="left"/>
              <w:rPr>
                <w:szCs w:val="24"/>
              </w:rPr>
            </w:pPr>
            <w:r>
              <w:rPr>
                <w:szCs w:val="24"/>
              </w:rPr>
              <w:t xml:space="preserve">Les coûts relatifs à l’achat de matériel d’occasion en lien avec l’activité agricole et forestière (mesures 4 et 8 du programme) sont éligibles à une participation financière au </w:t>
            </w:r>
            <w:r>
              <w:rPr>
                <w:szCs w:val="24"/>
              </w:rPr>
              <w:t>titre du programme de développement rural de la Corse, si toutes les conditions suivantes sont remplies :</w:t>
            </w:r>
          </w:p>
          <w:p w:rsidR="0035701C" w:rsidRDefault="00FB561B" w:rsidP="00FB561B">
            <w:pPr>
              <w:numPr>
                <w:ilvl w:val="0"/>
                <w:numId w:val="177"/>
              </w:numPr>
              <w:spacing w:before="240" w:after="0"/>
              <w:ind w:left="1320" w:hanging="267"/>
              <w:jc w:val="left"/>
              <w:rPr>
                <w:szCs w:val="24"/>
              </w:rPr>
            </w:pPr>
            <w:r>
              <w:rPr>
                <w:szCs w:val="24"/>
              </w:rPr>
              <w:t xml:space="preserve">le bénéficiaire peut justifier que son fournisseur (concessionnaire ou association Régionale spécialisée)  a acquis le matériel sans recours à aucune </w:t>
            </w:r>
            <w:r>
              <w:rPr>
                <w:szCs w:val="24"/>
              </w:rPr>
              <w:t>une aide nationale ou communautaire,</w:t>
            </w:r>
          </w:p>
          <w:p w:rsidR="0035701C" w:rsidRDefault="00FB561B" w:rsidP="00FB561B">
            <w:pPr>
              <w:numPr>
                <w:ilvl w:val="0"/>
                <w:numId w:val="177"/>
              </w:numPr>
              <w:spacing w:before="0" w:after="0"/>
              <w:ind w:left="1320" w:hanging="280"/>
              <w:jc w:val="left"/>
              <w:rPr>
                <w:szCs w:val="24"/>
              </w:rPr>
            </w:pPr>
            <w:r>
              <w:rPr>
                <w:szCs w:val="24"/>
              </w:rPr>
              <w:t>le bénéficiaire n’a pas l’utilité d’un matériel neuf (du point de vue de sa capacité à l’amortir par son utilisation),</w:t>
            </w:r>
          </w:p>
          <w:p w:rsidR="0035701C" w:rsidRDefault="00FB561B" w:rsidP="00FB561B">
            <w:pPr>
              <w:numPr>
                <w:ilvl w:val="0"/>
                <w:numId w:val="177"/>
              </w:numPr>
              <w:spacing w:before="0" w:after="0"/>
              <w:ind w:left="1320" w:hanging="267"/>
              <w:jc w:val="left"/>
              <w:rPr>
                <w:szCs w:val="24"/>
              </w:rPr>
            </w:pPr>
            <w:r>
              <w:rPr>
                <w:szCs w:val="24"/>
              </w:rPr>
              <w:t>le prix du matériel d’occasion ne doit pas excéder sa valeur sur le marché et doit être inférieur au</w:t>
            </w:r>
            <w:r>
              <w:rPr>
                <w:szCs w:val="24"/>
              </w:rPr>
              <w:t xml:space="preserve"> coût de matériel similaire à l’état neuf, s’il existe un marché pour un tel matériel. Cette condition est alors justifiée sur la base d’au moins deux devis pour un matériel équivalent,</w:t>
            </w:r>
          </w:p>
          <w:p w:rsidR="0035701C" w:rsidRDefault="00FB561B" w:rsidP="00FB561B">
            <w:pPr>
              <w:numPr>
                <w:ilvl w:val="0"/>
                <w:numId w:val="177"/>
              </w:numPr>
              <w:spacing w:before="0" w:after="240"/>
              <w:ind w:left="1320" w:hanging="280"/>
              <w:jc w:val="left"/>
              <w:rPr>
                <w:szCs w:val="24"/>
              </w:rPr>
            </w:pPr>
            <w:r>
              <w:rPr>
                <w:szCs w:val="24"/>
              </w:rPr>
              <w:t>le matériel doit avoir les caractéristiques techniques requises, faire</w:t>
            </w:r>
            <w:r>
              <w:rPr>
                <w:szCs w:val="24"/>
              </w:rPr>
              <w:t xml:space="preserve"> l’objet d’une garantie de bon fonctionnement pour une durée adaptée, établie par un professionnel de la vente de matériel, et être conforme aux normes applicables.</w:t>
            </w:r>
          </w:p>
          <w:p w:rsidR="0035701C" w:rsidRDefault="00FB561B">
            <w:pPr>
              <w:spacing w:before="240" w:after="240"/>
              <w:jc w:val="left"/>
              <w:rPr>
                <w:szCs w:val="24"/>
              </w:rPr>
            </w:pPr>
            <w:r>
              <w:rPr>
                <w:i/>
                <w:iCs/>
                <w:szCs w:val="24"/>
              </w:rPr>
              <w:t>Crédit bail</w:t>
            </w:r>
          </w:p>
          <w:p w:rsidR="0035701C" w:rsidRDefault="00FB561B" w:rsidP="00FB561B">
            <w:pPr>
              <w:numPr>
                <w:ilvl w:val="0"/>
                <w:numId w:val="178"/>
              </w:numPr>
              <w:spacing w:before="240" w:after="0"/>
              <w:ind w:hanging="210"/>
              <w:jc w:val="left"/>
              <w:rPr>
                <w:szCs w:val="24"/>
              </w:rPr>
            </w:pPr>
            <w:r>
              <w:rPr>
                <w:szCs w:val="24"/>
              </w:rPr>
              <w:t>Dans le cadre d’un montage financier faisant intervenir une société de crédits-</w:t>
            </w:r>
            <w:r>
              <w:rPr>
                <w:szCs w:val="24"/>
              </w:rPr>
              <w:t>bails, le crédit-bail devra être formalisé sous la forme d’un contrat signé entre l’organisme financier bailleur et le bénéficiaire final de l’aide publique, et lorsque l’intervention se fera sous forme de subvention, l’aide pourra être attribuée à la soci</w:t>
            </w:r>
            <w:r>
              <w:rPr>
                <w:szCs w:val="24"/>
              </w:rPr>
              <w:t>été de crédit-bail avec obligation de répercussion de l’intégralité de cette aide à l’entreprise « bénéficiaire final » qui assume l’intégralité des obligations relatives à cette aide..</w:t>
            </w:r>
          </w:p>
          <w:p w:rsidR="0035701C" w:rsidRDefault="00FB561B" w:rsidP="00FB561B">
            <w:pPr>
              <w:numPr>
                <w:ilvl w:val="0"/>
                <w:numId w:val="178"/>
              </w:numPr>
              <w:spacing w:before="0" w:after="240"/>
              <w:ind w:hanging="210"/>
              <w:jc w:val="left"/>
              <w:rPr>
                <w:szCs w:val="24"/>
              </w:rPr>
            </w:pPr>
            <w:r>
              <w:rPr>
                <w:szCs w:val="24"/>
              </w:rPr>
              <w:t xml:space="preserve">L’achat d’équipement par crédit-bail est possible mais les coûts </w:t>
            </w:r>
            <w:r>
              <w:rPr>
                <w:szCs w:val="24"/>
              </w:rPr>
              <w:t>annexes, tels que la marge du bailleur, coûts de refinancement, frais généraux et frais d'assurance, sont exclus des dépenses éligibles.</w:t>
            </w:r>
          </w:p>
          <w:p w:rsidR="0035701C" w:rsidRDefault="00FB561B">
            <w:pPr>
              <w:spacing w:before="240" w:after="240"/>
              <w:jc w:val="left"/>
              <w:rPr>
                <w:szCs w:val="24"/>
              </w:rPr>
            </w:pPr>
            <w:r>
              <w:rPr>
                <w:i/>
                <w:iCs/>
                <w:szCs w:val="24"/>
              </w:rPr>
              <w:t>Frais généraux liés aux investissement</w:t>
            </w:r>
            <w:r>
              <w:rPr>
                <w:szCs w:val="24"/>
              </w:rPr>
              <w:t>s</w:t>
            </w:r>
          </w:p>
          <w:p w:rsidR="0035701C" w:rsidRDefault="00FB561B">
            <w:pPr>
              <w:spacing w:before="240" w:after="240"/>
              <w:ind w:left="720"/>
              <w:jc w:val="left"/>
              <w:rPr>
                <w:szCs w:val="24"/>
              </w:rPr>
            </w:pPr>
            <w:r>
              <w:rPr>
                <w:szCs w:val="24"/>
              </w:rPr>
              <w:t>Conformément à l'article 45.2 (c) du règlement (UE) n°1305/2013 les frais génér</w:t>
            </w:r>
            <w:r>
              <w:rPr>
                <w:szCs w:val="24"/>
              </w:rPr>
              <w:t xml:space="preserve">aux  liés aux investissements comprennent notamment les honoraires d'architectes et rémunérations d'ingénieurs et de consultants, les dépenses liées au conseil en matière de durabilité environnementale et économique, y compris les coûts liés aux études de </w:t>
            </w:r>
            <w:r>
              <w:rPr>
                <w:szCs w:val="24"/>
              </w:rPr>
              <w:t>faisabilité de l'opération. Les études de faisabilité demeurent des dépenses admissibles même lorsque compte tenu de leurs résultats aucune dépense d'investissement n'est engagée.</w:t>
            </w:r>
          </w:p>
          <w:p w:rsidR="0035701C" w:rsidRDefault="00FB561B">
            <w:pPr>
              <w:spacing w:before="240" w:after="240"/>
              <w:ind w:left="720"/>
              <w:jc w:val="left"/>
              <w:rPr>
                <w:szCs w:val="24"/>
              </w:rPr>
            </w:pPr>
            <w:r>
              <w:rPr>
                <w:szCs w:val="24"/>
              </w:rPr>
              <w:t>Le montant des frais généraux est plafonné à un pourcentage maximum des "dép</w:t>
            </w:r>
            <w:r>
              <w:rPr>
                <w:szCs w:val="24"/>
              </w:rPr>
              <w:t>enses totales éligibles de l'opération concernée".</w:t>
            </w:r>
          </w:p>
          <w:p w:rsidR="0035701C" w:rsidRDefault="00FB561B">
            <w:pPr>
              <w:spacing w:before="240" w:after="240"/>
              <w:ind w:left="720"/>
              <w:jc w:val="left"/>
              <w:rPr>
                <w:szCs w:val="24"/>
              </w:rPr>
            </w:pPr>
            <w:r>
              <w:rPr>
                <w:szCs w:val="24"/>
              </w:rPr>
              <w:t>Ce pourcentage est défini spécifiquement pour chacune des mesures d’aide à l'investissement du programme. Toutefois cette limitation ne s'applique pas dès lors que l'opération consiste à soutenir l'étude d</w:t>
            </w:r>
            <w:r>
              <w:rPr>
                <w:szCs w:val="24"/>
              </w:rPr>
              <w:t>e faisabilité préalablement et indépendamment de la réalisation ultérieure de l'investissement. </w:t>
            </w:r>
          </w:p>
          <w:p w:rsidR="0035701C" w:rsidRDefault="00FB561B">
            <w:pPr>
              <w:spacing w:before="240" w:after="240"/>
              <w:jc w:val="left"/>
              <w:rPr>
                <w:szCs w:val="24"/>
              </w:rPr>
            </w:pPr>
            <w:r>
              <w:rPr>
                <w:i/>
                <w:iCs/>
                <w:szCs w:val="24"/>
              </w:rPr>
              <w:t>Régimes d’Aide d’Etat</w:t>
            </w:r>
          </w:p>
          <w:p w:rsidR="0035701C" w:rsidRDefault="00FB561B" w:rsidP="00FB561B">
            <w:pPr>
              <w:numPr>
                <w:ilvl w:val="0"/>
                <w:numId w:val="179"/>
              </w:numPr>
              <w:spacing w:before="240" w:after="240"/>
              <w:ind w:hanging="210"/>
              <w:jc w:val="left"/>
              <w:rPr>
                <w:szCs w:val="24"/>
              </w:rPr>
            </w:pPr>
            <w:r>
              <w:rPr>
                <w:szCs w:val="24"/>
              </w:rPr>
              <w:t>Pour les opérations hors article 42 du TFUE, dont le financement est soumis aux règles d’aide d’état, le respect des régimes notifiés, ex</w:t>
            </w:r>
            <w:r>
              <w:rPr>
                <w:szCs w:val="24"/>
              </w:rPr>
              <w:t xml:space="preserve">emptés ou </w:t>
            </w:r>
            <w:r>
              <w:rPr>
                <w:i/>
                <w:iCs/>
                <w:szCs w:val="24"/>
              </w:rPr>
              <w:t>de minimis</w:t>
            </w:r>
            <w:r>
              <w:rPr>
                <w:szCs w:val="24"/>
              </w:rPr>
              <w:t xml:space="preserve"> peut conduire à retenir un taux d’aide inférieur aux taux d’aide mentionné dans les types d’opération. Ces dispositions sont précisées dans chaque type d’opération et en section 13 du programme.</w:t>
            </w:r>
          </w:p>
          <w:p w:rsidR="0035701C" w:rsidRDefault="00FB561B">
            <w:pPr>
              <w:spacing w:before="240" w:after="240"/>
              <w:jc w:val="left"/>
              <w:rPr>
                <w:szCs w:val="24"/>
              </w:rPr>
            </w:pPr>
            <w:r>
              <w:rPr>
                <w:i/>
                <w:iCs/>
                <w:szCs w:val="24"/>
              </w:rPr>
              <w:t>Avance :</w:t>
            </w:r>
          </w:p>
          <w:p w:rsidR="0035701C" w:rsidRDefault="00FB561B" w:rsidP="00FB561B">
            <w:pPr>
              <w:numPr>
                <w:ilvl w:val="0"/>
                <w:numId w:val="180"/>
              </w:numPr>
              <w:spacing w:before="240" w:after="240"/>
              <w:ind w:hanging="210"/>
              <w:jc w:val="left"/>
              <w:rPr>
                <w:szCs w:val="24"/>
              </w:rPr>
            </w:pPr>
            <w:r>
              <w:rPr>
                <w:szCs w:val="24"/>
              </w:rPr>
              <w:t>Le paiement d'avances est subor</w:t>
            </w:r>
            <w:r>
              <w:rPr>
                <w:szCs w:val="24"/>
              </w:rPr>
              <w:t>donné au respect de l’article 63 et 45.4 du règlement (UE) n°1305/2013.</w:t>
            </w:r>
          </w:p>
          <w:p w:rsidR="0035701C" w:rsidRDefault="00FB561B">
            <w:pPr>
              <w:spacing w:before="240" w:after="240"/>
              <w:jc w:val="left"/>
              <w:rPr>
                <w:szCs w:val="24"/>
              </w:rPr>
            </w:pPr>
            <w:r>
              <w:rPr>
                <w:i/>
                <w:iCs/>
                <w:szCs w:val="24"/>
              </w:rPr>
              <w:t>Eligibilité des frais de transport et de mise en service</w:t>
            </w:r>
          </w:p>
          <w:p w:rsidR="0035701C" w:rsidRDefault="00FB561B" w:rsidP="00FB561B">
            <w:pPr>
              <w:numPr>
                <w:ilvl w:val="0"/>
                <w:numId w:val="181"/>
              </w:numPr>
              <w:spacing w:before="240" w:after="0"/>
              <w:ind w:hanging="210"/>
              <w:jc w:val="left"/>
              <w:rPr>
                <w:szCs w:val="24"/>
              </w:rPr>
            </w:pPr>
            <w:r>
              <w:rPr>
                <w:szCs w:val="24"/>
              </w:rPr>
              <w:t>Les frais de transport (transport et livraison) et les frais de mise en service (installation, main d’œuvre…), liés à la réalis</w:t>
            </w:r>
            <w:r>
              <w:rPr>
                <w:szCs w:val="24"/>
              </w:rPr>
              <w:t>ation d’un investissement matériel sont partie intégrante de la valeur comptable de ce bien et sont donc éligibles.</w:t>
            </w:r>
          </w:p>
          <w:p w:rsidR="0035701C" w:rsidRDefault="00FB561B" w:rsidP="00FB561B">
            <w:pPr>
              <w:numPr>
                <w:ilvl w:val="0"/>
                <w:numId w:val="181"/>
              </w:numPr>
              <w:spacing w:before="0" w:after="240"/>
              <w:ind w:hanging="210"/>
              <w:jc w:val="left"/>
              <w:rPr>
                <w:szCs w:val="24"/>
              </w:rPr>
            </w:pPr>
            <w:r>
              <w:rPr>
                <w:szCs w:val="24"/>
              </w:rPr>
              <w:t>S’agissant des frais de transport, l’AG limite l’assiette de ces frais à 5% du coût de l’investissement auquel il est attaché.</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 xml:space="preserve">II – 2 </w:t>
            </w:r>
            <w:r>
              <w:rPr>
                <w:b/>
                <w:bCs/>
                <w:szCs w:val="24"/>
              </w:rPr>
              <w:t>Modalités de mise en œuvre des mesures et de la sélection</w:t>
            </w:r>
          </w:p>
          <w:p w:rsidR="0035701C" w:rsidRDefault="00FB561B">
            <w:pPr>
              <w:spacing w:before="240" w:after="240"/>
              <w:jc w:val="left"/>
              <w:rPr>
                <w:szCs w:val="24"/>
              </w:rPr>
            </w:pPr>
            <w:r>
              <w:rPr>
                <w:szCs w:val="24"/>
              </w:rPr>
              <w:t>Les mesures sont ouvertes :</w:t>
            </w:r>
          </w:p>
          <w:p w:rsidR="0035701C" w:rsidRDefault="00FB561B" w:rsidP="00FB561B">
            <w:pPr>
              <w:numPr>
                <w:ilvl w:val="0"/>
                <w:numId w:val="182"/>
              </w:numPr>
              <w:spacing w:before="240" w:after="0"/>
              <w:ind w:hanging="210"/>
              <w:jc w:val="left"/>
              <w:rPr>
                <w:szCs w:val="24"/>
              </w:rPr>
            </w:pPr>
            <w:r>
              <w:rPr>
                <w:szCs w:val="24"/>
              </w:rPr>
              <w:t>en continu sur la durée du programme ou</w:t>
            </w:r>
          </w:p>
          <w:p w:rsidR="0035701C" w:rsidRDefault="00FB561B" w:rsidP="00FB561B">
            <w:pPr>
              <w:numPr>
                <w:ilvl w:val="0"/>
                <w:numId w:val="182"/>
              </w:numPr>
              <w:spacing w:before="0" w:after="240"/>
              <w:ind w:hanging="210"/>
              <w:jc w:val="left"/>
              <w:rPr>
                <w:szCs w:val="24"/>
              </w:rPr>
            </w:pPr>
            <w:r>
              <w:rPr>
                <w:szCs w:val="24"/>
              </w:rPr>
              <w:t>selon une procédure d’appel à projet (AAP) pouvant cibler le champ d’intervention des opérations et fixer un calendrier de dépôt d</w:t>
            </w:r>
            <w:r>
              <w:rPr>
                <w:szCs w:val="24"/>
              </w:rPr>
              <w:t>e demande en réponse à l’AAP.</w:t>
            </w:r>
          </w:p>
          <w:p w:rsidR="0035701C" w:rsidRDefault="00FB561B">
            <w:pPr>
              <w:spacing w:before="240" w:after="240"/>
              <w:jc w:val="left"/>
              <w:rPr>
                <w:szCs w:val="24"/>
              </w:rPr>
            </w:pPr>
            <w:r>
              <w:rPr>
                <w:szCs w:val="24"/>
              </w:rPr>
              <w:t>Dans les deux cas, les critères de sélection sont établis préalablement selon la procédure indiquée à l'article 49 du règlement (UE) n°1305/2013.</w:t>
            </w:r>
          </w:p>
          <w:p w:rsidR="0035701C" w:rsidRDefault="00FB561B">
            <w:pPr>
              <w:spacing w:before="240" w:after="240"/>
              <w:jc w:val="left"/>
              <w:rPr>
                <w:szCs w:val="24"/>
              </w:rPr>
            </w:pPr>
            <w:r>
              <w:rPr>
                <w:szCs w:val="24"/>
              </w:rPr>
              <w:t>Un système de points permet le classement des projets avec la fixation d'un seui</w:t>
            </w:r>
            <w:r>
              <w:rPr>
                <w:szCs w:val="24"/>
              </w:rPr>
              <w:t>l minimal pour accéder à l’aide.</w:t>
            </w:r>
          </w:p>
          <w:p w:rsidR="0035701C" w:rsidRDefault="00FB561B">
            <w:pPr>
              <w:spacing w:before="240" w:after="240"/>
              <w:jc w:val="left"/>
              <w:rPr>
                <w:szCs w:val="24"/>
              </w:rPr>
            </w:pPr>
            <w:r>
              <w:rPr>
                <w:szCs w:val="24"/>
              </w:rPr>
              <w:t>Le Bureau du Conseil d’administration de l’ODARC valide les projets d’entreprises requis pour la mesure 6.1 (DJA).</w:t>
            </w:r>
          </w:p>
          <w:p w:rsidR="0035701C" w:rsidRDefault="00FB561B">
            <w:pPr>
              <w:spacing w:before="240" w:after="240"/>
              <w:jc w:val="left"/>
              <w:rPr>
                <w:szCs w:val="24"/>
              </w:rPr>
            </w:pPr>
            <w:r>
              <w:rPr>
                <w:szCs w:val="24"/>
              </w:rPr>
              <w:t>Dans tous les cas, la sélection des opérations est validée par le comité de programmation dans les formes et</w:t>
            </w:r>
            <w:r>
              <w:rPr>
                <w:szCs w:val="24"/>
              </w:rPr>
              <w:t xml:space="preserve"> la composition définie par l’AG.</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u w:val="single"/>
              </w:rPr>
              <w:t>III – Utilisation des instruments financiers :</w:t>
            </w:r>
          </w:p>
          <w:p w:rsidR="0035701C" w:rsidRDefault="00FB561B">
            <w:pPr>
              <w:spacing w:before="240" w:after="240"/>
              <w:jc w:val="left"/>
              <w:rPr>
                <w:szCs w:val="24"/>
              </w:rPr>
            </w:pPr>
            <w:r>
              <w:rPr>
                <w:szCs w:val="24"/>
              </w:rPr>
              <w:t>Les bénéficiaires des mesures du programme pourront bénéficier de l’intervention des fonds de financement et de fonds de garantie existants ou créés hors FEADER, de façon tr</w:t>
            </w:r>
            <w:r>
              <w:rPr>
                <w:szCs w:val="24"/>
              </w:rPr>
              <w:t>ansparente et évitant toute surcompensation vis-à-vis des plafonds d’aide permis par le règlement (UE) n°1305/2013.</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u w:val="single"/>
              </w:rPr>
              <w:t>IV – Dispositions relatives à l'environnement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i/>
                <w:iCs/>
                <w:szCs w:val="24"/>
              </w:rPr>
              <w:t>Installations classées pour la protection de l'environnement </w:t>
            </w:r>
          </w:p>
          <w:p w:rsidR="0035701C" w:rsidRDefault="00FB561B" w:rsidP="00FB561B">
            <w:pPr>
              <w:numPr>
                <w:ilvl w:val="0"/>
                <w:numId w:val="183"/>
              </w:numPr>
              <w:spacing w:before="240" w:after="240"/>
              <w:ind w:hanging="210"/>
              <w:jc w:val="left"/>
              <w:rPr>
                <w:szCs w:val="24"/>
              </w:rPr>
            </w:pPr>
            <w:r>
              <w:rPr>
                <w:szCs w:val="24"/>
              </w:rPr>
              <w:t xml:space="preserve">Le projet doit présenter </w:t>
            </w:r>
            <w:r>
              <w:rPr>
                <w:szCs w:val="24"/>
              </w:rPr>
              <w:t>une situation régulière avant projet à l'égard de la réglementation sur les installations classées pour la protection de l'environnement au titre du code de l'environnement (articles L 214-1 à L 214-6 et L 512-1 à L 513-3).</w:t>
            </w:r>
          </w:p>
          <w:p w:rsidR="0035701C" w:rsidRDefault="00FB561B">
            <w:pPr>
              <w:spacing w:before="240" w:after="240"/>
              <w:jc w:val="left"/>
              <w:rPr>
                <w:szCs w:val="24"/>
              </w:rPr>
            </w:pPr>
            <w:r>
              <w:rPr>
                <w:i/>
                <w:iCs/>
                <w:szCs w:val="24"/>
              </w:rPr>
              <w:t>Zones à haute valeur naturelle</w:t>
            </w:r>
          </w:p>
          <w:p w:rsidR="0035701C" w:rsidRDefault="00FB561B">
            <w:pPr>
              <w:spacing w:before="240" w:after="240"/>
              <w:ind w:left="600"/>
              <w:jc w:val="left"/>
              <w:rPr>
                <w:szCs w:val="24"/>
              </w:rPr>
            </w:pPr>
            <w:r>
              <w:rPr>
                <w:szCs w:val="24"/>
              </w:rPr>
              <w:t>L</w:t>
            </w:r>
            <w:r>
              <w:rPr>
                <w:szCs w:val="24"/>
              </w:rPr>
              <w:t>es zones à haute valeur naturelles considèrent :</w:t>
            </w:r>
          </w:p>
          <w:p w:rsidR="0035701C" w:rsidRDefault="00FB561B" w:rsidP="00FB561B">
            <w:pPr>
              <w:numPr>
                <w:ilvl w:val="0"/>
                <w:numId w:val="184"/>
              </w:numPr>
              <w:spacing w:before="240" w:after="0"/>
              <w:ind w:hanging="210"/>
              <w:jc w:val="left"/>
              <w:rPr>
                <w:szCs w:val="24"/>
              </w:rPr>
            </w:pPr>
            <w:r>
              <w:rPr>
                <w:szCs w:val="24"/>
              </w:rPr>
              <w:t>les espaces identifiés au niveau communautaire ou relevant de l’application des directives cadre (notamment DCE, Directive oiseau...),</w:t>
            </w:r>
          </w:p>
          <w:p w:rsidR="0035701C" w:rsidRDefault="00FB561B" w:rsidP="00FB561B">
            <w:pPr>
              <w:numPr>
                <w:ilvl w:val="0"/>
                <w:numId w:val="184"/>
              </w:numPr>
              <w:spacing w:before="0" w:after="0"/>
              <w:ind w:hanging="210"/>
              <w:jc w:val="left"/>
              <w:rPr>
                <w:szCs w:val="24"/>
              </w:rPr>
            </w:pPr>
            <w:r>
              <w:rPr>
                <w:szCs w:val="24"/>
              </w:rPr>
              <w:t>les espaces classés en application de dispositions nationales,</w:t>
            </w:r>
          </w:p>
          <w:p w:rsidR="0035701C" w:rsidRDefault="00FB561B" w:rsidP="00FB561B">
            <w:pPr>
              <w:numPr>
                <w:ilvl w:val="0"/>
                <w:numId w:val="184"/>
              </w:numPr>
              <w:spacing w:before="0" w:after="240"/>
              <w:ind w:hanging="210"/>
              <w:jc w:val="left"/>
              <w:rPr>
                <w:szCs w:val="24"/>
              </w:rPr>
            </w:pPr>
            <w:r>
              <w:rPr>
                <w:szCs w:val="24"/>
              </w:rPr>
              <w:t xml:space="preserve">les </w:t>
            </w:r>
            <w:r>
              <w:rPr>
                <w:szCs w:val="24"/>
              </w:rPr>
              <w:t>espaces sensibles ou de valeur naturelle, identifiés dans les inventaires</w:t>
            </w:r>
          </w:p>
          <w:p w:rsidR="0035701C" w:rsidRDefault="00FB561B">
            <w:pPr>
              <w:spacing w:before="240" w:after="240"/>
              <w:ind w:left="600"/>
              <w:jc w:val="left"/>
              <w:rPr>
                <w:szCs w:val="24"/>
              </w:rPr>
            </w:pPr>
            <w:r>
              <w:rPr>
                <w:szCs w:val="24"/>
              </w:rPr>
              <w:t>Dans ces conditions sont retenus :</w:t>
            </w:r>
          </w:p>
          <w:p w:rsidR="0035701C" w:rsidRDefault="00FB561B" w:rsidP="00FB561B">
            <w:pPr>
              <w:numPr>
                <w:ilvl w:val="0"/>
                <w:numId w:val="185"/>
              </w:numPr>
              <w:spacing w:before="240" w:after="0"/>
              <w:ind w:hanging="210"/>
              <w:jc w:val="left"/>
              <w:rPr>
                <w:szCs w:val="24"/>
              </w:rPr>
            </w:pPr>
            <w:r>
              <w:rPr>
                <w:szCs w:val="24"/>
              </w:rPr>
              <w:t>Les sites NATURA 2000</w:t>
            </w:r>
          </w:p>
          <w:p w:rsidR="0035701C" w:rsidRDefault="00FB561B" w:rsidP="00FB561B">
            <w:pPr>
              <w:numPr>
                <w:ilvl w:val="0"/>
                <w:numId w:val="185"/>
              </w:numPr>
              <w:spacing w:before="0" w:after="0"/>
              <w:ind w:hanging="210"/>
              <w:jc w:val="left"/>
              <w:rPr>
                <w:szCs w:val="24"/>
              </w:rPr>
            </w:pPr>
            <w:r>
              <w:rPr>
                <w:szCs w:val="24"/>
              </w:rPr>
              <w:t>Les habitats et peuplements communautaires prioritaires (directive 92/43 CE)</w:t>
            </w:r>
          </w:p>
          <w:p w:rsidR="0035701C" w:rsidRDefault="00FB561B" w:rsidP="00FB561B">
            <w:pPr>
              <w:numPr>
                <w:ilvl w:val="0"/>
                <w:numId w:val="185"/>
              </w:numPr>
              <w:spacing w:before="0" w:after="240"/>
              <w:ind w:hanging="210"/>
              <w:jc w:val="left"/>
              <w:rPr>
                <w:szCs w:val="24"/>
              </w:rPr>
            </w:pPr>
            <w:r>
              <w:rPr>
                <w:szCs w:val="24"/>
              </w:rPr>
              <w:t xml:space="preserve">L’ensemble des milieux aquatiques et humides </w:t>
            </w:r>
            <w:r>
              <w:rPr>
                <w:szCs w:val="24"/>
              </w:rPr>
              <w:t>identifiés au titre du SDAGE de Corse.</w:t>
            </w:r>
          </w:p>
          <w:p w:rsidR="0035701C" w:rsidRDefault="00FB561B" w:rsidP="00FB561B">
            <w:pPr>
              <w:numPr>
                <w:ilvl w:val="0"/>
                <w:numId w:val="186"/>
              </w:numPr>
              <w:spacing w:before="240" w:after="0"/>
              <w:ind w:hanging="210"/>
              <w:jc w:val="left"/>
              <w:rPr>
                <w:szCs w:val="24"/>
              </w:rPr>
            </w:pPr>
            <w:r>
              <w:rPr>
                <w:szCs w:val="24"/>
              </w:rPr>
              <w:t>Les Réserves Naturelles de Corse</w:t>
            </w:r>
          </w:p>
          <w:p w:rsidR="0035701C" w:rsidRDefault="00FB561B" w:rsidP="00FB561B">
            <w:pPr>
              <w:numPr>
                <w:ilvl w:val="0"/>
                <w:numId w:val="186"/>
              </w:numPr>
              <w:spacing w:before="0" w:after="0"/>
              <w:ind w:hanging="210"/>
              <w:jc w:val="left"/>
              <w:rPr>
                <w:szCs w:val="24"/>
              </w:rPr>
            </w:pPr>
            <w:r>
              <w:rPr>
                <w:szCs w:val="24"/>
              </w:rPr>
              <w:t>Les sites classés au titre de la loi de 1930 faisant l’objet d’une Opération Grand Site</w:t>
            </w:r>
          </w:p>
          <w:p w:rsidR="0035701C" w:rsidRDefault="00FB561B" w:rsidP="00FB561B">
            <w:pPr>
              <w:numPr>
                <w:ilvl w:val="0"/>
                <w:numId w:val="186"/>
              </w:numPr>
              <w:spacing w:before="0" w:after="0"/>
              <w:ind w:hanging="210"/>
              <w:jc w:val="left"/>
              <w:rPr>
                <w:szCs w:val="24"/>
              </w:rPr>
            </w:pPr>
            <w:r>
              <w:rPr>
                <w:szCs w:val="24"/>
              </w:rPr>
              <w:t xml:space="preserve">Les réservoirs de biodiversité (notamment les zones de haute montagne &gt; 1000m) et les corridors </w:t>
            </w:r>
            <w:r>
              <w:rPr>
                <w:szCs w:val="24"/>
              </w:rPr>
              <w:t>écologiques de la Trame Verte et Bleue</w:t>
            </w:r>
          </w:p>
          <w:p w:rsidR="0035701C" w:rsidRDefault="00FB561B" w:rsidP="00FB561B">
            <w:pPr>
              <w:numPr>
                <w:ilvl w:val="0"/>
                <w:numId w:val="186"/>
              </w:numPr>
              <w:spacing w:before="0" w:after="240"/>
              <w:ind w:hanging="210"/>
              <w:jc w:val="left"/>
              <w:rPr>
                <w:szCs w:val="24"/>
              </w:rPr>
            </w:pPr>
            <w:r>
              <w:rPr>
                <w:szCs w:val="24"/>
              </w:rPr>
              <w:t>Les Espaces Naturels Sensibles</w:t>
            </w:r>
          </w:p>
          <w:p w:rsidR="0035701C" w:rsidRDefault="00FB561B" w:rsidP="00FB561B">
            <w:pPr>
              <w:numPr>
                <w:ilvl w:val="0"/>
                <w:numId w:val="187"/>
              </w:numPr>
              <w:spacing w:before="240" w:after="0"/>
              <w:ind w:hanging="210"/>
              <w:jc w:val="left"/>
              <w:rPr>
                <w:szCs w:val="24"/>
              </w:rPr>
            </w:pPr>
            <w:r>
              <w:rPr>
                <w:szCs w:val="24"/>
              </w:rPr>
              <w:t>Les Sites du Conservatoire du Littoral et du Conservatoire des Espaces Naturels de Corse</w:t>
            </w:r>
          </w:p>
          <w:p w:rsidR="0035701C" w:rsidRDefault="00FB561B" w:rsidP="00FB561B">
            <w:pPr>
              <w:numPr>
                <w:ilvl w:val="0"/>
                <w:numId w:val="187"/>
              </w:numPr>
              <w:spacing w:before="0" w:after="0"/>
              <w:ind w:hanging="210"/>
              <w:jc w:val="left"/>
              <w:rPr>
                <w:szCs w:val="24"/>
              </w:rPr>
            </w:pPr>
            <w:r>
              <w:rPr>
                <w:szCs w:val="24"/>
              </w:rPr>
              <w:t>Les zones pastorales stratégiques identifiées par le projet de PADDUC ou son équivalent (inventai</w:t>
            </w:r>
            <w:r>
              <w:rPr>
                <w:szCs w:val="24"/>
              </w:rPr>
              <w:t>re agro-sylvo-pastoral SODETEG)</w:t>
            </w:r>
          </w:p>
          <w:p w:rsidR="0035701C" w:rsidRDefault="00FB561B" w:rsidP="00FB561B">
            <w:pPr>
              <w:numPr>
                <w:ilvl w:val="0"/>
                <w:numId w:val="187"/>
              </w:numPr>
              <w:spacing w:before="0" w:after="240"/>
              <w:ind w:hanging="210"/>
              <w:jc w:val="left"/>
              <w:rPr>
                <w:szCs w:val="24"/>
              </w:rPr>
            </w:pPr>
            <w:r>
              <w:rPr>
                <w:szCs w:val="24"/>
              </w:rPr>
              <w:t>Les espaces boisés classés ou soumis au régime forestier.</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u w:val="single"/>
              </w:rPr>
              <w:t>V – Dispositions communes pour les mesures 10 et 11 relatives aux éléments réglementaires de la ligne de base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xml:space="preserve">La ligne de base des mesures 10 et 11 du </w:t>
            </w:r>
            <w:r>
              <w:rPr>
                <w:szCs w:val="24"/>
              </w:rPr>
              <w:t>développement rural correspond aux pratiques rendues obligatoires par la réglementation qui constituent le niveau d'exigence minimum, au-delà duquel les engagements doivent se situer afin de pouvoir être rémunérés.</w:t>
            </w:r>
          </w:p>
          <w:p w:rsidR="0035701C" w:rsidRDefault="00FB561B">
            <w:pPr>
              <w:spacing w:before="240" w:after="240"/>
              <w:jc w:val="left"/>
              <w:rPr>
                <w:szCs w:val="24"/>
              </w:rPr>
            </w:pPr>
            <w:r>
              <w:rPr>
                <w:szCs w:val="24"/>
              </w:rPr>
              <w:t xml:space="preserve">Conformément aux articles 28 et 29 et du </w:t>
            </w:r>
            <w:r>
              <w:rPr>
                <w:szCs w:val="24"/>
              </w:rPr>
              <w:t>règlement (UE) n°1305/2013, la ligne de base des types d’opérations relevant des mesures 10 et 11 est de manière générale constituée des exigences réglementaires suivantes présentées dans le tableau 1 intitulé "</w:t>
            </w:r>
            <w:r>
              <w:rPr>
                <w:i/>
                <w:iCs/>
                <w:szCs w:val="24"/>
              </w:rPr>
              <w:t>Synthèse des exigences réglementaires constit</w:t>
            </w:r>
            <w:r>
              <w:rPr>
                <w:i/>
                <w:iCs/>
                <w:szCs w:val="24"/>
              </w:rPr>
              <w:t>uant la ligne de base des mesures 10 et 11"</w:t>
            </w:r>
            <w:r>
              <w:rPr>
                <w:szCs w:val="24"/>
              </w:rPr>
              <w:t>.</w:t>
            </w:r>
          </w:p>
          <w:p w:rsidR="0035701C" w:rsidRDefault="00FB561B">
            <w:pPr>
              <w:spacing w:before="240" w:after="240"/>
              <w:jc w:val="left"/>
              <w:rPr>
                <w:szCs w:val="24"/>
              </w:rPr>
            </w:pPr>
            <w:r>
              <w:rPr>
                <w:b/>
                <w:bCs/>
                <w:szCs w:val="24"/>
              </w:rPr>
              <w:t>(cf. tableau 1)</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Néanmoins, certaines opérations détaillées dans le PDRC n’ont pas de lien direct avec les pratiques rendues obligatoires. Il est ainsi possible que certains types d’opérations n’aient aucune li</w:t>
            </w:r>
            <w:r>
              <w:rPr>
                <w:szCs w:val="24"/>
              </w:rPr>
              <w:t>gne de base imposée par la réglementation.</w:t>
            </w:r>
          </w:p>
          <w:p w:rsidR="0035701C" w:rsidRDefault="00FB561B">
            <w:pPr>
              <w:spacing w:before="240" w:after="240"/>
              <w:jc w:val="left"/>
              <w:rPr>
                <w:szCs w:val="24"/>
              </w:rPr>
            </w:pPr>
            <w:r>
              <w:rPr>
                <w:szCs w:val="24"/>
              </w:rPr>
              <w:t>Les liens entre le contenu des différentes exigences réglementaires et les types d’opérations des mesures 10 et 11 sont présentés ci-dessous de façon transversale. Le cas échéant, l’interaction entre les types opé</w:t>
            </w:r>
            <w:r>
              <w:rPr>
                <w:szCs w:val="24"/>
              </w:rPr>
              <w:t xml:space="preserve">rations concernées et les pratiques obligatoires est détaillée </w:t>
            </w:r>
            <w:r>
              <w:rPr>
                <w:b/>
                <w:bCs/>
                <w:szCs w:val="24"/>
              </w:rPr>
              <w:t>dans chaque type d’opération</w:t>
            </w:r>
            <w:r>
              <w:rPr>
                <w:szCs w:val="24"/>
              </w:rPr>
              <w:t xml:space="preserve"> (tableau synthétique), afin de justifier d’un niveau d’exigence supérieur.</w:t>
            </w:r>
          </w:p>
          <w:p w:rsidR="0035701C" w:rsidRDefault="00FB561B">
            <w:pPr>
              <w:spacing w:before="240" w:after="240"/>
              <w:jc w:val="left"/>
              <w:rPr>
                <w:szCs w:val="24"/>
              </w:rPr>
            </w:pPr>
            <w:r>
              <w:rPr>
                <w:szCs w:val="24"/>
                <w:u w:val="single"/>
              </w:rPr>
              <w:t>1. Exigences et normes relatives à la conditionnalité</w:t>
            </w:r>
          </w:p>
          <w:p w:rsidR="0035701C" w:rsidRDefault="00FB561B">
            <w:pPr>
              <w:spacing w:before="240" w:after="240"/>
              <w:jc w:val="left"/>
              <w:rPr>
                <w:szCs w:val="24"/>
              </w:rPr>
            </w:pPr>
            <w:r>
              <w:rPr>
                <w:szCs w:val="24"/>
              </w:rPr>
              <w:t>Conformément à l’article 93 du Règl</w:t>
            </w:r>
            <w:r>
              <w:rPr>
                <w:szCs w:val="24"/>
              </w:rPr>
              <w:t>ement (UE) n°1306/2013, les règles relatives à la conditionnalité sont :</w:t>
            </w:r>
          </w:p>
          <w:p w:rsidR="0035701C" w:rsidRDefault="00FB561B" w:rsidP="00FB561B">
            <w:pPr>
              <w:numPr>
                <w:ilvl w:val="0"/>
                <w:numId w:val="188"/>
              </w:numPr>
              <w:spacing w:before="240" w:after="0"/>
              <w:ind w:hanging="210"/>
              <w:jc w:val="left"/>
              <w:rPr>
                <w:szCs w:val="24"/>
              </w:rPr>
            </w:pPr>
            <w:r>
              <w:rPr>
                <w:szCs w:val="24"/>
              </w:rPr>
              <w:t>les ERMG (Exigences Réglementaires en Matière de Gestion) prévues par le droit de l’Union,</w:t>
            </w:r>
          </w:p>
          <w:p w:rsidR="0035701C" w:rsidRDefault="00FB561B" w:rsidP="00FB561B">
            <w:pPr>
              <w:numPr>
                <w:ilvl w:val="0"/>
                <w:numId w:val="188"/>
              </w:numPr>
              <w:spacing w:before="0" w:after="0"/>
              <w:ind w:hanging="210"/>
              <w:jc w:val="left"/>
              <w:rPr>
                <w:szCs w:val="24"/>
              </w:rPr>
            </w:pPr>
            <w:r>
              <w:rPr>
                <w:szCs w:val="24"/>
              </w:rPr>
              <w:t>les BCAE (Bonnes Conditions Agricoles et Environnementales),</w:t>
            </w:r>
          </w:p>
          <w:p w:rsidR="0035701C" w:rsidRDefault="00FB561B" w:rsidP="00FB561B">
            <w:pPr>
              <w:numPr>
                <w:ilvl w:val="0"/>
                <w:numId w:val="188"/>
              </w:numPr>
              <w:spacing w:before="0" w:after="240"/>
              <w:ind w:hanging="210"/>
              <w:jc w:val="left"/>
              <w:rPr>
                <w:szCs w:val="24"/>
              </w:rPr>
            </w:pPr>
            <w:r>
              <w:rPr>
                <w:szCs w:val="24"/>
              </w:rPr>
              <w:t>l’exigence de maintien des pâtu</w:t>
            </w:r>
            <w:r>
              <w:rPr>
                <w:szCs w:val="24"/>
              </w:rPr>
              <w:t>rages permanents pour les années 2015 et 2016.</w:t>
            </w:r>
          </w:p>
          <w:p w:rsidR="0035701C" w:rsidRDefault="00FB561B">
            <w:pPr>
              <w:spacing w:before="240" w:after="240"/>
              <w:jc w:val="left"/>
              <w:rPr>
                <w:szCs w:val="24"/>
              </w:rPr>
            </w:pPr>
            <w:r>
              <w:rPr>
                <w:szCs w:val="24"/>
              </w:rPr>
              <w:t>Ces règles sont établies au niveau national, dont les 3 tableaux ci-dessous (tableau n°2, 3, 4) font la synthèse. Les</w:t>
            </w:r>
            <w:r>
              <w:rPr>
                <w:b/>
                <w:bCs/>
                <w:szCs w:val="24"/>
              </w:rPr>
              <w:t xml:space="preserve"> BCAE</w:t>
            </w:r>
            <w:r>
              <w:rPr>
                <w:szCs w:val="24"/>
              </w:rPr>
              <w:t xml:space="preserve"> ont fait l’objet au niveau national d’un décret en date du 7 avril 2015 et d’un arrêté en date du 24 avril 2015. Concernant les </w:t>
            </w:r>
            <w:r>
              <w:rPr>
                <w:b/>
                <w:bCs/>
                <w:szCs w:val="24"/>
              </w:rPr>
              <w:t>ERMG</w:t>
            </w:r>
            <w:r>
              <w:rPr>
                <w:szCs w:val="24"/>
              </w:rPr>
              <w:t>, elles seront reprises par la règlementation nationale très prochainement, à l’automne 2015.</w:t>
            </w:r>
          </w:p>
          <w:p w:rsidR="0035701C" w:rsidRDefault="00FB561B">
            <w:pPr>
              <w:spacing w:before="240" w:after="240"/>
              <w:jc w:val="left"/>
              <w:rPr>
                <w:szCs w:val="24"/>
              </w:rPr>
            </w:pPr>
            <w:r>
              <w:rPr>
                <w:b/>
                <w:bCs/>
                <w:szCs w:val="24"/>
              </w:rPr>
              <w:t>(cf. tableau 2)</w:t>
            </w:r>
          </w:p>
          <w:p w:rsidR="0035701C" w:rsidRDefault="00FB561B">
            <w:pPr>
              <w:spacing w:before="240" w:after="240"/>
              <w:jc w:val="left"/>
              <w:rPr>
                <w:szCs w:val="24"/>
              </w:rPr>
            </w:pPr>
            <w:r>
              <w:rPr>
                <w:b/>
                <w:bCs/>
                <w:szCs w:val="24"/>
              </w:rPr>
              <w:t xml:space="preserve">(cf. tableau </w:t>
            </w:r>
            <w:r>
              <w:rPr>
                <w:b/>
                <w:bCs/>
                <w:szCs w:val="24"/>
              </w:rPr>
              <w:t>3)</w:t>
            </w:r>
          </w:p>
          <w:p w:rsidR="0035701C" w:rsidRDefault="00FB561B">
            <w:pPr>
              <w:spacing w:before="240" w:after="240"/>
              <w:jc w:val="left"/>
              <w:rPr>
                <w:szCs w:val="24"/>
              </w:rPr>
            </w:pPr>
            <w:r>
              <w:rPr>
                <w:b/>
                <w:bCs/>
                <w:szCs w:val="24"/>
              </w:rPr>
              <w:t>(cf. tableau 4)</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Au titre de la conditionnalité, sont en interaction directe avec certaines opérations relevant des mesures 10 et 11 :</w:t>
            </w:r>
          </w:p>
          <w:p w:rsidR="0035701C" w:rsidRDefault="00FB561B" w:rsidP="00FB561B">
            <w:pPr>
              <w:numPr>
                <w:ilvl w:val="0"/>
                <w:numId w:val="189"/>
              </w:numPr>
              <w:spacing w:before="240" w:after="0"/>
              <w:ind w:hanging="210"/>
              <w:jc w:val="left"/>
              <w:rPr>
                <w:szCs w:val="24"/>
              </w:rPr>
            </w:pPr>
            <w:r>
              <w:rPr>
                <w:szCs w:val="24"/>
              </w:rPr>
              <w:t>l’ERMG 4 relative au règlement (CE) n°147/2002</w:t>
            </w:r>
          </w:p>
          <w:p w:rsidR="0035701C" w:rsidRDefault="00FB561B" w:rsidP="00FB561B">
            <w:pPr>
              <w:numPr>
                <w:ilvl w:val="0"/>
                <w:numId w:val="189"/>
              </w:numPr>
              <w:spacing w:before="0" w:after="0"/>
              <w:ind w:hanging="210"/>
              <w:jc w:val="left"/>
              <w:rPr>
                <w:szCs w:val="24"/>
              </w:rPr>
            </w:pPr>
            <w:r>
              <w:rPr>
                <w:szCs w:val="24"/>
              </w:rPr>
              <w:t>la BCAE 1 – Établissement des bandes tampons le long des cours d’eau</w:t>
            </w:r>
          </w:p>
          <w:p w:rsidR="0035701C" w:rsidRDefault="00FB561B" w:rsidP="00FB561B">
            <w:pPr>
              <w:numPr>
                <w:ilvl w:val="0"/>
                <w:numId w:val="189"/>
              </w:numPr>
              <w:spacing w:before="0" w:after="240"/>
              <w:ind w:hanging="210"/>
              <w:jc w:val="left"/>
              <w:rPr>
                <w:szCs w:val="24"/>
              </w:rPr>
            </w:pPr>
            <w:r>
              <w:rPr>
                <w:szCs w:val="24"/>
              </w:rPr>
              <w:t>le maintien des pâturages permanents</w:t>
            </w:r>
          </w:p>
          <w:p w:rsidR="0035701C" w:rsidRDefault="00FB561B">
            <w:pPr>
              <w:spacing w:before="240" w:after="240"/>
              <w:jc w:val="left"/>
              <w:rPr>
                <w:szCs w:val="24"/>
              </w:rPr>
            </w:pPr>
            <w:r>
              <w:rPr>
                <w:szCs w:val="24"/>
              </w:rPr>
              <w:t>Dans le cadre de la réglementation relative aux nitrates (ERMG 1), la Corse n’étant pas en zone vulnérable au regard de l’utilisation des engrais azotés, elle n’est donc pas soumise aux règles de l’ERMG 1 et donc aucune</w:t>
            </w:r>
            <w:r>
              <w:rPr>
                <w:szCs w:val="24"/>
              </w:rPr>
              <w:t xml:space="preserve"> opération des mesures 10 et 11 n’ont d’interaction avec cette ERMG.</w:t>
            </w:r>
          </w:p>
          <w:p w:rsidR="0035701C" w:rsidRDefault="00FB561B">
            <w:pPr>
              <w:spacing w:before="240" w:after="240"/>
              <w:jc w:val="left"/>
              <w:rPr>
                <w:szCs w:val="24"/>
              </w:rPr>
            </w:pPr>
            <w:r>
              <w:rPr>
                <w:szCs w:val="24"/>
              </w:rPr>
              <w:t xml:space="preserve">Les types d’opérations en lien direct avec ces exigences et normes de la conditionnalité sont présentés dans le tableau 5 intitulé </w:t>
            </w:r>
            <w:r>
              <w:rPr>
                <w:i/>
                <w:iCs/>
                <w:szCs w:val="24"/>
              </w:rPr>
              <w:t>"Types d'opérations en interaction avec la conditionnali</w:t>
            </w:r>
            <w:r>
              <w:rPr>
                <w:i/>
                <w:iCs/>
                <w:szCs w:val="24"/>
              </w:rPr>
              <w:t>té".</w:t>
            </w:r>
          </w:p>
          <w:p w:rsidR="0035701C" w:rsidRDefault="00FB561B">
            <w:pPr>
              <w:spacing w:before="240" w:after="240"/>
              <w:jc w:val="left"/>
              <w:rPr>
                <w:szCs w:val="24"/>
              </w:rPr>
            </w:pPr>
            <w:r>
              <w:rPr>
                <w:b/>
                <w:bCs/>
                <w:szCs w:val="24"/>
              </w:rPr>
              <w:t>(cf. tableau 5)</w:t>
            </w:r>
          </w:p>
          <w:p w:rsidR="0035701C" w:rsidRDefault="00FB561B">
            <w:pPr>
              <w:spacing w:before="240" w:after="240"/>
              <w:jc w:val="left"/>
              <w:rPr>
                <w:szCs w:val="24"/>
              </w:rPr>
            </w:pPr>
            <w:r>
              <w:rPr>
                <w:szCs w:val="24"/>
              </w:rPr>
              <w:t>Lorsqu’il y a interactions, celles-ci sont détaillées dans chaque type d’opération (tableau synthétique), afin de justifier que les engagements vont au-delà de la réglementation.</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u w:val="single"/>
              </w:rPr>
              <w:t>2. Exigences relatives à l’état minimum d’entretien de</w:t>
            </w:r>
            <w:r>
              <w:rPr>
                <w:szCs w:val="24"/>
                <w:u w:val="single"/>
              </w:rPr>
              <w:t>s surfaces agricoles et aux activités minimales sur les surfaces auto-entretenues</w:t>
            </w:r>
          </w:p>
          <w:p w:rsidR="0035701C" w:rsidRDefault="00FB561B">
            <w:pPr>
              <w:spacing w:before="240" w:after="240"/>
              <w:jc w:val="left"/>
              <w:rPr>
                <w:szCs w:val="24"/>
              </w:rPr>
            </w:pPr>
            <w:r>
              <w:rPr>
                <w:szCs w:val="24"/>
              </w:rPr>
              <w:t xml:space="preserve">Conformément à </w:t>
            </w:r>
            <w:r>
              <w:rPr>
                <w:szCs w:val="24"/>
                <w:u w:val="single"/>
              </w:rPr>
              <w:t>l’article 4,</w:t>
            </w:r>
            <w:r>
              <w:rPr>
                <w:szCs w:val="24"/>
              </w:rPr>
              <w:t xml:space="preserve"> paragraphe c), sous ii) du règlement (UE) n°1307/2013, l’état minimum d’entretien des surfaces agricoles établi au niveau national a été transmis </w:t>
            </w:r>
            <w:r>
              <w:rPr>
                <w:szCs w:val="24"/>
              </w:rPr>
              <w:t xml:space="preserve">pour notification par le Ministère de l’Agriculture de l’Agroalimentaire et de la Forêt. Il est décrit dans le tableau 6 intitulé </w:t>
            </w:r>
            <w:r>
              <w:rPr>
                <w:i/>
                <w:iCs/>
                <w:szCs w:val="24"/>
              </w:rPr>
              <w:t>"Etat minimum d'entretien des surfaces agricoles".</w:t>
            </w:r>
          </w:p>
          <w:p w:rsidR="0035701C" w:rsidRDefault="00FB561B">
            <w:pPr>
              <w:spacing w:before="240" w:after="240"/>
              <w:jc w:val="left"/>
              <w:rPr>
                <w:szCs w:val="24"/>
              </w:rPr>
            </w:pPr>
            <w:r>
              <w:rPr>
                <w:b/>
                <w:bCs/>
                <w:szCs w:val="24"/>
              </w:rPr>
              <w:t>(cf. tableau 6)</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 xml:space="preserve">Ces exigences en matière d’état d’entretien des surfaces </w:t>
            </w:r>
            <w:r>
              <w:rPr>
                <w:b/>
                <w:bCs/>
                <w:szCs w:val="24"/>
              </w:rPr>
              <w:t>agricoles ne présentent pas d’interaction particulière avec les engagements prévus dans les différents types d’opérations des mesures 10 et 11 sauf pour l’opération PRAIRIE 1 . Cette interaction est détaillée dans la fiche opération concernée afin de justi</w:t>
            </w:r>
            <w:r>
              <w:rPr>
                <w:b/>
                <w:bCs/>
                <w:szCs w:val="24"/>
              </w:rPr>
              <w:t>fier que les engagements vont au-delà de la réglementation.</w:t>
            </w:r>
          </w:p>
          <w:p w:rsidR="0035701C" w:rsidRDefault="00FB561B">
            <w:pPr>
              <w:spacing w:before="240" w:after="240"/>
              <w:jc w:val="left"/>
              <w:rPr>
                <w:szCs w:val="24"/>
              </w:rPr>
            </w:pPr>
            <w:r>
              <w:rPr>
                <w:szCs w:val="24"/>
              </w:rPr>
              <w:t>Par ailleurs, et toujours conformément à l’article 4, paragraphe c), sous iii) du règlement (UE) n°1307/2013, l’activité minimale sur les surfaces agricoles naturellement conservées, qui est égale</w:t>
            </w:r>
            <w:r>
              <w:rPr>
                <w:szCs w:val="24"/>
              </w:rPr>
              <w:t xml:space="preserve">ment définie au niveau national, consiste à respecter un chargement minimum de 0,05 UGB / ha ou à réaliser une fauche annuelle. </w:t>
            </w:r>
            <w:r>
              <w:rPr>
                <w:b/>
                <w:bCs/>
                <w:szCs w:val="24"/>
              </w:rPr>
              <w:t>En Corse, il n’y a aucune surface naturellement conservée qui soit concernée par une ou plusieurs opérations agro-environnementa</w:t>
            </w:r>
            <w:r>
              <w:rPr>
                <w:b/>
                <w:bCs/>
                <w:szCs w:val="24"/>
              </w:rPr>
              <w:t>les</w:t>
            </w:r>
            <w:r>
              <w:rPr>
                <w:szCs w:val="24"/>
              </w:rPr>
              <w: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u w:val="single"/>
              </w:rPr>
              <w:t>3. Exigences minimales relatives à l’utilisation des engrais et des produits phytopharmaceutiques</w:t>
            </w:r>
          </w:p>
          <w:p w:rsidR="0035701C" w:rsidRDefault="00FB561B">
            <w:pPr>
              <w:spacing w:before="240" w:after="240"/>
              <w:jc w:val="left"/>
              <w:rPr>
                <w:szCs w:val="24"/>
              </w:rPr>
            </w:pPr>
            <w:r>
              <w:rPr>
                <w:i/>
                <w:iCs/>
                <w:szCs w:val="24"/>
                <w:u w:val="single"/>
              </w:rPr>
              <w:t>a) Exigences minimales relatives à l’utilisation des engrais azotés</w:t>
            </w:r>
          </w:p>
          <w:p w:rsidR="0035701C" w:rsidRDefault="00FB561B">
            <w:pPr>
              <w:spacing w:before="240" w:after="240"/>
              <w:jc w:val="left"/>
              <w:rPr>
                <w:szCs w:val="24"/>
              </w:rPr>
            </w:pPr>
            <w:r>
              <w:rPr>
                <w:szCs w:val="24"/>
              </w:rPr>
              <w:t xml:space="preserve">Les exigences minimales relatives à l’utilisation des engrais découlent de la mise </w:t>
            </w:r>
            <w:r>
              <w:rPr>
                <w:szCs w:val="24"/>
              </w:rPr>
              <w:t xml:space="preserve">en œuvre de la Directive Nitrates (91/676/CEE). Au niveau national, cette directive a donné lieu depuis 1996, a plusieurs de programmes d’actions obligatoires sur l’ensemble des zones vulnérables françaises. </w:t>
            </w:r>
            <w:r>
              <w:rPr>
                <w:b/>
                <w:bCs/>
                <w:szCs w:val="24"/>
              </w:rPr>
              <w:t>Dans la mesure où il n’existe pas en Corse, de t</w:t>
            </w:r>
            <w:r>
              <w:rPr>
                <w:b/>
                <w:bCs/>
                <w:szCs w:val="24"/>
              </w:rPr>
              <w:t>erres classées en zones vulnérables, il n’y a pas d’exigences minimales relatives à l’utilisation des engrais découlant directement de ces programmes.</w:t>
            </w:r>
          </w:p>
          <w:p w:rsidR="0035701C" w:rsidRDefault="00FB561B">
            <w:pPr>
              <w:spacing w:before="240" w:after="240"/>
              <w:jc w:val="left"/>
              <w:rPr>
                <w:szCs w:val="24"/>
              </w:rPr>
            </w:pPr>
            <w:r>
              <w:rPr>
                <w:szCs w:val="24"/>
              </w:rPr>
              <w:t xml:space="preserve">En revanche, en dehors des zones vulnérables, l’arrêté du 22 novembre 1993, relatif au </w:t>
            </w:r>
            <w:r>
              <w:rPr>
                <w:b/>
                <w:bCs/>
                <w:szCs w:val="24"/>
              </w:rPr>
              <w:t>code des bonnes pr</w:t>
            </w:r>
            <w:r>
              <w:rPr>
                <w:b/>
                <w:bCs/>
                <w:szCs w:val="24"/>
              </w:rPr>
              <w:t>atiques agricoles</w:t>
            </w:r>
            <w:r>
              <w:rPr>
                <w:szCs w:val="24"/>
              </w:rPr>
              <w:t xml:space="preserve"> établissant des recommandations d’utilisation, sert de référence aux agriculteurs pour protéger les eaux contre les pollutions par les nitrates d’origine agricole. Ces recommandations portent sur :</w:t>
            </w:r>
          </w:p>
          <w:p w:rsidR="0035701C" w:rsidRDefault="00FB561B" w:rsidP="00FB561B">
            <w:pPr>
              <w:numPr>
                <w:ilvl w:val="0"/>
                <w:numId w:val="190"/>
              </w:numPr>
              <w:spacing w:before="240" w:after="0"/>
              <w:ind w:hanging="280"/>
              <w:jc w:val="left"/>
              <w:rPr>
                <w:szCs w:val="24"/>
              </w:rPr>
            </w:pPr>
            <w:r>
              <w:rPr>
                <w:szCs w:val="24"/>
              </w:rPr>
              <w:t>les périodes pendant lesquelles l’épanda</w:t>
            </w:r>
            <w:r>
              <w:rPr>
                <w:szCs w:val="24"/>
              </w:rPr>
              <w:t>ge est inapproprié,</w:t>
            </w:r>
          </w:p>
          <w:p w:rsidR="0035701C" w:rsidRDefault="00FB561B" w:rsidP="00FB561B">
            <w:pPr>
              <w:numPr>
                <w:ilvl w:val="0"/>
                <w:numId w:val="190"/>
              </w:numPr>
              <w:spacing w:before="0" w:after="0"/>
              <w:ind w:hanging="280"/>
              <w:jc w:val="left"/>
              <w:rPr>
                <w:szCs w:val="24"/>
              </w:rPr>
            </w:pPr>
            <w:r>
              <w:rPr>
                <w:szCs w:val="24"/>
              </w:rPr>
              <w:t>les conditions d’épandage sur les sols en forte pente,</w:t>
            </w:r>
          </w:p>
          <w:p w:rsidR="0035701C" w:rsidRDefault="00FB561B" w:rsidP="00FB561B">
            <w:pPr>
              <w:numPr>
                <w:ilvl w:val="0"/>
                <w:numId w:val="190"/>
              </w:numPr>
              <w:spacing w:before="0" w:after="0"/>
              <w:ind w:hanging="280"/>
              <w:jc w:val="left"/>
              <w:rPr>
                <w:szCs w:val="24"/>
              </w:rPr>
            </w:pPr>
            <w:r>
              <w:rPr>
                <w:szCs w:val="24"/>
              </w:rPr>
              <w:t>les conditions d’épandage sur les sols détrempés, inondés, gelés ou couverts de neige,</w:t>
            </w:r>
          </w:p>
          <w:p w:rsidR="0035701C" w:rsidRDefault="00FB561B" w:rsidP="00FB561B">
            <w:pPr>
              <w:numPr>
                <w:ilvl w:val="0"/>
                <w:numId w:val="190"/>
              </w:numPr>
              <w:spacing w:before="0" w:after="0"/>
              <w:ind w:hanging="280"/>
              <w:jc w:val="left"/>
              <w:rPr>
                <w:szCs w:val="24"/>
              </w:rPr>
            </w:pPr>
            <w:r>
              <w:rPr>
                <w:szCs w:val="24"/>
              </w:rPr>
              <w:t>les conditions d’épandage des fertilisants près des eaux de surface,</w:t>
            </w:r>
          </w:p>
          <w:p w:rsidR="0035701C" w:rsidRDefault="00FB561B" w:rsidP="00FB561B">
            <w:pPr>
              <w:numPr>
                <w:ilvl w:val="0"/>
                <w:numId w:val="190"/>
              </w:numPr>
              <w:spacing w:before="0" w:after="0"/>
              <w:ind w:hanging="280"/>
              <w:jc w:val="left"/>
              <w:rPr>
                <w:szCs w:val="24"/>
              </w:rPr>
            </w:pPr>
            <w:r>
              <w:rPr>
                <w:szCs w:val="24"/>
              </w:rPr>
              <w:t>les capacités et modes de</w:t>
            </w:r>
            <w:r>
              <w:rPr>
                <w:szCs w:val="24"/>
              </w:rPr>
              <w:t xml:space="preserve"> construction des ouvrages de stockage des effluents d’élevage,</w:t>
            </w:r>
          </w:p>
          <w:p w:rsidR="0035701C" w:rsidRDefault="00FB561B" w:rsidP="00FB561B">
            <w:pPr>
              <w:numPr>
                <w:ilvl w:val="0"/>
                <w:numId w:val="190"/>
              </w:numPr>
              <w:spacing w:before="0" w:after="0"/>
              <w:ind w:hanging="280"/>
              <w:jc w:val="left"/>
              <w:rPr>
                <w:szCs w:val="24"/>
              </w:rPr>
            </w:pPr>
            <w:r>
              <w:rPr>
                <w:szCs w:val="24"/>
              </w:rPr>
              <w:t>les modes d’épandage des fertilisants reposant sur la détermination de la dose à épandre afin d’assurer le respect du principe de l’équilibre de la fertilisation et sur l’uniformité de l’épand</w:t>
            </w:r>
            <w:r>
              <w:rPr>
                <w:szCs w:val="24"/>
              </w:rPr>
              <w:t>age,</w:t>
            </w:r>
          </w:p>
          <w:p w:rsidR="0035701C" w:rsidRDefault="00FB561B" w:rsidP="00FB561B">
            <w:pPr>
              <w:numPr>
                <w:ilvl w:val="0"/>
                <w:numId w:val="190"/>
              </w:numPr>
              <w:spacing w:before="0" w:after="0"/>
              <w:ind w:hanging="280"/>
              <w:jc w:val="left"/>
              <w:rPr>
                <w:szCs w:val="24"/>
              </w:rPr>
            </w:pPr>
            <w:r>
              <w:rPr>
                <w:szCs w:val="24"/>
              </w:rPr>
              <w:t>la gestion des terres et la couverture végétale du sol</w:t>
            </w:r>
          </w:p>
          <w:p w:rsidR="0035701C" w:rsidRDefault="00FB561B" w:rsidP="00FB561B">
            <w:pPr>
              <w:numPr>
                <w:ilvl w:val="0"/>
                <w:numId w:val="190"/>
              </w:numPr>
              <w:spacing w:before="0" w:after="0"/>
              <w:ind w:hanging="280"/>
              <w:jc w:val="left"/>
              <w:rPr>
                <w:szCs w:val="24"/>
              </w:rPr>
            </w:pPr>
            <w:r>
              <w:rPr>
                <w:szCs w:val="24"/>
              </w:rPr>
              <w:t>la réalisation de plans de fumure prévisionnels et la tenue d’un cahier d’épandage</w:t>
            </w:r>
          </w:p>
          <w:p w:rsidR="0035701C" w:rsidRDefault="00FB561B" w:rsidP="00FB561B">
            <w:pPr>
              <w:numPr>
                <w:ilvl w:val="0"/>
                <w:numId w:val="190"/>
              </w:numPr>
              <w:spacing w:before="0" w:after="240"/>
              <w:ind w:hanging="280"/>
              <w:jc w:val="left"/>
              <w:rPr>
                <w:szCs w:val="24"/>
              </w:rPr>
            </w:pPr>
            <w:r>
              <w:rPr>
                <w:szCs w:val="24"/>
              </w:rPr>
              <w:t>la gestion de l’irrigation.</w:t>
            </w:r>
          </w:p>
          <w:p w:rsidR="0035701C" w:rsidRDefault="00FB561B">
            <w:pPr>
              <w:spacing w:before="240" w:after="240"/>
              <w:jc w:val="left"/>
              <w:rPr>
                <w:szCs w:val="24"/>
              </w:rPr>
            </w:pPr>
            <w:r>
              <w:rPr>
                <w:b/>
                <w:bCs/>
                <w:szCs w:val="24"/>
              </w:rPr>
              <w:t>Ce Code des Bonnes Pratiques Agricoles ci-dessus décrit, constitue la ligne de base e</w:t>
            </w:r>
            <w:r>
              <w:rPr>
                <w:b/>
                <w:bCs/>
                <w:szCs w:val="24"/>
              </w:rPr>
              <w:t>n matière d’utilisation des engrais azotés pour tous les types d’opérations relevant des mesures 10 et 11 du Plan de Développement Rural de la Corse.</w:t>
            </w:r>
          </w:p>
          <w:p w:rsidR="0035701C" w:rsidRDefault="00FB561B">
            <w:pPr>
              <w:spacing w:before="240" w:after="240"/>
              <w:jc w:val="left"/>
              <w:rPr>
                <w:szCs w:val="24"/>
              </w:rPr>
            </w:pPr>
            <w:r>
              <w:rPr>
                <w:szCs w:val="24"/>
              </w:rPr>
              <w:t>Les opérations de la mesure 10 qui sont en interaction avec ce code des bonnes pratiques et uniquement ave</w:t>
            </w:r>
            <w:r>
              <w:rPr>
                <w:szCs w:val="24"/>
              </w:rPr>
              <w:t>c le point 8) relatif à la réalisation de plans de fumure prévisionnels et la tenue d’un cahier d’épandage, sont les suivantes : PRAIRIE 3, EAU 2, EAU 3 et EAU 13.</w:t>
            </w:r>
          </w:p>
          <w:p w:rsidR="0035701C" w:rsidRDefault="00FB561B">
            <w:pPr>
              <w:spacing w:before="240" w:after="240"/>
              <w:jc w:val="left"/>
              <w:rPr>
                <w:szCs w:val="24"/>
              </w:rPr>
            </w:pPr>
            <w:r>
              <w:rPr>
                <w:szCs w:val="24"/>
              </w:rPr>
              <w:t>Ces interactions sont détaillées dans chaque type d’opération (tableau synthétique), afin de</w:t>
            </w:r>
            <w:r>
              <w:rPr>
                <w:szCs w:val="24"/>
              </w:rPr>
              <w:t xml:space="preserve"> justifier que les engagements vont au-delà de la réglementation.</w:t>
            </w:r>
          </w:p>
          <w:p w:rsidR="0035701C" w:rsidRDefault="00FB561B">
            <w:pPr>
              <w:spacing w:before="240" w:after="240"/>
              <w:jc w:val="left"/>
              <w:rPr>
                <w:szCs w:val="24"/>
              </w:rPr>
            </w:pPr>
            <w:r>
              <w:rPr>
                <w:i/>
                <w:iCs/>
                <w:szCs w:val="24"/>
                <w:u w:val="single"/>
              </w:rPr>
              <w:t>b) Exigences minimales relatives à l'utilisation des engrais phosphatés</w:t>
            </w:r>
          </w:p>
          <w:p w:rsidR="0035701C" w:rsidRDefault="00FB561B">
            <w:pPr>
              <w:spacing w:before="240" w:after="240"/>
              <w:jc w:val="left"/>
              <w:rPr>
                <w:szCs w:val="24"/>
              </w:rPr>
            </w:pPr>
            <w:r>
              <w:rPr>
                <w:b/>
                <w:bCs/>
                <w:szCs w:val="24"/>
              </w:rPr>
              <w:t>Il n'existe pas de réglementation nationale ou locale spécifique aux apports phosphatés en agriculture</w:t>
            </w:r>
            <w:r>
              <w:rPr>
                <w:szCs w:val="24"/>
              </w:rPr>
              <w:t>, dans la mesure</w:t>
            </w:r>
            <w:r>
              <w:rPr>
                <w:szCs w:val="24"/>
              </w:rPr>
              <w:t xml:space="preserve"> où il n’y a pas en Corse de problèmes identifiés relatifs au phosphore d’origine agricole. Néanmoins, d’autres règlementations contribuent à la maîtrise des risques de contamination des eaux par le phosphore d’origine agricole, en relation avec les orient</w:t>
            </w:r>
            <w:r>
              <w:rPr>
                <w:szCs w:val="24"/>
              </w:rPr>
              <w:t>ations définies dans le cadre des SDAGE, et en relation avec la règlementation nationale en matière d'installations classées et d'épandages soumis à la Loi sur l'eau. Dans ces situations, cette règlementation locale s’applique aux élevages (ICPE) ou aux ép</w:t>
            </w:r>
            <w:r>
              <w:rPr>
                <w:szCs w:val="24"/>
              </w:rPr>
              <w:t>andages de boues de station d’épuration et autres effluents (soumis à la Loi sur l’eau) soumis à autorisation et vise l’équilibre de la fertilisation phosphatée des plans d’épandage.</w:t>
            </w:r>
          </w:p>
          <w:p w:rsidR="0035701C" w:rsidRDefault="00FB561B">
            <w:pPr>
              <w:spacing w:before="240" w:after="240"/>
              <w:jc w:val="left"/>
              <w:rPr>
                <w:szCs w:val="24"/>
              </w:rPr>
            </w:pPr>
            <w:r>
              <w:rPr>
                <w:b/>
                <w:bCs/>
                <w:szCs w:val="24"/>
              </w:rPr>
              <w:t>Donc, aucun type d'opération relevant des mesures 10 et 11 n’entre en int</w:t>
            </w:r>
            <w:r>
              <w:rPr>
                <w:b/>
                <w:bCs/>
                <w:szCs w:val="24"/>
              </w:rPr>
              <w:t>eraction avec cette exigence.</w:t>
            </w:r>
          </w:p>
          <w:p w:rsidR="0035701C" w:rsidRDefault="00FB561B">
            <w:pPr>
              <w:spacing w:before="240" w:after="240"/>
              <w:jc w:val="left"/>
              <w:rPr>
                <w:szCs w:val="24"/>
              </w:rPr>
            </w:pPr>
            <w:r>
              <w:rPr>
                <w:i/>
                <w:iCs/>
                <w:szCs w:val="24"/>
                <w:u w:val="single"/>
              </w:rPr>
              <w:t>c) Exigences minimales relatives à l’utilisation des produits phytopharmaceutiques</w:t>
            </w:r>
          </w:p>
          <w:p w:rsidR="0035701C" w:rsidRDefault="00FB561B">
            <w:pPr>
              <w:spacing w:before="240" w:after="240"/>
              <w:jc w:val="left"/>
              <w:rPr>
                <w:szCs w:val="24"/>
              </w:rPr>
            </w:pPr>
            <w:r>
              <w:rPr>
                <w:szCs w:val="24"/>
              </w:rPr>
              <w:t>En plus des conditions d’emploi des produits phytopharmaceutiques fixées dans les autorisations de mise sur le marché (AMM), encadrées par le r</w:t>
            </w:r>
            <w:r>
              <w:rPr>
                <w:szCs w:val="24"/>
              </w:rPr>
              <w:t xml:space="preserve">èglement (CE) n°1107/2009, des </w:t>
            </w:r>
            <w:r>
              <w:rPr>
                <w:b/>
                <w:bCs/>
                <w:szCs w:val="24"/>
              </w:rPr>
              <w:t>textes réglementaires</w:t>
            </w:r>
            <w:r>
              <w:rPr>
                <w:szCs w:val="24"/>
              </w:rPr>
              <w:t xml:space="preserve"> nationaux viennent encadrer les étapes de la « vie » du produit phytopharmaceutique. Il s’agit notamment de :</w:t>
            </w:r>
          </w:p>
          <w:p w:rsidR="0035701C" w:rsidRDefault="00FB561B" w:rsidP="00FB561B">
            <w:pPr>
              <w:numPr>
                <w:ilvl w:val="0"/>
                <w:numId w:val="191"/>
              </w:numPr>
              <w:spacing w:before="240" w:after="0"/>
              <w:ind w:hanging="210"/>
              <w:jc w:val="left"/>
              <w:rPr>
                <w:szCs w:val="24"/>
              </w:rPr>
            </w:pPr>
            <w:r>
              <w:rPr>
                <w:szCs w:val="24"/>
              </w:rPr>
              <w:t>L’arrêté du 12 septembre 2006 qui fixe les conditions générales d’utilisation des produits ph</w:t>
            </w:r>
            <w:r>
              <w:rPr>
                <w:szCs w:val="24"/>
              </w:rPr>
              <w:t xml:space="preserve">ytopharmaceutiques, et en particulier : </w:t>
            </w:r>
          </w:p>
          <w:p w:rsidR="0035701C" w:rsidRDefault="00FB561B" w:rsidP="00FB561B">
            <w:pPr>
              <w:numPr>
                <w:ilvl w:val="1"/>
                <w:numId w:val="191"/>
              </w:numPr>
              <w:spacing w:before="0" w:after="0"/>
              <w:ind w:hanging="244"/>
              <w:jc w:val="left"/>
              <w:rPr>
                <w:szCs w:val="24"/>
              </w:rPr>
            </w:pPr>
            <w:r>
              <w:rPr>
                <w:szCs w:val="24"/>
              </w:rPr>
              <w:t>un délai avant récolte ;</w:t>
            </w:r>
          </w:p>
          <w:p w:rsidR="0035701C" w:rsidRDefault="00FB561B" w:rsidP="00FB561B">
            <w:pPr>
              <w:numPr>
                <w:ilvl w:val="1"/>
                <w:numId w:val="191"/>
              </w:numPr>
              <w:spacing w:before="0" w:after="0"/>
              <w:ind w:hanging="244"/>
              <w:jc w:val="left"/>
              <w:rPr>
                <w:szCs w:val="24"/>
              </w:rPr>
            </w:pPr>
            <w:r>
              <w:rPr>
                <w:szCs w:val="24"/>
              </w:rPr>
              <w:t>un délai de rentrée dans les parcelles après traitement ;</w:t>
            </w:r>
          </w:p>
          <w:p w:rsidR="0035701C" w:rsidRDefault="00FB561B" w:rsidP="00FB561B">
            <w:pPr>
              <w:numPr>
                <w:ilvl w:val="1"/>
                <w:numId w:val="191"/>
              </w:numPr>
              <w:spacing w:before="0" w:after="0"/>
              <w:ind w:hanging="244"/>
              <w:jc w:val="left"/>
              <w:rPr>
                <w:szCs w:val="24"/>
              </w:rPr>
            </w:pPr>
            <w:r>
              <w:rPr>
                <w:szCs w:val="24"/>
              </w:rPr>
              <w:t>des zones non traitées aux abords des points d’eau pour éviter les dérives de produit phytopharmaceutique dans les milieux aquatique</w:t>
            </w:r>
            <w:r>
              <w:rPr>
                <w:szCs w:val="24"/>
              </w:rPr>
              <w:t>s ;</w:t>
            </w:r>
          </w:p>
          <w:p w:rsidR="0035701C" w:rsidRDefault="00FB561B" w:rsidP="00FB561B">
            <w:pPr>
              <w:numPr>
                <w:ilvl w:val="1"/>
                <w:numId w:val="191"/>
              </w:numPr>
              <w:spacing w:before="0" w:after="240"/>
              <w:ind w:hanging="244"/>
              <w:jc w:val="left"/>
              <w:rPr>
                <w:szCs w:val="24"/>
              </w:rPr>
            </w:pPr>
            <w:r>
              <w:rPr>
                <w:szCs w:val="24"/>
              </w:rPr>
              <w:t>des conditions de vent à respecter pour éviter les dérives de produits phytopharmaceutiques dans l’air.</w:t>
            </w:r>
          </w:p>
          <w:p w:rsidR="0035701C" w:rsidRDefault="00FB561B">
            <w:pPr>
              <w:spacing w:before="240" w:after="240"/>
              <w:ind w:left="709"/>
              <w:jc w:val="left"/>
              <w:rPr>
                <w:szCs w:val="24"/>
              </w:rPr>
            </w:pPr>
            <w:r>
              <w:rPr>
                <w:szCs w:val="24"/>
              </w:rPr>
              <w:t>Cet arrêté encadre également les conditions de vidange des cuves de pulvérisateurs et des effluents phytosanitaires.</w:t>
            </w:r>
          </w:p>
          <w:p w:rsidR="0035701C" w:rsidRDefault="00FB561B" w:rsidP="00FB561B">
            <w:pPr>
              <w:numPr>
                <w:ilvl w:val="0"/>
                <w:numId w:val="192"/>
              </w:numPr>
              <w:spacing w:before="240" w:after="0"/>
              <w:ind w:hanging="210"/>
              <w:jc w:val="left"/>
              <w:rPr>
                <w:szCs w:val="24"/>
              </w:rPr>
            </w:pPr>
            <w:r>
              <w:rPr>
                <w:szCs w:val="24"/>
              </w:rPr>
              <w:t xml:space="preserve">L’arrêté du 7 avril 2010 qui </w:t>
            </w:r>
            <w:r>
              <w:rPr>
                <w:szCs w:val="24"/>
              </w:rPr>
              <w:t>interdit par principe les mélanges extemporanés.</w:t>
            </w:r>
          </w:p>
          <w:p w:rsidR="0035701C" w:rsidRDefault="00FB561B" w:rsidP="00FB561B">
            <w:pPr>
              <w:numPr>
                <w:ilvl w:val="0"/>
                <w:numId w:val="192"/>
              </w:numPr>
              <w:spacing w:before="0" w:after="0"/>
              <w:ind w:hanging="210"/>
              <w:jc w:val="left"/>
              <w:rPr>
                <w:szCs w:val="24"/>
              </w:rPr>
            </w:pPr>
            <w:r>
              <w:rPr>
                <w:szCs w:val="24"/>
              </w:rPr>
              <w:t>La loi grenelle 2 qui interdit la pulvérisation aérienne de produits phytopharmaceutiques. Des dérogations sont néanmoins possibles et sont fixées dans l’arrêté du 23 décembre 2013.</w:t>
            </w:r>
          </w:p>
          <w:p w:rsidR="0035701C" w:rsidRDefault="00FB561B" w:rsidP="00FB561B">
            <w:pPr>
              <w:numPr>
                <w:ilvl w:val="0"/>
                <w:numId w:val="192"/>
              </w:numPr>
              <w:spacing w:before="0" w:after="0"/>
              <w:ind w:hanging="210"/>
              <w:jc w:val="left"/>
              <w:rPr>
                <w:szCs w:val="24"/>
              </w:rPr>
            </w:pPr>
            <w:r>
              <w:rPr>
                <w:szCs w:val="24"/>
              </w:rPr>
              <w:t>Le décret n° 2011-1325 du</w:t>
            </w:r>
            <w:r>
              <w:rPr>
                <w:szCs w:val="24"/>
              </w:rPr>
              <w:t xml:space="preserve"> 18 octobre 2011 qui rend obligatoire la détention d’un certificat pour sécuriser l’usage des produits phytopharmaceutiques, dénommé « Certiphyto » : </w:t>
            </w:r>
          </w:p>
          <w:p w:rsidR="0035701C" w:rsidRDefault="00FB561B" w:rsidP="00FB561B">
            <w:pPr>
              <w:numPr>
                <w:ilvl w:val="1"/>
                <w:numId w:val="192"/>
              </w:numPr>
              <w:spacing w:before="0" w:after="0"/>
              <w:ind w:hanging="244"/>
              <w:jc w:val="left"/>
              <w:rPr>
                <w:szCs w:val="24"/>
              </w:rPr>
            </w:pPr>
            <w:r>
              <w:rPr>
                <w:szCs w:val="24"/>
              </w:rPr>
              <w:t>à partir du 1er octobre 2013, pour les professionnels exerçant dans les secteurs de la distribution, de l</w:t>
            </w:r>
            <w:r>
              <w:rPr>
                <w:szCs w:val="24"/>
              </w:rPr>
              <w:t>a prestation de services et du conseil ;</w:t>
            </w:r>
          </w:p>
          <w:p w:rsidR="0035701C" w:rsidRDefault="00FB561B" w:rsidP="00FB561B">
            <w:pPr>
              <w:numPr>
                <w:ilvl w:val="1"/>
                <w:numId w:val="192"/>
              </w:numPr>
              <w:spacing w:before="0" w:after="240"/>
              <w:ind w:hanging="244"/>
              <w:jc w:val="left"/>
              <w:rPr>
                <w:szCs w:val="24"/>
              </w:rPr>
            </w:pPr>
            <w:r>
              <w:rPr>
                <w:szCs w:val="24"/>
              </w:rPr>
              <w:t>à partir du 1er octobre 2014, pour les professionnels exerçant pour leur propre compte tels que : les agriculteurs et salariés agricoles.</w:t>
            </w:r>
          </w:p>
          <w:p w:rsidR="0035701C" w:rsidRDefault="00FB561B">
            <w:pPr>
              <w:spacing w:before="240" w:after="240"/>
              <w:ind w:left="600"/>
              <w:jc w:val="left"/>
              <w:rPr>
                <w:szCs w:val="24"/>
              </w:rPr>
            </w:pPr>
            <w:r>
              <w:rPr>
                <w:szCs w:val="24"/>
              </w:rPr>
              <w:t>Ce certificat individuel pour les produits phytopharmaceutiques, dit communém</w:t>
            </w:r>
            <w:r>
              <w:rPr>
                <w:szCs w:val="24"/>
              </w:rPr>
              <w:t>ent Certiphyto, atteste de connaissances suffisantes pour utiliser les pesticides en sécurité et d’une sensibilisation des professionnels à la limitation de leur usage. Il peut être préparé par : (i) une formation seule, (ii) un test seul, (iii) une format</w:t>
            </w:r>
            <w:r>
              <w:rPr>
                <w:szCs w:val="24"/>
              </w:rPr>
              <w:t>ion et un test. Les thèmes étudiés lors des formations qui durent au maximum 2 jours sont les suivants :</w:t>
            </w:r>
          </w:p>
          <w:p w:rsidR="0035701C" w:rsidRDefault="00FB561B">
            <w:pPr>
              <w:spacing w:before="240" w:after="240"/>
              <w:ind w:left="1200"/>
              <w:jc w:val="left"/>
              <w:rPr>
                <w:szCs w:val="24"/>
              </w:rPr>
            </w:pPr>
            <w:r>
              <w:rPr>
                <w:szCs w:val="24"/>
              </w:rPr>
              <w:t>- contenu détaillé de la réglementation relative à l’utilisation des produits phytopharmaceutiques</w:t>
            </w:r>
          </w:p>
          <w:p w:rsidR="0035701C" w:rsidRDefault="00FB561B">
            <w:pPr>
              <w:spacing w:before="240" w:after="240"/>
              <w:ind w:left="1200"/>
              <w:jc w:val="left"/>
              <w:rPr>
                <w:szCs w:val="24"/>
              </w:rPr>
            </w:pPr>
            <w:r>
              <w:rPr>
                <w:szCs w:val="24"/>
              </w:rPr>
              <w:t>- principes de la prévention des risques pour la san</w:t>
            </w:r>
            <w:r>
              <w:rPr>
                <w:szCs w:val="24"/>
              </w:rPr>
              <w:t>té</w:t>
            </w:r>
          </w:p>
          <w:p w:rsidR="0035701C" w:rsidRDefault="00FB561B">
            <w:pPr>
              <w:spacing w:before="240" w:after="240"/>
              <w:ind w:left="1200"/>
              <w:jc w:val="left"/>
              <w:rPr>
                <w:szCs w:val="24"/>
              </w:rPr>
            </w:pPr>
            <w:r>
              <w:rPr>
                <w:szCs w:val="24"/>
              </w:rPr>
              <w:t>- principes de la prévention des risques pour l’environnement</w:t>
            </w:r>
          </w:p>
          <w:p w:rsidR="0035701C" w:rsidRDefault="00FB561B">
            <w:pPr>
              <w:spacing w:before="240" w:after="240"/>
              <w:ind w:left="1200"/>
              <w:jc w:val="left"/>
              <w:rPr>
                <w:szCs w:val="24"/>
              </w:rPr>
            </w:pPr>
            <w:r>
              <w:rPr>
                <w:szCs w:val="24"/>
              </w:rPr>
              <w:t>- principes des stratégies visant à limiter le recours aux produits phytopharmaceutiques</w:t>
            </w:r>
          </w:p>
          <w:p w:rsidR="0035701C" w:rsidRDefault="00FB561B">
            <w:pPr>
              <w:spacing w:before="240" w:after="240"/>
              <w:jc w:val="left"/>
              <w:rPr>
                <w:szCs w:val="24"/>
              </w:rPr>
            </w:pPr>
            <w:r>
              <w:rPr>
                <w:szCs w:val="24"/>
              </w:rPr>
              <w:t xml:space="preserve">Hormis la détention du Certiphyto, toutes les exigences décrites ci-dessus sont incluses dans les </w:t>
            </w:r>
            <w:r>
              <w:rPr>
                <w:szCs w:val="24"/>
              </w:rPr>
              <w:t>obligations définies au titre de la conditionnalité (ERMG 10).</w:t>
            </w:r>
          </w:p>
          <w:p w:rsidR="0035701C" w:rsidRDefault="00FB561B">
            <w:pPr>
              <w:spacing w:before="240" w:after="240"/>
              <w:jc w:val="left"/>
              <w:rPr>
                <w:szCs w:val="24"/>
              </w:rPr>
            </w:pPr>
            <w:r>
              <w:rPr>
                <w:szCs w:val="24"/>
              </w:rPr>
              <w:t>La réglementation nationale, en dehors de ces conditions d’utilisation des produits phytopharmaceutiques, ne fixe aucune obligation concernant la mise en œuvre de la lutte intégrée contre les e</w:t>
            </w:r>
            <w:r>
              <w:rPr>
                <w:szCs w:val="24"/>
              </w:rPr>
              <w:t>nnemis des cultures ou la réduction de l’utilisation des produits phytopharmaceutiques.</w:t>
            </w:r>
          </w:p>
          <w:p w:rsidR="0035701C" w:rsidRDefault="00FB561B">
            <w:pPr>
              <w:spacing w:before="240" w:after="240"/>
              <w:jc w:val="left"/>
              <w:rPr>
                <w:szCs w:val="24"/>
              </w:rPr>
            </w:pPr>
            <w:r>
              <w:rPr>
                <w:szCs w:val="24"/>
              </w:rPr>
              <w:t>Les actions mises en place en France afin de promouvoir cette lutte intégrée et créer les conditions nécessaires à sa mise en œuvre, conformément à la directive 2009/12</w:t>
            </w:r>
            <w:r>
              <w:rPr>
                <w:szCs w:val="24"/>
              </w:rPr>
              <w:t xml:space="preserve">8/CE, relèvent de la sensibilisation, de l’information, de la formation à destination des exploitants et s’appuient sur des mesures incitatives. L’utilisation des supports et des outils d'aide à la décision produits dans ce cadre se fait exclusivement sur </w:t>
            </w:r>
            <w:r>
              <w:rPr>
                <w:szCs w:val="24"/>
              </w:rPr>
              <w:t xml:space="preserve">une base volontaire par les exploitants. Ces éléments ont été notifiés à la Commission européenne par la France en mars 2014 dans le « Rapport relatif à la mise en place des conditions nécessaires à la mise en œuvre de la lutte intégrée contre les ennemis </w:t>
            </w:r>
            <w:r>
              <w:rPr>
                <w:szCs w:val="24"/>
              </w:rPr>
              <w:t>des cultures » (en date du 25 février 2014). Ce rapport détaille les actions mises en place conformément à l'article 14, paragraphes 1 et 2, de la directive 2009/128/CE. Les actions principales sont les suivantes :</w:t>
            </w:r>
          </w:p>
          <w:p w:rsidR="0035701C" w:rsidRDefault="00FB561B" w:rsidP="00FB561B">
            <w:pPr>
              <w:numPr>
                <w:ilvl w:val="0"/>
                <w:numId w:val="193"/>
              </w:numPr>
              <w:spacing w:before="240" w:after="0"/>
              <w:ind w:hanging="210"/>
              <w:jc w:val="left"/>
              <w:rPr>
                <w:szCs w:val="24"/>
              </w:rPr>
            </w:pPr>
            <w:r>
              <w:rPr>
                <w:szCs w:val="24"/>
                <w:u w:val="single"/>
              </w:rPr>
              <w:t>Mise à disposition d’informations sur les</w:t>
            </w:r>
            <w:r>
              <w:rPr>
                <w:szCs w:val="24"/>
                <w:u w:val="single"/>
              </w:rPr>
              <w:t xml:space="preserve"> principes généraux de la lutte intégrée :</w:t>
            </w:r>
            <w:r>
              <w:rPr>
                <w:szCs w:val="24"/>
              </w:rPr>
              <w:t xml:space="preserve"> Le portail Internet dédié à la protection intégrée des cultures : www.ecophytopic.fr a pour objet de sensibiliser les agriculteurs au sujet de la protection Intégrée des cultures et ainsi de faire évoluer les prat</w:t>
            </w:r>
            <w:r>
              <w:rPr>
                <w:szCs w:val="24"/>
              </w:rPr>
              <w:t xml:space="preserve">iques vers une réduction de l’utilisation des produits phytopharmaceutiques. Ce site rassemble les outils de la protection intégrée des cultures, afin de les diffuser au plus grand nombre de professionnels et d'inciter ainsi aux changements des pratiques. </w:t>
            </w:r>
            <w:r>
              <w:rPr>
                <w:szCs w:val="24"/>
              </w:rPr>
              <w:t>Les rubriques de ce portail reprennent l'ensemble des principes généraux en matière de lutte intégrée (tels que décrits à l'annexe III de la directive 2009/128/CE).</w:t>
            </w:r>
          </w:p>
          <w:p w:rsidR="0035701C" w:rsidRDefault="00FB561B" w:rsidP="00FB561B">
            <w:pPr>
              <w:numPr>
                <w:ilvl w:val="0"/>
                <w:numId w:val="193"/>
              </w:numPr>
              <w:spacing w:before="0" w:after="0"/>
              <w:ind w:hanging="210"/>
              <w:jc w:val="left"/>
              <w:rPr>
                <w:szCs w:val="24"/>
              </w:rPr>
            </w:pPr>
            <w:r>
              <w:rPr>
                <w:szCs w:val="24"/>
                <w:u w:val="single"/>
              </w:rPr>
              <w:t>Mise en place à l'échelle régionale de méthodes de surveillance des organismes nuisibles (p</w:t>
            </w:r>
            <w:r>
              <w:rPr>
                <w:szCs w:val="24"/>
                <w:u w:val="single"/>
              </w:rPr>
              <w:t>rincipes 2 et 3 en matière de lutte intégrée):</w:t>
            </w:r>
            <w:r>
              <w:rPr>
                <w:szCs w:val="24"/>
              </w:rPr>
              <w:t xml:space="preserve"> </w:t>
            </w:r>
            <w:r>
              <w:rPr>
                <w:szCs w:val="24"/>
                <w:u w:val="single"/>
              </w:rPr>
              <w:t xml:space="preserve">les bulletins de santé du végétal (BSV) </w:t>
            </w:r>
            <w:r>
              <w:rPr>
                <w:szCs w:val="24"/>
              </w:rPr>
              <w:t>donnent un état de la situation sanitaire des cultures. Ces BSV constituent un outil d'aide à la décision. Ils permettent de sensibiliser les exploitants sur les période</w:t>
            </w:r>
            <w:r>
              <w:rPr>
                <w:szCs w:val="24"/>
              </w:rPr>
              <w:t xml:space="preserve">s d’émergence des bio-agresseurs et de fournir une analyse de risque régionale. Son objectif est d'inciter les agriculteurs à l'observation de leurs parcelles afin d’éviter les traitements systématiques. Ces BSV sont disponibles sur le site Internet de la </w:t>
            </w:r>
            <w:r>
              <w:rPr>
                <w:szCs w:val="24"/>
              </w:rPr>
              <w:t xml:space="preserve"> Direction Régionale de l’Alimentation de l’Agriculture et de la Forêt (DRAAF) de Corse : </w:t>
            </w:r>
            <w:r>
              <w:rPr>
                <w:szCs w:val="24"/>
                <w:u w:val="single"/>
              </w:rPr>
              <w:t>http://www.corse-du-sud.gouv.fr</w:t>
            </w:r>
          </w:p>
          <w:p w:rsidR="0035701C" w:rsidRDefault="00FB561B" w:rsidP="00FB561B">
            <w:pPr>
              <w:numPr>
                <w:ilvl w:val="0"/>
                <w:numId w:val="193"/>
              </w:numPr>
              <w:spacing w:before="0" w:after="240"/>
              <w:ind w:hanging="210"/>
              <w:jc w:val="left"/>
              <w:rPr>
                <w:szCs w:val="24"/>
              </w:rPr>
            </w:pPr>
            <w:r>
              <w:rPr>
                <w:szCs w:val="24"/>
                <w:u w:val="single"/>
              </w:rPr>
              <w:t>Mise à disposition d'informations sur les méthodes de lutte intégrée (principes 4 à 7)</w:t>
            </w:r>
            <w:r>
              <w:rPr>
                <w:szCs w:val="24"/>
              </w:rPr>
              <w:t>:</w:t>
            </w:r>
          </w:p>
          <w:p w:rsidR="0035701C" w:rsidRDefault="00FB561B">
            <w:pPr>
              <w:spacing w:before="240" w:after="240"/>
              <w:ind w:left="1440"/>
              <w:jc w:val="left"/>
              <w:rPr>
                <w:szCs w:val="24"/>
              </w:rPr>
            </w:pPr>
            <w:r>
              <w:rPr>
                <w:szCs w:val="24"/>
              </w:rPr>
              <w:t>Au plan national :</w:t>
            </w:r>
          </w:p>
          <w:p w:rsidR="0035701C" w:rsidRDefault="00FB561B" w:rsidP="00FB561B">
            <w:pPr>
              <w:numPr>
                <w:ilvl w:val="0"/>
                <w:numId w:val="194"/>
              </w:numPr>
              <w:spacing w:before="240" w:after="0"/>
              <w:ind w:left="1920" w:hanging="244"/>
              <w:jc w:val="left"/>
              <w:rPr>
                <w:szCs w:val="24"/>
              </w:rPr>
            </w:pPr>
            <w:r>
              <w:rPr>
                <w:szCs w:val="24"/>
              </w:rPr>
              <w:t xml:space="preserve">Des </w:t>
            </w:r>
            <w:r>
              <w:rPr>
                <w:szCs w:val="24"/>
                <w:u w:val="single"/>
              </w:rPr>
              <w:t>guides par filière</w:t>
            </w:r>
            <w:r>
              <w:rPr>
                <w:szCs w:val="24"/>
              </w:rPr>
              <w:t xml:space="preserve"> (pol</w:t>
            </w:r>
            <w:r>
              <w:rPr>
                <w:szCs w:val="24"/>
              </w:rPr>
              <w:t xml:space="preserve">yculture, viticulture et prochainement cultures légumières et fruitières) de co-conception de nouveaux systèmes de culture économes en produits phytopharmaceutiques sont téléchargeables sur le site </w:t>
            </w:r>
            <w:r>
              <w:rPr>
                <w:szCs w:val="24"/>
                <w:u w:val="single"/>
              </w:rPr>
              <w:t>http://agriculture.gouv.fr/Guides,18096</w:t>
            </w:r>
            <w:r>
              <w:rPr>
                <w:szCs w:val="24"/>
              </w:rPr>
              <w:t>.</w:t>
            </w:r>
          </w:p>
          <w:p w:rsidR="0035701C" w:rsidRDefault="00FB561B" w:rsidP="00FB561B">
            <w:pPr>
              <w:numPr>
                <w:ilvl w:val="0"/>
                <w:numId w:val="194"/>
              </w:numPr>
              <w:spacing w:before="0" w:after="240"/>
              <w:ind w:left="1920" w:hanging="244"/>
              <w:jc w:val="left"/>
              <w:rPr>
                <w:szCs w:val="24"/>
              </w:rPr>
            </w:pPr>
            <w:r>
              <w:rPr>
                <w:szCs w:val="24"/>
              </w:rPr>
              <w:t xml:space="preserve">Deux </w:t>
            </w:r>
            <w:r>
              <w:rPr>
                <w:szCs w:val="24"/>
                <w:u w:val="single"/>
              </w:rPr>
              <w:t xml:space="preserve">réseaux de </w:t>
            </w:r>
            <w:r>
              <w:rPr>
                <w:szCs w:val="24"/>
                <w:u w:val="single"/>
              </w:rPr>
              <w:t>fermes</w:t>
            </w:r>
            <w:r>
              <w:rPr>
                <w:szCs w:val="24"/>
              </w:rPr>
              <w:t xml:space="preserve"> permettent d’expérimenter et de produire des références sur les systèmes de cultures économes en produits phytopharmaceutiques : le réseau DEPHY d’une part et le réseau des lycées d’enseignement agricole d’autre part.</w:t>
            </w:r>
          </w:p>
          <w:p w:rsidR="0035701C" w:rsidRDefault="00FB561B" w:rsidP="00FB561B">
            <w:pPr>
              <w:numPr>
                <w:ilvl w:val="0"/>
                <w:numId w:val="195"/>
              </w:numPr>
              <w:spacing w:before="240" w:after="0"/>
              <w:ind w:hanging="210"/>
              <w:jc w:val="left"/>
              <w:rPr>
                <w:szCs w:val="24"/>
              </w:rPr>
            </w:pPr>
            <w:r>
              <w:rPr>
                <w:szCs w:val="24"/>
                <w:u w:val="single"/>
              </w:rPr>
              <w:t>Mise en œuvre de mesures incita</w:t>
            </w:r>
            <w:r>
              <w:rPr>
                <w:szCs w:val="24"/>
                <w:u w:val="single"/>
              </w:rPr>
              <w:t>tives qui encouragent tous les utilisateurs professionnels à appliquer les principes généraux de la lutte intégrée contre les ennemis des cultures :</w:t>
            </w:r>
            <w:r>
              <w:rPr>
                <w:szCs w:val="24"/>
              </w:rPr>
              <w:t xml:space="preserve"> </w:t>
            </w:r>
          </w:p>
          <w:p w:rsidR="0035701C" w:rsidRDefault="00FB561B" w:rsidP="00FB561B">
            <w:pPr>
              <w:numPr>
                <w:ilvl w:val="1"/>
                <w:numId w:val="195"/>
              </w:numPr>
              <w:spacing w:before="0" w:after="0"/>
              <w:ind w:hanging="244"/>
              <w:jc w:val="left"/>
              <w:rPr>
                <w:szCs w:val="24"/>
              </w:rPr>
            </w:pPr>
            <w:r>
              <w:rPr>
                <w:szCs w:val="24"/>
              </w:rPr>
              <w:t>Les produits de biocontrôle « vert » (non chimiques) ne sont pas pris en compte dans le calcul de l'Indice</w:t>
            </w:r>
            <w:r>
              <w:rPr>
                <w:szCs w:val="24"/>
              </w:rPr>
              <w:t xml:space="preserve"> de Fréquence de traitement (IFT), afin d'inciter les exploitants à l'emploi des produits de biocontrôle.</w:t>
            </w:r>
          </w:p>
          <w:p w:rsidR="0035701C" w:rsidRDefault="00FB561B" w:rsidP="00FB561B">
            <w:pPr>
              <w:numPr>
                <w:ilvl w:val="1"/>
                <w:numId w:val="195"/>
              </w:numPr>
              <w:spacing w:before="0" w:after="0"/>
              <w:ind w:hanging="244"/>
              <w:jc w:val="left"/>
              <w:rPr>
                <w:szCs w:val="24"/>
              </w:rPr>
            </w:pPr>
            <w:r>
              <w:rPr>
                <w:szCs w:val="24"/>
              </w:rPr>
              <w:t>La redevance pour pollutions diffuses, qui existe en France, prend en compte la toxicité et la dangerosité pour l'environnement des substances actives</w:t>
            </w:r>
            <w:r>
              <w:rPr>
                <w:szCs w:val="24"/>
              </w:rPr>
              <w:t xml:space="preserve"> contenues dans les produits phytopharmaceutiques. Elle favorise le recours à des produits moins toxiques pour l'environnement et la santé.</w:t>
            </w:r>
          </w:p>
          <w:p w:rsidR="0035701C" w:rsidRDefault="00FB561B" w:rsidP="00FB561B">
            <w:pPr>
              <w:numPr>
                <w:ilvl w:val="1"/>
                <w:numId w:val="195"/>
              </w:numPr>
              <w:spacing w:before="0" w:after="240"/>
              <w:ind w:hanging="244"/>
              <w:jc w:val="left"/>
              <w:rPr>
                <w:szCs w:val="24"/>
              </w:rPr>
            </w:pPr>
            <w:r>
              <w:rPr>
                <w:szCs w:val="24"/>
              </w:rPr>
              <w:t>Les pratiques de lutte intégrée sont incluses dans les schémas de certifications environnementales des exploitations</w:t>
            </w:r>
            <w:r>
              <w:rPr>
                <w:szCs w:val="24"/>
              </w:rPr>
              <w:t xml:space="preserve"> agricoles.</w:t>
            </w:r>
          </w:p>
          <w:p w:rsidR="0035701C" w:rsidRDefault="00FB561B">
            <w:pPr>
              <w:spacing w:before="240" w:after="240"/>
              <w:jc w:val="left"/>
              <w:rPr>
                <w:szCs w:val="24"/>
              </w:rPr>
            </w:pPr>
            <w:r>
              <w:rPr>
                <w:szCs w:val="24"/>
              </w:rPr>
              <w:t>Les types d'opérations du PDR Corse relevant des mesures 10 et 11 ne comportent que des engagements visant à réduire l’utilisation des produits phytopharmaceutiques. Ces engagements n’ont pas de lien direct avec la réglementation relative aux p</w:t>
            </w:r>
            <w:r>
              <w:rPr>
                <w:szCs w:val="24"/>
              </w:rPr>
              <w:t>roduits phytopharmaceutiques, puisque celle-ci n’encadre que leurs conditions d’utilisation.</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u w:val="single"/>
              </w:rPr>
              <w:t>4. Autres exigences obligatoires établies par le droit national</w:t>
            </w:r>
          </w:p>
          <w:p w:rsidR="0035701C" w:rsidRDefault="00FB561B">
            <w:pPr>
              <w:spacing w:before="240" w:after="240"/>
              <w:jc w:val="left"/>
              <w:rPr>
                <w:szCs w:val="24"/>
              </w:rPr>
            </w:pPr>
            <w:r>
              <w:rPr>
                <w:szCs w:val="24"/>
              </w:rPr>
              <w:t xml:space="preserve">Des pratiques peuvent-être rendues obligatoires sur certaines zones au titre de la protection de </w:t>
            </w:r>
            <w:r>
              <w:rPr>
                <w:szCs w:val="24"/>
              </w:rPr>
              <w:t>la biodiversité. Il s'agit notamment des zones classées au titre :</w:t>
            </w:r>
          </w:p>
          <w:p w:rsidR="0035701C" w:rsidRDefault="00FB561B" w:rsidP="00FB561B">
            <w:pPr>
              <w:numPr>
                <w:ilvl w:val="0"/>
                <w:numId w:val="196"/>
              </w:numPr>
              <w:spacing w:before="240" w:after="0"/>
              <w:ind w:hanging="210"/>
              <w:jc w:val="left"/>
              <w:rPr>
                <w:szCs w:val="24"/>
              </w:rPr>
            </w:pPr>
            <w:r>
              <w:rPr>
                <w:szCs w:val="24"/>
              </w:rPr>
              <w:t>des réserves naturelles qui sont régies par les articles L414-1 à L414-7 et R414-1 à R414-29 du code de l'environnement,</w:t>
            </w:r>
          </w:p>
          <w:p w:rsidR="0035701C" w:rsidRDefault="00FB561B" w:rsidP="00FB561B">
            <w:pPr>
              <w:numPr>
                <w:ilvl w:val="0"/>
                <w:numId w:val="196"/>
              </w:numPr>
              <w:spacing w:before="0" w:after="240"/>
              <w:ind w:hanging="210"/>
              <w:jc w:val="left"/>
              <w:rPr>
                <w:szCs w:val="24"/>
              </w:rPr>
            </w:pPr>
            <w:r>
              <w:rPr>
                <w:szCs w:val="24"/>
              </w:rPr>
              <w:t xml:space="preserve">des arrêtés de protection de biotopes régis par les articles L411-1 </w:t>
            </w:r>
            <w:r>
              <w:rPr>
                <w:szCs w:val="24"/>
              </w:rPr>
              <w:t>à L411-6 et R411-15 à R-411-17 du code de l'environnement.</w:t>
            </w:r>
          </w:p>
          <w:p w:rsidR="0035701C" w:rsidRDefault="00FB561B">
            <w:pPr>
              <w:spacing w:before="240" w:after="240"/>
              <w:jc w:val="left"/>
              <w:rPr>
                <w:szCs w:val="24"/>
              </w:rPr>
            </w:pPr>
            <w:r>
              <w:rPr>
                <w:szCs w:val="24"/>
              </w:rPr>
              <w:t>Dans ces zones, les pratiques rendues obligatoires sont définies localement par des décrets ou arrêtés préfectoraux.</w:t>
            </w:r>
          </w:p>
          <w:p w:rsidR="0035701C" w:rsidRDefault="00FB561B">
            <w:pPr>
              <w:spacing w:before="240" w:after="240"/>
              <w:jc w:val="left"/>
              <w:rPr>
                <w:szCs w:val="24"/>
              </w:rPr>
            </w:pPr>
            <w:r>
              <w:rPr>
                <w:szCs w:val="24"/>
              </w:rPr>
              <w:t>Si les pratiques rémunérées au titre d’une opération sont rendues obligatoires s</w:t>
            </w:r>
            <w:r>
              <w:rPr>
                <w:szCs w:val="24"/>
              </w:rPr>
              <w:t>ur des zones au titre de la protection de la biodiversité (notamment des zones classées au titre des réserves naturelles ou des arrêtés de protection de biotopes), celle-ci ne peut être ouverte sur les zones concernées.</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419850" cy="1914525"/>
                  <wp:effectExtent l="0" t="0" r="0" b="0"/>
                  <wp:docPr id="100068" name="Image 100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
                          <pic:cNvPicPr>
                            <a:picLocks noChangeAspect="1"/>
                          </pic:cNvPicPr>
                        </pic:nvPicPr>
                        <pic:blipFill>
                          <a:blip r:embed="rId47"/>
                          <a:stretch>
                            <a:fillRect/>
                          </a:stretch>
                        </pic:blipFill>
                        <pic:spPr>
                          <a:xfrm>
                            <a:off x="0" y="0"/>
                            <a:ext cx="6419850" cy="1914525"/>
                          </a:xfrm>
                          <a:prstGeom prst="rect">
                            <a:avLst/>
                          </a:prstGeom>
                        </pic:spPr>
                      </pic:pic>
                    </a:graphicData>
                  </a:graphic>
                </wp:inline>
              </w:drawing>
            </w:r>
          </w:p>
          <w:p w:rsidR="0035701C" w:rsidRDefault="00FB561B">
            <w:pPr>
              <w:pStyle w:val="Pieddepage"/>
              <w:jc w:val="center"/>
            </w:pPr>
            <w:r>
              <w:t>Tableau 1 : synthèse des exigence</w:t>
            </w:r>
            <w:r>
              <w:t>s réglementaires constituant la ligne de base des mesures 10 et 11</w:t>
            </w:r>
          </w:p>
          <w:p w:rsidR="0035701C" w:rsidRDefault="00FB561B">
            <w:pPr>
              <w:pStyle w:val="Pieddepage"/>
            </w:pPr>
            <w:r>
              <w:rPr>
                <w:noProof/>
                <w:lang w:val="fr-FR" w:eastAsia="fr-FR"/>
              </w:rPr>
              <w:drawing>
                <wp:inline distT="0" distB="0" distL="0" distR="0">
                  <wp:extent cx="6629400" cy="7732805"/>
                  <wp:effectExtent l="0" t="0" r="0" b="0"/>
                  <wp:docPr id="100070" name="Image 100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
                          <pic:cNvPicPr>
                            <a:picLocks noChangeAspect="1"/>
                          </pic:cNvPicPr>
                        </pic:nvPicPr>
                        <pic:blipFill>
                          <a:blip r:embed="rId48"/>
                          <a:stretch>
                            <a:fillRect/>
                          </a:stretch>
                        </pic:blipFill>
                        <pic:spPr>
                          <a:xfrm>
                            <a:off x="0" y="0"/>
                            <a:ext cx="6629400" cy="7732805"/>
                          </a:xfrm>
                          <a:prstGeom prst="rect">
                            <a:avLst/>
                          </a:prstGeom>
                        </pic:spPr>
                      </pic:pic>
                    </a:graphicData>
                  </a:graphic>
                </wp:inline>
              </w:drawing>
            </w:r>
          </w:p>
          <w:p w:rsidR="0035701C" w:rsidRDefault="00FB561B">
            <w:pPr>
              <w:pStyle w:val="Pieddepage"/>
              <w:jc w:val="center"/>
            </w:pPr>
            <w:r>
              <w:t>Tableau 2: conditionnalité - domaine environnement</w:t>
            </w:r>
          </w:p>
          <w:p w:rsidR="0035701C" w:rsidRDefault="00FB561B">
            <w:pPr>
              <w:pStyle w:val="Pieddepage"/>
              <w:jc w:val="center"/>
            </w:pPr>
            <w:r>
              <w:rPr>
                <w:noProof/>
                <w:lang w:val="fr-FR" w:eastAsia="fr-FR"/>
              </w:rPr>
              <w:drawing>
                <wp:inline distT="0" distB="0" distL="0" distR="0">
                  <wp:extent cx="6321504" cy="8280400"/>
                  <wp:effectExtent l="0" t="0" r="0" b="0"/>
                  <wp:docPr id="100072" name="Image 100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
                          <pic:cNvPicPr>
                            <a:picLocks noChangeAspect="1"/>
                          </pic:cNvPicPr>
                        </pic:nvPicPr>
                        <pic:blipFill>
                          <a:blip r:embed="rId49"/>
                          <a:stretch>
                            <a:fillRect/>
                          </a:stretch>
                        </pic:blipFill>
                        <pic:spPr>
                          <a:xfrm>
                            <a:off x="0" y="0"/>
                            <a:ext cx="6321504" cy="8280400"/>
                          </a:xfrm>
                          <a:prstGeom prst="rect">
                            <a:avLst/>
                          </a:prstGeom>
                        </pic:spPr>
                      </pic:pic>
                    </a:graphicData>
                  </a:graphic>
                </wp:inline>
              </w:drawing>
            </w:r>
          </w:p>
          <w:p w:rsidR="0035701C" w:rsidRDefault="00FB561B">
            <w:pPr>
              <w:pStyle w:val="Pieddepage"/>
              <w:jc w:val="center"/>
            </w:pPr>
            <w:r>
              <w:t>Tableau 3: conditionnalité - domaine santé publique</w:t>
            </w:r>
          </w:p>
          <w:p w:rsidR="0035701C" w:rsidRDefault="00FB561B">
            <w:pPr>
              <w:pStyle w:val="Pieddepage"/>
            </w:pPr>
            <w:r>
              <w:rPr>
                <w:noProof/>
                <w:lang w:val="fr-FR" w:eastAsia="fr-FR"/>
              </w:rPr>
              <w:drawing>
                <wp:inline distT="0" distB="0" distL="0" distR="0">
                  <wp:extent cx="6629400" cy="2353527"/>
                  <wp:effectExtent l="0" t="0" r="0" b="0"/>
                  <wp:docPr id="100074" name="Image 10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
                          <pic:cNvPicPr>
                            <a:picLocks noChangeAspect="1"/>
                          </pic:cNvPicPr>
                        </pic:nvPicPr>
                        <pic:blipFill>
                          <a:blip r:embed="rId50"/>
                          <a:stretch>
                            <a:fillRect/>
                          </a:stretch>
                        </pic:blipFill>
                        <pic:spPr>
                          <a:xfrm>
                            <a:off x="0" y="0"/>
                            <a:ext cx="6629400" cy="2353527"/>
                          </a:xfrm>
                          <a:prstGeom prst="rect">
                            <a:avLst/>
                          </a:prstGeom>
                        </pic:spPr>
                      </pic:pic>
                    </a:graphicData>
                  </a:graphic>
                </wp:inline>
              </w:drawing>
            </w:r>
          </w:p>
          <w:p w:rsidR="0035701C" w:rsidRDefault="00FB561B">
            <w:pPr>
              <w:pStyle w:val="Pieddepage"/>
              <w:jc w:val="center"/>
            </w:pPr>
            <w:r>
              <w:t>Tableau 4: conditionnalité - domaine bien-être des animaux</w:t>
            </w:r>
          </w:p>
          <w:p w:rsidR="0035701C" w:rsidRDefault="00FB561B">
            <w:pPr>
              <w:pStyle w:val="Pieddepage"/>
              <w:jc w:val="center"/>
            </w:pPr>
            <w:r>
              <w:rPr>
                <w:noProof/>
                <w:lang w:val="fr-FR" w:eastAsia="fr-FR"/>
              </w:rPr>
              <w:drawing>
                <wp:inline distT="0" distB="0" distL="0" distR="0">
                  <wp:extent cx="6124575" cy="3829050"/>
                  <wp:effectExtent l="0" t="0" r="0" b="0"/>
                  <wp:docPr id="100076" name="Image 100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
                          <pic:cNvPicPr>
                            <a:picLocks noChangeAspect="1"/>
                          </pic:cNvPicPr>
                        </pic:nvPicPr>
                        <pic:blipFill>
                          <a:blip r:embed="rId51"/>
                          <a:stretch>
                            <a:fillRect/>
                          </a:stretch>
                        </pic:blipFill>
                        <pic:spPr>
                          <a:xfrm>
                            <a:off x="0" y="0"/>
                            <a:ext cx="6124575" cy="3829050"/>
                          </a:xfrm>
                          <a:prstGeom prst="rect">
                            <a:avLst/>
                          </a:prstGeom>
                        </pic:spPr>
                      </pic:pic>
                    </a:graphicData>
                  </a:graphic>
                </wp:inline>
              </w:drawing>
            </w:r>
          </w:p>
          <w:p w:rsidR="0035701C" w:rsidRDefault="00FB561B">
            <w:pPr>
              <w:pStyle w:val="Pieddepage"/>
              <w:jc w:val="center"/>
            </w:pPr>
            <w:r>
              <w:t>Tableau 5: types d'</w:t>
            </w:r>
            <w:r>
              <w:t>opérations en interaction avec la conditionnalité</w:t>
            </w:r>
          </w:p>
          <w:p w:rsidR="0035701C" w:rsidRDefault="00FB561B">
            <w:pPr>
              <w:pStyle w:val="Pieddepage"/>
            </w:pPr>
            <w:r>
              <w:rPr>
                <w:noProof/>
                <w:lang w:val="fr-FR" w:eastAsia="fr-FR"/>
              </w:rPr>
              <w:drawing>
                <wp:inline distT="0" distB="0" distL="0" distR="0">
                  <wp:extent cx="6629400" cy="2710730"/>
                  <wp:effectExtent l="0" t="0" r="0" b="0"/>
                  <wp:docPr id="100078" name="Image 100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
                          <pic:cNvPicPr>
                            <a:picLocks noChangeAspect="1"/>
                          </pic:cNvPicPr>
                        </pic:nvPicPr>
                        <pic:blipFill>
                          <a:blip r:embed="rId52"/>
                          <a:stretch>
                            <a:fillRect/>
                          </a:stretch>
                        </pic:blipFill>
                        <pic:spPr>
                          <a:xfrm>
                            <a:off x="0" y="0"/>
                            <a:ext cx="6629400" cy="2710730"/>
                          </a:xfrm>
                          <a:prstGeom prst="rect">
                            <a:avLst/>
                          </a:prstGeom>
                        </pic:spPr>
                      </pic:pic>
                    </a:graphicData>
                  </a:graphic>
                </wp:inline>
              </w:drawing>
            </w:r>
          </w:p>
          <w:p w:rsidR="0035701C" w:rsidRDefault="00FB561B">
            <w:pPr>
              <w:pStyle w:val="Pieddepage"/>
              <w:jc w:val="center"/>
            </w:pPr>
            <w:r>
              <w:t>Tableau 6: état minimum d'entretien des surfaces agricoles</w:t>
            </w:r>
          </w:p>
          <w:p w:rsidR="0035701C" w:rsidRDefault="0035701C">
            <w:pPr>
              <w:pStyle w:val="Pieddepage"/>
              <w:jc w:val="center"/>
            </w:pPr>
          </w:p>
        </w:tc>
      </w:tr>
    </w:tbl>
    <w:p w:rsidR="0035701C" w:rsidRDefault="00FB561B">
      <w:pPr>
        <w:pStyle w:val="Titre2"/>
      </w:pPr>
      <w:bookmarkStart w:id="102" w:name="_Toc256000101"/>
      <w:r>
        <w:t>Description par mesure</w:t>
      </w:r>
      <w:bookmarkEnd w:id="102"/>
    </w:p>
    <w:p w:rsidR="0035701C" w:rsidRDefault="00FB561B">
      <w:pPr>
        <w:pStyle w:val="Titre3"/>
        <w:jc w:val="left"/>
      </w:pPr>
      <w:bookmarkStart w:id="103" w:name="_Toc256000102"/>
      <w:r>
        <w:t>M01 - Transfert de connaissances et actions d'information (article 14)</w:t>
      </w:r>
      <w:bookmarkEnd w:id="103"/>
    </w:p>
    <w:p w:rsidR="0035701C" w:rsidRDefault="00FB561B">
      <w:pPr>
        <w:pStyle w:val="Titre4"/>
        <w:jc w:val="left"/>
      </w:pPr>
      <w:r>
        <w:t>Base juridique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Règlement (UE) n°1305 /2013 du 17 </w:t>
            </w:r>
            <w:r>
              <w:rPr>
                <w:szCs w:val="24"/>
              </w:rPr>
              <w:t>décembre 2013 (FEADER) Article 14 et Article 45.</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4"/>
        <w:jc w:val="left"/>
      </w:pPr>
      <w:r>
        <w:t>Description générale de la mesure, y compris sa logique d'intervention et sa contribution aux domaines prioritaires et à la réalisation des 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mesure vise à:</w:t>
            </w:r>
          </w:p>
          <w:p w:rsidR="0035701C" w:rsidRDefault="00FB561B" w:rsidP="00FB561B">
            <w:pPr>
              <w:numPr>
                <w:ilvl w:val="0"/>
                <w:numId w:val="197"/>
              </w:numPr>
              <w:spacing w:before="240" w:after="0"/>
              <w:ind w:hanging="210"/>
              <w:jc w:val="left"/>
              <w:rPr>
                <w:szCs w:val="24"/>
              </w:rPr>
            </w:pPr>
            <w:r>
              <w:rPr>
                <w:szCs w:val="24"/>
              </w:rPr>
              <w:t xml:space="preserve">renforcer la </w:t>
            </w:r>
            <w:r>
              <w:rPr>
                <w:szCs w:val="24"/>
              </w:rPr>
              <w:t>professionnalisation des exploitants ou salariés agricole et forestier et à accroître leur niveau de connaissances par la formation continue. Il s’agit en particulier d’accompagner le maintien et le développement des potentiels productifs liés à l’agricult</w:t>
            </w:r>
            <w:r>
              <w:rPr>
                <w:szCs w:val="24"/>
              </w:rPr>
              <w:t>ure et à la forêt : Sous mesure 1.1 – Aide à la formation professionnelle et à l'acquisition de compétences. Ce type d’opération s’adresse à des prestataires de formation (organismes de formation et organismes collecteurs, paritaires ou non paritaires, agr</w:t>
            </w:r>
            <w:r>
              <w:rPr>
                <w:szCs w:val="24"/>
              </w:rPr>
              <w:t>éés par l’État pour la gestion des fonds d’assurance formation (dénommés OPCA/FAF par la suite).</w:t>
            </w:r>
          </w:p>
          <w:p w:rsidR="0035701C" w:rsidRDefault="00FB561B" w:rsidP="00FB561B">
            <w:pPr>
              <w:numPr>
                <w:ilvl w:val="0"/>
                <w:numId w:val="197"/>
              </w:numPr>
              <w:spacing w:before="0" w:after="0"/>
              <w:ind w:hanging="210"/>
              <w:jc w:val="left"/>
              <w:rPr>
                <w:szCs w:val="24"/>
              </w:rPr>
            </w:pPr>
            <w:r>
              <w:rPr>
                <w:szCs w:val="24"/>
              </w:rPr>
              <w:t>acquérir de nouvelles pratiques ou à améliorer les connaissances techniques du stagiaire notamment du candidat à l’installation en agriculture ou des personnes</w:t>
            </w:r>
            <w:r>
              <w:rPr>
                <w:szCs w:val="24"/>
              </w:rPr>
              <w:t xml:space="preserve"> actives dans le secteur forestier, par l’immersion professionnelle au sein d’une exploitation  « exemplaire ». Sous mesure 1.3.1– Stages d’acquisitions de compétences</w:t>
            </w:r>
          </w:p>
          <w:p w:rsidR="0035701C" w:rsidRDefault="00FB561B" w:rsidP="00FB561B">
            <w:pPr>
              <w:numPr>
                <w:ilvl w:val="0"/>
                <w:numId w:val="197"/>
              </w:numPr>
              <w:spacing w:before="0" w:after="240"/>
              <w:ind w:hanging="210"/>
              <w:jc w:val="left"/>
              <w:rPr>
                <w:szCs w:val="24"/>
              </w:rPr>
            </w:pPr>
            <w:r>
              <w:rPr>
                <w:szCs w:val="24"/>
              </w:rPr>
              <w:t>acquérir de nouvelles pratiques ou à améliorer les connaissances des exploitants et sala</w:t>
            </w:r>
            <w:r>
              <w:rPr>
                <w:szCs w:val="24"/>
              </w:rPr>
              <w:t>riés agricoles ou forestiers au travers de la découverte de techniques innovantes ou de bonnes pratiques menées sur des exploitations en dehors du territoire insulaire. Sous mesure 1.3.2 - programmes d'échanges et des visites d'exploitations agricoles ou d</w:t>
            </w:r>
            <w:r>
              <w:rPr>
                <w:szCs w:val="24"/>
              </w:rPr>
              <w:t>'entreprises ou gestionnaires forestiers en dehors du territoire Corse.</w:t>
            </w:r>
          </w:p>
          <w:p w:rsidR="0035701C" w:rsidRDefault="00FB561B">
            <w:pPr>
              <w:spacing w:before="240" w:after="240"/>
              <w:jc w:val="left"/>
              <w:rPr>
                <w:szCs w:val="24"/>
              </w:rPr>
            </w:pPr>
            <w:r>
              <w:rPr>
                <w:szCs w:val="24"/>
              </w:rPr>
              <w:br/>
              <w:t>Cette mesure répond à plusieurs besoins identifiés dans le programme :</w:t>
            </w:r>
          </w:p>
          <w:p w:rsidR="0035701C" w:rsidRDefault="00FB561B" w:rsidP="00FB561B">
            <w:pPr>
              <w:numPr>
                <w:ilvl w:val="0"/>
                <w:numId w:val="198"/>
              </w:numPr>
              <w:spacing w:before="240" w:after="0"/>
              <w:ind w:hanging="210"/>
              <w:jc w:val="left"/>
              <w:rPr>
                <w:szCs w:val="24"/>
              </w:rPr>
            </w:pPr>
            <w:r>
              <w:rPr>
                <w:szCs w:val="24"/>
              </w:rPr>
              <w:t>n°5 : Professionnaliser par la formation, accompagnement technique et administratif des agriculteurs, des sylvic</w:t>
            </w:r>
            <w:r>
              <w:rPr>
                <w:szCs w:val="24"/>
              </w:rPr>
              <w:t>ulteurs et des entrepreneurs en milieu rural : L’objectif de cette mesure est de contribuer à un accroissement sensible de la professionnalisation des actifs par la réalisation de formations ciblées et adaptées aux productions locales.</w:t>
            </w:r>
          </w:p>
          <w:p w:rsidR="0035701C" w:rsidRDefault="00FB561B" w:rsidP="00FB561B">
            <w:pPr>
              <w:numPr>
                <w:ilvl w:val="0"/>
                <w:numId w:val="198"/>
              </w:numPr>
              <w:spacing w:before="0" w:after="0"/>
              <w:ind w:hanging="210"/>
              <w:jc w:val="left"/>
              <w:rPr>
                <w:szCs w:val="24"/>
              </w:rPr>
            </w:pPr>
            <w:r>
              <w:rPr>
                <w:szCs w:val="24"/>
              </w:rPr>
              <w:t>n° 6 : Accroître les</w:t>
            </w:r>
            <w:r>
              <w:rPr>
                <w:szCs w:val="24"/>
              </w:rPr>
              <w:t xml:space="preserve"> connaissances en matière de méthodes de production et de transformation des produits locaux, et renforcer la diffusion des connaissances issues de R&amp;D par la formation et l'appui technique : cette mesure vise à rendre visible l’ensemble des efforts scient</w:t>
            </w:r>
            <w:r>
              <w:rPr>
                <w:szCs w:val="24"/>
              </w:rPr>
              <w:t>ifiques et techniques réalisés par les organismes de recherche et d’expérimentation par la diffusion des connaissances au travers de  l’organisation de journées de restitution et par la mise en place de formation ou de stages adaptés.</w:t>
            </w:r>
          </w:p>
          <w:p w:rsidR="0035701C" w:rsidRDefault="00FB561B" w:rsidP="00FB561B">
            <w:pPr>
              <w:numPr>
                <w:ilvl w:val="0"/>
                <w:numId w:val="198"/>
              </w:numPr>
              <w:spacing w:before="0" w:after="240"/>
              <w:ind w:hanging="210"/>
              <w:jc w:val="left"/>
              <w:rPr>
                <w:szCs w:val="24"/>
              </w:rPr>
            </w:pPr>
            <w:r>
              <w:rPr>
                <w:szCs w:val="24"/>
              </w:rPr>
              <w:t>n°9 : Accroître et él</w:t>
            </w:r>
            <w:r>
              <w:rPr>
                <w:szCs w:val="24"/>
              </w:rPr>
              <w:t>argir la production et la transformation pour répondre à la demande et augmenter les parts du marché local : Le déficit de professionnalisation freine le progrès technique indispensable  à l’accroissement de la production. Hors dans un contexte insulaire o</w:t>
            </w:r>
            <w:r>
              <w:rPr>
                <w:szCs w:val="24"/>
              </w:rPr>
              <w:t>ù l’ensemble des productions locales souffrent de sous-production, la formation professionnelle est un vecteur de capitalisation des connaissances et d’intégration de l’innovation au sein des exploitations.</w:t>
            </w:r>
          </w:p>
          <w:p w:rsidR="0035701C" w:rsidRDefault="00FB561B">
            <w:pPr>
              <w:spacing w:before="240" w:after="240"/>
              <w:ind w:left="720"/>
              <w:jc w:val="left"/>
              <w:rPr>
                <w:szCs w:val="24"/>
              </w:rPr>
            </w:pPr>
            <w:r>
              <w:rPr>
                <w:szCs w:val="24"/>
              </w:rPr>
              <w:t> </w:t>
            </w:r>
          </w:p>
          <w:p w:rsidR="0035701C" w:rsidRDefault="00FB561B">
            <w:pPr>
              <w:spacing w:before="240" w:after="240"/>
              <w:ind w:left="720"/>
              <w:jc w:val="left"/>
              <w:rPr>
                <w:szCs w:val="24"/>
              </w:rPr>
            </w:pPr>
            <w:r>
              <w:rPr>
                <w:szCs w:val="24"/>
              </w:rPr>
              <w:t xml:space="preserve">Cette mesure contribue principalement sur les </w:t>
            </w:r>
            <w:r>
              <w:rPr>
                <w:szCs w:val="24"/>
              </w:rPr>
              <w:t>domaines prioritaires suivants :</w:t>
            </w:r>
          </w:p>
          <w:p w:rsidR="0035701C" w:rsidRDefault="00FB561B" w:rsidP="00FB561B">
            <w:pPr>
              <w:numPr>
                <w:ilvl w:val="0"/>
                <w:numId w:val="199"/>
              </w:numPr>
              <w:spacing w:before="240" w:after="240"/>
              <w:ind w:hanging="210"/>
              <w:jc w:val="left"/>
              <w:rPr>
                <w:szCs w:val="24"/>
              </w:rPr>
            </w:pPr>
            <w:r>
              <w:rPr>
                <w:szCs w:val="24"/>
              </w:rPr>
              <w:t>1A) Favoriser l'innovation, la coopération et le développement de la base de connaissances dans les zones rurales : La diffusion de l’innovation et des références scientifiques/techniques est primordiale dans la perspective</w:t>
            </w:r>
            <w:r>
              <w:rPr>
                <w:szCs w:val="24"/>
              </w:rPr>
              <w:t xml:space="preserve"> d’un développement harmonieux de l’agriculture et de son adaptation aux défis techniques, économiques, climatiques et sanitaires.</w:t>
            </w:r>
          </w:p>
          <w:p w:rsidR="0035701C" w:rsidRDefault="00FB561B" w:rsidP="00FB561B">
            <w:pPr>
              <w:numPr>
                <w:ilvl w:val="0"/>
                <w:numId w:val="200"/>
              </w:numPr>
              <w:spacing w:before="240" w:after="240"/>
              <w:ind w:hanging="210"/>
              <w:jc w:val="left"/>
              <w:rPr>
                <w:szCs w:val="24"/>
              </w:rPr>
            </w:pPr>
            <w:r>
              <w:rPr>
                <w:szCs w:val="24"/>
              </w:rPr>
              <w:t>1C) Favoriser l'apprentissage tout au long de la vie et la formation professionnelle dans les secteurs de l'agriculture et de</w:t>
            </w:r>
            <w:r>
              <w:rPr>
                <w:szCs w:val="24"/>
              </w:rPr>
              <w:t xml:space="preserve"> la foresterie : cette mesure vise directement à renforcer la professionnalisation par un panel élargi de dispositifs de formation répondant toujours plus aux attentes des actifs agricoles et forestiers.</w:t>
            </w:r>
          </w:p>
          <w:p w:rsidR="0035701C" w:rsidRDefault="00FB561B">
            <w:pPr>
              <w:spacing w:before="240" w:after="240"/>
              <w:ind w:left="720"/>
              <w:jc w:val="left"/>
              <w:rPr>
                <w:szCs w:val="24"/>
              </w:rPr>
            </w:pPr>
            <w:r>
              <w:rPr>
                <w:szCs w:val="24"/>
              </w:rPr>
              <w:t> </w:t>
            </w:r>
          </w:p>
          <w:p w:rsidR="0035701C" w:rsidRDefault="00FB561B">
            <w:pPr>
              <w:spacing w:before="240" w:after="240"/>
              <w:ind w:left="720"/>
              <w:jc w:val="left"/>
              <w:rPr>
                <w:szCs w:val="24"/>
              </w:rPr>
            </w:pPr>
            <w:r>
              <w:rPr>
                <w:szCs w:val="24"/>
              </w:rPr>
              <w:t>En outre, selon le contenu des programmes de forma</w:t>
            </w:r>
            <w:r>
              <w:rPr>
                <w:szCs w:val="24"/>
              </w:rPr>
              <w:t>tion, de stage ou d'échange, elle cible plus spécifiquement les domaines prioritaires suivants :</w:t>
            </w:r>
          </w:p>
          <w:p w:rsidR="0035701C" w:rsidRDefault="00FB561B" w:rsidP="00FB561B">
            <w:pPr>
              <w:numPr>
                <w:ilvl w:val="0"/>
                <w:numId w:val="201"/>
              </w:numPr>
              <w:spacing w:before="240" w:after="0"/>
              <w:ind w:hanging="210"/>
              <w:jc w:val="left"/>
              <w:rPr>
                <w:szCs w:val="24"/>
              </w:rPr>
            </w:pPr>
            <w:r>
              <w:rPr>
                <w:szCs w:val="24"/>
              </w:rPr>
              <w:t xml:space="preserve">2A) Améliorer les résultats économiques de toutes les exploitations agricoles et faciliter la restructuration et la modernisation des exploitations agricoles, </w:t>
            </w:r>
            <w:r>
              <w:rPr>
                <w:szCs w:val="24"/>
              </w:rPr>
              <w:t>notamment en vue d'accroître la participation au marché et l'orientation vers le marché ainsi que la diversification agricole. Des formations/démonstrations/stages concernant notamment  les thématiques suivantes participeront à cet objectif : techniques cu</w:t>
            </w:r>
            <w:r>
              <w:rPr>
                <w:szCs w:val="24"/>
              </w:rPr>
              <w:t>lturales, conduite d’exploitation, gestion des ressources humaines, organisation et conditions du travail, sécurité…</w:t>
            </w:r>
          </w:p>
          <w:p w:rsidR="0035701C" w:rsidRDefault="00FB561B" w:rsidP="00FB561B">
            <w:pPr>
              <w:numPr>
                <w:ilvl w:val="0"/>
                <w:numId w:val="201"/>
              </w:numPr>
              <w:spacing w:before="0" w:after="0"/>
              <w:ind w:hanging="210"/>
              <w:jc w:val="left"/>
              <w:rPr>
                <w:szCs w:val="24"/>
              </w:rPr>
            </w:pPr>
            <w:r>
              <w:rPr>
                <w:szCs w:val="24"/>
              </w:rPr>
              <w:t>3A) Améliorer la compétitivité des producteurs primaires en les intégrant mieux dans la chaîne agroalimentaire au moyen des programmes de q</w:t>
            </w:r>
            <w:r>
              <w:rPr>
                <w:szCs w:val="24"/>
              </w:rPr>
              <w:t>ualité, en conférant une valeur ajoutée aux produits agricoles, et par le biais de la promotion sur les marchés locaux et des circuits d'approvisionnement courts, des groupements de producteurs et des organisations interprofessionnelles : Des formations/dé</w:t>
            </w:r>
            <w:r>
              <w:rPr>
                <w:szCs w:val="24"/>
              </w:rPr>
              <w:t>monstrations/stages concernant notamment  les thématiques suivantes participeront à cet objectif : Qualité des produits, des process et des productions ; Transformation ; Sécurité alimentaire, sécurité sanitaire, santé animale et végétale ; Analyse sensori</w:t>
            </w:r>
            <w:r>
              <w:rPr>
                <w:szCs w:val="24"/>
              </w:rPr>
              <w:t>elle et organoleptique,</w:t>
            </w:r>
          </w:p>
          <w:p w:rsidR="0035701C" w:rsidRDefault="00FB561B" w:rsidP="00FB561B">
            <w:pPr>
              <w:numPr>
                <w:ilvl w:val="0"/>
                <w:numId w:val="201"/>
              </w:numPr>
              <w:spacing w:before="0" w:after="0"/>
              <w:ind w:hanging="210"/>
              <w:jc w:val="left"/>
              <w:rPr>
                <w:szCs w:val="24"/>
              </w:rPr>
            </w:pPr>
            <w:r>
              <w:rPr>
                <w:szCs w:val="24"/>
              </w:rPr>
              <w:t>4B) Améliorer la gestion de l'eau, y compris la gestion des engrais et des pesticides. Des formations/démonstrations/stages concernant notamment  les thématiques suivantes participeront à cet objectif : gestion des effluents, irriga</w:t>
            </w:r>
            <w:r>
              <w:rPr>
                <w:szCs w:val="24"/>
              </w:rPr>
              <w:t>tion et fertilisation raisonnées.</w:t>
            </w:r>
          </w:p>
          <w:p w:rsidR="0035701C" w:rsidRDefault="00FB561B" w:rsidP="00FB561B">
            <w:pPr>
              <w:numPr>
                <w:ilvl w:val="0"/>
                <w:numId w:val="201"/>
              </w:numPr>
              <w:spacing w:before="0" w:after="240"/>
              <w:ind w:hanging="210"/>
              <w:jc w:val="left"/>
              <w:rPr>
                <w:szCs w:val="24"/>
              </w:rPr>
            </w:pPr>
            <w:r>
              <w:rPr>
                <w:szCs w:val="24"/>
              </w:rPr>
              <w:t>5E) Promouvoir la conservation et la séquestration du carbone dans les secteurs de l'agriculture et de la foresterie. Des formations/démonstrations/stages concernant notamment  les thématiques suivantes participeront à cet</w:t>
            </w:r>
            <w:r>
              <w:rPr>
                <w:szCs w:val="24"/>
              </w:rPr>
              <w:t xml:space="preserve"> objectif : techniques d’exploitation forestière.</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4"/>
        <w:jc w:val="left"/>
      </w:pPr>
      <w:r>
        <w:t xml:space="preserve">Portée, niveau du soutien, bénéficiaires admissibles et, le cas échéant, méthodologie pour le calcul du montant ou du taux d'aide selon une ventilation par sous-mesure et/ou type d'opération, si </w:t>
      </w:r>
      <w:r>
        <w:t>nécessaire. Pour chaque type d'opération, spécification des coûts admissibles, des conditions d'admissibilité, des montants et taux d'aide applicables et des principes en matière de définition des critères de sélection</w:t>
      </w:r>
    </w:p>
    <w:p w:rsidR="0035701C" w:rsidRDefault="00FB561B">
      <w:pPr>
        <w:pStyle w:val="Titre5"/>
        <w:rPr>
          <w:b w:val="0"/>
        </w:rPr>
      </w:pPr>
      <w:r>
        <w:rPr>
          <w:b w:val="0"/>
        </w:rPr>
        <w:t>1.1- Formation</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202"/>
              </w:numPr>
            </w:pPr>
            <w:r>
              <w:t>1.1 – Ai</w:t>
            </w:r>
            <w:r>
              <w:t>de à la formation professionnelle et à l'acquisition de compétences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Sous-titre complet de l’opération : Formation Professionnelle.</w:t>
            </w:r>
          </w:p>
          <w:p w:rsidR="0035701C" w:rsidRDefault="00FB561B">
            <w:pPr>
              <w:spacing w:before="240" w:after="240"/>
              <w:jc w:val="left"/>
              <w:rPr>
                <w:szCs w:val="24"/>
              </w:rPr>
            </w:pPr>
            <w:r>
              <w:rPr>
                <w:szCs w:val="24"/>
              </w:rPr>
              <w:t xml:space="preserve">Cette sous-mesure vise à renforcer la professionnalisation des exploitants ou salariés </w:t>
            </w:r>
            <w:r>
              <w:rPr>
                <w:szCs w:val="24"/>
              </w:rPr>
              <w:t>agricole, des professionnels de la forêt et du bois ou du secteur agroalimentaire et à accroître leur niveau de connaissances par la formation continue. Il s’agit en particulier :</w:t>
            </w:r>
          </w:p>
          <w:p w:rsidR="0035701C" w:rsidRDefault="00FB561B" w:rsidP="00FB561B">
            <w:pPr>
              <w:numPr>
                <w:ilvl w:val="0"/>
                <w:numId w:val="203"/>
              </w:numPr>
              <w:spacing w:before="240" w:after="0"/>
              <w:ind w:hanging="210"/>
              <w:jc w:val="left"/>
              <w:rPr>
                <w:szCs w:val="24"/>
              </w:rPr>
            </w:pPr>
            <w:r>
              <w:rPr>
                <w:szCs w:val="24"/>
              </w:rPr>
              <w:t>d’accompagner le maintien et le développement des potentiels productifs liés</w:t>
            </w:r>
            <w:r>
              <w:rPr>
                <w:szCs w:val="24"/>
              </w:rPr>
              <w:t xml:space="preserve"> à l’agriculture, l’agroalimentaire et et à la filière forêt-bois,</w:t>
            </w:r>
          </w:p>
          <w:p w:rsidR="0035701C" w:rsidRDefault="00FB561B" w:rsidP="00FB561B">
            <w:pPr>
              <w:numPr>
                <w:ilvl w:val="0"/>
                <w:numId w:val="203"/>
              </w:numPr>
              <w:spacing w:before="0" w:after="240"/>
              <w:ind w:hanging="210"/>
              <w:jc w:val="left"/>
              <w:rPr>
                <w:szCs w:val="24"/>
              </w:rPr>
            </w:pPr>
            <w:r>
              <w:rPr>
                <w:szCs w:val="24"/>
              </w:rPr>
              <w:t>de promouvoir des pratiques respectueuses de l'environnement, qui contribuent à améliorer la biodiversité, la gestion des sols et la qualité de l'eau.</w:t>
            </w:r>
          </w:p>
          <w:p w:rsidR="0035701C" w:rsidRDefault="00FB561B">
            <w:pPr>
              <w:spacing w:before="240" w:after="240"/>
              <w:jc w:val="left"/>
              <w:rPr>
                <w:szCs w:val="24"/>
              </w:rPr>
            </w:pPr>
            <w:r>
              <w:rPr>
                <w:szCs w:val="24"/>
              </w:rPr>
              <w:t>L'objectif de ce type d'opérations con</w:t>
            </w:r>
            <w:r>
              <w:rPr>
                <w:szCs w:val="24"/>
              </w:rPr>
              <w:t>cerne l'amélioration des compétences et des performances des entreprises agricoles, agroalimentaires et de la filière forêt-bois.</w:t>
            </w:r>
          </w:p>
          <w:p w:rsidR="0035701C" w:rsidRDefault="00FB561B">
            <w:pPr>
              <w:spacing w:before="240" w:after="240"/>
              <w:jc w:val="left"/>
              <w:rPr>
                <w:szCs w:val="24"/>
              </w:rPr>
            </w:pPr>
            <w:r>
              <w:rPr>
                <w:szCs w:val="24"/>
              </w:rPr>
              <w:t>Les publics cibles sont les personnes actives dans les secteurs de l’agriculture, de l’agroalimentaire et de la forêt notammen</w:t>
            </w:r>
            <w:r>
              <w:rPr>
                <w:szCs w:val="24"/>
              </w:rPr>
              <w:t>t:</w:t>
            </w:r>
          </w:p>
          <w:p w:rsidR="0035701C" w:rsidRDefault="00FB561B" w:rsidP="00FB561B">
            <w:pPr>
              <w:numPr>
                <w:ilvl w:val="0"/>
                <w:numId w:val="204"/>
              </w:numPr>
              <w:spacing w:before="240" w:after="0"/>
              <w:ind w:hanging="210"/>
              <w:jc w:val="left"/>
              <w:rPr>
                <w:szCs w:val="24"/>
              </w:rPr>
            </w:pPr>
            <w:r>
              <w:rPr>
                <w:szCs w:val="24"/>
              </w:rPr>
              <w:t>Les exploitants agricoles et forestiers</w:t>
            </w:r>
          </w:p>
          <w:p w:rsidR="0035701C" w:rsidRDefault="00FB561B" w:rsidP="00FB561B">
            <w:pPr>
              <w:numPr>
                <w:ilvl w:val="0"/>
                <w:numId w:val="204"/>
              </w:numPr>
              <w:spacing w:before="0" w:after="0"/>
              <w:ind w:hanging="210"/>
              <w:jc w:val="left"/>
              <w:rPr>
                <w:szCs w:val="24"/>
              </w:rPr>
            </w:pPr>
            <w:r>
              <w:rPr>
                <w:szCs w:val="24"/>
              </w:rPr>
              <w:t>Les conjoints d’exploitants agricoles travaillant sur l’exploitation</w:t>
            </w:r>
          </w:p>
          <w:p w:rsidR="0035701C" w:rsidRDefault="00FB561B" w:rsidP="00FB561B">
            <w:pPr>
              <w:numPr>
                <w:ilvl w:val="0"/>
                <w:numId w:val="204"/>
              </w:numPr>
              <w:spacing w:before="0" w:after="0"/>
              <w:ind w:hanging="210"/>
              <w:jc w:val="left"/>
              <w:rPr>
                <w:szCs w:val="24"/>
              </w:rPr>
            </w:pPr>
            <w:r>
              <w:rPr>
                <w:szCs w:val="24"/>
              </w:rPr>
              <w:t>Les entrepreneurs de travaux agricoles et forestiers</w:t>
            </w:r>
          </w:p>
          <w:p w:rsidR="0035701C" w:rsidRDefault="00FB561B" w:rsidP="00FB561B">
            <w:pPr>
              <w:numPr>
                <w:ilvl w:val="0"/>
                <w:numId w:val="204"/>
              </w:numPr>
              <w:spacing w:before="0" w:after="0"/>
              <w:ind w:hanging="210"/>
              <w:jc w:val="left"/>
              <w:rPr>
                <w:szCs w:val="24"/>
              </w:rPr>
            </w:pPr>
            <w:r>
              <w:rPr>
                <w:szCs w:val="24"/>
              </w:rPr>
              <w:t>Les agriculteurs en phase d’installation porteurs de projets agricoles</w:t>
            </w:r>
          </w:p>
          <w:p w:rsidR="0035701C" w:rsidRDefault="00FB561B" w:rsidP="00FB561B">
            <w:pPr>
              <w:numPr>
                <w:ilvl w:val="0"/>
                <w:numId w:val="204"/>
              </w:numPr>
              <w:spacing w:before="0" w:after="0"/>
              <w:ind w:hanging="210"/>
              <w:jc w:val="left"/>
              <w:rPr>
                <w:szCs w:val="24"/>
              </w:rPr>
            </w:pPr>
            <w:r>
              <w:rPr>
                <w:szCs w:val="24"/>
              </w:rPr>
              <w:t xml:space="preserve">Les chefs des </w:t>
            </w:r>
            <w:r>
              <w:rPr>
                <w:szCs w:val="24"/>
              </w:rPr>
              <w:t>entreprises et les salariés de la filière forêt-bois</w:t>
            </w:r>
          </w:p>
          <w:p w:rsidR="0035701C" w:rsidRDefault="00FB561B" w:rsidP="00FB561B">
            <w:pPr>
              <w:numPr>
                <w:ilvl w:val="0"/>
                <w:numId w:val="204"/>
              </w:numPr>
              <w:spacing w:before="0" w:after="0"/>
              <w:ind w:hanging="210"/>
              <w:jc w:val="left"/>
              <w:rPr>
                <w:szCs w:val="24"/>
              </w:rPr>
            </w:pPr>
            <w:r>
              <w:rPr>
                <w:szCs w:val="24"/>
              </w:rPr>
              <w:t>Les chefs d’entreprise d’industrie agroalimentaire</w:t>
            </w:r>
          </w:p>
          <w:p w:rsidR="0035701C" w:rsidRDefault="00FB561B" w:rsidP="00FB561B">
            <w:pPr>
              <w:numPr>
                <w:ilvl w:val="0"/>
                <w:numId w:val="204"/>
              </w:numPr>
              <w:spacing w:before="0" w:after="0"/>
              <w:ind w:hanging="210"/>
              <w:jc w:val="left"/>
              <w:rPr>
                <w:szCs w:val="24"/>
              </w:rPr>
            </w:pPr>
            <w:r>
              <w:rPr>
                <w:szCs w:val="24"/>
              </w:rPr>
              <w:t>Les propriétaires forestiers privés gestionnaires de forêt</w:t>
            </w:r>
          </w:p>
          <w:p w:rsidR="0035701C" w:rsidRDefault="00FB561B" w:rsidP="00FB561B">
            <w:pPr>
              <w:numPr>
                <w:ilvl w:val="0"/>
                <w:numId w:val="204"/>
              </w:numPr>
              <w:spacing w:before="0" w:after="240"/>
              <w:ind w:hanging="210"/>
              <w:jc w:val="left"/>
              <w:rPr>
                <w:szCs w:val="24"/>
              </w:rPr>
            </w:pPr>
            <w:r>
              <w:rPr>
                <w:szCs w:val="24"/>
              </w:rPr>
              <w:t>Les salariés dans le secteur agricole, agroalimentaire ou forestier</w:t>
            </w:r>
          </w:p>
          <w:p w:rsidR="0035701C" w:rsidRDefault="00FB561B">
            <w:pPr>
              <w:spacing w:before="240" w:after="240"/>
              <w:jc w:val="left"/>
              <w:rPr>
                <w:szCs w:val="24"/>
              </w:rPr>
            </w:pPr>
            <w:r>
              <w:rPr>
                <w:szCs w:val="24"/>
              </w:rPr>
              <w:t xml:space="preserve">Il s'agit de sessions de </w:t>
            </w:r>
            <w:r>
              <w:rPr>
                <w:szCs w:val="24"/>
              </w:rPr>
              <w:t>formation collectives sur des thématiques précises et répondant à des besoins concrets et partagés par un groupe cible. Les actions de formation ne pourront pas avoir une durée inférieure à 7 heures et une durée supérieure à 10 jours.</w:t>
            </w:r>
          </w:p>
          <w:p w:rsidR="0035701C" w:rsidRDefault="00FB561B">
            <w:pPr>
              <w:spacing w:before="240" w:after="240"/>
              <w:jc w:val="left"/>
              <w:rPr>
                <w:szCs w:val="24"/>
              </w:rPr>
            </w:pPr>
            <w:r>
              <w:rPr>
                <w:szCs w:val="24"/>
              </w:rPr>
              <w:t>L’Autorité de Gestion</w:t>
            </w:r>
            <w:r>
              <w:rPr>
                <w:szCs w:val="24"/>
              </w:rPr>
              <w:t xml:space="preserve"> validera des appels à projets visant une ou plusieurs thématiques de développement agricole, forestier et agroalimentaire au bénéfice de publics cibles actifs salariés ou non-salarié de ces secteurs. En réponse à ces appels à projets, pourront être présen</w:t>
            </w:r>
            <w:r>
              <w:rPr>
                <w:szCs w:val="24"/>
              </w:rPr>
              <w:t>tés des actions de formation ponctuelles ainsi que des programmes de formation (ensemble prévisionnel d’actions de formation cohérent).</w:t>
            </w:r>
          </w:p>
          <w:p w:rsidR="0035701C" w:rsidRDefault="00FB561B">
            <w:pPr>
              <w:spacing w:before="240" w:after="240"/>
              <w:jc w:val="left"/>
              <w:rPr>
                <w:szCs w:val="24"/>
              </w:rPr>
            </w:pPr>
            <w:r>
              <w:rPr>
                <w:szCs w:val="24"/>
              </w:rPr>
              <w:t>Les organismes collecteurs agréés par l’État pour la gestion des fonds d’assurance formation (OPCA/FAF) pourront répondr</w:t>
            </w:r>
            <w:r>
              <w:rPr>
                <w:szCs w:val="24"/>
              </w:rPr>
              <w:t>e à ces appels à projets, au même titre que d’autres prestataires de formation que sont les organismes de formation. Le cas échéant, les OPCA/FAF proposeront des programmes de formation qu’ils élaborent et qu’ils mettront en œuvre en recourant à des organi</w:t>
            </w:r>
            <w:r>
              <w:rPr>
                <w:szCs w:val="24"/>
              </w:rPr>
              <w:t>smes de formation par sous-traitance ou achat de formations. Dans ce cadre, ils s’engagent à se conformer à la réglementation nationale, et notamment aux dispositions relatives à la qualité  des formations dispensées.</w:t>
            </w:r>
          </w:p>
          <w:p w:rsidR="0035701C" w:rsidRDefault="0035701C">
            <w:pPr>
              <w:pStyle w:val="Corpsdetexte"/>
            </w:pPr>
          </w:p>
        </w:tc>
      </w:tr>
    </w:tbl>
    <w:p w:rsidR="0035701C" w:rsidRDefault="00FB561B">
      <w:pPr>
        <w:pStyle w:val="Titre6"/>
      </w:pPr>
      <w:r>
        <w:t>Type de soutien</w:t>
      </w:r>
    </w:p>
    <w:p w:rsidR="0035701C" w:rsidRDefault="00FB561B">
      <w:r>
        <w:t xml:space="preserve">Type de soutien: </w:t>
      </w:r>
      <w:r>
        <w:t>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Participation financière sous la forme de subventions</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Réglementation nationale relative à la formation professionnelle :</w:t>
            </w:r>
          </w:p>
          <w:p w:rsidR="0035701C" w:rsidRDefault="00FB561B">
            <w:pPr>
              <w:spacing w:before="240" w:after="240"/>
              <w:jc w:val="left"/>
              <w:rPr>
                <w:szCs w:val="24"/>
              </w:rPr>
            </w:pPr>
            <w:r>
              <w:rPr>
                <w:szCs w:val="24"/>
              </w:rPr>
              <w:t>Partie 6 du Code du travail relative à la formation professionnelle tout au long de</w:t>
            </w:r>
            <w:r>
              <w:rPr>
                <w:szCs w:val="24"/>
              </w:rPr>
              <w:t xml:space="preserve"> la vie :</w:t>
            </w:r>
          </w:p>
          <w:p w:rsidR="0035701C" w:rsidRDefault="00FB561B" w:rsidP="00FB561B">
            <w:pPr>
              <w:numPr>
                <w:ilvl w:val="0"/>
                <w:numId w:val="205"/>
              </w:numPr>
              <w:spacing w:before="240" w:after="240"/>
              <w:ind w:hanging="210"/>
              <w:jc w:val="left"/>
              <w:rPr>
                <w:szCs w:val="24"/>
              </w:rPr>
            </w:pPr>
            <w:r>
              <w:rPr>
                <w:szCs w:val="24"/>
              </w:rPr>
              <w:t>Ordonnance n° 2005-649 du 6 juin 2005 relative aux marchés passés par certaines personnes publiques ou privées non soumises au code des marchés publics &amp; Loi n° 2009-1437 du 24 novembre 2009 relative à la formation professionnelle tout au long de</w:t>
            </w:r>
            <w:r>
              <w:rPr>
                <w:szCs w:val="24"/>
              </w:rPr>
              <w:t xml:space="preserve"> la vie</w:t>
            </w:r>
          </w:p>
          <w:p w:rsidR="0035701C" w:rsidRDefault="00FB561B">
            <w:pPr>
              <w:spacing w:before="240" w:after="240"/>
              <w:jc w:val="left"/>
              <w:rPr>
                <w:szCs w:val="24"/>
              </w:rPr>
            </w:pPr>
            <w:r>
              <w:rPr>
                <w:szCs w:val="24"/>
              </w:rPr>
              <w:t>Ces textes généralisent le recours aux procédures d’appels d'offres par les organismes collecteurs agréés pour la gestion des fonds d’assurance formation, dans une logique de professionnalisation des acteurs et de clarté dans l'attribution des marc</w:t>
            </w:r>
            <w:r>
              <w:rPr>
                <w:szCs w:val="24"/>
              </w:rPr>
              <w:t>hés ;</w:t>
            </w:r>
          </w:p>
          <w:p w:rsidR="0035701C" w:rsidRDefault="00FB561B" w:rsidP="00FB561B">
            <w:pPr>
              <w:numPr>
                <w:ilvl w:val="0"/>
                <w:numId w:val="206"/>
              </w:numPr>
              <w:spacing w:before="240" w:after="240"/>
              <w:ind w:hanging="210"/>
              <w:jc w:val="left"/>
              <w:rPr>
                <w:szCs w:val="24"/>
              </w:rPr>
            </w:pPr>
            <w:r>
              <w:rPr>
                <w:szCs w:val="24"/>
              </w:rPr>
              <w:t xml:space="preserve">Loi n° 2014-288 du 5 mars 2014 relative à la formation professionnelle, à l'emploi et à la démocratie sociale &amp; </w:t>
            </w:r>
            <w:r>
              <w:rPr>
                <w:i/>
                <w:iCs/>
                <w:szCs w:val="24"/>
              </w:rPr>
              <w:t>Projet de décret relatif à la qualité des actions de la formation professionnelle continue</w:t>
            </w:r>
          </w:p>
          <w:p w:rsidR="0035701C" w:rsidRDefault="00FB561B">
            <w:pPr>
              <w:spacing w:before="240" w:after="240"/>
              <w:jc w:val="left"/>
              <w:rPr>
                <w:szCs w:val="24"/>
              </w:rPr>
            </w:pPr>
            <w:r>
              <w:rPr>
                <w:szCs w:val="24"/>
              </w:rPr>
              <w:t xml:space="preserve">Ces textes confortent les organismes </w:t>
            </w:r>
            <w:r>
              <w:rPr>
                <w:szCs w:val="24"/>
              </w:rPr>
              <w:t>collecteurs agréés pour la gestion des fonds d’assurance formation dans leur fonction d’intérêt général : mission de collecte, de gestion, et de mutualisation et financement des actions.</w:t>
            </w:r>
          </w:p>
          <w:p w:rsidR="0035701C" w:rsidRDefault="00FB561B">
            <w:pPr>
              <w:spacing w:before="240" w:after="240"/>
              <w:jc w:val="left"/>
              <w:rPr>
                <w:szCs w:val="24"/>
              </w:rPr>
            </w:pPr>
            <w:r>
              <w:rPr>
                <w:szCs w:val="24"/>
              </w:rPr>
              <w:t>Par ailleurs, le projet de décret impose aux principaux financeurs d'</w:t>
            </w:r>
            <w:r>
              <w:rPr>
                <w:szCs w:val="24"/>
              </w:rPr>
              <w:t>actions de formation (dont les organismes collecteurs agréés pour la gestion des fonds d’assurance formation et les Régions) de s’assurer de la capacité du prestataire de formation à dispenser une formation de qualité.</w:t>
            </w:r>
          </w:p>
          <w:p w:rsidR="0035701C" w:rsidRDefault="00FB561B" w:rsidP="00FB561B">
            <w:pPr>
              <w:numPr>
                <w:ilvl w:val="0"/>
                <w:numId w:val="207"/>
              </w:numPr>
              <w:spacing w:before="240" w:after="240"/>
              <w:ind w:hanging="210"/>
              <w:jc w:val="left"/>
              <w:rPr>
                <w:szCs w:val="24"/>
              </w:rPr>
            </w:pPr>
            <w:r>
              <w:rPr>
                <w:szCs w:val="24"/>
              </w:rPr>
              <w:t>Articles L. 6332-6 et M. 6332-13 du c</w:t>
            </w:r>
            <w:r>
              <w:rPr>
                <w:szCs w:val="24"/>
              </w:rPr>
              <w:t>ode du travail. Ces articles fixent les conditions d’agrément des organismes collecteurs agréés pour la gestion des fonds d’assurance formation.</w:t>
            </w:r>
          </w:p>
          <w:p w:rsidR="0035701C" w:rsidRDefault="00FB561B">
            <w:pPr>
              <w:spacing w:before="240" w:after="240"/>
              <w:jc w:val="left"/>
              <w:rPr>
                <w:szCs w:val="24"/>
              </w:rPr>
            </w:pPr>
            <w:r>
              <w:rPr>
                <w:szCs w:val="24"/>
              </w:rPr>
              <w:t>Conformément à l’article 59, point 8 du R(UE) N°1305/2014, une dépense cofinancée par le FEADER n’est pas cofin</w:t>
            </w:r>
            <w:r>
              <w:rPr>
                <w:szCs w:val="24"/>
              </w:rPr>
              <w:t>ancée par des fonds structurels.</w:t>
            </w:r>
          </w:p>
          <w:p w:rsidR="0035701C" w:rsidRDefault="00FB561B">
            <w:pPr>
              <w:spacing w:before="240" w:after="240"/>
              <w:jc w:val="left"/>
              <w:rPr>
                <w:szCs w:val="24"/>
              </w:rPr>
            </w:pPr>
            <w:r>
              <w:rPr>
                <w:szCs w:val="24"/>
              </w:rPr>
              <w:t>Complémentarité avec le FSE : s’agissant d’actions de démonstration, d’information ou de diffusion des connaissances directement liées aux activités agricoles, sylvicoles ou agroalimentaires et destinées aux seuls actifs de</w:t>
            </w:r>
            <w:r>
              <w:rPr>
                <w:szCs w:val="24"/>
              </w:rPr>
              <w:t xml:space="preserve"> ces secteurs, le cofinancement relève en totalité du FEADER.</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Type bénéficiaire :</w:t>
            </w:r>
          </w:p>
          <w:p w:rsidR="0035701C" w:rsidRDefault="00FB561B" w:rsidP="00FB561B">
            <w:pPr>
              <w:numPr>
                <w:ilvl w:val="0"/>
                <w:numId w:val="208"/>
              </w:numPr>
              <w:spacing w:before="240" w:after="0"/>
              <w:ind w:hanging="210"/>
              <w:jc w:val="left"/>
              <w:rPr>
                <w:szCs w:val="24"/>
              </w:rPr>
            </w:pPr>
            <w:r>
              <w:rPr>
                <w:szCs w:val="24"/>
              </w:rPr>
              <w:t xml:space="preserve">Les organismes collecteurs agréés par l’État pour la gestion des fonds d’assurance formation (OPCA/FAF = OPCA </w:t>
            </w:r>
            <w:r>
              <w:rPr>
                <w:i/>
                <w:iCs/>
                <w:szCs w:val="24"/>
              </w:rPr>
              <w:t>- Organismes Paritaires Collecteurs Agréés</w:t>
            </w:r>
            <w:r>
              <w:rPr>
                <w:szCs w:val="24"/>
              </w:rPr>
              <w:t xml:space="preserve"> </w:t>
            </w:r>
            <w:r>
              <w:rPr>
                <w:szCs w:val="24"/>
                <w:u w:val="single"/>
              </w:rPr>
              <w:t>ou</w:t>
            </w:r>
            <w:r>
              <w:rPr>
                <w:szCs w:val="24"/>
              </w:rPr>
              <w:t xml:space="preserve"> FAF</w:t>
            </w:r>
            <w:r>
              <w:rPr>
                <w:b/>
                <w:bCs/>
                <w:szCs w:val="24"/>
              </w:rPr>
              <w:t xml:space="preserve"> -</w:t>
            </w:r>
            <w:r>
              <w:rPr>
                <w:szCs w:val="24"/>
              </w:rPr>
              <w:t xml:space="preserve"> </w:t>
            </w:r>
            <w:r>
              <w:rPr>
                <w:i/>
                <w:iCs/>
                <w:szCs w:val="24"/>
              </w:rPr>
              <w:t>Fonds d'Assurance Formation</w:t>
            </w:r>
            <w:r>
              <w:rPr>
                <w:szCs w:val="24"/>
              </w:rPr>
              <w:t>).</w:t>
            </w:r>
          </w:p>
          <w:p w:rsidR="0035701C" w:rsidRDefault="00FB561B" w:rsidP="00FB561B">
            <w:pPr>
              <w:numPr>
                <w:ilvl w:val="0"/>
                <w:numId w:val="208"/>
              </w:numPr>
              <w:spacing w:before="0" w:after="240"/>
              <w:ind w:hanging="210"/>
              <w:jc w:val="left"/>
              <w:rPr>
                <w:szCs w:val="24"/>
              </w:rPr>
            </w:pPr>
            <w:r>
              <w:rPr>
                <w:szCs w:val="24"/>
              </w:rPr>
              <w:t>Les organismes de formation professionnelle continue publics et privés.</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w:t>
            </w:r>
          </w:p>
          <w:p w:rsidR="0035701C" w:rsidRDefault="00FB561B" w:rsidP="00FB561B">
            <w:pPr>
              <w:numPr>
                <w:ilvl w:val="0"/>
                <w:numId w:val="209"/>
              </w:numPr>
              <w:spacing w:before="240" w:after="0"/>
              <w:ind w:hanging="210"/>
              <w:jc w:val="left"/>
              <w:rPr>
                <w:szCs w:val="24"/>
              </w:rPr>
            </w:pPr>
            <w:r>
              <w:rPr>
                <w:szCs w:val="24"/>
              </w:rPr>
              <w:t>Les frais d’organisation et les coûts pédagogiques (frais de location de salle et de matériel, frais</w:t>
            </w:r>
            <w:r>
              <w:rPr>
                <w:szCs w:val="24"/>
              </w:rPr>
              <w:t xml:space="preserve"> d’impression de documents ou d’outils pédagogiques,  etc.)</w:t>
            </w:r>
          </w:p>
          <w:p w:rsidR="0035701C" w:rsidRDefault="00FB561B" w:rsidP="00FB561B">
            <w:pPr>
              <w:numPr>
                <w:ilvl w:val="0"/>
                <w:numId w:val="209"/>
              </w:numPr>
              <w:spacing w:before="0" w:after="0"/>
              <w:ind w:hanging="210"/>
              <w:jc w:val="left"/>
              <w:rPr>
                <w:szCs w:val="24"/>
              </w:rPr>
            </w:pPr>
            <w:r>
              <w:rPr>
                <w:szCs w:val="24"/>
              </w:rPr>
              <w:t xml:space="preserve">Les frais de prestation engagés dans la mise en œuvre des sessions de formation notamment : salaires ou prestations de service des formateurs, frais de déplacements des agents qui organisent la </w:t>
            </w:r>
            <w:r>
              <w:rPr>
                <w:szCs w:val="24"/>
              </w:rPr>
              <w:t>formation…</w:t>
            </w:r>
          </w:p>
          <w:p w:rsidR="0035701C" w:rsidRDefault="00FB561B" w:rsidP="00FB561B">
            <w:pPr>
              <w:numPr>
                <w:ilvl w:val="0"/>
                <w:numId w:val="209"/>
              </w:numPr>
              <w:spacing w:before="0" w:after="240"/>
              <w:ind w:hanging="210"/>
              <w:jc w:val="left"/>
              <w:rPr>
                <w:szCs w:val="24"/>
              </w:rPr>
            </w:pPr>
            <w:r>
              <w:rPr>
                <w:szCs w:val="24"/>
              </w:rPr>
              <w:t>Le coût d’acquisition des sessions de formation supporté par les organismes coordonnateurs, au prorata du nombre d’heures stagiaires assuré.</w:t>
            </w:r>
          </w:p>
          <w:p w:rsidR="0035701C" w:rsidRDefault="00FB561B">
            <w:pPr>
              <w:spacing w:before="240" w:after="240"/>
              <w:jc w:val="left"/>
              <w:rPr>
                <w:szCs w:val="24"/>
              </w:rPr>
            </w:pPr>
            <w:r>
              <w:rPr>
                <w:szCs w:val="24"/>
              </w:rPr>
              <w:t>Tous les coûts sont payés aux bénéficiaires de l’opération.</w:t>
            </w:r>
          </w:p>
          <w:p w:rsidR="0035701C" w:rsidRDefault="00FB561B">
            <w:pPr>
              <w:spacing w:before="240" w:after="240"/>
              <w:jc w:val="left"/>
              <w:rPr>
                <w:szCs w:val="24"/>
              </w:rPr>
            </w:pPr>
            <w:r>
              <w:rPr>
                <w:szCs w:val="24"/>
              </w:rPr>
              <w:t>Coûts inéligibles : dépenses liées à l’ingén</w:t>
            </w:r>
            <w:r>
              <w:rPr>
                <w:szCs w:val="24"/>
              </w:rPr>
              <w:t>ierie de formation pour les OPCA/FAF (dépenses de rémunération et éventuelles dépenses facturées pour la conception des programmes de formation, leur suivi et leur évaluation).</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Eligibilité des bénéficiaires</w:t>
            </w:r>
            <w:r>
              <w:rPr>
                <w:szCs w:val="24"/>
              </w:rPr>
              <w:t> :</w:t>
            </w:r>
          </w:p>
          <w:p w:rsidR="0035701C" w:rsidRDefault="00FB561B" w:rsidP="00FB561B">
            <w:pPr>
              <w:numPr>
                <w:ilvl w:val="0"/>
                <w:numId w:val="210"/>
              </w:numPr>
              <w:spacing w:before="240" w:after="0"/>
              <w:ind w:hanging="210"/>
              <w:jc w:val="left"/>
              <w:rPr>
                <w:szCs w:val="24"/>
              </w:rPr>
            </w:pPr>
            <w:r>
              <w:rPr>
                <w:szCs w:val="24"/>
              </w:rPr>
              <w:t xml:space="preserve">Concernant les </w:t>
            </w:r>
            <w:r>
              <w:rPr>
                <w:szCs w:val="24"/>
              </w:rPr>
              <w:t>OPCA/FAF : Obtention d’un agrément d’Etat</w:t>
            </w:r>
          </w:p>
          <w:p w:rsidR="0035701C" w:rsidRDefault="00FB561B" w:rsidP="00FB561B">
            <w:pPr>
              <w:numPr>
                <w:ilvl w:val="0"/>
                <w:numId w:val="210"/>
              </w:numPr>
              <w:spacing w:before="0" w:after="0"/>
              <w:ind w:hanging="210"/>
              <w:jc w:val="left"/>
              <w:rPr>
                <w:szCs w:val="24"/>
              </w:rPr>
            </w:pPr>
            <w:r>
              <w:rPr>
                <w:szCs w:val="24"/>
              </w:rPr>
              <w:t>Concernant les Organismes de formation : Ils devront être déclarés auprès du Ministère en charge de la formation professionnelle (DIRECCTE), conformément à la réglementation française.</w:t>
            </w:r>
          </w:p>
          <w:p w:rsidR="0035701C" w:rsidRDefault="00FB561B" w:rsidP="00FB561B">
            <w:pPr>
              <w:numPr>
                <w:ilvl w:val="0"/>
                <w:numId w:val="210"/>
              </w:numPr>
              <w:spacing w:before="0" w:after="0"/>
              <w:ind w:hanging="210"/>
              <w:jc w:val="left"/>
              <w:rPr>
                <w:szCs w:val="24"/>
              </w:rPr>
            </w:pPr>
            <w:r>
              <w:rPr>
                <w:szCs w:val="24"/>
              </w:rPr>
              <w:t>Conformément à l’art. 14 du R</w:t>
            </w:r>
            <w:r>
              <w:rPr>
                <w:szCs w:val="24"/>
              </w:rPr>
              <w:t>èglement (UE) n°1305/2013, lorsqu’ils sont bénéficiaires directs de l’aide, les organismes de formation ainsi que les OPCA/FAF, doivent disposer des capacités appropriées en termes de qualification du personnel et de formation régulière pour mener à bien c</w:t>
            </w:r>
            <w:r>
              <w:rPr>
                <w:szCs w:val="24"/>
              </w:rPr>
              <w:t>es tâches.</w:t>
            </w:r>
          </w:p>
          <w:p w:rsidR="0035701C" w:rsidRDefault="00FB561B" w:rsidP="00FB561B">
            <w:pPr>
              <w:numPr>
                <w:ilvl w:val="0"/>
                <w:numId w:val="210"/>
              </w:numPr>
              <w:spacing w:before="0" w:after="240"/>
              <w:ind w:hanging="210"/>
              <w:jc w:val="left"/>
              <w:rPr>
                <w:szCs w:val="24"/>
              </w:rPr>
            </w:pPr>
            <w:r>
              <w:rPr>
                <w:szCs w:val="24"/>
              </w:rPr>
              <w:t>Si le bénéficiaire de l’aide est un OPCA/FAF, il s’engage à se conformer à la législation en matière de qualité des actions de la formation professionnelle continue afin de s’assurer que les organismes de formation qu’il mobilise par sous-traita</w:t>
            </w:r>
            <w:r>
              <w:rPr>
                <w:szCs w:val="24"/>
              </w:rPr>
              <w:t>nce ou achat de formations, disposent des capacités appropriés en termes de qualification du personnel et de formation régulière pour mener à bien ces tâches (cf. §1.1.1.6). L’autorité de gestion s’assurera que les OPCA/FAF, lorsqu’ils sont bénéficiaires d</w:t>
            </w:r>
            <w:r>
              <w:rPr>
                <w:szCs w:val="24"/>
              </w:rPr>
              <w:t>e l’aide, sont bien agréés par l’État et disposent à ce titre, eux-mêmes, des qualifications suffisantes pour conduire l’ingénierie de la formation, l’évaluation des formations et la sélection des organismes de formation. Ces deux conditions sont à respect</w:t>
            </w:r>
            <w:r>
              <w:rPr>
                <w:szCs w:val="24"/>
              </w:rPr>
              <w:t>er pendant la durée du programme de formation retenu.</w:t>
            </w:r>
          </w:p>
          <w:p w:rsidR="0035701C" w:rsidRDefault="00FB561B">
            <w:pPr>
              <w:spacing w:before="240" w:after="240"/>
              <w:jc w:val="left"/>
              <w:rPr>
                <w:szCs w:val="24"/>
              </w:rPr>
            </w:pPr>
            <w:r>
              <w:rPr>
                <w:szCs w:val="24"/>
                <w:u w:val="single"/>
              </w:rPr>
              <w:t>Eligibilité des demandes</w:t>
            </w:r>
            <w:r>
              <w:rPr>
                <w:szCs w:val="24"/>
              </w:rPr>
              <w:t> :</w:t>
            </w:r>
          </w:p>
          <w:p w:rsidR="0035701C" w:rsidRDefault="00FB561B" w:rsidP="00FB561B">
            <w:pPr>
              <w:numPr>
                <w:ilvl w:val="0"/>
                <w:numId w:val="211"/>
              </w:numPr>
              <w:spacing w:before="240" w:after="0"/>
              <w:ind w:hanging="210"/>
              <w:jc w:val="left"/>
              <w:rPr>
                <w:szCs w:val="24"/>
              </w:rPr>
            </w:pPr>
            <w:r>
              <w:rPr>
                <w:szCs w:val="24"/>
              </w:rPr>
              <w:t>Durée de la formation de 7h à 10 jours</w:t>
            </w:r>
          </w:p>
          <w:p w:rsidR="0035701C" w:rsidRDefault="00FB561B" w:rsidP="00FB561B">
            <w:pPr>
              <w:numPr>
                <w:ilvl w:val="0"/>
                <w:numId w:val="211"/>
              </w:numPr>
              <w:spacing w:before="0" w:after="240"/>
              <w:ind w:hanging="210"/>
              <w:jc w:val="left"/>
              <w:rPr>
                <w:szCs w:val="24"/>
              </w:rPr>
            </w:pPr>
            <w:r>
              <w:rPr>
                <w:szCs w:val="24"/>
              </w:rPr>
              <w:t>Les actions de formations doivent se dérouler sur le territoire régional.</w:t>
            </w:r>
          </w:p>
          <w:p w:rsidR="0035701C" w:rsidRDefault="0035701C">
            <w:pPr>
              <w:pStyle w:val="Corpsdetexte"/>
            </w:pPr>
          </w:p>
        </w:tc>
      </w:tr>
    </w:tbl>
    <w:p w:rsidR="0035701C" w:rsidRDefault="00FB561B">
      <w:pPr>
        <w:pStyle w:val="Titre6"/>
      </w:pPr>
      <w:r>
        <w:t xml:space="preserve">Principes applicables à l'établissement des critères de </w:t>
      </w:r>
      <w:r>
        <w:t>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ind w:left="456"/>
              <w:jc w:val="left"/>
              <w:rPr>
                <w:szCs w:val="24"/>
              </w:rPr>
            </w:pPr>
            <w:r>
              <w:rPr>
                <w:szCs w:val="24"/>
              </w:rPr>
              <w:t>La sélection des opérations se fera par Appel à projets validés par l’Autorité de Gestion auprès d’organismes de formation ou d’OPCA/FAF.</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La sélection des opérations sera établie notamment sur la base des critères suivants :</w:t>
            </w:r>
          </w:p>
          <w:p w:rsidR="0035701C" w:rsidRDefault="00FB561B" w:rsidP="00FB561B">
            <w:pPr>
              <w:numPr>
                <w:ilvl w:val="0"/>
                <w:numId w:val="212"/>
              </w:numPr>
              <w:spacing w:before="240" w:after="0"/>
              <w:ind w:hanging="210"/>
              <w:jc w:val="left"/>
              <w:rPr>
                <w:szCs w:val="24"/>
              </w:rPr>
            </w:pPr>
            <w:r>
              <w:rPr>
                <w:szCs w:val="24"/>
              </w:rPr>
              <w:t>Adéquation de la fo</w:t>
            </w:r>
            <w:r>
              <w:rPr>
                <w:szCs w:val="24"/>
              </w:rPr>
              <w:t>rmation (thème, cibles…) avec les objectifs de l’appel à projet </w:t>
            </w:r>
          </w:p>
          <w:p w:rsidR="0035701C" w:rsidRDefault="00FB561B" w:rsidP="00FB561B">
            <w:pPr>
              <w:numPr>
                <w:ilvl w:val="0"/>
                <w:numId w:val="212"/>
              </w:numPr>
              <w:spacing w:before="0" w:after="0"/>
              <w:ind w:hanging="210"/>
              <w:jc w:val="left"/>
              <w:rPr>
                <w:szCs w:val="24"/>
              </w:rPr>
            </w:pPr>
            <w:r>
              <w:rPr>
                <w:szCs w:val="24"/>
              </w:rPr>
              <w:t>Relation entre les compétences des formateurs et la nature de la prestation à réaliser (nature et cohérence de la qualification du formateur ou des formateurs qui interviennent dans la format</w:t>
            </w:r>
            <w:r>
              <w:rPr>
                <w:szCs w:val="24"/>
              </w:rPr>
              <w:t>ion avec l’objet de la formation, mise à niveau des formateurs et maintien de leurs compétences sur les 5 dernières années ; Existence d’un personnel suffisant par rapport à l’ampleur de la prestation de formation…)</w:t>
            </w:r>
          </w:p>
          <w:p w:rsidR="0035701C" w:rsidRDefault="00FB561B" w:rsidP="00FB561B">
            <w:pPr>
              <w:numPr>
                <w:ilvl w:val="0"/>
                <w:numId w:val="212"/>
              </w:numPr>
              <w:spacing w:before="0" w:after="0"/>
              <w:ind w:hanging="210"/>
              <w:jc w:val="left"/>
              <w:rPr>
                <w:szCs w:val="24"/>
              </w:rPr>
            </w:pPr>
            <w:r>
              <w:rPr>
                <w:szCs w:val="24"/>
              </w:rPr>
              <w:t>Coût proposé </w:t>
            </w:r>
          </w:p>
          <w:p w:rsidR="0035701C" w:rsidRDefault="00FB561B" w:rsidP="00FB561B">
            <w:pPr>
              <w:numPr>
                <w:ilvl w:val="0"/>
                <w:numId w:val="212"/>
              </w:numPr>
              <w:spacing w:before="0" w:after="240"/>
              <w:ind w:hanging="210"/>
              <w:jc w:val="left"/>
              <w:rPr>
                <w:szCs w:val="24"/>
              </w:rPr>
            </w:pPr>
            <w:r>
              <w:rPr>
                <w:szCs w:val="24"/>
              </w:rPr>
              <w:t xml:space="preserve">Mise en œuvre de méthodes </w:t>
            </w:r>
            <w:r>
              <w:rPr>
                <w:szCs w:val="24"/>
              </w:rPr>
              <w:t>de formations innovantes pour le public cible (élément novateur du projet de formation, partenariat et collaboration développés à l’occasion du projet de formation, moyens mis en œuvre pour prospecter des publics généralement à l’écart des systèmes de déve</w:t>
            </w:r>
            <w:r>
              <w:rPr>
                <w:szCs w:val="24"/>
              </w:rPr>
              <w:t>loppement agricole…).</w:t>
            </w:r>
          </w:p>
          <w:p w:rsidR="0035701C" w:rsidRDefault="00FB561B">
            <w:pPr>
              <w:spacing w:before="240" w:after="240"/>
              <w:jc w:val="left"/>
              <w:rPr>
                <w:szCs w:val="24"/>
              </w:rPr>
            </w:pPr>
            <w:r>
              <w:rPr>
                <w:szCs w:val="24"/>
              </w:rPr>
              <w:t>Un système de points permettant le classement des projets de même que fixation d'un seuil minimal pour accéder au soutien sera fixé dans l’Appel à Projets.</w:t>
            </w:r>
          </w:p>
          <w:p w:rsidR="0035701C" w:rsidRDefault="00FB561B">
            <w:pPr>
              <w:spacing w:before="240" w:after="240"/>
              <w:jc w:val="left"/>
              <w:rPr>
                <w:szCs w:val="24"/>
              </w:rPr>
            </w:pPr>
            <w:r>
              <w:rPr>
                <w:szCs w:val="24"/>
              </w:rPr>
              <w:t xml:space="preserve">Dans le cas des OPCA/FAF, ceux-ci pourront présenter une proposition de </w:t>
            </w:r>
            <w:r>
              <w:rPr>
                <w:szCs w:val="24"/>
              </w:rPr>
              <w:t xml:space="preserve">programme annuel réalisé par des organismes de formation sélectionnés par l’OPCA/FAF sur la base d’un appel d’offre. L’autorité de gestion sélectionnera tout ou partie des programmes proposés en fonction du score obtenu au regard des critères de sélection </w:t>
            </w:r>
            <w:r>
              <w:rPr>
                <w:szCs w:val="24"/>
              </w:rPr>
              <w:t>précédents, le bénéficiaire ultime de l’aide demeurant l’Organisme de formation (liste des organismes de formation comprenant le montant de l’aide allouée).</w:t>
            </w:r>
          </w:p>
          <w:p w:rsidR="0035701C" w:rsidRDefault="00FB561B">
            <w:pPr>
              <w:spacing w:before="240" w:after="240"/>
              <w:jc w:val="left"/>
              <w:rPr>
                <w:szCs w:val="24"/>
              </w:rPr>
            </w:pPr>
            <w:r>
              <w:rPr>
                <w:szCs w:val="24"/>
              </w:rPr>
              <w:t>Pour chacune des actions de formation proposées, devront être clairement précisés :</w:t>
            </w:r>
          </w:p>
          <w:p w:rsidR="0035701C" w:rsidRDefault="00FB561B" w:rsidP="00FB561B">
            <w:pPr>
              <w:numPr>
                <w:ilvl w:val="0"/>
                <w:numId w:val="213"/>
              </w:numPr>
              <w:spacing w:before="240" w:after="0"/>
              <w:ind w:hanging="210"/>
              <w:jc w:val="left"/>
              <w:rPr>
                <w:szCs w:val="24"/>
              </w:rPr>
            </w:pPr>
            <w:r>
              <w:rPr>
                <w:szCs w:val="24"/>
              </w:rPr>
              <w:t xml:space="preserve">Un intitulé de </w:t>
            </w:r>
            <w:r>
              <w:rPr>
                <w:szCs w:val="24"/>
              </w:rPr>
              <w:t>formation</w:t>
            </w:r>
          </w:p>
          <w:p w:rsidR="0035701C" w:rsidRDefault="00FB561B" w:rsidP="00FB561B">
            <w:pPr>
              <w:numPr>
                <w:ilvl w:val="0"/>
                <w:numId w:val="213"/>
              </w:numPr>
              <w:spacing w:before="0" w:after="0"/>
              <w:ind w:hanging="210"/>
              <w:jc w:val="left"/>
              <w:rPr>
                <w:szCs w:val="24"/>
              </w:rPr>
            </w:pPr>
            <w:r>
              <w:rPr>
                <w:szCs w:val="24"/>
              </w:rPr>
              <w:t>Un ou des responsables de formation</w:t>
            </w:r>
          </w:p>
          <w:p w:rsidR="0035701C" w:rsidRDefault="00FB561B" w:rsidP="00FB561B">
            <w:pPr>
              <w:numPr>
                <w:ilvl w:val="0"/>
                <w:numId w:val="213"/>
              </w:numPr>
              <w:spacing w:before="0" w:after="0"/>
              <w:ind w:hanging="210"/>
              <w:jc w:val="left"/>
              <w:rPr>
                <w:szCs w:val="24"/>
              </w:rPr>
            </w:pPr>
            <w:r>
              <w:rPr>
                <w:szCs w:val="24"/>
              </w:rPr>
              <w:t>Les moyens de mise en œuvre de la formation : qualité, compétences et/ou expériences requises de l’intervenant qui assurera la formation</w:t>
            </w:r>
          </w:p>
          <w:p w:rsidR="0035701C" w:rsidRDefault="00FB561B" w:rsidP="00FB561B">
            <w:pPr>
              <w:numPr>
                <w:ilvl w:val="0"/>
                <w:numId w:val="213"/>
              </w:numPr>
              <w:spacing w:before="0" w:after="0"/>
              <w:ind w:hanging="210"/>
              <w:jc w:val="left"/>
              <w:rPr>
                <w:szCs w:val="24"/>
              </w:rPr>
            </w:pPr>
            <w:r>
              <w:rPr>
                <w:szCs w:val="24"/>
              </w:rPr>
              <w:t>Les objectifs visés et les résultats attendus</w:t>
            </w:r>
          </w:p>
          <w:p w:rsidR="0035701C" w:rsidRDefault="00FB561B" w:rsidP="00FB561B">
            <w:pPr>
              <w:numPr>
                <w:ilvl w:val="0"/>
                <w:numId w:val="213"/>
              </w:numPr>
              <w:spacing w:before="0" w:after="0"/>
              <w:ind w:hanging="210"/>
              <w:jc w:val="left"/>
              <w:rPr>
                <w:szCs w:val="24"/>
              </w:rPr>
            </w:pPr>
            <w:r>
              <w:rPr>
                <w:szCs w:val="24"/>
              </w:rPr>
              <w:t xml:space="preserve">Les moyens et modalités de </w:t>
            </w:r>
            <w:r>
              <w:rPr>
                <w:szCs w:val="24"/>
              </w:rPr>
              <w:t>mise en œuvre prévus, ainsi que les méthodes et outils utilisés</w:t>
            </w:r>
          </w:p>
          <w:p w:rsidR="0035701C" w:rsidRDefault="00FB561B" w:rsidP="00FB561B">
            <w:pPr>
              <w:numPr>
                <w:ilvl w:val="0"/>
                <w:numId w:val="213"/>
              </w:numPr>
              <w:spacing w:before="0" w:after="0"/>
              <w:ind w:hanging="210"/>
              <w:jc w:val="left"/>
              <w:rPr>
                <w:szCs w:val="24"/>
              </w:rPr>
            </w:pPr>
            <w:r>
              <w:rPr>
                <w:szCs w:val="24"/>
              </w:rPr>
              <w:t>Le public visé et le nombre de participants prévus</w:t>
            </w:r>
          </w:p>
          <w:p w:rsidR="0035701C" w:rsidRDefault="00FB561B" w:rsidP="00FB561B">
            <w:pPr>
              <w:numPr>
                <w:ilvl w:val="0"/>
                <w:numId w:val="213"/>
              </w:numPr>
              <w:spacing w:before="0" w:after="0"/>
              <w:ind w:hanging="210"/>
              <w:jc w:val="left"/>
              <w:rPr>
                <w:szCs w:val="24"/>
              </w:rPr>
            </w:pPr>
            <w:r>
              <w:rPr>
                <w:szCs w:val="24"/>
              </w:rPr>
              <w:t>Les modalités d’enregistrement des participants en vue de compléter des indicateurs de suivi (âge, sexe, profil, niveau d’instruction, filièr</w:t>
            </w:r>
            <w:r>
              <w:rPr>
                <w:szCs w:val="24"/>
              </w:rPr>
              <w:t>e, …)</w:t>
            </w:r>
          </w:p>
          <w:p w:rsidR="0035701C" w:rsidRDefault="00FB561B" w:rsidP="00FB561B">
            <w:pPr>
              <w:numPr>
                <w:ilvl w:val="0"/>
                <w:numId w:val="213"/>
              </w:numPr>
              <w:spacing w:before="0" w:after="240"/>
              <w:ind w:hanging="210"/>
              <w:jc w:val="left"/>
              <w:rPr>
                <w:szCs w:val="24"/>
              </w:rPr>
            </w:pPr>
            <w:r>
              <w:rPr>
                <w:szCs w:val="24"/>
              </w:rPr>
              <w:t>Un budget prévisionnel.</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Taux d’aide :</w:t>
            </w:r>
          </w:p>
          <w:p w:rsidR="0035701C" w:rsidRDefault="00FB561B" w:rsidP="00FB561B">
            <w:pPr>
              <w:numPr>
                <w:ilvl w:val="0"/>
                <w:numId w:val="214"/>
              </w:numPr>
              <w:spacing w:before="240" w:after="0"/>
              <w:ind w:hanging="210"/>
              <w:jc w:val="left"/>
              <w:rPr>
                <w:szCs w:val="24"/>
              </w:rPr>
            </w:pPr>
            <w:r>
              <w:rPr>
                <w:szCs w:val="24"/>
              </w:rPr>
              <w:t>100% pour les Organismes de formation</w:t>
            </w:r>
          </w:p>
          <w:p w:rsidR="0035701C" w:rsidRDefault="00FB561B" w:rsidP="00FB561B">
            <w:pPr>
              <w:numPr>
                <w:ilvl w:val="0"/>
                <w:numId w:val="214"/>
              </w:numPr>
              <w:spacing w:before="0" w:after="240"/>
              <w:ind w:hanging="210"/>
              <w:jc w:val="left"/>
              <w:rPr>
                <w:szCs w:val="24"/>
              </w:rPr>
            </w:pPr>
            <w:r>
              <w:rPr>
                <w:szCs w:val="24"/>
              </w:rPr>
              <w:t>50% pour les OPCA/FAF.</w:t>
            </w:r>
          </w:p>
          <w:p w:rsidR="0035701C" w:rsidRDefault="00FB561B">
            <w:pPr>
              <w:spacing w:before="240" w:after="240"/>
              <w:jc w:val="left"/>
              <w:rPr>
                <w:szCs w:val="24"/>
              </w:rPr>
            </w:pPr>
            <w:r>
              <w:rPr>
                <w:szCs w:val="24"/>
              </w:rPr>
              <w:t xml:space="preserve">Pour les projets ne relevant pas de l’article 42 du TFUE dont le financement est soumis aux règles d'aide </w:t>
            </w:r>
            <w:r>
              <w:rPr>
                <w:szCs w:val="24"/>
              </w:rPr>
              <w:t>d'Etat, sera utilisé :</w:t>
            </w:r>
          </w:p>
          <w:p w:rsidR="0035701C" w:rsidRDefault="00FB561B" w:rsidP="00FB561B">
            <w:pPr>
              <w:numPr>
                <w:ilvl w:val="0"/>
                <w:numId w:val="215"/>
              </w:numPr>
              <w:spacing w:before="240" w:after="0"/>
              <w:ind w:hanging="210"/>
              <w:jc w:val="left"/>
              <w:rPr>
                <w:szCs w:val="24"/>
              </w:rPr>
            </w:pPr>
            <w:r>
              <w:rPr>
                <w:szCs w:val="24"/>
              </w:rPr>
              <w:t>un régime d'aides exempté de notification au titre du règlement (UE) n° 651/2014  de la Commission du 17 juin 2014, ou au titre du règlement (UE) n° 702/2014 de la Commission du 25 juin 2014,</w:t>
            </w:r>
          </w:p>
          <w:p w:rsidR="0035701C" w:rsidRDefault="00FB561B" w:rsidP="00FB561B">
            <w:pPr>
              <w:numPr>
                <w:ilvl w:val="0"/>
                <w:numId w:val="215"/>
              </w:numPr>
              <w:spacing w:before="0" w:after="0"/>
              <w:ind w:hanging="210"/>
              <w:jc w:val="left"/>
              <w:rPr>
                <w:szCs w:val="24"/>
              </w:rPr>
            </w:pPr>
            <w:r>
              <w:rPr>
                <w:szCs w:val="24"/>
              </w:rPr>
              <w:t xml:space="preserve">ou un régime notifié en vertu de </w:t>
            </w:r>
            <w:r>
              <w:rPr>
                <w:szCs w:val="24"/>
              </w:rPr>
              <w:t>l'article 108, paragraphe 3 du Traité,</w:t>
            </w:r>
          </w:p>
          <w:p w:rsidR="0035701C" w:rsidRDefault="00FB561B" w:rsidP="00FB561B">
            <w:pPr>
              <w:numPr>
                <w:ilvl w:val="0"/>
                <w:numId w:val="215"/>
              </w:numPr>
              <w:spacing w:before="0" w:after="240"/>
              <w:ind w:hanging="210"/>
              <w:jc w:val="left"/>
              <w:rPr>
                <w:szCs w:val="24"/>
              </w:rPr>
            </w:pPr>
            <w:r>
              <w:rPr>
                <w:szCs w:val="24"/>
              </w:rPr>
              <w:t>ou le règlement (UE) n° 1407/2013 de la Commission du 18 décembre 2013 relatif à l'application des articles 107 et 108 du traité sur le fonctionnement de l'Union européenne aux aides de minimis.</w:t>
            </w:r>
          </w:p>
          <w:p w:rsidR="0035701C" w:rsidRDefault="00FB561B">
            <w:pPr>
              <w:spacing w:before="240" w:after="240"/>
              <w:jc w:val="left"/>
              <w:rPr>
                <w:szCs w:val="24"/>
              </w:rPr>
            </w:pPr>
            <w:r>
              <w:rPr>
                <w:szCs w:val="24"/>
              </w:rPr>
              <w:t>Le taux d'aide publiqu</w:t>
            </w:r>
            <w:r>
              <w:rPr>
                <w:szCs w:val="24"/>
              </w:rPr>
              <w:t>e appliqué au dossier correspondra au maximum autorisé par le régime d'aide d'Etat appliqué audit dossier, si ce maximum est plus restrictif que le taux prévu par le PDR ; ce maximum ne pourra être supérieur au taux de 100% pour les Organismes de formation</w:t>
            </w:r>
            <w:r>
              <w:rPr>
                <w:szCs w:val="24"/>
              </w:rPr>
              <w:t xml:space="preserve"> et de 50% pour les OPCA/FAF.</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 xml:space="preserve">Dialogue AG/OP sur l’évolution du contenu de la mesure </w:t>
            </w:r>
          </w:p>
          <w:p w:rsidR="0035701C" w:rsidRDefault="00FB561B" w:rsidP="00FB561B">
            <w:pPr>
              <w:numPr>
                <w:ilvl w:val="0"/>
                <w:numId w:val="216"/>
              </w:numPr>
              <w:spacing w:before="240" w:after="0"/>
              <w:ind w:hanging="210"/>
              <w:jc w:val="left"/>
              <w:rPr>
                <w:szCs w:val="24"/>
              </w:rPr>
            </w:pPr>
            <w:r>
              <w:rPr>
                <w:szCs w:val="24"/>
              </w:rPr>
              <w:t xml:space="preserve">L'OP a demandé que soient bien décrits les </w:t>
            </w:r>
            <w:r>
              <w:rPr>
                <w:szCs w:val="24"/>
              </w:rPr>
              <w:t>organismes susceptibles d'être bénéficiaires de cette opération. Les éléments de Droit, les précisions sur l'organisation de la formation professionnelle dans l'Etat Membre, ainsi que le détail des éléments de réponse à fournir sur les appels à projet sont</w:t>
            </w:r>
            <w:r>
              <w:rPr>
                <w:szCs w:val="24"/>
              </w:rPr>
              <w:t xml:space="preserve"> pleinement satisfaisants.</w:t>
            </w:r>
          </w:p>
          <w:p w:rsidR="0035701C" w:rsidRDefault="00FB561B" w:rsidP="00FB561B">
            <w:pPr>
              <w:numPr>
                <w:ilvl w:val="0"/>
                <w:numId w:val="216"/>
              </w:numPr>
              <w:spacing w:before="0" w:after="0"/>
              <w:ind w:hanging="210"/>
              <w:jc w:val="left"/>
              <w:rPr>
                <w:szCs w:val="24"/>
              </w:rPr>
            </w:pPr>
            <w:r>
              <w:rPr>
                <w:szCs w:val="24"/>
              </w:rPr>
              <w:t>Lors du dialogue le public cible des chefs d'entreprise d'industrie agroalimentaire a été pris en compte.</w:t>
            </w:r>
          </w:p>
          <w:p w:rsidR="0035701C" w:rsidRDefault="00FB561B" w:rsidP="00FB561B">
            <w:pPr>
              <w:numPr>
                <w:ilvl w:val="0"/>
                <w:numId w:val="216"/>
              </w:numPr>
              <w:spacing w:before="0" w:after="240"/>
              <w:ind w:hanging="210"/>
              <w:jc w:val="left"/>
              <w:rPr>
                <w:szCs w:val="24"/>
              </w:rPr>
            </w:pPr>
            <w:r>
              <w:rPr>
                <w:szCs w:val="24"/>
              </w:rPr>
              <w:t>Concernant les principes de sélection tels que décrits dans le PDRC, l’OP a recommandé que leurs modalités d’application so</w:t>
            </w:r>
            <w:r>
              <w:rPr>
                <w:szCs w:val="24"/>
              </w:rPr>
              <w:t xml:space="preserve">ient établies sur la base d’éléments vérifiables et contrôlables. Après avoir pris connaissance des précisions apportées au présent texte, l'Organisme Payeur considère que ce document permet de lever l'ensemble de ces interrogations. L’Organisme Payeur ne </w:t>
            </w:r>
            <w:r>
              <w:rPr>
                <w:szCs w:val="24"/>
              </w:rPr>
              <w:t>formule donc plus de réserves sur ce point.</w:t>
            </w:r>
          </w:p>
          <w:p w:rsidR="0035701C" w:rsidRDefault="00FB561B">
            <w:pPr>
              <w:spacing w:before="240" w:after="240"/>
              <w:jc w:val="left"/>
              <w:rPr>
                <w:szCs w:val="24"/>
              </w:rPr>
            </w:pPr>
            <w:r>
              <w:rPr>
                <w:szCs w:val="24"/>
                <w:u w:val="single"/>
              </w:rPr>
              <w:t>Risques identifiés selon la méthodologie présentée par l’OP (cf. chapitre 18)</w:t>
            </w:r>
          </w:p>
          <w:p w:rsidR="0035701C" w:rsidRDefault="00FB561B">
            <w:pPr>
              <w:spacing w:before="240" w:after="240"/>
              <w:jc w:val="left"/>
              <w:rPr>
                <w:szCs w:val="24"/>
              </w:rPr>
            </w:pPr>
            <w:r>
              <w:rPr>
                <w:szCs w:val="24"/>
              </w:rPr>
              <w:t xml:space="preserve">n°1 - R4 : Identification claire des organismes et/ou sociétés sélectionnés, garantissant leur viabilité et leur pérennité. (source : </w:t>
            </w:r>
            <w:r>
              <w:rPr>
                <w:szCs w:val="24"/>
              </w:rPr>
              <w:t>Ponctuel sur Retour d'Expérience. Multiplicité des organismes de formation.)</w:t>
            </w:r>
          </w:p>
          <w:p w:rsidR="0035701C" w:rsidRDefault="00FB561B">
            <w:pPr>
              <w:spacing w:before="240" w:after="240"/>
              <w:jc w:val="left"/>
              <w:rPr>
                <w:szCs w:val="24"/>
              </w:rPr>
            </w:pPr>
            <w:r>
              <w:rPr>
                <w:szCs w:val="24"/>
              </w:rPr>
              <w:t>n°2 - R10 : Dépenses du maître d'ouvrage, définition des éléments comptables et preuves probantes pris en charge, sensibilisation de l'administration et des bénéficiaires (charges</w:t>
            </w:r>
            <w:r>
              <w:rPr>
                <w:szCs w:val="24"/>
              </w:rPr>
              <w:t xml:space="preserve"> sociales, liste présence aux réunions,…). (source : 2007-2013 en continu Formation de l'administration, des Partenaires, des Bénéficiaires, Multiplicité des précisions sur « Guidance » (notes de cadrage)).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n°1 - R4 : VERIFIER Pour </w:t>
            </w:r>
            <w:r>
              <w:rPr>
                <w:szCs w:val="24"/>
              </w:rPr>
              <w:t>tous les bénéficiaires et par tous moyens la viabilité et la pérennité de la structure.</w:t>
            </w:r>
          </w:p>
          <w:p w:rsidR="0035701C" w:rsidRDefault="00FB561B">
            <w:pPr>
              <w:spacing w:before="240" w:after="240"/>
              <w:jc w:val="left"/>
              <w:rPr>
                <w:szCs w:val="24"/>
              </w:rPr>
            </w:pPr>
            <w:r>
              <w:rPr>
                <w:szCs w:val="24"/>
              </w:rPr>
              <w:t>n°2 - R10 : VERIFIER Principalement pour les frais de formation de bien détailler les coûts pédagogiques, de déplacements, coûts salariaux, modalités d'enregistrement d</w:t>
            </w:r>
            <w:r>
              <w:rPr>
                <w:szCs w:val="24"/>
              </w:rPr>
              <w:t>es participants…</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Au vu des cotations matricielles, sur le poids financier de la mesure (&lt;5%), sur les priorités, les risques, les mesures d’atténuation prévues, cette mesure reçoit une évaluation  favorable peu risquée ; L</w:t>
            </w:r>
            <w:r>
              <w:rPr>
                <w:szCs w:val="24"/>
              </w:rPr>
              <w:t>es mécanismes de mise en œuvre sont connus et maîtrisés par tous les acteurs,  les programmations précédentes n’ont pas suscité de problèmes particuliers.</w:t>
            </w:r>
          </w:p>
          <w:p w:rsidR="0035701C" w:rsidRDefault="00FB561B">
            <w:pPr>
              <w:spacing w:before="240" w:after="240"/>
              <w:jc w:val="left"/>
              <w:rPr>
                <w:szCs w:val="24"/>
              </w:rPr>
            </w:pPr>
            <w:r>
              <w:rPr>
                <w:szCs w:val="24"/>
              </w:rPr>
              <w:t>Concernant l'évaluation globale de la mesure : la mesure est contrôlable sous réserve de la mise en p</w:t>
            </w:r>
            <w:r>
              <w:rPr>
                <w:szCs w:val="24"/>
              </w:rPr>
              <w:t>lace d'actions d'atténuation et des précisions apportées dans les documents de mise en œuvre notamment sur la nécessité de fixer des barèmes pour les frais de déplacements, les précisions sur les coûts salariaux pris en charge, les justificatifs de présenc</w:t>
            </w:r>
            <w:r>
              <w:rPr>
                <w:szCs w:val="24"/>
              </w:rPr>
              <w:t>e.</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Définition des capacités appropriées des organismes fournissant des services de transfert de connaissances en termes de qualifications du </w:t>
      </w:r>
      <w:r>
        <w:t>personnel et de formation régulière pour mener à bien leurs tâches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u w:val="single"/>
              </w:rPr>
              <w:t xml:space="preserve">Pour ce qui concerne les organismes de formation : </w:t>
            </w:r>
          </w:p>
          <w:p w:rsidR="0035701C" w:rsidRDefault="00FB561B">
            <w:pPr>
              <w:spacing w:before="240" w:after="240"/>
              <w:jc w:val="left"/>
              <w:rPr>
                <w:szCs w:val="24"/>
              </w:rPr>
            </w:pPr>
            <w:r>
              <w:rPr>
                <w:szCs w:val="24"/>
              </w:rPr>
              <w:t xml:space="preserve">Pour être sélectionnés, les organismes de formation doivent mettre en évidence la qualification appropriée des formateurs mobilisés au </w:t>
            </w:r>
            <w:r>
              <w:rPr>
                <w:szCs w:val="24"/>
              </w:rPr>
              <w:t>regard de l’action de formation proposée.</w:t>
            </w:r>
          </w:p>
          <w:p w:rsidR="0035701C" w:rsidRDefault="00FB561B">
            <w:pPr>
              <w:spacing w:before="240" w:after="240"/>
              <w:jc w:val="left"/>
              <w:rPr>
                <w:szCs w:val="24"/>
              </w:rPr>
            </w:pPr>
            <w:r>
              <w:rPr>
                <w:szCs w:val="24"/>
              </w:rPr>
              <w:t>Leur qualification doit être en relation avec l’action de formation. Les formateurs doivent justifier d’un niveau III de formation ou d’une expérience professionnelle dans le champ de la formation proposée, d’au mo</w:t>
            </w:r>
            <w:r>
              <w:rPr>
                <w:szCs w:val="24"/>
              </w:rPr>
              <w:t>ins trois ans. Une expérience professionnelle en tant que formateur est aussi requise. Cette disposition n’empêche par la mobilisation, à l’initiative du formateur, d’un intervenant extérieur ponctuel disposant d’un niveau de formation moindre, mais posséd</w:t>
            </w:r>
            <w:r>
              <w:rPr>
                <w:szCs w:val="24"/>
              </w:rPr>
              <w:t>ant une expérience avérée sur la thématique de la formation en question.</w:t>
            </w:r>
          </w:p>
          <w:p w:rsidR="0035701C" w:rsidRDefault="00FB561B">
            <w:pPr>
              <w:spacing w:before="240" w:after="240"/>
              <w:jc w:val="left"/>
              <w:rPr>
                <w:szCs w:val="24"/>
              </w:rPr>
            </w:pPr>
            <w:r>
              <w:rPr>
                <w:szCs w:val="24"/>
              </w:rPr>
              <w:t xml:space="preserve">En outre, les organismes de formation apportent la preuve que les formateurs maintiennent et développent leurs compétences et connaissances à travers le plan de formation interne des </w:t>
            </w:r>
            <w:r>
              <w:rPr>
                <w:szCs w:val="24"/>
              </w:rPr>
              <w:t>personnels et/ou via la liste des formations continues suivies dans les trois dernières années (formation technique, stage d’observation/d’immersion, participation à des séminaires/colloques ou ateliers de travail, travaux de recherche, formation à distanc</w:t>
            </w:r>
            <w:r>
              <w:rPr>
                <w:szCs w:val="24"/>
              </w:rPr>
              <w:t>e, etc. peuvent être considérés comme relevant de la formation continue). Les attestations correspondantes pourront être demandées.</w:t>
            </w:r>
          </w:p>
          <w:p w:rsidR="0035701C" w:rsidRDefault="00FB561B">
            <w:pPr>
              <w:spacing w:before="240" w:after="240"/>
              <w:jc w:val="left"/>
              <w:rPr>
                <w:szCs w:val="24"/>
              </w:rPr>
            </w:pPr>
            <w:r>
              <w:rPr>
                <w:szCs w:val="24"/>
              </w:rPr>
              <w:t xml:space="preserve">Les labels, certifications ou normes figurant sur une liste établie par le Conseil national de l’emploi, de la formation et </w:t>
            </w:r>
            <w:r>
              <w:rPr>
                <w:szCs w:val="24"/>
              </w:rPr>
              <w:t>de l’orientation professionnelle pourront être pris en compte en lieu et place des CV pour apprécier la qualification des formateurs et leur formation continue.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u w:val="single"/>
              </w:rPr>
              <w:t xml:space="preserve">Pour ce qui concerne les OPCA/FAF : </w:t>
            </w:r>
          </w:p>
          <w:p w:rsidR="0035701C" w:rsidRDefault="00FB561B">
            <w:pPr>
              <w:spacing w:before="240" w:after="240"/>
              <w:jc w:val="left"/>
              <w:rPr>
                <w:szCs w:val="24"/>
              </w:rPr>
            </w:pPr>
            <w:r>
              <w:rPr>
                <w:szCs w:val="24"/>
              </w:rPr>
              <w:t>L’agrément par l’État d’un OPCA/FAF est obligatoire.</w:t>
            </w:r>
          </w:p>
          <w:p w:rsidR="0035701C" w:rsidRDefault="00FB561B">
            <w:pPr>
              <w:spacing w:before="240" w:after="240"/>
              <w:jc w:val="left"/>
              <w:rPr>
                <w:szCs w:val="24"/>
              </w:rPr>
            </w:pPr>
            <w:r>
              <w:rPr>
                <w:szCs w:val="24"/>
              </w:rPr>
              <w:t>Pou</w:t>
            </w:r>
            <w:r>
              <w:rPr>
                <w:szCs w:val="24"/>
              </w:rPr>
              <w:t>r être sélectionnés, les OPCA/FAF doivent mettre en évidence la qualification appropriée des responsables de formations en charge de la conception, du suivi et de l’évaluation  du ou des programmes de formation proposés.</w:t>
            </w:r>
          </w:p>
          <w:p w:rsidR="0035701C" w:rsidRDefault="00FB561B">
            <w:pPr>
              <w:spacing w:before="240" w:after="240"/>
              <w:jc w:val="left"/>
              <w:rPr>
                <w:szCs w:val="24"/>
              </w:rPr>
            </w:pPr>
            <w:r>
              <w:rPr>
                <w:szCs w:val="24"/>
              </w:rPr>
              <w:t>Le responsable de formation doit ju</w:t>
            </w:r>
            <w:r>
              <w:rPr>
                <w:szCs w:val="24"/>
              </w:rPr>
              <w:t>stifier au minimum, d’un niveau III de formation ou de trois ans d’expérience professionnelle dans le domaine de l’ingénierie de formation.</w:t>
            </w:r>
          </w:p>
          <w:p w:rsidR="0035701C" w:rsidRDefault="00FB561B">
            <w:pPr>
              <w:spacing w:before="240" w:after="240"/>
              <w:jc w:val="left"/>
              <w:rPr>
                <w:szCs w:val="24"/>
              </w:rPr>
            </w:pPr>
            <w:r>
              <w:rPr>
                <w:szCs w:val="24"/>
              </w:rPr>
              <w:t>En outre, les OPCA/FAF apportent la preuve que les responsables de formations maintiennent et développent leurs comp</w:t>
            </w:r>
            <w:r>
              <w:rPr>
                <w:szCs w:val="24"/>
              </w:rPr>
              <w:t>étences et connaissances à travers le plan de formation interne des personnels et/ou via la liste des formations continues suivies dans les trois dernières années (formation technique, stage d’observation/d’immersion, participation à des séminaires/colloqu</w:t>
            </w:r>
            <w:r>
              <w:rPr>
                <w:szCs w:val="24"/>
              </w:rPr>
              <w:t>es ou ateliers de travail, travaux de recherche, formation à distance, etc. peuvent être considérés comme relevant de la formation continue). Les attestations correspondantes pourront être demandées.</w:t>
            </w:r>
          </w:p>
          <w:p w:rsidR="0035701C" w:rsidRDefault="00FB561B">
            <w:pPr>
              <w:spacing w:before="240" w:after="240"/>
              <w:jc w:val="left"/>
              <w:rPr>
                <w:szCs w:val="24"/>
              </w:rPr>
            </w:pPr>
            <w:r>
              <w:rPr>
                <w:szCs w:val="24"/>
              </w:rPr>
              <w:t>Par ailleurs, l’OPCA/FAF sera chargé de la sélection des</w:t>
            </w:r>
            <w:r>
              <w:rPr>
                <w:szCs w:val="24"/>
              </w:rPr>
              <w:t xml:space="preserve"> organismes de formation mobilisés pour mettre en œuvre les actions de formations prévues au programme de formation. L’ordonnance n°2005-649, la loi n° 2009/1437 et la loi n° 2014-288 imposent aux OPCA/FAF le recours aux procédures d’appels d’offres pour l</w:t>
            </w:r>
            <w:r>
              <w:rPr>
                <w:szCs w:val="24"/>
              </w:rPr>
              <w:t>a sélection des organismes de formation. En particulier, comme tous les acheteurs publics, les OPCA/FAF doivent s’assurer de la capacité des organismes de formation à dispenser une formation de qualité.        </w:t>
            </w:r>
          </w:p>
          <w:p w:rsidR="0035701C" w:rsidRDefault="00FB561B">
            <w:pPr>
              <w:spacing w:before="240" w:after="240"/>
              <w:jc w:val="left"/>
              <w:rPr>
                <w:szCs w:val="24"/>
              </w:rPr>
            </w:pPr>
            <w:r>
              <w:rPr>
                <w:szCs w:val="24"/>
              </w:rPr>
              <w:t>En outre, lorsqu’ils sélectionnent des organi</w:t>
            </w:r>
            <w:r>
              <w:rPr>
                <w:szCs w:val="24"/>
              </w:rPr>
              <w:t>smes de formation</w:t>
            </w:r>
          </w:p>
          <w:p w:rsidR="0035701C" w:rsidRDefault="00FB561B">
            <w:pPr>
              <w:spacing w:before="240" w:after="240"/>
              <w:jc w:val="left"/>
              <w:rPr>
                <w:szCs w:val="24"/>
              </w:rPr>
            </w:pPr>
            <w:r>
              <w:rPr>
                <w:szCs w:val="24"/>
              </w:rPr>
              <w:t>intervenant sur des programmes de formation retenus par l’autorité de gestion, les OPCA/FAF doivent inscrire dans les appels d’offres qu’ils organisent, l’ensemble des critères de sélection et les conditions d’éligibilité définis dans cet</w:t>
            </w:r>
            <w:r>
              <w:rPr>
                <w:szCs w:val="24"/>
              </w:rPr>
              <w:t>te présente mesure à l’encontre des organismes de formation.</w:t>
            </w:r>
          </w:p>
          <w:p w:rsidR="0035701C" w:rsidRDefault="00FB561B">
            <w:pPr>
              <w:spacing w:before="240" w:after="240"/>
              <w:jc w:val="left"/>
              <w:rPr>
                <w:szCs w:val="24"/>
              </w:rPr>
            </w:pPr>
            <w:r>
              <w:rPr>
                <w:szCs w:val="24"/>
              </w:rPr>
              <w:t>Cette disposition, ainsi que le cadre règlementaire national s’imposant aux OPCA/FAF permettent donc de garantir à l’autorité de gestion, la sélection d’organismes de formation compétents dans le</w:t>
            </w:r>
            <w:r>
              <w:rPr>
                <w:szCs w:val="24"/>
              </w:rPr>
              <w:t xml:space="preserve"> respect de l’article 14 du règlement de développement rural.         </w:t>
            </w:r>
          </w:p>
          <w:p w:rsidR="0035701C" w:rsidRDefault="00FB561B">
            <w:pPr>
              <w:spacing w:before="240" w:after="240"/>
              <w:jc w:val="left"/>
              <w:rPr>
                <w:szCs w:val="24"/>
              </w:rPr>
            </w:pPr>
            <w:r>
              <w:rPr>
                <w:szCs w:val="24"/>
              </w:rPr>
              <w:t>Ils pourront être contrôlés par l’autorité de gestion préalablement au versement du FEADER (compte rendus des commissions d’appel d’offres, descriptif de la qualification et des compéte</w:t>
            </w:r>
            <w:r>
              <w:rPr>
                <w:szCs w:val="24"/>
              </w:rPr>
              <w:t>nces des organismes de formation retenus).</w:t>
            </w:r>
          </w:p>
          <w:p w:rsidR="0035701C" w:rsidRDefault="0035701C">
            <w:pPr>
              <w:pStyle w:val="Corpsdetexte"/>
            </w:pPr>
          </w:p>
        </w:tc>
      </w:tr>
    </w:tbl>
    <w:p w:rsidR="0035701C" w:rsidRDefault="00FB561B">
      <w:r>
        <w:t>Définition de la durée et du contenu des programmes d'échanges et des visites d'exploitations agricoles ou forestières, visés à l’article 3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Non concerné</w:t>
            </w:r>
          </w:p>
          <w:p w:rsidR="0035701C" w:rsidRDefault="0035701C">
            <w:pPr>
              <w:pStyle w:val="Corpsdetexte"/>
            </w:pPr>
          </w:p>
        </w:tc>
      </w:tr>
    </w:tbl>
    <w:p w:rsidR="0035701C" w:rsidRDefault="00FB561B">
      <w:pPr>
        <w:pStyle w:val="Titre5"/>
        <w:rPr>
          <w:b w:val="0"/>
        </w:rPr>
      </w:pPr>
      <w:r>
        <w:rPr>
          <w:b w:val="0"/>
        </w:rPr>
        <w:br w:type="page"/>
        <w:t>1.3.2- Programmes</w:t>
      </w:r>
      <w:r>
        <w:rPr>
          <w:b w:val="0"/>
        </w:rPr>
        <w:t xml:space="preserve"> d'échanges</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217"/>
              </w:numPr>
            </w:pPr>
            <w:r>
              <w:t>1.3 – Aide aux échanges de courte durée centrés sur la gestion de l'exploitation agricole ou forestière, ainsi qu'aux visites d'exploitations agricoles ou forestières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Sous-titre complet de </w:t>
            </w:r>
            <w:r>
              <w:rPr>
                <w:b/>
                <w:bCs/>
                <w:szCs w:val="24"/>
              </w:rPr>
              <w:t>l’opération : programmes d'échanges et des visites d'exploitations agricoles ou forestières en dehors du territoire Corse</w:t>
            </w:r>
          </w:p>
          <w:p w:rsidR="0035701C" w:rsidRDefault="00FB561B">
            <w:pPr>
              <w:spacing w:before="240" w:after="240"/>
              <w:jc w:val="left"/>
              <w:rPr>
                <w:szCs w:val="24"/>
              </w:rPr>
            </w:pPr>
            <w:r>
              <w:rPr>
                <w:szCs w:val="24"/>
              </w:rPr>
              <w:t> Cette sous-mesure vise à acquérir de nouvelles pratiques ou à améliorer les connaissances des exploitants et salariés agricoles ou fo</w:t>
            </w:r>
            <w:r>
              <w:rPr>
                <w:szCs w:val="24"/>
              </w:rPr>
              <w:t>restiers au travers de la découverte de techniques innovantes ou de bonnes pratiques menées sur des exploitations en dehors du territoire insulaire.</w:t>
            </w:r>
          </w:p>
          <w:p w:rsidR="0035701C" w:rsidRDefault="00FB561B">
            <w:pPr>
              <w:spacing w:before="240" w:after="240"/>
              <w:jc w:val="left"/>
              <w:rPr>
                <w:szCs w:val="24"/>
              </w:rPr>
            </w:pPr>
            <w:r>
              <w:rPr>
                <w:szCs w:val="24"/>
              </w:rPr>
              <w:t>Objectif : Ces échanges d’expérience visent à améliorer les connaissances et les pratiques des visiteurs et</w:t>
            </w:r>
            <w:r>
              <w:rPr>
                <w:szCs w:val="24"/>
              </w:rPr>
              <w:t xml:space="preserve"> de leur organisation, et à intégrer les acquis des visites dans leurs activités quotidiennes.</w:t>
            </w:r>
          </w:p>
          <w:p w:rsidR="0035701C" w:rsidRDefault="00FB561B">
            <w:pPr>
              <w:spacing w:before="240" w:after="240"/>
              <w:jc w:val="left"/>
              <w:rPr>
                <w:szCs w:val="24"/>
              </w:rPr>
            </w:pPr>
            <w:r>
              <w:rPr>
                <w:szCs w:val="24"/>
              </w:rPr>
              <w:t>Public Cible : Les publics cibles sont les personnes actives dans les secteurs de l’agriculture et de la forêt, notamment :</w:t>
            </w:r>
          </w:p>
          <w:p w:rsidR="0035701C" w:rsidRDefault="00FB561B" w:rsidP="00FB561B">
            <w:pPr>
              <w:numPr>
                <w:ilvl w:val="0"/>
                <w:numId w:val="218"/>
              </w:numPr>
              <w:spacing w:before="240" w:after="0"/>
              <w:ind w:hanging="210"/>
              <w:jc w:val="left"/>
              <w:rPr>
                <w:szCs w:val="24"/>
              </w:rPr>
            </w:pPr>
            <w:r>
              <w:rPr>
                <w:szCs w:val="24"/>
              </w:rPr>
              <w:t>Les exploitants et salariés agricoles</w:t>
            </w:r>
          </w:p>
          <w:p w:rsidR="0035701C" w:rsidRDefault="00FB561B" w:rsidP="00FB561B">
            <w:pPr>
              <w:numPr>
                <w:ilvl w:val="0"/>
                <w:numId w:val="218"/>
              </w:numPr>
              <w:spacing w:before="0" w:after="0"/>
              <w:ind w:hanging="210"/>
              <w:jc w:val="left"/>
              <w:rPr>
                <w:szCs w:val="24"/>
              </w:rPr>
            </w:pPr>
            <w:r>
              <w:rPr>
                <w:szCs w:val="24"/>
              </w:rPr>
              <w:t>Les agriculteurs en phase d’installation porteurs de projets agricoles</w:t>
            </w:r>
          </w:p>
          <w:p w:rsidR="0035701C" w:rsidRDefault="00FB561B" w:rsidP="00FB561B">
            <w:pPr>
              <w:numPr>
                <w:ilvl w:val="0"/>
                <w:numId w:val="218"/>
              </w:numPr>
              <w:spacing w:before="0" w:after="240"/>
              <w:ind w:hanging="210"/>
              <w:jc w:val="left"/>
              <w:rPr>
                <w:szCs w:val="24"/>
              </w:rPr>
            </w:pPr>
            <w:r>
              <w:rPr>
                <w:szCs w:val="24"/>
              </w:rPr>
              <w:t>Les entrepreneurs et salariés du secteur forestier, les propriétaires gestionnaires forestiers.</w:t>
            </w:r>
          </w:p>
          <w:p w:rsidR="0035701C" w:rsidRDefault="00FB561B">
            <w:pPr>
              <w:spacing w:before="240" w:after="240"/>
              <w:jc w:val="left"/>
              <w:rPr>
                <w:szCs w:val="24"/>
              </w:rPr>
            </w:pPr>
            <w:r>
              <w:rPr>
                <w:szCs w:val="24"/>
              </w:rPr>
              <w:t>Description : visites d’exploitations en dehors du territoire Corse d’une durée maximale</w:t>
            </w:r>
            <w:r>
              <w:rPr>
                <w:szCs w:val="24"/>
              </w:rPr>
              <w:t xml:space="preserve"> de 6 jours comprenant des échanges techniques avec d’autres producteurs et/ou organismes en charge du développement agricole ou forestier et en lien direct avec les préoccupations des filières agricoles et forestières insulaires. Ces voyages d’échange con</w:t>
            </w:r>
            <w:r>
              <w:rPr>
                <w:szCs w:val="24"/>
              </w:rPr>
              <w:t>sistent à organiser une rencontre entre d’une part, un groupe de visiteurs et d’autre part un groupe d’accueil dans le but d’échanger et de découvrir de nouvelles techniques, organisations du travail et savoir-faire sur une thématique spécifique. Au-delà d</w:t>
            </w:r>
            <w:r>
              <w:rPr>
                <w:szCs w:val="24"/>
              </w:rPr>
              <w:t>u simple échange d’idée, ces visites permettent de voir des choses concrètes, d’en comprendre l’intérêt pour ensuite les adapter et les appliquer à sa propre réalité. De plus, cette méthode permet de prendre conscience de ses propres compétences et capacit</w:t>
            </w:r>
            <w:r>
              <w:rPr>
                <w:szCs w:val="24"/>
              </w:rPr>
              <w:t>é, favorise l’ouverture d’esprit et l’évolution des pratiques.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 xml:space="preserve">Engagement du bénéficiaire de la subvention : </w:t>
            </w:r>
          </w:p>
          <w:p w:rsidR="0035701C" w:rsidRDefault="00FB561B" w:rsidP="00FB561B">
            <w:pPr>
              <w:numPr>
                <w:ilvl w:val="0"/>
                <w:numId w:val="219"/>
              </w:numPr>
              <w:spacing w:before="240" w:after="240"/>
              <w:ind w:hanging="210"/>
              <w:jc w:val="left"/>
              <w:rPr>
                <w:szCs w:val="24"/>
              </w:rPr>
            </w:pPr>
            <w:r>
              <w:rPr>
                <w:szCs w:val="24"/>
              </w:rPr>
              <w:t>Au retour du voyage, un compte rendu précis et documenté des visites et des échanges devra être réalisé.</w:t>
            </w:r>
          </w:p>
          <w:p w:rsidR="0035701C" w:rsidRDefault="00FB561B">
            <w:pPr>
              <w:spacing w:before="240" w:after="240"/>
              <w:jc w:val="left"/>
              <w:rPr>
                <w:szCs w:val="24"/>
              </w:rPr>
            </w:pPr>
            <w:r>
              <w:rPr>
                <w:szCs w:val="24"/>
              </w:rPr>
              <w:t>De même, une réunion de restitution sur</w:t>
            </w:r>
            <w:r>
              <w:rPr>
                <w:szCs w:val="24"/>
              </w:rPr>
              <w:t xml:space="preserve"> la base du compte rendu devra être organisée à l’attention de tous les acteurs de la filière ou des filières concernées et des organisations partenaires intéressées par la thématique du voyage.</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Participation </w:t>
            </w:r>
            <w:r>
              <w:rPr>
                <w:szCs w:val="24"/>
              </w:rPr>
              <w:t>financière sous la forme de subventions</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Conformément à l’article 59, point 8 du R(UE) N°1305/2014, une dépense cofinancée</w:t>
            </w:r>
          </w:p>
          <w:p w:rsidR="0035701C" w:rsidRDefault="00FB561B">
            <w:pPr>
              <w:spacing w:before="240" w:after="240"/>
              <w:jc w:val="left"/>
              <w:rPr>
                <w:szCs w:val="24"/>
              </w:rPr>
            </w:pPr>
            <w:r>
              <w:rPr>
                <w:szCs w:val="24"/>
              </w:rPr>
              <w:t>par le FEADER n’est pas cofinancée par des fonds structurels.</w:t>
            </w:r>
          </w:p>
          <w:p w:rsidR="0035701C" w:rsidRDefault="00FB561B">
            <w:pPr>
              <w:spacing w:before="240" w:after="240"/>
              <w:jc w:val="left"/>
              <w:rPr>
                <w:szCs w:val="24"/>
              </w:rPr>
            </w:pPr>
            <w:r>
              <w:rPr>
                <w:szCs w:val="24"/>
              </w:rPr>
              <w:t xml:space="preserve">Complémentarité avec le FSE : </w:t>
            </w:r>
            <w:r>
              <w:rPr>
                <w:szCs w:val="24"/>
              </w:rPr>
              <w:t>s’agissant d’actions de démonstration, d’information ou</w:t>
            </w:r>
          </w:p>
          <w:p w:rsidR="0035701C" w:rsidRDefault="00FB561B">
            <w:pPr>
              <w:spacing w:before="240" w:after="240"/>
              <w:jc w:val="left"/>
              <w:rPr>
                <w:szCs w:val="24"/>
              </w:rPr>
            </w:pPr>
            <w:r>
              <w:rPr>
                <w:szCs w:val="24"/>
              </w:rPr>
              <w:t>de diffusion des connaissances directement liées aux activités agricoles, sylvicoles ou agroalimentaires et destinées aux seuls actifs de ces secteurs, le cofinancement relève en totalité du FEADER.</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Type bénéficiaire :</w:t>
            </w:r>
          </w:p>
          <w:p w:rsidR="0035701C" w:rsidRDefault="00FB561B" w:rsidP="00FB561B">
            <w:pPr>
              <w:numPr>
                <w:ilvl w:val="0"/>
                <w:numId w:val="220"/>
              </w:numPr>
              <w:spacing w:before="240" w:after="240"/>
              <w:ind w:hanging="210"/>
              <w:jc w:val="left"/>
              <w:rPr>
                <w:szCs w:val="24"/>
              </w:rPr>
            </w:pPr>
            <w:r>
              <w:rPr>
                <w:szCs w:val="24"/>
              </w:rPr>
              <w:t xml:space="preserve">Les établissements publics ou privés, les associations de producteurs, les interprofessions et tous les organismes intervenant dans le champ de l’information, de la diffusion et du transfert des connaissances </w:t>
            </w:r>
            <w:r>
              <w:rPr>
                <w:szCs w:val="24"/>
              </w:rPr>
              <w:t>scientifiques et techniques et de l’innovation.</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w:t>
            </w:r>
          </w:p>
          <w:p w:rsidR="0035701C" w:rsidRDefault="00FB561B" w:rsidP="00FB561B">
            <w:pPr>
              <w:numPr>
                <w:ilvl w:val="0"/>
                <w:numId w:val="221"/>
              </w:numPr>
              <w:spacing w:before="240" w:after="240"/>
              <w:ind w:hanging="210"/>
              <w:jc w:val="left"/>
              <w:rPr>
                <w:szCs w:val="24"/>
              </w:rPr>
            </w:pPr>
            <w:r>
              <w:rPr>
                <w:szCs w:val="24"/>
              </w:rPr>
              <w:t>Les frais d’organisation, de la mise en œuvre et du suivi de la visite: salaire du personnel de la structure organisatrice de la visite, frais de prestations d’i</w:t>
            </w:r>
            <w:r>
              <w:rPr>
                <w:szCs w:val="24"/>
              </w:rPr>
              <w:t>ntervenants extérieurs lors du déplacement, frais de création et de publication d’outils de diffusion sur le compte rendu de la visite… </w:t>
            </w:r>
          </w:p>
          <w:p w:rsidR="0035701C" w:rsidRDefault="00FB561B" w:rsidP="00FB561B">
            <w:pPr>
              <w:numPr>
                <w:ilvl w:val="0"/>
                <w:numId w:val="222"/>
              </w:numPr>
              <w:spacing w:before="240" w:after="0"/>
              <w:ind w:hanging="210"/>
              <w:jc w:val="left"/>
              <w:rPr>
                <w:szCs w:val="24"/>
              </w:rPr>
            </w:pPr>
            <w:r>
              <w:rPr>
                <w:szCs w:val="24"/>
              </w:rPr>
              <w:t xml:space="preserve">Les coûts des participants  (public cible et personnel de la structure encadrant les visites), à savoir : </w:t>
            </w:r>
          </w:p>
          <w:p w:rsidR="0035701C" w:rsidRDefault="00FB561B" w:rsidP="00FB561B">
            <w:pPr>
              <w:numPr>
                <w:ilvl w:val="1"/>
                <w:numId w:val="222"/>
              </w:numPr>
              <w:spacing w:before="0" w:after="0"/>
              <w:ind w:hanging="244"/>
              <w:jc w:val="left"/>
              <w:rPr>
                <w:szCs w:val="24"/>
              </w:rPr>
            </w:pPr>
            <w:r>
              <w:rPr>
                <w:szCs w:val="24"/>
              </w:rPr>
              <w:t>Les frais de</w:t>
            </w:r>
            <w:r>
              <w:rPr>
                <w:szCs w:val="24"/>
              </w:rPr>
              <w:t xml:space="preserve"> déplacement : sur la base d’un devis préalable adressé et payé directement par l’organisateur de l’action (soit le bénéficiaire de l’opération).</w:t>
            </w:r>
          </w:p>
          <w:p w:rsidR="0035701C" w:rsidRDefault="00FB561B" w:rsidP="00FB561B">
            <w:pPr>
              <w:numPr>
                <w:ilvl w:val="1"/>
                <w:numId w:val="222"/>
              </w:numPr>
              <w:spacing w:before="0" w:after="240"/>
              <w:ind w:hanging="244"/>
              <w:jc w:val="left"/>
              <w:rPr>
                <w:szCs w:val="24"/>
              </w:rPr>
            </w:pPr>
            <w:r>
              <w:rPr>
                <w:szCs w:val="24"/>
              </w:rPr>
              <w:t xml:space="preserve">Les frais de repas et d’hébergement. Ces frais seront remboursés directement à l’organisateur de l’action sur </w:t>
            </w:r>
            <w:r>
              <w:rPr>
                <w:szCs w:val="24"/>
              </w:rPr>
              <w:t>la base du nombre de nuitées et de repas par participant. L'Autorité de Gestion du programme établit par une circulaire les montants plafonds admissibles de ces frais.</w:t>
            </w:r>
          </w:p>
          <w:p w:rsidR="0035701C" w:rsidRDefault="00FB561B">
            <w:pPr>
              <w:spacing w:before="240" w:after="240"/>
              <w:jc w:val="left"/>
              <w:rPr>
                <w:szCs w:val="24"/>
              </w:rPr>
            </w:pPr>
            <w:r>
              <w:rPr>
                <w:szCs w:val="24"/>
              </w:rPr>
              <w:t>Tous les coûts sont payés aux bénéficiaires de l’opération.</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personnes proposées par les bénéficiaires pour organiser et participer aux visites doivent justifier au minimum d’un niveau III de formation ou de dix ans d’expérience professionnelle dans le domaine de l’opération proposée et justifier d’une formatio</w:t>
            </w:r>
            <w:r>
              <w:rPr>
                <w:szCs w:val="24"/>
              </w:rPr>
              <w:t>n continue depuis moins de 5 ans (formation technique, stage d’observation/d’immersion, participation à des séminaires/colloques ou ateliers de travail, action de recherche, formation à distance, etc. peuvent être considérées comme relevant de la formation</w:t>
            </w:r>
            <w:r>
              <w:rPr>
                <w:szCs w:val="24"/>
              </w:rPr>
              <w:t xml:space="preserve"> continue)</w:t>
            </w:r>
          </w:p>
          <w:p w:rsidR="0035701C" w:rsidRDefault="00FB561B">
            <w:pPr>
              <w:spacing w:before="240" w:after="240"/>
              <w:jc w:val="left"/>
              <w:rPr>
                <w:szCs w:val="24"/>
              </w:rPr>
            </w:pPr>
            <w:r>
              <w:rPr>
                <w:szCs w:val="24"/>
              </w:rPr>
              <w:t>Les spécialistes extérieurs doivent justifier d’un niveau II de formation (équivalence pour les pays hors France) ou de dix ans d’expérience professionnelle dans le domaine de l’opération proposée.</w:t>
            </w:r>
          </w:p>
          <w:p w:rsidR="0035701C" w:rsidRDefault="0035701C">
            <w:pPr>
              <w:pStyle w:val="Corpsdetexte"/>
            </w:pPr>
          </w:p>
        </w:tc>
      </w:tr>
    </w:tbl>
    <w:p w:rsidR="0035701C" w:rsidRDefault="00FB561B">
      <w:pPr>
        <w:pStyle w:val="Titre6"/>
      </w:pPr>
      <w:r>
        <w:t xml:space="preserve">Principes applicables à l'établissement des </w:t>
      </w:r>
      <w:r>
        <w:t>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organismes seront sélectionnés dans le cadre d’appels à projets.</w:t>
            </w:r>
          </w:p>
          <w:p w:rsidR="0035701C" w:rsidRDefault="00FB561B">
            <w:pPr>
              <w:spacing w:before="240" w:after="240"/>
              <w:jc w:val="left"/>
              <w:rPr>
                <w:szCs w:val="24"/>
              </w:rPr>
            </w:pPr>
            <w:r>
              <w:rPr>
                <w:szCs w:val="24"/>
              </w:rPr>
              <w:t>La sélection sera établie en pondérant des critères relatifs en particulier aux éléments suivants:</w:t>
            </w:r>
          </w:p>
          <w:p w:rsidR="0035701C" w:rsidRDefault="00FB561B" w:rsidP="00FB561B">
            <w:pPr>
              <w:numPr>
                <w:ilvl w:val="0"/>
                <w:numId w:val="223"/>
              </w:numPr>
              <w:spacing w:before="240" w:after="240"/>
              <w:ind w:hanging="210"/>
              <w:jc w:val="left"/>
              <w:rPr>
                <w:szCs w:val="24"/>
              </w:rPr>
            </w:pPr>
            <w:r>
              <w:rPr>
                <w:szCs w:val="24"/>
              </w:rPr>
              <w:t>Adéquation de la visite proposée au regard des objectifs de l’appe</w:t>
            </w:r>
            <w:r>
              <w:rPr>
                <w:szCs w:val="24"/>
              </w:rPr>
              <w:t>l à projet </w:t>
            </w:r>
          </w:p>
          <w:p w:rsidR="0035701C" w:rsidRDefault="00FB561B" w:rsidP="00FB561B">
            <w:pPr>
              <w:numPr>
                <w:ilvl w:val="0"/>
                <w:numId w:val="224"/>
              </w:numPr>
              <w:spacing w:before="240" w:after="240"/>
              <w:ind w:hanging="210"/>
              <w:jc w:val="left"/>
              <w:rPr>
                <w:szCs w:val="24"/>
              </w:rPr>
            </w:pPr>
            <w:r>
              <w:rPr>
                <w:szCs w:val="24"/>
              </w:rPr>
              <w:t>Pertinence du programme des visites et des interventions prévues (nature et cohérence de la région visitée et des exploitations retenues au regard de la stratégie de la filière, intervention de spécialistes externes sur place…)</w:t>
            </w:r>
          </w:p>
          <w:p w:rsidR="0035701C" w:rsidRDefault="00FB561B" w:rsidP="00FB561B">
            <w:pPr>
              <w:numPr>
                <w:ilvl w:val="0"/>
                <w:numId w:val="225"/>
              </w:numPr>
              <w:spacing w:before="240" w:after="0"/>
              <w:ind w:hanging="210"/>
              <w:jc w:val="left"/>
              <w:rPr>
                <w:szCs w:val="24"/>
              </w:rPr>
            </w:pPr>
            <w:r>
              <w:rPr>
                <w:szCs w:val="24"/>
              </w:rPr>
              <w:t>Type du public c</w:t>
            </w:r>
            <w:r>
              <w:rPr>
                <w:szCs w:val="24"/>
              </w:rPr>
              <w:t>ible (représentativité et diversité des participants, présence de JA…) </w:t>
            </w:r>
          </w:p>
          <w:p w:rsidR="0035701C" w:rsidRDefault="00FB561B" w:rsidP="00FB561B">
            <w:pPr>
              <w:numPr>
                <w:ilvl w:val="0"/>
                <w:numId w:val="225"/>
              </w:numPr>
              <w:spacing w:before="0" w:after="240"/>
              <w:ind w:hanging="210"/>
              <w:jc w:val="left"/>
              <w:rPr>
                <w:szCs w:val="24"/>
              </w:rPr>
            </w:pPr>
            <w:r>
              <w:rPr>
                <w:szCs w:val="24"/>
              </w:rPr>
              <w:t>Coût</w:t>
            </w:r>
          </w:p>
          <w:p w:rsidR="0035701C" w:rsidRDefault="00FB561B" w:rsidP="00FB561B">
            <w:pPr>
              <w:numPr>
                <w:ilvl w:val="0"/>
                <w:numId w:val="226"/>
              </w:numPr>
              <w:spacing w:before="240" w:after="240"/>
              <w:ind w:hanging="210"/>
              <w:jc w:val="left"/>
              <w:rPr>
                <w:szCs w:val="24"/>
              </w:rPr>
            </w:pPr>
            <w:r>
              <w:rPr>
                <w:szCs w:val="24"/>
              </w:rPr>
              <w:t>Caractère innovant des pratiques pour le public cible </w:t>
            </w:r>
          </w:p>
          <w:p w:rsidR="0035701C" w:rsidRDefault="00FB561B">
            <w:pPr>
              <w:spacing w:before="240" w:after="240"/>
              <w:jc w:val="left"/>
              <w:rPr>
                <w:szCs w:val="24"/>
              </w:rPr>
            </w:pPr>
            <w:r>
              <w:rPr>
                <w:szCs w:val="24"/>
              </w:rPr>
              <w:t>Un système de points permettant le classement des projets de même que la fixation d'un seuil minimal pour accéder au soutien</w:t>
            </w:r>
            <w:r>
              <w:rPr>
                <w:szCs w:val="24"/>
              </w:rPr>
              <w:t xml:space="preserve"> sera fixé dans l’Appel à Projets.</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Taux d'aide : 90%</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 xml:space="preserve">Dialogue AG/OP sur l’évolution du contenu </w:t>
            </w:r>
            <w:r>
              <w:rPr>
                <w:szCs w:val="24"/>
                <w:u w:val="single"/>
              </w:rPr>
              <w:t>de la mesure</w:t>
            </w:r>
          </w:p>
          <w:p w:rsidR="0035701C" w:rsidRDefault="00FB561B" w:rsidP="00FB561B">
            <w:pPr>
              <w:numPr>
                <w:ilvl w:val="0"/>
                <w:numId w:val="227"/>
              </w:numPr>
              <w:spacing w:before="240" w:after="0"/>
              <w:ind w:hanging="210"/>
              <w:jc w:val="left"/>
              <w:rPr>
                <w:szCs w:val="24"/>
              </w:rPr>
            </w:pPr>
            <w:r>
              <w:rPr>
                <w:szCs w:val="24"/>
              </w:rPr>
              <w:t>L'OP a demandé que soient bien décrits les organismes susceptibles d'être bénéficiaires de cette opération. Les éléments de Droit, les précisions sur l'organisation de la formation professionnelle dans l'Etat Membre, ainsi que le détail des él</w:t>
            </w:r>
            <w:r>
              <w:rPr>
                <w:szCs w:val="24"/>
              </w:rPr>
              <w:t>éments de réponse à fournir sur les appels à projet sont pleinement satisfaisants.</w:t>
            </w:r>
          </w:p>
          <w:p w:rsidR="0035701C" w:rsidRDefault="00FB561B" w:rsidP="00FB561B">
            <w:pPr>
              <w:numPr>
                <w:ilvl w:val="0"/>
                <w:numId w:val="227"/>
              </w:numPr>
              <w:spacing w:before="0" w:after="0"/>
              <w:ind w:hanging="210"/>
              <w:jc w:val="left"/>
              <w:rPr>
                <w:szCs w:val="24"/>
              </w:rPr>
            </w:pPr>
            <w:r>
              <w:rPr>
                <w:szCs w:val="24"/>
              </w:rPr>
              <w:t>Lors du dialogue le public cible des chefs d'entreprise d'industrie agroalimentaire a été pris en compte.</w:t>
            </w:r>
          </w:p>
          <w:p w:rsidR="0035701C" w:rsidRDefault="00FB561B" w:rsidP="00FB561B">
            <w:pPr>
              <w:numPr>
                <w:ilvl w:val="0"/>
                <w:numId w:val="227"/>
              </w:numPr>
              <w:spacing w:before="0" w:after="240"/>
              <w:ind w:hanging="210"/>
              <w:jc w:val="left"/>
              <w:rPr>
                <w:szCs w:val="24"/>
              </w:rPr>
            </w:pPr>
            <w:r>
              <w:rPr>
                <w:szCs w:val="24"/>
              </w:rPr>
              <w:t>Concernant les principes de sélection tels que décrits dans le PDRC</w:t>
            </w:r>
            <w:r>
              <w:rPr>
                <w:szCs w:val="24"/>
              </w:rPr>
              <w:t xml:space="preserve">, l’OP a recommandé que leurs modalités d’application soient établies sur la base d’éléments vérifiables et contrôlables. Après avoir pris connaissance des précisions apportées au présent texte, l'Organisme Payeur considère que ce document permet de lever </w:t>
            </w:r>
            <w:r>
              <w:rPr>
                <w:szCs w:val="24"/>
              </w:rPr>
              <w:t>l'ensemble de ces interrogations. L’Organisme Payeur ne formule donc plus de réserves sur ce point.</w:t>
            </w:r>
          </w:p>
          <w:p w:rsidR="0035701C" w:rsidRDefault="00FB561B">
            <w:pPr>
              <w:spacing w:before="240" w:after="240"/>
              <w:jc w:val="left"/>
              <w:rPr>
                <w:szCs w:val="24"/>
              </w:rPr>
            </w:pPr>
            <w:r>
              <w:rPr>
                <w:szCs w:val="24"/>
                <w:u w:val="single"/>
              </w:rPr>
              <w:t>Risques identifiés selon la méthodologie présentée par l’OP (cf. chapitre 18)</w:t>
            </w:r>
          </w:p>
          <w:p w:rsidR="0035701C" w:rsidRDefault="00FB561B">
            <w:pPr>
              <w:spacing w:before="240" w:after="240"/>
              <w:jc w:val="left"/>
              <w:rPr>
                <w:szCs w:val="24"/>
              </w:rPr>
            </w:pPr>
            <w:r>
              <w:rPr>
                <w:szCs w:val="24"/>
              </w:rPr>
              <w:t>n°1 - R4 : VERIFIER Pour tous les bénéficiaires et par tous moyens la viabilit</w:t>
            </w:r>
            <w:r>
              <w:rPr>
                <w:szCs w:val="24"/>
              </w:rPr>
              <w:t>é et la pérennité de la structure.</w:t>
            </w:r>
          </w:p>
          <w:p w:rsidR="0035701C" w:rsidRDefault="00FB561B">
            <w:pPr>
              <w:spacing w:before="240" w:after="240"/>
              <w:jc w:val="left"/>
              <w:rPr>
                <w:szCs w:val="24"/>
              </w:rPr>
            </w:pPr>
            <w:r>
              <w:rPr>
                <w:szCs w:val="24"/>
              </w:rPr>
              <w:t>n°2 - R10 : VERIFIER Principalement pour les frais d'organisation et de visite de bien détailler les coûts, les indemnités journalières, frais de déplacements, coûts salariaux, modalités d'enregistrement et de suivi des p</w:t>
            </w:r>
            <w:r>
              <w:rPr>
                <w:szCs w:val="24"/>
              </w:rPr>
              <w:t>articipants…</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R4 : VERIFIER Pour tous les bénéficiaires et par tous moyens la viabilité et la pérennité de la structure.</w:t>
            </w:r>
          </w:p>
          <w:p w:rsidR="0035701C" w:rsidRDefault="00FB561B">
            <w:pPr>
              <w:spacing w:before="240" w:after="240"/>
              <w:jc w:val="left"/>
              <w:rPr>
                <w:szCs w:val="24"/>
              </w:rPr>
            </w:pPr>
            <w:r>
              <w:rPr>
                <w:szCs w:val="24"/>
              </w:rPr>
              <w:t xml:space="preserve">n°2 - R10 : VERIFIER Principalement pour les frais d'organisation et de visite de bien détailler les </w:t>
            </w:r>
            <w:r>
              <w:rPr>
                <w:szCs w:val="24"/>
              </w:rPr>
              <w:t>coûts, les indemnités journalières, frais de déplacements, coûts salariaux, modalités d'enregistrement et de suivi des participants…</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Au vu des cotations matricielles, sur le poids financier de la mesure (&lt;5%), sur les prio</w:t>
            </w:r>
            <w:r>
              <w:rPr>
                <w:szCs w:val="24"/>
              </w:rPr>
              <w:t>rités, les risques, les mesures d’atténuation prévues, cette mesure reçoit une évaluation  favorable peu risquée ; Les mécanismes de mise en œuvre sont connus et maîtrisés par tous les acteurs,  les programmations précédentes n’ont pas suscité de problèmes</w:t>
            </w:r>
            <w:r>
              <w:rPr>
                <w:szCs w:val="24"/>
              </w:rPr>
              <w:t xml:space="preserve"> particuliers.</w:t>
            </w:r>
          </w:p>
          <w:p w:rsidR="0035701C" w:rsidRDefault="00FB561B">
            <w:pPr>
              <w:spacing w:before="240" w:after="240"/>
              <w:jc w:val="left"/>
              <w:rPr>
                <w:szCs w:val="24"/>
              </w:rPr>
            </w:pPr>
            <w:r>
              <w:rPr>
                <w:szCs w:val="24"/>
              </w:rPr>
              <w:t>Concernant l'évaluation globale de la mesure : la mesure est contrôlable sous réserve de la mise en place d'actions d'atténuation et des précisions apportées dans les documents de mise en œuvre notamment sur la nécessité de fixer des barèmes</w:t>
            </w:r>
            <w:r>
              <w:rPr>
                <w:szCs w:val="24"/>
              </w:rPr>
              <w:t xml:space="preserve"> pour les frais de déplacements, les précisions sur les coûts salariaux pris en charge, les justificatifs de présence.</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Définition des capacités </w:t>
      </w:r>
      <w:r>
        <w:t>appropriées des organismes fournissant des services de transfert de connaissances en termes de qualifications du personnel et de formation régulière pour mener à bien leurs tâches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Le bénéficiaire de l’action doit décliner le CV du personnel organisateur e</w:t>
            </w:r>
            <w:r>
              <w:rPr>
                <w:szCs w:val="24"/>
              </w:rPr>
              <w:t>t participant aux visites (qualité des diplômes ou titres ou certificats de qualification professionnelle, expérience et formation continue), en cohérence avec l’opération proposée. Le CV sera utilisé pour analyser les deux champs suivants :</w:t>
            </w:r>
          </w:p>
          <w:p w:rsidR="0035701C" w:rsidRDefault="00FB561B" w:rsidP="00FB561B">
            <w:pPr>
              <w:numPr>
                <w:ilvl w:val="0"/>
                <w:numId w:val="228"/>
              </w:numPr>
              <w:spacing w:before="240" w:after="0"/>
              <w:ind w:hanging="210"/>
              <w:jc w:val="left"/>
              <w:rPr>
                <w:szCs w:val="24"/>
              </w:rPr>
            </w:pPr>
            <w:r>
              <w:rPr>
                <w:b/>
                <w:bCs/>
                <w:szCs w:val="24"/>
              </w:rPr>
              <w:t>Niveaux de qua</w:t>
            </w:r>
            <w:r>
              <w:rPr>
                <w:b/>
                <w:bCs/>
                <w:szCs w:val="24"/>
              </w:rPr>
              <w:t>lification du personnel engagé dans l’action</w:t>
            </w:r>
            <w:r>
              <w:rPr>
                <w:szCs w:val="24"/>
              </w:rPr>
              <w:t>: les personnes proposées pour mener l’action doivent justifier au minimum d’un niveau III de formation (diplôme ou titre ou certificat de qualification professionnelle enregistré au Répertoire National des Certi</w:t>
            </w:r>
            <w:r>
              <w:rPr>
                <w:szCs w:val="24"/>
              </w:rPr>
              <w:t>fications Professionnelles) ou de dix ans d’expérience professionnelle dans le domaine de l’opération proposée.</w:t>
            </w:r>
          </w:p>
          <w:p w:rsidR="0035701C" w:rsidRDefault="00FB561B" w:rsidP="00FB561B">
            <w:pPr>
              <w:numPr>
                <w:ilvl w:val="0"/>
                <w:numId w:val="228"/>
              </w:numPr>
              <w:spacing w:before="0" w:after="240"/>
              <w:ind w:hanging="210"/>
              <w:jc w:val="left"/>
              <w:rPr>
                <w:szCs w:val="24"/>
              </w:rPr>
            </w:pPr>
            <w:r>
              <w:rPr>
                <w:b/>
                <w:bCs/>
                <w:szCs w:val="24"/>
              </w:rPr>
              <w:t>Expérience et formation continue du personnel engagé dans l’action</w:t>
            </w:r>
            <w:r>
              <w:rPr>
                <w:szCs w:val="24"/>
              </w:rPr>
              <w:t>: le bénéficiaire de l’action apporte la preuve que les personnels proposés ma</w:t>
            </w:r>
            <w:r>
              <w:rPr>
                <w:szCs w:val="24"/>
              </w:rPr>
              <w:t>intiennent et développent leurs compétences et connaissances à travers le plan de formation interne des personnels et/ou via la liste des formations continues suivies par chacun des intervenants depuis 5 ans (formation technique, stage d’observation/d’imme</w:t>
            </w:r>
            <w:r>
              <w:rPr>
                <w:szCs w:val="24"/>
              </w:rPr>
              <w:t>rsion, participation à des séminaires/colloques ou ateliers de travail, action de recherche, formation à distance, etc. peuvent être considérées comme relevant de la formation continue). Les attestations correspondantes pourront être demandées.</w:t>
            </w:r>
          </w:p>
          <w:p w:rsidR="0035701C" w:rsidRDefault="00FB561B">
            <w:pPr>
              <w:spacing w:before="240" w:after="240"/>
              <w:jc w:val="left"/>
              <w:rPr>
                <w:szCs w:val="24"/>
              </w:rPr>
            </w:pPr>
            <w:r>
              <w:rPr>
                <w:szCs w:val="24"/>
              </w:rPr>
              <w:t xml:space="preserve">Concernant </w:t>
            </w:r>
            <w:r>
              <w:rPr>
                <w:szCs w:val="24"/>
              </w:rPr>
              <w:t>les éventuels spécialistes extérieurs qui seraient amenés à intervenir lors des visites d’échanges, ils devront justifier d’un niveau II de formation (diplôme ou titre ou certificat de  qualification professionnelle enregistré au Répertoire National des Ce</w:t>
            </w:r>
            <w:r>
              <w:rPr>
                <w:szCs w:val="24"/>
              </w:rPr>
              <w:t>rtifications Professionnelles- équivalence pays hors France) ou de dix ans d’expérience professionnelle dans le domaine de l’opération proposée.</w:t>
            </w:r>
          </w:p>
          <w:p w:rsidR="0035701C" w:rsidRDefault="0035701C">
            <w:pPr>
              <w:pStyle w:val="Corpsdetexte"/>
            </w:pPr>
          </w:p>
        </w:tc>
      </w:tr>
    </w:tbl>
    <w:p w:rsidR="0035701C" w:rsidRDefault="00FB561B">
      <w:r>
        <w:t xml:space="preserve">Définition de la durée et du contenu des programmes d'échanges et des visites d'exploitations agricoles ou </w:t>
      </w:r>
      <w:r>
        <w:t>forestières, visés à l’article 3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La durée maximale des visites est de 6 jours, déplacement compris. Les visites portent sur des échanges techniques avec d’autres producteurs et/ou organismes en charge du développement </w:t>
            </w:r>
            <w:r>
              <w:rPr>
                <w:szCs w:val="24"/>
              </w:rPr>
              <w:t>agricole ou forestier et en lien direct avec les préoccupations des filières agricoles et forestières insulaires :  notamment pour ce qui concerne les nouvelles techniques de production ou de transformation, et l'organisation du travail.</w:t>
            </w:r>
          </w:p>
          <w:p w:rsidR="0035701C" w:rsidRDefault="0035701C">
            <w:pPr>
              <w:pStyle w:val="Corpsdetexte"/>
            </w:pPr>
          </w:p>
        </w:tc>
      </w:tr>
    </w:tbl>
    <w:p w:rsidR="0035701C" w:rsidRDefault="00FB561B">
      <w:pPr>
        <w:pStyle w:val="Titre4"/>
        <w:jc w:val="left"/>
      </w:pPr>
      <w:r>
        <w:t>Caractère vérifi</w:t>
      </w:r>
      <w:r>
        <w:t>able et contrôlable des mesures et/ou types d'opérations</w:t>
      </w:r>
    </w:p>
    <w:p w:rsidR="0035701C" w:rsidRDefault="00FB561B">
      <w:pPr>
        <w:pStyle w:val="Titre5"/>
        <w:rPr>
          <w:b w:val="0"/>
        </w:rPr>
      </w:pPr>
      <w:r>
        <w:rPr>
          <w:b w:val="0"/>
        </w:rPr>
        <w:t>Risque(s) dans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4"/>
        <w:jc w:val="left"/>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4"/>
        <w:jc w:val="left"/>
      </w:pPr>
      <w:r>
        <w:t xml:space="preserve">Informations </w:t>
      </w:r>
      <w:r>
        <w:t>spécifiques sur la mesure</w:t>
      </w:r>
    </w:p>
    <w:p w:rsidR="0035701C" w:rsidRDefault="00FB561B">
      <w:r>
        <w:t>Définition des capacités appropriées des organismes fournissant des services de transfert de connaissances en termes de qualifications du personnel et de formation régulière pour mener à bien leurs tâches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Pour la sélection de l’Or</w:t>
            </w:r>
            <w:r>
              <w:rPr>
                <w:szCs w:val="24"/>
              </w:rPr>
              <w:t>ganisme de formation, les éléments suivants seront appliqués :</w:t>
            </w:r>
          </w:p>
          <w:p w:rsidR="0035701C" w:rsidRDefault="00FB561B" w:rsidP="00FB561B">
            <w:pPr>
              <w:numPr>
                <w:ilvl w:val="0"/>
                <w:numId w:val="229"/>
              </w:numPr>
              <w:spacing w:before="240" w:after="0"/>
              <w:ind w:hanging="210"/>
              <w:jc w:val="left"/>
              <w:rPr>
                <w:szCs w:val="24"/>
              </w:rPr>
            </w:pPr>
            <w:r>
              <w:rPr>
                <w:szCs w:val="24"/>
              </w:rPr>
              <w:t>nature et cohérence de la qualification du formateur ou des formateurs qui interviennent dans la formation avec l’objet de la formation.</w:t>
            </w:r>
          </w:p>
          <w:p w:rsidR="0035701C" w:rsidRDefault="00FB561B" w:rsidP="00FB561B">
            <w:pPr>
              <w:numPr>
                <w:ilvl w:val="0"/>
                <w:numId w:val="229"/>
              </w:numPr>
              <w:spacing w:before="0" w:after="0"/>
              <w:ind w:hanging="210"/>
              <w:jc w:val="left"/>
              <w:rPr>
                <w:szCs w:val="24"/>
              </w:rPr>
            </w:pPr>
            <w:r>
              <w:rPr>
                <w:szCs w:val="24"/>
              </w:rPr>
              <w:t>mise à niveau des formateurs et maintien de leurs compét</w:t>
            </w:r>
            <w:r>
              <w:rPr>
                <w:szCs w:val="24"/>
              </w:rPr>
              <w:t>ences sur les 5 dernières années.</w:t>
            </w:r>
          </w:p>
          <w:p w:rsidR="0035701C" w:rsidRDefault="00FB561B" w:rsidP="00FB561B">
            <w:pPr>
              <w:numPr>
                <w:ilvl w:val="0"/>
                <w:numId w:val="229"/>
              </w:numPr>
              <w:spacing w:before="0" w:after="240"/>
              <w:ind w:hanging="210"/>
              <w:jc w:val="left"/>
              <w:rPr>
                <w:szCs w:val="24"/>
              </w:rPr>
            </w:pPr>
            <w:r>
              <w:rPr>
                <w:szCs w:val="24"/>
              </w:rPr>
              <w:t>Existence d’un personnel suffisant par rapport à l’ampleur de la prestation de formation</w:t>
            </w:r>
          </w:p>
          <w:p w:rsidR="0035701C" w:rsidRDefault="0035701C">
            <w:pPr>
              <w:pStyle w:val="Corpsdetexte"/>
            </w:pPr>
          </w:p>
        </w:tc>
      </w:tr>
    </w:tbl>
    <w:p w:rsidR="0035701C" w:rsidRDefault="00FB561B">
      <w:pPr>
        <w:spacing w:after="100"/>
      </w:pPr>
      <w:r>
        <w:t xml:space="preserve">Définition de la durée et du contenu des programmes d'échanges et des visites d'exploitations agricoles ou forestières, visés à </w:t>
      </w:r>
      <w:r>
        <w:t>l’article 3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spacing w:after="100"/>
            </w:pPr>
          </w:p>
        </w:tc>
      </w:tr>
    </w:tbl>
    <w:p w:rsidR="0035701C" w:rsidRDefault="00FB561B">
      <w:pPr>
        <w:pStyle w:val="Titre4"/>
        <w:spacing w:after="100"/>
        <w:jc w:val="left"/>
      </w:pPr>
      <w:r>
        <w:t>Autres remarques importantes pour comprendre et mettre en œuvre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Organisation de la formation continue en France : </w:t>
            </w:r>
          </w:p>
          <w:p w:rsidR="0035701C" w:rsidRDefault="00FB561B">
            <w:pPr>
              <w:spacing w:before="240" w:after="240"/>
              <w:jc w:val="left"/>
              <w:rPr>
                <w:szCs w:val="24"/>
              </w:rPr>
            </w:pPr>
            <w:r>
              <w:rPr>
                <w:szCs w:val="24"/>
              </w:rPr>
              <w:t>En France, chaque employeur de droit privé est soumis à une obligation de finan</w:t>
            </w:r>
            <w:r>
              <w:rPr>
                <w:szCs w:val="24"/>
              </w:rPr>
              <w:t>cement de la formation professionnelle continue. Les versements au titre de la professionnalisation sont obligatoires, quelle que soit la taille de l’entreprise, et les fonds sont mutualisés par un organisme collecteur agréé par l’État.</w:t>
            </w:r>
          </w:p>
          <w:p w:rsidR="0035701C" w:rsidRDefault="00FB561B">
            <w:pPr>
              <w:spacing w:before="240" w:after="240"/>
              <w:jc w:val="left"/>
              <w:rPr>
                <w:szCs w:val="24"/>
              </w:rPr>
            </w:pPr>
            <w:r>
              <w:rPr>
                <w:szCs w:val="24"/>
              </w:rPr>
              <w:t>Ces organismes sont</w:t>
            </w:r>
            <w:r>
              <w:rPr>
                <w:szCs w:val="24"/>
              </w:rPr>
              <w:t xml:space="preserve"> spécialisés selon les branches professionnelles ou le type d’actifs (chefs d’exploitation agricole ou forestière, salariés de l’agriculture, de la forêt, de l’agroalimentaire ou de PME du secteur rural). Ils peuvent donc être Organismes Paritaires Collect</w:t>
            </w:r>
            <w:r>
              <w:rPr>
                <w:szCs w:val="24"/>
              </w:rPr>
              <w:t>eurs Agréés (OPCA), lorsque les fonds sont destinés à la formation des salariés, ou simplement Organismes Collecteurs Agréés pour les non salariés.</w:t>
            </w:r>
          </w:p>
          <w:p w:rsidR="0035701C" w:rsidRDefault="00FB561B">
            <w:pPr>
              <w:spacing w:before="240" w:after="240"/>
              <w:jc w:val="left"/>
              <w:rPr>
                <w:szCs w:val="24"/>
              </w:rPr>
            </w:pPr>
            <w:r>
              <w:rPr>
                <w:szCs w:val="24"/>
              </w:rPr>
              <w:t>Leur mission est rappelée dans la loi du 5 mars 2014 relative à la formation professionnelle :</w:t>
            </w:r>
          </w:p>
          <w:p w:rsidR="0035701C" w:rsidRDefault="00FB561B">
            <w:pPr>
              <w:spacing w:before="240" w:after="240"/>
              <w:jc w:val="left"/>
              <w:rPr>
                <w:szCs w:val="24"/>
              </w:rPr>
            </w:pPr>
            <w:r>
              <w:rPr>
                <w:szCs w:val="24"/>
              </w:rPr>
              <w:t>« Les organis</w:t>
            </w:r>
            <w:r>
              <w:rPr>
                <w:szCs w:val="24"/>
              </w:rPr>
              <w:t>mes collecteurs paritaires agréés ont pour mission :</w:t>
            </w:r>
          </w:p>
          <w:p w:rsidR="0035701C" w:rsidRDefault="00FB561B" w:rsidP="00FB561B">
            <w:pPr>
              <w:numPr>
                <w:ilvl w:val="0"/>
                <w:numId w:val="230"/>
              </w:numPr>
              <w:spacing w:before="240" w:after="0"/>
              <w:ind w:hanging="280"/>
              <w:jc w:val="left"/>
              <w:rPr>
                <w:szCs w:val="24"/>
              </w:rPr>
            </w:pPr>
            <w:r>
              <w:rPr>
                <w:szCs w:val="24"/>
              </w:rPr>
              <w:t>De contribuer au développement de la formation professionnelle continue et de l'apprentissage ;</w:t>
            </w:r>
          </w:p>
          <w:p w:rsidR="0035701C" w:rsidRDefault="00FB561B" w:rsidP="00FB561B">
            <w:pPr>
              <w:numPr>
                <w:ilvl w:val="0"/>
                <w:numId w:val="230"/>
              </w:numPr>
              <w:spacing w:before="0" w:after="0"/>
              <w:ind w:hanging="280"/>
              <w:jc w:val="left"/>
              <w:rPr>
                <w:szCs w:val="24"/>
              </w:rPr>
            </w:pPr>
            <w:r>
              <w:rPr>
                <w:szCs w:val="24"/>
              </w:rPr>
              <w:t>D'informer, de sensibiliser et d'accompagner les entreprises dans l'analyse et la définition de leurs besoi</w:t>
            </w:r>
            <w:r>
              <w:rPr>
                <w:szCs w:val="24"/>
              </w:rPr>
              <w:t>ns en matière de formation professionnelle ;</w:t>
            </w:r>
          </w:p>
          <w:p w:rsidR="0035701C" w:rsidRDefault="00FB561B" w:rsidP="00FB561B">
            <w:pPr>
              <w:numPr>
                <w:ilvl w:val="0"/>
                <w:numId w:val="230"/>
              </w:numPr>
              <w:spacing w:before="0" w:after="0"/>
              <w:ind w:hanging="280"/>
              <w:jc w:val="left"/>
              <w:rPr>
                <w:szCs w:val="24"/>
              </w:rPr>
            </w:pPr>
            <w:r>
              <w:rPr>
                <w:szCs w:val="24"/>
              </w:rPr>
              <w:t xml:space="preserve">De participer à l'identification des compétences et des qualifications mobilisables au sein de l'entreprise et à la définition des besoins collectifs et individuels au regard de la stratégie de l'entreprise, en </w:t>
            </w:r>
            <w:r>
              <w:rPr>
                <w:szCs w:val="24"/>
              </w:rPr>
              <w:t>prenant en compte les objectifs définis par les accords de gestion prévisionnelle des emplois et des compétences.</w:t>
            </w:r>
          </w:p>
          <w:p w:rsidR="0035701C" w:rsidRDefault="00FB561B" w:rsidP="00FB561B">
            <w:pPr>
              <w:numPr>
                <w:ilvl w:val="0"/>
                <w:numId w:val="230"/>
              </w:numPr>
              <w:spacing w:before="0" w:after="240"/>
              <w:ind w:hanging="280"/>
              <w:jc w:val="left"/>
              <w:rPr>
                <w:szCs w:val="24"/>
              </w:rPr>
            </w:pPr>
            <w:r>
              <w:rPr>
                <w:szCs w:val="24"/>
              </w:rPr>
              <w:t>De s'assurer de la qualité des formations dispensées, notamment en luttant contre les dérives thérapeutiques et sectaires. »</w:t>
            </w:r>
          </w:p>
          <w:p w:rsidR="0035701C" w:rsidRDefault="00FB561B">
            <w:pPr>
              <w:spacing w:before="240" w:after="240"/>
              <w:jc w:val="left"/>
              <w:rPr>
                <w:szCs w:val="24"/>
              </w:rPr>
            </w:pPr>
            <w:r>
              <w:rPr>
                <w:szCs w:val="24"/>
              </w:rPr>
              <w:t xml:space="preserve">Ils ont ainsi un </w:t>
            </w:r>
            <w:r>
              <w:rPr>
                <w:szCs w:val="24"/>
              </w:rPr>
              <w:t>rôle actif dans la mise en œuvre des programmes de formation.</w:t>
            </w:r>
          </w:p>
          <w:p w:rsidR="0035701C" w:rsidRDefault="00FB561B">
            <w:pPr>
              <w:spacing w:before="240" w:after="240"/>
              <w:jc w:val="left"/>
              <w:rPr>
                <w:szCs w:val="24"/>
              </w:rPr>
            </w:pPr>
            <w:r>
              <w:rPr>
                <w:b/>
                <w:bCs/>
                <w:szCs w:val="24"/>
              </w:rPr>
              <w:t xml:space="preserve">Obligations assignées au bénéficiaire de la subvention : </w:t>
            </w:r>
          </w:p>
          <w:p w:rsidR="0035701C" w:rsidRDefault="00FB561B" w:rsidP="00FB561B">
            <w:pPr>
              <w:numPr>
                <w:ilvl w:val="0"/>
                <w:numId w:val="231"/>
              </w:numPr>
              <w:spacing w:before="240" w:after="0"/>
              <w:ind w:hanging="210"/>
              <w:jc w:val="left"/>
              <w:rPr>
                <w:szCs w:val="24"/>
              </w:rPr>
            </w:pPr>
            <w:r>
              <w:rPr>
                <w:szCs w:val="24"/>
              </w:rPr>
              <w:t>En fin de formation, le bénéficiaire devra organiser l’évaluation de la formation par les stagiaires. Cette évaluation sera tenue à disp</w:t>
            </w:r>
            <w:r>
              <w:rPr>
                <w:szCs w:val="24"/>
              </w:rPr>
              <w:t>osition de l’autorité de gestion </w:t>
            </w:r>
          </w:p>
          <w:p w:rsidR="0035701C" w:rsidRDefault="00FB561B" w:rsidP="00FB561B">
            <w:pPr>
              <w:numPr>
                <w:ilvl w:val="0"/>
                <w:numId w:val="231"/>
              </w:numPr>
              <w:spacing w:before="0" w:after="0"/>
              <w:ind w:hanging="210"/>
              <w:jc w:val="left"/>
              <w:rPr>
                <w:szCs w:val="24"/>
              </w:rPr>
            </w:pPr>
            <w:r>
              <w:rPr>
                <w:szCs w:val="24"/>
              </w:rPr>
              <w:t>Le bénéficiaire devra enregistrer l’identité et les coordonnées des stagiaires, ainsi que la présence avec l’émargement par demi-journée de stage ;</w:t>
            </w:r>
          </w:p>
          <w:p w:rsidR="0035701C" w:rsidRDefault="00FB561B" w:rsidP="00FB561B">
            <w:pPr>
              <w:numPr>
                <w:ilvl w:val="0"/>
                <w:numId w:val="231"/>
              </w:numPr>
              <w:spacing w:before="0" w:after="240"/>
              <w:ind w:hanging="210"/>
              <w:jc w:val="left"/>
              <w:rPr>
                <w:szCs w:val="24"/>
              </w:rPr>
            </w:pPr>
            <w:r>
              <w:rPr>
                <w:szCs w:val="24"/>
              </w:rPr>
              <w:t xml:space="preserve">Pour éviter toute entrave aux règles de la concurrence, les OPCA/FAF </w:t>
            </w:r>
            <w:r>
              <w:rPr>
                <w:szCs w:val="24"/>
              </w:rPr>
              <w:t>doivent externaliser ces activités. Cette externalisation prend la forme de marchés passés en application de l’ordonnance n° 2005-649 du 6 juin 2005 (article 3) et du décret d’application n° 2005-1742 du 30 décembre 2005 (articles 9 &amp; 10), relatifs aux mar</w:t>
            </w:r>
            <w:r>
              <w:rPr>
                <w:szCs w:val="24"/>
              </w:rPr>
              <w:t>chés passés par certaines personnes publiques ou privées non soumises au code des marchés publics. Cette réglementation leur permet de passer leurs marchés de formation en marchés à procédure adaptée (MAPA). L’OPCA/FAF externalise par voie d’appel d’offres</w:t>
            </w:r>
            <w:r>
              <w:rPr>
                <w:szCs w:val="24"/>
              </w:rPr>
              <w:t>, la partie du marché relative à la mise en œuvre directe des actions de formation. Ainsi, lorsqu’elle retient un OPCA/FAF comme bénéficiaire de la subvention pour la mise en œuvre d’un programme de formations, l’autorité de gestion vérifie que la procédur</w:t>
            </w:r>
            <w:r>
              <w:rPr>
                <w:szCs w:val="24"/>
              </w:rPr>
              <w:t>e de marché public est bien respectée pour la sélection des prestataires de formation intervenant dans le programme de formation, conformément à la réglementation.</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3"/>
        <w:jc w:val="left"/>
      </w:pPr>
      <w:r>
        <w:br w:type="page"/>
      </w:r>
      <w:bookmarkStart w:id="104" w:name="_Toc256000103"/>
      <w:r>
        <w:t>M04 - Investissements physiques (article 17)</w:t>
      </w:r>
      <w:bookmarkEnd w:id="104"/>
    </w:p>
    <w:p w:rsidR="0035701C" w:rsidRDefault="00FB561B">
      <w:pPr>
        <w:pStyle w:val="Titre4"/>
        <w:jc w:val="left"/>
      </w:pPr>
      <w:r>
        <w:t>Base juridique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Règlement (UE) n°1305 /2013</w:t>
            </w:r>
            <w:r>
              <w:rPr>
                <w:szCs w:val="24"/>
              </w:rPr>
              <w:t xml:space="preserve"> du 17 décembre 2013 (FEADER) : Article 17, 45 et 46.</w:t>
            </w:r>
          </w:p>
          <w:p w:rsidR="0035701C" w:rsidRDefault="00FB561B">
            <w:pPr>
              <w:spacing w:before="240" w:after="240"/>
              <w:jc w:val="left"/>
              <w:rPr>
                <w:szCs w:val="24"/>
              </w:rPr>
            </w:pPr>
            <w:r>
              <w:rPr>
                <w:szCs w:val="24"/>
              </w:rPr>
              <w:t>Règlement (UE) n°1303/2013 : Article 65-71.</w:t>
            </w:r>
          </w:p>
          <w:p w:rsidR="0035701C" w:rsidRDefault="00FB561B">
            <w:pPr>
              <w:spacing w:before="240" w:after="240"/>
              <w:jc w:val="left"/>
              <w:rPr>
                <w:szCs w:val="24"/>
              </w:rPr>
            </w:pPr>
            <w:r>
              <w:rPr>
                <w:szCs w:val="24"/>
              </w:rPr>
              <w:t>RÈGLEMENT (UE) 2020/2220 DU PARLEMENT EUROPEEN ET DU CONSEIL du 23 décembre 2020 établissant des dispositions transitoires relatives au soutien du Fonds europ</w:t>
            </w:r>
            <w:r>
              <w:rPr>
                <w:szCs w:val="24"/>
              </w:rPr>
              <w:t>éen agricole pour le développement rural (Feader) et du Fonds européen agricole de garantie (FEAGA) en 2021 et 2022, et modifiant les règlements (UE) no 1305/2013, (UE) no 1306/2013 et (UE) no 1307/2013 en ce qui concerne les ressources et leur application</w:t>
            </w:r>
            <w:r>
              <w:rPr>
                <w:szCs w:val="24"/>
              </w:rPr>
              <w:t xml:space="preserve"> en 2021 et 2022 et le règlement (UE) no 1308/2013 en ce qui concerne les ressources et la répartition de ce soutien pour les exercices 2021 et 2022.</w:t>
            </w:r>
          </w:p>
          <w:p w:rsidR="0035701C" w:rsidRDefault="0035701C">
            <w:pPr>
              <w:pStyle w:val="Corpsdetexte"/>
            </w:pPr>
          </w:p>
        </w:tc>
      </w:tr>
    </w:tbl>
    <w:p w:rsidR="0035701C" w:rsidRDefault="00FB561B">
      <w:pPr>
        <w:pStyle w:val="Titre4"/>
        <w:jc w:val="left"/>
      </w:pPr>
      <w:r>
        <w:t xml:space="preserve">Description générale de la mesure, y compris sa logique d'intervention et sa contribution aux domaines </w:t>
      </w:r>
      <w:r>
        <w:t>prioritaires et à la réalisation des 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L’objet de cette mesure est de soutenir les investissements physiques des exploitations agricoles et des entreprises agro-alimentaires, la réalisation des infrastructures agricoles et forestières </w:t>
            </w:r>
            <w:r>
              <w:rPr>
                <w:szCs w:val="24"/>
              </w:rPr>
              <w:t>et les investissements non-productifs. Trois sous-mesures sont mobilisées.</w:t>
            </w:r>
          </w:p>
          <w:p w:rsidR="0035701C" w:rsidRDefault="00FB561B">
            <w:pPr>
              <w:spacing w:before="240" w:after="240"/>
              <w:jc w:val="left"/>
              <w:rPr>
                <w:szCs w:val="24"/>
              </w:rPr>
            </w:pPr>
            <w:r>
              <w:rPr>
                <w:szCs w:val="24"/>
              </w:rPr>
              <w:t>Elles répondent selon les opérations aux différents besoins identifiés dans la zone de programmation :</w:t>
            </w:r>
          </w:p>
          <w:p w:rsidR="0035701C" w:rsidRDefault="00FB561B">
            <w:pPr>
              <w:spacing w:before="240" w:after="240"/>
              <w:jc w:val="left"/>
              <w:rPr>
                <w:szCs w:val="24"/>
              </w:rPr>
            </w:pPr>
            <w:r>
              <w:rPr>
                <w:szCs w:val="24"/>
              </w:rPr>
              <w:t>Il s’agit par la réalisation d’investissements d’amélioration et de mise en va</w:t>
            </w:r>
            <w:r>
              <w:rPr>
                <w:szCs w:val="24"/>
              </w:rPr>
              <w:t>leur des terres, d’intervenir en premier lieu sur la problématique de mobilisation du foncier (indivis, absence de titre, absence de propriétaire) qui est un préalable indispensable au développement rural. Ce soutien répond aux besoins identifiés dans la z</w:t>
            </w:r>
            <w:r>
              <w:rPr>
                <w:szCs w:val="24"/>
              </w:rPr>
              <w:t>one de programmation suivants :</w:t>
            </w:r>
          </w:p>
          <w:p w:rsidR="0035701C" w:rsidRDefault="00FB561B" w:rsidP="00FB561B">
            <w:pPr>
              <w:numPr>
                <w:ilvl w:val="0"/>
                <w:numId w:val="232"/>
              </w:numPr>
              <w:spacing w:before="240" w:after="0"/>
              <w:ind w:hanging="210"/>
              <w:jc w:val="left"/>
              <w:rPr>
                <w:szCs w:val="24"/>
              </w:rPr>
            </w:pPr>
            <w:r>
              <w:rPr>
                <w:szCs w:val="24"/>
              </w:rPr>
              <w:t>2 : Mobiliser le foncier agricole, forestier et rural,</w:t>
            </w:r>
          </w:p>
          <w:p w:rsidR="0035701C" w:rsidRDefault="00FB561B" w:rsidP="00FB561B">
            <w:pPr>
              <w:numPr>
                <w:ilvl w:val="0"/>
                <w:numId w:val="232"/>
              </w:numPr>
              <w:spacing w:before="0" w:after="0"/>
              <w:ind w:hanging="210"/>
              <w:jc w:val="left"/>
              <w:rPr>
                <w:szCs w:val="24"/>
              </w:rPr>
            </w:pPr>
            <w:r>
              <w:rPr>
                <w:szCs w:val="24"/>
              </w:rPr>
              <w:t>3 : Equiper le foncier agricole, forestier et rural,</w:t>
            </w:r>
          </w:p>
          <w:p w:rsidR="0035701C" w:rsidRDefault="00FB561B" w:rsidP="00FB561B">
            <w:pPr>
              <w:numPr>
                <w:ilvl w:val="0"/>
                <w:numId w:val="232"/>
              </w:numPr>
              <w:spacing w:before="0" w:after="240"/>
              <w:ind w:hanging="210"/>
              <w:jc w:val="left"/>
              <w:rPr>
                <w:szCs w:val="24"/>
              </w:rPr>
            </w:pPr>
            <w:r>
              <w:rPr>
                <w:szCs w:val="24"/>
              </w:rPr>
              <w:t>23 : Favoriser le regroupement foncier et économique des propriétaires forestiers</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szCs w:val="24"/>
              </w:rPr>
              <w:t>La réalisation d’investissements</w:t>
            </w:r>
            <w:r>
              <w:rPr>
                <w:szCs w:val="24"/>
              </w:rPr>
              <w:t xml:space="preserve"> dans les exploitations agricoles répond également aux problématiques de compétitivité et de développement du secteur agricole, dans une perspective d’accès au marché. La mesure répond en ce sens aux besoins :</w:t>
            </w:r>
          </w:p>
          <w:p w:rsidR="0035701C" w:rsidRDefault="00FB561B" w:rsidP="00FB561B">
            <w:pPr>
              <w:numPr>
                <w:ilvl w:val="0"/>
                <w:numId w:val="233"/>
              </w:numPr>
              <w:spacing w:before="240" w:after="0"/>
              <w:ind w:hanging="210"/>
              <w:jc w:val="left"/>
              <w:rPr>
                <w:szCs w:val="24"/>
              </w:rPr>
            </w:pPr>
            <w:r>
              <w:rPr>
                <w:szCs w:val="24"/>
              </w:rPr>
              <w:t>8 : Améliorer le revenu des agriculteurs par l</w:t>
            </w:r>
            <w:r>
              <w:rPr>
                <w:szCs w:val="24"/>
              </w:rPr>
              <w:t>e développement de l'outil de travail et la diversification des activités,</w:t>
            </w:r>
          </w:p>
          <w:p w:rsidR="0035701C" w:rsidRDefault="00FB561B" w:rsidP="00FB561B">
            <w:pPr>
              <w:numPr>
                <w:ilvl w:val="0"/>
                <w:numId w:val="233"/>
              </w:numPr>
              <w:spacing w:before="0" w:after="0"/>
              <w:ind w:hanging="210"/>
              <w:jc w:val="left"/>
              <w:rPr>
                <w:szCs w:val="24"/>
              </w:rPr>
            </w:pPr>
            <w:r>
              <w:rPr>
                <w:szCs w:val="24"/>
              </w:rPr>
              <w:t>9 : Accroître et élargir la production pour répondre à la demande et augmenter les parts du marché local</w:t>
            </w:r>
          </w:p>
          <w:p w:rsidR="0035701C" w:rsidRDefault="00FB561B" w:rsidP="00FB561B">
            <w:pPr>
              <w:numPr>
                <w:ilvl w:val="0"/>
                <w:numId w:val="233"/>
              </w:numPr>
              <w:spacing w:before="0" w:after="0"/>
              <w:ind w:hanging="210"/>
              <w:jc w:val="left"/>
              <w:rPr>
                <w:szCs w:val="24"/>
              </w:rPr>
            </w:pPr>
            <w:r>
              <w:rPr>
                <w:szCs w:val="24"/>
              </w:rPr>
              <w:t>10 : Moderniser les infrastructures des exploitations,</w:t>
            </w:r>
          </w:p>
          <w:p w:rsidR="0035701C" w:rsidRDefault="00FB561B" w:rsidP="00FB561B">
            <w:pPr>
              <w:numPr>
                <w:ilvl w:val="0"/>
                <w:numId w:val="233"/>
              </w:numPr>
              <w:spacing w:before="0" w:after="0"/>
              <w:ind w:hanging="210"/>
              <w:jc w:val="left"/>
              <w:rPr>
                <w:szCs w:val="24"/>
              </w:rPr>
            </w:pPr>
            <w:r>
              <w:rPr>
                <w:szCs w:val="24"/>
              </w:rPr>
              <w:t xml:space="preserve">13 : Encourager la </w:t>
            </w:r>
            <w:r>
              <w:rPr>
                <w:szCs w:val="24"/>
              </w:rPr>
              <w:t>restructuration des unités d’élevage et favoriser la reconquête et la gestion des parcours pastoraux,</w:t>
            </w:r>
          </w:p>
          <w:p w:rsidR="0035701C" w:rsidRDefault="00FB561B" w:rsidP="00FB561B">
            <w:pPr>
              <w:numPr>
                <w:ilvl w:val="0"/>
                <w:numId w:val="233"/>
              </w:numPr>
              <w:spacing w:before="0" w:after="0"/>
              <w:ind w:hanging="210"/>
              <w:jc w:val="left"/>
              <w:rPr>
                <w:szCs w:val="24"/>
              </w:rPr>
            </w:pPr>
            <w:r>
              <w:rPr>
                <w:szCs w:val="24"/>
              </w:rPr>
              <w:t>14 : Pérenniser l'arboriculture et les cultures pérennes.</w:t>
            </w:r>
          </w:p>
          <w:p w:rsidR="0035701C" w:rsidRDefault="00FB561B" w:rsidP="00FB561B">
            <w:pPr>
              <w:numPr>
                <w:ilvl w:val="0"/>
                <w:numId w:val="233"/>
              </w:numPr>
              <w:spacing w:before="0" w:after="0"/>
              <w:ind w:hanging="210"/>
              <w:jc w:val="left"/>
              <w:rPr>
                <w:szCs w:val="24"/>
              </w:rPr>
            </w:pPr>
            <w:r>
              <w:rPr>
                <w:szCs w:val="24"/>
              </w:rPr>
              <w:t>20 : Renforcer la commercialisation et la promotion des produits sur le marché local, national e</w:t>
            </w:r>
            <w:r>
              <w:rPr>
                <w:szCs w:val="24"/>
              </w:rPr>
              <w:t>t international</w:t>
            </w:r>
          </w:p>
          <w:p w:rsidR="0035701C" w:rsidRDefault="00FB561B" w:rsidP="00FB561B">
            <w:pPr>
              <w:numPr>
                <w:ilvl w:val="0"/>
                <w:numId w:val="233"/>
              </w:numPr>
              <w:spacing w:before="0" w:after="0"/>
              <w:ind w:hanging="210"/>
              <w:jc w:val="left"/>
              <w:rPr>
                <w:szCs w:val="24"/>
              </w:rPr>
            </w:pPr>
            <w:r>
              <w:rPr>
                <w:szCs w:val="24"/>
              </w:rPr>
              <w:t>21 : Promouvoir les actions collectives et l’organisation économique des producteurs</w:t>
            </w:r>
          </w:p>
          <w:p w:rsidR="0035701C" w:rsidRDefault="00FB561B" w:rsidP="00FB561B">
            <w:pPr>
              <w:numPr>
                <w:ilvl w:val="0"/>
                <w:numId w:val="233"/>
              </w:numPr>
              <w:spacing w:before="0" w:after="240"/>
              <w:ind w:hanging="210"/>
              <w:jc w:val="left"/>
              <w:rPr>
                <w:szCs w:val="24"/>
              </w:rPr>
            </w:pPr>
            <w:r>
              <w:rPr>
                <w:szCs w:val="24"/>
              </w:rPr>
              <w:t>22 : Favoriser la diversification des productions par l'innovation technologique et l'émergence de nouveaux produits</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szCs w:val="24"/>
              </w:rPr>
              <w:t xml:space="preserve">La mesure vise enfin au maintien et </w:t>
            </w:r>
            <w:r>
              <w:rPr>
                <w:szCs w:val="24"/>
              </w:rPr>
              <w:t>au renforcement de l’état et de la qualité environnementale des secteurs agricole et forestiers. Elle répond ainsi aux besoins :</w:t>
            </w:r>
          </w:p>
          <w:p w:rsidR="0035701C" w:rsidRDefault="00FB561B" w:rsidP="00FB561B">
            <w:pPr>
              <w:numPr>
                <w:ilvl w:val="0"/>
                <w:numId w:val="234"/>
              </w:numPr>
              <w:spacing w:before="240" w:after="0"/>
              <w:ind w:hanging="210"/>
              <w:jc w:val="left"/>
              <w:rPr>
                <w:szCs w:val="24"/>
              </w:rPr>
            </w:pPr>
            <w:r>
              <w:rPr>
                <w:szCs w:val="24"/>
              </w:rPr>
              <w:t>16 : Accroître la contribution de l’agriculture à la valorisation du patrimoine naturel, au maintien de la biodiversité, à la q</w:t>
            </w:r>
            <w:r>
              <w:rPr>
                <w:szCs w:val="24"/>
              </w:rPr>
              <w:t>ualité des paysages agricoles</w:t>
            </w:r>
          </w:p>
          <w:p w:rsidR="0035701C" w:rsidRDefault="00FB561B" w:rsidP="00FB561B">
            <w:pPr>
              <w:numPr>
                <w:ilvl w:val="0"/>
                <w:numId w:val="234"/>
              </w:numPr>
              <w:spacing w:before="0" w:after="240"/>
              <w:ind w:hanging="210"/>
              <w:jc w:val="left"/>
              <w:rPr>
                <w:szCs w:val="24"/>
              </w:rPr>
            </w:pPr>
            <w:r>
              <w:rPr>
                <w:szCs w:val="24"/>
              </w:rPr>
              <w:t>32 : Préserver le bon état de l'environnement, assurer le renouvellement des ressources naturelles et prévenir le risque incendie</w:t>
            </w:r>
          </w:p>
          <w:p w:rsidR="0035701C" w:rsidRDefault="00FB561B">
            <w:pPr>
              <w:spacing w:before="240" w:after="240"/>
              <w:jc w:val="left"/>
              <w:rPr>
                <w:szCs w:val="24"/>
              </w:rPr>
            </w:pPr>
            <w:r>
              <w:rPr>
                <w:szCs w:val="24"/>
              </w:rPr>
              <w:t>La mobilisation de la ressource en eau est considérée dans le respect de l’article 46 du règleme</w:t>
            </w:r>
            <w:r>
              <w:rPr>
                <w:szCs w:val="24"/>
              </w:rPr>
              <w:t>nt (UE) 1305/2013.</w:t>
            </w:r>
          </w:p>
          <w:p w:rsidR="0035701C" w:rsidRDefault="00FB561B">
            <w:pPr>
              <w:spacing w:before="240" w:after="240"/>
              <w:jc w:val="left"/>
              <w:rPr>
                <w:szCs w:val="24"/>
              </w:rPr>
            </w:pPr>
            <w:r>
              <w:rPr>
                <w:i/>
                <w:iCs/>
                <w:szCs w:val="24"/>
              </w:rPr>
              <w:t>Détail des sous-mesures et contribution aux domaines prioritaires et aux objectifs transversaux</w:t>
            </w:r>
          </w:p>
          <w:p w:rsidR="0035701C" w:rsidRDefault="00FB561B">
            <w:pPr>
              <w:spacing w:before="240" w:after="240"/>
              <w:ind w:left="720"/>
              <w:jc w:val="left"/>
              <w:rPr>
                <w:szCs w:val="24"/>
              </w:rPr>
            </w:pPr>
            <w:r>
              <w:rPr>
                <w:szCs w:val="24"/>
              </w:rPr>
              <w:t>La mesure comprend 3 sous mesures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 xml:space="preserve">Sous-Mesure 4.1 – Investissements améliorant la performance économique et environnementale des </w:t>
            </w:r>
            <w:r>
              <w:rPr>
                <w:b/>
                <w:bCs/>
                <w:szCs w:val="24"/>
              </w:rPr>
              <w:t>exploitations agricoles.</w:t>
            </w:r>
          </w:p>
          <w:p w:rsidR="0035701C" w:rsidRDefault="00FB561B">
            <w:pPr>
              <w:spacing w:before="240" w:after="240"/>
              <w:jc w:val="left"/>
              <w:rPr>
                <w:szCs w:val="24"/>
              </w:rPr>
            </w:pPr>
            <w:r>
              <w:rPr>
                <w:szCs w:val="24"/>
              </w:rPr>
              <w:t>La sous mesure comprend 3 types d’opération ciblées sur les interventions suivantes :</w:t>
            </w:r>
          </w:p>
          <w:p w:rsidR="0035701C" w:rsidRDefault="00FB561B" w:rsidP="00FB561B">
            <w:pPr>
              <w:numPr>
                <w:ilvl w:val="0"/>
                <w:numId w:val="235"/>
              </w:numPr>
              <w:spacing w:before="240" w:after="0"/>
              <w:ind w:hanging="210"/>
              <w:jc w:val="left"/>
              <w:rPr>
                <w:szCs w:val="24"/>
              </w:rPr>
            </w:pPr>
            <w:r>
              <w:rPr>
                <w:b/>
                <w:bCs/>
                <w:szCs w:val="24"/>
              </w:rPr>
              <w:t>4.1.1</w:t>
            </w:r>
            <w:r>
              <w:rPr>
                <w:szCs w:val="24"/>
              </w:rPr>
              <w:t xml:space="preserve"> - Investissements liés à la mise en valeur de l’espace agricole dans une perspective de gestion durable des ressources naturelles.</w:t>
            </w:r>
            <w:r>
              <w:rPr>
                <w:szCs w:val="24"/>
              </w:rPr>
              <w:br/>
              <w:t>Il s’agi</w:t>
            </w:r>
            <w:r>
              <w:rPr>
                <w:szCs w:val="24"/>
              </w:rPr>
              <w:t>t de soutenir les opérations en faveur du développement et de l'amélioration de la production primaire, dans une optique de gestion de la fertilité des sols, de diminution de la fermeture des paysages et de maintien de la biodiversité. </w:t>
            </w:r>
          </w:p>
          <w:p w:rsidR="0035701C" w:rsidRDefault="00FB561B" w:rsidP="00FB561B">
            <w:pPr>
              <w:numPr>
                <w:ilvl w:val="0"/>
                <w:numId w:val="235"/>
              </w:numPr>
              <w:spacing w:before="0" w:after="240"/>
              <w:ind w:hanging="210"/>
              <w:jc w:val="left"/>
              <w:rPr>
                <w:szCs w:val="24"/>
              </w:rPr>
            </w:pPr>
            <w:r>
              <w:rPr>
                <w:b/>
                <w:bCs/>
                <w:szCs w:val="24"/>
              </w:rPr>
              <w:t>4.1.2</w:t>
            </w:r>
            <w:r>
              <w:rPr>
                <w:szCs w:val="24"/>
              </w:rPr>
              <w:t xml:space="preserve"> - Amélioratio</w:t>
            </w:r>
            <w:r>
              <w:rPr>
                <w:szCs w:val="24"/>
              </w:rPr>
              <w:t>n des structures et des équipements des exploitations agricoles. Ces investissements doivent concourir à une amélioration de la compétitivité des exploitations agricoles et des conditions de travail.</w:t>
            </w:r>
          </w:p>
          <w:p w:rsidR="0035701C" w:rsidRDefault="00FB561B">
            <w:pPr>
              <w:spacing w:before="240" w:after="240"/>
              <w:ind w:left="600"/>
              <w:jc w:val="left"/>
              <w:rPr>
                <w:szCs w:val="24"/>
              </w:rPr>
            </w:pPr>
            <w:r>
              <w:rPr>
                <w:szCs w:val="24"/>
              </w:rPr>
              <w:t>Ces sous-mesure permettent de soutenir les investissemen</w:t>
            </w:r>
            <w:r>
              <w:rPr>
                <w:szCs w:val="24"/>
              </w:rPr>
              <w:t>ts physiques des exploitations agricoles avec de façon transversale un objectif d’amélioration de la performance économique, sociale et environnementale.</w:t>
            </w:r>
          </w:p>
          <w:p w:rsidR="0035701C" w:rsidRDefault="00FB561B">
            <w:pPr>
              <w:spacing w:before="240" w:after="240"/>
              <w:ind w:left="600"/>
              <w:jc w:val="left"/>
              <w:rPr>
                <w:szCs w:val="24"/>
              </w:rPr>
            </w:pPr>
            <w:r>
              <w:rPr>
                <w:szCs w:val="24"/>
              </w:rPr>
              <w:t xml:space="preserve">Le domaine prioritaire 2a (viabilité, compétitivité des exploitations) est principalement ciblé, tout </w:t>
            </w:r>
            <w:r>
              <w:rPr>
                <w:szCs w:val="24"/>
              </w:rPr>
              <w:t>en considérant les effets induits positifs à rechercher sur les écosystèmes, notamment en lien avec les domaines prioritaires 4a (biodiversité), 4b (gestion de l’eau) et 4c (sol érosion). Les investissements doivent favoriser l’introduction de pratiques no</w:t>
            </w:r>
            <w:r>
              <w:rPr>
                <w:szCs w:val="24"/>
              </w:rPr>
              <w:t>uvelles et respectueuses de l’environnement, ce qui répond aux OT1 (environnement) et OT3 (Innovation).</w:t>
            </w:r>
          </w:p>
          <w:p w:rsidR="0035701C" w:rsidRDefault="00FB561B">
            <w:pPr>
              <w:spacing w:before="240" w:after="240"/>
              <w:ind w:left="600"/>
              <w:jc w:val="left"/>
              <w:rPr>
                <w:szCs w:val="24"/>
              </w:rPr>
            </w:pPr>
            <w:r>
              <w:rPr>
                <w:szCs w:val="24"/>
              </w:rPr>
              <w:t>La sous mesure accompagne le processus de la production primaire et secondaire, et également les processus de stockage, conditionnement et transformatio</w:t>
            </w:r>
            <w:r>
              <w:rPr>
                <w:szCs w:val="24"/>
              </w:rPr>
              <w:t>n à la ferme de cette production dans le prolongement direct de l’acte de production réalisé par l’exploitant au sein de l’exploitation agricole.</w:t>
            </w:r>
          </w:p>
          <w:p w:rsidR="0035701C" w:rsidRDefault="00FB561B">
            <w:pPr>
              <w:spacing w:before="240" w:after="240"/>
              <w:ind w:left="600"/>
              <w:jc w:val="left"/>
              <w:rPr>
                <w:szCs w:val="24"/>
              </w:rPr>
            </w:pPr>
            <w:r>
              <w:rPr>
                <w:szCs w:val="24"/>
              </w:rPr>
              <w:t xml:space="preserve">Les modalités de l’intervention répondent à la fois aux besoins ciblés par le programme et à leur déclinaison </w:t>
            </w:r>
            <w:r>
              <w:rPr>
                <w:szCs w:val="24"/>
              </w:rPr>
              <w:t>spécifique pour chacune des filières de production.</w:t>
            </w:r>
          </w:p>
          <w:p w:rsidR="0035701C" w:rsidRDefault="00FB561B">
            <w:pPr>
              <w:spacing w:before="240" w:after="240"/>
              <w:ind w:left="600"/>
              <w:jc w:val="left"/>
              <w:rPr>
                <w:szCs w:val="24"/>
              </w:rPr>
            </w:pPr>
            <w:r>
              <w:rPr>
                <w:szCs w:val="24"/>
              </w:rPr>
              <w:t>En effet ces filières nombreuses et de petite dimension sont dans des stades de structuration différents. Il s’agit ainsi de tenir compte de la dynamique collective qui peut être impulsée, afin de faire p</w:t>
            </w:r>
            <w:r>
              <w:rPr>
                <w:szCs w:val="24"/>
              </w:rPr>
              <w:t>rogresser les producteurs dans la conduite de leur exploitation. La notion d’investissement prioritaire est aussi privilégiée afin de parvenir à une amélioration globale de la performance au sein de chaque filière de production.</w:t>
            </w:r>
          </w:p>
          <w:p w:rsidR="0035701C" w:rsidRDefault="00FB561B" w:rsidP="00FB561B">
            <w:pPr>
              <w:numPr>
                <w:ilvl w:val="0"/>
                <w:numId w:val="236"/>
              </w:numPr>
              <w:spacing w:before="240" w:after="240"/>
              <w:ind w:hanging="210"/>
              <w:jc w:val="left"/>
              <w:rPr>
                <w:szCs w:val="24"/>
              </w:rPr>
            </w:pPr>
            <w:r>
              <w:rPr>
                <w:b/>
                <w:bCs/>
                <w:szCs w:val="24"/>
              </w:rPr>
              <w:t>4.1.3</w:t>
            </w:r>
            <w:r>
              <w:rPr>
                <w:szCs w:val="24"/>
              </w:rPr>
              <w:t xml:space="preserve"> - A partir de la vers</w:t>
            </w:r>
            <w:r>
              <w:rPr>
                <w:szCs w:val="24"/>
              </w:rPr>
              <w:t>ion 9 du PDRC, s'ajoute la mesure 4.1.3, ciblée spécifiquement sur les problématiques de gestion des ressources pastorales, des vergers traditionnels en montagne et de la restauration/protection des milieux sensibles, dans une optique de maintien de la bio</w:t>
            </w:r>
            <w:r>
              <w:rPr>
                <w:szCs w:val="24"/>
              </w:rPr>
              <w:t>diversité et de lutte contre les risques agravés d'incendie sur le territoire et contre les risques de fermeture des paysages. Ce type d'opération est ciblé sur le domaine prioritaire 4A pour répondre spécifiquement à un des principaux enjeux régionaux ide</w:t>
            </w:r>
            <w:r>
              <w:rPr>
                <w:szCs w:val="24"/>
              </w:rPr>
              <w:t>ntifiés en matière de biodiversité et de paysage.</w:t>
            </w:r>
          </w:p>
          <w:p w:rsidR="0035701C" w:rsidRDefault="00FB561B">
            <w:pPr>
              <w:spacing w:before="240" w:after="240"/>
              <w:ind w:left="600"/>
              <w:jc w:val="left"/>
              <w:rPr>
                <w:szCs w:val="24"/>
              </w:rPr>
            </w:pPr>
            <w:r>
              <w:rPr>
                <w:szCs w:val="24"/>
              </w:rPr>
              <w:t>Ainsi la mise en oeuvre des crédits additionnels du plan de relance européen à partir de 2021 (fonds EURI) est l'occasion de proposer pour la première fois un plan spécifique d'investissement renforçant les</w:t>
            </w:r>
            <w:r>
              <w:rPr>
                <w:szCs w:val="24"/>
              </w:rPr>
              <w:t xml:space="preserve"> capacités des exploitations à prendre en compte ces enjeux. De plus il s'agit de filières particulièrement soumises aux conséquences de la crise liée à la COVID19. En effet ces productions traditionnelles ciblent, contrairement à certaines productions de </w:t>
            </w:r>
            <w:r>
              <w:rPr>
                <w:szCs w:val="24"/>
              </w:rPr>
              <w:t>plaine (maraichage, arboriculture), des marchés de niche essentiellement liés aux tourisme (gastronomie). Or la crise de l'été 2020 a grandement limité la vente de ces produits et conduit à des difficultés économiques et de compétitivité.</w:t>
            </w:r>
          </w:p>
          <w:p w:rsidR="0035701C" w:rsidRDefault="00FB561B">
            <w:pPr>
              <w:spacing w:before="240" w:after="240"/>
              <w:jc w:val="left"/>
              <w:rPr>
                <w:szCs w:val="24"/>
              </w:rPr>
            </w:pPr>
            <w:r>
              <w:rPr>
                <w:b/>
                <w:bCs/>
                <w:szCs w:val="24"/>
              </w:rPr>
              <w:t>Sous-Mesure 4.2 –</w:t>
            </w:r>
            <w:r>
              <w:rPr>
                <w:b/>
                <w:bCs/>
                <w:szCs w:val="24"/>
              </w:rPr>
              <w:t xml:space="preserve"> Investissements en faveur de la transformation et la commercialisation de produits agricoles.</w:t>
            </w:r>
          </w:p>
          <w:p w:rsidR="0035701C" w:rsidRDefault="00FB561B">
            <w:pPr>
              <w:spacing w:before="240" w:after="240"/>
              <w:jc w:val="left"/>
              <w:rPr>
                <w:szCs w:val="24"/>
              </w:rPr>
            </w:pPr>
            <w:r>
              <w:rPr>
                <w:szCs w:val="24"/>
              </w:rPr>
              <w:t>Pour ce type d’opérations, le domaine prioritaire 3a (chaîne agroalimentaire) est ciblé. En contribuant également au développement économique dans les zones rura</w:t>
            </w:r>
            <w:r>
              <w:rPr>
                <w:szCs w:val="24"/>
              </w:rPr>
              <w:t>les, elle répond secondairement au domaine prioritaire 6a (emploi, diversification) et 6b (développement économique). Les investissements doivent concourir à l’amélioration des performances des entreprises, notamment par l’introduction de pratiques nouvell</w:t>
            </w:r>
            <w:r>
              <w:rPr>
                <w:szCs w:val="24"/>
              </w:rPr>
              <w:t>es ce qui répond principalement à l’OT3 (Innovation).</w:t>
            </w:r>
          </w:p>
          <w:p w:rsidR="0035701C" w:rsidRDefault="00FB561B">
            <w:pPr>
              <w:spacing w:before="240" w:after="240"/>
              <w:jc w:val="left"/>
              <w:rPr>
                <w:szCs w:val="24"/>
              </w:rPr>
            </w:pPr>
            <w:r>
              <w:rPr>
                <w:szCs w:val="24"/>
              </w:rPr>
              <w:t>La sous mesure concerne ainsi l’accompagnement des activités de transformation et de commercialisation de matières premières agricoles relevant de l’annexe I du TFUE.</w:t>
            </w:r>
          </w:p>
          <w:p w:rsidR="0035701C" w:rsidRDefault="00FB561B">
            <w:pPr>
              <w:spacing w:before="240" w:after="240"/>
              <w:jc w:val="left"/>
              <w:rPr>
                <w:szCs w:val="24"/>
              </w:rPr>
            </w:pPr>
            <w:r>
              <w:rPr>
                <w:szCs w:val="24"/>
              </w:rPr>
              <w:t>La sous mesure concerne les process</w:t>
            </w:r>
            <w:r>
              <w:rPr>
                <w:szCs w:val="24"/>
              </w:rPr>
              <w:t>us de stockage, transformation et commercialisation réalisés en dehors des opérations se situant dans le prolongement direct de l’acte de production réalisé par l’exploitant au sein de l’exploitation agricole (cf. sous-mesure 4.1 Type d’opération 2).</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Sou</w:t>
            </w:r>
            <w:r>
              <w:rPr>
                <w:b/>
                <w:bCs/>
                <w:szCs w:val="24"/>
              </w:rPr>
              <w:t xml:space="preserve">s-Mesure 4.3 – Investissements en faveur des infrastructures en agriculture et foresterie </w:t>
            </w:r>
          </w:p>
          <w:p w:rsidR="0035701C" w:rsidRDefault="00FB561B">
            <w:pPr>
              <w:spacing w:before="240" w:after="240"/>
              <w:jc w:val="left"/>
              <w:rPr>
                <w:szCs w:val="24"/>
              </w:rPr>
            </w:pPr>
            <w:r>
              <w:rPr>
                <w:szCs w:val="24"/>
              </w:rPr>
              <w:t>La sous mesure vise à permettre la mobilisation du potentiel productif agricole, forestier et pastoral,  par une amélioration des infrastructures, concernant les acc</w:t>
            </w:r>
            <w:r>
              <w:rPr>
                <w:szCs w:val="24"/>
              </w:rPr>
              <w:t>ès et l’organisation des périmètres, les réseaux d’irrigation, et l’ingénierie nécessaire à ces réalisations.</w:t>
            </w:r>
          </w:p>
          <w:p w:rsidR="0035701C" w:rsidRDefault="00FB561B">
            <w:pPr>
              <w:spacing w:before="240" w:after="240"/>
              <w:jc w:val="left"/>
              <w:rPr>
                <w:szCs w:val="24"/>
              </w:rPr>
            </w:pPr>
            <w:r>
              <w:rPr>
                <w:szCs w:val="24"/>
              </w:rPr>
              <w:t>Elle comprend 3 types d’opération :</w:t>
            </w:r>
          </w:p>
          <w:p w:rsidR="0035701C" w:rsidRDefault="00FB561B" w:rsidP="00FB561B">
            <w:pPr>
              <w:numPr>
                <w:ilvl w:val="0"/>
                <w:numId w:val="237"/>
              </w:numPr>
              <w:spacing w:before="240" w:after="0"/>
              <w:ind w:hanging="210"/>
              <w:jc w:val="left"/>
              <w:rPr>
                <w:szCs w:val="24"/>
              </w:rPr>
            </w:pPr>
            <w:r>
              <w:rPr>
                <w:szCs w:val="24"/>
              </w:rPr>
              <w:t>4.3.1 – Infrastructures agricoles et pastorales. Pour cette opération, le domaine prioritaire 2a est prioritai</w:t>
            </w:r>
            <w:r>
              <w:rPr>
                <w:szCs w:val="24"/>
              </w:rPr>
              <w:t>rement ciblé (préservation écosystèmes) tout en considérant qu’elle a également un effet induit sur la lutte contre la déprise agricole et paysagère, ce qui a pour effet de lutter contre le risque de perte de biodiversité (DP 4a). Par le recours à des tech</w:t>
            </w:r>
            <w:r>
              <w:rPr>
                <w:szCs w:val="24"/>
              </w:rPr>
              <w:t>niques adaptées et par la promotion du pastoralisme qui valorise les ressources spontanées, ces investissements concourent à l’OT1 (environnement) et l’OT2 (changement climatique).</w:t>
            </w:r>
          </w:p>
          <w:p w:rsidR="0035701C" w:rsidRDefault="00FB561B" w:rsidP="00FB561B">
            <w:pPr>
              <w:numPr>
                <w:ilvl w:val="0"/>
                <w:numId w:val="237"/>
              </w:numPr>
              <w:spacing w:before="0" w:after="0"/>
              <w:ind w:hanging="210"/>
              <w:jc w:val="left"/>
              <w:rPr>
                <w:szCs w:val="24"/>
              </w:rPr>
            </w:pPr>
            <w:r>
              <w:rPr>
                <w:szCs w:val="24"/>
              </w:rPr>
              <w:t>4.3.2 – Infrastructures forestières. Pour cette opération, le domaine prior</w:t>
            </w:r>
            <w:r>
              <w:rPr>
                <w:szCs w:val="24"/>
              </w:rPr>
              <w:t>itaire 5e est prioritairement ciblé (séquestration carbone) dans la mesure où les investissements ciblés sur la desserte forestière par route ou par câble concourent à favoriser la lutte contre le dépérissement forestier et le stockage de produits carbonés</w:t>
            </w:r>
            <w:r>
              <w:rPr>
                <w:szCs w:val="24"/>
              </w:rPr>
              <w:t>. Ces investissements concourent ainsi à l’OT1 (environnement) et l’OT2 (changement climatique)</w:t>
            </w:r>
          </w:p>
          <w:p w:rsidR="0035701C" w:rsidRDefault="00FB561B" w:rsidP="00FB561B">
            <w:pPr>
              <w:numPr>
                <w:ilvl w:val="0"/>
                <w:numId w:val="237"/>
              </w:numPr>
              <w:spacing w:before="0" w:after="240"/>
              <w:ind w:hanging="210"/>
              <w:jc w:val="left"/>
              <w:rPr>
                <w:szCs w:val="24"/>
              </w:rPr>
            </w:pPr>
            <w:r>
              <w:rPr>
                <w:szCs w:val="24"/>
              </w:rPr>
              <w:t>4.3.3 – Aménagement hydraulique. Pour cette opération, le domaine prioritaire 5a est prioritairement ciblé (utilisation efficace de l’eau) dans la mesure où les</w:t>
            </w:r>
            <w:r>
              <w:rPr>
                <w:szCs w:val="24"/>
              </w:rPr>
              <w:t xml:space="preserve"> investissements ciblés sur la réalisation de petits aménagements hydrauliques doivent concourir à une utilisation raisonnée de la ressource, dans un contexte de changement climatique. Ces investissements concourent à ce titre à l’OT1 (environnement) et à </w:t>
            </w:r>
            <w:r>
              <w:rPr>
                <w:szCs w:val="24"/>
              </w:rPr>
              <w:t>l’OT2 (changement climatique).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Mobilisation des fonds EURI à partir de 2021</w:t>
            </w:r>
          </w:p>
          <w:p w:rsidR="0035701C" w:rsidRDefault="00FB561B">
            <w:pPr>
              <w:spacing w:before="240" w:after="240"/>
              <w:jc w:val="left"/>
              <w:rPr>
                <w:szCs w:val="24"/>
              </w:rPr>
            </w:pPr>
            <w:r>
              <w:rPr>
                <w:szCs w:val="24"/>
              </w:rPr>
              <w:t>La mobilisation des fonds EURI concerne les TO suivants :</w:t>
            </w:r>
          </w:p>
          <w:p w:rsidR="0035701C" w:rsidRDefault="00FB561B" w:rsidP="00FB561B">
            <w:pPr>
              <w:numPr>
                <w:ilvl w:val="0"/>
                <w:numId w:val="238"/>
              </w:numPr>
              <w:spacing w:before="240" w:after="0"/>
              <w:ind w:hanging="210"/>
              <w:jc w:val="left"/>
              <w:rPr>
                <w:szCs w:val="24"/>
              </w:rPr>
            </w:pPr>
            <w:r>
              <w:rPr>
                <w:szCs w:val="24"/>
              </w:rPr>
              <w:t xml:space="preserve">14% des fonds sur 4.1.1 et 4.1.2, avec des appels à projets qui seront lancés avec un niveau de financement fixé à un </w:t>
            </w:r>
            <w:r>
              <w:rPr>
                <w:szCs w:val="24"/>
              </w:rPr>
              <w:t>taux d'intervention de 75% et un cofinancement de 100% de l'UE. Ces fonds pourront éventuellement financer des dispositifs de sonde pour mieux piloter l'irrigation.</w:t>
            </w:r>
          </w:p>
          <w:p w:rsidR="0035701C" w:rsidRDefault="00FB561B" w:rsidP="00FB561B">
            <w:pPr>
              <w:numPr>
                <w:ilvl w:val="0"/>
                <w:numId w:val="238"/>
              </w:numPr>
              <w:spacing w:before="0" w:after="0"/>
              <w:ind w:hanging="210"/>
              <w:jc w:val="left"/>
              <w:rPr>
                <w:szCs w:val="24"/>
              </w:rPr>
            </w:pPr>
            <w:r>
              <w:rPr>
                <w:szCs w:val="24"/>
              </w:rPr>
              <w:t>41% des fonds sur 4.1.3, avec des appels à projets qui seront lancés avec un niveau de fina</w:t>
            </w:r>
            <w:r>
              <w:rPr>
                <w:szCs w:val="24"/>
              </w:rPr>
              <w:t>ncement fixé à un taux d'intervention de 70 pour les ainés et à 75% pour les JA et un cofinancement de 100% de l'UE. Ces appels à projets concerneront spécifiquement les interventions en faveur du maintien de la biodiversité et de la qualité des paysages;</w:t>
            </w:r>
          </w:p>
          <w:p w:rsidR="0035701C" w:rsidRDefault="00FB561B" w:rsidP="00FB561B">
            <w:pPr>
              <w:numPr>
                <w:ilvl w:val="0"/>
                <w:numId w:val="238"/>
              </w:numPr>
              <w:spacing w:before="0" w:after="240"/>
              <w:ind w:hanging="210"/>
              <w:jc w:val="left"/>
              <w:rPr>
                <w:szCs w:val="24"/>
              </w:rPr>
            </w:pPr>
            <w:r>
              <w:rPr>
                <w:szCs w:val="24"/>
              </w:rPr>
              <w:t>55% des fonds sur 4.2, avec des appels à projets qui seront lancés avec un niveau de financement fixé à un taux d'intervention de 75% et un cofinancement de 100% de l'UE. Ces fonds seront notamment ciblés sur les problématiques de valorisation des écarts d</w:t>
            </w:r>
            <w:r>
              <w:rPr>
                <w:szCs w:val="24"/>
              </w:rPr>
              <w:t>e tri en filière fruits et légumes, afin de réduire les déchets et apporter une solution de valorisation en cas de difficulté d'écoulement des stocks.</w:t>
            </w:r>
          </w:p>
          <w:p w:rsidR="0035701C" w:rsidRDefault="00FB561B">
            <w:pPr>
              <w:spacing w:before="240" w:after="240"/>
              <w:jc w:val="left"/>
              <w:rPr>
                <w:szCs w:val="24"/>
              </w:rPr>
            </w:pPr>
            <w:r>
              <w:rPr>
                <w:i/>
                <w:iCs/>
                <w:szCs w:val="24"/>
              </w:rPr>
              <w:t>Eléments quantitatifs et qualitatifs relatifs à l’état des masses d’eau pour l’application des articles 4</w:t>
            </w:r>
            <w:r>
              <w:rPr>
                <w:i/>
                <w:iCs/>
                <w:szCs w:val="24"/>
              </w:rPr>
              <w:t>5 et 46 du règlement (UE) 1305/2013, dans le cadre des investissements d’irrigation des types d’opération 4.1.1 – mise en valeur et 4.3.3 – infrastructures hydrauliques.</w:t>
            </w:r>
          </w:p>
          <w:p w:rsidR="0035701C" w:rsidRDefault="00FB561B" w:rsidP="00FB561B">
            <w:pPr>
              <w:numPr>
                <w:ilvl w:val="0"/>
                <w:numId w:val="239"/>
              </w:numPr>
              <w:spacing w:before="240" w:after="0"/>
              <w:ind w:hanging="210"/>
              <w:jc w:val="left"/>
              <w:rPr>
                <w:szCs w:val="24"/>
              </w:rPr>
            </w:pPr>
            <w:r>
              <w:rPr>
                <w:szCs w:val="24"/>
              </w:rPr>
              <w:t>Les investissements en matière d’hydraulique collective ou individuelle ayant pour obj</w:t>
            </w:r>
            <w:r>
              <w:rPr>
                <w:szCs w:val="24"/>
              </w:rPr>
              <w:t>et l’irrigation de parcelles agricoles, sont localisés à l’intérieur du périmètre du Bassin de Corse, couvert par un plan de gestion de district hydrographique, à savoir le Schéma Directeur d’Aménagement et de Gestion des Eaux (SDAGE du Bassin de Corse) po</w:t>
            </w:r>
            <w:r>
              <w:rPr>
                <w:szCs w:val="24"/>
              </w:rPr>
              <w:t>ur les périodes 2010-2015 et 2016-2021 (projet de SDAGE en cours de finalisation).</w:t>
            </w:r>
          </w:p>
          <w:p w:rsidR="0035701C" w:rsidRDefault="00FB561B" w:rsidP="00FB561B">
            <w:pPr>
              <w:numPr>
                <w:ilvl w:val="0"/>
                <w:numId w:val="239"/>
              </w:numPr>
              <w:spacing w:before="240" w:after="240"/>
              <w:ind w:hanging="210"/>
              <w:jc w:val="left"/>
              <w:rPr>
                <w:szCs w:val="24"/>
              </w:rPr>
            </w:pPr>
            <w:r>
              <w:rPr>
                <w:szCs w:val="24"/>
              </w:rPr>
              <w:t xml:space="preserve">La définition des masses d’eau en équilibre (dont l’état n’a pas été qualifié de moins que bon pour des raisons liées à la quantité d’eau) et en déséquilibre (dont l’état a </w:t>
            </w:r>
            <w:r>
              <w:rPr>
                <w:szCs w:val="24"/>
              </w:rPr>
              <w:t>été qualifié de moins que bon pour des raisons liées à la quantité d’eau) est celle qui a été élaborée dans le Cadre du comité de Bassin Corse par la DREAL en 2015, et qui utilise les données disponibles du SDAGE Corse (cf cartes jointes document en Annexe</w:t>
            </w:r>
            <w:r>
              <w:rPr>
                <w:szCs w:val="24"/>
              </w:rPr>
              <w:t xml:space="preserve"> M4 "Gestion quantitative de la ressource" et "Etat écologique").</w:t>
            </w:r>
          </w:p>
          <w:p w:rsidR="0035701C" w:rsidRDefault="00FB561B">
            <w:pPr>
              <w:spacing w:before="240" w:after="240"/>
              <w:ind w:left="600"/>
              <w:jc w:val="left"/>
              <w:rPr>
                <w:szCs w:val="24"/>
              </w:rPr>
            </w:pPr>
            <w:r>
              <w:rPr>
                <w:szCs w:val="24"/>
              </w:rPr>
              <w:t>Ce référentiel des masses d’eau du bassin de Corse utilisé par le nouveau SDAGE (2016-2021) identifie 234 masses d’eau superficielles dont 210 masses d’eau « cours d’eau et 15 masses d’eau s</w:t>
            </w:r>
            <w:r>
              <w:rPr>
                <w:szCs w:val="24"/>
              </w:rPr>
              <w:t>outerraines. Chacune de ces masses d’eau a fait l’objet d’une qualification en fonction de son état écologique et au-delà par rapport au Risque de Non  Atteinte des Objectifs Environnementaux (RNAOE).</w:t>
            </w:r>
          </w:p>
          <w:p w:rsidR="0035701C" w:rsidRDefault="00FB561B" w:rsidP="00FB561B">
            <w:pPr>
              <w:numPr>
                <w:ilvl w:val="0"/>
                <w:numId w:val="240"/>
              </w:numPr>
              <w:spacing w:before="240" w:after="0"/>
              <w:ind w:left="1920" w:hanging="210"/>
              <w:jc w:val="left"/>
              <w:rPr>
                <w:szCs w:val="24"/>
              </w:rPr>
            </w:pPr>
            <w:r>
              <w:rPr>
                <w:szCs w:val="24"/>
              </w:rPr>
              <w:t xml:space="preserve">Pour les masses d’eau superficielles, les RNAOE se </w:t>
            </w:r>
            <w:r>
              <w:rPr>
                <w:szCs w:val="24"/>
              </w:rPr>
              <w:t>rapportent à 2 volets de pressions d’origine écologiques et chimiques. Il convient de noter que le volet écologique va bien au-delà de la simple prise en compte des pressions de prélèvement éventuelles. Ainsi, sur les 234 masses d’eau superficielles, seule</w:t>
            </w:r>
            <w:r>
              <w:rPr>
                <w:szCs w:val="24"/>
              </w:rPr>
              <w:t>ment 39 sont classées RNAOE 2021 et seulement 4 par rapport à la pression prélèvements (quantitatif).</w:t>
            </w:r>
          </w:p>
          <w:p w:rsidR="0035701C" w:rsidRDefault="00FB561B" w:rsidP="00FB561B">
            <w:pPr>
              <w:numPr>
                <w:ilvl w:val="0"/>
                <w:numId w:val="240"/>
              </w:numPr>
              <w:spacing w:before="0" w:after="0"/>
              <w:ind w:left="1920" w:hanging="210"/>
              <w:jc w:val="left"/>
              <w:rPr>
                <w:szCs w:val="24"/>
              </w:rPr>
            </w:pPr>
            <w:r>
              <w:rPr>
                <w:szCs w:val="24"/>
              </w:rPr>
              <w:t xml:space="preserve">Pour les masses d’eau souterraines, les RNAOE se rapportent aux pressions quantitatives et qualitatives. Dans ce cas, la seule masse d’eau classée RNAOE, </w:t>
            </w:r>
            <w:r>
              <w:rPr>
                <w:szCs w:val="24"/>
              </w:rPr>
              <w:t>l’est par rapport au volet quantitatif. Il s’agit de la plaine alluviale MARANA – CASINCA.</w:t>
            </w:r>
          </w:p>
          <w:p w:rsidR="0035701C" w:rsidRDefault="00FB561B" w:rsidP="00FB561B">
            <w:pPr>
              <w:numPr>
                <w:ilvl w:val="0"/>
                <w:numId w:val="240"/>
              </w:numPr>
              <w:spacing w:before="0" w:after="240"/>
              <w:ind w:left="1920" w:hanging="210"/>
              <w:jc w:val="left"/>
              <w:rPr>
                <w:szCs w:val="24"/>
              </w:rPr>
            </w:pPr>
            <w:r>
              <w:rPr>
                <w:szCs w:val="24"/>
              </w:rPr>
              <w:t>Cette analyse est susceptible d'être complétée et précisée par des analyses publiées dans le cadre du SDAGE. Les masses d’eau superficielles ou souterraines non qual</w:t>
            </w:r>
            <w:r>
              <w:rPr>
                <w:szCs w:val="24"/>
              </w:rPr>
              <w:t>ifiées sont traitées arbitrairement comme en état inférieur au bon état par principe de précaution. Pour les masses d'eau souterraines, leur état quantitatif est précisé dans les SDAGE en application de la Directive Cadre sur l'Eau et les masses d'eau en m</w:t>
            </w:r>
            <w:r>
              <w:rPr>
                <w:szCs w:val="24"/>
              </w:rPr>
              <w:t>auvais état quantitatif sont considérées en déséquilibre.</w:t>
            </w:r>
          </w:p>
          <w:p w:rsidR="0035701C" w:rsidRDefault="00FB561B">
            <w:pPr>
              <w:spacing w:before="240" w:after="240"/>
              <w:ind w:left="360"/>
              <w:jc w:val="left"/>
              <w:rPr>
                <w:szCs w:val="24"/>
              </w:rPr>
            </w:pPr>
            <w:r>
              <w:rPr>
                <w:szCs w:val="24"/>
              </w:rPr>
              <w:t> </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4"/>
        <w:jc w:val="left"/>
      </w:pPr>
      <w:r>
        <w:t xml:space="preserve">Portée, niveau du soutien, bénéficiaires admissibles et, le cas échéant, méthodologie pour le calcul du montant ou du taux d'aide selon une ventilation par sous-mesure et/ou type d'opération, </w:t>
      </w:r>
      <w:r>
        <w:t>si nécessaire. Pour chaque type d'opération, spécification des coûts admissibles, des conditions d'admissibilité, des montants et taux d'aide applicables et des principes en matière de définition des critères de sélection</w:t>
      </w:r>
    </w:p>
    <w:p w:rsidR="0035701C" w:rsidRDefault="00FB561B">
      <w:pPr>
        <w:pStyle w:val="Titre5"/>
        <w:rPr>
          <w:b w:val="0"/>
        </w:rPr>
      </w:pPr>
      <w:r>
        <w:rPr>
          <w:b w:val="0"/>
        </w:rPr>
        <w:t>4.1.1- Mise en valeur agricole</w:t>
      </w:r>
    </w:p>
    <w:p w:rsidR="0035701C" w:rsidRDefault="00FB561B">
      <w:r>
        <w:t>Sou</w:t>
      </w:r>
      <w:r>
        <w:t xml:space="preserve">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241"/>
              </w:numPr>
            </w:pPr>
            <w:r>
              <w:t>4.1 – Aide aux investissements dans les exploitations agricoles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Sous-titre complet de l’opération : Mise en valeur agricole = Investissements des exploitations agricoles liés à la mise en valeur de l’espace </w:t>
            </w:r>
            <w:r>
              <w:rPr>
                <w:b/>
                <w:bCs/>
                <w:szCs w:val="24"/>
              </w:rPr>
              <w:t>agricole dans une perspective de gestion durable des ressources naturelles</w:t>
            </w:r>
          </w:p>
          <w:p w:rsidR="0035701C" w:rsidRDefault="00FB561B">
            <w:pPr>
              <w:spacing w:before="240" w:after="240"/>
              <w:jc w:val="left"/>
              <w:rPr>
                <w:szCs w:val="24"/>
              </w:rPr>
            </w:pPr>
            <w:r>
              <w:rPr>
                <w:szCs w:val="24"/>
              </w:rPr>
              <w:t>Par la réalisation d’investissements d’amélioration des terres, cette sous-mesure vise à encourager la mobilisation et l’équipement du foncier agricole (besoin n° 2 et n° 3). Elle d</w:t>
            </w:r>
            <w:r>
              <w:rPr>
                <w:szCs w:val="24"/>
              </w:rPr>
              <w:t>oit permettre de façon opérationnelle de favoriser la restructuration des unités d’élevage et la reconquête et la gestion des parcours pastoraux (besoin n° 13), la pérennisation de l'arboriculture et les cultures pérennes (besoin n°14). Ces opérations de m</w:t>
            </w:r>
            <w:r>
              <w:rPr>
                <w:szCs w:val="24"/>
              </w:rPr>
              <w:t>ise en valeur du foncier concourent à la modernisation des exploitations (besoin n°10) et à l’amélioration du potentiel productif et du revenu des exploitants (besoin n°9 et n°8).</w:t>
            </w:r>
          </w:p>
          <w:p w:rsidR="0035701C" w:rsidRDefault="00FB561B">
            <w:pPr>
              <w:spacing w:before="240" w:after="240"/>
              <w:jc w:val="left"/>
              <w:rPr>
                <w:szCs w:val="24"/>
              </w:rPr>
            </w:pPr>
            <w:r>
              <w:rPr>
                <w:szCs w:val="24"/>
              </w:rPr>
              <w:t>Ces interventions portent sur :</w:t>
            </w:r>
          </w:p>
          <w:p w:rsidR="0035701C" w:rsidRDefault="00FB561B" w:rsidP="00FB561B">
            <w:pPr>
              <w:numPr>
                <w:ilvl w:val="0"/>
                <w:numId w:val="242"/>
              </w:numPr>
              <w:spacing w:before="240" w:after="0"/>
              <w:ind w:hanging="210"/>
              <w:jc w:val="left"/>
              <w:rPr>
                <w:szCs w:val="24"/>
              </w:rPr>
            </w:pPr>
            <w:r>
              <w:rPr>
                <w:szCs w:val="24"/>
              </w:rPr>
              <w:t>Les travaux de mise en valeur des cultures p</w:t>
            </w:r>
            <w:r>
              <w:rPr>
                <w:szCs w:val="24"/>
              </w:rPr>
              <w:t xml:space="preserve">érennes incluant notamment : </w:t>
            </w:r>
          </w:p>
          <w:p w:rsidR="0035701C" w:rsidRDefault="00FB561B" w:rsidP="00FB561B">
            <w:pPr>
              <w:numPr>
                <w:ilvl w:val="1"/>
                <w:numId w:val="242"/>
              </w:numPr>
              <w:spacing w:before="0" w:after="0"/>
              <w:ind w:hanging="244"/>
              <w:jc w:val="left"/>
              <w:rPr>
                <w:szCs w:val="24"/>
              </w:rPr>
            </w:pPr>
            <w:r>
              <w:rPr>
                <w:szCs w:val="24"/>
              </w:rPr>
              <w:t xml:space="preserve">la plantation de nouveaux terrains y compris </w:t>
            </w:r>
          </w:p>
          <w:p w:rsidR="0035701C" w:rsidRDefault="00FB561B" w:rsidP="00FB561B">
            <w:pPr>
              <w:numPr>
                <w:ilvl w:val="2"/>
                <w:numId w:val="242"/>
              </w:numPr>
              <w:spacing w:before="0" w:after="0"/>
              <w:ind w:hanging="210"/>
              <w:jc w:val="left"/>
              <w:rPr>
                <w:szCs w:val="24"/>
              </w:rPr>
            </w:pPr>
            <w:r>
              <w:rPr>
                <w:szCs w:val="24"/>
              </w:rPr>
              <w:t>les aménagements et la plantation de parcelle viticole,</w:t>
            </w:r>
          </w:p>
          <w:p w:rsidR="0035701C" w:rsidRDefault="00FB561B" w:rsidP="00FB561B">
            <w:pPr>
              <w:numPr>
                <w:ilvl w:val="2"/>
                <w:numId w:val="242"/>
              </w:numPr>
              <w:spacing w:before="0" w:after="0"/>
              <w:ind w:hanging="210"/>
              <w:jc w:val="left"/>
              <w:rPr>
                <w:szCs w:val="24"/>
              </w:rPr>
            </w:pPr>
            <w:r>
              <w:rPr>
                <w:szCs w:val="24"/>
              </w:rPr>
              <w:t>la création de cultures fourragères pérennes à partir d’un couvert végétal emmaquisé, ou sur des terrains ayant fait l’objet</w:t>
            </w:r>
            <w:r>
              <w:rPr>
                <w:szCs w:val="24"/>
              </w:rPr>
              <w:t xml:space="preserve"> d’une intervention au titre du Schéma d’Accompagnement Pastoral (SAP).</w:t>
            </w:r>
          </w:p>
          <w:p w:rsidR="0035701C" w:rsidRDefault="00FB561B" w:rsidP="00FB561B">
            <w:pPr>
              <w:numPr>
                <w:ilvl w:val="1"/>
                <w:numId w:val="242"/>
              </w:numPr>
              <w:spacing w:before="0" w:after="0"/>
              <w:ind w:hanging="244"/>
              <w:jc w:val="left"/>
              <w:rPr>
                <w:szCs w:val="24"/>
              </w:rPr>
            </w:pPr>
            <w:r>
              <w:rPr>
                <w:szCs w:val="24"/>
              </w:rPr>
              <w:t xml:space="preserve">et l’amélioration des cultures pérennes, comprenant </w:t>
            </w:r>
          </w:p>
          <w:p w:rsidR="0035701C" w:rsidRDefault="00FB561B" w:rsidP="00FB561B">
            <w:pPr>
              <w:numPr>
                <w:ilvl w:val="2"/>
                <w:numId w:val="242"/>
              </w:numPr>
              <w:spacing w:before="0" w:after="0"/>
              <w:ind w:hanging="210"/>
              <w:jc w:val="left"/>
              <w:rPr>
                <w:szCs w:val="24"/>
              </w:rPr>
            </w:pPr>
            <w:r>
              <w:rPr>
                <w:szCs w:val="24"/>
              </w:rPr>
              <w:t>les travaux de rénovation des vergers traditionnels de montagne (cf. définition) (élagage, regarnis…),</w:t>
            </w:r>
          </w:p>
          <w:p w:rsidR="0035701C" w:rsidRDefault="00FB561B" w:rsidP="00FB561B">
            <w:pPr>
              <w:numPr>
                <w:ilvl w:val="2"/>
                <w:numId w:val="242"/>
              </w:numPr>
              <w:spacing w:before="0" w:after="0"/>
              <w:ind w:hanging="210"/>
              <w:jc w:val="left"/>
              <w:rPr>
                <w:szCs w:val="24"/>
              </w:rPr>
            </w:pPr>
            <w:r>
              <w:rPr>
                <w:szCs w:val="24"/>
              </w:rPr>
              <w:t xml:space="preserve">la création et la </w:t>
            </w:r>
            <w:r>
              <w:rPr>
                <w:szCs w:val="24"/>
              </w:rPr>
              <w:t>restructuration de vergers, notamment des agrumes (arrachage, replantation, conversion variétale, regarnis),</w:t>
            </w:r>
          </w:p>
          <w:p w:rsidR="0035701C" w:rsidRDefault="00FB561B" w:rsidP="00FB561B">
            <w:pPr>
              <w:numPr>
                <w:ilvl w:val="0"/>
                <w:numId w:val="242"/>
              </w:numPr>
              <w:spacing w:before="0" w:after="0"/>
              <w:ind w:hanging="210"/>
              <w:jc w:val="left"/>
              <w:rPr>
                <w:szCs w:val="24"/>
              </w:rPr>
            </w:pPr>
            <w:r>
              <w:rPr>
                <w:szCs w:val="24"/>
              </w:rPr>
              <w:t>les travaux de qualification des parcours d’élevage et des prébois (débroussaillement, cloisonnement, layonnage) dans le cadre d’un diagnostic past</w:t>
            </w:r>
            <w:r>
              <w:rPr>
                <w:szCs w:val="24"/>
              </w:rPr>
              <w:t>oral ou JA, et en dehors des travaux d'entretien des parcelles.</w:t>
            </w:r>
          </w:p>
          <w:p w:rsidR="0035701C" w:rsidRDefault="00FB561B" w:rsidP="00FB561B">
            <w:pPr>
              <w:numPr>
                <w:ilvl w:val="0"/>
                <w:numId w:val="242"/>
              </w:numPr>
              <w:spacing w:before="0" w:after="0"/>
              <w:ind w:hanging="210"/>
              <w:jc w:val="left"/>
              <w:rPr>
                <w:szCs w:val="24"/>
              </w:rPr>
            </w:pPr>
            <w:r>
              <w:rPr>
                <w:szCs w:val="24"/>
              </w:rPr>
              <w:t>la protection des parcelles cultivées (filet de protection, exclos)</w:t>
            </w:r>
          </w:p>
          <w:p w:rsidR="0035701C" w:rsidRDefault="00FB561B" w:rsidP="00FB561B">
            <w:pPr>
              <w:numPr>
                <w:ilvl w:val="0"/>
                <w:numId w:val="242"/>
              </w:numPr>
              <w:spacing w:before="0" w:after="0"/>
              <w:ind w:hanging="210"/>
              <w:jc w:val="left"/>
              <w:rPr>
                <w:szCs w:val="24"/>
              </w:rPr>
            </w:pPr>
            <w:r>
              <w:rPr>
                <w:szCs w:val="24"/>
              </w:rPr>
              <w:t>l’irrigation au bénéfice de l’exploitation agricole bénéficiaire ou lorsque ces infrastructures sont utilisées exclusivement</w:t>
            </w:r>
            <w:r>
              <w:rPr>
                <w:szCs w:val="24"/>
              </w:rPr>
              <w:t xml:space="preserve"> par celle-ci comprenant : le système de captage, de distribution, et de stockage, ainsi que les équipements matériels fixes ou mobiles d’arrosage. Toutefois les opérations de création de bassin pour l’irrigation, de réseau sur hors du parcellaire de l'exp</w:t>
            </w:r>
            <w:r>
              <w:rPr>
                <w:szCs w:val="24"/>
              </w:rPr>
              <w:t>loitation ou de réutilisation d’eau usées pour l’irrigation sont considérées dans la mesure 4.3.3.</w:t>
            </w:r>
          </w:p>
          <w:p w:rsidR="0035701C" w:rsidRDefault="00FB561B" w:rsidP="00FB561B">
            <w:pPr>
              <w:numPr>
                <w:ilvl w:val="0"/>
                <w:numId w:val="242"/>
              </w:numPr>
              <w:spacing w:before="0" w:after="240"/>
              <w:ind w:hanging="210"/>
              <w:jc w:val="left"/>
              <w:rPr>
                <w:szCs w:val="24"/>
              </w:rPr>
            </w:pPr>
            <w:r>
              <w:rPr>
                <w:szCs w:val="24"/>
              </w:rPr>
              <w:t xml:space="preserve">ainsi que l’ensemble des travaux et matériels connexes ou pris en compte séparément tels que les clôtures et la pose d’exclos, les accès aux parcelles en </w:t>
            </w:r>
            <w:r>
              <w:rPr>
                <w:szCs w:val="24"/>
              </w:rPr>
              <w:t>culture sur le parcellaire de l’exploitation…etc.</w:t>
            </w:r>
          </w:p>
          <w:p w:rsidR="0035701C" w:rsidRDefault="00FB561B">
            <w:pPr>
              <w:spacing w:before="240" w:after="240"/>
              <w:jc w:val="left"/>
              <w:rPr>
                <w:szCs w:val="24"/>
              </w:rPr>
            </w:pPr>
            <w:r>
              <w:rPr>
                <w:szCs w:val="24"/>
              </w:rPr>
              <w:t xml:space="preserve">L’ensemble des travaux compris dans l’itinéraire technique de l’opération sont considérés, notamment le démaquisage, l’aménagement du terrain, les travaux aratoires, les intrants et fournitures nécessaires </w:t>
            </w:r>
            <w:r>
              <w:rPr>
                <w:szCs w:val="24"/>
              </w:rPr>
              <w:t>à l’opération, les travaux et les matériels concernant notamment l’irrigation les clôtures et les accès…etc.</w:t>
            </w:r>
          </w:p>
          <w:p w:rsidR="0035701C" w:rsidRDefault="00FB561B">
            <w:pPr>
              <w:spacing w:before="240" w:after="240"/>
              <w:jc w:val="left"/>
              <w:rPr>
                <w:szCs w:val="24"/>
              </w:rPr>
            </w:pPr>
            <w:r>
              <w:rPr>
                <w:szCs w:val="24"/>
              </w:rPr>
              <w:t>Le financement des opérations doit s’articuler avec les programmes pluriannuels mis en œuvre par FranceAgrimer afin d’exclure tout double financeme</w:t>
            </w:r>
            <w:r>
              <w:rPr>
                <w:szCs w:val="24"/>
              </w:rPr>
              <w:t>nt, conformément aux dispositions précisées au chapitre 14 du programme.</w:t>
            </w:r>
          </w:p>
          <w:p w:rsidR="0035701C" w:rsidRDefault="00FB561B">
            <w:pPr>
              <w:spacing w:before="240" w:after="240"/>
              <w:jc w:val="left"/>
              <w:rPr>
                <w:szCs w:val="24"/>
              </w:rPr>
            </w:pPr>
            <w:r>
              <w:rPr>
                <w:szCs w:val="24"/>
              </w:rPr>
              <w:t>Pour les investissements d’irrigation et d’hydraulique, la réglementation en vigueur au regard de l’état des masses d’eau, détaillée au § « admissibilité » repose, sur des objectifs d</w:t>
            </w:r>
            <w:r>
              <w:rPr>
                <w:szCs w:val="24"/>
              </w:rPr>
              <w:t>e rationalisation des consommations d’eau, et de leur adéquation avec l’environnement, voire de leur réduction effective.</w:t>
            </w:r>
          </w:p>
          <w:p w:rsidR="0035701C" w:rsidRDefault="00FB561B">
            <w:pPr>
              <w:spacing w:before="240" w:after="240"/>
              <w:jc w:val="left"/>
              <w:rPr>
                <w:szCs w:val="24"/>
              </w:rPr>
            </w:pPr>
            <w:r>
              <w:rPr>
                <w:szCs w:val="24"/>
              </w:rPr>
              <w:t>Ce type d’opération est ciblé principalement sur le domaine prioritaire 2a) et a des effets induits sur :</w:t>
            </w:r>
          </w:p>
          <w:p w:rsidR="0035701C" w:rsidRDefault="00FB561B" w:rsidP="00FB561B">
            <w:pPr>
              <w:numPr>
                <w:ilvl w:val="0"/>
                <w:numId w:val="243"/>
              </w:numPr>
              <w:spacing w:before="240" w:after="0"/>
              <w:ind w:hanging="210"/>
              <w:jc w:val="left"/>
              <w:rPr>
                <w:szCs w:val="24"/>
              </w:rPr>
            </w:pPr>
            <w:r>
              <w:rPr>
                <w:szCs w:val="24"/>
              </w:rPr>
              <w:t>le domaine prioritaire 4a (b</w:t>
            </w:r>
            <w:r>
              <w:rPr>
                <w:szCs w:val="24"/>
              </w:rPr>
              <w:t>iodiversité) dans la mesure où il s’agit d’une réponse au risque de déprise dans la zone de programmation,</w:t>
            </w:r>
          </w:p>
          <w:p w:rsidR="0035701C" w:rsidRDefault="00FB561B" w:rsidP="00FB561B">
            <w:pPr>
              <w:numPr>
                <w:ilvl w:val="0"/>
                <w:numId w:val="243"/>
              </w:numPr>
              <w:spacing w:before="0" w:after="0"/>
              <w:ind w:hanging="210"/>
              <w:jc w:val="left"/>
              <w:rPr>
                <w:szCs w:val="24"/>
              </w:rPr>
            </w:pPr>
            <w:r>
              <w:rPr>
                <w:szCs w:val="24"/>
              </w:rPr>
              <w:t>le domaine prioritaire 4c (sol, érosion) dans la mesure où elle concourt à une gestion de la fertilité des sols.</w:t>
            </w:r>
          </w:p>
          <w:p w:rsidR="0035701C" w:rsidRDefault="00FB561B" w:rsidP="00FB561B">
            <w:pPr>
              <w:numPr>
                <w:ilvl w:val="0"/>
                <w:numId w:val="243"/>
              </w:numPr>
              <w:spacing w:before="0" w:after="240"/>
              <w:ind w:hanging="210"/>
              <w:jc w:val="left"/>
              <w:rPr>
                <w:szCs w:val="24"/>
              </w:rPr>
            </w:pPr>
            <w:r>
              <w:rPr>
                <w:szCs w:val="24"/>
              </w:rPr>
              <w:t>le domaine prioritaire 5a (développe</w:t>
            </w:r>
            <w:r>
              <w:rPr>
                <w:szCs w:val="24"/>
              </w:rPr>
              <w:t>r l'utilisation efficace de l'eau dans l'agriculture) dans la mesure où elle comprend l’irrigation des cultures dans le respect de l’article 46 du règlement 1305/2013.</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i/>
                <w:iCs/>
                <w:szCs w:val="24"/>
              </w:rPr>
              <w:t>Engagement du bénéficiaire</w:t>
            </w:r>
            <w:r>
              <w:rPr>
                <w:szCs w:val="24"/>
              </w:rPr>
              <w:t> :</w:t>
            </w:r>
          </w:p>
          <w:p w:rsidR="0035701C" w:rsidRDefault="00FB561B" w:rsidP="00FB561B">
            <w:pPr>
              <w:numPr>
                <w:ilvl w:val="0"/>
                <w:numId w:val="244"/>
              </w:numPr>
              <w:spacing w:before="240" w:after="0"/>
              <w:ind w:hanging="210"/>
              <w:jc w:val="left"/>
              <w:rPr>
                <w:szCs w:val="24"/>
              </w:rPr>
            </w:pPr>
            <w:r>
              <w:rPr>
                <w:i/>
                <w:iCs/>
                <w:szCs w:val="24"/>
              </w:rPr>
              <w:t>Engagements généraux</w:t>
            </w:r>
            <w:r>
              <w:rPr>
                <w:szCs w:val="24"/>
              </w:rPr>
              <w:t xml:space="preserve"> </w:t>
            </w:r>
          </w:p>
          <w:p w:rsidR="0035701C" w:rsidRDefault="00FB561B" w:rsidP="00FB561B">
            <w:pPr>
              <w:numPr>
                <w:ilvl w:val="1"/>
                <w:numId w:val="244"/>
              </w:numPr>
              <w:spacing w:before="0" w:after="0"/>
              <w:ind w:hanging="244"/>
              <w:jc w:val="left"/>
              <w:rPr>
                <w:szCs w:val="24"/>
              </w:rPr>
            </w:pPr>
            <w:r>
              <w:rPr>
                <w:szCs w:val="24"/>
              </w:rPr>
              <w:t xml:space="preserve">Maintenir fonctionnellement </w:t>
            </w:r>
            <w:r>
              <w:rPr>
                <w:szCs w:val="24"/>
              </w:rPr>
              <w:t>l’investissement durant 5 années à compter de la date du dernier paiement relatif à l'opération au bénéficiaire.</w:t>
            </w:r>
          </w:p>
          <w:p w:rsidR="0035701C" w:rsidRDefault="00FB561B" w:rsidP="00FB561B">
            <w:pPr>
              <w:numPr>
                <w:ilvl w:val="1"/>
                <w:numId w:val="244"/>
              </w:numPr>
              <w:spacing w:before="0" w:after="0"/>
              <w:ind w:hanging="244"/>
              <w:jc w:val="left"/>
              <w:rPr>
                <w:szCs w:val="24"/>
              </w:rPr>
            </w:pPr>
            <w:r>
              <w:rPr>
                <w:szCs w:val="24"/>
              </w:rPr>
              <w:t>satisfaire aux obligations de publicité FEADER ;</w:t>
            </w:r>
          </w:p>
          <w:p w:rsidR="0035701C" w:rsidRDefault="00FB561B" w:rsidP="00FB561B">
            <w:pPr>
              <w:numPr>
                <w:ilvl w:val="1"/>
                <w:numId w:val="244"/>
              </w:numPr>
              <w:spacing w:before="0" w:after="0"/>
              <w:ind w:hanging="244"/>
              <w:jc w:val="left"/>
              <w:rPr>
                <w:szCs w:val="24"/>
              </w:rPr>
            </w:pPr>
            <w:r>
              <w:rPr>
                <w:szCs w:val="24"/>
              </w:rPr>
              <w:t>informer immédiatement l'autorité de gestion de toute cessation d'activité ainsi que des modif</w:t>
            </w:r>
            <w:r>
              <w:rPr>
                <w:szCs w:val="24"/>
              </w:rPr>
              <w:t>ications intervenant dans la mise en œuvre de l’opération.</w:t>
            </w:r>
          </w:p>
          <w:p w:rsidR="0035701C" w:rsidRDefault="00FB561B" w:rsidP="00FB561B">
            <w:pPr>
              <w:numPr>
                <w:ilvl w:val="1"/>
                <w:numId w:val="244"/>
              </w:numPr>
              <w:spacing w:before="0" w:after="240"/>
              <w:ind w:hanging="244"/>
              <w:jc w:val="left"/>
              <w:rPr>
                <w:szCs w:val="24"/>
              </w:rPr>
            </w:pPr>
            <w:r>
              <w:rPr>
                <w:szCs w:val="24"/>
              </w:rPr>
              <w:t>se conformer aux obligations liées aux contrôles administratifs sur place, sur pièces, communautaire ou national, pendant la durée de l’engagement de 5 ans</w:t>
            </w:r>
          </w:p>
          <w:p w:rsidR="0035701C" w:rsidRDefault="00FB561B">
            <w:pPr>
              <w:spacing w:before="240" w:after="240"/>
              <w:ind w:left="1440"/>
              <w:jc w:val="left"/>
              <w:rPr>
                <w:szCs w:val="24"/>
              </w:rPr>
            </w:pPr>
            <w:r>
              <w:rPr>
                <w:szCs w:val="24"/>
              </w:rPr>
              <w:t> </w:t>
            </w:r>
          </w:p>
          <w:p w:rsidR="0035701C" w:rsidRDefault="00FB561B" w:rsidP="00FB561B">
            <w:pPr>
              <w:numPr>
                <w:ilvl w:val="0"/>
                <w:numId w:val="245"/>
              </w:numPr>
              <w:spacing w:before="240" w:after="0"/>
              <w:ind w:hanging="210"/>
              <w:jc w:val="left"/>
              <w:rPr>
                <w:szCs w:val="24"/>
              </w:rPr>
            </w:pPr>
            <w:r>
              <w:rPr>
                <w:i/>
                <w:iCs/>
                <w:szCs w:val="24"/>
              </w:rPr>
              <w:t>Engagements spécifiques à ce type d’opé</w:t>
            </w:r>
            <w:r>
              <w:rPr>
                <w:i/>
                <w:iCs/>
                <w:szCs w:val="24"/>
              </w:rPr>
              <w:t>ration</w:t>
            </w:r>
            <w:r>
              <w:rPr>
                <w:szCs w:val="24"/>
              </w:rPr>
              <w:t xml:space="preserve"> : </w:t>
            </w:r>
          </w:p>
          <w:p w:rsidR="0035701C" w:rsidRDefault="00FB561B" w:rsidP="00FB561B">
            <w:pPr>
              <w:numPr>
                <w:ilvl w:val="1"/>
                <w:numId w:val="245"/>
              </w:numPr>
              <w:spacing w:before="0" w:after="0"/>
              <w:ind w:hanging="244"/>
              <w:jc w:val="left"/>
              <w:rPr>
                <w:szCs w:val="24"/>
              </w:rPr>
            </w:pPr>
            <w:r>
              <w:rPr>
                <w:szCs w:val="24"/>
              </w:rPr>
              <w:t>Pour toutes les opérations liées à l’irrigation des parcelles (pompage, captage, distribution de la ressource et acquisition de matériel d’irrigation), les demandeurs individuels doivent s’engager à tenir à jour un registre des consommations d’ea</w:t>
            </w:r>
            <w:r>
              <w:rPr>
                <w:szCs w:val="24"/>
              </w:rPr>
              <w:t>u pour tous les projets d’irrigation</w:t>
            </w:r>
          </w:p>
          <w:p w:rsidR="0035701C" w:rsidRDefault="00FB561B" w:rsidP="00FB561B">
            <w:pPr>
              <w:numPr>
                <w:ilvl w:val="1"/>
                <w:numId w:val="245"/>
              </w:numPr>
              <w:spacing w:before="0" w:after="0"/>
              <w:ind w:hanging="244"/>
              <w:jc w:val="left"/>
              <w:rPr>
                <w:szCs w:val="24"/>
              </w:rPr>
            </w:pPr>
            <w:r>
              <w:rPr>
                <w:szCs w:val="24"/>
              </w:rPr>
              <w:t>Pour les opérations au bénéfice d’exploitation en élevage, les surfaces doivent être portées à la déclaration de surface, à défaut l’exploitant devra s’engager à les faire figurer en n+1.</w:t>
            </w:r>
          </w:p>
          <w:p w:rsidR="0035701C" w:rsidRDefault="00FB561B" w:rsidP="00FB561B">
            <w:pPr>
              <w:numPr>
                <w:ilvl w:val="1"/>
                <w:numId w:val="245"/>
              </w:numPr>
              <w:spacing w:before="0" w:after="0"/>
              <w:ind w:hanging="244"/>
              <w:jc w:val="left"/>
              <w:rPr>
                <w:szCs w:val="24"/>
              </w:rPr>
            </w:pPr>
            <w:r>
              <w:rPr>
                <w:szCs w:val="24"/>
              </w:rPr>
              <w:t>satisfaire aux engagements et a</w:t>
            </w:r>
            <w:r>
              <w:rPr>
                <w:szCs w:val="24"/>
              </w:rPr>
              <w:t>ux prescriptions techniques pour les filières de production validés par l’Autorité de Gestion qui conditionnent la bonne mise en œuvre de l’opération,</w:t>
            </w:r>
          </w:p>
          <w:p w:rsidR="0035701C" w:rsidRDefault="00FB561B" w:rsidP="00FB561B">
            <w:pPr>
              <w:numPr>
                <w:ilvl w:val="1"/>
                <w:numId w:val="245"/>
              </w:numPr>
              <w:spacing w:before="0" w:after="240"/>
              <w:ind w:hanging="244"/>
              <w:jc w:val="left"/>
              <w:rPr>
                <w:szCs w:val="24"/>
              </w:rPr>
            </w:pPr>
            <w:r>
              <w:rPr>
                <w:szCs w:val="24"/>
              </w:rPr>
              <w:t xml:space="preserve">s’engager dans le délai maximal de 5 ans dans des démarches de formation ou d’apprentissage telles que </w:t>
            </w:r>
            <w:r>
              <w:rPr>
                <w:szCs w:val="24"/>
              </w:rPr>
              <w:t>préconisées dans le document d’évaluation de l'impact environnemental établi dans le cas des investissements d’irrigation et d’hydraulique.</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Règlement (UE) n°</w:t>
            </w:r>
            <w:r>
              <w:rPr>
                <w:szCs w:val="24"/>
              </w:rPr>
              <w:t>1303/2013 : Article 65-71.</w:t>
            </w:r>
          </w:p>
          <w:p w:rsidR="0035701C" w:rsidRDefault="00FB561B">
            <w:pPr>
              <w:spacing w:before="240" w:after="240"/>
              <w:jc w:val="left"/>
              <w:rPr>
                <w:szCs w:val="24"/>
              </w:rPr>
            </w:pPr>
            <w:r>
              <w:rPr>
                <w:szCs w:val="24"/>
              </w:rPr>
              <w:t>Directive cadre sur l’eau (DCE) : Directive 2000/60/ CE du Parlement européen et du Conseil du 23 octobre 2000 établissant un cadre pour une politique communautaire dans le domaine de l'eau.</w:t>
            </w:r>
          </w:p>
          <w:p w:rsidR="0035701C" w:rsidRDefault="00FB561B">
            <w:pPr>
              <w:spacing w:before="240" w:after="240"/>
              <w:jc w:val="left"/>
              <w:rPr>
                <w:szCs w:val="24"/>
              </w:rPr>
            </w:pPr>
            <w:r>
              <w:rPr>
                <w:szCs w:val="24"/>
              </w:rPr>
              <w:t>Code Rural et Code de l’Environnement.</w:t>
            </w:r>
          </w:p>
          <w:p w:rsidR="0035701C" w:rsidRDefault="00FB561B">
            <w:pPr>
              <w:spacing w:before="240" w:after="240"/>
              <w:jc w:val="left"/>
              <w:rPr>
                <w:szCs w:val="24"/>
              </w:rPr>
            </w:pPr>
            <w:r>
              <w:rPr>
                <w:szCs w:val="24"/>
              </w:rPr>
              <w:t>RÈGLEMENT (UE) 2020/2220 DU PARLEMENT EUROPEEN ET DU CONSEIL du 23 décembre 2020 établissant des dispositions transitoires relatives au soutien du Fonds européen agricole pour le développement rural (Feader) et du Fonds européen agricole de garantie (FEAG</w:t>
            </w:r>
            <w:r>
              <w:rPr>
                <w:szCs w:val="24"/>
              </w:rPr>
              <w:t>A) en 2021 et 2022, et modifiant les règlements (UE) no 1305/2013, (UE) no 1306/2013 et (UE) no 1307/2013 en ce qui concerne les ressources et leur application en 2021 et 2022 et le règlement (UE) no 1308/2013 en ce qui concerne les ressources et la répart</w:t>
            </w:r>
            <w:r>
              <w:rPr>
                <w:szCs w:val="24"/>
              </w:rPr>
              <w:t>ition de ce soutien pour les exercices 2021 et 2022.</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i/>
                <w:iCs/>
                <w:szCs w:val="24"/>
              </w:rPr>
              <w:t>Bénéficiaires éligibles :</w:t>
            </w:r>
          </w:p>
          <w:p w:rsidR="0035701C" w:rsidRDefault="00FB561B" w:rsidP="00FB561B">
            <w:pPr>
              <w:numPr>
                <w:ilvl w:val="0"/>
                <w:numId w:val="246"/>
              </w:numPr>
              <w:spacing w:before="240" w:after="0"/>
              <w:ind w:hanging="210"/>
              <w:jc w:val="left"/>
              <w:rPr>
                <w:szCs w:val="24"/>
              </w:rPr>
            </w:pPr>
            <w:r>
              <w:rPr>
                <w:szCs w:val="24"/>
              </w:rPr>
              <w:t xml:space="preserve">Les agriculteurs : </w:t>
            </w:r>
          </w:p>
          <w:p w:rsidR="0035701C" w:rsidRDefault="00FB561B" w:rsidP="00FB561B">
            <w:pPr>
              <w:numPr>
                <w:ilvl w:val="1"/>
                <w:numId w:val="246"/>
              </w:numPr>
              <w:spacing w:before="0" w:after="0"/>
              <w:ind w:hanging="244"/>
              <w:jc w:val="left"/>
              <w:rPr>
                <w:szCs w:val="24"/>
              </w:rPr>
            </w:pPr>
            <w:r>
              <w:rPr>
                <w:szCs w:val="24"/>
              </w:rPr>
              <w:t>personnes physiques ou morales dont l’objet est agricole (sociétés à objet agricole telles que GAEC, EARL, SCEA, SASU...). Toutefois pour les</w:t>
            </w:r>
            <w:r>
              <w:rPr>
                <w:szCs w:val="24"/>
              </w:rPr>
              <w:t xml:space="preserve"> personnes morales la majorité des parts doit être détenue par une ou plusieurs personnes physiques justifiant du statut d’exploitant agricole.</w:t>
            </w:r>
          </w:p>
          <w:p w:rsidR="0035701C" w:rsidRDefault="00FB561B" w:rsidP="00FB561B">
            <w:pPr>
              <w:numPr>
                <w:ilvl w:val="1"/>
                <w:numId w:val="246"/>
              </w:numPr>
              <w:spacing w:before="0" w:after="0"/>
              <w:ind w:hanging="244"/>
              <w:jc w:val="left"/>
              <w:rPr>
                <w:szCs w:val="24"/>
              </w:rPr>
            </w:pPr>
            <w:r>
              <w:rPr>
                <w:szCs w:val="24"/>
              </w:rPr>
              <w:t>les organismes publics ou à but non lucratif mettant en valeur une exploitation agricole (fondations, associatio</w:t>
            </w:r>
            <w:r>
              <w:rPr>
                <w:szCs w:val="24"/>
              </w:rPr>
              <w:t>ns, établissements d’enseignement et de recherche agricoles, organismes de réinsertion…) exerçant réellement une activité agricole.</w:t>
            </w:r>
          </w:p>
          <w:p w:rsidR="0035701C" w:rsidRDefault="00FB561B" w:rsidP="00FB561B">
            <w:pPr>
              <w:numPr>
                <w:ilvl w:val="0"/>
                <w:numId w:val="246"/>
              </w:numPr>
              <w:spacing w:before="0" w:after="240"/>
              <w:ind w:hanging="210"/>
              <w:jc w:val="left"/>
              <w:rPr>
                <w:szCs w:val="24"/>
              </w:rPr>
            </w:pPr>
            <w:r>
              <w:rPr>
                <w:szCs w:val="24"/>
              </w:rPr>
              <w:t xml:space="preserve">Les groupements d’agriculteurs : toute forme juridique collective dans laquelle les exploitants agricoles détiennent la </w:t>
            </w:r>
            <w:r>
              <w:rPr>
                <w:szCs w:val="24"/>
              </w:rPr>
              <w:t>totalité des parts sociales (y compris les CUMA et les coopératives de production).</w:t>
            </w:r>
          </w:p>
          <w:p w:rsidR="0035701C" w:rsidRDefault="00FB561B">
            <w:pPr>
              <w:spacing w:before="240" w:after="240"/>
              <w:jc w:val="left"/>
              <w:rPr>
                <w:szCs w:val="24"/>
              </w:rPr>
            </w:pPr>
            <w:r>
              <w:rPr>
                <w:i/>
                <w:iCs/>
                <w:szCs w:val="24"/>
              </w:rPr>
              <w:t>Bénéficiaires inéligibles :</w:t>
            </w:r>
          </w:p>
          <w:p w:rsidR="0035701C" w:rsidRDefault="00FB561B" w:rsidP="00FB561B">
            <w:pPr>
              <w:numPr>
                <w:ilvl w:val="0"/>
                <w:numId w:val="247"/>
              </w:numPr>
              <w:spacing w:before="240" w:after="240"/>
              <w:ind w:hanging="210"/>
              <w:jc w:val="left"/>
              <w:rPr>
                <w:szCs w:val="24"/>
              </w:rPr>
            </w:pPr>
            <w:r>
              <w:rPr>
                <w:szCs w:val="24"/>
              </w:rPr>
              <w:t>les sociétés en participation, les indivisions, les propriétaires bailleurs de biens fonciers.</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 xml:space="preserve">Les dépenses éligibles </w:t>
            </w:r>
            <w:r>
              <w:rPr>
                <w:szCs w:val="24"/>
                <w:u w:val="single"/>
              </w:rPr>
              <w:t>concernent :</w:t>
            </w:r>
          </w:p>
          <w:p w:rsidR="0035701C" w:rsidRDefault="00FB561B" w:rsidP="00FB561B">
            <w:pPr>
              <w:numPr>
                <w:ilvl w:val="0"/>
                <w:numId w:val="248"/>
              </w:numPr>
              <w:spacing w:before="240" w:after="0"/>
              <w:ind w:hanging="210"/>
              <w:jc w:val="left"/>
              <w:rPr>
                <w:szCs w:val="24"/>
              </w:rPr>
            </w:pPr>
            <w:r>
              <w:rPr>
                <w:szCs w:val="24"/>
              </w:rPr>
              <w:t xml:space="preserve">L’ensemble des travaux entrant dans les itinéraires techniques des opérations sélectionnées, notamment : </w:t>
            </w:r>
          </w:p>
          <w:p w:rsidR="0035701C" w:rsidRDefault="00FB561B" w:rsidP="00FB561B">
            <w:pPr>
              <w:numPr>
                <w:ilvl w:val="1"/>
                <w:numId w:val="248"/>
              </w:numPr>
              <w:spacing w:before="0" w:after="0"/>
              <w:ind w:hanging="244"/>
              <w:jc w:val="left"/>
              <w:rPr>
                <w:szCs w:val="24"/>
              </w:rPr>
            </w:pPr>
            <w:r>
              <w:rPr>
                <w:szCs w:val="24"/>
              </w:rPr>
              <w:t>les travaux de réalisation de l’accès sur le parcellaire de l’exploitant (piste),</w:t>
            </w:r>
          </w:p>
          <w:p w:rsidR="0035701C" w:rsidRDefault="00FB561B" w:rsidP="00FB561B">
            <w:pPr>
              <w:numPr>
                <w:ilvl w:val="1"/>
                <w:numId w:val="248"/>
              </w:numPr>
              <w:spacing w:before="0" w:after="0"/>
              <w:ind w:hanging="244"/>
              <w:jc w:val="left"/>
              <w:rPr>
                <w:szCs w:val="24"/>
              </w:rPr>
            </w:pPr>
            <w:r>
              <w:rPr>
                <w:szCs w:val="24"/>
              </w:rPr>
              <w:t xml:space="preserve">les aménagements de parcelle (démaquisage préalable, </w:t>
            </w:r>
            <w:r>
              <w:rPr>
                <w:szCs w:val="24"/>
              </w:rPr>
              <w:t>drains),</w:t>
            </w:r>
          </w:p>
          <w:p w:rsidR="0035701C" w:rsidRDefault="00FB561B" w:rsidP="00FB561B">
            <w:pPr>
              <w:numPr>
                <w:ilvl w:val="1"/>
                <w:numId w:val="248"/>
              </w:numPr>
              <w:spacing w:before="0" w:after="0"/>
              <w:ind w:hanging="244"/>
              <w:jc w:val="left"/>
              <w:rPr>
                <w:szCs w:val="24"/>
              </w:rPr>
            </w:pPr>
            <w:r>
              <w:rPr>
                <w:szCs w:val="24"/>
              </w:rPr>
              <w:t>le débroussaillement, les élagages et surgreffages, les arrachages préalables à une plantation éligible,</w:t>
            </w:r>
          </w:p>
          <w:p w:rsidR="0035701C" w:rsidRDefault="00FB561B" w:rsidP="00FB561B">
            <w:pPr>
              <w:numPr>
                <w:ilvl w:val="1"/>
                <w:numId w:val="248"/>
              </w:numPr>
              <w:spacing w:before="0" w:after="0"/>
              <w:ind w:hanging="244"/>
              <w:jc w:val="left"/>
              <w:rPr>
                <w:szCs w:val="24"/>
              </w:rPr>
            </w:pPr>
            <w:r>
              <w:rPr>
                <w:szCs w:val="24"/>
              </w:rPr>
              <w:t>les travaux de mise en valeur ou de rénovation comprenant les travaux aratoires et destinés à la mise en place de cultures pérennes (préparati</w:t>
            </w:r>
            <w:r>
              <w:rPr>
                <w:szCs w:val="24"/>
              </w:rPr>
              <w:t>on du sol, épierrage, semis, plantation, rénovation, les regarnis, les épandages de fumures et d’engrais, tuteurage…), y compris les intrants (plants, semences, fumures)</w:t>
            </w:r>
          </w:p>
          <w:p w:rsidR="0035701C" w:rsidRDefault="00FB561B" w:rsidP="00FB561B">
            <w:pPr>
              <w:numPr>
                <w:ilvl w:val="0"/>
                <w:numId w:val="248"/>
              </w:numPr>
              <w:spacing w:before="0" w:after="0"/>
              <w:ind w:hanging="210"/>
              <w:jc w:val="left"/>
              <w:rPr>
                <w:szCs w:val="24"/>
              </w:rPr>
            </w:pPr>
            <w:r>
              <w:rPr>
                <w:szCs w:val="24"/>
              </w:rPr>
              <w:t xml:space="preserve">La fourniture et la pose d’équipement à la parcelle, notamment : </w:t>
            </w:r>
          </w:p>
          <w:p w:rsidR="0035701C" w:rsidRDefault="00FB561B" w:rsidP="00FB561B">
            <w:pPr>
              <w:numPr>
                <w:ilvl w:val="1"/>
                <w:numId w:val="248"/>
              </w:numPr>
              <w:spacing w:before="0" w:after="0"/>
              <w:ind w:hanging="244"/>
              <w:jc w:val="left"/>
              <w:rPr>
                <w:szCs w:val="24"/>
              </w:rPr>
            </w:pPr>
            <w:r>
              <w:rPr>
                <w:szCs w:val="24"/>
              </w:rPr>
              <w:t>les équipements de c</w:t>
            </w:r>
            <w:r>
              <w:rPr>
                <w:szCs w:val="24"/>
              </w:rPr>
              <w:t>ontention : la création des clôtures, exclos, barrières et portails.</w:t>
            </w:r>
          </w:p>
          <w:p w:rsidR="0035701C" w:rsidRDefault="00FB561B" w:rsidP="00FB561B">
            <w:pPr>
              <w:numPr>
                <w:ilvl w:val="1"/>
                <w:numId w:val="248"/>
              </w:numPr>
              <w:spacing w:before="0" w:after="0"/>
              <w:ind w:hanging="244"/>
              <w:jc w:val="left"/>
              <w:rPr>
                <w:szCs w:val="24"/>
              </w:rPr>
            </w:pPr>
            <w:r>
              <w:rPr>
                <w:szCs w:val="24"/>
              </w:rPr>
              <w:t>l’équipement d’irrigation, y compris le matériel de pilotage de l'irrigation</w:t>
            </w:r>
          </w:p>
          <w:p w:rsidR="0035701C" w:rsidRDefault="00FB561B" w:rsidP="00FB561B">
            <w:pPr>
              <w:numPr>
                <w:ilvl w:val="1"/>
                <w:numId w:val="248"/>
              </w:numPr>
              <w:spacing w:before="0" w:after="0"/>
              <w:ind w:hanging="244"/>
              <w:jc w:val="left"/>
              <w:rPr>
                <w:szCs w:val="24"/>
              </w:rPr>
            </w:pPr>
            <w:r>
              <w:rPr>
                <w:szCs w:val="24"/>
              </w:rPr>
              <w:t>la conduite et la protection des cultures (palissage, filets).</w:t>
            </w:r>
          </w:p>
          <w:p w:rsidR="0035701C" w:rsidRDefault="00FB561B" w:rsidP="00FB561B">
            <w:pPr>
              <w:numPr>
                <w:ilvl w:val="0"/>
                <w:numId w:val="248"/>
              </w:numPr>
              <w:spacing w:before="0" w:after="0"/>
              <w:ind w:hanging="210"/>
              <w:jc w:val="left"/>
              <w:rPr>
                <w:szCs w:val="24"/>
              </w:rPr>
            </w:pPr>
            <w:r>
              <w:rPr>
                <w:szCs w:val="24"/>
              </w:rPr>
              <w:t xml:space="preserve">Les contributions en nature dans le respect de </w:t>
            </w:r>
            <w:r>
              <w:rPr>
                <w:szCs w:val="24"/>
              </w:rPr>
              <w:t>l’article 69 du règlement (UE) n°1303/2013, hors apport en nature du foncier, non éligible pour ce type d'opération.</w:t>
            </w:r>
          </w:p>
          <w:p w:rsidR="0035701C" w:rsidRDefault="00FB561B" w:rsidP="00FB561B">
            <w:pPr>
              <w:numPr>
                <w:ilvl w:val="0"/>
                <w:numId w:val="248"/>
              </w:numPr>
              <w:spacing w:before="0" w:after="0"/>
              <w:ind w:hanging="210"/>
              <w:jc w:val="left"/>
              <w:rPr>
                <w:szCs w:val="24"/>
              </w:rPr>
            </w:pPr>
            <w:r>
              <w:rPr>
                <w:szCs w:val="24"/>
              </w:rPr>
              <w:t>L’achat de terrain acquis postérieurement à la demande d’aide, dans la limité de 10% des dépenses totales éligibles de l'opération concerné</w:t>
            </w:r>
            <w:r>
              <w:rPr>
                <w:szCs w:val="24"/>
              </w:rPr>
              <w:t>e,</w:t>
            </w:r>
          </w:p>
          <w:p w:rsidR="0035701C" w:rsidRDefault="00FB561B" w:rsidP="00FB561B">
            <w:pPr>
              <w:numPr>
                <w:ilvl w:val="0"/>
                <w:numId w:val="248"/>
              </w:numPr>
              <w:spacing w:before="0" w:after="240"/>
              <w:ind w:hanging="210"/>
              <w:jc w:val="left"/>
              <w:rPr>
                <w:szCs w:val="24"/>
              </w:rPr>
            </w:pPr>
            <w:r>
              <w:rPr>
                <w:szCs w:val="24"/>
              </w:rPr>
              <w:t>Les frais généraux relatifs à l’opération : études préalables, honoraires et expertises qui se rattachent aux investissements (valeur du terrain, étude de petite hydraulique…).</w:t>
            </w:r>
          </w:p>
          <w:p w:rsidR="0035701C" w:rsidRDefault="00FB561B">
            <w:pPr>
              <w:spacing w:before="240" w:after="240"/>
              <w:jc w:val="left"/>
              <w:rPr>
                <w:szCs w:val="24"/>
              </w:rPr>
            </w:pPr>
            <w:r>
              <w:rPr>
                <w:szCs w:val="24"/>
              </w:rPr>
              <w:t>Ces investissements peuvent être réalisés soit en prestation de service, soi</w:t>
            </w:r>
            <w:r>
              <w:rPr>
                <w:szCs w:val="24"/>
              </w:rPr>
              <w:t>t au moyen de l’intervention propre du bénéficiaire de l’opération (contribution en nature).</w:t>
            </w:r>
          </w:p>
          <w:p w:rsidR="0035701C" w:rsidRDefault="00FB561B">
            <w:pPr>
              <w:spacing w:before="240" w:after="240"/>
              <w:jc w:val="left"/>
              <w:rPr>
                <w:szCs w:val="24"/>
              </w:rPr>
            </w:pPr>
            <w:r>
              <w:rPr>
                <w:szCs w:val="24"/>
              </w:rPr>
              <w:t>Des barèmes de coûts standards sont établis pour chacune des interventions techniques nécessaire à la mise en valeur (cf. Tableau au §10 « Méthode de calcul »). Da</w:t>
            </w:r>
            <w:r>
              <w:rPr>
                <w:szCs w:val="24"/>
              </w:rPr>
              <w:t>ns sa version initiale le PDRC inclut la méthode qui sera utilisée pour déterminer le montant du coût quantifié. Cette méthode est établie conformément à l’article 62.2 du règlement FEADER et fait l’objet d’une certification réalisée par l'organisme "Eco L</w:t>
            </w:r>
            <w:r>
              <w:rPr>
                <w:szCs w:val="24"/>
              </w:rPr>
              <w:t>ogique Conseil", figurant au chapitre 18.2 du programme. En complément, l'Autorité de gestion (AG) fera certifier l'exactitude du calcul des montants établis conformément à cette méthode par un organisme indépendant, pour la mise en œuvre du TO 4.1.1.</w:t>
            </w:r>
          </w:p>
          <w:p w:rsidR="0035701C" w:rsidRDefault="00FB561B">
            <w:pPr>
              <w:spacing w:before="240" w:after="240"/>
              <w:jc w:val="left"/>
              <w:rPr>
                <w:szCs w:val="24"/>
              </w:rPr>
            </w:pPr>
            <w:r>
              <w:rPr>
                <w:szCs w:val="24"/>
              </w:rPr>
              <w:t>Conf</w:t>
            </w:r>
            <w:r>
              <w:rPr>
                <w:szCs w:val="24"/>
              </w:rPr>
              <w:t>ormément aux points 5 et 6 de l'article 17 du règlement (UE) 1305/2013, les investissements réalisés en vue de se conformer à des exigences de mise aux normes ne sont éligibles que dans les cas suivants :</w:t>
            </w:r>
          </w:p>
          <w:p w:rsidR="0035701C" w:rsidRDefault="00FB561B" w:rsidP="00FB561B">
            <w:pPr>
              <w:numPr>
                <w:ilvl w:val="0"/>
                <w:numId w:val="249"/>
              </w:numPr>
              <w:spacing w:before="240" w:after="0"/>
              <w:ind w:hanging="210"/>
              <w:jc w:val="left"/>
              <w:rPr>
                <w:szCs w:val="24"/>
              </w:rPr>
            </w:pPr>
            <w:r>
              <w:rPr>
                <w:szCs w:val="24"/>
              </w:rPr>
              <w:t xml:space="preserve">pour les JA dans les 24 mois à compter de la date </w:t>
            </w:r>
            <w:r>
              <w:rPr>
                <w:szCs w:val="24"/>
              </w:rPr>
              <w:t>de l'installation,</w:t>
            </w:r>
          </w:p>
          <w:p w:rsidR="0035701C" w:rsidRDefault="00FB561B" w:rsidP="00FB561B">
            <w:pPr>
              <w:numPr>
                <w:ilvl w:val="0"/>
                <w:numId w:val="249"/>
              </w:numPr>
              <w:spacing w:before="0" w:after="240"/>
              <w:ind w:hanging="210"/>
              <w:jc w:val="left"/>
              <w:rPr>
                <w:szCs w:val="24"/>
              </w:rPr>
            </w:pPr>
            <w:r>
              <w:rPr>
                <w:szCs w:val="24"/>
              </w:rPr>
              <w:t>lorsque le droit de l'Union impose de nouvelles exigences aux agriculteurs, dans le délai maximum de 12 mois à compter de la date à laquelle celles-ci deviennent obligatoires pour l'exploitation.</w:t>
            </w:r>
          </w:p>
          <w:p w:rsidR="0035701C" w:rsidRDefault="00FB561B">
            <w:pPr>
              <w:spacing w:before="240" w:after="240"/>
              <w:jc w:val="left"/>
              <w:rPr>
                <w:szCs w:val="24"/>
              </w:rPr>
            </w:pPr>
            <w:r>
              <w:rPr>
                <w:szCs w:val="24"/>
                <w:u w:val="single"/>
              </w:rPr>
              <w:t>L’assiette de l’opération est établie ave</w:t>
            </w:r>
            <w:r>
              <w:rPr>
                <w:szCs w:val="24"/>
                <w:u w:val="single"/>
              </w:rPr>
              <w:t>c :</w:t>
            </w:r>
          </w:p>
          <w:p w:rsidR="0035701C" w:rsidRDefault="00FB561B" w:rsidP="00FB561B">
            <w:pPr>
              <w:numPr>
                <w:ilvl w:val="0"/>
                <w:numId w:val="250"/>
              </w:numPr>
              <w:spacing w:before="240" w:after="0"/>
              <w:ind w:hanging="210"/>
              <w:jc w:val="left"/>
              <w:rPr>
                <w:szCs w:val="24"/>
              </w:rPr>
            </w:pPr>
            <w:r>
              <w:rPr>
                <w:szCs w:val="24"/>
              </w:rPr>
              <w:t>l’application de coûts standards forfaitaires à la surface, au linéaire ou à l’unité (par hectare, par mètre linéaire, par arbre…), pour les interventions entrants dans les itinéraires techniques établis pour ces opérations de mise en valeur.</w:t>
            </w:r>
          </w:p>
          <w:p w:rsidR="0035701C" w:rsidRDefault="00FB561B" w:rsidP="00FB561B">
            <w:pPr>
              <w:numPr>
                <w:ilvl w:val="0"/>
                <w:numId w:val="250"/>
              </w:numPr>
              <w:spacing w:before="0" w:after="0"/>
              <w:ind w:hanging="210"/>
              <w:jc w:val="left"/>
              <w:rPr>
                <w:szCs w:val="24"/>
              </w:rPr>
            </w:pPr>
            <w:r>
              <w:rPr>
                <w:szCs w:val="24"/>
              </w:rPr>
              <w:t>et pour l</w:t>
            </w:r>
            <w:r>
              <w:rPr>
                <w:szCs w:val="24"/>
              </w:rPr>
              <w:t>es interventions n’entrant pas dans ces barèmes, sur présentation des devis prévisionnels et factures d’équipements et de travaux (fumures, achat de plants ou de semence, matériel hydraulique), l'Autorité de Gestion pourra préciser les montants plafonds ad</w:t>
            </w:r>
            <w:r>
              <w:rPr>
                <w:szCs w:val="24"/>
              </w:rPr>
              <w:t>missibles par type d'investissement.</w:t>
            </w:r>
          </w:p>
          <w:p w:rsidR="0035701C" w:rsidRDefault="00FB561B" w:rsidP="00FB561B">
            <w:pPr>
              <w:numPr>
                <w:ilvl w:val="0"/>
                <w:numId w:val="250"/>
              </w:numPr>
              <w:spacing w:before="0" w:after="240"/>
              <w:ind w:hanging="210"/>
              <w:jc w:val="left"/>
              <w:rPr>
                <w:szCs w:val="24"/>
              </w:rPr>
            </w:pPr>
            <w:r>
              <w:rPr>
                <w:szCs w:val="24"/>
              </w:rPr>
              <w:t xml:space="preserve">Pour les opérations sous maîtrise d’ouvrage d’organismes de droit public, le coût de l’opération prend en compte les montants déterminés par des procédures d’appel à la concurrence, lorsque ces travaux sont réalisés en </w:t>
            </w:r>
            <w:r>
              <w:rPr>
                <w:szCs w:val="24"/>
              </w:rPr>
              <w:t>prestation de service.</w:t>
            </w:r>
          </w:p>
          <w:p w:rsidR="0035701C" w:rsidRDefault="00FB561B">
            <w:pPr>
              <w:spacing w:before="240" w:after="240"/>
              <w:jc w:val="left"/>
              <w:rPr>
                <w:szCs w:val="24"/>
              </w:rPr>
            </w:pPr>
            <w:r>
              <w:rPr>
                <w:szCs w:val="24"/>
                <w:u w:val="single"/>
              </w:rPr>
              <w:t>Les coûts inéligibles pour ce type d’opération concernent</w:t>
            </w:r>
            <w:r>
              <w:rPr>
                <w:szCs w:val="24"/>
              </w:rPr>
              <w:t> :</w:t>
            </w:r>
          </w:p>
          <w:p w:rsidR="0035701C" w:rsidRDefault="00FB561B" w:rsidP="00FB561B">
            <w:pPr>
              <w:numPr>
                <w:ilvl w:val="0"/>
                <w:numId w:val="251"/>
              </w:numPr>
              <w:spacing w:before="240" w:after="0"/>
              <w:ind w:hanging="210"/>
              <w:jc w:val="left"/>
              <w:rPr>
                <w:szCs w:val="24"/>
              </w:rPr>
            </w:pPr>
            <w:r>
              <w:rPr>
                <w:szCs w:val="24"/>
              </w:rPr>
              <w:t>les achats et travaux de renouvellement à l'identique et l'entretien,</w:t>
            </w:r>
          </w:p>
          <w:p w:rsidR="0035701C" w:rsidRDefault="00FB561B" w:rsidP="00FB561B">
            <w:pPr>
              <w:numPr>
                <w:ilvl w:val="0"/>
                <w:numId w:val="251"/>
              </w:numPr>
              <w:spacing w:before="0" w:after="0"/>
              <w:ind w:hanging="210"/>
              <w:jc w:val="left"/>
              <w:rPr>
                <w:szCs w:val="24"/>
              </w:rPr>
            </w:pPr>
            <w:r>
              <w:rPr>
                <w:szCs w:val="24"/>
              </w:rPr>
              <w:t>les matériels et équipements d’occasion sont inéligibles pour ce type d’opération,</w:t>
            </w:r>
          </w:p>
          <w:p w:rsidR="0035701C" w:rsidRDefault="00FB561B" w:rsidP="00FB561B">
            <w:pPr>
              <w:numPr>
                <w:ilvl w:val="0"/>
                <w:numId w:val="251"/>
              </w:numPr>
              <w:spacing w:before="0" w:after="240"/>
              <w:ind w:hanging="210"/>
              <w:jc w:val="left"/>
              <w:rPr>
                <w:szCs w:val="24"/>
              </w:rPr>
            </w:pPr>
            <w:r>
              <w:rPr>
                <w:szCs w:val="24"/>
              </w:rPr>
              <w:t xml:space="preserve">l’apport en nature </w:t>
            </w:r>
            <w:r>
              <w:rPr>
                <w:szCs w:val="24"/>
              </w:rPr>
              <w:t>du foncier,</w:t>
            </w:r>
          </w:p>
          <w:p w:rsidR="0035701C" w:rsidRDefault="00FB561B" w:rsidP="00FB561B">
            <w:pPr>
              <w:numPr>
                <w:ilvl w:val="0"/>
                <w:numId w:val="252"/>
              </w:numPr>
              <w:spacing w:before="240" w:after="0"/>
              <w:ind w:hanging="210"/>
              <w:jc w:val="left"/>
              <w:rPr>
                <w:szCs w:val="24"/>
              </w:rPr>
            </w:pPr>
            <w:r>
              <w:rPr>
                <w:szCs w:val="24"/>
              </w:rPr>
              <w:t>l'acquisition de droits de production agricole, de droits au paiement, d'animaux et de plantes annuelles, ainsi que la plantation de ces dernières, sont exclus en conformité avec l’article 45(3) du règlement 1305/2013,</w:t>
            </w:r>
          </w:p>
          <w:p w:rsidR="0035701C" w:rsidRDefault="00FB561B" w:rsidP="00FB561B">
            <w:pPr>
              <w:numPr>
                <w:ilvl w:val="0"/>
                <w:numId w:val="252"/>
              </w:numPr>
              <w:spacing w:before="0" w:after="240"/>
              <w:ind w:hanging="210"/>
              <w:jc w:val="left"/>
              <w:rPr>
                <w:szCs w:val="24"/>
              </w:rPr>
            </w:pPr>
            <w:r>
              <w:rPr>
                <w:szCs w:val="24"/>
              </w:rPr>
              <w:t>les investissements relat</w:t>
            </w:r>
            <w:r>
              <w:rPr>
                <w:szCs w:val="24"/>
              </w:rPr>
              <w:t>ifs à la création de réseaux de distribution à surface libre ainsi que les dispositifs d’irrigation gravitaires sont exclus.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i/>
                <w:iCs/>
                <w:szCs w:val="24"/>
              </w:rPr>
              <w:t>Le projet est éligible dans les conditions suivantes </w:t>
            </w:r>
            <w:r>
              <w:rPr>
                <w:szCs w:val="24"/>
              </w:rPr>
              <w:t>:</w:t>
            </w:r>
          </w:p>
          <w:p w:rsidR="0035701C" w:rsidRDefault="00FB561B" w:rsidP="00FB561B">
            <w:pPr>
              <w:numPr>
                <w:ilvl w:val="0"/>
                <w:numId w:val="253"/>
              </w:numPr>
              <w:spacing w:before="240" w:after="0"/>
              <w:ind w:hanging="210"/>
              <w:jc w:val="left"/>
              <w:rPr>
                <w:szCs w:val="24"/>
              </w:rPr>
            </w:pPr>
            <w:r>
              <w:rPr>
                <w:szCs w:val="24"/>
              </w:rPr>
              <w:t xml:space="preserve">Le projet d'investissement doit être situé en </w:t>
            </w:r>
            <w:r>
              <w:rPr>
                <w:szCs w:val="24"/>
              </w:rPr>
              <w:t>Corse.</w:t>
            </w:r>
          </w:p>
          <w:p w:rsidR="0035701C" w:rsidRDefault="00FB561B" w:rsidP="00FB561B">
            <w:pPr>
              <w:numPr>
                <w:ilvl w:val="0"/>
                <w:numId w:val="253"/>
              </w:numPr>
              <w:spacing w:before="0" w:after="0"/>
              <w:ind w:hanging="210"/>
              <w:jc w:val="left"/>
              <w:rPr>
                <w:szCs w:val="24"/>
              </w:rPr>
            </w:pPr>
            <w:r>
              <w:rPr>
                <w:szCs w:val="24"/>
              </w:rPr>
              <w:t>Le bénéficiaire doit présenter une attestation d'affiliation au régime de protection sociale des exploitants agricoles (AMEXA) en qualité de non salariés agricoles ou une attestation d'inscription MSA pour une société (hors candidat à l'installation</w:t>
            </w:r>
            <w:r>
              <w:rPr>
                <w:szCs w:val="24"/>
              </w:rPr>
              <w:t>)</w:t>
            </w:r>
          </w:p>
          <w:p w:rsidR="0035701C" w:rsidRDefault="00FB561B" w:rsidP="00FB561B">
            <w:pPr>
              <w:numPr>
                <w:ilvl w:val="0"/>
                <w:numId w:val="253"/>
              </w:numPr>
              <w:spacing w:before="0" w:after="0"/>
              <w:ind w:hanging="210"/>
              <w:jc w:val="left"/>
              <w:rPr>
                <w:szCs w:val="24"/>
              </w:rPr>
            </w:pPr>
            <w:r>
              <w:rPr>
                <w:szCs w:val="24"/>
              </w:rPr>
              <w:t xml:space="preserve">Dans le cas d'un exploitant nouvellement inscrit (inscription &lt; 5 ans), en dehors des démarches d’installation au titre des JA (mesure 6.1), celui-ci doit : </w:t>
            </w:r>
          </w:p>
          <w:p w:rsidR="0035701C" w:rsidRDefault="00FB561B" w:rsidP="00FB561B">
            <w:pPr>
              <w:numPr>
                <w:ilvl w:val="1"/>
                <w:numId w:val="253"/>
              </w:numPr>
              <w:spacing w:before="0" w:after="0"/>
              <w:ind w:hanging="244"/>
              <w:jc w:val="left"/>
              <w:rPr>
                <w:szCs w:val="24"/>
              </w:rPr>
            </w:pPr>
            <w:r>
              <w:rPr>
                <w:szCs w:val="24"/>
              </w:rPr>
              <w:t>se prévaloir d’un diplôme agricole de niveau IV minimum,</w:t>
            </w:r>
          </w:p>
          <w:p w:rsidR="0035701C" w:rsidRDefault="00FB561B" w:rsidP="00FB561B">
            <w:pPr>
              <w:numPr>
                <w:ilvl w:val="1"/>
                <w:numId w:val="253"/>
              </w:numPr>
              <w:spacing w:before="0" w:after="0"/>
              <w:ind w:hanging="244"/>
              <w:jc w:val="left"/>
              <w:rPr>
                <w:szCs w:val="24"/>
              </w:rPr>
            </w:pPr>
            <w:r>
              <w:rPr>
                <w:szCs w:val="24"/>
              </w:rPr>
              <w:t>ou fournir un premier exercice comptabl</w:t>
            </w:r>
            <w:r>
              <w:rPr>
                <w:szCs w:val="24"/>
              </w:rPr>
              <w:t>e et présenter au service instructeur un projet de développement de l'exploitation sur 3 ans.</w:t>
            </w:r>
          </w:p>
          <w:p w:rsidR="0035701C" w:rsidRDefault="00FB561B" w:rsidP="00FB561B">
            <w:pPr>
              <w:numPr>
                <w:ilvl w:val="0"/>
                <w:numId w:val="253"/>
              </w:numPr>
              <w:spacing w:before="0" w:after="0"/>
              <w:ind w:hanging="210"/>
              <w:jc w:val="left"/>
              <w:rPr>
                <w:szCs w:val="24"/>
              </w:rPr>
            </w:pPr>
            <w:r>
              <w:rPr>
                <w:szCs w:val="24"/>
              </w:rPr>
              <w:t>Le demandeur ne doit pas être en procédure de sauvegarde ou de redressement judiciaire sur le dernier exercice comptable connu. Un engagement sur l’honneur concer</w:t>
            </w:r>
            <w:r>
              <w:rPr>
                <w:szCs w:val="24"/>
              </w:rPr>
              <w:t>nant la régularité de la situation sociale et fiscale est requis.</w:t>
            </w:r>
          </w:p>
          <w:p w:rsidR="0035701C" w:rsidRDefault="00FB561B" w:rsidP="00FB561B">
            <w:pPr>
              <w:numPr>
                <w:ilvl w:val="0"/>
                <w:numId w:val="253"/>
              </w:numPr>
              <w:spacing w:before="0" w:after="0"/>
              <w:ind w:hanging="210"/>
              <w:jc w:val="left"/>
              <w:rPr>
                <w:szCs w:val="24"/>
              </w:rPr>
            </w:pPr>
            <w:r>
              <w:rPr>
                <w:szCs w:val="24"/>
              </w:rPr>
              <w:t>Le projet doit être présenté en conformité avec le droit spécifique applicable en matière d’évaluation de l’impact environnemental en conformité avec l’article 45.1 du R 1305/2013, et le cas</w:t>
            </w:r>
            <w:r>
              <w:rPr>
                <w:szCs w:val="24"/>
              </w:rPr>
              <w:t xml:space="preserve"> échéant avec les autorisations requises.</w:t>
            </w:r>
          </w:p>
          <w:p w:rsidR="0035701C" w:rsidRDefault="00FB561B" w:rsidP="00FB561B">
            <w:pPr>
              <w:numPr>
                <w:ilvl w:val="0"/>
                <w:numId w:val="253"/>
              </w:numPr>
              <w:spacing w:before="0" w:after="0"/>
              <w:ind w:hanging="210"/>
              <w:jc w:val="left"/>
              <w:rPr>
                <w:szCs w:val="24"/>
              </w:rPr>
            </w:pPr>
            <w:r>
              <w:rPr>
                <w:szCs w:val="24"/>
              </w:rPr>
              <w:t>La maîtrise foncière des terrains objet de l’opération est requise.</w:t>
            </w:r>
          </w:p>
          <w:p w:rsidR="0035701C" w:rsidRDefault="00FB561B" w:rsidP="00FB561B">
            <w:pPr>
              <w:numPr>
                <w:ilvl w:val="0"/>
                <w:numId w:val="253"/>
              </w:numPr>
              <w:spacing w:before="0" w:after="240"/>
              <w:ind w:hanging="210"/>
              <w:jc w:val="left"/>
              <w:rPr>
                <w:szCs w:val="24"/>
              </w:rPr>
            </w:pPr>
            <w:r>
              <w:rPr>
                <w:szCs w:val="24"/>
              </w:rPr>
              <w:t xml:space="preserve">L’aide à la plantation de parcelle viticole sur la base d'une autorisation de plantation nouvelle au sens de l’article 64 du règlement OCM </w:t>
            </w:r>
            <w:r>
              <w:rPr>
                <w:szCs w:val="24"/>
              </w:rPr>
              <w:t>1308/2013 est limitée aux bénéficiaires JA à concurrence de 6 ha par JA sur la durée de la programmation, hors opération de restructuration de parcelle (arrachage / replantation).</w:t>
            </w:r>
          </w:p>
          <w:p w:rsidR="0035701C" w:rsidRDefault="00FB561B">
            <w:pPr>
              <w:spacing w:before="240" w:after="240"/>
              <w:jc w:val="left"/>
              <w:rPr>
                <w:szCs w:val="24"/>
              </w:rPr>
            </w:pPr>
            <w:r>
              <w:rPr>
                <w:i/>
                <w:iCs/>
                <w:szCs w:val="24"/>
              </w:rPr>
              <w:t>Cas d’inéligibilité</w:t>
            </w:r>
          </w:p>
          <w:p w:rsidR="0035701C" w:rsidRDefault="00FB561B" w:rsidP="00FB561B">
            <w:pPr>
              <w:numPr>
                <w:ilvl w:val="0"/>
                <w:numId w:val="254"/>
              </w:numPr>
              <w:spacing w:before="240" w:after="240"/>
              <w:ind w:hanging="210"/>
              <w:jc w:val="left"/>
              <w:rPr>
                <w:szCs w:val="24"/>
              </w:rPr>
            </w:pPr>
            <w:r>
              <w:rPr>
                <w:szCs w:val="24"/>
              </w:rPr>
              <w:t>Toute opération démontrant à l’instruction une situation</w:t>
            </w:r>
            <w:r>
              <w:rPr>
                <w:szCs w:val="24"/>
              </w:rPr>
              <w:t xml:space="preserve"> irrégulière avant projet à l'égard de la réglementation sur les installations classées pour la protection de l'environnement au titre du code de l'environnement (articles L 214-1 à L 214-6 et L 512-1 à L 513-3). les installations déjà existantes afférente</w:t>
            </w:r>
            <w:r>
              <w:rPr>
                <w:szCs w:val="24"/>
              </w:rPr>
              <w:t>s au projet doivent être en règle au dépôt de la demande vis à vis des autorisations exigées (forage, autorisations de surfaces, assainissement…etc.).</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i/>
                <w:iCs/>
                <w:szCs w:val="24"/>
              </w:rPr>
              <w:t>Conditions d’admissibilité des opérations aux investissements liés à l’irrigation (ouvrages, installati</w:t>
            </w:r>
            <w:r>
              <w:rPr>
                <w:i/>
                <w:iCs/>
                <w:szCs w:val="24"/>
              </w:rPr>
              <w:t>ons et équipements) :</w:t>
            </w:r>
          </w:p>
          <w:p w:rsidR="0035701C" w:rsidRDefault="00FB561B">
            <w:pPr>
              <w:spacing w:before="240" w:after="240"/>
              <w:jc w:val="left"/>
              <w:rPr>
                <w:szCs w:val="24"/>
              </w:rPr>
            </w:pPr>
            <w:r>
              <w:rPr>
                <w:szCs w:val="24"/>
              </w:rPr>
              <w:t>Les dépenses concernant la mobilisation de la ressource en eau pour l’irrigation sont admissibles à conditions de respecter :</w:t>
            </w:r>
          </w:p>
          <w:p w:rsidR="0035701C" w:rsidRDefault="00FB561B" w:rsidP="00FB561B">
            <w:pPr>
              <w:numPr>
                <w:ilvl w:val="0"/>
                <w:numId w:val="255"/>
              </w:numPr>
              <w:spacing w:before="240" w:after="0"/>
              <w:ind w:hanging="210"/>
              <w:jc w:val="left"/>
              <w:rPr>
                <w:szCs w:val="24"/>
              </w:rPr>
            </w:pPr>
            <w:r>
              <w:rPr>
                <w:szCs w:val="24"/>
              </w:rPr>
              <w:t>l’ensemble des prescriptions mentionnées à l’article 46 du règlement (UE) 1305/2013,</w:t>
            </w:r>
          </w:p>
          <w:p w:rsidR="0035701C" w:rsidRDefault="00FB561B" w:rsidP="00FB561B">
            <w:pPr>
              <w:numPr>
                <w:ilvl w:val="0"/>
                <w:numId w:val="255"/>
              </w:numPr>
              <w:spacing w:before="0" w:after="0"/>
              <w:ind w:hanging="210"/>
              <w:jc w:val="left"/>
              <w:rPr>
                <w:szCs w:val="24"/>
              </w:rPr>
            </w:pPr>
            <w:r>
              <w:rPr>
                <w:szCs w:val="24"/>
              </w:rPr>
              <w:t>l’application de la rég</w:t>
            </w:r>
            <w:r>
              <w:rPr>
                <w:szCs w:val="24"/>
              </w:rPr>
              <w:t>lementation nationale,</w:t>
            </w:r>
          </w:p>
          <w:p w:rsidR="0035701C" w:rsidRDefault="00FB561B" w:rsidP="00FB561B">
            <w:pPr>
              <w:numPr>
                <w:ilvl w:val="0"/>
                <w:numId w:val="255"/>
              </w:numPr>
              <w:spacing w:before="0" w:after="240"/>
              <w:ind w:hanging="210"/>
              <w:jc w:val="left"/>
              <w:rPr>
                <w:szCs w:val="24"/>
              </w:rPr>
            </w:pPr>
            <w:r>
              <w:rPr>
                <w:szCs w:val="24"/>
              </w:rPr>
              <w:t>et les prescriptions complémentaires de l’AG.</w:t>
            </w:r>
          </w:p>
          <w:p w:rsidR="0035701C" w:rsidRDefault="00FB561B">
            <w:pPr>
              <w:spacing w:before="240" w:after="240"/>
              <w:jc w:val="left"/>
              <w:rPr>
                <w:szCs w:val="24"/>
              </w:rPr>
            </w:pPr>
            <w:r>
              <w:rPr>
                <w:szCs w:val="24"/>
              </w:rPr>
              <w:t xml:space="preserve">Sont ainsi applicables l'ensemble des dispositions figurant à la section "Méthode de calcul" de l'opération, au § </w:t>
            </w:r>
            <w:r>
              <w:rPr>
                <w:szCs w:val="24"/>
                <w:u w:val="single"/>
              </w:rPr>
              <w:t>II) Notice détaillée relative aux conditions d'admissibilité des investis</w:t>
            </w:r>
            <w:r>
              <w:rPr>
                <w:szCs w:val="24"/>
                <w:u w:val="single"/>
              </w:rPr>
              <w:t xml:space="preserve">sements d'irrigation </w:t>
            </w:r>
            <w:r>
              <w:rPr>
                <w:szCs w:val="24"/>
              </w:rPr>
              <w:t>(réalisation obligatoire d’un document d’évaluation démontrant notamment l’absence d’impact négatif sur l’environnement, localisation à l’intérieur du périmètre du Bassin de Corse, cohérence avec les orientations et programme du SDAGE,</w:t>
            </w:r>
            <w:r>
              <w:rPr>
                <w:szCs w:val="24"/>
              </w:rPr>
              <w:t xml:space="preserve"> mesure et suivi de la consommation d’eau, économies d’eau potentielle, réduction éventuelle, critères liés à l’augmentation de surfaces irriguées, régularité des installations au titre du code de l’environnement, obligations liées aux captages de ressourc</w:t>
            </w:r>
            <w:r>
              <w:rPr>
                <w:szCs w:val="24"/>
              </w:rPr>
              <w:t>es souterraines, accord des gestionnaires pour les demandes de raccordement, usage agricole des parcelles, organisation des projets de desserte en eau à titre collectif).</w:t>
            </w:r>
          </w:p>
          <w:p w:rsidR="0035701C" w:rsidRDefault="00FB561B">
            <w:pPr>
              <w:spacing w:before="240" w:after="240"/>
              <w:jc w:val="left"/>
              <w:rPr>
                <w:szCs w:val="24"/>
              </w:rPr>
            </w:pPr>
            <w:r>
              <w:rPr>
                <w:szCs w:val="24"/>
              </w:rPr>
              <w:t>L’admissibilité des investissements est appréciée en considérant la globalité du syst</w:t>
            </w:r>
            <w:r>
              <w:rPr>
                <w:szCs w:val="24"/>
              </w:rPr>
              <w:t>ème d’irrigation sans dissocier la partie des investissements objet de la demande de subvention ; il s’agit d’intégrer l’ensemble des éléments de contexte liés à la localisation et à la nature du prélèvement, au système de distribution, au système d’arrosa</w:t>
            </w:r>
            <w:r>
              <w:rPr>
                <w:szCs w:val="24"/>
              </w:rPr>
              <w:t>ge et aux pratiques agronomiques.</w:t>
            </w:r>
          </w:p>
          <w:p w:rsidR="0035701C" w:rsidRDefault="00FB561B">
            <w:pPr>
              <w:spacing w:before="240" w:after="240"/>
              <w:jc w:val="left"/>
              <w:rPr>
                <w:szCs w:val="24"/>
              </w:rPr>
            </w:pPr>
            <w:r>
              <w:rPr>
                <w:szCs w:val="24"/>
              </w:rPr>
              <w:t>Le tableau ci-joint résume les différentes conditions liées à la mise en œuvre de l’article 46 du règlement (UE) 1305/2013 qui dépendent des paramètres relatifs à :</w:t>
            </w:r>
          </w:p>
          <w:p w:rsidR="0035701C" w:rsidRDefault="00FB561B" w:rsidP="00FB561B">
            <w:pPr>
              <w:numPr>
                <w:ilvl w:val="0"/>
                <w:numId w:val="256"/>
              </w:numPr>
              <w:spacing w:before="240" w:after="0"/>
              <w:ind w:hanging="210"/>
              <w:jc w:val="left"/>
              <w:rPr>
                <w:szCs w:val="24"/>
              </w:rPr>
            </w:pPr>
            <w:r>
              <w:rPr>
                <w:szCs w:val="24"/>
              </w:rPr>
              <w:t>l’état quantitatif de la ressource au regard de la locali</w:t>
            </w:r>
            <w:r>
              <w:rPr>
                <w:szCs w:val="24"/>
              </w:rPr>
              <w:t>sation des prélèvements,</w:t>
            </w:r>
          </w:p>
          <w:p w:rsidR="0035701C" w:rsidRDefault="00FB561B" w:rsidP="00FB561B">
            <w:pPr>
              <w:numPr>
                <w:ilvl w:val="0"/>
                <w:numId w:val="256"/>
              </w:numPr>
              <w:spacing w:before="0" w:after="0"/>
              <w:ind w:hanging="210"/>
              <w:jc w:val="left"/>
              <w:rPr>
                <w:szCs w:val="24"/>
              </w:rPr>
            </w:pPr>
            <w:r>
              <w:rPr>
                <w:szCs w:val="24"/>
              </w:rPr>
              <w:t>l’augmentation potentielle de surface irriguée,</w:t>
            </w:r>
          </w:p>
          <w:p w:rsidR="0035701C" w:rsidRDefault="00FB561B" w:rsidP="00FB561B">
            <w:pPr>
              <w:numPr>
                <w:ilvl w:val="0"/>
                <w:numId w:val="256"/>
              </w:numPr>
              <w:spacing w:before="0" w:after="0"/>
              <w:ind w:hanging="210"/>
              <w:jc w:val="left"/>
              <w:rPr>
                <w:szCs w:val="24"/>
              </w:rPr>
            </w:pPr>
            <w:r>
              <w:rPr>
                <w:szCs w:val="24"/>
              </w:rPr>
              <w:t>le recours à des réservoirs de stockage de la ressource,</w:t>
            </w:r>
          </w:p>
          <w:p w:rsidR="0035701C" w:rsidRDefault="00FB561B" w:rsidP="00FB561B">
            <w:pPr>
              <w:numPr>
                <w:ilvl w:val="0"/>
                <w:numId w:val="256"/>
              </w:numPr>
              <w:spacing w:before="0" w:after="240"/>
              <w:ind w:hanging="210"/>
              <w:jc w:val="left"/>
              <w:rPr>
                <w:szCs w:val="24"/>
              </w:rPr>
            </w:pPr>
            <w:r>
              <w:rPr>
                <w:szCs w:val="24"/>
              </w:rPr>
              <w:t>le cas échéant de l’incidence environnementale du projet.</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300304" cy="8280400"/>
                  <wp:effectExtent l="0" t="0" r="0" b="0"/>
                  <wp:docPr id="100080" name="Image 100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
                          <pic:cNvPicPr>
                            <a:picLocks noChangeAspect="1"/>
                          </pic:cNvPicPr>
                        </pic:nvPicPr>
                        <pic:blipFill>
                          <a:blip r:embed="rId53"/>
                          <a:stretch>
                            <a:fillRect/>
                          </a:stretch>
                        </pic:blipFill>
                        <pic:spPr>
                          <a:xfrm>
                            <a:off x="0" y="0"/>
                            <a:ext cx="6300304" cy="8280400"/>
                          </a:xfrm>
                          <a:prstGeom prst="rect">
                            <a:avLst/>
                          </a:prstGeom>
                        </pic:spPr>
                      </pic:pic>
                    </a:graphicData>
                  </a:graphic>
                </wp:inline>
              </w:drawing>
            </w:r>
          </w:p>
          <w:p w:rsidR="0035701C" w:rsidRDefault="00FB561B">
            <w:pPr>
              <w:pStyle w:val="Pieddepage"/>
              <w:jc w:val="center"/>
            </w:pPr>
            <w:r>
              <w:t>Admissibilité irrigation</w:t>
            </w:r>
          </w:p>
          <w:p w:rsidR="0035701C" w:rsidRDefault="0035701C">
            <w:pPr>
              <w:pStyle w:val="Pieddepage"/>
              <w:jc w:val="center"/>
            </w:pPr>
          </w:p>
        </w:tc>
      </w:tr>
    </w:tbl>
    <w:p w:rsidR="0035701C" w:rsidRDefault="00FB561B">
      <w:pPr>
        <w:pStyle w:val="Titre6"/>
      </w:pPr>
      <w:r>
        <w:t xml:space="preserve">Principes applicables à </w:t>
      </w:r>
      <w:r>
        <w:t>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 sélection des opérations s’opère sur la base des principes suivants ; il s’agit :</w:t>
            </w:r>
          </w:p>
          <w:p w:rsidR="0035701C" w:rsidRDefault="00FB561B" w:rsidP="00FB561B">
            <w:pPr>
              <w:numPr>
                <w:ilvl w:val="0"/>
                <w:numId w:val="257"/>
              </w:numPr>
              <w:spacing w:before="240" w:after="0"/>
              <w:ind w:hanging="210"/>
              <w:jc w:val="left"/>
              <w:rPr>
                <w:szCs w:val="24"/>
              </w:rPr>
            </w:pPr>
            <w:r>
              <w:rPr>
                <w:szCs w:val="24"/>
              </w:rPr>
              <w:t xml:space="preserve">de prioriser d’une part les projets innovants réalisés dans le cadre du PEI, et d’autre part les projets conduits par les JA ; </w:t>
            </w:r>
            <w:r>
              <w:rPr>
                <w:szCs w:val="24"/>
              </w:rPr>
              <w:t>ceci afin de rechercher un effet d’entrainement plus important.</w:t>
            </w:r>
          </w:p>
          <w:p w:rsidR="0035701C" w:rsidRDefault="00FB561B" w:rsidP="00FB561B">
            <w:pPr>
              <w:numPr>
                <w:ilvl w:val="0"/>
                <w:numId w:val="257"/>
              </w:numPr>
              <w:spacing w:before="0" w:after="0"/>
              <w:ind w:hanging="210"/>
              <w:jc w:val="left"/>
              <w:rPr>
                <w:szCs w:val="24"/>
              </w:rPr>
            </w:pPr>
            <w:r>
              <w:rPr>
                <w:szCs w:val="24"/>
              </w:rPr>
              <w:t xml:space="preserve">Pour les autres projets, Il s'agit : </w:t>
            </w:r>
          </w:p>
          <w:p w:rsidR="0035701C" w:rsidRDefault="00FB561B" w:rsidP="00FB561B">
            <w:pPr>
              <w:numPr>
                <w:ilvl w:val="1"/>
                <w:numId w:val="257"/>
              </w:numPr>
              <w:spacing w:before="0" w:after="0"/>
              <w:ind w:hanging="244"/>
              <w:jc w:val="left"/>
              <w:rPr>
                <w:szCs w:val="24"/>
              </w:rPr>
            </w:pPr>
            <w:r>
              <w:rPr>
                <w:szCs w:val="24"/>
              </w:rPr>
              <w:t>de favoriser les exploitants qui tirent leur revenu principalement de l’agriculture par rapport aux agriculteurs exerçant d’autres activités.</w:t>
            </w:r>
          </w:p>
          <w:p w:rsidR="0035701C" w:rsidRDefault="00FB561B" w:rsidP="00FB561B">
            <w:pPr>
              <w:numPr>
                <w:ilvl w:val="1"/>
                <w:numId w:val="257"/>
              </w:numPr>
              <w:spacing w:before="0" w:after="0"/>
              <w:ind w:hanging="244"/>
              <w:jc w:val="left"/>
              <w:rPr>
                <w:szCs w:val="24"/>
              </w:rPr>
            </w:pPr>
            <w:r>
              <w:rPr>
                <w:szCs w:val="24"/>
              </w:rPr>
              <w:t>de favoriser</w:t>
            </w:r>
            <w:r>
              <w:rPr>
                <w:szCs w:val="24"/>
              </w:rPr>
              <w:t xml:space="preserve"> les projets conduits dans le périmètre d'un projet de territoire (Associations Foncières Autorisées, GIEE...).</w:t>
            </w:r>
          </w:p>
          <w:p w:rsidR="0035701C" w:rsidRDefault="00FB561B" w:rsidP="00FB561B">
            <w:pPr>
              <w:numPr>
                <w:ilvl w:val="1"/>
                <w:numId w:val="257"/>
              </w:numPr>
              <w:spacing w:before="0" w:after="0"/>
              <w:ind w:hanging="244"/>
              <w:jc w:val="left"/>
              <w:rPr>
                <w:szCs w:val="24"/>
              </w:rPr>
            </w:pPr>
            <w:r>
              <w:rPr>
                <w:szCs w:val="24"/>
              </w:rPr>
              <w:t>de favoriser les exploitations engagées dans les signes officiels de qualité qui répondent ainsi à l’orientation de la zone de programmation.</w:t>
            </w:r>
          </w:p>
          <w:p w:rsidR="0035701C" w:rsidRDefault="00FB561B" w:rsidP="00FB561B">
            <w:pPr>
              <w:numPr>
                <w:ilvl w:val="1"/>
                <w:numId w:val="257"/>
              </w:numPr>
              <w:spacing w:before="0" w:after="0"/>
              <w:ind w:hanging="244"/>
              <w:jc w:val="left"/>
              <w:rPr>
                <w:szCs w:val="24"/>
              </w:rPr>
            </w:pPr>
            <w:r>
              <w:rPr>
                <w:szCs w:val="24"/>
              </w:rPr>
              <w:t>de</w:t>
            </w:r>
            <w:r>
              <w:rPr>
                <w:szCs w:val="24"/>
              </w:rPr>
              <w:t xml:space="preserve"> favoriser les exploitations engagées dans une certification environnementale ou en agriculture biologique.</w:t>
            </w:r>
          </w:p>
          <w:p w:rsidR="0035701C" w:rsidRDefault="00FB561B" w:rsidP="00FB561B">
            <w:pPr>
              <w:numPr>
                <w:ilvl w:val="0"/>
                <w:numId w:val="257"/>
              </w:numPr>
              <w:spacing w:before="0" w:after="240"/>
              <w:ind w:hanging="210"/>
              <w:jc w:val="left"/>
              <w:rPr>
                <w:szCs w:val="24"/>
              </w:rPr>
            </w:pPr>
            <w:r>
              <w:rPr>
                <w:szCs w:val="24"/>
              </w:rPr>
              <w:t>Au niveau des opérations, de valoriser les projets mettant en œuvre des pratiques respectueuses de l’environnement en rapport avec les problématique</w:t>
            </w:r>
            <w:r>
              <w:rPr>
                <w:szCs w:val="24"/>
              </w:rPr>
              <w:t>s relatives à l’érosion ou d'économie de la ressource en eau.</w:t>
            </w:r>
          </w:p>
          <w:p w:rsidR="0035701C" w:rsidRDefault="00FB561B">
            <w:pPr>
              <w:spacing w:before="240" w:after="240"/>
              <w:jc w:val="left"/>
              <w:rPr>
                <w:szCs w:val="24"/>
              </w:rPr>
            </w:pPr>
            <w:r>
              <w:rPr>
                <w:szCs w:val="24"/>
              </w:rPr>
              <w:t>En dehors des aides sur fonds EURI, le dispositif d'aide est ouvert en continu. La mobilisation des fonds EURI fait l'objet d'appels à projets spécifiques qui peuvent inclure un critère de sélec</w:t>
            </w:r>
            <w:r>
              <w:rPr>
                <w:szCs w:val="24"/>
              </w:rPr>
              <w:t>tion supplémentaire en relation avec l'objet de ces appels à projets.</w:t>
            </w:r>
            <w:r>
              <w:rPr>
                <w:szCs w:val="24"/>
              </w:rPr>
              <w:br/>
              <w:t>La grille de sélection des opérations prévoira l'établissement d'un système de points permettant le classement des dossiers et la fixation d'un seuil minimal pour accéder au soutien au t</w:t>
            </w:r>
            <w:r>
              <w:rPr>
                <w:szCs w:val="24"/>
              </w:rPr>
              <w:t>itre du PDRC.</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fixé dans le respect des taux mentionnés dans le Règlement FEADER à l’article 17 et à l’annexe II :</w:t>
            </w:r>
          </w:p>
          <w:tbl>
            <w:tblPr>
              <w:tblW w:w="7480" w:type="dxa"/>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5566"/>
              <w:gridCol w:w="934"/>
              <w:gridCol w:w="940"/>
            </w:tblGrid>
            <w:tr w:rsidR="0035701C">
              <w:trPr>
                <w:jc w:val="center"/>
              </w:trPr>
              <w:tc>
                <w:tcPr>
                  <w:tcW w:w="0" w:type="auto"/>
                  <w:tcBorders>
                    <w:bottom w:val="inset" w:sz="6" w:space="0" w:color="808080"/>
                    <w:right w:val="inset" w:sz="6" w:space="0" w:color="808080"/>
                  </w:tcBorders>
                  <w:shd w:val="clear" w:color="auto" w:fill="00FFFF"/>
                  <w:tcMar>
                    <w:top w:w="25" w:type="dxa"/>
                    <w:left w:w="25" w:type="dxa"/>
                    <w:bottom w:w="22" w:type="dxa"/>
                    <w:right w:w="22" w:type="dxa"/>
                  </w:tcMar>
                  <w:vAlign w:val="center"/>
                  <w:hideMark/>
                </w:tcPr>
                <w:p w:rsidR="0035701C" w:rsidRDefault="00FB561B">
                  <w:pPr>
                    <w:spacing w:before="0" w:after="0"/>
                    <w:jc w:val="center"/>
                    <w:rPr>
                      <w:color w:val="000000"/>
                      <w:szCs w:val="24"/>
                    </w:rPr>
                  </w:pPr>
                  <w:r>
                    <w:rPr>
                      <w:b/>
                      <w:bCs/>
                      <w:color w:val="000000"/>
                      <w:szCs w:val="24"/>
                    </w:rPr>
                    <w:t>Taux d'intervention</w:t>
                  </w:r>
                </w:p>
              </w:tc>
              <w:tc>
                <w:tcPr>
                  <w:tcW w:w="0" w:type="auto"/>
                  <w:gridSpan w:val="2"/>
                  <w:tcBorders>
                    <w:left w:val="inset" w:sz="6" w:space="0" w:color="808080"/>
                    <w:bottom w:val="inset" w:sz="6" w:space="0" w:color="808080"/>
                  </w:tcBorders>
                  <w:shd w:val="clear" w:color="auto" w:fill="00FFFF"/>
                  <w:tcMar>
                    <w:top w:w="25" w:type="dxa"/>
                    <w:left w:w="22" w:type="dxa"/>
                    <w:bottom w:w="22" w:type="dxa"/>
                    <w:right w:w="25" w:type="dxa"/>
                  </w:tcMar>
                  <w:vAlign w:val="center"/>
                  <w:hideMark/>
                </w:tcPr>
                <w:p w:rsidR="0035701C" w:rsidRDefault="00FB561B">
                  <w:pPr>
                    <w:spacing w:before="0" w:after="0"/>
                    <w:jc w:val="center"/>
                    <w:rPr>
                      <w:color w:val="000000"/>
                      <w:szCs w:val="24"/>
                    </w:rPr>
                  </w:pPr>
                  <w:r>
                    <w:rPr>
                      <w:b/>
                      <w:bCs/>
                      <w:color w:val="000000"/>
                      <w:szCs w:val="24"/>
                    </w:rPr>
                    <w:t>Zones de Montagne, ZSCN, ZSCS</w:t>
                  </w:r>
                </w:p>
              </w:tc>
            </w:tr>
            <w:tr w:rsidR="0035701C">
              <w:trPr>
                <w:jc w:val="center"/>
              </w:trPr>
              <w:tc>
                <w:tcPr>
                  <w:tcW w:w="0" w:type="auto"/>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35701C" w:rsidRDefault="00FB561B">
                  <w:pPr>
                    <w:spacing w:before="0" w:after="0"/>
                    <w:jc w:val="left"/>
                    <w:rPr>
                      <w:color w:val="000000"/>
                      <w:szCs w:val="24"/>
                    </w:rPr>
                  </w:pPr>
                  <w:r>
                    <w:rPr>
                      <w:color w:val="000000"/>
                      <w:szCs w:val="24"/>
                    </w:rPr>
                    <w:t> </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center"/>
                    <w:rPr>
                      <w:color w:val="000000"/>
                      <w:szCs w:val="24"/>
                    </w:rPr>
                  </w:pPr>
                  <w:r>
                    <w:rPr>
                      <w:color w:val="000000"/>
                      <w:szCs w:val="24"/>
                    </w:rPr>
                    <w:t>Ainé</w:t>
                  </w:r>
                </w:p>
              </w:tc>
              <w:tc>
                <w:tcPr>
                  <w:tcW w:w="0" w:type="auto"/>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35701C" w:rsidRDefault="00FB561B">
                  <w:pPr>
                    <w:spacing w:before="0" w:after="0"/>
                    <w:jc w:val="center"/>
                    <w:rPr>
                      <w:color w:val="000000"/>
                      <w:szCs w:val="24"/>
                    </w:rPr>
                  </w:pPr>
                  <w:r>
                    <w:rPr>
                      <w:color w:val="000000"/>
                      <w:szCs w:val="24"/>
                    </w:rPr>
                    <w:t>JA</w:t>
                  </w:r>
                </w:p>
              </w:tc>
            </w:tr>
            <w:tr w:rsidR="0035701C">
              <w:trPr>
                <w:jc w:val="center"/>
              </w:trPr>
              <w:tc>
                <w:tcPr>
                  <w:tcW w:w="0" w:type="auto"/>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35701C" w:rsidRDefault="00FB561B">
                  <w:pPr>
                    <w:spacing w:before="0" w:after="240"/>
                    <w:jc w:val="left"/>
                    <w:rPr>
                      <w:color w:val="000000"/>
                      <w:szCs w:val="24"/>
                    </w:rPr>
                  </w:pPr>
                  <w:r>
                    <w:rPr>
                      <w:color w:val="000000"/>
                      <w:szCs w:val="24"/>
                    </w:rPr>
                    <w:t xml:space="preserve">a -   </w:t>
                  </w:r>
                  <w:r>
                    <w:rPr>
                      <w:color w:val="000000"/>
                      <w:szCs w:val="24"/>
                    </w:rPr>
                    <w:t>Fourniture et pose d’équipements :</w:t>
                  </w:r>
                </w:p>
                <w:p w:rsidR="0035701C" w:rsidRDefault="00FB561B">
                  <w:pPr>
                    <w:spacing w:before="240" w:after="0"/>
                    <w:ind w:left="600"/>
                    <w:jc w:val="left"/>
                    <w:rPr>
                      <w:color w:val="000000"/>
                      <w:szCs w:val="24"/>
                    </w:rPr>
                  </w:pPr>
                  <w:r>
                    <w:rPr>
                      <w:color w:val="000000"/>
                      <w:szCs w:val="24"/>
                    </w:rPr>
                    <w:t>- clôtures et matériel connexe (portails)</w:t>
                  </w:r>
                  <w:r>
                    <w:rPr>
                      <w:color w:val="000000"/>
                      <w:szCs w:val="24"/>
                    </w:rPr>
                    <w:br/>
                    <w:t>- matériel d’irrigation,</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240"/>
                    <w:jc w:val="center"/>
                    <w:rPr>
                      <w:color w:val="000000"/>
                      <w:szCs w:val="24"/>
                    </w:rPr>
                  </w:pPr>
                  <w:r>
                    <w:rPr>
                      <w:color w:val="000000"/>
                      <w:szCs w:val="24"/>
                    </w:rPr>
                    <w:t> </w:t>
                  </w:r>
                </w:p>
                <w:p w:rsidR="0035701C" w:rsidRDefault="00FB561B">
                  <w:pPr>
                    <w:spacing w:before="240" w:after="0"/>
                    <w:jc w:val="center"/>
                    <w:rPr>
                      <w:color w:val="000000"/>
                      <w:szCs w:val="24"/>
                    </w:rPr>
                  </w:pPr>
                  <w:r>
                    <w:rPr>
                      <w:color w:val="000000"/>
                      <w:szCs w:val="24"/>
                    </w:rPr>
                    <w:t>60%</w:t>
                  </w:r>
                  <w:r>
                    <w:rPr>
                      <w:color w:val="000000"/>
                      <w:szCs w:val="24"/>
                    </w:rPr>
                    <w:br/>
                    <w:t>50%(*)</w:t>
                  </w:r>
                </w:p>
              </w:tc>
              <w:tc>
                <w:tcPr>
                  <w:tcW w:w="0" w:type="auto"/>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35701C" w:rsidRDefault="00FB561B">
                  <w:pPr>
                    <w:spacing w:before="0" w:after="240"/>
                    <w:jc w:val="center"/>
                    <w:rPr>
                      <w:color w:val="000000"/>
                      <w:szCs w:val="24"/>
                    </w:rPr>
                  </w:pPr>
                  <w:r>
                    <w:rPr>
                      <w:color w:val="000000"/>
                      <w:szCs w:val="24"/>
                    </w:rPr>
                    <w:t> </w:t>
                  </w:r>
                </w:p>
                <w:p w:rsidR="0035701C" w:rsidRDefault="00FB561B">
                  <w:pPr>
                    <w:spacing w:before="240" w:after="0"/>
                    <w:jc w:val="center"/>
                    <w:rPr>
                      <w:color w:val="000000"/>
                      <w:szCs w:val="24"/>
                    </w:rPr>
                  </w:pPr>
                  <w:r>
                    <w:rPr>
                      <w:color w:val="000000"/>
                      <w:szCs w:val="24"/>
                    </w:rPr>
                    <w:t>70%</w:t>
                  </w:r>
                  <w:r>
                    <w:rPr>
                      <w:color w:val="000000"/>
                      <w:szCs w:val="24"/>
                    </w:rPr>
                    <w:br/>
                    <w:t>60%(*)</w:t>
                  </w:r>
                </w:p>
              </w:tc>
            </w:tr>
            <w:tr w:rsidR="0035701C">
              <w:trPr>
                <w:jc w:val="center"/>
              </w:trPr>
              <w:tc>
                <w:tcPr>
                  <w:tcW w:w="0" w:type="auto"/>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35701C" w:rsidRDefault="00FB561B">
                  <w:pPr>
                    <w:spacing w:before="0" w:after="240"/>
                    <w:jc w:val="left"/>
                    <w:rPr>
                      <w:color w:val="000000"/>
                      <w:szCs w:val="24"/>
                    </w:rPr>
                  </w:pPr>
                  <w:r>
                    <w:rPr>
                      <w:color w:val="000000"/>
                      <w:szCs w:val="24"/>
                    </w:rPr>
                    <w:t>b -   Travaux de mise en valeur des cultures pérennes</w:t>
                  </w:r>
                </w:p>
                <w:p w:rsidR="0035701C" w:rsidRDefault="00FB561B" w:rsidP="00FB561B">
                  <w:pPr>
                    <w:numPr>
                      <w:ilvl w:val="0"/>
                      <w:numId w:val="258"/>
                    </w:numPr>
                    <w:spacing w:before="240" w:after="0"/>
                    <w:ind w:hanging="210"/>
                    <w:jc w:val="left"/>
                    <w:rPr>
                      <w:color w:val="000000"/>
                      <w:szCs w:val="24"/>
                    </w:rPr>
                  </w:pPr>
                  <w:r>
                    <w:rPr>
                      <w:color w:val="000000"/>
                      <w:szCs w:val="24"/>
                    </w:rPr>
                    <w:t>plantation et aménagements de nouveaux terrains,</w:t>
                  </w:r>
                </w:p>
                <w:p w:rsidR="0035701C" w:rsidRDefault="00FB561B" w:rsidP="00FB561B">
                  <w:pPr>
                    <w:numPr>
                      <w:ilvl w:val="0"/>
                      <w:numId w:val="258"/>
                    </w:numPr>
                    <w:spacing w:before="0" w:after="0"/>
                    <w:ind w:hanging="210"/>
                    <w:jc w:val="left"/>
                    <w:rPr>
                      <w:color w:val="000000"/>
                      <w:szCs w:val="24"/>
                    </w:rPr>
                  </w:pPr>
                  <w:r>
                    <w:rPr>
                      <w:color w:val="000000"/>
                      <w:szCs w:val="24"/>
                    </w:rPr>
                    <w:t xml:space="preserve">création de cultures </w:t>
                  </w:r>
                  <w:r>
                    <w:rPr>
                      <w:color w:val="000000"/>
                      <w:szCs w:val="24"/>
                    </w:rPr>
                    <w:t>fourragères pérennes,</w:t>
                  </w:r>
                </w:p>
                <w:p w:rsidR="0035701C" w:rsidRDefault="00FB561B" w:rsidP="00FB561B">
                  <w:pPr>
                    <w:numPr>
                      <w:ilvl w:val="0"/>
                      <w:numId w:val="258"/>
                    </w:numPr>
                    <w:spacing w:before="0" w:after="240"/>
                    <w:ind w:hanging="210"/>
                    <w:jc w:val="left"/>
                    <w:rPr>
                      <w:color w:val="000000"/>
                      <w:szCs w:val="24"/>
                    </w:rPr>
                  </w:pPr>
                  <w:r>
                    <w:rPr>
                      <w:color w:val="000000"/>
                      <w:szCs w:val="24"/>
                    </w:rPr>
                    <w:t>amélioration des cultures pérennes (rénovation des vergers traditionnels, restructuration de vergers)</w:t>
                  </w:r>
                </w:p>
                <w:p w:rsidR="0035701C" w:rsidRDefault="00FB561B">
                  <w:pPr>
                    <w:spacing w:before="240" w:after="240"/>
                    <w:jc w:val="left"/>
                    <w:rPr>
                      <w:color w:val="000000"/>
                      <w:szCs w:val="24"/>
                    </w:rPr>
                  </w:pPr>
                  <w:r>
                    <w:rPr>
                      <w:color w:val="000000"/>
                      <w:szCs w:val="24"/>
                    </w:rPr>
                    <w:t>c -   les travaux de qualification des parcours d’élevage</w:t>
                  </w:r>
                </w:p>
                <w:p w:rsidR="0035701C" w:rsidRDefault="00FB561B">
                  <w:pPr>
                    <w:spacing w:before="240" w:after="0"/>
                    <w:jc w:val="left"/>
                    <w:rPr>
                      <w:color w:val="000000"/>
                      <w:szCs w:val="24"/>
                    </w:rPr>
                  </w:pPr>
                  <w:r>
                    <w:rPr>
                      <w:color w:val="000000"/>
                      <w:szCs w:val="24"/>
                    </w:rPr>
                    <w:t>d -   Accès secondaire aux parcelles</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center"/>
                    <w:rPr>
                      <w:color w:val="000000"/>
                      <w:szCs w:val="24"/>
                    </w:rPr>
                  </w:pPr>
                  <w:r>
                    <w:rPr>
                      <w:color w:val="000000"/>
                      <w:szCs w:val="24"/>
                    </w:rPr>
                    <w:t>60%</w:t>
                  </w:r>
                </w:p>
              </w:tc>
              <w:tc>
                <w:tcPr>
                  <w:tcW w:w="0" w:type="auto"/>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35701C" w:rsidRDefault="00FB561B">
                  <w:pPr>
                    <w:spacing w:before="0" w:after="0"/>
                    <w:jc w:val="center"/>
                    <w:rPr>
                      <w:color w:val="000000"/>
                      <w:szCs w:val="24"/>
                    </w:rPr>
                  </w:pPr>
                  <w:r>
                    <w:rPr>
                      <w:color w:val="000000"/>
                      <w:szCs w:val="24"/>
                    </w:rPr>
                    <w:t>70%(*)</w:t>
                  </w:r>
                </w:p>
              </w:tc>
            </w:tr>
            <w:tr w:rsidR="0035701C">
              <w:trPr>
                <w:jc w:val="center"/>
              </w:trPr>
              <w:tc>
                <w:tcPr>
                  <w:tcW w:w="0" w:type="auto"/>
                  <w:tcBorders>
                    <w:top w:val="inset" w:sz="6" w:space="0" w:color="808080"/>
                    <w:right w:val="inset" w:sz="6" w:space="0" w:color="808080"/>
                  </w:tcBorders>
                  <w:tcMar>
                    <w:top w:w="22" w:type="dxa"/>
                    <w:left w:w="25" w:type="dxa"/>
                    <w:bottom w:w="25" w:type="dxa"/>
                    <w:right w:w="22" w:type="dxa"/>
                  </w:tcMar>
                  <w:vAlign w:val="center"/>
                  <w:hideMark/>
                </w:tcPr>
                <w:p w:rsidR="0035701C" w:rsidRDefault="00FB561B">
                  <w:pPr>
                    <w:spacing w:before="0" w:after="0"/>
                    <w:jc w:val="left"/>
                    <w:rPr>
                      <w:color w:val="000000"/>
                      <w:szCs w:val="24"/>
                    </w:rPr>
                  </w:pPr>
                  <w:r>
                    <w:rPr>
                      <w:color w:val="000000"/>
                      <w:szCs w:val="24"/>
                    </w:rPr>
                    <w:t xml:space="preserve">e - Projets sélectionnés </w:t>
                  </w:r>
                  <w:r>
                    <w:rPr>
                      <w:color w:val="000000"/>
                      <w:szCs w:val="24"/>
                    </w:rPr>
                    <w:t>au titre des appels à projet du plan de relance sur les fonds EURI</w:t>
                  </w:r>
                </w:p>
              </w:tc>
              <w:tc>
                <w:tcPr>
                  <w:tcW w:w="0" w:type="auto"/>
                  <w:gridSpan w:val="2"/>
                  <w:tcBorders>
                    <w:top w:val="inset" w:sz="6" w:space="0" w:color="808080"/>
                    <w:left w:val="inset" w:sz="6" w:space="0" w:color="808080"/>
                  </w:tcBorders>
                  <w:tcMar>
                    <w:top w:w="22" w:type="dxa"/>
                    <w:left w:w="22" w:type="dxa"/>
                    <w:bottom w:w="25" w:type="dxa"/>
                    <w:right w:w="25" w:type="dxa"/>
                  </w:tcMar>
                  <w:vAlign w:val="center"/>
                  <w:hideMark/>
                </w:tcPr>
                <w:p w:rsidR="0035701C" w:rsidRDefault="00FB561B">
                  <w:pPr>
                    <w:spacing w:before="0" w:after="0"/>
                    <w:jc w:val="center"/>
                    <w:rPr>
                      <w:color w:val="000000"/>
                      <w:szCs w:val="24"/>
                    </w:rPr>
                  </w:pPr>
                  <w:r>
                    <w:rPr>
                      <w:color w:val="000000"/>
                      <w:szCs w:val="24"/>
                    </w:rPr>
                    <w:t>75%</w:t>
                  </w:r>
                </w:p>
              </w:tc>
            </w:tr>
          </w:tbl>
          <w:p w:rsidR="0035701C" w:rsidRDefault="00FB561B">
            <w:pPr>
              <w:spacing w:before="240" w:after="240"/>
              <w:jc w:val="left"/>
              <w:rPr>
                <w:szCs w:val="24"/>
              </w:rPr>
            </w:pPr>
            <w:r>
              <w:rPr>
                <w:szCs w:val="24"/>
              </w:rPr>
              <w:t xml:space="preserve">(*) Pour les agriculteurs avec des caprins de race corse majoritaires en UGB au sein de l'exploitation, les taux d’aide aux investissements de cet atelier d'élevage sont relevés de </w:t>
            </w:r>
            <w:r>
              <w:rPr>
                <w:szCs w:val="24"/>
                <w:u w:val="single"/>
              </w:rPr>
              <w:t xml:space="preserve">+ </w:t>
            </w:r>
            <w:r>
              <w:rPr>
                <w:szCs w:val="24"/>
                <w:u w:val="single"/>
              </w:rPr>
              <w:t>10%</w:t>
            </w:r>
            <w:r>
              <w:rPr>
                <w:szCs w:val="24"/>
              </w:rPr>
              <w:t>  par rapport aux indications données dans le tableau "taux d'intervention".</w:t>
            </w:r>
          </w:p>
          <w:p w:rsidR="0035701C" w:rsidRDefault="00FB561B">
            <w:pPr>
              <w:spacing w:before="240" w:after="240"/>
              <w:jc w:val="left"/>
              <w:rPr>
                <w:szCs w:val="24"/>
              </w:rPr>
            </w:pPr>
            <w:r>
              <w:rPr>
                <w:szCs w:val="24"/>
              </w:rPr>
              <w:t>En dehors d'appels à projet spécifiques ou sur les fonds EURI (e), ces taux d’aide sont modulés en fonction des conditions relatives aux filières de production :</w:t>
            </w:r>
          </w:p>
          <w:p w:rsidR="0035701C" w:rsidRDefault="00FB561B" w:rsidP="00FB561B">
            <w:pPr>
              <w:numPr>
                <w:ilvl w:val="0"/>
                <w:numId w:val="259"/>
              </w:numPr>
              <w:spacing w:before="240" w:after="0"/>
              <w:ind w:hanging="210"/>
              <w:jc w:val="left"/>
              <w:rPr>
                <w:szCs w:val="24"/>
              </w:rPr>
            </w:pPr>
            <w:r>
              <w:rPr>
                <w:szCs w:val="24"/>
              </w:rPr>
              <w:t xml:space="preserve">cf. tableau : </w:t>
            </w:r>
            <w:r>
              <w:rPr>
                <w:szCs w:val="24"/>
              </w:rPr>
              <w:t>"Modulation de l’aide".</w:t>
            </w:r>
          </w:p>
          <w:p w:rsidR="0035701C" w:rsidRDefault="00FB561B" w:rsidP="00FB561B">
            <w:pPr>
              <w:numPr>
                <w:ilvl w:val="0"/>
                <w:numId w:val="259"/>
              </w:numPr>
              <w:spacing w:before="0" w:after="0"/>
              <w:ind w:hanging="210"/>
              <w:jc w:val="left"/>
              <w:rPr>
                <w:szCs w:val="24"/>
              </w:rPr>
            </w:pPr>
            <w:r>
              <w:rPr>
                <w:szCs w:val="24"/>
              </w:rPr>
              <w:t>Ces conditions s'appliquent en considérant la filière de destination de l'investissement. En application des dispositions de la V7 du PDRC et à cette date (cf. erratum dans la description des modifications : "modifications additionn</w:t>
            </w:r>
            <w:r>
              <w:rPr>
                <w:szCs w:val="24"/>
              </w:rPr>
              <w:t>elles") la notion d'atelier principal ayant été supprimée : dans le cas où l'investissement peut concerner plusieurs filières de productions, l'application des modulations est considérée pour l'atelier entrainant les dispositions les plus favorables.</w:t>
            </w:r>
          </w:p>
          <w:p w:rsidR="0035701C" w:rsidRDefault="00FB561B" w:rsidP="00FB561B">
            <w:pPr>
              <w:numPr>
                <w:ilvl w:val="0"/>
                <w:numId w:val="259"/>
              </w:numPr>
              <w:spacing w:before="0" w:after="240"/>
              <w:ind w:hanging="210"/>
              <w:jc w:val="left"/>
              <w:rPr>
                <w:szCs w:val="24"/>
              </w:rPr>
            </w:pPr>
            <w:r>
              <w:rPr>
                <w:szCs w:val="24"/>
              </w:rPr>
              <w:t xml:space="preserve">Les </w:t>
            </w:r>
            <w:r>
              <w:rPr>
                <w:szCs w:val="24"/>
              </w:rPr>
              <w:t>modulations relatives aux signes de qualité (*) s'appliquent de la façon suivante : pour les projets de mise en valeur (plantations, rénovations...) , il convient de considérer le respect du cahier des charges de ces appellations, l'obligation d'adhérer au</w:t>
            </w:r>
            <w:r>
              <w:rPr>
                <w:szCs w:val="24"/>
              </w:rPr>
              <w:t>x signes de qualité, et l'obligation de démontrer l'occurrence d'une production sous signe de qualité dans les 5 ans avant la fin de l'engagement lié à l'investissement. Pour les investissements d'équipement de cultures déjà productives, la condition d'ins</w:t>
            </w:r>
            <w:r>
              <w:rPr>
                <w:szCs w:val="24"/>
              </w:rPr>
              <w:t>cription et de production sous signe de qualité s'applique dès le dépôt de la demande.</w:t>
            </w:r>
          </w:p>
          <w:p w:rsidR="0035701C" w:rsidRDefault="00FB561B">
            <w:pPr>
              <w:spacing w:before="240" w:after="240"/>
              <w:jc w:val="left"/>
              <w:rPr>
                <w:szCs w:val="24"/>
              </w:rPr>
            </w:pPr>
            <w:r>
              <w:rPr>
                <w:szCs w:val="24"/>
                <w:u w:val="single"/>
              </w:rPr>
              <w:t>Plan de Relance à partir de 2021</w:t>
            </w:r>
            <w:r>
              <w:rPr>
                <w:szCs w:val="24"/>
              </w:rPr>
              <w:t>. Selon les possibilités offertes par l’article 58bis du règlement 1305/2013, le taux d’aide est établi à 75% pour les opérations bénéfic</w:t>
            </w:r>
            <w:r>
              <w:rPr>
                <w:szCs w:val="24"/>
              </w:rPr>
              <w:t>iant d’un soutien dans le cadre du Plan de relance européen sur fonds EURI. Ces fonds sont exclusivement mis en œuvre par appel à projet spécifiques mobilisant ces fonds. Le seuil des demandes admissibles pour ces opérations est spécifiquement fixé dans ch</w:t>
            </w:r>
            <w:r>
              <w:rPr>
                <w:szCs w:val="24"/>
              </w:rPr>
              <w:t>aque appel à projets EURI.</w:t>
            </w:r>
          </w:p>
          <w:p w:rsidR="0035701C" w:rsidRDefault="00FB561B">
            <w:pPr>
              <w:spacing w:before="240" w:after="240"/>
              <w:jc w:val="left"/>
              <w:rPr>
                <w:szCs w:val="24"/>
              </w:rPr>
            </w:pPr>
            <w:r>
              <w:rPr>
                <w:i/>
                <w:iCs/>
                <w:szCs w:val="24"/>
              </w:rPr>
              <w:t>Plafond d'aide aux exploitations agricoles</w:t>
            </w:r>
          </w:p>
          <w:p w:rsidR="0035701C" w:rsidRDefault="00FB561B" w:rsidP="00FB561B">
            <w:pPr>
              <w:numPr>
                <w:ilvl w:val="0"/>
                <w:numId w:val="260"/>
              </w:numPr>
              <w:spacing w:before="240" w:after="240"/>
              <w:ind w:hanging="210"/>
              <w:jc w:val="left"/>
              <w:rPr>
                <w:szCs w:val="24"/>
              </w:rPr>
            </w:pPr>
            <w:r>
              <w:rPr>
                <w:szCs w:val="24"/>
              </w:rPr>
              <w:t xml:space="preserve">Le plafond d’investissement éligible à une aide, par exploitation agricole bénéficiaire s’élève à 800.000 euros sur une période de 24 mois. Ce montant est majoré de 50% pour les jeunes </w:t>
            </w:r>
            <w:r>
              <w:rPr>
                <w:szCs w:val="24"/>
              </w:rPr>
              <w:t>agriculteurs. Ce plafond s'applique, en dehors des aides sur fonds EURI, sur le cumul des sous mesures 4.1 hors projet collectif (TO 4.1.1 et 4.1.2) et 4.2.</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210300" cy="5743575"/>
                  <wp:effectExtent l="0" t="0" r="0" b="0"/>
                  <wp:docPr id="100082" name="Image 100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
                          <pic:cNvPicPr>
                            <a:picLocks noChangeAspect="1"/>
                          </pic:cNvPicPr>
                        </pic:nvPicPr>
                        <pic:blipFill>
                          <a:blip r:embed="rId54"/>
                          <a:stretch>
                            <a:fillRect/>
                          </a:stretch>
                        </pic:blipFill>
                        <pic:spPr>
                          <a:xfrm>
                            <a:off x="0" y="0"/>
                            <a:ext cx="6210300" cy="5743575"/>
                          </a:xfrm>
                          <a:prstGeom prst="rect">
                            <a:avLst/>
                          </a:prstGeom>
                        </pic:spPr>
                      </pic:pic>
                    </a:graphicData>
                  </a:graphic>
                </wp:inline>
              </w:drawing>
            </w:r>
          </w:p>
          <w:p w:rsidR="0035701C" w:rsidRDefault="00FB561B">
            <w:pPr>
              <w:pStyle w:val="Pieddepage"/>
              <w:jc w:val="center"/>
            </w:pPr>
            <w:r>
              <w:t>Modulation de l’aide</w:t>
            </w:r>
          </w:p>
          <w:p w:rsidR="0035701C" w:rsidRDefault="0035701C">
            <w:pPr>
              <w:pStyle w:val="Pieddepage"/>
              <w:jc w:val="center"/>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 :</w:t>
            </w:r>
          </w:p>
          <w:p w:rsidR="0035701C" w:rsidRDefault="00FB561B">
            <w:pPr>
              <w:spacing w:before="240" w:after="240"/>
              <w:jc w:val="left"/>
              <w:rPr>
                <w:szCs w:val="24"/>
              </w:rPr>
            </w:pPr>
            <w:r>
              <w:rPr>
                <w:szCs w:val="24"/>
              </w:rPr>
              <w:t>- L'OP a demandé que soient bien décrits les pétitionnaires susceptibles d'être bénéficiaires de cette opération, ainsi que les travaux et investissement</w:t>
            </w:r>
            <w:r>
              <w:rPr>
                <w:szCs w:val="24"/>
              </w:rPr>
              <w:t>s susceptibles d'être financés. Les éléments de Droit, les précisions apportées au présent texte, ainsi que le détail des éléments de réponse à fournir sur les appels à projet sont satisfaisants.  La mise en place d'un contrôle croisé sur les aides de même</w:t>
            </w:r>
            <w:r>
              <w:rPr>
                <w:szCs w:val="24"/>
              </w:rPr>
              <w:t xml:space="preserve"> type ou de même public cible sera formalisé.</w:t>
            </w:r>
          </w:p>
          <w:p w:rsidR="0035701C" w:rsidRDefault="00FB561B">
            <w:pPr>
              <w:spacing w:before="240" w:after="240"/>
              <w:jc w:val="left"/>
              <w:rPr>
                <w:szCs w:val="24"/>
              </w:rPr>
            </w:pPr>
            <w:r>
              <w:rPr>
                <w:szCs w:val="24"/>
              </w:rPr>
              <w:t xml:space="preserve">- Concernant les taux d'aide tels que décrits dans le PDRC, l’OP a recommandé que leurs modalités d’application soient clairement établies et diffusés. Après avoir pris connaissance des précisions apportées au </w:t>
            </w:r>
            <w:r>
              <w:rPr>
                <w:szCs w:val="24"/>
              </w:rPr>
              <w:t>présent texte, l'Organisme Payeur considère que ce document permet de lever (MAJ V5.0 : en grande partie) ses interrogations.</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 xml:space="preserve">n°1 - R1 : Pour les formes juridiques sociétaires </w:t>
            </w:r>
            <w:r>
              <w:rPr>
                <w:szCs w:val="24"/>
              </w:rPr>
              <w:t>ou associatives, les collectivités, conformité des statuts et actes, mise à jour effective et conforme au long de la période d’engagement. (source : Législation nationale : décalage entre Droit Social, Droit des Sociétés, Droit Rural)</w:t>
            </w:r>
          </w:p>
          <w:p w:rsidR="0035701C" w:rsidRDefault="00FB561B">
            <w:pPr>
              <w:spacing w:before="240" w:after="240"/>
              <w:jc w:val="left"/>
              <w:rPr>
                <w:szCs w:val="24"/>
              </w:rPr>
            </w:pPr>
            <w:r>
              <w:rPr>
                <w:szCs w:val="24"/>
              </w:rPr>
              <w:t xml:space="preserve">n°2 - R10 : Pour les </w:t>
            </w:r>
            <w:r>
              <w:rPr>
                <w:szCs w:val="24"/>
              </w:rPr>
              <w:t>travaux, risque de surfaces déjà financées par ailleurs (toujours sous engagement d'anciens contrats, ou financées sur les opérations à destination des agriculteurs (ex : 4.3.1) (source : Ponctuel sur Retour d'Expérience)</w:t>
            </w:r>
          </w:p>
          <w:p w:rsidR="0035701C" w:rsidRDefault="00FB561B">
            <w:pPr>
              <w:spacing w:before="240" w:after="240"/>
              <w:jc w:val="left"/>
              <w:rPr>
                <w:szCs w:val="24"/>
              </w:rPr>
            </w:pPr>
            <w:r>
              <w:rPr>
                <w:szCs w:val="24"/>
              </w:rPr>
              <w:t xml:space="preserve">n°3 - R2 : Pour les travaux, hors </w:t>
            </w:r>
            <w:r>
              <w:rPr>
                <w:szCs w:val="24"/>
              </w:rPr>
              <w:t>coûts standards, s'assurer de leur caractère raisonnable (source : CCCOP Exercice 2012-2014)</w:t>
            </w:r>
          </w:p>
          <w:p w:rsidR="0035701C" w:rsidRDefault="00FB561B">
            <w:pPr>
              <w:spacing w:before="240" w:after="240"/>
              <w:jc w:val="left"/>
              <w:rPr>
                <w:szCs w:val="24"/>
              </w:rPr>
            </w:pPr>
            <w:r>
              <w:rPr>
                <w:szCs w:val="24"/>
              </w:rPr>
              <w:t>n°4 - R9 : Pour les travaux en propre compte, risque de mauvaise valorisation dans le cas d'éléments hors coûts standards, pour les prestations intellectuelles not</w:t>
            </w:r>
            <w:r>
              <w:rPr>
                <w:szCs w:val="24"/>
              </w:rPr>
              <w:t>amment, difficulté à appréhender la valeur du travail fourni (1303/2013 Art 69.1c) (source : 2007-2013 en continu Formation de l'administration, des Partenaires, des Bénéficiaires, Multiplicité des précisions sur « Guidance » (notes de cadrage)).</w:t>
            </w:r>
          </w:p>
          <w:p w:rsidR="0035701C" w:rsidRDefault="00FB561B">
            <w:pPr>
              <w:spacing w:before="240" w:after="240"/>
              <w:jc w:val="left"/>
              <w:rPr>
                <w:szCs w:val="24"/>
              </w:rPr>
            </w:pPr>
            <w:r>
              <w:rPr>
                <w:szCs w:val="24"/>
              </w:rPr>
              <w:t xml:space="preserve">n°5 - R3 </w:t>
            </w:r>
            <w:r>
              <w:rPr>
                <w:szCs w:val="24"/>
              </w:rPr>
              <w:t>: MAJ V5.0 Pour les nouvelles plantations viticoles, risque de manquement à la réglementation OCM et nationale.</w:t>
            </w:r>
          </w:p>
          <w:p w:rsidR="0035701C" w:rsidRDefault="00FB561B">
            <w:pPr>
              <w:spacing w:before="240" w:after="240"/>
              <w:jc w:val="left"/>
              <w:rPr>
                <w:szCs w:val="24"/>
              </w:rPr>
            </w:pPr>
            <w:r>
              <w:rPr>
                <w:szCs w:val="24"/>
              </w:rPr>
              <w:t>n°6 - R11 : MAJ V5.0 Pour le relèvement du taux d'aide au bénéfice des cheptels de race caprine corse. Détail précis et méthodologie de calcul d</w:t>
            </w:r>
            <w:r>
              <w:rPr>
                <w:szCs w:val="24"/>
              </w:rPr>
              <w:t>u taux d'aide selon les critères d'éligibilité, et/ou critères de sélection (scoring) dans le DOMO et les notices d'information. Sensibilisation de l'administration et des bénéficiaires. (source : 2007-2013 en continu Formation de l'administration, des Par</w:t>
            </w:r>
            <w:r>
              <w:rPr>
                <w:szCs w:val="24"/>
              </w:rPr>
              <w:t>tenaires, des Bénéficiaires, Multiplicité des précisions sur « Guidance » (notes de cadrage))</w:t>
            </w:r>
          </w:p>
          <w:p w:rsidR="0035701C" w:rsidRDefault="00FB561B">
            <w:pPr>
              <w:spacing w:before="240" w:after="240"/>
              <w:jc w:val="left"/>
              <w:rPr>
                <w:szCs w:val="24"/>
              </w:rPr>
            </w:pPr>
            <w:r>
              <w:rPr>
                <w:szCs w:val="24"/>
              </w:rPr>
              <w:t>n°7 - R5  : MAJ V5.0 Mise en place de définitions précises relatives au comptage des cheptels tout au long des engagements souscrits, avec calendrier. (source : D</w:t>
            </w:r>
            <w:r>
              <w:rPr>
                <w:szCs w:val="24"/>
              </w:rPr>
              <w:t>G AGRI 2011, DG AGRI 2013)</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VERIFIER Pour les formes juridiques sociétaires ou associatives, conformité des statuts et actes, mise à jour effective et conforme.</w:t>
            </w:r>
          </w:p>
          <w:p w:rsidR="0035701C" w:rsidRDefault="00FB561B">
            <w:pPr>
              <w:spacing w:before="240" w:after="240"/>
              <w:jc w:val="left"/>
              <w:rPr>
                <w:szCs w:val="24"/>
              </w:rPr>
            </w:pPr>
            <w:r>
              <w:rPr>
                <w:szCs w:val="24"/>
              </w:rPr>
              <w:t xml:space="preserve">n°2 - R10 : EXECUTER UN CONTRÔLE CROISE des aides aux </w:t>
            </w:r>
            <w:r>
              <w:rPr>
                <w:szCs w:val="24"/>
              </w:rPr>
              <w:t>bénéficiaires de l'opération avec les autres aides dont ils ont bénéficié ou dont ils bénéficient, et avec celles des bénéficiaires secondaires (cas des coopératives).</w:t>
            </w:r>
          </w:p>
          <w:p w:rsidR="0035701C" w:rsidRDefault="00FB561B">
            <w:pPr>
              <w:spacing w:before="240" w:after="240"/>
              <w:jc w:val="left"/>
              <w:rPr>
                <w:szCs w:val="24"/>
              </w:rPr>
            </w:pPr>
            <w:r>
              <w:rPr>
                <w:szCs w:val="24"/>
              </w:rPr>
              <w:t>                   MAINTENIR ce point de contrôle administratif de la demande d'aide à l</w:t>
            </w:r>
            <w:r>
              <w:rPr>
                <w:szCs w:val="24"/>
              </w:rPr>
              <w:t>a fin de la période d'engagement.</w:t>
            </w:r>
          </w:p>
          <w:p w:rsidR="0035701C" w:rsidRDefault="00FB561B">
            <w:pPr>
              <w:spacing w:before="240" w:after="240"/>
              <w:jc w:val="left"/>
              <w:rPr>
                <w:szCs w:val="24"/>
              </w:rPr>
            </w:pPr>
            <w:r>
              <w:rPr>
                <w:szCs w:val="24"/>
              </w:rPr>
              <w:t>n°3 - R2  : FORMALISER en l’absence de recours à des coûts relevant de l’article 62.2 du R/UE 1305/2013, la mise en place d’un protocole d’évaluation à partir de 3 devis et/ou avis authentique du comité technique en charge</w:t>
            </w:r>
            <w:r>
              <w:rPr>
                <w:szCs w:val="24"/>
              </w:rPr>
              <w:t xml:space="preserve"> de la sélection des opérations garantissant le caractère raisonnable de la dépense..</w:t>
            </w:r>
          </w:p>
          <w:p w:rsidR="0035701C" w:rsidRDefault="00FB561B">
            <w:pPr>
              <w:spacing w:before="240" w:after="240"/>
              <w:jc w:val="left"/>
              <w:rPr>
                <w:szCs w:val="24"/>
              </w:rPr>
            </w:pPr>
            <w:r>
              <w:rPr>
                <w:szCs w:val="24"/>
              </w:rPr>
              <w:t>n°4 - R9 : PRECISER pour l'ensemble des travaux pour propre compte la liste des dépenses éligibles financièrement et qualitativement et,</w:t>
            </w:r>
          </w:p>
          <w:p w:rsidR="0035701C" w:rsidRDefault="00FB561B">
            <w:pPr>
              <w:spacing w:before="240" w:after="240"/>
              <w:jc w:val="left"/>
              <w:rPr>
                <w:szCs w:val="24"/>
              </w:rPr>
            </w:pPr>
            <w:r>
              <w:rPr>
                <w:szCs w:val="24"/>
              </w:rPr>
              <w:t>                 SENSIBILISER l'a</w:t>
            </w:r>
            <w:r>
              <w:rPr>
                <w:szCs w:val="24"/>
              </w:rPr>
              <w:t>dministration et des bénéficiaires (charges sociales, liste présence aux réunions,…).</w:t>
            </w:r>
          </w:p>
          <w:p w:rsidR="0035701C" w:rsidRDefault="00FB561B">
            <w:pPr>
              <w:spacing w:before="240" w:after="240"/>
              <w:jc w:val="left"/>
              <w:rPr>
                <w:szCs w:val="24"/>
              </w:rPr>
            </w:pPr>
            <w:r>
              <w:rPr>
                <w:szCs w:val="24"/>
              </w:rPr>
              <w:t>n°5 - R3  : MAJ V5.0 EXECUTER UN CONTRÔLE CROISE des conditions d'admissibilité des surfaces (mise en place de procédure avec les autorités nationales). MAINTENIR ce poin</w:t>
            </w:r>
            <w:r>
              <w:rPr>
                <w:szCs w:val="24"/>
              </w:rPr>
              <w:t>t de contrôle administratif tout au long de la période d'engagement.</w:t>
            </w:r>
          </w:p>
          <w:p w:rsidR="0035701C" w:rsidRDefault="00FB561B">
            <w:pPr>
              <w:spacing w:before="240" w:after="240"/>
              <w:jc w:val="left"/>
              <w:rPr>
                <w:szCs w:val="24"/>
              </w:rPr>
            </w:pPr>
            <w:r>
              <w:rPr>
                <w:szCs w:val="24"/>
              </w:rPr>
              <w:t>n°6 - R11 : MAJ V5.0 FORMALISER le mode de contrôle de l'identification du cheptel de race locale pour garantir le calcul du taux d’aide. ASSURER le maintien des conditions méthodologique</w:t>
            </w:r>
            <w:r>
              <w:rPr>
                <w:szCs w:val="24"/>
              </w:rPr>
              <w:t>s de ce point de contrôle administratif tout au long de la période d'engagement.</w:t>
            </w:r>
          </w:p>
          <w:p w:rsidR="0035701C" w:rsidRDefault="00FB561B">
            <w:pPr>
              <w:spacing w:before="240" w:after="240"/>
              <w:jc w:val="left"/>
              <w:rPr>
                <w:szCs w:val="24"/>
              </w:rPr>
            </w:pPr>
            <w:r>
              <w:rPr>
                <w:szCs w:val="24"/>
              </w:rPr>
              <w:t>n°7 - R5  : MAJ V5.0 FORMALISER le mode de contrôle de l'identification du cheptel de race locale. ASSURER le maintien des conditions méthodologiques de ce point de contrôle a</w:t>
            </w:r>
            <w:r>
              <w:rPr>
                <w:szCs w:val="24"/>
              </w:rPr>
              <w:t>dministratif tout au long de la période d'engagement.</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 Au vu des cotations matricielles, sur le poids financier de la mesure (&gt;5%), sur les priorités, les risques, les mesures d’atténuation prévues, cette mesure reçoit </w:t>
            </w:r>
            <w:r>
              <w:rPr>
                <w:szCs w:val="24"/>
              </w:rPr>
              <w:t>une évaluation  correcte peu risquée ; Les mécanismes de mise en œuvre sont connus et maîtrisés par tous les acteurs,  les programmations précédentes qui ont suscité des ajustements sur des mesures de même type ont permis une amélioration constante des pro</w:t>
            </w:r>
            <w:r>
              <w:rPr>
                <w:szCs w:val="24"/>
              </w:rPr>
              <w:t>cédures.</w:t>
            </w:r>
          </w:p>
          <w:p w:rsidR="0035701C" w:rsidRDefault="00FB561B">
            <w:pPr>
              <w:spacing w:before="240" w:after="240"/>
              <w:jc w:val="left"/>
              <w:rPr>
                <w:szCs w:val="24"/>
              </w:rPr>
            </w:pPr>
            <w:r>
              <w:rPr>
                <w:szCs w:val="24"/>
              </w:rPr>
              <w:t>- Concernant l'évaluation globale de la mesure : la mesure est contrôlable sous réserve de la mise en place d'actions d'atténuation et des précisions apportées dans les documents de mise en œuvre notamment sur la nécessité de bien contrôler , et d</w:t>
            </w:r>
            <w:r>
              <w:rPr>
                <w:szCs w:val="24"/>
              </w:rPr>
              <w:t>e vérifier l'inexistence de financements précédents ou déjà engagés auprès des bénéficiaires  y compris secondaires dans le cas des coopératives. Il convient également de s'assurer de bien transcrire la preuve de l'étude du caractère raisonnable des coûts,</w:t>
            </w:r>
            <w:r>
              <w:rPr>
                <w:szCs w:val="24"/>
              </w:rPr>
              <w:t xml:space="preserve"> et opérer une surveillance ainsi qu'une sensibilisation des bénéficiaires et des gestionnaires sur la qualité des travaux qui peuvent être réalisés directement par le bénéficiaire.</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u w:val="single"/>
              </w:rPr>
              <w:t>I) L’assi</w:t>
            </w:r>
            <w:r>
              <w:rPr>
                <w:b/>
                <w:bCs/>
                <w:szCs w:val="24"/>
                <w:u w:val="single"/>
              </w:rPr>
              <w:t>ette des dépenses éligibles de l’opération concernée comprend :</w:t>
            </w:r>
          </w:p>
          <w:p w:rsidR="0035701C" w:rsidRDefault="00FB561B" w:rsidP="00FB561B">
            <w:pPr>
              <w:numPr>
                <w:ilvl w:val="0"/>
                <w:numId w:val="261"/>
              </w:numPr>
              <w:spacing w:before="240" w:after="0"/>
              <w:ind w:hanging="280"/>
              <w:jc w:val="left"/>
              <w:rPr>
                <w:szCs w:val="24"/>
              </w:rPr>
            </w:pPr>
            <w:r>
              <w:rPr>
                <w:szCs w:val="24"/>
              </w:rPr>
              <w:t>Les devis prévisionnels et les coûts forfaitaires calculés : Coût unitaire forfaitaire (établi sur la base de coûts standard) X nombre d’unités.</w:t>
            </w:r>
          </w:p>
          <w:p w:rsidR="0035701C" w:rsidRDefault="00FB561B" w:rsidP="00FB561B">
            <w:pPr>
              <w:numPr>
                <w:ilvl w:val="0"/>
                <w:numId w:val="261"/>
              </w:numPr>
              <w:spacing w:before="0" w:after="0"/>
              <w:ind w:hanging="280"/>
              <w:jc w:val="left"/>
              <w:rPr>
                <w:szCs w:val="24"/>
              </w:rPr>
            </w:pPr>
            <w:r>
              <w:rPr>
                <w:szCs w:val="24"/>
              </w:rPr>
              <w:t>les frais généraux relatifs au projet : coûts d</w:t>
            </w:r>
            <w:r>
              <w:rPr>
                <w:szCs w:val="24"/>
              </w:rPr>
              <w:t>’études ou honoraires (notamment les honoraires liés aux études de faisabilité des prestataires, ingénieurs, agronome, les frais d’expertise…), dans la limite de 5% des dépenses totales éligibles de l’opération. Lorsque l’opération porte sur des investisse</w:t>
            </w:r>
            <w:r>
              <w:rPr>
                <w:szCs w:val="24"/>
              </w:rPr>
              <w:t>ments liés à l’irrigation ce plafond est porté à 10% des dépenses totales éligibles de l’opération (hydrogéologue…).</w:t>
            </w:r>
          </w:p>
          <w:p w:rsidR="0035701C" w:rsidRDefault="00FB561B" w:rsidP="00FB561B">
            <w:pPr>
              <w:numPr>
                <w:ilvl w:val="0"/>
                <w:numId w:val="261"/>
              </w:numPr>
              <w:spacing w:before="0" w:after="240"/>
              <w:ind w:hanging="280"/>
              <w:jc w:val="left"/>
              <w:rPr>
                <w:szCs w:val="24"/>
              </w:rPr>
            </w:pPr>
            <w:r>
              <w:rPr>
                <w:szCs w:val="24"/>
              </w:rPr>
              <w:t xml:space="preserve">Les apports en nature et l'achat du foncier acquis postérieurement à la demande d’aide, dans la limite de 10 % des dépenses totales </w:t>
            </w:r>
            <w:r>
              <w:rPr>
                <w:szCs w:val="24"/>
              </w:rPr>
              <w:t>éligibles de l'opération concernée,</w:t>
            </w:r>
          </w:p>
          <w:p w:rsidR="0035701C" w:rsidRDefault="00FB561B">
            <w:pPr>
              <w:spacing w:before="240" w:after="240"/>
              <w:jc w:val="left"/>
              <w:rPr>
                <w:szCs w:val="24"/>
              </w:rPr>
            </w:pPr>
            <w:r>
              <w:rPr>
                <w:szCs w:val="24"/>
              </w:rPr>
              <w:t xml:space="preserve">La détermination de la subvention s’établit en additionnant chacune des aides par </w:t>
            </w:r>
            <w:r>
              <w:rPr>
                <w:i/>
                <w:iCs/>
                <w:szCs w:val="24"/>
              </w:rPr>
              <w:t>catégories d’intervention</w:t>
            </w:r>
            <w:r>
              <w:rPr>
                <w:szCs w:val="24"/>
              </w:rPr>
              <w:t xml:space="preserve"> (cf. tableau précédent) : </w:t>
            </w:r>
            <w:r>
              <w:rPr>
                <w:i/>
                <w:iCs/>
                <w:szCs w:val="24"/>
              </w:rPr>
              <w:t xml:space="preserve">assiette X taux </w:t>
            </w:r>
            <w:r>
              <w:rPr>
                <w:szCs w:val="24"/>
              </w:rPr>
              <w:t xml:space="preserve">par </w:t>
            </w:r>
            <w:r>
              <w:rPr>
                <w:i/>
                <w:iCs/>
                <w:szCs w:val="24"/>
              </w:rPr>
              <w:t>catégorie d’intervention.</w:t>
            </w:r>
          </w:p>
          <w:p w:rsidR="0035701C" w:rsidRDefault="00FB561B">
            <w:pPr>
              <w:spacing w:before="240" w:after="240"/>
              <w:jc w:val="left"/>
              <w:rPr>
                <w:szCs w:val="24"/>
              </w:rPr>
            </w:pPr>
            <w:r>
              <w:rPr>
                <w:i/>
                <w:iCs/>
                <w:szCs w:val="24"/>
              </w:rPr>
              <w:t xml:space="preserve">Exemple : Opération de culture et </w:t>
            </w:r>
            <w:r>
              <w:rPr>
                <w:i/>
                <w:iCs/>
                <w:szCs w:val="24"/>
              </w:rPr>
              <w:t>d’installation d’un matériel d’irrigation au profit d’un agriculteur ainé en montagne qui répond positivement à l’ensemble des critères de sélection :</w:t>
            </w:r>
          </w:p>
          <w:p w:rsidR="0035701C" w:rsidRDefault="00FB561B" w:rsidP="00FB561B">
            <w:pPr>
              <w:numPr>
                <w:ilvl w:val="0"/>
                <w:numId w:val="262"/>
              </w:numPr>
              <w:spacing w:before="240" w:after="0"/>
              <w:ind w:hanging="210"/>
              <w:jc w:val="left"/>
              <w:rPr>
                <w:szCs w:val="24"/>
              </w:rPr>
            </w:pPr>
            <w:r>
              <w:rPr>
                <w:i/>
                <w:iCs/>
                <w:szCs w:val="24"/>
              </w:rPr>
              <w:t>Coût forfaitaire de mise en culture 20.000€ au taux de 60%</w:t>
            </w:r>
          </w:p>
          <w:p w:rsidR="0035701C" w:rsidRDefault="00FB561B" w:rsidP="00FB561B">
            <w:pPr>
              <w:numPr>
                <w:ilvl w:val="0"/>
                <w:numId w:val="262"/>
              </w:numPr>
              <w:spacing w:before="0" w:after="0"/>
              <w:ind w:hanging="210"/>
              <w:jc w:val="left"/>
              <w:rPr>
                <w:szCs w:val="24"/>
              </w:rPr>
            </w:pPr>
            <w:r>
              <w:rPr>
                <w:i/>
                <w:iCs/>
                <w:szCs w:val="24"/>
              </w:rPr>
              <w:t>Devis prévisionnel d’installation de l’irrigat</w:t>
            </w:r>
            <w:r>
              <w:rPr>
                <w:i/>
                <w:iCs/>
                <w:szCs w:val="24"/>
              </w:rPr>
              <w:t>ion 15.000€ au taux de 50%</w:t>
            </w:r>
          </w:p>
          <w:p w:rsidR="0035701C" w:rsidRDefault="00FB561B" w:rsidP="00FB561B">
            <w:pPr>
              <w:numPr>
                <w:ilvl w:val="0"/>
                <w:numId w:val="262"/>
              </w:numPr>
              <w:spacing w:before="0" w:after="0"/>
              <w:ind w:hanging="210"/>
              <w:jc w:val="left"/>
              <w:rPr>
                <w:szCs w:val="24"/>
              </w:rPr>
            </w:pPr>
            <w:r>
              <w:rPr>
                <w:i/>
                <w:iCs/>
                <w:szCs w:val="24"/>
              </w:rPr>
              <w:t>Dépense éligible : 35.000€</w:t>
            </w:r>
          </w:p>
          <w:p w:rsidR="0035701C" w:rsidRDefault="00FB561B" w:rsidP="00FB561B">
            <w:pPr>
              <w:numPr>
                <w:ilvl w:val="0"/>
                <w:numId w:val="262"/>
              </w:numPr>
              <w:spacing w:before="0" w:after="240"/>
              <w:ind w:hanging="210"/>
              <w:jc w:val="left"/>
              <w:rPr>
                <w:szCs w:val="24"/>
              </w:rPr>
            </w:pPr>
            <w:r>
              <w:rPr>
                <w:i/>
                <w:iCs/>
                <w:szCs w:val="24"/>
              </w:rPr>
              <w:t>Subvention = 20.000 X 60% + 15.000 X 50% = 19.500€</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u w:val="single"/>
              </w:rPr>
              <w:t>Méthode de calcul des coûts simplifiés</w:t>
            </w:r>
            <w:r>
              <w:rPr>
                <w:szCs w:val="24"/>
              </w:rPr>
              <w:t xml:space="preserve"> :</w:t>
            </w:r>
          </w:p>
          <w:p w:rsidR="0035701C" w:rsidRDefault="00FB561B">
            <w:pPr>
              <w:spacing w:before="240" w:after="240"/>
              <w:jc w:val="left"/>
              <w:rPr>
                <w:szCs w:val="24"/>
              </w:rPr>
            </w:pPr>
            <w:r>
              <w:rPr>
                <w:i/>
                <w:iCs/>
                <w:szCs w:val="24"/>
              </w:rPr>
              <w:t>1) Détermination de références de coût unitaires pour l’utilisation de matériels agricoles, y compris la mai</w:t>
            </w:r>
            <w:r>
              <w:rPr>
                <w:i/>
                <w:iCs/>
                <w:szCs w:val="24"/>
              </w:rPr>
              <w:t>n d'œuvre, et les achats éventuels.</w:t>
            </w:r>
          </w:p>
          <w:p w:rsidR="0035701C" w:rsidRDefault="00FB561B">
            <w:pPr>
              <w:spacing w:before="240" w:after="240"/>
              <w:jc w:val="left"/>
              <w:rPr>
                <w:szCs w:val="24"/>
              </w:rPr>
            </w:pPr>
            <w:r>
              <w:rPr>
                <w:szCs w:val="24"/>
              </w:rPr>
              <w:t>Ces références de coûts unitaires sont déterminées soit avec le module de calcul mis en œuvre pour l’évaluation des coûts du matériel agricole (source APCA – Chambres d’agriculture – MAAF). Ce module tient compte des élé</w:t>
            </w:r>
            <w:r>
              <w:rPr>
                <w:szCs w:val="24"/>
              </w:rPr>
              <w:t>ments suivants, soit par tout autre moyen (devis, expertise) validée au moment de la certification du calcul.</w:t>
            </w:r>
          </w:p>
          <w:p w:rsidR="0035701C" w:rsidRDefault="00FB561B" w:rsidP="00FB561B">
            <w:pPr>
              <w:numPr>
                <w:ilvl w:val="0"/>
                <w:numId w:val="263"/>
              </w:numPr>
              <w:spacing w:before="240" w:after="0"/>
              <w:ind w:hanging="210"/>
              <w:jc w:val="left"/>
              <w:rPr>
                <w:szCs w:val="24"/>
              </w:rPr>
            </w:pPr>
            <w:r>
              <w:rPr>
                <w:szCs w:val="24"/>
              </w:rPr>
              <w:t xml:space="preserve">Données de base </w:t>
            </w:r>
          </w:p>
          <w:p w:rsidR="0035701C" w:rsidRDefault="00FB561B" w:rsidP="00FB561B">
            <w:pPr>
              <w:numPr>
                <w:ilvl w:val="1"/>
                <w:numId w:val="263"/>
              </w:numPr>
              <w:spacing w:before="0" w:after="0"/>
              <w:ind w:hanging="244"/>
              <w:jc w:val="left"/>
              <w:rPr>
                <w:szCs w:val="24"/>
              </w:rPr>
            </w:pPr>
            <w:r>
              <w:rPr>
                <w:szCs w:val="24"/>
              </w:rPr>
              <w:t>Type et caractéristique du matériel</w:t>
            </w:r>
          </w:p>
          <w:p w:rsidR="0035701C" w:rsidRDefault="00FB561B" w:rsidP="00FB561B">
            <w:pPr>
              <w:numPr>
                <w:ilvl w:val="1"/>
                <w:numId w:val="263"/>
              </w:numPr>
              <w:spacing w:before="0" w:after="0"/>
              <w:ind w:hanging="244"/>
              <w:jc w:val="left"/>
              <w:rPr>
                <w:szCs w:val="24"/>
              </w:rPr>
            </w:pPr>
            <w:r>
              <w:rPr>
                <w:szCs w:val="24"/>
              </w:rPr>
              <w:t>Valeur d’achat.</w:t>
            </w:r>
          </w:p>
          <w:p w:rsidR="0035701C" w:rsidRDefault="00FB561B" w:rsidP="00FB561B">
            <w:pPr>
              <w:numPr>
                <w:ilvl w:val="1"/>
                <w:numId w:val="263"/>
              </w:numPr>
              <w:spacing w:before="0" w:after="0"/>
              <w:ind w:hanging="244"/>
              <w:jc w:val="left"/>
              <w:rPr>
                <w:szCs w:val="24"/>
              </w:rPr>
            </w:pPr>
            <w:r>
              <w:rPr>
                <w:szCs w:val="24"/>
              </w:rPr>
              <w:t>Temps d’utilisation moyen annuel et durée d’amortissement afférente.</w:t>
            </w:r>
          </w:p>
          <w:p w:rsidR="0035701C" w:rsidRDefault="00FB561B" w:rsidP="00FB561B">
            <w:pPr>
              <w:numPr>
                <w:ilvl w:val="0"/>
                <w:numId w:val="263"/>
              </w:numPr>
              <w:spacing w:before="0" w:after="0"/>
              <w:ind w:hanging="210"/>
              <w:jc w:val="left"/>
              <w:rPr>
                <w:szCs w:val="24"/>
              </w:rPr>
            </w:pPr>
            <w:r>
              <w:rPr>
                <w:szCs w:val="24"/>
              </w:rPr>
              <w:t xml:space="preserve">Données optionnelles </w:t>
            </w:r>
          </w:p>
          <w:p w:rsidR="0035701C" w:rsidRDefault="00FB561B" w:rsidP="00FB561B">
            <w:pPr>
              <w:numPr>
                <w:ilvl w:val="1"/>
                <w:numId w:val="263"/>
              </w:numPr>
              <w:spacing w:before="0" w:after="0"/>
              <w:ind w:hanging="244"/>
              <w:jc w:val="left"/>
              <w:rPr>
                <w:szCs w:val="24"/>
              </w:rPr>
            </w:pPr>
            <w:r>
              <w:rPr>
                <w:szCs w:val="24"/>
              </w:rPr>
              <w:t>Consommation en carburant (par heure).</w:t>
            </w:r>
          </w:p>
          <w:p w:rsidR="0035701C" w:rsidRDefault="00FB561B" w:rsidP="00FB561B">
            <w:pPr>
              <w:numPr>
                <w:ilvl w:val="1"/>
                <w:numId w:val="263"/>
              </w:numPr>
              <w:spacing w:before="0" w:after="0"/>
              <w:ind w:hanging="244"/>
              <w:jc w:val="left"/>
              <w:rPr>
                <w:szCs w:val="24"/>
              </w:rPr>
            </w:pPr>
            <w:r>
              <w:rPr>
                <w:szCs w:val="24"/>
              </w:rPr>
              <w:t>Prix du carburant.</w:t>
            </w:r>
          </w:p>
          <w:p w:rsidR="0035701C" w:rsidRDefault="00FB561B" w:rsidP="00FB561B">
            <w:pPr>
              <w:numPr>
                <w:ilvl w:val="1"/>
                <w:numId w:val="263"/>
              </w:numPr>
              <w:spacing w:before="0" w:after="240"/>
              <w:ind w:hanging="244"/>
              <w:jc w:val="left"/>
              <w:rPr>
                <w:szCs w:val="24"/>
              </w:rPr>
            </w:pPr>
            <w:r>
              <w:rPr>
                <w:szCs w:val="24"/>
              </w:rPr>
              <w:t>Rendement moyen d’utilisation à l’ha (en h/ha)</w:t>
            </w:r>
          </w:p>
          <w:p w:rsidR="0035701C" w:rsidRDefault="00FB561B">
            <w:pPr>
              <w:spacing w:before="240" w:after="240"/>
              <w:jc w:val="left"/>
              <w:rPr>
                <w:szCs w:val="24"/>
              </w:rPr>
            </w:pPr>
            <w:r>
              <w:rPr>
                <w:szCs w:val="24"/>
              </w:rPr>
              <w:t xml:space="preserve">Les résultats de coûts unitaires sont exprimé en €/heure, €/jour, €/ml ou en €/ha en fonction des modalités d’utilisation de ces </w:t>
            </w:r>
            <w:r>
              <w:rPr>
                <w:szCs w:val="24"/>
              </w:rPr>
              <w:t>matériels.</w:t>
            </w:r>
          </w:p>
          <w:p w:rsidR="0035701C" w:rsidRDefault="00FB561B">
            <w:pPr>
              <w:spacing w:before="240" w:after="240"/>
              <w:jc w:val="left"/>
              <w:rPr>
                <w:szCs w:val="24"/>
              </w:rPr>
            </w:pPr>
            <w:r>
              <w:rPr>
                <w:szCs w:val="24"/>
              </w:rPr>
              <w:t>Les coûts de main d’œuvre sont établis sur la base de références pour :</w:t>
            </w:r>
          </w:p>
          <w:p w:rsidR="0035701C" w:rsidRDefault="00FB561B" w:rsidP="00FB561B">
            <w:pPr>
              <w:numPr>
                <w:ilvl w:val="0"/>
                <w:numId w:val="264"/>
              </w:numPr>
              <w:spacing w:before="240" w:after="0"/>
              <w:ind w:hanging="210"/>
              <w:jc w:val="left"/>
              <w:rPr>
                <w:szCs w:val="24"/>
              </w:rPr>
            </w:pPr>
            <w:r>
              <w:rPr>
                <w:szCs w:val="24"/>
              </w:rPr>
              <w:t>Les travaux réalisés par l’agriculteur.</w:t>
            </w:r>
          </w:p>
          <w:p w:rsidR="0035701C" w:rsidRDefault="00FB561B" w:rsidP="00FB561B">
            <w:pPr>
              <w:numPr>
                <w:ilvl w:val="0"/>
                <w:numId w:val="264"/>
              </w:numPr>
              <w:spacing w:before="0" w:after="240"/>
              <w:ind w:hanging="210"/>
              <w:jc w:val="left"/>
              <w:rPr>
                <w:szCs w:val="24"/>
              </w:rPr>
            </w:pPr>
            <w:r>
              <w:rPr>
                <w:szCs w:val="24"/>
              </w:rPr>
              <w:t>Les travaux spécialisés réalisés par des entreprises ou de travaux agricoles en prestation de service.</w:t>
            </w:r>
          </w:p>
          <w:p w:rsidR="0035701C" w:rsidRDefault="00FB561B">
            <w:pPr>
              <w:spacing w:before="240" w:after="240"/>
              <w:jc w:val="left"/>
              <w:rPr>
                <w:szCs w:val="24"/>
              </w:rPr>
            </w:pPr>
            <w:r>
              <w:rPr>
                <w:i/>
                <w:iCs/>
                <w:szCs w:val="24"/>
              </w:rPr>
              <w:t>2) Détermination des itinérair</w:t>
            </w:r>
            <w:r>
              <w:rPr>
                <w:i/>
                <w:iCs/>
                <w:szCs w:val="24"/>
              </w:rPr>
              <w:t>es techniques et des variantes</w:t>
            </w:r>
          </w:p>
          <w:p w:rsidR="0035701C" w:rsidRDefault="00FB561B">
            <w:pPr>
              <w:spacing w:before="240" w:after="240"/>
              <w:jc w:val="left"/>
              <w:rPr>
                <w:szCs w:val="24"/>
              </w:rPr>
            </w:pPr>
            <w:r>
              <w:rPr>
                <w:szCs w:val="24"/>
              </w:rPr>
              <w:t>Les opérations de mise en valeur agricole sont ensuite décrites en suivant un itinéraire technique de succession d'interventions et d'options, notamment :</w:t>
            </w:r>
          </w:p>
          <w:p w:rsidR="0035701C" w:rsidRDefault="00FB561B">
            <w:pPr>
              <w:spacing w:before="240" w:after="240"/>
              <w:jc w:val="left"/>
              <w:rPr>
                <w:szCs w:val="24"/>
              </w:rPr>
            </w:pPr>
            <w:r>
              <w:rPr>
                <w:szCs w:val="24"/>
              </w:rPr>
              <w:t>DEMAQUISAGE</w:t>
            </w:r>
          </w:p>
          <w:p w:rsidR="0035701C" w:rsidRDefault="00FB561B" w:rsidP="00FB561B">
            <w:pPr>
              <w:numPr>
                <w:ilvl w:val="0"/>
                <w:numId w:val="265"/>
              </w:numPr>
              <w:spacing w:before="240" w:after="0"/>
              <w:ind w:hanging="210"/>
              <w:jc w:val="left"/>
              <w:rPr>
                <w:szCs w:val="24"/>
              </w:rPr>
            </w:pPr>
            <w:r>
              <w:rPr>
                <w:szCs w:val="24"/>
              </w:rPr>
              <w:t> Démaquisage manuel</w:t>
            </w:r>
          </w:p>
          <w:p w:rsidR="0035701C" w:rsidRDefault="00FB561B" w:rsidP="00FB561B">
            <w:pPr>
              <w:numPr>
                <w:ilvl w:val="0"/>
                <w:numId w:val="265"/>
              </w:numPr>
              <w:spacing w:before="0" w:after="240"/>
              <w:ind w:hanging="210"/>
              <w:jc w:val="left"/>
              <w:rPr>
                <w:szCs w:val="24"/>
              </w:rPr>
            </w:pPr>
            <w:r>
              <w:rPr>
                <w:szCs w:val="24"/>
              </w:rPr>
              <w:t> Démaquisage mécanique</w:t>
            </w:r>
          </w:p>
          <w:p w:rsidR="0035701C" w:rsidRDefault="00FB561B">
            <w:pPr>
              <w:spacing w:before="240" w:after="240"/>
              <w:jc w:val="left"/>
              <w:rPr>
                <w:szCs w:val="24"/>
              </w:rPr>
            </w:pPr>
            <w:r>
              <w:rPr>
                <w:szCs w:val="24"/>
              </w:rPr>
              <w:t>ARRACHAGE</w:t>
            </w:r>
          </w:p>
          <w:p w:rsidR="0035701C" w:rsidRDefault="00FB561B" w:rsidP="00FB561B">
            <w:pPr>
              <w:numPr>
                <w:ilvl w:val="0"/>
                <w:numId w:val="266"/>
              </w:numPr>
              <w:spacing w:before="240" w:after="0"/>
              <w:ind w:hanging="210"/>
              <w:jc w:val="left"/>
              <w:rPr>
                <w:szCs w:val="24"/>
              </w:rPr>
            </w:pPr>
            <w:r>
              <w:rPr>
                <w:szCs w:val="24"/>
              </w:rPr>
              <w:t>Retrait palissage</w:t>
            </w:r>
          </w:p>
          <w:p w:rsidR="0035701C" w:rsidRDefault="00FB561B" w:rsidP="00FB561B">
            <w:pPr>
              <w:numPr>
                <w:ilvl w:val="0"/>
                <w:numId w:val="266"/>
              </w:numPr>
              <w:spacing w:before="0" w:after="240"/>
              <w:ind w:hanging="210"/>
              <w:jc w:val="left"/>
              <w:rPr>
                <w:szCs w:val="24"/>
              </w:rPr>
            </w:pPr>
            <w:r>
              <w:rPr>
                <w:szCs w:val="24"/>
              </w:rPr>
              <w:t>Arrachage</w:t>
            </w:r>
          </w:p>
          <w:p w:rsidR="0035701C" w:rsidRDefault="00FB561B">
            <w:pPr>
              <w:spacing w:before="240" w:after="240"/>
              <w:jc w:val="left"/>
              <w:rPr>
                <w:szCs w:val="24"/>
              </w:rPr>
            </w:pPr>
            <w:r>
              <w:rPr>
                <w:szCs w:val="24"/>
              </w:rPr>
              <w:t>REMANENTS</w:t>
            </w:r>
          </w:p>
          <w:p w:rsidR="0035701C" w:rsidRDefault="00FB561B" w:rsidP="00FB561B">
            <w:pPr>
              <w:numPr>
                <w:ilvl w:val="0"/>
                <w:numId w:val="267"/>
              </w:numPr>
              <w:spacing w:before="240" w:after="240"/>
              <w:ind w:hanging="210"/>
              <w:jc w:val="left"/>
              <w:rPr>
                <w:szCs w:val="24"/>
              </w:rPr>
            </w:pPr>
            <w:r>
              <w:rPr>
                <w:szCs w:val="24"/>
              </w:rPr>
              <w:t>Elimination des rémanents</w:t>
            </w:r>
          </w:p>
          <w:p w:rsidR="0035701C" w:rsidRDefault="00FB561B">
            <w:pPr>
              <w:spacing w:before="240" w:after="240"/>
              <w:jc w:val="left"/>
              <w:rPr>
                <w:szCs w:val="24"/>
              </w:rPr>
            </w:pPr>
            <w:r>
              <w:rPr>
                <w:szCs w:val="24"/>
              </w:rPr>
              <w:t>CLOTURE</w:t>
            </w:r>
          </w:p>
          <w:p w:rsidR="0035701C" w:rsidRDefault="00FB561B" w:rsidP="00FB561B">
            <w:pPr>
              <w:numPr>
                <w:ilvl w:val="0"/>
                <w:numId w:val="268"/>
              </w:numPr>
              <w:spacing w:before="240" w:after="0"/>
              <w:ind w:hanging="210"/>
              <w:jc w:val="left"/>
              <w:rPr>
                <w:szCs w:val="24"/>
              </w:rPr>
            </w:pPr>
            <w:r>
              <w:rPr>
                <w:szCs w:val="24"/>
              </w:rPr>
              <w:t>Pose clôture</w:t>
            </w:r>
          </w:p>
          <w:p w:rsidR="0035701C" w:rsidRDefault="00FB561B" w:rsidP="00FB561B">
            <w:pPr>
              <w:numPr>
                <w:ilvl w:val="0"/>
                <w:numId w:val="268"/>
              </w:numPr>
              <w:spacing w:before="0" w:after="240"/>
              <w:ind w:hanging="210"/>
              <w:jc w:val="left"/>
              <w:rPr>
                <w:szCs w:val="24"/>
              </w:rPr>
            </w:pPr>
            <w:r>
              <w:rPr>
                <w:szCs w:val="24"/>
              </w:rPr>
              <w:t>Layons</w:t>
            </w:r>
          </w:p>
          <w:p w:rsidR="0035701C" w:rsidRDefault="00FB561B">
            <w:pPr>
              <w:spacing w:before="240" w:after="240"/>
              <w:jc w:val="left"/>
              <w:rPr>
                <w:szCs w:val="24"/>
              </w:rPr>
            </w:pPr>
            <w:r>
              <w:rPr>
                <w:szCs w:val="24"/>
              </w:rPr>
              <w:t>PLANTATIONS</w:t>
            </w:r>
          </w:p>
          <w:p w:rsidR="0035701C" w:rsidRDefault="00FB561B" w:rsidP="00FB561B">
            <w:pPr>
              <w:numPr>
                <w:ilvl w:val="0"/>
                <w:numId w:val="269"/>
              </w:numPr>
              <w:spacing w:before="240" w:after="0"/>
              <w:ind w:hanging="210"/>
              <w:jc w:val="left"/>
              <w:rPr>
                <w:szCs w:val="24"/>
              </w:rPr>
            </w:pPr>
            <w:r>
              <w:rPr>
                <w:szCs w:val="24"/>
              </w:rPr>
              <w:t>Partie travail du sol</w:t>
            </w:r>
          </w:p>
          <w:p w:rsidR="0035701C" w:rsidRDefault="00FB561B" w:rsidP="00FB561B">
            <w:pPr>
              <w:numPr>
                <w:ilvl w:val="0"/>
                <w:numId w:val="269"/>
              </w:numPr>
              <w:spacing w:before="0" w:after="0"/>
              <w:ind w:hanging="210"/>
              <w:jc w:val="left"/>
              <w:rPr>
                <w:szCs w:val="24"/>
              </w:rPr>
            </w:pPr>
            <w:r>
              <w:rPr>
                <w:szCs w:val="24"/>
              </w:rPr>
              <w:t>Plantations</w:t>
            </w:r>
          </w:p>
          <w:p w:rsidR="0035701C" w:rsidRDefault="00FB561B" w:rsidP="00FB561B">
            <w:pPr>
              <w:numPr>
                <w:ilvl w:val="0"/>
                <w:numId w:val="269"/>
              </w:numPr>
              <w:spacing w:before="0" w:after="0"/>
              <w:ind w:hanging="210"/>
              <w:jc w:val="left"/>
              <w:rPr>
                <w:szCs w:val="24"/>
              </w:rPr>
            </w:pPr>
            <w:r>
              <w:rPr>
                <w:szCs w:val="24"/>
              </w:rPr>
              <w:t>Fumures</w:t>
            </w:r>
          </w:p>
          <w:p w:rsidR="0035701C" w:rsidRDefault="00FB561B" w:rsidP="00FB561B">
            <w:pPr>
              <w:numPr>
                <w:ilvl w:val="0"/>
                <w:numId w:val="269"/>
              </w:numPr>
              <w:spacing w:before="0" w:after="0"/>
              <w:ind w:hanging="210"/>
              <w:jc w:val="left"/>
              <w:rPr>
                <w:szCs w:val="24"/>
              </w:rPr>
            </w:pPr>
            <w:r>
              <w:rPr>
                <w:szCs w:val="24"/>
              </w:rPr>
              <w:t>Arrosage</w:t>
            </w:r>
          </w:p>
          <w:p w:rsidR="0035701C" w:rsidRDefault="00FB561B" w:rsidP="00FB561B">
            <w:pPr>
              <w:numPr>
                <w:ilvl w:val="0"/>
                <w:numId w:val="269"/>
              </w:numPr>
              <w:spacing w:before="0" w:after="0"/>
              <w:ind w:hanging="210"/>
              <w:jc w:val="left"/>
              <w:rPr>
                <w:szCs w:val="24"/>
              </w:rPr>
            </w:pPr>
            <w:r>
              <w:rPr>
                <w:szCs w:val="24"/>
              </w:rPr>
              <w:t>Désherbage</w:t>
            </w:r>
          </w:p>
          <w:p w:rsidR="0035701C" w:rsidRDefault="00FB561B" w:rsidP="00FB561B">
            <w:pPr>
              <w:numPr>
                <w:ilvl w:val="0"/>
                <w:numId w:val="269"/>
              </w:numPr>
              <w:spacing w:before="0" w:after="240"/>
              <w:ind w:hanging="210"/>
              <w:jc w:val="left"/>
              <w:rPr>
                <w:szCs w:val="24"/>
              </w:rPr>
            </w:pPr>
            <w:r>
              <w:rPr>
                <w:szCs w:val="24"/>
              </w:rPr>
              <w:t>Pulvérisation</w:t>
            </w:r>
          </w:p>
          <w:p w:rsidR="0035701C" w:rsidRDefault="00FB561B">
            <w:pPr>
              <w:spacing w:before="240" w:after="240"/>
              <w:jc w:val="left"/>
              <w:rPr>
                <w:szCs w:val="24"/>
              </w:rPr>
            </w:pPr>
            <w:r>
              <w:rPr>
                <w:szCs w:val="24"/>
              </w:rPr>
              <w:t>RENOVATIONS</w:t>
            </w:r>
          </w:p>
          <w:p w:rsidR="0035701C" w:rsidRDefault="00FB561B" w:rsidP="00FB561B">
            <w:pPr>
              <w:numPr>
                <w:ilvl w:val="0"/>
                <w:numId w:val="270"/>
              </w:numPr>
              <w:spacing w:before="240" w:after="0"/>
              <w:ind w:hanging="210"/>
              <w:jc w:val="left"/>
              <w:rPr>
                <w:szCs w:val="24"/>
              </w:rPr>
            </w:pPr>
            <w:r>
              <w:rPr>
                <w:szCs w:val="24"/>
              </w:rPr>
              <w:t>Taille de rabattage</w:t>
            </w:r>
          </w:p>
          <w:p w:rsidR="0035701C" w:rsidRDefault="00FB561B" w:rsidP="00FB561B">
            <w:pPr>
              <w:numPr>
                <w:ilvl w:val="0"/>
                <w:numId w:val="270"/>
              </w:numPr>
              <w:spacing w:before="0" w:after="0"/>
              <w:ind w:hanging="210"/>
              <w:jc w:val="left"/>
              <w:rPr>
                <w:szCs w:val="24"/>
              </w:rPr>
            </w:pPr>
            <w:r>
              <w:rPr>
                <w:szCs w:val="24"/>
              </w:rPr>
              <w:t>Taille fruitière</w:t>
            </w:r>
          </w:p>
          <w:p w:rsidR="0035701C" w:rsidRDefault="00FB561B" w:rsidP="00FB561B">
            <w:pPr>
              <w:numPr>
                <w:ilvl w:val="0"/>
                <w:numId w:val="270"/>
              </w:numPr>
              <w:spacing w:before="0" w:after="240"/>
              <w:ind w:hanging="210"/>
              <w:jc w:val="left"/>
              <w:rPr>
                <w:szCs w:val="24"/>
              </w:rPr>
            </w:pPr>
            <w:r>
              <w:rPr>
                <w:szCs w:val="24"/>
              </w:rPr>
              <w:t>Surgreffage</w:t>
            </w:r>
          </w:p>
          <w:p w:rsidR="0035701C" w:rsidRDefault="00FB561B">
            <w:pPr>
              <w:spacing w:before="240" w:after="240"/>
              <w:jc w:val="left"/>
              <w:rPr>
                <w:szCs w:val="24"/>
              </w:rPr>
            </w:pPr>
            <w:r>
              <w:rPr>
                <w:szCs w:val="24"/>
              </w:rPr>
              <w:t>IRRIGATION</w:t>
            </w:r>
          </w:p>
          <w:p w:rsidR="0035701C" w:rsidRDefault="00FB561B" w:rsidP="00FB561B">
            <w:pPr>
              <w:numPr>
                <w:ilvl w:val="0"/>
                <w:numId w:val="271"/>
              </w:numPr>
              <w:spacing w:before="240" w:after="0"/>
              <w:ind w:hanging="210"/>
              <w:jc w:val="left"/>
              <w:rPr>
                <w:szCs w:val="24"/>
              </w:rPr>
            </w:pPr>
            <w:r>
              <w:rPr>
                <w:szCs w:val="24"/>
              </w:rPr>
              <w:t>Retrait système d'irrigation</w:t>
            </w:r>
          </w:p>
          <w:p w:rsidR="0035701C" w:rsidRDefault="00FB561B" w:rsidP="00FB561B">
            <w:pPr>
              <w:numPr>
                <w:ilvl w:val="0"/>
                <w:numId w:val="271"/>
              </w:numPr>
              <w:spacing w:before="0" w:after="240"/>
              <w:ind w:hanging="210"/>
              <w:jc w:val="left"/>
              <w:rPr>
                <w:szCs w:val="24"/>
              </w:rPr>
            </w:pPr>
            <w:r>
              <w:rPr>
                <w:szCs w:val="24"/>
              </w:rPr>
              <w:t>Installation système d'irrigation</w:t>
            </w:r>
          </w:p>
          <w:p w:rsidR="0035701C" w:rsidRDefault="00FB561B">
            <w:pPr>
              <w:spacing w:before="240" w:after="240"/>
              <w:jc w:val="left"/>
              <w:rPr>
                <w:szCs w:val="24"/>
              </w:rPr>
            </w:pPr>
            <w:r>
              <w:rPr>
                <w:i/>
                <w:iCs/>
                <w:szCs w:val="24"/>
              </w:rPr>
              <w:t>3) Détermination du bordereau de coûts simplifiés des interventions</w:t>
            </w:r>
          </w:p>
          <w:p w:rsidR="0035701C" w:rsidRDefault="00FB561B">
            <w:pPr>
              <w:spacing w:before="240" w:after="240"/>
              <w:jc w:val="left"/>
              <w:rPr>
                <w:szCs w:val="24"/>
              </w:rPr>
            </w:pPr>
            <w:r>
              <w:rPr>
                <w:szCs w:val="24"/>
              </w:rPr>
              <w:t>L’estimation du coût forfaitaire pour chaque intervention est établie sur la base des valeurs moyennes d’utilisation des maté</w:t>
            </w:r>
            <w:r>
              <w:rPr>
                <w:szCs w:val="24"/>
              </w:rPr>
              <w:t>riels et de mobilisation de la main d’œuvre afférente, dans des conditions de travail standard (pente, pierrosité, éloignement du chantier) multiplié par leur coût unitaire.</w:t>
            </w:r>
          </w:p>
          <w:p w:rsidR="0035701C" w:rsidRDefault="00FB561B">
            <w:pPr>
              <w:spacing w:before="240" w:after="240"/>
              <w:jc w:val="left"/>
              <w:rPr>
                <w:szCs w:val="24"/>
              </w:rPr>
            </w:pPr>
            <w:r>
              <w:rPr>
                <w:szCs w:val="24"/>
              </w:rPr>
              <w:t>Des modalités de majorations de ces coûts d'intervention sont ensuite déclinées en</w:t>
            </w:r>
            <w:r>
              <w:rPr>
                <w:szCs w:val="24"/>
              </w:rPr>
              <w:t xml:space="preserve"> fonction de conditions spécifiques impliquant des surcoûts (pente, éloignement du site...).</w:t>
            </w:r>
          </w:p>
          <w:p w:rsidR="0035701C" w:rsidRDefault="00FB561B">
            <w:pPr>
              <w:spacing w:before="240" w:after="240"/>
              <w:jc w:val="left"/>
              <w:rPr>
                <w:szCs w:val="24"/>
              </w:rPr>
            </w:pPr>
            <w:r>
              <w:rPr>
                <w:szCs w:val="24"/>
              </w:rPr>
              <w:t xml:space="preserve">Les résultats sont ainsi repris dans un bordereau de coût simplifié des interventions. Les résultats sont exprimés en € par unité de surface ou par arbre (cas des </w:t>
            </w:r>
            <w:r>
              <w:rPr>
                <w:szCs w:val="24"/>
              </w:rPr>
              <w:t>mises en valeur) ou en € par linéaire (cas des clôtures et de la pose du réseau d'irrigation).</w:t>
            </w:r>
          </w:p>
          <w:p w:rsidR="0035701C" w:rsidRDefault="00FB561B">
            <w:pPr>
              <w:spacing w:before="240" w:after="240"/>
              <w:jc w:val="left"/>
              <w:rPr>
                <w:szCs w:val="24"/>
              </w:rPr>
            </w:pPr>
            <w:r>
              <w:rPr>
                <w:i/>
                <w:iCs/>
                <w:szCs w:val="24"/>
              </w:rPr>
              <w:t>4) Utilisation du bordereau de coûts simplifiés</w:t>
            </w:r>
          </w:p>
          <w:p w:rsidR="0035701C" w:rsidRDefault="00FB561B">
            <w:pPr>
              <w:spacing w:before="240" w:after="240"/>
              <w:jc w:val="left"/>
              <w:rPr>
                <w:szCs w:val="24"/>
              </w:rPr>
            </w:pPr>
            <w:r>
              <w:rPr>
                <w:szCs w:val="24"/>
              </w:rPr>
              <w:t>Ce bordereau est mis en œuvre pour l’estimation du coût de l’opération, sur la base des coûts forfaitaires des in</w:t>
            </w:r>
            <w:r>
              <w:rPr>
                <w:szCs w:val="24"/>
              </w:rPr>
              <w:t>terventions pour chaque filière de production, et qui correspondent à l'itinéraire technique décrivant l’ensemble des étapes nécessaires à la réalisation de la mise en valeur.</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u w:val="single"/>
              </w:rPr>
              <w:t xml:space="preserve">II) Notice détaillée relative aux conditions d'admissibilité des </w:t>
            </w:r>
            <w:r>
              <w:rPr>
                <w:b/>
                <w:bCs/>
                <w:szCs w:val="24"/>
                <w:u w:val="single"/>
              </w:rPr>
              <w:t>investissements d'irrigation.</w:t>
            </w:r>
          </w:p>
          <w:p w:rsidR="0035701C" w:rsidRDefault="00FB561B">
            <w:pPr>
              <w:spacing w:before="240" w:after="240"/>
              <w:jc w:val="left"/>
              <w:rPr>
                <w:szCs w:val="24"/>
              </w:rPr>
            </w:pPr>
            <w:r>
              <w:rPr>
                <w:szCs w:val="24"/>
              </w:rPr>
              <w:t>Ces critères s'appliquent conformément au tableau figurant au § "Conditions d'admissibilité" et font partie des critères d'admissibilités.</w:t>
            </w:r>
          </w:p>
          <w:p w:rsidR="0035701C" w:rsidRDefault="00FB561B">
            <w:pPr>
              <w:spacing w:before="240" w:after="240"/>
              <w:jc w:val="left"/>
              <w:rPr>
                <w:szCs w:val="24"/>
              </w:rPr>
            </w:pPr>
            <w:r>
              <w:rPr>
                <w:szCs w:val="24"/>
                <w:u w:val="single"/>
              </w:rPr>
              <w:t>1 - Critères relatifs à l’application des articles 45 et 46 du règlement (UE) n°1305/20</w:t>
            </w:r>
            <w:r>
              <w:rPr>
                <w:szCs w:val="24"/>
                <w:u w:val="single"/>
              </w:rPr>
              <w:t>13</w:t>
            </w:r>
          </w:p>
          <w:p w:rsidR="0035701C" w:rsidRDefault="00FB561B" w:rsidP="00FB561B">
            <w:pPr>
              <w:numPr>
                <w:ilvl w:val="0"/>
                <w:numId w:val="272"/>
              </w:numPr>
              <w:spacing w:before="240" w:after="0"/>
              <w:ind w:hanging="210"/>
              <w:jc w:val="left"/>
              <w:rPr>
                <w:szCs w:val="24"/>
              </w:rPr>
            </w:pPr>
            <w:r>
              <w:rPr>
                <w:szCs w:val="24"/>
              </w:rPr>
              <w:t>En application de l’article 45(1) du règlement (UE) n°1305/2013, pour être admissibles au bénéfice d'un soutien du FEADER, les opérations d'investissement qui sont susceptibles d'avoir des effets négatifs sur l'environnement sont précédées d'une évaluat</w:t>
            </w:r>
            <w:r>
              <w:rPr>
                <w:szCs w:val="24"/>
              </w:rPr>
              <w:t xml:space="preserve">ion d'impact, en conformité avec le droit spécifique applicable à ce type d'investissements. </w:t>
            </w:r>
            <w:r>
              <w:rPr>
                <w:b/>
                <w:bCs/>
                <w:szCs w:val="24"/>
              </w:rPr>
              <w:t>Cette condition devra être vérifiée pour toutes les opérations liées à l’irrigation dans le cadre d’un document d’évaluation dont le contenu est défini par l’Autor</w:t>
            </w:r>
            <w:r>
              <w:rPr>
                <w:b/>
                <w:bCs/>
                <w:szCs w:val="24"/>
              </w:rPr>
              <w:t xml:space="preserve">ité de Gestion. </w:t>
            </w:r>
            <w:r>
              <w:rPr>
                <w:szCs w:val="24"/>
              </w:rPr>
              <w:t xml:space="preserve">Ce document présentera obligatoirement les éléments suivants : </w:t>
            </w:r>
          </w:p>
          <w:p w:rsidR="0035701C" w:rsidRDefault="00FB561B" w:rsidP="00FB561B">
            <w:pPr>
              <w:numPr>
                <w:ilvl w:val="1"/>
                <w:numId w:val="272"/>
              </w:numPr>
              <w:spacing w:before="0" w:after="0"/>
              <w:ind w:hanging="244"/>
              <w:jc w:val="left"/>
              <w:rPr>
                <w:szCs w:val="24"/>
              </w:rPr>
            </w:pPr>
            <w:r>
              <w:rPr>
                <w:szCs w:val="24"/>
              </w:rPr>
              <w:t>les modalités de gestion raisonnée de l’irrigation sur l’exploitation,</w:t>
            </w:r>
          </w:p>
          <w:p w:rsidR="0035701C" w:rsidRDefault="00FB561B" w:rsidP="00FB561B">
            <w:pPr>
              <w:numPr>
                <w:ilvl w:val="1"/>
                <w:numId w:val="272"/>
              </w:numPr>
              <w:spacing w:before="0" w:after="0"/>
              <w:ind w:hanging="244"/>
              <w:jc w:val="left"/>
              <w:rPr>
                <w:szCs w:val="24"/>
              </w:rPr>
            </w:pPr>
            <w:r>
              <w:rPr>
                <w:szCs w:val="24"/>
              </w:rPr>
              <w:t>le ciblage de variétés végétales résilientes au changement climatique,</w:t>
            </w:r>
          </w:p>
          <w:p w:rsidR="0035701C" w:rsidRDefault="00FB561B" w:rsidP="00FB561B">
            <w:pPr>
              <w:numPr>
                <w:ilvl w:val="1"/>
                <w:numId w:val="272"/>
              </w:numPr>
              <w:spacing w:before="0" w:after="0"/>
              <w:ind w:hanging="244"/>
              <w:jc w:val="left"/>
              <w:rPr>
                <w:szCs w:val="24"/>
              </w:rPr>
            </w:pPr>
            <w:r>
              <w:rPr>
                <w:szCs w:val="24"/>
              </w:rPr>
              <w:t xml:space="preserve">l’adéquation entre les besoins et </w:t>
            </w:r>
            <w:r>
              <w:rPr>
                <w:szCs w:val="24"/>
              </w:rPr>
              <w:t>la disponibilité de la ressource,</w:t>
            </w:r>
          </w:p>
          <w:p w:rsidR="0035701C" w:rsidRDefault="00FB561B" w:rsidP="00FB561B">
            <w:pPr>
              <w:numPr>
                <w:ilvl w:val="1"/>
                <w:numId w:val="272"/>
              </w:numPr>
              <w:spacing w:before="0" w:after="0"/>
              <w:ind w:hanging="244"/>
              <w:jc w:val="left"/>
              <w:rPr>
                <w:szCs w:val="24"/>
              </w:rPr>
            </w:pPr>
            <w:r>
              <w:rPr>
                <w:szCs w:val="24"/>
              </w:rPr>
              <w:t>une évaluation préalable sur les économies d’eau potentielles qu’il peut générer, s’il est réalisé, par rapport au prélèvement brut annuel actuel.</w:t>
            </w:r>
          </w:p>
          <w:p w:rsidR="0035701C" w:rsidRDefault="00FB561B" w:rsidP="00FB561B">
            <w:pPr>
              <w:numPr>
                <w:ilvl w:val="1"/>
                <w:numId w:val="272"/>
              </w:numPr>
              <w:spacing w:before="0" w:after="0"/>
              <w:ind w:hanging="244"/>
              <w:jc w:val="left"/>
              <w:rPr>
                <w:szCs w:val="24"/>
              </w:rPr>
            </w:pPr>
            <w:r>
              <w:rPr>
                <w:szCs w:val="24"/>
              </w:rPr>
              <w:t>une analyse environnementale</w:t>
            </w:r>
          </w:p>
          <w:p w:rsidR="0035701C" w:rsidRDefault="00FB561B" w:rsidP="00FB561B">
            <w:pPr>
              <w:numPr>
                <w:ilvl w:val="1"/>
                <w:numId w:val="272"/>
              </w:numPr>
              <w:spacing w:before="0" w:after="0"/>
              <w:ind w:hanging="244"/>
              <w:jc w:val="left"/>
              <w:rPr>
                <w:szCs w:val="24"/>
              </w:rPr>
            </w:pPr>
            <w:r>
              <w:rPr>
                <w:szCs w:val="24"/>
              </w:rPr>
              <w:t>les besoins de formation ou d’apprentissage de</w:t>
            </w:r>
            <w:r>
              <w:rPr>
                <w:szCs w:val="24"/>
              </w:rPr>
              <w:t>s porteurs de projets individuels et des utilisateurs de réseaux collectifs au regard des techniques d’irrigation envisagées (méthode du bilan hydrique au minimum).</w:t>
            </w:r>
          </w:p>
          <w:p w:rsidR="0035701C" w:rsidRDefault="00FB561B" w:rsidP="00FB561B">
            <w:pPr>
              <w:numPr>
                <w:ilvl w:val="0"/>
                <w:numId w:val="272"/>
              </w:numPr>
              <w:spacing w:before="0" w:after="0"/>
              <w:ind w:hanging="210"/>
              <w:jc w:val="left"/>
              <w:rPr>
                <w:szCs w:val="24"/>
              </w:rPr>
            </w:pPr>
            <w:r>
              <w:rPr>
                <w:szCs w:val="24"/>
              </w:rPr>
              <w:t>Les projets d’investissements dans l’irrigation doivent respecter les conditions de l’artic</w:t>
            </w:r>
            <w:r>
              <w:rPr>
                <w:szCs w:val="24"/>
              </w:rPr>
              <w:t xml:space="preserve">le 46 du règlement (UE) n° 1305/2013 (cf. § </w:t>
            </w:r>
            <w:r>
              <w:rPr>
                <w:i/>
                <w:iCs/>
                <w:szCs w:val="24"/>
              </w:rPr>
              <w:t>Conditions d'admissibilité</w:t>
            </w:r>
            <w:r>
              <w:rPr>
                <w:szCs w:val="24"/>
              </w:rPr>
              <w:t xml:space="preserve">): </w:t>
            </w:r>
          </w:p>
          <w:p w:rsidR="0035701C" w:rsidRDefault="00FB561B" w:rsidP="00FB561B">
            <w:pPr>
              <w:numPr>
                <w:ilvl w:val="1"/>
                <w:numId w:val="272"/>
              </w:numPr>
              <w:spacing w:before="0" w:after="0"/>
              <w:ind w:hanging="244"/>
              <w:jc w:val="left"/>
              <w:rPr>
                <w:szCs w:val="24"/>
              </w:rPr>
            </w:pPr>
            <w:r>
              <w:rPr>
                <w:szCs w:val="24"/>
              </w:rPr>
              <w:t>Les investissements en matière d’hydraulique et d’irrigation collective ou individuelle localisés à l’intérieur du périmètre du Bassin de Corse sont couvert par un plan de gestion de</w:t>
            </w:r>
            <w:r>
              <w:rPr>
                <w:szCs w:val="24"/>
              </w:rPr>
              <w:t xml:space="preserve"> district hydrographique, à savoir le Schéma Directeur d’Aménagement et de Gestion des Eaux (SDAGE du Bassin de Corse) pour les périodes 2010-2015 et 2016-2021 (cf. cartes dans le document Annexe M4) ; ils satisfont de ce fait au critère d’admissibilité dé</w:t>
            </w:r>
            <w:r>
              <w:rPr>
                <w:szCs w:val="24"/>
              </w:rPr>
              <w:t>fini à l'article 46(2) du règlement (UE) n°1305/2013,</w:t>
            </w:r>
          </w:p>
          <w:p w:rsidR="0035701C" w:rsidRDefault="00FB561B" w:rsidP="00FB561B">
            <w:pPr>
              <w:numPr>
                <w:ilvl w:val="1"/>
                <w:numId w:val="272"/>
              </w:numPr>
              <w:spacing w:before="0" w:after="0"/>
              <w:ind w:hanging="244"/>
              <w:jc w:val="left"/>
              <w:rPr>
                <w:szCs w:val="24"/>
              </w:rPr>
            </w:pPr>
            <w:r>
              <w:rPr>
                <w:szCs w:val="24"/>
              </w:rPr>
              <w:t>Les projets de mobilisation de la ressource hydrique devront être en cohérence avec les orientations et programme de mesures du SDAGE Corse (notamment l’orientation fondamentale n°1 concernant l’équilib</w:t>
            </w:r>
            <w:r>
              <w:rPr>
                <w:szCs w:val="24"/>
              </w:rPr>
              <w:t>re quantitatif de la ressource) ainsi qu’avec les programmes d’intervention éventuellement élaborés, sur les territoires concernés, dans le cadre de démarches concertées de gestion des milieux (SAGE, Contrat de milieux, Plans de gestion).</w:t>
            </w:r>
          </w:p>
          <w:p w:rsidR="0035701C" w:rsidRDefault="00FB561B" w:rsidP="00FB561B">
            <w:pPr>
              <w:numPr>
                <w:ilvl w:val="0"/>
                <w:numId w:val="272"/>
              </w:numPr>
              <w:spacing w:before="0" w:after="0"/>
              <w:ind w:hanging="210"/>
              <w:jc w:val="left"/>
              <w:rPr>
                <w:szCs w:val="24"/>
              </w:rPr>
            </w:pPr>
            <w:r>
              <w:rPr>
                <w:szCs w:val="24"/>
              </w:rPr>
              <w:t>Conformément à l’</w:t>
            </w:r>
            <w:r>
              <w:rPr>
                <w:szCs w:val="24"/>
              </w:rPr>
              <w:t>article 46 du règlement (UE) n°1305/2013, les critères d’admissibilité des dépenses considèrent de façon différenciée les opérations localisés dans des périmètres irrigués existants et les opérations se traduisant par une augmentation nette de la zone irri</w:t>
            </w:r>
            <w:r>
              <w:rPr>
                <w:szCs w:val="24"/>
              </w:rPr>
              <w:t>guée. En fonction de ces zones, les conditions d’admissibilité tiennent compte selon les cas de l’état quantitatif des masses d’eau où se situe l’origine du prélèvement, et/ou de l’impact environnemental des opérations.</w:t>
            </w:r>
          </w:p>
          <w:p w:rsidR="0035701C" w:rsidRDefault="00FB561B" w:rsidP="00FB561B">
            <w:pPr>
              <w:numPr>
                <w:ilvl w:val="0"/>
                <w:numId w:val="272"/>
              </w:numPr>
              <w:spacing w:before="0" w:after="0"/>
              <w:ind w:hanging="210"/>
              <w:jc w:val="left"/>
              <w:rPr>
                <w:szCs w:val="24"/>
              </w:rPr>
            </w:pPr>
            <w:r>
              <w:rPr>
                <w:szCs w:val="24"/>
              </w:rPr>
              <w:t>Conformément à l'article 46(3) du rè</w:t>
            </w:r>
            <w:r>
              <w:rPr>
                <w:szCs w:val="24"/>
              </w:rPr>
              <w:t xml:space="preserve">glement (UE) n°1305/2013, pour tout investissement impliquant un prélèvement en eau, le porteur de projet devra justifier de la présence d’un système de </w:t>
            </w:r>
            <w:r>
              <w:rPr>
                <w:szCs w:val="24"/>
                <w:u w:val="single"/>
              </w:rPr>
              <w:t>mesure de la consommation d’eau</w:t>
            </w:r>
            <w:r>
              <w:rPr>
                <w:szCs w:val="24"/>
              </w:rPr>
              <w:t xml:space="preserve"> ou prévoir sa mise en place. Par ailleurs, le porteur de projet devra s</w:t>
            </w:r>
            <w:r>
              <w:rPr>
                <w:szCs w:val="24"/>
              </w:rPr>
              <w:t xml:space="preserve">e conformer à l’obligation d’assurer un </w:t>
            </w:r>
            <w:r>
              <w:rPr>
                <w:szCs w:val="24"/>
                <w:u w:val="single"/>
              </w:rPr>
              <w:t>suivi des consommations</w:t>
            </w:r>
            <w:r>
              <w:rPr>
                <w:szCs w:val="24"/>
              </w:rPr>
              <w:t xml:space="preserve"> qui sera consigné dans un registre. Les données devront être conservées pendant au minimum 3 ans (article L214-8 du code de l’environnement).</w:t>
            </w:r>
          </w:p>
          <w:p w:rsidR="0035701C" w:rsidRDefault="00FB561B" w:rsidP="00FB561B">
            <w:pPr>
              <w:numPr>
                <w:ilvl w:val="0"/>
                <w:numId w:val="272"/>
              </w:numPr>
              <w:spacing w:before="0" w:after="0"/>
              <w:ind w:hanging="210"/>
              <w:jc w:val="left"/>
              <w:rPr>
                <w:szCs w:val="24"/>
              </w:rPr>
            </w:pPr>
            <w:r>
              <w:rPr>
                <w:szCs w:val="24"/>
              </w:rPr>
              <w:t xml:space="preserve">Conformément à l’article 46(4) du règlement (UE) </w:t>
            </w:r>
            <w:r>
              <w:rPr>
                <w:szCs w:val="24"/>
              </w:rPr>
              <w:t>n°1305/2013, un investissement dans l’</w:t>
            </w:r>
            <w:r>
              <w:rPr>
                <w:szCs w:val="24"/>
                <w:u w:val="single"/>
              </w:rPr>
              <w:t>amélioration d’une installation existante</w:t>
            </w:r>
            <w:r>
              <w:rPr>
                <w:szCs w:val="24"/>
              </w:rPr>
              <w:t xml:space="preserve"> doit permettre des économies d’eau d’un minimum de 5 % par rapport à l’installation existante, sauf s’il s’agit d’un investissement dans la création d'un réservoir ou dans l'ut</w:t>
            </w:r>
            <w:r>
              <w:rPr>
                <w:szCs w:val="24"/>
              </w:rPr>
              <w:t>ilisation d'eau recyclée, qui n'a pas d'incidence sur une masse d'eau souterraine ou superficielle, et dès lors qu'il n'y a pas d'augmentation de la zone irriguée. Le niveau d’économie potentielle de 5% à 25% de réduction des consommations est établi en re</w:t>
            </w:r>
            <w:r>
              <w:rPr>
                <w:szCs w:val="24"/>
              </w:rPr>
              <w:t>lation avec l'évaluation ex-ante. A cette fin, l' AG établit un référentiel précisant les préconisations en relation avec les types d’irrigation et de la qualité des masses d’eau. Cette réduction doit atteindre 50% des économies prévues lorsque le prélèvem</w:t>
            </w:r>
            <w:r>
              <w:rPr>
                <w:szCs w:val="24"/>
              </w:rPr>
              <w:t>ent se situe dans une masse d’eau dont l’état quantitatif est identifié comme moins que bon.</w:t>
            </w:r>
          </w:p>
          <w:p w:rsidR="0035701C" w:rsidRDefault="00FB561B" w:rsidP="00FB561B">
            <w:pPr>
              <w:numPr>
                <w:ilvl w:val="0"/>
                <w:numId w:val="272"/>
              </w:numPr>
              <w:spacing w:before="0" w:after="240"/>
              <w:ind w:hanging="210"/>
              <w:jc w:val="left"/>
              <w:rPr>
                <w:szCs w:val="24"/>
              </w:rPr>
            </w:pPr>
            <w:r>
              <w:rPr>
                <w:szCs w:val="24"/>
              </w:rPr>
              <w:t>L’</w:t>
            </w:r>
            <w:r>
              <w:rPr>
                <w:szCs w:val="24"/>
                <w:u w:val="single"/>
              </w:rPr>
              <w:t>augmentation de la superficie irriguée</w:t>
            </w:r>
            <w:r>
              <w:rPr>
                <w:szCs w:val="24"/>
              </w:rPr>
              <w:t xml:space="preserve"> n’est possible que lorsque le prélèvement se situe dans une masse d’eau dont l’état quantitatif est identifié comme au minimum bon, et que l’incidence environnementale reste favorable sur la base d'une analyse réalisée selon les disposition de l'art 46.5b</w:t>
            </w:r>
            <w:r>
              <w:rPr>
                <w:szCs w:val="24"/>
              </w:rPr>
              <w:t>, sauf cas particuliers (réservoirs existant avant le 31 octobre 2013).</w:t>
            </w:r>
          </w:p>
          <w:p w:rsidR="0035701C" w:rsidRDefault="00FB561B">
            <w:pPr>
              <w:spacing w:before="240" w:after="240"/>
              <w:jc w:val="left"/>
              <w:rPr>
                <w:szCs w:val="24"/>
              </w:rPr>
            </w:pPr>
            <w:r>
              <w:rPr>
                <w:szCs w:val="24"/>
                <w:u w:val="single"/>
              </w:rPr>
              <w:t>2 - Critères en application de la règlementation nationale en vigueur ou établis de façon complémentaire par l’Autorité de Gestion :</w:t>
            </w:r>
          </w:p>
          <w:p w:rsidR="0035701C" w:rsidRDefault="00FB561B">
            <w:pPr>
              <w:spacing w:before="240" w:after="240"/>
              <w:ind w:left="318"/>
              <w:jc w:val="left"/>
              <w:rPr>
                <w:szCs w:val="24"/>
              </w:rPr>
            </w:pPr>
            <w:r>
              <w:rPr>
                <w:szCs w:val="24"/>
              </w:rPr>
              <w:t>Sans préjudice des différentes dispositions communa</w:t>
            </w:r>
            <w:r>
              <w:rPr>
                <w:szCs w:val="24"/>
              </w:rPr>
              <w:t>utaires présentées ci-dessus qui s’appliquent aux différentes opérations, les investissements devront également satisfaire aux critères d’admissibilité suivants :</w:t>
            </w:r>
          </w:p>
          <w:p w:rsidR="0035701C" w:rsidRDefault="00FB561B" w:rsidP="00FB561B">
            <w:pPr>
              <w:numPr>
                <w:ilvl w:val="0"/>
                <w:numId w:val="273"/>
              </w:numPr>
              <w:spacing w:before="240" w:after="0"/>
              <w:ind w:hanging="210"/>
              <w:jc w:val="left"/>
              <w:rPr>
                <w:szCs w:val="24"/>
              </w:rPr>
            </w:pPr>
            <w:r>
              <w:rPr>
                <w:szCs w:val="24"/>
              </w:rPr>
              <w:t xml:space="preserve">De façon générale, toutes les opérations liées à un prélèvement en eau, nouveau ou existant, </w:t>
            </w:r>
            <w:r>
              <w:rPr>
                <w:szCs w:val="24"/>
              </w:rPr>
              <w:t xml:space="preserve">devront être régularisées au titre du code de l’environnement dans le respect des articles </w:t>
            </w:r>
            <w:r>
              <w:rPr>
                <w:i/>
                <w:iCs/>
                <w:szCs w:val="24"/>
              </w:rPr>
              <w:t>L214(1) et suivants et R214(1) et suivants</w:t>
            </w:r>
            <w:r>
              <w:rPr>
                <w:szCs w:val="24"/>
              </w:rPr>
              <w:t>. En outre, les captages sur des cours d’eau devront avoir reçu un agrément de régularité délivré par l’autorité compétente</w:t>
            </w:r>
            <w:r>
              <w:rPr>
                <w:szCs w:val="24"/>
              </w:rPr>
              <w:t xml:space="preserve"> et seront conçus de façon à ne pas entraver la continuité écologique et garantir le maintien du débit réservé.</w:t>
            </w:r>
          </w:p>
          <w:p w:rsidR="0035701C" w:rsidRDefault="00FB561B" w:rsidP="00FB561B">
            <w:pPr>
              <w:numPr>
                <w:ilvl w:val="0"/>
                <w:numId w:val="273"/>
              </w:numPr>
              <w:spacing w:before="0" w:after="0"/>
              <w:ind w:hanging="210"/>
              <w:jc w:val="left"/>
              <w:rPr>
                <w:szCs w:val="24"/>
              </w:rPr>
            </w:pPr>
            <w:r>
              <w:rPr>
                <w:szCs w:val="24"/>
              </w:rPr>
              <w:t>Les captages de ressources souterraines destinés à l’irrigation devront faire l’objet d’études spécifiques confiées à des hydrogéologues afin d’</w:t>
            </w:r>
            <w:r>
              <w:rPr>
                <w:szCs w:val="24"/>
              </w:rPr>
              <w:t>évaluer leur productivité en fonction des capacités des aquifères. Ces études constitueront des pré-requis pour le dimensionnement des périmètres irrigués.</w:t>
            </w:r>
          </w:p>
          <w:p w:rsidR="0035701C" w:rsidRDefault="00FB561B" w:rsidP="00FB561B">
            <w:pPr>
              <w:numPr>
                <w:ilvl w:val="0"/>
                <w:numId w:val="273"/>
              </w:numPr>
              <w:spacing w:before="0" w:after="0"/>
              <w:ind w:hanging="210"/>
              <w:jc w:val="left"/>
              <w:rPr>
                <w:szCs w:val="24"/>
              </w:rPr>
            </w:pPr>
            <w:r>
              <w:rPr>
                <w:szCs w:val="24"/>
              </w:rPr>
              <w:t>Les nouvelles demandes de raccordement aux ouvrages et réseaux existant, seront soumises au gestionn</w:t>
            </w:r>
            <w:r>
              <w:rPr>
                <w:szCs w:val="24"/>
              </w:rPr>
              <w:t>aire de ces infrastructures pour approbation. Ces demandes intégreront des éléments sur les débits d’équipement requis et une estimation sur les volumes annuels de consommation comme aide à la décision.</w:t>
            </w:r>
          </w:p>
          <w:p w:rsidR="0035701C" w:rsidRDefault="00FB561B" w:rsidP="00FB561B">
            <w:pPr>
              <w:numPr>
                <w:ilvl w:val="0"/>
                <w:numId w:val="273"/>
              </w:numPr>
              <w:spacing w:before="0" w:after="0"/>
              <w:ind w:hanging="210"/>
              <w:jc w:val="left"/>
              <w:rPr>
                <w:szCs w:val="24"/>
              </w:rPr>
            </w:pPr>
            <w:r>
              <w:rPr>
                <w:szCs w:val="24"/>
              </w:rPr>
              <w:t>Pour les investissements à vocation individuelle, les</w:t>
            </w:r>
            <w:r>
              <w:rPr>
                <w:szCs w:val="24"/>
              </w:rPr>
              <w:t xml:space="preserve"> parcelles desservies auront nécessairement un usage agricole (mesure 4.1.1).</w:t>
            </w:r>
          </w:p>
          <w:p w:rsidR="0035701C" w:rsidRDefault="00FB561B" w:rsidP="00FB561B">
            <w:pPr>
              <w:numPr>
                <w:ilvl w:val="0"/>
                <w:numId w:val="273"/>
              </w:numPr>
              <w:spacing w:before="0" w:after="240"/>
              <w:ind w:hanging="210"/>
              <w:jc w:val="left"/>
              <w:rPr>
                <w:szCs w:val="24"/>
              </w:rPr>
            </w:pPr>
            <w:r>
              <w:rPr>
                <w:szCs w:val="24"/>
              </w:rPr>
              <w:t>Pour les projets de desserte en eau portés par des exploitants à titre collectif, leur regroupement au sein d’associations d’irrigants sera requis si aucune autre structure de ge</w:t>
            </w:r>
            <w:r>
              <w:rPr>
                <w:szCs w:val="24"/>
              </w:rPr>
              <w:t>stion compétente ne peut-être identifiée.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Informations spécifiques sur l'opération</w:t>
      </w:r>
    </w:p>
    <w:p w:rsidR="0035701C" w:rsidRDefault="00FB561B">
      <w:r>
        <w:t>Définition des investissements non productifs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Définition des investissements collectifs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i/>
                <w:iCs/>
                <w:szCs w:val="24"/>
              </w:rPr>
              <w:t>_</w:t>
            </w:r>
          </w:p>
          <w:p w:rsidR="0035701C" w:rsidRDefault="0035701C">
            <w:pPr>
              <w:pStyle w:val="Corpsdetexte"/>
            </w:pPr>
          </w:p>
        </w:tc>
      </w:tr>
    </w:tbl>
    <w:p w:rsidR="0035701C" w:rsidRDefault="00FB561B">
      <w:r>
        <w:t>Définition des projets intégrés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Définition et recensement des zones</w:t>
      </w:r>
      <w:r>
        <w:t xml:space="preserve"> Natura 2000 et des autres zones à haute valeur naturelle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Description du ciblage de l’aide aux exploitations conformément à l’analyse  SWOT réalisée en ce qui concerne la priorité visée à l'article 5, paragraphe 2, du règlement (UE) n° </w:t>
      </w:r>
      <w:r>
        <w:t>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L’objectif d’augmenter les surfaces mises en valeur pour l’ensemble des territoires dans la zone de programmation découle des éléments relevées par l’AFOM. Ceux-ci démontrent à la fois la faible proportion de surfaces en production et l’importanc</w:t>
            </w:r>
            <w:r>
              <w:rPr>
                <w:szCs w:val="24"/>
              </w:rPr>
              <w:t>e des contraintes qui pèsent sur leur développement voire sur leur maintien.</w:t>
            </w:r>
          </w:p>
          <w:p w:rsidR="0035701C" w:rsidRDefault="00FB561B">
            <w:pPr>
              <w:spacing w:before="240" w:after="240"/>
              <w:jc w:val="left"/>
              <w:rPr>
                <w:szCs w:val="24"/>
              </w:rPr>
            </w:pPr>
            <w:r>
              <w:rPr>
                <w:szCs w:val="24"/>
              </w:rPr>
              <w:t>L’outil de production agricole en Corse est en effet caractérisé par une proportion de terres arables et de cultures pérennes qui est insuffisante pour assurer une viabilité durab</w:t>
            </w:r>
            <w:r>
              <w:rPr>
                <w:szCs w:val="24"/>
              </w:rPr>
              <w:t>le de ces secteurs, comme en témoigne les indicateurs suivants :</w:t>
            </w:r>
          </w:p>
          <w:p w:rsidR="0035701C" w:rsidRDefault="00FB561B" w:rsidP="00FB561B">
            <w:pPr>
              <w:numPr>
                <w:ilvl w:val="0"/>
                <w:numId w:val="274"/>
              </w:numPr>
              <w:spacing w:before="240" w:after="0"/>
              <w:ind w:hanging="210"/>
              <w:jc w:val="left"/>
              <w:rPr>
                <w:szCs w:val="24"/>
              </w:rPr>
            </w:pPr>
            <w:r>
              <w:rPr>
                <w:szCs w:val="24"/>
              </w:rPr>
              <w:t>La proportion de terres arables et de cultures pérennes est faible (IC 18) = 14% de la SAU en Corse, contre 67% pour la France et 66% pour l’UE27,</w:t>
            </w:r>
          </w:p>
          <w:p w:rsidR="0035701C" w:rsidRDefault="00FB561B" w:rsidP="00FB561B">
            <w:pPr>
              <w:numPr>
                <w:ilvl w:val="0"/>
                <w:numId w:val="274"/>
              </w:numPr>
              <w:spacing w:before="0" w:after="240"/>
              <w:ind w:hanging="210"/>
              <w:jc w:val="left"/>
              <w:rPr>
                <w:szCs w:val="24"/>
              </w:rPr>
            </w:pPr>
            <w:r>
              <w:rPr>
                <w:szCs w:val="24"/>
              </w:rPr>
              <w:t xml:space="preserve">La part de terres agricoles est réduite (IC </w:t>
            </w:r>
            <w:r>
              <w:rPr>
                <w:szCs w:val="24"/>
              </w:rPr>
              <w:t>31) = 11% pour la Corse, contre 60% pour la France et 47% pour l’UE27.</w:t>
            </w:r>
          </w:p>
          <w:p w:rsidR="0035701C" w:rsidRDefault="00FB561B">
            <w:pPr>
              <w:spacing w:before="240" w:after="240"/>
              <w:jc w:val="left"/>
              <w:rPr>
                <w:szCs w:val="24"/>
              </w:rPr>
            </w:pPr>
            <w:r>
              <w:rPr>
                <w:szCs w:val="24"/>
              </w:rPr>
              <w:t>L’analyse AFOM relève ainsi :</w:t>
            </w:r>
          </w:p>
          <w:p w:rsidR="0035701C" w:rsidRDefault="00FB561B" w:rsidP="00FB561B">
            <w:pPr>
              <w:numPr>
                <w:ilvl w:val="0"/>
                <w:numId w:val="275"/>
              </w:numPr>
              <w:spacing w:before="240" w:after="0"/>
              <w:ind w:hanging="210"/>
              <w:jc w:val="left"/>
              <w:rPr>
                <w:szCs w:val="24"/>
              </w:rPr>
            </w:pPr>
            <w:r>
              <w:rPr>
                <w:szCs w:val="24"/>
              </w:rPr>
              <w:t>l’absence de masse critique au niveau de la production rendant difficile l’organisation économique pour accéder au marché,</w:t>
            </w:r>
          </w:p>
          <w:p w:rsidR="0035701C" w:rsidRDefault="00FB561B" w:rsidP="00FB561B">
            <w:pPr>
              <w:numPr>
                <w:ilvl w:val="0"/>
                <w:numId w:val="275"/>
              </w:numPr>
              <w:spacing w:before="0" w:after="0"/>
              <w:ind w:hanging="210"/>
              <w:jc w:val="left"/>
              <w:rPr>
                <w:szCs w:val="24"/>
              </w:rPr>
            </w:pPr>
            <w:r>
              <w:rPr>
                <w:szCs w:val="24"/>
              </w:rPr>
              <w:t xml:space="preserve">l’irrégularité de la production </w:t>
            </w:r>
            <w:r>
              <w:rPr>
                <w:szCs w:val="24"/>
              </w:rPr>
              <w:t>intra et inter-annuelle,</w:t>
            </w:r>
          </w:p>
          <w:p w:rsidR="0035701C" w:rsidRDefault="00FB561B" w:rsidP="00FB561B">
            <w:pPr>
              <w:numPr>
                <w:ilvl w:val="0"/>
                <w:numId w:val="275"/>
              </w:numPr>
              <w:spacing w:before="0" w:after="0"/>
              <w:ind w:hanging="210"/>
              <w:jc w:val="left"/>
              <w:rPr>
                <w:szCs w:val="24"/>
              </w:rPr>
            </w:pPr>
            <w:r>
              <w:rPr>
                <w:szCs w:val="24"/>
              </w:rPr>
              <w:t>la baisse des surfaces en culture notamment en arboriculture (kiwi, amande, châtaigne, prune), maraichage et agrumiculture ; insuffisance de mise en valeur fourragère sur les exploitations d’élevage ;</w:t>
            </w:r>
          </w:p>
          <w:p w:rsidR="0035701C" w:rsidRDefault="00FB561B" w:rsidP="00FB561B">
            <w:pPr>
              <w:numPr>
                <w:ilvl w:val="0"/>
                <w:numId w:val="275"/>
              </w:numPr>
              <w:spacing w:before="0" w:after="240"/>
              <w:ind w:hanging="210"/>
              <w:jc w:val="left"/>
              <w:rPr>
                <w:szCs w:val="24"/>
              </w:rPr>
            </w:pPr>
            <w:r>
              <w:rPr>
                <w:szCs w:val="24"/>
              </w:rPr>
              <w:t>les contraintes physiques impo</w:t>
            </w:r>
            <w:r>
              <w:rPr>
                <w:szCs w:val="24"/>
              </w:rPr>
              <w:t>rtantes à la mise en valeur des sols.</w:t>
            </w:r>
          </w:p>
          <w:p w:rsidR="0035701C" w:rsidRDefault="00FB561B">
            <w:pPr>
              <w:spacing w:before="240" w:after="240"/>
              <w:jc w:val="left"/>
              <w:rPr>
                <w:szCs w:val="24"/>
              </w:rPr>
            </w:pPr>
            <w:r>
              <w:rPr>
                <w:szCs w:val="24"/>
              </w:rPr>
              <w:t>Ces insuffisances se retrouvent également au niveau des exploitations agricoles dont le niveau de Production Brute Standard (cf. IC 17) reste plus faible que sur l’ensemble du territoire national. Le développement quan</w:t>
            </w:r>
            <w:r>
              <w:rPr>
                <w:szCs w:val="24"/>
              </w:rPr>
              <w:t>titatif des cultures pérennes dans les secteurs de productions végétales et une meilleure valorisation des pâturages permanents des exploitations d’élevage constituent ainsi un facteur de compétitivité économique potentiel de ces exploitations sur plusieur</w:t>
            </w:r>
            <w:r>
              <w:rPr>
                <w:szCs w:val="24"/>
              </w:rPr>
              <w:t>s plans : meilleur amortissement des matériels et des structures, adéquation des techniques de conduite, meilleure gestion de la récolte en vue d’accéder au marché.</w:t>
            </w:r>
          </w:p>
          <w:p w:rsidR="0035701C" w:rsidRDefault="00FB561B">
            <w:pPr>
              <w:spacing w:before="240" w:after="240"/>
              <w:jc w:val="left"/>
              <w:rPr>
                <w:szCs w:val="24"/>
              </w:rPr>
            </w:pPr>
            <w:r>
              <w:rPr>
                <w:szCs w:val="24"/>
              </w:rPr>
              <w:t xml:space="preserve">Par ailleurs, les opportunités dans la zone de programmation révèlent que des possibilités </w:t>
            </w:r>
            <w:r>
              <w:rPr>
                <w:szCs w:val="24"/>
              </w:rPr>
              <w:t>de développement existent grâce aux actions collectives sur le foncier, et que la demande de produits agricoles ou transformés apparait supérieure à l'offre sur le marché local dans la plupart des filières.</w:t>
            </w:r>
          </w:p>
          <w:p w:rsidR="0035701C" w:rsidRDefault="00FB561B">
            <w:pPr>
              <w:spacing w:before="240" w:after="240"/>
              <w:jc w:val="left"/>
              <w:rPr>
                <w:szCs w:val="24"/>
              </w:rPr>
            </w:pPr>
            <w:r>
              <w:rPr>
                <w:szCs w:val="24"/>
              </w:rPr>
              <w:t>Cette situation à la fois au niveau macro-économi</w:t>
            </w:r>
            <w:r>
              <w:rPr>
                <w:szCs w:val="24"/>
              </w:rPr>
              <w:t>que de la zone de programmation et au niveau des exploitations agricoles, justifie le ciblage sur l’ensemble des secteurs agricoles :</w:t>
            </w:r>
          </w:p>
          <w:p w:rsidR="0035701C" w:rsidRDefault="00FB561B" w:rsidP="00FB561B">
            <w:pPr>
              <w:numPr>
                <w:ilvl w:val="0"/>
                <w:numId w:val="276"/>
              </w:numPr>
              <w:spacing w:before="240" w:after="0"/>
              <w:ind w:hanging="210"/>
              <w:jc w:val="left"/>
              <w:rPr>
                <w:szCs w:val="24"/>
              </w:rPr>
            </w:pPr>
            <w:r>
              <w:rPr>
                <w:szCs w:val="24"/>
              </w:rPr>
              <w:t>L’accompagnement des investissements concourant à la pérennité et au développement de l’arboriculture.</w:t>
            </w:r>
          </w:p>
          <w:p w:rsidR="0035701C" w:rsidRDefault="00FB561B" w:rsidP="00FB561B">
            <w:pPr>
              <w:numPr>
                <w:ilvl w:val="0"/>
                <w:numId w:val="276"/>
              </w:numPr>
              <w:spacing w:before="0" w:after="0"/>
              <w:ind w:hanging="210"/>
              <w:jc w:val="left"/>
              <w:rPr>
                <w:szCs w:val="24"/>
              </w:rPr>
            </w:pPr>
            <w:r>
              <w:rPr>
                <w:szCs w:val="24"/>
              </w:rPr>
              <w:t>L’accompagnement de</w:t>
            </w:r>
            <w:r>
              <w:rPr>
                <w:szCs w:val="24"/>
              </w:rPr>
              <w:t>s investissements concourant à la pérennité et au développement de la viticulture.</w:t>
            </w:r>
          </w:p>
          <w:p w:rsidR="0035701C" w:rsidRDefault="00FB561B" w:rsidP="00FB561B">
            <w:pPr>
              <w:numPr>
                <w:ilvl w:val="0"/>
                <w:numId w:val="276"/>
              </w:numPr>
              <w:spacing w:before="0" w:after="0"/>
              <w:ind w:hanging="210"/>
              <w:jc w:val="left"/>
              <w:rPr>
                <w:szCs w:val="24"/>
              </w:rPr>
            </w:pPr>
            <w:r>
              <w:rPr>
                <w:szCs w:val="24"/>
              </w:rPr>
              <w:t>L’accompagnement des investissements destinés à favoriser les productions horticoles, en plantes aromatiques et maraichères.</w:t>
            </w:r>
          </w:p>
          <w:p w:rsidR="0035701C" w:rsidRDefault="00FB561B" w:rsidP="00FB561B">
            <w:pPr>
              <w:numPr>
                <w:ilvl w:val="0"/>
                <w:numId w:val="276"/>
              </w:numPr>
              <w:spacing w:before="0" w:after="0"/>
              <w:ind w:hanging="210"/>
              <w:jc w:val="left"/>
              <w:rPr>
                <w:szCs w:val="24"/>
              </w:rPr>
            </w:pPr>
            <w:r>
              <w:rPr>
                <w:szCs w:val="24"/>
              </w:rPr>
              <w:t xml:space="preserve">L’accompagnement des investissements destinés à </w:t>
            </w:r>
            <w:r>
              <w:rPr>
                <w:szCs w:val="24"/>
              </w:rPr>
              <w:t>améliorer, requalifier et développer les surfaces fourragères, à destination finale de l’élevage ou pour accroitre l’autonomie des exploitations.</w:t>
            </w:r>
          </w:p>
          <w:p w:rsidR="0035701C" w:rsidRDefault="00FB561B" w:rsidP="00FB561B">
            <w:pPr>
              <w:numPr>
                <w:ilvl w:val="0"/>
                <w:numId w:val="276"/>
              </w:numPr>
              <w:spacing w:before="0" w:after="240"/>
              <w:ind w:hanging="210"/>
              <w:jc w:val="left"/>
              <w:rPr>
                <w:szCs w:val="24"/>
              </w:rPr>
            </w:pPr>
            <w:r>
              <w:rPr>
                <w:szCs w:val="24"/>
              </w:rPr>
              <w:t xml:space="preserve">La protection des parcelles déjà mises en valeur, par la pose d’exclos (notamment pour ce qui concerne les </w:t>
            </w:r>
            <w:r>
              <w:rPr>
                <w:szCs w:val="24"/>
              </w:rPr>
              <w:t>grandes cultures et le maraichage) ou de filets de protection.</w:t>
            </w:r>
          </w:p>
          <w:p w:rsidR="0035701C" w:rsidRDefault="0035701C">
            <w:pPr>
              <w:pStyle w:val="Corpsdetexte"/>
            </w:pPr>
          </w:p>
        </w:tc>
      </w:tr>
    </w:tbl>
    <w:p w:rsidR="0035701C" w:rsidRDefault="00FB561B">
      <w:r>
        <w:t>Liste des nouvelles exigences imposées par la législation de l’Union dont le respect permet l'octroi d'une aide en vertu de l’article 17, paragraphe 6,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S'il</w:t>
      </w:r>
      <w:r>
        <w:t xml:space="preserve"> y a lieu, normes minimales en matière d’efficacité énergétique visées à l’article 13, point c),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S'il y a lieu, définition des valeurs seuils visées à l’article 13, point e),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br w:type="page"/>
        <w:t>4.1.2- Exploitations agricoles</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277"/>
              </w:numPr>
            </w:pPr>
            <w:r>
              <w:t>4.1 – Aide aux investissements dans les exploitations agricoles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Sous-titre complet de l’opération : Exploitations agricoles = Structuration et équipement des exploitations </w:t>
            </w:r>
            <w:r>
              <w:rPr>
                <w:b/>
                <w:bCs/>
                <w:szCs w:val="24"/>
              </w:rPr>
              <w:t>agricoles</w:t>
            </w:r>
          </w:p>
          <w:p w:rsidR="0035701C" w:rsidRDefault="00FB561B">
            <w:pPr>
              <w:spacing w:before="240" w:after="240"/>
              <w:jc w:val="left"/>
              <w:rPr>
                <w:szCs w:val="24"/>
              </w:rPr>
            </w:pPr>
            <w:r>
              <w:rPr>
                <w:szCs w:val="24"/>
              </w:rPr>
              <w:t>Les objectifs concernent l’amélioration des infrastructures des exploitations agricoles avec notamment pour objectif :</w:t>
            </w:r>
          </w:p>
          <w:p w:rsidR="0035701C" w:rsidRDefault="00FB561B" w:rsidP="00FB561B">
            <w:pPr>
              <w:numPr>
                <w:ilvl w:val="0"/>
                <w:numId w:val="278"/>
              </w:numPr>
              <w:spacing w:before="240" w:after="0"/>
              <w:ind w:hanging="210"/>
              <w:jc w:val="left"/>
              <w:rPr>
                <w:szCs w:val="24"/>
              </w:rPr>
            </w:pPr>
            <w:r>
              <w:rPr>
                <w:szCs w:val="24"/>
              </w:rPr>
              <w:t>L’augmentation globale de la productivité ou la baisse des coûts de production</w:t>
            </w:r>
          </w:p>
          <w:p w:rsidR="0035701C" w:rsidRDefault="00FB561B" w:rsidP="00FB561B">
            <w:pPr>
              <w:numPr>
                <w:ilvl w:val="0"/>
                <w:numId w:val="278"/>
              </w:numPr>
              <w:spacing w:before="0" w:after="0"/>
              <w:ind w:hanging="210"/>
              <w:jc w:val="left"/>
              <w:rPr>
                <w:szCs w:val="24"/>
              </w:rPr>
            </w:pPr>
            <w:r>
              <w:rPr>
                <w:szCs w:val="24"/>
              </w:rPr>
              <w:t>L’augmentation de la valeur ajoutée</w:t>
            </w:r>
          </w:p>
          <w:p w:rsidR="0035701C" w:rsidRDefault="00FB561B" w:rsidP="00FB561B">
            <w:pPr>
              <w:numPr>
                <w:ilvl w:val="0"/>
                <w:numId w:val="278"/>
              </w:numPr>
              <w:spacing w:before="0" w:after="0"/>
              <w:ind w:hanging="210"/>
              <w:jc w:val="left"/>
              <w:rPr>
                <w:szCs w:val="24"/>
              </w:rPr>
            </w:pPr>
            <w:r>
              <w:rPr>
                <w:szCs w:val="24"/>
              </w:rPr>
              <w:t xml:space="preserve">Une </w:t>
            </w:r>
            <w:r>
              <w:rPr>
                <w:szCs w:val="24"/>
              </w:rPr>
              <w:t>meilleure organisation de la chaine de travail ou l’optimisation des processus de production</w:t>
            </w:r>
          </w:p>
          <w:p w:rsidR="0035701C" w:rsidRDefault="00FB561B" w:rsidP="00FB561B">
            <w:pPr>
              <w:numPr>
                <w:ilvl w:val="0"/>
                <w:numId w:val="278"/>
              </w:numPr>
              <w:spacing w:before="0" w:after="240"/>
              <w:ind w:hanging="210"/>
              <w:jc w:val="left"/>
              <w:rPr>
                <w:szCs w:val="24"/>
              </w:rPr>
            </w:pPr>
            <w:r>
              <w:rPr>
                <w:szCs w:val="24"/>
              </w:rPr>
              <w:t>L’amélioration de l’impact environnemental</w:t>
            </w:r>
          </w:p>
          <w:p w:rsidR="0035701C" w:rsidRDefault="00FB561B">
            <w:pPr>
              <w:spacing w:before="240" w:after="240"/>
              <w:jc w:val="left"/>
              <w:rPr>
                <w:szCs w:val="24"/>
              </w:rPr>
            </w:pPr>
            <w:r>
              <w:rPr>
                <w:szCs w:val="24"/>
              </w:rPr>
              <w:t>Il s’agit d’intervenir, par la réalisation d’investissements structurants et d’équipement des exploitations agricoles su</w:t>
            </w:r>
            <w:r>
              <w:rPr>
                <w:szCs w:val="24"/>
              </w:rPr>
              <w:t>r l’amélioration de la compétitivité les exploitations agricoles.</w:t>
            </w:r>
          </w:p>
          <w:p w:rsidR="0035701C" w:rsidRDefault="00FB561B">
            <w:pPr>
              <w:spacing w:before="240" w:after="240"/>
              <w:jc w:val="left"/>
              <w:rPr>
                <w:szCs w:val="24"/>
              </w:rPr>
            </w:pPr>
            <w:r>
              <w:rPr>
                <w:szCs w:val="24"/>
              </w:rPr>
              <w:t>En effet il s’agit de pallier les difficultés relevées dans la zone de programmation (cf. analyse AFOM)</w:t>
            </w:r>
          </w:p>
          <w:p w:rsidR="0035701C" w:rsidRDefault="00FB561B" w:rsidP="00FB561B">
            <w:pPr>
              <w:numPr>
                <w:ilvl w:val="0"/>
                <w:numId w:val="279"/>
              </w:numPr>
              <w:spacing w:before="240" w:after="0"/>
              <w:ind w:hanging="210"/>
              <w:jc w:val="left"/>
              <w:rPr>
                <w:szCs w:val="24"/>
              </w:rPr>
            </w:pPr>
            <w:r>
              <w:rPr>
                <w:szCs w:val="24"/>
              </w:rPr>
              <w:t xml:space="preserve">Une agriculture qui ne pèse que faiblement dans l’économie insulaire (2% du PIB de la </w:t>
            </w:r>
            <w:r>
              <w:rPr>
                <w:szCs w:val="24"/>
              </w:rPr>
              <w:t>Corse)</w:t>
            </w:r>
          </w:p>
          <w:p w:rsidR="0035701C" w:rsidRDefault="00FB561B" w:rsidP="00FB561B">
            <w:pPr>
              <w:numPr>
                <w:ilvl w:val="0"/>
                <w:numId w:val="279"/>
              </w:numPr>
              <w:spacing w:before="0" w:after="0"/>
              <w:ind w:hanging="210"/>
              <w:jc w:val="left"/>
              <w:rPr>
                <w:szCs w:val="24"/>
              </w:rPr>
            </w:pPr>
            <w:r>
              <w:rPr>
                <w:szCs w:val="24"/>
              </w:rPr>
              <w:t>Des écarts de revenus des producteurs pour des spéculations identiques hors zone défavorisées.</w:t>
            </w:r>
          </w:p>
          <w:p w:rsidR="0035701C" w:rsidRDefault="00FB561B" w:rsidP="00FB561B">
            <w:pPr>
              <w:numPr>
                <w:ilvl w:val="0"/>
                <w:numId w:val="279"/>
              </w:numPr>
              <w:spacing w:before="0" w:after="0"/>
              <w:ind w:hanging="210"/>
              <w:jc w:val="left"/>
              <w:rPr>
                <w:szCs w:val="24"/>
              </w:rPr>
            </w:pPr>
            <w:r>
              <w:rPr>
                <w:szCs w:val="24"/>
              </w:rPr>
              <w:t>Des filières insuffisamment structurées au niveau interprofessionnel, et une absence de masse critique</w:t>
            </w:r>
          </w:p>
          <w:p w:rsidR="0035701C" w:rsidRDefault="00FB561B" w:rsidP="00FB561B">
            <w:pPr>
              <w:numPr>
                <w:ilvl w:val="0"/>
                <w:numId w:val="279"/>
              </w:numPr>
              <w:spacing w:before="0" w:after="0"/>
              <w:ind w:hanging="210"/>
              <w:jc w:val="left"/>
              <w:rPr>
                <w:szCs w:val="24"/>
              </w:rPr>
            </w:pPr>
            <w:r>
              <w:rPr>
                <w:szCs w:val="24"/>
              </w:rPr>
              <w:t>Une structuration des exploitations trop lente ou s</w:t>
            </w:r>
            <w:r>
              <w:rPr>
                <w:szCs w:val="24"/>
              </w:rPr>
              <w:t>ous-dimensionnée ne garantissant pas un accroissement suffisant de leur performance économique, de leur transmissibilité et de leur pérennité, notamment en élevage</w:t>
            </w:r>
          </w:p>
          <w:p w:rsidR="0035701C" w:rsidRDefault="00FB561B" w:rsidP="00FB561B">
            <w:pPr>
              <w:numPr>
                <w:ilvl w:val="0"/>
                <w:numId w:val="279"/>
              </w:numPr>
              <w:spacing w:before="0" w:after="0"/>
              <w:ind w:hanging="210"/>
              <w:jc w:val="left"/>
              <w:rPr>
                <w:szCs w:val="24"/>
              </w:rPr>
            </w:pPr>
            <w:r>
              <w:rPr>
                <w:szCs w:val="24"/>
              </w:rPr>
              <w:t>Une production locale peinant à valoriser, et garantir la rémunération de ses produits auprè</w:t>
            </w:r>
            <w:r>
              <w:rPr>
                <w:szCs w:val="24"/>
              </w:rPr>
              <w:t>s des metteurs en marché de la grande distribution, compte tenu de son manque d’organisation, ou de sa difficulté à fournir les marchés en quantité et dans le temps</w:t>
            </w:r>
          </w:p>
          <w:p w:rsidR="0035701C" w:rsidRDefault="00FB561B" w:rsidP="00FB561B">
            <w:pPr>
              <w:numPr>
                <w:ilvl w:val="0"/>
                <w:numId w:val="279"/>
              </w:numPr>
              <w:spacing w:before="0" w:after="0"/>
              <w:ind w:hanging="210"/>
              <w:jc w:val="left"/>
              <w:rPr>
                <w:szCs w:val="24"/>
              </w:rPr>
            </w:pPr>
            <w:r>
              <w:rPr>
                <w:szCs w:val="24"/>
              </w:rPr>
              <w:t>Des facteurs de production essentiels non maîtrisés par les exploitants</w:t>
            </w:r>
          </w:p>
          <w:p w:rsidR="0035701C" w:rsidRDefault="00FB561B" w:rsidP="00FB561B">
            <w:pPr>
              <w:numPr>
                <w:ilvl w:val="0"/>
                <w:numId w:val="279"/>
              </w:numPr>
              <w:spacing w:before="0" w:after="0"/>
              <w:ind w:hanging="210"/>
              <w:jc w:val="left"/>
              <w:rPr>
                <w:szCs w:val="24"/>
              </w:rPr>
            </w:pPr>
            <w:r>
              <w:rPr>
                <w:szCs w:val="24"/>
              </w:rPr>
              <w:t>Une irrégularité de</w:t>
            </w:r>
            <w:r>
              <w:rPr>
                <w:szCs w:val="24"/>
              </w:rPr>
              <w:t xml:space="preserve"> la production intra et inter-annuelle, ne facilitant pas les accords commerciaux et ne permettant pas de satisfaire le marché local.</w:t>
            </w:r>
          </w:p>
          <w:p w:rsidR="0035701C" w:rsidRDefault="00FB561B" w:rsidP="00FB561B">
            <w:pPr>
              <w:numPr>
                <w:ilvl w:val="0"/>
                <w:numId w:val="279"/>
              </w:numPr>
              <w:spacing w:before="0" w:after="0"/>
              <w:ind w:hanging="210"/>
              <w:jc w:val="left"/>
              <w:rPr>
                <w:szCs w:val="24"/>
              </w:rPr>
            </w:pPr>
            <w:r>
              <w:rPr>
                <w:szCs w:val="24"/>
              </w:rPr>
              <w:t>Une baisse des surfaces en culture notamment en arboriculture (kiwi, amande, châtaigne, prune), maraichage et agrumicultur</w:t>
            </w:r>
            <w:r>
              <w:rPr>
                <w:szCs w:val="24"/>
              </w:rPr>
              <w:t>e.</w:t>
            </w:r>
          </w:p>
          <w:p w:rsidR="0035701C" w:rsidRDefault="00FB561B" w:rsidP="00FB561B">
            <w:pPr>
              <w:numPr>
                <w:ilvl w:val="0"/>
                <w:numId w:val="279"/>
              </w:numPr>
              <w:spacing w:before="0" w:after="0"/>
              <w:ind w:hanging="210"/>
              <w:jc w:val="left"/>
              <w:rPr>
                <w:szCs w:val="24"/>
              </w:rPr>
            </w:pPr>
            <w:r>
              <w:rPr>
                <w:szCs w:val="24"/>
              </w:rPr>
              <w:t>Une diminution des effectifs ovins-caprins et porcins sur les 10 dernières années</w:t>
            </w:r>
          </w:p>
          <w:p w:rsidR="0035701C" w:rsidRDefault="00FB561B" w:rsidP="00FB561B">
            <w:pPr>
              <w:numPr>
                <w:ilvl w:val="0"/>
                <w:numId w:val="279"/>
              </w:numPr>
              <w:spacing w:before="0" w:after="240"/>
              <w:ind w:hanging="210"/>
              <w:jc w:val="left"/>
              <w:rPr>
                <w:szCs w:val="24"/>
              </w:rPr>
            </w:pPr>
            <w:r>
              <w:rPr>
                <w:szCs w:val="24"/>
              </w:rPr>
              <w:t>Des bâtiments d’exploitation agricole insuffisamment référencés et normalisés par rapport à des systèmes de productions.</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szCs w:val="24"/>
              </w:rPr>
              <w:t xml:space="preserve">Par la réalisation d’investissements matériels, </w:t>
            </w:r>
            <w:r>
              <w:rPr>
                <w:szCs w:val="24"/>
              </w:rPr>
              <w:t>cette sous-mesure vise donc :</w:t>
            </w:r>
          </w:p>
          <w:p w:rsidR="0035701C" w:rsidRDefault="00FB561B" w:rsidP="00FB561B">
            <w:pPr>
              <w:numPr>
                <w:ilvl w:val="0"/>
                <w:numId w:val="280"/>
              </w:numPr>
              <w:spacing w:before="240" w:after="0"/>
              <w:ind w:hanging="210"/>
              <w:jc w:val="left"/>
              <w:rPr>
                <w:szCs w:val="24"/>
              </w:rPr>
            </w:pPr>
            <w:r>
              <w:rPr>
                <w:szCs w:val="24"/>
              </w:rPr>
              <w:t>à « moderniser les structures des exploitations » (besoin n°10) en mettant l’accent sur des investissements structurants (bâtiments, accès, aménagements…),</w:t>
            </w:r>
          </w:p>
          <w:p w:rsidR="0035701C" w:rsidRDefault="00FB561B" w:rsidP="00FB561B">
            <w:pPr>
              <w:numPr>
                <w:ilvl w:val="0"/>
                <w:numId w:val="280"/>
              </w:numPr>
              <w:spacing w:before="0" w:after="240"/>
              <w:ind w:hanging="210"/>
              <w:jc w:val="left"/>
              <w:rPr>
                <w:szCs w:val="24"/>
              </w:rPr>
            </w:pPr>
            <w:r>
              <w:rPr>
                <w:szCs w:val="24"/>
              </w:rPr>
              <w:t>et à « améliorer le revenu des agriculteurs par le développement de l'</w:t>
            </w:r>
            <w:r>
              <w:rPr>
                <w:szCs w:val="24"/>
              </w:rPr>
              <w:t>outil de travail et la diversification des activités » (besoin n°8),</w:t>
            </w:r>
          </w:p>
          <w:p w:rsidR="0035701C" w:rsidRDefault="00FB561B">
            <w:pPr>
              <w:spacing w:before="240" w:after="240"/>
              <w:jc w:val="left"/>
              <w:rPr>
                <w:szCs w:val="24"/>
              </w:rPr>
            </w:pPr>
            <w:r>
              <w:rPr>
                <w:szCs w:val="24"/>
              </w:rPr>
              <w:t>La modernisation des outils de travail doit permettre de conforter les filières d’élevage et de production végétale en répondant également aux besoins suivants :</w:t>
            </w:r>
          </w:p>
          <w:p w:rsidR="0035701C" w:rsidRDefault="00FB561B" w:rsidP="00FB561B">
            <w:pPr>
              <w:numPr>
                <w:ilvl w:val="0"/>
                <w:numId w:val="281"/>
              </w:numPr>
              <w:spacing w:before="240" w:after="0"/>
              <w:ind w:hanging="210"/>
              <w:jc w:val="left"/>
              <w:rPr>
                <w:szCs w:val="24"/>
              </w:rPr>
            </w:pPr>
            <w:r>
              <w:rPr>
                <w:szCs w:val="24"/>
              </w:rPr>
              <w:t xml:space="preserve">la restructuration des </w:t>
            </w:r>
            <w:r>
              <w:rPr>
                <w:szCs w:val="24"/>
              </w:rPr>
              <w:t>unités d’élevage et la reconquête et la gestion des parcours pastoraux (besoin n° 13),</w:t>
            </w:r>
          </w:p>
          <w:p w:rsidR="0035701C" w:rsidRDefault="00FB561B" w:rsidP="00FB561B">
            <w:pPr>
              <w:numPr>
                <w:ilvl w:val="0"/>
                <w:numId w:val="281"/>
              </w:numPr>
              <w:spacing w:before="0" w:after="240"/>
              <w:ind w:hanging="210"/>
              <w:jc w:val="left"/>
              <w:rPr>
                <w:szCs w:val="24"/>
              </w:rPr>
            </w:pPr>
            <w:r>
              <w:rPr>
                <w:szCs w:val="24"/>
              </w:rPr>
              <w:t>la pérennisation de l'arboriculture et les cultures pérennes (besoin n°14).</w:t>
            </w:r>
          </w:p>
          <w:p w:rsidR="0035701C" w:rsidRDefault="00FB561B">
            <w:pPr>
              <w:spacing w:before="240" w:after="240"/>
              <w:jc w:val="left"/>
              <w:rPr>
                <w:szCs w:val="24"/>
              </w:rPr>
            </w:pPr>
            <w:r>
              <w:rPr>
                <w:szCs w:val="24"/>
              </w:rPr>
              <w:t>Ces interventions sont ciblées sur le domaine prioritaire 2a dans la mesure où par un soutien</w:t>
            </w:r>
            <w:r>
              <w:rPr>
                <w:szCs w:val="24"/>
              </w:rPr>
              <w:t xml:space="preserve"> financier aux investissements structurels et matériels des exploitations, elles sont directement ciblées sur l’amélioration de leur compétitivité.</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Ce type d’opération accompagne les processus de la production végétale et animale, et également les proces</w:t>
            </w:r>
            <w:r>
              <w:rPr>
                <w:szCs w:val="24"/>
              </w:rPr>
              <w:t>sus de stockage, conditionnement, transformation et commercialisation destinées à une première vente dans des locaux non distincts de l’exploitation de la production issue de l’exploitation agricole.</w:t>
            </w:r>
          </w:p>
          <w:p w:rsidR="0035701C" w:rsidRDefault="00FB561B">
            <w:pPr>
              <w:spacing w:before="240" w:after="240"/>
              <w:jc w:val="left"/>
              <w:rPr>
                <w:szCs w:val="24"/>
              </w:rPr>
            </w:pPr>
            <w:r>
              <w:rPr>
                <w:szCs w:val="24"/>
              </w:rPr>
              <w:t>L’intervention doit concourir à améliorer l’outil de tra</w:t>
            </w:r>
            <w:r>
              <w:rPr>
                <w:szCs w:val="24"/>
              </w:rPr>
              <w:t>vail, sur le plan économique, social, ou environnemental.</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Les interventions peuvent concerner :</w:t>
            </w:r>
          </w:p>
          <w:p w:rsidR="0035701C" w:rsidRDefault="00FB561B">
            <w:pPr>
              <w:spacing w:before="240" w:after="240"/>
              <w:jc w:val="left"/>
              <w:rPr>
                <w:szCs w:val="24"/>
              </w:rPr>
            </w:pPr>
            <w:r>
              <w:rPr>
                <w:szCs w:val="24"/>
              </w:rPr>
              <w:t>I) L’acquisition, la construction et l’amélioration des bâtiments des exploitations agricoles, notamment :</w:t>
            </w:r>
          </w:p>
          <w:p w:rsidR="0035701C" w:rsidRDefault="00FB561B" w:rsidP="00FB561B">
            <w:pPr>
              <w:numPr>
                <w:ilvl w:val="0"/>
                <w:numId w:val="282"/>
              </w:numPr>
              <w:spacing w:before="240" w:after="0"/>
              <w:ind w:hanging="244"/>
              <w:jc w:val="left"/>
              <w:rPr>
                <w:szCs w:val="24"/>
              </w:rPr>
            </w:pPr>
            <w:r>
              <w:rPr>
                <w:szCs w:val="24"/>
              </w:rPr>
              <w:t xml:space="preserve">Les bâtiments d’élevage : bergerie et salle de </w:t>
            </w:r>
            <w:r>
              <w:rPr>
                <w:szCs w:val="24"/>
              </w:rPr>
              <w:t>traite (systèmes hors sol proscrit), les unités de naissage…etc.</w:t>
            </w:r>
          </w:p>
          <w:p w:rsidR="0035701C" w:rsidRDefault="00FB561B" w:rsidP="00FB561B">
            <w:pPr>
              <w:numPr>
                <w:ilvl w:val="0"/>
                <w:numId w:val="282"/>
              </w:numPr>
              <w:spacing w:before="0" w:after="0"/>
              <w:ind w:hanging="244"/>
              <w:jc w:val="left"/>
              <w:rPr>
                <w:szCs w:val="24"/>
              </w:rPr>
            </w:pPr>
            <w:r>
              <w:rPr>
                <w:szCs w:val="24"/>
              </w:rPr>
              <w:t>Les structures de conditionnement, stockage et transformation à la ferme de la production de l’exploitation, y compris froid.</w:t>
            </w:r>
          </w:p>
          <w:p w:rsidR="0035701C" w:rsidRDefault="00FB561B" w:rsidP="00FB561B">
            <w:pPr>
              <w:numPr>
                <w:ilvl w:val="0"/>
                <w:numId w:val="282"/>
              </w:numPr>
              <w:spacing w:before="0" w:after="0"/>
              <w:ind w:hanging="244"/>
              <w:jc w:val="left"/>
              <w:rPr>
                <w:szCs w:val="24"/>
              </w:rPr>
            </w:pPr>
            <w:r>
              <w:rPr>
                <w:szCs w:val="24"/>
              </w:rPr>
              <w:t>Les bâtiments dédiés au stockage du matériel</w:t>
            </w:r>
          </w:p>
          <w:p w:rsidR="0035701C" w:rsidRDefault="00FB561B" w:rsidP="00FB561B">
            <w:pPr>
              <w:numPr>
                <w:ilvl w:val="0"/>
                <w:numId w:val="282"/>
              </w:numPr>
              <w:spacing w:before="0" w:after="0"/>
              <w:ind w:hanging="244"/>
              <w:jc w:val="left"/>
              <w:rPr>
                <w:szCs w:val="24"/>
              </w:rPr>
            </w:pPr>
            <w:r>
              <w:rPr>
                <w:szCs w:val="24"/>
              </w:rPr>
              <w:t>Les structures de ty</w:t>
            </w:r>
            <w:r>
              <w:rPr>
                <w:szCs w:val="24"/>
              </w:rPr>
              <w:t>pe : serres de production, les serres tunnel…etc.</w:t>
            </w:r>
          </w:p>
          <w:p w:rsidR="0035701C" w:rsidRDefault="00FB561B" w:rsidP="00FB561B">
            <w:pPr>
              <w:numPr>
                <w:ilvl w:val="0"/>
                <w:numId w:val="282"/>
              </w:numPr>
              <w:spacing w:before="0" w:after="240"/>
              <w:ind w:hanging="244"/>
              <w:jc w:val="left"/>
              <w:rPr>
                <w:szCs w:val="24"/>
              </w:rPr>
            </w:pPr>
            <w:r>
              <w:rPr>
                <w:szCs w:val="24"/>
              </w:rPr>
              <w:t>Les investissements (rénovation, aménagements intérieurs) destinés à l'accueil ou l'hébergement des personnels ouvriers agricoles répondant aux besoins de l'exploitation (travaux, taille, récolte...etc).</w:t>
            </w:r>
          </w:p>
          <w:p w:rsidR="0035701C" w:rsidRDefault="00FB561B">
            <w:pPr>
              <w:spacing w:before="240" w:after="240"/>
              <w:jc w:val="left"/>
              <w:rPr>
                <w:szCs w:val="24"/>
              </w:rPr>
            </w:pPr>
            <w:r>
              <w:rPr>
                <w:szCs w:val="24"/>
              </w:rPr>
              <w:t>II) L’ensemble des équipements entrant dans l’aménagement des bâtiments ou entrant dans la conduite de l’exploitation, notamment :</w:t>
            </w:r>
          </w:p>
          <w:p w:rsidR="0035701C" w:rsidRDefault="00FB561B" w:rsidP="00FB561B">
            <w:pPr>
              <w:numPr>
                <w:ilvl w:val="0"/>
                <w:numId w:val="283"/>
              </w:numPr>
              <w:spacing w:before="240" w:after="0"/>
              <w:ind w:hanging="244"/>
              <w:jc w:val="left"/>
              <w:rPr>
                <w:szCs w:val="24"/>
              </w:rPr>
            </w:pPr>
            <w:r>
              <w:rPr>
                <w:i/>
                <w:iCs/>
                <w:szCs w:val="24"/>
              </w:rPr>
              <w:t>Les matériels de mise en valeur agricole, de conduite des cultures et d’entretien des parcours</w:t>
            </w:r>
            <w:r>
              <w:rPr>
                <w:szCs w:val="24"/>
              </w:rPr>
              <w:t xml:space="preserve"> : </w:t>
            </w:r>
          </w:p>
          <w:p w:rsidR="0035701C" w:rsidRDefault="00FB561B" w:rsidP="00FB561B">
            <w:pPr>
              <w:numPr>
                <w:ilvl w:val="1"/>
                <w:numId w:val="283"/>
              </w:numPr>
              <w:spacing w:before="0" w:after="0"/>
              <w:ind w:hanging="244"/>
              <w:jc w:val="left"/>
              <w:rPr>
                <w:szCs w:val="24"/>
              </w:rPr>
            </w:pPr>
            <w:r>
              <w:rPr>
                <w:szCs w:val="24"/>
              </w:rPr>
              <w:t xml:space="preserve">Tracteurs (uniquement pour </w:t>
            </w:r>
            <w:r>
              <w:rPr>
                <w:szCs w:val="24"/>
              </w:rPr>
              <w:t>les JA : cf. critère de sélection).</w:t>
            </w:r>
          </w:p>
          <w:p w:rsidR="0035701C" w:rsidRDefault="00FB561B" w:rsidP="00FB561B">
            <w:pPr>
              <w:numPr>
                <w:ilvl w:val="1"/>
                <w:numId w:val="283"/>
              </w:numPr>
              <w:spacing w:before="0" w:after="0"/>
              <w:ind w:hanging="244"/>
              <w:jc w:val="left"/>
              <w:rPr>
                <w:szCs w:val="24"/>
              </w:rPr>
            </w:pPr>
            <w:r>
              <w:rPr>
                <w:szCs w:val="24"/>
              </w:rPr>
              <w:t>Broyeur.</w:t>
            </w:r>
          </w:p>
          <w:p w:rsidR="0035701C" w:rsidRDefault="00FB561B" w:rsidP="00FB561B">
            <w:pPr>
              <w:numPr>
                <w:ilvl w:val="1"/>
                <w:numId w:val="283"/>
              </w:numPr>
              <w:spacing w:before="0" w:after="0"/>
              <w:ind w:hanging="244"/>
              <w:jc w:val="left"/>
              <w:rPr>
                <w:szCs w:val="24"/>
              </w:rPr>
            </w:pPr>
            <w:r>
              <w:rPr>
                <w:szCs w:val="24"/>
              </w:rPr>
              <w:t>Matériels aratoire (charrue, cover crop, herse, rouleaux…) semoirs et épandage.</w:t>
            </w:r>
          </w:p>
          <w:p w:rsidR="0035701C" w:rsidRDefault="00FB561B" w:rsidP="00FB561B">
            <w:pPr>
              <w:numPr>
                <w:ilvl w:val="1"/>
                <w:numId w:val="283"/>
              </w:numPr>
              <w:spacing w:before="0" w:after="0"/>
              <w:ind w:hanging="244"/>
              <w:jc w:val="left"/>
              <w:rPr>
                <w:szCs w:val="24"/>
              </w:rPr>
            </w:pPr>
            <w:r>
              <w:rPr>
                <w:szCs w:val="24"/>
              </w:rPr>
              <w:t>Matériel de conduite des cultures (pulvérisateurs, matériel de taille, enfonce pieux, système de pilotage y compris sondes hydrique</w:t>
            </w:r>
            <w:r>
              <w:rPr>
                <w:szCs w:val="24"/>
              </w:rPr>
              <w:t>s…).</w:t>
            </w:r>
          </w:p>
          <w:p w:rsidR="0035701C" w:rsidRDefault="00FB561B" w:rsidP="00FB561B">
            <w:pPr>
              <w:numPr>
                <w:ilvl w:val="1"/>
                <w:numId w:val="283"/>
              </w:numPr>
              <w:spacing w:before="0" w:after="0"/>
              <w:ind w:hanging="244"/>
              <w:jc w:val="left"/>
              <w:rPr>
                <w:szCs w:val="24"/>
              </w:rPr>
            </w:pPr>
            <w:r>
              <w:rPr>
                <w:szCs w:val="24"/>
              </w:rPr>
              <w:t>Matériels de récolte et de fenaison (presse à balles rondes, faucheuse…)...etc</w:t>
            </w:r>
          </w:p>
          <w:p w:rsidR="0035701C" w:rsidRDefault="00FB561B" w:rsidP="00FB561B">
            <w:pPr>
              <w:numPr>
                <w:ilvl w:val="0"/>
                <w:numId w:val="283"/>
              </w:numPr>
              <w:spacing w:before="0" w:after="0"/>
              <w:ind w:hanging="244"/>
              <w:jc w:val="left"/>
              <w:rPr>
                <w:szCs w:val="24"/>
              </w:rPr>
            </w:pPr>
            <w:r>
              <w:rPr>
                <w:i/>
                <w:iCs/>
                <w:szCs w:val="24"/>
              </w:rPr>
              <w:t>Les matériels d’élevage</w:t>
            </w:r>
            <w:r>
              <w:rPr>
                <w:szCs w:val="24"/>
              </w:rPr>
              <w:t xml:space="preserve"> : </w:t>
            </w:r>
          </w:p>
          <w:p w:rsidR="0035701C" w:rsidRDefault="00FB561B" w:rsidP="00FB561B">
            <w:pPr>
              <w:numPr>
                <w:ilvl w:val="1"/>
                <w:numId w:val="283"/>
              </w:numPr>
              <w:spacing w:before="0" w:after="0"/>
              <w:ind w:hanging="244"/>
              <w:jc w:val="left"/>
              <w:rPr>
                <w:szCs w:val="24"/>
              </w:rPr>
            </w:pPr>
            <w:r>
              <w:rPr>
                <w:szCs w:val="24"/>
              </w:rPr>
              <w:t>Equipements de contention de parcs, matériels de traite, ruches, alimentation, abreuvement, matériel à vocation sanitaire équipement pour la surv</w:t>
            </w:r>
            <w:r>
              <w:rPr>
                <w:szCs w:val="24"/>
              </w:rPr>
              <w:t>eillance des cheptels, gestion des engrais de ferme…etc.</w:t>
            </w:r>
          </w:p>
          <w:p w:rsidR="0035701C" w:rsidRDefault="00FB561B" w:rsidP="00FB561B">
            <w:pPr>
              <w:numPr>
                <w:ilvl w:val="0"/>
                <w:numId w:val="283"/>
              </w:numPr>
              <w:spacing w:before="0" w:after="0"/>
              <w:ind w:hanging="244"/>
              <w:jc w:val="left"/>
              <w:rPr>
                <w:szCs w:val="24"/>
              </w:rPr>
            </w:pPr>
            <w:r>
              <w:rPr>
                <w:i/>
                <w:iCs/>
                <w:szCs w:val="24"/>
              </w:rPr>
              <w:t>Les équipements de manipulation, de transport et de stockage de la production</w:t>
            </w:r>
            <w:r>
              <w:rPr>
                <w:szCs w:val="24"/>
              </w:rPr>
              <w:t xml:space="preserve"> : </w:t>
            </w:r>
          </w:p>
          <w:p w:rsidR="0035701C" w:rsidRDefault="00FB561B" w:rsidP="00FB561B">
            <w:pPr>
              <w:numPr>
                <w:ilvl w:val="1"/>
                <w:numId w:val="283"/>
              </w:numPr>
              <w:spacing w:before="0" w:after="0"/>
              <w:ind w:hanging="244"/>
              <w:jc w:val="left"/>
              <w:rPr>
                <w:szCs w:val="24"/>
              </w:rPr>
            </w:pPr>
            <w:r>
              <w:rPr>
                <w:szCs w:val="24"/>
              </w:rPr>
              <w:t>Remorque agricole, bétaillère, frigorifique, aménagement cellule froid sur châssis véhicule</w:t>
            </w:r>
          </w:p>
          <w:p w:rsidR="0035701C" w:rsidRDefault="00FB561B" w:rsidP="00FB561B">
            <w:pPr>
              <w:numPr>
                <w:ilvl w:val="1"/>
                <w:numId w:val="283"/>
              </w:numPr>
              <w:spacing w:before="0" w:after="0"/>
              <w:ind w:hanging="244"/>
              <w:jc w:val="left"/>
              <w:rPr>
                <w:szCs w:val="24"/>
              </w:rPr>
            </w:pPr>
            <w:r>
              <w:rPr>
                <w:szCs w:val="24"/>
              </w:rPr>
              <w:t>transpalette, gerbeur, cha</w:t>
            </w:r>
            <w:r>
              <w:rPr>
                <w:szCs w:val="24"/>
              </w:rPr>
              <w:t>riot de manutention.</w:t>
            </w:r>
          </w:p>
          <w:p w:rsidR="0035701C" w:rsidRDefault="00FB561B" w:rsidP="00FB561B">
            <w:pPr>
              <w:numPr>
                <w:ilvl w:val="1"/>
                <w:numId w:val="283"/>
              </w:numPr>
              <w:spacing w:before="0" w:after="0"/>
              <w:ind w:hanging="244"/>
              <w:jc w:val="left"/>
              <w:rPr>
                <w:szCs w:val="24"/>
              </w:rPr>
            </w:pPr>
            <w:r>
              <w:rPr>
                <w:szCs w:val="24"/>
              </w:rPr>
              <w:t>Silos, dérouleuse, pailleuse...etc</w:t>
            </w:r>
          </w:p>
          <w:p w:rsidR="0035701C" w:rsidRDefault="00FB561B" w:rsidP="00FB561B">
            <w:pPr>
              <w:numPr>
                <w:ilvl w:val="0"/>
                <w:numId w:val="283"/>
              </w:numPr>
              <w:spacing w:before="0" w:after="0"/>
              <w:ind w:hanging="244"/>
              <w:jc w:val="left"/>
              <w:rPr>
                <w:szCs w:val="24"/>
              </w:rPr>
            </w:pPr>
            <w:r>
              <w:rPr>
                <w:i/>
                <w:iCs/>
                <w:szCs w:val="24"/>
              </w:rPr>
              <w:t>Les équipements de transformation et de conditionnement de la production</w:t>
            </w:r>
            <w:r>
              <w:rPr>
                <w:szCs w:val="24"/>
              </w:rPr>
              <w:t xml:space="preserve"> : </w:t>
            </w:r>
          </w:p>
          <w:p w:rsidR="0035701C" w:rsidRDefault="00FB561B" w:rsidP="00FB561B">
            <w:pPr>
              <w:numPr>
                <w:ilvl w:val="1"/>
                <w:numId w:val="283"/>
              </w:numPr>
              <w:spacing w:before="0" w:after="240"/>
              <w:ind w:hanging="244"/>
              <w:jc w:val="left"/>
              <w:rPr>
                <w:szCs w:val="24"/>
              </w:rPr>
            </w:pPr>
            <w:r>
              <w:rPr>
                <w:szCs w:val="24"/>
              </w:rPr>
              <w:t xml:space="preserve">Equipements (moulins, hachoirs, marmite de cuisson, réfractomètre, autoclave, bascule, peseuse pondérale, trieuse, </w:t>
            </w:r>
            <w:r>
              <w:rPr>
                <w:szCs w:val="24"/>
              </w:rPr>
              <w:t>calibreuse, tapis convoyeur, séchoirs, matériel de marquage et d’étiquetage, machine sous vide, …) d’entretien et de maintenance, nettoyage et désinfection, maîtrise de l’hygiène, contrôle, d’économie d’énergie, de traitement des effluents…etc.</w:t>
            </w:r>
          </w:p>
          <w:p w:rsidR="0035701C" w:rsidRDefault="00FB561B">
            <w:pPr>
              <w:spacing w:before="240" w:after="240"/>
              <w:jc w:val="left"/>
              <w:rPr>
                <w:szCs w:val="24"/>
              </w:rPr>
            </w:pPr>
            <w:r>
              <w:rPr>
                <w:szCs w:val="24"/>
              </w:rPr>
              <w:t>III) Les in</w:t>
            </w:r>
            <w:r>
              <w:rPr>
                <w:szCs w:val="24"/>
              </w:rPr>
              <w:t>frastructures connexes :</w:t>
            </w:r>
          </w:p>
          <w:p w:rsidR="0035701C" w:rsidRDefault="00FB561B" w:rsidP="00FB561B">
            <w:pPr>
              <w:numPr>
                <w:ilvl w:val="0"/>
                <w:numId w:val="284"/>
              </w:numPr>
              <w:spacing w:before="240" w:after="0"/>
              <w:ind w:hanging="244"/>
              <w:jc w:val="left"/>
              <w:rPr>
                <w:szCs w:val="24"/>
              </w:rPr>
            </w:pPr>
            <w:r>
              <w:rPr>
                <w:szCs w:val="24"/>
              </w:rPr>
              <w:t>Création de pistes d’accès secondaire des bâtiments des exploitations et leurs équipements (portail, clôtures, passages…)</w:t>
            </w:r>
          </w:p>
          <w:p w:rsidR="0035701C" w:rsidRDefault="00FB561B" w:rsidP="00FB561B">
            <w:pPr>
              <w:numPr>
                <w:ilvl w:val="0"/>
                <w:numId w:val="284"/>
              </w:numPr>
              <w:spacing w:before="0" w:after="240"/>
              <w:ind w:hanging="244"/>
              <w:jc w:val="left"/>
              <w:rPr>
                <w:szCs w:val="24"/>
              </w:rPr>
            </w:pPr>
            <w:r>
              <w:rPr>
                <w:szCs w:val="24"/>
              </w:rPr>
              <w:t>sur le parcellaire de l’exploitation et en conformité avec les normes et autorisations requises : adduction d</w:t>
            </w:r>
            <w:r>
              <w:rPr>
                <w:szCs w:val="24"/>
              </w:rPr>
              <w:t>’eau brute et d’eau potable, forages destinés principalement à l’alimentation des bâtiments et des animaux (hors irrigation cf. opération 4.1.1) et assainissement.</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i/>
                <w:iCs/>
                <w:szCs w:val="24"/>
              </w:rPr>
              <w:t>Engagement du bénéficiaire</w:t>
            </w:r>
            <w:r>
              <w:rPr>
                <w:szCs w:val="24"/>
              </w:rPr>
              <w:t> :</w:t>
            </w:r>
          </w:p>
          <w:p w:rsidR="0035701C" w:rsidRDefault="00FB561B" w:rsidP="00FB561B">
            <w:pPr>
              <w:numPr>
                <w:ilvl w:val="0"/>
                <w:numId w:val="285"/>
              </w:numPr>
              <w:spacing w:before="240" w:after="0"/>
              <w:ind w:hanging="210"/>
              <w:jc w:val="left"/>
              <w:rPr>
                <w:szCs w:val="24"/>
              </w:rPr>
            </w:pPr>
            <w:r>
              <w:rPr>
                <w:i/>
                <w:iCs/>
                <w:szCs w:val="24"/>
              </w:rPr>
              <w:t>Engagements généraux</w:t>
            </w:r>
            <w:r>
              <w:rPr>
                <w:szCs w:val="24"/>
              </w:rPr>
              <w:t xml:space="preserve"> </w:t>
            </w:r>
          </w:p>
          <w:p w:rsidR="0035701C" w:rsidRDefault="00FB561B" w:rsidP="00FB561B">
            <w:pPr>
              <w:numPr>
                <w:ilvl w:val="1"/>
                <w:numId w:val="285"/>
              </w:numPr>
              <w:spacing w:before="0" w:after="0"/>
              <w:ind w:hanging="244"/>
              <w:jc w:val="left"/>
              <w:rPr>
                <w:szCs w:val="24"/>
              </w:rPr>
            </w:pPr>
            <w:r>
              <w:rPr>
                <w:szCs w:val="24"/>
              </w:rPr>
              <w:t>Maintenir fonctionnellement l’investiss</w:t>
            </w:r>
            <w:r>
              <w:rPr>
                <w:szCs w:val="24"/>
              </w:rPr>
              <w:t>ement durant 5 années à compter de la date de solde de l’opération pour les équipements et de 10 ans pour les bâtiments.</w:t>
            </w:r>
          </w:p>
          <w:p w:rsidR="0035701C" w:rsidRDefault="00FB561B" w:rsidP="00FB561B">
            <w:pPr>
              <w:numPr>
                <w:ilvl w:val="1"/>
                <w:numId w:val="285"/>
              </w:numPr>
              <w:spacing w:before="0" w:after="0"/>
              <w:ind w:hanging="244"/>
              <w:jc w:val="left"/>
              <w:rPr>
                <w:szCs w:val="24"/>
              </w:rPr>
            </w:pPr>
            <w:r>
              <w:rPr>
                <w:szCs w:val="24"/>
              </w:rPr>
              <w:t>satisfaire aux obligations de publicité FEADER ;</w:t>
            </w:r>
          </w:p>
          <w:p w:rsidR="0035701C" w:rsidRDefault="00FB561B" w:rsidP="00FB561B">
            <w:pPr>
              <w:numPr>
                <w:ilvl w:val="1"/>
                <w:numId w:val="285"/>
              </w:numPr>
              <w:spacing w:before="0" w:after="0"/>
              <w:ind w:hanging="244"/>
              <w:jc w:val="left"/>
              <w:rPr>
                <w:szCs w:val="24"/>
              </w:rPr>
            </w:pPr>
            <w:r>
              <w:rPr>
                <w:szCs w:val="24"/>
              </w:rPr>
              <w:t xml:space="preserve">informer immédiatement l'autorité de gestion de toute cessation d'activité ainsi que </w:t>
            </w:r>
            <w:r>
              <w:rPr>
                <w:szCs w:val="24"/>
              </w:rPr>
              <w:t>des modifications intervenant dans la mise en œuvre de l’opération.</w:t>
            </w:r>
          </w:p>
          <w:p w:rsidR="0035701C" w:rsidRDefault="00FB561B" w:rsidP="00FB561B">
            <w:pPr>
              <w:numPr>
                <w:ilvl w:val="1"/>
                <w:numId w:val="285"/>
              </w:numPr>
              <w:spacing w:before="0" w:after="0"/>
              <w:ind w:hanging="244"/>
              <w:jc w:val="left"/>
              <w:rPr>
                <w:szCs w:val="24"/>
              </w:rPr>
            </w:pPr>
            <w:r>
              <w:rPr>
                <w:szCs w:val="24"/>
              </w:rPr>
              <w:t>se conformer aux obligations liées aux contrôles administratifs sur place, sur pièces, communautaire ou national, pendant la durée de l’engagement de 5 ans</w:t>
            </w:r>
          </w:p>
          <w:p w:rsidR="0035701C" w:rsidRDefault="00FB561B" w:rsidP="00FB561B">
            <w:pPr>
              <w:numPr>
                <w:ilvl w:val="0"/>
                <w:numId w:val="285"/>
              </w:numPr>
              <w:spacing w:before="0" w:after="0"/>
              <w:ind w:hanging="210"/>
              <w:jc w:val="left"/>
              <w:rPr>
                <w:szCs w:val="24"/>
              </w:rPr>
            </w:pPr>
            <w:r>
              <w:rPr>
                <w:i/>
                <w:iCs/>
                <w:szCs w:val="24"/>
              </w:rPr>
              <w:t>Engagements spécifiques</w:t>
            </w:r>
            <w:r>
              <w:rPr>
                <w:szCs w:val="24"/>
              </w:rPr>
              <w:t xml:space="preserve"> </w:t>
            </w:r>
          </w:p>
          <w:p w:rsidR="0035701C" w:rsidRDefault="00FB561B" w:rsidP="00FB561B">
            <w:pPr>
              <w:numPr>
                <w:ilvl w:val="1"/>
                <w:numId w:val="285"/>
              </w:numPr>
              <w:spacing w:before="0" w:after="240"/>
              <w:ind w:hanging="244"/>
              <w:jc w:val="left"/>
              <w:rPr>
                <w:szCs w:val="24"/>
              </w:rPr>
            </w:pPr>
            <w:r>
              <w:rPr>
                <w:szCs w:val="24"/>
              </w:rPr>
              <w:t>satisfa</w:t>
            </w:r>
            <w:r>
              <w:rPr>
                <w:szCs w:val="24"/>
              </w:rPr>
              <w:t>ire aux engagements et aux prescriptions techniques pour les filières de production validés par l’Autorité de Gestion qui conditionnent la bonne mise en œuvre de l’opération.</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L’aide est versée sous forme de </w:t>
            </w:r>
            <w:r>
              <w:rPr>
                <w:szCs w:val="24"/>
              </w:rPr>
              <w:t>subvention</w:t>
            </w:r>
          </w:p>
          <w:p w:rsidR="0035701C" w:rsidRDefault="00FB561B" w:rsidP="00FB561B">
            <w:pPr>
              <w:numPr>
                <w:ilvl w:val="0"/>
                <w:numId w:val="286"/>
              </w:numPr>
              <w:spacing w:before="240" w:after="240"/>
              <w:ind w:hanging="210"/>
              <w:jc w:val="left"/>
              <w:rPr>
                <w:szCs w:val="24"/>
              </w:rPr>
            </w:pPr>
            <w:r>
              <w:rPr>
                <w:szCs w:val="24"/>
              </w:rPr>
              <w:t>L’assiette de l’opération est établie sur présentation des prévisionnels d’équipements et de travaux, sauf pour la réalisation de clôture auquel est appliqué un barème de coûts standards forfaitaires au mètre linéaire. Ces coûts standards sont p</w:t>
            </w:r>
            <w:r>
              <w:rPr>
                <w:szCs w:val="24"/>
              </w:rPr>
              <w:t>résentés dans le tableau présenté à la section « méthode de calcul » et font l’objet d’une certification faite par l’organisme certificateur du PDRC, figurant au chapitre 18.2 du programme.</w:t>
            </w:r>
          </w:p>
          <w:p w:rsidR="0035701C" w:rsidRDefault="00FB561B" w:rsidP="00FB561B">
            <w:pPr>
              <w:numPr>
                <w:ilvl w:val="0"/>
                <w:numId w:val="287"/>
              </w:numPr>
              <w:spacing w:before="240" w:after="240"/>
              <w:ind w:hanging="210"/>
              <w:jc w:val="left"/>
              <w:rPr>
                <w:szCs w:val="24"/>
              </w:rPr>
            </w:pPr>
            <w:r>
              <w:rPr>
                <w:szCs w:val="24"/>
              </w:rPr>
              <w:t xml:space="preserve">Pour les opérations sous maîtrise d’ouvrage d’organismes de droit </w:t>
            </w:r>
            <w:r>
              <w:rPr>
                <w:szCs w:val="24"/>
              </w:rPr>
              <w:t>public, le coût de l’opération prend en compte les montants déterminés par des procédures d’appel à la concurrence, lorsque ces travaux sont réalisés en prestation de service.</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Code Rural et Code de l’Environnement.</w:t>
            </w:r>
          </w:p>
          <w:p w:rsidR="0035701C" w:rsidRDefault="00FB561B">
            <w:pPr>
              <w:spacing w:before="240" w:after="240"/>
              <w:jc w:val="left"/>
              <w:rPr>
                <w:szCs w:val="24"/>
              </w:rPr>
            </w:pPr>
            <w:r>
              <w:rPr>
                <w:szCs w:val="24"/>
              </w:rPr>
              <w:t>RÈGLEMENT (UE) 2020/2220 DU PARLEMENT EUROPEEN ET DU CONSEIL du 23 décembre 2020 établissant des dispositions transitoires relatives au soutien du Fonds européen agricole pour le développement rural (Feader) et du Fonds européen agricole de garantie (FEAGA</w:t>
            </w:r>
            <w:r>
              <w:rPr>
                <w:szCs w:val="24"/>
              </w:rPr>
              <w:t>) en 2021 et 2022, et modifiant les règlements (UE) no 1305/2013, (UE) no 1306/2013 et (UE) no 1307/2013 en ce qui concerne les ressources et leur application en 2021 et 2022 et le règlement (UE) no 1308/2013 en ce qui concerne les ressources et la réparti</w:t>
            </w:r>
            <w:r>
              <w:rPr>
                <w:szCs w:val="24"/>
              </w:rPr>
              <w:t>tion de ce soutien pour les exercices 2021 et 2022</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i/>
                <w:iCs/>
                <w:szCs w:val="24"/>
              </w:rPr>
              <w:t>Bénéficiaires éligibles :</w:t>
            </w:r>
          </w:p>
          <w:p w:rsidR="0035701C" w:rsidRDefault="00FB561B" w:rsidP="00FB561B">
            <w:pPr>
              <w:numPr>
                <w:ilvl w:val="0"/>
                <w:numId w:val="288"/>
              </w:numPr>
              <w:spacing w:before="240" w:after="0"/>
              <w:ind w:hanging="210"/>
              <w:jc w:val="left"/>
              <w:rPr>
                <w:szCs w:val="24"/>
              </w:rPr>
            </w:pPr>
            <w:r>
              <w:rPr>
                <w:szCs w:val="24"/>
              </w:rPr>
              <w:t xml:space="preserve">Les agriculteurs : </w:t>
            </w:r>
          </w:p>
          <w:p w:rsidR="0035701C" w:rsidRDefault="00FB561B" w:rsidP="00FB561B">
            <w:pPr>
              <w:numPr>
                <w:ilvl w:val="1"/>
                <w:numId w:val="288"/>
              </w:numPr>
              <w:spacing w:before="0" w:after="0"/>
              <w:ind w:hanging="244"/>
              <w:jc w:val="left"/>
              <w:rPr>
                <w:szCs w:val="24"/>
              </w:rPr>
            </w:pPr>
            <w:r>
              <w:rPr>
                <w:szCs w:val="24"/>
              </w:rPr>
              <w:t xml:space="preserve">personnes physiques ou morales dont l’objet est agricole (sociétés à objet agricole telles que GAEC, EARL, SCEA, SASU...). Toutefois pour les </w:t>
            </w:r>
            <w:r>
              <w:rPr>
                <w:szCs w:val="24"/>
              </w:rPr>
              <w:t>personnes morales la majorité des parts doit être détenue par une ou plusieurs personnes physiques justifiant du statut d’exploitant agricole.</w:t>
            </w:r>
          </w:p>
          <w:p w:rsidR="0035701C" w:rsidRDefault="00FB561B" w:rsidP="00FB561B">
            <w:pPr>
              <w:numPr>
                <w:ilvl w:val="1"/>
                <w:numId w:val="288"/>
              </w:numPr>
              <w:spacing w:before="0" w:after="0"/>
              <w:ind w:hanging="244"/>
              <w:jc w:val="left"/>
              <w:rPr>
                <w:szCs w:val="24"/>
              </w:rPr>
            </w:pPr>
            <w:r>
              <w:rPr>
                <w:szCs w:val="24"/>
              </w:rPr>
              <w:t>les organismes publics ou à but non lucratif mettant en valeur une exploitation agricole (fondations, association</w:t>
            </w:r>
            <w:r>
              <w:rPr>
                <w:szCs w:val="24"/>
              </w:rPr>
              <w:t>s, établissements d’enseignement et de recherche agricoles, organismes de réinsertion…) exerçant réellement une activité agricole.</w:t>
            </w:r>
          </w:p>
          <w:p w:rsidR="0035701C" w:rsidRDefault="00FB561B" w:rsidP="00FB561B">
            <w:pPr>
              <w:numPr>
                <w:ilvl w:val="0"/>
                <w:numId w:val="288"/>
              </w:numPr>
              <w:spacing w:before="0" w:after="240"/>
              <w:ind w:hanging="210"/>
              <w:jc w:val="left"/>
              <w:rPr>
                <w:szCs w:val="24"/>
              </w:rPr>
            </w:pPr>
            <w:r>
              <w:rPr>
                <w:szCs w:val="24"/>
              </w:rPr>
              <w:t>Les groupements d’agriculteurs : toute forme juridique collective dans laquelle les exploitants agricoles détiennent la total</w:t>
            </w:r>
            <w:r>
              <w:rPr>
                <w:szCs w:val="24"/>
              </w:rPr>
              <w:t>ité des parts sociales (y compris les CUMA et les coopératives de production).</w:t>
            </w:r>
          </w:p>
          <w:p w:rsidR="0035701C" w:rsidRDefault="00FB561B">
            <w:pPr>
              <w:spacing w:before="240" w:after="240"/>
              <w:jc w:val="left"/>
              <w:rPr>
                <w:szCs w:val="24"/>
              </w:rPr>
            </w:pPr>
            <w:r>
              <w:rPr>
                <w:i/>
                <w:iCs/>
                <w:szCs w:val="24"/>
              </w:rPr>
              <w:t>Bénéficiaires inéligibles :</w:t>
            </w:r>
          </w:p>
          <w:p w:rsidR="0035701C" w:rsidRDefault="00FB561B" w:rsidP="00FB561B">
            <w:pPr>
              <w:numPr>
                <w:ilvl w:val="0"/>
                <w:numId w:val="289"/>
              </w:numPr>
              <w:spacing w:before="240" w:after="240"/>
              <w:ind w:hanging="210"/>
              <w:jc w:val="left"/>
              <w:rPr>
                <w:szCs w:val="24"/>
              </w:rPr>
            </w:pPr>
            <w:r>
              <w:rPr>
                <w:szCs w:val="24"/>
              </w:rPr>
              <w:t>les sociétés en participation, les indivisions, les propriétaires bailleurs de biens fonciers.</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dépenses éligibles </w:t>
            </w:r>
            <w:r>
              <w:rPr>
                <w:szCs w:val="24"/>
              </w:rPr>
              <w:t>concernent les investissements matériels et frais généraux suivants :</w:t>
            </w:r>
          </w:p>
          <w:p w:rsidR="0035701C" w:rsidRDefault="00FB561B" w:rsidP="00FB561B">
            <w:pPr>
              <w:numPr>
                <w:ilvl w:val="0"/>
                <w:numId w:val="290"/>
              </w:numPr>
              <w:spacing w:before="240" w:after="0"/>
              <w:ind w:hanging="210"/>
              <w:jc w:val="left"/>
              <w:rPr>
                <w:szCs w:val="24"/>
              </w:rPr>
            </w:pPr>
            <w:r>
              <w:rPr>
                <w:szCs w:val="24"/>
              </w:rPr>
              <w:t xml:space="preserve">Les travaux de constructions et d’extension et d’amélioration des bâtiments, incluant notamment : </w:t>
            </w:r>
          </w:p>
          <w:p w:rsidR="0035701C" w:rsidRDefault="00FB561B" w:rsidP="00FB561B">
            <w:pPr>
              <w:numPr>
                <w:ilvl w:val="1"/>
                <w:numId w:val="290"/>
              </w:numPr>
              <w:spacing w:before="0" w:after="0"/>
              <w:ind w:hanging="244"/>
              <w:jc w:val="left"/>
              <w:rPr>
                <w:szCs w:val="24"/>
              </w:rPr>
            </w:pPr>
            <w:r>
              <w:rPr>
                <w:szCs w:val="24"/>
              </w:rPr>
              <w:t xml:space="preserve">l’achat de terrain, si celui-ci est acheté postérieurement à la demande d’aide, limité </w:t>
            </w:r>
            <w:r>
              <w:rPr>
                <w:szCs w:val="24"/>
              </w:rPr>
              <w:t>à 10% des dépenses éligibles de l’opération,</w:t>
            </w:r>
          </w:p>
          <w:p w:rsidR="0035701C" w:rsidRDefault="00FB561B" w:rsidP="00FB561B">
            <w:pPr>
              <w:numPr>
                <w:ilvl w:val="1"/>
                <w:numId w:val="290"/>
              </w:numPr>
              <w:spacing w:before="0" w:after="0"/>
              <w:ind w:hanging="244"/>
              <w:jc w:val="left"/>
              <w:rPr>
                <w:szCs w:val="24"/>
              </w:rPr>
            </w:pPr>
            <w:r>
              <w:rPr>
                <w:szCs w:val="24"/>
              </w:rPr>
              <w:t>l’acquisition de bâtiment acheté postérieurement à la demande d’aide, et limitée à ceux qui font l’objet d’une transformation ou d’une extension.</w:t>
            </w:r>
          </w:p>
          <w:p w:rsidR="0035701C" w:rsidRDefault="00FB561B" w:rsidP="00FB561B">
            <w:pPr>
              <w:numPr>
                <w:ilvl w:val="1"/>
                <w:numId w:val="290"/>
              </w:numPr>
              <w:spacing w:before="0" w:after="0"/>
              <w:ind w:hanging="244"/>
              <w:jc w:val="left"/>
              <w:rPr>
                <w:szCs w:val="24"/>
              </w:rPr>
            </w:pPr>
            <w:r>
              <w:rPr>
                <w:szCs w:val="24"/>
              </w:rPr>
              <w:t>les apports en nature constitués par la valeur expertisée du bien</w:t>
            </w:r>
            <w:r>
              <w:rPr>
                <w:szCs w:val="24"/>
              </w:rPr>
              <w:t xml:space="preserve"> existant ou acquis objet de l’intervention.</w:t>
            </w:r>
          </w:p>
          <w:p w:rsidR="0035701C" w:rsidRDefault="00FB561B" w:rsidP="00FB561B">
            <w:pPr>
              <w:numPr>
                <w:ilvl w:val="0"/>
                <w:numId w:val="290"/>
              </w:numPr>
              <w:spacing w:before="0" w:after="0"/>
              <w:ind w:hanging="210"/>
              <w:jc w:val="left"/>
              <w:rPr>
                <w:szCs w:val="24"/>
              </w:rPr>
            </w:pPr>
            <w:r>
              <w:rPr>
                <w:szCs w:val="24"/>
              </w:rPr>
              <w:t>Les aménagements intérieurs.</w:t>
            </w:r>
          </w:p>
          <w:p w:rsidR="0035701C" w:rsidRDefault="00FB561B" w:rsidP="00FB561B">
            <w:pPr>
              <w:numPr>
                <w:ilvl w:val="0"/>
                <w:numId w:val="290"/>
              </w:numPr>
              <w:spacing w:before="0" w:after="0"/>
              <w:ind w:hanging="210"/>
              <w:jc w:val="left"/>
              <w:rPr>
                <w:szCs w:val="24"/>
              </w:rPr>
            </w:pPr>
            <w:r>
              <w:rPr>
                <w:szCs w:val="24"/>
              </w:rPr>
              <w:t xml:space="preserve">L’achat d’équipement (fourniture et installation), notamment : </w:t>
            </w:r>
          </w:p>
          <w:p w:rsidR="0035701C" w:rsidRDefault="00FB561B" w:rsidP="00FB561B">
            <w:pPr>
              <w:numPr>
                <w:ilvl w:val="1"/>
                <w:numId w:val="290"/>
              </w:numPr>
              <w:spacing w:before="0" w:after="0"/>
              <w:ind w:hanging="244"/>
              <w:jc w:val="left"/>
              <w:rPr>
                <w:szCs w:val="24"/>
              </w:rPr>
            </w:pPr>
            <w:r>
              <w:rPr>
                <w:i/>
                <w:iCs/>
                <w:szCs w:val="24"/>
              </w:rPr>
              <w:t>Les matériels de mise en valeur agricole, de conduite des cultures et d’entretien des parcours</w:t>
            </w:r>
            <w:r>
              <w:rPr>
                <w:szCs w:val="24"/>
              </w:rPr>
              <w:t>,</w:t>
            </w:r>
          </w:p>
          <w:p w:rsidR="0035701C" w:rsidRDefault="00FB561B" w:rsidP="00FB561B">
            <w:pPr>
              <w:numPr>
                <w:ilvl w:val="1"/>
                <w:numId w:val="290"/>
              </w:numPr>
              <w:spacing w:before="0" w:after="0"/>
              <w:ind w:hanging="244"/>
              <w:jc w:val="left"/>
              <w:rPr>
                <w:szCs w:val="24"/>
              </w:rPr>
            </w:pPr>
            <w:r>
              <w:rPr>
                <w:i/>
                <w:iCs/>
                <w:szCs w:val="24"/>
              </w:rPr>
              <w:t>Les matériels d’élevag</w:t>
            </w:r>
            <w:r>
              <w:rPr>
                <w:i/>
                <w:iCs/>
                <w:szCs w:val="24"/>
              </w:rPr>
              <w:t>e</w:t>
            </w:r>
            <w:r>
              <w:rPr>
                <w:szCs w:val="24"/>
              </w:rPr>
              <w:t>,</w:t>
            </w:r>
          </w:p>
          <w:p w:rsidR="0035701C" w:rsidRDefault="00FB561B" w:rsidP="00FB561B">
            <w:pPr>
              <w:numPr>
                <w:ilvl w:val="1"/>
                <w:numId w:val="290"/>
              </w:numPr>
              <w:spacing w:before="0" w:after="0"/>
              <w:ind w:hanging="244"/>
              <w:jc w:val="left"/>
              <w:rPr>
                <w:szCs w:val="24"/>
              </w:rPr>
            </w:pPr>
            <w:r>
              <w:rPr>
                <w:i/>
                <w:iCs/>
                <w:szCs w:val="24"/>
              </w:rPr>
              <w:t>Les équipements de manipulation, de transport et de stockage de la production</w:t>
            </w:r>
            <w:r>
              <w:rPr>
                <w:szCs w:val="24"/>
              </w:rPr>
              <w:t>,</w:t>
            </w:r>
          </w:p>
          <w:p w:rsidR="0035701C" w:rsidRDefault="00FB561B" w:rsidP="00FB561B">
            <w:pPr>
              <w:numPr>
                <w:ilvl w:val="1"/>
                <w:numId w:val="290"/>
              </w:numPr>
              <w:spacing w:before="0" w:after="0"/>
              <w:ind w:hanging="244"/>
              <w:jc w:val="left"/>
              <w:rPr>
                <w:szCs w:val="24"/>
              </w:rPr>
            </w:pPr>
            <w:r>
              <w:rPr>
                <w:i/>
                <w:iCs/>
                <w:szCs w:val="24"/>
              </w:rPr>
              <w:t>Les équipements de transformation et de conditionnement de la production</w:t>
            </w:r>
            <w:r>
              <w:rPr>
                <w:szCs w:val="24"/>
              </w:rPr>
              <w:t>,</w:t>
            </w:r>
          </w:p>
          <w:p w:rsidR="0035701C" w:rsidRDefault="00FB561B" w:rsidP="00FB561B">
            <w:pPr>
              <w:numPr>
                <w:ilvl w:val="1"/>
                <w:numId w:val="290"/>
              </w:numPr>
              <w:spacing w:before="0" w:after="0"/>
              <w:ind w:hanging="244"/>
              <w:jc w:val="left"/>
              <w:rPr>
                <w:szCs w:val="24"/>
              </w:rPr>
            </w:pPr>
            <w:r>
              <w:rPr>
                <w:i/>
                <w:iCs/>
                <w:szCs w:val="24"/>
              </w:rPr>
              <w:t>Les équipements mobiles de production d’énergie (groupe électrogène..) nécessaires au fonctionnement</w:t>
            </w:r>
            <w:r>
              <w:rPr>
                <w:i/>
                <w:iCs/>
                <w:szCs w:val="24"/>
              </w:rPr>
              <w:t xml:space="preserve"> de l’exploitation</w:t>
            </w:r>
          </w:p>
          <w:p w:rsidR="0035701C" w:rsidRDefault="00FB561B" w:rsidP="00FB561B">
            <w:pPr>
              <w:numPr>
                <w:ilvl w:val="1"/>
                <w:numId w:val="290"/>
              </w:numPr>
              <w:spacing w:before="0" w:after="240"/>
              <w:ind w:hanging="244"/>
              <w:jc w:val="left"/>
              <w:rPr>
                <w:szCs w:val="24"/>
              </w:rPr>
            </w:pPr>
            <w:r>
              <w:rPr>
                <w:i/>
                <w:iCs/>
                <w:szCs w:val="24"/>
              </w:rPr>
              <w:t>Les dispositifs de production d’énergie en site isolé (non raccordés au réseau électrique) destinés à l’autonomie énergétique de l’exploitation</w:t>
            </w:r>
          </w:p>
          <w:p w:rsidR="0035701C" w:rsidRDefault="00FB561B" w:rsidP="00FB561B">
            <w:pPr>
              <w:numPr>
                <w:ilvl w:val="0"/>
                <w:numId w:val="291"/>
              </w:numPr>
              <w:spacing w:before="240" w:after="0"/>
              <w:ind w:hanging="210"/>
              <w:jc w:val="left"/>
              <w:rPr>
                <w:szCs w:val="24"/>
              </w:rPr>
            </w:pPr>
            <w:r>
              <w:rPr>
                <w:szCs w:val="24"/>
              </w:rPr>
              <w:t xml:space="preserve">Les coûts de création de pistes secondaires, de forage pour l’adduction d’eau des bâtiments, </w:t>
            </w:r>
            <w:r>
              <w:rPr>
                <w:szCs w:val="24"/>
              </w:rPr>
              <w:t>et d’assainissement, y compris les stations d'épuration d'éffluents de caves viticoles.</w:t>
            </w:r>
          </w:p>
          <w:p w:rsidR="0035701C" w:rsidRDefault="00FB561B" w:rsidP="00FB561B">
            <w:pPr>
              <w:numPr>
                <w:ilvl w:val="0"/>
                <w:numId w:val="291"/>
              </w:numPr>
              <w:spacing w:before="0" w:after="0"/>
              <w:ind w:hanging="210"/>
              <w:jc w:val="left"/>
              <w:rPr>
                <w:szCs w:val="24"/>
              </w:rPr>
            </w:pPr>
            <w:r>
              <w:rPr>
                <w:szCs w:val="24"/>
              </w:rPr>
              <w:t>Les frais généraux relatifs au projet : études préalables, honoraires et expertises, dans la limite de 5% des dépenses totales éligibles de l’opération,</w:t>
            </w:r>
          </w:p>
          <w:p w:rsidR="0035701C" w:rsidRDefault="00FB561B" w:rsidP="00FB561B">
            <w:pPr>
              <w:numPr>
                <w:ilvl w:val="0"/>
                <w:numId w:val="291"/>
              </w:numPr>
              <w:spacing w:before="0" w:after="0"/>
              <w:ind w:hanging="210"/>
              <w:jc w:val="left"/>
              <w:rPr>
                <w:szCs w:val="24"/>
              </w:rPr>
            </w:pPr>
            <w:r>
              <w:rPr>
                <w:szCs w:val="24"/>
              </w:rPr>
              <w:t xml:space="preserve">Le financement </w:t>
            </w:r>
            <w:r>
              <w:rPr>
                <w:szCs w:val="24"/>
              </w:rPr>
              <w:t>de la mise aux normes doit respecter les conditions des points 5 et 6 de l'article 17 du règlement 1305/2013.</w:t>
            </w:r>
          </w:p>
          <w:p w:rsidR="0035701C" w:rsidRDefault="00FB561B" w:rsidP="00FB561B">
            <w:pPr>
              <w:numPr>
                <w:ilvl w:val="0"/>
                <w:numId w:val="291"/>
              </w:numPr>
              <w:spacing w:before="0" w:after="0"/>
              <w:ind w:hanging="210"/>
              <w:jc w:val="left"/>
              <w:rPr>
                <w:szCs w:val="24"/>
              </w:rPr>
            </w:pPr>
            <w:r>
              <w:rPr>
                <w:szCs w:val="24"/>
              </w:rPr>
              <w:t xml:space="preserve">Les dépenses sont éligibles si le coût des investissements lié à l’application des normes pour les capacités de stockage des effluents d’élevage </w:t>
            </w:r>
            <w:r>
              <w:rPr>
                <w:szCs w:val="24"/>
              </w:rPr>
              <w:t>et de gestion des effluents prévus et réalisés ne dépasse pas 80% du coût total éligible du dossier.</w:t>
            </w:r>
          </w:p>
          <w:p w:rsidR="0035701C" w:rsidRDefault="00FB561B" w:rsidP="00FB561B">
            <w:pPr>
              <w:numPr>
                <w:ilvl w:val="0"/>
                <w:numId w:val="291"/>
              </w:numPr>
              <w:spacing w:before="0" w:after="240"/>
              <w:ind w:hanging="210"/>
              <w:jc w:val="left"/>
              <w:rPr>
                <w:szCs w:val="24"/>
              </w:rPr>
            </w:pPr>
            <w:r>
              <w:rPr>
                <w:szCs w:val="24"/>
              </w:rPr>
              <w:t>Les matériels et équipements d’occasion sont éligibles pour ce type d’opération dans les conditions fixées par l’AG.</w:t>
            </w:r>
          </w:p>
          <w:p w:rsidR="0035701C" w:rsidRDefault="00FB561B">
            <w:pPr>
              <w:spacing w:before="240" w:after="240"/>
              <w:jc w:val="left"/>
              <w:rPr>
                <w:szCs w:val="24"/>
              </w:rPr>
            </w:pPr>
            <w:r>
              <w:rPr>
                <w:szCs w:val="24"/>
              </w:rPr>
              <w:t>En outre, l'Autorité de Gestion pourra</w:t>
            </w:r>
            <w:r>
              <w:rPr>
                <w:szCs w:val="24"/>
              </w:rPr>
              <w:t xml:space="preserve"> préciser les montants plafonds admissibles par type d'investissement.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i/>
                <w:iCs/>
                <w:szCs w:val="24"/>
              </w:rPr>
              <w:t>Coûts inéligibles pour ce type d’opération</w:t>
            </w:r>
          </w:p>
          <w:p w:rsidR="0035701C" w:rsidRDefault="00FB561B" w:rsidP="00FB561B">
            <w:pPr>
              <w:numPr>
                <w:ilvl w:val="0"/>
                <w:numId w:val="292"/>
              </w:numPr>
              <w:spacing w:before="240" w:after="0"/>
              <w:ind w:hanging="210"/>
              <w:jc w:val="left"/>
              <w:rPr>
                <w:szCs w:val="24"/>
              </w:rPr>
            </w:pPr>
            <w:r>
              <w:rPr>
                <w:szCs w:val="24"/>
              </w:rPr>
              <w:t>Les petits matériels considérés comme de simples fournitures courantes ou dont le coût ou la nature ne justifie pas un effet levier de la su</w:t>
            </w:r>
            <w:r>
              <w:rPr>
                <w:szCs w:val="24"/>
              </w:rPr>
              <w:t>bvention, ne sont pas éligibles, par exemple : bacs, pinces, seaux, sécateurs non mécanisés…etc, les achats et travaux de renouvellement à l'identique et l'entretien.</w:t>
            </w:r>
          </w:p>
          <w:p w:rsidR="0035701C" w:rsidRDefault="00FB561B" w:rsidP="00FB561B">
            <w:pPr>
              <w:numPr>
                <w:ilvl w:val="0"/>
                <w:numId w:val="292"/>
              </w:numPr>
              <w:spacing w:before="0" w:after="0"/>
              <w:ind w:hanging="210"/>
              <w:jc w:val="left"/>
              <w:rPr>
                <w:szCs w:val="24"/>
              </w:rPr>
            </w:pPr>
            <w:r>
              <w:rPr>
                <w:szCs w:val="24"/>
              </w:rPr>
              <w:t xml:space="preserve">Les travaux d’auto-construction des bâtiments et les autres contributions en nature sauf </w:t>
            </w:r>
            <w:r>
              <w:rPr>
                <w:szCs w:val="24"/>
              </w:rPr>
              <w:t>pour la pose de clôtures.</w:t>
            </w:r>
          </w:p>
          <w:p w:rsidR="0035701C" w:rsidRDefault="00FB561B" w:rsidP="00FB561B">
            <w:pPr>
              <w:numPr>
                <w:ilvl w:val="0"/>
                <w:numId w:val="292"/>
              </w:numPr>
              <w:spacing w:before="0" w:after="240"/>
              <w:ind w:hanging="210"/>
              <w:jc w:val="left"/>
              <w:rPr>
                <w:szCs w:val="24"/>
              </w:rPr>
            </w:pPr>
            <w:r>
              <w:rPr>
                <w:szCs w:val="24"/>
              </w:rPr>
              <w:t>Bâtiment d’élevage dans les systèmes de stabulation hors sol proscrit, sauf investissements retenus dans le cadre des appels à projets en faveur du Bien Etre Animal.</w:t>
            </w:r>
          </w:p>
          <w:p w:rsidR="0035701C" w:rsidRDefault="00FB561B" w:rsidP="00FB561B">
            <w:pPr>
              <w:numPr>
                <w:ilvl w:val="0"/>
                <w:numId w:val="293"/>
              </w:numPr>
              <w:spacing w:before="240" w:after="240"/>
              <w:ind w:hanging="210"/>
              <w:jc w:val="left"/>
              <w:rPr>
                <w:szCs w:val="24"/>
              </w:rPr>
            </w:pPr>
            <w:r>
              <w:rPr>
                <w:szCs w:val="24"/>
              </w:rPr>
              <w:t>les achats et travaux de renouvellement à l'identique et l'entre</w:t>
            </w:r>
            <w:r>
              <w:rPr>
                <w:szCs w:val="24"/>
              </w:rPr>
              <w:t>tien.</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projet est éligible dans les conditions suivantes :</w:t>
            </w:r>
          </w:p>
          <w:p w:rsidR="0035701C" w:rsidRDefault="00FB561B" w:rsidP="00FB561B">
            <w:pPr>
              <w:numPr>
                <w:ilvl w:val="0"/>
                <w:numId w:val="294"/>
              </w:numPr>
              <w:spacing w:before="240" w:after="0"/>
              <w:ind w:hanging="210"/>
              <w:jc w:val="left"/>
              <w:rPr>
                <w:szCs w:val="24"/>
              </w:rPr>
            </w:pPr>
            <w:r>
              <w:rPr>
                <w:szCs w:val="24"/>
              </w:rPr>
              <w:t>Le projet d'investissement doit être situé en Corse.</w:t>
            </w:r>
          </w:p>
          <w:p w:rsidR="0035701C" w:rsidRDefault="00FB561B" w:rsidP="00FB561B">
            <w:pPr>
              <w:numPr>
                <w:ilvl w:val="0"/>
                <w:numId w:val="294"/>
              </w:numPr>
              <w:spacing w:before="0" w:after="0"/>
              <w:ind w:hanging="210"/>
              <w:jc w:val="left"/>
              <w:rPr>
                <w:szCs w:val="24"/>
              </w:rPr>
            </w:pPr>
            <w:r>
              <w:rPr>
                <w:szCs w:val="24"/>
              </w:rPr>
              <w:t xml:space="preserve">Le bénéficiaire doit présenter une attestation d'affiliation au régime de protection sociale des exploitants </w:t>
            </w:r>
            <w:r>
              <w:rPr>
                <w:szCs w:val="24"/>
              </w:rPr>
              <w:t>agricoles (AMEXA) en qualité de non salariés agricoles ou une attestation d'inscription MSA pour une société (hors candidat à l'installation)</w:t>
            </w:r>
          </w:p>
          <w:p w:rsidR="0035701C" w:rsidRDefault="00FB561B" w:rsidP="00FB561B">
            <w:pPr>
              <w:numPr>
                <w:ilvl w:val="0"/>
                <w:numId w:val="294"/>
              </w:numPr>
              <w:spacing w:before="0" w:after="0"/>
              <w:ind w:hanging="210"/>
              <w:jc w:val="left"/>
              <w:rPr>
                <w:szCs w:val="24"/>
              </w:rPr>
            </w:pPr>
            <w:r>
              <w:rPr>
                <w:szCs w:val="24"/>
              </w:rPr>
              <w:t xml:space="preserve">Dans le cas d'un exploitant nouvellement inscrit (inscription &lt; 5 ans), en dehors des démarches d’installation au </w:t>
            </w:r>
            <w:r>
              <w:rPr>
                <w:szCs w:val="24"/>
              </w:rPr>
              <w:t xml:space="preserve">titre des JA (mesure 6.1), celui-ci doit : </w:t>
            </w:r>
          </w:p>
          <w:p w:rsidR="0035701C" w:rsidRDefault="00FB561B" w:rsidP="00FB561B">
            <w:pPr>
              <w:numPr>
                <w:ilvl w:val="1"/>
                <w:numId w:val="294"/>
              </w:numPr>
              <w:spacing w:before="0" w:after="0"/>
              <w:ind w:hanging="244"/>
              <w:jc w:val="left"/>
              <w:rPr>
                <w:szCs w:val="24"/>
              </w:rPr>
            </w:pPr>
            <w:r>
              <w:rPr>
                <w:szCs w:val="24"/>
              </w:rPr>
              <w:t>se prévaloir d’un diplôme agricole de niveau IV minimum,</w:t>
            </w:r>
          </w:p>
          <w:p w:rsidR="0035701C" w:rsidRDefault="00FB561B" w:rsidP="00FB561B">
            <w:pPr>
              <w:numPr>
                <w:ilvl w:val="1"/>
                <w:numId w:val="294"/>
              </w:numPr>
              <w:spacing w:before="0" w:after="0"/>
              <w:ind w:hanging="244"/>
              <w:jc w:val="left"/>
              <w:rPr>
                <w:szCs w:val="24"/>
              </w:rPr>
            </w:pPr>
            <w:r>
              <w:rPr>
                <w:szCs w:val="24"/>
              </w:rPr>
              <w:t>ou fournir un premier exercice comptable et présenter au service instructeur un projet de développement de l'exploitation sur 3 ans.</w:t>
            </w:r>
          </w:p>
          <w:p w:rsidR="0035701C" w:rsidRDefault="00FB561B" w:rsidP="00FB561B">
            <w:pPr>
              <w:numPr>
                <w:ilvl w:val="0"/>
                <w:numId w:val="294"/>
              </w:numPr>
              <w:spacing w:before="0" w:after="0"/>
              <w:ind w:hanging="210"/>
              <w:jc w:val="left"/>
              <w:rPr>
                <w:szCs w:val="24"/>
              </w:rPr>
            </w:pPr>
            <w:r>
              <w:rPr>
                <w:szCs w:val="24"/>
              </w:rPr>
              <w:t xml:space="preserve">Le demandeur ne doit </w:t>
            </w:r>
            <w:r>
              <w:rPr>
                <w:szCs w:val="24"/>
              </w:rPr>
              <w:t>pas être en procédure de sauvegarde ou de redressement judiciaire sur le dernier exercice comptable connu. Un engagement sur l’honneur concernant la régularité de la situation sociale et fiscale est requis.</w:t>
            </w:r>
          </w:p>
          <w:p w:rsidR="0035701C" w:rsidRDefault="00FB561B" w:rsidP="00FB561B">
            <w:pPr>
              <w:numPr>
                <w:ilvl w:val="0"/>
                <w:numId w:val="294"/>
              </w:numPr>
              <w:spacing w:before="0" w:after="0"/>
              <w:ind w:hanging="210"/>
              <w:jc w:val="left"/>
              <w:rPr>
                <w:szCs w:val="24"/>
              </w:rPr>
            </w:pPr>
            <w:r>
              <w:rPr>
                <w:szCs w:val="24"/>
              </w:rPr>
              <w:t>Conformément à l’article 45.1 du Règlement (UE) 1</w:t>
            </w:r>
            <w:r>
              <w:rPr>
                <w:szCs w:val="24"/>
              </w:rPr>
              <w:t>305/2013, le projet doit être présenté en conformité avec le droit spécifique applicable en matière d’évaluation de l’impact environnemental, et le cas échéant avec les autorisations requises.</w:t>
            </w:r>
          </w:p>
          <w:p w:rsidR="0035701C" w:rsidRDefault="00FB561B" w:rsidP="00FB561B">
            <w:pPr>
              <w:numPr>
                <w:ilvl w:val="0"/>
                <w:numId w:val="294"/>
              </w:numPr>
              <w:spacing w:before="0" w:after="240"/>
              <w:ind w:hanging="210"/>
              <w:jc w:val="left"/>
              <w:rPr>
                <w:szCs w:val="24"/>
              </w:rPr>
            </w:pPr>
            <w:r>
              <w:rPr>
                <w:szCs w:val="24"/>
              </w:rPr>
              <w:t>La maîtrise foncière des terrains objet de l’opération est requ</w:t>
            </w:r>
            <w:r>
              <w:rPr>
                <w:szCs w:val="24"/>
              </w:rPr>
              <w:t>ise. </w:t>
            </w:r>
          </w:p>
          <w:p w:rsidR="0035701C" w:rsidRDefault="00FB561B" w:rsidP="00FB561B">
            <w:pPr>
              <w:numPr>
                <w:ilvl w:val="0"/>
                <w:numId w:val="295"/>
              </w:numPr>
              <w:spacing w:before="240" w:after="240"/>
              <w:ind w:hanging="210"/>
              <w:jc w:val="left"/>
              <w:rPr>
                <w:szCs w:val="24"/>
              </w:rPr>
            </w:pPr>
            <w:r>
              <w:rPr>
                <w:szCs w:val="24"/>
              </w:rPr>
              <w:t>Les activités agroalimentaires éligibles sont celles qui valorisent des produits relevant de l’annexe I du TFUE, que le produit final relève ou non de cette annexe.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Cas d’inéligibilité</w:t>
            </w:r>
          </w:p>
          <w:p w:rsidR="0035701C" w:rsidRDefault="00FB561B" w:rsidP="00FB561B">
            <w:pPr>
              <w:numPr>
                <w:ilvl w:val="0"/>
                <w:numId w:val="296"/>
              </w:numPr>
              <w:spacing w:before="240" w:after="240"/>
              <w:ind w:hanging="210"/>
              <w:jc w:val="left"/>
              <w:rPr>
                <w:szCs w:val="24"/>
              </w:rPr>
            </w:pPr>
            <w:r>
              <w:rPr>
                <w:szCs w:val="24"/>
              </w:rPr>
              <w:t>Toute opération démontrant à l’instruction une situation irrégu</w:t>
            </w:r>
            <w:r>
              <w:rPr>
                <w:szCs w:val="24"/>
              </w:rPr>
              <w:t>lière avant projet à l'égard de la réglementation sur les installations classées pour la protection de l'environnement au titre du code de l'environnement (articles L 214-1 à L 214-6 et L 512-1 à L 513-3). Les installations déjà existantes afférentes au pr</w:t>
            </w:r>
            <w:r>
              <w:rPr>
                <w:szCs w:val="24"/>
              </w:rPr>
              <w:t>ojet doivent être en règle au dépôt de la demande vis à vis des autorisations exigées (forage, autorisations de surfaces, assainissement…etc.).</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La sélection des opérations s’opère sur la </w:t>
            </w:r>
            <w:r>
              <w:rPr>
                <w:szCs w:val="24"/>
              </w:rPr>
              <w:t>base des principes suivants ; il s’agit :</w:t>
            </w:r>
          </w:p>
          <w:p w:rsidR="0035701C" w:rsidRDefault="00FB561B" w:rsidP="00FB561B">
            <w:pPr>
              <w:numPr>
                <w:ilvl w:val="0"/>
                <w:numId w:val="297"/>
              </w:numPr>
              <w:spacing w:before="240" w:after="0"/>
              <w:ind w:hanging="210"/>
              <w:jc w:val="left"/>
              <w:rPr>
                <w:szCs w:val="24"/>
              </w:rPr>
            </w:pPr>
            <w:r>
              <w:rPr>
                <w:szCs w:val="24"/>
              </w:rPr>
              <w:t>de prioriser d’une part les projets conduits à titre collectif ou de façon innovante (cas du PEI), et d’autre part les projets conduits par des JA ; ceci afin de rechercher un effet d’entrainement plus important.</w:t>
            </w:r>
          </w:p>
          <w:p w:rsidR="0035701C" w:rsidRDefault="00FB561B" w:rsidP="00FB561B">
            <w:pPr>
              <w:numPr>
                <w:ilvl w:val="0"/>
                <w:numId w:val="297"/>
              </w:numPr>
              <w:spacing w:before="0" w:after="0"/>
              <w:ind w:hanging="210"/>
              <w:jc w:val="left"/>
              <w:rPr>
                <w:szCs w:val="24"/>
              </w:rPr>
            </w:pPr>
            <w:r>
              <w:rPr>
                <w:szCs w:val="24"/>
              </w:rPr>
              <w:t>P</w:t>
            </w:r>
            <w:r>
              <w:rPr>
                <w:szCs w:val="24"/>
              </w:rPr>
              <w:t xml:space="preserve">our les autres projets, il s'agit : </w:t>
            </w:r>
          </w:p>
          <w:p w:rsidR="0035701C" w:rsidRDefault="00FB561B" w:rsidP="00FB561B">
            <w:pPr>
              <w:numPr>
                <w:ilvl w:val="1"/>
                <w:numId w:val="297"/>
              </w:numPr>
              <w:spacing w:before="0" w:after="0"/>
              <w:ind w:hanging="244"/>
              <w:jc w:val="left"/>
              <w:rPr>
                <w:szCs w:val="24"/>
              </w:rPr>
            </w:pPr>
            <w:r>
              <w:rPr>
                <w:szCs w:val="24"/>
              </w:rPr>
              <w:t>de favoriser les exploitants qui tirent leur revenu principalement de l’agriculture par rapport aux agriculteurs exerçant d’autres activités.</w:t>
            </w:r>
          </w:p>
          <w:p w:rsidR="0035701C" w:rsidRDefault="00FB561B" w:rsidP="00FB561B">
            <w:pPr>
              <w:numPr>
                <w:ilvl w:val="1"/>
                <w:numId w:val="297"/>
              </w:numPr>
              <w:spacing w:before="0" w:after="0"/>
              <w:ind w:hanging="244"/>
              <w:jc w:val="left"/>
              <w:rPr>
                <w:szCs w:val="24"/>
              </w:rPr>
            </w:pPr>
            <w:r>
              <w:rPr>
                <w:szCs w:val="24"/>
              </w:rPr>
              <w:t xml:space="preserve">de favoriser les exploitations engagées dans les signes officiels de qualité </w:t>
            </w:r>
            <w:r>
              <w:rPr>
                <w:szCs w:val="24"/>
              </w:rPr>
              <w:t>qui répondent ainsi à l’orientation de la zone de programmation.</w:t>
            </w:r>
          </w:p>
          <w:p w:rsidR="0035701C" w:rsidRDefault="00FB561B" w:rsidP="00FB561B">
            <w:pPr>
              <w:numPr>
                <w:ilvl w:val="1"/>
                <w:numId w:val="297"/>
              </w:numPr>
              <w:spacing w:before="0" w:after="0"/>
              <w:ind w:hanging="244"/>
              <w:jc w:val="left"/>
              <w:rPr>
                <w:szCs w:val="24"/>
              </w:rPr>
            </w:pPr>
            <w:r>
              <w:rPr>
                <w:szCs w:val="24"/>
              </w:rPr>
              <w:t>de favoriser les exploitations engagées dans une certification environnementale ou en agriculture biologique</w:t>
            </w:r>
          </w:p>
          <w:p w:rsidR="0035701C" w:rsidRDefault="00FB561B" w:rsidP="00FB561B">
            <w:pPr>
              <w:numPr>
                <w:ilvl w:val="0"/>
                <w:numId w:val="297"/>
              </w:numPr>
              <w:spacing w:before="0" w:after="240"/>
              <w:ind w:hanging="210"/>
              <w:jc w:val="left"/>
              <w:rPr>
                <w:szCs w:val="24"/>
              </w:rPr>
            </w:pPr>
            <w:r>
              <w:rPr>
                <w:szCs w:val="24"/>
              </w:rPr>
              <w:t xml:space="preserve">au niveau des opérations, de valoriser les projets mettant en œuvre des pratiques </w:t>
            </w:r>
            <w:r>
              <w:rPr>
                <w:szCs w:val="24"/>
              </w:rPr>
              <w:t>respectueuses de l’environnement en rapport avec la lutte contre le changement climatique.</w:t>
            </w:r>
          </w:p>
          <w:p w:rsidR="0035701C" w:rsidRDefault="00FB561B">
            <w:pPr>
              <w:spacing w:before="240" w:after="240"/>
              <w:jc w:val="left"/>
              <w:rPr>
                <w:szCs w:val="24"/>
              </w:rPr>
            </w:pPr>
            <w:r>
              <w:rPr>
                <w:szCs w:val="24"/>
              </w:rPr>
              <w:t>Le dispositif d'aide est ouvert en continu, sauf pour les projets collectifs et financés par les fonds EURI qui font l'objet d'un appel à projet spécifique.</w:t>
            </w:r>
          </w:p>
          <w:p w:rsidR="0035701C" w:rsidRDefault="00FB561B">
            <w:pPr>
              <w:spacing w:before="240" w:after="240"/>
              <w:jc w:val="left"/>
              <w:rPr>
                <w:szCs w:val="24"/>
              </w:rPr>
            </w:pPr>
            <w:r>
              <w:rPr>
                <w:szCs w:val="24"/>
              </w:rPr>
              <w:t>La mobil</w:t>
            </w:r>
            <w:r>
              <w:rPr>
                <w:szCs w:val="24"/>
              </w:rPr>
              <w:t>isation des fonds EURI fait l'objet d'appels à projets spécifiques qui peuvent inclure un critère de sélection supplémentaire en relation avec l'objet de ces appels à projets.</w:t>
            </w:r>
            <w:r>
              <w:rPr>
                <w:szCs w:val="24"/>
              </w:rPr>
              <w:br/>
              <w:t>La grille de sélection des opérations prévoira l'établissement d'un système de p</w:t>
            </w:r>
            <w:r>
              <w:rPr>
                <w:szCs w:val="24"/>
              </w:rPr>
              <w:t>oints permettant le classement des dossiers et la fixation d'un seuil minimal pour accéder au soutien au titre du PDRC.</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 taux d’aide publique est fixé dans le respect des taux mentionnés dans le Règlement FEADER à </w:t>
            </w:r>
            <w:r>
              <w:rPr>
                <w:szCs w:val="24"/>
              </w:rPr>
              <w:t>l’article 17 et à l’annexe II :</w:t>
            </w:r>
          </w:p>
          <w:tbl>
            <w:tblPr>
              <w:tblW w:w="0" w:type="auto"/>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8838"/>
              <w:gridCol w:w="787"/>
              <w:gridCol w:w="795"/>
            </w:tblGrid>
            <w:tr w:rsidR="0035701C">
              <w:trPr>
                <w:jc w:val="center"/>
              </w:trPr>
              <w:tc>
                <w:tcPr>
                  <w:tcW w:w="0" w:type="auto"/>
                  <w:tcBorders>
                    <w:bottom w:val="inset" w:sz="6" w:space="0" w:color="808080"/>
                    <w:right w:val="inset" w:sz="6" w:space="0" w:color="808080"/>
                  </w:tcBorders>
                  <w:shd w:val="clear" w:color="auto" w:fill="00FFFF"/>
                  <w:tcMar>
                    <w:top w:w="25" w:type="dxa"/>
                    <w:left w:w="25" w:type="dxa"/>
                    <w:bottom w:w="22" w:type="dxa"/>
                    <w:right w:w="22" w:type="dxa"/>
                  </w:tcMar>
                  <w:vAlign w:val="center"/>
                  <w:hideMark/>
                </w:tcPr>
                <w:p w:rsidR="0035701C" w:rsidRDefault="00FB561B">
                  <w:pPr>
                    <w:spacing w:before="0" w:after="0"/>
                    <w:jc w:val="center"/>
                    <w:rPr>
                      <w:color w:val="000000"/>
                      <w:szCs w:val="24"/>
                    </w:rPr>
                  </w:pPr>
                  <w:r>
                    <w:rPr>
                      <w:b/>
                      <w:bCs/>
                      <w:color w:val="000000"/>
                      <w:szCs w:val="24"/>
                    </w:rPr>
                    <w:t>Taux d'aide</w:t>
                  </w:r>
                </w:p>
              </w:tc>
              <w:tc>
                <w:tcPr>
                  <w:tcW w:w="0" w:type="auto"/>
                  <w:gridSpan w:val="2"/>
                  <w:tcBorders>
                    <w:left w:val="inset" w:sz="6" w:space="0" w:color="808080"/>
                    <w:bottom w:val="inset" w:sz="6" w:space="0" w:color="808080"/>
                  </w:tcBorders>
                  <w:shd w:val="clear" w:color="auto" w:fill="00FFFF"/>
                  <w:tcMar>
                    <w:top w:w="25" w:type="dxa"/>
                    <w:left w:w="22" w:type="dxa"/>
                    <w:bottom w:w="22" w:type="dxa"/>
                    <w:right w:w="25" w:type="dxa"/>
                  </w:tcMar>
                  <w:vAlign w:val="center"/>
                  <w:hideMark/>
                </w:tcPr>
                <w:p w:rsidR="0035701C" w:rsidRDefault="00FB561B">
                  <w:pPr>
                    <w:spacing w:before="0" w:after="0"/>
                    <w:jc w:val="center"/>
                    <w:rPr>
                      <w:color w:val="000000"/>
                      <w:szCs w:val="24"/>
                    </w:rPr>
                  </w:pPr>
                  <w:r>
                    <w:rPr>
                      <w:b/>
                      <w:bCs/>
                      <w:color w:val="000000"/>
                      <w:szCs w:val="24"/>
                    </w:rPr>
                    <w:t>Zone de Montagne,</w:t>
                  </w:r>
                  <w:r>
                    <w:rPr>
                      <w:b/>
                      <w:bCs/>
                      <w:color w:val="000000"/>
                      <w:szCs w:val="24"/>
                    </w:rPr>
                    <w:br/>
                    <w:t>ZSCN, ZSCS</w:t>
                  </w:r>
                </w:p>
              </w:tc>
            </w:tr>
            <w:tr w:rsidR="0035701C">
              <w:trPr>
                <w:jc w:val="center"/>
              </w:trPr>
              <w:tc>
                <w:tcPr>
                  <w:tcW w:w="0" w:type="auto"/>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35701C" w:rsidRDefault="00FB561B">
                  <w:pPr>
                    <w:spacing w:before="0" w:after="0"/>
                    <w:jc w:val="left"/>
                    <w:rPr>
                      <w:color w:val="000000"/>
                      <w:szCs w:val="24"/>
                    </w:rPr>
                  </w:pPr>
                  <w:r>
                    <w:rPr>
                      <w:color w:val="000000"/>
                      <w:szCs w:val="24"/>
                    </w:rPr>
                    <w:t> </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center"/>
                    <w:rPr>
                      <w:color w:val="000000"/>
                      <w:szCs w:val="24"/>
                    </w:rPr>
                  </w:pPr>
                  <w:r>
                    <w:rPr>
                      <w:color w:val="000000"/>
                      <w:szCs w:val="24"/>
                    </w:rPr>
                    <w:t>Ainé</w:t>
                  </w:r>
                </w:p>
              </w:tc>
              <w:tc>
                <w:tcPr>
                  <w:tcW w:w="0" w:type="auto"/>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35701C" w:rsidRDefault="00FB561B">
                  <w:pPr>
                    <w:spacing w:before="0" w:after="0"/>
                    <w:jc w:val="center"/>
                    <w:rPr>
                      <w:color w:val="000000"/>
                      <w:szCs w:val="24"/>
                    </w:rPr>
                  </w:pPr>
                  <w:r>
                    <w:rPr>
                      <w:color w:val="000000"/>
                      <w:szCs w:val="24"/>
                    </w:rPr>
                    <w:t>JA</w:t>
                  </w:r>
                </w:p>
              </w:tc>
            </w:tr>
            <w:tr w:rsidR="0035701C">
              <w:trPr>
                <w:trHeight w:val="510"/>
                <w:jc w:val="center"/>
              </w:trPr>
              <w:tc>
                <w:tcPr>
                  <w:tcW w:w="4568" w:type="dxa"/>
                  <w:tcBorders>
                    <w:top w:val="inset" w:sz="6" w:space="0" w:color="808080"/>
                    <w:bottom w:val="inset" w:sz="6" w:space="0" w:color="808080"/>
                    <w:right w:val="inset" w:sz="6" w:space="0" w:color="808080"/>
                  </w:tcBorders>
                  <w:tcMar>
                    <w:top w:w="22" w:type="dxa"/>
                    <w:left w:w="25" w:type="dxa"/>
                    <w:bottom w:w="22" w:type="dxa"/>
                    <w:right w:w="22" w:type="dxa"/>
                  </w:tcMar>
                  <w:vAlign w:val="bottom"/>
                  <w:hideMark/>
                </w:tcPr>
                <w:p w:rsidR="0035701C" w:rsidRDefault="00FB561B">
                  <w:pPr>
                    <w:spacing w:before="0" w:after="0"/>
                    <w:jc w:val="left"/>
                    <w:rPr>
                      <w:color w:val="000000"/>
                      <w:szCs w:val="24"/>
                    </w:rPr>
                  </w:pPr>
                  <w:r>
                    <w:rPr>
                      <w:color w:val="000000"/>
                      <w:szCs w:val="24"/>
                    </w:rPr>
                    <w:t>a-  Matériels : autres que ceux désignés comme prioritaires</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center"/>
                    <w:rPr>
                      <w:color w:val="000000"/>
                      <w:szCs w:val="24"/>
                    </w:rPr>
                  </w:pPr>
                  <w:r>
                    <w:rPr>
                      <w:color w:val="000000"/>
                      <w:szCs w:val="24"/>
                    </w:rPr>
                    <w:t>40%(*)</w:t>
                  </w:r>
                </w:p>
              </w:tc>
              <w:tc>
                <w:tcPr>
                  <w:tcW w:w="0" w:type="auto"/>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35701C" w:rsidRDefault="00FB561B">
                  <w:pPr>
                    <w:spacing w:before="0" w:after="0"/>
                    <w:jc w:val="center"/>
                    <w:rPr>
                      <w:color w:val="000000"/>
                      <w:szCs w:val="24"/>
                    </w:rPr>
                  </w:pPr>
                  <w:r>
                    <w:rPr>
                      <w:color w:val="000000"/>
                      <w:szCs w:val="24"/>
                    </w:rPr>
                    <w:t>60%(*)</w:t>
                  </w:r>
                </w:p>
              </w:tc>
            </w:tr>
            <w:tr w:rsidR="0035701C">
              <w:trPr>
                <w:jc w:val="center"/>
              </w:trPr>
              <w:tc>
                <w:tcPr>
                  <w:tcW w:w="0" w:type="auto"/>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35701C" w:rsidRDefault="00FB561B">
                  <w:pPr>
                    <w:spacing w:before="0" w:after="240"/>
                    <w:jc w:val="left"/>
                    <w:rPr>
                      <w:color w:val="000000"/>
                      <w:szCs w:val="24"/>
                    </w:rPr>
                  </w:pPr>
                  <w:r>
                    <w:rPr>
                      <w:color w:val="000000"/>
                      <w:szCs w:val="24"/>
                    </w:rPr>
                    <w:t>b-  travaux de constructions, d’extension et d’amélioration des bâtiments d'élevage, de stockage</w:t>
                  </w:r>
                  <w:r>
                    <w:rPr>
                      <w:color w:val="000000"/>
                      <w:szCs w:val="24"/>
                    </w:rPr>
                    <w:t xml:space="preserve"> du matériel, des serres et tunnels ;</w:t>
                  </w:r>
                  <w:r>
                    <w:rPr>
                      <w:color w:val="000000"/>
                      <w:szCs w:val="24"/>
                    </w:rPr>
                    <w:br/>
                    <w:t>bâtiments et matériels de transformation à la ferme, barrières de contention.</w:t>
                  </w:r>
                </w:p>
                <w:p w:rsidR="0035701C" w:rsidRDefault="00FB561B">
                  <w:pPr>
                    <w:spacing w:before="240" w:after="0"/>
                    <w:jc w:val="left"/>
                    <w:rPr>
                      <w:color w:val="000000"/>
                      <w:szCs w:val="24"/>
                    </w:rPr>
                  </w:pPr>
                  <w:r>
                    <w:rPr>
                      <w:color w:val="000000"/>
                      <w:szCs w:val="24"/>
                    </w:rPr>
                    <w:t>c-  clôtures parcs (y compris portails)</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240"/>
                    <w:jc w:val="center"/>
                    <w:rPr>
                      <w:color w:val="000000"/>
                      <w:szCs w:val="24"/>
                    </w:rPr>
                  </w:pPr>
                  <w:r>
                    <w:rPr>
                      <w:color w:val="000000"/>
                      <w:szCs w:val="24"/>
                    </w:rPr>
                    <w:t>50%(*)</w:t>
                  </w:r>
                </w:p>
                <w:p w:rsidR="0035701C" w:rsidRDefault="00FB561B">
                  <w:pPr>
                    <w:spacing w:before="240" w:after="240"/>
                    <w:jc w:val="center"/>
                    <w:rPr>
                      <w:color w:val="000000"/>
                      <w:szCs w:val="24"/>
                    </w:rPr>
                  </w:pPr>
                  <w:r>
                    <w:rPr>
                      <w:color w:val="000000"/>
                      <w:szCs w:val="24"/>
                    </w:rPr>
                    <w:t> </w:t>
                  </w:r>
                </w:p>
                <w:p w:rsidR="0035701C" w:rsidRDefault="00FB561B">
                  <w:pPr>
                    <w:spacing w:before="240" w:after="240"/>
                    <w:jc w:val="center"/>
                    <w:rPr>
                      <w:color w:val="000000"/>
                      <w:szCs w:val="24"/>
                    </w:rPr>
                  </w:pPr>
                  <w:r>
                    <w:rPr>
                      <w:color w:val="000000"/>
                      <w:szCs w:val="24"/>
                    </w:rPr>
                    <w:t> </w:t>
                  </w:r>
                </w:p>
                <w:p w:rsidR="0035701C" w:rsidRDefault="00FB561B">
                  <w:pPr>
                    <w:spacing w:before="240" w:after="0"/>
                    <w:jc w:val="center"/>
                    <w:rPr>
                      <w:color w:val="000000"/>
                      <w:szCs w:val="24"/>
                    </w:rPr>
                  </w:pPr>
                  <w:r>
                    <w:rPr>
                      <w:color w:val="000000"/>
                      <w:szCs w:val="24"/>
                    </w:rPr>
                    <w:t>60%</w:t>
                  </w:r>
                </w:p>
              </w:tc>
              <w:tc>
                <w:tcPr>
                  <w:tcW w:w="0" w:type="auto"/>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35701C" w:rsidRDefault="00FB561B">
                  <w:pPr>
                    <w:spacing w:before="0" w:after="240"/>
                    <w:jc w:val="center"/>
                    <w:rPr>
                      <w:color w:val="000000"/>
                      <w:szCs w:val="24"/>
                    </w:rPr>
                  </w:pPr>
                  <w:r>
                    <w:rPr>
                      <w:color w:val="000000"/>
                      <w:szCs w:val="24"/>
                    </w:rPr>
                    <w:t>60%(*)</w:t>
                  </w:r>
                </w:p>
                <w:p w:rsidR="0035701C" w:rsidRDefault="00FB561B">
                  <w:pPr>
                    <w:spacing w:before="240" w:after="240"/>
                    <w:jc w:val="center"/>
                    <w:rPr>
                      <w:color w:val="000000"/>
                      <w:szCs w:val="24"/>
                    </w:rPr>
                  </w:pPr>
                  <w:r>
                    <w:rPr>
                      <w:color w:val="000000"/>
                      <w:szCs w:val="24"/>
                    </w:rPr>
                    <w:t> </w:t>
                  </w:r>
                </w:p>
                <w:p w:rsidR="0035701C" w:rsidRDefault="00FB561B">
                  <w:pPr>
                    <w:spacing w:before="240" w:after="240"/>
                    <w:jc w:val="center"/>
                    <w:rPr>
                      <w:color w:val="000000"/>
                      <w:szCs w:val="24"/>
                    </w:rPr>
                  </w:pPr>
                  <w:r>
                    <w:rPr>
                      <w:color w:val="000000"/>
                      <w:szCs w:val="24"/>
                    </w:rPr>
                    <w:t> </w:t>
                  </w:r>
                </w:p>
                <w:p w:rsidR="0035701C" w:rsidRDefault="00FB561B">
                  <w:pPr>
                    <w:spacing w:before="240" w:after="0"/>
                    <w:jc w:val="center"/>
                    <w:rPr>
                      <w:color w:val="000000"/>
                      <w:szCs w:val="24"/>
                    </w:rPr>
                  </w:pPr>
                  <w:r>
                    <w:rPr>
                      <w:color w:val="000000"/>
                      <w:szCs w:val="24"/>
                    </w:rPr>
                    <w:t>70%(*)</w:t>
                  </w:r>
                </w:p>
              </w:tc>
            </w:tr>
            <w:tr w:rsidR="0035701C">
              <w:trPr>
                <w:jc w:val="center"/>
              </w:trPr>
              <w:tc>
                <w:tcPr>
                  <w:tcW w:w="0" w:type="auto"/>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35701C" w:rsidRDefault="00FB561B">
                  <w:pPr>
                    <w:spacing w:before="0" w:after="0"/>
                    <w:jc w:val="left"/>
                    <w:rPr>
                      <w:color w:val="000000"/>
                      <w:szCs w:val="24"/>
                    </w:rPr>
                  </w:pPr>
                  <w:r>
                    <w:rPr>
                      <w:color w:val="000000"/>
                      <w:szCs w:val="24"/>
                    </w:rPr>
                    <w:t xml:space="preserve">d-  Matériels prioritaires spécifiques aux filières de production </w:t>
                  </w:r>
                  <w:r>
                    <w:rPr>
                      <w:color w:val="000000"/>
                      <w:szCs w:val="24"/>
                    </w:rPr>
                    <w:t>(**)</w:t>
                  </w:r>
                  <w:r>
                    <w:rPr>
                      <w:color w:val="000000"/>
                      <w:szCs w:val="24"/>
                    </w:rPr>
                    <w:br/>
                    <w:t> -  Accès secondaires aux parcelles</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center"/>
                    <w:rPr>
                      <w:color w:val="000000"/>
                      <w:szCs w:val="24"/>
                    </w:rPr>
                  </w:pPr>
                  <w:r>
                    <w:rPr>
                      <w:color w:val="000000"/>
                      <w:szCs w:val="24"/>
                    </w:rPr>
                    <w:t>60%</w:t>
                  </w:r>
                </w:p>
              </w:tc>
              <w:tc>
                <w:tcPr>
                  <w:tcW w:w="0" w:type="auto"/>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35701C" w:rsidRDefault="00FB561B">
                  <w:pPr>
                    <w:spacing w:before="0" w:after="0"/>
                    <w:jc w:val="center"/>
                    <w:rPr>
                      <w:color w:val="000000"/>
                      <w:szCs w:val="24"/>
                    </w:rPr>
                  </w:pPr>
                  <w:r>
                    <w:rPr>
                      <w:color w:val="000000"/>
                      <w:szCs w:val="24"/>
                    </w:rPr>
                    <w:t>70%(*)</w:t>
                  </w:r>
                </w:p>
              </w:tc>
            </w:tr>
            <w:tr w:rsidR="0035701C">
              <w:trPr>
                <w:jc w:val="center"/>
              </w:trPr>
              <w:tc>
                <w:tcPr>
                  <w:tcW w:w="0" w:type="auto"/>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35701C" w:rsidRDefault="00FB561B">
                  <w:pPr>
                    <w:spacing w:before="0" w:after="0"/>
                    <w:jc w:val="left"/>
                    <w:rPr>
                      <w:color w:val="000000"/>
                      <w:szCs w:val="24"/>
                    </w:rPr>
                  </w:pPr>
                  <w:r>
                    <w:rPr>
                      <w:color w:val="000000"/>
                      <w:szCs w:val="24"/>
                    </w:rPr>
                    <w:t>e - Projet collectif (cf. définition) dont projet groupé pour la diffusion de matériels aux filières</w:t>
                  </w:r>
                </w:p>
              </w:tc>
              <w:tc>
                <w:tcPr>
                  <w:tcW w:w="0" w:type="auto"/>
                  <w:gridSpan w:val="2"/>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35701C" w:rsidRDefault="00FB561B">
                  <w:pPr>
                    <w:spacing w:before="0" w:after="0"/>
                    <w:jc w:val="center"/>
                    <w:rPr>
                      <w:color w:val="000000"/>
                      <w:szCs w:val="24"/>
                    </w:rPr>
                  </w:pPr>
                  <w:r>
                    <w:rPr>
                      <w:color w:val="000000"/>
                      <w:szCs w:val="24"/>
                    </w:rPr>
                    <w:t>80%</w:t>
                  </w:r>
                </w:p>
              </w:tc>
            </w:tr>
            <w:tr w:rsidR="0035701C">
              <w:trPr>
                <w:jc w:val="center"/>
              </w:trPr>
              <w:tc>
                <w:tcPr>
                  <w:tcW w:w="0" w:type="auto"/>
                  <w:tcBorders>
                    <w:top w:val="inset" w:sz="6" w:space="0" w:color="808080"/>
                    <w:right w:val="inset" w:sz="6" w:space="0" w:color="808080"/>
                  </w:tcBorders>
                  <w:tcMar>
                    <w:top w:w="22" w:type="dxa"/>
                    <w:left w:w="25" w:type="dxa"/>
                    <w:bottom w:w="25" w:type="dxa"/>
                    <w:right w:w="22" w:type="dxa"/>
                  </w:tcMar>
                  <w:vAlign w:val="center"/>
                  <w:hideMark/>
                </w:tcPr>
                <w:p w:rsidR="0035701C" w:rsidRDefault="00FB561B">
                  <w:pPr>
                    <w:spacing w:before="0" w:after="0"/>
                    <w:jc w:val="left"/>
                    <w:rPr>
                      <w:color w:val="000000"/>
                      <w:szCs w:val="24"/>
                    </w:rPr>
                  </w:pPr>
                  <w:r>
                    <w:rPr>
                      <w:color w:val="000000"/>
                      <w:szCs w:val="24"/>
                    </w:rPr>
                    <w:t>f - Projets sélectionnés au titre des appels à projet du plan de relance sur les fonds EURI</w:t>
                  </w:r>
                </w:p>
              </w:tc>
              <w:tc>
                <w:tcPr>
                  <w:tcW w:w="0" w:type="auto"/>
                  <w:gridSpan w:val="2"/>
                  <w:tcBorders>
                    <w:top w:val="inset" w:sz="6" w:space="0" w:color="808080"/>
                    <w:left w:val="inset" w:sz="6" w:space="0" w:color="808080"/>
                  </w:tcBorders>
                  <w:tcMar>
                    <w:top w:w="22" w:type="dxa"/>
                    <w:left w:w="22" w:type="dxa"/>
                    <w:bottom w:w="25" w:type="dxa"/>
                    <w:right w:w="25" w:type="dxa"/>
                  </w:tcMar>
                  <w:vAlign w:val="center"/>
                  <w:hideMark/>
                </w:tcPr>
                <w:p w:rsidR="0035701C" w:rsidRDefault="00FB561B">
                  <w:pPr>
                    <w:spacing w:before="0" w:after="0"/>
                    <w:jc w:val="center"/>
                    <w:rPr>
                      <w:color w:val="000000"/>
                      <w:szCs w:val="24"/>
                    </w:rPr>
                  </w:pPr>
                  <w:r>
                    <w:rPr>
                      <w:color w:val="000000"/>
                      <w:szCs w:val="24"/>
                    </w:rPr>
                    <w:t>75%</w:t>
                  </w:r>
                </w:p>
              </w:tc>
            </w:tr>
          </w:tbl>
          <w:p w:rsidR="0035701C" w:rsidRDefault="00FB561B">
            <w:pPr>
              <w:spacing w:before="240" w:after="240"/>
              <w:jc w:val="left"/>
              <w:rPr>
                <w:szCs w:val="24"/>
              </w:rPr>
            </w:pPr>
            <w:r>
              <w:rPr>
                <w:szCs w:val="24"/>
              </w:rPr>
              <w:t>(*) Pour les agriculteurs avec des caprins de race corse majoritaires en UGB au sein de l'exploitation, les taux d’aide aux investissements de cet atelier d'élevage sont fixés à 60% pour les agriculteurs ainés, et 80% pour les JA sur (a,b,c,d) mentionnés d</w:t>
            </w:r>
            <w:r>
              <w:rPr>
                <w:szCs w:val="24"/>
              </w:rPr>
              <w:t>ans le tableau "taux d'aide".</w:t>
            </w:r>
          </w:p>
          <w:p w:rsidR="0035701C" w:rsidRDefault="00FB561B">
            <w:pPr>
              <w:spacing w:before="240" w:after="240"/>
              <w:jc w:val="left"/>
              <w:rPr>
                <w:szCs w:val="24"/>
              </w:rPr>
            </w:pPr>
            <w:r>
              <w:rPr>
                <w:szCs w:val="24"/>
              </w:rPr>
              <w:t>(**) les matériels prioritaires sont définis spécifiquement pour chacune des filières de production afin de contribuer à leur diffusion la plus large auprès des bénéficiaires potentiels et engendrer un effet levier. La liste d</w:t>
            </w:r>
            <w:r>
              <w:rPr>
                <w:szCs w:val="24"/>
              </w:rPr>
              <w:t>e ces matériels est définie et mise à jour par l'AG.</w:t>
            </w:r>
          </w:p>
          <w:p w:rsidR="0035701C" w:rsidRDefault="00FB561B">
            <w:pPr>
              <w:spacing w:before="240" w:after="240"/>
              <w:jc w:val="left"/>
              <w:rPr>
                <w:szCs w:val="24"/>
              </w:rPr>
            </w:pPr>
            <w:r>
              <w:rPr>
                <w:szCs w:val="24"/>
              </w:rPr>
              <w:t xml:space="preserve">NB : Suite à la confirmation de la Commission Européenne que l'introduction initiale dans le programme des conditions de soutien concernant les bâtiments et matériels de transformation à la ferme, était </w:t>
            </w:r>
            <w:r>
              <w:rPr>
                <w:szCs w:val="24"/>
              </w:rPr>
              <w:t>conforme aux taux d'aide du secteur agricole (cf. annexe II), les dossiers programmés et/ payés antérieurement à l'introduction de cette modification pourront faire l'objet d'un rattrapage sous la forme de paiements additionnels.</w:t>
            </w:r>
          </w:p>
          <w:p w:rsidR="0035701C" w:rsidRDefault="00FB561B">
            <w:pPr>
              <w:spacing w:before="240" w:after="240"/>
              <w:jc w:val="left"/>
              <w:rPr>
                <w:szCs w:val="24"/>
              </w:rPr>
            </w:pPr>
            <w:r>
              <w:rPr>
                <w:szCs w:val="24"/>
              </w:rPr>
              <w:t>En dehors d'appels à proje</w:t>
            </w:r>
            <w:r>
              <w:rPr>
                <w:szCs w:val="24"/>
              </w:rPr>
              <w:t>t spécifiques ou sur les fonds EURI (f), ces taux d’aide sont modulés en fonction des conditions relatives aux filières de production :</w:t>
            </w:r>
          </w:p>
          <w:p w:rsidR="0035701C" w:rsidRDefault="00FB561B" w:rsidP="00FB561B">
            <w:pPr>
              <w:numPr>
                <w:ilvl w:val="0"/>
                <w:numId w:val="298"/>
              </w:numPr>
              <w:spacing w:before="240" w:after="0"/>
              <w:ind w:hanging="210"/>
              <w:jc w:val="left"/>
              <w:rPr>
                <w:szCs w:val="24"/>
              </w:rPr>
            </w:pPr>
            <w:r>
              <w:rPr>
                <w:szCs w:val="24"/>
              </w:rPr>
              <w:t>cf. tableau : "Modulations filières".</w:t>
            </w:r>
          </w:p>
          <w:p w:rsidR="0035701C" w:rsidRDefault="00FB561B" w:rsidP="00FB561B">
            <w:pPr>
              <w:numPr>
                <w:ilvl w:val="0"/>
                <w:numId w:val="298"/>
              </w:numPr>
              <w:spacing w:before="0" w:after="0"/>
              <w:ind w:hanging="210"/>
              <w:jc w:val="left"/>
              <w:rPr>
                <w:szCs w:val="24"/>
              </w:rPr>
            </w:pPr>
            <w:r>
              <w:rPr>
                <w:szCs w:val="24"/>
              </w:rPr>
              <w:t>Les adhérents/cotisants à des Organisations de Producteurs ou à des associations e</w:t>
            </w:r>
            <w:r>
              <w:rPr>
                <w:szCs w:val="24"/>
              </w:rPr>
              <w:t>lles même affiliées à l'association de la filière (AOPn), ainsi que les exploitants adhérant individuellement à l'association de la filière (AOPn) sont considérés comme répondant au critère "Adhésion filière" indiqué dans le tableau de modulation ; Sur déc</w:t>
            </w:r>
            <w:r>
              <w:rPr>
                <w:szCs w:val="24"/>
              </w:rPr>
              <w:t>ision de l'AG, ces derniers bénéficiaires sont éligibles pour ce qui concerne les investissements de matériels à l'exclusion des investissements liés aux stations de conditionnement.</w:t>
            </w:r>
          </w:p>
          <w:p w:rsidR="0035701C" w:rsidRDefault="00FB561B" w:rsidP="00FB561B">
            <w:pPr>
              <w:numPr>
                <w:ilvl w:val="0"/>
                <w:numId w:val="298"/>
              </w:numPr>
              <w:spacing w:before="0" w:after="0"/>
              <w:ind w:hanging="210"/>
              <w:jc w:val="left"/>
              <w:rPr>
                <w:szCs w:val="24"/>
              </w:rPr>
            </w:pPr>
            <w:r>
              <w:rPr>
                <w:szCs w:val="24"/>
              </w:rPr>
              <w:t>Ces conditions s'appliquent en considérant la filière de destination de l</w:t>
            </w:r>
            <w:r>
              <w:rPr>
                <w:szCs w:val="24"/>
              </w:rPr>
              <w:t xml:space="preserve">'investissement. En application des dispositions de la V7 du PDRC et à cette date (cf. erratum dans la description des modifications : "modifications additionnelles") la notion d'atelier principal ayant été supprimée : dans le cas où l'investissement peut </w:t>
            </w:r>
            <w:r>
              <w:rPr>
                <w:szCs w:val="24"/>
              </w:rPr>
              <w:t>concerner plusieurs filières de productions, l'application des modulations est considérée pour l'atelier entrainant les dispositions les plus favorables.</w:t>
            </w:r>
          </w:p>
          <w:p w:rsidR="0035701C" w:rsidRDefault="00FB561B" w:rsidP="00FB561B">
            <w:pPr>
              <w:numPr>
                <w:ilvl w:val="0"/>
                <w:numId w:val="298"/>
              </w:numPr>
              <w:spacing w:before="0" w:after="240"/>
              <w:ind w:hanging="210"/>
              <w:jc w:val="left"/>
              <w:rPr>
                <w:szCs w:val="24"/>
              </w:rPr>
            </w:pPr>
            <w:r>
              <w:rPr>
                <w:szCs w:val="24"/>
              </w:rPr>
              <w:t xml:space="preserve">Pour le TO 4.1.2, les modulations relatives aux signes de qualité &amp; races/variété locale (* Dans ce </w:t>
            </w:r>
            <w:r>
              <w:rPr>
                <w:szCs w:val="24"/>
              </w:rPr>
              <w:t xml:space="preserve">tableau "Modulations filières") s'appliquent sur les taux d'aide relatifs au secteur agricole. Pour les signes de qualité ces modulations sont liées à l'inscription au signe de qualité dès la demande, et à l'existence d'une production effective sous signe </w:t>
            </w:r>
            <w:r>
              <w:rPr>
                <w:szCs w:val="24"/>
              </w:rPr>
              <w:t>officiel de qualité dans les 5 ans. Pour les exploitations qui disposent de cultures ou cheptels déjà productifs ou de produits finis dès la demande, la condition d'inscription et de production sous signe de qualité s'applique dès le dépôt de la demande.</w:t>
            </w:r>
          </w:p>
          <w:p w:rsidR="0035701C" w:rsidRDefault="00FB561B">
            <w:pPr>
              <w:spacing w:before="240" w:after="240"/>
              <w:jc w:val="left"/>
              <w:rPr>
                <w:szCs w:val="24"/>
              </w:rPr>
            </w:pPr>
            <w:r>
              <w:rPr>
                <w:szCs w:val="24"/>
                <w:u w:val="single"/>
              </w:rPr>
              <w:t>P</w:t>
            </w:r>
            <w:r>
              <w:rPr>
                <w:szCs w:val="24"/>
                <w:u w:val="single"/>
              </w:rPr>
              <w:t>lan de Relance à partir de 2021</w:t>
            </w:r>
            <w:r>
              <w:rPr>
                <w:szCs w:val="24"/>
              </w:rPr>
              <w:t>. Selon les possibilités offertes par l’article 58bis du règlement 1305/2013, le taux d’aide est établi à 75% pour les opérations bénéficiant d’un soutien dans le cadre du Plan de relance européen sur fonds EURI. Ces fonds so</w:t>
            </w:r>
            <w:r>
              <w:rPr>
                <w:szCs w:val="24"/>
              </w:rPr>
              <w:t>nt exclusivement mis en œuvre par appel à projet spécifiques mobilisant ces fonds. Le seuil des demandes admissibles pour ces opérations est spécifiquement fixé dans chaque appel à projets EURI.</w:t>
            </w:r>
          </w:p>
          <w:p w:rsidR="0035701C" w:rsidRDefault="00FB561B">
            <w:pPr>
              <w:spacing w:before="240" w:after="240"/>
              <w:jc w:val="left"/>
              <w:rPr>
                <w:szCs w:val="24"/>
              </w:rPr>
            </w:pPr>
            <w:r>
              <w:rPr>
                <w:i/>
                <w:iCs/>
                <w:szCs w:val="24"/>
              </w:rPr>
              <w:t>Plafond d'aide aux exploitations agricoles</w:t>
            </w:r>
          </w:p>
          <w:p w:rsidR="0035701C" w:rsidRDefault="00FB561B">
            <w:pPr>
              <w:spacing w:before="240" w:after="240"/>
              <w:jc w:val="left"/>
              <w:rPr>
                <w:szCs w:val="24"/>
              </w:rPr>
            </w:pPr>
            <w:r>
              <w:rPr>
                <w:szCs w:val="24"/>
              </w:rPr>
              <w:t>Le plafond d’inves</w:t>
            </w:r>
            <w:r>
              <w:rPr>
                <w:szCs w:val="24"/>
              </w:rPr>
              <w:t>tissement éligible à une aide, par exploitation agricole bénéficiaire s’élève à 800.000 euros sur une période de 24 mois. Ce montant est majoré de 50% pour les jeunes agriculteurs. Ce plafond s'applique, en dehors des aides sur fonds EURI, sur le cumul des</w:t>
            </w:r>
            <w:r>
              <w:rPr>
                <w:szCs w:val="24"/>
              </w:rPr>
              <w:t xml:space="preserve"> sous mesures 4.1 hors projet collectif (TO 4.1.1 et 4.1.2) et 4.2.</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Pour les projets ne relevant pas de l’article 42 du TFUE dont le financement est soumis aux règles d'aide d'Etat, sera utilisé:</w:t>
            </w:r>
          </w:p>
          <w:p w:rsidR="0035701C" w:rsidRDefault="00FB561B" w:rsidP="00FB561B">
            <w:pPr>
              <w:numPr>
                <w:ilvl w:val="0"/>
                <w:numId w:val="299"/>
              </w:numPr>
              <w:spacing w:before="240" w:after="0"/>
              <w:ind w:hanging="210"/>
              <w:jc w:val="left"/>
              <w:rPr>
                <w:szCs w:val="24"/>
              </w:rPr>
            </w:pPr>
            <w:r>
              <w:rPr>
                <w:szCs w:val="24"/>
              </w:rPr>
              <w:t>un régime d'aides exempté de notification au titre du règl</w:t>
            </w:r>
            <w:r>
              <w:rPr>
                <w:szCs w:val="24"/>
              </w:rPr>
              <w:t>ement (UE) n° 651/2014  de la Commission du 17 juin 2014, ou au titre du règlement (UE) n° 702/2014 de la Commission du 25 juin 2014,</w:t>
            </w:r>
          </w:p>
          <w:p w:rsidR="0035701C" w:rsidRDefault="00FB561B" w:rsidP="00FB561B">
            <w:pPr>
              <w:numPr>
                <w:ilvl w:val="0"/>
                <w:numId w:val="299"/>
              </w:numPr>
              <w:spacing w:before="0" w:after="0"/>
              <w:ind w:hanging="210"/>
              <w:jc w:val="left"/>
              <w:rPr>
                <w:szCs w:val="24"/>
              </w:rPr>
            </w:pPr>
            <w:r>
              <w:rPr>
                <w:szCs w:val="24"/>
              </w:rPr>
              <w:t>ou un régime notifié en vertu de l'article 108, paragraphe 3 du Traité,</w:t>
            </w:r>
          </w:p>
          <w:p w:rsidR="0035701C" w:rsidRDefault="00FB561B" w:rsidP="00FB561B">
            <w:pPr>
              <w:numPr>
                <w:ilvl w:val="0"/>
                <w:numId w:val="299"/>
              </w:numPr>
              <w:spacing w:before="0" w:after="240"/>
              <w:ind w:hanging="210"/>
              <w:jc w:val="left"/>
              <w:rPr>
                <w:szCs w:val="24"/>
              </w:rPr>
            </w:pPr>
            <w:r>
              <w:rPr>
                <w:szCs w:val="24"/>
              </w:rPr>
              <w:t>ou le règlement (UE) n° 1407/2013 de la Commission</w:t>
            </w:r>
            <w:r>
              <w:rPr>
                <w:szCs w:val="24"/>
              </w:rPr>
              <w:t xml:space="preserve"> du 18 décembre 2013 relatif à l'application des articles 107 et 108 du traité sur le fonctionnement de l'Union européenne aux aides de minimis.</w:t>
            </w:r>
          </w:p>
          <w:p w:rsidR="0035701C" w:rsidRDefault="00FB561B">
            <w:pPr>
              <w:spacing w:before="240" w:after="240"/>
              <w:jc w:val="left"/>
              <w:rPr>
                <w:szCs w:val="24"/>
              </w:rPr>
            </w:pPr>
            <w:r>
              <w:rPr>
                <w:szCs w:val="24"/>
              </w:rPr>
              <w:t>Le taux d'aide publique appliqué au dossier correspondra au maximum autorisé par le régime d'aide d'Etat appliq</w:t>
            </w:r>
            <w:r>
              <w:rPr>
                <w:szCs w:val="24"/>
              </w:rPr>
              <w:t>ué audit dossier, si ce maximum est plus restrictif que le taux prévu par le PDR ; ce maximum ne pourra être supérieur au taux mentionné dans le PDRC.</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200775" cy="6096000"/>
                  <wp:effectExtent l="0" t="0" r="0" b="0"/>
                  <wp:docPr id="100084" name="Image 100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
                          <pic:cNvPicPr>
                            <a:picLocks noChangeAspect="1"/>
                          </pic:cNvPicPr>
                        </pic:nvPicPr>
                        <pic:blipFill>
                          <a:blip r:embed="rId55"/>
                          <a:stretch>
                            <a:fillRect/>
                          </a:stretch>
                        </pic:blipFill>
                        <pic:spPr>
                          <a:xfrm>
                            <a:off x="0" y="0"/>
                            <a:ext cx="6200775" cy="6096000"/>
                          </a:xfrm>
                          <a:prstGeom prst="rect">
                            <a:avLst/>
                          </a:prstGeom>
                        </pic:spPr>
                      </pic:pic>
                    </a:graphicData>
                  </a:graphic>
                </wp:inline>
              </w:drawing>
            </w:r>
          </w:p>
          <w:p w:rsidR="0035701C" w:rsidRDefault="00FB561B">
            <w:pPr>
              <w:pStyle w:val="Pieddepage"/>
              <w:jc w:val="center"/>
            </w:pPr>
            <w:r>
              <w:t>Modulation aide</w:t>
            </w:r>
          </w:p>
          <w:p w:rsidR="0035701C" w:rsidRDefault="0035701C">
            <w:pPr>
              <w:pStyle w:val="Pieddepage"/>
              <w:jc w:val="center"/>
            </w:pPr>
          </w:p>
        </w:tc>
      </w:tr>
    </w:tbl>
    <w:p w:rsidR="0035701C" w:rsidRDefault="00FB561B">
      <w:pPr>
        <w:pStyle w:val="Titre6"/>
      </w:pPr>
      <w:r>
        <w:t>Caractère vérifiable et contrôlable des mesures et/ou types d'opérations</w:t>
      </w:r>
    </w:p>
    <w:p w:rsidR="0035701C" w:rsidRDefault="00FB561B">
      <w:pPr>
        <w:pStyle w:val="Titre7"/>
      </w:pPr>
      <w:r>
        <w:t xml:space="preserve">Risque(s) </w:t>
      </w:r>
      <w:r>
        <w:t>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 :</w:t>
            </w:r>
          </w:p>
          <w:p w:rsidR="0035701C" w:rsidRDefault="00FB561B">
            <w:pPr>
              <w:spacing w:before="240" w:after="240"/>
              <w:jc w:val="left"/>
              <w:rPr>
                <w:szCs w:val="24"/>
              </w:rPr>
            </w:pPr>
            <w:r>
              <w:rPr>
                <w:szCs w:val="24"/>
              </w:rPr>
              <w:t>- L'OP a demandé que soient bien décrits les pétitionnaires susceptibles d'être bénéficiaires de cette opération, ainsi que les travaux et investissements suscepti</w:t>
            </w:r>
            <w:r>
              <w:rPr>
                <w:szCs w:val="24"/>
              </w:rPr>
              <w:t>bles d'être financés. Les éléments de Droit, les précisions apportées au présent texte, ainsi que le détail des éléments de réponse à fournir sur les appels à projet sont satisfaisants.  La mise en place d'un contrôle croisé sur les aides de même type ou d</w:t>
            </w:r>
            <w:r>
              <w:rPr>
                <w:szCs w:val="24"/>
              </w:rPr>
              <w:t>e même public cible sera formalisé.</w:t>
            </w:r>
          </w:p>
          <w:p w:rsidR="0035701C" w:rsidRDefault="00FB561B">
            <w:pPr>
              <w:spacing w:before="240" w:after="240"/>
              <w:jc w:val="left"/>
              <w:rPr>
                <w:szCs w:val="24"/>
              </w:rPr>
            </w:pPr>
            <w:r>
              <w:rPr>
                <w:szCs w:val="24"/>
              </w:rPr>
              <w:t>- Concernant les taux d'aide tels que décrits dans le PDRC, l’OP a recommandé que leurs modalités d’application soient clairement établies et diffusés. Après avoir pris connaissance des précisions apportées au présent te</w:t>
            </w:r>
            <w:r>
              <w:rPr>
                <w:szCs w:val="24"/>
              </w:rPr>
              <w:t>xte, l'Organisme Payeur considère que ce document permet de lever (MAJ V5.0 : en grande partie) ses interrogations.</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n°1 - R1 : Pour les formes juridiques sociétaires ou associa</w:t>
            </w:r>
            <w:r>
              <w:rPr>
                <w:szCs w:val="24"/>
              </w:rPr>
              <w:t>tives, les collectivités, conformité des statuts et actes, mise à jour effective et conforme au long de la période d’engagement. (source : Législation nationale : décalage entre Droit Social, Droit des Sociétés, Droit Rural)</w:t>
            </w:r>
          </w:p>
          <w:p w:rsidR="0035701C" w:rsidRDefault="00FB561B">
            <w:pPr>
              <w:spacing w:before="240" w:after="240"/>
              <w:jc w:val="left"/>
              <w:rPr>
                <w:szCs w:val="24"/>
              </w:rPr>
            </w:pPr>
            <w:r>
              <w:rPr>
                <w:szCs w:val="24"/>
              </w:rPr>
              <w:t>n°2 - R10 : Pour les travaux, r</w:t>
            </w:r>
            <w:r>
              <w:rPr>
                <w:szCs w:val="24"/>
              </w:rPr>
              <w:t>isque de surfaces déjà financées par ailleurs (toujours sous engagement d'anciens contrats, ou financées sur les opérations à destination des agriculteurs (ex : 121A, B, C) (source : Ponctuel sur Retour d'Expérience)</w:t>
            </w:r>
          </w:p>
          <w:p w:rsidR="0035701C" w:rsidRDefault="00FB561B">
            <w:pPr>
              <w:spacing w:before="240" w:after="240"/>
              <w:jc w:val="left"/>
              <w:rPr>
                <w:szCs w:val="24"/>
              </w:rPr>
            </w:pPr>
            <w:r>
              <w:rPr>
                <w:szCs w:val="24"/>
              </w:rPr>
              <w:t>n°3 - R2 : Pour les travaux, hors coûts</w:t>
            </w:r>
            <w:r>
              <w:rPr>
                <w:szCs w:val="24"/>
              </w:rPr>
              <w:t xml:space="preserve"> standards, s'assurer de leur caractère raisonnable (source : CCCOP Exercice 2012-2014).</w:t>
            </w:r>
          </w:p>
          <w:p w:rsidR="0035701C" w:rsidRDefault="00FB561B">
            <w:pPr>
              <w:spacing w:before="240" w:after="240"/>
              <w:jc w:val="left"/>
              <w:rPr>
                <w:szCs w:val="24"/>
              </w:rPr>
            </w:pPr>
            <w:r>
              <w:rPr>
                <w:szCs w:val="24"/>
              </w:rPr>
              <w:t>n°4 - R11 : MAJ V5.0 Pour le relèvement du taux d'aide au bénéfice des cheptels de race caprine corse. Détail précis et méthodologie de calcul du taux d'aide selon les</w:t>
            </w:r>
            <w:r>
              <w:rPr>
                <w:szCs w:val="24"/>
              </w:rPr>
              <w:t xml:space="preserve"> critères d'éligibilité, et/ou critères de sélection (scoring) dans le DOMO et les notices d'information. Sensibilisation de l'administration et des bénéficiaires. (source : 2007-2013 en continu Formation de l'administration, des Partenaires, des Bénéficia</w:t>
            </w:r>
            <w:r>
              <w:rPr>
                <w:szCs w:val="24"/>
              </w:rPr>
              <w:t>ires, Multiplicité des précisions sur « Guidance » (notes de cadrage))</w:t>
            </w:r>
          </w:p>
          <w:p w:rsidR="0035701C" w:rsidRDefault="00FB561B">
            <w:pPr>
              <w:spacing w:before="240" w:after="240"/>
              <w:jc w:val="left"/>
              <w:rPr>
                <w:szCs w:val="24"/>
              </w:rPr>
            </w:pPr>
            <w:r>
              <w:rPr>
                <w:szCs w:val="24"/>
              </w:rPr>
              <w:t>n°5 - R5  : MAJ V5.0 Mise en place de définitions précises relatives au comptage des cheptels tout au long des engagements souscrits, avec calendrier. (source : DG AGRI 2011, DG AGRI 20</w:t>
            </w:r>
            <w:r>
              <w:rPr>
                <w:szCs w:val="24"/>
              </w:rPr>
              <w:t>13)</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VERIFIER Pour les formes juridiques sociétaires ou associatives, conformité des statuts et actes, mise à jour effective et conforme.</w:t>
            </w:r>
          </w:p>
          <w:p w:rsidR="0035701C" w:rsidRDefault="00FB561B">
            <w:pPr>
              <w:spacing w:before="240" w:after="240"/>
              <w:jc w:val="left"/>
              <w:rPr>
                <w:szCs w:val="24"/>
              </w:rPr>
            </w:pPr>
            <w:r>
              <w:rPr>
                <w:szCs w:val="24"/>
              </w:rPr>
              <w:t xml:space="preserve">n°2 - R10 : EXECUTER UN CONTRÔLE CROISE des aides aux bénéficiaires de l'opération </w:t>
            </w:r>
            <w:r>
              <w:rPr>
                <w:szCs w:val="24"/>
              </w:rPr>
              <w:t>avec les autres aides dont ils ont bénéficié ou dont ils bénéficient, et avec celles des bénéficiaires secondaires (cas des coopératives).</w:t>
            </w:r>
          </w:p>
          <w:p w:rsidR="0035701C" w:rsidRDefault="00FB561B">
            <w:pPr>
              <w:spacing w:before="240" w:after="240"/>
              <w:jc w:val="left"/>
              <w:rPr>
                <w:szCs w:val="24"/>
              </w:rPr>
            </w:pPr>
            <w:r>
              <w:rPr>
                <w:szCs w:val="24"/>
              </w:rPr>
              <w:t>                   MAINTENIR ce point de contrôle administratif de la demande d'aide à la fin de la période d'engagem</w:t>
            </w:r>
            <w:r>
              <w:rPr>
                <w:szCs w:val="24"/>
              </w:rPr>
              <w:t>ent.</w:t>
            </w:r>
          </w:p>
          <w:p w:rsidR="0035701C" w:rsidRDefault="00FB561B">
            <w:pPr>
              <w:spacing w:before="240" w:after="240"/>
              <w:jc w:val="left"/>
              <w:rPr>
                <w:szCs w:val="24"/>
              </w:rPr>
            </w:pPr>
            <w:r>
              <w:rPr>
                <w:szCs w:val="24"/>
              </w:rPr>
              <w:t>n°3 - R2  : FORMALISER en l’absence de recours à des coûts relevant de l’article 62.2 du R/UE 1305/2013, la mise en place d’un protocole d’évaluation à partir de 3 devis et/ou avis authentique du comité technique en charge de la sélection des opératio</w:t>
            </w:r>
            <w:r>
              <w:rPr>
                <w:szCs w:val="24"/>
              </w:rPr>
              <w:t>ns garantissant le caractère raisonnable de la dépense.</w:t>
            </w:r>
          </w:p>
          <w:p w:rsidR="0035701C" w:rsidRDefault="00FB561B">
            <w:pPr>
              <w:spacing w:before="240" w:after="240"/>
              <w:jc w:val="left"/>
              <w:rPr>
                <w:szCs w:val="24"/>
              </w:rPr>
            </w:pPr>
            <w:r>
              <w:rPr>
                <w:szCs w:val="24"/>
              </w:rPr>
              <w:t>n°4 - R11 : MAJ V5.0 FORMALISER le mode de contrôle de l'identification du cheptel de race locale pour garantir le calcul du taux d’aide. ASSURER le maintien des conditions méthodologiques de ce point</w:t>
            </w:r>
            <w:r>
              <w:rPr>
                <w:szCs w:val="24"/>
              </w:rPr>
              <w:t xml:space="preserve"> de contrôle administratif tout au long de la période d'engagement.</w:t>
            </w:r>
          </w:p>
          <w:p w:rsidR="0035701C" w:rsidRDefault="00FB561B">
            <w:pPr>
              <w:spacing w:before="240" w:after="240"/>
              <w:jc w:val="left"/>
              <w:rPr>
                <w:szCs w:val="24"/>
              </w:rPr>
            </w:pPr>
            <w:r>
              <w:rPr>
                <w:szCs w:val="24"/>
              </w:rPr>
              <w:t xml:space="preserve">n°5 - R5  : MAJ V5.0 FORMALISER le mode de contrôle de l'identification du cheptel de race locale. ASSURER le maintien des conditions méthodologiques de ce point de contrôle administratif </w:t>
            </w:r>
            <w:r>
              <w:rPr>
                <w:szCs w:val="24"/>
              </w:rPr>
              <w:t>tout au long de la période d'engagement.</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Au vu des cotations matricielles, sur le poids financier de la mesure (&gt;20%), sur les priorités, les risques, les mesures d’atténuation prévues, cette mesure reçoit une évaluation</w:t>
            </w:r>
            <w:r>
              <w:rPr>
                <w:szCs w:val="24"/>
              </w:rPr>
              <w:t>  correcte peu risquée ; Les mécanismes de mise en œuvre sont connus et maîtrisés par tous les acteurs,  les programmations précédentes qui ont suscité des ajustements sur des mesures de même type ont permis une amélioration constante des procédures.</w:t>
            </w:r>
          </w:p>
          <w:p w:rsidR="0035701C" w:rsidRDefault="00FB561B">
            <w:pPr>
              <w:spacing w:before="240" w:after="240"/>
              <w:jc w:val="left"/>
              <w:rPr>
                <w:szCs w:val="24"/>
              </w:rPr>
            </w:pPr>
            <w:r>
              <w:rPr>
                <w:szCs w:val="24"/>
              </w:rPr>
              <w:t>- Con</w:t>
            </w:r>
            <w:r>
              <w:rPr>
                <w:szCs w:val="24"/>
              </w:rPr>
              <w:t>cernant l'évaluation globale de la mesure : la mesure est contrôlable sous réserve de la mise en place d'actions d'atténuation et des précisions apportées dans les documents de mise en œuvre notamment sur la nécessité de bien contrôler , et de vérifier l'i</w:t>
            </w:r>
            <w:r>
              <w:rPr>
                <w:szCs w:val="24"/>
              </w:rPr>
              <w:t>nexistence de financements précédents ou déjà engagés auprès des bénéficiaires  y compris secondaires dans le cas des coopératives. Il convient également de s'assurer de bien transcrire la preuve de l'étude du caractère raisonnable des coûts.</w:t>
            </w:r>
          </w:p>
          <w:p w:rsidR="0035701C" w:rsidRDefault="0035701C">
            <w:pPr>
              <w:pStyle w:val="Corpsdetexte"/>
            </w:pPr>
          </w:p>
        </w:tc>
      </w:tr>
    </w:tbl>
    <w:p w:rsidR="0035701C" w:rsidRDefault="00FB561B">
      <w:pPr>
        <w:pStyle w:val="Titre6"/>
      </w:pPr>
      <w:r>
        <w:t xml:space="preserve">Méthode de </w:t>
      </w:r>
      <w:r>
        <w:t>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L’assiette des opérations comprend :</w:t>
            </w:r>
          </w:p>
          <w:p w:rsidR="0035701C" w:rsidRDefault="00FB561B" w:rsidP="00FB561B">
            <w:pPr>
              <w:numPr>
                <w:ilvl w:val="0"/>
                <w:numId w:val="300"/>
              </w:numPr>
              <w:spacing w:before="240" w:after="0"/>
              <w:ind w:hanging="280"/>
              <w:jc w:val="left"/>
              <w:rPr>
                <w:szCs w:val="24"/>
              </w:rPr>
            </w:pPr>
            <w:r>
              <w:rPr>
                <w:szCs w:val="24"/>
              </w:rPr>
              <w:t>Les devis prévisionnels et la valeur du terrain si celui-ci est acheté postérieurement à la demande d’aide dans la limite de 10 % du total des dépenses éligibles de l’</w:t>
            </w:r>
            <w:r>
              <w:rPr>
                <w:szCs w:val="24"/>
              </w:rPr>
              <w:t>opération, et les coûts forfaitaires (clôture parcs).</w:t>
            </w:r>
          </w:p>
          <w:p w:rsidR="0035701C" w:rsidRDefault="00FB561B" w:rsidP="00FB561B">
            <w:pPr>
              <w:numPr>
                <w:ilvl w:val="0"/>
                <w:numId w:val="300"/>
              </w:numPr>
              <w:spacing w:before="0" w:after="0"/>
              <w:ind w:hanging="280"/>
              <w:jc w:val="left"/>
              <w:rPr>
                <w:szCs w:val="24"/>
              </w:rPr>
            </w:pPr>
            <w:r>
              <w:rPr>
                <w:szCs w:val="24"/>
              </w:rPr>
              <w:t>Les frais généraux relatifs au projet : coûts d’études ou honoraires (notamment les honoraires liés aux études de faisabilité des prestataires, ingénieurs, agronome, hydrogéologue et les frais d’experti</w:t>
            </w:r>
            <w:r>
              <w:rPr>
                <w:szCs w:val="24"/>
              </w:rPr>
              <w:t>se), dans la limite de 5% des dépenses éligibles de l’opération.</w:t>
            </w:r>
          </w:p>
          <w:p w:rsidR="0035701C" w:rsidRDefault="00FB561B" w:rsidP="00FB561B">
            <w:pPr>
              <w:numPr>
                <w:ilvl w:val="0"/>
                <w:numId w:val="300"/>
              </w:numPr>
              <w:spacing w:before="0" w:after="240"/>
              <w:ind w:hanging="280"/>
              <w:jc w:val="left"/>
              <w:rPr>
                <w:szCs w:val="24"/>
              </w:rPr>
            </w:pPr>
            <w:r>
              <w:rPr>
                <w:szCs w:val="24"/>
              </w:rPr>
              <w:t>Les contributions en nature constituées par la valeur expertisée du bâtiment.</w:t>
            </w:r>
          </w:p>
          <w:p w:rsidR="0035701C" w:rsidRDefault="0035701C">
            <w:pPr>
              <w:pStyle w:val="Corpsdetexte"/>
            </w:pPr>
          </w:p>
        </w:tc>
      </w:tr>
    </w:tbl>
    <w:p w:rsidR="0035701C" w:rsidRDefault="00FB561B">
      <w:pPr>
        <w:pStyle w:val="Titre6"/>
      </w:pPr>
      <w:r>
        <w:t>Informations spécifiques sur l'opération</w:t>
      </w:r>
    </w:p>
    <w:p w:rsidR="0035701C" w:rsidRDefault="00FB561B">
      <w:r>
        <w:t>Définition des investissements non productifs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Définition des </w:t>
      </w:r>
      <w:r>
        <w:t>investissements collectifs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investissements collectifs identifiés pour la mise en œuvre de la mesure 4.1.2 (article 17a du RDR) répondent à l'orientation suivante :</w:t>
            </w:r>
          </w:p>
          <w:p w:rsidR="0035701C" w:rsidRDefault="00FB561B" w:rsidP="00FB561B">
            <w:pPr>
              <w:numPr>
                <w:ilvl w:val="0"/>
                <w:numId w:val="301"/>
              </w:numPr>
              <w:spacing w:before="240" w:after="0"/>
              <w:ind w:hanging="210"/>
              <w:jc w:val="left"/>
              <w:rPr>
                <w:szCs w:val="24"/>
              </w:rPr>
            </w:pPr>
            <w:r>
              <w:rPr>
                <w:szCs w:val="24"/>
              </w:rPr>
              <w:t>Les projets d’investissements collectifs sont destinés à faire progresser collectivement</w:t>
            </w:r>
            <w:r>
              <w:rPr>
                <w:szCs w:val="24"/>
              </w:rPr>
              <w:t xml:space="preserve"> un ensemble d’acteurs en vue d’entrainer la mutation des outils de travail, de favoriser la coopération économique, de générer une activité additionnelle qui mobilise les potentialités sociales et environnementales du territoire.</w:t>
            </w:r>
          </w:p>
          <w:p w:rsidR="0035701C" w:rsidRDefault="00FB561B" w:rsidP="00FB561B">
            <w:pPr>
              <w:numPr>
                <w:ilvl w:val="0"/>
                <w:numId w:val="301"/>
              </w:numPr>
              <w:spacing w:before="0" w:after="240"/>
              <w:ind w:hanging="210"/>
              <w:jc w:val="left"/>
              <w:rPr>
                <w:szCs w:val="24"/>
              </w:rPr>
            </w:pPr>
            <w:r>
              <w:rPr>
                <w:szCs w:val="24"/>
              </w:rPr>
              <w:t>Ces projets doivent engen</w:t>
            </w:r>
            <w:r>
              <w:rPr>
                <w:szCs w:val="24"/>
              </w:rPr>
              <w:t>drer un effet levier ou d’accélération sur le plan technique, qualitatif et économique, et permettre le ciblage d’achats groupés, la rationalisation ou la régulation des coûts d’investissement.</w:t>
            </w:r>
          </w:p>
          <w:p w:rsidR="0035701C" w:rsidRDefault="00FB561B">
            <w:pPr>
              <w:spacing w:before="240" w:after="240"/>
              <w:jc w:val="left"/>
              <w:rPr>
                <w:szCs w:val="24"/>
              </w:rPr>
            </w:pPr>
            <w:r>
              <w:rPr>
                <w:szCs w:val="24"/>
              </w:rPr>
              <w:t xml:space="preserve">Dès lors, les conditions d’éligibilité considèrent l’ensemble </w:t>
            </w:r>
            <w:r>
              <w:rPr>
                <w:szCs w:val="24"/>
              </w:rPr>
              <w:t>des points suivants :</w:t>
            </w:r>
          </w:p>
          <w:p w:rsidR="0035701C" w:rsidRDefault="00FB561B" w:rsidP="00FB561B">
            <w:pPr>
              <w:numPr>
                <w:ilvl w:val="0"/>
                <w:numId w:val="302"/>
              </w:numPr>
              <w:spacing w:before="240" w:after="0"/>
              <w:ind w:hanging="210"/>
              <w:jc w:val="left"/>
              <w:rPr>
                <w:szCs w:val="24"/>
              </w:rPr>
            </w:pPr>
            <w:r>
              <w:rPr>
                <w:szCs w:val="24"/>
              </w:rPr>
              <w:t>Ces investissements doivent être réalisés par un maître d’ouvrage unique et concerner le public cible relatif à l’opération.</w:t>
            </w:r>
          </w:p>
          <w:p w:rsidR="0035701C" w:rsidRDefault="00FB561B" w:rsidP="00FB561B">
            <w:pPr>
              <w:numPr>
                <w:ilvl w:val="0"/>
                <w:numId w:val="302"/>
              </w:numPr>
              <w:spacing w:before="0" w:after="0"/>
              <w:ind w:hanging="210"/>
              <w:jc w:val="left"/>
              <w:rPr>
                <w:szCs w:val="24"/>
              </w:rPr>
            </w:pPr>
            <w:r>
              <w:rPr>
                <w:szCs w:val="24"/>
              </w:rPr>
              <w:t xml:space="preserve">Ces investissements physiques doivent être réalisés : </w:t>
            </w:r>
          </w:p>
          <w:p w:rsidR="0035701C" w:rsidRDefault="00FB561B" w:rsidP="00FB561B">
            <w:pPr>
              <w:numPr>
                <w:ilvl w:val="1"/>
                <w:numId w:val="302"/>
              </w:numPr>
              <w:spacing w:before="0" w:after="0"/>
              <w:ind w:hanging="244"/>
              <w:jc w:val="left"/>
              <w:rPr>
                <w:szCs w:val="24"/>
              </w:rPr>
            </w:pPr>
            <w:r>
              <w:rPr>
                <w:szCs w:val="24"/>
              </w:rPr>
              <w:t>par une coopérative ou une structure associant directe</w:t>
            </w:r>
            <w:r>
              <w:rPr>
                <w:szCs w:val="24"/>
              </w:rPr>
              <w:t>ment ou indirectement par l’apport de chaque structure adhérente, au moins 10 entités distinctes appartenant à ce public cible, telles que des exploitations individuelles, des sociétés agricoles, des locataires ou gestionnaires forestiers,</w:t>
            </w:r>
          </w:p>
          <w:p w:rsidR="0035701C" w:rsidRDefault="00FB561B" w:rsidP="00FB561B">
            <w:pPr>
              <w:numPr>
                <w:ilvl w:val="1"/>
                <w:numId w:val="302"/>
              </w:numPr>
              <w:spacing w:before="0" w:after="0"/>
              <w:ind w:hanging="244"/>
              <w:jc w:val="left"/>
              <w:rPr>
                <w:szCs w:val="24"/>
              </w:rPr>
            </w:pPr>
            <w:r>
              <w:rPr>
                <w:szCs w:val="24"/>
              </w:rPr>
              <w:t>ou par une entit</w:t>
            </w:r>
            <w:r>
              <w:rPr>
                <w:szCs w:val="24"/>
              </w:rPr>
              <w:t>é privée associée par un contrat d’approvisionnement à au moins 10 entités distinctes appartenant à ce public cible, et sous condition que ces investissements soient directement affectés au public cible, (cas d’entreprises de transformation souhaitant équi</w:t>
            </w:r>
            <w:r>
              <w:rPr>
                <w:szCs w:val="24"/>
              </w:rPr>
              <w:t>per un collectif de fournisseur de produits agricoles),</w:t>
            </w:r>
          </w:p>
          <w:p w:rsidR="0035701C" w:rsidRDefault="00FB561B" w:rsidP="00FB561B">
            <w:pPr>
              <w:numPr>
                <w:ilvl w:val="0"/>
                <w:numId w:val="302"/>
              </w:numPr>
              <w:spacing w:before="0" w:after="0"/>
              <w:ind w:hanging="210"/>
              <w:jc w:val="left"/>
              <w:rPr>
                <w:szCs w:val="24"/>
              </w:rPr>
            </w:pPr>
            <w:r>
              <w:rPr>
                <w:szCs w:val="24"/>
              </w:rPr>
              <w:t xml:space="preserve">Ces investissements physiques doivent servir : </w:t>
            </w:r>
          </w:p>
          <w:p w:rsidR="0035701C" w:rsidRDefault="00FB561B" w:rsidP="00FB561B">
            <w:pPr>
              <w:numPr>
                <w:ilvl w:val="1"/>
                <w:numId w:val="302"/>
              </w:numPr>
              <w:spacing w:before="0" w:after="0"/>
              <w:ind w:hanging="244"/>
              <w:jc w:val="left"/>
              <w:rPr>
                <w:szCs w:val="24"/>
              </w:rPr>
            </w:pPr>
            <w:r>
              <w:rPr>
                <w:szCs w:val="24"/>
              </w:rPr>
              <w:t>pour un usage en commun (ou partagé) entre ces entités.</w:t>
            </w:r>
          </w:p>
          <w:p w:rsidR="0035701C" w:rsidRDefault="00FB561B" w:rsidP="00FB561B">
            <w:pPr>
              <w:numPr>
                <w:ilvl w:val="1"/>
                <w:numId w:val="302"/>
              </w:numPr>
              <w:spacing w:before="0" w:after="240"/>
              <w:ind w:hanging="244"/>
              <w:jc w:val="left"/>
              <w:rPr>
                <w:szCs w:val="24"/>
              </w:rPr>
            </w:pPr>
            <w:r>
              <w:rPr>
                <w:szCs w:val="24"/>
              </w:rPr>
              <w:t xml:space="preserve">ou profitant à chacune de ces entités appartenant au public cible dans le cadre de la démarche </w:t>
            </w:r>
            <w:r>
              <w:rPr>
                <w:szCs w:val="24"/>
              </w:rPr>
              <w:t>collective.</w:t>
            </w:r>
          </w:p>
          <w:p w:rsidR="0035701C" w:rsidRDefault="0035701C">
            <w:pPr>
              <w:pStyle w:val="Corpsdetexte"/>
            </w:pPr>
          </w:p>
        </w:tc>
      </w:tr>
    </w:tbl>
    <w:p w:rsidR="0035701C" w:rsidRDefault="00FB561B">
      <w:r>
        <w:t>Définition des projets intégrés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Définition et recensement des zones Natura 2000 et des autres zones à haute valeur naturelle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Description du ciblage de l’aide aux exploitations conformément à l’analyse  SWOT réalisée en ce </w:t>
      </w:r>
      <w:r>
        <w:t>qui concerne la priorité visée à l'article 5, paragraphe 2,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relevés par l’analyse AFOM permettent de cibler l’orientation des soutiens d’aide publique afin de répondre à la priorité 2 de l’union européenne pour l</w:t>
            </w:r>
            <w:r>
              <w:rPr>
                <w:szCs w:val="24"/>
              </w:rPr>
              <w:t>e FEADER, en particulier en vue :</w:t>
            </w:r>
          </w:p>
          <w:p w:rsidR="0035701C" w:rsidRDefault="00FB561B" w:rsidP="00FB561B">
            <w:pPr>
              <w:numPr>
                <w:ilvl w:val="0"/>
                <w:numId w:val="303"/>
              </w:numPr>
              <w:spacing w:before="240" w:after="0"/>
              <w:ind w:hanging="210"/>
              <w:jc w:val="left"/>
              <w:rPr>
                <w:szCs w:val="24"/>
              </w:rPr>
            </w:pPr>
            <w:r>
              <w:rPr>
                <w:szCs w:val="24"/>
              </w:rPr>
              <w:t>d’améliorer la viabilité et les résultats économiques des exploitations agricoles,</w:t>
            </w:r>
          </w:p>
          <w:p w:rsidR="0035701C" w:rsidRDefault="00FB561B" w:rsidP="00FB561B">
            <w:pPr>
              <w:numPr>
                <w:ilvl w:val="0"/>
                <w:numId w:val="303"/>
              </w:numPr>
              <w:spacing w:before="0" w:after="0"/>
              <w:ind w:hanging="210"/>
              <w:jc w:val="left"/>
              <w:rPr>
                <w:szCs w:val="24"/>
              </w:rPr>
            </w:pPr>
            <w:r>
              <w:rPr>
                <w:szCs w:val="24"/>
              </w:rPr>
              <w:t>de renforcer la compétitivité de tous les types de productions agricoles et de l’ensemble des territoires de l’île,</w:t>
            </w:r>
          </w:p>
          <w:p w:rsidR="0035701C" w:rsidRDefault="00FB561B" w:rsidP="00FB561B">
            <w:pPr>
              <w:numPr>
                <w:ilvl w:val="0"/>
                <w:numId w:val="303"/>
              </w:numPr>
              <w:spacing w:before="0" w:after="0"/>
              <w:ind w:hanging="210"/>
              <w:jc w:val="left"/>
              <w:rPr>
                <w:szCs w:val="24"/>
              </w:rPr>
            </w:pPr>
            <w:r>
              <w:rPr>
                <w:szCs w:val="24"/>
              </w:rPr>
              <w:t xml:space="preserve">d’accroître l’accès au </w:t>
            </w:r>
            <w:r>
              <w:rPr>
                <w:szCs w:val="24"/>
              </w:rPr>
              <w:t>marché local et externe à l’île,</w:t>
            </w:r>
          </w:p>
          <w:p w:rsidR="0035701C" w:rsidRDefault="00FB561B" w:rsidP="00FB561B">
            <w:pPr>
              <w:numPr>
                <w:ilvl w:val="0"/>
                <w:numId w:val="303"/>
              </w:numPr>
              <w:spacing w:before="0" w:after="240"/>
              <w:ind w:hanging="210"/>
              <w:jc w:val="left"/>
              <w:rPr>
                <w:szCs w:val="24"/>
              </w:rPr>
            </w:pPr>
            <w:r>
              <w:rPr>
                <w:szCs w:val="24"/>
              </w:rPr>
              <w:t>et d’encourager l’installation agricole.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Il s’agit ainsi de miser sur différents point forts du tissu économique agricole et de palier les carences essentiellement techniques, de formation ou d’accès au foncier qui ont ét</w:t>
            </w:r>
            <w:r>
              <w:rPr>
                <w:szCs w:val="24"/>
              </w:rPr>
              <w:t>é relevées.</w:t>
            </w:r>
          </w:p>
          <w:p w:rsidR="0035701C" w:rsidRDefault="00FB561B">
            <w:pPr>
              <w:spacing w:before="240" w:after="240"/>
              <w:jc w:val="left"/>
              <w:rPr>
                <w:szCs w:val="24"/>
              </w:rPr>
            </w:pPr>
            <w:r>
              <w:rPr>
                <w:szCs w:val="24"/>
              </w:rPr>
              <w:t>Cette stratégie se décline notamment par un soutien ciblé et adapté pour chacune des principales filières de production. En effet, pour ces différents secteurs, les modalités de soutien tiennent compte de :</w:t>
            </w:r>
          </w:p>
          <w:p w:rsidR="0035701C" w:rsidRDefault="00FB561B" w:rsidP="00FB561B">
            <w:pPr>
              <w:numPr>
                <w:ilvl w:val="0"/>
                <w:numId w:val="304"/>
              </w:numPr>
              <w:spacing w:before="240" w:after="0"/>
              <w:ind w:hanging="210"/>
              <w:jc w:val="left"/>
              <w:rPr>
                <w:szCs w:val="24"/>
              </w:rPr>
            </w:pPr>
            <w:r>
              <w:rPr>
                <w:szCs w:val="24"/>
              </w:rPr>
              <w:t>l’existence d’organisations économiqu</w:t>
            </w:r>
            <w:r>
              <w:rPr>
                <w:szCs w:val="24"/>
              </w:rPr>
              <w:t>es,</w:t>
            </w:r>
          </w:p>
          <w:p w:rsidR="0035701C" w:rsidRDefault="00FB561B" w:rsidP="00FB561B">
            <w:pPr>
              <w:numPr>
                <w:ilvl w:val="0"/>
                <w:numId w:val="304"/>
              </w:numPr>
              <w:spacing w:before="0" w:after="0"/>
              <w:ind w:hanging="210"/>
              <w:jc w:val="left"/>
              <w:rPr>
                <w:szCs w:val="24"/>
              </w:rPr>
            </w:pPr>
            <w:r>
              <w:rPr>
                <w:szCs w:val="24"/>
              </w:rPr>
              <w:t>de signe officiel de reconnaissance géographique,</w:t>
            </w:r>
          </w:p>
          <w:p w:rsidR="0035701C" w:rsidRDefault="00FB561B" w:rsidP="00FB561B">
            <w:pPr>
              <w:numPr>
                <w:ilvl w:val="0"/>
                <w:numId w:val="304"/>
              </w:numPr>
              <w:spacing w:before="0" w:after="240"/>
              <w:ind w:hanging="210"/>
              <w:jc w:val="left"/>
              <w:rPr>
                <w:szCs w:val="24"/>
              </w:rPr>
            </w:pPr>
            <w:r>
              <w:rPr>
                <w:szCs w:val="24"/>
              </w:rPr>
              <w:t>et des besoins spécifiques en termes de progression des équipements de ces filières.</w:t>
            </w:r>
          </w:p>
          <w:p w:rsidR="0035701C" w:rsidRDefault="00FB561B">
            <w:pPr>
              <w:spacing w:before="240" w:after="240"/>
              <w:jc w:val="left"/>
              <w:rPr>
                <w:szCs w:val="24"/>
              </w:rPr>
            </w:pPr>
            <w:r>
              <w:rPr>
                <w:szCs w:val="24"/>
              </w:rPr>
              <w:t>En outre ces modalités se traduisent par :</w:t>
            </w:r>
          </w:p>
          <w:p w:rsidR="0035701C" w:rsidRDefault="00FB561B" w:rsidP="00FB561B">
            <w:pPr>
              <w:numPr>
                <w:ilvl w:val="0"/>
                <w:numId w:val="305"/>
              </w:numPr>
              <w:spacing w:before="240" w:after="0"/>
              <w:ind w:hanging="210"/>
              <w:jc w:val="left"/>
              <w:rPr>
                <w:szCs w:val="24"/>
              </w:rPr>
            </w:pPr>
            <w:r>
              <w:rPr>
                <w:szCs w:val="24"/>
              </w:rPr>
              <w:t xml:space="preserve">un soutien au développement et à la pérennisation des productions sous </w:t>
            </w:r>
            <w:r>
              <w:rPr>
                <w:szCs w:val="24"/>
              </w:rPr>
              <w:t>signe officielle de qualité en particulier dans les secteurs de l’arboriculture, de la viticulture,</w:t>
            </w:r>
          </w:p>
          <w:p w:rsidR="0035701C" w:rsidRDefault="00FB561B" w:rsidP="00FB561B">
            <w:pPr>
              <w:numPr>
                <w:ilvl w:val="0"/>
                <w:numId w:val="305"/>
              </w:numPr>
              <w:spacing w:before="0" w:after="0"/>
              <w:ind w:hanging="210"/>
              <w:jc w:val="left"/>
              <w:rPr>
                <w:szCs w:val="24"/>
              </w:rPr>
            </w:pPr>
            <w:r>
              <w:rPr>
                <w:szCs w:val="24"/>
              </w:rPr>
              <w:t>un encouragement à la mise en œuvre de projets collectifs afin de faire progresser un ensemble de producteurs vers une amélioration qualitative et quantitat</w:t>
            </w:r>
            <w:r>
              <w:rPr>
                <w:szCs w:val="24"/>
              </w:rPr>
              <w:t>ive de la production,</w:t>
            </w:r>
          </w:p>
          <w:p w:rsidR="0035701C" w:rsidRDefault="00FB561B" w:rsidP="00FB561B">
            <w:pPr>
              <w:numPr>
                <w:ilvl w:val="0"/>
                <w:numId w:val="305"/>
              </w:numPr>
              <w:spacing w:before="0" w:after="0"/>
              <w:ind w:hanging="210"/>
              <w:jc w:val="left"/>
              <w:rPr>
                <w:szCs w:val="24"/>
              </w:rPr>
            </w:pPr>
            <w:r>
              <w:rPr>
                <w:szCs w:val="24"/>
              </w:rPr>
              <w:t>un accompagnement au maintien de pratiques d’élevage extensives et favorables sur l’environnement,</w:t>
            </w:r>
          </w:p>
          <w:p w:rsidR="0035701C" w:rsidRDefault="00FB561B" w:rsidP="00FB561B">
            <w:pPr>
              <w:numPr>
                <w:ilvl w:val="0"/>
                <w:numId w:val="305"/>
              </w:numPr>
              <w:spacing w:before="0" w:after="240"/>
              <w:ind w:hanging="210"/>
              <w:jc w:val="left"/>
              <w:rPr>
                <w:szCs w:val="24"/>
              </w:rPr>
            </w:pPr>
            <w:r>
              <w:rPr>
                <w:szCs w:val="24"/>
              </w:rPr>
              <w:t>une bonification des opérations en fonction de leur caractère structurant, notamment accompagnement des équipements prioritaires pour c</w:t>
            </w:r>
            <w:r>
              <w:rPr>
                <w:szCs w:val="24"/>
              </w:rPr>
              <w:t>haque filière de production.</w:t>
            </w:r>
          </w:p>
          <w:p w:rsidR="0035701C" w:rsidRDefault="00FB561B">
            <w:pPr>
              <w:spacing w:before="240" w:after="240"/>
              <w:jc w:val="left"/>
              <w:rPr>
                <w:szCs w:val="24"/>
              </w:rPr>
            </w:pPr>
            <w:r>
              <w:rPr>
                <w:szCs w:val="24"/>
              </w:rPr>
              <w:t>Les principaux secteurs ciblés sont l'ensemble des filières :</w:t>
            </w:r>
          </w:p>
          <w:p w:rsidR="0035701C" w:rsidRDefault="00FB561B" w:rsidP="00FB561B">
            <w:pPr>
              <w:numPr>
                <w:ilvl w:val="0"/>
                <w:numId w:val="306"/>
              </w:numPr>
              <w:spacing w:before="240" w:after="0"/>
              <w:ind w:hanging="210"/>
              <w:jc w:val="left"/>
              <w:rPr>
                <w:szCs w:val="24"/>
              </w:rPr>
            </w:pPr>
            <w:r>
              <w:rPr>
                <w:szCs w:val="24"/>
              </w:rPr>
              <w:t>les filières végétales : Agrumes-kiwi, Amandes, Fruits d'été, Maraichage, Noisette, Castaneicole, Oléicole, Viticole, PPAM, Céréales, Fourrage,</w:t>
            </w:r>
          </w:p>
          <w:p w:rsidR="0035701C" w:rsidRDefault="00FB561B" w:rsidP="00FB561B">
            <w:pPr>
              <w:numPr>
                <w:ilvl w:val="0"/>
                <w:numId w:val="306"/>
              </w:numPr>
              <w:spacing w:before="0" w:after="240"/>
              <w:ind w:hanging="210"/>
              <w:jc w:val="left"/>
              <w:rPr>
                <w:szCs w:val="24"/>
              </w:rPr>
            </w:pPr>
            <w:r>
              <w:rPr>
                <w:szCs w:val="24"/>
              </w:rPr>
              <w:t>les filières animales</w:t>
            </w:r>
            <w:r>
              <w:rPr>
                <w:szCs w:val="24"/>
              </w:rPr>
              <w:t> : Bovin, Ovin/caprin, Equin, Porcin, Apicole.</w:t>
            </w:r>
          </w:p>
          <w:p w:rsidR="0035701C" w:rsidRDefault="0035701C">
            <w:pPr>
              <w:pStyle w:val="Corpsdetexte"/>
            </w:pPr>
          </w:p>
        </w:tc>
      </w:tr>
    </w:tbl>
    <w:p w:rsidR="0035701C" w:rsidRDefault="00FB561B">
      <w:r>
        <w:t>Liste des nouvelles exigences imposées par la législation de l’Union dont le respect permet l'octroi d'une aide en vertu de l’article 17, paragraphe 6,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S'il y a lieu, </w:t>
      </w:r>
      <w:r>
        <w:t>normes minimales en matière d’efficacité énergétique visées à l’article 13, point c),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S'il y a lieu, définition des valeurs seuils visées à l’article 13, point e),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br w:type="page"/>
        <w:t>4.1.3 -</w:t>
      </w:r>
      <w:r>
        <w:rPr>
          <w:b w:val="0"/>
        </w:rPr>
        <w:t xml:space="preserve"> Amélioration de la gestion des ressources pastorales et traditionnelles, et prévention des incendies</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307"/>
              </w:numPr>
            </w:pPr>
            <w:r>
              <w:t>4.1 – Aide aux investissements dans les exploitations agricoles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u w:val="single"/>
              </w:rPr>
              <w:t>Objectifs</w:t>
            </w:r>
          </w:p>
          <w:p w:rsidR="0035701C" w:rsidRDefault="00FB561B">
            <w:pPr>
              <w:spacing w:before="240" w:after="240"/>
              <w:jc w:val="left"/>
              <w:rPr>
                <w:szCs w:val="24"/>
              </w:rPr>
            </w:pPr>
            <w:r>
              <w:rPr>
                <w:szCs w:val="24"/>
              </w:rPr>
              <w:t xml:space="preserve">Ce type d'opération  est ciblé </w:t>
            </w:r>
            <w:r>
              <w:rPr>
                <w:szCs w:val="24"/>
              </w:rPr>
              <w:t>sur le domaine prioritaire 4a) en répondant spécifiquement aux besoins identifiés dans la logique d'intervention qui sont ciblés sur la P4 et qui concernent les exploitations agricole  :</w:t>
            </w:r>
          </w:p>
          <w:p w:rsidR="0035701C" w:rsidRDefault="00FB561B" w:rsidP="00FB561B">
            <w:pPr>
              <w:numPr>
                <w:ilvl w:val="0"/>
                <w:numId w:val="308"/>
              </w:numPr>
              <w:spacing w:before="240" w:after="0"/>
              <w:ind w:hanging="210"/>
              <w:jc w:val="left"/>
              <w:rPr>
                <w:szCs w:val="24"/>
              </w:rPr>
            </w:pPr>
            <w:r>
              <w:rPr>
                <w:szCs w:val="24"/>
              </w:rPr>
              <w:t>02-Mobiliser le foncier agricole, forestier et rural (P4 C)</w:t>
            </w:r>
          </w:p>
          <w:p w:rsidR="0035701C" w:rsidRDefault="00FB561B" w:rsidP="00FB561B">
            <w:pPr>
              <w:numPr>
                <w:ilvl w:val="0"/>
                <w:numId w:val="308"/>
              </w:numPr>
              <w:spacing w:before="0" w:after="0"/>
              <w:ind w:hanging="210"/>
              <w:jc w:val="left"/>
              <w:rPr>
                <w:szCs w:val="24"/>
              </w:rPr>
            </w:pPr>
            <w:r>
              <w:rPr>
                <w:szCs w:val="24"/>
              </w:rPr>
              <w:t>13-Encour</w:t>
            </w:r>
            <w:r>
              <w:rPr>
                <w:szCs w:val="24"/>
              </w:rPr>
              <w:t xml:space="preserve">ager la restructuration des unités d’élevage et favoriser la reconquête et la </w:t>
            </w:r>
            <w:r>
              <w:rPr>
                <w:szCs w:val="24"/>
                <w:u w:val="single"/>
              </w:rPr>
              <w:t>gestion des parcours pastoraux</w:t>
            </w:r>
            <w:r>
              <w:rPr>
                <w:szCs w:val="24"/>
              </w:rPr>
              <w:t xml:space="preserve"> (P4 C)</w:t>
            </w:r>
          </w:p>
          <w:p w:rsidR="0035701C" w:rsidRDefault="00FB561B" w:rsidP="00FB561B">
            <w:pPr>
              <w:numPr>
                <w:ilvl w:val="0"/>
                <w:numId w:val="308"/>
              </w:numPr>
              <w:spacing w:before="0" w:after="0"/>
              <w:ind w:hanging="210"/>
              <w:jc w:val="left"/>
              <w:rPr>
                <w:szCs w:val="24"/>
              </w:rPr>
            </w:pPr>
            <w:r>
              <w:rPr>
                <w:szCs w:val="24"/>
              </w:rPr>
              <w:t xml:space="preserve">16-Accroître la contribution de l’agriculture à la valorisation du patrimoine naturel, au </w:t>
            </w:r>
            <w:r>
              <w:rPr>
                <w:szCs w:val="24"/>
                <w:u w:val="single"/>
              </w:rPr>
              <w:t>maintien de la biodiversité</w:t>
            </w:r>
            <w:r>
              <w:rPr>
                <w:szCs w:val="24"/>
              </w:rPr>
              <w:t xml:space="preserve"> (P4 ABC)</w:t>
            </w:r>
          </w:p>
          <w:p w:rsidR="0035701C" w:rsidRDefault="00FB561B" w:rsidP="00FB561B">
            <w:pPr>
              <w:numPr>
                <w:ilvl w:val="0"/>
                <w:numId w:val="308"/>
              </w:numPr>
              <w:spacing w:before="0" w:after="0"/>
              <w:ind w:hanging="210"/>
              <w:jc w:val="left"/>
              <w:rPr>
                <w:szCs w:val="24"/>
              </w:rPr>
            </w:pPr>
            <w:r>
              <w:rPr>
                <w:szCs w:val="24"/>
              </w:rPr>
              <w:t xml:space="preserve">32-Préserver le bon état de l'environnement, assurer le renouvellement des ressources naturelles et </w:t>
            </w:r>
            <w:r>
              <w:rPr>
                <w:szCs w:val="24"/>
                <w:u w:val="single"/>
              </w:rPr>
              <w:t>prévenir le risque incendie</w:t>
            </w:r>
            <w:r>
              <w:rPr>
                <w:szCs w:val="24"/>
              </w:rPr>
              <w:t xml:space="preserve"> (P4 ABC)</w:t>
            </w:r>
          </w:p>
          <w:p w:rsidR="0035701C" w:rsidRDefault="00FB561B" w:rsidP="00FB561B">
            <w:pPr>
              <w:numPr>
                <w:ilvl w:val="0"/>
                <w:numId w:val="308"/>
              </w:numPr>
              <w:spacing w:before="0" w:after="240"/>
              <w:ind w:hanging="210"/>
              <w:jc w:val="left"/>
              <w:rPr>
                <w:szCs w:val="24"/>
              </w:rPr>
            </w:pPr>
            <w:r>
              <w:rPr>
                <w:szCs w:val="24"/>
              </w:rPr>
              <w:t>14-Pérenniser l'</w:t>
            </w:r>
            <w:r>
              <w:rPr>
                <w:szCs w:val="24"/>
                <w:u w:val="single"/>
              </w:rPr>
              <w:t xml:space="preserve">arboriculture </w:t>
            </w:r>
            <w:r>
              <w:rPr>
                <w:szCs w:val="24"/>
              </w:rPr>
              <w:t>et développer les cultures pérennes (P4 C).</w:t>
            </w:r>
          </w:p>
          <w:p w:rsidR="0035701C" w:rsidRDefault="00FB561B">
            <w:pPr>
              <w:spacing w:before="240" w:after="240"/>
              <w:jc w:val="left"/>
              <w:rPr>
                <w:szCs w:val="24"/>
              </w:rPr>
            </w:pPr>
            <w:r>
              <w:rPr>
                <w:szCs w:val="24"/>
              </w:rPr>
              <w:t xml:space="preserve">En outre ce type d'opération s'inscrit dans </w:t>
            </w:r>
            <w:r>
              <w:rPr>
                <w:szCs w:val="24"/>
              </w:rPr>
              <w:t>la logique de relance à partir de 2021 pour des objectifs qui visent à faire face aux conséquences de la crise liée à la COVID 19.</w:t>
            </w:r>
          </w:p>
          <w:p w:rsidR="0035701C" w:rsidRDefault="00FB561B">
            <w:pPr>
              <w:spacing w:before="240" w:after="240"/>
              <w:jc w:val="left"/>
              <w:rPr>
                <w:szCs w:val="24"/>
              </w:rPr>
            </w:pPr>
            <w:r>
              <w:rPr>
                <w:szCs w:val="24"/>
              </w:rPr>
              <w:t>Ces difficultés ont été à la fois :</w:t>
            </w:r>
          </w:p>
          <w:p w:rsidR="0035701C" w:rsidRDefault="00FB561B" w:rsidP="00FB561B">
            <w:pPr>
              <w:numPr>
                <w:ilvl w:val="0"/>
                <w:numId w:val="309"/>
              </w:numPr>
              <w:spacing w:before="240" w:after="0"/>
              <w:ind w:hanging="210"/>
              <w:jc w:val="left"/>
              <w:rPr>
                <w:szCs w:val="24"/>
              </w:rPr>
            </w:pPr>
            <w:r>
              <w:rPr>
                <w:szCs w:val="24"/>
              </w:rPr>
              <w:t>économiques avec une perte de vente dans une région très touristique qui permet de valori</w:t>
            </w:r>
            <w:r>
              <w:rPr>
                <w:szCs w:val="24"/>
              </w:rPr>
              <w:t>ser la typicité de ces productions dont certaines bénéficient de SIQO,</w:t>
            </w:r>
          </w:p>
          <w:p w:rsidR="0035701C" w:rsidRDefault="00FB561B" w:rsidP="00FB561B">
            <w:pPr>
              <w:numPr>
                <w:ilvl w:val="0"/>
                <w:numId w:val="309"/>
              </w:numPr>
              <w:spacing w:before="0" w:after="240"/>
              <w:ind w:hanging="210"/>
              <w:jc w:val="left"/>
              <w:rPr>
                <w:szCs w:val="24"/>
              </w:rPr>
            </w:pPr>
            <w:r>
              <w:rPr>
                <w:szCs w:val="24"/>
              </w:rPr>
              <w:t>et pratiques dans la mesure où la crise a engendré des défauts ou retards d'intervention sur l'entretien ou la gestion des terrains en montagne.</w:t>
            </w:r>
          </w:p>
          <w:p w:rsidR="0035701C" w:rsidRDefault="00FB561B">
            <w:pPr>
              <w:spacing w:before="240" w:after="240"/>
              <w:jc w:val="left"/>
              <w:rPr>
                <w:szCs w:val="24"/>
              </w:rPr>
            </w:pPr>
            <w:r>
              <w:rPr>
                <w:szCs w:val="24"/>
              </w:rPr>
              <w:t>Ainsi pour avoir un effet sur ces problé</w:t>
            </w:r>
            <w:r>
              <w:rPr>
                <w:szCs w:val="24"/>
              </w:rPr>
              <w:t>matiques et soutenir ces filières traditionnelles à faible degré d'intensification (pas de système de stabulation en Corse, faible niveau de chargement à l'ha), dont les pratiques extensives ont un impact positif sur l'environnement, le type d'opération 4.</w:t>
            </w:r>
            <w:r>
              <w:rPr>
                <w:szCs w:val="24"/>
              </w:rPr>
              <w:t>1.3 bénéficie des fonds "relance" (EURI) prioritairement à destination des ainés, mais également des fonds FEADER prioritairement à destination des Jeunes agriculteurs.</w:t>
            </w:r>
          </w:p>
          <w:p w:rsidR="0035701C" w:rsidRDefault="00FB561B">
            <w:pPr>
              <w:spacing w:before="240" w:after="240"/>
              <w:jc w:val="left"/>
              <w:rPr>
                <w:szCs w:val="24"/>
              </w:rPr>
            </w:pPr>
            <w:r>
              <w:rPr>
                <w:szCs w:val="24"/>
              </w:rPr>
              <w:t>2 volets d'intervention sont concernés :</w:t>
            </w:r>
          </w:p>
          <w:p w:rsidR="0035701C" w:rsidRDefault="00FB561B">
            <w:pPr>
              <w:spacing w:before="240" w:after="240"/>
              <w:jc w:val="left"/>
              <w:rPr>
                <w:szCs w:val="24"/>
              </w:rPr>
            </w:pPr>
            <w:r>
              <w:rPr>
                <w:i/>
                <w:iCs/>
                <w:szCs w:val="24"/>
              </w:rPr>
              <w:t>a- Contribution du pastoralisme au maintien de</w:t>
            </w:r>
            <w:r>
              <w:rPr>
                <w:i/>
                <w:iCs/>
                <w:szCs w:val="24"/>
              </w:rPr>
              <w:t xml:space="preserve"> la biodiversité et des paysages, et à la prévention des incendies</w:t>
            </w:r>
          </w:p>
          <w:p w:rsidR="0035701C" w:rsidRDefault="00FB561B">
            <w:pPr>
              <w:spacing w:before="240" w:after="240"/>
              <w:jc w:val="left"/>
              <w:rPr>
                <w:szCs w:val="24"/>
              </w:rPr>
            </w:pPr>
            <w:r>
              <w:rPr>
                <w:szCs w:val="24"/>
              </w:rPr>
              <w:t>L’analyse AFOM du PDRC révèle que la superficie agricole utilisée (SAU) représente 180 000 ha (IC18) soit environ 20% de la surface de la Corse. Plus de 85% de la SAU sont constitués de pra</w:t>
            </w:r>
            <w:r>
              <w:rPr>
                <w:szCs w:val="24"/>
              </w:rPr>
              <w:t>iries et pâturages permanents, environ 8% en cultures pérennes et 6% en terres arables.</w:t>
            </w:r>
          </w:p>
          <w:p w:rsidR="0035701C" w:rsidRDefault="00FB561B">
            <w:pPr>
              <w:spacing w:before="240" w:after="240"/>
              <w:jc w:val="left"/>
              <w:rPr>
                <w:szCs w:val="24"/>
              </w:rPr>
            </w:pPr>
            <w:r>
              <w:rPr>
                <w:szCs w:val="24"/>
              </w:rPr>
              <w:t>Outre la part de surfaces en prairies, ces pâturages permanents sont constitués majoritairement de "parcours ligneux" utilisés traditionnellement par les troupeaux et c</w:t>
            </w:r>
            <w:r>
              <w:rPr>
                <w:szCs w:val="24"/>
              </w:rPr>
              <w:t>omprenant la présence plus ou moins abondante de plantes ligneuses. Ils se caractérisent ainsi par une utilisation de la ressource naturelle spontanée, sur des surfaces très importantes et sur tous types de couvert (estive, prairie, landes, parcours, chêna</w:t>
            </w:r>
            <w:r>
              <w:rPr>
                <w:szCs w:val="24"/>
              </w:rPr>
              <w:t>ies en prébois, châtaigneraie…).</w:t>
            </w:r>
          </w:p>
          <w:p w:rsidR="0035701C" w:rsidRDefault="00FB561B">
            <w:pPr>
              <w:spacing w:before="240" w:after="240"/>
              <w:jc w:val="left"/>
              <w:rPr>
                <w:szCs w:val="24"/>
              </w:rPr>
            </w:pPr>
            <w:r>
              <w:rPr>
                <w:szCs w:val="24"/>
              </w:rPr>
              <w:t>Néanmoins la réduction des élevages en zone de montagne initiée depuis plusieurs décennies et la baisse du chargement en animaux ne permet plus de contenir la fermeture des milieux. Ainsi le maintien de ces élevages extensi</w:t>
            </w:r>
            <w:r>
              <w:rPr>
                <w:szCs w:val="24"/>
              </w:rPr>
              <w:t>fs en montagne permet de lutter contre cette déprise et la fermeture du paysage.</w:t>
            </w:r>
          </w:p>
          <w:p w:rsidR="0035701C" w:rsidRDefault="00FB561B">
            <w:pPr>
              <w:spacing w:before="240" w:after="240"/>
              <w:jc w:val="left"/>
              <w:rPr>
                <w:szCs w:val="24"/>
              </w:rPr>
            </w:pPr>
            <w:r>
              <w:rPr>
                <w:szCs w:val="24"/>
              </w:rPr>
              <w:t>Sur le plan physionomique et fonctionnel, l’uniformisation et la fermeture de ces milieux pâturés et de la mosaïque qu’ils forment au niveau des paysages se traduit par une mo</w:t>
            </w:r>
            <w:r>
              <w:rPr>
                <w:szCs w:val="24"/>
              </w:rPr>
              <w:t>indre diversité spécifique des milieux, et entraine un risque de perte de biodiversité faunistique (notamment faune avicole liée aux milieux ouverts et en lien avec le bétail) et floristique (cortèges des espèces inféodées aux milieux ouverts et pâturés).</w:t>
            </w:r>
          </w:p>
          <w:p w:rsidR="0035701C" w:rsidRDefault="00FB561B">
            <w:pPr>
              <w:spacing w:before="240" w:after="240"/>
              <w:jc w:val="left"/>
              <w:rPr>
                <w:szCs w:val="24"/>
              </w:rPr>
            </w:pPr>
            <w:r>
              <w:rPr>
                <w:szCs w:val="24"/>
              </w:rPr>
              <w:t>Au titre des menaces de l’AFOM il est également indiqué que cette fermeture des milieux dans une région qui est d’ores et déjà la région la plus boisée de France, entraine également un risque d’incendie qui se généralise sur l’ensemble du territoire. A cet</w:t>
            </w:r>
            <w:r>
              <w:rPr>
                <w:szCs w:val="24"/>
              </w:rPr>
              <w:t xml:space="preserve"> égard il faut noter l’évolution du régime d’incendies qui tend à voir le nombre de foyers d’incendies de petites tailles se réduire, avec à contrario l’émergence de phénomène de grands feux survenant par grands vents, voire durant la période hivernale, av</w:t>
            </w:r>
            <w:r>
              <w:rPr>
                <w:szCs w:val="24"/>
              </w:rPr>
              <w:t>ec un risque de destruction d’espèces et de milieux bien plus dévastateur qu’auparavant.</w:t>
            </w:r>
          </w:p>
          <w:p w:rsidR="0035701C" w:rsidRDefault="00FB561B">
            <w:pPr>
              <w:spacing w:before="240" w:after="240"/>
              <w:jc w:val="left"/>
              <w:rPr>
                <w:szCs w:val="24"/>
              </w:rPr>
            </w:pPr>
            <w:r>
              <w:rPr>
                <w:szCs w:val="24"/>
              </w:rPr>
              <w:t>Le diagnostic note enfin, parmi les faiblesses, que les revenus agricoles faibles et surtout les difficultés physiques et matérielles liées aux conditions de travail d</w:t>
            </w:r>
            <w:r>
              <w:rPr>
                <w:szCs w:val="24"/>
              </w:rPr>
              <w:t>ans ces systèmes agropastoraux dans les zones de montagne, expliquent en partie la déprise pastorale, ce qui entraine un effet négatif sur le maintien des espaces naturels et la protection de la biodiversité.</w:t>
            </w:r>
          </w:p>
          <w:p w:rsidR="0035701C" w:rsidRDefault="00FB561B">
            <w:pPr>
              <w:spacing w:before="240" w:after="240"/>
              <w:jc w:val="left"/>
              <w:rPr>
                <w:szCs w:val="24"/>
              </w:rPr>
            </w:pPr>
            <w:r>
              <w:rPr>
                <w:szCs w:val="24"/>
              </w:rPr>
              <w:t>Enfin sur le plan environnemental le diagnostic</w:t>
            </w:r>
            <w:r>
              <w:rPr>
                <w:szCs w:val="24"/>
              </w:rPr>
              <w:t xml:space="preserve"> note l'impact négatif du transport de fourrage à destination des élevages insulaires qui pâtissent d'un manque d'autonomie fourragère et protéïque.</w:t>
            </w:r>
          </w:p>
          <w:p w:rsidR="0035701C" w:rsidRDefault="00FB561B">
            <w:pPr>
              <w:spacing w:before="240" w:after="240"/>
              <w:jc w:val="left"/>
              <w:rPr>
                <w:szCs w:val="24"/>
              </w:rPr>
            </w:pPr>
            <w:r>
              <w:rPr>
                <w:i/>
                <w:iCs/>
                <w:szCs w:val="24"/>
              </w:rPr>
              <w:t>b- Intérêt environnemental du maintien des vergers traditionnels de montagne</w:t>
            </w:r>
          </w:p>
          <w:p w:rsidR="0035701C" w:rsidRDefault="00FB561B">
            <w:pPr>
              <w:spacing w:before="240" w:after="240"/>
              <w:jc w:val="left"/>
              <w:rPr>
                <w:szCs w:val="24"/>
              </w:rPr>
            </w:pPr>
            <w:r>
              <w:rPr>
                <w:szCs w:val="24"/>
              </w:rPr>
              <w:t>Les vergers traditionnels de m</w:t>
            </w:r>
            <w:r>
              <w:rPr>
                <w:szCs w:val="24"/>
              </w:rPr>
              <w:t>ontagne correspondent aux plantations anciennes d'oliviers et de châtaigniers conduits en faible densité (autour de 100 arbres à l'ha), dans les zones pentues de montagne et parfois aux abords immédiats des villages, et la plupart du temps sur des terrasse</w:t>
            </w:r>
            <w:r>
              <w:rPr>
                <w:szCs w:val="24"/>
              </w:rPr>
              <w:t>s anthropiques constituées de murs en pierre retenant la terre ; il s'agit d'arbres de taille importante (jusqu'à 8m d'envergure et de hauteur pour les oliviers, et jusq'à 20m pour les châtaigniers), ce qui différencie ces vergers traditionnels de l'arbori</w:t>
            </w:r>
            <w:r>
              <w:rPr>
                <w:szCs w:val="24"/>
              </w:rPr>
              <w:t>culture de plaine à forte densité et à perennité nettement plus faible, dans les périmètres irrigués.</w:t>
            </w:r>
          </w:p>
          <w:p w:rsidR="0035701C" w:rsidRDefault="00FB561B">
            <w:pPr>
              <w:spacing w:before="240" w:after="240"/>
              <w:jc w:val="left"/>
              <w:rPr>
                <w:szCs w:val="24"/>
              </w:rPr>
            </w:pPr>
            <w:r>
              <w:rPr>
                <w:szCs w:val="24"/>
              </w:rPr>
              <w:t>Ces vergers dont la plus grande partie a été abandonnée au cours du siècle dernier représentent des biotopes et des paysages emblématiques de certaines mi</w:t>
            </w:r>
            <w:r>
              <w:rPr>
                <w:szCs w:val="24"/>
              </w:rPr>
              <w:t>cro-régions. Le défaut de réhabilitation de ces parcelles entraine outre la dégradation des milieux et la senescence de ces peuplements, un risque importants d'incendies, dont certains interviennent désormais également l'hiver.</w:t>
            </w:r>
          </w:p>
          <w:p w:rsidR="0035701C" w:rsidRDefault="00FB561B">
            <w:pPr>
              <w:spacing w:before="240" w:after="240"/>
              <w:jc w:val="left"/>
              <w:rPr>
                <w:szCs w:val="24"/>
              </w:rPr>
            </w:pPr>
            <w:r>
              <w:rPr>
                <w:szCs w:val="24"/>
              </w:rPr>
              <w:t>Là encore le diagnostic note</w:t>
            </w:r>
            <w:r>
              <w:rPr>
                <w:szCs w:val="24"/>
              </w:rPr>
              <w:t xml:space="preserve"> que les revenus agricoles faibles et surtout les difficultés physiques et matérielles liées aux conditions de travail dans la conduite de ces vergers traditionnels dans les zones en montagne, expliquent leur abandon, ce qui entraine un effet négatif sur l</w:t>
            </w:r>
            <w:r>
              <w:rPr>
                <w:szCs w:val="24"/>
              </w:rPr>
              <w:t>e maintien de la mosaïque des paysages, des risques accrus par rapport au problème d'incendies et potentiellement un recul de la biodiversité.</w:t>
            </w:r>
          </w:p>
          <w:p w:rsidR="0035701C" w:rsidRDefault="00FB561B">
            <w:pPr>
              <w:spacing w:before="240" w:after="240"/>
              <w:jc w:val="left"/>
              <w:rPr>
                <w:szCs w:val="24"/>
              </w:rPr>
            </w:pPr>
            <w:r>
              <w:rPr>
                <w:b/>
                <w:bCs/>
                <w:szCs w:val="24"/>
                <w:u w:val="single"/>
              </w:rPr>
              <w:t>Interventions</w:t>
            </w:r>
          </w:p>
          <w:p w:rsidR="0035701C" w:rsidRDefault="00FB561B">
            <w:pPr>
              <w:spacing w:before="240" w:after="240"/>
              <w:jc w:val="left"/>
              <w:rPr>
                <w:szCs w:val="24"/>
              </w:rPr>
            </w:pPr>
            <w:r>
              <w:rPr>
                <w:szCs w:val="24"/>
              </w:rPr>
              <w:t>Ces opérations portent spécifiquement sur :</w:t>
            </w:r>
          </w:p>
          <w:p w:rsidR="0035701C" w:rsidRDefault="00FB561B">
            <w:pPr>
              <w:spacing w:before="240" w:after="240"/>
              <w:jc w:val="left"/>
              <w:rPr>
                <w:szCs w:val="24"/>
              </w:rPr>
            </w:pPr>
            <w:r>
              <w:rPr>
                <w:szCs w:val="24"/>
              </w:rPr>
              <w:t>a - Volet pastoral :</w:t>
            </w:r>
          </w:p>
          <w:p w:rsidR="0035701C" w:rsidRDefault="00FB561B">
            <w:pPr>
              <w:spacing w:before="240" w:after="240"/>
              <w:jc w:val="left"/>
              <w:rPr>
                <w:szCs w:val="24"/>
              </w:rPr>
            </w:pPr>
            <w:r>
              <w:rPr>
                <w:szCs w:val="24"/>
              </w:rPr>
              <w:t xml:space="preserve">Il s'agit ainsi, par le soutien à </w:t>
            </w:r>
            <w:r>
              <w:rPr>
                <w:szCs w:val="24"/>
              </w:rPr>
              <w:t>des investissements, de procurer les moyens aux exploitations pastorales pour intervenir dans une gestion pastorale raisonnée des parcours herbacés et ligneux, dans un but de conservation de la mosaïque des paysages, de prévention des incendies et de maint</w:t>
            </w:r>
            <w:r>
              <w:rPr>
                <w:szCs w:val="24"/>
              </w:rPr>
              <w:t>ien de la biodiversité.</w:t>
            </w:r>
          </w:p>
          <w:p w:rsidR="0035701C" w:rsidRDefault="00FB561B" w:rsidP="00FB561B">
            <w:pPr>
              <w:numPr>
                <w:ilvl w:val="0"/>
                <w:numId w:val="310"/>
              </w:numPr>
              <w:spacing w:before="240" w:after="0"/>
              <w:ind w:hanging="210"/>
              <w:jc w:val="left"/>
              <w:rPr>
                <w:szCs w:val="24"/>
              </w:rPr>
            </w:pPr>
            <w:r>
              <w:rPr>
                <w:szCs w:val="24"/>
              </w:rPr>
              <w:t>les travaux de qualification des parcours d’élevage et des prébois (débroussaillement, cloisonnement, layonnage), en dehors des travaux d'entretien des parcelles ou de leur mise en culture.</w:t>
            </w:r>
          </w:p>
          <w:p w:rsidR="0035701C" w:rsidRDefault="00FB561B" w:rsidP="00FB561B">
            <w:pPr>
              <w:numPr>
                <w:ilvl w:val="0"/>
                <w:numId w:val="310"/>
              </w:numPr>
              <w:spacing w:before="0" w:after="0"/>
              <w:ind w:hanging="210"/>
              <w:jc w:val="left"/>
              <w:rPr>
                <w:szCs w:val="24"/>
              </w:rPr>
            </w:pPr>
            <w:r>
              <w:rPr>
                <w:szCs w:val="24"/>
              </w:rPr>
              <w:t>la protection des parcelles en herbe const</w:t>
            </w:r>
            <w:r>
              <w:rPr>
                <w:szCs w:val="24"/>
              </w:rPr>
              <w:t>ituant les prairies.</w:t>
            </w:r>
          </w:p>
          <w:p w:rsidR="0035701C" w:rsidRDefault="00FB561B" w:rsidP="00FB561B">
            <w:pPr>
              <w:numPr>
                <w:ilvl w:val="0"/>
                <w:numId w:val="310"/>
              </w:numPr>
              <w:spacing w:before="0" w:after="0"/>
              <w:ind w:hanging="210"/>
              <w:jc w:val="left"/>
              <w:rPr>
                <w:szCs w:val="24"/>
              </w:rPr>
            </w:pPr>
            <w:r>
              <w:rPr>
                <w:szCs w:val="24"/>
              </w:rPr>
              <w:t>l'implantation de nouvelles surfaces protéïques pérennes.</w:t>
            </w:r>
          </w:p>
          <w:p w:rsidR="0035701C" w:rsidRDefault="00FB561B" w:rsidP="00FB561B">
            <w:pPr>
              <w:numPr>
                <w:ilvl w:val="0"/>
                <w:numId w:val="310"/>
              </w:numPr>
              <w:spacing w:before="0" w:after="0"/>
              <w:ind w:hanging="210"/>
              <w:jc w:val="left"/>
              <w:rPr>
                <w:szCs w:val="24"/>
              </w:rPr>
            </w:pPr>
            <w:r>
              <w:rPr>
                <w:szCs w:val="24"/>
              </w:rPr>
              <w:t>les équipements non-productifs de biosécurité sanitaire nécessaires au maintien des élevages.</w:t>
            </w:r>
          </w:p>
          <w:p w:rsidR="0035701C" w:rsidRDefault="00FB561B" w:rsidP="00FB561B">
            <w:pPr>
              <w:numPr>
                <w:ilvl w:val="0"/>
                <w:numId w:val="310"/>
              </w:numPr>
              <w:spacing w:before="0" w:after="0"/>
              <w:ind w:hanging="210"/>
              <w:jc w:val="left"/>
              <w:rPr>
                <w:szCs w:val="24"/>
              </w:rPr>
            </w:pPr>
            <w:r>
              <w:rPr>
                <w:szCs w:val="24"/>
              </w:rPr>
              <w:t xml:space="preserve">l’ensemble des travaux et équipements connexes pour les parcelles (portails et les </w:t>
            </w:r>
            <w:r>
              <w:rPr>
                <w:szCs w:val="24"/>
              </w:rPr>
              <w:t>accès aux parcelles sur le parcellaire de l’exploitation...) ou pour le bétail (équipement d'abreuvement, d'affourragement…etc).</w:t>
            </w:r>
          </w:p>
          <w:p w:rsidR="0035701C" w:rsidRDefault="00FB561B" w:rsidP="00FB561B">
            <w:pPr>
              <w:numPr>
                <w:ilvl w:val="0"/>
                <w:numId w:val="310"/>
              </w:numPr>
              <w:spacing w:before="0" w:after="0"/>
              <w:ind w:hanging="210"/>
              <w:jc w:val="left"/>
              <w:rPr>
                <w:szCs w:val="24"/>
              </w:rPr>
            </w:pPr>
            <w:r>
              <w:rPr>
                <w:szCs w:val="24"/>
              </w:rPr>
              <w:t>les investissements matériels dédiés à l'ouverture et à l'entretien des milieux (matériel adapté au travail en zone de montagne</w:t>
            </w:r>
            <w:r>
              <w:rPr>
                <w:szCs w:val="24"/>
              </w:rPr>
              <w:t xml:space="preserve"> et en pente, y compris matériel auto-moteur et outils de broyage), ainsi que les matériels de semis sans travail du sol qui permettent d'enrichir les milieux et de perenniser l'opération sans risque d'érosion.</w:t>
            </w:r>
          </w:p>
          <w:p w:rsidR="0035701C" w:rsidRDefault="00FB561B" w:rsidP="00FB561B">
            <w:pPr>
              <w:numPr>
                <w:ilvl w:val="0"/>
                <w:numId w:val="310"/>
              </w:numPr>
              <w:spacing w:before="0" w:after="240"/>
              <w:ind w:hanging="210"/>
              <w:jc w:val="left"/>
              <w:rPr>
                <w:szCs w:val="24"/>
              </w:rPr>
            </w:pPr>
            <w:r>
              <w:rPr>
                <w:szCs w:val="24"/>
              </w:rPr>
              <w:t>les interventions non-productives en faveur d</w:t>
            </w:r>
            <w:r>
              <w:rPr>
                <w:szCs w:val="24"/>
              </w:rPr>
              <w:t>e la restauration de la biodiversité et de la protection de certains milieux et de leur fonctionnalité écologique (notamment les zones humides et habitats spécifiques, la continuité des trames écologiques vertes et bleues ). Le financement de cette dernièr</w:t>
            </w:r>
            <w:r>
              <w:rPr>
                <w:szCs w:val="24"/>
              </w:rPr>
              <w:t>e catégorie d'opérations doit s’articuler avec la réalisation d'un diagnostic écologique préalable finançable par cette mesure.</w:t>
            </w:r>
          </w:p>
          <w:p w:rsidR="0035701C" w:rsidRDefault="00FB561B">
            <w:pPr>
              <w:spacing w:before="240" w:after="240"/>
              <w:jc w:val="left"/>
              <w:rPr>
                <w:szCs w:val="24"/>
              </w:rPr>
            </w:pPr>
            <w:r>
              <w:rPr>
                <w:szCs w:val="24"/>
              </w:rPr>
              <w:t>Lorsque ces investissements portent sur des travaux, le financement des opérations doit s’articuler avec les diagnostics pastora</w:t>
            </w:r>
            <w:r>
              <w:rPr>
                <w:szCs w:val="24"/>
              </w:rPr>
              <w:t>ux, dans le respect des enjeux environnementaux identifiés sur le territoire de l'exploitation</w:t>
            </w:r>
          </w:p>
          <w:p w:rsidR="0035701C" w:rsidRDefault="00FB561B">
            <w:pPr>
              <w:spacing w:before="240" w:after="240"/>
              <w:jc w:val="left"/>
              <w:rPr>
                <w:szCs w:val="24"/>
              </w:rPr>
            </w:pPr>
            <w:r>
              <w:rPr>
                <w:szCs w:val="24"/>
              </w:rPr>
              <w:t>b - Volet arboriculture traditionnelle (châtaigniers, oliviers) :</w:t>
            </w:r>
          </w:p>
          <w:p w:rsidR="0035701C" w:rsidRDefault="00FB561B">
            <w:pPr>
              <w:spacing w:before="240" w:after="240"/>
              <w:jc w:val="left"/>
              <w:rPr>
                <w:szCs w:val="24"/>
              </w:rPr>
            </w:pPr>
            <w:r>
              <w:rPr>
                <w:szCs w:val="24"/>
              </w:rPr>
              <w:t>Il s'agit ainsi, par le soutien à des investissements, de procurer les moyens aux exploitants d</w:t>
            </w:r>
            <w:r>
              <w:rPr>
                <w:szCs w:val="24"/>
              </w:rPr>
              <w:t>e rénover et conduire des vergers traditionnels d'oliviers et de châtaigniers en montagne, dans un but de conservation de la mosaïque des paysages, de prévention des incendies et de maintien de la biodiversité.</w:t>
            </w:r>
          </w:p>
          <w:p w:rsidR="0035701C" w:rsidRDefault="00FB561B" w:rsidP="00FB561B">
            <w:pPr>
              <w:numPr>
                <w:ilvl w:val="0"/>
                <w:numId w:val="311"/>
              </w:numPr>
              <w:spacing w:before="240" w:after="0"/>
              <w:ind w:hanging="210"/>
              <w:jc w:val="left"/>
              <w:rPr>
                <w:szCs w:val="24"/>
              </w:rPr>
            </w:pPr>
            <w:r>
              <w:rPr>
                <w:szCs w:val="24"/>
              </w:rPr>
              <w:t xml:space="preserve">les travaux de remise en état des vergers </w:t>
            </w:r>
            <w:r>
              <w:rPr>
                <w:szCs w:val="24"/>
              </w:rPr>
              <w:t>traditionnels (débroussaillement, élagage, clôtures), en dehors des travaux d'entretien des parcelles ou de leur mise en culture.</w:t>
            </w:r>
          </w:p>
          <w:p w:rsidR="0035701C" w:rsidRDefault="00FB561B" w:rsidP="00FB561B">
            <w:pPr>
              <w:numPr>
                <w:ilvl w:val="0"/>
                <w:numId w:val="311"/>
              </w:numPr>
              <w:spacing w:before="0" w:after="0"/>
              <w:ind w:hanging="210"/>
              <w:jc w:val="left"/>
              <w:rPr>
                <w:szCs w:val="24"/>
              </w:rPr>
            </w:pPr>
            <w:r>
              <w:rPr>
                <w:szCs w:val="24"/>
              </w:rPr>
              <w:t>la protection des parcelles en vergers traditionnels et les équipements connexes pour les parcelles (portails et les accès aux</w:t>
            </w:r>
            <w:r>
              <w:rPr>
                <w:szCs w:val="24"/>
              </w:rPr>
              <w:t xml:space="preserve"> parcelles sur le parcellaire de l’exploitation...).</w:t>
            </w:r>
          </w:p>
          <w:p w:rsidR="0035701C" w:rsidRDefault="00FB561B" w:rsidP="00FB561B">
            <w:pPr>
              <w:numPr>
                <w:ilvl w:val="0"/>
                <w:numId w:val="311"/>
              </w:numPr>
              <w:spacing w:before="0" w:after="0"/>
              <w:ind w:hanging="210"/>
              <w:jc w:val="left"/>
              <w:rPr>
                <w:szCs w:val="24"/>
              </w:rPr>
            </w:pPr>
            <w:r>
              <w:rPr>
                <w:szCs w:val="24"/>
              </w:rPr>
              <w:t>les investissements matériels dédiés à l'ouverture et à l'entretien des vergers (matériel adapté au travail en zone de montagne et en pente, et outils de broyage).</w:t>
            </w:r>
          </w:p>
          <w:p w:rsidR="0035701C" w:rsidRDefault="00FB561B" w:rsidP="00FB561B">
            <w:pPr>
              <w:numPr>
                <w:ilvl w:val="0"/>
                <w:numId w:val="311"/>
              </w:numPr>
              <w:spacing w:before="0" w:after="240"/>
              <w:ind w:hanging="210"/>
              <w:jc w:val="left"/>
              <w:rPr>
                <w:szCs w:val="24"/>
              </w:rPr>
            </w:pPr>
            <w:r>
              <w:rPr>
                <w:szCs w:val="24"/>
              </w:rPr>
              <w:t>les interventions non-productives en fa</w:t>
            </w:r>
            <w:r>
              <w:rPr>
                <w:szCs w:val="24"/>
              </w:rPr>
              <w:t>veur de la restauration de la biodiversité et de la protection de certains milieux et de leur fonctionnalité écologique (notamment les zones humides et habitats spécifiques, la continuité des trames écologiques vertes et bleues ). Le financement de cette d</w:t>
            </w:r>
            <w:r>
              <w:rPr>
                <w:szCs w:val="24"/>
              </w:rPr>
              <w:t>ernière catégorie d'opérations doit s’articuler avec la réalisation d'un diagnostic écologique préalable.</w:t>
            </w:r>
          </w:p>
          <w:p w:rsidR="0035701C" w:rsidRDefault="00FB561B">
            <w:pPr>
              <w:spacing w:before="240" w:after="240"/>
              <w:jc w:val="left"/>
              <w:rPr>
                <w:szCs w:val="24"/>
              </w:rPr>
            </w:pPr>
            <w:r>
              <w:rPr>
                <w:b/>
                <w:bCs/>
                <w:i/>
                <w:iCs/>
                <w:szCs w:val="24"/>
                <w:u w:val="single"/>
              </w:rPr>
              <w:t>Engagement du bénéficiaire</w:t>
            </w:r>
            <w:r>
              <w:rPr>
                <w:szCs w:val="24"/>
              </w:rPr>
              <w:t> :</w:t>
            </w:r>
          </w:p>
          <w:p w:rsidR="0035701C" w:rsidRDefault="00FB561B" w:rsidP="00FB561B">
            <w:pPr>
              <w:numPr>
                <w:ilvl w:val="0"/>
                <w:numId w:val="312"/>
              </w:numPr>
              <w:spacing w:before="240" w:after="0"/>
              <w:ind w:hanging="210"/>
              <w:jc w:val="left"/>
              <w:rPr>
                <w:szCs w:val="24"/>
              </w:rPr>
            </w:pPr>
            <w:r>
              <w:rPr>
                <w:i/>
                <w:iCs/>
                <w:szCs w:val="24"/>
              </w:rPr>
              <w:t>Engagements généraux</w:t>
            </w:r>
            <w:r>
              <w:rPr>
                <w:szCs w:val="24"/>
              </w:rPr>
              <w:t xml:space="preserve"> </w:t>
            </w:r>
          </w:p>
          <w:p w:rsidR="0035701C" w:rsidRDefault="00FB561B" w:rsidP="00FB561B">
            <w:pPr>
              <w:numPr>
                <w:ilvl w:val="1"/>
                <w:numId w:val="312"/>
              </w:numPr>
              <w:spacing w:before="0" w:after="0"/>
              <w:ind w:hanging="244"/>
              <w:jc w:val="left"/>
              <w:rPr>
                <w:szCs w:val="24"/>
              </w:rPr>
            </w:pPr>
            <w:r>
              <w:rPr>
                <w:szCs w:val="24"/>
              </w:rPr>
              <w:t>Maintenir fonctionnellement l’investissement durant 5 années à compter de la date du dernier paieme</w:t>
            </w:r>
            <w:r>
              <w:rPr>
                <w:szCs w:val="24"/>
              </w:rPr>
              <w:t>nt relatif à l'opération au bénéficiaire.</w:t>
            </w:r>
          </w:p>
          <w:p w:rsidR="0035701C" w:rsidRDefault="00FB561B" w:rsidP="00FB561B">
            <w:pPr>
              <w:numPr>
                <w:ilvl w:val="1"/>
                <w:numId w:val="312"/>
              </w:numPr>
              <w:spacing w:before="0" w:after="0"/>
              <w:ind w:hanging="244"/>
              <w:jc w:val="left"/>
              <w:rPr>
                <w:szCs w:val="24"/>
              </w:rPr>
            </w:pPr>
            <w:r>
              <w:rPr>
                <w:szCs w:val="24"/>
              </w:rPr>
              <w:t>satisfaire aux obligations de publicité FEADER ;</w:t>
            </w:r>
          </w:p>
          <w:p w:rsidR="0035701C" w:rsidRDefault="00FB561B" w:rsidP="00FB561B">
            <w:pPr>
              <w:numPr>
                <w:ilvl w:val="1"/>
                <w:numId w:val="312"/>
              </w:numPr>
              <w:spacing w:before="0" w:after="0"/>
              <w:ind w:hanging="244"/>
              <w:jc w:val="left"/>
              <w:rPr>
                <w:szCs w:val="24"/>
              </w:rPr>
            </w:pPr>
            <w:r>
              <w:rPr>
                <w:szCs w:val="24"/>
              </w:rPr>
              <w:t>informer immédiatement l'autorité de gestion de toute cessation d'activité ainsi que des modifications intervenant dans la mise en œuvre de l’opération.</w:t>
            </w:r>
          </w:p>
          <w:p w:rsidR="0035701C" w:rsidRDefault="00FB561B" w:rsidP="00FB561B">
            <w:pPr>
              <w:numPr>
                <w:ilvl w:val="1"/>
                <w:numId w:val="312"/>
              </w:numPr>
              <w:spacing w:before="0" w:after="0"/>
              <w:ind w:hanging="244"/>
              <w:jc w:val="left"/>
              <w:rPr>
                <w:szCs w:val="24"/>
              </w:rPr>
            </w:pPr>
            <w:r>
              <w:rPr>
                <w:szCs w:val="24"/>
              </w:rPr>
              <w:t>se conformer</w:t>
            </w:r>
            <w:r>
              <w:rPr>
                <w:szCs w:val="24"/>
              </w:rPr>
              <w:t xml:space="preserve"> aux obligations liées aux contrôles administratifs sur place, sur pièces, communautaire ou national, pendant la durée de l’engagement de 5 ans</w:t>
            </w:r>
          </w:p>
          <w:p w:rsidR="0035701C" w:rsidRDefault="00FB561B" w:rsidP="00FB561B">
            <w:pPr>
              <w:numPr>
                <w:ilvl w:val="0"/>
                <w:numId w:val="312"/>
              </w:numPr>
              <w:spacing w:before="0" w:after="0"/>
              <w:ind w:hanging="210"/>
              <w:jc w:val="left"/>
              <w:rPr>
                <w:szCs w:val="24"/>
              </w:rPr>
            </w:pPr>
            <w:r>
              <w:rPr>
                <w:i/>
                <w:iCs/>
                <w:szCs w:val="24"/>
              </w:rPr>
              <w:t>Engagements spécifiques à ce type d’opération</w:t>
            </w:r>
            <w:r>
              <w:rPr>
                <w:szCs w:val="24"/>
              </w:rPr>
              <w:t xml:space="preserve"> : </w:t>
            </w:r>
          </w:p>
          <w:p w:rsidR="0035701C" w:rsidRDefault="00FB561B" w:rsidP="00FB561B">
            <w:pPr>
              <w:numPr>
                <w:ilvl w:val="1"/>
                <w:numId w:val="312"/>
              </w:numPr>
              <w:spacing w:before="0" w:after="240"/>
              <w:ind w:hanging="244"/>
              <w:jc w:val="left"/>
              <w:rPr>
                <w:szCs w:val="24"/>
              </w:rPr>
            </w:pPr>
            <w:r>
              <w:rPr>
                <w:szCs w:val="24"/>
              </w:rPr>
              <w:t xml:space="preserve">Pour les opérations de travaux pastoraux, les surfaces doivent </w:t>
            </w:r>
            <w:r>
              <w:rPr>
                <w:szCs w:val="24"/>
              </w:rPr>
              <w:t>être portées à la déclaration de surface, à défaut l’exploitant devra s’engager à les faire figurer en n+1.</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versée sous forme de 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RÈGLEMENT (UE) </w:t>
            </w:r>
            <w:r>
              <w:rPr>
                <w:szCs w:val="24"/>
              </w:rPr>
              <w:t>1305/2013</w:t>
            </w:r>
          </w:p>
          <w:p w:rsidR="0035701C" w:rsidRDefault="00FB561B">
            <w:pPr>
              <w:spacing w:before="240" w:after="240"/>
              <w:jc w:val="left"/>
              <w:rPr>
                <w:szCs w:val="24"/>
              </w:rPr>
            </w:pPr>
            <w:r>
              <w:rPr>
                <w:szCs w:val="24"/>
              </w:rPr>
              <w:t>RÈGLEMENT (UE) 2020/2220 DU PARLEMENT EUROPEEN ET DU CONSEIL du 23 décembre 2020 établissant des dispositions transitoires relatives au soutien du Fonds européen agricole pour le développement rural (Feader) et du Fonds européen agricole de garan</w:t>
            </w:r>
            <w:r>
              <w:rPr>
                <w:szCs w:val="24"/>
              </w:rPr>
              <w:t xml:space="preserve">tie (FEAGA) en 2021 et 2022, et modifiant les règlements (UE) no 1305/2013, (UE) no 1306/2013 et (UE) no 1307/2013 en ce qui concerne les ressources et leur application en 2021 et 2022 et le règlement (UE) no 1308/2013 en ce qui concerne les ressources et </w:t>
            </w:r>
            <w:r>
              <w:rPr>
                <w:szCs w:val="24"/>
              </w:rPr>
              <w:t>la répartition de ce soutien pour les exercices 2021 et 2022.</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i/>
                <w:iCs/>
                <w:szCs w:val="24"/>
              </w:rPr>
              <w:t>Bénéficiaires éligibles :</w:t>
            </w:r>
          </w:p>
          <w:p w:rsidR="0035701C" w:rsidRDefault="00FB561B" w:rsidP="00FB561B">
            <w:pPr>
              <w:numPr>
                <w:ilvl w:val="0"/>
                <w:numId w:val="313"/>
              </w:numPr>
              <w:spacing w:before="240" w:after="0"/>
              <w:ind w:hanging="210"/>
              <w:jc w:val="left"/>
              <w:rPr>
                <w:szCs w:val="24"/>
              </w:rPr>
            </w:pPr>
            <w:r>
              <w:rPr>
                <w:szCs w:val="24"/>
              </w:rPr>
              <w:t xml:space="preserve">Les agriculteurs : </w:t>
            </w:r>
          </w:p>
          <w:p w:rsidR="0035701C" w:rsidRDefault="00FB561B" w:rsidP="00FB561B">
            <w:pPr>
              <w:numPr>
                <w:ilvl w:val="1"/>
                <w:numId w:val="313"/>
              </w:numPr>
              <w:spacing w:before="0" w:after="0"/>
              <w:ind w:hanging="244"/>
              <w:jc w:val="left"/>
              <w:rPr>
                <w:szCs w:val="24"/>
              </w:rPr>
            </w:pPr>
            <w:r>
              <w:rPr>
                <w:szCs w:val="24"/>
              </w:rPr>
              <w:t>personnes physiques ou morales dont l’objet est agricole (sociétés à objet agricole telles que GAEC, EARL, SCEA, SASU...). Toutefois</w:t>
            </w:r>
            <w:r>
              <w:rPr>
                <w:szCs w:val="24"/>
              </w:rPr>
              <w:t xml:space="preserve"> pour les personnes morales la majorité des parts doit être détenue par une ou plusieurs personnes physiques justifiant du statut d’exploitant agricole.</w:t>
            </w:r>
          </w:p>
          <w:p w:rsidR="0035701C" w:rsidRDefault="00FB561B" w:rsidP="00FB561B">
            <w:pPr>
              <w:numPr>
                <w:ilvl w:val="1"/>
                <w:numId w:val="313"/>
              </w:numPr>
              <w:spacing w:before="0" w:after="0"/>
              <w:ind w:hanging="244"/>
              <w:jc w:val="left"/>
              <w:rPr>
                <w:szCs w:val="24"/>
              </w:rPr>
            </w:pPr>
            <w:r>
              <w:rPr>
                <w:szCs w:val="24"/>
              </w:rPr>
              <w:t>les organismes publics ou à but non lucratif mettant en valeur une exploitation agricole (fondations, a</w:t>
            </w:r>
            <w:r>
              <w:rPr>
                <w:szCs w:val="24"/>
              </w:rPr>
              <w:t>ssociations, établissements d’enseignement et de recherche agricoles, organismes de réinsertion…) exerçant réellement une activité agricole.</w:t>
            </w:r>
          </w:p>
          <w:p w:rsidR="0035701C" w:rsidRDefault="00FB561B" w:rsidP="00FB561B">
            <w:pPr>
              <w:numPr>
                <w:ilvl w:val="0"/>
                <w:numId w:val="313"/>
              </w:numPr>
              <w:spacing w:before="0" w:after="0"/>
              <w:ind w:hanging="210"/>
              <w:jc w:val="left"/>
              <w:rPr>
                <w:szCs w:val="24"/>
              </w:rPr>
            </w:pPr>
            <w:r>
              <w:rPr>
                <w:szCs w:val="24"/>
              </w:rPr>
              <w:t xml:space="preserve">Les collectifs d’agriculteurs : toute forme juridique collective exclusivement constituée d'agriculteurs : </w:t>
            </w:r>
            <w:r>
              <w:rPr>
                <w:szCs w:val="24"/>
              </w:rPr>
              <w:t>personnes morales ou physiques détenant la totalité des parts sociales (y compris les CUMA et les coopératives de production) ou constituant la totalité des adhérents.</w:t>
            </w:r>
          </w:p>
          <w:p w:rsidR="0035701C" w:rsidRDefault="00FB561B" w:rsidP="00FB561B">
            <w:pPr>
              <w:numPr>
                <w:ilvl w:val="0"/>
                <w:numId w:val="313"/>
              </w:numPr>
              <w:spacing w:before="0" w:after="240"/>
              <w:ind w:hanging="210"/>
              <w:jc w:val="left"/>
              <w:rPr>
                <w:szCs w:val="24"/>
              </w:rPr>
            </w:pPr>
            <w:r>
              <w:rPr>
                <w:szCs w:val="24"/>
              </w:rPr>
              <w:t>Les propriétaires bailleurs de terrains agricoles, y compris les associations foncières,</w:t>
            </w:r>
            <w:r>
              <w:rPr>
                <w:szCs w:val="24"/>
              </w:rPr>
              <w:t xml:space="preserve"> dès lors que les bénéficiaires finaux (locataires) répondent aux obligations liées à ces bénéficiaires.</w:t>
            </w:r>
          </w:p>
          <w:p w:rsidR="0035701C" w:rsidRDefault="00FB561B">
            <w:pPr>
              <w:spacing w:before="240" w:after="240"/>
              <w:jc w:val="left"/>
              <w:rPr>
                <w:szCs w:val="24"/>
              </w:rPr>
            </w:pPr>
            <w:r>
              <w:rPr>
                <w:szCs w:val="24"/>
              </w:rPr>
              <w:t>En outre sur les différents volets de ce type d'opération sont éligibles :</w:t>
            </w:r>
          </w:p>
          <w:p w:rsidR="0035701C" w:rsidRDefault="00FB561B" w:rsidP="00FB561B">
            <w:pPr>
              <w:numPr>
                <w:ilvl w:val="0"/>
                <w:numId w:val="314"/>
              </w:numPr>
              <w:spacing w:before="240" w:after="0"/>
              <w:ind w:hanging="210"/>
              <w:jc w:val="left"/>
              <w:rPr>
                <w:szCs w:val="24"/>
              </w:rPr>
            </w:pPr>
            <w:r>
              <w:rPr>
                <w:szCs w:val="24"/>
              </w:rPr>
              <w:t>Pour le Volet a) : les bénéficiaires doivent détenir obligatoirement un atel</w:t>
            </w:r>
            <w:r>
              <w:rPr>
                <w:szCs w:val="24"/>
              </w:rPr>
              <w:t>ier de production animal au moment de la demande (vérifié sur la base de la perception d'une ICHN animale ou de la validation d'un projet JA avec une telle production) pour solliciter l'aide.</w:t>
            </w:r>
          </w:p>
          <w:p w:rsidR="0035701C" w:rsidRDefault="00FB561B" w:rsidP="00FB561B">
            <w:pPr>
              <w:numPr>
                <w:ilvl w:val="0"/>
                <w:numId w:val="314"/>
              </w:numPr>
              <w:spacing w:before="0" w:after="240"/>
              <w:ind w:hanging="210"/>
              <w:jc w:val="left"/>
              <w:rPr>
                <w:szCs w:val="24"/>
              </w:rPr>
            </w:pPr>
            <w:r>
              <w:rPr>
                <w:szCs w:val="24"/>
              </w:rPr>
              <w:t>Pour le Volet b) : les bénéficiaires doivent détenir obligatoire</w:t>
            </w:r>
            <w:r>
              <w:rPr>
                <w:szCs w:val="24"/>
              </w:rPr>
              <w:t>ment un atelier de production en vergers traditionnels de châtaigniers ou d'oliviers.</w:t>
            </w:r>
          </w:p>
          <w:p w:rsidR="0035701C" w:rsidRDefault="00FB561B">
            <w:pPr>
              <w:spacing w:before="240" w:after="240"/>
              <w:jc w:val="left"/>
              <w:rPr>
                <w:szCs w:val="24"/>
              </w:rPr>
            </w:pPr>
            <w:r>
              <w:rPr>
                <w:i/>
                <w:iCs/>
                <w:szCs w:val="24"/>
              </w:rPr>
              <w:t>Bénéficiaires inéligibles :</w:t>
            </w:r>
          </w:p>
          <w:p w:rsidR="0035701C" w:rsidRDefault="00FB561B" w:rsidP="00FB561B">
            <w:pPr>
              <w:numPr>
                <w:ilvl w:val="0"/>
                <w:numId w:val="315"/>
              </w:numPr>
              <w:spacing w:before="240" w:after="0"/>
              <w:ind w:hanging="210"/>
              <w:jc w:val="left"/>
              <w:rPr>
                <w:szCs w:val="24"/>
              </w:rPr>
            </w:pPr>
            <w:r>
              <w:rPr>
                <w:szCs w:val="24"/>
              </w:rPr>
              <w:t>les sociétés en participation, les indivisions, les propriétaires bailleurs de biens fonciers.</w:t>
            </w:r>
          </w:p>
          <w:p w:rsidR="0035701C" w:rsidRDefault="00FB561B" w:rsidP="00FB561B">
            <w:pPr>
              <w:numPr>
                <w:ilvl w:val="0"/>
                <w:numId w:val="315"/>
              </w:numPr>
              <w:spacing w:before="0" w:after="240"/>
              <w:ind w:hanging="210"/>
              <w:jc w:val="left"/>
              <w:rPr>
                <w:szCs w:val="24"/>
              </w:rPr>
            </w:pPr>
            <w:r>
              <w:rPr>
                <w:szCs w:val="24"/>
              </w:rPr>
              <w:t>les demandeurs ne détennant pas d'atelier de pr</w:t>
            </w:r>
            <w:r>
              <w:rPr>
                <w:szCs w:val="24"/>
              </w:rPr>
              <w:t>oduction animale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Les dépenses éligibles concernent :</w:t>
            </w:r>
          </w:p>
          <w:p w:rsidR="0035701C" w:rsidRDefault="00FB561B" w:rsidP="00FB561B">
            <w:pPr>
              <w:numPr>
                <w:ilvl w:val="0"/>
                <w:numId w:val="316"/>
              </w:numPr>
              <w:spacing w:before="240" w:after="0"/>
              <w:ind w:hanging="210"/>
              <w:jc w:val="left"/>
              <w:rPr>
                <w:szCs w:val="24"/>
              </w:rPr>
            </w:pPr>
            <w:r>
              <w:rPr>
                <w:szCs w:val="24"/>
              </w:rPr>
              <w:t xml:space="preserve">L’ensemble des travaux entrant dans les itinéraires techniques des opérations sélectionnées, notamment : </w:t>
            </w:r>
          </w:p>
          <w:p w:rsidR="0035701C" w:rsidRDefault="00FB561B" w:rsidP="00FB561B">
            <w:pPr>
              <w:numPr>
                <w:ilvl w:val="1"/>
                <w:numId w:val="316"/>
              </w:numPr>
              <w:spacing w:before="0" w:after="0"/>
              <w:ind w:hanging="244"/>
              <w:jc w:val="left"/>
              <w:rPr>
                <w:szCs w:val="24"/>
              </w:rPr>
            </w:pPr>
            <w:r>
              <w:rPr>
                <w:szCs w:val="24"/>
              </w:rPr>
              <w:t>le débroussaillement,</w:t>
            </w:r>
          </w:p>
          <w:p w:rsidR="0035701C" w:rsidRDefault="00FB561B" w:rsidP="00FB561B">
            <w:pPr>
              <w:numPr>
                <w:ilvl w:val="1"/>
                <w:numId w:val="316"/>
              </w:numPr>
              <w:spacing w:before="0" w:after="0"/>
              <w:ind w:hanging="244"/>
              <w:jc w:val="left"/>
              <w:rPr>
                <w:szCs w:val="24"/>
              </w:rPr>
            </w:pPr>
            <w:r>
              <w:rPr>
                <w:szCs w:val="24"/>
              </w:rPr>
              <w:t xml:space="preserve">les travaux de réalisation de l’accès sur le </w:t>
            </w:r>
            <w:r>
              <w:rPr>
                <w:szCs w:val="24"/>
              </w:rPr>
              <w:t>parcellaire de l’exploitant (piste),</w:t>
            </w:r>
          </w:p>
          <w:p w:rsidR="0035701C" w:rsidRDefault="00FB561B" w:rsidP="00FB561B">
            <w:pPr>
              <w:numPr>
                <w:ilvl w:val="1"/>
                <w:numId w:val="316"/>
              </w:numPr>
              <w:spacing w:before="0" w:after="0"/>
              <w:ind w:hanging="244"/>
              <w:jc w:val="left"/>
              <w:rPr>
                <w:szCs w:val="24"/>
              </w:rPr>
            </w:pPr>
            <w:r>
              <w:rPr>
                <w:szCs w:val="24"/>
              </w:rPr>
              <w:t>l'implantation de nouvelles surfaces protéïques pérennes (par ex luzernes) et additionnelles (augmentation du nombre) à la déclaration de surface.</w:t>
            </w:r>
          </w:p>
          <w:p w:rsidR="0035701C" w:rsidRDefault="00FB561B" w:rsidP="00FB561B">
            <w:pPr>
              <w:numPr>
                <w:ilvl w:val="0"/>
                <w:numId w:val="316"/>
              </w:numPr>
              <w:spacing w:before="0" w:after="0"/>
              <w:ind w:hanging="210"/>
              <w:jc w:val="left"/>
              <w:rPr>
                <w:szCs w:val="24"/>
              </w:rPr>
            </w:pPr>
            <w:r>
              <w:rPr>
                <w:szCs w:val="24"/>
              </w:rPr>
              <w:t xml:space="preserve">La pose de clôtures et portails et les équipements ou travaux de </w:t>
            </w:r>
            <w:r>
              <w:rPr>
                <w:szCs w:val="24"/>
              </w:rPr>
              <w:t>biosécurité,</w:t>
            </w:r>
          </w:p>
          <w:p w:rsidR="0035701C" w:rsidRDefault="00FB561B" w:rsidP="00FB561B">
            <w:pPr>
              <w:numPr>
                <w:ilvl w:val="0"/>
                <w:numId w:val="316"/>
              </w:numPr>
              <w:spacing w:before="0" w:after="0"/>
              <w:ind w:hanging="210"/>
              <w:jc w:val="left"/>
              <w:rPr>
                <w:szCs w:val="24"/>
              </w:rPr>
            </w:pPr>
            <w:r>
              <w:rPr>
                <w:szCs w:val="24"/>
              </w:rPr>
              <w:t>Les travaux d'élagage et de rénovation des vergers traditionnels en montagne d'oliviers et de châtaigniers,</w:t>
            </w:r>
          </w:p>
          <w:p w:rsidR="0035701C" w:rsidRDefault="00FB561B" w:rsidP="00FB561B">
            <w:pPr>
              <w:numPr>
                <w:ilvl w:val="0"/>
                <w:numId w:val="316"/>
              </w:numPr>
              <w:spacing w:before="0" w:after="0"/>
              <w:ind w:hanging="210"/>
              <w:jc w:val="left"/>
              <w:rPr>
                <w:szCs w:val="24"/>
              </w:rPr>
            </w:pPr>
            <w:r>
              <w:rPr>
                <w:szCs w:val="24"/>
              </w:rPr>
              <w:t>Les travaux de restauration/protection des milieux (exclos, haies, sources...),</w:t>
            </w:r>
          </w:p>
          <w:p w:rsidR="0035701C" w:rsidRDefault="00FB561B" w:rsidP="00FB561B">
            <w:pPr>
              <w:numPr>
                <w:ilvl w:val="0"/>
                <w:numId w:val="316"/>
              </w:numPr>
              <w:spacing w:before="0" w:after="0"/>
              <w:ind w:hanging="210"/>
              <w:jc w:val="left"/>
              <w:rPr>
                <w:szCs w:val="24"/>
              </w:rPr>
            </w:pPr>
            <w:r>
              <w:rPr>
                <w:szCs w:val="24"/>
              </w:rPr>
              <w:t>Les contributions en nature dans le respect de l’articl</w:t>
            </w:r>
            <w:r>
              <w:rPr>
                <w:szCs w:val="24"/>
              </w:rPr>
              <w:t>e 69 du règlement (UE) n°1303/2013, hors apport en nature du foncier, non éligible pour ce type d'opération.</w:t>
            </w:r>
          </w:p>
          <w:p w:rsidR="0035701C" w:rsidRDefault="00FB561B" w:rsidP="00FB561B">
            <w:pPr>
              <w:numPr>
                <w:ilvl w:val="0"/>
                <w:numId w:val="316"/>
              </w:numPr>
              <w:spacing w:before="0" w:after="0"/>
              <w:ind w:hanging="210"/>
              <w:jc w:val="left"/>
              <w:rPr>
                <w:szCs w:val="24"/>
              </w:rPr>
            </w:pPr>
            <w:r>
              <w:rPr>
                <w:szCs w:val="24"/>
              </w:rPr>
              <w:t>Les équipements matériels dédiés à l'ouverture ou l'entretien mécanique ou manuel des milieux (matériel adapté au travail en zone de montagne et en</w:t>
            </w:r>
            <w:r>
              <w:rPr>
                <w:szCs w:val="24"/>
              </w:rPr>
              <w:t xml:space="preserve"> pente, y compris matériel auto-moteur et outils de broyage) ainsi que les matériels de semis sans travail du sol.</w:t>
            </w:r>
          </w:p>
          <w:p w:rsidR="0035701C" w:rsidRDefault="00FB561B" w:rsidP="00FB561B">
            <w:pPr>
              <w:numPr>
                <w:ilvl w:val="0"/>
                <w:numId w:val="316"/>
              </w:numPr>
              <w:spacing w:before="0" w:after="240"/>
              <w:ind w:hanging="210"/>
              <w:jc w:val="left"/>
              <w:rPr>
                <w:szCs w:val="24"/>
              </w:rPr>
            </w:pPr>
            <w:r>
              <w:rPr>
                <w:szCs w:val="24"/>
              </w:rPr>
              <w:t>Les frais généraux relatifs à l’opération : études préalables et notamment environnementale ou écologiques, honoraires et expertises qui se r</w:t>
            </w:r>
            <w:r>
              <w:rPr>
                <w:szCs w:val="24"/>
              </w:rPr>
              <w:t>attachent aux investissements.</w:t>
            </w:r>
          </w:p>
          <w:p w:rsidR="0035701C" w:rsidRDefault="00FB561B">
            <w:pPr>
              <w:spacing w:before="240" w:after="240"/>
              <w:jc w:val="left"/>
              <w:rPr>
                <w:szCs w:val="24"/>
              </w:rPr>
            </w:pPr>
            <w:r>
              <w:rPr>
                <w:szCs w:val="24"/>
              </w:rPr>
              <w:t>Ces investissements peuvent être réalisés soit en prestation de service, soit au moyen de l’intervention propre du bénéficiaire de l’opération (contribution en nature).</w:t>
            </w:r>
          </w:p>
          <w:p w:rsidR="0035701C" w:rsidRDefault="00FB561B">
            <w:pPr>
              <w:spacing w:before="240" w:after="240"/>
              <w:jc w:val="left"/>
              <w:rPr>
                <w:szCs w:val="24"/>
              </w:rPr>
            </w:pPr>
            <w:r>
              <w:rPr>
                <w:szCs w:val="24"/>
                <w:u w:val="single"/>
              </w:rPr>
              <w:t>L’assiette de l’opération est établie avec :</w:t>
            </w:r>
          </w:p>
          <w:p w:rsidR="0035701C" w:rsidRDefault="00FB561B" w:rsidP="00FB561B">
            <w:pPr>
              <w:numPr>
                <w:ilvl w:val="0"/>
                <w:numId w:val="317"/>
              </w:numPr>
              <w:spacing w:before="240" w:after="0"/>
              <w:ind w:hanging="210"/>
              <w:jc w:val="left"/>
              <w:rPr>
                <w:szCs w:val="24"/>
              </w:rPr>
            </w:pPr>
            <w:r>
              <w:rPr>
                <w:szCs w:val="24"/>
              </w:rPr>
              <w:t>Les barèmes</w:t>
            </w:r>
            <w:r>
              <w:rPr>
                <w:szCs w:val="24"/>
              </w:rPr>
              <w:t xml:space="preserve"> de coûts standards figurant au chapitre 18.2 du programme, mobilisés lorsque les opérations portent sur des interventions techniques de clôture ou de débroussaillage.(cf. « Méthode de calcul »).</w:t>
            </w:r>
          </w:p>
          <w:p w:rsidR="0035701C" w:rsidRDefault="00FB561B" w:rsidP="00FB561B">
            <w:pPr>
              <w:numPr>
                <w:ilvl w:val="0"/>
                <w:numId w:val="317"/>
              </w:numPr>
              <w:spacing w:before="0" w:after="0"/>
              <w:ind w:hanging="210"/>
              <w:jc w:val="left"/>
              <w:rPr>
                <w:szCs w:val="24"/>
              </w:rPr>
            </w:pPr>
            <w:r>
              <w:rPr>
                <w:szCs w:val="24"/>
              </w:rPr>
              <w:t>et pour les interventions n’entrant pas dans ces barèmes, su</w:t>
            </w:r>
            <w:r>
              <w:rPr>
                <w:szCs w:val="24"/>
              </w:rPr>
              <w:t>r présentation des devis prévisionnels et factures d’équipements.</w:t>
            </w:r>
          </w:p>
          <w:p w:rsidR="0035701C" w:rsidRDefault="00FB561B" w:rsidP="00FB561B">
            <w:pPr>
              <w:numPr>
                <w:ilvl w:val="0"/>
                <w:numId w:val="317"/>
              </w:numPr>
              <w:spacing w:before="0" w:after="240"/>
              <w:ind w:hanging="210"/>
              <w:jc w:val="left"/>
              <w:rPr>
                <w:szCs w:val="24"/>
              </w:rPr>
            </w:pPr>
            <w:r>
              <w:rPr>
                <w:szCs w:val="24"/>
              </w:rPr>
              <w:t xml:space="preserve">Pour les opérations sous maîtrise d’ouvrage d’organismes de droit public, le coût de l’opération prend en compte les montants déterminés par des procédures d’appel à la concurrence, lorsque </w:t>
            </w:r>
            <w:r>
              <w:rPr>
                <w:szCs w:val="24"/>
              </w:rPr>
              <w:t>ces travaux sont réalisés en prestation de service.</w:t>
            </w:r>
          </w:p>
          <w:p w:rsidR="0035701C" w:rsidRDefault="00FB561B">
            <w:pPr>
              <w:spacing w:before="240" w:after="240"/>
              <w:jc w:val="left"/>
              <w:rPr>
                <w:szCs w:val="24"/>
              </w:rPr>
            </w:pPr>
            <w:r>
              <w:rPr>
                <w:szCs w:val="24"/>
                <w:u w:val="single"/>
              </w:rPr>
              <w:t>Les coûts inéligibles pour ce type d’opération concernent</w:t>
            </w:r>
            <w:r>
              <w:rPr>
                <w:szCs w:val="24"/>
              </w:rPr>
              <w:t> :</w:t>
            </w:r>
          </w:p>
          <w:p w:rsidR="0035701C" w:rsidRDefault="00FB561B" w:rsidP="00FB561B">
            <w:pPr>
              <w:numPr>
                <w:ilvl w:val="0"/>
                <w:numId w:val="318"/>
              </w:numPr>
              <w:spacing w:before="240" w:after="0"/>
              <w:ind w:hanging="210"/>
              <w:jc w:val="left"/>
              <w:rPr>
                <w:szCs w:val="24"/>
              </w:rPr>
            </w:pPr>
            <w:r>
              <w:rPr>
                <w:szCs w:val="24"/>
              </w:rPr>
              <w:t xml:space="preserve">les travaux de mise en culture et les travaux aratoires (préparation du sol, épierrage, semis, plantation, les épandages de fumures et </w:t>
            </w:r>
            <w:r>
              <w:rPr>
                <w:szCs w:val="24"/>
              </w:rPr>
              <w:t>d’engrais, tuteurage, achat de plants, semences, fumures...) hors implantation de nouvelles surfaces protéïques,</w:t>
            </w:r>
          </w:p>
          <w:p w:rsidR="0035701C" w:rsidRDefault="00FB561B" w:rsidP="00FB561B">
            <w:pPr>
              <w:numPr>
                <w:ilvl w:val="0"/>
                <w:numId w:val="318"/>
              </w:numPr>
              <w:spacing w:before="0" w:after="0"/>
              <w:ind w:hanging="210"/>
              <w:jc w:val="left"/>
              <w:rPr>
                <w:szCs w:val="24"/>
              </w:rPr>
            </w:pPr>
            <w:r>
              <w:rPr>
                <w:szCs w:val="24"/>
              </w:rPr>
              <w:t>l’équipement d’irrigation,</w:t>
            </w:r>
          </w:p>
          <w:p w:rsidR="0035701C" w:rsidRDefault="00FB561B" w:rsidP="00FB561B">
            <w:pPr>
              <w:numPr>
                <w:ilvl w:val="0"/>
                <w:numId w:val="318"/>
              </w:numPr>
              <w:spacing w:before="0" w:after="0"/>
              <w:ind w:hanging="210"/>
              <w:jc w:val="left"/>
              <w:rPr>
                <w:szCs w:val="24"/>
              </w:rPr>
            </w:pPr>
            <w:r>
              <w:rPr>
                <w:szCs w:val="24"/>
              </w:rPr>
              <w:t>les achats et travaux de renouvellement à l'identique,</w:t>
            </w:r>
          </w:p>
          <w:p w:rsidR="0035701C" w:rsidRDefault="00FB561B" w:rsidP="00FB561B">
            <w:pPr>
              <w:numPr>
                <w:ilvl w:val="0"/>
                <w:numId w:val="318"/>
              </w:numPr>
              <w:spacing w:before="0" w:after="0"/>
              <w:ind w:hanging="210"/>
              <w:jc w:val="left"/>
              <w:rPr>
                <w:szCs w:val="24"/>
              </w:rPr>
            </w:pPr>
            <w:r>
              <w:rPr>
                <w:szCs w:val="24"/>
              </w:rPr>
              <w:t>les matériels et équipements d’occasion sont inéligibles pour</w:t>
            </w:r>
            <w:r>
              <w:rPr>
                <w:szCs w:val="24"/>
              </w:rPr>
              <w:t xml:space="preserve"> ce type d’opération,</w:t>
            </w:r>
          </w:p>
          <w:p w:rsidR="0035701C" w:rsidRDefault="00FB561B" w:rsidP="00FB561B">
            <w:pPr>
              <w:numPr>
                <w:ilvl w:val="0"/>
                <w:numId w:val="318"/>
              </w:numPr>
              <w:spacing w:before="0" w:after="0"/>
              <w:ind w:hanging="210"/>
              <w:jc w:val="left"/>
              <w:rPr>
                <w:szCs w:val="24"/>
              </w:rPr>
            </w:pPr>
            <w:r>
              <w:rPr>
                <w:szCs w:val="24"/>
              </w:rPr>
              <w:t>l’apport en nature ou l'achat du foncier,</w:t>
            </w:r>
          </w:p>
          <w:p w:rsidR="0035701C" w:rsidRDefault="00FB561B" w:rsidP="00FB561B">
            <w:pPr>
              <w:numPr>
                <w:ilvl w:val="0"/>
                <w:numId w:val="318"/>
              </w:numPr>
              <w:spacing w:before="0" w:after="240"/>
              <w:ind w:hanging="210"/>
              <w:jc w:val="left"/>
              <w:rPr>
                <w:szCs w:val="24"/>
              </w:rPr>
            </w:pPr>
            <w:r>
              <w:rPr>
                <w:szCs w:val="24"/>
              </w:rPr>
              <w:t>l'acquisition de droits de production agricole, de droits au paiement, d'animaux et de plantes annuelles,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i/>
                <w:iCs/>
                <w:szCs w:val="24"/>
              </w:rPr>
              <w:t>Le projet est éligible dans les conditions suivantes </w:t>
            </w:r>
            <w:r>
              <w:rPr>
                <w:szCs w:val="24"/>
              </w:rPr>
              <w:t>:</w:t>
            </w:r>
          </w:p>
          <w:p w:rsidR="0035701C" w:rsidRDefault="00FB561B" w:rsidP="00FB561B">
            <w:pPr>
              <w:numPr>
                <w:ilvl w:val="0"/>
                <w:numId w:val="319"/>
              </w:numPr>
              <w:spacing w:before="240" w:after="0"/>
              <w:ind w:hanging="210"/>
              <w:jc w:val="left"/>
              <w:rPr>
                <w:szCs w:val="24"/>
              </w:rPr>
            </w:pPr>
            <w:r>
              <w:rPr>
                <w:szCs w:val="24"/>
              </w:rPr>
              <w:t>Le</w:t>
            </w:r>
            <w:r>
              <w:rPr>
                <w:szCs w:val="24"/>
              </w:rPr>
              <w:t xml:space="preserve"> projet d'investissement doit être situé en Corse.</w:t>
            </w:r>
          </w:p>
          <w:p w:rsidR="0035701C" w:rsidRDefault="00FB561B" w:rsidP="00FB561B">
            <w:pPr>
              <w:numPr>
                <w:ilvl w:val="0"/>
                <w:numId w:val="319"/>
              </w:numPr>
              <w:spacing w:before="0" w:after="0"/>
              <w:ind w:hanging="210"/>
              <w:jc w:val="left"/>
              <w:rPr>
                <w:szCs w:val="24"/>
              </w:rPr>
            </w:pPr>
            <w:r>
              <w:rPr>
                <w:szCs w:val="24"/>
              </w:rPr>
              <w:t>Le bénéficiaire doit présenter soit une attestation d'affiliation au régime de protection sociale des exploitants agricoles (AMEXA) en qualité de non salariés agricoles ou une attestation d'inscription MSA</w:t>
            </w:r>
            <w:r>
              <w:rPr>
                <w:szCs w:val="24"/>
              </w:rPr>
              <w:t xml:space="preserve"> pour une société, soit être bénéficiaire d'une DJA (TO 6.1).</w:t>
            </w:r>
          </w:p>
          <w:p w:rsidR="0035701C" w:rsidRDefault="00FB561B" w:rsidP="00FB561B">
            <w:pPr>
              <w:numPr>
                <w:ilvl w:val="0"/>
                <w:numId w:val="319"/>
              </w:numPr>
              <w:spacing w:before="0" w:after="0"/>
              <w:ind w:hanging="210"/>
              <w:jc w:val="left"/>
              <w:rPr>
                <w:szCs w:val="24"/>
              </w:rPr>
            </w:pPr>
            <w:r>
              <w:rPr>
                <w:szCs w:val="24"/>
              </w:rPr>
              <w:t>Le demandeur ne doit pas être en procédure de sauvegarde ou de redressement judiciaire sur le dernier exercice comptable connu. Un engagement sur l’honneur concernant la régularité de la situati</w:t>
            </w:r>
            <w:r>
              <w:rPr>
                <w:szCs w:val="24"/>
              </w:rPr>
              <w:t>on sociale et fiscale est requis.</w:t>
            </w:r>
          </w:p>
          <w:p w:rsidR="0035701C" w:rsidRDefault="00FB561B" w:rsidP="00FB561B">
            <w:pPr>
              <w:numPr>
                <w:ilvl w:val="0"/>
                <w:numId w:val="319"/>
              </w:numPr>
              <w:spacing w:before="0" w:after="0"/>
              <w:ind w:hanging="210"/>
              <w:jc w:val="left"/>
              <w:rPr>
                <w:szCs w:val="24"/>
              </w:rPr>
            </w:pPr>
            <w:r>
              <w:rPr>
                <w:szCs w:val="24"/>
              </w:rPr>
              <w:t xml:space="preserve">Le projet doit être présenté en conformité avec le droit spécifique applicable en matière d’évaluation de l’impact environnemental en conformité avec l’article 45.1 du R 1305/2013, et le cas échéant avec les autorisations </w:t>
            </w:r>
            <w:r>
              <w:rPr>
                <w:szCs w:val="24"/>
              </w:rPr>
              <w:t>requises.</w:t>
            </w:r>
          </w:p>
          <w:p w:rsidR="0035701C" w:rsidRDefault="00FB561B" w:rsidP="00FB561B">
            <w:pPr>
              <w:numPr>
                <w:ilvl w:val="0"/>
                <w:numId w:val="319"/>
              </w:numPr>
              <w:spacing w:before="0" w:after="240"/>
              <w:ind w:hanging="210"/>
              <w:jc w:val="left"/>
              <w:rPr>
                <w:szCs w:val="24"/>
              </w:rPr>
            </w:pPr>
            <w:r>
              <w:rPr>
                <w:szCs w:val="24"/>
              </w:rPr>
              <w:t>La maîtrise foncière des terrains objet de l’opération est requise.</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La sélection des opérations s’opère exclusivement sur la base d'appels à projets spécifiques sur tout ou </w:t>
            </w:r>
            <w:r>
              <w:rPr>
                <w:szCs w:val="24"/>
              </w:rPr>
              <w:t>partie du périmètre de la mesure d'aide (différents volets, type de matériels ou travaux..etc).</w:t>
            </w:r>
          </w:p>
          <w:p w:rsidR="0035701C" w:rsidRDefault="00FB561B">
            <w:pPr>
              <w:spacing w:before="240" w:after="240"/>
              <w:jc w:val="left"/>
              <w:rPr>
                <w:szCs w:val="24"/>
              </w:rPr>
            </w:pPr>
            <w:r>
              <w:rPr>
                <w:szCs w:val="24"/>
              </w:rPr>
              <w:t>En outre, dans le cadre d'enveloppes définies pour chaque appel à projet ; il s’agit :</w:t>
            </w:r>
          </w:p>
          <w:p w:rsidR="0035701C" w:rsidRDefault="00FB561B" w:rsidP="00FB561B">
            <w:pPr>
              <w:numPr>
                <w:ilvl w:val="0"/>
                <w:numId w:val="320"/>
              </w:numPr>
              <w:spacing w:before="240" w:after="0"/>
              <w:ind w:hanging="210"/>
              <w:jc w:val="left"/>
              <w:rPr>
                <w:szCs w:val="24"/>
              </w:rPr>
            </w:pPr>
            <w:r>
              <w:rPr>
                <w:szCs w:val="24"/>
              </w:rPr>
              <w:t>De prioriser les projets conduits par les JA</w:t>
            </w:r>
          </w:p>
          <w:p w:rsidR="0035701C" w:rsidRDefault="00FB561B" w:rsidP="00FB561B">
            <w:pPr>
              <w:numPr>
                <w:ilvl w:val="0"/>
                <w:numId w:val="320"/>
              </w:numPr>
              <w:spacing w:before="0" w:after="0"/>
              <w:ind w:hanging="210"/>
              <w:jc w:val="left"/>
              <w:rPr>
                <w:szCs w:val="24"/>
              </w:rPr>
            </w:pPr>
            <w:r>
              <w:rPr>
                <w:szCs w:val="24"/>
              </w:rPr>
              <w:t xml:space="preserve">Pour les autres projets, Il </w:t>
            </w:r>
            <w:r>
              <w:rPr>
                <w:szCs w:val="24"/>
              </w:rPr>
              <w:t xml:space="preserve">s'agit : </w:t>
            </w:r>
          </w:p>
          <w:p w:rsidR="0035701C" w:rsidRDefault="00FB561B" w:rsidP="00FB561B">
            <w:pPr>
              <w:numPr>
                <w:ilvl w:val="1"/>
                <w:numId w:val="320"/>
              </w:numPr>
              <w:spacing w:before="0" w:after="0"/>
              <w:ind w:hanging="244"/>
              <w:jc w:val="left"/>
              <w:rPr>
                <w:szCs w:val="24"/>
              </w:rPr>
            </w:pPr>
            <w:r>
              <w:rPr>
                <w:szCs w:val="24"/>
              </w:rPr>
              <w:t>de favoriser les exploitants qui tirent leur revenu principalement de l’agriculture par rapport aux agriculteurs exerçant d’autres activités.</w:t>
            </w:r>
          </w:p>
          <w:p w:rsidR="0035701C" w:rsidRDefault="00FB561B" w:rsidP="00FB561B">
            <w:pPr>
              <w:numPr>
                <w:ilvl w:val="1"/>
                <w:numId w:val="320"/>
              </w:numPr>
              <w:spacing w:before="0" w:after="0"/>
              <w:ind w:hanging="244"/>
              <w:jc w:val="left"/>
              <w:rPr>
                <w:szCs w:val="24"/>
              </w:rPr>
            </w:pPr>
            <w:r>
              <w:rPr>
                <w:szCs w:val="24"/>
              </w:rPr>
              <w:t>de favoriser les exploitants présentant un projet mettant en avant une gestion raisonnée des surfaces ag</w:t>
            </w:r>
            <w:r>
              <w:rPr>
                <w:szCs w:val="24"/>
              </w:rPr>
              <w:t>ricoles.</w:t>
            </w:r>
          </w:p>
          <w:p w:rsidR="0035701C" w:rsidRDefault="00FB561B" w:rsidP="00FB561B">
            <w:pPr>
              <w:numPr>
                <w:ilvl w:val="1"/>
                <w:numId w:val="320"/>
              </w:numPr>
              <w:spacing w:before="0" w:after="0"/>
              <w:ind w:hanging="244"/>
              <w:jc w:val="left"/>
              <w:rPr>
                <w:szCs w:val="24"/>
              </w:rPr>
            </w:pPr>
            <w:r>
              <w:rPr>
                <w:szCs w:val="24"/>
              </w:rPr>
              <w:t>de favoriser les exploitations engagées en agriculture biologique.</w:t>
            </w:r>
          </w:p>
          <w:p w:rsidR="0035701C" w:rsidRDefault="00FB561B" w:rsidP="00FB561B">
            <w:pPr>
              <w:numPr>
                <w:ilvl w:val="1"/>
                <w:numId w:val="320"/>
              </w:numPr>
              <w:spacing w:before="0" w:after="240"/>
              <w:ind w:hanging="244"/>
              <w:jc w:val="left"/>
              <w:rPr>
                <w:szCs w:val="24"/>
              </w:rPr>
            </w:pPr>
            <w:r>
              <w:rPr>
                <w:szCs w:val="24"/>
              </w:rPr>
              <w:t>Un critère technique additionnel pourra être défini dans la grille de sélection en relation avec l'objet des appels à projets.</w:t>
            </w:r>
          </w:p>
          <w:p w:rsidR="0035701C" w:rsidRDefault="00FB561B">
            <w:pPr>
              <w:spacing w:before="240" w:after="240"/>
              <w:jc w:val="left"/>
              <w:rPr>
                <w:szCs w:val="24"/>
              </w:rPr>
            </w:pPr>
            <w:r>
              <w:rPr>
                <w:szCs w:val="24"/>
              </w:rPr>
              <w:t>La grille de sélection des opérations prévoira l'étab</w:t>
            </w:r>
            <w:r>
              <w:rPr>
                <w:szCs w:val="24"/>
              </w:rPr>
              <w:t>lissement d'un système de points permettant le classement des dossiers et la fixation d'un seuil minimal pour accéder au soutien au titre du PDRC.</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 taux d’aide publique est fixé dans chaque appel à projet, dans le </w:t>
            </w:r>
            <w:r>
              <w:rPr>
                <w:szCs w:val="24"/>
              </w:rPr>
              <w:t>respect des taux mentionnés dans le Règlement FEADER à l’article 17 et à l’annexe II, et du Règlement 2200/2020 EURI :</w:t>
            </w:r>
          </w:p>
          <w:tbl>
            <w:tblPr>
              <w:tblW w:w="7480" w:type="dxa"/>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4805"/>
              <w:gridCol w:w="1225"/>
              <w:gridCol w:w="1410"/>
            </w:tblGrid>
            <w:tr w:rsidR="0035701C">
              <w:trPr>
                <w:jc w:val="center"/>
              </w:trPr>
              <w:tc>
                <w:tcPr>
                  <w:tcW w:w="0" w:type="auto"/>
                  <w:tcBorders>
                    <w:bottom w:val="inset" w:sz="6" w:space="0" w:color="808080"/>
                    <w:right w:val="inset" w:sz="6" w:space="0" w:color="808080"/>
                  </w:tcBorders>
                  <w:shd w:val="clear" w:color="auto" w:fill="00FFFF"/>
                  <w:tcMar>
                    <w:top w:w="25" w:type="dxa"/>
                    <w:left w:w="25" w:type="dxa"/>
                    <w:bottom w:w="22" w:type="dxa"/>
                    <w:right w:w="22" w:type="dxa"/>
                  </w:tcMar>
                  <w:vAlign w:val="center"/>
                  <w:hideMark/>
                </w:tcPr>
                <w:p w:rsidR="0035701C" w:rsidRDefault="00FB561B">
                  <w:pPr>
                    <w:spacing w:before="0" w:after="0"/>
                    <w:jc w:val="center"/>
                    <w:rPr>
                      <w:color w:val="000000"/>
                      <w:szCs w:val="24"/>
                    </w:rPr>
                  </w:pPr>
                  <w:r>
                    <w:rPr>
                      <w:b/>
                      <w:bCs/>
                      <w:color w:val="000000"/>
                      <w:szCs w:val="24"/>
                    </w:rPr>
                    <w:t>Bénéficiaires</w:t>
                  </w:r>
                </w:p>
              </w:tc>
              <w:tc>
                <w:tcPr>
                  <w:tcW w:w="0" w:type="auto"/>
                  <w:tcBorders>
                    <w:left w:val="inset" w:sz="6" w:space="0" w:color="808080"/>
                    <w:bottom w:val="inset" w:sz="6" w:space="0" w:color="808080"/>
                    <w:right w:val="inset" w:sz="6" w:space="0" w:color="808080"/>
                  </w:tcBorders>
                  <w:shd w:val="clear" w:color="auto" w:fill="00FFFF"/>
                  <w:tcMar>
                    <w:top w:w="25" w:type="dxa"/>
                    <w:left w:w="22" w:type="dxa"/>
                    <w:bottom w:w="22" w:type="dxa"/>
                    <w:right w:w="22" w:type="dxa"/>
                  </w:tcMar>
                  <w:vAlign w:val="center"/>
                  <w:hideMark/>
                </w:tcPr>
                <w:p w:rsidR="0035701C" w:rsidRDefault="00FB561B">
                  <w:pPr>
                    <w:spacing w:before="0" w:after="0"/>
                    <w:jc w:val="center"/>
                    <w:rPr>
                      <w:color w:val="000000"/>
                      <w:szCs w:val="24"/>
                    </w:rPr>
                  </w:pPr>
                  <w:r>
                    <w:rPr>
                      <w:color w:val="000000"/>
                      <w:szCs w:val="24"/>
                    </w:rPr>
                    <w:t>Fonds</w:t>
                  </w:r>
                  <w:r>
                    <w:rPr>
                      <w:color w:val="000000"/>
                      <w:szCs w:val="24"/>
                    </w:rPr>
                    <w:br/>
                    <w:t>    EURI     </w:t>
                  </w:r>
                </w:p>
              </w:tc>
              <w:tc>
                <w:tcPr>
                  <w:tcW w:w="0" w:type="auto"/>
                  <w:tcBorders>
                    <w:left w:val="inset" w:sz="6" w:space="0" w:color="808080"/>
                    <w:bottom w:val="inset" w:sz="6" w:space="0" w:color="808080"/>
                  </w:tcBorders>
                  <w:shd w:val="clear" w:color="auto" w:fill="00FFFF"/>
                  <w:tcMar>
                    <w:top w:w="25" w:type="dxa"/>
                    <w:left w:w="22" w:type="dxa"/>
                    <w:bottom w:w="22" w:type="dxa"/>
                    <w:right w:w="25" w:type="dxa"/>
                  </w:tcMar>
                  <w:vAlign w:val="center"/>
                  <w:hideMark/>
                </w:tcPr>
                <w:p w:rsidR="0035701C" w:rsidRDefault="00FB561B">
                  <w:pPr>
                    <w:spacing w:before="0" w:after="0"/>
                    <w:jc w:val="center"/>
                    <w:rPr>
                      <w:color w:val="000000"/>
                      <w:szCs w:val="24"/>
                    </w:rPr>
                  </w:pPr>
                  <w:r>
                    <w:rPr>
                      <w:color w:val="000000"/>
                      <w:szCs w:val="24"/>
                    </w:rPr>
                    <w:t>FEADER</w:t>
                  </w:r>
                  <w:r>
                    <w:rPr>
                      <w:color w:val="000000"/>
                      <w:szCs w:val="24"/>
                    </w:rPr>
                    <w:br/>
                    <w:t>2021-2022</w:t>
                  </w:r>
                </w:p>
              </w:tc>
            </w:tr>
            <w:tr w:rsidR="0035701C">
              <w:trPr>
                <w:jc w:val="center"/>
              </w:trPr>
              <w:tc>
                <w:tcPr>
                  <w:tcW w:w="0" w:type="auto"/>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35701C" w:rsidRDefault="00FB561B">
                  <w:pPr>
                    <w:spacing w:before="0" w:after="0"/>
                    <w:jc w:val="left"/>
                    <w:rPr>
                      <w:color w:val="000000"/>
                      <w:szCs w:val="24"/>
                    </w:rPr>
                  </w:pPr>
                  <w:r>
                    <w:rPr>
                      <w:color w:val="000000"/>
                      <w:szCs w:val="24"/>
                    </w:rPr>
                    <w:t>Agriculteurs et groupements ainés(*)</w:t>
                  </w:r>
                  <w:r>
                    <w:rPr>
                      <w:color w:val="000000"/>
                      <w:szCs w:val="24"/>
                    </w:rPr>
                    <w:br/>
                    <w:t> </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center"/>
                    <w:rPr>
                      <w:color w:val="000000"/>
                      <w:szCs w:val="24"/>
                    </w:rPr>
                  </w:pPr>
                  <w:r>
                    <w:rPr>
                      <w:color w:val="000000"/>
                      <w:szCs w:val="24"/>
                    </w:rPr>
                    <w:t>70%</w:t>
                  </w:r>
                </w:p>
              </w:tc>
              <w:tc>
                <w:tcPr>
                  <w:tcW w:w="0" w:type="auto"/>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35701C" w:rsidRDefault="00FB561B">
                  <w:pPr>
                    <w:spacing w:before="0" w:after="0"/>
                    <w:jc w:val="center"/>
                    <w:rPr>
                      <w:color w:val="000000"/>
                      <w:szCs w:val="24"/>
                    </w:rPr>
                  </w:pPr>
                  <w:r>
                    <w:rPr>
                      <w:color w:val="000000"/>
                      <w:szCs w:val="24"/>
                    </w:rPr>
                    <w:t>60%</w:t>
                  </w:r>
                </w:p>
              </w:tc>
            </w:tr>
            <w:tr w:rsidR="0035701C">
              <w:trPr>
                <w:jc w:val="center"/>
              </w:trPr>
              <w:tc>
                <w:tcPr>
                  <w:tcW w:w="0" w:type="auto"/>
                  <w:tcBorders>
                    <w:top w:val="inset" w:sz="6" w:space="0" w:color="808080"/>
                    <w:right w:val="inset" w:sz="6" w:space="0" w:color="808080"/>
                  </w:tcBorders>
                  <w:tcMar>
                    <w:top w:w="22" w:type="dxa"/>
                    <w:left w:w="25" w:type="dxa"/>
                    <w:bottom w:w="25" w:type="dxa"/>
                    <w:right w:w="22" w:type="dxa"/>
                  </w:tcMar>
                  <w:vAlign w:val="center"/>
                  <w:hideMark/>
                </w:tcPr>
                <w:p w:rsidR="0035701C" w:rsidRDefault="00FB561B">
                  <w:pPr>
                    <w:spacing w:before="0" w:after="0"/>
                    <w:jc w:val="left"/>
                    <w:rPr>
                      <w:color w:val="000000"/>
                      <w:szCs w:val="24"/>
                    </w:rPr>
                  </w:pPr>
                  <w:r>
                    <w:rPr>
                      <w:color w:val="000000"/>
                      <w:szCs w:val="24"/>
                    </w:rPr>
                    <w:t xml:space="preserve">Jeunes agriculteurs et leurs </w:t>
                  </w:r>
                  <w:r>
                    <w:rPr>
                      <w:color w:val="000000"/>
                      <w:szCs w:val="24"/>
                    </w:rPr>
                    <w:t>groupements en</w:t>
                  </w:r>
                  <w:r>
                    <w:rPr>
                      <w:color w:val="000000"/>
                      <w:szCs w:val="24"/>
                    </w:rPr>
                    <w:br/>
                    <w:t>zone de montagne et ZSCN/S (*)</w:t>
                  </w:r>
                </w:p>
              </w:tc>
              <w:tc>
                <w:tcPr>
                  <w:tcW w:w="0" w:type="auto"/>
                  <w:tcBorders>
                    <w:top w:val="inset" w:sz="6" w:space="0" w:color="808080"/>
                    <w:left w:val="inset" w:sz="6" w:space="0" w:color="808080"/>
                    <w:right w:val="inset" w:sz="6" w:space="0" w:color="808080"/>
                  </w:tcBorders>
                  <w:tcMar>
                    <w:top w:w="22" w:type="dxa"/>
                    <w:left w:w="22" w:type="dxa"/>
                    <w:bottom w:w="25" w:type="dxa"/>
                    <w:right w:w="22" w:type="dxa"/>
                  </w:tcMar>
                  <w:vAlign w:val="center"/>
                  <w:hideMark/>
                </w:tcPr>
                <w:p w:rsidR="0035701C" w:rsidRDefault="00FB561B">
                  <w:pPr>
                    <w:spacing w:before="0" w:after="0"/>
                    <w:jc w:val="center"/>
                    <w:rPr>
                      <w:color w:val="000000"/>
                      <w:szCs w:val="24"/>
                    </w:rPr>
                  </w:pPr>
                  <w:r>
                    <w:rPr>
                      <w:color w:val="000000"/>
                      <w:szCs w:val="24"/>
                    </w:rPr>
                    <w:t>75%</w:t>
                  </w:r>
                </w:p>
              </w:tc>
              <w:tc>
                <w:tcPr>
                  <w:tcW w:w="0" w:type="auto"/>
                  <w:tcBorders>
                    <w:top w:val="inset" w:sz="6" w:space="0" w:color="808080"/>
                    <w:left w:val="inset" w:sz="6" w:space="0" w:color="808080"/>
                  </w:tcBorders>
                  <w:tcMar>
                    <w:top w:w="22" w:type="dxa"/>
                    <w:left w:w="22" w:type="dxa"/>
                    <w:bottom w:w="25" w:type="dxa"/>
                    <w:right w:w="25" w:type="dxa"/>
                  </w:tcMar>
                  <w:vAlign w:val="center"/>
                  <w:hideMark/>
                </w:tcPr>
                <w:p w:rsidR="0035701C" w:rsidRDefault="00FB561B">
                  <w:pPr>
                    <w:spacing w:before="0" w:after="0"/>
                    <w:jc w:val="center"/>
                    <w:rPr>
                      <w:color w:val="000000"/>
                      <w:szCs w:val="24"/>
                    </w:rPr>
                  </w:pPr>
                  <w:r>
                    <w:rPr>
                      <w:color w:val="000000"/>
                      <w:szCs w:val="24"/>
                    </w:rPr>
                    <w:t>75%</w:t>
                  </w:r>
                </w:p>
              </w:tc>
            </w:tr>
          </w:tbl>
          <w:p w:rsidR="0035701C" w:rsidRDefault="00FB561B">
            <w:pPr>
              <w:spacing w:before="240" w:after="240"/>
              <w:jc w:val="left"/>
              <w:rPr>
                <w:szCs w:val="24"/>
              </w:rPr>
            </w:pPr>
            <w:r>
              <w:rPr>
                <w:szCs w:val="24"/>
              </w:rPr>
              <w:t xml:space="preserve">(*) Pour les agriculteurs personnes morales sous forme sociétaire ou les groupements d'agriculteurs (y compris CUMA) l'application du critère "Ainés/JA" se fait sur la base de la majorité des parts </w:t>
            </w:r>
            <w:r>
              <w:rPr>
                <w:szCs w:val="24"/>
              </w:rPr>
              <w:t>détenues au capital social ou des adhérents.</w:t>
            </w:r>
          </w:p>
          <w:p w:rsidR="0035701C" w:rsidRDefault="00FB561B">
            <w:pPr>
              <w:spacing w:before="240" w:after="240"/>
              <w:jc w:val="left"/>
              <w:rPr>
                <w:szCs w:val="24"/>
              </w:rPr>
            </w:pPr>
            <w:r>
              <w:rPr>
                <w:i/>
                <w:iCs/>
                <w:szCs w:val="24"/>
              </w:rPr>
              <w:t>Plafond d'aide aux exploitations agricoles</w:t>
            </w:r>
          </w:p>
          <w:p w:rsidR="0035701C" w:rsidRDefault="00FB561B" w:rsidP="00FB561B">
            <w:pPr>
              <w:numPr>
                <w:ilvl w:val="0"/>
                <w:numId w:val="321"/>
              </w:numPr>
              <w:spacing w:before="240" w:after="240"/>
              <w:ind w:hanging="210"/>
              <w:jc w:val="left"/>
              <w:rPr>
                <w:szCs w:val="24"/>
              </w:rPr>
            </w:pPr>
            <w:r>
              <w:rPr>
                <w:szCs w:val="24"/>
              </w:rPr>
              <w:t>Les investissements réalisés au titre de ce type d'opération n'entrent pas dans le plafond d'aide par exploitation agricole (NB : 800k€/24 mois + 50% JA) tel que mentio</w:t>
            </w:r>
            <w:r>
              <w:rPr>
                <w:szCs w:val="24"/>
              </w:rPr>
              <w:t>nné dans les TO 4.1.1, 4.1.2 et 4.2.</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risques sont identiques aux autres mesures 4.1 :</w:t>
            </w:r>
          </w:p>
          <w:p w:rsidR="0035701C" w:rsidRDefault="00FB561B">
            <w:pPr>
              <w:spacing w:before="240" w:after="240"/>
              <w:jc w:val="left"/>
              <w:rPr>
                <w:szCs w:val="24"/>
              </w:rPr>
            </w:pPr>
            <w:r>
              <w:rPr>
                <w:szCs w:val="24"/>
                <w:u w:val="single"/>
              </w:rPr>
              <w:t xml:space="preserve">Risques identifiés selon la méthodologie </w:t>
            </w:r>
            <w:r>
              <w:rPr>
                <w:szCs w:val="24"/>
                <w:u w:val="single"/>
              </w:rPr>
              <w:t>présentée par l’OP (cf. chapitre 18) :</w:t>
            </w:r>
          </w:p>
          <w:p w:rsidR="0035701C" w:rsidRDefault="00FB561B">
            <w:pPr>
              <w:spacing w:before="240" w:after="240"/>
              <w:jc w:val="left"/>
              <w:rPr>
                <w:szCs w:val="24"/>
              </w:rPr>
            </w:pPr>
            <w:r>
              <w:rPr>
                <w:szCs w:val="24"/>
              </w:rPr>
              <w:t>n°1 - R1 : Pour les formes juridiques sociétaires ou associatives, les collectivités, conformité des statuts et actes, mise à jour effective et conforme au long de la période d’engagement. (source : Législation nation</w:t>
            </w:r>
            <w:r>
              <w:rPr>
                <w:szCs w:val="24"/>
              </w:rPr>
              <w:t>ale : décalage entre Droit Social, Droit des Sociétés, Droit Rural)</w:t>
            </w:r>
          </w:p>
          <w:p w:rsidR="0035701C" w:rsidRDefault="00FB561B">
            <w:pPr>
              <w:spacing w:before="240" w:after="240"/>
              <w:jc w:val="left"/>
              <w:rPr>
                <w:szCs w:val="24"/>
              </w:rPr>
            </w:pPr>
            <w:r>
              <w:rPr>
                <w:szCs w:val="24"/>
              </w:rPr>
              <w:t>n°2 - R10 : Pour les travaux, risque de surfaces déjà financées par ailleurs (toujours sous engagement d'anciens contrats, ou financées sur les opérations à destination des agriculteurs (e</w:t>
            </w:r>
            <w:r>
              <w:rPr>
                <w:szCs w:val="24"/>
              </w:rPr>
              <w:t>x : 121A, B, C) (source : Ponctuel sur Retour d'Expérience)</w:t>
            </w:r>
          </w:p>
          <w:p w:rsidR="0035701C" w:rsidRDefault="00FB561B">
            <w:pPr>
              <w:spacing w:before="240" w:after="240"/>
              <w:jc w:val="left"/>
              <w:rPr>
                <w:szCs w:val="24"/>
              </w:rPr>
            </w:pPr>
            <w:r>
              <w:rPr>
                <w:szCs w:val="24"/>
              </w:rPr>
              <w:t>n°3 - R2 : Pour les travaux, hors coûts standards, s'assurer de leur caractère raisonnable (source : CCCOP Exercice 2012-2014).</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recommandations de l'OP sont de même nat</w:t>
            </w:r>
            <w:r>
              <w:rPr>
                <w:szCs w:val="24"/>
              </w:rPr>
              <w:t>ure que pour les autres TO 4.1:</w:t>
            </w:r>
          </w:p>
          <w:p w:rsidR="0035701C" w:rsidRDefault="00FB561B">
            <w:pPr>
              <w:spacing w:before="240" w:after="240"/>
              <w:jc w:val="left"/>
              <w:rPr>
                <w:szCs w:val="24"/>
              </w:rPr>
            </w:pPr>
            <w:r>
              <w:rPr>
                <w:szCs w:val="24"/>
              </w:rPr>
              <w:t>n°1 - R1 : VERIFIER Pour les formes juridiques sociétaires ou associatives, conformité des statuts et actes, mise à jour effective et conforme.</w:t>
            </w:r>
          </w:p>
          <w:p w:rsidR="0035701C" w:rsidRDefault="00FB561B">
            <w:pPr>
              <w:spacing w:before="240" w:after="240"/>
              <w:jc w:val="left"/>
              <w:rPr>
                <w:szCs w:val="24"/>
              </w:rPr>
            </w:pPr>
            <w:r>
              <w:rPr>
                <w:szCs w:val="24"/>
              </w:rPr>
              <w:t>n°2 - R10 : EXECUTER UN CONTRÔLE CROISE des aides aux bénéficiaires de l'opérati</w:t>
            </w:r>
            <w:r>
              <w:rPr>
                <w:szCs w:val="24"/>
              </w:rPr>
              <w:t>on avec les autres aides dont ils ont bénéficié ou dont ils bénéficient, et avec celles des bénéficiaires secondaires (cas des coopératives).</w:t>
            </w:r>
          </w:p>
          <w:p w:rsidR="0035701C" w:rsidRDefault="00FB561B">
            <w:pPr>
              <w:spacing w:before="240" w:after="240"/>
              <w:jc w:val="left"/>
              <w:rPr>
                <w:szCs w:val="24"/>
              </w:rPr>
            </w:pPr>
            <w:r>
              <w:rPr>
                <w:szCs w:val="24"/>
              </w:rPr>
              <w:t xml:space="preserve">                   MAINTENIR ce point de contrôle administratif de la demande d'aide à la fin de la période </w:t>
            </w:r>
            <w:r>
              <w:rPr>
                <w:szCs w:val="24"/>
              </w:rPr>
              <w:t>d'engagement.</w:t>
            </w:r>
          </w:p>
          <w:p w:rsidR="0035701C" w:rsidRDefault="00FB561B">
            <w:pPr>
              <w:spacing w:before="240" w:after="240"/>
              <w:jc w:val="left"/>
              <w:rPr>
                <w:szCs w:val="24"/>
              </w:rPr>
            </w:pPr>
            <w:r>
              <w:rPr>
                <w:szCs w:val="24"/>
              </w:rPr>
              <w:t>n°3 - R2  : FORMALISER en l’absence de recours à des coûts relevant de l’article 62.2 du R/UE 1305/2013, la mise en place d’un protocole d’évaluation à partir de 3 devis et/ou avis authentique du comité technique en charge de la sélection des</w:t>
            </w:r>
            <w:r>
              <w:rPr>
                <w:szCs w:val="24"/>
              </w:rPr>
              <w:t xml:space="preserve"> opérations garantissant le caractère raisonnable de la dépense.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L'évaluation du risque par l'OP est de même nature que pour les autres TO 4.1:</w:t>
            </w:r>
          </w:p>
          <w:p w:rsidR="0035701C" w:rsidRDefault="00FB561B">
            <w:pPr>
              <w:spacing w:before="240" w:after="240"/>
              <w:jc w:val="left"/>
              <w:rPr>
                <w:szCs w:val="24"/>
              </w:rPr>
            </w:pPr>
            <w:r>
              <w:rPr>
                <w:szCs w:val="24"/>
              </w:rPr>
              <w:t>- Ce TO reçoit une évaluation  correcte peu risquée ; Les mécanismes de mise e</w:t>
            </w:r>
            <w:r>
              <w:rPr>
                <w:szCs w:val="24"/>
              </w:rPr>
              <w:t>n œuvre sont connus et maîtrisés par tous les acteurs.</w:t>
            </w:r>
          </w:p>
          <w:p w:rsidR="0035701C" w:rsidRDefault="00FB561B">
            <w:pPr>
              <w:spacing w:before="240" w:after="240"/>
              <w:jc w:val="left"/>
              <w:rPr>
                <w:szCs w:val="24"/>
              </w:rPr>
            </w:pPr>
            <w:r>
              <w:rPr>
                <w:szCs w:val="24"/>
              </w:rPr>
              <w:t>- Concernant l'évaluation globale de la mesure : la mesure est contrôlable sous réserve des précisions apportées dans les appels à projets.</w:t>
            </w:r>
          </w:p>
          <w:p w:rsidR="0035701C" w:rsidRDefault="0035701C">
            <w:pPr>
              <w:pStyle w:val="Corpsdetexte"/>
            </w:pPr>
          </w:p>
        </w:tc>
      </w:tr>
    </w:tbl>
    <w:p w:rsidR="0035701C" w:rsidRDefault="00FB561B">
      <w:pPr>
        <w:pStyle w:val="Titre6"/>
      </w:pPr>
      <w:r>
        <w:t xml:space="preserve">Méthode de calcul du montant ou du taux d’aide, le cas </w:t>
      </w:r>
      <w:r>
        <w:t>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pPr>
        <w:pStyle w:val="Titre6"/>
      </w:pPr>
      <w:r>
        <w:t>Informations spécifiques sur l'opération</w:t>
      </w:r>
    </w:p>
    <w:p w:rsidR="0035701C" w:rsidRDefault="00FB561B">
      <w:r>
        <w:t>Définition des investissements non productifs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Définition des investissements collectifs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Définition des projets intégrés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 xml:space="preserve">Définition et recensement des zones Natura 2000 et des autres zones à haute </w:t>
      </w:r>
      <w:r>
        <w:t>valeur naturelle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Description du ciblage de l’aide aux exploitations conformément à l’analyse  SWOT réalisée en ce qui concerne la priorité visée à l'article 5, paragraphe 2,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Liste des nouvelles exigences impos</w:t>
      </w:r>
      <w:r>
        <w:t>ées par la législation de l’Union dont le respect permet l'octroi d'une aide en vertu de l’article 17, paragraphe 6,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S'il y a lieu, normes minimales en matière d’efficacité énergétique visées à l’article 13, point c), du rè</w:t>
      </w:r>
      <w:r>
        <w:t>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S'il y a lieu, définition des valeurs seuils visées à l’article 13, point e),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5"/>
        <w:rPr>
          <w:b w:val="0"/>
        </w:rPr>
      </w:pPr>
      <w:r>
        <w:rPr>
          <w:b w:val="0"/>
        </w:rPr>
        <w:br w:type="page"/>
        <w:t>4.2 - IAA</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322"/>
              </w:numPr>
            </w:pPr>
            <w:r>
              <w:t xml:space="preserve">4.2 – Aide aux investissements dans la transformation, la </w:t>
            </w:r>
            <w:r>
              <w:t>commercialisation et/ou le développement de produits agricoles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Sous-titre complet de l’opération : IAA = Investissements en faveur de la transformation et la commercialisation de produits agricoles et IAA (Industries Agro </w:t>
            </w:r>
            <w:r>
              <w:rPr>
                <w:b/>
                <w:bCs/>
                <w:szCs w:val="24"/>
              </w:rPr>
              <w:t>Alimentaires)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Les interventions concernent l’accompagnement des investissements de stockage, de transformation, de conditionnement et de commercialisation des matières premières agricoles relevant de l'annexe I du TFUE, à l'exclusion des produits de la p</w:t>
            </w:r>
            <w:r>
              <w:rPr>
                <w:szCs w:val="24"/>
              </w:rPr>
              <w:t>êche ; le résultat du processus de production peut être un produit ne relevant pas de cette annexe.</w:t>
            </w:r>
          </w:p>
          <w:p w:rsidR="0035701C" w:rsidRDefault="00FB561B">
            <w:pPr>
              <w:spacing w:before="240" w:after="240"/>
              <w:jc w:val="left"/>
              <w:rPr>
                <w:szCs w:val="24"/>
              </w:rPr>
            </w:pPr>
            <w:r>
              <w:rPr>
                <w:szCs w:val="24"/>
              </w:rPr>
              <w:t>Ce type d’opération vise à soutenir les projets d’investissements ayant pour objectif :</w:t>
            </w:r>
          </w:p>
          <w:p w:rsidR="0035701C" w:rsidRDefault="00FB561B" w:rsidP="00FB561B">
            <w:pPr>
              <w:numPr>
                <w:ilvl w:val="0"/>
                <w:numId w:val="323"/>
              </w:numPr>
              <w:spacing w:before="240" w:after="0"/>
              <w:ind w:hanging="210"/>
              <w:jc w:val="left"/>
              <w:rPr>
                <w:szCs w:val="24"/>
              </w:rPr>
            </w:pPr>
            <w:r>
              <w:rPr>
                <w:szCs w:val="24"/>
              </w:rPr>
              <w:t>le développement des industries agro-alimentaires (I.A.A) au travers</w:t>
            </w:r>
            <w:r>
              <w:rPr>
                <w:szCs w:val="24"/>
              </w:rPr>
              <w:t xml:space="preserve"> de l’amélioration de la compétitivité du tissu de ces entreprises,</w:t>
            </w:r>
          </w:p>
          <w:p w:rsidR="0035701C" w:rsidRDefault="00FB561B" w:rsidP="00FB561B">
            <w:pPr>
              <w:numPr>
                <w:ilvl w:val="0"/>
                <w:numId w:val="323"/>
              </w:numPr>
              <w:spacing w:before="0" w:after="0"/>
              <w:ind w:hanging="210"/>
              <w:jc w:val="left"/>
              <w:rPr>
                <w:szCs w:val="24"/>
              </w:rPr>
            </w:pPr>
            <w:r>
              <w:rPr>
                <w:szCs w:val="24"/>
              </w:rPr>
              <w:t>le renforcement de l’ancrage territorial des filières agro-alimentaires, par le développement du lien avec l’amont agricole pour l’ensemble des secteurs potentiellement concernés (producti</w:t>
            </w:r>
            <w:r>
              <w:rPr>
                <w:szCs w:val="24"/>
              </w:rPr>
              <w:t>ons animales et végétales), et l’émergence de circuits courts favorisant le rapprochement producteurs/consommateurs.</w:t>
            </w:r>
          </w:p>
          <w:p w:rsidR="0035701C" w:rsidRDefault="00FB561B" w:rsidP="00FB561B">
            <w:pPr>
              <w:numPr>
                <w:ilvl w:val="0"/>
                <w:numId w:val="323"/>
              </w:numPr>
              <w:spacing w:before="0" w:after="240"/>
              <w:ind w:hanging="210"/>
              <w:jc w:val="left"/>
              <w:rPr>
                <w:szCs w:val="24"/>
              </w:rPr>
            </w:pPr>
            <w:r>
              <w:rPr>
                <w:szCs w:val="24"/>
              </w:rPr>
              <w:t>le développement de circuits de proximité en direction de la population locale ou touristique, ou de marchés continentaux. .</w:t>
            </w:r>
          </w:p>
          <w:p w:rsidR="0035701C" w:rsidRDefault="00FB561B">
            <w:pPr>
              <w:spacing w:before="240" w:after="240"/>
              <w:jc w:val="left"/>
              <w:rPr>
                <w:szCs w:val="24"/>
              </w:rPr>
            </w:pPr>
            <w:r>
              <w:rPr>
                <w:szCs w:val="24"/>
              </w:rPr>
              <w:t xml:space="preserve">Les secteurs </w:t>
            </w:r>
            <w:r>
              <w:rPr>
                <w:szCs w:val="24"/>
              </w:rPr>
              <w:t>agro-alimentaires concernés sont notamment :</w:t>
            </w:r>
          </w:p>
          <w:p w:rsidR="0035701C" w:rsidRDefault="00FB561B" w:rsidP="00FB561B">
            <w:pPr>
              <w:numPr>
                <w:ilvl w:val="0"/>
                <w:numId w:val="324"/>
              </w:numPr>
              <w:spacing w:before="240" w:after="0"/>
              <w:ind w:hanging="210"/>
              <w:jc w:val="left"/>
              <w:rPr>
                <w:szCs w:val="24"/>
              </w:rPr>
            </w:pPr>
            <w:r>
              <w:rPr>
                <w:szCs w:val="24"/>
              </w:rPr>
              <w:t>la 1ère transformation en produits agricoles et leur commercialisation : produits laitiers, produits carnés, production oléicole, vins et spiritueux, secteur des fruits et légumes,</w:t>
            </w:r>
          </w:p>
          <w:p w:rsidR="0035701C" w:rsidRDefault="00FB561B" w:rsidP="00FB561B">
            <w:pPr>
              <w:numPr>
                <w:ilvl w:val="0"/>
                <w:numId w:val="324"/>
              </w:numPr>
              <w:spacing w:before="0" w:after="240"/>
              <w:ind w:hanging="210"/>
              <w:jc w:val="left"/>
              <w:rPr>
                <w:szCs w:val="24"/>
              </w:rPr>
            </w:pPr>
            <w:r>
              <w:rPr>
                <w:szCs w:val="24"/>
              </w:rPr>
              <w:t>la seconde transformation de p</w:t>
            </w:r>
            <w:r>
              <w:rPr>
                <w:szCs w:val="24"/>
              </w:rPr>
              <w:t>roduits agricoles.</w:t>
            </w:r>
          </w:p>
          <w:p w:rsidR="0035701C" w:rsidRDefault="00FB561B">
            <w:pPr>
              <w:spacing w:before="240" w:after="240"/>
              <w:jc w:val="left"/>
              <w:rPr>
                <w:szCs w:val="24"/>
              </w:rPr>
            </w:pPr>
            <w:r>
              <w:rPr>
                <w:szCs w:val="24"/>
              </w:rPr>
              <w:t>Cette sous-mesure est donc ciblée sur le domaine prioritaire 3a) améliorer la compétitivité des producteurs primaires en les intégrant mieux dans la chaîne agroalimentaire au moyen des programmes de qualité, en conférant une valeur ajout</w:t>
            </w:r>
            <w:r>
              <w:rPr>
                <w:szCs w:val="24"/>
              </w:rPr>
              <w:t>ée aux produits agricoles, et par le biais de la promotion sur les marchés locaux et des circuits d'approvisionnement courts, des groupements et des organisations de producteurs et des organisations interprofessionnelles.</w:t>
            </w:r>
          </w:p>
          <w:p w:rsidR="0035701C" w:rsidRDefault="00FB561B">
            <w:pPr>
              <w:spacing w:before="240" w:after="240"/>
              <w:jc w:val="left"/>
              <w:rPr>
                <w:szCs w:val="24"/>
              </w:rPr>
            </w:pPr>
            <w:r>
              <w:rPr>
                <w:szCs w:val="24"/>
              </w:rPr>
              <w:t xml:space="preserve">Elle répond également aux besoins </w:t>
            </w:r>
            <w:r>
              <w:rPr>
                <w:szCs w:val="24"/>
              </w:rPr>
              <w:t>identifiés dans la zone de programmation</w:t>
            </w:r>
          </w:p>
          <w:p w:rsidR="0035701C" w:rsidRDefault="00FB561B" w:rsidP="00FB561B">
            <w:pPr>
              <w:numPr>
                <w:ilvl w:val="0"/>
                <w:numId w:val="325"/>
              </w:numPr>
              <w:spacing w:before="240" w:after="0"/>
              <w:ind w:hanging="210"/>
              <w:jc w:val="left"/>
              <w:rPr>
                <w:szCs w:val="24"/>
              </w:rPr>
            </w:pPr>
            <w:r>
              <w:rPr>
                <w:szCs w:val="24"/>
              </w:rPr>
              <w:t>9 - Accroître et élargir la production et la transformation pour répondre à la demande et augmenter les parts du marché local</w:t>
            </w:r>
          </w:p>
          <w:p w:rsidR="0035701C" w:rsidRDefault="00FB561B" w:rsidP="00FB561B">
            <w:pPr>
              <w:numPr>
                <w:ilvl w:val="0"/>
                <w:numId w:val="325"/>
              </w:numPr>
              <w:spacing w:before="0" w:after="0"/>
              <w:ind w:hanging="210"/>
              <w:jc w:val="left"/>
              <w:rPr>
                <w:szCs w:val="24"/>
              </w:rPr>
            </w:pPr>
            <w:r>
              <w:rPr>
                <w:szCs w:val="24"/>
              </w:rPr>
              <w:t>20 - Renforcer la diffusion et la promotion des produits sur le marché local, national et</w:t>
            </w:r>
            <w:r>
              <w:rPr>
                <w:szCs w:val="24"/>
              </w:rPr>
              <w:t xml:space="preserve"> international</w:t>
            </w:r>
          </w:p>
          <w:p w:rsidR="0035701C" w:rsidRDefault="00FB561B" w:rsidP="00FB561B">
            <w:pPr>
              <w:numPr>
                <w:ilvl w:val="0"/>
                <w:numId w:val="325"/>
              </w:numPr>
              <w:spacing w:before="0" w:after="0"/>
              <w:ind w:hanging="210"/>
              <w:jc w:val="left"/>
              <w:rPr>
                <w:szCs w:val="24"/>
              </w:rPr>
            </w:pPr>
            <w:r>
              <w:rPr>
                <w:szCs w:val="24"/>
              </w:rPr>
              <w:t>21 - Promouvoir les actions collectives et l'organisation économique du producteur</w:t>
            </w:r>
          </w:p>
          <w:p w:rsidR="0035701C" w:rsidRDefault="00FB561B" w:rsidP="00FB561B">
            <w:pPr>
              <w:numPr>
                <w:ilvl w:val="0"/>
                <w:numId w:val="325"/>
              </w:numPr>
              <w:spacing w:before="0" w:after="240"/>
              <w:ind w:hanging="210"/>
              <w:jc w:val="left"/>
              <w:rPr>
                <w:szCs w:val="24"/>
              </w:rPr>
            </w:pPr>
            <w:r>
              <w:rPr>
                <w:szCs w:val="24"/>
              </w:rPr>
              <w:t>22 - Favoriser la diversification des productions par l'innovation technologique et l'émergence de nouveaux produits.</w:t>
            </w:r>
          </w:p>
          <w:p w:rsidR="0035701C" w:rsidRDefault="00FB561B">
            <w:pPr>
              <w:spacing w:before="240" w:after="240"/>
              <w:jc w:val="left"/>
              <w:rPr>
                <w:szCs w:val="24"/>
              </w:rPr>
            </w:pPr>
            <w:r>
              <w:rPr>
                <w:i/>
                <w:iCs/>
                <w:szCs w:val="24"/>
              </w:rPr>
              <w:t>Engagement du bénéficiaire</w:t>
            </w:r>
          </w:p>
          <w:p w:rsidR="0035701C" w:rsidRDefault="00FB561B" w:rsidP="00FB561B">
            <w:pPr>
              <w:numPr>
                <w:ilvl w:val="0"/>
                <w:numId w:val="326"/>
              </w:numPr>
              <w:spacing w:before="240" w:after="0"/>
              <w:ind w:hanging="210"/>
              <w:jc w:val="left"/>
              <w:rPr>
                <w:szCs w:val="24"/>
              </w:rPr>
            </w:pPr>
            <w:r>
              <w:rPr>
                <w:szCs w:val="24"/>
              </w:rPr>
              <w:t xml:space="preserve">Maintenir </w:t>
            </w:r>
            <w:r>
              <w:rPr>
                <w:szCs w:val="24"/>
              </w:rPr>
              <w:t>fonctionnellement l’investissement durant 5 années à compter de la date de solde de l’opération pour les équipements et de 10 ans pour les bâtiments.</w:t>
            </w:r>
          </w:p>
          <w:p w:rsidR="0035701C" w:rsidRDefault="00FB561B" w:rsidP="00FB561B">
            <w:pPr>
              <w:numPr>
                <w:ilvl w:val="0"/>
                <w:numId w:val="326"/>
              </w:numPr>
              <w:spacing w:before="0" w:after="0"/>
              <w:ind w:hanging="210"/>
              <w:jc w:val="left"/>
              <w:rPr>
                <w:szCs w:val="24"/>
              </w:rPr>
            </w:pPr>
            <w:r>
              <w:rPr>
                <w:szCs w:val="24"/>
              </w:rPr>
              <w:t>satisfaire aux obligations de publicité FEADER ;</w:t>
            </w:r>
          </w:p>
          <w:p w:rsidR="0035701C" w:rsidRDefault="00FB561B" w:rsidP="00FB561B">
            <w:pPr>
              <w:numPr>
                <w:ilvl w:val="0"/>
                <w:numId w:val="326"/>
              </w:numPr>
              <w:spacing w:before="0" w:after="0"/>
              <w:ind w:hanging="210"/>
              <w:jc w:val="left"/>
              <w:rPr>
                <w:szCs w:val="24"/>
              </w:rPr>
            </w:pPr>
            <w:r>
              <w:rPr>
                <w:szCs w:val="24"/>
              </w:rPr>
              <w:t>informer immédiatement l'autorité de gestion de toute ces</w:t>
            </w:r>
            <w:r>
              <w:rPr>
                <w:szCs w:val="24"/>
              </w:rPr>
              <w:t>sation d'activité ainsi que des modifications intervenant dans la mise en œuvre de l’opération.</w:t>
            </w:r>
          </w:p>
          <w:p w:rsidR="0035701C" w:rsidRDefault="00FB561B" w:rsidP="00FB561B">
            <w:pPr>
              <w:numPr>
                <w:ilvl w:val="0"/>
                <w:numId w:val="326"/>
              </w:numPr>
              <w:spacing w:before="0" w:after="240"/>
              <w:ind w:hanging="210"/>
              <w:jc w:val="left"/>
              <w:rPr>
                <w:szCs w:val="24"/>
              </w:rPr>
            </w:pPr>
            <w:r>
              <w:rPr>
                <w:szCs w:val="24"/>
              </w:rPr>
              <w:t>se conformer aux obligations liées aux contrôles administratifs sur place, sur pièces, communautaire ou national, pendant la durée de l’engagement de 5 ans.</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versée sous forme de 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Règlement de minimis n°1407/2013 de la Commission du 18 décembre 2013,</w:t>
            </w:r>
          </w:p>
          <w:p w:rsidR="0035701C" w:rsidRDefault="00FB561B">
            <w:pPr>
              <w:spacing w:before="240" w:after="240"/>
              <w:jc w:val="left"/>
              <w:rPr>
                <w:szCs w:val="24"/>
              </w:rPr>
            </w:pPr>
            <w:r>
              <w:rPr>
                <w:szCs w:val="24"/>
              </w:rPr>
              <w:t>Régime cadre exempté de notification n°SA39252 relatif aux AFR</w:t>
            </w:r>
            <w:r>
              <w:rPr>
                <w:szCs w:val="24"/>
              </w:rPr>
              <w:t xml:space="preserve"> sur la base du règlement général d’exemption n°651/2014,</w:t>
            </w:r>
          </w:p>
          <w:p w:rsidR="0035701C" w:rsidRDefault="00FB561B">
            <w:pPr>
              <w:spacing w:before="240" w:after="240"/>
              <w:jc w:val="left"/>
              <w:rPr>
                <w:szCs w:val="24"/>
              </w:rPr>
            </w:pPr>
            <w:r>
              <w:rPr>
                <w:szCs w:val="24"/>
              </w:rPr>
              <w:t>Régime cadre exempté de notification n°SA40453 relatif aux aides aux PME sur la base du règlement général d’exemption n° 651/2014,</w:t>
            </w:r>
          </w:p>
          <w:p w:rsidR="0035701C" w:rsidRDefault="00FB561B">
            <w:pPr>
              <w:spacing w:before="240" w:after="240"/>
              <w:jc w:val="left"/>
              <w:rPr>
                <w:szCs w:val="24"/>
              </w:rPr>
            </w:pPr>
            <w:r>
              <w:rPr>
                <w:szCs w:val="24"/>
              </w:rPr>
              <w:t>Régime cadre exempté de notification n°SA40391 relatif à la RDI sur</w:t>
            </w:r>
            <w:r>
              <w:rPr>
                <w:szCs w:val="24"/>
              </w:rPr>
              <w:t xml:space="preserve"> la base du règlement général d’exemption n°651/2014,</w:t>
            </w:r>
          </w:p>
          <w:p w:rsidR="0035701C" w:rsidRDefault="00FB561B">
            <w:pPr>
              <w:spacing w:before="240" w:after="240"/>
              <w:jc w:val="left"/>
              <w:rPr>
                <w:szCs w:val="24"/>
              </w:rPr>
            </w:pPr>
            <w:r>
              <w:rPr>
                <w:szCs w:val="24"/>
              </w:rPr>
              <w:t>Aide d’Etat SA37461 (2013/N) en faveur des IAA prolongeant le régime notifié n°N215/2009.</w:t>
            </w:r>
          </w:p>
          <w:p w:rsidR="0035701C" w:rsidRDefault="00FB561B">
            <w:pPr>
              <w:spacing w:before="240" w:after="240"/>
              <w:jc w:val="left"/>
              <w:rPr>
                <w:szCs w:val="24"/>
              </w:rPr>
            </w:pPr>
            <w:r>
              <w:rPr>
                <w:szCs w:val="24"/>
              </w:rPr>
              <w:t>RÈGLEMENT (UE) 2020/2220 DU PARLEMENT EUROPEEN ET DU CONSEIL du 23 décembre 2020 établissant des dispositions tr</w:t>
            </w:r>
            <w:r>
              <w:rPr>
                <w:szCs w:val="24"/>
              </w:rPr>
              <w:t>ansitoires relatives au soutien du Fonds européen agricole pour le développement rural (Feader) et du Fonds européen agricole de garantie (FEAGA) en 2021 et 2022, et modifiant les règlements (UE) no 1305/2013, (UE) no 1306/2013 et (UE) no 1307/2013 en ce q</w:t>
            </w:r>
            <w:r>
              <w:rPr>
                <w:szCs w:val="24"/>
              </w:rPr>
              <w:t>ui concerne les ressources et leur application en 2021 et 2022 et le règlement (UE) no 1308/2013 en ce qui concerne les ressources et la répartition de ce soutien pour les exercices 2021 et 2022</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entreprises et opérateurs œuvrant dans </w:t>
            </w:r>
            <w:r>
              <w:rPr>
                <w:szCs w:val="24"/>
              </w:rPr>
              <w:t>le domaine du stockage, du conditionnement de la transformation et/ou de la commercialisation des matières premières issues de l’agriculture et répondant à la définition européenne des PME (entreprises qui emploient moins de 250 personnes et dont le chiffr</w:t>
            </w:r>
            <w:r>
              <w:rPr>
                <w:szCs w:val="24"/>
              </w:rPr>
              <w:t>e d'affaires annuel n'excède pas 50 millions d'euros ou dont le total du bilan annuel n'excède pas 43 millions d'euros).</w:t>
            </w:r>
          </w:p>
          <w:p w:rsidR="0035701C" w:rsidRDefault="00FB561B">
            <w:pPr>
              <w:spacing w:before="240" w:after="240"/>
              <w:jc w:val="left"/>
              <w:rPr>
                <w:szCs w:val="24"/>
              </w:rPr>
            </w:pPr>
            <w:r>
              <w:rPr>
                <w:szCs w:val="24"/>
              </w:rPr>
              <w:t>Peuvent notamment bénéficier de cette aide :</w:t>
            </w:r>
          </w:p>
          <w:p w:rsidR="0035701C" w:rsidRDefault="00FB561B" w:rsidP="00FB561B">
            <w:pPr>
              <w:numPr>
                <w:ilvl w:val="0"/>
                <w:numId w:val="327"/>
              </w:numPr>
              <w:spacing w:before="240" w:after="0"/>
              <w:ind w:hanging="210"/>
              <w:jc w:val="left"/>
              <w:rPr>
                <w:szCs w:val="24"/>
              </w:rPr>
            </w:pPr>
            <w:r>
              <w:rPr>
                <w:szCs w:val="24"/>
              </w:rPr>
              <w:t>Les coopératives, groupements d’agriculteurs dont les projets se situent dans des locaux d</w:t>
            </w:r>
            <w:r>
              <w:rPr>
                <w:szCs w:val="24"/>
              </w:rPr>
              <w:t>istincts de l’exploitation ou associations ayant pour activité la transformation, le conditionnement, le stockage et/ou commercialisation de la production primaire.</w:t>
            </w:r>
          </w:p>
          <w:p w:rsidR="0035701C" w:rsidRDefault="00FB561B" w:rsidP="00FB561B">
            <w:pPr>
              <w:numPr>
                <w:ilvl w:val="0"/>
                <w:numId w:val="327"/>
              </w:numPr>
              <w:spacing w:before="0" w:after="0"/>
              <w:ind w:hanging="210"/>
              <w:jc w:val="left"/>
              <w:rPr>
                <w:szCs w:val="24"/>
              </w:rPr>
            </w:pPr>
            <w:r>
              <w:rPr>
                <w:szCs w:val="24"/>
              </w:rPr>
              <w:t>Les autres PME, y compris les entreprises sous forme sociétaire dont la majorité du capital</w:t>
            </w:r>
            <w:r>
              <w:rPr>
                <w:szCs w:val="24"/>
              </w:rPr>
              <w:t xml:space="preserve"> est détenue par des agriculteurs.</w:t>
            </w:r>
          </w:p>
          <w:p w:rsidR="0035701C" w:rsidRDefault="00FB561B" w:rsidP="00FB561B">
            <w:pPr>
              <w:numPr>
                <w:ilvl w:val="0"/>
                <w:numId w:val="327"/>
              </w:numPr>
              <w:spacing w:before="0" w:after="240"/>
              <w:ind w:hanging="210"/>
              <w:jc w:val="left"/>
              <w:rPr>
                <w:szCs w:val="24"/>
              </w:rPr>
            </w:pPr>
            <w:r>
              <w:rPr>
                <w:szCs w:val="24"/>
              </w:rPr>
              <w:t>Les maîtres d’ouvrage publics réalisant des investissements de transformation et/ou de commercialisation des matières premières issues de l’agriculture</w:t>
            </w:r>
          </w:p>
          <w:p w:rsidR="0035701C" w:rsidRDefault="00FB561B">
            <w:pPr>
              <w:spacing w:before="240" w:after="240"/>
              <w:jc w:val="left"/>
              <w:rPr>
                <w:szCs w:val="24"/>
              </w:rPr>
            </w:pPr>
            <w:r>
              <w:rPr>
                <w:szCs w:val="24"/>
              </w:rPr>
              <w:t>Bénéficiaires inéligibles :</w:t>
            </w:r>
          </w:p>
          <w:p w:rsidR="0035701C" w:rsidRDefault="00FB561B" w:rsidP="00FB561B">
            <w:pPr>
              <w:numPr>
                <w:ilvl w:val="0"/>
                <w:numId w:val="328"/>
              </w:numPr>
              <w:spacing w:before="240" w:after="0"/>
              <w:ind w:hanging="210"/>
              <w:jc w:val="left"/>
              <w:rPr>
                <w:szCs w:val="24"/>
              </w:rPr>
            </w:pPr>
            <w:r>
              <w:rPr>
                <w:szCs w:val="24"/>
              </w:rPr>
              <w:t>les activités de négoce,</w:t>
            </w:r>
          </w:p>
          <w:p w:rsidR="0035701C" w:rsidRDefault="00FB561B" w:rsidP="00FB561B">
            <w:pPr>
              <w:numPr>
                <w:ilvl w:val="0"/>
                <w:numId w:val="328"/>
              </w:numPr>
              <w:spacing w:before="0" w:after="240"/>
              <w:ind w:hanging="210"/>
              <w:jc w:val="left"/>
              <w:rPr>
                <w:szCs w:val="24"/>
              </w:rPr>
            </w:pPr>
            <w:r>
              <w:rPr>
                <w:szCs w:val="24"/>
              </w:rPr>
              <w:t xml:space="preserve">les artisans et </w:t>
            </w:r>
            <w:r>
              <w:rPr>
                <w:szCs w:val="24"/>
              </w:rPr>
              <w:t>commerçants de l’alimentation.</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dépenses éligibles concernent les réalisations suivantes :</w:t>
            </w:r>
          </w:p>
          <w:p w:rsidR="0035701C" w:rsidRDefault="00FB561B" w:rsidP="00FB561B">
            <w:pPr>
              <w:numPr>
                <w:ilvl w:val="0"/>
                <w:numId w:val="329"/>
              </w:numPr>
              <w:spacing w:before="240" w:after="0"/>
              <w:ind w:hanging="210"/>
              <w:jc w:val="left"/>
              <w:rPr>
                <w:szCs w:val="24"/>
              </w:rPr>
            </w:pPr>
            <w:r>
              <w:rPr>
                <w:szCs w:val="24"/>
              </w:rPr>
              <w:t xml:space="preserve">Les investissements matériels : </w:t>
            </w:r>
          </w:p>
          <w:p w:rsidR="0035701C" w:rsidRDefault="00FB561B" w:rsidP="00FB561B">
            <w:pPr>
              <w:numPr>
                <w:ilvl w:val="1"/>
                <w:numId w:val="329"/>
              </w:numPr>
              <w:spacing w:before="0" w:after="0"/>
              <w:ind w:hanging="244"/>
              <w:jc w:val="left"/>
              <w:rPr>
                <w:szCs w:val="24"/>
              </w:rPr>
            </w:pPr>
            <w:r>
              <w:rPr>
                <w:szCs w:val="24"/>
              </w:rPr>
              <w:t xml:space="preserve">Construction, acquisition, rénovation et aménagement de biens immeubles, pour ce qui concerne : </w:t>
            </w:r>
          </w:p>
          <w:p w:rsidR="0035701C" w:rsidRDefault="00FB561B" w:rsidP="00FB561B">
            <w:pPr>
              <w:numPr>
                <w:ilvl w:val="2"/>
                <w:numId w:val="329"/>
              </w:numPr>
              <w:spacing w:before="0" w:after="0"/>
              <w:ind w:hanging="210"/>
              <w:jc w:val="left"/>
              <w:rPr>
                <w:szCs w:val="24"/>
              </w:rPr>
            </w:pPr>
            <w:r>
              <w:rPr>
                <w:szCs w:val="24"/>
              </w:rPr>
              <w:t xml:space="preserve">la </w:t>
            </w:r>
            <w:r>
              <w:rPr>
                <w:szCs w:val="24"/>
              </w:rPr>
              <w:t>réalisation d’ateliers de transformation et d’affinage, y compris la partie concernant les locaux administratifs à conditions que ces derniers soient liés à ces ateliers.</w:t>
            </w:r>
          </w:p>
          <w:p w:rsidR="0035701C" w:rsidRDefault="00FB561B" w:rsidP="00FB561B">
            <w:pPr>
              <w:numPr>
                <w:ilvl w:val="2"/>
                <w:numId w:val="329"/>
              </w:numPr>
              <w:spacing w:before="0" w:after="0"/>
              <w:ind w:hanging="210"/>
              <w:jc w:val="left"/>
              <w:rPr>
                <w:szCs w:val="24"/>
              </w:rPr>
            </w:pPr>
            <w:r>
              <w:rPr>
                <w:szCs w:val="24"/>
              </w:rPr>
              <w:t>le stockage des produits transformés et leur commercialisation,</w:t>
            </w:r>
          </w:p>
          <w:p w:rsidR="0035701C" w:rsidRDefault="00FB561B" w:rsidP="00FB561B">
            <w:pPr>
              <w:numPr>
                <w:ilvl w:val="2"/>
                <w:numId w:val="329"/>
              </w:numPr>
              <w:spacing w:before="0" w:after="0"/>
              <w:ind w:hanging="210"/>
              <w:jc w:val="left"/>
              <w:rPr>
                <w:szCs w:val="24"/>
              </w:rPr>
            </w:pPr>
            <w:r>
              <w:rPr>
                <w:szCs w:val="24"/>
              </w:rPr>
              <w:t>l’achat de terrain no</w:t>
            </w:r>
            <w:r>
              <w:rPr>
                <w:szCs w:val="24"/>
              </w:rPr>
              <w:t>n bâti, dans la limite de 10% des dépenses totales éligibles de l’opération.</w:t>
            </w:r>
          </w:p>
          <w:p w:rsidR="0035701C" w:rsidRDefault="00FB561B" w:rsidP="00FB561B">
            <w:pPr>
              <w:numPr>
                <w:ilvl w:val="2"/>
                <w:numId w:val="329"/>
              </w:numPr>
              <w:spacing w:before="0" w:after="0"/>
              <w:ind w:hanging="210"/>
              <w:jc w:val="left"/>
              <w:rPr>
                <w:szCs w:val="24"/>
              </w:rPr>
            </w:pPr>
            <w:r>
              <w:rPr>
                <w:szCs w:val="24"/>
              </w:rPr>
              <w:t>la réalisation de plateformes logistiques.</w:t>
            </w:r>
          </w:p>
          <w:p w:rsidR="0035701C" w:rsidRDefault="00FB561B" w:rsidP="00FB561B">
            <w:pPr>
              <w:numPr>
                <w:ilvl w:val="1"/>
                <w:numId w:val="329"/>
              </w:numPr>
              <w:spacing w:before="0" w:after="0"/>
              <w:ind w:hanging="244"/>
              <w:jc w:val="left"/>
              <w:rPr>
                <w:szCs w:val="24"/>
              </w:rPr>
            </w:pPr>
            <w:r>
              <w:rPr>
                <w:szCs w:val="24"/>
              </w:rPr>
              <w:t xml:space="preserve">Acquisition et installation de matériels et d’équipements neufs : </w:t>
            </w:r>
          </w:p>
          <w:p w:rsidR="0035701C" w:rsidRDefault="00FB561B" w:rsidP="00FB561B">
            <w:pPr>
              <w:numPr>
                <w:ilvl w:val="2"/>
                <w:numId w:val="329"/>
              </w:numPr>
              <w:spacing w:before="0" w:after="0"/>
              <w:ind w:hanging="210"/>
              <w:jc w:val="left"/>
              <w:rPr>
                <w:szCs w:val="24"/>
              </w:rPr>
            </w:pPr>
            <w:r>
              <w:rPr>
                <w:szCs w:val="24"/>
              </w:rPr>
              <w:t>le matériel de transformation,</w:t>
            </w:r>
          </w:p>
          <w:p w:rsidR="0035701C" w:rsidRDefault="00FB561B" w:rsidP="00FB561B">
            <w:pPr>
              <w:numPr>
                <w:ilvl w:val="2"/>
                <w:numId w:val="329"/>
              </w:numPr>
              <w:spacing w:before="0" w:after="0"/>
              <w:ind w:hanging="210"/>
              <w:jc w:val="left"/>
              <w:rPr>
                <w:szCs w:val="24"/>
              </w:rPr>
            </w:pPr>
            <w:r>
              <w:rPr>
                <w:szCs w:val="24"/>
              </w:rPr>
              <w:t>les équipements de manutention et de c</w:t>
            </w:r>
            <w:r>
              <w:rPr>
                <w:szCs w:val="24"/>
              </w:rPr>
              <w:t>onditionnement,</w:t>
            </w:r>
          </w:p>
          <w:p w:rsidR="0035701C" w:rsidRDefault="00FB561B" w:rsidP="00FB561B">
            <w:pPr>
              <w:numPr>
                <w:ilvl w:val="2"/>
                <w:numId w:val="329"/>
              </w:numPr>
              <w:spacing w:before="0" w:after="0"/>
              <w:ind w:hanging="210"/>
              <w:jc w:val="left"/>
              <w:rPr>
                <w:szCs w:val="24"/>
              </w:rPr>
            </w:pPr>
            <w:r>
              <w:rPr>
                <w:szCs w:val="24"/>
              </w:rPr>
              <w:t>les équipements et agencement mobilier des locaux de commercialisation,</w:t>
            </w:r>
          </w:p>
          <w:p w:rsidR="0035701C" w:rsidRDefault="00FB561B" w:rsidP="00FB561B">
            <w:pPr>
              <w:numPr>
                <w:ilvl w:val="2"/>
                <w:numId w:val="329"/>
              </w:numPr>
              <w:spacing w:before="0" w:after="0"/>
              <w:ind w:hanging="210"/>
              <w:jc w:val="left"/>
              <w:rPr>
                <w:szCs w:val="24"/>
              </w:rPr>
            </w:pPr>
            <w:r>
              <w:rPr>
                <w:szCs w:val="24"/>
              </w:rPr>
              <w:t>le matériel relatif à la mise en place de systèmes de pilotage, de gestion de la qualité, de sécurité sanitaire…</w:t>
            </w:r>
          </w:p>
          <w:p w:rsidR="0035701C" w:rsidRDefault="00FB561B" w:rsidP="00FB561B">
            <w:pPr>
              <w:numPr>
                <w:ilvl w:val="0"/>
                <w:numId w:val="329"/>
              </w:numPr>
              <w:spacing w:before="0" w:after="0"/>
              <w:ind w:hanging="210"/>
              <w:jc w:val="left"/>
              <w:rPr>
                <w:szCs w:val="24"/>
              </w:rPr>
            </w:pPr>
            <w:r>
              <w:rPr>
                <w:szCs w:val="24"/>
              </w:rPr>
              <w:t xml:space="preserve">Les investissements immatériels : </w:t>
            </w:r>
          </w:p>
          <w:p w:rsidR="0035701C" w:rsidRDefault="00FB561B" w:rsidP="00FB561B">
            <w:pPr>
              <w:numPr>
                <w:ilvl w:val="1"/>
                <w:numId w:val="329"/>
              </w:numPr>
              <w:spacing w:before="0" w:after="0"/>
              <w:ind w:hanging="244"/>
              <w:jc w:val="left"/>
              <w:rPr>
                <w:szCs w:val="24"/>
              </w:rPr>
            </w:pPr>
            <w:r>
              <w:rPr>
                <w:szCs w:val="24"/>
              </w:rPr>
              <w:t>logiciels de traçabi</w:t>
            </w:r>
            <w:r>
              <w:rPr>
                <w:szCs w:val="24"/>
              </w:rPr>
              <w:t>lité, de gestion commerciale,</w:t>
            </w:r>
          </w:p>
          <w:p w:rsidR="0035701C" w:rsidRDefault="00FB561B" w:rsidP="00FB561B">
            <w:pPr>
              <w:numPr>
                <w:ilvl w:val="1"/>
                <w:numId w:val="329"/>
              </w:numPr>
              <w:spacing w:before="0" w:after="0"/>
              <w:ind w:hanging="244"/>
              <w:jc w:val="left"/>
              <w:rPr>
                <w:szCs w:val="24"/>
              </w:rPr>
            </w:pPr>
            <w:r>
              <w:rPr>
                <w:szCs w:val="24"/>
              </w:rPr>
              <w:t>acquisition de brevets et de licences, dépôt de marques,</w:t>
            </w:r>
          </w:p>
          <w:p w:rsidR="0035701C" w:rsidRDefault="00FB561B" w:rsidP="00FB561B">
            <w:pPr>
              <w:numPr>
                <w:ilvl w:val="0"/>
                <w:numId w:val="329"/>
              </w:numPr>
              <w:spacing w:before="0" w:after="0"/>
              <w:ind w:hanging="210"/>
              <w:jc w:val="left"/>
              <w:rPr>
                <w:szCs w:val="24"/>
              </w:rPr>
            </w:pPr>
            <w:r>
              <w:rPr>
                <w:szCs w:val="24"/>
              </w:rPr>
              <w:t xml:space="preserve"> Les frais généraux relatifs au projet dans la limite de 10% des dépenses totales éligibles de l’opération : </w:t>
            </w:r>
          </w:p>
          <w:p w:rsidR="0035701C" w:rsidRDefault="00FB561B" w:rsidP="00FB561B">
            <w:pPr>
              <w:numPr>
                <w:ilvl w:val="1"/>
                <w:numId w:val="329"/>
              </w:numPr>
              <w:spacing w:before="0" w:after="0"/>
              <w:ind w:hanging="244"/>
              <w:jc w:val="left"/>
              <w:rPr>
                <w:szCs w:val="24"/>
              </w:rPr>
            </w:pPr>
            <w:r>
              <w:rPr>
                <w:szCs w:val="24"/>
              </w:rPr>
              <w:t xml:space="preserve">études de faisabilité induites par le projet </w:t>
            </w:r>
            <w:r>
              <w:rPr>
                <w:szCs w:val="24"/>
              </w:rPr>
              <w:t>d’investissement. Celles-ci demeurent des dépenses admissibles même lorsque compte tenu de leurs résultats aucune dépense relevant d’un investissement n'est engagée. :</w:t>
            </w:r>
          </w:p>
          <w:p w:rsidR="0035701C" w:rsidRDefault="00FB561B" w:rsidP="00FB561B">
            <w:pPr>
              <w:numPr>
                <w:ilvl w:val="1"/>
                <w:numId w:val="329"/>
              </w:numPr>
              <w:spacing w:before="0" w:after="0"/>
              <w:ind w:hanging="244"/>
              <w:jc w:val="left"/>
              <w:rPr>
                <w:szCs w:val="24"/>
              </w:rPr>
            </w:pPr>
            <w:r>
              <w:rPr>
                <w:szCs w:val="24"/>
              </w:rPr>
              <w:t>études préalable liées à un projet, notamment : étude de marché, étude pour la mise en œ</w:t>
            </w:r>
            <w:r>
              <w:rPr>
                <w:szCs w:val="24"/>
              </w:rPr>
              <w:t>uvre de démarche qualité certifiée et de traçabilité, études marketing. ,</w:t>
            </w:r>
          </w:p>
          <w:p w:rsidR="0035701C" w:rsidRDefault="00FB561B" w:rsidP="00FB561B">
            <w:pPr>
              <w:numPr>
                <w:ilvl w:val="1"/>
                <w:numId w:val="329"/>
              </w:numPr>
              <w:spacing w:before="0" w:after="240"/>
              <w:ind w:hanging="244"/>
              <w:jc w:val="left"/>
              <w:rPr>
                <w:szCs w:val="24"/>
              </w:rPr>
            </w:pPr>
            <w:r>
              <w:rPr>
                <w:szCs w:val="24"/>
              </w:rPr>
              <w:t> honoraires et frais d'expertise.</w:t>
            </w:r>
          </w:p>
          <w:p w:rsidR="0035701C" w:rsidRDefault="00FB561B">
            <w:pPr>
              <w:spacing w:before="240" w:after="240"/>
              <w:jc w:val="left"/>
              <w:rPr>
                <w:szCs w:val="24"/>
              </w:rPr>
            </w:pPr>
            <w:r>
              <w:rPr>
                <w:szCs w:val="24"/>
              </w:rPr>
              <w:t>Dépenses non éligibles</w:t>
            </w:r>
          </w:p>
          <w:p w:rsidR="0035701C" w:rsidRDefault="00FB561B" w:rsidP="00FB561B">
            <w:pPr>
              <w:numPr>
                <w:ilvl w:val="0"/>
                <w:numId w:val="330"/>
              </w:numPr>
              <w:spacing w:before="240" w:after="0"/>
              <w:ind w:hanging="210"/>
              <w:jc w:val="left"/>
              <w:rPr>
                <w:szCs w:val="24"/>
              </w:rPr>
            </w:pPr>
            <w:r>
              <w:rPr>
                <w:szCs w:val="24"/>
              </w:rPr>
              <w:t>les ressources humaines,</w:t>
            </w:r>
          </w:p>
          <w:p w:rsidR="0035701C" w:rsidRDefault="00FB561B" w:rsidP="00FB561B">
            <w:pPr>
              <w:numPr>
                <w:ilvl w:val="0"/>
                <w:numId w:val="330"/>
              </w:numPr>
              <w:spacing w:before="0" w:after="0"/>
              <w:ind w:hanging="210"/>
              <w:jc w:val="left"/>
              <w:rPr>
                <w:szCs w:val="24"/>
              </w:rPr>
            </w:pPr>
            <w:r>
              <w:rPr>
                <w:szCs w:val="24"/>
              </w:rPr>
              <w:t>les frais de déménagement, de démolition et d’installation du chantier,</w:t>
            </w:r>
          </w:p>
          <w:p w:rsidR="0035701C" w:rsidRDefault="00FB561B" w:rsidP="00FB561B">
            <w:pPr>
              <w:numPr>
                <w:ilvl w:val="0"/>
                <w:numId w:val="330"/>
              </w:numPr>
              <w:spacing w:before="0" w:after="0"/>
              <w:ind w:hanging="210"/>
              <w:jc w:val="left"/>
              <w:rPr>
                <w:szCs w:val="24"/>
              </w:rPr>
            </w:pPr>
            <w:r>
              <w:rPr>
                <w:szCs w:val="24"/>
              </w:rPr>
              <w:t>les locaux à usage social ou</w:t>
            </w:r>
            <w:r>
              <w:rPr>
                <w:szCs w:val="24"/>
              </w:rPr>
              <w:t xml:space="preserve"> de logement, voirie, aménagement paysager,</w:t>
            </w:r>
          </w:p>
          <w:p w:rsidR="0035701C" w:rsidRDefault="00FB561B" w:rsidP="00FB561B">
            <w:pPr>
              <w:numPr>
                <w:ilvl w:val="0"/>
                <w:numId w:val="330"/>
              </w:numPr>
              <w:spacing w:before="0" w:after="0"/>
              <w:ind w:hanging="210"/>
              <w:jc w:val="left"/>
              <w:rPr>
                <w:szCs w:val="24"/>
              </w:rPr>
            </w:pPr>
            <w:r>
              <w:rPr>
                <w:szCs w:val="24"/>
              </w:rPr>
              <w:t>le matériel d’occasion, les fournitures et le petit matériel (non amortissable et coût unitaire &lt; 300€),</w:t>
            </w:r>
          </w:p>
          <w:p w:rsidR="0035701C" w:rsidRDefault="00FB561B" w:rsidP="00FB561B">
            <w:pPr>
              <w:numPr>
                <w:ilvl w:val="0"/>
                <w:numId w:val="330"/>
              </w:numPr>
              <w:spacing w:before="0" w:after="0"/>
              <w:ind w:hanging="210"/>
              <w:jc w:val="left"/>
              <w:rPr>
                <w:szCs w:val="24"/>
              </w:rPr>
            </w:pPr>
            <w:r>
              <w:rPr>
                <w:szCs w:val="24"/>
              </w:rPr>
              <w:t>les équipements de simple remplacement,</w:t>
            </w:r>
          </w:p>
          <w:p w:rsidR="0035701C" w:rsidRDefault="00FB561B" w:rsidP="00FB561B">
            <w:pPr>
              <w:numPr>
                <w:ilvl w:val="0"/>
                <w:numId w:val="330"/>
              </w:numPr>
              <w:spacing w:before="0" w:after="0"/>
              <w:ind w:hanging="210"/>
              <w:jc w:val="left"/>
              <w:rPr>
                <w:szCs w:val="24"/>
              </w:rPr>
            </w:pPr>
            <w:r>
              <w:rPr>
                <w:szCs w:val="24"/>
              </w:rPr>
              <w:t>les investissements de mise aux normes déjà en vigueur (hors condit</w:t>
            </w:r>
            <w:r>
              <w:rPr>
                <w:szCs w:val="24"/>
              </w:rPr>
              <w:t>ions prévues aux points 5 et 6 de l'article 17 du règlement 1305/2013),</w:t>
            </w:r>
          </w:p>
          <w:p w:rsidR="0035701C" w:rsidRDefault="00FB561B" w:rsidP="00FB561B">
            <w:pPr>
              <w:numPr>
                <w:ilvl w:val="0"/>
                <w:numId w:val="330"/>
              </w:numPr>
              <w:spacing w:before="0" w:after="0"/>
              <w:ind w:hanging="210"/>
              <w:jc w:val="left"/>
              <w:rPr>
                <w:szCs w:val="24"/>
              </w:rPr>
            </w:pPr>
            <w:r>
              <w:rPr>
                <w:szCs w:val="24"/>
              </w:rPr>
              <w:t>les dépenses de promotion, et de communication,</w:t>
            </w:r>
          </w:p>
          <w:p w:rsidR="0035701C" w:rsidRDefault="00FB561B" w:rsidP="00FB561B">
            <w:pPr>
              <w:numPr>
                <w:ilvl w:val="0"/>
                <w:numId w:val="330"/>
              </w:numPr>
              <w:spacing w:before="0" w:after="0"/>
              <w:ind w:hanging="210"/>
              <w:jc w:val="left"/>
              <w:rPr>
                <w:szCs w:val="24"/>
              </w:rPr>
            </w:pPr>
            <w:r>
              <w:rPr>
                <w:szCs w:val="24"/>
              </w:rPr>
              <w:t>une aide à l’export autre que les investissements de plateforme logistique,</w:t>
            </w:r>
          </w:p>
          <w:p w:rsidR="0035701C" w:rsidRDefault="00FB561B" w:rsidP="00FB561B">
            <w:pPr>
              <w:numPr>
                <w:ilvl w:val="0"/>
                <w:numId w:val="330"/>
              </w:numPr>
              <w:spacing w:before="0" w:after="0"/>
              <w:ind w:hanging="210"/>
              <w:jc w:val="left"/>
              <w:rPr>
                <w:szCs w:val="24"/>
              </w:rPr>
            </w:pPr>
            <w:r>
              <w:rPr>
                <w:szCs w:val="24"/>
              </w:rPr>
              <w:t xml:space="preserve">les conseils fiscaux, la tenue des comptes et les </w:t>
            </w:r>
            <w:r>
              <w:rPr>
                <w:szCs w:val="24"/>
              </w:rPr>
              <w:t>prestations réglementaires,</w:t>
            </w:r>
          </w:p>
          <w:p w:rsidR="0035701C" w:rsidRDefault="00FB561B" w:rsidP="00FB561B">
            <w:pPr>
              <w:numPr>
                <w:ilvl w:val="0"/>
                <w:numId w:val="330"/>
              </w:numPr>
              <w:spacing w:before="0" w:after="240"/>
              <w:ind w:hanging="210"/>
              <w:jc w:val="left"/>
              <w:rPr>
                <w:szCs w:val="24"/>
              </w:rPr>
            </w:pPr>
            <w:r>
              <w:rPr>
                <w:szCs w:val="24"/>
              </w:rPr>
              <w:t>les coûts internes au maître d’ouvrage pour le montage du projet.</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Conditions relatives au bénéficiaire :</w:t>
            </w:r>
          </w:p>
          <w:p w:rsidR="0035701C" w:rsidRDefault="00FB561B" w:rsidP="00FB561B">
            <w:pPr>
              <w:numPr>
                <w:ilvl w:val="0"/>
                <w:numId w:val="331"/>
              </w:numPr>
              <w:spacing w:before="240" w:after="240"/>
              <w:ind w:hanging="210"/>
              <w:jc w:val="left"/>
              <w:rPr>
                <w:szCs w:val="24"/>
              </w:rPr>
            </w:pPr>
            <w:r>
              <w:rPr>
                <w:szCs w:val="24"/>
              </w:rPr>
              <w:t>L’entreprise doit être une PME : Micro Entreprise, Petite et Moyenne Entreprise.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Conditions relatives au projet :</w:t>
            </w:r>
          </w:p>
          <w:p w:rsidR="0035701C" w:rsidRDefault="00FB561B" w:rsidP="00FB561B">
            <w:pPr>
              <w:numPr>
                <w:ilvl w:val="0"/>
                <w:numId w:val="332"/>
              </w:numPr>
              <w:spacing w:before="240" w:after="0"/>
              <w:ind w:hanging="210"/>
              <w:jc w:val="left"/>
              <w:rPr>
                <w:szCs w:val="24"/>
              </w:rPr>
            </w:pPr>
            <w:r>
              <w:rPr>
                <w:szCs w:val="24"/>
              </w:rPr>
              <w:t>Le projet doit se réaliser en Corse, sauf dans le cas de l’établissement d’une plateforme logistique gérée par un groupement d’entreprise. Dans ce cas les conditions de l'art 70.2 du règlement (UE) n° 1303/2013 s'appliquent</w:t>
            </w:r>
            <w:r>
              <w:rPr>
                <w:szCs w:val="24"/>
              </w:rPr>
              <w:t>.</w:t>
            </w:r>
          </w:p>
          <w:p w:rsidR="0035701C" w:rsidRDefault="00FB561B" w:rsidP="00FB561B">
            <w:pPr>
              <w:numPr>
                <w:ilvl w:val="0"/>
                <w:numId w:val="332"/>
              </w:numPr>
              <w:spacing w:before="0" w:after="0"/>
              <w:ind w:hanging="210"/>
              <w:jc w:val="left"/>
              <w:rPr>
                <w:szCs w:val="24"/>
              </w:rPr>
            </w:pPr>
            <w:r>
              <w:rPr>
                <w:szCs w:val="24"/>
              </w:rPr>
              <w:t>Les activités agroalimentaires éligibles sont celles qui valorisent des produits relevant de l’annexe I du TFUE, que le produit final relève ou non de cette annexe.</w:t>
            </w:r>
          </w:p>
          <w:p w:rsidR="0035701C" w:rsidRDefault="00FB561B" w:rsidP="00FB561B">
            <w:pPr>
              <w:numPr>
                <w:ilvl w:val="0"/>
                <w:numId w:val="332"/>
              </w:numPr>
              <w:spacing w:before="0" w:after="0"/>
              <w:ind w:hanging="210"/>
              <w:jc w:val="left"/>
              <w:rPr>
                <w:szCs w:val="24"/>
              </w:rPr>
            </w:pPr>
            <w:r>
              <w:rPr>
                <w:szCs w:val="24"/>
              </w:rPr>
              <w:t>Le projet doit présenter une situation régulière avant projet à l'égard de la réglementat</w:t>
            </w:r>
            <w:r>
              <w:rPr>
                <w:szCs w:val="24"/>
              </w:rPr>
              <w:t>ion sur les installations classées pour la protection de l'environnement au titre du code de l'environnement,</w:t>
            </w:r>
          </w:p>
          <w:p w:rsidR="0035701C" w:rsidRDefault="00FB561B" w:rsidP="00FB561B">
            <w:pPr>
              <w:numPr>
                <w:ilvl w:val="0"/>
                <w:numId w:val="332"/>
              </w:numPr>
              <w:spacing w:before="0" w:after="240"/>
              <w:ind w:hanging="210"/>
              <w:jc w:val="left"/>
              <w:rPr>
                <w:szCs w:val="24"/>
              </w:rPr>
            </w:pPr>
            <w:r>
              <w:rPr>
                <w:szCs w:val="24"/>
              </w:rPr>
              <w:t>Les entreprises doivent présenter un document détaillant le projet sur la base d'un cahier des charges établi par l’Autorité de Gestion dans le ca</w:t>
            </w:r>
            <w:r>
              <w:rPr>
                <w:szCs w:val="24"/>
              </w:rPr>
              <w:t>dre d’Appels à Projet.</w:t>
            </w:r>
          </w:p>
          <w:p w:rsidR="0035701C" w:rsidRDefault="00FB561B">
            <w:pPr>
              <w:spacing w:before="240" w:after="240"/>
              <w:jc w:val="left"/>
              <w:rPr>
                <w:szCs w:val="24"/>
              </w:rPr>
            </w:pPr>
            <w:r>
              <w:rPr>
                <w:szCs w:val="24"/>
              </w:rPr>
              <w:t>Projets inéligibles :</w:t>
            </w:r>
          </w:p>
          <w:p w:rsidR="0035701C" w:rsidRDefault="00FB561B" w:rsidP="00FB561B">
            <w:pPr>
              <w:numPr>
                <w:ilvl w:val="0"/>
                <w:numId w:val="333"/>
              </w:numPr>
              <w:spacing w:before="240" w:after="0"/>
              <w:ind w:hanging="210"/>
              <w:jc w:val="left"/>
              <w:rPr>
                <w:szCs w:val="24"/>
              </w:rPr>
            </w:pPr>
            <w:r>
              <w:rPr>
                <w:szCs w:val="24"/>
              </w:rPr>
              <w:t>Les entreprises en difficultés au sens des lignes directrices communautaires sont inéligibles.</w:t>
            </w:r>
          </w:p>
          <w:p w:rsidR="0035701C" w:rsidRDefault="00FB561B" w:rsidP="00FB561B">
            <w:pPr>
              <w:numPr>
                <w:ilvl w:val="0"/>
                <w:numId w:val="333"/>
              </w:numPr>
              <w:spacing w:before="0" w:after="240"/>
              <w:ind w:hanging="210"/>
              <w:jc w:val="left"/>
              <w:rPr>
                <w:szCs w:val="24"/>
              </w:rPr>
            </w:pPr>
            <w:r>
              <w:rPr>
                <w:szCs w:val="24"/>
              </w:rPr>
              <w:t xml:space="preserve">Sont inéligibles les entreprises œuvrant principalement dans une activité de vente au détail (par exemple </w:t>
            </w:r>
            <w:r>
              <w:rPr>
                <w:szCs w:val="24"/>
              </w:rPr>
              <w:t>boulangeries, boucheries…etc), sauf lorsqu’il s’agit de constituer des points de vente collectifs portés par exclusivement par des exploitants agricoles.</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 sélection est réalisée sur la b</w:t>
            </w:r>
            <w:r>
              <w:rPr>
                <w:szCs w:val="24"/>
              </w:rPr>
              <w:t>ase d’appels à projets (AAP) validés par l’Autorité de Gestion.</w:t>
            </w:r>
          </w:p>
          <w:p w:rsidR="0035701C" w:rsidRDefault="00FB561B">
            <w:pPr>
              <w:spacing w:before="240" w:after="240"/>
              <w:jc w:val="left"/>
              <w:rPr>
                <w:szCs w:val="24"/>
              </w:rPr>
            </w:pPr>
            <w:r>
              <w:rPr>
                <w:szCs w:val="24"/>
              </w:rPr>
              <w:t>Les AAP sont ciblés sur les secteurs agroalimentaires déterminés par l’AG, en faisant notamment référence à la désignation des produits figurant à l’annexe 1 du TFUE et/ou à la nomenclature de</w:t>
            </w:r>
            <w:r>
              <w:rPr>
                <w:szCs w:val="24"/>
              </w:rPr>
              <w:t>s activités (code NAF/APE).</w:t>
            </w:r>
          </w:p>
          <w:p w:rsidR="0035701C" w:rsidRDefault="00FB561B">
            <w:pPr>
              <w:spacing w:before="240" w:after="240"/>
              <w:jc w:val="left"/>
              <w:rPr>
                <w:szCs w:val="24"/>
              </w:rPr>
            </w:pPr>
            <w:r>
              <w:rPr>
                <w:szCs w:val="24"/>
              </w:rPr>
              <w:t>Il s’agit par la mise en œuvre des critères de sélection :</w:t>
            </w:r>
          </w:p>
          <w:p w:rsidR="0035701C" w:rsidRDefault="00FB561B" w:rsidP="00FB561B">
            <w:pPr>
              <w:numPr>
                <w:ilvl w:val="0"/>
                <w:numId w:val="334"/>
              </w:numPr>
              <w:spacing w:before="240" w:after="0"/>
              <w:ind w:hanging="210"/>
              <w:jc w:val="left"/>
              <w:rPr>
                <w:szCs w:val="24"/>
              </w:rPr>
            </w:pPr>
            <w:r>
              <w:rPr>
                <w:szCs w:val="24"/>
              </w:rPr>
              <w:t>de privilégier les projets impliquant des producteurs primaires : (Agriculteurs, Groupement d'agriculteurs, organisation de producteur, association de producteurs, coopé</w:t>
            </w:r>
            <w:r>
              <w:rPr>
                <w:szCs w:val="24"/>
              </w:rPr>
              <w:t xml:space="preserve">rative, </w:t>
            </w:r>
          </w:p>
          <w:p w:rsidR="0035701C" w:rsidRDefault="00FB561B" w:rsidP="00FB561B">
            <w:pPr>
              <w:numPr>
                <w:ilvl w:val="1"/>
                <w:numId w:val="334"/>
              </w:numPr>
              <w:spacing w:before="0" w:after="0"/>
              <w:ind w:hanging="244"/>
              <w:jc w:val="left"/>
              <w:rPr>
                <w:szCs w:val="24"/>
              </w:rPr>
            </w:pPr>
            <w:r>
              <w:rPr>
                <w:szCs w:val="24"/>
              </w:rPr>
              <w:t>en favorisant les projets mettant en œuvre des processus de transformation,</w:t>
            </w:r>
          </w:p>
          <w:p w:rsidR="0035701C" w:rsidRDefault="00FB561B" w:rsidP="00FB561B">
            <w:pPr>
              <w:numPr>
                <w:ilvl w:val="1"/>
                <w:numId w:val="334"/>
              </w:numPr>
              <w:spacing w:before="0" w:after="0"/>
              <w:ind w:hanging="244"/>
              <w:jc w:val="left"/>
              <w:rPr>
                <w:szCs w:val="24"/>
              </w:rPr>
            </w:pPr>
            <w:r>
              <w:rPr>
                <w:szCs w:val="24"/>
              </w:rPr>
              <w:t>par rapport à ceux qui ne réalisent que du conditionnement et de la vente.</w:t>
            </w:r>
          </w:p>
          <w:p w:rsidR="0035701C" w:rsidRDefault="00FB561B" w:rsidP="00FB561B">
            <w:pPr>
              <w:numPr>
                <w:ilvl w:val="0"/>
                <w:numId w:val="334"/>
              </w:numPr>
              <w:spacing w:before="0" w:after="0"/>
              <w:ind w:hanging="210"/>
              <w:jc w:val="left"/>
              <w:rPr>
                <w:szCs w:val="24"/>
              </w:rPr>
            </w:pPr>
            <w:r>
              <w:rPr>
                <w:szCs w:val="24"/>
              </w:rPr>
              <w:t xml:space="preserve">de privilégier les projets : </w:t>
            </w:r>
          </w:p>
          <w:p w:rsidR="0035701C" w:rsidRDefault="00FB561B" w:rsidP="00FB561B">
            <w:pPr>
              <w:numPr>
                <w:ilvl w:val="1"/>
                <w:numId w:val="334"/>
              </w:numPr>
              <w:spacing w:before="0" w:after="0"/>
              <w:ind w:hanging="244"/>
              <w:jc w:val="left"/>
              <w:rPr>
                <w:szCs w:val="24"/>
              </w:rPr>
            </w:pPr>
            <w:r>
              <w:rPr>
                <w:szCs w:val="24"/>
              </w:rPr>
              <w:t xml:space="preserve">atteignant un seuil de rentabilité à moyen terme et concourant à </w:t>
            </w:r>
            <w:r>
              <w:rPr>
                <w:szCs w:val="24"/>
              </w:rPr>
              <w:t>une amélioration ou à une consolidation du niveau global des résultats de l’entreprise.</w:t>
            </w:r>
          </w:p>
          <w:p w:rsidR="0035701C" w:rsidRDefault="00FB561B" w:rsidP="00FB561B">
            <w:pPr>
              <w:numPr>
                <w:ilvl w:val="1"/>
                <w:numId w:val="334"/>
              </w:numPr>
              <w:spacing w:before="0" w:after="0"/>
              <w:ind w:hanging="244"/>
              <w:jc w:val="left"/>
              <w:rPr>
                <w:szCs w:val="24"/>
              </w:rPr>
            </w:pPr>
            <w:r>
              <w:rPr>
                <w:szCs w:val="24"/>
              </w:rPr>
              <w:t>ayant un impact positif sur l’emploi</w:t>
            </w:r>
          </w:p>
          <w:p w:rsidR="0035701C" w:rsidRDefault="00FB561B" w:rsidP="00FB561B">
            <w:pPr>
              <w:numPr>
                <w:ilvl w:val="1"/>
                <w:numId w:val="334"/>
              </w:numPr>
              <w:spacing w:before="0" w:after="0"/>
              <w:ind w:hanging="244"/>
              <w:jc w:val="left"/>
              <w:rPr>
                <w:szCs w:val="24"/>
              </w:rPr>
            </w:pPr>
            <w:r>
              <w:rPr>
                <w:szCs w:val="24"/>
              </w:rPr>
              <w:t>valorisant des productions sous signe officiel de qualité ou en agriculture biologique,</w:t>
            </w:r>
          </w:p>
          <w:p w:rsidR="0035701C" w:rsidRDefault="00FB561B" w:rsidP="00FB561B">
            <w:pPr>
              <w:numPr>
                <w:ilvl w:val="1"/>
                <w:numId w:val="334"/>
              </w:numPr>
              <w:spacing w:before="0" w:after="0"/>
              <w:ind w:hanging="244"/>
              <w:jc w:val="left"/>
              <w:rPr>
                <w:szCs w:val="24"/>
              </w:rPr>
            </w:pPr>
            <w:r>
              <w:rPr>
                <w:szCs w:val="24"/>
              </w:rPr>
              <w:t xml:space="preserve">ayant pour vocation l’accueil direct et in </w:t>
            </w:r>
            <w:r>
              <w:rPr>
                <w:szCs w:val="24"/>
              </w:rPr>
              <w:t>situ du public afin de favoriser leur ancrage au sein des territoires</w:t>
            </w:r>
          </w:p>
          <w:p w:rsidR="0035701C" w:rsidRDefault="00FB561B" w:rsidP="00FB561B">
            <w:pPr>
              <w:numPr>
                <w:ilvl w:val="1"/>
                <w:numId w:val="334"/>
              </w:numPr>
              <w:spacing w:before="0" w:after="240"/>
              <w:ind w:hanging="244"/>
              <w:jc w:val="left"/>
              <w:rPr>
                <w:szCs w:val="24"/>
              </w:rPr>
            </w:pPr>
            <w:r>
              <w:rPr>
                <w:szCs w:val="24"/>
              </w:rPr>
              <w:t>valorisant les déchets issus des processus de la transformation agro-alimentaire, ou mettant en œuvre une démarche d’économie des ressources naturelles ou énergétiques.</w:t>
            </w:r>
          </w:p>
          <w:p w:rsidR="0035701C" w:rsidRDefault="00FB561B">
            <w:pPr>
              <w:spacing w:before="240" w:after="240"/>
              <w:jc w:val="left"/>
              <w:rPr>
                <w:szCs w:val="24"/>
              </w:rPr>
            </w:pPr>
            <w:r>
              <w:rPr>
                <w:szCs w:val="24"/>
              </w:rPr>
              <w:t>La mobilisation d</w:t>
            </w:r>
            <w:r>
              <w:rPr>
                <w:szCs w:val="24"/>
              </w:rPr>
              <w:t>es fonds EURI fait l'objet d'appels à projets spécifiques qui peuvent inclure un critère de sélection supplémentaire en relation avec l'objet de ces appels à projets.</w:t>
            </w:r>
            <w:r>
              <w:rPr>
                <w:szCs w:val="24"/>
              </w:rPr>
              <w:br/>
              <w:t xml:space="preserve">La grille de sélection des opérations dans les appels à projets prévoira l'établissement </w:t>
            </w:r>
            <w:r>
              <w:rPr>
                <w:szCs w:val="24"/>
              </w:rPr>
              <w:t>d'un système de points permettant le classement des dossiers et la fixation d'un seuil minimal pour accéder au soutien au titre du PDRC.</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est modulé en application des critères présentés dans le tableau</w:t>
            </w:r>
            <w:r>
              <w:rPr>
                <w:szCs w:val="24"/>
              </w:rPr>
              <w:t xml:space="preserve"> ci dessous :</w:t>
            </w:r>
          </w:p>
          <w:tbl>
            <w:tblPr>
              <w:tblW w:w="7480" w:type="dxa"/>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2084"/>
              <w:gridCol w:w="3986"/>
              <w:gridCol w:w="1370"/>
            </w:tblGrid>
            <w:tr w:rsidR="0035701C">
              <w:trPr>
                <w:jc w:val="center"/>
              </w:trPr>
              <w:tc>
                <w:tcPr>
                  <w:tcW w:w="0" w:type="auto"/>
                  <w:gridSpan w:val="2"/>
                  <w:tcBorders>
                    <w:bottom w:val="inset" w:sz="6" w:space="0" w:color="808080"/>
                    <w:right w:val="inset" w:sz="6" w:space="0" w:color="808080"/>
                  </w:tcBorders>
                  <w:shd w:val="clear" w:color="auto" w:fill="00FFFF"/>
                  <w:tcMar>
                    <w:top w:w="25" w:type="dxa"/>
                    <w:left w:w="25" w:type="dxa"/>
                    <w:bottom w:w="22" w:type="dxa"/>
                    <w:right w:w="22" w:type="dxa"/>
                  </w:tcMar>
                  <w:vAlign w:val="center"/>
                  <w:hideMark/>
                </w:tcPr>
                <w:p w:rsidR="0035701C" w:rsidRDefault="00FB561B">
                  <w:pPr>
                    <w:spacing w:before="0" w:after="0"/>
                    <w:jc w:val="center"/>
                    <w:rPr>
                      <w:color w:val="000000"/>
                      <w:szCs w:val="24"/>
                    </w:rPr>
                  </w:pPr>
                  <w:r>
                    <w:rPr>
                      <w:b/>
                      <w:bCs/>
                      <w:color w:val="000000"/>
                      <w:szCs w:val="24"/>
                    </w:rPr>
                    <w:t>Type de projets</w:t>
                  </w:r>
                </w:p>
              </w:tc>
              <w:tc>
                <w:tcPr>
                  <w:tcW w:w="0" w:type="auto"/>
                  <w:tcBorders>
                    <w:left w:val="inset" w:sz="6" w:space="0" w:color="808080"/>
                    <w:bottom w:val="inset" w:sz="6" w:space="0" w:color="808080"/>
                  </w:tcBorders>
                  <w:shd w:val="clear" w:color="auto" w:fill="00FFFF"/>
                  <w:tcMar>
                    <w:top w:w="25" w:type="dxa"/>
                    <w:left w:w="22" w:type="dxa"/>
                    <w:bottom w:w="22" w:type="dxa"/>
                    <w:right w:w="25" w:type="dxa"/>
                  </w:tcMar>
                  <w:vAlign w:val="center"/>
                  <w:hideMark/>
                </w:tcPr>
                <w:p w:rsidR="0035701C" w:rsidRDefault="00FB561B">
                  <w:pPr>
                    <w:spacing w:before="0" w:after="0"/>
                    <w:jc w:val="center"/>
                    <w:rPr>
                      <w:color w:val="000000"/>
                      <w:szCs w:val="24"/>
                    </w:rPr>
                  </w:pPr>
                  <w:r>
                    <w:rPr>
                      <w:b/>
                      <w:bCs/>
                      <w:color w:val="000000"/>
                      <w:szCs w:val="24"/>
                    </w:rPr>
                    <w:t>Taux d'aide publique</w:t>
                  </w:r>
                </w:p>
              </w:tc>
            </w:tr>
            <w:tr w:rsidR="0035701C">
              <w:trPr>
                <w:jc w:val="center"/>
              </w:trPr>
              <w:tc>
                <w:tcPr>
                  <w:tcW w:w="0" w:type="auto"/>
                  <w:vMerge w:val="restart"/>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35701C" w:rsidRDefault="00FB561B">
                  <w:pPr>
                    <w:spacing w:before="0" w:after="0"/>
                    <w:jc w:val="left"/>
                    <w:rPr>
                      <w:color w:val="000000"/>
                      <w:szCs w:val="24"/>
                    </w:rPr>
                  </w:pPr>
                  <w:r>
                    <w:rPr>
                      <w:color w:val="000000"/>
                      <w:szCs w:val="24"/>
                    </w:rPr>
                    <w:t>Projets portés par des</w:t>
                  </w:r>
                  <w:r>
                    <w:rPr>
                      <w:color w:val="000000"/>
                      <w:szCs w:val="24"/>
                    </w:rPr>
                    <w:br/>
                    <w:t>producteurs primaires (*)</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240"/>
                    <w:jc w:val="left"/>
                    <w:rPr>
                      <w:color w:val="000000"/>
                      <w:szCs w:val="24"/>
                    </w:rPr>
                  </w:pPr>
                  <w:r>
                    <w:rPr>
                      <w:color w:val="000000"/>
                      <w:szCs w:val="24"/>
                    </w:rPr>
                    <w:t>- avec un atelier valorisant des produits</w:t>
                  </w:r>
                  <w:r>
                    <w:rPr>
                      <w:color w:val="000000"/>
                      <w:szCs w:val="24"/>
                    </w:rPr>
                    <w:br/>
                    <w:t>  sous SIQO (**)</w:t>
                  </w:r>
                </w:p>
                <w:p w:rsidR="0035701C" w:rsidRDefault="00FB561B">
                  <w:pPr>
                    <w:spacing w:before="240" w:after="0"/>
                    <w:jc w:val="left"/>
                    <w:rPr>
                      <w:color w:val="000000"/>
                      <w:szCs w:val="24"/>
                    </w:rPr>
                  </w:pPr>
                  <w:r>
                    <w:rPr>
                      <w:color w:val="000000"/>
                      <w:szCs w:val="24"/>
                    </w:rPr>
                    <w:t>- ou absence de SIQO en Corse pour</w:t>
                  </w:r>
                  <w:r>
                    <w:rPr>
                      <w:color w:val="000000"/>
                      <w:szCs w:val="24"/>
                    </w:rPr>
                    <w:br/>
                    <w:t>  cette filière de production</w:t>
                  </w:r>
                </w:p>
              </w:tc>
              <w:tc>
                <w:tcPr>
                  <w:tcW w:w="0" w:type="auto"/>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35701C" w:rsidRDefault="00FB561B">
                  <w:pPr>
                    <w:spacing w:before="0" w:after="0"/>
                    <w:jc w:val="center"/>
                    <w:rPr>
                      <w:color w:val="000000"/>
                      <w:szCs w:val="24"/>
                    </w:rPr>
                  </w:pPr>
                  <w:r>
                    <w:rPr>
                      <w:color w:val="000000"/>
                      <w:szCs w:val="24"/>
                    </w:rPr>
                    <w:t>  40%</w:t>
                  </w:r>
                </w:p>
              </w:tc>
            </w:tr>
            <w:tr w:rsidR="0035701C">
              <w:trPr>
                <w:jc w:val="center"/>
              </w:trPr>
              <w:tc>
                <w:tcPr>
                  <w:tcW w:w="0" w:type="auto"/>
                  <w:vMerge/>
                  <w:tcBorders>
                    <w:top w:val="inset" w:sz="6" w:space="0" w:color="808080"/>
                    <w:bottom w:val="inset" w:sz="6" w:space="0" w:color="808080"/>
                    <w:right w:val="inset" w:sz="6" w:space="0" w:color="808080"/>
                  </w:tcBorders>
                  <w:vAlign w:val="center"/>
                  <w:hideMark/>
                </w:tcPr>
                <w:p w:rsidR="0035701C" w:rsidRDefault="0035701C">
                  <w:pPr>
                    <w:rPr>
                      <w:color w:val="000000"/>
                      <w:szCs w:val="24"/>
                    </w:rPr>
                  </w:pP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 xml:space="preserve">- Avec un atelier </w:t>
                  </w:r>
                  <w:r>
                    <w:rPr>
                      <w:color w:val="000000"/>
                      <w:szCs w:val="24"/>
                    </w:rPr>
                    <w:t>valorisant des productions sans SIQO (alors que cette filière existe en Corse)</w:t>
                  </w:r>
                </w:p>
              </w:tc>
              <w:tc>
                <w:tcPr>
                  <w:tcW w:w="0" w:type="auto"/>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35701C" w:rsidRDefault="00FB561B">
                  <w:pPr>
                    <w:spacing w:before="0" w:after="0"/>
                    <w:jc w:val="center"/>
                    <w:rPr>
                      <w:color w:val="000000"/>
                      <w:szCs w:val="24"/>
                    </w:rPr>
                  </w:pPr>
                  <w:r>
                    <w:rPr>
                      <w:color w:val="000000"/>
                      <w:szCs w:val="24"/>
                    </w:rPr>
                    <w:t>  30%</w:t>
                  </w:r>
                </w:p>
              </w:tc>
            </w:tr>
            <w:tr w:rsidR="0035701C">
              <w:trPr>
                <w:jc w:val="center"/>
              </w:trPr>
              <w:tc>
                <w:tcPr>
                  <w:tcW w:w="0" w:type="auto"/>
                  <w:gridSpan w:val="2"/>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35701C" w:rsidRDefault="00FB561B">
                  <w:pPr>
                    <w:spacing w:before="0" w:after="0"/>
                    <w:jc w:val="left"/>
                    <w:rPr>
                      <w:color w:val="000000"/>
                      <w:szCs w:val="24"/>
                    </w:rPr>
                  </w:pPr>
                  <w:r>
                    <w:rPr>
                      <w:color w:val="000000"/>
                      <w:szCs w:val="24"/>
                    </w:rPr>
                    <w:t>Autres PME</w:t>
                  </w:r>
                </w:p>
              </w:tc>
              <w:tc>
                <w:tcPr>
                  <w:tcW w:w="0" w:type="auto"/>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35701C" w:rsidRDefault="00FB561B">
                  <w:pPr>
                    <w:spacing w:before="0" w:after="0"/>
                    <w:jc w:val="center"/>
                    <w:rPr>
                      <w:color w:val="000000"/>
                      <w:szCs w:val="24"/>
                    </w:rPr>
                  </w:pPr>
                  <w:r>
                    <w:rPr>
                      <w:color w:val="000000"/>
                      <w:szCs w:val="24"/>
                    </w:rPr>
                    <w:t>  20%</w:t>
                  </w:r>
                </w:p>
              </w:tc>
            </w:tr>
            <w:tr w:rsidR="0035701C">
              <w:trPr>
                <w:jc w:val="center"/>
              </w:trPr>
              <w:tc>
                <w:tcPr>
                  <w:tcW w:w="0" w:type="auto"/>
                  <w:gridSpan w:val="2"/>
                  <w:tcBorders>
                    <w:top w:val="inset" w:sz="6" w:space="0" w:color="808080"/>
                    <w:right w:val="inset" w:sz="6" w:space="0" w:color="808080"/>
                  </w:tcBorders>
                  <w:tcMar>
                    <w:top w:w="22" w:type="dxa"/>
                    <w:left w:w="25" w:type="dxa"/>
                    <w:bottom w:w="25" w:type="dxa"/>
                    <w:right w:w="22" w:type="dxa"/>
                  </w:tcMar>
                  <w:vAlign w:val="center"/>
                  <w:hideMark/>
                </w:tcPr>
                <w:p w:rsidR="0035701C" w:rsidRDefault="00FB561B">
                  <w:pPr>
                    <w:spacing w:before="0" w:after="0"/>
                    <w:jc w:val="left"/>
                    <w:rPr>
                      <w:color w:val="000000"/>
                      <w:szCs w:val="24"/>
                    </w:rPr>
                  </w:pPr>
                  <w:r>
                    <w:rPr>
                      <w:color w:val="000000"/>
                      <w:szCs w:val="24"/>
                    </w:rPr>
                    <w:t xml:space="preserve">Projets répondant aux </w:t>
                  </w:r>
                  <w:r>
                    <w:rPr>
                      <w:color w:val="000000"/>
                      <w:szCs w:val="24"/>
                      <w:u w:val="single" w:color="000000"/>
                    </w:rPr>
                    <w:t>appels à projets EURI</w:t>
                  </w:r>
                  <w:r>
                    <w:rPr>
                      <w:color w:val="000000"/>
                      <w:szCs w:val="24"/>
                    </w:rPr>
                    <w:t xml:space="preserve"> à partir de 2021</w:t>
                  </w:r>
                </w:p>
              </w:tc>
              <w:tc>
                <w:tcPr>
                  <w:tcW w:w="0" w:type="auto"/>
                  <w:tcBorders>
                    <w:top w:val="inset" w:sz="6" w:space="0" w:color="808080"/>
                    <w:left w:val="inset" w:sz="6" w:space="0" w:color="808080"/>
                  </w:tcBorders>
                  <w:tcMar>
                    <w:top w:w="22" w:type="dxa"/>
                    <w:left w:w="22" w:type="dxa"/>
                    <w:bottom w:w="25" w:type="dxa"/>
                    <w:right w:w="25" w:type="dxa"/>
                  </w:tcMar>
                  <w:vAlign w:val="center"/>
                  <w:hideMark/>
                </w:tcPr>
                <w:p w:rsidR="0035701C" w:rsidRDefault="00FB561B">
                  <w:pPr>
                    <w:spacing w:before="0" w:after="0"/>
                    <w:jc w:val="center"/>
                    <w:rPr>
                      <w:color w:val="000000"/>
                      <w:szCs w:val="24"/>
                    </w:rPr>
                  </w:pPr>
                  <w:r>
                    <w:rPr>
                      <w:color w:val="000000"/>
                      <w:szCs w:val="24"/>
                    </w:rPr>
                    <w:t>Taux ci-dessus bonifiés de 20%</w:t>
                  </w:r>
                </w:p>
              </w:tc>
            </w:tr>
          </w:tbl>
          <w:p w:rsidR="0035701C" w:rsidRDefault="00FB561B">
            <w:pPr>
              <w:spacing w:before="240" w:after="240"/>
              <w:ind w:left="360"/>
              <w:jc w:val="left"/>
              <w:rPr>
                <w:szCs w:val="24"/>
              </w:rPr>
            </w:pPr>
            <w:r>
              <w:rPr>
                <w:szCs w:val="24"/>
              </w:rPr>
              <w:t xml:space="preserve">(*) Agriculteurs, Groupement d'agriculteurs, organisation </w:t>
            </w:r>
            <w:r>
              <w:rPr>
                <w:szCs w:val="24"/>
              </w:rPr>
              <w:t>de producteur, coopérative agricole, association ou société, majoritairement détenus par des producteurs primaires individuels ou regroupés.</w:t>
            </w:r>
          </w:p>
          <w:p w:rsidR="0035701C" w:rsidRDefault="00FB561B">
            <w:pPr>
              <w:spacing w:before="240" w:after="240"/>
              <w:ind w:left="360"/>
              <w:jc w:val="left"/>
              <w:rPr>
                <w:szCs w:val="24"/>
              </w:rPr>
            </w:pPr>
            <w:r>
              <w:rPr>
                <w:szCs w:val="24"/>
              </w:rPr>
              <w:t>(**) SIQO : Signes de qualités répondant aux dénominations suivantes : l’appellation d’origine contrôlée (AOC), l’a</w:t>
            </w:r>
            <w:r>
              <w:rPr>
                <w:szCs w:val="24"/>
              </w:rPr>
              <w:t>ppellation d’origine protégée (AOP), l’indication géographique protégée (IGP), le label rouge.</w:t>
            </w:r>
          </w:p>
          <w:p w:rsidR="0035701C" w:rsidRDefault="00FB561B">
            <w:pPr>
              <w:spacing w:before="240" w:after="240"/>
              <w:jc w:val="left"/>
              <w:rPr>
                <w:szCs w:val="24"/>
              </w:rPr>
            </w:pPr>
            <w:r>
              <w:rPr>
                <w:szCs w:val="24"/>
                <w:u w:val="single"/>
              </w:rPr>
              <w:t>Plan de Relance à partir de 2021</w:t>
            </w:r>
            <w:r>
              <w:rPr>
                <w:szCs w:val="24"/>
              </w:rPr>
              <w:t>. Selon les possibilités offertes par l’article 58bis du règlement 1305/2013, le taux d’aide est majoré de 20% pour les opération</w:t>
            </w:r>
            <w:r>
              <w:rPr>
                <w:szCs w:val="24"/>
              </w:rPr>
              <w:t>s bénéficiant d’un soutien dans le cadre du Plan de relance européen sur fonds EURI. Ces fonds sont mis en œuvre exclusivement par appel à projet spécifiques mobilisant ces fonds.</w:t>
            </w:r>
          </w:p>
          <w:p w:rsidR="0035701C" w:rsidRDefault="00FB561B">
            <w:pPr>
              <w:spacing w:before="240" w:after="240"/>
              <w:jc w:val="left"/>
              <w:rPr>
                <w:szCs w:val="24"/>
              </w:rPr>
            </w:pPr>
            <w:r>
              <w:rPr>
                <w:i/>
                <w:iCs/>
                <w:szCs w:val="24"/>
              </w:rPr>
              <w:t>Plafond d'aide aux exploitations agricoles</w:t>
            </w:r>
          </w:p>
          <w:p w:rsidR="0035701C" w:rsidRDefault="00FB561B">
            <w:pPr>
              <w:spacing w:before="240" w:after="240"/>
              <w:jc w:val="left"/>
              <w:rPr>
                <w:szCs w:val="24"/>
              </w:rPr>
            </w:pPr>
            <w:r>
              <w:rPr>
                <w:szCs w:val="24"/>
              </w:rPr>
              <w:t>Le plafond d’investissement éligi</w:t>
            </w:r>
            <w:r>
              <w:rPr>
                <w:szCs w:val="24"/>
              </w:rPr>
              <w:t>ble à une aide, pour ce qui concerne les exploitations agricoles bénéficiaires, s’élève à 800.000 euros sur une période de 24 mois. Ce montant est majoré de 50% pour les jeunes agriculteurs. Ce plafond s'applique, en dehors des aides sur fonds EURI, sur le</w:t>
            </w:r>
            <w:r>
              <w:rPr>
                <w:szCs w:val="24"/>
              </w:rPr>
              <w:t xml:space="preserve"> cumul des sous mesures 4.1 hors projet collectif (TO 4.1.1 et 4.1.2) et 4.2 hors projet collectif.</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Pour les projets ne relevant pas de l’article 42 du TFUE dont le financement est soumis aux règles d'aide d'Etat, sera utilisé:</w:t>
            </w:r>
          </w:p>
          <w:p w:rsidR="0035701C" w:rsidRDefault="00FB561B" w:rsidP="00FB561B">
            <w:pPr>
              <w:numPr>
                <w:ilvl w:val="0"/>
                <w:numId w:val="335"/>
              </w:numPr>
              <w:spacing w:before="240" w:after="0"/>
              <w:ind w:hanging="210"/>
              <w:jc w:val="left"/>
              <w:rPr>
                <w:szCs w:val="24"/>
              </w:rPr>
            </w:pPr>
            <w:r>
              <w:rPr>
                <w:szCs w:val="24"/>
              </w:rPr>
              <w:t xml:space="preserve">un régime d'aides exempté </w:t>
            </w:r>
            <w:r>
              <w:rPr>
                <w:szCs w:val="24"/>
              </w:rPr>
              <w:t>de notification au titre du règlement (UE) n° 651/2014  de la Commission du 17 juin 2014, ou au titre du règlement (UE) n° 702/2014 de la Commission du 25 juin 2014,</w:t>
            </w:r>
          </w:p>
          <w:p w:rsidR="0035701C" w:rsidRDefault="00FB561B" w:rsidP="00FB561B">
            <w:pPr>
              <w:numPr>
                <w:ilvl w:val="0"/>
                <w:numId w:val="335"/>
              </w:numPr>
              <w:spacing w:before="0" w:after="0"/>
              <w:ind w:hanging="210"/>
              <w:jc w:val="left"/>
              <w:rPr>
                <w:szCs w:val="24"/>
              </w:rPr>
            </w:pPr>
            <w:r>
              <w:rPr>
                <w:szCs w:val="24"/>
              </w:rPr>
              <w:t>ou un régime notifié en vertu de l'article 108, paragraphe 3 du Traité,</w:t>
            </w:r>
          </w:p>
          <w:p w:rsidR="0035701C" w:rsidRDefault="00FB561B" w:rsidP="00FB561B">
            <w:pPr>
              <w:numPr>
                <w:ilvl w:val="0"/>
                <w:numId w:val="335"/>
              </w:numPr>
              <w:spacing w:before="0" w:after="240"/>
              <w:ind w:hanging="210"/>
              <w:jc w:val="left"/>
              <w:rPr>
                <w:szCs w:val="24"/>
              </w:rPr>
            </w:pPr>
            <w:r>
              <w:rPr>
                <w:szCs w:val="24"/>
              </w:rPr>
              <w:t>ou le règlement (U</w:t>
            </w:r>
            <w:r>
              <w:rPr>
                <w:szCs w:val="24"/>
              </w:rPr>
              <w:t>E) n° 1407/2013 de la Commission du 18 décembre 2013 relatif à l'application des articles 107 et 108 du traité sur le fonctionnement de l'Union européenne aux aides de minimis.</w:t>
            </w:r>
          </w:p>
          <w:p w:rsidR="0035701C" w:rsidRDefault="00FB561B">
            <w:pPr>
              <w:spacing w:before="240" w:after="240"/>
              <w:jc w:val="left"/>
              <w:rPr>
                <w:szCs w:val="24"/>
              </w:rPr>
            </w:pPr>
            <w:r>
              <w:rPr>
                <w:szCs w:val="24"/>
              </w:rPr>
              <w:t>Le taux d'aide publique appliqué au dossier correspondra au maximum autorisé pa</w:t>
            </w:r>
            <w:r>
              <w:rPr>
                <w:szCs w:val="24"/>
              </w:rPr>
              <w:t>r le régime d'aide d'Etat appliqué audit dossier, si ce maximum est plus restrictif que le taux prévu par le PDR ; ce maximum ne pourra être supérieur au taux mentionné dans le PDRC.</w:t>
            </w:r>
          </w:p>
          <w:p w:rsidR="0035701C" w:rsidRDefault="0035701C">
            <w:pPr>
              <w:pStyle w:val="Corpsdetexte"/>
            </w:pPr>
          </w:p>
        </w:tc>
      </w:tr>
    </w:tbl>
    <w:p w:rsidR="0035701C" w:rsidRDefault="00FB561B">
      <w:pPr>
        <w:pStyle w:val="Titre6"/>
      </w:pPr>
      <w:r>
        <w:t>Caractère vérifiable et contrôlable des mesures et/ou types d'opération</w:t>
      </w:r>
      <w:r>
        <w:t>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 :</w:t>
            </w:r>
          </w:p>
          <w:p w:rsidR="0035701C" w:rsidRDefault="00FB561B">
            <w:pPr>
              <w:spacing w:before="240" w:after="240"/>
              <w:jc w:val="left"/>
              <w:rPr>
                <w:szCs w:val="24"/>
              </w:rPr>
            </w:pPr>
            <w:r>
              <w:rPr>
                <w:szCs w:val="24"/>
              </w:rPr>
              <w:t xml:space="preserve">- L'OP a demandé que soient bien décrits les pétitionnaires susceptibles d'être bénéficiaires de cette opération, ainsi que les travaux et </w:t>
            </w:r>
            <w:r>
              <w:rPr>
                <w:szCs w:val="24"/>
              </w:rPr>
              <w:t>investissements susceptibles d'être financés. Les éléments de Droit, les précisions apportées au présent texte, ainsi que le détail des éléments de réponse à fournir sur les appels à projet sont satisfaisants.  La mise en place d'un contrôle croisé sur les</w:t>
            </w:r>
            <w:r>
              <w:rPr>
                <w:szCs w:val="24"/>
              </w:rPr>
              <w:t xml:space="preserve"> aides de même type ou de même public cible sera formalisé. Une attention particulière sur le maintien du statut d'agriculteur des bénéficiaires/sociétaires est demandée.</w:t>
            </w:r>
          </w:p>
          <w:p w:rsidR="0035701C" w:rsidRDefault="00FB561B">
            <w:pPr>
              <w:spacing w:before="240" w:after="240"/>
              <w:jc w:val="left"/>
              <w:rPr>
                <w:szCs w:val="24"/>
              </w:rPr>
            </w:pPr>
            <w:r>
              <w:rPr>
                <w:szCs w:val="24"/>
              </w:rPr>
              <w:t>- Concernant les taux d'aide tels que décrits dans le PDRC, l’OP a recommandé que leu</w:t>
            </w:r>
            <w:r>
              <w:rPr>
                <w:szCs w:val="24"/>
              </w:rPr>
              <w:t>rs modalités d’application soient clairement établies et diffusés. Après avoir pris connaissance des précisions apportées au présent texte, l'Organisme Payeur considère que ce document permet de lever ses interrogations.</w:t>
            </w:r>
          </w:p>
          <w:p w:rsidR="0035701C" w:rsidRDefault="00FB561B">
            <w:pPr>
              <w:spacing w:before="240" w:after="240"/>
              <w:jc w:val="left"/>
              <w:rPr>
                <w:szCs w:val="24"/>
              </w:rPr>
            </w:pPr>
            <w:r>
              <w:rPr>
                <w:szCs w:val="24"/>
                <w:u w:val="single"/>
              </w:rPr>
              <w:t xml:space="preserve">Risques identifiés selon la </w:t>
            </w:r>
            <w:r>
              <w:rPr>
                <w:szCs w:val="24"/>
                <w:u w:val="single"/>
              </w:rPr>
              <w:t>méthodologie présentée par l’OP (cf. chapitre 18) :</w:t>
            </w:r>
          </w:p>
          <w:p w:rsidR="0035701C" w:rsidRDefault="00FB561B">
            <w:pPr>
              <w:spacing w:before="240" w:after="240"/>
              <w:jc w:val="left"/>
              <w:rPr>
                <w:szCs w:val="24"/>
              </w:rPr>
            </w:pPr>
            <w:r>
              <w:rPr>
                <w:szCs w:val="24"/>
              </w:rPr>
              <w:t>n°1 - R1 : Pour les formes juridiques sociétaires ou associatives, les collectivités, conformité des statuts et actes, mise à jour effective et conforme au long de la période d’engagement. (source : Légis</w:t>
            </w:r>
            <w:r>
              <w:rPr>
                <w:szCs w:val="24"/>
              </w:rPr>
              <w:t>lation nationale : décalage entre Droit Social, Droit des Sociétés, Droit Rural)</w:t>
            </w:r>
          </w:p>
          <w:p w:rsidR="0035701C" w:rsidRDefault="00FB561B">
            <w:pPr>
              <w:spacing w:before="240" w:after="240"/>
              <w:jc w:val="left"/>
              <w:rPr>
                <w:szCs w:val="24"/>
              </w:rPr>
            </w:pPr>
            <w:r>
              <w:rPr>
                <w:szCs w:val="24"/>
              </w:rPr>
              <w:t>n°2 - R10 : Pour l'ensemble des investissements, risque de projets déjà financés par ailleurs (toujours sous engagement d'anciens contrats) (source : Ponctuel sur Retour d'Exp</w:t>
            </w:r>
            <w:r>
              <w:rPr>
                <w:szCs w:val="24"/>
              </w:rPr>
              <w:t>érience)</w:t>
            </w:r>
          </w:p>
          <w:p w:rsidR="0035701C" w:rsidRDefault="00FB561B">
            <w:pPr>
              <w:spacing w:before="240" w:after="240"/>
              <w:jc w:val="left"/>
              <w:rPr>
                <w:szCs w:val="24"/>
              </w:rPr>
            </w:pPr>
            <w:r>
              <w:rPr>
                <w:szCs w:val="24"/>
              </w:rPr>
              <w:t>n°3 - R2 : Pour les investissements, s'assurer de leur caractère raisonnable (source : CCCOP Exercice 2012-2014)</w:t>
            </w:r>
          </w:p>
          <w:p w:rsidR="0035701C" w:rsidRDefault="00FB561B">
            <w:pPr>
              <w:spacing w:before="240" w:after="240"/>
              <w:jc w:val="left"/>
              <w:rPr>
                <w:szCs w:val="24"/>
              </w:rPr>
            </w:pPr>
            <w:r>
              <w:rPr>
                <w:szCs w:val="24"/>
              </w:rPr>
              <w:t>n°4 - R7 : La mise en place d'une activité de transformation et/ou de commercialisation, peut générer des bénéfices, susceptibles de f</w:t>
            </w:r>
            <w:r>
              <w:rPr>
                <w:szCs w:val="24"/>
              </w:rPr>
              <w:t>aire tomber la qualité d'agriculteur pour l'éligibilité à certaines aides au titre des règlementations européennes et nationales, ainsi que empêcher le respect des engagements à 5 ans (exemples : Jeune agriculteur, mesure 13). (source : Ponctuel sur Retour</w:t>
            </w:r>
            <w:r>
              <w:rPr>
                <w:szCs w:val="24"/>
              </w:rPr>
              <w:t xml:space="preserve"> d'Expérience).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VERIFIER Pour les formes juridiques sociétaires ou associatives, conformité des statuts et actes, mise à jour effective et conforme.</w:t>
            </w:r>
          </w:p>
          <w:p w:rsidR="0035701C" w:rsidRDefault="00FB561B">
            <w:pPr>
              <w:spacing w:before="240" w:after="240"/>
              <w:jc w:val="left"/>
              <w:rPr>
                <w:szCs w:val="24"/>
              </w:rPr>
            </w:pPr>
            <w:r>
              <w:rPr>
                <w:szCs w:val="24"/>
              </w:rPr>
              <w:t>n°2 - R10 : EXECUTER UN CONTRÔLE CROISE des aides aux bénéficiaires de l</w:t>
            </w:r>
            <w:r>
              <w:rPr>
                <w:szCs w:val="24"/>
              </w:rPr>
              <w:t>'opération avec les autres aides dont ils ont bénéficié ou dont ils bénéficient, et avec celles des bénéficiaires secondaires (cas des coopératives).</w:t>
            </w:r>
          </w:p>
          <w:p w:rsidR="0035701C" w:rsidRDefault="00FB561B">
            <w:pPr>
              <w:spacing w:before="240" w:after="240"/>
              <w:jc w:val="left"/>
              <w:rPr>
                <w:szCs w:val="24"/>
              </w:rPr>
            </w:pPr>
            <w:r>
              <w:rPr>
                <w:szCs w:val="24"/>
              </w:rPr>
              <w:t>                   MAINTENIR ce point de contrôle administratif de la demande d'aide à la fin de la périod</w:t>
            </w:r>
            <w:r>
              <w:rPr>
                <w:szCs w:val="24"/>
              </w:rPr>
              <w:t>e d'engagement.</w:t>
            </w:r>
          </w:p>
          <w:p w:rsidR="0035701C" w:rsidRDefault="00FB561B">
            <w:pPr>
              <w:spacing w:before="240" w:after="240"/>
              <w:jc w:val="left"/>
              <w:rPr>
                <w:szCs w:val="24"/>
              </w:rPr>
            </w:pPr>
            <w:r>
              <w:rPr>
                <w:szCs w:val="24"/>
              </w:rPr>
              <w:t xml:space="preserve">n°3 - R2  : FORMALISER en l’absence de recours à des coûts relevant de l’article 62.2 du R/UE 1305/2013, la mise en place d’un protocole d’évaluation à partir de 3 devis et/ou avis authentique du comité technique en charge de la sélection </w:t>
            </w:r>
            <w:r>
              <w:rPr>
                <w:szCs w:val="24"/>
              </w:rPr>
              <w:t>des opérations garantissant le caractère raisonnable de la dépense..</w:t>
            </w:r>
          </w:p>
          <w:p w:rsidR="0035701C" w:rsidRDefault="00FB561B">
            <w:pPr>
              <w:spacing w:before="240" w:after="240"/>
              <w:jc w:val="left"/>
              <w:rPr>
                <w:szCs w:val="24"/>
              </w:rPr>
            </w:pPr>
            <w:r>
              <w:rPr>
                <w:szCs w:val="24"/>
              </w:rPr>
              <w:t>n°4 - R7 : FORMALISER dès la demande d'aide et les études préalables au projet, une vérification des risques sur la qualité d'agriculteur des pétitionnaires ou sociétaires.</w:t>
            </w:r>
          </w:p>
          <w:p w:rsidR="0035701C" w:rsidRDefault="00FB561B">
            <w:pPr>
              <w:spacing w:before="240" w:after="240"/>
              <w:jc w:val="left"/>
              <w:rPr>
                <w:szCs w:val="24"/>
              </w:rPr>
            </w:pPr>
            <w:r>
              <w:rPr>
                <w:szCs w:val="24"/>
              </w:rPr>
              <w:t>              </w:t>
            </w:r>
            <w:r>
              <w:rPr>
                <w:szCs w:val="24"/>
              </w:rPr>
              <w:t>    MAINTENIR pendant toute la durée de réalisation du projet, et la période d'engagement une vérification formalisée de la qualité d'agriculteur des bénéficiaires et/ou sociétaires.</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Au vu des cotations matricielles, sur</w:t>
            </w:r>
            <w:r>
              <w:rPr>
                <w:szCs w:val="24"/>
              </w:rPr>
              <w:t xml:space="preserve"> le poids financier de la mesure (&lt;5%), sur les priorités, les risques, les mesures d’atténuation prévues, cette mesure reçoit une évaluation  correcte peu risquée ; Les mécanismes de mise en œuvre sont connus et maîtrisés par tous les acteurs,  les progra</w:t>
            </w:r>
            <w:r>
              <w:rPr>
                <w:szCs w:val="24"/>
              </w:rPr>
              <w:t>mmations précédentes qui ont suscité des ajustements sur des mesures de même type ont permis une amélioration constante des procédures.</w:t>
            </w:r>
          </w:p>
          <w:p w:rsidR="0035701C" w:rsidRDefault="00FB561B">
            <w:pPr>
              <w:spacing w:before="240" w:after="240"/>
              <w:jc w:val="left"/>
              <w:rPr>
                <w:szCs w:val="24"/>
              </w:rPr>
            </w:pPr>
            <w:r>
              <w:rPr>
                <w:szCs w:val="24"/>
              </w:rPr>
              <w:t>- Concernant l'évaluation globale de la mesure : la mesure est contrôlable sous réserve de la mise en place d'actions d'</w:t>
            </w:r>
            <w:r>
              <w:rPr>
                <w:szCs w:val="24"/>
              </w:rPr>
              <w:t>atténuation et des précisions apportées dans les documents de mise en œuvre notamment sur la nécessité de bien contrôler , et de vérifier l'inexistence de financements précédents ou déjà engagés auprès des bénéficiaires  y compris secondaires dans le cas d</w:t>
            </w:r>
            <w:r>
              <w:rPr>
                <w:szCs w:val="24"/>
              </w:rPr>
              <w:t>es sociétés. Il convient également de s'assurer de bien transcrire la preuve de l'étude du caractère raisonnable des coûts, et opérer une surveillance adéquate sur la qualité d'agriculteur des bénéficiaires/sociétaires, puisque cela peut entraîner l'inélig</w:t>
            </w:r>
            <w:r>
              <w:rPr>
                <w:szCs w:val="24"/>
              </w:rPr>
              <w:t>ibilité à certaines aides du PDRC.</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 détermination de la subvention s’établit sur la base des devis prévisionnels en comptabilisant :</w:t>
            </w:r>
          </w:p>
          <w:p w:rsidR="0035701C" w:rsidRDefault="00FB561B" w:rsidP="00FB561B">
            <w:pPr>
              <w:numPr>
                <w:ilvl w:val="0"/>
                <w:numId w:val="336"/>
              </w:numPr>
              <w:spacing w:before="240" w:after="0"/>
              <w:ind w:hanging="210"/>
              <w:jc w:val="left"/>
              <w:rPr>
                <w:szCs w:val="24"/>
              </w:rPr>
            </w:pPr>
            <w:r>
              <w:rPr>
                <w:szCs w:val="24"/>
              </w:rPr>
              <w:t>Les coûts des investissements matériels et immatériels,</w:t>
            </w:r>
          </w:p>
          <w:p w:rsidR="0035701C" w:rsidRDefault="00FB561B" w:rsidP="00FB561B">
            <w:pPr>
              <w:numPr>
                <w:ilvl w:val="0"/>
                <w:numId w:val="336"/>
              </w:numPr>
              <w:spacing w:before="0" w:after="0"/>
              <w:ind w:hanging="210"/>
              <w:jc w:val="left"/>
              <w:rPr>
                <w:szCs w:val="24"/>
              </w:rPr>
            </w:pPr>
            <w:r>
              <w:rPr>
                <w:szCs w:val="24"/>
              </w:rPr>
              <w:t>les frais généraux dans la limite de 10% des dépenses éligibles : études, honoraires et frais d’expertise</w:t>
            </w:r>
          </w:p>
          <w:p w:rsidR="0035701C" w:rsidRDefault="00FB561B" w:rsidP="00FB561B">
            <w:pPr>
              <w:numPr>
                <w:ilvl w:val="0"/>
                <w:numId w:val="336"/>
              </w:numPr>
              <w:spacing w:before="0" w:after="240"/>
              <w:ind w:hanging="210"/>
              <w:jc w:val="left"/>
              <w:rPr>
                <w:szCs w:val="24"/>
              </w:rPr>
            </w:pPr>
            <w:r>
              <w:rPr>
                <w:szCs w:val="24"/>
              </w:rPr>
              <w:t>la valeur du foncier non bâti acheté, dans la limite de 10 % du total des dépenses éligibles de l’opération.</w:t>
            </w:r>
          </w:p>
          <w:p w:rsidR="0035701C" w:rsidRDefault="0035701C">
            <w:pPr>
              <w:pStyle w:val="Corpsdetexte"/>
            </w:pPr>
          </w:p>
        </w:tc>
      </w:tr>
    </w:tbl>
    <w:p w:rsidR="0035701C" w:rsidRDefault="00FB561B">
      <w:pPr>
        <w:pStyle w:val="Titre6"/>
      </w:pPr>
      <w:r>
        <w:t>Informations spécifiques sur l'opératio</w:t>
      </w:r>
      <w:r>
        <w:t>n</w:t>
      </w:r>
    </w:p>
    <w:p w:rsidR="0035701C" w:rsidRDefault="00FB561B">
      <w:r>
        <w:t>Définition des investissements non productifs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Définition des investissements collectifs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Définition des projets intégrés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Définition et recensement des zones Natura 2000 et des autres zones à haute valeur naturelle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Description </w:t>
      </w:r>
      <w:r>
        <w:t>du ciblage de l’aide aux exploitations conformément à l’analyse  SWOT réalisée en ce qui concerne la priorité visée à l'article 5, paragraphe 2,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Liste des nouvelles exigences imposées par la législation de l’Union dont le</w:t>
      </w:r>
      <w:r>
        <w:t xml:space="preserve"> respect permet l'octroi d'une aide en vertu de l’article 17, paragraphe 6,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S'il y a lieu, normes minimales en matière d’efficacité énergétique visées à l’article 13, point c),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S'</w:t>
      </w:r>
      <w:r>
        <w:t>il y a lieu, définition des valeurs seuils visées à l’article 13, point e),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br w:type="page"/>
        <w:t>4.3.1- Aménagement agricole et pastoral</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337"/>
              </w:numPr>
            </w:pPr>
            <w:r>
              <w:t xml:space="preserve">4.3 - Aide aux investissements dans les infrastructures liées au développement, à </w:t>
            </w:r>
            <w:r>
              <w:t>la modernisation ou à l'adaptation du secteur agricole et de la foresterie</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 type d’opération vise à permettre la mobilisation du potentiel productif agricole et pastoral, par une amélioration des infrastructures, concerna</w:t>
            </w:r>
            <w:r>
              <w:rPr>
                <w:szCs w:val="24"/>
              </w:rPr>
              <w:t>nt les accès à la ressource et l’organisation des périmètres.</w:t>
            </w:r>
          </w:p>
          <w:p w:rsidR="0035701C" w:rsidRDefault="00FB561B">
            <w:pPr>
              <w:spacing w:before="240" w:after="240"/>
              <w:jc w:val="left"/>
              <w:rPr>
                <w:szCs w:val="24"/>
              </w:rPr>
            </w:pPr>
            <w:r>
              <w:rPr>
                <w:szCs w:val="24"/>
              </w:rPr>
              <w:t xml:space="preserve">Ces interventions visent ainsi à considérer les besoins de l’aménagement rural du territoire, en vue de faciliter secondairement l’installation d’exploitation ou l’amélioration de la </w:t>
            </w:r>
            <w:r>
              <w:rPr>
                <w:szCs w:val="24"/>
              </w:rPr>
              <w:t>viabilisation des exploitations existantes.</w:t>
            </w:r>
          </w:p>
          <w:p w:rsidR="0035701C" w:rsidRDefault="00FB561B">
            <w:pPr>
              <w:spacing w:before="240" w:after="240"/>
              <w:jc w:val="left"/>
              <w:rPr>
                <w:szCs w:val="24"/>
              </w:rPr>
            </w:pPr>
            <w:r>
              <w:rPr>
                <w:szCs w:val="24"/>
              </w:rPr>
              <w:t>Cet aménagement cible d’une part les zones agricoles établies grâce à une démarche collective ou publique (associations syndicales de propriétaires, délimitation opérée dans le cadre de l’élaboration de documents</w:t>
            </w:r>
            <w:r>
              <w:rPr>
                <w:szCs w:val="24"/>
              </w:rPr>
              <w:t xml:space="preserve"> d’urbanisme, zones Agricoles et zone agricole protégée ZAP, PPAEN, zone délimitée comme agricole dans le DOCOBAS…etc), d’autre part l’ensemble des zones pastorales qui constituent l’essentiel de la surface agricole de la Corse.</w:t>
            </w:r>
          </w:p>
          <w:p w:rsidR="0035701C" w:rsidRDefault="00FB561B">
            <w:pPr>
              <w:spacing w:before="240" w:after="240"/>
              <w:jc w:val="left"/>
              <w:rPr>
                <w:szCs w:val="24"/>
              </w:rPr>
            </w:pPr>
            <w:r>
              <w:rPr>
                <w:szCs w:val="24"/>
              </w:rPr>
              <w:t>En effet les activités d’él</w:t>
            </w:r>
            <w:r>
              <w:rPr>
                <w:szCs w:val="24"/>
              </w:rPr>
              <w:t>evage sont majoritairement à vocation pastorale. Elles occupent et maintiennent de vastes territoires en valorisant des espaces souvent peu propices à d'autres formes d'agriculture comme les estives, les pelouses naturelles et les parcours.  Ces espaces on</w:t>
            </w:r>
            <w:r>
              <w:rPr>
                <w:szCs w:val="24"/>
              </w:rPr>
              <w:t>t une double vocation, économique comme support essentiel aux activités d’élevage, et également patrimoniale et paysagère.</w:t>
            </w:r>
          </w:p>
          <w:p w:rsidR="0035701C" w:rsidRDefault="00FB561B">
            <w:pPr>
              <w:spacing w:before="240" w:after="240"/>
              <w:jc w:val="left"/>
              <w:rPr>
                <w:szCs w:val="24"/>
              </w:rPr>
            </w:pPr>
            <w:r>
              <w:rPr>
                <w:szCs w:val="24"/>
              </w:rPr>
              <w:t>En améliorant et en structurant l’organisation pastorale et la gestion de cette ressource spontanée, l’objectif est d’augmenter la ré</w:t>
            </w:r>
            <w:r>
              <w:rPr>
                <w:szCs w:val="24"/>
              </w:rPr>
              <w:t>silience des exploitations vis-à-vis des aléas que constituent la sécheresse et le changement climatique. Par la réalisation des investissements prévus dans les schémas d’accompagnement pastoraux ou par l’aménagement d’estives, il s'agit d'apporter aux exp</w:t>
            </w:r>
            <w:r>
              <w:rPr>
                <w:szCs w:val="24"/>
              </w:rPr>
              <w:t>loitations des ressources fourragères supplémentaires pour répondre aux effets du changement climatique et diminuer leur dépendance alimentaire vis-à-vis des filières d’approvisionnement fourragères.</w:t>
            </w:r>
          </w:p>
          <w:p w:rsidR="0035701C" w:rsidRDefault="00FB561B">
            <w:pPr>
              <w:spacing w:before="240" w:after="240"/>
              <w:jc w:val="left"/>
              <w:rPr>
                <w:szCs w:val="24"/>
              </w:rPr>
            </w:pPr>
            <w:r>
              <w:rPr>
                <w:szCs w:val="24"/>
              </w:rPr>
              <w:t>Ce type d'opération permet de répondre   aux besoins n°2</w:t>
            </w:r>
            <w:r>
              <w:rPr>
                <w:szCs w:val="24"/>
              </w:rPr>
              <w:t xml:space="preserve"> (Mobiliser le foncier agricole, forestier et rural, n°3 (Equiper le foncier agricole, forestier et rural), n°24 (Développer la planification multifonctionnelle de l'usage des sols et notamment les pratiques sylvo-pastorales) et n°13 (Favoriser la reconquê</w:t>
            </w:r>
            <w:r>
              <w:rPr>
                <w:szCs w:val="24"/>
              </w:rPr>
              <w:t>te et la gestion des parcours pastoraux).</w:t>
            </w:r>
          </w:p>
          <w:p w:rsidR="0035701C" w:rsidRDefault="00FB561B">
            <w:pPr>
              <w:spacing w:before="240" w:after="240"/>
              <w:jc w:val="left"/>
              <w:rPr>
                <w:szCs w:val="24"/>
              </w:rPr>
            </w:pPr>
            <w:r>
              <w:rPr>
                <w:szCs w:val="24"/>
              </w:rPr>
              <w:t>Ces opérations concernent les périmètres agricoles et pastoraux, en privilégiant les secteurs qui font l’objet d’une organisation publique ou collective conformément à leurs schémas de mise en valeur :</w:t>
            </w:r>
          </w:p>
          <w:p w:rsidR="0035701C" w:rsidRDefault="00FB561B" w:rsidP="00FB561B">
            <w:pPr>
              <w:numPr>
                <w:ilvl w:val="0"/>
                <w:numId w:val="338"/>
              </w:numPr>
              <w:spacing w:before="240" w:after="0"/>
              <w:ind w:hanging="210"/>
              <w:jc w:val="left"/>
              <w:rPr>
                <w:szCs w:val="24"/>
              </w:rPr>
            </w:pPr>
            <w:r>
              <w:rPr>
                <w:szCs w:val="24"/>
              </w:rPr>
              <w:t>Les périmètr</w:t>
            </w:r>
            <w:r>
              <w:rPr>
                <w:szCs w:val="24"/>
              </w:rPr>
              <w:t>es fonciers des Associations Foncières Autorisées,</w:t>
            </w:r>
          </w:p>
          <w:p w:rsidR="0035701C" w:rsidRDefault="00FB561B" w:rsidP="00FB561B">
            <w:pPr>
              <w:numPr>
                <w:ilvl w:val="0"/>
                <w:numId w:val="338"/>
              </w:numPr>
              <w:spacing w:before="0" w:after="0"/>
              <w:ind w:hanging="210"/>
              <w:jc w:val="left"/>
              <w:rPr>
                <w:szCs w:val="24"/>
              </w:rPr>
            </w:pPr>
            <w:r>
              <w:rPr>
                <w:szCs w:val="24"/>
              </w:rPr>
              <w:t xml:space="preserve">Les zones retenues dans le cadre du Schéma d’Accompagnement Pastoral (SAP) qui établit au niveau de chaque territoire, la trame de l’organisation pastorale et collective du territoire et le plan de </w:t>
            </w:r>
            <w:r>
              <w:rPr>
                <w:szCs w:val="24"/>
              </w:rPr>
              <w:t>l’intervention pastorale permettant de structurer ces espaces.</w:t>
            </w:r>
          </w:p>
          <w:p w:rsidR="0035701C" w:rsidRDefault="00FB561B" w:rsidP="00FB561B">
            <w:pPr>
              <w:numPr>
                <w:ilvl w:val="0"/>
                <w:numId w:val="338"/>
              </w:numPr>
              <w:spacing w:before="0" w:after="0"/>
              <w:ind w:hanging="210"/>
              <w:jc w:val="left"/>
              <w:rPr>
                <w:szCs w:val="24"/>
              </w:rPr>
            </w:pPr>
            <w:r>
              <w:rPr>
                <w:szCs w:val="24"/>
              </w:rPr>
              <w:t>Les zones agricoles établies par les documents d’objectif agricole et sylvicole (DOCOBAS) faisant l’objet d’une protection (ZAP, PPAEN)</w:t>
            </w:r>
          </w:p>
          <w:p w:rsidR="0035701C" w:rsidRDefault="00FB561B" w:rsidP="00FB561B">
            <w:pPr>
              <w:numPr>
                <w:ilvl w:val="0"/>
                <w:numId w:val="338"/>
              </w:numPr>
              <w:spacing w:before="0" w:after="240"/>
              <w:ind w:hanging="210"/>
              <w:jc w:val="left"/>
              <w:rPr>
                <w:szCs w:val="24"/>
              </w:rPr>
            </w:pPr>
            <w:r>
              <w:rPr>
                <w:szCs w:val="24"/>
              </w:rPr>
              <w:t>Les estives communales,</w:t>
            </w:r>
          </w:p>
          <w:p w:rsidR="0035701C" w:rsidRDefault="00FB561B">
            <w:pPr>
              <w:spacing w:before="240" w:after="240"/>
              <w:jc w:val="left"/>
              <w:rPr>
                <w:szCs w:val="24"/>
              </w:rPr>
            </w:pPr>
            <w:r>
              <w:rPr>
                <w:szCs w:val="24"/>
              </w:rPr>
              <w:t> </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szCs w:val="24"/>
              </w:rPr>
              <w:t xml:space="preserve">Cette sous-mesure est ciblée </w:t>
            </w:r>
            <w:r>
              <w:rPr>
                <w:szCs w:val="24"/>
              </w:rPr>
              <w:t>sur le domaine prioritaire 2a) visant à améliorer la compétitivité des exploitations agricoles, dans la mesure où elles bénéficient principalement de ces infrastructures équipant le foncier rural.</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i/>
                <w:iCs/>
                <w:szCs w:val="24"/>
              </w:rPr>
              <w:t>Engagement du bénéficiaire</w:t>
            </w:r>
            <w:r>
              <w:rPr>
                <w:szCs w:val="24"/>
              </w:rPr>
              <w:t> :</w:t>
            </w:r>
          </w:p>
          <w:p w:rsidR="0035701C" w:rsidRDefault="00FB561B" w:rsidP="00FB561B">
            <w:pPr>
              <w:numPr>
                <w:ilvl w:val="0"/>
                <w:numId w:val="339"/>
              </w:numPr>
              <w:spacing w:before="240" w:after="0"/>
              <w:ind w:hanging="210"/>
              <w:jc w:val="left"/>
              <w:rPr>
                <w:szCs w:val="24"/>
              </w:rPr>
            </w:pPr>
            <w:r>
              <w:rPr>
                <w:i/>
                <w:iCs/>
                <w:szCs w:val="24"/>
              </w:rPr>
              <w:t>Engagements généraux</w:t>
            </w:r>
            <w:r>
              <w:rPr>
                <w:szCs w:val="24"/>
              </w:rPr>
              <w:t xml:space="preserve"> </w:t>
            </w:r>
          </w:p>
          <w:p w:rsidR="0035701C" w:rsidRDefault="00FB561B" w:rsidP="00FB561B">
            <w:pPr>
              <w:numPr>
                <w:ilvl w:val="1"/>
                <w:numId w:val="339"/>
              </w:numPr>
              <w:spacing w:before="0" w:after="0"/>
              <w:ind w:hanging="244"/>
              <w:jc w:val="left"/>
              <w:rPr>
                <w:szCs w:val="24"/>
              </w:rPr>
            </w:pPr>
            <w:r>
              <w:rPr>
                <w:szCs w:val="24"/>
              </w:rPr>
              <w:t>Mainte</w:t>
            </w:r>
            <w:r>
              <w:rPr>
                <w:szCs w:val="24"/>
              </w:rPr>
              <w:t>nir fonctionnellement l’investissement durant 5 années à compter de la date du dernier paiement relatif à l’opération pour les équipements et de 10 ans pour les bâtiments.</w:t>
            </w:r>
          </w:p>
          <w:p w:rsidR="0035701C" w:rsidRDefault="00FB561B" w:rsidP="00FB561B">
            <w:pPr>
              <w:numPr>
                <w:ilvl w:val="1"/>
                <w:numId w:val="339"/>
              </w:numPr>
              <w:spacing w:before="0" w:after="0"/>
              <w:ind w:hanging="244"/>
              <w:jc w:val="left"/>
              <w:rPr>
                <w:szCs w:val="24"/>
              </w:rPr>
            </w:pPr>
            <w:r>
              <w:rPr>
                <w:szCs w:val="24"/>
              </w:rPr>
              <w:t>satisfaire aux obligations de publicité du FEADER ;</w:t>
            </w:r>
          </w:p>
          <w:p w:rsidR="0035701C" w:rsidRDefault="00FB561B" w:rsidP="00FB561B">
            <w:pPr>
              <w:numPr>
                <w:ilvl w:val="1"/>
                <w:numId w:val="339"/>
              </w:numPr>
              <w:spacing w:before="0" w:after="0"/>
              <w:ind w:hanging="244"/>
              <w:jc w:val="left"/>
              <w:rPr>
                <w:szCs w:val="24"/>
              </w:rPr>
            </w:pPr>
            <w:r>
              <w:rPr>
                <w:szCs w:val="24"/>
              </w:rPr>
              <w:t>informer immédiatement l'autorit</w:t>
            </w:r>
            <w:r>
              <w:rPr>
                <w:szCs w:val="24"/>
              </w:rPr>
              <w:t>é de gestion de toute cessation d'activité ainsi que des modifications intervenant dans la mise en œuvre de l’opération.</w:t>
            </w:r>
          </w:p>
          <w:p w:rsidR="0035701C" w:rsidRDefault="00FB561B" w:rsidP="00FB561B">
            <w:pPr>
              <w:numPr>
                <w:ilvl w:val="1"/>
                <w:numId w:val="339"/>
              </w:numPr>
              <w:spacing w:before="0" w:after="240"/>
              <w:ind w:hanging="244"/>
              <w:jc w:val="left"/>
              <w:rPr>
                <w:szCs w:val="24"/>
              </w:rPr>
            </w:pPr>
            <w:r>
              <w:rPr>
                <w:szCs w:val="24"/>
              </w:rPr>
              <w:t xml:space="preserve">se conformer aux obligations liées aux contrôles administratifs sur place, sur pièces, communautaire ou national, pendant la durée de </w:t>
            </w:r>
            <w:r>
              <w:rPr>
                <w:szCs w:val="24"/>
              </w:rPr>
              <w:t>l’engagement de 5 ans</w:t>
            </w:r>
          </w:p>
          <w:p w:rsidR="0035701C" w:rsidRDefault="00FB561B">
            <w:pPr>
              <w:spacing w:before="240" w:after="240"/>
              <w:ind w:left="1440"/>
              <w:jc w:val="left"/>
              <w:rPr>
                <w:szCs w:val="24"/>
              </w:rPr>
            </w:pPr>
            <w:r>
              <w:rPr>
                <w:szCs w:val="24"/>
              </w:rPr>
              <w:t> </w:t>
            </w:r>
          </w:p>
          <w:p w:rsidR="0035701C" w:rsidRDefault="00FB561B" w:rsidP="00FB561B">
            <w:pPr>
              <w:numPr>
                <w:ilvl w:val="0"/>
                <w:numId w:val="340"/>
              </w:numPr>
              <w:spacing w:before="240" w:after="0"/>
              <w:ind w:hanging="210"/>
              <w:jc w:val="left"/>
              <w:rPr>
                <w:szCs w:val="24"/>
              </w:rPr>
            </w:pPr>
            <w:r>
              <w:rPr>
                <w:i/>
                <w:iCs/>
                <w:szCs w:val="24"/>
              </w:rPr>
              <w:t>Engagements spécifiques</w:t>
            </w:r>
            <w:r>
              <w:rPr>
                <w:szCs w:val="24"/>
              </w:rPr>
              <w:t xml:space="preserve">  </w:t>
            </w:r>
          </w:p>
          <w:p w:rsidR="0035701C" w:rsidRDefault="00FB561B" w:rsidP="00FB561B">
            <w:pPr>
              <w:numPr>
                <w:ilvl w:val="1"/>
                <w:numId w:val="340"/>
              </w:numPr>
              <w:spacing w:before="0" w:after="0"/>
              <w:ind w:hanging="244"/>
              <w:jc w:val="left"/>
              <w:rPr>
                <w:szCs w:val="24"/>
              </w:rPr>
            </w:pPr>
            <w:r>
              <w:rPr>
                <w:szCs w:val="24"/>
              </w:rPr>
              <w:t>satisfaire aux prescriptions techniques validées par l’Autorité de Gestion qui conditionnent la bonne mise en œuvre de l’opération,</w:t>
            </w:r>
          </w:p>
          <w:p w:rsidR="0035701C" w:rsidRDefault="00FB561B" w:rsidP="00FB561B">
            <w:pPr>
              <w:numPr>
                <w:ilvl w:val="1"/>
                <w:numId w:val="340"/>
              </w:numPr>
              <w:spacing w:before="0" w:after="240"/>
              <w:ind w:hanging="244"/>
              <w:jc w:val="left"/>
              <w:rPr>
                <w:szCs w:val="24"/>
              </w:rPr>
            </w:pPr>
            <w:r>
              <w:rPr>
                <w:szCs w:val="24"/>
              </w:rPr>
              <w:t>Hors des périmètres fonciers des Associations foncières Autorisées, pour l</w:t>
            </w:r>
            <w:r>
              <w:rPr>
                <w:szCs w:val="24"/>
              </w:rPr>
              <w:t>es projets liés au SAP, le maître d’ouvrage devra produire un diagnostic pastoral individuel permettant de mesurer le gain prévisionnel en autonomie fourragère du projet par rapport à la situation initiale.</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versée sous forme de 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Code Rural, notamment livre 1er relatif à l’aménagement et l’équipement de l’espace rural.</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Bénéficiaires :</w:t>
            </w:r>
          </w:p>
          <w:p w:rsidR="0035701C" w:rsidRDefault="00FB561B" w:rsidP="00FB561B">
            <w:pPr>
              <w:numPr>
                <w:ilvl w:val="0"/>
                <w:numId w:val="341"/>
              </w:numPr>
              <w:spacing w:before="240" w:after="0"/>
              <w:ind w:hanging="210"/>
              <w:jc w:val="left"/>
              <w:rPr>
                <w:szCs w:val="24"/>
              </w:rPr>
            </w:pPr>
            <w:r>
              <w:rPr>
                <w:szCs w:val="24"/>
              </w:rPr>
              <w:t>groupements d’exploitants agricoles,</w:t>
            </w:r>
          </w:p>
          <w:p w:rsidR="0035701C" w:rsidRDefault="00FB561B" w:rsidP="00FB561B">
            <w:pPr>
              <w:numPr>
                <w:ilvl w:val="0"/>
                <w:numId w:val="341"/>
              </w:numPr>
              <w:spacing w:before="0" w:after="0"/>
              <w:ind w:hanging="210"/>
              <w:jc w:val="left"/>
              <w:rPr>
                <w:szCs w:val="24"/>
              </w:rPr>
            </w:pPr>
            <w:r>
              <w:rPr>
                <w:szCs w:val="24"/>
              </w:rPr>
              <w:t xml:space="preserve">association </w:t>
            </w:r>
            <w:r>
              <w:rPr>
                <w:szCs w:val="24"/>
              </w:rPr>
              <w:t>foncière,</w:t>
            </w:r>
          </w:p>
          <w:p w:rsidR="0035701C" w:rsidRDefault="00FB561B" w:rsidP="00FB561B">
            <w:pPr>
              <w:numPr>
                <w:ilvl w:val="0"/>
                <w:numId w:val="341"/>
              </w:numPr>
              <w:spacing w:before="0" w:after="0"/>
              <w:ind w:hanging="210"/>
              <w:jc w:val="left"/>
              <w:rPr>
                <w:szCs w:val="24"/>
              </w:rPr>
            </w:pPr>
            <w:r>
              <w:rPr>
                <w:szCs w:val="24"/>
              </w:rPr>
              <w:t>établissement public,</w:t>
            </w:r>
          </w:p>
          <w:p w:rsidR="0035701C" w:rsidRDefault="00FB561B" w:rsidP="00FB561B">
            <w:pPr>
              <w:numPr>
                <w:ilvl w:val="0"/>
                <w:numId w:val="341"/>
              </w:numPr>
              <w:spacing w:before="0" w:after="0"/>
              <w:ind w:hanging="210"/>
              <w:jc w:val="left"/>
              <w:rPr>
                <w:szCs w:val="24"/>
              </w:rPr>
            </w:pPr>
            <w:r>
              <w:rPr>
                <w:szCs w:val="24"/>
              </w:rPr>
              <w:t>collectivité locale, EPCI,</w:t>
            </w:r>
          </w:p>
          <w:p w:rsidR="0035701C" w:rsidRDefault="00FB561B" w:rsidP="00FB561B">
            <w:pPr>
              <w:numPr>
                <w:ilvl w:val="0"/>
                <w:numId w:val="341"/>
              </w:numPr>
              <w:spacing w:before="0" w:after="0"/>
              <w:ind w:hanging="210"/>
              <w:jc w:val="left"/>
              <w:rPr>
                <w:szCs w:val="24"/>
              </w:rPr>
            </w:pPr>
            <w:r>
              <w:rPr>
                <w:szCs w:val="24"/>
              </w:rPr>
              <w:t>La SAFER de Corse,</w:t>
            </w:r>
          </w:p>
          <w:p w:rsidR="0035701C" w:rsidRDefault="00FB561B" w:rsidP="00FB561B">
            <w:pPr>
              <w:numPr>
                <w:ilvl w:val="0"/>
                <w:numId w:val="341"/>
              </w:numPr>
              <w:spacing w:before="0" w:after="0"/>
              <w:ind w:hanging="210"/>
              <w:jc w:val="left"/>
              <w:rPr>
                <w:szCs w:val="24"/>
              </w:rPr>
            </w:pPr>
            <w:r>
              <w:rPr>
                <w:szCs w:val="24"/>
              </w:rPr>
              <w:t>Office de Développement Agricole et Rural de Corse (ODARC),</w:t>
            </w:r>
          </w:p>
          <w:p w:rsidR="0035701C" w:rsidRDefault="00FB561B" w:rsidP="00FB561B">
            <w:pPr>
              <w:numPr>
                <w:ilvl w:val="0"/>
                <w:numId w:val="341"/>
              </w:numPr>
              <w:spacing w:before="0" w:after="0"/>
              <w:ind w:hanging="210"/>
              <w:jc w:val="left"/>
              <w:rPr>
                <w:szCs w:val="24"/>
              </w:rPr>
            </w:pPr>
            <w:r>
              <w:rPr>
                <w:szCs w:val="24"/>
              </w:rPr>
              <w:t>Chambres d’agriculture,</w:t>
            </w:r>
          </w:p>
          <w:p w:rsidR="0035701C" w:rsidRDefault="00FB561B" w:rsidP="00FB561B">
            <w:pPr>
              <w:numPr>
                <w:ilvl w:val="0"/>
                <w:numId w:val="341"/>
              </w:numPr>
              <w:spacing w:before="0" w:after="240"/>
              <w:ind w:hanging="210"/>
              <w:jc w:val="left"/>
              <w:rPr>
                <w:szCs w:val="24"/>
              </w:rPr>
            </w:pPr>
            <w:r>
              <w:rPr>
                <w:szCs w:val="24"/>
              </w:rPr>
              <w:t>Communes et leur groupement.</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w:t>
            </w:r>
          </w:p>
          <w:p w:rsidR="0035701C" w:rsidRDefault="00FB561B" w:rsidP="00FB561B">
            <w:pPr>
              <w:numPr>
                <w:ilvl w:val="0"/>
                <w:numId w:val="342"/>
              </w:numPr>
              <w:spacing w:before="240" w:after="0"/>
              <w:ind w:hanging="210"/>
              <w:jc w:val="left"/>
              <w:rPr>
                <w:szCs w:val="24"/>
              </w:rPr>
            </w:pPr>
            <w:r>
              <w:rPr>
                <w:szCs w:val="24"/>
                <w:u w:val="single"/>
              </w:rPr>
              <w:t xml:space="preserve">Les </w:t>
            </w:r>
            <w:r>
              <w:rPr>
                <w:szCs w:val="24"/>
                <w:u w:val="single"/>
              </w:rPr>
              <w:t>investissements physiques</w:t>
            </w:r>
            <w:r>
              <w:rPr>
                <w:szCs w:val="24"/>
              </w:rPr>
              <w:t xml:space="preserve"> : </w:t>
            </w:r>
          </w:p>
          <w:p w:rsidR="0035701C" w:rsidRDefault="00FB561B" w:rsidP="00FB561B">
            <w:pPr>
              <w:numPr>
                <w:ilvl w:val="1"/>
                <w:numId w:val="342"/>
              </w:numPr>
              <w:spacing w:before="0" w:after="0"/>
              <w:ind w:hanging="244"/>
              <w:jc w:val="left"/>
              <w:rPr>
                <w:szCs w:val="24"/>
              </w:rPr>
            </w:pPr>
            <w:r>
              <w:rPr>
                <w:szCs w:val="24"/>
              </w:rPr>
              <w:t>1 : les dessertes agricoles hors des zones déjà desservies des exploitations agricoles, (terrassements, équipements connexes aux dessertes tels que clôtures, portail, écoulement des eaux, passages d’animaux…)</w:t>
            </w:r>
          </w:p>
          <w:p w:rsidR="0035701C" w:rsidRDefault="00FB561B" w:rsidP="00FB561B">
            <w:pPr>
              <w:numPr>
                <w:ilvl w:val="1"/>
                <w:numId w:val="342"/>
              </w:numPr>
              <w:spacing w:before="0" w:after="0"/>
              <w:ind w:hanging="244"/>
              <w:jc w:val="left"/>
              <w:rPr>
                <w:szCs w:val="24"/>
              </w:rPr>
            </w:pPr>
            <w:r>
              <w:rPr>
                <w:szCs w:val="24"/>
              </w:rPr>
              <w:t>2 : les clôtures p</w:t>
            </w:r>
            <w:r>
              <w:rPr>
                <w:szCs w:val="24"/>
              </w:rPr>
              <w:t>érimétrales des zones agricoles</w:t>
            </w:r>
          </w:p>
          <w:p w:rsidR="0035701C" w:rsidRDefault="00FB561B" w:rsidP="00FB561B">
            <w:pPr>
              <w:numPr>
                <w:ilvl w:val="1"/>
                <w:numId w:val="342"/>
              </w:numPr>
              <w:spacing w:before="0" w:after="0"/>
              <w:ind w:hanging="244"/>
              <w:jc w:val="left"/>
              <w:rPr>
                <w:szCs w:val="24"/>
              </w:rPr>
            </w:pPr>
            <w:r>
              <w:rPr>
                <w:szCs w:val="24"/>
              </w:rPr>
              <w:t>3 : l’aménagement  des territoires agricoles, limité aux secteurs qui font l’objet d’une organisation</w:t>
            </w:r>
            <w:r>
              <w:rPr>
                <w:szCs w:val="24"/>
              </w:rPr>
              <w:br/>
              <w:t xml:space="preserve">publique ou collective comprenant : </w:t>
            </w:r>
          </w:p>
          <w:p w:rsidR="0035701C" w:rsidRDefault="00FB561B" w:rsidP="00FB561B">
            <w:pPr>
              <w:numPr>
                <w:ilvl w:val="2"/>
                <w:numId w:val="342"/>
              </w:numPr>
              <w:spacing w:before="0" w:after="0"/>
              <w:ind w:hanging="210"/>
              <w:jc w:val="left"/>
              <w:rPr>
                <w:szCs w:val="24"/>
              </w:rPr>
            </w:pPr>
            <w:r>
              <w:rPr>
                <w:szCs w:val="24"/>
              </w:rPr>
              <w:t>les interventions d’ouverture de milieux (débroussaillement)</w:t>
            </w:r>
          </w:p>
          <w:p w:rsidR="0035701C" w:rsidRDefault="00FB561B" w:rsidP="00FB561B">
            <w:pPr>
              <w:numPr>
                <w:ilvl w:val="2"/>
                <w:numId w:val="342"/>
              </w:numPr>
              <w:spacing w:before="0" w:after="0"/>
              <w:ind w:hanging="210"/>
              <w:jc w:val="left"/>
              <w:rPr>
                <w:szCs w:val="24"/>
              </w:rPr>
            </w:pPr>
            <w:r>
              <w:rPr>
                <w:szCs w:val="24"/>
              </w:rPr>
              <w:t>l’équipement des zones d</w:t>
            </w:r>
            <w:r>
              <w:rPr>
                <w:szCs w:val="24"/>
              </w:rPr>
              <w:t>’estives (abreuvement, restauration de sources, contention des animaux).</w:t>
            </w:r>
          </w:p>
          <w:p w:rsidR="0035701C" w:rsidRDefault="00FB561B" w:rsidP="00FB561B">
            <w:pPr>
              <w:numPr>
                <w:ilvl w:val="2"/>
                <w:numId w:val="342"/>
              </w:numPr>
              <w:spacing w:before="0" w:after="0"/>
              <w:ind w:hanging="210"/>
              <w:jc w:val="left"/>
              <w:rPr>
                <w:szCs w:val="24"/>
              </w:rPr>
            </w:pPr>
            <w:r>
              <w:rPr>
                <w:szCs w:val="24"/>
              </w:rPr>
              <w:t>la rénovation du petit patrimoine bâti pastoral des périmètres (bergeries y compris les dispositifs concourant à l’autonomie énergétique en site isolée, abri).</w:t>
            </w:r>
          </w:p>
          <w:p w:rsidR="0035701C" w:rsidRDefault="00FB561B" w:rsidP="00FB561B">
            <w:pPr>
              <w:numPr>
                <w:ilvl w:val="1"/>
                <w:numId w:val="342"/>
              </w:numPr>
              <w:spacing w:before="0" w:after="0"/>
              <w:ind w:hanging="244"/>
              <w:jc w:val="left"/>
              <w:rPr>
                <w:szCs w:val="24"/>
              </w:rPr>
            </w:pPr>
            <w:r>
              <w:rPr>
                <w:szCs w:val="24"/>
              </w:rPr>
              <w:t>4 : La rénovation du pe</w:t>
            </w:r>
            <w:r>
              <w:rPr>
                <w:szCs w:val="24"/>
              </w:rPr>
              <w:t>tit patrimoine bâti pastoral et productif  (bergeries, abri).</w:t>
            </w:r>
          </w:p>
          <w:p w:rsidR="0035701C" w:rsidRDefault="00FB561B" w:rsidP="00FB561B">
            <w:pPr>
              <w:numPr>
                <w:ilvl w:val="0"/>
                <w:numId w:val="342"/>
              </w:numPr>
              <w:spacing w:before="0" w:after="0"/>
              <w:ind w:hanging="210"/>
              <w:jc w:val="left"/>
              <w:rPr>
                <w:szCs w:val="24"/>
              </w:rPr>
            </w:pPr>
            <w:r>
              <w:rPr>
                <w:szCs w:val="24"/>
                <w:u w:val="single"/>
              </w:rPr>
              <w:t xml:space="preserve">Les frais généraux </w:t>
            </w:r>
            <w:r>
              <w:rPr>
                <w:szCs w:val="24"/>
              </w:rPr>
              <w:t xml:space="preserve">relatifs au projet dans la limite de 10% des dépenses totales éligibles de l'opération, dans le respect de l’article 45.2-c, notamment : </w:t>
            </w:r>
          </w:p>
          <w:p w:rsidR="0035701C" w:rsidRDefault="00FB561B" w:rsidP="00FB561B">
            <w:pPr>
              <w:numPr>
                <w:ilvl w:val="1"/>
                <w:numId w:val="342"/>
              </w:numPr>
              <w:spacing w:before="0" w:after="0"/>
              <w:ind w:hanging="244"/>
              <w:jc w:val="left"/>
              <w:rPr>
                <w:szCs w:val="24"/>
              </w:rPr>
            </w:pPr>
            <w:r>
              <w:rPr>
                <w:szCs w:val="24"/>
              </w:rPr>
              <w:t>Les études préalables (études techniq</w:t>
            </w:r>
            <w:r>
              <w:rPr>
                <w:szCs w:val="24"/>
              </w:rPr>
              <w:t>ues et d’impact environnemental) liées aux opérations et à leur mise en œuvre (maîtrise d’œuvre).</w:t>
            </w:r>
          </w:p>
          <w:p w:rsidR="0035701C" w:rsidRDefault="00FB561B" w:rsidP="00FB561B">
            <w:pPr>
              <w:numPr>
                <w:ilvl w:val="1"/>
                <w:numId w:val="342"/>
              </w:numPr>
              <w:spacing w:before="0" w:after="240"/>
              <w:ind w:hanging="244"/>
              <w:jc w:val="left"/>
              <w:rPr>
                <w:szCs w:val="24"/>
              </w:rPr>
            </w:pPr>
            <w:r>
              <w:rPr>
                <w:szCs w:val="24"/>
              </w:rPr>
              <w:t>les études et interventions foncières</w:t>
            </w:r>
          </w:p>
          <w:p w:rsidR="0035701C" w:rsidRDefault="00FB561B">
            <w:pPr>
              <w:spacing w:before="240" w:after="240"/>
              <w:jc w:val="left"/>
              <w:rPr>
                <w:szCs w:val="24"/>
              </w:rPr>
            </w:pPr>
            <w:r>
              <w:rPr>
                <w:szCs w:val="24"/>
              </w:rPr>
              <w:t>Investissements inéligibles :</w:t>
            </w:r>
          </w:p>
          <w:p w:rsidR="0035701C" w:rsidRDefault="00FB561B" w:rsidP="00FB561B">
            <w:pPr>
              <w:numPr>
                <w:ilvl w:val="0"/>
                <w:numId w:val="343"/>
              </w:numPr>
              <w:spacing w:before="240" w:after="0"/>
              <w:ind w:hanging="210"/>
              <w:jc w:val="left"/>
              <w:rPr>
                <w:szCs w:val="24"/>
              </w:rPr>
            </w:pPr>
            <w:r>
              <w:rPr>
                <w:szCs w:val="24"/>
              </w:rPr>
              <w:t>achat de foncier</w:t>
            </w:r>
          </w:p>
          <w:p w:rsidR="0035701C" w:rsidRDefault="00FB561B" w:rsidP="00FB561B">
            <w:pPr>
              <w:numPr>
                <w:ilvl w:val="0"/>
                <w:numId w:val="343"/>
              </w:numPr>
              <w:spacing w:before="0" w:after="0"/>
              <w:ind w:hanging="210"/>
              <w:jc w:val="left"/>
              <w:rPr>
                <w:szCs w:val="24"/>
              </w:rPr>
            </w:pPr>
            <w:r>
              <w:rPr>
                <w:szCs w:val="24"/>
              </w:rPr>
              <w:t>l’entretien courant de la voirie et des clôtures.</w:t>
            </w:r>
          </w:p>
          <w:p w:rsidR="0035701C" w:rsidRDefault="00FB561B" w:rsidP="00FB561B">
            <w:pPr>
              <w:numPr>
                <w:ilvl w:val="0"/>
                <w:numId w:val="343"/>
              </w:numPr>
              <w:spacing w:before="0" w:after="240"/>
              <w:ind w:hanging="210"/>
              <w:jc w:val="left"/>
              <w:rPr>
                <w:szCs w:val="24"/>
              </w:rPr>
            </w:pPr>
            <w:r>
              <w:rPr>
                <w:szCs w:val="24"/>
              </w:rPr>
              <w:t xml:space="preserve">Les apports en nature, </w:t>
            </w:r>
            <w:r>
              <w:rPr>
                <w:szCs w:val="24"/>
              </w:rPr>
              <w:t>notamment les travaux pour propre compte réalisés par les agriculteurs.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opérations sont éligibles à la condition :</w:t>
            </w:r>
          </w:p>
          <w:p w:rsidR="0035701C" w:rsidRDefault="00FB561B" w:rsidP="00FB561B">
            <w:pPr>
              <w:numPr>
                <w:ilvl w:val="0"/>
                <w:numId w:val="344"/>
              </w:numPr>
              <w:spacing w:before="240" w:after="0"/>
              <w:ind w:hanging="210"/>
              <w:jc w:val="left"/>
              <w:rPr>
                <w:szCs w:val="24"/>
              </w:rPr>
            </w:pPr>
            <w:r>
              <w:rPr>
                <w:szCs w:val="24"/>
              </w:rPr>
              <w:t xml:space="preserve">que le maitre d’ouvrage détienne  l’autorisation des propriétaires du foncier (autorisations ou statut à </w:t>
            </w:r>
            <w:r>
              <w:rPr>
                <w:szCs w:val="24"/>
              </w:rPr>
              <w:t>jour lorsqu’il s’agit d’une association foncière),</w:t>
            </w:r>
          </w:p>
          <w:p w:rsidR="0035701C" w:rsidRDefault="00FB561B" w:rsidP="00FB561B">
            <w:pPr>
              <w:numPr>
                <w:ilvl w:val="0"/>
                <w:numId w:val="344"/>
              </w:numPr>
              <w:spacing w:before="0" w:after="0"/>
              <w:ind w:hanging="210"/>
              <w:jc w:val="left"/>
              <w:rPr>
                <w:szCs w:val="24"/>
              </w:rPr>
            </w:pPr>
            <w:r>
              <w:rPr>
                <w:szCs w:val="24"/>
              </w:rPr>
              <w:t xml:space="preserve">de contractualiser l’usage des terrains objets de l’intervention à des agriculteurs. Pour ce faire le maître d’ouvrage devra produire : </w:t>
            </w:r>
          </w:p>
          <w:p w:rsidR="0035701C" w:rsidRDefault="00FB561B" w:rsidP="00FB561B">
            <w:pPr>
              <w:numPr>
                <w:ilvl w:val="1"/>
                <w:numId w:val="344"/>
              </w:numPr>
              <w:spacing w:before="0" w:after="0"/>
              <w:ind w:hanging="244"/>
              <w:jc w:val="left"/>
              <w:rPr>
                <w:szCs w:val="24"/>
              </w:rPr>
            </w:pPr>
            <w:r>
              <w:rPr>
                <w:szCs w:val="24"/>
              </w:rPr>
              <w:t>un engagement à établir un contrat portant sur les publics cibles.</w:t>
            </w:r>
          </w:p>
          <w:p w:rsidR="0035701C" w:rsidRDefault="00FB561B" w:rsidP="00FB561B">
            <w:pPr>
              <w:numPr>
                <w:ilvl w:val="1"/>
                <w:numId w:val="344"/>
              </w:numPr>
              <w:spacing w:before="0" w:after="240"/>
              <w:ind w:hanging="244"/>
              <w:jc w:val="left"/>
              <w:rPr>
                <w:szCs w:val="24"/>
              </w:rPr>
            </w:pPr>
            <w:r>
              <w:rPr>
                <w:szCs w:val="24"/>
              </w:rPr>
              <w:t>u</w:t>
            </w:r>
            <w:r>
              <w:rPr>
                <w:szCs w:val="24"/>
              </w:rPr>
              <w:t>n modèle de contrat mentionnant les obligations de l’utilisateur.</w:t>
            </w:r>
          </w:p>
          <w:p w:rsidR="0035701C" w:rsidRDefault="00FB561B" w:rsidP="00FB561B">
            <w:pPr>
              <w:numPr>
                <w:ilvl w:val="0"/>
                <w:numId w:val="345"/>
              </w:numPr>
              <w:spacing w:before="240" w:after="240"/>
              <w:ind w:hanging="210"/>
              <w:jc w:val="left"/>
              <w:rPr>
                <w:szCs w:val="24"/>
              </w:rPr>
            </w:pPr>
            <w:r>
              <w:rPr>
                <w:szCs w:val="24"/>
              </w:rPr>
              <w:t xml:space="preserve">Le projet doit être présenté en conformité avec le droit spécifique applicable en matière d’évaluation de l’impact environnemental, et le cas échéant avec les autorisations requises pour la </w:t>
            </w:r>
            <w:r>
              <w:rPr>
                <w:szCs w:val="24"/>
              </w:rPr>
              <w:t>protection de l'environnement au titre du code de l'environnement (articles L 214-1 à L 214-6 et L 512-1 à L 513-3).</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 sélection des opérations se fera sur les principes  suivants :</w:t>
            </w:r>
          </w:p>
          <w:p w:rsidR="0035701C" w:rsidRDefault="00FB561B" w:rsidP="00FB561B">
            <w:pPr>
              <w:numPr>
                <w:ilvl w:val="0"/>
                <w:numId w:val="346"/>
              </w:numPr>
              <w:spacing w:before="240" w:after="0"/>
              <w:ind w:hanging="210"/>
              <w:jc w:val="left"/>
              <w:rPr>
                <w:szCs w:val="24"/>
              </w:rPr>
            </w:pPr>
            <w:r>
              <w:rPr>
                <w:szCs w:val="24"/>
              </w:rPr>
              <w:t>impact secondaire attendu en termes d’activité agricole et pastorale (surface desservie ou requalifiée, chargement animal permis par l’opération, volume de production),</w:t>
            </w:r>
          </w:p>
          <w:p w:rsidR="0035701C" w:rsidRDefault="00FB561B" w:rsidP="00FB561B">
            <w:pPr>
              <w:numPr>
                <w:ilvl w:val="0"/>
                <w:numId w:val="346"/>
              </w:numPr>
              <w:spacing w:before="0" w:after="0"/>
              <w:ind w:hanging="210"/>
              <w:jc w:val="left"/>
              <w:rPr>
                <w:szCs w:val="24"/>
              </w:rPr>
            </w:pPr>
            <w:r>
              <w:rPr>
                <w:szCs w:val="24"/>
              </w:rPr>
              <w:t>caractère collectif de l’opération et cohérence spatiale de l’intervention avec d’autre</w:t>
            </w:r>
            <w:r>
              <w:rPr>
                <w:szCs w:val="24"/>
              </w:rPr>
              <w:t>s ouvrages,</w:t>
            </w:r>
          </w:p>
          <w:p w:rsidR="0035701C" w:rsidRDefault="00FB561B" w:rsidP="00FB561B">
            <w:pPr>
              <w:numPr>
                <w:ilvl w:val="0"/>
                <w:numId w:val="346"/>
              </w:numPr>
              <w:spacing w:before="0" w:after="0"/>
              <w:ind w:hanging="210"/>
              <w:jc w:val="left"/>
              <w:rPr>
                <w:szCs w:val="24"/>
              </w:rPr>
            </w:pPr>
            <w:r>
              <w:rPr>
                <w:szCs w:val="24"/>
              </w:rPr>
              <w:t>Inscription de l’opération dans le cadre d’un projet de territoire,</w:t>
            </w:r>
          </w:p>
          <w:p w:rsidR="0035701C" w:rsidRDefault="00FB561B" w:rsidP="00FB561B">
            <w:pPr>
              <w:numPr>
                <w:ilvl w:val="0"/>
                <w:numId w:val="346"/>
              </w:numPr>
              <w:spacing w:before="0" w:after="0"/>
              <w:ind w:hanging="210"/>
              <w:jc w:val="left"/>
              <w:rPr>
                <w:szCs w:val="24"/>
              </w:rPr>
            </w:pPr>
            <w:r>
              <w:rPr>
                <w:szCs w:val="24"/>
              </w:rPr>
              <w:t>Impact environnemental,</w:t>
            </w:r>
          </w:p>
          <w:p w:rsidR="0035701C" w:rsidRDefault="00FB561B" w:rsidP="00FB561B">
            <w:pPr>
              <w:numPr>
                <w:ilvl w:val="0"/>
                <w:numId w:val="346"/>
              </w:numPr>
              <w:spacing w:before="0" w:after="240"/>
              <w:ind w:hanging="210"/>
              <w:jc w:val="left"/>
              <w:rPr>
                <w:szCs w:val="24"/>
              </w:rPr>
            </w:pPr>
            <w:r>
              <w:rPr>
                <w:szCs w:val="24"/>
              </w:rPr>
              <w:t>Pour les investissements liés au SAP : niveau minimum de structuration des exploitations atteint et gain d’autonomie fourragère sur la base des diagnost</w:t>
            </w:r>
            <w:r>
              <w:rPr>
                <w:szCs w:val="24"/>
              </w:rPr>
              <w:t>ics pastoraux réalisés.</w:t>
            </w:r>
          </w:p>
          <w:p w:rsidR="0035701C" w:rsidRDefault="00FB561B">
            <w:pPr>
              <w:spacing w:before="240" w:after="240"/>
              <w:jc w:val="left"/>
              <w:rPr>
                <w:szCs w:val="24"/>
              </w:rPr>
            </w:pPr>
            <w:r>
              <w:rPr>
                <w:szCs w:val="24"/>
              </w:rPr>
              <w:t>La mesure est mise en œuvre par Appel à Projet.</w:t>
            </w:r>
          </w:p>
          <w:p w:rsidR="0035701C" w:rsidRDefault="00FB561B">
            <w:pPr>
              <w:spacing w:before="240" w:after="240"/>
              <w:jc w:val="left"/>
              <w:rPr>
                <w:szCs w:val="24"/>
              </w:rPr>
            </w:pPr>
            <w:r>
              <w:rPr>
                <w:szCs w:val="24"/>
              </w:rPr>
              <w:t>La grille de sélection des opérations prévoira l'établissement d'un système de points permettant le classement des dossiers et la fixation d'un seuil minimal pour accéder au soutien au</w:t>
            </w:r>
            <w:r>
              <w:rPr>
                <w:szCs w:val="24"/>
              </w:rPr>
              <w:t xml:space="preserve"> titre du PDRC.</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347"/>
              </w:numPr>
              <w:spacing w:before="0" w:after="0"/>
              <w:ind w:hanging="210"/>
              <w:jc w:val="left"/>
              <w:rPr>
                <w:szCs w:val="24"/>
              </w:rPr>
            </w:pPr>
            <w:r>
              <w:rPr>
                <w:szCs w:val="24"/>
              </w:rPr>
              <w:t>Taux d'aide de base : 80%</w:t>
            </w:r>
          </w:p>
          <w:p w:rsidR="0035701C" w:rsidRDefault="00FB561B" w:rsidP="00FB561B">
            <w:pPr>
              <w:numPr>
                <w:ilvl w:val="0"/>
                <w:numId w:val="347"/>
              </w:numPr>
              <w:spacing w:before="0" w:after="240"/>
              <w:ind w:hanging="210"/>
              <w:jc w:val="left"/>
              <w:rPr>
                <w:szCs w:val="24"/>
              </w:rPr>
            </w:pPr>
            <w:r>
              <w:rPr>
                <w:szCs w:val="24"/>
              </w:rPr>
              <w:t>Opérations réalisées dans les secteurs géographiques qui font l’objet d’une organisation publique ou collective (AFA, SAP, zone agricoles protégées, estives) conformément à l</w:t>
            </w:r>
            <w:r>
              <w:rPr>
                <w:szCs w:val="24"/>
              </w:rPr>
              <w:t>eurs schémas de mise en valeur : 100%</w:t>
            </w:r>
          </w:p>
          <w:p w:rsidR="0035701C" w:rsidRDefault="00FB561B">
            <w:pPr>
              <w:spacing w:before="240" w:after="240"/>
              <w:jc w:val="left"/>
              <w:rPr>
                <w:szCs w:val="24"/>
              </w:rPr>
            </w:pPr>
            <w:r>
              <w:rPr>
                <w:szCs w:val="24"/>
              </w:rPr>
              <w:t>En outre :</w:t>
            </w:r>
          </w:p>
          <w:p w:rsidR="0035701C" w:rsidRDefault="00FB561B" w:rsidP="00FB561B">
            <w:pPr>
              <w:numPr>
                <w:ilvl w:val="0"/>
                <w:numId w:val="348"/>
              </w:numPr>
              <w:spacing w:before="240" w:after="240"/>
              <w:ind w:hanging="210"/>
              <w:jc w:val="left"/>
              <w:rPr>
                <w:szCs w:val="24"/>
              </w:rPr>
            </w:pPr>
            <w:r>
              <w:rPr>
                <w:szCs w:val="24"/>
              </w:rPr>
              <w:t>L’Autorité de Gestion pourra compléter en fonction des appels à projet, les plafonds de dépenses éligibles par opération, et pour le SAP par bénéficiaire secondaire.</w:t>
            </w:r>
          </w:p>
          <w:p w:rsidR="0035701C" w:rsidRDefault="0035701C">
            <w:pPr>
              <w:pStyle w:val="Corpsdetexte"/>
            </w:pPr>
          </w:p>
        </w:tc>
      </w:tr>
    </w:tbl>
    <w:p w:rsidR="0035701C" w:rsidRDefault="00FB561B">
      <w:pPr>
        <w:pStyle w:val="Titre6"/>
      </w:pPr>
      <w:r>
        <w:t>Caractère vérifiable et contrôlable des</w:t>
      </w:r>
      <w:r>
        <w:t xml:space="preserve">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 :</w:t>
            </w:r>
          </w:p>
          <w:p w:rsidR="0035701C" w:rsidRDefault="00FB561B">
            <w:pPr>
              <w:spacing w:before="240" w:after="240"/>
              <w:jc w:val="left"/>
              <w:rPr>
                <w:szCs w:val="24"/>
              </w:rPr>
            </w:pPr>
            <w:r>
              <w:rPr>
                <w:szCs w:val="24"/>
              </w:rPr>
              <w:t>- L'OP a demandé que soient bien décrits les pétitionnaires susceptibles d'être bénéficiaires de cette opération. Les é</w:t>
            </w:r>
            <w:r>
              <w:rPr>
                <w:szCs w:val="24"/>
              </w:rPr>
              <w:t>léments de Droit, les précisions apportées au présent texte, ainsi que le détail des éléments de réponse à fournir sur les appels à projet sont satisfaisants. L'OP recommande de bien s'assurer de la compétence des organismes ou personnes susceptibles d'éta</w:t>
            </w:r>
            <w:r>
              <w:rPr>
                <w:szCs w:val="24"/>
              </w:rPr>
              <w:t>blir un diagnostic pastoral garantissant sa qualité et son efficience. La mise en place d'un contrôle croisé sur les aides de même type ou de même public cible sera formalisé.</w:t>
            </w:r>
          </w:p>
          <w:p w:rsidR="0035701C" w:rsidRDefault="00FB561B">
            <w:pPr>
              <w:spacing w:before="240" w:after="240"/>
              <w:jc w:val="left"/>
              <w:rPr>
                <w:szCs w:val="24"/>
              </w:rPr>
            </w:pPr>
            <w:r>
              <w:rPr>
                <w:szCs w:val="24"/>
              </w:rPr>
              <w:t>- Concernant les taux d'aide tels que décrits dans le PDRC, l’OP a recommandé qu</w:t>
            </w:r>
            <w:r>
              <w:rPr>
                <w:szCs w:val="24"/>
              </w:rPr>
              <w:t>e leurs modalités d’application soient clairement établies et diffusés. Après avoir pris connaissance des précisions apportées au présent texte, l'Organisme Payeur considère que ce document permet de lever ses interrogations.</w:t>
            </w:r>
          </w:p>
          <w:p w:rsidR="0035701C" w:rsidRDefault="00FB561B">
            <w:pPr>
              <w:spacing w:before="240" w:after="240"/>
              <w:jc w:val="left"/>
              <w:rPr>
                <w:szCs w:val="24"/>
              </w:rPr>
            </w:pPr>
            <w:r>
              <w:rPr>
                <w:szCs w:val="24"/>
                <w:u w:val="single"/>
              </w:rPr>
              <w:t>Risques identifiés selon la mé</w:t>
            </w:r>
            <w:r>
              <w:rPr>
                <w:szCs w:val="24"/>
                <w:u w:val="single"/>
              </w:rPr>
              <w:t>thodologie présentée par l’OP (cf. chapitre 18) :</w:t>
            </w:r>
          </w:p>
          <w:p w:rsidR="0035701C" w:rsidRDefault="00FB561B">
            <w:pPr>
              <w:spacing w:before="240" w:after="240"/>
              <w:jc w:val="left"/>
              <w:rPr>
                <w:szCs w:val="24"/>
              </w:rPr>
            </w:pPr>
            <w:r>
              <w:rPr>
                <w:szCs w:val="24"/>
              </w:rPr>
              <w:t xml:space="preserve">n°1 - R1 : Pour les formes juridiques sociétaires ou associatives, les collectivités, conformité des statuts et actes, mise à jour effective et conforme au long de la période d’engagement. Vérification de </w:t>
            </w:r>
            <w:r>
              <w:rPr>
                <w:szCs w:val="24"/>
              </w:rPr>
              <w:t>la qualité de propriétaire foncier (source : Législation nationale : décalage entre Droit Social, Droit des Sociétés, Droit Rural, Législation nationale du Droit de Propriété, Droit des Successions, Droit Fiscal (modification pour la forêt en 2012))</w:t>
            </w:r>
          </w:p>
          <w:p w:rsidR="0035701C" w:rsidRDefault="00FB561B">
            <w:pPr>
              <w:spacing w:before="240" w:after="240"/>
              <w:jc w:val="left"/>
              <w:rPr>
                <w:szCs w:val="24"/>
              </w:rPr>
            </w:pPr>
            <w:r>
              <w:rPr>
                <w:szCs w:val="24"/>
              </w:rPr>
              <w:t xml:space="preserve">n°2 - </w:t>
            </w:r>
            <w:r>
              <w:rPr>
                <w:szCs w:val="24"/>
              </w:rPr>
              <w:t>R10 : Pour les travaux de clôtures et  reconquête du milieu notamment, risque de surfaces déjà financées par ailleurs (toujours sous engagement d'anciens contrats, ou financées sur les opérations à destination des agriculteurs (ex : 4.1.1) (source : Ponctu</w:t>
            </w:r>
            <w:r>
              <w:rPr>
                <w:szCs w:val="24"/>
              </w:rPr>
              <w:t>el sur Retour d'Expérience).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VERIFIER Pour les formes juridiques sociétaires ou associatives, conformité des statuts et actes, mise à jour effective et conforme.</w:t>
            </w:r>
          </w:p>
          <w:p w:rsidR="0035701C" w:rsidRDefault="00FB561B">
            <w:pPr>
              <w:spacing w:before="240" w:after="240"/>
              <w:jc w:val="left"/>
              <w:rPr>
                <w:szCs w:val="24"/>
              </w:rPr>
            </w:pPr>
            <w:r>
              <w:rPr>
                <w:szCs w:val="24"/>
              </w:rPr>
              <w:t xml:space="preserve">                 VERIFIER la qualité de propriétaire </w:t>
            </w:r>
            <w:r>
              <w:rPr>
                <w:szCs w:val="24"/>
              </w:rPr>
              <w:t>foncier des partenaires.</w:t>
            </w:r>
          </w:p>
          <w:p w:rsidR="0035701C" w:rsidRDefault="00FB561B">
            <w:pPr>
              <w:spacing w:before="240" w:after="240"/>
              <w:jc w:val="left"/>
              <w:rPr>
                <w:szCs w:val="24"/>
              </w:rPr>
            </w:pPr>
            <w:r>
              <w:rPr>
                <w:szCs w:val="24"/>
              </w:rPr>
              <w:t>n°2 - R10 : EXECUTER UN CONTRÔLE CROISE des aides aux bénéficiaires de l'opération avec celles des bénéficiaires secondaires.</w:t>
            </w:r>
          </w:p>
          <w:p w:rsidR="0035701C" w:rsidRDefault="00FB561B">
            <w:pPr>
              <w:spacing w:before="240" w:after="240"/>
              <w:jc w:val="left"/>
              <w:rPr>
                <w:szCs w:val="24"/>
              </w:rPr>
            </w:pPr>
            <w:r>
              <w:rPr>
                <w:szCs w:val="24"/>
              </w:rPr>
              <w:t>                   MAINTENIR ce point de contrôle administratif de la demande d'aide à la fin de la pério</w:t>
            </w:r>
            <w:r>
              <w:rPr>
                <w:szCs w:val="24"/>
              </w:rPr>
              <w:t>de d'engagement.</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 Au vu des cotations matricielles, sur le poids financier de la mesure (&lt;50%), sur les priorités, les risques, les mesures d’atténuation prévues, cette mesure reçoit une évaluation  favorable peu risquée </w:t>
            </w:r>
            <w:r>
              <w:rPr>
                <w:szCs w:val="24"/>
              </w:rPr>
              <w:t>; Les mécanismes de mise en œuvre sont connus et maîtrisés par tous les acteurs,  les programmations précédentes qui ont suscité des ajustements sur des mesures de même type ont permis une amélioration constante des procédures.</w:t>
            </w:r>
          </w:p>
          <w:p w:rsidR="0035701C" w:rsidRDefault="00FB561B">
            <w:pPr>
              <w:spacing w:before="240" w:after="240"/>
              <w:jc w:val="left"/>
              <w:rPr>
                <w:szCs w:val="24"/>
              </w:rPr>
            </w:pPr>
            <w:r>
              <w:rPr>
                <w:szCs w:val="24"/>
              </w:rPr>
              <w:t>- Concernant l'évaluation gl</w:t>
            </w:r>
            <w:r>
              <w:rPr>
                <w:szCs w:val="24"/>
              </w:rPr>
              <w:t>obale de la mesure : la mesure est contrôlable sous réserve de la mise en place d'actions d'atténuation et des précisions apportées dans les documents de mise en œuvre notamment sur la nécessité de bien contrôler la qualité de propriétaire foncier des part</w:t>
            </w:r>
            <w:r>
              <w:rPr>
                <w:szCs w:val="24"/>
              </w:rPr>
              <w:t>enaires de l'opération, et de vérifier l'inexistence de financements précédents ou déjà engagés auprès des bénéficiaires secondaires. Il convient également de s'assurer de la qualité des diagnostics pastoraux.</w:t>
            </w:r>
          </w:p>
          <w:p w:rsidR="0035701C" w:rsidRDefault="0035701C">
            <w:pPr>
              <w:pStyle w:val="Corpsdetexte"/>
            </w:pPr>
          </w:p>
        </w:tc>
      </w:tr>
    </w:tbl>
    <w:p w:rsidR="0035701C" w:rsidRDefault="00FB561B">
      <w:pPr>
        <w:pStyle w:val="Titre6"/>
      </w:pPr>
      <w:r>
        <w:t xml:space="preserve">Méthode de calcul du montant ou du taux </w:t>
      </w:r>
      <w:r>
        <w:t>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6"/>
      </w:pPr>
      <w:r>
        <w:t>Informations spécifiques sur l'opération</w:t>
      </w:r>
    </w:p>
    <w:p w:rsidR="0035701C" w:rsidRDefault="00FB561B">
      <w:r>
        <w:t>Définition des investissements non productifs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Définition des investissements collectifs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Définition des projets intégrés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Définition et recensement des zones Natura 2000 et des </w:t>
      </w:r>
      <w:r>
        <w:t>autres zones à haute valeur naturelle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Description du ciblage de l’aide aux exploitations conformément à l’analyse  SWOT réalisée en ce qui concerne la priorité visée à l'article 5, paragraphe 2,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secteurs a</w:t>
            </w:r>
            <w:r>
              <w:rPr>
                <w:szCs w:val="24"/>
              </w:rPr>
              <w:t>gricoles principalement concernés par ces interventions sont les productions d’élevage (ovins, caprins, bovins, porcins) et l’arboriculture traditionnelle (châtaigneraies, oliveraies). Ces opérations visant à doter les périmètres agricoles et pastoraux d’i</w:t>
            </w:r>
            <w:r>
              <w:rPr>
                <w:szCs w:val="24"/>
              </w:rPr>
              <w:t>nfrastructures, concernent à la fois les exploitations situées sur le relief, et celles qui sont dans des périmètres fonciers faisant l’objet de démarche concertées de protection/aménagement agricole.</w:t>
            </w:r>
          </w:p>
          <w:p w:rsidR="0035701C" w:rsidRDefault="0035701C">
            <w:pPr>
              <w:pStyle w:val="Corpsdetexte"/>
            </w:pPr>
          </w:p>
        </w:tc>
      </w:tr>
    </w:tbl>
    <w:p w:rsidR="0035701C" w:rsidRDefault="00FB561B">
      <w:r>
        <w:t>Liste des nouvelles exigences imposées par la législa</w:t>
      </w:r>
      <w:r>
        <w:t>tion de l’Union dont le respect permet l'octroi d'une aide en vertu de l’article 17, paragraphe 6,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S'il y a lieu, normes minimales en matière d’efficacité énergétique visées à l’article 13, point c), du règlement délégué </w:t>
      </w:r>
      <w:r>
        <w:t>(UE)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S'il y a lieu, définition des valeurs seuils visées à l’article 13, point e),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br w:type="page"/>
        <w:t>4.3.2- Infrastructures forestières</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349"/>
              </w:numPr>
            </w:pPr>
            <w:r>
              <w:t xml:space="preserve">4.3 - Aide aux investissements dans les infrastructures liées au </w:t>
            </w:r>
            <w:r>
              <w:t>développement, à la modernisation ou à l'adaptation du secteur agricole et de la foresterie</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Ce type d’opération vise à  mobiliser  le potentiel productif forestier,   par  la réalisation des infrastructures améliorant </w:t>
            </w:r>
            <w:r>
              <w:rPr>
                <w:szCs w:val="24"/>
              </w:rPr>
              <w:t>l’accès à la ressource. En effet les 850km de pistes (routes forestières accessibles par un grumier et pistes forestières accessibles par un véhicule léger) ne permettent de desservir qu’environ 18% des surfaces boisées publiques</w:t>
            </w:r>
          </w:p>
          <w:p w:rsidR="0035701C" w:rsidRDefault="00FB561B">
            <w:pPr>
              <w:spacing w:before="240" w:after="240"/>
              <w:jc w:val="left"/>
              <w:rPr>
                <w:szCs w:val="24"/>
              </w:rPr>
            </w:pPr>
            <w:r>
              <w:rPr>
                <w:szCs w:val="24"/>
              </w:rPr>
              <w:t>Cette sous-mesure est cibl</w:t>
            </w:r>
            <w:r>
              <w:rPr>
                <w:szCs w:val="24"/>
              </w:rPr>
              <w:t>ée sur le domaine prioritaire 5e) (Séquestration du carbone par l'agriculture et sylviculture) et répond aux besoins n°3 (équiper le foncier agricole, forestier et rural), 23 (favoriser le regroupement foncier et économique des propriétaires forestiers) et</w:t>
            </w:r>
            <w:r>
              <w:rPr>
                <w:szCs w:val="24"/>
              </w:rPr>
              <w:t xml:space="preserve"> n°25 (développer la sylviculture en lien avec le stockage du carbone et la biodiversité et améliorer l'exploitation forestière).</w:t>
            </w:r>
          </w:p>
          <w:p w:rsidR="0035701C" w:rsidRDefault="00FB561B">
            <w:pPr>
              <w:spacing w:before="240" w:after="240"/>
              <w:jc w:val="left"/>
              <w:rPr>
                <w:szCs w:val="24"/>
              </w:rPr>
            </w:pPr>
            <w:r>
              <w:rPr>
                <w:szCs w:val="24"/>
              </w:rPr>
              <w:t>En effet, il s’agit  de faciliter la mobilisation de la ressource forestière, sa gestion et son exploitation en développant le</w:t>
            </w:r>
            <w:r>
              <w:rPr>
                <w:szCs w:val="24"/>
              </w:rPr>
              <w:t>s moyens d’ingénierie et de logistique, conformément aux schémas définis sur le plan régional ou à l’échelle des massifs forestiers.</w:t>
            </w:r>
          </w:p>
          <w:p w:rsidR="0035701C" w:rsidRDefault="00FB561B">
            <w:pPr>
              <w:spacing w:before="240" w:after="240"/>
              <w:jc w:val="left"/>
              <w:rPr>
                <w:szCs w:val="24"/>
              </w:rPr>
            </w:pPr>
            <w:r>
              <w:rPr>
                <w:szCs w:val="24"/>
              </w:rPr>
              <w:t>Les interventions peuvent ainsi concerner :</w:t>
            </w:r>
          </w:p>
          <w:p w:rsidR="0035701C" w:rsidRDefault="00FB561B" w:rsidP="00FB561B">
            <w:pPr>
              <w:numPr>
                <w:ilvl w:val="0"/>
                <w:numId w:val="350"/>
              </w:numPr>
              <w:spacing w:before="240" w:after="0"/>
              <w:ind w:hanging="210"/>
              <w:jc w:val="left"/>
              <w:rPr>
                <w:szCs w:val="24"/>
              </w:rPr>
            </w:pPr>
            <w:r>
              <w:rPr>
                <w:szCs w:val="24"/>
              </w:rPr>
              <w:t>La réalisation de pistes forestières améliorant la desserte interne des massifs</w:t>
            </w:r>
            <w:r>
              <w:rPr>
                <w:szCs w:val="24"/>
              </w:rPr>
              <w:t xml:space="preserve"> forestiers et la résorption de "points noirs" limitée à cette voirie, pour le transport des bois,</w:t>
            </w:r>
          </w:p>
          <w:p w:rsidR="0035701C" w:rsidRDefault="00FB561B" w:rsidP="00FB561B">
            <w:pPr>
              <w:numPr>
                <w:ilvl w:val="0"/>
                <w:numId w:val="350"/>
              </w:numPr>
              <w:spacing w:before="0" w:after="0"/>
              <w:ind w:hanging="210"/>
              <w:jc w:val="left"/>
              <w:rPr>
                <w:szCs w:val="24"/>
              </w:rPr>
            </w:pPr>
            <w:r>
              <w:rPr>
                <w:szCs w:val="24"/>
              </w:rPr>
              <w:t>les équipements connexes aux accès (petit ouvrage, fermeture…)</w:t>
            </w:r>
          </w:p>
          <w:p w:rsidR="0035701C" w:rsidRDefault="00FB561B" w:rsidP="00FB561B">
            <w:pPr>
              <w:numPr>
                <w:ilvl w:val="0"/>
                <w:numId w:val="350"/>
              </w:numPr>
              <w:spacing w:before="0" w:after="0"/>
              <w:ind w:hanging="210"/>
              <w:jc w:val="left"/>
              <w:rPr>
                <w:szCs w:val="24"/>
              </w:rPr>
            </w:pPr>
            <w:r>
              <w:rPr>
                <w:szCs w:val="24"/>
              </w:rPr>
              <w:t>La réalisation de  places de dépôt et de retournement (terrassements/nivellements) nécessaires</w:t>
            </w:r>
            <w:r>
              <w:rPr>
                <w:szCs w:val="24"/>
              </w:rPr>
              <w:t xml:space="preserve"> à l’exploitation de la ressource</w:t>
            </w:r>
          </w:p>
          <w:p w:rsidR="0035701C" w:rsidRDefault="00FB561B" w:rsidP="00FB561B">
            <w:pPr>
              <w:numPr>
                <w:ilvl w:val="0"/>
                <w:numId w:val="350"/>
              </w:numPr>
              <w:spacing w:before="0" w:after="0"/>
              <w:ind w:hanging="210"/>
              <w:jc w:val="left"/>
              <w:rPr>
                <w:szCs w:val="24"/>
              </w:rPr>
            </w:pPr>
            <w:r>
              <w:rPr>
                <w:szCs w:val="24"/>
              </w:rPr>
              <w:t>travaux d’aménagements nécessaires aux emprises et à l’installation des câbles de débardage, ainsi que l’acquisition par les propriétaires ou gestionnaires public des équipements de câblage.</w:t>
            </w:r>
          </w:p>
          <w:p w:rsidR="0035701C" w:rsidRDefault="00FB561B" w:rsidP="00FB561B">
            <w:pPr>
              <w:numPr>
                <w:ilvl w:val="0"/>
                <w:numId w:val="350"/>
              </w:numPr>
              <w:spacing w:before="0" w:after="0"/>
              <w:ind w:hanging="210"/>
              <w:jc w:val="left"/>
              <w:rPr>
                <w:szCs w:val="24"/>
              </w:rPr>
            </w:pPr>
            <w:r>
              <w:rPr>
                <w:szCs w:val="24"/>
              </w:rPr>
              <w:t xml:space="preserve">l’équipement public des forêts </w:t>
            </w:r>
            <w:r>
              <w:rPr>
                <w:szCs w:val="24"/>
              </w:rPr>
              <w:t>en plateforme et abris pour le stockage et le séchage du bois,</w:t>
            </w:r>
          </w:p>
          <w:p w:rsidR="0035701C" w:rsidRDefault="00FB561B" w:rsidP="00FB561B">
            <w:pPr>
              <w:numPr>
                <w:ilvl w:val="0"/>
                <w:numId w:val="350"/>
              </w:numPr>
              <w:spacing w:before="0" w:after="0"/>
              <w:ind w:hanging="210"/>
              <w:jc w:val="left"/>
              <w:rPr>
                <w:szCs w:val="24"/>
              </w:rPr>
            </w:pPr>
            <w:r>
              <w:rPr>
                <w:szCs w:val="24"/>
              </w:rPr>
              <w:t>L’ingénierie des interventions (expertises, études environnementales, économiques, hydrogéologiques et paysagères, maîtrise d’œuvre…).</w:t>
            </w:r>
          </w:p>
          <w:p w:rsidR="0035701C" w:rsidRDefault="00FB561B" w:rsidP="00FB561B">
            <w:pPr>
              <w:numPr>
                <w:ilvl w:val="0"/>
                <w:numId w:val="350"/>
              </w:numPr>
              <w:spacing w:before="0" w:after="240"/>
              <w:ind w:hanging="210"/>
              <w:jc w:val="left"/>
              <w:rPr>
                <w:szCs w:val="24"/>
              </w:rPr>
            </w:pPr>
            <w:r>
              <w:rPr>
                <w:szCs w:val="24"/>
              </w:rPr>
              <w:t>Le projet doit répondre à des conditions techniques fixées</w:t>
            </w:r>
            <w:r>
              <w:rPr>
                <w:szCs w:val="24"/>
              </w:rPr>
              <w:t xml:space="preserve"> par l’autorité de gestion, en particulier la largeur de la chaussée, la pente en long, le rayon de braquage des lacets ou des prescriptions susceptibles d’alléger l’entretien des voiries.</w:t>
            </w:r>
          </w:p>
          <w:p w:rsidR="0035701C" w:rsidRDefault="00FB561B">
            <w:pPr>
              <w:spacing w:before="240" w:after="240"/>
              <w:jc w:val="left"/>
              <w:rPr>
                <w:szCs w:val="24"/>
              </w:rPr>
            </w:pPr>
            <w:r>
              <w:rPr>
                <w:i/>
                <w:iCs/>
                <w:szCs w:val="24"/>
              </w:rPr>
              <w:t>Engagement du bénéficiaire</w:t>
            </w:r>
            <w:r>
              <w:rPr>
                <w:szCs w:val="24"/>
              </w:rPr>
              <w:t> :</w:t>
            </w:r>
          </w:p>
          <w:p w:rsidR="0035701C" w:rsidRDefault="00FB561B" w:rsidP="00FB561B">
            <w:pPr>
              <w:numPr>
                <w:ilvl w:val="0"/>
                <w:numId w:val="351"/>
              </w:numPr>
              <w:spacing w:before="240" w:after="0"/>
              <w:ind w:hanging="210"/>
              <w:jc w:val="left"/>
              <w:rPr>
                <w:szCs w:val="24"/>
              </w:rPr>
            </w:pPr>
            <w:r>
              <w:rPr>
                <w:i/>
                <w:iCs/>
                <w:szCs w:val="24"/>
              </w:rPr>
              <w:t>Engagements généraux</w:t>
            </w:r>
            <w:r>
              <w:rPr>
                <w:szCs w:val="24"/>
              </w:rPr>
              <w:t xml:space="preserve"> </w:t>
            </w:r>
          </w:p>
          <w:p w:rsidR="0035701C" w:rsidRDefault="00FB561B" w:rsidP="00FB561B">
            <w:pPr>
              <w:numPr>
                <w:ilvl w:val="1"/>
                <w:numId w:val="351"/>
              </w:numPr>
              <w:spacing w:before="0" w:after="0"/>
              <w:ind w:hanging="244"/>
              <w:jc w:val="left"/>
              <w:rPr>
                <w:szCs w:val="24"/>
              </w:rPr>
            </w:pPr>
            <w:r>
              <w:rPr>
                <w:szCs w:val="24"/>
              </w:rPr>
              <w:t xml:space="preserve">Maintenir </w:t>
            </w:r>
            <w:r>
              <w:rPr>
                <w:szCs w:val="24"/>
              </w:rPr>
              <w:t>fonctionnellement l’investissement durant 5 années à compter de la date de solde de l’opération.</w:t>
            </w:r>
          </w:p>
          <w:p w:rsidR="0035701C" w:rsidRDefault="00FB561B" w:rsidP="00FB561B">
            <w:pPr>
              <w:numPr>
                <w:ilvl w:val="1"/>
                <w:numId w:val="351"/>
              </w:numPr>
              <w:spacing w:before="0" w:after="0"/>
              <w:ind w:hanging="244"/>
              <w:jc w:val="left"/>
              <w:rPr>
                <w:szCs w:val="24"/>
              </w:rPr>
            </w:pPr>
            <w:r>
              <w:rPr>
                <w:szCs w:val="24"/>
              </w:rPr>
              <w:t>satisfaire aux obligations de publicité du FEADER ;</w:t>
            </w:r>
          </w:p>
          <w:p w:rsidR="0035701C" w:rsidRDefault="00FB561B" w:rsidP="00FB561B">
            <w:pPr>
              <w:numPr>
                <w:ilvl w:val="1"/>
                <w:numId w:val="351"/>
              </w:numPr>
              <w:spacing w:before="0" w:after="0"/>
              <w:ind w:hanging="244"/>
              <w:jc w:val="left"/>
              <w:rPr>
                <w:szCs w:val="24"/>
              </w:rPr>
            </w:pPr>
            <w:r>
              <w:rPr>
                <w:szCs w:val="24"/>
              </w:rPr>
              <w:t>informer immédiatement l'autorité de gestion de toute cessation d'activité ainsi que des modifications inte</w:t>
            </w:r>
            <w:r>
              <w:rPr>
                <w:szCs w:val="24"/>
              </w:rPr>
              <w:t>rvenant dans la mise en œuvre de l’opération.</w:t>
            </w:r>
          </w:p>
          <w:p w:rsidR="0035701C" w:rsidRDefault="00FB561B" w:rsidP="00FB561B">
            <w:pPr>
              <w:numPr>
                <w:ilvl w:val="1"/>
                <w:numId w:val="351"/>
              </w:numPr>
              <w:spacing w:before="0" w:after="240"/>
              <w:ind w:hanging="244"/>
              <w:jc w:val="left"/>
              <w:rPr>
                <w:szCs w:val="24"/>
              </w:rPr>
            </w:pPr>
            <w:r>
              <w:rPr>
                <w:szCs w:val="24"/>
              </w:rPr>
              <w:t>se conformer aux obligations liées aux contrôles administratifs sur place, sur pièces, communautaire ou national, pendant la durée de l’engagement de 5 ans</w:t>
            </w:r>
          </w:p>
          <w:p w:rsidR="0035701C" w:rsidRDefault="00FB561B">
            <w:pPr>
              <w:spacing w:before="240" w:after="240"/>
              <w:ind w:left="1440"/>
              <w:jc w:val="left"/>
              <w:rPr>
                <w:szCs w:val="24"/>
              </w:rPr>
            </w:pPr>
            <w:r>
              <w:rPr>
                <w:szCs w:val="24"/>
              </w:rPr>
              <w:t> </w:t>
            </w:r>
          </w:p>
          <w:p w:rsidR="0035701C" w:rsidRDefault="00FB561B" w:rsidP="00FB561B">
            <w:pPr>
              <w:numPr>
                <w:ilvl w:val="0"/>
                <w:numId w:val="352"/>
              </w:numPr>
              <w:spacing w:before="240" w:after="0"/>
              <w:ind w:hanging="210"/>
              <w:jc w:val="left"/>
              <w:rPr>
                <w:szCs w:val="24"/>
              </w:rPr>
            </w:pPr>
            <w:r>
              <w:rPr>
                <w:i/>
                <w:iCs/>
                <w:szCs w:val="24"/>
              </w:rPr>
              <w:t>Engagements spécifiques</w:t>
            </w:r>
            <w:r>
              <w:rPr>
                <w:szCs w:val="24"/>
              </w:rPr>
              <w:t xml:space="preserve">  </w:t>
            </w:r>
          </w:p>
          <w:p w:rsidR="0035701C" w:rsidRDefault="00FB561B" w:rsidP="00FB561B">
            <w:pPr>
              <w:numPr>
                <w:ilvl w:val="1"/>
                <w:numId w:val="352"/>
              </w:numPr>
              <w:spacing w:before="0" w:after="0"/>
              <w:ind w:hanging="244"/>
              <w:jc w:val="left"/>
              <w:rPr>
                <w:szCs w:val="24"/>
              </w:rPr>
            </w:pPr>
            <w:r>
              <w:rPr>
                <w:szCs w:val="24"/>
              </w:rPr>
              <w:t>respecter pendant et après</w:t>
            </w:r>
            <w:r>
              <w:rPr>
                <w:szCs w:val="24"/>
              </w:rPr>
              <w:t xml:space="preserve"> la réalisation des travaux les dispositions légales et réglementaires s’appliquant aux espaces concernés par le projet, notamment en matière de protection des milieux et des paysages</w:t>
            </w:r>
          </w:p>
          <w:p w:rsidR="0035701C" w:rsidRDefault="00FB561B" w:rsidP="00FB561B">
            <w:pPr>
              <w:numPr>
                <w:ilvl w:val="1"/>
                <w:numId w:val="352"/>
              </w:numPr>
              <w:spacing w:before="0" w:after="0"/>
              <w:ind w:hanging="244"/>
              <w:jc w:val="left"/>
              <w:rPr>
                <w:szCs w:val="24"/>
              </w:rPr>
            </w:pPr>
            <w:r>
              <w:rPr>
                <w:szCs w:val="24"/>
              </w:rPr>
              <w:t>limiter, par des dispositifs appropriés, l’accès aux nouvelles infrastru</w:t>
            </w:r>
            <w:r>
              <w:rPr>
                <w:szCs w:val="24"/>
              </w:rPr>
              <w:t>ctures,</w:t>
            </w:r>
          </w:p>
          <w:p w:rsidR="0035701C" w:rsidRDefault="00FB561B" w:rsidP="00FB561B">
            <w:pPr>
              <w:numPr>
                <w:ilvl w:val="1"/>
                <w:numId w:val="352"/>
              </w:numPr>
              <w:spacing w:before="0" w:after="240"/>
              <w:ind w:hanging="244"/>
              <w:jc w:val="left"/>
              <w:rPr>
                <w:szCs w:val="24"/>
              </w:rPr>
            </w:pPr>
            <w:r>
              <w:rPr>
                <w:szCs w:val="24"/>
              </w:rPr>
              <w:t>assurer un entretien régulier des ouvrages (chaussée, fossés, renvois d’eau…) durant les 5 années suivant l’intervention. A l’échéance de 5 ans, la bande de roulement et les fossés devront être entretenus.</w:t>
            </w:r>
          </w:p>
          <w:p w:rsidR="0035701C" w:rsidRDefault="0035701C">
            <w:pPr>
              <w:pStyle w:val="Corpsdetexte"/>
            </w:pPr>
          </w:p>
        </w:tc>
      </w:tr>
    </w:tbl>
    <w:p w:rsidR="0035701C" w:rsidRDefault="00FB561B">
      <w:pPr>
        <w:pStyle w:val="Titre6"/>
      </w:pPr>
      <w:r>
        <w:t>Type de soutien</w:t>
      </w:r>
    </w:p>
    <w:p w:rsidR="0035701C" w:rsidRDefault="00FB561B">
      <w:r>
        <w:t xml:space="preserve">Type de soutien: </w:t>
      </w:r>
      <w:r>
        <w:t>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versée sous forme de 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353"/>
              </w:numPr>
              <w:spacing w:before="0" w:after="0"/>
              <w:ind w:hanging="210"/>
              <w:jc w:val="left"/>
              <w:rPr>
                <w:szCs w:val="24"/>
              </w:rPr>
            </w:pPr>
            <w:r>
              <w:rPr>
                <w:szCs w:val="24"/>
              </w:rPr>
              <w:t>Régime cadre exempté à prendre sur la base du  Règlement (UE) 702/2014 d'exemption des aides du secteur agricole, forestier et dans les zones rurales art 40 pour infr</w:t>
            </w:r>
            <w:r>
              <w:rPr>
                <w:szCs w:val="24"/>
              </w:rPr>
              <w:t>astructures liées au développement de la forêt</w:t>
            </w:r>
          </w:p>
          <w:p w:rsidR="0035701C" w:rsidRDefault="00FB561B" w:rsidP="00FB561B">
            <w:pPr>
              <w:numPr>
                <w:ilvl w:val="0"/>
                <w:numId w:val="353"/>
              </w:numPr>
              <w:spacing w:before="0" w:after="0"/>
              <w:ind w:hanging="210"/>
              <w:jc w:val="left"/>
              <w:rPr>
                <w:szCs w:val="24"/>
              </w:rPr>
            </w:pPr>
            <w:r>
              <w:rPr>
                <w:szCs w:val="24"/>
              </w:rPr>
              <w:t>Règlement n° 360/2012 aux aides de minimis accordées à des entreprises fournissant des services d'intérêt économique général</w:t>
            </w:r>
          </w:p>
          <w:p w:rsidR="0035701C" w:rsidRDefault="00FB561B" w:rsidP="00FB561B">
            <w:pPr>
              <w:numPr>
                <w:ilvl w:val="0"/>
                <w:numId w:val="353"/>
              </w:numPr>
              <w:spacing w:before="0" w:after="0"/>
              <w:ind w:hanging="210"/>
              <w:jc w:val="left"/>
              <w:rPr>
                <w:szCs w:val="24"/>
              </w:rPr>
            </w:pPr>
            <w:r>
              <w:rPr>
                <w:szCs w:val="24"/>
              </w:rPr>
              <w:t>Règlement de minimis n°1407/2013 de la Commission du 18 décembre 2013.</w:t>
            </w:r>
          </w:p>
          <w:p w:rsidR="0035701C" w:rsidRDefault="00FB561B" w:rsidP="00FB561B">
            <w:pPr>
              <w:numPr>
                <w:ilvl w:val="0"/>
                <w:numId w:val="353"/>
              </w:numPr>
              <w:spacing w:before="0" w:after="0"/>
              <w:ind w:hanging="210"/>
              <w:jc w:val="left"/>
              <w:rPr>
                <w:szCs w:val="24"/>
              </w:rPr>
            </w:pPr>
            <w:r>
              <w:rPr>
                <w:szCs w:val="24"/>
              </w:rPr>
              <w:t xml:space="preserve">Régime cadre </w:t>
            </w:r>
            <w:r>
              <w:rPr>
                <w:szCs w:val="24"/>
              </w:rPr>
              <w:t>exempté de notification n°SA39252 relatif aux AFR sur la base du règlement général d’exemption n°651/2014</w:t>
            </w:r>
          </w:p>
          <w:p w:rsidR="0035701C" w:rsidRDefault="00FB561B" w:rsidP="00FB561B">
            <w:pPr>
              <w:numPr>
                <w:ilvl w:val="0"/>
                <w:numId w:val="353"/>
              </w:numPr>
              <w:spacing w:before="0" w:after="240"/>
              <w:ind w:hanging="210"/>
              <w:jc w:val="left"/>
              <w:rPr>
                <w:szCs w:val="24"/>
              </w:rPr>
            </w:pPr>
            <w:r>
              <w:rPr>
                <w:szCs w:val="24"/>
              </w:rPr>
              <w:t>Régime cadre exempté de notification n°SA40453 relatif aux aides aux PME sur la base du règlement général d’exemption n° 651/2014</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354"/>
              </w:numPr>
              <w:spacing w:before="0" w:after="0"/>
              <w:ind w:hanging="210"/>
              <w:jc w:val="left"/>
              <w:rPr>
                <w:szCs w:val="24"/>
              </w:rPr>
            </w:pPr>
            <w:r>
              <w:rPr>
                <w:szCs w:val="24"/>
              </w:rPr>
              <w:t>prop</w:t>
            </w:r>
            <w:r>
              <w:rPr>
                <w:szCs w:val="24"/>
              </w:rPr>
              <w:t>riétaires forestiers privés et leurs groupements (notamment OGEC, Coopératives, ASGF, Associations foncières détenant un mandat de gestion…)</w:t>
            </w:r>
          </w:p>
          <w:p w:rsidR="0035701C" w:rsidRDefault="00FB561B" w:rsidP="00FB561B">
            <w:pPr>
              <w:numPr>
                <w:ilvl w:val="0"/>
                <w:numId w:val="354"/>
              </w:numPr>
              <w:spacing w:before="0" w:after="0"/>
              <w:ind w:hanging="210"/>
              <w:jc w:val="left"/>
              <w:rPr>
                <w:szCs w:val="24"/>
              </w:rPr>
            </w:pPr>
            <w:r>
              <w:rPr>
                <w:szCs w:val="24"/>
              </w:rPr>
              <w:t>propriétaires forestiers publics et leurs gestionnaires publics ou délégataires privés,</w:t>
            </w:r>
          </w:p>
          <w:p w:rsidR="0035701C" w:rsidRDefault="00FB561B" w:rsidP="00FB561B">
            <w:pPr>
              <w:numPr>
                <w:ilvl w:val="0"/>
                <w:numId w:val="354"/>
              </w:numPr>
              <w:spacing w:before="0" w:after="0"/>
              <w:ind w:hanging="210"/>
              <w:jc w:val="left"/>
              <w:rPr>
                <w:szCs w:val="24"/>
              </w:rPr>
            </w:pPr>
            <w:r>
              <w:rPr>
                <w:szCs w:val="24"/>
              </w:rPr>
              <w:t xml:space="preserve">les collectivités locales, </w:t>
            </w:r>
            <w:r>
              <w:rPr>
                <w:szCs w:val="24"/>
              </w:rPr>
              <w:t>leurs groupements et établissements,</w:t>
            </w:r>
          </w:p>
          <w:p w:rsidR="0035701C" w:rsidRDefault="00FB561B" w:rsidP="00FB561B">
            <w:pPr>
              <w:numPr>
                <w:ilvl w:val="0"/>
                <w:numId w:val="354"/>
              </w:numPr>
              <w:spacing w:before="0" w:after="240"/>
              <w:ind w:hanging="210"/>
              <w:jc w:val="left"/>
              <w:rPr>
                <w:szCs w:val="24"/>
              </w:rPr>
            </w:pPr>
            <w:r>
              <w:rPr>
                <w:szCs w:val="24"/>
              </w:rPr>
              <w:t>entreprises de la filière pour les opérations de plateformes et de câblage.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dans la limite des plafonds établis par l’Autorité de Gestion :</w:t>
            </w:r>
          </w:p>
          <w:p w:rsidR="0035701C" w:rsidRDefault="00FB561B" w:rsidP="00FB561B">
            <w:pPr>
              <w:numPr>
                <w:ilvl w:val="0"/>
                <w:numId w:val="355"/>
              </w:numPr>
              <w:spacing w:before="240" w:after="0"/>
              <w:ind w:hanging="210"/>
              <w:jc w:val="left"/>
              <w:rPr>
                <w:szCs w:val="24"/>
              </w:rPr>
            </w:pPr>
            <w:r>
              <w:rPr>
                <w:szCs w:val="24"/>
              </w:rPr>
              <w:t xml:space="preserve">Les dépenses de création, d’amélioration et d’équipement de la desserte forestière, notamment : </w:t>
            </w:r>
          </w:p>
          <w:p w:rsidR="0035701C" w:rsidRDefault="00FB561B" w:rsidP="00FB561B">
            <w:pPr>
              <w:numPr>
                <w:ilvl w:val="1"/>
                <w:numId w:val="355"/>
              </w:numPr>
              <w:spacing w:before="0" w:after="0"/>
              <w:ind w:hanging="244"/>
              <w:jc w:val="left"/>
              <w:rPr>
                <w:szCs w:val="24"/>
              </w:rPr>
            </w:pPr>
            <w:r>
              <w:rPr>
                <w:szCs w:val="24"/>
              </w:rPr>
              <w:t>La création, mise au gabarit des routes forestières existantes hors coûts d’entretien courant,</w:t>
            </w:r>
          </w:p>
          <w:p w:rsidR="0035701C" w:rsidRDefault="00FB561B" w:rsidP="00FB561B">
            <w:pPr>
              <w:numPr>
                <w:ilvl w:val="1"/>
                <w:numId w:val="355"/>
              </w:numPr>
              <w:spacing w:before="0" w:after="0"/>
              <w:ind w:hanging="244"/>
              <w:jc w:val="left"/>
              <w:rPr>
                <w:szCs w:val="24"/>
              </w:rPr>
            </w:pPr>
            <w:r>
              <w:rPr>
                <w:szCs w:val="24"/>
              </w:rPr>
              <w:t>les places de dépôt et de retournement,</w:t>
            </w:r>
          </w:p>
          <w:p w:rsidR="0035701C" w:rsidRDefault="00FB561B" w:rsidP="00FB561B">
            <w:pPr>
              <w:numPr>
                <w:ilvl w:val="1"/>
                <w:numId w:val="355"/>
              </w:numPr>
              <w:spacing w:before="0" w:after="0"/>
              <w:ind w:hanging="244"/>
              <w:jc w:val="left"/>
              <w:rPr>
                <w:szCs w:val="24"/>
              </w:rPr>
            </w:pPr>
            <w:r>
              <w:rPr>
                <w:szCs w:val="24"/>
              </w:rPr>
              <w:t xml:space="preserve">les travaux de </w:t>
            </w:r>
            <w:r>
              <w:rPr>
                <w:szCs w:val="24"/>
              </w:rPr>
              <w:t>résorption de « points noirs » sur la voirie interne des massifs,</w:t>
            </w:r>
          </w:p>
          <w:p w:rsidR="0035701C" w:rsidRDefault="00FB561B" w:rsidP="00FB561B">
            <w:pPr>
              <w:numPr>
                <w:ilvl w:val="1"/>
                <w:numId w:val="355"/>
              </w:numPr>
              <w:spacing w:before="0" w:after="0"/>
              <w:ind w:hanging="244"/>
              <w:jc w:val="left"/>
              <w:rPr>
                <w:szCs w:val="24"/>
              </w:rPr>
            </w:pPr>
            <w:r>
              <w:rPr>
                <w:szCs w:val="24"/>
              </w:rPr>
              <w:t>les équipements connexes mais faisant partie intégrante du projet (fossés et ouvrages d’eau, barrières…)</w:t>
            </w:r>
          </w:p>
          <w:p w:rsidR="0035701C" w:rsidRDefault="00FB561B" w:rsidP="00FB561B">
            <w:pPr>
              <w:numPr>
                <w:ilvl w:val="1"/>
                <w:numId w:val="355"/>
              </w:numPr>
              <w:spacing w:before="0" w:after="0"/>
              <w:ind w:hanging="244"/>
              <w:jc w:val="left"/>
              <w:rPr>
                <w:szCs w:val="24"/>
              </w:rPr>
            </w:pPr>
            <w:r>
              <w:rPr>
                <w:szCs w:val="24"/>
              </w:rPr>
              <w:t xml:space="preserve">l’équipement public des forêts en plateforme et abris pour le stockage et le séchage </w:t>
            </w:r>
            <w:r>
              <w:rPr>
                <w:szCs w:val="24"/>
              </w:rPr>
              <w:t>du bois, au bénéfice des gestionnaires des terres, et les travaux d’aménagement structurant pour l’implantation de câble forestier...etc.</w:t>
            </w:r>
          </w:p>
          <w:p w:rsidR="0035701C" w:rsidRDefault="00FB561B" w:rsidP="00FB561B">
            <w:pPr>
              <w:numPr>
                <w:ilvl w:val="0"/>
                <w:numId w:val="355"/>
              </w:numPr>
              <w:spacing w:before="0" w:after="0"/>
              <w:ind w:hanging="210"/>
              <w:jc w:val="left"/>
              <w:rPr>
                <w:szCs w:val="24"/>
              </w:rPr>
            </w:pPr>
            <w:r>
              <w:rPr>
                <w:szCs w:val="24"/>
              </w:rPr>
              <w:t xml:space="preserve">Les frais généraux afférents au projet plafonnés à 12% des dépenses totales éligibles de l’opération: </w:t>
            </w:r>
          </w:p>
          <w:p w:rsidR="0035701C" w:rsidRDefault="00FB561B" w:rsidP="00FB561B">
            <w:pPr>
              <w:numPr>
                <w:ilvl w:val="1"/>
                <w:numId w:val="355"/>
              </w:numPr>
              <w:spacing w:before="0" w:after="0"/>
              <w:ind w:hanging="244"/>
              <w:jc w:val="left"/>
              <w:rPr>
                <w:szCs w:val="24"/>
              </w:rPr>
            </w:pPr>
            <w:r>
              <w:rPr>
                <w:szCs w:val="24"/>
              </w:rPr>
              <w:t>L’élaboration d</w:t>
            </w:r>
            <w:r>
              <w:rPr>
                <w:szCs w:val="24"/>
              </w:rPr>
              <w:t>es plans de gestion forestière (schémas de desserte, plan de développement des massifs, documents d’aménagement des forêts soumises…).</w:t>
            </w:r>
          </w:p>
          <w:p w:rsidR="0035701C" w:rsidRDefault="00FB561B" w:rsidP="00FB561B">
            <w:pPr>
              <w:numPr>
                <w:ilvl w:val="1"/>
                <w:numId w:val="355"/>
              </w:numPr>
              <w:spacing w:before="0" w:after="0"/>
              <w:ind w:hanging="244"/>
              <w:jc w:val="left"/>
              <w:rPr>
                <w:szCs w:val="24"/>
              </w:rPr>
            </w:pPr>
            <w:r>
              <w:rPr>
                <w:szCs w:val="24"/>
              </w:rPr>
              <w:t>études préalables (expertises, études d’impact environnementales, économiques, et hydrogéologiques),</w:t>
            </w:r>
          </w:p>
          <w:p w:rsidR="0035701C" w:rsidRDefault="00FB561B" w:rsidP="00FB561B">
            <w:pPr>
              <w:numPr>
                <w:ilvl w:val="1"/>
                <w:numId w:val="355"/>
              </w:numPr>
              <w:spacing w:before="0" w:after="240"/>
              <w:ind w:hanging="244"/>
              <w:jc w:val="left"/>
              <w:rPr>
                <w:szCs w:val="24"/>
              </w:rPr>
            </w:pPr>
            <w:r>
              <w:rPr>
                <w:szCs w:val="24"/>
              </w:rPr>
              <w:t>la maitrise d’œuvre.</w:t>
            </w:r>
          </w:p>
          <w:p w:rsidR="0035701C" w:rsidRDefault="00FB561B">
            <w:pPr>
              <w:spacing w:before="240" w:after="240"/>
              <w:jc w:val="left"/>
              <w:rPr>
                <w:szCs w:val="24"/>
              </w:rPr>
            </w:pPr>
            <w:r>
              <w:rPr>
                <w:szCs w:val="24"/>
              </w:rPr>
              <w:t>Investissements inéligibles :</w:t>
            </w:r>
          </w:p>
          <w:p w:rsidR="0035701C" w:rsidRDefault="00FB561B" w:rsidP="00FB561B">
            <w:pPr>
              <w:numPr>
                <w:ilvl w:val="0"/>
                <w:numId w:val="356"/>
              </w:numPr>
              <w:spacing w:before="240" w:after="0"/>
              <w:ind w:hanging="210"/>
              <w:jc w:val="left"/>
              <w:rPr>
                <w:szCs w:val="24"/>
              </w:rPr>
            </w:pPr>
            <w:r>
              <w:rPr>
                <w:szCs w:val="24"/>
              </w:rPr>
              <w:t>achat de foncier</w:t>
            </w:r>
          </w:p>
          <w:p w:rsidR="0035701C" w:rsidRDefault="00FB561B" w:rsidP="00FB561B">
            <w:pPr>
              <w:numPr>
                <w:ilvl w:val="0"/>
                <w:numId w:val="356"/>
              </w:numPr>
              <w:spacing w:before="0" w:after="240"/>
              <w:ind w:hanging="210"/>
              <w:jc w:val="left"/>
              <w:rPr>
                <w:szCs w:val="24"/>
              </w:rPr>
            </w:pPr>
            <w:r>
              <w:rPr>
                <w:szCs w:val="24"/>
              </w:rPr>
              <w:t>l’entretien courant de la voirie dans les 5 ans après la création de celle-ci.</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357"/>
              </w:numPr>
              <w:spacing w:before="0" w:after="0"/>
              <w:ind w:hanging="210"/>
              <w:jc w:val="left"/>
              <w:rPr>
                <w:szCs w:val="24"/>
              </w:rPr>
            </w:pPr>
            <w:r>
              <w:rPr>
                <w:szCs w:val="24"/>
              </w:rPr>
              <w:t>Pour ce type d’opération, l’existence d’un plan de gestion ou d’un document équivalent est requise.</w:t>
            </w:r>
            <w:r>
              <w:rPr>
                <w:szCs w:val="24"/>
              </w:rPr>
              <w:br/>
            </w:r>
            <w:r>
              <w:rPr>
                <w:szCs w:val="24"/>
              </w:rPr>
              <w:t xml:space="preserve">Une majorité des surfaces forestières desservies ou qui constituent la finalité de l’intervention doit justifier d'une garantie de gestion durable de la forêt. Les forêts privées doivent faire l’objet d’un Plan Simple de Gestion (PSG), d’un Règlement Type </w:t>
            </w:r>
            <w:r>
              <w:rPr>
                <w:szCs w:val="24"/>
              </w:rPr>
              <w:t>de Gestion (RTG), ou être gérées conformément au Code des Bonnes Pratiques Sylvicoles (CBPS) ; les forêts publiques doivent disposer d'un aménagement forestier en cours de validité.</w:t>
            </w:r>
          </w:p>
          <w:p w:rsidR="0035701C" w:rsidRDefault="00FB561B" w:rsidP="00FB561B">
            <w:pPr>
              <w:numPr>
                <w:ilvl w:val="0"/>
                <w:numId w:val="357"/>
              </w:numPr>
              <w:spacing w:before="0" w:after="240"/>
              <w:ind w:hanging="210"/>
              <w:jc w:val="left"/>
              <w:rPr>
                <w:szCs w:val="24"/>
              </w:rPr>
            </w:pPr>
            <w:r>
              <w:rPr>
                <w:szCs w:val="24"/>
              </w:rPr>
              <w:t xml:space="preserve">Les structures de regroupement (OGEC, ASA, ASL, coopératives forestières, </w:t>
            </w:r>
            <w:r>
              <w:rPr>
                <w:szCs w:val="24"/>
              </w:rPr>
              <w:t>collectivités locales, associations…) intervenant comme maître d'ouvrage délégué pour plusieurs propriétaires de forêt doivent être titulaires des engagements des propriétaires liés à la mobilisation de la ressource.</w:t>
            </w:r>
          </w:p>
          <w:p w:rsidR="0035701C" w:rsidRDefault="00FB561B">
            <w:pPr>
              <w:spacing w:before="240" w:after="240"/>
              <w:jc w:val="left"/>
              <w:rPr>
                <w:szCs w:val="24"/>
              </w:rPr>
            </w:pPr>
            <w:r>
              <w:rPr>
                <w:szCs w:val="24"/>
              </w:rPr>
              <w:t>Le projet doit comporter :</w:t>
            </w:r>
          </w:p>
          <w:p w:rsidR="0035701C" w:rsidRDefault="00FB561B" w:rsidP="00FB561B">
            <w:pPr>
              <w:numPr>
                <w:ilvl w:val="0"/>
                <w:numId w:val="358"/>
              </w:numPr>
              <w:spacing w:before="240" w:after="240"/>
              <w:ind w:hanging="210"/>
              <w:jc w:val="left"/>
              <w:rPr>
                <w:szCs w:val="24"/>
              </w:rPr>
            </w:pPr>
            <w:r>
              <w:rPr>
                <w:szCs w:val="24"/>
              </w:rPr>
              <w:t>une notice s</w:t>
            </w:r>
            <w:r>
              <w:rPr>
                <w:szCs w:val="24"/>
              </w:rPr>
              <w:t>ur l’insertion paysagère et l'incidence écologique doit être fournie afin d’évaluer l'impact attendu sur l'environnement des investissements et satisfaire aux conditions prévues à l’article 45.1 Cette notice dont le contenu est fixé par l’Autorité de Gesti</w:t>
            </w:r>
            <w:r>
              <w:rPr>
                <w:szCs w:val="24"/>
              </w:rPr>
              <w:t>on  mentionne également la valeur ajoutée prévisible de l’ouvrage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Le projet peut faire l’objet de  plusieurs tranches de travaux qui devront présenter chacune une fonctionnalité.</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La </w:t>
            </w:r>
            <w:r>
              <w:rPr>
                <w:szCs w:val="24"/>
              </w:rPr>
              <w:t>sélection des opérations se fera sur les principes suivants :</w:t>
            </w:r>
          </w:p>
          <w:p w:rsidR="0035701C" w:rsidRDefault="00FB561B" w:rsidP="00FB561B">
            <w:pPr>
              <w:numPr>
                <w:ilvl w:val="0"/>
                <w:numId w:val="359"/>
              </w:numPr>
              <w:spacing w:before="240" w:after="0"/>
              <w:ind w:hanging="210"/>
              <w:jc w:val="left"/>
              <w:rPr>
                <w:szCs w:val="24"/>
              </w:rPr>
            </w:pPr>
            <w:r>
              <w:rPr>
                <w:szCs w:val="24"/>
              </w:rPr>
              <w:t xml:space="preserve">Réalisation de l’opération dans le cadre d’un projet de territoire, apprécié selon les critères suivants : </w:t>
            </w:r>
          </w:p>
          <w:p w:rsidR="0035701C" w:rsidRDefault="00FB561B" w:rsidP="00FB561B">
            <w:pPr>
              <w:numPr>
                <w:ilvl w:val="1"/>
                <w:numId w:val="359"/>
              </w:numPr>
              <w:spacing w:before="0" w:after="0"/>
              <w:ind w:hanging="244"/>
              <w:jc w:val="left"/>
              <w:rPr>
                <w:szCs w:val="24"/>
              </w:rPr>
            </w:pPr>
            <w:r>
              <w:rPr>
                <w:szCs w:val="24"/>
              </w:rPr>
              <w:t>caractère collectif et concerté de l’opération (notamment dans le cadre des associatio</w:t>
            </w:r>
            <w:r>
              <w:rPr>
                <w:szCs w:val="24"/>
              </w:rPr>
              <w:t>ns foncières de propriétaires, opération consécutive à l’établissement d’un document d’objectif agricole et sylvicole (DOCOBAS, opération relevant d’une stratégie locale de développement forestier)</w:t>
            </w:r>
          </w:p>
          <w:p w:rsidR="0035701C" w:rsidRDefault="00FB561B" w:rsidP="00FB561B">
            <w:pPr>
              <w:numPr>
                <w:ilvl w:val="1"/>
                <w:numId w:val="359"/>
              </w:numPr>
              <w:spacing w:before="0" w:after="0"/>
              <w:ind w:hanging="244"/>
              <w:jc w:val="left"/>
              <w:rPr>
                <w:szCs w:val="24"/>
              </w:rPr>
            </w:pPr>
            <w:r>
              <w:rPr>
                <w:szCs w:val="24"/>
              </w:rPr>
              <w:t>opération prévue dans un document de planification et de g</w:t>
            </w:r>
            <w:r>
              <w:rPr>
                <w:szCs w:val="24"/>
              </w:rPr>
              <w:t>estion forestière  (par ex : schéma de desserte, plan de massif…) comprenant un volet relatif à la desserte et un volet relatif à l’identification des zones en vue de mobiliser la ressource en bois,</w:t>
            </w:r>
          </w:p>
          <w:p w:rsidR="0035701C" w:rsidRDefault="00FB561B" w:rsidP="00FB561B">
            <w:pPr>
              <w:numPr>
                <w:ilvl w:val="1"/>
                <w:numId w:val="359"/>
              </w:numPr>
              <w:spacing w:before="0" w:after="0"/>
              <w:ind w:hanging="244"/>
              <w:jc w:val="left"/>
              <w:rPr>
                <w:szCs w:val="24"/>
              </w:rPr>
            </w:pPr>
            <w:r>
              <w:rPr>
                <w:szCs w:val="24"/>
              </w:rPr>
              <w:t>caractère multifonctionnel de l’opération (mixité agricul</w:t>
            </w:r>
            <w:r>
              <w:rPr>
                <w:szCs w:val="24"/>
              </w:rPr>
              <w:t>ture forêt, DFCI…)</w:t>
            </w:r>
          </w:p>
          <w:p w:rsidR="0035701C" w:rsidRDefault="00FB561B" w:rsidP="00FB561B">
            <w:pPr>
              <w:numPr>
                <w:ilvl w:val="0"/>
                <w:numId w:val="359"/>
              </w:numPr>
              <w:spacing w:before="0" w:after="0"/>
              <w:ind w:hanging="210"/>
              <w:jc w:val="left"/>
              <w:rPr>
                <w:szCs w:val="24"/>
              </w:rPr>
            </w:pPr>
            <w:r>
              <w:rPr>
                <w:szCs w:val="24"/>
              </w:rPr>
              <w:t xml:space="preserve">impact ultérieur à l’opération attendu parmi les critères suivants : </w:t>
            </w:r>
          </w:p>
          <w:p w:rsidR="0035701C" w:rsidRDefault="00FB561B" w:rsidP="00FB561B">
            <w:pPr>
              <w:numPr>
                <w:ilvl w:val="1"/>
                <w:numId w:val="359"/>
              </w:numPr>
              <w:spacing w:before="0" w:after="0"/>
              <w:ind w:hanging="244"/>
              <w:jc w:val="left"/>
              <w:rPr>
                <w:szCs w:val="24"/>
              </w:rPr>
            </w:pPr>
            <w:r>
              <w:rPr>
                <w:szCs w:val="24"/>
              </w:rPr>
              <w:t>Potentiel de ressource nouvellement accessible (bois d’œuvre mobilisable)</w:t>
            </w:r>
          </w:p>
          <w:p w:rsidR="0035701C" w:rsidRDefault="00FB561B" w:rsidP="00FB561B">
            <w:pPr>
              <w:numPr>
                <w:ilvl w:val="1"/>
                <w:numId w:val="359"/>
              </w:numPr>
              <w:spacing w:before="0" w:after="0"/>
              <w:ind w:hanging="244"/>
              <w:jc w:val="left"/>
              <w:rPr>
                <w:szCs w:val="24"/>
              </w:rPr>
            </w:pPr>
            <w:r>
              <w:rPr>
                <w:szCs w:val="24"/>
              </w:rPr>
              <w:t xml:space="preserve">Couplage de l’opération avec une mesure d’intervention sylvicole visant à  l’amélioration de </w:t>
            </w:r>
            <w:r>
              <w:rPr>
                <w:szCs w:val="24"/>
              </w:rPr>
              <w:t>la résilience et de la valeur environnementale des forêts (mesure 8.5).</w:t>
            </w:r>
          </w:p>
          <w:p w:rsidR="0035701C" w:rsidRDefault="00FB561B" w:rsidP="00FB561B">
            <w:pPr>
              <w:numPr>
                <w:ilvl w:val="1"/>
                <w:numId w:val="359"/>
              </w:numPr>
              <w:spacing w:before="0" w:after="240"/>
              <w:ind w:hanging="244"/>
              <w:jc w:val="left"/>
              <w:rPr>
                <w:szCs w:val="24"/>
              </w:rPr>
            </w:pPr>
            <w:r>
              <w:rPr>
                <w:szCs w:val="24"/>
              </w:rPr>
              <w:t>Impact environnemental et paysager.</w:t>
            </w:r>
          </w:p>
          <w:p w:rsidR="0035701C" w:rsidRDefault="00FB561B">
            <w:pPr>
              <w:spacing w:before="240" w:after="240"/>
              <w:jc w:val="left"/>
              <w:rPr>
                <w:szCs w:val="24"/>
              </w:rPr>
            </w:pPr>
            <w:r>
              <w:rPr>
                <w:szCs w:val="24"/>
              </w:rPr>
              <w:t>La mesure est mise en œuvre par Appel à Projet.</w:t>
            </w:r>
          </w:p>
          <w:p w:rsidR="0035701C" w:rsidRDefault="00FB561B">
            <w:pPr>
              <w:spacing w:before="240" w:after="240"/>
              <w:jc w:val="left"/>
              <w:rPr>
                <w:szCs w:val="24"/>
              </w:rPr>
            </w:pPr>
            <w:r>
              <w:rPr>
                <w:szCs w:val="24"/>
              </w:rPr>
              <w:t xml:space="preserve">La grille de sélection des opérations prévoira l'établissement d'un système de points permettant le </w:t>
            </w:r>
            <w:r>
              <w:rPr>
                <w:szCs w:val="24"/>
              </w:rPr>
              <w:t>classement des dossiers et la fixation d'un seuil minimal pour accéder au soutien au titre du PDRC.</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Taux d'aide :</w:t>
            </w:r>
          </w:p>
          <w:p w:rsidR="0035701C" w:rsidRDefault="00FB561B" w:rsidP="00FB561B">
            <w:pPr>
              <w:numPr>
                <w:ilvl w:val="0"/>
                <w:numId w:val="360"/>
              </w:numPr>
              <w:spacing w:before="240" w:after="0"/>
              <w:ind w:hanging="210"/>
              <w:jc w:val="left"/>
              <w:rPr>
                <w:szCs w:val="24"/>
              </w:rPr>
            </w:pPr>
            <w:r>
              <w:rPr>
                <w:szCs w:val="24"/>
              </w:rPr>
              <w:t xml:space="preserve">Projet individuel desservant une seule propriété forestière, projet sur forêts publiques et dessertes </w:t>
            </w:r>
            <w:r>
              <w:rPr>
                <w:szCs w:val="24"/>
              </w:rPr>
              <w:t>d’accès au massif du maître d’ouvrage : 80%</w:t>
            </w:r>
          </w:p>
          <w:p w:rsidR="0035701C" w:rsidRDefault="00FB561B" w:rsidP="00FB561B">
            <w:pPr>
              <w:numPr>
                <w:ilvl w:val="0"/>
                <w:numId w:val="360"/>
              </w:numPr>
              <w:spacing w:before="0" w:after="240"/>
              <w:ind w:hanging="210"/>
              <w:jc w:val="left"/>
              <w:rPr>
                <w:szCs w:val="24"/>
              </w:rPr>
            </w:pPr>
            <w:r>
              <w:rPr>
                <w:szCs w:val="24"/>
              </w:rPr>
              <w:t>Projet desservant plusieurs propriétés forestières (Associations foncières libres détenues par plusieurs propriétaires hors cadre familial au 2nd degré et Associations Foncières Autorisées): 100% sur le périmètre</w:t>
            </w:r>
            <w:r>
              <w:rPr>
                <w:szCs w:val="24"/>
              </w:rPr>
              <w:t xml:space="preserve"> du maître d’ouvrage.</w:t>
            </w:r>
          </w:p>
          <w:p w:rsidR="0035701C" w:rsidRDefault="00FB561B">
            <w:pPr>
              <w:spacing w:before="240" w:after="240"/>
              <w:jc w:val="left"/>
              <w:rPr>
                <w:szCs w:val="24"/>
              </w:rPr>
            </w:pPr>
            <w:r>
              <w:rPr>
                <w:szCs w:val="24"/>
              </w:rPr>
              <w:t>Pour les projets d'infrastructures qui ne sont pas ouvertes au public, et qui sont  soumis au régime des aides d'état (projets ayant un caractère exclusivement économique et ne présentant pas d’intérêt "multifonctionnel" tels que lois</w:t>
            </w:r>
            <w:r>
              <w:rPr>
                <w:szCs w:val="24"/>
              </w:rPr>
              <w:t>irs, prévention et lutte feux forêts…), le taux d'aide sera de 40 %.</w:t>
            </w:r>
          </w:p>
          <w:p w:rsidR="0035701C" w:rsidRDefault="00FB561B">
            <w:pPr>
              <w:spacing w:before="240" w:after="240"/>
              <w:jc w:val="left"/>
              <w:rPr>
                <w:szCs w:val="24"/>
              </w:rPr>
            </w:pPr>
            <w:r>
              <w:rPr>
                <w:szCs w:val="24"/>
              </w:rPr>
              <w:t>Le taux d'aide publique appliqué au dossier correspondra au maximum autorisé par le régime d'aide d'Etat appliqué audit dossier, si ce maximum est plus restrictif que le taux prévu par le</w:t>
            </w:r>
            <w:r>
              <w:rPr>
                <w:szCs w:val="24"/>
              </w:rPr>
              <w:t xml:space="preserve"> PDR.</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 :</w:t>
            </w:r>
          </w:p>
          <w:p w:rsidR="0035701C" w:rsidRDefault="00FB561B">
            <w:pPr>
              <w:spacing w:before="240" w:after="240"/>
              <w:jc w:val="left"/>
              <w:rPr>
                <w:szCs w:val="24"/>
              </w:rPr>
            </w:pPr>
            <w:r>
              <w:rPr>
                <w:szCs w:val="24"/>
              </w:rPr>
              <w:t xml:space="preserve">- L'OP a demandé que soient bien décrits les pétitionnaires </w:t>
            </w:r>
            <w:r>
              <w:rPr>
                <w:szCs w:val="24"/>
              </w:rPr>
              <w:t>susceptibles d'être bénéficiaires de cette opération. Les éléments de Droit, les précisions apportées au présent texte, ainsi que le détail des éléments de réponse à fournir sur les appels à projet sont satisfaisants. L'OP recommande de bien s'assurer de l</w:t>
            </w:r>
            <w:r>
              <w:rPr>
                <w:szCs w:val="24"/>
              </w:rPr>
              <w:t>a qualité de propriétaire. La mise en place d'un contrôle croisé sur les aides de même type ou de même public cible sera formalisé.</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n°1 - R1 : Pour les formes juridiques sociét</w:t>
            </w:r>
            <w:r>
              <w:rPr>
                <w:szCs w:val="24"/>
              </w:rPr>
              <w:t>aires ou associatives, les collectivités, conformité des statuts et actes, mise à jour effective et conforme au long de la période d’engagement. Vérification de la qualité de propriétaire foncier (source : Législation nationale : décalage entre Droit Socia</w:t>
            </w:r>
            <w:r>
              <w:rPr>
                <w:szCs w:val="24"/>
              </w:rPr>
              <w:t>l, Droit des Sociétés, Droit Rural, Législation nationale du Droit de Propriété, Droit des Successions, Droit Fiscal (modification pour la forêt en 2012))</w:t>
            </w:r>
          </w:p>
          <w:p w:rsidR="0035701C" w:rsidRDefault="00FB561B">
            <w:pPr>
              <w:spacing w:before="240" w:after="240"/>
              <w:jc w:val="left"/>
              <w:rPr>
                <w:szCs w:val="24"/>
              </w:rPr>
            </w:pPr>
            <w:r>
              <w:rPr>
                <w:szCs w:val="24"/>
              </w:rPr>
              <w:t>n°2 - R10 : Pour l'élaboration des plans de gestion et des études d'impact notamment, risque de surfa</w:t>
            </w:r>
            <w:r>
              <w:rPr>
                <w:szCs w:val="24"/>
              </w:rPr>
              <w:t>ces déjà financées par ailleurs (toujours sous engagement d'anciens contrats, ou financées sur les opérations à destination de la valorisation de la foresterie (ex : 8) (source : Ponctuel sur Retour d'Expérience).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VERIFIE</w:t>
            </w:r>
            <w:r>
              <w:rPr>
                <w:szCs w:val="24"/>
              </w:rPr>
              <w:t>R Pour les formes juridiques sociétaires ou associatives, conformité des statuts et actes, mise à jour effective et conforme.</w:t>
            </w:r>
          </w:p>
          <w:p w:rsidR="0035701C" w:rsidRDefault="00FB561B">
            <w:pPr>
              <w:spacing w:before="240" w:after="240"/>
              <w:jc w:val="left"/>
              <w:rPr>
                <w:szCs w:val="24"/>
              </w:rPr>
            </w:pPr>
            <w:r>
              <w:rPr>
                <w:szCs w:val="24"/>
              </w:rPr>
              <w:t>                 VERIFIER la qualité de propriétaire foncier/forestier des bénéficiaires et des partenaires.</w:t>
            </w:r>
          </w:p>
          <w:p w:rsidR="0035701C" w:rsidRDefault="00FB561B">
            <w:pPr>
              <w:spacing w:before="240" w:after="240"/>
              <w:jc w:val="left"/>
              <w:rPr>
                <w:szCs w:val="24"/>
              </w:rPr>
            </w:pPr>
            <w:r>
              <w:rPr>
                <w:szCs w:val="24"/>
              </w:rPr>
              <w:t xml:space="preserve">n°2 - R10 : EXECUTER </w:t>
            </w:r>
            <w:r>
              <w:rPr>
                <w:szCs w:val="24"/>
              </w:rPr>
              <w:t>UN CONTRÔLE CROISE des aides aux bénéficiaires de l'opération avec celles des bénéficiaires secondaires.</w:t>
            </w:r>
          </w:p>
          <w:p w:rsidR="0035701C" w:rsidRDefault="00FB561B">
            <w:pPr>
              <w:spacing w:before="240" w:after="240"/>
              <w:jc w:val="left"/>
              <w:rPr>
                <w:szCs w:val="24"/>
              </w:rPr>
            </w:pPr>
            <w:r>
              <w:rPr>
                <w:szCs w:val="24"/>
              </w:rPr>
              <w:t>                  MAINTENIR ce point de contrôle administratif de la demande d'aide à la fin de la période d'engagement.</w:t>
            </w:r>
          </w:p>
          <w:p w:rsidR="0035701C" w:rsidRDefault="0035701C">
            <w:pPr>
              <w:pStyle w:val="Corpsdetexte"/>
            </w:pPr>
          </w:p>
        </w:tc>
      </w:tr>
    </w:tbl>
    <w:p w:rsidR="0035701C" w:rsidRDefault="00FB561B">
      <w:pPr>
        <w:pStyle w:val="Titre7"/>
      </w:pPr>
      <w:r>
        <w:t xml:space="preserve">Évaluation globale de la </w:t>
      </w:r>
      <w:r>
        <w:t>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Au vu des cotations matricielles, sur le poids financier de la mesure (&lt;50%), sur les priorités, les risques, les mesures d’atténuation prévues, cette mesure reçoit une évaluation  favorable peu risquée ; Les mécanismes de mise en œuvre sont connu</w:t>
            </w:r>
            <w:r>
              <w:rPr>
                <w:szCs w:val="24"/>
              </w:rPr>
              <w:t>s et maîtrisés par tous les acteurs,  les programmations précédentes qui ont suscité des ajustements sur des mesures de même type ont permis une amélioration constante des procédures.</w:t>
            </w:r>
          </w:p>
          <w:p w:rsidR="0035701C" w:rsidRDefault="00FB561B">
            <w:pPr>
              <w:spacing w:before="240" w:after="240"/>
              <w:jc w:val="left"/>
              <w:rPr>
                <w:szCs w:val="24"/>
              </w:rPr>
            </w:pPr>
            <w:r>
              <w:rPr>
                <w:szCs w:val="24"/>
              </w:rPr>
              <w:t>- Concernant l'évaluation globale de la mesure : la mesure est contrôlab</w:t>
            </w:r>
            <w:r>
              <w:rPr>
                <w:szCs w:val="24"/>
              </w:rPr>
              <w:t xml:space="preserve">le sous réserve de la mise en place d'actions d'atténuation et des précisions apportées dans les documents de mise en œuvre notamment sur la nécessité de bien contrôler la qualité de propriétaire foncier des bénéficiaires et partenaires de l'opération, et </w:t>
            </w:r>
            <w:r>
              <w:rPr>
                <w:szCs w:val="24"/>
              </w:rPr>
              <w:t>de vérifier l'inexistence de financements précédents ou déjà engagés auprès des bénéficiaires secondaires.</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6"/>
      </w:pPr>
      <w:r>
        <w:t>Informations spécifiques sur l'opération</w:t>
      </w:r>
    </w:p>
    <w:p w:rsidR="0035701C" w:rsidRDefault="00FB561B">
      <w:r>
        <w:t>Définition des investissements non prod</w:t>
      </w:r>
      <w:r>
        <w:t>uctifs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Définition des investissements collectifs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Définition des projets intégrés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Définition et recensement des zones Natura 2000 et des autres zones à haute valeur naturelle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Description du ciblage de l’aide aux exploitations </w:t>
      </w:r>
      <w:r>
        <w:t>conformément à l’analyse  SWOT réalisée en ce qui concerne la priorité visée à l'article 5, paragraphe 2,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Liste des nouvelles exigences imposées par la législation de l’Union dont le respect permet l'octroi d'une aide en </w:t>
      </w:r>
      <w:r>
        <w:t>vertu de l’article 17, paragraphe 6,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S'il y a lieu, normes minimales en matière d’efficacité énergétique visées à l’article 13, point c),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S'il y a lieu, définition des valeurs seu</w:t>
      </w:r>
      <w:r>
        <w:t>ils visées à l’article 13, point e),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br w:type="page"/>
        <w:t>4.3.3- Aménagement hydraulique</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361"/>
              </w:numPr>
            </w:pPr>
            <w:r>
              <w:t xml:space="preserve">4.3 - Aide aux investissements dans les infrastructures liées au développement, à la modernisation ou à l'adaptation du secteur </w:t>
            </w:r>
            <w:r>
              <w:t>agricole et de la foresterie</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 sous mesure vise à la réalisation d’infrastructures permettant de créer et d’améliorer les systèmes de gestion de la ressource en eau. Elle concerne l’aménagement d’ouvrages de prélèvement, d</w:t>
            </w:r>
            <w:r>
              <w:rPr>
                <w:szCs w:val="24"/>
              </w:rPr>
              <w:t>e stockage, de transfert, d’acheminement et éventuellement de traitement de l’eau.</w:t>
            </w:r>
          </w:p>
          <w:p w:rsidR="0035701C" w:rsidRDefault="00FB561B">
            <w:pPr>
              <w:spacing w:before="240" w:after="240"/>
              <w:jc w:val="left"/>
              <w:rPr>
                <w:szCs w:val="24"/>
              </w:rPr>
            </w:pPr>
            <w:r>
              <w:rPr>
                <w:szCs w:val="24"/>
              </w:rPr>
              <w:t>Le champ d’intervention de la mesure est limité à la desserte hydraulique de petits périmètres agricoles (à titre indicatif &lt; 20ha) et des agriculteurs non pourvus par des r</w:t>
            </w:r>
            <w:r>
              <w:rPr>
                <w:szCs w:val="24"/>
              </w:rPr>
              <w:t>éseaux collectifs gérés par l’OEHC, à l’exception :</w:t>
            </w:r>
          </w:p>
          <w:p w:rsidR="0035701C" w:rsidRDefault="00FB561B" w:rsidP="00FB561B">
            <w:pPr>
              <w:numPr>
                <w:ilvl w:val="0"/>
                <w:numId w:val="362"/>
              </w:numPr>
              <w:spacing w:before="240" w:after="0"/>
              <w:ind w:hanging="210"/>
              <w:jc w:val="left"/>
              <w:rPr>
                <w:szCs w:val="24"/>
              </w:rPr>
            </w:pPr>
            <w:r>
              <w:rPr>
                <w:szCs w:val="24"/>
              </w:rPr>
              <w:t>des projets permettant de mobiliser des ressources « non conventionnelles » (effluents traités d’épuration, eaux pluviales) qui intéresse l’ensemble du territoire.</w:t>
            </w:r>
          </w:p>
          <w:p w:rsidR="0035701C" w:rsidRDefault="00FB561B" w:rsidP="00FB561B">
            <w:pPr>
              <w:numPr>
                <w:ilvl w:val="0"/>
                <w:numId w:val="362"/>
              </w:numPr>
              <w:spacing w:before="0" w:after="240"/>
              <w:ind w:hanging="210"/>
              <w:jc w:val="left"/>
              <w:rPr>
                <w:szCs w:val="24"/>
              </w:rPr>
            </w:pPr>
            <w:r>
              <w:rPr>
                <w:szCs w:val="24"/>
              </w:rPr>
              <w:t>des opérations d’ingénierie renforçant l</w:t>
            </w:r>
            <w:r>
              <w:rPr>
                <w:szCs w:val="24"/>
              </w:rPr>
              <w:t>’organisation des irrigants et améliorant leurs performances en matière d’irrigation et de rationalisation de la consommation de la ressource.</w:t>
            </w:r>
          </w:p>
          <w:p w:rsidR="0035701C" w:rsidRDefault="00FB561B">
            <w:pPr>
              <w:spacing w:before="240" w:after="240"/>
              <w:jc w:val="left"/>
              <w:rPr>
                <w:szCs w:val="24"/>
              </w:rPr>
            </w:pPr>
            <w:r>
              <w:rPr>
                <w:szCs w:val="24"/>
              </w:rPr>
              <w:t>Une approche multi-usages (eau communale, DFCI, production électrique, jardins, espaces verts voire AEP) pourra é</w:t>
            </w:r>
            <w:r>
              <w:rPr>
                <w:szCs w:val="24"/>
              </w:rPr>
              <w:t>galement être mise en avant.</w:t>
            </w:r>
          </w:p>
          <w:p w:rsidR="0035701C" w:rsidRDefault="00FB561B" w:rsidP="00FB561B">
            <w:pPr>
              <w:numPr>
                <w:ilvl w:val="0"/>
                <w:numId w:val="363"/>
              </w:numPr>
              <w:spacing w:before="240" w:after="240"/>
              <w:ind w:hanging="210"/>
              <w:jc w:val="left"/>
              <w:rPr>
                <w:szCs w:val="24"/>
              </w:rPr>
            </w:pPr>
            <w:r>
              <w:rPr>
                <w:szCs w:val="24"/>
              </w:rPr>
              <w:t xml:space="preserve">Ce type d’opération cible plus spécifiquement le domaine prioritaire 5A : Utilisation efficace de l'eau par l'agriculture et répond aux besoins n°3, n°10, n°16 et n°32. En effet, dans l’ensemble des bassins hydrographiques, </w:t>
            </w:r>
            <w:r>
              <w:rPr>
                <w:szCs w:val="24"/>
              </w:rPr>
              <w:t>l’objectif est l’adaptation au changement climatique et le maintien ou le retour à l’équilibre, en privilégiant un usage raisonné et une mobilisation des ressources en eau en cohérence avec le fonctionnement hydrologique du bassin.</w:t>
            </w:r>
          </w:p>
          <w:p w:rsidR="0035701C" w:rsidRDefault="0035701C">
            <w:pPr>
              <w:pStyle w:val="Corpsdetexte"/>
            </w:pPr>
          </w:p>
        </w:tc>
      </w:tr>
    </w:tbl>
    <w:p w:rsidR="0035701C" w:rsidRDefault="00FB561B">
      <w:pPr>
        <w:pStyle w:val="Titre6"/>
      </w:pPr>
      <w:r>
        <w:t>Type de soutien</w:t>
      </w:r>
    </w:p>
    <w:p w:rsidR="0035701C" w:rsidRDefault="00FB561B">
      <w:r>
        <w:t>Type d</w:t>
      </w:r>
      <w:r>
        <w:t>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versée sous forme de 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364"/>
              </w:numPr>
              <w:spacing w:before="0" w:after="0"/>
              <w:ind w:hanging="210"/>
              <w:jc w:val="left"/>
              <w:rPr>
                <w:szCs w:val="24"/>
              </w:rPr>
            </w:pPr>
            <w:r>
              <w:rPr>
                <w:szCs w:val="24"/>
              </w:rPr>
              <w:t>Directive Cadre sur l’Eau (DCE).</w:t>
            </w:r>
          </w:p>
          <w:p w:rsidR="0035701C" w:rsidRDefault="00FB561B" w:rsidP="00FB561B">
            <w:pPr>
              <w:numPr>
                <w:ilvl w:val="0"/>
                <w:numId w:val="364"/>
              </w:numPr>
              <w:spacing w:before="0" w:after="0"/>
              <w:ind w:hanging="210"/>
              <w:jc w:val="left"/>
              <w:rPr>
                <w:szCs w:val="24"/>
              </w:rPr>
            </w:pPr>
            <w:r>
              <w:rPr>
                <w:szCs w:val="24"/>
              </w:rPr>
              <w:t>Projet de SDAGE en cours d'approbation en 2015</w:t>
            </w:r>
          </w:p>
          <w:p w:rsidR="0035701C" w:rsidRDefault="00FB561B" w:rsidP="00FB561B">
            <w:pPr>
              <w:numPr>
                <w:ilvl w:val="0"/>
                <w:numId w:val="364"/>
              </w:numPr>
              <w:spacing w:before="0" w:after="0"/>
              <w:ind w:hanging="210"/>
              <w:jc w:val="left"/>
              <w:rPr>
                <w:szCs w:val="24"/>
              </w:rPr>
            </w:pPr>
            <w:r>
              <w:rPr>
                <w:szCs w:val="24"/>
              </w:rPr>
              <w:t xml:space="preserve">SAGE existant (en 2015 : étang de Biguglia, Prunelli-Gravona en cours </w:t>
            </w:r>
            <w:r>
              <w:rPr>
                <w:szCs w:val="24"/>
              </w:rPr>
              <w:t>d’élaboration).</w:t>
            </w:r>
          </w:p>
          <w:p w:rsidR="0035701C" w:rsidRDefault="00FB561B" w:rsidP="00FB561B">
            <w:pPr>
              <w:numPr>
                <w:ilvl w:val="0"/>
                <w:numId w:val="364"/>
              </w:numPr>
              <w:spacing w:before="0" w:after="0"/>
              <w:ind w:hanging="210"/>
              <w:jc w:val="left"/>
              <w:rPr>
                <w:szCs w:val="24"/>
              </w:rPr>
            </w:pPr>
            <w:r>
              <w:rPr>
                <w:szCs w:val="24"/>
              </w:rPr>
              <w:t>Loi sur l'eau et les milieux aquatiques du 30 décembre 2006.</w:t>
            </w:r>
          </w:p>
          <w:p w:rsidR="0035701C" w:rsidRDefault="00FB561B" w:rsidP="00FB561B">
            <w:pPr>
              <w:numPr>
                <w:ilvl w:val="0"/>
                <w:numId w:val="364"/>
              </w:numPr>
              <w:spacing w:before="0" w:after="240"/>
              <w:ind w:hanging="210"/>
              <w:jc w:val="left"/>
              <w:rPr>
                <w:szCs w:val="24"/>
              </w:rPr>
            </w:pPr>
            <w:r>
              <w:rPr>
                <w:szCs w:val="24"/>
              </w:rPr>
              <w:t>Code de l’environnement.</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Maitre d’ouvrage bénéficiaire de l’aide :</w:t>
            </w:r>
          </w:p>
          <w:p w:rsidR="0035701C" w:rsidRDefault="00FB561B" w:rsidP="00FB561B">
            <w:pPr>
              <w:numPr>
                <w:ilvl w:val="0"/>
                <w:numId w:val="365"/>
              </w:numPr>
              <w:spacing w:before="240" w:after="0"/>
              <w:ind w:hanging="210"/>
              <w:jc w:val="left"/>
              <w:rPr>
                <w:szCs w:val="24"/>
              </w:rPr>
            </w:pPr>
            <w:r>
              <w:rPr>
                <w:szCs w:val="24"/>
              </w:rPr>
              <w:t xml:space="preserve">Exploitant ou groupements d’exploitants agricoles, sous réserve que leurs démarches de gestion </w:t>
            </w:r>
            <w:r>
              <w:rPr>
                <w:szCs w:val="24"/>
              </w:rPr>
              <w:t>collective de l'eau soient validées par les autorités administratives compétentes,</w:t>
            </w:r>
          </w:p>
          <w:p w:rsidR="0035701C" w:rsidRDefault="00FB561B" w:rsidP="00FB561B">
            <w:pPr>
              <w:numPr>
                <w:ilvl w:val="0"/>
                <w:numId w:val="365"/>
              </w:numPr>
              <w:spacing w:before="0" w:after="0"/>
              <w:ind w:hanging="210"/>
              <w:jc w:val="left"/>
              <w:rPr>
                <w:szCs w:val="24"/>
              </w:rPr>
            </w:pPr>
            <w:r>
              <w:rPr>
                <w:szCs w:val="24"/>
              </w:rPr>
              <w:t>Association foncière,</w:t>
            </w:r>
          </w:p>
          <w:p w:rsidR="0035701C" w:rsidRDefault="00FB561B" w:rsidP="00FB561B">
            <w:pPr>
              <w:numPr>
                <w:ilvl w:val="0"/>
                <w:numId w:val="365"/>
              </w:numPr>
              <w:spacing w:before="0" w:after="0"/>
              <w:ind w:hanging="210"/>
              <w:jc w:val="left"/>
              <w:rPr>
                <w:szCs w:val="24"/>
              </w:rPr>
            </w:pPr>
            <w:r>
              <w:rPr>
                <w:szCs w:val="24"/>
              </w:rPr>
              <w:t>Etablissement public gestionnaire de la ressource,</w:t>
            </w:r>
          </w:p>
          <w:p w:rsidR="0035701C" w:rsidRDefault="00FB561B" w:rsidP="00FB561B">
            <w:pPr>
              <w:numPr>
                <w:ilvl w:val="0"/>
                <w:numId w:val="365"/>
              </w:numPr>
              <w:spacing w:before="0" w:after="240"/>
              <w:ind w:hanging="210"/>
              <w:jc w:val="left"/>
              <w:rPr>
                <w:szCs w:val="24"/>
              </w:rPr>
            </w:pPr>
            <w:r>
              <w:rPr>
                <w:szCs w:val="24"/>
              </w:rPr>
              <w:t>Collectivité locale, EPCI.</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w:t>
            </w:r>
          </w:p>
          <w:p w:rsidR="0035701C" w:rsidRDefault="00FB561B" w:rsidP="00FB561B">
            <w:pPr>
              <w:numPr>
                <w:ilvl w:val="0"/>
                <w:numId w:val="366"/>
              </w:numPr>
              <w:spacing w:before="240" w:after="0"/>
              <w:ind w:hanging="210"/>
              <w:jc w:val="left"/>
              <w:rPr>
                <w:szCs w:val="24"/>
              </w:rPr>
            </w:pPr>
            <w:r>
              <w:rPr>
                <w:szCs w:val="24"/>
              </w:rPr>
              <w:t xml:space="preserve">Les investissements : </w:t>
            </w:r>
          </w:p>
          <w:p w:rsidR="0035701C" w:rsidRDefault="00FB561B" w:rsidP="00FB561B">
            <w:pPr>
              <w:numPr>
                <w:ilvl w:val="1"/>
                <w:numId w:val="366"/>
              </w:numPr>
              <w:spacing w:before="0" w:after="0"/>
              <w:ind w:hanging="244"/>
              <w:jc w:val="left"/>
              <w:rPr>
                <w:szCs w:val="24"/>
              </w:rPr>
            </w:pPr>
            <w:r>
              <w:rPr>
                <w:szCs w:val="24"/>
              </w:rPr>
              <w:t>les</w:t>
            </w:r>
            <w:r>
              <w:rPr>
                <w:szCs w:val="24"/>
              </w:rPr>
              <w:t xml:space="preserve"> dépenses de terrassement,</w:t>
            </w:r>
          </w:p>
          <w:p w:rsidR="0035701C" w:rsidRDefault="00FB561B" w:rsidP="00FB561B">
            <w:pPr>
              <w:numPr>
                <w:ilvl w:val="1"/>
                <w:numId w:val="366"/>
              </w:numPr>
              <w:spacing w:before="0" w:after="0"/>
              <w:ind w:hanging="244"/>
              <w:jc w:val="left"/>
              <w:rPr>
                <w:szCs w:val="24"/>
              </w:rPr>
            </w:pPr>
            <w:r>
              <w:rPr>
                <w:szCs w:val="24"/>
              </w:rPr>
              <w:t>les ouvrages de captage, y compris forage et de stockage de la ressource, et leurs équipements,</w:t>
            </w:r>
          </w:p>
          <w:p w:rsidR="0035701C" w:rsidRDefault="00FB561B" w:rsidP="00FB561B">
            <w:pPr>
              <w:numPr>
                <w:ilvl w:val="1"/>
                <w:numId w:val="366"/>
              </w:numPr>
              <w:spacing w:before="0" w:after="0"/>
              <w:ind w:hanging="244"/>
              <w:jc w:val="left"/>
              <w:rPr>
                <w:szCs w:val="24"/>
              </w:rPr>
            </w:pPr>
            <w:r>
              <w:rPr>
                <w:szCs w:val="24"/>
              </w:rPr>
              <w:t>l’installation de système de mesure et de pilotage,</w:t>
            </w:r>
          </w:p>
          <w:p w:rsidR="0035701C" w:rsidRDefault="00FB561B" w:rsidP="00FB561B">
            <w:pPr>
              <w:numPr>
                <w:ilvl w:val="1"/>
                <w:numId w:val="366"/>
              </w:numPr>
              <w:spacing w:before="0" w:after="0"/>
              <w:ind w:hanging="244"/>
              <w:jc w:val="left"/>
              <w:rPr>
                <w:szCs w:val="24"/>
              </w:rPr>
            </w:pPr>
            <w:r>
              <w:rPr>
                <w:szCs w:val="24"/>
              </w:rPr>
              <w:t>les réseaux en dehors des équipements de la parcelle agricole,</w:t>
            </w:r>
          </w:p>
          <w:p w:rsidR="0035701C" w:rsidRDefault="00FB561B" w:rsidP="00FB561B">
            <w:pPr>
              <w:numPr>
                <w:ilvl w:val="0"/>
                <w:numId w:val="366"/>
              </w:numPr>
              <w:spacing w:before="0" w:after="0"/>
              <w:ind w:hanging="210"/>
              <w:jc w:val="left"/>
              <w:rPr>
                <w:szCs w:val="24"/>
              </w:rPr>
            </w:pPr>
            <w:r>
              <w:rPr>
                <w:szCs w:val="24"/>
              </w:rPr>
              <w:t xml:space="preserve">les frais généraux liés à l’opération dans la limite de 12% des dépenses totales éligibles de l'opération : </w:t>
            </w:r>
          </w:p>
          <w:p w:rsidR="0035701C" w:rsidRDefault="00FB561B" w:rsidP="00FB561B">
            <w:pPr>
              <w:numPr>
                <w:ilvl w:val="1"/>
                <w:numId w:val="366"/>
              </w:numPr>
              <w:spacing w:before="0" w:after="0"/>
              <w:ind w:hanging="244"/>
              <w:jc w:val="left"/>
              <w:rPr>
                <w:szCs w:val="24"/>
              </w:rPr>
            </w:pPr>
            <w:r>
              <w:rPr>
                <w:szCs w:val="24"/>
              </w:rPr>
              <w:t>les études préalables aux opérations (expertise agronomiques et hydrogéologiques) et les investissements immatériels destinés à organiser et ration</w:t>
            </w:r>
            <w:r>
              <w:rPr>
                <w:szCs w:val="24"/>
              </w:rPr>
              <w:t>aliser les pratiques dans les périmètres irrigués (diagnostic des besoins ou de la ressource, animation foncière afférente),</w:t>
            </w:r>
          </w:p>
          <w:p w:rsidR="0035701C" w:rsidRDefault="00FB561B" w:rsidP="00FB561B">
            <w:pPr>
              <w:numPr>
                <w:ilvl w:val="1"/>
                <w:numId w:val="366"/>
              </w:numPr>
              <w:spacing w:before="0" w:after="240"/>
              <w:ind w:hanging="244"/>
              <w:jc w:val="left"/>
              <w:rPr>
                <w:szCs w:val="24"/>
              </w:rPr>
            </w:pPr>
            <w:r>
              <w:rPr>
                <w:szCs w:val="24"/>
              </w:rPr>
              <w:t>l’assistance à maîtrise d'ouvrage et la maîtrise d’œuvre.</w:t>
            </w:r>
          </w:p>
          <w:p w:rsidR="0035701C" w:rsidRDefault="00FB561B">
            <w:pPr>
              <w:spacing w:before="240" w:after="240"/>
              <w:ind w:left="1440"/>
              <w:jc w:val="left"/>
              <w:rPr>
                <w:szCs w:val="24"/>
              </w:rPr>
            </w:pPr>
            <w:r>
              <w:rPr>
                <w:szCs w:val="24"/>
              </w:rPr>
              <w:t> </w:t>
            </w:r>
          </w:p>
          <w:p w:rsidR="0035701C" w:rsidRDefault="00FB561B">
            <w:pPr>
              <w:spacing w:before="240" w:after="240"/>
              <w:jc w:val="left"/>
              <w:rPr>
                <w:szCs w:val="24"/>
              </w:rPr>
            </w:pPr>
            <w:r>
              <w:rPr>
                <w:szCs w:val="24"/>
              </w:rPr>
              <w:t>Investissements inéligibles :</w:t>
            </w:r>
          </w:p>
          <w:p w:rsidR="0035701C" w:rsidRDefault="00FB561B" w:rsidP="00FB561B">
            <w:pPr>
              <w:numPr>
                <w:ilvl w:val="0"/>
                <w:numId w:val="367"/>
              </w:numPr>
              <w:spacing w:before="240" w:after="0"/>
              <w:ind w:hanging="210"/>
              <w:jc w:val="left"/>
              <w:rPr>
                <w:szCs w:val="24"/>
              </w:rPr>
            </w:pPr>
            <w:r>
              <w:rPr>
                <w:szCs w:val="24"/>
              </w:rPr>
              <w:t>L’achat de foncier</w:t>
            </w:r>
          </w:p>
          <w:p w:rsidR="0035701C" w:rsidRDefault="00FB561B" w:rsidP="00FB561B">
            <w:pPr>
              <w:numPr>
                <w:ilvl w:val="0"/>
                <w:numId w:val="367"/>
              </w:numPr>
              <w:spacing w:before="0" w:after="240"/>
              <w:ind w:hanging="210"/>
              <w:jc w:val="left"/>
              <w:rPr>
                <w:szCs w:val="24"/>
              </w:rPr>
            </w:pPr>
            <w:r>
              <w:rPr>
                <w:szCs w:val="24"/>
              </w:rPr>
              <w:t xml:space="preserve">Les investissements </w:t>
            </w:r>
            <w:r>
              <w:rPr>
                <w:szCs w:val="24"/>
              </w:rPr>
              <w:t>relatifs à la création de réseaux de distribution à surface libre ainsi que les dispositifs d’irrigation gravitaires.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i/>
                <w:iCs/>
                <w:szCs w:val="24"/>
              </w:rPr>
              <w:t>Conditions génériques :</w:t>
            </w:r>
          </w:p>
          <w:p w:rsidR="0035701C" w:rsidRDefault="00FB561B" w:rsidP="00FB561B">
            <w:pPr>
              <w:numPr>
                <w:ilvl w:val="0"/>
                <w:numId w:val="368"/>
              </w:numPr>
              <w:spacing w:before="240" w:after="0"/>
              <w:ind w:hanging="210"/>
              <w:jc w:val="left"/>
              <w:rPr>
                <w:szCs w:val="24"/>
              </w:rPr>
            </w:pPr>
            <w:r>
              <w:rPr>
                <w:szCs w:val="24"/>
              </w:rPr>
              <w:t>le maitre d’ouvrage doit détenir  l’autorisation des propriétaires fonciers concernés</w:t>
            </w:r>
            <w:r>
              <w:rPr>
                <w:szCs w:val="24"/>
              </w:rPr>
              <w:t xml:space="preserve"> par la réalisation des ouvrages (autorisations ou statut à jour lorsqu’il s’agit d’une association foncière),</w:t>
            </w:r>
          </w:p>
          <w:p w:rsidR="0035701C" w:rsidRDefault="00FB561B" w:rsidP="00FB561B">
            <w:pPr>
              <w:numPr>
                <w:ilvl w:val="0"/>
                <w:numId w:val="368"/>
              </w:numPr>
              <w:spacing w:before="0" w:after="240"/>
              <w:ind w:hanging="210"/>
              <w:jc w:val="left"/>
              <w:rPr>
                <w:szCs w:val="24"/>
              </w:rPr>
            </w:pPr>
            <w:r>
              <w:rPr>
                <w:szCs w:val="24"/>
              </w:rPr>
              <w:t xml:space="preserve">l’opération doit prévoir la contractualisation de l’usage des terrains du périmètre desservi à des agriculteurs, soit par leur identification à </w:t>
            </w:r>
            <w:r>
              <w:rPr>
                <w:szCs w:val="24"/>
              </w:rPr>
              <w:t>l’origine du projet, soit par un engagement du maître d’ouvrage.</w:t>
            </w:r>
          </w:p>
          <w:p w:rsidR="0035701C" w:rsidRDefault="00FB561B">
            <w:pPr>
              <w:spacing w:before="240" w:after="240"/>
              <w:jc w:val="left"/>
              <w:rPr>
                <w:szCs w:val="24"/>
              </w:rPr>
            </w:pPr>
            <w:r>
              <w:rPr>
                <w:i/>
                <w:iCs/>
                <w:szCs w:val="24"/>
              </w:rPr>
              <w:t>Conditions d’admissibilité liées aux investissements d'’irrigation (ouvrages, installations et équipements) :</w:t>
            </w:r>
          </w:p>
          <w:p w:rsidR="0035701C" w:rsidRDefault="00FB561B">
            <w:pPr>
              <w:spacing w:before="240" w:after="240"/>
              <w:jc w:val="left"/>
              <w:rPr>
                <w:szCs w:val="24"/>
              </w:rPr>
            </w:pPr>
            <w:r>
              <w:rPr>
                <w:szCs w:val="24"/>
              </w:rPr>
              <w:t xml:space="preserve">Les dépenses concernant la mobilisation de la ressource en eau pour l’irrigation </w:t>
            </w:r>
            <w:r>
              <w:rPr>
                <w:szCs w:val="24"/>
              </w:rPr>
              <w:t>sont admissibles à conditions de respecter :</w:t>
            </w:r>
          </w:p>
          <w:p w:rsidR="0035701C" w:rsidRDefault="00FB561B" w:rsidP="00FB561B">
            <w:pPr>
              <w:numPr>
                <w:ilvl w:val="0"/>
                <w:numId w:val="369"/>
              </w:numPr>
              <w:spacing w:before="240" w:after="0"/>
              <w:ind w:hanging="244"/>
              <w:jc w:val="left"/>
              <w:rPr>
                <w:szCs w:val="24"/>
              </w:rPr>
            </w:pPr>
            <w:r>
              <w:rPr>
                <w:szCs w:val="24"/>
              </w:rPr>
              <w:t>l’ensemble des prescriptions mentionnées à l’article 46 du règlement (UE) 1305/2013,</w:t>
            </w:r>
          </w:p>
          <w:p w:rsidR="0035701C" w:rsidRDefault="00FB561B" w:rsidP="00FB561B">
            <w:pPr>
              <w:numPr>
                <w:ilvl w:val="0"/>
                <w:numId w:val="369"/>
              </w:numPr>
              <w:spacing w:before="0" w:after="0"/>
              <w:ind w:hanging="244"/>
              <w:jc w:val="left"/>
              <w:rPr>
                <w:szCs w:val="24"/>
              </w:rPr>
            </w:pPr>
            <w:r>
              <w:rPr>
                <w:szCs w:val="24"/>
              </w:rPr>
              <w:t>l’application de la réglementation nationale,</w:t>
            </w:r>
          </w:p>
          <w:p w:rsidR="0035701C" w:rsidRDefault="00FB561B" w:rsidP="00FB561B">
            <w:pPr>
              <w:numPr>
                <w:ilvl w:val="0"/>
                <w:numId w:val="369"/>
              </w:numPr>
              <w:spacing w:before="0" w:after="240"/>
              <w:ind w:hanging="244"/>
              <w:jc w:val="left"/>
              <w:rPr>
                <w:szCs w:val="24"/>
              </w:rPr>
            </w:pPr>
            <w:r>
              <w:rPr>
                <w:szCs w:val="24"/>
              </w:rPr>
              <w:t>et les prescriptions complémentaires de l’AG.</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Sont ainsi applicables l'ensembl</w:t>
            </w:r>
            <w:r>
              <w:rPr>
                <w:szCs w:val="24"/>
              </w:rPr>
              <w:t xml:space="preserve">e des dispositions figurant à la section "Méthode de calcul" de l'opération, au § </w:t>
            </w:r>
            <w:r>
              <w:rPr>
                <w:szCs w:val="24"/>
                <w:u w:val="single"/>
              </w:rPr>
              <w:t xml:space="preserve">Notice détaillée relative aux conditions d'admissibilité des investissements d'irrigation </w:t>
            </w:r>
            <w:r>
              <w:rPr>
                <w:szCs w:val="24"/>
              </w:rPr>
              <w:t>(réalisation obligatoire d’un document d’évaluation démontrant notamment l’absence d</w:t>
            </w:r>
            <w:r>
              <w:rPr>
                <w:szCs w:val="24"/>
              </w:rPr>
              <w:t>’impact négatif sur l’environnement, localisation à l’intérieur du périmètre du Bassin de Corse, cohérence avec les orientations et programme du SDAGE, mesure et suivi de la consommation d’eau, économies d’eau potentielle, réduction éventuelle, critères li</w:t>
            </w:r>
            <w:r>
              <w:rPr>
                <w:szCs w:val="24"/>
              </w:rPr>
              <w:t>és à l’augmentation de surfaces irriguées, régularité des installations au titre du code de l’environnement, obligations liées aux captages de ressources souterraines, accord des gestionnaires pour les demandes de raccordement, usage agricole des parcelles</w:t>
            </w:r>
            <w:r>
              <w:rPr>
                <w:szCs w:val="24"/>
              </w:rPr>
              <w:t>, organisation des projets de desserte en eau à titre collectif).</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L’admissibilité des investissements est appréciée en considérant la globalité du système d’irrigation sans dissocier la partie des investissements objet de la demande de subvention ; il s’</w:t>
            </w:r>
            <w:r>
              <w:rPr>
                <w:szCs w:val="24"/>
              </w:rPr>
              <w:t>agit d’intégrer l’ensemble des éléments de contexte liés à la localisation et à la nature du prélèvement, au système de distribution, au système d’arrosage et aux pratiques agronomiques.</w:t>
            </w:r>
          </w:p>
          <w:p w:rsidR="0035701C" w:rsidRDefault="00FB561B">
            <w:pPr>
              <w:spacing w:before="240" w:after="240"/>
              <w:jc w:val="left"/>
              <w:rPr>
                <w:szCs w:val="24"/>
              </w:rPr>
            </w:pPr>
            <w:r>
              <w:rPr>
                <w:szCs w:val="24"/>
              </w:rPr>
              <w:t>Le tableau ci-joint résume les différentes conditions liées à la mise</w:t>
            </w:r>
            <w:r>
              <w:rPr>
                <w:szCs w:val="24"/>
              </w:rPr>
              <w:t xml:space="preserve"> en œuvre de l’article 46 du règlement (UE) 1305/2013 qui dépendent des paramètres relatifs à :</w:t>
            </w:r>
          </w:p>
          <w:p w:rsidR="0035701C" w:rsidRDefault="00FB561B" w:rsidP="00FB561B">
            <w:pPr>
              <w:numPr>
                <w:ilvl w:val="0"/>
                <w:numId w:val="370"/>
              </w:numPr>
              <w:spacing w:before="240" w:after="0"/>
              <w:ind w:hanging="210"/>
              <w:jc w:val="left"/>
              <w:rPr>
                <w:szCs w:val="24"/>
              </w:rPr>
            </w:pPr>
            <w:r>
              <w:rPr>
                <w:szCs w:val="24"/>
              </w:rPr>
              <w:t>l’état quantitatif de la ressource au regard de la localisation des prélèvements,</w:t>
            </w:r>
          </w:p>
          <w:p w:rsidR="0035701C" w:rsidRDefault="00FB561B" w:rsidP="00FB561B">
            <w:pPr>
              <w:numPr>
                <w:ilvl w:val="0"/>
                <w:numId w:val="370"/>
              </w:numPr>
              <w:spacing w:before="0" w:after="0"/>
              <w:ind w:hanging="210"/>
              <w:jc w:val="left"/>
              <w:rPr>
                <w:szCs w:val="24"/>
              </w:rPr>
            </w:pPr>
            <w:r>
              <w:rPr>
                <w:szCs w:val="24"/>
              </w:rPr>
              <w:t>l’augmentation potentielle de surface irriguée,</w:t>
            </w:r>
          </w:p>
          <w:p w:rsidR="0035701C" w:rsidRDefault="00FB561B" w:rsidP="00FB561B">
            <w:pPr>
              <w:numPr>
                <w:ilvl w:val="0"/>
                <w:numId w:val="370"/>
              </w:numPr>
              <w:spacing w:before="0" w:after="0"/>
              <w:ind w:hanging="210"/>
              <w:jc w:val="left"/>
              <w:rPr>
                <w:szCs w:val="24"/>
              </w:rPr>
            </w:pPr>
            <w:r>
              <w:rPr>
                <w:szCs w:val="24"/>
              </w:rPr>
              <w:t>le recours à des réservoirs de</w:t>
            </w:r>
            <w:r>
              <w:rPr>
                <w:szCs w:val="24"/>
              </w:rPr>
              <w:t xml:space="preserve"> stockage de la ressource,</w:t>
            </w:r>
          </w:p>
          <w:p w:rsidR="0035701C" w:rsidRDefault="00FB561B" w:rsidP="00FB561B">
            <w:pPr>
              <w:numPr>
                <w:ilvl w:val="0"/>
                <w:numId w:val="370"/>
              </w:numPr>
              <w:spacing w:before="0" w:after="240"/>
              <w:ind w:hanging="210"/>
              <w:jc w:val="left"/>
              <w:rPr>
                <w:szCs w:val="24"/>
              </w:rPr>
            </w:pPr>
            <w:r>
              <w:rPr>
                <w:szCs w:val="24"/>
              </w:rPr>
              <w:t>le cas échéant de l’incidence environnementale du projet.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300304" cy="8280400"/>
                  <wp:effectExtent l="0" t="0" r="0" b="0"/>
                  <wp:docPr id="100086" name="Image 100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
                          <pic:cNvPicPr>
                            <a:picLocks noChangeAspect="1"/>
                          </pic:cNvPicPr>
                        </pic:nvPicPr>
                        <pic:blipFill>
                          <a:blip r:embed="rId53"/>
                          <a:stretch>
                            <a:fillRect/>
                          </a:stretch>
                        </pic:blipFill>
                        <pic:spPr>
                          <a:xfrm>
                            <a:off x="0" y="0"/>
                            <a:ext cx="6300304" cy="8280400"/>
                          </a:xfrm>
                          <a:prstGeom prst="rect">
                            <a:avLst/>
                          </a:prstGeom>
                        </pic:spPr>
                      </pic:pic>
                    </a:graphicData>
                  </a:graphic>
                </wp:inline>
              </w:drawing>
            </w:r>
          </w:p>
          <w:p w:rsidR="0035701C" w:rsidRDefault="00FB561B">
            <w:pPr>
              <w:pStyle w:val="Pieddepage"/>
              <w:jc w:val="center"/>
            </w:pPr>
            <w:r>
              <w:t>Admissibilité irrigation</w:t>
            </w:r>
          </w:p>
          <w:p w:rsidR="0035701C" w:rsidRDefault="0035701C">
            <w:pPr>
              <w:pStyle w:val="Pieddepage"/>
              <w:jc w:val="center"/>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 sélection des opérations se fera sur les principes suivants :</w:t>
            </w:r>
          </w:p>
          <w:p w:rsidR="0035701C" w:rsidRDefault="00FB561B" w:rsidP="00FB561B">
            <w:pPr>
              <w:numPr>
                <w:ilvl w:val="0"/>
                <w:numId w:val="371"/>
              </w:numPr>
              <w:spacing w:before="240" w:after="0"/>
              <w:ind w:hanging="210"/>
              <w:jc w:val="left"/>
              <w:rPr>
                <w:szCs w:val="24"/>
              </w:rPr>
            </w:pPr>
            <w:r>
              <w:rPr>
                <w:szCs w:val="24"/>
              </w:rPr>
              <w:t xml:space="preserve">Réalisation de l’opération dans le cadre d’un projet de territoire : </w:t>
            </w:r>
          </w:p>
          <w:p w:rsidR="0035701C" w:rsidRDefault="00FB561B" w:rsidP="00FB561B">
            <w:pPr>
              <w:numPr>
                <w:ilvl w:val="1"/>
                <w:numId w:val="371"/>
              </w:numPr>
              <w:spacing w:before="0" w:after="0"/>
              <w:ind w:hanging="244"/>
              <w:jc w:val="left"/>
              <w:rPr>
                <w:szCs w:val="24"/>
              </w:rPr>
            </w:pPr>
            <w:r>
              <w:rPr>
                <w:szCs w:val="24"/>
              </w:rPr>
              <w:t>caractère collectif et concerté de l’opération (notamment dans le cadre des associations foncières de propriétaires, opération consécutive à l’établissement d’un document d’objectif agri</w:t>
            </w:r>
            <w:r>
              <w:rPr>
                <w:szCs w:val="24"/>
              </w:rPr>
              <w:t>cole et sylvicole (DOCOBAS ).</w:t>
            </w:r>
          </w:p>
          <w:p w:rsidR="0035701C" w:rsidRDefault="00FB561B" w:rsidP="00FB561B">
            <w:pPr>
              <w:numPr>
                <w:ilvl w:val="1"/>
                <w:numId w:val="371"/>
              </w:numPr>
              <w:spacing w:before="0" w:after="0"/>
              <w:ind w:hanging="244"/>
              <w:jc w:val="left"/>
              <w:rPr>
                <w:szCs w:val="24"/>
              </w:rPr>
            </w:pPr>
            <w:r>
              <w:rPr>
                <w:szCs w:val="24"/>
              </w:rPr>
              <w:t>caractère multifonctionnel de l’opération (mixité eau agricole, Adduction Eau Potable, protection incendie-DFCI…), ciblage (irrigation de sécurisation, de soudure ou destinée à fournir l’ensemble du cycle de production),  amél</w:t>
            </w:r>
            <w:r>
              <w:rPr>
                <w:szCs w:val="24"/>
              </w:rPr>
              <w:t>ioration de la productivité des cultures à vocation alimentaires.</w:t>
            </w:r>
          </w:p>
          <w:p w:rsidR="0035701C" w:rsidRDefault="00FB561B" w:rsidP="00FB561B">
            <w:pPr>
              <w:numPr>
                <w:ilvl w:val="0"/>
                <w:numId w:val="371"/>
              </w:numPr>
              <w:spacing w:before="0" w:after="0"/>
              <w:ind w:hanging="210"/>
              <w:jc w:val="left"/>
              <w:rPr>
                <w:szCs w:val="24"/>
              </w:rPr>
            </w:pPr>
            <w:r>
              <w:rPr>
                <w:szCs w:val="24"/>
              </w:rPr>
              <w:t xml:space="preserve">Impact environnemental : </w:t>
            </w:r>
          </w:p>
          <w:p w:rsidR="0035701C" w:rsidRDefault="00FB561B" w:rsidP="00FB561B">
            <w:pPr>
              <w:numPr>
                <w:ilvl w:val="1"/>
                <w:numId w:val="371"/>
              </w:numPr>
              <w:spacing w:before="0" w:after="0"/>
              <w:ind w:hanging="244"/>
              <w:jc w:val="left"/>
              <w:rPr>
                <w:szCs w:val="24"/>
              </w:rPr>
            </w:pPr>
            <w:r>
              <w:rPr>
                <w:szCs w:val="24"/>
              </w:rPr>
              <w:t>au regard des critères de conditionnalités défini par le programme,</w:t>
            </w:r>
          </w:p>
          <w:p w:rsidR="0035701C" w:rsidRDefault="00FB561B" w:rsidP="00FB561B">
            <w:pPr>
              <w:numPr>
                <w:ilvl w:val="1"/>
                <w:numId w:val="371"/>
              </w:numPr>
              <w:spacing w:before="0" w:after="240"/>
              <w:ind w:hanging="244"/>
              <w:jc w:val="left"/>
              <w:rPr>
                <w:szCs w:val="24"/>
              </w:rPr>
            </w:pPr>
            <w:r>
              <w:rPr>
                <w:szCs w:val="24"/>
              </w:rPr>
              <w:t xml:space="preserve">au regard de l’importance des économies d’eau déjà réalisées au sein des systèmes de production </w:t>
            </w:r>
            <w:r>
              <w:rPr>
                <w:szCs w:val="24"/>
              </w:rPr>
              <w:t>(adaptation des variétés, techniques et calendrier culturaux, assolement et rotation), des économies d’eau potentielles du projet et du mode de production lorsqu’il contribue au respect de l’environnement (exploitations mobilisant des MAEC sur l’enjeu Eau,</w:t>
            </w:r>
            <w:r>
              <w:rPr>
                <w:szCs w:val="24"/>
              </w:rPr>
              <w:t xml:space="preserve"> production en agriculture biologique).</w:t>
            </w:r>
          </w:p>
          <w:p w:rsidR="0035701C" w:rsidRDefault="00FB561B">
            <w:pPr>
              <w:spacing w:before="240" w:after="240"/>
              <w:jc w:val="left"/>
              <w:rPr>
                <w:szCs w:val="24"/>
              </w:rPr>
            </w:pPr>
            <w:r>
              <w:rPr>
                <w:szCs w:val="24"/>
              </w:rPr>
              <w:t>La mesure est mise en œuvre par Appel à Projet.</w:t>
            </w:r>
          </w:p>
          <w:p w:rsidR="0035701C" w:rsidRDefault="00FB561B">
            <w:pPr>
              <w:spacing w:before="240" w:after="240"/>
              <w:jc w:val="left"/>
              <w:rPr>
                <w:szCs w:val="24"/>
              </w:rPr>
            </w:pPr>
            <w:r>
              <w:rPr>
                <w:szCs w:val="24"/>
              </w:rPr>
              <w:t>La grille de sélection des opérations prévoira l'établissement d'un système de points permettant le classement des dossiers et la fixation d'un seuil minimal pour accéd</w:t>
            </w:r>
            <w:r>
              <w:rPr>
                <w:szCs w:val="24"/>
              </w:rPr>
              <w:t>er au soutien au titre du PDRC.</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Taux  d’aide : 80%</w:t>
            </w:r>
          </w:p>
          <w:p w:rsidR="0035701C" w:rsidRDefault="00FB561B">
            <w:pPr>
              <w:spacing w:before="240" w:after="240"/>
              <w:jc w:val="left"/>
              <w:rPr>
                <w:szCs w:val="24"/>
              </w:rPr>
            </w:pPr>
            <w:r>
              <w:rPr>
                <w:szCs w:val="24"/>
              </w:rPr>
              <w:t xml:space="preserve">Taux d'aide pour les projets portés directement par les exploitations agricoles ou groupement d'agriculteur : 50% avec une bonification de +10% s'il y a la présence </w:t>
            </w:r>
            <w:r>
              <w:rPr>
                <w:szCs w:val="24"/>
              </w:rPr>
              <w:t>d'un JA.</w:t>
            </w:r>
          </w:p>
          <w:p w:rsidR="0035701C" w:rsidRDefault="00FB561B">
            <w:pPr>
              <w:spacing w:before="240" w:after="240"/>
              <w:jc w:val="left"/>
              <w:rPr>
                <w:szCs w:val="24"/>
              </w:rPr>
            </w:pPr>
            <w:r>
              <w:rPr>
                <w:szCs w:val="24"/>
              </w:rPr>
              <w:t>Le taux d'aide publique appliqué au dossier correspondra au maximum autorisé par le régime d'aide d'Etat appliqué audit dossier, si ce maximum est plus restrictif que le taux prévu par le PDR ; ce maximum ne pourra être supérieur aux taux mentionn</w:t>
            </w:r>
            <w:r>
              <w:rPr>
                <w:szCs w:val="24"/>
              </w:rPr>
              <w:t>és ci dessus.</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 :</w:t>
            </w:r>
          </w:p>
          <w:p w:rsidR="0035701C" w:rsidRDefault="00FB561B">
            <w:pPr>
              <w:spacing w:before="240" w:after="240"/>
              <w:jc w:val="left"/>
              <w:rPr>
                <w:szCs w:val="24"/>
              </w:rPr>
            </w:pPr>
            <w:r>
              <w:rPr>
                <w:szCs w:val="24"/>
              </w:rPr>
              <w:t xml:space="preserve">- L'OP a demandé que soient bien décrits les pétitionnaires </w:t>
            </w:r>
            <w:r>
              <w:rPr>
                <w:szCs w:val="24"/>
              </w:rPr>
              <w:t>susceptibles d'être bénéficiaires de cette opération. Les éléments de Droit, les précisions apportées au présent texte, ainsi que le détail des éléments de réponse à fournir sur les appels à projet sont satisfaisants.</w:t>
            </w:r>
          </w:p>
          <w:p w:rsidR="0035701C" w:rsidRDefault="00FB561B">
            <w:pPr>
              <w:spacing w:before="240" w:after="240"/>
              <w:jc w:val="left"/>
              <w:rPr>
                <w:szCs w:val="24"/>
              </w:rPr>
            </w:pPr>
            <w:r>
              <w:rPr>
                <w:szCs w:val="24"/>
              </w:rPr>
              <w:t>- L'OP recommande de bien précisé le p</w:t>
            </w:r>
            <w:r>
              <w:rPr>
                <w:szCs w:val="24"/>
              </w:rPr>
              <w:t>érimètre d'intervention de la mesure et les exclusions prévues.</w:t>
            </w:r>
          </w:p>
          <w:p w:rsidR="0035701C" w:rsidRDefault="00FB561B">
            <w:pPr>
              <w:spacing w:before="240" w:after="240"/>
              <w:jc w:val="left"/>
              <w:rPr>
                <w:szCs w:val="24"/>
              </w:rPr>
            </w:pPr>
            <w:r>
              <w:rPr>
                <w:szCs w:val="24"/>
              </w:rPr>
              <w:t>- MAJ V5.0 L'OP recommande de bien précisé les modalités de maintien du relèvement du taux d'aide pour les projets incluant un jeune agriculteur, notamment pour les obligations de maintien des</w:t>
            </w:r>
            <w:r>
              <w:rPr>
                <w:szCs w:val="24"/>
              </w:rPr>
              <w:t xml:space="preserve"> engagements.</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n°1 - R1 : Le périmètre d'intervention n'est pas suffisamment explicite entre petits périmètres agricoles et hors périmètre des réseaux OEHC (source : Ponctuel su</w:t>
            </w:r>
            <w:r>
              <w:rPr>
                <w:szCs w:val="24"/>
              </w:rPr>
              <w:t>r Retour d'Expérience)</w:t>
            </w:r>
          </w:p>
          <w:p w:rsidR="0035701C" w:rsidRDefault="00FB561B">
            <w:pPr>
              <w:spacing w:before="240" w:after="240"/>
              <w:jc w:val="left"/>
              <w:rPr>
                <w:szCs w:val="24"/>
              </w:rPr>
            </w:pPr>
            <w:r>
              <w:rPr>
                <w:szCs w:val="24"/>
              </w:rPr>
              <w:t>n°2 - R1 : Pour les formes juridiques sociétaires ou associatives, les collectivités, conformité des statuts et actes, mise à jour effective et conforme au long de la période d’engagement. Vérification de la qualité de propriétaire f</w:t>
            </w:r>
            <w:r>
              <w:rPr>
                <w:szCs w:val="24"/>
              </w:rPr>
              <w:t>oncier (source : Législation nationale : décalage entre Droit Social, Droit des Sociétés, Droit Rural, Législation nationale du Droit de Propriété, Droit des Successions, Droit Fiscal (modification pour la forêt en 2012)).</w:t>
            </w:r>
          </w:p>
          <w:p w:rsidR="0035701C" w:rsidRDefault="00FB561B">
            <w:pPr>
              <w:spacing w:before="240" w:after="240"/>
              <w:jc w:val="left"/>
              <w:rPr>
                <w:szCs w:val="24"/>
              </w:rPr>
            </w:pPr>
            <w:r>
              <w:rPr>
                <w:szCs w:val="24"/>
              </w:rPr>
              <w:t>n°3 - R11 : Pour le relèvement du</w:t>
            </w:r>
            <w:r>
              <w:rPr>
                <w:szCs w:val="24"/>
              </w:rPr>
              <w:t xml:space="preserve"> taux d'aide au bénéfice des projets incluant un jeune agriculteur. Détail précis et méthodologie de calcul du taux d'aide selon les critères d'éligibilité, et/ou critères de sélection (scoring) dans le DOMO et les notices d'information. Sensibilisation de</w:t>
            </w:r>
            <w:r>
              <w:rPr>
                <w:szCs w:val="24"/>
              </w:rPr>
              <w:t xml:space="preserve"> l'administration et des bénéficiaires. (source : 2007-2013 en continu Formation de l'administration, des Partenaires, des Bénéficiaires, Multiplicité des précisions sur « Guidance » (notes de cadrage))</w:t>
            </w:r>
          </w:p>
          <w:p w:rsidR="0035701C" w:rsidRDefault="00FB561B">
            <w:pPr>
              <w:spacing w:before="240" w:after="240"/>
              <w:jc w:val="left"/>
              <w:rPr>
                <w:szCs w:val="24"/>
              </w:rPr>
            </w:pPr>
            <w:r>
              <w:rPr>
                <w:szCs w:val="24"/>
              </w:rPr>
              <w:t>n°4 - R5  : Pour le relèvement du taux d'aide au béné</w:t>
            </w:r>
            <w:r>
              <w:rPr>
                <w:szCs w:val="24"/>
              </w:rPr>
              <w:t>fice des projets incluant un jeune agriculteur. Mise en place d’un système basé sur des questionnaires en questions fermées (O/N ; réponses en unité avec seuil) notamment  pour les aides Hors Surfaces permettant d’éviter toute interprétation. (source : Pon</w:t>
            </w:r>
            <w:r>
              <w:rPr>
                <w:szCs w:val="24"/>
              </w:rPr>
              <w:t>ctuel sur Retour d'Expérience)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DEFINIR une cartographie des périmètres physiques d'intervention et des exclusions possibles complémentaires relatives aux superficies.</w:t>
            </w:r>
          </w:p>
          <w:p w:rsidR="0035701C" w:rsidRDefault="00FB561B">
            <w:pPr>
              <w:spacing w:before="240" w:after="240"/>
              <w:jc w:val="left"/>
              <w:rPr>
                <w:szCs w:val="24"/>
              </w:rPr>
            </w:pPr>
            <w:r>
              <w:rPr>
                <w:szCs w:val="24"/>
              </w:rPr>
              <w:t xml:space="preserve">n°2 - R1 : VERIFIER Pour les formes juridiques </w:t>
            </w:r>
            <w:r>
              <w:rPr>
                <w:szCs w:val="24"/>
              </w:rPr>
              <w:t>sociétaires ou associatives, conformité des statuts et actes, mise à jour effective et conforme.</w:t>
            </w:r>
          </w:p>
          <w:p w:rsidR="0035701C" w:rsidRDefault="00FB561B">
            <w:pPr>
              <w:spacing w:before="240" w:after="240"/>
              <w:jc w:val="left"/>
              <w:rPr>
                <w:szCs w:val="24"/>
              </w:rPr>
            </w:pPr>
            <w:r>
              <w:rPr>
                <w:szCs w:val="24"/>
              </w:rPr>
              <w:t>                 VERIFIER la qualité de propriétaire foncier des partenaires.</w:t>
            </w:r>
          </w:p>
          <w:p w:rsidR="0035701C" w:rsidRDefault="00FB561B">
            <w:pPr>
              <w:spacing w:before="240" w:after="240"/>
              <w:jc w:val="left"/>
              <w:rPr>
                <w:szCs w:val="24"/>
              </w:rPr>
            </w:pPr>
            <w:r>
              <w:rPr>
                <w:szCs w:val="24"/>
              </w:rPr>
              <w:t xml:space="preserve">n°3 - R11 : MAJ V5.0 FORMALISER le mode de contrôle de l'éligibilité des projets </w:t>
            </w:r>
            <w:r>
              <w:rPr>
                <w:szCs w:val="24"/>
              </w:rPr>
              <w:t>incluant un jeune agriculteur. ASSURER le maintien des conditions méthodologiques de ce point de contrôle administratif tout au long de la période d'engagement.</w:t>
            </w:r>
          </w:p>
          <w:p w:rsidR="0035701C" w:rsidRDefault="00FB561B">
            <w:pPr>
              <w:spacing w:before="240" w:after="240"/>
              <w:jc w:val="left"/>
              <w:rPr>
                <w:szCs w:val="24"/>
              </w:rPr>
            </w:pPr>
            <w:r>
              <w:rPr>
                <w:szCs w:val="24"/>
              </w:rPr>
              <w:t>n°4 - R5  : MAJ V5.0 : FORMALISER les modalités de contrôle des engagements pour les projets in</w:t>
            </w:r>
            <w:r>
              <w:rPr>
                <w:szCs w:val="24"/>
              </w:rPr>
              <w:t>cluant un jeune agricuteur; ASSURER le maintien des conditions méthodologiques de ce point de contrôle administratif tout au long de la période d'engagement.</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Au vu des cotations matricielles, sur le poids financier de la</w:t>
            </w:r>
            <w:r>
              <w:rPr>
                <w:szCs w:val="24"/>
              </w:rPr>
              <w:t xml:space="preserve"> mesure (&lt;50%), sur les priorités, les risques, les mesures d’atténuation prévues, cette mesure reçoit une évaluation  favorable peu risquée ; Les mécanismes de mise en œuvre sont connus et maîtrisés par tous les acteurs.</w:t>
            </w:r>
          </w:p>
          <w:p w:rsidR="0035701C" w:rsidRDefault="00FB561B">
            <w:pPr>
              <w:spacing w:before="240" w:after="240"/>
              <w:jc w:val="left"/>
              <w:rPr>
                <w:szCs w:val="24"/>
              </w:rPr>
            </w:pPr>
            <w:r>
              <w:rPr>
                <w:szCs w:val="24"/>
              </w:rPr>
              <w:t xml:space="preserve">- Concernant l'évaluation globale </w:t>
            </w:r>
            <w:r>
              <w:rPr>
                <w:szCs w:val="24"/>
              </w:rPr>
              <w:t>de la mesure : la mesure est contrôlable sous réserve de la mise en place d'actions d'atténuation et des précisions apportées dans les documents de mise en œuvre notamment sur la nécessité de bien vérifier la conformité juridique des bénéficiaires.</w:t>
            </w:r>
          </w:p>
          <w:p w:rsidR="0035701C" w:rsidRDefault="0035701C">
            <w:pPr>
              <w:pStyle w:val="Corpsdetexte"/>
            </w:pPr>
          </w:p>
        </w:tc>
      </w:tr>
    </w:tbl>
    <w:p w:rsidR="0035701C" w:rsidRDefault="00FB561B">
      <w:pPr>
        <w:pStyle w:val="Titre6"/>
      </w:pPr>
      <w:r>
        <w:t>Métho</w:t>
      </w:r>
      <w:r>
        <w:t>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u w:val="single"/>
              </w:rPr>
              <w:t>Notice détaillée relative aux conditions d'admissibilité des investissements d'irrigation.</w:t>
            </w:r>
          </w:p>
          <w:p w:rsidR="0035701C" w:rsidRDefault="00FB561B">
            <w:pPr>
              <w:spacing w:before="240" w:after="240"/>
              <w:jc w:val="left"/>
              <w:rPr>
                <w:szCs w:val="24"/>
              </w:rPr>
            </w:pPr>
            <w:r>
              <w:rPr>
                <w:szCs w:val="24"/>
              </w:rPr>
              <w:t>Ces critères s'appliquent conformément au tableau figurant au § "Conditions d'admissibilité.</w:t>
            </w:r>
          </w:p>
          <w:p w:rsidR="0035701C" w:rsidRDefault="00FB561B">
            <w:pPr>
              <w:spacing w:before="240" w:after="240"/>
              <w:jc w:val="left"/>
              <w:rPr>
                <w:szCs w:val="24"/>
              </w:rPr>
            </w:pPr>
            <w:r>
              <w:rPr>
                <w:szCs w:val="24"/>
                <w:u w:val="single"/>
              </w:rPr>
              <w:t xml:space="preserve">1 - Critères </w:t>
            </w:r>
            <w:r>
              <w:rPr>
                <w:szCs w:val="24"/>
                <w:u w:val="single"/>
              </w:rPr>
              <w:t>relatifs à l’application des articles 45 et 46 du règlement (UE) n°1305/2013</w:t>
            </w:r>
          </w:p>
          <w:p w:rsidR="0035701C" w:rsidRDefault="00FB561B" w:rsidP="00FB561B">
            <w:pPr>
              <w:numPr>
                <w:ilvl w:val="0"/>
                <w:numId w:val="372"/>
              </w:numPr>
              <w:spacing w:before="240" w:after="0"/>
              <w:ind w:hanging="210"/>
              <w:jc w:val="left"/>
              <w:rPr>
                <w:szCs w:val="24"/>
              </w:rPr>
            </w:pPr>
            <w:r>
              <w:rPr>
                <w:szCs w:val="24"/>
              </w:rPr>
              <w:t>En application de l’article 45(1) du règlement (UE) n°1305/2013, pour être admissibles au bénéfice d'un soutien du FEADER, les opérations d'investissement qui sont susceptibles d'</w:t>
            </w:r>
            <w:r>
              <w:rPr>
                <w:szCs w:val="24"/>
              </w:rPr>
              <w:t xml:space="preserve">avoir des effets négatifs sur l'environnement sont précédées d'une évaluation d'impact, en conformité avec le droit spécifique applicable à ce type d'investissements. </w:t>
            </w:r>
            <w:r>
              <w:rPr>
                <w:b/>
                <w:bCs/>
                <w:szCs w:val="24"/>
              </w:rPr>
              <w:t xml:space="preserve">Cette condition devra être vérifiée pour toutes les opérations liées à l’irrigation dans </w:t>
            </w:r>
            <w:r>
              <w:rPr>
                <w:b/>
                <w:bCs/>
                <w:szCs w:val="24"/>
              </w:rPr>
              <w:t xml:space="preserve">le cadre d’un document d’évaluation dont le contenu est défini par l’Autorité de Gestion. </w:t>
            </w:r>
            <w:r>
              <w:rPr>
                <w:szCs w:val="24"/>
              </w:rPr>
              <w:t xml:space="preserve">Ce document présentera obligatoirement les éléments suivants : </w:t>
            </w:r>
          </w:p>
          <w:p w:rsidR="0035701C" w:rsidRDefault="00FB561B" w:rsidP="00FB561B">
            <w:pPr>
              <w:numPr>
                <w:ilvl w:val="1"/>
                <w:numId w:val="372"/>
              </w:numPr>
              <w:spacing w:before="0" w:after="0"/>
              <w:ind w:hanging="244"/>
              <w:jc w:val="left"/>
              <w:rPr>
                <w:szCs w:val="24"/>
              </w:rPr>
            </w:pPr>
            <w:r>
              <w:rPr>
                <w:szCs w:val="24"/>
              </w:rPr>
              <w:t>les modalités de gestion raisonnée de l’irrigation sur l’exploitation,</w:t>
            </w:r>
          </w:p>
          <w:p w:rsidR="0035701C" w:rsidRDefault="00FB561B" w:rsidP="00FB561B">
            <w:pPr>
              <w:numPr>
                <w:ilvl w:val="1"/>
                <w:numId w:val="372"/>
              </w:numPr>
              <w:spacing w:before="0" w:after="0"/>
              <w:ind w:hanging="244"/>
              <w:jc w:val="left"/>
              <w:rPr>
                <w:szCs w:val="24"/>
              </w:rPr>
            </w:pPr>
            <w:r>
              <w:rPr>
                <w:szCs w:val="24"/>
              </w:rPr>
              <w:t>le ciblage de variétés végétale</w:t>
            </w:r>
            <w:r>
              <w:rPr>
                <w:szCs w:val="24"/>
              </w:rPr>
              <w:t>s résilientes au changement climatique,</w:t>
            </w:r>
          </w:p>
          <w:p w:rsidR="0035701C" w:rsidRDefault="00FB561B" w:rsidP="00FB561B">
            <w:pPr>
              <w:numPr>
                <w:ilvl w:val="1"/>
                <w:numId w:val="372"/>
              </w:numPr>
              <w:spacing w:before="0" w:after="0"/>
              <w:ind w:hanging="244"/>
              <w:jc w:val="left"/>
              <w:rPr>
                <w:szCs w:val="24"/>
              </w:rPr>
            </w:pPr>
            <w:r>
              <w:rPr>
                <w:szCs w:val="24"/>
              </w:rPr>
              <w:t>l’adéquation entre les besoins et la disponibilité de la ressource,</w:t>
            </w:r>
          </w:p>
          <w:p w:rsidR="0035701C" w:rsidRDefault="00FB561B" w:rsidP="00FB561B">
            <w:pPr>
              <w:numPr>
                <w:ilvl w:val="1"/>
                <w:numId w:val="372"/>
              </w:numPr>
              <w:spacing w:before="0" w:after="0"/>
              <w:ind w:hanging="244"/>
              <w:jc w:val="left"/>
              <w:rPr>
                <w:szCs w:val="24"/>
              </w:rPr>
            </w:pPr>
            <w:r>
              <w:rPr>
                <w:szCs w:val="24"/>
              </w:rPr>
              <w:t>une évaluation préalable sur les économies d’eau potentielles qu’il peut générer, s’il est réalisé, par rapport au prélèvement brut annuel actuel.</w:t>
            </w:r>
          </w:p>
          <w:p w:rsidR="0035701C" w:rsidRDefault="00FB561B" w:rsidP="00FB561B">
            <w:pPr>
              <w:numPr>
                <w:ilvl w:val="1"/>
                <w:numId w:val="372"/>
              </w:numPr>
              <w:spacing w:before="0" w:after="0"/>
              <w:ind w:hanging="244"/>
              <w:jc w:val="left"/>
              <w:rPr>
                <w:szCs w:val="24"/>
              </w:rPr>
            </w:pPr>
            <w:r>
              <w:rPr>
                <w:szCs w:val="24"/>
              </w:rPr>
              <w:t>une analyse environnementale</w:t>
            </w:r>
          </w:p>
          <w:p w:rsidR="0035701C" w:rsidRDefault="00FB561B" w:rsidP="00FB561B">
            <w:pPr>
              <w:numPr>
                <w:ilvl w:val="1"/>
                <w:numId w:val="372"/>
              </w:numPr>
              <w:spacing w:before="0" w:after="240"/>
              <w:ind w:hanging="244"/>
              <w:jc w:val="left"/>
              <w:rPr>
                <w:szCs w:val="24"/>
              </w:rPr>
            </w:pPr>
            <w:r>
              <w:rPr>
                <w:szCs w:val="24"/>
              </w:rPr>
              <w:t>les besoins de formation ou d’apprentissage des porteurs de projets individuels et des utilisateurs de réseaux collectifs au regard des techniques d’irrigation envisagées (méthode du bilan hydrique au minimum).</w:t>
            </w:r>
          </w:p>
          <w:p w:rsidR="0035701C" w:rsidRDefault="00FB561B">
            <w:pPr>
              <w:spacing w:before="240" w:after="240"/>
              <w:jc w:val="left"/>
              <w:rPr>
                <w:szCs w:val="24"/>
              </w:rPr>
            </w:pPr>
            <w:r>
              <w:rPr>
                <w:szCs w:val="24"/>
              </w:rPr>
              <w:t> </w:t>
            </w:r>
          </w:p>
          <w:p w:rsidR="0035701C" w:rsidRDefault="00FB561B" w:rsidP="00FB561B">
            <w:pPr>
              <w:numPr>
                <w:ilvl w:val="0"/>
                <w:numId w:val="373"/>
              </w:numPr>
              <w:spacing w:before="240" w:after="0"/>
              <w:ind w:hanging="210"/>
              <w:jc w:val="left"/>
              <w:rPr>
                <w:szCs w:val="24"/>
              </w:rPr>
            </w:pPr>
            <w:r>
              <w:rPr>
                <w:szCs w:val="24"/>
              </w:rPr>
              <w:t>Les projets d’</w:t>
            </w:r>
            <w:r>
              <w:rPr>
                <w:szCs w:val="24"/>
              </w:rPr>
              <w:t xml:space="preserve">investissements dans l’irrigation doivent respecter les conditions de l’article 46 du règlement (UE) n° 1305/2013 (cf. § </w:t>
            </w:r>
            <w:r>
              <w:rPr>
                <w:i/>
                <w:iCs/>
                <w:szCs w:val="24"/>
              </w:rPr>
              <w:t>Conditions d'admissibilité</w:t>
            </w:r>
            <w:r>
              <w:rPr>
                <w:szCs w:val="24"/>
              </w:rPr>
              <w:t xml:space="preserve">): </w:t>
            </w:r>
          </w:p>
          <w:p w:rsidR="0035701C" w:rsidRDefault="00FB561B" w:rsidP="00FB561B">
            <w:pPr>
              <w:numPr>
                <w:ilvl w:val="1"/>
                <w:numId w:val="373"/>
              </w:numPr>
              <w:spacing w:before="0" w:after="0"/>
              <w:ind w:hanging="244"/>
              <w:jc w:val="left"/>
              <w:rPr>
                <w:szCs w:val="24"/>
              </w:rPr>
            </w:pPr>
            <w:r>
              <w:rPr>
                <w:szCs w:val="24"/>
              </w:rPr>
              <w:t>Les investissements en matière d’hydraulique et d’irrigation collective ou individuelle localisés à l’int</w:t>
            </w:r>
            <w:r>
              <w:rPr>
                <w:szCs w:val="24"/>
              </w:rPr>
              <w:t>érieur du périmètre du Bassin de Corse sont couvert par un plan de gestion de district hydrographique, à savoir le Schéma Directeur d’Aménagement et de Gestion des Eaux (SDAGE du Bassin de Corse) pour les périodes 2010-2015 et 2016-2021 (cf. cartes dans le</w:t>
            </w:r>
            <w:r>
              <w:rPr>
                <w:szCs w:val="24"/>
              </w:rPr>
              <w:t xml:space="preserve"> document Annexe M4) ; ils satisfont de ce fait au critère d’admissibilité défini à l'article 46(2) du règlement (UE) n°1305/2013,</w:t>
            </w:r>
          </w:p>
          <w:p w:rsidR="0035701C" w:rsidRDefault="00FB561B" w:rsidP="00FB561B">
            <w:pPr>
              <w:numPr>
                <w:ilvl w:val="1"/>
                <w:numId w:val="373"/>
              </w:numPr>
              <w:spacing w:before="0" w:after="240"/>
              <w:ind w:hanging="244"/>
              <w:jc w:val="left"/>
              <w:rPr>
                <w:szCs w:val="24"/>
              </w:rPr>
            </w:pPr>
            <w:r>
              <w:rPr>
                <w:szCs w:val="24"/>
              </w:rPr>
              <w:t xml:space="preserve">Les projets de mobilisation de la ressource hydrique devront être en cohérence avec les orientations et programme de mesures </w:t>
            </w:r>
            <w:r>
              <w:rPr>
                <w:szCs w:val="24"/>
              </w:rPr>
              <w:t>du SDAGE Corse (notamment l’orientation fondamentale n°1 concernant l’équilibre quantitatif de la ressource) ainsi qu’avec les programmes d’intervention éventuellement élaborés, sur les territoires concernés, dans le cadre de démarches concertées de gestio</w:t>
            </w:r>
            <w:r>
              <w:rPr>
                <w:szCs w:val="24"/>
              </w:rPr>
              <w:t>n des milieux (SAGE, Contrat de milieux, Plans de gestion).</w:t>
            </w:r>
          </w:p>
          <w:p w:rsidR="0035701C" w:rsidRDefault="00FB561B">
            <w:pPr>
              <w:spacing w:before="240" w:after="240"/>
              <w:jc w:val="left"/>
              <w:rPr>
                <w:szCs w:val="24"/>
              </w:rPr>
            </w:pPr>
            <w:r>
              <w:rPr>
                <w:szCs w:val="24"/>
              </w:rPr>
              <w:t> </w:t>
            </w:r>
          </w:p>
          <w:p w:rsidR="0035701C" w:rsidRDefault="00FB561B" w:rsidP="00FB561B">
            <w:pPr>
              <w:numPr>
                <w:ilvl w:val="0"/>
                <w:numId w:val="374"/>
              </w:numPr>
              <w:spacing w:before="240" w:after="0"/>
              <w:ind w:hanging="210"/>
              <w:jc w:val="left"/>
              <w:rPr>
                <w:szCs w:val="24"/>
              </w:rPr>
            </w:pPr>
            <w:r>
              <w:rPr>
                <w:szCs w:val="24"/>
              </w:rPr>
              <w:t>Conformément à l’article 46 du règlement (UE) n°1305/2013, les critères d’admissibilité des dépenses considèrent de façon différenciée les opérations localisés dans des périmètres irrigués exist</w:t>
            </w:r>
            <w:r>
              <w:rPr>
                <w:szCs w:val="24"/>
              </w:rPr>
              <w:t>ants et les opérations se traduisant par une augmentation nette de la zone irriguée. En fonction de ces zones, les conditions d’admissibilité tiennent compte selon les cas de l’état quantitatif des masses d’eau où se situe l’origine du prélèvement, et/ou d</w:t>
            </w:r>
            <w:r>
              <w:rPr>
                <w:szCs w:val="24"/>
              </w:rPr>
              <w:t>e l’impact environnemental des opérations.</w:t>
            </w:r>
          </w:p>
          <w:p w:rsidR="0035701C" w:rsidRDefault="00FB561B" w:rsidP="00FB561B">
            <w:pPr>
              <w:numPr>
                <w:ilvl w:val="0"/>
                <w:numId w:val="374"/>
              </w:numPr>
              <w:spacing w:before="0" w:after="0"/>
              <w:ind w:hanging="210"/>
              <w:jc w:val="left"/>
              <w:rPr>
                <w:szCs w:val="24"/>
              </w:rPr>
            </w:pPr>
            <w:r>
              <w:rPr>
                <w:szCs w:val="24"/>
              </w:rPr>
              <w:t xml:space="preserve">Conformément à l'article 46(3) du règlement (UE) n°1305/2013, pour tout investissement impliquant un prélèvement en eau, le porteur de projet devra justifier de la présence d’un système de </w:t>
            </w:r>
            <w:r>
              <w:rPr>
                <w:szCs w:val="24"/>
                <w:u w:val="single"/>
              </w:rPr>
              <w:t>mesure de la consommatio</w:t>
            </w:r>
            <w:r>
              <w:rPr>
                <w:szCs w:val="24"/>
                <w:u w:val="single"/>
              </w:rPr>
              <w:t>n d’eau</w:t>
            </w:r>
            <w:r>
              <w:rPr>
                <w:szCs w:val="24"/>
              </w:rPr>
              <w:t xml:space="preserve"> ou prévoir sa mise en place. Par ailleurs, le porteur de projet devra se conformer à l’obligation d’assurer un </w:t>
            </w:r>
            <w:r>
              <w:rPr>
                <w:szCs w:val="24"/>
                <w:u w:val="single"/>
              </w:rPr>
              <w:t>suivi des consommations</w:t>
            </w:r>
            <w:r>
              <w:rPr>
                <w:szCs w:val="24"/>
              </w:rPr>
              <w:t xml:space="preserve"> qui sera consigné dans un registre. Les données devront être conservées pendant au minimum 3 ans (article L214-8 </w:t>
            </w:r>
            <w:r>
              <w:rPr>
                <w:szCs w:val="24"/>
              </w:rPr>
              <w:t>du code de l’environnement).</w:t>
            </w:r>
          </w:p>
          <w:p w:rsidR="0035701C" w:rsidRDefault="00FB561B" w:rsidP="00FB561B">
            <w:pPr>
              <w:numPr>
                <w:ilvl w:val="0"/>
                <w:numId w:val="374"/>
              </w:numPr>
              <w:spacing w:before="0" w:after="0"/>
              <w:ind w:hanging="210"/>
              <w:jc w:val="left"/>
              <w:rPr>
                <w:szCs w:val="24"/>
              </w:rPr>
            </w:pPr>
            <w:r>
              <w:rPr>
                <w:szCs w:val="24"/>
              </w:rPr>
              <w:t>Conformément à l’article 46(4) du règlement (UE) n°1305/2013, un investissement dans l’</w:t>
            </w:r>
            <w:r>
              <w:rPr>
                <w:szCs w:val="24"/>
                <w:u w:val="single"/>
              </w:rPr>
              <w:t>amélioration d’une installation existante</w:t>
            </w:r>
            <w:r>
              <w:rPr>
                <w:szCs w:val="24"/>
              </w:rPr>
              <w:t xml:space="preserve"> doit permettre des économies d’eau d’un minimum de 5 % par rapport à l’installation existante, sau</w:t>
            </w:r>
            <w:r>
              <w:rPr>
                <w:szCs w:val="24"/>
              </w:rPr>
              <w:t>f s’il s’agit d’un investissement dans la création d'un réservoir ou dans l'utilisation d'eau recyclée, qui n'a pas d'incidence sur une masse d'eau souterraine ou superficielle, et dès lors qu'il n'y a pas d'augmentation de la zone irriguée. Le niveau d’éc</w:t>
            </w:r>
            <w:r>
              <w:rPr>
                <w:szCs w:val="24"/>
              </w:rPr>
              <w:t>onomie potentielle de 5% à 25% de réduction des consommations est établi en relation avec l'évaluation ex-ante. A cette fin, l' AG établit un référentiel précisant les préconisations en relation avec les types d’irrigation et de la qualité des masses d’eau</w:t>
            </w:r>
            <w:r>
              <w:rPr>
                <w:szCs w:val="24"/>
              </w:rPr>
              <w:t>. Cette réduction doit atteindre 50% des économies prévues lorsque le prélèvement se situe dans une masse d’eau dont l’état quantitatif est identifié comme moins que bon.</w:t>
            </w:r>
          </w:p>
          <w:p w:rsidR="0035701C" w:rsidRDefault="00FB561B" w:rsidP="00FB561B">
            <w:pPr>
              <w:numPr>
                <w:ilvl w:val="0"/>
                <w:numId w:val="374"/>
              </w:numPr>
              <w:spacing w:before="0" w:after="240"/>
              <w:ind w:hanging="210"/>
              <w:jc w:val="left"/>
              <w:rPr>
                <w:szCs w:val="24"/>
              </w:rPr>
            </w:pPr>
            <w:r>
              <w:rPr>
                <w:szCs w:val="24"/>
              </w:rPr>
              <w:t>L’</w:t>
            </w:r>
            <w:r>
              <w:rPr>
                <w:szCs w:val="24"/>
                <w:u w:val="single"/>
              </w:rPr>
              <w:t>augmentation de la superficie irriguée</w:t>
            </w:r>
            <w:r>
              <w:rPr>
                <w:szCs w:val="24"/>
              </w:rPr>
              <w:t xml:space="preserve"> n’est possible que lorsque le prélèvement se</w:t>
            </w:r>
            <w:r>
              <w:rPr>
                <w:szCs w:val="24"/>
              </w:rPr>
              <w:t xml:space="preserve"> situe dans une masse d’eau dont l’état quantitatif est identifié comme au minimum bon, et que l’incidence environnementale reste favorable sur la base d'une analyse réalisée selon les disposition de l'art 46.5b, sauf cas particuliers (réservoirs existant </w:t>
            </w:r>
            <w:r>
              <w:rPr>
                <w:szCs w:val="24"/>
              </w:rPr>
              <w:t>avant le 31 octobre 2013).</w:t>
            </w:r>
          </w:p>
          <w:p w:rsidR="0035701C" w:rsidRDefault="00FB561B">
            <w:pPr>
              <w:spacing w:before="240" w:after="240"/>
              <w:ind w:left="1080"/>
              <w:jc w:val="left"/>
              <w:rPr>
                <w:szCs w:val="24"/>
              </w:rPr>
            </w:pPr>
            <w:r>
              <w:rPr>
                <w:szCs w:val="24"/>
              </w:rPr>
              <w:t> </w:t>
            </w:r>
          </w:p>
          <w:p w:rsidR="0035701C" w:rsidRDefault="00FB561B">
            <w:pPr>
              <w:spacing w:before="240" w:after="240"/>
              <w:jc w:val="left"/>
              <w:rPr>
                <w:szCs w:val="24"/>
              </w:rPr>
            </w:pPr>
            <w:r>
              <w:rPr>
                <w:szCs w:val="24"/>
                <w:u w:val="single"/>
              </w:rPr>
              <w:t>2 - Critères en application de la règlementation nationale en vigueur ou établis de façon complémentaire par l’Autorité de Gestion :</w:t>
            </w:r>
          </w:p>
          <w:p w:rsidR="0035701C" w:rsidRDefault="00FB561B">
            <w:pPr>
              <w:spacing w:before="240" w:after="240"/>
              <w:ind w:left="318"/>
              <w:jc w:val="left"/>
              <w:rPr>
                <w:szCs w:val="24"/>
              </w:rPr>
            </w:pPr>
            <w:r>
              <w:rPr>
                <w:szCs w:val="24"/>
              </w:rPr>
              <w:t>Sans préjudice des différentes dispositions communautaires présentées ci-dessus qui s’applique</w:t>
            </w:r>
            <w:r>
              <w:rPr>
                <w:szCs w:val="24"/>
              </w:rPr>
              <w:t>nt aux différentes opérations, les investissements devront également satisfaire aux critères d’admissibilité suivants :</w:t>
            </w:r>
          </w:p>
          <w:p w:rsidR="0035701C" w:rsidRDefault="00FB561B" w:rsidP="00FB561B">
            <w:pPr>
              <w:numPr>
                <w:ilvl w:val="0"/>
                <w:numId w:val="375"/>
              </w:numPr>
              <w:spacing w:before="240" w:after="0"/>
              <w:ind w:hanging="210"/>
              <w:jc w:val="left"/>
              <w:rPr>
                <w:szCs w:val="24"/>
              </w:rPr>
            </w:pPr>
            <w:r>
              <w:rPr>
                <w:szCs w:val="24"/>
              </w:rPr>
              <w:t xml:space="preserve">De façon générale, toutes les opérations liées à un prélèvement en eau, nouveau ou existant, devront être régularisées au titre du code de l’environnement dans le respect des articles </w:t>
            </w:r>
            <w:r>
              <w:rPr>
                <w:i/>
                <w:iCs/>
                <w:szCs w:val="24"/>
              </w:rPr>
              <w:t>L214(1) et suivants et R214(1) et suivants</w:t>
            </w:r>
            <w:r>
              <w:rPr>
                <w:szCs w:val="24"/>
              </w:rPr>
              <w:t>. En outre, les captages sur d</w:t>
            </w:r>
            <w:r>
              <w:rPr>
                <w:szCs w:val="24"/>
              </w:rPr>
              <w:t>es cours d’eau devront avoir reçu un agrément de régularité délivré par l’autorité compétente et seront conçus de façon à ne pas entraver la continuité écologique et garantir le maintien du débit réservé.</w:t>
            </w:r>
          </w:p>
          <w:p w:rsidR="0035701C" w:rsidRDefault="00FB561B" w:rsidP="00FB561B">
            <w:pPr>
              <w:numPr>
                <w:ilvl w:val="0"/>
                <w:numId w:val="375"/>
              </w:numPr>
              <w:spacing w:before="0" w:after="0"/>
              <w:ind w:hanging="210"/>
              <w:jc w:val="left"/>
              <w:rPr>
                <w:szCs w:val="24"/>
              </w:rPr>
            </w:pPr>
            <w:r>
              <w:rPr>
                <w:szCs w:val="24"/>
              </w:rPr>
              <w:t xml:space="preserve">Les captages de ressources souterraines destinés à </w:t>
            </w:r>
            <w:r>
              <w:rPr>
                <w:szCs w:val="24"/>
              </w:rPr>
              <w:t>l’irrigation devront faire l’objet d’études spécifiques confiées à des hydrogéologues afin d’évaluer leur productivité en fonction des capacités des aquifères. Ces études constitueront des pré-requis pour le dimensionnement des périmètres irrigués.</w:t>
            </w:r>
          </w:p>
          <w:p w:rsidR="0035701C" w:rsidRDefault="00FB561B" w:rsidP="00FB561B">
            <w:pPr>
              <w:numPr>
                <w:ilvl w:val="0"/>
                <w:numId w:val="375"/>
              </w:numPr>
              <w:spacing w:before="0" w:after="0"/>
              <w:ind w:hanging="210"/>
              <w:jc w:val="left"/>
              <w:rPr>
                <w:szCs w:val="24"/>
              </w:rPr>
            </w:pPr>
            <w:r>
              <w:rPr>
                <w:szCs w:val="24"/>
              </w:rPr>
              <w:t>Les nou</w:t>
            </w:r>
            <w:r>
              <w:rPr>
                <w:szCs w:val="24"/>
              </w:rPr>
              <w:t>velles demandes de raccordement aux ouvrages et réseaux existant, seront soumises au gestionnaire de ces infrastructures pour approbation. Ces demandes intégreront des éléments sur les débits d’équipement requis et une estimation sur les volumes annuels de</w:t>
            </w:r>
            <w:r>
              <w:rPr>
                <w:szCs w:val="24"/>
              </w:rPr>
              <w:t xml:space="preserve"> consommation comme aide à la décision.</w:t>
            </w:r>
          </w:p>
          <w:p w:rsidR="0035701C" w:rsidRDefault="00FB561B" w:rsidP="00FB561B">
            <w:pPr>
              <w:numPr>
                <w:ilvl w:val="0"/>
                <w:numId w:val="375"/>
              </w:numPr>
              <w:spacing w:before="0" w:after="240"/>
              <w:ind w:hanging="210"/>
              <w:jc w:val="left"/>
              <w:rPr>
                <w:szCs w:val="24"/>
              </w:rPr>
            </w:pPr>
            <w:r>
              <w:rPr>
                <w:szCs w:val="24"/>
              </w:rPr>
              <w:t>Pour les investissements à vocation individuelle, les parcelles desservies auront nécessairement un usage agricole (mesure 4.1.1).</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Définition des investissements non </w:t>
      </w:r>
      <w:r>
        <w:t>productifs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Définition des investissements collectifs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Définition des projets intégrés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Définition et recensement des zones Natura 2000 et des autres zones à haute valeur naturelle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Description du ciblage de l’aide aux exploitations</w:t>
      </w:r>
      <w:r>
        <w:t xml:space="preserve"> conformément à l’analyse  SWOT réalisée en ce qui concerne la priorité visée à l'article 5, paragraphe 2,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Liste des nouvelles exigences imposées par la législation de l’Union dont le respect permet l'octroi d'une aide en</w:t>
      </w:r>
      <w:r>
        <w:t xml:space="preserve"> vertu de l’article 17, paragraphe 6,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S'il y a lieu, normes minimales en matière d’efficacité énergétique visées à l’article 13, point c),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S'il y a lieu, définition des valeurs </w:t>
      </w:r>
      <w:r>
        <w:t>seuils visées à l’article 13, point e),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4"/>
        <w:jc w:val="left"/>
      </w:pPr>
      <w:r>
        <w:t>Caractère vérifiable et contrôlable des mesures et/ou types d'opérations</w:t>
      </w:r>
    </w:p>
    <w:p w:rsidR="0035701C" w:rsidRDefault="00FB561B">
      <w:pPr>
        <w:pStyle w:val="Titre5"/>
        <w:rPr>
          <w:b w:val="0"/>
        </w:rPr>
      </w:pPr>
      <w:r>
        <w:rPr>
          <w:b w:val="0"/>
        </w:rPr>
        <w:t>Risque(s) dans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t xml:space="preserve">Évaluation globale de la </w:t>
      </w:r>
      <w:r>
        <w:rPr>
          <w:b w:val="0"/>
        </w:rPr>
        <w:t>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4"/>
        <w:jc w:val="left"/>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r>
              <w:rPr>
                <w:szCs w:val="24"/>
              </w:rPr>
              <w:br/>
              <w:t> </w:t>
            </w:r>
          </w:p>
          <w:p w:rsidR="0035701C" w:rsidRDefault="0035701C">
            <w:pPr>
              <w:pStyle w:val="Corpsdetexte"/>
            </w:pPr>
          </w:p>
        </w:tc>
      </w:tr>
    </w:tbl>
    <w:p w:rsidR="0035701C" w:rsidRDefault="00FB561B">
      <w:pPr>
        <w:pStyle w:val="Titre4"/>
        <w:jc w:val="left"/>
      </w:pPr>
      <w:r>
        <w:t>Informations spécifiques sur la mesure</w:t>
      </w:r>
    </w:p>
    <w:p w:rsidR="0035701C" w:rsidRDefault="00FB561B">
      <w:r>
        <w:t>Définition des investissements non productifs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sous mesure 4.4.</w:t>
            </w:r>
          </w:p>
          <w:p w:rsidR="0035701C" w:rsidRDefault="0035701C">
            <w:pPr>
              <w:pStyle w:val="Corpsdetexte"/>
            </w:pPr>
          </w:p>
        </w:tc>
      </w:tr>
    </w:tbl>
    <w:p w:rsidR="0035701C" w:rsidRDefault="00FB561B">
      <w:pPr>
        <w:spacing w:after="100"/>
      </w:pPr>
      <w:r>
        <w:t>Définition des investissements collectifs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Cf. Type d'Opération </w:t>
            </w:r>
            <w:r>
              <w:rPr>
                <w:szCs w:val="24"/>
              </w:rPr>
              <w:t>4.1.2.</w:t>
            </w:r>
          </w:p>
          <w:p w:rsidR="0035701C" w:rsidRDefault="0035701C">
            <w:pPr>
              <w:pStyle w:val="Corpsdetexte"/>
              <w:spacing w:after="100"/>
            </w:pPr>
          </w:p>
        </w:tc>
      </w:tr>
    </w:tbl>
    <w:p w:rsidR="0035701C" w:rsidRDefault="00FB561B">
      <w:pPr>
        <w:spacing w:after="100"/>
      </w:pPr>
      <w:r>
        <w:t>Définition des projets intégrés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Projet associant au moins deux opérations relevant au-moins de deux mesures différentes, dont une relevant de l'article 17 du règlement (UE) n°1305/2013 (mesure 4).</w:t>
            </w:r>
          </w:p>
          <w:p w:rsidR="0035701C" w:rsidRDefault="0035701C">
            <w:pPr>
              <w:pStyle w:val="Corpsdetexte"/>
              <w:spacing w:after="100"/>
            </w:pPr>
          </w:p>
        </w:tc>
      </w:tr>
    </w:tbl>
    <w:p w:rsidR="0035701C" w:rsidRDefault="00FB561B">
      <w:pPr>
        <w:spacing w:after="100"/>
      </w:pPr>
      <w:r>
        <w:t xml:space="preserve">Définition et recensement des zones Natura 2000 </w:t>
      </w:r>
      <w:r>
        <w:t>et des autres zones à haute valeur naturelle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Cf. chapitre 8.1 : Conditions générales : § </w:t>
            </w:r>
            <w:r>
              <w:rPr>
                <w:i/>
                <w:iCs/>
                <w:szCs w:val="24"/>
              </w:rPr>
              <w:t>Définition des espaces à haute valeur naturelle</w:t>
            </w:r>
          </w:p>
          <w:p w:rsidR="0035701C" w:rsidRDefault="0035701C">
            <w:pPr>
              <w:pStyle w:val="Corpsdetexte"/>
              <w:spacing w:after="100"/>
            </w:pPr>
          </w:p>
        </w:tc>
      </w:tr>
    </w:tbl>
    <w:p w:rsidR="0035701C" w:rsidRDefault="00FB561B">
      <w:pPr>
        <w:spacing w:after="100"/>
      </w:pPr>
      <w:r>
        <w:t>Description du ciblage de l’aide aux exploitations conformément à l’analyse  SWOT réalisée en ce qui conc</w:t>
      </w:r>
      <w:r>
        <w:t>erne la priorité visée à l'article 5, paragraphe 2,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relevés par l’analyse AFOM permettent de cibler l’orientation des soutiens d’aide publique afin de répondre à la priorité 2 de l’union européenne pour le FEADER</w:t>
            </w:r>
            <w:r>
              <w:rPr>
                <w:szCs w:val="24"/>
              </w:rPr>
              <w:t>, en particulier en vue :</w:t>
            </w:r>
          </w:p>
          <w:p w:rsidR="0035701C" w:rsidRDefault="00FB561B" w:rsidP="00FB561B">
            <w:pPr>
              <w:numPr>
                <w:ilvl w:val="0"/>
                <w:numId w:val="376"/>
              </w:numPr>
              <w:spacing w:before="240" w:after="0"/>
              <w:ind w:hanging="210"/>
              <w:jc w:val="left"/>
              <w:rPr>
                <w:szCs w:val="24"/>
              </w:rPr>
            </w:pPr>
            <w:r>
              <w:rPr>
                <w:szCs w:val="24"/>
              </w:rPr>
              <w:t>d’améliorer la viabilité et les résultats économiques des exploitations agricoles,</w:t>
            </w:r>
          </w:p>
          <w:p w:rsidR="0035701C" w:rsidRDefault="00FB561B" w:rsidP="00FB561B">
            <w:pPr>
              <w:numPr>
                <w:ilvl w:val="0"/>
                <w:numId w:val="376"/>
              </w:numPr>
              <w:spacing w:before="0" w:after="0"/>
              <w:ind w:hanging="210"/>
              <w:jc w:val="left"/>
              <w:rPr>
                <w:szCs w:val="24"/>
              </w:rPr>
            </w:pPr>
            <w:r>
              <w:rPr>
                <w:szCs w:val="24"/>
              </w:rPr>
              <w:t>de renforcer la compétitivité de tous les types de productions agricoles et de l’ensemble des territoires de l’île,</w:t>
            </w:r>
          </w:p>
          <w:p w:rsidR="0035701C" w:rsidRDefault="00FB561B" w:rsidP="00FB561B">
            <w:pPr>
              <w:numPr>
                <w:ilvl w:val="0"/>
                <w:numId w:val="376"/>
              </w:numPr>
              <w:spacing w:before="0" w:after="0"/>
              <w:ind w:hanging="210"/>
              <w:jc w:val="left"/>
              <w:rPr>
                <w:szCs w:val="24"/>
              </w:rPr>
            </w:pPr>
            <w:r>
              <w:rPr>
                <w:szCs w:val="24"/>
              </w:rPr>
              <w:t>d’accroître l’accès au marché l</w:t>
            </w:r>
            <w:r>
              <w:rPr>
                <w:szCs w:val="24"/>
              </w:rPr>
              <w:t>ocal et externe à l’île,</w:t>
            </w:r>
          </w:p>
          <w:p w:rsidR="0035701C" w:rsidRDefault="00FB561B" w:rsidP="00FB561B">
            <w:pPr>
              <w:numPr>
                <w:ilvl w:val="0"/>
                <w:numId w:val="376"/>
              </w:numPr>
              <w:spacing w:before="0" w:after="240"/>
              <w:ind w:hanging="210"/>
              <w:jc w:val="left"/>
              <w:rPr>
                <w:szCs w:val="24"/>
              </w:rPr>
            </w:pPr>
            <w:r>
              <w:rPr>
                <w:szCs w:val="24"/>
              </w:rPr>
              <w:t>et d’encourager l’installation agricole.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xml:space="preserve">Il s’agit ainsi de miser sur différents point forts du tissu économique agricole et de palier les carences essentiellement techniques, de formation ou d’accès au foncier qui ont été </w:t>
            </w:r>
            <w:r>
              <w:rPr>
                <w:szCs w:val="24"/>
              </w:rPr>
              <w:t>relevées.</w:t>
            </w:r>
          </w:p>
          <w:p w:rsidR="0035701C" w:rsidRDefault="00FB561B">
            <w:pPr>
              <w:spacing w:before="240" w:after="240"/>
              <w:jc w:val="left"/>
              <w:rPr>
                <w:szCs w:val="24"/>
              </w:rPr>
            </w:pPr>
            <w:r>
              <w:rPr>
                <w:szCs w:val="24"/>
              </w:rPr>
              <w:t>Cette stratégie se décline notamment par :</w:t>
            </w:r>
          </w:p>
          <w:p w:rsidR="0035701C" w:rsidRDefault="00FB561B" w:rsidP="00FB561B">
            <w:pPr>
              <w:numPr>
                <w:ilvl w:val="0"/>
                <w:numId w:val="377"/>
              </w:numPr>
              <w:spacing w:before="240" w:after="0"/>
              <w:ind w:hanging="210"/>
              <w:jc w:val="left"/>
              <w:rPr>
                <w:szCs w:val="24"/>
              </w:rPr>
            </w:pPr>
            <w:r>
              <w:rPr>
                <w:szCs w:val="24"/>
              </w:rPr>
              <w:t>un soutien à un taux d’intervention bonifié par rapport à l’ancienne programmation pour la constitution et à la restructuration des espaces de productions pour les secteurs de l’élevage qui se révèlent u</w:t>
            </w:r>
            <w:r>
              <w:rPr>
                <w:szCs w:val="24"/>
              </w:rPr>
              <w:t>ne production adaptée au territoire montagneux de l’île et qui offre des opportunités de marché.</w:t>
            </w:r>
          </w:p>
          <w:p w:rsidR="0035701C" w:rsidRDefault="00FB561B" w:rsidP="00FB561B">
            <w:pPr>
              <w:numPr>
                <w:ilvl w:val="0"/>
                <w:numId w:val="377"/>
              </w:numPr>
              <w:spacing w:before="0" w:after="0"/>
              <w:ind w:hanging="210"/>
              <w:jc w:val="left"/>
              <w:rPr>
                <w:szCs w:val="24"/>
              </w:rPr>
            </w:pPr>
            <w:r>
              <w:rPr>
                <w:szCs w:val="24"/>
              </w:rPr>
              <w:t>un soutien au développement et à la pérennisation des productions sous signe officielle de qualité en particulier dans les secteurs de l’arboriculture, de la v</w:t>
            </w:r>
            <w:r>
              <w:rPr>
                <w:szCs w:val="24"/>
              </w:rPr>
              <w:t>iticulture,</w:t>
            </w:r>
          </w:p>
          <w:p w:rsidR="0035701C" w:rsidRDefault="00FB561B" w:rsidP="00FB561B">
            <w:pPr>
              <w:numPr>
                <w:ilvl w:val="0"/>
                <w:numId w:val="377"/>
              </w:numPr>
              <w:spacing w:before="0" w:after="0"/>
              <w:ind w:hanging="210"/>
              <w:jc w:val="left"/>
              <w:rPr>
                <w:szCs w:val="24"/>
              </w:rPr>
            </w:pPr>
            <w:r>
              <w:rPr>
                <w:szCs w:val="24"/>
              </w:rPr>
              <w:t>un couplage de formations souvent obligatoires avec la réalisation des investissements</w:t>
            </w:r>
          </w:p>
          <w:p w:rsidR="0035701C" w:rsidRDefault="00FB561B" w:rsidP="00FB561B">
            <w:pPr>
              <w:numPr>
                <w:ilvl w:val="0"/>
                <w:numId w:val="377"/>
              </w:numPr>
              <w:spacing w:before="0" w:after="0"/>
              <w:ind w:hanging="210"/>
              <w:jc w:val="left"/>
              <w:rPr>
                <w:szCs w:val="24"/>
              </w:rPr>
            </w:pPr>
            <w:r>
              <w:rPr>
                <w:szCs w:val="24"/>
              </w:rPr>
              <w:t>un encouragement à la mise en œuvre de projets collectifs afin de faire progresser un ensemble de producteurs vers une amélioration qualitative et quantitati</w:t>
            </w:r>
            <w:r>
              <w:rPr>
                <w:szCs w:val="24"/>
              </w:rPr>
              <w:t>ve de la production,</w:t>
            </w:r>
          </w:p>
          <w:p w:rsidR="0035701C" w:rsidRDefault="00FB561B" w:rsidP="00FB561B">
            <w:pPr>
              <w:numPr>
                <w:ilvl w:val="0"/>
                <w:numId w:val="377"/>
              </w:numPr>
              <w:spacing w:before="0" w:after="0"/>
              <w:ind w:hanging="210"/>
              <w:jc w:val="left"/>
              <w:rPr>
                <w:szCs w:val="24"/>
              </w:rPr>
            </w:pPr>
            <w:r>
              <w:rPr>
                <w:szCs w:val="24"/>
              </w:rPr>
              <w:t>un soutien accru aux projets relevant de dynamique foncière collective.</w:t>
            </w:r>
          </w:p>
          <w:p w:rsidR="0035701C" w:rsidRDefault="00FB561B" w:rsidP="00FB561B">
            <w:pPr>
              <w:numPr>
                <w:ilvl w:val="0"/>
                <w:numId w:val="377"/>
              </w:numPr>
              <w:spacing w:before="0" w:after="0"/>
              <w:ind w:hanging="210"/>
              <w:jc w:val="left"/>
              <w:rPr>
                <w:szCs w:val="24"/>
              </w:rPr>
            </w:pPr>
            <w:r>
              <w:rPr>
                <w:szCs w:val="24"/>
              </w:rPr>
              <w:t>un accompagnement au maintien de pratiques extensives et favorables sur l’environnement</w:t>
            </w:r>
          </w:p>
          <w:p w:rsidR="0035701C" w:rsidRDefault="00FB561B" w:rsidP="00FB561B">
            <w:pPr>
              <w:numPr>
                <w:ilvl w:val="0"/>
                <w:numId w:val="377"/>
              </w:numPr>
              <w:spacing w:before="0" w:after="0"/>
              <w:ind w:hanging="210"/>
              <w:jc w:val="left"/>
              <w:rPr>
                <w:szCs w:val="24"/>
              </w:rPr>
            </w:pPr>
            <w:r>
              <w:rPr>
                <w:szCs w:val="24"/>
              </w:rPr>
              <w:t>une bonification des opérations en fonction de leur caractère structurant :</w:t>
            </w:r>
            <w:r>
              <w:rPr>
                <w:szCs w:val="24"/>
              </w:rPr>
              <w:t xml:space="preserve"> maintien des vergers et projets de mise en valeur de cultures pérennes, ouverture des milieux destinée à la création de prairies, création de desserte agricole, accompagnement des infrastructures en bâtiment et équipements prioritaires pour chaque filière</w:t>
            </w:r>
            <w:r>
              <w:rPr>
                <w:szCs w:val="24"/>
              </w:rPr>
              <w:t xml:space="preserve"> de production.</w:t>
            </w:r>
          </w:p>
          <w:p w:rsidR="0035701C" w:rsidRDefault="00FB561B" w:rsidP="00FB561B">
            <w:pPr>
              <w:numPr>
                <w:ilvl w:val="0"/>
                <w:numId w:val="377"/>
              </w:numPr>
              <w:spacing w:before="0" w:after="0"/>
              <w:ind w:hanging="210"/>
              <w:jc w:val="left"/>
              <w:rPr>
                <w:szCs w:val="24"/>
              </w:rPr>
            </w:pPr>
            <w:r>
              <w:rPr>
                <w:szCs w:val="24"/>
              </w:rPr>
              <w:t>Une intervention concourant à renforcer l’autonomie fourragère des exploitations,</w:t>
            </w:r>
          </w:p>
          <w:p w:rsidR="0035701C" w:rsidRDefault="00FB561B" w:rsidP="00FB561B">
            <w:pPr>
              <w:numPr>
                <w:ilvl w:val="0"/>
                <w:numId w:val="377"/>
              </w:numPr>
              <w:spacing w:before="0" w:after="240"/>
              <w:ind w:hanging="210"/>
              <w:jc w:val="left"/>
              <w:rPr>
                <w:szCs w:val="24"/>
              </w:rPr>
            </w:pPr>
            <w:r>
              <w:rPr>
                <w:szCs w:val="24"/>
              </w:rPr>
              <w:t>Une déclinaison par filière de production, afin d’adapter au mieux le programme aux spécificités et à la dimension de chacune d’entre elles.</w:t>
            </w:r>
          </w:p>
          <w:p w:rsidR="0035701C" w:rsidRDefault="0035701C">
            <w:pPr>
              <w:pStyle w:val="Corpsdetexte"/>
              <w:spacing w:after="100"/>
            </w:pPr>
          </w:p>
        </w:tc>
      </w:tr>
    </w:tbl>
    <w:p w:rsidR="0035701C" w:rsidRDefault="00FB561B">
      <w:pPr>
        <w:spacing w:after="100"/>
      </w:pPr>
      <w:r>
        <w:t xml:space="preserve">Liste des </w:t>
      </w:r>
      <w:r>
        <w:t>nouvelles exigences imposées par la législation de l’Union dont le respect permet l'octroi d'une aide en vertu de l’article 17, paragraphe 6,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spacing w:after="100"/>
            </w:pPr>
          </w:p>
        </w:tc>
      </w:tr>
    </w:tbl>
    <w:p w:rsidR="0035701C" w:rsidRDefault="00FB561B">
      <w:pPr>
        <w:spacing w:after="100"/>
      </w:pPr>
      <w:r>
        <w:t xml:space="preserve">S'il y a lieu, normes minimales en matière d’efficacité énergétique visées à </w:t>
      </w:r>
      <w:r>
        <w:t>l’article 13, point c),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spacing w:after="100"/>
            </w:pPr>
          </w:p>
        </w:tc>
      </w:tr>
    </w:tbl>
    <w:p w:rsidR="0035701C" w:rsidRDefault="00FB561B">
      <w:pPr>
        <w:spacing w:after="100"/>
      </w:pPr>
      <w:r>
        <w:t>S'il y a lieu, définition des valeurs seuils visées à l’article 13, point e),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spacing w:after="100"/>
            </w:pPr>
          </w:p>
        </w:tc>
      </w:tr>
    </w:tbl>
    <w:p w:rsidR="0035701C" w:rsidRDefault="00FB561B">
      <w:pPr>
        <w:pStyle w:val="Titre4"/>
        <w:spacing w:after="100"/>
        <w:jc w:val="left"/>
      </w:pPr>
      <w:r>
        <w:t>Autres remarques importantes pour comprendre et mettre en œuvre la mesur</w:t>
      </w:r>
      <w:r>
        <w:t>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3"/>
        <w:jc w:val="left"/>
      </w:pPr>
      <w:r>
        <w:br w:type="page"/>
      </w:r>
      <w:bookmarkStart w:id="105" w:name="_Toc256000104"/>
      <w:r>
        <w:t>M05 - Reconstitution du potentiel de production agricole endommagé par des catastrophes naturelles et des événements catastrophiques et mise en place de mesures de prévention appropriées (article 18)</w:t>
      </w:r>
      <w:bookmarkEnd w:id="105"/>
      <w:r>
        <w:t xml:space="preserve"> </w:t>
      </w:r>
    </w:p>
    <w:p w:rsidR="0035701C" w:rsidRDefault="00FB561B">
      <w:pPr>
        <w:pStyle w:val="Titre4"/>
        <w:jc w:val="left"/>
      </w:pPr>
      <w:r>
        <w:t>Base juridique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Règlement (UE) n°1305 /2013 du 17</w:t>
            </w:r>
            <w:r>
              <w:rPr>
                <w:szCs w:val="24"/>
              </w:rPr>
              <w:t xml:space="preserve"> décembre 2013 (FEADER) : Article 19</w:t>
            </w:r>
          </w:p>
          <w:p w:rsidR="0035701C" w:rsidRDefault="0035701C">
            <w:pPr>
              <w:pStyle w:val="Corpsdetexte"/>
            </w:pPr>
          </w:p>
        </w:tc>
      </w:tr>
    </w:tbl>
    <w:p w:rsidR="0035701C" w:rsidRDefault="00FB561B">
      <w:pPr>
        <w:pStyle w:val="Titre4"/>
        <w:jc w:val="left"/>
      </w:pPr>
      <w:r>
        <w:t>Description générale de la mesure, y compris sa logique d'intervention et sa contribution aux domaines prioritaires et à la réalisation des 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L’objet de cette mesure est de soutenir la reconstitut</w:t>
            </w:r>
            <w:r>
              <w:rPr>
                <w:szCs w:val="24"/>
              </w:rPr>
              <w:t>ion du potentiel de production agricole endommagé par des catastrophes naturelles et des événements catastrophiques et la mise en place de mesures de prévention appropriée.</w:t>
            </w:r>
          </w:p>
          <w:p w:rsidR="0035701C" w:rsidRDefault="00FB561B">
            <w:pPr>
              <w:spacing w:before="240" w:after="240"/>
              <w:jc w:val="left"/>
              <w:rPr>
                <w:szCs w:val="24"/>
              </w:rPr>
            </w:pPr>
            <w:r>
              <w:rPr>
                <w:szCs w:val="24"/>
              </w:rPr>
              <w:t>La mesure répond ainsi spécifiquement au besoin n° 17 Gérer les risques et est cibl</w:t>
            </w:r>
            <w:r>
              <w:rPr>
                <w:szCs w:val="24"/>
              </w:rPr>
              <w:t>ée sur le domaine prioritaire 3 b) : promouvoir le soutien à la prévention et à la gestion des risques au niveau des exploitations.</w:t>
            </w:r>
          </w:p>
          <w:p w:rsidR="0035701C" w:rsidRDefault="00FB561B">
            <w:pPr>
              <w:spacing w:before="240" w:after="240"/>
              <w:jc w:val="left"/>
              <w:rPr>
                <w:szCs w:val="24"/>
              </w:rPr>
            </w:pPr>
            <w:r>
              <w:rPr>
                <w:szCs w:val="24"/>
              </w:rPr>
              <w:t>Il s’agit de lutter contre les risques liés à des catastrophes ou évènements naturels et aux risques climatiques qui nuisent</w:t>
            </w:r>
            <w:r>
              <w:rPr>
                <w:szCs w:val="24"/>
              </w:rPr>
              <w:t xml:space="preserve"> à la pérennité et à la compétitivité économique du secteur agricole, en affectant les outils de production.</w:t>
            </w:r>
          </w:p>
          <w:p w:rsidR="0035701C" w:rsidRDefault="00FB561B">
            <w:pPr>
              <w:spacing w:before="240" w:after="240"/>
              <w:jc w:val="left"/>
              <w:rPr>
                <w:szCs w:val="24"/>
              </w:rPr>
            </w:pPr>
            <w:r>
              <w:rPr>
                <w:szCs w:val="24"/>
              </w:rPr>
              <w:t>Au démarrage de la programmation, la mesure est mobilisée sur un seul type d’opération  qui concerne la restauration des vergers de châtaigniers fo</w:t>
            </w:r>
            <w:r>
              <w:rPr>
                <w:szCs w:val="24"/>
              </w:rPr>
              <w:t>rtement affectés par un parasite d’origine continentale (TO 5.2 – Restauration des châtaigneraies). En effet, ces vergers traditionnels de montagne, au peuplement lâche (&lt; 100 arbres/ha) et ancien, sont attaqués par un insecte, le Cynips (Dryocosmus Kuriph</w:t>
            </w:r>
            <w:r>
              <w:rPr>
                <w:szCs w:val="24"/>
              </w:rPr>
              <w:t>ilus) dont la progression sur le territoire corse n’a pu être contenue, malgré une stratégie de lutte biologique qui a été mise en place.</w:t>
            </w:r>
          </w:p>
          <w:p w:rsidR="0035701C" w:rsidRDefault="00FB561B">
            <w:pPr>
              <w:spacing w:before="240" w:after="240"/>
              <w:jc w:val="left"/>
              <w:rPr>
                <w:szCs w:val="24"/>
              </w:rPr>
            </w:pPr>
            <w:r>
              <w:rPr>
                <w:szCs w:val="24"/>
              </w:rPr>
              <w:t>En 2014, la quasi-totalité des zones de production du verger sont affectées par l’infestation du cynips selon la carte</w:t>
            </w:r>
            <w:r>
              <w:rPr>
                <w:szCs w:val="24"/>
              </w:rPr>
              <w:t xml:space="preserve"> annexée à la présente mesure (cf. document joint au programme : Annexe M5 - carte des zones d'infestation - FREDON 2014).</w:t>
            </w:r>
          </w:p>
          <w:p w:rsidR="0035701C" w:rsidRDefault="00FB561B">
            <w:pPr>
              <w:spacing w:before="240" w:after="240"/>
              <w:jc w:val="left"/>
              <w:rPr>
                <w:szCs w:val="24"/>
              </w:rPr>
            </w:pPr>
            <w:r>
              <w:rPr>
                <w:szCs w:val="24"/>
              </w:rPr>
              <w:t>La FREDON (fédération régionale de défense contre les organismes nuisibles) qui est reconnue comme Organisme à Vocation Sanitaire (OV</w:t>
            </w:r>
            <w:r>
              <w:rPr>
                <w:szCs w:val="24"/>
              </w:rPr>
              <w:t>S) dans le domaine Végétal pour la région Corse par arrêté ministériel, est l’autorité publique compétente apte à reconnaitre formellement l’état d’infestation parasitaire conformément aux exigences de l’article 18.3 du règlement (UE) 1305/2013.</w:t>
            </w:r>
          </w:p>
          <w:p w:rsidR="0035701C" w:rsidRDefault="00FB561B">
            <w:pPr>
              <w:spacing w:before="240" w:after="240"/>
              <w:jc w:val="left"/>
              <w:rPr>
                <w:szCs w:val="24"/>
              </w:rPr>
            </w:pPr>
            <w:r>
              <w:rPr>
                <w:szCs w:val="24"/>
              </w:rPr>
              <w:t xml:space="preserve">Le </w:t>
            </w:r>
            <w:r>
              <w:rPr>
                <w:szCs w:val="24"/>
              </w:rPr>
              <w:t>potentiel de production du verger est affecté pour chaque producteur entre 100% de perte en début d’infestation et de 30% à 50%, après un laps de temps d’une dizaine d’années nécessaire à la phase de lutte biologique engagée contre le parasite.</w:t>
            </w:r>
          </w:p>
          <w:p w:rsidR="0035701C" w:rsidRDefault="00FB561B">
            <w:pPr>
              <w:spacing w:before="240" w:after="240"/>
              <w:jc w:val="left"/>
              <w:rPr>
                <w:szCs w:val="24"/>
              </w:rPr>
            </w:pPr>
            <w:r>
              <w:rPr>
                <w:szCs w:val="24"/>
              </w:rPr>
              <w:t>Pour mainte</w:t>
            </w:r>
            <w:r>
              <w:rPr>
                <w:szCs w:val="24"/>
              </w:rPr>
              <w:t>nir à termes la sauvegarde de ces habitats, il s’agit donc essentiellement d’accentuer la rénovation des vergers abandonnés, pour éviter leur dépérissement et éventuellement de permettre la plantation additionnelle de nouvelles surfaces de châtaigniers. Ce</w:t>
            </w:r>
            <w:r>
              <w:rPr>
                <w:szCs w:val="24"/>
              </w:rPr>
              <w:t>t objectif étant essentiellement environnemental, puisque la rentabilité de telles rénovations ne peut être atteinte à court termes, il convient de soutenir ces opérations qui constituent de fait des investissements de restauration partielle et à moyen ter</w:t>
            </w:r>
            <w:r>
              <w:rPr>
                <w:szCs w:val="24"/>
              </w:rPr>
              <w:t>mes du potentiel de production, et de la rentabilité des exploitations castanéicoles.</w:t>
            </w:r>
          </w:p>
          <w:p w:rsidR="0035701C" w:rsidRDefault="00FB561B">
            <w:pPr>
              <w:spacing w:before="240" w:after="240"/>
              <w:jc w:val="left"/>
              <w:rPr>
                <w:szCs w:val="24"/>
              </w:rPr>
            </w:pPr>
            <w:r>
              <w:rPr>
                <w:szCs w:val="24"/>
              </w:rPr>
              <w:t>Dans la mesure où cette opération agit également sur le maintien des habitats à châtaigniers inscrits à l’annexe I de la directive 92/43, elle répond au besoin n°16 (Accr</w:t>
            </w:r>
            <w:r>
              <w:rPr>
                <w:szCs w:val="24"/>
              </w:rPr>
              <w:t>oître la contribution de l’agriculture à la valorisation du patrimoine naturel, au maintien de la biodiversité, à la qualité des paysages agricoles) et contribue indirectement à la priorité 4A) (restaurer, préserver et renforcer la biodiversité ainsi que l</w:t>
            </w:r>
            <w:r>
              <w:rPr>
                <w:szCs w:val="24"/>
              </w:rPr>
              <w:t>es paysages européens).</w:t>
            </w:r>
          </w:p>
          <w:p w:rsidR="0035701C" w:rsidRDefault="0035701C">
            <w:pPr>
              <w:pStyle w:val="Corpsdetexte"/>
            </w:pPr>
          </w:p>
        </w:tc>
      </w:tr>
    </w:tbl>
    <w:p w:rsidR="0035701C" w:rsidRDefault="00FB561B">
      <w:pPr>
        <w:pStyle w:val="Titre4"/>
        <w:jc w:val="left"/>
      </w:pPr>
      <w:r>
        <w:t>Portée, niveau du soutien, bénéficiaires admissibles et, le cas échéant, méthodologie pour le calcul du montant ou du taux d'aide selon une ventilation par sous-mesure et/ou type d'opération, si nécessaire. Pour chaque type d'opér</w:t>
      </w:r>
      <w:r>
        <w:t>ation, spécification des coûts admissibles, des conditions d'admissibilité, des montants et taux d'aide applicables et des principes en matière de définition des critères de sélection</w:t>
      </w:r>
    </w:p>
    <w:p w:rsidR="0035701C" w:rsidRDefault="00FB561B">
      <w:pPr>
        <w:pStyle w:val="Titre5"/>
        <w:rPr>
          <w:b w:val="0"/>
        </w:rPr>
      </w:pPr>
      <w:r>
        <w:rPr>
          <w:b w:val="0"/>
        </w:rPr>
        <w:t>5.2 - Restauration des châtaigneraies</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378"/>
              </w:numPr>
            </w:pPr>
            <w:r>
              <w:t>Aide aux investissem</w:t>
            </w:r>
            <w:r>
              <w:t>ents destinés à la réhabilitation des terres agricoles et à la reconstitution du potentiel de production qui a été endommagé par des catastrophes naturelles, des phénomènes climatiques défavorables et des événements catastrophiques</w:t>
            </w:r>
          </w:p>
        </w:tc>
      </w:tr>
    </w:tbl>
    <w:p w:rsidR="0035701C" w:rsidRDefault="00FB561B">
      <w:pPr>
        <w:pStyle w:val="Titre6"/>
      </w:pPr>
      <w:r>
        <w:t xml:space="preserve">Description du type </w:t>
      </w:r>
      <w:r>
        <w:t>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L’intervention vise par la réhabilitation et/ou la plantation additionnelle de surface de châtaigneraies à la sauvegarde et au maintien à moyen termes (10 ans) du potentiel de production, en palliant la baisse de productivité consécutive aux at</w:t>
            </w:r>
            <w:r>
              <w:rPr>
                <w:szCs w:val="24"/>
              </w:rPr>
              <w:t>taques du cynips. Cette opération contribue également au maintien des habitats à châtaigniers inscrits à l’annexe I de la directive 92/43, dans le contexte de cette catastrophe parasitaire.</w:t>
            </w:r>
          </w:p>
          <w:p w:rsidR="0035701C" w:rsidRDefault="00FB561B">
            <w:pPr>
              <w:spacing w:before="240" w:after="240"/>
              <w:jc w:val="left"/>
              <w:rPr>
                <w:szCs w:val="24"/>
              </w:rPr>
            </w:pPr>
            <w:r>
              <w:rPr>
                <w:szCs w:val="24"/>
              </w:rPr>
              <w:t>La prolifération du ravageur représente une menace économique maje</w:t>
            </w:r>
            <w:r>
              <w:rPr>
                <w:szCs w:val="24"/>
              </w:rPr>
              <w:t>ure pour les exploitants du fait de l’effondrement de la production castanéicole consécutif à la prolifération initiale du ravageur.</w:t>
            </w:r>
          </w:p>
          <w:p w:rsidR="0035701C" w:rsidRDefault="00FB561B">
            <w:pPr>
              <w:spacing w:before="240" w:after="240"/>
              <w:jc w:val="left"/>
              <w:rPr>
                <w:szCs w:val="24"/>
              </w:rPr>
            </w:pPr>
            <w:r>
              <w:rPr>
                <w:szCs w:val="24"/>
              </w:rPr>
              <w:t>L’insecte provoque la formation de galles entravant le développement normal de la pousse. Au lieu de porter des feuilles, d</w:t>
            </w:r>
            <w:r>
              <w:rPr>
                <w:szCs w:val="24"/>
              </w:rPr>
              <w:t>es fleurs et des fruits, le rameau ne donne qu’une courte pousse avec quelques feuilles difformes.</w:t>
            </w:r>
          </w:p>
          <w:p w:rsidR="0035701C" w:rsidRDefault="00FB561B">
            <w:pPr>
              <w:spacing w:before="240" w:after="240"/>
              <w:jc w:val="left"/>
              <w:rPr>
                <w:szCs w:val="24"/>
              </w:rPr>
            </w:pPr>
            <w:r>
              <w:rPr>
                <w:szCs w:val="24"/>
              </w:rPr>
              <w:t>On observe ainsi progressivement une perte de vigueur et la mortalité de rameaux, et pour les châtaigniers affaiblis du fait de leur abandon, cette infestati</w:t>
            </w:r>
            <w:r>
              <w:rPr>
                <w:szCs w:val="24"/>
              </w:rPr>
              <w:t>on peut contribuer au dépérissement des arbres et à la disparition de cet habitat.</w:t>
            </w:r>
          </w:p>
          <w:p w:rsidR="0035701C" w:rsidRDefault="00FB561B">
            <w:pPr>
              <w:spacing w:before="240" w:after="240"/>
              <w:jc w:val="left"/>
              <w:rPr>
                <w:szCs w:val="24"/>
              </w:rPr>
            </w:pPr>
            <w:r>
              <w:rPr>
                <w:szCs w:val="24"/>
              </w:rPr>
              <w:t>La diminution de croissance est accompagnée d’une perte durable de rendement en fruits. Au départ l’infestation provoque la disparition de 100% de la récolte durant plusieur</w:t>
            </w:r>
            <w:r>
              <w:rPr>
                <w:szCs w:val="24"/>
              </w:rPr>
              <w:t>s années. Au terme d’une lutte biologique engagée avec le parasitoïde du cynips (torymus chinensis), il est espéré que la baisse de production se stabilise entre moins 30% à moins 50% de la récolte initiale.</w:t>
            </w:r>
          </w:p>
          <w:p w:rsidR="0035701C" w:rsidRDefault="00FB561B">
            <w:pPr>
              <w:spacing w:before="240" w:after="240"/>
              <w:jc w:val="left"/>
              <w:rPr>
                <w:szCs w:val="24"/>
              </w:rPr>
            </w:pPr>
            <w:r>
              <w:rPr>
                <w:szCs w:val="24"/>
              </w:rPr>
              <w:t xml:space="preserve">Pour la perte directe de revenu des exploitants </w:t>
            </w:r>
            <w:r>
              <w:rPr>
                <w:szCs w:val="24"/>
              </w:rPr>
              <w:t>la Collectivité Territoriale de Corse a notifié une indemnisation des castanéiculteurs consécutivement à l’infestation des vergers (Régime d’aide SA.40032 - 2014/XA.</w:t>
            </w:r>
          </w:p>
          <w:p w:rsidR="0035701C" w:rsidRDefault="00FB561B">
            <w:pPr>
              <w:spacing w:before="240" w:after="240"/>
              <w:jc w:val="left"/>
              <w:rPr>
                <w:szCs w:val="24"/>
              </w:rPr>
            </w:pPr>
            <w:r>
              <w:rPr>
                <w:szCs w:val="24"/>
              </w:rPr>
              <w:t>Il s’agit par cette mesure, d’augmenter le potentiel de terrains entretenus et cultivés po</w:t>
            </w:r>
            <w:r>
              <w:rPr>
                <w:szCs w:val="24"/>
              </w:rPr>
              <w:t>ur palier la perte de productivité des arbres.</w:t>
            </w:r>
          </w:p>
          <w:p w:rsidR="0035701C" w:rsidRDefault="00FB561B">
            <w:pPr>
              <w:spacing w:before="240" w:after="240"/>
              <w:jc w:val="left"/>
              <w:rPr>
                <w:szCs w:val="24"/>
              </w:rPr>
            </w:pPr>
            <w:r>
              <w:rPr>
                <w:szCs w:val="24"/>
              </w:rPr>
              <w:t>Ces rénovations ou plantations additionnelles doivent être réalisées au bénéfice des associations foncières et des producteurs de la filière castanéicole présentant une traçabilité de leurs surfaces et de leur</w:t>
            </w:r>
            <w:r>
              <w:rPr>
                <w:szCs w:val="24"/>
              </w:rPr>
              <w:t xml:space="preserve"> production, de telle sorte qu’ils disposent au terme de 10 ans, d’une surface en vergers susceptibles de compenser en partie cette baisse de la productivité.</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i/>
                <w:iCs/>
                <w:szCs w:val="24"/>
              </w:rPr>
              <w:t>Engagement spécifiques</w:t>
            </w:r>
          </w:p>
          <w:p w:rsidR="0035701C" w:rsidRDefault="00FB561B" w:rsidP="00FB561B">
            <w:pPr>
              <w:numPr>
                <w:ilvl w:val="0"/>
                <w:numId w:val="379"/>
              </w:numPr>
              <w:spacing w:before="240" w:after="240"/>
              <w:ind w:hanging="210"/>
              <w:jc w:val="left"/>
              <w:rPr>
                <w:szCs w:val="24"/>
              </w:rPr>
            </w:pPr>
            <w:r>
              <w:rPr>
                <w:szCs w:val="24"/>
              </w:rPr>
              <w:t>satisfaire aux obligations d'entretien et aux prescriptions techniques v</w:t>
            </w:r>
            <w:r>
              <w:rPr>
                <w:szCs w:val="24"/>
              </w:rPr>
              <w:t>alidés par l’Autorité de Gestion qui conditionnent la bonne mise en œuvre de l’opération.</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versée sous forme de 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Code Rural</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380"/>
              </w:numPr>
              <w:spacing w:before="0" w:after="0"/>
              <w:ind w:hanging="210"/>
              <w:jc w:val="left"/>
              <w:rPr>
                <w:szCs w:val="24"/>
              </w:rPr>
            </w:pPr>
            <w:r>
              <w:rPr>
                <w:szCs w:val="24"/>
              </w:rPr>
              <w:t xml:space="preserve">Les </w:t>
            </w:r>
            <w:r>
              <w:rPr>
                <w:szCs w:val="24"/>
              </w:rPr>
              <w:t>agriculteurs et les groupements d’agriculteurs</w:t>
            </w:r>
          </w:p>
          <w:p w:rsidR="0035701C" w:rsidRDefault="00FB561B" w:rsidP="00FB561B">
            <w:pPr>
              <w:numPr>
                <w:ilvl w:val="0"/>
                <w:numId w:val="380"/>
              </w:numPr>
              <w:spacing w:before="0" w:after="240"/>
              <w:ind w:hanging="210"/>
              <w:jc w:val="left"/>
              <w:rPr>
                <w:szCs w:val="24"/>
              </w:rPr>
            </w:pPr>
            <w:r>
              <w:rPr>
                <w:szCs w:val="24"/>
              </w:rPr>
              <w:t>Les associations foncières autorisées en application des dispositions du 2ième alinéa de l’article 18-2 du règlement 1305/2013.</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dépenses éligibles concernent :</w:t>
            </w:r>
          </w:p>
          <w:p w:rsidR="0035701C" w:rsidRDefault="00FB561B">
            <w:pPr>
              <w:spacing w:before="240" w:after="240"/>
              <w:jc w:val="left"/>
              <w:rPr>
                <w:szCs w:val="24"/>
              </w:rPr>
            </w:pPr>
            <w:r>
              <w:rPr>
                <w:szCs w:val="24"/>
              </w:rPr>
              <w:t xml:space="preserve">Sur la base de devis de </w:t>
            </w:r>
            <w:r>
              <w:rPr>
                <w:szCs w:val="24"/>
              </w:rPr>
              <w:t>travaux :</w:t>
            </w:r>
          </w:p>
          <w:p w:rsidR="0035701C" w:rsidRDefault="00FB561B" w:rsidP="00FB561B">
            <w:pPr>
              <w:numPr>
                <w:ilvl w:val="0"/>
                <w:numId w:val="381"/>
              </w:numPr>
              <w:spacing w:before="240" w:after="0"/>
              <w:ind w:hanging="244"/>
              <w:jc w:val="left"/>
              <w:rPr>
                <w:szCs w:val="24"/>
              </w:rPr>
            </w:pPr>
            <w:r>
              <w:rPr>
                <w:szCs w:val="24"/>
              </w:rPr>
              <w:t>les travaux de réalisation de l’accès sur le parcellaire de l’exploitant (piste) en lien direct avec l’investissement projeté, et hors coût d'entretien.</w:t>
            </w:r>
          </w:p>
          <w:p w:rsidR="0035701C" w:rsidRDefault="00FB561B" w:rsidP="00FB561B">
            <w:pPr>
              <w:numPr>
                <w:ilvl w:val="0"/>
                <w:numId w:val="381"/>
              </w:numPr>
              <w:spacing w:before="0" w:after="0"/>
              <w:ind w:hanging="244"/>
              <w:jc w:val="left"/>
              <w:rPr>
                <w:szCs w:val="24"/>
              </w:rPr>
            </w:pPr>
            <w:r>
              <w:rPr>
                <w:szCs w:val="24"/>
              </w:rPr>
              <w:t>L’achat de terrain, limité à 10% de l’assiette éligible de l’opération,</w:t>
            </w:r>
          </w:p>
          <w:p w:rsidR="0035701C" w:rsidRDefault="00FB561B" w:rsidP="00FB561B">
            <w:pPr>
              <w:numPr>
                <w:ilvl w:val="0"/>
                <w:numId w:val="381"/>
              </w:numPr>
              <w:spacing w:before="0" w:after="0"/>
              <w:ind w:hanging="244"/>
              <w:jc w:val="left"/>
              <w:rPr>
                <w:szCs w:val="24"/>
              </w:rPr>
            </w:pPr>
            <w:r>
              <w:rPr>
                <w:szCs w:val="24"/>
              </w:rPr>
              <w:t xml:space="preserve">les autres achats </w:t>
            </w:r>
            <w:r>
              <w:rPr>
                <w:szCs w:val="24"/>
              </w:rPr>
              <w:t>liés à la mise en valeur (fertilisation, plants...),</w:t>
            </w:r>
          </w:p>
          <w:p w:rsidR="0035701C" w:rsidRDefault="00FB561B" w:rsidP="00FB561B">
            <w:pPr>
              <w:numPr>
                <w:ilvl w:val="0"/>
                <w:numId w:val="381"/>
              </w:numPr>
              <w:spacing w:before="0" w:after="240"/>
              <w:ind w:hanging="244"/>
              <w:jc w:val="left"/>
              <w:rPr>
                <w:szCs w:val="24"/>
              </w:rPr>
            </w:pPr>
            <w:r>
              <w:rPr>
                <w:szCs w:val="24"/>
              </w:rPr>
              <w:t>Les frais généraux liés à l’opération : la maîtrise d’œuvre dans la limite de 10% des dépenses totales éligibles de l’opération.</w:t>
            </w:r>
          </w:p>
          <w:p w:rsidR="0035701C" w:rsidRDefault="00FB561B">
            <w:pPr>
              <w:spacing w:before="240" w:after="240"/>
              <w:jc w:val="left"/>
              <w:rPr>
                <w:szCs w:val="24"/>
              </w:rPr>
            </w:pPr>
            <w:r>
              <w:rPr>
                <w:szCs w:val="24"/>
              </w:rPr>
              <w:t>Sur la base de coûts simplifiés selon de tableau repris à la section « mét</w:t>
            </w:r>
            <w:r>
              <w:rPr>
                <w:szCs w:val="24"/>
              </w:rPr>
              <w:t>hode de calcul du montant »:</w:t>
            </w:r>
          </w:p>
          <w:p w:rsidR="0035701C" w:rsidRDefault="00FB561B" w:rsidP="00FB561B">
            <w:pPr>
              <w:numPr>
                <w:ilvl w:val="0"/>
                <w:numId w:val="382"/>
              </w:numPr>
              <w:spacing w:before="240" w:after="0"/>
              <w:ind w:hanging="244"/>
              <w:jc w:val="left"/>
              <w:rPr>
                <w:szCs w:val="24"/>
              </w:rPr>
            </w:pPr>
            <w:r>
              <w:rPr>
                <w:szCs w:val="24"/>
              </w:rPr>
              <w:t>le débroussaillement, les élagages, les surgreffages et  les regarnis,</w:t>
            </w:r>
          </w:p>
          <w:p w:rsidR="0035701C" w:rsidRDefault="00FB561B" w:rsidP="00FB561B">
            <w:pPr>
              <w:numPr>
                <w:ilvl w:val="0"/>
                <w:numId w:val="382"/>
              </w:numPr>
              <w:spacing w:before="0" w:after="0"/>
              <w:ind w:hanging="244"/>
              <w:jc w:val="left"/>
              <w:rPr>
                <w:szCs w:val="24"/>
              </w:rPr>
            </w:pPr>
            <w:r>
              <w:rPr>
                <w:szCs w:val="24"/>
              </w:rPr>
              <w:t>la plantation d’arbres jeunes, y compris la préparation du sol,</w:t>
            </w:r>
          </w:p>
          <w:p w:rsidR="0035701C" w:rsidRDefault="00FB561B" w:rsidP="00FB561B">
            <w:pPr>
              <w:numPr>
                <w:ilvl w:val="0"/>
                <w:numId w:val="382"/>
              </w:numPr>
              <w:spacing w:before="0" w:after="0"/>
              <w:ind w:hanging="244"/>
              <w:jc w:val="left"/>
              <w:rPr>
                <w:szCs w:val="24"/>
              </w:rPr>
            </w:pPr>
            <w:r>
              <w:rPr>
                <w:szCs w:val="24"/>
              </w:rPr>
              <w:t>l’élimination des rémanents de taille</w:t>
            </w:r>
          </w:p>
          <w:p w:rsidR="0035701C" w:rsidRDefault="00FB561B" w:rsidP="00FB561B">
            <w:pPr>
              <w:numPr>
                <w:ilvl w:val="0"/>
                <w:numId w:val="382"/>
              </w:numPr>
              <w:spacing w:before="0" w:after="240"/>
              <w:ind w:hanging="244"/>
              <w:jc w:val="left"/>
              <w:rPr>
                <w:szCs w:val="24"/>
              </w:rPr>
            </w:pPr>
            <w:r>
              <w:rPr>
                <w:szCs w:val="24"/>
              </w:rPr>
              <w:t>l’installation de clôtures et de portails afin de prot</w:t>
            </w:r>
            <w:r>
              <w:rPr>
                <w:szCs w:val="24"/>
              </w:rPr>
              <w:t>éger les vergers,</w:t>
            </w:r>
          </w:p>
          <w:p w:rsidR="0035701C" w:rsidRDefault="00FB561B">
            <w:pPr>
              <w:spacing w:before="240" w:after="240"/>
              <w:jc w:val="left"/>
              <w:rPr>
                <w:szCs w:val="24"/>
              </w:rPr>
            </w:pPr>
            <w:r>
              <w:rPr>
                <w:szCs w:val="24"/>
              </w:rPr>
              <w:t>Ces investissements peuvent être réalisés soit en prestation de service, soit au moyen de l’intervention propre du bénéficiaire de l’opération, excepté pour la réalisation des accès.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Sont éligibles :</w:t>
            </w:r>
          </w:p>
          <w:p w:rsidR="0035701C" w:rsidRDefault="00FB561B" w:rsidP="00FB561B">
            <w:pPr>
              <w:numPr>
                <w:ilvl w:val="0"/>
                <w:numId w:val="383"/>
              </w:numPr>
              <w:spacing w:before="240" w:after="0"/>
              <w:ind w:hanging="210"/>
              <w:jc w:val="left"/>
              <w:rPr>
                <w:szCs w:val="24"/>
              </w:rPr>
            </w:pPr>
            <w:r>
              <w:rPr>
                <w:szCs w:val="24"/>
              </w:rPr>
              <w:t xml:space="preserve">les </w:t>
            </w:r>
            <w:r>
              <w:rPr>
                <w:szCs w:val="24"/>
              </w:rPr>
              <w:t>agriculteurs et groupements d’agriculteurs détenteurs de surfaces en châtaigniers figurant à leur déclaration de surface de 2014 à l’exception des jeunes agriculteurs dont la première déclaration est postérieure à cette date.</w:t>
            </w:r>
          </w:p>
          <w:p w:rsidR="0035701C" w:rsidRDefault="00FB561B" w:rsidP="00FB561B">
            <w:pPr>
              <w:numPr>
                <w:ilvl w:val="0"/>
                <w:numId w:val="383"/>
              </w:numPr>
              <w:spacing w:before="0" w:after="240"/>
              <w:ind w:hanging="210"/>
              <w:jc w:val="left"/>
              <w:rPr>
                <w:szCs w:val="24"/>
              </w:rPr>
            </w:pPr>
            <w:r>
              <w:rPr>
                <w:szCs w:val="24"/>
              </w:rPr>
              <w:t>les associations foncières aut</w:t>
            </w:r>
            <w:r>
              <w:rPr>
                <w:szCs w:val="24"/>
              </w:rPr>
              <w:t>orisées, dès lors que l’utilisation de ces terrains est contractualisée avec des agriculteurs ou groupements d’agriculteurs ;</w:t>
            </w:r>
          </w:p>
          <w:p w:rsidR="0035701C" w:rsidRDefault="00FB561B">
            <w:pPr>
              <w:spacing w:before="240" w:after="240"/>
              <w:jc w:val="left"/>
              <w:rPr>
                <w:szCs w:val="24"/>
              </w:rPr>
            </w:pPr>
            <w:r>
              <w:rPr>
                <w:szCs w:val="24"/>
              </w:rPr>
              <w:t>En outre :</w:t>
            </w:r>
          </w:p>
          <w:p w:rsidR="0035701C" w:rsidRDefault="00FB561B" w:rsidP="00FB561B">
            <w:pPr>
              <w:numPr>
                <w:ilvl w:val="0"/>
                <w:numId w:val="384"/>
              </w:numPr>
              <w:spacing w:before="240" w:after="0"/>
              <w:ind w:hanging="210"/>
              <w:jc w:val="left"/>
              <w:rPr>
                <w:szCs w:val="24"/>
              </w:rPr>
            </w:pPr>
            <w:r>
              <w:rPr>
                <w:szCs w:val="24"/>
              </w:rPr>
              <w:t>Le potentiel de production de l’exploitation directement ou indirectement bénéficiaire (cas des associations foncières)</w:t>
            </w:r>
            <w:r>
              <w:rPr>
                <w:szCs w:val="24"/>
              </w:rPr>
              <w:t xml:space="preserve"> devra être affecté à plus de 30%. Compte tenu d’une baisse de production consécutive à l’infestation se situant entre 100% à 50%. Cette condition est vérifiée dès lors que plus de 60% des surfaces déclarées par l’exploitation agricole se situent dans les </w:t>
            </w:r>
            <w:r>
              <w:rPr>
                <w:szCs w:val="24"/>
              </w:rPr>
              <w:t>zones d’infestation du cynips, au moment du dépôt de la demande d’aide, sur la base d’une attestation délivrée par la FREDON de Corse conformément à la cartographie de l’infestation du cynips mise à jour par celle-ci, comme exigé à l'article 18.3 du règlem</w:t>
            </w:r>
            <w:r>
              <w:rPr>
                <w:szCs w:val="24"/>
              </w:rPr>
              <w:t>ent (UE) n° 1305/2013.</w:t>
            </w:r>
          </w:p>
          <w:p w:rsidR="0035701C" w:rsidRDefault="00FB561B" w:rsidP="00FB561B">
            <w:pPr>
              <w:numPr>
                <w:ilvl w:val="0"/>
                <w:numId w:val="384"/>
              </w:numPr>
              <w:spacing w:before="0" w:after="0"/>
              <w:ind w:hanging="210"/>
              <w:jc w:val="left"/>
              <w:rPr>
                <w:szCs w:val="24"/>
              </w:rPr>
            </w:pPr>
            <w:r>
              <w:rPr>
                <w:szCs w:val="24"/>
              </w:rPr>
              <w:t>Les opérations de rénovation de châtaigniers dont les bénéficiaires finaux sont des agriculteurs ou des groupements d’agriculteurs, ne doit pas concourir à une augmentation de plus de 20% des surfaces en production des bénéficiaires,</w:t>
            </w:r>
            <w:r>
              <w:rPr>
                <w:szCs w:val="24"/>
              </w:rPr>
              <w:t xml:space="preserve"> déduction faite du périmètre à rénover et des surfaces nouvellement plantées, et dans la limite de 5 ha rénovés par producteur. Les surfaces rénovées par des associations foncières et mise à disposition des agriculteurs sont intégrées dans le plafond de c</w:t>
            </w:r>
            <w:r>
              <w:rPr>
                <w:szCs w:val="24"/>
              </w:rPr>
              <w:t>hacun.</w:t>
            </w:r>
          </w:p>
          <w:p w:rsidR="0035701C" w:rsidRDefault="00FB561B" w:rsidP="00FB561B">
            <w:pPr>
              <w:numPr>
                <w:ilvl w:val="0"/>
                <w:numId w:val="384"/>
              </w:numPr>
              <w:spacing w:before="0" w:after="0"/>
              <w:ind w:hanging="210"/>
              <w:jc w:val="left"/>
              <w:rPr>
                <w:szCs w:val="24"/>
              </w:rPr>
            </w:pPr>
            <w:r>
              <w:rPr>
                <w:szCs w:val="24"/>
              </w:rPr>
              <w:t>Les opérations de plantations s'ajoutant au plafond des rénovations sont limitées à 2ha.</w:t>
            </w:r>
          </w:p>
          <w:p w:rsidR="0035701C" w:rsidRDefault="00FB561B" w:rsidP="00FB561B">
            <w:pPr>
              <w:numPr>
                <w:ilvl w:val="0"/>
                <w:numId w:val="384"/>
              </w:numPr>
              <w:spacing w:before="0" w:after="0"/>
              <w:ind w:hanging="210"/>
              <w:jc w:val="left"/>
              <w:rPr>
                <w:szCs w:val="24"/>
              </w:rPr>
            </w:pPr>
            <w:r>
              <w:rPr>
                <w:szCs w:val="24"/>
              </w:rPr>
              <w:t>Chaque opération ne pourra excéder 2 ha ou 100 arbres.</w:t>
            </w:r>
          </w:p>
          <w:p w:rsidR="0035701C" w:rsidRDefault="00FB561B" w:rsidP="00FB561B">
            <w:pPr>
              <w:numPr>
                <w:ilvl w:val="0"/>
                <w:numId w:val="384"/>
              </w:numPr>
              <w:spacing w:before="0" w:after="240"/>
              <w:ind w:hanging="210"/>
              <w:jc w:val="left"/>
              <w:rPr>
                <w:szCs w:val="24"/>
              </w:rPr>
            </w:pPr>
            <w:r>
              <w:rPr>
                <w:szCs w:val="24"/>
              </w:rPr>
              <w:t>Les agriculteurs prévoyant de réaliser eux-mêmes les travaux doivent avoir suivi une formation à l’élagag</w:t>
            </w:r>
            <w:r>
              <w:rPr>
                <w:szCs w:val="24"/>
              </w:rPr>
              <w:t>e.</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 sélection des opérations se fera selon les principes suivants :</w:t>
            </w:r>
          </w:p>
          <w:p w:rsidR="0035701C" w:rsidRDefault="00FB561B" w:rsidP="00FB561B">
            <w:pPr>
              <w:numPr>
                <w:ilvl w:val="0"/>
                <w:numId w:val="385"/>
              </w:numPr>
              <w:spacing w:before="240" w:after="0"/>
              <w:ind w:hanging="210"/>
              <w:jc w:val="left"/>
              <w:rPr>
                <w:szCs w:val="24"/>
              </w:rPr>
            </w:pPr>
            <w:r>
              <w:rPr>
                <w:szCs w:val="24"/>
              </w:rPr>
              <w:t xml:space="preserve">priorisation des agriculteurs à titre principal (ATP/ATS) et des opérations réalisées dans le périmètre des </w:t>
            </w:r>
            <w:r>
              <w:rPr>
                <w:szCs w:val="24"/>
              </w:rPr>
              <w:t>Associations Autorisées,</w:t>
            </w:r>
          </w:p>
          <w:p w:rsidR="0035701C" w:rsidRDefault="00FB561B" w:rsidP="00FB561B">
            <w:pPr>
              <w:numPr>
                <w:ilvl w:val="0"/>
                <w:numId w:val="385"/>
              </w:numPr>
              <w:spacing w:before="0" w:after="0"/>
              <w:ind w:hanging="210"/>
              <w:jc w:val="left"/>
              <w:rPr>
                <w:szCs w:val="24"/>
              </w:rPr>
            </w:pPr>
            <w:r>
              <w:rPr>
                <w:szCs w:val="24"/>
              </w:rPr>
              <w:t>impact attendu de la mesure sur la sécurisation des exploitations cibles de l’opération au regard des surfaces détenues,</w:t>
            </w:r>
          </w:p>
          <w:p w:rsidR="0035701C" w:rsidRDefault="00FB561B" w:rsidP="00FB561B">
            <w:pPr>
              <w:numPr>
                <w:ilvl w:val="0"/>
                <w:numId w:val="385"/>
              </w:numPr>
              <w:spacing w:before="0" w:after="0"/>
              <w:ind w:hanging="210"/>
              <w:jc w:val="left"/>
              <w:rPr>
                <w:szCs w:val="24"/>
              </w:rPr>
            </w:pPr>
            <w:r>
              <w:rPr>
                <w:szCs w:val="24"/>
              </w:rPr>
              <w:t>priorisation des agriculteurs n’ayant pas bénéficié de la mesure (nombre d’ha ayant déjà été rénovés),</w:t>
            </w:r>
          </w:p>
          <w:p w:rsidR="0035701C" w:rsidRDefault="00FB561B" w:rsidP="00FB561B">
            <w:pPr>
              <w:numPr>
                <w:ilvl w:val="0"/>
                <w:numId w:val="385"/>
              </w:numPr>
              <w:spacing w:before="0" w:after="240"/>
              <w:ind w:hanging="210"/>
              <w:jc w:val="left"/>
              <w:rPr>
                <w:szCs w:val="24"/>
              </w:rPr>
            </w:pPr>
            <w:r>
              <w:rPr>
                <w:szCs w:val="24"/>
              </w:rPr>
              <w:t>démarch</w:t>
            </w:r>
            <w:r>
              <w:rPr>
                <w:szCs w:val="24"/>
              </w:rPr>
              <w:t>e qualité du bénéficiaire final (AOP).</w:t>
            </w:r>
          </w:p>
          <w:p w:rsidR="0035701C" w:rsidRDefault="00FB561B">
            <w:pPr>
              <w:spacing w:before="240" w:after="240"/>
              <w:jc w:val="left"/>
              <w:rPr>
                <w:szCs w:val="24"/>
              </w:rPr>
            </w:pPr>
            <w:r>
              <w:rPr>
                <w:szCs w:val="24"/>
              </w:rPr>
              <w:t>La mesure d’aide fera l’objet d’appel à projet, dont l’enveloppe pourra être préalablement définie. Chaque projet sera noté individuellement en fonction des critères de sélection et sélectionné au dessus d’un seuil mi</w:t>
            </w:r>
            <w:r>
              <w:rPr>
                <w:szCs w:val="24"/>
              </w:rPr>
              <w:t>nimal de points, et dans la limite des enveloppes financières ouvertes pour chaque appel à projets.</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Taux d’aide : 90% pour les plantations, 100% sur les autres investissements.</w:t>
            </w:r>
          </w:p>
          <w:p w:rsidR="0035701C" w:rsidRDefault="0035701C">
            <w:pPr>
              <w:pStyle w:val="Corpsdetexte"/>
            </w:pPr>
          </w:p>
        </w:tc>
      </w:tr>
    </w:tbl>
    <w:p w:rsidR="0035701C" w:rsidRDefault="00FB561B">
      <w:pPr>
        <w:pStyle w:val="Titre6"/>
      </w:pPr>
      <w:r>
        <w:t xml:space="preserve">Caractère vérifiable et contrôlable </w:t>
      </w:r>
      <w:r>
        <w:t>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 :</w:t>
            </w:r>
          </w:p>
          <w:p w:rsidR="0035701C" w:rsidRDefault="00FB561B">
            <w:pPr>
              <w:spacing w:before="240" w:after="240"/>
              <w:jc w:val="left"/>
              <w:rPr>
                <w:szCs w:val="24"/>
              </w:rPr>
            </w:pPr>
            <w:r>
              <w:rPr>
                <w:szCs w:val="24"/>
              </w:rPr>
              <w:t>- L'OP a demandé que soient bien décrits les pétitionnaires susceptibles d'être bénéficiaires de cette opération. Le</w:t>
            </w:r>
            <w:r>
              <w:rPr>
                <w:szCs w:val="24"/>
              </w:rPr>
              <w:t xml:space="preserve">s éléments de Droit, les précisions apportées au présent texte, ainsi que le détail des éléments de réponse à fournir sur les appels à projet sont satisfaisants. Une attention particulière doit être portée sur la fourniture des attestations de formation à </w:t>
            </w:r>
            <w:r>
              <w:rPr>
                <w:szCs w:val="24"/>
              </w:rPr>
              <w:t>l'élagage et la bonne compétence des formateurs. La mise en place d'un contrôle croisé sur les aides de même type ou de même public cible sera formalisé.</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n°1 - R1 : Pour les fo</w:t>
            </w:r>
            <w:r>
              <w:rPr>
                <w:szCs w:val="24"/>
              </w:rPr>
              <w:t>rmes juridiques sociétaires ou associatives, les collectivités, conformité des statuts et actes, mise à jour effective et conforme au long de la période d’engagement. Vérification de la qualité de propriétaire foncier (source : Législation nationale : déca</w:t>
            </w:r>
            <w:r>
              <w:rPr>
                <w:szCs w:val="24"/>
              </w:rPr>
              <w:t>lage entre Droit Social, Droit des Sociétés, Droit Rural. Législation nationale du Droit de Propriété, Droit des Successions, Droit Fiscal (modification pour la forêt en 2012))</w:t>
            </w:r>
          </w:p>
          <w:p w:rsidR="0035701C" w:rsidRDefault="00FB561B">
            <w:pPr>
              <w:spacing w:before="240" w:after="240"/>
              <w:jc w:val="left"/>
              <w:rPr>
                <w:szCs w:val="24"/>
              </w:rPr>
            </w:pPr>
            <w:r>
              <w:rPr>
                <w:szCs w:val="24"/>
              </w:rPr>
              <w:t>n°2 - R6 : Au moment de la 1ère  demande de paiement, risque que la formation E</w:t>
            </w:r>
            <w:r>
              <w:rPr>
                <w:szCs w:val="24"/>
              </w:rPr>
              <w:t>lagage ne soit pas transmise, Compétence du centre de formation à vérifier également. (source : Ponctuel sur Retour d'Expérience)</w:t>
            </w:r>
          </w:p>
          <w:p w:rsidR="0035701C" w:rsidRDefault="00FB561B">
            <w:pPr>
              <w:spacing w:before="240" w:after="240"/>
              <w:jc w:val="left"/>
              <w:rPr>
                <w:szCs w:val="24"/>
              </w:rPr>
            </w:pPr>
            <w:r>
              <w:rPr>
                <w:szCs w:val="24"/>
              </w:rPr>
              <w:t>n°3 - R10 : Pour les travaux de clôtures et  reconquête du milieu notamment, risque de surfaces déjà financées par ailleurs (t</w:t>
            </w:r>
            <w:r>
              <w:rPr>
                <w:szCs w:val="24"/>
              </w:rPr>
              <w:t>oujours sous engagement d'anciens contrats, ou financées sur les opérations à destination des agriculteurs (ex : 226A ET MAET, MAEC) (source : Ponctuel sur Retour d'Expérience)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n°1 - R1 : VERIFIER Pour les formes juridiques </w:t>
            </w:r>
            <w:r>
              <w:rPr>
                <w:szCs w:val="24"/>
              </w:rPr>
              <w:t>sociétaires ou associatives, conformité des statuts et actes, mise à jour effective et conforme. VERIFIER la qualité de propriétaire foncier des partenaires.</w:t>
            </w:r>
          </w:p>
          <w:p w:rsidR="0035701C" w:rsidRDefault="00FB561B">
            <w:pPr>
              <w:spacing w:before="240" w:after="240"/>
              <w:jc w:val="left"/>
              <w:rPr>
                <w:szCs w:val="24"/>
              </w:rPr>
            </w:pPr>
            <w:r>
              <w:rPr>
                <w:szCs w:val="24"/>
              </w:rPr>
              <w:t>n°2 - R6 : EXIGER que soit fournie à l'appui de la demande d'aide l'attestation de formation spéci</w:t>
            </w:r>
            <w:r>
              <w:rPr>
                <w:szCs w:val="24"/>
              </w:rPr>
              <w:t>fique Elagage, y compris dans le cadre des associations autorisés, pour l'ensemble des sociétaires utilisateurs des terres.</w:t>
            </w:r>
          </w:p>
          <w:p w:rsidR="0035701C" w:rsidRDefault="00FB561B">
            <w:pPr>
              <w:spacing w:before="240" w:after="240"/>
              <w:jc w:val="left"/>
              <w:rPr>
                <w:szCs w:val="24"/>
              </w:rPr>
            </w:pPr>
            <w:r>
              <w:rPr>
                <w:szCs w:val="24"/>
              </w:rPr>
              <w:t>n°3 - R10 : EXECUTER UN CONTRÔLE CROISE des aides aux bénéficiaires de l'opération avec celles des agriculteurs usagers des surfaces</w:t>
            </w:r>
            <w:r>
              <w:rPr>
                <w:szCs w:val="24"/>
              </w:rPr>
              <w:t xml:space="preserve"> porteuses des investissements.</w:t>
            </w:r>
          </w:p>
          <w:p w:rsidR="0035701C" w:rsidRDefault="00FB561B">
            <w:pPr>
              <w:spacing w:before="240" w:after="240"/>
              <w:jc w:val="left"/>
              <w:rPr>
                <w:szCs w:val="24"/>
              </w:rPr>
            </w:pPr>
            <w:r>
              <w:rPr>
                <w:szCs w:val="24"/>
              </w:rPr>
              <w:t>                  MAINTENIR ce point de contrôle administratif de la demande d'aide à la fin de la période d'engagement.</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Au vu des cotations matricielles, sur le poids financier de la mesu</w:t>
            </w:r>
            <w:r>
              <w:rPr>
                <w:szCs w:val="24"/>
              </w:rPr>
              <w:t>re (&lt;5%), sur les priorités, les risques, les mesures d’atténuation prévues, cette mesure reçoit une évaluation favorable peu risquée ; Les mécanismes de mise en œuvre sont connus et maîtrisés par tous les acteurs, les programmations précédentes qui ont su</w:t>
            </w:r>
            <w:r>
              <w:rPr>
                <w:szCs w:val="24"/>
              </w:rPr>
              <w:t>scité des ajustements sur des mesures de même type ont permis une amélioration constante des procédures.</w:t>
            </w:r>
          </w:p>
          <w:p w:rsidR="0035701C" w:rsidRDefault="00FB561B">
            <w:pPr>
              <w:spacing w:before="240" w:after="240"/>
              <w:jc w:val="left"/>
              <w:rPr>
                <w:szCs w:val="24"/>
              </w:rPr>
            </w:pPr>
            <w:r>
              <w:rPr>
                <w:szCs w:val="24"/>
              </w:rPr>
              <w:t>- Concernant l'évaluation globale de la mesure : la mesure est contrôlable sous réserve de la mise en place d'actions d'atténuation et des précisions a</w:t>
            </w:r>
            <w:r>
              <w:rPr>
                <w:szCs w:val="24"/>
              </w:rPr>
              <w:t>pportées dans les documents de mise en œuvre notamment sur la nécessité de bien contrôler la qualité de propriétaire foncier des partenaires de l'opération, et de vérifier l'inexistence de financements précédents ou déjà engagés auprès des bénéficiaires us</w:t>
            </w:r>
            <w:r>
              <w:rPr>
                <w:szCs w:val="24"/>
              </w:rPr>
              <w:t>agers des terres.</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Pour le type d’opération 5.2, la méthode de calcul des coûts simplifiés est identique au TO 4.1.1, mais ne concerne que la mise en valeur et la clôtures des châtaigneraies.</w:t>
            </w:r>
          </w:p>
          <w:p w:rsidR="0035701C" w:rsidRDefault="00FB561B">
            <w:pPr>
              <w:spacing w:before="240" w:after="240"/>
              <w:jc w:val="left"/>
              <w:rPr>
                <w:szCs w:val="24"/>
              </w:rPr>
            </w:pPr>
            <w:r>
              <w:rPr>
                <w:szCs w:val="24"/>
              </w:rPr>
              <w:t>Les barèmes de coûts standards sont établis pour chacune des interventions techniques nécessaire à la mise en valeur des châtaigneraies (cf. ci-dessous). Dans sa version initiale le PDRC inclut la méthode qui sera utilisée pour déterminer le montant du coû</w:t>
            </w:r>
            <w:r>
              <w:rPr>
                <w:szCs w:val="24"/>
              </w:rPr>
              <w:t>t quantifié. Cette méthode est établie conformément à l’article 62.2 du règlement FEADER et fait l’objet d’une certification réalisée par l'organisme "Eco Logique Conseil", figurant au chapitre 18.2 du programme. En complément, l'Autorité de gestion (AG) f</w:t>
            </w:r>
            <w:r>
              <w:rPr>
                <w:szCs w:val="24"/>
              </w:rPr>
              <w:t>era certifier l'exactitude du calcul des montants établis conformément à cette méthode par un organisme indépendant, pour la mise en œuvre du TO 5.2.</w:t>
            </w:r>
          </w:p>
          <w:p w:rsidR="0035701C" w:rsidRDefault="00FB561B">
            <w:pPr>
              <w:spacing w:before="240" w:after="240"/>
              <w:jc w:val="left"/>
              <w:rPr>
                <w:szCs w:val="24"/>
              </w:rPr>
            </w:pPr>
            <w:r>
              <w:rPr>
                <w:szCs w:val="24"/>
              </w:rPr>
              <w:t>Cette certification sera conservée par l'AG à des fins de contrôle et d'audits.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u w:val="single"/>
              </w:rPr>
              <w:t xml:space="preserve">Méthode de calcul des </w:t>
            </w:r>
            <w:r>
              <w:rPr>
                <w:szCs w:val="24"/>
                <w:u w:val="single"/>
              </w:rPr>
              <w:t>coûts simplifiés</w:t>
            </w:r>
            <w:r>
              <w:rPr>
                <w:szCs w:val="24"/>
              </w:rPr>
              <w:t xml:space="preserve"> :</w:t>
            </w:r>
          </w:p>
          <w:p w:rsidR="0035701C" w:rsidRDefault="00FB561B">
            <w:pPr>
              <w:spacing w:before="240" w:after="240"/>
              <w:jc w:val="left"/>
              <w:rPr>
                <w:szCs w:val="24"/>
              </w:rPr>
            </w:pPr>
            <w:r>
              <w:rPr>
                <w:i/>
                <w:iCs/>
                <w:szCs w:val="24"/>
              </w:rPr>
              <w:t>1) Détermination de références de coût unitaires pour l’utilisation de matériels agricoles, y compris la main d'œuvre, et les achats éventuels.</w:t>
            </w:r>
          </w:p>
          <w:p w:rsidR="0035701C" w:rsidRDefault="00FB561B">
            <w:pPr>
              <w:spacing w:before="240" w:after="240"/>
              <w:jc w:val="left"/>
              <w:rPr>
                <w:szCs w:val="24"/>
              </w:rPr>
            </w:pPr>
            <w:r>
              <w:rPr>
                <w:szCs w:val="24"/>
              </w:rPr>
              <w:t>Ces références de coût unitaire sont déterminées soit avec le module de calcul mis en œuvre p</w:t>
            </w:r>
            <w:r>
              <w:rPr>
                <w:szCs w:val="24"/>
              </w:rPr>
              <w:t>our l’évaluation des coûts du matériel agricole (source APCA – Chambres d’agriculture – MAAF). Ce module tient compte des éléments suivants, soit par tout autre moyen (devis, expertise) validée au moment de la certification du calcul.</w:t>
            </w:r>
          </w:p>
          <w:p w:rsidR="0035701C" w:rsidRDefault="00FB561B" w:rsidP="00FB561B">
            <w:pPr>
              <w:numPr>
                <w:ilvl w:val="0"/>
                <w:numId w:val="386"/>
              </w:numPr>
              <w:spacing w:before="240" w:after="0"/>
              <w:ind w:hanging="210"/>
              <w:jc w:val="left"/>
              <w:rPr>
                <w:szCs w:val="24"/>
              </w:rPr>
            </w:pPr>
            <w:r>
              <w:rPr>
                <w:szCs w:val="24"/>
              </w:rPr>
              <w:t xml:space="preserve">Données de base </w:t>
            </w:r>
          </w:p>
          <w:p w:rsidR="0035701C" w:rsidRDefault="00FB561B" w:rsidP="00FB561B">
            <w:pPr>
              <w:numPr>
                <w:ilvl w:val="1"/>
                <w:numId w:val="386"/>
              </w:numPr>
              <w:spacing w:before="0" w:after="0"/>
              <w:ind w:hanging="244"/>
              <w:jc w:val="left"/>
              <w:rPr>
                <w:szCs w:val="24"/>
              </w:rPr>
            </w:pPr>
            <w:r>
              <w:rPr>
                <w:szCs w:val="24"/>
              </w:rPr>
              <w:t>Type</w:t>
            </w:r>
            <w:r>
              <w:rPr>
                <w:szCs w:val="24"/>
              </w:rPr>
              <w:t xml:space="preserve"> et caractéristique du matériel</w:t>
            </w:r>
          </w:p>
          <w:p w:rsidR="0035701C" w:rsidRDefault="00FB561B" w:rsidP="00FB561B">
            <w:pPr>
              <w:numPr>
                <w:ilvl w:val="1"/>
                <w:numId w:val="386"/>
              </w:numPr>
              <w:spacing w:before="0" w:after="0"/>
              <w:ind w:hanging="244"/>
              <w:jc w:val="left"/>
              <w:rPr>
                <w:szCs w:val="24"/>
              </w:rPr>
            </w:pPr>
            <w:r>
              <w:rPr>
                <w:szCs w:val="24"/>
              </w:rPr>
              <w:t>Valeur d’achat.</w:t>
            </w:r>
          </w:p>
          <w:p w:rsidR="0035701C" w:rsidRDefault="00FB561B" w:rsidP="00FB561B">
            <w:pPr>
              <w:numPr>
                <w:ilvl w:val="1"/>
                <w:numId w:val="386"/>
              </w:numPr>
              <w:spacing w:before="0" w:after="0"/>
              <w:ind w:hanging="244"/>
              <w:jc w:val="left"/>
              <w:rPr>
                <w:szCs w:val="24"/>
              </w:rPr>
            </w:pPr>
            <w:r>
              <w:rPr>
                <w:szCs w:val="24"/>
              </w:rPr>
              <w:t>Temps d’utilisation moyen annuel et durée d’amortissement afférente.</w:t>
            </w:r>
          </w:p>
          <w:p w:rsidR="0035701C" w:rsidRDefault="00FB561B" w:rsidP="00FB561B">
            <w:pPr>
              <w:numPr>
                <w:ilvl w:val="0"/>
                <w:numId w:val="386"/>
              </w:numPr>
              <w:spacing w:before="0" w:after="0"/>
              <w:ind w:hanging="210"/>
              <w:jc w:val="left"/>
              <w:rPr>
                <w:szCs w:val="24"/>
              </w:rPr>
            </w:pPr>
            <w:r>
              <w:rPr>
                <w:szCs w:val="24"/>
              </w:rPr>
              <w:t xml:space="preserve">Données optionnelles </w:t>
            </w:r>
          </w:p>
          <w:p w:rsidR="0035701C" w:rsidRDefault="00FB561B" w:rsidP="00FB561B">
            <w:pPr>
              <w:numPr>
                <w:ilvl w:val="1"/>
                <w:numId w:val="386"/>
              </w:numPr>
              <w:spacing w:before="0" w:after="0"/>
              <w:ind w:hanging="244"/>
              <w:jc w:val="left"/>
              <w:rPr>
                <w:szCs w:val="24"/>
              </w:rPr>
            </w:pPr>
            <w:r>
              <w:rPr>
                <w:szCs w:val="24"/>
              </w:rPr>
              <w:t>Consommation en carburant (par heure).</w:t>
            </w:r>
          </w:p>
          <w:p w:rsidR="0035701C" w:rsidRDefault="00FB561B" w:rsidP="00FB561B">
            <w:pPr>
              <w:numPr>
                <w:ilvl w:val="1"/>
                <w:numId w:val="386"/>
              </w:numPr>
              <w:spacing w:before="0" w:after="0"/>
              <w:ind w:hanging="244"/>
              <w:jc w:val="left"/>
              <w:rPr>
                <w:szCs w:val="24"/>
              </w:rPr>
            </w:pPr>
            <w:r>
              <w:rPr>
                <w:szCs w:val="24"/>
              </w:rPr>
              <w:t>Prix du carburant.</w:t>
            </w:r>
          </w:p>
          <w:p w:rsidR="0035701C" w:rsidRDefault="00FB561B" w:rsidP="00FB561B">
            <w:pPr>
              <w:numPr>
                <w:ilvl w:val="1"/>
                <w:numId w:val="386"/>
              </w:numPr>
              <w:spacing w:before="0" w:after="240"/>
              <w:ind w:hanging="244"/>
              <w:jc w:val="left"/>
              <w:rPr>
                <w:szCs w:val="24"/>
              </w:rPr>
            </w:pPr>
            <w:r>
              <w:rPr>
                <w:szCs w:val="24"/>
              </w:rPr>
              <w:t>Rendement moyen d’utilisation à l’ha (en h/ha)</w:t>
            </w:r>
          </w:p>
          <w:p w:rsidR="0035701C" w:rsidRDefault="00FB561B">
            <w:pPr>
              <w:spacing w:before="240" w:after="240"/>
              <w:jc w:val="left"/>
              <w:rPr>
                <w:szCs w:val="24"/>
              </w:rPr>
            </w:pPr>
            <w:r>
              <w:rPr>
                <w:szCs w:val="24"/>
              </w:rPr>
              <w:t>Les résultat</w:t>
            </w:r>
            <w:r>
              <w:rPr>
                <w:szCs w:val="24"/>
              </w:rPr>
              <w:t>s de coûts unitaires sont exprimé en €/heure, €/jour, €/ml ou en €/ha en fonction des modalités d’utilisation de ces matériels.</w:t>
            </w:r>
          </w:p>
          <w:p w:rsidR="0035701C" w:rsidRDefault="00FB561B">
            <w:pPr>
              <w:spacing w:before="240" w:after="240"/>
              <w:jc w:val="left"/>
              <w:rPr>
                <w:szCs w:val="24"/>
              </w:rPr>
            </w:pPr>
            <w:r>
              <w:rPr>
                <w:szCs w:val="24"/>
              </w:rPr>
              <w:t>Les coûts de main d’œuvre sont établis sur la base de références pour :</w:t>
            </w:r>
          </w:p>
          <w:p w:rsidR="0035701C" w:rsidRDefault="00FB561B" w:rsidP="00FB561B">
            <w:pPr>
              <w:numPr>
                <w:ilvl w:val="0"/>
                <w:numId w:val="387"/>
              </w:numPr>
              <w:spacing w:before="240" w:after="0"/>
              <w:ind w:hanging="210"/>
              <w:jc w:val="left"/>
              <w:rPr>
                <w:szCs w:val="24"/>
              </w:rPr>
            </w:pPr>
            <w:r>
              <w:rPr>
                <w:szCs w:val="24"/>
              </w:rPr>
              <w:t>Les travaux réalisés par l’agriculteur.</w:t>
            </w:r>
          </w:p>
          <w:p w:rsidR="0035701C" w:rsidRDefault="00FB561B" w:rsidP="00FB561B">
            <w:pPr>
              <w:numPr>
                <w:ilvl w:val="0"/>
                <w:numId w:val="387"/>
              </w:numPr>
              <w:spacing w:before="0" w:after="240"/>
              <w:ind w:hanging="210"/>
              <w:jc w:val="left"/>
              <w:rPr>
                <w:szCs w:val="24"/>
              </w:rPr>
            </w:pPr>
            <w:r>
              <w:rPr>
                <w:szCs w:val="24"/>
              </w:rPr>
              <w:t xml:space="preserve">Les travaux </w:t>
            </w:r>
            <w:r>
              <w:rPr>
                <w:szCs w:val="24"/>
              </w:rPr>
              <w:t>spécialisés réalisés par des entreprises ou de travaux agricoles en prestation de service.</w:t>
            </w:r>
          </w:p>
          <w:p w:rsidR="0035701C" w:rsidRDefault="00FB561B">
            <w:pPr>
              <w:spacing w:before="240" w:after="240"/>
              <w:jc w:val="left"/>
              <w:rPr>
                <w:szCs w:val="24"/>
              </w:rPr>
            </w:pPr>
            <w:r>
              <w:rPr>
                <w:i/>
                <w:iCs/>
                <w:szCs w:val="24"/>
              </w:rPr>
              <w:t>2) Détermination des itinéraires techniques et des variantes</w:t>
            </w:r>
          </w:p>
          <w:p w:rsidR="0035701C" w:rsidRDefault="00FB561B">
            <w:pPr>
              <w:spacing w:before="240" w:after="240"/>
              <w:jc w:val="left"/>
              <w:rPr>
                <w:szCs w:val="24"/>
              </w:rPr>
            </w:pPr>
            <w:r>
              <w:rPr>
                <w:szCs w:val="24"/>
              </w:rPr>
              <w:t>Les opérations de mise en valeur agricole sont ensuite décrites en suivant un itinéraire technique de su</w:t>
            </w:r>
            <w:r>
              <w:rPr>
                <w:szCs w:val="24"/>
              </w:rPr>
              <w:t>ccession d'interventions et d'options, notamment :</w:t>
            </w:r>
          </w:p>
          <w:p w:rsidR="0035701C" w:rsidRDefault="00FB561B">
            <w:pPr>
              <w:spacing w:before="240" w:after="240"/>
              <w:jc w:val="left"/>
              <w:rPr>
                <w:szCs w:val="24"/>
              </w:rPr>
            </w:pPr>
            <w:r>
              <w:rPr>
                <w:szCs w:val="24"/>
              </w:rPr>
              <w:t>DEMAQUISAGE</w:t>
            </w:r>
          </w:p>
          <w:p w:rsidR="0035701C" w:rsidRDefault="00FB561B" w:rsidP="00FB561B">
            <w:pPr>
              <w:numPr>
                <w:ilvl w:val="0"/>
                <w:numId w:val="388"/>
              </w:numPr>
              <w:spacing w:before="240" w:after="0"/>
              <w:ind w:hanging="210"/>
              <w:jc w:val="left"/>
              <w:rPr>
                <w:szCs w:val="24"/>
              </w:rPr>
            </w:pPr>
            <w:r>
              <w:rPr>
                <w:szCs w:val="24"/>
              </w:rPr>
              <w:t> Démaquisage manuel</w:t>
            </w:r>
          </w:p>
          <w:p w:rsidR="0035701C" w:rsidRDefault="00FB561B" w:rsidP="00FB561B">
            <w:pPr>
              <w:numPr>
                <w:ilvl w:val="0"/>
                <w:numId w:val="388"/>
              </w:numPr>
              <w:spacing w:before="0" w:after="240"/>
              <w:ind w:hanging="210"/>
              <w:jc w:val="left"/>
              <w:rPr>
                <w:szCs w:val="24"/>
              </w:rPr>
            </w:pPr>
            <w:r>
              <w:rPr>
                <w:szCs w:val="24"/>
              </w:rPr>
              <w:t> Démaquisage mécanique</w:t>
            </w:r>
          </w:p>
          <w:p w:rsidR="0035701C" w:rsidRDefault="00FB561B">
            <w:pPr>
              <w:spacing w:before="240" w:after="240"/>
              <w:jc w:val="left"/>
              <w:rPr>
                <w:szCs w:val="24"/>
              </w:rPr>
            </w:pPr>
            <w:r>
              <w:rPr>
                <w:szCs w:val="24"/>
              </w:rPr>
              <w:t>REMANENTS</w:t>
            </w:r>
          </w:p>
          <w:p w:rsidR="0035701C" w:rsidRDefault="00FB561B" w:rsidP="00FB561B">
            <w:pPr>
              <w:numPr>
                <w:ilvl w:val="0"/>
                <w:numId w:val="389"/>
              </w:numPr>
              <w:spacing w:before="240" w:after="240"/>
              <w:ind w:hanging="210"/>
              <w:jc w:val="left"/>
              <w:rPr>
                <w:szCs w:val="24"/>
              </w:rPr>
            </w:pPr>
            <w:r>
              <w:rPr>
                <w:szCs w:val="24"/>
              </w:rPr>
              <w:t>Elimination des rémanents</w:t>
            </w:r>
          </w:p>
          <w:p w:rsidR="0035701C" w:rsidRDefault="00FB561B">
            <w:pPr>
              <w:spacing w:before="240" w:after="240"/>
              <w:jc w:val="left"/>
              <w:rPr>
                <w:szCs w:val="24"/>
              </w:rPr>
            </w:pPr>
            <w:r>
              <w:rPr>
                <w:szCs w:val="24"/>
              </w:rPr>
              <w:t>CLOTURE</w:t>
            </w:r>
          </w:p>
          <w:p w:rsidR="0035701C" w:rsidRDefault="00FB561B" w:rsidP="00FB561B">
            <w:pPr>
              <w:numPr>
                <w:ilvl w:val="0"/>
                <w:numId w:val="390"/>
              </w:numPr>
              <w:spacing w:before="240" w:after="0"/>
              <w:ind w:hanging="210"/>
              <w:jc w:val="left"/>
              <w:rPr>
                <w:szCs w:val="24"/>
              </w:rPr>
            </w:pPr>
            <w:r>
              <w:rPr>
                <w:szCs w:val="24"/>
              </w:rPr>
              <w:t>Pose clôture</w:t>
            </w:r>
          </w:p>
          <w:p w:rsidR="0035701C" w:rsidRDefault="00FB561B" w:rsidP="00FB561B">
            <w:pPr>
              <w:numPr>
                <w:ilvl w:val="0"/>
                <w:numId w:val="390"/>
              </w:numPr>
              <w:spacing w:before="0" w:after="240"/>
              <w:ind w:hanging="210"/>
              <w:jc w:val="left"/>
              <w:rPr>
                <w:szCs w:val="24"/>
              </w:rPr>
            </w:pPr>
            <w:r>
              <w:rPr>
                <w:szCs w:val="24"/>
              </w:rPr>
              <w:t>Layons</w:t>
            </w:r>
          </w:p>
          <w:p w:rsidR="0035701C" w:rsidRDefault="00FB561B">
            <w:pPr>
              <w:spacing w:before="240" w:after="240"/>
              <w:jc w:val="left"/>
              <w:rPr>
                <w:szCs w:val="24"/>
              </w:rPr>
            </w:pPr>
            <w:r>
              <w:rPr>
                <w:szCs w:val="24"/>
              </w:rPr>
              <w:t>PLANTATIONS</w:t>
            </w:r>
          </w:p>
          <w:p w:rsidR="0035701C" w:rsidRDefault="00FB561B" w:rsidP="00FB561B">
            <w:pPr>
              <w:numPr>
                <w:ilvl w:val="0"/>
                <w:numId w:val="391"/>
              </w:numPr>
              <w:spacing w:before="240" w:after="0"/>
              <w:ind w:hanging="210"/>
              <w:jc w:val="left"/>
              <w:rPr>
                <w:szCs w:val="24"/>
              </w:rPr>
            </w:pPr>
            <w:r>
              <w:rPr>
                <w:szCs w:val="24"/>
              </w:rPr>
              <w:t>Partie travail du sol</w:t>
            </w:r>
          </w:p>
          <w:p w:rsidR="0035701C" w:rsidRDefault="00FB561B" w:rsidP="00FB561B">
            <w:pPr>
              <w:numPr>
                <w:ilvl w:val="0"/>
                <w:numId w:val="391"/>
              </w:numPr>
              <w:spacing w:before="0" w:after="0"/>
              <w:ind w:hanging="210"/>
              <w:jc w:val="left"/>
              <w:rPr>
                <w:szCs w:val="24"/>
              </w:rPr>
            </w:pPr>
            <w:r>
              <w:rPr>
                <w:szCs w:val="24"/>
              </w:rPr>
              <w:t>Plantations</w:t>
            </w:r>
          </w:p>
          <w:p w:rsidR="0035701C" w:rsidRDefault="00FB561B" w:rsidP="00FB561B">
            <w:pPr>
              <w:numPr>
                <w:ilvl w:val="0"/>
                <w:numId w:val="391"/>
              </w:numPr>
              <w:spacing w:before="0" w:after="0"/>
              <w:ind w:hanging="210"/>
              <w:jc w:val="left"/>
              <w:rPr>
                <w:szCs w:val="24"/>
              </w:rPr>
            </w:pPr>
            <w:r>
              <w:rPr>
                <w:szCs w:val="24"/>
              </w:rPr>
              <w:t>Fumures</w:t>
            </w:r>
          </w:p>
          <w:p w:rsidR="0035701C" w:rsidRDefault="00FB561B" w:rsidP="00FB561B">
            <w:pPr>
              <w:numPr>
                <w:ilvl w:val="0"/>
                <w:numId w:val="391"/>
              </w:numPr>
              <w:spacing w:before="0" w:after="0"/>
              <w:ind w:hanging="210"/>
              <w:jc w:val="left"/>
              <w:rPr>
                <w:szCs w:val="24"/>
              </w:rPr>
            </w:pPr>
            <w:r>
              <w:rPr>
                <w:szCs w:val="24"/>
              </w:rPr>
              <w:t>Arrosage</w:t>
            </w:r>
          </w:p>
          <w:p w:rsidR="0035701C" w:rsidRDefault="00FB561B" w:rsidP="00FB561B">
            <w:pPr>
              <w:numPr>
                <w:ilvl w:val="0"/>
                <w:numId w:val="391"/>
              </w:numPr>
              <w:spacing w:before="0" w:after="240"/>
              <w:ind w:hanging="210"/>
              <w:jc w:val="left"/>
              <w:rPr>
                <w:szCs w:val="24"/>
              </w:rPr>
            </w:pPr>
            <w:r>
              <w:rPr>
                <w:szCs w:val="24"/>
              </w:rPr>
              <w:t>Désherbage</w:t>
            </w:r>
          </w:p>
          <w:p w:rsidR="0035701C" w:rsidRDefault="00FB561B">
            <w:pPr>
              <w:spacing w:before="240" w:after="240"/>
              <w:jc w:val="left"/>
              <w:rPr>
                <w:szCs w:val="24"/>
              </w:rPr>
            </w:pPr>
            <w:r>
              <w:rPr>
                <w:szCs w:val="24"/>
              </w:rPr>
              <w:t>RENOVATIONS</w:t>
            </w:r>
          </w:p>
          <w:p w:rsidR="0035701C" w:rsidRDefault="00FB561B" w:rsidP="00FB561B">
            <w:pPr>
              <w:numPr>
                <w:ilvl w:val="0"/>
                <w:numId w:val="392"/>
              </w:numPr>
              <w:spacing w:before="240" w:after="0"/>
              <w:ind w:hanging="210"/>
              <w:jc w:val="left"/>
              <w:rPr>
                <w:szCs w:val="24"/>
              </w:rPr>
            </w:pPr>
            <w:r>
              <w:rPr>
                <w:szCs w:val="24"/>
              </w:rPr>
              <w:t>Taille de rabattage</w:t>
            </w:r>
          </w:p>
          <w:p w:rsidR="0035701C" w:rsidRDefault="00FB561B" w:rsidP="00FB561B">
            <w:pPr>
              <w:numPr>
                <w:ilvl w:val="0"/>
                <w:numId w:val="392"/>
              </w:numPr>
              <w:spacing w:before="0" w:after="0"/>
              <w:ind w:hanging="210"/>
              <w:jc w:val="left"/>
              <w:rPr>
                <w:szCs w:val="24"/>
              </w:rPr>
            </w:pPr>
            <w:r>
              <w:rPr>
                <w:szCs w:val="24"/>
              </w:rPr>
              <w:t>Taille fruitière</w:t>
            </w:r>
          </w:p>
          <w:p w:rsidR="0035701C" w:rsidRDefault="00FB561B" w:rsidP="00FB561B">
            <w:pPr>
              <w:numPr>
                <w:ilvl w:val="0"/>
                <w:numId w:val="392"/>
              </w:numPr>
              <w:spacing w:before="0" w:after="240"/>
              <w:ind w:hanging="210"/>
              <w:jc w:val="left"/>
              <w:rPr>
                <w:szCs w:val="24"/>
              </w:rPr>
            </w:pPr>
            <w:r>
              <w:rPr>
                <w:szCs w:val="24"/>
              </w:rPr>
              <w:t>Surgreffage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i/>
                <w:iCs/>
                <w:szCs w:val="24"/>
              </w:rPr>
              <w:t>3) Détermination du bordereau de coûts simplifiés des interventions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L’estimation du coût forfaitaire pour chaque intervention est établie sur la base des valeurs moyennes d’utilisation des matériels et d</w:t>
            </w:r>
            <w:r>
              <w:rPr>
                <w:szCs w:val="24"/>
              </w:rPr>
              <w:t>e mobilisation de la main d’œuvre afférente, dans des conditions de travail standard (pente, pierrosité, éloignement du chantier) multiplié par leur coût unitaire.</w:t>
            </w:r>
          </w:p>
          <w:p w:rsidR="0035701C" w:rsidRDefault="00FB561B">
            <w:pPr>
              <w:spacing w:before="240" w:after="240"/>
              <w:jc w:val="left"/>
              <w:rPr>
                <w:szCs w:val="24"/>
              </w:rPr>
            </w:pPr>
            <w:r>
              <w:rPr>
                <w:szCs w:val="24"/>
              </w:rPr>
              <w:t>Des modalités de majorations de ces coût d'intervention sont ensuite déclinées en fonction d</w:t>
            </w:r>
            <w:r>
              <w:rPr>
                <w:szCs w:val="24"/>
              </w:rPr>
              <w:t>e conditions spécifiques impliquant des surcoûts (pente, éloignement du site...).</w:t>
            </w:r>
          </w:p>
          <w:p w:rsidR="0035701C" w:rsidRDefault="00FB561B">
            <w:pPr>
              <w:spacing w:before="240" w:after="240"/>
              <w:jc w:val="left"/>
              <w:rPr>
                <w:szCs w:val="24"/>
              </w:rPr>
            </w:pPr>
            <w:r>
              <w:rPr>
                <w:szCs w:val="24"/>
              </w:rPr>
              <w:t>Les résultats sont ainsi repris dans un bordereau de coût simplifié des interventions. Les résultats sont exprimés en € par unité de surface ou par arbre (cas des mises en va</w:t>
            </w:r>
            <w:r>
              <w:rPr>
                <w:szCs w:val="24"/>
              </w:rPr>
              <w:t>leur) ou en € par linéaire (cas des clôtures et de la pose du réseau d'irrigation).</w:t>
            </w:r>
          </w:p>
          <w:p w:rsidR="0035701C" w:rsidRDefault="00FB561B">
            <w:pPr>
              <w:spacing w:before="240" w:after="240"/>
              <w:jc w:val="left"/>
              <w:rPr>
                <w:szCs w:val="24"/>
              </w:rPr>
            </w:pPr>
            <w:r>
              <w:rPr>
                <w:i/>
                <w:iCs/>
                <w:szCs w:val="24"/>
              </w:rPr>
              <w:t>4) Utilisation du bordereau de coûts simplifiés</w:t>
            </w:r>
          </w:p>
          <w:p w:rsidR="0035701C" w:rsidRDefault="00FB561B">
            <w:pPr>
              <w:spacing w:before="240" w:after="240"/>
              <w:jc w:val="left"/>
              <w:rPr>
                <w:szCs w:val="24"/>
              </w:rPr>
            </w:pPr>
            <w:r>
              <w:rPr>
                <w:szCs w:val="24"/>
              </w:rPr>
              <w:t>Ce bordereau est mis en œuvre pour l’estimation du coût de l’opération, sur la base des coûts forfaitaires des interventions</w:t>
            </w:r>
            <w:r>
              <w:rPr>
                <w:szCs w:val="24"/>
              </w:rPr>
              <w:t xml:space="preserve"> spécifiques à la filière castanéicole, et qui correspondent à l'itinéraire technique décrivant l’ensemble des étapes nécessaires à la réalisation de la mise en valeur.</w:t>
            </w:r>
          </w:p>
          <w:p w:rsidR="0035701C" w:rsidRDefault="0035701C">
            <w:pPr>
              <w:pStyle w:val="Corpsdetexte"/>
            </w:pPr>
          </w:p>
        </w:tc>
      </w:tr>
    </w:tbl>
    <w:p w:rsidR="0035701C" w:rsidRDefault="00FB561B">
      <w:pPr>
        <w:pStyle w:val="Titre6"/>
      </w:pPr>
      <w:r>
        <w:t>Informations spécifiques sur l'opération</w:t>
      </w:r>
    </w:p>
    <w:p w:rsidR="0035701C" w:rsidRDefault="00FB561B">
      <w:pPr>
        <w:pStyle w:val="Titre4"/>
        <w:jc w:val="left"/>
      </w:pPr>
      <w:r>
        <w:t xml:space="preserve">Caractère vérifiable et contrôlable des </w:t>
      </w:r>
      <w:r>
        <w:t>mesures et/ou types d'opérations</w:t>
      </w:r>
    </w:p>
    <w:p w:rsidR="0035701C" w:rsidRDefault="00FB561B">
      <w:pPr>
        <w:pStyle w:val="Titre5"/>
        <w:rPr>
          <w:b w:val="0"/>
        </w:rPr>
      </w:pPr>
      <w:r>
        <w:rPr>
          <w:b w:val="0"/>
        </w:rPr>
        <w:t>Risque(s) dans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4"/>
        <w:jc w:val="left"/>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pPr>
        <w:pStyle w:val="Titre4"/>
        <w:jc w:val="left"/>
      </w:pPr>
      <w:r>
        <w:t>Informations spécifiques sur la mesure</w:t>
      </w:r>
    </w:p>
    <w:p w:rsidR="0035701C" w:rsidRDefault="00FB561B">
      <w:pPr>
        <w:pStyle w:val="Titre4"/>
        <w:jc w:val="left"/>
      </w:pPr>
      <w:r>
        <w:t xml:space="preserve">Autres </w:t>
      </w:r>
      <w:r>
        <w:t>remarques importantes pour comprendre et mettre en œuvre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pPr>
        <w:pStyle w:val="Titre3"/>
        <w:jc w:val="left"/>
      </w:pPr>
      <w:r>
        <w:br w:type="page"/>
      </w:r>
      <w:bookmarkStart w:id="106" w:name="_Toc256000105"/>
      <w:r>
        <w:t>M06 - Développement des exploitations agricoles et des entreprises (article 19)</w:t>
      </w:r>
      <w:bookmarkEnd w:id="106"/>
    </w:p>
    <w:p w:rsidR="0035701C" w:rsidRDefault="00FB561B">
      <w:pPr>
        <w:pStyle w:val="Titre4"/>
        <w:jc w:val="left"/>
      </w:pPr>
      <w:r>
        <w:t>Base juridique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Règlement (UE) n°1305 /2013 du 17 décembre 2013 (FEADER) Article 19</w:t>
            </w:r>
          </w:p>
          <w:p w:rsidR="0035701C" w:rsidRDefault="00FB561B">
            <w:pPr>
              <w:spacing w:before="240" w:after="240"/>
              <w:jc w:val="left"/>
              <w:rPr>
                <w:szCs w:val="24"/>
              </w:rPr>
            </w:pPr>
            <w:r>
              <w:rPr>
                <w:szCs w:val="24"/>
              </w:rPr>
              <w:t>Règlement (UE) n°1303 /</w:t>
            </w:r>
            <w:r>
              <w:rPr>
                <w:szCs w:val="24"/>
              </w:rPr>
              <w:t>2013 du 17 décembre 2013 Article 65</w:t>
            </w:r>
          </w:p>
          <w:p w:rsidR="0035701C" w:rsidRDefault="00FB561B">
            <w:pPr>
              <w:spacing w:before="240" w:after="240"/>
              <w:jc w:val="left"/>
              <w:rPr>
                <w:szCs w:val="24"/>
              </w:rPr>
            </w:pPr>
            <w:r>
              <w:rPr>
                <w:szCs w:val="24"/>
              </w:rPr>
              <w:t>Règlement délégué (UE) C-2014-1460 de la Commission du 11 Mars 2014 complétant le Règlement 1305/2013</w:t>
            </w:r>
          </w:p>
          <w:p w:rsidR="0035701C" w:rsidRDefault="00FB561B">
            <w:pPr>
              <w:spacing w:before="240" w:after="240"/>
              <w:jc w:val="left"/>
              <w:rPr>
                <w:szCs w:val="24"/>
              </w:rPr>
            </w:pPr>
            <w:r>
              <w:rPr>
                <w:szCs w:val="24"/>
              </w:rPr>
              <w:t>Règlement (CE) n°1242/2008 du 8 décembre 2008 (Typologie exploitation)</w:t>
            </w:r>
          </w:p>
          <w:p w:rsidR="0035701C" w:rsidRDefault="0035701C">
            <w:pPr>
              <w:pStyle w:val="Corpsdetexte"/>
            </w:pPr>
          </w:p>
        </w:tc>
      </w:tr>
    </w:tbl>
    <w:p w:rsidR="0035701C" w:rsidRDefault="00FB561B">
      <w:pPr>
        <w:pStyle w:val="Titre4"/>
        <w:jc w:val="left"/>
      </w:pPr>
      <w:r>
        <w:t xml:space="preserve">Description générale de la mesure, y compris </w:t>
      </w:r>
      <w:r>
        <w:t>sa logique d'intervention et sa contribution aux domaines prioritaires et à la réalisation des 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L’objectif de la mesure est de redynamiser et d’accompagner les démarches de création et de développement d’entreprises en milieu rural.</w:t>
            </w:r>
          </w:p>
          <w:p w:rsidR="0035701C" w:rsidRDefault="00FB561B">
            <w:pPr>
              <w:spacing w:before="240" w:after="240"/>
              <w:jc w:val="left"/>
              <w:rPr>
                <w:szCs w:val="24"/>
              </w:rPr>
            </w:pPr>
            <w:r>
              <w:rPr>
                <w:szCs w:val="24"/>
              </w:rPr>
              <w:t>I</w:t>
            </w:r>
            <w:r>
              <w:rPr>
                <w:szCs w:val="24"/>
              </w:rPr>
              <w:t>l s’agit de répondre transversalement à un ensemble de besoins qui conditionnent le développement rural :</w:t>
            </w:r>
          </w:p>
          <w:p w:rsidR="0035701C" w:rsidRDefault="00FB561B" w:rsidP="00FB561B">
            <w:pPr>
              <w:numPr>
                <w:ilvl w:val="0"/>
                <w:numId w:val="393"/>
              </w:numPr>
              <w:spacing w:before="240" w:after="0"/>
              <w:ind w:hanging="210"/>
              <w:jc w:val="left"/>
              <w:rPr>
                <w:szCs w:val="24"/>
              </w:rPr>
            </w:pPr>
            <w:r>
              <w:rPr>
                <w:szCs w:val="24"/>
              </w:rPr>
              <w:t>n°7 : maintenir, voir augmenter le nombre d'actif agricole, en redynamisant les démarches  de détection d'installation et de transmission.</w:t>
            </w:r>
          </w:p>
          <w:p w:rsidR="0035701C" w:rsidRDefault="00FB561B" w:rsidP="00FB561B">
            <w:pPr>
              <w:numPr>
                <w:ilvl w:val="0"/>
                <w:numId w:val="393"/>
              </w:numPr>
              <w:spacing w:before="0" w:after="0"/>
              <w:ind w:hanging="210"/>
              <w:jc w:val="left"/>
              <w:rPr>
                <w:szCs w:val="24"/>
              </w:rPr>
            </w:pPr>
            <w:r>
              <w:rPr>
                <w:szCs w:val="24"/>
              </w:rPr>
              <w:t>n°4 : Sensi</w:t>
            </w:r>
            <w:r>
              <w:rPr>
                <w:szCs w:val="24"/>
              </w:rPr>
              <w:t>biliser, communiquer et Eduquer sur les produits et savoir-faire locaux (2.1)</w:t>
            </w:r>
          </w:p>
          <w:p w:rsidR="0035701C" w:rsidRDefault="00FB561B" w:rsidP="00FB561B">
            <w:pPr>
              <w:numPr>
                <w:ilvl w:val="0"/>
                <w:numId w:val="393"/>
              </w:numPr>
              <w:spacing w:before="0" w:after="0"/>
              <w:ind w:hanging="210"/>
              <w:jc w:val="left"/>
              <w:rPr>
                <w:szCs w:val="24"/>
              </w:rPr>
            </w:pPr>
            <w:r>
              <w:rPr>
                <w:szCs w:val="24"/>
              </w:rPr>
              <w:t>n°8 : améliorer le revenu des agriculteurs par le développement de l'outil de travail et la diversification des activités</w:t>
            </w:r>
          </w:p>
          <w:p w:rsidR="0035701C" w:rsidRDefault="00FB561B" w:rsidP="00FB561B">
            <w:pPr>
              <w:numPr>
                <w:ilvl w:val="0"/>
                <w:numId w:val="393"/>
              </w:numPr>
              <w:spacing w:before="0" w:after="0"/>
              <w:ind w:hanging="210"/>
              <w:jc w:val="left"/>
              <w:rPr>
                <w:szCs w:val="24"/>
              </w:rPr>
            </w:pPr>
            <w:r>
              <w:rPr>
                <w:szCs w:val="24"/>
              </w:rPr>
              <w:t>n°16 : accroître la contribution de l’agriculture à la v</w:t>
            </w:r>
            <w:r>
              <w:rPr>
                <w:szCs w:val="24"/>
              </w:rPr>
              <w:t>alorisation du patrimoine naturel, au maintien de la biodiversité, à la qualité des paysages agricoles.</w:t>
            </w:r>
          </w:p>
          <w:p w:rsidR="0035701C" w:rsidRDefault="00FB561B" w:rsidP="00FB561B">
            <w:pPr>
              <w:numPr>
                <w:ilvl w:val="0"/>
                <w:numId w:val="393"/>
              </w:numPr>
              <w:spacing w:before="0" w:after="0"/>
              <w:ind w:hanging="210"/>
              <w:jc w:val="left"/>
              <w:rPr>
                <w:szCs w:val="24"/>
              </w:rPr>
            </w:pPr>
            <w:r>
              <w:rPr>
                <w:szCs w:val="24"/>
              </w:rPr>
              <w:t>n°19 : soutenir et développer les démarches de qualité, valoriser les liens produits/Terroirs  et développer la qualité environnementale, notamment l'Ag</w:t>
            </w:r>
            <w:r>
              <w:rPr>
                <w:szCs w:val="24"/>
              </w:rPr>
              <w:t>riculture Biologique</w:t>
            </w:r>
          </w:p>
          <w:p w:rsidR="0035701C" w:rsidRDefault="00FB561B" w:rsidP="00FB561B">
            <w:pPr>
              <w:numPr>
                <w:ilvl w:val="0"/>
                <w:numId w:val="393"/>
              </w:numPr>
              <w:spacing w:before="0" w:after="0"/>
              <w:ind w:hanging="210"/>
              <w:jc w:val="left"/>
              <w:rPr>
                <w:szCs w:val="24"/>
              </w:rPr>
            </w:pPr>
            <w:r>
              <w:rPr>
                <w:szCs w:val="24"/>
              </w:rPr>
              <w:t>n°20 : Renforcer la commercialisation et la promotion des produits sur le marché local, national et international</w:t>
            </w:r>
          </w:p>
          <w:p w:rsidR="0035701C" w:rsidRDefault="00FB561B" w:rsidP="00FB561B">
            <w:pPr>
              <w:numPr>
                <w:ilvl w:val="0"/>
                <w:numId w:val="393"/>
              </w:numPr>
              <w:spacing w:before="0" w:after="0"/>
              <w:ind w:hanging="210"/>
              <w:jc w:val="left"/>
              <w:rPr>
                <w:szCs w:val="24"/>
              </w:rPr>
            </w:pPr>
            <w:r>
              <w:rPr>
                <w:szCs w:val="24"/>
              </w:rPr>
              <w:t>n°26 : accroître la compétitivité  et les usages des produits de la forêt</w:t>
            </w:r>
          </w:p>
          <w:p w:rsidR="0035701C" w:rsidRDefault="00FB561B" w:rsidP="00FB561B">
            <w:pPr>
              <w:numPr>
                <w:ilvl w:val="0"/>
                <w:numId w:val="393"/>
              </w:numPr>
              <w:spacing w:before="0" w:after="0"/>
              <w:ind w:hanging="210"/>
              <w:jc w:val="left"/>
              <w:rPr>
                <w:szCs w:val="24"/>
              </w:rPr>
            </w:pPr>
            <w:r>
              <w:rPr>
                <w:szCs w:val="24"/>
              </w:rPr>
              <w:t>n°27 : susciter, accompagner l'émergence de dyn</w:t>
            </w:r>
            <w:r>
              <w:rPr>
                <w:szCs w:val="24"/>
              </w:rPr>
              <w:t>amique territoriale de projet.</w:t>
            </w:r>
          </w:p>
          <w:p w:rsidR="0035701C" w:rsidRDefault="00FB561B" w:rsidP="00FB561B">
            <w:pPr>
              <w:numPr>
                <w:ilvl w:val="0"/>
                <w:numId w:val="393"/>
              </w:numPr>
              <w:spacing w:before="0" w:after="0"/>
              <w:ind w:hanging="210"/>
              <w:jc w:val="left"/>
              <w:rPr>
                <w:szCs w:val="24"/>
              </w:rPr>
            </w:pPr>
            <w:r>
              <w:rPr>
                <w:szCs w:val="24"/>
              </w:rPr>
              <w:t>n°29 : Favoriser la coopération, l'innovation organisationnelle et la constitution de réseaux</w:t>
            </w:r>
          </w:p>
          <w:p w:rsidR="0035701C" w:rsidRDefault="00FB561B" w:rsidP="00FB561B">
            <w:pPr>
              <w:numPr>
                <w:ilvl w:val="0"/>
                <w:numId w:val="393"/>
              </w:numPr>
              <w:spacing w:before="0" w:after="0"/>
              <w:ind w:hanging="210"/>
              <w:jc w:val="left"/>
              <w:rPr>
                <w:szCs w:val="24"/>
              </w:rPr>
            </w:pPr>
            <w:r>
              <w:rPr>
                <w:szCs w:val="24"/>
              </w:rPr>
              <w:t xml:space="preserve">n°30 : favoriser les approches du développement endogène visant à la valorisation des ressources productives, culturelles et </w:t>
            </w:r>
            <w:r>
              <w:rPr>
                <w:szCs w:val="24"/>
              </w:rPr>
              <w:t>patrimoniales des territoires.</w:t>
            </w:r>
          </w:p>
          <w:p w:rsidR="0035701C" w:rsidRDefault="00FB561B" w:rsidP="00FB561B">
            <w:pPr>
              <w:numPr>
                <w:ilvl w:val="0"/>
                <w:numId w:val="393"/>
              </w:numPr>
              <w:spacing w:before="0" w:after="0"/>
              <w:ind w:hanging="210"/>
              <w:jc w:val="left"/>
              <w:rPr>
                <w:szCs w:val="24"/>
              </w:rPr>
            </w:pPr>
            <w:r>
              <w:rPr>
                <w:szCs w:val="24"/>
              </w:rPr>
              <w:t>n°31 : Développer la mise en place des services essentiels et l'accueil en milieu rural</w:t>
            </w:r>
          </w:p>
          <w:p w:rsidR="0035701C" w:rsidRDefault="00FB561B" w:rsidP="00FB561B">
            <w:pPr>
              <w:numPr>
                <w:ilvl w:val="0"/>
                <w:numId w:val="393"/>
              </w:numPr>
              <w:spacing w:before="0" w:after="0"/>
              <w:ind w:hanging="210"/>
              <w:jc w:val="left"/>
              <w:rPr>
                <w:szCs w:val="24"/>
              </w:rPr>
            </w:pPr>
            <w:r>
              <w:rPr>
                <w:szCs w:val="24"/>
              </w:rPr>
              <w:t>n°33 : maintenir une occupation du territoire et favoriser le lien social.</w:t>
            </w:r>
          </w:p>
          <w:p w:rsidR="0035701C" w:rsidRDefault="00FB561B" w:rsidP="00FB561B">
            <w:pPr>
              <w:numPr>
                <w:ilvl w:val="0"/>
                <w:numId w:val="393"/>
              </w:numPr>
              <w:spacing w:before="0" w:after="240"/>
              <w:ind w:hanging="210"/>
              <w:jc w:val="left"/>
              <w:rPr>
                <w:szCs w:val="24"/>
              </w:rPr>
            </w:pPr>
            <w:r>
              <w:rPr>
                <w:szCs w:val="24"/>
              </w:rPr>
              <w:t>n°34 : Favoriser un équilibre territorial et économique entre </w:t>
            </w:r>
            <w:r>
              <w:rPr>
                <w:szCs w:val="24"/>
              </w:rPr>
              <w:t xml:space="preserve"> le tourisme et les autres activités.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Deux sous mesures sont mobilisées :</w:t>
            </w:r>
          </w:p>
          <w:p w:rsidR="0035701C" w:rsidRDefault="00FB561B" w:rsidP="00FB561B">
            <w:pPr>
              <w:numPr>
                <w:ilvl w:val="0"/>
                <w:numId w:val="394"/>
              </w:numPr>
              <w:spacing w:before="240" w:after="240"/>
              <w:ind w:hanging="210"/>
              <w:jc w:val="left"/>
              <w:rPr>
                <w:szCs w:val="24"/>
              </w:rPr>
            </w:pPr>
            <w:r>
              <w:rPr>
                <w:b/>
                <w:bCs/>
                <w:szCs w:val="24"/>
              </w:rPr>
              <w:t xml:space="preserve">Sous-mesure 6.1 : </w:t>
            </w:r>
            <w:r>
              <w:rPr>
                <w:szCs w:val="24"/>
              </w:rPr>
              <w:t>l’installation des agriculteurs, en réponse à la chute du nombre d’exploitations identifiée dans la stratégie, sera soutenue via la Dotation jeune agriculteur (DJ</w:t>
            </w:r>
            <w:r>
              <w:rPr>
                <w:szCs w:val="24"/>
              </w:rPr>
              <w:t>A), dotation en capital nécessaire au démarrage de l’installation. Cette opération a pour objet d’aider les candidats à l’installation âgés de moins de 40 ans qui souhaitent s’installer comme chef d’exploitation agricole pour la première fois et qui dispos</w:t>
            </w:r>
            <w:r>
              <w:rPr>
                <w:szCs w:val="24"/>
              </w:rPr>
              <w:t>ent des compétences et connaissances nécessaires. Le domaine prioritaire 2b est ciblé.</w:t>
            </w:r>
          </w:p>
          <w:p w:rsidR="0035701C" w:rsidRDefault="00FB561B">
            <w:pPr>
              <w:spacing w:before="240" w:after="240"/>
              <w:jc w:val="left"/>
              <w:rPr>
                <w:szCs w:val="24"/>
              </w:rPr>
            </w:pPr>
            <w:r>
              <w:rPr>
                <w:szCs w:val="24"/>
              </w:rPr>
              <w:t> </w:t>
            </w:r>
          </w:p>
          <w:p w:rsidR="0035701C" w:rsidRDefault="00FB561B" w:rsidP="00FB561B">
            <w:pPr>
              <w:numPr>
                <w:ilvl w:val="0"/>
                <w:numId w:val="395"/>
              </w:numPr>
              <w:spacing w:before="240" w:after="0"/>
              <w:ind w:hanging="210"/>
              <w:jc w:val="left"/>
              <w:rPr>
                <w:szCs w:val="24"/>
              </w:rPr>
            </w:pPr>
            <w:r>
              <w:rPr>
                <w:b/>
                <w:bCs/>
                <w:szCs w:val="24"/>
              </w:rPr>
              <w:t xml:space="preserve">Sous-mesure 6.4 : </w:t>
            </w:r>
            <w:r>
              <w:rPr>
                <w:szCs w:val="24"/>
              </w:rPr>
              <w:t xml:space="preserve">deux opérations sont présentées : </w:t>
            </w:r>
          </w:p>
          <w:p w:rsidR="0035701C" w:rsidRDefault="00FB561B" w:rsidP="00FB561B">
            <w:pPr>
              <w:numPr>
                <w:ilvl w:val="1"/>
                <w:numId w:val="395"/>
              </w:numPr>
              <w:spacing w:before="0" w:after="0"/>
              <w:ind w:hanging="244"/>
              <w:jc w:val="left"/>
              <w:rPr>
                <w:szCs w:val="24"/>
              </w:rPr>
            </w:pPr>
            <w:r>
              <w:rPr>
                <w:szCs w:val="24"/>
              </w:rPr>
              <w:t>Une opération sera ciblée sur le soutien aux projets de diversification non agricole en lien avec une activité agr</w:t>
            </w:r>
            <w:r>
              <w:rPr>
                <w:szCs w:val="24"/>
              </w:rPr>
              <w:t>icole. Le domaine prioritaire 6a est ciblé.</w:t>
            </w:r>
          </w:p>
          <w:p w:rsidR="0035701C" w:rsidRDefault="00FB561B" w:rsidP="00FB561B">
            <w:pPr>
              <w:numPr>
                <w:ilvl w:val="1"/>
                <w:numId w:val="395"/>
              </w:numPr>
              <w:spacing w:before="0" w:after="240"/>
              <w:ind w:hanging="244"/>
              <w:jc w:val="left"/>
              <w:rPr>
                <w:szCs w:val="24"/>
              </w:rPr>
            </w:pPr>
            <w:r>
              <w:rPr>
                <w:szCs w:val="24"/>
              </w:rPr>
              <w:t>Une opération sera consacrée à l’accompagnement des entreprises rurales qui souffrent d’un déficit de compétitivité avéré. Des soutiens aux investissements seront prévus, l’objectif étant un impact positif sur l’</w:t>
            </w:r>
            <w:r>
              <w:rPr>
                <w:szCs w:val="24"/>
              </w:rPr>
              <w:t>économie rurale en termes d’emploi, de développement local et de respect de l’environnement. Le domaine 5e est ciblé pour l’accompagnement des micro-entreprises de travaux forestiers et celles qui valorisent du bois et du liège, et le domaine prioritaire 6</w:t>
            </w:r>
            <w:r>
              <w:rPr>
                <w:szCs w:val="24"/>
              </w:rPr>
              <w:t>a est ciblé pour les autres secteurs économiques.</w:t>
            </w:r>
          </w:p>
          <w:p w:rsidR="0035701C" w:rsidRDefault="0035701C">
            <w:pPr>
              <w:pStyle w:val="Corpsdetexte"/>
            </w:pPr>
          </w:p>
        </w:tc>
      </w:tr>
    </w:tbl>
    <w:p w:rsidR="0035701C" w:rsidRDefault="00FB561B">
      <w:pPr>
        <w:pStyle w:val="Titre4"/>
        <w:jc w:val="left"/>
      </w:pPr>
      <w:r>
        <w:t xml:space="preserve">Portée, niveau du soutien, bénéficiaires admissibles et, le cas échéant, méthodologie pour le calcul du montant ou du taux d'aide selon une ventilation par sous-mesure et/ou type d'opération, si </w:t>
      </w:r>
      <w:r>
        <w:t>nécessaire. Pour chaque type d'opération, spécification des coûts admissibles, des conditions d'admissibilité, des montants et taux d'aide applicables et des principes en matière de définition des critères de sélection</w:t>
      </w:r>
    </w:p>
    <w:p w:rsidR="0035701C" w:rsidRDefault="00FB561B">
      <w:pPr>
        <w:pStyle w:val="Titre5"/>
        <w:rPr>
          <w:b w:val="0"/>
        </w:rPr>
      </w:pPr>
      <w:r>
        <w:rPr>
          <w:b w:val="0"/>
        </w:rPr>
        <w:t>6.1- DJA</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396"/>
              </w:numPr>
            </w:pPr>
            <w:r>
              <w:t xml:space="preserve">6.1 – Aide au </w:t>
            </w:r>
            <w:r>
              <w:t>démarrage d'entreprises pour les jeunes agriculteurs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Sous-titre complet de l’opération : DJA = Dotation d’installation en faveur de jeunes agriculteurs.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La sous mesure concerne un seul type d’opération : aide au démarrage</w:t>
            </w:r>
            <w:r>
              <w:rPr>
                <w:szCs w:val="24"/>
              </w:rPr>
              <w:t xml:space="preserve"> d’une exploitation agricole portée par un Jeune Agriculteur</w:t>
            </w:r>
          </w:p>
          <w:p w:rsidR="0035701C" w:rsidRDefault="00FB561B">
            <w:pPr>
              <w:spacing w:before="240" w:after="240"/>
              <w:jc w:val="left"/>
              <w:rPr>
                <w:szCs w:val="24"/>
              </w:rPr>
            </w:pPr>
            <w:r>
              <w:rPr>
                <w:szCs w:val="24"/>
              </w:rPr>
              <w:t>Il s’agit de soutenir la phase de démarrage de l’exploitation durant laquelle le JA doit se constituer un revenu  et mettre en œuvre son projet sur fonds propres ou avec le recours à l’emprunt.</w:t>
            </w:r>
          </w:p>
          <w:p w:rsidR="0035701C" w:rsidRDefault="00FB561B">
            <w:pPr>
              <w:spacing w:before="240" w:after="240"/>
              <w:jc w:val="left"/>
              <w:rPr>
                <w:szCs w:val="24"/>
              </w:rPr>
            </w:pPr>
            <w:r>
              <w:rPr>
                <w:szCs w:val="24"/>
              </w:rPr>
              <w:t>L</w:t>
            </w:r>
            <w:r>
              <w:rPr>
                <w:szCs w:val="24"/>
              </w:rPr>
              <w:t>es montants de l’aide sont établis afin d’avoir un effet incitatif visant à attirer un public jeune vers le métier d’agriculteur, avec des projets répondant aux orientations du programme, tout en tenant compte de la situation socio-économique de la zone de</w:t>
            </w:r>
            <w:r>
              <w:rPr>
                <w:szCs w:val="24"/>
              </w:rPr>
              <w:t xml:space="preserve"> programmation qui présente un PIB par habitant de 24 979€ inférieur à la fois à la moyenne européenne (90% de IC8-EU27) et à la moyenne nationale (IC8 = 108), ainsi que des exploitations agricoles ayant un niveau de revenu moindre par rapport à la moyenne</w:t>
            </w:r>
            <w:r>
              <w:rPr>
                <w:szCs w:val="24"/>
              </w:rPr>
              <w:t xml:space="preserve"> nationale (cf. IC 25 et IC 26).</w:t>
            </w:r>
          </w:p>
          <w:p w:rsidR="0035701C" w:rsidRDefault="00FB561B">
            <w:pPr>
              <w:spacing w:before="240" w:after="240"/>
              <w:jc w:val="left"/>
              <w:rPr>
                <w:szCs w:val="24"/>
              </w:rPr>
            </w:pPr>
            <w:r>
              <w:rPr>
                <w:szCs w:val="24"/>
              </w:rPr>
              <w:t>La mesure cible plus spécifiquement la priorité 2-B : faciliter le renouvellement des générations dans le secteur de l'agriculture. Ce type d'opération répond :</w:t>
            </w:r>
          </w:p>
          <w:p w:rsidR="0035701C" w:rsidRDefault="00FB561B" w:rsidP="00FB561B">
            <w:pPr>
              <w:numPr>
                <w:ilvl w:val="0"/>
                <w:numId w:val="397"/>
              </w:numPr>
              <w:spacing w:before="240" w:after="0"/>
              <w:ind w:hanging="210"/>
              <w:jc w:val="left"/>
              <w:rPr>
                <w:szCs w:val="24"/>
              </w:rPr>
            </w:pPr>
            <w:r>
              <w:rPr>
                <w:szCs w:val="24"/>
              </w:rPr>
              <w:t>au besoin n° 7 « Maintenir, augmenter le nombre d'actif agrico</w:t>
            </w:r>
            <w:r>
              <w:rPr>
                <w:szCs w:val="24"/>
              </w:rPr>
              <w:t>le redynamiser les démarches de détection d'installation et de transmission » dans la mesure où l'aide au démarrage a vocation à inciter des jeunes à s'installer en agriculture et ainsi participe à la lutte contre la baisse des effectifs agricoles</w:t>
            </w:r>
          </w:p>
          <w:p w:rsidR="0035701C" w:rsidRDefault="00FB561B" w:rsidP="00FB561B">
            <w:pPr>
              <w:numPr>
                <w:ilvl w:val="0"/>
                <w:numId w:val="397"/>
              </w:numPr>
              <w:spacing w:before="0" w:after="240"/>
              <w:ind w:hanging="210"/>
              <w:jc w:val="left"/>
              <w:rPr>
                <w:szCs w:val="24"/>
              </w:rPr>
            </w:pPr>
            <w:r>
              <w:rPr>
                <w:szCs w:val="24"/>
              </w:rPr>
              <w:t>et à dou</w:t>
            </w:r>
            <w:r>
              <w:rPr>
                <w:szCs w:val="24"/>
              </w:rPr>
              <w:t>ble titre au besoin n° 4 « Sensibiliser, communiquer et Eduquer sur les produits et savoir-faire locaux » dans la mesure où d’une part les spécificités et l’originalité des productions insulaires véhiculent une image positive du métier d’agriculteur et doi</w:t>
            </w:r>
            <w:r>
              <w:rPr>
                <w:szCs w:val="24"/>
              </w:rPr>
              <w:t>vent constituer un facteur d’attractivité pour les jeunes générations, d’autre part le renouvellement générationnel va lui-même participer à la pérennisation de ces savoirs faire identitaires régionaux.</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i/>
                <w:iCs/>
                <w:szCs w:val="24"/>
              </w:rPr>
              <w:t>Projet d'installation</w:t>
            </w:r>
          </w:p>
          <w:p w:rsidR="0035701C" w:rsidRDefault="00FB561B">
            <w:pPr>
              <w:spacing w:before="240" w:after="240"/>
              <w:jc w:val="left"/>
              <w:rPr>
                <w:szCs w:val="24"/>
              </w:rPr>
            </w:pPr>
            <w:r>
              <w:rPr>
                <w:szCs w:val="24"/>
              </w:rPr>
              <w:t>Cette aide est liée à la mise</w:t>
            </w:r>
            <w:r>
              <w:rPr>
                <w:szCs w:val="24"/>
              </w:rPr>
              <w:t xml:space="preserve"> en œuvre d’un projet d’installation comprenant un plan d’entreprise décliné sur 4 ans (n1 à n4) et des engagements contractuels.</w:t>
            </w:r>
          </w:p>
          <w:p w:rsidR="0035701C" w:rsidRDefault="00FB561B">
            <w:pPr>
              <w:spacing w:before="240" w:after="240"/>
              <w:jc w:val="left"/>
              <w:rPr>
                <w:szCs w:val="24"/>
              </w:rPr>
            </w:pPr>
            <w:r>
              <w:rPr>
                <w:szCs w:val="24"/>
              </w:rPr>
              <w:t>L’agriculteur peut s’installer :</w:t>
            </w:r>
          </w:p>
          <w:p w:rsidR="0035701C" w:rsidRDefault="00FB561B" w:rsidP="00FB561B">
            <w:pPr>
              <w:numPr>
                <w:ilvl w:val="0"/>
                <w:numId w:val="398"/>
              </w:numPr>
              <w:spacing w:before="240" w:after="0"/>
              <w:ind w:hanging="210"/>
              <w:jc w:val="left"/>
              <w:rPr>
                <w:szCs w:val="24"/>
              </w:rPr>
            </w:pPr>
            <w:r>
              <w:rPr>
                <w:szCs w:val="24"/>
              </w:rPr>
              <w:t>En qualité d’agriculteur à titre principal,</w:t>
            </w:r>
          </w:p>
          <w:p w:rsidR="0035701C" w:rsidRDefault="00FB561B" w:rsidP="00FB561B">
            <w:pPr>
              <w:numPr>
                <w:ilvl w:val="0"/>
                <w:numId w:val="398"/>
              </w:numPr>
              <w:spacing w:before="0" w:after="0"/>
              <w:ind w:hanging="210"/>
              <w:jc w:val="left"/>
              <w:rPr>
                <w:szCs w:val="24"/>
              </w:rPr>
            </w:pPr>
            <w:r>
              <w:rPr>
                <w:szCs w:val="24"/>
              </w:rPr>
              <w:t>En qualité d’agriculteur à titre secondaire,</w:t>
            </w:r>
          </w:p>
          <w:p w:rsidR="0035701C" w:rsidRDefault="00FB561B" w:rsidP="00FB561B">
            <w:pPr>
              <w:numPr>
                <w:ilvl w:val="0"/>
                <w:numId w:val="398"/>
              </w:numPr>
              <w:spacing w:before="0" w:after="240"/>
              <w:ind w:hanging="210"/>
              <w:jc w:val="left"/>
              <w:rPr>
                <w:szCs w:val="24"/>
              </w:rPr>
            </w:pPr>
            <w:r>
              <w:rPr>
                <w:szCs w:val="24"/>
              </w:rPr>
              <w:t xml:space="preserve">Ou </w:t>
            </w:r>
            <w:r>
              <w:rPr>
                <w:szCs w:val="24"/>
              </w:rPr>
              <w:t>dans le cadre d’un dispositif d’installation progressive conduisant le chef d’exploitation à développer au fur et à mesure son projet pour disposer à terme d’une exploitation viable et devenir agriculteur à titre principal.</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i/>
                <w:iCs/>
                <w:szCs w:val="24"/>
              </w:rPr>
              <w:t>Parcours à l’installation</w:t>
            </w:r>
          </w:p>
          <w:p w:rsidR="0035701C" w:rsidRDefault="00FB561B" w:rsidP="00FB561B">
            <w:pPr>
              <w:numPr>
                <w:ilvl w:val="0"/>
                <w:numId w:val="399"/>
              </w:numPr>
              <w:spacing w:before="240" w:after="0"/>
              <w:ind w:hanging="210"/>
              <w:jc w:val="left"/>
              <w:rPr>
                <w:szCs w:val="24"/>
              </w:rPr>
            </w:pPr>
            <w:r>
              <w:rPr>
                <w:szCs w:val="24"/>
              </w:rPr>
              <w:t>Un p</w:t>
            </w:r>
            <w:r>
              <w:rPr>
                <w:szCs w:val="24"/>
              </w:rPr>
              <w:t>arcours à l’installation est mis à profit pour dimensionner et consolider le projet d’installation, y compris pour ce qui concerne la professionnalisation du candidat.</w:t>
            </w:r>
          </w:p>
          <w:p w:rsidR="0035701C" w:rsidRDefault="00FB561B" w:rsidP="00FB561B">
            <w:pPr>
              <w:numPr>
                <w:ilvl w:val="0"/>
                <w:numId w:val="399"/>
              </w:numPr>
              <w:spacing w:before="0" w:after="240"/>
              <w:ind w:hanging="210"/>
              <w:jc w:val="left"/>
              <w:rPr>
                <w:szCs w:val="24"/>
              </w:rPr>
            </w:pPr>
            <w:r>
              <w:rPr>
                <w:szCs w:val="24"/>
              </w:rPr>
              <w:t>Le parcours prévoit plusieurs possibilités d’accompagnement du candidat par l’administra</w:t>
            </w:r>
            <w:r>
              <w:rPr>
                <w:szCs w:val="24"/>
              </w:rPr>
              <w:t>tion, les organismes professionnels agricoles et les représentants professionnels des filières concernées, préalablement à l’introduction de la demande d’aide : élaboration d’un pré-projet, point sur les compétences, visite sur site des techniciens et prof</w:t>
            </w:r>
            <w:r>
              <w:rPr>
                <w:szCs w:val="24"/>
              </w:rPr>
              <w:t>essionnels du secteur, avis technique, appui au montage du plan d’entreprise.</w:t>
            </w:r>
            <w:r>
              <w:rPr>
                <w:szCs w:val="24"/>
              </w:rPr>
              <w:br/>
              <w:t>Cette période doit également permettre au candidat d’engager les actes administratifs et juridiques nécessaires à l’acquisition des actifs de l’entreprise et à la formalisation c</w:t>
            </w:r>
            <w:r>
              <w:rPr>
                <w:szCs w:val="24"/>
              </w:rPr>
              <w:t>oncomitante d’un plan d’entreprise.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i/>
                <w:iCs/>
                <w:szCs w:val="24"/>
              </w:rPr>
              <w:t>Engagements</w:t>
            </w:r>
          </w:p>
          <w:p w:rsidR="0035701C" w:rsidRDefault="00FB561B">
            <w:pPr>
              <w:spacing w:before="240" w:after="240"/>
              <w:jc w:val="left"/>
              <w:rPr>
                <w:szCs w:val="24"/>
              </w:rPr>
            </w:pPr>
            <w:r>
              <w:rPr>
                <w:szCs w:val="24"/>
              </w:rPr>
              <w:t>Le candidat à l'installation devra souscrire aux engagements relatifs à la mise en œuvre du projet, notamment :</w:t>
            </w:r>
          </w:p>
          <w:p w:rsidR="0035701C" w:rsidRDefault="00FB561B" w:rsidP="00FB561B">
            <w:pPr>
              <w:numPr>
                <w:ilvl w:val="0"/>
                <w:numId w:val="400"/>
              </w:numPr>
              <w:spacing w:before="240" w:after="0"/>
              <w:ind w:hanging="210"/>
              <w:jc w:val="left"/>
              <w:rPr>
                <w:szCs w:val="24"/>
              </w:rPr>
            </w:pPr>
            <w:r>
              <w:rPr>
                <w:i/>
                <w:iCs/>
                <w:szCs w:val="24"/>
              </w:rPr>
              <w:t>Engagements généraux</w:t>
            </w:r>
            <w:r>
              <w:rPr>
                <w:szCs w:val="24"/>
              </w:rPr>
              <w:t xml:space="preserve"> </w:t>
            </w:r>
          </w:p>
          <w:p w:rsidR="0035701C" w:rsidRDefault="00FB561B" w:rsidP="00FB561B">
            <w:pPr>
              <w:numPr>
                <w:ilvl w:val="1"/>
                <w:numId w:val="400"/>
              </w:numPr>
              <w:spacing w:before="0" w:after="0"/>
              <w:ind w:hanging="244"/>
              <w:jc w:val="left"/>
              <w:rPr>
                <w:szCs w:val="24"/>
              </w:rPr>
            </w:pPr>
            <w:r>
              <w:rPr>
                <w:szCs w:val="24"/>
              </w:rPr>
              <w:t xml:space="preserve">débuter la mise en œuvre du contenu du projet d’installation dans un </w:t>
            </w:r>
            <w:r>
              <w:rPr>
                <w:szCs w:val="24"/>
              </w:rPr>
              <w:t>délai de 9 mois à compter de la date de la décision d'octroi de l'aide</w:t>
            </w:r>
          </w:p>
          <w:p w:rsidR="0035701C" w:rsidRDefault="00FB561B" w:rsidP="00FB561B">
            <w:pPr>
              <w:numPr>
                <w:ilvl w:val="1"/>
                <w:numId w:val="400"/>
              </w:numPr>
              <w:spacing w:before="0" w:after="0"/>
              <w:ind w:hanging="244"/>
              <w:jc w:val="left"/>
              <w:rPr>
                <w:szCs w:val="24"/>
              </w:rPr>
            </w:pPr>
            <w:r>
              <w:rPr>
                <w:szCs w:val="24"/>
              </w:rPr>
              <w:t>être « agriculteur actif » dans un délai de 18 mois à compter de la date de l'installation, tel que prévu dans l'article 9 du règlement 1307/2013</w:t>
            </w:r>
          </w:p>
          <w:p w:rsidR="0035701C" w:rsidRDefault="00FB561B" w:rsidP="00FB561B">
            <w:pPr>
              <w:numPr>
                <w:ilvl w:val="1"/>
                <w:numId w:val="400"/>
              </w:numPr>
              <w:spacing w:before="0" w:after="0"/>
              <w:ind w:hanging="244"/>
              <w:jc w:val="left"/>
              <w:rPr>
                <w:szCs w:val="24"/>
              </w:rPr>
            </w:pPr>
            <w:r>
              <w:rPr>
                <w:szCs w:val="24"/>
              </w:rPr>
              <w:t>rester exploitant agricole durant 5 ann</w:t>
            </w:r>
            <w:r>
              <w:rPr>
                <w:szCs w:val="24"/>
              </w:rPr>
              <w:t>ées à compter de la date du constat d'installation</w:t>
            </w:r>
          </w:p>
          <w:p w:rsidR="0035701C" w:rsidRDefault="00FB561B" w:rsidP="00FB561B">
            <w:pPr>
              <w:numPr>
                <w:ilvl w:val="1"/>
                <w:numId w:val="400"/>
              </w:numPr>
              <w:spacing w:before="0" w:after="0"/>
              <w:ind w:hanging="244"/>
              <w:jc w:val="left"/>
              <w:rPr>
                <w:szCs w:val="24"/>
              </w:rPr>
            </w:pPr>
            <w:r>
              <w:rPr>
                <w:szCs w:val="24"/>
              </w:rPr>
              <w:t>satisfaire aux obligations de publicité FEADER ;</w:t>
            </w:r>
          </w:p>
          <w:p w:rsidR="0035701C" w:rsidRDefault="00FB561B" w:rsidP="00FB561B">
            <w:pPr>
              <w:numPr>
                <w:ilvl w:val="1"/>
                <w:numId w:val="400"/>
              </w:numPr>
              <w:spacing w:before="0" w:after="0"/>
              <w:ind w:hanging="244"/>
              <w:jc w:val="left"/>
              <w:rPr>
                <w:szCs w:val="24"/>
              </w:rPr>
            </w:pPr>
            <w:r>
              <w:rPr>
                <w:szCs w:val="24"/>
              </w:rPr>
              <w:t>informer immédiatement l'autorité de gestion de toute cessation d'activité ainsi que des modifications intervenant dans la mise en œuvre du plan d’entrepris</w:t>
            </w:r>
            <w:r>
              <w:rPr>
                <w:szCs w:val="24"/>
              </w:rPr>
              <w:t>e.</w:t>
            </w:r>
          </w:p>
          <w:p w:rsidR="0035701C" w:rsidRDefault="00FB561B" w:rsidP="00FB561B">
            <w:pPr>
              <w:numPr>
                <w:ilvl w:val="1"/>
                <w:numId w:val="400"/>
              </w:numPr>
              <w:spacing w:before="0" w:after="0"/>
              <w:ind w:hanging="244"/>
              <w:jc w:val="left"/>
              <w:rPr>
                <w:szCs w:val="24"/>
              </w:rPr>
            </w:pPr>
            <w:r>
              <w:rPr>
                <w:szCs w:val="24"/>
              </w:rPr>
              <w:t>se conformer aux obligations liées aux contrôles administratifs de fin du projet d’installation</w:t>
            </w:r>
          </w:p>
          <w:p w:rsidR="0035701C" w:rsidRDefault="00FB561B" w:rsidP="00FB561B">
            <w:pPr>
              <w:numPr>
                <w:ilvl w:val="1"/>
                <w:numId w:val="400"/>
              </w:numPr>
              <w:spacing w:before="0" w:after="0"/>
              <w:ind w:hanging="244"/>
              <w:jc w:val="left"/>
              <w:rPr>
                <w:szCs w:val="24"/>
              </w:rPr>
            </w:pPr>
            <w:r>
              <w:rPr>
                <w:szCs w:val="24"/>
              </w:rPr>
              <w:t>se soumettre à tout contrôle, sur place, sur pièces, communautaire ou national, pendant et après la durée du projet d’installation.</w:t>
            </w:r>
          </w:p>
          <w:p w:rsidR="0035701C" w:rsidRDefault="00FB561B" w:rsidP="00FB561B">
            <w:pPr>
              <w:numPr>
                <w:ilvl w:val="1"/>
                <w:numId w:val="400"/>
              </w:numPr>
              <w:spacing w:before="0" w:after="0"/>
              <w:ind w:hanging="244"/>
              <w:jc w:val="left"/>
              <w:rPr>
                <w:szCs w:val="24"/>
              </w:rPr>
            </w:pPr>
            <w:r>
              <w:rPr>
                <w:szCs w:val="24"/>
              </w:rPr>
              <w:t xml:space="preserve">Tenue d’une comptabilité </w:t>
            </w:r>
            <w:r>
              <w:rPr>
                <w:szCs w:val="24"/>
              </w:rPr>
              <w:t>réalisée par un organisme habilité (expert comptable, centre de gestion).</w:t>
            </w:r>
          </w:p>
          <w:p w:rsidR="0035701C" w:rsidRDefault="00FB561B" w:rsidP="00FB561B">
            <w:pPr>
              <w:numPr>
                <w:ilvl w:val="1"/>
                <w:numId w:val="400"/>
              </w:numPr>
              <w:spacing w:before="0" w:after="240"/>
              <w:ind w:hanging="244"/>
              <w:jc w:val="left"/>
              <w:rPr>
                <w:szCs w:val="24"/>
              </w:rPr>
            </w:pPr>
            <w:r>
              <w:rPr>
                <w:i/>
                <w:iCs/>
                <w:szCs w:val="24"/>
              </w:rPr>
              <w:t>en cas d'acquisition progressive de la capacité professionnelle</w:t>
            </w:r>
            <w:r>
              <w:rPr>
                <w:szCs w:val="24"/>
              </w:rPr>
              <w:t> : suivre une formation complémentaire afin d'acquérir le diplôme ou équivalent requis dans le délai maximum de 3 ans à</w:t>
            </w:r>
            <w:r>
              <w:rPr>
                <w:szCs w:val="24"/>
              </w:rPr>
              <w:t xml:space="preserve"> compter de la date de décision d'octroi ;</w:t>
            </w:r>
          </w:p>
          <w:p w:rsidR="0035701C" w:rsidRDefault="00FB561B">
            <w:pPr>
              <w:spacing w:before="240" w:after="240"/>
              <w:jc w:val="left"/>
              <w:rPr>
                <w:szCs w:val="24"/>
              </w:rPr>
            </w:pPr>
            <w:r>
              <w:rPr>
                <w:szCs w:val="24"/>
              </w:rPr>
              <w:t> </w:t>
            </w:r>
          </w:p>
          <w:p w:rsidR="0035701C" w:rsidRDefault="00FB561B" w:rsidP="00FB561B">
            <w:pPr>
              <w:numPr>
                <w:ilvl w:val="0"/>
                <w:numId w:val="401"/>
              </w:numPr>
              <w:spacing w:before="240" w:after="0"/>
              <w:ind w:hanging="210"/>
              <w:jc w:val="left"/>
              <w:rPr>
                <w:szCs w:val="24"/>
              </w:rPr>
            </w:pPr>
            <w:r>
              <w:rPr>
                <w:i/>
                <w:iCs/>
                <w:szCs w:val="24"/>
              </w:rPr>
              <w:t>Engagements spécifiques</w:t>
            </w:r>
            <w:r>
              <w:rPr>
                <w:szCs w:val="24"/>
              </w:rPr>
              <w:t xml:space="preserve">  </w:t>
            </w:r>
          </w:p>
          <w:p w:rsidR="0035701C" w:rsidRDefault="00FB561B" w:rsidP="00FB561B">
            <w:pPr>
              <w:numPr>
                <w:ilvl w:val="1"/>
                <w:numId w:val="401"/>
              </w:numPr>
              <w:spacing w:before="0" w:after="0"/>
              <w:ind w:hanging="244"/>
              <w:jc w:val="left"/>
              <w:rPr>
                <w:szCs w:val="24"/>
              </w:rPr>
            </w:pPr>
            <w:r>
              <w:rPr>
                <w:szCs w:val="24"/>
              </w:rPr>
              <w:t>satisfaire aux engagements et aux prescriptions techniques pour les filières de production validés par l’Autorité de Gestion qui conditionnent la bonne mise en œuvre du projet, et notam</w:t>
            </w:r>
            <w:r>
              <w:rPr>
                <w:szCs w:val="24"/>
              </w:rPr>
              <w:t>ment la réalisation des formations obligatoires et le suivi de l’appui technique définis pour chaque filière de production auxquels l’exploitation se réfère.</w:t>
            </w:r>
          </w:p>
          <w:p w:rsidR="0035701C" w:rsidRDefault="00FB561B" w:rsidP="00FB561B">
            <w:pPr>
              <w:numPr>
                <w:ilvl w:val="1"/>
                <w:numId w:val="401"/>
              </w:numPr>
              <w:spacing w:before="0" w:after="240"/>
              <w:ind w:hanging="244"/>
              <w:jc w:val="left"/>
              <w:rPr>
                <w:szCs w:val="24"/>
              </w:rPr>
            </w:pPr>
            <w:r>
              <w:rPr>
                <w:szCs w:val="24"/>
              </w:rPr>
              <w:t xml:space="preserve">Satisfaire aux conditions découlant de l’application des critères de modulation de l’aide dont </w:t>
            </w:r>
            <w:r>
              <w:rPr>
                <w:szCs w:val="24"/>
              </w:rPr>
              <w:t>bénéficie le candidat.</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i/>
                <w:iCs/>
                <w:szCs w:val="24"/>
              </w:rPr>
              <w:t>Engagement ex-post</w:t>
            </w:r>
            <w:r>
              <w:rPr>
                <w:szCs w:val="24"/>
              </w:rPr>
              <w:t> </w:t>
            </w:r>
          </w:p>
          <w:p w:rsidR="0035701C" w:rsidRDefault="00FB561B" w:rsidP="00FB561B">
            <w:pPr>
              <w:numPr>
                <w:ilvl w:val="0"/>
                <w:numId w:val="402"/>
              </w:numPr>
              <w:spacing w:before="240" w:after="240"/>
              <w:ind w:hanging="210"/>
              <w:jc w:val="left"/>
              <w:rPr>
                <w:szCs w:val="24"/>
              </w:rPr>
            </w:pPr>
            <w:r>
              <w:rPr>
                <w:szCs w:val="24"/>
              </w:rPr>
              <w:t>Une vérification ex post au terme du 5ième exercice comptable devra permettre de constater l’atteinte d’un revenu minimum égal à 80% du SMIC en fin de projet.</w:t>
            </w:r>
          </w:p>
          <w:p w:rsidR="0035701C" w:rsidRDefault="00FB561B">
            <w:pPr>
              <w:spacing w:before="240" w:after="240"/>
              <w:ind w:left="1440"/>
              <w:jc w:val="left"/>
              <w:rPr>
                <w:szCs w:val="24"/>
              </w:rPr>
            </w:pPr>
            <w:r>
              <w:rPr>
                <w:szCs w:val="24"/>
              </w:rPr>
              <w:t> </w:t>
            </w:r>
          </w:p>
          <w:p w:rsidR="0035701C" w:rsidRDefault="00FB561B">
            <w:pPr>
              <w:spacing w:before="240" w:after="240"/>
              <w:jc w:val="left"/>
              <w:rPr>
                <w:szCs w:val="24"/>
              </w:rPr>
            </w:pPr>
            <w:r>
              <w:rPr>
                <w:b/>
                <w:bCs/>
                <w:i/>
                <w:iCs/>
                <w:szCs w:val="24"/>
              </w:rPr>
              <w:t>Autres aides au démarrage</w:t>
            </w:r>
          </w:p>
          <w:p w:rsidR="0035701C" w:rsidRDefault="00FB561B">
            <w:pPr>
              <w:spacing w:before="240" w:after="240"/>
              <w:jc w:val="left"/>
              <w:rPr>
                <w:szCs w:val="24"/>
              </w:rPr>
            </w:pPr>
            <w:r>
              <w:rPr>
                <w:szCs w:val="24"/>
              </w:rPr>
              <w:t>La dotation pourra s’ass</w:t>
            </w:r>
            <w:r>
              <w:rPr>
                <w:szCs w:val="24"/>
              </w:rPr>
              <w:t>ortir de dispositifs complémentaires, notamment d’outils régionaux d’ingénierie financière au bénéfice des Jeunes Agriculteurs. Dans ce cas l’ensemble des aides au démarrage pour cette catégorie d’entreprise doit respecter le plafond de 70.000€.</w:t>
            </w:r>
          </w:p>
          <w:p w:rsidR="0035701C" w:rsidRDefault="0035701C">
            <w:pPr>
              <w:pStyle w:val="Corpsdetexte"/>
            </w:pPr>
          </w:p>
        </w:tc>
      </w:tr>
    </w:tbl>
    <w:p w:rsidR="0035701C" w:rsidRDefault="00FB561B">
      <w:pPr>
        <w:pStyle w:val="Titre6"/>
      </w:pPr>
      <w:r>
        <w:t xml:space="preserve">Type de </w:t>
      </w:r>
      <w:r>
        <w:t>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prend la forme d’une dotation forfaitaire versée en plusieurs tranches (cf. tableau joint : « 6.1-tranches DJA ») sur une durée maximale de 5 ans :</w:t>
            </w:r>
          </w:p>
          <w:p w:rsidR="0035701C" w:rsidRDefault="00FB561B" w:rsidP="00FB561B">
            <w:pPr>
              <w:numPr>
                <w:ilvl w:val="0"/>
                <w:numId w:val="403"/>
              </w:numPr>
              <w:spacing w:before="240" w:after="0"/>
              <w:ind w:hanging="210"/>
              <w:jc w:val="left"/>
              <w:rPr>
                <w:szCs w:val="24"/>
              </w:rPr>
            </w:pPr>
            <w:r>
              <w:rPr>
                <w:szCs w:val="24"/>
              </w:rPr>
              <w:t>1ère  tranche de 80% du montant de la dotation, versée au démarr</w:t>
            </w:r>
            <w:r>
              <w:rPr>
                <w:szCs w:val="24"/>
              </w:rPr>
              <w:t>age du projet, à la réalisation du constat d’installation.</w:t>
            </w:r>
          </w:p>
          <w:p w:rsidR="0035701C" w:rsidRDefault="00FB561B" w:rsidP="00FB561B">
            <w:pPr>
              <w:numPr>
                <w:ilvl w:val="0"/>
                <w:numId w:val="403"/>
              </w:numPr>
              <w:spacing w:before="0" w:after="0"/>
              <w:ind w:hanging="210"/>
              <w:jc w:val="left"/>
              <w:rPr>
                <w:szCs w:val="24"/>
              </w:rPr>
            </w:pPr>
            <w:r>
              <w:rPr>
                <w:szCs w:val="24"/>
              </w:rPr>
              <w:t>2ème  tranche, au constat de réalisation et de bonne mise en œuvre du projet d’installation.</w:t>
            </w:r>
          </w:p>
          <w:p w:rsidR="0035701C" w:rsidRDefault="00FB561B" w:rsidP="00FB561B">
            <w:pPr>
              <w:numPr>
                <w:ilvl w:val="0"/>
                <w:numId w:val="403"/>
              </w:numPr>
              <w:spacing w:before="0" w:after="0"/>
              <w:ind w:hanging="210"/>
              <w:jc w:val="left"/>
              <w:rPr>
                <w:szCs w:val="24"/>
              </w:rPr>
            </w:pPr>
            <w:r>
              <w:rPr>
                <w:szCs w:val="24"/>
              </w:rPr>
              <w:t>En cas d’installation progressive menant au statut d’agriculteur à titre principal, le montant de la pre</w:t>
            </w:r>
            <w:r>
              <w:rPr>
                <w:szCs w:val="24"/>
              </w:rPr>
              <w:t>mière et de la deuxième tranche est de 50% de l’aide</w:t>
            </w:r>
          </w:p>
          <w:p w:rsidR="0035701C" w:rsidRDefault="00FB561B" w:rsidP="00FB561B">
            <w:pPr>
              <w:numPr>
                <w:ilvl w:val="0"/>
                <w:numId w:val="403"/>
              </w:numPr>
              <w:spacing w:before="0" w:after="240"/>
              <w:ind w:hanging="210"/>
              <w:jc w:val="left"/>
              <w:rPr>
                <w:szCs w:val="24"/>
              </w:rPr>
            </w:pPr>
            <w:r>
              <w:rPr>
                <w:szCs w:val="24"/>
              </w:rPr>
              <w:t>En cas d’acquisition progressive de la capacité professionnelle, la première tranche est établie à 50% du montant de la dotation et un paiement intermédiaire de 30% du montant de la dotation intervient a</w:t>
            </w:r>
            <w:r>
              <w:rPr>
                <w:szCs w:val="24"/>
              </w:rPr>
              <w:t xml:space="preserve">u moment de l’obtention de la capacité professionnelle ; celle-ci devant être obtenu au plus tard dans les 3 ans à compter de la date de décision d’octroi  de l’aide, conformément à l’article 2 § 3 du Règlement délégué (UE) 807/2014 de la Commission du 11 </w:t>
            </w:r>
            <w:r>
              <w:rPr>
                <w:szCs w:val="24"/>
              </w:rPr>
              <w:t>Mars 2014 complétant le Règlement 1305/2013.</w:t>
            </w:r>
          </w:p>
          <w:p w:rsidR="0035701C" w:rsidRDefault="00FB561B">
            <w:pPr>
              <w:spacing w:before="240" w:after="240"/>
              <w:jc w:val="left"/>
              <w:rPr>
                <w:szCs w:val="24"/>
              </w:rPr>
            </w:pPr>
            <w:r>
              <w:rPr>
                <w:szCs w:val="24"/>
              </w:rPr>
              <w:t>La mise en œuvre du projet d’installation doit commencer et être constatée par l’AG (constat d’installation) dans un délai maximum de 9 mois à compter de la date de la décision d'octroi de l’aide.</w:t>
            </w:r>
          </w:p>
          <w:p w:rsidR="0035701C" w:rsidRDefault="00FB561B">
            <w:pPr>
              <w:spacing w:before="240" w:after="240"/>
              <w:jc w:val="left"/>
              <w:rPr>
                <w:szCs w:val="24"/>
              </w:rPr>
            </w:pPr>
            <w:r>
              <w:rPr>
                <w:szCs w:val="24"/>
              </w:rPr>
              <w:t xml:space="preserve">Le constat </w:t>
            </w:r>
            <w:r>
              <w:rPr>
                <w:szCs w:val="24"/>
              </w:rPr>
              <w:t>d’installation établit la reconnaissance du positionnement du jeune agriculteur en tant que chef de l’exploitation, et disposant pleinement des ressources nécessaires au démarrage de l’activité agricole.</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5162550" cy="2514600"/>
                  <wp:effectExtent l="0" t="0" r="0" b="0"/>
                  <wp:docPr id="100088" name="Image 100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
                          <pic:cNvPicPr>
                            <a:picLocks noChangeAspect="1"/>
                          </pic:cNvPicPr>
                        </pic:nvPicPr>
                        <pic:blipFill>
                          <a:blip r:embed="rId56"/>
                          <a:stretch>
                            <a:fillRect/>
                          </a:stretch>
                        </pic:blipFill>
                        <pic:spPr>
                          <a:xfrm>
                            <a:off x="0" y="0"/>
                            <a:ext cx="5162550" cy="2514600"/>
                          </a:xfrm>
                          <a:prstGeom prst="rect">
                            <a:avLst/>
                          </a:prstGeom>
                        </pic:spPr>
                      </pic:pic>
                    </a:graphicData>
                  </a:graphic>
                </wp:inline>
              </w:drawing>
            </w:r>
          </w:p>
          <w:p w:rsidR="0035701C" w:rsidRDefault="00FB561B">
            <w:pPr>
              <w:pStyle w:val="Pieddepage"/>
              <w:jc w:val="center"/>
            </w:pPr>
            <w:r>
              <w:t>6.1-tranches DJA</w:t>
            </w:r>
          </w:p>
          <w:p w:rsidR="0035701C" w:rsidRDefault="0035701C">
            <w:pPr>
              <w:pStyle w:val="Pieddepage"/>
              <w:jc w:val="center"/>
            </w:pPr>
          </w:p>
        </w:tc>
      </w:tr>
    </w:tbl>
    <w:p w:rsidR="0035701C" w:rsidRDefault="00FB561B">
      <w:pPr>
        <w:pStyle w:val="Titre6"/>
      </w:pPr>
      <w:r>
        <w:t>Liens vers d'autres actes légi</w:t>
      </w:r>
      <w:r>
        <w:t>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Code Rural</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i/>
                <w:iCs/>
                <w:szCs w:val="24"/>
              </w:rPr>
              <w:t>Public cible</w:t>
            </w:r>
            <w:r>
              <w:rPr>
                <w:szCs w:val="24"/>
              </w:rPr>
              <w:t> :</w:t>
            </w:r>
          </w:p>
          <w:p w:rsidR="0035701C" w:rsidRDefault="00FB561B">
            <w:pPr>
              <w:spacing w:before="240" w:after="240"/>
              <w:jc w:val="left"/>
              <w:rPr>
                <w:szCs w:val="24"/>
              </w:rPr>
            </w:pPr>
            <w:r>
              <w:rPr>
                <w:szCs w:val="24"/>
              </w:rPr>
              <w:t xml:space="preserve">"Jeune agriculteur" : personne qui n'est pas âgée de plus de 40 ans au moment de la présentation de la demande d’aide à l’installation, qui possède des connaissances et des compétences professionnelles </w:t>
            </w:r>
            <w:r>
              <w:rPr>
                <w:szCs w:val="24"/>
              </w:rPr>
              <w:t>suffisantes et qui s'installe pour la première fois dans une exploitation agricole comme chef de ladite exploitation.</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forfaitaire.</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au démarrage relative à l’installation des jeunes agriculteurs e</w:t>
            </w:r>
            <w:r>
              <w:rPr>
                <w:szCs w:val="24"/>
              </w:rPr>
              <w:t>st conditionnée au respect des exigences suivantes :</w:t>
            </w:r>
          </w:p>
          <w:p w:rsidR="0035701C" w:rsidRDefault="00FB561B" w:rsidP="00FB561B">
            <w:pPr>
              <w:numPr>
                <w:ilvl w:val="0"/>
                <w:numId w:val="404"/>
              </w:numPr>
              <w:spacing w:before="240" w:after="0"/>
              <w:ind w:hanging="210"/>
              <w:jc w:val="left"/>
              <w:rPr>
                <w:szCs w:val="24"/>
              </w:rPr>
            </w:pPr>
            <w:r>
              <w:rPr>
                <w:szCs w:val="24"/>
              </w:rPr>
              <w:t xml:space="preserve">Les candidats doivent s’insérer dans un parcours à l’installation tel que défini dans la section « Description » du TO : </w:t>
            </w:r>
          </w:p>
          <w:p w:rsidR="0035701C" w:rsidRDefault="00FB561B" w:rsidP="00FB561B">
            <w:pPr>
              <w:numPr>
                <w:ilvl w:val="1"/>
                <w:numId w:val="404"/>
              </w:numPr>
              <w:spacing w:before="0" w:after="0"/>
              <w:ind w:hanging="244"/>
              <w:jc w:val="left"/>
              <w:rPr>
                <w:szCs w:val="24"/>
              </w:rPr>
            </w:pPr>
            <w:r>
              <w:rPr>
                <w:szCs w:val="24"/>
              </w:rPr>
              <w:t>ainsi une « première installation » au sens de la définition de l’article 2 §1 n)</w:t>
            </w:r>
            <w:r>
              <w:rPr>
                <w:szCs w:val="24"/>
              </w:rPr>
              <w:t xml:space="preserve"> du règlement (UE) 1305/2013 est considérée dès lors que l’enregistrement en qualité de chef d’exploitation est postérieur à l’entrée formelle du candidat dans le parcours à l’installation.</w:t>
            </w:r>
          </w:p>
          <w:p w:rsidR="0035701C" w:rsidRDefault="00FB561B" w:rsidP="00FB561B">
            <w:pPr>
              <w:numPr>
                <w:ilvl w:val="1"/>
                <w:numId w:val="404"/>
              </w:numPr>
              <w:spacing w:before="0" w:after="0"/>
              <w:ind w:hanging="244"/>
              <w:jc w:val="left"/>
              <w:rPr>
                <w:szCs w:val="24"/>
              </w:rPr>
            </w:pPr>
            <w:r>
              <w:rPr>
                <w:i/>
                <w:iCs/>
                <w:szCs w:val="24"/>
              </w:rPr>
              <w:t>Durée du parcours à l’installation</w:t>
            </w:r>
            <w:r>
              <w:rPr>
                <w:szCs w:val="24"/>
              </w:rPr>
              <w:t xml:space="preserve"> : l’entrée dans le parcours à l</w:t>
            </w:r>
            <w:r>
              <w:rPr>
                <w:szCs w:val="24"/>
              </w:rPr>
              <w:t>’installation est obligatoirement déclarée à l’Autorité de Gestion qui en accuse réception. La réalisation du constat d’installation marquant la sortie du parcours devra nécessairement intervenir dans les 36 mois suivant l’entrée dans le parcours.</w:t>
            </w:r>
          </w:p>
          <w:p w:rsidR="0035701C" w:rsidRDefault="00FB561B" w:rsidP="00FB561B">
            <w:pPr>
              <w:numPr>
                <w:ilvl w:val="1"/>
                <w:numId w:val="404"/>
              </w:numPr>
              <w:spacing w:before="0" w:after="0"/>
              <w:ind w:hanging="244"/>
              <w:jc w:val="left"/>
              <w:rPr>
                <w:szCs w:val="24"/>
              </w:rPr>
            </w:pPr>
            <w:r>
              <w:rPr>
                <w:i/>
                <w:iCs/>
                <w:szCs w:val="24"/>
              </w:rPr>
              <w:t>Lien ave</w:t>
            </w:r>
            <w:r>
              <w:rPr>
                <w:i/>
                <w:iCs/>
                <w:szCs w:val="24"/>
              </w:rPr>
              <w:t>c la période précédente</w:t>
            </w:r>
            <w:r>
              <w:rPr>
                <w:szCs w:val="24"/>
              </w:rPr>
              <w:t xml:space="preserve"> : compte tenu du nombre de candidats dont le parcours à l’installation n’a pu aboutir avant la fin de la période de programmation 2007-2013 (31/12/2014), l’AG peut considérer des candidats n’ayant pas encore introduit leur demande d</w:t>
            </w:r>
            <w:r>
              <w:rPr>
                <w:szCs w:val="24"/>
              </w:rPr>
              <w:t>’aide, si leur entrée dans le parcours n’excède pas 24 mois avant la date du dépôt de la demande d’aide, quel que soit leur statut au regard du régime de protection sociale agricole.</w:t>
            </w:r>
          </w:p>
          <w:p w:rsidR="0035701C" w:rsidRDefault="00FB561B" w:rsidP="00FB561B">
            <w:pPr>
              <w:numPr>
                <w:ilvl w:val="0"/>
                <w:numId w:val="404"/>
              </w:numPr>
              <w:spacing w:before="0" w:after="0"/>
              <w:ind w:hanging="210"/>
              <w:jc w:val="left"/>
              <w:rPr>
                <w:szCs w:val="24"/>
              </w:rPr>
            </w:pPr>
            <w:r>
              <w:rPr>
                <w:szCs w:val="24"/>
              </w:rPr>
              <w:t>Au stade de la demande, les candidats doivent disposer d’un plan d’entrep</w:t>
            </w:r>
            <w:r>
              <w:rPr>
                <w:szCs w:val="24"/>
              </w:rPr>
              <w:t>rise sur une période de 4 ans, partie intégrante du projet d’installation. Le projet devra avoir été validé après le dépôt de la demande d’aide par le Bureau du Conseil d’Administration de l’ODARC, dans le cadre de l’instruction de la demande. Le contenu d</w:t>
            </w:r>
            <w:r>
              <w:rPr>
                <w:szCs w:val="24"/>
              </w:rPr>
              <w:t>u plan d’entreprise doit répondre aux exigences indiquées à la section « Résumé des exigences du plan d'entreprise ».</w:t>
            </w:r>
          </w:p>
          <w:p w:rsidR="0035701C" w:rsidRDefault="00FB561B" w:rsidP="00FB561B">
            <w:pPr>
              <w:numPr>
                <w:ilvl w:val="0"/>
                <w:numId w:val="404"/>
              </w:numPr>
              <w:spacing w:before="0" w:after="0"/>
              <w:ind w:hanging="210"/>
              <w:jc w:val="left"/>
              <w:rPr>
                <w:szCs w:val="24"/>
              </w:rPr>
            </w:pPr>
            <w:r>
              <w:rPr>
                <w:szCs w:val="24"/>
              </w:rPr>
              <w:t>Le candidat doit s’installer dans une exploitation qui répond à la définition communautaire de micro ou petite entreprise, compte tenu des</w:t>
            </w:r>
            <w:r>
              <w:rPr>
                <w:szCs w:val="24"/>
              </w:rPr>
              <w:t xml:space="preserve"> dispositions réglementaires de l'article 19.4 du règlement (UE) 1305/2013.</w:t>
            </w:r>
          </w:p>
          <w:p w:rsidR="0035701C" w:rsidRDefault="00FB561B" w:rsidP="00FB561B">
            <w:pPr>
              <w:numPr>
                <w:ilvl w:val="0"/>
                <w:numId w:val="404"/>
              </w:numPr>
              <w:spacing w:before="0" w:after="0"/>
              <w:ind w:hanging="210"/>
              <w:jc w:val="left"/>
              <w:rPr>
                <w:szCs w:val="24"/>
              </w:rPr>
            </w:pPr>
            <w:r>
              <w:rPr>
                <w:szCs w:val="24"/>
              </w:rPr>
              <w:t>Dans le cadre d’une installation sous forme sociétaire et afin de garantir l’exercice du contrôle effectif et durable de l’exploitation par le JA bénéficiaire de la dotation, la ré</w:t>
            </w:r>
            <w:r>
              <w:rPr>
                <w:szCs w:val="24"/>
              </w:rPr>
              <w:t xml:space="preserve">partition du capital social  de la société ou du groupement devra satisfaire à l’ensemble des conditions suivantes </w:t>
            </w:r>
          </w:p>
          <w:p w:rsidR="0035701C" w:rsidRDefault="00FB561B" w:rsidP="00FB561B">
            <w:pPr>
              <w:numPr>
                <w:ilvl w:val="1"/>
                <w:numId w:val="404"/>
              </w:numPr>
              <w:spacing w:before="0" w:after="0"/>
              <w:ind w:hanging="244"/>
              <w:jc w:val="left"/>
              <w:rPr>
                <w:szCs w:val="24"/>
              </w:rPr>
            </w:pPr>
            <w:r>
              <w:rPr>
                <w:szCs w:val="24"/>
              </w:rPr>
              <w:t>Chaque JA devra détenir 10% minimum des parts du capital social de la société ou du groupement,</w:t>
            </w:r>
          </w:p>
          <w:p w:rsidR="0035701C" w:rsidRDefault="00FB561B" w:rsidP="00FB561B">
            <w:pPr>
              <w:numPr>
                <w:ilvl w:val="1"/>
                <w:numId w:val="404"/>
              </w:numPr>
              <w:spacing w:before="0" w:after="0"/>
              <w:ind w:hanging="244"/>
              <w:jc w:val="left"/>
              <w:rPr>
                <w:szCs w:val="24"/>
              </w:rPr>
            </w:pPr>
            <w:r>
              <w:rPr>
                <w:szCs w:val="24"/>
              </w:rPr>
              <w:t>le JA (ou l’ensemble des JA) devra détenir l</w:t>
            </w:r>
            <w:r>
              <w:rPr>
                <w:szCs w:val="24"/>
              </w:rPr>
              <w:t>a majorité des parts,</w:t>
            </w:r>
          </w:p>
          <w:p w:rsidR="0035701C" w:rsidRDefault="00FB561B" w:rsidP="00FB561B">
            <w:pPr>
              <w:numPr>
                <w:ilvl w:val="1"/>
                <w:numId w:val="404"/>
              </w:numPr>
              <w:spacing w:before="0" w:after="240"/>
              <w:ind w:hanging="244"/>
              <w:jc w:val="left"/>
              <w:rPr>
                <w:szCs w:val="24"/>
              </w:rPr>
            </w:pPr>
            <w:r>
              <w:rPr>
                <w:szCs w:val="24"/>
              </w:rPr>
              <w:t>si l’un des associés est constitué sous forme sociétaire, ces deux conditions s’imposent également à cette structure.</w:t>
            </w:r>
          </w:p>
          <w:p w:rsidR="0035701C" w:rsidRDefault="00FB561B">
            <w:pPr>
              <w:spacing w:before="240" w:after="240"/>
              <w:ind w:left="1440"/>
              <w:jc w:val="left"/>
              <w:rPr>
                <w:szCs w:val="24"/>
              </w:rPr>
            </w:pPr>
            <w:r>
              <w:rPr>
                <w:szCs w:val="24"/>
              </w:rPr>
              <w:t>Ces trois conditions qui répondent aux dispositions prévues à l’article 2.1 du règlement délégué (UE) n°807/2014, do</w:t>
            </w:r>
            <w:r>
              <w:rPr>
                <w:szCs w:val="24"/>
              </w:rPr>
              <w:t>ivent être satisfaites au plus tard au moment de la réalisation du constat d’installation, et durant toute la durée de ses engagements (5 ans).</w:t>
            </w:r>
          </w:p>
          <w:p w:rsidR="0035701C" w:rsidRDefault="00FB561B" w:rsidP="00FB561B">
            <w:pPr>
              <w:numPr>
                <w:ilvl w:val="0"/>
                <w:numId w:val="405"/>
              </w:numPr>
              <w:spacing w:before="240" w:after="0"/>
              <w:ind w:hanging="210"/>
              <w:jc w:val="left"/>
              <w:rPr>
                <w:szCs w:val="24"/>
              </w:rPr>
            </w:pPr>
            <w:r>
              <w:rPr>
                <w:szCs w:val="24"/>
              </w:rPr>
              <w:t>Dimension de l’exploitation correspondant à un potentiel de production minimum de 10.000€ et maximum de 800.000€</w:t>
            </w:r>
            <w:r>
              <w:rPr>
                <w:szCs w:val="24"/>
              </w:rPr>
              <w:t xml:space="preserve">. Conformément à l’article 5 du règlement délégué 807/2014 §2 ce potentiel est exprimé en termes de potentiel de production de l’exploitation agricole, mesurés en production standard (PBS), telle que définie à l’article 5, du règlement (CE) n°1242/2008 de </w:t>
            </w:r>
            <w:r>
              <w:rPr>
                <w:szCs w:val="24"/>
              </w:rPr>
              <w:t>la Commission.</w:t>
            </w:r>
          </w:p>
          <w:p w:rsidR="0035701C" w:rsidRDefault="00FB561B" w:rsidP="00FB561B">
            <w:pPr>
              <w:numPr>
                <w:ilvl w:val="0"/>
                <w:numId w:val="405"/>
              </w:numPr>
              <w:spacing w:before="0" w:after="0"/>
              <w:ind w:hanging="210"/>
              <w:jc w:val="left"/>
              <w:rPr>
                <w:szCs w:val="24"/>
              </w:rPr>
            </w:pPr>
            <w:r>
              <w:rPr>
                <w:szCs w:val="24"/>
              </w:rPr>
              <w:t>Le jeune agriculteur doit disposer au dépôt de la demande d'aide de la capacité professionnelle à savoir disposer d’un diplôme agricole, au minimum de niveau BPREA.</w:t>
            </w:r>
          </w:p>
          <w:p w:rsidR="0035701C" w:rsidRDefault="00FB561B" w:rsidP="00FB561B">
            <w:pPr>
              <w:numPr>
                <w:ilvl w:val="0"/>
                <w:numId w:val="405"/>
              </w:numPr>
              <w:spacing w:before="0" w:after="240"/>
              <w:ind w:hanging="210"/>
              <w:jc w:val="left"/>
              <w:rPr>
                <w:szCs w:val="24"/>
              </w:rPr>
            </w:pPr>
            <w:r>
              <w:rPr>
                <w:szCs w:val="24"/>
              </w:rPr>
              <w:t xml:space="preserve">Dans le cas dérogatoire d’une acquisition progressive de la capacité </w:t>
            </w:r>
            <w:r>
              <w:rPr>
                <w:szCs w:val="24"/>
              </w:rPr>
              <w:t>professionnelle, le candidat doit s’engager à acquérir cette capacité professionnelle dans un délai maximum de 36 mois à compter de la date de décision d’octroi de l’aide.</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szCs w:val="24"/>
              </w:rPr>
              <w:t>Sont exclues de ce type d’opération, compte tenu des dispositions communautaires :</w:t>
            </w:r>
            <w:r>
              <w:rPr>
                <w:szCs w:val="24"/>
              </w:rPr>
              <w:t xml:space="preserve"> les installations visant majoritairement la production de produits piscicoles et aquacoles, les installations au sein de la filière équestre ne visant pas majoritairement  la vente d’animaux nés et élevés sur l’exploitation.</w:t>
            </w:r>
          </w:p>
          <w:p w:rsidR="0035701C" w:rsidRDefault="0035701C">
            <w:pPr>
              <w:pStyle w:val="Corpsdetexte"/>
            </w:pPr>
          </w:p>
        </w:tc>
      </w:tr>
    </w:tbl>
    <w:p w:rsidR="0035701C" w:rsidRDefault="00FB561B">
      <w:pPr>
        <w:pStyle w:val="Titre6"/>
      </w:pPr>
      <w:r>
        <w:t>Principes applicables à l'ét</w:t>
      </w:r>
      <w:r>
        <w: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principes des critères de sélection des projets viseront les points suivants :</w:t>
            </w:r>
          </w:p>
          <w:p w:rsidR="0035701C" w:rsidRDefault="00FB561B" w:rsidP="00FB561B">
            <w:pPr>
              <w:numPr>
                <w:ilvl w:val="0"/>
                <w:numId w:val="406"/>
              </w:numPr>
              <w:spacing w:before="240" w:after="0"/>
              <w:ind w:hanging="210"/>
              <w:jc w:val="left"/>
              <w:rPr>
                <w:szCs w:val="24"/>
              </w:rPr>
            </w:pPr>
            <w:r>
              <w:rPr>
                <w:szCs w:val="24"/>
              </w:rPr>
              <w:t xml:space="preserve">Critères socio-économiques : </w:t>
            </w:r>
          </w:p>
          <w:p w:rsidR="0035701C" w:rsidRDefault="00FB561B" w:rsidP="00FB561B">
            <w:pPr>
              <w:numPr>
                <w:ilvl w:val="1"/>
                <w:numId w:val="406"/>
              </w:numPr>
              <w:spacing w:before="0" w:after="0"/>
              <w:ind w:hanging="244"/>
              <w:jc w:val="left"/>
              <w:rPr>
                <w:szCs w:val="24"/>
              </w:rPr>
            </w:pPr>
            <w:r>
              <w:rPr>
                <w:szCs w:val="24"/>
              </w:rPr>
              <w:t xml:space="preserve">le type de projet d’installation (installation à titre principal, installation à titre secondaire, </w:t>
            </w:r>
            <w:r>
              <w:rPr>
                <w:szCs w:val="24"/>
              </w:rPr>
              <w:t>installation progressive)</w:t>
            </w:r>
          </w:p>
          <w:p w:rsidR="0035701C" w:rsidRDefault="00FB561B" w:rsidP="00FB561B">
            <w:pPr>
              <w:numPr>
                <w:ilvl w:val="1"/>
                <w:numId w:val="406"/>
              </w:numPr>
              <w:spacing w:before="0" w:after="0"/>
              <w:ind w:hanging="244"/>
              <w:jc w:val="left"/>
              <w:rPr>
                <w:szCs w:val="24"/>
              </w:rPr>
            </w:pPr>
            <w:r>
              <w:rPr>
                <w:szCs w:val="24"/>
              </w:rPr>
              <w:t>le degré de viabilité économique du projet présenté, mesuré par le niveau de revenu prévisionnel atteint à l’issue de la mise en œuvre du plan d’entreprise.</w:t>
            </w:r>
          </w:p>
          <w:p w:rsidR="0035701C" w:rsidRDefault="00FB561B" w:rsidP="00FB561B">
            <w:pPr>
              <w:numPr>
                <w:ilvl w:val="0"/>
                <w:numId w:val="406"/>
              </w:numPr>
              <w:spacing w:before="0" w:after="0"/>
              <w:ind w:hanging="210"/>
              <w:jc w:val="left"/>
              <w:rPr>
                <w:szCs w:val="24"/>
              </w:rPr>
            </w:pPr>
            <w:r>
              <w:rPr>
                <w:szCs w:val="24"/>
              </w:rPr>
              <w:t xml:space="preserve">Critère environnemental : </w:t>
            </w:r>
          </w:p>
          <w:p w:rsidR="0035701C" w:rsidRDefault="00FB561B" w:rsidP="00FB561B">
            <w:pPr>
              <w:numPr>
                <w:ilvl w:val="1"/>
                <w:numId w:val="406"/>
              </w:numPr>
              <w:spacing w:before="0" w:after="240"/>
              <w:ind w:hanging="244"/>
              <w:jc w:val="left"/>
              <w:rPr>
                <w:szCs w:val="24"/>
              </w:rPr>
            </w:pPr>
            <w:r>
              <w:rPr>
                <w:szCs w:val="24"/>
              </w:rPr>
              <w:t>l’adhésion à une démarche de production biolog</w:t>
            </w:r>
            <w:r>
              <w:rPr>
                <w:szCs w:val="24"/>
              </w:rPr>
              <w:t>ique.</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montant de la dotation varie de 25.000€ à 65.000€ pour les agriculteurs s’installant à titre principal.</w:t>
            </w:r>
          </w:p>
          <w:p w:rsidR="0035701C" w:rsidRDefault="00FB561B">
            <w:pPr>
              <w:spacing w:before="240" w:after="240"/>
              <w:jc w:val="left"/>
              <w:rPr>
                <w:szCs w:val="24"/>
              </w:rPr>
            </w:pPr>
            <w:r>
              <w:rPr>
                <w:szCs w:val="24"/>
              </w:rPr>
              <w:t>Taux d’aide : 100%</w:t>
            </w:r>
          </w:p>
          <w:p w:rsidR="0035701C" w:rsidRDefault="00FB561B">
            <w:pPr>
              <w:spacing w:before="240" w:after="240"/>
              <w:jc w:val="left"/>
              <w:rPr>
                <w:szCs w:val="24"/>
              </w:rPr>
            </w:pPr>
            <w:r>
              <w:rPr>
                <w:szCs w:val="24"/>
              </w:rPr>
              <w:t>La dotation comprend :</w:t>
            </w:r>
          </w:p>
          <w:p w:rsidR="0035701C" w:rsidRDefault="00FB561B" w:rsidP="00FB561B">
            <w:pPr>
              <w:numPr>
                <w:ilvl w:val="0"/>
                <w:numId w:val="407"/>
              </w:numPr>
              <w:spacing w:before="240" w:after="0"/>
              <w:ind w:hanging="210"/>
              <w:jc w:val="left"/>
              <w:rPr>
                <w:szCs w:val="24"/>
              </w:rPr>
            </w:pPr>
            <w:r>
              <w:rPr>
                <w:szCs w:val="24"/>
              </w:rPr>
              <w:t>un montant de base,</w:t>
            </w:r>
          </w:p>
          <w:p w:rsidR="0035701C" w:rsidRDefault="00FB561B" w:rsidP="00FB561B">
            <w:pPr>
              <w:numPr>
                <w:ilvl w:val="0"/>
                <w:numId w:val="407"/>
              </w:numPr>
              <w:spacing w:before="0" w:after="240"/>
              <w:ind w:hanging="210"/>
              <w:jc w:val="left"/>
              <w:rPr>
                <w:szCs w:val="24"/>
              </w:rPr>
            </w:pPr>
            <w:r>
              <w:rPr>
                <w:szCs w:val="24"/>
              </w:rPr>
              <w:t xml:space="preserve">et des majorations liées à l’application </w:t>
            </w:r>
            <w:r>
              <w:rPr>
                <w:szCs w:val="24"/>
              </w:rPr>
              <w:t>de critères de modulation : qui répondent à la fois aux priorités de l’Union Européenne et aux objectifs retenus dans la zone de programmation.</w:t>
            </w:r>
          </w:p>
          <w:p w:rsidR="0035701C" w:rsidRDefault="00FB561B">
            <w:pPr>
              <w:spacing w:before="240" w:after="240"/>
              <w:jc w:val="left"/>
              <w:rPr>
                <w:szCs w:val="24"/>
              </w:rPr>
            </w:pPr>
            <w:r>
              <w:rPr>
                <w:szCs w:val="24"/>
              </w:rPr>
              <w:t>Ces critères portent ainsi sur les éléments suivants :</w:t>
            </w:r>
          </w:p>
          <w:p w:rsidR="0035701C" w:rsidRDefault="00FB561B">
            <w:pPr>
              <w:spacing w:before="240" w:after="240"/>
              <w:jc w:val="left"/>
              <w:rPr>
                <w:szCs w:val="24"/>
              </w:rPr>
            </w:pPr>
            <w:r>
              <w:rPr>
                <w:b/>
                <w:bCs/>
                <w:szCs w:val="24"/>
              </w:rPr>
              <w:t>(1)       Insertion professionnelle</w:t>
            </w:r>
          </w:p>
          <w:p w:rsidR="0035701C" w:rsidRDefault="00FB561B">
            <w:pPr>
              <w:spacing w:before="240" w:after="240"/>
              <w:jc w:val="left"/>
              <w:rPr>
                <w:szCs w:val="24"/>
              </w:rPr>
            </w:pPr>
            <w:r>
              <w:rPr>
                <w:b/>
                <w:bCs/>
                <w:szCs w:val="24"/>
              </w:rPr>
              <w:t>(2)       critères so</w:t>
            </w:r>
            <w:r>
              <w:rPr>
                <w:b/>
                <w:bCs/>
                <w:szCs w:val="24"/>
              </w:rPr>
              <w:t>cio-économiques</w:t>
            </w:r>
          </w:p>
          <w:p w:rsidR="0035701C" w:rsidRDefault="00FB561B" w:rsidP="00FB561B">
            <w:pPr>
              <w:numPr>
                <w:ilvl w:val="0"/>
                <w:numId w:val="408"/>
              </w:numPr>
              <w:spacing w:before="240" w:after="0"/>
              <w:ind w:hanging="210"/>
              <w:jc w:val="left"/>
              <w:rPr>
                <w:szCs w:val="24"/>
              </w:rPr>
            </w:pPr>
            <w:r>
              <w:rPr>
                <w:szCs w:val="24"/>
              </w:rPr>
              <w:t>Projet optimisant le potentiel productif de l'outil de production</w:t>
            </w:r>
          </w:p>
          <w:p w:rsidR="0035701C" w:rsidRDefault="00FB561B" w:rsidP="00FB561B">
            <w:pPr>
              <w:numPr>
                <w:ilvl w:val="0"/>
                <w:numId w:val="408"/>
              </w:numPr>
              <w:spacing w:before="0" w:after="0"/>
              <w:ind w:hanging="210"/>
              <w:jc w:val="left"/>
              <w:rPr>
                <w:szCs w:val="24"/>
              </w:rPr>
            </w:pPr>
            <w:r>
              <w:rPr>
                <w:szCs w:val="24"/>
              </w:rPr>
              <w:t>Projet générateur d'emploi</w:t>
            </w:r>
          </w:p>
          <w:p w:rsidR="0035701C" w:rsidRDefault="00FB561B" w:rsidP="00FB561B">
            <w:pPr>
              <w:numPr>
                <w:ilvl w:val="0"/>
                <w:numId w:val="408"/>
              </w:numPr>
              <w:spacing w:before="0" w:after="0"/>
              <w:ind w:hanging="210"/>
              <w:jc w:val="left"/>
              <w:rPr>
                <w:szCs w:val="24"/>
              </w:rPr>
            </w:pPr>
            <w:r>
              <w:rPr>
                <w:szCs w:val="24"/>
              </w:rPr>
              <w:t>Projet hors cadre familial, démontrant une charge financière importante liée à l'acquisition d'actifs productifs</w:t>
            </w:r>
          </w:p>
          <w:p w:rsidR="0035701C" w:rsidRDefault="00FB561B" w:rsidP="00FB561B">
            <w:pPr>
              <w:numPr>
                <w:ilvl w:val="0"/>
                <w:numId w:val="408"/>
              </w:numPr>
              <w:spacing w:before="0" w:after="240"/>
              <w:ind w:hanging="210"/>
              <w:jc w:val="left"/>
              <w:rPr>
                <w:szCs w:val="24"/>
              </w:rPr>
            </w:pPr>
            <w:r>
              <w:rPr>
                <w:szCs w:val="24"/>
              </w:rPr>
              <w:t>Délai d'entrée en production</w:t>
            </w:r>
          </w:p>
          <w:p w:rsidR="0035701C" w:rsidRDefault="00FB561B">
            <w:pPr>
              <w:spacing w:before="240" w:after="240"/>
              <w:jc w:val="left"/>
              <w:rPr>
                <w:szCs w:val="24"/>
              </w:rPr>
            </w:pPr>
            <w:r>
              <w:rPr>
                <w:b/>
                <w:bCs/>
                <w:szCs w:val="24"/>
              </w:rPr>
              <w:t>(3)       Qualité</w:t>
            </w:r>
          </w:p>
          <w:p w:rsidR="0035701C" w:rsidRDefault="00FB561B" w:rsidP="00FB561B">
            <w:pPr>
              <w:numPr>
                <w:ilvl w:val="0"/>
                <w:numId w:val="409"/>
              </w:numPr>
              <w:spacing w:before="240" w:after="240"/>
              <w:ind w:hanging="210"/>
              <w:jc w:val="left"/>
              <w:rPr>
                <w:szCs w:val="24"/>
              </w:rPr>
            </w:pPr>
            <w:r>
              <w:rPr>
                <w:szCs w:val="24"/>
              </w:rPr>
              <w:t>Production engagée dans une démarche qualité AOC/AOP, IGP et label rouge, une certification environnementale ou en race locale reconnue</w:t>
            </w:r>
          </w:p>
          <w:p w:rsidR="0035701C" w:rsidRDefault="00FB561B">
            <w:pPr>
              <w:spacing w:before="240" w:after="240"/>
              <w:jc w:val="left"/>
              <w:rPr>
                <w:szCs w:val="24"/>
              </w:rPr>
            </w:pPr>
            <w:r>
              <w:rPr>
                <w:b/>
                <w:bCs/>
                <w:szCs w:val="24"/>
              </w:rPr>
              <w:t>(4)       Territoire et environnement</w:t>
            </w:r>
          </w:p>
          <w:p w:rsidR="0035701C" w:rsidRDefault="00FB561B" w:rsidP="00FB561B">
            <w:pPr>
              <w:numPr>
                <w:ilvl w:val="0"/>
                <w:numId w:val="410"/>
              </w:numPr>
              <w:spacing w:before="240" w:after="0"/>
              <w:ind w:hanging="210"/>
              <w:jc w:val="left"/>
              <w:rPr>
                <w:szCs w:val="24"/>
              </w:rPr>
            </w:pPr>
            <w:r>
              <w:rPr>
                <w:szCs w:val="24"/>
              </w:rPr>
              <w:t>Projet ayant un impact sur la valorisation des espaces agricoles</w:t>
            </w:r>
          </w:p>
          <w:p w:rsidR="0035701C" w:rsidRDefault="00FB561B" w:rsidP="00FB561B">
            <w:pPr>
              <w:numPr>
                <w:ilvl w:val="0"/>
                <w:numId w:val="410"/>
              </w:numPr>
              <w:spacing w:before="0" w:after="240"/>
              <w:ind w:hanging="210"/>
              <w:jc w:val="left"/>
              <w:rPr>
                <w:szCs w:val="24"/>
              </w:rPr>
            </w:pPr>
            <w:r>
              <w:rPr>
                <w:szCs w:val="24"/>
              </w:rPr>
              <w:t>Projet se traduisant par un degré d'atteinte partielle de l'autonomie alimentaire du cheptel</w:t>
            </w:r>
          </w:p>
          <w:p w:rsidR="0035701C" w:rsidRDefault="00FB561B">
            <w:pPr>
              <w:spacing w:before="240" w:after="240"/>
              <w:jc w:val="left"/>
              <w:rPr>
                <w:szCs w:val="24"/>
              </w:rPr>
            </w:pPr>
            <w:r>
              <w:rPr>
                <w:szCs w:val="24"/>
              </w:rPr>
              <w:t xml:space="preserve">Pour les agriculteurs à titre principal, le montant de base de la dotation est fixé à 25 000€. Ce montant correspond à une valeur moyenne du revenu des </w:t>
            </w:r>
            <w:r>
              <w:rPr>
                <w:szCs w:val="24"/>
              </w:rPr>
              <w:t>exploitations agricoles établies en Corse (source RICA 2011 : RCAI/UTA – Revenu Courant Avant Impôts/ Unité-Travail-Année= 24,8 k€).</w:t>
            </w:r>
            <w:r>
              <w:rPr>
                <w:szCs w:val="24"/>
              </w:rPr>
              <w:br/>
              <w:t>La combinaison des critères de majoration telle qu’indiquée dans le tableau joint (cf. Tableau 6.1- modulation) détermine l</w:t>
            </w:r>
            <w:r>
              <w:rPr>
                <w:szCs w:val="24"/>
              </w:rPr>
              <w:t>e montant de la dotation, dans la limite d’un plafond fixé à 65 000€.</w:t>
            </w:r>
          </w:p>
          <w:p w:rsidR="0035701C" w:rsidRDefault="00FB561B">
            <w:pPr>
              <w:spacing w:before="240" w:after="240"/>
              <w:jc w:val="left"/>
              <w:rPr>
                <w:szCs w:val="24"/>
              </w:rPr>
            </w:pPr>
            <w:r>
              <w:rPr>
                <w:szCs w:val="24"/>
              </w:rPr>
              <w:t>Pour les agriculteurs s’installant à titre secondaire, ce montant plafonné est minoré de 50%.</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i/>
                <w:iCs/>
                <w:szCs w:val="24"/>
              </w:rPr>
              <w:t>Dispositions additionnelles</w:t>
            </w:r>
          </w:p>
          <w:p w:rsidR="0035701C" w:rsidRDefault="00FB561B">
            <w:pPr>
              <w:spacing w:before="240" w:after="240"/>
              <w:jc w:val="left"/>
              <w:rPr>
                <w:szCs w:val="24"/>
              </w:rPr>
            </w:pPr>
            <w:r>
              <w:rPr>
                <w:szCs w:val="24"/>
              </w:rPr>
              <w:t>L’effectivité des dispositions ayant conduit à la majoration d</w:t>
            </w:r>
            <w:r>
              <w:rPr>
                <w:szCs w:val="24"/>
              </w:rPr>
              <w:t>e l’aide doit être constatée au plus tard au moment du versement de la deuxième tranche de l’aide. En cas de non respect de ces dispositions, le montant de la DJA est minoré de la part correspondante de la bonification.</w:t>
            </w:r>
          </w:p>
          <w:p w:rsidR="0035701C" w:rsidRDefault="00FB561B">
            <w:pPr>
              <w:spacing w:before="240" w:after="240"/>
              <w:jc w:val="left"/>
              <w:rPr>
                <w:szCs w:val="24"/>
              </w:rPr>
            </w:pPr>
            <w:r>
              <w:rPr>
                <w:szCs w:val="24"/>
              </w:rPr>
              <w:t>En cas de non respect des conditions</w:t>
            </w:r>
            <w:r>
              <w:rPr>
                <w:szCs w:val="24"/>
              </w:rPr>
              <w:t xml:space="preserve"> d’admissibilité et des engagements prévus au projet d’installation, notamment des obligations de formations et de suivi de l’appui technique, le remboursement total ou partiel de la dotation pourra être demandé dans les conditions prévues par la réglement</w:t>
            </w:r>
            <w:r>
              <w:rPr>
                <w:szCs w:val="24"/>
              </w:rPr>
              <w:t>ation et le régime de sanction.</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524625" cy="5876925"/>
                  <wp:effectExtent l="0" t="0" r="0" b="0"/>
                  <wp:docPr id="100090" name="Image 100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
                          <pic:cNvPicPr>
                            <a:picLocks noChangeAspect="1"/>
                          </pic:cNvPicPr>
                        </pic:nvPicPr>
                        <pic:blipFill>
                          <a:blip r:embed="rId57"/>
                          <a:stretch>
                            <a:fillRect/>
                          </a:stretch>
                        </pic:blipFill>
                        <pic:spPr>
                          <a:xfrm>
                            <a:off x="0" y="0"/>
                            <a:ext cx="6524625" cy="5876925"/>
                          </a:xfrm>
                          <a:prstGeom prst="rect">
                            <a:avLst/>
                          </a:prstGeom>
                        </pic:spPr>
                      </pic:pic>
                    </a:graphicData>
                  </a:graphic>
                </wp:inline>
              </w:drawing>
            </w:r>
          </w:p>
          <w:p w:rsidR="0035701C" w:rsidRDefault="00FB561B">
            <w:pPr>
              <w:pStyle w:val="Pieddepage"/>
              <w:jc w:val="center"/>
            </w:pPr>
            <w:r>
              <w:t>6.1-modulation</w:t>
            </w:r>
          </w:p>
          <w:p w:rsidR="0035701C" w:rsidRDefault="0035701C">
            <w:pPr>
              <w:pStyle w:val="Pieddepage"/>
              <w:jc w:val="center"/>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w:t>
            </w:r>
          </w:p>
          <w:p w:rsidR="0035701C" w:rsidRDefault="00FB561B" w:rsidP="00FB561B">
            <w:pPr>
              <w:numPr>
                <w:ilvl w:val="0"/>
                <w:numId w:val="411"/>
              </w:numPr>
              <w:spacing w:before="240" w:after="240"/>
              <w:ind w:hanging="210"/>
              <w:jc w:val="left"/>
              <w:rPr>
                <w:szCs w:val="24"/>
              </w:rPr>
            </w:pPr>
            <w:r>
              <w:rPr>
                <w:szCs w:val="24"/>
              </w:rPr>
              <w:t xml:space="preserve">L’OP a demandé que tous les </w:t>
            </w:r>
            <w:r>
              <w:rPr>
                <w:szCs w:val="24"/>
              </w:rPr>
              <w:t>termes temporels, soient rédigés de manière précise et matérialisés par un élément probant et opposable en Droit, fondés sur la réglementation européenne, afin d’éviter toute interprétation possible. Ces deux points ont été pleinement pris en compte par l’</w:t>
            </w:r>
            <w:r>
              <w:rPr>
                <w:szCs w:val="24"/>
              </w:rPr>
              <w:t>AG s’agissant des précisions apportées sur les date de présentation de la demande d’aide à l’installation, date de la décision d'octroi de l'aide</w:t>
            </w:r>
            <w:r>
              <w:rPr>
                <w:b/>
                <w:bCs/>
                <w:szCs w:val="24"/>
              </w:rPr>
              <w:t xml:space="preserve">, </w:t>
            </w:r>
            <w:r>
              <w:rPr>
                <w:szCs w:val="24"/>
              </w:rPr>
              <w:t>date du constat d'installation, date du constat de réalisation et de bonne mise en œuvre du projet.</w:t>
            </w:r>
          </w:p>
          <w:p w:rsidR="0035701C" w:rsidRDefault="00FB561B" w:rsidP="00FB561B">
            <w:pPr>
              <w:numPr>
                <w:ilvl w:val="0"/>
                <w:numId w:val="412"/>
              </w:numPr>
              <w:spacing w:before="240" w:after="240"/>
              <w:ind w:hanging="210"/>
              <w:jc w:val="left"/>
              <w:rPr>
                <w:szCs w:val="24"/>
              </w:rPr>
            </w:pPr>
            <w:r>
              <w:rPr>
                <w:szCs w:val="24"/>
              </w:rPr>
              <w:t>La possib</w:t>
            </w:r>
            <w:r>
              <w:rPr>
                <w:szCs w:val="24"/>
              </w:rPr>
              <w:t>ilité évoquée dans le projet initial de la mesure de mobiliser la modulation « Délai d'entrée en production » pour les filières animales a été jugé comme apportant un risque trop élevé, compte tenu de son caractère difficilement contrôlable et vérifiable e</w:t>
            </w:r>
            <w:r>
              <w:rPr>
                <w:szCs w:val="24"/>
              </w:rPr>
              <w:t>t donc non retenu par l’AG dans la rédaction finale de la mesure.</w:t>
            </w:r>
          </w:p>
          <w:p w:rsidR="0035701C" w:rsidRDefault="00FB561B" w:rsidP="00FB561B">
            <w:pPr>
              <w:numPr>
                <w:ilvl w:val="0"/>
                <w:numId w:val="413"/>
              </w:numPr>
              <w:spacing w:before="240" w:after="240"/>
              <w:ind w:hanging="210"/>
              <w:jc w:val="left"/>
              <w:rPr>
                <w:szCs w:val="24"/>
              </w:rPr>
            </w:pPr>
            <w:r>
              <w:rPr>
                <w:szCs w:val="24"/>
              </w:rPr>
              <w:t>Concernant les principes de sélections tels que décrits dans le PDRC, l’OP a recommandé que leurs modalités d’application soient établies sur la base d’éléments vérifiables et contrôlable. A</w:t>
            </w:r>
            <w:r>
              <w:rPr>
                <w:szCs w:val="24"/>
              </w:rPr>
              <w:t>près avoir pris connaissance du rapport présenté pour avis au Comité de Suivi, l'Organisme Payeur considère que ce document permet de lever l'ensemble de ces interrogations. L’Organisme Payeur ne formule donc plus de réserves sur ce point.</w:t>
            </w:r>
          </w:p>
          <w:p w:rsidR="0035701C" w:rsidRDefault="00FB561B">
            <w:pPr>
              <w:spacing w:before="240" w:after="240"/>
              <w:jc w:val="left"/>
              <w:rPr>
                <w:szCs w:val="24"/>
              </w:rPr>
            </w:pPr>
            <w:r>
              <w:rPr>
                <w:szCs w:val="24"/>
                <w:u w:val="single"/>
              </w:rPr>
              <w:t>Risques identifi</w:t>
            </w:r>
            <w:r>
              <w:rPr>
                <w:szCs w:val="24"/>
                <w:u w:val="single"/>
              </w:rPr>
              <w:t>és selon la méthodologie présentée par l’OP (cf. chapitre 18)</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n°1      R1 : recevabilité de la demande : présence des statuts et actes (source : Législation nationale : décalage entre Droit Social, Droit des Sociétés, Droit Rural)</w:t>
            </w:r>
          </w:p>
          <w:p w:rsidR="0035701C" w:rsidRDefault="00FB561B">
            <w:pPr>
              <w:spacing w:before="240" w:after="240"/>
              <w:jc w:val="left"/>
              <w:rPr>
                <w:szCs w:val="24"/>
              </w:rPr>
            </w:pPr>
            <w:r>
              <w:rPr>
                <w:szCs w:val="24"/>
              </w:rPr>
              <w:t>n°2      R1 : recevabil</w:t>
            </w:r>
            <w:r>
              <w:rPr>
                <w:szCs w:val="24"/>
              </w:rPr>
              <w:t>ité de la demande : présence des pièces relatives à la maîtrise du foncier et des biens immeubles (source : Législation nationale du Droit de Propriété, Droit des Successions, Droit Fiscal)</w:t>
            </w:r>
          </w:p>
          <w:p w:rsidR="0035701C" w:rsidRDefault="00FB561B">
            <w:pPr>
              <w:spacing w:before="240" w:after="240"/>
              <w:jc w:val="left"/>
              <w:rPr>
                <w:szCs w:val="24"/>
              </w:rPr>
            </w:pPr>
            <w:r>
              <w:rPr>
                <w:szCs w:val="24"/>
              </w:rPr>
              <w:t>n°3      R6 : éligibilité de la demande : conformité des statuts e</w:t>
            </w:r>
            <w:r>
              <w:rPr>
                <w:szCs w:val="24"/>
              </w:rPr>
              <w:t>t actes (source : Législation nationale : décalage entre Droit Social, Droit des Sociétés, Droit Rural)</w:t>
            </w:r>
          </w:p>
          <w:p w:rsidR="0035701C" w:rsidRDefault="00FB561B">
            <w:pPr>
              <w:spacing w:before="240" w:after="240"/>
              <w:jc w:val="left"/>
              <w:rPr>
                <w:szCs w:val="24"/>
              </w:rPr>
            </w:pPr>
            <w:r>
              <w:rPr>
                <w:szCs w:val="24"/>
              </w:rPr>
              <w:t xml:space="preserve">n°4      R6 : éligibilité de la demande : conformité juridique relative à la maîtrise du foncier et des biens immeubles (source : Législation nationale </w:t>
            </w:r>
            <w:r>
              <w:rPr>
                <w:szCs w:val="24"/>
              </w:rPr>
              <w:t>du Droit de Propriété, Droit des Successions, Droit Fiscal)</w:t>
            </w:r>
          </w:p>
          <w:p w:rsidR="0035701C" w:rsidRDefault="00FB561B">
            <w:pPr>
              <w:spacing w:before="240" w:after="240"/>
              <w:jc w:val="left"/>
              <w:rPr>
                <w:szCs w:val="24"/>
              </w:rPr>
            </w:pPr>
            <w:r>
              <w:rPr>
                <w:szCs w:val="24"/>
              </w:rPr>
              <w:t>n°5      R5 : Suivi des engagements   (source : 2007-2013 contrôles avant paiement et ex post, Audit SAI 2012, contrôle interne OP)</w:t>
            </w:r>
          </w:p>
          <w:p w:rsidR="0035701C" w:rsidRDefault="00FB561B">
            <w:pPr>
              <w:spacing w:before="240" w:after="240"/>
              <w:jc w:val="left"/>
              <w:rPr>
                <w:szCs w:val="24"/>
              </w:rPr>
            </w:pPr>
            <w:r>
              <w:rPr>
                <w:szCs w:val="24"/>
              </w:rPr>
              <w:t>n°6      R9 : Suivi des engagements   ((source : 2007-2013 contr</w:t>
            </w:r>
            <w:r>
              <w:rPr>
                <w:szCs w:val="24"/>
              </w:rPr>
              <w:t>ôles avant paiement et ex post, Audit SAI 2012, contrôle interne OP)</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L’OP recommande un suivi attentif accepté et pris en compte par l’AG sur les problématiques de Droit de la propriété, et la bonne surveillance de l’exécution et du</w:t>
            </w:r>
            <w:r>
              <w:rPr>
                <w:szCs w:val="24"/>
              </w:rPr>
              <w:t xml:space="preserve"> respect des engagements dans ces opérations pluriannuelles. Les mesures d’atténuation pour les risques identifiés sont les suivantes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n°1      VERIFIER Pour les formes juridiques sociétaires ou associatives : conformité des statuts et actes, mise à jou</w:t>
            </w:r>
            <w:r>
              <w:rPr>
                <w:szCs w:val="24"/>
              </w:rPr>
              <w:t>r effective et conforme au long de la période d’engagement.</w:t>
            </w:r>
          </w:p>
          <w:p w:rsidR="0035701C" w:rsidRDefault="00FB561B">
            <w:pPr>
              <w:spacing w:before="240" w:after="240"/>
              <w:jc w:val="left"/>
              <w:rPr>
                <w:szCs w:val="24"/>
              </w:rPr>
            </w:pPr>
            <w:r>
              <w:rPr>
                <w:szCs w:val="24"/>
              </w:rPr>
              <w:t>n°2      VERIFIER Pour tous les bénéficiaires : maîtrise du foncier et des biens immeubles conforme et valide.</w:t>
            </w:r>
          </w:p>
          <w:p w:rsidR="0035701C" w:rsidRDefault="00FB561B">
            <w:pPr>
              <w:spacing w:before="240" w:after="240"/>
              <w:jc w:val="left"/>
              <w:rPr>
                <w:szCs w:val="24"/>
              </w:rPr>
            </w:pPr>
            <w:r>
              <w:rPr>
                <w:szCs w:val="24"/>
              </w:rPr>
              <w:t xml:space="preserve">n°3      CONTROLER Pour les formes juridiques sociétaires ou associatives : </w:t>
            </w:r>
            <w:r>
              <w:rPr>
                <w:szCs w:val="24"/>
              </w:rPr>
              <w:t>conformité des statuts et actes, mise à jour effective et conforme au long de la période d’engagement.</w:t>
            </w:r>
          </w:p>
          <w:p w:rsidR="0035701C" w:rsidRDefault="00FB561B">
            <w:pPr>
              <w:spacing w:before="240" w:after="240"/>
              <w:jc w:val="left"/>
              <w:rPr>
                <w:szCs w:val="24"/>
              </w:rPr>
            </w:pPr>
            <w:r>
              <w:rPr>
                <w:szCs w:val="24"/>
              </w:rPr>
              <w:t>n°4      CONTROLER Pour tous les bénéficiaires : maîtrise du foncier et des biens immeubles conforme et valide.</w:t>
            </w:r>
          </w:p>
          <w:p w:rsidR="0035701C" w:rsidRDefault="00FB561B">
            <w:pPr>
              <w:spacing w:before="240" w:after="240"/>
              <w:jc w:val="left"/>
              <w:rPr>
                <w:szCs w:val="24"/>
              </w:rPr>
            </w:pPr>
            <w:r>
              <w:rPr>
                <w:szCs w:val="24"/>
              </w:rPr>
              <w:t>n°5      EXECUTER les procédures de contr</w:t>
            </w:r>
            <w:r>
              <w:rPr>
                <w:szCs w:val="24"/>
              </w:rPr>
              <w:t>ôle interne ag/op sur le suivi des engagements - ASSURER un suivi régulier de la bonne exécution du PE.</w:t>
            </w:r>
          </w:p>
          <w:p w:rsidR="0035701C" w:rsidRDefault="00FB561B">
            <w:pPr>
              <w:spacing w:before="240" w:after="240"/>
              <w:jc w:val="left"/>
              <w:rPr>
                <w:szCs w:val="24"/>
              </w:rPr>
            </w:pPr>
            <w:r>
              <w:rPr>
                <w:szCs w:val="24"/>
              </w:rPr>
              <w:t>n°6      Nécessité de fixer un régime de sanctions et une méthode de suivi du PE avant la phase de contrôle à 5 ans :</w:t>
            </w:r>
          </w:p>
          <w:p w:rsidR="0035701C" w:rsidRDefault="00FB561B" w:rsidP="00FB561B">
            <w:pPr>
              <w:numPr>
                <w:ilvl w:val="0"/>
                <w:numId w:val="414"/>
              </w:numPr>
              <w:spacing w:before="240" w:after="0"/>
              <w:ind w:hanging="210"/>
              <w:jc w:val="left"/>
              <w:rPr>
                <w:szCs w:val="24"/>
              </w:rPr>
            </w:pPr>
            <w:r>
              <w:rPr>
                <w:szCs w:val="24"/>
              </w:rPr>
              <w:t>SENSIBILISER au respect des engage</w:t>
            </w:r>
            <w:r>
              <w:rPr>
                <w:szCs w:val="24"/>
              </w:rPr>
              <w:t>ments sur la détention des éléments originaux et conformes des dépenses tout au long de la période d’engagement de l’opération aidée.</w:t>
            </w:r>
          </w:p>
          <w:p w:rsidR="0035701C" w:rsidRDefault="00FB561B" w:rsidP="00FB561B">
            <w:pPr>
              <w:numPr>
                <w:ilvl w:val="0"/>
                <w:numId w:val="414"/>
              </w:numPr>
              <w:spacing w:before="0" w:after="240"/>
              <w:ind w:hanging="210"/>
              <w:jc w:val="left"/>
              <w:rPr>
                <w:szCs w:val="24"/>
              </w:rPr>
            </w:pPr>
            <w:r>
              <w:rPr>
                <w:szCs w:val="24"/>
              </w:rPr>
              <w:t xml:space="preserve">EXECUTER les procédures de contrôle interne ag/op sur le suivi des engagements - ASSURER un suivi régulier de la bonne </w:t>
            </w:r>
            <w:r>
              <w:rPr>
                <w:szCs w:val="24"/>
              </w:rPr>
              <w:t>exécution du PE"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Au vu des cotations matricielles, sur le poids financier de la mesure (&lt;5%), sur les priorités, les risques, les mesures d’atténuation prévues, cette mesure reçoit une évaluation favorable peu risquée ; Le</w:t>
            </w:r>
            <w:r>
              <w:rPr>
                <w:szCs w:val="24"/>
              </w:rPr>
              <w:t>s mécanismes de mise en œuvre sont connus et maîtrisés par tous les acteurs,  les programmations précédentes n’ont pas suscité de problèmes particuliers.</w:t>
            </w:r>
          </w:p>
          <w:p w:rsidR="0035701C" w:rsidRDefault="00FB561B">
            <w:pPr>
              <w:spacing w:before="240" w:after="240"/>
              <w:jc w:val="left"/>
              <w:rPr>
                <w:szCs w:val="24"/>
              </w:rPr>
            </w:pPr>
            <w:r>
              <w:rPr>
                <w:szCs w:val="24"/>
              </w:rPr>
              <w:t>Concernant l'évaluation globale de la mesure : la mesure est contrôlable sous réserve de la mise en pl</w:t>
            </w:r>
            <w:r>
              <w:rPr>
                <w:szCs w:val="24"/>
              </w:rPr>
              <w:t>ace d'actions d'atténuation et des précisions apportées dans les documents de mise en œuvre notamment sur la nécessité de fixer un régime de sanctions et une méthode de suivi du PE avant la phase de contrôle à 5 ans.</w:t>
            </w:r>
          </w:p>
          <w:p w:rsidR="0035701C" w:rsidRDefault="0035701C">
            <w:pPr>
              <w:pStyle w:val="Corpsdetexte"/>
            </w:pPr>
          </w:p>
        </w:tc>
      </w:tr>
    </w:tbl>
    <w:p w:rsidR="0035701C" w:rsidRDefault="00FB561B">
      <w:pPr>
        <w:pStyle w:val="Titre6"/>
      </w:pPr>
      <w:r>
        <w:t>Méthode de calcul du montant ou du ta</w:t>
      </w:r>
      <w:r>
        <w:t>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i/>
                <w:iCs/>
                <w:szCs w:val="24"/>
              </w:rPr>
              <w:t>Détail des modalités d’application des critères de modulation de l’aide</w:t>
            </w:r>
            <w:r>
              <w:rPr>
                <w:i/>
                <w:iCs/>
                <w:szCs w:val="24"/>
              </w:rPr>
              <w:br/>
            </w:r>
            <w:r>
              <w:rPr>
                <w:szCs w:val="24"/>
              </w:rPr>
              <w:t> </w:t>
            </w:r>
          </w:p>
          <w:p w:rsidR="0035701C" w:rsidRDefault="00FB561B">
            <w:pPr>
              <w:spacing w:before="240" w:after="240"/>
              <w:jc w:val="left"/>
              <w:rPr>
                <w:szCs w:val="24"/>
              </w:rPr>
            </w:pPr>
            <w:r>
              <w:rPr>
                <w:b/>
                <w:bCs/>
                <w:szCs w:val="24"/>
              </w:rPr>
              <w:t>(1)       Insertion professionnelle</w:t>
            </w:r>
          </w:p>
          <w:p w:rsidR="0035701C" w:rsidRDefault="00FB561B">
            <w:pPr>
              <w:spacing w:before="240" w:after="240"/>
              <w:ind w:left="816"/>
              <w:jc w:val="left"/>
              <w:rPr>
                <w:szCs w:val="24"/>
              </w:rPr>
            </w:pPr>
            <w:r>
              <w:rPr>
                <w:b/>
                <w:bCs/>
                <w:szCs w:val="24"/>
              </w:rPr>
              <w:t>Insertion professionnelle du candidat</w:t>
            </w:r>
            <w:r>
              <w:rPr>
                <w:szCs w:val="24"/>
              </w:rPr>
              <w:t> :</w:t>
            </w:r>
            <w:r>
              <w:rPr>
                <w:szCs w:val="24"/>
              </w:rPr>
              <w:br/>
              <w:t xml:space="preserve">Il s’agit de soutenir les candidats s’étant engagés ou s’engageant dans un </w:t>
            </w:r>
            <w:r>
              <w:rPr>
                <w:szCs w:val="24"/>
              </w:rPr>
              <w:t>cursus d’insertion professionnelle qui leur permette de gagner en compétitivité et en réactivité lors du démarrage et du pilotage de leur projet d’entreprise. En effet cette insertion professionnelle nécessite de consacrer un laps de temps additionnel au p</w:t>
            </w:r>
            <w:r>
              <w:rPr>
                <w:szCs w:val="24"/>
              </w:rPr>
              <w:t>arcours à l’installation pendant lequel le candidat appréhende auprès d’un tuteur professionnel les situations concrètes et des situations de risque inhérentes au démarrage de toute entreprise.</w:t>
            </w:r>
          </w:p>
          <w:p w:rsidR="0035701C" w:rsidRDefault="00FB561B">
            <w:pPr>
              <w:spacing w:before="240" w:after="240"/>
              <w:ind w:left="816"/>
              <w:jc w:val="left"/>
              <w:rPr>
                <w:szCs w:val="24"/>
              </w:rPr>
            </w:pPr>
            <w:r>
              <w:rPr>
                <w:szCs w:val="24"/>
              </w:rPr>
              <w:t>Cette majoration justifiée par les carences relevées dans ce d</w:t>
            </w:r>
            <w:r>
              <w:rPr>
                <w:szCs w:val="24"/>
              </w:rPr>
              <w:t>omaine dans la zone de programmation (AFOM), est appliquée dans les cas suivants :</w:t>
            </w:r>
            <w:r>
              <w:rPr>
                <w:szCs w:val="24"/>
              </w:rPr>
              <w:br/>
              <w:t>- réalisation d’un stage d’acquisition de compétence d’une durée minimum de 6 mois,</w:t>
            </w:r>
            <w:r>
              <w:rPr>
                <w:szCs w:val="24"/>
              </w:rPr>
              <w:br/>
              <w:t>- parcours d’alternance ou d’apprentissage se traduisant par une insertion professionnell</w:t>
            </w:r>
            <w:r>
              <w:rPr>
                <w:szCs w:val="24"/>
              </w:rPr>
              <w:t>e agricole d’une durée minimum de 7 semaines.</w:t>
            </w:r>
            <w:r>
              <w:rPr>
                <w:szCs w:val="24"/>
              </w:rPr>
              <w:br/>
              <w:t>- réalisation d’un stage de 12 semaines minimum dans le cadre de l’acquisition d’un diplôme agricole de niveau supérieur au minimum requis, et au moins égal au niveau III,</w:t>
            </w:r>
            <w:r>
              <w:rPr>
                <w:szCs w:val="24"/>
              </w:rPr>
              <w:br/>
              <w:t>Le candidat devra justifier de ce curs</w:t>
            </w:r>
            <w:r>
              <w:rPr>
                <w:szCs w:val="24"/>
              </w:rPr>
              <w:t>us d’insertion professionnelle au plus tard à la fin de la quatrième année de la mise en œuvre du projet d’installation, avant paiement final.</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(2)       Critères socio-économiques</w:t>
            </w:r>
          </w:p>
          <w:p w:rsidR="0035701C" w:rsidRDefault="00FB561B">
            <w:pPr>
              <w:spacing w:before="240" w:after="240"/>
              <w:jc w:val="left"/>
              <w:rPr>
                <w:szCs w:val="24"/>
              </w:rPr>
            </w:pPr>
            <w:r>
              <w:rPr>
                <w:szCs w:val="24"/>
              </w:rPr>
              <w:t> </w:t>
            </w:r>
          </w:p>
          <w:p w:rsidR="0035701C" w:rsidRDefault="00FB561B">
            <w:pPr>
              <w:spacing w:before="240" w:after="240"/>
              <w:ind w:left="816"/>
              <w:jc w:val="left"/>
              <w:rPr>
                <w:szCs w:val="24"/>
              </w:rPr>
            </w:pPr>
            <w:r>
              <w:rPr>
                <w:b/>
                <w:bCs/>
                <w:szCs w:val="24"/>
              </w:rPr>
              <w:t>2.1 - Projet optimisant le potentiel productif de l’outil de production </w:t>
            </w:r>
            <w:r>
              <w:rPr>
                <w:szCs w:val="24"/>
              </w:rPr>
              <w:t>:</w:t>
            </w:r>
            <w:r>
              <w:rPr>
                <w:szCs w:val="24"/>
              </w:rPr>
              <w:br/>
              <w:t>Dans le but de renforcer la dimension économique des exploitations et de la production conformément aux objectifs découlant de l’AFOM tout en répondant à la priorité de l’union européenne pour ce qui concerne l’amélioration de la compétitivité des exploi</w:t>
            </w:r>
            <w:r>
              <w:rPr>
                <w:szCs w:val="24"/>
              </w:rPr>
              <w:t>tations, il s’agit d’appliquer cette majoration pour les projets d’installation qui prévoient une production (chiffre d’affaires agricole hors subvention) en année 4 qui représente à minima 120% du potentiel de production de la même année, mesuré par la PB</w:t>
            </w:r>
            <w:r>
              <w:rPr>
                <w:szCs w:val="24"/>
              </w:rPr>
              <w:t>S. Cette condition est vérifiée sur la base des valeurs effectives de ces éléments pour l’année n4, avant paiement final.</w:t>
            </w:r>
          </w:p>
          <w:p w:rsidR="0035701C" w:rsidRDefault="00FB561B">
            <w:pPr>
              <w:spacing w:before="240" w:after="240"/>
              <w:jc w:val="left"/>
              <w:rPr>
                <w:szCs w:val="24"/>
              </w:rPr>
            </w:pPr>
            <w:r>
              <w:rPr>
                <w:szCs w:val="24"/>
              </w:rPr>
              <w:t> </w:t>
            </w:r>
          </w:p>
          <w:p w:rsidR="0035701C" w:rsidRDefault="00FB561B">
            <w:pPr>
              <w:spacing w:before="240" w:after="240"/>
              <w:ind w:left="816"/>
              <w:jc w:val="left"/>
              <w:rPr>
                <w:szCs w:val="24"/>
              </w:rPr>
            </w:pPr>
            <w:r>
              <w:rPr>
                <w:b/>
                <w:bCs/>
                <w:szCs w:val="24"/>
              </w:rPr>
              <w:t>2.2 - Projet générateur d’emploi.</w:t>
            </w:r>
            <w:r>
              <w:rPr>
                <w:b/>
                <w:bCs/>
                <w:szCs w:val="24"/>
              </w:rPr>
              <w:br/>
            </w:r>
            <w:r>
              <w:rPr>
                <w:szCs w:val="24"/>
              </w:rPr>
              <w:t>La bonification est octroyée dès lors que le projet d’installation prévoit la création nette d’emp</w:t>
            </w:r>
            <w:r>
              <w:rPr>
                <w:szCs w:val="24"/>
              </w:rPr>
              <w:t xml:space="preserve">loi à minima de 0,5 ETP (hors le jeune agriculteur lui-même) ayant le statut de salarié au sein de l’exploitation ou via un groupement d’employeur, Cette condition doit-être effective au plus tard en n4 à partir du constat d’installation et vérifiée avant </w:t>
            </w:r>
            <w:r>
              <w:rPr>
                <w:szCs w:val="24"/>
              </w:rPr>
              <w:t>paiement final.</w:t>
            </w:r>
            <w:r>
              <w:rPr>
                <w:szCs w:val="24"/>
              </w:rPr>
              <w:br/>
              <w:t>Cet engagement devra être respecté au minimum pendant 24 mois consécutifs.</w:t>
            </w:r>
          </w:p>
          <w:p w:rsidR="0035701C" w:rsidRDefault="00FB561B">
            <w:pPr>
              <w:spacing w:before="240" w:after="240"/>
              <w:jc w:val="left"/>
              <w:rPr>
                <w:szCs w:val="24"/>
              </w:rPr>
            </w:pPr>
            <w:r>
              <w:rPr>
                <w:szCs w:val="24"/>
              </w:rPr>
              <w:t> </w:t>
            </w:r>
          </w:p>
          <w:p w:rsidR="0035701C" w:rsidRDefault="00FB561B">
            <w:pPr>
              <w:spacing w:before="240" w:after="240"/>
              <w:ind w:left="816"/>
              <w:jc w:val="left"/>
              <w:rPr>
                <w:szCs w:val="24"/>
              </w:rPr>
            </w:pPr>
            <w:r>
              <w:rPr>
                <w:b/>
                <w:bCs/>
                <w:szCs w:val="24"/>
              </w:rPr>
              <w:t>2.3 - Projet de reprise d’exploitation hors cadre familial</w:t>
            </w:r>
            <w:r>
              <w:rPr>
                <w:szCs w:val="24"/>
              </w:rPr>
              <w:t xml:space="preserve"> démontrant une charge financière importante liée à l’acquisition d’actifs productifs au démarrage du pro</w:t>
            </w:r>
            <w:r>
              <w:rPr>
                <w:szCs w:val="24"/>
              </w:rPr>
              <w:t>jet.</w:t>
            </w:r>
            <w:r>
              <w:rPr>
                <w:szCs w:val="24"/>
              </w:rPr>
              <w:br/>
              <w:t>La majoration venant accompagner cette immobilisation financière est octroyée dès lors que l’acquisition d’actifs productifs (terrains mis en valeur, cheptel, bâtiments et gros matériels) dans le cadre d’une cession-transmission d’exploitation, hors c</w:t>
            </w:r>
            <w:r>
              <w:rPr>
                <w:szCs w:val="24"/>
              </w:rPr>
              <w:t>adre familial, au-delà du deuxième degré, est supérieure à 50.000 € (taxes et frais de notaire compris).</w:t>
            </w:r>
            <w:r>
              <w:rPr>
                <w:szCs w:val="24"/>
              </w:rPr>
              <w:br/>
              <w:t>A partir de ce seuil, le montant de la majoration, est modulée par palier de 1000€, par tranche de 10.000€ de transaction. Cette majoration est plafonn</w:t>
            </w:r>
            <w:r>
              <w:rPr>
                <w:szCs w:val="24"/>
              </w:rPr>
              <w:t>ée à 15.000 €.</w:t>
            </w:r>
            <w:r>
              <w:rPr>
                <w:szCs w:val="24"/>
              </w:rPr>
              <w:br/>
              <w:t> </w:t>
            </w:r>
          </w:p>
          <w:p w:rsidR="0035701C" w:rsidRDefault="00FB561B">
            <w:pPr>
              <w:spacing w:before="240" w:after="240"/>
              <w:jc w:val="left"/>
              <w:rPr>
                <w:szCs w:val="24"/>
              </w:rPr>
            </w:pPr>
            <w:r>
              <w:rPr>
                <w:szCs w:val="24"/>
              </w:rPr>
              <w:t> </w:t>
            </w:r>
          </w:p>
          <w:p w:rsidR="0035701C" w:rsidRDefault="00FB561B">
            <w:pPr>
              <w:spacing w:before="240" w:after="240"/>
              <w:ind w:left="816"/>
              <w:jc w:val="left"/>
              <w:rPr>
                <w:szCs w:val="24"/>
              </w:rPr>
            </w:pPr>
            <w:r>
              <w:rPr>
                <w:b/>
                <w:bCs/>
                <w:szCs w:val="24"/>
              </w:rPr>
              <w:t>2.4 - Délai d'entrée en production différant l’occurrence du revenu</w:t>
            </w:r>
            <w:r>
              <w:rPr>
                <w:b/>
                <w:bCs/>
                <w:szCs w:val="24"/>
              </w:rPr>
              <w:br/>
            </w:r>
            <w:r>
              <w:rPr>
                <w:szCs w:val="24"/>
              </w:rPr>
              <w:t>La majoration vient accompagner la faiblesse du revenu engendrée par le délai de mise en production :</w:t>
            </w:r>
            <w:r>
              <w:rPr>
                <w:szCs w:val="24"/>
              </w:rPr>
              <w:br/>
              <w:t xml:space="preserve">La majoration est octroyée pour les filières végétales, lorsque la </w:t>
            </w:r>
            <w:r>
              <w:rPr>
                <w:szCs w:val="24"/>
              </w:rPr>
              <w:t>surface à planter, à restructurer ou à rénover durant la mise en œuvre du projet d’installation est supérieure à la surface productive existante au démarrage pour l’atelier principal de l’exploitation (atelier dégageant le chiffre d’affaires majoritaire en</w:t>
            </w:r>
            <w:r>
              <w:rPr>
                <w:szCs w:val="24"/>
              </w:rPr>
              <w:t xml:space="preserve"> n4). La majoration varie selon le délai moyen de mise en production de la culture concernée en fonction du référentiel joint et pour une surface minimum de 2ha (cf. tableau "6.1-délais" indiquant les délais moyens par culture).</w:t>
            </w:r>
          </w:p>
          <w:p w:rsidR="0035701C" w:rsidRDefault="00FB561B">
            <w:pPr>
              <w:spacing w:before="240" w:after="240"/>
              <w:ind w:left="816"/>
              <w:jc w:val="left"/>
              <w:rPr>
                <w:szCs w:val="24"/>
              </w:rPr>
            </w:pPr>
            <w:r>
              <w:rPr>
                <w:szCs w:val="24"/>
              </w:rPr>
              <w:t> </w:t>
            </w:r>
          </w:p>
          <w:p w:rsidR="0035701C" w:rsidRDefault="00FB561B">
            <w:pPr>
              <w:spacing w:before="240" w:after="240"/>
              <w:ind w:left="816"/>
              <w:jc w:val="left"/>
              <w:rPr>
                <w:szCs w:val="24"/>
              </w:rPr>
            </w:pPr>
            <w:r>
              <w:rPr>
                <w:szCs w:val="24"/>
              </w:rPr>
              <w:t>Des délais supérieurs à 3</w:t>
            </w:r>
            <w:r>
              <w:rPr>
                <w:szCs w:val="24"/>
              </w:rPr>
              <w:t xml:space="preserve"> ans pour la mise en production donnent droit à la majoration maximum; s’ils n’excédent pas 3 ans, la majoration minimum est appliquée.</w:t>
            </w:r>
            <w:r>
              <w:rPr>
                <w:szCs w:val="24"/>
              </w:rPr>
              <w:br/>
              <w:t>Ces conditions doivent être effectives au plus tard en n4 et vérifiées avant paiement final.</w:t>
            </w:r>
            <w:r>
              <w:rPr>
                <w:szCs w:val="24"/>
              </w:rPr>
              <w:br/>
              <w:t> </w:t>
            </w:r>
          </w:p>
          <w:p w:rsidR="0035701C" w:rsidRDefault="00FB561B">
            <w:pPr>
              <w:spacing w:before="240" w:after="240"/>
              <w:jc w:val="left"/>
              <w:rPr>
                <w:szCs w:val="24"/>
              </w:rPr>
            </w:pPr>
            <w:r>
              <w:rPr>
                <w:b/>
                <w:bCs/>
                <w:szCs w:val="24"/>
              </w:rPr>
              <w:t>(3)       Qualité</w:t>
            </w:r>
          </w:p>
          <w:p w:rsidR="0035701C" w:rsidRDefault="00FB561B">
            <w:pPr>
              <w:spacing w:before="240" w:after="240"/>
              <w:jc w:val="left"/>
              <w:rPr>
                <w:szCs w:val="24"/>
              </w:rPr>
            </w:pPr>
            <w:r>
              <w:rPr>
                <w:szCs w:val="24"/>
              </w:rPr>
              <w:t> </w:t>
            </w:r>
          </w:p>
          <w:p w:rsidR="0035701C" w:rsidRDefault="00FB561B">
            <w:pPr>
              <w:spacing w:before="240" w:after="240"/>
              <w:ind w:left="816"/>
              <w:jc w:val="left"/>
              <w:rPr>
                <w:szCs w:val="24"/>
              </w:rPr>
            </w:pPr>
            <w:r>
              <w:rPr>
                <w:b/>
                <w:bCs/>
                <w:szCs w:val="24"/>
              </w:rPr>
              <w:t>Produ</w:t>
            </w:r>
            <w:r>
              <w:rPr>
                <w:b/>
                <w:bCs/>
                <w:szCs w:val="24"/>
              </w:rPr>
              <w:t>ction engagée dans une démarche qualité AOC/AOP, IGP et label rouge, une certification environnementale ou en race locale reconnue </w:t>
            </w:r>
            <w:r>
              <w:rPr>
                <w:szCs w:val="24"/>
              </w:rPr>
              <w:t>:</w:t>
            </w:r>
            <w:r>
              <w:rPr>
                <w:szCs w:val="24"/>
              </w:rPr>
              <w:br/>
              <w:t>Cette majoration est justifiée par une meilleure valorisation économique de ces productions identitaires et liées au terroi</w:t>
            </w:r>
            <w:r>
              <w:rPr>
                <w:szCs w:val="24"/>
              </w:rPr>
              <w:t>r, ainsi que par l’impact positif sur la biodiversité et le maintien des paysages dans la zone de programmation (cf. AFOM) :</w:t>
            </w:r>
            <w:r>
              <w:rPr>
                <w:szCs w:val="24"/>
              </w:rPr>
              <w:br/>
              <w:t>- Pour ce qui concerne les productions sous Signe Officiel de Qualité (SOQ) AOC/AOP, IGP et label rouge, la majoration est appliqué</w:t>
            </w:r>
            <w:r>
              <w:rPr>
                <w:szCs w:val="24"/>
              </w:rPr>
              <w:t>e au montant maximum, pour les projets se prévalant d’une adhésion au démarrage du projet, et ayant la majorité de sa production certifiée et commercialisée au plus tard en n4.</w:t>
            </w:r>
            <w:r>
              <w:rPr>
                <w:szCs w:val="24"/>
              </w:rPr>
              <w:br/>
              <w:t>- Pour les filières végétales pour lesquelles il n’y a pas les SOQ mentionnés p</w:t>
            </w:r>
            <w:r>
              <w:rPr>
                <w:szCs w:val="24"/>
              </w:rPr>
              <w:t xml:space="preserve">récédemment, la majoration est appliquée au niveau minimum, pour les projets prévoyant une certification environnementale (agriculture raisonnée certifiée ou HVE : haute valeur environnementale) en dehors de l’AB soutenue par la mesure 11. Cette condition </w:t>
            </w:r>
            <w:r>
              <w:rPr>
                <w:szCs w:val="24"/>
              </w:rPr>
              <w:t>doit être effective au plus tard en n4 du projet d’installation.</w:t>
            </w:r>
          </w:p>
          <w:p w:rsidR="0035701C" w:rsidRDefault="00FB561B">
            <w:pPr>
              <w:spacing w:before="240" w:after="240"/>
              <w:ind w:left="816"/>
              <w:jc w:val="left"/>
              <w:rPr>
                <w:szCs w:val="24"/>
              </w:rPr>
            </w:pPr>
            <w:r>
              <w:rPr>
                <w:szCs w:val="24"/>
              </w:rPr>
              <w:t>- Pour les filières animales, si le projet ne prévoit pas d’adhésion et de production sous signe de qualité, une majoration au niveau minimum est également octroyée pour une production en éle</w:t>
            </w:r>
            <w:r>
              <w:rPr>
                <w:szCs w:val="24"/>
              </w:rPr>
              <w:t>vage de race locale reconnue par arrêté ministériel. L’agrément des animaux est attesté au constat d’installation par une commission d’agrément de la race mobilisée au sein de chaque filière de production concernée.</w:t>
            </w:r>
            <w:r>
              <w:rPr>
                <w:szCs w:val="24"/>
              </w:rPr>
              <w:br/>
              <w:t> </w:t>
            </w:r>
          </w:p>
          <w:p w:rsidR="0035701C" w:rsidRDefault="00FB561B">
            <w:pPr>
              <w:spacing w:before="240" w:after="240"/>
              <w:ind w:left="816"/>
              <w:jc w:val="left"/>
              <w:rPr>
                <w:szCs w:val="24"/>
              </w:rPr>
            </w:pPr>
            <w:r>
              <w:rPr>
                <w:szCs w:val="24"/>
              </w:rPr>
              <w:t>Cette majoration n’est accordée que po</w:t>
            </w:r>
            <w:r>
              <w:rPr>
                <w:szCs w:val="24"/>
              </w:rPr>
              <w:t>ur l’atelier principal (atelier dégageant le chiffre d’affaires majoritaire en n4).</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(4)       Territoire et environnement</w:t>
            </w:r>
          </w:p>
          <w:p w:rsidR="0035701C" w:rsidRDefault="00FB561B">
            <w:pPr>
              <w:spacing w:before="240" w:after="240"/>
              <w:jc w:val="left"/>
              <w:rPr>
                <w:szCs w:val="24"/>
              </w:rPr>
            </w:pPr>
            <w:r>
              <w:rPr>
                <w:szCs w:val="24"/>
              </w:rPr>
              <w:t> </w:t>
            </w:r>
          </w:p>
          <w:p w:rsidR="0035701C" w:rsidRDefault="00FB561B">
            <w:pPr>
              <w:spacing w:before="240" w:after="240"/>
              <w:ind w:left="816"/>
              <w:jc w:val="left"/>
              <w:rPr>
                <w:szCs w:val="24"/>
              </w:rPr>
            </w:pPr>
            <w:r>
              <w:rPr>
                <w:b/>
                <w:bCs/>
                <w:szCs w:val="24"/>
              </w:rPr>
              <w:t>4.1 - Projet ayant un impact sur la valorisation des espaces agricoles.</w:t>
            </w:r>
            <w:r>
              <w:rPr>
                <w:b/>
                <w:bCs/>
                <w:szCs w:val="24"/>
              </w:rPr>
              <w:br/>
            </w:r>
            <w:r>
              <w:rPr>
                <w:szCs w:val="24"/>
              </w:rPr>
              <w:t>Il s’agit de soutenir les projets ayant un impact sur la r</w:t>
            </w:r>
            <w:r>
              <w:rPr>
                <w:szCs w:val="24"/>
              </w:rPr>
              <w:t>econquête des milieux menacés d’abandon et la fermeture des paysages, et qui concourent à la lutte contre la déprise agricole et le risque de perte de la biodiversité. Les nouvelles implantations de cultures ou les améliorations pastorales réalisées par le</w:t>
            </w:r>
            <w:r>
              <w:rPr>
                <w:szCs w:val="24"/>
              </w:rPr>
              <w:t xml:space="preserve"> JA après le démarrage du projet, sur des milieux recouverts de ligneux, fermés ou improductifs doivent représenter au plus tard à la fin de la quatrième année de la mise en œuvre du projet d’installation, au minimum 5ha. Cette condition est vérifiée en de</w:t>
            </w:r>
            <w:r>
              <w:rPr>
                <w:szCs w:val="24"/>
              </w:rPr>
              <w:t>rnière année du projet d’installation avant paiement final</w:t>
            </w:r>
          </w:p>
          <w:p w:rsidR="0035701C" w:rsidRDefault="00FB561B">
            <w:pPr>
              <w:spacing w:before="240" w:after="240"/>
              <w:ind w:left="816"/>
              <w:jc w:val="left"/>
              <w:rPr>
                <w:szCs w:val="24"/>
              </w:rPr>
            </w:pPr>
            <w:r>
              <w:rPr>
                <w:szCs w:val="24"/>
              </w:rPr>
              <w:t>Les surfaces à débroussailler doivent être identifiées au dépôt du projet d’installation, dans le cadre de l’élaboration d’un diagnostic et d’un plan de gestion de la surface agricole ou pastorale.</w:t>
            </w:r>
            <w:r>
              <w:rPr>
                <w:szCs w:val="24"/>
              </w:rPr>
              <w:t xml:space="preserve"> Ces surfaces devront être portées à la déclaration de surface suivant le constat d’installation, dans leur état initial (en parcours ou autre utilisation) ou si l’intervention s’est réalisée durant la première année de mise en œuvre du projet d’installati</w:t>
            </w:r>
            <w:r>
              <w:rPr>
                <w:szCs w:val="24"/>
              </w:rPr>
              <w:t>on, selon leur type de mise en valeur. La mise en valeur des parcelles doit suivre les préconisations d’itinéraires techniques établies en fonction des potentialités identifiées par ces diagnostics Toute modification ultérieure de la zone initiale nécessit</w:t>
            </w:r>
            <w:r>
              <w:rPr>
                <w:szCs w:val="24"/>
              </w:rPr>
              <w:t>e un avenant au projet d’installation, préalablement au commencement des travaux d’ouverture du milieu.</w:t>
            </w:r>
            <w:r>
              <w:rPr>
                <w:szCs w:val="24"/>
              </w:rPr>
              <w:br/>
              <w:t>L’agriculteur s’engage en outre à entretenir ces espaces durant 5 ans à compter de la date de paiement du solde de la DJA.</w:t>
            </w:r>
          </w:p>
          <w:p w:rsidR="0035701C" w:rsidRDefault="00FB561B">
            <w:pPr>
              <w:spacing w:before="240" w:after="240"/>
              <w:jc w:val="left"/>
              <w:rPr>
                <w:szCs w:val="24"/>
              </w:rPr>
            </w:pPr>
            <w:r>
              <w:rPr>
                <w:szCs w:val="24"/>
              </w:rPr>
              <w:t> </w:t>
            </w:r>
          </w:p>
          <w:p w:rsidR="0035701C" w:rsidRDefault="00FB561B">
            <w:pPr>
              <w:spacing w:before="240" w:after="240"/>
              <w:ind w:left="816"/>
              <w:jc w:val="left"/>
              <w:rPr>
                <w:szCs w:val="24"/>
              </w:rPr>
            </w:pPr>
            <w:r>
              <w:rPr>
                <w:b/>
                <w:bCs/>
                <w:szCs w:val="24"/>
              </w:rPr>
              <w:t xml:space="preserve">4.2 - Projet se traduisant </w:t>
            </w:r>
            <w:r>
              <w:rPr>
                <w:b/>
                <w:bCs/>
                <w:szCs w:val="24"/>
              </w:rPr>
              <w:t>par un degré d'atteinte partielle de l'autonomie alimentaire du cheptel</w:t>
            </w:r>
            <w:r>
              <w:rPr>
                <w:b/>
                <w:bCs/>
                <w:szCs w:val="24"/>
              </w:rPr>
              <w:br/>
            </w:r>
            <w:r>
              <w:rPr>
                <w:szCs w:val="24"/>
              </w:rPr>
              <w:t>Les déficits d’autonomie fourragère des exploitations d’élevage de ruminants (ovins, bovins, caprins, équins) sont un point de faiblesse dans la zone de programmation. Les pâturages ét</w:t>
            </w:r>
            <w:r>
              <w:rPr>
                <w:szCs w:val="24"/>
              </w:rPr>
              <w:t>ant constitués de surfaces en herbe et en parcours à la végétation ligneuse spontanée, il s’agit de soutenir les projets qui augmentent la proportion de surfaces en herbe entretenues ou semées, susceptibles de constituer une réserve sur pied ou par fauche.</w:t>
            </w:r>
            <w:r>
              <w:rPr>
                <w:szCs w:val="24"/>
              </w:rPr>
              <w:t xml:space="preserve"> Il s’agit en effet de trouver un équilibre entre les ressources fourragères issues de l’exploitation, celles des parcours ligneux et celles qui sont achetées. Cette majoration n’a pas d’incidence sur le chargement global du cheptel sur l’ensemble des pâtu</w:t>
            </w:r>
            <w:r>
              <w:rPr>
                <w:szCs w:val="24"/>
              </w:rPr>
              <w:t>rages. La proportion de surfaces semées et entretenues à rechercher est fonction du cheptel de l’exploitation et s’exprime en ha par UGB.</w:t>
            </w:r>
          </w:p>
          <w:p w:rsidR="0035701C" w:rsidRDefault="00FB561B">
            <w:pPr>
              <w:spacing w:before="240" w:after="240"/>
              <w:ind w:left="816"/>
              <w:jc w:val="left"/>
              <w:rPr>
                <w:szCs w:val="24"/>
              </w:rPr>
            </w:pPr>
            <w:r>
              <w:rPr>
                <w:szCs w:val="24"/>
              </w:rPr>
              <w:t> </w:t>
            </w:r>
          </w:p>
          <w:p w:rsidR="0035701C" w:rsidRDefault="00FB561B">
            <w:pPr>
              <w:spacing w:before="240" w:after="240"/>
              <w:ind w:left="816"/>
              <w:jc w:val="left"/>
              <w:rPr>
                <w:szCs w:val="24"/>
              </w:rPr>
            </w:pPr>
            <w:r>
              <w:rPr>
                <w:szCs w:val="24"/>
              </w:rPr>
              <w:t>- La majoration est octroyée au niveau 1, lorsque l’exploitation dispose au sein de ses surfaces de pâturage d’un mi</w:t>
            </w:r>
            <w:r>
              <w:rPr>
                <w:szCs w:val="24"/>
              </w:rPr>
              <w:t xml:space="preserve">nimum d’1 ha de </w:t>
            </w:r>
            <w:r>
              <w:rPr>
                <w:szCs w:val="24"/>
                <w:u w:val="single"/>
              </w:rPr>
              <w:t>prairies semées</w:t>
            </w:r>
            <w:r>
              <w:rPr>
                <w:szCs w:val="24"/>
              </w:rPr>
              <w:t xml:space="preserve"> pour 3 UGB (à titre indicatif codes : PT, PX, F2, F3, selon la nomenclature des déclarations de surface de 2014). Ces surfaces sont comptabilisées dès lors qu’elles ont été semées au moins une fois au cours de la mise en œuv</w:t>
            </w:r>
            <w:r>
              <w:rPr>
                <w:szCs w:val="24"/>
              </w:rPr>
              <w:t>re du projet, indépendamment de leur pérennité.</w:t>
            </w:r>
          </w:p>
          <w:p w:rsidR="0035701C" w:rsidRDefault="00FB561B">
            <w:pPr>
              <w:spacing w:before="240" w:after="240"/>
              <w:ind w:left="816"/>
              <w:jc w:val="left"/>
              <w:rPr>
                <w:szCs w:val="24"/>
              </w:rPr>
            </w:pPr>
            <w:r>
              <w:rPr>
                <w:szCs w:val="24"/>
              </w:rPr>
              <w:t xml:space="preserve">- La majoration est octroyée au niveau 2, lorsque l’exploitation dispose au sein de ses surfaces de pâturage d’un minimum d’1 ha de </w:t>
            </w:r>
            <w:r>
              <w:rPr>
                <w:szCs w:val="24"/>
                <w:u w:val="single"/>
              </w:rPr>
              <w:t>surface fourragère productive</w:t>
            </w:r>
            <w:r>
              <w:rPr>
                <w:szCs w:val="24"/>
              </w:rPr>
              <w:t xml:space="preserve"> (SFP) pour 2 UGB ; c'est-à-dire en considérant</w:t>
            </w:r>
            <w:r>
              <w:rPr>
                <w:szCs w:val="24"/>
              </w:rPr>
              <w:t xml:space="preserve"> l’ensemble des </w:t>
            </w:r>
            <w:r>
              <w:rPr>
                <w:szCs w:val="24"/>
                <w:u w:val="single"/>
              </w:rPr>
              <w:t>prairies naturelles ou cultivées</w:t>
            </w:r>
            <w:r>
              <w:rPr>
                <w:szCs w:val="24"/>
              </w:rPr>
              <w:t xml:space="preserve"> (à titre indicatif codes : PN, PT, PX, F1, F2 et F3 en 2014).</w:t>
            </w:r>
          </w:p>
          <w:p w:rsidR="0035701C" w:rsidRDefault="00FB561B">
            <w:pPr>
              <w:spacing w:before="240" w:after="240"/>
              <w:ind w:left="816"/>
              <w:jc w:val="left"/>
              <w:rPr>
                <w:szCs w:val="24"/>
              </w:rPr>
            </w:pPr>
            <w:r>
              <w:rPr>
                <w:szCs w:val="24"/>
              </w:rPr>
              <w:t> </w:t>
            </w:r>
          </w:p>
          <w:p w:rsidR="0035701C" w:rsidRDefault="00FB561B">
            <w:pPr>
              <w:spacing w:before="240" w:after="240"/>
              <w:ind w:left="816"/>
              <w:jc w:val="left"/>
              <w:rPr>
                <w:szCs w:val="24"/>
              </w:rPr>
            </w:pPr>
            <w:r>
              <w:rPr>
                <w:szCs w:val="24"/>
              </w:rPr>
              <w:br/>
              <w:t>L’octroi de la majoration nécessite l’élaboration préalable d’un diagnostic et d’un plan de gestion de la surface agricole dans le cadre de l’</w:t>
            </w:r>
            <w:r>
              <w:rPr>
                <w:szCs w:val="24"/>
              </w:rPr>
              <w:t>élaboration du projet d’installation.</w:t>
            </w:r>
            <w:r>
              <w:rPr>
                <w:szCs w:val="24"/>
              </w:rPr>
              <w:br/>
            </w:r>
            <w:r>
              <w:rPr>
                <w:szCs w:val="24"/>
              </w:rPr>
              <w:br/>
              <w:t>En outre les exploitations spécialisées dans la production de fourrages dédiée exclusivement à la vente, peuvent bénéficier de cette majoration au montant minimum, dans la mesure où la vente de la majorité de cette pr</w:t>
            </w:r>
            <w:r>
              <w:rPr>
                <w:szCs w:val="24"/>
              </w:rPr>
              <w:t>oduction donne lieu à l’établissement de contrats avec des éleveurs. Cette production régionale contribue en effet à l’approvisionnement des filières d’élevage de Corse dans une logique de circuit court.</w:t>
            </w:r>
            <w:r>
              <w:rPr>
                <w:szCs w:val="24"/>
              </w:rPr>
              <w:br/>
            </w:r>
            <w:r>
              <w:rPr>
                <w:szCs w:val="24"/>
              </w:rPr>
              <w:br/>
              <w:t xml:space="preserve">L’ensemble de ces éléments est vérifié sur la base </w:t>
            </w:r>
            <w:r>
              <w:rPr>
                <w:szCs w:val="24"/>
              </w:rPr>
              <w:t>des données effectives de cheptel et de surface en n4 du projet d’installation, avant paiement final de l’aide. La modulation n’est mobilisable que pour les exploitations dont les productions d’élevage de ruminants (ovins, bovins, caprins) en n4 sont major</w:t>
            </w:r>
            <w:r>
              <w:rPr>
                <w:szCs w:val="24"/>
              </w:rPr>
              <w:t>itaires en termes de chiffre d’affaires.</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5886450" cy="2028825"/>
                  <wp:effectExtent l="0" t="0" r="0" b="0"/>
                  <wp:docPr id="100092" name="Image 10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
                          <pic:cNvPicPr>
                            <a:picLocks noChangeAspect="1"/>
                          </pic:cNvPicPr>
                        </pic:nvPicPr>
                        <pic:blipFill>
                          <a:blip r:embed="rId58"/>
                          <a:stretch>
                            <a:fillRect/>
                          </a:stretch>
                        </pic:blipFill>
                        <pic:spPr>
                          <a:xfrm>
                            <a:off x="0" y="0"/>
                            <a:ext cx="5886450" cy="2028825"/>
                          </a:xfrm>
                          <a:prstGeom prst="rect">
                            <a:avLst/>
                          </a:prstGeom>
                        </pic:spPr>
                      </pic:pic>
                    </a:graphicData>
                  </a:graphic>
                </wp:inline>
              </w:drawing>
            </w:r>
          </w:p>
          <w:p w:rsidR="0035701C" w:rsidRDefault="00FB561B">
            <w:pPr>
              <w:pStyle w:val="Pieddepage"/>
              <w:jc w:val="center"/>
            </w:pPr>
            <w:r>
              <w:t>6.1-délais</w:t>
            </w:r>
          </w:p>
          <w:p w:rsidR="0035701C" w:rsidRDefault="0035701C">
            <w:pPr>
              <w:pStyle w:val="Pieddepage"/>
              <w:jc w:val="center"/>
            </w:pPr>
          </w:p>
        </w:tc>
      </w:tr>
    </w:tbl>
    <w:p w:rsidR="0035701C" w:rsidRDefault="00FB561B">
      <w:pPr>
        <w:pStyle w:val="Titre6"/>
      </w:pPr>
      <w:r>
        <w:t>Informations spécifiques sur l'opération</w:t>
      </w:r>
    </w:p>
    <w:p w:rsidR="0035701C" w:rsidRDefault="00FB561B">
      <w:r>
        <w:t>Définition de la notion de «petites exploitations» visée à l’article 19, paragraphe 1, point a) iii),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Définition du seuil </w:t>
      </w:r>
      <w:r>
        <w:t>plancher et du plafond prévus à l’article 19, paragraphe 4, troisième alinéa,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415"/>
              </w:numPr>
              <w:spacing w:before="0" w:after="0"/>
              <w:ind w:hanging="210"/>
              <w:jc w:val="left"/>
              <w:rPr>
                <w:szCs w:val="24"/>
              </w:rPr>
            </w:pPr>
            <w:r>
              <w:rPr>
                <w:szCs w:val="24"/>
              </w:rPr>
              <w:t>Exploitation agricole dont la dimension évaluée par la Production Brute Standard (PBS) est supérieure à 10.000€ et inférieure à 800.000€.</w:t>
            </w:r>
          </w:p>
          <w:p w:rsidR="0035701C" w:rsidRDefault="00FB561B" w:rsidP="00FB561B">
            <w:pPr>
              <w:numPr>
                <w:ilvl w:val="0"/>
                <w:numId w:val="415"/>
              </w:numPr>
              <w:spacing w:before="0" w:after="240"/>
              <w:ind w:hanging="210"/>
              <w:jc w:val="left"/>
              <w:rPr>
                <w:szCs w:val="24"/>
              </w:rPr>
            </w:pPr>
            <w:r>
              <w:rPr>
                <w:szCs w:val="24"/>
              </w:rPr>
              <w:t>Ce potent</w:t>
            </w:r>
            <w:r>
              <w:rPr>
                <w:szCs w:val="24"/>
              </w:rPr>
              <w:t>iel est exprimé en Production Brute Standard (PBS), conformément à l'article 5 point 2 du Règlement délégué (UE) 807/2014 de la Commission.</w:t>
            </w:r>
          </w:p>
          <w:p w:rsidR="0035701C" w:rsidRDefault="0035701C">
            <w:pPr>
              <w:pStyle w:val="Corpsdetexte"/>
            </w:pPr>
          </w:p>
        </w:tc>
      </w:tr>
    </w:tbl>
    <w:p w:rsidR="0035701C" w:rsidRDefault="00FB561B">
      <w:r>
        <w:t>Conditions spécifiques de soutien aux jeunes agriculteurs lorsqu’ils ne s’installent pas en qualité de chef d’expl</w:t>
      </w:r>
      <w:r>
        <w:t>oitation exclusif, conformément à l’article 2, paragraphes 1 et 2,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Dans le cas d'une installation en société, le candidat qui s'installe en tant que chef d'exploitation doit répondre aux mêmes conditions d'éligibilité </w:t>
            </w:r>
            <w:r>
              <w:rPr>
                <w:szCs w:val="24"/>
              </w:rPr>
              <w:t>que pour une installation en individuel.</w:t>
            </w:r>
          </w:p>
          <w:p w:rsidR="0035701C" w:rsidRDefault="00FB561B">
            <w:pPr>
              <w:spacing w:before="240" w:after="240"/>
              <w:jc w:val="left"/>
              <w:rPr>
                <w:szCs w:val="24"/>
              </w:rPr>
            </w:pPr>
            <w:r>
              <w:rPr>
                <w:szCs w:val="24"/>
              </w:rPr>
              <w:t xml:space="preserve">En outre, comme précisé dans les conditions d’admissibilité de la demande et  afin de garantir l’exercice du contrôle effectif et durable de l’exploitation par le JA bénéficiaire de la dotation, la répartition du </w:t>
            </w:r>
            <w:r>
              <w:rPr>
                <w:szCs w:val="24"/>
              </w:rPr>
              <w:t>capital social  de la société ou du groupement devra satisfaire à l’ensemble des conditions suivantes</w:t>
            </w:r>
          </w:p>
          <w:p w:rsidR="0035701C" w:rsidRDefault="00FB561B" w:rsidP="00FB561B">
            <w:pPr>
              <w:numPr>
                <w:ilvl w:val="0"/>
                <w:numId w:val="416"/>
              </w:numPr>
              <w:spacing w:before="240" w:after="0"/>
              <w:ind w:hanging="244"/>
              <w:jc w:val="left"/>
              <w:rPr>
                <w:szCs w:val="24"/>
              </w:rPr>
            </w:pPr>
            <w:r>
              <w:rPr>
                <w:szCs w:val="24"/>
              </w:rPr>
              <w:t>Chaque JA devra détenir 10% minimum des parts du capital social de la société ou du groupement,</w:t>
            </w:r>
          </w:p>
          <w:p w:rsidR="0035701C" w:rsidRDefault="00FB561B" w:rsidP="00FB561B">
            <w:pPr>
              <w:numPr>
                <w:ilvl w:val="0"/>
                <w:numId w:val="416"/>
              </w:numPr>
              <w:spacing w:before="0" w:after="0"/>
              <w:ind w:hanging="244"/>
              <w:jc w:val="left"/>
              <w:rPr>
                <w:szCs w:val="24"/>
              </w:rPr>
            </w:pPr>
            <w:r>
              <w:rPr>
                <w:szCs w:val="24"/>
              </w:rPr>
              <w:t>le JA (ou l’ensemble des JA) devra détenir la majorité des</w:t>
            </w:r>
            <w:r>
              <w:rPr>
                <w:szCs w:val="24"/>
              </w:rPr>
              <w:t xml:space="preserve"> parts,</w:t>
            </w:r>
          </w:p>
          <w:p w:rsidR="0035701C" w:rsidRDefault="00FB561B" w:rsidP="00FB561B">
            <w:pPr>
              <w:numPr>
                <w:ilvl w:val="0"/>
                <w:numId w:val="416"/>
              </w:numPr>
              <w:spacing w:before="0" w:after="240"/>
              <w:ind w:hanging="244"/>
              <w:jc w:val="left"/>
              <w:rPr>
                <w:szCs w:val="24"/>
              </w:rPr>
            </w:pPr>
            <w:r>
              <w:rPr>
                <w:szCs w:val="24"/>
              </w:rPr>
              <w:t>si l’un des associés est constitué sous forme sociétaire, ces deux conditions s’imposent également à cette structure.</w:t>
            </w:r>
          </w:p>
          <w:p w:rsidR="0035701C" w:rsidRDefault="00FB561B">
            <w:pPr>
              <w:spacing w:before="240" w:after="240"/>
              <w:jc w:val="left"/>
              <w:rPr>
                <w:szCs w:val="24"/>
              </w:rPr>
            </w:pPr>
            <w:r>
              <w:rPr>
                <w:szCs w:val="24"/>
              </w:rPr>
              <w:t xml:space="preserve">Ces trois conditions doivent être satisfaites au plus tard au moment de la réalisation du constat d’installation, et durant toute </w:t>
            </w:r>
            <w:r>
              <w:rPr>
                <w:szCs w:val="24"/>
              </w:rPr>
              <w:t>la durée de ses engagements (5 ans).</w:t>
            </w:r>
          </w:p>
          <w:p w:rsidR="0035701C" w:rsidRDefault="0035701C">
            <w:pPr>
              <w:pStyle w:val="Corpsdetexte"/>
            </w:pPr>
          </w:p>
        </w:tc>
      </w:tr>
    </w:tbl>
    <w:p w:rsidR="0035701C" w:rsidRDefault="00FB561B">
      <w:r>
        <w:t>Informations sur l’application du délai de grâce visé à l’article 2, paragraphe 3,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Un dispositif d’installation avec acquisition progressive de la capacité professionnelle permet </w:t>
            </w:r>
            <w:r>
              <w:rPr>
                <w:szCs w:val="24"/>
              </w:rPr>
              <w:t>au candidat de se conformer aux exigences en matière de qualifications professionnelles pour l’accès à l’aide au démarrage des exploitations agricoles. Conformément à l’article 2 §3 du Règlement délégué 807/2014, et dès lors que cela est validé par le prog</w:t>
            </w:r>
            <w:r>
              <w:rPr>
                <w:szCs w:val="24"/>
              </w:rPr>
              <w:t>ramme de professionnalisation figurant au plan d’entreprise, le candidat dispose d’un délai de 36 mois à compter de la date d’adoption de la décision individuelle d’octroi de l’aide pour justifier du niveau requis (diplôme ou procédure de validation des ac</w:t>
            </w:r>
            <w:r>
              <w:rPr>
                <w:szCs w:val="24"/>
              </w:rPr>
              <w:t>quis et de l’expérience VAE).</w:t>
            </w:r>
          </w:p>
          <w:p w:rsidR="0035701C" w:rsidRDefault="00FB561B">
            <w:pPr>
              <w:spacing w:before="240" w:after="240"/>
              <w:jc w:val="left"/>
              <w:rPr>
                <w:szCs w:val="24"/>
              </w:rPr>
            </w:pPr>
            <w:r>
              <w:rPr>
                <w:szCs w:val="24"/>
              </w:rPr>
              <w:t>Cette justification déclenche un paiement intermédiaire de 30% du montant de la dotation.</w:t>
            </w:r>
          </w:p>
          <w:p w:rsidR="0035701C" w:rsidRDefault="0035701C">
            <w:pPr>
              <w:pStyle w:val="Corpsdetexte"/>
            </w:pPr>
          </w:p>
        </w:tc>
      </w:tr>
    </w:tbl>
    <w:p w:rsidR="0035701C" w:rsidRDefault="00FB561B">
      <w:r>
        <w:t>Résumé des exigences du plan d'entreprise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plan d’entreprise comprend, conformément à l'article 5 de l'acte délégué 807/2014 relatif</w:t>
            </w:r>
            <w:r>
              <w:rPr>
                <w:szCs w:val="24"/>
              </w:rPr>
              <w:t xml:space="preserve"> à l'article 19 du règlement 1305/2013 pour la période 2014/2020 :</w:t>
            </w:r>
          </w:p>
          <w:p w:rsidR="0035701C" w:rsidRDefault="00FB561B" w:rsidP="00FB561B">
            <w:pPr>
              <w:numPr>
                <w:ilvl w:val="0"/>
                <w:numId w:val="417"/>
              </w:numPr>
              <w:spacing w:before="240" w:after="0"/>
              <w:ind w:hanging="244"/>
              <w:jc w:val="left"/>
              <w:rPr>
                <w:szCs w:val="24"/>
              </w:rPr>
            </w:pPr>
            <w:r>
              <w:rPr>
                <w:szCs w:val="24"/>
              </w:rPr>
              <w:t>un état de la situation initiale de l'exploitation agricole reprise ou nouvellement constituée,</w:t>
            </w:r>
          </w:p>
          <w:p w:rsidR="0035701C" w:rsidRDefault="00FB561B" w:rsidP="00FB561B">
            <w:pPr>
              <w:numPr>
                <w:ilvl w:val="0"/>
                <w:numId w:val="417"/>
              </w:numPr>
              <w:spacing w:before="0" w:after="0"/>
              <w:ind w:hanging="244"/>
              <w:jc w:val="left"/>
              <w:rPr>
                <w:szCs w:val="24"/>
              </w:rPr>
            </w:pPr>
            <w:r>
              <w:rPr>
                <w:szCs w:val="24"/>
              </w:rPr>
              <w:t xml:space="preserve">les étapes et les objectifs, définis en vue du développement des activités de l’exploitation </w:t>
            </w:r>
            <w:r>
              <w:rPr>
                <w:szCs w:val="24"/>
              </w:rPr>
              <w:t>agricole;</w:t>
            </w:r>
          </w:p>
          <w:p w:rsidR="0035701C" w:rsidRDefault="00FB561B" w:rsidP="00FB561B">
            <w:pPr>
              <w:numPr>
                <w:ilvl w:val="0"/>
                <w:numId w:val="417"/>
              </w:numPr>
              <w:spacing w:before="0" w:after="240"/>
              <w:ind w:hanging="244"/>
              <w:jc w:val="left"/>
              <w:rPr>
                <w:szCs w:val="24"/>
              </w:rPr>
            </w:pPr>
            <w:r>
              <w:rPr>
                <w:szCs w:val="24"/>
              </w:rPr>
              <w:t xml:space="preserve">les détails des mesures, y compris celles qui sont liées à la durabilité de l’environnement et l’efficacité des ressources, nécessaires afin de développer les activités de l’exploitation agricole, telle que les investissements, la formation, les </w:t>
            </w:r>
            <w:r>
              <w:rPr>
                <w:szCs w:val="24"/>
              </w:rPr>
              <w:t>conseils.</w:t>
            </w:r>
          </w:p>
          <w:p w:rsidR="0035701C" w:rsidRDefault="00FB561B">
            <w:pPr>
              <w:spacing w:before="240" w:after="240"/>
              <w:jc w:val="left"/>
              <w:rPr>
                <w:szCs w:val="24"/>
              </w:rPr>
            </w:pPr>
            <w:r>
              <w:rPr>
                <w:szCs w:val="24"/>
              </w:rPr>
              <w:t>Ce plan d’entreprise est un élément constitutif du projet d’installation qui mentionne également la liste des formations continues obligatoires que le candidat devra suivre durant le déroulement de la phase d’installation.</w:t>
            </w:r>
          </w:p>
          <w:p w:rsidR="0035701C" w:rsidRDefault="00FB561B">
            <w:pPr>
              <w:spacing w:before="240" w:after="240"/>
              <w:jc w:val="left"/>
              <w:rPr>
                <w:szCs w:val="24"/>
              </w:rPr>
            </w:pPr>
            <w:r>
              <w:rPr>
                <w:szCs w:val="24"/>
              </w:rPr>
              <w:t xml:space="preserve">La bonne mise en œuvre </w:t>
            </w:r>
            <w:r>
              <w:rPr>
                <w:szCs w:val="24"/>
              </w:rPr>
              <w:t>du plan d’entreprise est vérifiée avant paiement de la dernière tranche sur la base du projet d’installation établi sur 4 ans.</w:t>
            </w:r>
          </w:p>
          <w:p w:rsidR="0035701C" w:rsidRDefault="0035701C">
            <w:pPr>
              <w:pStyle w:val="Corpsdetexte"/>
            </w:pPr>
          </w:p>
        </w:tc>
      </w:tr>
    </w:tbl>
    <w:p w:rsidR="0035701C" w:rsidRDefault="00FB561B">
      <w:r>
        <w:t>Utilisation de la possibilité de combiner différentes mesures par l'intermédiaire du plan d'entreprise donnant accès à ces mesu</w:t>
      </w:r>
      <w:r>
        <w:t>res au jeune agriculteur</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Il est possible d'utiliser une combinaison de différentes mesures pour la mise en œuvre du plan d'entreprise du candidat en démarrage d'activité.</w:t>
            </w:r>
          </w:p>
          <w:p w:rsidR="0035701C" w:rsidRDefault="00FB561B">
            <w:pPr>
              <w:spacing w:before="240" w:after="240"/>
              <w:jc w:val="left"/>
              <w:rPr>
                <w:szCs w:val="24"/>
              </w:rPr>
            </w:pPr>
            <w:r>
              <w:rPr>
                <w:szCs w:val="24"/>
              </w:rPr>
              <w:t>Le candidat pourra notamment bénéficier :</w:t>
            </w:r>
          </w:p>
          <w:p w:rsidR="0035701C" w:rsidRDefault="00FB561B" w:rsidP="00FB561B">
            <w:pPr>
              <w:numPr>
                <w:ilvl w:val="0"/>
                <w:numId w:val="418"/>
              </w:numPr>
              <w:spacing w:before="240" w:after="0"/>
              <w:ind w:hanging="210"/>
              <w:jc w:val="left"/>
              <w:rPr>
                <w:szCs w:val="24"/>
              </w:rPr>
            </w:pPr>
            <w:r>
              <w:rPr>
                <w:szCs w:val="24"/>
              </w:rPr>
              <w:t xml:space="preserve">de la mesure 4 dans le cadre de projets </w:t>
            </w:r>
            <w:r>
              <w:rPr>
                <w:szCs w:val="24"/>
              </w:rPr>
              <w:t xml:space="preserve">d’investissement répondant à la mise œuvre de son plan d’entreprise. Dans le respect de l’article 60 §2 du Règlement 1305/2013, les dépenses liées aux investissements identifiés à la première année du plan d’entreprise sont considérées comme admissibles à </w:t>
            </w:r>
            <w:r>
              <w:rPr>
                <w:szCs w:val="24"/>
              </w:rPr>
              <w:t>la date de la demande de la DJA, à la condition qu’elles aient fait l’objet d’une demande conjointe dans le formulaire de demande d’aide à la DJA, et sous réserve que ces interventions soient sélectionnées par l’Autorité de Gestion.</w:t>
            </w:r>
          </w:p>
          <w:p w:rsidR="0035701C" w:rsidRDefault="00FB561B" w:rsidP="00FB561B">
            <w:pPr>
              <w:numPr>
                <w:ilvl w:val="0"/>
                <w:numId w:val="418"/>
              </w:numPr>
              <w:spacing w:before="0" w:after="240"/>
              <w:ind w:hanging="210"/>
              <w:jc w:val="left"/>
              <w:rPr>
                <w:szCs w:val="24"/>
              </w:rPr>
            </w:pPr>
            <w:r>
              <w:rPr>
                <w:szCs w:val="24"/>
              </w:rPr>
              <w:t xml:space="preserve">de la mesure 1 pour ce </w:t>
            </w:r>
            <w:r>
              <w:rPr>
                <w:szCs w:val="24"/>
              </w:rPr>
              <w:t>qui concerne l’accompagnement de formation ou de stage qualifiant. L’entrée formelle du candidat dans le parcours à l’installation est nécessaire pour mobiliser les aides afférentes.</w:t>
            </w:r>
          </w:p>
          <w:p w:rsidR="0035701C" w:rsidRDefault="0035701C">
            <w:pPr>
              <w:pStyle w:val="Corpsdetexte"/>
            </w:pPr>
          </w:p>
        </w:tc>
      </w:tr>
    </w:tbl>
    <w:p w:rsidR="0035701C" w:rsidRDefault="00FB561B">
      <w:r>
        <w:t>Domaines couverts par la diversification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br w:type="page"/>
        <w:t>6.4.1- Diversification</w:t>
      </w:r>
    </w:p>
    <w:p w:rsidR="0035701C" w:rsidRDefault="00FB561B">
      <w:r>
        <w:t>So</w:t>
      </w:r>
      <w:r>
        <w:t xml:space="preserve">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419"/>
              </w:numPr>
            </w:pPr>
            <w:r>
              <w:t>6.4 – Aide aux investissements dans la création et le développement d'activités non agricoles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Sous-titre complet de l’opération : Diversification = Diversification vers des activités non-agricoles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L’intervention consiste à soutenir la création et le renforcement d’activités non-agricoles portées par des exploitants agricoles afin de compléter et diversifier leurs revenus.</w:t>
            </w:r>
          </w:p>
          <w:p w:rsidR="0035701C" w:rsidRDefault="00FB561B">
            <w:pPr>
              <w:spacing w:before="240" w:after="240"/>
              <w:jc w:val="left"/>
              <w:rPr>
                <w:szCs w:val="24"/>
              </w:rPr>
            </w:pPr>
            <w:r>
              <w:rPr>
                <w:szCs w:val="24"/>
              </w:rPr>
              <w:t>Elle répond principalement aux besoins :</w:t>
            </w:r>
          </w:p>
          <w:p w:rsidR="0035701C" w:rsidRDefault="00FB561B" w:rsidP="00FB561B">
            <w:pPr>
              <w:numPr>
                <w:ilvl w:val="0"/>
                <w:numId w:val="420"/>
              </w:numPr>
              <w:spacing w:before="240" w:after="240"/>
              <w:ind w:hanging="210"/>
              <w:jc w:val="left"/>
              <w:rPr>
                <w:szCs w:val="24"/>
              </w:rPr>
            </w:pPr>
            <w:r>
              <w:rPr>
                <w:szCs w:val="24"/>
              </w:rPr>
              <w:t>n°8 : Améliorer le revenu des agricul</w:t>
            </w:r>
            <w:r>
              <w:rPr>
                <w:szCs w:val="24"/>
              </w:rPr>
              <w:t>teurs par le développement de l'outil de travail et la diversification des activités,</w:t>
            </w:r>
          </w:p>
          <w:p w:rsidR="0035701C" w:rsidRDefault="00FB561B">
            <w:pPr>
              <w:spacing w:before="240" w:after="240"/>
              <w:jc w:val="left"/>
              <w:rPr>
                <w:szCs w:val="24"/>
              </w:rPr>
            </w:pPr>
            <w:r>
              <w:rPr>
                <w:szCs w:val="24"/>
              </w:rPr>
              <w:t>et constitue également un élément de réponse aux besoins :</w:t>
            </w:r>
          </w:p>
          <w:p w:rsidR="0035701C" w:rsidRDefault="00FB561B" w:rsidP="00FB561B">
            <w:pPr>
              <w:numPr>
                <w:ilvl w:val="0"/>
                <w:numId w:val="421"/>
              </w:numPr>
              <w:spacing w:before="240" w:after="0"/>
              <w:ind w:hanging="210"/>
              <w:jc w:val="left"/>
              <w:rPr>
                <w:szCs w:val="24"/>
              </w:rPr>
            </w:pPr>
            <w:r>
              <w:rPr>
                <w:szCs w:val="24"/>
              </w:rPr>
              <w:t>n°30 : Favoriser les approches du développement endogène visant à la valorisation des ressources productives, c</w:t>
            </w:r>
            <w:r>
              <w:rPr>
                <w:szCs w:val="24"/>
              </w:rPr>
              <w:t>ulturelles et patrimoniales des territoires</w:t>
            </w:r>
          </w:p>
          <w:p w:rsidR="0035701C" w:rsidRDefault="00FB561B" w:rsidP="00FB561B">
            <w:pPr>
              <w:numPr>
                <w:ilvl w:val="0"/>
                <w:numId w:val="421"/>
              </w:numPr>
              <w:spacing w:before="0" w:after="0"/>
              <w:ind w:hanging="210"/>
              <w:jc w:val="left"/>
              <w:rPr>
                <w:szCs w:val="24"/>
              </w:rPr>
            </w:pPr>
            <w:r>
              <w:rPr>
                <w:szCs w:val="24"/>
              </w:rPr>
              <w:t>n°31 : Développer la mise en place des services essentiels et l'accueil en milieu rural</w:t>
            </w:r>
          </w:p>
          <w:p w:rsidR="0035701C" w:rsidRDefault="00FB561B" w:rsidP="00FB561B">
            <w:pPr>
              <w:numPr>
                <w:ilvl w:val="0"/>
                <w:numId w:val="421"/>
              </w:numPr>
              <w:spacing w:before="0" w:after="0"/>
              <w:ind w:hanging="210"/>
              <w:jc w:val="left"/>
              <w:rPr>
                <w:szCs w:val="24"/>
              </w:rPr>
            </w:pPr>
            <w:r>
              <w:rPr>
                <w:szCs w:val="24"/>
              </w:rPr>
              <w:t>n°33 : Maintenir une occupation du territoire et favoriser le lien social</w:t>
            </w:r>
          </w:p>
          <w:p w:rsidR="0035701C" w:rsidRDefault="00FB561B" w:rsidP="00FB561B">
            <w:pPr>
              <w:numPr>
                <w:ilvl w:val="0"/>
                <w:numId w:val="421"/>
              </w:numPr>
              <w:spacing w:before="0" w:after="240"/>
              <w:ind w:hanging="210"/>
              <w:jc w:val="left"/>
              <w:rPr>
                <w:szCs w:val="24"/>
              </w:rPr>
            </w:pPr>
            <w:r>
              <w:rPr>
                <w:szCs w:val="24"/>
              </w:rPr>
              <w:t xml:space="preserve">n°34 : Favoriser un équilibre territorial et </w:t>
            </w:r>
            <w:r>
              <w:rPr>
                <w:szCs w:val="24"/>
              </w:rPr>
              <w:t>économique entre  le tourisme et les autres activités</w:t>
            </w:r>
          </w:p>
          <w:p w:rsidR="0035701C" w:rsidRDefault="00FB561B">
            <w:pPr>
              <w:spacing w:before="240" w:after="240"/>
              <w:jc w:val="left"/>
              <w:rPr>
                <w:szCs w:val="24"/>
              </w:rPr>
            </w:pPr>
            <w:r>
              <w:rPr>
                <w:szCs w:val="24"/>
              </w:rPr>
              <w:t>La mesure permet directement et indirectement :</w:t>
            </w:r>
          </w:p>
          <w:p w:rsidR="0035701C" w:rsidRDefault="00FB561B" w:rsidP="00FB561B">
            <w:pPr>
              <w:numPr>
                <w:ilvl w:val="0"/>
                <w:numId w:val="422"/>
              </w:numPr>
              <w:spacing w:before="240" w:after="0"/>
              <w:ind w:hanging="210"/>
              <w:jc w:val="left"/>
              <w:rPr>
                <w:szCs w:val="24"/>
              </w:rPr>
            </w:pPr>
            <w:r>
              <w:rPr>
                <w:szCs w:val="24"/>
              </w:rPr>
              <w:t>d’accompagner et professionnaliser les démarches visant à la polyactivité des ménages agricoles en veillant à pérenniser leur activité primaire,</w:t>
            </w:r>
          </w:p>
          <w:p w:rsidR="0035701C" w:rsidRDefault="00FB561B" w:rsidP="00FB561B">
            <w:pPr>
              <w:numPr>
                <w:ilvl w:val="0"/>
                <w:numId w:val="422"/>
              </w:numPr>
              <w:spacing w:before="0" w:after="0"/>
              <w:ind w:hanging="210"/>
              <w:jc w:val="left"/>
              <w:rPr>
                <w:szCs w:val="24"/>
              </w:rPr>
            </w:pPr>
            <w:r>
              <w:rPr>
                <w:szCs w:val="24"/>
              </w:rPr>
              <w:t>de lutter</w:t>
            </w:r>
            <w:r>
              <w:rPr>
                <w:szCs w:val="24"/>
              </w:rPr>
              <w:t xml:space="preserve"> ainsi contre la tendance à la réduction du nombre d’exploitations agricoles,</w:t>
            </w:r>
          </w:p>
          <w:p w:rsidR="0035701C" w:rsidRDefault="00FB561B" w:rsidP="00FB561B">
            <w:pPr>
              <w:numPr>
                <w:ilvl w:val="0"/>
                <w:numId w:val="422"/>
              </w:numPr>
              <w:spacing w:before="0" w:after="0"/>
              <w:ind w:hanging="210"/>
              <w:jc w:val="left"/>
              <w:rPr>
                <w:szCs w:val="24"/>
              </w:rPr>
            </w:pPr>
            <w:r>
              <w:rPr>
                <w:szCs w:val="24"/>
              </w:rPr>
              <w:t>de valoriser et mobiliser les ressources locales, notamment forestières, et trouver de nouveaux débouchés,</w:t>
            </w:r>
          </w:p>
          <w:p w:rsidR="0035701C" w:rsidRDefault="00FB561B" w:rsidP="00FB561B">
            <w:pPr>
              <w:numPr>
                <w:ilvl w:val="0"/>
                <w:numId w:val="422"/>
              </w:numPr>
              <w:spacing w:before="0" w:after="0"/>
              <w:ind w:hanging="210"/>
              <w:jc w:val="left"/>
              <w:rPr>
                <w:szCs w:val="24"/>
              </w:rPr>
            </w:pPr>
            <w:r>
              <w:rPr>
                <w:szCs w:val="24"/>
              </w:rPr>
              <w:t>de renforcer le tissu économique sur l’ensemble des territoires ruraux,</w:t>
            </w:r>
          </w:p>
          <w:p w:rsidR="0035701C" w:rsidRDefault="00FB561B" w:rsidP="00FB561B">
            <w:pPr>
              <w:numPr>
                <w:ilvl w:val="0"/>
                <w:numId w:val="422"/>
              </w:numPr>
              <w:spacing w:before="0" w:after="0"/>
              <w:ind w:hanging="210"/>
              <w:jc w:val="left"/>
              <w:rPr>
                <w:szCs w:val="24"/>
              </w:rPr>
            </w:pPr>
            <w:r>
              <w:rPr>
                <w:szCs w:val="24"/>
              </w:rPr>
              <w:t>de répondre aux attentes des clientèles permanentes et touristiques des espaces ruraux en fournissant une offre alternative et de qualité.</w:t>
            </w:r>
          </w:p>
          <w:p w:rsidR="0035701C" w:rsidRDefault="00FB561B" w:rsidP="00FB561B">
            <w:pPr>
              <w:numPr>
                <w:ilvl w:val="0"/>
                <w:numId w:val="422"/>
              </w:numPr>
              <w:spacing w:before="0" w:after="240"/>
              <w:ind w:hanging="210"/>
              <w:jc w:val="left"/>
              <w:rPr>
                <w:szCs w:val="24"/>
              </w:rPr>
            </w:pPr>
            <w:r>
              <w:rPr>
                <w:szCs w:val="24"/>
              </w:rPr>
              <w:t>de favoriser le développement de circuits courts de vente de produits agricoles</w:t>
            </w:r>
          </w:p>
          <w:p w:rsidR="0035701C" w:rsidRDefault="00FB561B">
            <w:pPr>
              <w:spacing w:before="240" w:after="240"/>
              <w:jc w:val="left"/>
              <w:rPr>
                <w:szCs w:val="24"/>
              </w:rPr>
            </w:pPr>
            <w:r>
              <w:rPr>
                <w:szCs w:val="24"/>
              </w:rPr>
              <w:t>Les actions soutenues par cette mesu</w:t>
            </w:r>
            <w:r>
              <w:rPr>
                <w:szCs w:val="24"/>
              </w:rPr>
              <w:t>re peuvent être de différentes natures, essentiellement :</w:t>
            </w:r>
          </w:p>
          <w:p w:rsidR="0035701C" w:rsidRDefault="00FB561B" w:rsidP="00FB561B">
            <w:pPr>
              <w:numPr>
                <w:ilvl w:val="0"/>
                <w:numId w:val="423"/>
              </w:numPr>
              <w:spacing w:before="240" w:after="0"/>
              <w:ind w:hanging="210"/>
              <w:jc w:val="left"/>
              <w:rPr>
                <w:szCs w:val="24"/>
              </w:rPr>
            </w:pPr>
            <w:r>
              <w:rPr>
                <w:szCs w:val="24"/>
              </w:rPr>
              <w:t>agritourisme : accueil, hébergement à la ferme, restauration</w:t>
            </w:r>
          </w:p>
          <w:p w:rsidR="0035701C" w:rsidRDefault="00FB561B" w:rsidP="00FB561B">
            <w:pPr>
              <w:numPr>
                <w:ilvl w:val="0"/>
                <w:numId w:val="423"/>
              </w:numPr>
              <w:spacing w:before="0" w:after="0"/>
              <w:ind w:hanging="210"/>
              <w:jc w:val="left"/>
              <w:rPr>
                <w:szCs w:val="24"/>
              </w:rPr>
            </w:pPr>
            <w:r>
              <w:rPr>
                <w:szCs w:val="24"/>
              </w:rPr>
              <w:t>accueil pédagogique</w:t>
            </w:r>
          </w:p>
          <w:p w:rsidR="0035701C" w:rsidRDefault="00FB561B" w:rsidP="00FB561B">
            <w:pPr>
              <w:numPr>
                <w:ilvl w:val="0"/>
                <w:numId w:val="423"/>
              </w:numPr>
              <w:spacing w:before="0" w:after="0"/>
              <w:ind w:hanging="210"/>
              <w:jc w:val="left"/>
              <w:rPr>
                <w:szCs w:val="24"/>
              </w:rPr>
            </w:pPr>
            <w:r>
              <w:rPr>
                <w:szCs w:val="24"/>
              </w:rPr>
              <w:t>exploitation forestière,</w:t>
            </w:r>
          </w:p>
          <w:p w:rsidR="0035701C" w:rsidRDefault="00FB561B" w:rsidP="00FB561B">
            <w:pPr>
              <w:numPr>
                <w:ilvl w:val="0"/>
                <w:numId w:val="423"/>
              </w:numPr>
              <w:spacing w:before="0" w:after="0"/>
              <w:ind w:hanging="210"/>
              <w:jc w:val="left"/>
              <w:rPr>
                <w:szCs w:val="24"/>
              </w:rPr>
            </w:pPr>
            <w:r>
              <w:rPr>
                <w:szCs w:val="24"/>
              </w:rPr>
              <w:t>première et seconde transformation</w:t>
            </w:r>
          </w:p>
          <w:p w:rsidR="0035701C" w:rsidRDefault="00FB561B" w:rsidP="00FB561B">
            <w:pPr>
              <w:numPr>
                <w:ilvl w:val="0"/>
                <w:numId w:val="423"/>
              </w:numPr>
              <w:spacing w:before="0" w:after="0"/>
              <w:ind w:hanging="210"/>
              <w:jc w:val="left"/>
              <w:rPr>
                <w:szCs w:val="24"/>
              </w:rPr>
            </w:pPr>
            <w:r>
              <w:rPr>
                <w:szCs w:val="24"/>
              </w:rPr>
              <w:t>commercialisation en circuit court</w:t>
            </w:r>
          </w:p>
          <w:p w:rsidR="0035701C" w:rsidRDefault="00FB561B" w:rsidP="00FB561B">
            <w:pPr>
              <w:numPr>
                <w:ilvl w:val="0"/>
                <w:numId w:val="423"/>
              </w:numPr>
              <w:spacing w:before="0" w:after="0"/>
              <w:ind w:hanging="210"/>
              <w:jc w:val="left"/>
              <w:rPr>
                <w:szCs w:val="24"/>
              </w:rPr>
            </w:pPr>
            <w:r>
              <w:rPr>
                <w:szCs w:val="24"/>
              </w:rPr>
              <w:t xml:space="preserve">activités équestres </w:t>
            </w:r>
            <w:r>
              <w:rPr>
                <w:szCs w:val="24"/>
              </w:rPr>
              <w:t>hors élevage,</w:t>
            </w:r>
          </w:p>
          <w:p w:rsidR="0035701C" w:rsidRDefault="00FB561B" w:rsidP="00FB561B">
            <w:pPr>
              <w:numPr>
                <w:ilvl w:val="0"/>
                <w:numId w:val="423"/>
              </w:numPr>
              <w:spacing w:before="0" w:after="0"/>
              <w:ind w:hanging="210"/>
              <w:jc w:val="left"/>
              <w:rPr>
                <w:szCs w:val="24"/>
              </w:rPr>
            </w:pPr>
            <w:r>
              <w:rPr>
                <w:szCs w:val="24"/>
              </w:rPr>
              <w:t>artisanat,</w:t>
            </w:r>
          </w:p>
          <w:p w:rsidR="0035701C" w:rsidRDefault="00FB561B" w:rsidP="00FB561B">
            <w:pPr>
              <w:numPr>
                <w:ilvl w:val="0"/>
                <w:numId w:val="423"/>
              </w:numPr>
              <w:spacing w:before="0" w:after="240"/>
              <w:ind w:hanging="210"/>
              <w:jc w:val="left"/>
              <w:rPr>
                <w:szCs w:val="24"/>
              </w:rPr>
            </w:pPr>
            <w:r>
              <w:rPr>
                <w:szCs w:val="24"/>
              </w:rPr>
              <w:t>services en milieu rural (déneigement, débroussaillement et entretien d’espaces, pension pour animaux, entretien de résidence…),</w:t>
            </w:r>
          </w:p>
          <w:p w:rsidR="0035701C" w:rsidRDefault="00FB561B">
            <w:pPr>
              <w:spacing w:before="240" w:after="240"/>
              <w:jc w:val="left"/>
              <w:rPr>
                <w:szCs w:val="24"/>
              </w:rPr>
            </w:pPr>
            <w:r>
              <w:rPr>
                <w:szCs w:val="24"/>
              </w:rPr>
              <w:t>En accompagnement, l’appel à projet pourra retenir des formations professionnalisantes obligatoires, q</w:t>
            </w:r>
            <w:r>
              <w:rPr>
                <w:szCs w:val="24"/>
              </w:rPr>
              <w:t>ue le bénéficiaire devra s’engager à suivre.</w:t>
            </w:r>
          </w:p>
          <w:p w:rsidR="0035701C" w:rsidRDefault="00FB561B">
            <w:pPr>
              <w:spacing w:before="240" w:after="240"/>
              <w:jc w:val="left"/>
              <w:rPr>
                <w:szCs w:val="24"/>
              </w:rPr>
            </w:pPr>
            <w:r>
              <w:rPr>
                <w:szCs w:val="24"/>
              </w:rPr>
              <w:t>La mesure cible spécifiquement la priorité 6A : faciliter la diversification, la création et le développement de petites entreprises ainsi que la création d'emplois.</w:t>
            </w:r>
          </w:p>
          <w:p w:rsidR="0035701C" w:rsidRDefault="0035701C">
            <w:pPr>
              <w:pStyle w:val="Corpsdetexte"/>
            </w:pPr>
          </w:p>
        </w:tc>
      </w:tr>
    </w:tbl>
    <w:p w:rsidR="0035701C" w:rsidRDefault="00FB561B">
      <w:pPr>
        <w:pStyle w:val="Titre6"/>
      </w:pPr>
      <w:r>
        <w:t>Type de soutien</w:t>
      </w:r>
    </w:p>
    <w:p w:rsidR="0035701C" w:rsidRDefault="00FB561B">
      <w:r>
        <w:t xml:space="preserve">Type de soutien: </w:t>
      </w:r>
      <w:r>
        <w:t>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sous forme de 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Règlement (UE) n°1407/2013 de la Commission du 18/12/2013 relatif aux aides de minimis.</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Bénéficiaires éligibles :</w:t>
            </w:r>
          </w:p>
          <w:p w:rsidR="0035701C" w:rsidRDefault="00FB561B" w:rsidP="00FB561B">
            <w:pPr>
              <w:numPr>
                <w:ilvl w:val="0"/>
                <w:numId w:val="424"/>
              </w:numPr>
              <w:spacing w:before="240" w:after="0"/>
              <w:ind w:hanging="210"/>
              <w:jc w:val="left"/>
              <w:rPr>
                <w:szCs w:val="24"/>
              </w:rPr>
            </w:pPr>
            <w:r>
              <w:rPr>
                <w:szCs w:val="24"/>
              </w:rPr>
              <w:t>Les agriculteurs : exploitants agricoles et</w:t>
            </w:r>
            <w:r>
              <w:rPr>
                <w:szCs w:val="24"/>
              </w:rPr>
              <w:t xml:space="preserve"> sociétés dont la majorité du capital social est détenue par des exploitants agricoles, qui répondent à la définition de la microentreprise (entreprises qui occupent moins de 10 personnes et dont le chiffre d'affaires annuel ou le total du bilan n'excède p</w:t>
            </w:r>
            <w:r>
              <w:rPr>
                <w:szCs w:val="24"/>
              </w:rPr>
              <w:t>as 2 millions d'euros), et qui sont situées en zones rurale.</w:t>
            </w:r>
          </w:p>
          <w:p w:rsidR="0035701C" w:rsidRDefault="00FB561B" w:rsidP="00FB561B">
            <w:pPr>
              <w:numPr>
                <w:ilvl w:val="0"/>
                <w:numId w:val="424"/>
              </w:numPr>
              <w:spacing w:before="0" w:after="0"/>
              <w:ind w:hanging="210"/>
              <w:jc w:val="left"/>
              <w:rPr>
                <w:szCs w:val="24"/>
              </w:rPr>
            </w:pPr>
            <w:r>
              <w:rPr>
                <w:szCs w:val="24"/>
              </w:rPr>
              <w:t>les collectifs à majorité d'agriculteurs (groupements, association incluant des producteurs...)</w:t>
            </w:r>
          </w:p>
          <w:p w:rsidR="0035701C" w:rsidRDefault="00FB561B" w:rsidP="00FB561B">
            <w:pPr>
              <w:numPr>
                <w:ilvl w:val="0"/>
                <w:numId w:val="424"/>
              </w:numPr>
              <w:spacing w:before="0" w:after="240"/>
              <w:ind w:hanging="210"/>
              <w:jc w:val="left"/>
              <w:rPr>
                <w:szCs w:val="24"/>
              </w:rPr>
            </w:pPr>
            <w:r>
              <w:rPr>
                <w:szCs w:val="24"/>
              </w:rPr>
              <w:t xml:space="preserve">Les membres d’un ménage agricole (personnes appartenant au même foyer fiscal ou domiciliées à la </w:t>
            </w:r>
            <w:r>
              <w:rPr>
                <w:szCs w:val="24"/>
              </w:rPr>
              <w:t>même adresse fiscale qu'un agriculteur).</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Bénéficiaires inéligibles :</w:t>
            </w:r>
          </w:p>
          <w:p w:rsidR="0035701C" w:rsidRDefault="00FB561B" w:rsidP="00FB561B">
            <w:pPr>
              <w:numPr>
                <w:ilvl w:val="0"/>
                <w:numId w:val="425"/>
              </w:numPr>
              <w:spacing w:before="240" w:after="240"/>
              <w:ind w:hanging="210"/>
              <w:jc w:val="left"/>
              <w:rPr>
                <w:szCs w:val="24"/>
              </w:rPr>
            </w:pPr>
            <w:r>
              <w:rPr>
                <w:szCs w:val="24"/>
              </w:rPr>
              <w:t>Sont exclues les sociétés civiles immobilières.</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Dépenses éligibles :</w:t>
            </w:r>
          </w:p>
          <w:p w:rsidR="0035701C" w:rsidRDefault="00FB561B" w:rsidP="00FB561B">
            <w:pPr>
              <w:numPr>
                <w:ilvl w:val="0"/>
                <w:numId w:val="426"/>
              </w:numPr>
              <w:spacing w:before="240" w:after="0"/>
              <w:ind w:hanging="210"/>
              <w:jc w:val="left"/>
              <w:rPr>
                <w:szCs w:val="24"/>
              </w:rPr>
            </w:pPr>
            <w:r>
              <w:rPr>
                <w:szCs w:val="24"/>
              </w:rPr>
              <w:t xml:space="preserve">Les investissements matériels destinés à la création ou au développement d’une activité en zone rurale tels que: </w:t>
            </w:r>
          </w:p>
          <w:p w:rsidR="0035701C" w:rsidRDefault="00FB561B" w:rsidP="00FB561B">
            <w:pPr>
              <w:numPr>
                <w:ilvl w:val="1"/>
                <w:numId w:val="426"/>
              </w:numPr>
              <w:spacing w:before="0" w:after="0"/>
              <w:ind w:hanging="244"/>
              <w:jc w:val="left"/>
              <w:rPr>
                <w:szCs w:val="24"/>
              </w:rPr>
            </w:pPr>
            <w:r>
              <w:rPr>
                <w:szCs w:val="24"/>
              </w:rPr>
              <w:t>l’acquisition de bâtiments, la construction et/ou l’extension des bâtiments, destinés à abriter l'activité</w:t>
            </w:r>
          </w:p>
          <w:p w:rsidR="0035701C" w:rsidRDefault="00FB561B" w:rsidP="00FB561B">
            <w:pPr>
              <w:numPr>
                <w:ilvl w:val="1"/>
                <w:numId w:val="426"/>
              </w:numPr>
              <w:spacing w:before="0" w:after="0"/>
              <w:ind w:hanging="244"/>
              <w:jc w:val="left"/>
              <w:rPr>
                <w:szCs w:val="24"/>
              </w:rPr>
            </w:pPr>
            <w:r>
              <w:rPr>
                <w:szCs w:val="24"/>
              </w:rPr>
              <w:t>les travaux de rénovation/réhabilit</w:t>
            </w:r>
            <w:r>
              <w:rPr>
                <w:szCs w:val="24"/>
              </w:rPr>
              <w:t>ation de bâtiments existants abritant l’activité ;</w:t>
            </w:r>
          </w:p>
          <w:p w:rsidR="0035701C" w:rsidRDefault="00FB561B" w:rsidP="00FB561B">
            <w:pPr>
              <w:numPr>
                <w:ilvl w:val="1"/>
                <w:numId w:val="426"/>
              </w:numPr>
              <w:spacing w:before="0" w:after="240"/>
              <w:ind w:hanging="244"/>
              <w:jc w:val="left"/>
              <w:rPr>
                <w:szCs w:val="24"/>
              </w:rPr>
            </w:pPr>
            <w:r>
              <w:rPr>
                <w:szCs w:val="24"/>
              </w:rPr>
              <w:t>les équipements amortissables et d’un montant unitaire supérieur à 300€ nécessaires à l’activité, y compris l'achat de véhicules spécifiques à l'activité.</w:t>
            </w:r>
          </w:p>
          <w:p w:rsidR="0035701C" w:rsidRDefault="00FB561B" w:rsidP="00FB561B">
            <w:pPr>
              <w:numPr>
                <w:ilvl w:val="0"/>
                <w:numId w:val="427"/>
              </w:numPr>
              <w:spacing w:before="240" w:after="0"/>
              <w:ind w:hanging="210"/>
              <w:jc w:val="left"/>
              <w:rPr>
                <w:szCs w:val="24"/>
              </w:rPr>
            </w:pPr>
            <w:r>
              <w:rPr>
                <w:szCs w:val="24"/>
              </w:rPr>
              <w:t>Les frais généraux relatifs à l’opération, dans le</w:t>
            </w:r>
            <w:r>
              <w:rPr>
                <w:szCs w:val="24"/>
              </w:rPr>
              <w:t xml:space="preserve"> respect de l’article 45.2 du règlement 1305/2013, dans la limite de 10 % des dépenses totales éligibles de l’opération : </w:t>
            </w:r>
          </w:p>
          <w:p w:rsidR="0035701C" w:rsidRDefault="00FB561B" w:rsidP="00FB561B">
            <w:pPr>
              <w:numPr>
                <w:ilvl w:val="1"/>
                <w:numId w:val="427"/>
              </w:numPr>
              <w:spacing w:before="0" w:after="0"/>
              <w:ind w:hanging="244"/>
              <w:jc w:val="left"/>
              <w:rPr>
                <w:szCs w:val="24"/>
              </w:rPr>
            </w:pPr>
            <w:r>
              <w:rPr>
                <w:szCs w:val="24"/>
              </w:rPr>
              <w:t>études de faisabilité (techniques, commerciales ou financières) préalables à la mise en œuvre de l’activité,</w:t>
            </w:r>
          </w:p>
          <w:p w:rsidR="0035701C" w:rsidRDefault="00FB561B" w:rsidP="00FB561B">
            <w:pPr>
              <w:numPr>
                <w:ilvl w:val="1"/>
                <w:numId w:val="427"/>
              </w:numPr>
              <w:spacing w:before="0" w:after="240"/>
              <w:ind w:hanging="244"/>
              <w:jc w:val="left"/>
              <w:rPr>
                <w:szCs w:val="24"/>
              </w:rPr>
            </w:pPr>
            <w:r>
              <w:rPr>
                <w:szCs w:val="24"/>
              </w:rPr>
              <w:t>honoraires d'architectes</w:t>
            </w:r>
            <w:r>
              <w:rPr>
                <w:szCs w:val="24"/>
              </w:rPr>
              <w:t>, dépenses liées au conseil en matière de durabilité environnementale liées aux investissements.</w:t>
            </w:r>
          </w:p>
          <w:p w:rsidR="0035701C" w:rsidRDefault="00FB561B">
            <w:pPr>
              <w:spacing w:before="240" w:after="240"/>
              <w:jc w:val="left"/>
              <w:rPr>
                <w:szCs w:val="24"/>
              </w:rPr>
            </w:pPr>
            <w:r>
              <w:rPr>
                <w:b/>
                <w:bCs/>
                <w:szCs w:val="24"/>
              </w:rPr>
              <w:t>Dépenses inéligibles :</w:t>
            </w:r>
          </w:p>
          <w:p w:rsidR="0035701C" w:rsidRDefault="00FB561B">
            <w:pPr>
              <w:spacing w:before="240" w:after="240"/>
              <w:jc w:val="left"/>
              <w:rPr>
                <w:szCs w:val="24"/>
              </w:rPr>
            </w:pPr>
            <w:r>
              <w:rPr>
                <w:szCs w:val="24"/>
              </w:rPr>
              <w:t>Sont exclues de l’assiette éligible, les dépenses suivantes :</w:t>
            </w:r>
          </w:p>
          <w:p w:rsidR="0035701C" w:rsidRDefault="00FB561B" w:rsidP="00FB561B">
            <w:pPr>
              <w:numPr>
                <w:ilvl w:val="0"/>
                <w:numId w:val="428"/>
              </w:numPr>
              <w:spacing w:before="240" w:after="0"/>
              <w:ind w:hanging="210"/>
              <w:jc w:val="left"/>
              <w:rPr>
                <w:szCs w:val="24"/>
              </w:rPr>
            </w:pPr>
            <w:r>
              <w:rPr>
                <w:szCs w:val="24"/>
              </w:rPr>
              <w:t>l'assise du foncier objet de l'opération</w:t>
            </w:r>
          </w:p>
          <w:p w:rsidR="0035701C" w:rsidRDefault="00FB561B" w:rsidP="00FB561B">
            <w:pPr>
              <w:numPr>
                <w:ilvl w:val="0"/>
                <w:numId w:val="428"/>
              </w:numPr>
              <w:spacing w:before="0" w:after="0"/>
              <w:ind w:hanging="210"/>
              <w:jc w:val="left"/>
              <w:rPr>
                <w:szCs w:val="24"/>
              </w:rPr>
            </w:pPr>
            <w:r>
              <w:rPr>
                <w:szCs w:val="24"/>
              </w:rPr>
              <w:t xml:space="preserve">l’auto-construction et le </w:t>
            </w:r>
            <w:r>
              <w:rPr>
                <w:szCs w:val="24"/>
              </w:rPr>
              <w:t>matériel d'occasion.</w:t>
            </w:r>
          </w:p>
          <w:p w:rsidR="0035701C" w:rsidRDefault="00FB561B" w:rsidP="00FB561B">
            <w:pPr>
              <w:numPr>
                <w:ilvl w:val="0"/>
                <w:numId w:val="428"/>
              </w:numPr>
              <w:spacing w:before="0" w:after="0"/>
              <w:ind w:hanging="210"/>
              <w:jc w:val="left"/>
              <w:rPr>
                <w:szCs w:val="24"/>
              </w:rPr>
            </w:pPr>
            <w:r>
              <w:rPr>
                <w:szCs w:val="24"/>
              </w:rPr>
              <w:t>les voieries et les réseaux divers en dehors du bâtiment.</w:t>
            </w:r>
          </w:p>
          <w:p w:rsidR="0035701C" w:rsidRDefault="00FB561B" w:rsidP="00FB561B">
            <w:pPr>
              <w:numPr>
                <w:ilvl w:val="0"/>
                <w:numId w:val="428"/>
              </w:numPr>
              <w:spacing w:before="0" w:after="240"/>
              <w:ind w:hanging="210"/>
              <w:jc w:val="left"/>
              <w:rPr>
                <w:szCs w:val="24"/>
              </w:rPr>
            </w:pPr>
            <w:r>
              <w:rPr>
                <w:szCs w:val="24"/>
              </w:rPr>
              <w:t>les investissements réalisés en vu de se conformer aux normes applicables à l'accessibilité des sites.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429"/>
              </w:numPr>
              <w:spacing w:before="0" w:after="0"/>
              <w:ind w:hanging="210"/>
              <w:jc w:val="left"/>
              <w:rPr>
                <w:szCs w:val="24"/>
              </w:rPr>
            </w:pPr>
            <w:r>
              <w:rPr>
                <w:szCs w:val="24"/>
              </w:rPr>
              <w:t>Les activités connexes à l'activité agricole,</w:t>
            </w:r>
            <w:r>
              <w:rPr>
                <w:szCs w:val="24"/>
              </w:rPr>
              <w:t xml:space="preserve"> (commerciales et artisanales) devront se conformer à la législation fiscale et financière en vigueur.</w:t>
            </w:r>
          </w:p>
          <w:p w:rsidR="0035701C" w:rsidRDefault="00FB561B" w:rsidP="00FB561B">
            <w:pPr>
              <w:numPr>
                <w:ilvl w:val="0"/>
                <w:numId w:val="429"/>
              </w:numPr>
              <w:spacing w:before="0" w:after="240"/>
              <w:ind w:hanging="210"/>
              <w:jc w:val="left"/>
              <w:rPr>
                <w:szCs w:val="24"/>
              </w:rPr>
            </w:pPr>
            <w:r>
              <w:rPr>
                <w:szCs w:val="24"/>
              </w:rPr>
              <w:t>Le bénéficiaire doit présenter à la demande un plan d’entreprise démontrant la faisabilité et la rentabilité de l’activité, et sa compatibilité en termes</w:t>
            </w:r>
            <w:r>
              <w:rPr>
                <w:szCs w:val="24"/>
              </w:rPr>
              <w:t xml:space="preserve"> d’équilibre financier avec le maintien de l’activité agricole.</w:t>
            </w:r>
          </w:p>
          <w:p w:rsidR="0035701C" w:rsidRDefault="00FB561B" w:rsidP="00FB561B">
            <w:pPr>
              <w:numPr>
                <w:ilvl w:val="0"/>
                <w:numId w:val="430"/>
              </w:numPr>
              <w:spacing w:before="240" w:after="240"/>
              <w:ind w:hanging="210"/>
              <w:jc w:val="left"/>
              <w:rPr>
                <w:szCs w:val="24"/>
              </w:rPr>
            </w:pPr>
            <w:r>
              <w:rPr>
                <w:szCs w:val="24"/>
              </w:rPr>
              <w:t>l’activité doit se situer dans le périmètre géographique retenu par l’appel à projet,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i/>
                <w:iCs/>
                <w:szCs w:val="24"/>
              </w:rPr>
              <w:t>Cas d’inéligibilité</w:t>
            </w:r>
          </w:p>
          <w:p w:rsidR="0035701C" w:rsidRDefault="00FB561B" w:rsidP="00FB561B">
            <w:pPr>
              <w:numPr>
                <w:ilvl w:val="0"/>
                <w:numId w:val="431"/>
              </w:numPr>
              <w:spacing w:before="240" w:after="240"/>
              <w:ind w:hanging="210"/>
              <w:jc w:val="left"/>
              <w:rPr>
                <w:szCs w:val="24"/>
              </w:rPr>
            </w:pPr>
            <w:r>
              <w:rPr>
                <w:szCs w:val="24"/>
              </w:rPr>
              <w:t>Les projets portant sur une augmentation de surfaces d’hébergement ou de restauratio</w:t>
            </w:r>
            <w:r>
              <w:rPr>
                <w:szCs w:val="24"/>
              </w:rPr>
              <w:t>n lorsque celles-ci existent préalablement au dépôt de la demande d’aide sont inéligibles.</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projets seront sélectionnés par appel à projet. Les critères de sélection seront établis à </w:t>
            </w:r>
            <w:r>
              <w:rPr>
                <w:szCs w:val="24"/>
              </w:rPr>
              <w:t>partir des principes suivants :</w:t>
            </w:r>
          </w:p>
          <w:p w:rsidR="0035701C" w:rsidRDefault="00FB561B">
            <w:pPr>
              <w:spacing w:before="240" w:after="240"/>
              <w:jc w:val="left"/>
              <w:rPr>
                <w:szCs w:val="24"/>
              </w:rPr>
            </w:pPr>
            <w:r>
              <w:rPr>
                <w:szCs w:val="24"/>
              </w:rPr>
              <w:t>Il s’agit notamment</w:t>
            </w:r>
          </w:p>
          <w:p w:rsidR="0035701C" w:rsidRDefault="00FB561B" w:rsidP="00FB561B">
            <w:pPr>
              <w:numPr>
                <w:ilvl w:val="0"/>
                <w:numId w:val="432"/>
              </w:numPr>
              <w:spacing w:before="240" w:after="0"/>
              <w:ind w:hanging="210"/>
              <w:jc w:val="left"/>
              <w:rPr>
                <w:szCs w:val="24"/>
              </w:rPr>
            </w:pPr>
            <w:r>
              <w:rPr>
                <w:szCs w:val="24"/>
              </w:rPr>
              <w:t>de prioriser éventuellement les secteurs géographiques les plus fragiles,</w:t>
            </w:r>
          </w:p>
          <w:p w:rsidR="0035701C" w:rsidRDefault="00FB561B" w:rsidP="00FB561B">
            <w:pPr>
              <w:numPr>
                <w:ilvl w:val="0"/>
                <w:numId w:val="432"/>
              </w:numPr>
              <w:spacing w:before="0" w:after="0"/>
              <w:ind w:hanging="210"/>
              <w:jc w:val="left"/>
              <w:rPr>
                <w:szCs w:val="24"/>
              </w:rPr>
            </w:pPr>
            <w:r>
              <w:rPr>
                <w:szCs w:val="24"/>
              </w:rPr>
              <w:t>de préserver l’existence des activités de production agricole en s’assurant d’un équilibre entre les revenus agricoles et ceux iss</w:t>
            </w:r>
            <w:r>
              <w:rPr>
                <w:szCs w:val="24"/>
              </w:rPr>
              <w:t>us de l’activité non agricole.</w:t>
            </w:r>
          </w:p>
          <w:p w:rsidR="0035701C" w:rsidRDefault="00FB561B" w:rsidP="00FB561B">
            <w:pPr>
              <w:numPr>
                <w:ilvl w:val="0"/>
                <w:numId w:val="432"/>
              </w:numPr>
              <w:spacing w:before="0" w:after="0"/>
              <w:ind w:hanging="210"/>
              <w:jc w:val="left"/>
              <w:rPr>
                <w:szCs w:val="24"/>
              </w:rPr>
            </w:pPr>
            <w:r>
              <w:rPr>
                <w:szCs w:val="24"/>
              </w:rPr>
              <w:t xml:space="preserve">de privilégier une approche globale de la qualité du projet, en lien avec : </w:t>
            </w:r>
          </w:p>
          <w:p w:rsidR="0035701C" w:rsidRDefault="00FB561B" w:rsidP="00FB561B">
            <w:pPr>
              <w:numPr>
                <w:ilvl w:val="1"/>
                <w:numId w:val="432"/>
              </w:numPr>
              <w:spacing w:before="0" w:after="0"/>
              <w:ind w:hanging="244"/>
              <w:jc w:val="left"/>
              <w:rPr>
                <w:szCs w:val="24"/>
              </w:rPr>
            </w:pPr>
            <w:r>
              <w:rPr>
                <w:szCs w:val="24"/>
              </w:rPr>
              <w:t>la démarche de professionnalisation et de formation du candidat,</w:t>
            </w:r>
          </w:p>
          <w:p w:rsidR="0035701C" w:rsidRDefault="00FB561B" w:rsidP="00FB561B">
            <w:pPr>
              <w:numPr>
                <w:ilvl w:val="1"/>
                <w:numId w:val="432"/>
              </w:numPr>
              <w:spacing w:before="0" w:after="0"/>
              <w:ind w:hanging="244"/>
              <w:jc w:val="left"/>
              <w:rPr>
                <w:szCs w:val="24"/>
              </w:rPr>
            </w:pPr>
            <w:r>
              <w:rPr>
                <w:szCs w:val="24"/>
              </w:rPr>
              <w:t>la démarche d’action collective en réseau (par exemple : itinéraire des producteurs</w:t>
            </w:r>
            <w:r>
              <w:rPr>
                <w:szCs w:val="24"/>
              </w:rPr>
              <w:t xml:space="preserve"> adhérant à une charte de qualité),</w:t>
            </w:r>
          </w:p>
          <w:p w:rsidR="0035701C" w:rsidRDefault="00FB561B" w:rsidP="00FB561B">
            <w:pPr>
              <w:numPr>
                <w:ilvl w:val="1"/>
                <w:numId w:val="432"/>
              </w:numPr>
              <w:spacing w:before="0" w:after="0"/>
              <w:ind w:hanging="244"/>
              <w:jc w:val="left"/>
              <w:rPr>
                <w:szCs w:val="24"/>
              </w:rPr>
            </w:pPr>
            <w:r>
              <w:rPr>
                <w:szCs w:val="24"/>
              </w:rPr>
              <w:t>la qualité environnementale et paysagère du projet.</w:t>
            </w:r>
          </w:p>
          <w:p w:rsidR="0035701C" w:rsidRDefault="00FB561B" w:rsidP="00FB561B">
            <w:pPr>
              <w:numPr>
                <w:ilvl w:val="0"/>
                <w:numId w:val="432"/>
              </w:numPr>
              <w:spacing w:before="0" w:after="240"/>
              <w:ind w:hanging="210"/>
              <w:jc w:val="left"/>
              <w:rPr>
                <w:szCs w:val="24"/>
              </w:rPr>
            </w:pPr>
            <w:r>
              <w:rPr>
                <w:szCs w:val="24"/>
              </w:rPr>
              <w:t>de cibler éventuellement des publics spécifiques : nouveaux installés, jeunes, femmes, création d’emploi, etc.</w:t>
            </w:r>
          </w:p>
          <w:p w:rsidR="0035701C" w:rsidRDefault="00FB561B" w:rsidP="00FB561B">
            <w:pPr>
              <w:numPr>
                <w:ilvl w:val="0"/>
                <w:numId w:val="433"/>
              </w:numPr>
              <w:spacing w:before="240" w:after="0"/>
              <w:ind w:hanging="210"/>
              <w:jc w:val="left"/>
              <w:rPr>
                <w:szCs w:val="24"/>
              </w:rPr>
            </w:pPr>
            <w:r>
              <w:rPr>
                <w:szCs w:val="24"/>
              </w:rPr>
              <w:t>d’accompagner des secteurs d’activité (agro-tourisme, ser</w:t>
            </w:r>
            <w:r>
              <w:rPr>
                <w:szCs w:val="24"/>
              </w:rPr>
              <w:t>vices aux populations résidentes, valorisation du patrimoine naturel, etc.)</w:t>
            </w:r>
          </w:p>
          <w:p w:rsidR="0035701C" w:rsidRDefault="00FB561B" w:rsidP="00FB561B">
            <w:pPr>
              <w:numPr>
                <w:ilvl w:val="0"/>
                <w:numId w:val="433"/>
              </w:numPr>
              <w:spacing w:before="0" w:after="240"/>
              <w:ind w:hanging="210"/>
              <w:jc w:val="left"/>
              <w:rPr>
                <w:szCs w:val="24"/>
              </w:rPr>
            </w:pPr>
            <w:r>
              <w:rPr>
                <w:szCs w:val="24"/>
              </w:rPr>
              <w:t>de prioriser le soutien aux activités qui constituent une nouvelle activité pour le bénéficiaire ou qui s’inscrivent dans une démarche de labellisation, d’amélioration de l’accueil</w:t>
            </w:r>
            <w:r>
              <w:rPr>
                <w:szCs w:val="24"/>
              </w:rPr>
              <w:t xml:space="preserve"> ou des installations.</w:t>
            </w:r>
          </w:p>
          <w:p w:rsidR="0035701C" w:rsidRDefault="00FB561B">
            <w:pPr>
              <w:spacing w:before="240" w:after="240"/>
              <w:jc w:val="left"/>
              <w:rPr>
                <w:szCs w:val="24"/>
              </w:rPr>
            </w:pPr>
            <w:r>
              <w:rPr>
                <w:szCs w:val="24"/>
              </w:rPr>
              <w:t>Ces critères de sélection sont définis au sein de chaque Appel à Projet. Les candidatures devront être déposées selon un calendrier fixé par celui-ci.</w:t>
            </w:r>
          </w:p>
          <w:p w:rsidR="0035701C" w:rsidRDefault="00FB561B">
            <w:pPr>
              <w:spacing w:before="240" w:after="240"/>
              <w:jc w:val="left"/>
              <w:rPr>
                <w:szCs w:val="24"/>
              </w:rPr>
            </w:pPr>
            <w:r>
              <w:rPr>
                <w:szCs w:val="24"/>
              </w:rPr>
              <w:t>La grille de sélection des opérations prévoira l'établissement d'un système de poi</w:t>
            </w:r>
            <w:r>
              <w:rPr>
                <w:szCs w:val="24"/>
              </w:rPr>
              <w:t>nts permettant le classement des dossiers et la fixation d'un seuil minimal pour accéder au soutien au titre du PDRC.</w:t>
            </w:r>
          </w:p>
          <w:p w:rsidR="0035701C" w:rsidRDefault="00FB561B">
            <w:pPr>
              <w:spacing w:before="240" w:after="240"/>
              <w:jc w:val="left"/>
              <w:rPr>
                <w:szCs w:val="24"/>
              </w:rPr>
            </w:pPr>
            <w:r>
              <w:rPr>
                <w:szCs w:val="24"/>
              </w:rPr>
              <w:t>Cette notation ainsi que l’analyse qualitative du projet seront présentés pour sélection aux membres du bureau de l’ODARC.</w:t>
            </w:r>
          </w:p>
          <w:p w:rsidR="0035701C" w:rsidRDefault="0035701C">
            <w:pPr>
              <w:pStyle w:val="Corpsdetexte"/>
            </w:pPr>
          </w:p>
        </w:tc>
      </w:tr>
    </w:tbl>
    <w:p w:rsidR="0035701C" w:rsidRDefault="00FB561B">
      <w:pPr>
        <w:pStyle w:val="Titre6"/>
      </w:pPr>
      <w:r>
        <w:t xml:space="preserve">Montants et </w:t>
      </w:r>
      <w:r>
        <w:t>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taux d'intervention sont définis comme suit :</w:t>
            </w:r>
          </w:p>
          <w:tbl>
            <w:tblPr>
              <w:tblW w:w="7480" w:type="dxa"/>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6451"/>
              <w:gridCol w:w="989"/>
            </w:tblGrid>
            <w:tr w:rsidR="0035701C">
              <w:trPr>
                <w:jc w:val="center"/>
              </w:trPr>
              <w:tc>
                <w:tcPr>
                  <w:tcW w:w="0" w:type="auto"/>
                  <w:tcBorders>
                    <w:bottom w:val="inset" w:sz="6" w:space="0" w:color="808080"/>
                    <w:right w:val="inset" w:sz="6" w:space="0" w:color="808080"/>
                  </w:tcBorders>
                  <w:shd w:val="clear" w:color="auto" w:fill="00FFFF"/>
                  <w:tcMar>
                    <w:top w:w="25" w:type="dxa"/>
                    <w:left w:w="25" w:type="dxa"/>
                    <w:bottom w:w="22" w:type="dxa"/>
                    <w:right w:w="22" w:type="dxa"/>
                  </w:tcMar>
                  <w:vAlign w:val="center"/>
                  <w:hideMark/>
                </w:tcPr>
                <w:p w:rsidR="0035701C" w:rsidRDefault="00FB561B">
                  <w:pPr>
                    <w:spacing w:before="0" w:after="0"/>
                    <w:jc w:val="center"/>
                    <w:rPr>
                      <w:color w:val="000000"/>
                      <w:szCs w:val="24"/>
                    </w:rPr>
                  </w:pPr>
                  <w:r>
                    <w:rPr>
                      <w:b/>
                      <w:bCs/>
                      <w:color w:val="000000"/>
                      <w:szCs w:val="24"/>
                    </w:rPr>
                    <w:t>Projet</w:t>
                  </w:r>
                </w:p>
              </w:tc>
              <w:tc>
                <w:tcPr>
                  <w:tcW w:w="0" w:type="auto"/>
                  <w:tcBorders>
                    <w:left w:val="inset" w:sz="6" w:space="0" w:color="808080"/>
                    <w:bottom w:val="inset" w:sz="6" w:space="0" w:color="808080"/>
                  </w:tcBorders>
                  <w:shd w:val="clear" w:color="auto" w:fill="00FFFF"/>
                  <w:tcMar>
                    <w:top w:w="25" w:type="dxa"/>
                    <w:left w:w="22" w:type="dxa"/>
                    <w:bottom w:w="22" w:type="dxa"/>
                    <w:right w:w="25" w:type="dxa"/>
                  </w:tcMar>
                  <w:vAlign w:val="center"/>
                  <w:hideMark/>
                </w:tcPr>
                <w:p w:rsidR="0035701C" w:rsidRDefault="00FB561B">
                  <w:pPr>
                    <w:spacing w:before="0" w:after="0"/>
                    <w:jc w:val="center"/>
                    <w:rPr>
                      <w:color w:val="000000"/>
                      <w:szCs w:val="24"/>
                    </w:rPr>
                  </w:pPr>
                  <w:r>
                    <w:rPr>
                      <w:b/>
                      <w:bCs/>
                      <w:color w:val="000000"/>
                      <w:szCs w:val="24"/>
                    </w:rPr>
                    <w:t>Taux d'aide publique</w:t>
                  </w:r>
                </w:p>
              </w:tc>
            </w:tr>
            <w:tr w:rsidR="0035701C">
              <w:trPr>
                <w:jc w:val="center"/>
              </w:trPr>
              <w:tc>
                <w:tcPr>
                  <w:tcW w:w="0" w:type="auto"/>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35701C" w:rsidRDefault="00FB561B">
                  <w:pPr>
                    <w:spacing w:before="0" w:after="0"/>
                    <w:jc w:val="left"/>
                    <w:rPr>
                      <w:color w:val="000000"/>
                      <w:szCs w:val="24"/>
                    </w:rPr>
                  </w:pPr>
                  <w:r>
                    <w:rPr>
                      <w:color w:val="000000"/>
                      <w:szCs w:val="24"/>
                    </w:rPr>
                    <w:t>Taux de base</w:t>
                  </w:r>
                </w:p>
              </w:tc>
              <w:tc>
                <w:tcPr>
                  <w:tcW w:w="0" w:type="auto"/>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35701C" w:rsidRDefault="00FB561B">
                  <w:pPr>
                    <w:spacing w:before="0" w:after="0"/>
                    <w:jc w:val="center"/>
                    <w:rPr>
                      <w:color w:val="000000"/>
                      <w:szCs w:val="24"/>
                    </w:rPr>
                  </w:pPr>
                  <w:r>
                    <w:rPr>
                      <w:color w:val="000000"/>
                      <w:szCs w:val="24"/>
                    </w:rPr>
                    <w:t>60%</w:t>
                  </w:r>
                </w:p>
              </w:tc>
            </w:tr>
            <w:tr w:rsidR="0035701C">
              <w:trPr>
                <w:jc w:val="center"/>
              </w:trPr>
              <w:tc>
                <w:tcPr>
                  <w:tcW w:w="0" w:type="auto"/>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35701C" w:rsidRDefault="00FB561B">
                  <w:pPr>
                    <w:spacing w:before="0" w:after="0"/>
                    <w:jc w:val="left"/>
                    <w:rPr>
                      <w:color w:val="000000"/>
                      <w:szCs w:val="24"/>
                    </w:rPr>
                  </w:pPr>
                  <w:r>
                    <w:rPr>
                      <w:color w:val="000000"/>
                      <w:szCs w:val="24"/>
                    </w:rPr>
                    <w:t>Jeune agriculteur dans le cadre de son Plan d'Entreprise</w:t>
                  </w:r>
                </w:p>
              </w:tc>
              <w:tc>
                <w:tcPr>
                  <w:tcW w:w="0" w:type="auto"/>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35701C" w:rsidRDefault="00FB561B">
                  <w:pPr>
                    <w:spacing w:before="0" w:after="0"/>
                    <w:jc w:val="center"/>
                    <w:rPr>
                      <w:color w:val="000000"/>
                      <w:szCs w:val="24"/>
                    </w:rPr>
                  </w:pPr>
                  <w:r>
                    <w:rPr>
                      <w:color w:val="000000"/>
                      <w:szCs w:val="24"/>
                    </w:rPr>
                    <w:t>65%</w:t>
                  </w:r>
                </w:p>
              </w:tc>
            </w:tr>
            <w:tr w:rsidR="0035701C">
              <w:trPr>
                <w:jc w:val="center"/>
              </w:trPr>
              <w:tc>
                <w:tcPr>
                  <w:tcW w:w="0" w:type="auto"/>
                  <w:tcBorders>
                    <w:top w:val="inset" w:sz="6" w:space="0" w:color="808080"/>
                    <w:right w:val="inset" w:sz="6" w:space="0" w:color="808080"/>
                  </w:tcBorders>
                  <w:tcMar>
                    <w:top w:w="22" w:type="dxa"/>
                    <w:left w:w="25" w:type="dxa"/>
                    <w:bottom w:w="25" w:type="dxa"/>
                    <w:right w:w="22" w:type="dxa"/>
                  </w:tcMar>
                  <w:vAlign w:val="center"/>
                  <w:hideMark/>
                </w:tcPr>
                <w:p w:rsidR="0035701C" w:rsidRDefault="00FB561B">
                  <w:pPr>
                    <w:spacing w:before="0" w:after="0"/>
                    <w:jc w:val="left"/>
                    <w:rPr>
                      <w:color w:val="000000"/>
                      <w:szCs w:val="24"/>
                    </w:rPr>
                  </w:pPr>
                  <w:r>
                    <w:rPr>
                      <w:color w:val="000000"/>
                      <w:szCs w:val="24"/>
                    </w:rPr>
                    <w:t xml:space="preserve">Porteur de projet individuel adhérant à une démarche collective en </w:t>
                  </w:r>
                  <w:r>
                    <w:rPr>
                      <w:color w:val="000000"/>
                      <w:szCs w:val="24"/>
                    </w:rPr>
                    <w:t>réseau (*), adhérant à un cahier des charges de type "Route des sens authentique" ou équivalent</w:t>
                  </w:r>
                </w:p>
              </w:tc>
              <w:tc>
                <w:tcPr>
                  <w:tcW w:w="0" w:type="auto"/>
                  <w:tcBorders>
                    <w:top w:val="inset" w:sz="6" w:space="0" w:color="808080"/>
                    <w:left w:val="inset" w:sz="6" w:space="0" w:color="808080"/>
                  </w:tcBorders>
                  <w:tcMar>
                    <w:top w:w="22" w:type="dxa"/>
                    <w:left w:w="22" w:type="dxa"/>
                    <w:bottom w:w="25" w:type="dxa"/>
                    <w:right w:w="25" w:type="dxa"/>
                  </w:tcMar>
                  <w:vAlign w:val="center"/>
                  <w:hideMark/>
                </w:tcPr>
                <w:p w:rsidR="0035701C" w:rsidRDefault="00FB561B">
                  <w:pPr>
                    <w:spacing w:before="0" w:after="0"/>
                    <w:jc w:val="center"/>
                    <w:rPr>
                      <w:color w:val="000000"/>
                      <w:szCs w:val="24"/>
                    </w:rPr>
                  </w:pPr>
                  <w:r>
                    <w:rPr>
                      <w:color w:val="000000"/>
                      <w:szCs w:val="24"/>
                    </w:rPr>
                    <w:t>75%</w:t>
                  </w:r>
                </w:p>
              </w:tc>
            </w:tr>
          </w:tbl>
          <w:p w:rsidR="0035701C" w:rsidRDefault="00FB561B" w:rsidP="00FB561B">
            <w:pPr>
              <w:numPr>
                <w:ilvl w:val="0"/>
                <w:numId w:val="434"/>
              </w:numPr>
              <w:spacing w:before="240" w:after="0"/>
              <w:ind w:hanging="210"/>
              <w:jc w:val="left"/>
              <w:rPr>
                <w:szCs w:val="24"/>
              </w:rPr>
            </w:pPr>
            <w:r>
              <w:rPr>
                <w:szCs w:val="24"/>
              </w:rPr>
              <w:t xml:space="preserve">(*) Ces réseaux auxquels doivent adhérer les producteurs doivent intéresser une grappe d’entreprises unissant au moins 10 entreprises soit horizontalement </w:t>
            </w:r>
            <w:r>
              <w:rPr>
                <w:szCs w:val="24"/>
              </w:rPr>
              <w:t>soit verticalement.</w:t>
            </w:r>
          </w:p>
          <w:p w:rsidR="0035701C" w:rsidRDefault="00FB561B" w:rsidP="00FB561B">
            <w:pPr>
              <w:numPr>
                <w:ilvl w:val="0"/>
                <w:numId w:val="434"/>
              </w:numPr>
              <w:spacing w:before="0" w:after="240"/>
              <w:ind w:hanging="210"/>
              <w:jc w:val="left"/>
              <w:rPr>
                <w:szCs w:val="24"/>
              </w:rPr>
            </w:pPr>
            <w:r>
              <w:rPr>
                <w:szCs w:val="24"/>
              </w:rPr>
              <w:t>Montant maximum de l'aide : aide plafonnée à 200 000€ par bénéficiaire tous les 3 ans.</w:t>
            </w:r>
          </w:p>
          <w:p w:rsidR="0035701C" w:rsidRDefault="00FB561B">
            <w:pPr>
              <w:spacing w:before="240" w:after="240"/>
              <w:jc w:val="left"/>
              <w:rPr>
                <w:szCs w:val="24"/>
              </w:rPr>
            </w:pPr>
            <w:r>
              <w:rPr>
                <w:szCs w:val="24"/>
              </w:rPr>
              <w:t>Les appels à projet pourront cibler des thématiques spécifiques comme l'accueil du public à la ferme (hébergement, restauration, embellissement...) o</w:t>
            </w:r>
            <w:r>
              <w:rPr>
                <w:szCs w:val="24"/>
              </w:rPr>
              <w:t xml:space="preserve">u d'autres activités conformément aux indications figurant au § </w:t>
            </w:r>
            <w:r>
              <w:rPr>
                <w:i/>
                <w:iCs/>
                <w:szCs w:val="24"/>
              </w:rPr>
              <w:t>"Domaines couverts par la diversification"</w:t>
            </w:r>
            <w:r>
              <w:rPr>
                <w:szCs w:val="24"/>
              </w:rPr>
              <w:t>.</w:t>
            </w:r>
          </w:p>
          <w:p w:rsidR="0035701C" w:rsidRDefault="00FB561B">
            <w:pPr>
              <w:spacing w:before="240" w:after="240"/>
              <w:jc w:val="left"/>
              <w:rPr>
                <w:szCs w:val="24"/>
              </w:rPr>
            </w:pPr>
            <w:r>
              <w:rPr>
                <w:szCs w:val="24"/>
              </w:rPr>
              <w:t xml:space="preserve">Pour les projets ne relevant pas de l’article 42 du TFUE dont le financement est soumis aux règles d'aide d'Etat, le règlement (UE) n° 1407/2013 de </w:t>
            </w:r>
            <w:r>
              <w:rPr>
                <w:szCs w:val="24"/>
              </w:rPr>
              <w:t>la Commission du 18 décembre 2013 relatif à l'application des articles 107 et 108 du traité sur le fonctionnement de l'Union européenne aux aides de minimis sera utilisé.</w:t>
            </w:r>
          </w:p>
          <w:p w:rsidR="0035701C" w:rsidRDefault="00FB561B">
            <w:pPr>
              <w:spacing w:before="240" w:after="240"/>
              <w:jc w:val="left"/>
              <w:rPr>
                <w:szCs w:val="24"/>
              </w:rPr>
            </w:pPr>
            <w:r>
              <w:rPr>
                <w:szCs w:val="24"/>
              </w:rPr>
              <w:t>Le taux d'aide publique appliqué au dossier correspondra au maximum autorisé par le r</w:t>
            </w:r>
            <w:r>
              <w:rPr>
                <w:szCs w:val="24"/>
              </w:rPr>
              <w:t>égime d'aide d'Etat appliqué audit dossier, si ce maximum est plus restrictif que le taux prévu par le PDR ; ce maximum ne pourra être supérieur aux taux mentionnés dans le PDRC.</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 :</w:t>
            </w:r>
          </w:p>
          <w:p w:rsidR="0035701C" w:rsidRDefault="00FB561B">
            <w:pPr>
              <w:spacing w:before="240" w:after="240"/>
              <w:jc w:val="left"/>
              <w:rPr>
                <w:szCs w:val="24"/>
              </w:rPr>
            </w:pPr>
            <w:r>
              <w:rPr>
                <w:szCs w:val="24"/>
              </w:rPr>
              <w:t>- L'OP a demandé que soient bien décrits les pétitionnaires susceptibles d'être bénéficiaires de cette opération, ainsi que les travaux et investissement</w:t>
            </w:r>
            <w:r>
              <w:rPr>
                <w:szCs w:val="24"/>
              </w:rPr>
              <w:t>s susceptibles d'être financés. Les éléments de Droit, les précisions apportées au présent texte, ainsi que le détail des éléments de réponse à fournir sur les appels à projet sont satisfaisants.  La mise en place d'un contrôle croisé sur les aides de même</w:t>
            </w:r>
            <w:r>
              <w:rPr>
                <w:szCs w:val="24"/>
              </w:rPr>
              <w:t xml:space="preserve"> type ou de même public cible sera formalisé. Une attention particulière sur le maintien du statut d'agriculteur des bénéficiaires/sociétaires est demandée.</w:t>
            </w:r>
          </w:p>
          <w:p w:rsidR="0035701C" w:rsidRDefault="00FB561B">
            <w:pPr>
              <w:spacing w:before="240" w:after="240"/>
              <w:jc w:val="left"/>
              <w:rPr>
                <w:szCs w:val="24"/>
              </w:rPr>
            </w:pPr>
            <w:r>
              <w:rPr>
                <w:szCs w:val="24"/>
              </w:rPr>
              <w:t xml:space="preserve">L'OP tient à souligner que la preuve de l'enregistrement des activités commerciales et artisanales </w:t>
            </w:r>
            <w:r>
              <w:rPr>
                <w:szCs w:val="24"/>
              </w:rPr>
              <w:t>(CFE, RCS, Chambre des métiers) est nécessaire en dernier ressort à l'engagement juridique des subventions.</w:t>
            </w:r>
          </w:p>
          <w:p w:rsidR="0035701C" w:rsidRDefault="00FB561B">
            <w:pPr>
              <w:spacing w:before="240" w:after="240"/>
              <w:jc w:val="left"/>
              <w:rPr>
                <w:szCs w:val="24"/>
              </w:rPr>
            </w:pPr>
            <w:r>
              <w:rPr>
                <w:szCs w:val="24"/>
              </w:rPr>
              <w:t>- Concernant les taux d'aide tels que décrits dans le PDRC, l’OP a recommandé que leurs modalités d’application soient clairement établies et diffus</w:t>
            </w:r>
            <w:r>
              <w:rPr>
                <w:szCs w:val="24"/>
              </w:rPr>
              <w:t>és. Après avoir pris connaissance des précisions apportées au présent texte, l'Organisme Payeur considère que ce document permet de lever ses interrogations.</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 xml:space="preserve">n°1 - R1 : Pour </w:t>
            </w:r>
            <w:r>
              <w:rPr>
                <w:szCs w:val="24"/>
              </w:rPr>
              <w:t>les formes juridiques sociétaires, conformité des statuts et actes, mise à jour effective et conforme au long de la période d’engagement. (source : Législation nationale : décalage entre Droit Social, Droit des Sociétés, Droit Rural)</w:t>
            </w:r>
          </w:p>
          <w:p w:rsidR="0035701C" w:rsidRDefault="00FB561B">
            <w:pPr>
              <w:spacing w:before="240" w:after="240"/>
              <w:jc w:val="left"/>
              <w:rPr>
                <w:szCs w:val="24"/>
              </w:rPr>
            </w:pPr>
            <w:r>
              <w:rPr>
                <w:szCs w:val="24"/>
              </w:rPr>
              <w:t>n°2 - R10 : Pour l'ens</w:t>
            </w:r>
            <w:r>
              <w:rPr>
                <w:szCs w:val="24"/>
              </w:rPr>
              <w:t>emble des investissements, risque de projets déjà financés par ailleurs (toujours sous engagement d'anciens contrats) (source : Ponctuel sur Retour d'Expérience)</w:t>
            </w:r>
          </w:p>
          <w:p w:rsidR="0035701C" w:rsidRDefault="00FB561B">
            <w:pPr>
              <w:spacing w:before="240" w:after="240"/>
              <w:jc w:val="left"/>
              <w:rPr>
                <w:szCs w:val="24"/>
              </w:rPr>
            </w:pPr>
            <w:r>
              <w:rPr>
                <w:szCs w:val="24"/>
              </w:rPr>
              <w:t>n°3 - R2 : Pour les investissements, s'assurer de leur caractère raisonnable (source : CCCOP E</w:t>
            </w:r>
            <w:r>
              <w:rPr>
                <w:szCs w:val="24"/>
              </w:rPr>
              <w:t>xercice 2012-2014)</w:t>
            </w:r>
          </w:p>
          <w:p w:rsidR="0035701C" w:rsidRDefault="00FB561B">
            <w:pPr>
              <w:spacing w:before="240" w:after="240"/>
              <w:jc w:val="left"/>
              <w:rPr>
                <w:szCs w:val="24"/>
              </w:rPr>
            </w:pPr>
            <w:r>
              <w:rPr>
                <w:szCs w:val="24"/>
              </w:rPr>
              <w:t>n°4 - R7 : La mise en place d'une activité de diversification, peut générer des bénéfices, susceptibles de faire tomber la qualité d'agriculteur pour l'éligibilité à certaines aides au titre des règlementations européennes et nationales,</w:t>
            </w:r>
            <w:r>
              <w:rPr>
                <w:szCs w:val="24"/>
              </w:rPr>
              <w:t xml:space="preserve"> ainsi que empêcher le respect des engagements à 5 ans (exemples : Jeune agriculteur, mesure 13). (source : Ponctuel sur Retour d'Expérience).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n°1 - R1 : VERIFIER Pour les formes juridiques sociétaires, conformité des statuts et </w:t>
            </w:r>
            <w:r>
              <w:rPr>
                <w:szCs w:val="24"/>
              </w:rPr>
              <w:t>actes, mise à jour effective et conforme.</w:t>
            </w:r>
          </w:p>
          <w:p w:rsidR="0035701C" w:rsidRDefault="00FB561B">
            <w:pPr>
              <w:spacing w:before="240" w:after="240"/>
              <w:jc w:val="left"/>
              <w:rPr>
                <w:szCs w:val="24"/>
              </w:rPr>
            </w:pPr>
            <w:r>
              <w:rPr>
                <w:szCs w:val="24"/>
              </w:rPr>
              <w:t>n°2 - R10 : EXECUTER UN CONTRÔLE CROISE des aides aux bénéficiaires de l'opération avec les autres aides dont ils ont bénéficié ou dont ils bénéficient, et avec celles des bénéficiaires secondaires (cas des société</w:t>
            </w:r>
            <w:r>
              <w:rPr>
                <w:szCs w:val="24"/>
              </w:rPr>
              <w:t>s).</w:t>
            </w:r>
          </w:p>
          <w:p w:rsidR="0035701C" w:rsidRDefault="00FB561B">
            <w:pPr>
              <w:spacing w:before="240" w:after="240"/>
              <w:jc w:val="left"/>
              <w:rPr>
                <w:szCs w:val="24"/>
              </w:rPr>
            </w:pPr>
            <w:r>
              <w:rPr>
                <w:szCs w:val="24"/>
              </w:rPr>
              <w:t>                   MAINTENIR ce point de contrôle administratif de la demande d'aide à la fin de la période d'engagement..</w:t>
            </w:r>
          </w:p>
          <w:p w:rsidR="0035701C" w:rsidRDefault="00FB561B">
            <w:pPr>
              <w:spacing w:before="240" w:after="240"/>
              <w:jc w:val="left"/>
              <w:rPr>
                <w:szCs w:val="24"/>
              </w:rPr>
            </w:pPr>
            <w:r>
              <w:rPr>
                <w:szCs w:val="24"/>
              </w:rPr>
              <w:t>n°3 - R2  : FORMALISER en l’absence de recours à des coûts relevant de l’article 62.2 du R/UE 1305/2013, la mise en place d’un pr</w:t>
            </w:r>
            <w:r>
              <w:rPr>
                <w:szCs w:val="24"/>
              </w:rPr>
              <w:t>otocole d’évaluation à partir de 3 devis et/ou avis authentique du comité technique en charge de la sélection des opérations garantissant le caractère raisonnable de la dépense..</w:t>
            </w:r>
          </w:p>
          <w:p w:rsidR="0035701C" w:rsidRDefault="00FB561B">
            <w:pPr>
              <w:spacing w:before="240" w:after="240"/>
              <w:jc w:val="left"/>
              <w:rPr>
                <w:szCs w:val="24"/>
              </w:rPr>
            </w:pPr>
            <w:r>
              <w:rPr>
                <w:szCs w:val="24"/>
              </w:rPr>
              <w:t>n°4 - R7 : FORMALISER dès la demande d'aide et les études préalables au proje</w:t>
            </w:r>
            <w:r>
              <w:rPr>
                <w:szCs w:val="24"/>
              </w:rPr>
              <w:t>t, une vérification des risques sur la qualité d'agriculteur des pétitionnaires ou sociétaires.</w:t>
            </w:r>
          </w:p>
          <w:p w:rsidR="0035701C" w:rsidRDefault="00FB561B">
            <w:pPr>
              <w:spacing w:before="240" w:after="240"/>
              <w:jc w:val="left"/>
              <w:rPr>
                <w:szCs w:val="24"/>
              </w:rPr>
            </w:pPr>
            <w:r>
              <w:rPr>
                <w:szCs w:val="24"/>
              </w:rPr>
              <w:t>                 MAINTENIR pendant toute la durée de réalisation du projet, et la période d'engagement une vérification formalisée de la qualité d'agriculteur d</w:t>
            </w:r>
            <w:r>
              <w:rPr>
                <w:szCs w:val="24"/>
              </w:rPr>
              <w:t>es bénéficiaires et/ou sociétaires.</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Au vu des cotations matricielles, sur le poids financier de la mesure (&lt;5%), sur les priorités, les risques, les mesures d’atténuation prévues, cette mesure reçoit une évaluation  corr</w:t>
            </w:r>
            <w:r>
              <w:rPr>
                <w:szCs w:val="24"/>
              </w:rPr>
              <w:t>ecte peu risquée ; Les mécanismes de mise en œuvre sont connus et maîtrisés par tous les acteurs,  les programmations précédentes qui ont suscité des ajustements sur des mesures de même type ont permis une amélioration constante des procédures.</w:t>
            </w:r>
          </w:p>
          <w:p w:rsidR="0035701C" w:rsidRDefault="00FB561B">
            <w:pPr>
              <w:spacing w:before="240" w:after="240"/>
              <w:jc w:val="left"/>
              <w:rPr>
                <w:szCs w:val="24"/>
              </w:rPr>
            </w:pPr>
            <w:r>
              <w:rPr>
                <w:szCs w:val="24"/>
              </w:rPr>
              <w:t>- Concernan</w:t>
            </w:r>
            <w:r>
              <w:rPr>
                <w:szCs w:val="24"/>
              </w:rPr>
              <w:t>t l'évaluation globale de la mesure : la mesure est contrôlable sous réserve de la mise en place d'actions d'atténuation et des précisions apportées dans les documents de mise en œuvre notamment sur la nécessité de bien contrôler , et de vérifier l'inexist</w:t>
            </w:r>
            <w:r>
              <w:rPr>
                <w:szCs w:val="24"/>
              </w:rPr>
              <w:t>ence de financements précédents ou déjà engagés auprès des bénéficiaires  y compris secondaires dans le cas des sociétés. Il convient également de s'assurer de bien transcrire la preuve de l'étude du caractère raisonnable des coûts, et opérer une surveilla</w:t>
            </w:r>
            <w:r>
              <w:rPr>
                <w:szCs w:val="24"/>
              </w:rPr>
              <w:t>nce adéquate sur la qualité d'agriculteur des bénéficiaires/sociétaires, puisque cela peut entraîner l'inéligibilité à certaines aides du PDRC.</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6"/>
      </w:pPr>
      <w:r>
        <w:t>Informations spécifiques sur l'opération</w:t>
      </w:r>
    </w:p>
    <w:p w:rsidR="0035701C" w:rsidRDefault="00FB561B">
      <w:r>
        <w:t>Définition de la notion de «petites exploitations» visée à l’article 19, paragraphe 1, point a) iii),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Non concerné</w:t>
            </w:r>
          </w:p>
          <w:p w:rsidR="0035701C" w:rsidRDefault="0035701C">
            <w:pPr>
              <w:pStyle w:val="Corpsdetexte"/>
            </w:pPr>
          </w:p>
        </w:tc>
      </w:tr>
    </w:tbl>
    <w:p w:rsidR="0035701C" w:rsidRDefault="00FB561B">
      <w:r>
        <w:t>Définition du seuil plancher et du plafond prévus à l’article 19, paragraphe 4, troisième alinéa, du règleme</w:t>
      </w:r>
      <w:r>
        <w:t>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Non concerné</w:t>
            </w:r>
          </w:p>
          <w:p w:rsidR="0035701C" w:rsidRDefault="0035701C">
            <w:pPr>
              <w:pStyle w:val="Corpsdetexte"/>
            </w:pPr>
          </w:p>
        </w:tc>
      </w:tr>
    </w:tbl>
    <w:p w:rsidR="0035701C" w:rsidRDefault="00FB561B">
      <w:r>
        <w:t>Conditions spécifiques de soutien aux jeunes agriculteurs lorsqu’ils ne s’installent pas en qualité de chef d’exploitation exclusif, conformément à l’article 2, paragraphes 1 et 2,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Informations sur l’application du délai de grâce visé à l’article 2, paragraphe 3,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Résumé des exigences du plan d'entreprise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Utilisation de la possibilité de combiner différentes mesures par l'intermédiaire </w:t>
      </w:r>
      <w:r>
        <w:t>du plan d'entreprise donnant accès à ces mesures au jeune agriculteur</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Domaines couverts par la diversification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435"/>
              </w:numPr>
              <w:spacing w:before="0" w:after="0"/>
              <w:ind w:hanging="210"/>
              <w:jc w:val="left"/>
              <w:rPr>
                <w:szCs w:val="24"/>
              </w:rPr>
            </w:pPr>
            <w:r>
              <w:rPr>
                <w:szCs w:val="24"/>
              </w:rPr>
              <w:t>agritourisme : accueil, hébergement à la ferme, restauration, accompagnateur montagne/randonnée</w:t>
            </w:r>
          </w:p>
          <w:p w:rsidR="0035701C" w:rsidRDefault="00FB561B" w:rsidP="00FB561B">
            <w:pPr>
              <w:numPr>
                <w:ilvl w:val="0"/>
                <w:numId w:val="435"/>
              </w:numPr>
              <w:spacing w:before="0" w:after="0"/>
              <w:ind w:hanging="210"/>
              <w:jc w:val="left"/>
              <w:rPr>
                <w:szCs w:val="24"/>
              </w:rPr>
            </w:pPr>
            <w:r>
              <w:rPr>
                <w:szCs w:val="24"/>
              </w:rPr>
              <w:t>accueil pédagogique</w:t>
            </w:r>
          </w:p>
          <w:p w:rsidR="0035701C" w:rsidRDefault="00FB561B" w:rsidP="00FB561B">
            <w:pPr>
              <w:numPr>
                <w:ilvl w:val="0"/>
                <w:numId w:val="435"/>
              </w:numPr>
              <w:spacing w:before="0" w:after="0"/>
              <w:ind w:hanging="210"/>
              <w:jc w:val="left"/>
              <w:rPr>
                <w:szCs w:val="24"/>
              </w:rPr>
            </w:pPr>
            <w:r>
              <w:rPr>
                <w:szCs w:val="24"/>
              </w:rPr>
              <w:t xml:space="preserve">première et seconde </w:t>
            </w:r>
            <w:r>
              <w:rPr>
                <w:szCs w:val="24"/>
              </w:rPr>
              <w:t>transformation</w:t>
            </w:r>
          </w:p>
          <w:p w:rsidR="0035701C" w:rsidRDefault="00FB561B" w:rsidP="00FB561B">
            <w:pPr>
              <w:numPr>
                <w:ilvl w:val="0"/>
                <w:numId w:val="435"/>
              </w:numPr>
              <w:spacing w:before="0" w:after="0"/>
              <w:ind w:hanging="210"/>
              <w:jc w:val="left"/>
              <w:rPr>
                <w:szCs w:val="24"/>
              </w:rPr>
            </w:pPr>
            <w:r>
              <w:rPr>
                <w:szCs w:val="24"/>
              </w:rPr>
              <w:t>exploitation forestière,</w:t>
            </w:r>
          </w:p>
          <w:p w:rsidR="0035701C" w:rsidRDefault="00FB561B" w:rsidP="00FB561B">
            <w:pPr>
              <w:numPr>
                <w:ilvl w:val="0"/>
                <w:numId w:val="435"/>
              </w:numPr>
              <w:spacing w:before="0" w:after="0"/>
              <w:ind w:hanging="210"/>
              <w:jc w:val="left"/>
              <w:rPr>
                <w:szCs w:val="24"/>
              </w:rPr>
            </w:pPr>
            <w:r>
              <w:rPr>
                <w:szCs w:val="24"/>
              </w:rPr>
              <w:t>activités équestres hors élevage,</w:t>
            </w:r>
          </w:p>
          <w:p w:rsidR="0035701C" w:rsidRDefault="00FB561B" w:rsidP="00FB561B">
            <w:pPr>
              <w:numPr>
                <w:ilvl w:val="0"/>
                <w:numId w:val="435"/>
              </w:numPr>
              <w:spacing w:before="0" w:after="0"/>
              <w:ind w:hanging="210"/>
              <w:jc w:val="left"/>
              <w:rPr>
                <w:szCs w:val="24"/>
              </w:rPr>
            </w:pPr>
            <w:r>
              <w:rPr>
                <w:szCs w:val="24"/>
              </w:rPr>
              <w:t>artisanat,</w:t>
            </w:r>
          </w:p>
          <w:p w:rsidR="0035701C" w:rsidRDefault="00FB561B" w:rsidP="00FB561B">
            <w:pPr>
              <w:numPr>
                <w:ilvl w:val="0"/>
                <w:numId w:val="435"/>
              </w:numPr>
              <w:spacing w:before="0" w:after="0"/>
              <w:ind w:hanging="210"/>
              <w:jc w:val="left"/>
              <w:rPr>
                <w:szCs w:val="24"/>
              </w:rPr>
            </w:pPr>
            <w:r>
              <w:rPr>
                <w:szCs w:val="24"/>
              </w:rPr>
              <w:t>services en milieu rural (déneigement, débroussaillement et entretien d’espaces, pension pour animaux, entretien de résidence…),</w:t>
            </w:r>
          </w:p>
          <w:p w:rsidR="0035701C" w:rsidRDefault="00FB561B" w:rsidP="00FB561B">
            <w:pPr>
              <w:numPr>
                <w:ilvl w:val="0"/>
                <w:numId w:val="435"/>
              </w:numPr>
              <w:spacing w:before="0" w:after="240"/>
              <w:ind w:hanging="210"/>
              <w:jc w:val="left"/>
              <w:rPr>
                <w:szCs w:val="24"/>
              </w:rPr>
            </w:pPr>
            <w:r>
              <w:rPr>
                <w:szCs w:val="24"/>
              </w:rPr>
              <w:t>petit commerce de proximité et développeme</w:t>
            </w:r>
            <w:r>
              <w:rPr>
                <w:szCs w:val="24"/>
              </w:rPr>
              <w:t>nt des circuits courts</w:t>
            </w:r>
          </w:p>
          <w:p w:rsidR="0035701C" w:rsidRDefault="0035701C">
            <w:pPr>
              <w:pStyle w:val="Corpsdetexte"/>
            </w:pPr>
          </w:p>
        </w:tc>
      </w:tr>
    </w:tbl>
    <w:p w:rsidR="0035701C" w:rsidRDefault="00FB561B">
      <w:pPr>
        <w:pStyle w:val="Titre5"/>
        <w:rPr>
          <w:b w:val="0"/>
        </w:rPr>
      </w:pPr>
      <w:r>
        <w:rPr>
          <w:b w:val="0"/>
        </w:rPr>
        <w:br w:type="page"/>
        <w:t>6.4.2- Entreprises rurales</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436"/>
              </w:numPr>
            </w:pPr>
            <w:r>
              <w:t>6.4 – Aide aux investissements dans la création et le développement d'activités non agricoles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Sous-titre complet de l’opération : Entreprises rurales = </w:t>
            </w:r>
            <w:r>
              <w:rPr>
                <w:b/>
                <w:bCs/>
                <w:szCs w:val="24"/>
              </w:rPr>
              <w:t>Développement des entreprises en milieu rural</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Cette opération a pour objet d’accompagner les projets d’investissement des micros et petites entreprises en milieux rural.</w:t>
            </w:r>
          </w:p>
          <w:p w:rsidR="0035701C" w:rsidRDefault="00FB561B">
            <w:pPr>
              <w:spacing w:before="240" w:after="240"/>
              <w:jc w:val="left"/>
              <w:rPr>
                <w:szCs w:val="24"/>
              </w:rPr>
            </w:pPr>
            <w:r>
              <w:rPr>
                <w:szCs w:val="24"/>
              </w:rPr>
              <w:t xml:space="preserve">Il s’agit notamment, de soutenir le développement endogène des territoires en </w:t>
            </w:r>
            <w:r>
              <w:rPr>
                <w:szCs w:val="24"/>
              </w:rPr>
              <w:t>facilitant :</w:t>
            </w:r>
          </w:p>
          <w:p w:rsidR="0035701C" w:rsidRDefault="00FB561B" w:rsidP="00FB561B">
            <w:pPr>
              <w:numPr>
                <w:ilvl w:val="0"/>
                <w:numId w:val="437"/>
              </w:numPr>
              <w:spacing w:before="240" w:after="0"/>
              <w:ind w:hanging="210"/>
              <w:jc w:val="left"/>
              <w:rPr>
                <w:szCs w:val="24"/>
              </w:rPr>
            </w:pPr>
            <w:r>
              <w:rPr>
                <w:szCs w:val="24"/>
              </w:rPr>
              <w:t>la diversification, la création et le développement de petites entreprises ainsi que la création d'emplois, ce qui correspond au domaine prioritaire 6a).</w:t>
            </w:r>
          </w:p>
          <w:p w:rsidR="0035701C" w:rsidRDefault="00FB561B" w:rsidP="00FB561B">
            <w:pPr>
              <w:numPr>
                <w:ilvl w:val="0"/>
                <w:numId w:val="437"/>
              </w:numPr>
              <w:spacing w:before="0" w:after="240"/>
              <w:ind w:hanging="210"/>
              <w:jc w:val="left"/>
              <w:rPr>
                <w:szCs w:val="24"/>
              </w:rPr>
            </w:pPr>
            <w:r>
              <w:rPr>
                <w:szCs w:val="24"/>
              </w:rPr>
              <w:t>Lorsque les opérations concernent les entreprises de travaux forestiers et de transformat</w:t>
            </w:r>
            <w:r>
              <w:rPr>
                <w:szCs w:val="24"/>
              </w:rPr>
              <w:t>ion du bois, ou la construction de bâtiments en bois, la sous priorité visée est le DP 5e), qui concerne la conservation et la séquestration du carbone dans les secteurs de l'agriculture et de la foresterie</w:t>
            </w:r>
          </w:p>
          <w:p w:rsidR="0035701C" w:rsidRDefault="00FB561B">
            <w:pPr>
              <w:spacing w:before="240" w:after="240"/>
              <w:jc w:val="left"/>
              <w:rPr>
                <w:szCs w:val="24"/>
              </w:rPr>
            </w:pPr>
            <w:r>
              <w:rPr>
                <w:szCs w:val="24"/>
              </w:rPr>
              <w:t xml:space="preserve">L’intervention est ciblée par des appels à </w:t>
            </w:r>
            <w:r>
              <w:rPr>
                <w:szCs w:val="24"/>
              </w:rPr>
              <w:t>projets, sur un certain nombre de secteurs économiques pouvant présenter des opportunités et présentant des effets  induits et multiplicateurs, comme :</w:t>
            </w:r>
          </w:p>
          <w:p w:rsidR="0035701C" w:rsidRDefault="00FB561B" w:rsidP="00FB561B">
            <w:pPr>
              <w:numPr>
                <w:ilvl w:val="0"/>
                <w:numId w:val="438"/>
              </w:numPr>
              <w:spacing w:before="240" w:after="0"/>
              <w:ind w:hanging="210"/>
              <w:jc w:val="left"/>
              <w:rPr>
                <w:szCs w:val="24"/>
              </w:rPr>
            </w:pPr>
            <w:r>
              <w:rPr>
                <w:szCs w:val="24"/>
              </w:rPr>
              <w:t>l’accueil de nouvelles populations en milieu rural et la création d’emploi</w:t>
            </w:r>
          </w:p>
          <w:p w:rsidR="0035701C" w:rsidRDefault="00FB561B" w:rsidP="00FB561B">
            <w:pPr>
              <w:numPr>
                <w:ilvl w:val="0"/>
                <w:numId w:val="438"/>
              </w:numPr>
              <w:spacing w:before="0" w:after="0"/>
              <w:ind w:hanging="210"/>
              <w:jc w:val="left"/>
              <w:rPr>
                <w:szCs w:val="24"/>
              </w:rPr>
            </w:pPr>
            <w:r>
              <w:rPr>
                <w:szCs w:val="24"/>
              </w:rPr>
              <w:t>l’émergence de micro filières</w:t>
            </w:r>
            <w:r>
              <w:rPr>
                <w:szCs w:val="24"/>
              </w:rPr>
              <w:t xml:space="preserve"> et de réseau d’acteurs du territoire,</w:t>
            </w:r>
          </w:p>
          <w:p w:rsidR="0035701C" w:rsidRDefault="00FB561B" w:rsidP="00FB561B">
            <w:pPr>
              <w:numPr>
                <w:ilvl w:val="0"/>
                <w:numId w:val="438"/>
              </w:numPr>
              <w:spacing w:before="0" w:after="0"/>
              <w:ind w:hanging="210"/>
              <w:jc w:val="left"/>
              <w:rPr>
                <w:szCs w:val="24"/>
              </w:rPr>
            </w:pPr>
            <w:r>
              <w:rPr>
                <w:szCs w:val="24"/>
              </w:rPr>
              <w:t>la relocalisation d’activité et de circuits commerciaux,</w:t>
            </w:r>
          </w:p>
          <w:p w:rsidR="0035701C" w:rsidRDefault="00FB561B" w:rsidP="00FB561B">
            <w:pPr>
              <w:numPr>
                <w:ilvl w:val="0"/>
                <w:numId w:val="438"/>
              </w:numPr>
              <w:spacing w:before="0" w:after="240"/>
              <w:ind w:hanging="210"/>
              <w:jc w:val="left"/>
              <w:rPr>
                <w:szCs w:val="24"/>
              </w:rPr>
            </w:pPr>
            <w:r>
              <w:rPr>
                <w:szCs w:val="24"/>
              </w:rPr>
              <w:t>la préservation et la promotion de l’environnement.</w:t>
            </w:r>
          </w:p>
          <w:p w:rsidR="0035701C" w:rsidRDefault="00FB561B" w:rsidP="00FB561B">
            <w:pPr>
              <w:numPr>
                <w:ilvl w:val="0"/>
                <w:numId w:val="439"/>
              </w:numPr>
              <w:spacing w:before="240" w:after="0"/>
              <w:ind w:hanging="210"/>
              <w:jc w:val="left"/>
              <w:rPr>
                <w:szCs w:val="24"/>
              </w:rPr>
            </w:pPr>
            <w:r>
              <w:rPr>
                <w:szCs w:val="24"/>
              </w:rPr>
              <w:t>le renforcement des démarches de qualités et l’émergence de l’innovation organisationnelle et technologique,</w:t>
            </w:r>
          </w:p>
          <w:p w:rsidR="0035701C" w:rsidRDefault="00FB561B" w:rsidP="00FB561B">
            <w:pPr>
              <w:numPr>
                <w:ilvl w:val="0"/>
                <w:numId w:val="439"/>
              </w:numPr>
              <w:spacing w:before="0" w:after="240"/>
              <w:ind w:hanging="210"/>
              <w:jc w:val="left"/>
              <w:rPr>
                <w:szCs w:val="24"/>
              </w:rPr>
            </w:pPr>
            <w:r>
              <w:rPr>
                <w:szCs w:val="24"/>
              </w:rPr>
              <w:t>l’insertion sociale et le développement humain.</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szCs w:val="24"/>
              </w:rPr>
              <w:t>Sont notamment concernés les activités suivantes (liste non-exhaustive) :</w:t>
            </w:r>
          </w:p>
          <w:p w:rsidR="0035701C" w:rsidRDefault="00FB561B" w:rsidP="00FB561B">
            <w:pPr>
              <w:numPr>
                <w:ilvl w:val="0"/>
                <w:numId w:val="440"/>
              </w:numPr>
              <w:spacing w:before="240" w:after="0"/>
              <w:ind w:hanging="210"/>
              <w:jc w:val="left"/>
              <w:rPr>
                <w:szCs w:val="24"/>
              </w:rPr>
            </w:pPr>
            <w:r>
              <w:rPr>
                <w:szCs w:val="24"/>
              </w:rPr>
              <w:t>le  secteur de l’hébergement et de l’offre touristique, et de loisir,</w:t>
            </w:r>
          </w:p>
          <w:p w:rsidR="0035701C" w:rsidRDefault="00FB561B" w:rsidP="00FB561B">
            <w:pPr>
              <w:numPr>
                <w:ilvl w:val="0"/>
                <w:numId w:val="440"/>
              </w:numPr>
              <w:spacing w:before="0" w:after="0"/>
              <w:ind w:hanging="210"/>
              <w:jc w:val="left"/>
              <w:rPr>
                <w:szCs w:val="24"/>
              </w:rPr>
            </w:pPr>
            <w:r>
              <w:rPr>
                <w:szCs w:val="24"/>
              </w:rPr>
              <w:t xml:space="preserve">les entreprises de services et notamment celles dédiées aux </w:t>
            </w:r>
            <w:r>
              <w:rPr>
                <w:szCs w:val="24"/>
              </w:rPr>
              <w:t>services à la personne en milieu rural,</w:t>
            </w:r>
          </w:p>
          <w:p w:rsidR="0035701C" w:rsidRDefault="00FB561B" w:rsidP="00FB561B">
            <w:pPr>
              <w:numPr>
                <w:ilvl w:val="0"/>
                <w:numId w:val="440"/>
              </w:numPr>
              <w:spacing w:before="0" w:after="0"/>
              <w:ind w:hanging="210"/>
              <w:jc w:val="left"/>
              <w:rPr>
                <w:szCs w:val="24"/>
              </w:rPr>
            </w:pPr>
            <w:r>
              <w:rPr>
                <w:szCs w:val="24"/>
              </w:rPr>
              <w:t>l’artisanat, valorisant des ressources locales ou le patrimoine,</w:t>
            </w:r>
          </w:p>
          <w:p w:rsidR="0035701C" w:rsidRDefault="00FB561B" w:rsidP="00FB561B">
            <w:pPr>
              <w:numPr>
                <w:ilvl w:val="0"/>
                <w:numId w:val="440"/>
              </w:numPr>
              <w:spacing w:before="0" w:after="0"/>
              <w:ind w:hanging="210"/>
              <w:jc w:val="left"/>
              <w:rPr>
                <w:szCs w:val="24"/>
              </w:rPr>
            </w:pPr>
            <w:r>
              <w:rPr>
                <w:szCs w:val="24"/>
              </w:rPr>
              <w:t>les micro-entreprises de travaux forestiers répondant aux attentes des clientèles implantées sur les territoires ruraux</w:t>
            </w:r>
          </w:p>
          <w:p w:rsidR="0035701C" w:rsidRDefault="00FB561B" w:rsidP="00FB561B">
            <w:pPr>
              <w:numPr>
                <w:ilvl w:val="0"/>
                <w:numId w:val="440"/>
              </w:numPr>
              <w:spacing w:before="0" w:after="0"/>
              <w:ind w:hanging="210"/>
              <w:jc w:val="left"/>
              <w:rPr>
                <w:szCs w:val="24"/>
              </w:rPr>
            </w:pPr>
            <w:r>
              <w:rPr>
                <w:szCs w:val="24"/>
              </w:rPr>
              <w:t>les entreprises utilisant le bo</w:t>
            </w:r>
            <w:r>
              <w:rPr>
                <w:szCs w:val="24"/>
              </w:rPr>
              <w:t>is comme matière première (charpente, menuiserie, ébénisterie…)</w:t>
            </w:r>
          </w:p>
          <w:p w:rsidR="0035701C" w:rsidRDefault="00FB561B" w:rsidP="00FB561B">
            <w:pPr>
              <w:numPr>
                <w:ilvl w:val="0"/>
                <w:numId w:val="440"/>
              </w:numPr>
              <w:spacing w:before="0" w:after="240"/>
              <w:ind w:hanging="210"/>
              <w:jc w:val="left"/>
              <w:rPr>
                <w:szCs w:val="24"/>
              </w:rPr>
            </w:pPr>
            <w:r>
              <w:rPr>
                <w:szCs w:val="24"/>
              </w:rPr>
              <w:t>les micro-entreprises de transformation de denrées alimentaires,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xml:space="preserve">Les modalités d’intervention prennent éventuellement en compte les critères de zonage  en faveur des communes présentant des </w:t>
            </w:r>
            <w:r>
              <w:rPr>
                <w:szCs w:val="24"/>
              </w:rPr>
              <w:t>déséquilibres démographiques et économiques, notamment celles de l’intérieur et de la montagne.</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versée sous forme de 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441"/>
              </w:numPr>
              <w:spacing w:before="0" w:after="0"/>
              <w:ind w:hanging="210"/>
              <w:jc w:val="left"/>
              <w:rPr>
                <w:szCs w:val="24"/>
              </w:rPr>
            </w:pPr>
            <w:r>
              <w:rPr>
                <w:szCs w:val="24"/>
              </w:rPr>
              <w:t xml:space="preserve">Article 45 du règlement (UE) </w:t>
            </w:r>
            <w:r>
              <w:rPr>
                <w:szCs w:val="24"/>
              </w:rPr>
              <w:t>n°1305/2013 du Parlement et du Conseil européen du 17 décembre 2013 relatif aux investissements</w:t>
            </w:r>
          </w:p>
          <w:p w:rsidR="0035701C" w:rsidRDefault="00FB561B" w:rsidP="00FB561B">
            <w:pPr>
              <w:numPr>
                <w:ilvl w:val="0"/>
                <w:numId w:val="441"/>
              </w:numPr>
              <w:spacing w:before="0" w:after="240"/>
              <w:ind w:hanging="210"/>
              <w:jc w:val="left"/>
              <w:rPr>
                <w:szCs w:val="24"/>
              </w:rPr>
            </w:pPr>
            <w:r>
              <w:rPr>
                <w:szCs w:val="24"/>
              </w:rPr>
              <w:t>Règlement (UE) n°1407/2013 de la Commission du 18 décembre 2013 relatif à l’application des articles 107 et 108 du traité sur le fonctionnement de l’Union europ</w:t>
            </w:r>
            <w:r>
              <w:rPr>
                <w:szCs w:val="24"/>
              </w:rPr>
              <w:t>éenne aux aides de minimis publié au JOUE le 24 décembre 2013.</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442"/>
              </w:numPr>
              <w:spacing w:before="0" w:after="240"/>
              <w:ind w:hanging="210"/>
              <w:jc w:val="left"/>
              <w:rPr>
                <w:szCs w:val="24"/>
              </w:rPr>
            </w:pPr>
            <w:r>
              <w:rPr>
                <w:szCs w:val="24"/>
              </w:rPr>
              <w:t>Les micro entreprises et les petites entreprises (entreprises individuelles ou personnes morales) en phase de création ou de développement.</w:t>
            </w:r>
          </w:p>
          <w:p w:rsidR="0035701C" w:rsidRDefault="00FB561B">
            <w:pPr>
              <w:spacing w:before="240" w:after="240"/>
              <w:jc w:val="left"/>
              <w:rPr>
                <w:szCs w:val="24"/>
              </w:rPr>
            </w:pPr>
            <w:r>
              <w:rPr>
                <w:szCs w:val="24"/>
              </w:rPr>
              <w:t xml:space="preserve">Sont exclus les sociétés civiles </w:t>
            </w:r>
            <w:r>
              <w:rPr>
                <w:szCs w:val="24"/>
              </w:rPr>
              <w:t>immobilières, les organismes publics (collectivités locales, établissement publics administratif, syndicat mixte…etc.), les agriculteurs ou membre d’un ménage agricole qui sont éligibles au type d’opération 6.4.1.</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443"/>
              </w:numPr>
              <w:spacing w:before="0" w:after="0"/>
              <w:ind w:hanging="210"/>
              <w:jc w:val="left"/>
              <w:rPr>
                <w:szCs w:val="24"/>
              </w:rPr>
            </w:pPr>
            <w:r>
              <w:rPr>
                <w:szCs w:val="24"/>
              </w:rPr>
              <w:t>Investissements matéri</w:t>
            </w:r>
            <w:r>
              <w:rPr>
                <w:szCs w:val="24"/>
              </w:rPr>
              <w:t xml:space="preserve">els : </w:t>
            </w:r>
          </w:p>
          <w:p w:rsidR="0035701C" w:rsidRDefault="00FB561B" w:rsidP="00FB561B">
            <w:pPr>
              <w:numPr>
                <w:ilvl w:val="1"/>
                <w:numId w:val="443"/>
              </w:numPr>
              <w:spacing w:before="0" w:after="0"/>
              <w:ind w:hanging="244"/>
              <w:jc w:val="left"/>
              <w:rPr>
                <w:szCs w:val="24"/>
              </w:rPr>
            </w:pPr>
            <w:r>
              <w:rPr>
                <w:szCs w:val="24"/>
              </w:rPr>
              <w:t>équipements, non assimilables à des fournitures, y compris les coûts d’installation,</w:t>
            </w:r>
          </w:p>
          <w:p w:rsidR="0035701C" w:rsidRDefault="00FB561B" w:rsidP="00FB561B">
            <w:pPr>
              <w:numPr>
                <w:ilvl w:val="1"/>
                <w:numId w:val="443"/>
              </w:numPr>
              <w:spacing w:before="0" w:after="0"/>
              <w:ind w:hanging="244"/>
              <w:jc w:val="left"/>
              <w:rPr>
                <w:szCs w:val="24"/>
              </w:rPr>
            </w:pPr>
            <w:r>
              <w:rPr>
                <w:szCs w:val="24"/>
              </w:rPr>
              <w:t>l’acquisition, la construction, l’extension, l'amélioration et l'aménagement de bâtiments,</w:t>
            </w:r>
          </w:p>
          <w:p w:rsidR="0035701C" w:rsidRDefault="00FB561B" w:rsidP="00FB561B">
            <w:pPr>
              <w:numPr>
                <w:ilvl w:val="0"/>
                <w:numId w:val="443"/>
              </w:numPr>
              <w:spacing w:before="0" w:after="0"/>
              <w:ind w:hanging="210"/>
              <w:jc w:val="left"/>
              <w:rPr>
                <w:szCs w:val="24"/>
              </w:rPr>
            </w:pPr>
            <w:r>
              <w:rPr>
                <w:szCs w:val="24"/>
              </w:rPr>
              <w:t xml:space="preserve">Frais généraux liés au projet dans la limite de 10% des dépenses totales éligibles de l'opération : </w:t>
            </w:r>
          </w:p>
          <w:p w:rsidR="0035701C" w:rsidRDefault="00FB561B" w:rsidP="00FB561B">
            <w:pPr>
              <w:numPr>
                <w:ilvl w:val="1"/>
                <w:numId w:val="443"/>
              </w:numPr>
              <w:spacing w:before="0" w:after="0"/>
              <w:ind w:hanging="244"/>
              <w:jc w:val="left"/>
              <w:rPr>
                <w:szCs w:val="24"/>
              </w:rPr>
            </w:pPr>
            <w:r>
              <w:rPr>
                <w:szCs w:val="24"/>
              </w:rPr>
              <w:t>l’ingénierie des projets, y compris la réalisation du business plan et d’étude de marché en liens avec l'investissement,</w:t>
            </w:r>
          </w:p>
          <w:p w:rsidR="0035701C" w:rsidRDefault="00FB561B" w:rsidP="00FB561B">
            <w:pPr>
              <w:numPr>
                <w:ilvl w:val="1"/>
                <w:numId w:val="443"/>
              </w:numPr>
              <w:spacing w:before="0" w:after="0"/>
              <w:ind w:hanging="244"/>
              <w:jc w:val="left"/>
              <w:rPr>
                <w:szCs w:val="24"/>
              </w:rPr>
            </w:pPr>
            <w:r>
              <w:rPr>
                <w:szCs w:val="24"/>
              </w:rPr>
              <w:t>la maîtrise d’œuvre de l’opération</w:t>
            </w:r>
            <w:r>
              <w:rPr>
                <w:szCs w:val="24"/>
              </w:rPr>
              <w:t>,</w:t>
            </w:r>
          </w:p>
          <w:p w:rsidR="0035701C" w:rsidRDefault="00FB561B" w:rsidP="00FB561B">
            <w:pPr>
              <w:numPr>
                <w:ilvl w:val="1"/>
                <w:numId w:val="443"/>
              </w:numPr>
              <w:spacing w:before="0" w:after="0"/>
              <w:ind w:hanging="244"/>
              <w:jc w:val="left"/>
              <w:rPr>
                <w:szCs w:val="24"/>
              </w:rPr>
            </w:pPr>
            <w:r>
              <w:rPr>
                <w:szCs w:val="24"/>
              </w:rPr>
              <w:t>les coûts de certification et de qualification des procédés, notamment environnementale en liens avec l'investissement</w:t>
            </w:r>
          </w:p>
          <w:p w:rsidR="0035701C" w:rsidRDefault="00FB561B" w:rsidP="00FB561B">
            <w:pPr>
              <w:numPr>
                <w:ilvl w:val="1"/>
                <w:numId w:val="443"/>
              </w:numPr>
              <w:spacing w:before="0" w:after="0"/>
              <w:ind w:hanging="244"/>
              <w:jc w:val="left"/>
              <w:rPr>
                <w:szCs w:val="24"/>
              </w:rPr>
            </w:pPr>
            <w:r>
              <w:rPr>
                <w:szCs w:val="24"/>
              </w:rPr>
              <w:t>NB : la part des frais généraux admissibles est portée à 15% des dépenses totales éligibles de l'opération, si celle-ci est sélectionné</w:t>
            </w:r>
            <w:r>
              <w:rPr>
                <w:szCs w:val="24"/>
              </w:rPr>
              <w:t>e dans le cadre des appels à projets concernant la construction de bâtiments en bois.</w:t>
            </w:r>
          </w:p>
          <w:p w:rsidR="0035701C" w:rsidRDefault="00FB561B" w:rsidP="00FB561B">
            <w:pPr>
              <w:numPr>
                <w:ilvl w:val="0"/>
                <w:numId w:val="443"/>
              </w:numPr>
              <w:spacing w:before="0" w:after="0"/>
              <w:ind w:hanging="210"/>
              <w:jc w:val="left"/>
              <w:rPr>
                <w:szCs w:val="24"/>
              </w:rPr>
            </w:pPr>
            <w:r>
              <w:rPr>
                <w:szCs w:val="24"/>
              </w:rPr>
              <w:t xml:space="preserve">Investissements immatériels : </w:t>
            </w:r>
          </w:p>
          <w:p w:rsidR="0035701C" w:rsidRDefault="00FB561B" w:rsidP="00FB561B">
            <w:pPr>
              <w:numPr>
                <w:ilvl w:val="1"/>
                <w:numId w:val="443"/>
              </w:numPr>
              <w:spacing w:before="0" w:after="240"/>
              <w:ind w:hanging="244"/>
              <w:jc w:val="left"/>
              <w:rPr>
                <w:szCs w:val="24"/>
              </w:rPr>
            </w:pPr>
            <w:r>
              <w:rPr>
                <w:szCs w:val="24"/>
              </w:rPr>
              <w:t>le dépôt de brevet et l’achat de Licence.</w:t>
            </w:r>
          </w:p>
          <w:p w:rsidR="0035701C" w:rsidRDefault="00FB561B">
            <w:pPr>
              <w:spacing w:before="240" w:after="240"/>
              <w:jc w:val="left"/>
              <w:rPr>
                <w:szCs w:val="24"/>
              </w:rPr>
            </w:pPr>
            <w:r>
              <w:rPr>
                <w:szCs w:val="24"/>
              </w:rPr>
              <w:t> </w:t>
            </w:r>
          </w:p>
          <w:p w:rsidR="0035701C" w:rsidRDefault="00FB561B" w:rsidP="00FB561B">
            <w:pPr>
              <w:numPr>
                <w:ilvl w:val="0"/>
                <w:numId w:val="444"/>
              </w:numPr>
              <w:spacing w:before="240" w:after="0"/>
              <w:ind w:hanging="210"/>
              <w:jc w:val="left"/>
              <w:rPr>
                <w:szCs w:val="24"/>
              </w:rPr>
            </w:pPr>
            <w:r>
              <w:rPr>
                <w:szCs w:val="24"/>
              </w:rPr>
              <w:t xml:space="preserve">Sont exclus de l’assiette éligible : </w:t>
            </w:r>
          </w:p>
          <w:p w:rsidR="0035701C" w:rsidRDefault="00FB561B" w:rsidP="00FB561B">
            <w:pPr>
              <w:numPr>
                <w:ilvl w:val="1"/>
                <w:numId w:val="444"/>
              </w:numPr>
              <w:spacing w:before="0" w:after="0"/>
              <w:ind w:hanging="244"/>
              <w:jc w:val="left"/>
              <w:rPr>
                <w:szCs w:val="24"/>
              </w:rPr>
            </w:pPr>
            <w:r>
              <w:rPr>
                <w:szCs w:val="24"/>
              </w:rPr>
              <w:t xml:space="preserve">les aménagements paysagers et la voirie, et le coût du </w:t>
            </w:r>
            <w:r>
              <w:rPr>
                <w:szCs w:val="24"/>
              </w:rPr>
              <w:t>foncier</w:t>
            </w:r>
          </w:p>
          <w:p w:rsidR="0035701C" w:rsidRDefault="00FB561B" w:rsidP="00FB561B">
            <w:pPr>
              <w:numPr>
                <w:ilvl w:val="1"/>
                <w:numId w:val="444"/>
              </w:numPr>
              <w:spacing w:before="0" w:after="0"/>
              <w:ind w:hanging="244"/>
              <w:jc w:val="left"/>
              <w:rPr>
                <w:szCs w:val="24"/>
              </w:rPr>
            </w:pPr>
            <w:r>
              <w:rPr>
                <w:szCs w:val="24"/>
              </w:rPr>
              <w:t>l’acquisition de véhicules, sauf s’il s’agit d'engins adaptés aux travaux en forêt au bénéfice des micro-entreprises de travaux forestiers.</w:t>
            </w:r>
          </w:p>
          <w:p w:rsidR="0035701C" w:rsidRDefault="00FB561B" w:rsidP="00FB561B">
            <w:pPr>
              <w:numPr>
                <w:ilvl w:val="1"/>
                <w:numId w:val="444"/>
              </w:numPr>
              <w:spacing w:before="0" w:after="0"/>
              <w:ind w:hanging="244"/>
              <w:jc w:val="left"/>
              <w:rPr>
                <w:szCs w:val="24"/>
              </w:rPr>
            </w:pPr>
            <w:r>
              <w:rPr>
                <w:szCs w:val="24"/>
              </w:rPr>
              <w:t>les matériels d’occasion,</w:t>
            </w:r>
          </w:p>
          <w:p w:rsidR="0035701C" w:rsidRDefault="00FB561B" w:rsidP="00FB561B">
            <w:pPr>
              <w:numPr>
                <w:ilvl w:val="1"/>
                <w:numId w:val="444"/>
              </w:numPr>
              <w:spacing w:before="0" w:after="0"/>
              <w:ind w:hanging="244"/>
              <w:jc w:val="left"/>
              <w:rPr>
                <w:szCs w:val="24"/>
              </w:rPr>
            </w:pPr>
            <w:r>
              <w:rPr>
                <w:szCs w:val="24"/>
              </w:rPr>
              <w:t>les coûts de fonctionnement,  et l’emploi de salariés,</w:t>
            </w:r>
          </w:p>
          <w:p w:rsidR="0035701C" w:rsidRDefault="00FB561B" w:rsidP="00FB561B">
            <w:pPr>
              <w:numPr>
                <w:ilvl w:val="1"/>
                <w:numId w:val="444"/>
              </w:numPr>
              <w:spacing w:before="0" w:after="240"/>
              <w:ind w:hanging="244"/>
              <w:jc w:val="left"/>
              <w:rPr>
                <w:szCs w:val="24"/>
              </w:rPr>
            </w:pPr>
            <w:r>
              <w:rPr>
                <w:szCs w:val="24"/>
              </w:rPr>
              <w:t>la valorisation des travaux</w:t>
            </w:r>
            <w:r>
              <w:rPr>
                <w:szCs w:val="24"/>
              </w:rPr>
              <w:t xml:space="preserve"> réalisés par le maître d’ouvrage.</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ind w:left="720"/>
              <w:jc w:val="left"/>
              <w:rPr>
                <w:szCs w:val="24"/>
              </w:rPr>
            </w:pPr>
            <w:r>
              <w:rPr>
                <w:szCs w:val="24"/>
              </w:rPr>
              <w:t>·      Les projets doivent relever des activités définies dans les appels à projets.</w:t>
            </w:r>
          </w:p>
          <w:p w:rsidR="0035701C" w:rsidRDefault="00FB561B">
            <w:pPr>
              <w:spacing w:before="240" w:after="240"/>
              <w:ind w:left="720"/>
              <w:jc w:val="left"/>
              <w:rPr>
                <w:szCs w:val="24"/>
              </w:rPr>
            </w:pPr>
            <w:r>
              <w:rPr>
                <w:szCs w:val="24"/>
              </w:rPr>
              <w:t>·      l’activité doit se situer dans le périmètre géographique retenu par l’appel à projet,</w:t>
            </w:r>
          </w:p>
          <w:p w:rsidR="0035701C" w:rsidRDefault="00FB561B">
            <w:pPr>
              <w:spacing w:before="240" w:after="240"/>
              <w:ind w:left="720"/>
              <w:jc w:val="left"/>
              <w:rPr>
                <w:szCs w:val="24"/>
              </w:rPr>
            </w:pPr>
            <w:r>
              <w:rPr>
                <w:szCs w:val="24"/>
              </w:rPr>
              <w:t xml:space="preserve">·      Le </w:t>
            </w:r>
            <w:r>
              <w:rPr>
                <w:szCs w:val="24"/>
              </w:rPr>
              <w:t>bénéficiaire doit présenter à la demande un plan d’entreprise démontrant la faisabilité et la rentabilité de l’activité.</w:t>
            </w:r>
          </w:p>
          <w:p w:rsidR="0035701C" w:rsidRDefault="00FB561B">
            <w:pPr>
              <w:spacing w:before="240" w:after="240"/>
              <w:ind w:left="720"/>
              <w:jc w:val="left"/>
              <w:rPr>
                <w:szCs w:val="24"/>
              </w:rPr>
            </w:pPr>
            <w:r>
              <w:rPr>
                <w:szCs w:val="24"/>
              </w:rPr>
              <w:t>·      Le bénéficiaire de la mesure doit avoir effectué les formalités d'inscription de son entreprise (CFE, registre du commerce et/ou</w:t>
            </w:r>
            <w:r>
              <w:rPr>
                <w:szCs w:val="24"/>
              </w:rPr>
              <w:t xml:space="preserve"> des artisans...) au moment du dépôt de la demande d’aide, ou s'engager à présenter cette inscription au solde de l'opération s'il s'agit d'une création d'entreprise.</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szCs w:val="24"/>
              </w:rPr>
              <w:t>Cas d’inéligibilité</w:t>
            </w:r>
          </w:p>
          <w:p w:rsidR="0035701C" w:rsidRDefault="00FB561B" w:rsidP="00FB561B">
            <w:pPr>
              <w:numPr>
                <w:ilvl w:val="0"/>
                <w:numId w:val="445"/>
              </w:numPr>
              <w:spacing w:before="240" w:after="240"/>
              <w:ind w:hanging="210"/>
              <w:jc w:val="left"/>
              <w:rPr>
                <w:szCs w:val="24"/>
              </w:rPr>
            </w:pPr>
            <w:r>
              <w:rPr>
                <w:szCs w:val="24"/>
              </w:rPr>
              <w:t>Sont exclus les projets portés par des entreprises bailleurs de fon</w:t>
            </w:r>
            <w:r>
              <w:rPr>
                <w:szCs w:val="24"/>
              </w:rPr>
              <w:t>ds de commerce.</w:t>
            </w:r>
          </w:p>
          <w:p w:rsidR="0035701C" w:rsidRDefault="0035701C">
            <w:pPr>
              <w:spacing w:before="240" w:after="240"/>
              <w:jc w:val="left"/>
              <w:rPr>
                <w:szCs w:val="24"/>
              </w:rPr>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 mesure est mise en œuvre par une procédure d’appel à projet par catégorie de projet ou secteur d’activité.</w:t>
            </w:r>
          </w:p>
          <w:p w:rsidR="0035701C" w:rsidRDefault="00FB561B">
            <w:pPr>
              <w:spacing w:before="240" w:after="240"/>
              <w:jc w:val="left"/>
              <w:rPr>
                <w:szCs w:val="24"/>
              </w:rPr>
            </w:pPr>
            <w:r>
              <w:rPr>
                <w:szCs w:val="24"/>
              </w:rPr>
              <w:t>Il s’agit notamment et éventuellement :</w:t>
            </w:r>
          </w:p>
          <w:p w:rsidR="0035701C" w:rsidRDefault="00FB561B" w:rsidP="00FB561B">
            <w:pPr>
              <w:numPr>
                <w:ilvl w:val="0"/>
                <w:numId w:val="446"/>
              </w:numPr>
              <w:spacing w:before="240" w:after="0"/>
              <w:ind w:hanging="210"/>
              <w:jc w:val="left"/>
              <w:rPr>
                <w:szCs w:val="24"/>
              </w:rPr>
            </w:pPr>
            <w:r>
              <w:rPr>
                <w:szCs w:val="24"/>
              </w:rPr>
              <w:t xml:space="preserve">de prioriser les </w:t>
            </w:r>
            <w:r>
              <w:rPr>
                <w:szCs w:val="24"/>
              </w:rPr>
              <w:t>secteurs géographiques les plus fragiles,</w:t>
            </w:r>
          </w:p>
          <w:p w:rsidR="0035701C" w:rsidRDefault="00FB561B" w:rsidP="00FB561B">
            <w:pPr>
              <w:numPr>
                <w:ilvl w:val="0"/>
                <w:numId w:val="446"/>
              </w:numPr>
              <w:spacing w:before="0" w:after="0"/>
              <w:ind w:hanging="210"/>
              <w:jc w:val="left"/>
              <w:rPr>
                <w:szCs w:val="24"/>
              </w:rPr>
            </w:pPr>
            <w:r>
              <w:rPr>
                <w:szCs w:val="24"/>
              </w:rPr>
              <w:t xml:space="preserve">de privilégier une approche globale de la qualité du projet, en lien avec : </w:t>
            </w:r>
          </w:p>
          <w:p w:rsidR="0035701C" w:rsidRDefault="00FB561B" w:rsidP="00FB561B">
            <w:pPr>
              <w:numPr>
                <w:ilvl w:val="1"/>
                <w:numId w:val="446"/>
              </w:numPr>
              <w:spacing w:before="0" w:after="0"/>
              <w:ind w:hanging="244"/>
              <w:jc w:val="left"/>
              <w:rPr>
                <w:szCs w:val="24"/>
              </w:rPr>
            </w:pPr>
            <w:r>
              <w:rPr>
                <w:szCs w:val="24"/>
              </w:rPr>
              <w:t>la démarche de professionnalisation et de formation du candidat,</w:t>
            </w:r>
          </w:p>
          <w:p w:rsidR="0035701C" w:rsidRDefault="00FB561B" w:rsidP="00FB561B">
            <w:pPr>
              <w:numPr>
                <w:ilvl w:val="1"/>
                <w:numId w:val="446"/>
              </w:numPr>
              <w:spacing w:before="0" w:after="0"/>
              <w:ind w:hanging="244"/>
              <w:jc w:val="left"/>
              <w:rPr>
                <w:szCs w:val="24"/>
              </w:rPr>
            </w:pPr>
            <w:r>
              <w:rPr>
                <w:szCs w:val="24"/>
              </w:rPr>
              <w:t xml:space="preserve">la démarche d’action collective en réseau (par exemple : itinéraire des </w:t>
            </w:r>
            <w:r>
              <w:rPr>
                <w:szCs w:val="24"/>
              </w:rPr>
              <w:t>producteurs adhérant à une charte de qualité),</w:t>
            </w:r>
          </w:p>
          <w:p w:rsidR="0035701C" w:rsidRDefault="00FB561B" w:rsidP="00FB561B">
            <w:pPr>
              <w:numPr>
                <w:ilvl w:val="1"/>
                <w:numId w:val="446"/>
              </w:numPr>
              <w:spacing w:before="0" w:after="0"/>
              <w:ind w:hanging="244"/>
              <w:jc w:val="left"/>
              <w:rPr>
                <w:szCs w:val="24"/>
              </w:rPr>
            </w:pPr>
            <w:r>
              <w:rPr>
                <w:szCs w:val="24"/>
              </w:rPr>
              <w:t>la qualité environnementale et paysagère du projet.</w:t>
            </w:r>
          </w:p>
          <w:p w:rsidR="0035701C" w:rsidRDefault="00FB561B" w:rsidP="00FB561B">
            <w:pPr>
              <w:numPr>
                <w:ilvl w:val="0"/>
                <w:numId w:val="446"/>
              </w:numPr>
              <w:spacing w:before="0" w:after="0"/>
              <w:ind w:hanging="210"/>
              <w:jc w:val="left"/>
              <w:rPr>
                <w:szCs w:val="24"/>
              </w:rPr>
            </w:pPr>
            <w:r>
              <w:rPr>
                <w:szCs w:val="24"/>
              </w:rPr>
              <w:t>de cibler des publics spécifiques : entreprises en création ou en transmission, jeunes, femmes, création d’emploi, etc.</w:t>
            </w:r>
          </w:p>
          <w:p w:rsidR="0035701C" w:rsidRDefault="00FB561B" w:rsidP="00FB561B">
            <w:pPr>
              <w:numPr>
                <w:ilvl w:val="0"/>
                <w:numId w:val="446"/>
              </w:numPr>
              <w:spacing w:before="0" w:after="0"/>
              <w:ind w:hanging="210"/>
              <w:jc w:val="left"/>
              <w:rPr>
                <w:szCs w:val="24"/>
              </w:rPr>
            </w:pPr>
            <w:r>
              <w:rPr>
                <w:szCs w:val="24"/>
              </w:rPr>
              <w:t>de privilégier les projets ayant un i</w:t>
            </w:r>
            <w:r>
              <w:rPr>
                <w:szCs w:val="24"/>
              </w:rPr>
              <w:t>mpact socio-économique (emploi, polyactivité, valeur économique du projet, multifonctionnalité des opérations).</w:t>
            </w:r>
          </w:p>
          <w:p w:rsidR="0035701C" w:rsidRDefault="00FB561B" w:rsidP="00FB561B">
            <w:pPr>
              <w:numPr>
                <w:ilvl w:val="0"/>
                <w:numId w:val="446"/>
              </w:numPr>
              <w:spacing w:before="0" w:after="240"/>
              <w:ind w:hanging="210"/>
              <w:jc w:val="left"/>
              <w:rPr>
                <w:szCs w:val="24"/>
              </w:rPr>
            </w:pPr>
            <w:r>
              <w:rPr>
                <w:szCs w:val="24"/>
              </w:rPr>
              <w:t>d’accompagner des secteurs d’activité (tourisme rural, services aux populations résidentes, valorisation de ressources naturelles ou patrimonial</w:t>
            </w:r>
            <w:r>
              <w:rPr>
                <w:szCs w:val="24"/>
              </w:rPr>
              <w:t>es situées dans le territoire ou à défaut dans la région…etc.)</w:t>
            </w:r>
          </w:p>
          <w:p w:rsidR="0035701C" w:rsidRDefault="00FB561B">
            <w:pPr>
              <w:spacing w:before="240" w:after="240"/>
              <w:jc w:val="left"/>
              <w:rPr>
                <w:szCs w:val="24"/>
              </w:rPr>
            </w:pPr>
            <w:r>
              <w:rPr>
                <w:szCs w:val="24"/>
              </w:rPr>
              <w:t>Ces critères de sélection sont définis au sein de chaque Appel à Projet.</w:t>
            </w:r>
          </w:p>
          <w:p w:rsidR="0035701C" w:rsidRDefault="00FB561B">
            <w:pPr>
              <w:spacing w:before="240" w:after="240"/>
              <w:jc w:val="left"/>
              <w:rPr>
                <w:szCs w:val="24"/>
              </w:rPr>
            </w:pPr>
            <w:r>
              <w:rPr>
                <w:szCs w:val="24"/>
              </w:rPr>
              <w:t> La grille de sélection des opérations prévoira l'établissement d'un système de points permettant le classement des doss</w:t>
            </w:r>
            <w:r>
              <w:rPr>
                <w:szCs w:val="24"/>
              </w:rPr>
              <w:t>iers et la fixation d'un seuil minimal pour accéder au soutien au titre du PDRC.</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taux d'intervention sont définis comme suit :</w:t>
            </w:r>
          </w:p>
          <w:tbl>
            <w:tblPr>
              <w:tblW w:w="9325" w:type="dxa"/>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7360"/>
              <w:gridCol w:w="1925"/>
            </w:tblGrid>
            <w:tr w:rsidR="0035701C">
              <w:trPr>
                <w:jc w:val="center"/>
              </w:trPr>
              <w:tc>
                <w:tcPr>
                  <w:tcW w:w="0" w:type="auto"/>
                  <w:tcBorders>
                    <w:bottom w:val="inset" w:sz="6" w:space="0" w:color="808080"/>
                    <w:right w:val="inset" w:sz="6" w:space="0" w:color="808080"/>
                  </w:tcBorders>
                  <w:shd w:val="clear" w:color="auto" w:fill="00FFFF"/>
                  <w:tcMar>
                    <w:top w:w="25" w:type="dxa"/>
                    <w:left w:w="25" w:type="dxa"/>
                    <w:bottom w:w="22" w:type="dxa"/>
                    <w:right w:w="22" w:type="dxa"/>
                  </w:tcMar>
                  <w:vAlign w:val="center"/>
                  <w:hideMark/>
                </w:tcPr>
                <w:p w:rsidR="0035701C" w:rsidRDefault="00FB561B">
                  <w:pPr>
                    <w:spacing w:before="0" w:after="0"/>
                    <w:jc w:val="center"/>
                    <w:rPr>
                      <w:color w:val="000000"/>
                      <w:szCs w:val="24"/>
                    </w:rPr>
                  </w:pPr>
                  <w:r>
                    <w:rPr>
                      <w:b/>
                      <w:bCs/>
                      <w:color w:val="000000"/>
                      <w:szCs w:val="24"/>
                    </w:rPr>
                    <w:t>Projet</w:t>
                  </w:r>
                </w:p>
              </w:tc>
              <w:tc>
                <w:tcPr>
                  <w:tcW w:w="0" w:type="auto"/>
                  <w:tcBorders>
                    <w:left w:val="inset" w:sz="6" w:space="0" w:color="808080"/>
                    <w:bottom w:val="inset" w:sz="6" w:space="0" w:color="808080"/>
                  </w:tcBorders>
                  <w:shd w:val="clear" w:color="auto" w:fill="00FFFF"/>
                  <w:tcMar>
                    <w:top w:w="25" w:type="dxa"/>
                    <w:left w:w="22" w:type="dxa"/>
                    <w:bottom w:w="22" w:type="dxa"/>
                    <w:right w:w="25" w:type="dxa"/>
                  </w:tcMar>
                  <w:vAlign w:val="center"/>
                  <w:hideMark/>
                </w:tcPr>
                <w:p w:rsidR="0035701C" w:rsidRDefault="00FB561B">
                  <w:pPr>
                    <w:spacing w:before="0" w:after="0"/>
                    <w:jc w:val="center"/>
                    <w:rPr>
                      <w:color w:val="000000"/>
                      <w:szCs w:val="24"/>
                    </w:rPr>
                  </w:pPr>
                  <w:r>
                    <w:rPr>
                      <w:b/>
                      <w:bCs/>
                      <w:color w:val="000000"/>
                      <w:szCs w:val="24"/>
                    </w:rPr>
                    <w:t>Taux d'aide publique</w:t>
                  </w:r>
                </w:p>
              </w:tc>
            </w:tr>
            <w:tr w:rsidR="0035701C">
              <w:trPr>
                <w:jc w:val="center"/>
              </w:trPr>
              <w:tc>
                <w:tcPr>
                  <w:tcW w:w="0" w:type="auto"/>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35701C" w:rsidRDefault="00FB561B">
                  <w:pPr>
                    <w:spacing w:before="0" w:after="0"/>
                    <w:jc w:val="left"/>
                    <w:rPr>
                      <w:color w:val="000000"/>
                      <w:szCs w:val="24"/>
                    </w:rPr>
                  </w:pPr>
                  <w:r>
                    <w:rPr>
                      <w:color w:val="000000"/>
                      <w:szCs w:val="24"/>
                    </w:rPr>
                    <w:t>Taux de base</w:t>
                  </w:r>
                </w:p>
              </w:tc>
              <w:tc>
                <w:tcPr>
                  <w:tcW w:w="0" w:type="auto"/>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35701C" w:rsidRDefault="00FB561B">
                  <w:pPr>
                    <w:spacing w:before="0" w:after="0"/>
                    <w:jc w:val="center"/>
                    <w:rPr>
                      <w:color w:val="000000"/>
                      <w:szCs w:val="24"/>
                    </w:rPr>
                  </w:pPr>
                  <w:r>
                    <w:rPr>
                      <w:color w:val="000000"/>
                      <w:szCs w:val="24"/>
                    </w:rPr>
                    <w:t>50%</w:t>
                  </w:r>
                </w:p>
              </w:tc>
            </w:tr>
            <w:tr w:rsidR="0035701C">
              <w:trPr>
                <w:jc w:val="center"/>
              </w:trPr>
              <w:tc>
                <w:tcPr>
                  <w:tcW w:w="0" w:type="auto"/>
                  <w:tcBorders>
                    <w:top w:val="inset" w:sz="6" w:space="0" w:color="808080"/>
                    <w:bottom w:val="inset" w:sz="6" w:space="0" w:color="808080"/>
                    <w:right w:val="inset" w:sz="6" w:space="0" w:color="808080"/>
                  </w:tcBorders>
                  <w:tcMar>
                    <w:top w:w="22" w:type="dxa"/>
                    <w:left w:w="25" w:type="dxa"/>
                    <w:bottom w:w="22" w:type="dxa"/>
                    <w:right w:w="22" w:type="dxa"/>
                  </w:tcMar>
                  <w:vAlign w:val="center"/>
                  <w:hideMark/>
                </w:tcPr>
                <w:p w:rsidR="0035701C" w:rsidRDefault="00FB561B">
                  <w:pPr>
                    <w:spacing w:before="0" w:after="0"/>
                    <w:jc w:val="left"/>
                    <w:rPr>
                      <w:color w:val="000000"/>
                      <w:szCs w:val="24"/>
                    </w:rPr>
                  </w:pPr>
                  <w:r>
                    <w:rPr>
                      <w:color w:val="000000"/>
                      <w:szCs w:val="24"/>
                    </w:rPr>
                    <w:t xml:space="preserve">Projet valorisant les ressources </w:t>
                  </w:r>
                  <w:r>
                    <w:rPr>
                      <w:color w:val="000000"/>
                      <w:szCs w:val="24"/>
                    </w:rPr>
                    <w:t>naturelles (forêt-bois, construction bois, pierre…)</w:t>
                  </w:r>
                </w:p>
              </w:tc>
              <w:tc>
                <w:tcPr>
                  <w:tcW w:w="0" w:type="auto"/>
                  <w:tcBorders>
                    <w:top w:val="inset" w:sz="6" w:space="0" w:color="808080"/>
                    <w:left w:val="inset" w:sz="6" w:space="0" w:color="808080"/>
                    <w:bottom w:val="inset" w:sz="6" w:space="0" w:color="808080"/>
                  </w:tcBorders>
                  <w:tcMar>
                    <w:top w:w="22" w:type="dxa"/>
                    <w:left w:w="22" w:type="dxa"/>
                    <w:bottom w:w="22" w:type="dxa"/>
                    <w:right w:w="25" w:type="dxa"/>
                  </w:tcMar>
                  <w:vAlign w:val="center"/>
                  <w:hideMark/>
                </w:tcPr>
                <w:p w:rsidR="0035701C" w:rsidRDefault="00FB561B">
                  <w:pPr>
                    <w:spacing w:before="0" w:after="0"/>
                    <w:jc w:val="center"/>
                    <w:rPr>
                      <w:color w:val="000000"/>
                      <w:szCs w:val="24"/>
                    </w:rPr>
                  </w:pPr>
                  <w:r>
                    <w:rPr>
                      <w:color w:val="000000"/>
                      <w:szCs w:val="24"/>
                    </w:rPr>
                    <w:t>60%</w:t>
                  </w:r>
                </w:p>
              </w:tc>
            </w:tr>
            <w:tr w:rsidR="0035701C">
              <w:trPr>
                <w:jc w:val="center"/>
              </w:trPr>
              <w:tc>
                <w:tcPr>
                  <w:tcW w:w="0" w:type="auto"/>
                  <w:tcBorders>
                    <w:top w:val="inset" w:sz="6" w:space="0" w:color="808080"/>
                    <w:right w:val="inset" w:sz="6" w:space="0" w:color="808080"/>
                  </w:tcBorders>
                  <w:tcMar>
                    <w:top w:w="22" w:type="dxa"/>
                    <w:left w:w="25" w:type="dxa"/>
                    <w:bottom w:w="25" w:type="dxa"/>
                    <w:right w:w="22" w:type="dxa"/>
                  </w:tcMar>
                  <w:vAlign w:val="center"/>
                  <w:hideMark/>
                </w:tcPr>
                <w:p w:rsidR="0035701C" w:rsidRDefault="00FB561B">
                  <w:pPr>
                    <w:spacing w:before="0" w:after="0"/>
                    <w:jc w:val="left"/>
                    <w:rPr>
                      <w:color w:val="000000"/>
                      <w:szCs w:val="24"/>
                    </w:rPr>
                  </w:pPr>
                  <w:r>
                    <w:rPr>
                      <w:color w:val="000000"/>
                      <w:szCs w:val="24"/>
                    </w:rPr>
                    <w:t>Porteur de projet individuel adhérant à une démarche d’action collective ou en réseau (*).</w:t>
                  </w:r>
                </w:p>
              </w:tc>
              <w:tc>
                <w:tcPr>
                  <w:tcW w:w="0" w:type="auto"/>
                  <w:tcBorders>
                    <w:top w:val="inset" w:sz="6" w:space="0" w:color="808080"/>
                    <w:left w:val="inset" w:sz="6" w:space="0" w:color="808080"/>
                  </w:tcBorders>
                  <w:tcMar>
                    <w:top w:w="22" w:type="dxa"/>
                    <w:left w:w="22" w:type="dxa"/>
                    <w:bottom w:w="25" w:type="dxa"/>
                    <w:right w:w="25" w:type="dxa"/>
                  </w:tcMar>
                  <w:vAlign w:val="center"/>
                  <w:hideMark/>
                </w:tcPr>
                <w:p w:rsidR="0035701C" w:rsidRDefault="00FB561B">
                  <w:pPr>
                    <w:spacing w:before="0" w:after="0"/>
                    <w:jc w:val="center"/>
                    <w:rPr>
                      <w:color w:val="000000"/>
                      <w:szCs w:val="24"/>
                    </w:rPr>
                  </w:pPr>
                  <w:r>
                    <w:rPr>
                      <w:color w:val="000000"/>
                      <w:szCs w:val="24"/>
                    </w:rPr>
                    <w:t>60%</w:t>
                  </w:r>
                </w:p>
              </w:tc>
            </w:tr>
          </w:tbl>
          <w:p w:rsidR="0035701C" w:rsidRDefault="00FB561B" w:rsidP="00FB561B">
            <w:pPr>
              <w:numPr>
                <w:ilvl w:val="0"/>
                <w:numId w:val="447"/>
              </w:numPr>
              <w:spacing w:before="240" w:after="0"/>
              <w:ind w:hanging="210"/>
              <w:jc w:val="left"/>
              <w:rPr>
                <w:szCs w:val="24"/>
              </w:rPr>
            </w:pPr>
            <w:r>
              <w:rPr>
                <w:szCs w:val="24"/>
              </w:rPr>
              <w:t xml:space="preserve">(*) Ces réseaux ou démarches d'action collective auxquels doivent adhérer les entreprises doivent </w:t>
            </w:r>
            <w:r>
              <w:rPr>
                <w:szCs w:val="24"/>
              </w:rPr>
              <w:t>intéresser une grappe d’entreprises regroupées autour d’un projet ou réseau commun, et unissant au moins 5 entreprises soit horizontalement soit verticalement.</w:t>
            </w:r>
          </w:p>
          <w:p w:rsidR="0035701C" w:rsidRDefault="00FB561B" w:rsidP="00FB561B">
            <w:pPr>
              <w:numPr>
                <w:ilvl w:val="0"/>
                <w:numId w:val="447"/>
              </w:numPr>
              <w:spacing w:before="0" w:after="0"/>
              <w:ind w:hanging="210"/>
              <w:jc w:val="left"/>
              <w:rPr>
                <w:szCs w:val="24"/>
              </w:rPr>
            </w:pPr>
            <w:r>
              <w:rPr>
                <w:szCs w:val="24"/>
              </w:rPr>
              <w:t>Montant maximum de l’aide : aide plafonnée à 200 000€ par bénéficiaire tous les 3 ans.</w:t>
            </w:r>
          </w:p>
          <w:p w:rsidR="0035701C" w:rsidRDefault="00FB561B" w:rsidP="00FB561B">
            <w:pPr>
              <w:numPr>
                <w:ilvl w:val="0"/>
                <w:numId w:val="447"/>
              </w:numPr>
              <w:spacing w:before="0" w:after="240"/>
              <w:ind w:hanging="210"/>
              <w:jc w:val="left"/>
              <w:rPr>
                <w:szCs w:val="24"/>
              </w:rPr>
            </w:pPr>
            <w:r>
              <w:rPr>
                <w:szCs w:val="24"/>
              </w:rPr>
              <w:t>Le planch</w:t>
            </w:r>
            <w:r>
              <w:rPr>
                <w:szCs w:val="24"/>
              </w:rPr>
              <w:t>er du montant des dépenses éligibles est fixé à 5.000€ par opération.</w:t>
            </w:r>
          </w:p>
          <w:p w:rsidR="0035701C" w:rsidRDefault="00FB561B">
            <w:pPr>
              <w:spacing w:before="240" w:after="240"/>
              <w:jc w:val="left"/>
              <w:rPr>
                <w:szCs w:val="24"/>
              </w:rPr>
            </w:pPr>
            <w:r>
              <w:rPr>
                <w:szCs w:val="24"/>
              </w:rPr>
              <w:t>Pour les projets ne relevant pas de l’article 42 du TFUE dont le financement est soumis aux règles d'aide d'Etat, le règlement (UE) n° 1407/2013 de la Commission du 18 décembre 2013 rela</w:t>
            </w:r>
            <w:r>
              <w:rPr>
                <w:szCs w:val="24"/>
              </w:rPr>
              <w:t>tif à l'application des articles 107 et 108 du traité sur le fonctionnement de l'Union européenne aux aides de minimis sera utilisé.</w:t>
            </w:r>
          </w:p>
          <w:p w:rsidR="0035701C" w:rsidRDefault="00FB561B">
            <w:pPr>
              <w:spacing w:before="240" w:after="240"/>
              <w:jc w:val="left"/>
              <w:rPr>
                <w:szCs w:val="24"/>
              </w:rPr>
            </w:pPr>
            <w:r>
              <w:rPr>
                <w:szCs w:val="24"/>
              </w:rPr>
              <w:t xml:space="preserve">Le taux d'aide publique appliqué au dossier correspondra au maximum autorisé par le régime d'aide d'Etat appliqué audit </w:t>
            </w:r>
            <w:r>
              <w:rPr>
                <w:szCs w:val="24"/>
              </w:rPr>
              <w:t>dossier, si ce maximum est plus restrictif que le taux prévu par le PDR ; ce maximum ne pourra être supérieur aux taux mentionnés dans le PDRC.</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w:t>
      </w:r>
      <w:r>
        <w:t xml:space="preserve">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 :</w:t>
            </w:r>
          </w:p>
          <w:p w:rsidR="0035701C" w:rsidRDefault="00FB561B">
            <w:pPr>
              <w:spacing w:before="240" w:after="240"/>
              <w:jc w:val="left"/>
              <w:rPr>
                <w:szCs w:val="24"/>
              </w:rPr>
            </w:pPr>
            <w:r>
              <w:rPr>
                <w:szCs w:val="24"/>
              </w:rPr>
              <w:t>- L'OP a demandé que soient bien décrits les pétitionnaires susceptibles d'être bénéficiaires de cette opération, ainsi que les travaux et investissements susceptibles d'être financés. Les é</w:t>
            </w:r>
            <w:r>
              <w:rPr>
                <w:szCs w:val="24"/>
              </w:rPr>
              <w:t>léments de Droit, les précisions apportées au présent texte, ainsi que le détail des éléments de réponse à fournir sur les appels à projet sont satisfaisants.  La mise en place d'un contrôle croisé sur les aides de même type ou de même public cible sera fo</w:t>
            </w:r>
            <w:r>
              <w:rPr>
                <w:szCs w:val="24"/>
              </w:rPr>
              <w:t>rmalisé.</w:t>
            </w:r>
          </w:p>
          <w:p w:rsidR="0035701C" w:rsidRDefault="00FB561B">
            <w:pPr>
              <w:spacing w:before="240" w:after="240"/>
              <w:jc w:val="left"/>
              <w:rPr>
                <w:szCs w:val="24"/>
              </w:rPr>
            </w:pPr>
            <w:r>
              <w:rPr>
                <w:szCs w:val="24"/>
              </w:rPr>
              <w:t>- Concernant les taux d'aide tels que décrits dans le PDRC, l’OP a recommandé que leurs modalités d’application soient clairement établies et diffusés. Après avoir pris connaissance des précisions apportées au présent texte, l'Organisme Payeur con</w:t>
            </w:r>
            <w:r>
              <w:rPr>
                <w:szCs w:val="24"/>
              </w:rPr>
              <w:t>sidère que ce document permet de lever ses interrogations.</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n°1 - R1 : Pour les formes juridiques sociétaires, conformité des statuts et actes, mise à jour effective et conforme</w:t>
            </w:r>
            <w:r>
              <w:rPr>
                <w:szCs w:val="24"/>
              </w:rPr>
              <w:t xml:space="preserve"> au long de la période d’engagement. (source : Législation nationale : décalage entre Droit Social, Droit des Sociétés, Droit Rural)</w:t>
            </w:r>
          </w:p>
          <w:p w:rsidR="0035701C" w:rsidRDefault="00FB561B">
            <w:pPr>
              <w:spacing w:before="240" w:after="240"/>
              <w:jc w:val="left"/>
              <w:rPr>
                <w:szCs w:val="24"/>
              </w:rPr>
            </w:pPr>
            <w:r>
              <w:rPr>
                <w:szCs w:val="24"/>
              </w:rPr>
              <w:t>n°2 - R10 : Pour l'ensemble des investissements, risque de projets déjà financés par ailleurs (toujours sous engagement d'a</w:t>
            </w:r>
            <w:r>
              <w:rPr>
                <w:szCs w:val="24"/>
              </w:rPr>
              <w:t>nciens contrats) (source : Ponctuel sur Retour d'Expérience)</w:t>
            </w:r>
          </w:p>
          <w:p w:rsidR="0035701C" w:rsidRDefault="00FB561B">
            <w:pPr>
              <w:spacing w:before="240" w:after="240"/>
              <w:jc w:val="left"/>
              <w:rPr>
                <w:szCs w:val="24"/>
              </w:rPr>
            </w:pPr>
            <w:r>
              <w:rPr>
                <w:szCs w:val="24"/>
              </w:rPr>
              <w:t>n°3 - R2 : Pour les investissements, s'assurer de leur caractère raisonnable (source : CCCOP Exercice 2012-2014).</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n°1 - R1 : VERIFIER Pour les formes juridiques </w:t>
            </w:r>
            <w:r>
              <w:rPr>
                <w:szCs w:val="24"/>
              </w:rPr>
              <w:t>sociétaires, conformité des statuts et actes, mise à jour effective et conforme.</w:t>
            </w:r>
          </w:p>
          <w:p w:rsidR="0035701C" w:rsidRDefault="00FB561B">
            <w:pPr>
              <w:spacing w:before="240" w:after="240"/>
              <w:jc w:val="left"/>
              <w:rPr>
                <w:szCs w:val="24"/>
              </w:rPr>
            </w:pPr>
            <w:r>
              <w:rPr>
                <w:szCs w:val="24"/>
              </w:rPr>
              <w:t>n°2 - R10 : EXECUTER UN CONTRÔLE CROISE des aides aux bénéficiaires de l'opération avec les autres aides dont ils ont bénéficié ou dont ils bénéficient, et avec celles des bén</w:t>
            </w:r>
            <w:r>
              <w:rPr>
                <w:szCs w:val="24"/>
              </w:rPr>
              <w:t>éficiaires partenaires (cas des actions collectives).</w:t>
            </w:r>
          </w:p>
          <w:p w:rsidR="0035701C" w:rsidRDefault="00FB561B">
            <w:pPr>
              <w:spacing w:before="240" w:after="240"/>
              <w:jc w:val="left"/>
              <w:rPr>
                <w:szCs w:val="24"/>
              </w:rPr>
            </w:pPr>
            <w:r>
              <w:rPr>
                <w:szCs w:val="24"/>
              </w:rPr>
              <w:t>                   MAINTENIR ce point de contrôle administratif de la demande d'aide à la fin de la période d'engagement.</w:t>
            </w:r>
          </w:p>
          <w:p w:rsidR="0035701C" w:rsidRDefault="00FB561B">
            <w:pPr>
              <w:spacing w:before="240" w:after="240"/>
              <w:jc w:val="left"/>
              <w:rPr>
                <w:szCs w:val="24"/>
              </w:rPr>
            </w:pPr>
            <w:r>
              <w:rPr>
                <w:szCs w:val="24"/>
              </w:rPr>
              <w:t>n°3 - R2  : FORMALISER en l’absence de recours à des coûts relevant de l’article</w:t>
            </w:r>
            <w:r>
              <w:rPr>
                <w:szCs w:val="24"/>
              </w:rPr>
              <w:t xml:space="preserve"> 62.2 du R/UE 1305/2013, la mise en place d’un protocole d’évaluation à partir de 3 devis et/ou avis authentique du comité technique en charge de la sélection des opérations garantissant le caractère raisonnable de la dépense.</w:t>
            </w:r>
          </w:p>
          <w:p w:rsidR="0035701C" w:rsidRDefault="0035701C">
            <w:pPr>
              <w:pStyle w:val="Corpsdetexte"/>
            </w:pPr>
          </w:p>
        </w:tc>
      </w:tr>
    </w:tbl>
    <w:p w:rsidR="0035701C" w:rsidRDefault="00FB561B">
      <w:pPr>
        <w:pStyle w:val="Titre7"/>
      </w:pPr>
      <w:r>
        <w:t>Évaluation globale de la me</w:t>
      </w:r>
      <w:r>
        <w:t>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Au vu des cotations matricielles, sur le poids financier de la mesure (&lt;5%), sur les priorités, les risques, les mesures d’atténuation prévues, cette mesure reçoit une évaluation  correcte peu risquée ; Les mécanismes de mise en œuvre sont connus et</w:t>
            </w:r>
            <w:r>
              <w:rPr>
                <w:szCs w:val="24"/>
              </w:rPr>
              <w:t xml:space="preserve"> maîtrisés par tous les acteurs,  les programmations précédentes qui ont suscité des ajustements sur des mesures de même type ont permis une amélioration constante des procédures.</w:t>
            </w:r>
          </w:p>
          <w:p w:rsidR="0035701C" w:rsidRDefault="00FB561B">
            <w:pPr>
              <w:spacing w:before="240" w:after="240"/>
              <w:jc w:val="left"/>
              <w:rPr>
                <w:szCs w:val="24"/>
              </w:rPr>
            </w:pPr>
            <w:r>
              <w:rPr>
                <w:szCs w:val="24"/>
              </w:rPr>
              <w:t>- Concernant l'évaluation globale de la mesure : la mesure est contrôlable s</w:t>
            </w:r>
            <w:r>
              <w:rPr>
                <w:szCs w:val="24"/>
              </w:rPr>
              <w:t>ous réserve de la mise en place d'actions d'atténuation et des précisions apportées dans les documents de mise en œuvre notamment sur la nécessité de bien contrôler , et de vérifier l'inexistence de financements précédents ou déjà engagés auprès des bénéfi</w:t>
            </w:r>
            <w:r>
              <w:rPr>
                <w:szCs w:val="24"/>
              </w:rPr>
              <w:t>ciaires  y compris partenaires dans le cas des actions collectives. Il convient également de s'assurer de bien transcrire la preuve de l'étude du caractère raisonnable des coûts.</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6"/>
      </w:pPr>
      <w:r>
        <w:t>Informations spécifiques sur l'opération</w:t>
      </w:r>
    </w:p>
    <w:p w:rsidR="0035701C" w:rsidRDefault="00FB561B">
      <w:r>
        <w:t>Définition de la notion de «petites exploitations» visée à l’article 19, paragraphe 1, point a) iii),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Non concerné</w:t>
            </w:r>
          </w:p>
          <w:p w:rsidR="0035701C" w:rsidRDefault="0035701C">
            <w:pPr>
              <w:pStyle w:val="Corpsdetexte"/>
            </w:pPr>
          </w:p>
        </w:tc>
      </w:tr>
    </w:tbl>
    <w:p w:rsidR="0035701C" w:rsidRDefault="00FB561B">
      <w:r>
        <w:t>Définition du seuil plancher et du plafond prévus à l’article 19, p</w:t>
      </w:r>
      <w:r>
        <w:t>aragraphe 4, troisième alinéa,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Non concerné</w:t>
            </w:r>
          </w:p>
          <w:p w:rsidR="0035701C" w:rsidRDefault="0035701C">
            <w:pPr>
              <w:pStyle w:val="Corpsdetexte"/>
            </w:pPr>
          </w:p>
        </w:tc>
      </w:tr>
    </w:tbl>
    <w:p w:rsidR="0035701C" w:rsidRDefault="00FB561B">
      <w:r>
        <w:t>Conditions spécifiques de soutien aux jeunes agriculteurs lorsqu’ils ne s’installent pas en qualité de chef d’exploitation exclusif, conformément à l’article 2, paragraphes 1 et 2</w:t>
      </w:r>
      <w:r>
        <w:t>,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Informations sur l’application du délai de grâce visé à l’article 2, paragraphe 3,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i/>
                <w:iCs/>
                <w:szCs w:val="24"/>
              </w:rPr>
              <w:t>_</w:t>
            </w:r>
          </w:p>
          <w:p w:rsidR="0035701C" w:rsidRDefault="0035701C">
            <w:pPr>
              <w:pStyle w:val="Corpsdetexte"/>
            </w:pPr>
          </w:p>
        </w:tc>
      </w:tr>
    </w:tbl>
    <w:p w:rsidR="0035701C" w:rsidRDefault="00FB561B">
      <w:r>
        <w:t>Résumé des exigences du plan d'entreprise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Utilisation de la possibilité de combiner</w:t>
      </w:r>
      <w:r>
        <w:t xml:space="preserve"> différentes mesures par l'intermédiaire du plan d'entreprise donnant accès à ces mesures au jeune agriculteur</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Domaines couverts par la diversification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Sont notamment concernés les activités suivantes :</w:t>
            </w:r>
          </w:p>
          <w:p w:rsidR="0035701C" w:rsidRDefault="00FB561B" w:rsidP="00FB561B">
            <w:pPr>
              <w:numPr>
                <w:ilvl w:val="0"/>
                <w:numId w:val="448"/>
              </w:numPr>
              <w:spacing w:before="240" w:after="0"/>
              <w:ind w:hanging="210"/>
              <w:jc w:val="left"/>
              <w:rPr>
                <w:szCs w:val="24"/>
              </w:rPr>
            </w:pPr>
            <w:r>
              <w:rPr>
                <w:szCs w:val="24"/>
              </w:rPr>
              <w:t>le  secteur de l’hébergement et de l’offre touris</w:t>
            </w:r>
            <w:r>
              <w:rPr>
                <w:szCs w:val="24"/>
              </w:rPr>
              <w:t>tique, et de loisir,</w:t>
            </w:r>
          </w:p>
          <w:p w:rsidR="0035701C" w:rsidRDefault="00FB561B" w:rsidP="00FB561B">
            <w:pPr>
              <w:numPr>
                <w:ilvl w:val="0"/>
                <w:numId w:val="448"/>
              </w:numPr>
              <w:spacing w:before="0" w:after="0"/>
              <w:ind w:hanging="210"/>
              <w:jc w:val="left"/>
              <w:rPr>
                <w:szCs w:val="24"/>
              </w:rPr>
            </w:pPr>
            <w:r>
              <w:rPr>
                <w:szCs w:val="24"/>
              </w:rPr>
              <w:t>les entreprises de services et notamment celles dédiées aux services à la personne en milieu rural,</w:t>
            </w:r>
          </w:p>
          <w:p w:rsidR="0035701C" w:rsidRDefault="00FB561B" w:rsidP="00FB561B">
            <w:pPr>
              <w:numPr>
                <w:ilvl w:val="0"/>
                <w:numId w:val="448"/>
              </w:numPr>
              <w:spacing w:before="0" w:after="0"/>
              <w:ind w:hanging="210"/>
              <w:jc w:val="left"/>
              <w:rPr>
                <w:szCs w:val="24"/>
              </w:rPr>
            </w:pPr>
            <w:r>
              <w:rPr>
                <w:szCs w:val="24"/>
              </w:rPr>
              <w:t>l’artisanat, valorisant des ressources locales ou le patrimoine,</w:t>
            </w:r>
          </w:p>
          <w:p w:rsidR="0035701C" w:rsidRDefault="00FB561B" w:rsidP="00FB561B">
            <w:pPr>
              <w:numPr>
                <w:ilvl w:val="0"/>
                <w:numId w:val="448"/>
              </w:numPr>
              <w:spacing w:before="0" w:after="0"/>
              <w:ind w:hanging="210"/>
              <w:jc w:val="left"/>
              <w:rPr>
                <w:szCs w:val="24"/>
              </w:rPr>
            </w:pPr>
            <w:r>
              <w:rPr>
                <w:szCs w:val="24"/>
              </w:rPr>
              <w:t>les micro-entreprises de travaux forestiers répondant aux attentes des</w:t>
            </w:r>
            <w:r>
              <w:rPr>
                <w:szCs w:val="24"/>
              </w:rPr>
              <w:t xml:space="preserve"> clientèles implantées sur les territoires ruraux</w:t>
            </w:r>
          </w:p>
          <w:p w:rsidR="0035701C" w:rsidRDefault="00FB561B" w:rsidP="00FB561B">
            <w:pPr>
              <w:numPr>
                <w:ilvl w:val="0"/>
                <w:numId w:val="448"/>
              </w:numPr>
              <w:spacing w:before="0" w:after="0"/>
              <w:ind w:hanging="210"/>
              <w:jc w:val="left"/>
              <w:rPr>
                <w:szCs w:val="24"/>
              </w:rPr>
            </w:pPr>
            <w:r>
              <w:rPr>
                <w:szCs w:val="24"/>
              </w:rPr>
              <w:t>les entreprises utilisant le bois comme matière première (charpente, menuiserie, ébénisterie…)</w:t>
            </w:r>
          </w:p>
          <w:p w:rsidR="0035701C" w:rsidRDefault="00FB561B" w:rsidP="00FB561B">
            <w:pPr>
              <w:numPr>
                <w:ilvl w:val="0"/>
                <w:numId w:val="448"/>
              </w:numPr>
              <w:spacing w:before="0" w:after="0"/>
              <w:ind w:hanging="210"/>
              <w:jc w:val="left"/>
              <w:rPr>
                <w:szCs w:val="24"/>
              </w:rPr>
            </w:pPr>
            <w:r>
              <w:rPr>
                <w:szCs w:val="24"/>
              </w:rPr>
              <w:t>les micro-entreprises de transformation de denrées alimentaires.</w:t>
            </w:r>
          </w:p>
          <w:p w:rsidR="0035701C" w:rsidRDefault="00FB561B" w:rsidP="00FB561B">
            <w:pPr>
              <w:numPr>
                <w:ilvl w:val="0"/>
                <w:numId w:val="448"/>
              </w:numPr>
              <w:spacing w:before="0" w:after="0"/>
              <w:ind w:hanging="210"/>
              <w:jc w:val="left"/>
              <w:rPr>
                <w:szCs w:val="24"/>
              </w:rPr>
            </w:pPr>
            <w:r>
              <w:rPr>
                <w:szCs w:val="24"/>
              </w:rPr>
              <w:t>le commerce de proximité et le développement d</w:t>
            </w:r>
            <w:r>
              <w:rPr>
                <w:szCs w:val="24"/>
              </w:rPr>
              <w:t>es circuits courts</w:t>
            </w:r>
          </w:p>
          <w:p w:rsidR="0035701C" w:rsidRDefault="00FB561B" w:rsidP="00FB561B">
            <w:pPr>
              <w:numPr>
                <w:ilvl w:val="0"/>
                <w:numId w:val="448"/>
              </w:numPr>
              <w:spacing w:before="0" w:after="240"/>
              <w:ind w:hanging="210"/>
              <w:jc w:val="left"/>
              <w:rPr>
                <w:szCs w:val="24"/>
              </w:rPr>
            </w:pPr>
            <w:r>
              <w:rPr>
                <w:szCs w:val="24"/>
              </w:rPr>
              <w:t>les acteurs de l'économie sociale et solidaire pour l’accueil de publics</w:t>
            </w:r>
          </w:p>
          <w:p w:rsidR="0035701C" w:rsidRDefault="0035701C">
            <w:pPr>
              <w:pStyle w:val="Corpsdetexte"/>
            </w:pPr>
          </w:p>
        </w:tc>
      </w:tr>
    </w:tbl>
    <w:p w:rsidR="0035701C" w:rsidRDefault="00FB561B">
      <w:pPr>
        <w:pStyle w:val="Titre4"/>
        <w:jc w:val="left"/>
      </w:pPr>
      <w:r>
        <w:t>Caractère vérifiable et contrôlable des mesures et/ou types d'opérations</w:t>
      </w:r>
    </w:p>
    <w:p w:rsidR="0035701C" w:rsidRDefault="00FB561B">
      <w:pPr>
        <w:pStyle w:val="Titre5"/>
        <w:rPr>
          <w:b w:val="0"/>
        </w:rPr>
      </w:pPr>
      <w:r>
        <w:rPr>
          <w:b w:val="0"/>
        </w:rPr>
        <w:t>Risque(s) dans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t xml:space="preserve">Évaluation </w:t>
      </w:r>
      <w:r>
        <w:rPr>
          <w:b w:val="0"/>
        </w:rPr>
        <w:t>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4"/>
        <w:jc w:val="left"/>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4"/>
        <w:jc w:val="left"/>
      </w:pPr>
      <w:r>
        <w:t>Informations spécifiques sur la mesure</w:t>
      </w:r>
    </w:p>
    <w:p w:rsidR="0035701C" w:rsidRDefault="00FB561B">
      <w:r>
        <w:t xml:space="preserve">Définition de la notion de «petites exploitations» visée à l’article 19, paragraphe 1, point a) iii), du règlement (UE) </w:t>
      </w:r>
      <w:r>
        <w:t>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spacing w:after="100"/>
      </w:pPr>
      <w:r>
        <w:t>Définition du seuil plancher et du plafond prévus à l’article 19, paragraphe 4, troisième alinéa,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spacing w:after="100"/>
            </w:pPr>
          </w:p>
        </w:tc>
      </w:tr>
    </w:tbl>
    <w:p w:rsidR="0035701C" w:rsidRDefault="00FB561B">
      <w:pPr>
        <w:spacing w:after="100"/>
      </w:pPr>
      <w:r>
        <w:t>Conditions spécifiques de soutien aux jeunes agriculteurs lorsqu’ils ne s’installent pas en qualité de che</w:t>
      </w:r>
      <w:r>
        <w:t>f d’exploitation exclusif, conformément à l’article 2, paragraphes 1 et 2,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spacing w:after="100"/>
            </w:pPr>
          </w:p>
        </w:tc>
      </w:tr>
    </w:tbl>
    <w:p w:rsidR="0035701C" w:rsidRDefault="00FB561B">
      <w:pPr>
        <w:spacing w:after="100"/>
      </w:pPr>
      <w:r>
        <w:t>Informations sur l’application du délai de grâce visé à l’article 2, paragraphe 3,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spacing w:after="100"/>
            </w:pPr>
          </w:p>
        </w:tc>
      </w:tr>
    </w:tbl>
    <w:p w:rsidR="0035701C" w:rsidRDefault="00FB561B">
      <w:pPr>
        <w:spacing w:after="100"/>
      </w:pPr>
      <w:r>
        <w:t xml:space="preserve">Résumé des </w:t>
      </w:r>
      <w:r>
        <w:t>exigences du plan d'entreprise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spacing w:after="100"/>
            </w:pPr>
          </w:p>
        </w:tc>
      </w:tr>
    </w:tbl>
    <w:p w:rsidR="0035701C" w:rsidRDefault="00FB561B">
      <w:pPr>
        <w:spacing w:after="100"/>
      </w:pPr>
      <w:r>
        <w:t>Utilisation de la possibilité de combiner différentes mesures par l'intermédiaire du plan d'entreprise donnant accès à ces mesures au jeune agriculteur</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spacing w:after="100"/>
            </w:pPr>
          </w:p>
        </w:tc>
      </w:tr>
    </w:tbl>
    <w:p w:rsidR="0035701C" w:rsidRDefault="00FB561B">
      <w:pPr>
        <w:spacing w:after="100"/>
      </w:pPr>
      <w:r>
        <w:t>Domaines couverts par la diversification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Secteurs qui relèvent de</w:t>
            </w:r>
            <w:r>
              <w:rPr>
                <w:szCs w:val="24"/>
              </w:rPr>
              <w:t xml:space="preserve"> l'économie rurale locale, notamment :</w:t>
            </w:r>
          </w:p>
          <w:p w:rsidR="0035701C" w:rsidRDefault="00FB561B" w:rsidP="00FB561B">
            <w:pPr>
              <w:numPr>
                <w:ilvl w:val="0"/>
                <w:numId w:val="449"/>
              </w:numPr>
              <w:spacing w:before="240" w:after="0"/>
              <w:ind w:hanging="210"/>
              <w:jc w:val="left"/>
              <w:rPr>
                <w:szCs w:val="24"/>
              </w:rPr>
            </w:pPr>
            <w:r>
              <w:rPr>
                <w:szCs w:val="24"/>
              </w:rPr>
              <w:t>le  secteur de l’hébergement et de l’offre touristique, et de loisir,</w:t>
            </w:r>
          </w:p>
          <w:p w:rsidR="0035701C" w:rsidRDefault="00FB561B" w:rsidP="00FB561B">
            <w:pPr>
              <w:numPr>
                <w:ilvl w:val="0"/>
                <w:numId w:val="449"/>
              </w:numPr>
              <w:spacing w:before="0" w:after="0"/>
              <w:ind w:hanging="210"/>
              <w:jc w:val="left"/>
              <w:rPr>
                <w:szCs w:val="24"/>
              </w:rPr>
            </w:pPr>
            <w:r>
              <w:rPr>
                <w:szCs w:val="24"/>
              </w:rPr>
              <w:t>les entreprises de services et notamment celles dédiées aux services à la personne en milieu rural,</w:t>
            </w:r>
          </w:p>
          <w:p w:rsidR="0035701C" w:rsidRDefault="00FB561B" w:rsidP="00FB561B">
            <w:pPr>
              <w:numPr>
                <w:ilvl w:val="0"/>
                <w:numId w:val="449"/>
              </w:numPr>
              <w:spacing w:before="0" w:after="0"/>
              <w:ind w:hanging="210"/>
              <w:jc w:val="left"/>
              <w:rPr>
                <w:szCs w:val="24"/>
              </w:rPr>
            </w:pPr>
            <w:r>
              <w:rPr>
                <w:szCs w:val="24"/>
              </w:rPr>
              <w:t xml:space="preserve">l’artisanat, valorisant des ressources locales </w:t>
            </w:r>
            <w:r>
              <w:rPr>
                <w:szCs w:val="24"/>
              </w:rPr>
              <w:t>ou le patrimoine,</w:t>
            </w:r>
          </w:p>
          <w:p w:rsidR="0035701C" w:rsidRDefault="00FB561B" w:rsidP="00FB561B">
            <w:pPr>
              <w:numPr>
                <w:ilvl w:val="0"/>
                <w:numId w:val="449"/>
              </w:numPr>
              <w:spacing w:before="0" w:after="0"/>
              <w:ind w:hanging="210"/>
              <w:jc w:val="left"/>
              <w:rPr>
                <w:szCs w:val="24"/>
              </w:rPr>
            </w:pPr>
            <w:r>
              <w:rPr>
                <w:szCs w:val="24"/>
              </w:rPr>
              <w:t>les micro-entreprises de travaux forestiers répondant aux attentes des clientèles implantées sur les territoires ruraux</w:t>
            </w:r>
          </w:p>
          <w:p w:rsidR="0035701C" w:rsidRDefault="00FB561B" w:rsidP="00FB561B">
            <w:pPr>
              <w:numPr>
                <w:ilvl w:val="0"/>
                <w:numId w:val="449"/>
              </w:numPr>
              <w:spacing w:before="0" w:after="0"/>
              <w:ind w:hanging="210"/>
              <w:jc w:val="left"/>
              <w:rPr>
                <w:szCs w:val="24"/>
              </w:rPr>
            </w:pPr>
            <w:r>
              <w:rPr>
                <w:szCs w:val="24"/>
              </w:rPr>
              <w:t>les entreprises utilisant le bois comme matière première (charpente, menuiserie, ébénisterie…)</w:t>
            </w:r>
          </w:p>
          <w:p w:rsidR="0035701C" w:rsidRDefault="00FB561B" w:rsidP="00FB561B">
            <w:pPr>
              <w:numPr>
                <w:ilvl w:val="0"/>
                <w:numId w:val="449"/>
              </w:numPr>
              <w:spacing w:before="0" w:after="240"/>
              <w:ind w:hanging="210"/>
              <w:jc w:val="left"/>
              <w:rPr>
                <w:szCs w:val="24"/>
              </w:rPr>
            </w:pPr>
            <w:r>
              <w:rPr>
                <w:szCs w:val="24"/>
              </w:rPr>
              <w:t>les micro-entreprises d</w:t>
            </w:r>
            <w:r>
              <w:rPr>
                <w:szCs w:val="24"/>
              </w:rPr>
              <w:t>e transformation de denrées alimentaires.</w:t>
            </w:r>
          </w:p>
          <w:p w:rsidR="0035701C" w:rsidRDefault="0035701C">
            <w:pPr>
              <w:pStyle w:val="Corpsdetexte"/>
              <w:spacing w:after="100"/>
            </w:pPr>
          </w:p>
        </w:tc>
      </w:tr>
    </w:tbl>
    <w:p w:rsidR="0035701C" w:rsidRDefault="00FB561B">
      <w:pPr>
        <w:pStyle w:val="Titre4"/>
        <w:spacing w:after="100"/>
        <w:jc w:val="left"/>
      </w:pPr>
      <w:r>
        <w:t>Autres remarques importantes pour comprendre et mettre en œuvre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3"/>
        <w:jc w:val="left"/>
      </w:pPr>
      <w:r>
        <w:br w:type="page"/>
      </w:r>
      <w:bookmarkStart w:id="107" w:name="_Toc256000106"/>
      <w:r>
        <w:t>M07 - Services de base et rénovation des villages dans les zones rurales (article 20)</w:t>
      </w:r>
      <w:bookmarkEnd w:id="107"/>
      <w:r>
        <w:t xml:space="preserve"> </w:t>
      </w:r>
    </w:p>
    <w:p w:rsidR="0035701C" w:rsidRDefault="00FB561B">
      <w:pPr>
        <w:pStyle w:val="Titre4"/>
        <w:jc w:val="left"/>
      </w:pPr>
      <w:r>
        <w:t>Base juridique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Article 20 règlement (UE) n° </w:t>
            </w:r>
            <w:r>
              <w:rPr>
                <w:szCs w:val="24"/>
              </w:rPr>
              <w:t>1305/2013 du Parlement Européen et du Conseil du 17 décembre 2013 relatif au soutien au développement rural par le Fonds européen agricole pour le développement rural (Feader).</w:t>
            </w:r>
          </w:p>
          <w:p w:rsidR="0035701C" w:rsidRDefault="00FB561B">
            <w:pPr>
              <w:spacing w:before="240" w:after="240"/>
              <w:jc w:val="left"/>
              <w:rPr>
                <w:szCs w:val="24"/>
              </w:rPr>
            </w:pPr>
            <w:r>
              <w:rPr>
                <w:szCs w:val="24"/>
              </w:rPr>
              <w:t>Article 13 du  règlement délégué (UE) n°807/2014 de la Commission du 11 mars 20</w:t>
            </w:r>
            <w:r>
              <w:rPr>
                <w:szCs w:val="24"/>
              </w:rPr>
              <w:t>14 complétant le règlement (UE) n°1305/2013 du Parlement européen et du Conseil relatif au soutien au développement rural par le Fonds européen agricole pour le développement rural (Feader) et introduisant des dispositions transitoires.</w:t>
            </w:r>
          </w:p>
          <w:p w:rsidR="0035701C" w:rsidRDefault="00FB561B">
            <w:pPr>
              <w:spacing w:before="240" w:after="240"/>
              <w:jc w:val="left"/>
              <w:rPr>
                <w:szCs w:val="24"/>
              </w:rPr>
            </w:pPr>
            <w:r>
              <w:rPr>
                <w:szCs w:val="24"/>
              </w:rPr>
              <w:t>Article 45 du règle</w:t>
            </w:r>
            <w:r>
              <w:rPr>
                <w:szCs w:val="24"/>
              </w:rPr>
              <w:t>ment (UE) n° 1305/2013 du Parlement Européen et du Conseil du 17 décembre 2013 relatif au soutien au développement rural par le Fonds européen agricole pour le développement rural (Feader)</w:t>
            </w:r>
          </w:p>
          <w:p w:rsidR="0035701C" w:rsidRDefault="0035701C">
            <w:pPr>
              <w:pStyle w:val="Corpsdetexte"/>
            </w:pPr>
          </w:p>
        </w:tc>
      </w:tr>
    </w:tbl>
    <w:p w:rsidR="0035701C" w:rsidRDefault="00FB561B">
      <w:pPr>
        <w:pStyle w:val="Titre4"/>
        <w:jc w:val="left"/>
      </w:pPr>
      <w:r>
        <w:t>Description générale de la mesure, y compris sa logique d'interve</w:t>
      </w:r>
      <w:r>
        <w:t>ntion et sa contribution aux domaines prioritaires et à la réalisation des 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 recherche d’échelles d’actions efficientes, de l’équilibre et de l’équité entre les différentes composantes de l’île permet une meilleure prise en compte d</w:t>
            </w:r>
            <w:r>
              <w:rPr>
                <w:szCs w:val="24"/>
              </w:rPr>
              <w:t>es besoins des populations au travers d’approches territoriales intégrées.</w:t>
            </w:r>
          </w:p>
          <w:p w:rsidR="0035701C" w:rsidRDefault="00FB561B">
            <w:pPr>
              <w:spacing w:before="240" w:after="240"/>
              <w:jc w:val="left"/>
              <w:rPr>
                <w:szCs w:val="24"/>
              </w:rPr>
            </w:pPr>
            <w:r>
              <w:rPr>
                <w:szCs w:val="24"/>
              </w:rPr>
              <w:t>En dépit des progrès réalisés depuis une dizaine d’années, des faiblesses structurelles subsistent dans l’espace rural insulaire. Malgré le frémissement démographique de ces dernièr</w:t>
            </w:r>
            <w:r>
              <w:rPr>
                <w:szCs w:val="24"/>
              </w:rPr>
              <w:t>es années, la polarisation littorale se confirme au détriment d’espaces plus contraints comme les zones rurales et de montagne. </w:t>
            </w:r>
          </w:p>
          <w:p w:rsidR="0035701C" w:rsidRDefault="00FB561B">
            <w:pPr>
              <w:spacing w:before="240" w:after="240"/>
              <w:jc w:val="left"/>
              <w:rPr>
                <w:szCs w:val="24"/>
              </w:rPr>
            </w:pPr>
            <w:r>
              <w:rPr>
                <w:szCs w:val="24"/>
              </w:rPr>
              <w:t>En effet, l’espace insulaire se caractérise principalement par :</w:t>
            </w:r>
          </w:p>
          <w:p w:rsidR="0035701C" w:rsidRDefault="00FB561B">
            <w:pPr>
              <w:spacing w:before="240" w:after="240"/>
              <w:jc w:val="left"/>
              <w:rPr>
                <w:szCs w:val="24"/>
              </w:rPr>
            </w:pPr>
            <w:r>
              <w:rPr>
                <w:szCs w:val="24"/>
              </w:rPr>
              <w:t>-Une répartition spatiale déséquilibrée</w:t>
            </w:r>
            <w:r>
              <w:rPr>
                <w:b/>
                <w:bCs/>
                <w:szCs w:val="24"/>
              </w:rPr>
              <w:t> : plus de 80 % de la p</w:t>
            </w:r>
            <w:r>
              <w:rPr>
                <w:b/>
                <w:bCs/>
                <w:szCs w:val="24"/>
              </w:rPr>
              <w:t>opulation se concentre sur 20 % du territoire, essentiellement sur le littoral et dans les deux grandes agglomérations d’Ajaccio et de Bastia.</w:t>
            </w:r>
            <w:r>
              <w:rPr>
                <w:szCs w:val="24"/>
              </w:rPr>
              <w:t xml:space="preserve"> </w:t>
            </w:r>
            <w:r>
              <w:rPr>
                <w:b/>
                <w:bCs/>
                <w:szCs w:val="24"/>
              </w:rPr>
              <w:t>42% de la population et 53% des emplois insulaires sont concentrés sur les 2 agglomérations ajaccienne et bastiai</w:t>
            </w:r>
            <w:r>
              <w:rPr>
                <w:b/>
                <w:bCs/>
                <w:szCs w:val="24"/>
              </w:rPr>
              <w:t>se et sur un peu plus de 2% de la superficie régionale.</w:t>
            </w:r>
          </w:p>
          <w:p w:rsidR="0035701C" w:rsidRDefault="00FB561B">
            <w:pPr>
              <w:spacing w:before="240" w:after="240"/>
              <w:jc w:val="left"/>
              <w:rPr>
                <w:szCs w:val="24"/>
              </w:rPr>
            </w:pPr>
            <w:r>
              <w:rPr>
                <w:szCs w:val="24"/>
              </w:rPr>
              <w:t> </w:t>
            </w:r>
          </w:p>
          <w:p w:rsidR="0035701C" w:rsidRDefault="00FB561B" w:rsidP="00FB561B">
            <w:pPr>
              <w:numPr>
                <w:ilvl w:val="0"/>
                <w:numId w:val="450"/>
              </w:numPr>
              <w:spacing w:before="240" w:after="240"/>
              <w:ind w:hanging="210"/>
              <w:jc w:val="left"/>
              <w:rPr>
                <w:szCs w:val="24"/>
              </w:rPr>
            </w:pPr>
            <w:r>
              <w:rPr>
                <w:b/>
                <w:bCs/>
                <w:szCs w:val="24"/>
              </w:rPr>
              <w:t>Une polarisation de l’emploi</w:t>
            </w:r>
            <w:r>
              <w:rPr>
                <w:szCs w:val="24"/>
              </w:rPr>
              <w:t xml:space="preserve"> induite par le poids de ces </w:t>
            </w:r>
            <w:r>
              <w:rPr>
                <w:b/>
                <w:bCs/>
                <w:szCs w:val="24"/>
              </w:rPr>
              <w:t>deux agglomérations</w:t>
            </w:r>
            <w:r>
              <w:rPr>
                <w:szCs w:val="24"/>
              </w:rPr>
              <w:t xml:space="preserve"> qui exercent une </w:t>
            </w:r>
            <w:r>
              <w:rPr>
                <w:b/>
                <w:bCs/>
                <w:szCs w:val="24"/>
              </w:rPr>
              <w:t>forte attraction</w:t>
            </w:r>
            <w:r>
              <w:rPr>
                <w:szCs w:val="24"/>
              </w:rPr>
              <w:t xml:space="preserve"> sur les communes voisines ; l’urbanisation rapide, parfois désordonnée, du périurbain a entrainé une multiplication par 3 en 10 ans du nombre de communes constituant cette couronne périurbaine ou espaces « mixtes » encore à définir dans leur statut, fonct</w:t>
            </w:r>
            <w:r>
              <w:rPr>
                <w:szCs w:val="24"/>
              </w:rPr>
              <w:t>ionnalité, et identité, gagnant chaque année un peu plus de foncier renforcé par la prédominance du logement individuel.</w:t>
            </w:r>
          </w:p>
          <w:p w:rsidR="0035701C" w:rsidRDefault="00FB561B">
            <w:pPr>
              <w:spacing w:before="240" w:after="240"/>
              <w:ind w:left="720"/>
              <w:jc w:val="left"/>
              <w:rPr>
                <w:szCs w:val="24"/>
              </w:rPr>
            </w:pPr>
            <w:r>
              <w:rPr>
                <w:szCs w:val="24"/>
              </w:rPr>
              <w:t> </w:t>
            </w:r>
          </w:p>
          <w:p w:rsidR="0035701C" w:rsidRDefault="00FB561B" w:rsidP="00FB561B">
            <w:pPr>
              <w:numPr>
                <w:ilvl w:val="0"/>
                <w:numId w:val="451"/>
              </w:numPr>
              <w:spacing w:before="240" w:after="240"/>
              <w:ind w:hanging="210"/>
              <w:jc w:val="left"/>
              <w:rPr>
                <w:szCs w:val="24"/>
              </w:rPr>
            </w:pPr>
            <w:r>
              <w:rPr>
                <w:b/>
                <w:bCs/>
                <w:szCs w:val="24"/>
              </w:rPr>
              <w:t xml:space="preserve">Une polarisation littorale : </w:t>
            </w:r>
            <w:r>
              <w:rPr>
                <w:szCs w:val="24"/>
              </w:rPr>
              <w:t>les communes littorales de Corse concentrent 80% de la population régionale avec une densité de populati</w:t>
            </w:r>
            <w:r>
              <w:rPr>
                <w:szCs w:val="24"/>
              </w:rPr>
              <w:t xml:space="preserve">on de 65 habitants au km², tandis que les communes non littorales ne comptent que 13 habitants/km2 dynamisés par le poids du secteur touristique. </w:t>
            </w:r>
            <w:r>
              <w:rPr>
                <w:b/>
                <w:bCs/>
                <w:szCs w:val="24"/>
              </w:rPr>
              <w:t>Les communes rurales les plus dynamiques </w:t>
            </w:r>
            <w:r>
              <w:rPr>
                <w:szCs w:val="24"/>
              </w:rPr>
              <w:t>sont d’ailleurs principalement situées</w:t>
            </w:r>
            <w:r>
              <w:rPr>
                <w:b/>
                <w:bCs/>
                <w:szCs w:val="24"/>
              </w:rPr>
              <w:t xml:space="preserve"> sur le littoral </w:t>
            </w:r>
            <w:r>
              <w:rPr>
                <w:szCs w:val="24"/>
              </w:rPr>
              <w:t> </w:t>
            </w:r>
          </w:p>
          <w:p w:rsidR="0035701C" w:rsidRDefault="00FB561B">
            <w:pPr>
              <w:spacing w:before="240" w:after="240"/>
              <w:jc w:val="left"/>
              <w:rPr>
                <w:szCs w:val="24"/>
              </w:rPr>
            </w:pPr>
            <w:r>
              <w:rPr>
                <w:szCs w:val="24"/>
              </w:rPr>
              <w:t> </w:t>
            </w:r>
          </w:p>
          <w:p w:rsidR="0035701C" w:rsidRDefault="00FB561B" w:rsidP="00FB561B">
            <w:pPr>
              <w:numPr>
                <w:ilvl w:val="0"/>
                <w:numId w:val="452"/>
              </w:numPr>
              <w:spacing w:before="240" w:after="240"/>
              <w:ind w:hanging="210"/>
              <w:jc w:val="left"/>
              <w:rPr>
                <w:szCs w:val="24"/>
              </w:rPr>
            </w:pPr>
            <w:r>
              <w:rPr>
                <w:b/>
                <w:bCs/>
                <w:szCs w:val="24"/>
              </w:rPr>
              <w:t xml:space="preserve">Un espace </w:t>
            </w:r>
            <w:r>
              <w:rPr>
                <w:b/>
                <w:bCs/>
                <w:szCs w:val="24"/>
              </w:rPr>
              <w:t>rural prééminent couvrant</w:t>
            </w:r>
            <w:r>
              <w:rPr>
                <w:szCs w:val="24"/>
              </w:rPr>
              <w:t xml:space="preserve"> près de </w:t>
            </w:r>
            <w:r>
              <w:rPr>
                <w:b/>
                <w:bCs/>
                <w:szCs w:val="24"/>
              </w:rPr>
              <w:t xml:space="preserve">80% du territoire régional </w:t>
            </w:r>
            <w:r>
              <w:rPr>
                <w:szCs w:val="24"/>
              </w:rPr>
              <w:t>(97% des communes sur les 360 communes insulaires), et un grand nombre de petites communes</w:t>
            </w:r>
          </w:p>
          <w:p w:rsidR="0035701C" w:rsidRDefault="00FB561B">
            <w:pPr>
              <w:spacing w:before="240" w:after="240"/>
              <w:ind w:left="720"/>
              <w:jc w:val="left"/>
              <w:rPr>
                <w:szCs w:val="24"/>
              </w:rPr>
            </w:pPr>
            <w:r>
              <w:rPr>
                <w:szCs w:val="24"/>
              </w:rPr>
              <w:t> </w:t>
            </w:r>
          </w:p>
          <w:p w:rsidR="0035701C" w:rsidRDefault="00FB561B" w:rsidP="00FB561B">
            <w:pPr>
              <w:numPr>
                <w:ilvl w:val="0"/>
                <w:numId w:val="453"/>
              </w:numPr>
              <w:spacing w:before="240" w:after="240"/>
              <w:ind w:hanging="210"/>
              <w:jc w:val="left"/>
              <w:rPr>
                <w:szCs w:val="24"/>
              </w:rPr>
            </w:pPr>
            <w:r>
              <w:rPr>
                <w:b/>
                <w:bCs/>
                <w:szCs w:val="24"/>
              </w:rPr>
              <w:t>Un territoire rural faiblement peuplé</w:t>
            </w:r>
            <w:r>
              <w:rPr>
                <w:szCs w:val="24"/>
              </w:rPr>
              <w:t> : 16 habitants au km², une densité de population deux fois infér</w:t>
            </w:r>
            <w:r>
              <w:rPr>
                <w:szCs w:val="24"/>
              </w:rPr>
              <w:t>ieure au rural métropolitain ; seulement 28 communes ont franchi le seuil des 2 000 habitants alors que plus de 100 comptent moins de 100 habitants.</w:t>
            </w:r>
          </w:p>
          <w:p w:rsidR="0035701C" w:rsidRDefault="00FB561B">
            <w:pPr>
              <w:spacing w:before="240" w:after="240"/>
              <w:ind w:left="720"/>
              <w:jc w:val="left"/>
              <w:rPr>
                <w:szCs w:val="24"/>
              </w:rPr>
            </w:pPr>
            <w:r>
              <w:rPr>
                <w:szCs w:val="24"/>
              </w:rPr>
              <w:t> </w:t>
            </w:r>
          </w:p>
          <w:p w:rsidR="0035701C" w:rsidRDefault="00FB561B" w:rsidP="00FB561B">
            <w:pPr>
              <w:numPr>
                <w:ilvl w:val="0"/>
                <w:numId w:val="454"/>
              </w:numPr>
              <w:spacing w:before="240" w:after="240"/>
              <w:ind w:hanging="210"/>
              <w:jc w:val="left"/>
              <w:rPr>
                <w:szCs w:val="24"/>
              </w:rPr>
            </w:pPr>
            <w:r>
              <w:rPr>
                <w:b/>
                <w:bCs/>
                <w:szCs w:val="24"/>
              </w:rPr>
              <w:t>Une déprise humaine</w:t>
            </w:r>
            <w:r>
              <w:rPr>
                <w:szCs w:val="24"/>
              </w:rPr>
              <w:t xml:space="preserve"> de nombreux petits villages et bourgs au profit du développement urbain et périurbain conduisant à une </w:t>
            </w:r>
            <w:r>
              <w:rPr>
                <w:b/>
                <w:bCs/>
                <w:szCs w:val="24"/>
              </w:rPr>
              <w:t>perte de fonctionnalité</w:t>
            </w:r>
            <w:r>
              <w:rPr>
                <w:szCs w:val="24"/>
              </w:rPr>
              <w:t xml:space="preserve"> et à </w:t>
            </w:r>
            <w:r>
              <w:rPr>
                <w:b/>
                <w:bCs/>
                <w:szCs w:val="24"/>
              </w:rPr>
              <w:t>l’affaiblissement des centres anciens</w:t>
            </w:r>
            <w:r>
              <w:rPr>
                <w:szCs w:val="24"/>
              </w:rPr>
              <w:t>.</w:t>
            </w:r>
          </w:p>
          <w:p w:rsidR="0035701C" w:rsidRDefault="00FB561B">
            <w:pPr>
              <w:spacing w:before="240" w:after="240"/>
              <w:ind w:left="720"/>
              <w:jc w:val="left"/>
              <w:rPr>
                <w:szCs w:val="24"/>
              </w:rPr>
            </w:pPr>
            <w:r>
              <w:rPr>
                <w:szCs w:val="24"/>
              </w:rPr>
              <w:t> </w:t>
            </w:r>
          </w:p>
          <w:p w:rsidR="0035701C" w:rsidRDefault="00FB561B" w:rsidP="00FB561B">
            <w:pPr>
              <w:numPr>
                <w:ilvl w:val="0"/>
                <w:numId w:val="455"/>
              </w:numPr>
              <w:spacing w:before="240" w:after="240"/>
              <w:ind w:hanging="210"/>
              <w:jc w:val="left"/>
              <w:rPr>
                <w:szCs w:val="24"/>
              </w:rPr>
            </w:pPr>
            <w:r>
              <w:rPr>
                <w:b/>
                <w:bCs/>
                <w:szCs w:val="24"/>
              </w:rPr>
              <w:t>Une économie résidentielle</w:t>
            </w:r>
            <w:r>
              <w:rPr>
                <w:szCs w:val="24"/>
              </w:rPr>
              <w:t xml:space="preserve"> caractéristique de ces territoires où 39 % de la popula</w:t>
            </w:r>
            <w:r>
              <w:rPr>
                <w:szCs w:val="24"/>
              </w:rPr>
              <w:t>tion insulaire y réside néanmoins, soit la plus forte proportion de toutes les régions métropolitaines.</w:t>
            </w:r>
          </w:p>
          <w:p w:rsidR="0035701C" w:rsidRDefault="00FB561B">
            <w:pPr>
              <w:spacing w:before="240" w:after="240"/>
              <w:jc w:val="left"/>
              <w:rPr>
                <w:szCs w:val="24"/>
              </w:rPr>
            </w:pPr>
            <w:r>
              <w:rPr>
                <w:szCs w:val="24"/>
              </w:rPr>
              <w:t> </w:t>
            </w:r>
          </w:p>
          <w:p w:rsidR="0035701C" w:rsidRDefault="00FB561B" w:rsidP="00FB561B">
            <w:pPr>
              <w:numPr>
                <w:ilvl w:val="0"/>
                <w:numId w:val="456"/>
              </w:numPr>
              <w:spacing w:before="240" w:after="240"/>
              <w:ind w:hanging="210"/>
              <w:jc w:val="left"/>
              <w:rPr>
                <w:szCs w:val="24"/>
              </w:rPr>
            </w:pPr>
            <w:r>
              <w:rPr>
                <w:b/>
                <w:bCs/>
                <w:szCs w:val="24"/>
              </w:rPr>
              <w:t>Un vieillissement de la population</w:t>
            </w:r>
            <w:r>
              <w:rPr>
                <w:szCs w:val="24"/>
              </w:rPr>
              <w:t> : En 2010, 104 000 seniors de plus de 55 ans vivent en Corse, soit un habitant sur trois, et sont très présents dan</w:t>
            </w:r>
            <w:r>
              <w:rPr>
                <w:szCs w:val="24"/>
              </w:rPr>
              <w:t>s le rural.</w:t>
            </w:r>
          </w:p>
          <w:p w:rsidR="0035701C" w:rsidRDefault="00FB561B">
            <w:pPr>
              <w:spacing w:before="240" w:after="240"/>
              <w:jc w:val="left"/>
              <w:rPr>
                <w:szCs w:val="24"/>
              </w:rPr>
            </w:pPr>
            <w:r>
              <w:rPr>
                <w:szCs w:val="24"/>
              </w:rPr>
              <w:t> </w:t>
            </w:r>
          </w:p>
          <w:p w:rsidR="0035701C" w:rsidRDefault="00FB561B" w:rsidP="00FB561B">
            <w:pPr>
              <w:numPr>
                <w:ilvl w:val="0"/>
                <w:numId w:val="457"/>
              </w:numPr>
              <w:spacing w:before="240" w:after="240"/>
              <w:ind w:hanging="210"/>
              <w:jc w:val="left"/>
              <w:rPr>
                <w:szCs w:val="24"/>
              </w:rPr>
            </w:pPr>
            <w:r>
              <w:rPr>
                <w:szCs w:val="24"/>
              </w:rPr>
              <w:t xml:space="preserve">Des </w:t>
            </w:r>
            <w:r>
              <w:rPr>
                <w:b/>
                <w:bCs/>
                <w:szCs w:val="24"/>
              </w:rPr>
              <w:t xml:space="preserve">enjeux d’équilibre spatial </w:t>
            </w:r>
            <w:r>
              <w:rPr>
                <w:szCs w:val="24"/>
              </w:rPr>
              <w:t xml:space="preserve">et socio-économique notamment en matière de </w:t>
            </w:r>
            <w:r>
              <w:rPr>
                <w:b/>
                <w:bCs/>
                <w:szCs w:val="24"/>
              </w:rPr>
              <w:t>foncier</w:t>
            </w:r>
            <w:r>
              <w:rPr>
                <w:szCs w:val="24"/>
              </w:rPr>
              <w:t> : des besoins en agriculture face à une emprise foncière et économique du secteur touristique.</w:t>
            </w:r>
          </w:p>
          <w:p w:rsidR="0035701C" w:rsidRDefault="00FB561B">
            <w:pPr>
              <w:spacing w:before="240" w:after="240"/>
              <w:jc w:val="left"/>
              <w:rPr>
                <w:szCs w:val="24"/>
              </w:rPr>
            </w:pPr>
            <w:r>
              <w:rPr>
                <w:szCs w:val="24"/>
              </w:rPr>
              <w:t> </w:t>
            </w:r>
          </w:p>
          <w:p w:rsidR="0035701C" w:rsidRDefault="00FB561B" w:rsidP="00FB561B">
            <w:pPr>
              <w:numPr>
                <w:ilvl w:val="0"/>
                <w:numId w:val="458"/>
              </w:numPr>
              <w:spacing w:before="240" w:after="240"/>
              <w:ind w:hanging="210"/>
              <w:jc w:val="left"/>
              <w:rPr>
                <w:szCs w:val="24"/>
              </w:rPr>
            </w:pPr>
            <w:r>
              <w:rPr>
                <w:b/>
                <w:bCs/>
                <w:szCs w:val="24"/>
              </w:rPr>
              <w:t>Une grande partie des</w:t>
            </w:r>
            <w:r>
              <w:rPr>
                <w:szCs w:val="24"/>
              </w:rPr>
              <w:t xml:space="preserve"> </w:t>
            </w:r>
            <w:r>
              <w:rPr>
                <w:b/>
                <w:bCs/>
                <w:szCs w:val="24"/>
              </w:rPr>
              <w:t>espaces ruraux situés en montagne :</w:t>
            </w:r>
            <w:r>
              <w:rPr>
                <w:szCs w:val="24"/>
              </w:rPr>
              <w:t xml:space="preserve"> une densité de population très faible (7 hab/km2) au sein d’un espace sous-peuplé et insuffisamment desservi en services fondamentaux. Ce qui va se traduire par des enjeux </w:t>
            </w:r>
            <w:r>
              <w:rPr>
                <w:b/>
                <w:bCs/>
                <w:szCs w:val="24"/>
              </w:rPr>
              <w:t>d’accessibilité des territoires</w:t>
            </w:r>
            <w:r>
              <w:rPr>
                <w:szCs w:val="24"/>
              </w:rPr>
              <w:t>  au niveau des infrastructures économiques et physi</w:t>
            </w:r>
            <w:r>
              <w:rPr>
                <w:szCs w:val="24"/>
              </w:rPr>
              <w:t>ques, une gestion territorialisée des besoins et des ressources en termes d'usages</w:t>
            </w:r>
          </w:p>
          <w:p w:rsidR="0035701C" w:rsidRDefault="00FB561B">
            <w:pPr>
              <w:spacing w:before="240" w:after="240"/>
              <w:jc w:val="left"/>
              <w:rPr>
                <w:szCs w:val="24"/>
              </w:rPr>
            </w:pPr>
            <w:r>
              <w:rPr>
                <w:szCs w:val="24"/>
              </w:rPr>
              <w:t> </w:t>
            </w:r>
          </w:p>
          <w:p w:rsidR="0035701C" w:rsidRDefault="00FB561B" w:rsidP="00FB561B">
            <w:pPr>
              <w:numPr>
                <w:ilvl w:val="0"/>
                <w:numId w:val="459"/>
              </w:numPr>
              <w:spacing w:before="240" w:after="240"/>
              <w:ind w:hanging="210"/>
              <w:jc w:val="left"/>
              <w:rPr>
                <w:szCs w:val="24"/>
              </w:rPr>
            </w:pPr>
            <w:r>
              <w:rPr>
                <w:b/>
                <w:bCs/>
                <w:szCs w:val="24"/>
              </w:rPr>
              <w:t>Un patrimoine naturel et culturel</w:t>
            </w:r>
            <w:r>
              <w:rPr>
                <w:szCs w:val="24"/>
              </w:rPr>
              <w:t xml:space="preserve"> riche et diversifié à protéger, restaurer et valoriser qui peut servir de levier au développement, le territoire corse étant couvert  à 83% par des espaces naturels (les espaces artificialisés ne couvrent que 1.2% du territoire) conférant à cet espace une</w:t>
            </w:r>
            <w:r>
              <w:rPr>
                <w:szCs w:val="24"/>
              </w:rPr>
              <w:t xml:space="preserve"> richesse environnementale faisant l’objet de démarches de protection et de préservation parmi lesquelles on compte notamment 89 sites Natura 2000.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xml:space="preserve">La mise en œuvre du FEADER cherchera donc à corriger les effets de ce déséquilibre structurel dans un </w:t>
            </w:r>
            <w:r>
              <w:rPr>
                <w:szCs w:val="24"/>
              </w:rPr>
              <w:t>souci d’égalité des territoires et de maintien de cohésion sociale et territoriale, en conformité avec le Plan d’Aménagement et de Développement Durable de la Corse. Les actions financées viseront un renforcement de l’attractivité des territoires ruraux et</w:t>
            </w:r>
            <w:r>
              <w:rPr>
                <w:szCs w:val="24"/>
              </w:rPr>
              <w:t xml:space="preserve"> à leur redynamisation. Elles contribueront à un rééquilibrage et à la réduction des inégalités par un développement territorial intégré.</w:t>
            </w:r>
          </w:p>
          <w:p w:rsidR="0035701C" w:rsidRDefault="00FB561B">
            <w:pPr>
              <w:spacing w:before="240" w:after="240"/>
              <w:jc w:val="left"/>
              <w:rPr>
                <w:szCs w:val="24"/>
              </w:rPr>
            </w:pPr>
            <w:r>
              <w:rPr>
                <w:szCs w:val="24"/>
              </w:rPr>
              <w:t>La mesure est centrée sur les besoins suivants :</w:t>
            </w:r>
          </w:p>
          <w:p w:rsidR="0035701C" w:rsidRDefault="00FB561B" w:rsidP="00FB561B">
            <w:pPr>
              <w:numPr>
                <w:ilvl w:val="0"/>
                <w:numId w:val="460"/>
              </w:numPr>
              <w:spacing w:before="240" w:after="0"/>
              <w:ind w:hanging="210"/>
              <w:jc w:val="left"/>
              <w:rPr>
                <w:szCs w:val="24"/>
              </w:rPr>
            </w:pPr>
            <w:r>
              <w:rPr>
                <w:szCs w:val="24"/>
              </w:rPr>
              <w:t xml:space="preserve">28 : Accompagner l'animation territoriale et l'ingénierie, notamment </w:t>
            </w:r>
            <w:r>
              <w:rPr>
                <w:szCs w:val="24"/>
              </w:rPr>
              <w:t>sur le foncier</w:t>
            </w:r>
          </w:p>
          <w:p w:rsidR="0035701C" w:rsidRDefault="00FB561B" w:rsidP="00FB561B">
            <w:pPr>
              <w:numPr>
                <w:ilvl w:val="0"/>
                <w:numId w:val="460"/>
              </w:numPr>
              <w:spacing w:before="0" w:after="0"/>
              <w:ind w:hanging="210"/>
              <w:jc w:val="left"/>
              <w:rPr>
                <w:szCs w:val="24"/>
              </w:rPr>
            </w:pPr>
            <w:r>
              <w:rPr>
                <w:szCs w:val="24"/>
              </w:rPr>
              <w:t>30 : Favoriser les approches du développement endogène visant à la valorisation des ressources productives, culturelles et patrimoniales des territoires</w:t>
            </w:r>
          </w:p>
          <w:p w:rsidR="0035701C" w:rsidRDefault="00FB561B" w:rsidP="00FB561B">
            <w:pPr>
              <w:numPr>
                <w:ilvl w:val="0"/>
                <w:numId w:val="460"/>
              </w:numPr>
              <w:spacing w:before="0" w:after="0"/>
              <w:ind w:hanging="210"/>
              <w:jc w:val="left"/>
              <w:rPr>
                <w:szCs w:val="24"/>
              </w:rPr>
            </w:pPr>
            <w:r>
              <w:rPr>
                <w:szCs w:val="24"/>
              </w:rPr>
              <w:t>31 : Développer la mise en place des services essentiels et l'accueil en milieu rural</w:t>
            </w:r>
          </w:p>
          <w:p w:rsidR="0035701C" w:rsidRDefault="00FB561B" w:rsidP="00FB561B">
            <w:pPr>
              <w:numPr>
                <w:ilvl w:val="0"/>
                <w:numId w:val="460"/>
              </w:numPr>
              <w:spacing w:before="0" w:after="0"/>
              <w:ind w:hanging="210"/>
              <w:jc w:val="left"/>
              <w:rPr>
                <w:szCs w:val="24"/>
              </w:rPr>
            </w:pPr>
            <w:r>
              <w:rPr>
                <w:szCs w:val="24"/>
              </w:rPr>
              <w:t>33</w:t>
            </w:r>
            <w:r>
              <w:rPr>
                <w:szCs w:val="24"/>
              </w:rPr>
              <w:t> : Maintenir une occupation du territoire et favoriser le lien social,</w:t>
            </w:r>
          </w:p>
          <w:p w:rsidR="0035701C" w:rsidRDefault="00FB561B" w:rsidP="00FB561B">
            <w:pPr>
              <w:numPr>
                <w:ilvl w:val="0"/>
                <w:numId w:val="460"/>
              </w:numPr>
              <w:spacing w:before="0" w:after="240"/>
              <w:ind w:hanging="210"/>
              <w:jc w:val="left"/>
              <w:rPr>
                <w:szCs w:val="24"/>
              </w:rPr>
            </w:pPr>
            <w:r>
              <w:rPr>
                <w:szCs w:val="24"/>
              </w:rPr>
              <w:t>34 : Favoriser un équilibre  territorial et économique entre le tourisme et les autres activités.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Ainsi au regard de ces principaux enjeux, la mesure 7 dédiée au développement rural p</w:t>
            </w:r>
            <w:r>
              <w:rPr>
                <w:b/>
                <w:bCs/>
                <w:szCs w:val="24"/>
              </w:rPr>
              <w:t xml:space="preserve">ermettra d’intervenir et d’amorcer des changements prioritairement au travers de 5 sous-mesures ciblées sur différentes priorités et domaines prioritaires : </w:t>
            </w:r>
          </w:p>
          <w:p w:rsidR="0035701C" w:rsidRDefault="00FB561B">
            <w:pPr>
              <w:spacing w:before="240" w:after="240"/>
              <w:ind w:left="1065"/>
              <w:jc w:val="left"/>
              <w:rPr>
                <w:szCs w:val="24"/>
              </w:rPr>
            </w:pPr>
            <w:r>
              <w:rPr>
                <w:szCs w:val="24"/>
              </w:rPr>
              <w:t> </w:t>
            </w:r>
          </w:p>
          <w:p w:rsidR="0035701C" w:rsidRDefault="00FB561B" w:rsidP="00FB561B">
            <w:pPr>
              <w:numPr>
                <w:ilvl w:val="0"/>
                <w:numId w:val="461"/>
              </w:numPr>
              <w:spacing w:before="240" w:after="0"/>
              <w:ind w:hanging="210"/>
              <w:jc w:val="left"/>
              <w:rPr>
                <w:szCs w:val="24"/>
              </w:rPr>
            </w:pPr>
            <w:r>
              <w:rPr>
                <w:szCs w:val="24"/>
              </w:rPr>
              <w:t>7.1 : Planification et regroupement du foncier (</w:t>
            </w:r>
            <w:r>
              <w:rPr>
                <w:b/>
                <w:bCs/>
                <w:szCs w:val="24"/>
              </w:rPr>
              <w:t>domaine prioritaire 6b)</w:t>
            </w:r>
            <w:r>
              <w:rPr>
                <w:szCs w:val="24"/>
              </w:rPr>
              <w:t xml:space="preserve"> </w:t>
            </w:r>
          </w:p>
          <w:p w:rsidR="0035701C" w:rsidRDefault="00FB561B" w:rsidP="00FB561B">
            <w:pPr>
              <w:numPr>
                <w:ilvl w:val="1"/>
                <w:numId w:val="461"/>
              </w:numPr>
              <w:spacing w:before="0" w:after="0"/>
              <w:ind w:hanging="244"/>
              <w:jc w:val="left"/>
              <w:rPr>
                <w:szCs w:val="24"/>
              </w:rPr>
            </w:pPr>
            <w:r>
              <w:rPr>
                <w:szCs w:val="24"/>
              </w:rPr>
              <w:t xml:space="preserve">Ce dispositif a pour </w:t>
            </w:r>
            <w:r>
              <w:rPr>
                <w:szCs w:val="24"/>
              </w:rPr>
              <w:t>principal objectif d’accompagner les territoires ruraux dans l’établissement et la mise à jour des plans de développement liés à la mobilisation du foncier dans une optique économique et environnementale.</w:t>
            </w:r>
          </w:p>
          <w:p w:rsidR="0035701C" w:rsidRDefault="00FB561B" w:rsidP="00FB561B">
            <w:pPr>
              <w:numPr>
                <w:ilvl w:val="0"/>
                <w:numId w:val="461"/>
              </w:numPr>
              <w:spacing w:before="0" w:after="0"/>
              <w:ind w:hanging="210"/>
              <w:jc w:val="left"/>
              <w:rPr>
                <w:szCs w:val="24"/>
              </w:rPr>
            </w:pPr>
            <w:r>
              <w:rPr>
                <w:szCs w:val="24"/>
              </w:rPr>
              <w:t>7.2 : Raccordement des agriculteurs au réseau élect</w:t>
            </w:r>
            <w:r>
              <w:rPr>
                <w:szCs w:val="24"/>
              </w:rPr>
              <w:t xml:space="preserve">rique : </w:t>
            </w:r>
            <w:r>
              <w:rPr>
                <w:b/>
                <w:bCs/>
                <w:szCs w:val="24"/>
              </w:rPr>
              <w:t>2a</w:t>
            </w:r>
            <w:r>
              <w:rPr>
                <w:szCs w:val="24"/>
              </w:rPr>
              <w:t xml:space="preserve"> </w:t>
            </w:r>
          </w:p>
          <w:p w:rsidR="0035701C" w:rsidRDefault="00FB561B" w:rsidP="00FB561B">
            <w:pPr>
              <w:numPr>
                <w:ilvl w:val="1"/>
                <w:numId w:val="461"/>
              </w:numPr>
              <w:spacing w:before="0" w:after="0"/>
              <w:ind w:hanging="244"/>
              <w:jc w:val="left"/>
              <w:rPr>
                <w:szCs w:val="24"/>
              </w:rPr>
            </w:pPr>
            <w:r>
              <w:rPr>
                <w:szCs w:val="24"/>
              </w:rPr>
              <w:t>L’intervention consiste à améliorer l’accessibilité des territoires afin de favoriser l’accueil et le maintien d’activités. L’aide est ciblée spécifiquement  sur le raccordement  au réseau public électrique des agriculteurs en dehors des agglom</w:t>
            </w:r>
            <w:r>
              <w:rPr>
                <w:szCs w:val="24"/>
              </w:rPr>
              <w:t>érations.</w:t>
            </w:r>
          </w:p>
          <w:p w:rsidR="0035701C" w:rsidRDefault="00FB561B" w:rsidP="00FB561B">
            <w:pPr>
              <w:numPr>
                <w:ilvl w:val="0"/>
                <w:numId w:val="461"/>
              </w:numPr>
              <w:spacing w:before="0" w:after="0"/>
              <w:ind w:hanging="210"/>
              <w:jc w:val="left"/>
              <w:rPr>
                <w:szCs w:val="24"/>
              </w:rPr>
            </w:pPr>
            <w:r>
              <w:rPr>
                <w:szCs w:val="24"/>
              </w:rPr>
              <w:t xml:space="preserve">7.4 : investissements dans la mise en place, l’amélioration ou le développement des services de base à la population : </w:t>
            </w:r>
            <w:r>
              <w:rPr>
                <w:b/>
                <w:bCs/>
                <w:szCs w:val="24"/>
              </w:rPr>
              <w:t>6b</w:t>
            </w:r>
            <w:r>
              <w:rPr>
                <w:szCs w:val="24"/>
              </w:rPr>
              <w:t xml:space="preserve"> </w:t>
            </w:r>
          </w:p>
          <w:p w:rsidR="0035701C" w:rsidRDefault="00FB561B" w:rsidP="00FB561B">
            <w:pPr>
              <w:numPr>
                <w:ilvl w:val="1"/>
                <w:numId w:val="461"/>
              </w:numPr>
              <w:spacing w:before="0" w:after="0"/>
              <w:ind w:hanging="244"/>
              <w:jc w:val="left"/>
              <w:rPr>
                <w:szCs w:val="24"/>
              </w:rPr>
            </w:pPr>
            <w:r>
              <w:rPr>
                <w:szCs w:val="24"/>
              </w:rPr>
              <w:t xml:space="preserve">Cette mesure vise à favoriser la mise en place et l’amélioration des services essentiels à la population et à l’accueil en </w:t>
            </w:r>
            <w:r>
              <w:rPr>
                <w:szCs w:val="24"/>
              </w:rPr>
              <w:t>milieu rural dans la perspective de faciliter l’installation et l’accueil de nouvelles populations, de maintenir les réseaux de service existants dans une perspective de redynamisation des pôles intermédiaires</w:t>
            </w:r>
          </w:p>
          <w:p w:rsidR="0035701C" w:rsidRDefault="00FB561B" w:rsidP="00FB561B">
            <w:pPr>
              <w:numPr>
                <w:ilvl w:val="0"/>
                <w:numId w:val="461"/>
              </w:numPr>
              <w:spacing w:before="0" w:after="0"/>
              <w:ind w:hanging="210"/>
              <w:jc w:val="left"/>
              <w:rPr>
                <w:szCs w:val="24"/>
              </w:rPr>
            </w:pPr>
            <w:r>
              <w:rPr>
                <w:szCs w:val="24"/>
              </w:rPr>
              <w:t>7.5 : Investissements à usage public favorisan</w:t>
            </w:r>
            <w:r>
              <w:rPr>
                <w:szCs w:val="24"/>
              </w:rPr>
              <w:t xml:space="preserve">t les activités touristiques et l’accueil du public en montagne: </w:t>
            </w:r>
            <w:r>
              <w:rPr>
                <w:b/>
                <w:bCs/>
                <w:szCs w:val="24"/>
              </w:rPr>
              <w:t>6b</w:t>
            </w:r>
            <w:r>
              <w:rPr>
                <w:szCs w:val="24"/>
              </w:rPr>
              <w:t xml:space="preserve"> </w:t>
            </w:r>
          </w:p>
          <w:p w:rsidR="0035701C" w:rsidRDefault="00FB561B" w:rsidP="00FB561B">
            <w:pPr>
              <w:numPr>
                <w:ilvl w:val="1"/>
                <w:numId w:val="461"/>
              </w:numPr>
              <w:spacing w:before="0" w:after="0"/>
              <w:ind w:hanging="244"/>
              <w:jc w:val="left"/>
              <w:rPr>
                <w:szCs w:val="24"/>
              </w:rPr>
            </w:pPr>
            <w:r>
              <w:rPr>
                <w:szCs w:val="24"/>
              </w:rPr>
              <w:t>La sous mesure concerne l'aménagement et la sécurisation des activités touristiques et des refuges de montagne notamment sur les sentiers de randonnées.</w:t>
            </w:r>
          </w:p>
          <w:p w:rsidR="0035701C" w:rsidRDefault="00FB561B" w:rsidP="00FB561B">
            <w:pPr>
              <w:numPr>
                <w:ilvl w:val="0"/>
                <w:numId w:val="461"/>
              </w:numPr>
              <w:spacing w:before="0" w:after="0"/>
              <w:ind w:hanging="210"/>
              <w:jc w:val="left"/>
              <w:rPr>
                <w:szCs w:val="24"/>
              </w:rPr>
            </w:pPr>
            <w:r>
              <w:rPr>
                <w:szCs w:val="24"/>
              </w:rPr>
              <w:t xml:space="preserve">7.6 : patrimoine : </w:t>
            </w:r>
          </w:p>
          <w:p w:rsidR="0035701C" w:rsidRDefault="00FB561B" w:rsidP="00FB561B">
            <w:pPr>
              <w:numPr>
                <w:ilvl w:val="1"/>
                <w:numId w:val="461"/>
              </w:numPr>
              <w:spacing w:before="0" w:after="0"/>
              <w:ind w:hanging="244"/>
              <w:jc w:val="left"/>
              <w:rPr>
                <w:szCs w:val="24"/>
              </w:rPr>
            </w:pPr>
            <w:r>
              <w:rPr>
                <w:szCs w:val="24"/>
              </w:rPr>
              <w:t>La sous-mesure</w:t>
            </w:r>
            <w:r>
              <w:rPr>
                <w:szCs w:val="24"/>
              </w:rPr>
              <w:t xml:space="preserve"> concerne des opérations de valorisation du patrimoine naturel et culturel au travers d’actions : </w:t>
            </w:r>
          </w:p>
          <w:p w:rsidR="0035701C" w:rsidRDefault="00FB561B" w:rsidP="00FB561B">
            <w:pPr>
              <w:numPr>
                <w:ilvl w:val="2"/>
                <w:numId w:val="461"/>
              </w:numPr>
              <w:spacing w:before="0" w:after="0"/>
              <w:ind w:hanging="210"/>
              <w:jc w:val="left"/>
              <w:rPr>
                <w:szCs w:val="24"/>
              </w:rPr>
            </w:pPr>
            <w:r>
              <w:rPr>
                <w:szCs w:val="24"/>
              </w:rPr>
              <w:t>De révision, animation et mise en œuvre des sites à haute valeur naturelle, des investissements liés à la restauration de la biodiversité (type d’opération :</w:t>
            </w:r>
            <w:r>
              <w:rPr>
                <w:szCs w:val="24"/>
              </w:rPr>
              <w:t xml:space="preserve"> investissements publics dans les zones naturelles, les sites Natura 2000 et les zones à haute valeur naturelle) :</w:t>
            </w:r>
            <w:r>
              <w:rPr>
                <w:b/>
                <w:bCs/>
                <w:szCs w:val="24"/>
              </w:rPr>
              <w:t xml:space="preserve"> 4a</w:t>
            </w:r>
          </w:p>
          <w:p w:rsidR="0035701C" w:rsidRDefault="00FB561B" w:rsidP="00FB561B">
            <w:pPr>
              <w:numPr>
                <w:ilvl w:val="2"/>
                <w:numId w:val="461"/>
              </w:numPr>
              <w:spacing w:before="0" w:after="0"/>
              <w:ind w:hanging="210"/>
              <w:jc w:val="left"/>
              <w:rPr>
                <w:szCs w:val="24"/>
              </w:rPr>
            </w:pPr>
            <w:r>
              <w:rPr>
                <w:szCs w:val="24"/>
              </w:rPr>
              <w:t xml:space="preserve">De valorisation du patrimoine archéologique (type d’opération : Patrimoine culturel matériel et immatériel) : </w:t>
            </w:r>
            <w:r>
              <w:rPr>
                <w:b/>
                <w:bCs/>
                <w:szCs w:val="24"/>
              </w:rPr>
              <w:t>6b</w:t>
            </w:r>
          </w:p>
          <w:p w:rsidR="0035701C" w:rsidRDefault="00FB561B" w:rsidP="00FB561B">
            <w:pPr>
              <w:numPr>
                <w:ilvl w:val="2"/>
                <w:numId w:val="461"/>
              </w:numPr>
              <w:spacing w:before="0" w:after="0"/>
              <w:ind w:hanging="210"/>
              <w:jc w:val="left"/>
              <w:rPr>
                <w:szCs w:val="24"/>
              </w:rPr>
            </w:pPr>
            <w:r>
              <w:rPr>
                <w:szCs w:val="24"/>
              </w:rPr>
              <w:t>De valorisation du patrim</w:t>
            </w:r>
            <w:r>
              <w:rPr>
                <w:szCs w:val="24"/>
              </w:rPr>
              <w:t xml:space="preserve">oine rural par la création de circuits de découvertes patrimoniaux (type d’opération : Sentiers du patrimoine) : </w:t>
            </w:r>
            <w:r>
              <w:rPr>
                <w:b/>
                <w:bCs/>
                <w:szCs w:val="24"/>
              </w:rPr>
              <w:t>6b</w:t>
            </w:r>
          </w:p>
          <w:p w:rsidR="0035701C" w:rsidRDefault="00FB561B" w:rsidP="00FB561B">
            <w:pPr>
              <w:numPr>
                <w:ilvl w:val="2"/>
                <w:numId w:val="461"/>
              </w:numPr>
              <w:spacing w:before="0" w:after="0"/>
              <w:ind w:hanging="210"/>
              <w:jc w:val="left"/>
              <w:rPr>
                <w:szCs w:val="24"/>
              </w:rPr>
            </w:pPr>
            <w:r>
              <w:rPr>
                <w:szCs w:val="24"/>
              </w:rPr>
              <w:t xml:space="preserve">De sensibilisation environnementale à destination des particuliers (protection incendie) et des agriculteurs (MAEC) (type d'opération : </w:t>
            </w:r>
            <w:r>
              <w:rPr>
                <w:szCs w:val="24"/>
              </w:rPr>
              <w:t>Sensibilisation environnementales) :</w:t>
            </w:r>
            <w:r>
              <w:rPr>
                <w:b/>
                <w:bCs/>
                <w:szCs w:val="24"/>
              </w:rPr>
              <w:t xml:space="preserve"> 4a    </w:t>
            </w:r>
            <w:r>
              <w:rPr>
                <w:szCs w:val="24"/>
              </w:rPr>
              <w:t>   </w:t>
            </w:r>
          </w:p>
          <w:p w:rsidR="0035701C" w:rsidRDefault="00FB561B" w:rsidP="00FB561B">
            <w:pPr>
              <w:numPr>
                <w:ilvl w:val="2"/>
                <w:numId w:val="461"/>
              </w:numPr>
              <w:spacing w:before="0" w:after="240"/>
              <w:ind w:hanging="210"/>
              <w:jc w:val="left"/>
              <w:rPr>
                <w:szCs w:val="24"/>
              </w:rPr>
            </w:pPr>
            <w:r>
              <w:rPr>
                <w:szCs w:val="24"/>
              </w:rPr>
              <w:t>D' animation environnementale, des études et des investissements liés à la restauration de la biodiversité (type d’opération : investissements publics dans les zones naturelles, les sites Natura 2000 et les zo</w:t>
            </w:r>
            <w:r>
              <w:rPr>
                <w:szCs w:val="24"/>
              </w:rPr>
              <w:t xml:space="preserve">nes à haute valeur naturelle </w:t>
            </w:r>
            <w:r>
              <w:rPr>
                <w:b/>
                <w:bCs/>
                <w:szCs w:val="24"/>
              </w:rPr>
              <w:t xml:space="preserve">4a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Contribution aux domaines prioritaires</w:t>
            </w:r>
          </w:p>
          <w:p w:rsidR="0035701C" w:rsidRDefault="00FB561B">
            <w:pPr>
              <w:spacing w:before="240" w:after="240"/>
              <w:jc w:val="left"/>
              <w:rPr>
                <w:szCs w:val="24"/>
              </w:rPr>
            </w:pPr>
            <w:r>
              <w:rPr>
                <w:b/>
                <w:bCs/>
                <w:szCs w:val="24"/>
              </w:rPr>
              <w:t>P6 : Promouvoir l’inclusion sociale, la réduction de la pauvreté  et le développement économique dans les zones rurales :</w:t>
            </w:r>
          </w:p>
          <w:p w:rsidR="0035701C" w:rsidRDefault="00FB561B">
            <w:pPr>
              <w:spacing w:before="240" w:after="240"/>
              <w:jc w:val="left"/>
              <w:rPr>
                <w:szCs w:val="24"/>
              </w:rPr>
            </w:pPr>
            <w:r>
              <w:rPr>
                <w:szCs w:val="24"/>
              </w:rPr>
              <w:t xml:space="preserve">Contribution au domaine prioritaire 6b) « Promouvoir le </w:t>
            </w:r>
            <w:r>
              <w:rPr>
                <w:szCs w:val="24"/>
              </w:rPr>
              <w:t>développement local dans les zones rurales » :</w:t>
            </w:r>
          </w:p>
          <w:p w:rsidR="0035701C" w:rsidRDefault="00FB561B">
            <w:pPr>
              <w:spacing w:before="240" w:after="240"/>
              <w:jc w:val="left"/>
              <w:rPr>
                <w:szCs w:val="24"/>
              </w:rPr>
            </w:pPr>
            <w:r>
              <w:rPr>
                <w:szCs w:val="24"/>
              </w:rPr>
              <w:t>La mesure 7 vise à la mise en place d’actions embrassant le champ du développement local par l’amélioration des services essentiels à la population et à l’accueil en milieu rural dans la perspective de facilit</w:t>
            </w:r>
            <w:r>
              <w:rPr>
                <w:szCs w:val="24"/>
              </w:rPr>
              <w:t>er l’installation et l’accueil de nouvelles populations et de maintenir les réseaux de service existants (7.1, 7.2, 7.4, 7.5), et des actions en faveur de la préservation et de la valorisation du patrimoine naturel et culturel (7.1, 7.6).</w:t>
            </w:r>
          </w:p>
          <w:p w:rsidR="0035701C" w:rsidRDefault="00FB561B">
            <w:pPr>
              <w:spacing w:before="240" w:after="240"/>
              <w:jc w:val="left"/>
              <w:rPr>
                <w:szCs w:val="24"/>
              </w:rPr>
            </w:pPr>
            <w:r>
              <w:rPr>
                <w:b/>
                <w:bCs/>
                <w:szCs w:val="24"/>
              </w:rPr>
              <w:t>P4 : Restaurer, p</w:t>
            </w:r>
            <w:r>
              <w:rPr>
                <w:b/>
                <w:bCs/>
                <w:szCs w:val="24"/>
              </w:rPr>
              <w:t>réserver et renforcer les écosystèmes tributaires de l'agriculture et de la foresterie</w:t>
            </w:r>
            <w:r>
              <w:rPr>
                <w:szCs w:val="24"/>
              </w:rPr>
              <w:t> :</w:t>
            </w:r>
          </w:p>
          <w:p w:rsidR="0035701C" w:rsidRDefault="00FB561B">
            <w:pPr>
              <w:spacing w:before="240" w:after="240"/>
              <w:jc w:val="left"/>
              <w:rPr>
                <w:szCs w:val="24"/>
              </w:rPr>
            </w:pPr>
            <w:r>
              <w:rPr>
                <w:szCs w:val="24"/>
              </w:rPr>
              <w:t>La mesure 7 participe à la préservation de la biodiversité par la mise en place et la gestion de plans de protection des zones naturelles et par des actions de restaur</w:t>
            </w:r>
            <w:r>
              <w:rPr>
                <w:szCs w:val="24"/>
              </w:rPr>
              <w:t>ation des milieux (7.6)</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Contribution aux objectifs transversaux</w:t>
            </w:r>
          </w:p>
          <w:p w:rsidR="0035701C" w:rsidRDefault="00FB561B">
            <w:pPr>
              <w:spacing w:before="240" w:after="240"/>
              <w:jc w:val="left"/>
              <w:rPr>
                <w:szCs w:val="24"/>
              </w:rPr>
            </w:pPr>
            <w:r>
              <w:rPr>
                <w:b/>
                <w:bCs/>
                <w:szCs w:val="24"/>
              </w:rPr>
              <w:t>OT1 : environnement</w:t>
            </w:r>
            <w:r>
              <w:rPr>
                <w:szCs w:val="24"/>
              </w:rPr>
              <w:t> : la mesure 7 contribue à la préservation de la biodiversité par la mise en place d’actions de préservation et de restauration des milieux (7.6)</w:t>
            </w:r>
          </w:p>
          <w:p w:rsidR="0035701C" w:rsidRDefault="00FB561B">
            <w:pPr>
              <w:spacing w:before="240" w:after="240"/>
              <w:jc w:val="left"/>
              <w:rPr>
                <w:szCs w:val="24"/>
              </w:rPr>
            </w:pPr>
            <w:r>
              <w:rPr>
                <w:b/>
                <w:bCs/>
                <w:szCs w:val="24"/>
              </w:rPr>
              <w:t>OT3 : innovation</w:t>
            </w:r>
            <w:r>
              <w:rPr>
                <w:szCs w:val="24"/>
              </w:rPr>
              <w:t xml:space="preserve"> :</w:t>
            </w:r>
          </w:p>
          <w:p w:rsidR="0035701C" w:rsidRDefault="00FB561B" w:rsidP="00FB561B">
            <w:pPr>
              <w:numPr>
                <w:ilvl w:val="0"/>
                <w:numId w:val="462"/>
              </w:numPr>
              <w:spacing w:before="240" w:after="0"/>
              <w:ind w:hanging="210"/>
              <w:jc w:val="left"/>
              <w:rPr>
                <w:szCs w:val="24"/>
              </w:rPr>
            </w:pPr>
            <w:r>
              <w:rPr>
                <w:szCs w:val="24"/>
              </w:rPr>
              <w:t>la mes</w:t>
            </w:r>
            <w:r>
              <w:rPr>
                <w:szCs w:val="24"/>
              </w:rPr>
              <w:t>ure 7 cherchera  à corriger les effets des déséquilibres structurels dans un souci d’égalité des territoires et de maintien de cohésion sociale et territoriale ; elle contribuera à un rééquilibrage et à la réduction des inégalités par un développement terr</w:t>
            </w:r>
            <w:r>
              <w:rPr>
                <w:szCs w:val="24"/>
              </w:rPr>
              <w:t>itorial intégré (7.4, 7.5).</w:t>
            </w:r>
          </w:p>
          <w:p w:rsidR="0035701C" w:rsidRDefault="00FB561B" w:rsidP="00FB561B">
            <w:pPr>
              <w:numPr>
                <w:ilvl w:val="0"/>
                <w:numId w:val="462"/>
              </w:numPr>
              <w:spacing w:before="0" w:after="240"/>
              <w:ind w:hanging="210"/>
              <w:jc w:val="left"/>
              <w:rPr>
                <w:szCs w:val="24"/>
              </w:rPr>
            </w:pPr>
            <w:r>
              <w:rPr>
                <w:szCs w:val="24"/>
              </w:rPr>
              <w:t>Des actions seront prévues visant à soutenir la mise en place de services de soutien à l’innovation notamment dans le cadre des missions du Réseau Rural Régional (au moins un groupe de travail thématique consacré à l’innovation)</w:t>
            </w:r>
            <w:r>
              <w:rPr>
                <w:szCs w:val="24"/>
              </w:rPr>
              <w: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4"/>
        <w:jc w:val="left"/>
      </w:pPr>
      <w:r>
        <w:t xml:space="preserve">Portée, niveau du soutien, bénéficiaires admissibles et, le cas échéant, méthodologie pour le calcul du montant ou du taux d'aide selon une ventilation par sous-mesure et/ou type d'opération, si nécessaire. Pour chaque type d'opération, </w:t>
      </w:r>
      <w:r>
        <w:t>spécification des coûts admissibles, des conditions d'admissibilité, des montants et taux d'aide applicables et des principes en matière de définition des critères de sélection</w:t>
      </w:r>
    </w:p>
    <w:p w:rsidR="0035701C" w:rsidRDefault="00FB561B">
      <w:pPr>
        <w:pStyle w:val="Titre5"/>
        <w:rPr>
          <w:b w:val="0"/>
        </w:rPr>
      </w:pPr>
      <w:r>
        <w:rPr>
          <w:b w:val="0"/>
        </w:rPr>
        <w:t>7.1.1- Plans de développement lié à la mobilisation du foncier</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463"/>
              </w:numPr>
            </w:pPr>
            <w:r>
              <w:t>7.</w:t>
            </w:r>
            <w:r>
              <w:t>1 – Aide à l'établissement et à la mise à jour des plans de développement des communes et des villages dans les zones rurales et de leurs services de base ainsi que des plans de protection et de gestion liés aux sites Natura 2000 et à d'autres zones à haut</w:t>
            </w:r>
            <w:r>
              <w:t>e valeur naturelle</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Sous-titre complet de l’opération : Plans de développement lié à la mobilisation du foncier = Etablissement et révision des plans de développement liés à la planification du territoire et au regroupement </w:t>
            </w:r>
            <w:r>
              <w:rPr>
                <w:b/>
                <w:bCs/>
                <w:szCs w:val="24"/>
              </w:rPr>
              <w:t>du foncier</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Ce dispositif a pour principal objectif d’accompagner les communes dans l’établissement et la mise à jour des plans de développement de leur territoire, dans une optique de mobilisation économique et environnementale du foncier.</w:t>
            </w:r>
          </w:p>
          <w:p w:rsidR="0035701C" w:rsidRDefault="00FB561B">
            <w:pPr>
              <w:spacing w:before="240" w:after="240"/>
              <w:jc w:val="left"/>
              <w:rPr>
                <w:szCs w:val="24"/>
              </w:rPr>
            </w:pPr>
            <w:r>
              <w:rPr>
                <w:szCs w:val="24"/>
              </w:rPr>
              <w:t xml:space="preserve">En effet dans </w:t>
            </w:r>
            <w:r>
              <w:rPr>
                <w:szCs w:val="24"/>
              </w:rPr>
              <w:t>ces territoires ruraux fortement affectés par des problématiques foncières révélées par l’AFOM (cf. cartes relatives à l’indivision, au morcellement, à l’absence de propriétaire…), les démarches de développement endogène nécessitent le diagnostic, la plani</w:t>
            </w:r>
            <w:r>
              <w:rPr>
                <w:szCs w:val="24"/>
              </w:rPr>
              <w:t>fication du territoire, et le cas échéant le regroupement des propriétaires fonciers en association syndicale agrée par l’Etat et de droit public, sous la forme d’Association Foncière Autorisée.</w:t>
            </w:r>
          </w:p>
          <w:p w:rsidR="0035701C" w:rsidRDefault="00FB561B">
            <w:pPr>
              <w:spacing w:before="240" w:after="240"/>
              <w:jc w:val="left"/>
              <w:rPr>
                <w:szCs w:val="24"/>
              </w:rPr>
            </w:pPr>
            <w:r>
              <w:rPr>
                <w:szCs w:val="24"/>
              </w:rPr>
              <w:t>Il s’agit de promouvoir des projets de développement des terr</w:t>
            </w:r>
            <w:r>
              <w:rPr>
                <w:szCs w:val="24"/>
              </w:rPr>
              <w:t>itoires dans une dynamique collective, favorisant in fine le maintien et l’accueil d’activités. Ces démarches s’attachent en particulier à planifier la valorisation des ressources naturelles, agro-sylvo-pastorales, paysagères et patrimoniales du territoire</w:t>
            </w:r>
            <w:r>
              <w:rPr>
                <w:szCs w:val="24"/>
              </w:rPr>
              <w: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Ce dispositif permet ainsi de soutenir l’élaboration et la mise à jour de plans de développement visant à la mobilisation essentiellement agro-sylvo-pastorale du foncier avec les étapes suivantes  :</w:t>
            </w:r>
          </w:p>
          <w:p w:rsidR="0035701C" w:rsidRDefault="00FB561B" w:rsidP="00FB561B">
            <w:pPr>
              <w:numPr>
                <w:ilvl w:val="0"/>
                <w:numId w:val="464"/>
              </w:numPr>
              <w:spacing w:before="240" w:after="0"/>
              <w:ind w:hanging="210"/>
              <w:jc w:val="left"/>
              <w:rPr>
                <w:szCs w:val="24"/>
              </w:rPr>
            </w:pPr>
            <w:r>
              <w:rPr>
                <w:szCs w:val="24"/>
              </w:rPr>
              <w:t>animation du territoire en vue d’élaborer ou de mettr</w:t>
            </w:r>
            <w:r>
              <w:rPr>
                <w:szCs w:val="24"/>
              </w:rPr>
              <w:t>e à jour le plan de développement. Le cas échéant, constitution d’associations foncières initiées par les communes, qui constitueront les opérateurs publiques aptes à porter le projet.</w:t>
            </w:r>
          </w:p>
          <w:p w:rsidR="0035701C" w:rsidRDefault="00FB561B" w:rsidP="00FB561B">
            <w:pPr>
              <w:numPr>
                <w:ilvl w:val="0"/>
                <w:numId w:val="464"/>
              </w:numPr>
              <w:spacing w:before="0" w:after="0"/>
              <w:ind w:hanging="210"/>
              <w:jc w:val="left"/>
              <w:rPr>
                <w:szCs w:val="24"/>
              </w:rPr>
            </w:pPr>
            <w:r>
              <w:rPr>
                <w:szCs w:val="24"/>
              </w:rPr>
              <w:t xml:space="preserve">élaboration d’un projet visant à analyser, organiser, mettre en valeur et protéger le territoire, et transcription spatiale du programme à l’échelle cadastrale. En outre, ce zonage peut être constitué sous la forme : </w:t>
            </w:r>
          </w:p>
          <w:p w:rsidR="0035701C" w:rsidRDefault="00FB561B" w:rsidP="00FB561B">
            <w:pPr>
              <w:numPr>
                <w:ilvl w:val="1"/>
                <w:numId w:val="464"/>
              </w:numPr>
              <w:spacing w:before="0" w:after="0"/>
              <w:ind w:hanging="244"/>
              <w:jc w:val="left"/>
              <w:rPr>
                <w:szCs w:val="24"/>
              </w:rPr>
            </w:pPr>
            <w:r>
              <w:rPr>
                <w:szCs w:val="24"/>
              </w:rPr>
              <w:t>d’un document d’objectif agricole et s</w:t>
            </w:r>
            <w:r>
              <w:rPr>
                <w:szCs w:val="24"/>
              </w:rPr>
              <w:t>ylvicole (DOCOBAS)</w:t>
            </w:r>
          </w:p>
          <w:p w:rsidR="0035701C" w:rsidRDefault="00FB561B" w:rsidP="00FB561B">
            <w:pPr>
              <w:numPr>
                <w:ilvl w:val="1"/>
                <w:numId w:val="464"/>
              </w:numPr>
              <w:spacing w:before="0" w:after="240"/>
              <w:ind w:hanging="244"/>
              <w:jc w:val="left"/>
              <w:rPr>
                <w:szCs w:val="24"/>
              </w:rPr>
            </w:pPr>
            <w:r>
              <w:rPr>
                <w:szCs w:val="24"/>
              </w:rPr>
              <w:t>d’un Schéma d’Accompagnement Pastoral (SAP) qui recense au niveau de chaque territoire, la trame de l’organisation pastorale et collective du territoire et le plan de l’intervention pastorale.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L’établissement de ces plans de développem</w:t>
            </w:r>
            <w:r>
              <w:rPr>
                <w:szCs w:val="24"/>
              </w:rPr>
              <w:t>ent du territoire doit être conduit selon une gouvernance multi-niveau associant les différents acteurs professionnels impliqués dans le multi-usage de l’espace rural, notamment : agriculteurs, sylviculteurs, professionnels du tourisme et du loisir, acteur</w:t>
            </w:r>
            <w:r>
              <w:rPr>
                <w:szCs w:val="24"/>
              </w:rPr>
              <w:t>s de la protection de l’environnement, population des villages dans son ensemble. Ces démarches peuvent être complétées par la réalisation d’enquêtes publiques inhérentes aux procédures de constitution d’association foncière. </w:t>
            </w:r>
          </w:p>
          <w:p w:rsidR="0035701C" w:rsidRDefault="00FB561B">
            <w:pPr>
              <w:spacing w:before="240" w:after="240"/>
              <w:jc w:val="left"/>
              <w:rPr>
                <w:szCs w:val="24"/>
              </w:rPr>
            </w:pPr>
            <w:r>
              <w:rPr>
                <w:szCs w:val="24"/>
              </w:rPr>
              <w:t>Les investissements collectif</w:t>
            </w:r>
            <w:r>
              <w:rPr>
                <w:szCs w:val="24"/>
              </w:rPr>
              <w:t>s découlant du plan de développement, sont potentiellement supportés par les mesures 4.3 du programme.</w:t>
            </w:r>
          </w:p>
          <w:p w:rsidR="0035701C" w:rsidRDefault="00FB561B">
            <w:pPr>
              <w:spacing w:before="240" w:after="240"/>
              <w:jc w:val="left"/>
              <w:rPr>
                <w:szCs w:val="24"/>
              </w:rPr>
            </w:pPr>
            <w:r>
              <w:rPr>
                <w:szCs w:val="24"/>
              </w:rPr>
              <w:t>Dans la mesure où ce type d’opération est ciblé sur une approche du développement des territoires, il permet de répondre aux besoins suivants :</w:t>
            </w:r>
          </w:p>
          <w:p w:rsidR="0035701C" w:rsidRDefault="00FB561B" w:rsidP="00FB561B">
            <w:pPr>
              <w:numPr>
                <w:ilvl w:val="0"/>
                <w:numId w:val="465"/>
              </w:numPr>
              <w:spacing w:before="240" w:after="0"/>
              <w:ind w:hanging="210"/>
              <w:jc w:val="left"/>
              <w:rPr>
                <w:szCs w:val="24"/>
              </w:rPr>
            </w:pPr>
            <w:r>
              <w:rPr>
                <w:szCs w:val="24"/>
              </w:rPr>
              <w:t>n°1 : Pro</w:t>
            </w:r>
            <w:r>
              <w:rPr>
                <w:szCs w:val="24"/>
              </w:rPr>
              <w:t>téger le périmètre agricole et forestier</w:t>
            </w:r>
          </w:p>
          <w:p w:rsidR="0035701C" w:rsidRDefault="00FB561B" w:rsidP="00FB561B">
            <w:pPr>
              <w:numPr>
                <w:ilvl w:val="0"/>
                <w:numId w:val="465"/>
              </w:numPr>
              <w:spacing w:before="0" w:after="0"/>
              <w:ind w:hanging="210"/>
              <w:jc w:val="left"/>
              <w:rPr>
                <w:szCs w:val="24"/>
              </w:rPr>
            </w:pPr>
            <w:r>
              <w:rPr>
                <w:szCs w:val="24"/>
              </w:rPr>
              <w:t>n°2 : Mobiliser le foncier agricole, forestier et rural</w:t>
            </w:r>
          </w:p>
          <w:p w:rsidR="0035701C" w:rsidRDefault="00FB561B" w:rsidP="00FB561B">
            <w:pPr>
              <w:numPr>
                <w:ilvl w:val="0"/>
                <w:numId w:val="465"/>
              </w:numPr>
              <w:spacing w:before="0" w:after="0"/>
              <w:ind w:hanging="210"/>
              <w:jc w:val="left"/>
              <w:rPr>
                <w:szCs w:val="24"/>
              </w:rPr>
            </w:pPr>
            <w:r>
              <w:rPr>
                <w:szCs w:val="24"/>
              </w:rPr>
              <w:t>n°23 : Favoriser le regroupement foncier et économique des propriétaires forestiers</w:t>
            </w:r>
          </w:p>
          <w:p w:rsidR="0035701C" w:rsidRDefault="00FB561B" w:rsidP="00FB561B">
            <w:pPr>
              <w:numPr>
                <w:ilvl w:val="0"/>
                <w:numId w:val="465"/>
              </w:numPr>
              <w:spacing w:before="0" w:after="0"/>
              <w:ind w:hanging="210"/>
              <w:jc w:val="left"/>
              <w:rPr>
                <w:szCs w:val="24"/>
              </w:rPr>
            </w:pPr>
            <w:r>
              <w:rPr>
                <w:szCs w:val="24"/>
              </w:rPr>
              <w:t>n°24 : Développer la planification multifonctionnelle de l'usage des sols e</w:t>
            </w:r>
            <w:r>
              <w:rPr>
                <w:szCs w:val="24"/>
              </w:rPr>
              <w:t>t notamment les pratiques sylvo-pastorales</w:t>
            </w:r>
          </w:p>
          <w:p w:rsidR="0035701C" w:rsidRDefault="00FB561B" w:rsidP="00FB561B">
            <w:pPr>
              <w:numPr>
                <w:ilvl w:val="0"/>
                <w:numId w:val="465"/>
              </w:numPr>
              <w:spacing w:before="0" w:after="0"/>
              <w:ind w:hanging="210"/>
              <w:jc w:val="left"/>
              <w:rPr>
                <w:szCs w:val="24"/>
              </w:rPr>
            </w:pPr>
            <w:r>
              <w:rPr>
                <w:szCs w:val="24"/>
              </w:rPr>
              <w:t>n°27 : Susciter, accompagner l'émergence de dynamique territoriale de projet</w:t>
            </w:r>
          </w:p>
          <w:p w:rsidR="0035701C" w:rsidRDefault="00FB561B" w:rsidP="00FB561B">
            <w:pPr>
              <w:numPr>
                <w:ilvl w:val="0"/>
                <w:numId w:val="465"/>
              </w:numPr>
              <w:spacing w:before="0" w:after="240"/>
              <w:ind w:hanging="210"/>
              <w:jc w:val="left"/>
              <w:rPr>
                <w:szCs w:val="24"/>
              </w:rPr>
            </w:pPr>
            <w:r>
              <w:rPr>
                <w:szCs w:val="24"/>
              </w:rPr>
              <w:t>n°28 : Accompagner l'animation territoriale et l'ingénierie, notamment sur le foncier</w:t>
            </w:r>
          </w:p>
          <w:p w:rsidR="0035701C" w:rsidRDefault="00FB561B">
            <w:pPr>
              <w:spacing w:before="240" w:after="240"/>
              <w:jc w:val="left"/>
              <w:rPr>
                <w:szCs w:val="24"/>
              </w:rPr>
            </w:pPr>
            <w:r>
              <w:rPr>
                <w:szCs w:val="24"/>
              </w:rPr>
              <w:t xml:space="preserve">L’intervention est ciblée sur le domaine </w:t>
            </w:r>
            <w:r>
              <w:rPr>
                <w:szCs w:val="24"/>
              </w:rPr>
              <w:t>prioritaire :</w:t>
            </w:r>
          </w:p>
          <w:p w:rsidR="0035701C" w:rsidRDefault="00FB561B" w:rsidP="00FB561B">
            <w:pPr>
              <w:numPr>
                <w:ilvl w:val="0"/>
                <w:numId w:val="466"/>
              </w:numPr>
              <w:spacing w:before="240" w:after="240"/>
              <w:ind w:hanging="210"/>
              <w:jc w:val="left"/>
              <w:rPr>
                <w:szCs w:val="24"/>
              </w:rPr>
            </w:pPr>
            <w:r>
              <w:rPr>
                <w:szCs w:val="24"/>
              </w:rPr>
              <w:t>6b) : promouvoir le développement local dans les zones rurales</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versée sous forme de 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Code Général des Collectivités Territoriales.</w:t>
            </w:r>
          </w:p>
          <w:p w:rsidR="0035701C" w:rsidRDefault="00FB561B">
            <w:pPr>
              <w:spacing w:before="240" w:after="240"/>
              <w:jc w:val="left"/>
              <w:rPr>
                <w:szCs w:val="24"/>
              </w:rPr>
            </w:pPr>
            <w:r>
              <w:rPr>
                <w:szCs w:val="24"/>
              </w:rPr>
              <w:t xml:space="preserve">Code </w:t>
            </w:r>
            <w:r>
              <w:rPr>
                <w:szCs w:val="24"/>
              </w:rPr>
              <w:t>Rural, notamment article L131 et suivants.</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Sont concernés par ce dispositif  tout porteur de projet agissant à titre collectif visant à l’élaboration d’une démarche foncière répondant aux objectifs de la mesure :</w:t>
            </w:r>
          </w:p>
          <w:p w:rsidR="0035701C" w:rsidRDefault="00FB561B" w:rsidP="00FB561B">
            <w:pPr>
              <w:numPr>
                <w:ilvl w:val="0"/>
                <w:numId w:val="467"/>
              </w:numPr>
              <w:spacing w:before="240" w:after="0"/>
              <w:ind w:hanging="210"/>
              <w:jc w:val="left"/>
              <w:rPr>
                <w:szCs w:val="24"/>
              </w:rPr>
            </w:pPr>
            <w:r>
              <w:rPr>
                <w:szCs w:val="24"/>
              </w:rPr>
              <w:t>une collectivité locale,</w:t>
            </w:r>
          </w:p>
          <w:p w:rsidR="0035701C" w:rsidRDefault="00FB561B" w:rsidP="00FB561B">
            <w:pPr>
              <w:numPr>
                <w:ilvl w:val="0"/>
                <w:numId w:val="467"/>
              </w:numPr>
              <w:spacing w:before="0" w:after="0"/>
              <w:ind w:hanging="210"/>
              <w:jc w:val="left"/>
              <w:rPr>
                <w:szCs w:val="24"/>
              </w:rPr>
            </w:pPr>
            <w:r>
              <w:rPr>
                <w:szCs w:val="24"/>
              </w:rPr>
              <w:t>un</w:t>
            </w:r>
            <w:r>
              <w:rPr>
                <w:szCs w:val="24"/>
              </w:rPr>
              <w:t xml:space="preserve"> Etablissement Public de Coopération Intercommunale</w:t>
            </w:r>
          </w:p>
          <w:p w:rsidR="0035701C" w:rsidRDefault="00FB561B" w:rsidP="00FB561B">
            <w:pPr>
              <w:numPr>
                <w:ilvl w:val="0"/>
                <w:numId w:val="467"/>
              </w:numPr>
              <w:spacing w:before="0" w:after="0"/>
              <w:ind w:hanging="210"/>
              <w:jc w:val="left"/>
              <w:rPr>
                <w:szCs w:val="24"/>
              </w:rPr>
            </w:pPr>
            <w:r>
              <w:rPr>
                <w:szCs w:val="24"/>
              </w:rPr>
              <w:t>une association foncière autorisée,</w:t>
            </w:r>
          </w:p>
          <w:p w:rsidR="0035701C" w:rsidRDefault="00FB561B" w:rsidP="00FB561B">
            <w:pPr>
              <w:numPr>
                <w:ilvl w:val="0"/>
                <w:numId w:val="467"/>
              </w:numPr>
              <w:spacing w:before="0" w:after="0"/>
              <w:ind w:hanging="210"/>
              <w:jc w:val="left"/>
              <w:rPr>
                <w:szCs w:val="24"/>
              </w:rPr>
            </w:pPr>
            <w:r>
              <w:rPr>
                <w:szCs w:val="24"/>
              </w:rPr>
              <w:t>un établissement consulaire,</w:t>
            </w:r>
          </w:p>
          <w:p w:rsidR="0035701C" w:rsidRDefault="00FB561B" w:rsidP="00FB561B">
            <w:pPr>
              <w:numPr>
                <w:ilvl w:val="0"/>
                <w:numId w:val="467"/>
              </w:numPr>
              <w:spacing w:before="0" w:after="0"/>
              <w:ind w:hanging="210"/>
              <w:jc w:val="left"/>
              <w:rPr>
                <w:szCs w:val="24"/>
              </w:rPr>
            </w:pPr>
            <w:r>
              <w:rPr>
                <w:szCs w:val="24"/>
              </w:rPr>
              <w:t>un établissement public,</w:t>
            </w:r>
          </w:p>
          <w:p w:rsidR="0035701C" w:rsidRDefault="00FB561B" w:rsidP="00FB561B">
            <w:pPr>
              <w:numPr>
                <w:ilvl w:val="0"/>
                <w:numId w:val="467"/>
              </w:numPr>
              <w:spacing w:before="0" w:after="0"/>
              <w:ind w:hanging="210"/>
              <w:jc w:val="left"/>
              <w:rPr>
                <w:szCs w:val="24"/>
              </w:rPr>
            </w:pPr>
            <w:r>
              <w:rPr>
                <w:szCs w:val="24"/>
              </w:rPr>
              <w:t>un Parc Naturel Régional (PNR),</w:t>
            </w:r>
          </w:p>
          <w:p w:rsidR="0035701C" w:rsidRDefault="00FB561B" w:rsidP="00FB561B">
            <w:pPr>
              <w:numPr>
                <w:ilvl w:val="0"/>
                <w:numId w:val="467"/>
              </w:numPr>
              <w:spacing w:before="0" w:after="240"/>
              <w:ind w:hanging="210"/>
              <w:jc w:val="left"/>
              <w:rPr>
                <w:szCs w:val="24"/>
              </w:rPr>
            </w:pPr>
            <w:r>
              <w:rPr>
                <w:szCs w:val="24"/>
              </w:rPr>
              <w:t>Les Sociétés d’aménagement foncier et d’établissement rural (SAFER)</w:t>
            </w:r>
          </w:p>
          <w:p w:rsidR="0035701C" w:rsidRDefault="0035701C">
            <w:pPr>
              <w:pStyle w:val="Corpsdetexte"/>
            </w:pPr>
          </w:p>
        </w:tc>
      </w:tr>
    </w:tbl>
    <w:p w:rsidR="0035701C" w:rsidRDefault="00FB561B">
      <w:pPr>
        <w:pStyle w:val="Titre6"/>
      </w:pPr>
      <w:r>
        <w:t>Coûts admiss</w:t>
      </w:r>
      <w:r>
        <w:t>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dispositif finance les dépenses relatives à l’élaboration des plans de développement portant sur le périmètre concerné :</w:t>
            </w:r>
          </w:p>
          <w:p w:rsidR="0035701C" w:rsidRDefault="00FB561B" w:rsidP="00FB561B">
            <w:pPr>
              <w:numPr>
                <w:ilvl w:val="0"/>
                <w:numId w:val="468"/>
              </w:numPr>
              <w:spacing w:before="240" w:after="0"/>
              <w:ind w:hanging="210"/>
              <w:jc w:val="left"/>
              <w:rPr>
                <w:szCs w:val="24"/>
              </w:rPr>
            </w:pPr>
            <w:r>
              <w:rPr>
                <w:szCs w:val="24"/>
              </w:rPr>
              <w:t>actions liées à la conception du projet</w:t>
            </w:r>
          </w:p>
          <w:p w:rsidR="0035701C" w:rsidRDefault="00FB561B" w:rsidP="00FB561B">
            <w:pPr>
              <w:numPr>
                <w:ilvl w:val="0"/>
                <w:numId w:val="468"/>
              </w:numPr>
              <w:spacing w:before="0" w:after="0"/>
              <w:ind w:hanging="210"/>
              <w:jc w:val="left"/>
              <w:rPr>
                <w:szCs w:val="24"/>
              </w:rPr>
            </w:pPr>
            <w:r>
              <w:rPr>
                <w:szCs w:val="24"/>
              </w:rPr>
              <w:t>actions d’information sur le territoire,</w:t>
            </w:r>
          </w:p>
          <w:p w:rsidR="0035701C" w:rsidRDefault="00FB561B" w:rsidP="00FB561B">
            <w:pPr>
              <w:numPr>
                <w:ilvl w:val="0"/>
                <w:numId w:val="468"/>
              </w:numPr>
              <w:spacing w:before="0" w:after="240"/>
              <w:ind w:hanging="210"/>
              <w:jc w:val="left"/>
              <w:rPr>
                <w:szCs w:val="24"/>
              </w:rPr>
            </w:pPr>
            <w:r>
              <w:rPr>
                <w:szCs w:val="24"/>
              </w:rPr>
              <w:t>actions d’animation,</w:t>
            </w:r>
          </w:p>
          <w:p w:rsidR="0035701C" w:rsidRDefault="00FB561B">
            <w:pPr>
              <w:spacing w:before="240" w:after="240"/>
              <w:jc w:val="left"/>
              <w:rPr>
                <w:szCs w:val="24"/>
              </w:rPr>
            </w:pPr>
            <w:r>
              <w:rPr>
                <w:szCs w:val="24"/>
              </w:rPr>
              <w:t>Dépense inéligibles :</w:t>
            </w:r>
          </w:p>
          <w:p w:rsidR="0035701C" w:rsidRDefault="00FB561B" w:rsidP="00FB561B">
            <w:pPr>
              <w:numPr>
                <w:ilvl w:val="0"/>
                <w:numId w:val="469"/>
              </w:numPr>
              <w:spacing w:before="240" w:after="240"/>
              <w:ind w:hanging="210"/>
              <w:jc w:val="left"/>
              <w:rPr>
                <w:szCs w:val="24"/>
              </w:rPr>
            </w:pPr>
            <w:r>
              <w:rPr>
                <w:szCs w:val="24"/>
              </w:rPr>
              <w:t>Action de remembrement des terres.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collectivités locales et les maîtres d’ouvrage publics agissant par délégation de celles-ci devront présenter une délibération des communes concernées par le périmètre.</w:t>
            </w:r>
          </w:p>
          <w:p w:rsidR="0035701C" w:rsidRDefault="00FB561B">
            <w:pPr>
              <w:spacing w:before="240" w:after="240"/>
              <w:jc w:val="left"/>
              <w:rPr>
                <w:szCs w:val="24"/>
              </w:rPr>
            </w:pPr>
            <w:r>
              <w:rPr>
                <w:szCs w:val="24"/>
              </w:rPr>
              <w:t xml:space="preserve">Les Associations </w:t>
            </w:r>
            <w:r>
              <w:rPr>
                <w:szCs w:val="24"/>
              </w:rPr>
              <w:t>Foncières Autorisées qui sont des entités publiques représentatives de l’ensemble des propriétaires doivent présenter une délibération de leur Bureau.</w:t>
            </w:r>
          </w:p>
          <w:p w:rsidR="0035701C" w:rsidRDefault="00FB561B">
            <w:pPr>
              <w:spacing w:before="240" w:after="240"/>
              <w:jc w:val="left"/>
              <w:rPr>
                <w:szCs w:val="24"/>
              </w:rPr>
            </w:pPr>
            <w:r>
              <w:rPr>
                <w:szCs w:val="24"/>
              </w:rPr>
              <w:t>Les pétitionnaires des appels à projets devront fournir un argumentaire sur le plan économique et environ</w:t>
            </w:r>
            <w:r>
              <w:rPr>
                <w:szCs w:val="24"/>
              </w:rPr>
              <w:t>nemental.</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 mise en œuvre du dispositif s’inscrit dans le cadre d’appels à projets thématiques portant sur les problématiques de mobilisation collective du foncier.</w:t>
            </w:r>
          </w:p>
          <w:p w:rsidR="0035701C" w:rsidRDefault="00FB561B">
            <w:pPr>
              <w:spacing w:before="240" w:after="240"/>
              <w:jc w:val="left"/>
              <w:rPr>
                <w:szCs w:val="24"/>
              </w:rPr>
            </w:pPr>
            <w:r>
              <w:rPr>
                <w:szCs w:val="24"/>
              </w:rPr>
              <w:t>Les critères de sélect</w:t>
            </w:r>
            <w:r>
              <w:rPr>
                <w:szCs w:val="24"/>
              </w:rPr>
              <w:t>ion concernent :</w:t>
            </w:r>
          </w:p>
          <w:p w:rsidR="0035701C" w:rsidRDefault="00FB561B" w:rsidP="00FB561B">
            <w:pPr>
              <w:numPr>
                <w:ilvl w:val="0"/>
                <w:numId w:val="470"/>
              </w:numPr>
              <w:spacing w:before="240" w:after="0"/>
              <w:ind w:hanging="210"/>
              <w:jc w:val="left"/>
              <w:rPr>
                <w:szCs w:val="24"/>
              </w:rPr>
            </w:pPr>
            <w:r>
              <w:rPr>
                <w:szCs w:val="24"/>
              </w:rPr>
              <w:t>la dimension du multi-usage du territoire promue par le projet, la cohérence spatiale de l’opération et son caractère collectif.</w:t>
            </w:r>
          </w:p>
          <w:p w:rsidR="0035701C" w:rsidRDefault="00FB561B" w:rsidP="00FB561B">
            <w:pPr>
              <w:numPr>
                <w:ilvl w:val="0"/>
                <w:numId w:val="470"/>
              </w:numPr>
              <w:spacing w:before="0" w:after="0"/>
              <w:ind w:hanging="210"/>
              <w:jc w:val="left"/>
              <w:rPr>
                <w:szCs w:val="24"/>
              </w:rPr>
            </w:pPr>
            <w:r>
              <w:rPr>
                <w:szCs w:val="24"/>
              </w:rPr>
              <w:t xml:space="preserve">l’impact attendu en termes d’activité agricole et pastorale (surface diagnostiquée, planifiée, mobilisée ou </w:t>
            </w:r>
            <w:r>
              <w:rPr>
                <w:szCs w:val="24"/>
              </w:rPr>
              <w:t>regroupée)</w:t>
            </w:r>
          </w:p>
          <w:p w:rsidR="0035701C" w:rsidRDefault="00FB561B" w:rsidP="00FB561B">
            <w:pPr>
              <w:numPr>
                <w:ilvl w:val="0"/>
                <w:numId w:val="470"/>
              </w:numPr>
              <w:spacing w:before="0" w:after="0"/>
              <w:ind w:hanging="210"/>
              <w:jc w:val="left"/>
              <w:rPr>
                <w:szCs w:val="24"/>
              </w:rPr>
            </w:pPr>
            <w:r>
              <w:rPr>
                <w:szCs w:val="24"/>
              </w:rPr>
              <w:t>l’inscription de l’opération dans le cadre d’un projet d’urbanisme,</w:t>
            </w:r>
          </w:p>
          <w:p w:rsidR="0035701C" w:rsidRDefault="00FB561B" w:rsidP="00FB561B">
            <w:pPr>
              <w:numPr>
                <w:ilvl w:val="0"/>
                <w:numId w:val="470"/>
              </w:numPr>
              <w:spacing w:before="0" w:after="240"/>
              <w:ind w:hanging="210"/>
              <w:jc w:val="left"/>
              <w:rPr>
                <w:szCs w:val="24"/>
              </w:rPr>
            </w:pPr>
            <w:r>
              <w:rPr>
                <w:szCs w:val="24"/>
              </w:rPr>
              <w:t>l’incidence environnementale portant notamment sur le maintien des continuités écologiques et sur la protection  des sites Natura 2000.</w:t>
            </w:r>
          </w:p>
          <w:p w:rsidR="0035701C" w:rsidRDefault="00FB561B">
            <w:pPr>
              <w:spacing w:before="240" w:after="240"/>
              <w:jc w:val="left"/>
              <w:rPr>
                <w:szCs w:val="24"/>
              </w:rPr>
            </w:pPr>
            <w:r>
              <w:rPr>
                <w:szCs w:val="24"/>
              </w:rPr>
              <w:t>La grille de sélection des opérations pré</w:t>
            </w:r>
            <w:r>
              <w:rPr>
                <w:szCs w:val="24"/>
              </w:rPr>
              <w:t>voira l'établissement d'un système de points permettant le classement des dossiers et la fixation d'un seuil minimal pour accéder au soutien au titre du PDRC.</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Taux d’aide :</w:t>
            </w:r>
          </w:p>
          <w:p w:rsidR="0035701C" w:rsidRDefault="00FB561B" w:rsidP="00FB561B">
            <w:pPr>
              <w:numPr>
                <w:ilvl w:val="0"/>
                <w:numId w:val="471"/>
              </w:numPr>
              <w:spacing w:before="240" w:after="0"/>
              <w:ind w:hanging="210"/>
              <w:jc w:val="left"/>
              <w:rPr>
                <w:szCs w:val="24"/>
              </w:rPr>
            </w:pPr>
            <w:r>
              <w:rPr>
                <w:szCs w:val="24"/>
              </w:rPr>
              <w:t xml:space="preserve">Dépenses d’animation et d’études liées au </w:t>
            </w:r>
            <w:r>
              <w:rPr>
                <w:szCs w:val="24"/>
              </w:rPr>
              <w:t>projet : (Prestation et expertise externe, Frais de personnels) : 100%</w:t>
            </w:r>
          </w:p>
          <w:p w:rsidR="0035701C" w:rsidRDefault="00FB561B" w:rsidP="00FB561B">
            <w:pPr>
              <w:numPr>
                <w:ilvl w:val="0"/>
                <w:numId w:val="471"/>
              </w:numPr>
              <w:spacing w:before="0" w:after="240"/>
              <w:ind w:hanging="210"/>
              <w:jc w:val="left"/>
              <w:rPr>
                <w:szCs w:val="24"/>
              </w:rPr>
            </w:pPr>
            <w:r>
              <w:rPr>
                <w:szCs w:val="24"/>
              </w:rPr>
              <w:t>fournitures nécessaires à l’animation du projet : 50%</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w:t>
            </w:r>
            <w:r>
              <w:rPr>
                <w:szCs w:val="24"/>
                <w:u w:val="single"/>
              </w:rPr>
              <w:t>G/OP sur l’évolution du contenu de la mesure :</w:t>
            </w:r>
          </w:p>
          <w:p w:rsidR="0035701C" w:rsidRDefault="00FB561B">
            <w:pPr>
              <w:spacing w:before="240" w:after="240"/>
              <w:jc w:val="left"/>
              <w:rPr>
                <w:szCs w:val="24"/>
              </w:rPr>
            </w:pPr>
            <w:r>
              <w:rPr>
                <w:szCs w:val="24"/>
              </w:rPr>
              <w:t>- L'OP a demandé que soient bien décrits les pétitionnaires susceptibles d'être bénéficiaires de cette opération. Les éléments de Droit, les précisions apportées au présent texte, ainsi que le détail des éléme</w:t>
            </w:r>
            <w:r>
              <w:rPr>
                <w:szCs w:val="24"/>
              </w:rPr>
              <w:t>nts de réponse à fournir sur les appels à projet sont satisfaisants.  La prise en charge des coûts des action financées décrites est satisfaisante.</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 xml:space="preserve">n°1 - R1 : Pour les formes </w:t>
            </w:r>
            <w:r>
              <w:rPr>
                <w:szCs w:val="24"/>
              </w:rPr>
              <w:t xml:space="preserve">juridiques sociétaires ou associatives, les collectivités, conformité des statuts et actes, mise à jour effective et conforme au long de la période d’engagement. Vérification de la qualité de propriétaire foncier (source : Législation nationale : décalage </w:t>
            </w:r>
            <w:r>
              <w:rPr>
                <w:szCs w:val="24"/>
              </w:rPr>
              <w:t>entre Droit Social, Droit des Sociétés, Droit Rural Législation nationale du Droit de Propriété, Droit des Successions, Droit Fiscal (modification pour la forêt en 2012))</w:t>
            </w:r>
          </w:p>
          <w:p w:rsidR="0035701C" w:rsidRDefault="00FB561B">
            <w:pPr>
              <w:spacing w:before="240" w:after="240"/>
              <w:jc w:val="left"/>
              <w:rPr>
                <w:szCs w:val="24"/>
              </w:rPr>
            </w:pPr>
            <w:r>
              <w:rPr>
                <w:szCs w:val="24"/>
              </w:rPr>
              <w:t>n°2 - R10 : Dépenses du maître d'ouvrage, définition des éléments comptables et preuv</w:t>
            </w:r>
            <w:r>
              <w:rPr>
                <w:szCs w:val="24"/>
              </w:rPr>
              <w:t>es probantes pris en charge, sensibilisation de l'administration et des bénéficiaires (charges sociales, liste présence aux réunions,…). (source : 2007-2013 en continu Formation de l'administration, des Partenaires, des Bénéficiaires, Multiplicité des préc</w:t>
            </w:r>
            <w:r>
              <w:rPr>
                <w:szCs w:val="24"/>
              </w:rPr>
              <w:t>isions sur « Guidance » (notes de cadrage)).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VERIFIER Pour les formes juridiques sociétaires ou associatives, conformité des statuts et actes, mise à jour effective et conforme. VERIFIER la qualité de propriétaire foncier</w:t>
            </w:r>
            <w:r>
              <w:rPr>
                <w:szCs w:val="24"/>
              </w:rPr>
              <w:t xml:space="preserve"> des partenaires.</w:t>
            </w:r>
          </w:p>
          <w:p w:rsidR="0035701C" w:rsidRDefault="00FB561B">
            <w:pPr>
              <w:spacing w:before="240" w:after="240"/>
              <w:jc w:val="left"/>
              <w:rPr>
                <w:szCs w:val="24"/>
              </w:rPr>
            </w:pPr>
            <w:r>
              <w:rPr>
                <w:szCs w:val="24"/>
              </w:rPr>
              <w:t>n°2 - R10 : VERIFIER Principalement de bien détailler frais de déplacements (selon barème pré établi), coûts salariaux, modalités d'enregistrement et de suivi des participants, les contributions en nature…</w:t>
            </w:r>
          </w:p>
          <w:p w:rsidR="0035701C" w:rsidRDefault="0035701C">
            <w:pPr>
              <w:pStyle w:val="Corpsdetexte"/>
            </w:pPr>
          </w:p>
        </w:tc>
      </w:tr>
    </w:tbl>
    <w:p w:rsidR="0035701C" w:rsidRDefault="00FB561B">
      <w:pPr>
        <w:pStyle w:val="Titre7"/>
      </w:pPr>
      <w:r>
        <w:t>Évaluation globale de la mesur</w:t>
      </w:r>
      <w:r>
        <w:t>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Au vu des cotations matricielles, sur le poids financier de la mesure (&lt;5%), sur les priorités, les risques, les mesures d’atténuation prévues, cette mesure reçoit une évaluation  favorable peu risquée ; Les mécanismes de mise en œuvre sont connus et m</w:t>
            </w:r>
            <w:r>
              <w:rPr>
                <w:szCs w:val="24"/>
              </w:rPr>
              <w:t>aîtrisés par tous les acteurs.</w:t>
            </w:r>
          </w:p>
          <w:p w:rsidR="0035701C" w:rsidRDefault="00FB561B">
            <w:pPr>
              <w:spacing w:before="240" w:after="240"/>
              <w:jc w:val="left"/>
              <w:rPr>
                <w:szCs w:val="24"/>
              </w:rPr>
            </w:pPr>
            <w:r>
              <w:rPr>
                <w:szCs w:val="24"/>
              </w:rPr>
              <w:t>- Concernant l'évaluation globale de la mesure : la mesure est contrôlable sous réserve de la mise en place d'actions d'atténuation et des précisions apportées dans les documents de mise en œuvre notamment sur la nécessité de</w:t>
            </w:r>
            <w:r>
              <w:rPr>
                <w:szCs w:val="24"/>
              </w:rPr>
              <w:t xml:space="preserve"> bien contrôler la qualité de propriétaire foncier des partenaires de l'opération et sur la nécessité de bien définir les modalités de justification des dépenses de frais généraux (fixer des barèmes pour les frais de déplacements, les précisions sur les co</w:t>
            </w:r>
            <w:r>
              <w:rPr>
                <w:szCs w:val="24"/>
              </w:rPr>
              <w:t>ûts salariaux pris en charge, les justificatifs de présence, et les modes de calcul).</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6"/>
      </w:pPr>
      <w:r>
        <w:t>Informations spécifiques sur l'opération</w:t>
      </w:r>
    </w:p>
    <w:p w:rsidR="0035701C" w:rsidRDefault="00FB561B">
      <w:r>
        <w:t>Définition de la notion d’infrastructure «à petite échelle»,</w:t>
      </w:r>
      <w:r>
        <w:t xml:space="preserve"> y compris les infrastructures touristiques à petite échelle visées à l’article 20, paragraphe 1, point e),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S'il y a lieu, dérogation spécifique pour les investissements dans le haut débit et les énergies renouvelables, d</w:t>
      </w:r>
      <w:r>
        <w:t>e sorte que les infrastructures à plus grande échelle puissent également bénéficier d’une aide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Informations sur l’application du délai de grâce visé à l’article 2, paragraphe 3,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Les normes minimales en matière </w:t>
      </w:r>
      <w:r>
        <w:t>d’efficacité énergétique visées à l’article 13, point c), du règlement délégué (UE) nº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Fixation des seuils visés à l'article 13, point e), du [DA RD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br w:type="page"/>
        <w:t>7.1.2- DOCOB</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472"/>
              </w:numPr>
            </w:pPr>
            <w:r>
              <w:t xml:space="preserve">7.1 – Aide à l'établissement et à la mise à jour </w:t>
            </w:r>
            <w:r>
              <w:t>des plans de développement des communes et des villages dans les zones rurales et de leurs services de base ainsi que des plans de protection et de gestion liés aux sites Natura 2000 et à d'autres zones à haute valeur naturelle</w:t>
            </w:r>
          </w:p>
        </w:tc>
      </w:tr>
    </w:tbl>
    <w:p w:rsidR="0035701C" w:rsidRDefault="00FB561B">
      <w:pPr>
        <w:pStyle w:val="Titre6"/>
      </w:pPr>
      <w:r>
        <w:t xml:space="preserve">Description du type </w:t>
      </w:r>
      <w:r>
        <w:t>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Sous-titre complet de l’opération : Plans de protection et de gestion liés aux sites Natura 2000 = Etablissement et révision des plans de développement liés à la protection et à la gestion des sites Natura 2000 (DOCOB)</w:t>
            </w:r>
          </w:p>
          <w:p w:rsidR="0035701C" w:rsidRDefault="00FB561B">
            <w:pPr>
              <w:spacing w:before="240" w:after="240"/>
              <w:jc w:val="left"/>
              <w:rPr>
                <w:szCs w:val="24"/>
              </w:rPr>
            </w:pPr>
            <w:r>
              <w:rPr>
                <w:szCs w:val="24"/>
              </w:rPr>
              <w:t>La  Corse dispose de rich</w:t>
            </w:r>
            <w:r>
              <w:rPr>
                <w:szCs w:val="24"/>
              </w:rPr>
              <w:t>esses naturelles indéniables en termes de biodiversité sur lesquelles repose en partie l'identité de l'île. L'enjeu de protection est donc de taille particulièrement en raison des pressions liées aux activités humaines notamment en période de forte fréquen</w:t>
            </w:r>
            <w:r>
              <w:rPr>
                <w:szCs w:val="24"/>
              </w:rPr>
              <w:t>tation touristique.</w:t>
            </w:r>
          </w:p>
          <w:p w:rsidR="0035701C" w:rsidRDefault="00FB561B">
            <w:pPr>
              <w:spacing w:before="240" w:after="240"/>
              <w:jc w:val="left"/>
              <w:rPr>
                <w:szCs w:val="24"/>
              </w:rPr>
            </w:pPr>
            <w:r>
              <w:rPr>
                <w:szCs w:val="24"/>
              </w:rPr>
              <w:t>Pour chaque site Natura 2000, un document d’objectifs (DOCOB) est élaboré localement sous l’égide d’un comité de pilotage (COPIL) rassemblant l’ensemble des acteurs d’un site.</w:t>
            </w:r>
          </w:p>
          <w:p w:rsidR="0035701C" w:rsidRDefault="00FB561B">
            <w:pPr>
              <w:spacing w:before="240" w:after="240"/>
              <w:jc w:val="left"/>
              <w:rPr>
                <w:szCs w:val="24"/>
              </w:rPr>
            </w:pPr>
            <w:r>
              <w:rPr>
                <w:szCs w:val="24"/>
              </w:rPr>
              <w:t xml:space="preserve">AU sein de chaque COPIL, une structure porteuse, chargée de </w:t>
            </w:r>
            <w:r>
              <w:rPr>
                <w:szCs w:val="24"/>
              </w:rPr>
              <w:t>l’élaboration du DOCOB, puis une fois ce dernier achevé, une structure porteuse chargée de l’animation du DOCOB sont désignées. Le DOCOB est mis en œuvre par un « animateur » qui suit l’évolution des habitats et des espèces, sensibilise les acteurs à la pr</w:t>
            </w:r>
            <w:r>
              <w:rPr>
                <w:szCs w:val="24"/>
              </w:rPr>
              <w:t>éservation des habitats et espèces présents sur le site, et facilité la mise en place des actions de gestion.</w:t>
            </w:r>
          </w:p>
          <w:p w:rsidR="0035701C" w:rsidRDefault="00FB561B">
            <w:pPr>
              <w:spacing w:before="240" w:after="240"/>
              <w:jc w:val="left"/>
              <w:rPr>
                <w:szCs w:val="24"/>
              </w:rPr>
            </w:pPr>
            <w:r>
              <w:rPr>
                <w:szCs w:val="24"/>
              </w:rPr>
              <w:t xml:space="preserve">Le type d’opération vise à financer l’élaboration et la révision des DOCOB des sites Natura 2000 prévues par les articles L.414-2 et R. 414-11 du </w:t>
            </w:r>
            <w:r>
              <w:rPr>
                <w:szCs w:val="24"/>
              </w:rPr>
              <w:t>code de l’environnement.</w:t>
            </w:r>
          </w:p>
          <w:p w:rsidR="0035701C" w:rsidRDefault="00FB561B">
            <w:pPr>
              <w:spacing w:before="240" w:after="240"/>
              <w:jc w:val="left"/>
              <w:rPr>
                <w:szCs w:val="24"/>
              </w:rPr>
            </w:pPr>
            <w:r>
              <w:rPr>
                <w:szCs w:val="24"/>
              </w:rPr>
              <w:t xml:space="preserve">Ces opérations portent sur les sites Natura 2000 désignés ou proposés à la Commission européenne (sites d’importance communautaire, propositions de sites d’importance communautaire, zones de protection spéciales ou zones spéciales </w:t>
            </w:r>
            <w:r>
              <w:rPr>
                <w:szCs w:val="24"/>
              </w:rPr>
              <w:t>de conservation). Les sites concernés sont les sites terrestres ou comportant une partie terrestre.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L’opération répond aux besoins suivants :</w:t>
            </w:r>
          </w:p>
          <w:p w:rsidR="0035701C" w:rsidRDefault="00FB561B" w:rsidP="00FB561B">
            <w:pPr>
              <w:numPr>
                <w:ilvl w:val="0"/>
                <w:numId w:val="473"/>
              </w:numPr>
              <w:spacing w:before="240" w:after="0"/>
              <w:ind w:hanging="210"/>
              <w:jc w:val="left"/>
              <w:rPr>
                <w:szCs w:val="24"/>
              </w:rPr>
            </w:pPr>
            <w:r>
              <w:rPr>
                <w:szCs w:val="24"/>
              </w:rPr>
              <w:t>N°30 : Favoriser les approches du développement endogène visant à la valorisation des ressources productives, cu</w:t>
            </w:r>
            <w:r>
              <w:rPr>
                <w:szCs w:val="24"/>
              </w:rPr>
              <w:t>lturelles et patrimoniales des territoires.</w:t>
            </w:r>
          </w:p>
          <w:p w:rsidR="0035701C" w:rsidRDefault="00FB561B" w:rsidP="00FB561B">
            <w:pPr>
              <w:numPr>
                <w:ilvl w:val="0"/>
                <w:numId w:val="473"/>
              </w:numPr>
              <w:spacing w:before="0" w:after="240"/>
              <w:ind w:hanging="210"/>
              <w:jc w:val="left"/>
              <w:rPr>
                <w:szCs w:val="24"/>
              </w:rPr>
            </w:pPr>
            <w:r>
              <w:rPr>
                <w:szCs w:val="24"/>
              </w:rPr>
              <w:t>N°32 : Préserver le bon état de l'environnement, assurer le renouvellement des ressources naturelles et prévenir le risque incendie</w:t>
            </w:r>
          </w:p>
          <w:p w:rsidR="0035701C" w:rsidRDefault="00FB561B">
            <w:pPr>
              <w:spacing w:before="240" w:after="240"/>
              <w:jc w:val="left"/>
              <w:rPr>
                <w:szCs w:val="24"/>
              </w:rPr>
            </w:pPr>
            <w:r>
              <w:rPr>
                <w:szCs w:val="24"/>
              </w:rPr>
              <w:t>L’opération contribue au domaine prioritaire :</w:t>
            </w:r>
          </w:p>
          <w:p w:rsidR="0035701C" w:rsidRDefault="00FB561B" w:rsidP="00FB561B">
            <w:pPr>
              <w:numPr>
                <w:ilvl w:val="0"/>
                <w:numId w:val="474"/>
              </w:numPr>
              <w:spacing w:before="240" w:after="240"/>
              <w:ind w:hanging="210"/>
              <w:jc w:val="left"/>
              <w:rPr>
                <w:szCs w:val="24"/>
              </w:rPr>
            </w:pPr>
            <w:r>
              <w:rPr>
                <w:szCs w:val="24"/>
              </w:rPr>
              <w:t xml:space="preserve">4a : Restaurer, préserver et </w:t>
            </w:r>
            <w:r>
              <w:rPr>
                <w:szCs w:val="24"/>
              </w:rPr>
              <w:t>renforcer la biodiversité, y compris dans les zones relevant de Natura 2000</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versée sous forme de 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Code Général des Collectivités Territoriales.</w:t>
            </w:r>
          </w:p>
          <w:p w:rsidR="0035701C" w:rsidRDefault="00FB561B">
            <w:pPr>
              <w:spacing w:before="240" w:after="240"/>
              <w:jc w:val="left"/>
              <w:rPr>
                <w:szCs w:val="24"/>
              </w:rPr>
            </w:pPr>
            <w:r>
              <w:rPr>
                <w:szCs w:val="24"/>
              </w:rPr>
              <w:t>Code rural, notamment article L131 et suivants.</w:t>
            </w:r>
          </w:p>
          <w:p w:rsidR="0035701C" w:rsidRDefault="00FB561B">
            <w:pPr>
              <w:spacing w:before="240" w:after="240"/>
              <w:jc w:val="left"/>
              <w:rPr>
                <w:szCs w:val="24"/>
              </w:rPr>
            </w:pPr>
            <w:r>
              <w:rPr>
                <w:szCs w:val="24"/>
              </w:rPr>
              <w:t>Code de l’environnement</w:t>
            </w:r>
          </w:p>
          <w:p w:rsidR="0035701C" w:rsidRDefault="00FB561B">
            <w:pPr>
              <w:spacing w:before="240" w:after="240"/>
              <w:jc w:val="left"/>
              <w:rPr>
                <w:szCs w:val="24"/>
              </w:rPr>
            </w:pPr>
            <w:r>
              <w:rPr>
                <w:szCs w:val="24"/>
              </w:rPr>
              <w:t>Une complémentarité est prévue entre le type d’opération 7.1.2 et l’animation des DOCOB Natura 2000 qui relèvera de la sous-mesure 7.6 (7.6.1)</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Sont éligibles :</w:t>
            </w:r>
          </w:p>
          <w:p w:rsidR="0035701C" w:rsidRDefault="00FB561B" w:rsidP="00FB561B">
            <w:pPr>
              <w:numPr>
                <w:ilvl w:val="0"/>
                <w:numId w:val="475"/>
              </w:numPr>
              <w:spacing w:before="240" w:after="0"/>
              <w:ind w:hanging="210"/>
              <w:jc w:val="left"/>
              <w:rPr>
                <w:szCs w:val="24"/>
              </w:rPr>
            </w:pPr>
            <w:r>
              <w:rPr>
                <w:szCs w:val="24"/>
              </w:rPr>
              <w:t>Les stru</w:t>
            </w:r>
            <w:r>
              <w:rPr>
                <w:szCs w:val="24"/>
              </w:rPr>
              <w:t>ctures porteuses désignées par le comité de pilotage pour élaborer les documents d’objectifs </w:t>
            </w:r>
          </w:p>
          <w:p w:rsidR="0035701C" w:rsidRDefault="00FB561B" w:rsidP="00FB561B">
            <w:pPr>
              <w:numPr>
                <w:ilvl w:val="0"/>
                <w:numId w:val="475"/>
              </w:numPr>
              <w:spacing w:before="0" w:after="0"/>
              <w:ind w:hanging="210"/>
              <w:jc w:val="left"/>
              <w:rPr>
                <w:szCs w:val="24"/>
              </w:rPr>
            </w:pPr>
            <w:r>
              <w:rPr>
                <w:szCs w:val="24"/>
              </w:rPr>
              <w:t>Collectivités territoriales et leurs groupements</w:t>
            </w:r>
          </w:p>
          <w:p w:rsidR="0035701C" w:rsidRDefault="00FB561B" w:rsidP="00FB561B">
            <w:pPr>
              <w:numPr>
                <w:ilvl w:val="0"/>
                <w:numId w:val="475"/>
              </w:numPr>
              <w:spacing w:before="0" w:after="240"/>
              <w:ind w:hanging="210"/>
              <w:jc w:val="left"/>
              <w:rPr>
                <w:szCs w:val="24"/>
              </w:rPr>
            </w:pPr>
            <w:r>
              <w:rPr>
                <w:szCs w:val="24"/>
              </w:rPr>
              <w:t>Etablissements Publics ayant compétence en matière environnementale, établissements publics des parcs nationaux</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Coûts directs :</w:t>
            </w:r>
          </w:p>
          <w:p w:rsidR="0035701C" w:rsidRDefault="00FB561B" w:rsidP="00FB561B">
            <w:pPr>
              <w:numPr>
                <w:ilvl w:val="0"/>
                <w:numId w:val="476"/>
              </w:numPr>
              <w:spacing w:before="240" w:after="0"/>
              <w:ind w:hanging="210"/>
              <w:jc w:val="left"/>
              <w:rPr>
                <w:szCs w:val="24"/>
              </w:rPr>
            </w:pPr>
            <w:r>
              <w:rPr>
                <w:szCs w:val="24"/>
              </w:rPr>
              <w:t>Dépenses de rémunération (salaires et charges) liés directement à l'opération et comportant un lien démontré avec celle-ci</w:t>
            </w:r>
          </w:p>
          <w:p w:rsidR="0035701C" w:rsidRDefault="00FB561B" w:rsidP="00FB561B">
            <w:pPr>
              <w:numPr>
                <w:ilvl w:val="0"/>
                <w:numId w:val="476"/>
              </w:numPr>
              <w:spacing w:before="0" w:after="0"/>
              <w:ind w:hanging="210"/>
              <w:jc w:val="left"/>
              <w:rPr>
                <w:szCs w:val="24"/>
              </w:rPr>
            </w:pPr>
            <w:r>
              <w:rPr>
                <w:szCs w:val="24"/>
              </w:rPr>
              <w:t xml:space="preserve">Couts indirects forfaitaires representant 15% de frais de personnel directs eligibles, </w:t>
            </w:r>
            <w:r>
              <w:rPr>
                <w:szCs w:val="24"/>
              </w:rPr>
              <w:t>conformément à l'article 68-1b du R(UE) 1303/2013</w:t>
            </w:r>
          </w:p>
          <w:p w:rsidR="0035701C" w:rsidRDefault="00FB561B" w:rsidP="00FB561B">
            <w:pPr>
              <w:numPr>
                <w:ilvl w:val="0"/>
                <w:numId w:val="476"/>
              </w:numPr>
              <w:spacing w:before="0" w:after="0"/>
              <w:ind w:hanging="210"/>
              <w:jc w:val="left"/>
              <w:rPr>
                <w:szCs w:val="24"/>
              </w:rPr>
            </w:pPr>
            <w:r>
              <w:rPr>
                <w:szCs w:val="24"/>
              </w:rPr>
              <w:t>Frais de déplacements</w:t>
            </w:r>
          </w:p>
          <w:p w:rsidR="0035701C" w:rsidRDefault="00FB561B" w:rsidP="00FB561B">
            <w:pPr>
              <w:numPr>
                <w:ilvl w:val="0"/>
                <w:numId w:val="476"/>
              </w:numPr>
              <w:spacing w:before="0" w:after="240"/>
              <w:ind w:hanging="210"/>
              <w:jc w:val="left"/>
              <w:rPr>
                <w:szCs w:val="24"/>
              </w:rPr>
            </w:pPr>
            <w:r>
              <w:rPr>
                <w:szCs w:val="24"/>
              </w:rPr>
              <w:t>Frais de sous-traitance et prestations de services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projets devront répondre aux conditions suivantes :</w:t>
            </w:r>
          </w:p>
          <w:p w:rsidR="0035701C" w:rsidRDefault="00FB561B" w:rsidP="00FB561B">
            <w:pPr>
              <w:numPr>
                <w:ilvl w:val="0"/>
                <w:numId w:val="477"/>
              </w:numPr>
              <w:spacing w:before="240" w:after="0"/>
              <w:ind w:hanging="210"/>
              <w:jc w:val="left"/>
              <w:rPr>
                <w:szCs w:val="24"/>
              </w:rPr>
            </w:pPr>
            <w:r>
              <w:rPr>
                <w:szCs w:val="24"/>
              </w:rPr>
              <w:t>être situé en site Natura 2000;</w:t>
            </w:r>
          </w:p>
          <w:p w:rsidR="0035701C" w:rsidRDefault="00FB561B" w:rsidP="00FB561B">
            <w:pPr>
              <w:numPr>
                <w:ilvl w:val="0"/>
                <w:numId w:val="477"/>
              </w:numPr>
              <w:spacing w:before="0" w:after="0"/>
              <w:ind w:hanging="210"/>
              <w:jc w:val="left"/>
              <w:rPr>
                <w:szCs w:val="24"/>
              </w:rPr>
            </w:pPr>
            <w:r>
              <w:rPr>
                <w:szCs w:val="24"/>
              </w:rPr>
              <w:t xml:space="preserve">les projets </w:t>
            </w:r>
            <w:r>
              <w:rPr>
                <w:szCs w:val="24"/>
              </w:rPr>
              <w:t>devront s’inscrire en cohérence avec les orientations du Plan d’Aménagement et de Développement Durable de la Corse (PADDUC) ;</w:t>
            </w:r>
          </w:p>
          <w:p w:rsidR="0035701C" w:rsidRDefault="00FB561B" w:rsidP="00FB561B">
            <w:pPr>
              <w:numPr>
                <w:ilvl w:val="0"/>
                <w:numId w:val="477"/>
              </w:numPr>
              <w:spacing w:before="0" w:after="240"/>
              <w:ind w:hanging="210"/>
              <w:jc w:val="left"/>
              <w:rPr>
                <w:szCs w:val="24"/>
              </w:rPr>
            </w:pPr>
            <w:r>
              <w:rPr>
                <w:szCs w:val="24"/>
              </w:rPr>
              <w:t>Le projet doit se situer en zone rurale telle que définie à la section 8.1 du PDRC</w:t>
            </w:r>
          </w:p>
          <w:p w:rsidR="0035701C" w:rsidRDefault="0035701C">
            <w:pPr>
              <w:pStyle w:val="Corpsdetexte"/>
            </w:pPr>
          </w:p>
        </w:tc>
      </w:tr>
    </w:tbl>
    <w:p w:rsidR="0035701C" w:rsidRDefault="00FB561B">
      <w:pPr>
        <w:pStyle w:val="Titre6"/>
      </w:pPr>
      <w:r>
        <w:t xml:space="preserve">Principes applicables à l'établissement des </w:t>
      </w:r>
      <w:r>
        <w:t>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Une grille de sélection des opérations prévoira l’établissement d’un système de points permettant le classement des dossiers et la fixation d’un seuil minimal afin d’accéder au soutien au titre du PDRC. Les critères pourront prendre e</w:t>
            </w:r>
            <w:r>
              <w:rPr>
                <w:szCs w:val="24"/>
              </w:rPr>
              <w:t>n compte :</w:t>
            </w:r>
          </w:p>
          <w:p w:rsidR="0035701C" w:rsidRDefault="00FB561B" w:rsidP="00FB561B">
            <w:pPr>
              <w:numPr>
                <w:ilvl w:val="0"/>
                <w:numId w:val="478"/>
              </w:numPr>
              <w:spacing w:before="240" w:after="0"/>
              <w:ind w:hanging="210"/>
              <w:jc w:val="left"/>
              <w:rPr>
                <w:szCs w:val="24"/>
              </w:rPr>
            </w:pPr>
            <w:r>
              <w:rPr>
                <w:szCs w:val="24"/>
              </w:rPr>
              <w:t>Responsabilité de la région dans la préservation de la biodiversité terrestre</w:t>
            </w:r>
          </w:p>
          <w:p w:rsidR="0035701C" w:rsidRDefault="00FB561B" w:rsidP="00FB561B">
            <w:pPr>
              <w:numPr>
                <w:ilvl w:val="0"/>
                <w:numId w:val="478"/>
              </w:numPr>
              <w:spacing w:before="0" w:after="0"/>
              <w:ind w:hanging="210"/>
              <w:jc w:val="left"/>
              <w:rPr>
                <w:szCs w:val="24"/>
              </w:rPr>
            </w:pPr>
            <w:r>
              <w:rPr>
                <w:szCs w:val="24"/>
              </w:rPr>
              <w:t>Niveau de sensibilité du site</w:t>
            </w:r>
          </w:p>
          <w:p w:rsidR="0035701C" w:rsidRDefault="00FB561B" w:rsidP="00FB561B">
            <w:pPr>
              <w:numPr>
                <w:ilvl w:val="0"/>
                <w:numId w:val="478"/>
              </w:numPr>
              <w:spacing w:before="0" w:after="0"/>
              <w:ind w:hanging="210"/>
              <w:jc w:val="left"/>
              <w:rPr>
                <w:szCs w:val="24"/>
              </w:rPr>
            </w:pPr>
            <w:r>
              <w:rPr>
                <w:szCs w:val="24"/>
              </w:rPr>
              <w:t>Intérêt patrimonial du territoire concerné</w:t>
            </w:r>
          </w:p>
          <w:p w:rsidR="0035701C" w:rsidRDefault="00FB561B" w:rsidP="00FB561B">
            <w:pPr>
              <w:numPr>
                <w:ilvl w:val="0"/>
                <w:numId w:val="478"/>
              </w:numPr>
              <w:spacing w:before="0" w:after="0"/>
              <w:ind w:hanging="210"/>
              <w:jc w:val="left"/>
              <w:rPr>
                <w:szCs w:val="24"/>
              </w:rPr>
            </w:pPr>
            <w:r>
              <w:rPr>
                <w:szCs w:val="24"/>
              </w:rPr>
              <w:t>Compétences porteur de projet</w:t>
            </w:r>
          </w:p>
          <w:p w:rsidR="0035701C" w:rsidRDefault="00FB561B" w:rsidP="00FB561B">
            <w:pPr>
              <w:numPr>
                <w:ilvl w:val="0"/>
                <w:numId w:val="478"/>
              </w:numPr>
              <w:spacing w:before="0" w:after="240"/>
              <w:ind w:hanging="210"/>
              <w:jc w:val="left"/>
              <w:rPr>
                <w:szCs w:val="24"/>
              </w:rPr>
            </w:pPr>
            <w:r>
              <w:rPr>
                <w:szCs w:val="24"/>
              </w:rPr>
              <w:t>Efficacité du projet</w:t>
            </w:r>
          </w:p>
          <w:p w:rsidR="0035701C" w:rsidRDefault="00FB561B">
            <w:pPr>
              <w:spacing w:before="240" w:after="240"/>
              <w:jc w:val="left"/>
              <w:rPr>
                <w:szCs w:val="24"/>
              </w:rPr>
            </w:pPr>
            <w:r>
              <w:rPr>
                <w:szCs w:val="24"/>
              </w:rPr>
              <w:t>Sélection des projets après instruction des</w:t>
            </w:r>
            <w:r>
              <w:rPr>
                <w:szCs w:val="24"/>
              </w:rPr>
              <w:t xml:space="preserve"> dossiers déposés</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Taux d’aide publique 100 %</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 xml:space="preserve">Dialogue AG/OP sur l’évolution du contenu de la </w:t>
            </w:r>
            <w:r>
              <w:rPr>
                <w:szCs w:val="24"/>
                <w:u w:val="single"/>
              </w:rPr>
              <w:t>mesure :</w:t>
            </w:r>
          </w:p>
          <w:p w:rsidR="0035701C" w:rsidRDefault="00FB561B">
            <w:pPr>
              <w:spacing w:before="240" w:after="240"/>
              <w:jc w:val="left"/>
              <w:rPr>
                <w:szCs w:val="24"/>
              </w:rPr>
            </w:pPr>
            <w:r>
              <w:rPr>
                <w:szCs w:val="24"/>
              </w:rPr>
              <w:t>- L'OP a demandé que soient bien décrits les pétitionnaires susceptibles d'être bénéficiaires de cette opération. Les éléments de Droit, les précisions apportées au présent texte, ainsi que le détail des éléments de sélection et d'admissibilité so</w:t>
            </w:r>
            <w:r>
              <w:rPr>
                <w:szCs w:val="24"/>
              </w:rPr>
              <w:t>nt satisfaisants.  La prise en charge des coûts des actions financées décrites est satisfaisante.</w:t>
            </w:r>
          </w:p>
          <w:p w:rsidR="0035701C" w:rsidRDefault="00FB561B">
            <w:pPr>
              <w:spacing w:before="240" w:after="240"/>
              <w:jc w:val="left"/>
              <w:rPr>
                <w:szCs w:val="24"/>
              </w:rPr>
            </w:pPr>
            <w:r>
              <w:rPr>
                <w:szCs w:val="24"/>
              </w:rPr>
              <w:t>- Compte tenu de la proximité de définition des actions 7.12, 7.6.1 et 7.6.4 l'OP recommande à l'ensemble des gestionnaires une vigilance accrue sur les risqu</w:t>
            </w:r>
            <w:r>
              <w:rPr>
                <w:szCs w:val="24"/>
              </w:rPr>
              <w:t>es de double financement.</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n°1 - R1 : Pour les formes juridiques sociétaires ou associatives, les collectivités, conformité des statuts et actes, mise à jour effective et confor</w:t>
            </w:r>
            <w:r>
              <w:rPr>
                <w:szCs w:val="24"/>
              </w:rPr>
              <w:t>me au long de la période d’engagement.  (source : Législation nationale : décalage entre Droit Social, Droit des Sociétés, Droit Rural.</w:t>
            </w:r>
          </w:p>
          <w:p w:rsidR="0035701C" w:rsidRDefault="00FB561B">
            <w:pPr>
              <w:spacing w:before="240" w:after="240"/>
              <w:jc w:val="left"/>
              <w:rPr>
                <w:szCs w:val="24"/>
              </w:rPr>
            </w:pPr>
            <w:r>
              <w:rPr>
                <w:szCs w:val="24"/>
              </w:rPr>
              <w:t>n°2 - R10 : Dépenses du maître d'ouvrage, définition des éléments comptables et preuves probantes pris en charge, sensib</w:t>
            </w:r>
            <w:r>
              <w:rPr>
                <w:szCs w:val="24"/>
              </w:rPr>
              <w:t>ilisation de l'administration et des bénéficiaires (charges sociales, liste présence aux réunions,…). (source : 2007-2013 en continu Formation de l'administration, des Partenaires, des Bénéficiaires, Multiplicité des précisions sur « Guidance » (notes de c</w:t>
            </w:r>
            <w:r>
              <w:rPr>
                <w:szCs w:val="24"/>
              </w:rPr>
              <w:t>adrage))</w:t>
            </w:r>
          </w:p>
          <w:p w:rsidR="0035701C" w:rsidRDefault="00FB561B">
            <w:pPr>
              <w:spacing w:before="240" w:after="240"/>
              <w:jc w:val="left"/>
              <w:rPr>
                <w:szCs w:val="24"/>
              </w:rPr>
            </w:pPr>
            <w:r>
              <w:rPr>
                <w:szCs w:val="24"/>
              </w:rPr>
              <w:t>n°3 - R2 : Pour les prestations de service : En l’absence de recours à des coûts relevant de l’article 62.2 du R/UE 1305/2013, mise en place d’un protocole d’évaluation à partir de 3 devis et/ou avis authentique du comité technique en charge de la</w:t>
            </w:r>
            <w:r>
              <w:rPr>
                <w:szCs w:val="24"/>
              </w:rPr>
              <w:t xml:space="preserve"> sélection des opérations garantissant le caractère raisonnable de la dépense. (source : CCCOP Exercice 2012-2014)</w:t>
            </w:r>
          </w:p>
          <w:p w:rsidR="0035701C" w:rsidRDefault="00FB561B">
            <w:pPr>
              <w:spacing w:before="240" w:after="240"/>
              <w:jc w:val="left"/>
              <w:rPr>
                <w:szCs w:val="24"/>
              </w:rPr>
            </w:pPr>
            <w:r>
              <w:rPr>
                <w:szCs w:val="24"/>
              </w:rPr>
              <w:t>n°4 - R4 : Pour les sous-traitances : Identification claire des organismes et/ou sociétés sélectionnés, garantissant leur viabilité et leur p</w:t>
            </w:r>
            <w:r>
              <w:rPr>
                <w:szCs w:val="24"/>
              </w:rPr>
              <w:t>érennité. (source : Ponctuel sur Retour d'Expérience)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VERIFIER Pour les formes juridiques sociétaires ou associatives, conformité des statuts et actes, mise à jour effective et conforme.</w:t>
            </w:r>
          </w:p>
          <w:p w:rsidR="0035701C" w:rsidRDefault="00FB561B">
            <w:pPr>
              <w:spacing w:before="240" w:after="240"/>
              <w:jc w:val="left"/>
              <w:rPr>
                <w:szCs w:val="24"/>
              </w:rPr>
            </w:pPr>
            <w:r>
              <w:rPr>
                <w:szCs w:val="24"/>
              </w:rPr>
              <w:t xml:space="preserve">n°2 - R10 : VERIFIER </w:t>
            </w:r>
            <w:r>
              <w:rPr>
                <w:szCs w:val="24"/>
              </w:rPr>
              <w:t>Principalement de bien détailler frais de déplacements (selon barème pré établi), coûts salariaux, modalités d'enregistrement et de suivi des participants, les contributions en nature….</w:t>
            </w:r>
          </w:p>
          <w:p w:rsidR="0035701C" w:rsidRDefault="00FB561B">
            <w:pPr>
              <w:spacing w:before="240" w:after="240"/>
              <w:jc w:val="left"/>
              <w:rPr>
                <w:szCs w:val="24"/>
              </w:rPr>
            </w:pPr>
            <w:r>
              <w:rPr>
                <w:szCs w:val="24"/>
              </w:rPr>
              <w:t>n°3 - R2 : VERIFIER Principalement de bien comparer les offres de serv</w:t>
            </w:r>
            <w:r>
              <w:rPr>
                <w:szCs w:val="24"/>
              </w:rPr>
              <w:t>ices sous seuil des marchés publics tant financièrement que qualitativement.</w:t>
            </w:r>
          </w:p>
          <w:p w:rsidR="0035701C" w:rsidRDefault="00FB561B">
            <w:pPr>
              <w:spacing w:before="240" w:after="240"/>
              <w:jc w:val="left"/>
              <w:rPr>
                <w:szCs w:val="24"/>
              </w:rPr>
            </w:pPr>
            <w:r>
              <w:rPr>
                <w:szCs w:val="24"/>
              </w:rPr>
              <w:t>n°4 - R4 : SENSIBILISER lors de l'instruction au bon respect du Code des marchés publics.</w:t>
            </w:r>
          </w:p>
          <w:p w:rsidR="0035701C" w:rsidRDefault="00FB561B">
            <w:pPr>
              <w:spacing w:before="240" w:after="240"/>
              <w:jc w:val="left"/>
              <w:rPr>
                <w:szCs w:val="24"/>
              </w:rPr>
            </w:pPr>
            <w:r>
              <w:rPr>
                <w:szCs w:val="24"/>
              </w:rPr>
              <w:t xml:space="preserve">                 CONTROLER à la demande de paiement le respect des procédures de marchés </w:t>
            </w:r>
            <w:r>
              <w:rPr>
                <w:szCs w:val="24"/>
              </w:rPr>
              <w:t>publics.</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Au vu des cotations matricielles, sur le poids financier de la mesure (&lt;5%), sur les priorités, les risques, les mesures d’atténuation prévues, cette mesure reçoit une évaluation  favorable peu risquée ; Les méc</w:t>
            </w:r>
            <w:r>
              <w:rPr>
                <w:szCs w:val="24"/>
              </w:rPr>
              <w:t>anismes de mise en œuvre sont connus et maîtrisés par tous les acteurs.</w:t>
            </w:r>
          </w:p>
          <w:p w:rsidR="0035701C" w:rsidRDefault="00FB561B">
            <w:pPr>
              <w:spacing w:before="240" w:after="240"/>
              <w:jc w:val="left"/>
              <w:rPr>
                <w:szCs w:val="24"/>
              </w:rPr>
            </w:pPr>
            <w:r>
              <w:rPr>
                <w:szCs w:val="24"/>
              </w:rPr>
              <w:t>- Concernant l'évaluation globale de la mesure : la mesure est contrôlable sous réserve de la mise en place d'actions d'atténuation et des précisions apportées dans les documents de mi</w:t>
            </w:r>
            <w:r>
              <w:rPr>
                <w:szCs w:val="24"/>
              </w:rPr>
              <w:t>se en œuvre notamment sur la nécessité de bien contrôler le coût raisonnable des prestations de service, le bon respect du Code des marchés publics et  la justification des dépenses de frais généraux (fixer des barèmes pour les frais de déplacements, les p</w:t>
            </w:r>
            <w:r>
              <w:rPr>
                <w:szCs w:val="24"/>
              </w:rPr>
              <w:t>récisions sur les coûts salariaux pris en charge, les justificatifs de présence, et les modes de calcul)</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pPr>
        <w:pStyle w:val="Titre6"/>
      </w:pPr>
      <w:r>
        <w:t>Informations spécifiques sur l'opération</w:t>
      </w:r>
    </w:p>
    <w:p w:rsidR="0035701C" w:rsidRDefault="00FB561B">
      <w:r>
        <w:t>Définition de la notion d’infrastructure «à</w:t>
      </w:r>
      <w:r>
        <w:t xml:space="preserve"> petite échelle», y compris les infrastructures touristiques à petite échelle visées à l’article 20, paragraphe 1, point e),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Sont considérées comme infrastructures à petite échelle les investissements ne dépassant pas 2M€ de </w:t>
            </w:r>
            <w:r>
              <w:rPr>
                <w:szCs w:val="24"/>
              </w:rPr>
              <w:t>dépenses éligibles par opération</w:t>
            </w:r>
          </w:p>
          <w:p w:rsidR="0035701C" w:rsidRDefault="0035701C">
            <w:pPr>
              <w:pStyle w:val="Corpsdetexte"/>
            </w:pPr>
          </w:p>
        </w:tc>
      </w:tr>
    </w:tbl>
    <w:p w:rsidR="0035701C" w:rsidRDefault="00FB561B">
      <w:r>
        <w:t>S'il y a lieu, dérogation spécifique pour les investissements dans le haut débit et les énergies renouvelables, de sorte que les infrastructures à plus grande échelle puissent également bénéficier d’une aide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Information</w:t>
      </w:r>
      <w:r>
        <w:t>s sur l’application du délai de grâce visé à l’article 2, paragraphe 3,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Les normes minimales en matière d’efficacité énergétique visées à l’article 13, point c), du règlement délégué (UE) nº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Fixation des s</w:t>
      </w:r>
      <w:r>
        <w:t>euils visés à l'article 13, point e), du [DA RD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pPr>
        <w:pStyle w:val="Titre5"/>
        <w:rPr>
          <w:b w:val="0"/>
        </w:rPr>
      </w:pPr>
      <w:r>
        <w:rPr>
          <w:b w:val="0"/>
        </w:rPr>
        <w:br w:type="page"/>
        <w:t>7.2- Electrification</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479"/>
              </w:numPr>
            </w:pPr>
            <w:r>
              <w:t xml:space="preserve">7.2 – Aide aux investissements dans la création, l'amélioration ou le développement de tout type d'infrastructure à petite échelle, notamment les </w:t>
            </w:r>
            <w:r>
              <w:t>investissements dans les énergies renouvelables et les économies d'énergie</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Sous-titre complet de l’opération : Electrification = Raccordement des agriculteurs au réseau électrique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xml:space="preserve">L’intervention consiste à améliorer </w:t>
            </w:r>
            <w:r>
              <w:rPr>
                <w:szCs w:val="24"/>
              </w:rPr>
              <w:t>l’accessibilité des territoires ruraux afin de favoriser l’accueil et le maintien d’activités. Il convient de soutenir la réalisation d’extension des réseaux électriques dans le cadre des missions de service public de raccordement des usagers. Ces missions</w:t>
            </w:r>
            <w:r>
              <w:rPr>
                <w:szCs w:val="24"/>
              </w:rPr>
              <w:t xml:space="preserve"> entrent dans les programmes stratégiques d’intervention des syndicats départementaux d’électrification.</w:t>
            </w:r>
          </w:p>
          <w:p w:rsidR="0035701C" w:rsidRDefault="00FB561B">
            <w:pPr>
              <w:spacing w:before="240" w:after="240"/>
              <w:jc w:val="left"/>
              <w:rPr>
                <w:szCs w:val="24"/>
              </w:rPr>
            </w:pPr>
            <w:r>
              <w:rPr>
                <w:szCs w:val="24"/>
              </w:rPr>
              <w:t>La sous-mesure répond ainsi aux besoins n°31 : Développer la mise en place des services essentiels et l'accueil en milieu rural, et n°33 : Maintenir un</w:t>
            </w:r>
            <w:r>
              <w:rPr>
                <w:szCs w:val="24"/>
              </w:rPr>
              <w:t>e occupation du territoire et favoriser le lien social.</w:t>
            </w:r>
          </w:p>
          <w:p w:rsidR="0035701C" w:rsidRDefault="00FB561B">
            <w:pPr>
              <w:spacing w:before="240" w:after="240"/>
              <w:jc w:val="left"/>
              <w:rPr>
                <w:szCs w:val="24"/>
              </w:rPr>
            </w:pPr>
            <w:r>
              <w:rPr>
                <w:szCs w:val="24"/>
              </w:rPr>
              <w:t>L’aide est ciblée exclusivement sur les investissements de raccordement  au réseau public électrique des agriculteurs en zone rurale, sur les sites isolés et en dehors des agglomérations.</w:t>
            </w:r>
          </w:p>
          <w:p w:rsidR="0035701C" w:rsidRDefault="00FB561B">
            <w:pPr>
              <w:spacing w:before="240" w:after="240"/>
              <w:jc w:val="left"/>
              <w:rPr>
                <w:szCs w:val="24"/>
              </w:rPr>
            </w:pPr>
            <w:r>
              <w:rPr>
                <w:szCs w:val="24"/>
              </w:rPr>
              <w:t>En effet,  l</w:t>
            </w:r>
            <w:r>
              <w:rPr>
                <w:szCs w:val="24"/>
              </w:rPr>
              <w:t>es problématiques de raccordement au réseau électrique des agriculteurs dans les zones rurales sont un frein à la structuration et au développement de l’activité agricole, et tout particulièrement à l’installation de jeunes agriculteurs. La sous-mesure rép</w:t>
            </w:r>
            <w:r>
              <w:rPr>
                <w:szCs w:val="24"/>
              </w:rPr>
              <w:t>ond donc également au besoin n°10 : Moderniser les infrastructures des exploitations.</w:t>
            </w:r>
          </w:p>
          <w:p w:rsidR="0035701C" w:rsidRDefault="00FB561B">
            <w:pPr>
              <w:spacing w:before="240" w:after="240"/>
              <w:jc w:val="left"/>
              <w:rPr>
                <w:szCs w:val="24"/>
              </w:rPr>
            </w:pPr>
            <w:r>
              <w:rPr>
                <w:szCs w:val="24"/>
              </w:rPr>
              <w:t>Elle est ciblée sur le domaine prioritaire 2a) dans la mesure où elle contribue à l’amélioration de la compétitivité des exploitations agricoles qui bénéficient d’un racc</w:t>
            </w:r>
            <w:r>
              <w:rPr>
                <w:szCs w:val="24"/>
              </w:rPr>
              <w:t>ordement au réseau électrique.</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versée sous forme de 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Code Général des Collectivités Territoriales, notamment article L2224-31 et suivants.</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Etablissements publics en charge des missions de service public de raccordement électrique des usagers.</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Travaux et équipements relatif à l’extension, au renforcement et à la création des lignes électriques.</w:t>
            </w:r>
          </w:p>
          <w:p w:rsidR="0035701C" w:rsidRDefault="0035701C">
            <w:pPr>
              <w:pStyle w:val="Corpsdetexte"/>
            </w:pPr>
          </w:p>
        </w:tc>
      </w:tr>
    </w:tbl>
    <w:p w:rsidR="0035701C" w:rsidRDefault="00FB561B">
      <w:pPr>
        <w:pStyle w:val="Titre6"/>
      </w:pPr>
      <w:r>
        <w:t>Conditions d'</w:t>
      </w:r>
      <w:r>
        <w:t>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480"/>
              </w:numPr>
              <w:spacing w:before="0" w:after="0"/>
              <w:ind w:hanging="210"/>
              <w:jc w:val="left"/>
              <w:rPr>
                <w:szCs w:val="24"/>
              </w:rPr>
            </w:pPr>
            <w:r>
              <w:rPr>
                <w:szCs w:val="24"/>
              </w:rPr>
              <w:t>Projet situé en zone rurale</w:t>
            </w:r>
          </w:p>
          <w:p w:rsidR="0035701C" w:rsidRDefault="00FB561B" w:rsidP="00FB561B">
            <w:pPr>
              <w:numPr>
                <w:ilvl w:val="0"/>
                <w:numId w:val="480"/>
              </w:numPr>
              <w:spacing w:before="0" w:after="0"/>
              <w:ind w:hanging="210"/>
              <w:jc w:val="left"/>
              <w:rPr>
                <w:szCs w:val="24"/>
              </w:rPr>
            </w:pPr>
            <w:r>
              <w:rPr>
                <w:szCs w:val="24"/>
              </w:rPr>
              <w:t xml:space="preserve">L’intervention étant ciblée sur les agriculteurs, les maîtres d’ouvrage de ces infrastructures devront présenter les éléments attestant de la qualité d’exploitant agricole des agriculteurs utilisateurs de </w:t>
            </w:r>
            <w:r>
              <w:rPr>
                <w:szCs w:val="24"/>
              </w:rPr>
              <w:t>l’infrastructure.</w:t>
            </w:r>
          </w:p>
          <w:p w:rsidR="0035701C" w:rsidRDefault="00FB561B" w:rsidP="00FB561B">
            <w:pPr>
              <w:numPr>
                <w:ilvl w:val="0"/>
                <w:numId w:val="480"/>
              </w:numPr>
              <w:spacing w:before="0" w:after="240"/>
              <w:ind w:hanging="210"/>
              <w:jc w:val="left"/>
              <w:rPr>
                <w:szCs w:val="24"/>
              </w:rPr>
            </w:pPr>
            <w:r>
              <w:rPr>
                <w:szCs w:val="24"/>
              </w:rPr>
              <w:t>Conformément à l'article 20.3 du Règlement UE n°1305/2013, les opérations devront être  mises en œuvre conformément aux plans de développement des communes et des villages dans les zones rurales et de leurs services de base, s'il en exist</w:t>
            </w:r>
            <w:r>
              <w:rPr>
                <w:szCs w:val="24"/>
              </w:rPr>
              <w:t>e, et être compatibles, le cas échéant, avec toute stratégie locale de développement pertinente.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 mesure est mise en œuvre dans le cadre d’appels à projet.</w:t>
            </w:r>
          </w:p>
          <w:p w:rsidR="0035701C" w:rsidRDefault="00FB561B">
            <w:pPr>
              <w:spacing w:before="240" w:after="240"/>
              <w:jc w:val="left"/>
              <w:rPr>
                <w:szCs w:val="24"/>
              </w:rPr>
            </w:pPr>
            <w:r>
              <w:rPr>
                <w:szCs w:val="24"/>
              </w:rPr>
              <w:t xml:space="preserve">Les critères de </w:t>
            </w:r>
            <w:r>
              <w:rPr>
                <w:szCs w:val="24"/>
              </w:rPr>
              <w:t>sélection portent sur le périmètre d’intervention du projet, notamment :</w:t>
            </w:r>
          </w:p>
          <w:p w:rsidR="0035701C" w:rsidRDefault="00FB561B" w:rsidP="00FB561B">
            <w:pPr>
              <w:numPr>
                <w:ilvl w:val="0"/>
                <w:numId w:val="481"/>
              </w:numPr>
              <w:spacing w:before="240" w:after="0"/>
              <w:ind w:hanging="210"/>
              <w:jc w:val="left"/>
              <w:rPr>
                <w:szCs w:val="24"/>
              </w:rPr>
            </w:pPr>
            <w:r>
              <w:rPr>
                <w:szCs w:val="24"/>
              </w:rPr>
              <w:t>Nombre d’agriculteurs et part de JA</w:t>
            </w:r>
          </w:p>
          <w:p w:rsidR="0035701C" w:rsidRDefault="00FB561B" w:rsidP="00FB561B">
            <w:pPr>
              <w:numPr>
                <w:ilvl w:val="0"/>
                <w:numId w:val="481"/>
              </w:numPr>
              <w:spacing w:before="0" w:after="240"/>
              <w:ind w:hanging="210"/>
              <w:jc w:val="left"/>
              <w:rPr>
                <w:szCs w:val="24"/>
              </w:rPr>
            </w:pPr>
            <w:r>
              <w:rPr>
                <w:szCs w:val="24"/>
              </w:rPr>
              <w:t>Ancienneté de la demande de raccordement,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La grille de sélection des opérations prévoira l'établissement d'un système de points permettant le cla</w:t>
            </w:r>
            <w:r>
              <w:rPr>
                <w:szCs w:val="24"/>
              </w:rPr>
              <w:t>ssement des dossiers et la fixation d'un seuil minimal pour accéder au soutien au titre du PDRC.</w:t>
            </w:r>
          </w:p>
          <w:p w:rsidR="0035701C" w:rsidRDefault="00FB561B">
            <w:pPr>
              <w:spacing w:before="240" w:after="240"/>
              <w:ind w:left="360"/>
              <w:jc w:val="left"/>
              <w:rPr>
                <w:szCs w:val="24"/>
              </w:rPr>
            </w:pPr>
            <w:r>
              <w:rPr>
                <w:szCs w:val="24"/>
              </w:rPr>
              <w:t> </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482"/>
              </w:numPr>
              <w:spacing w:before="0" w:after="240"/>
              <w:ind w:hanging="210"/>
              <w:jc w:val="left"/>
              <w:rPr>
                <w:szCs w:val="24"/>
              </w:rPr>
            </w:pPr>
            <w:r>
              <w:rPr>
                <w:szCs w:val="24"/>
              </w:rPr>
              <w:t>Taux de l'aide publique : 70%</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 xml:space="preserve">Risque(s) </w:t>
      </w:r>
      <w:r>
        <w:t>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 :</w:t>
            </w:r>
          </w:p>
          <w:p w:rsidR="0035701C" w:rsidRDefault="00FB561B">
            <w:pPr>
              <w:spacing w:before="240" w:after="240"/>
              <w:jc w:val="left"/>
              <w:rPr>
                <w:szCs w:val="24"/>
              </w:rPr>
            </w:pPr>
            <w:r>
              <w:rPr>
                <w:szCs w:val="24"/>
              </w:rPr>
              <w:t>- L'OP a demandé que soient bien décrits les pétitionnaires susceptibles d'être bénéficiaires de cette opération. Les éléments de Droit, les précisions apportées a</w:t>
            </w:r>
            <w:r>
              <w:rPr>
                <w:szCs w:val="24"/>
              </w:rPr>
              <w:t>u présent texte, ainsi que le détail des éléments de réponse à fournir sur les appels à projet sont satisfaisants.  La prise en charge des coûts des action financées décrites est satisfaisante. On portera une attention particulière à la vérification du sta</w:t>
            </w:r>
            <w:r>
              <w:rPr>
                <w:szCs w:val="24"/>
              </w:rPr>
              <w:t>tut d'agriculteur des publics cible.</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n°1 - R1 : Pour les formes juridiques sociétaires ou associatives, les collectivités, conformité des statuts et actes, mise à jour effectiv</w:t>
            </w:r>
            <w:r>
              <w:rPr>
                <w:szCs w:val="24"/>
              </w:rPr>
              <w:t>e et conforme au long de la période d’engagement. Vérification de la qualité de propriétaire foncier (source : Législation nationale : décalage entre Droit Social, Droit des Sociétés, Droit Rural</w:t>
            </w:r>
          </w:p>
          <w:p w:rsidR="0035701C" w:rsidRDefault="00FB561B">
            <w:pPr>
              <w:spacing w:before="240" w:after="240"/>
              <w:jc w:val="left"/>
              <w:rPr>
                <w:szCs w:val="24"/>
              </w:rPr>
            </w:pPr>
            <w:r>
              <w:rPr>
                <w:szCs w:val="24"/>
              </w:rPr>
              <w:t xml:space="preserve">Législation nationale du Droit de Propriété, Droit des </w:t>
            </w:r>
            <w:r>
              <w:rPr>
                <w:szCs w:val="24"/>
              </w:rPr>
              <w:t>Successions, Droit Fiscal (modification pour la forêt en 2012)).</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VERIFIER Pour les formes juridiques sociétaires ou associatives, conformité des statuts et actes, mise à jour effective et conforme. VERIFIER la qualité de</w:t>
            </w:r>
            <w:r>
              <w:rPr>
                <w:szCs w:val="24"/>
              </w:rPr>
              <w:t xml:space="preserve"> propriétaire foncier des partenaires.</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Au vu des cotations matricielles, sur le poids financier de la mesure (&lt;5%), sur les priorités, les risques, les mesures d’atténuation prévues, cette mesure reçoit une évaluation  f</w:t>
            </w:r>
            <w:r>
              <w:rPr>
                <w:szCs w:val="24"/>
              </w:rPr>
              <w:t>avorable peu risquée ; Les mécanismes de mise en œuvre sont connus et maîtrisés par tous les acteurs.</w:t>
            </w:r>
          </w:p>
          <w:p w:rsidR="0035701C" w:rsidRDefault="00FB561B">
            <w:pPr>
              <w:spacing w:before="240" w:after="240"/>
              <w:jc w:val="left"/>
              <w:rPr>
                <w:szCs w:val="24"/>
              </w:rPr>
            </w:pPr>
            <w:r>
              <w:rPr>
                <w:szCs w:val="24"/>
              </w:rPr>
              <w:t>- Concernant l'évaluation globale de la mesure : la mesure est contrôlable sous réserve de la mise en place d'actions d'atténuation et des précisions appo</w:t>
            </w:r>
            <w:r>
              <w:rPr>
                <w:szCs w:val="24"/>
              </w:rPr>
              <w:t>rtées dans les documents de mise en œuvre notamment sur la nécessité de bien contrôler la qualité d'agriculteur des publics cible.</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Définition de </w:t>
      </w:r>
      <w:r>
        <w:t>la notion d’infrastructure «à petite échelle», y compris les infrastructures touristiques à petite échelle visées à l’article 20, paragraphe 1, point e),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Pour ce type d’opération la notion d’infrastructure à petite échelle co</w:t>
            </w:r>
            <w:r>
              <w:rPr>
                <w:szCs w:val="24"/>
              </w:rPr>
              <w:t>ncerne les investissements de lignes électriques dans les zones rurales, à l’échelle infra communale ou intercommunale. Pour chaque exploitation raccordée, l’infrastructure ne pourra excéder plus de 10 kilomètres.</w:t>
            </w:r>
          </w:p>
          <w:p w:rsidR="0035701C" w:rsidRDefault="0035701C">
            <w:pPr>
              <w:pStyle w:val="Corpsdetexte"/>
            </w:pPr>
          </w:p>
        </w:tc>
      </w:tr>
    </w:tbl>
    <w:p w:rsidR="0035701C" w:rsidRDefault="00FB561B">
      <w:r>
        <w:t>S'il y a lieu, dérogation spécifique pou</w:t>
      </w:r>
      <w:r>
        <w:t>r les investissements dans le haut débit et les énergies renouvelables, de sorte que les infrastructures à plus grande échelle puissent également bénéficier d’une aide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Informations sur l’application du délai de grâce visé à l’article 2, paragraphe 3, d</w:t>
      </w:r>
      <w:r>
        <w:t>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Les normes minimales en matière d’efficacité énergétique visées à l’article 13, point c), du règlement délégué (UE) nº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Fixation des seuils visés à l'article 13, point e), du [DA RD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br w:type="page"/>
      </w:r>
      <w:r>
        <w:rPr>
          <w:b w:val="0"/>
        </w:rPr>
        <w:t>7.4- Service de base</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483"/>
              </w:numPr>
            </w:pPr>
            <w:r>
              <w:t>7.4 – Aide aux investissements dans la mise en place, l’amélioration ou le développement des services de base au niveau local pour la population rurale, y compris les activités culturelles et récréatives, et des infrastru</w:t>
            </w:r>
            <w:r>
              <w:t>ctures qui y sont liées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Sous-titre complet de l'opération : Service de base = investissements dans la mise en place, l'amélioration ou le développement des services de base à la population.</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xml:space="preserve">Cette sous-mesure vise à </w:t>
            </w:r>
            <w:r>
              <w:rPr>
                <w:szCs w:val="24"/>
              </w:rPr>
              <w:t>favoriser la mise en place et l’amélioration de services de base à la population et à l’accueil en milieu rural dans la perspective de faciliter l’installation de nouvelles populations, de maintenir les réseaux de services existants dans une perspective de</w:t>
            </w:r>
            <w:r>
              <w:rPr>
                <w:szCs w:val="24"/>
              </w:rPr>
              <w:t xml:space="preserve"> redynamisation des pôles intermédiaires. Pour cela, le FEADER contribuera à apporter une réponse de proximité adaptée afin d’améliorer l’attractivité de ces territoires dans lesquels le déficit en services collectifs est générateur de fractures sociales.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Cette sous-mesure répond aux besoins suivants :</w:t>
            </w:r>
          </w:p>
          <w:p w:rsidR="0035701C" w:rsidRDefault="00FB561B" w:rsidP="00FB561B">
            <w:pPr>
              <w:numPr>
                <w:ilvl w:val="0"/>
                <w:numId w:val="484"/>
              </w:numPr>
              <w:spacing w:before="240" w:after="0"/>
              <w:ind w:hanging="210"/>
              <w:jc w:val="left"/>
              <w:rPr>
                <w:szCs w:val="24"/>
              </w:rPr>
            </w:pPr>
            <w:r>
              <w:rPr>
                <w:szCs w:val="24"/>
              </w:rPr>
              <w:t>N°31 : Développer la mise en place des services de base et l'accueil en milieu rural</w:t>
            </w:r>
          </w:p>
          <w:p w:rsidR="0035701C" w:rsidRDefault="00FB561B" w:rsidP="00FB561B">
            <w:pPr>
              <w:numPr>
                <w:ilvl w:val="0"/>
                <w:numId w:val="484"/>
              </w:numPr>
              <w:spacing w:before="0" w:after="240"/>
              <w:ind w:hanging="210"/>
              <w:jc w:val="left"/>
              <w:rPr>
                <w:szCs w:val="24"/>
              </w:rPr>
            </w:pPr>
            <w:r>
              <w:rPr>
                <w:szCs w:val="24"/>
              </w:rPr>
              <w:t>N°33 : Maintenir une occupation du territoire et favoriser le lien social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xml:space="preserve">Ces services de base sont de nature </w:t>
            </w:r>
            <w:r>
              <w:rPr>
                <w:szCs w:val="24"/>
              </w:rPr>
              <w:t>diverse. Ils doivent répondre aux besoins des populations dans les domaines de la santé, du médico-social et du social, et des services de proximité, par le maintien et/ou la création d’équipements et de services.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Cette sous-mesure comprend trois types d</w:t>
            </w:r>
            <w:r>
              <w:rPr>
                <w:szCs w:val="24"/>
              </w:rPr>
              <w:t>’opérations :</w:t>
            </w:r>
          </w:p>
          <w:p w:rsidR="0035701C" w:rsidRDefault="00FB561B" w:rsidP="00FB561B">
            <w:pPr>
              <w:numPr>
                <w:ilvl w:val="0"/>
                <w:numId w:val="485"/>
              </w:numPr>
              <w:spacing w:before="240" w:after="240"/>
              <w:ind w:hanging="210"/>
              <w:jc w:val="left"/>
              <w:rPr>
                <w:szCs w:val="24"/>
              </w:rPr>
            </w:pPr>
            <w:r>
              <w:rPr>
                <w:b/>
                <w:bCs/>
                <w:szCs w:val="24"/>
                <w:u w:val="single"/>
              </w:rPr>
              <w:t>Des services de base dans le domaine de la santé</w:t>
            </w:r>
            <w:r>
              <w:rPr>
                <w:szCs w:val="24"/>
              </w:rPr>
              <w:t xml:space="preserve"> :</w:t>
            </w:r>
          </w:p>
          <w:p w:rsidR="0035701C" w:rsidRDefault="00FB561B">
            <w:pPr>
              <w:spacing w:before="240" w:after="240"/>
              <w:jc w:val="left"/>
              <w:rPr>
                <w:szCs w:val="24"/>
              </w:rPr>
            </w:pPr>
            <w:r>
              <w:rPr>
                <w:szCs w:val="24"/>
              </w:rPr>
              <w:t>Dans les domaines sanitaire et médico-social, il s’agit de répondre aux besoins liés aux soins de premiers recours. La majorité des territoires ruraux de l’île est marquée par un déficit de l</w:t>
            </w:r>
            <w:r>
              <w:rPr>
                <w:szCs w:val="24"/>
              </w:rPr>
              <w:t>’offre de soins et ont été classés dans le volet ambulatoire du SROS (Schéma régional de l’offre de soins établi par l’Agence Régionale de la Santé) comme fragiles ou potentiellement  fragiles.</w:t>
            </w:r>
          </w:p>
          <w:p w:rsidR="0035701C" w:rsidRDefault="00FB561B">
            <w:pPr>
              <w:spacing w:before="240" w:after="240"/>
              <w:jc w:val="left"/>
              <w:rPr>
                <w:szCs w:val="24"/>
              </w:rPr>
            </w:pPr>
            <w:r>
              <w:rPr>
                <w:szCs w:val="24"/>
              </w:rPr>
              <w:t>La réduction des inégalités sanitaires doit donc permettre d’a</w:t>
            </w:r>
            <w:r>
              <w:rPr>
                <w:szCs w:val="24"/>
              </w:rPr>
              <w:t>méliorer l’accès aux soins en favorisant le développement de projets regroupant plusieurs professionnels de la santé et du médico-social. Ces projets structurants apparaissent comme les réponses les mieux adaptées pour éviter les ruptures de soins observée</w:t>
            </w:r>
            <w:r>
              <w:rPr>
                <w:szCs w:val="24"/>
              </w:rPr>
              <w:t>s dans les territoires ruraux.</w:t>
            </w:r>
          </w:p>
          <w:p w:rsidR="0035701C" w:rsidRDefault="00FB561B">
            <w:pPr>
              <w:spacing w:before="240" w:after="240"/>
              <w:jc w:val="left"/>
              <w:rPr>
                <w:szCs w:val="24"/>
              </w:rPr>
            </w:pPr>
            <w:r>
              <w:rPr>
                <w:szCs w:val="24"/>
              </w:rPr>
              <w:t>Types d’actions :</w:t>
            </w:r>
          </w:p>
          <w:p w:rsidR="0035701C" w:rsidRDefault="00FB561B" w:rsidP="00FB561B">
            <w:pPr>
              <w:numPr>
                <w:ilvl w:val="0"/>
                <w:numId w:val="486"/>
              </w:numPr>
              <w:spacing w:before="240" w:after="240"/>
              <w:ind w:hanging="210"/>
              <w:jc w:val="left"/>
              <w:rPr>
                <w:szCs w:val="24"/>
              </w:rPr>
            </w:pPr>
            <w:r>
              <w:rPr>
                <w:szCs w:val="24"/>
              </w:rPr>
              <w:t>maisons, centres et pôles de santé dans le but d'organiser les soins de premiers recours notamment en zones déficitaires ;</w:t>
            </w:r>
          </w:p>
          <w:p w:rsidR="0035701C" w:rsidRDefault="00FB561B">
            <w:pPr>
              <w:spacing w:before="240" w:after="240"/>
              <w:jc w:val="left"/>
              <w:rPr>
                <w:szCs w:val="24"/>
              </w:rPr>
            </w:pPr>
            <w:r>
              <w:rPr>
                <w:szCs w:val="24"/>
              </w:rPr>
              <w:t> </w:t>
            </w:r>
          </w:p>
          <w:p w:rsidR="0035701C" w:rsidRDefault="00FB561B" w:rsidP="00FB561B">
            <w:pPr>
              <w:numPr>
                <w:ilvl w:val="0"/>
                <w:numId w:val="487"/>
              </w:numPr>
              <w:spacing w:before="240" w:after="240"/>
              <w:ind w:hanging="210"/>
              <w:jc w:val="left"/>
              <w:rPr>
                <w:szCs w:val="24"/>
              </w:rPr>
            </w:pPr>
            <w:r>
              <w:rPr>
                <w:b/>
                <w:bCs/>
                <w:szCs w:val="24"/>
                <w:u w:val="single"/>
              </w:rPr>
              <w:t>Des services de base dans le domaine social et médico-social à destination de publ</w:t>
            </w:r>
            <w:r>
              <w:rPr>
                <w:b/>
                <w:bCs/>
                <w:szCs w:val="24"/>
                <w:u w:val="single"/>
              </w:rPr>
              <w:t>ics spécifiques (enfance, jeunesse, personnes âgées)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xml:space="preserve">Cette mesure vise également à répondre aux besoins de populations spécifiques. En effet, dans ces zones marquées par le vieillissement de la population (confirmé par les projections démographiques), </w:t>
            </w:r>
            <w:r>
              <w:rPr>
                <w:szCs w:val="24"/>
              </w:rPr>
              <w:t>l’autonomie des personnes âgées par le maintien à domicile ou en structures adaptées constitue un enjeu central.</w:t>
            </w:r>
          </w:p>
          <w:p w:rsidR="0035701C" w:rsidRDefault="00FB561B">
            <w:pPr>
              <w:spacing w:before="240" w:after="240"/>
              <w:jc w:val="left"/>
              <w:rPr>
                <w:szCs w:val="24"/>
              </w:rPr>
            </w:pPr>
            <w:r>
              <w:rPr>
                <w:szCs w:val="24"/>
              </w:rPr>
              <w:t>Cette problématique recouvre différents besoins en termes de présence et d’accessibilité à différents services ou structures.</w:t>
            </w:r>
          </w:p>
          <w:p w:rsidR="0035701C" w:rsidRDefault="00FB561B">
            <w:pPr>
              <w:spacing w:before="240" w:after="240"/>
              <w:jc w:val="left"/>
              <w:rPr>
                <w:szCs w:val="24"/>
              </w:rPr>
            </w:pPr>
            <w:r>
              <w:rPr>
                <w:szCs w:val="24"/>
              </w:rPr>
              <w:t>Il convient  égal</w:t>
            </w:r>
            <w:r>
              <w:rPr>
                <w:szCs w:val="24"/>
              </w:rPr>
              <w:t>ement de pallier l’absence d’équipements et de services destinés aux secteurs de la petite enfance, d’enfance et jeunesse en favorisant l’émergence de structures de qualité à destination des familles susceptibles de répondre à un besoin en gardes d’enfants</w:t>
            </w:r>
            <w:r>
              <w:rPr>
                <w:szCs w:val="24"/>
              </w:rPr>
              <w:t>, d’accueils péri et extra scolaires.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Types d’actions :</w:t>
            </w:r>
          </w:p>
          <w:p w:rsidR="0035701C" w:rsidRDefault="00FB561B" w:rsidP="00FB561B">
            <w:pPr>
              <w:numPr>
                <w:ilvl w:val="0"/>
                <w:numId w:val="488"/>
              </w:numPr>
              <w:spacing w:before="240" w:after="0"/>
              <w:ind w:hanging="210"/>
              <w:jc w:val="left"/>
              <w:rPr>
                <w:szCs w:val="24"/>
              </w:rPr>
            </w:pPr>
            <w:r>
              <w:rPr>
                <w:szCs w:val="24"/>
              </w:rPr>
              <w:t>Accompagnement de projets favorisant le maintien à domicile des personnes âgées et/ou dépendantes en milieu rural (soins et/ou télé maintien à domicile) ;</w:t>
            </w:r>
          </w:p>
          <w:p w:rsidR="0035701C" w:rsidRDefault="00FB561B" w:rsidP="00FB561B">
            <w:pPr>
              <w:numPr>
                <w:ilvl w:val="0"/>
                <w:numId w:val="488"/>
              </w:numPr>
              <w:spacing w:before="0" w:after="240"/>
              <w:ind w:hanging="210"/>
              <w:jc w:val="left"/>
              <w:rPr>
                <w:szCs w:val="24"/>
              </w:rPr>
            </w:pPr>
            <w:r>
              <w:rPr>
                <w:szCs w:val="24"/>
              </w:rPr>
              <w:t xml:space="preserve">Création et ou développement de structures </w:t>
            </w:r>
            <w:r>
              <w:rPr>
                <w:szCs w:val="24"/>
              </w:rPr>
              <w:t>d’accueil présentant des modalités de fonctionnement atypiques, de structures d’accueil pour des enfants et/ou adolescents notamment en grande difficulté sociale.</w:t>
            </w:r>
          </w:p>
          <w:p w:rsidR="0035701C" w:rsidRDefault="00FB561B">
            <w:pPr>
              <w:spacing w:before="240" w:after="240"/>
              <w:jc w:val="left"/>
              <w:rPr>
                <w:szCs w:val="24"/>
              </w:rPr>
            </w:pPr>
            <w:r>
              <w:rPr>
                <w:szCs w:val="24"/>
              </w:rPr>
              <w:t> </w:t>
            </w:r>
          </w:p>
          <w:p w:rsidR="0035701C" w:rsidRDefault="00FB561B" w:rsidP="00FB561B">
            <w:pPr>
              <w:numPr>
                <w:ilvl w:val="0"/>
                <w:numId w:val="489"/>
              </w:numPr>
              <w:spacing w:before="240" w:after="240"/>
              <w:ind w:hanging="210"/>
              <w:jc w:val="left"/>
              <w:rPr>
                <w:szCs w:val="24"/>
              </w:rPr>
            </w:pPr>
            <w:r>
              <w:rPr>
                <w:b/>
                <w:bCs/>
                <w:szCs w:val="24"/>
                <w:u w:val="single"/>
              </w:rPr>
              <w:t>Des services de base de proximité</w:t>
            </w:r>
            <w:r>
              <w:rPr>
                <w:szCs w:val="24"/>
              </w:rPr>
              <w:t xml:space="preserve"> :</w:t>
            </w:r>
          </w:p>
          <w:p w:rsidR="0035701C" w:rsidRDefault="00FB561B">
            <w:pPr>
              <w:spacing w:before="240" w:after="240"/>
              <w:jc w:val="left"/>
              <w:rPr>
                <w:szCs w:val="24"/>
              </w:rPr>
            </w:pPr>
            <w:r>
              <w:rPr>
                <w:szCs w:val="24"/>
              </w:rPr>
              <w:t>Cette sous-mesure vise à répondre aux besoins des popul</w:t>
            </w:r>
            <w:r>
              <w:rPr>
                <w:szCs w:val="24"/>
              </w:rPr>
              <w:t>ations résidentes en milieu rural par la création et/ou le développement de services et équipements de base qui garantissent un service public dans ces territoires, contribuant ainsi à favoriser le maintien de la population. Ceci également dans la perspect</w:t>
            </w:r>
            <w:r>
              <w:rPr>
                <w:szCs w:val="24"/>
              </w:rPr>
              <w:t>ive de renforcer l’attractivité de ces espaces ruraux pour y attirer ainsi de nouvelles populations.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Par ailleurs, les perspectives offertes par le développement d’un transport social «  sur mesure » également correspondent aux besoins émanant des territ</w:t>
            </w:r>
            <w:r>
              <w:rPr>
                <w:szCs w:val="24"/>
              </w:rPr>
              <w:t xml:space="preserve">oires ruraux. Ceci afin de répondre à un double objectif : Social, en contribuant à réduire l'isolement des personnes des communes rurales par la possibilité de se rendre dans les pôles intermédiaires et/ou agglomérations les plus proches, et/ou d’accéder </w:t>
            </w:r>
            <w:r>
              <w:rPr>
                <w:szCs w:val="24"/>
              </w:rPr>
              <w:t>aux réseaux de transport existants ; environnemental, en offrant une alternative au véhicule individuel contribuant ainsi à la réduction des émissions de gaz à effet de serre.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L’égalité et le développement équilibré des territoires passe également par un</w:t>
            </w:r>
            <w:r>
              <w:rPr>
                <w:szCs w:val="24"/>
              </w:rPr>
              <w:t>e offre culturelle diversifiée et accessible. Ainsi, l’émergence de nouveaux équipements et services culturels de proximité de dimension adaptée à la démographie du bassin de vie doit être encouragée.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Types d’actions :</w:t>
            </w:r>
          </w:p>
          <w:p w:rsidR="0035701C" w:rsidRDefault="00FB561B" w:rsidP="00FB561B">
            <w:pPr>
              <w:numPr>
                <w:ilvl w:val="0"/>
                <w:numId w:val="490"/>
              </w:numPr>
              <w:spacing w:before="240" w:after="0"/>
              <w:ind w:hanging="210"/>
              <w:jc w:val="left"/>
              <w:rPr>
                <w:szCs w:val="24"/>
              </w:rPr>
            </w:pPr>
            <w:r>
              <w:rPr>
                <w:szCs w:val="24"/>
              </w:rPr>
              <w:t>Création et/ou développement d’espa</w:t>
            </w:r>
            <w:r>
              <w:rPr>
                <w:szCs w:val="24"/>
              </w:rPr>
              <w:t>ces polyvalents regroupant des services de proximité ;</w:t>
            </w:r>
          </w:p>
          <w:p w:rsidR="0035701C" w:rsidRDefault="00FB561B" w:rsidP="00FB561B">
            <w:pPr>
              <w:numPr>
                <w:ilvl w:val="0"/>
                <w:numId w:val="490"/>
              </w:numPr>
              <w:spacing w:before="0" w:after="0"/>
              <w:ind w:hanging="210"/>
              <w:jc w:val="left"/>
              <w:rPr>
                <w:szCs w:val="24"/>
              </w:rPr>
            </w:pPr>
            <w:r>
              <w:rPr>
                <w:szCs w:val="24"/>
              </w:rPr>
              <w:t>Création et/ou développement de structures d’accueil et de loisirs à destination des jeunes;</w:t>
            </w:r>
          </w:p>
          <w:p w:rsidR="0035701C" w:rsidRDefault="00FB561B" w:rsidP="00FB561B">
            <w:pPr>
              <w:numPr>
                <w:ilvl w:val="0"/>
                <w:numId w:val="490"/>
              </w:numPr>
              <w:spacing w:before="0" w:after="0"/>
              <w:ind w:hanging="210"/>
              <w:jc w:val="left"/>
              <w:rPr>
                <w:szCs w:val="24"/>
              </w:rPr>
            </w:pPr>
            <w:r>
              <w:rPr>
                <w:szCs w:val="24"/>
              </w:rPr>
              <w:t>Accompagnement de projets destinés à proposer des solutions alternatives d'accès aux services par itinérance</w:t>
            </w:r>
            <w:r>
              <w:rPr>
                <w:szCs w:val="24"/>
              </w:rPr>
              <w:t xml:space="preserve"> ou transport à la demande ;</w:t>
            </w:r>
          </w:p>
          <w:p w:rsidR="0035701C" w:rsidRDefault="00FB561B" w:rsidP="00FB561B">
            <w:pPr>
              <w:numPr>
                <w:ilvl w:val="0"/>
                <w:numId w:val="490"/>
              </w:numPr>
              <w:spacing w:before="0" w:after="240"/>
              <w:ind w:hanging="210"/>
              <w:jc w:val="left"/>
              <w:rPr>
                <w:szCs w:val="24"/>
              </w:rPr>
            </w:pPr>
            <w:r>
              <w:rPr>
                <w:szCs w:val="24"/>
              </w:rPr>
              <w:t>création /aménagement d’espaces culturels polyvalents liés à la diffusion, à la création et/ou à la médiation de la culture.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C</w:t>
            </w:r>
            <w:r>
              <w:rPr>
                <w:szCs w:val="24"/>
              </w:rPr>
              <w:t>ette sous-mesure est ciblée sur le domaine prioritaire 6b.</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versée sous forme de 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ind w:left="72"/>
              <w:jc w:val="left"/>
              <w:rPr>
                <w:szCs w:val="24"/>
              </w:rPr>
            </w:pPr>
            <w:r>
              <w:rPr>
                <w:b/>
                <w:bCs/>
                <w:szCs w:val="24"/>
              </w:rPr>
              <w:t xml:space="preserve">- </w:t>
            </w:r>
            <w:r>
              <w:rPr>
                <w:szCs w:val="24"/>
              </w:rPr>
              <w:t>Code des Marché publics ;</w:t>
            </w:r>
          </w:p>
          <w:p w:rsidR="0035701C" w:rsidRDefault="00FB561B">
            <w:pPr>
              <w:spacing w:before="240" w:after="240"/>
              <w:ind w:left="72"/>
              <w:jc w:val="left"/>
              <w:rPr>
                <w:szCs w:val="24"/>
              </w:rPr>
            </w:pPr>
            <w:r>
              <w:rPr>
                <w:b/>
                <w:bCs/>
                <w:szCs w:val="24"/>
              </w:rPr>
              <w:t>-</w:t>
            </w:r>
            <w:r>
              <w:rPr>
                <w:szCs w:val="24"/>
              </w:rPr>
              <w:t xml:space="preserve"> Contrat de Plan Etat/Région 2014-2020</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Maîtres d'ouvrages publics :</w:t>
            </w:r>
          </w:p>
          <w:p w:rsidR="0035701C" w:rsidRDefault="00FB561B" w:rsidP="00FB561B">
            <w:pPr>
              <w:numPr>
                <w:ilvl w:val="0"/>
                <w:numId w:val="491"/>
              </w:numPr>
              <w:spacing w:before="240" w:after="0"/>
              <w:ind w:hanging="210"/>
              <w:jc w:val="left"/>
              <w:rPr>
                <w:szCs w:val="24"/>
              </w:rPr>
            </w:pPr>
            <w:r>
              <w:rPr>
                <w:szCs w:val="24"/>
              </w:rPr>
              <w:t>Collectivités Territoriales et /ou leurs groupements,</w:t>
            </w:r>
          </w:p>
          <w:p w:rsidR="0035701C" w:rsidRDefault="00FB561B" w:rsidP="00FB561B">
            <w:pPr>
              <w:numPr>
                <w:ilvl w:val="0"/>
                <w:numId w:val="491"/>
              </w:numPr>
              <w:spacing w:before="0" w:after="240"/>
              <w:ind w:hanging="210"/>
              <w:jc w:val="left"/>
              <w:rPr>
                <w:szCs w:val="24"/>
              </w:rPr>
            </w:pPr>
            <w:r>
              <w:rPr>
                <w:szCs w:val="24"/>
              </w:rPr>
              <w:t>Etablissements publics.</w:t>
            </w:r>
          </w:p>
          <w:p w:rsidR="0035701C" w:rsidRDefault="00FB561B">
            <w:pPr>
              <w:spacing w:before="240" w:after="240"/>
              <w:jc w:val="left"/>
              <w:rPr>
                <w:szCs w:val="24"/>
              </w:rPr>
            </w:pPr>
            <w:r>
              <w:rPr>
                <w:szCs w:val="24"/>
              </w:rPr>
              <w:t>Maitres d'ouvrages privés :</w:t>
            </w:r>
          </w:p>
          <w:p w:rsidR="0035701C" w:rsidRDefault="00FB561B" w:rsidP="00FB561B">
            <w:pPr>
              <w:numPr>
                <w:ilvl w:val="0"/>
                <w:numId w:val="492"/>
              </w:numPr>
              <w:spacing w:before="240" w:after="240"/>
              <w:ind w:hanging="210"/>
              <w:jc w:val="left"/>
              <w:rPr>
                <w:szCs w:val="24"/>
              </w:rPr>
            </w:pPr>
            <w:r>
              <w:rPr>
                <w:szCs w:val="24"/>
              </w:rPr>
              <w:t>Associations ;</w:t>
            </w:r>
          </w:p>
          <w:p w:rsidR="0035701C" w:rsidRDefault="00FB561B">
            <w:pPr>
              <w:spacing w:before="240" w:after="240"/>
              <w:ind w:left="1080"/>
              <w:jc w:val="left"/>
              <w:rPr>
                <w:szCs w:val="24"/>
              </w:rPr>
            </w:pPr>
            <w:r>
              <w:rPr>
                <w:szCs w:val="24"/>
              </w:rPr>
              <w:t> </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Investissements matériels</w:t>
            </w:r>
            <w:r>
              <w:rPr>
                <w:szCs w:val="24"/>
              </w:rPr>
              <w:t xml:space="preserve"> :</w:t>
            </w:r>
          </w:p>
          <w:p w:rsidR="0035701C" w:rsidRDefault="00FB561B">
            <w:pPr>
              <w:spacing w:before="240" w:after="240"/>
              <w:jc w:val="left"/>
              <w:rPr>
                <w:szCs w:val="24"/>
              </w:rPr>
            </w:pPr>
            <w:r>
              <w:rPr>
                <w:szCs w:val="24"/>
              </w:rPr>
              <w:t>- Bâtiments : acquisition et/ou rénovation</w:t>
            </w:r>
            <w:r>
              <w:rPr>
                <w:szCs w:val="24"/>
              </w:rPr>
              <w:t xml:space="preserve"> et/ou aménagement de bâtis existants ; construction de nouveaux batiments;</w:t>
            </w:r>
          </w:p>
          <w:p w:rsidR="0035701C" w:rsidRDefault="00FB561B">
            <w:pPr>
              <w:spacing w:before="240" w:after="240"/>
              <w:jc w:val="left"/>
              <w:rPr>
                <w:szCs w:val="24"/>
              </w:rPr>
            </w:pPr>
            <w:r>
              <w:rPr>
                <w:szCs w:val="24"/>
              </w:rPr>
              <w:t>- Accès : aménagements extérieurs, des abords, des bâtiments en lien avec le projet financé ;</w:t>
            </w:r>
          </w:p>
          <w:p w:rsidR="0035701C" w:rsidRDefault="00FB561B">
            <w:pPr>
              <w:spacing w:before="240" w:after="240"/>
              <w:jc w:val="left"/>
              <w:rPr>
                <w:szCs w:val="24"/>
              </w:rPr>
            </w:pPr>
            <w:r>
              <w:rPr>
                <w:szCs w:val="24"/>
              </w:rPr>
              <w:t xml:space="preserve">- achat ou location-vente de matériels et d’équipements neufs en lien direct avec les </w:t>
            </w:r>
            <w:r>
              <w:rPr>
                <w:szCs w:val="24"/>
              </w:rPr>
              <w:t>opérations financées (article 45.2.b du règlement (UE) n°1305/2013). Pour l’accompagnement de projets destinés à proposer des solutions alternatives d'accès aux services par itinérance ou transport à la demande : achat de véhicule ;</w:t>
            </w:r>
          </w:p>
          <w:p w:rsidR="0035701C" w:rsidRDefault="00FB561B">
            <w:pPr>
              <w:spacing w:before="240" w:after="240"/>
              <w:jc w:val="left"/>
              <w:rPr>
                <w:szCs w:val="24"/>
              </w:rPr>
            </w:pPr>
            <w:r>
              <w:rPr>
                <w:szCs w:val="24"/>
              </w:rPr>
              <w:t>- Les frais généraux li</w:t>
            </w:r>
            <w:r>
              <w:rPr>
                <w:szCs w:val="24"/>
              </w:rPr>
              <w:t>és aux opérations financées (article 45 (2) du règlement (UE) n° 1305/2013) dans la limite de 10 % des dépenses totales éligibles de l'opération : honoraires d’architectes et rémunérations d’ingénieurs et de consultants, les dépenses liées au conseil en ma</w:t>
            </w:r>
            <w:r>
              <w:rPr>
                <w:szCs w:val="24"/>
              </w:rPr>
              <w:t>tière de durabilité environnementale et économique, y compris les coûts liés aux études de faisabilité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Dépenses non éligibles</w:t>
            </w:r>
            <w:r>
              <w:rPr>
                <w:szCs w:val="24"/>
              </w:rPr>
              <w:t> :</w:t>
            </w:r>
          </w:p>
          <w:p w:rsidR="0035701C" w:rsidRDefault="00FB561B">
            <w:pPr>
              <w:spacing w:before="240" w:after="240"/>
              <w:jc w:val="left"/>
              <w:rPr>
                <w:szCs w:val="24"/>
              </w:rPr>
            </w:pPr>
            <w:r>
              <w:rPr>
                <w:szCs w:val="24"/>
              </w:rPr>
              <w:t>- Les locaux affectés au fonctionnement de l'administration locale ;</w:t>
            </w:r>
          </w:p>
          <w:p w:rsidR="0035701C" w:rsidRDefault="0035701C">
            <w:pPr>
              <w:spacing w:before="240" w:after="240"/>
              <w:jc w:val="left"/>
              <w:rPr>
                <w:szCs w:val="24"/>
              </w:rPr>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u w:val="single"/>
              </w:rPr>
              <w:t>Projet situé en zone rural</w:t>
            </w:r>
            <w:r>
              <w:rPr>
                <w:b/>
                <w:bCs/>
                <w:szCs w:val="24"/>
                <w:u w:val="single"/>
              </w:rPr>
              <w:t>e telle que définie à la section 8.1</w:t>
            </w:r>
          </w:p>
          <w:p w:rsidR="0035701C" w:rsidRDefault="00FB561B">
            <w:pPr>
              <w:spacing w:before="240" w:after="240"/>
              <w:jc w:val="left"/>
              <w:rPr>
                <w:szCs w:val="24"/>
              </w:rPr>
            </w:pPr>
            <w:r>
              <w:rPr>
                <w:b/>
                <w:bCs/>
                <w:szCs w:val="24"/>
                <w:u w:val="single"/>
              </w:rPr>
              <w:t>Pour les services de base dans le domaine de la santé :</w:t>
            </w:r>
          </w:p>
          <w:p w:rsidR="0035701C" w:rsidRDefault="00FB561B" w:rsidP="00FB561B">
            <w:pPr>
              <w:numPr>
                <w:ilvl w:val="0"/>
                <w:numId w:val="493"/>
              </w:numPr>
              <w:spacing w:before="240" w:after="0"/>
              <w:ind w:hanging="210"/>
              <w:jc w:val="left"/>
              <w:rPr>
                <w:szCs w:val="24"/>
              </w:rPr>
            </w:pPr>
            <w:r>
              <w:rPr>
                <w:szCs w:val="24"/>
              </w:rPr>
              <w:t xml:space="preserve">Le projet devra être situé en zone déficitaire (zones fragiles ou potentiellement fragiles en offre de soins de premier recours) telles que définies dans le volet </w:t>
            </w:r>
            <w:r>
              <w:rPr>
                <w:szCs w:val="24"/>
              </w:rPr>
              <w:t>ambulatoire du  Schéma Régional de l’Offre de Soins (SROS) intégré dans le Projet Régional de Santé (PRS) élaboré par l’Agence Régionale de Santé de Corse pour la période 2012-2016. Ces zones sont ainsi susceptibles d’évolution au cours de l’exécution du p</w:t>
            </w:r>
            <w:r>
              <w:rPr>
                <w:szCs w:val="24"/>
              </w:rPr>
              <w:t>rogramme ;</w:t>
            </w:r>
          </w:p>
          <w:p w:rsidR="0035701C" w:rsidRDefault="00FB561B" w:rsidP="00FB561B">
            <w:pPr>
              <w:numPr>
                <w:ilvl w:val="0"/>
                <w:numId w:val="493"/>
              </w:numPr>
              <w:spacing w:before="0" w:after="0"/>
              <w:ind w:hanging="210"/>
              <w:jc w:val="left"/>
              <w:rPr>
                <w:szCs w:val="24"/>
              </w:rPr>
            </w:pPr>
            <w:r>
              <w:rPr>
                <w:szCs w:val="24"/>
              </w:rPr>
              <w:t>Réalisation d’une étude de faisabilité permettant d’apprécier la valeur ajoutée du projet sur le territoire en termes d’offre de soins de premier recours et d’attractivité pour les professionnels de santé</w:t>
            </w:r>
          </w:p>
          <w:p w:rsidR="0035701C" w:rsidRDefault="00FB561B" w:rsidP="00FB561B">
            <w:pPr>
              <w:numPr>
                <w:ilvl w:val="0"/>
                <w:numId w:val="493"/>
              </w:numPr>
              <w:spacing w:before="0" w:after="240"/>
              <w:ind w:hanging="210"/>
              <w:jc w:val="left"/>
              <w:rPr>
                <w:szCs w:val="24"/>
              </w:rPr>
            </w:pPr>
            <w:r>
              <w:rPr>
                <w:szCs w:val="24"/>
              </w:rPr>
              <w:t>Avis favorable de l’IRP (Instance Région</w:t>
            </w:r>
            <w:r>
              <w:rPr>
                <w:szCs w:val="24"/>
              </w:rPr>
              <w:t>ale de Pilotage coprésidée par l’Etat, l’ARS et la CTC) pour les actions concernant des pôles ou maisons de santé</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u w:val="single"/>
              </w:rPr>
              <w:t xml:space="preserve">Pour les services de base dans le domaine social et médico-social à destination de publics spécifiques (enfance, jeunesse, personnes âgées) </w:t>
            </w:r>
          </w:p>
          <w:p w:rsidR="0035701C" w:rsidRDefault="00FB561B" w:rsidP="00FB561B">
            <w:pPr>
              <w:numPr>
                <w:ilvl w:val="0"/>
                <w:numId w:val="494"/>
              </w:numPr>
              <w:spacing w:before="240" w:after="0"/>
              <w:ind w:hanging="210"/>
              <w:jc w:val="left"/>
              <w:rPr>
                <w:szCs w:val="24"/>
              </w:rPr>
            </w:pPr>
            <w:r>
              <w:rPr>
                <w:szCs w:val="24"/>
              </w:rPr>
              <w:t>Les projets doivent bénéficier des autorisations et de l’avis favorable des autorités compétentes (principalement Agence régionale de santé et Départements) pour la création d’établissements ou de services médico-sociaux ;</w:t>
            </w:r>
          </w:p>
          <w:p w:rsidR="0035701C" w:rsidRDefault="00FB561B" w:rsidP="00FB561B">
            <w:pPr>
              <w:numPr>
                <w:ilvl w:val="0"/>
                <w:numId w:val="494"/>
              </w:numPr>
              <w:spacing w:before="0" w:after="240"/>
              <w:ind w:hanging="210"/>
              <w:jc w:val="left"/>
              <w:rPr>
                <w:szCs w:val="24"/>
              </w:rPr>
            </w:pPr>
            <w:r>
              <w:rPr>
                <w:szCs w:val="24"/>
              </w:rPr>
              <w:t xml:space="preserve">Diagnostic partagé ou étude de  </w:t>
            </w:r>
            <w:r>
              <w:rPr>
                <w:szCs w:val="24"/>
              </w:rPr>
              <w:t>faisabilité permettant d’apprécier la valeur ajoutée du projet sur le territoire au regard des besoins de la population en la matière et des dynamiques observées.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u w:val="single"/>
              </w:rPr>
              <w:t>Pour les services de base de proximité :</w:t>
            </w:r>
          </w:p>
          <w:p w:rsidR="0035701C" w:rsidRDefault="00FB561B">
            <w:pPr>
              <w:spacing w:before="240" w:after="240"/>
              <w:jc w:val="left"/>
              <w:rPr>
                <w:szCs w:val="24"/>
              </w:rPr>
            </w:pPr>
            <w:r>
              <w:rPr>
                <w:szCs w:val="24"/>
              </w:rPr>
              <w:t>Pour les projets s’inscrivant dans le cadre :</w:t>
            </w:r>
          </w:p>
          <w:p w:rsidR="0035701C" w:rsidRDefault="00FB561B" w:rsidP="00FB561B">
            <w:pPr>
              <w:numPr>
                <w:ilvl w:val="0"/>
                <w:numId w:val="495"/>
              </w:numPr>
              <w:spacing w:before="240" w:after="0"/>
              <w:ind w:hanging="210"/>
              <w:jc w:val="left"/>
              <w:rPr>
                <w:szCs w:val="24"/>
              </w:rPr>
            </w:pPr>
            <w:r>
              <w:rPr>
                <w:szCs w:val="24"/>
              </w:rPr>
              <w:t xml:space="preserve">De </w:t>
            </w:r>
            <w:r>
              <w:rPr>
                <w:szCs w:val="24"/>
              </w:rPr>
              <w:t>la création et/ou développement d’espaces polyvalents regroupant des services de proximité ;</w:t>
            </w:r>
          </w:p>
          <w:p w:rsidR="0035701C" w:rsidRDefault="00FB561B" w:rsidP="00FB561B">
            <w:pPr>
              <w:numPr>
                <w:ilvl w:val="0"/>
                <w:numId w:val="495"/>
              </w:numPr>
              <w:spacing w:before="0" w:after="0"/>
              <w:ind w:hanging="210"/>
              <w:jc w:val="left"/>
              <w:rPr>
                <w:szCs w:val="24"/>
              </w:rPr>
            </w:pPr>
            <w:r>
              <w:rPr>
                <w:szCs w:val="24"/>
              </w:rPr>
              <w:t>De l’accompagnement de projets destinés à proposer des solutions alternatives d’accès aux services par itinérance ou transport à la demande ;</w:t>
            </w:r>
          </w:p>
          <w:p w:rsidR="0035701C" w:rsidRDefault="00FB561B" w:rsidP="00FB561B">
            <w:pPr>
              <w:numPr>
                <w:ilvl w:val="0"/>
                <w:numId w:val="495"/>
              </w:numPr>
              <w:spacing w:before="0" w:after="240"/>
              <w:ind w:hanging="210"/>
              <w:jc w:val="left"/>
              <w:rPr>
                <w:szCs w:val="24"/>
              </w:rPr>
            </w:pPr>
            <w:r>
              <w:rPr>
                <w:szCs w:val="24"/>
              </w:rPr>
              <w:t xml:space="preserve">De la modernisation </w:t>
            </w:r>
            <w:r>
              <w:rPr>
                <w:szCs w:val="24"/>
              </w:rPr>
              <w:t>d'équipements de proximité liés à la diffusion, à la création et/ou à la médiation de la culture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Pour tous les projets :</w:t>
            </w:r>
          </w:p>
          <w:p w:rsidR="0035701C" w:rsidRDefault="00FB561B" w:rsidP="00FB561B">
            <w:pPr>
              <w:numPr>
                <w:ilvl w:val="0"/>
                <w:numId w:val="496"/>
              </w:numPr>
              <w:spacing w:before="240" w:after="240"/>
              <w:ind w:hanging="210"/>
              <w:jc w:val="left"/>
              <w:rPr>
                <w:szCs w:val="24"/>
              </w:rPr>
            </w:pPr>
            <w:r>
              <w:rPr>
                <w:szCs w:val="24"/>
              </w:rPr>
              <w:t>Le projet doit être situé en zone rurale telle que définie en section 8.1 du PDRC ;</w:t>
            </w:r>
          </w:p>
          <w:p w:rsidR="0035701C" w:rsidRDefault="00FB561B" w:rsidP="00FB561B">
            <w:pPr>
              <w:numPr>
                <w:ilvl w:val="0"/>
                <w:numId w:val="497"/>
              </w:numPr>
              <w:spacing w:before="240" w:after="240"/>
              <w:ind w:hanging="210"/>
              <w:jc w:val="left"/>
              <w:rPr>
                <w:szCs w:val="24"/>
              </w:rPr>
            </w:pPr>
            <w:r>
              <w:rPr>
                <w:szCs w:val="24"/>
              </w:rPr>
              <w:t>Le projet doit avoir une dimension intercommuna</w:t>
            </w:r>
            <w:r>
              <w:rPr>
                <w:szCs w:val="24"/>
              </w:rPr>
              <w:t>le. les opérations devront être  mises en œuvre conformément aux plans de développement des communes et des villages dans les zones rurales et de leurs services de base, s'il en existe, et être compatibles, le cas échéant, avec toute stratégie locale de dé</w:t>
            </w:r>
            <w:r>
              <w:rPr>
                <w:szCs w:val="24"/>
              </w:rPr>
              <w:t>veloppement pertinente (article 20.3 du Règlement UE n°1305/2013).</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Une grille de sélection des opérations prévoira l’établissement d’un système de points permettant le classement des </w:t>
            </w:r>
            <w:r>
              <w:rPr>
                <w:szCs w:val="24"/>
              </w:rPr>
              <w:t>dossiers et la fixation d’un seuil minimal afin d’accéder au soutien  au titre du PDRC.</w:t>
            </w:r>
          </w:p>
          <w:p w:rsidR="0035701C" w:rsidRDefault="00FB561B">
            <w:pPr>
              <w:spacing w:before="240" w:after="240"/>
              <w:jc w:val="left"/>
              <w:rPr>
                <w:szCs w:val="24"/>
              </w:rPr>
            </w:pPr>
            <w:r>
              <w:rPr>
                <w:szCs w:val="24"/>
              </w:rPr>
              <w:t>Les critères de sélection pourront prendre en compte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u w:val="single"/>
              </w:rPr>
              <w:t>Pour</w:t>
            </w:r>
            <w:r>
              <w:rPr>
                <w:b/>
                <w:bCs/>
                <w:szCs w:val="24"/>
                <w:u w:val="single"/>
              </w:rPr>
              <w:t xml:space="preserve"> les projets s’inscrivant dans le cadre des services de base dans le domaine de la santé :</w:t>
            </w:r>
          </w:p>
          <w:p w:rsidR="0035701C" w:rsidRDefault="00FB561B" w:rsidP="00FB561B">
            <w:pPr>
              <w:numPr>
                <w:ilvl w:val="0"/>
                <w:numId w:val="498"/>
              </w:numPr>
              <w:spacing w:before="240" w:after="0"/>
              <w:ind w:hanging="210"/>
              <w:jc w:val="left"/>
              <w:rPr>
                <w:szCs w:val="24"/>
              </w:rPr>
            </w:pPr>
            <w:r>
              <w:rPr>
                <w:szCs w:val="24"/>
              </w:rPr>
              <w:t>Elaboration conjointe du projet par les professionnels de santé et le maître d’ouvrage public</w:t>
            </w:r>
          </w:p>
          <w:p w:rsidR="0035701C" w:rsidRDefault="00FB561B" w:rsidP="00FB561B">
            <w:pPr>
              <w:numPr>
                <w:ilvl w:val="0"/>
                <w:numId w:val="498"/>
              </w:numPr>
              <w:spacing w:before="0" w:after="0"/>
              <w:ind w:hanging="210"/>
              <w:jc w:val="left"/>
              <w:rPr>
                <w:szCs w:val="24"/>
              </w:rPr>
            </w:pPr>
            <w:r>
              <w:rPr>
                <w:szCs w:val="24"/>
              </w:rPr>
              <w:t xml:space="preserve">Niveau d’adéquation du projet immobilier avec le projet de santé </w:t>
            </w:r>
            <w:r>
              <w:rPr>
                <w:b/>
                <w:bCs/>
                <w:szCs w:val="24"/>
              </w:rPr>
              <w:t>;</w:t>
            </w:r>
          </w:p>
          <w:p w:rsidR="0035701C" w:rsidRDefault="00FB561B" w:rsidP="00FB561B">
            <w:pPr>
              <w:numPr>
                <w:ilvl w:val="0"/>
                <w:numId w:val="498"/>
              </w:numPr>
              <w:spacing w:before="0" w:after="0"/>
              <w:ind w:hanging="210"/>
              <w:jc w:val="left"/>
              <w:rPr>
                <w:szCs w:val="24"/>
              </w:rPr>
            </w:pPr>
            <w:r>
              <w:rPr>
                <w:szCs w:val="24"/>
              </w:rPr>
              <w:t>Nive</w:t>
            </w:r>
            <w:r>
              <w:rPr>
                <w:szCs w:val="24"/>
              </w:rPr>
              <w:t xml:space="preserve">au de mutualisation et de mise en réseau avec les structures ou établissements  de santé développant une action sur le territoire (réseaux de santé, hôpitaux, HAD…) </w:t>
            </w:r>
            <w:r>
              <w:rPr>
                <w:b/>
                <w:bCs/>
                <w:szCs w:val="24"/>
              </w:rPr>
              <w:t>;</w:t>
            </w:r>
          </w:p>
          <w:p w:rsidR="0035701C" w:rsidRDefault="00FB561B" w:rsidP="00FB561B">
            <w:pPr>
              <w:numPr>
                <w:ilvl w:val="0"/>
                <w:numId w:val="498"/>
              </w:numPr>
              <w:spacing w:before="0" w:after="0"/>
              <w:ind w:hanging="210"/>
              <w:jc w:val="left"/>
              <w:rPr>
                <w:szCs w:val="24"/>
              </w:rPr>
            </w:pPr>
            <w:r>
              <w:rPr>
                <w:szCs w:val="24"/>
              </w:rPr>
              <w:t>Intégration dans le projet d’actions de prévention et de promotion de la santé ;</w:t>
            </w:r>
          </w:p>
          <w:p w:rsidR="0035701C" w:rsidRDefault="00FB561B" w:rsidP="00FB561B">
            <w:pPr>
              <w:numPr>
                <w:ilvl w:val="0"/>
                <w:numId w:val="498"/>
              </w:numPr>
              <w:spacing w:before="0" w:after="240"/>
              <w:ind w:hanging="210"/>
              <w:jc w:val="left"/>
              <w:rPr>
                <w:szCs w:val="24"/>
              </w:rPr>
            </w:pPr>
            <w:r>
              <w:rPr>
                <w:szCs w:val="24"/>
              </w:rPr>
              <w:t xml:space="preserve">Mise en </w:t>
            </w:r>
            <w:r>
              <w:rPr>
                <w:szCs w:val="24"/>
              </w:rPr>
              <w:t>place de services sociaux prévu au projet de santé  (exemple : permanence sociale et familiale).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u w:val="single"/>
              </w:rPr>
              <w:t xml:space="preserve">Pour les projets s’inscrivant dans le cadre des services de base dans le domaine social et médico-social à destination de publics spécifiques : </w:t>
            </w:r>
          </w:p>
          <w:p w:rsidR="0035701C" w:rsidRDefault="00FB561B" w:rsidP="00FB561B">
            <w:pPr>
              <w:numPr>
                <w:ilvl w:val="0"/>
                <w:numId w:val="499"/>
              </w:numPr>
              <w:spacing w:before="240" w:after="0"/>
              <w:ind w:hanging="210"/>
              <w:jc w:val="left"/>
              <w:rPr>
                <w:szCs w:val="24"/>
              </w:rPr>
            </w:pPr>
            <w:r>
              <w:rPr>
                <w:szCs w:val="24"/>
              </w:rPr>
              <w:t>Mutualisatio</w:t>
            </w:r>
            <w:r>
              <w:rPr>
                <w:szCs w:val="24"/>
              </w:rPr>
              <w:t>n de l’équipement et/ou du service proposé ;</w:t>
            </w:r>
          </w:p>
          <w:p w:rsidR="0035701C" w:rsidRDefault="00FB561B" w:rsidP="00FB561B">
            <w:pPr>
              <w:numPr>
                <w:ilvl w:val="0"/>
                <w:numId w:val="499"/>
              </w:numPr>
              <w:spacing w:before="0" w:after="0"/>
              <w:ind w:hanging="210"/>
              <w:jc w:val="left"/>
              <w:rPr>
                <w:szCs w:val="24"/>
              </w:rPr>
            </w:pPr>
            <w:r>
              <w:rPr>
                <w:szCs w:val="24"/>
              </w:rPr>
              <w:t>Niveau de mutualisation et de mise en réseau avec des acteurs du territoire œuvrant sur le même champ ;</w:t>
            </w:r>
          </w:p>
          <w:p w:rsidR="0035701C" w:rsidRDefault="00FB561B" w:rsidP="00FB561B">
            <w:pPr>
              <w:numPr>
                <w:ilvl w:val="0"/>
                <w:numId w:val="499"/>
              </w:numPr>
              <w:spacing w:before="0" w:after="0"/>
              <w:ind w:hanging="210"/>
              <w:jc w:val="left"/>
              <w:rPr>
                <w:szCs w:val="24"/>
              </w:rPr>
            </w:pPr>
            <w:r>
              <w:rPr>
                <w:szCs w:val="24"/>
              </w:rPr>
              <w:t>Coût raisonnable  du projet en adéquation avec sa nature ;</w:t>
            </w:r>
          </w:p>
          <w:p w:rsidR="0035701C" w:rsidRDefault="00FB561B" w:rsidP="00FB561B">
            <w:pPr>
              <w:numPr>
                <w:ilvl w:val="0"/>
                <w:numId w:val="499"/>
              </w:numPr>
              <w:spacing w:before="0" w:after="0"/>
              <w:ind w:hanging="210"/>
              <w:jc w:val="left"/>
              <w:rPr>
                <w:szCs w:val="24"/>
              </w:rPr>
            </w:pPr>
            <w:r>
              <w:rPr>
                <w:szCs w:val="24"/>
              </w:rPr>
              <w:t>Caractère innovant du projet : en terme de conce</w:t>
            </w:r>
            <w:r>
              <w:rPr>
                <w:szCs w:val="24"/>
              </w:rPr>
              <w:t>ption (prise en compte des enjeux environnementaux) / en termes de fonctionnement (horaires atypiques, modalités de l’accompagnement social proposé, système de restauration privilégiant des circuits courts de production  …) ;</w:t>
            </w:r>
          </w:p>
          <w:p w:rsidR="0035701C" w:rsidRDefault="00FB561B" w:rsidP="00FB561B">
            <w:pPr>
              <w:numPr>
                <w:ilvl w:val="0"/>
                <w:numId w:val="499"/>
              </w:numPr>
              <w:spacing w:before="0" w:after="240"/>
              <w:ind w:hanging="210"/>
              <w:jc w:val="left"/>
              <w:rPr>
                <w:szCs w:val="24"/>
              </w:rPr>
            </w:pPr>
            <w:r>
              <w:rPr>
                <w:szCs w:val="24"/>
              </w:rPr>
              <w:t>Niveau de qualification des in</w:t>
            </w:r>
            <w:r>
              <w:rPr>
                <w:szCs w:val="24"/>
              </w:rPr>
              <w:t>tervenants au sein de la structure  au regard du projet social ou médico-social.</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u w:val="single"/>
              </w:rPr>
              <w:t>Pour les services de base de proximité :</w:t>
            </w:r>
          </w:p>
          <w:p w:rsidR="0035701C" w:rsidRDefault="00FB561B">
            <w:pPr>
              <w:spacing w:before="240" w:after="240"/>
              <w:jc w:val="left"/>
              <w:rPr>
                <w:szCs w:val="24"/>
              </w:rPr>
            </w:pPr>
            <w:r>
              <w:rPr>
                <w:b/>
                <w:bCs/>
                <w:szCs w:val="24"/>
              </w:rPr>
              <w:t>Pour les projets s’inscrivant dans le cadre de la création et/ou développement d’espaces polyvalents regroupant des services de prox</w:t>
            </w:r>
            <w:r>
              <w:rPr>
                <w:b/>
                <w:bCs/>
                <w:szCs w:val="24"/>
              </w:rPr>
              <w:t>imité :</w:t>
            </w:r>
          </w:p>
          <w:p w:rsidR="0035701C" w:rsidRDefault="00FB561B" w:rsidP="00FB561B">
            <w:pPr>
              <w:numPr>
                <w:ilvl w:val="0"/>
                <w:numId w:val="500"/>
              </w:numPr>
              <w:spacing w:before="240" w:after="0"/>
              <w:ind w:hanging="210"/>
              <w:jc w:val="left"/>
              <w:rPr>
                <w:szCs w:val="24"/>
              </w:rPr>
            </w:pPr>
            <w:r>
              <w:rPr>
                <w:szCs w:val="24"/>
              </w:rPr>
              <w:t>Mutualisation de l’équipement et/ou du service proposé ;</w:t>
            </w:r>
          </w:p>
          <w:p w:rsidR="0035701C" w:rsidRDefault="00FB561B" w:rsidP="00FB561B">
            <w:pPr>
              <w:numPr>
                <w:ilvl w:val="0"/>
                <w:numId w:val="500"/>
              </w:numPr>
              <w:spacing w:before="0" w:after="0"/>
              <w:ind w:hanging="210"/>
              <w:jc w:val="left"/>
              <w:rPr>
                <w:szCs w:val="24"/>
              </w:rPr>
            </w:pPr>
            <w:r>
              <w:rPr>
                <w:szCs w:val="24"/>
              </w:rPr>
              <w:t>Niveau de mutualisation et de mise en réseau avec des acteurs du territoire œuvrant sur le même champ ;</w:t>
            </w:r>
          </w:p>
          <w:p w:rsidR="0035701C" w:rsidRDefault="00FB561B" w:rsidP="00FB561B">
            <w:pPr>
              <w:numPr>
                <w:ilvl w:val="0"/>
                <w:numId w:val="500"/>
              </w:numPr>
              <w:spacing w:before="0" w:after="0"/>
              <w:ind w:hanging="210"/>
              <w:jc w:val="left"/>
              <w:rPr>
                <w:szCs w:val="24"/>
              </w:rPr>
            </w:pPr>
            <w:r>
              <w:rPr>
                <w:szCs w:val="24"/>
              </w:rPr>
              <w:t>Coût raisonnable  du projet en adéquation avec sa nature ;</w:t>
            </w:r>
          </w:p>
          <w:p w:rsidR="0035701C" w:rsidRDefault="00FB561B" w:rsidP="00FB561B">
            <w:pPr>
              <w:numPr>
                <w:ilvl w:val="0"/>
                <w:numId w:val="500"/>
              </w:numPr>
              <w:spacing w:before="0" w:after="0"/>
              <w:ind w:hanging="210"/>
              <w:jc w:val="left"/>
              <w:rPr>
                <w:szCs w:val="24"/>
              </w:rPr>
            </w:pPr>
            <w:r>
              <w:rPr>
                <w:szCs w:val="24"/>
              </w:rPr>
              <w:t xml:space="preserve">Caractère innovant du </w:t>
            </w:r>
            <w:r>
              <w:rPr>
                <w:szCs w:val="24"/>
              </w:rPr>
              <w:t>projet en terme de conception : une attention particulière sera portée sur la prise en compte des enjeux environnementaux ;</w:t>
            </w:r>
          </w:p>
          <w:p w:rsidR="0035701C" w:rsidRDefault="00FB561B" w:rsidP="00FB561B">
            <w:pPr>
              <w:numPr>
                <w:ilvl w:val="0"/>
                <w:numId w:val="500"/>
              </w:numPr>
              <w:spacing w:before="0" w:after="0"/>
              <w:ind w:hanging="210"/>
              <w:jc w:val="left"/>
              <w:rPr>
                <w:szCs w:val="24"/>
              </w:rPr>
            </w:pPr>
            <w:r>
              <w:rPr>
                <w:szCs w:val="24"/>
              </w:rPr>
              <w:t>Niveau de qualification des intervenants au sein de la structure au regard du projet social ou médico-social ;</w:t>
            </w:r>
          </w:p>
          <w:p w:rsidR="0035701C" w:rsidRDefault="00FB561B" w:rsidP="00FB561B">
            <w:pPr>
              <w:numPr>
                <w:ilvl w:val="0"/>
                <w:numId w:val="500"/>
              </w:numPr>
              <w:spacing w:before="0" w:after="0"/>
              <w:ind w:hanging="210"/>
              <w:jc w:val="left"/>
              <w:rPr>
                <w:szCs w:val="24"/>
              </w:rPr>
            </w:pPr>
            <w:r>
              <w:rPr>
                <w:szCs w:val="24"/>
              </w:rPr>
              <w:t>La conformité du proj</w:t>
            </w:r>
            <w:r>
              <w:rPr>
                <w:szCs w:val="24"/>
              </w:rPr>
              <w:t>et avec une stratégie de développement territorial quand elle existe (charte de pays, projet de territoire, SCOT, Schémas de service) ;</w:t>
            </w:r>
          </w:p>
          <w:p w:rsidR="0035701C" w:rsidRDefault="00FB561B" w:rsidP="00FB561B">
            <w:pPr>
              <w:numPr>
                <w:ilvl w:val="0"/>
                <w:numId w:val="500"/>
              </w:numPr>
              <w:spacing w:before="0" w:after="240"/>
              <w:ind w:hanging="210"/>
              <w:jc w:val="left"/>
              <w:rPr>
                <w:szCs w:val="24"/>
              </w:rPr>
            </w:pPr>
            <w:r>
              <w:rPr>
                <w:szCs w:val="24"/>
              </w:rPr>
              <w:t>L’élaboration préalable d’une étude portant sur les besoins de la population et d’une analyse de l’offre de services exi</w:t>
            </w:r>
            <w:r>
              <w:rPr>
                <w:szCs w:val="24"/>
              </w:rPr>
              <w:t>stants sur le territoire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Pour les services s’inscrivant dans le cadre de l’accompagnement de projets destinés à proposer des solutions alternatives d’accès aux services par itinérance ou transport à la demande :</w:t>
            </w:r>
          </w:p>
          <w:p w:rsidR="0035701C" w:rsidRDefault="00FB561B" w:rsidP="00FB561B">
            <w:pPr>
              <w:numPr>
                <w:ilvl w:val="0"/>
                <w:numId w:val="501"/>
              </w:numPr>
              <w:spacing w:before="240" w:after="0"/>
              <w:ind w:hanging="210"/>
              <w:jc w:val="left"/>
              <w:rPr>
                <w:szCs w:val="24"/>
              </w:rPr>
            </w:pPr>
            <w:r>
              <w:rPr>
                <w:szCs w:val="24"/>
              </w:rPr>
              <w:t>L’articulation du projet avec une straté</w:t>
            </w:r>
            <w:r>
              <w:rPr>
                <w:szCs w:val="24"/>
              </w:rPr>
              <w:t>gie de développement territorial quand elle existe (charte de pays, projet de territoire, SCOT, Schémas de service) et les politiques publiques notamment les schémas de transports collectifs (interconnexion entre les différents réseaux) ;</w:t>
            </w:r>
          </w:p>
          <w:p w:rsidR="0035701C" w:rsidRDefault="00FB561B" w:rsidP="00FB561B">
            <w:pPr>
              <w:numPr>
                <w:ilvl w:val="0"/>
                <w:numId w:val="501"/>
              </w:numPr>
              <w:spacing w:before="0" w:after="0"/>
              <w:ind w:hanging="210"/>
              <w:jc w:val="left"/>
              <w:rPr>
                <w:szCs w:val="24"/>
              </w:rPr>
            </w:pPr>
            <w:r>
              <w:rPr>
                <w:szCs w:val="24"/>
              </w:rPr>
              <w:t>L’élaboration pré</w:t>
            </w:r>
            <w:r>
              <w:rPr>
                <w:szCs w:val="24"/>
              </w:rPr>
              <w:t>alable d’une étude de l’offre et des modalités de fonctionnement et de mutualisation des services de transport existants sur le territoire ;</w:t>
            </w:r>
          </w:p>
          <w:p w:rsidR="0035701C" w:rsidRDefault="00FB561B" w:rsidP="00FB561B">
            <w:pPr>
              <w:numPr>
                <w:ilvl w:val="0"/>
                <w:numId w:val="501"/>
              </w:numPr>
              <w:spacing w:before="0" w:after="0"/>
              <w:ind w:hanging="210"/>
              <w:jc w:val="left"/>
              <w:rPr>
                <w:szCs w:val="24"/>
              </w:rPr>
            </w:pPr>
            <w:r>
              <w:rPr>
                <w:szCs w:val="24"/>
              </w:rPr>
              <w:t>Modalités d’organisation du service de transport au regard des objectifs affichés (horaires, fréquence, trajets, de</w:t>
            </w:r>
            <w:r>
              <w:rPr>
                <w:szCs w:val="24"/>
              </w:rPr>
              <w:t>gré de polyvalence du service proposé…) ;</w:t>
            </w:r>
          </w:p>
          <w:p w:rsidR="0035701C" w:rsidRDefault="00FB561B" w:rsidP="00FB561B">
            <w:pPr>
              <w:numPr>
                <w:ilvl w:val="0"/>
                <w:numId w:val="501"/>
              </w:numPr>
              <w:spacing w:before="0" w:after="0"/>
              <w:ind w:hanging="210"/>
              <w:jc w:val="left"/>
              <w:rPr>
                <w:szCs w:val="24"/>
              </w:rPr>
            </w:pPr>
            <w:r>
              <w:rPr>
                <w:szCs w:val="24"/>
              </w:rPr>
              <w:t>Service s’adressant en priorité à des publics exposés à des difficultés dans les déplacements (personnes âgées, personnes à mobilité réduite …) ;</w:t>
            </w:r>
          </w:p>
          <w:p w:rsidR="0035701C" w:rsidRDefault="00FB561B" w:rsidP="00FB561B">
            <w:pPr>
              <w:numPr>
                <w:ilvl w:val="0"/>
                <w:numId w:val="501"/>
              </w:numPr>
              <w:spacing w:before="0" w:after="0"/>
              <w:ind w:hanging="210"/>
              <w:jc w:val="left"/>
              <w:rPr>
                <w:szCs w:val="24"/>
              </w:rPr>
            </w:pPr>
            <w:r>
              <w:rPr>
                <w:szCs w:val="24"/>
              </w:rPr>
              <w:t>Accessibilité du service par une politique tarifaire adaptée aux pub</w:t>
            </w:r>
            <w:r>
              <w:rPr>
                <w:szCs w:val="24"/>
              </w:rPr>
              <w:t>lics ;</w:t>
            </w:r>
          </w:p>
          <w:p w:rsidR="0035701C" w:rsidRDefault="00FB561B" w:rsidP="00FB561B">
            <w:pPr>
              <w:numPr>
                <w:ilvl w:val="0"/>
                <w:numId w:val="501"/>
              </w:numPr>
              <w:spacing w:before="0" w:after="240"/>
              <w:ind w:hanging="210"/>
              <w:jc w:val="left"/>
              <w:rPr>
                <w:szCs w:val="24"/>
              </w:rPr>
            </w:pPr>
            <w:r>
              <w:rPr>
                <w:szCs w:val="24"/>
              </w:rPr>
              <w:t>Mode de transport écoresponsable.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Pour les projets s’inscrivant dans le cadre de la modernisation d'équipements de proximité liés à la diffusion, à la création et/ou à la médiation de la culture :</w:t>
            </w:r>
          </w:p>
          <w:p w:rsidR="0035701C" w:rsidRDefault="00FB561B" w:rsidP="00FB561B">
            <w:pPr>
              <w:numPr>
                <w:ilvl w:val="0"/>
                <w:numId w:val="502"/>
              </w:numPr>
              <w:spacing w:before="240" w:after="0"/>
              <w:ind w:hanging="210"/>
              <w:jc w:val="left"/>
              <w:rPr>
                <w:szCs w:val="24"/>
              </w:rPr>
            </w:pPr>
            <w:r>
              <w:rPr>
                <w:szCs w:val="24"/>
              </w:rPr>
              <w:t xml:space="preserve">Les projets ou équipements de diffusion et/ou de </w:t>
            </w:r>
            <w:r>
              <w:rPr>
                <w:szCs w:val="24"/>
              </w:rPr>
              <w:t>sensibilisation – médiation culturelle portés au niveau intercommunal seront traités prioritairement ;</w:t>
            </w:r>
          </w:p>
          <w:p w:rsidR="0035701C" w:rsidRDefault="00FB561B" w:rsidP="00FB561B">
            <w:pPr>
              <w:numPr>
                <w:ilvl w:val="0"/>
                <w:numId w:val="502"/>
              </w:numPr>
              <w:spacing w:before="0" w:after="0"/>
              <w:ind w:hanging="210"/>
              <w:jc w:val="left"/>
              <w:rPr>
                <w:szCs w:val="24"/>
              </w:rPr>
            </w:pPr>
            <w:r>
              <w:rPr>
                <w:szCs w:val="24"/>
              </w:rPr>
              <w:t>L’opportunité du soutien à l’implantation d’un équipement sera analysée au regard des activités et structures déjà existantes sur le territoire ;</w:t>
            </w:r>
          </w:p>
          <w:p w:rsidR="0035701C" w:rsidRDefault="00FB561B" w:rsidP="00FB561B">
            <w:pPr>
              <w:numPr>
                <w:ilvl w:val="0"/>
                <w:numId w:val="502"/>
              </w:numPr>
              <w:spacing w:before="0" w:after="240"/>
              <w:ind w:hanging="210"/>
              <w:jc w:val="left"/>
              <w:rPr>
                <w:szCs w:val="24"/>
              </w:rPr>
            </w:pPr>
            <w:r>
              <w:rPr>
                <w:szCs w:val="24"/>
              </w:rPr>
              <w:t xml:space="preserve">Seront </w:t>
            </w:r>
            <w:r>
              <w:rPr>
                <w:szCs w:val="24"/>
              </w:rPr>
              <w:t>traités prioritairement les équipements dont le fonctionnement sera assuré dans le cadre d’une mise en réseau et d’une mutualisation des moyens humains avec des organismes œuvrant dans le même champ d’activités.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xml:space="preserve">Cette sous-mesure fera l’objet d’appels à </w:t>
            </w:r>
            <w:r>
              <w:rPr>
                <w:szCs w:val="24"/>
              </w:rPr>
              <w:t>projets.</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03"/>
              </w:numPr>
              <w:spacing w:before="0" w:after="0"/>
              <w:ind w:hanging="210"/>
              <w:jc w:val="left"/>
              <w:rPr>
                <w:szCs w:val="24"/>
              </w:rPr>
            </w:pPr>
            <w:r>
              <w:rPr>
                <w:szCs w:val="24"/>
              </w:rPr>
              <w:t>taux d’aide publique si Maître d’ouvrage public : 100%</w:t>
            </w:r>
          </w:p>
          <w:p w:rsidR="0035701C" w:rsidRDefault="00FB561B" w:rsidP="00FB561B">
            <w:pPr>
              <w:numPr>
                <w:ilvl w:val="0"/>
                <w:numId w:val="503"/>
              </w:numPr>
              <w:spacing w:before="0" w:after="240"/>
              <w:ind w:hanging="210"/>
              <w:jc w:val="left"/>
              <w:rPr>
                <w:szCs w:val="24"/>
              </w:rPr>
            </w:pPr>
            <w:r>
              <w:rPr>
                <w:szCs w:val="24"/>
              </w:rPr>
              <w:t>taux d’aide publique si Maître d’ouvrage privé : 80 %</w:t>
            </w:r>
          </w:p>
          <w:p w:rsidR="0035701C" w:rsidRDefault="00FB561B">
            <w:pPr>
              <w:spacing w:before="240" w:after="240"/>
              <w:jc w:val="left"/>
              <w:rPr>
                <w:szCs w:val="24"/>
              </w:rPr>
            </w:pPr>
            <w:r>
              <w:rPr>
                <w:szCs w:val="24"/>
              </w:rPr>
              <w:t xml:space="preserve">Le taux d'aide publique appliqué au dossier correspondra au maximum autorisé par le régime d'aide </w:t>
            </w:r>
            <w:r>
              <w:rPr>
                <w:szCs w:val="24"/>
              </w:rPr>
              <w:t>d'Etat appliqué au dit dossier ; ce maximum ne pourra être supérieur aux taux mentionnés ci dessus.</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 xml:space="preserve">Dialogue AG/OP sur l’évolution du </w:t>
            </w:r>
            <w:r>
              <w:rPr>
                <w:szCs w:val="24"/>
                <w:u w:val="single"/>
              </w:rPr>
              <w:t>contenu de la mesure :</w:t>
            </w:r>
          </w:p>
          <w:p w:rsidR="0035701C" w:rsidRDefault="00FB561B">
            <w:pPr>
              <w:spacing w:before="240" w:after="240"/>
              <w:jc w:val="left"/>
              <w:rPr>
                <w:szCs w:val="24"/>
              </w:rPr>
            </w:pPr>
            <w:r>
              <w:rPr>
                <w:szCs w:val="24"/>
              </w:rPr>
              <w:t>L'OP a demandé que soient bien décrits les pétitionnaires susceptibles d'être bénéficiaires de cette opération. Les éléments de Droit, les précisions apportées au présent texte, ainsi que le détail des éléments de réponse à fournir s</w:t>
            </w:r>
            <w:r>
              <w:rPr>
                <w:szCs w:val="24"/>
              </w:rPr>
              <w:t xml:space="preserve">ur les appels à projet sont satisfaisants.  La prise en charge des coûts des actions financées décrites est satisfaisante. Une attention particulière sera portée sur le respect du Code des Marchés Publics, et la pérennité de l'opération aidée tout au long </w:t>
            </w:r>
            <w:r>
              <w:rPr>
                <w:szCs w:val="24"/>
              </w:rPr>
              <w:t>de la période d'engagement.</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n°1 - R1 : Pour les formes juridiques sociétaires ou associatives, les collectivités, conformité des statuts et actes, mise à jour effective et conf</w:t>
            </w:r>
            <w:r>
              <w:rPr>
                <w:szCs w:val="24"/>
              </w:rPr>
              <w:t xml:space="preserve">orme au long de la période d’engagement. Vérification de la qualité de propriétaire foncier (source : Législation nationale : décalage entre Droit Social, Droit des Sociétés, Droit Rural, Législation nationale du Droit de Propriété, Droit des Successions, </w:t>
            </w:r>
            <w:r>
              <w:rPr>
                <w:szCs w:val="24"/>
              </w:rPr>
              <w:t>Droit Fiscal (modification pour la forêt en 2012))</w:t>
            </w:r>
          </w:p>
          <w:p w:rsidR="0035701C" w:rsidRDefault="00FB561B">
            <w:pPr>
              <w:spacing w:before="240" w:after="240"/>
              <w:jc w:val="left"/>
              <w:rPr>
                <w:szCs w:val="24"/>
              </w:rPr>
            </w:pPr>
            <w:r>
              <w:rPr>
                <w:szCs w:val="24"/>
              </w:rPr>
              <w:t xml:space="preserve">n°2 - R10 : Dépenses du maître d'ouvrage, définition des éléments comptables et preuves probantes pris en charge, sensibilisation de l'administration et des bénéficiaires (charges sociales, liste présence </w:t>
            </w:r>
            <w:r>
              <w:rPr>
                <w:szCs w:val="24"/>
              </w:rPr>
              <w:t>aux réunions,…). (source : 2007-2013 en continu Formation de l'administration, des Partenaires, des Bénéficiaires, Multiplicité des précisions sur « Guidance » (notes de cadrage))</w:t>
            </w:r>
          </w:p>
          <w:p w:rsidR="0035701C" w:rsidRDefault="00FB561B">
            <w:pPr>
              <w:spacing w:before="240" w:after="240"/>
              <w:jc w:val="left"/>
              <w:rPr>
                <w:szCs w:val="24"/>
              </w:rPr>
            </w:pPr>
            <w:r>
              <w:rPr>
                <w:szCs w:val="24"/>
              </w:rPr>
              <w:t xml:space="preserve">n°3 - R10 : Pour l'ensemble des frais et investissements, risque de projets </w:t>
            </w:r>
            <w:r>
              <w:rPr>
                <w:szCs w:val="24"/>
              </w:rPr>
              <w:t>déjà financés par ailleurs CPER 14-20 (et/ou toujours sous engagement d'anciens contrats) (source : Ponctuel sur Retour d'Expérience)</w:t>
            </w:r>
          </w:p>
          <w:p w:rsidR="0035701C" w:rsidRDefault="00FB561B">
            <w:pPr>
              <w:spacing w:before="240" w:after="240"/>
              <w:jc w:val="left"/>
              <w:rPr>
                <w:szCs w:val="24"/>
              </w:rPr>
            </w:pPr>
            <w:r>
              <w:rPr>
                <w:szCs w:val="24"/>
              </w:rPr>
              <w:t>n°4 - R4 : Identification claire des organismes et/ou sociétés sélectionnés, garantissant leur viabilité et leur pérennité</w:t>
            </w:r>
            <w:r>
              <w:rPr>
                <w:szCs w:val="24"/>
              </w:rPr>
              <w:t>. (source : Ponctuel sur Retour d'Expérience)</w:t>
            </w:r>
          </w:p>
          <w:p w:rsidR="0035701C" w:rsidRDefault="00FB561B">
            <w:pPr>
              <w:spacing w:before="240" w:after="240"/>
              <w:jc w:val="left"/>
              <w:rPr>
                <w:szCs w:val="24"/>
              </w:rPr>
            </w:pPr>
            <w:r>
              <w:rPr>
                <w:szCs w:val="24"/>
              </w:rPr>
              <w:t>n°5 - R5  : Vérification du maintien de la viabilité et de la fonctionnalité de l'opération financée tout au long de la période d'engagement Sensibilisation au respect des engagements sur la détention des éléme</w:t>
            </w:r>
            <w:r>
              <w:rPr>
                <w:szCs w:val="24"/>
              </w:rPr>
              <w:t>nts originaux et conformes des dépenses tout au long de la période d’engagement de l’opération aidée. (source : Ponctuel sur Retour d'Expérience)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VERIFIER Pour les formes juridiques sociétaires ou associatives, conformité</w:t>
            </w:r>
            <w:r>
              <w:rPr>
                <w:szCs w:val="24"/>
              </w:rPr>
              <w:t xml:space="preserve"> des statuts et actes, mise à jour effective et conforme. VERIFIER la qualité de propriétaire foncier des partenaires.</w:t>
            </w:r>
          </w:p>
          <w:p w:rsidR="0035701C" w:rsidRDefault="00FB561B">
            <w:pPr>
              <w:spacing w:before="240" w:after="240"/>
              <w:jc w:val="left"/>
              <w:rPr>
                <w:szCs w:val="24"/>
              </w:rPr>
            </w:pPr>
            <w:r>
              <w:rPr>
                <w:szCs w:val="24"/>
              </w:rPr>
              <w:t>n°2 - R10 : VERIFIER Principalement de bien détailler frais de déplacements (selon barème pré établi), coûts salariaux, modalités d'enreg</w:t>
            </w:r>
            <w:r>
              <w:rPr>
                <w:szCs w:val="24"/>
              </w:rPr>
              <w:t>istrement et de suivi des participants, les contributions en nature….</w:t>
            </w:r>
          </w:p>
          <w:p w:rsidR="0035701C" w:rsidRDefault="00FB561B">
            <w:pPr>
              <w:spacing w:before="240" w:after="240"/>
              <w:jc w:val="left"/>
              <w:rPr>
                <w:szCs w:val="24"/>
              </w:rPr>
            </w:pPr>
            <w:r>
              <w:rPr>
                <w:szCs w:val="24"/>
              </w:rPr>
              <w:t xml:space="preserve">n°3 - R10 : EXECUTER UN CONTRÔLE CROISE des aides aux bénéficiaires de l'opération avec les autres aides dont ils ont bénéficié ou dont ils bénéficient, et avec celles des bénéficiaires </w:t>
            </w:r>
            <w:r>
              <w:rPr>
                <w:szCs w:val="24"/>
              </w:rPr>
              <w:t>partenaires (cas des actions collectives). MAINTENIR ce point de contrôle administratif de la demande d'aide à la fin de la période d'engagement.</w:t>
            </w:r>
          </w:p>
          <w:p w:rsidR="0035701C" w:rsidRDefault="00FB561B">
            <w:pPr>
              <w:spacing w:before="240" w:after="240"/>
              <w:jc w:val="left"/>
              <w:rPr>
                <w:szCs w:val="24"/>
              </w:rPr>
            </w:pPr>
            <w:r>
              <w:rPr>
                <w:szCs w:val="24"/>
              </w:rPr>
              <w:t>n°4 - R4 : SENSIBILISER lors de l'instruction au bon respect du Code des marchés publics. CONTROLER à la deman</w:t>
            </w:r>
            <w:r>
              <w:rPr>
                <w:szCs w:val="24"/>
              </w:rPr>
              <w:t>de de paiement le respect des procédures de marchés publics.</w:t>
            </w:r>
          </w:p>
          <w:p w:rsidR="0035701C" w:rsidRDefault="00FB561B">
            <w:pPr>
              <w:spacing w:before="240" w:after="240"/>
              <w:jc w:val="left"/>
              <w:rPr>
                <w:szCs w:val="24"/>
              </w:rPr>
            </w:pPr>
            <w:r>
              <w:rPr>
                <w:szCs w:val="24"/>
              </w:rPr>
              <w:t>n°5 - R5 : MAINTENIR  pour la viabilité et la fonctionnalité de l'opération ce point de contrôle administratif de la demande d'aide à la fin de la période d'engagement.</w:t>
            </w:r>
          </w:p>
          <w:p w:rsidR="0035701C" w:rsidRDefault="0035701C">
            <w:pPr>
              <w:pStyle w:val="Corpsdetexte"/>
            </w:pPr>
          </w:p>
        </w:tc>
      </w:tr>
    </w:tbl>
    <w:p w:rsidR="0035701C" w:rsidRDefault="00FB561B">
      <w:pPr>
        <w:pStyle w:val="Titre7"/>
      </w:pPr>
      <w:r>
        <w:t>Évaluation globale de la</w:t>
      </w:r>
      <w:r>
        <w:t xml:space="preserve">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Au vu des cotations matricielles, sur le poids financier de la mesure (5%), sur les priorités, les risques, les mesures d’atténuation prévues, cette mesure reçoit une évaluation  favorable peu risquée ; Les mécanismes de mise en œuvre sont connus</w:t>
            </w:r>
            <w:r>
              <w:rPr>
                <w:szCs w:val="24"/>
              </w:rPr>
              <w:t xml:space="preserve"> et maîtrisés par tous les acteurs.</w:t>
            </w:r>
          </w:p>
          <w:p w:rsidR="0035701C" w:rsidRDefault="00FB561B">
            <w:pPr>
              <w:spacing w:before="240" w:after="240"/>
              <w:jc w:val="left"/>
              <w:rPr>
                <w:szCs w:val="24"/>
              </w:rPr>
            </w:pPr>
            <w:r>
              <w:rPr>
                <w:szCs w:val="24"/>
              </w:rPr>
              <w:t>- Concernant l'évaluation globale de la mesure : la mesure est contrôlable sous réserve de la mise en place d'actions d'atténuation et des précisions apportées dans les documents de mise en œuvre notamment sur la nécessi</w:t>
            </w:r>
            <w:r>
              <w:rPr>
                <w:szCs w:val="24"/>
              </w:rPr>
              <w:t>té de bien contrôler les éventuels financements croisées et/ou complémentaires, de s'assurer du respect des marchés publics, et du maintien de la fonctionnalité de l'opération sur la période d'engagement.</w:t>
            </w:r>
          </w:p>
          <w:p w:rsidR="0035701C" w:rsidRDefault="0035701C">
            <w:pPr>
              <w:pStyle w:val="Corpsdetexte"/>
            </w:pPr>
          </w:p>
        </w:tc>
      </w:tr>
    </w:tbl>
    <w:p w:rsidR="0035701C" w:rsidRDefault="00FB561B">
      <w:pPr>
        <w:pStyle w:val="Titre6"/>
      </w:pPr>
      <w:r>
        <w:t>Méthode de calcul du montant ou du taux d’aide, l</w:t>
      </w:r>
      <w:r>
        <w:t>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6"/>
      </w:pPr>
      <w:r>
        <w:t>Informations spécifiques sur l'opération</w:t>
      </w:r>
    </w:p>
    <w:p w:rsidR="0035701C" w:rsidRDefault="00FB561B">
      <w:r>
        <w:t>Définition de la notion d’infrastructure «à petite échelle», y compris les infrastructures touristiques à petite échelle visées à l’article 20, paragraphe 1, point e), du règlement (UE) n° 1305/201</w:t>
      </w:r>
      <w:r>
        <w:t>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S'il y a lieu, dérogation spécifique pour les investissements dans le haut débit et les énergies renouvelables, de sorte que les infrastructures à plus grande échelle puissent également bénéficier d’une aide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Informations sur l’application du </w:t>
      </w:r>
      <w:r>
        <w:t>délai de grâce visé à l’article 2, paragraphe 3,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Les normes minimales en matière d’efficacité énergétique visées à l’article 13, point c), du règlement délégué (UE) nº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 xml:space="preserve">Fixation des seuils visés à </w:t>
      </w:r>
      <w:r>
        <w:t>l'article 13, point e), du [DA RD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br w:type="page"/>
        <w:t>7.5- Tourisme rural</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04"/>
              </w:numPr>
            </w:pPr>
            <w:r>
              <w:t xml:space="preserve">7.5 – Aide aux investissements à l'usage du public dans les infrastructures récréatives, les informations touristiques et les infrastructures touristiques à petite </w:t>
            </w:r>
            <w:r>
              <w:t>échelle</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Sous-titre complet de l'opération : Tourisme rural = Investissements à usage public favorisant les activités touristiques et l'accueil du public en montagne</w:t>
            </w:r>
          </w:p>
          <w:p w:rsidR="0035701C" w:rsidRDefault="00FB561B">
            <w:pPr>
              <w:spacing w:before="240" w:after="240"/>
              <w:jc w:val="left"/>
              <w:rPr>
                <w:szCs w:val="24"/>
              </w:rPr>
            </w:pPr>
            <w:r>
              <w:rPr>
                <w:szCs w:val="24"/>
              </w:rPr>
              <w:t xml:space="preserve">La sous mesure concerne l'amélioration et la sécurisation </w:t>
            </w:r>
            <w:r>
              <w:rPr>
                <w:szCs w:val="24"/>
              </w:rPr>
              <w:t>des infrastructures touristiques en montagne notamment sur les sentiers de randonnée.</w:t>
            </w:r>
          </w:p>
          <w:p w:rsidR="0035701C" w:rsidRDefault="00FB561B">
            <w:pPr>
              <w:spacing w:before="240" w:after="240"/>
              <w:jc w:val="left"/>
              <w:rPr>
                <w:szCs w:val="24"/>
              </w:rPr>
            </w:pPr>
            <w:r>
              <w:rPr>
                <w:szCs w:val="24"/>
              </w:rPr>
              <w:t>L'opération consiste à mieux structurer l'offre et mieux professionnaliser les acteurs pour impulser une véritable dynamique de développement durable. La réhabilitation d</w:t>
            </w:r>
            <w:r>
              <w:rPr>
                <w:szCs w:val="24"/>
              </w:rPr>
              <w:t>es infrastructures touristiques, notamment les refuges, doit permettre l'optimisation de l'exploitation et de la maintenance des sites (énergie, consommation d'eau, quantité de déchets générés, pollution...).</w:t>
            </w:r>
          </w:p>
          <w:p w:rsidR="0035701C" w:rsidRDefault="00FB561B">
            <w:pPr>
              <w:spacing w:before="240" w:after="240"/>
              <w:jc w:val="left"/>
              <w:rPr>
                <w:szCs w:val="24"/>
              </w:rPr>
            </w:pPr>
            <w:r>
              <w:rPr>
                <w:szCs w:val="24"/>
              </w:rPr>
              <w:t>L'intervention vise donc à :</w:t>
            </w:r>
          </w:p>
          <w:p w:rsidR="0035701C" w:rsidRDefault="00FB561B">
            <w:pPr>
              <w:spacing w:before="240" w:after="240"/>
              <w:jc w:val="left"/>
              <w:rPr>
                <w:szCs w:val="24"/>
              </w:rPr>
            </w:pPr>
            <w:r>
              <w:rPr>
                <w:szCs w:val="24"/>
              </w:rPr>
              <w:t>•          La réha</w:t>
            </w:r>
            <w:r>
              <w:rPr>
                <w:szCs w:val="24"/>
              </w:rPr>
              <w:t>bilitation, l’extension de refuges en montagne sur les itinéraires de randonnée, respectant les enjeux environnementaux (performance énergétique, gestion des déchets...) ;</w:t>
            </w:r>
          </w:p>
          <w:p w:rsidR="0035701C" w:rsidRDefault="00FB561B">
            <w:pPr>
              <w:spacing w:before="240" w:after="240"/>
              <w:jc w:val="left"/>
              <w:rPr>
                <w:szCs w:val="24"/>
              </w:rPr>
            </w:pPr>
            <w:r>
              <w:rPr>
                <w:szCs w:val="24"/>
              </w:rPr>
              <w:t>•          La réalisation de travaux de rénovation énergétique et environnementale s</w:t>
            </w:r>
            <w:r>
              <w:rPr>
                <w:szCs w:val="24"/>
              </w:rPr>
              <w:t>ur le bâti ou les équipements extérieurs ;</w:t>
            </w:r>
          </w:p>
          <w:p w:rsidR="0035701C" w:rsidRDefault="00FB561B">
            <w:pPr>
              <w:spacing w:before="240" w:after="240"/>
              <w:jc w:val="left"/>
              <w:rPr>
                <w:szCs w:val="24"/>
              </w:rPr>
            </w:pPr>
            <w:r>
              <w:rPr>
                <w:szCs w:val="24"/>
              </w:rPr>
              <w:t>•          La réalisation de travaux d’aménagements et de sécurisation de certains sentiers (GR 20; Mare a Mare; Mare e Monti, sentiers inscrits au PDIPR ou document équivalent) et leurs voies d’accès (hors entret</w:t>
            </w:r>
            <w:r>
              <w:rPr>
                <w:szCs w:val="24"/>
              </w:rPr>
              <w:t>ien courant)</w:t>
            </w:r>
          </w:p>
          <w:p w:rsidR="0035701C" w:rsidRDefault="00FB561B">
            <w:pPr>
              <w:spacing w:before="240" w:after="240"/>
              <w:jc w:val="left"/>
              <w:rPr>
                <w:szCs w:val="24"/>
              </w:rPr>
            </w:pPr>
            <w:r>
              <w:rPr>
                <w:szCs w:val="24"/>
              </w:rPr>
              <w:t>•          L'amélioration de la qualité de l'accueil</w:t>
            </w:r>
          </w:p>
          <w:p w:rsidR="0035701C" w:rsidRDefault="00FB561B">
            <w:pPr>
              <w:spacing w:before="240" w:after="240"/>
              <w:jc w:val="left"/>
              <w:rPr>
                <w:szCs w:val="24"/>
              </w:rPr>
            </w:pPr>
            <w:r>
              <w:rPr>
                <w:szCs w:val="24"/>
              </w:rPr>
              <w:t>Cette sous-mesure est ciblée sur le domaine prioritaire 6b) et répond aux besoins n°27, n°30 et n°34</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versée sous forme de 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Loi n° 85-30 du 9 janvier 1985 relative au développement et à la protection de la montagne; délimitant la zone de montagne et des massifs ;</w:t>
            </w:r>
          </w:p>
          <w:p w:rsidR="0035701C" w:rsidRDefault="00FB561B">
            <w:pPr>
              <w:spacing w:before="240" w:after="240"/>
              <w:jc w:val="left"/>
              <w:rPr>
                <w:szCs w:val="24"/>
              </w:rPr>
            </w:pPr>
            <w:r>
              <w:rPr>
                <w:szCs w:val="24"/>
              </w:rPr>
              <w:t>- Code des Marchés Publics ;</w:t>
            </w:r>
          </w:p>
          <w:p w:rsidR="0035701C" w:rsidRDefault="00FB561B">
            <w:pPr>
              <w:spacing w:before="240" w:after="240"/>
              <w:jc w:val="left"/>
              <w:rPr>
                <w:szCs w:val="24"/>
              </w:rPr>
            </w:pPr>
            <w:r>
              <w:rPr>
                <w:szCs w:val="24"/>
              </w:rPr>
              <w:t>- Contrat de Plan Etat/Région 2014-2020 ;</w:t>
            </w:r>
          </w:p>
          <w:p w:rsidR="0035701C" w:rsidRDefault="00FB561B">
            <w:pPr>
              <w:spacing w:before="240" w:after="240"/>
              <w:jc w:val="left"/>
              <w:rPr>
                <w:szCs w:val="24"/>
              </w:rPr>
            </w:pPr>
            <w:r>
              <w:rPr>
                <w:szCs w:val="24"/>
              </w:rPr>
              <w:t>- Les</w:t>
            </w:r>
            <w:r>
              <w:rPr>
                <w:szCs w:val="24"/>
              </w:rPr>
              <w:t xml:space="preserve"> opérations financées dans le cadre de cette mesure ne relèveront pas des obligations légales d'un PNR.</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Collectivités territoriales et leurs groupements,</w:t>
            </w:r>
          </w:p>
          <w:p w:rsidR="0035701C" w:rsidRDefault="00FB561B">
            <w:pPr>
              <w:spacing w:before="240" w:after="240"/>
              <w:jc w:val="left"/>
              <w:rPr>
                <w:szCs w:val="24"/>
              </w:rPr>
            </w:pPr>
            <w:r>
              <w:rPr>
                <w:szCs w:val="24"/>
              </w:rPr>
              <w:t>•          Etablissements publics</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frais généraux </w:t>
            </w:r>
            <w:r>
              <w:rPr>
                <w:szCs w:val="24"/>
              </w:rPr>
              <w:t xml:space="preserve">liés aux opérations financées (article 45 (2) du règlement (UE) n° 1305/2013) dans la limite de 10 % des dépenses totales éligibles de l'opération : honoraires d’architectes et rémunérations d’ingénieurs et de consultants, les dépenses liées au conseil en </w:t>
            </w:r>
            <w:r>
              <w:rPr>
                <w:szCs w:val="24"/>
              </w:rPr>
              <w:t>matière de durabilité environnementale et économique, y compris les coûts liés aux études de faisabilité ;</w:t>
            </w:r>
          </w:p>
          <w:p w:rsidR="0035701C" w:rsidRDefault="00FB561B">
            <w:pPr>
              <w:spacing w:before="240" w:after="240"/>
              <w:jc w:val="left"/>
              <w:rPr>
                <w:szCs w:val="24"/>
              </w:rPr>
            </w:pPr>
            <w:r>
              <w:rPr>
                <w:b/>
                <w:bCs/>
                <w:szCs w:val="24"/>
              </w:rPr>
              <w:t>Investissements matériels :</w:t>
            </w:r>
            <w:r>
              <w:rPr>
                <w:szCs w:val="24"/>
              </w:rPr>
              <w:t>    </w:t>
            </w:r>
          </w:p>
          <w:p w:rsidR="0035701C" w:rsidRDefault="00FB561B">
            <w:pPr>
              <w:spacing w:before="240" w:after="240"/>
              <w:jc w:val="left"/>
              <w:rPr>
                <w:szCs w:val="24"/>
              </w:rPr>
            </w:pPr>
            <w:r>
              <w:rPr>
                <w:szCs w:val="24"/>
              </w:rPr>
              <w:t>Amélioration de refuge existant : bâtisse, toiture, aménagement intérieur, équipements extérieurs (zone de bivouac ra</w:t>
            </w:r>
            <w:r>
              <w:rPr>
                <w:szCs w:val="24"/>
              </w:rPr>
              <w:t>ttachée à la structure)</w:t>
            </w:r>
          </w:p>
          <w:p w:rsidR="0035701C" w:rsidRDefault="00FB561B">
            <w:pPr>
              <w:spacing w:before="240" w:after="240"/>
              <w:jc w:val="left"/>
              <w:rPr>
                <w:szCs w:val="24"/>
              </w:rPr>
            </w:pPr>
            <w:r>
              <w:rPr>
                <w:szCs w:val="24"/>
              </w:rPr>
              <w:t>Travaux d’aménagements et de sécurisation des sentiers du GR20, des sentiers Mare a mare; des sentiers Mare e Monti, des sentiers inscrits au PDIPR (Plan départemental des itinéraires de promenade et de randonnée – ou document équiv</w:t>
            </w:r>
            <w:r>
              <w:rPr>
                <w:szCs w:val="24"/>
              </w:rPr>
              <w:t>alent) et de leurs voies d’accès.</w:t>
            </w:r>
          </w:p>
          <w:p w:rsidR="0035701C" w:rsidRDefault="00FB561B">
            <w:pPr>
              <w:spacing w:before="240" w:after="240"/>
              <w:jc w:val="left"/>
              <w:rPr>
                <w:szCs w:val="24"/>
              </w:rPr>
            </w:pPr>
            <w:r>
              <w:rPr>
                <w:b/>
                <w:bCs/>
                <w:szCs w:val="24"/>
              </w:rPr>
              <w:t>Dépenses exclues :</w:t>
            </w:r>
          </w:p>
          <w:p w:rsidR="0035701C" w:rsidRDefault="00FB561B">
            <w:pPr>
              <w:spacing w:before="240" w:after="240"/>
              <w:jc w:val="left"/>
              <w:rPr>
                <w:szCs w:val="24"/>
              </w:rPr>
            </w:pPr>
            <w:r>
              <w:rPr>
                <w:szCs w:val="24"/>
              </w:rPr>
              <w:t>Travaux d'entretien courant,</w:t>
            </w:r>
          </w:p>
          <w:p w:rsidR="0035701C" w:rsidRDefault="00FB561B">
            <w:pPr>
              <w:spacing w:before="240" w:after="240"/>
              <w:jc w:val="left"/>
              <w:rPr>
                <w:szCs w:val="24"/>
              </w:rPr>
            </w:pPr>
            <w:r>
              <w:rPr>
                <w:szCs w:val="24"/>
              </w:rPr>
              <w:t>Travaux concernant la construction ou la rénovation d'hébergements touristiques</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05"/>
              </w:numPr>
              <w:spacing w:before="0" w:after="0"/>
              <w:ind w:hanging="210"/>
              <w:jc w:val="left"/>
              <w:rPr>
                <w:szCs w:val="24"/>
              </w:rPr>
            </w:pPr>
            <w:r>
              <w:rPr>
                <w:szCs w:val="24"/>
              </w:rPr>
              <w:t xml:space="preserve">Le projet doit se situer en zone rurale telle que définie à la </w:t>
            </w:r>
            <w:r>
              <w:rPr>
                <w:szCs w:val="24"/>
              </w:rPr>
              <w:t>section 8.1 du PDRC.</w:t>
            </w:r>
          </w:p>
          <w:p w:rsidR="0035701C" w:rsidRDefault="00FB561B" w:rsidP="00FB561B">
            <w:pPr>
              <w:numPr>
                <w:ilvl w:val="0"/>
                <w:numId w:val="505"/>
              </w:numPr>
              <w:spacing w:before="0" w:after="0"/>
              <w:ind w:hanging="210"/>
              <w:jc w:val="left"/>
              <w:rPr>
                <w:szCs w:val="24"/>
              </w:rPr>
            </w:pPr>
            <w:r>
              <w:rPr>
                <w:szCs w:val="24"/>
              </w:rPr>
              <w:t>Le projet doit être située sur les itineraires du GR20, des sentiers Mare a Mare, des sentiers Mare e Monti, sur un sentier inscrit au PDIPR (ou document équivalent) ou sur leurs voies d'accès. Les opérations devront être  mises en œuvre conformément aux p</w:t>
            </w:r>
            <w:r>
              <w:rPr>
                <w:szCs w:val="24"/>
              </w:rPr>
              <w:t xml:space="preserve">lans de développement dans les zones rurales, s'il en existe, et être compatibles, le cas échéant, avec toute stratégie locale de développement pertinente (article 20.3 du Règlement UE n°1305/2013). </w:t>
            </w:r>
          </w:p>
          <w:p w:rsidR="0035701C" w:rsidRDefault="00FB561B">
            <w:pPr>
              <w:spacing w:before="240" w:after="240"/>
              <w:ind w:left="720"/>
              <w:jc w:val="left"/>
              <w:rPr>
                <w:szCs w:val="24"/>
              </w:rPr>
            </w:pPr>
            <w:r>
              <w:rPr>
                <w:szCs w:val="24"/>
              </w:rPr>
              <w:t> </w:t>
            </w:r>
          </w:p>
          <w:p w:rsidR="0035701C" w:rsidRDefault="0035701C">
            <w:pPr>
              <w:pStyle w:val="Corpsdetexte"/>
            </w:pPr>
          </w:p>
        </w:tc>
      </w:tr>
    </w:tbl>
    <w:p w:rsidR="0035701C" w:rsidRDefault="00FB561B">
      <w:pPr>
        <w:pStyle w:val="Titre6"/>
      </w:pPr>
      <w:r>
        <w:t>Principes applicables à l'établissement des critères</w:t>
      </w:r>
      <w:r>
        <w:t xml:space="preserve">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Une grille de sélection des opérations prévoira l’établissement d’un système de points permettant le classement des dossiers et la fixation d’un seuil minimal afin d’accéder au soutien  au titre du PDRC. Les critères de sélection pourront </w:t>
            </w:r>
            <w:r>
              <w:rPr>
                <w:szCs w:val="24"/>
              </w:rPr>
              <w:t>prendre en compte :</w:t>
            </w:r>
          </w:p>
          <w:p w:rsidR="0035701C" w:rsidRDefault="00FB561B">
            <w:pPr>
              <w:spacing w:before="240" w:after="240"/>
              <w:jc w:val="left"/>
              <w:rPr>
                <w:szCs w:val="24"/>
              </w:rPr>
            </w:pPr>
            <w:r>
              <w:rPr>
                <w:szCs w:val="24"/>
              </w:rPr>
              <w:t>Pour les refuges :</w:t>
            </w:r>
          </w:p>
          <w:p w:rsidR="0035701C" w:rsidRDefault="00FB561B" w:rsidP="00FB561B">
            <w:pPr>
              <w:numPr>
                <w:ilvl w:val="0"/>
                <w:numId w:val="506"/>
              </w:numPr>
              <w:spacing w:before="240" w:after="0"/>
              <w:ind w:hanging="210"/>
              <w:jc w:val="left"/>
              <w:rPr>
                <w:szCs w:val="24"/>
              </w:rPr>
            </w:pPr>
            <w:r>
              <w:rPr>
                <w:szCs w:val="24"/>
              </w:rPr>
              <w:t>Exigences paysagères et environnementales du projet : priorité sera donnée aux projets respectant les enjeux environnementaux (performance énergétique, gestion durable des ressources et des déchets) ;</w:t>
            </w:r>
          </w:p>
          <w:p w:rsidR="0035701C" w:rsidRDefault="00FB561B" w:rsidP="00FB561B">
            <w:pPr>
              <w:numPr>
                <w:ilvl w:val="0"/>
                <w:numId w:val="506"/>
              </w:numPr>
              <w:spacing w:before="240" w:after="240"/>
              <w:ind w:hanging="210"/>
              <w:jc w:val="left"/>
              <w:rPr>
                <w:szCs w:val="24"/>
              </w:rPr>
            </w:pPr>
            <w:r>
              <w:rPr>
                <w:szCs w:val="24"/>
              </w:rPr>
              <w:t xml:space="preserve">Utilisation des </w:t>
            </w:r>
            <w:r>
              <w:rPr>
                <w:szCs w:val="24"/>
              </w:rPr>
              <w:t>nouvelles technologies de l'information et de la communication pour la commercialisation ;</w:t>
            </w:r>
          </w:p>
          <w:p w:rsidR="0035701C" w:rsidRDefault="00FB561B" w:rsidP="00FB561B">
            <w:pPr>
              <w:numPr>
                <w:ilvl w:val="0"/>
                <w:numId w:val="506"/>
              </w:numPr>
              <w:spacing w:before="240" w:after="240"/>
              <w:ind w:hanging="210"/>
              <w:jc w:val="left"/>
              <w:rPr>
                <w:szCs w:val="24"/>
              </w:rPr>
            </w:pPr>
            <w:r>
              <w:rPr>
                <w:szCs w:val="24"/>
              </w:rPr>
              <w:t>Utilisation des ressources locales.</w:t>
            </w:r>
          </w:p>
          <w:p w:rsidR="0035701C" w:rsidRDefault="00FB561B">
            <w:pPr>
              <w:spacing w:before="240" w:after="240"/>
              <w:jc w:val="left"/>
              <w:rPr>
                <w:szCs w:val="24"/>
              </w:rPr>
            </w:pPr>
            <w:r>
              <w:rPr>
                <w:szCs w:val="24"/>
              </w:rPr>
              <w:t>Pour les travaux sur les sentiers :</w:t>
            </w:r>
          </w:p>
          <w:p w:rsidR="0035701C" w:rsidRDefault="00FB561B" w:rsidP="00FB561B">
            <w:pPr>
              <w:numPr>
                <w:ilvl w:val="0"/>
                <w:numId w:val="507"/>
              </w:numPr>
              <w:spacing w:before="240" w:after="240"/>
              <w:ind w:hanging="210"/>
              <w:jc w:val="left"/>
              <w:rPr>
                <w:szCs w:val="24"/>
              </w:rPr>
            </w:pPr>
            <w:r>
              <w:rPr>
                <w:szCs w:val="24"/>
              </w:rPr>
              <w:t>Le type de sentier concerné</w:t>
            </w:r>
          </w:p>
          <w:p w:rsidR="0035701C" w:rsidRDefault="00FB561B" w:rsidP="00FB561B">
            <w:pPr>
              <w:numPr>
                <w:ilvl w:val="0"/>
                <w:numId w:val="508"/>
              </w:numPr>
              <w:spacing w:before="240" w:after="240"/>
              <w:ind w:hanging="210"/>
              <w:jc w:val="left"/>
              <w:rPr>
                <w:szCs w:val="24"/>
              </w:rPr>
            </w:pPr>
            <w:r>
              <w:rPr>
                <w:szCs w:val="24"/>
              </w:rPr>
              <w:t>L'importance de l'aménagement pour la particabilité du senti</w:t>
            </w:r>
          </w:p>
          <w:p w:rsidR="0035701C" w:rsidRDefault="00FB561B" w:rsidP="00FB561B">
            <w:pPr>
              <w:numPr>
                <w:ilvl w:val="0"/>
                <w:numId w:val="509"/>
              </w:numPr>
              <w:spacing w:before="240" w:after="240"/>
              <w:ind w:hanging="210"/>
              <w:jc w:val="left"/>
              <w:rPr>
                <w:szCs w:val="24"/>
              </w:rPr>
            </w:pPr>
            <w:r>
              <w:rPr>
                <w:szCs w:val="24"/>
              </w:rPr>
              <w:t>Crit</w:t>
            </w:r>
            <w:r>
              <w:rPr>
                <w:szCs w:val="24"/>
              </w:rPr>
              <w:t>ères environnementaux et paysagers </w:t>
            </w:r>
          </w:p>
          <w:p w:rsidR="0035701C" w:rsidRDefault="00FB561B" w:rsidP="00FB561B">
            <w:pPr>
              <w:numPr>
                <w:ilvl w:val="0"/>
                <w:numId w:val="510"/>
              </w:numPr>
              <w:spacing w:before="240" w:after="240"/>
              <w:ind w:hanging="210"/>
              <w:jc w:val="left"/>
              <w:rPr>
                <w:szCs w:val="24"/>
              </w:rPr>
            </w:pPr>
            <w:r>
              <w:rPr>
                <w:szCs w:val="24"/>
              </w:rPr>
              <w:t>Utilisation des ressources locales</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Taux d’aide publique : 100%</w:t>
            </w:r>
          </w:p>
          <w:p w:rsidR="0035701C" w:rsidRDefault="00FB561B">
            <w:pPr>
              <w:spacing w:before="240" w:after="240"/>
              <w:jc w:val="left"/>
              <w:rPr>
                <w:szCs w:val="24"/>
              </w:rPr>
            </w:pPr>
            <w:r>
              <w:rPr>
                <w:szCs w:val="24"/>
              </w:rPr>
              <w:t xml:space="preserve">Pour les projets ne relevant pas de l’article 42 du TFUE dont le financement est soumis aux règles d'aide d'Etat, </w:t>
            </w:r>
            <w:r>
              <w:rPr>
                <w:szCs w:val="24"/>
              </w:rPr>
              <w:t>sera utilisé :</w:t>
            </w:r>
          </w:p>
          <w:p w:rsidR="0035701C" w:rsidRDefault="00FB561B" w:rsidP="00FB561B">
            <w:pPr>
              <w:numPr>
                <w:ilvl w:val="0"/>
                <w:numId w:val="511"/>
              </w:numPr>
              <w:spacing w:before="240" w:after="0"/>
              <w:ind w:hanging="210"/>
              <w:jc w:val="left"/>
              <w:rPr>
                <w:szCs w:val="24"/>
              </w:rPr>
            </w:pPr>
            <w:r>
              <w:rPr>
                <w:szCs w:val="24"/>
              </w:rPr>
              <w:t>un régime d'aides exempté de notification au titre du règlement (UE) n° 651/2014  de la Commission du 17 juin 2014, ou au titre du règlement (UE) n° 702/2014 de la Commission du 25 juin 2014,</w:t>
            </w:r>
          </w:p>
          <w:p w:rsidR="0035701C" w:rsidRDefault="00FB561B" w:rsidP="00FB561B">
            <w:pPr>
              <w:numPr>
                <w:ilvl w:val="0"/>
                <w:numId w:val="511"/>
              </w:numPr>
              <w:spacing w:before="0" w:after="0"/>
              <w:ind w:hanging="210"/>
              <w:jc w:val="left"/>
              <w:rPr>
                <w:szCs w:val="24"/>
              </w:rPr>
            </w:pPr>
            <w:r>
              <w:rPr>
                <w:szCs w:val="24"/>
              </w:rPr>
              <w:t>ou un régime notifié en vertu de l'article 108, p</w:t>
            </w:r>
            <w:r>
              <w:rPr>
                <w:szCs w:val="24"/>
              </w:rPr>
              <w:t>aragraphe 3 du Traité,</w:t>
            </w:r>
          </w:p>
          <w:p w:rsidR="0035701C" w:rsidRDefault="00FB561B" w:rsidP="00FB561B">
            <w:pPr>
              <w:numPr>
                <w:ilvl w:val="0"/>
                <w:numId w:val="511"/>
              </w:numPr>
              <w:spacing w:before="0" w:after="240"/>
              <w:ind w:hanging="210"/>
              <w:jc w:val="left"/>
              <w:rPr>
                <w:szCs w:val="24"/>
              </w:rPr>
            </w:pPr>
            <w:r>
              <w:rPr>
                <w:szCs w:val="24"/>
              </w:rPr>
              <w:t>ou le règlement (UE) n° 1407/2013 de la Commission du 18 décembre 2013 relatif à l'application des articles 107 et 108 du traité sur le fonctionnement de l'Union européenne aux aides de minimis.</w:t>
            </w:r>
          </w:p>
          <w:p w:rsidR="0035701C" w:rsidRDefault="00FB561B">
            <w:pPr>
              <w:spacing w:before="240" w:after="240"/>
              <w:jc w:val="left"/>
              <w:rPr>
                <w:szCs w:val="24"/>
              </w:rPr>
            </w:pPr>
            <w:r>
              <w:rPr>
                <w:szCs w:val="24"/>
              </w:rPr>
              <w:t xml:space="preserve">Le taux d'aide publique appliqué au </w:t>
            </w:r>
            <w:r>
              <w:rPr>
                <w:szCs w:val="24"/>
              </w:rPr>
              <w:t>dossier correspondra au maximum autorisé par le régime d'aide d'Etat appliqué audit dossier, si ce maximum est plus restrictif que le taux prévu par le PDR ; ce maximum ne pourra être supérieur au taux mentionné ci dessus.</w:t>
            </w:r>
          </w:p>
          <w:p w:rsidR="0035701C" w:rsidRDefault="0035701C">
            <w:pPr>
              <w:pStyle w:val="Corpsdetexte"/>
            </w:pPr>
          </w:p>
        </w:tc>
      </w:tr>
    </w:tbl>
    <w:p w:rsidR="0035701C" w:rsidRDefault="00FB561B">
      <w:pPr>
        <w:pStyle w:val="Titre6"/>
      </w:pPr>
      <w:r>
        <w:t>Caractère vérifiable et contrôl</w:t>
      </w:r>
      <w:r>
        <w:t>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 :</w:t>
            </w:r>
          </w:p>
          <w:p w:rsidR="0035701C" w:rsidRDefault="00FB561B">
            <w:pPr>
              <w:spacing w:before="240" w:after="240"/>
              <w:jc w:val="left"/>
              <w:rPr>
                <w:szCs w:val="24"/>
              </w:rPr>
            </w:pPr>
            <w:r>
              <w:rPr>
                <w:szCs w:val="24"/>
              </w:rPr>
              <w:t>L'OP a demandé que soient bien décrits les pétitionnaires susceptibles d'être bénéficiaires de cette opération.</w:t>
            </w:r>
            <w:r>
              <w:rPr>
                <w:szCs w:val="24"/>
              </w:rPr>
              <w:t xml:space="preserve"> Les éléments de Droit, les précisions apportées au présent texte, ainsi que le détail des éléments de réponse à fournir sur les appels à projet sont satisfaisants.  La prise en charge des coûts des actions financées décrites est satisfaisante. Une attenti</w:t>
            </w:r>
            <w:r>
              <w:rPr>
                <w:szCs w:val="24"/>
              </w:rPr>
              <w:t>on particulière sera portée sur le respect du Code des Marchés Publics, et la pérennité de l'opération aidée tout au long de la période d'engagement.</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n°1 - R1 : Pour les formes</w:t>
            </w:r>
            <w:r>
              <w:rPr>
                <w:szCs w:val="24"/>
              </w:rPr>
              <w:t xml:space="preserve"> juridiques sociétaires ou associatives, les collectivités, conformité des statuts et actes, mise à jour effective et conforme au long de la période d’engagement. Vérification de la qualité de propriétaire foncier (source : Législation nationale : décalage</w:t>
            </w:r>
            <w:r>
              <w:rPr>
                <w:szCs w:val="24"/>
              </w:rPr>
              <w:t xml:space="preserve"> entre Droit Social, Droit des Sociétés, Droit Rural, Législation nationale du Droit de Propriété, Droit des Successions, Droit Fiscal (modification pour la forêt en 2012))</w:t>
            </w:r>
          </w:p>
          <w:p w:rsidR="0035701C" w:rsidRDefault="00FB561B">
            <w:pPr>
              <w:spacing w:before="240" w:after="240"/>
              <w:jc w:val="left"/>
              <w:rPr>
                <w:szCs w:val="24"/>
              </w:rPr>
            </w:pPr>
            <w:r>
              <w:rPr>
                <w:szCs w:val="24"/>
              </w:rPr>
              <w:t>n°2 - R10 : Dépenses du maître d'ouvrage, définition des éléments comptables et pre</w:t>
            </w:r>
            <w:r>
              <w:rPr>
                <w:szCs w:val="24"/>
              </w:rPr>
              <w:t>uves probantes pris en charge, sensibilisation de l'administration et des bénéficiaires (charges sociales, liste présence aux réunions,…). (source : 2007-2013 en continu Formation de l'administration, des Partenaires, des Bénéficiaires, Multiplicité des pr</w:t>
            </w:r>
            <w:r>
              <w:rPr>
                <w:szCs w:val="24"/>
              </w:rPr>
              <w:t>écisions sur « Guidance » (notes de cadrage))</w:t>
            </w:r>
          </w:p>
          <w:p w:rsidR="0035701C" w:rsidRDefault="00FB561B">
            <w:pPr>
              <w:spacing w:before="240" w:after="240"/>
              <w:jc w:val="left"/>
              <w:rPr>
                <w:szCs w:val="24"/>
              </w:rPr>
            </w:pPr>
            <w:r>
              <w:rPr>
                <w:szCs w:val="24"/>
              </w:rPr>
              <w:t xml:space="preserve">n°3 - R10 : Pour l'ensemble des frais et investissements, risque de projets déjà financés par ailleurs PO FEDER, CPER 14-20 (et/ou toujours sous engagement d'anciens contrats) (source : Ponctuel sur Retour </w:t>
            </w:r>
            <w:r>
              <w:rPr>
                <w:szCs w:val="24"/>
              </w:rPr>
              <w:t>d'Expérience)</w:t>
            </w:r>
          </w:p>
          <w:p w:rsidR="0035701C" w:rsidRDefault="00FB561B">
            <w:pPr>
              <w:spacing w:before="240" w:after="240"/>
              <w:jc w:val="left"/>
              <w:rPr>
                <w:szCs w:val="24"/>
              </w:rPr>
            </w:pPr>
            <w:r>
              <w:rPr>
                <w:szCs w:val="24"/>
              </w:rPr>
              <w:t>n°4 - R4 : Identification claire des organismes et/ou sociétés sélectionnés, garantissant leur viabilité et leur pérennité. (source : Ponctuel sur Retour d'Expérience)</w:t>
            </w:r>
          </w:p>
          <w:p w:rsidR="0035701C" w:rsidRDefault="00FB561B">
            <w:pPr>
              <w:spacing w:before="240" w:after="240"/>
              <w:jc w:val="left"/>
              <w:rPr>
                <w:szCs w:val="24"/>
              </w:rPr>
            </w:pPr>
            <w:r>
              <w:rPr>
                <w:szCs w:val="24"/>
              </w:rPr>
              <w:t>n°5 - R5  : Vérification du maintien de la viabilité et de la fonctionnali</w:t>
            </w:r>
            <w:r>
              <w:rPr>
                <w:szCs w:val="24"/>
              </w:rPr>
              <w:t>té de l'opération financée tout au long de la période d'engagement Sensibilisation au respect des engagements sur la détention des éléments originaux et conformes des dépenses tout au long de la période d’engagement de l’opération aidée. (source : Ponctuel</w:t>
            </w:r>
            <w:r>
              <w:rPr>
                <w:szCs w:val="24"/>
              </w:rPr>
              <w:t xml:space="preserve"> sur Retour d'Expérience)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VERIFIER Pour les formes juridiques sociétaires ou associatives, conformité des statuts et actes, mise à jour effective et conforme. VERIFIER la qualité de propriétaire foncier des partenaires.</w:t>
            </w:r>
          </w:p>
          <w:p w:rsidR="0035701C" w:rsidRDefault="00FB561B">
            <w:pPr>
              <w:spacing w:before="240" w:after="240"/>
              <w:jc w:val="left"/>
              <w:rPr>
                <w:szCs w:val="24"/>
              </w:rPr>
            </w:pPr>
            <w:r>
              <w:rPr>
                <w:szCs w:val="24"/>
              </w:rPr>
              <w:t>n</w:t>
            </w:r>
            <w:r>
              <w:rPr>
                <w:szCs w:val="24"/>
              </w:rPr>
              <w:t>°2 - R10 : VERIFIER Principalement de bien détailler frais de déplacements (selon barème pré établi), coûts salariaux, modalités d'enregistrement et de suivi des participants, les contributions en nature….</w:t>
            </w:r>
          </w:p>
          <w:p w:rsidR="0035701C" w:rsidRDefault="00FB561B">
            <w:pPr>
              <w:spacing w:before="240" w:after="240"/>
              <w:jc w:val="left"/>
              <w:rPr>
                <w:szCs w:val="24"/>
              </w:rPr>
            </w:pPr>
            <w:r>
              <w:rPr>
                <w:szCs w:val="24"/>
              </w:rPr>
              <w:t xml:space="preserve">n°3 - R10 : EXECUTER UN CONTRÔLE CROISE des aides </w:t>
            </w:r>
            <w:r>
              <w:rPr>
                <w:szCs w:val="24"/>
              </w:rPr>
              <w:t>aux bénéficiaires de l'opération avec les autres aides dont ils ont bénéficié ou dont ils bénéficient, et avec celles des bénéficiaires partenaires (cas des actions collectives). MAINTENIR ce point de contrôle administratif de la demande d'aide à la fin de</w:t>
            </w:r>
            <w:r>
              <w:rPr>
                <w:szCs w:val="24"/>
              </w:rPr>
              <w:t xml:space="preserve"> la période d'engagement.</w:t>
            </w:r>
          </w:p>
          <w:p w:rsidR="0035701C" w:rsidRDefault="00FB561B">
            <w:pPr>
              <w:spacing w:before="240" w:after="240"/>
              <w:jc w:val="left"/>
              <w:rPr>
                <w:szCs w:val="24"/>
              </w:rPr>
            </w:pPr>
            <w:r>
              <w:rPr>
                <w:szCs w:val="24"/>
              </w:rPr>
              <w:t>n°4 - R4 : SENSIBILISER lors de l'instruction au bon respect du Code des marchés publics. CONTROLER à la demande de paiement le respect des procédures de marchés publics.</w:t>
            </w:r>
          </w:p>
          <w:p w:rsidR="0035701C" w:rsidRDefault="00FB561B">
            <w:pPr>
              <w:spacing w:before="240" w:after="240"/>
              <w:jc w:val="left"/>
              <w:rPr>
                <w:szCs w:val="24"/>
              </w:rPr>
            </w:pPr>
            <w:r>
              <w:rPr>
                <w:szCs w:val="24"/>
              </w:rPr>
              <w:t>n°5 - R5 : MAINTENIR  pour la viabilité et la fonctionnalit</w:t>
            </w:r>
            <w:r>
              <w:rPr>
                <w:szCs w:val="24"/>
              </w:rPr>
              <w:t>é de l'opération ce point de contrôle administratif de la demande d'aide à la fin de la période d'engagement.</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Au vu des cotations matricielles, sur le poids financier de la mesure (5%), sur les priorités, les risques, le</w:t>
            </w:r>
            <w:r>
              <w:rPr>
                <w:szCs w:val="24"/>
              </w:rPr>
              <w:t>s mesures d’atténuation prévues, cette mesure reçoit une évaluation  favorable peu risquée ; Les mécanismes de mise en œuvre sont connus et maîtrisés par tous les acteurs.</w:t>
            </w:r>
          </w:p>
          <w:p w:rsidR="0035701C" w:rsidRDefault="00FB561B">
            <w:pPr>
              <w:spacing w:before="240" w:after="240"/>
              <w:jc w:val="left"/>
              <w:rPr>
                <w:szCs w:val="24"/>
              </w:rPr>
            </w:pPr>
            <w:r>
              <w:rPr>
                <w:szCs w:val="24"/>
              </w:rPr>
              <w:t xml:space="preserve">- Concernant l'évaluation globale de la mesure : la mesure est contrôlable sous </w:t>
            </w:r>
            <w:r>
              <w:rPr>
                <w:szCs w:val="24"/>
              </w:rPr>
              <w:t xml:space="preserve">réserve de la mise en place d'actions d'atténuation et des précisions apportées dans les documents de mise en œuvre notamment sur la nécessité de bien contrôler les éventuels financements croisées et/ou complémentaires, de s'assurer du respect des marchés </w:t>
            </w:r>
            <w:r>
              <w:rPr>
                <w:szCs w:val="24"/>
              </w:rPr>
              <w:t>publics, et du maintien de la fonctionnalité de l'opération sur la période d'engagement.</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6"/>
      </w:pPr>
      <w:r>
        <w:t>Informations spécifiques sur l'opération</w:t>
      </w:r>
    </w:p>
    <w:p w:rsidR="0035701C" w:rsidRDefault="00FB561B">
      <w:r>
        <w:t>Définition de la notion d’infrastructure «à petite échell</w:t>
      </w:r>
      <w:r>
        <w:t>e», y compris les infrastructures touristiques à petite échelle visées à l’article 20, paragraphe 1, point e),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Définition de la notion d'infrastructure «à petite échelle» : sont considérées comme infrastructures à petite éche</w:t>
            </w:r>
            <w:r>
              <w:rPr>
                <w:szCs w:val="24"/>
              </w:rPr>
              <w:t>lle les investissements ne dépassant pas 2M€ de dépenses éligibles par opération.</w:t>
            </w:r>
          </w:p>
          <w:p w:rsidR="0035701C" w:rsidRDefault="0035701C">
            <w:pPr>
              <w:pStyle w:val="Corpsdetexte"/>
            </w:pPr>
          </w:p>
        </w:tc>
      </w:tr>
    </w:tbl>
    <w:p w:rsidR="0035701C" w:rsidRDefault="00FB561B">
      <w:r>
        <w:t>S'il y a lieu, dérogation spécifique pour les investissements dans le haut débit et les énergies renouvelables, de sorte que les infrastructures à plus grande échelle puiss</w:t>
      </w:r>
      <w:r>
        <w:t>ent également bénéficier d’une aide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Informations sur l’application du délai de grâce visé à l’article 2, paragraphe 3,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Les normes minimales en matière d’efficacité énergétique visées à l’article 13, point c), </w:t>
      </w:r>
      <w:r>
        <w:t>du règlement délégué (UE) nº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Fixation des seuils visés à l'article 13, point e), du [DA RD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br w:type="page"/>
        <w:t>7.6.1- Zones naturelles</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12"/>
              </w:numPr>
            </w:pPr>
            <w:r>
              <w:t xml:space="preserve">7.6 – Aide aux études et investissements liés à l'entretien, à la restauration et à la </w:t>
            </w:r>
            <w:r>
              <w:t>réhabilitation du patrimoine culturel et naturel des villages, des paysages ruraux et des sites à haute valeur naturelle, y compris les aspects socio-économiques, ainsi qu'aux actions de sensibilisation environnementale</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w:t>
            </w:r>
            <w:r>
              <w:rPr>
                <w:b/>
                <w:bCs/>
                <w:szCs w:val="24"/>
              </w:rPr>
              <w:t>s-titre complet de l’opération </w:t>
            </w:r>
            <w:r>
              <w:rPr>
                <w:szCs w:val="24"/>
              </w:rPr>
              <w:t>: préservation et restauration du patrimoine naturel</w:t>
            </w:r>
          </w:p>
          <w:p w:rsidR="0035701C" w:rsidRDefault="00FB561B">
            <w:pPr>
              <w:spacing w:before="240" w:after="240"/>
              <w:jc w:val="left"/>
              <w:rPr>
                <w:szCs w:val="24"/>
              </w:rPr>
            </w:pPr>
            <w:r>
              <w:rPr>
                <w:szCs w:val="24"/>
              </w:rPr>
              <w:t>La Corse dispose de richesses naturelles indéniables en termes de biodiversité sur lesquelles repose en partie l'identité de l'île. L'enjeu de protection est donc de taille</w:t>
            </w:r>
            <w:r>
              <w:rPr>
                <w:szCs w:val="24"/>
              </w:rPr>
              <w:t xml:space="preserve"> particulièrement en raison des pressions liées aux activités humaines notamment en période de forte fréquentation touristique.</w:t>
            </w:r>
          </w:p>
          <w:p w:rsidR="0035701C" w:rsidRDefault="00FB561B">
            <w:pPr>
              <w:spacing w:before="240" w:after="240"/>
              <w:jc w:val="left"/>
              <w:rPr>
                <w:szCs w:val="24"/>
              </w:rPr>
            </w:pPr>
            <w:r>
              <w:rPr>
                <w:szCs w:val="24"/>
              </w:rPr>
              <w:t>Concernant la dynamique du dispositif Natura 2000, dans un souci de mutualisation et de rationalisation des moyens humains et fi</w:t>
            </w:r>
            <w:r>
              <w:rPr>
                <w:szCs w:val="24"/>
              </w:rPr>
              <w:t>nanciers, mais aussi d’efficacité des actions, les services de l’Etat ont associé les services de la CTC/OEC à l’animation et au suivi des procédures administratives.</w:t>
            </w:r>
          </w:p>
          <w:p w:rsidR="0035701C" w:rsidRDefault="00FB561B">
            <w:pPr>
              <w:spacing w:before="240" w:after="240"/>
              <w:jc w:val="left"/>
              <w:rPr>
                <w:szCs w:val="24"/>
              </w:rPr>
            </w:pPr>
            <w:r>
              <w:rPr>
                <w:szCs w:val="24"/>
              </w:rPr>
              <w:t>L’Office de l’Environnement de la Corse a donc, sur la programmation 2007-2013, assisté l</w:t>
            </w:r>
            <w:r>
              <w:rPr>
                <w:szCs w:val="24"/>
              </w:rPr>
              <w:t>es Préfets en charge des volets administratifs et règlementaires de Natura 2000 (pour la Haute Corse et la Corse du Sud). Ce partenariat, soutenu par le FEDER, a particulièrement bien fonctionné sur la précédente programmation et les résultats ont été salu</w:t>
            </w:r>
            <w:r>
              <w:rPr>
                <w:szCs w:val="24"/>
              </w:rPr>
              <w:t>és par les différents opérateurs. Il est donc nécessaire de pouvoir reconduire cette mesure avec un soutien sur la programmation 2014-2020..</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L’opération répond aux besoins suivants :</w:t>
            </w:r>
          </w:p>
          <w:p w:rsidR="0035701C" w:rsidRDefault="00FB561B" w:rsidP="00FB561B">
            <w:pPr>
              <w:numPr>
                <w:ilvl w:val="0"/>
                <w:numId w:val="513"/>
              </w:numPr>
              <w:spacing w:before="240" w:after="240"/>
              <w:ind w:hanging="210"/>
              <w:jc w:val="left"/>
              <w:rPr>
                <w:szCs w:val="24"/>
              </w:rPr>
            </w:pPr>
            <w:r>
              <w:rPr>
                <w:szCs w:val="24"/>
              </w:rPr>
              <w:t>N°32 : Préserver le bon état de l'environnement, assurer le renouvellem</w:t>
            </w:r>
            <w:r>
              <w:rPr>
                <w:szCs w:val="24"/>
              </w:rPr>
              <w:t>ent des ressources naturelles et prévenir le risque incendie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L’opération contribue principalement au domaine prioritaire 4a : Restaurer, préserver et renforcer la biodiversité, y compris dans les zones relevant de Natura 2000, et secondairement au domain</w:t>
            </w:r>
            <w:r>
              <w:rPr>
                <w:szCs w:val="24"/>
              </w:rPr>
              <w:t>e prioritaire 6b : Promouvoir le développement local dans les zones rurales.</w:t>
            </w:r>
          </w:p>
          <w:p w:rsidR="0035701C" w:rsidRDefault="00FB561B">
            <w:pPr>
              <w:spacing w:before="240" w:after="240"/>
              <w:jc w:val="left"/>
              <w:rPr>
                <w:szCs w:val="24"/>
              </w:rPr>
            </w:pPr>
            <w:r>
              <w:rPr>
                <w:szCs w:val="24"/>
              </w:rPr>
              <w:t xml:space="preserve">La sous-mesure vise là financer la mise en œuvre des DOCOB des sites Natura 2000 à travers des actions d’animation telles que prévues par l’article L. 414-2 du code de </w:t>
            </w:r>
            <w:r>
              <w:rPr>
                <w:szCs w:val="24"/>
              </w:rPr>
              <w:t>l’environnement, le soutien à la protection et à la restauration des milieux naturels des zones à haute valeur naturelle et à la sensibilisation environnementale au travers de :</w:t>
            </w:r>
          </w:p>
          <w:p w:rsidR="0035701C" w:rsidRDefault="00FB561B" w:rsidP="00FB561B">
            <w:pPr>
              <w:numPr>
                <w:ilvl w:val="0"/>
                <w:numId w:val="514"/>
              </w:numPr>
              <w:spacing w:before="240" w:after="0"/>
              <w:ind w:hanging="210"/>
              <w:jc w:val="left"/>
              <w:rPr>
                <w:szCs w:val="24"/>
              </w:rPr>
            </w:pPr>
            <w:r>
              <w:rPr>
                <w:szCs w:val="24"/>
              </w:rPr>
              <w:t xml:space="preserve">Actions d’animation des DOCOB : actions de suivi de la mise en œuvre du DOCOB </w:t>
            </w:r>
            <w:r>
              <w:rPr>
                <w:szCs w:val="24"/>
              </w:rPr>
              <w:t>et d’évaluation de la nécessité de mise à jour du DOCOB, des sites NATURA 2000</w:t>
            </w:r>
          </w:p>
          <w:p w:rsidR="0035701C" w:rsidRDefault="00FB561B" w:rsidP="00FB561B">
            <w:pPr>
              <w:numPr>
                <w:ilvl w:val="0"/>
                <w:numId w:val="514"/>
              </w:numPr>
              <w:spacing w:before="0" w:after="240"/>
              <w:ind w:hanging="210"/>
              <w:jc w:val="left"/>
              <w:rPr>
                <w:szCs w:val="24"/>
              </w:rPr>
            </w:pPr>
            <w:r>
              <w:rPr>
                <w:szCs w:val="24"/>
              </w:rPr>
              <w:t>les études et les investissements liés à l'entretien, à la restauration et à la réhabilitation des sites à haute valeur naturelle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Elle cible principalement des actions environ</w:t>
            </w:r>
            <w:r>
              <w:rPr>
                <w:szCs w:val="24"/>
              </w:rPr>
              <w:t>nementales en faveur de la lutte contre la déperdition de biodiversité et l'amélioration de l'efficience de la protection par le biais :</w:t>
            </w:r>
          </w:p>
          <w:p w:rsidR="0035701C" w:rsidRDefault="00FB561B">
            <w:pPr>
              <w:spacing w:before="240" w:after="240"/>
              <w:jc w:val="left"/>
              <w:rPr>
                <w:szCs w:val="24"/>
              </w:rPr>
            </w:pPr>
            <w:r>
              <w:rPr>
                <w:szCs w:val="24"/>
              </w:rPr>
              <w:t> </w:t>
            </w:r>
          </w:p>
          <w:p w:rsidR="0035701C" w:rsidRDefault="00FB561B" w:rsidP="00FB561B">
            <w:pPr>
              <w:numPr>
                <w:ilvl w:val="0"/>
                <w:numId w:val="515"/>
              </w:numPr>
              <w:spacing w:before="240" w:after="0"/>
              <w:ind w:hanging="210"/>
              <w:jc w:val="left"/>
              <w:rPr>
                <w:szCs w:val="24"/>
              </w:rPr>
            </w:pPr>
            <w:r>
              <w:rPr>
                <w:szCs w:val="24"/>
              </w:rPr>
              <w:t xml:space="preserve">D’actions d’animation de la procédure NATURA 2000 : actions de suivi de la mise en œuvre du DOCOB et d’évaluation de </w:t>
            </w:r>
            <w:r>
              <w:rPr>
                <w:szCs w:val="24"/>
              </w:rPr>
              <w:t>la nécessité de mise à jour du DOCOB, des sites NATURA 2000</w:t>
            </w:r>
          </w:p>
          <w:p w:rsidR="0035701C" w:rsidRDefault="00FB561B" w:rsidP="00FB561B">
            <w:pPr>
              <w:numPr>
                <w:ilvl w:val="0"/>
                <w:numId w:val="515"/>
              </w:numPr>
              <w:spacing w:before="0" w:after="0"/>
              <w:ind w:hanging="210"/>
              <w:jc w:val="left"/>
              <w:rPr>
                <w:szCs w:val="24"/>
              </w:rPr>
            </w:pPr>
            <w:r>
              <w:rPr>
                <w:szCs w:val="24"/>
              </w:rPr>
              <w:t>Actions de sensibilisation et de communication auprès des propriétaires ou gestionnaires d’espaces</w:t>
            </w:r>
          </w:p>
          <w:p w:rsidR="0035701C" w:rsidRDefault="00FB561B" w:rsidP="00FB561B">
            <w:pPr>
              <w:numPr>
                <w:ilvl w:val="0"/>
                <w:numId w:val="515"/>
              </w:numPr>
              <w:spacing w:before="0" w:after="0"/>
              <w:ind w:hanging="210"/>
              <w:jc w:val="left"/>
              <w:rPr>
                <w:szCs w:val="24"/>
              </w:rPr>
            </w:pPr>
            <w:r>
              <w:rPr>
                <w:szCs w:val="24"/>
              </w:rPr>
              <w:t>Actions de démarchage auprès des propriétaires ou gestionnaires pour la mise en œuvre des mesures</w:t>
            </w:r>
            <w:r>
              <w:rPr>
                <w:szCs w:val="24"/>
              </w:rPr>
              <w:t xml:space="preserve"> contractuelles (Contrats Natura 2000) et non contractuelles (chartes)</w:t>
            </w:r>
          </w:p>
          <w:p w:rsidR="0035701C" w:rsidRDefault="00FB561B" w:rsidP="00FB561B">
            <w:pPr>
              <w:numPr>
                <w:ilvl w:val="0"/>
                <w:numId w:val="515"/>
              </w:numPr>
              <w:spacing w:before="0" w:after="0"/>
              <w:ind w:hanging="210"/>
              <w:jc w:val="left"/>
              <w:rPr>
                <w:szCs w:val="24"/>
              </w:rPr>
            </w:pPr>
            <w:r>
              <w:rPr>
                <w:szCs w:val="24"/>
              </w:rPr>
              <w:t>D’actions de mise en œuvre des procédures d’encadrement administratif, animation des procédures, suivi des actes règlementaires au titre de l’ingénierie administrative auprès des Préfet</w:t>
            </w:r>
            <w:r>
              <w:rPr>
                <w:szCs w:val="24"/>
              </w:rPr>
              <w:t>s et de la DREAL</w:t>
            </w:r>
          </w:p>
          <w:p w:rsidR="0035701C" w:rsidRDefault="00FB561B" w:rsidP="00FB561B">
            <w:pPr>
              <w:numPr>
                <w:ilvl w:val="0"/>
                <w:numId w:val="515"/>
              </w:numPr>
              <w:spacing w:before="0" w:after="0"/>
              <w:ind w:hanging="210"/>
              <w:jc w:val="left"/>
              <w:rPr>
                <w:szCs w:val="24"/>
              </w:rPr>
            </w:pPr>
            <w:r>
              <w:rPr>
                <w:szCs w:val="24"/>
              </w:rPr>
              <w:t>Appui technique aux bénéficiaires pour le montage des contrats</w:t>
            </w:r>
          </w:p>
          <w:p w:rsidR="0035701C" w:rsidRDefault="00FB561B" w:rsidP="00FB561B">
            <w:pPr>
              <w:numPr>
                <w:ilvl w:val="0"/>
                <w:numId w:val="515"/>
              </w:numPr>
              <w:spacing w:before="0" w:after="240"/>
              <w:ind w:hanging="210"/>
              <w:jc w:val="left"/>
              <w:rPr>
                <w:szCs w:val="24"/>
              </w:rPr>
            </w:pPr>
            <w:r>
              <w:rPr>
                <w:szCs w:val="24"/>
              </w:rPr>
              <w:t>d'études de restauration des milieux et des espèces et suivi des résultats des travaux de préservation</w:t>
            </w:r>
          </w:p>
          <w:p w:rsidR="0035701C" w:rsidRDefault="00FB561B" w:rsidP="00FB561B">
            <w:pPr>
              <w:numPr>
                <w:ilvl w:val="0"/>
                <w:numId w:val="516"/>
              </w:numPr>
              <w:spacing w:before="240" w:after="0"/>
              <w:ind w:hanging="210"/>
              <w:jc w:val="left"/>
              <w:rPr>
                <w:szCs w:val="24"/>
              </w:rPr>
            </w:pPr>
            <w:r>
              <w:rPr>
                <w:szCs w:val="24"/>
              </w:rPr>
              <w:t xml:space="preserve">d'actions d'aménagement pour la restauration et la préservation des </w:t>
            </w:r>
            <w:r>
              <w:rPr>
                <w:szCs w:val="24"/>
              </w:rPr>
              <w:t>espaces à haute valeur naturelle, milieux et espèces remarquables et contention des espèces invasives</w:t>
            </w:r>
          </w:p>
          <w:p w:rsidR="0035701C" w:rsidRDefault="00FB561B" w:rsidP="00FB561B">
            <w:pPr>
              <w:numPr>
                <w:ilvl w:val="0"/>
                <w:numId w:val="516"/>
              </w:numPr>
              <w:spacing w:before="0" w:after="0"/>
              <w:ind w:hanging="210"/>
              <w:jc w:val="left"/>
              <w:rPr>
                <w:szCs w:val="24"/>
              </w:rPr>
            </w:pPr>
            <w:r>
              <w:rPr>
                <w:szCs w:val="24"/>
              </w:rPr>
              <w:t>d'investissement en travaux de génie écologique pour le renforcement du fonctionnement des écosystèmes et la continuité écologique (Trame Verte et Bleue)</w:t>
            </w:r>
          </w:p>
          <w:p w:rsidR="0035701C" w:rsidRDefault="00FB561B" w:rsidP="00FB561B">
            <w:pPr>
              <w:numPr>
                <w:ilvl w:val="0"/>
                <w:numId w:val="516"/>
              </w:numPr>
              <w:spacing w:before="0" w:after="240"/>
              <w:ind w:hanging="210"/>
              <w:jc w:val="left"/>
              <w:rPr>
                <w:szCs w:val="24"/>
              </w:rPr>
            </w:pPr>
            <w:r>
              <w:rPr>
                <w:szCs w:val="24"/>
              </w:rPr>
              <w:t>de poursuite de la mise en œuvre des Opérations Grands Sites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Les actions se concentreront sur des sites sensibles protégés d'intérêt régional qui sont des sites à haute valeur naturelle:</w:t>
            </w:r>
          </w:p>
          <w:p w:rsidR="0035701C" w:rsidRDefault="00FB561B" w:rsidP="00FB561B">
            <w:pPr>
              <w:numPr>
                <w:ilvl w:val="0"/>
                <w:numId w:val="517"/>
              </w:numPr>
              <w:spacing w:before="240" w:after="0"/>
              <w:ind w:hanging="210"/>
              <w:jc w:val="left"/>
              <w:rPr>
                <w:szCs w:val="24"/>
              </w:rPr>
            </w:pPr>
            <w:r>
              <w:rPr>
                <w:szCs w:val="24"/>
              </w:rPr>
              <w:t xml:space="preserve">Les sites classés au titre de la loi de 1930 faisant l'objet d'une </w:t>
            </w:r>
            <w:r>
              <w:rPr>
                <w:szCs w:val="24"/>
              </w:rPr>
              <w:t>Opération Grand Site</w:t>
            </w:r>
          </w:p>
          <w:p w:rsidR="0035701C" w:rsidRDefault="00FB561B" w:rsidP="00FB561B">
            <w:pPr>
              <w:numPr>
                <w:ilvl w:val="0"/>
                <w:numId w:val="517"/>
              </w:numPr>
              <w:spacing w:before="0" w:after="0"/>
              <w:ind w:hanging="210"/>
              <w:jc w:val="left"/>
              <w:rPr>
                <w:szCs w:val="24"/>
              </w:rPr>
            </w:pPr>
            <w:r>
              <w:rPr>
                <w:szCs w:val="24"/>
              </w:rPr>
              <w:t>Les réservoirs de biodiversité et les corridors écolo igues de la Trame Verte et Bleue</w:t>
            </w:r>
          </w:p>
          <w:p w:rsidR="0035701C" w:rsidRDefault="00FB561B" w:rsidP="00FB561B">
            <w:pPr>
              <w:numPr>
                <w:ilvl w:val="0"/>
                <w:numId w:val="517"/>
              </w:numPr>
              <w:spacing w:before="0" w:after="0"/>
              <w:ind w:hanging="210"/>
              <w:jc w:val="left"/>
              <w:rPr>
                <w:szCs w:val="24"/>
              </w:rPr>
            </w:pPr>
            <w:r>
              <w:rPr>
                <w:szCs w:val="24"/>
              </w:rPr>
              <w:t>L'ensemble des milieux aquatiques et humides identifiés au titre du SDAGE de Corse</w:t>
            </w:r>
          </w:p>
          <w:p w:rsidR="0035701C" w:rsidRDefault="00FB561B" w:rsidP="00FB561B">
            <w:pPr>
              <w:numPr>
                <w:ilvl w:val="0"/>
                <w:numId w:val="517"/>
              </w:numPr>
              <w:spacing w:before="0" w:after="0"/>
              <w:ind w:hanging="210"/>
              <w:jc w:val="left"/>
              <w:rPr>
                <w:szCs w:val="24"/>
              </w:rPr>
            </w:pPr>
            <w:r>
              <w:rPr>
                <w:szCs w:val="24"/>
              </w:rPr>
              <w:t>Les sites NATURA 2000</w:t>
            </w:r>
          </w:p>
          <w:p w:rsidR="0035701C" w:rsidRDefault="00FB561B" w:rsidP="00FB561B">
            <w:pPr>
              <w:numPr>
                <w:ilvl w:val="0"/>
                <w:numId w:val="517"/>
              </w:numPr>
              <w:spacing w:before="0" w:after="0"/>
              <w:ind w:hanging="210"/>
              <w:jc w:val="left"/>
              <w:rPr>
                <w:szCs w:val="24"/>
              </w:rPr>
            </w:pPr>
            <w:r>
              <w:rPr>
                <w:szCs w:val="24"/>
              </w:rPr>
              <w:t>Les Réserves Naturelles de Corse</w:t>
            </w:r>
          </w:p>
          <w:p w:rsidR="0035701C" w:rsidRDefault="00FB561B" w:rsidP="00FB561B">
            <w:pPr>
              <w:numPr>
                <w:ilvl w:val="0"/>
                <w:numId w:val="517"/>
              </w:numPr>
              <w:spacing w:before="0" w:after="0"/>
              <w:ind w:hanging="210"/>
              <w:jc w:val="left"/>
              <w:rPr>
                <w:szCs w:val="24"/>
              </w:rPr>
            </w:pPr>
            <w:r>
              <w:rPr>
                <w:szCs w:val="24"/>
              </w:rPr>
              <w:t xml:space="preserve">Les Sites </w:t>
            </w:r>
            <w:r>
              <w:rPr>
                <w:szCs w:val="24"/>
              </w:rPr>
              <w:t>du Conservatoire du Littoral et du Conservatoire des Espaces Naturels de Corse</w:t>
            </w:r>
          </w:p>
          <w:p w:rsidR="0035701C" w:rsidRDefault="00FB561B" w:rsidP="00FB561B">
            <w:pPr>
              <w:numPr>
                <w:ilvl w:val="0"/>
                <w:numId w:val="517"/>
              </w:numPr>
              <w:spacing w:before="0" w:after="0"/>
              <w:ind w:hanging="210"/>
              <w:jc w:val="left"/>
              <w:rPr>
                <w:szCs w:val="24"/>
              </w:rPr>
            </w:pPr>
            <w:r>
              <w:rPr>
                <w:szCs w:val="24"/>
              </w:rPr>
              <w:t>Les Espaces Naturels Sensibles</w:t>
            </w:r>
          </w:p>
          <w:p w:rsidR="0035701C" w:rsidRDefault="00FB561B" w:rsidP="00FB561B">
            <w:pPr>
              <w:numPr>
                <w:ilvl w:val="0"/>
                <w:numId w:val="517"/>
              </w:numPr>
              <w:spacing w:before="0" w:after="0"/>
              <w:ind w:hanging="210"/>
              <w:jc w:val="left"/>
              <w:rPr>
                <w:szCs w:val="24"/>
              </w:rPr>
            </w:pPr>
            <w:r>
              <w:rPr>
                <w:szCs w:val="24"/>
              </w:rPr>
              <w:t>Les habitats communautaires prioritaires (directive 92/43 CE)</w:t>
            </w:r>
          </w:p>
          <w:p w:rsidR="0035701C" w:rsidRDefault="00FB561B" w:rsidP="00FB561B">
            <w:pPr>
              <w:numPr>
                <w:ilvl w:val="0"/>
                <w:numId w:val="517"/>
              </w:numPr>
              <w:spacing w:before="0" w:after="0"/>
              <w:ind w:hanging="210"/>
              <w:jc w:val="left"/>
              <w:rPr>
                <w:szCs w:val="24"/>
              </w:rPr>
            </w:pPr>
            <w:r>
              <w:rPr>
                <w:szCs w:val="24"/>
              </w:rPr>
              <w:t>Les Espaces Remarquables et Caractéristiques du Littoral, arrêtés dans le PADDUC</w:t>
            </w:r>
          </w:p>
          <w:p w:rsidR="0035701C" w:rsidRDefault="00FB561B" w:rsidP="00FB561B">
            <w:pPr>
              <w:numPr>
                <w:ilvl w:val="0"/>
                <w:numId w:val="517"/>
              </w:numPr>
              <w:spacing w:before="0" w:after="240"/>
              <w:ind w:hanging="210"/>
              <w:jc w:val="left"/>
              <w:rPr>
                <w:szCs w:val="24"/>
              </w:rPr>
            </w:pPr>
            <w:r>
              <w:rPr>
                <w:szCs w:val="24"/>
              </w:rPr>
              <w:t>Les</w:t>
            </w:r>
            <w:r>
              <w:rPr>
                <w:szCs w:val="24"/>
              </w:rPr>
              <w:t xml:space="preserve"> réserves de chasse et de faune sauvage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xml:space="preserve">L'opération contribue au domaine prioritaire 4a : Restaurer, préserver et renforcer la biodiversité, y compris dans les zones relevant de Natura 2000 ; et répond aux besoins n°30 et 32. Elle contribue également de </w:t>
            </w:r>
            <w:r>
              <w:rPr>
                <w:szCs w:val="24"/>
              </w:rPr>
              <w:t>manière secondaire au domaine prioritaire 6b.</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versée sous forme de 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Une complémentarité est prévue entre ce type d’opération (animation) et </w:t>
            </w:r>
            <w:r>
              <w:rPr>
                <w:szCs w:val="24"/>
              </w:rPr>
              <w:t>l’élaboration/révision des DOCOB qui relève de la sous-mesure 7.1 (7.1.2)</w:t>
            </w:r>
          </w:p>
          <w:p w:rsidR="0035701C" w:rsidRDefault="00FB561B">
            <w:pPr>
              <w:spacing w:before="240" w:after="240"/>
              <w:jc w:val="left"/>
              <w:rPr>
                <w:szCs w:val="24"/>
              </w:rPr>
            </w:pPr>
            <w:r>
              <w:rPr>
                <w:szCs w:val="24"/>
              </w:rPr>
              <w:t>Code de l’environnement</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18"/>
              </w:numPr>
              <w:spacing w:before="0" w:after="0"/>
              <w:ind w:hanging="210"/>
              <w:jc w:val="left"/>
              <w:rPr>
                <w:szCs w:val="24"/>
              </w:rPr>
            </w:pPr>
            <w:r>
              <w:rPr>
                <w:szCs w:val="24"/>
              </w:rPr>
              <w:t>Collectivités territoriales et leurs groupements</w:t>
            </w:r>
          </w:p>
          <w:p w:rsidR="0035701C" w:rsidRDefault="00FB561B" w:rsidP="00FB561B">
            <w:pPr>
              <w:numPr>
                <w:ilvl w:val="0"/>
                <w:numId w:val="518"/>
              </w:numPr>
              <w:spacing w:before="0" w:after="0"/>
              <w:ind w:hanging="210"/>
              <w:jc w:val="left"/>
              <w:rPr>
                <w:szCs w:val="24"/>
              </w:rPr>
            </w:pPr>
            <w:r>
              <w:rPr>
                <w:szCs w:val="24"/>
              </w:rPr>
              <w:t>Associations</w:t>
            </w:r>
          </w:p>
          <w:p w:rsidR="0035701C" w:rsidRDefault="00FB561B" w:rsidP="00FB561B">
            <w:pPr>
              <w:numPr>
                <w:ilvl w:val="0"/>
                <w:numId w:val="518"/>
              </w:numPr>
              <w:spacing w:before="0" w:after="0"/>
              <w:ind w:hanging="210"/>
              <w:jc w:val="left"/>
              <w:rPr>
                <w:szCs w:val="24"/>
              </w:rPr>
            </w:pPr>
            <w:r>
              <w:rPr>
                <w:szCs w:val="24"/>
              </w:rPr>
              <w:t>Etablissements Publics</w:t>
            </w:r>
          </w:p>
          <w:p w:rsidR="0035701C" w:rsidRDefault="00FB561B" w:rsidP="00FB561B">
            <w:pPr>
              <w:numPr>
                <w:ilvl w:val="0"/>
                <w:numId w:val="518"/>
              </w:numPr>
              <w:spacing w:before="0" w:after="240"/>
              <w:ind w:hanging="210"/>
              <w:jc w:val="left"/>
              <w:rPr>
                <w:szCs w:val="24"/>
              </w:rPr>
            </w:pPr>
            <w:r>
              <w:rPr>
                <w:szCs w:val="24"/>
              </w:rPr>
              <w:t>Entreprises et/ou propriétaires privés</w:t>
            </w:r>
          </w:p>
          <w:p w:rsidR="0035701C" w:rsidRDefault="0035701C">
            <w:pPr>
              <w:pStyle w:val="Corpsdetexte"/>
            </w:pPr>
          </w:p>
        </w:tc>
      </w:tr>
    </w:tbl>
    <w:p w:rsidR="0035701C" w:rsidRDefault="00FB561B">
      <w:pPr>
        <w:pStyle w:val="Titre6"/>
      </w:pPr>
      <w:r>
        <w:t xml:space="preserve">Coûts </w:t>
      </w:r>
      <w:r>
        <w:t>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19"/>
              </w:numPr>
              <w:spacing w:before="0" w:after="0"/>
              <w:ind w:hanging="210"/>
              <w:jc w:val="left"/>
              <w:rPr>
                <w:szCs w:val="24"/>
              </w:rPr>
            </w:pPr>
            <w:r>
              <w:rPr>
                <w:szCs w:val="24"/>
              </w:rPr>
              <w:t>Travaux de restauration écologique des milieux et d’aménagements des sites afin de limiter les perturbations de ces espaces ;</w:t>
            </w:r>
          </w:p>
          <w:p w:rsidR="0035701C" w:rsidRDefault="00FB561B" w:rsidP="00FB561B">
            <w:pPr>
              <w:numPr>
                <w:ilvl w:val="0"/>
                <w:numId w:val="519"/>
              </w:numPr>
              <w:spacing w:before="0" w:after="0"/>
              <w:ind w:hanging="210"/>
              <w:jc w:val="left"/>
              <w:rPr>
                <w:szCs w:val="24"/>
              </w:rPr>
            </w:pPr>
            <w:r>
              <w:rPr>
                <w:szCs w:val="24"/>
              </w:rPr>
              <w:t xml:space="preserve">Les frais généraux liés aux opérations financées (article 45 (2) du règlement (UE) n° 1305/2013) dans la limite de 10 </w:t>
            </w:r>
            <w:r>
              <w:rPr>
                <w:szCs w:val="24"/>
              </w:rPr>
              <w:t>% des dépenses totales éligibles de l'opération : honoraires d’architectes et rémunérations d’ingénieurs et de consultants, les dépenses liées au conseil en matière de durabilité environnementale et économique, y compris les coûts liés aux études de faisab</w:t>
            </w:r>
            <w:r>
              <w:rPr>
                <w:szCs w:val="24"/>
              </w:rPr>
              <w:t>ilité ;</w:t>
            </w:r>
          </w:p>
          <w:p w:rsidR="0035701C" w:rsidRDefault="00FB561B" w:rsidP="00FB561B">
            <w:pPr>
              <w:numPr>
                <w:ilvl w:val="0"/>
                <w:numId w:val="519"/>
              </w:numPr>
              <w:spacing w:before="0" w:after="0"/>
              <w:ind w:hanging="210"/>
              <w:jc w:val="left"/>
              <w:rPr>
                <w:szCs w:val="24"/>
              </w:rPr>
            </w:pPr>
            <w:r>
              <w:rPr>
                <w:szCs w:val="24"/>
              </w:rPr>
              <w:t>Frais de personnel (salaires et charges, frais de mission, matériels équipements) en lien avec l'opération ;</w:t>
            </w:r>
          </w:p>
          <w:p w:rsidR="0035701C" w:rsidRDefault="00FB561B" w:rsidP="00FB561B">
            <w:pPr>
              <w:numPr>
                <w:ilvl w:val="0"/>
                <w:numId w:val="519"/>
              </w:numPr>
              <w:spacing w:before="0" w:after="0"/>
              <w:ind w:hanging="210"/>
              <w:jc w:val="left"/>
              <w:rPr>
                <w:szCs w:val="24"/>
              </w:rPr>
            </w:pPr>
            <w:r>
              <w:rPr>
                <w:szCs w:val="24"/>
              </w:rPr>
              <w:t>Couts indirects forfaitaires representant 15% de frais de personnel directs eligibles, conformément à l'article 68-1b du R(UE) 1303/2013 ;</w:t>
            </w:r>
          </w:p>
          <w:p w:rsidR="0035701C" w:rsidRDefault="00FB561B" w:rsidP="00FB561B">
            <w:pPr>
              <w:numPr>
                <w:ilvl w:val="0"/>
                <w:numId w:val="519"/>
              </w:numPr>
              <w:spacing w:before="0" w:after="0"/>
              <w:ind w:hanging="210"/>
              <w:jc w:val="left"/>
              <w:rPr>
                <w:szCs w:val="24"/>
              </w:rPr>
            </w:pPr>
            <w:r>
              <w:rPr>
                <w:szCs w:val="24"/>
              </w:rPr>
              <w:t>Etude et prestation de service en liens avec l'animation des DOCOB (inventaire, suivi de populations...) ;</w:t>
            </w:r>
          </w:p>
          <w:p w:rsidR="0035701C" w:rsidRDefault="00FB561B" w:rsidP="00FB561B">
            <w:pPr>
              <w:numPr>
                <w:ilvl w:val="0"/>
                <w:numId w:val="519"/>
              </w:numPr>
              <w:spacing w:before="0" w:after="240"/>
              <w:ind w:hanging="210"/>
              <w:jc w:val="left"/>
              <w:rPr>
                <w:szCs w:val="24"/>
              </w:rPr>
            </w:pPr>
            <w:r>
              <w:rPr>
                <w:szCs w:val="24"/>
              </w:rPr>
              <w:t>Création et édition de supports d’information et de sensibilisation.</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20"/>
              </w:numPr>
              <w:spacing w:before="0" w:after="240"/>
              <w:ind w:hanging="210"/>
              <w:jc w:val="left"/>
              <w:rPr>
                <w:szCs w:val="24"/>
              </w:rPr>
            </w:pPr>
            <w:r>
              <w:rPr>
                <w:b/>
                <w:bCs/>
                <w:szCs w:val="24"/>
              </w:rPr>
              <w:t>Pour tous les projets :</w:t>
            </w:r>
          </w:p>
          <w:p w:rsidR="0035701C" w:rsidRDefault="00FB561B">
            <w:pPr>
              <w:spacing w:before="240" w:after="240"/>
              <w:jc w:val="left"/>
              <w:rPr>
                <w:szCs w:val="24"/>
              </w:rPr>
            </w:pPr>
            <w:r>
              <w:rPr>
                <w:szCs w:val="24"/>
              </w:rPr>
              <w:t>Le projet doit se situer en</w:t>
            </w:r>
            <w:r>
              <w:rPr>
                <w:szCs w:val="24"/>
              </w:rPr>
              <w:t xml:space="preserve"> zone rurale telle que définie à la section 8.1 du PDRC.</w:t>
            </w:r>
          </w:p>
          <w:p w:rsidR="0035701C" w:rsidRDefault="00FB561B" w:rsidP="00FB561B">
            <w:pPr>
              <w:numPr>
                <w:ilvl w:val="0"/>
                <w:numId w:val="521"/>
              </w:numPr>
              <w:spacing w:before="240" w:after="240"/>
              <w:ind w:hanging="210"/>
              <w:jc w:val="left"/>
              <w:rPr>
                <w:szCs w:val="24"/>
              </w:rPr>
            </w:pPr>
            <w:r>
              <w:rPr>
                <w:b/>
                <w:bCs/>
                <w:szCs w:val="24"/>
              </w:rPr>
              <w:t>Pour l'animation des DOCOB des sites NATURA 2000 terrestres:</w:t>
            </w:r>
          </w:p>
          <w:p w:rsidR="0035701C" w:rsidRDefault="00FB561B">
            <w:pPr>
              <w:spacing w:before="240" w:after="240"/>
              <w:jc w:val="left"/>
              <w:rPr>
                <w:szCs w:val="24"/>
              </w:rPr>
            </w:pPr>
            <w:r>
              <w:rPr>
                <w:szCs w:val="24"/>
              </w:rPr>
              <w:t>Comme pour le Cadre National, l’ensemble des sites Natura 2000 a vocation à passer en phase d’animation. Dans le cadre de la mise en oeuvr</w:t>
            </w:r>
            <w:r>
              <w:rPr>
                <w:szCs w:val="24"/>
              </w:rPr>
              <w:t>e du FEADER, tous les sites terrestres ou comprenant une partie terrestre sont éligibles à l’opération.</w:t>
            </w:r>
          </w:p>
          <w:p w:rsidR="0035701C" w:rsidRDefault="00FB561B" w:rsidP="00FB561B">
            <w:pPr>
              <w:numPr>
                <w:ilvl w:val="0"/>
                <w:numId w:val="522"/>
              </w:numPr>
              <w:spacing w:before="240" w:after="240"/>
              <w:ind w:hanging="210"/>
              <w:jc w:val="left"/>
              <w:rPr>
                <w:szCs w:val="24"/>
              </w:rPr>
            </w:pPr>
            <w:r>
              <w:rPr>
                <w:b/>
                <w:bCs/>
                <w:szCs w:val="24"/>
              </w:rPr>
              <w:t>Pour les investissements liés à l'entretien, à la restauration et à la réhabilitation des sites à haute valeur naturelle, ainsi que les actions de sensi</w:t>
            </w:r>
            <w:r>
              <w:rPr>
                <w:b/>
                <w:bCs/>
                <w:szCs w:val="24"/>
              </w:rPr>
              <w:t>bilisation environnementale :</w:t>
            </w:r>
          </w:p>
          <w:p w:rsidR="0035701C" w:rsidRDefault="00FB561B">
            <w:pPr>
              <w:spacing w:before="240" w:after="240"/>
              <w:jc w:val="left"/>
              <w:rPr>
                <w:szCs w:val="24"/>
              </w:rPr>
            </w:pPr>
            <w:r>
              <w:rPr>
                <w:szCs w:val="24"/>
              </w:rPr>
              <w:t>- Les projets devront s’inscrire en cohérence avec les orientations du Plan d’Aménagement et de Développement Durable de la Corse (PADDUC).</w:t>
            </w:r>
          </w:p>
          <w:p w:rsidR="0035701C" w:rsidRDefault="00FB561B">
            <w:pPr>
              <w:spacing w:before="240" w:after="240"/>
              <w:jc w:val="left"/>
              <w:rPr>
                <w:szCs w:val="24"/>
              </w:rPr>
            </w:pPr>
            <w:r>
              <w:rPr>
                <w:szCs w:val="24"/>
              </w:rPr>
              <w:t>- être situé en site listé au 8.2.7.3.6.1 ;</w:t>
            </w:r>
          </w:p>
          <w:p w:rsidR="0035701C" w:rsidRDefault="0035701C">
            <w:pPr>
              <w:pStyle w:val="Corpsdetexte"/>
            </w:pPr>
          </w:p>
        </w:tc>
      </w:tr>
    </w:tbl>
    <w:p w:rsidR="0035701C" w:rsidRDefault="00FB561B">
      <w:pPr>
        <w:pStyle w:val="Titre6"/>
      </w:pPr>
      <w:r>
        <w:t xml:space="preserve">Principes applicables à l'établissement </w:t>
      </w:r>
      <w:r>
        <w:t>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23"/>
              </w:numPr>
              <w:spacing w:before="0" w:after="240"/>
              <w:ind w:hanging="210"/>
              <w:jc w:val="left"/>
              <w:rPr>
                <w:szCs w:val="24"/>
              </w:rPr>
            </w:pPr>
            <w:r>
              <w:rPr>
                <w:szCs w:val="24"/>
              </w:rPr>
              <w:t>Pour l'animation des DOCOB des sites NATURA 2000 terrestres et la mise en œuvre de l’ingénierie administrative de la procédure Natura 2000 :</w:t>
            </w:r>
          </w:p>
          <w:p w:rsidR="0035701C" w:rsidRDefault="00FB561B">
            <w:pPr>
              <w:spacing w:before="240" w:after="240"/>
              <w:jc w:val="left"/>
              <w:rPr>
                <w:szCs w:val="24"/>
              </w:rPr>
            </w:pPr>
            <w:r>
              <w:rPr>
                <w:szCs w:val="24"/>
              </w:rPr>
              <w:t xml:space="preserve">Les principes applicables aux criteres de séléction sont le seuil d’efficacité du projet </w:t>
            </w:r>
            <w:r>
              <w:rPr>
                <w:szCs w:val="24"/>
              </w:rPr>
              <w:t>(notamment les presence d'action déjà effective ou l'implication locale) et le niveau de sensibilité du site (enjeux de conservation ou menace sur le territoire).</w:t>
            </w:r>
          </w:p>
          <w:p w:rsidR="0035701C" w:rsidRDefault="00FB561B" w:rsidP="00FB561B">
            <w:pPr>
              <w:numPr>
                <w:ilvl w:val="0"/>
                <w:numId w:val="524"/>
              </w:numPr>
              <w:spacing w:before="240" w:after="240"/>
              <w:ind w:hanging="210"/>
              <w:jc w:val="left"/>
              <w:rPr>
                <w:szCs w:val="24"/>
              </w:rPr>
            </w:pPr>
            <w:r>
              <w:rPr>
                <w:szCs w:val="24"/>
              </w:rPr>
              <w:t>Pour les investissements liés à l'entretien, à la restauration et à la réhabilitation des sit</w:t>
            </w:r>
            <w:r>
              <w:rPr>
                <w:szCs w:val="24"/>
              </w:rPr>
              <w:t>es à haute valeur naturelle, ainsi que les actions de sensibilisation environnementale :</w:t>
            </w:r>
          </w:p>
          <w:p w:rsidR="0035701C" w:rsidRDefault="00FB561B">
            <w:pPr>
              <w:spacing w:before="240" w:after="240"/>
              <w:jc w:val="left"/>
              <w:rPr>
                <w:szCs w:val="24"/>
              </w:rPr>
            </w:pPr>
            <w:r>
              <w:rPr>
                <w:szCs w:val="24"/>
              </w:rPr>
              <w:t>Une grille de sélection des opérations prévoira l’établissement d’un système de points permettant le classement des dossiers et la fixation d’un seuil minimal afin d’a</w:t>
            </w:r>
            <w:r>
              <w:rPr>
                <w:szCs w:val="24"/>
              </w:rPr>
              <w:t>ccéder au soutien au titre du PDRC. Les critères pourront prendre en compte :</w:t>
            </w:r>
          </w:p>
          <w:p w:rsidR="0035701C" w:rsidRDefault="00FB561B" w:rsidP="00FB561B">
            <w:pPr>
              <w:numPr>
                <w:ilvl w:val="0"/>
                <w:numId w:val="525"/>
              </w:numPr>
              <w:spacing w:before="240" w:after="0"/>
              <w:ind w:hanging="210"/>
              <w:jc w:val="left"/>
              <w:rPr>
                <w:szCs w:val="24"/>
              </w:rPr>
            </w:pPr>
            <w:r>
              <w:rPr>
                <w:szCs w:val="24"/>
              </w:rPr>
              <w:t>Niveau de sensibilité du site</w:t>
            </w:r>
          </w:p>
          <w:p w:rsidR="0035701C" w:rsidRDefault="00FB561B" w:rsidP="00FB561B">
            <w:pPr>
              <w:numPr>
                <w:ilvl w:val="0"/>
                <w:numId w:val="525"/>
              </w:numPr>
              <w:spacing w:before="0" w:after="0"/>
              <w:ind w:hanging="210"/>
              <w:jc w:val="left"/>
              <w:rPr>
                <w:szCs w:val="24"/>
              </w:rPr>
            </w:pPr>
            <w:r>
              <w:rPr>
                <w:szCs w:val="24"/>
              </w:rPr>
              <w:t>Intérêt patrimonial du territoire concerné</w:t>
            </w:r>
          </w:p>
          <w:p w:rsidR="0035701C" w:rsidRDefault="00FB561B" w:rsidP="00FB561B">
            <w:pPr>
              <w:numPr>
                <w:ilvl w:val="0"/>
                <w:numId w:val="525"/>
              </w:numPr>
              <w:spacing w:before="0" w:after="0"/>
              <w:ind w:hanging="210"/>
              <w:jc w:val="left"/>
              <w:rPr>
                <w:szCs w:val="24"/>
              </w:rPr>
            </w:pPr>
            <w:r>
              <w:rPr>
                <w:szCs w:val="24"/>
              </w:rPr>
              <w:t>Accessibilité du public</w:t>
            </w:r>
          </w:p>
          <w:p w:rsidR="0035701C" w:rsidRDefault="00FB561B" w:rsidP="00FB561B">
            <w:pPr>
              <w:numPr>
                <w:ilvl w:val="0"/>
                <w:numId w:val="525"/>
              </w:numPr>
              <w:spacing w:before="0" w:after="240"/>
              <w:ind w:hanging="210"/>
              <w:jc w:val="left"/>
              <w:rPr>
                <w:szCs w:val="24"/>
              </w:rPr>
            </w:pPr>
            <w:r>
              <w:rPr>
                <w:szCs w:val="24"/>
              </w:rPr>
              <w:t>Compétences porteur de projet</w:t>
            </w:r>
          </w:p>
          <w:p w:rsidR="0035701C" w:rsidRDefault="00FB561B">
            <w:pPr>
              <w:spacing w:before="240" w:after="240"/>
              <w:jc w:val="left"/>
              <w:rPr>
                <w:szCs w:val="24"/>
              </w:rPr>
            </w:pPr>
            <w:r>
              <w:rPr>
                <w:szCs w:val="24"/>
              </w:rPr>
              <w:t xml:space="preserve">Sélection des projets après instruction des </w:t>
            </w:r>
            <w:r>
              <w:rPr>
                <w:szCs w:val="24"/>
              </w:rPr>
              <w:t>dossiers déposés</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Taux d’aide publique : 100%</w:t>
            </w:r>
          </w:p>
          <w:p w:rsidR="0035701C" w:rsidRDefault="00FB561B">
            <w:pPr>
              <w:spacing w:before="240" w:after="240"/>
              <w:jc w:val="left"/>
              <w:rPr>
                <w:szCs w:val="24"/>
              </w:rPr>
            </w:pPr>
            <w:r>
              <w:rPr>
                <w:szCs w:val="24"/>
              </w:rPr>
              <w:t xml:space="preserve">Le taux d'aide publique appliqué au dossier correspondra au maximum autorisé par le régime d'aide d'Etat appliqué audit dossier, si ce maximum est plus restrictif que le </w:t>
            </w:r>
            <w:r>
              <w:rPr>
                <w:szCs w:val="24"/>
              </w:rPr>
              <w:t>taux prévu par le PDR ; ce maximum ne pourra être supérieur au taux mentionné ci-dessus.</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w:t>
            </w:r>
            <w:r>
              <w:rPr>
                <w:szCs w:val="24"/>
                <w:u w:val="single"/>
              </w:rPr>
              <w:t>a mesure :</w:t>
            </w:r>
          </w:p>
          <w:p w:rsidR="0035701C" w:rsidRDefault="00FB561B">
            <w:pPr>
              <w:spacing w:before="240" w:after="240"/>
              <w:jc w:val="left"/>
              <w:rPr>
                <w:szCs w:val="24"/>
              </w:rPr>
            </w:pPr>
            <w:r>
              <w:rPr>
                <w:szCs w:val="24"/>
              </w:rPr>
              <w:t xml:space="preserve">- L'OP a demandé que soient bien décrits les pétitionnaires susceptibles d'être bénéficiaires de cette opération. Les éléments de Droit, les précisions apportées au présent texte, ainsi que le détail des éléments de sélection et d'admissibilité </w:t>
            </w:r>
            <w:r>
              <w:rPr>
                <w:szCs w:val="24"/>
              </w:rPr>
              <w:t>sont satisfaisants.  La prise en charge des coûts des actions financées décrites est satisfaisante.</w:t>
            </w:r>
          </w:p>
          <w:p w:rsidR="0035701C" w:rsidRDefault="00FB561B">
            <w:pPr>
              <w:spacing w:before="240" w:after="240"/>
              <w:jc w:val="left"/>
              <w:rPr>
                <w:szCs w:val="24"/>
              </w:rPr>
            </w:pPr>
            <w:r>
              <w:rPr>
                <w:szCs w:val="24"/>
              </w:rPr>
              <w:t>- Compte tenu de la proximité de définition des actions 7.12, 7.6.1 et 7.6.4 l'OP recommande à l'ensemble des gestionnaires une vigilance accrue sur les ris</w:t>
            </w:r>
            <w:r>
              <w:rPr>
                <w:szCs w:val="24"/>
              </w:rPr>
              <w:t>ques de double financement.</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n°1 - R1 : Pour les formes juridiques sociétaires ou associatives, les collectivités, conformité des statuts et actes, mise à jour effective et conf</w:t>
            </w:r>
            <w:r>
              <w:rPr>
                <w:szCs w:val="24"/>
              </w:rPr>
              <w:t>orme au long de la période d’engagement. (source : Législation nationale : décalage entre Droit Social, Droit des Sociétés, Droit Rural)</w:t>
            </w:r>
          </w:p>
          <w:p w:rsidR="0035701C" w:rsidRDefault="00FB561B">
            <w:pPr>
              <w:spacing w:before="240" w:after="240"/>
              <w:jc w:val="left"/>
              <w:rPr>
                <w:szCs w:val="24"/>
              </w:rPr>
            </w:pPr>
            <w:r>
              <w:rPr>
                <w:szCs w:val="24"/>
              </w:rPr>
              <w:t>n°2 - R10 : Dépenses du maître d'ouvrage, définition des éléments comptables et preuves probantes pris en charge, sensi</w:t>
            </w:r>
            <w:r>
              <w:rPr>
                <w:szCs w:val="24"/>
              </w:rPr>
              <w:t xml:space="preserve">bilisation de l'administration et des bénéficiaires (charges sociales, liste présence aux réunions,…). (source : 2007-2013 en continu Formation de l'administration, des Partenaires, des Bénéficiaires, Multiplicité des précisions sur « Guidance » (notes de </w:t>
            </w:r>
            <w:r>
              <w:rPr>
                <w:szCs w:val="24"/>
              </w:rPr>
              <w:t>cadrage))</w:t>
            </w:r>
          </w:p>
          <w:p w:rsidR="0035701C" w:rsidRDefault="00FB561B">
            <w:pPr>
              <w:spacing w:before="240" w:after="240"/>
              <w:jc w:val="left"/>
              <w:rPr>
                <w:szCs w:val="24"/>
              </w:rPr>
            </w:pPr>
            <w:r>
              <w:rPr>
                <w:szCs w:val="24"/>
              </w:rPr>
              <w:t>n°3 - R10 : Risque de dépenses déjà financées par ailleurs (7.1.2, 7.6.4 et/ou crédits nationaux autres comme Ministère Ecologie) (source : Ponctuel sur Retour d'Expérience)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n°1 - R1 : VERIFIER Pour les formes juridiques </w:t>
            </w:r>
            <w:r>
              <w:rPr>
                <w:szCs w:val="24"/>
              </w:rPr>
              <w:t>sociétaires ou associatives, conformité des statuts et actes, mise à jour effective et conforme.</w:t>
            </w:r>
          </w:p>
          <w:p w:rsidR="0035701C" w:rsidRDefault="00FB561B">
            <w:pPr>
              <w:spacing w:before="240" w:after="240"/>
              <w:jc w:val="left"/>
              <w:rPr>
                <w:szCs w:val="24"/>
              </w:rPr>
            </w:pPr>
            <w:r>
              <w:rPr>
                <w:szCs w:val="24"/>
              </w:rPr>
              <w:t xml:space="preserve">n°2 - R10 : VERIFIER Principalement de bien détailler frais de déplacements (selon barème pré établi), coûts salariaux, modalités d'enregistrement et de suivi </w:t>
            </w:r>
            <w:r>
              <w:rPr>
                <w:szCs w:val="24"/>
              </w:rPr>
              <w:t>des participants, les contributions en nature….</w:t>
            </w:r>
          </w:p>
          <w:p w:rsidR="0035701C" w:rsidRDefault="00FB561B">
            <w:pPr>
              <w:spacing w:before="240" w:after="240"/>
              <w:jc w:val="left"/>
              <w:rPr>
                <w:szCs w:val="24"/>
              </w:rPr>
            </w:pPr>
            <w:r>
              <w:rPr>
                <w:szCs w:val="24"/>
              </w:rPr>
              <w:t>n°3 - R10 : EXECUTER UN CONTRÔLE CROISE des aides aux bénéficiaires de l'opération avec les autres aides dont ils ont bénéficié ou dont ils bénéficient. MAINTENIR ce point de contrôle administratif de la dema</w:t>
            </w:r>
            <w:r>
              <w:rPr>
                <w:szCs w:val="24"/>
              </w:rPr>
              <w:t>nde d'aide à la fin de la période d'engagement.</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Au vu des cotations matricielles, sur le poids financier de la mesure (&lt;5%), sur les priorités, les risques, les mesures d’atténuation prévues, cette mesure reçoit une éval</w:t>
            </w:r>
            <w:r>
              <w:rPr>
                <w:szCs w:val="24"/>
              </w:rPr>
              <w:t>uation  favorable peu risquée ; Les mécanismes de mise en œuvre sont connus et maîtrisés par tous les acteurs.</w:t>
            </w:r>
          </w:p>
          <w:p w:rsidR="0035701C" w:rsidRDefault="00FB561B">
            <w:pPr>
              <w:spacing w:before="240" w:after="240"/>
              <w:jc w:val="left"/>
              <w:rPr>
                <w:szCs w:val="24"/>
              </w:rPr>
            </w:pPr>
            <w:r>
              <w:rPr>
                <w:szCs w:val="24"/>
              </w:rPr>
              <w:t>- Concernant l'évaluation globale de la mesure : la mesure est contrôlable sous réserve de la mise en place d'actions d'atténuation et des précis</w:t>
            </w:r>
            <w:r>
              <w:rPr>
                <w:szCs w:val="24"/>
              </w:rPr>
              <w:t>ions apportées dans les documents de mise en œuvre notamment sur la nécessité de bien contrôler les éventuels financements additionnels et l'absence de double financement ainsi que la justification des dépenses de frais généraux (fixer des barèmes pour les</w:t>
            </w:r>
            <w:r>
              <w:rPr>
                <w:szCs w:val="24"/>
              </w:rPr>
              <w:t xml:space="preserve"> frais de déplacements, les précisions sur les coûts salariaux pris en charge, les justificatifs de présence, et les modes de calcul).</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Définition </w:t>
      </w:r>
      <w:r>
        <w:t>de la notion d’infrastructure «à petite échelle», y compris les infrastructures touristiques à petite échelle visées à l’article 20, paragraphe 1, point e),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Sont considérées comme infrastructures à petite échelle les investis</w:t>
            </w:r>
            <w:r>
              <w:rPr>
                <w:szCs w:val="24"/>
              </w:rPr>
              <w:t>sements ne dépassant pas 2M€ de dépenses éligibles par opération.</w:t>
            </w:r>
          </w:p>
          <w:p w:rsidR="0035701C" w:rsidRDefault="0035701C">
            <w:pPr>
              <w:pStyle w:val="Corpsdetexte"/>
            </w:pPr>
          </w:p>
        </w:tc>
      </w:tr>
    </w:tbl>
    <w:p w:rsidR="0035701C" w:rsidRDefault="00FB561B">
      <w:r>
        <w:t>S'il y a lieu, dérogation spécifique pour les investissements dans le haut débit et les énergies renouvelables, de sorte que les infrastructures à plus grande échelle puissent également bé</w:t>
      </w:r>
      <w:r>
        <w:t>néficier d’une aide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Informations sur l’application du délai de grâce visé à l’article 2, paragraphe 3,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Les normes minimales en matière d’efficacité énergétique visées à l’article 13, point c), du règlement délé</w:t>
      </w:r>
      <w:r>
        <w:t>gué (UE) nº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Fixation des seuils visés à l'article 13, point e), du [DA RD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br w:type="page"/>
        <w:t>7.6.2- Patrimoine culturel</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26"/>
              </w:numPr>
            </w:pPr>
            <w:r>
              <w:t xml:space="preserve">7.6 – Aide aux études et investissements liés à l'entretien, à la restauration et à la réhabilitation du </w:t>
            </w:r>
            <w:r>
              <w:t>patrimoine culturel et naturel des villages, des paysages ruraux et des sites à haute valeur naturelle, y compris les aspects socio-économiques, ainsi qu'aux actions de sensibilisation environnementale</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Sous-titre complet de</w:t>
            </w:r>
            <w:r>
              <w:rPr>
                <w:b/>
                <w:bCs/>
                <w:szCs w:val="24"/>
              </w:rPr>
              <w:t xml:space="preserve"> l'opération : Patrimoine culturel matériel et immatériel</w:t>
            </w:r>
          </w:p>
          <w:p w:rsidR="0035701C" w:rsidRDefault="00FB561B">
            <w:pPr>
              <w:spacing w:before="240" w:after="240"/>
              <w:jc w:val="left"/>
              <w:rPr>
                <w:szCs w:val="24"/>
              </w:rPr>
            </w:pPr>
            <w:r>
              <w:rPr>
                <w:szCs w:val="24"/>
              </w:rPr>
              <w:t>L'opération consiste à contribuer à la revitalisation des territoires de l'intérieur ou à faible densité de population par le renforcement de leur attractivité. Les actions s'inscrivent dans la logi</w:t>
            </w:r>
            <w:r>
              <w:rPr>
                <w:szCs w:val="24"/>
              </w:rPr>
              <w:t>que de la chaîne d'action patrimoniale : étudier (parce qu'on ne peut valoriser que ce que l'on connaît bien), conserver-restaurer (parce que nous devons donner à voir des éléments signifiants du territoire) et faire connaître (parce que, au-delà des aspec</w:t>
            </w:r>
            <w:r>
              <w:rPr>
                <w:szCs w:val="24"/>
              </w:rPr>
              <w:t>ts scientifiques, le patrimoine trouve naturellement sa place dans le développement des territoires). La recherche et valorisation du patrimoine immatériel doivent permettre une réappropriation par la population des arts et traditions populaires et des sav</w:t>
            </w:r>
            <w:r>
              <w:rPr>
                <w:szCs w:val="24"/>
              </w:rPr>
              <w:t>oir-faire, notamment artisanaux et agro-pastoraux, afin d'ajouter une valeur ajoutée patrimoniale aux projets de développement local.</w:t>
            </w:r>
          </w:p>
          <w:p w:rsidR="0035701C" w:rsidRDefault="00FB561B">
            <w:pPr>
              <w:spacing w:before="240" w:after="240"/>
              <w:jc w:val="left"/>
              <w:rPr>
                <w:szCs w:val="24"/>
              </w:rPr>
            </w:pPr>
            <w:r>
              <w:rPr>
                <w:szCs w:val="24"/>
              </w:rPr>
              <w:t>La conservation et la restauration de sites archéologiques protégés au titre des Monuments historiques doivent concourir à</w:t>
            </w:r>
            <w:r>
              <w:rPr>
                <w:szCs w:val="24"/>
              </w:rPr>
              <w:t xml:space="preserve"> l'ancrage des populations sur le territoire, par la création et la pérennisation d'emplois et une dynamisation du territoire en lui donnant ou redonnant une identité patrimoniale forte.</w:t>
            </w:r>
          </w:p>
          <w:p w:rsidR="0035701C" w:rsidRDefault="00FB561B">
            <w:pPr>
              <w:spacing w:before="240" w:after="240"/>
              <w:jc w:val="left"/>
              <w:rPr>
                <w:szCs w:val="24"/>
              </w:rPr>
            </w:pPr>
            <w:r>
              <w:rPr>
                <w:szCs w:val="24"/>
              </w:rPr>
              <w:t>Tout projet ou équipement devra ainsi remplir au moins un des objecti</w:t>
            </w:r>
            <w:r>
              <w:rPr>
                <w:szCs w:val="24"/>
              </w:rPr>
              <w:t>fs suivants :</w:t>
            </w:r>
          </w:p>
          <w:p w:rsidR="0035701C" w:rsidRDefault="00FB561B">
            <w:pPr>
              <w:spacing w:before="240" w:after="240"/>
              <w:jc w:val="left"/>
              <w:rPr>
                <w:szCs w:val="24"/>
              </w:rPr>
            </w:pPr>
            <w:r>
              <w:rPr>
                <w:szCs w:val="24"/>
              </w:rPr>
              <w:t>•          Concourir à la création et la pérennisation d'emplois en milieu rural et en zone à faible densité de population.</w:t>
            </w:r>
          </w:p>
          <w:p w:rsidR="0035701C" w:rsidRDefault="00FB561B">
            <w:pPr>
              <w:spacing w:before="240" w:after="240"/>
              <w:jc w:val="left"/>
              <w:rPr>
                <w:szCs w:val="24"/>
              </w:rPr>
            </w:pPr>
            <w:r>
              <w:rPr>
                <w:szCs w:val="24"/>
              </w:rPr>
              <w:t>•          Concourir à la création d'activités contribuant à l'ancrage des populations en milieu rural et en zone à fa</w:t>
            </w:r>
            <w:r>
              <w:rPr>
                <w:szCs w:val="24"/>
              </w:rPr>
              <w:t>ible densité de population.</w:t>
            </w:r>
          </w:p>
          <w:p w:rsidR="0035701C" w:rsidRDefault="00FB561B">
            <w:pPr>
              <w:spacing w:before="240" w:after="240"/>
              <w:jc w:val="left"/>
              <w:rPr>
                <w:szCs w:val="24"/>
              </w:rPr>
            </w:pPr>
            <w:r>
              <w:rPr>
                <w:szCs w:val="24"/>
              </w:rPr>
              <w:t>•          Renforcer et rééquilibrer l'attractivité et le rayonnement de l'activité culturelle en milieu rural et en zone à faible densité de population.</w:t>
            </w:r>
          </w:p>
          <w:p w:rsidR="0035701C" w:rsidRDefault="00FB561B">
            <w:pPr>
              <w:spacing w:before="240" w:after="240"/>
              <w:jc w:val="left"/>
              <w:rPr>
                <w:szCs w:val="24"/>
              </w:rPr>
            </w:pPr>
            <w:r>
              <w:rPr>
                <w:szCs w:val="24"/>
              </w:rPr>
              <w:t xml:space="preserve">•          Apporter une valeur ajoutée permettant de renforcer </w:t>
            </w:r>
            <w:r>
              <w:rPr>
                <w:szCs w:val="24"/>
              </w:rPr>
              <w:t>l'attractivité du territoire concerné.</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Pour les projets liés au patrimoine immatériel seront recherchés :</w:t>
            </w:r>
          </w:p>
          <w:p w:rsidR="0035701C" w:rsidRDefault="00FB561B">
            <w:pPr>
              <w:spacing w:before="240" w:after="240"/>
              <w:jc w:val="left"/>
              <w:rPr>
                <w:szCs w:val="24"/>
              </w:rPr>
            </w:pPr>
            <w:r>
              <w:rPr>
                <w:szCs w:val="24"/>
              </w:rPr>
              <w:t>•          Le développement de la connaissance et le rayonnement des arts et traditions populaires et des savoir-faire ;</w:t>
            </w:r>
          </w:p>
          <w:p w:rsidR="0035701C" w:rsidRDefault="00FB561B">
            <w:pPr>
              <w:spacing w:before="240" w:after="240"/>
              <w:jc w:val="left"/>
              <w:rPr>
                <w:szCs w:val="24"/>
              </w:rPr>
            </w:pPr>
            <w:r>
              <w:rPr>
                <w:szCs w:val="24"/>
              </w:rPr>
              <w:t>•          Recherche et val</w:t>
            </w:r>
            <w:r>
              <w:rPr>
                <w:szCs w:val="24"/>
              </w:rPr>
              <w:t>orisation du patrimoine immatériel</w:t>
            </w:r>
          </w:p>
          <w:p w:rsidR="0035701C" w:rsidRDefault="00FB561B">
            <w:pPr>
              <w:spacing w:before="240" w:after="240"/>
              <w:jc w:val="left"/>
              <w:rPr>
                <w:szCs w:val="24"/>
              </w:rPr>
            </w:pPr>
            <w:r>
              <w:rPr>
                <w:szCs w:val="24"/>
              </w:rPr>
              <w:t>Cette sous-mesure est ciblée sur le domaine prioritaire 6b) et répond aux besoins n°30.</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versée sous forme de 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 Code </w:t>
            </w:r>
            <w:r>
              <w:rPr>
                <w:szCs w:val="24"/>
              </w:rPr>
              <w:t>des Marchés publics ;</w:t>
            </w:r>
          </w:p>
          <w:p w:rsidR="0035701C" w:rsidRDefault="00FB561B">
            <w:pPr>
              <w:spacing w:before="240" w:after="240"/>
              <w:jc w:val="left"/>
              <w:rPr>
                <w:szCs w:val="24"/>
              </w:rPr>
            </w:pPr>
            <w:r>
              <w:rPr>
                <w:szCs w:val="24"/>
              </w:rPr>
              <w:t>- Ligne de partage FEADER/PO FEDER : Pour les sites archéologiques, un soutien est apporté de façon complémentaire par l’intermédiaire de l’Axe 5 et de la priorité d’investissement 6 (c) : conservation, protection, promotion et dévelo</w:t>
            </w:r>
            <w:r>
              <w:rPr>
                <w:szCs w:val="24"/>
              </w:rPr>
              <w:t>ppement du patrimoine naturel et culturel. Le PO FEDER ciblera des investissements sur les sites régionaux pour leur valorisation, leur mise en réseau et la promotion du tourisme durable.</w:t>
            </w:r>
          </w:p>
          <w:p w:rsidR="0035701C" w:rsidRDefault="00FB561B">
            <w:pPr>
              <w:spacing w:before="240" w:after="240"/>
              <w:jc w:val="left"/>
              <w:rPr>
                <w:szCs w:val="24"/>
              </w:rPr>
            </w:pPr>
            <w:r>
              <w:rPr>
                <w:szCs w:val="24"/>
              </w:rPr>
              <w:t>- Code du Patrimoine</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          Collectivités </w:t>
            </w:r>
            <w:r>
              <w:rPr>
                <w:szCs w:val="24"/>
              </w:rPr>
              <w:t>locales et leurs groupements ;</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Coûts admissibles :</w:t>
            </w:r>
          </w:p>
          <w:p w:rsidR="0035701C" w:rsidRDefault="00FB561B">
            <w:pPr>
              <w:spacing w:before="240" w:after="240"/>
              <w:jc w:val="left"/>
              <w:rPr>
                <w:szCs w:val="24"/>
              </w:rPr>
            </w:pPr>
            <w:r>
              <w:rPr>
                <w:b/>
                <w:bCs/>
                <w:szCs w:val="24"/>
              </w:rPr>
              <w:t>La conservation et la restauration de sites archéologiques et d'édifices protégés au titre des Monuments historiques :</w:t>
            </w:r>
          </w:p>
          <w:p w:rsidR="0035701C" w:rsidRDefault="00FB561B">
            <w:pPr>
              <w:spacing w:before="240" w:after="240"/>
              <w:jc w:val="left"/>
              <w:rPr>
                <w:szCs w:val="24"/>
              </w:rPr>
            </w:pPr>
            <w:r>
              <w:rPr>
                <w:szCs w:val="24"/>
              </w:rPr>
              <w:t>Travaux de conservation – restauration de monuments historiques  (</w:t>
            </w:r>
            <w:r>
              <w:rPr>
                <w:szCs w:val="24"/>
              </w:rPr>
              <w:t>gros œuvre : clos et couvert) ; travaux d’aménagement de salles d’expositions dans des lieux patrimoniaux ; travaux de consolidation de vestiges archéologiques ; travaux d’aménagement et équipements destinés à l’accueil et à l’information du public sur les</w:t>
            </w:r>
            <w:r>
              <w:rPr>
                <w:szCs w:val="24"/>
              </w:rPr>
              <w:t xml:space="preserve"> sites archéologiques ; travaux de signalétique des sites et monuments ; actions d’animation, de diffusion - promotion du patrimoine.</w:t>
            </w:r>
          </w:p>
          <w:p w:rsidR="0035701C" w:rsidRDefault="00FB561B">
            <w:pPr>
              <w:spacing w:before="240" w:after="240"/>
              <w:jc w:val="left"/>
              <w:rPr>
                <w:szCs w:val="24"/>
              </w:rPr>
            </w:pPr>
            <w:r>
              <w:rPr>
                <w:szCs w:val="24"/>
              </w:rPr>
              <w:t>Les frais généraux liés aux opérations financées (article 45 (2) du règlement (UE) n° 1305/2013) dans la limite de 20 % de</w:t>
            </w:r>
            <w:r>
              <w:rPr>
                <w:szCs w:val="24"/>
              </w:rPr>
              <w:t>s dépenses totales éligibles de l'opération : honoraires d’architectes et rémunérations d’ingénieurs et de consultants, les dépenses liées au conseil en matière de durabilité environnementale et économique, y compris les coûts liés aux études de faisabilit</w:t>
            </w:r>
            <w:r>
              <w:rPr>
                <w:szCs w:val="24"/>
              </w:rPr>
              <w:t>é, étude historique sur le site a restaurer ;</w:t>
            </w:r>
          </w:p>
          <w:p w:rsidR="0035701C" w:rsidRDefault="00FB561B">
            <w:pPr>
              <w:spacing w:before="240" w:after="240"/>
              <w:jc w:val="left"/>
              <w:rPr>
                <w:szCs w:val="24"/>
              </w:rPr>
            </w:pPr>
            <w:r>
              <w:rPr>
                <w:b/>
                <w:bCs/>
                <w:szCs w:val="24"/>
              </w:rPr>
              <w:t>Opérations de recherche et de valorisation des arts et traditions populaires et des savoir-faire : </w:t>
            </w:r>
          </w:p>
          <w:p w:rsidR="0035701C" w:rsidRDefault="00FB561B">
            <w:pPr>
              <w:spacing w:before="240" w:after="240"/>
              <w:jc w:val="left"/>
              <w:rPr>
                <w:szCs w:val="24"/>
              </w:rPr>
            </w:pPr>
            <w:r>
              <w:rPr>
                <w:szCs w:val="24"/>
              </w:rPr>
              <w:t>- Etudes et recherches : dépenses relatives aux opérations de collectage et de prises de vue photographiques (</w:t>
            </w:r>
            <w:r>
              <w:rPr>
                <w:szCs w:val="24"/>
              </w:rPr>
              <w:t>rémunérations, frais de déplacement et d'hébergement des personnels, acquisition de matériels photographiques, d'enregistrement sonore et visuel, nécessaires à la réalisation de l'opération) ;</w:t>
            </w:r>
          </w:p>
          <w:p w:rsidR="0035701C" w:rsidRDefault="00FB561B">
            <w:pPr>
              <w:spacing w:before="240" w:after="240"/>
              <w:jc w:val="left"/>
              <w:rPr>
                <w:szCs w:val="24"/>
              </w:rPr>
            </w:pPr>
            <w:r>
              <w:rPr>
                <w:szCs w:val="24"/>
              </w:rPr>
              <w:t xml:space="preserve">- Actions de sensibilisation et de communication : location de </w:t>
            </w:r>
            <w:r>
              <w:rPr>
                <w:szCs w:val="24"/>
              </w:rPr>
              <w:t>salle, rémunération et frais de déplacement et d'hébergement des intervenants, édition de supports pédagogiques ; - Opérations de valorisation : dépenses relatives au traitement et à la restitution de l'information, de diffusion (conception-impression-réal</w:t>
            </w:r>
            <w:r>
              <w:rPr>
                <w:szCs w:val="24"/>
              </w:rPr>
              <w:t>isation-conditionnement-transport), de rencontres (colloques et séminaires) ;</w:t>
            </w:r>
          </w:p>
          <w:p w:rsidR="0035701C" w:rsidRDefault="00FB561B">
            <w:pPr>
              <w:spacing w:before="240" w:after="240"/>
              <w:jc w:val="left"/>
              <w:rPr>
                <w:szCs w:val="24"/>
              </w:rPr>
            </w:pPr>
            <w:r>
              <w:rPr>
                <w:szCs w:val="24"/>
              </w:rPr>
              <w:t> - Inventaire et conservation : dépenses relatives à l'acquisition et à la conservation de documents, d'objets et de droits).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27"/>
              </w:numPr>
              <w:spacing w:before="0" w:after="0"/>
              <w:ind w:hanging="210"/>
              <w:jc w:val="left"/>
              <w:rPr>
                <w:szCs w:val="24"/>
              </w:rPr>
            </w:pPr>
            <w:r>
              <w:rPr>
                <w:szCs w:val="24"/>
              </w:rPr>
              <w:t xml:space="preserve">Le projet doit être </w:t>
            </w:r>
            <w:r>
              <w:rPr>
                <w:szCs w:val="24"/>
              </w:rPr>
              <w:t>situé en zone rurale telle que définie en section 8.1 du PDRC ;</w:t>
            </w:r>
          </w:p>
          <w:p w:rsidR="0035701C" w:rsidRDefault="00FB561B" w:rsidP="00FB561B">
            <w:pPr>
              <w:numPr>
                <w:ilvl w:val="0"/>
                <w:numId w:val="527"/>
              </w:numPr>
              <w:spacing w:before="0" w:after="0"/>
              <w:ind w:hanging="210"/>
              <w:jc w:val="left"/>
              <w:rPr>
                <w:szCs w:val="24"/>
              </w:rPr>
            </w:pPr>
            <w:r>
              <w:rPr>
                <w:szCs w:val="24"/>
                <w:u w:val="single"/>
              </w:rPr>
              <w:t>Projet de conservation et restauration de sites archéologiques</w:t>
            </w:r>
            <w:r>
              <w:rPr>
                <w:szCs w:val="24"/>
              </w:rPr>
              <w:t xml:space="preserve"> protégés au titre des Monuments Historiques - Soumettre un diagnostic et une étude technique préalable démontrant la nécessité de</w:t>
            </w:r>
            <w:r>
              <w:rPr>
                <w:szCs w:val="24"/>
              </w:rPr>
              <w:t xml:space="preserve"> procéder aux travaux, tant du point de vue de la préservation des sites que de leur meilleure compréhension par le public : les travaux devront être conduits par un maître d'œuvre règlementairement compétent ou qualifié pour la restauration du bâti ancien</w:t>
            </w:r>
            <w:r>
              <w:rPr>
                <w:szCs w:val="24"/>
              </w:rPr>
              <w:t> </w:t>
            </w:r>
          </w:p>
          <w:p w:rsidR="0035701C" w:rsidRDefault="00FB561B" w:rsidP="00FB561B">
            <w:pPr>
              <w:numPr>
                <w:ilvl w:val="0"/>
                <w:numId w:val="527"/>
              </w:numPr>
              <w:spacing w:before="0" w:after="240"/>
              <w:ind w:hanging="210"/>
              <w:jc w:val="left"/>
              <w:rPr>
                <w:szCs w:val="24"/>
              </w:rPr>
            </w:pPr>
            <w:r>
              <w:rPr>
                <w:szCs w:val="24"/>
                <w:u w:val="single"/>
              </w:rPr>
              <w:t>Projets liés au patrimoine immatériel</w:t>
            </w:r>
            <w:r>
              <w:rPr>
                <w:szCs w:val="24"/>
              </w:rPr>
              <w:t xml:space="preserve"> : opérations de recherche et de valorisation des arts et traditions populaires ainsi que des savoir-faire inscrites dans le cadre de programmes pluriannuels ;</w:t>
            </w:r>
          </w:p>
          <w:p w:rsidR="0035701C" w:rsidRDefault="0035701C">
            <w:pPr>
              <w:pStyle w:val="Corpsdetexte"/>
            </w:pPr>
          </w:p>
        </w:tc>
      </w:tr>
    </w:tbl>
    <w:p w:rsidR="0035701C" w:rsidRDefault="00FB561B">
      <w:pPr>
        <w:pStyle w:val="Titre6"/>
      </w:pPr>
      <w:r>
        <w:t>Principes applicables à l'établissement des critères de</w:t>
      </w:r>
      <w:r>
        <w:t xml:space="preserv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Une grille de sélection des opérations prévoira l’établissement d’un système de points permettant le classement des dossiers et la fixation d’un seuil minimal afin d’accéder au soutien  au titre du PDRC. Les critères pourront prendre en compte :</w:t>
            </w:r>
          </w:p>
          <w:p w:rsidR="0035701C" w:rsidRDefault="00FB561B">
            <w:pPr>
              <w:spacing w:before="240" w:after="240"/>
              <w:ind w:left="720"/>
              <w:jc w:val="left"/>
              <w:rPr>
                <w:szCs w:val="24"/>
              </w:rPr>
            </w:pPr>
            <w:r>
              <w:rPr>
                <w:szCs w:val="24"/>
              </w:rPr>
              <w:t> </w:t>
            </w:r>
          </w:p>
          <w:p w:rsidR="0035701C" w:rsidRDefault="00FB561B">
            <w:pPr>
              <w:spacing w:before="240" w:after="240"/>
              <w:ind w:left="720"/>
              <w:jc w:val="left"/>
              <w:rPr>
                <w:szCs w:val="24"/>
              </w:rPr>
            </w:pPr>
            <w:r>
              <w:rPr>
                <w:b/>
                <w:bCs/>
                <w:szCs w:val="24"/>
                <w:u w:val="single"/>
              </w:rPr>
              <w:t xml:space="preserve">Pour les projets de conservation et de restauration de vestiges archéologiques </w:t>
            </w:r>
          </w:p>
          <w:p w:rsidR="0035701C" w:rsidRDefault="00FB561B">
            <w:pPr>
              <w:spacing w:before="240" w:after="240"/>
              <w:ind w:left="1440"/>
              <w:jc w:val="left"/>
              <w:rPr>
                <w:szCs w:val="24"/>
              </w:rPr>
            </w:pPr>
            <w:r>
              <w:rPr>
                <w:szCs w:val="24"/>
              </w:rPr>
              <w:t>-          Degré d'urgence de l'intervention en termes de préservation des vestiges et d'accessibilité des visiteurs ;</w:t>
            </w:r>
          </w:p>
          <w:p w:rsidR="0035701C" w:rsidRDefault="00FB561B">
            <w:pPr>
              <w:spacing w:before="240" w:after="240"/>
              <w:ind w:left="1440"/>
              <w:jc w:val="left"/>
              <w:rPr>
                <w:szCs w:val="24"/>
              </w:rPr>
            </w:pPr>
            <w:r>
              <w:rPr>
                <w:szCs w:val="24"/>
              </w:rPr>
              <w:t xml:space="preserve">-          Dimensionnement financier du projet au </w:t>
            </w:r>
            <w:r>
              <w:rPr>
                <w:szCs w:val="24"/>
              </w:rPr>
              <w:t>regard des nécessités de préservation, des possibilités de développement et des partenariats attendus ;</w:t>
            </w:r>
          </w:p>
          <w:p w:rsidR="0035701C" w:rsidRDefault="00FB561B">
            <w:pPr>
              <w:spacing w:before="240" w:after="240"/>
              <w:ind w:left="1440"/>
              <w:jc w:val="left"/>
              <w:rPr>
                <w:szCs w:val="24"/>
              </w:rPr>
            </w:pPr>
            <w:r>
              <w:rPr>
                <w:szCs w:val="24"/>
              </w:rPr>
              <w:t>-          Qualification des responsables scientifiques du projet ;</w:t>
            </w:r>
          </w:p>
          <w:p w:rsidR="0035701C" w:rsidRDefault="00FB561B">
            <w:pPr>
              <w:spacing w:before="240" w:after="240"/>
              <w:ind w:left="1440"/>
              <w:jc w:val="left"/>
              <w:rPr>
                <w:szCs w:val="24"/>
              </w:rPr>
            </w:pPr>
            <w:r>
              <w:rPr>
                <w:szCs w:val="24"/>
              </w:rPr>
              <w:t>-          Intégration du projet à son environnement naturel ;</w:t>
            </w:r>
          </w:p>
          <w:p w:rsidR="0035701C" w:rsidRDefault="00FB561B">
            <w:pPr>
              <w:spacing w:before="240" w:after="240"/>
              <w:ind w:left="1440"/>
              <w:jc w:val="left"/>
              <w:rPr>
                <w:szCs w:val="24"/>
              </w:rPr>
            </w:pPr>
            <w:r>
              <w:rPr>
                <w:szCs w:val="24"/>
              </w:rPr>
              <w:t xml:space="preserve">-          Niveau de </w:t>
            </w:r>
            <w:r>
              <w:rPr>
                <w:szCs w:val="24"/>
              </w:rPr>
              <w:t>dynamique existant et à développer sur le territoire ;  </w:t>
            </w:r>
          </w:p>
          <w:p w:rsidR="0035701C" w:rsidRDefault="00FB561B">
            <w:pPr>
              <w:spacing w:before="240" w:after="240"/>
              <w:ind w:left="720"/>
              <w:jc w:val="left"/>
              <w:rPr>
                <w:szCs w:val="24"/>
              </w:rPr>
            </w:pPr>
            <w:r>
              <w:rPr>
                <w:szCs w:val="24"/>
              </w:rPr>
              <w:t> </w:t>
            </w:r>
          </w:p>
          <w:p w:rsidR="0035701C" w:rsidRDefault="00FB561B">
            <w:pPr>
              <w:spacing w:before="240" w:after="240"/>
              <w:ind w:left="720"/>
              <w:jc w:val="left"/>
              <w:rPr>
                <w:szCs w:val="24"/>
              </w:rPr>
            </w:pPr>
            <w:r>
              <w:rPr>
                <w:b/>
                <w:bCs/>
                <w:szCs w:val="24"/>
                <w:u w:val="single"/>
              </w:rPr>
              <w:t xml:space="preserve">Pour les projets liés au patrimoine immatériel : </w:t>
            </w:r>
          </w:p>
          <w:p w:rsidR="0035701C" w:rsidRDefault="00FB561B">
            <w:pPr>
              <w:spacing w:before="240" w:after="240"/>
              <w:ind w:left="720"/>
              <w:jc w:val="left"/>
              <w:rPr>
                <w:szCs w:val="24"/>
              </w:rPr>
            </w:pPr>
            <w:r>
              <w:rPr>
                <w:szCs w:val="24"/>
              </w:rPr>
              <w:t>Pour la recherche :  </w:t>
            </w:r>
          </w:p>
          <w:p w:rsidR="0035701C" w:rsidRDefault="00FB561B">
            <w:pPr>
              <w:spacing w:before="240" w:after="240"/>
              <w:ind w:left="1440"/>
              <w:jc w:val="left"/>
              <w:rPr>
                <w:szCs w:val="24"/>
              </w:rPr>
            </w:pPr>
            <w:r>
              <w:rPr>
                <w:szCs w:val="24"/>
              </w:rPr>
              <w:t>-          Intérêt scientifique au regard des connaissances existantes et des acteurs consultés, </w:t>
            </w:r>
          </w:p>
          <w:p w:rsidR="0035701C" w:rsidRDefault="00FB561B">
            <w:pPr>
              <w:spacing w:before="240" w:after="240"/>
              <w:ind w:left="1440"/>
              <w:jc w:val="left"/>
              <w:rPr>
                <w:szCs w:val="24"/>
              </w:rPr>
            </w:pPr>
            <w:r>
              <w:rPr>
                <w:szCs w:val="24"/>
              </w:rPr>
              <w:t>-          qualification de</w:t>
            </w:r>
            <w:r>
              <w:rPr>
                <w:szCs w:val="24"/>
              </w:rPr>
              <w:t>s responsables scientifiques du projet ;  </w:t>
            </w:r>
          </w:p>
          <w:p w:rsidR="0035701C" w:rsidRDefault="00FB561B">
            <w:pPr>
              <w:spacing w:before="240" w:after="240"/>
              <w:ind w:left="720"/>
              <w:jc w:val="left"/>
              <w:rPr>
                <w:szCs w:val="24"/>
              </w:rPr>
            </w:pPr>
            <w:r>
              <w:rPr>
                <w:szCs w:val="24"/>
              </w:rPr>
              <w:t>Pour la valorisation : </w:t>
            </w:r>
          </w:p>
          <w:p w:rsidR="0035701C" w:rsidRDefault="00FB561B">
            <w:pPr>
              <w:spacing w:before="240" w:after="240"/>
              <w:ind w:left="1440"/>
              <w:jc w:val="left"/>
              <w:rPr>
                <w:szCs w:val="24"/>
              </w:rPr>
            </w:pPr>
            <w:r>
              <w:rPr>
                <w:szCs w:val="24"/>
              </w:rPr>
              <w:t>-          implication et adhésion des territoires et des acteurs, </w:t>
            </w:r>
          </w:p>
          <w:p w:rsidR="0035701C" w:rsidRDefault="00FB561B">
            <w:pPr>
              <w:spacing w:before="240" w:after="240"/>
              <w:ind w:left="1440"/>
              <w:jc w:val="left"/>
              <w:rPr>
                <w:szCs w:val="24"/>
              </w:rPr>
            </w:pPr>
            <w:r>
              <w:rPr>
                <w:szCs w:val="24"/>
              </w:rPr>
              <w:t>-          retombées sociales, culturelles et économiques attendues</w:t>
            </w:r>
          </w:p>
          <w:p w:rsidR="0035701C" w:rsidRDefault="00FB561B">
            <w:pPr>
              <w:spacing w:before="240" w:after="240"/>
              <w:ind w:left="1440"/>
              <w:jc w:val="left"/>
              <w:rPr>
                <w:szCs w:val="24"/>
              </w:rPr>
            </w:pPr>
            <w:r>
              <w:rPr>
                <w:szCs w:val="24"/>
              </w:rPr>
              <w:t> </w:t>
            </w:r>
          </w:p>
          <w:p w:rsidR="0035701C" w:rsidRDefault="00FB561B">
            <w:pPr>
              <w:spacing w:before="240" w:after="240"/>
              <w:jc w:val="left"/>
              <w:rPr>
                <w:szCs w:val="24"/>
              </w:rPr>
            </w:pPr>
            <w:r>
              <w:rPr>
                <w:szCs w:val="24"/>
              </w:rPr>
              <w:t xml:space="preserve">Pour le patrimoine immatériel la sélection se fera </w:t>
            </w:r>
            <w:r>
              <w:rPr>
                <w:szCs w:val="24"/>
              </w:rPr>
              <w:t>dur la base d’un appel à projet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Taux d’aide publique : 100%</w:t>
            </w:r>
          </w:p>
          <w:p w:rsidR="0035701C" w:rsidRDefault="00FB561B">
            <w:pPr>
              <w:spacing w:before="240" w:after="240"/>
              <w:jc w:val="left"/>
              <w:rPr>
                <w:szCs w:val="24"/>
              </w:rPr>
            </w:pPr>
            <w:r>
              <w:rPr>
                <w:szCs w:val="24"/>
              </w:rPr>
              <w:t xml:space="preserve">Le taux d'aide publique appliqué au dossier correspondra au maximum autorisé par le régime d'aide d'Etat appliqué audit dossier, si ce maximum est plus </w:t>
            </w:r>
            <w:r>
              <w:rPr>
                <w:szCs w:val="24"/>
              </w:rPr>
              <w:t>restrictif que le taux prévu par le PDR ; ce maximum ne pourra être supérieur au taux mentionné ci-dessus.</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w:t>
            </w:r>
            <w:r>
              <w:rPr>
                <w:szCs w:val="24"/>
                <w:u w:val="single"/>
              </w:rPr>
              <w:t>on du contenu de la mesure :</w:t>
            </w:r>
          </w:p>
          <w:p w:rsidR="0035701C" w:rsidRDefault="00FB561B">
            <w:pPr>
              <w:spacing w:before="240" w:after="240"/>
              <w:jc w:val="left"/>
              <w:rPr>
                <w:szCs w:val="24"/>
              </w:rPr>
            </w:pPr>
            <w:r>
              <w:rPr>
                <w:szCs w:val="24"/>
              </w:rPr>
              <w:t>- L'OP a demandé que soient bien décrits les pétitionnaires susceptibles d'être bénéficiaires de cette opération. Les éléments de Droit, les précisions apportées au présent texte, ainsi que le détail des éléments de réponse à f</w:t>
            </w:r>
            <w:r>
              <w:rPr>
                <w:szCs w:val="24"/>
              </w:rPr>
              <w:t>ournir sur les appels à projet sont satisfaisants.  La prise en charge des coûts des actions financées décrites est satisfaisante. Une attention particulière sera portée sur le respect du Code des Marchés Publics.</w:t>
            </w:r>
          </w:p>
          <w:p w:rsidR="0035701C" w:rsidRDefault="00FB561B">
            <w:pPr>
              <w:spacing w:before="240" w:after="240"/>
              <w:jc w:val="left"/>
              <w:rPr>
                <w:szCs w:val="24"/>
              </w:rPr>
            </w:pPr>
            <w:r>
              <w:rPr>
                <w:szCs w:val="24"/>
                <w:u w:val="single"/>
              </w:rPr>
              <w:t>Risques identifiés selon la méthodologie p</w:t>
            </w:r>
            <w:r>
              <w:rPr>
                <w:szCs w:val="24"/>
                <w:u w:val="single"/>
              </w:rPr>
              <w:t>résentée par l’OP (cf. chapitre 18) :</w:t>
            </w:r>
          </w:p>
          <w:p w:rsidR="0035701C" w:rsidRDefault="00FB561B">
            <w:pPr>
              <w:spacing w:before="240" w:after="240"/>
              <w:jc w:val="left"/>
              <w:rPr>
                <w:szCs w:val="24"/>
              </w:rPr>
            </w:pPr>
            <w:r>
              <w:rPr>
                <w:szCs w:val="24"/>
              </w:rPr>
              <w:t>n°1 - R1 : Pour les formes juridiques sociétaires ou associatives, les collectivités, conformité des statuts et actes, mise à jour effective et conforme au long de la période d’engagement. Vérification de la qualité de</w:t>
            </w:r>
            <w:r>
              <w:rPr>
                <w:szCs w:val="24"/>
              </w:rPr>
              <w:t xml:space="preserve"> propriétaire foncier (source : Législation nationale : décalage entre Droit Social, Droit des Sociétés, Droit Rural, Législation nationale du Droit de Propriété, Droit des Successions, Droit Fiscal (modification pour la forêt en 2012))</w:t>
            </w:r>
          </w:p>
          <w:p w:rsidR="0035701C" w:rsidRDefault="00FB561B">
            <w:pPr>
              <w:spacing w:before="240" w:after="240"/>
              <w:jc w:val="left"/>
              <w:rPr>
                <w:szCs w:val="24"/>
              </w:rPr>
            </w:pPr>
            <w:r>
              <w:rPr>
                <w:szCs w:val="24"/>
              </w:rPr>
              <w:t>n°2 - R10 : Dépense</w:t>
            </w:r>
            <w:r>
              <w:rPr>
                <w:szCs w:val="24"/>
              </w:rPr>
              <w:t>s du maître d'ouvrage, définition des éléments comptables et preuves probantes pris en charge, sensibilisation de l'administration et des bénéficiaires (charges sociales, liste présence aux réunions,…). (source : 2007-2013 en continu Formation de l'adminis</w:t>
            </w:r>
            <w:r>
              <w:rPr>
                <w:szCs w:val="24"/>
              </w:rPr>
              <w:t>tration, des Partenaires, des Bénéficiaires, Multiplicité des précisions sur « Guidance » (notes de cadrage))</w:t>
            </w:r>
          </w:p>
          <w:p w:rsidR="0035701C" w:rsidRDefault="00FB561B">
            <w:pPr>
              <w:spacing w:before="240" w:after="240"/>
              <w:jc w:val="left"/>
              <w:rPr>
                <w:szCs w:val="24"/>
              </w:rPr>
            </w:pPr>
            <w:r>
              <w:rPr>
                <w:szCs w:val="24"/>
              </w:rPr>
              <w:t>n°3 - R10 : Pour l'ensemble des frais et investissements, risque de projets déjà financés par ailleurs PO FEDER, CPER 14-20 (et/ou toujours sous e</w:t>
            </w:r>
            <w:r>
              <w:rPr>
                <w:szCs w:val="24"/>
              </w:rPr>
              <w:t>ngagement d'anciens contrats) (source : Ponctuel sur Retour d'Expérience)</w:t>
            </w:r>
          </w:p>
          <w:p w:rsidR="0035701C" w:rsidRDefault="00FB561B">
            <w:pPr>
              <w:spacing w:before="240" w:after="240"/>
              <w:jc w:val="left"/>
              <w:rPr>
                <w:szCs w:val="24"/>
              </w:rPr>
            </w:pPr>
            <w:r>
              <w:rPr>
                <w:szCs w:val="24"/>
              </w:rPr>
              <w:t>n°4 - R4 : Identification claire des organismes et/ou sociétés sélectionnés, garantissant leur viabilité et leur pérennité. (source : Ponctuel sur Retour d'Expérience)</w:t>
            </w:r>
          </w:p>
          <w:p w:rsidR="0035701C" w:rsidRDefault="0035701C">
            <w:pPr>
              <w:pStyle w:val="Corpsdetexte"/>
            </w:pPr>
          </w:p>
        </w:tc>
      </w:tr>
    </w:tbl>
    <w:p w:rsidR="0035701C" w:rsidRDefault="00FB561B">
      <w:pPr>
        <w:pStyle w:val="Titre7"/>
      </w:pPr>
      <w:r>
        <w:t xml:space="preserve">Mesures </w:t>
      </w:r>
      <w:r>
        <w:t>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VERIFIER Pour les formes juridiques sociétaires ou associatives, conformité des statuts et actes, mise à jour effective et conforme. VERIFIER la qualité de propriétaire foncier des partenaires.</w:t>
            </w:r>
          </w:p>
          <w:p w:rsidR="0035701C" w:rsidRDefault="00FB561B">
            <w:pPr>
              <w:spacing w:before="240" w:after="240"/>
              <w:jc w:val="left"/>
              <w:rPr>
                <w:szCs w:val="24"/>
              </w:rPr>
            </w:pPr>
            <w:r>
              <w:rPr>
                <w:szCs w:val="24"/>
              </w:rPr>
              <w:t>n°2 - R10 : VERIFIER Principalement d</w:t>
            </w:r>
            <w:r>
              <w:rPr>
                <w:szCs w:val="24"/>
              </w:rPr>
              <w:t>e bien détailler frais de déplacements (selon barème pré établi), coûts salariaux, modalités d'enregistrement et de suivi des participants, les contributions en nature….</w:t>
            </w:r>
          </w:p>
          <w:p w:rsidR="0035701C" w:rsidRDefault="00FB561B">
            <w:pPr>
              <w:spacing w:before="240" w:after="240"/>
              <w:jc w:val="left"/>
              <w:rPr>
                <w:szCs w:val="24"/>
              </w:rPr>
            </w:pPr>
            <w:r>
              <w:rPr>
                <w:szCs w:val="24"/>
              </w:rPr>
              <w:t>n°3 - R10 : EXECUTER UN CONTRÔLE CROISE des aides aux bénéficiaires de l'opération ave</w:t>
            </w:r>
            <w:r>
              <w:rPr>
                <w:szCs w:val="24"/>
              </w:rPr>
              <w:t>c les autres aides dont ils ont bénéficié ou dont ils bénéficient, et avec celles des bénéficiaires partenaires (cas des actions collectives). MAINTENIR ce point de contrôle administratif de la demande d'aide à la fin de la période d'engagement.</w:t>
            </w:r>
          </w:p>
          <w:p w:rsidR="0035701C" w:rsidRDefault="00FB561B">
            <w:pPr>
              <w:spacing w:before="240" w:after="240"/>
              <w:jc w:val="left"/>
              <w:rPr>
                <w:szCs w:val="24"/>
              </w:rPr>
            </w:pPr>
            <w:r>
              <w:rPr>
                <w:szCs w:val="24"/>
              </w:rPr>
              <w:t>n°4 - R4 :</w:t>
            </w:r>
            <w:r>
              <w:rPr>
                <w:szCs w:val="24"/>
              </w:rPr>
              <w:t xml:space="preserve"> SENSIBILISER lors de l'instruction au bon respect du Code des marchés publics. CONTROLER à la demande de paiement le respect des procédures de marchés publics.</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Au vu des cotations matricielles, sur le poids financier de</w:t>
            </w:r>
            <w:r>
              <w:rPr>
                <w:szCs w:val="24"/>
              </w:rPr>
              <w:t xml:space="preserve"> la mesure (5%), sur les priorités, les risques, les mesures d’atténuation prévues, cette mesure reçoit une évaluation  favorable peu risquée ; Les mécanismes de mise en œuvre sont connus et maîtrisés par tous les acteurs.</w:t>
            </w:r>
          </w:p>
          <w:p w:rsidR="0035701C" w:rsidRDefault="00FB561B">
            <w:pPr>
              <w:spacing w:before="240" w:after="240"/>
              <w:jc w:val="left"/>
              <w:rPr>
                <w:szCs w:val="24"/>
              </w:rPr>
            </w:pPr>
            <w:r>
              <w:rPr>
                <w:szCs w:val="24"/>
              </w:rPr>
              <w:t>- Concernant l'évaluation globale</w:t>
            </w:r>
            <w:r>
              <w:rPr>
                <w:szCs w:val="24"/>
              </w:rPr>
              <w:t xml:space="preserve"> de la mesure : la mesure est contrôlable sous réserve de la mise en place d'actions d'atténuation et des précisions apportées dans les documents de mise en œuvre notamment sur la nécessité de bien contrôler les éventuels financements croisés et/ou complém</w:t>
            </w:r>
            <w:r>
              <w:rPr>
                <w:szCs w:val="24"/>
              </w:rPr>
              <w:t>entaires, de s'assurer du respect des marchés publics.</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Définition de la notion d’infrastructure «à petite échelle», y compris les infrastructures </w:t>
      </w:r>
      <w:r>
        <w:t>touristiques à petite échelle visées à l’article 20, paragraphe 1, point e),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Sont considérées comme infrastructures à petite échelle les investissements ne dépassant pas 2M€ de dépenses éligibles par opération</w:t>
            </w:r>
          </w:p>
          <w:p w:rsidR="0035701C" w:rsidRDefault="0035701C">
            <w:pPr>
              <w:pStyle w:val="Corpsdetexte"/>
            </w:pPr>
          </w:p>
        </w:tc>
      </w:tr>
    </w:tbl>
    <w:p w:rsidR="0035701C" w:rsidRDefault="00FB561B">
      <w:r>
        <w:t>S'il y a lieu</w:t>
      </w:r>
      <w:r>
        <w:t>, dérogation spécifique pour les investissements dans le haut débit et les énergies renouvelables, de sorte que les infrastructures à plus grande échelle puissent également bénéficier d’une aide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Informations sur l’application du délai de grâce visé à l</w:t>
      </w:r>
      <w:r>
        <w:t>’article 2, paragraphe 3,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Les normes minimales en matière d’efficacité énergétique visées à l’article 13, point c), du règlement délégué (UE) nº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Fixation des seuils visés à l'article 13, point e), du [DA</w:t>
      </w:r>
      <w:r>
        <w:t xml:space="preserve"> RD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br w:type="page"/>
        <w:t>7.6.3- Circuits de découvertes patrimoniaux</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28"/>
              </w:numPr>
            </w:pPr>
            <w:r>
              <w:t>7.6 – Aide aux études et investissements liés à l'entretien, à la restauration et à la réhabilitation du patrimoine culturel et naturel des villages, des paysages ruraux et d</w:t>
            </w:r>
            <w:r>
              <w:t>es sites à haute valeur naturelle, y compris les aspects socio-économiques, ainsi qu'aux actions de sensibilisation environnementale</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Sous-titre complet de l’opération </w:t>
            </w:r>
            <w:r>
              <w:rPr>
                <w:szCs w:val="24"/>
              </w:rPr>
              <w:t xml:space="preserve">: Valorisation du patrimoine naturel et culturel à </w:t>
            </w:r>
            <w:r>
              <w:rPr>
                <w:szCs w:val="24"/>
              </w:rPr>
              <w:t>travers la création de circuits de découvertes patrimoniaux</w:t>
            </w:r>
          </w:p>
          <w:p w:rsidR="0035701C" w:rsidRDefault="00FB561B">
            <w:pPr>
              <w:spacing w:before="240" w:after="240"/>
              <w:jc w:val="left"/>
              <w:rPr>
                <w:szCs w:val="24"/>
              </w:rPr>
            </w:pPr>
            <w:r>
              <w:rPr>
                <w:szCs w:val="24"/>
              </w:rPr>
              <w:t>Les territoires ruraux connaissent un retard de développement qu'il convient de compenser par une meilleure attractivité (physique, culturelle et virtuelle), notamment par la valorisation du patri</w:t>
            </w:r>
            <w:r>
              <w:rPr>
                <w:szCs w:val="24"/>
              </w:rPr>
              <w:t xml:space="preserve">moine rural et par la création de circuits de découvertes patrimoniaux. En effet la Corse connaît aujourd'hui une bonne fréquentation par la création de circuits pédestres de nature sportive mais valorise peu le patrimoine rural des villages qui constitue </w:t>
            </w:r>
            <w:r>
              <w:rPr>
                <w:szCs w:val="24"/>
              </w:rPr>
              <w:t>cependant un potentiel de développement local et durable important.</w:t>
            </w:r>
          </w:p>
          <w:p w:rsidR="0035701C" w:rsidRDefault="00FB561B">
            <w:pPr>
              <w:spacing w:before="240" w:after="240"/>
              <w:jc w:val="left"/>
              <w:rPr>
                <w:szCs w:val="24"/>
              </w:rPr>
            </w:pPr>
            <w:r>
              <w:rPr>
                <w:szCs w:val="24"/>
              </w:rPr>
              <w:t xml:space="preserve">Les circuits de découverte patrimoniale sont destinés à mettre en valeur le patrimoine emblématique d'une région et à renforcer de ce fait, l'identité locale. Ces opérations d'aménagement </w:t>
            </w:r>
            <w:r>
              <w:rPr>
                <w:szCs w:val="24"/>
              </w:rPr>
              <w:t>recouvrent une dimension transversale puisqu'elles font appel à l'histoire, aux mythes ainsi qu'aux modes de vie, aux techniques et matériaux ou encore, à la qualité des paysages. L'objectif à terme est de disposer dans l'espace rural, de circuits, accessi</w:t>
            </w:r>
            <w:r>
              <w:rPr>
                <w:szCs w:val="24"/>
              </w:rPr>
              <w:t>bles au plus grand nombre quelle que soit la saison.</w:t>
            </w:r>
          </w:p>
          <w:p w:rsidR="0035701C" w:rsidRDefault="00FB561B">
            <w:pPr>
              <w:spacing w:before="240" w:after="240"/>
              <w:jc w:val="left"/>
              <w:rPr>
                <w:szCs w:val="24"/>
              </w:rPr>
            </w:pPr>
            <w:r>
              <w:rPr>
                <w:szCs w:val="24"/>
              </w:rPr>
              <w:t> </w:t>
            </w:r>
          </w:p>
          <w:p w:rsidR="0035701C" w:rsidRDefault="00FB561B">
            <w:pPr>
              <w:spacing w:before="240" w:after="240"/>
              <w:ind w:left="72"/>
              <w:jc w:val="left"/>
              <w:rPr>
                <w:szCs w:val="24"/>
              </w:rPr>
            </w:pPr>
            <w:r>
              <w:rPr>
                <w:szCs w:val="24"/>
              </w:rPr>
              <w:t>Cette sous-mesure est ciblée sur le domaine prioritaire 6b) et répond aux besoins n°30, n°27 et n°28.</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versée sous forme de subvention.</w:t>
            </w:r>
          </w:p>
          <w:p w:rsidR="0035701C" w:rsidRDefault="0035701C">
            <w:pPr>
              <w:pStyle w:val="Corpsdetexte"/>
            </w:pPr>
          </w:p>
        </w:tc>
      </w:tr>
    </w:tbl>
    <w:p w:rsidR="0035701C" w:rsidRDefault="00FB561B">
      <w:pPr>
        <w:pStyle w:val="Titre6"/>
      </w:pPr>
      <w:r>
        <w:t xml:space="preserve">Liens vers </w:t>
      </w:r>
      <w:r>
        <w:t>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Code des Marchés Publics ;</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29"/>
              </w:numPr>
              <w:spacing w:before="0" w:after="0"/>
              <w:ind w:hanging="210"/>
              <w:jc w:val="left"/>
              <w:rPr>
                <w:szCs w:val="24"/>
              </w:rPr>
            </w:pPr>
            <w:r>
              <w:rPr>
                <w:szCs w:val="24"/>
              </w:rPr>
              <w:t>Collectivités locales et leurs groupements, Syndicat Mixte (PNRC, Pays, PETR) ;</w:t>
            </w:r>
          </w:p>
          <w:p w:rsidR="0035701C" w:rsidRDefault="00FB561B" w:rsidP="00FB561B">
            <w:pPr>
              <w:numPr>
                <w:ilvl w:val="0"/>
                <w:numId w:val="529"/>
              </w:numPr>
              <w:spacing w:before="0" w:after="240"/>
              <w:ind w:hanging="210"/>
              <w:jc w:val="left"/>
              <w:rPr>
                <w:szCs w:val="24"/>
              </w:rPr>
            </w:pPr>
            <w:r>
              <w:rPr>
                <w:szCs w:val="24"/>
              </w:rPr>
              <w:t>EPIC (Etablissement à Caractère Public Industriel et Commercial)</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30"/>
              </w:numPr>
              <w:spacing w:before="0" w:after="0"/>
              <w:ind w:hanging="210"/>
              <w:jc w:val="left"/>
              <w:rPr>
                <w:szCs w:val="24"/>
              </w:rPr>
            </w:pPr>
            <w:r>
              <w:rPr>
                <w:szCs w:val="24"/>
              </w:rPr>
              <w:t xml:space="preserve">Les frais généraux </w:t>
            </w:r>
            <w:r>
              <w:rPr>
                <w:szCs w:val="24"/>
              </w:rPr>
              <w:t xml:space="preserve">liés aux opérations financées (article 45 (2) du règlement (UE) n° 1305/2013) dans la limite de 10 % des dépenses totales éligibles de l'opération : honoraires d’architectes et rémunérations d’ingénieurs et de consultants, les dépenses liées au conseil en </w:t>
            </w:r>
            <w:r>
              <w:rPr>
                <w:szCs w:val="24"/>
              </w:rPr>
              <w:t>matière de durabilité environnementale et économique, y compris les coûts liés aux études de faisabilité ;</w:t>
            </w:r>
          </w:p>
          <w:p w:rsidR="0035701C" w:rsidRDefault="00FB561B" w:rsidP="00FB561B">
            <w:pPr>
              <w:numPr>
                <w:ilvl w:val="0"/>
                <w:numId w:val="530"/>
              </w:numPr>
              <w:spacing w:before="0" w:after="0"/>
              <w:ind w:hanging="210"/>
              <w:jc w:val="left"/>
              <w:rPr>
                <w:szCs w:val="24"/>
              </w:rPr>
            </w:pPr>
            <w:r>
              <w:rPr>
                <w:szCs w:val="24"/>
              </w:rPr>
              <w:t>Travaux - paysagiste  - signalétique ;</w:t>
            </w:r>
          </w:p>
          <w:p w:rsidR="0035701C" w:rsidRDefault="00FB561B" w:rsidP="00FB561B">
            <w:pPr>
              <w:numPr>
                <w:ilvl w:val="0"/>
                <w:numId w:val="530"/>
              </w:numPr>
              <w:spacing w:before="0" w:after="0"/>
              <w:ind w:hanging="210"/>
              <w:jc w:val="left"/>
              <w:rPr>
                <w:szCs w:val="24"/>
              </w:rPr>
            </w:pPr>
            <w:r>
              <w:rPr>
                <w:szCs w:val="24"/>
              </w:rPr>
              <w:t>Actions de communication Multimédia (visite virtuelle, borne interactive, valorisation touristique, dépliants)</w:t>
            </w:r>
            <w:r>
              <w:rPr>
                <w:szCs w:val="24"/>
              </w:rPr>
              <w:t> ;</w:t>
            </w:r>
          </w:p>
          <w:p w:rsidR="0035701C" w:rsidRDefault="00FB561B" w:rsidP="00FB561B">
            <w:pPr>
              <w:numPr>
                <w:ilvl w:val="0"/>
                <w:numId w:val="530"/>
              </w:numPr>
              <w:spacing w:before="0" w:after="0"/>
              <w:ind w:hanging="210"/>
              <w:jc w:val="left"/>
              <w:rPr>
                <w:szCs w:val="24"/>
              </w:rPr>
            </w:pPr>
            <w:r>
              <w:rPr>
                <w:szCs w:val="24"/>
              </w:rPr>
              <w:t>Site internet dédié aux circuits de découvertes patrimoniaux</w:t>
            </w:r>
          </w:p>
          <w:p w:rsidR="0035701C" w:rsidRDefault="00FB561B" w:rsidP="00FB561B">
            <w:pPr>
              <w:numPr>
                <w:ilvl w:val="0"/>
                <w:numId w:val="530"/>
              </w:numPr>
              <w:spacing w:before="0" w:after="240"/>
              <w:ind w:hanging="210"/>
              <w:jc w:val="left"/>
              <w:rPr>
                <w:szCs w:val="24"/>
              </w:rPr>
            </w:pPr>
            <w:r>
              <w:rPr>
                <w:szCs w:val="24"/>
              </w:rPr>
              <w:t>Actions d'animation et de communication à vocation de sensibilisation environnementale.</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31"/>
              </w:numPr>
              <w:spacing w:before="0" w:after="0"/>
              <w:ind w:hanging="210"/>
              <w:jc w:val="left"/>
              <w:rPr>
                <w:szCs w:val="24"/>
              </w:rPr>
            </w:pPr>
            <w:r>
              <w:rPr>
                <w:szCs w:val="24"/>
              </w:rPr>
              <w:t xml:space="preserve">Le projet doit se situer en zone rurale telle que définie à la section 8.1 </w:t>
            </w:r>
            <w:r>
              <w:rPr>
                <w:szCs w:val="24"/>
              </w:rPr>
              <w:t>du PDRC.</w:t>
            </w:r>
          </w:p>
          <w:p w:rsidR="0035701C" w:rsidRDefault="00FB561B" w:rsidP="00FB561B">
            <w:pPr>
              <w:numPr>
                <w:ilvl w:val="0"/>
                <w:numId w:val="531"/>
              </w:numPr>
              <w:spacing w:before="0" w:after="0"/>
              <w:ind w:hanging="210"/>
              <w:jc w:val="left"/>
              <w:rPr>
                <w:szCs w:val="24"/>
              </w:rPr>
            </w:pPr>
            <w:r>
              <w:rPr>
                <w:szCs w:val="24"/>
              </w:rPr>
              <w:t>Existence ou possibilité de créer un parcours en boucle d'une durée maximum d’environ 2 heures pour marcheur peu entrainé (type randonnée familiale) sur un chemin pouvant être assimilé à la cotations Randonnée T1 du Club Alpin Français (</w:t>
            </w:r>
            <w:r>
              <w:rPr>
                <w:i/>
                <w:iCs/>
                <w:szCs w:val="24"/>
              </w:rPr>
              <w:t xml:space="preserve">Chemin ou </w:t>
            </w:r>
            <w:r>
              <w:rPr>
                <w:i/>
                <w:iCs/>
                <w:szCs w:val="24"/>
              </w:rPr>
              <w:t>sentier bien tracé. Les endroits exposés (s’il y en a) sont très bien assurés. Tout risque d’accident peut être éliminé avec un comportement normal. Aucune exigence particulière, convient aussi en baskets. L‘orientation ne pose pas de problème, possible mê</w:t>
            </w:r>
            <w:r>
              <w:rPr>
                <w:i/>
                <w:iCs/>
                <w:szCs w:val="24"/>
              </w:rPr>
              <w:t>me sans carte.</w:t>
            </w:r>
            <w:r>
              <w:rPr>
                <w:szCs w:val="24"/>
              </w:rPr>
              <w:t>)</w:t>
            </w:r>
          </w:p>
          <w:p w:rsidR="0035701C" w:rsidRDefault="00FB561B" w:rsidP="00FB561B">
            <w:pPr>
              <w:numPr>
                <w:ilvl w:val="0"/>
                <w:numId w:val="531"/>
              </w:numPr>
              <w:spacing w:before="0" w:after="0"/>
              <w:ind w:hanging="210"/>
              <w:jc w:val="left"/>
              <w:rPr>
                <w:szCs w:val="24"/>
              </w:rPr>
            </w:pPr>
            <w:r>
              <w:rPr>
                <w:szCs w:val="24"/>
              </w:rPr>
              <w:t>Le demandeur doit avoir la maîtrise foncière du projet ;</w:t>
            </w:r>
          </w:p>
          <w:p w:rsidR="0035701C" w:rsidRDefault="00FB561B" w:rsidP="00FB561B">
            <w:pPr>
              <w:numPr>
                <w:ilvl w:val="0"/>
                <w:numId w:val="531"/>
              </w:numPr>
              <w:spacing w:before="0" w:after="240"/>
              <w:ind w:hanging="210"/>
              <w:jc w:val="left"/>
              <w:rPr>
                <w:szCs w:val="24"/>
              </w:rPr>
            </w:pPr>
            <w:r>
              <w:rPr>
                <w:szCs w:val="24"/>
              </w:rPr>
              <w:t>Adhésion à la charte "Sentiers du Patrimoine". Cette charte consiste à un engagement du bénéficiaire à créer ou entretenir le sentier concerné. Mais également à réaliser des actions d</w:t>
            </w:r>
            <w:r>
              <w:rPr>
                <w:szCs w:val="24"/>
              </w:rPr>
              <w:t>e communication et d’information autour du sentier et à former et sensibiliser ses personnels à la rénovation de bâti ancien.</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Une grille de sélection des opérations prévoira l’établissemen</w:t>
            </w:r>
            <w:r>
              <w:rPr>
                <w:szCs w:val="24"/>
              </w:rPr>
              <w:t>t d’un système de points permettant le classement des dossiers et la fixation d’un seuil minimal afin d’accéder au soutien  au titre du PDRC. Les critères pourront prendre en compte :</w:t>
            </w:r>
          </w:p>
          <w:p w:rsidR="0035701C" w:rsidRDefault="00FB561B" w:rsidP="00FB561B">
            <w:pPr>
              <w:numPr>
                <w:ilvl w:val="0"/>
                <w:numId w:val="532"/>
              </w:numPr>
              <w:spacing w:before="240" w:after="0"/>
              <w:ind w:hanging="210"/>
              <w:jc w:val="left"/>
              <w:rPr>
                <w:szCs w:val="24"/>
              </w:rPr>
            </w:pPr>
            <w:r>
              <w:rPr>
                <w:szCs w:val="24"/>
              </w:rPr>
              <w:t>L’intérêt patrimonial du sentier ;</w:t>
            </w:r>
          </w:p>
          <w:p w:rsidR="0035701C" w:rsidRDefault="00FB561B" w:rsidP="00FB561B">
            <w:pPr>
              <w:numPr>
                <w:ilvl w:val="0"/>
                <w:numId w:val="532"/>
              </w:numPr>
              <w:spacing w:before="0" w:after="0"/>
              <w:ind w:hanging="210"/>
              <w:jc w:val="left"/>
              <w:rPr>
                <w:szCs w:val="24"/>
              </w:rPr>
            </w:pPr>
            <w:r>
              <w:rPr>
                <w:szCs w:val="24"/>
              </w:rPr>
              <w:t>L’intérêt touristique du territoire ;</w:t>
            </w:r>
          </w:p>
          <w:p w:rsidR="0035701C" w:rsidRDefault="00FB561B" w:rsidP="00FB561B">
            <w:pPr>
              <w:numPr>
                <w:ilvl w:val="0"/>
                <w:numId w:val="532"/>
              </w:numPr>
              <w:spacing w:before="0" w:after="0"/>
              <w:ind w:hanging="210"/>
              <w:jc w:val="left"/>
              <w:rPr>
                <w:szCs w:val="24"/>
              </w:rPr>
            </w:pPr>
            <w:r>
              <w:rPr>
                <w:szCs w:val="24"/>
              </w:rPr>
              <w:t>La capacité du porteur de projet à animer cette démarche ;</w:t>
            </w:r>
          </w:p>
          <w:p w:rsidR="0035701C" w:rsidRDefault="00FB561B" w:rsidP="00FB561B">
            <w:pPr>
              <w:numPr>
                <w:ilvl w:val="0"/>
                <w:numId w:val="532"/>
              </w:numPr>
              <w:spacing w:before="0" w:after="0"/>
              <w:ind w:hanging="210"/>
              <w:jc w:val="left"/>
              <w:rPr>
                <w:szCs w:val="24"/>
              </w:rPr>
            </w:pPr>
            <w:r>
              <w:rPr>
                <w:szCs w:val="24"/>
              </w:rPr>
              <w:t>L’itinéraire ;</w:t>
            </w:r>
          </w:p>
          <w:p w:rsidR="0035701C" w:rsidRDefault="00FB561B" w:rsidP="00FB561B">
            <w:pPr>
              <w:numPr>
                <w:ilvl w:val="0"/>
                <w:numId w:val="532"/>
              </w:numPr>
              <w:spacing w:before="0" w:after="240"/>
              <w:ind w:hanging="210"/>
              <w:jc w:val="left"/>
              <w:rPr>
                <w:szCs w:val="24"/>
              </w:rPr>
            </w:pPr>
            <w:r>
              <w:rPr>
                <w:szCs w:val="24"/>
              </w:rPr>
              <w:t>Le projet de promotion du sentier.</w:t>
            </w:r>
          </w:p>
          <w:p w:rsidR="0035701C" w:rsidRDefault="00FB561B">
            <w:pPr>
              <w:spacing w:before="240" w:after="240"/>
              <w:jc w:val="left"/>
              <w:rPr>
                <w:szCs w:val="24"/>
              </w:rPr>
            </w:pPr>
            <w:r>
              <w:rPr>
                <w:szCs w:val="24"/>
              </w:rPr>
              <w:t>Sélection des projets après instruction des dossiers déposés</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33"/>
              </w:numPr>
              <w:spacing w:before="0" w:after="240"/>
              <w:ind w:hanging="210"/>
              <w:jc w:val="left"/>
              <w:rPr>
                <w:szCs w:val="24"/>
              </w:rPr>
            </w:pPr>
            <w:r>
              <w:rPr>
                <w:szCs w:val="24"/>
              </w:rPr>
              <w:t>Taux d'aide publique : 100%</w:t>
            </w:r>
          </w:p>
          <w:p w:rsidR="0035701C" w:rsidRDefault="00FB561B">
            <w:pPr>
              <w:spacing w:before="240" w:after="240"/>
              <w:jc w:val="left"/>
              <w:rPr>
                <w:szCs w:val="24"/>
              </w:rPr>
            </w:pPr>
            <w:r>
              <w:rPr>
                <w:szCs w:val="24"/>
              </w:rPr>
              <w:t xml:space="preserve">Le taux d'aide </w:t>
            </w:r>
            <w:r>
              <w:rPr>
                <w:szCs w:val="24"/>
              </w:rPr>
              <w:t>publique appliqué au dossier correspondra au maximum autorisé par le régime d'aide d'Etat appliqué audit dossier, si ce maximum est plus restrictif que le taux prévu par le PDR ; ce maximum ne pourra être supérieur au taux mentionné ci-dessus.</w:t>
            </w:r>
          </w:p>
          <w:p w:rsidR="0035701C" w:rsidRDefault="0035701C">
            <w:pPr>
              <w:pStyle w:val="Corpsdetexte"/>
            </w:pPr>
          </w:p>
        </w:tc>
      </w:tr>
    </w:tbl>
    <w:p w:rsidR="0035701C" w:rsidRDefault="00FB561B">
      <w:pPr>
        <w:pStyle w:val="Titre6"/>
      </w:pPr>
      <w:r>
        <w:t xml:space="preserve">Caractère </w:t>
      </w:r>
      <w:r>
        <w:t>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 :</w:t>
            </w:r>
          </w:p>
          <w:p w:rsidR="0035701C" w:rsidRDefault="00FB561B">
            <w:pPr>
              <w:spacing w:before="240" w:after="240"/>
              <w:jc w:val="left"/>
              <w:rPr>
                <w:szCs w:val="24"/>
              </w:rPr>
            </w:pPr>
            <w:r>
              <w:rPr>
                <w:szCs w:val="24"/>
              </w:rPr>
              <w:t>- L'OP a demandé que soient bien décrits les pétitionnaires susceptibles d'être bénéficiai</w:t>
            </w:r>
            <w:r>
              <w:rPr>
                <w:szCs w:val="24"/>
              </w:rPr>
              <w:t>res de cette opération. Les éléments de Droit, les précisions apportées au présent texte, ainsi que le détail des éléments de réponse à fournir sur les appels à projet sont satisfaisants.  La prise en charge des coûts des actions financées décrites est sat</w:t>
            </w:r>
            <w:r>
              <w:rPr>
                <w:szCs w:val="24"/>
              </w:rPr>
              <w:t>isfaisante. Une attention particulière sera portée sur les éléments assurant la maîtrise du foncier et sur le respect du Code des Marchés Publics.</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n°1 - R1 : Pour les formes ju</w:t>
            </w:r>
            <w:r>
              <w:rPr>
                <w:szCs w:val="24"/>
              </w:rPr>
              <w:t xml:space="preserve">ridiques sociétaires ou associatives, les collectivités, conformité des statuts et actes, mise à jour effective et conforme au long de la période d’engagement. VERIFIER la qualité de propriétaire foncier des partenaires.  (source : Législation nationale : </w:t>
            </w:r>
            <w:r>
              <w:rPr>
                <w:szCs w:val="24"/>
              </w:rPr>
              <w:t>décalage entre Droit Social, Droit des Sociétés, Droit Rural, Législation nationale du Droit de Propriété, Droit des Successions, Droit Fiscal (modification pour la forêt en 2012))</w:t>
            </w:r>
          </w:p>
          <w:p w:rsidR="0035701C" w:rsidRDefault="00FB561B">
            <w:pPr>
              <w:spacing w:before="240" w:after="240"/>
              <w:jc w:val="left"/>
              <w:rPr>
                <w:szCs w:val="24"/>
              </w:rPr>
            </w:pPr>
            <w:r>
              <w:rPr>
                <w:szCs w:val="24"/>
              </w:rPr>
              <w:t xml:space="preserve">n°2 - R10 : Dépenses du maître d'ouvrage, définition des éléments </w:t>
            </w:r>
            <w:r>
              <w:rPr>
                <w:szCs w:val="24"/>
              </w:rPr>
              <w:t>comptables et preuves probantes pris en charge, sensibilisation de l'administration et des bénéficiaires (charges sociales, liste présence aux réunions,…). (source : 2007-2013 en continu Formation de l'administration, des Partenaires, des Bénéficiaires, Mu</w:t>
            </w:r>
            <w:r>
              <w:rPr>
                <w:szCs w:val="24"/>
              </w:rPr>
              <w:t>ltiplicité des précisions sur « Guidance » (notes de cadrage))</w:t>
            </w:r>
          </w:p>
          <w:p w:rsidR="0035701C" w:rsidRDefault="00FB561B">
            <w:pPr>
              <w:spacing w:before="240" w:after="240"/>
              <w:jc w:val="left"/>
              <w:rPr>
                <w:szCs w:val="24"/>
              </w:rPr>
            </w:pPr>
            <w:r>
              <w:rPr>
                <w:szCs w:val="24"/>
              </w:rPr>
              <w:t>n°3 - R4 : Identification claire des organismes et/ou sociétés sélectionnés, garantissant leur viabilité et leur pérennité. (source : Ponctuel sur Retour d'Expérience)</w:t>
            </w:r>
          </w:p>
          <w:p w:rsidR="0035701C" w:rsidRDefault="00FB561B">
            <w:pPr>
              <w:spacing w:before="240" w:after="240"/>
              <w:jc w:val="left"/>
              <w:rPr>
                <w:szCs w:val="24"/>
              </w:rPr>
            </w:pPr>
            <w:r>
              <w:rPr>
                <w:szCs w:val="24"/>
              </w:rPr>
              <w:t xml:space="preserve">n°4 - R5  : Vérification </w:t>
            </w:r>
            <w:r>
              <w:rPr>
                <w:szCs w:val="24"/>
              </w:rPr>
              <w:t>du maintien de la viabilité et de la fonctionnalité de l'opération financée tout au long de la période d'engagement Sensibilisation au respect des engagements sur la détention des éléments originaux et conformes des dépenses tout au long de la période d’en</w:t>
            </w:r>
            <w:r>
              <w:rPr>
                <w:szCs w:val="24"/>
              </w:rPr>
              <w:t>gagement de l’opération aidée. (source : Ponctuel sur Retour d'Expérience)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VERIFIER Pour les formes juridiques sociétaires ou associatives, conformité des statuts et actes, mise à jour effective et conforme. VERIFIER la q</w:t>
            </w:r>
            <w:r>
              <w:rPr>
                <w:szCs w:val="24"/>
              </w:rPr>
              <w:t>ualité de propriétaire foncier des partenaires.</w:t>
            </w:r>
          </w:p>
          <w:p w:rsidR="0035701C" w:rsidRDefault="00FB561B">
            <w:pPr>
              <w:spacing w:before="240" w:after="240"/>
              <w:jc w:val="left"/>
              <w:rPr>
                <w:szCs w:val="24"/>
              </w:rPr>
            </w:pPr>
            <w:r>
              <w:rPr>
                <w:szCs w:val="24"/>
              </w:rPr>
              <w:t>n°2 - R10 : VERIFIER Principalement de bien détailler frais de déplacements (selon barème pré établi), coûts salariaux, modalités d'enregistrement et de suivi des participants, les contributions en nature….</w:t>
            </w:r>
          </w:p>
          <w:p w:rsidR="0035701C" w:rsidRDefault="00FB561B">
            <w:pPr>
              <w:spacing w:before="240" w:after="240"/>
              <w:jc w:val="left"/>
              <w:rPr>
                <w:szCs w:val="24"/>
              </w:rPr>
            </w:pPr>
            <w:r>
              <w:rPr>
                <w:szCs w:val="24"/>
              </w:rPr>
              <w:t>n</w:t>
            </w:r>
            <w:r>
              <w:rPr>
                <w:szCs w:val="24"/>
              </w:rPr>
              <w:t>°3 - R4 : SENSIBILISER lors de l'instruction au bon respect du Code des marchés publics. CONTROLER à la demande de paiement le respect des procédures de marchés publics.</w:t>
            </w:r>
          </w:p>
          <w:p w:rsidR="0035701C" w:rsidRDefault="00FB561B">
            <w:pPr>
              <w:spacing w:before="240" w:after="240"/>
              <w:jc w:val="left"/>
              <w:rPr>
                <w:szCs w:val="24"/>
              </w:rPr>
            </w:pPr>
            <w:r>
              <w:rPr>
                <w:szCs w:val="24"/>
              </w:rPr>
              <w:t>n°4 - R5 : MAINTENIR  pour la viabilité et la fonctionnalité de l'opération ce point d</w:t>
            </w:r>
            <w:r>
              <w:rPr>
                <w:szCs w:val="24"/>
              </w:rPr>
              <w:t>e contrôle administratif de la demande d'aide à la fin de la période d'engagement.</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Au vu des cotations matricielles, sur le poids financier de la mesure (5%), sur les priorités, les risques, les mesures d’atténuation pré</w:t>
            </w:r>
            <w:r>
              <w:rPr>
                <w:szCs w:val="24"/>
              </w:rPr>
              <w:t>vues, cette mesure reçoit une évaluation  favorable peu risquée ; Les mécanismes de mise en œuvre sont connus et maîtrisés par tous les acteurs.</w:t>
            </w:r>
          </w:p>
          <w:p w:rsidR="0035701C" w:rsidRDefault="00FB561B">
            <w:pPr>
              <w:spacing w:before="240" w:after="240"/>
              <w:jc w:val="left"/>
              <w:rPr>
                <w:szCs w:val="24"/>
              </w:rPr>
            </w:pPr>
            <w:r>
              <w:rPr>
                <w:szCs w:val="24"/>
              </w:rPr>
              <w:t>- Concernant l'évaluation globale de la mesure : la mesure est contrôlable sous réserve de la mise en place d'a</w:t>
            </w:r>
            <w:r>
              <w:rPr>
                <w:szCs w:val="24"/>
              </w:rPr>
              <w:t>ctions d'atténuation et des précisions apportées dans les documents de mise en œuvre notamment sur la nécessité de bien contrôler la maîtrise du foncier, de s'assurer du respect des marchés publics, de s'assurer du respect des marchés publics, et du mainti</w:t>
            </w:r>
            <w:r>
              <w:rPr>
                <w:szCs w:val="24"/>
              </w:rPr>
              <w:t>en de la fonctionnalité de l'opération sur la période d'engagement.</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Définition de la notion d’infrastructure «à petite échelle», y compris les </w:t>
      </w:r>
      <w:r>
        <w:t>infrastructures touristiques à petite échelle visées à l’article 20, paragraphe 1, point e),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Sont considérées comme infrastructures à petite échelle les investissements ne dépassant pas 2M€ de dépenses éligibles par opération</w:t>
            </w:r>
            <w:r>
              <w:rPr>
                <w:szCs w:val="24"/>
              </w:rPr>
              <w:t>.</w:t>
            </w:r>
          </w:p>
          <w:p w:rsidR="0035701C" w:rsidRDefault="0035701C">
            <w:pPr>
              <w:pStyle w:val="Corpsdetexte"/>
            </w:pPr>
          </w:p>
        </w:tc>
      </w:tr>
    </w:tbl>
    <w:p w:rsidR="0035701C" w:rsidRDefault="00FB561B">
      <w:r>
        <w:t>S'il y a lieu, dérogation spécifique pour les investissements dans le haut débit et les énergies renouvelables, de sorte que les infrastructures à plus grande échelle puissent également bénéficier d’une aide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Informations sur l’application du délai </w:t>
      </w:r>
      <w:r>
        <w:t>de grâce visé à l’article 2, paragraphe 3,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Les normes minimales en matière d’efficacité énergétique visées à l’article 13, point c), du règlement délégué (UE) nº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Fixation des seuils visés à l'article 13,</w:t>
      </w:r>
      <w:r>
        <w:t xml:space="preserve"> point e), du [DA RD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br w:type="page"/>
        <w:t>7.6.4- Sensibilisation Environnementale</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34"/>
              </w:numPr>
            </w:pPr>
            <w:r>
              <w:t>7.6 – Aide aux études et investissements liés à l'entretien, à la restauration et à la réhabilitation du patrimoine culturel et naturel des villages, des paysage</w:t>
            </w:r>
            <w:r>
              <w:t>s ruraux et des sites à haute valeur naturelle, y compris les aspects socio-économiques, ainsi qu'aux actions de sensibilisation environnementale</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Sous-titre complet de l’opération : Entretien et préservation des paysages </w:t>
            </w:r>
            <w:r>
              <w:rPr>
                <w:b/>
                <w:bCs/>
                <w:szCs w:val="24"/>
              </w:rPr>
              <w:t>ruraux et des sites à haute valeur naturelle par des actions de prévention des dommages causés par les incendies et des actions de protection et de sensibilisation environnementale</w:t>
            </w:r>
          </w:p>
          <w:p w:rsidR="0035701C" w:rsidRDefault="00FB561B">
            <w:pPr>
              <w:spacing w:before="240" w:after="240"/>
              <w:jc w:val="left"/>
              <w:rPr>
                <w:szCs w:val="24"/>
              </w:rPr>
            </w:pPr>
            <w:r>
              <w:rPr>
                <w:szCs w:val="24"/>
              </w:rPr>
              <w:t>Le milieu rural constitue en Corse un espace confronté à d’importants défis</w:t>
            </w:r>
            <w:r>
              <w:rPr>
                <w:szCs w:val="24"/>
              </w:rPr>
              <w:t xml:space="preserve"> et enjeux de préservation et de développement. Les populations rurales, souvent vieillissantes, composées essentiellement par les habitants des villages et les agriculteurs/éleveurs occupant l’espace présentant des potentialités agro-pastorales, de par le</w:t>
            </w:r>
            <w:r>
              <w:rPr>
                <w:szCs w:val="24"/>
              </w:rPr>
              <w:t>ur faible densité et leur éloignement parfois important des centres urbains, sont difficiles à sensibiliser aux diverses problématiques environnementales rencontrées en Corse, telles le risque incendies, la préservation de la biodiversité, la protection de</w:t>
            </w:r>
            <w:r>
              <w:rPr>
                <w:szCs w:val="24"/>
              </w:rPr>
              <w:t>s paysages traditionnels, la protection de la ressource en eau et des sols.</w:t>
            </w:r>
          </w:p>
          <w:p w:rsidR="0035701C" w:rsidRDefault="00FB561B">
            <w:pPr>
              <w:spacing w:before="240" w:after="240"/>
              <w:jc w:val="left"/>
              <w:rPr>
                <w:szCs w:val="24"/>
              </w:rPr>
            </w:pPr>
            <w:r>
              <w:rPr>
                <w:szCs w:val="24"/>
              </w:rPr>
              <w:t xml:space="preserve">Seules des actions de proximité d’animation et de sensibilisation de ces populations peuvent permettre la prise de conscience nécessaire pour l’adoption de comportements </w:t>
            </w:r>
            <w:r>
              <w:rPr>
                <w:szCs w:val="24"/>
              </w:rPr>
              <w:t>respectueux de l’environnement.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Le PDRC répondra à ces enjeux à travers 2 types d’actions :</w:t>
            </w:r>
          </w:p>
          <w:p w:rsidR="0035701C" w:rsidRDefault="00FB561B">
            <w:pPr>
              <w:spacing w:before="240" w:after="240"/>
              <w:jc w:val="left"/>
              <w:rPr>
                <w:szCs w:val="24"/>
              </w:rPr>
            </w:pPr>
            <w:r>
              <w:rPr>
                <w:szCs w:val="24"/>
              </w:rPr>
              <w:t> </w:t>
            </w:r>
          </w:p>
          <w:p w:rsidR="0035701C" w:rsidRDefault="00FB561B" w:rsidP="00FB561B">
            <w:pPr>
              <w:numPr>
                <w:ilvl w:val="0"/>
                <w:numId w:val="535"/>
              </w:numPr>
              <w:spacing w:before="240" w:after="240"/>
              <w:ind w:hanging="210"/>
              <w:jc w:val="left"/>
              <w:rPr>
                <w:szCs w:val="24"/>
              </w:rPr>
            </w:pPr>
            <w:r>
              <w:rPr>
                <w:szCs w:val="24"/>
              </w:rPr>
              <w:t>Des actions de sensibilisation environnementale dans un but de prévention des incendies. En effet, les forêts représentent un enjeu d’importance tant sur le pla</w:t>
            </w:r>
            <w:r>
              <w:rPr>
                <w:szCs w:val="24"/>
              </w:rPr>
              <w:t>n économique  (production, activités de plein air, tourisme) qu’environnemental (biodiversité, paysage, séquestration du carbone etc.). L’évolution climatique accentue les risques d’incendie en zone méditerranéenne et soumet ces espaces à un aléa de plus e</w:t>
            </w:r>
            <w:r>
              <w:rPr>
                <w:szCs w:val="24"/>
              </w:rPr>
              <w:t>n plus fort. Par ailleurs cette prévention des dommages causés aux forêts a des effets positifs sur le maintien de la qualité de l’eau et de la biodiversité.</w:t>
            </w:r>
          </w:p>
          <w:p w:rsidR="0035701C" w:rsidRDefault="00FB561B">
            <w:pPr>
              <w:spacing w:before="240" w:after="240"/>
              <w:ind w:left="720"/>
              <w:jc w:val="left"/>
              <w:rPr>
                <w:szCs w:val="24"/>
              </w:rPr>
            </w:pPr>
            <w:r>
              <w:rPr>
                <w:szCs w:val="24"/>
              </w:rPr>
              <w:t xml:space="preserve">le </w:t>
            </w:r>
            <w:r>
              <w:rPr>
                <w:b/>
                <w:bCs/>
                <w:szCs w:val="24"/>
              </w:rPr>
              <w:t>risque incendie</w:t>
            </w:r>
            <w:r>
              <w:rPr>
                <w:szCs w:val="24"/>
              </w:rPr>
              <w:t xml:space="preserve"> est présent partout en Corse du fait de la forte combustibilité du milieu notam</w:t>
            </w:r>
            <w:r>
              <w:rPr>
                <w:szCs w:val="24"/>
              </w:rPr>
              <w:t>ment en été. Il apparait donc important de mener des actions de sensibilisation auprès des résidents, visant la protection des zones d’habitat dense ou isolé et des milieux naturels, le plus souvent en interface avec le milieu naturel exposé au risque ince</w:t>
            </w:r>
            <w:r>
              <w:rPr>
                <w:szCs w:val="24"/>
              </w:rPr>
              <w:t>ndie. Une réglementation nationale existe, prévoyant un débroussaillement efficace autour de chaque habitation ou construction, à la charge soit du propriétaire de la construction ou du terrain selon la présence ou non d’un document d’urbanisme dans la com</w:t>
            </w:r>
            <w:r>
              <w:rPr>
                <w:szCs w:val="24"/>
              </w:rPr>
              <w:t xml:space="preserve">mune. Ce débroussaillement, une fois réalisé selon des prescriptions bien précises, garantit la protection contre incendie, permet aux services de lutte d’intervenir plus efficacement dans les milieux naturels voisins, et garantit la qualité paysagère des </w:t>
            </w:r>
            <w:r>
              <w:rPr>
                <w:szCs w:val="24"/>
              </w:rPr>
              <w:t>villages et une protection des milieux naturels.</w:t>
            </w:r>
          </w:p>
          <w:p w:rsidR="0035701C" w:rsidRDefault="00FB561B">
            <w:pPr>
              <w:spacing w:before="240" w:after="240"/>
              <w:jc w:val="left"/>
              <w:rPr>
                <w:szCs w:val="24"/>
              </w:rPr>
            </w:pPr>
            <w:r>
              <w:rPr>
                <w:b/>
                <w:bCs/>
                <w:szCs w:val="24"/>
              </w:rPr>
              <w:t>Des actions de sensibilisation environnementale et d’information s’avèrent indispensables à mener auprès des populations rurales, par des visites personnalisées auprès de chaque habitation, la distribution d</w:t>
            </w:r>
            <w:r>
              <w:rPr>
                <w:b/>
                <w:bCs/>
                <w:szCs w:val="24"/>
              </w:rPr>
              <w:t xml:space="preserve">e plaquettes techniques sur la réglementation, comprenant également une mobilisation des élus concernés. </w:t>
            </w:r>
          </w:p>
          <w:p w:rsidR="0035701C" w:rsidRDefault="00FB561B">
            <w:pPr>
              <w:spacing w:before="240" w:after="240"/>
              <w:jc w:val="left"/>
              <w:rPr>
                <w:szCs w:val="24"/>
              </w:rPr>
            </w:pPr>
            <w:r>
              <w:rPr>
                <w:b/>
                <w:bCs/>
                <w:szCs w:val="24"/>
              </w:rPr>
              <w:t>Ces démarches comprennent :</w:t>
            </w:r>
          </w:p>
          <w:p w:rsidR="0035701C" w:rsidRDefault="00FB561B" w:rsidP="00FB561B">
            <w:pPr>
              <w:numPr>
                <w:ilvl w:val="0"/>
                <w:numId w:val="536"/>
              </w:numPr>
              <w:spacing w:before="240" w:after="240"/>
              <w:ind w:hanging="210"/>
              <w:jc w:val="left"/>
              <w:rPr>
                <w:szCs w:val="24"/>
              </w:rPr>
            </w:pPr>
            <w:r>
              <w:rPr>
                <w:szCs w:val="24"/>
              </w:rPr>
              <w:t xml:space="preserve">Des actions de sensibilisation en matière de débroussaillement dans les zones en limite de l'urbanisation. Cet interface </w:t>
            </w:r>
            <w:r>
              <w:rPr>
                <w:szCs w:val="24"/>
              </w:rPr>
              <w:t>urbain/forêt est une zone débroussaillée décrite dans le PPRIF, située entre la forêt ou le milieu naturel et le périmètre règlementaire de 50 mètres autour des habitations définissant la zone urbanisée. Il ne peut s'agir que de travaux de premier débrouss</w:t>
            </w:r>
            <w:r>
              <w:rPr>
                <w:szCs w:val="24"/>
              </w:rPr>
              <w:t>aillement pour réalisation d'interface permettant ainsi de diminuer la puissance du feu, de réduire les émissions de gaz et de chaleur et de faciliter l’intervention des services de lutte.</w:t>
            </w:r>
          </w:p>
          <w:p w:rsidR="0035701C" w:rsidRDefault="00FB561B">
            <w:pPr>
              <w:spacing w:before="240" w:after="240"/>
              <w:ind w:left="720"/>
              <w:jc w:val="left"/>
              <w:rPr>
                <w:szCs w:val="24"/>
              </w:rPr>
            </w:pPr>
            <w:r>
              <w:rPr>
                <w:szCs w:val="24"/>
              </w:rPr>
              <w:t xml:space="preserve">La sensibilisation consiste à établir une liste de communes jugées </w:t>
            </w:r>
            <w:r>
              <w:rPr>
                <w:szCs w:val="24"/>
              </w:rPr>
              <w:t>prioritaires et des actions annuelles sont conduites au moyen de visites d’incitation/sensibilisation par les animateurs du débroussaillement suivies, si nécessaire, de contrôles par des agents de l’Etat et de l’ONF.</w:t>
            </w:r>
          </w:p>
          <w:p w:rsidR="0035701C" w:rsidRDefault="00FB561B">
            <w:pPr>
              <w:spacing w:before="240" w:after="240"/>
              <w:jc w:val="left"/>
              <w:rPr>
                <w:szCs w:val="24"/>
              </w:rPr>
            </w:pPr>
            <w:r>
              <w:rPr>
                <w:szCs w:val="24"/>
              </w:rPr>
              <w:t> </w:t>
            </w:r>
          </w:p>
          <w:p w:rsidR="0035701C" w:rsidRDefault="00FB561B" w:rsidP="00FB561B">
            <w:pPr>
              <w:numPr>
                <w:ilvl w:val="0"/>
                <w:numId w:val="537"/>
              </w:numPr>
              <w:spacing w:before="240" w:after="240"/>
              <w:ind w:hanging="210"/>
              <w:jc w:val="left"/>
              <w:rPr>
                <w:szCs w:val="24"/>
              </w:rPr>
            </w:pPr>
            <w:r>
              <w:rPr>
                <w:szCs w:val="24"/>
              </w:rPr>
              <w:t xml:space="preserve">Des actions de </w:t>
            </w:r>
            <w:r>
              <w:rPr>
                <w:b/>
                <w:bCs/>
                <w:szCs w:val="24"/>
              </w:rPr>
              <w:t>préservation de la bio</w:t>
            </w:r>
            <w:r>
              <w:rPr>
                <w:b/>
                <w:bCs/>
                <w:szCs w:val="24"/>
              </w:rPr>
              <w:t>diversité au travers d’une animation des MAEC</w:t>
            </w:r>
            <w:r>
              <w:rPr>
                <w:szCs w:val="24"/>
              </w:rPr>
              <w:t>, de la protection des paysages traditionnels de la déprise et de l’incendie, la protection de la ressource en eau, au-delà des seuls sites Natura 2000 (objet de la 7.6.1) pour lesquels des régimes de protection</w:t>
            </w:r>
            <w:r>
              <w:rPr>
                <w:szCs w:val="24"/>
              </w:rPr>
              <w:t xml:space="preserve"> et d’actions spécifiques sont construits, </w:t>
            </w:r>
            <w:r>
              <w:rPr>
                <w:b/>
                <w:bCs/>
                <w:szCs w:val="24"/>
              </w:rPr>
              <w:t>les MAEC</w:t>
            </w:r>
            <w:r>
              <w:rPr>
                <w:szCs w:val="24"/>
              </w:rPr>
              <w:t xml:space="preserve"> (cf. mesure 10, sous-mesure 10.1) constituent aujourd’hui le dispositif majeur le plus adapté et le plus pertinent pour répondre à ces problématiques environnementales identifiées dans l’île. Elles permet</w:t>
            </w:r>
            <w:r>
              <w:rPr>
                <w:szCs w:val="24"/>
              </w:rPr>
              <w:t>tent en effet, soit le maintien de pratiques agro-pastorales déjà favorables, soit l’amélioration notable de pratiques existantes, soit l’utilisation de nouvelles pratiques plus respectueuses de l’environnement.</w:t>
            </w:r>
          </w:p>
          <w:p w:rsidR="0035701C" w:rsidRDefault="00FB561B">
            <w:pPr>
              <w:spacing w:before="240" w:after="240"/>
              <w:jc w:val="left"/>
              <w:rPr>
                <w:szCs w:val="24"/>
              </w:rPr>
            </w:pPr>
            <w:r>
              <w:rPr>
                <w:b/>
                <w:bCs/>
                <w:szCs w:val="24"/>
              </w:rPr>
              <w:t xml:space="preserve">L’expérience montre qu’une animation ciblée </w:t>
            </w:r>
            <w:r>
              <w:rPr>
                <w:b/>
                <w:bCs/>
                <w:szCs w:val="24"/>
              </w:rPr>
              <w:t>sur les MAEC est indispensable pour construire des projets agroenvironnementaux, les mettre en œuvre et les suivre.</w:t>
            </w:r>
          </w:p>
          <w:p w:rsidR="0035701C" w:rsidRDefault="00FB561B">
            <w:pPr>
              <w:spacing w:before="240" w:after="240"/>
              <w:jc w:val="left"/>
              <w:rPr>
                <w:szCs w:val="24"/>
              </w:rPr>
            </w:pPr>
            <w:r>
              <w:rPr>
                <w:b/>
                <w:bCs/>
                <w:szCs w:val="24"/>
              </w:rPr>
              <w:t>Cette animation est nécessaire pour faire connaitre le panel des mesures proposées au plus grand nombre d’agriculteurs et d’éleveurs des zon</w:t>
            </w:r>
            <w:r>
              <w:rPr>
                <w:b/>
                <w:bCs/>
                <w:szCs w:val="24"/>
              </w:rPr>
              <w:t>es prioritaires, pour initier une réelle dynamique collective, et pour que leur appropriation permette la réussite de ces projets.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Ce type d’animation, menée par des opérateurs locaux pour les MAEC, se décline en différentes phases dont les principales s</w:t>
            </w:r>
            <w:r>
              <w:rPr>
                <w:szCs w:val="24"/>
              </w:rPr>
              <w:t>ont :</w:t>
            </w:r>
          </w:p>
          <w:p w:rsidR="0035701C" w:rsidRDefault="00FB561B" w:rsidP="00FB561B">
            <w:pPr>
              <w:numPr>
                <w:ilvl w:val="0"/>
                <w:numId w:val="538"/>
              </w:numPr>
              <w:spacing w:before="240" w:after="0"/>
              <w:ind w:hanging="210"/>
              <w:jc w:val="left"/>
              <w:rPr>
                <w:szCs w:val="24"/>
              </w:rPr>
            </w:pPr>
            <w:r>
              <w:rPr>
                <w:szCs w:val="24"/>
              </w:rPr>
              <w:t>Identification des territoires à enjeux environnementaux (construction du projet agro-environnemental et climatique),</w:t>
            </w:r>
          </w:p>
          <w:p w:rsidR="0035701C" w:rsidRDefault="00FB561B" w:rsidP="00FB561B">
            <w:pPr>
              <w:numPr>
                <w:ilvl w:val="0"/>
                <w:numId w:val="538"/>
              </w:numPr>
              <w:spacing w:before="0" w:after="0"/>
              <w:ind w:hanging="210"/>
              <w:jc w:val="left"/>
              <w:rPr>
                <w:szCs w:val="24"/>
              </w:rPr>
            </w:pPr>
            <w:r>
              <w:rPr>
                <w:szCs w:val="24"/>
              </w:rPr>
              <w:t>Information large des populations concernées (agriculteurs, éleveurs…) par l’envoi de courriers, organisation de réunions, diffusion</w:t>
            </w:r>
            <w:r>
              <w:rPr>
                <w:szCs w:val="24"/>
              </w:rPr>
              <w:t xml:space="preserve"> de documents d’information, etc…</w:t>
            </w:r>
          </w:p>
          <w:p w:rsidR="0035701C" w:rsidRDefault="00FB561B" w:rsidP="00FB561B">
            <w:pPr>
              <w:numPr>
                <w:ilvl w:val="0"/>
                <w:numId w:val="538"/>
              </w:numPr>
              <w:spacing w:before="0" w:after="0"/>
              <w:ind w:hanging="210"/>
              <w:jc w:val="left"/>
              <w:rPr>
                <w:szCs w:val="24"/>
              </w:rPr>
            </w:pPr>
            <w:r>
              <w:rPr>
                <w:szCs w:val="24"/>
              </w:rPr>
              <w:t>Réalisation du diagnostic d’exploitation à l’échelle individuelle, préalable obligatoire à la souscription d’un contrat MAEC,</w:t>
            </w:r>
          </w:p>
          <w:p w:rsidR="0035701C" w:rsidRDefault="00FB561B" w:rsidP="00FB561B">
            <w:pPr>
              <w:numPr>
                <w:ilvl w:val="0"/>
                <w:numId w:val="538"/>
              </w:numPr>
              <w:spacing w:before="0" w:after="0"/>
              <w:ind w:hanging="210"/>
              <w:jc w:val="left"/>
              <w:rPr>
                <w:szCs w:val="24"/>
              </w:rPr>
            </w:pPr>
            <w:r>
              <w:rPr>
                <w:szCs w:val="24"/>
              </w:rPr>
              <w:t>Elaboration du « contrat MAEC » (géolocalisation des parcelles engagées, chiffrage…)</w:t>
            </w:r>
          </w:p>
          <w:p w:rsidR="0035701C" w:rsidRDefault="00FB561B" w:rsidP="00FB561B">
            <w:pPr>
              <w:numPr>
                <w:ilvl w:val="0"/>
                <w:numId w:val="538"/>
              </w:numPr>
              <w:spacing w:before="0" w:after="240"/>
              <w:ind w:hanging="210"/>
              <w:jc w:val="left"/>
              <w:rPr>
                <w:szCs w:val="24"/>
              </w:rPr>
            </w:pPr>
            <w:r>
              <w:rPr>
                <w:szCs w:val="24"/>
              </w:rPr>
              <w:t xml:space="preserve">Appui </w:t>
            </w:r>
            <w:r>
              <w:rPr>
                <w:szCs w:val="24"/>
              </w:rPr>
              <w:t>technique et administratif tout au long du contrat de 5 ans (conseils agronomiques, aide à la déclaration PAC, aide au remplissage du cahier d’enregistrement des pratiques…)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L’opération répond aux besoins suivants :</w:t>
            </w:r>
          </w:p>
          <w:p w:rsidR="0035701C" w:rsidRDefault="00FB561B" w:rsidP="00FB561B">
            <w:pPr>
              <w:numPr>
                <w:ilvl w:val="0"/>
                <w:numId w:val="539"/>
              </w:numPr>
              <w:spacing w:before="240" w:after="240"/>
              <w:ind w:hanging="210"/>
              <w:jc w:val="left"/>
              <w:rPr>
                <w:szCs w:val="24"/>
              </w:rPr>
            </w:pPr>
            <w:r>
              <w:rPr>
                <w:szCs w:val="24"/>
              </w:rPr>
              <w:t>N°32 : Préserver le bon état de l'envi</w:t>
            </w:r>
            <w:r>
              <w:rPr>
                <w:szCs w:val="24"/>
              </w:rPr>
              <w:t>ronnement, assurer le renouvellement des ressources naturelles et prévenir le risque incendie</w:t>
            </w:r>
          </w:p>
          <w:p w:rsidR="0035701C" w:rsidRDefault="00FB561B">
            <w:pPr>
              <w:spacing w:before="240" w:after="240"/>
              <w:jc w:val="left"/>
              <w:rPr>
                <w:szCs w:val="24"/>
              </w:rPr>
            </w:pPr>
            <w:r>
              <w:rPr>
                <w:szCs w:val="24"/>
              </w:rPr>
              <w:t>L’opération contribue principalement au domaine prioritaire 4a : Restaurer, préserver et renforcer la biodiversité, y compris dans les zones relevant de Natura 20</w:t>
            </w:r>
            <w:r>
              <w:rPr>
                <w:szCs w:val="24"/>
              </w:rPr>
              <w:t>00, et secondairement au domaine prioritaire 6b : Promouvoir le développement local dans les zones rurales.</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versée sous forme de 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Un soutien est </w:t>
            </w:r>
            <w:r>
              <w:rPr>
                <w:szCs w:val="24"/>
              </w:rPr>
              <w:t>également apporté, au travers du type d’opération 7.6.1 aux actions d’animation des Documents d’objectifs des sites Natura 2000.</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Etablissements publics disposant d’opérateurs qualifiés pour mener ces actions d’animation.</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u w:val="single"/>
              </w:rPr>
              <w:t>Sensibilisation environnementale et de prévention incendies</w:t>
            </w:r>
            <w:r>
              <w:rPr>
                <w:szCs w:val="24"/>
              </w:rPr>
              <w:t>:</w:t>
            </w:r>
          </w:p>
          <w:p w:rsidR="0035701C" w:rsidRDefault="00FB561B" w:rsidP="00FB561B">
            <w:pPr>
              <w:numPr>
                <w:ilvl w:val="0"/>
                <w:numId w:val="540"/>
              </w:numPr>
              <w:spacing w:before="240" w:after="240"/>
              <w:ind w:hanging="210"/>
              <w:jc w:val="left"/>
              <w:rPr>
                <w:szCs w:val="24"/>
              </w:rPr>
            </w:pPr>
            <w:r>
              <w:rPr>
                <w:szCs w:val="24"/>
              </w:rPr>
              <w:t>actions de sensibilisation en matière de débroussaillement (dans les zones en limite de l'urbanisation. L'interface est une zone débroussaillée décrite dans le PPRIF, située entre la forêt ou le</w:t>
            </w:r>
            <w:r>
              <w:rPr>
                <w:szCs w:val="24"/>
              </w:rPr>
              <w:t xml:space="preserve"> milieu naturel et le périmètre règlementaire de 50 mètres autour des habitations définissant la zone urbanisée. Il ne peut s'agir que de travaux de premier débroussaillement pour réalisation d'interface) (dépenses de rémunération, d’animation,  frais de d</w:t>
            </w:r>
            <w:r>
              <w:rPr>
                <w:szCs w:val="24"/>
              </w:rPr>
              <w:t>éplacement)</w:t>
            </w:r>
          </w:p>
          <w:p w:rsidR="0035701C" w:rsidRDefault="00FB561B">
            <w:pPr>
              <w:spacing w:before="240" w:after="240"/>
              <w:jc w:val="left"/>
              <w:rPr>
                <w:szCs w:val="24"/>
              </w:rPr>
            </w:pPr>
            <w:r>
              <w:rPr>
                <w:szCs w:val="24"/>
              </w:rPr>
              <w:t>Investissements immatériels :</w:t>
            </w:r>
          </w:p>
          <w:p w:rsidR="0035701C" w:rsidRDefault="00FB561B">
            <w:pPr>
              <w:spacing w:before="240" w:after="240"/>
              <w:jc w:val="left"/>
              <w:rPr>
                <w:szCs w:val="24"/>
              </w:rPr>
            </w:pPr>
            <w:r>
              <w:rPr>
                <w:szCs w:val="24"/>
              </w:rPr>
              <w:t>•    les études préalables environnementales et paysagères nécessaires pour les équipements situés en site Natura 2000</w:t>
            </w:r>
          </w:p>
          <w:p w:rsidR="0035701C" w:rsidRDefault="00FB561B">
            <w:pPr>
              <w:spacing w:before="240" w:after="240"/>
              <w:jc w:val="left"/>
              <w:rPr>
                <w:szCs w:val="24"/>
              </w:rPr>
            </w:pPr>
            <w:r>
              <w:rPr>
                <w:b/>
                <w:bCs/>
                <w:szCs w:val="24"/>
                <w:u w:val="single"/>
              </w:rPr>
              <w:t>Animation des MAEC :</w:t>
            </w:r>
          </w:p>
          <w:p w:rsidR="0035701C" w:rsidRDefault="00FB561B">
            <w:pPr>
              <w:spacing w:before="240" w:after="240"/>
              <w:jc w:val="left"/>
              <w:rPr>
                <w:szCs w:val="24"/>
              </w:rPr>
            </w:pPr>
            <w:r>
              <w:rPr>
                <w:b/>
                <w:bCs/>
                <w:szCs w:val="24"/>
              </w:rPr>
              <w:t>Phase d’animation en vue de la contractualisation des MAEC :</w:t>
            </w:r>
          </w:p>
          <w:p w:rsidR="0035701C" w:rsidRDefault="00FB561B" w:rsidP="00FB561B">
            <w:pPr>
              <w:numPr>
                <w:ilvl w:val="0"/>
                <w:numId w:val="541"/>
              </w:numPr>
              <w:spacing w:before="240" w:after="0"/>
              <w:ind w:hanging="210"/>
              <w:jc w:val="left"/>
              <w:rPr>
                <w:szCs w:val="24"/>
              </w:rPr>
            </w:pPr>
            <w:r>
              <w:rPr>
                <w:szCs w:val="24"/>
              </w:rPr>
              <w:t xml:space="preserve">les </w:t>
            </w:r>
            <w:r>
              <w:rPr>
                <w:b/>
                <w:bCs/>
                <w:szCs w:val="24"/>
              </w:rPr>
              <w:t xml:space="preserve">actions collectives </w:t>
            </w:r>
            <w:r>
              <w:rPr>
                <w:szCs w:val="24"/>
              </w:rPr>
              <w:t>d’information  et de sensibilisation (réunions d’information pour les agriculteurs, visites de terrain…).</w:t>
            </w:r>
          </w:p>
          <w:p w:rsidR="0035701C" w:rsidRDefault="00FB561B" w:rsidP="00FB561B">
            <w:pPr>
              <w:numPr>
                <w:ilvl w:val="0"/>
                <w:numId w:val="541"/>
              </w:numPr>
              <w:spacing w:before="0" w:after="240"/>
              <w:ind w:hanging="210"/>
              <w:jc w:val="left"/>
              <w:rPr>
                <w:szCs w:val="24"/>
              </w:rPr>
            </w:pPr>
            <w:r>
              <w:rPr>
                <w:szCs w:val="24"/>
              </w:rPr>
              <w:t xml:space="preserve">Les autres actions de sensibilisation peuvent être éligibles uniquement si la démonstration de la nécessité pour l’élaboration du </w:t>
            </w:r>
            <w:r>
              <w:rPr>
                <w:szCs w:val="24"/>
              </w:rPr>
              <w:t>projet est faite</w:t>
            </w:r>
          </w:p>
          <w:p w:rsidR="0035701C" w:rsidRDefault="00FB561B">
            <w:pPr>
              <w:spacing w:before="240" w:after="240"/>
              <w:jc w:val="left"/>
              <w:rPr>
                <w:szCs w:val="24"/>
              </w:rPr>
            </w:pPr>
            <w:r>
              <w:rPr>
                <w:b/>
                <w:bCs/>
                <w:szCs w:val="24"/>
              </w:rPr>
              <w:t>Phase d’évaluation du projet :</w:t>
            </w:r>
          </w:p>
          <w:p w:rsidR="0035701C" w:rsidRDefault="00FB561B" w:rsidP="00FB561B">
            <w:pPr>
              <w:numPr>
                <w:ilvl w:val="0"/>
                <w:numId w:val="542"/>
              </w:numPr>
              <w:spacing w:before="240" w:after="240"/>
              <w:ind w:hanging="210"/>
              <w:jc w:val="left"/>
              <w:rPr>
                <w:szCs w:val="24"/>
              </w:rPr>
            </w:pPr>
            <w:r>
              <w:rPr>
                <w:szCs w:val="24"/>
              </w:rPr>
              <w:t>Rédaction du bilan de fin de campagne (collecte des données, rédaction…)</w:t>
            </w:r>
          </w:p>
          <w:p w:rsidR="0035701C" w:rsidRDefault="00FB561B">
            <w:pPr>
              <w:spacing w:before="240" w:after="240"/>
              <w:jc w:val="left"/>
              <w:rPr>
                <w:szCs w:val="24"/>
              </w:rPr>
            </w:pPr>
            <w:r>
              <w:rPr>
                <w:szCs w:val="24"/>
              </w:rPr>
              <w:t>Les actions de suivi des mesures agro-environnementales et climatiques au-delà des années de contractualisation ne sont pas éligibles</w:t>
            </w:r>
          </w:p>
          <w:p w:rsidR="0035701C" w:rsidRDefault="00FB561B">
            <w:pPr>
              <w:spacing w:before="240" w:after="240"/>
              <w:jc w:val="left"/>
              <w:rPr>
                <w:szCs w:val="24"/>
              </w:rPr>
            </w:pPr>
            <w:r>
              <w:rPr>
                <w:szCs w:val="24"/>
              </w:rPr>
              <w:t>L</w:t>
            </w:r>
            <w:r>
              <w:rPr>
                <w:szCs w:val="24"/>
              </w:rPr>
              <w:t>a conduite d’études, d’inventaires et de suivis scientifiques, y compris les diagnostics liés à la mise en œuvre des MAEC par les exploitations; l’appui technique et administratif aux bénéficiaires des MAEC pour le montage de contrats; le suivi et l'évalua</w:t>
            </w:r>
            <w:r>
              <w:rPr>
                <w:szCs w:val="24"/>
              </w:rPr>
              <w:t>tion de la mise en œuvre des MAEC</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xml:space="preserve">Les </w:t>
            </w:r>
            <w:r>
              <w:rPr>
                <w:b/>
                <w:bCs/>
                <w:szCs w:val="24"/>
              </w:rPr>
              <w:t>types de dépenses éligibles</w:t>
            </w:r>
            <w:r>
              <w:rPr>
                <w:szCs w:val="24"/>
              </w:rPr>
              <w:t xml:space="preserve"> sont :</w:t>
            </w:r>
          </w:p>
          <w:p w:rsidR="0035701C" w:rsidRDefault="00FB561B">
            <w:pPr>
              <w:spacing w:before="240" w:after="240"/>
              <w:jc w:val="left"/>
              <w:rPr>
                <w:szCs w:val="24"/>
              </w:rPr>
            </w:pPr>
            <w:r>
              <w:rPr>
                <w:szCs w:val="24"/>
              </w:rPr>
              <w:t>1- les coûts directs :</w:t>
            </w:r>
          </w:p>
          <w:p w:rsidR="0035701C" w:rsidRDefault="00FB561B" w:rsidP="00FB561B">
            <w:pPr>
              <w:numPr>
                <w:ilvl w:val="0"/>
                <w:numId w:val="543"/>
              </w:numPr>
              <w:spacing w:before="240" w:after="0"/>
              <w:ind w:hanging="210"/>
              <w:jc w:val="left"/>
              <w:rPr>
                <w:szCs w:val="24"/>
              </w:rPr>
            </w:pPr>
            <w:r>
              <w:rPr>
                <w:szCs w:val="24"/>
              </w:rPr>
              <w:t>les dépenses de rémunération supportées par le bénéficiaire nécessaires à la réalisation de l'opération et comportant un lien démontré avec celle-ci,</w:t>
            </w:r>
          </w:p>
          <w:p w:rsidR="0035701C" w:rsidRDefault="00FB561B" w:rsidP="00FB561B">
            <w:pPr>
              <w:numPr>
                <w:ilvl w:val="0"/>
                <w:numId w:val="543"/>
              </w:numPr>
              <w:spacing w:before="0" w:after="0"/>
              <w:ind w:hanging="210"/>
              <w:jc w:val="left"/>
              <w:rPr>
                <w:szCs w:val="24"/>
              </w:rPr>
            </w:pPr>
            <w:r>
              <w:rPr>
                <w:szCs w:val="24"/>
              </w:rPr>
              <w:t xml:space="preserve">les </w:t>
            </w:r>
            <w:r>
              <w:rPr>
                <w:szCs w:val="24"/>
              </w:rPr>
              <w:t>frais de déplacements,</w:t>
            </w:r>
          </w:p>
          <w:p w:rsidR="0035701C" w:rsidRDefault="00FB561B" w:rsidP="00FB561B">
            <w:pPr>
              <w:numPr>
                <w:ilvl w:val="0"/>
                <w:numId w:val="543"/>
              </w:numPr>
              <w:spacing w:before="0" w:after="240"/>
              <w:ind w:hanging="210"/>
              <w:jc w:val="left"/>
              <w:rPr>
                <w:szCs w:val="24"/>
              </w:rPr>
            </w:pPr>
            <w:r>
              <w:rPr>
                <w:szCs w:val="24"/>
              </w:rPr>
              <w:t>les frais de sous-traitance et prestations de services (Les frais généraux liés aux opérations financées (article 45 (2) du règlement (UE) n° 1305/2013) dans la limite de 10 % du montant des dépenses éligibles : honoraires d’architec</w:t>
            </w:r>
            <w:r>
              <w:rPr>
                <w:szCs w:val="24"/>
              </w:rPr>
              <w:t>tes et rémunérations d’ingénieurs et de consultants, les dépenses liées au conseil en matière de durabilité environnementale et économique, y compris les coûts liés aux études de faisabilité)</w:t>
            </w:r>
          </w:p>
          <w:p w:rsidR="0035701C" w:rsidRDefault="00FB561B">
            <w:pPr>
              <w:spacing w:before="240" w:after="240"/>
              <w:jc w:val="left"/>
              <w:rPr>
                <w:szCs w:val="24"/>
              </w:rPr>
            </w:pPr>
            <w:r>
              <w:rPr>
                <w:szCs w:val="24"/>
              </w:rPr>
              <w:t>2- les coûts indirects selon un taux forfaitaire de 15 % des fra</w:t>
            </w:r>
            <w:r>
              <w:rPr>
                <w:szCs w:val="24"/>
              </w:rPr>
              <w:t>is de personnel directs éligibles (art 68-1-b du RUE 1303/2013).</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Pour tous les projets :</w:t>
            </w:r>
          </w:p>
          <w:p w:rsidR="0035701C" w:rsidRDefault="00FB561B">
            <w:pPr>
              <w:spacing w:before="240" w:after="240"/>
              <w:jc w:val="left"/>
              <w:rPr>
                <w:szCs w:val="24"/>
              </w:rPr>
            </w:pPr>
            <w:r>
              <w:rPr>
                <w:szCs w:val="24"/>
              </w:rPr>
              <w:t>Le projet doit se situer en zone rurale telle que définie à la section 8.1 du PDRC.</w:t>
            </w:r>
          </w:p>
          <w:p w:rsidR="0035701C" w:rsidRDefault="00FB561B">
            <w:pPr>
              <w:spacing w:before="240" w:after="240"/>
              <w:jc w:val="left"/>
              <w:rPr>
                <w:szCs w:val="24"/>
              </w:rPr>
            </w:pPr>
            <w:r>
              <w:rPr>
                <w:b/>
                <w:bCs/>
                <w:szCs w:val="24"/>
              </w:rPr>
              <w:t xml:space="preserve">Sensibilisation </w:t>
            </w:r>
            <w:r>
              <w:rPr>
                <w:b/>
                <w:bCs/>
                <w:szCs w:val="24"/>
                <w:u w:val="single"/>
              </w:rPr>
              <w:t xml:space="preserve">environnementale et de prévention </w:t>
            </w:r>
            <w:r>
              <w:rPr>
                <w:b/>
                <w:bCs/>
                <w:szCs w:val="24"/>
                <w:u w:val="single"/>
              </w:rPr>
              <w:t>incendies</w:t>
            </w:r>
            <w:r>
              <w:rPr>
                <w:b/>
                <w:bCs/>
                <w:szCs w:val="24"/>
              </w:rPr>
              <w:t> :</w:t>
            </w:r>
          </w:p>
          <w:p w:rsidR="0035701C" w:rsidRDefault="00FB561B">
            <w:pPr>
              <w:spacing w:before="240" w:after="240"/>
              <w:jc w:val="left"/>
              <w:rPr>
                <w:szCs w:val="24"/>
              </w:rPr>
            </w:pPr>
            <w:r>
              <w:rPr>
                <w:szCs w:val="24"/>
              </w:rPr>
              <w:t>Les actions d’animation et de sensibilisation menées sur les communes jugées prioritaires pour l’application de la règlementation pour le débroussaillement légal par les groupes de travail départementaux (GTP2B et GTT 2A), ainsi que sur les com</w:t>
            </w:r>
            <w:r>
              <w:rPr>
                <w:szCs w:val="24"/>
              </w:rPr>
              <w:t>munes spontanément volontaires pour bénéficier de ces actions ;</w:t>
            </w:r>
          </w:p>
          <w:p w:rsidR="0035701C" w:rsidRDefault="00FB561B">
            <w:pPr>
              <w:spacing w:before="240" w:after="240"/>
              <w:jc w:val="left"/>
              <w:rPr>
                <w:szCs w:val="24"/>
              </w:rPr>
            </w:pPr>
            <w:r>
              <w:rPr>
                <w:b/>
                <w:bCs/>
                <w:szCs w:val="24"/>
              </w:rPr>
              <w:t>Sensibilisation MAEC :</w:t>
            </w:r>
          </w:p>
          <w:p w:rsidR="0035701C" w:rsidRDefault="00FB561B">
            <w:pPr>
              <w:spacing w:before="240" w:after="240"/>
              <w:jc w:val="left"/>
              <w:rPr>
                <w:szCs w:val="24"/>
              </w:rPr>
            </w:pPr>
            <w:r>
              <w:rPr>
                <w:szCs w:val="24"/>
              </w:rPr>
              <w:t>Son éligible les actions d’animation autour de la mise en œuvre des MAEC définies dans la mesure 10, sous-mesure 10.1.</w:t>
            </w:r>
          </w:p>
          <w:p w:rsidR="0035701C" w:rsidRDefault="0035701C">
            <w:pPr>
              <w:pStyle w:val="Corpsdetexte"/>
            </w:pPr>
          </w:p>
        </w:tc>
      </w:tr>
    </w:tbl>
    <w:p w:rsidR="0035701C" w:rsidRDefault="00FB561B">
      <w:pPr>
        <w:pStyle w:val="Titre6"/>
      </w:pPr>
      <w:r>
        <w:t>Principes applicables à l'établissement des crit</w:t>
      </w:r>
      <w:r>
        <w: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Une grille de sélection des opérations prévoira l’établissement d’un système de points permettant le classement des dossiers et la fixation d’un seuil minimal afin d’accéder au soutien au titre du PDRC. Les critères pourront prendre en co</w:t>
            </w:r>
            <w:r>
              <w:rPr>
                <w:szCs w:val="24"/>
              </w:rPr>
              <w:t>mpte :</w:t>
            </w:r>
          </w:p>
          <w:p w:rsidR="0035701C" w:rsidRDefault="00FB561B">
            <w:pPr>
              <w:spacing w:before="240" w:after="240"/>
              <w:jc w:val="left"/>
              <w:rPr>
                <w:szCs w:val="24"/>
              </w:rPr>
            </w:pPr>
            <w:r>
              <w:rPr>
                <w:b/>
                <w:bCs/>
                <w:szCs w:val="24"/>
              </w:rPr>
              <w:t>Sensibilisation environnementale débroussaillement :</w:t>
            </w:r>
          </w:p>
          <w:p w:rsidR="0035701C" w:rsidRDefault="00FB561B" w:rsidP="00FB561B">
            <w:pPr>
              <w:numPr>
                <w:ilvl w:val="0"/>
                <w:numId w:val="544"/>
              </w:numPr>
              <w:spacing w:before="240" w:after="0"/>
              <w:ind w:hanging="210"/>
              <w:jc w:val="left"/>
              <w:rPr>
                <w:szCs w:val="24"/>
              </w:rPr>
            </w:pPr>
            <w:r>
              <w:rPr>
                <w:szCs w:val="24"/>
              </w:rPr>
              <w:t>Le nombre de Communes concernées</w:t>
            </w:r>
          </w:p>
          <w:p w:rsidR="0035701C" w:rsidRDefault="00FB561B" w:rsidP="00FB561B">
            <w:pPr>
              <w:numPr>
                <w:ilvl w:val="0"/>
                <w:numId w:val="544"/>
              </w:numPr>
              <w:spacing w:before="0" w:after="0"/>
              <w:ind w:hanging="210"/>
              <w:jc w:val="left"/>
              <w:rPr>
                <w:szCs w:val="24"/>
              </w:rPr>
            </w:pPr>
            <w:r>
              <w:rPr>
                <w:szCs w:val="24"/>
              </w:rPr>
              <w:t>Le niveau de risque incendie (communes)</w:t>
            </w:r>
          </w:p>
          <w:p w:rsidR="0035701C" w:rsidRDefault="00FB561B" w:rsidP="00FB561B">
            <w:pPr>
              <w:numPr>
                <w:ilvl w:val="0"/>
                <w:numId w:val="544"/>
              </w:numPr>
              <w:spacing w:before="0" w:after="0"/>
              <w:ind w:hanging="210"/>
              <w:jc w:val="left"/>
              <w:rPr>
                <w:szCs w:val="24"/>
              </w:rPr>
            </w:pPr>
            <w:r>
              <w:rPr>
                <w:szCs w:val="24"/>
              </w:rPr>
              <w:t>Le nombre de propriétaires ciblé</w:t>
            </w:r>
          </w:p>
          <w:p w:rsidR="0035701C" w:rsidRDefault="00FB561B" w:rsidP="00FB561B">
            <w:pPr>
              <w:numPr>
                <w:ilvl w:val="0"/>
                <w:numId w:val="544"/>
              </w:numPr>
              <w:spacing w:before="0" w:after="0"/>
              <w:ind w:hanging="210"/>
              <w:jc w:val="left"/>
              <w:rPr>
                <w:szCs w:val="24"/>
              </w:rPr>
            </w:pPr>
            <w:r>
              <w:rPr>
                <w:szCs w:val="24"/>
              </w:rPr>
              <w:t>Le nombre de parcelles ciblées</w:t>
            </w:r>
          </w:p>
          <w:p w:rsidR="0035701C" w:rsidRDefault="00FB561B" w:rsidP="00FB561B">
            <w:pPr>
              <w:numPr>
                <w:ilvl w:val="0"/>
                <w:numId w:val="544"/>
              </w:numPr>
              <w:spacing w:before="0" w:after="0"/>
              <w:ind w:hanging="210"/>
              <w:jc w:val="left"/>
              <w:rPr>
                <w:szCs w:val="24"/>
              </w:rPr>
            </w:pPr>
            <w:r>
              <w:rPr>
                <w:szCs w:val="24"/>
              </w:rPr>
              <w:t>L'impact environnemental et paysager</w:t>
            </w:r>
          </w:p>
          <w:p w:rsidR="0035701C" w:rsidRDefault="00FB561B" w:rsidP="00FB561B">
            <w:pPr>
              <w:numPr>
                <w:ilvl w:val="0"/>
                <w:numId w:val="544"/>
              </w:numPr>
              <w:spacing w:before="0" w:after="240"/>
              <w:ind w:hanging="210"/>
              <w:jc w:val="left"/>
              <w:rPr>
                <w:szCs w:val="24"/>
              </w:rPr>
            </w:pPr>
            <w:r>
              <w:rPr>
                <w:szCs w:val="24"/>
              </w:rPr>
              <w:t xml:space="preserve">Le niveau d’expertise </w:t>
            </w:r>
            <w:r>
              <w:rPr>
                <w:szCs w:val="24"/>
              </w:rPr>
              <w:t>de l’opérateur</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Sensibilisation MAEC :</w:t>
            </w:r>
          </w:p>
          <w:p w:rsidR="0035701C" w:rsidRDefault="00FB561B" w:rsidP="00FB561B">
            <w:pPr>
              <w:numPr>
                <w:ilvl w:val="0"/>
                <w:numId w:val="545"/>
              </w:numPr>
              <w:spacing w:before="240" w:after="0"/>
              <w:ind w:hanging="210"/>
              <w:jc w:val="left"/>
              <w:rPr>
                <w:szCs w:val="24"/>
              </w:rPr>
            </w:pPr>
            <w:r>
              <w:rPr>
                <w:szCs w:val="24"/>
              </w:rPr>
              <w:t>Le nombre d’agriculteurs ciblé</w:t>
            </w:r>
          </w:p>
          <w:p w:rsidR="0035701C" w:rsidRDefault="00FB561B" w:rsidP="00FB561B">
            <w:pPr>
              <w:numPr>
                <w:ilvl w:val="0"/>
                <w:numId w:val="545"/>
              </w:numPr>
              <w:spacing w:before="0" w:after="0"/>
              <w:ind w:hanging="210"/>
              <w:jc w:val="left"/>
              <w:rPr>
                <w:szCs w:val="24"/>
              </w:rPr>
            </w:pPr>
            <w:r>
              <w:rPr>
                <w:szCs w:val="24"/>
              </w:rPr>
              <w:t>Les enjeux environnementaux de la zone où sont conduites les opérations d’animation</w:t>
            </w:r>
          </w:p>
          <w:p w:rsidR="0035701C" w:rsidRDefault="00FB561B" w:rsidP="00FB561B">
            <w:pPr>
              <w:numPr>
                <w:ilvl w:val="0"/>
                <w:numId w:val="545"/>
              </w:numPr>
              <w:spacing w:before="0" w:after="0"/>
              <w:ind w:hanging="210"/>
              <w:jc w:val="left"/>
              <w:rPr>
                <w:szCs w:val="24"/>
              </w:rPr>
            </w:pPr>
            <w:r>
              <w:rPr>
                <w:szCs w:val="24"/>
              </w:rPr>
              <w:t>Projets en cohérence avec les politiques agro-écologiques de la Collectivité Territoriale de Corse</w:t>
            </w:r>
          </w:p>
          <w:p w:rsidR="0035701C" w:rsidRDefault="00FB561B" w:rsidP="00FB561B">
            <w:pPr>
              <w:numPr>
                <w:ilvl w:val="0"/>
                <w:numId w:val="545"/>
              </w:numPr>
              <w:spacing w:before="0" w:after="240"/>
              <w:ind w:hanging="210"/>
              <w:jc w:val="left"/>
              <w:rPr>
                <w:szCs w:val="24"/>
              </w:rPr>
            </w:pPr>
            <w:r>
              <w:rPr>
                <w:szCs w:val="24"/>
              </w:rPr>
              <w:t>Le</w:t>
            </w:r>
            <w:r>
              <w:rPr>
                <w:szCs w:val="24"/>
              </w:rPr>
              <w:t xml:space="preserve"> niveau d’expertise de l’opérateur</w:t>
            </w:r>
          </w:p>
          <w:p w:rsidR="0035701C" w:rsidRDefault="00FB561B">
            <w:pPr>
              <w:spacing w:before="240" w:after="240"/>
              <w:jc w:val="left"/>
              <w:rPr>
                <w:szCs w:val="24"/>
              </w:rPr>
            </w:pPr>
            <w:r>
              <w:rPr>
                <w:szCs w:val="24"/>
              </w:rPr>
              <w:t>Sélection des projets après instruction des dossiers déposés</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 100 %.</w:t>
            </w:r>
          </w:p>
          <w:p w:rsidR="0035701C" w:rsidRDefault="00FB561B">
            <w:pPr>
              <w:spacing w:before="240" w:after="240"/>
              <w:jc w:val="left"/>
              <w:rPr>
                <w:szCs w:val="24"/>
              </w:rPr>
            </w:pPr>
            <w:r>
              <w:rPr>
                <w:szCs w:val="24"/>
              </w:rPr>
              <w:t xml:space="preserve">Le taux d'aide publique appliqué au dossier correspondra au maximum autorisé par le </w:t>
            </w:r>
            <w:r>
              <w:rPr>
                <w:szCs w:val="24"/>
              </w:rPr>
              <w:t>régime d'aide d'Etat appliqué audit dossier, si ce maximum est plus restrictif que le taux prévu par le PDR ; ce maximum ne pourra être supérieur au taux mentionné ci-dessus.</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w:t>
      </w:r>
      <w:r>
        <w:t>(s)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 :</w:t>
            </w:r>
          </w:p>
          <w:p w:rsidR="0035701C" w:rsidRDefault="00FB561B">
            <w:pPr>
              <w:spacing w:before="240" w:after="240"/>
              <w:jc w:val="left"/>
              <w:rPr>
                <w:szCs w:val="24"/>
              </w:rPr>
            </w:pPr>
            <w:r>
              <w:rPr>
                <w:szCs w:val="24"/>
              </w:rPr>
              <w:t>- L'OP a demandé que soient bien décrits les pétitionnaires susceptibles d'être bénéficiaires de cette opération. Les éléments de Droit, les précisions apporté</w:t>
            </w:r>
            <w:r>
              <w:rPr>
                <w:szCs w:val="24"/>
              </w:rPr>
              <w:t>es au présent texte, ainsi que le détail des éléments de sélection et d'admissibilité sont satisfaisants.  La prise en charge des coûts des actions financées décrites est satisfaisante.</w:t>
            </w:r>
          </w:p>
          <w:p w:rsidR="0035701C" w:rsidRDefault="00FB561B">
            <w:pPr>
              <w:spacing w:before="240" w:after="240"/>
              <w:jc w:val="left"/>
              <w:rPr>
                <w:szCs w:val="24"/>
              </w:rPr>
            </w:pPr>
            <w:r>
              <w:rPr>
                <w:szCs w:val="24"/>
              </w:rPr>
              <w:t>- Compte tenu de la proximité de définition des actions 7.12, 7.6.1 et</w:t>
            </w:r>
            <w:r>
              <w:rPr>
                <w:szCs w:val="24"/>
              </w:rPr>
              <w:t xml:space="preserve"> 7.6.4 l'OP recommande à l'ensemble des gestionnaires une vigilance accrue sur les risques de double financement.</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n°1 - R1 : Pour les formes juridiques sociétaires ou associati</w:t>
            </w:r>
            <w:r>
              <w:rPr>
                <w:szCs w:val="24"/>
              </w:rPr>
              <w:t>ves, les collectivités, conformité des statuts et actes, mise à jour effective et conforme au long de la période d’engagement. (source : Législation nationale : décalage entre Droit Social, Droit des Sociétés, Droit Rural)</w:t>
            </w:r>
          </w:p>
          <w:p w:rsidR="0035701C" w:rsidRDefault="00FB561B">
            <w:pPr>
              <w:spacing w:before="240" w:after="240"/>
              <w:jc w:val="left"/>
              <w:rPr>
                <w:szCs w:val="24"/>
              </w:rPr>
            </w:pPr>
            <w:r>
              <w:rPr>
                <w:szCs w:val="24"/>
              </w:rPr>
              <w:t xml:space="preserve">n°2 - R10 : Dépenses du maître </w:t>
            </w:r>
            <w:r>
              <w:rPr>
                <w:szCs w:val="24"/>
              </w:rPr>
              <w:t>d'ouvrage, définition des éléments comptables et preuves probantes pris en charge, sensibilisation de l'administration et des bénéficiaires (charges sociales, liste présence aux réunions,…). (source : 2007-2013 en continu Formation de l'administration, des</w:t>
            </w:r>
            <w:r>
              <w:rPr>
                <w:szCs w:val="24"/>
              </w:rPr>
              <w:t xml:space="preserve"> Partenaires, des Bénéficiaires, Multiplicité des précisions sur « Guidance » (notes de cadrage))</w:t>
            </w:r>
          </w:p>
          <w:p w:rsidR="0035701C" w:rsidRDefault="00FB561B">
            <w:pPr>
              <w:spacing w:before="240" w:after="240"/>
              <w:jc w:val="left"/>
              <w:rPr>
                <w:szCs w:val="24"/>
              </w:rPr>
            </w:pPr>
            <w:r>
              <w:rPr>
                <w:szCs w:val="24"/>
              </w:rPr>
              <w:t>n°3 - R10 : Risque de dépenses déjà financées par ailleurs (7.1.2, 7.6.4 et/ou crédits nationaux autres comme Ministère Ecologie) (source : Ponctuel sur Retou</w:t>
            </w:r>
            <w:r>
              <w:rPr>
                <w:szCs w:val="24"/>
              </w:rPr>
              <w:t>r d'Expérience)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VERIFIER Pour les formes juridiques sociétaires ou associatives, conformité des statuts et actes, mise à jour effective et conforme.</w:t>
            </w:r>
          </w:p>
          <w:p w:rsidR="0035701C" w:rsidRDefault="00FB561B">
            <w:pPr>
              <w:spacing w:before="240" w:after="240"/>
              <w:jc w:val="left"/>
              <w:rPr>
                <w:szCs w:val="24"/>
              </w:rPr>
            </w:pPr>
            <w:r>
              <w:rPr>
                <w:szCs w:val="24"/>
              </w:rPr>
              <w:t>n°2 - R10 : VERIFIER Principalement de bien détailler frais de déplaceme</w:t>
            </w:r>
            <w:r>
              <w:rPr>
                <w:szCs w:val="24"/>
              </w:rPr>
              <w:t>nts (selon barème pré établi), coûts salariaux, modalités d'enregistrement et de suivi des participants, les contributions en nature….</w:t>
            </w:r>
          </w:p>
          <w:p w:rsidR="0035701C" w:rsidRDefault="00FB561B">
            <w:pPr>
              <w:spacing w:before="240" w:after="240"/>
              <w:jc w:val="left"/>
              <w:rPr>
                <w:szCs w:val="24"/>
              </w:rPr>
            </w:pPr>
            <w:r>
              <w:rPr>
                <w:szCs w:val="24"/>
              </w:rPr>
              <w:t>n°3 - R10 : EXECUTER UN CONTRÔLE CROISE des aides aux bénéficiaires de l'opération avec les autres aides dont ils ont bén</w:t>
            </w:r>
            <w:r>
              <w:rPr>
                <w:szCs w:val="24"/>
              </w:rPr>
              <w:t>éficié ou dont ils bénéficient. MAINTENIR ce point de contrôle administratif de la demande d'aide à la fin de la période d'engagement.</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 Au vu des cotations matricielles, sur le poids financier de la mesure (&lt;5%), sur les </w:t>
            </w:r>
            <w:r>
              <w:rPr>
                <w:szCs w:val="24"/>
              </w:rPr>
              <w:t>priorités, les risques, les mesures d’atténuation prévues, cette mesure reçoit une évaluation  favorable peu risquée ; Les mécanismes de mise en œuvre sont connus et maîtrisés par tous les acteurs.</w:t>
            </w:r>
          </w:p>
          <w:p w:rsidR="0035701C" w:rsidRDefault="00FB561B">
            <w:pPr>
              <w:spacing w:before="240" w:after="240"/>
              <w:jc w:val="left"/>
              <w:rPr>
                <w:szCs w:val="24"/>
              </w:rPr>
            </w:pPr>
            <w:r>
              <w:rPr>
                <w:szCs w:val="24"/>
              </w:rPr>
              <w:t>- Concernant l'évaluation globale de la mesure : la mesure</w:t>
            </w:r>
            <w:r>
              <w:rPr>
                <w:szCs w:val="24"/>
              </w:rPr>
              <w:t xml:space="preserve"> est contrôlable sous réserve de la mise en place d'actions d'atténuation et des précisions apportées dans les documents de mise en œuvre notamment sur la nécessité de bien contrôler les éventuels financements additionnels et l'absence de double financemen</w:t>
            </w:r>
            <w:r>
              <w:rPr>
                <w:szCs w:val="24"/>
              </w:rPr>
              <w:t>t ainsi que la justification des dépenses de frais généraux (fixer des barèmes pour les frais de déplacements, les précisions sur les coûts salariaux pris en charge, les justificatifs de présence, et les modes de calcul).</w:t>
            </w:r>
          </w:p>
          <w:p w:rsidR="0035701C" w:rsidRDefault="0035701C">
            <w:pPr>
              <w:pStyle w:val="Corpsdetexte"/>
            </w:pPr>
          </w:p>
        </w:tc>
      </w:tr>
    </w:tbl>
    <w:p w:rsidR="0035701C" w:rsidRDefault="00FB561B">
      <w:pPr>
        <w:pStyle w:val="Titre6"/>
      </w:pPr>
      <w:r>
        <w:t xml:space="preserve">Méthode de calcul du montant ou </w:t>
      </w:r>
      <w:r>
        <w:t>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pPr>
        <w:pStyle w:val="Titre6"/>
      </w:pPr>
      <w:r>
        <w:t>Informations spécifiques sur l'opération</w:t>
      </w:r>
    </w:p>
    <w:p w:rsidR="0035701C" w:rsidRDefault="00FB561B">
      <w:r>
        <w:t>Définition de la notion d’infrastructure «à petite échelle», y compris les infrastructures touristiques à petite échelle visées à l’article 20, paragraphe 1, point e), du règlement (</w:t>
      </w:r>
      <w:r>
        <w:t>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Sont considérées comme infrastructures à petite échelle les investissements ne dépassant pas 2M€ de dépenses éligibles par opération</w:t>
            </w:r>
          </w:p>
          <w:p w:rsidR="0035701C" w:rsidRDefault="0035701C">
            <w:pPr>
              <w:pStyle w:val="Corpsdetexte"/>
            </w:pPr>
          </w:p>
        </w:tc>
      </w:tr>
    </w:tbl>
    <w:p w:rsidR="0035701C" w:rsidRDefault="00FB561B">
      <w:r>
        <w:t>S'il y a lieu, dérogation spécifique pour les investissements dans le haut débit et les énergies renouve</w:t>
      </w:r>
      <w:r>
        <w:t>lables, de sorte que les infrastructures à plus grande échelle puissent également bénéficier d’une aide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Informations sur l’application du délai de grâce visé à l’article 2, paragraphe 3,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Les normes minimales en mat</w:t>
      </w:r>
      <w:r>
        <w:t>ière d’efficacité énergétique visées à l’article 13, point c), du règlement délégué (UE) nº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Fixation des seuils visés à l'article 13, point e), du [DA RD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pPr>
        <w:pStyle w:val="Titre4"/>
        <w:jc w:val="left"/>
      </w:pPr>
      <w:r>
        <w:t>Caractère vérifiable et contrôlable des mesures et/ou types d'opérations</w:t>
      </w:r>
    </w:p>
    <w:p w:rsidR="0035701C" w:rsidRDefault="00FB561B">
      <w:pPr>
        <w:pStyle w:val="Titre5"/>
        <w:rPr>
          <w:b w:val="0"/>
        </w:rPr>
      </w:pPr>
      <w:r>
        <w:rPr>
          <w:b w:val="0"/>
        </w:rPr>
        <w:t>Risque(s) dans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4"/>
        <w:jc w:val="left"/>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4"/>
        <w:jc w:val="left"/>
      </w:pPr>
      <w:r>
        <w:t>Informations spécifiques sur la mesure</w:t>
      </w:r>
    </w:p>
    <w:p w:rsidR="0035701C" w:rsidRDefault="00FB561B">
      <w:r>
        <w:t xml:space="preserve">Définition de la notion </w:t>
      </w:r>
      <w:r>
        <w:t>d’infrastructure «à petite échelle», y compris les infrastructures touristiques à petite échelle visées à l’article 20, paragraphe 1, point e),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Sont considérées comme infrastructures à petite échelle pour le type d'opération </w:t>
            </w:r>
            <w:r>
              <w:rPr>
                <w:szCs w:val="24"/>
              </w:rPr>
              <w:t>7.2 et 7.5 les investissements ne dépassant pas un budget de 2M€ par opération.</w:t>
            </w:r>
          </w:p>
          <w:p w:rsidR="0035701C" w:rsidRDefault="0035701C">
            <w:pPr>
              <w:pStyle w:val="Corpsdetexte"/>
            </w:pPr>
          </w:p>
        </w:tc>
      </w:tr>
    </w:tbl>
    <w:p w:rsidR="0035701C" w:rsidRDefault="00FB561B">
      <w:pPr>
        <w:spacing w:after="100"/>
      </w:pPr>
      <w:r>
        <w:t>S'il y a lieu, dérogation spécifique pour les investissements dans le haut débit et les énergies renouvelables, de sorte que les infrastructures à plus grande échelle puissen</w:t>
      </w:r>
      <w:r>
        <w:t>t également bénéficier d’une aide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spacing w:after="100"/>
            </w:pPr>
          </w:p>
        </w:tc>
      </w:tr>
    </w:tbl>
    <w:p w:rsidR="0035701C" w:rsidRDefault="00FB561B">
      <w:pPr>
        <w:spacing w:after="100"/>
      </w:pPr>
      <w:r>
        <w:t>Informations sur l’application du délai de grâce visé à l’article 2, paragraphe 3, du règlement délégué (UE) n°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Non concerné</w:t>
            </w:r>
          </w:p>
          <w:p w:rsidR="0035701C" w:rsidRDefault="0035701C">
            <w:pPr>
              <w:pStyle w:val="Corpsdetexte"/>
              <w:spacing w:after="100"/>
            </w:pPr>
          </w:p>
        </w:tc>
      </w:tr>
    </w:tbl>
    <w:p w:rsidR="0035701C" w:rsidRDefault="00FB561B">
      <w:pPr>
        <w:spacing w:after="100"/>
      </w:pPr>
      <w:r>
        <w:t xml:space="preserve">Les normes minimales en matière d’efficacité énergétique visées à </w:t>
      </w:r>
      <w:r>
        <w:t>l’article 13, point c), du règlement délégué (UE) nº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investissements bénéficiant d’un soutien dans les infrastructures d’énergies renouvelables, qui consomment ou produisent de l’énergie, doivent respecter les normes minimales en matière d’eff</w:t>
            </w:r>
            <w:r>
              <w:rPr>
                <w:szCs w:val="24"/>
              </w:rPr>
              <w:t>icacité énergétique, conformément à la réglementation nationale.</w:t>
            </w:r>
          </w:p>
          <w:p w:rsidR="0035701C" w:rsidRDefault="0035701C">
            <w:pPr>
              <w:pStyle w:val="Corpsdetexte"/>
              <w:spacing w:after="100"/>
            </w:pPr>
          </w:p>
        </w:tc>
      </w:tr>
    </w:tbl>
    <w:p w:rsidR="0035701C" w:rsidRDefault="00FB561B">
      <w:pPr>
        <w:spacing w:after="100"/>
      </w:pPr>
      <w:r>
        <w:t>Fixation des seuils visés à l'article 13, point e), du [DA RD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spacing w:after="100"/>
            </w:pPr>
          </w:p>
        </w:tc>
      </w:tr>
    </w:tbl>
    <w:p w:rsidR="0035701C" w:rsidRDefault="00FB561B">
      <w:pPr>
        <w:pStyle w:val="Titre4"/>
        <w:spacing w:after="100"/>
        <w:jc w:val="left"/>
      </w:pPr>
      <w:r>
        <w:t>Autres remarques importantes pour comprendre et mettre en œuvre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3"/>
        <w:jc w:val="left"/>
      </w:pPr>
      <w:r>
        <w:br w:type="page"/>
      </w:r>
      <w:bookmarkStart w:id="108" w:name="_Toc256000107"/>
      <w:r>
        <w:t xml:space="preserve">M08 - </w:t>
      </w:r>
      <w:r>
        <w:t>Investissements dans le développement des zones forestières et amélioration de la viabilité des forêts (articles 21 à 26)</w:t>
      </w:r>
      <w:bookmarkEnd w:id="108"/>
      <w:r>
        <w:t xml:space="preserve"> </w:t>
      </w:r>
    </w:p>
    <w:p w:rsidR="0035701C" w:rsidRDefault="00FB561B">
      <w:pPr>
        <w:pStyle w:val="Titre4"/>
        <w:jc w:val="left"/>
      </w:pPr>
      <w:r>
        <w:t>Base juridique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46"/>
              </w:numPr>
              <w:spacing w:before="0" w:after="0"/>
              <w:ind w:hanging="210"/>
              <w:jc w:val="left"/>
              <w:rPr>
                <w:szCs w:val="24"/>
              </w:rPr>
            </w:pPr>
            <w:r>
              <w:rPr>
                <w:szCs w:val="24"/>
              </w:rPr>
              <w:t>Règlement (UE) n°1305/2013 du 17 décembre 2013 (FEADER) Article 21 à 26, 45.</w:t>
            </w:r>
          </w:p>
          <w:p w:rsidR="0035701C" w:rsidRDefault="00FB561B" w:rsidP="00FB561B">
            <w:pPr>
              <w:numPr>
                <w:ilvl w:val="0"/>
                <w:numId w:val="546"/>
              </w:numPr>
              <w:spacing w:before="0" w:after="0"/>
              <w:ind w:hanging="210"/>
              <w:jc w:val="left"/>
              <w:rPr>
                <w:szCs w:val="24"/>
              </w:rPr>
            </w:pPr>
            <w:r>
              <w:rPr>
                <w:szCs w:val="24"/>
              </w:rPr>
              <w:t>Règlement délégué (UE) n° 807/2014, artic</w:t>
            </w:r>
            <w:r>
              <w:rPr>
                <w:szCs w:val="24"/>
              </w:rPr>
              <w:t>le 13.</w:t>
            </w:r>
          </w:p>
          <w:p w:rsidR="0035701C" w:rsidRDefault="00FB561B" w:rsidP="00FB561B">
            <w:pPr>
              <w:numPr>
                <w:ilvl w:val="0"/>
                <w:numId w:val="546"/>
              </w:numPr>
              <w:spacing w:before="0" w:after="0"/>
              <w:ind w:hanging="210"/>
              <w:jc w:val="left"/>
              <w:rPr>
                <w:szCs w:val="24"/>
              </w:rPr>
            </w:pPr>
            <w:r>
              <w:rPr>
                <w:szCs w:val="24"/>
              </w:rPr>
              <w:t>Règlement (UE) n°1407/2013 de la Commission du 18/12/2013 relatif aux aides de minimis</w:t>
            </w:r>
          </w:p>
          <w:p w:rsidR="0035701C" w:rsidRDefault="00FB561B" w:rsidP="00FB561B">
            <w:pPr>
              <w:numPr>
                <w:ilvl w:val="0"/>
                <w:numId w:val="546"/>
              </w:numPr>
              <w:spacing w:before="0" w:after="0"/>
              <w:ind w:hanging="210"/>
              <w:jc w:val="left"/>
              <w:rPr>
                <w:szCs w:val="24"/>
              </w:rPr>
            </w:pPr>
            <w:r>
              <w:rPr>
                <w:szCs w:val="24"/>
              </w:rPr>
              <w:t>Régime cadre exempté à prendre sur la base du  Règlement (UE) 702/2014 d'exemption des aides du secteur agricole, forestier et dans les zones rurales art 32, 33,3</w:t>
            </w:r>
            <w:r>
              <w:rPr>
                <w:szCs w:val="24"/>
              </w:rPr>
              <w:t>4, 35, 41 pour la forêt</w:t>
            </w:r>
          </w:p>
          <w:p w:rsidR="0035701C" w:rsidRDefault="00FB561B" w:rsidP="00FB561B">
            <w:pPr>
              <w:numPr>
                <w:ilvl w:val="0"/>
                <w:numId w:val="546"/>
              </w:numPr>
              <w:spacing w:before="0" w:after="0"/>
              <w:ind w:hanging="210"/>
              <w:jc w:val="left"/>
              <w:rPr>
                <w:szCs w:val="24"/>
              </w:rPr>
            </w:pPr>
            <w:r>
              <w:rPr>
                <w:szCs w:val="24"/>
              </w:rPr>
              <w:t>Régime cadre exempté de notification n°SA40453 relatif aux aides aux PME sur la base du règlement général d’exemption n°651/2014</w:t>
            </w:r>
          </w:p>
          <w:p w:rsidR="0035701C" w:rsidRDefault="00FB561B" w:rsidP="00FB561B">
            <w:pPr>
              <w:numPr>
                <w:ilvl w:val="0"/>
                <w:numId w:val="546"/>
              </w:numPr>
              <w:spacing w:before="0" w:after="0"/>
              <w:ind w:hanging="210"/>
              <w:jc w:val="left"/>
              <w:rPr>
                <w:szCs w:val="24"/>
              </w:rPr>
            </w:pPr>
            <w:r>
              <w:rPr>
                <w:szCs w:val="24"/>
              </w:rPr>
              <w:t>Régime cadre exempté de notification n°SA39252 relatif aux AFR sur la base du règlement  général d’exem</w:t>
            </w:r>
            <w:r>
              <w:rPr>
                <w:szCs w:val="24"/>
              </w:rPr>
              <w:t>ption n°651/2014.</w:t>
            </w:r>
          </w:p>
          <w:p w:rsidR="0035701C" w:rsidRDefault="00FB561B" w:rsidP="00FB561B">
            <w:pPr>
              <w:numPr>
                <w:ilvl w:val="0"/>
                <w:numId w:val="546"/>
              </w:numPr>
              <w:spacing w:before="0" w:after="240"/>
              <w:ind w:hanging="210"/>
              <w:jc w:val="left"/>
              <w:rPr>
                <w:szCs w:val="24"/>
              </w:rPr>
            </w:pPr>
            <w:r>
              <w:rPr>
                <w:szCs w:val="24"/>
              </w:rPr>
              <w:t>Régime-cadre exempté SA.41595 – Partie B – Aides au développement de la sylviculture et à l’adaptation des forêts au changement climatique</w:t>
            </w:r>
          </w:p>
          <w:p w:rsidR="0035701C" w:rsidRDefault="0035701C">
            <w:pPr>
              <w:pStyle w:val="Corpsdetexte"/>
            </w:pPr>
          </w:p>
        </w:tc>
      </w:tr>
    </w:tbl>
    <w:p w:rsidR="0035701C" w:rsidRDefault="00FB561B">
      <w:pPr>
        <w:pStyle w:val="Titre4"/>
        <w:jc w:val="left"/>
      </w:pPr>
      <w:r>
        <w:t xml:space="preserve">Description générale de la mesure, y compris sa logique d'intervention et sa contribution aux </w:t>
      </w:r>
      <w:r>
        <w:t>domaines prioritaires et à la réalisation des 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 forêt, définie par l’Institut Géographique National, "est un territoire occupant une superficie d’au moins 50 ares avec des arbres capables d’atteindre une hauteur supérieure à cinq mè</w:t>
            </w:r>
            <w:r>
              <w:rPr>
                <w:szCs w:val="24"/>
              </w:rPr>
              <w:t xml:space="preserve">tres à maturité </w:t>
            </w:r>
            <w:r>
              <w:rPr>
                <w:i/>
                <w:iCs/>
                <w:szCs w:val="24"/>
              </w:rPr>
              <w:t>in situ,</w:t>
            </w:r>
            <w:r>
              <w:rPr>
                <w:szCs w:val="24"/>
              </w:rPr>
              <w:t xml:space="preserve"> un couvert arboré de plus de 10 % et une largeur moyenne d’au moins 20 mètres. Les sites momentanément déboisés ou en régénération sont classés comme forêt même si leur couvert est inférieur à 10 % au moment de l’inventaire. Elle n</w:t>
            </w:r>
            <w:r>
              <w:rPr>
                <w:szCs w:val="24"/>
              </w:rPr>
              <w:t>’inclut pas les terrains dont l’utilisation du sol prédominante est agricole ou urbaine.</w:t>
            </w:r>
          </w:p>
          <w:p w:rsidR="0035701C" w:rsidRDefault="00FB561B">
            <w:pPr>
              <w:spacing w:before="240" w:after="240"/>
              <w:jc w:val="left"/>
              <w:rPr>
                <w:szCs w:val="24"/>
              </w:rPr>
            </w:pPr>
            <w:r>
              <w:rPr>
                <w:szCs w:val="24"/>
              </w:rPr>
              <w:t>La Corse est la région la plus boisée de France. Les 400.000 ha de peuplements considérés comme productifs se répartissent entre les propriétaires privés et les forêts</w:t>
            </w:r>
            <w:r>
              <w:rPr>
                <w:szCs w:val="24"/>
              </w:rPr>
              <w:t xml:space="preserve"> publiques communales (12%) ou territoriales (8%).</w:t>
            </w:r>
          </w:p>
          <w:p w:rsidR="0035701C" w:rsidRDefault="00FB561B">
            <w:pPr>
              <w:spacing w:before="240" w:after="240"/>
              <w:jc w:val="left"/>
              <w:rPr>
                <w:szCs w:val="24"/>
              </w:rPr>
            </w:pPr>
            <w:r>
              <w:rPr>
                <w:szCs w:val="24"/>
              </w:rPr>
              <w:t>Les essences qui composent l’essentiel du peuplement (chêne vert, pin maritime, pin laricio, hêtre, chêne-liège, châtaignier et arbousier) révèlent son caractère méditerranéen et montagnard et lui confèren</w:t>
            </w:r>
            <w:r>
              <w:rPr>
                <w:szCs w:val="24"/>
              </w:rPr>
              <w:t>t une fonction à la fois patrimoniale, un potentiel de production de bois et de sous produits (liège, glands), en interaction avec l’élevage (sylvo-pastoralisme) et l’accueil d’activités touristiques et récréatives.</w:t>
            </w:r>
          </w:p>
          <w:p w:rsidR="0035701C" w:rsidRDefault="00FB561B">
            <w:pPr>
              <w:spacing w:before="240" w:after="240"/>
              <w:jc w:val="left"/>
              <w:rPr>
                <w:szCs w:val="24"/>
              </w:rPr>
            </w:pPr>
            <w:r>
              <w:rPr>
                <w:szCs w:val="24"/>
              </w:rPr>
              <w:t>Malgré ces atouts, l’analyse AFOM du ter</w:t>
            </w:r>
            <w:r>
              <w:rPr>
                <w:szCs w:val="24"/>
              </w:rPr>
              <w:t>ritoire a permis de souligner le degré de difficultés que connait la forêt sur le plan économique et au niveau des menaces qui pèsent sur son environnement du fait de la déprise rurale. On note en effet :</w:t>
            </w:r>
          </w:p>
          <w:p w:rsidR="0035701C" w:rsidRDefault="00FB561B" w:rsidP="00FB561B">
            <w:pPr>
              <w:numPr>
                <w:ilvl w:val="0"/>
                <w:numId w:val="547"/>
              </w:numPr>
              <w:spacing w:before="240" w:after="0"/>
              <w:ind w:hanging="210"/>
              <w:jc w:val="left"/>
              <w:rPr>
                <w:szCs w:val="24"/>
              </w:rPr>
            </w:pPr>
            <w:r>
              <w:rPr>
                <w:szCs w:val="24"/>
              </w:rPr>
              <w:t>Sur le plan économique : une production de bois d’œ</w:t>
            </w:r>
            <w:r>
              <w:rPr>
                <w:szCs w:val="24"/>
              </w:rPr>
              <w:t>uvre en diminution, avec des problèmes de compétitivité importants au niveau de chaque maillon de l’amont à l’aval, du fait de l’insularité, des difficultés de circulation internes liées au relief, d’un marché restreint et se traduisant par une importation</w:t>
            </w:r>
            <w:r>
              <w:rPr>
                <w:szCs w:val="24"/>
              </w:rPr>
              <w:t xml:space="preserve"> soutenue de bois.</w:t>
            </w:r>
          </w:p>
          <w:p w:rsidR="0035701C" w:rsidRDefault="00FB561B" w:rsidP="00FB561B">
            <w:pPr>
              <w:numPr>
                <w:ilvl w:val="0"/>
                <w:numId w:val="547"/>
              </w:numPr>
              <w:spacing w:before="0" w:after="240"/>
              <w:ind w:hanging="210"/>
              <w:jc w:val="left"/>
              <w:rPr>
                <w:szCs w:val="24"/>
              </w:rPr>
            </w:pPr>
            <w:r>
              <w:rPr>
                <w:szCs w:val="24"/>
              </w:rPr>
              <w:t xml:space="preserve">Sur le plan de la gestion de la ressource : une progression continue des zones boisées, souvent résultant de l’abandon de zones agricoles, une faiblesse voir une absence de pratique de sylviculture réduisant à long terme le potentiel de </w:t>
            </w:r>
            <w:r>
              <w:rPr>
                <w:szCs w:val="24"/>
              </w:rPr>
              <w:t>production de ces massifs, des risques de vieillissement et de détérioration des peuplements, un risque incendie généralisé du fait de l’embroussaillement.</w:t>
            </w:r>
          </w:p>
          <w:p w:rsidR="0035701C" w:rsidRDefault="00FB561B">
            <w:pPr>
              <w:spacing w:before="240" w:after="240"/>
              <w:jc w:val="left"/>
              <w:rPr>
                <w:szCs w:val="24"/>
              </w:rPr>
            </w:pPr>
            <w:r>
              <w:rPr>
                <w:szCs w:val="24"/>
              </w:rPr>
              <w:t>La programmation 2007-2013 confirme également la faiblesse des investissements tous secteurs confond</w:t>
            </w:r>
            <w:r>
              <w:rPr>
                <w:szCs w:val="24"/>
              </w:rPr>
              <w:t>us (sylviculture, exploitation forestières, entreprises de 1ère transformation).</w:t>
            </w:r>
          </w:p>
          <w:p w:rsidR="0035701C" w:rsidRDefault="00FB561B">
            <w:pPr>
              <w:spacing w:before="240" w:after="240"/>
              <w:jc w:val="left"/>
              <w:rPr>
                <w:szCs w:val="24"/>
              </w:rPr>
            </w:pPr>
            <w:r>
              <w:rPr>
                <w:szCs w:val="24"/>
              </w:rPr>
              <w:t>Les orientations en faveur de la forêt concernent globalement :</w:t>
            </w:r>
          </w:p>
          <w:p w:rsidR="0035701C" w:rsidRDefault="00FB561B" w:rsidP="00FB561B">
            <w:pPr>
              <w:numPr>
                <w:ilvl w:val="0"/>
                <w:numId w:val="548"/>
              </w:numPr>
              <w:spacing w:before="240" w:after="0"/>
              <w:ind w:hanging="210"/>
              <w:jc w:val="left"/>
              <w:rPr>
                <w:szCs w:val="24"/>
              </w:rPr>
            </w:pPr>
            <w:r>
              <w:rPr>
                <w:szCs w:val="24"/>
              </w:rPr>
              <w:t>l’affirmation d’une stratégie de gestion durable de la ressource, en intégrant notamment la nécessité de protég</w:t>
            </w:r>
            <w:r>
              <w:rPr>
                <w:szCs w:val="24"/>
              </w:rPr>
              <w:t>er les peuplements forestiers du risque incendie,</w:t>
            </w:r>
          </w:p>
          <w:p w:rsidR="0035701C" w:rsidRDefault="00FB561B" w:rsidP="00FB561B">
            <w:pPr>
              <w:numPr>
                <w:ilvl w:val="0"/>
                <w:numId w:val="548"/>
              </w:numPr>
              <w:spacing w:before="0" w:after="0"/>
              <w:ind w:hanging="210"/>
              <w:jc w:val="left"/>
              <w:rPr>
                <w:szCs w:val="24"/>
              </w:rPr>
            </w:pPr>
            <w:r>
              <w:rPr>
                <w:szCs w:val="24"/>
              </w:rPr>
              <w:t>Elargir la base des propriétaires engageant des pratiques de sylviculture afin de lutter contre le dépérissement des forêts, et maintenir la diversité des ressources et la biodiversité. En effet dans ce dom</w:t>
            </w:r>
            <w:r>
              <w:rPr>
                <w:szCs w:val="24"/>
              </w:rPr>
              <w:t>aine les possibilités restent limitées compte tenu des difficultés à constituer un gestionnaire des terres ou par l’absence de rentabilité</w:t>
            </w:r>
          </w:p>
          <w:p w:rsidR="0035701C" w:rsidRDefault="00FB561B" w:rsidP="00FB561B">
            <w:pPr>
              <w:numPr>
                <w:ilvl w:val="0"/>
                <w:numId w:val="548"/>
              </w:numPr>
              <w:spacing w:before="0" w:after="0"/>
              <w:ind w:hanging="210"/>
              <w:jc w:val="left"/>
              <w:rPr>
                <w:szCs w:val="24"/>
              </w:rPr>
            </w:pPr>
            <w:r>
              <w:rPr>
                <w:szCs w:val="24"/>
              </w:rPr>
              <w:t xml:space="preserve">la nécessité d’une approche territoriale, multifonctionnelle et intégrée de l’exploitation et de la valorisation des </w:t>
            </w:r>
            <w:r>
              <w:rPr>
                <w:szCs w:val="24"/>
              </w:rPr>
              <w:t>ressources,</w:t>
            </w:r>
          </w:p>
          <w:p w:rsidR="0035701C" w:rsidRDefault="00FB561B" w:rsidP="00FB561B">
            <w:pPr>
              <w:numPr>
                <w:ilvl w:val="0"/>
                <w:numId w:val="548"/>
              </w:numPr>
              <w:spacing w:before="0" w:after="240"/>
              <w:ind w:hanging="210"/>
              <w:jc w:val="left"/>
              <w:rPr>
                <w:szCs w:val="24"/>
              </w:rPr>
            </w:pPr>
            <w:r>
              <w:rPr>
                <w:szCs w:val="24"/>
              </w:rPr>
              <w:t>la nécessité de développer le potentiel de valeur ajoutée du bois et des ressources issues des forêts régionales.</w:t>
            </w:r>
          </w:p>
          <w:p w:rsidR="0035701C" w:rsidRDefault="00FB561B">
            <w:pPr>
              <w:spacing w:before="240" w:after="240"/>
              <w:jc w:val="left"/>
              <w:rPr>
                <w:szCs w:val="24"/>
              </w:rPr>
            </w:pPr>
            <w:r>
              <w:rPr>
                <w:szCs w:val="24"/>
              </w:rPr>
              <w:t xml:space="preserve">Cette approche est cohérente avec la Stratégie Forestière de l’Union Européenne (COM(2013) 659 du 20.9.2013) qui met en avant 3 </w:t>
            </w:r>
            <w:r>
              <w:rPr>
                <w:szCs w:val="24"/>
              </w:rPr>
              <w:t>objectifs pour 2020 :</w:t>
            </w:r>
          </w:p>
          <w:p w:rsidR="0035701C" w:rsidRDefault="00FB561B" w:rsidP="00FB561B">
            <w:pPr>
              <w:numPr>
                <w:ilvl w:val="0"/>
                <w:numId w:val="549"/>
              </w:numPr>
              <w:spacing w:before="240" w:after="0"/>
              <w:ind w:hanging="210"/>
              <w:jc w:val="left"/>
              <w:rPr>
                <w:szCs w:val="24"/>
              </w:rPr>
            </w:pPr>
            <w:r>
              <w:rPr>
                <w:szCs w:val="24"/>
              </w:rPr>
              <w:t>Faire en sorte que toutes les forêts de l’UE soient gérées selon les principes de la gestion durable</w:t>
            </w:r>
          </w:p>
          <w:p w:rsidR="0035701C" w:rsidRDefault="00FB561B" w:rsidP="00FB561B">
            <w:pPr>
              <w:numPr>
                <w:ilvl w:val="0"/>
                <w:numId w:val="549"/>
              </w:numPr>
              <w:spacing w:before="0" w:after="0"/>
              <w:ind w:hanging="210"/>
              <w:jc w:val="left"/>
              <w:rPr>
                <w:szCs w:val="24"/>
              </w:rPr>
            </w:pPr>
            <w:r>
              <w:rPr>
                <w:szCs w:val="24"/>
              </w:rPr>
              <w:t>Trouver un équilibre entre les différentes fonctions que remplissent les forêts pour répondre aux demandes et fournir des services éc</w:t>
            </w:r>
            <w:r>
              <w:rPr>
                <w:szCs w:val="24"/>
              </w:rPr>
              <w:t>osystémiques essentiels.</w:t>
            </w:r>
          </w:p>
          <w:p w:rsidR="0035701C" w:rsidRDefault="00FB561B" w:rsidP="00FB561B">
            <w:pPr>
              <w:numPr>
                <w:ilvl w:val="0"/>
                <w:numId w:val="549"/>
              </w:numPr>
              <w:spacing w:before="0" w:after="240"/>
              <w:ind w:hanging="210"/>
              <w:jc w:val="left"/>
              <w:rPr>
                <w:szCs w:val="24"/>
              </w:rPr>
            </w:pPr>
            <w:r>
              <w:rPr>
                <w:szCs w:val="24"/>
              </w:rPr>
              <w:t>Fournir une base pour que la sylviculture et l’ensemble de la chaîne de valeur forestière contribuent de manière compétitive et viable à la bioéconomie.</w:t>
            </w:r>
          </w:p>
          <w:p w:rsidR="0035701C" w:rsidRDefault="00FB561B">
            <w:pPr>
              <w:spacing w:before="240" w:after="240"/>
              <w:jc w:val="left"/>
              <w:rPr>
                <w:szCs w:val="24"/>
              </w:rPr>
            </w:pPr>
            <w:r>
              <w:rPr>
                <w:szCs w:val="24"/>
              </w:rPr>
              <w:t>La logique d’intervention de la mesure 8 du programme est ciblée sur :</w:t>
            </w:r>
          </w:p>
          <w:p w:rsidR="0035701C" w:rsidRDefault="00FB561B" w:rsidP="00FB561B">
            <w:pPr>
              <w:numPr>
                <w:ilvl w:val="0"/>
                <w:numId w:val="550"/>
              </w:numPr>
              <w:spacing w:before="240" w:after="0"/>
              <w:ind w:hanging="210"/>
              <w:jc w:val="left"/>
              <w:rPr>
                <w:szCs w:val="24"/>
              </w:rPr>
            </w:pPr>
            <w:r>
              <w:rPr>
                <w:szCs w:val="24"/>
              </w:rPr>
              <w:t>la prév</w:t>
            </w:r>
            <w:r>
              <w:rPr>
                <w:szCs w:val="24"/>
              </w:rPr>
              <w:t>ention des risques incendies,</w:t>
            </w:r>
          </w:p>
          <w:p w:rsidR="0035701C" w:rsidRDefault="00FB561B" w:rsidP="00FB561B">
            <w:pPr>
              <w:numPr>
                <w:ilvl w:val="0"/>
                <w:numId w:val="550"/>
              </w:numPr>
              <w:spacing w:before="0" w:after="0"/>
              <w:ind w:hanging="210"/>
              <w:jc w:val="left"/>
              <w:rPr>
                <w:szCs w:val="24"/>
              </w:rPr>
            </w:pPr>
            <w:r>
              <w:rPr>
                <w:szCs w:val="24"/>
              </w:rPr>
              <w:t>la gestion durable des peuplements,</w:t>
            </w:r>
          </w:p>
          <w:p w:rsidR="0035701C" w:rsidRDefault="00FB561B" w:rsidP="00FB561B">
            <w:pPr>
              <w:numPr>
                <w:ilvl w:val="0"/>
                <w:numId w:val="550"/>
              </w:numPr>
              <w:spacing w:before="0" w:after="240"/>
              <w:ind w:hanging="210"/>
              <w:jc w:val="left"/>
              <w:rPr>
                <w:szCs w:val="24"/>
              </w:rPr>
            </w:pPr>
            <w:r>
              <w:rPr>
                <w:szCs w:val="24"/>
              </w:rPr>
              <w:t>et le soutien aux entreprises de la filière (exploitants forestiers, entreprises de travaux forestiers, opérateurs de première transformation).</w:t>
            </w:r>
          </w:p>
          <w:p w:rsidR="0035701C" w:rsidRDefault="00FB561B">
            <w:pPr>
              <w:spacing w:before="240" w:after="240"/>
              <w:jc w:val="left"/>
              <w:rPr>
                <w:szCs w:val="24"/>
              </w:rPr>
            </w:pPr>
            <w:r>
              <w:rPr>
                <w:szCs w:val="24"/>
              </w:rPr>
              <w:t>Les sous-mesures suivantes sont mobilisées :</w:t>
            </w:r>
          </w:p>
          <w:p w:rsidR="0035701C" w:rsidRDefault="00FB561B" w:rsidP="00FB561B">
            <w:pPr>
              <w:numPr>
                <w:ilvl w:val="0"/>
                <w:numId w:val="551"/>
              </w:numPr>
              <w:spacing w:before="240" w:after="240"/>
              <w:ind w:hanging="210"/>
              <w:jc w:val="left"/>
              <w:rPr>
                <w:szCs w:val="24"/>
              </w:rPr>
            </w:pPr>
            <w:r>
              <w:rPr>
                <w:szCs w:val="24"/>
              </w:rPr>
              <w:t>Sous-mesure 8.3 : prévention des dommages causés aux forêts par des incendies.</w:t>
            </w:r>
          </w:p>
          <w:p w:rsidR="0035701C" w:rsidRDefault="00FB561B">
            <w:pPr>
              <w:spacing w:before="240" w:after="240"/>
              <w:ind w:left="720"/>
              <w:jc w:val="left"/>
              <w:rPr>
                <w:szCs w:val="24"/>
              </w:rPr>
            </w:pPr>
            <w:r>
              <w:rPr>
                <w:szCs w:val="24"/>
              </w:rPr>
              <w:t>Ce type d’opération est ciblé sur la priorité 4a) dans la mesure où elle contribue à restaurer, préserver et renforcer la biodiversité. Les forêts représentent ainsi un enjeu d'</w:t>
            </w:r>
            <w:r>
              <w:rPr>
                <w:szCs w:val="24"/>
              </w:rPr>
              <w:t>importance tant sur le plan économique (production, activités de plein air, tourisme) qu'environnemental (biodiversité, paysage, séquestration du carbone, etc.). L'évolution climatique accentue les risques d'incendie en zone méditerranéenne et soumet ces e</w:t>
            </w:r>
            <w:r>
              <w:rPr>
                <w:szCs w:val="24"/>
              </w:rPr>
              <w:t>spaces à un aléa de plus en plus fort. Par ailleurs cette prévention des dommages causés aux forêts a des effets positifs sur le maintien de la qualité de l’eau et de la biodiversité,</w:t>
            </w:r>
          </w:p>
          <w:p w:rsidR="0035701C" w:rsidRDefault="00FB561B" w:rsidP="00FB561B">
            <w:pPr>
              <w:numPr>
                <w:ilvl w:val="0"/>
                <w:numId w:val="552"/>
              </w:numPr>
              <w:spacing w:before="240" w:after="240"/>
              <w:ind w:hanging="210"/>
              <w:jc w:val="left"/>
              <w:rPr>
                <w:szCs w:val="24"/>
              </w:rPr>
            </w:pPr>
            <w:r>
              <w:rPr>
                <w:szCs w:val="24"/>
              </w:rPr>
              <w:t xml:space="preserve">Sous-mesure 8-5 : Investissements pour le stockage du carbone, les </w:t>
            </w:r>
            <w:r>
              <w:rPr>
                <w:szCs w:val="24"/>
              </w:rPr>
              <w:t xml:space="preserve">services écosystémiques ou la résilience des forêts. Ce type d’opération participe au domaine prioritaire 5e) relatif à la conservation et la séquestration du carbone. En effet il s'agit d'encourager au travers d'une gestion durable des forêts une gestion </w:t>
            </w:r>
            <w:r>
              <w:rPr>
                <w:szCs w:val="24"/>
              </w:rPr>
              <w:t>des peuplements favorisant leur résilience par rapport au changement climatique et permettant de renforcer leur potentiel de stockage du Carbone. En effet le potentiel d'absorption de carbone des forêts est limité car elles sont constituées en grande parti</w:t>
            </w:r>
            <w:r>
              <w:rPr>
                <w:szCs w:val="24"/>
              </w:rPr>
              <w:t>e de peuplements mûrs où la quantité de carbone absorbé est à peu près égale à celle du carbone dégagé. Dans le contexte corse marqué par des difficultés de gestion forestière, les opérations visant à procurer à long termes une ressource ligneuse susceptib</w:t>
            </w:r>
            <w:r>
              <w:rPr>
                <w:szCs w:val="24"/>
              </w:rPr>
              <w:t>le d'être exploitée en bois d'oeuvre stockant le Carbone et favorisant un rajeunissement des peuplements et en conséquence la restauration de leur capacité d'absorption constituent une réponse pertinente à cet enjeu, tout en renforçant les services écosyst</w:t>
            </w:r>
            <w:r>
              <w:rPr>
                <w:szCs w:val="24"/>
              </w:rPr>
              <w:t>émiques des massifs forestiers (protection des sols, de l’eau et de l’air, biodiversité, paysages). Il s'agit également par une gestion durable de soustraire ces forêts au risque incendie généralisé, ce qui contribue également à plus court termes à préserv</w:t>
            </w:r>
            <w:r>
              <w:rPr>
                <w:szCs w:val="24"/>
              </w:rPr>
              <w:t>er le stock de Carbone.</w:t>
            </w:r>
          </w:p>
          <w:p w:rsidR="0035701C" w:rsidRDefault="00FB561B">
            <w:pPr>
              <w:spacing w:before="240" w:after="240"/>
              <w:ind w:left="600"/>
              <w:jc w:val="left"/>
              <w:rPr>
                <w:szCs w:val="24"/>
              </w:rPr>
            </w:pPr>
            <w:r>
              <w:rPr>
                <w:szCs w:val="24"/>
              </w:rPr>
              <w:t>Pour la programmation 2007-2013 la mesure liée aux travaux sylvicoles (mesure 122) a concerné seulement 16 opérations qui ont été programmées pour 150 ha traités et 100k€ de financement communautaire (5 éclaircies déficitaires, 1 am</w:t>
            </w:r>
            <w:r>
              <w:rPr>
                <w:szCs w:val="24"/>
              </w:rPr>
              <w:t>élioration pin Laricio, 5 améliorations de suberaie, 2 amélioration de chênes verts, 1 plantation, 1 travaux jardinatoires, 1 dépressage élagage à 6m de châtaigniers)</w:t>
            </w:r>
          </w:p>
          <w:p w:rsidR="0035701C" w:rsidRDefault="00FB561B">
            <w:pPr>
              <w:spacing w:before="240" w:after="240"/>
              <w:ind w:left="600"/>
              <w:jc w:val="left"/>
              <w:rPr>
                <w:szCs w:val="24"/>
              </w:rPr>
            </w:pPr>
            <w:r>
              <w:rPr>
                <w:szCs w:val="24"/>
              </w:rPr>
              <w:t>Ce bilan très faible au regard des 400.000ha de peuplements forestiers, démontre la faibl</w:t>
            </w:r>
            <w:r>
              <w:rPr>
                <w:szCs w:val="24"/>
              </w:rPr>
              <w:t>e mobilisation de ce type d’opération et en souligne le caractère environnemental et d’urgence dans le contexte actuel de déficit de gestion de la forêt.</w:t>
            </w:r>
          </w:p>
          <w:p w:rsidR="0035701C" w:rsidRDefault="00FB561B">
            <w:pPr>
              <w:spacing w:before="240" w:after="240"/>
              <w:ind w:left="600"/>
              <w:jc w:val="left"/>
              <w:rPr>
                <w:szCs w:val="24"/>
              </w:rPr>
            </w:pPr>
            <w:r>
              <w:rPr>
                <w:szCs w:val="24"/>
              </w:rPr>
              <w:t>L’ensemble des itinéraires techniques de sylviculture proposés ont donc une fonction essentiellement e</w:t>
            </w:r>
            <w:r>
              <w:rPr>
                <w:szCs w:val="24"/>
              </w:rPr>
              <w:t>nvironnementale, permettant par des traitements limités en surface au sein de massifs forestiers, d’améliorer leur résilience et d’améliorer la biodiversité au niveau des peuplements. L’objectif est de soutenir des actions permettant :</w:t>
            </w:r>
          </w:p>
          <w:p w:rsidR="0035701C" w:rsidRDefault="00FB561B" w:rsidP="00FB561B">
            <w:pPr>
              <w:numPr>
                <w:ilvl w:val="0"/>
                <w:numId w:val="553"/>
              </w:numPr>
              <w:spacing w:before="240" w:after="0"/>
              <w:ind w:left="1320" w:hanging="244"/>
              <w:jc w:val="left"/>
              <w:rPr>
                <w:szCs w:val="24"/>
              </w:rPr>
            </w:pPr>
            <w:r>
              <w:rPr>
                <w:szCs w:val="24"/>
              </w:rPr>
              <w:t>de favoriser les iti</w:t>
            </w:r>
            <w:r>
              <w:rPr>
                <w:szCs w:val="24"/>
              </w:rPr>
              <w:t>néraires sylvicoles bénéfiques à la captation du carbone aérien en vue de participer à l’atténuation du changement climatique</w:t>
            </w:r>
          </w:p>
          <w:p w:rsidR="0035701C" w:rsidRDefault="00FB561B" w:rsidP="00FB561B">
            <w:pPr>
              <w:numPr>
                <w:ilvl w:val="0"/>
                <w:numId w:val="553"/>
              </w:numPr>
              <w:spacing w:before="0" w:after="0"/>
              <w:ind w:left="1320" w:hanging="244"/>
              <w:jc w:val="left"/>
              <w:rPr>
                <w:szCs w:val="24"/>
              </w:rPr>
            </w:pPr>
            <w:r>
              <w:rPr>
                <w:szCs w:val="24"/>
              </w:rPr>
              <w:t>d’améliorer les services écosystémiques forestiers</w:t>
            </w:r>
          </w:p>
          <w:p w:rsidR="0035701C" w:rsidRDefault="00FB561B" w:rsidP="00FB561B">
            <w:pPr>
              <w:numPr>
                <w:ilvl w:val="0"/>
                <w:numId w:val="553"/>
              </w:numPr>
              <w:spacing w:before="0" w:after="240"/>
              <w:ind w:left="1320" w:hanging="244"/>
              <w:jc w:val="left"/>
              <w:rPr>
                <w:szCs w:val="24"/>
              </w:rPr>
            </w:pPr>
            <w:r>
              <w:rPr>
                <w:szCs w:val="24"/>
              </w:rPr>
              <w:t>d’améliorer la résilience des forêts face au changement climatique en référence</w:t>
            </w:r>
          </w:p>
          <w:p w:rsidR="0035701C" w:rsidRDefault="00FB561B">
            <w:pPr>
              <w:spacing w:before="240" w:after="240"/>
              <w:ind w:left="1440"/>
              <w:jc w:val="left"/>
              <w:rPr>
                <w:szCs w:val="24"/>
              </w:rPr>
            </w:pPr>
            <w:r>
              <w:rPr>
                <w:szCs w:val="24"/>
              </w:rPr>
              <w:t> </w:t>
            </w:r>
          </w:p>
          <w:p w:rsidR="0035701C" w:rsidRDefault="00FB561B" w:rsidP="00FB561B">
            <w:pPr>
              <w:numPr>
                <w:ilvl w:val="0"/>
                <w:numId w:val="554"/>
              </w:numPr>
              <w:spacing w:before="240" w:after="240"/>
              <w:ind w:hanging="210"/>
              <w:jc w:val="left"/>
              <w:rPr>
                <w:szCs w:val="24"/>
              </w:rPr>
            </w:pPr>
            <w:r>
              <w:rPr>
                <w:szCs w:val="24"/>
              </w:rPr>
              <w:t>Sous-mesure 8-6 : Soutien aux équipements des entreprises d’exploitation forestière et de première transformation. Ce type d’opération relève principalement du domaine prioritaire 5e) dans la mesure où ces investissements constituent un atout pour encou</w:t>
            </w:r>
            <w:r>
              <w:rPr>
                <w:szCs w:val="24"/>
              </w:rPr>
              <w:t>rager le stockage de carbone dans les produits du bois. Sur le plan du stockage du CO2 les utilisations les plus souhaitables des forêts et produits forestiers sont en effet celles qui allongent les durées de rotation et la production de biens durables. Le</w:t>
            </w:r>
            <w:r>
              <w:rPr>
                <w:szCs w:val="24"/>
              </w:rPr>
              <w:t xml:space="preserve"> carbone peut ainsi être stocké dans le tissu ligneux aussi longtemps que possible. La transformation des arbres en biens durables, par exemple des planches, meubles ou de la charpente, prolongera le piégeage du carbone. Ces filières de transformation des </w:t>
            </w:r>
            <w:r>
              <w:rPr>
                <w:szCs w:val="24"/>
              </w:rPr>
              <w:t>bois qui sont en difficulté dans la zone de programmation (réduction par 10 du nombre d'opérateurs de sciage en une trentaine d'année) pourraient ainsi profiter d'un soutien au titre du FEADER dans le cadre d'une gestion durable de la ressource. Le recycla</w:t>
            </w:r>
            <w:r>
              <w:rPr>
                <w:szCs w:val="24"/>
              </w:rPr>
              <w:t>ge et la valorisation des déchets réduiront également le besoin d'exploiter les arbres.</w:t>
            </w:r>
          </w:p>
          <w:p w:rsidR="0035701C" w:rsidRDefault="00FB561B">
            <w:pPr>
              <w:spacing w:before="240" w:after="240"/>
              <w:ind w:left="600"/>
              <w:jc w:val="left"/>
              <w:rPr>
                <w:szCs w:val="24"/>
              </w:rPr>
            </w:pPr>
            <w:r>
              <w:rPr>
                <w:szCs w:val="24"/>
              </w:rPr>
              <w:t>Ce TO contribue secondairement au domaine prioritaire 5c) dans la mesure où une partie de l'exploitation forestière peut contribuer aux filières du bois énergie.</w:t>
            </w:r>
          </w:p>
          <w:p w:rsidR="0035701C" w:rsidRDefault="00FB561B">
            <w:pPr>
              <w:spacing w:before="240" w:after="240"/>
              <w:ind w:left="600"/>
              <w:jc w:val="left"/>
              <w:rPr>
                <w:szCs w:val="24"/>
              </w:rPr>
            </w:pPr>
            <w:r>
              <w:rPr>
                <w:szCs w:val="24"/>
              </w:rPr>
              <w:t>La fil</w:t>
            </w:r>
            <w:r>
              <w:rPr>
                <w:szCs w:val="24"/>
              </w:rPr>
              <w:t>ière forêt-bois recouvre un ensemble d’activités économiques diverses correspondant, de l’amont à l’aval, à :</w:t>
            </w:r>
          </w:p>
          <w:p w:rsidR="0035701C" w:rsidRDefault="00FB561B" w:rsidP="00FB561B">
            <w:pPr>
              <w:numPr>
                <w:ilvl w:val="0"/>
                <w:numId w:val="555"/>
              </w:numPr>
              <w:spacing w:before="240" w:after="0"/>
              <w:ind w:left="1320" w:hanging="210"/>
              <w:jc w:val="left"/>
              <w:rPr>
                <w:szCs w:val="24"/>
              </w:rPr>
            </w:pPr>
            <w:r>
              <w:rPr>
                <w:szCs w:val="24"/>
              </w:rPr>
              <w:t>l’exploitation forestière : récolte et mobilisation des bois,</w:t>
            </w:r>
          </w:p>
          <w:p w:rsidR="0035701C" w:rsidRDefault="00FB561B" w:rsidP="00FB561B">
            <w:pPr>
              <w:numPr>
                <w:ilvl w:val="0"/>
                <w:numId w:val="555"/>
              </w:numPr>
              <w:spacing w:before="0" w:after="0"/>
              <w:ind w:left="1320" w:hanging="210"/>
              <w:jc w:val="left"/>
              <w:rPr>
                <w:szCs w:val="24"/>
              </w:rPr>
            </w:pPr>
            <w:r>
              <w:rPr>
                <w:szCs w:val="24"/>
              </w:rPr>
              <w:t xml:space="preserve">la transformation du bois par les scieries et les entreprises de première </w:t>
            </w:r>
            <w:r>
              <w:rPr>
                <w:szCs w:val="24"/>
              </w:rPr>
              <w:t>transformation,</w:t>
            </w:r>
          </w:p>
          <w:p w:rsidR="0035701C" w:rsidRDefault="00FB561B" w:rsidP="00FB561B">
            <w:pPr>
              <w:numPr>
                <w:ilvl w:val="0"/>
                <w:numId w:val="555"/>
              </w:numPr>
              <w:spacing w:before="0" w:after="240"/>
              <w:ind w:left="1320" w:hanging="210"/>
              <w:jc w:val="left"/>
              <w:rPr>
                <w:szCs w:val="24"/>
              </w:rPr>
            </w:pPr>
            <w:r>
              <w:rPr>
                <w:szCs w:val="24"/>
              </w:rPr>
              <w:t>la commercialisation du matériau bois et des sous-produits : bois d’œuvre pour la construction, bois-énergie, liège…</w:t>
            </w:r>
          </w:p>
          <w:p w:rsidR="0035701C" w:rsidRDefault="00FB561B">
            <w:pPr>
              <w:spacing w:before="240" w:after="240"/>
              <w:ind w:left="600"/>
              <w:jc w:val="left"/>
              <w:rPr>
                <w:szCs w:val="24"/>
              </w:rPr>
            </w:pPr>
            <w:r>
              <w:rPr>
                <w:szCs w:val="24"/>
              </w:rPr>
              <w:t>L’objectif est de renforcer le potentiel d’exploitation des forêts, de valorisation et de transformation des produits issus</w:t>
            </w:r>
            <w:r>
              <w:rPr>
                <w:szCs w:val="24"/>
              </w:rPr>
              <w:t xml:space="preserve"> de la forêt, en permettant aux entreprises d’accroître leur productivité. Ce soutien concerne l’acquisition de matériel professionnels adaptés aux besoins de la filière forêt-bois et aux contraintes de l’exploitation forestière en zone de montagne. Ce Typ</w:t>
            </w:r>
            <w:r>
              <w:rPr>
                <w:szCs w:val="24"/>
              </w:rPr>
              <w:t>e d’opération (TO) est complémentaire du TO 4.3.2 permettant de soutenir les actions collectives et les infrastructures logistiques de desserte.</w:t>
            </w:r>
          </w:p>
          <w:p w:rsidR="0035701C" w:rsidRDefault="00FB561B">
            <w:pPr>
              <w:spacing w:before="240" w:after="240"/>
              <w:ind w:left="600"/>
              <w:jc w:val="left"/>
              <w:rPr>
                <w:szCs w:val="24"/>
              </w:rPr>
            </w:pPr>
            <w:r>
              <w:rPr>
                <w:szCs w:val="24"/>
              </w:rPr>
              <w:t> </w:t>
            </w:r>
          </w:p>
          <w:p w:rsidR="0035701C" w:rsidRDefault="00FB561B">
            <w:pPr>
              <w:spacing w:before="240" w:after="240"/>
              <w:jc w:val="left"/>
              <w:rPr>
                <w:szCs w:val="24"/>
              </w:rPr>
            </w:pPr>
            <w:r>
              <w:rPr>
                <w:szCs w:val="24"/>
              </w:rPr>
              <w:t>La mesure 8 contribue dans son ensemble aux objectifs transversaux :</w:t>
            </w:r>
          </w:p>
          <w:p w:rsidR="0035701C" w:rsidRDefault="00FB561B">
            <w:pPr>
              <w:spacing w:before="240" w:after="240"/>
              <w:jc w:val="left"/>
              <w:rPr>
                <w:szCs w:val="24"/>
              </w:rPr>
            </w:pPr>
            <w:r>
              <w:rPr>
                <w:szCs w:val="24"/>
              </w:rPr>
              <w:t>« Environnement et Climat » puisque la g</w:t>
            </w:r>
            <w:r>
              <w:rPr>
                <w:szCs w:val="24"/>
              </w:rPr>
              <w:t>estion durable des forêts doit avoir un impact significatif sur la biodiversité (réouverture de milieux fermés, amélioration des peuplements forestiers,...), sur l’adaptation des forêts au changement climatique et leur capacité de séquestration du carbone.</w:t>
            </w:r>
          </w:p>
          <w:p w:rsidR="0035701C" w:rsidRDefault="00FB561B">
            <w:pPr>
              <w:spacing w:before="240" w:after="240"/>
              <w:jc w:val="left"/>
              <w:rPr>
                <w:szCs w:val="24"/>
              </w:rPr>
            </w:pPr>
            <w:r>
              <w:rPr>
                <w:szCs w:val="24"/>
              </w:rPr>
              <w:t>« Innovation » puisqu’il s’agit d’encourager de nouveaux modes de gestion (prenant en compte notamment le changement climatique et le développement de nouvelles espèces) mais surtout de nouveaux modes d’exploitation des massifs forestiers (nouvelles techn</w:t>
            </w:r>
            <w:r>
              <w:rPr>
                <w:szCs w:val="24"/>
              </w:rPr>
              <w:t>iques, développement de l’usage des TIC, nouveaux matériels…).</w:t>
            </w:r>
          </w:p>
          <w:p w:rsidR="0035701C" w:rsidRDefault="00FB561B">
            <w:pPr>
              <w:spacing w:before="240" w:after="240"/>
              <w:jc w:val="left"/>
              <w:rPr>
                <w:szCs w:val="24"/>
              </w:rPr>
            </w:pPr>
            <w:r>
              <w:rPr>
                <w:szCs w:val="24"/>
              </w:rPr>
              <w:t>Ces 3 TO sont complémentaires et cohérents pour ce qui concerne la conservation et le stockage de carbone, en encourageant :</w:t>
            </w:r>
          </w:p>
          <w:p w:rsidR="0035701C" w:rsidRDefault="00FB561B" w:rsidP="00FB561B">
            <w:pPr>
              <w:numPr>
                <w:ilvl w:val="0"/>
                <w:numId w:val="556"/>
              </w:numPr>
              <w:spacing w:before="240" w:after="0"/>
              <w:ind w:hanging="210"/>
              <w:jc w:val="left"/>
              <w:rPr>
                <w:szCs w:val="24"/>
              </w:rPr>
            </w:pPr>
            <w:r>
              <w:rPr>
                <w:szCs w:val="24"/>
              </w:rPr>
              <w:t>la prévention contre le risque incendie (8.3) qui peut entrainer bru</w:t>
            </w:r>
            <w:r>
              <w:rPr>
                <w:szCs w:val="24"/>
              </w:rPr>
              <w:t>talement une destruction des peuplements et des effets négatifs sur les GES,</w:t>
            </w:r>
          </w:p>
          <w:p w:rsidR="0035701C" w:rsidRDefault="00FB561B" w:rsidP="00FB561B">
            <w:pPr>
              <w:numPr>
                <w:ilvl w:val="0"/>
                <w:numId w:val="556"/>
              </w:numPr>
              <w:spacing w:before="0" w:after="0"/>
              <w:ind w:hanging="210"/>
              <w:jc w:val="left"/>
              <w:rPr>
                <w:szCs w:val="24"/>
              </w:rPr>
            </w:pPr>
            <w:r>
              <w:rPr>
                <w:szCs w:val="24"/>
              </w:rPr>
              <w:t>une gestion forestière durable et résiliente, favorisant à long termes une ressource ligneuse permettant une transformation en produits durables (8.5),</w:t>
            </w:r>
          </w:p>
          <w:p w:rsidR="0035701C" w:rsidRDefault="00FB561B" w:rsidP="00FB561B">
            <w:pPr>
              <w:numPr>
                <w:ilvl w:val="0"/>
                <w:numId w:val="556"/>
              </w:numPr>
              <w:spacing w:before="0" w:after="240"/>
              <w:ind w:hanging="210"/>
              <w:jc w:val="left"/>
              <w:rPr>
                <w:szCs w:val="24"/>
              </w:rPr>
            </w:pPr>
            <w:r>
              <w:rPr>
                <w:szCs w:val="24"/>
              </w:rPr>
              <w:t xml:space="preserve">une amélioration de </w:t>
            </w:r>
            <w:r>
              <w:rPr>
                <w:szCs w:val="24"/>
              </w:rPr>
              <w:t>l'exploitation forestière, et des activités de première transformation du bois y compris la valorisation des déchets afin de fournir en aval des produits valorisables en biens durables stockant le Carbone (8.6).</w:t>
            </w:r>
          </w:p>
          <w:p w:rsidR="0035701C" w:rsidRDefault="00FB561B">
            <w:pPr>
              <w:spacing w:before="240" w:after="240"/>
              <w:jc w:val="left"/>
              <w:rPr>
                <w:szCs w:val="24"/>
              </w:rPr>
            </w:pPr>
            <w:r>
              <w:rPr>
                <w:szCs w:val="24"/>
              </w:rPr>
              <w:t>Cette  mesure  est mobilisée pour répondre a</w:t>
            </w:r>
            <w:r>
              <w:rPr>
                <w:szCs w:val="24"/>
              </w:rPr>
              <w:t>ux besoins suivants :</w:t>
            </w:r>
          </w:p>
          <w:p w:rsidR="0035701C" w:rsidRDefault="00FB561B" w:rsidP="00FB561B">
            <w:pPr>
              <w:numPr>
                <w:ilvl w:val="0"/>
                <w:numId w:val="557"/>
              </w:numPr>
              <w:spacing w:before="240" w:after="0"/>
              <w:ind w:hanging="210"/>
              <w:jc w:val="left"/>
              <w:rPr>
                <w:szCs w:val="24"/>
              </w:rPr>
            </w:pPr>
            <w:r>
              <w:rPr>
                <w:szCs w:val="24"/>
              </w:rPr>
              <w:t>n° 25 : Développer la sylviculture en lien avec le stockage du carbone et la biodiversité et améliorer l’exploitation forestière</w:t>
            </w:r>
          </w:p>
          <w:p w:rsidR="0035701C" w:rsidRDefault="00FB561B" w:rsidP="00FB561B">
            <w:pPr>
              <w:numPr>
                <w:ilvl w:val="0"/>
                <w:numId w:val="557"/>
              </w:numPr>
              <w:spacing w:before="0" w:after="0"/>
              <w:ind w:hanging="210"/>
              <w:jc w:val="left"/>
              <w:rPr>
                <w:szCs w:val="24"/>
              </w:rPr>
            </w:pPr>
            <w:r>
              <w:rPr>
                <w:szCs w:val="24"/>
              </w:rPr>
              <w:t>n°26 : Accroître la compétitivité  et les usages des produits de la forêt</w:t>
            </w:r>
          </w:p>
          <w:p w:rsidR="0035701C" w:rsidRDefault="00FB561B" w:rsidP="00FB561B">
            <w:pPr>
              <w:numPr>
                <w:ilvl w:val="0"/>
                <w:numId w:val="557"/>
              </w:numPr>
              <w:spacing w:before="0" w:after="0"/>
              <w:ind w:hanging="210"/>
              <w:jc w:val="left"/>
              <w:rPr>
                <w:szCs w:val="24"/>
              </w:rPr>
            </w:pPr>
            <w:r>
              <w:rPr>
                <w:szCs w:val="24"/>
              </w:rPr>
              <w:t>n°32 : Préserver le bon état de</w:t>
            </w:r>
            <w:r>
              <w:rPr>
                <w:szCs w:val="24"/>
              </w:rPr>
              <w:t xml:space="preserve"> l'environnement, assurer le renouvellement des ressources naturelles et prévenir le risque incendie.</w:t>
            </w:r>
          </w:p>
          <w:p w:rsidR="0035701C" w:rsidRDefault="00FB561B" w:rsidP="00FB561B">
            <w:pPr>
              <w:numPr>
                <w:ilvl w:val="0"/>
                <w:numId w:val="557"/>
              </w:numPr>
              <w:spacing w:before="0" w:after="240"/>
              <w:ind w:hanging="210"/>
              <w:jc w:val="left"/>
              <w:rPr>
                <w:szCs w:val="24"/>
              </w:rPr>
            </w:pPr>
            <w:r>
              <w:rPr>
                <w:szCs w:val="24"/>
              </w:rPr>
              <w:t>n°20 : Renforcer la commercialisation et la promotion des produits sur le marché local, national et international</w:t>
            </w:r>
          </w:p>
          <w:p w:rsidR="0035701C" w:rsidRDefault="0035701C">
            <w:pPr>
              <w:pStyle w:val="Corpsdetexte"/>
            </w:pPr>
          </w:p>
        </w:tc>
      </w:tr>
    </w:tbl>
    <w:p w:rsidR="0035701C" w:rsidRDefault="00FB561B">
      <w:pPr>
        <w:pStyle w:val="Titre4"/>
        <w:jc w:val="left"/>
      </w:pPr>
      <w:r>
        <w:t xml:space="preserve">Portée, niveau du soutien, </w:t>
      </w:r>
      <w:r>
        <w:t>bénéficiaires admissibles et, le cas échéant, méthodologie pour le calcul du montant ou du taux d'aide selon une ventilation par sous-mesure et/ou type d'opération, si nécessaire. Pour chaque type d'opération, spécification des coûts admissibles, des condi</w:t>
      </w:r>
      <w:r>
        <w:t>tions d'admissibilité, des montants et taux d'aide applicables et des principes en matière de définition des critères de sélection</w:t>
      </w:r>
    </w:p>
    <w:p w:rsidR="0035701C" w:rsidRDefault="00FB561B">
      <w:pPr>
        <w:pStyle w:val="Titre5"/>
        <w:rPr>
          <w:b w:val="0"/>
        </w:rPr>
      </w:pPr>
      <w:r>
        <w:rPr>
          <w:b w:val="0"/>
        </w:rPr>
        <w:t>8.3-DFCI</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58"/>
              </w:numPr>
            </w:pPr>
            <w:r>
              <w:t>8.3 - Aide à la prévention des dommages causés aux forêts par des incendies de forêt, des catastrophes</w:t>
            </w:r>
            <w:r>
              <w:t xml:space="preserve"> naturelles et des événements catastrophiques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Sous-titre complet de l'opération : DFCI = Investissements de Défense Forestière Contre l'Incendie (DFCI) et actions de prévention.</w:t>
            </w:r>
          </w:p>
          <w:p w:rsidR="0035701C" w:rsidRDefault="00FB561B">
            <w:pPr>
              <w:spacing w:before="240" w:after="240"/>
              <w:jc w:val="left"/>
              <w:rPr>
                <w:szCs w:val="24"/>
              </w:rPr>
            </w:pPr>
            <w:r>
              <w:rPr>
                <w:szCs w:val="24"/>
              </w:rPr>
              <w:t xml:space="preserve">La prévention des dommages causés aux forêts </w:t>
            </w:r>
            <w:r>
              <w:rPr>
                <w:szCs w:val="24"/>
              </w:rPr>
              <w:t>par des incendies s'inscrit dans la politique régionale de gestion durable des ressources. En effet elle a des effets positifs sur le maintien des sols et la lutte contre l'érosion, le stockage du carbone et la biodiversité.</w:t>
            </w:r>
          </w:p>
          <w:p w:rsidR="0035701C" w:rsidRDefault="00FB561B">
            <w:pPr>
              <w:spacing w:before="240" w:after="240"/>
              <w:jc w:val="left"/>
              <w:rPr>
                <w:szCs w:val="24"/>
              </w:rPr>
            </w:pPr>
            <w:r>
              <w:rPr>
                <w:szCs w:val="24"/>
              </w:rPr>
              <w:t>Dans un contexte de réduction d</w:t>
            </w:r>
            <w:r>
              <w:rPr>
                <w:szCs w:val="24"/>
              </w:rPr>
              <w:t xml:space="preserve">u nombre de mises à feu sur les dernières décennies, l'évolution climatique en zone méditerranéenne et la fermeture continue des paysages, attestée par la progression du couvert boisé, accentuent les risques d'incendie et soumet ces espaces à un aléa dont </w:t>
            </w:r>
            <w:r>
              <w:rPr>
                <w:szCs w:val="24"/>
              </w:rPr>
              <w:t>les conséquences peuvent se révéler plus élevées.</w:t>
            </w:r>
          </w:p>
          <w:p w:rsidR="0035701C" w:rsidRDefault="00FB561B">
            <w:pPr>
              <w:spacing w:before="240" w:after="240"/>
              <w:jc w:val="left"/>
              <w:rPr>
                <w:szCs w:val="24"/>
              </w:rPr>
            </w:pPr>
            <w:r>
              <w:rPr>
                <w:szCs w:val="24"/>
              </w:rPr>
              <w:t>L'objectif principal de la mesure est de préserver les zones forestières et les espaces naturels des incendies en visant la diminution du risque d'éclosion des feux et la limitation des surfaces parcourues,</w:t>
            </w:r>
            <w:r>
              <w:rPr>
                <w:szCs w:val="24"/>
              </w:rPr>
              <w:t xml:space="preserve"> en soutenant les investissements de DFCI (défense forestière contre l'incendie) réalisés par les gestionnaires des terres ou leur délégataires en matière de prévention.</w:t>
            </w:r>
          </w:p>
          <w:p w:rsidR="0035701C" w:rsidRDefault="00FB561B">
            <w:pPr>
              <w:spacing w:before="240" w:after="240"/>
              <w:jc w:val="left"/>
              <w:rPr>
                <w:szCs w:val="24"/>
              </w:rPr>
            </w:pPr>
            <w:r>
              <w:rPr>
                <w:szCs w:val="24"/>
              </w:rPr>
              <w:t>Cette intervention est complémentaire des financements mis en œuvre par l'état, les co</w:t>
            </w:r>
            <w:r>
              <w:rPr>
                <w:szCs w:val="24"/>
              </w:rPr>
              <w:t>llectivités locales et les organismes publics impliqués dans la prévention et la lutte incendie dans la région.</w:t>
            </w:r>
          </w:p>
          <w:p w:rsidR="0035701C" w:rsidRDefault="00FB561B">
            <w:pPr>
              <w:spacing w:before="240" w:after="240"/>
              <w:jc w:val="left"/>
              <w:rPr>
                <w:szCs w:val="24"/>
              </w:rPr>
            </w:pPr>
            <w:r>
              <w:rPr>
                <w:szCs w:val="24"/>
              </w:rPr>
              <w:t>Ce type d'opération contribue à la priorité 4 : Restaurer, préserver et renforcer les écosystèmes tributaires de l'agriculture et de la forester</w:t>
            </w:r>
            <w:r>
              <w:rPr>
                <w:szCs w:val="24"/>
              </w:rPr>
              <w:t>ie.</w:t>
            </w:r>
          </w:p>
          <w:p w:rsidR="0035701C" w:rsidRDefault="00FB561B">
            <w:pPr>
              <w:spacing w:before="240" w:after="240"/>
              <w:jc w:val="left"/>
              <w:rPr>
                <w:szCs w:val="24"/>
              </w:rPr>
            </w:pPr>
            <w:r>
              <w:rPr>
                <w:szCs w:val="24"/>
              </w:rPr>
              <w:t>Cette sous-mesure est ciblée sur le domaine prioritaire 4a) : restaurer, préserver et renforcer la biodiversité (y compris dans les zones relevant de Natura 2000, dans les zones soumises à des contraintes naturelles ou à d'autres contraintes spécifique</w:t>
            </w:r>
            <w:r>
              <w:rPr>
                <w:szCs w:val="24"/>
              </w:rPr>
              <w:t>s,) les zones agricoles à haute valeur naturelle, ainsi que les paysages européens.</w:t>
            </w:r>
          </w:p>
          <w:p w:rsidR="0035701C" w:rsidRDefault="00FB561B">
            <w:pPr>
              <w:spacing w:before="240" w:after="240"/>
              <w:jc w:val="left"/>
              <w:rPr>
                <w:szCs w:val="24"/>
              </w:rPr>
            </w:pPr>
            <w:r>
              <w:rPr>
                <w:szCs w:val="24"/>
              </w:rPr>
              <w:t>Ce type d’opération répond au besoin n°32 : Préserver le bon état de l'environnement, assurer le renouvellement des ressources naturelles et prévenir le risque incendie.</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versée sous forme de 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Code forestier</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          Les collectivités territoriales, leurs groupements et leurs établissements publics, ainsi </w:t>
            </w:r>
            <w:r>
              <w:rPr>
                <w:szCs w:val="24"/>
              </w:rPr>
              <w:t>que leurs délégataires,</w:t>
            </w:r>
          </w:p>
          <w:p w:rsidR="0035701C" w:rsidRDefault="00FB561B">
            <w:pPr>
              <w:spacing w:before="240" w:after="240"/>
              <w:jc w:val="left"/>
              <w:rPr>
                <w:szCs w:val="24"/>
              </w:rPr>
            </w:pPr>
            <w:r>
              <w:rPr>
                <w:szCs w:val="24"/>
              </w:rPr>
              <w:t>•          Les gestionnaires des terres, notamment les propriétaires forestiers regroupés en associations foncières</w:t>
            </w:r>
          </w:p>
          <w:p w:rsidR="0035701C" w:rsidRDefault="00FB561B">
            <w:pPr>
              <w:spacing w:before="240" w:after="240"/>
              <w:jc w:val="left"/>
              <w:rPr>
                <w:szCs w:val="24"/>
              </w:rPr>
            </w:pPr>
            <w:r>
              <w:rPr>
                <w:szCs w:val="24"/>
              </w:rPr>
              <w:t>•          Les organismes publics, ne détenant pas de droit de propriété sur les immeubles concernés, compétentes en</w:t>
            </w:r>
            <w:r>
              <w:rPr>
                <w:szCs w:val="24"/>
              </w:rPr>
              <w:t xml:space="preserve"> DFCI, lorsqu'elles réalisent des opérations d'intérêt général (création de servitude par arrêté préfectoral).</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Investissements matériels éligibles à la mesure comprennent plusieurs catégories d'intervention :</w:t>
            </w:r>
          </w:p>
          <w:p w:rsidR="0035701C" w:rsidRDefault="00FB561B">
            <w:pPr>
              <w:spacing w:before="240" w:after="240"/>
              <w:jc w:val="left"/>
              <w:rPr>
                <w:szCs w:val="24"/>
              </w:rPr>
            </w:pPr>
            <w:r>
              <w:rPr>
                <w:szCs w:val="24"/>
                <w:u w:val="single"/>
              </w:rPr>
              <w:t xml:space="preserve">I — Investissements de </w:t>
            </w:r>
            <w:r>
              <w:rPr>
                <w:szCs w:val="24"/>
                <w:u w:val="single"/>
              </w:rPr>
              <w:t>DFCI</w:t>
            </w:r>
          </w:p>
          <w:p w:rsidR="0035701C" w:rsidRDefault="00FB561B">
            <w:pPr>
              <w:spacing w:before="240" w:after="240"/>
              <w:jc w:val="left"/>
              <w:rPr>
                <w:szCs w:val="24"/>
              </w:rPr>
            </w:pPr>
            <w:r>
              <w:rPr>
                <w:szCs w:val="24"/>
              </w:rPr>
              <w:t>Il s'agit de soutenir l'acquisition d'équipements et les travaux de création d'ouvrages de DFCI :</w:t>
            </w:r>
          </w:p>
          <w:p w:rsidR="0035701C" w:rsidRDefault="00FB561B">
            <w:pPr>
              <w:spacing w:before="240" w:after="240"/>
              <w:jc w:val="left"/>
              <w:rPr>
                <w:szCs w:val="24"/>
              </w:rPr>
            </w:pPr>
            <w:r>
              <w:rPr>
                <w:szCs w:val="24"/>
              </w:rPr>
              <w:t xml:space="preserve">•          matériels et équipements permettant la création et l'entretien des ouvrages DFCI, la logistique ainsi que les équipements liés à </w:t>
            </w:r>
            <w:r>
              <w:rPr>
                <w:szCs w:val="24"/>
              </w:rPr>
              <w:t>l'opérationnalité des ouvrages de Défense des Personnes Contre les Incendies (DPCI) dans les massifs PRMF (Protection Rapprochée des Massifs Forestiers remarquables) : équipements de balisage, barrières, signalétique sur le risque.</w:t>
            </w:r>
          </w:p>
          <w:p w:rsidR="0035701C" w:rsidRDefault="00FB561B">
            <w:pPr>
              <w:spacing w:before="240" w:after="240"/>
              <w:jc w:val="left"/>
              <w:rPr>
                <w:szCs w:val="24"/>
              </w:rPr>
            </w:pPr>
            <w:r>
              <w:rPr>
                <w:szCs w:val="24"/>
              </w:rPr>
              <w:t>•          la création d</w:t>
            </w:r>
            <w:r>
              <w:rPr>
                <w:szCs w:val="24"/>
              </w:rPr>
              <w:t>'ouvrages DFCI ou leur mise aux normes :</w:t>
            </w:r>
          </w:p>
          <w:p w:rsidR="0035701C" w:rsidRDefault="00FB561B">
            <w:pPr>
              <w:spacing w:before="240" w:after="240"/>
              <w:jc w:val="left"/>
              <w:rPr>
                <w:szCs w:val="24"/>
              </w:rPr>
            </w:pPr>
            <w:r>
              <w:rPr>
                <w:szCs w:val="24"/>
              </w:rPr>
              <w:t>- la création des pistes</w:t>
            </w:r>
          </w:p>
          <w:p w:rsidR="0035701C" w:rsidRDefault="00FB561B">
            <w:pPr>
              <w:spacing w:before="240" w:after="240"/>
              <w:jc w:val="left"/>
              <w:rPr>
                <w:szCs w:val="24"/>
              </w:rPr>
            </w:pPr>
            <w:r>
              <w:rPr>
                <w:szCs w:val="24"/>
              </w:rPr>
              <w:t>- la réalisation de zones d'appui à la lutte, coupures de combustibles par travail mécanique ou brûlage dirigé, zones d'emport et de poser d'hélicoptère (celles-ci ne devront pas être utilis</w:t>
            </w:r>
            <w:r>
              <w:rPr>
                <w:szCs w:val="24"/>
              </w:rPr>
              <w:t>ées à des fins commerciales)</w:t>
            </w:r>
          </w:p>
          <w:p w:rsidR="0035701C" w:rsidRDefault="00FB561B">
            <w:pPr>
              <w:spacing w:before="240" w:after="240"/>
              <w:jc w:val="left"/>
              <w:rPr>
                <w:szCs w:val="24"/>
              </w:rPr>
            </w:pPr>
            <w:r>
              <w:rPr>
                <w:szCs w:val="24"/>
              </w:rPr>
              <w:t>•          les travaux de mise en auto-résistance des peuplements forestiers notamment par brûlage dirigé</w:t>
            </w:r>
          </w:p>
          <w:p w:rsidR="0035701C" w:rsidRDefault="00FB561B">
            <w:pPr>
              <w:spacing w:before="240" w:after="240"/>
              <w:jc w:val="left"/>
              <w:rPr>
                <w:szCs w:val="24"/>
              </w:rPr>
            </w:pPr>
            <w:r>
              <w:rPr>
                <w:szCs w:val="24"/>
              </w:rPr>
              <w:t>•          La réalisation de points d'eau</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u w:val="single"/>
              </w:rPr>
              <w:t>II — Entretien des ouvrages de DFCI</w:t>
            </w:r>
          </w:p>
          <w:p w:rsidR="0035701C" w:rsidRDefault="00FB561B">
            <w:pPr>
              <w:spacing w:before="240" w:after="240"/>
              <w:jc w:val="left"/>
              <w:rPr>
                <w:szCs w:val="24"/>
              </w:rPr>
            </w:pPr>
            <w:r>
              <w:rPr>
                <w:szCs w:val="24"/>
              </w:rPr>
              <w:t>Entretien et mise en valeur des coupes fe</w:t>
            </w:r>
            <w:r>
              <w:rPr>
                <w:szCs w:val="24"/>
              </w:rPr>
              <w:t>u dans le cadre des schémas et plans de prévention territoriaux :</w:t>
            </w:r>
          </w:p>
          <w:p w:rsidR="0035701C" w:rsidRDefault="00FB561B">
            <w:pPr>
              <w:spacing w:before="240" w:after="240"/>
              <w:jc w:val="left"/>
              <w:rPr>
                <w:szCs w:val="24"/>
              </w:rPr>
            </w:pPr>
            <w:r>
              <w:rPr>
                <w:szCs w:val="24"/>
              </w:rPr>
              <w:t>•          l'entretien des ouvrages DFCI : zones d'appui à la lutte, coupures de combustibles par travail mécanique, manuel, ou brûlage dirigé, zones d'emport et de poser d'hélicoptère</w:t>
            </w:r>
          </w:p>
          <w:p w:rsidR="0035701C" w:rsidRDefault="00FB561B">
            <w:pPr>
              <w:spacing w:before="240" w:after="240"/>
              <w:jc w:val="left"/>
              <w:rPr>
                <w:szCs w:val="24"/>
              </w:rPr>
            </w:pPr>
            <w:r>
              <w:rPr>
                <w:szCs w:val="24"/>
              </w:rPr>
              <w:t>•    </w:t>
            </w:r>
            <w:r>
              <w:rPr>
                <w:szCs w:val="24"/>
              </w:rPr>
              <w:t>      les opérations de mise en valeur destinées à faciliter l'entretien des coupures de combustible par le recours à des animaux en pâturage (art 24 b) : équipements et travaux de mise en valeur</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u w:val="single"/>
              </w:rPr>
              <w:t>III) — Frais généraux</w:t>
            </w:r>
            <w:r>
              <w:rPr>
                <w:szCs w:val="24"/>
                <w:u w:val="single"/>
              </w:rPr>
              <w:br/>
            </w:r>
            <w:r>
              <w:rPr>
                <w:szCs w:val="24"/>
              </w:rPr>
              <w:t>Les frais généraux liés aux opératio</w:t>
            </w:r>
            <w:r>
              <w:rPr>
                <w:szCs w:val="24"/>
              </w:rPr>
              <w:t>ns financées (article 45 (2) du règlement (UE) n° 1305/2013) dans la limite de 10 % des dépenses totales éligibles de l'opération : honoraires d’architectes et rémunérations d’ingénieurs et de consultants, les dépenses liées au conseil en matière de durabi</w:t>
            </w:r>
            <w:r>
              <w:rPr>
                <w:szCs w:val="24"/>
              </w:rPr>
              <w:t>lité environnementale et économique, y compris les coûts liés aux études de faisabilité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L'Autorité de Gestion du programme établit par une circulaire les montants plafonds admissibles pour l'ensemble de ces coûts.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u w:val="single"/>
              </w:rPr>
              <w:t>Dépenses non éligibles au titre du F</w:t>
            </w:r>
            <w:r>
              <w:rPr>
                <w:szCs w:val="24"/>
                <w:u w:val="single"/>
              </w:rPr>
              <w:t>EADER</w:t>
            </w:r>
          </w:p>
          <w:p w:rsidR="0035701C" w:rsidRDefault="00FB561B">
            <w:pPr>
              <w:spacing w:before="240" w:after="240"/>
              <w:jc w:val="left"/>
              <w:rPr>
                <w:szCs w:val="24"/>
              </w:rPr>
            </w:pPr>
            <w:r>
              <w:rPr>
                <w:szCs w:val="24"/>
              </w:rPr>
              <w:t>•          équipements de surveillance, de communication, et de retour d'expérience (ordinateurs, radios, vigies et tours de guet, station météo ...),</w:t>
            </w:r>
          </w:p>
          <w:p w:rsidR="0035701C" w:rsidRDefault="00FB561B">
            <w:pPr>
              <w:spacing w:before="240" w:after="240"/>
              <w:jc w:val="left"/>
              <w:rPr>
                <w:szCs w:val="24"/>
              </w:rPr>
            </w:pPr>
            <w:r>
              <w:rPr>
                <w:szCs w:val="24"/>
              </w:rPr>
              <w:t>•          Les investissements immatériels, formalités administratives destinées à assurer la péren</w:t>
            </w:r>
            <w:r>
              <w:rPr>
                <w:szCs w:val="24"/>
              </w:rPr>
              <w:t>nité juridique des équipements de prévention :</w:t>
            </w:r>
          </w:p>
          <w:p w:rsidR="0035701C" w:rsidRDefault="00FB561B">
            <w:pPr>
              <w:spacing w:before="240" w:after="240"/>
              <w:ind w:left="600"/>
              <w:jc w:val="left"/>
              <w:rPr>
                <w:szCs w:val="24"/>
              </w:rPr>
            </w:pPr>
            <w:r>
              <w:rPr>
                <w:szCs w:val="24"/>
              </w:rPr>
              <w:t>- servitude de passage et d'aménagement (articles : L.321-5-1 du code forestier),</w:t>
            </w:r>
          </w:p>
          <w:p w:rsidR="0035701C" w:rsidRDefault="00FB561B">
            <w:pPr>
              <w:spacing w:before="240" w:after="240"/>
              <w:ind w:left="600"/>
              <w:jc w:val="left"/>
              <w:rPr>
                <w:szCs w:val="24"/>
              </w:rPr>
            </w:pPr>
            <w:r>
              <w:rPr>
                <w:szCs w:val="24"/>
              </w:rPr>
              <w:t>- déclaration d'utilité publique (articles L.321-6 trois derniers alinéas du code forestier),</w:t>
            </w:r>
          </w:p>
          <w:p w:rsidR="0035701C" w:rsidRDefault="00FB561B">
            <w:pPr>
              <w:spacing w:before="240" w:after="240"/>
              <w:ind w:left="600"/>
              <w:jc w:val="left"/>
              <w:rPr>
                <w:szCs w:val="24"/>
              </w:rPr>
            </w:pPr>
            <w:r>
              <w:rPr>
                <w:szCs w:val="24"/>
              </w:rPr>
              <w:t>- déclaration d'intérêt général o</w:t>
            </w:r>
            <w:r>
              <w:rPr>
                <w:szCs w:val="24"/>
              </w:rPr>
              <w:t>u d'urgence (articles L.151-36 à 40 et R.151-40 à 49 du code rural).</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opérations doivent s'inscrire dans les schémas et plans de prévention territoriaux validés par les autorités compétentes ou être réalisées dans le cadre </w:t>
            </w:r>
            <w:r>
              <w:rPr>
                <w:szCs w:val="24"/>
              </w:rPr>
              <w:t>de démarches collectives impliquant les propriétaires fonciers et leurs gestionnaires. Elles doivent faire l'objet d'une présentation d'éléments cartographiques. Les projets devront ainsi répondre aux critères d’éligibilité du PFENI (Plan de protection des</w:t>
            </w:r>
            <w:r>
              <w:rPr>
                <w:szCs w:val="24"/>
              </w:rPr>
              <w:t xml:space="preserve"> Forêts et des Espaces naturels contre les incendies 2013-2022).</w:t>
            </w:r>
          </w:p>
          <w:p w:rsidR="0035701C" w:rsidRDefault="00FB561B">
            <w:pPr>
              <w:spacing w:before="240" w:after="240"/>
              <w:jc w:val="left"/>
              <w:rPr>
                <w:szCs w:val="24"/>
              </w:rPr>
            </w:pPr>
            <w:r>
              <w:rPr>
                <w:szCs w:val="24"/>
              </w:rPr>
              <w:t xml:space="preserve">Dans le cadre d'interventions réalisées au titre de la mise en œuvre des schémas et plans territoriaux, le demandeur doit avoir une compétence reconnue pour la prévention et/ou la protection </w:t>
            </w:r>
            <w:r>
              <w:rPr>
                <w:szCs w:val="24"/>
              </w:rPr>
              <w:t>incendie.</w:t>
            </w:r>
          </w:p>
          <w:p w:rsidR="0035701C" w:rsidRDefault="00FB561B">
            <w:pPr>
              <w:spacing w:before="240" w:after="240"/>
              <w:jc w:val="left"/>
              <w:rPr>
                <w:szCs w:val="24"/>
              </w:rPr>
            </w:pPr>
            <w:r>
              <w:rPr>
                <w:szCs w:val="24"/>
              </w:rPr>
              <w:t>Si le projet est situé en totalité ou en partie dans une zone classée Natura 2000, les investissements doivent respecter les préconisations du document d’objectif (DOCOB).</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ind w:left="72"/>
              <w:jc w:val="left"/>
              <w:rPr>
                <w:szCs w:val="24"/>
              </w:rPr>
            </w:pPr>
            <w:r>
              <w:rPr>
                <w:szCs w:val="24"/>
              </w:rPr>
              <w:t>L'inst</w:t>
            </w:r>
            <w:r>
              <w:rPr>
                <w:szCs w:val="24"/>
              </w:rPr>
              <w:t>ruction doit se faire dans une logique de projet territorial tel que présenté dans les schémas et plans de prévention territoriaux (plan de Protection des Forêts et des Espaces Naturels contre les Incendies : Protection rapprochée de massif forestier, Plan</w:t>
            </w:r>
            <w:r>
              <w:rPr>
                <w:szCs w:val="24"/>
              </w:rPr>
              <w:t xml:space="preserve"> Local de Protection contre les incendies...)</w:t>
            </w:r>
          </w:p>
          <w:p w:rsidR="0035701C" w:rsidRDefault="00FB561B">
            <w:pPr>
              <w:spacing w:before="240" w:after="240"/>
              <w:ind w:left="72"/>
              <w:jc w:val="left"/>
              <w:rPr>
                <w:szCs w:val="24"/>
              </w:rPr>
            </w:pPr>
            <w:r>
              <w:rPr>
                <w:szCs w:val="24"/>
              </w:rPr>
              <w:t>Les critères de sélection considèrent :</w:t>
            </w:r>
          </w:p>
          <w:p w:rsidR="0035701C" w:rsidRDefault="00FB561B" w:rsidP="00FB561B">
            <w:pPr>
              <w:numPr>
                <w:ilvl w:val="0"/>
                <w:numId w:val="559"/>
              </w:numPr>
              <w:spacing w:before="240" w:after="0"/>
              <w:ind w:hanging="210"/>
              <w:jc w:val="left"/>
              <w:rPr>
                <w:szCs w:val="24"/>
              </w:rPr>
            </w:pPr>
            <w:r>
              <w:rPr>
                <w:szCs w:val="24"/>
              </w:rPr>
              <w:t xml:space="preserve">l'inscription de l'opération dans les schémas et plans de prévention des forêts en cours de validité : PPFENI (Plan de protection des forêts et des espaces naturels </w:t>
            </w:r>
            <w:r>
              <w:rPr>
                <w:szCs w:val="24"/>
              </w:rPr>
              <w:t>contre les incendies), PRMF (Plan de protection rapproché des massifs forestiers) ou PIDAF (Plan intercommunal de débroussaillement et d'aménagement forestier)</w:t>
            </w:r>
          </w:p>
          <w:p w:rsidR="0035701C" w:rsidRDefault="00FB561B" w:rsidP="00FB561B">
            <w:pPr>
              <w:numPr>
                <w:ilvl w:val="0"/>
                <w:numId w:val="559"/>
              </w:numPr>
              <w:spacing w:before="0" w:after="0"/>
              <w:ind w:hanging="210"/>
              <w:jc w:val="left"/>
              <w:rPr>
                <w:szCs w:val="24"/>
              </w:rPr>
            </w:pPr>
            <w:r>
              <w:rPr>
                <w:szCs w:val="24"/>
              </w:rPr>
              <w:t>la priorisation des opérations concourant à valoriser la multifonctionnalité des forêts et des e</w:t>
            </w:r>
            <w:r>
              <w:rPr>
                <w:szCs w:val="24"/>
              </w:rPr>
              <w:t>spaces naturels (valorisation pastorale, exploitation de bois, accueil touristique, protection des espèces...),</w:t>
            </w:r>
          </w:p>
          <w:p w:rsidR="0035701C" w:rsidRDefault="00FB561B" w:rsidP="00FB561B">
            <w:pPr>
              <w:numPr>
                <w:ilvl w:val="0"/>
                <w:numId w:val="559"/>
              </w:numPr>
              <w:spacing w:before="0" w:after="0"/>
              <w:ind w:hanging="210"/>
              <w:jc w:val="left"/>
              <w:rPr>
                <w:szCs w:val="24"/>
              </w:rPr>
            </w:pPr>
            <w:r>
              <w:rPr>
                <w:szCs w:val="24"/>
              </w:rPr>
              <w:t xml:space="preserve">globalité des interventions évaluée au travers des dispositifs mis en œuvre par le bénéficiaire de façon complémentaire (animation du </w:t>
            </w:r>
            <w:r>
              <w:rPr>
                <w:szCs w:val="24"/>
              </w:rPr>
              <w:t>débroussaillement pour les communes, implication des opérateurs sur le territoire).</w:t>
            </w:r>
          </w:p>
          <w:p w:rsidR="0035701C" w:rsidRDefault="00FB561B" w:rsidP="00FB561B">
            <w:pPr>
              <w:numPr>
                <w:ilvl w:val="0"/>
                <w:numId w:val="559"/>
              </w:numPr>
              <w:spacing w:before="0" w:after="240"/>
              <w:ind w:hanging="210"/>
              <w:jc w:val="left"/>
              <w:rPr>
                <w:szCs w:val="24"/>
              </w:rPr>
            </w:pPr>
            <w:r>
              <w:rPr>
                <w:szCs w:val="24"/>
              </w:rPr>
              <w:t>L'impact environnemental et paysager (population à protéger, zone à fort intérêt écologique et faunistique, site Natura 2000).</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w:t>
            </w:r>
            <w:r>
              <w:rPr>
                <w:szCs w:val="24"/>
              </w:rPr>
              <w:t>ux d’aide publique est de 100%</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xml:space="preserve">Le taux d'aide publique appliqué au dossier correspondra au maximum autorisé par le régime d'aide d'Etat appliqué audit dossier, si ce maximum est plus restrictif que le taux prévu par le PDR ; ce maximum ne pourra être </w:t>
            </w:r>
            <w:r>
              <w:rPr>
                <w:szCs w:val="24"/>
              </w:rPr>
              <w:t>supérieur au taux mentionné ci-dessus.</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 :</w:t>
            </w:r>
          </w:p>
          <w:p w:rsidR="0035701C" w:rsidRDefault="00FB561B">
            <w:pPr>
              <w:spacing w:before="240" w:after="240"/>
              <w:jc w:val="left"/>
              <w:rPr>
                <w:szCs w:val="24"/>
              </w:rPr>
            </w:pPr>
            <w:r>
              <w:rPr>
                <w:szCs w:val="24"/>
              </w:rPr>
              <w:t>- L'OP a demandé que soient bien décrit</w:t>
            </w:r>
            <w:r>
              <w:rPr>
                <w:szCs w:val="24"/>
              </w:rPr>
              <w:t>s les pétitionnaires susceptibles d'être bénéficiaires de cette opération. Les éléments de Droit, les précisions apportées au présent texte, ainsi que le détail des éléments de réponse à fournir sur les appels à projet sont satisfaisants.  La prise en char</w:t>
            </w:r>
            <w:r>
              <w:rPr>
                <w:szCs w:val="24"/>
              </w:rPr>
              <w:t>ge des coûts des actions financées décrites est satisfaisante. On portera une attention particulière à la vérification du statut de propriétaires forestiers.</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n°1 - R1 : Pour le</w:t>
            </w:r>
            <w:r>
              <w:rPr>
                <w:szCs w:val="24"/>
              </w:rPr>
              <w:t xml:space="preserve">s formes juridiques sociétaires ou associatives, les collectivités, conformité des statuts et actes, mise à jour effective et conforme au long de la période d’engagement. Vérification de la qualité de propriétaire foncier (source : Législation nationale : </w:t>
            </w:r>
            <w:r>
              <w:rPr>
                <w:szCs w:val="24"/>
              </w:rPr>
              <w:t>décalage entre Droit Social, Droit des Sociétés, Droit Rural, Législation nationale du Droit de Propriété, Droit des Successions, Droit Fiscal (modification pour la forêt en 2012))</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VERIFIER Pour les formes juridiques soci</w:t>
            </w:r>
            <w:r>
              <w:rPr>
                <w:szCs w:val="24"/>
              </w:rPr>
              <w:t>étaires ou associatives, conformité des statuts et actes, mise à jour effective et conforme.</w:t>
            </w:r>
          </w:p>
          <w:p w:rsidR="0035701C" w:rsidRDefault="00FB561B">
            <w:pPr>
              <w:spacing w:before="240" w:after="240"/>
              <w:jc w:val="left"/>
              <w:rPr>
                <w:szCs w:val="24"/>
              </w:rPr>
            </w:pPr>
            <w:r>
              <w:rPr>
                <w:szCs w:val="24"/>
              </w:rPr>
              <w:t>                 VERIFIER la qualité de propriétaire forestier des partenaires.</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 Au vu des cotations matricielles, sur le poids </w:t>
            </w:r>
            <w:r>
              <w:rPr>
                <w:szCs w:val="24"/>
              </w:rPr>
              <w:t>financier de la mesure (&lt;10%), sur les priorités, les risques, les mesures d’atténuation prévues, cette mesure reçoit une évaluation  favorable très peu risquée ; Les mécanismes de mise en œuvre sont connus et maîtrisés par tous les acteurs.</w:t>
            </w:r>
          </w:p>
          <w:p w:rsidR="0035701C" w:rsidRDefault="00FB561B">
            <w:pPr>
              <w:spacing w:before="240" w:after="240"/>
              <w:jc w:val="left"/>
              <w:rPr>
                <w:szCs w:val="24"/>
              </w:rPr>
            </w:pPr>
            <w:r>
              <w:rPr>
                <w:szCs w:val="24"/>
              </w:rPr>
              <w:t>- Concernant l</w:t>
            </w:r>
            <w:r>
              <w:rPr>
                <w:szCs w:val="24"/>
              </w:rPr>
              <w:t>'évaluation globale de la mesure : la mesure est contrôlable sous réserve de la mise en place d'actions d'atténuation et des précisions apportées dans les documents de mise en œuvre notamment sur la nécessité de bien contrôler la qualité de propriétaire fo</w:t>
            </w:r>
            <w:r>
              <w:rPr>
                <w:szCs w:val="24"/>
              </w:rPr>
              <w:t>restier des partenaires.</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 xml:space="preserve">Methode de Calcul des couts simplifiés : </w:t>
            </w:r>
          </w:p>
          <w:p w:rsidR="0035701C" w:rsidRDefault="00FB561B">
            <w:pPr>
              <w:spacing w:before="240" w:after="240"/>
              <w:jc w:val="left"/>
              <w:rPr>
                <w:szCs w:val="24"/>
              </w:rPr>
            </w:pPr>
            <w:r>
              <w:rPr>
                <w:szCs w:val="24"/>
              </w:rPr>
              <w:t>Le paiement des travaux d’entretien débroussaillement sera fait sur la base d’un barème de cout standard.</w:t>
            </w:r>
          </w:p>
          <w:p w:rsidR="0035701C" w:rsidRDefault="00FB561B">
            <w:pPr>
              <w:spacing w:before="240" w:after="240"/>
              <w:jc w:val="left"/>
              <w:rPr>
                <w:szCs w:val="24"/>
              </w:rPr>
            </w:pPr>
            <w:r>
              <w:rPr>
                <w:szCs w:val="24"/>
              </w:rPr>
              <w:t>L’évaluation des f</w:t>
            </w:r>
            <w:r>
              <w:rPr>
                <w:szCs w:val="24"/>
              </w:rPr>
              <w:t>orfaits d’entretien par débroussaillement prend en compte des coûts unitaires de matériels et de personnels et des rendements de travail.</w:t>
            </w:r>
          </w:p>
          <w:p w:rsidR="0035701C" w:rsidRDefault="00FB561B">
            <w:pPr>
              <w:spacing w:before="240" w:after="240"/>
              <w:jc w:val="left"/>
              <w:rPr>
                <w:szCs w:val="24"/>
              </w:rPr>
            </w:pPr>
            <w:r>
              <w:rPr>
                <w:szCs w:val="24"/>
              </w:rPr>
              <w:t>Si pour ces derniers les chiffres retenus se fondent sur un suivi sur 5 ans du Conseil Général de Corse du Sud (levé G</w:t>
            </w:r>
            <w:r>
              <w:rPr>
                <w:szCs w:val="24"/>
              </w:rPr>
              <w:t>PS des chantiers) recoupé avec le dire d’expert, pour les premiers, une vérification des méthodes de calcul fournies par les services du conseil général a été effectuée.</w:t>
            </w:r>
          </w:p>
          <w:p w:rsidR="0035701C" w:rsidRDefault="00FB561B">
            <w:pPr>
              <w:spacing w:before="240" w:after="240"/>
              <w:jc w:val="left"/>
              <w:rPr>
                <w:szCs w:val="24"/>
              </w:rPr>
            </w:pPr>
            <w:r>
              <w:rPr>
                <w:szCs w:val="24"/>
              </w:rPr>
              <w:t>Pour toutes les fiches de calcul, la méthodologie retenue est la suivante :</w:t>
            </w:r>
          </w:p>
          <w:p w:rsidR="0035701C" w:rsidRDefault="00FB561B" w:rsidP="00FB561B">
            <w:pPr>
              <w:numPr>
                <w:ilvl w:val="0"/>
                <w:numId w:val="560"/>
              </w:numPr>
              <w:spacing w:before="240" w:after="0"/>
              <w:ind w:hanging="210"/>
              <w:jc w:val="left"/>
              <w:rPr>
                <w:szCs w:val="24"/>
              </w:rPr>
            </w:pPr>
            <w:r>
              <w:rPr>
                <w:szCs w:val="24"/>
              </w:rPr>
              <w:t>Détermination des moyens humains et matériels nécessaires à la réalisation d’un chantier d’entretien sur un site donné,</w:t>
            </w:r>
          </w:p>
          <w:p w:rsidR="0035701C" w:rsidRDefault="00FB561B" w:rsidP="00FB561B">
            <w:pPr>
              <w:numPr>
                <w:ilvl w:val="0"/>
                <w:numId w:val="560"/>
              </w:numPr>
              <w:spacing w:before="0" w:after="0"/>
              <w:ind w:hanging="210"/>
              <w:jc w:val="left"/>
              <w:rPr>
                <w:szCs w:val="24"/>
              </w:rPr>
            </w:pPr>
            <w:r>
              <w:rPr>
                <w:szCs w:val="24"/>
              </w:rPr>
              <w:t>Prise en compte des coûts forfaitaires individuels pour chaque type de personnel et de matériel indispensables à la bonne réalisation du</w:t>
            </w:r>
            <w:r>
              <w:rPr>
                <w:szCs w:val="24"/>
              </w:rPr>
              <w:t xml:space="preserve"> chantier,</w:t>
            </w:r>
          </w:p>
          <w:p w:rsidR="0035701C" w:rsidRDefault="00FB561B" w:rsidP="00FB561B">
            <w:pPr>
              <w:numPr>
                <w:ilvl w:val="0"/>
                <w:numId w:val="560"/>
              </w:numPr>
              <w:spacing w:before="0" w:after="0"/>
              <w:ind w:hanging="210"/>
              <w:jc w:val="left"/>
              <w:rPr>
                <w:szCs w:val="24"/>
              </w:rPr>
            </w:pPr>
            <w:r>
              <w:rPr>
                <w:szCs w:val="24"/>
              </w:rPr>
              <w:t>Calcul du coût total,</w:t>
            </w:r>
          </w:p>
          <w:p w:rsidR="0035701C" w:rsidRDefault="00FB561B" w:rsidP="00FB561B">
            <w:pPr>
              <w:numPr>
                <w:ilvl w:val="0"/>
                <w:numId w:val="560"/>
              </w:numPr>
              <w:spacing w:before="0" w:after="240"/>
              <w:ind w:hanging="210"/>
              <w:jc w:val="left"/>
              <w:rPr>
                <w:szCs w:val="24"/>
              </w:rPr>
            </w:pPr>
            <w:r>
              <w:rPr>
                <w:szCs w:val="24"/>
              </w:rPr>
              <w:t>Application des rendements retenus au coût total pour obtenir un coût forfaitaire à l’unité (hectare).</w:t>
            </w:r>
          </w:p>
          <w:p w:rsidR="0035701C" w:rsidRDefault="00FB561B">
            <w:pPr>
              <w:spacing w:before="240" w:after="240"/>
              <w:jc w:val="left"/>
              <w:rPr>
                <w:szCs w:val="24"/>
              </w:rPr>
            </w:pPr>
            <w:r>
              <w:rPr>
                <w:szCs w:val="24"/>
              </w:rPr>
              <w:t> </w:t>
            </w:r>
          </w:p>
          <w:p w:rsidR="0035701C" w:rsidRDefault="00FB561B" w:rsidP="00FB561B">
            <w:pPr>
              <w:numPr>
                <w:ilvl w:val="0"/>
                <w:numId w:val="561"/>
              </w:numPr>
              <w:spacing w:before="240" w:after="240"/>
              <w:ind w:hanging="280"/>
              <w:jc w:val="left"/>
              <w:rPr>
                <w:szCs w:val="24"/>
              </w:rPr>
            </w:pPr>
            <w:r>
              <w:rPr>
                <w:b/>
                <w:bCs/>
                <w:szCs w:val="24"/>
              </w:rPr>
              <w:t>Coûts indirects</w:t>
            </w:r>
          </w:p>
          <w:p w:rsidR="0035701C" w:rsidRDefault="00FB561B">
            <w:pPr>
              <w:spacing w:before="240" w:after="240"/>
              <w:jc w:val="left"/>
              <w:rPr>
                <w:szCs w:val="24"/>
              </w:rPr>
            </w:pPr>
            <w:r>
              <w:rPr>
                <w:szCs w:val="24"/>
              </w:rPr>
              <w:t>Sur les coûts de base tant du point de vue des matériels que des personnels, s’applique un coefficient</w:t>
            </w:r>
            <w:r>
              <w:rPr>
                <w:szCs w:val="24"/>
              </w:rPr>
              <w:t xml:space="preserve"> de frais généraux qui traduit la prise en compte de tous les coûts indirects liés au service réalisant les missions d’entretien de débroussaillement sans qu’ils puissent être affectés à une tâche ou matériel ou personnel individuel ou à un chantier précis</w:t>
            </w:r>
            <w:r>
              <w:rPr>
                <w:szCs w:val="24"/>
              </w:rPr>
              <w:t>ément.</w:t>
            </w:r>
          </w:p>
          <w:p w:rsidR="0035701C" w:rsidRDefault="00FB561B">
            <w:pPr>
              <w:spacing w:before="240" w:after="240"/>
              <w:jc w:val="left"/>
              <w:rPr>
                <w:szCs w:val="24"/>
              </w:rPr>
            </w:pPr>
            <w:r>
              <w:rPr>
                <w:szCs w:val="24"/>
              </w:rPr>
              <w:t>Les données sont issues de la comptabilité analytique du Conseil Général de Corse du Sud.</w:t>
            </w:r>
          </w:p>
          <w:p w:rsidR="0035701C" w:rsidRDefault="00FB561B">
            <w:pPr>
              <w:spacing w:before="240" w:after="240"/>
              <w:jc w:val="left"/>
              <w:rPr>
                <w:szCs w:val="24"/>
              </w:rPr>
            </w:pPr>
            <w:r>
              <w:rPr>
                <w:szCs w:val="24"/>
              </w:rPr>
              <w:t>Le ratio coûts indirects sur coûts directs (= frais généraux) s’élève à 27,7%. Il est donc supérieur au plafond mentionné à l’article 68 du règlement UE 1303/2</w:t>
            </w:r>
            <w:r>
              <w:rPr>
                <w:szCs w:val="24"/>
              </w:rPr>
              <w:t>013, c’est donc ce plafond de 25% qui sera retenu.</w:t>
            </w:r>
          </w:p>
          <w:p w:rsidR="0035701C" w:rsidRDefault="00FB561B" w:rsidP="00FB561B">
            <w:pPr>
              <w:numPr>
                <w:ilvl w:val="0"/>
                <w:numId w:val="562"/>
              </w:numPr>
              <w:spacing w:before="240" w:after="240"/>
              <w:ind w:hanging="280"/>
              <w:jc w:val="left"/>
              <w:rPr>
                <w:szCs w:val="24"/>
              </w:rPr>
            </w:pPr>
            <w:r>
              <w:rPr>
                <w:b/>
                <w:bCs/>
                <w:szCs w:val="24"/>
              </w:rPr>
              <w:t>Coûts de personnels</w:t>
            </w:r>
          </w:p>
          <w:p w:rsidR="0035701C" w:rsidRDefault="00FB561B">
            <w:pPr>
              <w:spacing w:before="240" w:after="240"/>
              <w:jc w:val="left"/>
              <w:rPr>
                <w:szCs w:val="24"/>
              </w:rPr>
            </w:pPr>
            <w:r>
              <w:rPr>
                <w:szCs w:val="24"/>
              </w:rPr>
              <w:t>Pour le pôle environnement et espace rural forestiers sapeurs du Conseil Général de Corse du Sud, les coûts de personnels sont moyennés par catégorie (B ou C) sur l’année et ramenés à u</w:t>
            </w:r>
            <w:r>
              <w:rPr>
                <w:szCs w:val="24"/>
              </w:rPr>
              <w:t>n coût horaire sur la base d’un temps de travail annuel  de 1720 heures (conformément au 2) de l’article 68 du règlement UE 1303/2013).</w:t>
            </w:r>
          </w:p>
          <w:p w:rsidR="0035701C" w:rsidRDefault="00FB561B" w:rsidP="00FB561B">
            <w:pPr>
              <w:numPr>
                <w:ilvl w:val="0"/>
                <w:numId w:val="563"/>
              </w:numPr>
              <w:spacing w:before="240" w:after="240"/>
              <w:ind w:hanging="280"/>
              <w:jc w:val="left"/>
              <w:rPr>
                <w:szCs w:val="24"/>
              </w:rPr>
            </w:pPr>
            <w:r>
              <w:rPr>
                <w:b/>
                <w:bCs/>
                <w:szCs w:val="24"/>
              </w:rPr>
              <w:t>Coûts de matériels</w:t>
            </w:r>
          </w:p>
          <w:p w:rsidR="0035701C" w:rsidRDefault="00FB561B">
            <w:pPr>
              <w:spacing w:before="240" w:after="240"/>
              <w:jc w:val="left"/>
              <w:rPr>
                <w:szCs w:val="24"/>
              </w:rPr>
            </w:pPr>
            <w:r>
              <w:rPr>
                <w:szCs w:val="24"/>
              </w:rPr>
              <w:t>Le tableau détaille les grands postes de frais par type d’engin et donne un coût horaire moyenné.</w:t>
            </w:r>
          </w:p>
          <w:p w:rsidR="0035701C" w:rsidRDefault="00FB561B">
            <w:pPr>
              <w:spacing w:before="240" w:after="240"/>
              <w:jc w:val="left"/>
              <w:rPr>
                <w:szCs w:val="24"/>
              </w:rPr>
            </w:pPr>
            <w:r>
              <w:rPr>
                <w:szCs w:val="24"/>
              </w:rPr>
              <w:t> </w:t>
            </w:r>
          </w:p>
          <w:p w:rsidR="0035701C" w:rsidRDefault="00FB561B" w:rsidP="00FB561B">
            <w:pPr>
              <w:numPr>
                <w:ilvl w:val="0"/>
                <w:numId w:val="564"/>
              </w:numPr>
              <w:spacing w:before="240" w:after="240"/>
              <w:ind w:hanging="280"/>
              <w:jc w:val="left"/>
              <w:rPr>
                <w:szCs w:val="24"/>
              </w:rPr>
            </w:pPr>
            <w:r>
              <w:rPr>
                <w:szCs w:val="24"/>
              </w:rPr>
              <w:t>  </w:t>
            </w:r>
            <w:r>
              <w:rPr>
                <w:b/>
                <w:bCs/>
                <w:szCs w:val="24"/>
              </w:rPr>
              <w:t>Barème  pour personnels et matériels</w:t>
            </w:r>
          </w:p>
          <w:p w:rsidR="0035701C" w:rsidRDefault="00FB561B">
            <w:pPr>
              <w:spacing w:before="240" w:after="240"/>
              <w:jc w:val="left"/>
              <w:rPr>
                <w:szCs w:val="24"/>
              </w:rPr>
            </w:pPr>
            <w:r>
              <w:rPr>
                <w:szCs w:val="24"/>
              </w:rPr>
              <w:t>Pour un engin, le nombre d'heures travaillées par jour s'élève à 5h30, déduction faite du temps de trajet du chauffeur et de l'entretien courant.</w:t>
            </w:r>
          </w:p>
          <w:p w:rsidR="0035701C" w:rsidRDefault="00FB561B">
            <w:pPr>
              <w:spacing w:before="240" w:after="240"/>
              <w:jc w:val="left"/>
              <w:rPr>
                <w:szCs w:val="24"/>
              </w:rPr>
            </w:pPr>
            <w:r>
              <w:rPr>
                <w:szCs w:val="24"/>
              </w:rPr>
              <w:t>Pour un personnel, le nombre d'heures travaillées par jour s'élève à 7h</w:t>
            </w:r>
            <w:r>
              <w:rPr>
                <w:szCs w:val="24"/>
              </w:rPr>
              <w:t>.</w:t>
            </w:r>
          </w:p>
          <w:p w:rsidR="0035701C" w:rsidRDefault="00FB561B">
            <w:pPr>
              <w:spacing w:before="240" w:after="240"/>
              <w:jc w:val="left"/>
              <w:rPr>
                <w:szCs w:val="24"/>
              </w:rPr>
            </w:pPr>
            <w:r>
              <w:rPr>
                <w:szCs w:val="24"/>
              </w:rPr>
              <w:t>Le coût de la débroussailleuse, en l’absence de données précises et au vu du faible coût d’achat, a été retenu le même montant que pour les travaux agricoles et forestiers; soit 50€ par jour (source ODARC; dire d'expert).</w:t>
            </w:r>
          </w:p>
          <w:p w:rsidR="0035701C" w:rsidRDefault="00FB561B">
            <w:pPr>
              <w:spacing w:before="240" w:after="240"/>
              <w:jc w:val="left"/>
              <w:rPr>
                <w:szCs w:val="24"/>
              </w:rPr>
            </w:pPr>
            <w:r>
              <w:rPr>
                <w:szCs w:val="24"/>
              </w:rPr>
              <w:t>Le coût du véhicule tout terrain</w:t>
            </w:r>
            <w:r>
              <w:rPr>
                <w:szCs w:val="24"/>
              </w:rPr>
              <w:t xml:space="preserve"> avec kit incendie a été retenu sur la base de celui du véhicule tout terrain majoré de 40% pour tenir compte de l’amortissement (30%) et de l’entretien (10%) du kit incendie.</w:t>
            </w:r>
          </w:p>
          <w:p w:rsidR="0035701C" w:rsidRDefault="00FB561B">
            <w:pPr>
              <w:spacing w:before="240" w:after="240"/>
              <w:jc w:val="left"/>
              <w:rPr>
                <w:szCs w:val="24"/>
              </w:rPr>
            </w:pPr>
            <w:r>
              <w:rPr>
                <w:szCs w:val="24"/>
              </w:rPr>
              <w:t>Les coûts forfaitaires journaliers sont ensuite appliqués dans chaque fiche de c</w:t>
            </w:r>
            <w:r>
              <w:rPr>
                <w:szCs w:val="24"/>
              </w:rPr>
              <w:t>alcul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4781550" cy="1085850"/>
                  <wp:effectExtent l="0" t="0" r="0" b="0"/>
                  <wp:docPr id="100094" name="Image 100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
                          <pic:cNvPicPr>
                            <a:picLocks noChangeAspect="1"/>
                          </pic:cNvPicPr>
                        </pic:nvPicPr>
                        <pic:blipFill>
                          <a:blip r:embed="rId59"/>
                          <a:stretch>
                            <a:fillRect/>
                          </a:stretch>
                        </pic:blipFill>
                        <pic:spPr>
                          <a:xfrm>
                            <a:off x="0" y="0"/>
                            <a:ext cx="4781550" cy="1085850"/>
                          </a:xfrm>
                          <a:prstGeom prst="rect">
                            <a:avLst/>
                          </a:prstGeom>
                        </pic:spPr>
                      </pic:pic>
                    </a:graphicData>
                  </a:graphic>
                </wp:inline>
              </w:drawing>
            </w:r>
          </w:p>
          <w:p w:rsidR="0035701C" w:rsidRDefault="00FB561B">
            <w:pPr>
              <w:pStyle w:val="Pieddepage"/>
              <w:jc w:val="center"/>
            </w:pPr>
            <w:r>
              <w:t>Opération M08.3 DFCI</w:t>
            </w:r>
          </w:p>
          <w:p w:rsidR="0035701C" w:rsidRDefault="0035701C">
            <w:pPr>
              <w:pStyle w:val="Pieddepage"/>
              <w:jc w:val="center"/>
            </w:pPr>
          </w:p>
        </w:tc>
      </w:tr>
    </w:tbl>
    <w:p w:rsidR="0035701C" w:rsidRDefault="00FB561B">
      <w:pPr>
        <w:pStyle w:val="Titre6"/>
      </w:pPr>
      <w:r>
        <w:t>Informations spécifiques sur l'opération</w:t>
      </w:r>
    </w:p>
    <w:p w:rsidR="0035701C" w:rsidRDefault="00FB561B">
      <w:r>
        <w:t xml:space="preserve">Définition et justification de la taille d’exploitation au-delà de laquelle l’octroi d’un sioutien est subordonné à la présentation d’un plan de gestion forestière ou </w:t>
      </w:r>
      <w:r>
        <w:t>d’un instrument équivalent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Définition de la notion d'«instrument équivalent»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[Boisement et création de surfaces boisées] Détermination des espèces à planter, des surfaces et des méthodes à utiliser pour éviter le boisement inadéqu</w:t>
      </w:r>
      <w:r>
        <w:t>at, comme indiqué à l'article 6, point a), du règlement délégué (UE) n° 807/2014, et description des conditions environnementales et climatiques des zones dans lesquelles un boisement est prévu conformément à l'article 6, point b), du même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w:t>
            </w:r>
            <w:r>
              <w:rPr>
                <w:szCs w:val="24"/>
              </w:rPr>
              <w:t>bjet</w:t>
            </w:r>
          </w:p>
          <w:p w:rsidR="0035701C" w:rsidRDefault="0035701C">
            <w:pPr>
              <w:pStyle w:val="Corpsdetexte"/>
            </w:pPr>
          </w:p>
        </w:tc>
      </w:tr>
    </w:tbl>
    <w:p w:rsidR="0035701C" w:rsidRDefault="00FB561B">
      <w:r>
        <w:t>[Boisement et création de surfaces boisées] Définition des exigences environnementales minimales visées à l’article 6 du règlement délégué (UE) nº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 xml:space="preserve">[Mise en place de systèmes agroforestiers ] Spécification du nombre minimal et </w:t>
      </w:r>
      <w:r>
        <w:t>maximal d’arbres à planter et à conserver une fois adultes, par hectare et espèce forestière admise, conformément à l’article 23, paragraphe 2,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 xml:space="preserve">[Mise en place de systèmes agroforestiers] Indication des bénéfices </w:t>
      </w:r>
      <w:r>
        <w:t>environnementaux des systèmes soutenus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[Prévention et réparation des dommages causés aux forêts par des incendies de forêt, des catastrophes naturelles et des événements catastrophiques] Le cas échéant, liste des espèces d'organismes nuisibles</w:t>
      </w:r>
      <w:r>
        <w:t xml:space="preserve"> pour les végétaux qui peuvent causer une catastrophe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 xml:space="preserve">[Prévention et réparation des dommages causés aux forêts par des incendies de forêt, des catastrophes naturelles et des événements catastrophiques] Détermination des zones forestières </w:t>
      </w:r>
      <w:r>
        <w:t>classées parmi les zones présentant un risque d'incendie moyen à élevé, selon le plan de protection des forêts applicable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zones forestières présentant un risque d'incendie moyen à élevé sont présentés dans les schémas et plans de prévention des forêts </w:t>
            </w:r>
            <w:r>
              <w:rPr>
                <w:szCs w:val="24"/>
              </w:rPr>
              <w:t>en cours de validité : PPFENI (Plan de protection des forêts et des espaces naturels contre les incendies), PRMF (Plan de protection rapproché des massifs forestiers) ou PIDAF (Plan intercommunal de débroussaillement et d'aménagement forestier) et PPRIF (P</w:t>
            </w:r>
            <w:r>
              <w:rPr>
                <w:szCs w:val="24"/>
              </w:rPr>
              <w:t>lan de Prévention des Risques d'Incendies de Forêts).</w:t>
            </w:r>
          </w:p>
          <w:p w:rsidR="0035701C" w:rsidRDefault="0035701C">
            <w:pPr>
              <w:pStyle w:val="Corpsdetexte"/>
            </w:pPr>
          </w:p>
        </w:tc>
      </w:tr>
    </w:tbl>
    <w:p w:rsidR="0035701C" w:rsidRDefault="00FB561B">
      <w:r>
        <w:t>[Prévention et réparation des dommages causés aux forêts par des incendies de forêt, des catastrophes naturelles et des événements catastrophiques] Dans le cas des actions de prévention concernant les</w:t>
      </w:r>
      <w:r>
        <w:t xml:space="preserve"> organismes nuisibles et les maladies, description de catastrophes dans ces domaines, étayée par des preuves scientifiques, y compris le cas échéant, des recommandations des organisations scientifiques sur le traitement des organismes nuisibles et des mala</w:t>
      </w:r>
      <w:r>
        <w:t>dies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[Investissements améliorant la résilience et la valeur environnementale des écosystèmes forestiers] Définition des types d’investissements admissibles et de leurs retombées environnementales et/ou à caractère d’utilité publique escomptées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5"/>
        <w:rPr>
          <w:b w:val="0"/>
        </w:rPr>
      </w:pPr>
      <w:r>
        <w:rPr>
          <w:b w:val="0"/>
        </w:rPr>
        <w:br w:type="page"/>
        <w:t>8.5- Opérations sylvicoles</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65"/>
              </w:numPr>
            </w:pPr>
            <w:r>
              <w:t>8.5 - Aide aux investissements améliorant la résilience et la valeur environnementale des écosystèmes forestiers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Sous-titre complet de l’opération : Opérations </w:t>
            </w:r>
            <w:r>
              <w:rPr>
                <w:b/>
                <w:bCs/>
                <w:szCs w:val="24"/>
              </w:rPr>
              <w:t>sylvicoles = Opérations sylvicoles améliorant la résilience des forêts et renforçant leur caractère d’utilité publique</w:t>
            </w:r>
          </w:p>
          <w:p w:rsidR="0035701C" w:rsidRDefault="00FB561B">
            <w:pPr>
              <w:spacing w:before="240" w:after="240"/>
              <w:jc w:val="left"/>
              <w:rPr>
                <w:szCs w:val="24"/>
              </w:rPr>
            </w:pPr>
            <w:r>
              <w:rPr>
                <w:szCs w:val="24"/>
              </w:rPr>
              <w:t>L’intervention vise donc par une sylviculture et d’autres investissements adaptés au sein de massifs forestiers, à l’amélioration de la r</w:t>
            </w:r>
            <w:r>
              <w:rPr>
                <w:szCs w:val="24"/>
              </w:rPr>
              <w:t>ésilience et de la valeur environnementale des écosystèmes forestiers, sans exclure des bénéfices économiques à long termes. Il s’agit :</w:t>
            </w:r>
          </w:p>
          <w:p w:rsidR="0035701C" w:rsidRDefault="00FB561B" w:rsidP="00FB561B">
            <w:pPr>
              <w:numPr>
                <w:ilvl w:val="0"/>
                <w:numId w:val="566"/>
              </w:numPr>
              <w:spacing w:before="240" w:after="0"/>
              <w:ind w:hanging="210"/>
              <w:jc w:val="left"/>
              <w:rPr>
                <w:szCs w:val="24"/>
              </w:rPr>
            </w:pPr>
            <w:r>
              <w:rPr>
                <w:szCs w:val="24"/>
              </w:rPr>
              <w:t xml:space="preserve">de renforcer le caractère d'utilité publique des forêts : </w:t>
            </w:r>
          </w:p>
          <w:p w:rsidR="0035701C" w:rsidRDefault="00FB561B" w:rsidP="00FB561B">
            <w:pPr>
              <w:numPr>
                <w:ilvl w:val="1"/>
                <w:numId w:val="566"/>
              </w:numPr>
              <w:spacing w:before="0" w:after="0"/>
              <w:ind w:hanging="244"/>
              <w:jc w:val="left"/>
              <w:rPr>
                <w:szCs w:val="24"/>
              </w:rPr>
            </w:pPr>
            <w:r>
              <w:rPr>
                <w:szCs w:val="24"/>
              </w:rPr>
              <w:t>en favorisant les bénéfices éco-systémiques : maintien de la</w:t>
            </w:r>
            <w:r>
              <w:rPr>
                <w:szCs w:val="24"/>
              </w:rPr>
              <w:t xml:space="preserve"> biodiversité et des écosystèmes forestiers, préservation du bon état des sols, lutte contre les phénomènes d’érosion en montagne, impact sur la filtration et la qualité de l’eau,</w:t>
            </w:r>
          </w:p>
          <w:p w:rsidR="0035701C" w:rsidRDefault="00FB561B" w:rsidP="00FB561B">
            <w:pPr>
              <w:numPr>
                <w:ilvl w:val="1"/>
                <w:numId w:val="566"/>
              </w:numPr>
              <w:spacing w:before="0" w:after="0"/>
              <w:ind w:hanging="244"/>
              <w:jc w:val="left"/>
              <w:rPr>
                <w:szCs w:val="24"/>
              </w:rPr>
            </w:pPr>
            <w:r>
              <w:rPr>
                <w:szCs w:val="24"/>
              </w:rPr>
              <w:t>en développant l’accueil du public en forêt,</w:t>
            </w:r>
          </w:p>
          <w:p w:rsidR="0035701C" w:rsidRDefault="00FB561B" w:rsidP="00FB561B">
            <w:pPr>
              <w:numPr>
                <w:ilvl w:val="0"/>
                <w:numId w:val="566"/>
              </w:numPr>
              <w:spacing w:before="0" w:after="0"/>
              <w:ind w:hanging="210"/>
              <w:jc w:val="left"/>
              <w:rPr>
                <w:szCs w:val="24"/>
              </w:rPr>
            </w:pPr>
            <w:r>
              <w:rPr>
                <w:szCs w:val="24"/>
              </w:rPr>
              <w:t xml:space="preserve">d'améliorer le potentiel d'atténuation aux changements climatiques, </w:t>
            </w:r>
          </w:p>
          <w:p w:rsidR="0035701C" w:rsidRDefault="00FB561B" w:rsidP="00FB561B">
            <w:pPr>
              <w:numPr>
                <w:ilvl w:val="1"/>
                <w:numId w:val="566"/>
              </w:numPr>
              <w:spacing w:before="0" w:after="0"/>
              <w:ind w:hanging="244"/>
              <w:jc w:val="left"/>
              <w:rPr>
                <w:szCs w:val="24"/>
              </w:rPr>
            </w:pPr>
            <w:r>
              <w:rPr>
                <w:szCs w:val="24"/>
              </w:rPr>
              <w:t>par l’accompagnement du processus de stockage de carbone dans les forêts et dans les produits du bois et les sous produits de la forêt,</w:t>
            </w:r>
          </w:p>
          <w:p w:rsidR="0035701C" w:rsidRDefault="00FB561B" w:rsidP="00FB561B">
            <w:pPr>
              <w:numPr>
                <w:ilvl w:val="1"/>
                <w:numId w:val="566"/>
              </w:numPr>
              <w:spacing w:before="0" w:after="0"/>
              <w:ind w:hanging="244"/>
              <w:jc w:val="left"/>
              <w:rPr>
                <w:szCs w:val="24"/>
              </w:rPr>
            </w:pPr>
            <w:r>
              <w:rPr>
                <w:szCs w:val="24"/>
              </w:rPr>
              <w:t>de promouvoir la gestion des peuplements destinés à</w:t>
            </w:r>
            <w:r>
              <w:rPr>
                <w:szCs w:val="24"/>
              </w:rPr>
              <w:t xml:space="preserve"> très long terme à la production de bois d’œuvre (meilleur stockage du carbone), en respectant les prescriptions des documents en cours de validité (Schéma Régional de Gestion Sylvicole de Corse – SRGSC et Schéma Régional d’Aménagement des forêts de Corse </w:t>
            </w:r>
            <w:r>
              <w:rPr>
                <w:szCs w:val="24"/>
              </w:rPr>
              <w:t>- SRAF Corse).</w:t>
            </w:r>
          </w:p>
          <w:p w:rsidR="0035701C" w:rsidRDefault="00FB561B" w:rsidP="00FB561B">
            <w:pPr>
              <w:numPr>
                <w:ilvl w:val="1"/>
                <w:numId w:val="566"/>
              </w:numPr>
              <w:spacing w:before="0" w:after="0"/>
              <w:ind w:hanging="244"/>
              <w:jc w:val="left"/>
              <w:rPr>
                <w:szCs w:val="24"/>
              </w:rPr>
            </w:pPr>
            <w:r>
              <w:rPr>
                <w:szCs w:val="24"/>
              </w:rPr>
              <w:t>en renforçant l’autorésistance et la diversité des peuplements,</w:t>
            </w:r>
          </w:p>
          <w:p w:rsidR="0035701C" w:rsidRDefault="00FB561B" w:rsidP="00FB561B">
            <w:pPr>
              <w:numPr>
                <w:ilvl w:val="1"/>
                <w:numId w:val="566"/>
              </w:numPr>
              <w:spacing w:before="0" w:after="240"/>
              <w:ind w:hanging="244"/>
              <w:jc w:val="left"/>
              <w:rPr>
                <w:szCs w:val="24"/>
              </w:rPr>
            </w:pPr>
            <w:r>
              <w:rPr>
                <w:szCs w:val="24"/>
              </w:rPr>
              <w:t>en favorisant l’émergence de circuits courts de production, avec un meilleur bilan carbone au regard du transport, ou l’utilisation de cette production comme énergie renouvelabl</w:t>
            </w:r>
            <w:r>
              <w:rPr>
                <w:szCs w:val="24"/>
              </w:rPr>
              <w:t>e en substitution d’énergie fossile.</w:t>
            </w:r>
          </w:p>
          <w:p w:rsidR="0035701C" w:rsidRDefault="00FB561B">
            <w:pPr>
              <w:spacing w:before="240" w:after="240"/>
              <w:jc w:val="left"/>
              <w:rPr>
                <w:szCs w:val="24"/>
              </w:rPr>
            </w:pPr>
            <w:r>
              <w:rPr>
                <w:szCs w:val="24"/>
              </w:rPr>
              <w:t>Ce type d’opération vise à :</w:t>
            </w:r>
          </w:p>
          <w:p w:rsidR="0035701C" w:rsidRDefault="00FB561B" w:rsidP="00FB561B">
            <w:pPr>
              <w:numPr>
                <w:ilvl w:val="0"/>
                <w:numId w:val="567"/>
              </w:numPr>
              <w:spacing w:before="240" w:after="0"/>
              <w:ind w:hanging="210"/>
              <w:jc w:val="left"/>
              <w:rPr>
                <w:szCs w:val="24"/>
              </w:rPr>
            </w:pPr>
            <w:r>
              <w:rPr>
                <w:szCs w:val="24"/>
              </w:rPr>
              <w:t xml:space="preserve">favoriser les itinéraires sylvicoles bénéfiques : </w:t>
            </w:r>
          </w:p>
          <w:p w:rsidR="0035701C" w:rsidRDefault="00FB561B" w:rsidP="00FB561B">
            <w:pPr>
              <w:numPr>
                <w:ilvl w:val="1"/>
                <w:numId w:val="567"/>
              </w:numPr>
              <w:spacing w:before="0" w:after="0"/>
              <w:ind w:hanging="244"/>
              <w:jc w:val="left"/>
              <w:rPr>
                <w:szCs w:val="24"/>
              </w:rPr>
            </w:pPr>
            <w:r>
              <w:rPr>
                <w:szCs w:val="24"/>
              </w:rPr>
              <w:t>à la captation du carbone aérien,</w:t>
            </w:r>
          </w:p>
          <w:p w:rsidR="0035701C" w:rsidRDefault="00FB561B" w:rsidP="00FB561B">
            <w:pPr>
              <w:numPr>
                <w:ilvl w:val="1"/>
                <w:numId w:val="567"/>
              </w:numPr>
              <w:spacing w:before="0" w:after="0"/>
              <w:ind w:hanging="244"/>
              <w:jc w:val="left"/>
              <w:rPr>
                <w:szCs w:val="24"/>
              </w:rPr>
            </w:pPr>
            <w:r>
              <w:rPr>
                <w:szCs w:val="24"/>
              </w:rPr>
              <w:t>à la lutte contre les risques de dépérissements des peuplements, source de perte du potentiel de stockage</w:t>
            </w:r>
            <w:r>
              <w:rPr>
                <w:szCs w:val="24"/>
              </w:rPr>
              <w:t xml:space="preserve"> direct du carbone ou du potentiel de transfert du carbone vers les produits et sous produits du bois,</w:t>
            </w:r>
          </w:p>
          <w:p w:rsidR="0035701C" w:rsidRDefault="00FB561B" w:rsidP="00FB561B">
            <w:pPr>
              <w:numPr>
                <w:ilvl w:val="1"/>
                <w:numId w:val="567"/>
              </w:numPr>
              <w:spacing w:before="0" w:after="0"/>
              <w:ind w:hanging="244"/>
              <w:jc w:val="left"/>
              <w:rPr>
                <w:szCs w:val="24"/>
              </w:rPr>
            </w:pPr>
            <w:r>
              <w:rPr>
                <w:szCs w:val="24"/>
              </w:rPr>
              <w:t>à l’amélioration de la résilience des peuplements (dosage des essences, coupe de bois, conversion...)</w:t>
            </w:r>
          </w:p>
          <w:p w:rsidR="0035701C" w:rsidRDefault="00FB561B" w:rsidP="00FB561B">
            <w:pPr>
              <w:numPr>
                <w:ilvl w:val="0"/>
                <w:numId w:val="567"/>
              </w:numPr>
              <w:spacing w:before="0" w:after="0"/>
              <w:ind w:hanging="210"/>
              <w:jc w:val="left"/>
              <w:rPr>
                <w:szCs w:val="24"/>
              </w:rPr>
            </w:pPr>
            <w:r>
              <w:rPr>
                <w:szCs w:val="24"/>
              </w:rPr>
              <w:t xml:space="preserve">soutenir les équipements et les travaux non </w:t>
            </w:r>
            <w:r>
              <w:rPr>
                <w:szCs w:val="24"/>
              </w:rPr>
              <w:t>productifs qui valorisent l’accueil du public des zones forestières.</w:t>
            </w:r>
          </w:p>
          <w:p w:rsidR="0035701C" w:rsidRDefault="00FB561B" w:rsidP="00FB561B">
            <w:pPr>
              <w:numPr>
                <w:ilvl w:val="0"/>
                <w:numId w:val="567"/>
              </w:numPr>
              <w:spacing w:before="0" w:after="240"/>
              <w:ind w:hanging="210"/>
              <w:jc w:val="left"/>
              <w:rPr>
                <w:szCs w:val="24"/>
              </w:rPr>
            </w:pPr>
            <w:r>
              <w:rPr>
                <w:szCs w:val="24"/>
              </w:rPr>
              <w:t>Soutenir la réalisation des études environnementales et  de diagnostic des risques associés aux changements climatiques en forêt en vue de préconiser des actions de gestion anticipative e</w:t>
            </w:r>
            <w:r>
              <w:rPr>
                <w:szCs w:val="24"/>
              </w:rPr>
              <w:t>t adaptative.</w:t>
            </w:r>
          </w:p>
          <w:p w:rsidR="0035701C" w:rsidRDefault="00FB561B">
            <w:pPr>
              <w:spacing w:before="240" w:after="240"/>
              <w:jc w:val="left"/>
              <w:rPr>
                <w:szCs w:val="24"/>
              </w:rPr>
            </w:pPr>
            <w:r>
              <w:rPr>
                <w:szCs w:val="24"/>
              </w:rPr>
              <w:t>Le bilan de l’ancienne programmation exposé dans le paragraphe de description de la M08 souligne le besoin d’encourager fortement à ces démarches visant à une promouvoir une gestion effective et durable de la forêt. L’ensemble des itinéraires</w:t>
            </w:r>
            <w:r>
              <w:rPr>
                <w:szCs w:val="24"/>
              </w:rPr>
              <w:t xml:space="preserve"> techniques de sylviculture proposés ont une fonction essentiellement environnementale, permettant par des traitements limités d’amélioration ou de rajeunissement de peuplements trop âgés afin de maintenir leur capacité de séquestration du carbone, d’améli</w:t>
            </w:r>
            <w:r>
              <w:rPr>
                <w:szCs w:val="24"/>
              </w:rPr>
              <w:t>orer leur résilience et de contribuer ainsi à la biodiversité.</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Au travers de ces objectifs, ce type d’opération est ciblée sur le domaine prioritaire 5e) promouvoir la conservation et la séquestration du carbone dans les secteurs de l'agriculture et de l</w:t>
            </w:r>
            <w:r>
              <w:rPr>
                <w:szCs w:val="24"/>
              </w:rPr>
              <w:t>a foresterie. La mesure contribue indirectement à la priorité 4a) relative au renforcement de la biodiversité.</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i/>
                <w:iCs/>
                <w:szCs w:val="24"/>
              </w:rPr>
              <w:t>Engagements : en plus des engagements s’appliquant à l’ensemble des mesures d’investissements figurant dans la partie 8.1 du programme, les eng</w:t>
            </w:r>
            <w:r>
              <w:rPr>
                <w:i/>
                <w:iCs/>
                <w:szCs w:val="24"/>
              </w:rPr>
              <w:t>agements spécifiques à ce type d’opération</w:t>
            </w:r>
            <w:r>
              <w:rPr>
                <w:szCs w:val="24"/>
              </w:rPr>
              <w:t> :</w:t>
            </w:r>
          </w:p>
          <w:p w:rsidR="0035701C" w:rsidRDefault="00FB561B">
            <w:pPr>
              <w:spacing w:before="240" w:after="240"/>
              <w:jc w:val="left"/>
              <w:rPr>
                <w:szCs w:val="24"/>
              </w:rPr>
            </w:pPr>
            <w:r>
              <w:rPr>
                <w:szCs w:val="24"/>
              </w:rPr>
              <w:t>Le bénéficiaire doit s’engager :</w:t>
            </w:r>
          </w:p>
          <w:p w:rsidR="0035701C" w:rsidRDefault="00FB561B" w:rsidP="00FB561B">
            <w:pPr>
              <w:numPr>
                <w:ilvl w:val="0"/>
                <w:numId w:val="568"/>
              </w:numPr>
              <w:spacing w:before="240" w:after="240"/>
              <w:ind w:hanging="210"/>
              <w:jc w:val="left"/>
              <w:rPr>
                <w:szCs w:val="24"/>
              </w:rPr>
            </w:pPr>
            <w:r>
              <w:rPr>
                <w:szCs w:val="24"/>
              </w:rPr>
              <w:t>à suivre les prescriptions techniques validées par l’AG pour ce qui concerne les différents type de travaux, en particulier : les essences éligibles, les prescriptions de densité</w:t>
            </w:r>
            <w:r>
              <w:rPr>
                <w:szCs w:val="24"/>
              </w:rPr>
              <w:t>s et diamètres, les itinéraires techniques, les dispositions relatives à la protection des écosystèmes (protection des eaux et des sources, prévention et lutte contre l'érosion, maintien de la biodiversité au travers de dispositions sur la part de bois mor</w:t>
            </w:r>
            <w:r>
              <w:rPr>
                <w:szCs w:val="24"/>
              </w:rPr>
              <w:t>t, la diversité des peuplements...etc.)</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versée sous forme de 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Code forestier, Code de l’Environnement</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bénéficiaires sont :</w:t>
            </w:r>
          </w:p>
          <w:p w:rsidR="0035701C" w:rsidRDefault="00FB561B" w:rsidP="00FB561B">
            <w:pPr>
              <w:numPr>
                <w:ilvl w:val="0"/>
                <w:numId w:val="569"/>
              </w:numPr>
              <w:spacing w:before="240" w:after="0"/>
              <w:ind w:hanging="210"/>
              <w:jc w:val="left"/>
              <w:rPr>
                <w:szCs w:val="24"/>
              </w:rPr>
            </w:pPr>
            <w:r>
              <w:rPr>
                <w:szCs w:val="24"/>
              </w:rPr>
              <w:t xml:space="preserve">les </w:t>
            </w:r>
            <w:r>
              <w:rPr>
                <w:szCs w:val="24"/>
              </w:rPr>
              <w:t>propriétaires de forêts privées privées (incluant ceux disposant d’un mandat tacite chaque fois que la règlementation en vigueur l’autorise) et leurs associations civiles ou foncières,</w:t>
            </w:r>
          </w:p>
          <w:p w:rsidR="0035701C" w:rsidRDefault="00FB561B" w:rsidP="00FB561B">
            <w:pPr>
              <w:numPr>
                <w:ilvl w:val="0"/>
                <w:numId w:val="569"/>
              </w:numPr>
              <w:spacing w:before="0" w:after="0"/>
              <w:ind w:hanging="210"/>
              <w:jc w:val="left"/>
              <w:rPr>
                <w:szCs w:val="24"/>
              </w:rPr>
            </w:pPr>
            <w:r>
              <w:rPr>
                <w:szCs w:val="24"/>
              </w:rPr>
              <w:t>les communes et leurs groupements,</w:t>
            </w:r>
          </w:p>
          <w:p w:rsidR="0035701C" w:rsidRDefault="00FB561B" w:rsidP="00FB561B">
            <w:pPr>
              <w:numPr>
                <w:ilvl w:val="0"/>
                <w:numId w:val="569"/>
              </w:numPr>
              <w:spacing w:before="0" w:after="0"/>
              <w:ind w:hanging="210"/>
              <w:jc w:val="left"/>
              <w:rPr>
                <w:szCs w:val="24"/>
              </w:rPr>
            </w:pPr>
            <w:r>
              <w:rPr>
                <w:szCs w:val="24"/>
              </w:rPr>
              <w:t>les gestionnaires forestiers (ONF)</w:t>
            </w:r>
          </w:p>
          <w:p w:rsidR="0035701C" w:rsidRDefault="00FB561B" w:rsidP="00FB561B">
            <w:pPr>
              <w:numPr>
                <w:ilvl w:val="0"/>
                <w:numId w:val="569"/>
              </w:numPr>
              <w:spacing w:before="0" w:after="240"/>
              <w:ind w:hanging="210"/>
              <w:jc w:val="left"/>
              <w:rPr>
                <w:szCs w:val="24"/>
              </w:rPr>
            </w:pPr>
            <w:r>
              <w:rPr>
                <w:szCs w:val="24"/>
              </w:rPr>
              <w:t>les organismes et établissements publics,</w:t>
            </w:r>
          </w:p>
          <w:p w:rsidR="0035701C" w:rsidRDefault="00FB561B">
            <w:pPr>
              <w:spacing w:before="240" w:after="240"/>
              <w:jc w:val="left"/>
              <w:rPr>
                <w:szCs w:val="24"/>
              </w:rPr>
            </w:pPr>
            <w:r>
              <w:rPr>
                <w:szCs w:val="24"/>
              </w:rPr>
              <w:t>Par délégation expresse des propriétaires forestiers et à la condition qu’elles soient titulaires des engagements liés à la réalisation des opérations : les structures de regroupement des investissements (GIEEF, Co</w:t>
            </w:r>
            <w:r>
              <w:rPr>
                <w:szCs w:val="24"/>
              </w:rPr>
              <w:t>opératives forestières OGEC…), les collectivités locales et les exploitants forestiers.</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1 - Les travaux sylvicoles, en dehors d’entretiens courants :</w:t>
            </w:r>
          </w:p>
          <w:p w:rsidR="0035701C" w:rsidRDefault="00FB561B" w:rsidP="00FB561B">
            <w:pPr>
              <w:numPr>
                <w:ilvl w:val="0"/>
                <w:numId w:val="570"/>
              </w:numPr>
              <w:spacing w:before="240" w:after="0"/>
              <w:ind w:hanging="210"/>
              <w:jc w:val="left"/>
              <w:rPr>
                <w:szCs w:val="24"/>
              </w:rPr>
            </w:pPr>
            <w:r>
              <w:rPr>
                <w:szCs w:val="24"/>
              </w:rPr>
              <w:t xml:space="preserve">Travaux liés à la reconstitution des peuplements : </w:t>
            </w:r>
          </w:p>
          <w:p w:rsidR="0035701C" w:rsidRDefault="00FB561B" w:rsidP="00FB561B">
            <w:pPr>
              <w:numPr>
                <w:ilvl w:val="1"/>
                <w:numId w:val="570"/>
              </w:numPr>
              <w:spacing w:before="0" w:after="0"/>
              <w:ind w:hanging="244"/>
              <w:jc w:val="left"/>
              <w:rPr>
                <w:szCs w:val="24"/>
              </w:rPr>
            </w:pPr>
            <w:r>
              <w:rPr>
                <w:szCs w:val="24"/>
              </w:rPr>
              <w:t xml:space="preserve">débroussaillement et préparation </w:t>
            </w:r>
            <w:r>
              <w:rPr>
                <w:szCs w:val="24"/>
              </w:rPr>
              <w:t>du terrain,</w:t>
            </w:r>
          </w:p>
          <w:p w:rsidR="0035701C" w:rsidRDefault="00FB561B" w:rsidP="00FB561B">
            <w:pPr>
              <w:numPr>
                <w:ilvl w:val="1"/>
                <w:numId w:val="570"/>
              </w:numPr>
              <w:spacing w:before="0" w:after="0"/>
              <w:ind w:hanging="244"/>
              <w:jc w:val="left"/>
              <w:rPr>
                <w:szCs w:val="24"/>
              </w:rPr>
            </w:pPr>
            <w:r>
              <w:rPr>
                <w:szCs w:val="24"/>
              </w:rPr>
              <w:t>les travaux de conversion (en futaie régulière ou irrégulière)</w:t>
            </w:r>
          </w:p>
          <w:p w:rsidR="0035701C" w:rsidRDefault="00FB561B" w:rsidP="00FB561B">
            <w:pPr>
              <w:numPr>
                <w:ilvl w:val="1"/>
                <w:numId w:val="570"/>
              </w:numPr>
              <w:spacing w:before="0" w:after="0"/>
              <w:ind w:hanging="244"/>
              <w:jc w:val="left"/>
              <w:rPr>
                <w:szCs w:val="24"/>
              </w:rPr>
            </w:pPr>
            <w:r>
              <w:rPr>
                <w:szCs w:val="24"/>
              </w:rPr>
              <w:t>les enrichissements des peuplements y compris l'achat, le transport, le stockage et le traitement des plants, et les trois premiers entretiens.</w:t>
            </w:r>
          </w:p>
          <w:p w:rsidR="0035701C" w:rsidRDefault="00FB561B" w:rsidP="00FB561B">
            <w:pPr>
              <w:numPr>
                <w:ilvl w:val="1"/>
                <w:numId w:val="570"/>
              </w:numPr>
              <w:spacing w:before="0" w:after="240"/>
              <w:ind w:hanging="244"/>
              <w:jc w:val="left"/>
              <w:rPr>
                <w:szCs w:val="24"/>
              </w:rPr>
            </w:pPr>
            <w:r>
              <w:rPr>
                <w:szCs w:val="24"/>
              </w:rPr>
              <w:t>la remise en état de suberaies dégrad</w:t>
            </w:r>
            <w:r>
              <w:rPr>
                <w:szCs w:val="24"/>
              </w:rPr>
              <w:t>ées (récolte de liège mâle, brûlé, surépais),</w:t>
            </w:r>
          </w:p>
          <w:p w:rsidR="0035701C" w:rsidRDefault="00FB561B">
            <w:pPr>
              <w:spacing w:before="240" w:after="240"/>
              <w:jc w:val="left"/>
              <w:rPr>
                <w:szCs w:val="24"/>
              </w:rPr>
            </w:pPr>
            <w:r>
              <w:rPr>
                <w:szCs w:val="24"/>
              </w:rPr>
              <w:t> </w:t>
            </w:r>
          </w:p>
          <w:p w:rsidR="0035701C" w:rsidRDefault="00FB561B" w:rsidP="00FB561B">
            <w:pPr>
              <w:numPr>
                <w:ilvl w:val="0"/>
                <w:numId w:val="571"/>
              </w:numPr>
              <w:spacing w:before="240" w:after="0"/>
              <w:ind w:hanging="210"/>
              <w:jc w:val="left"/>
              <w:rPr>
                <w:szCs w:val="24"/>
              </w:rPr>
            </w:pPr>
            <w:r>
              <w:rPr>
                <w:szCs w:val="24"/>
              </w:rPr>
              <w:t xml:space="preserve">et à leur amélioration ou leur régénération : </w:t>
            </w:r>
          </w:p>
          <w:p w:rsidR="0035701C" w:rsidRDefault="00FB561B" w:rsidP="00FB561B">
            <w:pPr>
              <w:numPr>
                <w:ilvl w:val="1"/>
                <w:numId w:val="571"/>
              </w:numPr>
              <w:spacing w:before="0" w:after="0"/>
              <w:ind w:hanging="244"/>
              <w:jc w:val="left"/>
              <w:rPr>
                <w:szCs w:val="24"/>
              </w:rPr>
            </w:pPr>
            <w:r>
              <w:rPr>
                <w:szCs w:val="24"/>
              </w:rPr>
              <w:t>dépressages favorisant la réduction de l’évapotranspiration et l’amélioration de la biodiversité,</w:t>
            </w:r>
          </w:p>
          <w:p w:rsidR="0035701C" w:rsidRDefault="00FB561B" w:rsidP="00FB561B">
            <w:pPr>
              <w:numPr>
                <w:ilvl w:val="1"/>
                <w:numId w:val="571"/>
              </w:numPr>
              <w:spacing w:before="0" w:after="0"/>
              <w:ind w:hanging="244"/>
              <w:jc w:val="left"/>
              <w:rPr>
                <w:szCs w:val="24"/>
              </w:rPr>
            </w:pPr>
            <w:r>
              <w:rPr>
                <w:szCs w:val="24"/>
              </w:rPr>
              <w:t>détourages en vue de réduire les effets du tassement du sol,</w:t>
            </w:r>
          </w:p>
          <w:p w:rsidR="0035701C" w:rsidRDefault="00FB561B" w:rsidP="00FB561B">
            <w:pPr>
              <w:numPr>
                <w:ilvl w:val="1"/>
                <w:numId w:val="571"/>
              </w:numPr>
              <w:spacing w:before="0" w:after="0"/>
              <w:ind w:hanging="244"/>
              <w:jc w:val="left"/>
              <w:rPr>
                <w:szCs w:val="24"/>
              </w:rPr>
            </w:pPr>
            <w:r>
              <w:rPr>
                <w:szCs w:val="24"/>
              </w:rPr>
              <w:t>les cloisonnements culturaux,</w:t>
            </w:r>
          </w:p>
          <w:p w:rsidR="0035701C" w:rsidRDefault="00FB561B" w:rsidP="00FB561B">
            <w:pPr>
              <w:numPr>
                <w:ilvl w:val="1"/>
                <w:numId w:val="571"/>
              </w:numPr>
              <w:spacing w:before="0" w:after="0"/>
              <w:ind w:hanging="244"/>
              <w:jc w:val="left"/>
              <w:rPr>
                <w:szCs w:val="24"/>
              </w:rPr>
            </w:pPr>
            <w:r>
              <w:rPr>
                <w:szCs w:val="24"/>
              </w:rPr>
              <w:t>éclaircies (désignation des tiges d’avenir à densité finale, éclaircies de taillis au profit des brins désignés, éclaircies déficitaires) : martelage, abattage, façonnage et débardage, traitement des souches et des rémanents,</w:t>
            </w:r>
          </w:p>
          <w:p w:rsidR="0035701C" w:rsidRDefault="00FB561B" w:rsidP="00FB561B">
            <w:pPr>
              <w:numPr>
                <w:ilvl w:val="1"/>
                <w:numId w:val="571"/>
              </w:numPr>
              <w:spacing w:before="0" w:after="0"/>
              <w:ind w:hanging="244"/>
              <w:jc w:val="left"/>
              <w:rPr>
                <w:szCs w:val="24"/>
              </w:rPr>
            </w:pPr>
            <w:r>
              <w:rPr>
                <w:szCs w:val="24"/>
              </w:rPr>
              <w:t>clôture des peuplements après exploitation en vue d’en éviter le pâturage et d’en protéger la régénération.</w:t>
            </w:r>
          </w:p>
          <w:p w:rsidR="0035701C" w:rsidRDefault="00FB561B" w:rsidP="00FB561B">
            <w:pPr>
              <w:numPr>
                <w:ilvl w:val="1"/>
                <w:numId w:val="571"/>
              </w:numPr>
              <w:spacing w:before="0" w:after="0"/>
              <w:ind w:hanging="244"/>
              <w:jc w:val="left"/>
              <w:rPr>
                <w:szCs w:val="24"/>
              </w:rPr>
            </w:pPr>
            <w:r>
              <w:rPr>
                <w:szCs w:val="24"/>
              </w:rPr>
              <w:t>les élagages et tailles de formation destinés à la production de bois à très long terme),</w:t>
            </w:r>
          </w:p>
          <w:p w:rsidR="0035701C" w:rsidRDefault="00FB561B" w:rsidP="00FB561B">
            <w:pPr>
              <w:numPr>
                <w:ilvl w:val="0"/>
                <w:numId w:val="571"/>
              </w:numPr>
              <w:spacing w:before="0" w:after="240"/>
              <w:ind w:hanging="210"/>
              <w:jc w:val="left"/>
              <w:rPr>
                <w:szCs w:val="24"/>
              </w:rPr>
            </w:pPr>
            <w:r>
              <w:rPr>
                <w:szCs w:val="24"/>
              </w:rPr>
              <w:t xml:space="preserve">les travaux connexes indispensables (fossés, protection </w:t>
            </w:r>
            <w:r>
              <w:rPr>
                <w:szCs w:val="24"/>
              </w:rPr>
              <w:t>contre les animaux, desserte interne au chantier et son raccordement sur une voirie opérationnelle.</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szCs w:val="24"/>
              </w:rPr>
              <w:t>2 - Les investissements d’accueil du public en forêt :</w:t>
            </w:r>
          </w:p>
          <w:p w:rsidR="0035701C" w:rsidRDefault="00FB561B" w:rsidP="00FB561B">
            <w:pPr>
              <w:numPr>
                <w:ilvl w:val="0"/>
                <w:numId w:val="572"/>
              </w:numPr>
              <w:spacing w:before="240" w:after="0"/>
              <w:ind w:hanging="210"/>
              <w:jc w:val="left"/>
              <w:rPr>
                <w:szCs w:val="24"/>
              </w:rPr>
            </w:pPr>
            <w:r>
              <w:rPr>
                <w:szCs w:val="24"/>
              </w:rPr>
              <w:t>L'aménagement d’aire d’accueil et ses équipements,  à destination d’un public touristique, y compri</w:t>
            </w:r>
            <w:r>
              <w:rPr>
                <w:szCs w:val="24"/>
              </w:rPr>
              <w:t>s la mise en sécurité du site,</w:t>
            </w:r>
          </w:p>
          <w:p w:rsidR="0035701C" w:rsidRDefault="00FB561B" w:rsidP="00FB561B">
            <w:pPr>
              <w:numPr>
                <w:ilvl w:val="0"/>
                <w:numId w:val="572"/>
              </w:numPr>
              <w:spacing w:before="0" w:after="0"/>
              <w:ind w:hanging="210"/>
              <w:jc w:val="left"/>
              <w:rPr>
                <w:szCs w:val="24"/>
              </w:rPr>
            </w:pPr>
            <w:r>
              <w:rPr>
                <w:szCs w:val="24"/>
              </w:rPr>
              <w:t>la création d’itinéraires thématiques et de randonnée (randonnées équestres, pédestres, voies vertes, vélo-routes …),</w:t>
            </w:r>
          </w:p>
          <w:p w:rsidR="0035701C" w:rsidRDefault="00FB561B" w:rsidP="00FB561B">
            <w:pPr>
              <w:numPr>
                <w:ilvl w:val="0"/>
                <w:numId w:val="572"/>
              </w:numPr>
              <w:spacing w:before="0" w:after="0"/>
              <w:ind w:hanging="210"/>
              <w:jc w:val="left"/>
              <w:rPr>
                <w:szCs w:val="24"/>
              </w:rPr>
            </w:pPr>
            <w:r>
              <w:rPr>
                <w:szCs w:val="24"/>
              </w:rPr>
              <w:t>les équipements didactiques, d’information et de signalétique, les infrastructures d’accès aux sites,</w:t>
            </w:r>
          </w:p>
          <w:p w:rsidR="0035701C" w:rsidRDefault="00FB561B" w:rsidP="00FB561B">
            <w:pPr>
              <w:numPr>
                <w:ilvl w:val="0"/>
                <w:numId w:val="572"/>
              </w:numPr>
              <w:spacing w:before="0" w:after="240"/>
              <w:ind w:hanging="210"/>
              <w:jc w:val="left"/>
              <w:rPr>
                <w:szCs w:val="24"/>
              </w:rPr>
            </w:pPr>
            <w:r>
              <w:rPr>
                <w:szCs w:val="24"/>
              </w:rPr>
              <w:t>les d</w:t>
            </w:r>
            <w:r>
              <w:rPr>
                <w:szCs w:val="24"/>
              </w:rPr>
              <w:t>épenses de communication afférentes (conception de guides…) dans la limite de 10% de l’opération.</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3 - Les frais généraux liés à l’opération dans la limite de 12% des dépenses totales éligibles de l’opération:</w:t>
            </w:r>
          </w:p>
          <w:p w:rsidR="0035701C" w:rsidRDefault="00FB561B" w:rsidP="00FB561B">
            <w:pPr>
              <w:numPr>
                <w:ilvl w:val="0"/>
                <w:numId w:val="573"/>
              </w:numPr>
              <w:spacing w:before="240" w:after="0"/>
              <w:ind w:hanging="244"/>
              <w:jc w:val="left"/>
              <w:rPr>
                <w:szCs w:val="24"/>
              </w:rPr>
            </w:pPr>
            <w:r>
              <w:rPr>
                <w:szCs w:val="24"/>
              </w:rPr>
              <w:t xml:space="preserve">Les études liées à la protection des </w:t>
            </w:r>
            <w:r>
              <w:rPr>
                <w:szCs w:val="24"/>
              </w:rPr>
              <w:t xml:space="preserve">écosystèmes forestiers, les études d’incidence écologique et environnementales et les études de diagnostic des risques associés aux changements climatiques en forêt en vue de préconiser des actions de gestion anticipative et adaptative. En conformité avec </w:t>
            </w:r>
            <w:r>
              <w:rPr>
                <w:szCs w:val="24"/>
              </w:rPr>
              <w:t>l’article 45.2c du R CE 1305/2013, les études de faisabilité demeurent des dépenses admissibles même lorsque compte tenu de leurs résultats aucune dépense d’investissement n'est engagée.</w:t>
            </w:r>
          </w:p>
          <w:p w:rsidR="0035701C" w:rsidRDefault="00FB561B" w:rsidP="00FB561B">
            <w:pPr>
              <w:numPr>
                <w:ilvl w:val="0"/>
                <w:numId w:val="573"/>
              </w:numPr>
              <w:spacing w:before="0" w:after="240"/>
              <w:ind w:hanging="244"/>
              <w:jc w:val="left"/>
              <w:rPr>
                <w:szCs w:val="24"/>
              </w:rPr>
            </w:pPr>
            <w:r>
              <w:rPr>
                <w:szCs w:val="24"/>
              </w:rPr>
              <w:t>La maîtrise d’œuvre.</w:t>
            </w:r>
          </w:p>
          <w:p w:rsidR="0035701C" w:rsidRDefault="00FB561B">
            <w:pPr>
              <w:spacing w:before="240" w:after="240"/>
              <w:jc w:val="left"/>
              <w:rPr>
                <w:szCs w:val="24"/>
              </w:rPr>
            </w:pPr>
            <w:r>
              <w:rPr>
                <w:b/>
                <w:bCs/>
                <w:szCs w:val="24"/>
              </w:rPr>
              <w:t>Investissements inéligibles :</w:t>
            </w:r>
          </w:p>
          <w:p w:rsidR="0035701C" w:rsidRDefault="00FB561B" w:rsidP="00FB561B">
            <w:pPr>
              <w:numPr>
                <w:ilvl w:val="0"/>
                <w:numId w:val="574"/>
              </w:numPr>
              <w:spacing w:before="240" w:after="0"/>
              <w:ind w:hanging="210"/>
              <w:jc w:val="left"/>
              <w:rPr>
                <w:szCs w:val="24"/>
              </w:rPr>
            </w:pPr>
            <w:r>
              <w:rPr>
                <w:szCs w:val="24"/>
              </w:rPr>
              <w:t>achat de foncier</w:t>
            </w:r>
          </w:p>
          <w:p w:rsidR="0035701C" w:rsidRDefault="00FB561B" w:rsidP="00FB561B">
            <w:pPr>
              <w:numPr>
                <w:ilvl w:val="0"/>
                <w:numId w:val="574"/>
              </w:numPr>
              <w:spacing w:before="0" w:after="0"/>
              <w:ind w:hanging="210"/>
              <w:jc w:val="left"/>
              <w:rPr>
                <w:szCs w:val="24"/>
              </w:rPr>
            </w:pPr>
            <w:r>
              <w:rPr>
                <w:szCs w:val="24"/>
              </w:rPr>
              <w:t>L</w:t>
            </w:r>
            <w:r>
              <w:rPr>
                <w:szCs w:val="24"/>
              </w:rPr>
              <w:t>a reconstitution des peuplements à l’identique n’est pas éligible</w:t>
            </w:r>
          </w:p>
          <w:p w:rsidR="0035701C" w:rsidRDefault="00FB561B" w:rsidP="00FB561B">
            <w:pPr>
              <w:numPr>
                <w:ilvl w:val="0"/>
                <w:numId w:val="574"/>
              </w:numPr>
              <w:spacing w:before="0" w:after="240"/>
              <w:ind w:hanging="210"/>
              <w:jc w:val="left"/>
              <w:rPr>
                <w:szCs w:val="24"/>
              </w:rPr>
            </w:pPr>
            <w:r>
              <w:rPr>
                <w:szCs w:val="24"/>
              </w:rPr>
              <w:t>Les demandes d'aide portant exclusivement sur les entretiens sont inéligibles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Pour les interventions sylvicoles visant à l’amélioration de la résilience et de la</w:t>
            </w:r>
            <w:r>
              <w:rPr>
                <w:szCs w:val="24"/>
              </w:rPr>
              <w:t xml:space="preserve"> valeur environnementale des écosystèmes forestiers :</w:t>
            </w:r>
          </w:p>
          <w:p w:rsidR="0035701C" w:rsidRDefault="00FB561B" w:rsidP="00FB561B">
            <w:pPr>
              <w:numPr>
                <w:ilvl w:val="0"/>
                <w:numId w:val="575"/>
              </w:numPr>
              <w:spacing w:before="240" w:after="0"/>
              <w:ind w:hanging="210"/>
              <w:jc w:val="left"/>
              <w:rPr>
                <w:szCs w:val="24"/>
              </w:rPr>
            </w:pPr>
            <w:r>
              <w:rPr>
                <w:szCs w:val="24"/>
              </w:rPr>
              <w:t xml:space="preserve">les forêts doivent être dotées d’un plan de gestion durable ou d’un instrument équivalent : </w:t>
            </w:r>
          </w:p>
          <w:p w:rsidR="0035701C" w:rsidRDefault="00FB561B" w:rsidP="00FB561B">
            <w:pPr>
              <w:numPr>
                <w:ilvl w:val="1"/>
                <w:numId w:val="575"/>
              </w:numPr>
              <w:spacing w:before="0" w:after="0"/>
              <w:ind w:hanging="244"/>
              <w:jc w:val="left"/>
              <w:rPr>
                <w:szCs w:val="24"/>
              </w:rPr>
            </w:pPr>
            <w:r>
              <w:rPr>
                <w:szCs w:val="24"/>
              </w:rPr>
              <w:t>Les forêts privées doivent faire l’objet d’un Plan Simple de Gestion (PSG), d’un Règlement Type de Gestion (R</w:t>
            </w:r>
            <w:r>
              <w:rPr>
                <w:szCs w:val="24"/>
              </w:rPr>
              <w:t>TG), ou répondre au Code des Bonnes Pratiques Sylvicoles (CBPS) ;</w:t>
            </w:r>
          </w:p>
          <w:p w:rsidR="0035701C" w:rsidRDefault="00FB561B" w:rsidP="00FB561B">
            <w:pPr>
              <w:numPr>
                <w:ilvl w:val="1"/>
                <w:numId w:val="575"/>
              </w:numPr>
              <w:spacing w:before="0" w:after="240"/>
              <w:ind w:hanging="244"/>
              <w:jc w:val="left"/>
              <w:rPr>
                <w:szCs w:val="24"/>
              </w:rPr>
            </w:pPr>
            <w:r>
              <w:rPr>
                <w:szCs w:val="24"/>
              </w:rPr>
              <w:t>les forêts publiques soumises au régime forestier doivent disposer d'un aménagement forestier en cours de validité.</w:t>
            </w:r>
          </w:p>
          <w:p w:rsidR="0035701C" w:rsidRDefault="00FB561B">
            <w:pPr>
              <w:spacing w:before="240" w:after="240"/>
              <w:jc w:val="left"/>
              <w:rPr>
                <w:szCs w:val="24"/>
              </w:rPr>
            </w:pPr>
            <w:r>
              <w:rPr>
                <w:szCs w:val="24"/>
              </w:rPr>
              <w:t>Pour l’ensemble des opérations au titre de la mesure 8.5 le projet devra c</w:t>
            </w:r>
            <w:r>
              <w:rPr>
                <w:szCs w:val="24"/>
              </w:rPr>
              <w:t>omporter une évaluation conformément à l’article 45.1 du règlement (UE) 1305/2013 dont le contenu sera fixé par l’AG, portant sur :</w:t>
            </w:r>
          </w:p>
          <w:p w:rsidR="0035701C" w:rsidRDefault="00FB561B" w:rsidP="00FB561B">
            <w:pPr>
              <w:numPr>
                <w:ilvl w:val="0"/>
                <w:numId w:val="576"/>
              </w:numPr>
              <w:spacing w:before="240" w:after="0"/>
              <w:ind w:hanging="210"/>
              <w:jc w:val="left"/>
              <w:rPr>
                <w:szCs w:val="24"/>
              </w:rPr>
            </w:pPr>
            <w:r>
              <w:rPr>
                <w:szCs w:val="24"/>
              </w:rPr>
              <w:t>l'incidence écologique et environnementale, et</w:t>
            </w:r>
          </w:p>
          <w:p w:rsidR="0035701C" w:rsidRDefault="00FB561B" w:rsidP="00FB561B">
            <w:pPr>
              <w:numPr>
                <w:ilvl w:val="0"/>
                <w:numId w:val="576"/>
              </w:numPr>
              <w:spacing w:before="0" w:after="240"/>
              <w:ind w:hanging="210"/>
              <w:jc w:val="left"/>
              <w:rPr>
                <w:szCs w:val="24"/>
              </w:rPr>
            </w:pPr>
            <w:r>
              <w:rPr>
                <w:szCs w:val="24"/>
              </w:rPr>
              <w:t xml:space="preserve">lorsque cela est nécessaire de l’impact de la fréquentation du site </w:t>
            </w:r>
            <w:r>
              <w:rPr>
                <w:szCs w:val="24"/>
              </w:rPr>
              <w:t>consécutif à son aménagement.</w:t>
            </w:r>
          </w:p>
          <w:p w:rsidR="0035701C" w:rsidRDefault="00FB561B">
            <w:pPr>
              <w:spacing w:before="240" w:after="240"/>
              <w:jc w:val="left"/>
              <w:rPr>
                <w:szCs w:val="24"/>
              </w:rPr>
            </w:pPr>
            <w:r>
              <w:rPr>
                <w:szCs w:val="24"/>
              </w:rPr>
              <w:t>Si le projet est situé en totalité ou en partie sur une zone classée Natura 2000, les investissements doivent respecter les préconisations du document d’objectif (DOCOB).</w:t>
            </w:r>
          </w:p>
          <w:p w:rsidR="0035701C" w:rsidRDefault="0035701C">
            <w:pPr>
              <w:pStyle w:val="Corpsdetexte"/>
            </w:pPr>
          </w:p>
        </w:tc>
      </w:tr>
    </w:tbl>
    <w:p w:rsidR="0035701C" w:rsidRDefault="00FB561B">
      <w:pPr>
        <w:pStyle w:val="Titre6"/>
      </w:pPr>
      <w:r>
        <w:t xml:space="preserve">Principes applicables à l'établissement des critères </w:t>
      </w:r>
      <w:r>
        <w:t>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principes de sélection des opérations porteront sur :</w:t>
            </w:r>
          </w:p>
          <w:p w:rsidR="0035701C" w:rsidRDefault="00FB561B" w:rsidP="00FB561B">
            <w:pPr>
              <w:numPr>
                <w:ilvl w:val="0"/>
                <w:numId w:val="577"/>
              </w:numPr>
              <w:spacing w:before="240" w:after="0"/>
              <w:ind w:hanging="210"/>
              <w:jc w:val="left"/>
              <w:rPr>
                <w:szCs w:val="24"/>
              </w:rPr>
            </w:pPr>
            <w:r>
              <w:rPr>
                <w:szCs w:val="24"/>
              </w:rPr>
              <w:t xml:space="preserve">L’adéquation des interventions proposées avec les guides techniques de référence, notamment : </w:t>
            </w:r>
          </w:p>
          <w:p w:rsidR="0035701C" w:rsidRDefault="00FB561B" w:rsidP="00FB561B">
            <w:pPr>
              <w:numPr>
                <w:ilvl w:val="1"/>
                <w:numId w:val="577"/>
              </w:numPr>
              <w:spacing w:before="0" w:after="0"/>
              <w:ind w:hanging="244"/>
              <w:jc w:val="left"/>
              <w:rPr>
                <w:szCs w:val="24"/>
              </w:rPr>
            </w:pPr>
            <w:r>
              <w:rPr>
                <w:szCs w:val="24"/>
              </w:rPr>
              <w:t xml:space="preserve">pour le pin laricio : "contribution à la conduite des peuplements de pin laricio", édité </w:t>
            </w:r>
            <w:r>
              <w:rPr>
                <w:szCs w:val="24"/>
              </w:rPr>
              <w:t>par l'Office National des Forêts,</w:t>
            </w:r>
          </w:p>
          <w:p w:rsidR="0035701C" w:rsidRDefault="00FB561B" w:rsidP="00FB561B">
            <w:pPr>
              <w:numPr>
                <w:ilvl w:val="1"/>
                <w:numId w:val="577"/>
              </w:numPr>
              <w:spacing w:before="0" w:after="0"/>
              <w:ind w:hanging="244"/>
              <w:jc w:val="left"/>
              <w:rPr>
                <w:szCs w:val="24"/>
              </w:rPr>
            </w:pPr>
            <w:r>
              <w:rPr>
                <w:szCs w:val="24"/>
              </w:rPr>
              <w:t>pour le châtaignier : "guide des sylvicultures du Châtaignier", édité par la CRPF,</w:t>
            </w:r>
          </w:p>
          <w:p w:rsidR="0035701C" w:rsidRDefault="00FB561B" w:rsidP="00FB561B">
            <w:pPr>
              <w:numPr>
                <w:ilvl w:val="1"/>
                <w:numId w:val="577"/>
              </w:numPr>
              <w:spacing w:before="0" w:after="0"/>
              <w:ind w:hanging="244"/>
              <w:jc w:val="left"/>
              <w:rPr>
                <w:szCs w:val="24"/>
              </w:rPr>
            </w:pPr>
            <w:r>
              <w:rPr>
                <w:szCs w:val="24"/>
              </w:rPr>
              <w:t>pour le chêne-liège : "guide technique de gestion des forêts de chêne-liège", édité par l'ODARC,</w:t>
            </w:r>
          </w:p>
          <w:p w:rsidR="0035701C" w:rsidRDefault="00FB561B" w:rsidP="00FB561B">
            <w:pPr>
              <w:numPr>
                <w:ilvl w:val="1"/>
                <w:numId w:val="577"/>
              </w:numPr>
              <w:spacing w:before="0" w:after="240"/>
              <w:ind w:hanging="244"/>
              <w:jc w:val="left"/>
              <w:rPr>
                <w:szCs w:val="24"/>
              </w:rPr>
            </w:pPr>
            <w:r>
              <w:rPr>
                <w:szCs w:val="24"/>
              </w:rPr>
              <w:t>pour le chêne vert : "guide pratique de ge</w:t>
            </w:r>
            <w:r>
              <w:rPr>
                <w:szCs w:val="24"/>
              </w:rPr>
              <w:t>stion des forêts de chêne-vert", édité par l'ODARC.</w:t>
            </w:r>
          </w:p>
          <w:p w:rsidR="0035701C" w:rsidRDefault="00FB561B" w:rsidP="00FB561B">
            <w:pPr>
              <w:numPr>
                <w:ilvl w:val="0"/>
                <w:numId w:val="578"/>
              </w:numPr>
              <w:spacing w:before="240" w:after="0"/>
              <w:ind w:hanging="210"/>
              <w:jc w:val="left"/>
              <w:rPr>
                <w:szCs w:val="24"/>
              </w:rPr>
            </w:pPr>
            <w:r>
              <w:rPr>
                <w:szCs w:val="24"/>
              </w:rPr>
              <w:t>L’impact environnemental de l’opération en tenant compte notamment de l’existence d’une certification environnementale de la forêt.</w:t>
            </w:r>
          </w:p>
          <w:p w:rsidR="0035701C" w:rsidRDefault="00FB561B" w:rsidP="00FB561B">
            <w:pPr>
              <w:numPr>
                <w:ilvl w:val="0"/>
                <w:numId w:val="578"/>
              </w:numPr>
              <w:spacing w:before="0" w:after="0"/>
              <w:ind w:hanging="210"/>
              <w:jc w:val="left"/>
              <w:rPr>
                <w:szCs w:val="24"/>
              </w:rPr>
            </w:pPr>
            <w:r>
              <w:rPr>
                <w:szCs w:val="24"/>
              </w:rPr>
              <w:t xml:space="preserve">La contribution du projet au renforcement du caractère d’utilité public </w:t>
            </w:r>
            <w:r>
              <w:rPr>
                <w:szCs w:val="24"/>
              </w:rPr>
              <w:t>des forêts.</w:t>
            </w:r>
          </w:p>
          <w:p w:rsidR="0035701C" w:rsidRDefault="00FB561B" w:rsidP="00FB561B">
            <w:pPr>
              <w:numPr>
                <w:ilvl w:val="0"/>
                <w:numId w:val="578"/>
              </w:numPr>
              <w:spacing w:before="0" w:after="240"/>
              <w:ind w:hanging="210"/>
              <w:jc w:val="left"/>
              <w:rPr>
                <w:szCs w:val="24"/>
              </w:rPr>
            </w:pPr>
            <w:r>
              <w:rPr>
                <w:szCs w:val="24"/>
              </w:rPr>
              <w:t>Le caractère collectif de la démarche du projet.</w:t>
            </w:r>
          </w:p>
          <w:p w:rsidR="0035701C" w:rsidRDefault="00FB561B">
            <w:pPr>
              <w:spacing w:before="240" w:after="240"/>
              <w:jc w:val="left"/>
              <w:rPr>
                <w:szCs w:val="24"/>
              </w:rPr>
            </w:pPr>
            <w:r>
              <w:rPr>
                <w:szCs w:val="24"/>
              </w:rPr>
              <w:t>La mesure sera mise en œuvre par appel à projet.</w:t>
            </w:r>
          </w:p>
          <w:p w:rsidR="0035701C" w:rsidRDefault="00FB561B">
            <w:pPr>
              <w:spacing w:before="240" w:after="240"/>
              <w:jc w:val="left"/>
              <w:rPr>
                <w:szCs w:val="24"/>
              </w:rPr>
            </w:pPr>
            <w:r>
              <w:rPr>
                <w:szCs w:val="24"/>
              </w:rPr>
              <w:t xml:space="preserve">La grille de sélection des opérations prévoira l'établissement d'un système de points permettant le classement des dossiers et la fixation d'un </w:t>
            </w:r>
            <w:r>
              <w:rPr>
                <w:szCs w:val="24"/>
              </w:rPr>
              <w:t>seuil minimal pour accéder au soutien au titre du PDRC</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Taux d'aide publique :</w:t>
            </w:r>
          </w:p>
          <w:p w:rsidR="0035701C" w:rsidRDefault="00FB561B" w:rsidP="00FB561B">
            <w:pPr>
              <w:numPr>
                <w:ilvl w:val="0"/>
                <w:numId w:val="579"/>
              </w:numPr>
              <w:spacing w:before="240" w:after="240"/>
              <w:ind w:hanging="210"/>
              <w:jc w:val="left"/>
              <w:rPr>
                <w:szCs w:val="24"/>
              </w:rPr>
            </w:pPr>
            <w:r>
              <w:rPr>
                <w:szCs w:val="24"/>
              </w:rPr>
              <w:t>Travaux sylvicoles de reconstitution et d’amélioration des forêts : 80%</w:t>
            </w:r>
          </w:p>
          <w:p w:rsidR="0035701C" w:rsidRDefault="00FB561B">
            <w:pPr>
              <w:spacing w:before="240" w:after="240"/>
              <w:ind w:left="600"/>
              <w:jc w:val="left"/>
              <w:rPr>
                <w:szCs w:val="24"/>
              </w:rPr>
            </w:pPr>
            <w:r>
              <w:rPr>
                <w:szCs w:val="24"/>
              </w:rPr>
              <w:t xml:space="preserve">Ce taux est bonifié de + 10% pour ce qui concerne la remise en </w:t>
            </w:r>
            <w:r>
              <w:rPr>
                <w:szCs w:val="24"/>
              </w:rPr>
              <w:t>état de suberaies dégradées (récolte de liège mâle, brûlé, surépais), et dans le cadre de projet de R&amp;D participant au PEI.</w:t>
            </w:r>
          </w:p>
          <w:p w:rsidR="0035701C" w:rsidRDefault="00FB561B" w:rsidP="00FB561B">
            <w:pPr>
              <w:numPr>
                <w:ilvl w:val="0"/>
                <w:numId w:val="580"/>
              </w:numPr>
              <w:spacing w:before="240" w:after="240"/>
              <w:ind w:hanging="210"/>
              <w:jc w:val="left"/>
              <w:rPr>
                <w:szCs w:val="24"/>
              </w:rPr>
            </w:pPr>
            <w:r>
              <w:rPr>
                <w:szCs w:val="24"/>
              </w:rPr>
              <w:t>Investissements liés à l’accueil du public en forêt : 80%</w:t>
            </w:r>
          </w:p>
          <w:p w:rsidR="0035701C" w:rsidRDefault="00FB561B">
            <w:pPr>
              <w:spacing w:before="240" w:after="240"/>
              <w:jc w:val="left"/>
              <w:rPr>
                <w:szCs w:val="24"/>
              </w:rPr>
            </w:pPr>
            <w:r>
              <w:rPr>
                <w:szCs w:val="24"/>
              </w:rPr>
              <w:t xml:space="preserve">Le taux d'aide publique appliqué au dossier correspondra au maximum </w:t>
            </w:r>
            <w:r>
              <w:rPr>
                <w:szCs w:val="24"/>
              </w:rPr>
              <w:t>autorisé par le régime d'aide d'Etat appliqué audit dossier, si ce maximum est plus restrictif que le taux prévu par le PDR ; ce maximum ne pourra être supérieur aux taux mentionnés ci-dessus.</w:t>
            </w:r>
          </w:p>
          <w:p w:rsidR="0035701C" w:rsidRDefault="0035701C">
            <w:pPr>
              <w:pStyle w:val="Corpsdetexte"/>
            </w:pPr>
          </w:p>
        </w:tc>
      </w:tr>
    </w:tbl>
    <w:p w:rsidR="0035701C" w:rsidRDefault="00FB561B">
      <w:pPr>
        <w:pStyle w:val="Titre6"/>
      </w:pPr>
      <w:r>
        <w:t>Caractère vérifiable et contrôlable des mesures et/ou types d</w:t>
      </w:r>
      <w:r>
        <w:t>'opérations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 :</w:t>
            </w:r>
          </w:p>
          <w:p w:rsidR="0035701C" w:rsidRDefault="00FB561B">
            <w:pPr>
              <w:spacing w:before="240" w:after="240"/>
              <w:jc w:val="left"/>
              <w:rPr>
                <w:szCs w:val="24"/>
              </w:rPr>
            </w:pPr>
            <w:r>
              <w:rPr>
                <w:szCs w:val="24"/>
              </w:rPr>
              <w:t xml:space="preserve">- L'OP a demandé que soient bien décrits les pétitionnaires susceptibles d'être bénéficiaires de cette opération. Les éléments de Droit, les </w:t>
            </w:r>
            <w:r>
              <w:rPr>
                <w:szCs w:val="24"/>
              </w:rPr>
              <w:t>précisions apportées au présent texte, ainsi que le détail des éléments de réponse à fournir sur les appels à projet sont satisfaisants.  La mise en place d'un contrôle croisé sur les aides de même type ou de même public cible sera formalisé. Une attention</w:t>
            </w:r>
            <w:r>
              <w:rPr>
                <w:szCs w:val="24"/>
              </w:rPr>
              <w:t xml:space="preserve"> particulière sera apportée sur la bonne évaluation du taux d'aide.</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n°1 - R1  : Pour les formes juridiques sociétaires ou associatives, les collectivités, conformité des statut</w:t>
            </w:r>
            <w:r>
              <w:rPr>
                <w:szCs w:val="24"/>
              </w:rPr>
              <w:t>s et actes, mise à jour effective et conforme au long de la période d’engagement. Vérification de la qualité de propriétaire foncier (source : Législation nationale : décalage entre Droit Social, Droit des Sociétés, Droit Rural, Législation nationale du Dr</w:t>
            </w:r>
            <w:r>
              <w:rPr>
                <w:szCs w:val="24"/>
              </w:rPr>
              <w:t>oit de Propriété, Droit des Successions, Droit Fiscal (modification pour la forêt en 2012))</w:t>
            </w:r>
          </w:p>
          <w:p w:rsidR="0035701C" w:rsidRDefault="00FB561B">
            <w:pPr>
              <w:spacing w:before="240" w:after="240"/>
              <w:jc w:val="left"/>
              <w:rPr>
                <w:szCs w:val="24"/>
              </w:rPr>
            </w:pPr>
            <w:r>
              <w:rPr>
                <w:szCs w:val="24"/>
              </w:rPr>
              <w:t>n°2 - R10 : Pour tous les travaux il existe un risque de surfaces déjà financées par ailleurs (toujours sous engagement d'anciens contrats, ou financées sur les opé</w:t>
            </w:r>
            <w:r>
              <w:rPr>
                <w:szCs w:val="24"/>
              </w:rPr>
              <w:t>rations à destination de la foresterie ou par exemple sur l'accueil du public en forêt 2007-2013. (source : Ponctuel sur Retour d'Expérience)</w:t>
            </w:r>
          </w:p>
          <w:p w:rsidR="0035701C" w:rsidRDefault="00FB561B">
            <w:pPr>
              <w:spacing w:before="240" w:after="240"/>
              <w:jc w:val="left"/>
              <w:rPr>
                <w:szCs w:val="24"/>
              </w:rPr>
            </w:pPr>
            <w:r>
              <w:rPr>
                <w:szCs w:val="24"/>
              </w:rPr>
              <w:t xml:space="preserve">n°3 - R11 : Détail précis et méthodologie de calcul du taux d'aide selon les critères d'éligibilité, et/ou </w:t>
            </w:r>
            <w:r>
              <w:rPr>
                <w:szCs w:val="24"/>
              </w:rPr>
              <w:t>critères de sélection. Sensibilisation de l'administration et des bénéficiaires. (source : 2007-2013 en continu Formation de l'administration, des Partenaires, des Bénéficiaires, Multiplicité des précisions sur « Guidance » (notes de cadrage).</w:t>
            </w:r>
          </w:p>
          <w:p w:rsidR="0035701C" w:rsidRDefault="0035701C">
            <w:pPr>
              <w:pStyle w:val="Corpsdetexte"/>
            </w:pPr>
          </w:p>
        </w:tc>
      </w:tr>
    </w:tbl>
    <w:p w:rsidR="0035701C" w:rsidRDefault="00FB561B">
      <w:pPr>
        <w:pStyle w:val="Titre7"/>
      </w:pPr>
      <w:r>
        <w:t>Mesures d’</w:t>
      </w:r>
      <w:r>
        <w:t>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VERIFIER Pour les formes juridiques sociétaires ou associatives, conformité des statuts et actes, mise à jour effective et conforme. VERIFIER la qualité de propriétaire foncier des partenaires.</w:t>
            </w:r>
          </w:p>
          <w:p w:rsidR="0035701C" w:rsidRDefault="00FB561B">
            <w:pPr>
              <w:spacing w:before="240" w:after="240"/>
              <w:jc w:val="left"/>
              <w:rPr>
                <w:szCs w:val="24"/>
              </w:rPr>
            </w:pPr>
            <w:r>
              <w:rPr>
                <w:szCs w:val="24"/>
              </w:rPr>
              <w:t>n°2 - R10 : EXECUTER UN CONTRÔLE CROIS</w:t>
            </w:r>
            <w:r>
              <w:rPr>
                <w:szCs w:val="24"/>
              </w:rPr>
              <w:t>E des aides aux bénéficiaires de l'opération avec celles des bénéficiaires secondaires dans le cas notamment des structures de regroupement. MAINTENIR ce point de contrôle administratif de la demande d'aide à la fin de la période d'engagement..</w:t>
            </w:r>
          </w:p>
          <w:p w:rsidR="0035701C" w:rsidRDefault="00FB561B">
            <w:pPr>
              <w:spacing w:before="240" w:after="240"/>
              <w:jc w:val="left"/>
              <w:rPr>
                <w:szCs w:val="24"/>
              </w:rPr>
            </w:pPr>
            <w:r>
              <w:rPr>
                <w:szCs w:val="24"/>
              </w:rPr>
              <w:t>n°3 - R11 :</w:t>
            </w:r>
            <w:r>
              <w:rPr>
                <w:szCs w:val="24"/>
              </w:rPr>
              <w:t xml:space="preserve"> VERIFIER le taux d’aide en fonction des critères à appliquer.</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Au vu des cotations matricielles, sur le poids financier de la mesure (&lt;5%), sur les priorités, les risques, les mesures d’atténuation prévues, cette mesure re</w:t>
            </w:r>
            <w:r>
              <w:rPr>
                <w:szCs w:val="24"/>
              </w:rPr>
              <w:t>çoit une évaluation  favorable peu risquée ; Les mécanismes de mise en œuvre sont connus et maîtrisés par tous les acteurs.</w:t>
            </w:r>
          </w:p>
          <w:p w:rsidR="0035701C" w:rsidRDefault="00FB561B">
            <w:pPr>
              <w:spacing w:before="240" w:after="240"/>
              <w:jc w:val="left"/>
              <w:rPr>
                <w:szCs w:val="24"/>
              </w:rPr>
            </w:pPr>
            <w:r>
              <w:rPr>
                <w:szCs w:val="24"/>
              </w:rPr>
              <w:t xml:space="preserve">- Concernant l'évaluation globale de la mesure : la mesure est contrôlable sous réserve de la mise en place d'actions d'atténuation </w:t>
            </w:r>
            <w:r>
              <w:rPr>
                <w:szCs w:val="24"/>
              </w:rPr>
              <w:t>et des précisions apportées dans les documents de mise en œuvre notamment sur la nécessité de bien contrôler la qualité de propriétaire foncier des partenaires de l'opération, et de vérifier l'inexistence de financements précédents ou déjà engagés auprès d</w:t>
            </w:r>
            <w:r>
              <w:rPr>
                <w:szCs w:val="24"/>
              </w:rPr>
              <w:t>es bénéficiaires principaux et secondaires. Une information relative aux taux d'aide possibles devra être mise en place.</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Définition et </w:t>
      </w:r>
      <w:r>
        <w:t>justification de la taille d’exploitation au-delà de laquelle l’octroi d’un sioutien est subordonné à la présentation d’un plan de gestion forestière ou d’un instrument équivalent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D’après le code forestier :</w:t>
            </w:r>
          </w:p>
          <w:p w:rsidR="0035701C" w:rsidRDefault="00FB561B">
            <w:pPr>
              <w:spacing w:before="240" w:after="240"/>
              <w:jc w:val="left"/>
              <w:rPr>
                <w:szCs w:val="24"/>
              </w:rPr>
            </w:pPr>
            <w:r>
              <w:rPr>
                <w:szCs w:val="24"/>
              </w:rPr>
              <w:t>- un document d’Aménagement arrêté par l’État (p</w:t>
            </w:r>
            <w:r>
              <w:rPr>
                <w:szCs w:val="24"/>
              </w:rPr>
              <w:t>our les forêts publiques relevant du Régime forestier) quelque soit la surface de la propriété</w:t>
            </w:r>
            <w:r>
              <w:rPr>
                <w:szCs w:val="24"/>
              </w:rPr>
              <w:br/>
              <w:t>- un Plan Simple de Gestion agréé par le CNPF (pour les forêts privées ou publiques ne relevant pas du Régime forestier, à partir de 25 ha d’un seul tenant)</w:t>
            </w:r>
          </w:p>
          <w:p w:rsidR="0035701C" w:rsidRDefault="0035701C">
            <w:pPr>
              <w:pStyle w:val="Corpsdetexte"/>
            </w:pPr>
          </w:p>
        </w:tc>
      </w:tr>
    </w:tbl>
    <w:p w:rsidR="0035701C" w:rsidRDefault="00FB561B">
      <w:r>
        <w:t>Dé</w:t>
      </w:r>
      <w:r>
        <w:t>finition de la notion d'«instrument équivalent»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un Règlement Type de Gestion agréé par le CRPF (pour les forêts privées) sous réserve que le propriétaire soit membre de la coopérative ou ait un contrat avec l'expert qui a fait agréer le règlement</w:t>
            </w:r>
            <w:r>
              <w:rPr>
                <w:szCs w:val="24"/>
              </w:rPr>
              <w:br/>
              <w:t>- un Co</w:t>
            </w:r>
            <w:r>
              <w:rPr>
                <w:szCs w:val="24"/>
              </w:rPr>
              <w:t>de de Bonnes Pratiques Sylvicoles (sous réserve d’adhésion).</w:t>
            </w:r>
          </w:p>
          <w:p w:rsidR="0035701C" w:rsidRDefault="0035701C">
            <w:pPr>
              <w:pStyle w:val="Corpsdetexte"/>
            </w:pPr>
          </w:p>
        </w:tc>
      </w:tr>
    </w:tbl>
    <w:p w:rsidR="0035701C" w:rsidRDefault="00FB561B">
      <w:r>
        <w:t xml:space="preserve">[Boisement et création de surfaces boisées] Détermination des espèces à planter, des surfaces et des méthodes à utiliser pour éviter le boisement inadéquat, comme indiqué à l'article 6, point </w:t>
      </w:r>
      <w:r>
        <w:t>a), du règlement délégué (UE) n° 807/2014, et description des conditions environnementales et climatiques des zones dans lesquelles un boisement est prévu conformément à l'article 6, point b), du même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Non concerné</w:t>
            </w:r>
          </w:p>
          <w:p w:rsidR="0035701C" w:rsidRDefault="0035701C">
            <w:pPr>
              <w:pStyle w:val="Corpsdetexte"/>
            </w:pPr>
          </w:p>
        </w:tc>
      </w:tr>
    </w:tbl>
    <w:p w:rsidR="0035701C" w:rsidRDefault="00FB561B">
      <w:r>
        <w:t>[Boisement et création de surf</w:t>
      </w:r>
      <w:r>
        <w:t>aces boisées] Définition des exigences environnementales minimales visées à l’article 6 du règlement délégué (UE) nº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Non concerné</w:t>
            </w:r>
          </w:p>
          <w:p w:rsidR="0035701C" w:rsidRDefault="0035701C">
            <w:pPr>
              <w:pStyle w:val="Corpsdetexte"/>
            </w:pPr>
          </w:p>
        </w:tc>
      </w:tr>
    </w:tbl>
    <w:p w:rsidR="0035701C" w:rsidRDefault="00FB561B">
      <w:r>
        <w:t>[Mise en place de systèmes agroforestiers ] Spécification du nombre minimal et maximal d’arbres à planter et à cons</w:t>
      </w:r>
      <w:r>
        <w:t>erver une fois adultes, par hectare et espèce forestière admise, conformément à l’article 23, paragraphe 2,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Non concerné</w:t>
            </w:r>
          </w:p>
          <w:p w:rsidR="0035701C" w:rsidRDefault="0035701C">
            <w:pPr>
              <w:pStyle w:val="Corpsdetexte"/>
            </w:pPr>
          </w:p>
        </w:tc>
      </w:tr>
    </w:tbl>
    <w:p w:rsidR="0035701C" w:rsidRDefault="00FB561B">
      <w:r>
        <w:t>[Mise en place de systèmes agroforestiers] Indication des bénéfices environnementaux des systèmes sout</w:t>
      </w:r>
      <w:r>
        <w:t>enus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Non concerné</w:t>
            </w:r>
          </w:p>
          <w:p w:rsidR="0035701C" w:rsidRDefault="0035701C">
            <w:pPr>
              <w:pStyle w:val="Corpsdetexte"/>
            </w:pPr>
          </w:p>
        </w:tc>
      </w:tr>
    </w:tbl>
    <w:p w:rsidR="0035701C" w:rsidRDefault="00FB561B">
      <w:r>
        <w:t>[Prévention et réparation des dommages causés aux forêts par des incendies de forêt, des catastrophes naturelles et des événements catastrophiques] Le cas échéant, liste des espèces d'organismes nuisibles pour les végétaux qui peuvent c</w:t>
      </w:r>
      <w:r>
        <w:t>auser une catastrophe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Non concerné</w:t>
            </w:r>
          </w:p>
          <w:p w:rsidR="0035701C" w:rsidRDefault="0035701C">
            <w:pPr>
              <w:pStyle w:val="Corpsdetexte"/>
            </w:pPr>
          </w:p>
        </w:tc>
      </w:tr>
    </w:tbl>
    <w:p w:rsidR="0035701C" w:rsidRDefault="00FB561B">
      <w:r>
        <w:t>[Prévention et réparation des dommages causés aux forêts par des incendies de forêt, des catastrophes naturelles et des événements catastrophiques] Détermination des zones forestières classées parmi les zones présentant</w:t>
      </w:r>
      <w:r>
        <w:t xml:space="preserve"> un risque d'incendie moyen à élevé, selon le plan de protection des forêts applicable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En cours</w:t>
            </w:r>
          </w:p>
          <w:p w:rsidR="0035701C" w:rsidRDefault="0035701C">
            <w:pPr>
              <w:pStyle w:val="Corpsdetexte"/>
            </w:pPr>
          </w:p>
        </w:tc>
      </w:tr>
    </w:tbl>
    <w:p w:rsidR="0035701C" w:rsidRDefault="00FB561B">
      <w:r>
        <w:t>[Prévention et réparation des dommages causés aux forêts par des incendies de forêt, des catastrophes naturelles et des événements catastrophiques] Dans le ca</w:t>
      </w:r>
      <w:r>
        <w:t>s des actions de prévention concernant les organismes nuisibles et les maladies, description de catastrophes dans ces domaines, étayée par des preuves scientifiques, y compris le cas échéant, des recommandations des organisations scientifiques sur le trait</w:t>
      </w:r>
      <w:r>
        <w:t>ement des organismes nuisibles et des maladies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Non concerné</w:t>
            </w:r>
          </w:p>
          <w:p w:rsidR="0035701C" w:rsidRDefault="0035701C">
            <w:pPr>
              <w:pStyle w:val="Corpsdetexte"/>
            </w:pPr>
          </w:p>
        </w:tc>
      </w:tr>
    </w:tbl>
    <w:p w:rsidR="0035701C" w:rsidRDefault="00FB561B">
      <w:r>
        <w:t>[Investissements améliorant la résilience et la valeur environnementale des écosystèmes forestiers] Définition des types d’investissements admissibles et de leurs retombées environnementales et/</w:t>
      </w:r>
      <w:r>
        <w:t>ou à caractère d’utilité publique escomptées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 définition du type d’investissement éligible au regard de leurs résultats environnementaux ou de leur utilité publique est précisée dans le tableau joint (cf. Tableau 8.5 : résilience forêt).</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7333678"/>
                  <wp:effectExtent l="0" t="0" r="0" b="0"/>
                  <wp:docPr id="100096" name="Image 10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
                          <pic:cNvPicPr>
                            <a:picLocks noChangeAspect="1"/>
                          </pic:cNvPicPr>
                        </pic:nvPicPr>
                        <pic:blipFill>
                          <a:blip r:embed="rId60"/>
                          <a:stretch>
                            <a:fillRect/>
                          </a:stretch>
                        </pic:blipFill>
                        <pic:spPr>
                          <a:xfrm>
                            <a:off x="0" y="0"/>
                            <a:ext cx="6629400" cy="7333678"/>
                          </a:xfrm>
                          <a:prstGeom prst="rect">
                            <a:avLst/>
                          </a:prstGeom>
                        </pic:spPr>
                      </pic:pic>
                    </a:graphicData>
                  </a:graphic>
                </wp:inline>
              </w:drawing>
            </w:r>
          </w:p>
          <w:p w:rsidR="0035701C" w:rsidRDefault="00FB561B">
            <w:pPr>
              <w:pStyle w:val="Pieddepage"/>
              <w:jc w:val="center"/>
            </w:pPr>
            <w:r>
              <w:t>Tableau 8.5 :</w:t>
            </w:r>
            <w:r>
              <w:t xml:space="preserve"> résilience forêt</w:t>
            </w:r>
          </w:p>
          <w:p w:rsidR="0035701C" w:rsidRDefault="0035701C">
            <w:pPr>
              <w:pStyle w:val="Pieddepage"/>
              <w:jc w:val="center"/>
            </w:pPr>
          </w:p>
        </w:tc>
      </w:tr>
    </w:tbl>
    <w:p w:rsidR="0035701C" w:rsidRDefault="00FB561B">
      <w:pPr>
        <w:pStyle w:val="Titre5"/>
        <w:rPr>
          <w:b w:val="0"/>
        </w:rPr>
      </w:pPr>
      <w:r>
        <w:rPr>
          <w:b w:val="0"/>
        </w:rPr>
        <w:br w:type="page"/>
        <w:t>8.6- Exploitation forestière</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81"/>
              </w:numPr>
            </w:pPr>
            <w:r>
              <w:t>8.6 - Aide aux investissements dans les techniques forestières et dans la transformation, la mobilisation et la commercialisation des produits forestiers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Sous-titre complet de l’opération : Exploitation forestière = Investissements visant  à l’amélioration des pratiques d’exploitation forestière et de transformation des produits forestiers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L’aide est destinée à accroître la productivité et la compétitivit</w:t>
            </w:r>
            <w:r>
              <w:rPr>
                <w:szCs w:val="24"/>
              </w:rPr>
              <w:t>é des entreprises qui œuvrent dans le secteur de l’exploitation forestière et de la transformation des produits forestiers.</w:t>
            </w:r>
          </w:p>
          <w:p w:rsidR="0035701C" w:rsidRDefault="00FB561B">
            <w:pPr>
              <w:spacing w:before="240" w:after="240"/>
              <w:jc w:val="left"/>
              <w:rPr>
                <w:szCs w:val="24"/>
              </w:rPr>
            </w:pPr>
            <w:r>
              <w:rPr>
                <w:szCs w:val="24"/>
              </w:rPr>
              <w:t>Elle doit contribuer à accroître la mobilisation et les débouchés des produits issus de la forêt, en soutenant la modernisation et l</w:t>
            </w:r>
            <w:r>
              <w:rPr>
                <w:szCs w:val="24"/>
              </w:rPr>
              <w:t>a mécanisation des équipements de ces entreprises dans le respect de la sécurité au travail et des exigences environnementales.</w:t>
            </w:r>
          </w:p>
          <w:p w:rsidR="0035701C" w:rsidRDefault="00FB561B">
            <w:pPr>
              <w:spacing w:before="240" w:after="240"/>
              <w:jc w:val="left"/>
              <w:rPr>
                <w:szCs w:val="24"/>
              </w:rPr>
            </w:pPr>
            <w:r>
              <w:rPr>
                <w:szCs w:val="24"/>
              </w:rPr>
              <w:t xml:space="preserve">Elle doit permettre à ces entreprises de pouvoir répondre dans de bonnes conditions aux besoins des propriétaires forestiers en </w:t>
            </w:r>
            <w:r>
              <w:rPr>
                <w:szCs w:val="24"/>
              </w:rPr>
              <w:t>amont de la filière et des attentes du marché en aval de la filière forêt bois-énergie, pour la fourniture de sciages du bois, de produits ou matériaux constitués à partir de liège et de produits à destination de la filaire biomasse-énergie.</w:t>
            </w:r>
          </w:p>
          <w:p w:rsidR="0035701C" w:rsidRDefault="00FB561B">
            <w:pPr>
              <w:spacing w:before="240" w:after="240"/>
              <w:jc w:val="left"/>
              <w:rPr>
                <w:szCs w:val="24"/>
              </w:rPr>
            </w:pPr>
            <w:r>
              <w:rPr>
                <w:szCs w:val="24"/>
              </w:rPr>
              <w:t>L'aide est des</w:t>
            </w:r>
            <w:r>
              <w:rPr>
                <w:szCs w:val="24"/>
              </w:rPr>
              <w:t>tinée à contribuer à l'amélioration du niveau global des résultats des entreprises du secteur et des conditions de travail mais aussi à la création d'emplois et de filières locales. Ce type d’opération permet ainsi de répondre principalement aux besoins su</w:t>
            </w:r>
            <w:r>
              <w:rPr>
                <w:szCs w:val="24"/>
              </w:rPr>
              <w:t>ivants :</w:t>
            </w:r>
          </w:p>
          <w:p w:rsidR="0035701C" w:rsidRDefault="00FB561B" w:rsidP="00FB561B">
            <w:pPr>
              <w:numPr>
                <w:ilvl w:val="0"/>
                <w:numId w:val="582"/>
              </w:numPr>
              <w:spacing w:before="240" w:after="0"/>
              <w:ind w:hanging="210"/>
              <w:jc w:val="left"/>
              <w:rPr>
                <w:szCs w:val="24"/>
              </w:rPr>
            </w:pPr>
            <w:r>
              <w:rPr>
                <w:szCs w:val="24"/>
              </w:rPr>
              <w:t>n°25 : Développer la sylviculture en lien avec le stockage du carbone et la biodiversité et améliorer l’exploitation forestière.</w:t>
            </w:r>
          </w:p>
          <w:p w:rsidR="0035701C" w:rsidRDefault="00FB561B" w:rsidP="00FB561B">
            <w:pPr>
              <w:numPr>
                <w:ilvl w:val="0"/>
                <w:numId w:val="582"/>
              </w:numPr>
              <w:spacing w:before="0" w:after="0"/>
              <w:ind w:hanging="210"/>
              <w:jc w:val="left"/>
              <w:rPr>
                <w:szCs w:val="24"/>
              </w:rPr>
            </w:pPr>
            <w:r>
              <w:rPr>
                <w:szCs w:val="24"/>
              </w:rPr>
              <w:t>n°26 : Accroître la compétitivité  et les usages des produits de la forêt.</w:t>
            </w:r>
          </w:p>
          <w:p w:rsidR="0035701C" w:rsidRDefault="00FB561B" w:rsidP="00FB561B">
            <w:pPr>
              <w:numPr>
                <w:ilvl w:val="0"/>
                <w:numId w:val="582"/>
              </w:numPr>
              <w:spacing w:before="0" w:after="240"/>
              <w:ind w:hanging="210"/>
              <w:jc w:val="left"/>
              <w:rPr>
                <w:szCs w:val="24"/>
              </w:rPr>
            </w:pPr>
            <w:r>
              <w:rPr>
                <w:szCs w:val="24"/>
              </w:rPr>
              <w:t xml:space="preserve">12 : Favoriser une utilisation efficace de </w:t>
            </w:r>
            <w:r>
              <w:rPr>
                <w:szCs w:val="24"/>
              </w:rPr>
              <w:t>l’énergie et la production d’énergie renouvelable.</w:t>
            </w:r>
          </w:p>
          <w:p w:rsidR="0035701C" w:rsidRDefault="00FB561B">
            <w:pPr>
              <w:spacing w:before="240" w:after="240"/>
              <w:jc w:val="left"/>
              <w:rPr>
                <w:szCs w:val="24"/>
              </w:rPr>
            </w:pPr>
            <w:r>
              <w:rPr>
                <w:szCs w:val="24"/>
              </w:rPr>
              <w:t>Cette sous-mesure vise à encourager l’émergence d’une filière économique basée sur les ressources renouvelables de la forêt avec une recherche de valeur ajoutée. Elle est donc ciblée sur le domaine priorit</w:t>
            </w:r>
            <w:r>
              <w:rPr>
                <w:szCs w:val="24"/>
              </w:rPr>
              <w:t xml:space="preserve">aire 5e) </w:t>
            </w:r>
            <w:r>
              <w:rPr>
                <w:i/>
                <w:iCs/>
                <w:szCs w:val="24"/>
              </w:rPr>
              <w:t>promouvoir la conservation et la séquestration du carbone dans les secteurs de l'agriculture et de la foresterie</w:t>
            </w:r>
            <w:r>
              <w:rPr>
                <w:szCs w:val="24"/>
              </w:rPr>
              <w:t xml:space="preserve">. Ce type d’opération contribue secondairement à la priorité 5c) : </w:t>
            </w:r>
            <w:r>
              <w:rPr>
                <w:i/>
                <w:iCs/>
                <w:szCs w:val="24"/>
              </w:rPr>
              <w:t>faciliter la fourniture et l'utilisation de sources d'énergie renouv</w:t>
            </w:r>
            <w:r>
              <w:rPr>
                <w:i/>
                <w:iCs/>
                <w:szCs w:val="24"/>
              </w:rPr>
              <w:t>elables, de sous-produits, des déchets et des résidus et d'autres matières premières non alimentaires à des fins de bioéconomie</w:t>
            </w:r>
            <w:r>
              <w:rPr>
                <w:szCs w:val="24"/>
              </w:rPr>
              <w:t>.</w:t>
            </w:r>
          </w:p>
          <w:p w:rsidR="0035701C" w:rsidRDefault="00FB561B">
            <w:pPr>
              <w:spacing w:before="240" w:after="240"/>
              <w:jc w:val="left"/>
              <w:rPr>
                <w:szCs w:val="24"/>
              </w:rPr>
            </w:pPr>
            <w:r>
              <w:rPr>
                <w:szCs w:val="24"/>
              </w:rPr>
              <w:t>Il s’agit :</w:t>
            </w:r>
          </w:p>
          <w:p w:rsidR="0035701C" w:rsidRDefault="00FB561B" w:rsidP="00FB561B">
            <w:pPr>
              <w:numPr>
                <w:ilvl w:val="0"/>
                <w:numId w:val="583"/>
              </w:numPr>
              <w:spacing w:before="240" w:after="0"/>
              <w:ind w:hanging="210"/>
              <w:jc w:val="left"/>
              <w:rPr>
                <w:szCs w:val="24"/>
              </w:rPr>
            </w:pPr>
            <w:r>
              <w:rPr>
                <w:szCs w:val="24"/>
              </w:rPr>
              <w:t>de faciliter l'acquisition de matériels ou la mise en place de techniques alternatives pour l'abattage et le débard</w:t>
            </w:r>
            <w:r>
              <w:rPr>
                <w:szCs w:val="24"/>
              </w:rPr>
              <w:t>age des bois,</w:t>
            </w:r>
          </w:p>
          <w:p w:rsidR="0035701C" w:rsidRDefault="00FB561B" w:rsidP="00FB561B">
            <w:pPr>
              <w:numPr>
                <w:ilvl w:val="0"/>
                <w:numId w:val="583"/>
              </w:numPr>
              <w:spacing w:before="0" w:after="0"/>
              <w:ind w:hanging="210"/>
              <w:jc w:val="left"/>
              <w:rPr>
                <w:szCs w:val="24"/>
              </w:rPr>
            </w:pPr>
            <w:r>
              <w:rPr>
                <w:szCs w:val="24"/>
              </w:rPr>
              <w:t>d’accompagner la structuration des entreprises d’exploitation forestière, notamment les  Entreprises de Travaux Forestiers (ETF), les Exploitants Forestiers (EF) et les coopératives.</w:t>
            </w:r>
          </w:p>
          <w:p w:rsidR="0035701C" w:rsidRDefault="00FB561B" w:rsidP="00FB561B">
            <w:pPr>
              <w:numPr>
                <w:ilvl w:val="0"/>
                <w:numId w:val="583"/>
              </w:numPr>
              <w:spacing w:before="0" w:after="0"/>
              <w:ind w:hanging="210"/>
              <w:jc w:val="left"/>
              <w:rPr>
                <w:szCs w:val="24"/>
              </w:rPr>
            </w:pPr>
            <w:r>
              <w:rPr>
                <w:szCs w:val="24"/>
              </w:rPr>
              <w:t>d’encourager les scieries à se positionner sur le marché de</w:t>
            </w:r>
            <w:r>
              <w:rPr>
                <w:szCs w:val="24"/>
              </w:rPr>
              <w:t xml:space="preserve"> la construction bois et à produire des matériaux stockant durablement le carbone. Il s’agit également de favoriser pour l’ensemble de ces entreprises, les investissements qui participent à la certification et à la labellisation des produits.</w:t>
            </w:r>
          </w:p>
          <w:p w:rsidR="0035701C" w:rsidRDefault="00FB561B" w:rsidP="00FB561B">
            <w:pPr>
              <w:numPr>
                <w:ilvl w:val="0"/>
                <w:numId w:val="583"/>
              </w:numPr>
              <w:spacing w:before="0" w:after="0"/>
              <w:ind w:hanging="210"/>
              <w:jc w:val="left"/>
              <w:rPr>
                <w:szCs w:val="24"/>
              </w:rPr>
            </w:pPr>
            <w:r>
              <w:rPr>
                <w:szCs w:val="24"/>
              </w:rPr>
              <w:t xml:space="preserve">de favoriser </w:t>
            </w:r>
            <w:r>
              <w:rPr>
                <w:szCs w:val="24"/>
              </w:rPr>
              <w:t>les investissements dans des matériels spécifiques pour la production de plaquettes forestières (broyeur) ou de bois bûche (scieur fendeur), afin d'approvisionner la filière bois énergie ou des particuliers en biomasse forestière,</w:t>
            </w:r>
          </w:p>
          <w:p w:rsidR="0035701C" w:rsidRDefault="00FB561B" w:rsidP="00FB561B">
            <w:pPr>
              <w:numPr>
                <w:ilvl w:val="0"/>
                <w:numId w:val="583"/>
              </w:numPr>
              <w:spacing w:before="0" w:after="0"/>
              <w:ind w:hanging="210"/>
              <w:jc w:val="left"/>
              <w:rPr>
                <w:szCs w:val="24"/>
              </w:rPr>
            </w:pPr>
            <w:r>
              <w:rPr>
                <w:szCs w:val="24"/>
              </w:rPr>
              <w:t>d’accompagner à la créati</w:t>
            </w:r>
            <w:r>
              <w:rPr>
                <w:szCs w:val="24"/>
              </w:rPr>
              <w:t>on et à la modernisation des entreprises de production et de conditionnement du liège et des entreprises de production de biomasse pour la filière bois énergie,</w:t>
            </w:r>
          </w:p>
          <w:p w:rsidR="0035701C" w:rsidRDefault="00FB561B" w:rsidP="00FB561B">
            <w:pPr>
              <w:numPr>
                <w:ilvl w:val="0"/>
                <w:numId w:val="583"/>
              </w:numPr>
              <w:spacing w:before="0" w:after="240"/>
              <w:ind w:hanging="210"/>
              <w:jc w:val="left"/>
              <w:rPr>
                <w:szCs w:val="24"/>
              </w:rPr>
            </w:pPr>
            <w:r>
              <w:rPr>
                <w:szCs w:val="24"/>
              </w:rPr>
              <w:t>de favoriser pour l’ensemble de cette filière, les investissements qui participent à la certifi</w:t>
            </w:r>
            <w:r>
              <w:rPr>
                <w:szCs w:val="24"/>
              </w:rPr>
              <w:t>cation et à la labellisation des produits issus de la forêt.</w:t>
            </w:r>
          </w:p>
          <w:p w:rsidR="0035701C" w:rsidRDefault="00FB561B">
            <w:pPr>
              <w:spacing w:before="240" w:after="240"/>
              <w:jc w:val="left"/>
              <w:rPr>
                <w:szCs w:val="24"/>
              </w:rPr>
            </w:pPr>
            <w:r>
              <w:rPr>
                <w:szCs w:val="24"/>
              </w:rPr>
              <w:t>Les bénéficiaires s'engagent à utiliser les matériels acquis dans le cadre de travaux d'exploitation ou de transformation de ressources forestières.</w:t>
            </w:r>
          </w:p>
          <w:p w:rsidR="0035701C" w:rsidRDefault="00FB561B">
            <w:pPr>
              <w:spacing w:before="240" w:after="240"/>
              <w:jc w:val="left"/>
              <w:rPr>
                <w:szCs w:val="24"/>
              </w:rPr>
            </w:pPr>
            <w:r>
              <w:rPr>
                <w:szCs w:val="24"/>
              </w:rPr>
              <w:t>Ce type d’opération au bénéfice des PME s’insc</w:t>
            </w:r>
            <w:r>
              <w:rPr>
                <w:szCs w:val="24"/>
              </w:rPr>
              <w:t>rit dans un accompagnement global des entreprises de la filière forêt bois qui peuvent bénéficier de façon complémentaire  :</w:t>
            </w:r>
          </w:p>
          <w:p w:rsidR="0035701C" w:rsidRDefault="00FB561B" w:rsidP="00FB561B">
            <w:pPr>
              <w:numPr>
                <w:ilvl w:val="0"/>
                <w:numId w:val="584"/>
              </w:numPr>
              <w:spacing w:before="240" w:after="0"/>
              <w:ind w:hanging="210"/>
              <w:jc w:val="left"/>
              <w:rPr>
                <w:szCs w:val="24"/>
              </w:rPr>
            </w:pPr>
            <w:r>
              <w:rPr>
                <w:szCs w:val="24"/>
              </w:rPr>
              <w:t>des actions de formation dans le cadre de la mesure 1 du programme.</w:t>
            </w:r>
          </w:p>
          <w:p w:rsidR="0035701C" w:rsidRDefault="00FB561B" w:rsidP="00FB561B">
            <w:pPr>
              <w:numPr>
                <w:ilvl w:val="0"/>
                <w:numId w:val="584"/>
              </w:numPr>
              <w:spacing w:before="0" w:after="0"/>
              <w:ind w:hanging="210"/>
              <w:jc w:val="left"/>
              <w:rPr>
                <w:szCs w:val="24"/>
              </w:rPr>
            </w:pPr>
            <w:r>
              <w:rPr>
                <w:szCs w:val="24"/>
              </w:rPr>
              <w:t>du soutien aux infrastructures forestières facilitant la logist</w:t>
            </w:r>
            <w:r>
              <w:rPr>
                <w:szCs w:val="24"/>
              </w:rPr>
              <w:t>ique de l’exploitation forestière, dans le cadre de la mesure 4.3.2 du programme,</w:t>
            </w:r>
          </w:p>
          <w:p w:rsidR="0035701C" w:rsidRDefault="00FB561B" w:rsidP="00FB561B">
            <w:pPr>
              <w:numPr>
                <w:ilvl w:val="0"/>
                <w:numId w:val="584"/>
              </w:numPr>
              <w:spacing w:before="0" w:after="0"/>
              <w:ind w:hanging="210"/>
              <w:jc w:val="left"/>
              <w:rPr>
                <w:szCs w:val="24"/>
              </w:rPr>
            </w:pPr>
            <w:r>
              <w:rPr>
                <w:szCs w:val="24"/>
              </w:rPr>
              <w:t>du soutien aux investissements des micro et petites entreprises de travaux forestiers et de transformation du bois, dans le cadre de la mesure 6.4.2 du programme,</w:t>
            </w:r>
          </w:p>
          <w:p w:rsidR="0035701C" w:rsidRDefault="00FB561B" w:rsidP="00FB561B">
            <w:pPr>
              <w:numPr>
                <w:ilvl w:val="0"/>
                <w:numId w:val="584"/>
              </w:numPr>
              <w:spacing w:before="0" w:after="240"/>
              <w:ind w:hanging="210"/>
              <w:jc w:val="left"/>
              <w:rPr>
                <w:szCs w:val="24"/>
              </w:rPr>
            </w:pPr>
            <w:r>
              <w:rPr>
                <w:szCs w:val="24"/>
              </w:rPr>
              <w:t>des projets</w:t>
            </w:r>
            <w:r>
              <w:rPr>
                <w:szCs w:val="24"/>
              </w:rPr>
              <w:t xml:space="preserve"> de coopération au sein de la filière et en faveur de l’innovation.</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versée sous forme de 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Code de l’environnement</w:t>
            </w:r>
          </w:p>
          <w:p w:rsidR="0035701C" w:rsidRDefault="00FB561B">
            <w:pPr>
              <w:spacing w:before="240" w:after="240"/>
              <w:jc w:val="left"/>
              <w:rPr>
                <w:szCs w:val="24"/>
              </w:rPr>
            </w:pPr>
            <w:r>
              <w:rPr>
                <w:szCs w:val="24"/>
              </w:rPr>
              <w:t>Base réglementaire :</w:t>
            </w:r>
          </w:p>
          <w:p w:rsidR="0035701C" w:rsidRDefault="00FB561B" w:rsidP="00FB561B">
            <w:pPr>
              <w:numPr>
                <w:ilvl w:val="0"/>
                <w:numId w:val="585"/>
              </w:numPr>
              <w:spacing w:before="240" w:after="0"/>
              <w:ind w:hanging="210"/>
              <w:jc w:val="left"/>
              <w:rPr>
                <w:szCs w:val="24"/>
              </w:rPr>
            </w:pPr>
            <w:r>
              <w:rPr>
                <w:szCs w:val="24"/>
              </w:rPr>
              <w:t xml:space="preserve">Règlement (UE) </w:t>
            </w:r>
            <w:r>
              <w:rPr>
                <w:szCs w:val="24"/>
              </w:rPr>
              <w:t>n° 1407/2013 de la Commission du 18/12/2013 relatif aux aides de minimis</w:t>
            </w:r>
          </w:p>
          <w:p w:rsidR="0035701C" w:rsidRDefault="00FB561B" w:rsidP="00FB561B">
            <w:pPr>
              <w:numPr>
                <w:ilvl w:val="0"/>
                <w:numId w:val="585"/>
              </w:numPr>
              <w:spacing w:before="0" w:after="0"/>
              <w:ind w:hanging="210"/>
              <w:jc w:val="left"/>
              <w:rPr>
                <w:szCs w:val="24"/>
              </w:rPr>
            </w:pPr>
            <w:r>
              <w:rPr>
                <w:szCs w:val="24"/>
              </w:rPr>
              <w:t xml:space="preserve">Régime cadre exempté à prendre sur la base du  Règlement (UE) 702/2014 d'exemption des aides du secteur agricole, forestier et dans les zones rurales art 32, 33,34, 35, 41 pour la </w:t>
            </w:r>
            <w:r>
              <w:rPr>
                <w:szCs w:val="24"/>
              </w:rPr>
              <w:t>forêt</w:t>
            </w:r>
          </w:p>
          <w:p w:rsidR="0035701C" w:rsidRDefault="00FB561B" w:rsidP="00FB561B">
            <w:pPr>
              <w:numPr>
                <w:ilvl w:val="0"/>
                <w:numId w:val="585"/>
              </w:numPr>
              <w:spacing w:before="0" w:after="0"/>
              <w:ind w:hanging="210"/>
              <w:jc w:val="left"/>
              <w:rPr>
                <w:szCs w:val="24"/>
              </w:rPr>
            </w:pPr>
            <w:r>
              <w:rPr>
                <w:szCs w:val="24"/>
              </w:rPr>
              <w:t>Régime cadre exempté de notification n°SA40453 relatif aux aides aux PME sur la base du règlement général d’exemption n°651/2014</w:t>
            </w:r>
          </w:p>
          <w:p w:rsidR="0035701C" w:rsidRDefault="00FB561B" w:rsidP="00FB561B">
            <w:pPr>
              <w:numPr>
                <w:ilvl w:val="0"/>
                <w:numId w:val="585"/>
              </w:numPr>
              <w:spacing w:before="0" w:after="240"/>
              <w:ind w:hanging="210"/>
              <w:jc w:val="left"/>
              <w:rPr>
                <w:szCs w:val="24"/>
              </w:rPr>
            </w:pPr>
            <w:r>
              <w:rPr>
                <w:szCs w:val="24"/>
              </w:rPr>
              <w:t>Régime cadre exempté de notification n°SA39252 relatif aux AFR sur la base du règlement  général d’exemption n°651/2014.</w:t>
            </w:r>
          </w:p>
          <w:p w:rsidR="0035701C" w:rsidRDefault="00FB561B">
            <w:pPr>
              <w:spacing w:before="240" w:after="240"/>
              <w:jc w:val="left"/>
              <w:rPr>
                <w:szCs w:val="24"/>
              </w:rPr>
            </w:pPr>
            <w:r>
              <w:rPr>
                <w:szCs w:val="24"/>
              </w:rPr>
              <w:t>Les investissements d’exploitation et de transformation des ressources forestières et du bois seront accompagnés principalement via la présente mesure pour ce qui concerne les PME.</w:t>
            </w:r>
          </w:p>
          <w:p w:rsidR="0035701C" w:rsidRDefault="00FB561B">
            <w:pPr>
              <w:spacing w:before="240" w:after="240"/>
              <w:jc w:val="left"/>
              <w:rPr>
                <w:szCs w:val="24"/>
              </w:rPr>
            </w:pPr>
            <w:r>
              <w:rPr>
                <w:szCs w:val="24"/>
              </w:rPr>
              <w:t>Par ailleurs :</w:t>
            </w:r>
          </w:p>
          <w:p w:rsidR="0035701C" w:rsidRDefault="00FB561B" w:rsidP="00FB561B">
            <w:pPr>
              <w:numPr>
                <w:ilvl w:val="0"/>
                <w:numId w:val="586"/>
              </w:numPr>
              <w:spacing w:before="240" w:after="240"/>
              <w:ind w:hanging="210"/>
              <w:jc w:val="left"/>
              <w:rPr>
                <w:szCs w:val="24"/>
              </w:rPr>
            </w:pPr>
            <w:r>
              <w:rPr>
                <w:szCs w:val="24"/>
              </w:rPr>
              <w:t>dans le cadre de la mesure 6.4.2 les investissements des mic</w:t>
            </w:r>
            <w:r>
              <w:rPr>
                <w:szCs w:val="24"/>
              </w:rPr>
              <w:t>ro et petites entreprises de travaux forestiers en milieu rural et utilisant le bois (menuiserie, ébénisterie...) pourront être soutenus dans le cadre du régime de minimis.</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destinée :</w:t>
            </w:r>
          </w:p>
          <w:p w:rsidR="0035701C" w:rsidRDefault="00FB561B">
            <w:pPr>
              <w:spacing w:before="240" w:after="240"/>
              <w:jc w:val="left"/>
              <w:rPr>
                <w:szCs w:val="24"/>
              </w:rPr>
            </w:pPr>
            <w:r>
              <w:rPr>
                <w:szCs w:val="24"/>
              </w:rPr>
              <w:t>- aux bénéficiaires répondant aux critères de</w:t>
            </w:r>
            <w:r>
              <w:rPr>
                <w:szCs w:val="24"/>
              </w:rPr>
              <w:t xml:space="preserve"> la définition des PME quelle que soit leur forme juridique, notamment :</w:t>
            </w:r>
          </w:p>
          <w:p w:rsidR="0035701C" w:rsidRDefault="00FB561B" w:rsidP="00FB561B">
            <w:pPr>
              <w:numPr>
                <w:ilvl w:val="0"/>
                <w:numId w:val="587"/>
              </w:numPr>
              <w:spacing w:before="240" w:after="0"/>
              <w:ind w:hanging="210"/>
              <w:jc w:val="left"/>
              <w:rPr>
                <w:szCs w:val="24"/>
              </w:rPr>
            </w:pPr>
            <w:r>
              <w:rPr>
                <w:szCs w:val="24"/>
              </w:rPr>
              <w:t>entreprises prestataires de travaux forestiers (ETF),</w:t>
            </w:r>
          </w:p>
          <w:p w:rsidR="0035701C" w:rsidRDefault="00FB561B" w:rsidP="00FB561B">
            <w:pPr>
              <w:numPr>
                <w:ilvl w:val="0"/>
                <w:numId w:val="587"/>
              </w:numPr>
              <w:spacing w:before="0" w:after="0"/>
              <w:ind w:hanging="210"/>
              <w:jc w:val="left"/>
              <w:rPr>
                <w:szCs w:val="24"/>
              </w:rPr>
            </w:pPr>
            <w:r>
              <w:rPr>
                <w:szCs w:val="24"/>
              </w:rPr>
              <w:t>exploitants forestiers (EF)</w:t>
            </w:r>
          </w:p>
          <w:p w:rsidR="0035701C" w:rsidRDefault="00FB561B" w:rsidP="00FB561B">
            <w:pPr>
              <w:numPr>
                <w:ilvl w:val="0"/>
                <w:numId w:val="587"/>
              </w:numPr>
              <w:spacing w:before="0" w:after="0"/>
              <w:ind w:hanging="210"/>
              <w:jc w:val="left"/>
              <w:rPr>
                <w:szCs w:val="24"/>
              </w:rPr>
            </w:pPr>
            <w:r>
              <w:rPr>
                <w:szCs w:val="24"/>
              </w:rPr>
              <w:t>coopératives forestières,</w:t>
            </w:r>
          </w:p>
          <w:p w:rsidR="0035701C" w:rsidRDefault="00FB561B" w:rsidP="00FB561B">
            <w:pPr>
              <w:numPr>
                <w:ilvl w:val="0"/>
                <w:numId w:val="587"/>
              </w:numPr>
              <w:spacing w:before="0" w:after="0"/>
              <w:ind w:hanging="210"/>
              <w:jc w:val="left"/>
              <w:rPr>
                <w:szCs w:val="24"/>
              </w:rPr>
            </w:pPr>
            <w:r>
              <w:rPr>
                <w:szCs w:val="24"/>
              </w:rPr>
              <w:t xml:space="preserve">entreprises œuvrant dans le secteur de la 1ère transformation des produits </w:t>
            </w:r>
            <w:r>
              <w:rPr>
                <w:szCs w:val="24"/>
              </w:rPr>
              <w:t xml:space="preserve">forestiers et des sous produits de la forêt, notamment : </w:t>
            </w:r>
          </w:p>
          <w:p w:rsidR="0035701C" w:rsidRDefault="00FB561B" w:rsidP="00FB561B">
            <w:pPr>
              <w:numPr>
                <w:ilvl w:val="1"/>
                <w:numId w:val="587"/>
              </w:numPr>
              <w:spacing w:before="0" w:after="0"/>
              <w:ind w:hanging="244"/>
              <w:jc w:val="left"/>
              <w:rPr>
                <w:szCs w:val="24"/>
              </w:rPr>
            </w:pPr>
            <w:r>
              <w:rPr>
                <w:szCs w:val="24"/>
              </w:rPr>
              <w:t>les entreprises de sciage du bois</w:t>
            </w:r>
          </w:p>
          <w:p w:rsidR="0035701C" w:rsidRDefault="00FB561B" w:rsidP="00FB561B">
            <w:pPr>
              <w:numPr>
                <w:ilvl w:val="1"/>
                <w:numId w:val="587"/>
              </w:numPr>
              <w:spacing w:before="0" w:after="0"/>
              <w:ind w:hanging="244"/>
              <w:jc w:val="left"/>
              <w:rPr>
                <w:szCs w:val="24"/>
              </w:rPr>
            </w:pPr>
            <w:r>
              <w:rPr>
                <w:szCs w:val="24"/>
              </w:rPr>
              <w:t>entreprises d’exploitation et de 1ère transformation du liège</w:t>
            </w:r>
          </w:p>
          <w:p w:rsidR="0035701C" w:rsidRDefault="00FB561B" w:rsidP="00FB561B">
            <w:pPr>
              <w:numPr>
                <w:ilvl w:val="1"/>
                <w:numId w:val="587"/>
              </w:numPr>
              <w:spacing w:before="0" w:after="0"/>
              <w:ind w:hanging="244"/>
              <w:jc w:val="left"/>
              <w:rPr>
                <w:szCs w:val="24"/>
              </w:rPr>
            </w:pPr>
            <w:r>
              <w:rPr>
                <w:szCs w:val="24"/>
              </w:rPr>
              <w:t>entreprises de production et de fourniture de biomasse ligneuse, pour ce qui concerne exclusivement le</w:t>
            </w:r>
            <w:r>
              <w:rPr>
                <w:szCs w:val="24"/>
              </w:rPr>
              <w:t>s investissements liés à la transformation de la matière première en combustible (matériel de broyage et de confection de plaquettes ligneuses et de granulés, unités de stockage, conditionnement…)</w:t>
            </w:r>
          </w:p>
          <w:p w:rsidR="0035701C" w:rsidRDefault="00FB561B">
            <w:pPr>
              <w:tabs>
                <w:tab w:val="left" w:pos="1540"/>
              </w:tabs>
              <w:spacing w:before="0" w:after="0"/>
              <w:ind w:left="1440"/>
              <w:jc w:val="left"/>
              <w:rPr>
                <w:szCs w:val="24"/>
              </w:rPr>
            </w:pPr>
            <w:r>
              <w:rPr>
                <w:szCs w:val="24"/>
              </w:rPr>
              <w:t> </w:t>
            </w:r>
          </w:p>
          <w:p w:rsidR="0035701C" w:rsidRDefault="00FB561B" w:rsidP="00FB561B">
            <w:pPr>
              <w:numPr>
                <w:ilvl w:val="1"/>
                <w:numId w:val="587"/>
              </w:numPr>
              <w:spacing w:before="0" w:after="240"/>
              <w:ind w:hanging="244"/>
              <w:jc w:val="left"/>
              <w:rPr>
                <w:szCs w:val="24"/>
              </w:rPr>
            </w:pPr>
            <w:r>
              <w:rPr>
                <w:szCs w:val="24"/>
              </w:rPr>
              <w:t>y compris les entités juridiques mettant à disposition de</w:t>
            </w:r>
            <w:r>
              <w:rPr>
                <w:szCs w:val="24"/>
              </w:rPr>
              <w:t xml:space="preserve"> telles plateformes, dès lors qu’elles sont contrôlées (en fait ou en droit) par des acteurs participants à l’activité de la filière forêt-bois (au sens d’entreprise unique)</w:t>
            </w:r>
          </w:p>
          <w:p w:rsidR="0035701C" w:rsidRDefault="00FB561B">
            <w:pPr>
              <w:spacing w:before="240" w:after="240"/>
              <w:jc w:val="left"/>
              <w:rPr>
                <w:szCs w:val="24"/>
              </w:rPr>
            </w:pPr>
            <w:r>
              <w:rPr>
                <w:szCs w:val="24"/>
              </w:rPr>
              <w:t>- aux communes et leurs associations</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investissements matér</w:t>
            </w:r>
            <w:r>
              <w:rPr>
                <w:szCs w:val="24"/>
              </w:rPr>
              <w:t>iels tels que :</w:t>
            </w:r>
          </w:p>
          <w:p w:rsidR="0035701C" w:rsidRDefault="00FB561B" w:rsidP="00FB561B">
            <w:pPr>
              <w:numPr>
                <w:ilvl w:val="0"/>
                <w:numId w:val="588"/>
              </w:numPr>
              <w:spacing w:before="240" w:after="0"/>
              <w:ind w:hanging="210"/>
              <w:jc w:val="left"/>
              <w:rPr>
                <w:szCs w:val="24"/>
              </w:rPr>
            </w:pPr>
            <w:r>
              <w:rPr>
                <w:szCs w:val="24"/>
              </w:rPr>
              <w:t xml:space="preserve">Le matériel d’exploitation : </w:t>
            </w:r>
          </w:p>
          <w:p w:rsidR="0035701C" w:rsidRDefault="00FB561B" w:rsidP="00FB561B">
            <w:pPr>
              <w:numPr>
                <w:ilvl w:val="1"/>
                <w:numId w:val="588"/>
              </w:numPr>
              <w:spacing w:before="0" w:after="0"/>
              <w:ind w:hanging="244"/>
              <w:jc w:val="left"/>
              <w:rPr>
                <w:szCs w:val="24"/>
              </w:rPr>
            </w:pPr>
            <w:r>
              <w:rPr>
                <w:szCs w:val="24"/>
              </w:rPr>
              <w:t>Pour le matériel de travaux sylvicoles : y compris les engins répondant à de nouvelles techniques forestières  ou commerciales.</w:t>
            </w:r>
          </w:p>
          <w:p w:rsidR="0035701C" w:rsidRDefault="00FB561B" w:rsidP="00FB561B">
            <w:pPr>
              <w:numPr>
                <w:ilvl w:val="1"/>
                <w:numId w:val="588"/>
              </w:numPr>
              <w:spacing w:before="0" w:after="0"/>
              <w:ind w:hanging="244"/>
              <w:jc w:val="left"/>
              <w:rPr>
                <w:szCs w:val="24"/>
              </w:rPr>
            </w:pPr>
            <w:r>
              <w:rPr>
                <w:szCs w:val="24"/>
              </w:rPr>
              <w:t xml:space="preserve">Pour le matériel de débardage : </w:t>
            </w:r>
          </w:p>
          <w:p w:rsidR="0035701C" w:rsidRDefault="00FB561B" w:rsidP="00FB561B">
            <w:pPr>
              <w:numPr>
                <w:ilvl w:val="2"/>
                <w:numId w:val="588"/>
              </w:numPr>
              <w:spacing w:before="0" w:after="0"/>
              <w:ind w:hanging="210"/>
              <w:jc w:val="left"/>
              <w:rPr>
                <w:szCs w:val="24"/>
              </w:rPr>
            </w:pPr>
            <w:r>
              <w:rPr>
                <w:szCs w:val="24"/>
              </w:rPr>
              <w:t xml:space="preserve">tracteurs forestiers, porteurs, remorques (ou </w:t>
            </w:r>
            <w:r>
              <w:rPr>
                <w:szCs w:val="24"/>
              </w:rPr>
              <w:t>camion pour le câble) équipées d’une grue et/ou d'un équipement de débardage par câble</w:t>
            </w:r>
          </w:p>
          <w:p w:rsidR="0035701C" w:rsidRDefault="00FB561B" w:rsidP="00FB561B">
            <w:pPr>
              <w:numPr>
                <w:ilvl w:val="2"/>
                <w:numId w:val="588"/>
              </w:numPr>
              <w:spacing w:before="0" w:after="0"/>
              <w:ind w:hanging="210"/>
              <w:jc w:val="left"/>
              <w:rPr>
                <w:szCs w:val="24"/>
              </w:rPr>
            </w:pPr>
            <w:r>
              <w:rPr>
                <w:szCs w:val="24"/>
              </w:rPr>
              <w:t>autres moyens de débardage mécanisé : câbles aériens ou  non (hors câbles équipant les gestionnaires financés par la mesure 4.3.2), treuils, goulottes... équipements div</w:t>
            </w:r>
            <w:r>
              <w:rPr>
                <w:szCs w:val="24"/>
              </w:rPr>
              <w:t>ers liés à la traction animale y compris cheval,</w:t>
            </w:r>
          </w:p>
          <w:p w:rsidR="0035701C" w:rsidRDefault="00FB561B" w:rsidP="00FB561B">
            <w:pPr>
              <w:numPr>
                <w:ilvl w:val="1"/>
                <w:numId w:val="588"/>
              </w:numPr>
              <w:spacing w:before="0" w:after="0"/>
              <w:ind w:hanging="244"/>
              <w:jc w:val="left"/>
              <w:rPr>
                <w:szCs w:val="24"/>
              </w:rPr>
            </w:pPr>
            <w:r>
              <w:rPr>
                <w:szCs w:val="24"/>
              </w:rPr>
              <w:t>investissements complémentaires permettant le conditionnement du bois avant transport: tête de reprise, équipement mécanique  pour le billonnage en forêt…</w:t>
            </w:r>
          </w:p>
          <w:p w:rsidR="0035701C" w:rsidRDefault="00FB561B" w:rsidP="00FB561B">
            <w:pPr>
              <w:numPr>
                <w:ilvl w:val="1"/>
                <w:numId w:val="588"/>
              </w:numPr>
              <w:spacing w:before="0" w:after="0"/>
              <w:ind w:hanging="244"/>
              <w:jc w:val="left"/>
              <w:rPr>
                <w:szCs w:val="24"/>
              </w:rPr>
            </w:pPr>
            <w:r>
              <w:rPr>
                <w:szCs w:val="24"/>
              </w:rPr>
              <w:t>Pour le matériel d’abattage: machines combinées d’ab</w:t>
            </w:r>
            <w:r>
              <w:rPr>
                <w:szCs w:val="24"/>
              </w:rPr>
              <w:t>attage et de façonnage, têtes d’abattage, autres équipements d’abattage mécanisé (mini-pelles ou petit véhicule tout terrain équipés de tête ou matériel d'abattage...),</w:t>
            </w:r>
          </w:p>
          <w:p w:rsidR="0035701C" w:rsidRDefault="00FB561B" w:rsidP="00FB561B">
            <w:pPr>
              <w:numPr>
                <w:ilvl w:val="1"/>
                <w:numId w:val="588"/>
              </w:numPr>
              <w:spacing w:before="0" w:after="0"/>
              <w:ind w:hanging="244"/>
              <w:jc w:val="left"/>
              <w:rPr>
                <w:szCs w:val="24"/>
              </w:rPr>
            </w:pPr>
            <w:r>
              <w:rPr>
                <w:szCs w:val="24"/>
              </w:rPr>
              <w:t>cubeurs ou instruments de mesure et d'analyse des bois (peson, scanner embarqué...),</w:t>
            </w:r>
          </w:p>
          <w:p w:rsidR="0035701C" w:rsidRDefault="00FB561B" w:rsidP="00FB561B">
            <w:pPr>
              <w:numPr>
                <w:ilvl w:val="0"/>
                <w:numId w:val="588"/>
              </w:numPr>
              <w:spacing w:before="0" w:after="0"/>
              <w:ind w:hanging="210"/>
              <w:jc w:val="left"/>
              <w:rPr>
                <w:szCs w:val="24"/>
              </w:rPr>
            </w:pPr>
            <w:r>
              <w:rPr>
                <w:szCs w:val="24"/>
              </w:rPr>
              <w:t>Le</w:t>
            </w:r>
            <w:r>
              <w:rPr>
                <w:szCs w:val="24"/>
              </w:rPr>
              <w:t xml:space="preserve">s autres matériels et infrastructures, notamment : </w:t>
            </w:r>
          </w:p>
          <w:p w:rsidR="0035701C" w:rsidRDefault="00FB561B" w:rsidP="00FB561B">
            <w:pPr>
              <w:numPr>
                <w:ilvl w:val="1"/>
                <w:numId w:val="588"/>
              </w:numPr>
              <w:spacing w:before="0" w:after="0"/>
              <w:ind w:hanging="244"/>
              <w:jc w:val="left"/>
              <w:rPr>
                <w:szCs w:val="24"/>
              </w:rPr>
            </w:pPr>
            <w:r>
              <w:rPr>
                <w:szCs w:val="24"/>
              </w:rPr>
              <w:t>épointeuses, écorceuses, fendeuses pour la fabrication de piquets,</w:t>
            </w:r>
          </w:p>
          <w:p w:rsidR="0035701C" w:rsidRDefault="00FB561B" w:rsidP="00FB561B">
            <w:pPr>
              <w:numPr>
                <w:ilvl w:val="1"/>
                <w:numId w:val="588"/>
              </w:numPr>
              <w:spacing w:before="0" w:after="0"/>
              <w:ind w:hanging="244"/>
              <w:jc w:val="left"/>
              <w:rPr>
                <w:szCs w:val="24"/>
              </w:rPr>
            </w:pPr>
            <w:r>
              <w:rPr>
                <w:szCs w:val="24"/>
              </w:rPr>
              <w:t>machine combinée de façonnage de bûches,</w:t>
            </w:r>
          </w:p>
          <w:p w:rsidR="0035701C" w:rsidRDefault="00FB561B" w:rsidP="00FB561B">
            <w:pPr>
              <w:numPr>
                <w:ilvl w:val="1"/>
                <w:numId w:val="588"/>
              </w:numPr>
              <w:spacing w:before="0" w:after="0"/>
              <w:ind w:hanging="244"/>
              <w:jc w:val="left"/>
              <w:rPr>
                <w:szCs w:val="24"/>
              </w:rPr>
            </w:pPr>
            <w:r>
              <w:rPr>
                <w:szCs w:val="24"/>
              </w:rPr>
              <w:t>matériel de sécurité,</w:t>
            </w:r>
          </w:p>
          <w:p w:rsidR="0035701C" w:rsidRDefault="00FB561B" w:rsidP="00FB561B">
            <w:pPr>
              <w:numPr>
                <w:ilvl w:val="1"/>
                <w:numId w:val="588"/>
              </w:numPr>
              <w:spacing w:before="0" w:after="0"/>
              <w:ind w:hanging="244"/>
              <w:jc w:val="left"/>
              <w:rPr>
                <w:szCs w:val="24"/>
              </w:rPr>
            </w:pPr>
            <w:r>
              <w:rPr>
                <w:szCs w:val="24"/>
              </w:rPr>
              <w:t xml:space="preserve">matériel informatique de pilotage (GPS, transcodeur pour envoi de données </w:t>
            </w:r>
            <w:r>
              <w:rPr>
                <w:szCs w:val="24"/>
              </w:rPr>
              <w:t>chantier géo-référencées, ordinateur embarqué…) et logiciels.</w:t>
            </w:r>
          </w:p>
          <w:p w:rsidR="0035701C" w:rsidRDefault="00FB561B" w:rsidP="00FB561B">
            <w:pPr>
              <w:numPr>
                <w:ilvl w:val="1"/>
                <w:numId w:val="588"/>
              </w:numPr>
              <w:spacing w:before="0" w:after="0"/>
              <w:ind w:hanging="244"/>
              <w:jc w:val="left"/>
              <w:rPr>
                <w:szCs w:val="24"/>
              </w:rPr>
            </w:pPr>
            <w:r>
              <w:rPr>
                <w:szCs w:val="24"/>
              </w:rPr>
              <w:t>broyeurs à plaquettes fixes, automoteurs ou tractés</w:t>
            </w:r>
          </w:p>
          <w:p w:rsidR="0035701C" w:rsidRDefault="00FB561B" w:rsidP="00FB561B">
            <w:pPr>
              <w:numPr>
                <w:ilvl w:val="1"/>
                <w:numId w:val="588"/>
              </w:numPr>
              <w:spacing w:before="0" w:after="0"/>
              <w:ind w:hanging="244"/>
              <w:jc w:val="left"/>
              <w:rPr>
                <w:szCs w:val="24"/>
              </w:rPr>
            </w:pPr>
            <w:r>
              <w:rPr>
                <w:szCs w:val="24"/>
              </w:rPr>
              <w:t>matériels de récolte de bois énergie et de mobilisation des rémanents d'exploitation forestière</w:t>
            </w:r>
          </w:p>
          <w:p w:rsidR="0035701C" w:rsidRDefault="00FB561B" w:rsidP="00FB561B">
            <w:pPr>
              <w:numPr>
                <w:ilvl w:val="1"/>
                <w:numId w:val="588"/>
              </w:numPr>
              <w:spacing w:before="0" w:after="0"/>
              <w:ind w:hanging="244"/>
              <w:jc w:val="left"/>
              <w:rPr>
                <w:szCs w:val="24"/>
              </w:rPr>
            </w:pPr>
            <w:r>
              <w:rPr>
                <w:szCs w:val="24"/>
              </w:rPr>
              <w:t>matériel de récolte et de première transformat</w:t>
            </w:r>
            <w:r>
              <w:rPr>
                <w:szCs w:val="24"/>
              </w:rPr>
              <w:t>ion du liège</w:t>
            </w:r>
          </w:p>
          <w:p w:rsidR="0035701C" w:rsidRDefault="00FB561B" w:rsidP="00FB561B">
            <w:pPr>
              <w:numPr>
                <w:ilvl w:val="1"/>
                <w:numId w:val="588"/>
              </w:numPr>
              <w:spacing w:before="0" w:after="0"/>
              <w:ind w:hanging="244"/>
              <w:jc w:val="left"/>
              <w:rPr>
                <w:szCs w:val="24"/>
              </w:rPr>
            </w:pPr>
            <w:r>
              <w:rPr>
                <w:szCs w:val="24"/>
              </w:rPr>
              <w:t>matériel de transport tracté</w:t>
            </w:r>
          </w:p>
          <w:p w:rsidR="0035701C" w:rsidRDefault="00FB561B" w:rsidP="00FB561B">
            <w:pPr>
              <w:numPr>
                <w:ilvl w:val="1"/>
                <w:numId w:val="588"/>
              </w:numPr>
              <w:spacing w:before="0" w:after="0"/>
              <w:ind w:hanging="244"/>
              <w:jc w:val="left"/>
              <w:rPr>
                <w:szCs w:val="24"/>
              </w:rPr>
            </w:pPr>
            <w:r>
              <w:rPr>
                <w:szCs w:val="24"/>
              </w:rPr>
              <w:t xml:space="preserve">la construction de plateforme et abris pour le stockage et le séchage du bois énergie au bénéfice des entreprises du secteur, en dehors de l’équipement des forêts prévu dans le cadre de la mesure 4.3.2 au bénéfice </w:t>
            </w:r>
            <w:r>
              <w:rPr>
                <w:szCs w:val="24"/>
              </w:rPr>
              <w:t>des gestionnaires de ces terres,</w:t>
            </w:r>
          </w:p>
          <w:p w:rsidR="0035701C" w:rsidRDefault="00FB561B" w:rsidP="00FB561B">
            <w:pPr>
              <w:numPr>
                <w:ilvl w:val="1"/>
                <w:numId w:val="588"/>
              </w:numPr>
              <w:spacing w:before="0" w:after="0"/>
              <w:ind w:hanging="244"/>
              <w:jc w:val="left"/>
              <w:rPr>
                <w:szCs w:val="24"/>
              </w:rPr>
            </w:pPr>
            <w:r>
              <w:rPr>
                <w:szCs w:val="24"/>
              </w:rPr>
              <w:t>la construction de hangar et bâtiments d’exploitation (y compris les locaux administratifs et commerciaux),</w:t>
            </w:r>
          </w:p>
          <w:p w:rsidR="0035701C" w:rsidRDefault="00FB561B" w:rsidP="00FB561B">
            <w:pPr>
              <w:numPr>
                <w:ilvl w:val="0"/>
                <w:numId w:val="588"/>
              </w:numPr>
              <w:spacing w:before="0" w:after="0"/>
              <w:ind w:hanging="210"/>
              <w:jc w:val="left"/>
              <w:rPr>
                <w:szCs w:val="24"/>
              </w:rPr>
            </w:pPr>
            <w:r>
              <w:rPr>
                <w:szCs w:val="24"/>
              </w:rPr>
              <w:t>Les équipements et les infrastructures des entreprises de première transformation du bois d’œuvre (scieries), et de</w:t>
            </w:r>
            <w:r>
              <w:rPr>
                <w:szCs w:val="24"/>
              </w:rPr>
              <w:t xml:space="preserve">s unités de transformations du liège, en lien avec : </w:t>
            </w:r>
          </w:p>
          <w:p w:rsidR="0035701C" w:rsidRDefault="00FB561B" w:rsidP="00FB561B">
            <w:pPr>
              <w:numPr>
                <w:ilvl w:val="1"/>
                <w:numId w:val="588"/>
              </w:numPr>
              <w:spacing w:before="0" w:after="0"/>
              <w:ind w:hanging="244"/>
              <w:jc w:val="left"/>
              <w:rPr>
                <w:szCs w:val="24"/>
              </w:rPr>
            </w:pPr>
            <w:r>
              <w:rPr>
                <w:szCs w:val="24"/>
              </w:rPr>
              <w:t>le fonctionnement du parc à bois, notamment pour ce qui concerne le billonnage et l’écorçage des grumes, le cubage, le tri, le classement et l’étuvage des bois, ainsi que la détection des inclusions mét</w:t>
            </w:r>
            <w:r>
              <w:rPr>
                <w:szCs w:val="24"/>
              </w:rPr>
              <w:t>alliques,</w:t>
            </w:r>
          </w:p>
          <w:p w:rsidR="0035701C" w:rsidRDefault="00FB561B" w:rsidP="00FB561B">
            <w:pPr>
              <w:numPr>
                <w:ilvl w:val="1"/>
                <w:numId w:val="588"/>
              </w:numPr>
              <w:spacing w:before="0" w:after="0"/>
              <w:ind w:hanging="244"/>
              <w:jc w:val="left"/>
              <w:rPr>
                <w:szCs w:val="24"/>
              </w:rPr>
            </w:pPr>
            <w:r>
              <w:rPr>
                <w:szCs w:val="24"/>
              </w:rPr>
              <w:t>le sciage du bois (transformation de grumes, aboutissant à la fourniture de bois sciés, tranchés, déroulés ou fraisés),</w:t>
            </w:r>
          </w:p>
          <w:p w:rsidR="0035701C" w:rsidRDefault="00FB561B" w:rsidP="00FB561B">
            <w:pPr>
              <w:numPr>
                <w:ilvl w:val="1"/>
                <w:numId w:val="588"/>
              </w:numPr>
              <w:spacing w:before="0" w:after="0"/>
              <w:ind w:hanging="244"/>
              <w:jc w:val="left"/>
              <w:rPr>
                <w:szCs w:val="24"/>
              </w:rPr>
            </w:pPr>
            <w:r>
              <w:rPr>
                <w:szCs w:val="24"/>
              </w:rPr>
              <w:t xml:space="preserve">les systèmes de contrôle de la qualité, d’automatisation et de développement technologique, de classement CE et de marquage </w:t>
            </w:r>
            <w:r>
              <w:rPr>
                <w:szCs w:val="24"/>
              </w:rPr>
              <w:t>des sciages,</w:t>
            </w:r>
          </w:p>
          <w:p w:rsidR="0035701C" w:rsidRDefault="00FB561B" w:rsidP="00FB561B">
            <w:pPr>
              <w:numPr>
                <w:ilvl w:val="1"/>
                <w:numId w:val="588"/>
              </w:numPr>
              <w:spacing w:before="0" w:after="0"/>
              <w:ind w:hanging="244"/>
              <w:jc w:val="left"/>
              <w:rPr>
                <w:szCs w:val="24"/>
              </w:rPr>
            </w:pPr>
            <w:r>
              <w:rPr>
                <w:szCs w:val="24"/>
              </w:rPr>
              <w:t>la valorisation des sciages, comprenant notamment le séchage, l'étuvage, le rabotage, l'aboutage, ainsi que tous les investissements susceptibles d'adapter les produits de la scierie à la demande de l'aval,</w:t>
            </w:r>
          </w:p>
          <w:p w:rsidR="0035701C" w:rsidRDefault="00FB561B" w:rsidP="00FB561B">
            <w:pPr>
              <w:numPr>
                <w:ilvl w:val="1"/>
                <w:numId w:val="588"/>
              </w:numPr>
              <w:spacing w:before="0" w:after="0"/>
              <w:ind w:hanging="244"/>
              <w:jc w:val="left"/>
              <w:rPr>
                <w:szCs w:val="24"/>
              </w:rPr>
            </w:pPr>
            <w:r>
              <w:rPr>
                <w:szCs w:val="24"/>
              </w:rPr>
              <w:t>la valorisation de produits connexes</w:t>
            </w:r>
            <w:r>
              <w:rPr>
                <w:szCs w:val="24"/>
              </w:rPr>
              <w:t xml:space="preserve"> lorsque ceux-ci sont utilisés sur le site de l’entreprise,</w:t>
            </w:r>
          </w:p>
          <w:p w:rsidR="0035701C" w:rsidRDefault="00FB561B" w:rsidP="00FB561B">
            <w:pPr>
              <w:numPr>
                <w:ilvl w:val="1"/>
                <w:numId w:val="588"/>
              </w:numPr>
              <w:spacing w:before="0" w:after="0"/>
              <w:ind w:hanging="244"/>
              <w:jc w:val="left"/>
              <w:rPr>
                <w:szCs w:val="24"/>
              </w:rPr>
            </w:pPr>
            <w:r>
              <w:rPr>
                <w:szCs w:val="24"/>
              </w:rPr>
              <w:t>les équipements nécessaires au fonctionnement d’unités de transformations du liège.</w:t>
            </w:r>
          </w:p>
          <w:p w:rsidR="0035701C" w:rsidRDefault="00FB561B" w:rsidP="00FB561B">
            <w:pPr>
              <w:numPr>
                <w:ilvl w:val="1"/>
                <w:numId w:val="588"/>
              </w:numPr>
              <w:spacing w:before="0" w:after="240"/>
              <w:ind w:hanging="244"/>
              <w:jc w:val="left"/>
              <w:rPr>
                <w:szCs w:val="24"/>
              </w:rPr>
            </w:pPr>
            <w:r>
              <w:rPr>
                <w:szCs w:val="24"/>
              </w:rPr>
              <w:t>la construction et l’aménagement d'infrastructures de production et de stockage ou celles à vocation administrat</w:t>
            </w:r>
            <w:r>
              <w:rPr>
                <w:szCs w:val="24"/>
              </w:rPr>
              <w:t>ive et commerciale.</w:t>
            </w:r>
          </w:p>
          <w:p w:rsidR="0035701C" w:rsidRDefault="00FB561B">
            <w:pPr>
              <w:spacing w:before="240" w:after="240"/>
              <w:ind w:left="1785"/>
              <w:jc w:val="left"/>
              <w:rPr>
                <w:szCs w:val="24"/>
              </w:rPr>
            </w:pPr>
            <w:r>
              <w:rPr>
                <w:szCs w:val="24"/>
              </w:rPr>
              <w:t> </w:t>
            </w:r>
          </w:p>
          <w:p w:rsidR="0035701C" w:rsidRDefault="00FB561B" w:rsidP="00FB561B">
            <w:pPr>
              <w:numPr>
                <w:ilvl w:val="0"/>
                <w:numId w:val="589"/>
              </w:numPr>
              <w:spacing w:before="240" w:after="240"/>
              <w:ind w:hanging="210"/>
              <w:jc w:val="left"/>
              <w:rPr>
                <w:szCs w:val="24"/>
              </w:rPr>
            </w:pPr>
            <w:r>
              <w:rPr>
                <w:szCs w:val="24"/>
              </w:rPr>
              <w:t>L’achat de foncier nécessaire à la mise en œuvre du projet d’infrastructure dans la limite de 10% des dépenses éligibles de l’opération.</w:t>
            </w:r>
          </w:p>
          <w:p w:rsidR="0035701C" w:rsidRDefault="00FB561B">
            <w:pPr>
              <w:spacing w:before="240" w:after="240"/>
              <w:jc w:val="left"/>
              <w:rPr>
                <w:szCs w:val="24"/>
              </w:rPr>
            </w:pPr>
            <w:r>
              <w:rPr>
                <w:szCs w:val="24"/>
              </w:rPr>
              <w:t>Les frais généraux en lien avec l’investissement projeté ou réalisé dans la limite de 10% des dép</w:t>
            </w:r>
            <w:r>
              <w:rPr>
                <w:szCs w:val="24"/>
              </w:rPr>
              <w:t>enses éligibles de l’opération : étude de faisabilité (étude de marché, étude marketing, études concernant la recherche-développement),</w:t>
            </w:r>
          </w:p>
          <w:p w:rsidR="0035701C" w:rsidRDefault="00FB561B">
            <w:pPr>
              <w:spacing w:before="240" w:after="240"/>
              <w:jc w:val="left"/>
              <w:rPr>
                <w:szCs w:val="24"/>
              </w:rPr>
            </w:pPr>
            <w:r>
              <w:rPr>
                <w:szCs w:val="24"/>
              </w:rPr>
              <w:t>En outre, les matériels d’occasion sont éligibles dans les conditions prévues par le programme (cf. chapitre 8.1 conditi</w:t>
            </w:r>
            <w:r>
              <w:rPr>
                <w:szCs w:val="24"/>
              </w:rPr>
              <w:t>ons générales) et si leur technologie ou leur vétusté demeure compatible avec la préservation de l’environnement.</w:t>
            </w:r>
          </w:p>
          <w:p w:rsidR="0035701C" w:rsidRDefault="00FB561B">
            <w:pPr>
              <w:spacing w:before="240" w:after="240"/>
              <w:jc w:val="left"/>
              <w:rPr>
                <w:szCs w:val="24"/>
              </w:rPr>
            </w:pPr>
            <w:r>
              <w:rPr>
                <w:szCs w:val="24"/>
              </w:rPr>
              <w:t>Les dépenses inéligibles concernent :</w:t>
            </w:r>
          </w:p>
          <w:p w:rsidR="0035701C" w:rsidRDefault="00FB561B" w:rsidP="00FB561B">
            <w:pPr>
              <w:numPr>
                <w:ilvl w:val="0"/>
                <w:numId w:val="590"/>
              </w:numPr>
              <w:spacing w:before="240" w:after="0"/>
              <w:ind w:hanging="210"/>
              <w:jc w:val="left"/>
              <w:rPr>
                <w:szCs w:val="24"/>
              </w:rPr>
            </w:pPr>
            <w:r>
              <w:rPr>
                <w:szCs w:val="24"/>
              </w:rPr>
              <w:t>le rachat d'actifs,</w:t>
            </w:r>
          </w:p>
          <w:p w:rsidR="0035701C" w:rsidRDefault="00FB561B" w:rsidP="00FB561B">
            <w:pPr>
              <w:numPr>
                <w:ilvl w:val="0"/>
                <w:numId w:val="590"/>
              </w:numPr>
              <w:spacing w:before="0" w:after="0"/>
              <w:ind w:hanging="210"/>
              <w:jc w:val="left"/>
              <w:rPr>
                <w:szCs w:val="24"/>
              </w:rPr>
            </w:pPr>
            <w:r>
              <w:rPr>
                <w:szCs w:val="24"/>
              </w:rPr>
              <w:t xml:space="preserve">les matériels roulants (chariots élévateurs, camions…) à l’exception de ceux qui </w:t>
            </w:r>
            <w:r>
              <w:rPr>
                <w:szCs w:val="24"/>
              </w:rPr>
              <w:t>sont spécifiques à la manutention des bois ronds (pelle à grappin, pont roulant…),</w:t>
            </w:r>
          </w:p>
          <w:p w:rsidR="0035701C" w:rsidRDefault="00FB561B" w:rsidP="00FB561B">
            <w:pPr>
              <w:numPr>
                <w:ilvl w:val="0"/>
                <w:numId w:val="590"/>
              </w:numPr>
              <w:spacing w:before="0" w:after="240"/>
              <w:ind w:hanging="210"/>
              <w:jc w:val="left"/>
              <w:rPr>
                <w:szCs w:val="24"/>
              </w:rPr>
            </w:pPr>
            <w:r>
              <w:rPr>
                <w:szCs w:val="24"/>
              </w:rPr>
              <w:t>les chaudières, sauf celles alimentées au bois.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91"/>
              </w:numPr>
              <w:spacing w:before="0" w:after="0"/>
              <w:ind w:hanging="210"/>
              <w:jc w:val="left"/>
              <w:rPr>
                <w:szCs w:val="24"/>
              </w:rPr>
            </w:pPr>
            <w:r>
              <w:rPr>
                <w:szCs w:val="24"/>
              </w:rPr>
              <w:t>Pour les ETF, l’attribution de l’aide est conditionnée, à l’obtention de la levée de présomption</w:t>
            </w:r>
            <w:r>
              <w:rPr>
                <w:szCs w:val="24"/>
              </w:rPr>
              <w:t xml:space="preserve"> des personnes non salariées dans le cadre de leur activité d’entrepreneur de travaux forestiers.</w:t>
            </w:r>
          </w:p>
          <w:p w:rsidR="0035701C" w:rsidRDefault="00FB561B" w:rsidP="00FB561B">
            <w:pPr>
              <w:numPr>
                <w:ilvl w:val="0"/>
                <w:numId w:val="591"/>
              </w:numPr>
              <w:spacing w:before="0" w:after="0"/>
              <w:ind w:hanging="210"/>
              <w:jc w:val="left"/>
              <w:rPr>
                <w:szCs w:val="24"/>
              </w:rPr>
            </w:pPr>
            <w:r>
              <w:rPr>
                <w:szCs w:val="24"/>
              </w:rPr>
              <w:t>Les bénéficiaires devront présenter une comptabilité tenue par un expert comptable agréé ou être inscrits auprès d’un centre de gestion agréé.</w:t>
            </w:r>
          </w:p>
          <w:p w:rsidR="0035701C" w:rsidRDefault="00FB561B" w:rsidP="00FB561B">
            <w:pPr>
              <w:numPr>
                <w:ilvl w:val="0"/>
                <w:numId w:val="591"/>
              </w:numPr>
              <w:spacing w:before="0" w:after="240"/>
              <w:ind w:hanging="210"/>
              <w:jc w:val="left"/>
              <w:rPr>
                <w:szCs w:val="24"/>
              </w:rPr>
            </w:pPr>
            <w:r>
              <w:rPr>
                <w:szCs w:val="24"/>
              </w:rPr>
              <w:t xml:space="preserve">Conformément à </w:t>
            </w:r>
            <w:r>
              <w:rPr>
                <w:szCs w:val="24"/>
              </w:rPr>
              <w:t>l’article 45.1 du règlement (UE) 1305/2013, le projet devra être en conformité avec le droit spécifique applicable en matière d’évaluation de l’impact environnemental, et le cas échéant avec les autorisations requises.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Le projet doit comporter :</w:t>
            </w:r>
          </w:p>
          <w:p w:rsidR="0035701C" w:rsidRDefault="00FB561B" w:rsidP="00FB561B">
            <w:pPr>
              <w:numPr>
                <w:ilvl w:val="0"/>
                <w:numId w:val="592"/>
              </w:numPr>
              <w:spacing w:before="240" w:after="0"/>
              <w:ind w:hanging="210"/>
              <w:jc w:val="left"/>
              <w:rPr>
                <w:szCs w:val="24"/>
              </w:rPr>
            </w:pPr>
            <w:r>
              <w:rPr>
                <w:szCs w:val="24"/>
              </w:rPr>
              <w:t>une noti</w:t>
            </w:r>
            <w:r>
              <w:rPr>
                <w:szCs w:val="24"/>
              </w:rPr>
              <w:t>ce sur l’insertion paysagère et l'incidence écologique de l’investissement, selon un contenu fixé par l’Autorité de Gestion</w:t>
            </w:r>
          </w:p>
          <w:p w:rsidR="0035701C" w:rsidRDefault="00FB561B" w:rsidP="00FB561B">
            <w:pPr>
              <w:numPr>
                <w:ilvl w:val="0"/>
                <w:numId w:val="592"/>
              </w:numPr>
              <w:spacing w:before="0" w:after="240"/>
              <w:ind w:hanging="210"/>
              <w:jc w:val="left"/>
              <w:rPr>
                <w:szCs w:val="24"/>
              </w:rPr>
            </w:pPr>
            <w:r>
              <w:rPr>
                <w:szCs w:val="24"/>
              </w:rPr>
              <w:t>une prévision de la rentabilité et de l’impact économique du projet envisagé.</w:t>
            </w:r>
          </w:p>
          <w:p w:rsidR="0035701C" w:rsidRDefault="00FB561B">
            <w:pPr>
              <w:spacing w:before="240" w:after="240"/>
              <w:jc w:val="left"/>
              <w:rPr>
                <w:szCs w:val="24"/>
              </w:rPr>
            </w:pPr>
            <w:r>
              <w:rPr>
                <w:szCs w:val="24"/>
              </w:rPr>
              <w:t>Si le projet est situé en totalité ou en partie sur un</w:t>
            </w:r>
            <w:r>
              <w:rPr>
                <w:szCs w:val="24"/>
              </w:rPr>
              <w:t>e zone classée Natura 2000, les investissements doivent respecter les préconisations du document d’objectif (DOCOB).</w:t>
            </w:r>
          </w:p>
          <w:p w:rsidR="0035701C" w:rsidRDefault="00FB561B">
            <w:pPr>
              <w:spacing w:before="240" w:after="240"/>
              <w:jc w:val="left"/>
              <w:rPr>
                <w:szCs w:val="24"/>
              </w:rPr>
            </w:pPr>
            <w:r>
              <w:rPr>
                <w:szCs w:val="24"/>
              </w:rPr>
              <w:t>En outre, ce projet devra être approuvé par le Bureau du Conseil d’administration de l’ODARC.</w:t>
            </w:r>
          </w:p>
          <w:p w:rsidR="0035701C" w:rsidRDefault="0035701C">
            <w:pPr>
              <w:pStyle w:val="Corpsdetexte"/>
            </w:pPr>
          </w:p>
        </w:tc>
      </w:tr>
    </w:tbl>
    <w:p w:rsidR="0035701C" w:rsidRDefault="00FB561B">
      <w:pPr>
        <w:pStyle w:val="Titre6"/>
      </w:pPr>
      <w:r>
        <w:t>Principes applicables à l'établissement des</w:t>
      </w:r>
      <w:r>
        <w:t xml:space="preserve">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principes de sélection pourront notamment concerner :</w:t>
            </w:r>
          </w:p>
          <w:p w:rsidR="0035701C" w:rsidRDefault="00FB561B" w:rsidP="00FB561B">
            <w:pPr>
              <w:numPr>
                <w:ilvl w:val="0"/>
                <w:numId w:val="593"/>
              </w:numPr>
              <w:spacing w:before="240" w:after="0"/>
              <w:ind w:hanging="210"/>
              <w:jc w:val="left"/>
              <w:rPr>
                <w:szCs w:val="24"/>
              </w:rPr>
            </w:pPr>
            <w:r>
              <w:rPr>
                <w:szCs w:val="24"/>
              </w:rPr>
              <w:t>L’impact environnemental du projet, et notamment l'adéquation des matériels avec les contraintes du milieu (pente, nature du sol...etc).</w:t>
            </w:r>
          </w:p>
          <w:p w:rsidR="0035701C" w:rsidRDefault="00FB561B" w:rsidP="00FB561B">
            <w:pPr>
              <w:numPr>
                <w:ilvl w:val="0"/>
                <w:numId w:val="593"/>
              </w:numPr>
              <w:spacing w:before="0" w:after="240"/>
              <w:ind w:hanging="210"/>
              <w:jc w:val="left"/>
              <w:rPr>
                <w:szCs w:val="24"/>
              </w:rPr>
            </w:pPr>
            <w:r>
              <w:rPr>
                <w:szCs w:val="24"/>
              </w:rPr>
              <w:t>Le lien amont/aval avec la filière (mi</w:t>
            </w:r>
            <w:r>
              <w:rPr>
                <w:szCs w:val="24"/>
              </w:rPr>
              <w:t>se en œuvre de contrat d’approvisionnement avec l’amont : propriétaires forestiers, (engagement de volume), connexion avec l’aval de la production pour la transformation de la ressource (engagement de volume, contrat de fourniture),</w:t>
            </w:r>
          </w:p>
          <w:p w:rsidR="0035701C" w:rsidRDefault="00FB561B" w:rsidP="00FB561B">
            <w:pPr>
              <w:numPr>
                <w:ilvl w:val="0"/>
                <w:numId w:val="594"/>
              </w:numPr>
              <w:spacing w:before="240" w:after="240"/>
              <w:ind w:hanging="210"/>
              <w:jc w:val="left"/>
              <w:rPr>
                <w:szCs w:val="24"/>
              </w:rPr>
            </w:pPr>
            <w:r>
              <w:rPr>
                <w:szCs w:val="24"/>
              </w:rPr>
              <w:t>Le maintien ou la créat</w:t>
            </w:r>
            <w:r>
              <w:rPr>
                <w:szCs w:val="24"/>
              </w:rPr>
              <w:t>ion d'emplois,</w:t>
            </w:r>
          </w:p>
          <w:p w:rsidR="0035701C" w:rsidRDefault="00FB561B" w:rsidP="00FB561B">
            <w:pPr>
              <w:numPr>
                <w:ilvl w:val="0"/>
                <w:numId w:val="595"/>
              </w:numPr>
              <w:spacing w:before="240" w:after="0"/>
              <w:ind w:hanging="210"/>
              <w:jc w:val="left"/>
              <w:rPr>
                <w:szCs w:val="24"/>
              </w:rPr>
            </w:pPr>
            <w:r>
              <w:rPr>
                <w:szCs w:val="24"/>
              </w:rPr>
              <w:t>les démarches contribuant à fournir une valeur ajoutée accrue aux produits, notamment la labellisation des produits issus de la forêt (PEFC, label France Bois Bûche…),</w:t>
            </w:r>
          </w:p>
          <w:p w:rsidR="0035701C" w:rsidRDefault="00FB561B" w:rsidP="00FB561B">
            <w:pPr>
              <w:numPr>
                <w:ilvl w:val="0"/>
                <w:numId w:val="595"/>
              </w:numPr>
              <w:spacing w:before="0" w:after="240"/>
              <w:ind w:hanging="210"/>
              <w:jc w:val="left"/>
              <w:rPr>
                <w:szCs w:val="24"/>
              </w:rPr>
            </w:pPr>
            <w:r>
              <w:rPr>
                <w:szCs w:val="24"/>
              </w:rPr>
              <w:t xml:space="preserve">le caractère innovant de l’opération sur le plan technologique, </w:t>
            </w:r>
            <w:r>
              <w:rPr>
                <w:szCs w:val="24"/>
              </w:rPr>
              <w:t>environnemental ou organisationnel.</w:t>
            </w:r>
          </w:p>
          <w:p w:rsidR="0035701C" w:rsidRDefault="00FB561B" w:rsidP="00FB561B">
            <w:pPr>
              <w:numPr>
                <w:ilvl w:val="0"/>
                <w:numId w:val="596"/>
              </w:numPr>
              <w:spacing w:before="240" w:after="240"/>
              <w:ind w:hanging="210"/>
              <w:jc w:val="left"/>
              <w:rPr>
                <w:szCs w:val="24"/>
              </w:rPr>
            </w:pPr>
            <w:r>
              <w:rPr>
                <w:szCs w:val="24"/>
              </w:rPr>
              <w:t>La mesure  sera mise en œuvre par appel à projet.</w:t>
            </w:r>
          </w:p>
          <w:p w:rsidR="0035701C" w:rsidRDefault="00FB561B">
            <w:pPr>
              <w:spacing w:before="240" w:after="240"/>
              <w:jc w:val="left"/>
              <w:rPr>
                <w:szCs w:val="24"/>
              </w:rPr>
            </w:pPr>
            <w:r>
              <w:rPr>
                <w:szCs w:val="24"/>
              </w:rPr>
              <w:t>La grille de sélection des opérations prévoira l'établissement d'un système de points permettant le classement des dossiers et la fixation d'un seuil minimal pour accéder</w:t>
            </w:r>
            <w:r>
              <w:rPr>
                <w:szCs w:val="24"/>
              </w:rPr>
              <w:t xml:space="preserve"> au soutien au titre du PDRC</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597"/>
              </w:numPr>
              <w:spacing w:before="0" w:after="240"/>
              <w:ind w:hanging="210"/>
              <w:jc w:val="left"/>
              <w:rPr>
                <w:szCs w:val="24"/>
              </w:rPr>
            </w:pPr>
            <w:r>
              <w:rPr>
                <w:szCs w:val="24"/>
              </w:rPr>
              <w:t>Le taux d'aide est de 40%.</w:t>
            </w:r>
          </w:p>
          <w:p w:rsidR="0035701C" w:rsidRDefault="00FB561B">
            <w:pPr>
              <w:spacing w:before="240" w:after="240"/>
              <w:jc w:val="left"/>
              <w:rPr>
                <w:szCs w:val="24"/>
              </w:rPr>
            </w:pPr>
            <w:r>
              <w:rPr>
                <w:szCs w:val="24"/>
              </w:rPr>
              <w:t xml:space="preserve">Le taux d'aide publique appliqué au dossier correspondra au maximum autorisé par le régime d'aide d'Etat appliqué audit dossier, si ce maximum est plus </w:t>
            </w:r>
            <w:r>
              <w:rPr>
                <w:szCs w:val="24"/>
              </w:rPr>
              <w:t>restrictif que le taux prévu par le PDR ; ce maximum ne pourra être supérieur au taux de 40%</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 xml:space="preserve">Dialogue AG/OP sur l’évolution du contenu </w:t>
            </w:r>
            <w:r>
              <w:rPr>
                <w:szCs w:val="24"/>
                <w:u w:val="single"/>
              </w:rPr>
              <w:t>de la mesure :</w:t>
            </w:r>
          </w:p>
          <w:p w:rsidR="0035701C" w:rsidRDefault="00FB561B">
            <w:pPr>
              <w:spacing w:before="240" w:after="240"/>
              <w:jc w:val="left"/>
              <w:rPr>
                <w:szCs w:val="24"/>
              </w:rPr>
            </w:pPr>
            <w:r>
              <w:rPr>
                <w:szCs w:val="24"/>
              </w:rPr>
              <w:t>- L'OP a demandé que soient bien décrits les pétitionnaires susceptibles d'être bénéficiaires de cette opération. Les éléments de Droit, les précisions apportées au présent texte, ainsi que le détail des éléments de réponse à fournir sur les</w:t>
            </w:r>
            <w:r>
              <w:rPr>
                <w:szCs w:val="24"/>
              </w:rPr>
              <w:t xml:space="preserve"> appels à projet sont pleinement satisfaisants. ne attention particulière sera apportée sur la bonne évaluation du taux d'aide.</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n°1 - R1  : Pour les formes juridiques sociétair</w:t>
            </w:r>
            <w:r>
              <w:rPr>
                <w:szCs w:val="24"/>
              </w:rPr>
              <w:t>es ou associatives,  conformité des statuts et actes, mise à jour effective et conforme au long de la période d’engagement. (source : Législation nationale : décalage entre Droit Social, Droit des Sociétés, Droit Rural, Droit Fiscal (modification pour la f</w:t>
            </w:r>
            <w:r>
              <w:rPr>
                <w:szCs w:val="24"/>
              </w:rPr>
              <w:t>orêt en 2012))</w:t>
            </w:r>
          </w:p>
          <w:p w:rsidR="0035701C" w:rsidRDefault="00FB561B">
            <w:pPr>
              <w:spacing w:before="240" w:after="240"/>
              <w:jc w:val="left"/>
              <w:rPr>
                <w:szCs w:val="24"/>
              </w:rPr>
            </w:pPr>
            <w:r>
              <w:rPr>
                <w:szCs w:val="24"/>
              </w:rPr>
              <w:t>n°2 - R11 : Détail précis et méthodologie de calcul du taux d'aide selon les critères d'éligibilité, les régimes d'aides (pour les produits hors Annexe1 TFUE)et/ou critères de sélection (scoring) dans le DOMO et les notices d'information. Se</w:t>
            </w:r>
            <w:r>
              <w:rPr>
                <w:szCs w:val="24"/>
              </w:rPr>
              <w:t>nsibilisation de l'administration et des bénéficiaires. (source : 2007-2013 en continu Formation de l'administration, des Partenaires, des Bénéficiaires, Multiplicité des précisions sur « Guidance » (notes de cadrage)).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n°1 - R1  : </w:t>
            </w:r>
            <w:r>
              <w:rPr>
                <w:szCs w:val="24"/>
              </w:rPr>
              <w:t>VERIFIER Pour les formes juridiques sociétaires ou associatives, conformité des statuts et actes, mise à jour effective et conforme..</w:t>
            </w:r>
          </w:p>
          <w:p w:rsidR="0035701C" w:rsidRDefault="00FB561B">
            <w:pPr>
              <w:spacing w:before="240" w:after="240"/>
              <w:jc w:val="left"/>
              <w:rPr>
                <w:szCs w:val="24"/>
              </w:rPr>
            </w:pPr>
            <w:r>
              <w:rPr>
                <w:szCs w:val="24"/>
              </w:rPr>
              <w:t>n°2 - R11 : VERIFIER le régime d'aide avec soin au moyen de précisions de procédure, de sensibilisation des partenaires, g</w:t>
            </w:r>
            <w:r>
              <w:rPr>
                <w:szCs w:val="24"/>
              </w:rPr>
              <w:t>estionnaires…</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Au vu des cotations matricielles, sur le poids financier de la mesure (&lt;5%), sur les priorités, les risques, les mesures d’atténuation prévues, cette mesure reçoit une évaluation  favorable très peu risquée</w:t>
            </w:r>
            <w:r>
              <w:rPr>
                <w:szCs w:val="24"/>
              </w:rPr>
              <w:t xml:space="preserve"> ; Les mécanismes de mise en œuvre sont connus et maîtrisés par tous les acteurs.</w:t>
            </w:r>
          </w:p>
          <w:p w:rsidR="0035701C" w:rsidRDefault="00FB561B">
            <w:pPr>
              <w:spacing w:before="240" w:after="240"/>
              <w:jc w:val="left"/>
              <w:rPr>
                <w:szCs w:val="24"/>
              </w:rPr>
            </w:pPr>
            <w:r>
              <w:rPr>
                <w:szCs w:val="24"/>
              </w:rPr>
              <w:t>- Concernant l'évaluation globale de la mesure : la mesure est contrôlable sous réserve de la mise en place d'actions d'atténuation et des précisions apportées dans les docum</w:t>
            </w:r>
            <w:r>
              <w:rPr>
                <w:szCs w:val="24"/>
              </w:rPr>
              <w:t>ents de mise en œuvre, principalement sur les vérifications juridiques  du statut du bénéficiaire. Une information relative aux taux d'aide possibles devra être mise en place.</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6"/>
      </w:pPr>
      <w:r>
        <w:t>Informations spécifiques sur l'opération</w:t>
      </w:r>
    </w:p>
    <w:p w:rsidR="0035701C" w:rsidRDefault="00FB561B">
      <w:r>
        <w:t>Définition et justification de la taille d’exploitation au-delà de laquelle l’octroi d’un sioutien est subordonné à la présentation d’un plan de gestion forestière ou d’un instrument équivalent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Définition de la </w:t>
      </w:r>
      <w:r>
        <w:t>notion d'«instrument équivalent»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[Boisement et création de surfaces boisées] Détermination des espèces à planter, des surfaces et des méthodes à utiliser pour éviter le boisement inadéquat, comme indiqué à l'article 6, point a), du règlement délégué (U</w:t>
      </w:r>
      <w:r>
        <w:t>E) n° 807/2014, et description des conditions environnementales et climatiques des zones dans lesquelles un boisement est prévu conformément à l'article 6, point b), du même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[Boisement et création de surfaces boisées] Définition des exigences</w:t>
      </w:r>
      <w:r>
        <w:t xml:space="preserve"> environnementales minimales visées à l’article 6 du règlement délégué (UE) nº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[Mise en place de systèmes agroforestiers ] Spécification du nombre minimal et maximal d’arbres à planter et à conserver une fois adultes, par hectare et espèce </w:t>
      </w:r>
      <w:r>
        <w:t>forestière admise, conformément à l’article 23, paragraphe 2,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[Mise en place de systèmes agroforestiers] Indication des bénéfices environnementaux des systèmes soutenus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[Prévention et réparation des dommages causés au</w:t>
      </w:r>
      <w:r>
        <w:t>x forêts par des incendies de forêt, des catastrophes naturelles et des événements catastrophiques] Le cas échéant, liste des espèces d'organismes nuisibles pour les végétaux qui peuvent causer une catastrophe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[Prévention et réparation des dommages cau</w:t>
      </w:r>
      <w:r>
        <w:t>sés aux forêts par des incendies de forêt, des catastrophes naturelles et des événements catastrophiques] Détermination des zones forestières classées parmi les zones présentant un risque d'incendie moyen à élevé, selon le plan de protection des forêts app</w:t>
      </w:r>
      <w:r>
        <w:t>licable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[Prévention et réparation des dommages causés aux forêts par des incendies de forêt, des catastrophes naturelles et des événements catastrophiques] Dans le cas des actions de prévention concernant les organismes nuisibles et les maladies, </w:t>
      </w:r>
      <w:r>
        <w:t>description de catastrophes dans ces domaines, étayée par des preuves scientifiques, y compris le cas échéant, des recommandations des organisations scientifiques sur le traitement des organismes nuisibles et des maladies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[Investissements améliorant la</w:t>
      </w:r>
      <w:r>
        <w:t xml:space="preserve"> résilience et la valeur environnementale des écosystèmes forestiers] Définition des types d’investissements admissibles et de leurs retombées environnementales et/ou à caractère d’utilité publique escomptées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4"/>
        <w:jc w:val="left"/>
      </w:pPr>
      <w:r>
        <w:t>Caractère vérifiable et contrôlable des mes</w:t>
      </w:r>
      <w:r>
        <w:t>ures et/ou types d'opérations</w:t>
      </w:r>
    </w:p>
    <w:p w:rsidR="0035701C" w:rsidRDefault="00FB561B">
      <w:pPr>
        <w:pStyle w:val="Titre5"/>
        <w:rPr>
          <w:b w:val="0"/>
        </w:rPr>
      </w:pPr>
      <w:r>
        <w:rPr>
          <w:b w:val="0"/>
        </w:rPr>
        <w:t>Risque(s) dans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4"/>
        <w:jc w:val="left"/>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4"/>
        <w:jc w:val="left"/>
      </w:pPr>
      <w:r>
        <w:t>Informations spécifiques sur la mesure</w:t>
      </w:r>
    </w:p>
    <w:p w:rsidR="0035701C" w:rsidRDefault="00FB561B">
      <w:r>
        <w:t>Définition</w:t>
      </w:r>
      <w:r>
        <w:t xml:space="preserve"> et justification de la taille d’exploitation au-delà de laquelle l’octroi d’un sioutien est subordonné à la présentation d’un plan de gestion forestière ou d’un instrument équivalent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spacing w:after="100"/>
      </w:pPr>
      <w:r>
        <w:t>Définition de la notion d'«instrument équivalent»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spacing w:after="100"/>
            </w:pPr>
          </w:p>
        </w:tc>
      </w:tr>
    </w:tbl>
    <w:p w:rsidR="0035701C" w:rsidRDefault="00FB561B">
      <w:pPr>
        <w:spacing w:after="100"/>
      </w:pPr>
      <w:r>
        <w:t xml:space="preserve">[Boisement et </w:t>
      </w:r>
      <w:r>
        <w:t>création de surfaces boisées] Détermination des espèces à planter, des surfaces et des méthodes à utiliser pour éviter le boisement inadéquat, comme indiqué à l'article 6, point a), du règlement délégué (UE) n° 807/2014, et description des conditions envir</w:t>
      </w:r>
      <w:r>
        <w:t>onnementales et climatiques des zones dans lesquelles un boisement est prévu conformément à l'article 6, point b), du même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spacing w:after="100"/>
            </w:pPr>
          </w:p>
        </w:tc>
      </w:tr>
    </w:tbl>
    <w:p w:rsidR="0035701C" w:rsidRDefault="00FB561B">
      <w:pPr>
        <w:spacing w:after="100"/>
      </w:pPr>
      <w:r>
        <w:t xml:space="preserve">[Boisement et création de surfaces boisées] Définition des exigences environnementales minimales visées à </w:t>
      </w:r>
      <w:r>
        <w:t>l’article 6 du règlement délégué (UE) nº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spacing w:after="100"/>
            </w:pPr>
          </w:p>
        </w:tc>
      </w:tr>
    </w:tbl>
    <w:p w:rsidR="0035701C" w:rsidRDefault="00FB561B">
      <w:pPr>
        <w:spacing w:after="100"/>
      </w:pPr>
      <w:r>
        <w:t>[Mise en place de systèmes agroforestiers ] Spécification du nombre minimal et maximal d’arbres à planter et à conserver une fois adultes, par hectare et espèce forestière admise, conformément à l’artic</w:t>
      </w:r>
      <w:r>
        <w:t>le 23, paragraphe 2,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spacing w:after="100"/>
            </w:pPr>
          </w:p>
        </w:tc>
      </w:tr>
    </w:tbl>
    <w:p w:rsidR="0035701C" w:rsidRDefault="00FB561B">
      <w:pPr>
        <w:spacing w:after="100"/>
      </w:pPr>
      <w:r>
        <w:t>[Mise en place de systèmes agroforestiers] Indication des bénéfices environnementaux des systèmes soutenus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spacing w:after="100"/>
            </w:pPr>
          </w:p>
        </w:tc>
      </w:tr>
    </w:tbl>
    <w:p w:rsidR="0035701C" w:rsidRDefault="00FB561B">
      <w:pPr>
        <w:spacing w:after="100"/>
      </w:pPr>
      <w:r>
        <w:t xml:space="preserve">[Prévention et réparation des dommages causés aux forêts par des incendies de forêt, des </w:t>
      </w:r>
      <w:r>
        <w:t>catastrophes naturelles et des événements catastrophiques] Le cas échéant, liste des espèces d'organismes nuisibles pour les végétaux qui peuvent causer une catastrophe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spacing w:after="100"/>
            </w:pPr>
          </w:p>
        </w:tc>
      </w:tr>
    </w:tbl>
    <w:p w:rsidR="0035701C" w:rsidRDefault="00FB561B">
      <w:pPr>
        <w:spacing w:after="100"/>
      </w:pPr>
      <w:r>
        <w:t>[Prévention et réparation des dommages causés aux forêts par des incendies de forêt</w:t>
      </w:r>
      <w:r>
        <w:t>, des catastrophes naturelles et des événements catastrophiques] Détermination des zones forestières classées parmi les zones présentant un risque d'incendie moyen à élevé, selon le plan de protection des forêts applicable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spacing w:after="100"/>
            </w:pPr>
          </w:p>
        </w:tc>
      </w:tr>
    </w:tbl>
    <w:p w:rsidR="0035701C" w:rsidRDefault="00FB561B">
      <w:pPr>
        <w:spacing w:after="100"/>
      </w:pPr>
      <w:r>
        <w:t>[Prévention et réparation des</w:t>
      </w:r>
      <w:r>
        <w:t xml:space="preserve"> dommages causés aux forêts par des incendies de forêt, des catastrophes naturelles et des événements catastrophiques] Dans le cas des actions de prévention concernant les organismes nuisibles et les maladies, description de catastrophes dans ces domaines,</w:t>
      </w:r>
      <w:r>
        <w:t xml:space="preserve"> étayée par des preuves scientifiques, y compris le cas échéant, des recommandations des organisations scientifiques sur le traitement des organismes nuisibles et des maladies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spacing w:after="100"/>
            </w:pPr>
          </w:p>
        </w:tc>
      </w:tr>
    </w:tbl>
    <w:p w:rsidR="0035701C" w:rsidRDefault="00FB561B">
      <w:pPr>
        <w:spacing w:after="100"/>
      </w:pPr>
      <w:r>
        <w:t xml:space="preserve">[Investissements améliorant la résilience et la valeur environnementale des </w:t>
      </w:r>
      <w:r>
        <w:t>écosystèmes forestiers] Définition des types d’investissements admissibles et de leurs retombées environnementales et/ou à caractère d’utilité publique escomptées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sous-mesure 8.5 opérations sylvicoles</w:t>
            </w:r>
          </w:p>
          <w:p w:rsidR="0035701C" w:rsidRDefault="0035701C">
            <w:pPr>
              <w:pStyle w:val="Corpsdetexte"/>
              <w:spacing w:after="100"/>
            </w:pPr>
          </w:p>
        </w:tc>
      </w:tr>
    </w:tbl>
    <w:p w:rsidR="0035701C" w:rsidRDefault="00FB561B">
      <w:pPr>
        <w:pStyle w:val="Titre4"/>
        <w:spacing w:after="100"/>
        <w:jc w:val="left"/>
      </w:pPr>
      <w:r>
        <w:t xml:space="preserve">Autres remarques importantes pour comprendre et </w:t>
      </w:r>
      <w:r>
        <w:t>mettre en œuvre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3"/>
        <w:jc w:val="left"/>
      </w:pPr>
      <w:r>
        <w:br w:type="page"/>
      </w:r>
      <w:bookmarkStart w:id="109" w:name="_Toc256000108"/>
      <w:r>
        <w:t>M10 - Agroenvironnement - climat (article 28)</w:t>
      </w:r>
      <w:bookmarkEnd w:id="109"/>
    </w:p>
    <w:p w:rsidR="0035701C" w:rsidRDefault="00FB561B">
      <w:pPr>
        <w:pStyle w:val="Titre4"/>
        <w:jc w:val="left"/>
      </w:pPr>
      <w:r>
        <w:t>Base juridique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Règlement (UE) n°1305 /2013 du 17 décembre 2013 (FEADER) Article 28</w:t>
            </w:r>
          </w:p>
          <w:p w:rsidR="0035701C" w:rsidRDefault="0035701C">
            <w:pPr>
              <w:pStyle w:val="Corpsdetexte"/>
            </w:pPr>
          </w:p>
        </w:tc>
      </w:tr>
    </w:tbl>
    <w:p w:rsidR="0035701C" w:rsidRDefault="00FB561B">
      <w:pPr>
        <w:pStyle w:val="Titre4"/>
        <w:jc w:val="left"/>
      </w:pPr>
      <w:r>
        <w:t xml:space="preserve">Description générale de la mesure, y compris sa logique d'intervention et sa contribution aux </w:t>
      </w:r>
      <w:r>
        <w:t>domaines prioritaires et à la réalisation des 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Cette mesure vise à maintenir les pratiques agricoles qui apportent une contribution favorable à l'environnement et au climat et à encourager les changements nécessaires à cet égard. Son </w:t>
            </w:r>
            <w:r>
              <w:rPr>
                <w:szCs w:val="24"/>
              </w:rPr>
              <w:t>intégration dans les programmes de développement rural est obligatoire au niveau national et/ou régional. Son ouverture est donc obligatoire sur la région Corse conformément au règlement FEADER.</w:t>
            </w:r>
          </w:p>
          <w:p w:rsidR="0035701C" w:rsidRDefault="00FB561B">
            <w:pPr>
              <w:spacing w:before="240" w:after="240"/>
              <w:jc w:val="left"/>
              <w:rPr>
                <w:szCs w:val="24"/>
              </w:rPr>
            </w:pPr>
            <w:r>
              <w:rPr>
                <w:szCs w:val="24"/>
              </w:rPr>
              <w:t xml:space="preserve">Cette mesure constitue un des outils majeurs du deuxième </w:t>
            </w:r>
            <w:r>
              <w:rPr>
                <w:szCs w:val="24"/>
              </w:rPr>
              <w:t>pilier de la PAC pour :</w:t>
            </w:r>
          </w:p>
          <w:p w:rsidR="0035701C" w:rsidRDefault="00FB561B" w:rsidP="00FB561B">
            <w:pPr>
              <w:numPr>
                <w:ilvl w:val="0"/>
                <w:numId w:val="598"/>
              </w:numPr>
              <w:spacing w:before="240" w:after="0"/>
              <w:ind w:hanging="210"/>
              <w:jc w:val="left"/>
              <w:rPr>
                <w:szCs w:val="24"/>
              </w:rPr>
            </w:pPr>
            <w:r>
              <w:rPr>
                <w:szCs w:val="24"/>
              </w:rPr>
              <w:t>accompagner le changement de pratiques agricoles afin de répondre à des pressions environnementales identifiées à l'échelle des territoires;</w:t>
            </w:r>
          </w:p>
          <w:p w:rsidR="0035701C" w:rsidRDefault="00FB561B" w:rsidP="00FB561B">
            <w:pPr>
              <w:numPr>
                <w:ilvl w:val="0"/>
                <w:numId w:val="598"/>
              </w:numPr>
              <w:spacing w:before="0" w:after="240"/>
              <w:ind w:hanging="210"/>
              <w:jc w:val="left"/>
              <w:rPr>
                <w:szCs w:val="24"/>
              </w:rPr>
            </w:pPr>
            <w:r>
              <w:rPr>
                <w:szCs w:val="24"/>
              </w:rPr>
              <w:t xml:space="preserve">maintenir les pratiques favorables sources d'aménités environnementales là où il existe un </w:t>
            </w:r>
            <w:r>
              <w:rPr>
                <w:szCs w:val="24"/>
              </w:rPr>
              <w:t>risque de disparition ou d'évolution vers des pratiques moins vertueuses.</w:t>
            </w:r>
          </w:p>
          <w:p w:rsidR="0035701C" w:rsidRDefault="00FB561B">
            <w:pPr>
              <w:spacing w:before="240" w:after="240"/>
              <w:jc w:val="left"/>
              <w:rPr>
                <w:szCs w:val="24"/>
              </w:rPr>
            </w:pPr>
            <w:r>
              <w:rPr>
                <w:szCs w:val="24"/>
              </w:rPr>
              <w:t xml:space="preserve">Elle doit être mobilisée afin de répondre à l'ensemble des enjeux environnementaux qui ont été retenus tant au plan communautaire qu'au plan national et régional. Pour la Corse, les </w:t>
            </w:r>
            <w:r>
              <w:rPr>
                <w:szCs w:val="24"/>
              </w:rPr>
              <w:t>3 enjeux retenus sont (cf. projet agro-environnementale pour la Corse développé ci-dessous) :</w:t>
            </w:r>
          </w:p>
          <w:p w:rsidR="0035701C" w:rsidRDefault="00FB561B" w:rsidP="00FB561B">
            <w:pPr>
              <w:numPr>
                <w:ilvl w:val="0"/>
                <w:numId w:val="599"/>
              </w:numPr>
              <w:spacing w:before="240" w:after="0"/>
              <w:ind w:hanging="210"/>
              <w:jc w:val="left"/>
              <w:rPr>
                <w:szCs w:val="24"/>
              </w:rPr>
            </w:pPr>
            <w:r>
              <w:rPr>
                <w:szCs w:val="24"/>
              </w:rPr>
              <w:t>maintenir et accroitre la biodiversité</w:t>
            </w:r>
          </w:p>
          <w:p w:rsidR="0035701C" w:rsidRDefault="00FB561B" w:rsidP="00FB561B">
            <w:pPr>
              <w:numPr>
                <w:ilvl w:val="0"/>
                <w:numId w:val="599"/>
              </w:numPr>
              <w:spacing w:before="0" w:after="0"/>
              <w:ind w:hanging="210"/>
              <w:jc w:val="left"/>
              <w:rPr>
                <w:szCs w:val="24"/>
              </w:rPr>
            </w:pPr>
            <w:r>
              <w:rPr>
                <w:szCs w:val="24"/>
              </w:rPr>
              <w:t>protéger les paysages de la déprise et de l’incendie</w:t>
            </w:r>
          </w:p>
          <w:p w:rsidR="0035701C" w:rsidRDefault="00FB561B" w:rsidP="00FB561B">
            <w:pPr>
              <w:numPr>
                <w:ilvl w:val="0"/>
                <w:numId w:val="599"/>
              </w:numPr>
              <w:spacing w:before="0" w:after="240"/>
              <w:ind w:hanging="210"/>
              <w:jc w:val="left"/>
              <w:rPr>
                <w:szCs w:val="24"/>
              </w:rPr>
            </w:pPr>
            <w:r>
              <w:rPr>
                <w:szCs w:val="24"/>
              </w:rPr>
              <w:t>protéger la ressource en eau et les sols.</w:t>
            </w:r>
          </w:p>
          <w:p w:rsidR="0035701C" w:rsidRDefault="00FB561B">
            <w:pPr>
              <w:spacing w:before="240" w:after="240"/>
              <w:jc w:val="left"/>
              <w:rPr>
                <w:szCs w:val="24"/>
              </w:rPr>
            </w:pPr>
            <w:r>
              <w:rPr>
                <w:szCs w:val="24"/>
              </w:rPr>
              <w:t>Ces enjeux recoupent les bes</w:t>
            </w:r>
            <w:r>
              <w:rPr>
                <w:szCs w:val="24"/>
              </w:rPr>
              <w:t>oins identifiés dans la zone de programmation :</w:t>
            </w:r>
          </w:p>
          <w:p w:rsidR="0035701C" w:rsidRDefault="00FB561B" w:rsidP="00FB561B">
            <w:pPr>
              <w:numPr>
                <w:ilvl w:val="0"/>
                <w:numId w:val="600"/>
              </w:numPr>
              <w:spacing w:before="240" w:after="0"/>
              <w:ind w:hanging="210"/>
              <w:jc w:val="left"/>
              <w:rPr>
                <w:szCs w:val="24"/>
              </w:rPr>
            </w:pPr>
            <w:r>
              <w:rPr>
                <w:szCs w:val="24"/>
              </w:rPr>
              <w:t>n°16 : Accroître la contribution de l’agriculture à la valorisation du patrimoine naturel, au maintien de la biodiversité, à la qualité des paysages agricoles.</w:t>
            </w:r>
          </w:p>
          <w:p w:rsidR="0035701C" w:rsidRDefault="00FB561B" w:rsidP="00FB561B">
            <w:pPr>
              <w:numPr>
                <w:ilvl w:val="0"/>
                <w:numId w:val="600"/>
              </w:numPr>
              <w:spacing w:before="0" w:after="240"/>
              <w:ind w:hanging="210"/>
              <w:jc w:val="left"/>
              <w:rPr>
                <w:szCs w:val="24"/>
              </w:rPr>
            </w:pPr>
            <w:r>
              <w:rPr>
                <w:szCs w:val="24"/>
              </w:rPr>
              <w:t>n°32 : Préserver le bon état de l'environnement,</w:t>
            </w:r>
            <w:r>
              <w:rPr>
                <w:szCs w:val="24"/>
              </w:rPr>
              <w:t xml:space="preserve"> assurer le renouvellement des ressources naturelles et prévenir le risque incendie.</w:t>
            </w:r>
          </w:p>
          <w:p w:rsidR="0035701C" w:rsidRDefault="00FB561B">
            <w:pPr>
              <w:spacing w:before="240" w:after="240"/>
              <w:jc w:val="left"/>
              <w:rPr>
                <w:szCs w:val="24"/>
              </w:rPr>
            </w:pPr>
            <w:r>
              <w:rPr>
                <w:szCs w:val="24"/>
              </w:rPr>
              <w:t>La mesure comporte 1 seule sous-mesure, se déclinant en différentes opérations :</w:t>
            </w:r>
          </w:p>
          <w:p w:rsidR="0035701C" w:rsidRDefault="00FB561B" w:rsidP="00FB561B">
            <w:pPr>
              <w:numPr>
                <w:ilvl w:val="0"/>
                <w:numId w:val="601"/>
              </w:numPr>
              <w:spacing w:before="240" w:after="240"/>
              <w:ind w:hanging="210"/>
              <w:jc w:val="left"/>
              <w:rPr>
                <w:szCs w:val="24"/>
              </w:rPr>
            </w:pPr>
            <w:r>
              <w:rPr>
                <w:b/>
                <w:bCs/>
                <w:szCs w:val="24"/>
                <w:u w:val="single"/>
              </w:rPr>
              <w:t>Sous-mesure 10.1 : engagements agroenvironnementaux et climatiques</w:t>
            </w:r>
          </w:p>
          <w:p w:rsidR="0035701C" w:rsidRDefault="00FB561B">
            <w:pPr>
              <w:spacing w:before="240" w:after="240"/>
              <w:jc w:val="left"/>
              <w:rPr>
                <w:szCs w:val="24"/>
              </w:rPr>
            </w:pPr>
            <w:r>
              <w:rPr>
                <w:szCs w:val="24"/>
              </w:rPr>
              <w:t>Cette sous-mesure compr</w:t>
            </w:r>
            <w:r>
              <w:rPr>
                <w:szCs w:val="24"/>
              </w:rPr>
              <w:t>end des opérations qui sont prévues pour être mises en œuvre sur l’ensemble du territoire de l’île, soit zonées afin de garantir la pertinence de l'intervention et l'atteinte des objectifs du Règlement de développement rural.</w:t>
            </w:r>
          </w:p>
          <w:p w:rsidR="0035701C" w:rsidRDefault="00FB561B">
            <w:pPr>
              <w:spacing w:before="240" w:after="240"/>
              <w:jc w:val="left"/>
              <w:rPr>
                <w:szCs w:val="24"/>
              </w:rPr>
            </w:pPr>
            <w:r>
              <w:rPr>
                <w:szCs w:val="24"/>
              </w:rPr>
              <w:t xml:space="preserve">Les opérations concernant les </w:t>
            </w:r>
            <w:r>
              <w:rPr>
                <w:szCs w:val="24"/>
              </w:rPr>
              <w:t>enjeux de préservation de la biodiversité, de la qualité de l'eau, des sols ou des paysages sont mises en œuvre à l’échelle de la parcelle culturale dans le but de répondre à un ou plusieurs de ces enjeux relativement circonscrits dans l'espace.</w:t>
            </w:r>
          </w:p>
          <w:p w:rsidR="0035701C" w:rsidRDefault="00FB561B">
            <w:pPr>
              <w:spacing w:before="240" w:after="240"/>
              <w:jc w:val="left"/>
              <w:rPr>
                <w:szCs w:val="24"/>
              </w:rPr>
            </w:pPr>
            <w:r>
              <w:rPr>
                <w:szCs w:val="24"/>
              </w:rPr>
              <w:t>Les opérat</w:t>
            </w:r>
            <w:r>
              <w:rPr>
                <w:szCs w:val="24"/>
              </w:rPr>
              <w:t>ions visant à la conservation et à l’utilisation sur les exploitations de races locales menacées de disparition et conduites en race pure ne sont pas zonées compte-tenu du caractère dispersé des exploitations conservant des variétés à sauvegarder et sont m</w:t>
            </w:r>
            <w:r>
              <w:rPr>
                <w:szCs w:val="24"/>
              </w:rPr>
              <w:t>ises en œuvre à l’échelle de l’exploitation.</w:t>
            </w:r>
          </w:p>
          <w:p w:rsidR="0035701C" w:rsidRDefault="00FB561B">
            <w:pPr>
              <w:spacing w:before="240" w:after="240"/>
              <w:jc w:val="left"/>
              <w:rPr>
                <w:szCs w:val="24"/>
              </w:rPr>
            </w:pPr>
            <w:r>
              <w:rPr>
                <w:szCs w:val="24"/>
              </w:rPr>
              <w:t xml:space="preserve">Pour la Corse, </w:t>
            </w:r>
            <w:r>
              <w:rPr>
                <w:szCs w:val="24"/>
                <w:u w:val="single"/>
              </w:rPr>
              <w:t>cette sous-mesure est déclinée en 39 opérations qui sont décrites ci-après, et répondant aux enjeux environnementaux retenus.</w:t>
            </w:r>
            <w:r>
              <w:rPr>
                <w:szCs w:val="24"/>
              </w:rPr>
              <w:t>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I- DESCRIPTION DU PROJET AGRO-ENVIRONNEMENTAL POUR LA CORSE</w:t>
            </w:r>
          </w:p>
          <w:p w:rsidR="0035701C" w:rsidRDefault="00FB561B">
            <w:pPr>
              <w:spacing w:before="240" w:after="240"/>
              <w:jc w:val="left"/>
              <w:rPr>
                <w:szCs w:val="24"/>
              </w:rPr>
            </w:pPr>
            <w:r>
              <w:rPr>
                <w:szCs w:val="24"/>
              </w:rPr>
              <w:t>L’agriculture corse est fortement dépendante des caractéristiques géographiques et pédologiques de l’île. Une importante partie du territoire de la Corse en piedmont et en montagne est donc très peu exploitée par l’agriculture en raison d’une altitude trop</w:t>
            </w:r>
            <w:r>
              <w:rPr>
                <w:szCs w:val="24"/>
              </w:rPr>
              <w:t xml:space="preserve"> élevée et/ou d’une pente ou d’une pierrosité trop forte.</w:t>
            </w:r>
          </w:p>
          <w:p w:rsidR="0035701C" w:rsidRDefault="00FB561B">
            <w:pPr>
              <w:spacing w:before="240" w:after="240"/>
              <w:jc w:val="left"/>
              <w:rPr>
                <w:szCs w:val="24"/>
              </w:rPr>
            </w:pPr>
            <w:r>
              <w:rPr>
                <w:szCs w:val="24"/>
              </w:rPr>
              <w:t>Dans sa grande majorité, le territoire régional présente une pente supérieure à 15% et des sols peu profonds, plus propices à l’élevage qu’aux grandes cultures. De ce fait, il est très largement com</w:t>
            </w:r>
            <w:r>
              <w:rPr>
                <w:szCs w:val="24"/>
              </w:rPr>
              <w:t xml:space="preserve">posé de </w:t>
            </w:r>
            <w:r>
              <w:rPr>
                <w:szCs w:val="24"/>
                <w:u w:val="single"/>
              </w:rPr>
              <w:t>milieux naturels ou peu artificialisés</w:t>
            </w:r>
            <w:r>
              <w:rPr>
                <w:szCs w:val="24"/>
              </w:rPr>
              <w:t>.</w:t>
            </w:r>
          </w:p>
          <w:p w:rsidR="0035701C" w:rsidRDefault="00FB561B">
            <w:pPr>
              <w:spacing w:before="240" w:after="240"/>
              <w:jc w:val="left"/>
              <w:rPr>
                <w:szCs w:val="24"/>
              </w:rPr>
            </w:pPr>
            <w:r>
              <w:rPr>
                <w:szCs w:val="24"/>
                <w:u w:val="single"/>
              </w:rPr>
              <w:t>Les grandes cultures</w:t>
            </w:r>
            <w:r>
              <w:rPr>
                <w:szCs w:val="24"/>
              </w:rPr>
              <w:t xml:space="preserve">, quant à elles, représentées essentiellement par la viticulture, l’arboriculture et le maraîchage, se situent préférentiellement dans les plaines alluviales et sur les coteaux, notamment </w:t>
            </w:r>
            <w:r>
              <w:rPr>
                <w:szCs w:val="24"/>
              </w:rPr>
              <w:t>en plaine orientale. De ce fait, près de 80% des surfaces cultivées de l’île se trouvent en Haute Corse Les potentialités et les activités agricoles sont néanmoins réparties sur tout le territoire :</w:t>
            </w:r>
          </w:p>
          <w:p w:rsidR="0035701C" w:rsidRDefault="00FB561B" w:rsidP="00FB561B">
            <w:pPr>
              <w:numPr>
                <w:ilvl w:val="0"/>
                <w:numId w:val="602"/>
              </w:numPr>
              <w:spacing w:before="240" w:after="0"/>
              <w:ind w:hanging="210"/>
              <w:jc w:val="left"/>
              <w:rPr>
                <w:szCs w:val="24"/>
              </w:rPr>
            </w:pPr>
            <w:r>
              <w:rPr>
                <w:szCs w:val="24"/>
              </w:rPr>
              <w:t>en plaine, sur des sols profonds, mécanisables et souvent</w:t>
            </w:r>
            <w:r>
              <w:rPr>
                <w:szCs w:val="24"/>
              </w:rPr>
              <w:t xml:space="preserve"> desservis par le réseau d’irrigation (arboriculture, maraichage)</w:t>
            </w:r>
          </w:p>
          <w:p w:rsidR="0035701C" w:rsidRDefault="00FB561B" w:rsidP="00FB561B">
            <w:pPr>
              <w:numPr>
                <w:ilvl w:val="0"/>
                <w:numId w:val="602"/>
              </w:numPr>
              <w:spacing w:before="0" w:after="0"/>
              <w:ind w:hanging="210"/>
              <w:jc w:val="left"/>
              <w:rPr>
                <w:szCs w:val="24"/>
              </w:rPr>
            </w:pPr>
            <w:r>
              <w:rPr>
                <w:szCs w:val="24"/>
              </w:rPr>
              <w:t>en coteaux, sur des terroirs viticoles de qualité et la préexistence de vergers traditionnels d’oliviers (viticulture, oléiculture)</w:t>
            </w:r>
          </w:p>
          <w:p w:rsidR="0035701C" w:rsidRDefault="00FB561B" w:rsidP="00FB561B">
            <w:pPr>
              <w:numPr>
                <w:ilvl w:val="0"/>
                <w:numId w:val="602"/>
              </w:numPr>
              <w:spacing w:before="0" w:after="240"/>
              <w:ind w:hanging="210"/>
              <w:jc w:val="left"/>
              <w:rPr>
                <w:szCs w:val="24"/>
              </w:rPr>
            </w:pPr>
            <w:r>
              <w:rPr>
                <w:szCs w:val="24"/>
              </w:rPr>
              <w:t xml:space="preserve">plus en altitude, avec la préexistence de vergers </w:t>
            </w:r>
            <w:r>
              <w:rPr>
                <w:szCs w:val="24"/>
              </w:rPr>
              <w:t>traditionnels de châtaigniers.</w:t>
            </w:r>
          </w:p>
          <w:p w:rsidR="0035701C" w:rsidRDefault="00FB561B">
            <w:pPr>
              <w:spacing w:before="240" w:after="240"/>
              <w:jc w:val="left"/>
              <w:rPr>
                <w:szCs w:val="24"/>
              </w:rPr>
            </w:pPr>
            <w:r>
              <w:rPr>
                <w:szCs w:val="24"/>
              </w:rPr>
              <w:t>Une description plus fine de chacun des différents milieux sur lesquels s’exercent les activités agricoles et les activités agro-pastorales, permet de mettre en évidence les principaux enjeux environnementaux auxquels les mes</w:t>
            </w:r>
            <w:r>
              <w:rPr>
                <w:szCs w:val="24"/>
              </w:rPr>
              <w:t>ures agroenvironnementales et climatiques vont devoir répondre.</w:t>
            </w:r>
          </w:p>
          <w:p w:rsidR="0035701C" w:rsidRDefault="00FB561B">
            <w:pPr>
              <w:spacing w:before="240" w:after="240"/>
              <w:jc w:val="left"/>
              <w:rPr>
                <w:szCs w:val="24"/>
              </w:rPr>
            </w:pPr>
            <w:r>
              <w:rPr>
                <w:b/>
                <w:bCs/>
                <w:szCs w:val="24"/>
              </w:rPr>
              <w:t xml:space="preserve">1) Les milieux naturels ou peu artificialisés de la Corse : </w:t>
            </w:r>
          </w:p>
          <w:p w:rsidR="0035701C" w:rsidRDefault="00FB561B">
            <w:pPr>
              <w:spacing w:before="240" w:after="240"/>
              <w:jc w:val="left"/>
              <w:rPr>
                <w:szCs w:val="24"/>
              </w:rPr>
            </w:pPr>
            <w:r>
              <w:rPr>
                <w:szCs w:val="24"/>
              </w:rPr>
              <w:t>Ils se caractérisent par leur grande diversité tant biologique que paysagère. En effet, l’insularité et la variété des conditions c</w:t>
            </w:r>
            <w:r>
              <w:rPr>
                <w:szCs w:val="24"/>
              </w:rPr>
              <w:t>limatiques, de reliefs, de roches et de sols sont à l'origine de la grande diversité des écosystèmes et des espèces présents sur le territoire régional et fait de la CORSE une des régions françaises les plus riches en espèces endémiques et en biodiversité.</w:t>
            </w:r>
          </w:p>
          <w:p w:rsidR="0035701C" w:rsidRDefault="00FB561B">
            <w:pPr>
              <w:spacing w:before="240" w:after="240"/>
              <w:jc w:val="left"/>
              <w:rPr>
                <w:szCs w:val="24"/>
              </w:rPr>
            </w:pPr>
            <w:r>
              <w:rPr>
                <w:szCs w:val="24"/>
              </w:rPr>
              <w:t>Cette biodiversité est fortement dépendante des activités agricoles, et notamment de l’agro-pastoralisme, qui permet de maintenir ouverts des milieux dont la fermeture constitue une réelle menace pour de nombreuses espèces à forte valeur patrimoniale.</w:t>
            </w:r>
          </w:p>
          <w:p w:rsidR="0035701C" w:rsidRDefault="00FB561B">
            <w:pPr>
              <w:spacing w:before="240" w:after="240"/>
              <w:jc w:val="left"/>
              <w:rPr>
                <w:szCs w:val="24"/>
              </w:rPr>
            </w:pPr>
            <w:r>
              <w:rPr>
                <w:szCs w:val="24"/>
              </w:rPr>
              <w:t>Mai</w:t>
            </w:r>
            <w:r>
              <w:rPr>
                <w:szCs w:val="24"/>
              </w:rPr>
              <w:t>s l’espace rural de l’île, notamment dans les zones de piedmont et de montagne, est soumis au phénomène de déprise rurale et agricole, résultant de la rupture du système agro-sylvo-pastoral qui prévalait autrefois en Corse. Cette déprise se caractérise par</w:t>
            </w:r>
            <w:r>
              <w:rPr>
                <w:szCs w:val="24"/>
              </w:rPr>
              <w:t xml:space="preserve"> un abandon ou un trop faible niveau d’entretien des surfaces et notamment celles à potentialités limitées telles les prairies naturelles et les parcours (faible productivité, pente, sensibilité à la sécheresse…) mais qui jouent néanmoins un rôle important</w:t>
            </w:r>
            <w:r>
              <w:rPr>
                <w:szCs w:val="24"/>
              </w:rPr>
              <w:t xml:space="preserve"> dans l’alimentation des cheptels insulaires.</w:t>
            </w:r>
          </w:p>
          <w:p w:rsidR="0035701C" w:rsidRDefault="00FB561B">
            <w:pPr>
              <w:spacing w:before="240" w:after="240"/>
              <w:jc w:val="left"/>
              <w:rPr>
                <w:szCs w:val="24"/>
              </w:rPr>
            </w:pPr>
            <w:r>
              <w:rPr>
                <w:szCs w:val="24"/>
              </w:rPr>
              <w:t xml:space="preserve">Cette déprise entraîne une dynamique incontrôlée de la végétation qui, facilitée par des conditions pédo-climatiques favorables et un système d’élevage extensif, se traduit par un embroussaillement des milieux </w:t>
            </w:r>
            <w:r>
              <w:rPr>
                <w:szCs w:val="24"/>
              </w:rPr>
              <w:t>précédemment utilisés et gérés par les activités agro-pastorales, ce qui entraîne inexorablement :</w:t>
            </w:r>
          </w:p>
          <w:p w:rsidR="0035701C" w:rsidRDefault="00FB561B" w:rsidP="00FB561B">
            <w:pPr>
              <w:numPr>
                <w:ilvl w:val="0"/>
                <w:numId w:val="603"/>
              </w:numPr>
              <w:spacing w:before="240" w:after="0"/>
              <w:ind w:hanging="210"/>
              <w:jc w:val="left"/>
              <w:rPr>
                <w:szCs w:val="24"/>
              </w:rPr>
            </w:pPr>
            <w:r>
              <w:rPr>
                <w:szCs w:val="24"/>
              </w:rPr>
              <w:t>une perte de biodiversité,</w:t>
            </w:r>
          </w:p>
          <w:p w:rsidR="0035701C" w:rsidRDefault="00FB561B" w:rsidP="00FB561B">
            <w:pPr>
              <w:numPr>
                <w:ilvl w:val="0"/>
                <w:numId w:val="603"/>
              </w:numPr>
              <w:spacing w:before="0" w:after="0"/>
              <w:ind w:hanging="210"/>
              <w:jc w:val="left"/>
              <w:rPr>
                <w:szCs w:val="24"/>
              </w:rPr>
            </w:pPr>
            <w:r>
              <w:rPr>
                <w:szCs w:val="24"/>
              </w:rPr>
              <w:t>une dégradation progressive des paysages traditionnels qui ont forgé l’identité culturelle de l’île (homogénéisation)</w:t>
            </w:r>
          </w:p>
          <w:p w:rsidR="0035701C" w:rsidRDefault="00FB561B" w:rsidP="00FB561B">
            <w:pPr>
              <w:numPr>
                <w:ilvl w:val="0"/>
                <w:numId w:val="603"/>
              </w:numPr>
              <w:spacing w:before="0" w:after="240"/>
              <w:ind w:hanging="210"/>
              <w:jc w:val="left"/>
              <w:rPr>
                <w:szCs w:val="24"/>
              </w:rPr>
            </w:pPr>
            <w:r>
              <w:rPr>
                <w:szCs w:val="24"/>
              </w:rPr>
              <w:t xml:space="preserve">des risques </w:t>
            </w:r>
            <w:r>
              <w:rPr>
                <w:szCs w:val="24"/>
              </w:rPr>
              <w:t>d’incendies aux conséquences parfois catastrophiques sur les espaces naturels (forêts et maquis), qui s’intensifient avec le changement climatique.</w:t>
            </w:r>
          </w:p>
          <w:p w:rsidR="0035701C" w:rsidRDefault="00FB561B">
            <w:pPr>
              <w:spacing w:before="240" w:after="240"/>
              <w:jc w:val="left"/>
              <w:rPr>
                <w:szCs w:val="24"/>
              </w:rPr>
            </w:pPr>
            <w:r>
              <w:rPr>
                <w:szCs w:val="24"/>
              </w:rPr>
              <w:t>En effet, véritable fléau pour la végétation méditerranéenne, les incendies brûlent chaque année en Corse pl</w:t>
            </w:r>
            <w:r>
              <w:rPr>
                <w:szCs w:val="24"/>
              </w:rPr>
              <w:t>usieurs centaines voire plusieurs milliers d’hectares, ce qui en fait la région française la plus touchée. C’est pourquoi, la problématique « feux de forêts et d'espaces naturels» est une préoccupation environnementale majeure. La répétition des grands inc</w:t>
            </w:r>
            <w:r>
              <w:rPr>
                <w:szCs w:val="24"/>
              </w:rPr>
              <w:t>endies sur certains secteurs de l’île  (Balagne, Cap-Corse, Cortenais, Gravona, golfe de Lava....) ont eu des conséquences néfastes voire irréversibles sur les paysages, la faune et la flore, entrainant ainsi une perte progressive de biodiversité. Ces cons</w:t>
            </w:r>
            <w:r>
              <w:rPr>
                <w:szCs w:val="24"/>
              </w:rPr>
              <w:t>équences sont notamment :</w:t>
            </w:r>
          </w:p>
          <w:p w:rsidR="0035701C" w:rsidRDefault="00FB561B" w:rsidP="00FB561B">
            <w:pPr>
              <w:numPr>
                <w:ilvl w:val="0"/>
                <w:numId w:val="604"/>
              </w:numPr>
              <w:spacing w:before="240" w:after="0"/>
              <w:ind w:hanging="210"/>
              <w:jc w:val="left"/>
              <w:rPr>
                <w:szCs w:val="24"/>
              </w:rPr>
            </w:pPr>
            <w:r>
              <w:rPr>
                <w:szCs w:val="24"/>
              </w:rPr>
              <w:t>l’homogénéisation des paysages,</w:t>
            </w:r>
          </w:p>
          <w:p w:rsidR="0035701C" w:rsidRDefault="00FB561B" w:rsidP="00FB561B">
            <w:pPr>
              <w:numPr>
                <w:ilvl w:val="0"/>
                <w:numId w:val="604"/>
              </w:numPr>
              <w:spacing w:before="0" w:after="0"/>
              <w:ind w:hanging="210"/>
              <w:jc w:val="left"/>
              <w:rPr>
                <w:szCs w:val="24"/>
              </w:rPr>
            </w:pPr>
            <w:r>
              <w:rPr>
                <w:szCs w:val="24"/>
              </w:rPr>
              <w:t>le développement d’espèces invasives ou opportunistes au détriment des espèces herbacées et ligneuses locales suite à l'ouverture du milieu par le feu (asphodèles, faux cotonnier, férule, ....)</w:t>
            </w:r>
          </w:p>
          <w:p w:rsidR="0035701C" w:rsidRDefault="00FB561B" w:rsidP="00FB561B">
            <w:pPr>
              <w:numPr>
                <w:ilvl w:val="0"/>
                <w:numId w:val="604"/>
              </w:numPr>
              <w:spacing w:before="0" w:after="0"/>
              <w:ind w:hanging="210"/>
              <w:jc w:val="left"/>
              <w:rPr>
                <w:szCs w:val="24"/>
              </w:rPr>
            </w:pPr>
            <w:r>
              <w:rPr>
                <w:szCs w:val="24"/>
              </w:rPr>
              <w:t>l’érosion et le lessivage des sols,</w:t>
            </w:r>
          </w:p>
          <w:p w:rsidR="0035701C" w:rsidRDefault="00FB561B" w:rsidP="00FB561B">
            <w:pPr>
              <w:numPr>
                <w:ilvl w:val="0"/>
                <w:numId w:val="604"/>
              </w:numPr>
              <w:spacing w:before="0" w:after="0"/>
              <w:ind w:hanging="210"/>
              <w:jc w:val="left"/>
              <w:rPr>
                <w:szCs w:val="24"/>
              </w:rPr>
            </w:pPr>
            <w:r>
              <w:rPr>
                <w:szCs w:val="24"/>
              </w:rPr>
              <w:t>la modification de certains biotopes (haies, bosquets; etc...) qui constituent des refuges pour la faune,</w:t>
            </w:r>
          </w:p>
          <w:p w:rsidR="0035701C" w:rsidRDefault="00FB561B" w:rsidP="00FB561B">
            <w:pPr>
              <w:numPr>
                <w:ilvl w:val="0"/>
                <w:numId w:val="604"/>
              </w:numPr>
              <w:spacing w:before="0" w:after="0"/>
              <w:ind w:hanging="210"/>
              <w:jc w:val="left"/>
              <w:rPr>
                <w:szCs w:val="24"/>
              </w:rPr>
            </w:pPr>
            <w:r>
              <w:rPr>
                <w:szCs w:val="24"/>
              </w:rPr>
              <w:t>la dévégétalisation des zones les plus fragiles (les crêtes, les terrains très pentus...),</w:t>
            </w:r>
          </w:p>
          <w:p w:rsidR="0035701C" w:rsidRDefault="00FB561B" w:rsidP="00FB561B">
            <w:pPr>
              <w:numPr>
                <w:ilvl w:val="0"/>
                <w:numId w:val="604"/>
              </w:numPr>
              <w:spacing w:before="0" w:after="0"/>
              <w:ind w:hanging="210"/>
              <w:jc w:val="left"/>
              <w:rPr>
                <w:szCs w:val="24"/>
              </w:rPr>
            </w:pPr>
            <w:r>
              <w:rPr>
                <w:szCs w:val="24"/>
              </w:rPr>
              <w:t>la destruction inélucta</w:t>
            </w:r>
            <w:r>
              <w:rPr>
                <w:szCs w:val="24"/>
              </w:rPr>
              <w:t>ble des espèces animales présentes au moment des grands incendies (tortues, lapins, perdreaux, jeunes sangliers....) dont certaines sont déjà très menacées de disparition comme la tortue d'Hermann,</w:t>
            </w:r>
          </w:p>
          <w:p w:rsidR="0035701C" w:rsidRDefault="00FB561B" w:rsidP="00FB561B">
            <w:pPr>
              <w:numPr>
                <w:ilvl w:val="0"/>
                <w:numId w:val="604"/>
              </w:numPr>
              <w:spacing w:before="0" w:after="240"/>
              <w:ind w:hanging="210"/>
              <w:jc w:val="left"/>
              <w:rPr>
                <w:szCs w:val="24"/>
              </w:rPr>
            </w:pPr>
            <w:r>
              <w:rPr>
                <w:szCs w:val="24"/>
              </w:rPr>
              <w:t>l’émission de dioxyde de carbone.</w:t>
            </w:r>
          </w:p>
          <w:p w:rsidR="0035701C" w:rsidRDefault="00FB561B">
            <w:pPr>
              <w:spacing w:before="240" w:after="240"/>
              <w:jc w:val="left"/>
              <w:rPr>
                <w:szCs w:val="24"/>
              </w:rPr>
            </w:pPr>
            <w:r>
              <w:rPr>
                <w:szCs w:val="24"/>
              </w:rPr>
              <w:t>De toute évidence les in</w:t>
            </w:r>
            <w:r>
              <w:rPr>
                <w:szCs w:val="24"/>
              </w:rPr>
              <w:t>cendies ont donc un impact négatif sérieux sur l’environnement et dans une moindre mesure sur le changement climatique. Si l’on veut préserver l’environnement en Corse, la prévention de ce phénomène est, et doit être une priorité.</w:t>
            </w:r>
          </w:p>
          <w:p w:rsidR="0035701C" w:rsidRDefault="00FB561B">
            <w:pPr>
              <w:spacing w:before="240" w:after="240"/>
              <w:jc w:val="left"/>
              <w:rPr>
                <w:szCs w:val="24"/>
              </w:rPr>
            </w:pPr>
            <w:r>
              <w:rPr>
                <w:szCs w:val="24"/>
              </w:rPr>
              <w:t>Les opérations MAEC surfa</w:t>
            </w:r>
            <w:r>
              <w:rPr>
                <w:szCs w:val="24"/>
              </w:rPr>
              <w:t>ciques visent essentiellement 3 types de couverts largement utilisés et exploités par les activités pastorales :</w:t>
            </w:r>
          </w:p>
          <w:p w:rsidR="0035701C" w:rsidRDefault="00FB561B" w:rsidP="00FB561B">
            <w:pPr>
              <w:numPr>
                <w:ilvl w:val="0"/>
                <w:numId w:val="605"/>
              </w:numPr>
              <w:spacing w:before="240" w:after="240"/>
              <w:ind w:hanging="210"/>
              <w:jc w:val="left"/>
              <w:rPr>
                <w:szCs w:val="24"/>
              </w:rPr>
            </w:pPr>
            <w:r>
              <w:rPr>
                <w:b/>
                <w:bCs/>
                <w:szCs w:val="24"/>
              </w:rPr>
              <w:t>les prairies</w:t>
            </w:r>
            <w:r>
              <w:rPr>
                <w:szCs w:val="24"/>
              </w:rPr>
              <w:t> : nécessaires à l’alimentation du bétail, elles sont un élément essentiel du paysage et jouent un rôle fondamental en termes de qu</w:t>
            </w:r>
            <w:r>
              <w:rPr>
                <w:szCs w:val="24"/>
              </w:rPr>
              <w:t>alité des eaux superficielles et souterraines. De manière à préserver ces milieux pour qu’ils répondent au mieux à des objectifs paysagers et de maintien de la biodiversité, leur entretien et leur gestion doivent être réalisés dans un esprit de contrôle de</w:t>
            </w:r>
            <w:r>
              <w:rPr>
                <w:szCs w:val="24"/>
              </w:rPr>
              <w:t xml:space="preserve">s adventices, d’élimination des espèces envahissantes, de préservation des sols, de protection des espèces remarquables fréquentant ces milieux (tortue d’Herman) et de prévention des incendies, par la mise en œuvre de pratiques culturales respectueuses de </w:t>
            </w:r>
            <w:r>
              <w:rPr>
                <w:szCs w:val="24"/>
              </w:rPr>
              <w:t>l’environnement, par l’utilisation d’engrais organiques et par l’exclusion de l’utilisation de produits phytosanitaires.</w:t>
            </w:r>
          </w:p>
          <w:p w:rsidR="0035701C" w:rsidRDefault="00FB561B">
            <w:pPr>
              <w:spacing w:before="240" w:after="240"/>
              <w:ind w:left="600"/>
              <w:jc w:val="left"/>
              <w:rPr>
                <w:szCs w:val="24"/>
              </w:rPr>
            </w:pPr>
            <w:r>
              <w:rPr>
                <w:b/>
                <w:bCs/>
                <w:szCs w:val="24"/>
              </w:rPr>
              <w:t>Les opérations du groupe « PRAIRIES » proposées visent donc à répondre à l’ensemble de ces objectifs (Prairie 1, 2, 3, 4, 5, 6, 7, 8 et</w:t>
            </w:r>
            <w:r>
              <w:rPr>
                <w:b/>
                <w:bCs/>
                <w:szCs w:val="24"/>
              </w:rPr>
              <w:t xml:space="preserve"> 9)</w:t>
            </w:r>
          </w:p>
          <w:p w:rsidR="0035701C" w:rsidRDefault="00FB561B" w:rsidP="00FB561B">
            <w:pPr>
              <w:numPr>
                <w:ilvl w:val="0"/>
                <w:numId w:val="606"/>
              </w:numPr>
              <w:spacing w:before="240" w:after="240"/>
              <w:ind w:hanging="210"/>
              <w:jc w:val="left"/>
              <w:rPr>
                <w:szCs w:val="24"/>
              </w:rPr>
            </w:pPr>
            <w:r>
              <w:rPr>
                <w:b/>
                <w:bCs/>
                <w:szCs w:val="24"/>
              </w:rPr>
              <w:t>les parcours ligneux</w:t>
            </w:r>
            <w:r>
              <w:rPr>
                <w:szCs w:val="24"/>
              </w:rPr>
              <w:t> : considérés comme des surfaces peu productives, ils jouent néanmoins un rôle important dans les systèmes pastoraux extensifs pour l’alimentation des cheptels lors de périodes cruciales comme l’hiver et l’été quand l’offre fourragè</w:t>
            </w:r>
            <w:r>
              <w:rPr>
                <w:szCs w:val="24"/>
              </w:rPr>
              <w:t>re herbacée est largement minoritaire. Les pratiques habituelles d’entretien de ces milieux, basées sur un pâturage extensif, ne suffisent pas à maîtriser une dynamique de la végétation ligneuse favorisée par des conditions pédoclimatiques favorables. L’ab</w:t>
            </w:r>
            <w:r>
              <w:rPr>
                <w:szCs w:val="24"/>
              </w:rPr>
              <w:t>andon progressif de ce parcellaire au profit d’espaces plus facilement valorisables d’un point de vue agro-pastoral favorise l’embroussaillement, la perte de biodiversité et augmente sensiblement le risque incendie. Il impose aussi, lors de la reprise éven</w:t>
            </w:r>
            <w:r>
              <w:rPr>
                <w:szCs w:val="24"/>
              </w:rPr>
              <w:t>tuelle de ces terres, le recours à des moyens lourds avec des conséquences néfastes sur la structure des sols perturbant sur le long terme la dynamique naturelle de la végétation.</w:t>
            </w:r>
          </w:p>
          <w:p w:rsidR="0035701C" w:rsidRDefault="00FB561B">
            <w:pPr>
              <w:spacing w:before="240" w:after="240"/>
              <w:ind w:left="600"/>
              <w:jc w:val="left"/>
              <w:rPr>
                <w:szCs w:val="24"/>
              </w:rPr>
            </w:pPr>
            <w:r>
              <w:rPr>
                <w:b/>
                <w:bCs/>
                <w:szCs w:val="24"/>
              </w:rPr>
              <w:t xml:space="preserve">Les opérations du groupe « PARCOURS » proposées visent à réintroduire et/ou </w:t>
            </w:r>
            <w:r>
              <w:rPr>
                <w:b/>
                <w:bCs/>
                <w:szCs w:val="24"/>
              </w:rPr>
              <w:t>maintenir dans les systèmes pastoraux corses ces surfaces peu productives.</w:t>
            </w:r>
            <w:r>
              <w:rPr>
                <w:szCs w:val="24"/>
              </w:rPr>
              <w:t xml:space="preserve"> Leur mobilisation à des fins agropastorales doit concourir à favoriser le développement de la biodiversité, la diversité des paysages et participer à la prévention et la prévision d</w:t>
            </w:r>
            <w:r>
              <w:rPr>
                <w:szCs w:val="24"/>
              </w:rPr>
              <w:t xml:space="preserve">es incendies. </w:t>
            </w:r>
            <w:r>
              <w:rPr>
                <w:b/>
                <w:bCs/>
                <w:szCs w:val="24"/>
              </w:rPr>
              <w:t>(Parcours 1, 2, 3 4, 5, 6 et 7).</w:t>
            </w:r>
          </w:p>
          <w:p w:rsidR="0035701C" w:rsidRDefault="00FB561B" w:rsidP="00FB561B">
            <w:pPr>
              <w:numPr>
                <w:ilvl w:val="0"/>
                <w:numId w:val="607"/>
              </w:numPr>
              <w:spacing w:before="240" w:after="0"/>
              <w:ind w:hanging="210"/>
              <w:jc w:val="left"/>
              <w:rPr>
                <w:szCs w:val="24"/>
              </w:rPr>
            </w:pPr>
            <w:r>
              <w:rPr>
                <w:b/>
                <w:bCs/>
                <w:szCs w:val="24"/>
              </w:rPr>
              <w:t>les prébois</w:t>
            </w:r>
            <w:r>
              <w:rPr>
                <w:szCs w:val="24"/>
              </w:rPr>
              <w:t> : ce sont des milieux comportant une strate arborée plus ou moins lâche, avec présence d’une strate herbacée et/ou d’une strate arbustive, du type yeuseraies, subéraies, pinèdes,……que ce ou bien des vergers abandonnés de châtaigniers, oliviers……La plupart</w:t>
            </w:r>
            <w:r>
              <w:rPr>
                <w:szCs w:val="24"/>
              </w:rPr>
              <w:t xml:space="preserve"> sont protégés par la Directive 92/43 CEE . Certains de ces espaces boisés sont, en Corse, utilisés par le bétail, parce qu’ils offrent une ressource alimentaire non négligeable (glands, feuillages, herbe…). Il est donc nécessaire de les préserver à plusie</w:t>
            </w:r>
            <w:r>
              <w:rPr>
                <w:szCs w:val="24"/>
              </w:rPr>
              <w:t xml:space="preserve">urs titres : </w:t>
            </w:r>
          </w:p>
          <w:p w:rsidR="0035701C" w:rsidRDefault="00FB561B" w:rsidP="00FB561B">
            <w:pPr>
              <w:numPr>
                <w:ilvl w:val="1"/>
                <w:numId w:val="607"/>
              </w:numPr>
              <w:spacing w:before="0" w:after="0"/>
              <w:ind w:hanging="244"/>
              <w:jc w:val="left"/>
              <w:rPr>
                <w:szCs w:val="24"/>
              </w:rPr>
            </w:pPr>
            <w:r>
              <w:rPr>
                <w:szCs w:val="24"/>
              </w:rPr>
              <w:t>pour leur intérêt patrimonial et paysager</w:t>
            </w:r>
          </w:p>
          <w:p w:rsidR="0035701C" w:rsidRDefault="00FB561B" w:rsidP="00FB561B">
            <w:pPr>
              <w:numPr>
                <w:ilvl w:val="1"/>
                <w:numId w:val="607"/>
              </w:numPr>
              <w:spacing w:before="0" w:after="0"/>
              <w:ind w:hanging="244"/>
              <w:jc w:val="left"/>
              <w:rPr>
                <w:szCs w:val="24"/>
              </w:rPr>
            </w:pPr>
            <w:r>
              <w:rPr>
                <w:szCs w:val="24"/>
              </w:rPr>
              <w:t>pour éviter leur destruction en cas d’incendies</w:t>
            </w:r>
          </w:p>
          <w:p w:rsidR="0035701C" w:rsidRDefault="00FB561B" w:rsidP="00FB561B">
            <w:pPr>
              <w:numPr>
                <w:ilvl w:val="1"/>
                <w:numId w:val="607"/>
              </w:numPr>
              <w:spacing w:before="0" w:after="240"/>
              <w:ind w:hanging="244"/>
              <w:jc w:val="left"/>
              <w:rPr>
                <w:szCs w:val="24"/>
              </w:rPr>
            </w:pPr>
            <w:r>
              <w:rPr>
                <w:szCs w:val="24"/>
              </w:rPr>
              <w:t>pour permettre leur intégration éventuelle dans les systèmes pastoraux corses</w:t>
            </w:r>
          </w:p>
          <w:p w:rsidR="0035701C" w:rsidRDefault="00FB561B">
            <w:pPr>
              <w:spacing w:before="240" w:after="240"/>
              <w:ind w:left="720"/>
              <w:jc w:val="left"/>
              <w:rPr>
                <w:szCs w:val="24"/>
              </w:rPr>
            </w:pPr>
            <w:r>
              <w:rPr>
                <w:b/>
                <w:bCs/>
                <w:szCs w:val="24"/>
              </w:rPr>
              <w:t xml:space="preserve">Les opérations du groupe « PREBOIS » proposées visent à donc à répondre à </w:t>
            </w:r>
            <w:r>
              <w:rPr>
                <w:b/>
                <w:bCs/>
                <w:szCs w:val="24"/>
              </w:rPr>
              <w:t>l’ensemble de ces objectifs (Prébois 1, 2, 3, 4 et 5).</w:t>
            </w:r>
          </w:p>
          <w:p w:rsidR="0035701C" w:rsidRDefault="00FB561B">
            <w:pPr>
              <w:spacing w:before="240" w:after="240"/>
              <w:jc w:val="left"/>
              <w:rPr>
                <w:szCs w:val="24"/>
              </w:rPr>
            </w:pPr>
            <w:r>
              <w:rPr>
                <w:szCs w:val="24"/>
              </w:rPr>
              <w:t>Les opérations MAEC surfaciques visent aussi à préserver des écosystèmes particuliers tels les ripisylves, des éléments du paysage traditionnels tels les systèmes gravitaires d’irrigation et d’intégrer</w:t>
            </w:r>
            <w:r>
              <w:rPr>
                <w:szCs w:val="24"/>
              </w:rPr>
              <w:t xml:space="preserve"> les zones d’appui à la lutte aux systèmes pastoraux corses.</w:t>
            </w:r>
          </w:p>
          <w:p w:rsidR="0035701C" w:rsidRDefault="00FB561B" w:rsidP="00FB561B">
            <w:pPr>
              <w:numPr>
                <w:ilvl w:val="0"/>
                <w:numId w:val="608"/>
              </w:numPr>
              <w:spacing w:before="240" w:after="240"/>
              <w:ind w:hanging="210"/>
              <w:jc w:val="left"/>
              <w:rPr>
                <w:szCs w:val="24"/>
              </w:rPr>
            </w:pPr>
            <w:r>
              <w:rPr>
                <w:b/>
                <w:bCs/>
                <w:szCs w:val="24"/>
              </w:rPr>
              <w:t>les ripisylves</w:t>
            </w:r>
            <w:r>
              <w:rPr>
                <w:szCs w:val="24"/>
              </w:rPr>
              <w:t> : les aulnaies ripicoles traversant parfois les exploitations agricoles sont des milieux d’une grande importance écologique dans leur rôle de régulation du fonctionnement hydrauliq</w:t>
            </w:r>
            <w:r>
              <w:rPr>
                <w:szCs w:val="24"/>
              </w:rPr>
              <w:t>ue ou d’épuration des eaux qu’il est important de préserver.</w:t>
            </w:r>
          </w:p>
          <w:p w:rsidR="0035701C" w:rsidRDefault="00FB561B">
            <w:pPr>
              <w:spacing w:before="240" w:after="240"/>
              <w:ind w:left="600"/>
              <w:jc w:val="left"/>
              <w:rPr>
                <w:szCs w:val="24"/>
              </w:rPr>
            </w:pPr>
            <w:r>
              <w:rPr>
                <w:b/>
                <w:bCs/>
                <w:szCs w:val="24"/>
              </w:rPr>
              <w:t>L’opération proposée « RIPISYLVE »</w:t>
            </w:r>
            <w:r>
              <w:rPr>
                <w:szCs w:val="24"/>
              </w:rPr>
              <w:t xml:space="preserve"> vise essentiellement à combattre la progression de l’embroussaillement lié à l’abandon de ces milieux arborés, pour leur permettre de retrouver leur qualité pay</w:t>
            </w:r>
            <w:r>
              <w:rPr>
                <w:szCs w:val="24"/>
              </w:rPr>
              <w:t>sagère et les préserver de leur destruction éventuelle.</w:t>
            </w:r>
          </w:p>
          <w:p w:rsidR="0035701C" w:rsidRDefault="00FB561B" w:rsidP="00FB561B">
            <w:pPr>
              <w:numPr>
                <w:ilvl w:val="0"/>
                <w:numId w:val="609"/>
              </w:numPr>
              <w:spacing w:before="240" w:after="240"/>
              <w:ind w:hanging="210"/>
              <w:jc w:val="left"/>
              <w:rPr>
                <w:szCs w:val="24"/>
              </w:rPr>
            </w:pPr>
            <w:r>
              <w:rPr>
                <w:b/>
                <w:bCs/>
                <w:szCs w:val="24"/>
              </w:rPr>
              <w:t xml:space="preserve">les systèmes gravitaires d’irrigation traditionnels </w:t>
            </w:r>
            <w:r>
              <w:rPr>
                <w:szCs w:val="24"/>
              </w:rPr>
              <w:t xml:space="preserve">: ces aménagements traditionnels à forte valeur patrimoniale et paysagère sont confrontés aussi bien au risque d’abandon qu’au risque de </w:t>
            </w:r>
            <w:r>
              <w:rPr>
                <w:szCs w:val="24"/>
              </w:rPr>
              <w:t>remplacement par des canalisations sous pression. Pourtant, le maintien en bon état du maillage de fossés et rigoles le constituant permet d’assurer un bon cheminement de l’eau et d’éviter son gaspillage tout en assurant une alimentation hydrique satisfais</w:t>
            </w:r>
            <w:r>
              <w:rPr>
                <w:szCs w:val="24"/>
              </w:rPr>
              <w:t>ante des parcelles situées en aval.</w:t>
            </w:r>
          </w:p>
          <w:p w:rsidR="0035701C" w:rsidRDefault="00FB561B">
            <w:pPr>
              <w:spacing w:before="240" w:after="240"/>
              <w:ind w:left="600"/>
              <w:jc w:val="left"/>
              <w:rPr>
                <w:szCs w:val="24"/>
              </w:rPr>
            </w:pPr>
            <w:r>
              <w:rPr>
                <w:b/>
                <w:bCs/>
                <w:szCs w:val="24"/>
              </w:rPr>
              <w:t>L’opération proposée « CANAUX » vise à maintenir la fonctionnalité écologique de ces ouvrages.</w:t>
            </w:r>
          </w:p>
          <w:p w:rsidR="0035701C" w:rsidRDefault="00FB561B" w:rsidP="00FB561B">
            <w:pPr>
              <w:numPr>
                <w:ilvl w:val="0"/>
                <w:numId w:val="610"/>
              </w:numPr>
              <w:spacing w:before="240" w:after="240"/>
              <w:ind w:hanging="210"/>
              <w:jc w:val="left"/>
              <w:rPr>
                <w:szCs w:val="24"/>
              </w:rPr>
            </w:pPr>
            <w:r>
              <w:rPr>
                <w:b/>
                <w:bCs/>
                <w:szCs w:val="24"/>
              </w:rPr>
              <w:t>les zones d’appui à la lutte</w:t>
            </w:r>
            <w:r>
              <w:rPr>
                <w:szCs w:val="24"/>
              </w:rPr>
              <w:t> : ces « pare-feu » destinés à cloisonner les massifs forestiers pour limiter au maximum l’extens</w:t>
            </w:r>
            <w:r>
              <w:rPr>
                <w:szCs w:val="24"/>
              </w:rPr>
              <w:t>ion des incendies de forêts, impactent sensiblement tant la biodiversité que la qualité et la diversité paysagère. Ces ouvrages qui représentent des superficies importantes sont parfois intégrés dans la SAU des exploitants agricoles et pâturés par différen</w:t>
            </w:r>
            <w:r>
              <w:rPr>
                <w:szCs w:val="24"/>
              </w:rPr>
              <w:t xml:space="preserve">ts cheptels de façon extensive ; l’entretien étant assuré par les services publics en charge de la prévention des incendies. </w:t>
            </w:r>
            <w:r>
              <w:rPr>
                <w:b/>
                <w:bCs/>
                <w:szCs w:val="24"/>
              </w:rPr>
              <w:t>L’objectif de l’opération proposée « ZAL »</w:t>
            </w:r>
            <w:r>
              <w:rPr>
                <w:szCs w:val="24"/>
              </w:rPr>
              <w:t xml:space="preserve"> est d’associer, pour l’entretien de ces ouvrages, les exploitants volontaires afin de pé</w:t>
            </w:r>
            <w:r>
              <w:rPr>
                <w:szCs w:val="24"/>
              </w:rPr>
              <w:t>renniser l’intérêt DFCI et la qualité paysagère.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Pour certaines opérations (notamment canaux, Parcours 1, Parcours 3, Parcours 7) les interventions sont séquencées en plusieurs phases qui peuvent être différenciées, mais dont l’enchainement pluriannuel e</w:t>
            </w:r>
            <w:r>
              <w:rPr>
                <w:szCs w:val="24"/>
              </w:rPr>
              <w:t>st obligatoire et répété durant la durée de la MAEC, afin d’en garantir l'effet Agro-environnemental et climatique. Dans ces cas, la première intervention est plus importante, compte tenu de la nécessité de remise en fonction de l’infrastructure dès le dém</w:t>
            </w:r>
            <w:r>
              <w:rPr>
                <w:szCs w:val="24"/>
              </w:rPr>
              <w:t>arrage de l’opération (par exemple canaux ou parcours ligneux) ; la succession des interventions ultérieures demeurant bien obligatoires pour assurer le rôle AEC de cette infrastructure, pour la durée de l’engagement.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u w:val="single"/>
              </w:rPr>
              <w:t>Bilan des opérations pour les enjeux</w:t>
            </w:r>
            <w:r>
              <w:rPr>
                <w:szCs w:val="24"/>
                <w:u w:val="single"/>
              </w:rPr>
              <w:t xml:space="preserve"> Pastoralisme</w:t>
            </w:r>
            <w:r>
              <w:rPr>
                <w:szCs w:val="24"/>
              </w:rPr>
              <w:t xml:space="preserve"> </w:t>
            </w:r>
            <w:r>
              <w:rPr>
                <w:i/>
                <w:iCs/>
                <w:szCs w:val="24"/>
              </w:rPr>
              <w:t>(nombre de contrats 419, superficie 12235 ha) :</w:t>
            </w:r>
          </w:p>
          <w:p w:rsidR="0035701C" w:rsidRDefault="00FB561B" w:rsidP="00FB561B">
            <w:pPr>
              <w:numPr>
                <w:ilvl w:val="0"/>
                <w:numId w:val="611"/>
              </w:numPr>
              <w:spacing w:before="240" w:after="0"/>
              <w:ind w:hanging="210"/>
              <w:jc w:val="left"/>
              <w:rPr>
                <w:szCs w:val="24"/>
              </w:rPr>
            </w:pPr>
            <w:r>
              <w:rPr>
                <w:szCs w:val="24"/>
              </w:rPr>
              <w:t>15 engagements « surfaciques » sur 27 ont été mobilisés dont 6 engagements de façon particulièrement importante</w:t>
            </w:r>
            <w:r>
              <w:rPr>
                <w:i/>
                <w:iCs/>
                <w:szCs w:val="24"/>
              </w:rPr>
              <w:t> : la plupart de ces 15 EU ont été repris dans la nouvelle programmation tout en ét</w:t>
            </w:r>
            <w:r>
              <w:rPr>
                <w:i/>
                <w:iCs/>
                <w:szCs w:val="24"/>
              </w:rPr>
              <w:t>ant améliorés et réactualisés</w:t>
            </w:r>
          </w:p>
          <w:p w:rsidR="0035701C" w:rsidRDefault="00FB561B" w:rsidP="00FB561B">
            <w:pPr>
              <w:numPr>
                <w:ilvl w:val="0"/>
                <w:numId w:val="611"/>
              </w:numPr>
              <w:spacing w:before="0" w:after="0"/>
              <w:ind w:hanging="210"/>
              <w:jc w:val="left"/>
              <w:rPr>
                <w:szCs w:val="24"/>
              </w:rPr>
            </w:pPr>
            <w:r>
              <w:rPr>
                <w:i/>
                <w:iCs/>
                <w:szCs w:val="24"/>
              </w:rPr>
              <w:t>4 engagements « ponctuels » sur 5 ont été mobilisés dans des proportions très modestes : ils n’ont donc pas été reconduits dans les MAEC</w:t>
            </w:r>
          </w:p>
          <w:p w:rsidR="0035701C" w:rsidRDefault="00FB561B" w:rsidP="00FB561B">
            <w:pPr>
              <w:numPr>
                <w:ilvl w:val="0"/>
                <w:numId w:val="611"/>
              </w:numPr>
              <w:spacing w:before="0" w:after="240"/>
              <w:ind w:hanging="210"/>
              <w:jc w:val="left"/>
              <w:rPr>
                <w:szCs w:val="24"/>
              </w:rPr>
            </w:pPr>
            <w:r>
              <w:rPr>
                <w:szCs w:val="24"/>
              </w:rPr>
              <w:t xml:space="preserve">l’unique engagement « linéaire » a été mobilisé uniquement en Corse du Sud </w:t>
            </w:r>
            <w:r>
              <w:rPr>
                <w:i/>
                <w:iCs/>
                <w:szCs w:val="24"/>
              </w:rPr>
              <w:t xml:space="preserve">(canaux </w:t>
            </w:r>
            <w:r>
              <w:rPr>
                <w:i/>
                <w:iCs/>
                <w:szCs w:val="24"/>
              </w:rPr>
              <w:t>d’irrigation traditionnels) et est reconduit dans cette programmation (Opération CANAUX)</w:t>
            </w:r>
          </w:p>
          <w:p w:rsidR="0035701C" w:rsidRDefault="00FB561B">
            <w:pPr>
              <w:spacing w:before="240" w:after="240"/>
              <w:ind w:left="600"/>
              <w:jc w:val="left"/>
              <w:rPr>
                <w:szCs w:val="24"/>
              </w:rPr>
            </w:pPr>
            <w:r>
              <w:rPr>
                <w:szCs w:val="24"/>
              </w:rPr>
              <w:t>De nouvelles opérations ont été aussi élaborées (11 pour enjeu pasto).</w:t>
            </w:r>
          </w:p>
          <w:p w:rsidR="0035701C" w:rsidRDefault="00FB561B">
            <w:pPr>
              <w:spacing w:before="240" w:after="240"/>
              <w:jc w:val="left"/>
              <w:rPr>
                <w:szCs w:val="24"/>
              </w:rPr>
            </w:pPr>
            <w:r>
              <w:rPr>
                <w:szCs w:val="24"/>
                <w:u w:val="single"/>
              </w:rPr>
              <w:t>Ciblage géographique des opérations pour les enjeux Pastoralisme</w:t>
            </w:r>
            <w:r>
              <w:rPr>
                <w:szCs w:val="24"/>
              </w:rPr>
              <w:t xml:space="preserve"> :</w:t>
            </w:r>
          </w:p>
          <w:p w:rsidR="0035701C" w:rsidRDefault="00FB561B">
            <w:pPr>
              <w:spacing w:before="240" w:after="240"/>
              <w:jc w:val="left"/>
              <w:rPr>
                <w:szCs w:val="24"/>
              </w:rPr>
            </w:pPr>
            <w:r>
              <w:rPr>
                <w:szCs w:val="24"/>
              </w:rPr>
              <w:t>Les MAEC à enjeu PASTO répond</w:t>
            </w:r>
            <w:r>
              <w:rPr>
                <w:szCs w:val="24"/>
              </w:rPr>
              <w:t>ant aux problématiques d'incendie et de biodiversité sont ciblées géographiquement en priorisant les critères suivants:</w:t>
            </w:r>
          </w:p>
          <w:p w:rsidR="0035701C" w:rsidRDefault="00FB561B" w:rsidP="00FB561B">
            <w:pPr>
              <w:numPr>
                <w:ilvl w:val="0"/>
                <w:numId w:val="612"/>
              </w:numPr>
              <w:spacing w:before="240" w:after="0"/>
              <w:ind w:hanging="210"/>
              <w:jc w:val="left"/>
              <w:rPr>
                <w:szCs w:val="24"/>
              </w:rPr>
            </w:pPr>
            <w:r>
              <w:rPr>
                <w:szCs w:val="24"/>
              </w:rPr>
              <w:t>le critère « zone NATURA 2000 »</w:t>
            </w:r>
          </w:p>
          <w:p w:rsidR="0035701C" w:rsidRDefault="00FB561B" w:rsidP="00FB561B">
            <w:pPr>
              <w:numPr>
                <w:ilvl w:val="0"/>
                <w:numId w:val="612"/>
              </w:numPr>
              <w:spacing w:before="0" w:after="0"/>
              <w:ind w:hanging="210"/>
              <w:jc w:val="left"/>
              <w:rPr>
                <w:szCs w:val="24"/>
              </w:rPr>
            </w:pPr>
            <w:r>
              <w:rPr>
                <w:szCs w:val="24"/>
              </w:rPr>
              <w:t>le critère « espaces protégés » : superposition des différents types de protection possibles (ZNIEFF, ZI</w:t>
            </w:r>
            <w:r>
              <w:rPr>
                <w:szCs w:val="24"/>
              </w:rPr>
              <w:t>CO, ZPS, etc…)</w:t>
            </w:r>
          </w:p>
          <w:p w:rsidR="0035701C" w:rsidRDefault="00FB561B" w:rsidP="00FB561B">
            <w:pPr>
              <w:numPr>
                <w:ilvl w:val="0"/>
                <w:numId w:val="612"/>
              </w:numPr>
              <w:spacing w:before="0" w:after="0"/>
              <w:ind w:hanging="210"/>
              <w:jc w:val="left"/>
              <w:rPr>
                <w:szCs w:val="24"/>
              </w:rPr>
            </w:pPr>
            <w:r>
              <w:rPr>
                <w:szCs w:val="24"/>
              </w:rPr>
              <w:t>le critère « pentes »: seront retenues les pentes &lt; à 25% pour pouvoir mettre en œuvre les opérations</w:t>
            </w:r>
          </w:p>
          <w:p w:rsidR="0035701C" w:rsidRDefault="00FB561B" w:rsidP="00FB561B">
            <w:pPr>
              <w:numPr>
                <w:ilvl w:val="0"/>
                <w:numId w:val="612"/>
              </w:numPr>
              <w:spacing w:before="0" w:after="0"/>
              <w:ind w:hanging="210"/>
              <w:jc w:val="left"/>
              <w:rPr>
                <w:szCs w:val="24"/>
              </w:rPr>
            </w:pPr>
            <w:r>
              <w:rPr>
                <w:szCs w:val="24"/>
              </w:rPr>
              <w:t>le critère « pression incendiaire » : seront pris en compte le nombre de départs de feu et la fréquence des feux sur la période 1992-2014</w:t>
            </w:r>
          </w:p>
          <w:p w:rsidR="0035701C" w:rsidRDefault="00FB561B" w:rsidP="00FB561B">
            <w:pPr>
              <w:numPr>
                <w:ilvl w:val="0"/>
                <w:numId w:val="612"/>
              </w:numPr>
              <w:spacing w:before="0" w:after="240"/>
              <w:ind w:hanging="210"/>
              <w:jc w:val="left"/>
              <w:rPr>
                <w:szCs w:val="24"/>
              </w:rPr>
            </w:pPr>
            <w:r>
              <w:rPr>
                <w:szCs w:val="24"/>
              </w:rPr>
              <w:t>l</w:t>
            </w:r>
            <w:r>
              <w:rPr>
                <w:szCs w:val="24"/>
              </w:rPr>
              <w:t>e critère « espace forestier »</w:t>
            </w:r>
          </w:p>
          <w:p w:rsidR="0035701C" w:rsidRDefault="00FB561B">
            <w:pPr>
              <w:spacing w:before="240" w:after="240"/>
              <w:jc w:val="left"/>
              <w:rPr>
                <w:szCs w:val="24"/>
              </w:rPr>
            </w:pPr>
            <w:r>
              <w:rPr>
                <w:szCs w:val="24"/>
              </w:rPr>
              <w:t>Les MAEC à enjeux spécifiques sont quand à elles contingentées aux zones indiquées dans les fiches mesures : ex. tortue d’Hermann dans la zone de répartition de cette espèce,  canaux dans l’extrême sud de la Corse, ZAL sur le</w:t>
            </w:r>
            <w:r>
              <w:rPr>
                <w:szCs w:val="24"/>
              </w:rPr>
              <w:t>s périmètres de DFCI (Défense des forêts Contre l’Incendie).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 xml:space="preserve">2) Concernant les milieux agricoles cultivés comme l’arboriculture, la viticulture, le maraîchage, les grandes cultures…, </w:t>
            </w:r>
            <w:r>
              <w:rPr>
                <w:szCs w:val="24"/>
              </w:rPr>
              <w:t>on constate que le risque environnement sur ces milieux porte sur une u</w:t>
            </w:r>
            <w:r>
              <w:rPr>
                <w:szCs w:val="24"/>
              </w:rPr>
              <w:t>tilisation d’intrants artificiels du type :</w:t>
            </w:r>
          </w:p>
          <w:p w:rsidR="0035701C" w:rsidRDefault="00FB561B" w:rsidP="00FB561B">
            <w:pPr>
              <w:numPr>
                <w:ilvl w:val="0"/>
                <w:numId w:val="613"/>
              </w:numPr>
              <w:spacing w:before="240" w:after="0"/>
              <w:ind w:hanging="210"/>
              <w:jc w:val="left"/>
              <w:rPr>
                <w:szCs w:val="24"/>
              </w:rPr>
            </w:pPr>
            <w:r>
              <w:rPr>
                <w:szCs w:val="24"/>
              </w:rPr>
              <w:t>produits phytosanitaires (arboriculture, viticulture….)</w:t>
            </w:r>
          </w:p>
          <w:p w:rsidR="0035701C" w:rsidRDefault="00FB561B" w:rsidP="00FB561B">
            <w:pPr>
              <w:numPr>
                <w:ilvl w:val="0"/>
                <w:numId w:val="613"/>
              </w:numPr>
              <w:spacing w:before="0" w:after="240"/>
              <w:ind w:hanging="210"/>
              <w:jc w:val="left"/>
              <w:rPr>
                <w:szCs w:val="24"/>
              </w:rPr>
            </w:pPr>
            <w:r>
              <w:rPr>
                <w:szCs w:val="24"/>
              </w:rPr>
              <w:t>fertilisation minérale (viticulture, maraichage….)</w:t>
            </w:r>
          </w:p>
          <w:p w:rsidR="0035701C" w:rsidRDefault="00FB561B">
            <w:pPr>
              <w:spacing w:before="240" w:after="240"/>
              <w:jc w:val="left"/>
              <w:rPr>
                <w:szCs w:val="24"/>
              </w:rPr>
            </w:pPr>
            <w:r>
              <w:rPr>
                <w:szCs w:val="24"/>
              </w:rPr>
              <w:t xml:space="preserve">Or, il s’est instauré en Corse une vraie volonté de diminuer l’utilisation des produits phytosanitaires </w:t>
            </w:r>
            <w:r>
              <w:rPr>
                <w:szCs w:val="24"/>
              </w:rPr>
              <w:t>avec la mise en place et l’élaboration de différents documents de planification et de plans régionaux (Profil Environnemental, plan Ecophyto, SDAGE, PADDUC, SRCAE).</w:t>
            </w:r>
          </w:p>
          <w:p w:rsidR="0035701C" w:rsidRDefault="00FB561B">
            <w:pPr>
              <w:spacing w:before="240" w:after="240"/>
              <w:jc w:val="left"/>
              <w:rPr>
                <w:szCs w:val="24"/>
              </w:rPr>
            </w:pPr>
            <w:r>
              <w:rPr>
                <w:szCs w:val="24"/>
              </w:rPr>
              <w:t>Le plan Ecophyto, plan national et décliné au niveau régional (plan d’action régional valid</w:t>
            </w:r>
            <w:r>
              <w:rPr>
                <w:szCs w:val="24"/>
              </w:rPr>
              <w:t>é en décembre 2013), devrait permettre une réduction de 50% de l’utilisation des produits phytosanitaires tout en maintenant un niveau élevé de production agricole, en quantité et en qualité.</w:t>
            </w:r>
          </w:p>
          <w:p w:rsidR="0035701C" w:rsidRDefault="00FB561B">
            <w:pPr>
              <w:spacing w:before="240" w:after="240"/>
              <w:jc w:val="left"/>
              <w:rPr>
                <w:szCs w:val="24"/>
              </w:rPr>
            </w:pPr>
            <w:r>
              <w:rPr>
                <w:szCs w:val="24"/>
              </w:rPr>
              <w:t>Le Profil Environnemental de la Corse, actualisé en 2012, à trav</w:t>
            </w:r>
            <w:r>
              <w:rPr>
                <w:szCs w:val="24"/>
              </w:rPr>
              <w:t>ers son enjeu de lutte contre les pollutions de l’eau, préconise de réduire l’utilisation des produits phytosanitaires et d’encourager les pratiques plus respectueuses de l’environnement.</w:t>
            </w:r>
          </w:p>
          <w:p w:rsidR="0035701C" w:rsidRDefault="00FB561B">
            <w:pPr>
              <w:spacing w:before="240" w:after="240"/>
              <w:jc w:val="left"/>
              <w:rPr>
                <w:szCs w:val="24"/>
              </w:rPr>
            </w:pPr>
            <w:r>
              <w:rPr>
                <w:szCs w:val="24"/>
              </w:rPr>
              <w:t>Le Plan d’Aménagement et de Développement Durable (phase II du PADDU</w:t>
            </w:r>
            <w:r>
              <w:rPr>
                <w:szCs w:val="24"/>
              </w:rPr>
              <w:t>C et validé par l’Assemblée de Corse le 31 janvier 2014) fait apparaître aussi la nécessité de diminuer les pesticides et les engrais chimiques de synthèse dans l’agriculture.</w:t>
            </w:r>
          </w:p>
          <w:p w:rsidR="0035701C" w:rsidRDefault="00FB561B">
            <w:pPr>
              <w:spacing w:before="240" w:after="240"/>
              <w:jc w:val="left"/>
              <w:rPr>
                <w:szCs w:val="24"/>
              </w:rPr>
            </w:pPr>
            <w:r>
              <w:rPr>
                <w:szCs w:val="24"/>
              </w:rPr>
              <w:t>D’autre part, la Directive Cadre sur l’Eau (DCE) fixe un objectif de résultat qu</w:t>
            </w:r>
            <w:r>
              <w:rPr>
                <w:szCs w:val="24"/>
              </w:rPr>
              <w:t>i est d’atteindre le bon état pour tous les milieux aquatiques d’ici 2015 sauf exemption motivée qui autorise un report de délai à 2021 ou 2027 et/ou un objectif moins strict pour un des paramètres. Dans le bassin de Corse, les objectifs portent essentiell</w:t>
            </w:r>
            <w:r>
              <w:rPr>
                <w:szCs w:val="24"/>
              </w:rPr>
              <w:t>ement sur le maintien du bon état des eaux avec un état initial de situation déjà conforme aux Objectifs de la loi « Grenelle I ».</w:t>
            </w:r>
          </w:p>
          <w:p w:rsidR="0035701C" w:rsidRDefault="00FB561B">
            <w:pPr>
              <w:spacing w:before="240" w:after="240"/>
              <w:jc w:val="left"/>
              <w:rPr>
                <w:szCs w:val="24"/>
              </w:rPr>
            </w:pPr>
            <w:r>
              <w:rPr>
                <w:szCs w:val="24"/>
              </w:rPr>
              <w:t>En effet, 89% des masses d’eau superficielles de Corse sont en bon ou très bon état écologique. Toutes les masses d’eaux supe</w:t>
            </w:r>
            <w:r>
              <w:rPr>
                <w:szCs w:val="24"/>
              </w:rPr>
              <w:t>rficielles corses sont en bon état chimique hormis substances ubiquistes, sauf 3 masses d’eau de transition (étangs de Biguglia, Diana, Urbino) du fait de traces de pesticides notamment hydro simazine, HCH, cyclodiène (projet d’état des lieux Bassin de Cor</w:t>
            </w:r>
            <w:r>
              <w:rPr>
                <w:szCs w:val="24"/>
              </w:rPr>
              <w:t>se adopté par le Comité de Bassin de Corse le 9 décembre 2013).</w:t>
            </w:r>
          </w:p>
          <w:p w:rsidR="0035701C" w:rsidRDefault="00FB561B">
            <w:pPr>
              <w:spacing w:before="240" w:after="240"/>
              <w:jc w:val="left"/>
              <w:rPr>
                <w:szCs w:val="24"/>
              </w:rPr>
            </w:pPr>
            <w:r>
              <w:rPr>
                <w:b/>
                <w:bCs/>
                <w:szCs w:val="24"/>
              </w:rPr>
              <w:t>La mise en œuvre des opérations proposées doit contribuer à maintenir cet état des masses d’eau essentiel et obligatoire au titre de la DCE (opérations EAU 1 à EAU 13).</w:t>
            </w:r>
          </w:p>
          <w:p w:rsidR="0035701C" w:rsidRDefault="00FB561B">
            <w:pPr>
              <w:spacing w:before="240" w:after="240"/>
              <w:jc w:val="left"/>
              <w:rPr>
                <w:szCs w:val="24"/>
              </w:rPr>
            </w:pPr>
            <w:r>
              <w:rPr>
                <w:szCs w:val="24"/>
              </w:rPr>
              <w:t>Le Schéma Directeur d’A</w:t>
            </w:r>
            <w:r>
              <w:rPr>
                <w:szCs w:val="24"/>
              </w:rPr>
              <w:t>ménagement et de Gestion de l’Eau (SDAGE) du bassin corse 2010-2015 intègre ces obligations définies par la DCE ainsi que les orientations du « Grenelle de l’Environnement ». A travers son Orientation Fondamentale « Lutter contre les pollutions en renforça</w:t>
            </w:r>
            <w:r>
              <w:rPr>
                <w:szCs w:val="24"/>
              </w:rPr>
              <w:t>nt la maîtrise des risques pour la santé et la gestion des déchets » et sa disposition « Inciter à l’adoption de pratiques agricoles respectueuses de l’environnement », il recommande de limiter l’utilisation des pesticides et leur transfert vers les milieu</w:t>
            </w:r>
            <w:r>
              <w:rPr>
                <w:szCs w:val="24"/>
              </w:rPr>
              <w:t>x aquatiques. La révision du SDAGE de Corse, pour la période 2016-2021, prendra en compte cet enjeu de préservation de la ressource en eau au travers de son programme de mesures.</w:t>
            </w:r>
          </w:p>
          <w:p w:rsidR="0035701C" w:rsidRDefault="00FB561B">
            <w:pPr>
              <w:spacing w:before="240" w:after="240"/>
              <w:jc w:val="left"/>
              <w:rPr>
                <w:szCs w:val="24"/>
              </w:rPr>
            </w:pPr>
            <w:r>
              <w:rPr>
                <w:szCs w:val="24"/>
              </w:rPr>
              <w:t>Le Schéma Régional Climat Air Energie (SRCAE) fait apparaître les possibles i</w:t>
            </w:r>
            <w:r>
              <w:rPr>
                <w:szCs w:val="24"/>
              </w:rPr>
              <w:t>mpacts liés au changement climatique sur la ressource en eau notamment une hausse potentielle de la concentration des polluants (intrants, métaux lourds, pesticides, effluents divers) dans l’eau en raison de la baisse des débits des cours d’eau et de la ha</w:t>
            </w:r>
            <w:r>
              <w:rPr>
                <w:szCs w:val="24"/>
              </w:rPr>
              <w:t>usse des températures.</w:t>
            </w:r>
          </w:p>
          <w:p w:rsidR="0035701C" w:rsidRDefault="00FB561B">
            <w:pPr>
              <w:spacing w:before="240" w:after="240"/>
              <w:jc w:val="left"/>
              <w:rPr>
                <w:szCs w:val="24"/>
              </w:rPr>
            </w:pPr>
            <w:r>
              <w:rPr>
                <w:szCs w:val="24"/>
              </w:rPr>
              <w:t>Les Mesures Agro Environnementales Climat pour l’enjeu EAU ont été élaborées, à partir des besoins recensés auprès des différentes filières et des priorités définies par le règlement (UE) N° 1305/2013 du Parlement Européen et du Cons</w:t>
            </w:r>
            <w:r>
              <w:rPr>
                <w:szCs w:val="24"/>
              </w:rPr>
              <w:t xml:space="preserve">eil du 17 décembre 2013, dans le but d’accompagner progressivement le changement de pratiques culturales, tout en respectant l’équilibre économique d’une exploitation et en maintenant un niveau élevé de production agricole en quantité et en qualité. Elles </w:t>
            </w:r>
            <w:r>
              <w:rPr>
                <w:szCs w:val="24"/>
              </w:rPr>
              <w:t>ont été élaborées aussi dans le but d’atteindre les objectifs des différents documents de planification et de plans régionaux. D’une manière générale, la cohérence avec ces différents documents sera assurée. Ces MAEC permettront, à terme, de réduire l’util</w:t>
            </w:r>
            <w:r>
              <w:rPr>
                <w:szCs w:val="24"/>
              </w:rPr>
              <w:t>isation des intrants par :</w:t>
            </w:r>
          </w:p>
          <w:p w:rsidR="0035701C" w:rsidRDefault="00FB561B" w:rsidP="00FB561B">
            <w:pPr>
              <w:numPr>
                <w:ilvl w:val="0"/>
                <w:numId w:val="614"/>
              </w:numPr>
              <w:spacing w:before="240" w:after="0"/>
              <w:ind w:hanging="210"/>
              <w:jc w:val="left"/>
              <w:rPr>
                <w:szCs w:val="24"/>
              </w:rPr>
            </w:pPr>
            <w:r>
              <w:rPr>
                <w:szCs w:val="24"/>
              </w:rPr>
              <w:t>l’utilisation d’engrais organiques de type compost, engrais verts…,</w:t>
            </w:r>
          </w:p>
          <w:p w:rsidR="0035701C" w:rsidRDefault="00FB561B" w:rsidP="00FB561B">
            <w:pPr>
              <w:numPr>
                <w:ilvl w:val="0"/>
                <w:numId w:val="614"/>
              </w:numPr>
              <w:spacing w:before="0" w:after="0"/>
              <w:ind w:hanging="210"/>
              <w:jc w:val="left"/>
              <w:rPr>
                <w:szCs w:val="24"/>
              </w:rPr>
            </w:pPr>
            <w:r>
              <w:rPr>
                <w:szCs w:val="24"/>
              </w:rPr>
              <w:t>le remplacement du désherbage chimique par un désherbage mécanique,</w:t>
            </w:r>
          </w:p>
          <w:p w:rsidR="0035701C" w:rsidRDefault="00FB561B" w:rsidP="00FB561B">
            <w:pPr>
              <w:numPr>
                <w:ilvl w:val="0"/>
                <w:numId w:val="614"/>
              </w:numPr>
              <w:spacing w:before="0" w:after="0"/>
              <w:ind w:hanging="210"/>
              <w:jc w:val="left"/>
              <w:rPr>
                <w:szCs w:val="24"/>
              </w:rPr>
            </w:pPr>
            <w:r>
              <w:rPr>
                <w:szCs w:val="24"/>
              </w:rPr>
              <w:t xml:space="preserve">la substitution des produits phytosanitaires au profit de la lutte biologique destinée à </w:t>
            </w:r>
            <w:r>
              <w:rPr>
                <w:szCs w:val="24"/>
              </w:rPr>
              <w:t>combattre certains parasites (arboriculture, viticulture, maraichage) ; ces changements de pratiques sont non seulement bénéfiques à la qualité de l’eau, mais utiles aussi à la préservation de la biodiversité et des écosystèmes dans la mesure où cette lutt</w:t>
            </w:r>
            <w:r>
              <w:rPr>
                <w:szCs w:val="24"/>
              </w:rPr>
              <w:t>e biologique est ciblée sur un parasite spécifique contrairement aux produits phytosanitaires beaucoup moins sélectifs.</w:t>
            </w:r>
          </w:p>
          <w:p w:rsidR="0035701C" w:rsidRDefault="00FB561B" w:rsidP="00FB561B">
            <w:pPr>
              <w:numPr>
                <w:ilvl w:val="0"/>
                <w:numId w:val="614"/>
              </w:numPr>
              <w:spacing w:before="0" w:after="240"/>
              <w:ind w:hanging="210"/>
              <w:jc w:val="left"/>
              <w:rPr>
                <w:szCs w:val="24"/>
              </w:rPr>
            </w:pPr>
            <w:r>
              <w:rPr>
                <w:szCs w:val="24"/>
              </w:rPr>
              <w:t xml:space="preserve">le remplacement des produits phytosanitaires dans les inter-rangs des vignes, des cultures maraichères et des vergers en utilisant la </w:t>
            </w:r>
            <w:r>
              <w:rPr>
                <w:szCs w:val="24"/>
              </w:rPr>
              <w:t>technique du paillage de l’inter rang pour le maraichage ou l’enherbement des inter rang des vignobles et des vergers. Ces techniques permettent non seulement une préservation de la qualité de l’eau et des sols mais aussi préserve quantitativement la resso</w:t>
            </w:r>
            <w:r>
              <w:rPr>
                <w:szCs w:val="24"/>
              </w:rPr>
              <w:t>urce en eau limitant l’évaporation et en permettant une meilleure pénétration de l’eau dans les sols.</w:t>
            </w:r>
          </w:p>
          <w:p w:rsidR="0035701C" w:rsidRDefault="00FB561B">
            <w:pPr>
              <w:spacing w:before="240" w:after="240"/>
              <w:jc w:val="left"/>
              <w:rPr>
                <w:szCs w:val="24"/>
              </w:rPr>
            </w:pPr>
            <w:r>
              <w:rPr>
                <w:szCs w:val="24"/>
              </w:rPr>
              <w:t>De plus, toutes ces solutions alternatives à l’utilisation des produits phytosanitaires ont aussi des conséquences positives sur le maintien de la biodive</w:t>
            </w:r>
            <w:r>
              <w:rPr>
                <w:szCs w:val="24"/>
              </w:rPr>
              <w:t>rsité, sur la préservation des sols (respect de la structure des sols, limitation de l’érosion et maintien de la biodiversité des sols) et sur la qualité de l’air.</w:t>
            </w:r>
          </w:p>
          <w:p w:rsidR="0035701C" w:rsidRDefault="00FB561B">
            <w:pPr>
              <w:spacing w:before="240" w:after="240"/>
              <w:jc w:val="left"/>
              <w:rPr>
                <w:szCs w:val="24"/>
              </w:rPr>
            </w:pPr>
            <w:r>
              <w:rPr>
                <w:szCs w:val="24"/>
                <w:u w:val="single"/>
              </w:rPr>
              <w:t>Bilan et ciblage des opérations pour les enjeux EAU</w:t>
            </w:r>
            <w:r>
              <w:rPr>
                <w:szCs w:val="24"/>
              </w:rPr>
              <w:t xml:space="preserve"> </w:t>
            </w:r>
            <w:r>
              <w:rPr>
                <w:i/>
                <w:iCs/>
                <w:szCs w:val="24"/>
              </w:rPr>
              <w:t>(nombre de contrats 97 contrats pour 140</w:t>
            </w:r>
            <w:r>
              <w:rPr>
                <w:i/>
                <w:iCs/>
                <w:szCs w:val="24"/>
              </w:rPr>
              <w:t>0 ha) :</w:t>
            </w:r>
          </w:p>
          <w:p w:rsidR="0035701C" w:rsidRDefault="00FB561B">
            <w:pPr>
              <w:spacing w:before="240" w:after="240"/>
              <w:jc w:val="left"/>
              <w:rPr>
                <w:szCs w:val="24"/>
              </w:rPr>
            </w:pPr>
            <w:r>
              <w:rPr>
                <w:szCs w:val="24"/>
              </w:rPr>
              <w:t>90% de ces contrats ont été contractualisés sur la plaine orientale. 7 Engagements Unitaires sur 13 proposés ont été mobilisés.</w:t>
            </w:r>
          </w:p>
          <w:p w:rsidR="0035701C" w:rsidRDefault="00FB561B" w:rsidP="00FB561B">
            <w:pPr>
              <w:numPr>
                <w:ilvl w:val="0"/>
                <w:numId w:val="615"/>
              </w:numPr>
              <w:spacing w:before="240" w:after="0"/>
              <w:ind w:hanging="210"/>
              <w:jc w:val="left"/>
              <w:rPr>
                <w:szCs w:val="24"/>
              </w:rPr>
            </w:pPr>
            <w:r>
              <w:rPr>
                <w:szCs w:val="24"/>
              </w:rPr>
              <w:t>E2-3 : bilan phytosanitaire</w:t>
            </w:r>
          </w:p>
          <w:p w:rsidR="0035701C" w:rsidRDefault="00FB561B" w:rsidP="00FB561B">
            <w:pPr>
              <w:numPr>
                <w:ilvl w:val="0"/>
                <w:numId w:val="615"/>
              </w:numPr>
              <w:spacing w:before="0" w:after="0"/>
              <w:ind w:hanging="210"/>
              <w:jc w:val="left"/>
              <w:rPr>
                <w:szCs w:val="24"/>
              </w:rPr>
            </w:pPr>
            <w:r>
              <w:rPr>
                <w:szCs w:val="24"/>
              </w:rPr>
              <w:t>E2-6a/b : enherbement au niveau des inter-rangs en arboriculture (a) et viticulture (b)</w:t>
            </w:r>
          </w:p>
          <w:p w:rsidR="0035701C" w:rsidRDefault="00FB561B" w:rsidP="00FB561B">
            <w:pPr>
              <w:numPr>
                <w:ilvl w:val="0"/>
                <w:numId w:val="615"/>
              </w:numPr>
              <w:spacing w:before="0" w:after="0"/>
              <w:ind w:hanging="210"/>
              <w:jc w:val="left"/>
              <w:rPr>
                <w:szCs w:val="24"/>
              </w:rPr>
            </w:pPr>
            <w:r>
              <w:rPr>
                <w:szCs w:val="24"/>
              </w:rPr>
              <w:t>E2-7</w:t>
            </w:r>
            <w:r>
              <w:rPr>
                <w:szCs w:val="24"/>
              </w:rPr>
              <w:t> : Paillage biodégradable</w:t>
            </w:r>
          </w:p>
          <w:p w:rsidR="0035701C" w:rsidRDefault="00FB561B" w:rsidP="00FB561B">
            <w:pPr>
              <w:numPr>
                <w:ilvl w:val="0"/>
                <w:numId w:val="615"/>
              </w:numPr>
              <w:spacing w:before="0" w:after="0"/>
              <w:ind w:hanging="210"/>
              <w:jc w:val="left"/>
              <w:rPr>
                <w:szCs w:val="24"/>
              </w:rPr>
            </w:pPr>
            <w:r>
              <w:rPr>
                <w:szCs w:val="24"/>
              </w:rPr>
              <w:t>E2-9 : Confusion sexuelle contre la tordeuse orientale du pêcher</w:t>
            </w:r>
          </w:p>
          <w:p w:rsidR="0035701C" w:rsidRDefault="00FB561B" w:rsidP="00FB561B">
            <w:pPr>
              <w:numPr>
                <w:ilvl w:val="0"/>
                <w:numId w:val="615"/>
              </w:numPr>
              <w:spacing w:before="0" w:after="0"/>
              <w:ind w:hanging="210"/>
              <w:jc w:val="left"/>
              <w:rPr>
                <w:szCs w:val="24"/>
              </w:rPr>
            </w:pPr>
            <w:r>
              <w:rPr>
                <w:szCs w:val="24"/>
              </w:rPr>
              <w:t>E2-10 : piégeage massif conte la mouche méditerranéenne des fruits</w:t>
            </w:r>
          </w:p>
          <w:p w:rsidR="0035701C" w:rsidRDefault="00FB561B" w:rsidP="00FB561B">
            <w:pPr>
              <w:numPr>
                <w:ilvl w:val="0"/>
                <w:numId w:val="615"/>
              </w:numPr>
              <w:spacing w:before="0" w:after="0"/>
              <w:ind w:hanging="210"/>
              <w:jc w:val="left"/>
              <w:rPr>
                <w:szCs w:val="24"/>
              </w:rPr>
            </w:pPr>
            <w:r>
              <w:rPr>
                <w:szCs w:val="24"/>
              </w:rPr>
              <w:t>E2-12 : Lutte biologique conter le pou rouge</w:t>
            </w:r>
          </w:p>
          <w:p w:rsidR="0035701C" w:rsidRDefault="00FB561B" w:rsidP="00FB561B">
            <w:pPr>
              <w:numPr>
                <w:ilvl w:val="0"/>
                <w:numId w:val="615"/>
              </w:numPr>
              <w:spacing w:before="0" w:after="240"/>
              <w:ind w:hanging="210"/>
              <w:jc w:val="left"/>
              <w:rPr>
                <w:szCs w:val="24"/>
              </w:rPr>
            </w:pPr>
            <w:r>
              <w:rPr>
                <w:szCs w:val="24"/>
              </w:rPr>
              <w:t>E2-13 : lutte biologique contre la cochenille asiatiq</w:t>
            </w:r>
            <w:r>
              <w:rPr>
                <w:szCs w:val="24"/>
              </w:rPr>
              <w:t>ue</w:t>
            </w:r>
          </w:p>
          <w:p w:rsidR="0035701C" w:rsidRDefault="00FB561B">
            <w:pPr>
              <w:spacing w:before="240" w:after="240"/>
              <w:jc w:val="left"/>
              <w:rPr>
                <w:szCs w:val="24"/>
              </w:rPr>
            </w:pPr>
            <w:r>
              <w:rPr>
                <w:szCs w:val="24"/>
              </w:rPr>
              <w:t>Le cahier des charges de ces TO ont été améliorés ou modifiés, et 6 nouveaux TO sont désormais proposés pour l'enjeu EAU.</w:t>
            </w:r>
          </w:p>
          <w:p w:rsidR="0035701C" w:rsidRDefault="00FB561B">
            <w:pPr>
              <w:spacing w:before="240" w:after="240"/>
              <w:jc w:val="left"/>
              <w:rPr>
                <w:szCs w:val="24"/>
              </w:rPr>
            </w:pPr>
            <w:r>
              <w:rPr>
                <w:szCs w:val="24"/>
              </w:rPr>
              <w:t>Comme le montre le bilan de la période 2007-2013, les MAEC à enjeu EAU, sont ciblées sur des couverts végétaux essentiellement loca</w:t>
            </w:r>
            <w:r>
              <w:rPr>
                <w:szCs w:val="24"/>
              </w:rPr>
              <w:t>lisés en plaine, notamment dans les grands périmètres irrigués régionaux, soit environ 20% du territoire.</w:t>
            </w:r>
          </w:p>
          <w:p w:rsidR="0035701C" w:rsidRDefault="00FB561B">
            <w:pPr>
              <w:spacing w:before="240" w:after="240"/>
              <w:jc w:val="left"/>
              <w:rPr>
                <w:szCs w:val="24"/>
              </w:rPr>
            </w:pPr>
            <w:r>
              <w:rPr>
                <w:szCs w:val="24"/>
              </w:rPr>
              <w:t>Par ailleurs la priorisation des zones NATURA 2000, sera également mise en œuvre pour les TO EAU.</w:t>
            </w:r>
          </w:p>
          <w:p w:rsidR="0035701C" w:rsidRDefault="00FB561B">
            <w:pPr>
              <w:spacing w:before="240" w:after="240"/>
              <w:jc w:val="left"/>
              <w:rPr>
                <w:szCs w:val="24"/>
              </w:rPr>
            </w:pPr>
            <w:r>
              <w:rPr>
                <w:szCs w:val="24"/>
                <w:u w:val="single"/>
              </w:rPr>
              <w:t>Références scientifiques</w:t>
            </w:r>
          </w:p>
          <w:p w:rsidR="0035701C" w:rsidRDefault="00FB561B">
            <w:pPr>
              <w:spacing w:before="240" w:after="240"/>
              <w:jc w:val="left"/>
              <w:rPr>
                <w:szCs w:val="24"/>
              </w:rPr>
            </w:pPr>
            <w:r>
              <w:rPr>
                <w:szCs w:val="24"/>
              </w:rPr>
              <w:t xml:space="preserve">Les protocoles techniques </w:t>
            </w:r>
            <w:r>
              <w:rPr>
                <w:szCs w:val="24"/>
              </w:rPr>
              <w:t>des opérations de lutte biologique sur agrumes et de piégeage massif ont été rédigés à partir d’essais scientifiques réalisés par l’AREFLEC (Association Régionale d'Expérimentation sur les Fruits et Légumes en Corse) et en collaboration avec le CIVAM BIO C</w:t>
            </w:r>
            <w:r>
              <w:rPr>
                <w:szCs w:val="24"/>
              </w:rPr>
              <w:t>orse et l’INRA. Ces résultats sont disponibles sur leur site internet http://www.areflec.org/.</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3) Concernant la contribution de pratiques liées à la conduite et à la protection d’animaux améliorant la biodiversité</w:t>
            </w:r>
          </w:p>
          <w:p w:rsidR="0035701C" w:rsidRDefault="00FB561B">
            <w:pPr>
              <w:spacing w:before="240" w:after="240"/>
              <w:jc w:val="left"/>
              <w:rPr>
                <w:szCs w:val="24"/>
              </w:rPr>
            </w:pPr>
            <w:r>
              <w:rPr>
                <w:szCs w:val="24"/>
              </w:rPr>
              <w:t>On distingue deux types d’opérations :</w:t>
            </w:r>
          </w:p>
          <w:p w:rsidR="0035701C" w:rsidRDefault="00FB561B" w:rsidP="00FB561B">
            <w:pPr>
              <w:numPr>
                <w:ilvl w:val="0"/>
                <w:numId w:val="616"/>
              </w:numPr>
              <w:spacing w:before="240" w:after="240"/>
              <w:ind w:hanging="210"/>
              <w:jc w:val="left"/>
              <w:rPr>
                <w:szCs w:val="24"/>
              </w:rPr>
            </w:pPr>
            <w:r>
              <w:rPr>
                <w:szCs w:val="24"/>
              </w:rPr>
              <w:t>u</w:t>
            </w:r>
            <w:r>
              <w:rPr>
                <w:szCs w:val="24"/>
              </w:rPr>
              <w:t>ne opération pour l'amélioration du potentiel pollinisateur des abeilles</w:t>
            </w:r>
          </w:p>
          <w:p w:rsidR="0035701C" w:rsidRDefault="00FB561B">
            <w:pPr>
              <w:spacing w:before="240" w:after="240"/>
              <w:ind w:left="720"/>
              <w:jc w:val="left"/>
              <w:rPr>
                <w:szCs w:val="24"/>
              </w:rPr>
            </w:pPr>
            <w:r>
              <w:rPr>
                <w:szCs w:val="24"/>
              </w:rPr>
              <w:t xml:space="preserve">L’appauvrissement de l’entomofaune pollinisatrice constatée dans les zones cultivées en Corse rend plus importante l’action des abeilles domestiques sur la pollinisation de certaines </w:t>
            </w:r>
            <w:r>
              <w:rPr>
                <w:szCs w:val="24"/>
              </w:rPr>
              <w:t>espèces végétales. Le potentiel pollinisateur de l’abeille peut ainsi contribuer par des pratiques de transhumance à améliorer l’impact sur la biodiversité dans des milieux diversifiés et de haute valeur naturelle.</w:t>
            </w:r>
          </w:p>
          <w:p w:rsidR="0035701C" w:rsidRDefault="00FB561B" w:rsidP="00FB561B">
            <w:pPr>
              <w:numPr>
                <w:ilvl w:val="0"/>
                <w:numId w:val="617"/>
              </w:numPr>
              <w:spacing w:before="240" w:after="240"/>
              <w:ind w:hanging="210"/>
              <w:jc w:val="left"/>
              <w:rPr>
                <w:szCs w:val="24"/>
              </w:rPr>
            </w:pPr>
            <w:r>
              <w:rPr>
                <w:szCs w:val="24"/>
              </w:rPr>
              <w:t>une opération visant la protection des ra</w:t>
            </w:r>
            <w:r>
              <w:rPr>
                <w:szCs w:val="24"/>
              </w:rPr>
              <w:t>ces menacées de disparition.</w:t>
            </w:r>
          </w:p>
          <w:p w:rsidR="0035701C" w:rsidRDefault="00FB561B">
            <w:pPr>
              <w:spacing w:before="240" w:after="240"/>
              <w:ind w:left="720"/>
              <w:jc w:val="left"/>
              <w:rPr>
                <w:szCs w:val="24"/>
              </w:rPr>
            </w:pPr>
            <w:r>
              <w:rPr>
                <w:szCs w:val="24"/>
              </w:rPr>
              <w:t xml:space="preserve">Par ailleurs différentes races animales locales et menacées constituent un patrimoine génétique contribuant à la biodiversité. Le contexte d’insularité et de montagne en accentue la spécificité. Ces races locales caractérisées </w:t>
            </w:r>
            <w:r>
              <w:rPr>
                <w:szCs w:val="24"/>
              </w:rPr>
              <w:t>par une rusticité et une adaptation aux milieux spécifiques de Corse, sont :</w:t>
            </w:r>
          </w:p>
          <w:p w:rsidR="0035701C" w:rsidRDefault="00FB561B" w:rsidP="00FB561B">
            <w:pPr>
              <w:numPr>
                <w:ilvl w:val="0"/>
                <w:numId w:val="618"/>
              </w:numPr>
              <w:spacing w:before="240" w:after="0"/>
              <w:ind w:left="1320" w:hanging="210"/>
              <w:jc w:val="left"/>
              <w:rPr>
                <w:szCs w:val="24"/>
              </w:rPr>
            </w:pPr>
            <w:r>
              <w:rPr>
                <w:szCs w:val="24"/>
              </w:rPr>
              <w:t>La race ovine corse</w:t>
            </w:r>
          </w:p>
          <w:p w:rsidR="0035701C" w:rsidRDefault="00FB561B" w:rsidP="00FB561B">
            <w:pPr>
              <w:numPr>
                <w:ilvl w:val="0"/>
                <w:numId w:val="618"/>
              </w:numPr>
              <w:spacing w:before="0" w:after="0"/>
              <w:ind w:left="1320" w:hanging="210"/>
              <w:jc w:val="left"/>
              <w:rPr>
                <w:szCs w:val="24"/>
              </w:rPr>
            </w:pPr>
            <w:r>
              <w:rPr>
                <w:szCs w:val="24"/>
              </w:rPr>
              <w:t>La race caprine corse</w:t>
            </w:r>
          </w:p>
          <w:p w:rsidR="0035701C" w:rsidRDefault="00FB561B" w:rsidP="00FB561B">
            <w:pPr>
              <w:numPr>
                <w:ilvl w:val="0"/>
                <w:numId w:val="618"/>
              </w:numPr>
              <w:spacing w:before="0" w:after="0"/>
              <w:ind w:left="1320" w:hanging="210"/>
              <w:jc w:val="left"/>
              <w:rPr>
                <w:szCs w:val="24"/>
              </w:rPr>
            </w:pPr>
            <w:r>
              <w:rPr>
                <w:szCs w:val="24"/>
              </w:rPr>
              <w:t>La race porcine Nustrale</w:t>
            </w:r>
          </w:p>
          <w:p w:rsidR="0035701C" w:rsidRDefault="00FB561B" w:rsidP="00FB561B">
            <w:pPr>
              <w:numPr>
                <w:ilvl w:val="0"/>
                <w:numId w:val="618"/>
              </w:numPr>
              <w:spacing w:before="0" w:after="0"/>
              <w:ind w:left="1320" w:hanging="210"/>
              <w:jc w:val="left"/>
              <w:rPr>
                <w:szCs w:val="24"/>
              </w:rPr>
            </w:pPr>
            <w:r>
              <w:rPr>
                <w:szCs w:val="24"/>
              </w:rPr>
              <w:t>La race bovine corse</w:t>
            </w:r>
          </w:p>
          <w:p w:rsidR="0035701C" w:rsidRDefault="00FB561B" w:rsidP="00FB561B">
            <w:pPr>
              <w:numPr>
                <w:ilvl w:val="0"/>
                <w:numId w:val="618"/>
              </w:numPr>
              <w:spacing w:before="0" w:after="240"/>
              <w:ind w:left="1320" w:hanging="210"/>
              <w:jc w:val="left"/>
              <w:rPr>
                <w:szCs w:val="24"/>
              </w:rPr>
            </w:pPr>
            <w:r>
              <w:rPr>
                <w:szCs w:val="24"/>
              </w:rPr>
              <w:t>La race équine corse</w:t>
            </w:r>
          </w:p>
          <w:p w:rsidR="0035701C" w:rsidRDefault="00FB561B">
            <w:pPr>
              <w:spacing w:before="240" w:after="240"/>
              <w:jc w:val="left"/>
              <w:rPr>
                <w:szCs w:val="24"/>
              </w:rPr>
            </w:pPr>
            <w:r>
              <w:rPr>
                <w:szCs w:val="24"/>
              </w:rPr>
              <w:t xml:space="preserve">Ainsi, la conservation et l’utilisation sur les exploitations de ces </w:t>
            </w:r>
            <w:r>
              <w:rPr>
                <w:szCs w:val="24"/>
              </w:rPr>
              <w:t>espèces conduites en races locales pure et menacées répond à cet enjeu.</w:t>
            </w:r>
          </w:p>
          <w:p w:rsidR="0035701C" w:rsidRDefault="00FB561B">
            <w:pPr>
              <w:spacing w:before="240" w:after="240"/>
              <w:jc w:val="left"/>
              <w:rPr>
                <w:szCs w:val="24"/>
              </w:rPr>
            </w:pPr>
            <w:r>
              <w:rPr>
                <w:szCs w:val="24"/>
              </w:rPr>
              <w:t>En conclusion, et au regard de l’analyse réalisée, le projet agro-environnemental de la Région CORSE retient les 3 besoins (enjeux) majeurs suivants pour le PDRC :</w:t>
            </w:r>
          </w:p>
          <w:p w:rsidR="0035701C" w:rsidRDefault="00FB561B" w:rsidP="00FB561B">
            <w:pPr>
              <w:numPr>
                <w:ilvl w:val="0"/>
                <w:numId w:val="619"/>
              </w:numPr>
              <w:spacing w:before="240" w:after="0"/>
              <w:ind w:hanging="210"/>
              <w:jc w:val="left"/>
              <w:rPr>
                <w:szCs w:val="24"/>
              </w:rPr>
            </w:pPr>
            <w:r>
              <w:rPr>
                <w:szCs w:val="24"/>
              </w:rPr>
              <w:t>Maintenir et accroit</w:t>
            </w:r>
            <w:r>
              <w:rPr>
                <w:szCs w:val="24"/>
              </w:rPr>
              <w:t>re la biodiversité</w:t>
            </w:r>
          </w:p>
          <w:p w:rsidR="0035701C" w:rsidRDefault="00FB561B" w:rsidP="00FB561B">
            <w:pPr>
              <w:numPr>
                <w:ilvl w:val="0"/>
                <w:numId w:val="619"/>
              </w:numPr>
              <w:spacing w:before="0" w:after="0"/>
              <w:ind w:hanging="210"/>
              <w:jc w:val="left"/>
              <w:rPr>
                <w:szCs w:val="24"/>
              </w:rPr>
            </w:pPr>
            <w:r>
              <w:rPr>
                <w:szCs w:val="24"/>
              </w:rPr>
              <w:t>Protéger les paysages de la déprise et de l’incendie</w:t>
            </w:r>
          </w:p>
          <w:p w:rsidR="0035701C" w:rsidRDefault="00FB561B" w:rsidP="00FB561B">
            <w:pPr>
              <w:numPr>
                <w:ilvl w:val="0"/>
                <w:numId w:val="619"/>
              </w:numPr>
              <w:spacing w:before="0" w:after="240"/>
              <w:ind w:hanging="210"/>
              <w:jc w:val="left"/>
              <w:rPr>
                <w:szCs w:val="24"/>
              </w:rPr>
            </w:pPr>
            <w:r>
              <w:rPr>
                <w:szCs w:val="24"/>
              </w:rPr>
              <w:t>Protéger la ressource en eau et les sols.</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b/>
                <w:bCs/>
                <w:szCs w:val="24"/>
              </w:rPr>
              <w:t>II – OPERATIONS AGRO-ENVIRONNEMENTALES RETENUES POUR REPONDRE A CES ENJEUX</w:t>
            </w:r>
          </w:p>
          <w:p w:rsidR="0035701C" w:rsidRDefault="00FB561B">
            <w:pPr>
              <w:spacing w:before="240" w:after="240"/>
              <w:jc w:val="left"/>
              <w:rPr>
                <w:szCs w:val="24"/>
              </w:rPr>
            </w:pPr>
            <w:r>
              <w:rPr>
                <w:szCs w:val="24"/>
              </w:rPr>
              <w:t xml:space="preserve">Les opérations agro-environnementales et climatiques ouvertes en CORSE et destinées à répondre aux </w:t>
            </w:r>
            <w:r>
              <w:rPr>
                <w:szCs w:val="24"/>
                <w:u w:val="single"/>
              </w:rPr>
              <w:t>3 enjeux retenus</w:t>
            </w:r>
            <w:r>
              <w:rPr>
                <w:szCs w:val="24"/>
              </w:rPr>
              <w:t xml:space="preserve"> sont présentées dans le TABLEAU 1 et 1 bis ci-joints.</w:t>
            </w:r>
          </w:p>
          <w:p w:rsidR="0035701C" w:rsidRDefault="00FB561B">
            <w:pPr>
              <w:spacing w:before="240" w:after="240"/>
              <w:jc w:val="left"/>
              <w:rPr>
                <w:szCs w:val="24"/>
              </w:rPr>
            </w:pPr>
            <w:r>
              <w:rPr>
                <w:szCs w:val="24"/>
              </w:rPr>
              <w:t xml:space="preserve">Pour l’ensemble des opérations proposées, </w:t>
            </w:r>
            <w:r>
              <w:rPr>
                <w:b/>
                <w:bCs/>
                <w:szCs w:val="24"/>
              </w:rPr>
              <w:t xml:space="preserve">une animation est prévue </w:t>
            </w:r>
            <w:r>
              <w:rPr>
                <w:szCs w:val="24"/>
              </w:rPr>
              <w:t>pour les faire connaitre au plus grand nombre d’agriculteurs et d’éleveurs, initier une réelle dynamique collective, permettre une appropriation nécessaire à la réussite de ces projets, et obtenir ainsi un niveau de souscription élevé de ces opérations qui</w:t>
            </w:r>
            <w:r>
              <w:rPr>
                <w:szCs w:val="24"/>
              </w:rPr>
              <w:t xml:space="preserve"> garantira un impact important sur l’environnement. </w:t>
            </w:r>
            <w:r>
              <w:rPr>
                <w:b/>
                <w:bCs/>
                <w:szCs w:val="24"/>
              </w:rPr>
              <w:t>Cette action d’animation agro-environnementale est soutenue par la mesure 7, sous-mesure 7.6.4 du PDRC.</w:t>
            </w:r>
          </w:p>
          <w:p w:rsidR="0035701C" w:rsidRDefault="00FB561B">
            <w:pPr>
              <w:spacing w:before="240" w:after="240"/>
              <w:jc w:val="left"/>
              <w:rPr>
                <w:szCs w:val="24"/>
              </w:rPr>
            </w:pPr>
            <w:r>
              <w:rPr>
                <w:szCs w:val="24"/>
              </w:rPr>
              <w:t>Concernant les types d’opérations Prairies, Parcours, Canaux, Prébois, Ripisylve, ZAL et EAU :</w:t>
            </w:r>
          </w:p>
          <w:p w:rsidR="0035701C" w:rsidRDefault="00FB561B" w:rsidP="00FB561B">
            <w:pPr>
              <w:numPr>
                <w:ilvl w:val="0"/>
                <w:numId w:val="620"/>
              </w:numPr>
              <w:spacing w:before="240" w:after="240"/>
              <w:ind w:hanging="210"/>
              <w:jc w:val="left"/>
              <w:rPr>
                <w:szCs w:val="24"/>
              </w:rPr>
            </w:pPr>
            <w:r>
              <w:rPr>
                <w:szCs w:val="24"/>
              </w:rPr>
              <w:t xml:space="preserve">la </w:t>
            </w:r>
            <w:r>
              <w:rPr>
                <w:b/>
                <w:bCs/>
                <w:szCs w:val="24"/>
              </w:rPr>
              <w:t>ré</w:t>
            </w:r>
            <w:r>
              <w:rPr>
                <w:b/>
                <w:bCs/>
                <w:szCs w:val="24"/>
              </w:rPr>
              <w:t>alisation d’un diagnostic d’exploitation préalable à la souscription de toute opération est obligatoire</w:t>
            </w:r>
            <w:r>
              <w:rPr>
                <w:szCs w:val="24"/>
              </w:rPr>
              <w:t>,</w:t>
            </w:r>
          </w:p>
          <w:p w:rsidR="0035701C" w:rsidRDefault="00FB561B">
            <w:pPr>
              <w:spacing w:before="240" w:after="240"/>
              <w:ind w:left="600"/>
              <w:jc w:val="left"/>
              <w:rPr>
                <w:szCs w:val="24"/>
              </w:rPr>
            </w:pPr>
            <w:r>
              <w:rPr>
                <w:szCs w:val="24"/>
              </w:rPr>
              <w:t xml:space="preserve">Le diagnostic d'exploitation est réalisé à la demande de chaque exploitant désireux de souscrire un contrat. Une visite de terrain permet de qualifier </w:t>
            </w:r>
            <w:r>
              <w:rPr>
                <w:szCs w:val="24"/>
              </w:rPr>
              <w:t>précisément la nature des différents couverts végétaux qui composent la surface agricole utilisée (types de vergers) et de faire une évaluation de la conduite et de l’état de phytosanitaire de l’exploitation ainsi que des méthodes de traitement éventuellem</w:t>
            </w:r>
            <w:r>
              <w:rPr>
                <w:szCs w:val="24"/>
              </w:rPr>
              <w:t>ent en cours afin de proposer à l’exploitant les opérations existantes se rattachant aux couverts et aux méthodes de conduites contribuant à l’amélioration agroenvironnementale et climatique. Il permet de déterminer avec l'agriculteur les opérations à cont</w:t>
            </w:r>
            <w:r>
              <w:rPr>
                <w:szCs w:val="24"/>
              </w:rPr>
              <w:t>ractualiser. Pour chaque opération retenue, le cahier des charges correspondant est expliqué à l’exploitant et les surfaces engagées géo-localisées dans le Registre Parcellaire Graphique de ce dernier.</w:t>
            </w:r>
          </w:p>
          <w:p w:rsidR="0035701C" w:rsidRDefault="00FB561B">
            <w:pPr>
              <w:spacing w:before="240" w:after="240"/>
              <w:ind w:left="600"/>
              <w:jc w:val="left"/>
              <w:rPr>
                <w:szCs w:val="24"/>
              </w:rPr>
            </w:pPr>
            <w:r>
              <w:rPr>
                <w:szCs w:val="24"/>
              </w:rPr>
              <w:t xml:space="preserve">Le diagnostic, qui a été réalisé, constitue une pièce </w:t>
            </w:r>
            <w:r>
              <w:rPr>
                <w:szCs w:val="24"/>
              </w:rPr>
              <w:t>obligatoire du contrat MAEC, jointe au dossier de déclaration de surface.</w:t>
            </w:r>
          </w:p>
          <w:p w:rsidR="0035701C" w:rsidRDefault="00FB561B" w:rsidP="00FB561B">
            <w:pPr>
              <w:numPr>
                <w:ilvl w:val="0"/>
                <w:numId w:val="621"/>
              </w:numPr>
              <w:spacing w:before="240" w:after="0"/>
              <w:ind w:hanging="210"/>
              <w:jc w:val="left"/>
              <w:rPr>
                <w:szCs w:val="24"/>
              </w:rPr>
            </w:pPr>
            <w:r>
              <w:rPr>
                <w:szCs w:val="24"/>
              </w:rPr>
              <w:t xml:space="preserve">dans les opérations pour lesquelles il y a </w:t>
            </w:r>
            <w:r>
              <w:rPr>
                <w:b/>
                <w:bCs/>
                <w:szCs w:val="24"/>
              </w:rPr>
              <w:t>obligation d’enregistrer les interventions effectuées et les pratiques utilisées</w:t>
            </w:r>
            <w:r>
              <w:rPr>
                <w:szCs w:val="24"/>
              </w:rPr>
              <w:t>, l’agriculteur devra assurer ce travail dans un document n</w:t>
            </w:r>
            <w:r>
              <w:rPr>
                <w:szCs w:val="24"/>
              </w:rPr>
              <w:t>ormé prévu à cet effet qui lui sera remis à l’issue du diagnostic obligatoire. Ce cahier d’enregistrement des pratiques servira de base documentaire pour les contrôles sur place. A minima, l’enregistrement devra porter, pour chacune des parcelles engagées,</w:t>
            </w:r>
            <w:r>
              <w:rPr>
                <w:szCs w:val="24"/>
              </w:rPr>
              <w:t xml:space="preserve"> sur les points suivants : </w:t>
            </w:r>
          </w:p>
          <w:p w:rsidR="0035701C" w:rsidRDefault="00FB561B" w:rsidP="00FB561B">
            <w:pPr>
              <w:numPr>
                <w:ilvl w:val="1"/>
                <w:numId w:val="621"/>
              </w:numPr>
              <w:spacing w:before="0" w:after="0"/>
              <w:ind w:hanging="244"/>
              <w:jc w:val="left"/>
              <w:rPr>
                <w:szCs w:val="24"/>
              </w:rPr>
            </w:pPr>
            <w:r>
              <w:rPr>
                <w:szCs w:val="24"/>
              </w:rPr>
              <w:t>identification de l’élément engagé : n° de l’îlot, n° de parcelle (ou sous-îlot) telle que localisée sur le registre parcellaire graphique (RPG) de la déclaration des surfaces,</w:t>
            </w:r>
          </w:p>
          <w:p w:rsidR="0035701C" w:rsidRDefault="00FB561B" w:rsidP="00FB561B">
            <w:pPr>
              <w:numPr>
                <w:ilvl w:val="1"/>
                <w:numId w:val="621"/>
              </w:numPr>
              <w:spacing w:before="0" w:after="0"/>
              <w:ind w:hanging="244"/>
              <w:jc w:val="left"/>
              <w:rPr>
                <w:szCs w:val="24"/>
              </w:rPr>
            </w:pPr>
            <w:r>
              <w:rPr>
                <w:szCs w:val="24"/>
              </w:rPr>
              <w:t>code de l’opération (ou combinaison d’opérations)</w:t>
            </w:r>
          </w:p>
          <w:p w:rsidR="0035701C" w:rsidRDefault="00FB561B" w:rsidP="00FB561B">
            <w:pPr>
              <w:numPr>
                <w:ilvl w:val="1"/>
                <w:numId w:val="621"/>
              </w:numPr>
              <w:spacing w:before="0" w:after="0"/>
              <w:ind w:hanging="244"/>
              <w:jc w:val="left"/>
              <w:rPr>
                <w:szCs w:val="24"/>
              </w:rPr>
            </w:pPr>
            <w:r>
              <w:rPr>
                <w:szCs w:val="24"/>
              </w:rPr>
              <w:t>t</w:t>
            </w:r>
            <w:r>
              <w:rPr>
                <w:szCs w:val="24"/>
              </w:rPr>
              <w:t>ype d’intervention</w:t>
            </w:r>
          </w:p>
          <w:p w:rsidR="0035701C" w:rsidRDefault="00FB561B" w:rsidP="00FB561B">
            <w:pPr>
              <w:numPr>
                <w:ilvl w:val="1"/>
                <w:numId w:val="621"/>
              </w:numPr>
              <w:spacing w:before="0" w:after="0"/>
              <w:ind w:hanging="244"/>
              <w:jc w:val="left"/>
              <w:rPr>
                <w:szCs w:val="24"/>
              </w:rPr>
            </w:pPr>
            <w:r>
              <w:rPr>
                <w:szCs w:val="24"/>
              </w:rPr>
              <w:t>type de pratiques</w:t>
            </w:r>
          </w:p>
          <w:p w:rsidR="0035701C" w:rsidRDefault="00FB561B" w:rsidP="00FB561B">
            <w:pPr>
              <w:numPr>
                <w:ilvl w:val="1"/>
                <w:numId w:val="621"/>
              </w:numPr>
              <w:spacing w:before="0" w:after="0"/>
              <w:ind w:hanging="244"/>
              <w:jc w:val="left"/>
              <w:rPr>
                <w:szCs w:val="24"/>
              </w:rPr>
            </w:pPr>
            <w:r>
              <w:rPr>
                <w:szCs w:val="24"/>
              </w:rPr>
              <w:t>matériels utilisés</w:t>
            </w:r>
          </w:p>
          <w:p w:rsidR="0035701C" w:rsidRDefault="00FB561B" w:rsidP="00FB561B">
            <w:pPr>
              <w:numPr>
                <w:ilvl w:val="1"/>
                <w:numId w:val="621"/>
              </w:numPr>
              <w:spacing w:before="0" w:after="240"/>
              <w:ind w:hanging="244"/>
              <w:jc w:val="left"/>
              <w:rPr>
                <w:szCs w:val="24"/>
              </w:rPr>
            </w:pPr>
            <w:r>
              <w:rPr>
                <w:szCs w:val="24"/>
              </w:rPr>
              <w:t>dates</w:t>
            </w:r>
          </w:p>
          <w:p w:rsidR="0035701C" w:rsidRDefault="00FB561B" w:rsidP="00FB561B">
            <w:pPr>
              <w:numPr>
                <w:ilvl w:val="0"/>
                <w:numId w:val="622"/>
              </w:numPr>
              <w:spacing w:before="240" w:after="240"/>
              <w:ind w:hanging="210"/>
              <w:jc w:val="left"/>
              <w:rPr>
                <w:szCs w:val="24"/>
              </w:rPr>
            </w:pPr>
            <w:r>
              <w:rPr>
                <w:szCs w:val="24"/>
              </w:rPr>
              <w:t xml:space="preserve">dans les opérations pour lesquelles </w:t>
            </w:r>
            <w:r>
              <w:rPr>
                <w:b/>
                <w:bCs/>
                <w:szCs w:val="24"/>
              </w:rPr>
              <w:t>une irrigation dite « de soudure » est autorisée</w:t>
            </w:r>
            <w:r>
              <w:rPr>
                <w:szCs w:val="24"/>
              </w:rPr>
              <w:t xml:space="preserve">, celle-ci consiste à compenser un déficit en eau inhabituel et temporaire (fin d’été, début d’automne) pour </w:t>
            </w:r>
            <w:r>
              <w:rPr>
                <w:szCs w:val="24"/>
              </w:rPr>
              <w:t>assurer la survie de la prairie. Cette irrigation devra être limitée en quantité, de l’ordre de 1 500 m3/ha/an (une irrigation conventionnelle nécessite des apports équivalents à 8 000 m3/ha/an).</w:t>
            </w:r>
          </w:p>
          <w:p w:rsidR="0035701C" w:rsidRDefault="00FB561B">
            <w:pPr>
              <w:spacing w:before="240" w:after="240"/>
              <w:jc w:val="left"/>
              <w:rPr>
                <w:szCs w:val="24"/>
              </w:rPr>
            </w:pPr>
            <w:r>
              <w:rPr>
                <w:szCs w:val="24"/>
                <w:u w:val="single"/>
              </w:rPr>
              <w:t>Le bilan annuel pour les TO relatifs à l'enjeu EAU</w:t>
            </w:r>
          </w:p>
          <w:p w:rsidR="0035701C" w:rsidRDefault="00FB561B">
            <w:pPr>
              <w:spacing w:before="240" w:after="240"/>
              <w:ind w:left="600"/>
              <w:jc w:val="left"/>
              <w:rPr>
                <w:szCs w:val="24"/>
              </w:rPr>
            </w:pPr>
            <w:r>
              <w:rPr>
                <w:szCs w:val="24"/>
              </w:rPr>
              <w:t xml:space="preserve">Le bilan </w:t>
            </w:r>
            <w:r>
              <w:rPr>
                <w:szCs w:val="24"/>
              </w:rPr>
              <w:t>annuel a pour but de faire un "point d’évaluation" sur les parcelles engagées et éventuellement d'identifier les problèmes qui pourraient être rencontrés. Il est réalisé à partir du cahier de l’exploitant et permet :</w:t>
            </w:r>
          </w:p>
          <w:p w:rsidR="0035701C" w:rsidRDefault="00FB561B">
            <w:pPr>
              <w:spacing w:before="240" w:after="240"/>
              <w:ind w:left="600"/>
              <w:jc w:val="left"/>
              <w:rPr>
                <w:szCs w:val="24"/>
              </w:rPr>
            </w:pPr>
            <w:r>
              <w:rPr>
                <w:szCs w:val="24"/>
              </w:rPr>
              <w:t>• Soit d’évaluer la pertinence des opti</w:t>
            </w:r>
            <w:r>
              <w:rPr>
                <w:szCs w:val="24"/>
              </w:rPr>
              <w:t>ons techniques retenues pour réduire le recours aux produits phytosanitaires, et de comparer les performances obtenues sur les parcelles faisant l’objet d’une contractualisation et sur celles n’en faisant pas l’objet, afin de réfléchir à une éventuelle gén</w:t>
            </w:r>
            <w:r>
              <w:rPr>
                <w:szCs w:val="24"/>
              </w:rPr>
              <w:t>éralisation des pratiques correspondant aux engagements contractualisés à l’ensemble des parcelles de son exploitation potentiellement concernées ;</w:t>
            </w:r>
          </w:p>
          <w:p w:rsidR="0035701C" w:rsidRDefault="00FB561B">
            <w:pPr>
              <w:spacing w:before="240" w:after="240"/>
              <w:ind w:left="600"/>
              <w:jc w:val="left"/>
              <w:rPr>
                <w:szCs w:val="24"/>
              </w:rPr>
            </w:pPr>
            <w:r>
              <w:rPr>
                <w:szCs w:val="24"/>
              </w:rPr>
              <w:t>• Soit de s’assurer de l’atteinte des objectifs de résultats fixés dans le cadre de certains engagements uni</w:t>
            </w:r>
            <w:r>
              <w:rPr>
                <w:szCs w:val="24"/>
              </w:rPr>
              <w:t>taires (1) et de faire face aux difficultés éventuelles qu’il pourrait rencontrer dans la définition et la mise en œuvre d’une stratégie de protection des cultures permettant d’atteindre ces résultats, en s’appuyant sur les conseil d’un technicien compéten</w:t>
            </w:r>
            <w:r>
              <w:rPr>
                <w:szCs w:val="24"/>
              </w:rPr>
              <w:t>t ;</w:t>
            </w:r>
          </w:p>
          <w:p w:rsidR="0035701C" w:rsidRDefault="00FB561B">
            <w:pPr>
              <w:spacing w:before="240" w:after="240"/>
              <w:ind w:left="600"/>
              <w:jc w:val="left"/>
              <w:rPr>
                <w:szCs w:val="24"/>
              </w:rPr>
            </w:pPr>
            <w:r>
              <w:rPr>
                <w:szCs w:val="24"/>
              </w:rPr>
              <w:t>• Soit d’optimiser l’efficacité de la solution agronomique mise en œuvre pour répondre à certains engagements unitaires définissant des obligations de moyens (2), en aidant l’agriculteur à l’intégrer dans une stratégie globale de protection de ses cult</w:t>
            </w:r>
            <w:r>
              <w:rPr>
                <w:szCs w:val="24"/>
              </w:rPr>
              <w:t>ures (identification des économies de produits phytosanitaires permises notamment) ;</w:t>
            </w:r>
          </w:p>
          <w:p w:rsidR="0035701C" w:rsidRDefault="00FB561B">
            <w:pPr>
              <w:spacing w:before="240" w:after="240"/>
              <w:ind w:left="600"/>
              <w:jc w:val="left"/>
              <w:rPr>
                <w:szCs w:val="24"/>
              </w:rPr>
            </w:pPr>
            <w:r>
              <w:rPr>
                <w:szCs w:val="24"/>
              </w:rPr>
              <w:t>(1) Exemple : réduction d’azote (30%)</w:t>
            </w:r>
          </w:p>
          <w:p w:rsidR="0035701C" w:rsidRDefault="00FB561B">
            <w:pPr>
              <w:spacing w:before="240" w:after="240"/>
              <w:ind w:left="600"/>
              <w:jc w:val="left"/>
              <w:rPr>
                <w:szCs w:val="24"/>
              </w:rPr>
            </w:pPr>
            <w:r>
              <w:rPr>
                <w:szCs w:val="24"/>
              </w:rPr>
              <w:t>(2) Exemple : enherbement sous culture ligneuse pérenne, lutte biologique, mise en place du paillage biodégradable, piégeage massif c</w:t>
            </w:r>
            <w:r>
              <w:rPr>
                <w:szCs w:val="24"/>
              </w:rPr>
              <w:t>ontre la mouche méditerranéenne des fruits, …</w:t>
            </w:r>
          </w:p>
          <w:p w:rsidR="0035701C" w:rsidRDefault="00FB561B">
            <w:pPr>
              <w:spacing w:before="240" w:after="240"/>
              <w:ind w:left="600"/>
              <w:jc w:val="left"/>
              <w:rPr>
                <w:szCs w:val="24"/>
              </w:rPr>
            </w:pPr>
            <w:r>
              <w:rPr>
                <w:szCs w:val="24"/>
              </w:rPr>
              <w:t> Il est réalisé tous les ans par l’agriculteur durant 5 ans et 2 de ces 5 bilans doivent être faits en présence d'un technicien qualifié des organisations professionnelles agricoles ou de producteurs,(afin de f</w:t>
            </w:r>
            <w:r>
              <w:rPr>
                <w:szCs w:val="24"/>
              </w:rPr>
              <w:t>aciliter par la suite l’élaboration de ce bilan par l'exploitant). Le calcul comptabilise les 5 passages de l’agriculteur et les 2 du technicien</w:t>
            </w:r>
          </w:p>
          <w:p w:rsidR="0035701C" w:rsidRDefault="00FB561B">
            <w:pPr>
              <w:spacing w:before="240" w:after="240"/>
              <w:jc w:val="left"/>
              <w:rPr>
                <w:szCs w:val="24"/>
              </w:rPr>
            </w:pPr>
            <w:r>
              <w:rPr>
                <w:szCs w:val="24"/>
                <w:u w:val="single"/>
              </w:rPr>
              <w:t>Définition</w:t>
            </w:r>
          </w:p>
          <w:p w:rsidR="0035701C" w:rsidRDefault="00FB561B">
            <w:pPr>
              <w:spacing w:before="240" w:after="240"/>
              <w:jc w:val="left"/>
              <w:rPr>
                <w:szCs w:val="24"/>
              </w:rPr>
            </w:pPr>
            <w:r>
              <w:rPr>
                <w:szCs w:val="24"/>
              </w:rPr>
              <w:t xml:space="preserve">Le maraîchage est défini comme la succession d’au moins deux cultures annuelles sur une parcelle ou </w:t>
            </w:r>
            <w:r>
              <w:rPr>
                <w:szCs w:val="24"/>
              </w:rPr>
              <w:t>sous abris hauts. La culture légumière de plein champ correspond à une culture annuelle de légumes. Cette définition s’applique à l’ensemble des TO où ces catégories de couvert de culture sont mentionnées.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III – ARTICULATION ENTRE OPERATIONS</w:t>
            </w:r>
          </w:p>
          <w:p w:rsidR="0035701C" w:rsidRDefault="00FB561B">
            <w:pPr>
              <w:spacing w:before="240" w:after="240"/>
              <w:jc w:val="left"/>
              <w:rPr>
                <w:szCs w:val="24"/>
              </w:rPr>
            </w:pPr>
            <w:r>
              <w:rPr>
                <w:szCs w:val="24"/>
              </w:rPr>
              <w:t>De manière g</w:t>
            </w:r>
            <w:r>
              <w:rPr>
                <w:szCs w:val="24"/>
              </w:rPr>
              <w:t>énérale, plusieurs opérations peuvent être contractualisées sur une même exploitation agricole, voire sur une même parcelle. Cependant certaines combinaisons entre opérations sont interdites pour les trois raisons suivantes :</w:t>
            </w:r>
          </w:p>
          <w:p w:rsidR="0035701C" w:rsidRDefault="00FB561B" w:rsidP="00FB561B">
            <w:pPr>
              <w:numPr>
                <w:ilvl w:val="0"/>
                <w:numId w:val="623"/>
              </w:numPr>
              <w:spacing w:before="240" w:after="0"/>
              <w:ind w:hanging="210"/>
              <w:jc w:val="left"/>
              <w:rPr>
                <w:szCs w:val="24"/>
              </w:rPr>
            </w:pPr>
            <w:r>
              <w:rPr>
                <w:szCs w:val="24"/>
              </w:rPr>
              <w:t xml:space="preserve">il existe un risque de double </w:t>
            </w:r>
            <w:r>
              <w:rPr>
                <w:szCs w:val="24"/>
              </w:rPr>
              <w:t>financement d’une ou plusieurs pratiques agricoles,</w:t>
            </w:r>
          </w:p>
          <w:p w:rsidR="0035701C" w:rsidRDefault="00FB561B" w:rsidP="00FB561B">
            <w:pPr>
              <w:numPr>
                <w:ilvl w:val="0"/>
                <w:numId w:val="623"/>
              </w:numPr>
              <w:spacing w:before="0" w:after="0"/>
              <w:ind w:hanging="210"/>
              <w:jc w:val="left"/>
              <w:rPr>
                <w:szCs w:val="24"/>
              </w:rPr>
            </w:pPr>
            <w:r>
              <w:rPr>
                <w:szCs w:val="24"/>
              </w:rPr>
              <w:t>les mesures relèvent de couverts distincts,</w:t>
            </w:r>
          </w:p>
          <w:p w:rsidR="0035701C" w:rsidRDefault="00FB561B" w:rsidP="00FB561B">
            <w:pPr>
              <w:numPr>
                <w:ilvl w:val="0"/>
                <w:numId w:val="623"/>
              </w:numPr>
              <w:spacing w:before="0" w:after="240"/>
              <w:ind w:hanging="210"/>
              <w:jc w:val="left"/>
              <w:rPr>
                <w:szCs w:val="24"/>
              </w:rPr>
            </w:pPr>
            <w:r>
              <w:rPr>
                <w:szCs w:val="24"/>
              </w:rPr>
              <w:t>les mesures relèvent de systèmes agricoles distincts.</w:t>
            </w:r>
          </w:p>
          <w:p w:rsidR="0035701C" w:rsidRDefault="00FB561B">
            <w:pPr>
              <w:spacing w:before="240" w:after="240"/>
              <w:jc w:val="left"/>
              <w:rPr>
                <w:szCs w:val="24"/>
              </w:rPr>
            </w:pPr>
            <w:r>
              <w:rPr>
                <w:szCs w:val="24"/>
              </w:rPr>
              <w:t>Dans le respect de ces trois principes, les TABLEAUX 2 et 2 BIS ci-joints présentent les possibilités de c</w:t>
            </w:r>
            <w:r>
              <w:rPr>
                <w:szCs w:val="24"/>
              </w:rPr>
              <w:t>ombinaison entre opérations :</w:t>
            </w:r>
          </w:p>
          <w:p w:rsidR="0035701C" w:rsidRDefault="00FB561B" w:rsidP="00FB561B">
            <w:pPr>
              <w:numPr>
                <w:ilvl w:val="0"/>
                <w:numId w:val="624"/>
              </w:numPr>
              <w:spacing w:before="240" w:after="0"/>
              <w:ind w:hanging="244"/>
              <w:jc w:val="left"/>
              <w:rPr>
                <w:szCs w:val="24"/>
              </w:rPr>
            </w:pPr>
            <w:r>
              <w:rPr>
                <w:szCs w:val="24"/>
              </w:rPr>
              <w:t>le TABLEAU 2 présente les combinaisons possibles sur les milieux peu artificialisés du type prairies, parcours, prébois, canaux, ripisylve et ZAL, utilisés par les activités d’élevage</w:t>
            </w:r>
          </w:p>
          <w:p w:rsidR="0035701C" w:rsidRDefault="00FB561B" w:rsidP="00FB561B">
            <w:pPr>
              <w:numPr>
                <w:ilvl w:val="0"/>
                <w:numId w:val="624"/>
              </w:numPr>
              <w:spacing w:before="0" w:after="240"/>
              <w:ind w:hanging="244"/>
              <w:jc w:val="left"/>
              <w:rPr>
                <w:szCs w:val="24"/>
              </w:rPr>
            </w:pPr>
            <w:r>
              <w:rPr>
                <w:szCs w:val="24"/>
              </w:rPr>
              <w:t>le TABLEAU 2 BIS présente les combinaisons</w:t>
            </w:r>
            <w:r>
              <w:rPr>
                <w:szCs w:val="24"/>
              </w:rPr>
              <w:t xml:space="preserve"> possibles sur les couverts artificialisés relatifs à l’enjeu « EAU » que sont l’arboriculture, la viticulture, le maraîchage et les grandes cultures</w:t>
            </w:r>
          </w:p>
          <w:p w:rsidR="0035701C" w:rsidRDefault="00FB561B">
            <w:pPr>
              <w:spacing w:before="240" w:after="240"/>
              <w:jc w:val="left"/>
              <w:rPr>
                <w:szCs w:val="24"/>
              </w:rPr>
            </w:pPr>
            <w:r>
              <w:rPr>
                <w:szCs w:val="24"/>
              </w:rPr>
              <w:t>Enfin, les opérations pour la conservation de la biodiversité génétique (PRM et API) qui ne sont pas ratta</w:t>
            </w:r>
            <w:r>
              <w:rPr>
                <w:szCs w:val="24"/>
              </w:rPr>
              <w:t>chées à des parcelles identifiées et ne rémunèrent pas les mêmes engagements que ceux relevant des opérations à caractère surfacique, sont cumulables sur une même exploitation avec ces dernières.</w:t>
            </w:r>
          </w:p>
          <w:p w:rsidR="0035701C" w:rsidRDefault="00FB561B">
            <w:pPr>
              <w:spacing w:before="240" w:after="240"/>
              <w:jc w:val="left"/>
              <w:rPr>
                <w:szCs w:val="24"/>
              </w:rPr>
            </w:pPr>
            <w:r>
              <w:rPr>
                <w:szCs w:val="24"/>
              </w:rPr>
              <w:t>En cas de combinaison d'opérations sur une même parcelle, l’</w:t>
            </w:r>
            <w:r>
              <w:rPr>
                <w:szCs w:val="24"/>
              </w:rPr>
              <w:t>aide doit être limitée au maximum fixé dans l’annexe 2 du Règlement (UE) n°1305/2013 :</w:t>
            </w:r>
          </w:p>
          <w:p w:rsidR="0035701C" w:rsidRDefault="00FB561B" w:rsidP="00FB561B">
            <w:pPr>
              <w:numPr>
                <w:ilvl w:val="0"/>
                <w:numId w:val="625"/>
              </w:numPr>
              <w:spacing w:before="240" w:after="0"/>
              <w:ind w:hanging="210"/>
              <w:jc w:val="left"/>
              <w:rPr>
                <w:szCs w:val="24"/>
              </w:rPr>
            </w:pPr>
            <w:r>
              <w:rPr>
                <w:szCs w:val="24"/>
              </w:rPr>
              <w:t>Cultures annuelles : 600 euros/ha</w:t>
            </w:r>
          </w:p>
          <w:p w:rsidR="0035701C" w:rsidRDefault="00FB561B" w:rsidP="00FB561B">
            <w:pPr>
              <w:numPr>
                <w:ilvl w:val="0"/>
                <w:numId w:val="625"/>
              </w:numPr>
              <w:spacing w:before="0" w:after="0"/>
              <w:ind w:hanging="210"/>
              <w:jc w:val="left"/>
              <w:rPr>
                <w:szCs w:val="24"/>
              </w:rPr>
            </w:pPr>
            <w:r>
              <w:rPr>
                <w:szCs w:val="24"/>
              </w:rPr>
              <w:t>Cultures pérennes spécialisées : 900 euros/ha</w:t>
            </w:r>
          </w:p>
          <w:p w:rsidR="0035701C" w:rsidRDefault="00FB561B" w:rsidP="00FB561B">
            <w:pPr>
              <w:numPr>
                <w:ilvl w:val="0"/>
                <w:numId w:val="625"/>
              </w:numPr>
              <w:spacing w:before="0" w:after="0"/>
              <w:ind w:hanging="210"/>
              <w:jc w:val="left"/>
              <w:rPr>
                <w:szCs w:val="24"/>
              </w:rPr>
            </w:pPr>
            <w:r>
              <w:rPr>
                <w:szCs w:val="24"/>
              </w:rPr>
              <w:t>Autres utilisations de terres : 450 euros/ha</w:t>
            </w:r>
          </w:p>
          <w:p w:rsidR="0035701C" w:rsidRDefault="00FB561B" w:rsidP="00FB561B">
            <w:pPr>
              <w:numPr>
                <w:ilvl w:val="0"/>
                <w:numId w:val="625"/>
              </w:numPr>
              <w:spacing w:before="0" w:after="240"/>
              <w:ind w:hanging="210"/>
              <w:jc w:val="left"/>
              <w:rPr>
                <w:szCs w:val="24"/>
              </w:rPr>
            </w:pPr>
            <w:r>
              <w:rPr>
                <w:szCs w:val="24"/>
              </w:rPr>
              <w:t xml:space="preserve">Races locales menacées d’abandon : 200 </w:t>
            </w:r>
            <w:r>
              <w:rPr>
                <w:szCs w:val="24"/>
              </w:rPr>
              <w:t>euros/UGB*</w:t>
            </w:r>
          </w:p>
          <w:p w:rsidR="0035701C" w:rsidRDefault="00FB561B">
            <w:pPr>
              <w:spacing w:before="240" w:after="240"/>
              <w:jc w:val="left"/>
              <w:rPr>
                <w:szCs w:val="24"/>
              </w:rPr>
            </w:pPr>
            <w:r>
              <w:rPr>
                <w:szCs w:val="24"/>
                <w:u w:val="single"/>
              </w:rPr>
              <w:t xml:space="preserve">Cas spécifiques </w:t>
            </w:r>
          </w:p>
          <w:p w:rsidR="0035701C" w:rsidRDefault="00FB561B">
            <w:pPr>
              <w:spacing w:before="240" w:after="240"/>
              <w:jc w:val="left"/>
              <w:rPr>
                <w:szCs w:val="24"/>
              </w:rPr>
            </w:pPr>
            <w:r>
              <w:rPr>
                <w:szCs w:val="24"/>
              </w:rPr>
              <w:t>Les combinaisons des opérations en lutte biologique sont possibles si le couvert ciblé permet la mise en œuvre de ces opérations.</w:t>
            </w:r>
          </w:p>
          <w:p w:rsidR="0035701C" w:rsidRDefault="00FB561B">
            <w:pPr>
              <w:spacing w:before="240" w:after="240"/>
              <w:jc w:val="left"/>
              <w:rPr>
                <w:szCs w:val="24"/>
              </w:rPr>
            </w:pPr>
            <w:r>
              <w:rPr>
                <w:szCs w:val="24"/>
              </w:rPr>
              <w:t>La lutte biologique contre le pou rouge de Californie et la cochenille asiatique est mise en place</w:t>
            </w:r>
            <w:r>
              <w:rPr>
                <w:szCs w:val="24"/>
              </w:rPr>
              <w:t xml:space="preserve"> uniquement sur agrumes. Ces deux opérations peuvent être cumulées sur une même parcelle car elles ciblent le même couvert végétal et des ravageurs différents. La lutte par des auxiliaires différents n’influence en rien les résultats d’efficacité. Il faudr</w:t>
            </w:r>
            <w:r>
              <w:rPr>
                <w:szCs w:val="24"/>
              </w:rPr>
              <w:t>a néanmoins s’assurer, lors du diagnostic d’exploitation, que les parcelles ne connaissent pas d’infestation d’autres cochenilles. En effet, le traitement utilisé pour lutter contre ces autres cochenilles nuirait aux auxiliaires de lutte et la mise en plac</w:t>
            </w:r>
            <w:r>
              <w:rPr>
                <w:szCs w:val="24"/>
              </w:rPr>
              <w:t>e de ces opérations ne serait donc pas possible.</w:t>
            </w:r>
          </w:p>
          <w:p w:rsidR="0035701C" w:rsidRDefault="00FB561B">
            <w:pPr>
              <w:spacing w:before="240" w:after="240"/>
              <w:jc w:val="left"/>
              <w:rPr>
                <w:szCs w:val="24"/>
              </w:rPr>
            </w:pPr>
            <w:r>
              <w:rPr>
                <w:szCs w:val="24"/>
              </w:rPr>
              <w:t>Ces opérations de lutte biologique peuvent être couplées avec le piégeage massif contre la mouche méditerranéenne sans que l’efficacité de la lutte ne soit altérée.</w:t>
            </w:r>
          </w:p>
          <w:p w:rsidR="0035701C" w:rsidRDefault="00FB561B">
            <w:pPr>
              <w:spacing w:before="240" w:after="240"/>
              <w:jc w:val="left"/>
              <w:rPr>
                <w:szCs w:val="24"/>
              </w:rPr>
            </w:pPr>
            <w:r>
              <w:rPr>
                <w:szCs w:val="24"/>
              </w:rPr>
              <w:t xml:space="preserve">Les opérations de désherbage mécanique au </w:t>
            </w:r>
            <w:r>
              <w:rPr>
                <w:szCs w:val="24"/>
              </w:rPr>
              <w:t>niveau de l’inter-rang et d’enherbement au niveau de l’inter-rang en viticulture peuvent être couplées. En effet, afin de ne pas perturber l’équilibre du vignoble et de limiter l’utilisation d’herbicides au niveau des inter-rangs, l’exploitant peut souscri</w:t>
            </w:r>
            <w:r>
              <w:rPr>
                <w:szCs w:val="24"/>
              </w:rPr>
              <w:t xml:space="preserve">re ces deux opérations en appliquant un coefficient d’étalement. Cela permettra d’une part de ne pas perturber cet équilibre en évitant un stress hydrique et/ou azoté (avec un couvert herbacé implanté trop important) et d’autre part de limiter les risques </w:t>
            </w:r>
            <w:r>
              <w:rPr>
                <w:szCs w:val="24"/>
              </w:rPr>
              <w:t>d’érosion et de lessivage en détruisant la croûte de battance, en améliorant la porosité du sol et en limitant les pertes en eau et le ruissellement.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IV – PRIORITES DES OPERATIONS</w:t>
            </w:r>
          </w:p>
          <w:p w:rsidR="0035701C" w:rsidRDefault="00FB561B">
            <w:pPr>
              <w:spacing w:before="240" w:after="240"/>
              <w:jc w:val="left"/>
              <w:rPr>
                <w:szCs w:val="24"/>
              </w:rPr>
            </w:pPr>
            <w:r>
              <w:rPr>
                <w:szCs w:val="24"/>
              </w:rPr>
              <w:t>La mesure 10 est ciblée sur la priorité 4 : restaurer, préserver et renfor</w:t>
            </w:r>
            <w:r>
              <w:rPr>
                <w:szCs w:val="24"/>
              </w:rPr>
              <w:t>cer les écosystèmes liés à l'agriculture et à la foresterie, en mettant l'accent sur les domaines suivants :</w:t>
            </w:r>
          </w:p>
          <w:p w:rsidR="0035701C" w:rsidRDefault="00FB561B" w:rsidP="00FB561B">
            <w:pPr>
              <w:numPr>
                <w:ilvl w:val="0"/>
                <w:numId w:val="626"/>
              </w:numPr>
              <w:spacing w:before="240" w:after="0"/>
              <w:ind w:hanging="210"/>
              <w:jc w:val="left"/>
              <w:rPr>
                <w:szCs w:val="24"/>
              </w:rPr>
            </w:pPr>
            <w:r>
              <w:rPr>
                <w:szCs w:val="24"/>
              </w:rPr>
              <w:t xml:space="preserve">4a) restaurer, préserver et renforcer la biodiversité (y compris dans les zones relevant de Natura 2000, dans les zones soumises à des contraintes </w:t>
            </w:r>
            <w:r>
              <w:rPr>
                <w:szCs w:val="24"/>
              </w:rPr>
              <w:t>naturelles ou à d'autres contraintes spécifiques,)  les zones agricoles à haute valeur naturelle, ainsi que les paysages européens;</w:t>
            </w:r>
          </w:p>
          <w:p w:rsidR="0035701C" w:rsidRDefault="00FB561B" w:rsidP="00FB561B">
            <w:pPr>
              <w:numPr>
                <w:ilvl w:val="0"/>
                <w:numId w:val="626"/>
              </w:numPr>
              <w:spacing w:before="0" w:after="0"/>
              <w:ind w:hanging="210"/>
              <w:jc w:val="left"/>
              <w:rPr>
                <w:szCs w:val="24"/>
              </w:rPr>
            </w:pPr>
            <w:r>
              <w:rPr>
                <w:szCs w:val="24"/>
              </w:rPr>
              <w:t>4b) améliorer la gestion de l'eau, y compris la gestion des engrais et des pesticides;</w:t>
            </w:r>
          </w:p>
          <w:p w:rsidR="0035701C" w:rsidRDefault="00FB561B" w:rsidP="00FB561B">
            <w:pPr>
              <w:numPr>
                <w:ilvl w:val="0"/>
                <w:numId w:val="626"/>
              </w:numPr>
              <w:spacing w:before="0" w:after="240"/>
              <w:ind w:hanging="210"/>
              <w:jc w:val="left"/>
              <w:rPr>
                <w:szCs w:val="24"/>
              </w:rPr>
            </w:pPr>
            <w:r>
              <w:rPr>
                <w:szCs w:val="24"/>
              </w:rPr>
              <w:t xml:space="preserve">4c) prévenir l'érosion des sols et </w:t>
            </w:r>
            <w:r>
              <w:rPr>
                <w:szCs w:val="24"/>
              </w:rPr>
              <w:t>améliorer la gestion des sols.</w:t>
            </w:r>
          </w:p>
          <w:p w:rsidR="0035701C" w:rsidRDefault="00FB561B">
            <w:pPr>
              <w:spacing w:before="240" w:after="240"/>
              <w:jc w:val="left"/>
              <w:rPr>
                <w:szCs w:val="24"/>
              </w:rPr>
            </w:pPr>
            <w:r>
              <w:rPr>
                <w:szCs w:val="24"/>
              </w:rPr>
              <w:t xml:space="preserve">L'adéquation des différentes opérations agroenvironnementales et climatiques proposées dans le présent cadre régional Corse, aux priorités et domaines prioritaires (DP) du développement rural est résumée dans le TABLEAU 3 et </w:t>
            </w:r>
            <w:r>
              <w:rPr>
                <w:szCs w:val="24"/>
              </w:rPr>
              <w:t>3 bis ci-joints.</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5760278" cy="8280400"/>
                  <wp:effectExtent l="0" t="0" r="0" b="0"/>
                  <wp:docPr id="100098" name="Image 100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
                          <pic:cNvPicPr>
                            <a:picLocks noChangeAspect="1"/>
                          </pic:cNvPicPr>
                        </pic:nvPicPr>
                        <pic:blipFill>
                          <a:blip r:embed="rId61"/>
                          <a:stretch>
                            <a:fillRect/>
                          </a:stretch>
                        </pic:blipFill>
                        <pic:spPr>
                          <a:xfrm>
                            <a:off x="0" y="0"/>
                            <a:ext cx="5760278" cy="8280400"/>
                          </a:xfrm>
                          <a:prstGeom prst="rect">
                            <a:avLst/>
                          </a:prstGeom>
                        </pic:spPr>
                      </pic:pic>
                    </a:graphicData>
                  </a:graphic>
                </wp:inline>
              </w:drawing>
            </w:r>
          </w:p>
          <w:p w:rsidR="0035701C" w:rsidRDefault="00FB561B">
            <w:pPr>
              <w:pStyle w:val="Pieddepage"/>
              <w:jc w:val="center"/>
            </w:pPr>
            <w:r>
              <w:t>TABLEAU 1</w:t>
            </w:r>
          </w:p>
          <w:p w:rsidR="0035701C" w:rsidRDefault="00FB561B">
            <w:pPr>
              <w:pStyle w:val="Pieddepage"/>
              <w:jc w:val="center"/>
            </w:pPr>
            <w:r>
              <w:rPr>
                <w:noProof/>
                <w:lang w:val="fr-FR" w:eastAsia="fr-FR"/>
              </w:rPr>
              <w:drawing>
                <wp:inline distT="0" distB="0" distL="0" distR="0">
                  <wp:extent cx="5687711" cy="8280400"/>
                  <wp:effectExtent l="0" t="0" r="0" b="0"/>
                  <wp:docPr id="100100" name="Image 100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
                          <pic:cNvPicPr>
                            <a:picLocks noChangeAspect="1"/>
                          </pic:cNvPicPr>
                        </pic:nvPicPr>
                        <pic:blipFill>
                          <a:blip r:embed="rId62"/>
                          <a:stretch>
                            <a:fillRect/>
                          </a:stretch>
                        </pic:blipFill>
                        <pic:spPr>
                          <a:xfrm>
                            <a:off x="0" y="0"/>
                            <a:ext cx="5687711" cy="8280400"/>
                          </a:xfrm>
                          <a:prstGeom prst="rect">
                            <a:avLst/>
                          </a:prstGeom>
                        </pic:spPr>
                      </pic:pic>
                    </a:graphicData>
                  </a:graphic>
                </wp:inline>
              </w:drawing>
            </w:r>
          </w:p>
          <w:p w:rsidR="0035701C" w:rsidRDefault="00FB561B">
            <w:pPr>
              <w:pStyle w:val="Pieddepage"/>
              <w:jc w:val="center"/>
            </w:pPr>
            <w:r>
              <w:t>TABLEAU 1 bis</w:t>
            </w:r>
          </w:p>
          <w:p w:rsidR="0035701C" w:rsidRDefault="00FB561B">
            <w:pPr>
              <w:pStyle w:val="Pieddepage"/>
            </w:pPr>
            <w:r>
              <w:rPr>
                <w:noProof/>
                <w:lang w:val="fr-FR" w:eastAsia="fr-FR"/>
              </w:rPr>
              <w:drawing>
                <wp:inline distT="0" distB="0" distL="0" distR="0">
                  <wp:extent cx="6629400" cy="4516220"/>
                  <wp:effectExtent l="0" t="0" r="0" b="0"/>
                  <wp:docPr id="100102" name="Image 100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
                          <pic:cNvPicPr>
                            <a:picLocks noChangeAspect="1"/>
                          </pic:cNvPicPr>
                        </pic:nvPicPr>
                        <pic:blipFill>
                          <a:blip r:embed="rId63"/>
                          <a:stretch>
                            <a:fillRect/>
                          </a:stretch>
                        </pic:blipFill>
                        <pic:spPr>
                          <a:xfrm>
                            <a:off x="0" y="0"/>
                            <a:ext cx="6629400" cy="4516220"/>
                          </a:xfrm>
                          <a:prstGeom prst="rect">
                            <a:avLst/>
                          </a:prstGeom>
                        </pic:spPr>
                      </pic:pic>
                    </a:graphicData>
                  </a:graphic>
                </wp:inline>
              </w:drawing>
            </w:r>
          </w:p>
          <w:p w:rsidR="0035701C" w:rsidRDefault="00FB561B">
            <w:pPr>
              <w:pStyle w:val="Pieddepage"/>
              <w:jc w:val="center"/>
            </w:pPr>
            <w:r>
              <w:t>TABLEAU 2</w:t>
            </w:r>
          </w:p>
          <w:p w:rsidR="0035701C" w:rsidRDefault="00FB561B">
            <w:pPr>
              <w:pStyle w:val="Pieddepage"/>
              <w:jc w:val="center"/>
            </w:pPr>
            <w:r>
              <w:rPr>
                <w:noProof/>
                <w:lang w:val="fr-FR" w:eastAsia="fr-FR"/>
              </w:rPr>
              <w:drawing>
                <wp:inline distT="0" distB="0" distL="0" distR="0">
                  <wp:extent cx="5892158" cy="8280400"/>
                  <wp:effectExtent l="0" t="0" r="0" b="0"/>
                  <wp:docPr id="100104" name="Image 100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
                          <pic:cNvPicPr>
                            <a:picLocks noChangeAspect="1"/>
                          </pic:cNvPicPr>
                        </pic:nvPicPr>
                        <pic:blipFill>
                          <a:blip r:embed="rId64"/>
                          <a:stretch>
                            <a:fillRect/>
                          </a:stretch>
                        </pic:blipFill>
                        <pic:spPr>
                          <a:xfrm>
                            <a:off x="0" y="0"/>
                            <a:ext cx="5892158" cy="8280400"/>
                          </a:xfrm>
                          <a:prstGeom prst="rect">
                            <a:avLst/>
                          </a:prstGeom>
                        </pic:spPr>
                      </pic:pic>
                    </a:graphicData>
                  </a:graphic>
                </wp:inline>
              </w:drawing>
            </w:r>
          </w:p>
          <w:p w:rsidR="0035701C" w:rsidRDefault="00FB561B">
            <w:pPr>
              <w:pStyle w:val="Pieddepage"/>
              <w:jc w:val="center"/>
            </w:pPr>
            <w:r>
              <w:t>TABLEAU 3</w:t>
            </w:r>
          </w:p>
          <w:p w:rsidR="0035701C" w:rsidRDefault="00FB561B">
            <w:pPr>
              <w:pStyle w:val="Pieddepage"/>
              <w:jc w:val="center"/>
            </w:pPr>
            <w:r>
              <w:rPr>
                <w:noProof/>
                <w:lang w:val="fr-FR" w:eastAsia="fr-FR"/>
              </w:rPr>
              <w:drawing>
                <wp:inline distT="0" distB="0" distL="0" distR="0">
                  <wp:extent cx="5688567" cy="8280400"/>
                  <wp:effectExtent l="0" t="0" r="0" b="0"/>
                  <wp:docPr id="100106" name="Image 100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
                          <pic:cNvPicPr>
                            <a:picLocks noChangeAspect="1"/>
                          </pic:cNvPicPr>
                        </pic:nvPicPr>
                        <pic:blipFill>
                          <a:blip r:embed="rId65"/>
                          <a:stretch>
                            <a:fillRect/>
                          </a:stretch>
                        </pic:blipFill>
                        <pic:spPr>
                          <a:xfrm>
                            <a:off x="0" y="0"/>
                            <a:ext cx="5688567" cy="8280400"/>
                          </a:xfrm>
                          <a:prstGeom prst="rect">
                            <a:avLst/>
                          </a:prstGeom>
                        </pic:spPr>
                      </pic:pic>
                    </a:graphicData>
                  </a:graphic>
                </wp:inline>
              </w:drawing>
            </w:r>
          </w:p>
          <w:p w:rsidR="0035701C" w:rsidRDefault="00FB561B">
            <w:pPr>
              <w:pStyle w:val="Pieddepage"/>
              <w:jc w:val="center"/>
            </w:pPr>
            <w:r>
              <w:t>TABLEAU 3 bis</w:t>
            </w:r>
          </w:p>
          <w:p w:rsidR="0035701C" w:rsidRDefault="00FB561B">
            <w:pPr>
              <w:pStyle w:val="Pieddepage"/>
            </w:pPr>
            <w:r>
              <w:rPr>
                <w:noProof/>
                <w:lang w:val="fr-FR" w:eastAsia="fr-FR"/>
              </w:rPr>
              <w:drawing>
                <wp:inline distT="0" distB="0" distL="0" distR="0">
                  <wp:extent cx="6629400" cy="4200525"/>
                  <wp:effectExtent l="0" t="0" r="0" b="0"/>
                  <wp:docPr id="100108" name="Image 100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
                          <pic:cNvPicPr>
                            <a:picLocks noChangeAspect="1"/>
                          </pic:cNvPicPr>
                        </pic:nvPicPr>
                        <pic:blipFill>
                          <a:blip r:embed="rId66"/>
                          <a:stretch>
                            <a:fillRect/>
                          </a:stretch>
                        </pic:blipFill>
                        <pic:spPr>
                          <a:xfrm>
                            <a:off x="0" y="0"/>
                            <a:ext cx="6629400" cy="4200525"/>
                          </a:xfrm>
                          <a:prstGeom prst="rect">
                            <a:avLst/>
                          </a:prstGeom>
                        </pic:spPr>
                      </pic:pic>
                    </a:graphicData>
                  </a:graphic>
                </wp:inline>
              </w:drawing>
            </w:r>
          </w:p>
          <w:p w:rsidR="0035701C" w:rsidRDefault="00FB561B">
            <w:pPr>
              <w:pStyle w:val="Pieddepage"/>
              <w:jc w:val="center"/>
            </w:pPr>
            <w:r>
              <w:t>TABLEAU 2 bis</w:t>
            </w:r>
          </w:p>
          <w:p w:rsidR="0035701C" w:rsidRDefault="0035701C">
            <w:pPr>
              <w:pStyle w:val="Pieddepage"/>
              <w:jc w:val="center"/>
            </w:pPr>
          </w:p>
        </w:tc>
      </w:tr>
    </w:tbl>
    <w:p w:rsidR="0035701C" w:rsidRDefault="00FB561B">
      <w:pPr>
        <w:pStyle w:val="Titre4"/>
        <w:jc w:val="left"/>
      </w:pPr>
      <w:r>
        <w:t xml:space="preserve">Portée, niveau du soutien, bénéficiaires admissibles et, le cas échéant, méthodologie pour le calcul du montant ou du taux d'aide selon une ventilation </w:t>
      </w:r>
      <w:r>
        <w:t>par sous-mesure et/ou type d'opération, si nécessaire. Pour chaque type d'opération, spécification des coûts admissibles, des conditions d'admissibilité, des montants et taux d'aide applicables et des principes en matière de définition des critères de séle</w:t>
      </w:r>
      <w:r>
        <w:t>ction</w:t>
      </w:r>
    </w:p>
    <w:p w:rsidR="0035701C" w:rsidRDefault="00FB561B">
      <w:pPr>
        <w:pStyle w:val="Titre5"/>
        <w:rPr>
          <w:b w:val="0"/>
        </w:rPr>
      </w:pPr>
      <w:r>
        <w:rPr>
          <w:b w:val="0"/>
        </w:rPr>
        <w:t>-03- Prairie_1</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627"/>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 titre complet : PRAIRIE_1 =  Lutte contre la pression des adventices sur les prairies naturelles et </w:t>
            </w:r>
            <w:r>
              <w:rPr>
                <w:b/>
                <w:bCs/>
                <w:szCs w:val="24"/>
              </w:rPr>
              <w:t>temporaires</w:t>
            </w:r>
          </w:p>
          <w:p w:rsidR="0035701C" w:rsidRDefault="00FB561B">
            <w:pPr>
              <w:spacing w:before="240" w:after="240"/>
              <w:jc w:val="left"/>
              <w:rPr>
                <w:szCs w:val="24"/>
              </w:rPr>
            </w:pPr>
            <w:r>
              <w:rPr>
                <w:szCs w:val="24"/>
              </w:rPr>
              <w:t>Les prairies, outre l’alimentation du bétail, sont un élément essentiel du paysage d’une région et jouent un rôle fondamental en termes de qualité des eaux superficielles et souterraines. De manière à préserver ces milieux pour qu’ils répondent</w:t>
            </w:r>
            <w:r>
              <w:rPr>
                <w:szCs w:val="24"/>
              </w:rPr>
              <w:t xml:space="preserve"> au mieux à des objectifs paysagers et de maintien de la biodiversité, leur entretien et leur gestion doivent être réalisés dans un esprit de contrôle des adventices tout en limitant le recours aux engrais et en excluant l’utilisation de produits phytosani</w:t>
            </w:r>
            <w:r>
              <w:rPr>
                <w:szCs w:val="24"/>
              </w:rPr>
              <w:t>taires. Le chargement en bétail devra être maîtrisé ; un chargement trop élevé pouvant, par le piétinement et la surconsommation, provoquer la disparition d’espèces végétales fragiles.</w:t>
            </w:r>
          </w:p>
          <w:p w:rsidR="0035701C" w:rsidRDefault="00FB561B">
            <w:pPr>
              <w:spacing w:before="240" w:after="240"/>
              <w:jc w:val="left"/>
              <w:rPr>
                <w:szCs w:val="24"/>
              </w:rPr>
            </w:pPr>
            <w:r>
              <w:rPr>
                <w:szCs w:val="24"/>
              </w:rPr>
              <w:t>La plupart du temps, en Corse, la gestion extensive des prairies nature</w:t>
            </w:r>
            <w:r>
              <w:rPr>
                <w:szCs w:val="24"/>
              </w:rPr>
              <w:t>lles et artificielles pérennes non irriguées de manière conventionnelle, caractérisée par un contrôle empirique du chargement et un niveau de fertilisation faible à nul, favorise le développement d’espèces indésirables. En effet, certaines adventices prése</w:t>
            </w:r>
            <w:r>
              <w:rPr>
                <w:szCs w:val="24"/>
              </w:rPr>
              <w:t>ntes sous le climat méditerranéen, telles que l’asphodèle, la fougère aigle, l’inule visqueuse, les ronces, les chardons,…ne peuvent être maîtrisées par un seul traitement mécanique par an associé au pâturage. L’engagement proposé définit les règles à resp</w:t>
            </w:r>
            <w:r>
              <w:rPr>
                <w:szCs w:val="24"/>
              </w:rPr>
              <w:t>ecter pour favoriser l’évolution des pratiques extensives habituelles vers des systèmes plus rationnels en termes d’entretien.</w:t>
            </w:r>
          </w:p>
          <w:p w:rsidR="0035701C" w:rsidRDefault="00FB561B">
            <w:pPr>
              <w:spacing w:before="240" w:after="240"/>
              <w:jc w:val="left"/>
              <w:rPr>
                <w:szCs w:val="24"/>
              </w:rPr>
            </w:pPr>
            <w:r>
              <w:rPr>
                <w:szCs w:val="24"/>
              </w:rPr>
              <w:t>Cette opération qui a déjà été proposée dans le cadre de la programmation précédente (2007-2013) est maintenue. Très bien accueil</w:t>
            </w:r>
            <w:r>
              <w:rPr>
                <w:szCs w:val="24"/>
              </w:rPr>
              <w:t xml:space="preserve">lie par les éleveurs, elle a été particulièrement favorable pour limiter l’envahissement de l’espace prairial par des espèces indésirables (adventices). Ainsi, cette opération a eu pour effet de favoriser le développement d’espèces herbacées intéressantes </w:t>
            </w:r>
            <w:r>
              <w:rPr>
                <w:szCs w:val="24"/>
              </w:rPr>
              <w:t>d’un point de vue agronomique et écologique, de maintenir les prairies en bon état de conservation et d’obtenir un couvert à flore diversifiée. A ce propos, l’agriculteur aura la possibilité de réaliser un rééquilibrage de la flore prairiale pour en amélio</w:t>
            </w:r>
            <w:r>
              <w:rPr>
                <w:szCs w:val="24"/>
              </w:rPr>
              <w:t>rer la qualité fourragère si besoin, mais uniquement avec des espèces pérennes d’origine méditerranéenne adaptées aux conditions pédo-climatiques de l’île, et en utilisant des techniques culturales simplifiées (semis direct, sursemis) afin de préserver les</w:t>
            </w:r>
            <w:r>
              <w:rPr>
                <w:szCs w:val="24"/>
              </w:rPr>
              <w:t xml:space="preserve"> sols.</w:t>
            </w:r>
          </w:p>
          <w:p w:rsidR="0035701C" w:rsidRDefault="00FB561B">
            <w:pPr>
              <w:spacing w:before="240" w:after="240"/>
              <w:jc w:val="left"/>
              <w:rPr>
                <w:szCs w:val="24"/>
              </w:rPr>
            </w:pPr>
            <w:r>
              <w:rPr>
                <w:szCs w:val="24"/>
              </w:rPr>
              <w:t>Une fertilisation NPK est autorisée de l’ordre de 60 Unités/ha/an.</w:t>
            </w:r>
          </w:p>
          <w:p w:rsidR="0035701C" w:rsidRDefault="00FB561B">
            <w:pPr>
              <w:spacing w:before="240" w:after="240"/>
              <w:jc w:val="left"/>
              <w:rPr>
                <w:szCs w:val="24"/>
              </w:rPr>
            </w:pPr>
            <w:r>
              <w:rPr>
                <w:b/>
                <w:bCs/>
                <w:i/>
                <w:iCs/>
                <w:szCs w:val="24"/>
              </w:rPr>
              <w:t xml:space="preserve">Cahier des charges : </w:t>
            </w:r>
          </w:p>
          <w:p w:rsidR="0035701C" w:rsidRDefault="00FB561B" w:rsidP="00FB561B">
            <w:pPr>
              <w:numPr>
                <w:ilvl w:val="0"/>
                <w:numId w:val="628"/>
              </w:numPr>
              <w:spacing w:before="240" w:after="0"/>
              <w:ind w:hanging="210"/>
              <w:jc w:val="left"/>
              <w:rPr>
                <w:szCs w:val="24"/>
              </w:rPr>
            </w:pPr>
            <w:r>
              <w:rPr>
                <w:szCs w:val="24"/>
              </w:rPr>
              <w:t xml:space="preserve">l’agriculteur doit réaliser 2 broyages et/ou fauches des refus dans l’année, selon un calendrier précisé lors du diagnostic préalable en rapport avec la nature </w:t>
            </w:r>
            <w:r>
              <w:rPr>
                <w:szCs w:val="24"/>
              </w:rPr>
              <w:t>de l’espèce indésirable dominante,</w:t>
            </w:r>
          </w:p>
          <w:p w:rsidR="0035701C" w:rsidRDefault="00FB561B" w:rsidP="00FB561B">
            <w:pPr>
              <w:numPr>
                <w:ilvl w:val="0"/>
                <w:numId w:val="628"/>
              </w:numPr>
              <w:spacing w:before="0" w:after="0"/>
              <w:ind w:hanging="210"/>
              <w:jc w:val="left"/>
              <w:rPr>
                <w:szCs w:val="24"/>
              </w:rPr>
            </w:pPr>
            <w:r>
              <w:rPr>
                <w:szCs w:val="24"/>
              </w:rPr>
              <w:t>les traitements chimiques pour maîtriser les refus sont interdits (herbicides),</w:t>
            </w:r>
          </w:p>
          <w:p w:rsidR="0035701C" w:rsidRDefault="00FB561B" w:rsidP="00FB561B">
            <w:pPr>
              <w:numPr>
                <w:ilvl w:val="0"/>
                <w:numId w:val="628"/>
              </w:numPr>
              <w:spacing w:before="0" w:after="0"/>
              <w:ind w:hanging="210"/>
              <w:jc w:val="left"/>
              <w:rPr>
                <w:szCs w:val="24"/>
              </w:rPr>
            </w:pPr>
            <w:r>
              <w:rPr>
                <w:szCs w:val="24"/>
              </w:rPr>
              <w:t>un seul renouvellement des prairies temporaires est autorisé au cours des 5 ans,</w:t>
            </w:r>
          </w:p>
          <w:p w:rsidR="0035701C" w:rsidRDefault="00FB561B" w:rsidP="00FB561B">
            <w:pPr>
              <w:numPr>
                <w:ilvl w:val="0"/>
                <w:numId w:val="628"/>
              </w:numPr>
              <w:spacing w:before="0" w:after="0"/>
              <w:ind w:hanging="210"/>
              <w:jc w:val="left"/>
              <w:rPr>
                <w:szCs w:val="24"/>
              </w:rPr>
            </w:pPr>
            <w:r>
              <w:rPr>
                <w:szCs w:val="24"/>
              </w:rPr>
              <w:t>le retournement des prairies naturelles est interdit pendant</w:t>
            </w:r>
            <w:r>
              <w:rPr>
                <w:szCs w:val="24"/>
              </w:rPr>
              <w:t xml:space="preserve"> la durée du contrat,</w:t>
            </w:r>
          </w:p>
          <w:p w:rsidR="0035701C" w:rsidRDefault="00FB561B" w:rsidP="00FB561B">
            <w:pPr>
              <w:numPr>
                <w:ilvl w:val="0"/>
                <w:numId w:val="628"/>
              </w:numPr>
              <w:spacing w:before="0" w:after="0"/>
              <w:ind w:hanging="210"/>
              <w:jc w:val="left"/>
              <w:rPr>
                <w:szCs w:val="24"/>
              </w:rPr>
            </w:pPr>
            <w:r>
              <w:rPr>
                <w:szCs w:val="24"/>
              </w:rPr>
              <w:t>si l’agriculteur souhaite enrichir la strate herbacée, il doit obligatoirement utiliser des espèces fourragères méditerranéennes et utiliser des techniques culturales simplifiées uniquement (semis direct ou sursemis)</w:t>
            </w:r>
          </w:p>
          <w:p w:rsidR="0035701C" w:rsidRDefault="00FB561B" w:rsidP="00FB561B">
            <w:pPr>
              <w:numPr>
                <w:ilvl w:val="0"/>
                <w:numId w:val="628"/>
              </w:numPr>
              <w:spacing w:before="0" w:after="0"/>
              <w:ind w:hanging="210"/>
              <w:jc w:val="left"/>
              <w:rPr>
                <w:szCs w:val="24"/>
              </w:rPr>
            </w:pPr>
            <w:r>
              <w:rPr>
                <w:szCs w:val="24"/>
              </w:rPr>
              <w:t>seule l’irrigatio</w:t>
            </w:r>
            <w:r>
              <w:rPr>
                <w:szCs w:val="24"/>
              </w:rPr>
              <w:t>n de soudure est autorisée,</w:t>
            </w:r>
          </w:p>
          <w:p w:rsidR="0035701C" w:rsidRDefault="00FB561B" w:rsidP="00FB561B">
            <w:pPr>
              <w:numPr>
                <w:ilvl w:val="0"/>
                <w:numId w:val="628"/>
              </w:numPr>
              <w:spacing w:before="0" w:after="240"/>
              <w:ind w:hanging="210"/>
              <w:jc w:val="left"/>
              <w:rPr>
                <w:szCs w:val="24"/>
              </w:rPr>
            </w:pPr>
            <w:r>
              <w:rPr>
                <w:szCs w:val="24"/>
              </w:rPr>
              <w:t>l’agriculteur doit assurer l’enregistrement des différentes interventions et des pratiques réalisées dans un document normé prévu à cet effet. Ce document sera remis à l’agriculteur à l’issue du diagnostic obligatoire réalisé pa</w:t>
            </w:r>
            <w:r>
              <w:rPr>
                <w:szCs w:val="24"/>
              </w:rPr>
              <w:t>r le service instructeur.</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 /ha/an.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éléments de la ligne </w:t>
            </w:r>
            <w:r>
              <w:rPr>
                <w:szCs w:val="24"/>
              </w:rPr>
              <w:t>de base sont définis en conformité avec :</w:t>
            </w:r>
          </w:p>
          <w:p w:rsidR="0035701C" w:rsidRDefault="00FB561B" w:rsidP="00FB561B">
            <w:pPr>
              <w:numPr>
                <w:ilvl w:val="0"/>
                <w:numId w:val="629"/>
              </w:numPr>
              <w:spacing w:before="240" w:after="0"/>
              <w:ind w:hanging="210"/>
              <w:jc w:val="left"/>
              <w:rPr>
                <w:szCs w:val="24"/>
              </w:rPr>
            </w:pPr>
            <w:r>
              <w:rPr>
                <w:szCs w:val="24"/>
              </w:rPr>
              <w:t>les exigences établies en vertu de l’article 93 du règlement UE n° 1306/2013 relatif à la conditionnalité,</w:t>
            </w:r>
          </w:p>
          <w:p w:rsidR="0035701C" w:rsidRDefault="00FB561B" w:rsidP="00FB561B">
            <w:pPr>
              <w:numPr>
                <w:ilvl w:val="0"/>
                <w:numId w:val="629"/>
              </w:numPr>
              <w:spacing w:before="0" w:after="0"/>
              <w:ind w:hanging="210"/>
              <w:jc w:val="left"/>
              <w:rPr>
                <w:szCs w:val="24"/>
              </w:rPr>
            </w:pPr>
            <w:r>
              <w:rPr>
                <w:szCs w:val="24"/>
              </w:rPr>
              <w:t xml:space="preserve">les exigences établies en vertu de l’article 4.1c points ii) et iii) du règlement UE n°1307/2013 relatif à </w:t>
            </w:r>
            <w:r>
              <w:rPr>
                <w:szCs w:val="24"/>
              </w:rPr>
              <w:t>l’état d’entretien minimum des surfaces</w:t>
            </w:r>
          </w:p>
          <w:p w:rsidR="0035701C" w:rsidRDefault="00FB561B" w:rsidP="00FB561B">
            <w:pPr>
              <w:numPr>
                <w:ilvl w:val="0"/>
                <w:numId w:val="629"/>
              </w:numPr>
              <w:spacing w:before="0" w:after="240"/>
              <w:ind w:hanging="210"/>
              <w:jc w:val="left"/>
              <w:rPr>
                <w:szCs w:val="24"/>
              </w:rPr>
            </w:pPr>
            <w:r>
              <w:rPr>
                <w:szCs w:val="24"/>
              </w:rPr>
              <w:t>toute autre exigence pertinente établie par la réglementation nationale, tel le Code des Bonnes Pratiques Agricoles pris par arrêté du 22 novembre 1993</w:t>
            </w:r>
          </w:p>
          <w:p w:rsidR="0035701C" w:rsidRDefault="00FB561B">
            <w:pPr>
              <w:spacing w:before="240" w:after="240"/>
              <w:jc w:val="left"/>
              <w:rPr>
                <w:szCs w:val="24"/>
              </w:rPr>
            </w:pPr>
            <w:r>
              <w:rPr>
                <w:szCs w:val="24"/>
              </w:rPr>
              <w:t>Ces éléments sont détaillés au paragraphe « Information spécifiq</w:t>
            </w:r>
            <w:r>
              <w:rPr>
                <w:szCs w:val="24"/>
              </w:rPr>
              <w:t>ue à l’opération – Description de la ligne de base » de la présente fiche-opération.</w:t>
            </w:r>
          </w:p>
          <w:p w:rsidR="0035701C" w:rsidRDefault="00FB561B">
            <w:pPr>
              <w:spacing w:before="240" w:after="240"/>
              <w:jc w:val="left"/>
              <w:rPr>
                <w:szCs w:val="24"/>
              </w:rPr>
            </w:pPr>
            <w:r>
              <w:rPr>
                <w:szCs w:val="24"/>
              </w:rPr>
              <w:t>Afin d’exclure tout double paiement, les pratiques visées à l’article 43 du règlement UE n° 1307/2013 sont prises en compte dans le calcul des surcoûts et manques à gagner</w:t>
            </w:r>
            <w:r>
              <w:rPr>
                <w:szCs w:val="24"/>
              </w:rPr>
              <w:t>. La méthode de calcul est détaillée au paragraphe « Information spécifique à l’opération – Méthode de calcul du montant » de la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sont les surcoûts, manques à gagner et éventuels coûts d’opportunité et de transaction générés par le respect des éléments contractualisés.</w:t>
            </w:r>
          </w:p>
          <w:p w:rsidR="0035701C" w:rsidRDefault="00FB561B">
            <w:pPr>
              <w:spacing w:before="240" w:after="240"/>
              <w:jc w:val="left"/>
              <w:rPr>
                <w:szCs w:val="24"/>
              </w:rPr>
            </w:pPr>
            <w:r>
              <w:rPr>
                <w:szCs w:val="24"/>
              </w:rPr>
              <w:t xml:space="preserve">Dans le cas de cette opération, sont pris en compte uniquement </w:t>
            </w:r>
            <w:r>
              <w:rPr>
                <w:b/>
                <w:bCs/>
                <w:szCs w:val="24"/>
              </w:rPr>
              <w:t>des surcoûts</w:t>
            </w:r>
            <w:r>
              <w:rPr>
                <w:szCs w:val="24"/>
              </w:rPr>
              <w:t>.</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La réalisation d’un diagnostic d’exploitation préalable à la souscription de cette opération est obligatoire.</w:t>
            </w:r>
          </w:p>
          <w:p w:rsidR="0035701C" w:rsidRDefault="00FB561B">
            <w:pPr>
              <w:spacing w:before="240" w:after="240"/>
              <w:jc w:val="left"/>
              <w:rPr>
                <w:szCs w:val="24"/>
              </w:rPr>
            </w:pPr>
            <w:r>
              <w:rPr>
                <w:b/>
                <w:bCs/>
                <w:i/>
                <w:iCs/>
                <w:szCs w:val="24"/>
              </w:rPr>
              <w:t>Surfaces éligibles:</w:t>
            </w:r>
            <w:r>
              <w:rPr>
                <w:szCs w:val="24"/>
              </w:rPr>
              <w:t xml:space="preserve"> les prairies naturelles et les prairies temporaires pâturées</w:t>
            </w:r>
          </w:p>
          <w:p w:rsidR="0035701C" w:rsidRDefault="0035701C">
            <w:pPr>
              <w:pStyle w:val="Corpsdetexte"/>
            </w:pPr>
          </w:p>
        </w:tc>
      </w:tr>
    </w:tbl>
    <w:p w:rsidR="0035701C" w:rsidRDefault="00FB561B">
      <w:pPr>
        <w:pStyle w:val="Titre6"/>
      </w:pPr>
      <w:r>
        <w:t>Principes applicables à l'établissement des critères de sélect</w:t>
      </w:r>
      <w:r>
        <w: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de l’aide est de </w:t>
            </w:r>
            <w:r>
              <w:rPr>
                <w:b/>
                <w:bCs/>
                <w:szCs w:val="24"/>
              </w:rPr>
              <w:t>154,91</w:t>
            </w:r>
            <w:r>
              <w:rPr>
                <w:szCs w:val="24"/>
              </w:rPr>
              <w:t xml:space="preserve"> </w:t>
            </w:r>
            <w:r>
              <w:rPr>
                <w:b/>
                <w:bCs/>
                <w:szCs w:val="24"/>
              </w:rPr>
              <w:t>€ /ha/an</w:t>
            </w:r>
            <w:r>
              <w:rPr>
                <w:szCs w:val="24"/>
              </w:rPr>
              <w:t xml:space="preserve">, auquel vient s’ajouter une somme forfaitaire de </w:t>
            </w:r>
            <w:r>
              <w:rPr>
                <w:b/>
                <w:bCs/>
                <w:szCs w:val="24"/>
              </w:rPr>
              <w:t>57,18 €/an</w:t>
            </w:r>
            <w:r>
              <w:rPr>
                <w:szCs w:val="24"/>
              </w:rPr>
              <w:t xml:space="preserve"> liée à l’enregistrement des pratiques et des interventions.</w:t>
            </w:r>
          </w:p>
          <w:p w:rsidR="0035701C" w:rsidRDefault="00FB561B">
            <w:pPr>
              <w:spacing w:before="240" w:after="240"/>
              <w:jc w:val="left"/>
              <w:rPr>
                <w:szCs w:val="24"/>
              </w:rPr>
            </w:pPr>
            <w:r>
              <w:rPr>
                <w:szCs w:val="24"/>
              </w:rPr>
              <w:t>Il est rappelé que le plafond communautaire pour ce type de couvert (autres utilisations des terres) est de 450 €/ha/an (incluant le forfait annuel).</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w:t>
      </w:r>
      <w:r>
        <w:t>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Détermination et définition des éléments du niveau de référence applicable, qui doivent inclure les normes</w:t>
      </w:r>
      <w:r>
        <w:t xml:space="preserve"> obligatoires établies en application du titre VI, chapitre I, du règlement (UE) n° 1306/2013 du Parlement européen et du Conseil, les critères pertinents et les activités minimales établies en application de l'article 4, paragraphe 1, point c) ii) et c) i</w:t>
      </w:r>
      <w:r>
        <w:t>ii), du règlement (UE) n° 1307/2013 du Parlement européen et du Conseil, les exigences minimales applicables à l'utilisation des engrais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w:t>
            </w:r>
            <w:r>
              <w:rPr>
                <w:szCs w:val="24"/>
              </w:rPr>
              <w:t>i les pratiques rémunérées au titre de la présente opération sont rendues obligatoires sur des zones au titre de la protection de la biodiversité (notamment des zones classées au titre des réserves naturelles, des arrêtés de protection de biotopes,….), cel</w:t>
            </w:r>
            <w:r>
              <w:rPr>
                <w:szCs w:val="24"/>
              </w:rPr>
              <w:t>le-ci ne peut être ouverte sur les zones concernées.</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2577572"/>
                  <wp:effectExtent l="0" t="0" r="0" b="0"/>
                  <wp:docPr id="100110" name="Image 100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
                          <pic:cNvPicPr>
                            <a:picLocks noChangeAspect="1"/>
                          </pic:cNvPicPr>
                        </pic:nvPicPr>
                        <pic:blipFill>
                          <a:blip r:embed="rId67"/>
                          <a:stretch>
                            <a:fillRect/>
                          </a:stretch>
                        </pic:blipFill>
                        <pic:spPr>
                          <a:xfrm>
                            <a:off x="0" y="0"/>
                            <a:ext cx="6629400" cy="2577572"/>
                          </a:xfrm>
                          <a:prstGeom prst="rect">
                            <a:avLst/>
                          </a:prstGeom>
                        </pic:spPr>
                      </pic:pic>
                    </a:graphicData>
                  </a:graphic>
                </wp:inline>
              </w:drawing>
            </w:r>
          </w:p>
          <w:p w:rsidR="0035701C" w:rsidRDefault="00FB561B">
            <w:pPr>
              <w:pStyle w:val="Pieddepage"/>
              <w:jc w:val="center"/>
            </w:pPr>
            <w:r>
              <w:t>Prairie_1_lignebase</w:t>
            </w:r>
          </w:p>
          <w:p w:rsidR="0035701C" w:rsidRDefault="0035701C">
            <w:pPr>
              <w:pStyle w:val="Pieddepage"/>
              <w:jc w:val="center"/>
            </w:pPr>
          </w:p>
        </w:tc>
      </w:tr>
    </w:tbl>
    <w:p w:rsidR="0035701C" w:rsidRDefault="00FB561B">
      <w:r>
        <w:t xml:space="preserve">Les exigences minimales relatives à l'utilisation d'engrais doivent comprendre, entre autres, le respect des codes de bonnes pratiques introduits au titre de la directive </w:t>
      </w:r>
      <w:r>
        <w:t>91/676/CEE pour les exploitations situées en dehors des zones vulnérables aux nitrates, et des exigences concernant la pollution au phosphore; les exigences minimales relatives à l'utilisation de produits phytosanitaires doivent comprendre, entre autres, l</w:t>
      </w:r>
      <w:r>
        <w:t>es principes généraux de la lutte intégrée contre les ennemis des cultures introduits par la directive 2009/128/CE du Parlement européen et du Conseil, l’obligation de détenir une autorisation d’utiliser les produits, de satisfaire aux conditions de format</w:t>
      </w:r>
      <w:r>
        <w:t>ion, d’assurer un stockage sûr et de contrôler les équipements destinés à l’épandage ainsi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Dans cette </w:t>
            </w:r>
            <w:r>
              <w:rPr>
                <w:szCs w:val="24"/>
              </w:rPr>
              <w:t>opération, il n’y a pas d’interaction avec ces exigences.</w:t>
            </w:r>
          </w:p>
          <w:p w:rsidR="0035701C" w:rsidRDefault="0035701C">
            <w:pPr>
              <w:pStyle w:val="Corpsdetexte"/>
            </w:pPr>
          </w:p>
        </w:tc>
      </w:tr>
    </w:tbl>
    <w:p w:rsidR="0035701C" w:rsidRDefault="00FB561B">
      <w:r>
        <w:t>Liste des races locales 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w:t>
            </w:r>
            <w:r>
              <w:rPr>
                <w:szCs w:val="24"/>
              </w:rPr>
              <w:t>tion des ressources génétiques.</w:t>
            </w:r>
          </w:p>
          <w:p w:rsidR="0035701C" w:rsidRDefault="0035701C">
            <w:pPr>
              <w:pStyle w:val="Corpsdetexte"/>
            </w:pPr>
          </w:p>
        </w:tc>
      </w:tr>
    </w:tbl>
    <w:p w:rsidR="0035701C" w:rsidRDefault="00FB561B">
      <w:r>
        <w:t>Description de la méthode et des hypothèses et paramètres agronomiques y compris la description des exigences minimales visées à l'article 29, paragraphe 2, du règlement (UE) n° 1305/2013 correspondant à chaque type partic</w:t>
      </w:r>
      <w:r>
        <w:t>ulier d'engagement, utilisés comme référence pour les calculs justifiant les coûts supplémentaires et les pertes de revenus résultant de l’engagement pris et le niveau des coûts des transactions; le cas échéant, cette méthode tient compte des aides accordé</w:t>
      </w:r>
      <w:r>
        <w:t>es au titre du règlement (UE) n° 1307/2013, et notamment des paiements en faveur des pratiques agricoles bénéfiques pour le climat et l’environnement, afin d’exclure un double financement; le cas échéant, la méthode de conversion utilisée pour d’autres uni</w:t>
      </w:r>
      <w:r>
        <w:t>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Pratiques de références : </w:t>
            </w:r>
            <w:r>
              <w:rPr>
                <w:szCs w:val="24"/>
              </w:rPr>
              <w:t>l’entretien minimal de toute parcelle en herbe consiste à réaliser chaque année au moins une fauche ou un pâturage. Toutefois, cet entretien minimal ne permet pas de garantir une lutt</w:t>
            </w:r>
            <w:r>
              <w:rPr>
                <w:szCs w:val="24"/>
              </w:rPr>
              <w:t>e efficace contre certaines adventices présentes sous le climat méditerranéen, telles que l’asphodèle, la fougère aigle, l’inule visqueuse, les ronces, les chardons,…ce qui nécessite un effort d’entretien supplémentaire.</w:t>
            </w:r>
          </w:p>
          <w:p w:rsidR="0035701C" w:rsidRDefault="00FB561B">
            <w:pPr>
              <w:spacing w:before="240" w:after="240"/>
              <w:jc w:val="left"/>
              <w:rPr>
                <w:szCs w:val="24"/>
              </w:rPr>
            </w:pPr>
            <w:r>
              <w:rPr>
                <w:b/>
                <w:bCs/>
                <w:i/>
                <w:iCs/>
                <w:szCs w:val="24"/>
              </w:rPr>
              <w:t xml:space="preserve">Prise en compte du verdissement : </w:t>
            </w:r>
            <w:r>
              <w:rPr>
                <w:szCs w:val="24"/>
              </w:rPr>
              <w:t>a</w:t>
            </w:r>
            <w:r>
              <w:rPr>
                <w:szCs w:val="24"/>
              </w:rPr>
              <w:t>fin d’exclure tout double paiement, les pratiques rémunérées au titre du verdissement sont prises en compte de la façon suivante dans le calcul du montant unitaire de cette opération :</w:t>
            </w:r>
          </w:p>
          <w:p w:rsidR="0035701C" w:rsidRDefault="00FB561B" w:rsidP="00FB561B">
            <w:pPr>
              <w:numPr>
                <w:ilvl w:val="0"/>
                <w:numId w:val="630"/>
              </w:numPr>
              <w:spacing w:before="240" w:after="0"/>
              <w:ind w:hanging="210"/>
              <w:jc w:val="left"/>
              <w:rPr>
                <w:szCs w:val="24"/>
              </w:rPr>
            </w:pPr>
            <w:r>
              <w:rPr>
                <w:szCs w:val="24"/>
              </w:rPr>
              <w:t>maintien de prairies permanentes existantes : cette exigence a une inte</w:t>
            </w:r>
            <w:r>
              <w:rPr>
                <w:szCs w:val="24"/>
              </w:rPr>
              <w:t>raction avec cette opération. L’obligation de maintien des prairies permanentes doit être respectée à l’échelle de la parcelle engagée, ce qui est plus contraignant que le verdissement qui s’applique à l’échelle régionale. Par ailleurs, cette obligation n’</w:t>
            </w:r>
            <w:r>
              <w:rPr>
                <w:szCs w:val="24"/>
              </w:rPr>
              <w:t>est pas rémunérée.</w:t>
            </w:r>
          </w:p>
          <w:p w:rsidR="0035701C" w:rsidRDefault="00FB561B" w:rsidP="00FB561B">
            <w:pPr>
              <w:numPr>
                <w:ilvl w:val="0"/>
                <w:numId w:val="630"/>
              </w:numPr>
              <w:spacing w:before="0" w:after="0"/>
              <w:ind w:hanging="210"/>
              <w:jc w:val="left"/>
              <w:rPr>
                <w:szCs w:val="24"/>
              </w:rPr>
            </w:pPr>
            <w:r>
              <w:rPr>
                <w:szCs w:val="24"/>
              </w:rPr>
              <w:t>présence de 5 % de SIE (Surfaces d’Intérêt Ecologique) sur les terres arables : cette exigence n’a pas d’interaction avec cette opération.</w:t>
            </w:r>
          </w:p>
          <w:p w:rsidR="0035701C" w:rsidRDefault="00FB561B" w:rsidP="00FB561B">
            <w:pPr>
              <w:numPr>
                <w:ilvl w:val="0"/>
                <w:numId w:val="630"/>
              </w:numPr>
              <w:spacing w:before="0" w:after="240"/>
              <w:ind w:hanging="210"/>
              <w:jc w:val="left"/>
              <w:rPr>
                <w:szCs w:val="24"/>
              </w:rPr>
            </w:pPr>
            <w:r>
              <w:rPr>
                <w:szCs w:val="24"/>
              </w:rPr>
              <w:t>diversification des cultures : cette exigence n’a pas d’interaction avec cette opération.</w:t>
            </w:r>
          </w:p>
          <w:p w:rsidR="0035701C" w:rsidRDefault="00FB561B">
            <w:pPr>
              <w:spacing w:before="240" w:after="240"/>
              <w:jc w:val="left"/>
              <w:rPr>
                <w:szCs w:val="24"/>
              </w:rPr>
            </w:pPr>
            <w:r>
              <w:rPr>
                <w:b/>
                <w:bCs/>
                <w:i/>
                <w:iCs/>
                <w:szCs w:val="24"/>
              </w:rPr>
              <w:t xml:space="preserve">Méthode </w:t>
            </w:r>
            <w:r>
              <w:rPr>
                <w:b/>
                <w:bCs/>
                <w:i/>
                <w:iCs/>
                <w:szCs w:val="24"/>
              </w:rPr>
              <w:t>générale de calcul du montant :</w:t>
            </w:r>
            <w:r>
              <w:rPr>
                <w:szCs w:val="24"/>
              </w:rPr>
              <w:t xml:space="preserve"> le montant de l’aide est calculé sur la base de l’utilisation du matériel et du temps de travail supplémentaire nécessaire pour lutter contre le développement des adventices, par rapport à l’entretien minimal requis. Le surc</w:t>
            </w:r>
            <w:r>
              <w:rPr>
                <w:szCs w:val="24"/>
              </w:rPr>
              <w:t>oût lié au temps d’enregistrement des interventions et des pratiques est rémunéré sous forme forfaitaire indépendamment de la surface engagée. Il n’y a pas, dans cette opération, de coût de transaction.</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631"/>
              </w:numPr>
              <w:spacing w:before="240" w:after="0"/>
              <w:ind w:hanging="210"/>
              <w:jc w:val="left"/>
              <w:rPr>
                <w:szCs w:val="24"/>
              </w:rPr>
            </w:pPr>
            <w:r>
              <w:rPr>
                <w:szCs w:val="24"/>
              </w:rPr>
              <w:t xml:space="preserve">coût du matériel : </w:t>
            </w:r>
            <w:r>
              <w:rPr>
                <w:i/>
                <w:iCs/>
                <w:szCs w:val="24"/>
              </w:rPr>
              <w:t>Bureau de Coor</w:t>
            </w:r>
            <w:r>
              <w:rPr>
                <w:i/>
                <w:iCs/>
                <w:szCs w:val="24"/>
              </w:rPr>
              <w:t>dination du Machinisme Agricole (BCMA), barème des façons culturales 2014</w:t>
            </w:r>
          </w:p>
          <w:p w:rsidR="0035701C" w:rsidRDefault="00FB561B" w:rsidP="00FB561B">
            <w:pPr>
              <w:numPr>
                <w:ilvl w:val="0"/>
                <w:numId w:val="631"/>
              </w:numPr>
              <w:spacing w:before="0" w:after="0"/>
              <w:ind w:hanging="210"/>
              <w:jc w:val="left"/>
              <w:rPr>
                <w:szCs w:val="24"/>
              </w:rPr>
            </w:pPr>
            <w:r>
              <w:rPr>
                <w:szCs w:val="24"/>
              </w:rPr>
              <w:t xml:space="preserve">temps de travail : </w:t>
            </w:r>
            <w:r>
              <w:rPr>
                <w:i/>
                <w:iCs/>
                <w:szCs w:val="24"/>
              </w:rPr>
              <w:t>références locales issues du réseau régional d’expérimentations fourragères et de démonstrations (Office du Développement Agricole et Rural de Corse et Office de l</w:t>
            </w:r>
            <w:r>
              <w:rPr>
                <w:i/>
                <w:iCs/>
                <w:szCs w:val="24"/>
              </w:rPr>
              <w:t>’Environnement de la Corse)</w:t>
            </w:r>
          </w:p>
          <w:p w:rsidR="0035701C" w:rsidRDefault="00FB561B" w:rsidP="00FB561B">
            <w:pPr>
              <w:numPr>
                <w:ilvl w:val="0"/>
                <w:numId w:val="631"/>
              </w:numPr>
              <w:spacing w:before="0" w:after="240"/>
              <w:ind w:hanging="210"/>
              <w:jc w:val="left"/>
              <w:rPr>
                <w:szCs w:val="24"/>
              </w:rPr>
            </w:pPr>
            <w:r>
              <w:rPr>
                <w:i/>
                <w:iCs/>
                <w:szCs w:val="24"/>
              </w:rPr>
              <w:t>coût horaire de main d’œuvre : 2 fois le coût horaire du SMIC (1er janvier 2014)</w:t>
            </w:r>
          </w:p>
          <w:p w:rsidR="0035701C" w:rsidRDefault="00FB561B">
            <w:pPr>
              <w:spacing w:before="240" w:after="240"/>
              <w:ind w:left="720"/>
              <w:jc w:val="left"/>
              <w:rPr>
                <w:szCs w:val="24"/>
              </w:rPr>
            </w:pPr>
            <w:r>
              <w:rPr>
                <w:szCs w:val="24"/>
              </w:rPr>
              <w:t> </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581775" cy="2600325"/>
                  <wp:effectExtent l="0" t="0" r="0" b="0"/>
                  <wp:docPr id="100112" name="Image 100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
                          <pic:cNvPicPr>
                            <a:picLocks noChangeAspect="1"/>
                          </pic:cNvPicPr>
                        </pic:nvPicPr>
                        <pic:blipFill>
                          <a:blip r:embed="rId68"/>
                          <a:stretch>
                            <a:fillRect/>
                          </a:stretch>
                        </pic:blipFill>
                        <pic:spPr>
                          <a:xfrm>
                            <a:off x="0" y="0"/>
                            <a:ext cx="6581775" cy="2600325"/>
                          </a:xfrm>
                          <a:prstGeom prst="rect">
                            <a:avLst/>
                          </a:prstGeom>
                        </pic:spPr>
                      </pic:pic>
                    </a:graphicData>
                  </a:graphic>
                </wp:inline>
              </w:drawing>
            </w:r>
          </w:p>
          <w:p w:rsidR="0035701C" w:rsidRDefault="00FB561B">
            <w:pPr>
              <w:pStyle w:val="Pieddepage"/>
              <w:jc w:val="center"/>
            </w:pPr>
            <w:r>
              <w:t>Prairie_1</w:t>
            </w:r>
          </w:p>
          <w:p w:rsidR="0035701C" w:rsidRDefault="0035701C">
            <w:pPr>
              <w:pStyle w:val="Pieddepage"/>
              <w:jc w:val="center"/>
            </w:pPr>
          </w:p>
        </w:tc>
      </w:tr>
    </w:tbl>
    <w:p w:rsidR="0035701C" w:rsidRDefault="00FB561B">
      <w:pPr>
        <w:pStyle w:val="Titre5"/>
        <w:rPr>
          <w:b w:val="0"/>
        </w:rPr>
      </w:pPr>
      <w:r>
        <w:rPr>
          <w:b w:val="0"/>
        </w:rPr>
        <w:br w:type="page"/>
        <w:t>-04- Prairie_2</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632"/>
              </w:numPr>
            </w:pPr>
            <w:r>
              <w:t>10.1 – Paiements au titre d'engagements agroenvironnementaux et climatiques</w:t>
            </w:r>
          </w:p>
        </w:tc>
      </w:tr>
    </w:tbl>
    <w:p w:rsidR="0035701C" w:rsidRDefault="00FB561B">
      <w:pPr>
        <w:pStyle w:val="Titre6"/>
      </w:pPr>
      <w:r>
        <w:t xml:space="preserve">Description du type </w:t>
      </w:r>
      <w:r>
        <w:t>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PRAIRIE_2 = Protection des sols par la mise en œuvre du semis direct sur les terrains présentant des pentes supérieures à 5%</w:t>
            </w:r>
          </w:p>
          <w:p w:rsidR="0035701C" w:rsidRDefault="00FB561B">
            <w:pPr>
              <w:spacing w:before="240" w:after="240"/>
              <w:jc w:val="left"/>
              <w:rPr>
                <w:szCs w:val="24"/>
              </w:rPr>
            </w:pPr>
            <w:r>
              <w:rPr>
                <w:szCs w:val="24"/>
              </w:rPr>
              <w:t xml:space="preserve">La mise en œuvre des techniques aratoires traditionnelles, sur les terrains plus ou moins pentus </w:t>
            </w:r>
            <w:r>
              <w:rPr>
                <w:szCs w:val="24"/>
              </w:rPr>
              <w:t xml:space="preserve">de Corse (pente ≥ 5%) génère, sous l’impact des fortes pluies, une érosion différentielle conduisant à un appauvrissement des sols. Or, ces espaces représentent des superficies significatives dans la SAU (surface agricole utile) des élevages de piémont et </w:t>
            </w:r>
            <w:r>
              <w:rPr>
                <w:szCs w:val="24"/>
              </w:rPr>
              <w:t>de montagne.</w:t>
            </w:r>
          </w:p>
          <w:p w:rsidR="0035701C" w:rsidRDefault="00FB561B">
            <w:pPr>
              <w:spacing w:before="240" w:after="240"/>
              <w:jc w:val="left"/>
              <w:rPr>
                <w:szCs w:val="24"/>
              </w:rPr>
            </w:pPr>
            <w:r>
              <w:rPr>
                <w:szCs w:val="24"/>
              </w:rPr>
              <w:t>C’est pourquoi, au vu des risques d’érosion, il est fortement souhaitable, dans ces espaces, de renoncer aux pratiques de labour traditionnelles, au profit de techniques plus douces et respectueuses des sols.</w:t>
            </w:r>
          </w:p>
          <w:p w:rsidR="0035701C" w:rsidRDefault="00FB561B">
            <w:pPr>
              <w:spacing w:before="240" w:after="240"/>
              <w:jc w:val="left"/>
              <w:rPr>
                <w:szCs w:val="24"/>
              </w:rPr>
            </w:pPr>
            <w:r>
              <w:rPr>
                <w:szCs w:val="24"/>
              </w:rPr>
              <w:t>La recherche de systèmes de cultur</w:t>
            </w:r>
            <w:r>
              <w:rPr>
                <w:szCs w:val="24"/>
              </w:rPr>
              <w:t>e alternatifs à l’agriculture conventionnelle doit désormais devenir une absolue nécessité et ce afin:</w:t>
            </w:r>
          </w:p>
          <w:p w:rsidR="0035701C" w:rsidRDefault="00FB561B" w:rsidP="00FB561B">
            <w:pPr>
              <w:numPr>
                <w:ilvl w:val="0"/>
                <w:numId w:val="633"/>
              </w:numPr>
              <w:spacing w:before="240" w:after="0"/>
              <w:ind w:hanging="210"/>
              <w:jc w:val="left"/>
              <w:rPr>
                <w:szCs w:val="24"/>
              </w:rPr>
            </w:pPr>
            <w:r>
              <w:rPr>
                <w:szCs w:val="24"/>
              </w:rPr>
              <w:t>de lutter contre l’érosion par la mise en place d’une couverture herbacée durable,</w:t>
            </w:r>
          </w:p>
          <w:p w:rsidR="0035701C" w:rsidRDefault="00FB561B" w:rsidP="00FB561B">
            <w:pPr>
              <w:numPr>
                <w:ilvl w:val="0"/>
                <w:numId w:val="633"/>
              </w:numPr>
              <w:spacing w:before="0" w:after="0"/>
              <w:ind w:hanging="210"/>
              <w:jc w:val="left"/>
              <w:rPr>
                <w:szCs w:val="24"/>
              </w:rPr>
            </w:pPr>
            <w:r>
              <w:rPr>
                <w:szCs w:val="24"/>
              </w:rPr>
              <w:t>de maintenir des taux de matières organiques satisfaisants,</w:t>
            </w:r>
          </w:p>
          <w:p w:rsidR="0035701C" w:rsidRDefault="00FB561B" w:rsidP="00FB561B">
            <w:pPr>
              <w:numPr>
                <w:ilvl w:val="0"/>
                <w:numId w:val="633"/>
              </w:numPr>
              <w:spacing w:before="0" w:after="0"/>
              <w:ind w:hanging="210"/>
              <w:jc w:val="left"/>
              <w:rPr>
                <w:szCs w:val="24"/>
              </w:rPr>
            </w:pPr>
            <w:r>
              <w:rPr>
                <w:szCs w:val="24"/>
              </w:rPr>
              <w:t>de mainten</w:t>
            </w:r>
            <w:r>
              <w:rPr>
                <w:szCs w:val="24"/>
              </w:rPr>
              <w:t>ir la structure du sol par l’utilisation d’outils appropriés,</w:t>
            </w:r>
          </w:p>
          <w:p w:rsidR="0035701C" w:rsidRDefault="00FB561B" w:rsidP="00FB561B">
            <w:pPr>
              <w:numPr>
                <w:ilvl w:val="0"/>
                <w:numId w:val="633"/>
              </w:numPr>
              <w:spacing w:before="0" w:after="0"/>
              <w:ind w:hanging="210"/>
              <w:jc w:val="left"/>
              <w:rPr>
                <w:szCs w:val="24"/>
              </w:rPr>
            </w:pPr>
            <w:r>
              <w:rPr>
                <w:szCs w:val="24"/>
              </w:rPr>
              <w:t>de réduire le nombre d’intervention pour limiter la consommation en carburant ce qui aura un impact favorable sur les émissions de gaz à effet de serre,</w:t>
            </w:r>
          </w:p>
          <w:p w:rsidR="0035701C" w:rsidRDefault="00FB561B" w:rsidP="00FB561B">
            <w:pPr>
              <w:numPr>
                <w:ilvl w:val="0"/>
                <w:numId w:val="633"/>
              </w:numPr>
              <w:spacing w:before="0" w:after="240"/>
              <w:ind w:hanging="210"/>
              <w:jc w:val="left"/>
              <w:rPr>
                <w:szCs w:val="24"/>
              </w:rPr>
            </w:pPr>
            <w:r>
              <w:rPr>
                <w:szCs w:val="24"/>
              </w:rPr>
              <w:t>d’améliorer la rétention en eau des sols.</w:t>
            </w:r>
          </w:p>
          <w:p w:rsidR="0035701C" w:rsidRDefault="00FB561B">
            <w:pPr>
              <w:spacing w:before="240" w:after="240"/>
              <w:jc w:val="left"/>
              <w:rPr>
                <w:szCs w:val="24"/>
              </w:rPr>
            </w:pPr>
            <w:r>
              <w:rPr>
                <w:szCs w:val="24"/>
              </w:rPr>
              <w:t>Aujourd’hui, le semis direct apparaît comme la technique la plus appropriée et la plus adaptée pour répondre à l’ensemble de ces préoccupations.</w:t>
            </w:r>
          </w:p>
          <w:p w:rsidR="0035701C" w:rsidRDefault="00FB561B">
            <w:pPr>
              <w:spacing w:before="240" w:after="240"/>
              <w:jc w:val="left"/>
              <w:rPr>
                <w:szCs w:val="24"/>
              </w:rPr>
            </w:pPr>
            <w:r>
              <w:rPr>
                <w:szCs w:val="24"/>
              </w:rPr>
              <w:t>L'objectif de cet engagement est donc d'inciter les exploitants agricoles utilisant des terrains présentant de</w:t>
            </w:r>
            <w:r>
              <w:rPr>
                <w:szCs w:val="24"/>
              </w:rPr>
              <w:t>s pentes ≥ 5%, à implanter et entretenir ces espaces par semis direct.</w:t>
            </w:r>
          </w:p>
          <w:p w:rsidR="0035701C" w:rsidRDefault="00FB561B">
            <w:pPr>
              <w:spacing w:before="240" w:after="240"/>
              <w:jc w:val="left"/>
              <w:rPr>
                <w:szCs w:val="24"/>
              </w:rPr>
            </w:pPr>
            <w:r>
              <w:rPr>
                <w:szCs w:val="24"/>
              </w:rPr>
              <w:t>Cet engagement répond, par conséquent, à la fois aux trois « enjeux » majeurs que sont le maintien de la biodiversité, la protection des eaux et la conservation des paysages.</w:t>
            </w:r>
          </w:p>
          <w:p w:rsidR="0035701C" w:rsidRDefault="00FB561B">
            <w:pPr>
              <w:spacing w:before="240" w:after="240"/>
              <w:jc w:val="left"/>
              <w:rPr>
                <w:szCs w:val="24"/>
              </w:rPr>
            </w:pPr>
            <w:r>
              <w:rPr>
                <w:szCs w:val="24"/>
              </w:rPr>
              <w:t>Une fertil</w:t>
            </w:r>
            <w:r>
              <w:rPr>
                <w:szCs w:val="24"/>
              </w:rPr>
              <w:t>isation NPK est autorisée de l’ordre de 60 Unités /ha/an.</w:t>
            </w:r>
          </w:p>
          <w:p w:rsidR="0035701C" w:rsidRDefault="00FB561B">
            <w:pPr>
              <w:spacing w:before="240" w:after="240"/>
              <w:jc w:val="left"/>
              <w:rPr>
                <w:szCs w:val="24"/>
              </w:rPr>
            </w:pPr>
            <w:r>
              <w:rPr>
                <w:b/>
                <w:bCs/>
                <w:i/>
                <w:iCs/>
                <w:szCs w:val="24"/>
              </w:rPr>
              <w:t xml:space="preserve">Cahier des charges : </w:t>
            </w:r>
          </w:p>
          <w:p w:rsidR="0035701C" w:rsidRDefault="00FB561B" w:rsidP="00FB561B">
            <w:pPr>
              <w:numPr>
                <w:ilvl w:val="0"/>
                <w:numId w:val="634"/>
              </w:numPr>
              <w:spacing w:before="240" w:after="0"/>
              <w:ind w:hanging="210"/>
              <w:jc w:val="left"/>
              <w:rPr>
                <w:szCs w:val="24"/>
              </w:rPr>
            </w:pPr>
            <w:r>
              <w:rPr>
                <w:szCs w:val="24"/>
              </w:rPr>
              <w:t>l’agriculteur doit implanter ses prairies temporaires engagées par semis direct,</w:t>
            </w:r>
          </w:p>
          <w:p w:rsidR="0035701C" w:rsidRDefault="00FB561B" w:rsidP="00FB561B">
            <w:pPr>
              <w:numPr>
                <w:ilvl w:val="0"/>
                <w:numId w:val="634"/>
              </w:numPr>
              <w:spacing w:before="0" w:after="0"/>
              <w:ind w:hanging="210"/>
              <w:jc w:val="left"/>
              <w:rPr>
                <w:szCs w:val="24"/>
              </w:rPr>
            </w:pPr>
            <w:r>
              <w:rPr>
                <w:szCs w:val="24"/>
              </w:rPr>
              <w:t>il doit obligatoirement utiliser des espèces fourragères méditerranéennes pérennes,</w:t>
            </w:r>
          </w:p>
          <w:p w:rsidR="0035701C" w:rsidRDefault="00FB561B" w:rsidP="00FB561B">
            <w:pPr>
              <w:numPr>
                <w:ilvl w:val="0"/>
                <w:numId w:val="634"/>
              </w:numPr>
              <w:spacing w:before="0" w:after="0"/>
              <w:ind w:hanging="210"/>
              <w:jc w:val="left"/>
              <w:rPr>
                <w:szCs w:val="24"/>
              </w:rPr>
            </w:pPr>
            <w:r>
              <w:rPr>
                <w:szCs w:val="24"/>
              </w:rPr>
              <w:t>un seul ren</w:t>
            </w:r>
            <w:r>
              <w:rPr>
                <w:szCs w:val="24"/>
              </w:rPr>
              <w:t>ouvellement, toujours par semis direct, est autorisé au cours des 5 ans,</w:t>
            </w:r>
          </w:p>
          <w:p w:rsidR="0035701C" w:rsidRDefault="00FB561B" w:rsidP="00FB561B">
            <w:pPr>
              <w:numPr>
                <w:ilvl w:val="0"/>
                <w:numId w:val="634"/>
              </w:numPr>
              <w:spacing w:before="0" w:after="0"/>
              <w:ind w:hanging="210"/>
              <w:jc w:val="left"/>
              <w:rPr>
                <w:szCs w:val="24"/>
              </w:rPr>
            </w:pPr>
            <w:r>
              <w:rPr>
                <w:szCs w:val="24"/>
              </w:rPr>
              <w:t>le recours à un traitement chimique préalable au semis, ou pour maîtriser les refus est interdit (herbicides),</w:t>
            </w:r>
          </w:p>
          <w:p w:rsidR="0035701C" w:rsidRDefault="00FB561B" w:rsidP="00FB561B">
            <w:pPr>
              <w:numPr>
                <w:ilvl w:val="0"/>
                <w:numId w:val="634"/>
              </w:numPr>
              <w:spacing w:before="0" w:after="0"/>
              <w:ind w:hanging="210"/>
              <w:jc w:val="left"/>
              <w:rPr>
                <w:szCs w:val="24"/>
              </w:rPr>
            </w:pPr>
            <w:r>
              <w:rPr>
                <w:szCs w:val="24"/>
              </w:rPr>
              <w:t>seule l’irrigation de soudure est autorisée,</w:t>
            </w:r>
          </w:p>
          <w:p w:rsidR="0035701C" w:rsidRDefault="00FB561B" w:rsidP="00FB561B">
            <w:pPr>
              <w:numPr>
                <w:ilvl w:val="0"/>
                <w:numId w:val="634"/>
              </w:numPr>
              <w:spacing w:before="0" w:after="240"/>
              <w:ind w:hanging="210"/>
              <w:jc w:val="left"/>
              <w:rPr>
                <w:szCs w:val="24"/>
              </w:rPr>
            </w:pPr>
            <w:r>
              <w:rPr>
                <w:szCs w:val="24"/>
              </w:rPr>
              <w:t xml:space="preserve">l’agriculteur doit assurer </w:t>
            </w:r>
            <w:r>
              <w:rPr>
                <w:szCs w:val="24"/>
              </w:rPr>
              <w:t>l’enregistrement des différentes interventions et des pratiques réalisées dans un document normé prévu à cet effet. Ce document sera remis à l’agriculteur à l’issue du diagnostic obligatoire réalisé par le service instructeur.</w:t>
            </w:r>
          </w:p>
          <w:p w:rsidR="0035701C" w:rsidRDefault="0035701C">
            <w:pPr>
              <w:pStyle w:val="Corpsdetexte"/>
            </w:pPr>
          </w:p>
        </w:tc>
      </w:tr>
    </w:tbl>
    <w:p w:rsidR="0035701C" w:rsidRDefault="00FB561B">
      <w:pPr>
        <w:pStyle w:val="Titre6"/>
      </w:pPr>
      <w:r>
        <w:t>Type de soutien</w:t>
      </w:r>
    </w:p>
    <w:p w:rsidR="0035701C" w:rsidRDefault="00FB561B">
      <w:r>
        <w:t xml:space="preserve">Type de </w:t>
      </w:r>
      <w:r>
        <w:t>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 /ha/an.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635"/>
              </w:numPr>
              <w:spacing w:before="240" w:after="0"/>
              <w:ind w:hanging="210"/>
              <w:jc w:val="left"/>
              <w:rPr>
                <w:szCs w:val="24"/>
              </w:rPr>
            </w:pPr>
            <w:r>
              <w:rPr>
                <w:szCs w:val="24"/>
              </w:rPr>
              <w:t>les exigenc</w:t>
            </w:r>
            <w:r>
              <w:rPr>
                <w:szCs w:val="24"/>
              </w:rPr>
              <w:t>es établies en vertu de l’article 93 du Titre VI du règlement UE n° 1306/2013 relatif à la conditionnalité,</w:t>
            </w:r>
          </w:p>
          <w:p w:rsidR="0035701C" w:rsidRDefault="00FB561B" w:rsidP="00FB561B">
            <w:pPr>
              <w:numPr>
                <w:ilvl w:val="0"/>
                <w:numId w:val="635"/>
              </w:numPr>
              <w:spacing w:before="0" w:after="0"/>
              <w:ind w:hanging="210"/>
              <w:jc w:val="left"/>
              <w:rPr>
                <w:szCs w:val="24"/>
              </w:rPr>
            </w:pPr>
            <w:r>
              <w:rPr>
                <w:szCs w:val="24"/>
              </w:rPr>
              <w:t>les exigences établies en vertu de l’article 4.1c points ii) et iii) du règlement UE n°1307/2013 relatif à l’état d’entretien minimum des surfaces</w:t>
            </w:r>
          </w:p>
          <w:p w:rsidR="0035701C" w:rsidRDefault="00FB561B" w:rsidP="00FB561B">
            <w:pPr>
              <w:numPr>
                <w:ilvl w:val="0"/>
                <w:numId w:val="635"/>
              </w:numPr>
              <w:spacing w:before="0" w:after="240"/>
              <w:ind w:hanging="210"/>
              <w:jc w:val="left"/>
              <w:rPr>
                <w:szCs w:val="24"/>
              </w:rPr>
            </w:pPr>
            <w:r>
              <w:rPr>
                <w:szCs w:val="24"/>
              </w:rPr>
              <w:t>toute autre exigence pertinente établie par la réglementation nationale, tel le Code des Bonnes Pratiques Agricoles pris par arrêté du 22 novembre 1993</w:t>
            </w:r>
          </w:p>
          <w:p w:rsidR="0035701C" w:rsidRDefault="00FB561B">
            <w:pPr>
              <w:spacing w:before="240" w:after="240"/>
              <w:jc w:val="left"/>
              <w:rPr>
                <w:szCs w:val="24"/>
              </w:rPr>
            </w:pPr>
            <w:r>
              <w:rPr>
                <w:szCs w:val="24"/>
              </w:rPr>
              <w:t>Ces éléments sont détaillés au paragraphe « Information spécifique à l’opération – Description de la lig</w:t>
            </w:r>
            <w:r>
              <w:rPr>
                <w:szCs w:val="24"/>
              </w:rPr>
              <w:t>ne de base » de la présente fiche-opération.</w:t>
            </w:r>
          </w:p>
          <w:p w:rsidR="0035701C" w:rsidRDefault="00FB561B">
            <w:pPr>
              <w:spacing w:before="240" w:after="240"/>
              <w:jc w:val="left"/>
              <w:rPr>
                <w:szCs w:val="24"/>
              </w:rPr>
            </w:pPr>
            <w:r>
              <w:rPr>
                <w:szCs w:val="24"/>
              </w:rPr>
              <w:t xml:space="preserve">Afin d’exclure tout double paiement, les pratiques visées à l’article 43 du règlement UE n° 1307/2013 sont prises en compte dans le calcul des surcoûts et manques à gagner. La méthode de calcul est détaillée au </w:t>
            </w:r>
            <w:r>
              <w:rPr>
                <w:szCs w:val="24"/>
              </w:rPr>
              <w:t>paragraphe « Information spécifique à l’opération – Méthode de calcul du montant » de la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coûts sont les surcoûts, manques à </w:t>
            </w:r>
            <w:r>
              <w:rPr>
                <w:szCs w:val="24"/>
              </w:rPr>
              <w:t>gagner et éventuels coûts d’opportunité et de transaction générés par le respect des éléments contractualisés.</w:t>
            </w:r>
          </w:p>
          <w:p w:rsidR="0035701C" w:rsidRDefault="00FB561B">
            <w:pPr>
              <w:spacing w:before="240" w:after="240"/>
              <w:jc w:val="left"/>
              <w:rPr>
                <w:szCs w:val="24"/>
              </w:rPr>
            </w:pPr>
            <w:r>
              <w:rPr>
                <w:szCs w:val="24"/>
              </w:rPr>
              <w:t>Dans le cas de cette opération, sont pris en compte des surcoûts et des manques à gagner.</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La réalisation d’un diagno</w:t>
            </w:r>
            <w:r>
              <w:rPr>
                <w:b/>
                <w:bCs/>
                <w:szCs w:val="24"/>
              </w:rPr>
              <w:t>stic d’exploitation préalable à la souscription de cette opération est obligatoire.</w:t>
            </w:r>
          </w:p>
          <w:p w:rsidR="0035701C" w:rsidRDefault="00FB561B">
            <w:pPr>
              <w:spacing w:before="240" w:after="240"/>
              <w:jc w:val="left"/>
              <w:rPr>
                <w:szCs w:val="24"/>
              </w:rPr>
            </w:pPr>
            <w:r>
              <w:rPr>
                <w:b/>
                <w:bCs/>
                <w:i/>
                <w:iCs/>
                <w:szCs w:val="24"/>
              </w:rPr>
              <w:t>Surfaces éligibles:</w:t>
            </w:r>
            <w:r>
              <w:rPr>
                <w:szCs w:val="24"/>
              </w:rPr>
              <w:t xml:space="preserve"> les prairies temporaires non irriguées implantées en première année d’engagement par semis direct avec des espèces fourragères pérennes d’origine médite</w:t>
            </w:r>
            <w:r>
              <w:rPr>
                <w:szCs w:val="24"/>
              </w:rPr>
              <w:t>rranéenne.</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de l’aide est de </w:t>
            </w:r>
            <w:r>
              <w:rPr>
                <w:b/>
                <w:bCs/>
                <w:szCs w:val="24"/>
              </w:rPr>
              <w:t>364,45</w:t>
            </w:r>
            <w:r>
              <w:rPr>
                <w:szCs w:val="24"/>
              </w:rPr>
              <w:t xml:space="preserve"> </w:t>
            </w:r>
            <w:r>
              <w:rPr>
                <w:b/>
                <w:bCs/>
                <w:szCs w:val="24"/>
              </w:rPr>
              <w:t>€ /ha/an</w:t>
            </w:r>
            <w:r>
              <w:rPr>
                <w:szCs w:val="24"/>
              </w:rPr>
              <w:t xml:space="preserve">, auquel vient s’ajouter une somme forfaitaire de </w:t>
            </w:r>
            <w:r>
              <w:rPr>
                <w:b/>
                <w:bCs/>
                <w:szCs w:val="24"/>
              </w:rPr>
              <w:t>57,18 €/an</w:t>
            </w:r>
            <w:r>
              <w:rPr>
                <w:szCs w:val="24"/>
              </w:rPr>
              <w:t xml:space="preserve"> liée à l’enregistrement des pratiques et des interventions.</w:t>
            </w:r>
          </w:p>
          <w:p w:rsidR="0035701C" w:rsidRDefault="00FB561B">
            <w:pPr>
              <w:spacing w:before="240" w:after="240"/>
              <w:jc w:val="left"/>
              <w:rPr>
                <w:szCs w:val="24"/>
              </w:rPr>
            </w:pPr>
            <w:r>
              <w:rPr>
                <w:szCs w:val="24"/>
              </w:rPr>
              <w:t>Il est rappelé que le plafond communautaire pour ce type de couvert (autres utilisations des terres) est de 450 €/ha/an (incluant le fo</w:t>
            </w:r>
            <w:r>
              <w:rPr>
                <w:szCs w:val="24"/>
              </w:rPr>
              <w:t>rfait annuel).</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 xml:space="preserve">Informations spécifiques </w:t>
      </w:r>
      <w:r>
        <w:t>sur l'opération</w:t>
      </w:r>
    </w:p>
    <w:p w:rsidR="0035701C" w:rsidRDefault="00FB561B">
      <w:r>
        <w:t>Détermination et définition des éléments du niveau de référence applicable, qui doivent inclure les normes obligatoires établies en application du titre VI, chapitre I, du règlement (UE) n° 1306/2013 du Parlement européen et du Conseil, les</w:t>
      </w:r>
      <w:r>
        <w:t xml:space="preserve"> critères pertinents et les activités minimales établies en application de l'article 4, paragraphe 1, point c) ii) et c) iii), du règlement (UE) n° 1307/2013 du Parlement européen et du Conseil, les exigences minimales applicables à l'utilisation des engra</w:t>
      </w:r>
      <w:r>
        <w:t>is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Dans cette opération, il n’y a aucune interaction avec les différents éléments réglementaires décrits dans la section 8</w:t>
            </w:r>
            <w:r>
              <w:rPr>
                <w:szCs w:val="24"/>
              </w:rPr>
              <w:t>.1 du présent programme.</w:t>
            </w:r>
          </w:p>
          <w:p w:rsidR="0035701C" w:rsidRDefault="00FB561B">
            <w:pPr>
              <w:spacing w:before="240" w:after="240"/>
              <w:jc w:val="left"/>
              <w:rPr>
                <w:szCs w:val="24"/>
              </w:rPr>
            </w:pPr>
            <w:r>
              <w:rPr>
                <w:szCs w:val="24"/>
              </w:rPr>
              <w:t>Si les pratiques rémunérées au titre de la présente opération sont rendues obligatoires sur des zones au titre de la protection de la biodiversité (notamment des zones classées au titre des réserves naturelles des arrêtés de protec</w:t>
            </w:r>
            <w:r>
              <w:rPr>
                <w:szCs w:val="24"/>
              </w:rPr>
              <w:t>tion de biotopes), celle-ci ne peut être ouverte sur les zones concernées.</w:t>
            </w:r>
          </w:p>
          <w:p w:rsidR="0035701C" w:rsidRDefault="0035701C">
            <w:pPr>
              <w:pStyle w:val="Corpsdetexte"/>
            </w:pPr>
          </w:p>
        </w:tc>
      </w:tr>
    </w:tbl>
    <w:p w:rsidR="0035701C" w:rsidRDefault="00FB561B">
      <w:r>
        <w:t>Les exigences minimales relatives à l'utilisation d'engrais doivent comprendre, entre autres, le respect des codes de bonnes pratiques introduits au titre de la directive 91/676/C</w:t>
      </w:r>
      <w:r>
        <w:t>EE pour les exploitations situées en dehors des zones vulnérables aux nitrates, et des exigences concernant la pollution au phosphore; les exigences minimales relatives à l'utilisation de produits phytosanitaires doivent comprendre, entre autres, les princ</w:t>
      </w:r>
      <w:r>
        <w:t>ipes généraux de la lutte intégrée contre les ennemis des cultures introduits par la directive 2009/128/CE du Parlement européen et du Conseil, l’obligation de détenir une autorisation d’utiliser les produits, de satisfaire aux conditions de formation, d’a</w:t>
      </w:r>
      <w:r>
        <w:t>ssurer un stockage sûr et de contrôler les équipements destinés à l’épandage ainsi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w:t>
            </w:r>
            <w:r>
              <w:rPr>
                <w:szCs w:val="24"/>
              </w:rPr>
              <w:t>n, il n’y a pas d’interaction avec ces exigences.</w:t>
            </w:r>
          </w:p>
          <w:p w:rsidR="0035701C" w:rsidRDefault="0035701C">
            <w:pPr>
              <w:pStyle w:val="Corpsdetexte"/>
            </w:pPr>
          </w:p>
        </w:tc>
      </w:tr>
    </w:tbl>
    <w:p w:rsidR="0035701C" w:rsidRDefault="00FB561B">
      <w:r>
        <w:t>Liste des races locales 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préservation des</w:t>
            </w:r>
            <w:r>
              <w:rPr>
                <w:szCs w:val="24"/>
              </w:rPr>
              <w:t xml:space="preserve"> ressources génétiques.</w:t>
            </w:r>
          </w:p>
          <w:p w:rsidR="0035701C" w:rsidRDefault="0035701C">
            <w:pPr>
              <w:pStyle w:val="Corpsdetexte"/>
            </w:pPr>
          </w:p>
        </w:tc>
      </w:tr>
    </w:tbl>
    <w:p w:rsidR="0035701C" w:rsidRDefault="00FB561B">
      <w:r>
        <w:t>Description de la méthode et des hypothèses et paramètres agronomiques y compris la description des exigences minimales visées à l'article 29, paragraphe 2, du règlement (UE) n° 1305/2013 correspondant à chaque type particulier d'</w:t>
      </w:r>
      <w:r>
        <w:t>engagement, utilisés comme référence pour les calculs justifiant les coûts supplémentaires et les pertes de revenus résultant de l’engagement pris et le niveau des coûts des transactions; le cas échéant, cette méthode tient compte des aides accordées au ti</w:t>
      </w:r>
      <w:r>
        <w:t>tre du règlement (UE) n° 1307/2013, et notamment des paiements en faveur des pratiques agricoles bénéfiques pour le climat et l’environnement, afin d’exclure un double financement; le cas échéant, la méthode de conversion utilisée pour d’autres unités conf</w:t>
      </w:r>
      <w:r>
        <w:t>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Pratiques de références : </w:t>
            </w:r>
            <w:r>
              <w:rPr>
                <w:szCs w:val="24"/>
              </w:rPr>
              <w:t>l’installation et l’amélioration des prairies se fait traditionnellement par la mise en œuvre du labour.</w:t>
            </w:r>
          </w:p>
          <w:p w:rsidR="0035701C" w:rsidRDefault="00FB561B">
            <w:pPr>
              <w:spacing w:before="240" w:after="240"/>
              <w:jc w:val="left"/>
              <w:rPr>
                <w:szCs w:val="24"/>
              </w:rPr>
            </w:pPr>
            <w:r>
              <w:rPr>
                <w:b/>
                <w:bCs/>
                <w:i/>
                <w:iCs/>
                <w:szCs w:val="24"/>
              </w:rPr>
              <w:t xml:space="preserve">Prise en compte du verdissement : </w:t>
            </w:r>
            <w:r>
              <w:rPr>
                <w:szCs w:val="24"/>
              </w:rPr>
              <w:t>afin d’exclure tout double paiement, les pratiques r</w:t>
            </w:r>
            <w:r>
              <w:rPr>
                <w:szCs w:val="24"/>
              </w:rPr>
              <w:t>émunérées au titre du verdissement sont prises en compte de la façon suivante dans le calcul du montant unitaire de cette opération :</w:t>
            </w:r>
          </w:p>
          <w:p w:rsidR="0035701C" w:rsidRDefault="00FB561B" w:rsidP="00FB561B">
            <w:pPr>
              <w:numPr>
                <w:ilvl w:val="0"/>
                <w:numId w:val="636"/>
              </w:numPr>
              <w:spacing w:before="240" w:after="0"/>
              <w:ind w:hanging="210"/>
              <w:jc w:val="left"/>
              <w:rPr>
                <w:szCs w:val="24"/>
              </w:rPr>
            </w:pPr>
            <w:r>
              <w:rPr>
                <w:szCs w:val="24"/>
              </w:rPr>
              <w:t>maintien de prairies permanentes existantes : cette exigence n’a pas d’interaction avec cette opération.</w:t>
            </w:r>
          </w:p>
          <w:p w:rsidR="0035701C" w:rsidRDefault="00FB561B" w:rsidP="00FB561B">
            <w:pPr>
              <w:numPr>
                <w:ilvl w:val="0"/>
                <w:numId w:val="636"/>
              </w:numPr>
              <w:spacing w:before="0" w:after="0"/>
              <w:ind w:hanging="210"/>
              <w:jc w:val="left"/>
              <w:rPr>
                <w:szCs w:val="24"/>
              </w:rPr>
            </w:pPr>
            <w:r>
              <w:rPr>
                <w:szCs w:val="24"/>
              </w:rPr>
              <w:t xml:space="preserve">présence de 5 % </w:t>
            </w:r>
            <w:r>
              <w:rPr>
                <w:szCs w:val="24"/>
              </w:rPr>
              <w:t>de SIE (Surfaces d’Intérêt Ecologique) sur les terres arables : cette exigence a une interaction avec cette opération dans le cas où les prairies temporaires implantées sont des cultures pures de légumineuses. Cette surface engagée ne sera donc pas comptab</w:t>
            </w:r>
            <w:r>
              <w:rPr>
                <w:szCs w:val="24"/>
              </w:rPr>
              <w:t>ilisée comme SIE.</w:t>
            </w:r>
          </w:p>
          <w:p w:rsidR="0035701C" w:rsidRDefault="00FB561B" w:rsidP="00FB561B">
            <w:pPr>
              <w:numPr>
                <w:ilvl w:val="0"/>
                <w:numId w:val="636"/>
              </w:numPr>
              <w:spacing w:before="0" w:after="240"/>
              <w:ind w:hanging="210"/>
              <w:jc w:val="left"/>
              <w:rPr>
                <w:szCs w:val="24"/>
              </w:rPr>
            </w:pPr>
            <w:r>
              <w:rPr>
                <w:szCs w:val="24"/>
              </w:rPr>
              <w:t>diversification des cultures : cette exigence n’a pas d’interaction avec cette opération.</w:t>
            </w:r>
          </w:p>
          <w:p w:rsidR="0035701C" w:rsidRDefault="00FB561B">
            <w:pPr>
              <w:spacing w:before="240" w:after="240"/>
              <w:jc w:val="left"/>
              <w:rPr>
                <w:szCs w:val="24"/>
              </w:rPr>
            </w:pPr>
            <w:r>
              <w:rPr>
                <w:b/>
                <w:bCs/>
                <w:i/>
                <w:iCs/>
                <w:szCs w:val="24"/>
              </w:rPr>
              <w:t>Méthode générale de calcul du montant :</w:t>
            </w:r>
            <w:r>
              <w:rPr>
                <w:szCs w:val="24"/>
              </w:rPr>
              <w:t xml:space="preserve"> le montant de l’aide est calculé sur la base de l’estimation de la perte de production, induite par une mise</w:t>
            </w:r>
            <w:r>
              <w:rPr>
                <w:szCs w:val="24"/>
              </w:rPr>
              <w:t xml:space="preserve"> en valeur par semis direct, par rapport à la production d’une mise en valeur traditionnelle, ainsi que sur la base des coûts d’implantation des cultures. Le surcoût lié au temps d’enregistrement des interventions et des pratiques est rémunéré sous forme f</w:t>
            </w:r>
            <w:r>
              <w:rPr>
                <w:szCs w:val="24"/>
              </w:rPr>
              <w:t>orfaitaire indépendamment de la surface engagée. Il n’y a pas, dans cette opération, de coût de transaction.</w:t>
            </w:r>
          </w:p>
          <w:p w:rsidR="0035701C" w:rsidRDefault="00FB561B">
            <w:pPr>
              <w:spacing w:before="240" w:after="240"/>
              <w:jc w:val="left"/>
              <w:rPr>
                <w:szCs w:val="24"/>
              </w:rPr>
            </w:pPr>
            <w:r>
              <w:rPr>
                <w:b/>
                <w:bCs/>
                <w:i/>
                <w:iCs/>
                <w:szCs w:val="24"/>
              </w:rPr>
              <w:t>Source des données:</w:t>
            </w:r>
          </w:p>
          <w:p w:rsidR="0035701C" w:rsidRDefault="00FB561B">
            <w:pPr>
              <w:spacing w:before="240" w:after="240"/>
              <w:jc w:val="left"/>
              <w:rPr>
                <w:szCs w:val="24"/>
              </w:rPr>
            </w:pPr>
            <w:r>
              <w:rPr>
                <w:szCs w:val="24"/>
              </w:rPr>
              <w:t>UFL : Unité Fourragère Lait</w:t>
            </w:r>
          </w:p>
          <w:p w:rsidR="0035701C" w:rsidRDefault="00FB561B">
            <w:pPr>
              <w:spacing w:before="240" w:after="240"/>
              <w:jc w:val="left"/>
              <w:rPr>
                <w:szCs w:val="24"/>
              </w:rPr>
            </w:pPr>
            <w:r>
              <w:rPr>
                <w:szCs w:val="24"/>
              </w:rPr>
              <w:t>MS : Matière Sèche</w:t>
            </w:r>
          </w:p>
          <w:p w:rsidR="0035701C" w:rsidRDefault="00FB561B" w:rsidP="00FB561B">
            <w:pPr>
              <w:numPr>
                <w:ilvl w:val="0"/>
                <w:numId w:val="637"/>
              </w:numPr>
              <w:spacing w:before="240" w:after="0"/>
              <w:ind w:hanging="210"/>
              <w:jc w:val="left"/>
              <w:rPr>
                <w:szCs w:val="24"/>
              </w:rPr>
            </w:pPr>
            <w:r>
              <w:rPr>
                <w:szCs w:val="24"/>
              </w:rPr>
              <w:t xml:space="preserve">coût du matériel : Bureau de Coordination du Machinisme Agricole (BCMA), </w:t>
            </w:r>
            <w:r>
              <w:rPr>
                <w:i/>
                <w:iCs/>
                <w:szCs w:val="24"/>
              </w:rPr>
              <w:t xml:space="preserve">barème </w:t>
            </w:r>
            <w:r>
              <w:rPr>
                <w:i/>
                <w:iCs/>
                <w:szCs w:val="24"/>
              </w:rPr>
              <w:t>des façons culturales</w:t>
            </w:r>
            <w:r>
              <w:rPr>
                <w:szCs w:val="24"/>
              </w:rPr>
              <w:t xml:space="preserve"> 2014</w:t>
            </w:r>
          </w:p>
          <w:p w:rsidR="0035701C" w:rsidRDefault="00FB561B" w:rsidP="00FB561B">
            <w:pPr>
              <w:numPr>
                <w:ilvl w:val="0"/>
                <w:numId w:val="637"/>
              </w:numPr>
              <w:spacing w:before="0" w:after="0"/>
              <w:ind w:hanging="210"/>
              <w:jc w:val="left"/>
              <w:rPr>
                <w:szCs w:val="24"/>
              </w:rPr>
            </w:pPr>
            <w:r>
              <w:rPr>
                <w:szCs w:val="24"/>
              </w:rPr>
              <w:t>temps de travail : références locales issues du réseau régional d’expérimentations fourragères et de démonstrations (Office du Développement Agricole et Rural de Corse et Office de l’Environnement de la Corse)</w:t>
            </w:r>
          </w:p>
          <w:p w:rsidR="0035701C" w:rsidRDefault="00FB561B" w:rsidP="00FB561B">
            <w:pPr>
              <w:numPr>
                <w:ilvl w:val="0"/>
                <w:numId w:val="637"/>
              </w:numPr>
              <w:spacing w:before="0" w:after="0"/>
              <w:ind w:hanging="210"/>
              <w:jc w:val="left"/>
              <w:rPr>
                <w:szCs w:val="24"/>
              </w:rPr>
            </w:pPr>
            <w:r>
              <w:rPr>
                <w:szCs w:val="24"/>
              </w:rPr>
              <w:t xml:space="preserve">niveaux de </w:t>
            </w:r>
            <w:r>
              <w:rPr>
                <w:szCs w:val="24"/>
              </w:rPr>
              <w:t>production des prairies, perte de biomasse et valeur en UFL: références locales issues du réseau régional d’expérimentations fourragères et de démonstrations (Office du Développement Agricole et Rural de Corse et Office de l’Environnement de la Corse)</w:t>
            </w:r>
          </w:p>
          <w:p w:rsidR="0035701C" w:rsidRDefault="00FB561B" w:rsidP="00FB561B">
            <w:pPr>
              <w:numPr>
                <w:ilvl w:val="0"/>
                <w:numId w:val="637"/>
              </w:numPr>
              <w:spacing w:before="0" w:after="0"/>
              <w:ind w:hanging="210"/>
              <w:jc w:val="left"/>
              <w:rPr>
                <w:szCs w:val="24"/>
              </w:rPr>
            </w:pPr>
            <w:r>
              <w:rPr>
                <w:szCs w:val="24"/>
              </w:rPr>
              <w:t>coût</w:t>
            </w:r>
            <w:r>
              <w:rPr>
                <w:szCs w:val="24"/>
              </w:rPr>
              <w:t xml:space="preserve"> UFL : coopératives locales</w:t>
            </w:r>
          </w:p>
          <w:p w:rsidR="0035701C" w:rsidRDefault="00FB561B" w:rsidP="00FB561B">
            <w:pPr>
              <w:numPr>
                <w:ilvl w:val="0"/>
                <w:numId w:val="637"/>
              </w:numPr>
              <w:spacing w:before="0" w:after="240"/>
              <w:ind w:hanging="210"/>
              <w:jc w:val="left"/>
              <w:rPr>
                <w:szCs w:val="24"/>
              </w:rPr>
            </w:pPr>
            <w:r>
              <w:rPr>
                <w:i/>
                <w:iCs/>
                <w:szCs w:val="24"/>
              </w:rPr>
              <w:t>coût horaire de main d’œuvre : 2 fois le coût horaire du SMIC (1er janvier 2014).</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553200" cy="4476750"/>
                  <wp:effectExtent l="0" t="0" r="0" b="0"/>
                  <wp:docPr id="100114" name="Image 100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
                          <pic:cNvPicPr>
                            <a:picLocks noChangeAspect="1"/>
                          </pic:cNvPicPr>
                        </pic:nvPicPr>
                        <pic:blipFill>
                          <a:blip r:embed="rId69"/>
                          <a:stretch>
                            <a:fillRect/>
                          </a:stretch>
                        </pic:blipFill>
                        <pic:spPr>
                          <a:xfrm>
                            <a:off x="0" y="0"/>
                            <a:ext cx="6553200" cy="4476750"/>
                          </a:xfrm>
                          <a:prstGeom prst="rect">
                            <a:avLst/>
                          </a:prstGeom>
                        </pic:spPr>
                      </pic:pic>
                    </a:graphicData>
                  </a:graphic>
                </wp:inline>
              </w:drawing>
            </w:r>
          </w:p>
          <w:p w:rsidR="0035701C" w:rsidRDefault="00FB561B">
            <w:pPr>
              <w:pStyle w:val="Pieddepage"/>
              <w:jc w:val="center"/>
            </w:pPr>
            <w:r>
              <w:t>Prairie_2</w:t>
            </w:r>
          </w:p>
          <w:p w:rsidR="0035701C" w:rsidRDefault="0035701C">
            <w:pPr>
              <w:pStyle w:val="Pieddepage"/>
              <w:jc w:val="center"/>
            </w:pPr>
          </w:p>
        </w:tc>
      </w:tr>
    </w:tbl>
    <w:p w:rsidR="0035701C" w:rsidRDefault="00FB561B">
      <w:pPr>
        <w:pStyle w:val="Titre5"/>
        <w:rPr>
          <w:b w:val="0"/>
        </w:rPr>
      </w:pPr>
      <w:r>
        <w:rPr>
          <w:b w:val="0"/>
        </w:rPr>
        <w:br w:type="page"/>
        <w:t>-05- Prairie_3</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638"/>
              </w:numPr>
            </w:pPr>
            <w:r>
              <w:t>10.1 – Paiements au titre d'engagements agroenvironnementaux et climatiques</w:t>
            </w:r>
          </w:p>
        </w:tc>
      </w:tr>
    </w:tbl>
    <w:p w:rsidR="0035701C" w:rsidRDefault="00FB561B">
      <w:pPr>
        <w:pStyle w:val="Titre6"/>
      </w:pPr>
      <w:r>
        <w:t xml:space="preserve">Description du type </w:t>
      </w:r>
      <w:r>
        <w:t>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PRAIRIE_3 = Privilégier la fertilisation organique des prairies par l’utilisation de compost</w:t>
            </w:r>
          </w:p>
          <w:p w:rsidR="0035701C" w:rsidRDefault="00FB561B">
            <w:pPr>
              <w:spacing w:before="240" w:after="240"/>
              <w:jc w:val="left"/>
              <w:rPr>
                <w:szCs w:val="24"/>
              </w:rPr>
            </w:pPr>
            <w:r>
              <w:rPr>
                <w:szCs w:val="24"/>
              </w:rPr>
              <w:t xml:space="preserve">La fertilisation est une pratique nécessaire pour maintenir ou améliorer la fertilité des sols et apporter les éléments nutritifs </w:t>
            </w:r>
            <w:r>
              <w:rPr>
                <w:szCs w:val="24"/>
              </w:rPr>
              <w:t>nécessaires à la culture. Les matières utilisées peuvent être organiques ou minérales. Cet apport de matière fertilisante doit être raisonné pour associer production agricole de qualité et protection des milieux naturels. En effet, sans le respect des règl</w:t>
            </w:r>
            <w:r>
              <w:rPr>
                <w:szCs w:val="24"/>
              </w:rPr>
              <w:t>es de base, on observe des phénomènes de sur-fertilisation, d’épandage dans de mauvaises conditions conduisant à l’entraînement d’éléments comme l’azote ou encore le phosphore vers les eaux profondes ou les ravines, réseaux d’alimentation de nos captages e</w:t>
            </w:r>
            <w:r>
              <w:rPr>
                <w:szCs w:val="24"/>
              </w:rPr>
              <w:t>n eau potable.</w:t>
            </w:r>
          </w:p>
          <w:p w:rsidR="0035701C" w:rsidRDefault="00FB561B">
            <w:pPr>
              <w:spacing w:before="240" w:after="240"/>
              <w:jc w:val="left"/>
              <w:rPr>
                <w:szCs w:val="24"/>
              </w:rPr>
            </w:pPr>
            <w:r>
              <w:rPr>
                <w:szCs w:val="24"/>
              </w:rPr>
              <w:t>L’utilisation des engrais minéraux pour augmenter les rendements des cultures fait aujourd’hui l’objet de préoccupations environnementales. Parmi les effets négatifs attribués à ce type d’engrais, on peut citer :</w:t>
            </w:r>
          </w:p>
          <w:p w:rsidR="0035701C" w:rsidRDefault="00FB561B" w:rsidP="00FB561B">
            <w:pPr>
              <w:numPr>
                <w:ilvl w:val="0"/>
                <w:numId w:val="639"/>
              </w:numPr>
              <w:spacing w:before="240" w:after="0"/>
              <w:ind w:hanging="210"/>
              <w:jc w:val="left"/>
              <w:rPr>
                <w:szCs w:val="24"/>
              </w:rPr>
            </w:pPr>
            <w:r>
              <w:rPr>
                <w:szCs w:val="24"/>
              </w:rPr>
              <w:t>la pollution des eaux de sur</w:t>
            </w:r>
            <w:r>
              <w:rPr>
                <w:szCs w:val="24"/>
              </w:rPr>
              <w:t>faces et des eaux souterraines,</w:t>
            </w:r>
          </w:p>
          <w:p w:rsidR="0035701C" w:rsidRDefault="00FB561B" w:rsidP="00FB561B">
            <w:pPr>
              <w:numPr>
                <w:ilvl w:val="0"/>
                <w:numId w:val="639"/>
              </w:numPr>
              <w:spacing w:before="0" w:after="240"/>
              <w:ind w:hanging="210"/>
              <w:jc w:val="left"/>
              <w:rPr>
                <w:szCs w:val="24"/>
              </w:rPr>
            </w:pPr>
            <w:r>
              <w:rPr>
                <w:szCs w:val="24"/>
              </w:rPr>
              <w:t>la pollution des sols par des métaux lourds toxiques…</w:t>
            </w:r>
          </w:p>
          <w:p w:rsidR="0035701C" w:rsidRDefault="00FB561B">
            <w:pPr>
              <w:spacing w:before="240" w:after="240"/>
              <w:jc w:val="left"/>
              <w:rPr>
                <w:szCs w:val="24"/>
              </w:rPr>
            </w:pPr>
            <w:r>
              <w:rPr>
                <w:szCs w:val="24"/>
              </w:rPr>
              <w:t xml:space="preserve">Afin d’apporter une réponse à ces préoccupations, </w:t>
            </w:r>
            <w:r>
              <w:rPr>
                <w:b/>
                <w:bCs/>
                <w:szCs w:val="24"/>
              </w:rPr>
              <w:t>un apport régulier d’amendements organiques</w:t>
            </w:r>
            <w:r>
              <w:rPr>
                <w:szCs w:val="24"/>
              </w:rPr>
              <w:t xml:space="preserve"> pourrait se substituer à une fertilisation minérale.</w:t>
            </w:r>
          </w:p>
          <w:p w:rsidR="0035701C" w:rsidRDefault="00FB561B">
            <w:pPr>
              <w:spacing w:before="240" w:after="240"/>
              <w:jc w:val="left"/>
              <w:rPr>
                <w:szCs w:val="24"/>
              </w:rPr>
            </w:pPr>
            <w:r>
              <w:rPr>
                <w:szCs w:val="24"/>
              </w:rPr>
              <w:t>En effet, la fertilisat</w:t>
            </w:r>
            <w:r>
              <w:rPr>
                <w:szCs w:val="24"/>
              </w:rPr>
              <w:t>ion organique offre :</w:t>
            </w:r>
          </w:p>
          <w:p w:rsidR="0035701C" w:rsidRDefault="00FB561B" w:rsidP="00FB561B">
            <w:pPr>
              <w:numPr>
                <w:ilvl w:val="0"/>
                <w:numId w:val="640"/>
              </w:numPr>
              <w:spacing w:before="240" w:after="0"/>
              <w:ind w:hanging="210"/>
              <w:jc w:val="left"/>
              <w:rPr>
                <w:szCs w:val="24"/>
              </w:rPr>
            </w:pPr>
            <w:r>
              <w:rPr>
                <w:szCs w:val="24"/>
              </w:rPr>
              <w:t>une meilleure capacité de rétention de l’eau des sols,</w:t>
            </w:r>
          </w:p>
          <w:p w:rsidR="0035701C" w:rsidRDefault="00FB561B" w:rsidP="00FB561B">
            <w:pPr>
              <w:numPr>
                <w:ilvl w:val="0"/>
                <w:numId w:val="640"/>
              </w:numPr>
              <w:spacing w:before="0" w:after="240"/>
              <w:ind w:hanging="210"/>
              <w:jc w:val="left"/>
              <w:rPr>
                <w:szCs w:val="24"/>
              </w:rPr>
            </w:pPr>
            <w:r>
              <w:rPr>
                <w:szCs w:val="24"/>
              </w:rPr>
              <w:t>le maintien et l’amélioration de la fertilité et du statut organique des sols,</w:t>
            </w:r>
          </w:p>
          <w:p w:rsidR="0035701C" w:rsidRDefault="00FB561B">
            <w:pPr>
              <w:spacing w:before="240" w:after="240"/>
              <w:jc w:val="left"/>
              <w:rPr>
                <w:szCs w:val="24"/>
              </w:rPr>
            </w:pPr>
            <w:r>
              <w:rPr>
                <w:szCs w:val="24"/>
              </w:rPr>
              <w:t xml:space="preserve">ce qui induit des bénéfices environnementaux comme la limitation de l’érosion, le maintien d’une </w:t>
            </w:r>
            <w:r>
              <w:rPr>
                <w:szCs w:val="24"/>
              </w:rPr>
              <w:t>bonne structure des sols, le stockage du carbone, l'augmentation de la biodiversité, etc.......De plus l’utilisation des déchets organiques issus de la collecte auprès des populations, permet de les recycler et de les valoriser via les sols agricoles.</w:t>
            </w:r>
          </w:p>
          <w:p w:rsidR="0035701C" w:rsidRDefault="00FB561B">
            <w:pPr>
              <w:spacing w:before="240" w:after="240"/>
              <w:jc w:val="left"/>
              <w:rPr>
                <w:szCs w:val="24"/>
              </w:rPr>
            </w:pPr>
            <w:r>
              <w:rPr>
                <w:szCs w:val="24"/>
              </w:rPr>
              <w:t>En C</w:t>
            </w:r>
            <w:r>
              <w:rPr>
                <w:szCs w:val="24"/>
              </w:rPr>
              <w:t>orse, les engrais organiques ne peuvent provenir des exploitations d'élevage dans la mesure, où, la très grande majorité d'entre elles pratiquent un système extensif de plein air excluant la stabulation. Par conséquent il n’y a pas de quantités significati</w:t>
            </w:r>
            <w:r>
              <w:rPr>
                <w:szCs w:val="24"/>
              </w:rPr>
              <w:t xml:space="preserve">ves de fumier produit sur l’exploitation. Il sera donc nécessaire de recourir </w:t>
            </w:r>
            <w:r>
              <w:rPr>
                <w:b/>
                <w:bCs/>
                <w:szCs w:val="24"/>
              </w:rPr>
              <w:t>à une fertilisation de type compost,</w:t>
            </w:r>
            <w:r>
              <w:rPr>
                <w:szCs w:val="24"/>
              </w:rPr>
              <w:t xml:space="preserve"> qui proviendra nécessairement d'unités de production locales.</w:t>
            </w:r>
          </w:p>
          <w:p w:rsidR="0035701C" w:rsidRDefault="00FB561B">
            <w:pPr>
              <w:spacing w:before="240" w:after="240"/>
              <w:jc w:val="left"/>
              <w:rPr>
                <w:szCs w:val="24"/>
              </w:rPr>
            </w:pPr>
            <w:r>
              <w:rPr>
                <w:szCs w:val="24"/>
              </w:rPr>
              <w:t>Des éléments techniques récents, obtenus auprès des ingénieurs de la société Re</w:t>
            </w:r>
            <w:r>
              <w:rPr>
                <w:szCs w:val="24"/>
              </w:rPr>
              <w:t>cyval Environnement (Grenoble) démontrent qu'il est préférable d'épandre le compost à raison de 120 unités/ha (12 tonnes/ha) tous les deux ans au lieu de 60 unités / ha /an, compost dosé à 10 Unités de NPK par tonne. En effet, l'azote organique des compost</w:t>
            </w:r>
            <w:r>
              <w:rPr>
                <w:szCs w:val="24"/>
              </w:rPr>
              <w:t>s ne devient progressivement disponible pour la nutrition des cultures qu’après une dégradation de ces matières organiques selon des dynamiques très variables et son effet, qui se fait donc sur du long terme, permet donc un apport tous les deux ans.</w:t>
            </w:r>
          </w:p>
          <w:p w:rsidR="0035701C" w:rsidRDefault="00FB561B">
            <w:pPr>
              <w:spacing w:before="240" w:after="240"/>
              <w:jc w:val="left"/>
              <w:rPr>
                <w:szCs w:val="24"/>
              </w:rPr>
            </w:pPr>
            <w:r>
              <w:rPr>
                <w:b/>
                <w:bCs/>
                <w:i/>
                <w:iCs/>
                <w:szCs w:val="24"/>
              </w:rPr>
              <w:t>Cahier</w:t>
            </w:r>
            <w:r>
              <w:rPr>
                <w:b/>
                <w:bCs/>
                <w:i/>
                <w:iCs/>
                <w:szCs w:val="24"/>
              </w:rPr>
              <w:t xml:space="preserve"> des charges</w:t>
            </w:r>
            <w:r>
              <w:rPr>
                <w:szCs w:val="24"/>
              </w:rPr>
              <w:t> :</w:t>
            </w:r>
          </w:p>
          <w:p w:rsidR="0035701C" w:rsidRDefault="00FB561B" w:rsidP="00FB561B">
            <w:pPr>
              <w:numPr>
                <w:ilvl w:val="0"/>
                <w:numId w:val="641"/>
              </w:numPr>
              <w:spacing w:before="240" w:after="0"/>
              <w:ind w:hanging="210"/>
              <w:jc w:val="left"/>
              <w:rPr>
                <w:szCs w:val="24"/>
              </w:rPr>
            </w:pPr>
            <w:r>
              <w:rPr>
                <w:szCs w:val="24"/>
              </w:rPr>
              <w:t>l’apport consiste en 3 épandages sur la durée du contrat, en année n, en année n+2 et en année n+4 soit un apport de 60 Unités/an</w:t>
            </w:r>
          </w:p>
          <w:p w:rsidR="0035701C" w:rsidRDefault="00FB561B" w:rsidP="00FB561B">
            <w:pPr>
              <w:numPr>
                <w:ilvl w:val="0"/>
                <w:numId w:val="641"/>
              </w:numPr>
              <w:spacing w:before="0" w:after="0"/>
              <w:ind w:hanging="210"/>
              <w:jc w:val="left"/>
              <w:rPr>
                <w:szCs w:val="24"/>
              </w:rPr>
            </w:pPr>
            <w:r>
              <w:rPr>
                <w:szCs w:val="24"/>
              </w:rPr>
              <w:t>le retournement des prairies naturelles est interdit pendant la durée du contrat</w:t>
            </w:r>
          </w:p>
          <w:p w:rsidR="0035701C" w:rsidRDefault="00FB561B" w:rsidP="00FB561B">
            <w:pPr>
              <w:numPr>
                <w:ilvl w:val="0"/>
                <w:numId w:val="641"/>
              </w:numPr>
              <w:spacing w:before="0" w:after="0"/>
              <w:ind w:hanging="210"/>
              <w:jc w:val="left"/>
              <w:rPr>
                <w:szCs w:val="24"/>
              </w:rPr>
            </w:pPr>
            <w:r>
              <w:rPr>
                <w:szCs w:val="24"/>
              </w:rPr>
              <w:t xml:space="preserve">la fertilisation minérale est </w:t>
            </w:r>
            <w:r>
              <w:rPr>
                <w:szCs w:val="24"/>
              </w:rPr>
              <w:t>interdite</w:t>
            </w:r>
          </w:p>
          <w:p w:rsidR="0035701C" w:rsidRDefault="00FB561B" w:rsidP="00FB561B">
            <w:pPr>
              <w:numPr>
                <w:ilvl w:val="0"/>
                <w:numId w:val="641"/>
              </w:numPr>
              <w:spacing w:before="0" w:after="0"/>
              <w:ind w:hanging="210"/>
              <w:jc w:val="left"/>
              <w:rPr>
                <w:szCs w:val="24"/>
              </w:rPr>
            </w:pPr>
            <w:r>
              <w:rPr>
                <w:szCs w:val="24"/>
              </w:rPr>
              <w:t>l'utilisation d’herbicides est interdite</w:t>
            </w:r>
          </w:p>
          <w:p w:rsidR="0035701C" w:rsidRDefault="00FB561B" w:rsidP="00FB561B">
            <w:pPr>
              <w:numPr>
                <w:ilvl w:val="0"/>
                <w:numId w:val="641"/>
              </w:numPr>
              <w:spacing w:before="0" w:after="0"/>
              <w:ind w:hanging="210"/>
              <w:jc w:val="left"/>
              <w:rPr>
                <w:szCs w:val="24"/>
              </w:rPr>
            </w:pPr>
            <w:r>
              <w:rPr>
                <w:szCs w:val="24"/>
              </w:rPr>
              <w:t>le bénéficiaire doit fournir les analyses justifiant de la composition en éléments fertilisants du compost utilisé</w:t>
            </w:r>
          </w:p>
          <w:p w:rsidR="0035701C" w:rsidRDefault="00FB561B" w:rsidP="00FB561B">
            <w:pPr>
              <w:numPr>
                <w:ilvl w:val="0"/>
                <w:numId w:val="641"/>
              </w:numPr>
              <w:spacing w:before="0" w:after="0"/>
              <w:ind w:hanging="210"/>
              <w:jc w:val="left"/>
              <w:rPr>
                <w:szCs w:val="24"/>
              </w:rPr>
            </w:pPr>
            <w:r>
              <w:rPr>
                <w:szCs w:val="24"/>
              </w:rPr>
              <w:t>l’élaboration du plan de fumure est obligatoire</w:t>
            </w:r>
          </w:p>
          <w:p w:rsidR="0035701C" w:rsidRDefault="00FB561B" w:rsidP="00FB561B">
            <w:pPr>
              <w:numPr>
                <w:ilvl w:val="0"/>
                <w:numId w:val="641"/>
              </w:numPr>
              <w:spacing w:before="0" w:after="0"/>
              <w:ind w:hanging="210"/>
              <w:jc w:val="left"/>
              <w:rPr>
                <w:szCs w:val="24"/>
              </w:rPr>
            </w:pPr>
            <w:r>
              <w:rPr>
                <w:szCs w:val="24"/>
              </w:rPr>
              <w:t>l’enregistrement des pratiques de fertilis</w:t>
            </w:r>
            <w:r>
              <w:rPr>
                <w:szCs w:val="24"/>
              </w:rPr>
              <w:t>ation est obligatoire dans un document normé prévu à cet effet. Ce document sera remis à l’agriculteur à l’issue du diagnostic obligatoire réalisé par le service instructeur.</w:t>
            </w:r>
          </w:p>
          <w:p w:rsidR="0035701C" w:rsidRDefault="00FB561B" w:rsidP="00FB561B">
            <w:pPr>
              <w:numPr>
                <w:ilvl w:val="0"/>
                <w:numId w:val="641"/>
              </w:numPr>
              <w:spacing w:before="0" w:after="240"/>
              <w:ind w:hanging="210"/>
              <w:jc w:val="left"/>
              <w:rPr>
                <w:szCs w:val="24"/>
              </w:rPr>
            </w:pPr>
            <w:r>
              <w:rPr>
                <w:szCs w:val="24"/>
              </w:rPr>
              <w:t>seule l’irrigation de soudure est autorisée</w:t>
            </w:r>
          </w:p>
          <w:p w:rsidR="0035701C" w:rsidRDefault="0035701C">
            <w:pPr>
              <w:pStyle w:val="Corpsdetexte"/>
            </w:pPr>
          </w:p>
        </w:tc>
      </w:tr>
    </w:tbl>
    <w:p w:rsidR="0035701C" w:rsidRDefault="00FB561B">
      <w:pPr>
        <w:pStyle w:val="Titre6"/>
      </w:pPr>
      <w:r>
        <w:t>Type de soutien</w:t>
      </w:r>
    </w:p>
    <w:p w:rsidR="0035701C" w:rsidRDefault="00FB561B">
      <w:r>
        <w:t xml:space="preserve">Type de soutien: </w:t>
      </w:r>
      <w:r>
        <w:t>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 / ha /an.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642"/>
              </w:numPr>
              <w:spacing w:before="240" w:after="0"/>
              <w:ind w:hanging="210"/>
              <w:jc w:val="left"/>
              <w:rPr>
                <w:szCs w:val="24"/>
              </w:rPr>
            </w:pPr>
            <w:r>
              <w:rPr>
                <w:szCs w:val="24"/>
              </w:rPr>
              <w:t xml:space="preserve">les exigences </w:t>
            </w:r>
            <w:r>
              <w:rPr>
                <w:szCs w:val="24"/>
              </w:rPr>
              <w:t>établies en vertu de l’article 93 du Titre VI du règlement UE n° 1306/2013 relatif à la conditionnalité,</w:t>
            </w:r>
          </w:p>
          <w:p w:rsidR="0035701C" w:rsidRDefault="00FB561B" w:rsidP="00FB561B">
            <w:pPr>
              <w:numPr>
                <w:ilvl w:val="0"/>
                <w:numId w:val="642"/>
              </w:numPr>
              <w:spacing w:before="0" w:after="0"/>
              <w:ind w:hanging="210"/>
              <w:jc w:val="left"/>
              <w:rPr>
                <w:szCs w:val="24"/>
              </w:rPr>
            </w:pPr>
            <w:r>
              <w:rPr>
                <w:szCs w:val="24"/>
              </w:rPr>
              <w:t>les exigences établies en vertu de l’article 4.1c points ii) et iii) du règlement UE n°1307/2013 relatif à l’état d’entretien minimum des surfaces</w:t>
            </w:r>
          </w:p>
          <w:p w:rsidR="0035701C" w:rsidRDefault="00FB561B" w:rsidP="00FB561B">
            <w:pPr>
              <w:numPr>
                <w:ilvl w:val="0"/>
                <w:numId w:val="642"/>
              </w:numPr>
              <w:spacing w:before="0" w:after="240"/>
              <w:ind w:hanging="210"/>
              <w:jc w:val="left"/>
              <w:rPr>
                <w:szCs w:val="24"/>
              </w:rPr>
            </w:pPr>
            <w:r>
              <w:rPr>
                <w:szCs w:val="24"/>
              </w:rPr>
              <w:t>tout</w:t>
            </w:r>
            <w:r>
              <w:rPr>
                <w:szCs w:val="24"/>
              </w:rPr>
              <w:t>e autre exigence pertinente établie par la réglementation nationale, tel le Code des Bonnes Pratiques Agricoles pris par arrêté du 22 novembre 1993</w:t>
            </w:r>
          </w:p>
          <w:p w:rsidR="0035701C" w:rsidRDefault="00FB561B">
            <w:pPr>
              <w:spacing w:before="240" w:after="240"/>
              <w:jc w:val="left"/>
              <w:rPr>
                <w:szCs w:val="24"/>
              </w:rPr>
            </w:pPr>
            <w:r>
              <w:rPr>
                <w:szCs w:val="24"/>
              </w:rPr>
              <w:t>Ces éléments sont détaillés au paragraphe « Information spécifique à l’opération – Description de la ligne d</w:t>
            </w:r>
            <w:r>
              <w:rPr>
                <w:szCs w:val="24"/>
              </w:rPr>
              <w:t>e base » de la présente fiche-opération.</w:t>
            </w:r>
          </w:p>
          <w:p w:rsidR="0035701C" w:rsidRDefault="00FB561B">
            <w:pPr>
              <w:spacing w:before="240" w:after="240"/>
              <w:jc w:val="left"/>
              <w:rPr>
                <w:szCs w:val="24"/>
              </w:rPr>
            </w:pPr>
            <w:r>
              <w:rPr>
                <w:szCs w:val="24"/>
              </w:rPr>
              <w:t>Afin d’exclure tout double paiement, les pratiques visées à l’article 43 du règlement UE n° 1307/2013 sont prises en compte dans le calcul des surcoûts et manques à gagner. La méthode de calcul est détaillée au para</w:t>
            </w:r>
            <w:r>
              <w:rPr>
                <w:szCs w:val="24"/>
              </w:rPr>
              <w:t>graphe « Information spécifique à l’opération – Méthode de calcul du montant » de la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coûts sont les surcoûts, manques à </w:t>
            </w:r>
            <w:r>
              <w:rPr>
                <w:szCs w:val="24"/>
              </w:rPr>
              <w:t>gagner et éventuels coûts d’opportunité et de transaction générés par le respect éléments contractualisés.</w:t>
            </w:r>
          </w:p>
          <w:p w:rsidR="0035701C" w:rsidRDefault="00FB561B">
            <w:pPr>
              <w:spacing w:before="240" w:after="240"/>
              <w:jc w:val="left"/>
              <w:rPr>
                <w:szCs w:val="24"/>
              </w:rPr>
            </w:pPr>
            <w:r>
              <w:rPr>
                <w:szCs w:val="24"/>
              </w:rPr>
              <w:t>Dans le cas de cette opération, sont pris en compte les surcoûts et les manques à gagner.</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La réalisation d’un diagnostic</w:t>
            </w:r>
            <w:r>
              <w:rPr>
                <w:b/>
                <w:bCs/>
                <w:szCs w:val="24"/>
              </w:rPr>
              <w:t xml:space="preserve"> d’exploitation préalable à la souscription de cette opération est obligatoire.</w:t>
            </w:r>
          </w:p>
          <w:p w:rsidR="0035701C" w:rsidRDefault="00FB561B">
            <w:pPr>
              <w:spacing w:before="240" w:after="240"/>
              <w:jc w:val="left"/>
              <w:rPr>
                <w:szCs w:val="24"/>
              </w:rPr>
            </w:pPr>
            <w:r>
              <w:rPr>
                <w:b/>
                <w:bCs/>
                <w:i/>
                <w:iCs/>
                <w:szCs w:val="24"/>
              </w:rPr>
              <w:t xml:space="preserve">Surfaces éligibles: </w:t>
            </w:r>
            <w:r>
              <w:rPr>
                <w:szCs w:val="24"/>
              </w:rPr>
              <w:t>les prairies naturelles, les prairies temporaires et les cultures annuelles de type ray-grass italien.</w:t>
            </w:r>
          </w:p>
          <w:p w:rsidR="0035701C" w:rsidRDefault="0035701C">
            <w:pPr>
              <w:pStyle w:val="Corpsdetexte"/>
            </w:pPr>
          </w:p>
        </w:tc>
      </w:tr>
    </w:tbl>
    <w:p w:rsidR="0035701C" w:rsidRDefault="00FB561B">
      <w:pPr>
        <w:pStyle w:val="Titre6"/>
      </w:pPr>
      <w:r>
        <w:t>Principes applicables à l'établissement des critère</w:t>
      </w:r>
      <w:r>
        <w:t>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de l’aide est de </w:t>
            </w:r>
            <w:r>
              <w:rPr>
                <w:b/>
                <w:bCs/>
                <w:szCs w:val="24"/>
              </w:rPr>
              <w:t>359,72 € /ha/an.</w:t>
            </w:r>
          </w:p>
          <w:p w:rsidR="0035701C" w:rsidRDefault="00FB561B">
            <w:pPr>
              <w:spacing w:before="240" w:after="240"/>
              <w:jc w:val="left"/>
              <w:rPr>
                <w:szCs w:val="24"/>
              </w:rPr>
            </w:pPr>
            <w:r>
              <w:rPr>
                <w:szCs w:val="24"/>
              </w:rPr>
              <w:t>Il est rappelé que le plafond communautaire pour ce type de couvert (autres utilisations des terres) est de</w:t>
            </w:r>
            <w:r>
              <w:rPr>
                <w:szCs w:val="24"/>
              </w:rPr>
              <w:t xml:space="preserve"> 450 €/ha/an (incluant le forfait annuel).</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Détermination et définition des éléments du niveau de référence applicable, qui doivent inclure les normes obligatoires établies en application du titre VI, chapitre I, du règlement (UE) n° 1306/2013 du Parlement e</w:t>
      </w:r>
      <w:r>
        <w:t>uropéen et du Conseil, les critères pertinents et les activités minimales établies en application de l'article 4, paragraphe 1, point c) ii) et c) iii), du règlement (UE) n° 1307/2013 du Parlement européen et du Conseil, les exigences minimales applicables</w:t>
      </w:r>
      <w:r>
        <w:t xml:space="preserve"> à l'utilisation des engrais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Si les pratiques rémunérées au titre de la présente opération sont rendues obligatoires sur d</w:t>
            </w:r>
            <w:r>
              <w:rPr>
                <w:szCs w:val="24"/>
              </w:rPr>
              <w:t>es zones au titre de la protection de la biodiversité (notamment des zones classées au titre des réserves naturelles des arrêtés de protection de biotopes), celle-ci ne peut être ouverte sur les zones concernées.</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2691708"/>
                  <wp:effectExtent l="0" t="0" r="0" b="0"/>
                  <wp:docPr id="100116" name="Image 100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
                          <pic:cNvPicPr>
                            <a:picLocks noChangeAspect="1"/>
                          </pic:cNvPicPr>
                        </pic:nvPicPr>
                        <pic:blipFill>
                          <a:blip r:embed="rId70"/>
                          <a:stretch>
                            <a:fillRect/>
                          </a:stretch>
                        </pic:blipFill>
                        <pic:spPr>
                          <a:xfrm>
                            <a:off x="0" y="0"/>
                            <a:ext cx="6629400" cy="2691708"/>
                          </a:xfrm>
                          <a:prstGeom prst="rect">
                            <a:avLst/>
                          </a:prstGeom>
                        </pic:spPr>
                      </pic:pic>
                    </a:graphicData>
                  </a:graphic>
                </wp:inline>
              </w:drawing>
            </w:r>
          </w:p>
          <w:p w:rsidR="0035701C" w:rsidRDefault="00FB561B">
            <w:pPr>
              <w:pStyle w:val="Pieddepage"/>
              <w:jc w:val="center"/>
            </w:pPr>
            <w:r>
              <w:t>Prairie_3_lignebase</w:t>
            </w:r>
          </w:p>
          <w:p w:rsidR="0035701C" w:rsidRDefault="0035701C">
            <w:pPr>
              <w:pStyle w:val="Pieddepage"/>
              <w:jc w:val="center"/>
            </w:pPr>
          </w:p>
        </w:tc>
      </w:tr>
    </w:tbl>
    <w:p w:rsidR="0035701C" w:rsidRDefault="00FB561B">
      <w:r>
        <w:t xml:space="preserve">Les exigences </w:t>
      </w:r>
      <w:r>
        <w:t>minimales relatives à l'utilisation d'engrais doivent comprendre, entre autres, le respect des codes de bonnes pratiques introduits au titre de la directive 91/676/CEE pour les exploitations situées en dehors des zones vulnérables aux nitrates, et des exig</w:t>
      </w:r>
      <w:r>
        <w:t>ences concernant la pollution au phosphore; les exigences minimales relatives à l'utilisation de produits phytosanitaires doivent comprendre, entre autres, les principes généraux de la lutte intégrée contre les ennemis des cultures introduits par la direct</w:t>
      </w:r>
      <w:r>
        <w:t xml:space="preserve">ive 2009/128/CE du Parlement européen et du Conseil, l’obligation de détenir une autorisation d’utiliser les produits, de satisfaire aux conditions de formation, d’assurer un stockage sûr et de contrôler les équipements destinés à l’épandage ainsi que les </w:t>
      </w:r>
      <w:r>
        <w:t>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 Corse n’étant pas classée en zone vulnérable, seul le Code des Bonnes Pratiques Agricoles s’applique. Il re</w:t>
            </w:r>
            <w:r>
              <w:rPr>
                <w:szCs w:val="24"/>
              </w:rPr>
              <w:t>commande qu’un plan prévisionnel de fumure soit élaboré et qu’un cahier d’enregistrement des pratiques soit tenu. Ces dispositions sont obligatoires dans cette opération et non rémunérées.</w:t>
            </w:r>
          </w:p>
          <w:p w:rsidR="0035701C" w:rsidRDefault="0035701C">
            <w:pPr>
              <w:pStyle w:val="Corpsdetexte"/>
            </w:pPr>
          </w:p>
        </w:tc>
      </w:tr>
    </w:tbl>
    <w:p w:rsidR="0035701C" w:rsidRDefault="00FB561B">
      <w:r>
        <w:t>Liste des races locales qui sont menacées d’être perdues pour l’a</w:t>
      </w:r>
      <w:r>
        <w:t>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préservation des ressources génétiques.</w:t>
            </w:r>
          </w:p>
          <w:p w:rsidR="0035701C" w:rsidRDefault="0035701C">
            <w:pPr>
              <w:pStyle w:val="Corpsdetexte"/>
            </w:pPr>
          </w:p>
        </w:tc>
      </w:tr>
    </w:tbl>
    <w:p w:rsidR="0035701C" w:rsidRDefault="00FB561B">
      <w:r>
        <w:t>Description de la méthode et des hypothèses et paramètres agronomiques y compris la descrip</w:t>
      </w:r>
      <w:r>
        <w:t>tion des exigences minimales visées à l'article 29, paragraphe 2, du règlement (UE) n° 1305/2013 correspondant à chaque type particulier d'engagement, utilisés comme référence pour les calculs justifiant les coûts supplémentaires et les pertes de revenus r</w:t>
      </w:r>
      <w:r>
        <w:t>ésultant de l’engagement pris et le niveau des coûts des transactions; le cas échéant, cette méthode tient compte des aides accordées au titre du règlement (UE) n° 1307/2013, et notamment des paiements en faveur des pratiques agricoles bénéfiques pour le c</w:t>
      </w:r>
      <w:r>
        <w:t>limat et l’environnement, afin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Pratiques de référence</w:t>
            </w:r>
            <w:r>
              <w:rPr>
                <w:szCs w:val="24"/>
              </w:rPr>
              <w:t> : utilisation de la fertilisation minérale dont la dose</w:t>
            </w:r>
            <w:r>
              <w:rPr>
                <w:szCs w:val="24"/>
              </w:rPr>
              <w:t xml:space="preserve"> habituelle est comprise entre 60 et 100 Unités de NPK</w:t>
            </w:r>
          </w:p>
          <w:p w:rsidR="0035701C" w:rsidRDefault="00FB561B">
            <w:pPr>
              <w:spacing w:before="240" w:after="240"/>
              <w:jc w:val="left"/>
              <w:rPr>
                <w:szCs w:val="24"/>
              </w:rPr>
            </w:pPr>
            <w:r>
              <w:rPr>
                <w:b/>
                <w:bCs/>
                <w:i/>
                <w:iCs/>
                <w:szCs w:val="24"/>
              </w:rPr>
              <w:t xml:space="preserve">Prise en compte du verdissement : </w:t>
            </w:r>
            <w:r>
              <w:rPr>
                <w:szCs w:val="24"/>
              </w:rPr>
              <w:t>afin d’exclure tout double paiement, les pratiques rémunérées au titre du verdissement sont prises en compte de la façon suivante dans le calcul du montant unitaire de</w:t>
            </w:r>
            <w:r>
              <w:rPr>
                <w:szCs w:val="24"/>
              </w:rPr>
              <w:t xml:space="preserve"> cette opération :</w:t>
            </w:r>
          </w:p>
          <w:p w:rsidR="0035701C" w:rsidRDefault="00FB561B" w:rsidP="00FB561B">
            <w:pPr>
              <w:numPr>
                <w:ilvl w:val="0"/>
                <w:numId w:val="643"/>
              </w:numPr>
              <w:spacing w:before="240" w:after="0"/>
              <w:ind w:hanging="210"/>
              <w:jc w:val="left"/>
              <w:rPr>
                <w:szCs w:val="24"/>
              </w:rPr>
            </w:pPr>
            <w:r>
              <w:rPr>
                <w:szCs w:val="24"/>
              </w:rPr>
              <w:t>maintien de prairies permanentes existantes : cette exigence a une interaction avec cette opération. L’obligation de maintien des prairies permanentes doit être respectée à l’échelle de la parcelle engagée, ce qui est plus contraignant q</w:t>
            </w:r>
            <w:r>
              <w:rPr>
                <w:szCs w:val="24"/>
              </w:rPr>
              <w:t>ue le verdissement qui s’applique à l’échelle régionale. Par ailleurs, cette obligation n’est pas rémunérée.</w:t>
            </w:r>
          </w:p>
          <w:p w:rsidR="0035701C" w:rsidRDefault="00FB561B" w:rsidP="00FB561B">
            <w:pPr>
              <w:numPr>
                <w:ilvl w:val="0"/>
                <w:numId w:val="643"/>
              </w:numPr>
              <w:spacing w:before="0" w:after="0"/>
              <w:ind w:hanging="210"/>
              <w:jc w:val="left"/>
              <w:rPr>
                <w:szCs w:val="24"/>
              </w:rPr>
            </w:pPr>
            <w:r>
              <w:rPr>
                <w:szCs w:val="24"/>
              </w:rPr>
              <w:t>présence de 5 % de SIE (Surfaces d’Intérêt Ecologique) sur les terres arables : cette exigence n’a pas d’interaction avec cette opération.</w:t>
            </w:r>
          </w:p>
          <w:p w:rsidR="0035701C" w:rsidRDefault="00FB561B" w:rsidP="00FB561B">
            <w:pPr>
              <w:numPr>
                <w:ilvl w:val="0"/>
                <w:numId w:val="643"/>
              </w:numPr>
              <w:spacing w:before="0" w:after="240"/>
              <w:ind w:hanging="210"/>
              <w:jc w:val="left"/>
              <w:rPr>
                <w:szCs w:val="24"/>
              </w:rPr>
            </w:pPr>
            <w:r>
              <w:rPr>
                <w:szCs w:val="24"/>
              </w:rPr>
              <w:t>diversif</w:t>
            </w:r>
            <w:r>
              <w:rPr>
                <w:szCs w:val="24"/>
              </w:rPr>
              <w:t>ication des cultures : cette exigence n’a pas d’interaction avec cette opération.</w:t>
            </w:r>
          </w:p>
          <w:p w:rsidR="0035701C" w:rsidRDefault="00FB561B">
            <w:pPr>
              <w:spacing w:before="240" w:after="240"/>
              <w:jc w:val="left"/>
              <w:rPr>
                <w:szCs w:val="24"/>
              </w:rPr>
            </w:pPr>
            <w:r>
              <w:rPr>
                <w:b/>
                <w:bCs/>
                <w:i/>
                <w:iCs/>
                <w:szCs w:val="24"/>
              </w:rPr>
              <w:t xml:space="preserve">Méthode générale de calcul du montant : </w:t>
            </w:r>
            <w:r>
              <w:rPr>
                <w:szCs w:val="24"/>
              </w:rPr>
              <w:t>le montant de l’aide est calculé sur la base de l’estimation de la perte de production induite par l’utilisation de la fertilisation o</w:t>
            </w:r>
            <w:r>
              <w:rPr>
                <w:szCs w:val="24"/>
              </w:rPr>
              <w:t xml:space="preserve">rganique, par rapport à la production attendue après fertilisation chimique. Etant donné que la fertilisation chimique est prévue chaque année, alors que la fertilisation organique n’est prévue que </w:t>
            </w:r>
            <w:r>
              <w:rPr>
                <w:b/>
                <w:bCs/>
                <w:szCs w:val="24"/>
              </w:rPr>
              <w:t>tous les 2 ans</w:t>
            </w:r>
            <w:r>
              <w:rPr>
                <w:szCs w:val="24"/>
              </w:rPr>
              <w:t>, il a été choisi, pour plus de clarté, de c</w:t>
            </w:r>
            <w:r>
              <w:rPr>
                <w:szCs w:val="24"/>
              </w:rPr>
              <w:t>alculer les coûts d’achat du compost et de son épandage en équivalent annuel sur 5 ans.</w:t>
            </w:r>
            <w:r>
              <w:rPr>
                <w:szCs w:val="24"/>
              </w:rPr>
              <w:br/>
              <w:t>Le surcoût lié au temps d’élaboration du plan de fumure et de l’enregistrement des pratiques de fertilisation n’est pas rémunéré. Il n’y a pas, dans cette opération, de</w:t>
            </w:r>
            <w:r>
              <w:rPr>
                <w:szCs w:val="24"/>
              </w:rPr>
              <w:t xml:space="preserve"> coût de transaction.</w:t>
            </w:r>
          </w:p>
          <w:p w:rsidR="0035701C" w:rsidRDefault="00FB561B">
            <w:pPr>
              <w:spacing w:before="240" w:after="240"/>
              <w:jc w:val="left"/>
              <w:rPr>
                <w:szCs w:val="24"/>
              </w:rPr>
            </w:pPr>
            <w:r>
              <w:rPr>
                <w:b/>
                <w:bCs/>
                <w:i/>
                <w:iCs/>
                <w:szCs w:val="24"/>
              </w:rPr>
              <w:t>Source des données:</w:t>
            </w:r>
          </w:p>
          <w:p w:rsidR="0035701C" w:rsidRDefault="00FB561B">
            <w:pPr>
              <w:spacing w:before="240" w:after="240"/>
              <w:jc w:val="left"/>
              <w:rPr>
                <w:szCs w:val="24"/>
              </w:rPr>
            </w:pPr>
            <w:r>
              <w:rPr>
                <w:szCs w:val="24"/>
              </w:rPr>
              <w:t>UFL : Unité Fourragère Lait</w:t>
            </w:r>
          </w:p>
          <w:p w:rsidR="0035701C" w:rsidRDefault="00FB561B">
            <w:pPr>
              <w:spacing w:before="240" w:after="240"/>
              <w:jc w:val="left"/>
              <w:rPr>
                <w:szCs w:val="24"/>
              </w:rPr>
            </w:pPr>
            <w:r>
              <w:rPr>
                <w:szCs w:val="24"/>
              </w:rPr>
              <w:t>MS : Matière Sèche</w:t>
            </w:r>
          </w:p>
          <w:p w:rsidR="0035701C" w:rsidRDefault="00FB561B" w:rsidP="00FB561B">
            <w:pPr>
              <w:numPr>
                <w:ilvl w:val="0"/>
                <w:numId w:val="644"/>
              </w:numPr>
              <w:spacing w:before="240" w:after="0"/>
              <w:ind w:hanging="210"/>
              <w:jc w:val="left"/>
              <w:rPr>
                <w:szCs w:val="24"/>
              </w:rPr>
            </w:pPr>
            <w:r>
              <w:rPr>
                <w:szCs w:val="24"/>
              </w:rPr>
              <w:t xml:space="preserve">coût du matériel : </w:t>
            </w:r>
            <w:r>
              <w:rPr>
                <w:i/>
                <w:iCs/>
                <w:szCs w:val="24"/>
              </w:rPr>
              <w:t>Bureau de Coordination du Machinisme Agricole (BCMA), barème des façons culturales 2014</w:t>
            </w:r>
          </w:p>
          <w:p w:rsidR="0035701C" w:rsidRDefault="00FB561B" w:rsidP="00FB561B">
            <w:pPr>
              <w:numPr>
                <w:ilvl w:val="0"/>
                <w:numId w:val="644"/>
              </w:numPr>
              <w:spacing w:before="0" w:after="0"/>
              <w:ind w:hanging="210"/>
              <w:jc w:val="left"/>
              <w:rPr>
                <w:szCs w:val="24"/>
              </w:rPr>
            </w:pPr>
            <w:r>
              <w:rPr>
                <w:i/>
                <w:iCs/>
                <w:szCs w:val="24"/>
              </w:rPr>
              <w:t>temps de travail : références locales issues du réseau régio</w:t>
            </w:r>
            <w:r>
              <w:rPr>
                <w:i/>
                <w:iCs/>
                <w:szCs w:val="24"/>
              </w:rPr>
              <w:t>nal d’expérimentations fourragères et de démonstrations (Office du Développement Agricole et Rural de Corse et Office de l’Environnement de la Corse)</w:t>
            </w:r>
          </w:p>
          <w:p w:rsidR="0035701C" w:rsidRDefault="00FB561B" w:rsidP="00FB561B">
            <w:pPr>
              <w:numPr>
                <w:ilvl w:val="0"/>
                <w:numId w:val="644"/>
              </w:numPr>
              <w:spacing w:before="0" w:after="0"/>
              <w:ind w:hanging="210"/>
              <w:jc w:val="left"/>
              <w:rPr>
                <w:szCs w:val="24"/>
              </w:rPr>
            </w:pPr>
            <w:r>
              <w:rPr>
                <w:szCs w:val="24"/>
              </w:rPr>
              <w:t>niveaux de production des prairies, perte de biomasse et valeur en UFL:</w:t>
            </w:r>
            <w:r>
              <w:rPr>
                <w:i/>
                <w:iCs/>
                <w:szCs w:val="24"/>
              </w:rPr>
              <w:t xml:space="preserve"> références locales  issues du rése</w:t>
            </w:r>
            <w:r>
              <w:rPr>
                <w:i/>
                <w:iCs/>
                <w:szCs w:val="24"/>
              </w:rPr>
              <w:t>au régional d’expérimentations fourragères et de démonstrations (Office du Développement Agricole et Rural de Corse et Office de l’Environnement de la Corse)</w:t>
            </w:r>
          </w:p>
          <w:p w:rsidR="0035701C" w:rsidRDefault="00FB561B" w:rsidP="00FB561B">
            <w:pPr>
              <w:numPr>
                <w:ilvl w:val="0"/>
                <w:numId w:val="644"/>
              </w:numPr>
              <w:spacing w:before="0" w:after="0"/>
              <w:ind w:hanging="210"/>
              <w:jc w:val="left"/>
              <w:rPr>
                <w:szCs w:val="24"/>
              </w:rPr>
            </w:pPr>
            <w:r>
              <w:rPr>
                <w:szCs w:val="24"/>
              </w:rPr>
              <w:t>coût et valeur fertilisante des composts : unités de production de composts locales</w:t>
            </w:r>
          </w:p>
          <w:p w:rsidR="0035701C" w:rsidRDefault="00FB561B" w:rsidP="00FB561B">
            <w:pPr>
              <w:numPr>
                <w:ilvl w:val="0"/>
                <w:numId w:val="644"/>
              </w:numPr>
              <w:spacing w:before="0" w:after="0"/>
              <w:ind w:hanging="210"/>
              <w:jc w:val="left"/>
              <w:rPr>
                <w:szCs w:val="24"/>
              </w:rPr>
            </w:pPr>
            <w:r>
              <w:rPr>
                <w:szCs w:val="24"/>
              </w:rPr>
              <w:t xml:space="preserve">coût UFL et </w:t>
            </w:r>
            <w:r>
              <w:rPr>
                <w:szCs w:val="24"/>
              </w:rPr>
              <w:t>fertilisation minérale :</w:t>
            </w:r>
            <w:r>
              <w:rPr>
                <w:i/>
                <w:iCs/>
                <w:szCs w:val="24"/>
              </w:rPr>
              <w:t xml:space="preserve"> coopératives locales</w:t>
            </w:r>
          </w:p>
          <w:p w:rsidR="0035701C" w:rsidRDefault="00FB561B" w:rsidP="00FB561B">
            <w:pPr>
              <w:numPr>
                <w:ilvl w:val="0"/>
                <w:numId w:val="644"/>
              </w:numPr>
              <w:spacing w:before="0" w:after="240"/>
              <w:ind w:hanging="210"/>
              <w:jc w:val="left"/>
              <w:rPr>
                <w:szCs w:val="24"/>
              </w:rPr>
            </w:pPr>
            <w:r>
              <w:rPr>
                <w:i/>
                <w:iCs/>
                <w:szCs w:val="24"/>
              </w:rPr>
              <w:t>coût horaire de main d’œuvre : 2 fois le coût horaire du SMIC (1er janvier 2014).</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610350" cy="7972425"/>
                  <wp:effectExtent l="0" t="0" r="0" b="0"/>
                  <wp:docPr id="100118" name="Image 100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
                          <pic:cNvPicPr>
                            <a:picLocks noChangeAspect="1"/>
                          </pic:cNvPicPr>
                        </pic:nvPicPr>
                        <pic:blipFill>
                          <a:blip r:embed="rId71"/>
                          <a:stretch>
                            <a:fillRect/>
                          </a:stretch>
                        </pic:blipFill>
                        <pic:spPr>
                          <a:xfrm>
                            <a:off x="0" y="0"/>
                            <a:ext cx="6610350" cy="7972425"/>
                          </a:xfrm>
                          <a:prstGeom prst="rect">
                            <a:avLst/>
                          </a:prstGeom>
                        </pic:spPr>
                      </pic:pic>
                    </a:graphicData>
                  </a:graphic>
                </wp:inline>
              </w:drawing>
            </w:r>
          </w:p>
          <w:p w:rsidR="0035701C" w:rsidRDefault="00FB561B">
            <w:pPr>
              <w:pStyle w:val="Pieddepage"/>
              <w:jc w:val="center"/>
            </w:pPr>
            <w:r>
              <w:t>Prairie_3</w:t>
            </w:r>
          </w:p>
          <w:p w:rsidR="0035701C" w:rsidRDefault="0035701C">
            <w:pPr>
              <w:pStyle w:val="Pieddepage"/>
              <w:jc w:val="center"/>
            </w:pPr>
          </w:p>
        </w:tc>
      </w:tr>
    </w:tbl>
    <w:p w:rsidR="0035701C" w:rsidRDefault="00FB561B">
      <w:pPr>
        <w:pStyle w:val="Titre5"/>
        <w:rPr>
          <w:b w:val="0"/>
        </w:rPr>
      </w:pPr>
      <w:r>
        <w:rPr>
          <w:b w:val="0"/>
        </w:rPr>
        <w:br w:type="page"/>
        <w:t>-06- Prairie_4</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645"/>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 titre complet : PRAIRIE_4 = Protection de la tortue d’Hermann </w:t>
            </w:r>
            <w:r>
              <w:rPr>
                <w:b/>
                <w:bCs/>
                <w:i/>
                <w:iCs/>
                <w:szCs w:val="24"/>
              </w:rPr>
              <w:t>(Testudo hermanni)</w:t>
            </w:r>
            <w:r>
              <w:rPr>
                <w:b/>
                <w:bCs/>
                <w:szCs w:val="24"/>
              </w:rPr>
              <w:t xml:space="preserve"> sur les prairies fauchées</w:t>
            </w:r>
          </w:p>
          <w:p w:rsidR="0035701C" w:rsidRDefault="00FB561B">
            <w:pPr>
              <w:spacing w:before="240" w:after="240"/>
              <w:jc w:val="left"/>
              <w:rPr>
                <w:szCs w:val="24"/>
              </w:rPr>
            </w:pPr>
            <w:r>
              <w:rPr>
                <w:szCs w:val="24"/>
              </w:rPr>
              <w:t xml:space="preserve">La Tortue d’Hermann est actuellement l’un des reptiles les plus menacés à l’échelle européenne et mondiale. En </w:t>
            </w:r>
            <w:r>
              <w:rPr>
                <w:szCs w:val="24"/>
              </w:rPr>
              <w:t>France, l’espèce ne subsiste plus qu’en Corse et, en effectifs réduits, dans le Var. Les mesures mises en œuvre pour préserver l’espèce depuis une vingtaine d’années n’ont pas permis d’enrayer le processus de déclin qui est dû à des causes multiples: urban</w:t>
            </w:r>
            <w:r>
              <w:rPr>
                <w:szCs w:val="24"/>
              </w:rPr>
              <w:t>isation et aménagement du littoral méditerranéen, incendies de forêts, collecte illicite de spécimens, abandon des pratiques agro-pastorales traditionnelles.</w:t>
            </w:r>
          </w:p>
          <w:p w:rsidR="0035701C" w:rsidRDefault="00FB561B">
            <w:pPr>
              <w:spacing w:before="240" w:after="240"/>
              <w:jc w:val="left"/>
              <w:rPr>
                <w:szCs w:val="24"/>
              </w:rPr>
            </w:pPr>
            <w:r>
              <w:rPr>
                <w:szCs w:val="24"/>
              </w:rPr>
              <w:t>En tant qu’espèce en voie d’extinction, elle est inscrite à l’annexe IV de la directive CE 92/43 «</w:t>
            </w:r>
            <w:r>
              <w:rPr>
                <w:szCs w:val="24"/>
              </w:rPr>
              <w:t xml:space="preserve"> habitats, faune, flore ». Un Plan National d’Actions permettant d’améliorer l’état de conservation de l’espèce par des actions volontaires et partenariales pour restaurer les populations et leurs habitats a été lancé en 2009. Il est piloté en Corse par la</w:t>
            </w:r>
            <w:r>
              <w:rPr>
                <w:szCs w:val="24"/>
              </w:rPr>
              <w:t xml:space="preserve"> Direction Régionale de l’Environnement, de l’Aménagement et du Logement (DREAL) et l’Office de l’Environnement de la Corse (OEC), en lien avec le Conservatoire des Espaces Naturels de Corse (CEN).</w:t>
            </w:r>
          </w:p>
          <w:p w:rsidR="0035701C" w:rsidRDefault="00FB561B">
            <w:pPr>
              <w:spacing w:before="240" w:after="240"/>
              <w:jc w:val="left"/>
              <w:rPr>
                <w:szCs w:val="24"/>
              </w:rPr>
            </w:pPr>
            <w:r>
              <w:rPr>
                <w:szCs w:val="24"/>
              </w:rPr>
              <w:t>Sur certains secteurs où la population des tortues est imp</w:t>
            </w:r>
            <w:r>
              <w:rPr>
                <w:szCs w:val="24"/>
              </w:rPr>
              <w:t xml:space="preserve">ortante, il a été constaté que la fenaison pouvait porter atteinte à l’espèce. Aux dires d’experts, la tortue d’Hermann se concentre plutôt sur les bordures des prairies. Il apparaît donc que sa protection dans les prairies fauchées passe par </w:t>
            </w:r>
            <w:r>
              <w:rPr>
                <w:b/>
                <w:bCs/>
                <w:szCs w:val="24"/>
              </w:rPr>
              <w:t>la conservati</w:t>
            </w:r>
            <w:r>
              <w:rPr>
                <w:b/>
                <w:bCs/>
                <w:szCs w:val="24"/>
              </w:rPr>
              <w:t>on d’une surface de végétation sur le périmètre de la parcelle à faucher.</w:t>
            </w:r>
            <w:r>
              <w:rPr>
                <w:szCs w:val="24"/>
              </w:rPr>
              <w:t xml:space="preserve"> La largeur de cette bande de protection de la tortue d'Hermann a été fixée à </w:t>
            </w:r>
            <w:r>
              <w:rPr>
                <w:b/>
                <w:bCs/>
                <w:szCs w:val="24"/>
              </w:rPr>
              <w:t>2,5 mètres</w:t>
            </w:r>
            <w:r>
              <w:rPr>
                <w:szCs w:val="24"/>
              </w:rPr>
              <w:t xml:space="preserve"> conformément aux préconisations du Conservatoire des Espaces Naturels de Corse qui a particuli</w:t>
            </w:r>
            <w:r>
              <w:rPr>
                <w:szCs w:val="24"/>
              </w:rPr>
              <w:t>èrement recensé précisément les aires de répartition de cette espèce protégée en Corse et étudié les risques qui pèsent sur elle. Dans le cas où les parcelles concernées seraient en bordure de cours d'eau, cette bande protection de 2,5 m viendrait s’ajoute</w:t>
            </w:r>
            <w:r>
              <w:rPr>
                <w:szCs w:val="24"/>
              </w:rPr>
              <w:t>r à la «bande tampon» obligatoire de 5 mètres de large prévue par la BCAE I.</w:t>
            </w:r>
          </w:p>
          <w:p w:rsidR="0035701C" w:rsidRDefault="00FB561B">
            <w:pPr>
              <w:spacing w:before="240" w:after="240"/>
              <w:jc w:val="left"/>
              <w:rPr>
                <w:szCs w:val="24"/>
              </w:rPr>
            </w:pPr>
            <w:r>
              <w:rPr>
                <w:szCs w:val="24"/>
              </w:rPr>
              <w:t>La valeur ajoutée de cette opération est qu'elle permet une protection optimale de la tortue d'Hermann dans ces prairies, car celle-ci y présente un risque de destruction très éle</w:t>
            </w:r>
            <w:r>
              <w:rPr>
                <w:szCs w:val="24"/>
              </w:rPr>
              <w:t>vé au moment de la fauche, en imposant l'entretien de la bande tampon de 2,5 m à une période précise de l'année qui est l'hiver, période à laquelle la tortue hiberne (elle est partiellement enterrée) et présente alors très peu de risques d'être détruite pa</w:t>
            </w:r>
            <w:r>
              <w:rPr>
                <w:szCs w:val="24"/>
              </w:rPr>
              <w:t>r la faucheuse. Ce qui est rémunéré dans cette opération c'est la perte de foin engendrée par le décalage dans le temps de cette fauche, qui généralement se pratique au printemps, au moment où la tortue est sortie de son hibernation.</w:t>
            </w:r>
          </w:p>
          <w:p w:rsidR="0035701C" w:rsidRDefault="00FB561B">
            <w:pPr>
              <w:spacing w:before="240" w:after="240"/>
              <w:jc w:val="left"/>
              <w:rPr>
                <w:szCs w:val="24"/>
              </w:rPr>
            </w:pPr>
            <w:r>
              <w:rPr>
                <w:szCs w:val="24"/>
              </w:rPr>
              <w:t>Cet engagement de main</w:t>
            </w:r>
            <w:r>
              <w:rPr>
                <w:szCs w:val="24"/>
              </w:rPr>
              <w:t>tien dans un état de conservation favorable de l’espèce constitue une disposition essentielle du Plan National d’Actions en faveur de la "Tortue d'Hermann" 2009-2014.</w:t>
            </w:r>
          </w:p>
          <w:p w:rsidR="0035701C" w:rsidRDefault="00FB561B">
            <w:pPr>
              <w:spacing w:before="240" w:after="240"/>
              <w:jc w:val="left"/>
              <w:rPr>
                <w:szCs w:val="24"/>
              </w:rPr>
            </w:pPr>
            <w:r>
              <w:rPr>
                <w:b/>
                <w:bCs/>
                <w:szCs w:val="24"/>
              </w:rPr>
              <w:t>La carte de la distribution de l’espèce sera un support incontournable pour cibler les pa</w:t>
            </w:r>
            <w:r>
              <w:rPr>
                <w:b/>
                <w:bCs/>
                <w:szCs w:val="24"/>
              </w:rPr>
              <w:t>rcelles éligibles à cet engagement lors du diagnostic.</w:t>
            </w:r>
          </w:p>
          <w:p w:rsidR="0035701C" w:rsidRDefault="00FB561B">
            <w:pPr>
              <w:spacing w:before="240" w:after="240"/>
              <w:jc w:val="left"/>
              <w:rPr>
                <w:szCs w:val="24"/>
              </w:rPr>
            </w:pPr>
            <w:r>
              <w:rPr>
                <w:b/>
                <w:bCs/>
                <w:i/>
                <w:iCs/>
                <w:szCs w:val="24"/>
              </w:rPr>
              <w:t xml:space="preserve">Cahier des charges : </w:t>
            </w:r>
          </w:p>
          <w:p w:rsidR="0035701C" w:rsidRDefault="00FB561B" w:rsidP="00FB561B">
            <w:pPr>
              <w:numPr>
                <w:ilvl w:val="0"/>
                <w:numId w:val="646"/>
              </w:numPr>
              <w:spacing w:before="240" w:after="0"/>
              <w:ind w:hanging="210"/>
              <w:jc w:val="left"/>
              <w:rPr>
                <w:szCs w:val="24"/>
              </w:rPr>
            </w:pPr>
            <w:r>
              <w:rPr>
                <w:szCs w:val="24"/>
              </w:rPr>
              <w:t>l’agriculteur s’engage à conserver une bande de protection de 2,5 m de large sur tout le pourtour des parcelles fauchées et engagées (cette bande ne sera pas comptabilisée comme S</w:t>
            </w:r>
            <w:r>
              <w:rPr>
                <w:szCs w:val="24"/>
              </w:rPr>
              <w:t>IE)</w:t>
            </w:r>
          </w:p>
          <w:p w:rsidR="0035701C" w:rsidRDefault="00FB561B" w:rsidP="00FB561B">
            <w:pPr>
              <w:numPr>
                <w:ilvl w:val="0"/>
                <w:numId w:val="646"/>
              </w:numPr>
              <w:spacing w:before="0" w:after="0"/>
              <w:ind w:hanging="210"/>
              <w:jc w:val="left"/>
              <w:rPr>
                <w:szCs w:val="24"/>
              </w:rPr>
            </w:pPr>
            <w:r>
              <w:rPr>
                <w:szCs w:val="24"/>
              </w:rPr>
              <w:t>l’entretien de cette bande de protection doit être obligatoirement réalisé en hiver, au moment de l’hibernation de la tortue</w:t>
            </w:r>
          </w:p>
          <w:p w:rsidR="0035701C" w:rsidRDefault="00FB561B" w:rsidP="00FB561B">
            <w:pPr>
              <w:numPr>
                <w:ilvl w:val="0"/>
                <w:numId w:val="646"/>
              </w:numPr>
              <w:spacing w:before="0" w:after="0"/>
              <w:ind w:hanging="210"/>
              <w:jc w:val="left"/>
              <w:rPr>
                <w:szCs w:val="24"/>
              </w:rPr>
            </w:pPr>
            <w:r>
              <w:rPr>
                <w:szCs w:val="24"/>
              </w:rPr>
              <w:t>tout traitement phytopharmaceutique est interdit sur l’ensemble de la parcelle engagée (herbicides et insecticides)</w:t>
            </w:r>
          </w:p>
          <w:p w:rsidR="0035701C" w:rsidRDefault="00FB561B" w:rsidP="00FB561B">
            <w:pPr>
              <w:numPr>
                <w:ilvl w:val="0"/>
                <w:numId w:val="646"/>
              </w:numPr>
              <w:spacing w:before="0" w:after="0"/>
              <w:ind w:hanging="210"/>
              <w:jc w:val="left"/>
              <w:rPr>
                <w:szCs w:val="24"/>
              </w:rPr>
            </w:pPr>
            <w:r>
              <w:rPr>
                <w:szCs w:val="24"/>
              </w:rPr>
              <w:t xml:space="preserve">le </w:t>
            </w:r>
            <w:r>
              <w:rPr>
                <w:szCs w:val="24"/>
              </w:rPr>
              <w:t>retournement des prairies naturelles est interdit pendant la durée du contrat</w:t>
            </w:r>
          </w:p>
          <w:p w:rsidR="0035701C" w:rsidRDefault="00FB561B" w:rsidP="00FB561B">
            <w:pPr>
              <w:numPr>
                <w:ilvl w:val="0"/>
                <w:numId w:val="646"/>
              </w:numPr>
              <w:spacing w:before="0" w:after="0"/>
              <w:ind w:hanging="210"/>
              <w:jc w:val="left"/>
              <w:rPr>
                <w:szCs w:val="24"/>
              </w:rPr>
            </w:pPr>
            <w:r>
              <w:rPr>
                <w:szCs w:val="24"/>
              </w:rPr>
              <w:t>un seul renouvellement des prairies temporaires est autorisé au cours des 5 ans,</w:t>
            </w:r>
          </w:p>
          <w:p w:rsidR="0035701C" w:rsidRDefault="00FB561B" w:rsidP="00FB561B">
            <w:pPr>
              <w:numPr>
                <w:ilvl w:val="0"/>
                <w:numId w:val="646"/>
              </w:numPr>
              <w:spacing w:before="0" w:after="240"/>
              <w:ind w:hanging="210"/>
              <w:jc w:val="left"/>
              <w:rPr>
                <w:szCs w:val="24"/>
              </w:rPr>
            </w:pPr>
            <w:r>
              <w:rPr>
                <w:szCs w:val="24"/>
              </w:rPr>
              <w:t>l’agriculteur doit assurer l’enregistrement des différentes interventions et des pratiques réalis</w:t>
            </w:r>
            <w:r>
              <w:rPr>
                <w:szCs w:val="24"/>
              </w:rPr>
              <w:t>ées dans un document normé prévu à cet effet. Ce document sera remis à l’agriculteur à l’issue du diagnostic obligatoire réalisé par le service instructeur.</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w:t>
            </w:r>
            <w:r>
              <w:rPr>
                <w:szCs w:val="24"/>
              </w:rPr>
              <w:t>rée de 5 ans.</w:t>
            </w:r>
          </w:p>
          <w:p w:rsidR="0035701C" w:rsidRDefault="00FB561B">
            <w:pPr>
              <w:spacing w:before="240" w:after="240"/>
              <w:jc w:val="left"/>
              <w:rPr>
                <w:szCs w:val="24"/>
              </w:rPr>
            </w:pPr>
            <w:r>
              <w:rPr>
                <w:szCs w:val="24"/>
              </w:rPr>
              <w:t>Le montant de la rémunération est en euros /ml/an.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647"/>
              </w:numPr>
              <w:spacing w:before="240" w:after="0"/>
              <w:ind w:hanging="210"/>
              <w:jc w:val="left"/>
              <w:rPr>
                <w:szCs w:val="24"/>
              </w:rPr>
            </w:pPr>
            <w:r>
              <w:rPr>
                <w:szCs w:val="24"/>
              </w:rPr>
              <w:t xml:space="preserve">les exigences établies en vertu de l’article 93 du Titre VI du règlement UE n° </w:t>
            </w:r>
            <w:r>
              <w:rPr>
                <w:szCs w:val="24"/>
              </w:rPr>
              <w:t>1306/2013 relatif à la conditionnalité,</w:t>
            </w:r>
          </w:p>
          <w:p w:rsidR="0035701C" w:rsidRDefault="00FB561B" w:rsidP="00FB561B">
            <w:pPr>
              <w:numPr>
                <w:ilvl w:val="0"/>
                <w:numId w:val="647"/>
              </w:numPr>
              <w:spacing w:before="0" w:after="0"/>
              <w:ind w:hanging="210"/>
              <w:jc w:val="left"/>
              <w:rPr>
                <w:szCs w:val="24"/>
              </w:rPr>
            </w:pPr>
            <w:r>
              <w:rPr>
                <w:szCs w:val="24"/>
              </w:rPr>
              <w:t>les exigences établies en vertu de l’article 4.1c points ii) et iii) du règlement UE n°1307/2013 relatif à l’état d’entretien minimum des surfaces</w:t>
            </w:r>
          </w:p>
          <w:p w:rsidR="0035701C" w:rsidRDefault="00FB561B" w:rsidP="00FB561B">
            <w:pPr>
              <w:numPr>
                <w:ilvl w:val="0"/>
                <w:numId w:val="647"/>
              </w:numPr>
              <w:spacing w:before="0" w:after="240"/>
              <w:ind w:hanging="210"/>
              <w:jc w:val="left"/>
              <w:rPr>
                <w:szCs w:val="24"/>
              </w:rPr>
            </w:pPr>
            <w:r>
              <w:rPr>
                <w:szCs w:val="24"/>
              </w:rPr>
              <w:t xml:space="preserve">toute autre exigence pertinente établie par la réglementation </w:t>
            </w:r>
            <w:r>
              <w:rPr>
                <w:szCs w:val="24"/>
              </w:rPr>
              <w:t>nationale, tel le Code des Bonnes Pratiques Agricoles pris par arrêté du 22 novembre 1993</w:t>
            </w:r>
          </w:p>
          <w:p w:rsidR="0035701C" w:rsidRDefault="00FB561B">
            <w:pPr>
              <w:spacing w:before="240" w:after="240"/>
              <w:jc w:val="left"/>
              <w:rPr>
                <w:szCs w:val="24"/>
              </w:rPr>
            </w:pPr>
            <w:r>
              <w:rPr>
                <w:szCs w:val="24"/>
              </w:rPr>
              <w:t>Ces éléments sont détaillés au paragraphe « Information spécifique à l’opération – Description de la ligne de base » de la présente fiche-opération.</w:t>
            </w:r>
          </w:p>
          <w:p w:rsidR="0035701C" w:rsidRDefault="00FB561B">
            <w:pPr>
              <w:spacing w:before="240" w:after="240"/>
              <w:jc w:val="left"/>
              <w:rPr>
                <w:szCs w:val="24"/>
              </w:rPr>
            </w:pPr>
            <w:r>
              <w:rPr>
                <w:szCs w:val="24"/>
              </w:rPr>
              <w:t>Afin d’exclure to</w:t>
            </w:r>
            <w:r>
              <w:rPr>
                <w:szCs w:val="24"/>
              </w:rPr>
              <w:t>ut double paiement, les pratiques visées à l’article 43 du règlement UE n° 1307/2013 sont prises en compte dans le calcul des surcoûts et manques à gagner. La méthode de calcul est détaillée au paragraphe « Information spécifique à l’opération – Méthode de</w:t>
            </w:r>
            <w:r>
              <w:rPr>
                <w:szCs w:val="24"/>
              </w:rPr>
              <w:t xml:space="preserve"> calcul du montant » de la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sont les surcoûts, manques à gagner et éventuels coûts d’opportunité et de transaction géné</w:t>
            </w:r>
            <w:r>
              <w:rPr>
                <w:szCs w:val="24"/>
              </w:rPr>
              <w:t>rés par le respect des éléments contractualisés.</w:t>
            </w:r>
          </w:p>
          <w:p w:rsidR="0035701C" w:rsidRDefault="00FB561B">
            <w:pPr>
              <w:spacing w:before="240" w:after="240"/>
              <w:jc w:val="left"/>
              <w:rPr>
                <w:szCs w:val="24"/>
              </w:rPr>
            </w:pPr>
            <w:r>
              <w:rPr>
                <w:szCs w:val="24"/>
              </w:rPr>
              <w:t>Dans le cas de cette opération, sont pris en compte des surcoûts et des manques à gagner.</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La réalisation d’un diagnostic d’exploitation préalable à la souscription de cette </w:t>
            </w:r>
            <w:r>
              <w:rPr>
                <w:b/>
                <w:bCs/>
                <w:szCs w:val="24"/>
              </w:rPr>
              <w:t>opération est obligatoire.</w:t>
            </w:r>
          </w:p>
          <w:p w:rsidR="0035701C" w:rsidRDefault="00FB561B">
            <w:pPr>
              <w:spacing w:before="240" w:after="240"/>
              <w:jc w:val="left"/>
              <w:rPr>
                <w:szCs w:val="24"/>
              </w:rPr>
            </w:pPr>
            <w:r>
              <w:rPr>
                <w:b/>
                <w:bCs/>
                <w:i/>
                <w:iCs/>
                <w:szCs w:val="24"/>
              </w:rPr>
              <w:t>Surfaces éligibles:</w:t>
            </w:r>
            <w:r>
              <w:rPr>
                <w:szCs w:val="24"/>
              </w:rPr>
              <w:t xml:space="preserve"> les prairies naturelles, les prairies temporaires et les cultures annuelles de type Ray-grass italien… situées dans l’aire de distribution de la tortue et fauchées (cf. carte de distribution de l’espèce).</w:t>
            </w:r>
          </w:p>
          <w:p w:rsidR="0035701C" w:rsidRDefault="0035701C">
            <w:pPr>
              <w:pStyle w:val="Corpsdetexte"/>
            </w:pPr>
          </w:p>
        </w:tc>
      </w:tr>
    </w:tbl>
    <w:p w:rsidR="0035701C" w:rsidRDefault="00FB561B">
      <w:pPr>
        <w:pStyle w:val="Titre6"/>
      </w:pPr>
      <w:r>
        <w:t>Pr</w:t>
      </w:r>
      <w:r>
        <w:t>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de l’aide est de </w:t>
            </w:r>
            <w:r>
              <w:rPr>
                <w:b/>
                <w:bCs/>
                <w:szCs w:val="24"/>
              </w:rPr>
              <w:t>0,68</w:t>
            </w:r>
            <w:r>
              <w:rPr>
                <w:szCs w:val="24"/>
              </w:rPr>
              <w:t xml:space="preserve"> </w:t>
            </w:r>
            <w:r>
              <w:rPr>
                <w:b/>
                <w:bCs/>
                <w:szCs w:val="24"/>
              </w:rPr>
              <w:t>€ /ml/an</w:t>
            </w:r>
            <w:r>
              <w:rPr>
                <w:szCs w:val="24"/>
              </w:rPr>
              <w:t>.</w:t>
            </w:r>
          </w:p>
          <w:p w:rsidR="0035701C" w:rsidRDefault="0035701C">
            <w:pPr>
              <w:pStyle w:val="Corpsdetexte"/>
            </w:pPr>
          </w:p>
        </w:tc>
      </w:tr>
    </w:tbl>
    <w:p w:rsidR="0035701C" w:rsidRDefault="00FB561B">
      <w:pPr>
        <w:pStyle w:val="Titre6"/>
      </w:pPr>
      <w:r>
        <w:t xml:space="preserve">Caractère vérifiable et contrôlable des mesures et/ou </w:t>
      </w:r>
      <w:r>
        <w:t>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des éléments du niveau de </w:t>
      </w:r>
      <w:r>
        <w:t>référence applicable, qui doivent inclure les normes obligatoires établies en application du titre VI, chapitre I, du règlement (UE) n° 1306/2013 du Parlement européen et du Conseil, les critères pertinents et les activités minimales établies en applicatio</w:t>
      </w:r>
      <w:r>
        <w:t>n de l'article 4, paragraphe 1, point c) ii) et c) iii), du règlement (UE) n° 1307/2013 du Parlement européen et du Conseil, les exigences minimales applicables à l'utilisation des engrais et des produits phytosanitaire ainsi que les autres exigences oblig</w:t>
      </w:r>
      <w:r>
        <w:t>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r>
              <w:rPr>
                <w:szCs w:val="24"/>
              </w:rPr>
              <w:t>.</w:t>
            </w:r>
          </w:p>
          <w:p w:rsidR="0035701C" w:rsidRDefault="00FB561B">
            <w:pPr>
              <w:spacing w:before="240" w:after="240"/>
              <w:jc w:val="left"/>
              <w:rPr>
                <w:szCs w:val="24"/>
              </w:rPr>
            </w:pPr>
            <w:r>
              <w:rPr>
                <w:szCs w:val="24"/>
              </w:rPr>
              <w:t>Si les pratiques rémunérées au titre de la présente opération sont rendues obligatoires sur des zones au titre de la protection de la biodiversité (notamment des zones classées au titre de</w:t>
            </w:r>
            <w:r>
              <w:rPr>
                <w:szCs w:val="24"/>
              </w:rPr>
              <w:t>s réserves naturelles des arrêtés de protection de biotopes), celle-ci ne peut être ouverte sur les zones concernées.</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2273209"/>
                  <wp:effectExtent l="0" t="0" r="0" b="0"/>
                  <wp:docPr id="100120" name="Image 100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
                          <pic:cNvPicPr>
                            <a:picLocks noChangeAspect="1"/>
                          </pic:cNvPicPr>
                        </pic:nvPicPr>
                        <pic:blipFill>
                          <a:blip r:embed="rId72"/>
                          <a:stretch>
                            <a:fillRect/>
                          </a:stretch>
                        </pic:blipFill>
                        <pic:spPr>
                          <a:xfrm>
                            <a:off x="0" y="0"/>
                            <a:ext cx="6629400" cy="2273209"/>
                          </a:xfrm>
                          <a:prstGeom prst="rect">
                            <a:avLst/>
                          </a:prstGeom>
                        </pic:spPr>
                      </pic:pic>
                    </a:graphicData>
                  </a:graphic>
                </wp:inline>
              </w:drawing>
            </w:r>
          </w:p>
          <w:p w:rsidR="0035701C" w:rsidRDefault="00FB561B">
            <w:pPr>
              <w:pStyle w:val="Pieddepage"/>
              <w:jc w:val="center"/>
            </w:pPr>
            <w:r>
              <w:t>Prairie_4_lignebase</w:t>
            </w:r>
          </w:p>
          <w:p w:rsidR="0035701C" w:rsidRDefault="0035701C">
            <w:pPr>
              <w:pStyle w:val="Pieddepage"/>
              <w:jc w:val="center"/>
            </w:pPr>
          </w:p>
        </w:tc>
      </w:tr>
    </w:tbl>
    <w:p w:rsidR="0035701C" w:rsidRDefault="00FB561B">
      <w:r>
        <w:t>Les exigences minimales relatives à l'utilisation d'engrais doivent comprendre, entre autres, le respect des code</w:t>
      </w:r>
      <w:r>
        <w:t>s de bonnes pratiques introduits au titre de la directive 91/676/CEE pour les exploitations situées en dehors des zones vulnérables aux nitrates, et des exigences concernant la pollution au phosphore; les exigences minimales relatives à l'utilisation de pr</w:t>
      </w:r>
      <w:r>
        <w:t>oduits phytosanitaires doivent comprendre, entre autres, les principes généraux de la lutte intégrée contre les ennemis des cultures introduits par la directive 2009/128/CE du Parlement européen et du Conseil, l’obligation de détenir une autorisation d’uti</w:t>
      </w:r>
      <w:r>
        <w:t>liser les produits, de satisfaire aux conditions de formation, d’assurer un stockage sûr et de contrôler les équipements destinés à l’épandage ainsi que les règles relatives à l’utilisation de pesticides à proximité d’étendues d’eau et d’autres sites sensi</w:t>
      </w:r>
      <w:r>
        <w:t>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 xml:space="preserve">Liste des races locales qui sont menacées d’être perdues pour l’agriculture et des ressources génétiques végétales qui sont menacées </w:t>
      </w:r>
      <w:r>
        <w:t>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préservation des ressources génétiques.</w:t>
            </w:r>
          </w:p>
          <w:p w:rsidR="0035701C" w:rsidRDefault="0035701C">
            <w:pPr>
              <w:pStyle w:val="Corpsdetexte"/>
            </w:pPr>
          </w:p>
        </w:tc>
      </w:tr>
    </w:tbl>
    <w:p w:rsidR="0035701C" w:rsidRDefault="00FB561B">
      <w:r>
        <w:t>Description de la méthode et des hypothèses et paramètres agronomiques y compris la description des exigences minimales visées à l'article 29, paragraphe 2, du</w:t>
      </w:r>
      <w:r>
        <w:t xml:space="preserve"> règlement (UE) n° 1305/2013 correspondant à chaque type particulier d'engagement, utilisés comme référence pour les calculs justifiant les coûts supplémentaires et les pertes de revenus résultant de l’engagement pris et le niveau des coûts des transaction</w:t>
      </w:r>
      <w:r>
        <w:t>s; le cas échéant, cette méthode tient compte des aides accordées au titre du règlement (UE) n° 1307/2013, et notamment des paiements en faveur des pratiques agricoles bénéfiques pour le climat et l’environnement, afin d’exclure un double financement; le c</w:t>
      </w:r>
      <w:r>
        <w:t>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Pratiques de référence</w:t>
            </w:r>
            <w:r>
              <w:rPr>
                <w:szCs w:val="24"/>
              </w:rPr>
              <w:t> : sur les prairies, la pratique habituelle est d’en faucher la totalité de la surface sans ménager de bande de protection n</w:t>
            </w:r>
            <w:r>
              <w:rPr>
                <w:szCs w:val="24"/>
              </w:rPr>
              <w:t>on fauchées sur le pourtour.</w:t>
            </w:r>
          </w:p>
          <w:p w:rsidR="0035701C" w:rsidRDefault="00FB561B">
            <w:pPr>
              <w:spacing w:before="240" w:after="240"/>
              <w:jc w:val="left"/>
              <w:rPr>
                <w:szCs w:val="24"/>
              </w:rPr>
            </w:pPr>
            <w:r>
              <w:rPr>
                <w:b/>
                <w:bCs/>
                <w:i/>
                <w:iCs/>
                <w:szCs w:val="24"/>
              </w:rPr>
              <w:t xml:space="preserve">Prise en compte du verdissement : </w:t>
            </w:r>
            <w:r>
              <w:rPr>
                <w:szCs w:val="24"/>
              </w:rPr>
              <w:t>afin d’exclure tout double paiement, les pratiques rémunérées au titre du verdissement sont prises en compte de la façon suivante dans le calcul du montant unitaire de cette opération :</w:t>
            </w:r>
          </w:p>
          <w:p w:rsidR="0035701C" w:rsidRDefault="00FB561B" w:rsidP="00FB561B">
            <w:pPr>
              <w:numPr>
                <w:ilvl w:val="0"/>
                <w:numId w:val="648"/>
              </w:numPr>
              <w:spacing w:before="240" w:after="0"/>
              <w:ind w:hanging="210"/>
              <w:jc w:val="left"/>
              <w:rPr>
                <w:szCs w:val="24"/>
              </w:rPr>
            </w:pPr>
            <w:r>
              <w:rPr>
                <w:szCs w:val="24"/>
              </w:rPr>
              <w:t>maintie</w:t>
            </w:r>
            <w:r>
              <w:rPr>
                <w:szCs w:val="24"/>
              </w:rPr>
              <w:t>n de prairies permanentes existantes : cette exigence a une interaction avec cette opération. L’obligation de maintien des prairies permanentes doit être respectée à l’échelle de la parcelle engagée, ce qui est plus contraignant que le verdissement qui s’a</w:t>
            </w:r>
            <w:r>
              <w:rPr>
                <w:szCs w:val="24"/>
              </w:rPr>
              <w:t>pplique à l’échelle régionale. Par ailleurs cette obligation n’est pas rémunérée</w:t>
            </w:r>
          </w:p>
          <w:p w:rsidR="0035701C" w:rsidRDefault="00FB561B" w:rsidP="00FB561B">
            <w:pPr>
              <w:numPr>
                <w:ilvl w:val="0"/>
                <w:numId w:val="648"/>
              </w:numPr>
              <w:spacing w:before="0" w:after="0"/>
              <w:ind w:hanging="210"/>
              <w:jc w:val="left"/>
              <w:rPr>
                <w:szCs w:val="24"/>
              </w:rPr>
            </w:pPr>
            <w:r>
              <w:rPr>
                <w:szCs w:val="24"/>
              </w:rPr>
              <w:t>présence de 5 % de SIE (Surfaces d’Intérêt Ecologique) sur les terres arables : cette exigence a une interaction avec cette opération. La bande de protection non fauchée créée</w:t>
            </w:r>
            <w:r>
              <w:rPr>
                <w:szCs w:val="24"/>
              </w:rPr>
              <w:t xml:space="preserve"> ne sera pas comptabilisée comme SIE.</w:t>
            </w:r>
          </w:p>
          <w:p w:rsidR="0035701C" w:rsidRDefault="00FB561B" w:rsidP="00FB561B">
            <w:pPr>
              <w:numPr>
                <w:ilvl w:val="0"/>
                <w:numId w:val="648"/>
              </w:numPr>
              <w:spacing w:before="0" w:after="240"/>
              <w:ind w:hanging="210"/>
              <w:jc w:val="left"/>
              <w:rPr>
                <w:szCs w:val="24"/>
              </w:rPr>
            </w:pPr>
            <w:r>
              <w:rPr>
                <w:szCs w:val="24"/>
              </w:rPr>
              <w:t>diversification des cultures : cette exigence n’a pas d’interaction avec cette opération.</w:t>
            </w:r>
          </w:p>
          <w:p w:rsidR="0035701C" w:rsidRDefault="00FB561B">
            <w:pPr>
              <w:spacing w:before="240" w:after="240"/>
              <w:jc w:val="left"/>
              <w:rPr>
                <w:szCs w:val="24"/>
              </w:rPr>
            </w:pPr>
            <w:r>
              <w:rPr>
                <w:b/>
                <w:bCs/>
                <w:i/>
                <w:iCs/>
                <w:szCs w:val="24"/>
              </w:rPr>
              <w:t>Méthode générale de calcul du montant :</w:t>
            </w:r>
            <w:r>
              <w:rPr>
                <w:szCs w:val="24"/>
              </w:rPr>
              <w:t xml:space="preserve"> le montant de l’aide est calculé sur la base du manque à gagner induit par la perte de p</w:t>
            </w:r>
            <w:r>
              <w:rPr>
                <w:szCs w:val="24"/>
              </w:rPr>
              <w:t>roduction de foin sur la bande de protection périmétrale et du surcoût lié au temps d’enregistrement des interventions et des pratiques. Il n’y a pas, dans cette opération, de coût de transaction.</w:t>
            </w:r>
          </w:p>
          <w:p w:rsidR="0035701C" w:rsidRDefault="00FB561B">
            <w:pPr>
              <w:spacing w:before="240" w:after="240"/>
              <w:jc w:val="left"/>
              <w:rPr>
                <w:szCs w:val="24"/>
              </w:rPr>
            </w:pPr>
            <w:r>
              <w:rPr>
                <w:b/>
                <w:bCs/>
                <w:i/>
                <w:iCs/>
                <w:szCs w:val="24"/>
              </w:rPr>
              <w:t>Source des données:</w:t>
            </w:r>
          </w:p>
          <w:p w:rsidR="0035701C" w:rsidRDefault="00FB561B">
            <w:pPr>
              <w:spacing w:before="240" w:after="240"/>
              <w:jc w:val="left"/>
              <w:rPr>
                <w:szCs w:val="24"/>
              </w:rPr>
            </w:pPr>
            <w:r>
              <w:rPr>
                <w:szCs w:val="24"/>
              </w:rPr>
              <w:t>MS : Matière Sèche</w:t>
            </w:r>
          </w:p>
          <w:p w:rsidR="0035701C" w:rsidRDefault="00FB561B" w:rsidP="00FB561B">
            <w:pPr>
              <w:numPr>
                <w:ilvl w:val="0"/>
                <w:numId w:val="649"/>
              </w:numPr>
              <w:spacing w:before="240" w:after="0"/>
              <w:ind w:hanging="210"/>
              <w:jc w:val="left"/>
              <w:rPr>
                <w:szCs w:val="24"/>
              </w:rPr>
            </w:pPr>
            <w:r>
              <w:rPr>
                <w:szCs w:val="24"/>
              </w:rPr>
              <w:t xml:space="preserve">temps de travail : </w:t>
            </w:r>
            <w:r>
              <w:rPr>
                <w:i/>
                <w:iCs/>
                <w:szCs w:val="24"/>
              </w:rPr>
              <w:t>r</w:t>
            </w:r>
            <w:r>
              <w:rPr>
                <w:i/>
                <w:iCs/>
                <w:szCs w:val="24"/>
              </w:rPr>
              <w:t>éférences locales issues du réseau régional d’expérimentations fourragères et de démonstrations (Office du Développement Agricole et Rural de Corse et Office de l’Environnement de la Corse)</w:t>
            </w:r>
          </w:p>
          <w:p w:rsidR="0035701C" w:rsidRDefault="00FB561B" w:rsidP="00FB561B">
            <w:pPr>
              <w:numPr>
                <w:ilvl w:val="0"/>
                <w:numId w:val="649"/>
              </w:numPr>
              <w:spacing w:before="0" w:after="0"/>
              <w:ind w:hanging="210"/>
              <w:jc w:val="left"/>
              <w:rPr>
                <w:szCs w:val="24"/>
              </w:rPr>
            </w:pPr>
            <w:r>
              <w:rPr>
                <w:szCs w:val="24"/>
              </w:rPr>
              <w:t>niveaux de production des prairies, perte de biomasse et taux de M</w:t>
            </w:r>
            <w:r>
              <w:rPr>
                <w:szCs w:val="24"/>
              </w:rPr>
              <w:t>S/kg:</w:t>
            </w:r>
            <w:r>
              <w:rPr>
                <w:i/>
                <w:iCs/>
                <w:szCs w:val="24"/>
              </w:rPr>
              <w:t xml:space="preserve"> références locales issues du réseau régional d’expérimentations fourragères et de démonstrations (Office du Développement Agricole et Rural de Corse et Office de l’Environnement de la Corse)</w:t>
            </w:r>
          </w:p>
          <w:p w:rsidR="0035701C" w:rsidRDefault="00FB561B" w:rsidP="00FB561B">
            <w:pPr>
              <w:numPr>
                <w:ilvl w:val="0"/>
                <w:numId w:val="649"/>
              </w:numPr>
              <w:spacing w:before="0" w:after="240"/>
              <w:ind w:hanging="210"/>
              <w:jc w:val="left"/>
              <w:rPr>
                <w:szCs w:val="24"/>
              </w:rPr>
            </w:pPr>
            <w:r>
              <w:rPr>
                <w:szCs w:val="24"/>
              </w:rPr>
              <w:t xml:space="preserve">coût horaire de main d’œuvre : </w:t>
            </w:r>
            <w:r>
              <w:rPr>
                <w:i/>
                <w:iCs/>
                <w:szCs w:val="24"/>
              </w:rPr>
              <w:t xml:space="preserve">2 fois le coût horaire du </w:t>
            </w:r>
            <w:r>
              <w:rPr>
                <w:i/>
                <w:iCs/>
                <w:szCs w:val="24"/>
              </w:rPr>
              <w:t>SMIC (1er janvier 2014)</w:t>
            </w:r>
          </w:p>
          <w:p w:rsidR="0035701C" w:rsidRDefault="00FB561B">
            <w:pPr>
              <w:spacing w:before="240" w:after="240"/>
              <w:jc w:val="left"/>
              <w:rPr>
                <w:szCs w:val="24"/>
              </w:rPr>
            </w:pPr>
            <w:r>
              <w:rPr>
                <w:szCs w:val="24"/>
              </w:rPr>
              <w:t> </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534150" cy="4133850"/>
                  <wp:effectExtent l="0" t="0" r="0" b="0"/>
                  <wp:docPr id="100122" name="Image 100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
                          <pic:cNvPicPr>
                            <a:picLocks noChangeAspect="1"/>
                          </pic:cNvPicPr>
                        </pic:nvPicPr>
                        <pic:blipFill>
                          <a:blip r:embed="rId73"/>
                          <a:stretch>
                            <a:fillRect/>
                          </a:stretch>
                        </pic:blipFill>
                        <pic:spPr>
                          <a:xfrm>
                            <a:off x="0" y="0"/>
                            <a:ext cx="6534150" cy="4133850"/>
                          </a:xfrm>
                          <a:prstGeom prst="rect">
                            <a:avLst/>
                          </a:prstGeom>
                        </pic:spPr>
                      </pic:pic>
                    </a:graphicData>
                  </a:graphic>
                </wp:inline>
              </w:drawing>
            </w:r>
          </w:p>
          <w:p w:rsidR="0035701C" w:rsidRDefault="00FB561B">
            <w:pPr>
              <w:pStyle w:val="Pieddepage"/>
              <w:jc w:val="center"/>
            </w:pPr>
            <w:r>
              <w:t>Prairie_4</w:t>
            </w:r>
          </w:p>
          <w:p w:rsidR="0035701C" w:rsidRDefault="0035701C">
            <w:pPr>
              <w:pStyle w:val="Pieddepage"/>
              <w:jc w:val="center"/>
            </w:pPr>
          </w:p>
        </w:tc>
      </w:tr>
    </w:tbl>
    <w:p w:rsidR="0035701C" w:rsidRDefault="00FB561B">
      <w:pPr>
        <w:pStyle w:val="Titre5"/>
        <w:rPr>
          <w:b w:val="0"/>
        </w:rPr>
      </w:pPr>
      <w:r>
        <w:rPr>
          <w:b w:val="0"/>
        </w:rPr>
        <w:br w:type="page"/>
        <w:t>-07- Prairie_5</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650"/>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 titre complet : PRAIRIE_5 = Remplacer le désherbage chimique par un </w:t>
            </w:r>
            <w:r>
              <w:rPr>
                <w:b/>
                <w:bCs/>
                <w:szCs w:val="24"/>
              </w:rPr>
              <w:t>traitement mécanique sur les prairies destinées uniquement à la fauche</w:t>
            </w:r>
          </w:p>
          <w:p w:rsidR="0035701C" w:rsidRDefault="00FB561B">
            <w:pPr>
              <w:spacing w:before="240" w:after="240"/>
              <w:jc w:val="left"/>
              <w:rPr>
                <w:szCs w:val="24"/>
              </w:rPr>
            </w:pPr>
            <w:r>
              <w:rPr>
                <w:szCs w:val="24"/>
              </w:rPr>
              <w:t>Sur les prairies de fauche, la production fourragère a été intensifiée par le recours à la fertilisation et au traitement chimique des adventices. En effet, les adventices (chardons, ru</w:t>
            </w:r>
            <w:r>
              <w:rPr>
                <w:szCs w:val="24"/>
              </w:rPr>
              <w:t>mex, radis, choux, ….) sont traitées chimiquement chaque année pour limiter leur extension et améliorer sensiblement la qualité nutritive des foins produits destinés à l’alimentation des cheptels. Aussi, afin de limiter et/ou supprimer l’utilisation d’herb</w:t>
            </w:r>
            <w:r>
              <w:rPr>
                <w:szCs w:val="24"/>
              </w:rPr>
              <w:t>icides chimiques ayant une action nocive sur l’environnement, il est proposé de remplacer ces traitements par des traitements mécaniques.</w:t>
            </w:r>
          </w:p>
          <w:p w:rsidR="0035701C" w:rsidRDefault="00FB561B">
            <w:pPr>
              <w:spacing w:before="240" w:after="240"/>
              <w:jc w:val="left"/>
              <w:rPr>
                <w:szCs w:val="24"/>
              </w:rPr>
            </w:pPr>
            <w:r>
              <w:rPr>
                <w:szCs w:val="24"/>
              </w:rPr>
              <w:t>Une fertilisation NPK est autorisée de l’ordre de 60 Unités /ha/an.</w:t>
            </w:r>
          </w:p>
          <w:p w:rsidR="0035701C" w:rsidRDefault="00FB561B">
            <w:pPr>
              <w:spacing w:before="240" w:after="240"/>
              <w:jc w:val="left"/>
              <w:rPr>
                <w:szCs w:val="24"/>
              </w:rPr>
            </w:pPr>
            <w:r>
              <w:rPr>
                <w:szCs w:val="24"/>
              </w:rPr>
              <w:t>Cette opération est réservée aux prairies destinée</w:t>
            </w:r>
            <w:r>
              <w:rPr>
                <w:szCs w:val="24"/>
              </w:rPr>
              <w:t>s exclusivement à la fauche, le pâturage étant interdit.</w:t>
            </w:r>
          </w:p>
          <w:p w:rsidR="0035701C" w:rsidRDefault="00FB561B">
            <w:pPr>
              <w:spacing w:before="240" w:after="240"/>
              <w:jc w:val="left"/>
              <w:rPr>
                <w:szCs w:val="24"/>
              </w:rPr>
            </w:pPr>
            <w:r>
              <w:rPr>
                <w:b/>
                <w:bCs/>
                <w:i/>
                <w:iCs/>
                <w:szCs w:val="24"/>
              </w:rPr>
              <w:t>Cahier des charges :</w:t>
            </w:r>
          </w:p>
          <w:p w:rsidR="0035701C" w:rsidRDefault="00FB561B" w:rsidP="00FB561B">
            <w:pPr>
              <w:numPr>
                <w:ilvl w:val="0"/>
                <w:numId w:val="651"/>
              </w:numPr>
              <w:spacing w:before="240" w:after="0"/>
              <w:ind w:hanging="210"/>
              <w:jc w:val="left"/>
              <w:rPr>
                <w:szCs w:val="24"/>
              </w:rPr>
            </w:pPr>
            <w:r>
              <w:rPr>
                <w:szCs w:val="24"/>
              </w:rPr>
              <w:t>le pâturage est interdit</w:t>
            </w:r>
          </w:p>
          <w:p w:rsidR="0035701C" w:rsidRDefault="00FB561B" w:rsidP="00FB561B">
            <w:pPr>
              <w:numPr>
                <w:ilvl w:val="0"/>
                <w:numId w:val="651"/>
              </w:numPr>
              <w:spacing w:before="0" w:after="0"/>
              <w:ind w:hanging="210"/>
              <w:jc w:val="left"/>
              <w:rPr>
                <w:szCs w:val="24"/>
              </w:rPr>
            </w:pPr>
            <w:r>
              <w:rPr>
                <w:szCs w:val="24"/>
              </w:rPr>
              <w:t>l’utilisation d’herbicides est interdite</w:t>
            </w:r>
          </w:p>
          <w:p w:rsidR="0035701C" w:rsidRDefault="00FB561B" w:rsidP="00FB561B">
            <w:pPr>
              <w:numPr>
                <w:ilvl w:val="0"/>
                <w:numId w:val="651"/>
              </w:numPr>
              <w:spacing w:before="0" w:after="0"/>
              <w:ind w:hanging="210"/>
              <w:jc w:val="left"/>
              <w:rPr>
                <w:szCs w:val="24"/>
              </w:rPr>
            </w:pPr>
            <w:r>
              <w:rPr>
                <w:szCs w:val="24"/>
              </w:rPr>
              <w:t>l’agriculteur doit faucher la strate herbacée 3 fois entre septembre et fin février afin d’empêcher tout dévelop</w:t>
            </w:r>
            <w:r>
              <w:rPr>
                <w:szCs w:val="24"/>
              </w:rPr>
              <w:t>pement d’adventices</w:t>
            </w:r>
          </w:p>
          <w:p w:rsidR="0035701C" w:rsidRDefault="00FB561B" w:rsidP="00FB561B">
            <w:pPr>
              <w:numPr>
                <w:ilvl w:val="0"/>
                <w:numId w:val="651"/>
              </w:numPr>
              <w:spacing w:before="0" w:after="0"/>
              <w:ind w:hanging="210"/>
              <w:jc w:val="left"/>
              <w:rPr>
                <w:szCs w:val="24"/>
              </w:rPr>
            </w:pPr>
            <w:r>
              <w:rPr>
                <w:szCs w:val="24"/>
              </w:rPr>
              <w:t>le retournement des prairies naturelles est interdit pendant la durée du contrat</w:t>
            </w:r>
          </w:p>
          <w:p w:rsidR="0035701C" w:rsidRDefault="00FB561B" w:rsidP="00FB561B">
            <w:pPr>
              <w:numPr>
                <w:ilvl w:val="0"/>
                <w:numId w:val="651"/>
              </w:numPr>
              <w:spacing w:before="0" w:after="0"/>
              <w:ind w:hanging="210"/>
              <w:jc w:val="left"/>
              <w:rPr>
                <w:szCs w:val="24"/>
              </w:rPr>
            </w:pPr>
            <w:r>
              <w:rPr>
                <w:szCs w:val="24"/>
              </w:rPr>
              <w:t>un seul renouvellement des prairies temporaires est autorisé au cours des 5 ans,</w:t>
            </w:r>
          </w:p>
          <w:p w:rsidR="0035701C" w:rsidRDefault="00FB561B" w:rsidP="00FB561B">
            <w:pPr>
              <w:numPr>
                <w:ilvl w:val="0"/>
                <w:numId w:val="651"/>
              </w:numPr>
              <w:spacing w:before="0" w:after="240"/>
              <w:ind w:hanging="210"/>
              <w:jc w:val="left"/>
              <w:rPr>
                <w:szCs w:val="24"/>
              </w:rPr>
            </w:pPr>
            <w:r>
              <w:rPr>
                <w:szCs w:val="24"/>
              </w:rPr>
              <w:t xml:space="preserve">l’agriculteur doit assurer l’enregistrement des différentes interventions </w:t>
            </w:r>
            <w:r>
              <w:rPr>
                <w:szCs w:val="24"/>
              </w:rPr>
              <w:t>et des pratiques réalisées dans un document normé prévu à cet effet. Ce document sera remis à l’agriculteur à l’issue du diagnostic obligatoire réalisé par le service instructeur.</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w:t>
            </w:r>
            <w:r>
              <w:rPr>
                <w:szCs w:val="24"/>
              </w:rPr>
              <w:t>st accordée pour une durée de 5 ans.</w:t>
            </w:r>
          </w:p>
          <w:p w:rsidR="0035701C" w:rsidRDefault="00FB561B">
            <w:pPr>
              <w:spacing w:before="240" w:after="240"/>
              <w:jc w:val="left"/>
              <w:rPr>
                <w:szCs w:val="24"/>
              </w:rPr>
            </w:pPr>
            <w:r>
              <w:rPr>
                <w:szCs w:val="24"/>
              </w:rPr>
              <w:t>Le montant de la rémunération est en euros/ha/an.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652"/>
              </w:numPr>
              <w:spacing w:before="240" w:after="0"/>
              <w:ind w:hanging="210"/>
              <w:jc w:val="left"/>
              <w:rPr>
                <w:szCs w:val="24"/>
              </w:rPr>
            </w:pPr>
            <w:r>
              <w:rPr>
                <w:szCs w:val="24"/>
              </w:rPr>
              <w:t>les exigences établies en vertu de l’article 93 du Titre VI du</w:t>
            </w:r>
            <w:r>
              <w:rPr>
                <w:szCs w:val="24"/>
              </w:rPr>
              <w:t xml:space="preserve"> règlement UE n° 1306/2013 relatif à la conditionnalité,</w:t>
            </w:r>
          </w:p>
          <w:p w:rsidR="0035701C" w:rsidRDefault="00FB561B" w:rsidP="00FB561B">
            <w:pPr>
              <w:numPr>
                <w:ilvl w:val="0"/>
                <w:numId w:val="652"/>
              </w:numPr>
              <w:spacing w:before="0" w:after="0"/>
              <w:ind w:hanging="210"/>
              <w:jc w:val="left"/>
              <w:rPr>
                <w:szCs w:val="24"/>
              </w:rPr>
            </w:pPr>
            <w:r>
              <w:rPr>
                <w:szCs w:val="24"/>
              </w:rPr>
              <w:t>les exigences établies en vertu de l’article 4.1c points ii) et iii) du règlement UE n°1307/2013 relatif à l’état d’entretien minimum des surfaces</w:t>
            </w:r>
          </w:p>
          <w:p w:rsidR="0035701C" w:rsidRDefault="00FB561B" w:rsidP="00FB561B">
            <w:pPr>
              <w:numPr>
                <w:ilvl w:val="0"/>
                <w:numId w:val="652"/>
              </w:numPr>
              <w:spacing w:before="0" w:after="240"/>
              <w:ind w:hanging="210"/>
              <w:jc w:val="left"/>
              <w:rPr>
                <w:szCs w:val="24"/>
              </w:rPr>
            </w:pPr>
            <w:r>
              <w:rPr>
                <w:szCs w:val="24"/>
              </w:rPr>
              <w:t xml:space="preserve">toute autre exigence pertinente établie par la </w:t>
            </w:r>
            <w:r>
              <w:rPr>
                <w:szCs w:val="24"/>
              </w:rPr>
              <w:t>réglementation nationale, tel le Code des Bonnes Pratiques Agricoles pris par arrêté du 22 novembre 1993</w:t>
            </w:r>
          </w:p>
          <w:p w:rsidR="0035701C" w:rsidRDefault="00FB561B">
            <w:pPr>
              <w:spacing w:before="240" w:after="240"/>
              <w:jc w:val="left"/>
              <w:rPr>
                <w:szCs w:val="24"/>
              </w:rPr>
            </w:pPr>
            <w:r>
              <w:rPr>
                <w:szCs w:val="24"/>
              </w:rPr>
              <w:t>Ces éléments sont détaillés au paragraphe « Information spécifique à l’opération – Description de la ligne de base » de la présente fiche-opération.</w:t>
            </w:r>
          </w:p>
          <w:p w:rsidR="0035701C" w:rsidRDefault="00FB561B">
            <w:pPr>
              <w:spacing w:before="240" w:after="240"/>
              <w:jc w:val="left"/>
              <w:rPr>
                <w:szCs w:val="24"/>
              </w:rPr>
            </w:pPr>
            <w:r>
              <w:rPr>
                <w:szCs w:val="24"/>
              </w:rPr>
              <w:t>Af</w:t>
            </w:r>
            <w:r>
              <w:rPr>
                <w:szCs w:val="24"/>
              </w:rPr>
              <w:t>in d’exclure tout double paiement, les pratiques visées à l’article 43 du règlement UE n° 1307/2013 sont prises en compte dans le calcul des surcoûts et manques à gagner. La méthode de calcul est détaillée au paragraphe « Information spécifique à l’opérati</w:t>
            </w:r>
            <w:r>
              <w:rPr>
                <w:szCs w:val="24"/>
              </w:rPr>
              <w:t>on – Méthode de calcul du montant » de la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coûts éligibles sont les surcoûts, manques à gagner et éventuels coûts </w:t>
            </w:r>
            <w:r>
              <w:rPr>
                <w:szCs w:val="24"/>
              </w:rPr>
              <w:t>d’opportunité et de transaction générés par le respect des éléments contractualisés.</w:t>
            </w:r>
          </w:p>
          <w:p w:rsidR="0035701C" w:rsidRDefault="00FB561B">
            <w:pPr>
              <w:spacing w:before="240" w:after="240"/>
              <w:jc w:val="left"/>
              <w:rPr>
                <w:szCs w:val="24"/>
              </w:rPr>
            </w:pPr>
            <w:r>
              <w:rPr>
                <w:szCs w:val="24"/>
              </w:rPr>
              <w:t>Dans le cas de cette opération, sont pris en compte uniquement des surcoûts.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La réalisation d’un diagnostic d’exploitation préalable à la </w:t>
            </w:r>
            <w:r>
              <w:rPr>
                <w:b/>
                <w:bCs/>
                <w:szCs w:val="24"/>
              </w:rPr>
              <w:t>souscription de cette opération est obligatoire.</w:t>
            </w:r>
          </w:p>
          <w:p w:rsidR="0035701C" w:rsidRDefault="00FB561B">
            <w:pPr>
              <w:spacing w:before="240" w:after="240"/>
              <w:jc w:val="left"/>
              <w:rPr>
                <w:szCs w:val="24"/>
              </w:rPr>
            </w:pPr>
            <w:r>
              <w:rPr>
                <w:b/>
                <w:bCs/>
                <w:i/>
                <w:iCs/>
                <w:szCs w:val="24"/>
              </w:rPr>
              <w:t>Surfaces éligibles:</w:t>
            </w:r>
            <w:r>
              <w:rPr>
                <w:szCs w:val="24"/>
              </w:rPr>
              <w:t xml:space="preserve"> cet engagement est réservé aux prairies destinées exclusivement à la fauche (prairies naturelles et temporaires), le pâturage étant interdit.</w:t>
            </w:r>
          </w:p>
          <w:p w:rsidR="0035701C" w:rsidRDefault="0035701C">
            <w:pPr>
              <w:pStyle w:val="Corpsdetexte"/>
            </w:pPr>
          </w:p>
        </w:tc>
      </w:tr>
    </w:tbl>
    <w:p w:rsidR="0035701C" w:rsidRDefault="00FB561B">
      <w:pPr>
        <w:pStyle w:val="Titre6"/>
      </w:pPr>
      <w:r>
        <w:t>Principes applicables à l'établissement des</w:t>
      </w:r>
      <w:r>
        <w:t xml:space="preserve">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de l’aide est de </w:t>
            </w:r>
            <w:r>
              <w:rPr>
                <w:b/>
                <w:bCs/>
                <w:szCs w:val="24"/>
              </w:rPr>
              <w:t>142,94 €/ha/an</w:t>
            </w:r>
            <w:r>
              <w:rPr>
                <w:szCs w:val="24"/>
              </w:rPr>
              <w:t xml:space="preserve"> pour les prairies de légumineuses ou associations et </w:t>
            </w:r>
            <w:r>
              <w:rPr>
                <w:b/>
                <w:bCs/>
                <w:szCs w:val="24"/>
              </w:rPr>
              <w:t>193,61 €/ha/an</w:t>
            </w:r>
            <w:r>
              <w:rPr>
                <w:szCs w:val="24"/>
              </w:rPr>
              <w:t xml:space="preserve"> pour les prairies de graminées, a</w:t>
            </w:r>
            <w:r>
              <w:rPr>
                <w:szCs w:val="24"/>
              </w:rPr>
              <w:t xml:space="preserve">uquel vient s’ajouter une somme forfaitaire de </w:t>
            </w:r>
            <w:r>
              <w:rPr>
                <w:b/>
                <w:bCs/>
                <w:szCs w:val="24"/>
              </w:rPr>
              <w:t>57,18 €/an</w:t>
            </w:r>
            <w:r>
              <w:rPr>
                <w:szCs w:val="24"/>
              </w:rPr>
              <w:t xml:space="preserve"> liée à l’enregistrement des pratiques et des interventions.</w:t>
            </w:r>
          </w:p>
          <w:p w:rsidR="0035701C" w:rsidRDefault="00FB561B">
            <w:pPr>
              <w:spacing w:before="240" w:after="240"/>
              <w:jc w:val="left"/>
              <w:rPr>
                <w:szCs w:val="24"/>
              </w:rPr>
            </w:pPr>
            <w:r>
              <w:rPr>
                <w:szCs w:val="24"/>
              </w:rPr>
              <w:t>Il est rappelé que le plafond communautaire pour ce type de couvert (autres utilisations des terres) est de 450 €/ha/an (incluant le forfa</w:t>
            </w:r>
            <w:r>
              <w:rPr>
                <w:szCs w:val="24"/>
              </w:rPr>
              <w:t>it annuel).</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 xml:space="preserve">Informations spécifiques sur </w:t>
      </w:r>
      <w:r>
        <w:t>l'opération</w:t>
      </w:r>
    </w:p>
    <w:p w:rsidR="0035701C" w:rsidRDefault="00FB561B">
      <w:r>
        <w:t xml:space="preserve">Détermination et définition des éléments du niveau de référence applicable, qui doivent inclure les normes obligatoires établies en application du titre VI, chapitre I, du règlement (UE) n° 1306/2013 du Parlement européen et du Conseil, les </w:t>
      </w:r>
      <w:r>
        <w:t>critères pertinents et les activités minimales établies en application de l'article 4, paragraphe 1, point c) ii) et c) iii), du règlement (UE) n° 1307/2013 du Parlement européen et du Conseil, les exigences minimales applicables à l'utilisation des engrai</w:t>
      </w:r>
      <w:r>
        <w:t>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Si les pratiques rémunérées au titre de la présente opération sont rendues obligatoires sur des zones au titre de la pro</w:t>
            </w:r>
            <w:r>
              <w:rPr>
                <w:szCs w:val="24"/>
              </w:rPr>
              <w:t>tection de la biodiversité (notamment des zones classées au titre des réserves naturelles des arrêtés de protection de biotopes), celle-ci ne peut être ouverte sur les zones concernées.</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871048"/>
                  <wp:effectExtent l="0" t="0" r="0" b="0"/>
                  <wp:docPr id="100124" name="Image 100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
                          <pic:cNvPicPr>
                            <a:picLocks noChangeAspect="1"/>
                          </pic:cNvPicPr>
                        </pic:nvPicPr>
                        <pic:blipFill>
                          <a:blip r:embed="rId74"/>
                          <a:stretch>
                            <a:fillRect/>
                          </a:stretch>
                        </pic:blipFill>
                        <pic:spPr>
                          <a:xfrm>
                            <a:off x="0" y="0"/>
                            <a:ext cx="6629400" cy="1871048"/>
                          </a:xfrm>
                          <a:prstGeom prst="rect">
                            <a:avLst/>
                          </a:prstGeom>
                        </pic:spPr>
                      </pic:pic>
                    </a:graphicData>
                  </a:graphic>
                </wp:inline>
              </w:drawing>
            </w:r>
          </w:p>
          <w:p w:rsidR="0035701C" w:rsidRDefault="00FB561B">
            <w:pPr>
              <w:pStyle w:val="Pieddepage"/>
              <w:jc w:val="center"/>
            </w:pPr>
            <w:r>
              <w:t>Prairie_5_lignebase</w:t>
            </w:r>
          </w:p>
          <w:p w:rsidR="0035701C" w:rsidRDefault="0035701C">
            <w:pPr>
              <w:pStyle w:val="Pieddepage"/>
              <w:jc w:val="center"/>
            </w:pPr>
          </w:p>
        </w:tc>
      </w:tr>
    </w:tbl>
    <w:p w:rsidR="0035701C" w:rsidRDefault="00FB561B">
      <w:r>
        <w:t>Les exigences minimales relatives à l'utilisa</w:t>
      </w:r>
      <w:r>
        <w:t>tion d'engrais doivent comprendre, entre autres, le respect des codes de bonnes pratiques introduits au titre de la directive 91/676/CEE pour les exploitations situées en dehors des zones vulnérables aux nitrates, et des exigences concernant la pollution a</w:t>
      </w:r>
      <w:r>
        <w:t>u phosphore; les exigences minimales relatives à l'utilisation de produits phytosanitaires doivent comprendre, entre autres, les principes généraux de la lutte intégrée contre les ennemis des cultures introduits par la directive 2009/128/CE du Parlement eu</w:t>
      </w:r>
      <w:r>
        <w:t>ropéen et du Conseil, l’obligation de détenir une autorisation d’utiliser les produits, de satisfaire aux conditions de formation, d’assurer un stockage sûr et de contrôler les équipements destinés à l’épandage ainsi que les règles relatives à l’utilisatio</w:t>
      </w:r>
      <w:r>
        <w:t>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 xml:space="preserve">Liste des races locales qui sont menacées d’être perdues pour </w:t>
      </w:r>
      <w:r>
        <w:t>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préservation des ressources génétiques</w:t>
            </w:r>
          </w:p>
          <w:p w:rsidR="0035701C" w:rsidRDefault="0035701C">
            <w:pPr>
              <w:pStyle w:val="Corpsdetexte"/>
            </w:pPr>
          </w:p>
        </w:tc>
      </w:tr>
    </w:tbl>
    <w:p w:rsidR="0035701C" w:rsidRDefault="00FB561B">
      <w:r>
        <w:t>Description de la méthode et des hypothèses et paramètres agronomiques y compris la descr</w:t>
      </w:r>
      <w:r>
        <w:t>iption des exigences minimales visées à l'article 29, paragraphe 2, du règlement (UE) n° 1305/2013 correspondant à chaque type particulier d'engagement, utilisés comme référence pour les calculs justifiant les coûts supplémentaires et les pertes de revenus</w:t>
      </w:r>
      <w:r>
        <w:t xml:space="preserve"> résultant de l’engagement pris et le niveau des coûts des transactions; le cas échéant, cette méthode tient compte des aides accordées au titre du règlement (UE) n° 1307/2013, et notamment des paiements en faveur des pratiques agricoles bénéfiques pour le</w:t>
      </w:r>
      <w:r>
        <w:t xml:space="preserve"> climat et l’environnement, afin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Pratiques de référence</w:t>
            </w:r>
            <w:r>
              <w:rPr>
                <w:szCs w:val="24"/>
              </w:rPr>
              <w:t> : utilisation d’herbicides pour maîtriser les adventi</w:t>
            </w:r>
            <w:r>
              <w:rPr>
                <w:szCs w:val="24"/>
              </w:rPr>
              <w:t>ces dans les prairies de fauche</w:t>
            </w:r>
          </w:p>
          <w:p w:rsidR="0035701C" w:rsidRDefault="00FB561B">
            <w:pPr>
              <w:spacing w:before="240" w:after="240"/>
              <w:jc w:val="left"/>
              <w:rPr>
                <w:szCs w:val="24"/>
              </w:rPr>
            </w:pPr>
            <w:r>
              <w:rPr>
                <w:b/>
                <w:bCs/>
                <w:i/>
                <w:iCs/>
                <w:szCs w:val="24"/>
              </w:rPr>
              <w:t xml:space="preserve">Prise en compte du verdissement : </w:t>
            </w:r>
            <w:r>
              <w:rPr>
                <w:szCs w:val="24"/>
              </w:rPr>
              <w:t>afin d’exclure tout double paiement, les pratiques rémunérées au titre du verdissement sont prises en compte de la façon suivante dans le calcul du montant unitaire de cette opération :</w:t>
            </w:r>
          </w:p>
          <w:p w:rsidR="0035701C" w:rsidRDefault="00FB561B" w:rsidP="00FB561B">
            <w:pPr>
              <w:numPr>
                <w:ilvl w:val="0"/>
                <w:numId w:val="653"/>
              </w:numPr>
              <w:spacing w:before="240" w:after="0"/>
              <w:ind w:hanging="210"/>
              <w:jc w:val="left"/>
              <w:rPr>
                <w:szCs w:val="24"/>
              </w:rPr>
            </w:pPr>
            <w:r>
              <w:rPr>
                <w:szCs w:val="24"/>
              </w:rPr>
              <w:t>maintien de prairies permanentes existantes : cette exigence a une interaction avec cette opération. L’obligation de maintien des surfaces en herbe doit être respectée à l’échelle de la parcelle engagée, ce qui est plus contraignant que le verdissement qui</w:t>
            </w:r>
            <w:r>
              <w:rPr>
                <w:szCs w:val="24"/>
              </w:rPr>
              <w:t xml:space="preserve"> s’applique à l’échelle régionale. Par ailleurs cette obligation n’est pas rémunérée.</w:t>
            </w:r>
          </w:p>
          <w:p w:rsidR="0035701C" w:rsidRDefault="00FB561B" w:rsidP="00FB561B">
            <w:pPr>
              <w:numPr>
                <w:ilvl w:val="0"/>
                <w:numId w:val="653"/>
              </w:numPr>
              <w:spacing w:before="0" w:after="0"/>
              <w:ind w:hanging="210"/>
              <w:jc w:val="left"/>
              <w:rPr>
                <w:szCs w:val="24"/>
              </w:rPr>
            </w:pPr>
            <w:r>
              <w:rPr>
                <w:szCs w:val="24"/>
              </w:rPr>
              <w:t>présence de 5 % de SIE (Surfaces d’Intérêt Ecologique) sur les terres arables : cette exigence n’a pas d’interaction avec cette opération.</w:t>
            </w:r>
          </w:p>
          <w:p w:rsidR="0035701C" w:rsidRDefault="00FB561B" w:rsidP="00FB561B">
            <w:pPr>
              <w:numPr>
                <w:ilvl w:val="0"/>
                <w:numId w:val="653"/>
              </w:numPr>
              <w:spacing w:before="0" w:after="240"/>
              <w:ind w:hanging="210"/>
              <w:jc w:val="left"/>
              <w:rPr>
                <w:szCs w:val="24"/>
              </w:rPr>
            </w:pPr>
            <w:r>
              <w:rPr>
                <w:szCs w:val="24"/>
              </w:rPr>
              <w:t xml:space="preserve">diversification des cultures : </w:t>
            </w:r>
            <w:r>
              <w:rPr>
                <w:szCs w:val="24"/>
              </w:rPr>
              <w:t>cette exigence n’a pas d’interaction avec cette opération.</w:t>
            </w:r>
          </w:p>
          <w:p w:rsidR="0035701C" w:rsidRDefault="00FB561B">
            <w:pPr>
              <w:spacing w:before="240" w:after="240"/>
              <w:jc w:val="left"/>
              <w:rPr>
                <w:szCs w:val="24"/>
              </w:rPr>
            </w:pPr>
            <w:r>
              <w:rPr>
                <w:b/>
                <w:bCs/>
                <w:i/>
                <w:iCs/>
                <w:szCs w:val="24"/>
              </w:rPr>
              <w:t>Méthode générale de calcul du montant :</w:t>
            </w:r>
            <w:r>
              <w:rPr>
                <w:szCs w:val="24"/>
              </w:rPr>
              <w:t xml:space="preserve"> le montant de l’aide est calculé sur la base de l’utilisation du matériel et du temps de travail supplémentaire nécessaire pour lutter contre le développemen</w:t>
            </w:r>
            <w:r>
              <w:rPr>
                <w:szCs w:val="24"/>
              </w:rPr>
              <w:t>t des adventices par traitements mécaniques, par rapport à l’utilisation de produits phytosanitaires. Le surcoût lié au temps d’enregistrement des interventions et des pratiques est rémunéré sous forme forfaitaire indépendamment de la surface engagée. Il n</w:t>
            </w:r>
            <w:r>
              <w:rPr>
                <w:szCs w:val="24"/>
              </w:rPr>
              <w:t>’y a pas, dans cette opération, de coût de transaction.</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654"/>
              </w:numPr>
              <w:spacing w:before="240" w:after="0"/>
              <w:ind w:hanging="210"/>
              <w:jc w:val="left"/>
              <w:rPr>
                <w:szCs w:val="24"/>
              </w:rPr>
            </w:pPr>
            <w:r>
              <w:rPr>
                <w:szCs w:val="24"/>
              </w:rPr>
              <w:t xml:space="preserve">coût du matériel : </w:t>
            </w:r>
            <w:r>
              <w:rPr>
                <w:i/>
                <w:iCs/>
                <w:szCs w:val="24"/>
              </w:rPr>
              <w:t>Bureau de Coordination du Machinisme Agricole (BCMA), barème des façons culturales 2014</w:t>
            </w:r>
          </w:p>
          <w:p w:rsidR="0035701C" w:rsidRDefault="00FB561B" w:rsidP="00FB561B">
            <w:pPr>
              <w:numPr>
                <w:ilvl w:val="0"/>
                <w:numId w:val="654"/>
              </w:numPr>
              <w:spacing w:before="0" w:after="0"/>
              <w:ind w:hanging="210"/>
              <w:jc w:val="left"/>
              <w:rPr>
                <w:szCs w:val="24"/>
              </w:rPr>
            </w:pPr>
            <w:r>
              <w:rPr>
                <w:i/>
                <w:iCs/>
                <w:szCs w:val="24"/>
              </w:rPr>
              <w:t>temps de travail : références locales issues du réseau régional d’expérim</w:t>
            </w:r>
            <w:r>
              <w:rPr>
                <w:i/>
                <w:iCs/>
                <w:szCs w:val="24"/>
              </w:rPr>
              <w:t>entations fourragères et de démonstrations (Office du Développement Agricole et Rural de Corse et Office de l’Environnement de la Corse)</w:t>
            </w:r>
          </w:p>
          <w:p w:rsidR="0035701C" w:rsidRDefault="00FB561B" w:rsidP="00FB561B">
            <w:pPr>
              <w:numPr>
                <w:ilvl w:val="0"/>
                <w:numId w:val="654"/>
              </w:numPr>
              <w:spacing w:before="0" w:after="0"/>
              <w:ind w:hanging="210"/>
              <w:jc w:val="left"/>
              <w:rPr>
                <w:szCs w:val="24"/>
              </w:rPr>
            </w:pPr>
            <w:r>
              <w:rPr>
                <w:szCs w:val="24"/>
              </w:rPr>
              <w:t>coût herbicides :</w:t>
            </w:r>
            <w:r>
              <w:rPr>
                <w:i/>
                <w:iCs/>
                <w:szCs w:val="24"/>
              </w:rPr>
              <w:t xml:space="preserve"> coopératives locales</w:t>
            </w:r>
          </w:p>
          <w:p w:rsidR="0035701C" w:rsidRDefault="00FB561B" w:rsidP="00FB561B">
            <w:pPr>
              <w:numPr>
                <w:ilvl w:val="0"/>
                <w:numId w:val="654"/>
              </w:numPr>
              <w:spacing w:before="0" w:after="240"/>
              <w:ind w:hanging="210"/>
              <w:jc w:val="left"/>
              <w:rPr>
                <w:szCs w:val="24"/>
              </w:rPr>
            </w:pPr>
            <w:r>
              <w:rPr>
                <w:szCs w:val="24"/>
              </w:rPr>
              <w:t xml:space="preserve">coût horaire de main d’œuvre : </w:t>
            </w:r>
            <w:r>
              <w:rPr>
                <w:i/>
                <w:iCs/>
                <w:szCs w:val="24"/>
              </w:rPr>
              <w:t>2 fois le coût horaire du SMIC (1er janvier 2014)</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3953052"/>
                  <wp:effectExtent l="0" t="0" r="0" b="0"/>
                  <wp:docPr id="100126" name="Image 10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
                          <pic:cNvPicPr>
                            <a:picLocks noChangeAspect="1"/>
                          </pic:cNvPicPr>
                        </pic:nvPicPr>
                        <pic:blipFill>
                          <a:blip r:embed="rId75"/>
                          <a:stretch>
                            <a:fillRect/>
                          </a:stretch>
                        </pic:blipFill>
                        <pic:spPr>
                          <a:xfrm>
                            <a:off x="0" y="0"/>
                            <a:ext cx="6629400" cy="3953052"/>
                          </a:xfrm>
                          <a:prstGeom prst="rect">
                            <a:avLst/>
                          </a:prstGeom>
                        </pic:spPr>
                      </pic:pic>
                    </a:graphicData>
                  </a:graphic>
                </wp:inline>
              </w:drawing>
            </w:r>
          </w:p>
          <w:p w:rsidR="0035701C" w:rsidRDefault="00FB561B">
            <w:pPr>
              <w:pStyle w:val="Pieddepage"/>
              <w:jc w:val="center"/>
            </w:pPr>
            <w:r>
              <w:t>Prairie_5</w:t>
            </w:r>
          </w:p>
          <w:p w:rsidR="0035701C" w:rsidRDefault="0035701C">
            <w:pPr>
              <w:pStyle w:val="Pieddepage"/>
              <w:jc w:val="center"/>
            </w:pPr>
          </w:p>
        </w:tc>
      </w:tr>
    </w:tbl>
    <w:p w:rsidR="0035701C" w:rsidRDefault="00FB561B">
      <w:pPr>
        <w:pStyle w:val="Titre5"/>
        <w:rPr>
          <w:b w:val="0"/>
        </w:rPr>
      </w:pPr>
      <w:r>
        <w:rPr>
          <w:b w:val="0"/>
        </w:rPr>
        <w:br w:type="page"/>
        <w:t>-08- Prairie_6</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655"/>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 titre complet : PRAIRIE_6 = Protection des sols par la mise en œuvre des techniques culturales </w:t>
            </w:r>
            <w:r>
              <w:rPr>
                <w:b/>
                <w:bCs/>
                <w:szCs w:val="24"/>
              </w:rPr>
              <w:t>simplifiées pour l’installation des cultures annuelles</w:t>
            </w:r>
          </w:p>
          <w:p w:rsidR="0035701C" w:rsidRDefault="00FB561B">
            <w:pPr>
              <w:spacing w:before="240" w:after="240"/>
              <w:jc w:val="left"/>
              <w:rPr>
                <w:szCs w:val="24"/>
              </w:rPr>
            </w:pPr>
            <w:r>
              <w:rPr>
                <w:szCs w:val="24"/>
              </w:rPr>
              <w:t>Dans les systèmes agro-pastoraux corses, les cultures annuelles de graminées de type Rays-Grass Italien et céréales à pâturer peuvent constituer une part non négligeable de la Surface Fourragère Produc</w:t>
            </w:r>
            <w:r>
              <w:rPr>
                <w:szCs w:val="24"/>
              </w:rPr>
              <w:t>tive (SFP). Elles sont néanmoins nécessaires dans les systèmes d'assolement car le Ray-Grass italien est une espèce fourragère qui est facile d’implantation, qui résiste au piétinement, aux intempéries et qui possède un fort pouvoir couvrant. Elle présente</w:t>
            </w:r>
            <w:r>
              <w:rPr>
                <w:szCs w:val="24"/>
              </w:rPr>
              <w:t xml:space="preserve"> aussi l’avantage d’être pâturable rapidement après semis.</w:t>
            </w:r>
          </w:p>
          <w:p w:rsidR="0035701C" w:rsidRDefault="00FB561B">
            <w:pPr>
              <w:spacing w:before="240" w:after="240"/>
              <w:jc w:val="left"/>
              <w:rPr>
                <w:szCs w:val="24"/>
              </w:rPr>
            </w:pPr>
            <w:r>
              <w:rPr>
                <w:szCs w:val="24"/>
              </w:rPr>
              <w:t>Par contre, il est vrai que si ces cultures sont implantées annuellement avec des techniques culturales traditionnelles (labour), elles peuvent présenter un facteur de risque pour les sols. Les tra</w:t>
            </w:r>
            <w:r>
              <w:rPr>
                <w:szCs w:val="24"/>
              </w:rPr>
              <w:t>vaux de labours importants et récurrents impactent sensiblement la biodiversité du sol. En effet, le sol est un milieu vivant constitué de milliers d’espèces représentées et le type de technique choisi pour travailler le sol va avoir des impacts importants</w:t>
            </w:r>
            <w:r>
              <w:rPr>
                <w:szCs w:val="24"/>
              </w:rPr>
              <w:t xml:space="preserve"> sur les organismes.</w:t>
            </w:r>
          </w:p>
          <w:p w:rsidR="0035701C" w:rsidRDefault="00FB561B">
            <w:pPr>
              <w:spacing w:before="240" w:after="240"/>
              <w:jc w:val="left"/>
              <w:rPr>
                <w:szCs w:val="24"/>
              </w:rPr>
            </w:pPr>
            <w:r>
              <w:rPr>
                <w:szCs w:val="24"/>
              </w:rPr>
              <w:t>Globalement, l’abondance et la diversité de la faune édaphique sont les conséquences directes du travail du sol qui entraîne une modification de l’habitat ainsi que de la distribution des apports nutritifs. En évitant la perte de struc</w:t>
            </w:r>
            <w:r>
              <w:rPr>
                <w:szCs w:val="24"/>
              </w:rPr>
              <w:t>ture causée par le labour et en permettant aux résidus de culture d’être présents dans les premiers centimètres du sol, un habitat favorable aux organismes est crée ce qui améliore très fortement l’ensemble des propriétés du sol. En effet, l’augmentation d</w:t>
            </w:r>
            <w:r>
              <w:rPr>
                <w:szCs w:val="24"/>
              </w:rPr>
              <w:t>e la matière organique dans les premiers centimètres constitue une réserve de nutriments indispensable qui permet le développement et l’activité des êtres vivants. Ainsi, l’ensemble de la chaîne alimentaire pourra bénéficier de l’arrêt du retournement du s</w:t>
            </w:r>
            <w:r>
              <w:rPr>
                <w:szCs w:val="24"/>
              </w:rPr>
              <w:t>ol.</w:t>
            </w:r>
          </w:p>
          <w:p w:rsidR="0035701C" w:rsidRDefault="00FB561B">
            <w:pPr>
              <w:spacing w:before="240" w:after="240"/>
              <w:jc w:val="left"/>
              <w:rPr>
                <w:szCs w:val="24"/>
              </w:rPr>
            </w:pPr>
            <w:r>
              <w:rPr>
                <w:szCs w:val="24"/>
              </w:rPr>
              <w:t>Cette opération vise précisément à remplacer la technique du labour, par une Technique Culturale Simplifiée de type "semis direct" qui ne nécessite qu'un travail superficiel du sol et qui de ce fait, limite fortement les impacts sur le sol (érosion, le</w:t>
            </w:r>
            <w:r>
              <w:rPr>
                <w:szCs w:val="24"/>
              </w:rPr>
              <w:t>ssivage, perte de biodiversité...).</w:t>
            </w:r>
          </w:p>
          <w:p w:rsidR="0035701C" w:rsidRDefault="00FB561B">
            <w:pPr>
              <w:spacing w:before="240" w:after="240"/>
              <w:jc w:val="left"/>
              <w:rPr>
                <w:szCs w:val="24"/>
              </w:rPr>
            </w:pPr>
            <w:r>
              <w:rPr>
                <w:szCs w:val="24"/>
              </w:rPr>
              <w:t>Ces techniques culturales simplifiées ont un impact positif sur d’autres enjeux comme l’eau en améliorant la rétention des couches les plus hautes du sol en limitant l’évaporation grâce aux résidus de culture encore prés</w:t>
            </w:r>
            <w:r>
              <w:rPr>
                <w:szCs w:val="24"/>
              </w:rPr>
              <w:t>ents. Elles favorisent l’effet de réserve car le labour est plus demandeur en énergie et donc augmente l’émission de CO2. De plus, en adoptant les techniques culturales simplifiées, l’exploitant augmente sa production de matière organique et donc la séques</w:t>
            </w:r>
            <w:r>
              <w:rPr>
                <w:szCs w:val="24"/>
              </w:rPr>
              <w:t>tration du carbone.</w:t>
            </w:r>
          </w:p>
          <w:p w:rsidR="0035701C" w:rsidRDefault="00FB561B">
            <w:pPr>
              <w:spacing w:before="240" w:after="240"/>
              <w:jc w:val="left"/>
              <w:rPr>
                <w:szCs w:val="24"/>
              </w:rPr>
            </w:pPr>
            <w:r>
              <w:rPr>
                <w:szCs w:val="24"/>
              </w:rPr>
              <w:t>De plus, le fait d’introduire en mélange avec le Ray-grass italien, une légumineuse annuelle de type trèfle annuel, …. va permettre de limiter les apports d'azote.</w:t>
            </w:r>
          </w:p>
          <w:p w:rsidR="0035701C" w:rsidRDefault="00FB561B">
            <w:pPr>
              <w:spacing w:before="240" w:after="240"/>
              <w:jc w:val="left"/>
              <w:rPr>
                <w:szCs w:val="24"/>
              </w:rPr>
            </w:pPr>
            <w:r>
              <w:rPr>
                <w:szCs w:val="24"/>
              </w:rPr>
              <w:t>Une fertilisation NPK est autorisée de l’ordre de 60 Unités /ha/an.</w:t>
            </w:r>
          </w:p>
          <w:p w:rsidR="0035701C" w:rsidRDefault="00FB561B">
            <w:pPr>
              <w:spacing w:before="240" w:after="240"/>
              <w:jc w:val="left"/>
              <w:rPr>
                <w:szCs w:val="24"/>
              </w:rPr>
            </w:pPr>
            <w:r>
              <w:rPr>
                <w:b/>
                <w:bCs/>
                <w:i/>
                <w:iCs/>
                <w:szCs w:val="24"/>
              </w:rPr>
              <w:t>Cahi</w:t>
            </w:r>
            <w:r>
              <w:rPr>
                <w:b/>
                <w:bCs/>
                <w:i/>
                <w:iCs/>
                <w:szCs w:val="24"/>
              </w:rPr>
              <w:t>er des charges :</w:t>
            </w:r>
          </w:p>
          <w:p w:rsidR="0035701C" w:rsidRDefault="00FB561B" w:rsidP="00FB561B">
            <w:pPr>
              <w:numPr>
                <w:ilvl w:val="0"/>
                <w:numId w:val="656"/>
              </w:numPr>
              <w:spacing w:before="240" w:after="0"/>
              <w:ind w:hanging="210"/>
              <w:jc w:val="left"/>
              <w:rPr>
                <w:szCs w:val="24"/>
              </w:rPr>
            </w:pPr>
            <w:r>
              <w:rPr>
                <w:szCs w:val="24"/>
              </w:rPr>
              <w:t>l’agriculteur s’engage à implanter ses cultures annuelles par semis direct uniquement</w:t>
            </w:r>
          </w:p>
          <w:p w:rsidR="0035701C" w:rsidRDefault="00FB561B" w:rsidP="00FB561B">
            <w:pPr>
              <w:numPr>
                <w:ilvl w:val="0"/>
                <w:numId w:val="656"/>
              </w:numPr>
              <w:spacing w:before="0" w:after="0"/>
              <w:ind w:hanging="210"/>
              <w:jc w:val="left"/>
              <w:rPr>
                <w:szCs w:val="24"/>
              </w:rPr>
            </w:pPr>
            <w:r>
              <w:rPr>
                <w:szCs w:val="24"/>
              </w:rPr>
              <w:t>le désherbage chimique avant et après l’implantation de la culture est interdit</w:t>
            </w:r>
          </w:p>
          <w:p w:rsidR="0035701C" w:rsidRDefault="00FB561B" w:rsidP="00FB561B">
            <w:pPr>
              <w:numPr>
                <w:ilvl w:val="0"/>
                <w:numId w:val="656"/>
              </w:numPr>
              <w:spacing w:before="0" w:after="0"/>
              <w:ind w:hanging="210"/>
              <w:jc w:val="left"/>
              <w:rPr>
                <w:szCs w:val="24"/>
              </w:rPr>
            </w:pPr>
            <w:r>
              <w:rPr>
                <w:szCs w:val="24"/>
              </w:rPr>
              <w:t xml:space="preserve">l’agriculteur doit chaque année sur la durée du contrat, renouveler </w:t>
            </w:r>
            <w:r>
              <w:rPr>
                <w:szCs w:val="24"/>
              </w:rPr>
              <w:t>l’opération dans les mêmes conditions</w:t>
            </w:r>
          </w:p>
          <w:p w:rsidR="0035701C" w:rsidRDefault="00FB561B" w:rsidP="00FB561B">
            <w:pPr>
              <w:numPr>
                <w:ilvl w:val="0"/>
                <w:numId w:val="656"/>
              </w:numPr>
              <w:spacing w:before="0" w:after="0"/>
              <w:ind w:hanging="210"/>
              <w:jc w:val="left"/>
              <w:rPr>
                <w:szCs w:val="24"/>
              </w:rPr>
            </w:pPr>
            <w:r>
              <w:rPr>
                <w:szCs w:val="24"/>
              </w:rPr>
              <w:t xml:space="preserve">il s’engage aussi à utiliser comme matériel végétal, obligatoirement une graminée de type Ray-Grass italien </w:t>
            </w:r>
            <w:r>
              <w:rPr>
                <w:szCs w:val="24"/>
                <w:u w:val="single"/>
              </w:rPr>
              <w:t>en association</w:t>
            </w:r>
            <w:r>
              <w:rPr>
                <w:szCs w:val="24"/>
              </w:rPr>
              <w:t xml:space="preserve"> avec une légumineuse de type Trèfle annuel,</w:t>
            </w:r>
          </w:p>
          <w:p w:rsidR="0035701C" w:rsidRDefault="00FB561B" w:rsidP="00FB561B">
            <w:pPr>
              <w:numPr>
                <w:ilvl w:val="0"/>
                <w:numId w:val="656"/>
              </w:numPr>
              <w:spacing w:before="0" w:after="0"/>
              <w:ind w:hanging="210"/>
              <w:jc w:val="left"/>
              <w:rPr>
                <w:szCs w:val="24"/>
              </w:rPr>
            </w:pPr>
            <w:r>
              <w:rPr>
                <w:szCs w:val="24"/>
              </w:rPr>
              <w:t>seule l’irrigation de soudure est autorisée,</w:t>
            </w:r>
          </w:p>
          <w:p w:rsidR="0035701C" w:rsidRDefault="00FB561B" w:rsidP="00FB561B">
            <w:pPr>
              <w:numPr>
                <w:ilvl w:val="0"/>
                <w:numId w:val="656"/>
              </w:numPr>
              <w:spacing w:before="0" w:after="240"/>
              <w:ind w:hanging="210"/>
              <w:jc w:val="left"/>
              <w:rPr>
                <w:szCs w:val="24"/>
              </w:rPr>
            </w:pPr>
            <w:r>
              <w:rPr>
                <w:szCs w:val="24"/>
              </w:rPr>
              <w:t>l’agriculteur doit assurer l’enregistrement des différentes interventions et des pratiques réalisées dans un document normé prévu à cet effet. Ce document sera remis à l’agriculteur à l’issue du diagnostic obligatoire réalisé par le service instructeur.</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éléments de la ligne de base sont définis en </w:t>
            </w:r>
            <w:r>
              <w:rPr>
                <w:szCs w:val="24"/>
              </w:rPr>
              <w:t>conformité avec :</w:t>
            </w:r>
          </w:p>
          <w:p w:rsidR="0035701C" w:rsidRDefault="00FB561B" w:rsidP="00FB561B">
            <w:pPr>
              <w:numPr>
                <w:ilvl w:val="0"/>
                <w:numId w:val="657"/>
              </w:numPr>
              <w:spacing w:before="240" w:after="0"/>
              <w:ind w:hanging="210"/>
              <w:jc w:val="left"/>
              <w:rPr>
                <w:szCs w:val="24"/>
              </w:rPr>
            </w:pPr>
            <w:r>
              <w:rPr>
                <w:szCs w:val="24"/>
              </w:rPr>
              <w:t>les exigences établies en vertu de l’article 93 du Titre VI du règlement UE n° 1306/2013 relatif à la conditionnalité,</w:t>
            </w:r>
          </w:p>
          <w:p w:rsidR="0035701C" w:rsidRDefault="00FB561B" w:rsidP="00FB561B">
            <w:pPr>
              <w:numPr>
                <w:ilvl w:val="0"/>
                <w:numId w:val="657"/>
              </w:numPr>
              <w:spacing w:before="0" w:after="0"/>
              <w:ind w:hanging="210"/>
              <w:jc w:val="left"/>
              <w:rPr>
                <w:szCs w:val="24"/>
              </w:rPr>
            </w:pPr>
            <w:r>
              <w:rPr>
                <w:szCs w:val="24"/>
              </w:rPr>
              <w:t>les exigences établies en vertu de l’article 4.1c points ii) et iii) du règlement UE n°1307/2013 relatif à l’état d’ent</w:t>
            </w:r>
            <w:r>
              <w:rPr>
                <w:szCs w:val="24"/>
              </w:rPr>
              <w:t>retien minimum des surfaces</w:t>
            </w:r>
          </w:p>
          <w:p w:rsidR="0035701C" w:rsidRDefault="00FB561B" w:rsidP="00FB561B">
            <w:pPr>
              <w:numPr>
                <w:ilvl w:val="0"/>
                <w:numId w:val="657"/>
              </w:numPr>
              <w:spacing w:before="0" w:after="240"/>
              <w:ind w:hanging="210"/>
              <w:jc w:val="left"/>
              <w:rPr>
                <w:szCs w:val="24"/>
              </w:rPr>
            </w:pPr>
            <w:r>
              <w:rPr>
                <w:szCs w:val="24"/>
              </w:rPr>
              <w:t>toute autre exigence pertinente établie par la réglementation nationale, tel le Code des Bonnes Pratiques Agricoles pris par arrêté du 22 novembre 1993</w:t>
            </w:r>
          </w:p>
          <w:p w:rsidR="0035701C" w:rsidRDefault="00FB561B">
            <w:pPr>
              <w:spacing w:before="240" w:after="240"/>
              <w:jc w:val="left"/>
              <w:rPr>
                <w:szCs w:val="24"/>
              </w:rPr>
            </w:pPr>
            <w:r>
              <w:rPr>
                <w:szCs w:val="24"/>
              </w:rPr>
              <w:t xml:space="preserve">Ces éléments sont détaillés au paragraphe « Information spécifique à </w:t>
            </w:r>
            <w:r>
              <w:rPr>
                <w:szCs w:val="24"/>
              </w:rPr>
              <w:t>l’opération – Description de la ligne de base » de la présente fiche-opération.</w:t>
            </w:r>
          </w:p>
          <w:p w:rsidR="0035701C" w:rsidRDefault="00FB561B">
            <w:pPr>
              <w:spacing w:before="240" w:after="240"/>
              <w:jc w:val="left"/>
              <w:rPr>
                <w:szCs w:val="24"/>
              </w:rPr>
            </w:pPr>
            <w:r>
              <w:rPr>
                <w:szCs w:val="24"/>
              </w:rPr>
              <w:t xml:space="preserve">Afin d’exclure tout double paiement, les pratiques visées à l’article 43 du règlement UE n° 1307/2013 sont prises en compte dans le calcul des surcoûts et manques à gagner. La </w:t>
            </w:r>
            <w:r>
              <w:rPr>
                <w:szCs w:val="24"/>
              </w:rPr>
              <w:t>méthode de calcul est détaillée au paragraphe « Information spécifique à l’opération – Méthode de calcul du montant » de la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w:t>
            </w:r>
            <w:r>
              <w:rPr>
                <w:szCs w:val="24"/>
              </w:rPr>
              <w:t>coûts éligibles sont les surcoûts, manques à gagner et éventuels coûts d’opportunité et de transaction générés par le respect des éléments contractualisés.</w:t>
            </w:r>
          </w:p>
          <w:p w:rsidR="0035701C" w:rsidRDefault="00FB561B">
            <w:pPr>
              <w:spacing w:before="240" w:after="240"/>
              <w:jc w:val="left"/>
              <w:rPr>
                <w:szCs w:val="24"/>
              </w:rPr>
            </w:pPr>
            <w:r>
              <w:rPr>
                <w:szCs w:val="24"/>
              </w:rPr>
              <w:t>Dans le cas de cette opération, sont pris en compte les manques à gagner, les coûts d’opportunité et</w:t>
            </w:r>
            <w:r>
              <w:rPr>
                <w:szCs w:val="24"/>
              </w:rPr>
              <w:t xml:space="preserve"> les surcoûts.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La réalisation d’un diagnostic d’exploitation préalable à la souscription de cette opération est obligatoire.</w:t>
            </w:r>
          </w:p>
          <w:p w:rsidR="0035701C" w:rsidRDefault="00FB561B">
            <w:pPr>
              <w:spacing w:before="240" w:after="240"/>
              <w:jc w:val="left"/>
              <w:rPr>
                <w:szCs w:val="24"/>
              </w:rPr>
            </w:pPr>
            <w:r>
              <w:rPr>
                <w:b/>
                <w:bCs/>
                <w:i/>
                <w:iCs/>
                <w:szCs w:val="24"/>
              </w:rPr>
              <w:t>Surfaces éligibles:</w:t>
            </w:r>
            <w:r>
              <w:rPr>
                <w:szCs w:val="24"/>
              </w:rPr>
              <w:t xml:space="preserve"> les cultures annuelles implantées par semis direct (association Ray-Grass + Trèfle)</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de </w:t>
            </w:r>
            <w:r>
              <w:rPr>
                <w:szCs w:val="24"/>
              </w:rPr>
              <w:t xml:space="preserve">l’aide est de </w:t>
            </w:r>
            <w:r>
              <w:rPr>
                <w:b/>
                <w:bCs/>
                <w:szCs w:val="24"/>
              </w:rPr>
              <w:t>247,85</w:t>
            </w:r>
            <w:r>
              <w:rPr>
                <w:szCs w:val="24"/>
              </w:rPr>
              <w:t xml:space="preserve"> </w:t>
            </w:r>
            <w:r>
              <w:rPr>
                <w:b/>
                <w:bCs/>
                <w:szCs w:val="24"/>
              </w:rPr>
              <w:t>€ /ha/an</w:t>
            </w:r>
            <w:r>
              <w:rPr>
                <w:szCs w:val="24"/>
              </w:rPr>
              <w:t xml:space="preserve">, auquel vient s’ajouter une somme forfaitaire de </w:t>
            </w:r>
            <w:r>
              <w:rPr>
                <w:b/>
                <w:bCs/>
                <w:szCs w:val="24"/>
              </w:rPr>
              <w:t>57,18 €/an</w:t>
            </w:r>
            <w:r>
              <w:rPr>
                <w:szCs w:val="24"/>
              </w:rPr>
              <w:t xml:space="preserve"> liée à l’enregistrement des pratiques et des interventions.</w:t>
            </w:r>
          </w:p>
          <w:p w:rsidR="0035701C" w:rsidRDefault="00FB561B">
            <w:pPr>
              <w:spacing w:before="240" w:after="240"/>
              <w:jc w:val="left"/>
              <w:rPr>
                <w:szCs w:val="24"/>
              </w:rPr>
            </w:pPr>
            <w:r>
              <w:rPr>
                <w:szCs w:val="24"/>
              </w:rPr>
              <w:t>Il est rappelé que le plafond communautaire pour ce type de couvert (autres utilisations des terres) est d</w:t>
            </w:r>
            <w:r>
              <w:rPr>
                <w:szCs w:val="24"/>
              </w:rPr>
              <w:t>e 450 €/ha/an (incluant le forfait annuel).</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des éléments du niveau de référence applicable, qui doivent inclure les normes obligatoires établies en application du titre VI, chapitre I, du règlement (UE) n° 1306/2013 du Parlement </w:t>
      </w:r>
      <w:r>
        <w:t>européen et du Conseil, les critères pertinents et les activités minimales établies en application de l'article 4, paragraphe 1, point c) ii) et c) iii), du règlement (UE) n° 1307/2013 du Parlement européen et du Conseil, les exigences minimales applicable</w:t>
      </w:r>
      <w:r>
        <w:t>s à l'utilisation des engrais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Dans cette opération, il n’y a aucune interaction avec les différents éléments réglementaire</w:t>
            </w:r>
            <w:r>
              <w:rPr>
                <w:szCs w:val="24"/>
              </w:rPr>
              <w:t>s décrits dans la section 8.1 du présent programme.</w:t>
            </w:r>
          </w:p>
          <w:p w:rsidR="0035701C" w:rsidRDefault="00FB561B">
            <w:pPr>
              <w:spacing w:before="240" w:after="240"/>
              <w:jc w:val="left"/>
              <w:rPr>
                <w:szCs w:val="24"/>
              </w:rPr>
            </w:pPr>
            <w:r>
              <w:rPr>
                <w:szCs w:val="24"/>
              </w:rPr>
              <w:t>Si les pratiques rémunérées au titre de la présente opération sont rendues obligatoires sur des zones au titre de la protection de la biodiversité (notamment des zones classées au titre des réserves natur</w:t>
            </w:r>
            <w:r>
              <w:rPr>
                <w:szCs w:val="24"/>
              </w:rPr>
              <w:t>elles des arrêtés de protection de biotopes), celle-ci ne peut être ouverte sur les zones concernées.</w:t>
            </w:r>
          </w:p>
          <w:p w:rsidR="0035701C" w:rsidRDefault="0035701C">
            <w:pPr>
              <w:pStyle w:val="Corpsdetexte"/>
            </w:pPr>
          </w:p>
        </w:tc>
      </w:tr>
    </w:tbl>
    <w:p w:rsidR="0035701C" w:rsidRDefault="00FB561B">
      <w:r>
        <w:t>Les exigences minimales relatives à l'utilisation d'engrais doivent comprendre, entre autres, le respect des codes de bonnes pratiques introduits au tit</w:t>
      </w:r>
      <w:r>
        <w:t>re de la directive 91/676/CEE pour les exploitations situées en dehors des zones vulnérables aux nitrates, et des exigences concernant la pollution au phosphore; les exigences minimales relatives à l'utilisation de produits phytosanitaires doivent comprend</w:t>
      </w:r>
      <w:r>
        <w:t>re, entre autres, les principes généraux de la lutte intégrée contre les ennemis des cultures introduits par la directive 2009/128/CE du Parlement européen et du Conseil, l’obligation de détenir une autorisation d’utiliser les produits, de satisfaire aux c</w:t>
      </w:r>
      <w:r>
        <w:t>onditions de formation, d’assurer un stockage sûr et de contrôler les équipements destinés à l’épandage ainsi que les règles relatives à l’utilisation de pesticides à proximité d’étendues d’eau et d’autres sites sensibles, telles qu'établies par le droit n</w:t>
      </w:r>
      <w:r>
        <w:t>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Liste des races locales 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w:t>
            </w:r>
            <w:r>
              <w:rPr>
                <w:szCs w:val="24"/>
              </w:rPr>
              <w:t>rne pas la préservation des ressources génétiques.</w:t>
            </w:r>
          </w:p>
          <w:p w:rsidR="0035701C" w:rsidRDefault="0035701C">
            <w:pPr>
              <w:pStyle w:val="Corpsdetexte"/>
            </w:pPr>
          </w:p>
        </w:tc>
      </w:tr>
    </w:tbl>
    <w:p w:rsidR="0035701C" w:rsidRDefault="00FB561B">
      <w:r>
        <w:t>Description de la méthode et des hypothèses et paramètres agronomiques y compris la description des exigences minimales visées à l'article 29, paragraphe 2, du règlement (UE) n° 1305/2013 correspondant à</w:t>
      </w:r>
      <w:r>
        <w:t xml:space="preserve"> chaque type particulier d'engagement, utilisés comme référence pour les calculs justifiant les coûts supplémentaires et les pertes de revenus résultant de l’engagement pris et le niveau des coûts des transactions; le cas échéant, cette méthode tient compt</w:t>
      </w:r>
      <w:r>
        <w:t>e des aides accordées au titre du règlement (UE) n° 1307/2013, et notamment des paiements en faveur des pratiques agricoles bénéfiques pour le climat et l’environnement, afin d’exclure un double financement; le cas échéant, la méthode de conversion utilisé</w:t>
      </w:r>
      <w:r>
        <w:t>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Pratiques de référence</w:t>
            </w:r>
            <w:r>
              <w:rPr>
                <w:szCs w:val="24"/>
              </w:rPr>
              <w:t> : l’installation des cultures annuelles de type Rays Grass Italien et céréales à pâturer se fait traditionnellement par la mise en œuvre du labour.</w:t>
            </w:r>
          </w:p>
          <w:p w:rsidR="0035701C" w:rsidRDefault="00FB561B">
            <w:pPr>
              <w:spacing w:before="240" w:after="240"/>
              <w:jc w:val="left"/>
              <w:rPr>
                <w:szCs w:val="24"/>
              </w:rPr>
            </w:pPr>
            <w:r>
              <w:rPr>
                <w:b/>
                <w:bCs/>
                <w:i/>
                <w:iCs/>
                <w:szCs w:val="24"/>
              </w:rPr>
              <w:t xml:space="preserve">Prise en compte du verdissement : </w:t>
            </w:r>
            <w:r>
              <w:rPr>
                <w:szCs w:val="24"/>
              </w:rPr>
              <w:t>afin d’exclure tout double paiement, les pratiques rémunérées au titre du verdissement sont prises en compte de la façon suivante dans le calcul du montant unitaire de cette opération :</w:t>
            </w:r>
          </w:p>
          <w:p w:rsidR="0035701C" w:rsidRDefault="00FB561B" w:rsidP="00FB561B">
            <w:pPr>
              <w:numPr>
                <w:ilvl w:val="0"/>
                <w:numId w:val="658"/>
              </w:numPr>
              <w:spacing w:before="240" w:after="0"/>
              <w:ind w:hanging="210"/>
              <w:jc w:val="left"/>
              <w:rPr>
                <w:szCs w:val="24"/>
              </w:rPr>
            </w:pPr>
            <w:r>
              <w:rPr>
                <w:szCs w:val="24"/>
              </w:rPr>
              <w:t>maintien de prairies permanentes exi</w:t>
            </w:r>
            <w:r>
              <w:rPr>
                <w:szCs w:val="24"/>
              </w:rPr>
              <w:t>stantes : cette exigence n’a pas d’interaction avec cette opération.</w:t>
            </w:r>
          </w:p>
          <w:p w:rsidR="0035701C" w:rsidRDefault="00FB561B" w:rsidP="00FB561B">
            <w:pPr>
              <w:numPr>
                <w:ilvl w:val="0"/>
                <w:numId w:val="658"/>
              </w:numPr>
              <w:spacing w:before="0" w:after="0"/>
              <w:ind w:hanging="210"/>
              <w:jc w:val="left"/>
              <w:rPr>
                <w:szCs w:val="24"/>
              </w:rPr>
            </w:pPr>
            <w:r>
              <w:rPr>
                <w:szCs w:val="24"/>
              </w:rPr>
              <w:t>présence de 5 % de SIE (Surfaces d’Intérêt Ecologique) sur les terres arables : cette exigence n’a pas d’interaction avec cette opération.</w:t>
            </w:r>
          </w:p>
          <w:p w:rsidR="0035701C" w:rsidRDefault="00FB561B" w:rsidP="00FB561B">
            <w:pPr>
              <w:numPr>
                <w:ilvl w:val="0"/>
                <w:numId w:val="658"/>
              </w:numPr>
              <w:spacing w:before="0" w:after="240"/>
              <w:ind w:hanging="210"/>
              <w:jc w:val="left"/>
              <w:rPr>
                <w:szCs w:val="24"/>
              </w:rPr>
            </w:pPr>
            <w:r>
              <w:rPr>
                <w:szCs w:val="24"/>
              </w:rPr>
              <w:t>diversification des cultures : cette exigence n’</w:t>
            </w:r>
            <w:r>
              <w:rPr>
                <w:szCs w:val="24"/>
              </w:rPr>
              <w:t>a pas d’interaction avec cette opération.</w:t>
            </w:r>
          </w:p>
          <w:p w:rsidR="0035701C" w:rsidRDefault="00FB561B">
            <w:pPr>
              <w:spacing w:before="240" w:after="240"/>
              <w:jc w:val="left"/>
              <w:rPr>
                <w:szCs w:val="24"/>
              </w:rPr>
            </w:pPr>
            <w:r>
              <w:rPr>
                <w:b/>
                <w:bCs/>
                <w:i/>
                <w:iCs/>
                <w:szCs w:val="24"/>
              </w:rPr>
              <w:t>Méthode générale de calcul du montant :</w:t>
            </w:r>
            <w:r>
              <w:rPr>
                <w:szCs w:val="24"/>
              </w:rPr>
              <w:t xml:space="preserve"> le montant de l’aide est calculé sur la base de l’utilisation du matériel et du temps de travail nécessaire à l’implantation de la culture par semis direct, par rapport à cel</w:t>
            </w:r>
            <w:r>
              <w:rPr>
                <w:szCs w:val="24"/>
              </w:rPr>
              <w:t>ui nécessaire pour implantation par la méthode traditionnelle (labour) ; ainsi que sur l’estimation des pertes de production induites par le semis direct. Le surcoût lié au temps d’enregistrement des interventions et des pratiques est rémunéré sous forme f</w:t>
            </w:r>
            <w:r>
              <w:rPr>
                <w:szCs w:val="24"/>
              </w:rPr>
              <w:t>orfaitaire indépendamment de la surface engagée. Il n’y a pas, dans cette opération, de coût de transaction.</w:t>
            </w:r>
          </w:p>
          <w:p w:rsidR="0035701C" w:rsidRDefault="00FB561B">
            <w:pPr>
              <w:spacing w:before="240" w:after="240"/>
              <w:jc w:val="left"/>
              <w:rPr>
                <w:szCs w:val="24"/>
              </w:rPr>
            </w:pPr>
            <w:r>
              <w:rPr>
                <w:b/>
                <w:bCs/>
                <w:i/>
                <w:iCs/>
                <w:szCs w:val="24"/>
              </w:rPr>
              <w:t>Source des données:</w:t>
            </w:r>
          </w:p>
          <w:p w:rsidR="0035701C" w:rsidRDefault="00FB561B">
            <w:pPr>
              <w:spacing w:before="240" w:after="240"/>
              <w:jc w:val="left"/>
              <w:rPr>
                <w:szCs w:val="24"/>
              </w:rPr>
            </w:pPr>
            <w:r>
              <w:rPr>
                <w:szCs w:val="24"/>
              </w:rPr>
              <w:t>UFL : Unité Fourragère Lait</w:t>
            </w:r>
          </w:p>
          <w:p w:rsidR="0035701C" w:rsidRDefault="00FB561B">
            <w:pPr>
              <w:spacing w:before="240" w:after="240"/>
              <w:jc w:val="left"/>
              <w:rPr>
                <w:szCs w:val="24"/>
              </w:rPr>
            </w:pPr>
            <w:r>
              <w:rPr>
                <w:szCs w:val="24"/>
              </w:rPr>
              <w:t>MS : Matière Sèche</w:t>
            </w:r>
          </w:p>
          <w:p w:rsidR="0035701C" w:rsidRDefault="00FB561B" w:rsidP="00FB561B">
            <w:pPr>
              <w:numPr>
                <w:ilvl w:val="0"/>
                <w:numId w:val="659"/>
              </w:numPr>
              <w:spacing w:before="240" w:after="0"/>
              <w:ind w:hanging="210"/>
              <w:jc w:val="left"/>
              <w:rPr>
                <w:szCs w:val="24"/>
              </w:rPr>
            </w:pPr>
            <w:r>
              <w:rPr>
                <w:szCs w:val="24"/>
              </w:rPr>
              <w:t xml:space="preserve">coût du matériel : </w:t>
            </w:r>
            <w:r>
              <w:rPr>
                <w:i/>
                <w:iCs/>
                <w:szCs w:val="24"/>
              </w:rPr>
              <w:t xml:space="preserve">Bureau de Coordination du Machinisme Agricole (BCMA), barème </w:t>
            </w:r>
            <w:r>
              <w:rPr>
                <w:i/>
                <w:iCs/>
                <w:szCs w:val="24"/>
              </w:rPr>
              <w:t>des façons culturales 2014</w:t>
            </w:r>
          </w:p>
          <w:p w:rsidR="0035701C" w:rsidRDefault="00FB561B" w:rsidP="00FB561B">
            <w:pPr>
              <w:numPr>
                <w:ilvl w:val="0"/>
                <w:numId w:val="659"/>
              </w:numPr>
              <w:spacing w:before="0" w:after="0"/>
              <w:ind w:hanging="210"/>
              <w:jc w:val="left"/>
              <w:rPr>
                <w:szCs w:val="24"/>
              </w:rPr>
            </w:pPr>
            <w:r>
              <w:rPr>
                <w:i/>
                <w:iCs/>
                <w:szCs w:val="24"/>
              </w:rPr>
              <w:t>temps de travail : références locales issues du réseau régional d’expérimentations fourragères et de démonstrations (Office du Développement Agricole et Rural de Corse et Office de l’Environnement de la Corse)</w:t>
            </w:r>
          </w:p>
          <w:p w:rsidR="0035701C" w:rsidRDefault="00FB561B" w:rsidP="00FB561B">
            <w:pPr>
              <w:numPr>
                <w:ilvl w:val="0"/>
                <w:numId w:val="659"/>
              </w:numPr>
              <w:spacing w:before="0" w:after="0"/>
              <w:ind w:hanging="210"/>
              <w:jc w:val="left"/>
              <w:rPr>
                <w:szCs w:val="24"/>
              </w:rPr>
            </w:pPr>
            <w:r>
              <w:rPr>
                <w:szCs w:val="24"/>
              </w:rPr>
              <w:t xml:space="preserve">niveaux de </w:t>
            </w:r>
            <w:r>
              <w:rPr>
                <w:szCs w:val="24"/>
              </w:rPr>
              <w:t>production des prairies, perte de biomasse et valeur en UFL:</w:t>
            </w:r>
            <w:r>
              <w:rPr>
                <w:i/>
                <w:iCs/>
                <w:szCs w:val="24"/>
              </w:rPr>
              <w:t xml:space="preserve"> références locales issues du réseau régional d’expérimentations fourragères et de démonstrations (Office du Développement Agricole et Rural de Corse et Office de l’Environnement de la Corse)</w:t>
            </w:r>
          </w:p>
          <w:p w:rsidR="0035701C" w:rsidRDefault="00FB561B" w:rsidP="00FB561B">
            <w:pPr>
              <w:numPr>
                <w:ilvl w:val="0"/>
                <w:numId w:val="659"/>
              </w:numPr>
              <w:spacing w:before="0" w:after="0"/>
              <w:ind w:hanging="210"/>
              <w:jc w:val="left"/>
              <w:rPr>
                <w:szCs w:val="24"/>
              </w:rPr>
            </w:pPr>
            <w:r>
              <w:rPr>
                <w:szCs w:val="24"/>
              </w:rPr>
              <w:t>coût</w:t>
            </w:r>
            <w:r>
              <w:rPr>
                <w:szCs w:val="24"/>
              </w:rPr>
              <w:t xml:space="preserve"> UFL :</w:t>
            </w:r>
            <w:r>
              <w:rPr>
                <w:i/>
                <w:iCs/>
                <w:szCs w:val="24"/>
              </w:rPr>
              <w:t xml:space="preserve"> coopératives locales</w:t>
            </w:r>
          </w:p>
          <w:p w:rsidR="0035701C" w:rsidRDefault="00FB561B" w:rsidP="00FB561B">
            <w:pPr>
              <w:numPr>
                <w:ilvl w:val="0"/>
                <w:numId w:val="659"/>
              </w:numPr>
              <w:spacing w:before="0" w:after="240"/>
              <w:ind w:hanging="210"/>
              <w:jc w:val="left"/>
              <w:rPr>
                <w:szCs w:val="24"/>
              </w:rPr>
            </w:pPr>
            <w:r>
              <w:rPr>
                <w:szCs w:val="24"/>
              </w:rPr>
              <w:t xml:space="preserve">coût horaire de main d’œuvre : </w:t>
            </w:r>
            <w:r>
              <w:rPr>
                <w:i/>
                <w:iCs/>
                <w:szCs w:val="24"/>
              </w:rPr>
              <w:t>2 fois le coût horaire du SMIC (1er janvier 2014)</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400800" cy="5334000"/>
                  <wp:effectExtent l="0" t="0" r="0" b="0"/>
                  <wp:docPr id="100128" name="Image 100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
                          <pic:cNvPicPr>
                            <a:picLocks noChangeAspect="1"/>
                          </pic:cNvPicPr>
                        </pic:nvPicPr>
                        <pic:blipFill>
                          <a:blip r:embed="rId76"/>
                          <a:stretch>
                            <a:fillRect/>
                          </a:stretch>
                        </pic:blipFill>
                        <pic:spPr>
                          <a:xfrm>
                            <a:off x="0" y="0"/>
                            <a:ext cx="6400800" cy="5334000"/>
                          </a:xfrm>
                          <a:prstGeom prst="rect">
                            <a:avLst/>
                          </a:prstGeom>
                        </pic:spPr>
                      </pic:pic>
                    </a:graphicData>
                  </a:graphic>
                </wp:inline>
              </w:drawing>
            </w:r>
          </w:p>
          <w:p w:rsidR="0035701C" w:rsidRDefault="00FB561B">
            <w:pPr>
              <w:pStyle w:val="Pieddepage"/>
              <w:jc w:val="center"/>
            </w:pPr>
            <w:r>
              <w:t>Prairie_6</w:t>
            </w:r>
          </w:p>
          <w:p w:rsidR="0035701C" w:rsidRDefault="0035701C">
            <w:pPr>
              <w:pStyle w:val="Pieddepage"/>
              <w:jc w:val="center"/>
            </w:pPr>
          </w:p>
        </w:tc>
      </w:tr>
    </w:tbl>
    <w:p w:rsidR="0035701C" w:rsidRDefault="00FB561B">
      <w:pPr>
        <w:pStyle w:val="Titre5"/>
        <w:rPr>
          <w:b w:val="0"/>
        </w:rPr>
      </w:pPr>
      <w:r>
        <w:rPr>
          <w:b w:val="0"/>
        </w:rPr>
        <w:br w:type="page"/>
        <w:t>-09- Prairie_7</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660"/>
              </w:numPr>
            </w:pPr>
            <w:r>
              <w:t>10.1 – Paiements au titre d'engagements agroenvironnementaux et climatiques</w:t>
            </w:r>
          </w:p>
        </w:tc>
      </w:tr>
    </w:tbl>
    <w:p w:rsidR="0035701C" w:rsidRDefault="00FB561B">
      <w:pPr>
        <w:pStyle w:val="Titre6"/>
      </w:pPr>
      <w:r>
        <w:t xml:space="preserve">Description du type </w:t>
      </w:r>
      <w:r>
        <w:t>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PRAIRIE_7 = Favoriser la biodiversité dans les cultures annuelles implantées par labour par la création d’une bande–refuge</w:t>
            </w:r>
          </w:p>
          <w:p w:rsidR="0035701C" w:rsidRDefault="00FB561B">
            <w:pPr>
              <w:spacing w:before="240" w:after="240"/>
              <w:jc w:val="left"/>
              <w:rPr>
                <w:szCs w:val="24"/>
              </w:rPr>
            </w:pPr>
            <w:r>
              <w:rPr>
                <w:szCs w:val="24"/>
              </w:rPr>
              <w:t xml:space="preserve">Dans les systèmes agro-pastoraux corses, les cultures annuelles de type Rays Grass Italien et </w:t>
            </w:r>
            <w:r>
              <w:rPr>
                <w:szCs w:val="24"/>
              </w:rPr>
              <w:t>céréales à pâturer constituent une part importante de la Surface Fourragère Productive (SFP). Les travaux de labours importants et récurrents impactent sensiblement la biodiversité.</w:t>
            </w:r>
          </w:p>
          <w:p w:rsidR="0035701C" w:rsidRDefault="00FB561B">
            <w:pPr>
              <w:spacing w:before="240" w:after="240"/>
              <w:jc w:val="left"/>
              <w:rPr>
                <w:szCs w:val="24"/>
              </w:rPr>
            </w:pPr>
            <w:r>
              <w:rPr>
                <w:szCs w:val="24"/>
              </w:rPr>
              <w:t>Une bande-refuge de 2,5 mètres de large, en bordure de culture annuelle la</w:t>
            </w:r>
            <w:r>
              <w:rPr>
                <w:szCs w:val="24"/>
              </w:rPr>
              <w:t>bourée tous les ans, représente un milieu semi-naturel essentiel à la biodiversité. En effet, en laissant la végétation spontanée repousser, elle constitue une zone vitale pour la flore sauvage, les arthropodes, les pollinisateurs et la petite faune de pla</w:t>
            </w:r>
            <w:r>
              <w:rPr>
                <w:szCs w:val="24"/>
              </w:rPr>
              <w:t>ines, y compris la faune édaphique. C’est non seulement un refuge et un habitat pour les espèces végétales, mais aussi un lieu de gîte, de nourriture, de reproduction et de passage pour la faune.</w:t>
            </w:r>
          </w:p>
          <w:p w:rsidR="0035701C" w:rsidRDefault="00FB561B">
            <w:pPr>
              <w:spacing w:before="240" w:after="240"/>
              <w:jc w:val="left"/>
              <w:rPr>
                <w:szCs w:val="24"/>
              </w:rPr>
            </w:pPr>
            <w:r>
              <w:rPr>
                <w:szCs w:val="24"/>
              </w:rPr>
              <w:t>Cette biodiversité possède un intérêt agronomique puisque la</w:t>
            </w:r>
            <w:r>
              <w:rPr>
                <w:szCs w:val="24"/>
              </w:rPr>
              <w:t xml:space="preserve"> faune arthropodienne (araignées, myriapodes, crustacés, cloportes, microarthropodes tels collemboles et acariens) peut limiter les ravageurs des grandes cultures. Par ailleurs, cette zone permet d’enrichir le sol en faune lombricienne, ce qui augmente les</w:t>
            </w:r>
            <w:r>
              <w:rPr>
                <w:szCs w:val="24"/>
              </w:rPr>
              <w:t xml:space="preserve"> ressources alimentaires mais aussi la porosité des sols et la circulation de l’air et de l’eau.</w:t>
            </w:r>
          </w:p>
          <w:p w:rsidR="0035701C" w:rsidRDefault="00FB561B">
            <w:pPr>
              <w:spacing w:before="240" w:after="240"/>
              <w:jc w:val="left"/>
              <w:rPr>
                <w:szCs w:val="24"/>
              </w:rPr>
            </w:pPr>
            <w:r>
              <w:rPr>
                <w:szCs w:val="24"/>
              </w:rPr>
              <w:t xml:space="preserve">Outre son impact sur la biodiversité, cette bande-refuge peut avoir un impact sur la qualité de l’eau en agissant comme filtre et en limitant le ruissellement </w:t>
            </w:r>
            <w:r>
              <w:rPr>
                <w:szCs w:val="24"/>
              </w:rPr>
              <w:t>des produits phytosanitaires. Dans le cas où les parcelles concernées seraient en bordure de cours d'eau, cette bande-refuge de 2,5 m viendrait s’ajouter à la «bande tampon» obligatoire de 5 mètres de large prévue par la BCAE I.</w:t>
            </w:r>
          </w:p>
          <w:p w:rsidR="0035701C" w:rsidRDefault="00FB561B">
            <w:pPr>
              <w:spacing w:before="240" w:after="240"/>
              <w:jc w:val="left"/>
              <w:rPr>
                <w:szCs w:val="24"/>
              </w:rPr>
            </w:pPr>
            <w:r>
              <w:rPr>
                <w:szCs w:val="24"/>
              </w:rPr>
              <w:t>En fonction de leur positio</w:t>
            </w:r>
            <w:r>
              <w:rPr>
                <w:szCs w:val="24"/>
              </w:rPr>
              <w:t>n par rapport à la pente, l’érosion peut être diminuée. Enfin elle diversifie le paysage en créant des « corridors écologiques ».</w:t>
            </w:r>
          </w:p>
          <w:p w:rsidR="0035701C" w:rsidRDefault="00FB561B">
            <w:pPr>
              <w:spacing w:before="240" w:after="240"/>
              <w:jc w:val="left"/>
              <w:rPr>
                <w:szCs w:val="24"/>
              </w:rPr>
            </w:pPr>
            <w:r>
              <w:rPr>
                <w:szCs w:val="24"/>
              </w:rPr>
              <w:t>Une fertilisation NPK est autorisée sur l’ensemble de la parcelle de l’ordre de 60 Unités /ha/an.</w:t>
            </w:r>
          </w:p>
          <w:p w:rsidR="0035701C" w:rsidRDefault="00FB561B">
            <w:pPr>
              <w:spacing w:before="240" w:after="240"/>
              <w:jc w:val="left"/>
              <w:rPr>
                <w:szCs w:val="24"/>
              </w:rPr>
            </w:pPr>
            <w:r>
              <w:rPr>
                <w:szCs w:val="24"/>
              </w:rPr>
              <w:t xml:space="preserve">Ne seront éligibles à cette </w:t>
            </w:r>
            <w:r>
              <w:rPr>
                <w:szCs w:val="24"/>
              </w:rPr>
              <w:t xml:space="preserve">opération que les cultures annuelles implantées par labour et dont la superficie d’un seul tenant est supérieure ou égale à </w:t>
            </w:r>
            <w:r>
              <w:rPr>
                <w:b/>
                <w:bCs/>
                <w:szCs w:val="24"/>
              </w:rPr>
              <w:t>3 hectares</w:t>
            </w:r>
            <w:r>
              <w:rPr>
                <w:szCs w:val="24"/>
              </w:rPr>
              <w:t xml:space="preserve"> afin que la bande-refuge représente un linéaire significatif.</w:t>
            </w:r>
          </w:p>
          <w:p w:rsidR="0035701C" w:rsidRDefault="00FB561B">
            <w:pPr>
              <w:spacing w:before="240" w:after="240"/>
              <w:jc w:val="left"/>
              <w:rPr>
                <w:szCs w:val="24"/>
              </w:rPr>
            </w:pPr>
            <w:r>
              <w:rPr>
                <w:b/>
                <w:bCs/>
                <w:i/>
                <w:iCs/>
                <w:szCs w:val="24"/>
              </w:rPr>
              <w:t>Cahier des charges :</w:t>
            </w:r>
          </w:p>
          <w:p w:rsidR="0035701C" w:rsidRDefault="00FB561B" w:rsidP="00FB561B">
            <w:pPr>
              <w:numPr>
                <w:ilvl w:val="0"/>
                <w:numId w:val="661"/>
              </w:numPr>
              <w:spacing w:before="240" w:after="0"/>
              <w:ind w:hanging="210"/>
              <w:jc w:val="left"/>
              <w:rPr>
                <w:szCs w:val="24"/>
              </w:rPr>
            </w:pPr>
            <w:r>
              <w:rPr>
                <w:szCs w:val="24"/>
              </w:rPr>
              <w:t xml:space="preserve">l’agriculteur s’engage à laisser une </w:t>
            </w:r>
            <w:r>
              <w:rPr>
                <w:szCs w:val="24"/>
              </w:rPr>
              <w:t>bande non labourée et donc enherbée naturellement en périphérie de ses cultures annuelles d’une largeur de 2,5 mètres (cette bande-refuge ne sera pas comptabilisée comme SIE)</w:t>
            </w:r>
          </w:p>
          <w:p w:rsidR="0035701C" w:rsidRDefault="00FB561B" w:rsidP="00FB561B">
            <w:pPr>
              <w:numPr>
                <w:ilvl w:val="0"/>
                <w:numId w:val="661"/>
              </w:numPr>
              <w:spacing w:before="0" w:after="0"/>
              <w:ind w:hanging="210"/>
              <w:jc w:val="left"/>
              <w:rPr>
                <w:szCs w:val="24"/>
              </w:rPr>
            </w:pPr>
            <w:r>
              <w:rPr>
                <w:szCs w:val="24"/>
              </w:rPr>
              <w:t>il doit chaque année sur la durée du contrat, renouveler l’opération dans les mêm</w:t>
            </w:r>
            <w:r>
              <w:rPr>
                <w:szCs w:val="24"/>
              </w:rPr>
              <w:t>es conditions</w:t>
            </w:r>
          </w:p>
          <w:p w:rsidR="0035701C" w:rsidRDefault="00FB561B" w:rsidP="00FB561B">
            <w:pPr>
              <w:numPr>
                <w:ilvl w:val="0"/>
                <w:numId w:val="661"/>
              </w:numPr>
              <w:spacing w:before="0" w:after="0"/>
              <w:ind w:hanging="210"/>
              <w:jc w:val="left"/>
              <w:rPr>
                <w:szCs w:val="24"/>
              </w:rPr>
            </w:pPr>
            <w:r>
              <w:rPr>
                <w:szCs w:val="24"/>
              </w:rPr>
              <w:t>les interventions au niveau de cette bande doivent être limitées à un entretien annuel par fauche ou broyage</w:t>
            </w:r>
          </w:p>
          <w:p w:rsidR="0035701C" w:rsidRDefault="00FB561B" w:rsidP="00FB561B">
            <w:pPr>
              <w:numPr>
                <w:ilvl w:val="0"/>
                <w:numId w:val="661"/>
              </w:numPr>
              <w:spacing w:before="0" w:after="0"/>
              <w:ind w:hanging="210"/>
              <w:jc w:val="left"/>
              <w:rPr>
                <w:szCs w:val="24"/>
              </w:rPr>
            </w:pPr>
            <w:r>
              <w:rPr>
                <w:szCs w:val="24"/>
              </w:rPr>
              <w:t>l'utilisation d’herbicides et d’insecticides est interdite tant sur la culture annuelle que sur la bande-refuge</w:t>
            </w:r>
          </w:p>
          <w:p w:rsidR="0035701C" w:rsidRDefault="00FB561B" w:rsidP="00FB561B">
            <w:pPr>
              <w:numPr>
                <w:ilvl w:val="0"/>
                <w:numId w:val="661"/>
              </w:numPr>
              <w:spacing w:before="0" w:after="0"/>
              <w:ind w:hanging="210"/>
              <w:jc w:val="left"/>
              <w:rPr>
                <w:szCs w:val="24"/>
              </w:rPr>
            </w:pPr>
            <w:r>
              <w:rPr>
                <w:szCs w:val="24"/>
              </w:rPr>
              <w:t>seule l’irrigation de</w:t>
            </w:r>
            <w:r>
              <w:rPr>
                <w:szCs w:val="24"/>
              </w:rPr>
              <w:t xml:space="preserve"> soudure est autorisée,</w:t>
            </w:r>
          </w:p>
          <w:p w:rsidR="0035701C" w:rsidRDefault="00FB561B" w:rsidP="00FB561B">
            <w:pPr>
              <w:numPr>
                <w:ilvl w:val="0"/>
                <w:numId w:val="661"/>
              </w:numPr>
              <w:spacing w:before="0" w:after="240"/>
              <w:ind w:hanging="210"/>
              <w:jc w:val="left"/>
              <w:rPr>
                <w:szCs w:val="24"/>
              </w:rPr>
            </w:pPr>
            <w:r>
              <w:rPr>
                <w:szCs w:val="24"/>
              </w:rPr>
              <w:t>l’agriculteur doit assurer l’enregistrement des différentes interventions et des pratiques réalisées dans un document normé prévu à cet effet. Ce document sera remis à l’agriculteur à l’issue du diagnostic obligatoire réalisé par le</w:t>
            </w:r>
            <w:r>
              <w:rPr>
                <w:szCs w:val="24"/>
              </w:rPr>
              <w:t xml:space="preserve"> service instructeur.</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euros/ml/an.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éléments de la ligne de </w:t>
            </w:r>
            <w:r>
              <w:rPr>
                <w:szCs w:val="24"/>
              </w:rPr>
              <w:t>base sont définis en conformité avec :</w:t>
            </w:r>
          </w:p>
          <w:p w:rsidR="0035701C" w:rsidRDefault="00FB561B" w:rsidP="00FB561B">
            <w:pPr>
              <w:numPr>
                <w:ilvl w:val="0"/>
                <w:numId w:val="662"/>
              </w:numPr>
              <w:spacing w:before="240" w:after="0"/>
              <w:ind w:hanging="210"/>
              <w:jc w:val="left"/>
              <w:rPr>
                <w:szCs w:val="24"/>
              </w:rPr>
            </w:pPr>
            <w:r>
              <w:rPr>
                <w:szCs w:val="24"/>
              </w:rPr>
              <w:t>les exigences établies en vertu de l’article 93 du Titre VI du règlement UE n° 1306/2013 relatif à la conditionnalité,</w:t>
            </w:r>
          </w:p>
          <w:p w:rsidR="0035701C" w:rsidRDefault="00FB561B" w:rsidP="00FB561B">
            <w:pPr>
              <w:numPr>
                <w:ilvl w:val="0"/>
                <w:numId w:val="662"/>
              </w:numPr>
              <w:spacing w:before="0" w:after="0"/>
              <w:ind w:hanging="210"/>
              <w:jc w:val="left"/>
              <w:rPr>
                <w:szCs w:val="24"/>
              </w:rPr>
            </w:pPr>
            <w:r>
              <w:rPr>
                <w:szCs w:val="24"/>
              </w:rPr>
              <w:t>les exigences établies en vertu de l’article 4.1c points ii) et iii) du règlement UE n°1307/2013 r</w:t>
            </w:r>
            <w:r>
              <w:rPr>
                <w:szCs w:val="24"/>
              </w:rPr>
              <w:t>elatif à l’état d’entretien minimum des surfaces</w:t>
            </w:r>
          </w:p>
          <w:p w:rsidR="0035701C" w:rsidRDefault="00FB561B" w:rsidP="00FB561B">
            <w:pPr>
              <w:numPr>
                <w:ilvl w:val="0"/>
                <w:numId w:val="662"/>
              </w:numPr>
              <w:spacing w:before="0" w:after="240"/>
              <w:ind w:hanging="210"/>
              <w:jc w:val="left"/>
              <w:rPr>
                <w:szCs w:val="24"/>
              </w:rPr>
            </w:pPr>
            <w:r>
              <w:rPr>
                <w:szCs w:val="24"/>
              </w:rPr>
              <w:t>toute autre exigence pertinente établie par la réglementation nationale, tel le Code des Bonnes Pratiques Agricoles pris par arrêté du 22 novembre 1993</w:t>
            </w:r>
          </w:p>
          <w:p w:rsidR="0035701C" w:rsidRDefault="00FB561B">
            <w:pPr>
              <w:spacing w:before="240" w:after="240"/>
              <w:jc w:val="left"/>
              <w:rPr>
                <w:szCs w:val="24"/>
              </w:rPr>
            </w:pPr>
            <w:r>
              <w:rPr>
                <w:szCs w:val="24"/>
              </w:rPr>
              <w:t>Ces éléments sont détaillés au paragraphe « Information</w:t>
            </w:r>
            <w:r>
              <w:rPr>
                <w:szCs w:val="24"/>
              </w:rPr>
              <w:t xml:space="preserve"> spécifique à l’opération – Description de la ligne de base » de la présente fiche-opération.</w:t>
            </w:r>
          </w:p>
          <w:p w:rsidR="0035701C" w:rsidRDefault="00FB561B">
            <w:pPr>
              <w:spacing w:before="240" w:after="240"/>
              <w:jc w:val="left"/>
              <w:rPr>
                <w:szCs w:val="24"/>
              </w:rPr>
            </w:pPr>
            <w:r>
              <w:rPr>
                <w:szCs w:val="24"/>
              </w:rPr>
              <w:t>Afin d’exclure tout double paiement, les pratiques visées à l’article 43 du règlement UE n° 1307/2013 sont prises en compte dans le calcul des surcoûts et manques</w:t>
            </w:r>
            <w:r>
              <w:rPr>
                <w:szCs w:val="24"/>
              </w:rPr>
              <w:t xml:space="preserve"> à gagner. La méthode de calcul est détaillée au paragraphe « Information spécifique à l’opération – Méthode de calcul du montant » de la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w:t>
      </w:r>
      <w:r>
        <w:t>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les surcoûts, manques à gagner et éventuels coûts d’opportunité et de transaction générés par le respect des éléments contractualisés.</w:t>
            </w:r>
          </w:p>
          <w:p w:rsidR="0035701C" w:rsidRDefault="00FB561B">
            <w:pPr>
              <w:spacing w:before="240" w:after="240"/>
              <w:jc w:val="left"/>
              <w:rPr>
                <w:szCs w:val="24"/>
              </w:rPr>
            </w:pPr>
            <w:r>
              <w:rPr>
                <w:szCs w:val="24"/>
              </w:rPr>
              <w:t xml:space="preserve">Dans le cas de cette opération, sont prises en compte uniquement les manques à gagner </w:t>
            </w:r>
            <w:r>
              <w:rPr>
                <w:szCs w:val="24"/>
              </w:rPr>
              <w:t>et les surcoûts.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La réalisation d’un diagnostic d’exploitation préalable à la souscription de cette opération est obligatoire.</w:t>
            </w:r>
          </w:p>
          <w:p w:rsidR="0035701C" w:rsidRDefault="00FB561B">
            <w:pPr>
              <w:spacing w:before="240" w:after="240"/>
              <w:jc w:val="left"/>
              <w:rPr>
                <w:szCs w:val="24"/>
              </w:rPr>
            </w:pPr>
            <w:r>
              <w:rPr>
                <w:b/>
                <w:bCs/>
                <w:i/>
                <w:iCs/>
                <w:szCs w:val="24"/>
              </w:rPr>
              <w:t>Surfaces éligibles:</w:t>
            </w:r>
            <w:r>
              <w:rPr>
                <w:szCs w:val="24"/>
              </w:rPr>
              <w:t xml:space="preserve"> les cultures annuelles implantées par labour et </w:t>
            </w:r>
            <w:r>
              <w:rPr>
                <w:szCs w:val="24"/>
                <w:u w:val="single"/>
              </w:rPr>
              <w:t xml:space="preserve">dont la superficie d’un seul tenant est supérieure ou égale à </w:t>
            </w:r>
            <w:r>
              <w:rPr>
                <w:b/>
                <w:bCs/>
                <w:szCs w:val="24"/>
                <w:u w:val="single"/>
              </w:rPr>
              <w:t>3 hectares</w:t>
            </w:r>
            <w:r>
              <w:rPr>
                <w:szCs w:val="24"/>
                <w:u w:val="single"/>
              </w:rPr>
              <w:t xml:space="preserve"> </w:t>
            </w:r>
            <w:r>
              <w:rPr>
                <w:szCs w:val="24"/>
              </w:rPr>
              <w:t>afin que la bande-refuge représente un linéaire significatif.</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w:t>
            </w:r>
            <w:r>
              <w:rPr>
                <w:szCs w:val="24"/>
              </w:rPr>
              <w:t xml:space="preserve"> taux d’aide publique est de 100 %.</w:t>
            </w:r>
          </w:p>
          <w:p w:rsidR="0035701C" w:rsidRDefault="00FB561B">
            <w:pPr>
              <w:spacing w:before="240" w:after="240"/>
              <w:jc w:val="left"/>
              <w:rPr>
                <w:szCs w:val="24"/>
              </w:rPr>
            </w:pPr>
            <w:r>
              <w:rPr>
                <w:szCs w:val="24"/>
              </w:rPr>
              <w:t xml:space="preserve">Le montant de l’aide est de </w:t>
            </w:r>
            <w:r>
              <w:rPr>
                <w:b/>
                <w:bCs/>
                <w:szCs w:val="24"/>
              </w:rPr>
              <w:t>0,59</w:t>
            </w:r>
            <w:r>
              <w:rPr>
                <w:szCs w:val="24"/>
              </w:rPr>
              <w:t xml:space="preserve"> </w:t>
            </w:r>
            <w:r>
              <w:rPr>
                <w:b/>
                <w:bCs/>
                <w:szCs w:val="24"/>
              </w:rPr>
              <w:t>€ /ml/an</w:t>
            </w:r>
            <w:r>
              <w:rPr>
                <w:szCs w:val="24"/>
              </w:rPr>
              <w:t>.</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Détermination et définition des éléments du niveau de référence applicable, qui doivent inclure les normes obligatoires établies en application du titre VI, chapitre I, d</w:t>
      </w:r>
      <w:r>
        <w:t xml:space="preserve">u règlement (UE) n° 1306/2013 du Parlement européen et du Conseil, les critères pertinents et les activités minimales établies en application de l'article 4, paragraphe 1, point c) ii) et c) iii), du règlement (UE) n° 1307/2013 du Parlement européen et du </w:t>
      </w:r>
      <w:r>
        <w:t>Conseil, les exigences minimales applicables à l'utilisation des engrais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 xml:space="preserve">Si les pratiques rémunérées au titre de la </w:t>
            </w:r>
            <w:r>
              <w:rPr>
                <w:szCs w:val="24"/>
              </w:rPr>
              <w:t>présente opération sont rendues obligatoires sur des zones au titre de la protection de la biodiversité (notamment des zones classées au titre des réserves naturelles des arrêtés de protection de biotopes), celle-ci ne peut être ouverte sur les zones conce</w:t>
            </w:r>
            <w:r>
              <w:rPr>
                <w:szCs w:val="24"/>
              </w:rPr>
              <w:t>rnées.</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595615"/>
                  <wp:effectExtent l="0" t="0" r="0" b="0"/>
                  <wp:docPr id="100130" name="Image 100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
                          <pic:cNvPicPr>
                            <a:picLocks noChangeAspect="1"/>
                          </pic:cNvPicPr>
                        </pic:nvPicPr>
                        <pic:blipFill>
                          <a:blip r:embed="rId77"/>
                          <a:stretch>
                            <a:fillRect/>
                          </a:stretch>
                        </pic:blipFill>
                        <pic:spPr>
                          <a:xfrm>
                            <a:off x="0" y="0"/>
                            <a:ext cx="6629400" cy="1595615"/>
                          </a:xfrm>
                          <a:prstGeom prst="rect">
                            <a:avLst/>
                          </a:prstGeom>
                        </pic:spPr>
                      </pic:pic>
                    </a:graphicData>
                  </a:graphic>
                </wp:inline>
              </w:drawing>
            </w:r>
          </w:p>
          <w:p w:rsidR="0035701C" w:rsidRDefault="00FB561B">
            <w:pPr>
              <w:pStyle w:val="Pieddepage"/>
              <w:jc w:val="center"/>
            </w:pPr>
            <w:r>
              <w:t>Prairie_7_lignebase</w:t>
            </w:r>
          </w:p>
          <w:p w:rsidR="0035701C" w:rsidRDefault="0035701C">
            <w:pPr>
              <w:pStyle w:val="Pieddepage"/>
              <w:jc w:val="center"/>
            </w:pPr>
          </w:p>
        </w:tc>
      </w:tr>
    </w:tbl>
    <w:p w:rsidR="0035701C" w:rsidRDefault="00FB561B">
      <w:r>
        <w:t>Les exigences minimales relatives à l'utilisation d'engrais doivent comprendre, entre autres, le respect des codes de bonnes pratiques introduits au titre de la directive 91/676/CEE pour les exploitations situées en dehors d</w:t>
      </w:r>
      <w:r>
        <w:t>es zones vulnérables aux nitrates, et des exigences concernant la pollution au phosphore; les exigences minimales relatives à l'utilisation de produits phytosanitaires doivent comprendre, entre autres, les principes généraux de la lutte intégrée contre les</w:t>
      </w:r>
      <w:r>
        <w:t xml:space="preserve"> ennemis des cultures introduits par la directive 2009/128/CE du Parlement européen et du Conseil, l’obligation de détenir une autorisation d’utiliser les produits, de satisfaire aux conditions de formation, d’assurer un stockage sûr et de contrôler les éq</w:t>
      </w:r>
      <w:r>
        <w:t>uipements destinés à l’épandage ainsi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w:t>
            </w:r>
            <w:r>
              <w:rPr>
                <w:szCs w:val="24"/>
              </w:rPr>
              <w:t>ces.</w:t>
            </w:r>
          </w:p>
          <w:p w:rsidR="0035701C" w:rsidRDefault="0035701C">
            <w:pPr>
              <w:pStyle w:val="Corpsdetexte"/>
            </w:pPr>
          </w:p>
        </w:tc>
      </w:tr>
    </w:tbl>
    <w:p w:rsidR="0035701C" w:rsidRDefault="00FB561B">
      <w:r>
        <w:t>Liste des races locales 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préservation des ressources génétiques.</w:t>
            </w:r>
          </w:p>
          <w:p w:rsidR="0035701C" w:rsidRDefault="0035701C">
            <w:pPr>
              <w:pStyle w:val="Corpsdetexte"/>
            </w:pPr>
          </w:p>
        </w:tc>
      </w:tr>
    </w:tbl>
    <w:p w:rsidR="0035701C" w:rsidRDefault="00FB561B">
      <w:r>
        <w:t xml:space="preserve">Description de la </w:t>
      </w:r>
      <w:r>
        <w:t>méthode et des hypothèses et paramètres agronomiques y compris la description des exigences minimales visées à l'article 29, paragraphe 2, du règlement (UE) n° 1305/2013 correspondant à chaque type particulier d'engagement, utilisés comme référence pour le</w:t>
      </w:r>
      <w:r>
        <w:t>s calculs justifiant les coûts supplémentaires et les pertes de revenus résultant de l’engagement pris et le niveau des coûts des transactions; le cas échéant, cette méthode tient compte des aides accordées au titre du règlement (UE) n° 1307/2013, et notam</w:t>
      </w:r>
      <w:r>
        <w:t>ment des paiements en faveur des pratiques agricoles bénéfiques pour le climat et l’environnement, afin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Prati</w:t>
            </w:r>
            <w:r>
              <w:rPr>
                <w:b/>
                <w:bCs/>
                <w:i/>
                <w:iCs/>
                <w:szCs w:val="24"/>
              </w:rPr>
              <w:t>ques de référence</w:t>
            </w:r>
            <w:r>
              <w:rPr>
                <w:szCs w:val="24"/>
              </w:rPr>
              <w:t xml:space="preserve"> : l’installation des cultures annuelles de type Rays Grass Italien et céréales à pâturer se fait traditionnellement par la mise en œuvre du labour sur la totalité de la parcelle sans ménager de « bande-refuge » d’une largeur de 2,5 m non </w:t>
            </w:r>
            <w:r>
              <w:rPr>
                <w:szCs w:val="24"/>
              </w:rPr>
              <w:t>labourée.</w:t>
            </w:r>
          </w:p>
          <w:p w:rsidR="0035701C" w:rsidRDefault="00FB561B">
            <w:pPr>
              <w:spacing w:before="240" w:after="240"/>
              <w:jc w:val="left"/>
              <w:rPr>
                <w:szCs w:val="24"/>
              </w:rPr>
            </w:pPr>
            <w:r>
              <w:rPr>
                <w:b/>
                <w:bCs/>
                <w:i/>
                <w:iCs/>
                <w:szCs w:val="24"/>
              </w:rPr>
              <w:t xml:space="preserve">Prise en compte du verdissement : </w:t>
            </w:r>
            <w:r>
              <w:rPr>
                <w:szCs w:val="24"/>
              </w:rPr>
              <w:t>afin d’exclure tout double paiement, les pratiques rémunérées au titre du verdissement sont prises en compte de la façon suivante dans le calcul du montant unitaire de cette opération :</w:t>
            </w:r>
          </w:p>
          <w:p w:rsidR="0035701C" w:rsidRDefault="00FB561B" w:rsidP="00FB561B">
            <w:pPr>
              <w:numPr>
                <w:ilvl w:val="0"/>
                <w:numId w:val="663"/>
              </w:numPr>
              <w:spacing w:before="240" w:after="0"/>
              <w:ind w:hanging="210"/>
              <w:jc w:val="left"/>
              <w:rPr>
                <w:szCs w:val="24"/>
              </w:rPr>
            </w:pPr>
            <w:r>
              <w:rPr>
                <w:szCs w:val="24"/>
              </w:rPr>
              <w:t>maintien de prairies perma</w:t>
            </w:r>
            <w:r>
              <w:rPr>
                <w:szCs w:val="24"/>
              </w:rPr>
              <w:t>nentes existantes : cette exigence n’a pas d’interaction avec cette opération</w:t>
            </w:r>
          </w:p>
          <w:p w:rsidR="0035701C" w:rsidRDefault="00FB561B" w:rsidP="00FB561B">
            <w:pPr>
              <w:numPr>
                <w:ilvl w:val="0"/>
                <w:numId w:val="663"/>
              </w:numPr>
              <w:spacing w:before="0" w:after="0"/>
              <w:ind w:hanging="210"/>
              <w:jc w:val="left"/>
              <w:rPr>
                <w:szCs w:val="24"/>
              </w:rPr>
            </w:pPr>
            <w:r>
              <w:rPr>
                <w:szCs w:val="24"/>
              </w:rPr>
              <w:t>présence de 5 % de SIE (Surfaces d’Intérêt Ecologique) sur les terres arables : cette exigence a une interaction avec cette opération. La bande-refuge créée ne sera pas comptabil</w:t>
            </w:r>
            <w:r>
              <w:rPr>
                <w:szCs w:val="24"/>
              </w:rPr>
              <w:t>isée comme SIE.</w:t>
            </w:r>
          </w:p>
          <w:p w:rsidR="0035701C" w:rsidRDefault="00FB561B" w:rsidP="00FB561B">
            <w:pPr>
              <w:numPr>
                <w:ilvl w:val="0"/>
                <w:numId w:val="663"/>
              </w:numPr>
              <w:spacing w:before="0" w:after="240"/>
              <w:ind w:hanging="210"/>
              <w:jc w:val="left"/>
              <w:rPr>
                <w:szCs w:val="24"/>
              </w:rPr>
            </w:pPr>
            <w:r>
              <w:rPr>
                <w:szCs w:val="24"/>
              </w:rPr>
              <w:t>diversification des cultures : cette exigence n’a pas d’interaction avec cette opération.</w:t>
            </w:r>
          </w:p>
          <w:p w:rsidR="0035701C" w:rsidRDefault="00FB561B">
            <w:pPr>
              <w:spacing w:before="240" w:after="240"/>
              <w:jc w:val="left"/>
              <w:rPr>
                <w:szCs w:val="24"/>
              </w:rPr>
            </w:pPr>
            <w:r>
              <w:rPr>
                <w:b/>
                <w:bCs/>
                <w:i/>
                <w:iCs/>
                <w:szCs w:val="24"/>
              </w:rPr>
              <w:t>Méthode générale de calcul du montant :</w:t>
            </w:r>
            <w:r>
              <w:rPr>
                <w:szCs w:val="24"/>
              </w:rPr>
              <w:t xml:space="preserve"> le montant de l’aide est calculé sur la base de la perte de production engendrée par mise en œuvre de la bande-refuge et du temps de travail nécessaire à l’enregistrement des pratiques. Il n’y a pas, dans cette opération, de coût de transaction.</w:t>
            </w:r>
          </w:p>
          <w:p w:rsidR="0035701C" w:rsidRDefault="00FB561B">
            <w:pPr>
              <w:spacing w:before="240" w:after="240"/>
              <w:jc w:val="left"/>
              <w:rPr>
                <w:szCs w:val="24"/>
              </w:rPr>
            </w:pPr>
            <w:r>
              <w:rPr>
                <w:b/>
                <w:bCs/>
                <w:i/>
                <w:iCs/>
                <w:szCs w:val="24"/>
              </w:rPr>
              <w:t>Source de</w:t>
            </w:r>
            <w:r>
              <w:rPr>
                <w:b/>
                <w:bCs/>
                <w:i/>
                <w:iCs/>
                <w:szCs w:val="24"/>
              </w:rPr>
              <w:t>s données:</w:t>
            </w:r>
          </w:p>
          <w:p w:rsidR="0035701C" w:rsidRDefault="00FB561B">
            <w:pPr>
              <w:spacing w:before="240" w:after="240"/>
              <w:ind w:left="283"/>
              <w:jc w:val="left"/>
              <w:rPr>
                <w:szCs w:val="24"/>
              </w:rPr>
            </w:pPr>
            <w:r>
              <w:rPr>
                <w:szCs w:val="24"/>
              </w:rPr>
              <w:t>UFL : Unité Fourragère Lait</w:t>
            </w:r>
          </w:p>
          <w:p w:rsidR="0035701C" w:rsidRDefault="00FB561B">
            <w:pPr>
              <w:spacing w:before="240" w:after="240"/>
              <w:ind w:left="283"/>
              <w:jc w:val="left"/>
              <w:rPr>
                <w:szCs w:val="24"/>
              </w:rPr>
            </w:pPr>
            <w:r>
              <w:rPr>
                <w:szCs w:val="24"/>
              </w:rPr>
              <w:t>MS : Matière Sèche</w:t>
            </w:r>
          </w:p>
          <w:p w:rsidR="0035701C" w:rsidRDefault="00FB561B" w:rsidP="00FB561B">
            <w:pPr>
              <w:numPr>
                <w:ilvl w:val="0"/>
                <w:numId w:val="664"/>
              </w:numPr>
              <w:spacing w:before="240" w:after="0"/>
              <w:ind w:hanging="210"/>
              <w:jc w:val="left"/>
              <w:rPr>
                <w:szCs w:val="24"/>
              </w:rPr>
            </w:pPr>
            <w:r>
              <w:rPr>
                <w:szCs w:val="24"/>
              </w:rPr>
              <w:t>niveaux de production des prairies, perte de biomasse, taux de MS/kg et valeur en UFL:</w:t>
            </w:r>
            <w:r>
              <w:rPr>
                <w:i/>
                <w:iCs/>
                <w:szCs w:val="24"/>
              </w:rPr>
              <w:t xml:space="preserve"> références locales issues du réseau régional d’expérimentations fourragères et de démonstrations (Office du Dév</w:t>
            </w:r>
            <w:r>
              <w:rPr>
                <w:i/>
                <w:iCs/>
                <w:szCs w:val="24"/>
              </w:rPr>
              <w:t>eloppement Agricole et Rural de Corse et Office de l’Environnement de la Corse)</w:t>
            </w:r>
          </w:p>
          <w:p w:rsidR="0035701C" w:rsidRDefault="00FB561B" w:rsidP="00FB561B">
            <w:pPr>
              <w:numPr>
                <w:ilvl w:val="0"/>
                <w:numId w:val="664"/>
              </w:numPr>
              <w:spacing w:before="0" w:after="0"/>
              <w:ind w:hanging="210"/>
              <w:jc w:val="left"/>
              <w:rPr>
                <w:szCs w:val="24"/>
              </w:rPr>
            </w:pPr>
            <w:r>
              <w:rPr>
                <w:i/>
                <w:iCs/>
                <w:szCs w:val="24"/>
              </w:rPr>
              <w:t>coût UFL : coopératives locales</w:t>
            </w:r>
          </w:p>
          <w:p w:rsidR="0035701C" w:rsidRDefault="00FB561B" w:rsidP="00FB561B">
            <w:pPr>
              <w:numPr>
                <w:ilvl w:val="0"/>
                <w:numId w:val="664"/>
              </w:numPr>
              <w:spacing w:before="0" w:after="240"/>
              <w:ind w:hanging="210"/>
              <w:jc w:val="left"/>
              <w:rPr>
                <w:szCs w:val="24"/>
              </w:rPr>
            </w:pPr>
            <w:r>
              <w:rPr>
                <w:szCs w:val="24"/>
              </w:rPr>
              <w:t xml:space="preserve">coût horaire de main d’œuvre : </w:t>
            </w:r>
            <w:r>
              <w:rPr>
                <w:i/>
                <w:iCs/>
                <w:szCs w:val="24"/>
              </w:rPr>
              <w:t>2 fois le coût horaire du SMIC (1er janvier 2014)</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191250" cy="4333875"/>
                  <wp:effectExtent l="0" t="0" r="0" b="0"/>
                  <wp:docPr id="100132" name="Image 100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
                          <pic:cNvPicPr>
                            <a:picLocks noChangeAspect="1"/>
                          </pic:cNvPicPr>
                        </pic:nvPicPr>
                        <pic:blipFill>
                          <a:blip r:embed="rId78"/>
                          <a:stretch>
                            <a:fillRect/>
                          </a:stretch>
                        </pic:blipFill>
                        <pic:spPr>
                          <a:xfrm>
                            <a:off x="0" y="0"/>
                            <a:ext cx="6191250" cy="4333875"/>
                          </a:xfrm>
                          <a:prstGeom prst="rect">
                            <a:avLst/>
                          </a:prstGeom>
                        </pic:spPr>
                      </pic:pic>
                    </a:graphicData>
                  </a:graphic>
                </wp:inline>
              </w:drawing>
            </w:r>
          </w:p>
          <w:p w:rsidR="0035701C" w:rsidRDefault="00FB561B">
            <w:pPr>
              <w:pStyle w:val="Pieddepage"/>
              <w:jc w:val="center"/>
            </w:pPr>
            <w:r>
              <w:t>Prairie_7</w:t>
            </w:r>
          </w:p>
          <w:p w:rsidR="0035701C" w:rsidRDefault="0035701C">
            <w:pPr>
              <w:pStyle w:val="Pieddepage"/>
              <w:jc w:val="center"/>
            </w:pPr>
          </w:p>
        </w:tc>
      </w:tr>
    </w:tbl>
    <w:p w:rsidR="0035701C" w:rsidRDefault="00FB561B">
      <w:pPr>
        <w:pStyle w:val="Titre5"/>
        <w:rPr>
          <w:b w:val="0"/>
        </w:rPr>
      </w:pPr>
      <w:r>
        <w:rPr>
          <w:b w:val="0"/>
        </w:rPr>
        <w:br w:type="page"/>
        <w:t>-10- Prairie_8</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665"/>
              </w:numPr>
            </w:pPr>
            <w:r>
              <w:t xml:space="preserve">10.1 – Paiements </w:t>
            </w:r>
            <w:r>
              <w:t>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 titre complet : PRAIRIE_8 = Lutte contre une espèce envahissante : </w:t>
            </w:r>
            <w:r>
              <w:rPr>
                <w:b/>
                <w:bCs/>
                <w:i/>
                <w:iCs/>
                <w:szCs w:val="24"/>
              </w:rPr>
              <w:t>Stipa neesiana</w:t>
            </w:r>
          </w:p>
          <w:p w:rsidR="0035701C" w:rsidRDefault="00FB561B">
            <w:pPr>
              <w:spacing w:before="240" w:after="240"/>
              <w:jc w:val="left"/>
              <w:rPr>
                <w:szCs w:val="24"/>
              </w:rPr>
            </w:pPr>
            <w:r>
              <w:rPr>
                <w:szCs w:val="24"/>
              </w:rPr>
              <w:t xml:space="preserve">On observe dans différentes contrées de l’île, le développement d’une </w:t>
            </w:r>
            <w:r>
              <w:rPr>
                <w:szCs w:val="24"/>
              </w:rPr>
              <w:t>graminée pérenne originaire d’Amérique du Sud et naturalisée en Corse</w:t>
            </w:r>
            <w:r>
              <w:rPr>
                <w:i/>
                <w:iCs/>
                <w:szCs w:val="24"/>
              </w:rPr>
              <w:t>, Stipa neesiana</w:t>
            </w:r>
            <w:r>
              <w:rPr>
                <w:szCs w:val="24"/>
              </w:rPr>
              <w:t>.</w:t>
            </w:r>
          </w:p>
          <w:p w:rsidR="0035701C" w:rsidRDefault="00FB561B">
            <w:pPr>
              <w:spacing w:before="240" w:after="240"/>
              <w:jc w:val="left"/>
              <w:rPr>
                <w:szCs w:val="24"/>
              </w:rPr>
            </w:pPr>
            <w:r>
              <w:rPr>
                <w:szCs w:val="24"/>
              </w:rPr>
              <w:t>Cette espèce invasive tend à se développer depuis quelques années et à coloniser de nouvelles terres agricoles en raison de sa forte adaptation à une grande variété de c</w:t>
            </w:r>
            <w:r>
              <w:rPr>
                <w:szCs w:val="24"/>
              </w:rPr>
              <w:t>limats et de type de sols. Elle est en effet, tolérante à la sécheresse, au feu et au pâturage. Peu appétante, elle peut en outre causer des troubles digestifs importants chez les animaux, et ses graines très agressives peuvent même engendrer de graves ble</w:t>
            </w:r>
            <w:r>
              <w:rPr>
                <w:szCs w:val="24"/>
              </w:rPr>
              <w:t>ssures.</w:t>
            </w:r>
          </w:p>
          <w:p w:rsidR="0035701C" w:rsidRDefault="00FB561B">
            <w:pPr>
              <w:spacing w:before="240" w:after="240"/>
              <w:jc w:val="left"/>
              <w:rPr>
                <w:szCs w:val="24"/>
              </w:rPr>
            </w:pPr>
            <w:r>
              <w:rPr>
                <w:i/>
                <w:iCs/>
                <w:szCs w:val="24"/>
              </w:rPr>
              <w:t>Stipa neesiana</w:t>
            </w:r>
            <w:r>
              <w:rPr>
                <w:szCs w:val="24"/>
              </w:rPr>
              <w:t xml:space="preserve"> peut produire entre 20 000 et 30 000 graines/m². Elle se dissémine le long des routes, des cours d’eau et par l’intermédiaire des engins agricoles et des troupeaux.</w:t>
            </w:r>
          </w:p>
          <w:p w:rsidR="0035701C" w:rsidRDefault="00FB561B">
            <w:pPr>
              <w:spacing w:before="240" w:after="240"/>
              <w:jc w:val="left"/>
              <w:rPr>
                <w:szCs w:val="24"/>
              </w:rPr>
            </w:pPr>
            <w:r>
              <w:rPr>
                <w:i/>
                <w:iCs/>
                <w:szCs w:val="24"/>
              </w:rPr>
              <w:t>Stipa neesiana</w:t>
            </w:r>
            <w:r>
              <w:rPr>
                <w:szCs w:val="24"/>
              </w:rPr>
              <w:t xml:space="preserve"> peut diminuer de 50% la productivité d’une pâture. D’</w:t>
            </w:r>
            <w:r>
              <w:rPr>
                <w:szCs w:val="24"/>
              </w:rPr>
              <w:t>autre part, en raison du caractère monospécifique des prairies envahies, cette plante porte atteinte à la biodiversité.</w:t>
            </w:r>
          </w:p>
          <w:p w:rsidR="0035701C" w:rsidRDefault="00FB561B">
            <w:pPr>
              <w:spacing w:before="240" w:after="240"/>
              <w:jc w:val="left"/>
              <w:rPr>
                <w:szCs w:val="24"/>
              </w:rPr>
            </w:pPr>
            <w:r>
              <w:rPr>
                <w:szCs w:val="24"/>
              </w:rPr>
              <w:t xml:space="preserve">Concernant son élimination, il est mentionné dans la bibliographie qu'il n'est pas possible d'éradiquer la </w:t>
            </w:r>
            <w:r>
              <w:rPr>
                <w:i/>
                <w:iCs/>
                <w:szCs w:val="24"/>
              </w:rPr>
              <w:t>Stipa neesiana</w:t>
            </w:r>
            <w:r>
              <w:rPr>
                <w:szCs w:val="24"/>
              </w:rPr>
              <w:t xml:space="preserve"> par une "one o</w:t>
            </w:r>
            <w:r>
              <w:rPr>
                <w:szCs w:val="24"/>
              </w:rPr>
              <w:t xml:space="preserve">ff action" en raison de sa grande prolificité </w:t>
            </w:r>
            <w:r>
              <w:rPr>
                <w:i/>
                <w:iCs/>
                <w:szCs w:val="24"/>
              </w:rPr>
              <w:t>(Cf. la publication intitulée "2009/125 Stipa trichotoma, Stipa neesiana et Stipa tenuissima dans la région OEPP(*) : addition à la Liste d'Alerte de l'OEPP". Extrait : "Sur les terres agricoles, les techniques</w:t>
            </w:r>
            <w:r>
              <w:rPr>
                <w:i/>
                <w:iCs/>
                <w:szCs w:val="24"/>
              </w:rPr>
              <w:t xml:space="preserve"> culturales comme le labour peuvent réduire le stock semencier. Toutefois, le labour ou le traitement herbicide seul se soldent généralement par une réinfestation de Stipa spp. à partir des semences présentes dans le sol. C'est pourquoi une stratégie de ge</w:t>
            </w:r>
            <w:r>
              <w:rPr>
                <w:i/>
                <w:iCs/>
                <w:szCs w:val="24"/>
              </w:rPr>
              <w:t>stion intégrée devrait être privilégiée."</w:t>
            </w:r>
          </w:p>
          <w:p w:rsidR="0035701C" w:rsidRDefault="00FB561B">
            <w:pPr>
              <w:spacing w:before="240" w:after="240"/>
              <w:jc w:val="left"/>
              <w:rPr>
                <w:szCs w:val="24"/>
              </w:rPr>
            </w:pPr>
            <w:r>
              <w:rPr>
                <w:szCs w:val="24"/>
              </w:rPr>
              <w:t>C’est pourquoi, est proposé, dans cette opération, un itinéraire technique complet destiné à diminuer la banque de semences et qui intègre au mieux « les faiblesses » de cette espèce se traduisant par une combinais</w:t>
            </w:r>
            <w:r>
              <w:rPr>
                <w:szCs w:val="24"/>
              </w:rPr>
              <w:t>on d'actions sur une durée de 5 ans : travail du sol la 1ère année + broyage annuel au stade début épiaison de la graminée les 4 années suivantes.</w:t>
            </w:r>
          </w:p>
          <w:p w:rsidR="0035701C" w:rsidRDefault="00FB561B">
            <w:pPr>
              <w:spacing w:before="240" w:after="240"/>
              <w:jc w:val="left"/>
              <w:rPr>
                <w:szCs w:val="24"/>
              </w:rPr>
            </w:pPr>
            <w:r>
              <w:rPr>
                <w:szCs w:val="24"/>
                <w:u w:val="single"/>
              </w:rPr>
              <w:t>Dans le cadre du diagnostic, il sera aussi recommandé à l’agriculteur :</w:t>
            </w:r>
          </w:p>
          <w:p w:rsidR="0035701C" w:rsidRDefault="00FB561B" w:rsidP="00FB561B">
            <w:pPr>
              <w:numPr>
                <w:ilvl w:val="0"/>
                <w:numId w:val="666"/>
              </w:numPr>
              <w:spacing w:before="240" w:after="0"/>
              <w:ind w:hanging="210"/>
              <w:jc w:val="left"/>
              <w:rPr>
                <w:szCs w:val="24"/>
              </w:rPr>
            </w:pPr>
            <w:r>
              <w:rPr>
                <w:szCs w:val="24"/>
              </w:rPr>
              <w:t>une gestion des parcelles traitées pa</w:t>
            </w:r>
            <w:r>
              <w:rPr>
                <w:szCs w:val="24"/>
              </w:rPr>
              <w:t>r pâturage tournant,</w:t>
            </w:r>
          </w:p>
          <w:p w:rsidR="0035701C" w:rsidRDefault="00FB561B" w:rsidP="00FB561B">
            <w:pPr>
              <w:numPr>
                <w:ilvl w:val="0"/>
                <w:numId w:val="666"/>
              </w:numPr>
              <w:spacing w:before="0" w:after="240"/>
              <w:ind w:hanging="210"/>
              <w:jc w:val="left"/>
              <w:rPr>
                <w:szCs w:val="24"/>
              </w:rPr>
            </w:pPr>
            <w:r>
              <w:rPr>
                <w:szCs w:val="24"/>
              </w:rPr>
              <w:t>le lavage du matériel agricole utilisé sur les parcelles infestées lors du retour au hangar et dans un lieu où il pourra facilement intervenir au cas où certaines graines parviendraient malgré tout à germer.</w:t>
            </w:r>
          </w:p>
          <w:p w:rsidR="0035701C" w:rsidRDefault="00FB561B">
            <w:pPr>
              <w:spacing w:before="240" w:after="240"/>
              <w:jc w:val="left"/>
              <w:rPr>
                <w:szCs w:val="24"/>
              </w:rPr>
            </w:pPr>
            <w:r>
              <w:rPr>
                <w:szCs w:val="24"/>
              </w:rPr>
              <w:t>Ces 2 interventions ne sont</w:t>
            </w:r>
            <w:r>
              <w:rPr>
                <w:szCs w:val="24"/>
              </w:rPr>
              <w:t xml:space="preserve"> pas intégrées au cahier des charges.</w:t>
            </w:r>
          </w:p>
          <w:p w:rsidR="0035701C" w:rsidRDefault="00FB561B">
            <w:pPr>
              <w:spacing w:before="240" w:after="240"/>
              <w:jc w:val="left"/>
              <w:rPr>
                <w:szCs w:val="24"/>
              </w:rPr>
            </w:pPr>
            <w:r>
              <w:rPr>
                <w:szCs w:val="24"/>
              </w:rPr>
              <w:t>Une fertilisation NPK est autorisée de l’ordre de 60 Unités /ha/an.</w:t>
            </w:r>
          </w:p>
          <w:p w:rsidR="0035701C" w:rsidRDefault="00FB561B">
            <w:pPr>
              <w:spacing w:before="240" w:after="240"/>
              <w:jc w:val="left"/>
              <w:rPr>
                <w:szCs w:val="24"/>
              </w:rPr>
            </w:pPr>
            <w:r>
              <w:rPr>
                <w:b/>
                <w:bCs/>
                <w:i/>
                <w:iCs/>
                <w:szCs w:val="24"/>
              </w:rPr>
              <w:t>Cahier des charges :</w:t>
            </w:r>
          </w:p>
          <w:p w:rsidR="0035701C" w:rsidRDefault="00FB561B" w:rsidP="00FB561B">
            <w:pPr>
              <w:numPr>
                <w:ilvl w:val="0"/>
                <w:numId w:val="667"/>
              </w:numPr>
              <w:spacing w:before="240" w:after="0"/>
              <w:ind w:hanging="210"/>
              <w:jc w:val="left"/>
              <w:rPr>
                <w:szCs w:val="24"/>
              </w:rPr>
            </w:pPr>
            <w:r>
              <w:rPr>
                <w:szCs w:val="24"/>
              </w:rPr>
              <w:t xml:space="preserve">sur les parcelles infestées de </w:t>
            </w:r>
            <w:r>
              <w:rPr>
                <w:i/>
                <w:iCs/>
                <w:szCs w:val="24"/>
              </w:rPr>
              <w:t>Stipa neesiana</w:t>
            </w:r>
            <w:r>
              <w:rPr>
                <w:szCs w:val="24"/>
              </w:rPr>
              <w:t>, l’agriculteur s’engage à installer la première année à l’automne, une culture pére</w:t>
            </w:r>
            <w:r>
              <w:rPr>
                <w:szCs w:val="24"/>
              </w:rPr>
              <w:t>nne par un labour profond (20 à 25cm) avec des espèces fourragères pérennes d’origine méditerranéenne comprenant une graminée de type dactyle, fétuque,….. associée obligatoirement à une légumineuse de type luzerne, trèfle ….pour limiter les apports d’azote</w:t>
            </w:r>
          </w:p>
          <w:p w:rsidR="0035701C" w:rsidRDefault="00FB561B" w:rsidP="00FB561B">
            <w:pPr>
              <w:numPr>
                <w:ilvl w:val="0"/>
                <w:numId w:val="667"/>
              </w:numPr>
              <w:spacing w:before="0" w:after="0"/>
              <w:ind w:hanging="210"/>
              <w:jc w:val="left"/>
              <w:rPr>
                <w:szCs w:val="24"/>
              </w:rPr>
            </w:pPr>
            <w:r>
              <w:rPr>
                <w:szCs w:val="24"/>
              </w:rPr>
              <w:t>il doit ensuite broyer la végétation dès le printemps suivant, très tôt au stade début épiaison, ainsi que les 4 années suivantes dans les mêmes conditions</w:t>
            </w:r>
          </w:p>
          <w:p w:rsidR="0035701C" w:rsidRDefault="00FB561B" w:rsidP="00FB561B">
            <w:pPr>
              <w:numPr>
                <w:ilvl w:val="0"/>
                <w:numId w:val="667"/>
              </w:numPr>
              <w:spacing w:before="0" w:after="0"/>
              <w:ind w:hanging="210"/>
              <w:jc w:val="left"/>
              <w:rPr>
                <w:szCs w:val="24"/>
              </w:rPr>
            </w:pPr>
            <w:r>
              <w:rPr>
                <w:szCs w:val="24"/>
              </w:rPr>
              <w:t>l'utilisation d’herbicides est interdite</w:t>
            </w:r>
          </w:p>
          <w:p w:rsidR="0035701C" w:rsidRDefault="00FB561B" w:rsidP="00FB561B">
            <w:pPr>
              <w:numPr>
                <w:ilvl w:val="0"/>
                <w:numId w:val="667"/>
              </w:numPr>
              <w:spacing w:before="0" w:after="0"/>
              <w:ind w:hanging="210"/>
              <w:jc w:val="left"/>
              <w:rPr>
                <w:szCs w:val="24"/>
              </w:rPr>
            </w:pPr>
            <w:r>
              <w:rPr>
                <w:szCs w:val="24"/>
              </w:rPr>
              <w:t>seule l’irrigation de soudure est autorisée,</w:t>
            </w:r>
          </w:p>
          <w:p w:rsidR="0035701C" w:rsidRDefault="00FB561B" w:rsidP="00FB561B">
            <w:pPr>
              <w:numPr>
                <w:ilvl w:val="0"/>
                <w:numId w:val="667"/>
              </w:numPr>
              <w:spacing w:before="0" w:after="240"/>
              <w:ind w:hanging="210"/>
              <w:jc w:val="left"/>
              <w:rPr>
                <w:szCs w:val="24"/>
              </w:rPr>
            </w:pPr>
            <w:r>
              <w:rPr>
                <w:szCs w:val="24"/>
              </w:rPr>
              <w:t>l’agriculteur</w:t>
            </w:r>
            <w:r>
              <w:rPr>
                <w:szCs w:val="24"/>
              </w:rPr>
              <w:t xml:space="preserve"> doit assurer l’enregistrement des différentes interventions et des pratiques réalisées dans un document normé prévu à cet effet. Ce document sera remis à l’agriculteur à l’issue du diagnostic obligatoire réalisé par le service instructeur.</w:t>
            </w:r>
          </w:p>
          <w:p w:rsidR="0035701C" w:rsidRDefault="00FB561B">
            <w:pPr>
              <w:spacing w:before="240" w:after="240"/>
              <w:jc w:val="left"/>
              <w:rPr>
                <w:szCs w:val="24"/>
              </w:rPr>
            </w:pPr>
            <w:r>
              <w:rPr>
                <w:i/>
                <w:iCs/>
                <w:szCs w:val="24"/>
              </w:rPr>
              <w:t>(*) ORGANISATIO</w:t>
            </w:r>
            <w:r>
              <w:rPr>
                <w:i/>
                <w:iCs/>
                <w:szCs w:val="24"/>
              </w:rPr>
              <w:t>N EUROPEENNE ET MEDITERRANEENNE POUR LA PROTECTION DES PLANTES</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euros/ha/an.</w:t>
            </w:r>
          </w:p>
          <w:p w:rsidR="0035701C" w:rsidRDefault="0035701C">
            <w:pPr>
              <w:pStyle w:val="Corpsdetexte"/>
            </w:pPr>
          </w:p>
        </w:tc>
      </w:tr>
    </w:tbl>
    <w:p w:rsidR="0035701C" w:rsidRDefault="00FB561B">
      <w:pPr>
        <w:pStyle w:val="Titre6"/>
      </w:pPr>
      <w:r>
        <w:t xml:space="preserve">Liens vers d'autres actes </w:t>
      </w:r>
      <w:r>
        <w:t>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668"/>
              </w:numPr>
              <w:spacing w:before="240" w:after="0"/>
              <w:ind w:hanging="210"/>
              <w:jc w:val="left"/>
              <w:rPr>
                <w:szCs w:val="24"/>
              </w:rPr>
            </w:pPr>
            <w:r>
              <w:rPr>
                <w:szCs w:val="24"/>
              </w:rPr>
              <w:t>les exigences établies en vertu de l’article 93 du Titre VI du règlement UE n° 1306/2013 relatif à la conditionnalité,</w:t>
            </w:r>
          </w:p>
          <w:p w:rsidR="0035701C" w:rsidRDefault="00FB561B" w:rsidP="00FB561B">
            <w:pPr>
              <w:numPr>
                <w:ilvl w:val="0"/>
                <w:numId w:val="668"/>
              </w:numPr>
              <w:spacing w:before="0" w:after="0"/>
              <w:ind w:hanging="210"/>
              <w:jc w:val="left"/>
              <w:rPr>
                <w:szCs w:val="24"/>
              </w:rPr>
            </w:pPr>
            <w:r>
              <w:rPr>
                <w:szCs w:val="24"/>
              </w:rPr>
              <w:t xml:space="preserve">les exigences établies en vertu de l’article 4.1c points </w:t>
            </w:r>
            <w:r>
              <w:rPr>
                <w:szCs w:val="24"/>
              </w:rPr>
              <w:t>ii) et iii) du règlement UE n°1307/2013 relatif à l’état d’entretien minimum des surfaces</w:t>
            </w:r>
          </w:p>
          <w:p w:rsidR="0035701C" w:rsidRDefault="00FB561B" w:rsidP="00FB561B">
            <w:pPr>
              <w:numPr>
                <w:ilvl w:val="0"/>
                <w:numId w:val="668"/>
              </w:numPr>
              <w:spacing w:before="0" w:after="240"/>
              <w:ind w:hanging="210"/>
              <w:jc w:val="left"/>
              <w:rPr>
                <w:szCs w:val="24"/>
              </w:rPr>
            </w:pPr>
            <w:r>
              <w:rPr>
                <w:szCs w:val="24"/>
              </w:rPr>
              <w:t>toute autre exigence pertinente établie par la réglementation nationale, tel le Code des Bonnes Pratiques Agricoles pris par arrêté du 22 novembre 1993</w:t>
            </w:r>
          </w:p>
          <w:p w:rsidR="0035701C" w:rsidRDefault="00FB561B">
            <w:pPr>
              <w:spacing w:before="240" w:after="240"/>
              <w:jc w:val="left"/>
              <w:rPr>
                <w:szCs w:val="24"/>
              </w:rPr>
            </w:pPr>
            <w:r>
              <w:rPr>
                <w:szCs w:val="24"/>
              </w:rPr>
              <w:t>Ces éléments s</w:t>
            </w:r>
            <w:r>
              <w:rPr>
                <w:szCs w:val="24"/>
              </w:rPr>
              <w:t>ont détaillés au paragraphe « Information spécifique à l’opération – Description de la ligne de base » de la présente fiche-opération.</w:t>
            </w:r>
          </w:p>
          <w:p w:rsidR="0035701C" w:rsidRDefault="00FB561B">
            <w:pPr>
              <w:spacing w:before="240" w:after="240"/>
              <w:jc w:val="left"/>
              <w:rPr>
                <w:szCs w:val="24"/>
              </w:rPr>
            </w:pPr>
            <w:r>
              <w:rPr>
                <w:szCs w:val="24"/>
              </w:rPr>
              <w:t>Afin d’exclure tout double paiement, les pratiques visées à l’article 43 du règlement UE n° 1307/2013 sont prises en comp</w:t>
            </w:r>
            <w:r>
              <w:rPr>
                <w:szCs w:val="24"/>
              </w:rPr>
              <w:t>te dans le calcul des surcoûts et manques à gagner. La méthode de calcul est détaillée au paragraphe « Information spécifique à l’opération – Méthode de calcul du montant » de la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w:t>
            </w:r>
            <w:r>
              <w:rPr>
                <w:szCs w:val="24"/>
              </w:rPr>
              <w:t>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les surcoûts, manques à gagner et éventuels coûts d’opportunité et de transaction générés par le respect des éléments contractualisés.</w:t>
            </w:r>
          </w:p>
          <w:p w:rsidR="0035701C" w:rsidRDefault="00FB561B">
            <w:pPr>
              <w:spacing w:before="240" w:after="240"/>
              <w:jc w:val="left"/>
              <w:rPr>
                <w:szCs w:val="24"/>
              </w:rPr>
            </w:pPr>
            <w:r>
              <w:rPr>
                <w:szCs w:val="24"/>
              </w:rPr>
              <w:t xml:space="preserve">Dans le cas de cette opération, sont pris en </w:t>
            </w:r>
            <w:r>
              <w:rPr>
                <w:szCs w:val="24"/>
              </w:rPr>
              <w:t>compte les surcoûts et les manques à gagner.</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La réalisation d’un diagnostic d’exploitation préalable à la souscription de cette opération est obligatoire.</w:t>
            </w:r>
          </w:p>
          <w:p w:rsidR="0035701C" w:rsidRDefault="00FB561B">
            <w:pPr>
              <w:spacing w:before="240" w:after="240"/>
              <w:jc w:val="left"/>
              <w:rPr>
                <w:szCs w:val="24"/>
              </w:rPr>
            </w:pPr>
            <w:r>
              <w:rPr>
                <w:b/>
                <w:bCs/>
                <w:i/>
                <w:iCs/>
                <w:szCs w:val="24"/>
              </w:rPr>
              <w:t>Surfaces éligibles:</w:t>
            </w:r>
            <w:r>
              <w:rPr>
                <w:szCs w:val="24"/>
              </w:rPr>
              <w:t xml:space="preserve"> Prairies naturelles, prairies temporaires et culture</w:t>
            </w:r>
            <w:r>
              <w:rPr>
                <w:szCs w:val="24"/>
              </w:rPr>
              <w:t xml:space="preserve">s annuelles de type Ray-Grass Italien et/ou céréales à pâturer présentant de la </w:t>
            </w:r>
            <w:r>
              <w:rPr>
                <w:i/>
                <w:iCs/>
                <w:szCs w:val="24"/>
              </w:rPr>
              <w:t>Stipa neesiana</w:t>
            </w:r>
            <w:r>
              <w:rPr>
                <w:szCs w:val="24"/>
              </w:rPr>
              <w:t>.</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de l’aide est de </w:t>
            </w:r>
            <w:r>
              <w:rPr>
                <w:b/>
                <w:bCs/>
                <w:szCs w:val="24"/>
              </w:rPr>
              <w:t>393,60</w:t>
            </w:r>
            <w:r>
              <w:rPr>
                <w:szCs w:val="24"/>
              </w:rPr>
              <w:t xml:space="preserve"> </w:t>
            </w:r>
            <w:r>
              <w:rPr>
                <w:b/>
                <w:bCs/>
                <w:szCs w:val="24"/>
              </w:rPr>
              <w:t>€ /ha/an</w:t>
            </w:r>
            <w:r>
              <w:rPr>
                <w:szCs w:val="24"/>
              </w:rPr>
              <w:t xml:space="preserve">, auquel vient s’ajouter une somme forfaitaire de </w:t>
            </w:r>
            <w:r>
              <w:rPr>
                <w:b/>
                <w:bCs/>
                <w:szCs w:val="24"/>
              </w:rPr>
              <w:t>57,18 €/an</w:t>
            </w:r>
            <w:r>
              <w:rPr>
                <w:szCs w:val="24"/>
              </w:rPr>
              <w:t xml:space="preserve"> liée à l’enregistrement des pratiques et des interventions.</w:t>
            </w:r>
          </w:p>
          <w:p w:rsidR="0035701C" w:rsidRDefault="00FB561B">
            <w:pPr>
              <w:spacing w:before="240" w:after="240"/>
              <w:jc w:val="left"/>
              <w:rPr>
                <w:szCs w:val="24"/>
              </w:rPr>
            </w:pPr>
            <w:r>
              <w:rPr>
                <w:szCs w:val="24"/>
              </w:rPr>
              <w:t>Il est rappelé que le plafond communautaire pour ce type de couvert (autres utilisations des</w:t>
            </w:r>
            <w:r>
              <w:rPr>
                <w:szCs w:val="24"/>
              </w:rPr>
              <w:t xml:space="preserve"> terres) est de 450 €/ha/an (incluant le forfait annuel).</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 xml:space="preserve">Évaluation globale de la </w:t>
      </w:r>
      <w:r>
        <w:t>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Détermination et définition des éléments du niveau de référence applicable, qui doivent inclure les normes obligatoires établies en application du titre VI, chapitre I, du règlement (UE) n° 1306/</w:t>
      </w:r>
      <w:r>
        <w:t>2013 du Parlement européen et du Conseil, les critères pertinents et les activités minimales établies en application de l'article 4, paragraphe 1, point c) ii) et c) iii), du règlement (UE) n° 1307/2013 du Parlement européen et du Conseil, les exigences mi</w:t>
      </w:r>
      <w:r>
        <w:t>nimales applicables à l'utilisation des engrais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Dans cette opération, il n’y a aucune interaction avec les différents élém</w:t>
            </w:r>
            <w:r>
              <w:rPr>
                <w:szCs w:val="24"/>
              </w:rPr>
              <w:t>ents réglementaires décrits dans la section 8.1 du présent programme.</w:t>
            </w:r>
          </w:p>
          <w:p w:rsidR="0035701C" w:rsidRDefault="00FB561B">
            <w:pPr>
              <w:spacing w:before="240" w:after="240"/>
              <w:jc w:val="left"/>
              <w:rPr>
                <w:szCs w:val="24"/>
              </w:rPr>
            </w:pPr>
            <w:r>
              <w:rPr>
                <w:szCs w:val="24"/>
              </w:rPr>
              <w:t>Par ailleurs, si les pratiques rémunérées au titre de la présente opération sont rendues obligatoires sur des zones au titre de la protection de la biodiversité (notamment des zones clas</w:t>
            </w:r>
            <w:r>
              <w:rPr>
                <w:szCs w:val="24"/>
              </w:rPr>
              <w:t>sées au titre des réserves naturelles des arrêtés de protection de biotopes), celle-ci ne peut être ouverte sur les zones concernées.</w:t>
            </w:r>
          </w:p>
          <w:p w:rsidR="0035701C" w:rsidRDefault="0035701C">
            <w:pPr>
              <w:pStyle w:val="Corpsdetexte"/>
            </w:pPr>
          </w:p>
        </w:tc>
      </w:tr>
    </w:tbl>
    <w:p w:rsidR="0035701C" w:rsidRDefault="00FB561B">
      <w:r>
        <w:t>Les exigences minimales relatives à l'utilisation d'engrais doivent comprendre, entre autres, le respect des codes de bo</w:t>
      </w:r>
      <w:r>
        <w:t xml:space="preserve">nnes pratiques introduits au titre de la directive 91/676/CEE pour les exploitations situées en dehors des zones vulnérables aux nitrates, et des exigences concernant la pollution au phosphore; les exigences minimales relatives à l'utilisation de produits </w:t>
      </w:r>
      <w:r>
        <w:t>phytosanitaires doivent comprendre, entre autres, les principes généraux de la lutte intégrée contre les ennemis des cultures introduits par la directive 2009/128/CE du Parlement européen et du Conseil, l’obligation de détenir une autorisation d’utiliser l</w:t>
      </w:r>
      <w:r>
        <w:t>es produits, de satisfaire aux conditions de formation, d’assurer un stockage sûr et de contrôler les équipements destinés à l’épandage ainsi que les règles relatives à l’utilisation de pesticides à proximité d’étendues d’eau et d’autres sites sensibles, t</w:t>
      </w:r>
      <w:r>
        <w: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 xml:space="preserve">Liste des races locales qui sont menacées d’être perdues pour l’agriculture et des ressources génétiques végétales qui sont menacées d’érosion </w:t>
      </w:r>
      <w:r>
        <w:t>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préservation des ressources génétiques.</w:t>
            </w:r>
          </w:p>
          <w:p w:rsidR="0035701C" w:rsidRDefault="0035701C">
            <w:pPr>
              <w:pStyle w:val="Corpsdetexte"/>
            </w:pPr>
          </w:p>
        </w:tc>
      </w:tr>
    </w:tbl>
    <w:p w:rsidR="0035701C" w:rsidRDefault="00FB561B">
      <w:r>
        <w:t>Description de la méthode et des hypothèses et paramètres agronomiques y compris la description des exigences minimales visées à l'article 29, paragraphe 2, du règlement</w:t>
      </w:r>
      <w:r>
        <w:t xml:space="preserve"> (UE) n° 1305/2013 correspondant à chaque type particulier d'engagement, utilisés comme référence pour les calculs justifiant les coûts supplémentaires et les pertes de revenus résultant de l’engagement pris et le niveau des coûts des transactions; le cas </w:t>
      </w:r>
      <w:r>
        <w:t>échéant, cette méthode tient compte des aides accordées au titre du règlement (UE) n° 1307/2013, et notamment des paiements en faveur des pratiques agricoles bénéfiques pour le climat et l’environnement, afin d’exclure un double financement; le cas échéant</w:t>
      </w:r>
      <w:r>
        <w: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Pratiques de référence</w:t>
            </w:r>
            <w:r>
              <w:rPr>
                <w:szCs w:val="24"/>
              </w:rPr>
              <w:t xml:space="preserve"> : en Corse, aucune mesure de lutte n’est mise en œuvre à ce jour pour tenter d’éliminer la </w:t>
            </w:r>
            <w:r>
              <w:rPr>
                <w:i/>
                <w:iCs/>
                <w:szCs w:val="24"/>
              </w:rPr>
              <w:t>Stipa neesiana</w:t>
            </w:r>
            <w:r>
              <w:rPr>
                <w:szCs w:val="24"/>
              </w:rPr>
              <w:t xml:space="preserve"> qui commence seulement à en</w:t>
            </w:r>
            <w:r>
              <w:rPr>
                <w:szCs w:val="24"/>
              </w:rPr>
              <w:t>vahir depuis peu certaines micro-régions de l’île.</w:t>
            </w:r>
          </w:p>
          <w:p w:rsidR="0035701C" w:rsidRDefault="00FB561B">
            <w:pPr>
              <w:spacing w:before="240" w:after="240"/>
              <w:jc w:val="left"/>
              <w:rPr>
                <w:szCs w:val="24"/>
              </w:rPr>
            </w:pPr>
            <w:r>
              <w:rPr>
                <w:b/>
                <w:bCs/>
                <w:i/>
                <w:iCs/>
                <w:szCs w:val="24"/>
              </w:rPr>
              <w:t xml:space="preserve">Prise en compte du verdissement : </w:t>
            </w:r>
            <w:r>
              <w:rPr>
                <w:szCs w:val="24"/>
              </w:rPr>
              <w:t>afin d’exclure tout double paiement, les pratiques rémunérées au titre du verdissement sont prises en compte de la façon suivante dans le calcul du montant unitaire de cet</w:t>
            </w:r>
            <w:r>
              <w:rPr>
                <w:szCs w:val="24"/>
              </w:rPr>
              <w:t>te opération :</w:t>
            </w:r>
          </w:p>
          <w:p w:rsidR="0035701C" w:rsidRDefault="00FB561B" w:rsidP="00FB561B">
            <w:pPr>
              <w:numPr>
                <w:ilvl w:val="0"/>
                <w:numId w:val="669"/>
              </w:numPr>
              <w:spacing w:before="240" w:after="0"/>
              <w:ind w:hanging="210"/>
              <w:jc w:val="left"/>
              <w:rPr>
                <w:szCs w:val="24"/>
              </w:rPr>
            </w:pPr>
            <w:r>
              <w:rPr>
                <w:szCs w:val="24"/>
              </w:rPr>
              <w:t>maintien de prairies permanentes existantes : cette exigence n’a pas d’interaction avec cette opération.</w:t>
            </w:r>
          </w:p>
          <w:p w:rsidR="0035701C" w:rsidRDefault="00FB561B" w:rsidP="00FB561B">
            <w:pPr>
              <w:numPr>
                <w:ilvl w:val="0"/>
                <w:numId w:val="669"/>
              </w:numPr>
              <w:spacing w:before="0" w:after="0"/>
              <w:ind w:hanging="210"/>
              <w:jc w:val="left"/>
              <w:rPr>
                <w:szCs w:val="24"/>
              </w:rPr>
            </w:pPr>
            <w:r>
              <w:rPr>
                <w:szCs w:val="24"/>
              </w:rPr>
              <w:t xml:space="preserve">présence de 5 % de SIE (Surfaces d’Intérêt Ecologique) sur les terres arables : cette exigence n’a pas d’interaction avec cette </w:t>
            </w:r>
            <w:r>
              <w:rPr>
                <w:szCs w:val="24"/>
              </w:rPr>
              <w:t>opération.</w:t>
            </w:r>
          </w:p>
          <w:p w:rsidR="0035701C" w:rsidRDefault="00FB561B" w:rsidP="00FB561B">
            <w:pPr>
              <w:numPr>
                <w:ilvl w:val="0"/>
                <w:numId w:val="669"/>
              </w:numPr>
              <w:spacing w:before="0" w:after="240"/>
              <w:ind w:hanging="210"/>
              <w:jc w:val="left"/>
              <w:rPr>
                <w:szCs w:val="24"/>
              </w:rPr>
            </w:pPr>
            <w:r>
              <w:rPr>
                <w:szCs w:val="24"/>
              </w:rPr>
              <w:t>diversification des cultures : cette exigence n’a pas d’interaction avec cette opération.</w:t>
            </w:r>
          </w:p>
          <w:p w:rsidR="0035701C" w:rsidRDefault="00FB561B">
            <w:pPr>
              <w:spacing w:before="240" w:after="240"/>
              <w:jc w:val="left"/>
              <w:rPr>
                <w:szCs w:val="24"/>
              </w:rPr>
            </w:pPr>
            <w:r>
              <w:rPr>
                <w:b/>
                <w:bCs/>
                <w:i/>
                <w:iCs/>
                <w:szCs w:val="24"/>
              </w:rPr>
              <w:t>Méthode générale de calcul du montant :</w:t>
            </w:r>
            <w:r>
              <w:rPr>
                <w:szCs w:val="24"/>
              </w:rPr>
              <w:t xml:space="preserve"> le montant de l’aide est calculé sur la base du temps de travail nécessaire ainsi que sur la perte de production en</w:t>
            </w:r>
            <w:r>
              <w:rPr>
                <w:szCs w:val="24"/>
              </w:rPr>
              <w:t>gendrés par les nouvelles pratiques mises en œuvre. Le surcoût lié au temps d’enregistrement des interventions et des pratiques est rémunéré sous forme forfaitaire indépendamment de la surface engagée. Il n’y a pas, dans cette opération, de coût de transac</w:t>
            </w:r>
            <w:r>
              <w:rPr>
                <w:szCs w:val="24"/>
              </w:rPr>
              <w:t>tion.</w:t>
            </w:r>
          </w:p>
          <w:p w:rsidR="0035701C" w:rsidRDefault="00FB561B">
            <w:pPr>
              <w:spacing w:before="240" w:after="240"/>
              <w:jc w:val="left"/>
              <w:rPr>
                <w:szCs w:val="24"/>
              </w:rPr>
            </w:pPr>
            <w:r>
              <w:rPr>
                <w:b/>
                <w:bCs/>
                <w:i/>
                <w:iCs/>
                <w:szCs w:val="24"/>
              </w:rPr>
              <w:t>Source des données:</w:t>
            </w:r>
          </w:p>
          <w:p w:rsidR="0035701C" w:rsidRDefault="00FB561B">
            <w:pPr>
              <w:spacing w:before="240" w:after="240"/>
              <w:jc w:val="left"/>
              <w:rPr>
                <w:szCs w:val="24"/>
              </w:rPr>
            </w:pPr>
            <w:r>
              <w:rPr>
                <w:szCs w:val="24"/>
              </w:rPr>
              <w:t>UFL : Unité Fourragère Lait</w:t>
            </w:r>
          </w:p>
          <w:p w:rsidR="0035701C" w:rsidRDefault="00FB561B">
            <w:pPr>
              <w:spacing w:before="240" w:after="240"/>
              <w:jc w:val="left"/>
              <w:rPr>
                <w:szCs w:val="24"/>
              </w:rPr>
            </w:pPr>
            <w:r>
              <w:rPr>
                <w:szCs w:val="24"/>
              </w:rPr>
              <w:t>MS : Matière Sèche</w:t>
            </w:r>
          </w:p>
          <w:p w:rsidR="0035701C" w:rsidRDefault="00FB561B" w:rsidP="00FB561B">
            <w:pPr>
              <w:numPr>
                <w:ilvl w:val="0"/>
                <w:numId w:val="670"/>
              </w:numPr>
              <w:spacing w:before="240" w:after="0"/>
              <w:ind w:hanging="210"/>
              <w:jc w:val="left"/>
              <w:rPr>
                <w:szCs w:val="24"/>
              </w:rPr>
            </w:pPr>
            <w:r>
              <w:rPr>
                <w:szCs w:val="24"/>
              </w:rPr>
              <w:t>niveaux de production des prairies, perte de biomasse, taux de MS/kg et valeur en UFL:</w:t>
            </w:r>
            <w:r>
              <w:rPr>
                <w:i/>
                <w:iCs/>
                <w:szCs w:val="24"/>
              </w:rPr>
              <w:t xml:space="preserve"> références locales issues du réseau régional d’expérimentations fourragères et de démonstrations</w:t>
            </w:r>
            <w:r>
              <w:rPr>
                <w:i/>
                <w:iCs/>
                <w:szCs w:val="24"/>
              </w:rPr>
              <w:t xml:space="preserve"> (Office du Développement Agricole et Rural de Corse et Office de l’Environnement de la Corse)</w:t>
            </w:r>
          </w:p>
          <w:p w:rsidR="0035701C" w:rsidRDefault="00FB561B" w:rsidP="00FB561B">
            <w:pPr>
              <w:numPr>
                <w:ilvl w:val="0"/>
                <w:numId w:val="670"/>
              </w:numPr>
              <w:spacing w:before="0" w:after="0"/>
              <w:ind w:hanging="210"/>
              <w:jc w:val="left"/>
              <w:rPr>
                <w:szCs w:val="24"/>
              </w:rPr>
            </w:pPr>
            <w:r>
              <w:rPr>
                <w:i/>
                <w:iCs/>
                <w:szCs w:val="24"/>
              </w:rPr>
              <w:t>coût UFL : coopératives locales</w:t>
            </w:r>
          </w:p>
          <w:p w:rsidR="0035701C" w:rsidRDefault="00FB561B" w:rsidP="00FB561B">
            <w:pPr>
              <w:numPr>
                <w:ilvl w:val="0"/>
                <w:numId w:val="670"/>
              </w:numPr>
              <w:spacing w:before="0" w:after="240"/>
              <w:ind w:hanging="210"/>
              <w:jc w:val="left"/>
              <w:rPr>
                <w:szCs w:val="24"/>
              </w:rPr>
            </w:pPr>
            <w:r>
              <w:rPr>
                <w:i/>
                <w:iCs/>
                <w:szCs w:val="24"/>
              </w:rPr>
              <w:t>coût horaire de main d’œuvre : 2 fois le coût horaire du SMIC (1er janvier 2014)</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010275" cy="3067050"/>
                  <wp:effectExtent l="0" t="0" r="0" b="0"/>
                  <wp:docPr id="100134" name="Image 100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
                          <pic:cNvPicPr>
                            <a:picLocks noChangeAspect="1"/>
                          </pic:cNvPicPr>
                        </pic:nvPicPr>
                        <pic:blipFill>
                          <a:blip r:embed="rId79"/>
                          <a:stretch>
                            <a:fillRect/>
                          </a:stretch>
                        </pic:blipFill>
                        <pic:spPr>
                          <a:xfrm>
                            <a:off x="0" y="0"/>
                            <a:ext cx="6010275" cy="3067050"/>
                          </a:xfrm>
                          <a:prstGeom prst="rect">
                            <a:avLst/>
                          </a:prstGeom>
                        </pic:spPr>
                      </pic:pic>
                    </a:graphicData>
                  </a:graphic>
                </wp:inline>
              </w:drawing>
            </w:r>
          </w:p>
          <w:p w:rsidR="0035701C" w:rsidRDefault="00FB561B">
            <w:pPr>
              <w:pStyle w:val="Pieddepage"/>
              <w:jc w:val="center"/>
            </w:pPr>
            <w:r>
              <w:t>Prairie_8</w:t>
            </w:r>
          </w:p>
          <w:p w:rsidR="0035701C" w:rsidRDefault="0035701C">
            <w:pPr>
              <w:pStyle w:val="Pieddepage"/>
              <w:jc w:val="center"/>
            </w:pPr>
          </w:p>
        </w:tc>
      </w:tr>
    </w:tbl>
    <w:p w:rsidR="0035701C" w:rsidRDefault="00FB561B">
      <w:pPr>
        <w:pStyle w:val="Titre5"/>
        <w:rPr>
          <w:b w:val="0"/>
        </w:rPr>
      </w:pPr>
      <w:r>
        <w:rPr>
          <w:b w:val="0"/>
        </w:rPr>
        <w:br w:type="page"/>
        <w:t>-11- Canaux</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671"/>
              </w:numPr>
            </w:pPr>
            <w:r>
              <w:t>10.1 –</w:t>
            </w:r>
            <w:r>
              <w:t xml:space="preserve">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CANAUX  = Entretien des systèmes d’irrigation gravitaire traditionnels</w:t>
            </w:r>
          </w:p>
          <w:p w:rsidR="0035701C" w:rsidRDefault="00FB561B">
            <w:pPr>
              <w:spacing w:before="240" w:after="240"/>
              <w:jc w:val="left"/>
              <w:rPr>
                <w:szCs w:val="24"/>
              </w:rPr>
            </w:pPr>
            <w:r>
              <w:rPr>
                <w:szCs w:val="24"/>
              </w:rPr>
              <w:t>Le système d’irrigation gravitaire traditionnel est confronté</w:t>
            </w:r>
            <w:r>
              <w:rPr>
                <w:szCs w:val="24"/>
              </w:rPr>
              <w:t xml:space="preserve"> aussi bien au risque d’abandon qu’au risque de remplacement par des canalisations sous pression.</w:t>
            </w:r>
          </w:p>
          <w:p w:rsidR="0035701C" w:rsidRDefault="00FB561B">
            <w:pPr>
              <w:spacing w:before="240" w:after="240"/>
              <w:jc w:val="left"/>
              <w:rPr>
                <w:szCs w:val="24"/>
              </w:rPr>
            </w:pPr>
            <w:r>
              <w:rPr>
                <w:szCs w:val="24"/>
              </w:rPr>
              <w:t>Pourtant, le maintien en bon état du maillage de fossés et rigoles le constituant permet d’assurer un bon cheminement de l’eau et d’éviter son gaspillage tout</w:t>
            </w:r>
            <w:r>
              <w:rPr>
                <w:szCs w:val="24"/>
              </w:rPr>
              <w:t xml:space="preserve"> en assurant une alimentation hydrique satisfaisante des parcelles situées en aval.</w:t>
            </w:r>
          </w:p>
          <w:p w:rsidR="0035701C" w:rsidRDefault="00FB561B">
            <w:pPr>
              <w:spacing w:before="240" w:after="240"/>
              <w:jc w:val="left"/>
              <w:rPr>
                <w:szCs w:val="24"/>
              </w:rPr>
            </w:pPr>
            <w:r>
              <w:rPr>
                <w:szCs w:val="24"/>
              </w:rPr>
              <w:t>Parfois empierrés, ils constituent aussi, dans certaines zones ciblées, un élément patrimonial indéniable du paysage rural. De plus, ils répondent à un enjeu paysager impor</w:t>
            </w:r>
            <w:r>
              <w:rPr>
                <w:szCs w:val="24"/>
              </w:rPr>
              <w:t>tant en permettant le maintien de certaines ripisylves particulièrement sensibles à la sécheresse.</w:t>
            </w:r>
          </w:p>
          <w:p w:rsidR="0035701C" w:rsidRDefault="00FB561B">
            <w:pPr>
              <w:spacing w:before="240" w:after="240"/>
              <w:jc w:val="left"/>
              <w:rPr>
                <w:szCs w:val="24"/>
              </w:rPr>
            </w:pPr>
            <w:r>
              <w:rPr>
                <w:szCs w:val="24"/>
              </w:rPr>
              <w:t>Lorsqu’ils sont entretenus régulièrement, ces canaux peuvent également constituer des zones de développement d’une flore d’une grande richesse spécifique. Il</w:t>
            </w:r>
            <w:r>
              <w:rPr>
                <w:szCs w:val="24"/>
              </w:rPr>
              <w:t>s constituent alors des lieux de vie, d’abri et de reproduction de nombreuses espèces animales (avifaune, petits mammifères) et répondent ainsi à un autre objectif, celui du maintien de la biodiversité et de la continuité écologique.</w:t>
            </w:r>
          </w:p>
          <w:p w:rsidR="0035701C" w:rsidRDefault="00FB561B">
            <w:pPr>
              <w:spacing w:before="240" w:after="240"/>
              <w:jc w:val="left"/>
              <w:rPr>
                <w:szCs w:val="24"/>
              </w:rPr>
            </w:pPr>
            <w:r>
              <w:rPr>
                <w:szCs w:val="24"/>
              </w:rPr>
              <w:t>Afin que cette opérati</w:t>
            </w:r>
            <w:r>
              <w:rPr>
                <w:szCs w:val="24"/>
              </w:rPr>
              <w:t>on ait un impact le plus significatif possible et afin de prendre en compte des agriculteurs dont les canaux nécessitent une remise en fonction, il est proposé 2 options, dont la plus appropriée sera mobilisée lors du diagnostic d'exploitation préalable:</w:t>
            </w:r>
          </w:p>
          <w:p w:rsidR="0035701C" w:rsidRDefault="00FB561B" w:rsidP="00FB561B">
            <w:pPr>
              <w:numPr>
                <w:ilvl w:val="0"/>
                <w:numId w:val="672"/>
              </w:numPr>
              <w:spacing w:before="240" w:after="0"/>
              <w:ind w:hanging="210"/>
              <w:jc w:val="left"/>
              <w:rPr>
                <w:szCs w:val="24"/>
              </w:rPr>
            </w:pPr>
            <w:r>
              <w:rPr>
                <w:b/>
                <w:bCs/>
                <w:szCs w:val="24"/>
              </w:rPr>
              <w:t>o</w:t>
            </w:r>
            <w:r>
              <w:rPr>
                <w:b/>
                <w:bCs/>
                <w:szCs w:val="24"/>
              </w:rPr>
              <w:t>ption 1</w:t>
            </w:r>
            <w:r>
              <w:rPr>
                <w:szCs w:val="24"/>
              </w:rPr>
              <w:t>: les canaux nécessitent une remise en fonction la première année par le traitement des "points noirs" éventuels afin de pouvoir effectuer aisément les travaux d'entretien les 4 années suivantes.</w:t>
            </w:r>
          </w:p>
          <w:p w:rsidR="0035701C" w:rsidRDefault="00FB561B" w:rsidP="00FB561B">
            <w:pPr>
              <w:numPr>
                <w:ilvl w:val="0"/>
                <w:numId w:val="672"/>
              </w:numPr>
              <w:spacing w:before="0" w:after="240"/>
              <w:ind w:hanging="210"/>
              <w:jc w:val="left"/>
              <w:rPr>
                <w:szCs w:val="24"/>
              </w:rPr>
            </w:pPr>
            <w:r>
              <w:rPr>
                <w:b/>
                <w:bCs/>
                <w:szCs w:val="24"/>
              </w:rPr>
              <w:t>option 2</w:t>
            </w:r>
            <w:r>
              <w:rPr>
                <w:szCs w:val="24"/>
              </w:rPr>
              <w:t xml:space="preserve"> : les canaux sont fonctionnels dès le départ</w:t>
            </w:r>
            <w:r>
              <w:rPr>
                <w:szCs w:val="24"/>
              </w:rPr>
              <w:t xml:space="preserve"> et ne nécessitent que de l'entretien annuel sur 5 ans.</w:t>
            </w:r>
          </w:p>
          <w:p w:rsidR="0035701C" w:rsidRDefault="00FB561B">
            <w:pPr>
              <w:spacing w:before="240" w:after="240"/>
              <w:jc w:val="left"/>
              <w:rPr>
                <w:szCs w:val="24"/>
              </w:rPr>
            </w:pPr>
            <w:r>
              <w:rPr>
                <w:b/>
                <w:bCs/>
                <w:szCs w:val="24"/>
              </w:rPr>
              <w:t xml:space="preserve">L’objectif de cet engagement est donc de permettre de conserver en fonction ces canaux traditionnels dans les micro-régions de Corse où ils sont encore présents de façon significative, afin de </w:t>
            </w:r>
            <w:r>
              <w:rPr>
                <w:b/>
                <w:bCs/>
                <w:szCs w:val="24"/>
              </w:rPr>
              <w:t>maintenir leur fonctionnalité écologique.</w:t>
            </w:r>
          </w:p>
          <w:p w:rsidR="0035701C" w:rsidRDefault="00FB561B">
            <w:pPr>
              <w:spacing w:before="240" w:after="240"/>
              <w:jc w:val="left"/>
              <w:rPr>
                <w:szCs w:val="24"/>
              </w:rPr>
            </w:pPr>
            <w:r>
              <w:rPr>
                <w:szCs w:val="24"/>
              </w:rPr>
              <w:t>Cette opération qui a déjà été proposée dans le cadre de la programmation précédente (2007-2013) est maintenue. Bien que mobilisée sur un territoire restreint (Taravo), elle a permis de restaurer et de maintenir la</w:t>
            </w:r>
            <w:r>
              <w:rPr>
                <w:szCs w:val="24"/>
              </w:rPr>
              <w:t xml:space="preserve"> fonctionnalité écologique et hydrologique des systèmes d’irrigation gravitaire traditionnels. Ainsi, l’entretien adapté de ces éléments, à travers cette opération, a su rétablir des îlots de biodiversité qui ont tendance à disparaître de notre paysage.</w:t>
            </w:r>
          </w:p>
          <w:p w:rsidR="0035701C" w:rsidRDefault="00FB561B">
            <w:pPr>
              <w:spacing w:before="240" w:after="240"/>
              <w:jc w:val="left"/>
              <w:rPr>
                <w:szCs w:val="24"/>
              </w:rPr>
            </w:pPr>
            <w:r>
              <w:rPr>
                <w:b/>
                <w:bCs/>
                <w:i/>
                <w:iCs/>
                <w:szCs w:val="24"/>
              </w:rPr>
              <w:t>Ca</w:t>
            </w:r>
            <w:r>
              <w:rPr>
                <w:b/>
                <w:bCs/>
                <w:i/>
                <w:iCs/>
                <w:szCs w:val="24"/>
              </w:rPr>
              <w:t xml:space="preserve">hier des charges : </w:t>
            </w:r>
          </w:p>
          <w:p w:rsidR="0035701C" w:rsidRDefault="00FB561B" w:rsidP="00FB561B">
            <w:pPr>
              <w:numPr>
                <w:ilvl w:val="0"/>
                <w:numId w:val="673"/>
              </w:numPr>
              <w:spacing w:before="240" w:after="0"/>
              <w:ind w:hanging="210"/>
              <w:jc w:val="left"/>
              <w:rPr>
                <w:szCs w:val="24"/>
              </w:rPr>
            </w:pPr>
            <w:r>
              <w:rPr>
                <w:szCs w:val="24"/>
              </w:rPr>
              <w:t>l’agriculteur s’engage à remettre en fonction si nécessaire, puis à entretenir annuellement le réseau d’irrigation gravitaire traditionnel, en utilisant exclusivement du petit matériel porté ou des outils manuels, tout au long de l’anné</w:t>
            </w:r>
            <w:r>
              <w:rPr>
                <w:szCs w:val="24"/>
              </w:rPr>
              <w:t>e</w:t>
            </w:r>
          </w:p>
          <w:p w:rsidR="0035701C" w:rsidRDefault="00FB561B" w:rsidP="00FB561B">
            <w:pPr>
              <w:numPr>
                <w:ilvl w:val="0"/>
                <w:numId w:val="673"/>
              </w:numPr>
              <w:spacing w:before="0" w:after="0"/>
              <w:ind w:hanging="210"/>
              <w:jc w:val="left"/>
              <w:rPr>
                <w:szCs w:val="24"/>
              </w:rPr>
            </w:pPr>
            <w:r>
              <w:rPr>
                <w:szCs w:val="24"/>
              </w:rPr>
              <w:t>l’utilisation de ciment ou de désherbant est interdite</w:t>
            </w:r>
          </w:p>
          <w:p w:rsidR="0035701C" w:rsidRDefault="00FB561B" w:rsidP="00FB561B">
            <w:pPr>
              <w:numPr>
                <w:ilvl w:val="0"/>
                <w:numId w:val="673"/>
              </w:numPr>
              <w:spacing w:before="0" w:after="0"/>
              <w:ind w:hanging="210"/>
              <w:jc w:val="left"/>
              <w:rPr>
                <w:szCs w:val="24"/>
              </w:rPr>
            </w:pPr>
            <w:r>
              <w:rPr>
                <w:szCs w:val="24"/>
              </w:rPr>
              <w:t xml:space="preserve">une des 2 options ci-dessous, déterminée par le diagnostic d'exploitation préalable, sera obligatoirement mobilisée : </w:t>
            </w:r>
          </w:p>
          <w:p w:rsidR="0035701C" w:rsidRDefault="00FB561B" w:rsidP="00FB561B">
            <w:pPr>
              <w:numPr>
                <w:ilvl w:val="1"/>
                <w:numId w:val="673"/>
              </w:numPr>
              <w:spacing w:before="0" w:after="0"/>
              <w:ind w:hanging="244"/>
              <w:jc w:val="left"/>
              <w:rPr>
                <w:szCs w:val="24"/>
              </w:rPr>
            </w:pPr>
            <w:r>
              <w:rPr>
                <w:b/>
                <w:bCs/>
                <w:szCs w:val="24"/>
              </w:rPr>
              <w:t>option 1</w:t>
            </w:r>
            <w:r>
              <w:rPr>
                <w:szCs w:val="24"/>
              </w:rPr>
              <w:t>: les canaux nécessitent une remise en fonction la première année par le</w:t>
            </w:r>
            <w:r>
              <w:rPr>
                <w:szCs w:val="24"/>
              </w:rPr>
              <w:t xml:space="preserve"> traitement des "points noirs" éventuels : </w:t>
            </w:r>
          </w:p>
          <w:p w:rsidR="0035701C" w:rsidRDefault="00FB561B" w:rsidP="00FB561B">
            <w:pPr>
              <w:numPr>
                <w:ilvl w:val="2"/>
                <w:numId w:val="673"/>
              </w:numPr>
              <w:spacing w:before="0" w:after="0"/>
              <w:ind w:hanging="210"/>
              <w:jc w:val="left"/>
              <w:rPr>
                <w:szCs w:val="24"/>
              </w:rPr>
            </w:pPr>
            <w:r>
              <w:rPr>
                <w:szCs w:val="24"/>
              </w:rPr>
              <w:t>1ère année : débroussaillage, épierrage si nécessaire, repiochage, consolidation éventuelle des bords avec de la terre et des pierres, réouverture des dérivations, élimination des végétaux, dans le respect du gab</w:t>
            </w:r>
            <w:r>
              <w:rPr>
                <w:szCs w:val="24"/>
              </w:rPr>
              <w:t>arit initial.</w:t>
            </w:r>
          </w:p>
          <w:p w:rsidR="0035701C" w:rsidRDefault="00FB561B" w:rsidP="00FB561B">
            <w:pPr>
              <w:numPr>
                <w:ilvl w:val="2"/>
                <w:numId w:val="673"/>
              </w:numPr>
              <w:spacing w:before="0" w:after="0"/>
              <w:ind w:hanging="210"/>
              <w:jc w:val="left"/>
              <w:rPr>
                <w:szCs w:val="24"/>
              </w:rPr>
            </w:pPr>
            <w:r>
              <w:rPr>
                <w:szCs w:val="24"/>
              </w:rPr>
              <w:t>4 années suivantes: entretien des prises d’eau et lucarnes, enlèvement des feuilles mortes, épierrage si nécessaire, repiochage éventuel et élimination des végétaux sur le linéaire.</w:t>
            </w:r>
          </w:p>
          <w:p w:rsidR="0035701C" w:rsidRDefault="00FB561B" w:rsidP="00FB561B">
            <w:pPr>
              <w:numPr>
                <w:ilvl w:val="1"/>
                <w:numId w:val="673"/>
              </w:numPr>
              <w:spacing w:before="0" w:after="0"/>
              <w:ind w:hanging="244"/>
              <w:jc w:val="left"/>
              <w:rPr>
                <w:szCs w:val="24"/>
              </w:rPr>
            </w:pPr>
            <w:r>
              <w:rPr>
                <w:b/>
                <w:bCs/>
                <w:szCs w:val="24"/>
              </w:rPr>
              <w:t>option 2</w:t>
            </w:r>
            <w:r>
              <w:rPr>
                <w:szCs w:val="24"/>
              </w:rPr>
              <w:t xml:space="preserve"> : les canaux sont fonctionnels dès le départ et ne </w:t>
            </w:r>
            <w:r>
              <w:rPr>
                <w:szCs w:val="24"/>
              </w:rPr>
              <w:t xml:space="preserve">nécessitent que de l'entretien annuel : </w:t>
            </w:r>
          </w:p>
          <w:p w:rsidR="0035701C" w:rsidRDefault="00FB561B" w:rsidP="00FB561B">
            <w:pPr>
              <w:numPr>
                <w:ilvl w:val="2"/>
                <w:numId w:val="673"/>
              </w:numPr>
              <w:spacing w:before="0" w:after="0"/>
              <w:ind w:hanging="210"/>
              <w:jc w:val="left"/>
              <w:rPr>
                <w:szCs w:val="24"/>
              </w:rPr>
            </w:pPr>
            <w:r>
              <w:rPr>
                <w:szCs w:val="24"/>
              </w:rPr>
              <w:t>sur la durée des 5 années du contrat : entretien annuel des prises d’eau et lucarnes, enlèvement des feuilles mortes, épierrage si nécessaire, repiochage éventuel et élimination des végétaux sur le linéaire</w:t>
            </w:r>
          </w:p>
          <w:p w:rsidR="0035701C" w:rsidRDefault="00FB561B" w:rsidP="00FB561B">
            <w:pPr>
              <w:numPr>
                <w:ilvl w:val="0"/>
                <w:numId w:val="673"/>
              </w:numPr>
              <w:spacing w:before="0" w:after="240"/>
              <w:ind w:hanging="210"/>
              <w:jc w:val="left"/>
              <w:rPr>
                <w:szCs w:val="24"/>
              </w:rPr>
            </w:pPr>
            <w:r>
              <w:rPr>
                <w:szCs w:val="24"/>
              </w:rPr>
              <w:t>l’agricu</w:t>
            </w:r>
            <w:r>
              <w:rPr>
                <w:szCs w:val="24"/>
              </w:rPr>
              <w:t>lteur doit assurer l’enregistrement des différentes interventions et des pratiques réalisées dans un document normé prévu à cet effet. Ce document sera remis à l’agriculteur à l’issue du diagnostic obligatoire réalisé par le service instructeur.</w:t>
            </w:r>
          </w:p>
          <w:p w:rsidR="0035701C" w:rsidRDefault="0035701C">
            <w:pPr>
              <w:pStyle w:val="Corpsdetexte"/>
            </w:pPr>
          </w:p>
        </w:tc>
      </w:tr>
    </w:tbl>
    <w:p w:rsidR="0035701C" w:rsidRDefault="00FB561B">
      <w:pPr>
        <w:pStyle w:val="Titre6"/>
      </w:pPr>
      <w:r>
        <w:t xml:space="preserve">Type de </w:t>
      </w:r>
      <w:r>
        <w:t>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 / mètre linéaire / 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w:t>
            </w:r>
            <w:r>
              <w:rPr>
                <w:szCs w:val="24"/>
              </w:rPr>
              <w:t>n conformité avec :</w:t>
            </w:r>
          </w:p>
          <w:p w:rsidR="0035701C" w:rsidRDefault="00FB561B" w:rsidP="00FB561B">
            <w:pPr>
              <w:numPr>
                <w:ilvl w:val="0"/>
                <w:numId w:val="674"/>
              </w:numPr>
              <w:spacing w:before="240" w:after="0"/>
              <w:ind w:hanging="210"/>
              <w:jc w:val="left"/>
              <w:rPr>
                <w:szCs w:val="24"/>
              </w:rPr>
            </w:pPr>
            <w:r>
              <w:rPr>
                <w:szCs w:val="24"/>
              </w:rPr>
              <w:t>les exigences établies en vertu de l’article 93 du Titre VI du règlement UE n° 1306/2013 relatif à la conditionnalité,</w:t>
            </w:r>
          </w:p>
          <w:p w:rsidR="0035701C" w:rsidRDefault="00FB561B" w:rsidP="00FB561B">
            <w:pPr>
              <w:numPr>
                <w:ilvl w:val="0"/>
                <w:numId w:val="674"/>
              </w:numPr>
              <w:spacing w:before="0" w:after="0"/>
              <w:ind w:hanging="210"/>
              <w:jc w:val="left"/>
              <w:rPr>
                <w:szCs w:val="24"/>
              </w:rPr>
            </w:pPr>
            <w:r>
              <w:rPr>
                <w:szCs w:val="24"/>
              </w:rPr>
              <w:t xml:space="preserve">les exigences établies en vertu de l’article 4.1c points ii) et iii) du règlement UE n°1307/2013 relatif à l’état </w:t>
            </w:r>
            <w:r>
              <w:rPr>
                <w:szCs w:val="24"/>
              </w:rPr>
              <w:t>d’entretien minimum des surfaces</w:t>
            </w:r>
          </w:p>
          <w:p w:rsidR="0035701C" w:rsidRDefault="00FB561B" w:rsidP="00FB561B">
            <w:pPr>
              <w:numPr>
                <w:ilvl w:val="0"/>
                <w:numId w:val="674"/>
              </w:numPr>
              <w:spacing w:before="0" w:after="240"/>
              <w:ind w:hanging="210"/>
              <w:jc w:val="left"/>
              <w:rPr>
                <w:szCs w:val="24"/>
              </w:rPr>
            </w:pPr>
            <w:r>
              <w:rPr>
                <w:szCs w:val="24"/>
              </w:rPr>
              <w:t>toute autre exigence pertinente établie par la réglementation nationale, tel le Code des Bonnes Pratiques Agricoles pris par arrêté du 22 novembre 1993</w:t>
            </w:r>
          </w:p>
          <w:p w:rsidR="0035701C" w:rsidRDefault="00FB561B">
            <w:pPr>
              <w:spacing w:before="240" w:after="240"/>
              <w:jc w:val="left"/>
              <w:rPr>
                <w:szCs w:val="24"/>
              </w:rPr>
            </w:pPr>
            <w:r>
              <w:rPr>
                <w:szCs w:val="24"/>
              </w:rPr>
              <w:t xml:space="preserve">Ces éléments sont détaillés au paragraphe « Information spécifique à </w:t>
            </w:r>
            <w:r>
              <w:rPr>
                <w:szCs w:val="24"/>
              </w:rPr>
              <w:t>l’opération – Description de la ligne de base » de la présente fiche-opération.</w:t>
            </w:r>
          </w:p>
          <w:p w:rsidR="0035701C" w:rsidRDefault="00FB561B">
            <w:pPr>
              <w:spacing w:before="240" w:after="240"/>
              <w:jc w:val="left"/>
              <w:rPr>
                <w:szCs w:val="24"/>
              </w:rPr>
            </w:pPr>
            <w:r>
              <w:rPr>
                <w:szCs w:val="24"/>
              </w:rPr>
              <w:t xml:space="preserve">Afin d’exclure tout double paiement, les pratiques visées à l’article 43 du règlement UE n° 1307/2013 sont prises en compte dans le calcul des surcoûts et manques à gagner. La </w:t>
            </w:r>
            <w:r>
              <w:rPr>
                <w:szCs w:val="24"/>
              </w:rPr>
              <w:t>méthode de calcul est détaillée au paragraphe « Information spécifique à l’opération – Méthode de calcul du montant » de la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w:t>
            </w:r>
            <w:r>
              <w:rPr>
                <w:szCs w:val="24"/>
              </w:rPr>
              <w:t>coûts sont les surcoûts, manques à gagner et éventuels coûts d’opportunité et de transaction générés par le respect des éléments contractualisés.</w:t>
            </w:r>
          </w:p>
          <w:p w:rsidR="0035701C" w:rsidRDefault="00FB561B">
            <w:pPr>
              <w:spacing w:before="240" w:after="240"/>
              <w:jc w:val="left"/>
              <w:rPr>
                <w:szCs w:val="24"/>
              </w:rPr>
            </w:pPr>
            <w:r>
              <w:rPr>
                <w:szCs w:val="24"/>
              </w:rPr>
              <w:t>Dans le cas de cette opération, sont pris en compte uniquement des surcoûts.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La r</w:t>
            </w:r>
            <w:r>
              <w:rPr>
                <w:b/>
                <w:bCs/>
                <w:szCs w:val="24"/>
              </w:rPr>
              <w:t>éalisation d’un diagnostic d’exploitation préalable à la souscription de cette opération est obligatoire.</w:t>
            </w:r>
          </w:p>
          <w:p w:rsidR="0035701C" w:rsidRDefault="00FB561B">
            <w:pPr>
              <w:spacing w:before="240" w:after="240"/>
              <w:jc w:val="left"/>
              <w:rPr>
                <w:szCs w:val="24"/>
              </w:rPr>
            </w:pPr>
            <w:r>
              <w:rPr>
                <w:b/>
                <w:bCs/>
                <w:i/>
                <w:iCs/>
                <w:szCs w:val="24"/>
              </w:rPr>
              <w:t>Linéaires éligibles:</w:t>
            </w:r>
            <w:r>
              <w:rPr>
                <w:szCs w:val="24"/>
              </w:rPr>
              <w:t xml:space="preserve"> les canaux, rigoles et fossés existants, non maçonnés, permettant l’acheminement de l’eau et l’irrigation saisonnière des parcell</w:t>
            </w:r>
            <w:r>
              <w:rPr>
                <w:szCs w:val="24"/>
              </w:rPr>
              <w:t>es situées à leur aval.</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de l’aide est de </w:t>
            </w:r>
            <w:r>
              <w:rPr>
                <w:b/>
                <w:bCs/>
                <w:szCs w:val="24"/>
              </w:rPr>
              <w:t xml:space="preserve">3,03 € / ml / an pour l’option 1, et de 2,77 € </w:t>
            </w:r>
            <w:r>
              <w:rPr>
                <w:b/>
                <w:bCs/>
                <w:szCs w:val="24"/>
              </w:rPr>
              <w:t>/ ml / an pour l’option 2.</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 xml:space="preserve">Informations </w:t>
      </w:r>
      <w:r>
        <w:t>spécifiques sur l'opération</w:t>
      </w:r>
    </w:p>
    <w:p w:rsidR="0035701C" w:rsidRDefault="00FB561B">
      <w:r>
        <w:t xml:space="preserve">Détermination et définition des éléments du niveau de référence applicable, qui doivent inclure les normes obligatoires établies en application du titre VI, chapitre I, du règlement (UE) n° 1306/2013 du Parlement européen et du </w:t>
      </w:r>
      <w:r>
        <w:t>Conseil, les critères pertinents et les activités minimales établies en application de l'article 4, paragraphe 1, point c) ii) et c) iii), du règlement (UE) n° 1307/2013 du Parlement européen et du Conseil, les exigences minimales applicables à l'utilisati</w:t>
      </w:r>
      <w:r>
        <w:t>on des engrais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 xml:space="preserve">Dans cette opération, il n’y a aucune interaction avec les différents éléments réglementaires décrits dans </w:t>
            </w:r>
            <w:r>
              <w:rPr>
                <w:szCs w:val="24"/>
              </w:rPr>
              <w:t>la section 8.1 du présent programme.</w:t>
            </w:r>
          </w:p>
          <w:p w:rsidR="0035701C" w:rsidRDefault="00FB561B">
            <w:pPr>
              <w:spacing w:before="240" w:after="240"/>
              <w:jc w:val="left"/>
              <w:rPr>
                <w:szCs w:val="24"/>
              </w:rPr>
            </w:pPr>
            <w:r>
              <w:rPr>
                <w:szCs w:val="24"/>
              </w:rPr>
              <w:t>Si les pratiques rémunérées au titre de la présente opération sont rendues obligatoires sur des zones au titre de la protection de la biodiversité (notamment des zones classées au titre des réserves naturelles des arrêt</w:t>
            </w:r>
            <w:r>
              <w:rPr>
                <w:szCs w:val="24"/>
              </w:rPr>
              <w:t>és de protection de biotopes), celle-ci ne peut être ouverte sur les zones concernées.</w:t>
            </w:r>
          </w:p>
          <w:p w:rsidR="0035701C" w:rsidRDefault="0035701C">
            <w:pPr>
              <w:pStyle w:val="Corpsdetexte"/>
            </w:pPr>
          </w:p>
        </w:tc>
      </w:tr>
    </w:tbl>
    <w:p w:rsidR="0035701C" w:rsidRDefault="00FB561B">
      <w:r>
        <w:t>Les exigences minimales relatives à l'utilisation d'engrais doivent comprendre, entre autres, le respect des codes de bonnes pratiques introduits au titre de la direct</w:t>
      </w:r>
      <w:r>
        <w:t>ive 91/676/CEE pour les exploitations situées en dehors des zones vulnérables aux nitrates, et des exigences concernant la pollution au phosphore; les exigences minimales relatives à l'utilisation de produits phytosanitaires doivent comprendre, entre autre</w:t>
      </w:r>
      <w:r>
        <w:t>s, les principes généraux de la lutte intégrée contre les ennemis des cultures introduits par la directive 2009/128/CE du Parlement européen et du Conseil, l’obligation de détenir une autorisation d’utiliser les produits, de satisfaire aux conditions de fo</w:t>
      </w:r>
      <w:r>
        <w:t>rmation, d’assurer un stockage sûr et de contrôler les équipements destinés à l’épandage ainsi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w:t>
            </w:r>
            <w:r>
              <w:rPr>
                <w:szCs w:val="24"/>
              </w:rPr>
              <w:t>tte opération, il n’y a pas d’interaction avec ces exigences.</w:t>
            </w:r>
          </w:p>
          <w:p w:rsidR="0035701C" w:rsidRDefault="0035701C">
            <w:pPr>
              <w:pStyle w:val="Corpsdetexte"/>
            </w:pPr>
          </w:p>
        </w:tc>
      </w:tr>
    </w:tbl>
    <w:p w:rsidR="0035701C" w:rsidRDefault="00FB561B">
      <w:r>
        <w:t>Liste des races locales 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Cette opération ne concerne pas la </w:t>
            </w:r>
            <w:r>
              <w:rPr>
                <w:szCs w:val="24"/>
              </w:rPr>
              <w:t>préservation des ressources génétiques.</w:t>
            </w:r>
          </w:p>
          <w:p w:rsidR="0035701C" w:rsidRDefault="0035701C">
            <w:pPr>
              <w:pStyle w:val="Corpsdetexte"/>
            </w:pPr>
          </w:p>
        </w:tc>
      </w:tr>
    </w:tbl>
    <w:p w:rsidR="0035701C" w:rsidRDefault="00FB561B">
      <w:r>
        <w:t>Description de la méthode et des hypothèses et paramètres agronomiques y compris la description des exigences minimales visées à l'article 29, paragraphe 2, du règlement (UE) n° 1305/2013 correspondant à chaque typ</w:t>
      </w:r>
      <w:r>
        <w:t>e particulier d'engagement, utilisés comme référence pour les calculs justifiant les coûts supplémentaires et les pertes de revenus résultant de l’engagement pris et le niveau des coûts des transactions; le cas échéant, cette méthode tient compte des aides</w:t>
      </w:r>
      <w:r>
        <w:t xml:space="preserve"> accordées au titre du règlement (UE) n° 1307/2013, et notamment des paiements en faveur des pratiques agricoles bénéfiques pour le climat et l’environnement, afin d’exclure un double financement; le cas échéant, la méthode de conversion utilisée pour d’au</w:t>
      </w:r>
      <w:r>
        <w:t>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Pratiques de référence</w:t>
            </w:r>
            <w:r>
              <w:rPr>
                <w:szCs w:val="24"/>
              </w:rPr>
              <w:t> : habituellement, les fossés ou rigoles végétalisés sont maintenus sans entretien spécifique. Toutefois, dans les cas où ils sont entretenus épisodiquement, l’entretien est réali</w:t>
            </w:r>
            <w:r>
              <w:rPr>
                <w:szCs w:val="24"/>
              </w:rPr>
              <w:t>sé selon les modalités les moins coûteuses pour l’exploitant, en particulier, aux dates les plus pratiques, et non les plus favorables à la préservation des espèces.</w:t>
            </w:r>
          </w:p>
          <w:p w:rsidR="0035701C" w:rsidRDefault="00FB561B">
            <w:pPr>
              <w:spacing w:before="240" w:after="240"/>
              <w:jc w:val="left"/>
              <w:rPr>
                <w:szCs w:val="24"/>
              </w:rPr>
            </w:pPr>
            <w:r>
              <w:rPr>
                <w:b/>
                <w:bCs/>
                <w:i/>
                <w:iCs/>
                <w:szCs w:val="24"/>
              </w:rPr>
              <w:t xml:space="preserve">Prise en compte du verdissement : </w:t>
            </w:r>
            <w:r>
              <w:rPr>
                <w:szCs w:val="24"/>
              </w:rPr>
              <w:t>afin d’exclure tout double paiement, les pratiques rémun</w:t>
            </w:r>
            <w:r>
              <w:rPr>
                <w:szCs w:val="24"/>
              </w:rPr>
              <w:t>érées au titre du verdissement sont prises en compte de la façon suivante dans le calcul du montant unitaire de cette opération :</w:t>
            </w:r>
          </w:p>
          <w:p w:rsidR="0035701C" w:rsidRDefault="00FB561B" w:rsidP="00FB561B">
            <w:pPr>
              <w:numPr>
                <w:ilvl w:val="0"/>
                <w:numId w:val="675"/>
              </w:numPr>
              <w:spacing w:before="240" w:after="0"/>
              <w:ind w:hanging="210"/>
              <w:jc w:val="left"/>
              <w:rPr>
                <w:szCs w:val="24"/>
              </w:rPr>
            </w:pPr>
            <w:r>
              <w:rPr>
                <w:szCs w:val="24"/>
              </w:rPr>
              <w:t>maintien de prairies permanentes existantes : cette exigence n’a pas d’interaction avec cette opération,</w:t>
            </w:r>
          </w:p>
          <w:p w:rsidR="0035701C" w:rsidRDefault="00FB561B" w:rsidP="00FB561B">
            <w:pPr>
              <w:numPr>
                <w:ilvl w:val="0"/>
                <w:numId w:val="675"/>
              </w:numPr>
              <w:spacing w:before="0" w:after="0"/>
              <w:ind w:hanging="210"/>
              <w:jc w:val="left"/>
              <w:rPr>
                <w:szCs w:val="24"/>
              </w:rPr>
            </w:pPr>
            <w:r>
              <w:rPr>
                <w:szCs w:val="24"/>
              </w:rPr>
              <w:t xml:space="preserve">présence de 5 % de </w:t>
            </w:r>
            <w:r>
              <w:rPr>
                <w:szCs w:val="24"/>
              </w:rPr>
              <w:t>SIE (Surfaces d’Intérêt Ecologique) sur les terres arables : cette exigence n’a pas d’interaction avec cette opération qui rémunère de l’entretien.</w:t>
            </w:r>
          </w:p>
          <w:p w:rsidR="0035701C" w:rsidRDefault="00FB561B" w:rsidP="00FB561B">
            <w:pPr>
              <w:numPr>
                <w:ilvl w:val="0"/>
                <w:numId w:val="675"/>
              </w:numPr>
              <w:spacing w:before="0" w:after="240"/>
              <w:ind w:hanging="210"/>
              <w:jc w:val="left"/>
              <w:rPr>
                <w:szCs w:val="24"/>
              </w:rPr>
            </w:pPr>
            <w:r>
              <w:rPr>
                <w:szCs w:val="24"/>
              </w:rPr>
              <w:t>diversification des cultures : cette exigence n’a pas d’interaction avec cette opération.</w:t>
            </w:r>
          </w:p>
          <w:p w:rsidR="0035701C" w:rsidRDefault="00FB561B">
            <w:pPr>
              <w:spacing w:before="240" w:after="240"/>
              <w:jc w:val="left"/>
              <w:rPr>
                <w:szCs w:val="24"/>
              </w:rPr>
            </w:pPr>
            <w:r>
              <w:rPr>
                <w:b/>
                <w:bCs/>
                <w:i/>
                <w:iCs/>
                <w:szCs w:val="24"/>
              </w:rPr>
              <w:t xml:space="preserve">Méthode générale </w:t>
            </w:r>
            <w:r>
              <w:rPr>
                <w:b/>
                <w:bCs/>
                <w:i/>
                <w:iCs/>
                <w:szCs w:val="24"/>
              </w:rPr>
              <w:t>de calcul du montant :</w:t>
            </w:r>
            <w:r>
              <w:rPr>
                <w:szCs w:val="24"/>
              </w:rPr>
              <w:t xml:space="preserve"> le montant de l’aide est calculé sur la base du temps de travail supplémentaire nécessaire à la remise en fonction et à l’entretien régulier et manuel des canaux d’irrigation à l’aide du petit matériel autorisé, et du temps de travai</w:t>
            </w:r>
            <w:r>
              <w:rPr>
                <w:szCs w:val="24"/>
              </w:rPr>
              <w:t>l nécessaire à l’enregistrement des pratiques. Il n’y a pas, dans cette opération, de coût de transaction.</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676"/>
              </w:numPr>
              <w:spacing w:before="240" w:after="0"/>
              <w:ind w:hanging="210"/>
              <w:jc w:val="left"/>
              <w:rPr>
                <w:szCs w:val="24"/>
              </w:rPr>
            </w:pPr>
            <w:r>
              <w:rPr>
                <w:szCs w:val="24"/>
              </w:rPr>
              <w:t xml:space="preserve">coût du matériel : </w:t>
            </w:r>
            <w:r>
              <w:rPr>
                <w:i/>
                <w:iCs/>
                <w:szCs w:val="24"/>
              </w:rPr>
              <w:t>Bureau de Coordination du Machinisme Agricole (BCMA), barème des façons culturales</w:t>
            </w:r>
            <w:r>
              <w:rPr>
                <w:szCs w:val="24"/>
              </w:rPr>
              <w:t xml:space="preserve"> </w:t>
            </w:r>
            <w:r>
              <w:rPr>
                <w:i/>
                <w:iCs/>
                <w:szCs w:val="24"/>
              </w:rPr>
              <w:t>2014</w:t>
            </w:r>
          </w:p>
          <w:p w:rsidR="0035701C" w:rsidRDefault="00FB561B" w:rsidP="00FB561B">
            <w:pPr>
              <w:numPr>
                <w:ilvl w:val="0"/>
                <w:numId w:val="676"/>
              </w:numPr>
              <w:spacing w:before="0" w:after="0"/>
              <w:ind w:hanging="210"/>
              <w:jc w:val="left"/>
              <w:rPr>
                <w:szCs w:val="24"/>
              </w:rPr>
            </w:pPr>
            <w:r>
              <w:rPr>
                <w:szCs w:val="24"/>
              </w:rPr>
              <w:t xml:space="preserve">temps de travail : </w:t>
            </w:r>
            <w:r>
              <w:rPr>
                <w:i/>
                <w:iCs/>
                <w:szCs w:val="24"/>
              </w:rPr>
              <w:t>réf</w:t>
            </w:r>
            <w:r>
              <w:rPr>
                <w:i/>
                <w:iCs/>
                <w:szCs w:val="24"/>
              </w:rPr>
              <w:t xml:space="preserve">érences d’entreprises locales de débroussaillement </w:t>
            </w:r>
          </w:p>
          <w:p w:rsidR="0035701C" w:rsidRDefault="00FB561B" w:rsidP="00FB561B">
            <w:pPr>
              <w:numPr>
                <w:ilvl w:val="0"/>
                <w:numId w:val="676"/>
              </w:numPr>
              <w:spacing w:before="0" w:after="240"/>
              <w:ind w:hanging="210"/>
              <w:jc w:val="left"/>
              <w:rPr>
                <w:szCs w:val="24"/>
              </w:rPr>
            </w:pPr>
            <w:r>
              <w:rPr>
                <w:szCs w:val="24"/>
              </w:rPr>
              <w:t xml:space="preserve">coût horaire de main d’œuvre : </w:t>
            </w:r>
            <w:r>
              <w:rPr>
                <w:i/>
                <w:iCs/>
                <w:szCs w:val="24"/>
              </w:rPr>
              <w:t>2 fois le coût horaire du SMIC (1er janvier 2014)</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076950" cy="5905500"/>
                  <wp:effectExtent l="0" t="0" r="0" b="0"/>
                  <wp:docPr id="100136" name="Image 100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
                          <pic:cNvPicPr>
                            <a:picLocks noChangeAspect="1"/>
                          </pic:cNvPicPr>
                        </pic:nvPicPr>
                        <pic:blipFill>
                          <a:blip r:embed="rId80"/>
                          <a:stretch>
                            <a:fillRect/>
                          </a:stretch>
                        </pic:blipFill>
                        <pic:spPr>
                          <a:xfrm>
                            <a:off x="0" y="0"/>
                            <a:ext cx="6076950" cy="5905500"/>
                          </a:xfrm>
                          <a:prstGeom prst="rect">
                            <a:avLst/>
                          </a:prstGeom>
                        </pic:spPr>
                      </pic:pic>
                    </a:graphicData>
                  </a:graphic>
                </wp:inline>
              </w:drawing>
            </w:r>
          </w:p>
          <w:p w:rsidR="0035701C" w:rsidRDefault="00FB561B">
            <w:pPr>
              <w:pStyle w:val="Pieddepage"/>
              <w:jc w:val="center"/>
            </w:pPr>
            <w:r>
              <w:t>Canaux</w:t>
            </w:r>
          </w:p>
          <w:p w:rsidR="0035701C" w:rsidRDefault="0035701C">
            <w:pPr>
              <w:pStyle w:val="Pieddepage"/>
              <w:jc w:val="center"/>
            </w:pPr>
          </w:p>
        </w:tc>
      </w:tr>
    </w:tbl>
    <w:p w:rsidR="0035701C" w:rsidRDefault="00FB561B">
      <w:pPr>
        <w:pStyle w:val="Titre5"/>
        <w:rPr>
          <w:b w:val="0"/>
        </w:rPr>
      </w:pPr>
      <w:r>
        <w:rPr>
          <w:b w:val="0"/>
        </w:rPr>
        <w:br w:type="page"/>
        <w:t>-12- Parcours_1</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677"/>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PARCOURS 1=  Ouverture manuelle sélective des milieux</w:t>
            </w:r>
          </w:p>
          <w:p w:rsidR="0035701C" w:rsidRDefault="00FB561B">
            <w:pPr>
              <w:spacing w:before="240" w:after="240"/>
              <w:jc w:val="left"/>
              <w:rPr>
                <w:szCs w:val="24"/>
              </w:rPr>
            </w:pPr>
            <w:r>
              <w:rPr>
                <w:szCs w:val="24"/>
              </w:rPr>
              <w:t xml:space="preserve">La réouverture sélective </w:t>
            </w:r>
            <w:r>
              <w:rPr>
                <w:b/>
                <w:bCs/>
                <w:szCs w:val="24"/>
              </w:rPr>
              <w:t>manuelle</w:t>
            </w:r>
            <w:r>
              <w:rPr>
                <w:szCs w:val="24"/>
              </w:rPr>
              <w:t xml:space="preserve"> de parcelles embroussaillées répond à un double objectif de maintien voire d’augmentation de la biodiversité ainsi</w:t>
            </w:r>
            <w:r>
              <w:rPr>
                <w:szCs w:val="24"/>
              </w:rPr>
              <w:t xml:space="preserve"> que d’accessibilité à de nouvelles ressources fourragères. Elle doit permettre, dans des exploitations d’élevage et sur des parcelles rencontrant de réelles difficultés de mécanisation, d’éviter l’abandon progressif de ces surfaces, le recours à des métho</w:t>
            </w:r>
            <w:r>
              <w:rPr>
                <w:szCs w:val="24"/>
              </w:rPr>
              <w:t>des plus agressives et non respectueuses de l’environnement et le risque accru d’incendie.</w:t>
            </w:r>
          </w:p>
          <w:p w:rsidR="0035701C" w:rsidRDefault="00FB561B">
            <w:pPr>
              <w:spacing w:before="240" w:after="240"/>
              <w:jc w:val="left"/>
              <w:rPr>
                <w:szCs w:val="24"/>
              </w:rPr>
            </w:pPr>
            <w:r>
              <w:rPr>
                <w:szCs w:val="24"/>
              </w:rPr>
              <w:t>Une structure paysagère en mosaïque, où alternent différents milieux ouverts et fermés (couvert herbacé, ligneux bas, strate arborée) est en effet grandement favorab</w:t>
            </w:r>
            <w:r>
              <w:rPr>
                <w:szCs w:val="24"/>
              </w:rPr>
              <w:t>le à une augmentation de la biodiversité et au développement des espèces animales et végétales inféodées à ce type de milieux.</w:t>
            </w:r>
          </w:p>
          <w:p w:rsidR="0035701C" w:rsidRDefault="00FB561B">
            <w:pPr>
              <w:spacing w:before="240" w:after="240"/>
              <w:jc w:val="left"/>
              <w:rPr>
                <w:szCs w:val="24"/>
              </w:rPr>
            </w:pPr>
            <w:r>
              <w:rPr>
                <w:szCs w:val="24"/>
              </w:rPr>
              <w:t xml:space="preserve">D’un point de vue pastoral, </w:t>
            </w:r>
            <w:r>
              <w:rPr>
                <w:b/>
                <w:bCs/>
                <w:szCs w:val="24"/>
              </w:rPr>
              <w:t>l’ouverture sélective</w:t>
            </w:r>
            <w:r>
              <w:rPr>
                <w:szCs w:val="24"/>
              </w:rPr>
              <w:t xml:space="preserve"> du milieu permet l’obtention d’une végétation ouverte tout en conservant des îl</w:t>
            </w:r>
            <w:r>
              <w:rPr>
                <w:szCs w:val="24"/>
              </w:rPr>
              <w:t>ots de végétation ligneuse et arbustive, fournissant des ressources alimentaires variées (herbes, feuillages, tiges…) à différentes saisons.</w:t>
            </w:r>
          </w:p>
          <w:p w:rsidR="0035701C" w:rsidRDefault="00FB561B">
            <w:pPr>
              <w:spacing w:before="240" w:after="240"/>
              <w:jc w:val="left"/>
              <w:rPr>
                <w:szCs w:val="24"/>
              </w:rPr>
            </w:pPr>
            <w:r>
              <w:rPr>
                <w:szCs w:val="24"/>
              </w:rPr>
              <w:t>Cette mesure concerne en priorité les éleveurs très faiblement ou pas du tout mécanisés évoluant sur des terrains d</w:t>
            </w:r>
            <w:r>
              <w:rPr>
                <w:szCs w:val="24"/>
              </w:rPr>
              <w:t>ifficiles (relief, pierrosité…).</w:t>
            </w:r>
          </w:p>
          <w:p w:rsidR="0035701C" w:rsidRDefault="00FB561B">
            <w:pPr>
              <w:spacing w:before="240" w:after="240"/>
              <w:jc w:val="left"/>
              <w:rPr>
                <w:szCs w:val="24"/>
              </w:rPr>
            </w:pPr>
            <w:r>
              <w:rPr>
                <w:szCs w:val="24"/>
              </w:rPr>
              <w:t>L’objectif de cet engagement vise le rajeunissement de maquis très denses et vieillissants, où la ressource fourragère est difficilement accessible pour les animaux. Les surfaces ainsi aménagées sont destinées à être entret</w:t>
            </w:r>
            <w:r>
              <w:rPr>
                <w:szCs w:val="24"/>
              </w:rPr>
              <w:t>enues essentiellement par le pâturage et si nécessaire, par un traitement manuel des repousses.</w:t>
            </w:r>
          </w:p>
          <w:p w:rsidR="0035701C" w:rsidRDefault="00FB561B">
            <w:pPr>
              <w:spacing w:before="240" w:after="240"/>
              <w:jc w:val="left"/>
              <w:rPr>
                <w:szCs w:val="24"/>
              </w:rPr>
            </w:pPr>
            <w:r>
              <w:rPr>
                <w:szCs w:val="24"/>
              </w:rPr>
              <w:t xml:space="preserve">L’objectif à terme est d’obtenir, au bout des 5 ans de contrat, une ouverture de 50% de la surface engagée, présentant une mosaïque de milieux plus diversifiés </w:t>
            </w:r>
            <w:r>
              <w:rPr>
                <w:szCs w:val="24"/>
              </w:rPr>
              <w:t>et plus appétants pour le troupeau.</w:t>
            </w:r>
          </w:p>
          <w:p w:rsidR="0035701C" w:rsidRDefault="00FB561B">
            <w:pPr>
              <w:spacing w:before="240" w:after="240"/>
              <w:jc w:val="left"/>
              <w:rPr>
                <w:szCs w:val="24"/>
              </w:rPr>
            </w:pPr>
            <w:r>
              <w:rPr>
                <w:szCs w:val="24"/>
              </w:rPr>
              <w:t xml:space="preserve">La surface minimum engagée doit être de </w:t>
            </w:r>
            <w:r>
              <w:rPr>
                <w:b/>
                <w:bCs/>
                <w:szCs w:val="24"/>
              </w:rPr>
              <w:t>2 hectares</w:t>
            </w:r>
            <w:r>
              <w:rPr>
                <w:szCs w:val="24"/>
              </w:rPr>
              <w:t xml:space="preserve"> et l’ouverture manuelle de layons et de placettes par traitement sélectif se fera sur la base de 5000 m²/ha engagé.</w:t>
            </w:r>
          </w:p>
          <w:p w:rsidR="0035701C" w:rsidRDefault="00FB561B">
            <w:pPr>
              <w:spacing w:before="240" w:after="240"/>
              <w:jc w:val="left"/>
              <w:rPr>
                <w:szCs w:val="24"/>
              </w:rPr>
            </w:pPr>
            <w:r>
              <w:rPr>
                <w:b/>
                <w:bCs/>
                <w:i/>
                <w:iCs/>
                <w:szCs w:val="24"/>
              </w:rPr>
              <w:t>Cahier des charges :</w:t>
            </w:r>
          </w:p>
          <w:p w:rsidR="0035701C" w:rsidRDefault="00FB561B" w:rsidP="00FB561B">
            <w:pPr>
              <w:numPr>
                <w:ilvl w:val="0"/>
                <w:numId w:val="678"/>
              </w:numPr>
              <w:spacing w:before="240" w:after="0"/>
              <w:ind w:hanging="210"/>
              <w:jc w:val="left"/>
              <w:rPr>
                <w:szCs w:val="24"/>
              </w:rPr>
            </w:pPr>
            <w:r>
              <w:rPr>
                <w:szCs w:val="24"/>
              </w:rPr>
              <w:t>l’éleveur doit dans un premier t</w:t>
            </w:r>
            <w:r>
              <w:rPr>
                <w:szCs w:val="24"/>
              </w:rPr>
              <w:t xml:space="preserve">emps </w:t>
            </w:r>
            <w:r>
              <w:rPr>
                <w:szCs w:val="24"/>
                <w:u w:val="single"/>
              </w:rPr>
              <w:t>ouvrir manuellement</w:t>
            </w:r>
            <w:r>
              <w:rPr>
                <w:szCs w:val="24"/>
              </w:rPr>
              <w:t xml:space="preserve"> des « layons » et « clairières » par débroussaillage et traitement des rémanents. Le choix des espèces ligneuses à éliminer sera déterminé lors du diagnostic préalable, au profit des espèces de meilleure valeur fourragère. C’est au</w:t>
            </w:r>
            <w:r>
              <w:rPr>
                <w:szCs w:val="24"/>
              </w:rPr>
              <w:t xml:space="preserve">ssi le diagnostic préalable qui déterminera si l’ouverture doit se faire : </w:t>
            </w:r>
          </w:p>
          <w:p w:rsidR="0035701C" w:rsidRDefault="00FB561B" w:rsidP="00FB561B">
            <w:pPr>
              <w:numPr>
                <w:ilvl w:val="1"/>
                <w:numId w:val="678"/>
              </w:numPr>
              <w:spacing w:before="0" w:after="0"/>
              <w:ind w:hanging="244"/>
              <w:jc w:val="left"/>
              <w:rPr>
                <w:szCs w:val="24"/>
              </w:rPr>
            </w:pPr>
            <w:r>
              <w:rPr>
                <w:szCs w:val="24"/>
                <w:u w:val="single"/>
              </w:rPr>
              <w:t>par tranche d’ouverture annuelle de 1000 m2</w:t>
            </w:r>
            <w:r>
              <w:rPr>
                <w:szCs w:val="24"/>
              </w:rPr>
              <w:t xml:space="preserve"> par hectare engagé, combinant ouverture de layons et placettes éclaircies (clairières).</w:t>
            </w:r>
          </w:p>
          <w:p w:rsidR="0035701C" w:rsidRDefault="00FB561B" w:rsidP="00FB561B">
            <w:pPr>
              <w:numPr>
                <w:ilvl w:val="1"/>
                <w:numId w:val="678"/>
              </w:numPr>
              <w:spacing w:before="0" w:after="0"/>
              <w:ind w:hanging="244"/>
              <w:jc w:val="left"/>
              <w:rPr>
                <w:szCs w:val="24"/>
              </w:rPr>
            </w:pPr>
            <w:r>
              <w:rPr>
                <w:szCs w:val="24"/>
              </w:rPr>
              <w:t xml:space="preserve">ou par </w:t>
            </w:r>
            <w:r>
              <w:rPr>
                <w:szCs w:val="24"/>
                <w:u w:val="single"/>
              </w:rPr>
              <w:t>ouverture en première année</w:t>
            </w:r>
            <w:r>
              <w:rPr>
                <w:szCs w:val="24"/>
              </w:rPr>
              <w:t xml:space="preserve"> de la totalité de la surface définie lors du diagnostic préalable.</w:t>
            </w:r>
          </w:p>
          <w:p w:rsidR="0035701C" w:rsidRDefault="00FB561B" w:rsidP="00FB561B">
            <w:pPr>
              <w:numPr>
                <w:ilvl w:val="0"/>
                <w:numId w:val="678"/>
              </w:numPr>
              <w:spacing w:before="0" w:after="0"/>
              <w:ind w:hanging="210"/>
              <w:jc w:val="left"/>
              <w:rPr>
                <w:szCs w:val="24"/>
              </w:rPr>
            </w:pPr>
            <w:r>
              <w:rPr>
                <w:szCs w:val="24"/>
              </w:rPr>
              <w:t xml:space="preserve">il doit réaliser l’entretien manuel des layons et clairières ouvertes </w:t>
            </w:r>
            <w:r>
              <w:rPr>
                <w:b/>
                <w:bCs/>
                <w:szCs w:val="24"/>
              </w:rPr>
              <w:t>une fois</w:t>
            </w:r>
            <w:r>
              <w:rPr>
                <w:szCs w:val="24"/>
              </w:rPr>
              <w:t xml:space="preserve"> sur la durée du contrat</w:t>
            </w:r>
          </w:p>
          <w:p w:rsidR="0035701C" w:rsidRDefault="00FB561B" w:rsidP="00FB561B">
            <w:pPr>
              <w:numPr>
                <w:ilvl w:val="0"/>
                <w:numId w:val="678"/>
              </w:numPr>
              <w:spacing w:before="0" w:after="0"/>
              <w:ind w:hanging="210"/>
              <w:jc w:val="left"/>
              <w:rPr>
                <w:szCs w:val="24"/>
              </w:rPr>
            </w:pPr>
            <w:r>
              <w:rPr>
                <w:szCs w:val="24"/>
              </w:rPr>
              <w:t>il doit s’engager aussi à favoriser la maîtrise de la repousse ligneuse par le pâtura</w:t>
            </w:r>
            <w:r>
              <w:rPr>
                <w:szCs w:val="24"/>
              </w:rPr>
              <w:t>ge, grâce à la pose de clôtures fixes ou mobiles et/ou actes de gardiennage, afin de garantir l’accessibilité à la ressource et une offre fourragère intéressante</w:t>
            </w:r>
          </w:p>
          <w:p w:rsidR="0035701C" w:rsidRDefault="00FB561B" w:rsidP="00FB561B">
            <w:pPr>
              <w:numPr>
                <w:ilvl w:val="0"/>
                <w:numId w:val="678"/>
              </w:numPr>
              <w:spacing w:before="0" w:after="240"/>
              <w:ind w:hanging="210"/>
              <w:jc w:val="left"/>
              <w:rPr>
                <w:szCs w:val="24"/>
              </w:rPr>
            </w:pPr>
            <w:r>
              <w:rPr>
                <w:szCs w:val="24"/>
              </w:rPr>
              <w:t>l’agriculteur doit assurer l’enregistrement des différentes interventions et des pratiques réa</w:t>
            </w:r>
            <w:r>
              <w:rPr>
                <w:szCs w:val="24"/>
              </w:rPr>
              <w:t>lisées dans un document normé prévu à cet effet. Ce document sera remis à l’agriculteur à l’issue du diagnostic obligatoire réalisé par le service instructeur.</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w:t>
            </w:r>
            <w:r>
              <w:rPr>
                <w:szCs w:val="24"/>
              </w:rPr>
              <w:t xml:space="preserve"> durée de 5 ans.</w:t>
            </w:r>
          </w:p>
          <w:p w:rsidR="0035701C" w:rsidRDefault="00FB561B">
            <w:pPr>
              <w:spacing w:before="240" w:after="240"/>
              <w:jc w:val="left"/>
              <w:rPr>
                <w:szCs w:val="24"/>
              </w:rPr>
            </w:pPr>
            <w:r>
              <w:rPr>
                <w:szCs w:val="24"/>
              </w:rPr>
              <w:t>Le montant de la rémunération est en euros/ha/an.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679"/>
              </w:numPr>
              <w:spacing w:before="240" w:after="0"/>
              <w:ind w:hanging="210"/>
              <w:jc w:val="left"/>
              <w:rPr>
                <w:szCs w:val="24"/>
              </w:rPr>
            </w:pPr>
            <w:r>
              <w:rPr>
                <w:szCs w:val="24"/>
              </w:rPr>
              <w:t>les exigences établies en vertu de l’article 93 du Titre VI du règlement UE n° 130</w:t>
            </w:r>
            <w:r>
              <w:rPr>
                <w:szCs w:val="24"/>
              </w:rPr>
              <w:t>6/2013 relatif à la conditionnalité,</w:t>
            </w:r>
          </w:p>
          <w:p w:rsidR="0035701C" w:rsidRDefault="00FB561B" w:rsidP="00FB561B">
            <w:pPr>
              <w:numPr>
                <w:ilvl w:val="0"/>
                <w:numId w:val="679"/>
              </w:numPr>
              <w:spacing w:before="0" w:after="0"/>
              <w:ind w:hanging="210"/>
              <w:jc w:val="left"/>
              <w:rPr>
                <w:szCs w:val="24"/>
              </w:rPr>
            </w:pPr>
            <w:r>
              <w:rPr>
                <w:szCs w:val="24"/>
              </w:rPr>
              <w:t>les exigences établies en vertu de l’article 4.1c points ii) et iii) du règlement UE n°1307/2013 relatif à l’état d’entretien minimum des surfaces</w:t>
            </w:r>
          </w:p>
          <w:p w:rsidR="0035701C" w:rsidRDefault="00FB561B" w:rsidP="00FB561B">
            <w:pPr>
              <w:numPr>
                <w:ilvl w:val="0"/>
                <w:numId w:val="679"/>
              </w:numPr>
              <w:spacing w:before="0" w:after="240"/>
              <w:ind w:hanging="210"/>
              <w:jc w:val="left"/>
              <w:rPr>
                <w:szCs w:val="24"/>
              </w:rPr>
            </w:pPr>
            <w:r>
              <w:rPr>
                <w:szCs w:val="24"/>
              </w:rPr>
              <w:t>toute autre exigence pertinente établie par la réglementation nationale,</w:t>
            </w:r>
            <w:r>
              <w:rPr>
                <w:szCs w:val="24"/>
              </w:rPr>
              <w:t xml:space="preserve"> tel le Code des Bonnes Pratiques Agricoles pris par arrêté du 22 novembre 1993</w:t>
            </w:r>
          </w:p>
          <w:p w:rsidR="0035701C" w:rsidRDefault="00FB561B">
            <w:pPr>
              <w:spacing w:before="240" w:after="240"/>
              <w:jc w:val="left"/>
              <w:rPr>
                <w:szCs w:val="24"/>
              </w:rPr>
            </w:pPr>
            <w:r>
              <w:rPr>
                <w:szCs w:val="24"/>
              </w:rPr>
              <w:t>Ces éléments sont détaillés au paragraphe « Information spécifique à l’opération – Description de la ligne de base » de la présente fiche-opération.</w:t>
            </w:r>
          </w:p>
          <w:p w:rsidR="0035701C" w:rsidRDefault="00FB561B">
            <w:pPr>
              <w:spacing w:before="240" w:after="240"/>
              <w:jc w:val="left"/>
              <w:rPr>
                <w:szCs w:val="24"/>
              </w:rPr>
            </w:pPr>
            <w:r>
              <w:rPr>
                <w:szCs w:val="24"/>
              </w:rPr>
              <w:t xml:space="preserve">Afin d’exclure tout double </w:t>
            </w:r>
            <w:r>
              <w:rPr>
                <w:szCs w:val="24"/>
              </w:rPr>
              <w:t>paiement, les pratiques visées à l’article 43 du règlement UE n° 1307/2013 sont prises en compte dans le calcul des surcoûts et manques à gagner. La méthode de calcul est détaillée au paragraphe « Information spécifique à l’opération – Méthode de calcul du</w:t>
            </w:r>
            <w:r>
              <w:rPr>
                <w:szCs w:val="24"/>
              </w:rPr>
              <w:t xml:space="preserve"> montant » de la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les surcoûts, manques à gagner et éventuels coûts d’opportunité et de transaction géné</w:t>
            </w:r>
            <w:r>
              <w:rPr>
                <w:szCs w:val="24"/>
              </w:rPr>
              <w:t>rés par le respect des éléments contractualisés.</w:t>
            </w:r>
          </w:p>
          <w:p w:rsidR="0035701C" w:rsidRDefault="00FB561B">
            <w:pPr>
              <w:spacing w:before="240" w:after="240"/>
              <w:jc w:val="left"/>
              <w:rPr>
                <w:szCs w:val="24"/>
              </w:rPr>
            </w:pPr>
            <w:r>
              <w:rPr>
                <w:szCs w:val="24"/>
              </w:rPr>
              <w:t>Dans le cas de cette opération, sont pris en compte uniquement des surcoûts.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La réalisation d’un diagnostic d’exploitation préalable à la souscription de cette opération est </w:t>
            </w:r>
            <w:r>
              <w:rPr>
                <w:b/>
                <w:bCs/>
                <w:szCs w:val="24"/>
              </w:rPr>
              <w:t>obligatoire.</w:t>
            </w:r>
          </w:p>
          <w:p w:rsidR="0035701C" w:rsidRDefault="00FB561B">
            <w:pPr>
              <w:spacing w:before="240" w:after="240"/>
              <w:jc w:val="left"/>
              <w:rPr>
                <w:szCs w:val="24"/>
              </w:rPr>
            </w:pPr>
            <w:r>
              <w:rPr>
                <w:b/>
                <w:bCs/>
                <w:i/>
                <w:iCs/>
                <w:szCs w:val="24"/>
              </w:rPr>
              <w:t>Surfaces éligibles:</w:t>
            </w:r>
            <w:r>
              <w:rPr>
                <w:szCs w:val="24"/>
              </w:rPr>
              <w:t xml:space="preserve"> broussailles et maquis très denses et vieillissants, où la ressource fourragère est difficilement accessible pour les animaux. </w:t>
            </w:r>
            <w:r>
              <w:rPr>
                <w:b/>
                <w:bCs/>
                <w:szCs w:val="24"/>
              </w:rPr>
              <w:t>La surface minimum engagée devra être de 2 hectares.</w:t>
            </w:r>
          </w:p>
          <w:p w:rsidR="0035701C" w:rsidRDefault="0035701C">
            <w:pPr>
              <w:pStyle w:val="Corpsdetexte"/>
            </w:pPr>
          </w:p>
        </w:tc>
      </w:tr>
    </w:tbl>
    <w:p w:rsidR="0035701C" w:rsidRDefault="00FB561B">
      <w:pPr>
        <w:pStyle w:val="Titre6"/>
      </w:pPr>
      <w:r>
        <w:t>Principes applicables à l'établissement d</w:t>
      </w:r>
      <w:r>
        <w:t>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de l’aide est de </w:t>
            </w:r>
            <w:r>
              <w:rPr>
                <w:b/>
                <w:bCs/>
                <w:szCs w:val="24"/>
              </w:rPr>
              <w:t xml:space="preserve">420,25 € /ha/an </w:t>
            </w:r>
            <w:r>
              <w:rPr>
                <w:szCs w:val="24"/>
              </w:rPr>
              <w:t xml:space="preserve">auquel vient s’ajouter une somme forfaitaire de </w:t>
            </w:r>
            <w:r>
              <w:rPr>
                <w:b/>
                <w:bCs/>
                <w:szCs w:val="24"/>
              </w:rPr>
              <w:t>57,18 €/an</w:t>
            </w:r>
            <w:r>
              <w:rPr>
                <w:szCs w:val="24"/>
              </w:rPr>
              <w:t xml:space="preserve"> liée à l’enregistrement des pratiques e</w:t>
            </w:r>
            <w:r>
              <w:rPr>
                <w:szCs w:val="24"/>
              </w:rPr>
              <w:t>t des interventions.</w:t>
            </w:r>
          </w:p>
          <w:p w:rsidR="0035701C" w:rsidRDefault="00FB561B">
            <w:pPr>
              <w:spacing w:before="240" w:after="240"/>
              <w:jc w:val="left"/>
              <w:rPr>
                <w:szCs w:val="24"/>
              </w:rPr>
            </w:pPr>
            <w:r>
              <w:rPr>
                <w:szCs w:val="24"/>
              </w:rPr>
              <w:t>Il est rappelé que le plafond communautaire pour ce type de couvert (autres utilisations des terres) est de 450 €/ha/an (incluant le forfait annuel).</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 xml:space="preserve">Risque(s) </w:t>
      </w:r>
      <w:r>
        <w:t>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des éléments du niveau de référence applicable, qui </w:t>
      </w:r>
      <w:r>
        <w:t>doivent inclure les normes obligatoires établies en application du titre VI, chapitre I, du règlement (UE) n° 1306/2013 du Parlement européen et du Conseil, les critères pertinents et les activités minimales établies en application de l'article 4, paragrap</w:t>
      </w:r>
      <w:r>
        <w:t>he 1, point c) ii) et c) iii), du règlement (UE) n° 1307/2013 du Parlement européen et du Conseil, les exigences minimales applicables à l'utilisation des engrais et des produits phytosanitaire ainsi que les autres exigences obligatoires pertinentes établi</w:t>
      </w:r>
      <w:r>
        <w:t>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Dans cette opération, il n’y a aucune interaction avec les différents éléments réglementaires décrits dans la section 8.1 du présent programme.</w:t>
            </w:r>
          </w:p>
          <w:p w:rsidR="0035701C" w:rsidRDefault="00FB561B">
            <w:pPr>
              <w:spacing w:before="240" w:after="240"/>
              <w:jc w:val="left"/>
              <w:rPr>
                <w:szCs w:val="24"/>
              </w:rPr>
            </w:pPr>
            <w:r>
              <w:rPr>
                <w:szCs w:val="24"/>
              </w:rPr>
              <w:t>Si les pratiques rémunérées au titre de la présente opération sont rend</w:t>
            </w:r>
            <w:r>
              <w:rPr>
                <w:szCs w:val="24"/>
              </w:rPr>
              <w:t>ues obligatoires sur des zones au titre de la protection de la biodiversité (notamment des zones classées au titre des réserves naturelles des arrêtés de protection de biotopes), celle-ci ne peut être ouverte sur les zones concernées.</w:t>
            </w:r>
          </w:p>
          <w:p w:rsidR="0035701C" w:rsidRDefault="0035701C">
            <w:pPr>
              <w:pStyle w:val="Corpsdetexte"/>
            </w:pPr>
          </w:p>
        </w:tc>
      </w:tr>
    </w:tbl>
    <w:p w:rsidR="0035701C" w:rsidRDefault="00FB561B">
      <w:r>
        <w:t>Les exigences minim</w:t>
      </w:r>
      <w:r>
        <w:t>ales relatives à l'utilisation d'engrais doivent comprendre, entre autres, le respect des codes de bonnes pratiques introduits au titre de la directive 91/676/CEE pour les exploitations situées en dehors des zones vulnérables aux nitrates, et des exigences</w:t>
      </w:r>
      <w:r>
        <w:t xml:space="preserve"> concernant la pollution au phosphore; les exigences minimales relatives à l'utilisation de produits phytosanitaires doivent comprendre, entre autres, les principes généraux de la lutte intégrée contre les ennemis des cultures introduits par la directive 2</w:t>
      </w:r>
      <w:r>
        <w:t>009/128/CE du Parlement européen et du Conseil, l’obligation de détenir une autorisation d’utiliser les produits, de satisfaire aux conditions de formation, d’assurer un stockage sûr et de contrôler les équipements destinés à l’épandage ainsi que les règle</w:t>
      </w:r>
      <w:r>
        <w:t>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Liste des races locales qui sont menacées d’</w:t>
      </w:r>
      <w:r>
        <w:t>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préservation des ressources génétiques.</w:t>
            </w:r>
          </w:p>
          <w:p w:rsidR="0035701C" w:rsidRDefault="0035701C">
            <w:pPr>
              <w:pStyle w:val="Corpsdetexte"/>
            </w:pPr>
          </w:p>
        </w:tc>
      </w:tr>
    </w:tbl>
    <w:p w:rsidR="0035701C" w:rsidRDefault="00FB561B">
      <w:r>
        <w:t>Description de la méthode et des hypothèses et paramètres agronomiques</w:t>
      </w:r>
      <w:r>
        <w:t xml:space="preserve"> y compris la description des exigences minimales visées à l'article 29, paragraphe 2, du règlement (UE) n° 1305/2013 correspondant à chaque type particulier d'engagement, utilisés comme référence pour les calculs justifiant les coûts supplémentaires et le</w:t>
      </w:r>
      <w:r>
        <w:t>s pertes de revenus résultant de l’engagement pris et le niveau des coûts des transactions; le cas échéant, cette méthode tient compte des aides accordées au titre du règlement (UE) n° 1307/2013, et notamment des paiements en faveur des pratiques agricoles</w:t>
      </w:r>
      <w:r>
        <w:t xml:space="preserve"> bénéfiques pour le climat et l’environnement, afin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Pratiques de référence</w:t>
            </w:r>
            <w:r>
              <w:rPr>
                <w:szCs w:val="24"/>
              </w:rPr>
              <w:t xml:space="preserve"> : les milieux embroussaillés </w:t>
            </w:r>
            <w:r>
              <w:rPr>
                <w:szCs w:val="24"/>
              </w:rPr>
              <w:t>(broussailles et maquis très denses et vieillissants) non mécanisables et très difficilement pénétrables par le bétail ne sont pas habituellement entretenus.</w:t>
            </w:r>
          </w:p>
          <w:p w:rsidR="0035701C" w:rsidRDefault="00FB561B">
            <w:pPr>
              <w:spacing w:before="240" w:after="240"/>
              <w:jc w:val="left"/>
              <w:rPr>
                <w:szCs w:val="24"/>
              </w:rPr>
            </w:pPr>
            <w:r>
              <w:rPr>
                <w:b/>
                <w:bCs/>
                <w:i/>
                <w:iCs/>
                <w:szCs w:val="24"/>
              </w:rPr>
              <w:t xml:space="preserve">Prise en compte du verdissement : </w:t>
            </w:r>
            <w:r>
              <w:rPr>
                <w:szCs w:val="24"/>
              </w:rPr>
              <w:t>afin d’exclure tout double paiement, les pratiques rémunérées au</w:t>
            </w:r>
            <w:r>
              <w:rPr>
                <w:szCs w:val="24"/>
              </w:rPr>
              <w:t xml:space="preserve"> titre du verdissement sont prises en compte de la façon suivante dans le calcul du montant unitaire de cette opération :</w:t>
            </w:r>
          </w:p>
          <w:p w:rsidR="0035701C" w:rsidRDefault="00FB561B" w:rsidP="00FB561B">
            <w:pPr>
              <w:numPr>
                <w:ilvl w:val="0"/>
                <w:numId w:val="680"/>
              </w:numPr>
              <w:spacing w:before="240" w:after="0"/>
              <w:ind w:hanging="210"/>
              <w:jc w:val="left"/>
              <w:rPr>
                <w:szCs w:val="24"/>
              </w:rPr>
            </w:pPr>
            <w:r>
              <w:rPr>
                <w:szCs w:val="24"/>
              </w:rPr>
              <w:t>maintien de prairies permanentes existantes : cette exigence n’a pas d’interaction avec cette opération,</w:t>
            </w:r>
          </w:p>
          <w:p w:rsidR="0035701C" w:rsidRDefault="00FB561B" w:rsidP="00FB561B">
            <w:pPr>
              <w:numPr>
                <w:ilvl w:val="0"/>
                <w:numId w:val="680"/>
              </w:numPr>
              <w:spacing w:before="0" w:after="0"/>
              <w:ind w:hanging="210"/>
              <w:jc w:val="left"/>
              <w:rPr>
                <w:szCs w:val="24"/>
              </w:rPr>
            </w:pPr>
            <w:r>
              <w:rPr>
                <w:szCs w:val="24"/>
              </w:rPr>
              <w:t>présence de 5 % de SIE (Surfa</w:t>
            </w:r>
            <w:r>
              <w:rPr>
                <w:szCs w:val="24"/>
              </w:rPr>
              <w:t>ces d’Intérêt Ecologique) sur les terres arables : cette exigence n’a pas d’interaction avec cette opération,</w:t>
            </w:r>
          </w:p>
          <w:p w:rsidR="0035701C" w:rsidRDefault="00FB561B" w:rsidP="00FB561B">
            <w:pPr>
              <w:numPr>
                <w:ilvl w:val="0"/>
                <w:numId w:val="680"/>
              </w:numPr>
              <w:spacing w:before="0" w:after="240"/>
              <w:ind w:hanging="210"/>
              <w:jc w:val="left"/>
              <w:rPr>
                <w:szCs w:val="24"/>
              </w:rPr>
            </w:pPr>
            <w:r>
              <w:rPr>
                <w:szCs w:val="24"/>
              </w:rPr>
              <w:t>diversification des cultures : cette exigence n’a pas d’interaction avec cette opération.</w:t>
            </w:r>
          </w:p>
          <w:p w:rsidR="0035701C" w:rsidRDefault="00FB561B">
            <w:pPr>
              <w:spacing w:before="240" w:after="240"/>
              <w:jc w:val="left"/>
              <w:rPr>
                <w:szCs w:val="24"/>
              </w:rPr>
            </w:pPr>
            <w:r>
              <w:rPr>
                <w:b/>
                <w:bCs/>
                <w:i/>
                <w:iCs/>
                <w:szCs w:val="24"/>
              </w:rPr>
              <w:t>Méthode générale de calcul du montant :</w:t>
            </w:r>
            <w:r>
              <w:rPr>
                <w:szCs w:val="24"/>
              </w:rPr>
              <w:t xml:space="preserve"> le montant de l’</w:t>
            </w:r>
            <w:r>
              <w:rPr>
                <w:szCs w:val="24"/>
              </w:rPr>
              <w:t xml:space="preserve">aide est calculé sur la base de l’utilisation du matériel et du temps de travail supplémentaire nécessaire à l’ouverture puis l’entretien du milieu par rapport à l’entretien minimal requis dans conditionnalité. Le surcoût lié au temps d’enregistrement des </w:t>
            </w:r>
            <w:r>
              <w:rPr>
                <w:szCs w:val="24"/>
              </w:rPr>
              <w:t>interventions et des pratiques est rémunéré sous forme forfaitaire indépendamment de la surface engagée. Il n’y a pas, dans cette opération, de coût de transaction.</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681"/>
              </w:numPr>
              <w:spacing w:before="240" w:after="0"/>
              <w:ind w:hanging="210"/>
              <w:jc w:val="left"/>
              <w:rPr>
                <w:szCs w:val="24"/>
              </w:rPr>
            </w:pPr>
            <w:r>
              <w:rPr>
                <w:szCs w:val="24"/>
              </w:rPr>
              <w:t xml:space="preserve">coût du matériel : </w:t>
            </w:r>
            <w:r>
              <w:rPr>
                <w:i/>
                <w:iCs/>
                <w:szCs w:val="24"/>
              </w:rPr>
              <w:t>Bureau de Coordination du Machinisme Agricole (BCMA)</w:t>
            </w:r>
            <w:r>
              <w:rPr>
                <w:i/>
                <w:iCs/>
                <w:szCs w:val="24"/>
              </w:rPr>
              <w:t>, barème des façons culturales</w:t>
            </w:r>
            <w:r>
              <w:rPr>
                <w:szCs w:val="24"/>
              </w:rPr>
              <w:t xml:space="preserve"> </w:t>
            </w:r>
            <w:r>
              <w:rPr>
                <w:i/>
                <w:iCs/>
                <w:szCs w:val="24"/>
              </w:rPr>
              <w:t>2014</w:t>
            </w:r>
          </w:p>
          <w:p w:rsidR="0035701C" w:rsidRDefault="00FB561B" w:rsidP="00FB561B">
            <w:pPr>
              <w:numPr>
                <w:ilvl w:val="0"/>
                <w:numId w:val="681"/>
              </w:numPr>
              <w:spacing w:before="0" w:after="0"/>
              <w:ind w:hanging="210"/>
              <w:jc w:val="left"/>
              <w:rPr>
                <w:szCs w:val="24"/>
              </w:rPr>
            </w:pPr>
            <w:r>
              <w:rPr>
                <w:szCs w:val="24"/>
              </w:rPr>
              <w:t>rendement et temps de travail </w:t>
            </w:r>
            <w:r>
              <w:rPr>
                <w:i/>
                <w:iCs/>
                <w:szCs w:val="24"/>
              </w:rPr>
              <w:t xml:space="preserve">: références d’entreprises locales de débroussaillement </w:t>
            </w:r>
          </w:p>
          <w:p w:rsidR="0035701C" w:rsidRDefault="00FB561B" w:rsidP="00FB561B">
            <w:pPr>
              <w:numPr>
                <w:ilvl w:val="0"/>
                <w:numId w:val="681"/>
              </w:numPr>
              <w:spacing w:before="0" w:after="240"/>
              <w:ind w:hanging="210"/>
              <w:jc w:val="left"/>
              <w:rPr>
                <w:szCs w:val="24"/>
              </w:rPr>
            </w:pPr>
            <w:r>
              <w:rPr>
                <w:szCs w:val="24"/>
              </w:rPr>
              <w:t xml:space="preserve">coût horaire de main d’œuvre : </w:t>
            </w:r>
            <w:r>
              <w:rPr>
                <w:i/>
                <w:iCs/>
                <w:szCs w:val="24"/>
              </w:rPr>
              <w:t>2 fois le coût horaire du SMIC (1er janvier 2014)</w:t>
            </w:r>
          </w:p>
          <w:p w:rsidR="0035701C" w:rsidRDefault="00FB561B">
            <w:pPr>
              <w:spacing w:before="240" w:after="240"/>
              <w:jc w:val="left"/>
              <w:rPr>
                <w:szCs w:val="24"/>
              </w:rPr>
            </w:pPr>
            <w:r>
              <w:rPr>
                <w:szCs w:val="24"/>
              </w:rPr>
              <w:t> </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477000" cy="3829050"/>
                  <wp:effectExtent l="0" t="0" r="0" b="0"/>
                  <wp:docPr id="100138" name="Image 100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9" name=""/>
                          <pic:cNvPicPr>
                            <a:picLocks noChangeAspect="1"/>
                          </pic:cNvPicPr>
                        </pic:nvPicPr>
                        <pic:blipFill>
                          <a:blip r:embed="rId81"/>
                          <a:stretch>
                            <a:fillRect/>
                          </a:stretch>
                        </pic:blipFill>
                        <pic:spPr>
                          <a:xfrm>
                            <a:off x="0" y="0"/>
                            <a:ext cx="6477000" cy="3829050"/>
                          </a:xfrm>
                          <a:prstGeom prst="rect">
                            <a:avLst/>
                          </a:prstGeom>
                        </pic:spPr>
                      </pic:pic>
                    </a:graphicData>
                  </a:graphic>
                </wp:inline>
              </w:drawing>
            </w:r>
          </w:p>
          <w:p w:rsidR="0035701C" w:rsidRDefault="00FB561B">
            <w:pPr>
              <w:pStyle w:val="Pieddepage"/>
              <w:jc w:val="center"/>
            </w:pPr>
            <w:r>
              <w:t>Parcours_1</w:t>
            </w:r>
          </w:p>
          <w:p w:rsidR="0035701C" w:rsidRDefault="0035701C">
            <w:pPr>
              <w:pStyle w:val="Pieddepage"/>
              <w:jc w:val="center"/>
            </w:pPr>
          </w:p>
        </w:tc>
      </w:tr>
    </w:tbl>
    <w:p w:rsidR="0035701C" w:rsidRDefault="00FB561B">
      <w:pPr>
        <w:pStyle w:val="Titre5"/>
        <w:rPr>
          <w:b w:val="0"/>
        </w:rPr>
      </w:pPr>
      <w:r>
        <w:rPr>
          <w:b w:val="0"/>
        </w:rPr>
        <w:br w:type="page"/>
        <w:t>-13- Parcours_2</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682"/>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PARCOURS 2 =  Ouverture d’un milieu en déprise</w:t>
            </w:r>
          </w:p>
          <w:p w:rsidR="0035701C" w:rsidRDefault="00FB561B">
            <w:pPr>
              <w:spacing w:before="240" w:after="240"/>
              <w:jc w:val="left"/>
              <w:rPr>
                <w:szCs w:val="24"/>
              </w:rPr>
            </w:pPr>
            <w:r>
              <w:rPr>
                <w:szCs w:val="24"/>
              </w:rPr>
              <w:t xml:space="preserve">Les parcours ligneux, considérés comme des surfaces peu productives jouent un </w:t>
            </w:r>
            <w:r>
              <w:rPr>
                <w:szCs w:val="24"/>
              </w:rPr>
              <w:t>rôle important dans les systèmes pastoraux corses pour l’alimentation des cheptels lors de périodes cruciales comme l’hiver et l’été quand l’offre fourragère herbacée est largement minoritaire.</w:t>
            </w:r>
          </w:p>
          <w:p w:rsidR="0035701C" w:rsidRDefault="00FB561B">
            <w:pPr>
              <w:spacing w:before="240" w:after="240"/>
              <w:jc w:val="left"/>
              <w:rPr>
                <w:szCs w:val="24"/>
              </w:rPr>
            </w:pPr>
            <w:r>
              <w:rPr>
                <w:szCs w:val="24"/>
              </w:rPr>
              <w:t>Sur ces surfaces est pratiqué le plus souvent un pâturage de t</w:t>
            </w:r>
            <w:r>
              <w:rPr>
                <w:szCs w:val="24"/>
              </w:rPr>
              <w:t xml:space="preserve">ype extensif voire très extensif. Par ailleurs, les conditions pédo-climatiques de l'île sont favorables à une dynamique très forte de la végétation herbacée et ligneuse spontanée. Dans certaines situations, liées à la nature du couvert végétal et du type </w:t>
            </w:r>
            <w:r>
              <w:rPr>
                <w:szCs w:val="24"/>
              </w:rPr>
              <w:t>de conduite au pâturage, les chargements moyens habituels (compris entre 0,2 et 1,2 UGB/ha), peuvent s'avérer insuffisants pour maîtriser la totalité des repousses ligneuses.</w:t>
            </w:r>
          </w:p>
          <w:p w:rsidR="0035701C" w:rsidRDefault="00FB561B">
            <w:pPr>
              <w:spacing w:before="240" w:after="240"/>
              <w:jc w:val="left"/>
              <w:rPr>
                <w:szCs w:val="24"/>
              </w:rPr>
            </w:pPr>
            <w:r>
              <w:rPr>
                <w:szCs w:val="24"/>
              </w:rPr>
              <w:t>De ce fait, ces surfaces présentent un risque d’abandon élevé au profit d’espaces</w:t>
            </w:r>
            <w:r>
              <w:rPr>
                <w:szCs w:val="24"/>
              </w:rPr>
              <w:t xml:space="preserve"> plus facilement valorisables d’un point de vue agro-pastoral, ce qui favorise l’embroussaillement, la perte de biodiversité et augmente sensiblement le risque incendie. Cet abandon impose aussi, lors de la reprise éventuelle de ces terres, le recours à de</w:t>
            </w:r>
            <w:r>
              <w:rPr>
                <w:szCs w:val="24"/>
              </w:rPr>
              <w:t>s moyens lourds avec des conséquences néfastes sur la structure des sols perturbant sur le long terme la dynamique naturelle de la végétation.</w:t>
            </w:r>
          </w:p>
          <w:p w:rsidR="0035701C" w:rsidRDefault="00FB561B">
            <w:pPr>
              <w:spacing w:before="240" w:after="240"/>
              <w:jc w:val="left"/>
              <w:rPr>
                <w:szCs w:val="24"/>
              </w:rPr>
            </w:pPr>
            <w:r>
              <w:rPr>
                <w:szCs w:val="24"/>
              </w:rPr>
              <w:t>L’objectif de cette opération est de réintroduire dans les systèmes pastoraux corses, ces milieux peu productifs.</w:t>
            </w:r>
            <w:r>
              <w:rPr>
                <w:szCs w:val="24"/>
              </w:rPr>
              <w:t xml:space="preserve"> Leur réouverture, en privilégiant l’utilisation de méthodes non agressives et respectueuses de l’environnement, répond à plusieurs objectifs complémentaires :</w:t>
            </w:r>
          </w:p>
          <w:p w:rsidR="0035701C" w:rsidRDefault="00FB561B">
            <w:pPr>
              <w:spacing w:before="240" w:after="240"/>
              <w:ind w:left="709"/>
              <w:jc w:val="left"/>
              <w:rPr>
                <w:szCs w:val="24"/>
              </w:rPr>
            </w:pPr>
            <w:r>
              <w:rPr>
                <w:szCs w:val="24"/>
              </w:rPr>
              <w:t xml:space="preserve">- la reconquête des parcelles en voie d’abandon sans avoir recours à des moyens lourds, mettant </w:t>
            </w:r>
            <w:r>
              <w:rPr>
                <w:szCs w:val="24"/>
              </w:rPr>
              <w:t>en péril les sols par des risques de déstructuration ou d’érosion,</w:t>
            </w:r>
          </w:p>
          <w:p w:rsidR="0035701C" w:rsidRDefault="00FB561B">
            <w:pPr>
              <w:spacing w:before="240" w:after="240"/>
              <w:ind w:left="709"/>
              <w:jc w:val="left"/>
              <w:rPr>
                <w:szCs w:val="24"/>
              </w:rPr>
            </w:pPr>
            <w:r>
              <w:rPr>
                <w:szCs w:val="24"/>
              </w:rPr>
              <w:t>- l’augmentation de la biodiversité de ces parcelles tout en permettant l’accessibilité à de nouvelles ressources fourragères pour l’éleveur.</w:t>
            </w:r>
          </w:p>
          <w:p w:rsidR="0035701C" w:rsidRDefault="00FB561B">
            <w:pPr>
              <w:spacing w:before="240" w:after="240"/>
              <w:ind w:left="709"/>
              <w:jc w:val="left"/>
              <w:rPr>
                <w:szCs w:val="24"/>
              </w:rPr>
            </w:pPr>
            <w:r>
              <w:rPr>
                <w:szCs w:val="24"/>
              </w:rPr>
              <w:t>- la réduction du risque d’incendie par la non-</w:t>
            </w:r>
            <w:r>
              <w:rPr>
                <w:szCs w:val="24"/>
              </w:rPr>
              <w:t>utilisation du feu et la création de « coupures de combustible » dans des territoires sensibles.</w:t>
            </w:r>
          </w:p>
          <w:p w:rsidR="0035701C" w:rsidRDefault="00FB561B">
            <w:pPr>
              <w:spacing w:before="240" w:after="240"/>
              <w:jc w:val="left"/>
              <w:rPr>
                <w:szCs w:val="24"/>
              </w:rPr>
            </w:pPr>
            <w:r>
              <w:rPr>
                <w:szCs w:val="24"/>
              </w:rPr>
              <w:t>Pour cela, des actions mécaniques complémentaires de type broyage (et non pas fauche) sont indispensables. Elles doivent nécessairement être régulières (annuel</w:t>
            </w:r>
            <w:r>
              <w:rPr>
                <w:szCs w:val="24"/>
              </w:rPr>
              <w:t>les) afin de garantir le maintien de l'ouverture de ces milieux.</w:t>
            </w:r>
          </w:p>
          <w:p w:rsidR="0035701C" w:rsidRDefault="00FB561B">
            <w:pPr>
              <w:spacing w:before="240" w:after="240"/>
              <w:jc w:val="left"/>
              <w:rPr>
                <w:szCs w:val="24"/>
              </w:rPr>
            </w:pPr>
            <w:r>
              <w:rPr>
                <w:szCs w:val="24"/>
              </w:rPr>
              <w:t>Par ailleurs, et étant donné que sur certains milieux, on observe après l’ouverture de la végétation et le bouleversement des facteurs écologiques qu’elle entraîne (augmentation de la lumière au sol, …), le développement de certaines espèces (chardons, asp</w:t>
            </w:r>
            <w:r>
              <w:rPr>
                <w:szCs w:val="24"/>
              </w:rPr>
              <w:t xml:space="preserve">hodèles, inules,…) pouvant être envahissantes et, à court terme, influer sur la biodiversité, </w:t>
            </w:r>
            <w:r>
              <w:rPr>
                <w:b/>
                <w:bCs/>
                <w:szCs w:val="24"/>
              </w:rPr>
              <w:t xml:space="preserve">il est proposé une option supplémentaire </w:t>
            </w:r>
            <w:r>
              <w:rPr>
                <w:szCs w:val="24"/>
              </w:rPr>
              <w:t>à cet engagement unitaire, non obligatoire, mais fortement conseillée. Cette option, ciblée en fonction de l’adventice do</w:t>
            </w:r>
            <w:r>
              <w:rPr>
                <w:szCs w:val="24"/>
              </w:rPr>
              <w:t>minante, permet de mettre en œuvre, à partir de la 2ème année d’engagement, un broyage annuel supplémentaire à la période la plus propice au regard de l’adventice dominante. Cette période sera déterminée lors du diagnostic préalable.</w:t>
            </w:r>
          </w:p>
          <w:p w:rsidR="0035701C" w:rsidRDefault="00FB561B">
            <w:pPr>
              <w:spacing w:before="240" w:after="240"/>
              <w:jc w:val="left"/>
              <w:rPr>
                <w:szCs w:val="24"/>
              </w:rPr>
            </w:pPr>
            <w:r>
              <w:rPr>
                <w:szCs w:val="24"/>
              </w:rPr>
              <w:t>L’agriculteur aura aus</w:t>
            </w:r>
            <w:r>
              <w:rPr>
                <w:szCs w:val="24"/>
              </w:rPr>
              <w:t>si la possibilité d’enrichir la strate herbacée obtenue avec des espèces fourragères méditerranéennes pérennes par semis direct ou sursemis uniquement.</w:t>
            </w:r>
          </w:p>
          <w:p w:rsidR="0035701C" w:rsidRDefault="00FB561B">
            <w:pPr>
              <w:spacing w:before="240" w:after="240"/>
              <w:jc w:val="left"/>
              <w:rPr>
                <w:szCs w:val="24"/>
              </w:rPr>
            </w:pPr>
            <w:r>
              <w:rPr>
                <w:b/>
                <w:bCs/>
                <w:szCs w:val="24"/>
              </w:rPr>
              <w:t>Cette opération sera mobilisée uniquement sur les zones à enjeux "biodiversité et risque incendies" déta</w:t>
            </w:r>
            <w:r>
              <w:rPr>
                <w:b/>
                <w:bCs/>
                <w:szCs w:val="24"/>
              </w:rPr>
              <w:t>illées dans les cartes des principaux enjeux environnementaux en Corse incluses dans le PDRC.</w:t>
            </w:r>
          </w:p>
          <w:p w:rsidR="0035701C" w:rsidRDefault="00FB561B">
            <w:pPr>
              <w:spacing w:before="240" w:after="240"/>
              <w:jc w:val="left"/>
              <w:rPr>
                <w:szCs w:val="24"/>
              </w:rPr>
            </w:pPr>
            <w:r>
              <w:rPr>
                <w:szCs w:val="24"/>
              </w:rPr>
              <w:t>Cette opération de réouverture des espaces en déprise, qui a déjà été proposée dans le cadre de la programmation précédente (2007-2013) est maintenue. Bien accuei</w:t>
            </w:r>
            <w:r>
              <w:rPr>
                <w:szCs w:val="24"/>
              </w:rPr>
              <w:t>llie par les exploitants, elle a permis de générer de la biodiversité en reconquérant des surfaces pastorales inexploitables en l’état et qui étaient sur une trajectoire d’appauvrissement biologique et paysager. De plus, ces surfaces réintégrées dans les s</w:t>
            </w:r>
            <w:r>
              <w:rPr>
                <w:szCs w:val="24"/>
              </w:rPr>
              <w:t>ystèmes pastoraux, ont permis d’assurer une prévention et une lutte contre les incendies efficace.</w:t>
            </w:r>
          </w:p>
          <w:p w:rsidR="0035701C" w:rsidRDefault="00FB561B">
            <w:pPr>
              <w:spacing w:before="240" w:after="240"/>
              <w:jc w:val="left"/>
              <w:rPr>
                <w:szCs w:val="24"/>
              </w:rPr>
            </w:pPr>
            <w:r>
              <w:rPr>
                <w:szCs w:val="24"/>
              </w:rPr>
              <w:t>Dans cette nouvelle programmation (2014-2020), cette opération a été enrichie en proposant une option supplémentaire détaillée dans le cahier des charges ci-</w:t>
            </w:r>
            <w:r>
              <w:rPr>
                <w:szCs w:val="24"/>
              </w:rPr>
              <w:t>dessous.</w:t>
            </w:r>
          </w:p>
          <w:p w:rsidR="0035701C" w:rsidRDefault="00FB561B">
            <w:pPr>
              <w:spacing w:before="240" w:after="240"/>
              <w:jc w:val="left"/>
              <w:rPr>
                <w:szCs w:val="24"/>
              </w:rPr>
            </w:pPr>
            <w:r>
              <w:rPr>
                <w:b/>
                <w:bCs/>
                <w:i/>
                <w:iCs/>
                <w:szCs w:val="24"/>
              </w:rPr>
              <w:t>Cahier des charges</w:t>
            </w:r>
            <w:r>
              <w:rPr>
                <w:szCs w:val="24"/>
              </w:rPr>
              <w:t> :</w:t>
            </w:r>
          </w:p>
          <w:p w:rsidR="0035701C" w:rsidRDefault="00FB561B" w:rsidP="00FB561B">
            <w:pPr>
              <w:numPr>
                <w:ilvl w:val="0"/>
                <w:numId w:val="683"/>
              </w:numPr>
              <w:spacing w:before="240" w:after="0"/>
              <w:ind w:hanging="210"/>
              <w:jc w:val="left"/>
              <w:rPr>
                <w:szCs w:val="24"/>
              </w:rPr>
            </w:pPr>
            <w:r>
              <w:rPr>
                <w:szCs w:val="24"/>
              </w:rPr>
              <w:t xml:space="preserve">l’agriculteur doit, la première année du contrat, </w:t>
            </w:r>
            <w:r>
              <w:rPr>
                <w:szCs w:val="24"/>
                <w:u w:val="single"/>
              </w:rPr>
              <w:t>réouvrir le milieu par un broyage</w:t>
            </w:r>
            <w:r>
              <w:rPr>
                <w:szCs w:val="24"/>
              </w:rPr>
              <w:t xml:space="preserve"> de la végétation initiale à l’aide d’un broyeur à chaînes, couteaux ou marteaux ; des matériels plus lourds pourront être utilisés occasionnel</w:t>
            </w:r>
            <w:r>
              <w:rPr>
                <w:szCs w:val="24"/>
              </w:rPr>
              <w:t>lement sur certaines parties afin de les libérer de certains encombrants (souches ou troncs brûlés, blocs…) dans le but de faciliter l’entretien ultérieur</w:t>
            </w:r>
          </w:p>
          <w:p w:rsidR="0035701C" w:rsidRDefault="00FB561B" w:rsidP="00FB561B">
            <w:pPr>
              <w:numPr>
                <w:ilvl w:val="0"/>
                <w:numId w:val="683"/>
              </w:numPr>
              <w:spacing w:before="0" w:after="0"/>
              <w:ind w:hanging="210"/>
              <w:jc w:val="left"/>
              <w:rPr>
                <w:szCs w:val="24"/>
              </w:rPr>
            </w:pPr>
            <w:r>
              <w:rPr>
                <w:szCs w:val="24"/>
              </w:rPr>
              <w:t xml:space="preserve">il doit ensuite </w:t>
            </w:r>
            <w:r>
              <w:rPr>
                <w:szCs w:val="24"/>
                <w:u w:val="single"/>
              </w:rPr>
              <w:t>réaliser annuellement un entretien par broyage</w:t>
            </w:r>
            <w:r>
              <w:rPr>
                <w:szCs w:val="24"/>
              </w:rPr>
              <w:t xml:space="preserve"> des parcelles réouvertes sur les 4 ann</w:t>
            </w:r>
            <w:r>
              <w:rPr>
                <w:szCs w:val="24"/>
              </w:rPr>
              <w:t>ées restantes du contrat,</w:t>
            </w:r>
          </w:p>
          <w:p w:rsidR="0035701C" w:rsidRDefault="00FB561B" w:rsidP="00FB561B">
            <w:pPr>
              <w:numPr>
                <w:ilvl w:val="0"/>
                <w:numId w:val="683"/>
              </w:numPr>
              <w:spacing w:before="0" w:after="0"/>
              <w:ind w:hanging="210"/>
              <w:jc w:val="left"/>
              <w:rPr>
                <w:szCs w:val="24"/>
              </w:rPr>
            </w:pPr>
            <w:r>
              <w:rPr>
                <w:szCs w:val="24"/>
              </w:rPr>
              <w:t xml:space="preserve">les travaux d’ouverture et d’entretien seront obligatoirement effectués dans la période comprise entre le mois d’octobre et le mois de mars pendant l’hibernation de la tortue d’Hermann et avant la nidification de certains oiseaux </w:t>
            </w:r>
            <w:r>
              <w:rPr>
                <w:szCs w:val="24"/>
              </w:rPr>
              <w:t xml:space="preserve">(perdrix,….). Si ces travaux ont lieu sur les </w:t>
            </w:r>
            <w:r>
              <w:rPr>
                <w:i/>
                <w:iCs/>
                <w:szCs w:val="24"/>
              </w:rPr>
              <w:t>zones de renfort agricoles (*) des Zones d’Appui à la Lutte (ZAL)</w:t>
            </w:r>
            <w:r>
              <w:rPr>
                <w:szCs w:val="24"/>
              </w:rPr>
              <w:t>, il est fortement conseillé de les réaliser avant le 30 juin, afin de conférer à cet ensemble, une efficacité DFCI</w:t>
            </w:r>
          </w:p>
          <w:p w:rsidR="0035701C" w:rsidRDefault="00FB561B" w:rsidP="00FB561B">
            <w:pPr>
              <w:numPr>
                <w:ilvl w:val="0"/>
                <w:numId w:val="683"/>
              </w:numPr>
              <w:spacing w:before="0" w:after="0"/>
              <w:ind w:hanging="210"/>
              <w:jc w:val="left"/>
              <w:rPr>
                <w:szCs w:val="24"/>
              </w:rPr>
            </w:pPr>
            <w:r>
              <w:rPr>
                <w:szCs w:val="24"/>
              </w:rPr>
              <w:t>si l’agriculteur décide de so</w:t>
            </w:r>
            <w:r>
              <w:rPr>
                <w:szCs w:val="24"/>
              </w:rPr>
              <w:t>uscrire l’option supplémentaire « </w:t>
            </w:r>
            <w:r>
              <w:rPr>
                <w:i/>
                <w:iCs/>
                <w:szCs w:val="24"/>
              </w:rPr>
              <w:t>Broyage ciblé en fonction des adventices »</w:t>
            </w:r>
            <w:r>
              <w:rPr>
                <w:szCs w:val="24"/>
              </w:rPr>
              <w:t xml:space="preserve">, il doit, à partir de la 2ème année d’engagement, réaliser un broyage annuel supplémentaire à la période la plus propice au regard de l’adventice dominante précisément déterminée </w:t>
            </w:r>
            <w:r>
              <w:rPr>
                <w:szCs w:val="24"/>
              </w:rPr>
              <w:t>lors du diagnostic préalable</w:t>
            </w:r>
          </w:p>
          <w:p w:rsidR="0035701C" w:rsidRDefault="00FB561B" w:rsidP="00FB561B">
            <w:pPr>
              <w:numPr>
                <w:ilvl w:val="0"/>
                <w:numId w:val="683"/>
              </w:numPr>
              <w:spacing w:before="0" w:after="0"/>
              <w:ind w:hanging="210"/>
              <w:jc w:val="left"/>
              <w:rPr>
                <w:szCs w:val="24"/>
              </w:rPr>
            </w:pPr>
            <w:r>
              <w:rPr>
                <w:szCs w:val="24"/>
              </w:rPr>
              <w:t>si l’agriculteur souhaite enrichir la strate herbacée obtenue, il doit obligatoirement utiliser des espèces fourragères méditerranéennes et utiliser des techniques culturales simplifiées uniquement (semis direct ou sursemis)</w:t>
            </w:r>
          </w:p>
          <w:p w:rsidR="0035701C" w:rsidRDefault="00FB561B" w:rsidP="00FB561B">
            <w:pPr>
              <w:numPr>
                <w:ilvl w:val="0"/>
                <w:numId w:val="683"/>
              </w:numPr>
              <w:spacing w:before="0" w:after="0"/>
              <w:ind w:hanging="210"/>
              <w:jc w:val="left"/>
              <w:rPr>
                <w:szCs w:val="24"/>
              </w:rPr>
            </w:pPr>
            <w:r>
              <w:rPr>
                <w:szCs w:val="24"/>
              </w:rPr>
              <w:t>le</w:t>
            </w:r>
            <w:r>
              <w:rPr>
                <w:szCs w:val="24"/>
              </w:rPr>
              <w:t xml:space="preserve"> retournement des surfaces engagées est interdit</w:t>
            </w:r>
          </w:p>
          <w:p w:rsidR="0035701C" w:rsidRDefault="00FB561B" w:rsidP="00FB561B">
            <w:pPr>
              <w:numPr>
                <w:ilvl w:val="0"/>
                <w:numId w:val="683"/>
              </w:numPr>
              <w:spacing w:before="0" w:after="0"/>
              <w:ind w:hanging="210"/>
              <w:jc w:val="left"/>
              <w:rPr>
                <w:szCs w:val="24"/>
              </w:rPr>
            </w:pPr>
            <w:r>
              <w:rPr>
                <w:szCs w:val="24"/>
              </w:rPr>
              <w:t>le recours à un traitement chimique pour éliminer la végétation initiale ou effectuer les entretiens ultérieurs est interdit,</w:t>
            </w:r>
          </w:p>
          <w:p w:rsidR="0035701C" w:rsidRDefault="00FB561B" w:rsidP="00FB561B">
            <w:pPr>
              <w:numPr>
                <w:ilvl w:val="0"/>
                <w:numId w:val="683"/>
              </w:numPr>
              <w:spacing w:before="0" w:after="240"/>
              <w:ind w:hanging="210"/>
              <w:jc w:val="left"/>
              <w:rPr>
                <w:szCs w:val="24"/>
              </w:rPr>
            </w:pPr>
            <w:r>
              <w:rPr>
                <w:szCs w:val="24"/>
              </w:rPr>
              <w:t xml:space="preserve">l’agriculteur doit assurer l’enregistrement des différentes interventions et des </w:t>
            </w:r>
            <w:r>
              <w:rPr>
                <w:szCs w:val="24"/>
              </w:rPr>
              <w:t>pratiques réalisées dans un document normé prévu à cet effet. Ce document sera remis à l’agriculteur à l’issue du diagnostic obligatoire réalisé par le service instructeur.</w:t>
            </w:r>
          </w:p>
          <w:p w:rsidR="0035701C" w:rsidRDefault="00FB561B">
            <w:pPr>
              <w:spacing w:before="240" w:after="240"/>
              <w:jc w:val="left"/>
              <w:rPr>
                <w:szCs w:val="24"/>
              </w:rPr>
            </w:pPr>
            <w:r>
              <w:rPr>
                <w:b/>
                <w:bCs/>
                <w:i/>
                <w:iCs/>
                <w:szCs w:val="24"/>
              </w:rPr>
              <w:t xml:space="preserve">(*) Définition des « zones de renfort agro-pastorales » des ZAL : </w:t>
            </w:r>
          </w:p>
          <w:p w:rsidR="0035701C" w:rsidRDefault="00FB561B">
            <w:pPr>
              <w:spacing w:before="240" w:after="240"/>
              <w:ind w:left="708"/>
              <w:jc w:val="left"/>
              <w:rPr>
                <w:szCs w:val="24"/>
              </w:rPr>
            </w:pPr>
            <w:r>
              <w:rPr>
                <w:i/>
                <w:iCs/>
                <w:szCs w:val="24"/>
              </w:rPr>
              <w:t xml:space="preserve">Une ZAL est </w:t>
            </w:r>
            <w:r>
              <w:rPr>
                <w:i/>
                <w:iCs/>
                <w:szCs w:val="24"/>
              </w:rPr>
              <w:t>caractérisée par une bande roulement sur laquelle s’appuie un débroussaillement de 100 m de large (en général 50 m de part et d’autre de la bande de roulement). Souvent, on constate une utilisation agro-pastorale des ZAL et des terrains en continuité de ce</w:t>
            </w:r>
            <w:r>
              <w:rPr>
                <w:i/>
                <w:iCs/>
                <w:szCs w:val="24"/>
              </w:rPr>
              <w:t>s ouvrages. La réouverture ou l’entretien de ces terrains par des agriculteurs apparaît comme une opportunité pour renforcer en largeur ces ouvrages DFCI et leur conférer alors, une plus grande efficacité en cas d’incendies (lutte facilitée et sécurisée, r</w:t>
            </w:r>
            <w:r>
              <w:rPr>
                <w:i/>
                <w:iCs/>
                <w:szCs w:val="24"/>
              </w:rPr>
              <w:t>éduction de la puissance du feu, etc...). Il est donc apparu intéressant de leur donner une définition précise qui est la suivante : on qualifiera de « zones renforts agricoles » les zones qui jouxtent la ZAL sur une longueur minimum de 100 mètres et sur u</w:t>
            </w:r>
            <w:r>
              <w:rPr>
                <w:i/>
                <w:iCs/>
                <w:szCs w:val="24"/>
              </w:rPr>
              <w:t>ne profondeur, soit de 100 mètres de part et d’autre de la ZAL, soit de 200 m d’un seul coté de la ZAL si l’on rencontre des limites liées au relief, à des problématiques foncières ou techniques.</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w:t>
            </w:r>
            <w:r>
              <w:rPr>
                <w:szCs w:val="24"/>
              </w:rPr>
              <w:t>uriannuelle et est accordée pour une durée de 5 ans.</w:t>
            </w:r>
          </w:p>
          <w:p w:rsidR="0035701C" w:rsidRDefault="00FB561B">
            <w:pPr>
              <w:spacing w:before="240" w:after="240"/>
              <w:jc w:val="left"/>
              <w:rPr>
                <w:szCs w:val="24"/>
              </w:rPr>
            </w:pPr>
            <w:r>
              <w:rPr>
                <w:szCs w:val="24"/>
              </w:rPr>
              <w:t>Le montant de la rémunération est en euros / ha / 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684"/>
              </w:numPr>
              <w:spacing w:before="240" w:after="0"/>
              <w:ind w:hanging="210"/>
              <w:jc w:val="left"/>
              <w:rPr>
                <w:szCs w:val="24"/>
              </w:rPr>
            </w:pPr>
            <w:r>
              <w:rPr>
                <w:szCs w:val="24"/>
              </w:rPr>
              <w:t xml:space="preserve">les exigences établies en vertu de </w:t>
            </w:r>
            <w:r>
              <w:rPr>
                <w:szCs w:val="24"/>
              </w:rPr>
              <w:t>l’article 93 du Titre VI du règlement UE n° 1306/2013 relatif à la conditionnalité,</w:t>
            </w:r>
          </w:p>
          <w:p w:rsidR="0035701C" w:rsidRDefault="00FB561B" w:rsidP="00FB561B">
            <w:pPr>
              <w:numPr>
                <w:ilvl w:val="0"/>
                <w:numId w:val="684"/>
              </w:numPr>
              <w:spacing w:before="0" w:after="0"/>
              <w:ind w:hanging="210"/>
              <w:jc w:val="left"/>
              <w:rPr>
                <w:szCs w:val="24"/>
              </w:rPr>
            </w:pPr>
            <w:r>
              <w:rPr>
                <w:szCs w:val="24"/>
              </w:rPr>
              <w:t>les exigences établies en vertu de l’article 4.1c points ii) et iii) du règlement UE n°1307/2013 relatif à l’état d’entretien minimum des surfaces</w:t>
            </w:r>
          </w:p>
          <w:p w:rsidR="0035701C" w:rsidRDefault="00FB561B" w:rsidP="00FB561B">
            <w:pPr>
              <w:numPr>
                <w:ilvl w:val="0"/>
                <w:numId w:val="684"/>
              </w:numPr>
              <w:spacing w:before="0" w:after="240"/>
              <w:ind w:hanging="210"/>
              <w:jc w:val="left"/>
              <w:rPr>
                <w:szCs w:val="24"/>
              </w:rPr>
            </w:pPr>
            <w:r>
              <w:rPr>
                <w:szCs w:val="24"/>
              </w:rPr>
              <w:t>toute autre exigence pert</w:t>
            </w:r>
            <w:r>
              <w:rPr>
                <w:szCs w:val="24"/>
              </w:rPr>
              <w:t>inente établie par la réglementation nationale, tel le Code des Bonnes Pratiques Agricoles pris par arrêté du 22 novembre 1993</w:t>
            </w:r>
          </w:p>
          <w:p w:rsidR="0035701C" w:rsidRDefault="00FB561B">
            <w:pPr>
              <w:spacing w:before="240" w:after="240"/>
              <w:jc w:val="left"/>
              <w:rPr>
                <w:szCs w:val="24"/>
              </w:rPr>
            </w:pPr>
            <w:r>
              <w:rPr>
                <w:szCs w:val="24"/>
              </w:rPr>
              <w:t>Ces éléments sont détaillés au paragraphe « Information spécifique à l’opération – Description de la ligne de base » de la présen</w:t>
            </w:r>
            <w:r>
              <w:rPr>
                <w:szCs w:val="24"/>
              </w:rPr>
              <w:t>te fiche-opération.</w:t>
            </w:r>
          </w:p>
          <w:p w:rsidR="0035701C" w:rsidRDefault="00FB561B">
            <w:pPr>
              <w:spacing w:before="240" w:after="240"/>
              <w:jc w:val="left"/>
              <w:rPr>
                <w:szCs w:val="24"/>
              </w:rPr>
            </w:pPr>
            <w:r>
              <w:rPr>
                <w:szCs w:val="24"/>
              </w:rPr>
              <w:t>Afin d’exclure tout double paiement, les pratiques visées à l’article 43 du règlement UE n° 1307/2013 sont prises en compte dans le calcul des surcoûts et manques à gagner. La méthode de prise en compte est détaillée au paragraphe « Inf</w:t>
            </w:r>
            <w:r>
              <w:rPr>
                <w:szCs w:val="24"/>
              </w:rPr>
              <w:t>ormation spécifique à l’opération – Méthode de calcul du montant » de la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coûts sont les surcoûts, manques à gagner et </w:t>
            </w:r>
            <w:r>
              <w:rPr>
                <w:szCs w:val="24"/>
              </w:rPr>
              <w:t>éventuels coûts d’opportunité et de transaction générés par le respect éléments contractualisés.</w:t>
            </w:r>
          </w:p>
          <w:p w:rsidR="0035701C" w:rsidRDefault="00FB561B">
            <w:pPr>
              <w:spacing w:before="240" w:after="240"/>
              <w:jc w:val="left"/>
              <w:rPr>
                <w:szCs w:val="24"/>
              </w:rPr>
            </w:pPr>
            <w:r>
              <w:rPr>
                <w:szCs w:val="24"/>
              </w:rPr>
              <w:t>Dans le cas de cette opération, sont pris en compte uniquement des surcoûts et des coûts d’opportunité.</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La réalisation d’un diagno</w:t>
            </w:r>
            <w:r>
              <w:rPr>
                <w:b/>
                <w:bCs/>
                <w:szCs w:val="24"/>
              </w:rPr>
              <w:t>stic d’exploitation préalable à la souscription de cette opération est obligatoire.</w:t>
            </w:r>
          </w:p>
          <w:p w:rsidR="0035701C" w:rsidRDefault="00FB561B">
            <w:pPr>
              <w:spacing w:before="240" w:after="240"/>
              <w:jc w:val="left"/>
              <w:rPr>
                <w:szCs w:val="24"/>
              </w:rPr>
            </w:pPr>
            <w:r>
              <w:rPr>
                <w:b/>
                <w:bCs/>
                <w:i/>
                <w:iCs/>
                <w:szCs w:val="24"/>
              </w:rPr>
              <w:t>Surfaces éligibles:</w:t>
            </w:r>
            <w:r>
              <w:rPr>
                <w:szCs w:val="24"/>
              </w:rPr>
              <w:t xml:space="preserve"> Les maquis à cistes, arbousier, bruyère, filaire, fruticées montagnardes</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de l’aide est de </w:t>
            </w:r>
            <w:r>
              <w:rPr>
                <w:b/>
                <w:bCs/>
                <w:szCs w:val="24"/>
              </w:rPr>
              <w:t>305,05 €/ha/an</w:t>
            </w:r>
            <w:r>
              <w:rPr>
                <w:szCs w:val="24"/>
              </w:rPr>
              <w:t xml:space="preserve"> hors option, et de </w:t>
            </w:r>
            <w:r>
              <w:rPr>
                <w:b/>
                <w:bCs/>
                <w:szCs w:val="24"/>
              </w:rPr>
              <w:t>394,59 € / ha / an</w:t>
            </w:r>
            <w:r>
              <w:rPr>
                <w:szCs w:val="24"/>
              </w:rPr>
              <w:t xml:space="preserve"> avec option, auquel vient s’ajouter une somme forfaitaire de </w:t>
            </w:r>
            <w:r>
              <w:rPr>
                <w:b/>
                <w:bCs/>
                <w:szCs w:val="24"/>
              </w:rPr>
              <w:t>57,18 €/an</w:t>
            </w:r>
            <w:r>
              <w:rPr>
                <w:szCs w:val="24"/>
              </w:rPr>
              <w:t xml:space="preserve"> liée à l’enregistrement d</w:t>
            </w:r>
            <w:r>
              <w:rPr>
                <w:szCs w:val="24"/>
              </w:rPr>
              <w:t>es pratiques et des interventions.</w:t>
            </w:r>
          </w:p>
          <w:p w:rsidR="0035701C" w:rsidRDefault="00FB561B">
            <w:pPr>
              <w:spacing w:before="240" w:after="240"/>
              <w:jc w:val="left"/>
              <w:rPr>
                <w:szCs w:val="24"/>
              </w:rPr>
            </w:pPr>
            <w:r>
              <w:rPr>
                <w:szCs w:val="24"/>
              </w:rPr>
              <w:t>Il est rappelé que le plafond communautaire pour ce type de couvert (autres utilisations des terres) est de 450 €/ha/an (incluant le forfait annuel).</w:t>
            </w:r>
          </w:p>
          <w:p w:rsidR="0035701C" w:rsidRDefault="0035701C">
            <w:pPr>
              <w:pStyle w:val="Corpsdetexte"/>
            </w:pPr>
          </w:p>
        </w:tc>
      </w:tr>
    </w:tbl>
    <w:p w:rsidR="0035701C" w:rsidRDefault="00FB561B">
      <w:pPr>
        <w:pStyle w:val="Titre6"/>
      </w:pPr>
      <w:r>
        <w:t>Caractère vérifiable et contrôlable des mesures et/ou types d'opérati</w:t>
      </w:r>
      <w:r>
        <w:t>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des éléments du niveau de référence </w:t>
      </w:r>
      <w:r>
        <w:t>applicable, qui doivent inclure les normes obligatoires établies en application du titre VI, chapitre I, du règlement (UE) n° 1306/2013 du Parlement européen et du Conseil, les critères pertinents et les activités minimales établies en application de l'art</w:t>
      </w:r>
      <w:r>
        <w:t>icle 4, paragraphe 1, point c) ii) et c) iii), du règlement (UE) n° 1307/2013 du Parlement européen et du Conseil, les exigences minimales applicables à l'utilisation des engrais et des produits phytosanitaire ainsi que les autres exigences obligatoires pe</w:t>
      </w:r>
      <w:r>
        <w:t>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 xml:space="preserve">Si les pratiques rémunérées au titre de la présente opération sont rendues obligatoires sur des zones au titre de la protection de la biodiversité (notamment des zones classées au titre des réserves </w:t>
            </w:r>
            <w:r>
              <w:rPr>
                <w:szCs w:val="24"/>
              </w:rPr>
              <w:t>naturelles des arrêtés de protection de biotopes), celle-ci ne peut être ouverte sur les zones concernées.</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443652"/>
                  <wp:effectExtent l="0" t="0" r="0" b="0"/>
                  <wp:docPr id="100140" name="Image 100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1" name=""/>
                          <pic:cNvPicPr>
                            <a:picLocks noChangeAspect="1"/>
                          </pic:cNvPicPr>
                        </pic:nvPicPr>
                        <pic:blipFill>
                          <a:blip r:embed="rId82"/>
                          <a:stretch>
                            <a:fillRect/>
                          </a:stretch>
                        </pic:blipFill>
                        <pic:spPr>
                          <a:xfrm>
                            <a:off x="0" y="0"/>
                            <a:ext cx="6629400" cy="1443652"/>
                          </a:xfrm>
                          <a:prstGeom prst="rect">
                            <a:avLst/>
                          </a:prstGeom>
                        </pic:spPr>
                      </pic:pic>
                    </a:graphicData>
                  </a:graphic>
                </wp:inline>
              </w:drawing>
            </w:r>
          </w:p>
          <w:p w:rsidR="0035701C" w:rsidRDefault="00FB561B">
            <w:pPr>
              <w:pStyle w:val="Pieddepage"/>
              <w:jc w:val="center"/>
            </w:pPr>
            <w:r>
              <w:t>Parcours_2_lignebase</w:t>
            </w:r>
          </w:p>
          <w:p w:rsidR="0035701C" w:rsidRDefault="0035701C">
            <w:pPr>
              <w:pStyle w:val="Pieddepage"/>
              <w:jc w:val="center"/>
            </w:pPr>
          </w:p>
        </w:tc>
      </w:tr>
    </w:tbl>
    <w:p w:rsidR="0035701C" w:rsidRDefault="00FB561B">
      <w:r>
        <w:t xml:space="preserve">Les exigences minimales relatives à l'utilisation d'engrais doivent comprendre, entre autres, le respect des codes de </w:t>
      </w:r>
      <w:r>
        <w:t>bonnes pratiques introduits au titre de la directive 91/676/CEE pour les exploitations situées en dehors des zones vulnérables aux nitrates, et des exigences concernant la pollution au phosphore; les exigences minimales relatives à l'utilisation de produit</w:t>
      </w:r>
      <w:r>
        <w:t>s phytosanitaires doivent comprendre, entre autres, les principes généraux de la lutte intégrée contre les ennemis des cultures introduits par la directive 2009/128/CE du Parlement européen et du Conseil, l’obligation de détenir une autorisation d’utiliser</w:t>
      </w:r>
      <w:r>
        <w:t xml:space="preserve"> les produits, de satisfaire aux conditions de formation, d’assurer un stockage sûr et de contrôler les équipements destinés à l’épandage ainsi que les règles relatives à l’utilisation de pesticides à proximité d’étendues d’eau et d’autres sites sensibles,</w:t>
      </w:r>
      <w:r>
        <w:t xml:space="preserve">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 xml:space="preserve">Liste des races locales qui sont menacées d’être perdues pour l’agriculture et des ressources génétiques végétales qui sont menacées d’érosion </w:t>
      </w:r>
      <w:r>
        <w:t>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préservation des ressources génétiques.</w:t>
            </w:r>
          </w:p>
          <w:p w:rsidR="0035701C" w:rsidRDefault="0035701C">
            <w:pPr>
              <w:pStyle w:val="Corpsdetexte"/>
            </w:pPr>
          </w:p>
        </w:tc>
      </w:tr>
    </w:tbl>
    <w:p w:rsidR="0035701C" w:rsidRDefault="00FB561B">
      <w:r>
        <w:t>Description de la méthode et des hypothèses et paramètres agronomiques y compris la description des exigences minimales visées à l'article 29, paragraphe 2, du règlement</w:t>
      </w:r>
      <w:r>
        <w:t xml:space="preserve"> (UE) n° 1305/2013 correspondant à chaque type particulier d'engagement, utilisés comme référence pour les calculs justifiant les coûts supplémentaires et les pertes de revenus résultant de l’engagement pris et le niveau des coûts des transactions; le cas </w:t>
      </w:r>
      <w:r>
        <w:t>échéant, cette méthode tient compte des aides accordées au titre du règlement (UE) n° 1307/2013, et notamment des paiements en faveur des pratiques agricoles bénéfiques pour le climat et l’environnement, afin d’exclure un double financement; le cas échéant</w:t>
      </w:r>
      <w:r>
        <w: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Pratiques de référence</w:t>
            </w:r>
            <w:r>
              <w:rPr>
                <w:szCs w:val="24"/>
              </w:rPr>
              <w:t> : les milieux visés sont soit inexploités, soit exploités par un pâturage extensif voire très extensif</w:t>
            </w:r>
          </w:p>
          <w:p w:rsidR="0035701C" w:rsidRDefault="00FB561B">
            <w:pPr>
              <w:spacing w:before="240" w:after="240"/>
              <w:jc w:val="left"/>
              <w:rPr>
                <w:szCs w:val="24"/>
              </w:rPr>
            </w:pPr>
            <w:r>
              <w:rPr>
                <w:b/>
                <w:bCs/>
                <w:i/>
                <w:iCs/>
                <w:szCs w:val="24"/>
              </w:rPr>
              <w:t xml:space="preserve">Prise en compte du verdissement : </w:t>
            </w:r>
            <w:r>
              <w:rPr>
                <w:szCs w:val="24"/>
              </w:rPr>
              <w:t>justification de la prise en compte des pratiques liées au verdissement afin d’éviter tout double paiement :</w:t>
            </w:r>
          </w:p>
          <w:p w:rsidR="0035701C" w:rsidRDefault="00FB561B" w:rsidP="00FB561B">
            <w:pPr>
              <w:numPr>
                <w:ilvl w:val="0"/>
                <w:numId w:val="685"/>
              </w:numPr>
              <w:spacing w:before="240" w:after="0"/>
              <w:ind w:hanging="210"/>
              <w:jc w:val="left"/>
              <w:rPr>
                <w:szCs w:val="24"/>
              </w:rPr>
            </w:pPr>
            <w:r>
              <w:rPr>
                <w:szCs w:val="24"/>
              </w:rPr>
              <w:t>maintien de prairies permanentes existantes : cette exigence a une interaction avec cette opération. L’obligation</w:t>
            </w:r>
            <w:r>
              <w:rPr>
                <w:szCs w:val="24"/>
              </w:rPr>
              <w:t xml:space="preserve"> de maintien des prairies et pâturages permanents doit être respectée à l’échelle de la parcelle engagée, ce qui est plus contraignant que le verdissement qui s’applique à l’échelle régionale. Par ailleurs cette obligation n’est pas rémunérée.</w:t>
            </w:r>
          </w:p>
          <w:p w:rsidR="0035701C" w:rsidRDefault="00FB561B" w:rsidP="00FB561B">
            <w:pPr>
              <w:numPr>
                <w:ilvl w:val="0"/>
                <w:numId w:val="685"/>
              </w:numPr>
              <w:spacing w:before="0" w:after="0"/>
              <w:ind w:hanging="210"/>
              <w:jc w:val="left"/>
              <w:rPr>
                <w:szCs w:val="24"/>
              </w:rPr>
            </w:pPr>
            <w:r>
              <w:rPr>
                <w:szCs w:val="24"/>
              </w:rPr>
              <w:t xml:space="preserve">présence de </w:t>
            </w:r>
            <w:r>
              <w:rPr>
                <w:szCs w:val="24"/>
              </w:rPr>
              <w:t>5 % de SIE (Surfaces d’Intérêt Ecologique) sur les terres arables : cette exigence n’a pas d’interaction avec cette opération,</w:t>
            </w:r>
          </w:p>
          <w:p w:rsidR="0035701C" w:rsidRDefault="00FB561B" w:rsidP="00FB561B">
            <w:pPr>
              <w:numPr>
                <w:ilvl w:val="0"/>
                <w:numId w:val="685"/>
              </w:numPr>
              <w:spacing w:before="0" w:after="240"/>
              <w:ind w:hanging="210"/>
              <w:jc w:val="left"/>
              <w:rPr>
                <w:szCs w:val="24"/>
              </w:rPr>
            </w:pPr>
            <w:r>
              <w:rPr>
                <w:szCs w:val="24"/>
              </w:rPr>
              <w:t>diversification des cultures : cette exigence n’a pas d’interaction avec cette opération.</w:t>
            </w:r>
          </w:p>
          <w:p w:rsidR="0035701C" w:rsidRDefault="00FB561B">
            <w:pPr>
              <w:spacing w:before="240" w:after="240"/>
              <w:jc w:val="left"/>
              <w:rPr>
                <w:szCs w:val="24"/>
              </w:rPr>
            </w:pPr>
            <w:r>
              <w:rPr>
                <w:b/>
                <w:bCs/>
                <w:i/>
                <w:iCs/>
                <w:szCs w:val="24"/>
              </w:rPr>
              <w:t>Méthode générale de calcul du montant :</w:t>
            </w:r>
            <w:r>
              <w:rPr>
                <w:szCs w:val="24"/>
              </w:rPr>
              <w:t xml:space="preserve"> le montant de l’aide est calculé sur la base de l’utilisation du matériel et du temps de travail nécessaire aux interventions demandées. Le surcoût lié au temps d’enregistrement des pratiques est rémunéré sous forme forfaitaire indépendamment de la surfac</w:t>
            </w:r>
            <w:r>
              <w:rPr>
                <w:szCs w:val="24"/>
              </w:rPr>
              <w:t>e engagée. Il n’y a pas, dans cette opération, de coût de transaction.</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686"/>
              </w:numPr>
              <w:spacing w:before="240" w:after="0"/>
              <w:ind w:hanging="210"/>
              <w:jc w:val="left"/>
              <w:rPr>
                <w:szCs w:val="24"/>
              </w:rPr>
            </w:pPr>
            <w:r>
              <w:rPr>
                <w:szCs w:val="24"/>
              </w:rPr>
              <w:t>coût du matériel:</w:t>
            </w:r>
            <w:r>
              <w:rPr>
                <w:i/>
                <w:iCs/>
                <w:szCs w:val="24"/>
              </w:rPr>
              <w:t xml:space="preserve"> Bureau de Coordination du Machinisme Agricole (BCMA), barème des façons culturales</w:t>
            </w:r>
            <w:r>
              <w:rPr>
                <w:szCs w:val="24"/>
              </w:rPr>
              <w:t xml:space="preserve"> </w:t>
            </w:r>
            <w:r>
              <w:rPr>
                <w:i/>
                <w:iCs/>
                <w:szCs w:val="24"/>
              </w:rPr>
              <w:t xml:space="preserve">2014 </w:t>
            </w:r>
          </w:p>
          <w:p w:rsidR="0035701C" w:rsidRDefault="00FB561B" w:rsidP="00FB561B">
            <w:pPr>
              <w:numPr>
                <w:ilvl w:val="0"/>
                <w:numId w:val="686"/>
              </w:numPr>
              <w:spacing w:before="0" w:after="0"/>
              <w:ind w:hanging="210"/>
              <w:jc w:val="left"/>
              <w:rPr>
                <w:szCs w:val="24"/>
              </w:rPr>
            </w:pPr>
            <w:r>
              <w:rPr>
                <w:i/>
                <w:iCs/>
                <w:szCs w:val="24"/>
              </w:rPr>
              <w:t>temps de travail, niveaux de production fourragère et vale</w:t>
            </w:r>
            <w:r>
              <w:rPr>
                <w:i/>
                <w:iCs/>
                <w:szCs w:val="24"/>
              </w:rPr>
              <w:t>ur en UFL: références locales issues du réseau régional d’expérimentations fourragères et de démonstrations (Office du Développement Agricole et Rural de Corse et Office de l’Environnement de la Corse)</w:t>
            </w:r>
          </w:p>
          <w:p w:rsidR="0035701C" w:rsidRDefault="00FB561B" w:rsidP="00FB561B">
            <w:pPr>
              <w:numPr>
                <w:ilvl w:val="0"/>
                <w:numId w:val="686"/>
              </w:numPr>
              <w:spacing w:before="0" w:after="0"/>
              <w:ind w:hanging="210"/>
              <w:jc w:val="left"/>
              <w:rPr>
                <w:szCs w:val="24"/>
              </w:rPr>
            </w:pPr>
            <w:r>
              <w:rPr>
                <w:szCs w:val="24"/>
              </w:rPr>
              <w:t>coût UFL :</w:t>
            </w:r>
            <w:r>
              <w:rPr>
                <w:i/>
                <w:iCs/>
                <w:szCs w:val="24"/>
              </w:rPr>
              <w:t xml:space="preserve"> coopératives locales</w:t>
            </w:r>
          </w:p>
          <w:p w:rsidR="0035701C" w:rsidRDefault="00FB561B" w:rsidP="00FB561B">
            <w:pPr>
              <w:numPr>
                <w:ilvl w:val="0"/>
                <w:numId w:val="686"/>
              </w:numPr>
              <w:spacing w:before="0" w:after="240"/>
              <w:ind w:hanging="210"/>
              <w:jc w:val="left"/>
              <w:rPr>
                <w:szCs w:val="24"/>
              </w:rPr>
            </w:pPr>
            <w:r>
              <w:rPr>
                <w:szCs w:val="24"/>
              </w:rPr>
              <w:t xml:space="preserve">coût horaire de main d’œuvre : </w:t>
            </w:r>
            <w:r>
              <w:rPr>
                <w:i/>
                <w:iCs/>
                <w:szCs w:val="24"/>
              </w:rPr>
              <w:t>2 fois le coût horaire du SMIC (1er janvier 2014)</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143625" cy="6858000"/>
                  <wp:effectExtent l="0" t="0" r="0" b="0"/>
                  <wp:docPr id="100142" name="Image 100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3" name=""/>
                          <pic:cNvPicPr>
                            <a:picLocks noChangeAspect="1"/>
                          </pic:cNvPicPr>
                        </pic:nvPicPr>
                        <pic:blipFill>
                          <a:blip r:embed="rId83"/>
                          <a:stretch>
                            <a:fillRect/>
                          </a:stretch>
                        </pic:blipFill>
                        <pic:spPr>
                          <a:xfrm>
                            <a:off x="0" y="0"/>
                            <a:ext cx="6143625" cy="6858000"/>
                          </a:xfrm>
                          <a:prstGeom prst="rect">
                            <a:avLst/>
                          </a:prstGeom>
                        </pic:spPr>
                      </pic:pic>
                    </a:graphicData>
                  </a:graphic>
                </wp:inline>
              </w:drawing>
            </w:r>
          </w:p>
          <w:p w:rsidR="0035701C" w:rsidRDefault="00FB561B">
            <w:pPr>
              <w:pStyle w:val="Pieddepage"/>
              <w:jc w:val="center"/>
            </w:pPr>
            <w:r>
              <w:t>Parcours_2</w:t>
            </w:r>
          </w:p>
          <w:p w:rsidR="0035701C" w:rsidRDefault="0035701C">
            <w:pPr>
              <w:pStyle w:val="Pieddepage"/>
              <w:jc w:val="center"/>
            </w:pPr>
          </w:p>
        </w:tc>
      </w:tr>
    </w:tbl>
    <w:p w:rsidR="0035701C" w:rsidRDefault="00FB561B">
      <w:pPr>
        <w:pStyle w:val="Titre5"/>
        <w:rPr>
          <w:b w:val="0"/>
        </w:rPr>
      </w:pPr>
      <w:r>
        <w:rPr>
          <w:b w:val="0"/>
        </w:rPr>
        <w:br w:type="page"/>
        <w:t>-14- Parcours_3</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687"/>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 titre </w:t>
            </w:r>
            <w:r>
              <w:rPr>
                <w:b/>
                <w:bCs/>
                <w:szCs w:val="24"/>
              </w:rPr>
              <w:t>complet : PARCOURS 3=  Recepage du maquis pour favoriser l’utilisation de la ressource des parcours ligneux</w:t>
            </w:r>
          </w:p>
          <w:p w:rsidR="0035701C" w:rsidRDefault="00FB561B">
            <w:pPr>
              <w:spacing w:before="240" w:after="240"/>
              <w:jc w:val="left"/>
              <w:rPr>
                <w:szCs w:val="24"/>
              </w:rPr>
            </w:pPr>
            <w:r>
              <w:rPr>
                <w:szCs w:val="24"/>
              </w:rPr>
              <w:t>Les maquis et parcours ligneux, considérés comme des surfaces peu productives, jouent un rôle important dans les systèmes pastoraux corses pour l’al</w:t>
            </w:r>
            <w:r>
              <w:rPr>
                <w:szCs w:val="24"/>
              </w:rPr>
              <w:t>imentation du cheptel lors de périodes cruciales comme l’hiver et l’été, quand l’offre fourragère herbacée est largement minoritaire.</w:t>
            </w:r>
          </w:p>
          <w:p w:rsidR="0035701C" w:rsidRDefault="00FB561B">
            <w:pPr>
              <w:spacing w:before="240" w:after="240"/>
              <w:jc w:val="left"/>
              <w:rPr>
                <w:szCs w:val="24"/>
              </w:rPr>
            </w:pPr>
            <w:r>
              <w:rPr>
                <w:szCs w:val="24"/>
              </w:rPr>
              <w:t>Sur ces milieux est pratiqué le plus souvent un pâturage de type extensif voire très extensif. Par ailleurs, les condition</w:t>
            </w:r>
            <w:r>
              <w:rPr>
                <w:szCs w:val="24"/>
              </w:rPr>
              <w:t>s pédo-climatiques de l'île sont très favorables à une forte dynamique de la végétation herbacée et ligneuse spontanée. C’est pourquoi, dans certaines situations liées à la nature du couvert végétal et au type de gestion pastorale, les chargements moyens h</w:t>
            </w:r>
            <w:r>
              <w:rPr>
                <w:szCs w:val="24"/>
              </w:rPr>
              <w:t>abituels (compris entre 0,2 et 1,2 UGB/ha) peuvent s'avérer insuffisants pour maîtriser la repousse ligneuse.</w:t>
            </w:r>
          </w:p>
          <w:p w:rsidR="0035701C" w:rsidRDefault="00FB561B">
            <w:pPr>
              <w:spacing w:before="240" w:after="240"/>
              <w:jc w:val="left"/>
              <w:rPr>
                <w:szCs w:val="24"/>
              </w:rPr>
            </w:pPr>
            <w:r>
              <w:rPr>
                <w:szCs w:val="24"/>
              </w:rPr>
              <w:t xml:space="preserve">Cependant, quand ces milieux deviennent plus denses, la ressource fourragère produite n’est plus suffisamment accessible aux animaux. De fait, la </w:t>
            </w:r>
            <w:r>
              <w:rPr>
                <w:szCs w:val="24"/>
              </w:rPr>
              <w:t>quantité et la qualité des prélèvements diminuent.</w:t>
            </w:r>
          </w:p>
          <w:p w:rsidR="0035701C" w:rsidRDefault="00FB561B">
            <w:pPr>
              <w:spacing w:before="240" w:after="240"/>
              <w:jc w:val="left"/>
              <w:rPr>
                <w:szCs w:val="24"/>
              </w:rPr>
            </w:pPr>
            <w:r>
              <w:rPr>
                <w:szCs w:val="24"/>
              </w:rPr>
              <w:t xml:space="preserve">Dans le cas où ces milieux sont mécanisables (pente et pierrosité faible), </w:t>
            </w:r>
            <w:r>
              <w:rPr>
                <w:b/>
                <w:bCs/>
                <w:szCs w:val="24"/>
              </w:rPr>
              <w:t>le recepage du maquis par broyage</w:t>
            </w:r>
            <w:r>
              <w:rPr>
                <w:szCs w:val="24"/>
              </w:rPr>
              <w:t xml:space="preserve"> permet alors de concilier plusieurs objectifs complémentaires :</w:t>
            </w:r>
          </w:p>
          <w:p w:rsidR="0035701C" w:rsidRDefault="00FB561B">
            <w:pPr>
              <w:spacing w:before="240" w:after="240"/>
              <w:ind w:left="708"/>
              <w:jc w:val="left"/>
              <w:rPr>
                <w:szCs w:val="24"/>
              </w:rPr>
            </w:pPr>
            <w:r>
              <w:rPr>
                <w:szCs w:val="24"/>
              </w:rPr>
              <w:t>- réouvrir des parcelles en voie</w:t>
            </w:r>
            <w:r>
              <w:rPr>
                <w:szCs w:val="24"/>
              </w:rPr>
              <w:t xml:space="preserve"> de fermeture en favorisant les repousses ligneuses consommables, sans avoir recours à des moyens lourds, inadaptés au type d’élevage considéré et mettant en péril les sols par des risques de déstructuration ou d’érosion.</w:t>
            </w:r>
          </w:p>
          <w:p w:rsidR="0035701C" w:rsidRDefault="00FB561B">
            <w:pPr>
              <w:spacing w:before="240" w:after="240"/>
              <w:ind w:left="708"/>
              <w:jc w:val="left"/>
              <w:rPr>
                <w:szCs w:val="24"/>
              </w:rPr>
            </w:pPr>
            <w:r>
              <w:rPr>
                <w:szCs w:val="24"/>
              </w:rPr>
              <w:t xml:space="preserve">- éviter la perte de biodiversité </w:t>
            </w:r>
            <w:r>
              <w:rPr>
                <w:szCs w:val="24"/>
              </w:rPr>
              <w:t>par uniformisation sur ces parcelles tout en permettant l’accessibilité à de nouvelles ressources fourragères pour l’éleveur.</w:t>
            </w:r>
          </w:p>
          <w:p w:rsidR="0035701C" w:rsidRDefault="00FB561B">
            <w:pPr>
              <w:spacing w:before="240" w:after="240"/>
              <w:ind w:left="708"/>
              <w:jc w:val="left"/>
              <w:rPr>
                <w:szCs w:val="24"/>
              </w:rPr>
            </w:pPr>
            <w:r>
              <w:rPr>
                <w:szCs w:val="24"/>
              </w:rPr>
              <w:t>- réduire le risque d’incendie par la non-utilisation du feu et par la diminution du combustible dans des territoires  sensibles.</w:t>
            </w:r>
          </w:p>
          <w:p w:rsidR="0035701C" w:rsidRDefault="00FB561B">
            <w:pPr>
              <w:spacing w:before="240" w:after="240"/>
              <w:jc w:val="left"/>
              <w:rPr>
                <w:szCs w:val="24"/>
              </w:rPr>
            </w:pPr>
            <w:r>
              <w:rPr>
                <w:szCs w:val="24"/>
              </w:rPr>
              <w:t xml:space="preserve">Cette opération vise au maintien d’une mosaïque de milieux en combinant une action de nettoyage à une utilisation par le pâturage. L’agriculteur aura la possibilité ensuite d’enrichir le milieu avec des espèces fourragères pérennes méditerranéennes et par </w:t>
            </w:r>
            <w:r>
              <w:rPr>
                <w:szCs w:val="24"/>
              </w:rPr>
              <w:t>semis direct ou sursemis uniquement.</w:t>
            </w:r>
          </w:p>
          <w:p w:rsidR="0035701C" w:rsidRDefault="00FB561B">
            <w:pPr>
              <w:spacing w:before="240" w:after="240"/>
              <w:jc w:val="left"/>
              <w:rPr>
                <w:szCs w:val="24"/>
              </w:rPr>
            </w:pPr>
            <w:r>
              <w:rPr>
                <w:szCs w:val="24"/>
              </w:rPr>
              <w:t>Cette opération de recépage du maquis peut donc être mobilisée pour rajeunir des habitats d’intérêt communautaire de types landes ou matorrals arborescents méditerranéens mécanisables. Pour que cette opération ait un im</w:t>
            </w:r>
            <w:r>
              <w:rPr>
                <w:szCs w:val="24"/>
              </w:rPr>
              <w:t xml:space="preserve">pact significatif, il faut que la surface engagée soit de </w:t>
            </w:r>
            <w:r>
              <w:rPr>
                <w:b/>
                <w:bCs/>
                <w:szCs w:val="24"/>
              </w:rPr>
              <w:t>6 hectares</w:t>
            </w:r>
            <w:r>
              <w:rPr>
                <w:szCs w:val="24"/>
              </w:rPr>
              <w:t xml:space="preserve"> minimum.</w:t>
            </w:r>
          </w:p>
          <w:p w:rsidR="0035701C" w:rsidRDefault="00FB561B">
            <w:pPr>
              <w:spacing w:before="240" w:after="240"/>
              <w:jc w:val="left"/>
              <w:rPr>
                <w:szCs w:val="24"/>
              </w:rPr>
            </w:pPr>
            <w:r>
              <w:rPr>
                <w:b/>
                <w:bCs/>
                <w:i/>
                <w:iCs/>
                <w:szCs w:val="24"/>
              </w:rPr>
              <w:t>Cahier des charges</w:t>
            </w:r>
            <w:r>
              <w:rPr>
                <w:szCs w:val="24"/>
              </w:rPr>
              <w:t> :</w:t>
            </w:r>
          </w:p>
          <w:p w:rsidR="0035701C" w:rsidRDefault="00FB561B" w:rsidP="00FB561B">
            <w:pPr>
              <w:numPr>
                <w:ilvl w:val="0"/>
                <w:numId w:val="688"/>
              </w:numPr>
              <w:spacing w:before="240" w:after="0"/>
              <w:ind w:hanging="210"/>
              <w:jc w:val="left"/>
              <w:rPr>
                <w:szCs w:val="24"/>
              </w:rPr>
            </w:pPr>
            <w:r>
              <w:rPr>
                <w:szCs w:val="24"/>
              </w:rPr>
              <w:t xml:space="preserve">la première année du contrat, l’agriculteur doit ouvrir le milieu par broyage de la végétation initiale entre le mois d’octobre et le mois de mars pendant </w:t>
            </w:r>
            <w:r>
              <w:rPr>
                <w:szCs w:val="24"/>
              </w:rPr>
              <w:t>l’hibernation de la tortue d’Hermann et avant la nidification de certains oiseaux (perdrix,….).</w:t>
            </w:r>
          </w:p>
          <w:p w:rsidR="0035701C" w:rsidRDefault="00FB561B" w:rsidP="00FB561B">
            <w:pPr>
              <w:numPr>
                <w:ilvl w:val="0"/>
                <w:numId w:val="688"/>
              </w:numPr>
              <w:spacing w:before="0" w:after="0"/>
              <w:ind w:hanging="210"/>
              <w:jc w:val="left"/>
              <w:rPr>
                <w:szCs w:val="24"/>
              </w:rPr>
            </w:pPr>
            <w:r>
              <w:rPr>
                <w:szCs w:val="24"/>
              </w:rPr>
              <w:t xml:space="preserve">durant les 4 années suivantes : </w:t>
            </w:r>
          </w:p>
          <w:p w:rsidR="0035701C" w:rsidRDefault="00FB561B" w:rsidP="00FB561B">
            <w:pPr>
              <w:numPr>
                <w:ilvl w:val="1"/>
                <w:numId w:val="688"/>
              </w:numPr>
              <w:spacing w:before="0" w:after="0"/>
              <w:ind w:hanging="244"/>
              <w:jc w:val="left"/>
              <w:rPr>
                <w:szCs w:val="24"/>
              </w:rPr>
            </w:pPr>
            <w:r>
              <w:rPr>
                <w:szCs w:val="24"/>
              </w:rPr>
              <w:t>l’agriculteur doit le maintenir ouvert par le pâturage</w:t>
            </w:r>
          </w:p>
          <w:p w:rsidR="0035701C" w:rsidRDefault="00FB561B" w:rsidP="00FB561B">
            <w:pPr>
              <w:numPr>
                <w:ilvl w:val="1"/>
                <w:numId w:val="688"/>
              </w:numPr>
              <w:spacing w:before="0" w:after="0"/>
              <w:ind w:hanging="244"/>
              <w:jc w:val="left"/>
              <w:rPr>
                <w:szCs w:val="24"/>
              </w:rPr>
            </w:pPr>
            <w:r>
              <w:rPr>
                <w:szCs w:val="24"/>
              </w:rPr>
              <w:t>il doit réaliser aussi les interventions mécaniques d’entretien compléme</w:t>
            </w:r>
            <w:r>
              <w:rPr>
                <w:szCs w:val="24"/>
              </w:rPr>
              <w:t xml:space="preserve">ntaires dont la périodicité aura été déterminée lors du diagnostic préalable </w:t>
            </w:r>
            <w:r>
              <w:rPr>
                <w:szCs w:val="24"/>
                <w:u w:val="single"/>
              </w:rPr>
              <w:t>(variable P1</w:t>
            </w:r>
            <w:r>
              <w:rPr>
                <w:szCs w:val="24"/>
              </w:rPr>
              <w:t xml:space="preserve"> : nombre d'années sur lesquelles un entretien mécanique </w:t>
            </w:r>
            <w:r>
              <w:rPr>
                <w:szCs w:val="24"/>
                <w:u w:val="single"/>
              </w:rPr>
              <w:t>après</w:t>
            </w:r>
            <w:r>
              <w:rPr>
                <w:szCs w:val="24"/>
              </w:rPr>
              <w:t xml:space="preserve"> </w:t>
            </w:r>
            <w:r>
              <w:rPr>
                <w:szCs w:val="24"/>
                <w:u w:val="single"/>
              </w:rPr>
              <w:t>ouverture</w:t>
            </w:r>
            <w:r>
              <w:rPr>
                <w:szCs w:val="24"/>
              </w:rPr>
              <w:t xml:space="preserve"> est nécessaire)</w:t>
            </w:r>
          </w:p>
          <w:p w:rsidR="0035701C" w:rsidRDefault="00FB561B" w:rsidP="00FB561B">
            <w:pPr>
              <w:numPr>
                <w:ilvl w:val="0"/>
                <w:numId w:val="688"/>
              </w:numPr>
              <w:spacing w:before="0" w:after="0"/>
              <w:ind w:hanging="210"/>
              <w:jc w:val="left"/>
              <w:rPr>
                <w:szCs w:val="24"/>
              </w:rPr>
            </w:pPr>
            <w:r>
              <w:rPr>
                <w:szCs w:val="24"/>
              </w:rPr>
              <w:t>si l’agriculteur souhaite enrichir la strate herbacée obtenue, il doit obligat</w:t>
            </w:r>
            <w:r>
              <w:rPr>
                <w:szCs w:val="24"/>
              </w:rPr>
              <w:t>oirement utiliser des espèces fourragères méditerranéennes et utiliser des techniques culturales simplifiées uniquement (semis direct ou sursemis)</w:t>
            </w:r>
          </w:p>
          <w:p w:rsidR="0035701C" w:rsidRDefault="00FB561B" w:rsidP="00FB561B">
            <w:pPr>
              <w:numPr>
                <w:ilvl w:val="0"/>
                <w:numId w:val="688"/>
              </w:numPr>
              <w:spacing w:before="0" w:after="0"/>
              <w:ind w:hanging="210"/>
              <w:jc w:val="left"/>
              <w:rPr>
                <w:szCs w:val="24"/>
              </w:rPr>
            </w:pPr>
            <w:r>
              <w:rPr>
                <w:szCs w:val="24"/>
              </w:rPr>
              <w:t>le retournement des surfaces engagées est interdit</w:t>
            </w:r>
          </w:p>
          <w:p w:rsidR="0035701C" w:rsidRDefault="00FB561B" w:rsidP="00FB561B">
            <w:pPr>
              <w:numPr>
                <w:ilvl w:val="0"/>
                <w:numId w:val="688"/>
              </w:numPr>
              <w:spacing w:before="0" w:after="0"/>
              <w:ind w:hanging="210"/>
              <w:jc w:val="left"/>
              <w:rPr>
                <w:szCs w:val="24"/>
              </w:rPr>
            </w:pPr>
            <w:r>
              <w:rPr>
                <w:szCs w:val="24"/>
              </w:rPr>
              <w:t>le recours à un traitement chimique pour éliminer la végét</w:t>
            </w:r>
            <w:r>
              <w:rPr>
                <w:szCs w:val="24"/>
              </w:rPr>
              <w:t>ation initiale ou effectuer les entretiens ultérieurs est interdit,</w:t>
            </w:r>
          </w:p>
          <w:p w:rsidR="0035701C" w:rsidRDefault="00FB561B" w:rsidP="00FB561B">
            <w:pPr>
              <w:numPr>
                <w:ilvl w:val="0"/>
                <w:numId w:val="688"/>
              </w:numPr>
              <w:spacing w:before="0" w:after="240"/>
              <w:ind w:hanging="210"/>
              <w:jc w:val="left"/>
              <w:rPr>
                <w:szCs w:val="24"/>
              </w:rPr>
            </w:pPr>
            <w:r>
              <w:rPr>
                <w:szCs w:val="24"/>
              </w:rPr>
              <w:t>l’agriculteur doit assurer l’enregistrement des différentes interventions et des pratiques réalisées dans un document normé prévu à cet effet. Ce document sera remis à l’agriculteur à l’is</w:t>
            </w:r>
            <w:r>
              <w:rPr>
                <w:szCs w:val="24"/>
              </w:rPr>
              <w:t>sue du diagnostic obligatoire réalisé par le service instructeur.</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 / ha / an.</w:t>
            </w:r>
          </w:p>
          <w:p w:rsidR="0035701C" w:rsidRDefault="0035701C">
            <w:pPr>
              <w:pStyle w:val="Corpsdetexte"/>
            </w:pPr>
          </w:p>
        </w:tc>
      </w:tr>
    </w:tbl>
    <w:p w:rsidR="0035701C" w:rsidRDefault="00FB561B">
      <w:pPr>
        <w:pStyle w:val="Titre6"/>
      </w:pPr>
      <w:r>
        <w:t xml:space="preserve">Liens vers d'autres </w:t>
      </w:r>
      <w:r>
        <w:t>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689"/>
              </w:numPr>
              <w:spacing w:before="240" w:after="0"/>
              <w:ind w:hanging="210"/>
              <w:jc w:val="left"/>
              <w:rPr>
                <w:szCs w:val="24"/>
              </w:rPr>
            </w:pPr>
            <w:r>
              <w:rPr>
                <w:szCs w:val="24"/>
              </w:rPr>
              <w:t>les exigences établies en vertu de l’article 93 du Titre VI du règlement UE n° 1306/2013 relatif à la conditionnalité,</w:t>
            </w:r>
          </w:p>
          <w:p w:rsidR="0035701C" w:rsidRDefault="00FB561B" w:rsidP="00FB561B">
            <w:pPr>
              <w:numPr>
                <w:ilvl w:val="0"/>
                <w:numId w:val="689"/>
              </w:numPr>
              <w:spacing w:before="0" w:after="0"/>
              <w:ind w:hanging="210"/>
              <w:jc w:val="left"/>
              <w:rPr>
                <w:szCs w:val="24"/>
              </w:rPr>
            </w:pPr>
            <w:r>
              <w:rPr>
                <w:szCs w:val="24"/>
              </w:rPr>
              <w:t xml:space="preserve">les exigences établies en vertu de l’article 4.1c </w:t>
            </w:r>
            <w:r>
              <w:rPr>
                <w:szCs w:val="24"/>
              </w:rPr>
              <w:t>points ii) et iii) du règlement UE n°1307/2013 relatif à l’état d’entretien minimum des surfaces</w:t>
            </w:r>
          </w:p>
          <w:p w:rsidR="0035701C" w:rsidRDefault="00FB561B" w:rsidP="00FB561B">
            <w:pPr>
              <w:numPr>
                <w:ilvl w:val="0"/>
                <w:numId w:val="689"/>
              </w:numPr>
              <w:spacing w:before="0" w:after="240"/>
              <w:ind w:hanging="210"/>
              <w:jc w:val="left"/>
              <w:rPr>
                <w:szCs w:val="24"/>
              </w:rPr>
            </w:pPr>
            <w:r>
              <w:rPr>
                <w:szCs w:val="24"/>
              </w:rPr>
              <w:t>toute autre exigence pertinente établie par la réglementation nationale, tel le Code des Bonnes Pratiques Agricoles pris par arrêté du 22 novembre 1993</w:t>
            </w:r>
          </w:p>
          <w:p w:rsidR="0035701C" w:rsidRDefault="00FB561B">
            <w:pPr>
              <w:spacing w:before="240" w:after="240"/>
              <w:jc w:val="left"/>
              <w:rPr>
                <w:szCs w:val="24"/>
              </w:rPr>
            </w:pPr>
            <w:r>
              <w:rPr>
                <w:szCs w:val="24"/>
              </w:rPr>
              <w:t>Ces élé</w:t>
            </w:r>
            <w:r>
              <w:rPr>
                <w:szCs w:val="24"/>
              </w:rPr>
              <w:t>ments sont détaillés au paragraphe « Information spécifique à l’opération – Description de la ligne de base » de la présente fiche-opération.</w:t>
            </w:r>
          </w:p>
          <w:p w:rsidR="0035701C" w:rsidRDefault="00FB561B">
            <w:pPr>
              <w:spacing w:before="240" w:after="240"/>
              <w:jc w:val="left"/>
              <w:rPr>
                <w:szCs w:val="24"/>
              </w:rPr>
            </w:pPr>
            <w:r>
              <w:rPr>
                <w:szCs w:val="24"/>
              </w:rPr>
              <w:t xml:space="preserve">Afin d’exclure tout double paiement, les pratiques visées à l’article 43 du règlement UE n° 1307/2013 sont prises </w:t>
            </w:r>
            <w:r>
              <w:rPr>
                <w:szCs w:val="24"/>
              </w:rPr>
              <w:t>en compte dans le calcul des surcoûts et manques à gagner. La méthode de prise en compte est détaillée au paragraphe « Information spécifique à l’opération – Méthode de calcul du montant » de la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w:t>
            </w:r>
            <w:r>
              <w:rPr>
                <w:szCs w:val="24"/>
              </w:rPr>
              <w:t>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sont les surcoûts, manques à gagner et éventuels coûts d’opportunité et de transaction générés par le respect éléments contractualisés.</w:t>
            </w:r>
          </w:p>
          <w:p w:rsidR="0035701C" w:rsidRDefault="00FB561B">
            <w:pPr>
              <w:spacing w:before="240" w:after="240"/>
              <w:jc w:val="left"/>
              <w:rPr>
                <w:szCs w:val="24"/>
              </w:rPr>
            </w:pPr>
            <w:r>
              <w:rPr>
                <w:szCs w:val="24"/>
              </w:rPr>
              <w:t xml:space="preserve">Dans le cas de cette opération, sont pris </w:t>
            </w:r>
            <w:r>
              <w:rPr>
                <w:szCs w:val="24"/>
              </w:rPr>
              <w:t>en compte uniquement des surcoûts et des coûts de transaction.</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La réalisation d’un diagnostic d’exploitation préalable à la souscription de cette opération est obligatoire.</w:t>
            </w:r>
          </w:p>
          <w:p w:rsidR="0035701C" w:rsidRDefault="00FB561B">
            <w:pPr>
              <w:spacing w:before="240" w:after="240"/>
              <w:jc w:val="left"/>
              <w:rPr>
                <w:szCs w:val="24"/>
              </w:rPr>
            </w:pPr>
            <w:r>
              <w:rPr>
                <w:b/>
                <w:bCs/>
                <w:i/>
                <w:iCs/>
                <w:szCs w:val="24"/>
              </w:rPr>
              <w:t>Surfaces éligibles:</w:t>
            </w:r>
            <w:r>
              <w:rPr>
                <w:szCs w:val="24"/>
              </w:rPr>
              <w:t xml:space="preserve"> Les maquis denses à arbousier, bruyère, filaire, fruticées montagnardes …mécanisables </w:t>
            </w:r>
            <w:r>
              <w:rPr>
                <w:szCs w:val="24"/>
                <w:u w:val="single"/>
              </w:rPr>
              <w:t xml:space="preserve">dont la surface cumulée est de </w:t>
            </w:r>
            <w:r>
              <w:rPr>
                <w:b/>
                <w:bCs/>
                <w:szCs w:val="24"/>
                <w:u w:val="single"/>
              </w:rPr>
              <w:t>6 hectares</w:t>
            </w:r>
            <w:r>
              <w:rPr>
                <w:szCs w:val="24"/>
                <w:u w:val="single"/>
              </w:rPr>
              <w:t xml:space="preserve"> minimum</w:t>
            </w:r>
            <w:r>
              <w:rPr>
                <w:szCs w:val="24"/>
              </w:rPr>
              <w:t>.</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maximal de l’aide est de </w:t>
            </w:r>
            <w:r>
              <w:rPr>
                <w:b/>
                <w:bCs/>
                <w:szCs w:val="24"/>
              </w:rPr>
              <w:t>233,56 € / ha / an</w:t>
            </w:r>
            <w:r>
              <w:rPr>
                <w:szCs w:val="24"/>
              </w:rPr>
              <w:t xml:space="preserve"> (si la variable P1 = 3) auquel vient s’ajouter une somme forfaitaire de </w:t>
            </w:r>
            <w:r>
              <w:rPr>
                <w:b/>
                <w:bCs/>
                <w:szCs w:val="24"/>
              </w:rPr>
              <w:t xml:space="preserve">57,18 € / </w:t>
            </w:r>
            <w:r>
              <w:rPr>
                <w:szCs w:val="24"/>
              </w:rPr>
              <w:t>liée à l’enregistrement des pratiques et des interventions.</w:t>
            </w:r>
          </w:p>
          <w:p w:rsidR="0035701C" w:rsidRDefault="00FB561B">
            <w:pPr>
              <w:spacing w:before="240" w:after="240"/>
              <w:jc w:val="left"/>
              <w:rPr>
                <w:szCs w:val="24"/>
              </w:rPr>
            </w:pPr>
            <w:r>
              <w:rPr>
                <w:szCs w:val="24"/>
              </w:rPr>
              <w:t>Il est rappelé que l</w:t>
            </w:r>
            <w:r>
              <w:rPr>
                <w:szCs w:val="24"/>
              </w:rPr>
              <w:t>e plafond communautaire pour ce type de couvert (autres utilisations des terres) est de 450 €/ha/an (incluant le forfait annuel).</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w:t>
            </w:r>
            <w:r>
              <w:rPr>
                <w:szCs w:val="24"/>
              </w:rPr>
              <w:t>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des éléments du niveau de référence applicable, qui doivent inclure les normes obligatoires </w:t>
      </w:r>
      <w:r>
        <w:t>établies en application du titre VI, chapitre I, du règlement (UE) n° 1306/2013 du Parlement européen et du Conseil, les critères pertinents et les activités minimales établies en application de l'article 4, paragraphe 1, point c) ii) et c) iii), du règlem</w:t>
      </w:r>
      <w:r>
        <w:t>ent (UE) n° 1307/2013 du Parlement européen et du Conseil, les exigences minimales applicables à l'utilisation des engrais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Si les pratiques rémunérées au titre de la présente opération sont rendues obligatoires sur des zones au titre de la protection de la biodiversité (notamment des zones classées au titre des réserves naturelles des arrêtés de protection de biotopes), celle</w:t>
            </w:r>
            <w:r>
              <w:rPr>
                <w:szCs w:val="24"/>
              </w:rPr>
              <w:t>-ci ne peut être ouverte sur les zones concernées.</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453149"/>
                  <wp:effectExtent l="0" t="0" r="0" b="0"/>
                  <wp:docPr id="100144" name="Image 100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5" name=""/>
                          <pic:cNvPicPr>
                            <a:picLocks noChangeAspect="1"/>
                          </pic:cNvPicPr>
                        </pic:nvPicPr>
                        <pic:blipFill>
                          <a:blip r:embed="rId84"/>
                          <a:stretch>
                            <a:fillRect/>
                          </a:stretch>
                        </pic:blipFill>
                        <pic:spPr>
                          <a:xfrm>
                            <a:off x="0" y="0"/>
                            <a:ext cx="6629400" cy="1453149"/>
                          </a:xfrm>
                          <a:prstGeom prst="rect">
                            <a:avLst/>
                          </a:prstGeom>
                        </pic:spPr>
                      </pic:pic>
                    </a:graphicData>
                  </a:graphic>
                </wp:inline>
              </w:drawing>
            </w:r>
          </w:p>
          <w:p w:rsidR="0035701C" w:rsidRDefault="00FB561B">
            <w:pPr>
              <w:pStyle w:val="Pieddepage"/>
              <w:jc w:val="center"/>
            </w:pPr>
            <w:r>
              <w:t>Parcours_3_lignebase</w:t>
            </w:r>
          </w:p>
          <w:p w:rsidR="0035701C" w:rsidRDefault="0035701C">
            <w:pPr>
              <w:pStyle w:val="Pieddepage"/>
              <w:jc w:val="center"/>
            </w:pPr>
          </w:p>
        </w:tc>
      </w:tr>
    </w:tbl>
    <w:p w:rsidR="0035701C" w:rsidRDefault="00FB561B">
      <w:r>
        <w:t xml:space="preserve">Les exigences minimales relatives à l'utilisation d'engrais doivent comprendre, entre autres, le respect des codes de bonnes pratiques introduits au titre de la directive </w:t>
      </w:r>
      <w:r>
        <w:t>91/676/CEE pour les exploitations situées en dehors des zones vulnérables aux nitrates, et des exigences concernant la pollution au phosphore; les exigences minimales relatives à l'utilisation de produits phytosanitaires doivent comprendre, entre autres, l</w:t>
      </w:r>
      <w:r>
        <w:t>es principes généraux de la lutte intégrée contre les ennemis des cultures introduits par la directive 2009/128/CE du Parlement européen et du Conseil, l’obligation de détenir une autorisation d’utiliser les produits, de satisfaire aux conditions de format</w:t>
      </w:r>
      <w:r>
        <w:t>ion, d’assurer un stockage sûr et de contrôler les équipements destinés à l’épandage ainsi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Dans cette </w:t>
            </w:r>
            <w:r>
              <w:rPr>
                <w:szCs w:val="24"/>
              </w:rPr>
              <w:t>opération, il n’y a pas d’interaction avec ces exigences.</w:t>
            </w:r>
          </w:p>
          <w:p w:rsidR="0035701C" w:rsidRDefault="0035701C">
            <w:pPr>
              <w:pStyle w:val="Corpsdetexte"/>
            </w:pPr>
          </w:p>
        </w:tc>
      </w:tr>
    </w:tbl>
    <w:p w:rsidR="0035701C" w:rsidRDefault="00FB561B">
      <w:r>
        <w:t>Liste des races locales 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w:t>
            </w:r>
            <w:r>
              <w:rPr>
                <w:szCs w:val="24"/>
              </w:rPr>
              <w:t>tion des ressources génétiques.</w:t>
            </w:r>
          </w:p>
          <w:p w:rsidR="0035701C" w:rsidRDefault="0035701C">
            <w:pPr>
              <w:pStyle w:val="Corpsdetexte"/>
            </w:pPr>
          </w:p>
        </w:tc>
      </w:tr>
    </w:tbl>
    <w:p w:rsidR="0035701C" w:rsidRDefault="00FB561B">
      <w:r>
        <w:t>Description de la méthode et des hypothèses et paramètres agronomiques y compris la description des exigences minimales visées à l'article 29, paragraphe 2, du règlement (UE) n° 1305/2013 correspondant à chaque type partic</w:t>
      </w:r>
      <w:r>
        <w:t>ulier d'engagement, utilisés comme référence pour les calculs justifiant les coûts supplémentaires et les pertes de revenus résultant de l’engagement pris et le niveau des coûts des transactions; le cas échéant, cette méthode tient compte des aides accordé</w:t>
      </w:r>
      <w:r>
        <w:t>es au titre du règlement (UE) n° 1307/2013, et notamment des paiements en faveur des pratiques agricoles bénéfiques pour le climat et l’environnement, afin d’exclure un double financement; le cas échéant, la méthode de conversion utilisée pour d’autres uni</w:t>
      </w:r>
      <w:r>
        <w:t>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Pratiques de référence</w:t>
            </w:r>
            <w:r>
              <w:rPr>
                <w:szCs w:val="24"/>
              </w:rPr>
              <w:t> : les milieux visés sont soit inexploités, soit exploités par un pâturage extensif voire très extensif</w:t>
            </w:r>
          </w:p>
          <w:p w:rsidR="0035701C" w:rsidRDefault="00FB561B">
            <w:pPr>
              <w:spacing w:before="240" w:after="240"/>
              <w:jc w:val="left"/>
              <w:rPr>
                <w:szCs w:val="24"/>
              </w:rPr>
            </w:pPr>
            <w:r>
              <w:rPr>
                <w:b/>
                <w:bCs/>
                <w:i/>
                <w:iCs/>
                <w:szCs w:val="24"/>
              </w:rPr>
              <w:t xml:space="preserve">Prise en compte du verdissement : </w:t>
            </w:r>
            <w:r>
              <w:rPr>
                <w:szCs w:val="24"/>
              </w:rPr>
              <w:t xml:space="preserve">afin d’exclure tout double paiement, les </w:t>
            </w:r>
            <w:r>
              <w:rPr>
                <w:szCs w:val="24"/>
              </w:rPr>
              <w:t>pratiques rémunérées au titre du verdissement sont prises en compte de la façon suivante dans le calcul du montant unitaire de cette opération :</w:t>
            </w:r>
          </w:p>
          <w:p w:rsidR="0035701C" w:rsidRDefault="00FB561B" w:rsidP="00FB561B">
            <w:pPr>
              <w:numPr>
                <w:ilvl w:val="0"/>
                <w:numId w:val="690"/>
              </w:numPr>
              <w:spacing w:before="240" w:after="240"/>
              <w:ind w:hanging="210"/>
              <w:jc w:val="left"/>
              <w:rPr>
                <w:szCs w:val="24"/>
              </w:rPr>
            </w:pPr>
            <w:r>
              <w:rPr>
                <w:szCs w:val="24"/>
              </w:rPr>
              <w:t xml:space="preserve">maintien de prairies permanentes existantes : cette exigence a une interaction avec cette opération. </w:t>
            </w:r>
            <w:r>
              <w:rPr>
                <w:szCs w:val="24"/>
              </w:rPr>
              <w:t>L’obligation de maintien des prairies et pâturages permanents doit être respectée à l’échelle de la parcelle engagée, ce qui est plus contraignant que le verdissement qui s’applique à l’échelle régionale. Par ailleurs cette obligation n’est pas rémunérée.</w:t>
            </w:r>
          </w:p>
          <w:p w:rsidR="0035701C" w:rsidRDefault="00FB561B" w:rsidP="00FB561B">
            <w:pPr>
              <w:numPr>
                <w:ilvl w:val="0"/>
                <w:numId w:val="691"/>
              </w:numPr>
              <w:spacing w:before="240" w:after="0"/>
              <w:ind w:hanging="210"/>
              <w:jc w:val="left"/>
              <w:rPr>
                <w:szCs w:val="24"/>
              </w:rPr>
            </w:pPr>
            <w:r>
              <w:rPr>
                <w:szCs w:val="24"/>
              </w:rPr>
              <w:t>présence de 5 % de SIE (Surfaces d’Intérêt Ecologique) sur les terres arables : cette exigence n’a pas d’interaction avec cette opération,</w:t>
            </w:r>
          </w:p>
          <w:p w:rsidR="0035701C" w:rsidRDefault="00FB561B" w:rsidP="00FB561B">
            <w:pPr>
              <w:numPr>
                <w:ilvl w:val="0"/>
                <w:numId w:val="691"/>
              </w:numPr>
              <w:spacing w:before="0" w:after="240"/>
              <w:ind w:hanging="210"/>
              <w:jc w:val="left"/>
              <w:rPr>
                <w:szCs w:val="24"/>
              </w:rPr>
            </w:pPr>
            <w:r>
              <w:rPr>
                <w:szCs w:val="24"/>
              </w:rPr>
              <w:t>diversification des cultures : cette exigence n’a pas d’interaction avec cette opération.</w:t>
            </w:r>
          </w:p>
          <w:p w:rsidR="0035701C" w:rsidRDefault="00FB561B">
            <w:pPr>
              <w:spacing w:before="240" w:after="240"/>
              <w:jc w:val="left"/>
              <w:rPr>
                <w:szCs w:val="24"/>
              </w:rPr>
            </w:pPr>
            <w:r>
              <w:rPr>
                <w:b/>
                <w:bCs/>
                <w:i/>
                <w:iCs/>
                <w:szCs w:val="24"/>
              </w:rPr>
              <w:t xml:space="preserve">Méthode générale de calcul </w:t>
            </w:r>
            <w:r>
              <w:rPr>
                <w:b/>
                <w:bCs/>
                <w:i/>
                <w:iCs/>
                <w:szCs w:val="24"/>
              </w:rPr>
              <w:t>du montant :</w:t>
            </w:r>
            <w:r>
              <w:rPr>
                <w:szCs w:val="24"/>
              </w:rPr>
              <w:t xml:space="preserve"> le montant de l’aide est calculé sur la base de l’utilisation du matériel et du temps de travail nécessaire aux interventions demandées. La variable P1 introduite dans cette méthode de calcul correspond aux nombres d’années sur lesquelles un e</w:t>
            </w:r>
            <w:r>
              <w:rPr>
                <w:szCs w:val="24"/>
              </w:rPr>
              <w:t>ntretien mécanique complémentaire après ouverture du milieu est nécessaire. Elle est déterminée par le diagnostic préalable et sa valeur doit être comprise entre 1 et 3 (voir tableau ci-dessous).</w:t>
            </w:r>
          </w:p>
          <w:p w:rsidR="0035701C" w:rsidRDefault="00FB561B">
            <w:pPr>
              <w:spacing w:before="240" w:after="240"/>
              <w:jc w:val="left"/>
              <w:rPr>
                <w:szCs w:val="24"/>
              </w:rPr>
            </w:pPr>
            <w:r>
              <w:rPr>
                <w:szCs w:val="24"/>
              </w:rPr>
              <w:t>Le surcoût lié au temps d’enregistrement des pratiques et de</w:t>
            </w:r>
            <w:r>
              <w:rPr>
                <w:szCs w:val="24"/>
              </w:rPr>
              <w:t>s interventions est rémunéré sous forme forfaitaire indépendamment de la surface engagée. Le coût de transaction est aussi rémunéré sous forme forfaitaire et est inférieur à 20% du montant total de l’opération.</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692"/>
              </w:numPr>
              <w:spacing w:before="240" w:after="0"/>
              <w:ind w:hanging="210"/>
              <w:jc w:val="left"/>
              <w:rPr>
                <w:szCs w:val="24"/>
              </w:rPr>
            </w:pPr>
            <w:r>
              <w:rPr>
                <w:szCs w:val="24"/>
              </w:rPr>
              <w:t>coût du matériel:</w:t>
            </w:r>
            <w:r>
              <w:rPr>
                <w:i/>
                <w:iCs/>
                <w:szCs w:val="24"/>
              </w:rPr>
              <w:t xml:space="preserve"> Bureau </w:t>
            </w:r>
            <w:r>
              <w:rPr>
                <w:i/>
                <w:iCs/>
                <w:szCs w:val="24"/>
              </w:rPr>
              <w:t>de Coordination du Machinisme Agricole (BCMA), barème des façons culturales</w:t>
            </w:r>
            <w:r>
              <w:rPr>
                <w:szCs w:val="24"/>
              </w:rPr>
              <w:t xml:space="preserve"> </w:t>
            </w:r>
            <w:r>
              <w:rPr>
                <w:i/>
                <w:iCs/>
                <w:szCs w:val="24"/>
              </w:rPr>
              <w:t xml:space="preserve">2014 </w:t>
            </w:r>
          </w:p>
          <w:p w:rsidR="0035701C" w:rsidRDefault="00FB561B" w:rsidP="00FB561B">
            <w:pPr>
              <w:numPr>
                <w:ilvl w:val="0"/>
                <w:numId w:val="692"/>
              </w:numPr>
              <w:spacing w:before="0" w:after="0"/>
              <w:ind w:hanging="210"/>
              <w:jc w:val="left"/>
              <w:rPr>
                <w:szCs w:val="24"/>
              </w:rPr>
            </w:pPr>
            <w:r>
              <w:rPr>
                <w:szCs w:val="24"/>
              </w:rPr>
              <w:t>temps de travail:</w:t>
            </w:r>
            <w:r>
              <w:rPr>
                <w:i/>
                <w:iCs/>
                <w:szCs w:val="24"/>
              </w:rPr>
              <w:t xml:space="preserve"> références d’experts nationaux et références locales issues du réseau régional d’expérimentations fourragères et de démonstrations (Office du Développement </w:t>
            </w:r>
            <w:r>
              <w:rPr>
                <w:i/>
                <w:iCs/>
                <w:szCs w:val="24"/>
              </w:rPr>
              <w:t>Agricole et Rural de Corse et Office de l’Environnement de la Corse)</w:t>
            </w:r>
          </w:p>
          <w:p w:rsidR="0035701C" w:rsidRDefault="00FB561B" w:rsidP="00FB561B">
            <w:pPr>
              <w:numPr>
                <w:ilvl w:val="0"/>
                <w:numId w:val="692"/>
              </w:numPr>
              <w:spacing w:before="0" w:after="0"/>
              <w:ind w:hanging="210"/>
              <w:jc w:val="left"/>
              <w:rPr>
                <w:szCs w:val="24"/>
              </w:rPr>
            </w:pPr>
            <w:r>
              <w:rPr>
                <w:szCs w:val="24"/>
              </w:rPr>
              <w:t>coût de l’accompagnement technique (service) : barèmes coûts horaires techniciens-APCA</w:t>
            </w:r>
          </w:p>
          <w:p w:rsidR="0035701C" w:rsidRDefault="00FB561B" w:rsidP="00FB561B">
            <w:pPr>
              <w:numPr>
                <w:ilvl w:val="0"/>
                <w:numId w:val="692"/>
              </w:numPr>
              <w:spacing w:before="0" w:after="240"/>
              <w:ind w:hanging="210"/>
              <w:jc w:val="left"/>
              <w:rPr>
                <w:szCs w:val="24"/>
              </w:rPr>
            </w:pPr>
            <w:r>
              <w:rPr>
                <w:szCs w:val="24"/>
              </w:rPr>
              <w:t xml:space="preserve">coût horaire de main d’œuvre : </w:t>
            </w:r>
            <w:r>
              <w:rPr>
                <w:i/>
                <w:iCs/>
                <w:szCs w:val="24"/>
              </w:rPr>
              <w:t>2 fois le coût horaire du SMIC (1er janvier 2014)</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572250" cy="1057275"/>
                  <wp:effectExtent l="0" t="0" r="0" b="0"/>
                  <wp:docPr id="100146" name="Image 100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7" name=""/>
                          <pic:cNvPicPr>
                            <a:picLocks noChangeAspect="1"/>
                          </pic:cNvPicPr>
                        </pic:nvPicPr>
                        <pic:blipFill>
                          <a:blip r:embed="rId85"/>
                          <a:stretch>
                            <a:fillRect/>
                          </a:stretch>
                        </pic:blipFill>
                        <pic:spPr>
                          <a:xfrm>
                            <a:off x="0" y="0"/>
                            <a:ext cx="6572250" cy="1057275"/>
                          </a:xfrm>
                          <a:prstGeom prst="rect">
                            <a:avLst/>
                          </a:prstGeom>
                        </pic:spPr>
                      </pic:pic>
                    </a:graphicData>
                  </a:graphic>
                </wp:inline>
              </w:drawing>
            </w:r>
          </w:p>
          <w:p w:rsidR="0035701C" w:rsidRDefault="00FB561B">
            <w:pPr>
              <w:pStyle w:val="Pieddepage"/>
              <w:jc w:val="center"/>
            </w:pPr>
            <w:r>
              <w:t>Parcours_3_méthode</w:t>
            </w:r>
          </w:p>
          <w:p w:rsidR="0035701C" w:rsidRDefault="00FB561B">
            <w:pPr>
              <w:pStyle w:val="Pieddepage"/>
            </w:pPr>
            <w:r>
              <w:rPr>
                <w:noProof/>
                <w:lang w:val="fr-FR" w:eastAsia="fr-FR"/>
              </w:rPr>
              <w:drawing>
                <wp:inline distT="0" distB="0" distL="0" distR="0">
                  <wp:extent cx="6629400" cy="4425905"/>
                  <wp:effectExtent l="0" t="0" r="0" b="0"/>
                  <wp:docPr id="100148" name="Image 100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9" name=""/>
                          <pic:cNvPicPr>
                            <a:picLocks noChangeAspect="1"/>
                          </pic:cNvPicPr>
                        </pic:nvPicPr>
                        <pic:blipFill>
                          <a:blip r:embed="rId86"/>
                          <a:stretch>
                            <a:fillRect/>
                          </a:stretch>
                        </pic:blipFill>
                        <pic:spPr>
                          <a:xfrm>
                            <a:off x="0" y="0"/>
                            <a:ext cx="6629400" cy="4425905"/>
                          </a:xfrm>
                          <a:prstGeom prst="rect">
                            <a:avLst/>
                          </a:prstGeom>
                        </pic:spPr>
                      </pic:pic>
                    </a:graphicData>
                  </a:graphic>
                </wp:inline>
              </w:drawing>
            </w:r>
          </w:p>
          <w:p w:rsidR="0035701C" w:rsidRDefault="00FB561B">
            <w:pPr>
              <w:pStyle w:val="Pieddepage"/>
              <w:jc w:val="center"/>
            </w:pPr>
            <w:r>
              <w:t>Parcours_3</w:t>
            </w:r>
          </w:p>
          <w:p w:rsidR="0035701C" w:rsidRDefault="0035701C">
            <w:pPr>
              <w:pStyle w:val="Pieddepage"/>
              <w:jc w:val="center"/>
            </w:pPr>
          </w:p>
        </w:tc>
      </w:tr>
    </w:tbl>
    <w:p w:rsidR="0035701C" w:rsidRDefault="00FB561B">
      <w:pPr>
        <w:pStyle w:val="Titre5"/>
        <w:rPr>
          <w:b w:val="0"/>
        </w:rPr>
      </w:pPr>
      <w:r>
        <w:rPr>
          <w:b w:val="0"/>
        </w:rPr>
        <w:br w:type="page"/>
        <w:t>-15- Parcours_4</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693"/>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 titre complet : PARCOURS 4=  Maintien de l’ouverture des parcours par </w:t>
            </w:r>
            <w:r>
              <w:rPr>
                <w:b/>
                <w:bCs/>
                <w:szCs w:val="24"/>
              </w:rPr>
              <w:t>élimination mécanique des rejets ligneux et autres végétaux indésirables</w:t>
            </w:r>
          </w:p>
          <w:p w:rsidR="0035701C" w:rsidRDefault="00FB561B">
            <w:pPr>
              <w:spacing w:before="240" w:after="240"/>
              <w:jc w:val="left"/>
              <w:rPr>
                <w:szCs w:val="24"/>
              </w:rPr>
            </w:pPr>
            <w:r>
              <w:rPr>
                <w:szCs w:val="24"/>
              </w:rPr>
              <w:t xml:space="preserve">Les maquis et parcours ligneux </w:t>
            </w:r>
            <w:r>
              <w:rPr>
                <w:szCs w:val="24"/>
                <w:u w:val="single"/>
              </w:rPr>
              <w:t>mécanisables</w:t>
            </w:r>
            <w:r>
              <w:rPr>
                <w:szCs w:val="24"/>
              </w:rPr>
              <w:t>, considérés comme des surfaces peu productives, jouent un rôle important dans les systèmes pastoraux corses, pour l’alimentation du cheptel</w:t>
            </w:r>
            <w:r>
              <w:rPr>
                <w:szCs w:val="24"/>
              </w:rPr>
              <w:t xml:space="preserve"> lors de périodes cruciales comme l’hiver et l’été, quand l’offre fourragère herbacée est largement déficitaire, surtout lorsqu’ils sont améliorés par un entretien régulier.</w:t>
            </w:r>
          </w:p>
          <w:p w:rsidR="0035701C" w:rsidRDefault="00FB561B">
            <w:pPr>
              <w:spacing w:before="240" w:after="240"/>
              <w:jc w:val="left"/>
              <w:rPr>
                <w:szCs w:val="24"/>
              </w:rPr>
            </w:pPr>
            <w:r>
              <w:rPr>
                <w:szCs w:val="24"/>
              </w:rPr>
              <w:t>Sur ces surfaces est pratiqué le plus souvent un pâturage de type extensif voire t</w:t>
            </w:r>
            <w:r>
              <w:rPr>
                <w:szCs w:val="24"/>
              </w:rPr>
              <w:t>rès extensif. Par ailleurs, les conditions pédo-climatiques de l'île sont favorables à une dynamique très forte de la végétation herbacée et ligneuse spontanée. Dans certaines situations, liées à la nature du couvert végétal et du type de conduite au pâtur</w:t>
            </w:r>
            <w:r>
              <w:rPr>
                <w:szCs w:val="24"/>
              </w:rPr>
              <w:t>age, les chargements moyens habituels (compris entre 0,2 et 1,2 UGB/ha), peuvent s'avérer insuffisants pour maîtriser la totalité des repousses ligneuses.</w:t>
            </w:r>
          </w:p>
          <w:p w:rsidR="0035701C" w:rsidRDefault="00FB561B">
            <w:pPr>
              <w:spacing w:before="240" w:after="240"/>
              <w:jc w:val="left"/>
              <w:rPr>
                <w:szCs w:val="24"/>
              </w:rPr>
            </w:pPr>
            <w:r>
              <w:rPr>
                <w:szCs w:val="24"/>
              </w:rPr>
              <w:t>Il s’agit donc au travers de cette opération, de maintenir dans les exploitations d’élevages, ces sur</w:t>
            </w:r>
            <w:r>
              <w:rPr>
                <w:szCs w:val="24"/>
              </w:rPr>
              <w:t>faces peu productives améliorées, qui participent à :</w:t>
            </w:r>
          </w:p>
          <w:p w:rsidR="0035701C" w:rsidRDefault="00FB561B" w:rsidP="00FB561B">
            <w:pPr>
              <w:numPr>
                <w:ilvl w:val="0"/>
                <w:numId w:val="694"/>
              </w:numPr>
              <w:spacing w:before="240" w:after="0"/>
              <w:ind w:hanging="210"/>
              <w:jc w:val="left"/>
              <w:rPr>
                <w:szCs w:val="24"/>
              </w:rPr>
            </w:pPr>
            <w:r>
              <w:rPr>
                <w:szCs w:val="24"/>
              </w:rPr>
              <w:t>la préservation de la biodiversité et du paysage agropastoral,</w:t>
            </w:r>
          </w:p>
          <w:p w:rsidR="0035701C" w:rsidRDefault="00FB561B" w:rsidP="00FB561B">
            <w:pPr>
              <w:numPr>
                <w:ilvl w:val="0"/>
                <w:numId w:val="694"/>
              </w:numPr>
              <w:spacing w:before="0" w:after="0"/>
              <w:ind w:hanging="210"/>
              <w:jc w:val="left"/>
              <w:rPr>
                <w:szCs w:val="24"/>
              </w:rPr>
            </w:pPr>
            <w:r>
              <w:rPr>
                <w:szCs w:val="24"/>
              </w:rPr>
              <w:t>l’accessibilité à de nouvelles ressources fourragères,</w:t>
            </w:r>
          </w:p>
          <w:p w:rsidR="0035701C" w:rsidRDefault="00FB561B" w:rsidP="00FB561B">
            <w:pPr>
              <w:numPr>
                <w:ilvl w:val="0"/>
                <w:numId w:val="694"/>
              </w:numPr>
              <w:spacing w:before="0" w:after="240"/>
              <w:ind w:hanging="210"/>
              <w:jc w:val="left"/>
              <w:rPr>
                <w:szCs w:val="24"/>
              </w:rPr>
            </w:pPr>
            <w:r>
              <w:rPr>
                <w:szCs w:val="24"/>
              </w:rPr>
              <w:t xml:space="preserve">la lutte contre l’érosion des sols et la protection des forêts et des espaces </w:t>
            </w:r>
            <w:r>
              <w:rPr>
                <w:szCs w:val="24"/>
              </w:rPr>
              <w:t>naturels contre l’incendie.</w:t>
            </w:r>
          </w:p>
          <w:p w:rsidR="0035701C" w:rsidRDefault="00FB561B">
            <w:pPr>
              <w:spacing w:before="240" w:after="240"/>
              <w:jc w:val="left"/>
              <w:rPr>
                <w:szCs w:val="24"/>
              </w:rPr>
            </w:pPr>
            <w:r>
              <w:rPr>
                <w:szCs w:val="24"/>
              </w:rPr>
              <w:t>Le maintien de cette pratique engendre un bénéfice environnemental avéré dans ce type de milieu, où le risque d’abandon des surfaces engendrant la fermeture de la végétation est important.</w:t>
            </w:r>
          </w:p>
          <w:p w:rsidR="0035701C" w:rsidRDefault="00FB561B">
            <w:pPr>
              <w:spacing w:before="240" w:after="240"/>
              <w:jc w:val="left"/>
              <w:rPr>
                <w:szCs w:val="24"/>
              </w:rPr>
            </w:pPr>
            <w:r>
              <w:rPr>
                <w:szCs w:val="24"/>
              </w:rPr>
              <w:t xml:space="preserve">Pour cela, des actions mécaniques </w:t>
            </w:r>
            <w:r>
              <w:rPr>
                <w:szCs w:val="24"/>
              </w:rPr>
              <w:t>complémentaires au pâturage, de type broyage (et non pas fauche) sont indispensables. Elles doivent nécessairement être régulières (annuelles) afin de garantir l'ouverture de ces milieux.</w:t>
            </w:r>
          </w:p>
          <w:p w:rsidR="0035701C" w:rsidRDefault="00FB561B">
            <w:pPr>
              <w:spacing w:before="240" w:after="240"/>
              <w:jc w:val="left"/>
              <w:rPr>
                <w:szCs w:val="24"/>
              </w:rPr>
            </w:pPr>
            <w:r>
              <w:rPr>
                <w:szCs w:val="24"/>
              </w:rPr>
              <w:t>Par ailleurs, sur certains milieux, on peut observer après le traite</w:t>
            </w:r>
            <w:r>
              <w:rPr>
                <w:szCs w:val="24"/>
              </w:rPr>
              <w:t>ment régulier de la végétation ligneuse, du fait du bouleversement des facteurs écologiques (augmentation de la lumière au sol,…) le développement de certaines espèces indésirables de type chardons, asphodèles, inules,…pouvant, à court terme influer sur la</w:t>
            </w:r>
            <w:r>
              <w:rPr>
                <w:szCs w:val="24"/>
              </w:rPr>
              <w:t xml:space="preserve"> biodiversité. C’est pourquoi l’agriculteur aura la possibilité de mobiliser </w:t>
            </w:r>
            <w:r>
              <w:rPr>
                <w:b/>
                <w:bCs/>
                <w:szCs w:val="24"/>
              </w:rPr>
              <w:t xml:space="preserve">l’option </w:t>
            </w:r>
            <w:r>
              <w:rPr>
                <w:b/>
                <w:bCs/>
                <w:i/>
                <w:iCs/>
                <w:szCs w:val="24"/>
              </w:rPr>
              <w:t>«broyage des adventices »</w:t>
            </w:r>
            <w:r>
              <w:rPr>
                <w:szCs w:val="24"/>
              </w:rPr>
              <w:t xml:space="preserve"> qui consiste à effectuer un broyage annuel supplémentaire de ces espèces à partir de la deuxième année du contrat à la période la plus propice a</w:t>
            </w:r>
            <w:r>
              <w:rPr>
                <w:szCs w:val="24"/>
              </w:rPr>
              <w:t>u regard de l’adventice dominante. Cette période sera déterminée lors du diagnostic préalable. Cette option non obligatoire, sera fortement conseillée.</w:t>
            </w:r>
          </w:p>
          <w:p w:rsidR="0035701C" w:rsidRDefault="00FB561B">
            <w:pPr>
              <w:spacing w:before="240" w:after="240"/>
              <w:jc w:val="left"/>
              <w:rPr>
                <w:szCs w:val="24"/>
              </w:rPr>
            </w:pPr>
            <w:r>
              <w:rPr>
                <w:szCs w:val="24"/>
              </w:rPr>
              <w:t xml:space="preserve">L’agriculteur aura aussi la possibilité de réaliser un rééquilibrage de la strate herbacée obtenue pour </w:t>
            </w:r>
            <w:r>
              <w:rPr>
                <w:szCs w:val="24"/>
              </w:rPr>
              <w:t xml:space="preserve">en améliorer la qualité fourragère si besoin, mais uniquement avec des espèces fourragères pérennes d’origine méditerranéenne adaptées aux conditions pédo-climatiques de l’île, et en utilisant des techniques culturales simplifiées (semis direct, sursemis) </w:t>
            </w:r>
            <w:r>
              <w:rPr>
                <w:szCs w:val="24"/>
              </w:rPr>
              <w:t>afin de préserver les sols.</w:t>
            </w:r>
          </w:p>
          <w:p w:rsidR="0035701C" w:rsidRDefault="00FB561B">
            <w:pPr>
              <w:spacing w:before="240" w:after="240"/>
              <w:jc w:val="left"/>
              <w:rPr>
                <w:szCs w:val="24"/>
              </w:rPr>
            </w:pPr>
            <w:r>
              <w:rPr>
                <w:szCs w:val="24"/>
              </w:rPr>
              <w:t>Cette opération de maintien de l’ouverture mécanique des milieux qui a déjà été proposée dans le cadre de la programmation précédente (2007-2013) est maintenue. Très bien accueillie par les éleveurs, elle a eu pour effet d’ampli</w:t>
            </w:r>
            <w:r>
              <w:rPr>
                <w:szCs w:val="24"/>
              </w:rPr>
              <w:t>fier l’entretien et la gestion de ces espaces, ce qui a été bénéfique au maintien, voire à l’augmentation de la biodiversité. Elle a de plus, conduit à une réduction significative de la phytomasse combustible, ce qui a permis d’assurer une prévention et un</w:t>
            </w:r>
            <w:r>
              <w:rPr>
                <w:szCs w:val="24"/>
              </w:rPr>
              <w:t>e lutte contre les incendies efficace.</w:t>
            </w:r>
          </w:p>
          <w:p w:rsidR="0035701C" w:rsidRDefault="00FB561B">
            <w:pPr>
              <w:spacing w:before="240" w:after="240"/>
              <w:jc w:val="left"/>
              <w:rPr>
                <w:szCs w:val="24"/>
              </w:rPr>
            </w:pPr>
            <w:r>
              <w:rPr>
                <w:szCs w:val="24"/>
              </w:rPr>
              <w:t>Dans cette nouvelle programmation (2014-2020), cette opération a été enrichie en proposant une option supplémentaire détaillée dans le cahier des charges ci-dessous.</w:t>
            </w:r>
          </w:p>
          <w:p w:rsidR="0035701C" w:rsidRDefault="00FB561B">
            <w:pPr>
              <w:spacing w:before="240" w:after="240"/>
              <w:jc w:val="left"/>
              <w:rPr>
                <w:szCs w:val="24"/>
              </w:rPr>
            </w:pPr>
            <w:r>
              <w:rPr>
                <w:b/>
                <w:bCs/>
                <w:i/>
                <w:iCs/>
                <w:szCs w:val="24"/>
              </w:rPr>
              <w:t xml:space="preserve">Cahier des charges : </w:t>
            </w:r>
          </w:p>
          <w:p w:rsidR="0035701C" w:rsidRDefault="00FB561B" w:rsidP="00FB561B">
            <w:pPr>
              <w:numPr>
                <w:ilvl w:val="0"/>
                <w:numId w:val="695"/>
              </w:numPr>
              <w:spacing w:before="240" w:after="0"/>
              <w:ind w:hanging="210"/>
              <w:jc w:val="left"/>
              <w:rPr>
                <w:szCs w:val="24"/>
              </w:rPr>
            </w:pPr>
            <w:r>
              <w:rPr>
                <w:szCs w:val="24"/>
              </w:rPr>
              <w:t>l’agriculteur doit réaliser m</w:t>
            </w:r>
            <w:r>
              <w:rPr>
                <w:szCs w:val="24"/>
              </w:rPr>
              <w:t>écaniquement un broyage annuel destiné à limiter le développement des espèces arbustives</w:t>
            </w:r>
          </w:p>
          <w:p w:rsidR="0035701C" w:rsidRDefault="00FB561B" w:rsidP="00FB561B">
            <w:pPr>
              <w:numPr>
                <w:ilvl w:val="0"/>
                <w:numId w:val="695"/>
              </w:numPr>
              <w:spacing w:before="0" w:after="0"/>
              <w:ind w:hanging="210"/>
              <w:jc w:val="left"/>
              <w:rPr>
                <w:szCs w:val="24"/>
              </w:rPr>
            </w:pPr>
            <w:r>
              <w:rPr>
                <w:szCs w:val="24"/>
              </w:rPr>
              <w:t>ces travaux de broyage devront être effectués dans la période comprise entre le mois d’octobre et le mois de mars pendant l’hibernation de la tortue d’Hermann et avant</w:t>
            </w:r>
            <w:r>
              <w:rPr>
                <w:szCs w:val="24"/>
              </w:rPr>
              <w:t xml:space="preserve"> la nidification de certains oiseaux (perdrix,….)</w:t>
            </w:r>
          </w:p>
          <w:p w:rsidR="0035701C" w:rsidRDefault="00FB561B" w:rsidP="00FB561B">
            <w:pPr>
              <w:numPr>
                <w:ilvl w:val="0"/>
                <w:numId w:val="695"/>
              </w:numPr>
              <w:spacing w:before="0" w:after="0"/>
              <w:ind w:hanging="210"/>
              <w:jc w:val="left"/>
              <w:rPr>
                <w:szCs w:val="24"/>
              </w:rPr>
            </w:pPr>
            <w:r>
              <w:rPr>
                <w:szCs w:val="24"/>
              </w:rPr>
              <w:t xml:space="preserve">si ces travaux ont lieu sur les </w:t>
            </w:r>
            <w:r>
              <w:rPr>
                <w:b/>
                <w:bCs/>
                <w:szCs w:val="24"/>
              </w:rPr>
              <w:t xml:space="preserve">zones de renfort agricoles </w:t>
            </w:r>
            <w:r>
              <w:rPr>
                <w:szCs w:val="24"/>
              </w:rPr>
              <w:t xml:space="preserve">(*) </w:t>
            </w:r>
            <w:r>
              <w:rPr>
                <w:b/>
                <w:bCs/>
                <w:szCs w:val="24"/>
              </w:rPr>
              <w:t>des Zones d’Appui à la Lutte</w:t>
            </w:r>
            <w:r>
              <w:rPr>
                <w:szCs w:val="24"/>
              </w:rPr>
              <w:t xml:space="preserve"> (ZAL), la période des travaux de broyage sera comprise entre le mois d’octobre et le mois de juin et c'est le diag</w:t>
            </w:r>
            <w:r>
              <w:rPr>
                <w:szCs w:val="24"/>
              </w:rPr>
              <w:t>nostic préalable qui déterminera avec précision la période la plus favorable à l'intervention en fonction de la masse de combustible présente sur ces zones</w:t>
            </w:r>
          </w:p>
          <w:p w:rsidR="0035701C" w:rsidRDefault="00FB561B" w:rsidP="00FB561B">
            <w:pPr>
              <w:numPr>
                <w:ilvl w:val="0"/>
                <w:numId w:val="695"/>
              </w:numPr>
              <w:spacing w:before="0" w:after="0"/>
              <w:ind w:hanging="210"/>
              <w:jc w:val="left"/>
              <w:rPr>
                <w:szCs w:val="24"/>
              </w:rPr>
            </w:pPr>
            <w:r>
              <w:rPr>
                <w:szCs w:val="24"/>
              </w:rPr>
              <w:t>si l’agriculteur décide de souscrire l’option supplémentaire « </w:t>
            </w:r>
            <w:r>
              <w:rPr>
                <w:i/>
                <w:iCs/>
                <w:szCs w:val="24"/>
              </w:rPr>
              <w:t>Broyage ciblé en fonction des adventi</w:t>
            </w:r>
            <w:r>
              <w:rPr>
                <w:i/>
                <w:iCs/>
                <w:szCs w:val="24"/>
              </w:rPr>
              <w:t>ces »</w:t>
            </w:r>
            <w:r>
              <w:rPr>
                <w:szCs w:val="24"/>
              </w:rPr>
              <w:t>, il doit, à partir de la 2ème année d’engagement, réaliser un broyage annuel supplémentaire à la période la plus propice au regard de l’adventice dominante précisément déterminée lors du diagnostic préalable</w:t>
            </w:r>
          </w:p>
          <w:p w:rsidR="0035701C" w:rsidRDefault="00FB561B" w:rsidP="00FB561B">
            <w:pPr>
              <w:numPr>
                <w:ilvl w:val="0"/>
                <w:numId w:val="695"/>
              </w:numPr>
              <w:spacing w:before="0" w:after="0"/>
              <w:ind w:hanging="210"/>
              <w:jc w:val="left"/>
              <w:rPr>
                <w:szCs w:val="24"/>
              </w:rPr>
            </w:pPr>
            <w:r>
              <w:rPr>
                <w:szCs w:val="24"/>
              </w:rPr>
              <w:t xml:space="preserve">le retournement des surfaces engagées est </w:t>
            </w:r>
            <w:r>
              <w:rPr>
                <w:szCs w:val="24"/>
              </w:rPr>
              <w:t>interdit</w:t>
            </w:r>
          </w:p>
          <w:p w:rsidR="0035701C" w:rsidRDefault="00FB561B" w:rsidP="00FB561B">
            <w:pPr>
              <w:numPr>
                <w:ilvl w:val="0"/>
                <w:numId w:val="695"/>
              </w:numPr>
              <w:spacing w:before="0" w:after="0"/>
              <w:ind w:hanging="210"/>
              <w:jc w:val="left"/>
              <w:rPr>
                <w:szCs w:val="24"/>
              </w:rPr>
            </w:pPr>
            <w:r>
              <w:rPr>
                <w:szCs w:val="24"/>
              </w:rPr>
              <w:t>si l’agriculteur souhaite enrichir la strate herbacée obtenue, il doit obligatoirement utiliser des espèces fourragères méditerranéennes pérennes et utiliser des techniques culturales simplifiées uniquement (semis direct ou sursemis)</w:t>
            </w:r>
          </w:p>
          <w:p w:rsidR="0035701C" w:rsidRDefault="00FB561B" w:rsidP="00FB561B">
            <w:pPr>
              <w:numPr>
                <w:ilvl w:val="0"/>
                <w:numId w:val="695"/>
              </w:numPr>
              <w:spacing w:before="0" w:after="0"/>
              <w:ind w:hanging="210"/>
              <w:jc w:val="left"/>
              <w:rPr>
                <w:szCs w:val="24"/>
              </w:rPr>
            </w:pPr>
            <w:r>
              <w:rPr>
                <w:szCs w:val="24"/>
              </w:rPr>
              <w:t xml:space="preserve">le recours à </w:t>
            </w:r>
            <w:r>
              <w:rPr>
                <w:szCs w:val="24"/>
              </w:rPr>
              <w:t>un traitement chimique pour éliminer la végétation initiale ou effectuer les entretiens ultérieurs est interdit</w:t>
            </w:r>
          </w:p>
          <w:p w:rsidR="0035701C" w:rsidRDefault="00FB561B" w:rsidP="00FB561B">
            <w:pPr>
              <w:numPr>
                <w:ilvl w:val="0"/>
                <w:numId w:val="695"/>
              </w:numPr>
              <w:spacing w:before="0" w:after="240"/>
              <w:ind w:hanging="210"/>
              <w:jc w:val="left"/>
              <w:rPr>
                <w:szCs w:val="24"/>
              </w:rPr>
            </w:pPr>
            <w:r>
              <w:rPr>
                <w:szCs w:val="24"/>
              </w:rPr>
              <w:t xml:space="preserve">l’agriculteur doit assurer l’enregistrement des différentes interventions et des pratiques réalisées dans un document normé prévu à cet effet. </w:t>
            </w:r>
            <w:r>
              <w:rPr>
                <w:szCs w:val="24"/>
              </w:rPr>
              <w:t>Ce document sera remis à l’agriculteur à l’issue du diagnostic obligatoire réalisé par le service instructeur.</w:t>
            </w:r>
          </w:p>
          <w:p w:rsidR="0035701C" w:rsidRDefault="00FB561B">
            <w:pPr>
              <w:spacing w:before="240" w:after="240"/>
              <w:jc w:val="left"/>
              <w:rPr>
                <w:szCs w:val="24"/>
              </w:rPr>
            </w:pPr>
            <w:r>
              <w:rPr>
                <w:b/>
                <w:bCs/>
                <w:i/>
                <w:iCs/>
                <w:szCs w:val="24"/>
              </w:rPr>
              <w:t xml:space="preserve">(*) Définition des « zones de renfort agro-pastorales » des ZAL : </w:t>
            </w:r>
          </w:p>
          <w:p w:rsidR="0035701C" w:rsidRDefault="00FB561B">
            <w:pPr>
              <w:spacing w:before="240" w:after="240"/>
              <w:jc w:val="left"/>
              <w:rPr>
                <w:szCs w:val="24"/>
              </w:rPr>
            </w:pPr>
            <w:r>
              <w:rPr>
                <w:i/>
                <w:iCs/>
                <w:szCs w:val="24"/>
              </w:rPr>
              <w:t>Une ZAL est caractérisée par une bande roulement sur laquelle s’appuie un débr</w:t>
            </w:r>
            <w:r>
              <w:rPr>
                <w:i/>
                <w:iCs/>
                <w:szCs w:val="24"/>
              </w:rPr>
              <w:t xml:space="preserve">oussaillement de 100 m de large (en général 50 m de part et d’autre de la bande de roulement). Souvent, on constate une utilisation agro-pastorale des ZAL et des terrains en continuité de ces ouvrages. La réouverture ou l’entretien de ces terrains par des </w:t>
            </w:r>
            <w:r>
              <w:rPr>
                <w:i/>
                <w:iCs/>
                <w:szCs w:val="24"/>
              </w:rPr>
              <w:t>agriculteurs apparaît comme une opportunité pour renforcer en largeur ces ouvrages DFCI et leur conférer alors, une plus grande efficacité en cas d’incendies (lutte facilitée et sécurisée, réduction de la puissance du feu, etc….). Il est donc apparu intére</w:t>
            </w:r>
            <w:r>
              <w:rPr>
                <w:i/>
                <w:iCs/>
                <w:szCs w:val="24"/>
              </w:rPr>
              <w:t>ssant de leur donner une définition précise qui est la suivante : on qualifiera de « zones renforts agricoles » les zones qui jouxtent la ZAL sur une longueur minimum de 100 mètres et sur une profondeur, soit de 100 mètres de part et d’autre de la ZAL, soi</w:t>
            </w:r>
            <w:r>
              <w:rPr>
                <w:i/>
                <w:iCs/>
                <w:szCs w:val="24"/>
              </w:rPr>
              <w:t>t de 200 m d’un seul coté de la ZAL si l’on rencontre des limites liées au relief, à des problématiques foncières ou techniques.</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 xml:space="preserve">Le montant de </w:t>
            </w:r>
            <w:r>
              <w:rPr>
                <w:szCs w:val="24"/>
              </w:rPr>
              <w:t>la rémunération est en euros/ha/an.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696"/>
              </w:numPr>
              <w:spacing w:before="240" w:after="0"/>
              <w:ind w:hanging="210"/>
              <w:jc w:val="left"/>
              <w:rPr>
                <w:szCs w:val="24"/>
              </w:rPr>
            </w:pPr>
            <w:r>
              <w:rPr>
                <w:szCs w:val="24"/>
              </w:rPr>
              <w:t xml:space="preserve">les exigences établies en vertu de l’article 93 du Titre VI du règlement UE n° 1306/2013 relatif à la </w:t>
            </w:r>
            <w:r>
              <w:rPr>
                <w:szCs w:val="24"/>
              </w:rPr>
              <w:t>conditionnalité,</w:t>
            </w:r>
          </w:p>
          <w:p w:rsidR="0035701C" w:rsidRDefault="00FB561B" w:rsidP="00FB561B">
            <w:pPr>
              <w:numPr>
                <w:ilvl w:val="0"/>
                <w:numId w:val="696"/>
              </w:numPr>
              <w:spacing w:before="0" w:after="0"/>
              <w:ind w:hanging="210"/>
              <w:jc w:val="left"/>
              <w:rPr>
                <w:szCs w:val="24"/>
              </w:rPr>
            </w:pPr>
            <w:r>
              <w:rPr>
                <w:szCs w:val="24"/>
              </w:rPr>
              <w:t>les exigences établies en vertu de l’article 4.1c points ii) et iii) du règlement UE n°1307/2013 relatif à l’état d’entretien minimum des surfaces</w:t>
            </w:r>
          </w:p>
          <w:p w:rsidR="0035701C" w:rsidRDefault="00FB561B" w:rsidP="00FB561B">
            <w:pPr>
              <w:numPr>
                <w:ilvl w:val="0"/>
                <w:numId w:val="696"/>
              </w:numPr>
              <w:spacing w:before="0" w:after="240"/>
              <w:ind w:hanging="210"/>
              <w:jc w:val="left"/>
              <w:rPr>
                <w:szCs w:val="24"/>
              </w:rPr>
            </w:pPr>
            <w:r>
              <w:rPr>
                <w:szCs w:val="24"/>
              </w:rPr>
              <w:t>toute autre exigence pertinente établie par la réglementation nationale, tel le Code des Bon</w:t>
            </w:r>
            <w:r>
              <w:rPr>
                <w:szCs w:val="24"/>
              </w:rPr>
              <w:t>nes Pratiques Agricoles pris par arrêté du 22 novembre 1993</w:t>
            </w:r>
          </w:p>
          <w:p w:rsidR="0035701C" w:rsidRDefault="00FB561B">
            <w:pPr>
              <w:spacing w:before="240" w:after="240"/>
              <w:jc w:val="left"/>
              <w:rPr>
                <w:szCs w:val="24"/>
              </w:rPr>
            </w:pPr>
            <w:r>
              <w:rPr>
                <w:szCs w:val="24"/>
              </w:rPr>
              <w:t>Ces éléments sont détaillés au paragraphe « Information spécifique à l’opération – Description de la ligne de base » de la présente fiche-opération.</w:t>
            </w:r>
          </w:p>
          <w:p w:rsidR="0035701C" w:rsidRDefault="00FB561B">
            <w:pPr>
              <w:spacing w:before="240" w:after="240"/>
              <w:jc w:val="left"/>
              <w:rPr>
                <w:szCs w:val="24"/>
              </w:rPr>
            </w:pPr>
            <w:r>
              <w:rPr>
                <w:szCs w:val="24"/>
              </w:rPr>
              <w:t>Afin d’exclure tout double paiement, les pratiq</w:t>
            </w:r>
            <w:r>
              <w:rPr>
                <w:szCs w:val="24"/>
              </w:rPr>
              <w:t>ues visées à l’article 43 du règlement UE n° 1307/2013 sont prises en compte dans le calcul des surcoûts et manques à gagner. La méthode de calcul est détaillée au paragraphe « Information spécifique à l’opération – Méthode de calcul du montant » de la pré</w:t>
            </w:r>
            <w:r>
              <w:rPr>
                <w:szCs w:val="24"/>
              </w:rPr>
              <w:t>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coûts éligibles sont les surcoûts, manques à gagner et éventuels coûts d’opportunité et de transaction générés par le respect </w:t>
            </w:r>
            <w:r>
              <w:rPr>
                <w:szCs w:val="24"/>
              </w:rPr>
              <w:t>des éléments contractualisés.</w:t>
            </w:r>
          </w:p>
          <w:p w:rsidR="0035701C" w:rsidRDefault="00FB561B">
            <w:pPr>
              <w:spacing w:before="240" w:after="240"/>
              <w:jc w:val="left"/>
              <w:rPr>
                <w:szCs w:val="24"/>
              </w:rPr>
            </w:pPr>
            <w:r>
              <w:rPr>
                <w:szCs w:val="24"/>
              </w:rPr>
              <w:t>Dans le cas de cette opération, sont pris en compte les surcoûts et les gains d’opportunité (production fourragère)</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La réalisation d’un diagnostic d’exploitation préalable à la souscription de </w:t>
            </w:r>
            <w:r>
              <w:rPr>
                <w:b/>
                <w:bCs/>
                <w:szCs w:val="24"/>
              </w:rPr>
              <w:t>cette opération est obligatoire.</w:t>
            </w:r>
          </w:p>
          <w:p w:rsidR="0035701C" w:rsidRDefault="00FB561B">
            <w:pPr>
              <w:spacing w:before="240" w:after="240"/>
              <w:jc w:val="left"/>
              <w:rPr>
                <w:szCs w:val="24"/>
              </w:rPr>
            </w:pPr>
            <w:r>
              <w:rPr>
                <w:b/>
                <w:bCs/>
                <w:i/>
                <w:iCs/>
                <w:szCs w:val="24"/>
              </w:rPr>
              <w:t>Surfaces éligibles:</w:t>
            </w:r>
            <w:r>
              <w:rPr>
                <w:szCs w:val="24"/>
              </w:rPr>
              <w:t xml:space="preserve"> les maquis à cistes, arbousier, bruyère, filaire, fruticées montagnardes….</w:t>
            </w:r>
            <w:r>
              <w:rPr>
                <w:b/>
                <w:bCs/>
                <w:szCs w:val="24"/>
              </w:rPr>
              <w:t>mécanisables.</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 xml:space="preserve">Montants et taux d'aide </w:t>
      </w:r>
      <w:r>
        <w:t>(applicables)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de l’aide est de </w:t>
            </w:r>
            <w:r>
              <w:rPr>
                <w:b/>
                <w:bCs/>
                <w:szCs w:val="24"/>
              </w:rPr>
              <w:t xml:space="preserve">158,89 € / ha / an </w:t>
            </w:r>
            <w:r>
              <w:rPr>
                <w:szCs w:val="24"/>
              </w:rPr>
              <w:t xml:space="preserve">pour l’engagement </w:t>
            </w:r>
            <w:r>
              <w:rPr>
                <w:b/>
                <w:bCs/>
                <w:szCs w:val="24"/>
              </w:rPr>
              <w:t>hors option</w:t>
            </w:r>
            <w:r>
              <w:rPr>
                <w:szCs w:val="24"/>
              </w:rPr>
              <w:t xml:space="preserve">, et à de </w:t>
            </w:r>
            <w:r>
              <w:rPr>
                <w:b/>
                <w:bCs/>
                <w:szCs w:val="24"/>
              </w:rPr>
              <w:t>248,43 € / ha / an</w:t>
            </w:r>
            <w:r>
              <w:rPr>
                <w:szCs w:val="24"/>
              </w:rPr>
              <w:t xml:space="preserve"> pour l’engagement </w:t>
            </w:r>
            <w:r>
              <w:rPr>
                <w:b/>
                <w:bCs/>
                <w:szCs w:val="24"/>
              </w:rPr>
              <w:t>avec l’option</w:t>
            </w:r>
            <w:r>
              <w:rPr>
                <w:szCs w:val="24"/>
              </w:rPr>
              <w:t xml:space="preserve"> auquel vient s’ajouter une somme forfaitaire de </w:t>
            </w:r>
            <w:r>
              <w:rPr>
                <w:b/>
                <w:bCs/>
                <w:szCs w:val="24"/>
              </w:rPr>
              <w:t>57,18 €/an</w:t>
            </w:r>
            <w:r>
              <w:rPr>
                <w:szCs w:val="24"/>
              </w:rPr>
              <w:t xml:space="preserve"> liée à l</w:t>
            </w:r>
            <w:r>
              <w:rPr>
                <w:szCs w:val="24"/>
              </w:rPr>
              <w:t>’enregistrement des pratiques et des interventions.</w:t>
            </w:r>
          </w:p>
          <w:p w:rsidR="0035701C" w:rsidRDefault="00FB561B">
            <w:pPr>
              <w:spacing w:before="240" w:after="240"/>
              <w:jc w:val="left"/>
              <w:rPr>
                <w:szCs w:val="24"/>
              </w:rPr>
            </w:pPr>
            <w:r>
              <w:rPr>
                <w:szCs w:val="24"/>
              </w:rPr>
              <w:t>Il est rappelé que le plafond communautaire pour ce type de couvert (autres utilisations des terres) est de 450 €/ha/an (incluant le forfait annuel).</w:t>
            </w:r>
          </w:p>
          <w:p w:rsidR="0035701C" w:rsidRDefault="0035701C">
            <w:pPr>
              <w:pStyle w:val="Corpsdetexte"/>
            </w:pPr>
          </w:p>
        </w:tc>
      </w:tr>
    </w:tbl>
    <w:p w:rsidR="0035701C" w:rsidRDefault="00FB561B">
      <w:pPr>
        <w:pStyle w:val="Titre6"/>
      </w:pPr>
      <w:r>
        <w:t>Caractère vérifiable et contrôlable des mesures et/o</w:t>
      </w:r>
      <w:r>
        <w:t>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des éléments du niveau de </w:t>
      </w:r>
      <w:r>
        <w:t>référence applicable, qui doivent inclure les normes obligatoires établies en application du titre VI, chapitre I, du règlement (UE) n° 1306/2013 du Parlement européen et du Conseil, les critères pertinents et les activités minimales établies en applicatio</w:t>
      </w:r>
      <w:r>
        <w:t>n de l'article 4, paragraphe 1, point c) ii) et c) iii), du règlement (UE) n° 1307/2013 du Parlement européen et du Conseil, les exigences minimales applicables à l'utilisation des engrais et des produits phytosanitaire ainsi que les autres exigences oblig</w:t>
      </w:r>
      <w:r>
        <w:t>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Si les pratiques rémunérées au titre de la présente opération sont rendues obligatoires sur des zones au titre de la protection de la biodiversité (notamment des zones classées au titre des</w:t>
            </w:r>
            <w:r>
              <w:rPr>
                <w:szCs w:val="24"/>
              </w:rPr>
              <w:t xml:space="preserve"> réserves naturelles des arrêtés de protection de biotopes), celle-ci ne peut être ouverte sur les zones concernées.</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472145"/>
                  <wp:effectExtent l="0" t="0" r="0" b="0"/>
                  <wp:docPr id="100150" name="Image 100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1" name=""/>
                          <pic:cNvPicPr>
                            <a:picLocks noChangeAspect="1"/>
                          </pic:cNvPicPr>
                        </pic:nvPicPr>
                        <pic:blipFill>
                          <a:blip r:embed="rId87"/>
                          <a:stretch>
                            <a:fillRect/>
                          </a:stretch>
                        </pic:blipFill>
                        <pic:spPr>
                          <a:xfrm>
                            <a:off x="0" y="0"/>
                            <a:ext cx="6629400" cy="1472145"/>
                          </a:xfrm>
                          <a:prstGeom prst="rect">
                            <a:avLst/>
                          </a:prstGeom>
                        </pic:spPr>
                      </pic:pic>
                    </a:graphicData>
                  </a:graphic>
                </wp:inline>
              </w:drawing>
            </w:r>
          </w:p>
          <w:p w:rsidR="0035701C" w:rsidRDefault="00FB561B">
            <w:pPr>
              <w:pStyle w:val="Pieddepage"/>
              <w:jc w:val="center"/>
            </w:pPr>
            <w:r>
              <w:t>Parcours_4_lignebase</w:t>
            </w:r>
          </w:p>
          <w:p w:rsidR="0035701C" w:rsidRDefault="0035701C">
            <w:pPr>
              <w:pStyle w:val="Pieddepage"/>
              <w:jc w:val="center"/>
            </w:pPr>
          </w:p>
        </w:tc>
      </w:tr>
    </w:tbl>
    <w:p w:rsidR="0035701C" w:rsidRDefault="00FB561B">
      <w:r>
        <w:t xml:space="preserve">Les exigences minimales relatives à l'utilisation d'engrais doivent comprendre, entre autres, le respect des </w:t>
      </w:r>
      <w:r>
        <w:t>codes de bonnes pratiques introduits au titre de la directive 91/676/CEE pour les exploitations situées en dehors des zones vulnérables aux nitrates, et des exigences concernant la pollution au phosphore; les exigences minimales relatives à l'utilisation d</w:t>
      </w:r>
      <w:r>
        <w:t>e produits phytosanitaires doivent comprendre, entre autres, les principes généraux de la lutte intégrée contre les ennemis des cultures introduits par la directive 2009/128/CE du Parlement européen et du Conseil, l’obligation de détenir une autorisation d</w:t>
      </w:r>
      <w:r>
        <w:t>’utiliser les produits, de satisfaire aux conditions de formation, d’assurer un stockage sûr et de contrôler les équipements destinés à l’épandage ainsi que les règles relatives à l’utilisation de pesticides à proximité d’étendues d’eau et d’autres sites s</w:t>
      </w:r>
      <w:r>
        <w:t>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Liste des races locales qui sont menacées d’être perdues pour l’agriculture et des ressources génétiques végétales qui sont menacées d</w:t>
      </w:r>
      <w:r>
        <w:t>’érosion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préservation des ressources génétiques.</w:t>
            </w:r>
          </w:p>
          <w:p w:rsidR="0035701C" w:rsidRDefault="0035701C">
            <w:pPr>
              <w:pStyle w:val="Corpsdetexte"/>
            </w:pPr>
          </w:p>
        </w:tc>
      </w:tr>
    </w:tbl>
    <w:p w:rsidR="0035701C" w:rsidRDefault="00FB561B">
      <w:r>
        <w:t xml:space="preserve">Description de la méthode et des hypothèses et paramètres agronomiques y compris la description des exigences minimales visées à l'article 29, paragraphe 2, du </w:t>
      </w:r>
      <w:r>
        <w:t>règlement (UE) n° 1305/2013 correspondant à chaque type particulier d'engagement, utilisés comme référence pour les calculs justifiant les coûts supplémentaires et les pertes de revenus résultant de l’engagement pris et le niveau des coûts des transactions</w:t>
      </w:r>
      <w:r>
        <w:t>; le cas échéant, cette méthode tient compte des aides accordées au titre du règlement (UE) n° 1307/2013, et notamment des paiements en faveur des pratiques agricoles bénéfiques pour le climat et l’environnement, afin d’exclure un double financement; le ca</w:t>
      </w:r>
      <w:r>
        <w:t>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Pratiques de référence</w:t>
            </w:r>
            <w:r>
              <w:rPr>
                <w:szCs w:val="24"/>
              </w:rPr>
              <w:t> : les milieux visés sont uniquement exploités par un pâturage extensif</w:t>
            </w:r>
          </w:p>
          <w:p w:rsidR="0035701C" w:rsidRDefault="00FB561B">
            <w:pPr>
              <w:spacing w:before="240" w:after="240"/>
              <w:jc w:val="left"/>
              <w:rPr>
                <w:szCs w:val="24"/>
              </w:rPr>
            </w:pPr>
            <w:r>
              <w:rPr>
                <w:b/>
                <w:bCs/>
                <w:i/>
                <w:iCs/>
                <w:szCs w:val="24"/>
              </w:rPr>
              <w:t xml:space="preserve">Prise en compte du verdissement : </w:t>
            </w:r>
            <w:r>
              <w:rPr>
                <w:szCs w:val="24"/>
              </w:rPr>
              <w:t>afin d’exclure tout</w:t>
            </w:r>
            <w:r>
              <w:rPr>
                <w:szCs w:val="24"/>
              </w:rPr>
              <w:t xml:space="preserve"> double paiement, les pratiques rémunérées au titre du verdissement sont prises en compte de la façon suivante dans le calcul du montant unitaire de cette opération :</w:t>
            </w:r>
          </w:p>
          <w:p w:rsidR="0035701C" w:rsidRDefault="00FB561B" w:rsidP="00FB561B">
            <w:pPr>
              <w:numPr>
                <w:ilvl w:val="0"/>
                <w:numId w:val="697"/>
              </w:numPr>
              <w:spacing w:before="240" w:after="0"/>
              <w:ind w:hanging="210"/>
              <w:jc w:val="left"/>
              <w:rPr>
                <w:szCs w:val="24"/>
              </w:rPr>
            </w:pPr>
            <w:r>
              <w:rPr>
                <w:szCs w:val="24"/>
              </w:rPr>
              <w:t>maintien de prairies permanentes existantes : cette exigence a une interaction avec cette</w:t>
            </w:r>
            <w:r>
              <w:rPr>
                <w:szCs w:val="24"/>
              </w:rPr>
              <w:t xml:space="preserve"> opération. L’obligation de maintien des prairies et pâturages permanents doit être respectée à l’échelle de la parcelle engagée, ce qui est plus contraignant que le verdissement qui s’applique à l’échelle régionale. Par ailleurs cette obligation n’est pas</w:t>
            </w:r>
            <w:r>
              <w:rPr>
                <w:szCs w:val="24"/>
              </w:rPr>
              <w:t xml:space="preserve"> rémunérée.</w:t>
            </w:r>
          </w:p>
          <w:p w:rsidR="0035701C" w:rsidRDefault="00FB561B" w:rsidP="00FB561B">
            <w:pPr>
              <w:numPr>
                <w:ilvl w:val="0"/>
                <w:numId w:val="697"/>
              </w:numPr>
              <w:spacing w:before="0" w:after="0"/>
              <w:ind w:hanging="210"/>
              <w:jc w:val="left"/>
              <w:rPr>
                <w:szCs w:val="24"/>
              </w:rPr>
            </w:pPr>
            <w:r>
              <w:rPr>
                <w:szCs w:val="24"/>
              </w:rPr>
              <w:t>présence de 5 % de SIE (Surfaces d’Intérêt Ecologique) sur les terres arables : cette exigence n’a pas d’interaction avec cette opération.</w:t>
            </w:r>
          </w:p>
          <w:p w:rsidR="0035701C" w:rsidRDefault="00FB561B" w:rsidP="00FB561B">
            <w:pPr>
              <w:numPr>
                <w:ilvl w:val="0"/>
                <w:numId w:val="697"/>
              </w:numPr>
              <w:spacing w:before="0" w:after="240"/>
              <w:ind w:hanging="210"/>
              <w:jc w:val="left"/>
              <w:rPr>
                <w:szCs w:val="24"/>
              </w:rPr>
            </w:pPr>
            <w:r>
              <w:rPr>
                <w:szCs w:val="24"/>
              </w:rPr>
              <w:t>diversification des cultures : cette exigence n’a pas d’interaction avec cette opération.</w:t>
            </w:r>
          </w:p>
          <w:p w:rsidR="0035701C" w:rsidRDefault="00FB561B">
            <w:pPr>
              <w:spacing w:before="240" w:after="240"/>
              <w:jc w:val="left"/>
              <w:rPr>
                <w:szCs w:val="24"/>
              </w:rPr>
            </w:pPr>
            <w:r>
              <w:rPr>
                <w:b/>
                <w:bCs/>
                <w:i/>
                <w:iCs/>
                <w:szCs w:val="24"/>
              </w:rPr>
              <w:t xml:space="preserve">Méthode </w:t>
            </w:r>
            <w:r>
              <w:rPr>
                <w:b/>
                <w:bCs/>
                <w:i/>
                <w:iCs/>
                <w:szCs w:val="24"/>
              </w:rPr>
              <w:t>générale de calcul du montant :</w:t>
            </w:r>
            <w:r>
              <w:rPr>
                <w:szCs w:val="24"/>
              </w:rPr>
              <w:t xml:space="preserve"> le montant de l’aide est calculé sur la base de l’utilisation du matériel et du temps de travail supplémentaire nécessaire pour lutter contre le développement des rejets ligneux et des adventices (option), par rapport à l’en</w:t>
            </w:r>
            <w:r>
              <w:rPr>
                <w:szCs w:val="24"/>
              </w:rPr>
              <w:t>tretien minimal requis dans la conditionnalité. Le surcoût lié au temps d’enregistrement des interventions et des pratiques est rémunéré sous forme forfaitaire indépendamment de la surface engagée. Il n’y a pas, dans cette opération, de coût de transaction</w:t>
            </w:r>
            <w:r>
              <w:rPr>
                <w:szCs w:val="24"/>
              </w:rPr>
              <w:t>.</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698"/>
              </w:numPr>
              <w:spacing w:before="240" w:after="0"/>
              <w:ind w:hanging="210"/>
              <w:jc w:val="left"/>
              <w:rPr>
                <w:szCs w:val="24"/>
              </w:rPr>
            </w:pPr>
            <w:r>
              <w:rPr>
                <w:szCs w:val="24"/>
              </w:rPr>
              <w:t>coût du matériel:</w:t>
            </w:r>
            <w:r>
              <w:rPr>
                <w:i/>
                <w:iCs/>
                <w:szCs w:val="24"/>
              </w:rPr>
              <w:t xml:space="preserve"> Bureau de Coordination du Machinisme Agricole (BCMA), barème des façons culturales</w:t>
            </w:r>
            <w:r>
              <w:rPr>
                <w:szCs w:val="24"/>
              </w:rPr>
              <w:t xml:space="preserve"> </w:t>
            </w:r>
            <w:r>
              <w:rPr>
                <w:i/>
                <w:iCs/>
                <w:szCs w:val="24"/>
              </w:rPr>
              <w:t xml:space="preserve">2014 </w:t>
            </w:r>
          </w:p>
          <w:p w:rsidR="0035701C" w:rsidRDefault="00FB561B" w:rsidP="00FB561B">
            <w:pPr>
              <w:numPr>
                <w:ilvl w:val="0"/>
                <w:numId w:val="698"/>
              </w:numPr>
              <w:spacing w:before="0" w:after="0"/>
              <w:ind w:hanging="210"/>
              <w:jc w:val="left"/>
              <w:rPr>
                <w:szCs w:val="24"/>
              </w:rPr>
            </w:pPr>
            <w:r>
              <w:rPr>
                <w:szCs w:val="24"/>
              </w:rPr>
              <w:t>temps de travail, niveaux de production fourragère et valeur en UFL:</w:t>
            </w:r>
            <w:r>
              <w:rPr>
                <w:i/>
                <w:iCs/>
                <w:szCs w:val="24"/>
              </w:rPr>
              <w:t xml:space="preserve"> références locales issues du réseau régional d’expérimenta</w:t>
            </w:r>
            <w:r>
              <w:rPr>
                <w:i/>
                <w:iCs/>
                <w:szCs w:val="24"/>
              </w:rPr>
              <w:t>tions fourragères et de démonstrations (Office du Développement Agricole et Rural de Corse et Office de l’Environnement de la Corse)</w:t>
            </w:r>
          </w:p>
          <w:p w:rsidR="0035701C" w:rsidRDefault="00FB561B" w:rsidP="00FB561B">
            <w:pPr>
              <w:numPr>
                <w:ilvl w:val="0"/>
                <w:numId w:val="698"/>
              </w:numPr>
              <w:spacing w:before="0" w:after="0"/>
              <w:ind w:hanging="210"/>
              <w:jc w:val="left"/>
              <w:rPr>
                <w:szCs w:val="24"/>
              </w:rPr>
            </w:pPr>
            <w:r>
              <w:rPr>
                <w:szCs w:val="24"/>
              </w:rPr>
              <w:t>coût UFL :</w:t>
            </w:r>
            <w:r>
              <w:rPr>
                <w:i/>
                <w:iCs/>
                <w:szCs w:val="24"/>
              </w:rPr>
              <w:t xml:space="preserve"> coopératives locales</w:t>
            </w:r>
          </w:p>
          <w:p w:rsidR="0035701C" w:rsidRDefault="00FB561B" w:rsidP="00FB561B">
            <w:pPr>
              <w:numPr>
                <w:ilvl w:val="0"/>
                <w:numId w:val="698"/>
              </w:numPr>
              <w:spacing w:before="0" w:after="240"/>
              <w:ind w:hanging="210"/>
              <w:jc w:val="left"/>
              <w:rPr>
                <w:szCs w:val="24"/>
              </w:rPr>
            </w:pPr>
            <w:r>
              <w:rPr>
                <w:i/>
                <w:iCs/>
                <w:szCs w:val="24"/>
              </w:rPr>
              <w:t>coût horaire de main d’œuvre : 2 fois le coût horaire du SMIC (1er janvier 2014)</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248400" cy="6067425"/>
                  <wp:effectExtent l="0" t="0" r="0" b="0"/>
                  <wp:docPr id="100152" name="Image 100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3" name=""/>
                          <pic:cNvPicPr>
                            <a:picLocks noChangeAspect="1"/>
                          </pic:cNvPicPr>
                        </pic:nvPicPr>
                        <pic:blipFill>
                          <a:blip r:embed="rId88"/>
                          <a:stretch>
                            <a:fillRect/>
                          </a:stretch>
                        </pic:blipFill>
                        <pic:spPr>
                          <a:xfrm>
                            <a:off x="0" y="0"/>
                            <a:ext cx="6248400" cy="6067425"/>
                          </a:xfrm>
                          <a:prstGeom prst="rect">
                            <a:avLst/>
                          </a:prstGeom>
                        </pic:spPr>
                      </pic:pic>
                    </a:graphicData>
                  </a:graphic>
                </wp:inline>
              </w:drawing>
            </w:r>
          </w:p>
          <w:p w:rsidR="0035701C" w:rsidRDefault="00FB561B">
            <w:pPr>
              <w:pStyle w:val="Pieddepage"/>
              <w:jc w:val="center"/>
            </w:pPr>
            <w:r>
              <w:t>Parcours_4</w:t>
            </w:r>
          </w:p>
          <w:p w:rsidR="0035701C" w:rsidRDefault="0035701C">
            <w:pPr>
              <w:pStyle w:val="Pieddepage"/>
              <w:jc w:val="center"/>
            </w:pPr>
          </w:p>
        </w:tc>
      </w:tr>
    </w:tbl>
    <w:p w:rsidR="0035701C" w:rsidRDefault="00FB561B">
      <w:pPr>
        <w:pStyle w:val="Titre5"/>
        <w:rPr>
          <w:b w:val="0"/>
        </w:rPr>
      </w:pPr>
      <w:r>
        <w:rPr>
          <w:b w:val="0"/>
        </w:rPr>
        <w:br w:type="page"/>
        <w:t>-16- Parcours_5</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699"/>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 titre complet : PARCOURS 5 =  Maintien de l’ouverture des parcours par élimination manuelle des </w:t>
            </w:r>
            <w:r>
              <w:rPr>
                <w:b/>
                <w:bCs/>
                <w:szCs w:val="24"/>
              </w:rPr>
              <w:t>rejets ligneux et autres végétaux indésirables</w:t>
            </w:r>
          </w:p>
          <w:p w:rsidR="0035701C" w:rsidRDefault="00FB561B">
            <w:pPr>
              <w:spacing w:before="240" w:after="240"/>
              <w:jc w:val="left"/>
              <w:rPr>
                <w:szCs w:val="24"/>
              </w:rPr>
            </w:pPr>
            <w:r>
              <w:rPr>
                <w:szCs w:val="24"/>
              </w:rPr>
              <w:t xml:space="preserve">Les maquis et parcours ligneux </w:t>
            </w:r>
            <w:r>
              <w:rPr>
                <w:szCs w:val="24"/>
                <w:u w:val="single"/>
              </w:rPr>
              <w:t>non mécanisables</w:t>
            </w:r>
            <w:r>
              <w:rPr>
                <w:szCs w:val="24"/>
              </w:rPr>
              <w:t>, considérés comme des surfaces peu productives, jouent un rôle important dans les systèmes pastoraux corses, pour l’alimentation du cheptel lors de périodes cruc</w:t>
            </w:r>
            <w:r>
              <w:rPr>
                <w:szCs w:val="24"/>
              </w:rPr>
              <w:t>iales comme l’hiver et l’été, quand l’offre fourragère herbacée est largement déficitaire, surtout lorsqu’ils sont améliorés par un entretien régulier.</w:t>
            </w:r>
          </w:p>
          <w:p w:rsidR="0035701C" w:rsidRDefault="00FB561B">
            <w:pPr>
              <w:spacing w:before="240" w:after="240"/>
              <w:jc w:val="left"/>
              <w:rPr>
                <w:szCs w:val="24"/>
              </w:rPr>
            </w:pPr>
            <w:r>
              <w:rPr>
                <w:szCs w:val="24"/>
              </w:rPr>
              <w:t>Sur ces surfaces est pratiqué le plus souvent un pâturage de type extensif voire très extensif. Par aill</w:t>
            </w:r>
            <w:r>
              <w:rPr>
                <w:szCs w:val="24"/>
              </w:rPr>
              <w:t>eurs, les conditions pédo-climatiques de l'île sont favorables à une dynamique très forte de la végétation herbacée et ligneuse spontanée. Dans certaines situations, liées à la nature du couvert végétal et du type de conduite au pâturage, les chargements m</w:t>
            </w:r>
            <w:r>
              <w:rPr>
                <w:szCs w:val="24"/>
              </w:rPr>
              <w:t>oyens habituels (compris entre 0,2 et 1,2 UGB/ha), peuvent s'avérer insuffisants pour maîtriser la totalité des repousses ligneuses.</w:t>
            </w:r>
          </w:p>
          <w:p w:rsidR="0035701C" w:rsidRDefault="00FB561B">
            <w:pPr>
              <w:spacing w:before="240" w:after="240"/>
              <w:jc w:val="left"/>
              <w:rPr>
                <w:szCs w:val="24"/>
              </w:rPr>
            </w:pPr>
            <w:r>
              <w:rPr>
                <w:szCs w:val="24"/>
              </w:rPr>
              <w:t xml:space="preserve">Il s’agit donc au travers de cette opération, de maintenir dans les exploitations d’élevages, ces surfaces peu productives </w:t>
            </w:r>
            <w:r>
              <w:rPr>
                <w:szCs w:val="24"/>
              </w:rPr>
              <w:t>améliorées, qui participent à :</w:t>
            </w:r>
          </w:p>
          <w:p w:rsidR="0035701C" w:rsidRDefault="00FB561B" w:rsidP="00FB561B">
            <w:pPr>
              <w:numPr>
                <w:ilvl w:val="0"/>
                <w:numId w:val="700"/>
              </w:numPr>
              <w:spacing w:before="240" w:after="0"/>
              <w:ind w:hanging="210"/>
              <w:jc w:val="left"/>
              <w:rPr>
                <w:szCs w:val="24"/>
              </w:rPr>
            </w:pPr>
            <w:r>
              <w:rPr>
                <w:szCs w:val="24"/>
              </w:rPr>
              <w:t>la préservation de la biodiversité et du paysage agropastoral,</w:t>
            </w:r>
          </w:p>
          <w:p w:rsidR="0035701C" w:rsidRDefault="00FB561B" w:rsidP="00FB561B">
            <w:pPr>
              <w:numPr>
                <w:ilvl w:val="0"/>
                <w:numId w:val="700"/>
              </w:numPr>
              <w:spacing w:before="0" w:after="0"/>
              <w:ind w:hanging="210"/>
              <w:jc w:val="left"/>
              <w:rPr>
                <w:szCs w:val="24"/>
              </w:rPr>
            </w:pPr>
            <w:r>
              <w:rPr>
                <w:szCs w:val="24"/>
              </w:rPr>
              <w:t>l’accessibilité à de nouvelles ressources fourragères,</w:t>
            </w:r>
          </w:p>
          <w:p w:rsidR="0035701C" w:rsidRDefault="00FB561B" w:rsidP="00FB561B">
            <w:pPr>
              <w:numPr>
                <w:ilvl w:val="0"/>
                <w:numId w:val="700"/>
              </w:numPr>
              <w:spacing w:before="0" w:after="240"/>
              <w:ind w:hanging="210"/>
              <w:jc w:val="left"/>
              <w:rPr>
                <w:szCs w:val="24"/>
              </w:rPr>
            </w:pPr>
            <w:r>
              <w:rPr>
                <w:szCs w:val="24"/>
              </w:rPr>
              <w:t>la lutte contre l’érosion des sols et la protection des forêts et des espaces naturels contre l’incendie.</w:t>
            </w:r>
          </w:p>
          <w:p w:rsidR="0035701C" w:rsidRDefault="00FB561B">
            <w:pPr>
              <w:spacing w:before="240" w:after="240"/>
              <w:jc w:val="left"/>
              <w:rPr>
                <w:szCs w:val="24"/>
              </w:rPr>
            </w:pPr>
            <w:r>
              <w:rPr>
                <w:szCs w:val="24"/>
              </w:rPr>
              <w:t>Le maintien de cette pratique engendre un bénéfice environnemental avéré dans ce type de milieu, où le risque d’abandon des surfaces engendrant la fermeture de la végétation est important.</w:t>
            </w:r>
          </w:p>
          <w:p w:rsidR="0035701C" w:rsidRDefault="00FB561B">
            <w:pPr>
              <w:spacing w:before="240" w:after="240"/>
              <w:jc w:val="left"/>
              <w:rPr>
                <w:szCs w:val="24"/>
              </w:rPr>
            </w:pPr>
            <w:r>
              <w:rPr>
                <w:szCs w:val="24"/>
              </w:rPr>
              <w:t xml:space="preserve">Pour cela, des actions de débroussaillement manuel complémentaires </w:t>
            </w:r>
            <w:r>
              <w:rPr>
                <w:szCs w:val="24"/>
              </w:rPr>
              <w:t>au pâturage sont indispensables. Elles doivent nécessairement être régulières (annuelles) afin de garantir l'ouverture de ces milieux particulièrement difficiles d’accès mais néanmoins essentiels.</w:t>
            </w:r>
          </w:p>
          <w:p w:rsidR="0035701C" w:rsidRDefault="00FB561B">
            <w:pPr>
              <w:spacing w:before="240" w:after="240"/>
              <w:jc w:val="left"/>
              <w:rPr>
                <w:szCs w:val="24"/>
              </w:rPr>
            </w:pPr>
            <w:r>
              <w:rPr>
                <w:szCs w:val="24"/>
              </w:rPr>
              <w:t xml:space="preserve">Par ailleurs, sur certains milieux, on peut observer après </w:t>
            </w:r>
            <w:r>
              <w:rPr>
                <w:szCs w:val="24"/>
              </w:rPr>
              <w:t>le traitement régulier de la végétation ligneuse, du fait du bouleversement des facteurs écologiques (augmentation de la lumière au sol,…) le développement de certaines espèces indésirables de type chardons, asphodèles, inules,…pouvant, à court terme influ</w:t>
            </w:r>
            <w:r>
              <w:rPr>
                <w:szCs w:val="24"/>
              </w:rPr>
              <w:t xml:space="preserve">er sur la biodiversité. C’est pourquoi l’agriculteur aura la possibilité de mobiliser </w:t>
            </w:r>
            <w:r>
              <w:rPr>
                <w:b/>
                <w:bCs/>
                <w:szCs w:val="24"/>
              </w:rPr>
              <w:t xml:space="preserve">l’option </w:t>
            </w:r>
            <w:r>
              <w:rPr>
                <w:b/>
                <w:bCs/>
                <w:i/>
                <w:iCs/>
                <w:szCs w:val="24"/>
              </w:rPr>
              <w:t>«suppression manuelle des adventices »</w:t>
            </w:r>
            <w:r>
              <w:rPr>
                <w:szCs w:val="24"/>
              </w:rPr>
              <w:t xml:space="preserve"> qui consiste à effectuer un débroussaillage annuel supplémentaire de ces espèces à partir de la deuxième année du contrat </w:t>
            </w:r>
            <w:r>
              <w:rPr>
                <w:szCs w:val="24"/>
              </w:rPr>
              <w:t>à la période la plus propice au regard de l’adventice dominante. Cette période sera déterminée lors du diagnostic préalable. Cette option non obligatoire, sera fortement conseillée.</w:t>
            </w:r>
          </w:p>
          <w:p w:rsidR="0035701C" w:rsidRDefault="00FB561B">
            <w:pPr>
              <w:spacing w:before="240" w:after="240"/>
              <w:jc w:val="left"/>
              <w:rPr>
                <w:szCs w:val="24"/>
              </w:rPr>
            </w:pPr>
            <w:r>
              <w:rPr>
                <w:szCs w:val="24"/>
              </w:rPr>
              <w:t>L’agriculteur aura aussi la possibilité de réaliser un rééquilibrage de la</w:t>
            </w:r>
            <w:r>
              <w:rPr>
                <w:szCs w:val="24"/>
              </w:rPr>
              <w:t xml:space="preserve"> strate herbacée pour en améliorer la qualité fourragère si besoin, mais uniquement avec des espèces fourragères pérennes d’origine méditerranéenne adaptées aux conditions pédo-climatiques de l’île, et en utilisant la technique du sursemis (à la volée).</w:t>
            </w:r>
          </w:p>
          <w:p w:rsidR="0035701C" w:rsidRDefault="00FB561B">
            <w:pPr>
              <w:spacing w:before="240" w:after="240"/>
              <w:jc w:val="left"/>
              <w:rPr>
                <w:szCs w:val="24"/>
              </w:rPr>
            </w:pPr>
            <w:r>
              <w:rPr>
                <w:szCs w:val="24"/>
              </w:rPr>
              <w:t>Cette opération de maintien manuelle de l’ouverture des milieux qui a déjà été proposée dans le cadre de la programmation précédente (2007-2013) est maintenue. Très bien accueillie par les éleveurs, elle a eu pour effet d’amplifier l’entretien et la gestio</w:t>
            </w:r>
            <w:r>
              <w:rPr>
                <w:szCs w:val="24"/>
              </w:rPr>
              <w:t xml:space="preserve">n de ces espaces, ce qui a été bénéfique au maintien, voire à l’augmentation de la biodiversité. Elle a de plus, conduit à une réduction significative de la phytomasse combustible, ce qui a permis d’assurer une prévention et une lutte contre les incendies </w:t>
            </w:r>
            <w:r>
              <w:rPr>
                <w:szCs w:val="24"/>
              </w:rPr>
              <w:t>efficace.</w:t>
            </w:r>
          </w:p>
          <w:p w:rsidR="0035701C" w:rsidRDefault="00FB561B">
            <w:pPr>
              <w:spacing w:before="240" w:after="240"/>
              <w:jc w:val="left"/>
              <w:rPr>
                <w:szCs w:val="24"/>
              </w:rPr>
            </w:pPr>
            <w:r>
              <w:rPr>
                <w:szCs w:val="24"/>
              </w:rPr>
              <w:t>Dans cette nouvelle programmation (2014-2020), cette opération a été enrichie en proposant une option supplémentaire détaillée dans le cahier des charges ci-dessous.</w:t>
            </w:r>
          </w:p>
          <w:p w:rsidR="0035701C" w:rsidRDefault="00FB561B">
            <w:pPr>
              <w:spacing w:before="240" w:after="240"/>
              <w:jc w:val="left"/>
              <w:rPr>
                <w:szCs w:val="24"/>
              </w:rPr>
            </w:pPr>
            <w:r>
              <w:rPr>
                <w:b/>
                <w:bCs/>
                <w:i/>
                <w:iCs/>
                <w:szCs w:val="24"/>
              </w:rPr>
              <w:t>Cahier des charges :</w:t>
            </w:r>
          </w:p>
          <w:p w:rsidR="0035701C" w:rsidRDefault="00FB561B" w:rsidP="00FB561B">
            <w:pPr>
              <w:numPr>
                <w:ilvl w:val="0"/>
                <w:numId w:val="701"/>
              </w:numPr>
              <w:spacing w:before="240" w:after="0"/>
              <w:ind w:hanging="210"/>
              <w:jc w:val="left"/>
              <w:rPr>
                <w:szCs w:val="24"/>
              </w:rPr>
            </w:pPr>
            <w:r>
              <w:rPr>
                <w:szCs w:val="24"/>
              </w:rPr>
              <w:t>l’agriculteur doit réaliser annuellement, un débroussaillag</w:t>
            </w:r>
            <w:r>
              <w:rPr>
                <w:szCs w:val="24"/>
              </w:rPr>
              <w:t>e manuel destiné à limiter le développement des espèces arbustives</w:t>
            </w:r>
          </w:p>
          <w:p w:rsidR="0035701C" w:rsidRDefault="00FB561B" w:rsidP="00FB561B">
            <w:pPr>
              <w:numPr>
                <w:ilvl w:val="0"/>
                <w:numId w:val="701"/>
              </w:numPr>
              <w:spacing w:before="0" w:after="0"/>
              <w:ind w:hanging="210"/>
              <w:jc w:val="left"/>
              <w:rPr>
                <w:szCs w:val="24"/>
              </w:rPr>
            </w:pPr>
            <w:r>
              <w:rPr>
                <w:szCs w:val="24"/>
              </w:rPr>
              <w:t>ces travaux de débroussaillage manuel devront être effectués dans la période comprise entre le mois d’octobre et le mois de mars pendant l’hibernation de la tortue d’Hermann et avant la nid</w:t>
            </w:r>
            <w:r>
              <w:rPr>
                <w:szCs w:val="24"/>
              </w:rPr>
              <w:t>ification de certains oiseaux (perdrix,….)</w:t>
            </w:r>
          </w:p>
          <w:p w:rsidR="0035701C" w:rsidRDefault="00FB561B" w:rsidP="00FB561B">
            <w:pPr>
              <w:numPr>
                <w:ilvl w:val="0"/>
                <w:numId w:val="701"/>
              </w:numPr>
              <w:spacing w:before="0" w:after="0"/>
              <w:ind w:hanging="210"/>
              <w:jc w:val="left"/>
              <w:rPr>
                <w:szCs w:val="24"/>
              </w:rPr>
            </w:pPr>
            <w:r>
              <w:rPr>
                <w:szCs w:val="24"/>
              </w:rPr>
              <w:t xml:space="preserve">si ces travaux ont lieu sur les </w:t>
            </w:r>
            <w:r>
              <w:rPr>
                <w:b/>
                <w:bCs/>
                <w:szCs w:val="24"/>
              </w:rPr>
              <w:t xml:space="preserve">zones de renfort agricoles </w:t>
            </w:r>
            <w:r>
              <w:rPr>
                <w:szCs w:val="24"/>
              </w:rPr>
              <w:t xml:space="preserve">(*) </w:t>
            </w:r>
            <w:r>
              <w:rPr>
                <w:b/>
                <w:bCs/>
                <w:szCs w:val="24"/>
              </w:rPr>
              <w:t>des Zones d’Appui à la Lutte</w:t>
            </w:r>
            <w:r>
              <w:rPr>
                <w:szCs w:val="24"/>
              </w:rPr>
              <w:t xml:space="preserve"> (ZAL), la période des travaux de débroussaillage manuel sera comprise entre le mois d’octobre et le mois de juin et c'est</w:t>
            </w:r>
            <w:r>
              <w:rPr>
                <w:szCs w:val="24"/>
              </w:rPr>
              <w:t xml:space="preserve"> le diagnostic préalable qui déterminera avec précision la période la plus favorable à l'intervention en fonction de la masse de combustible présente sur ces zones</w:t>
            </w:r>
          </w:p>
          <w:p w:rsidR="0035701C" w:rsidRDefault="00FB561B" w:rsidP="00FB561B">
            <w:pPr>
              <w:numPr>
                <w:ilvl w:val="0"/>
                <w:numId w:val="701"/>
              </w:numPr>
              <w:spacing w:before="0" w:after="0"/>
              <w:ind w:hanging="210"/>
              <w:jc w:val="left"/>
              <w:rPr>
                <w:szCs w:val="24"/>
              </w:rPr>
            </w:pPr>
            <w:r>
              <w:rPr>
                <w:szCs w:val="24"/>
              </w:rPr>
              <w:t xml:space="preserve">si l’agriculteur décide de souscrire l’option supplémentaire </w:t>
            </w:r>
            <w:r>
              <w:rPr>
                <w:b/>
                <w:bCs/>
                <w:i/>
                <w:iCs/>
                <w:szCs w:val="24"/>
              </w:rPr>
              <w:t>«suppression manuelle des adven</w:t>
            </w:r>
            <w:r>
              <w:rPr>
                <w:b/>
                <w:bCs/>
                <w:i/>
                <w:iCs/>
                <w:szCs w:val="24"/>
              </w:rPr>
              <w:t>tices »</w:t>
            </w:r>
            <w:r>
              <w:rPr>
                <w:szCs w:val="24"/>
              </w:rPr>
              <w:t>, il doit, à partir de la 2ème année d’engagement, réaliser un débroussaillage annuel supplémentaire à la période la plus propice au regard de l’adventice dominante précisément déterminée lors du diagnostic préalable</w:t>
            </w:r>
          </w:p>
          <w:p w:rsidR="0035701C" w:rsidRDefault="00FB561B" w:rsidP="00FB561B">
            <w:pPr>
              <w:numPr>
                <w:ilvl w:val="0"/>
                <w:numId w:val="701"/>
              </w:numPr>
              <w:spacing w:before="0" w:after="0"/>
              <w:ind w:hanging="210"/>
              <w:jc w:val="left"/>
              <w:rPr>
                <w:szCs w:val="24"/>
              </w:rPr>
            </w:pPr>
            <w:r>
              <w:rPr>
                <w:szCs w:val="24"/>
              </w:rPr>
              <w:t>si l’agriculteur souhaite enrich</w:t>
            </w:r>
            <w:r>
              <w:rPr>
                <w:szCs w:val="24"/>
              </w:rPr>
              <w:t>ir la strate herbacée obtenue, il doit obligatoirement utiliser des espèces fourragères méditerranéennes et utiliser la technique du sursemis à la volée</w:t>
            </w:r>
          </w:p>
          <w:p w:rsidR="0035701C" w:rsidRDefault="00FB561B" w:rsidP="00FB561B">
            <w:pPr>
              <w:numPr>
                <w:ilvl w:val="0"/>
                <w:numId w:val="701"/>
              </w:numPr>
              <w:spacing w:before="0" w:after="0"/>
              <w:ind w:hanging="210"/>
              <w:jc w:val="left"/>
              <w:rPr>
                <w:szCs w:val="24"/>
              </w:rPr>
            </w:pPr>
            <w:r>
              <w:rPr>
                <w:szCs w:val="24"/>
              </w:rPr>
              <w:t>le recours à un traitement chimique pour éliminer la végétation initiale ou effectuer les entretiens ul</w:t>
            </w:r>
            <w:r>
              <w:rPr>
                <w:szCs w:val="24"/>
              </w:rPr>
              <w:t>térieurs est interdit</w:t>
            </w:r>
          </w:p>
          <w:p w:rsidR="0035701C" w:rsidRDefault="00FB561B" w:rsidP="00FB561B">
            <w:pPr>
              <w:numPr>
                <w:ilvl w:val="0"/>
                <w:numId w:val="701"/>
              </w:numPr>
              <w:spacing w:before="0" w:after="240"/>
              <w:ind w:hanging="210"/>
              <w:jc w:val="left"/>
              <w:rPr>
                <w:szCs w:val="24"/>
              </w:rPr>
            </w:pPr>
            <w:r>
              <w:rPr>
                <w:szCs w:val="24"/>
              </w:rPr>
              <w:t>l’agriculteur doit assurer l’enregistrement des différentes interventions et des pratiques réalisées dans un document normé prévu à cet effet. Ce document sera remis à l’agriculteur à l’issue du diagnostic obligatoire réalisé par le s</w:t>
            </w:r>
            <w:r>
              <w:rPr>
                <w:szCs w:val="24"/>
              </w:rPr>
              <w:t>ervice instructeur.</w:t>
            </w:r>
          </w:p>
          <w:p w:rsidR="0035701C" w:rsidRDefault="00FB561B">
            <w:pPr>
              <w:spacing w:before="240" w:after="240"/>
              <w:jc w:val="left"/>
              <w:rPr>
                <w:szCs w:val="24"/>
              </w:rPr>
            </w:pPr>
            <w:r>
              <w:rPr>
                <w:b/>
                <w:bCs/>
                <w:i/>
                <w:iCs/>
                <w:szCs w:val="24"/>
              </w:rPr>
              <w:t xml:space="preserve"> (*) Définition des « zones de renfort agro-pastorales » des ZAL : </w:t>
            </w:r>
          </w:p>
          <w:p w:rsidR="0035701C" w:rsidRDefault="00FB561B">
            <w:pPr>
              <w:spacing w:before="240" w:after="240"/>
              <w:jc w:val="left"/>
              <w:rPr>
                <w:szCs w:val="24"/>
              </w:rPr>
            </w:pPr>
            <w:r>
              <w:rPr>
                <w:i/>
                <w:iCs/>
                <w:szCs w:val="24"/>
              </w:rPr>
              <w:t xml:space="preserve">Une ZAL est caractérisée par une bande roulement sur laquelle s’appuie un débroussaillement de 100 m de large (en général 50 m de part et d’autre de la bande de </w:t>
            </w:r>
            <w:r>
              <w:rPr>
                <w:i/>
                <w:iCs/>
                <w:szCs w:val="24"/>
              </w:rPr>
              <w:t xml:space="preserve">roulement). Souvent, on constate une utilisation agro-pastorale des ZAL et des terrains en continuité de ces ouvrages. La réouverture ou l’entretien de ces terrains par des agriculteurs apparaît comme une opportunité pour renforcer en largeur ces ouvrages </w:t>
            </w:r>
            <w:r>
              <w:rPr>
                <w:i/>
                <w:iCs/>
                <w:szCs w:val="24"/>
              </w:rPr>
              <w:t xml:space="preserve">DFCI et leur conférer alors, une plus grande efficacité en cas d’incendies (lutte facilitée et sécurisée, réduction de la puissance du feu, etc….). Il est donc apparu intéressant de leur donner une définition précise qui est la suivante : on qualifiera de </w:t>
            </w:r>
            <w:r>
              <w:rPr>
                <w:i/>
                <w:iCs/>
                <w:szCs w:val="24"/>
              </w:rPr>
              <w:t xml:space="preserve">« zones renforts agricoles » les zones qui jouxtent la ZAL sur une longueur minimum de 100 mètres et sur une profondeur, soit de 100 mètres de part et d’autre de la ZAL, soit de 200 m d’un seul coté de la ZAL si l’on rencontre des limites liées au relief, </w:t>
            </w:r>
            <w:r>
              <w:rPr>
                <w:i/>
                <w:iCs/>
                <w:szCs w:val="24"/>
              </w:rPr>
              <w:t>à des problématiques foncières ou techniques.</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w:t>
            </w:r>
            <w:r>
              <w:rPr>
                <w:szCs w:val="24"/>
              </w:rPr>
              <w:t>ments de la ligne de base sont définis en conformité avec :</w:t>
            </w:r>
          </w:p>
          <w:p w:rsidR="0035701C" w:rsidRDefault="00FB561B" w:rsidP="00FB561B">
            <w:pPr>
              <w:numPr>
                <w:ilvl w:val="0"/>
                <w:numId w:val="702"/>
              </w:numPr>
              <w:spacing w:before="240" w:after="0"/>
              <w:ind w:hanging="210"/>
              <w:jc w:val="left"/>
              <w:rPr>
                <w:szCs w:val="24"/>
              </w:rPr>
            </w:pPr>
            <w:r>
              <w:rPr>
                <w:szCs w:val="24"/>
              </w:rPr>
              <w:t>les exigences établies en vertu de l’article 93 du Titre VI du règlement UE n° 1306/2013 relatif à la conditionnalité,</w:t>
            </w:r>
          </w:p>
          <w:p w:rsidR="0035701C" w:rsidRDefault="00FB561B" w:rsidP="00FB561B">
            <w:pPr>
              <w:numPr>
                <w:ilvl w:val="0"/>
                <w:numId w:val="702"/>
              </w:numPr>
              <w:spacing w:before="0" w:after="240"/>
              <w:ind w:hanging="210"/>
              <w:jc w:val="left"/>
              <w:rPr>
                <w:szCs w:val="24"/>
              </w:rPr>
            </w:pPr>
            <w:r>
              <w:rPr>
                <w:szCs w:val="24"/>
              </w:rPr>
              <w:t xml:space="preserve">les exigences établies en vertu de l’article 4.1c points ii) et iii) du </w:t>
            </w:r>
            <w:r>
              <w:rPr>
                <w:szCs w:val="24"/>
              </w:rPr>
              <w:t>règlement UE n°1307/2013 relatif à l’état d’entretien minimum des surfaces</w:t>
            </w:r>
          </w:p>
          <w:p w:rsidR="0035701C" w:rsidRDefault="00FB561B" w:rsidP="00FB561B">
            <w:pPr>
              <w:numPr>
                <w:ilvl w:val="0"/>
                <w:numId w:val="703"/>
              </w:numPr>
              <w:spacing w:before="240" w:after="240"/>
              <w:ind w:hanging="210"/>
              <w:jc w:val="left"/>
              <w:rPr>
                <w:szCs w:val="24"/>
              </w:rPr>
            </w:pPr>
            <w:r>
              <w:rPr>
                <w:szCs w:val="24"/>
              </w:rPr>
              <w:t>toute autre exigence pertinente établie par la réglementation nationale, tel le Code des Bonnes Pratiques Agricoles pris par arrêté du 22 novembre 1993</w:t>
            </w:r>
          </w:p>
          <w:p w:rsidR="0035701C" w:rsidRDefault="00FB561B">
            <w:pPr>
              <w:spacing w:before="240" w:after="240"/>
              <w:jc w:val="left"/>
              <w:rPr>
                <w:szCs w:val="24"/>
              </w:rPr>
            </w:pPr>
            <w:r>
              <w:rPr>
                <w:szCs w:val="24"/>
              </w:rPr>
              <w:t>Ces éléments sont détaillés a</w:t>
            </w:r>
            <w:r>
              <w:rPr>
                <w:szCs w:val="24"/>
              </w:rPr>
              <w:t>u paragraphe « Information spécifique à l’opération – Description de la ligne de base » de la présente fiche-opération.</w:t>
            </w:r>
          </w:p>
          <w:p w:rsidR="0035701C" w:rsidRDefault="00FB561B">
            <w:pPr>
              <w:spacing w:before="240" w:after="240"/>
              <w:jc w:val="left"/>
              <w:rPr>
                <w:szCs w:val="24"/>
              </w:rPr>
            </w:pPr>
            <w:r>
              <w:rPr>
                <w:szCs w:val="24"/>
              </w:rPr>
              <w:t>Afin d’exclure tout double paiement, les pratiques visées à l’article 43 du règlement UE n° 1307/2013 sont prises en compte dans le calc</w:t>
            </w:r>
            <w:r>
              <w:rPr>
                <w:szCs w:val="24"/>
              </w:rPr>
              <w:t>ul des surcoûts et manques à gagner. La méthode de calcul est détaillée au paragraphe « Information spécifique à l’opération – Méthode de calcul du montant » de la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Toute personne physique ou morale exerçant une </w:t>
            </w:r>
            <w:r>
              <w:rPr>
                <w:szCs w:val="24"/>
              </w:rPr>
              <w:t>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les surcoûts, manques à gagner et éventuels coûts d’opportunité et de transaction générés par le respect des éléments contractualisés.</w:t>
            </w:r>
          </w:p>
          <w:p w:rsidR="0035701C" w:rsidRDefault="00FB561B">
            <w:pPr>
              <w:spacing w:before="240" w:after="240"/>
              <w:jc w:val="left"/>
              <w:rPr>
                <w:szCs w:val="24"/>
              </w:rPr>
            </w:pPr>
            <w:r>
              <w:rPr>
                <w:szCs w:val="24"/>
              </w:rPr>
              <w:t>Dans le cas de cette opération, sont pris en compte les s</w:t>
            </w:r>
            <w:r>
              <w:rPr>
                <w:szCs w:val="24"/>
              </w:rPr>
              <w:t>urcoûts et le gain de production fourragère.</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La réalisation d’un diagnostic d’exploitation préalable à la souscription de cette opération est obligatoire.</w:t>
            </w:r>
          </w:p>
          <w:p w:rsidR="0035701C" w:rsidRDefault="00FB561B">
            <w:pPr>
              <w:spacing w:before="240" w:after="240"/>
              <w:jc w:val="left"/>
              <w:rPr>
                <w:szCs w:val="24"/>
              </w:rPr>
            </w:pPr>
            <w:r>
              <w:rPr>
                <w:b/>
                <w:bCs/>
                <w:i/>
                <w:iCs/>
                <w:szCs w:val="24"/>
              </w:rPr>
              <w:t>Surfaces éligibles:</w:t>
            </w:r>
            <w:r>
              <w:rPr>
                <w:szCs w:val="24"/>
              </w:rPr>
              <w:t xml:space="preserve"> les maquis à cistes, arbousier, bruyère, filaire, fr</w:t>
            </w:r>
            <w:r>
              <w:rPr>
                <w:szCs w:val="24"/>
              </w:rPr>
              <w:t>uticées montagnardes….non mécanisables.</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de l’aide est de </w:t>
            </w:r>
            <w:r>
              <w:rPr>
                <w:b/>
                <w:bCs/>
                <w:szCs w:val="24"/>
              </w:rPr>
              <w:t xml:space="preserve">387,32 € / ha / an </w:t>
            </w:r>
            <w:r>
              <w:rPr>
                <w:szCs w:val="24"/>
              </w:rPr>
              <w:t xml:space="preserve">pour l’engagement </w:t>
            </w:r>
            <w:r>
              <w:rPr>
                <w:b/>
                <w:bCs/>
                <w:szCs w:val="24"/>
              </w:rPr>
              <w:t>hors option</w:t>
            </w:r>
            <w:r>
              <w:rPr>
                <w:szCs w:val="24"/>
              </w:rPr>
              <w:t xml:space="preserve">, et de </w:t>
            </w:r>
            <w:r>
              <w:rPr>
                <w:b/>
                <w:bCs/>
                <w:szCs w:val="24"/>
              </w:rPr>
              <w:t>579,80 € / ha / an</w:t>
            </w:r>
            <w:r>
              <w:rPr>
                <w:szCs w:val="24"/>
              </w:rPr>
              <w:t xml:space="preserve"> pour l’engagement </w:t>
            </w:r>
            <w:r>
              <w:rPr>
                <w:b/>
                <w:bCs/>
                <w:szCs w:val="24"/>
              </w:rPr>
              <w:t>avec l’option</w:t>
            </w:r>
            <w:r>
              <w:rPr>
                <w:szCs w:val="24"/>
              </w:rPr>
              <w:t xml:space="preserve"> auquel vient s’ajouter une somme forfaitaire de </w:t>
            </w:r>
            <w:r>
              <w:rPr>
                <w:b/>
                <w:bCs/>
                <w:szCs w:val="24"/>
              </w:rPr>
              <w:t>57,18 €/an</w:t>
            </w:r>
            <w:r>
              <w:rPr>
                <w:szCs w:val="24"/>
              </w:rPr>
              <w:t xml:space="preserve"> liée à l’enregistrement des pratiques et des interventions.</w:t>
            </w:r>
          </w:p>
          <w:p w:rsidR="0035701C" w:rsidRDefault="00FB561B">
            <w:pPr>
              <w:spacing w:before="240" w:after="240"/>
              <w:jc w:val="left"/>
              <w:rPr>
                <w:szCs w:val="24"/>
              </w:rPr>
            </w:pPr>
            <w:r>
              <w:rPr>
                <w:szCs w:val="24"/>
              </w:rPr>
              <w:t xml:space="preserve">Concernant </w:t>
            </w:r>
            <w:r>
              <w:rPr>
                <w:szCs w:val="24"/>
                <w:u w:val="single"/>
              </w:rPr>
              <w:t>cet engagement AVEC OPTION</w:t>
            </w:r>
            <w:r>
              <w:rPr>
                <w:szCs w:val="24"/>
              </w:rPr>
              <w:t>, et étant d</w:t>
            </w:r>
            <w:r>
              <w:rPr>
                <w:szCs w:val="24"/>
              </w:rPr>
              <w:t xml:space="preserve">onné que le plafond communautaire pour ce type de couvert (autres utilisations des terres) est de 450 €/ha/an, le montant unitaire réellement appliqué dans ce cas sera de </w:t>
            </w:r>
            <w:r>
              <w:rPr>
                <w:b/>
                <w:bCs/>
                <w:szCs w:val="24"/>
              </w:rPr>
              <w:t>450 €/ha/an</w:t>
            </w:r>
            <w:r>
              <w:rPr>
                <w:szCs w:val="24"/>
              </w:rPr>
              <w:t xml:space="preserve"> (forfait compris).</w:t>
            </w:r>
          </w:p>
          <w:p w:rsidR="0035701C" w:rsidRDefault="0035701C">
            <w:pPr>
              <w:pStyle w:val="Corpsdetexte"/>
            </w:pPr>
          </w:p>
        </w:tc>
      </w:tr>
    </w:tbl>
    <w:p w:rsidR="0035701C" w:rsidRDefault="00FB561B">
      <w:pPr>
        <w:pStyle w:val="Titre6"/>
      </w:pPr>
      <w:r>
        <w:t>Caractère vérifiable et contrôlable des mesures et/o</w:t>
      </w:r>
      <w:r>
        <w:t>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des éléments du niveau de </w:t>
      </w:r>
      <w:r>
        <w:t>référence applicable, qui doivent inclure les normes obligatoires établies en application du titre VI, chapitre I, du règlement (UE) n° 1306/2013 du Parlement européen et du Conseil, les critères pertinents et les activités minimales établies en applicatio</w:t>
      </w:r>
      <w:r>
        <w:t>n de l'article 4, paragraphe 1, point c) ii) et c) iii), du règlement (UE) n° 1307/2013 du Parlement européen et du Conseil, les exigences minimales applicables à l'utilisation des engrais et des produits phytosanitaire ainsi que les autres exigences oblig</w:t>
      </w:r>
      <w:r>
        <w:t>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Dans cette opération, il n’y a aucune interaction avec les différents éléments réglementaires décrits dans la section 8.1 du présent programme.</w:t>
            </w:r>
          </w:p>
          <w:p w:rsidR="0035701C" w:rsidRDefault="00FB561B">
            <w:pPr>
              <w:spacing w:before="240" w:after="240"/>
              <w:jc w:val="left"/>
              <w:rPr>
                <w:szCs w:val="24"/>
              </w:rPr>
            </w:pPr>
            <w:r>
              <w:rPr>
                <w:szCs w:val="24"/>
              </w:rPr>
              <w:t>Si les pratiques rémunérées au titre de la pr</w:t>
            </w:r>
            <w:r>
              <w:rPr>
                <w:szCs w:val="24"/>
              </w:rPr>
              <w:t>ésente opération sont rendues obligatoires sur des zones au titre de la protection de la biodiversité (notamment des zones classées au titre des réserves naturelles des arrêtés de protection de biotopes), celle-ci ne peut être ouverte sur les zones concern</w:t>
            </w:r>
            <w:r>
              <w:rPr>
                <w:szCs w:val="24"/>
              </w:rPr>
              <w:t>ées.</w:t>
            </w:r>
          </w:p>
          <w:p w:rsidR="0035701C" w:rsidRDefault="0035701C">
            <w:pPr>
              <w:pStyle w:val="Corpsdetexte"/>
            </w:pPr>
          </w:p>
        </w:tc>
      </w:tr>
    </w:tbl>
    <w:p w:rsidR="0035701C" w:rsidRDefault="00FB561B">
      <w:r>
        <w:t xml:space="preserve">Les exigences minimales relatives à l'utilisation d'engrais doivent comprendre, entre autres, le respect des codes de bonnes pratiques introduits au titre de la directive 91/676/CEE pour les exploitations situées en dehors des zones vulnérables aux </w:t>
      </w:r>
      <w:r>
        <w:t>nitrates, et des exigences concernant la pollution au phosphore; les exigences minimales relatives à l'utilisation de produits phytosanitaires doivent comprendre, entre autres, les principes généraux de la lutte intégrée contre les ennemis des cultures int</w:t>
      </w:r>
      <w:r>
        <w:t>roduits par la directive 2009/128/CE du Parlement européen et du Conseil, l’obligation de détenir une autorisation d’utiliser les produits, de satisfaire aux conditions de formation, d’assurer un stockage sûr et de contrôler les équipements destinés à l’ép</w:t>
      </w:r>
      <w:r>
        <w:t>andage ainsi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Liste des races lo</w:t>
      </w:r>
      <w:r>
        <w:t>cales 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préservation des ressources génétiques.</w:t>
            </w:r>
          </w:p>
          <w:p w:rsidR="0035701C" w:rsidRDefault="0035701C">
            <w:pPr>
              <w:pStyle w:val="Corpsdetexte"/>
            </w:pPr>
          </w:p>
        </w:tc>
      </w:tr>
    </w:tbl>
    <w:p w:rsidR="0035701C" w:rsidRDefault="00FB561B">
      <w:r>
        <w:t xml:space="preserve">Description de la méthode et des hypothèses </w:t>
      </w:r>
      <w:r>
        <w:t>et paramètres agronomiques y compris la description des exigences minimales visées à l'article 29, paragraphe 2, du règlement (UE) n° 1305/2013 correspondant à chaque type particulier d'engagement, utilisés comme référence pour les calculs justifiant les c</w:t>
      </w:r>
      <w:r>
        <w:t>oûts supplémentaires et les pertes de revenus résultant de l’engagement pris et le niveau des coûts des transactions; le cas échéant, cette méthode tient compte des aides accordées au titre du règlement (UE) n° 1307/2013, et notamment des paiements en fave</w:t>
      </w:r>
      <w:r>
        <w:t>ur des pratiques agricoles bénéfiques pour le climat et l’environnement, afin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Pratiques de référence</w:t>
            </w:r>
            <w:r>
              <w:rPr>
                <w:szCs w:val="24"/>
              </w:rPr>
              <w:t> : les mi</w:t>
            </w:r>
            <w:r>
              <w:rPr>
                <w:szCs w:val="24"/>
              </w:rPr>
              <w:t>lieux visés non mécanisables sont uniquement exploités par un pâturage extensif</w:t>
            </w:r>
          </w:p>
          <w:p w:rsidR="0035701C" w:rsidRDefault="00FB561B">
            <w:pPr>
              <w:spacing w:before="240" w:after="240"/>
              <w:jc w:val="left"/>
              <w:rPr>
                <w:szCs w:val="24"/>
              </w:rPr>
            </w:pPr>
            <w:r>
              <w:rPr>
                <w:b/>
                <w:bCs/>
                <w:i/>
                <w:iCs/>
                <w:szCs w:val="24"/>
              </w:rPr>
              <w:t xml:space="preserve">Prise en compte du verdissement : </w:t>
            </w:r>
            <w:r>
              <w:rPr>
                <w:szCs w:val="24"/>
              </w:rPr>
              <w:t>afin d’exclure tout double paiement, les pratiques rémunérées au titre du verdissement sont prises en compte de la façon suivante dans le calc</w:t>
            </w:r>
            <w:r>
              <w:rPr>
                <w:szCs w:val="24"/>
              </w:rPr>
              <w:t>ul du montant unitaire de cette opération :</w:t>
            </w:r>
          </w:p>
          <w:p w:rsidR="0035701C" w:rsidRDefault="00FB561B" w:rsidP="00FB561B">
            <w:pPr>
              <w:numPr>
                <w:ilvl w:val="0"/>
                <w:numId w:val="704"/>
              </w:numPr>
              <w:spacing w:before="240" w:after="0"/>
              <w:ind w:hanging="210"/>
              <w:jc w:val="left"/>
              <w:rPr>
                <w:szCs w:val="24"/>
              </w:rPr>
            </w:pPr>
            <w:r>
              <w:rPr>
                <w:szCs w:val="24"/>
              </w:rPr>
              <w:t>maintien de prairies permanentes existantes : cette exigence n’a pas d’interaction avec cette opération,</w:t>
            </w:r>
          </w:p>
          <w:p w:rsidR="0035701C" w:rsidRDefault="00FB561B" w:rsidP="00FB561B">
            <w:pPr>
              <w:numPr>
                <w:ilvl w:val="0"/>
                <w:numId w:val="704"/>
              </w:numPr>
              <w:spacing w:before="0" w:after="0"/>
              <w:ind w:hanging="210"/>
              <w:jc w:val="left"/>
              <w:rPr>
                <w:szCs w:val="24"/>
              </w:rPr>
            </w:pPr>
            <w:r>
              <w:rPr>
                <w:szCs w:val="24"/>
              </w:rPr>
              <w:t xml:space="preserve">présence de 5 % de SIE (Surfaces d’Intérêt Ecologique) sur les terres arables : cette exigence n’a pas </w:t>
            </w:r>
            <w:r>
              <w:rPr>
                <w:szCs w:val="24"/>
              </w:rPr>
              <w:t>d’interaction avec cette opération,</w:t>
            </w:r>
          </w:p>
          <w:p w:rsidR="0035701C" w:rsidRDefault="00FB561B" w:rsidP="00FB561B">
            <w:pPr>
              <w:numPr>
                <w:ilvl w:val="0"/>
                <w:numId w:val="704"/>
              </w:numPr>
              <w:spacing w:before="0" w:after="240"/>
              <w:ind w:hanging="210"/>
              <w:jc w:val="left"/>
              <w:rPr>
                <w:szCs w:val="24"/>
              </w:rPr>
            </w:pPr>
            <w:r>
              <w:rPr>
                <w:szCs w:val="24"/>
              </w:rPr>
              <w:t>diversification des cultures : cette exigence n’a pas d’interaction avec cette opération.</w:t>
            </w:r>
          </w:p>
          <w:p w:rsidR="0035701C" w:rsidRDefault="00FB561B">
            <w:pPr>
              <w:spacing w:before="240" w:after="240"/>
              <w:jc w:val="left"/>
              <w:rPr>
                <w:szCs w:val="24"/>
              </w:rPr>
            </w:pPr>
            <w:r>
              <w:rPr>
                <w:b/>
                <w:bCs/>
                <w:i/>
                <w:iCs/>
                <w:szCs w:val="24"/>
              </w:rPr>
              <w:t>Méthode générale de calcul du montant :</w:t>
            </w:r>
            <w:r>
              <w:rPr>
                <w:szCs w:val="24"/>
              </w:rPr>
              <w:t xml:space="preserve"> le montant de l’aide est calculé sur la base de l’utilisation du matériel et du temps de t</w:t>
            </w:r>
            <w:r>
              <w:rPr>
                <w:szCs w:val="24"/>
              </w:rPr>
              <w:t>ravail supplémentaire nécessaire pour lutter manuellement contre le développement des rejets ligneux et des adventices (option), par rapport à l’entretien minimal requis dans la conditionnalité. Un homme équipé d'une débroussailleuse motorisée peut en 1 he</w:t>
            </w:r>
            <w:r>
              <w:rPr>
                <w:szCs w:val="24"/>
              </w:rPr>
              <w:t>ure, traiter en moyenne 450 m2 de surface composée de rejets ligneux et autres végétaux indésirables. Pour nettoyer 1 hectare de surface avec cet outil porté, il est donc nécessaire de prévoir 22 h de travail. Le surcoût lié au temps d’enregistrement des i</w:t>
            </w:r>
            <w:r>
              <w:rPr>
                <w:szCs w:val="24"/>
              </w:rPr>
              <w:t>nterventions et des pratiques est rémunéré sous forme forfaitaire indépendamment de la surface engagée. Il n’y a pas, dans cette opération, de coût de transaction.</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705"/>
              </w:numPr>
              <w:spacing w:before="240" w:after="0"/>
              <w:ind w:hanging="210"/>
              <w:jc w:val="left"/>
              <w:rPr>
                <w:szCs w:val="24"/>
              </w:rPr>
            </w:pPr>
            <w:r>
              <w:rPr>
                <w:szCs w:val="24"/>
              </w:rPr>
              <w:t>coût du matériel:</w:t>
            </w:r>
            <w:r>
              <w:rPr>
                <w:i/>
                <w:iCs/>
                <w:szCs w:val="24"/>
              </w:rPr>
              <w:t xml:space="preserve"> Bureau de Coordination du Machinisme Agricole (BCMA), </w:t>
            </w:r>
            <w:r>
              <w:rPr>
                <w:i/>
                <w:iCs/>
                <w:szCs w:val="24"/>
              </w:rPr>
              <w:t>barème des façons culturales</w:t>
            </w:r>
            <w:r>
              <w:rPr>
                <w:szCs w:val="24"/>
              </w:rPr>
              <w:t xml:space="preserve"> </w:t>
            </w:r>
            <w:r>
              <w:rPr>
                <w:i/>
                <w:iCs/>
                <w:szCs w:val="24"/>
              </w:rPr>
              <w:t xml:space="preserve">2014 </w:t>
            </w:r>
          </w:p>
          <w:p w:rsidR="0035701C" w:rsidRDefault="00FB561B" w:rsidP="00FB561B">
            <w:pPr>
              <w:numPr>
                <w:ilvl w:val="0"/>
                <w:numId w:val="705"/>
              </w:numPr>
              <w:spacing w:before="0" w:after="0"/>
              <w:ind w:hanging="210"/>
              <w:jc w:val="left"/>
              <w:rPr>
                <w:szCs w:val="24"/>
              </w:rPr>
            </w:pPr>
            <w:r>
              <w:rPr>
                <w:szCs w:val="24"/>
              </w:rPr>
              <w:t>niveaux de production fourragère et valeur en UFL:</w:t>
            </w:r>
            <w:r>
              <w:rPr>
                <w:i/>
                <w:iCs/>
                <w:szCs w:val="24"/>
              </w:rPr>
              <w:t xml:space="preserve"> références locales issues du réseau régional d’expérimentations fourragères et de démonstrations (Office du Développement Agricole et Rural de Corse et Office de l’Environnement de la Corse)</w:t>
            </w:r>
          </w:p>
          <w:p w:rsidR="0035701C" w:rsidRDefault="00FB561B" w:rsidP="00FB561B">
            <w:pPr>
              <w:numPr>
                <w:ilvl w:val="0"/>
                <w:numId w:val="705"/>
              </w:numPr>
              <w:spacing w:before="0" w:after="0"/>
              <w:ind w:hanging="210"/>
              <w:jc w:val="left"/>
              <w:rPr>
                <w:szCs w:val="24"/>
              </w:rPr>
            </w:pPr>
            <w:r>
              <w:rPr>
                <w:szCs w:val="24"/>
              </w:rPr>
              <w:t>rendement et temps de travail </w:t>
            </w:r>
            <w:r>
              <w:rPr>
                <w:i/>
                <w:iCs/>
                <w:szCs w:val="24"/>
              </w:rPr>
              <w:t>: références d’entreprises locales</w:t>
            </w:r>
            <w:r>
              <w:rPr>
                <w:i/>
                <w:iCs/>
                <w:szCs w:val="24"/>
              </w:rPr>
              <w:t xml:space="preserve"> de débroussaillement </w:t>
            </w:r>
          </w:p>
          <w:p w:rsidR="0035701C" w:rsidRDefault="00FB561B" w:rsidP="00FB561B">
            <w:pPr>
              <w:numPr>
                <w:ilvl w:val="0"/>
                <w:numId w:val="705"/>
              </w:numPr>
              <w:spacing w:before="0" w:after="0"/>
              <w:ind w:hanging="210"/>
              <w:jc w:val="left"/>
              <w:rPr>
                <w:szCs w:val="24"/>
              </w:rPr>
            </w:pPr>
            <w:r>
              <w:rPr>
                <w:szCs w:val="24"/>
              </w:rPr>
              <w:t>coût UFL :</w:t>
            </w:r>
            <w:r>
              <w:rPr>
                <w:i/>
                <w:iCs/>
                <w:szCs w:val="24"/>
              </w:rPr>
              <w:t xml:space="preserve"> coopératives locales</w:t>
            </w:r>
          </w:p>
          <w:p w:rsidR="0035701C" w:rsidRDefault="00FB561B" w:rsidP="00FB561B">
            <w:pPr>
              <w:numPr>
                <w:ilvl w:val="0"/>
                <w:numId w:val="705"/>
              </w:numPr>
              <w:spacing w:before="0" w:after="240"/>
              <w:ind w:hanging="210"/>
              <w:jc w:val="left"/>
              <w:rPr>
                <w:szCs w:val="24"/>
              </w:rPr>
            </w:pPr>
            <w:r>
              <w:rPr>
                <w:szCs w:val="24"/>
              </w:rPr>
              <w:t xml:space="preserve">coût horaire de main d’œuvre : </w:t>
            </w:r>
            <w:r>
              <w:rPr>
                <w:i/>
                <w:iCs/>
                <w:szCs w:val="24"/>
              </w:rPr>
              <w:t>2 fois le coût horaire du SMIC (1er janvier 2014)</w:t>
            </w:r>
          </w:p>
          <w:p w:rsidR="0035701C" w:rsidRDefault="00FB561B">
            <w:pPr>
              <w:spacing w:before="240" w:after="240"/>
              <w:jc w:val="left"/>
              <w:rPr>
                <w:szCs w:val="24"/>
              </w:rPr>
            </w:pPr>
            <w:r>
              <w:rPr>
                <w:szCs w:val="24"/>
              </w:rPr>
              <w:t> </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115050" cy="6315075"/>
                  <wp:effectExtent l="0" t="0" r="0" b="0"/>
                  <wp:docPr id="100154" name="Image 100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5" name=""/>
                          <pic:cNvPicPr>
                            <a:picLocks noChangeAspect="1"/>
                          </pic:cNvPicPr>
                        </pic:nvPicPr>
                        <pic:blipFill>
                          <a:blip r:embed="rId89"/>
                          <a:stretch>
                            <a:fillRect/>
                          </a:stretch>
                        </pic:blipFill>
                        <pic:spPr>
                          <a:xfrm>
                            <a:off x="0" y="0"/>
                            <a:ext cx="6115050" cy="6315075"/>
                          </a:xfrm>
                          <a:prstGeom prst="rect">
                            <a:avLst/>
                          </a:prstGeom>
                        </pic:spPr>
                      </pic:pic>
                    </a:graphicData>
                  </a:graphic>
                </wp:inline>
              </w:drawing>
            </w:r>
          </w:p>
          <w:p w:rsidR="0035701C" w:rsidRDefault="00FB561B">
            <w:pPr>
              <w:pStyle w:val="Pieddepage"/>
              <w:jc w:val="center"/>
            </w:pPr>
            <w:r>
              <w:t>Parcours_5</w:t>
            </w:r>
          </w:p>
          <w:p w:rsidR="0035701C" w:rsidRDefault="0035701C">
            <w:pPr>
              <w:pStyle w:val="Pieddepage"/>
              <w:jc w:val="center"/>
            </w:pPr>
          </w:p>
        </w:tc>
      </w:tr>
    </w:tbl>
    <w:p w:rsidR="0035701C" w:rsidRDefault="00FB561B">
      <w:pPr>
        <w:pStyle w:val="Titre5"/>
        <w:rPr>
          <w:b w:val="0"/>
        </w:rPr>
      </w:pPr>
      <w:r>
        <w:rPr>
          <w:b w:val="0"/>
        </w:rPr>
        <w:br w:type="page"/>
        <w:t>-17- Parcours_6</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706"/>
              </w:numPr>
            </w:pPr>
            <w:r>
              <w:t xml:space="preserve">10.1 – Paiements au titre d'engagements agroenvironnementaux et </w:t>
            </w:r>
            <w:r>
              <w:t>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PARCOURS_6 =  Maintien des paysages par la gestion pastorale</w:t>
            </w:r>
          </w:p>
          <w:p w:rsidR="0035701C" w:rsidRDefault="00FB561B">
            <w:pPr>
              <w:spacing w:before="240" w:after="240"/>
              <w:jc w:val="left"/>
              <w:rPr>
                <w:szCs w:val="24"/>
              </w:rPr>
            </w:pPr>
            <w:r>
              <w:rPr>
                <w:szCs w:val="24"/>
              </w:rPr>
              <w:t xml:space="preserve">Les zones à vocation pastorale (estives, landes, parcours, pelouses …) sont composées d’une mosaïque de milieux (strates </w:t>
            </w:r>
            <w:r>
              <w:rPr>
                <w:szCs w:val="24"/>
              </w:rPr>
              <w:t>herbacées et ligneux bas et/ou quelques ligneux hauts) qui font la richesse biologique de ces espaces.</w:t>
            </w:r>
          </w:p>
          <w:p w:rsidR="0035701C" w:rsidRDefault="00FB561B">
            <w:pPr>
              <w:spacing w:before="240" w:after="240"/>
              <w:jc w:val="left"/>
              <w:rPr>
                <w:szCs w:val="24"/>
              </w:rPr>
            </w:pPr>
            <w:r>
              <w:rPr>
                <w:szCs w:val="24"/>
              </w:rPr>
              <w:t xml:space="preserve">Cet engagement vise au maintien de cette mosaïque en adaptant les conditions de pâturage à la spécificité de ces milieux, en se basant sur </w:t>
            </w:r>
            <w:r>
              <w:rPr>
                <w:szCs w:val="24"/>
                <w:u w:val="single"/>
              </w:rPr>
              <w:t>un plan de ges</w:t>
            </w:r>
            <w:r>
              <w:rPr>
                <w:szCs w:val="24"/>
                <w:u w:val="single"/>
              </w:rPr>
              <w:t>tion pastoral</w:t>
            </w:r>
            <w:r>
              <w:rPr>
                <w:szCs w:val="24"/>
              </w:rPr>
              <w:t xml:space="preserve">. Celui-ci, </w:t>
            </w:r>
            <w:r>
              <w:rPr>
                <w:szCs w:val="24"/>
                <w:u w:val="single"/>
              </w:rPr>
              <w:t>réalisé par les techniciens de la chambre d’agriculture,</w:t>
            </w:r>
            <w:r>
              <w:rPr>
                <w:szCs w:val="24"/>
              </w:rPr>
              <w:t xml:space="preserve"> viendra en complément du diagnostic d'exploitation. C’est un plan individuel, sans valeur réglementaire, qui vise, dans les milieux en landes, parcours ligneux, estives, pelo</w:t>
            </w:r>
            <w:r>
              <w:rPr>
                <w:szCs w:val="24"/>
              </w:rPr>
              <w:t>uses....à mettre en œuvre des actions de gestion de la ressource bénéfiques à l'environnement. Il s'agit non seulement d'entretenir l'espace par la pression alimentaire (pâturage), mais aussi d'agir spécifiquement sur la conduite du troupeau en fonction de</w:t>
            </w:r>
            <w:r>
              <w:rPr>
                <w:szCs w:val="24"/>
              </w:rPr>
              <w:t>s différents faciès de végétation relevés dans le diagnostic. En effet, l’exploitation par les herbivores nécessite une gestion rigoureuse des troupeaux si l’on veut pouvoir conserver aux maquis, estives ou pelouses, un intérêt alimentaire tout en maintena</w:t>
            </w:r>
            <w:r>
              <w:rPr>
                <w:szCs w:val="24"/>
              </w:rPr>
              <w:t>nt leur richesse floristique.</w:t>
            </w:r>
          </w:p>
          <w:p w:rsidR="0035701C" w:rsidRDefault="00FB561B">
            <w:pPr>
              <w:spacing w:before="240" w:after="240"/>
              <w:jc w:val="left"/>
              <w:rPr>
                <w:szCs w:val="24"/>
              </w:rPr>
            </w:pPr>
            <w:r>
              <w:rPr>
                <w:szCs w:val="24"/>
              </w:rPr>
              <w:t xml:space="preserve">Le plan de gestion pastoral de la SAU des exploitations souhaitant souscrire cet engagement, va donc s’efforcer, à l’issue du relevé des différents faciès de végétation, de préciser les modalités du pâturage les plus adaptées </w:t>
            </w:r>
            <w:r>
              <w:rPr>
                <w:szCs w:val="24"/>
              </w:rPr>
              <w:t xml:space="preserve">pour la préservation de ces milieux ; sachant que l’objectif de l’engagement est de s’assurer que l’ensemble des couverts engagés seront utilisés de manière à lutter contre leur fermeture. Ce plan établit un prévisionnel d'utilisation de l'unité pastorale </w:t>
            </w:r>
            <w:r>
              <w:rPr>
                <w:szCs w:val="24"/>
              </w:rPr>
              <w:t>qui détermine:</w:t>
            </w:r>
          </w:p>
          <w:p w:rsidR="0035701C" w:rsidRDefault="00FB561B" w:rsidP="00FB561B">
            <w:pPr>
              <w:numPr>
                <w:ilvl w:val="0"/>
                <w:numId w:val="707"/>
              </w:numPr>
              <w:spacing w:before="240" w:after="0"/>
              <w:ind w:hanging="210"/>
              <w:jc w:val="left"/>
              <w:rPr>
                <w:szCs w:val="24"/>
              </w:rPr>
            </w:pPr>
            <w:r>
              <w:rPr>
                <w:szCs w:val="24"/>
              </w:rPr>
              <w:t>l’organisation des circuits de pâturage en fonction des secteurs « ressources »,</w:t>
            </w:r>
          </w:p>
          <w:p w:rsidR="0035701C" w:rsidRDefault="00FB561B" w:rsidP="00FB561B">
            <w:pPr>
              <w:numPr>
                <w:ilvl w:val="0"/>
                <w:numId w:val="707"/>
              </w:numPr>
              <w:spacing w:before="0" w:after="240"/>
              <w:ind w:hanging="210"/>
              <w:jc w:val="left"/>
              <w:rPr>
                <w:szCs w:val="24"/>
              </w:rPr>
            </w:pPr>
            <w:r>
              <w:rPr>
                <w:szCs w:val="24"/>
              </w:rPr>
              <w:t>l’implantation des parcs clôturés (fixes) et les obligations de gestion afférentes :</w:t>
            </w:r>
          </w:p>
          <w:p w:rsidR="0035701C" w:rsidRDefault="00FB561B" w:rsidP="00FB561B">
            <w:pPr>
              <w:numPr>
                <w:ilvl w:val="0"/>
                <w:numId w:val="708"/>
              </w:numPr>
              <w:spacing w:before="240" w:after="0"/>
              <w:ind w:left="1320" w:hanging="244"/>
              <w:jc w:val="left"/>
              <w:rPr>
                <w:szCs w:val="24"/>
              </w:rPr>
            </w:pPr>
            <w:r>
              <w:rPr>
                <w:szCs w:val="24"/>
              </w:rPr>
              <w:t>un chargement adapté,</w:t>
            </w:r>
          </w:p>
          <w:p w:rsidR="0035701C" w:rsidRDefault="00FB561B" w:rsidP="00FB561B">
            <w:pPr>
              <w:numPr>
                <w:ilvl w:val="0"/>
                <w:numId w:val="708"/>
              </w:numPr>
              <w:spacing w:before="0" w:after="0"/>
              <w:ind w:left="1320" w:hanging="244"/>
              <w:jc w:val="left"/>
              <w:rPr>
                <w:szCs w:val="24"/>
              </w:rPr>
            </w:pPr>
            <w:r>
              <w:rPr>
                <w:szCs w:val="24"/>
              </w:rPr>
              <w:t>les périodes d’utilisation de chaque parc,</w:t>
            </w:r>
          </w:p>
          <w:p w:rsidR="0035701C" w:rsidRDefault="00FB561B" w:rsidP="00FB561B">
            <w:pPr>
              <w:numPr>
                <w:ilvl w:val="0"/>
                <w:numId w:val="708"/>
              </w:numPr>
              <w:spacing w:before="0" w:after="0"/>
              <w:ind w:left="1320" w:hanging="244"/>
              <w:jc w:val="left"/>
              <w:rPr>
                <w:szCs w:val="24"/>
              </w:rPr>
            </w:pPr>
            <w:r>
              <w:rPr>
                <w:szCs w:val="24"/>
              </w:rPr>
              <w:t xml:space="preserve">le niveau </w:t>
            </w:r>
            <w:r>
              <w:rPr>
                <w:szCs w:val="24"/>
              </w:rPr>
              <w:t>de consommation des différentes strates,</w:t>
            </w:r>
          </w:p>
          <w:p w:rsidR="0035701C" w:rsidRDefault="00FB561B" w:rsidP="00FB561B">
            <w:pPr>
              <w:numPr>
                <w:ilvl w:val="0"/>
                <w:numId w:val="708"/>
              </w:numPr>
              <w:spacing w:before="0" w:after="240"/>
              <w:ind w:left="1320" w:hanging="244"/>
              <w:jc w:val="left"/>
              <w:rPr>
                <w:szCs w:val="24"/>
              </w:rPr>
            </w:pPr>
            <w:r>
              <w:rPr>
                <w:szCs w:val="24"/>
              </w:rPr>
              <w:t>l’enregistrement des dates d’entrée et de sortie des animaux,</w:t>
            </w:r>
          </w:p>
          <w:p w:rsidR="0035701C" w:rsidRDefault="00FB561B" w:rsidP="00FB561B">
            <w:pPr>
              <w:numPr>
                <w:ilvl w:val="0"/>
                <w:numId w:val="709"/>
              </w:numPr>
              <w:spacing w:before="240" w:after="0"/>
              <w:ind w:hanging="210"/>
              <w:jc w:val="left"/>
              <w:rPr>
                <w:szCs w:val="24"/>
              </w:rPr>
            </w:pPr>
            <w:r>
              <w:rPr>
                <w:szCs w:val="24"/>
              </w:rPr>
              <w:t> la pose et dépose éventuelle de clôtures mobiles,</w:t>
            </w:r>
          </w:p>
          <w:p w:rsidR="0035701C" w:rsidRDefault="00FB561B" w:rsidP="00FB561B">
            <w:pPr>
              <w:numPr>
                <w:ilvl w:val="0"/>
                <w:numId w:val="709"/>
              </w:numPr>
              <w:spacing w:before="0" w:after="0"/>
              <w:ind w:hanging="210"/>
              <w:jc w:val="left"/>
              <w:rPr>
                <w:szCs w:val="24"/>
              </w:rPr>
            </w:pPr>
            <w:r>
              <w:rPr>
                <w:szCs w:val="24"/>
              </w:rPr>
              <w:t>la tenue d’un cahier de complémentation (type d’aliment et lieu de distribution),</w:t>
            </w:r>
          </w:p>
          <w:p w:rsidR="0035701C" w:rsidRDefault="00FB561B" w:rsidP="00FB561B">
            <w:pPr>
              <w:numPr>
                <w:ilvl w:val="0"/>
                <w:numId w:val="709"/>
              </w:numPr>
              <w:spacing w:before="0" w:after="240"/>
              <w:ind w:hanging="210"/>
              <w:jc w:val="left"/>
              <w:rPr>
                <w:szCs w:val="24"/>
              </w:rPr>
            </w:pPr>
            <w:r>
              <w:rPr>
                <w:szCs w:val="24"/>
              </w:rPr>
              <w:t>l’installation ou le</w:t>
            </w:r>
            <w:r>
              <w:rPr>
                <w:szCs w:val="24"/>
              </w:rPr>
              <w:t xml:space="preserve"> déplacement éventuel des points d’eau.</w:t>
            </w:r>
          </w:p>
          <w:p w:rsidR="0035701C" w:rsidRDefault="00FB561B">
            <w:pPr>
              <w:spacing w:before="240" w:after="240"/>
              <w:jc w:val="left"/>
              <w:rPr>
                <w:szCs w:val="24"/>
              </w:rPr>
            </w:pPr>
            <w:r>
              <w:rPr>
                <w:szCs w:val="24"/>
              </w:rPr>
              <w:t xml:space="preserve">Afin d’avoir une action cohérente ayant un réel impact sur le territoire, cette opération ne pourra être mise en œuvre qu’à partir </w:t>
            </w:r>
            <w:r>
              <w:rPr>
                <w:b/>
                <w:bCs/>
                <w:szCs w:val="24"/>
              </w:rPr>
              <w:t>d’une surface minimale de 10 ha.</w:t>
            </w:r>
          </w:p>
          <w:p w:rsidR="0035701C" w:rsidRDefault="00FB561B">
            <w:pPr>
              <w:spacing w:before="240" w:after="240"/>
              <w:jc w:val="left"/>
              <w:rPr>
                <w:szCs w:val="24"/>
              </w:rPr>
            </w:pPr>
            <w:r>
              <w:rPr>
                <w:b/>
                <w:bCs/>
                <w:i/>
                <w:iCs/>
                <w:szCs w:val="24"/>
              </w:rPr>
              <w:t>Cahier des charges</w:t>
            </w:r>
            <w:r>
              <w:rPr>
                <w:szCs w:val="24"/>
              </w:rPr>
              <w:t> :</w:t>
            </w:r>
          </w:p>
          <w:p w:rsidR="0035701C" w:rsidRDefault="00FB561B" w:rsidP="00FB561B">
            <w:pPr>
              <w:numPr>
                <w:ilvl w:val="0"/>
                <w:numId w:val="710"/>
              </w:numPr>
              <w:spacing w:before="240" w:after="0"/>
              <w:ind w:hanging="210"/>
              <w:jc w:val="left"/>
              <w:rPr>
                <w:szCs w:val="24"/>
              </w:rPr>
            </w:pPr>
            <w:r>
              <w:rPr>
                <w:szCs w:val="24"/>
              </w:rPr>
              <w:t xml:space="preserve">l’agriculteur s’engage à faire </w:t>
            </w:r>
            <w:r>
              <w:rPr>
                <w:szCs w:val="24"/>
              </w:rPr>
              <w:t>élaborer, par une structure agréée, le plan de gestion pastorale,</w:t>
            </w:r>
          </w:p>
          <w:p w:rsidR="0035701C" w:rsidRDefault="00FB561B" w:rsidP="00FB561B">
            <w:pPr>
              <w:numPr>
                <w:ilvl w:val="0"/>
                <w:numId w:val="710"/>
              </w:numPr>
              <w:spacing w:before="0" w:after="0"/>
              <w:ind w:hanging="210"/>
              <w:jc w:val="left"/>
              <w:rPr>
                <w:szCs w:val="24"/>
              </w:rPr>
            </w:pPr>
            <w:r>
              <w:rPr>
                <w:szCs w:val="24"/>
              </w:rPr>
              <w:t>l’agriculteur s’engage à respecter strictement l’ensemble des préconisations issues du plan de gestion pastoral,</w:t>
            </w:r>
          </w:p>
          <w:p w:rsidR="0035701C" w:rsidRDefault="00FB561B" w:rsidP="00FB561B">
            <w:pPr>
              <w:numPr>
                <w:ilvl w:val="0"/>
                <w:numId w:val="710"/>
              </w:numPr>
              <w:spacing w:before="0" w:after="0"/>
              <w:ind w:hanging="210"/>
              <w:jc w:val="left"/>
              <w:rPr>
                <w:szCs w:val="24"/>
              </w:rPr>
            </w:pPr>
            <w:r>
              <w:rPr>
                <w:szCs w:val="24"/>
              </w:rPr>
              <w:t>le retournement des surfaces engagées est interdit</w:t>
            </w:r>
          </w:p>
          <w:p w:rsidR="0035701C" w:rsidRDefault="00FB561B" w:rsidP="00FB561B">
            <w:pPr>
              <w:numPr>
                <w:ilvl w:val="0"/>
                <w:numId w:val="710"/>
              </w:numPr>
              <w:spacing w:before="0" w:after="240"/>
              <w:ind w:hanging="210"/>
              <w:jc w:val="left"/>
              <w:rPr>
                <w:szCs w:val="24"/>
              </w:rPr>
            </w:pPr>
            <w:r>
              <w:rPr>
                <w:szCs w:val="24"/>
              </w:rPr>
              <w:t>l’agriculteur doit assurer</w:t>
            </w:r>
            <w:r>
              <w:rPr>
                <w:szCs w:val="24"/>
              </w:rPr>
              <w:t xml:space="preserve"> l’enregistrement des différentes opérations réalisées dans un document normé prévu à cet effet et reprenant l’ensemble des prescriptions du plan de gestion. Ce document sera remis à l’agriculteur par la structure agréée ayant établi le plan de gestion pas</w:t>
            </w:r>
            <w:r>
              <w:rPr>
                <w:szCs w:val="24"/>
              </w:rPr>
              <w:t>torale.</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 / ha /an.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éléments de la ligne de base sont </w:t>
            </w:r>
            <w:r>
              <w:rPr>
                <w:szCs w:val="24"/>
              </w:rPr>
              <w:t>définis en conformité avec :</w:t>
            </w:r>
          </w:p>
          <w:p w:rsidR="0035701C" w:rsidRDefault="00FB561B" w:rsidP="00FB561B">
            <w:pPr>
              <w:numPr>
                <w:ilvl w:val="0"/>
                <w:numId w:val="711"/>
              </w:numPr>
              <w:spacing w:before="240" w:after="0"/>
              <w:ind w:hanging="210"/>
              <w:jc w:val="left"/>
              <w:rPr>
                <w:szCs w:val="24"/>
              </w:rPr>
            </w:pPr>
            <w:r>
              <w:rPr>
                <w:szCs w:val="24"/>
              </w:rPr>
              <w:t>les exigences établies en vertu de l’article 93 du Titre VI du règlement UE n° 1306/2013 relatif à la conditionnalité,</w:t>
            </w:r>
          </w:p>
          <w:p w:rsidR="0035701C" w:rsidRDefault="00FB561B" w:rsidP="00FB561B">
            <w:pPr>
              <w:numPr>
                <w:ilvl w:val="0"/>
                <w:numId w:val="711"/>
              </w:numPr>
              <w:spacing w:before="0" w:after="0"/>
              <w:ind w:hanging="210"/>
              <w:jc w:val="left"/>
              <w:rPr>
                <w:szCs w:val="24"/>
              </w:rPr>
            </w:pPr>
            <w:r>
              <w:rPr>
                <w:szCs w:val="24"/>
              </w:rPr>
              <w:t xml:space="preserve">les exigences établies en vertu de l’article 4.1c points ii) et iii) du règlement UE n°1307/2013 relatif à </w:t>
            </w:r>
            <w:r>
              <w:rPr>
                <w:szCs w:val="24"/>
              </w:rPr>
              <w:t>l’état d’entretien minimum des surfaces</w:t>
            </w:r>
          </w:p>
          <w:p w:rsidR="0035701C" w:rsidRDefault="00FB561B" w:rsidP="00FB561B">
            <w:pPr>
              <w:numPr>
                <w:ilvl w:val="0"/>
                <w:numId w:val="711"/>
              </w:numPr>
              <w:spacing w:before="0" w:after="240"/>
              <w:ind w:hanging="210"/>
              <w:jc w:val="left"/>
              <w:rPr>
                <w:szCs w:val="24"/>
              </w:rPr>
            </w:pPr>
            <w:r>
              <w:rPr>
                <w:szCs w:val="24"/>
              </w:rPr>
              <w:t>toute autre exigence pertinente établie par la réglementation nationale, tel le Code des Bonnes Pratiques Agricoles pris par arrêté du 22 novembre 1993</w:t>
            </w:r>
          </w:p>
          <w:p w:rsidR="0035701C" w:rsidRDefault="00FB561B">
            <w:pPr>
              <w:spacing w:before="240" w:after="240"/>
              <w:jc w:val="left"/>
              <w:rPr>
                <w:szCs w:val="24"/>
              </w:rPr>
            </w:pPr>
            <w:r>
              <w:rPr>
                <w:szCs w:val="24"/>
              </w:rPr>
              <w:t>Ces éléments sont détaillés au paragraphe « Information spécifiq</w:t>
            </w:r>
            <w:r>
              <w:rPr>
                <w:szCs w:val="24"/>
              </w:rPr>
              <w:t>ue à l’opération – Description de la ligne de base » de la présente fiche-opération.</w:t>
            </w:r>
          </w:p>
          <w:p w:rsidR="0035701C" w:rsidRDefault="00FB561B">
            <w:pPr>
              <w:spacing w:before="240" w:after="240"/>
              <w:jc w:val="left"/>
              <w:rPr>
                <w:szCs w:val="24"/>
              </w:rPr>
            </w:pPr>
            <w:r>
              <w:rPr>
                <w:szCs w:val="24"/>
              </w:rPr>
              <w:t>Afin d’exclure tout double paiement, les pratiques visées à l’article 43 du règlement UE n° 1307/2013 sont prises en compte dans le calcul des surcoûts et manques à gagner</w:t>
            </w:r>
            <w:r>
              <w:rPr>
                <w:szCs w:val="24"/>
              </w:rPr>
              <w:t>. La méthode de calcul est détaillée au paragraphe « Information spécifique à l’opération – Méthode de calcul du montant » de la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sont les surcoûts, manques à gagner et éventuels coûts d’opportunité et de transaction générés par le respect éléments contractualisés.</w:t>
            </w:r>
          </w:p>
          <w:p w:rsidR="0035701C" w:rsidRDefault="00FB561B">
            <w:pPr>
              <w:spacing w:before="240" w:after="240"/>
              <w:jc w:val="left"/>
              <w:rPr>
                <w:szCs w:val="24"/>
              </w:rPr>
            </w:pPr>
            <w:r>
              <w:rPr>
                <w:szCs w:val="24"/>
              </w:rPr>
              <w:t>Dans le cas de cette opération, sont pris en compte des surcoûts et des coûts de transaction.</w:t>
            </w:r>
          </w:p>
          <w:p w:rsidR="0035701C" w:rsidRDefault="0035701C">
            <w:pPr>
              <w:pStyle w:val="Corpsdetexte"/>
            </w:pPr>
          </w:p>
        </w:tc>
      </w:tr>
    </w:tbl>
    <w:p w:rsidR="0035701C" w:rsidRDefault="00FB561B">
      <w:pPr>
        <w:pStyle w:val="Titre6"/>
      </w:pPr>
      <w:r>
        <w:t>Conditions d'</w:t>
      </w:r>
      <w:r>
        <w:t>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La réalisation d’un diagnostic d’exploitation préalable à la souscription de cette opération est obligatoire.</w:t>
            </w:r>
          </w:p>
          <w:p w:rsidR="0035701C" w:rsidRDefault="00FB561B">
            <w:pPr>
              <w:spacing w:before="240" w:after="240"/>
              <w:jc w:val="left"/>
              <w:rPr>
                <w:szCs w:val="24"/>
              </w:rPr>
            </w:pPr>
            <w:r>
              <w:rPr>
                <w:b/>
                <w:bCs/>
                <w:i/>
                <w:iCs/>
                <w:szCs w:val="24"/>
              </w:rPr>
              <w:t>Surfaces éligibles:</w:t>
            </w:r>
            <w:r>
              <w:rPr>
                <w:szCs w:val="24"/>
              </w:rPr>
              <w:t xml:space="preserve"> les maquis bas et hauts à arbousier, bruyère, phyllaire, cistes,… les estives, les fruticées naines, les pelouse</w:t>
            </w:r>
            <w:r>
              <w:rPr>
                <w:szCs w:val="24"/>
              </w:rPr>
              <w:t xml:space="preserve">s, … </w:t>
            </w:r>
            <w:r>
              <w:rPr>
                <w:szCs w:val="24"/>
                <w:u w:val="single"/>
              </w:rPr>
              <w:t xml:space="preserve">dont la surface cumulée est de </w:t>
            </w:r>
            <w:r>
              <w:rPr>
                <w:b/>
                <w:bCs/>
                <w:szCs w:val="24"/>
                <w:u w:val="single"/>
              </w:rPr>
              <w:t>10 ha minimum</w:t>
            </w:r>
            <w:r>
              <w:rPr>
                <w:szCs w:val="24"/>
              </w:rPr>
              <w:t>.</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de l’aide est de </w:t>
            </w:r>
            <w:r>
              <w:rPr>
                <w:b/>
                <w:bCs/>
                <w:szCs w:val="24"/>
              </w:rPr>
              <w:t xml:space="preserve">57,18 € /ha/an </w:t>
            </w:r>
            <w:r>
              <w:rPr>
                <w:szCs w:val="24"/>
              </w:rPr>
              <w:t xml:space="preserve">auquel vient s’ajouter une somme forfaitaire de </w:t>
            </w:r>
            <w:r>
              <w:rPr>
                <w:b/>
                <w:bCs/>
                <w:szCs w:val="24"/>
              </w:rPr>
              <w:t xml:space="preserve">141,18 € / an </w:t>
            </w:r>
            <w:r>
              <w:rPr>
                <w:szCs w:val="24"/>
              </w:rPr>
              <w:t>liée à l’élaboration du plan d’action pastorale et à l’enregistrement des pratiques et des interventions.</w:t>
            </w:r>
          </w:p>
          <w:p w:rsidR="0035701C" w:rsidRDefault="00FB561B">
            <w:pPr>
              <w:spacing w:before="240" w:after="240"/>
              <w:jc w:val="left"/>
              <w:rPr>
                <w:szCs w:val="24"/>
              </w:rPr>
            </w:pPr>
            <w:r>
              <w:rPr>
                <w:szCs w:val="24"/>
              </w:rPr>
              <w:t>Il est rappelé que le plafond communautaire pour ce type de couvert (autres utilisations</w:t>
            </w:r>
            <w:r>
              <w:rPr>
                <w:szCs w:val="24"/>
              </w:rPr>
              <w:t xml:space="preserve"> des terres) est de 450 €/ha/an (incluant le forfait annuel).</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 xml:space="preserve">Évaluation globale de la </w:t>
      </w:r>
      <w:r>
        <w:t>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Détermination et définition des éléments du niveau de référence applicable, qui doivent inclure les normes obligatoires établies en application du titre VI, chapitre I, du règlement (UE) n° 1306/</w:t>
      </w:r>
      <w:r>
        <w:t>2013 du Parlement européen et du Conseil, les critères pertinents et les activités minimales établies en application de l'article 4, paragraphe 1, point c) ii) et c) iii), du règlement (UE) n° 1307/2013 du Parlement européen et du Conseil, les exigences mi</w:t>
      </w:r>
      <w:r>
        <w:t>nimales applicables à l'utilisation des engrais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Si les pratiques rémunérées au titre de la présente opération sont rendues</w:t>
            </w:r>
            <w:r>
              <w:rPr>
                <w:szCs w:val="24"/>
              </w:rPr>
              <w:t xml:space="preserve"> obligatoires sur des zones au titre de la protection de la biodiversité (notamment des zones classées au titre des réserves naturelles des arrêtés de protection de biotopes), celle-ci ne peut être ouverte sur les zones concernées.</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460555"/>
                  <wp:effectExtent l="0" t="0" r="0" b="0"/>
                  <wp:docPr id="100156" name="Image 100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 name=""/>
                          <pic:cNvPicPr>
                            <a:picLocks noChangeAspect="1"/>
                          </pic:cNvPicPr>
                        </pic:nvPicPr>
                        <pic:blipFill>
                          <a:blip r:embed="rId90"/>
                          <a:stretch>
                            <a:fillRect/>
                          </a:stretch>
                        </pic:blipFill>
                        <pic:spPr>
                          <a:xfrm>
                            <a:off x="0" y="0"/>
                            <a:ext cx="6629400" cy="1460555"/>
                          </a:xfrm>
                          <a:prstGeom prst="rect">
                            <a:avLst/>
                          </a:prstGeom>
                        </pic:spPr>
                      </pic:pic>
                    </a:graphicData>
                  </a:graphic>
                </wp:inline>
              </w:drawing>
            </w:r>
          </w:p>
          <w:p w:rsidR="0035701C" w:rsidRDefault="00FB561B">
            <w:pPr>
              <w:pStyle w:val="Pieddepage"/>
              <w:jc w:val="center"/>
            </w:pPr>
            <w:r>
              <w:t>Parcours_6_lignebase</w:t>
            </w:r>
          </w:p>
          <w:p w:rsidR="0035701C" w:rsidRDefault="0035701C">
            <w:pPr>
              <w:pStyle w:val="Pieddepage"/>
              <w:jc w:val="center"/>
            </w:pPr>
          </w:p>
        </w:tc>
      </w:tr>
    </w:tbl>
    <w:p w:rsidR="0035701C" w:rsidRDefault="00FB561B">
      <w:r>
        <w:t>Les exigences minimales relatives à l'utilisation d'engrais doivent comprendre, entre autres, le respect des codes de bonnes pratiques introduits au titre de la directive 91/676/CEE pour les exploitations situées en dehors des zones vulnérables aux nitra</w:t>
      </w:r>
      <w:r>
        <w:t>tes, et des exigences concernant la pollution au phosphore; les exigences minimales relatives à l'utilisation de produits phytosanitaires doivent comprendre, entre autres, les principes généraux de la lutte intégrée contre les ennemis des cultures introdui</w:t>
      </w:r>
      <w:r>
        <w:t>ts par la directive 2009/128/CE du Parlement européen et du Conseil, l’obligation de détenir une autorisation d’utiliser les produits, de satisfaire aux conditions de formation, d’assurer un stockage sûr et de contrôler les équipements destinés à l’épandag</w:t>
      </w:r>
      <w:r>
        <w:t>e ainsi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Liste des races locales</w:t>
      </w:r>
      <w:r>
        <w:t xml:space="preserve"> 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préservation des ressources génétiques.</w:t>
            </w:r>
          </w:p>
          <w:p w:rsidR="0035701C" w:rsidRDefault="0035701C">
            <w:pPr>
              <w:pStyle w:val="Corpsdetexte"/>
            </w:pPr>
          </w:p>
        </w:tc>
      </w:tr>
    </w:tbl>
    <w:p w:rsidR="0035701C" w:rsidRDefault="00FB561B">
      <w:r>
        <w:t>Description de la méthode et des hypothèses et pa</w:t>
      </w:r>
      <w:r>
        <w:t xml:space="preserve">ramètres agronomiques y compris la description des exigences minimales visées à l'article 29, paragraphe 2, du règlement (UE) n° 1305/2013 correspondant à chaque type particulier d'engagement, utilisés comme référence pour les calculs justifiant les coûts </w:t>
      </w:r>
      <w:r>
        <w:t>supplémentaires et les pertes de revenus résultant de l’engagement pris et le niveau des coûts des transactions; le cas échéant, cette méthode tient compte des aides accordées au titre du règlement (UE) n° 1307/2013, et notamment des paiements en faveur de</w:t>
      </w:r>
      <w:r>
        <w:t>s pratiques agricoles bénéfiques pour le climat et l’environnement, afin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Pratiques de référence : </w:t>
            </w:r>
            <w:r>
              <w:rPr>
                <w:szCs w:val="24"/>
              </w:rPr>
              <w:t>sur ces mil</w:t>
            </w:r>
            <w:r>
              <w:rPr>
                <w:szCs w:val="24"/>
              </w:rPr>
              <w:t>ieux, la pratique habituelle consiste à laisser les animaux en libre parcours</w:t>
            </w:r>
          </w:p>
          <w:p w:rsidR="0035701C" w:rsidRDefault="00FB561B">
            <w:pPr>
              <w:spacing w:before="240" w:after="240"/>
              <w:jc w:val="left"/>
              <w:rPr>
                <w:szCs w:val="24"/>
              </w:rPr>
            </w:pPr>
            <w:r>
              <w:rPr>
                <w:b/>
                <w:bCs/>
                <w:i/>
                <w:iCs/>
                <w:szCs w:val="24"/>
              </w:rPr>
              <w:t xml:space="preserve">Prise en compte du verdissement : </w:t>
            </w:r>
            <w:r>
              <w:rPr>
                <w:szCs w:val="24"/>
              </w:rPr>
              <w:t>afin d’exclure tout double paiement, les pratiques rémunérées au titre du verdissement sont prises en compte de la façon suivante dans le calcul</w:t>
            </w:r>
            <w:r>
              <w:rPr>
                <w:szCs w:val="24"/>
              </w:rPr>
              <w:t xml:space="preserve"> du montant unitaire de cette opération :</w:t>
            </w:r>
          </w:p>
          <w:p w:rsidR="0035701C" w:rsidRDefault="00FB561B" w:rsidP="00FB561B">
            <w:pPr>
              <w:numPr>
                <w:ilvl w:val="0"/>
                <w:numId w:val="712"/>
              </w:numPr>
              <w:spacing w:before="240" w:after="0"/>
              <w:ind w:hanging="210"/>
              <w:jc w:val="left"/>
              <w:rPr>
                <w:szCs w:val="24"/>
              </w:rPr>
            </w:pPr>
            <w:r>
              <w:rPr>
                <w:szCs w:val="24"/>
              </w:rPr>
              <w:t>maintien de prairies permanentes existantes : cette exigence a une interaction avec cette opération. L’obligation de maintien des prairies et pâturages permanents doit être respectée à l’échelle de la parcelle enga</w:t>
            </w:r>
            <w:r>
              <w:rPr>
                <w:szCs w:val="24"/>
              </w:rPr>
              <w:t>gée, ce qui est plus contraignant que le verdissement qui s’applique à l’échelle régionale. Par ailleurs cette obligation n’est pas rémunérée.</w:t>
            </w:r>
          </w:p>
          <w:p w:rsidR="0035701C" w:rsidRDefault="00FB561B" w:rsidP="00FB561B">
            <w:pPr>
              <w:numPr>
                <w:ilvl w:val="0"/>
                <w:numId w:val="712"/>
              </w:numPr>
              <w:spacing w:before="0" w:after="0"/>
              <w:ind w:hanging="210"/>
              <w:jc w:val="left"/>
              <w:rPr>
                <w:szCs w:val="24"/>
              </w:rPr>
            </w:pPr>
            <w:r>
              <w:rPr>
                <w:szCs w:val="24"/>
              </w:rPr>
              <w:t>présence de 5 % de SIE (Surfaces d’Intérêt Ecologique) sur les terres arables : cette exigence n’a pas d’interact</w:t>
            </w:r>
            <w:r>
              <w:rPr>
                <w:szCs w:val="24"/>
              </w:rPr>
              <w:t>ion avec cette opération,</w:t>
            </w:r>
          </w:p>
          <w:p w:rsidR="0035701C" w:rsidRDefault="00FB561B" w:rsidP="00FB561B">
            <w:pPr>
              <w:numPr>
                <w:ilvl w:val="0"/>
                <w:numId w:val="712"/>
              </w:numPr>
              <w:spacing w:before="0" w:after="240"/>
              <w:ind w:hanging="210"/>
              <w:jc w:val="left"/>
              <w:rPr>
                <w:szCs w:val="24"/>
              </w:rPr>
            </w:pPr>
            <w:r>
              <w:rPr>
                <w:szCs w:val="24"/>
              </w:rPr>
              <w:t>diversification des cultures : cette exigence n’a pas d’interaction avec cette opération.</w:t>
            </w:r>
          </w:p>
          <w:p w:rsidR="0035701C" w:rsidRDefault="00FB561B">
            <w:pPr>
              <w:spacing w:before="240" w:after="240"/>
              <w:jc w:val="left"/>
              <w:rPr>
                <w:szCs w:val="24"/>
              </w:rPr>
            </w:pPr>
            <w:r>
              <w:rPr>
                <w:b/>
                <w:bCs/>
                <w:i/>
                <w:iCs/>
                <w:szCs w:val="24"/>
              </w:rPr>
              <w:t>Méthode générale de calcul du montant :</w:t>
            </w:r>
            <w:r>
              <w:rPr>
                <w:szCs w:val="24"/>
              </w:rPr>
              <w:t xml:space="preserve"> le montant de l’aide est calculé sur la base du temps de travail nécessaire à la mise en œuvre du pl</w:t>
            </w:r>
            <w:r>
              <w:rPr>
                <w:szCs w:val="24"/>
              </w:rPr>
              <w:t>an de gestion pastorale. Le surcoût lié au temps d’enregistrement des pratiques et des interventions est rémunéré sous forme forfaitaire indépendamment de la surface engagée. Le coût de transaction est aussi rémunéré sous forme forfaitaire et est inférieur</w:t>
            </w:r>
            <w:r>
              <w:rPr>
                <w:szCs w:val="24"/>
              </w:rPr>
              <w:t xml:space="preserve"> à 20% du montant total de l’opération.</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713"/>
              </w:numPr>
              <w:spacing w:before="240" w:after="0"/>
              <w:ind w:hanging="210"/>
              <w:jc w:val="left"/>
              <w:rPr>
                <w:szCs w:val="24"/>
              </w:rPr>
            </w:pPr>
            <w:r>
              <w:rPr>
                <w:szCs w:val="24"/>
              </w:rPr>
              <w:t>temps de travail :</w:t>
            </w:r>
            <w:r>
              <w:rPr>
                <w:i/>
                <w:iCs/>
                <w:szCs w:val="24"/>
              </w:rPr>
              <w:t xml:space="preserve"> références d’experts nationaux</w:t>
            </w:r>
          </w:p>
          <w:p w:rsidR="0035701C" w:rsidRDefault="00FB561B" w:rsidP="00FB561B">
            <w:pPr>
              <w:numPr>
                <w:ilvl w:val="0"/>
                <w:numId w:val="713"/>
              </w:numPr>
              <w:spacing w:before="0" w:after="0"/>
              <w:ind w:hanging="210"/>
              <w:jc w:val="left"/>
              <w:rPr>
                <w:szCs w:val="24"/>
              </w:rPr>
            </w:pPr>
            <w:r>
              <w:rPr>
                <w:szCs w:val="24"/>
              </w:rPr>
              <w:t>coût horaire de main d’œuvre </w:t>
            </w:r>
            <w:r>
              <w:rPr>
                <w:i/>
                <w:iCs/>
                <w:szCs w:val="24"/>
              </w:rPr>
              <w:t>: 2 fois le coût horaire du SMIC (1er janvier 2014)</w:t>
            </w:r>
          </w:p>
          <w:p w:rsidR="0035701C" w:rsidRDefault="00FB561B" w:rsidP="00FB561B">
            <w:pPr>
              <w:numPr>
                <w:ilvl w:val="0"/>
                <w:numId w:val="713"/>
              </w:numPr>
              <w:spacing w:before="0" w:after="240"/>
              <w:ind w:hanging="210"/>
              <w:jc w:val="left"/>
              <w:rPr>
                <w:szCs w:val="24"/>
              </w:rPr>
            </w:pPr>
            <w:r>
              <w:rPr>
                <w:szCs w:val="24"/>
              </w:rPr>
              <w:t>coût de l’accompagnement technique (service) : barèmes coûts hora</w:t>
            </w:r>
            <w:r>
              <w:rPr>
                <w:szCs w:val="24"/>
              </w:rPr>
              <w:t>ires techniciens-APCA</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276975" cy="3400425"/>
                  <wp:effectExtent l="0" t="0" r="0" b="0"/>
                  <wp:docPr id="100158" name="Image 100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9" name=""/>
                          <pic:cNvPicPr>
                            <a:picLocks noChangeAspect="1"/>
                          </pic:cNvPicPr>
                        </pic:nvPicPr>
                        <pic:blipFill>
                          <a:blip r:embed="rId91"/>
                          <a:stretch>
                            <a:fillRect/>
                          </a:stretch>
                        </pic:blipFill>
                        <pic:spPr>
                          <a:xfrm>
                            <a:off x="0" y="0"/>
                            <a:ext cx="6276975" cy="3400425"/>
                          </a:xfrm>
                          <a:prstGeom prst="rect">
                            <a:avLst/>
                          </a:prstGeom>
                        </pic:spPr>
                      </pic:pic>
                    </a:graphicData>
                  </a:graphic>
                </wp:inline>
              </w:drawing>
            </w:r>
          </w:p>
          <w:p w:rsidR="0035701C" w:rsidRDefault="00FB561B">
            <w:pPr>
              <w:pStyle w:val="Pieddepage"/>
              <w:jc w:val="center"/>
            </w:pPr>
            <w:r>
              <w:t>Parcours_6</w:t>
            </w:r>
          </w:p>
          <w:p w:rsidR="0035701C" w:rsidRDefault="0035701C">
            <w:pPr>
              <w:pStyle w:val="Pieddepage"/>
              <w:jc w:val="center"/>
            </w:pPr>
          </w:p>
        </w:tc>
      </w:tr>
    </w:tbl>
    <w:p w:rsidR="0035701C" w:rsidRDefault="00FB561B">
      <w:pPr>
        <w:pStyle w:val="Titre5"/>
        <w:rPr>
          <w:b w:val="0"/>
        </w:rPr>
      </w:pPr>
      <w:r>
        <w:rPr>
          <w:b w:val="0"/>
        </w:rPr>
        <w:br w:type="page"/>
        <w:t>-18- Parcours_7</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714"/>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PARCOURS_7 =  Ouverture de landes et parcours par brûlage</w:t>
            </w:r>
            <w:r>
              <w:rPr>
                <w:b/>
                <w:bCs/>
                <w:szCs w:val="24"/>
              </w:rPr>
              <w:t xml:space="preserve"> dirigé</w:t>
            </w:r>
          </w:p>
          <w:p w:rsidR="0035701C" w:rsidRDefault="00FB561B">
            <w:pPr>
              <w:spacing w:before="240" w:after="240"/>
              <w:jc w:val="left"/>
              <w:rPr>
                <w:szCs w:val="24"/>
              </w:rPr>
            </w:pPr>
            <w:r>
              <w:rPr>
                <w:szCs w:val="24"/>
              </w:rPr>
              <w:t>Les landes et parcours peu accessibles ou situés en altitude subissent particulièrement une forte déprise liées à ces conditions d’exploitation, ce qui entraîne inéluctablement une fermeture de ces milieux. Ceci engendre une perte de biodiversité m</w:t>
            </w:r>
            <w:r>
              <w:rPr>
                <w:szCs w:val="24"/>
              </w:rPr>
              <w:t>ais aussi de la ressource alimentaire et confère à ces espaces une combustibilité importante.</w:t>
            </w:r>
          </w:p>
          <w:p w:rsidR="0035701C" w:rsidRDefault="00FB561B">
            <w:pPr>
              <w:spacing w:before="240" w:after="240"/>
              <w:jc w:val="left"/>
              <w:rPr>
                <w:szCs w:val="24"/>
              </w:rPr>
            </w:pPr>
            <w:r>
              <w:rPr>
                <w:szCs w:val="24"/>
              </w:rPr>
              <w:t>Les techniques traditionnelles d’ouverture des parcours imposent l’utilisation de matériel mécanique (girobroyeur notamment) et ne sont donc pas adaptées à ce typ</w:t>
            </w:r>
            <w:r>
              <w:rPr>
                <w:szCs w:val="24"/>
              </w:rPr>
              <w:t xml:space="preserve">e de milieux </w:t>
            </w:r>
            <w:r>
              <w:rPr>
                <w:b/>
                <w:bCs/>
                <w:szCs w:val="24"/>
              </w:rPr>
              <w:t>non mécanisables</w:t>
            </w:r>
            <w:r>
              <w:rPr>
                <w:szCs w:val="24"/>
              </w:rPr>
              <w:t>.</w:t>
            </w:r>
          </w:p>
          <w:p w:rsidR="0035701C" w:rsidRDefault="00FB561B">
            <w:pPr>
              <w:spacing w:before="240" w:after="240"/>
              <w:jc w:val="left"/>
              <w:rPr>
                <w:szCs w:val="24"/>
              </w:rPr>
            </w:pPr>
            <w:r>
              <w:rPr>
                <w:szCs w:val="24"/>
                <w:u w:val="single"/>
              </w:rPr>
              <w:t>L’utilisation de la technique du brûlage dirigé</w:t>
            </w:r>
            <w:r>
              <w:rPr>
                <w:szCs w:val="24"/>
              </w:rPr>
              <w:t xml:space="preserve"> sur ces espaces peu accessibles, répond à la fois un objectif de maintien de la biodiversité pour maintenir une mosaïque d’habitats naturels, à un objectif de prévention, de pré</w:t>
            </w:r>
            <w:r>
              <w:rPr>
                <w:szCs w:val="24"/>
              </w:rPr>
              <w:t>vision et de lutte contre les incendies, ainsi qu’à un objectif d’amélioration de la ressource fourragère.</w:t>
            </w:r>
          </w:p>
          <w:p w:rsidR="0035701C" w:rsidRDefault="00FB561B">
            <w:pPr>
              <w:spacing w:before="240" w:after="240"/>
              <w:jc w:val="left"/>
              <w:rPr>
                <w:szCs w:val="24"/>
              </w:rPr>
            </w:pPr>
            <w:r>
              <w:rPr>
                <w:szCs w:val="24"/>
              </w:rPr>
              <w:t>L’ouverture par brûlage dirigé permet ainsi d’obtenir des milieux ouverts ou semi-ouverts et de restaurer à terme des habitats naturels de pelouses o</w:t>
            </w:r>
            <w:r>
              <w:rPr>
                <w:szCs w:val="24"/>
              </w:rPr>
              <w:t>u landes. Par ailleurs, ces opérations d’ouverture sont favorables à l’avifaune inféodée à ces milieux.</w:t>
            </w:r>
          </w:p>
          <w:p w:rsidR="0035701C" w:rsidRDefault="00FB561B">
            <w:pPr>
              <w:spacing w:before="240" w:after="240"/>
              <w:jc w:val="left"/>
              <w:rPr>
                <w:szCs w:val="24"/>
              </w:rPr>
            </w:pPr>
            <w:r>
              <w:rPr>
                <w:szCs w:val="24"/>
              </w:rPr>
              <w:t>La réalisation du brûlage nécessite une planification et un contrôle des interventions sur tout ou partie d’une surface prédéfinie afin d’être en adéqua</w:t>
            </w:r>
            <w:r>
              <w:rPr>
                <w:szCs w:val="24"/>
              </w:rPr>
              <w:t>tion avec la protection des espèces, des forêts et des biens. La maîtrise du feu est également recherchée pour favoriser un passage rapide des flammes qui détruit la litière herbacée et la végétation ligneuse. Les feux seront réalisés durant la période hiv</w:t>
            </w:r>
            <w:r>
              <w:rPr>
                <w:szCs w:val="24"/>
              </w:rPr>
              <w:t>ernale ce qui limite les effets secondaires sur la faune.</w:t>
            </w:r>
          </w:p>
          <w:p w:rsidR="0035701C" w:rsidRDefault="00FB561B">
            <w:pPr>
              <w:spacing w:before="240" w:after="240"/>
              <w:jc w:val="left"/>
              <w:rPr>
                <w:szCs w:val="24"/>
              </w:rPr>
            </w:pPr>
            <w:r>
              <w:rPr>
                <w:b/>
                <w:bCs/>
                <w:szCs w:val="24"/>
              </w:rPr>
              <w:t>L’agriculteur ne pouvant seul établir cette planification et ce contrôle des interventions, il devra faire réaliser, par une structure agréée (chambre d’agriculture), le diagnostic préalable au brûl</w:t>
            </w:r>
            <w:r>
              <w:rPr>
                <w:b/>
                <w:bCs/>
                <w:szCs w:val="24"/>
              </w:rPr>
              <w:t>age dirigé.</w:t>
            </w:r>
          </w:p>
          <w:p w:rsidR="0035701C" w:rsidRDefault="00FB561B">
            <w:pPr>
              <w:spacing w:before="240" w:after="240"/>
              <w:jc w:val="left"/>
              <w:rPr>
                <w:szCs w:val="24"/>
              </w:rPr>
            </w:pPr>
            <w:r>
              <w:rPr>
                <w:szCs w:val="24"/>
                <w:u w:val="single"/>
              </w:rPr>
              <w:t>Ce diagnostic préalable au brûlage dirigé devra :</w:t>
            </w:r>
          </w:p>
          <w:p w:rsidR="0035701C" w:rsidRDefault="00FB561B" w:rsidP="00FB561B">
            <w:pPr>
              <w:numPr>
                <w:ilvl w:val="0"/>
                <w:numId w:val="715"/>
              </w:numPr>
              <w:spacing w:before="240" w:after="0"/>
              <w:ind w:hanging="244"/>
              <w:jc w:val="left"/>
              <w:rPr>
                <w:szCs w:val="24"/>
              </w:rPr>
            </w:pPr>
            <w:r>
              <w:rPr>
                <w:szCs w:val="24"/>
              </w:rPr>
              <w:t>préciser le niveau de participation de l’éleveur,</w:t>
            </w:r>
          </w:p>
          <w:p w:rsidR="0035701C" w:rsidRDefault="00FB561B" w:rsidP="00FB561B">
            <w:pPr>
              <w:numPr>
                <w:ilvl w:val="0"/>
                <w:numId w:val="715"/>
              </w:numPr>
              <w:spacing w:before="0" w:after="0"/>
              <w:ind w:hanging="244"/>
              <w:jc w:val="left"/>
              <w:rPr>
                <w:szCs w:val="24"/>
              </w:rPr>
            </w:pPr>
            <w:r>
              <w:rPr>
                <w:szCs w:val="24"/>
              </w:rPr>
              <w:t>définir la localisation et l’importance des surfaces traitées</w:t>
            </w:r>
          </w:p>
          <w:p w:rsidR="0035701C" w:rsidRDefault="00FB561B" w:rsidP="00FB561B">
            <w:pPr>
              <w:numPr>
                <w:ilvl w:val="0"/>
                <w:numId w:val="715"/>
              </w:numPr>
              <w:spacing w:before="0" w:after="0"/>
              <w:ind w:hanging="244"/>
              <w:jc w:val="left"/>
              <w:rPr>
                <w:szCs w:val="24"/>
              </w:rPr>
            </w:pPr>
            <w:r>
              <w:rPr>
                <w:szCs w:val="24"/>
              </w:rPr>
              <w:t xml:space="preserve">définir la période d’intervention, en privilégiant la période hivernale afin de </w:t>
            </w:r>
            <w:r>
              <w:rPr>
                <w:szCs w:val="24"/>
              </w:rPr>
              <w:t>minimiser l’impact négatif sur la flore, la faune et le sol,</w:t>
            </w:r>
          </w:p>
          <w:p w:rsidR="0035701C" w:rsidRDefault="00FB561B" w:rsidP="00FB561B">
            <w:pPr>
              <w:numPr>
                <w:ilvl w:val="0"/>
                <w:numId w:val="715"/>
              </w:numPr>
              <w:spacing w:before="0" w:after="0"/>
              <w:ind w:hanging="244"/>
              <w:jc w:val="left"/>
              <w:rPr>
                <w:szCs w:val="24"/>
              </w:rPr>
            </w:pPr>
            <w:r>
              <w:rPr>
                <w:szCs w:val="24"/>
              </w:rPr>
              <w:t xml:space="preserve">déterminer les modalités d’intervention : </w:t>
            </w:r>
          </w:p>
          <w:p w:rsidR="0035701C" w:rsidRDefault="00FB561B" w:rsidP="00FB561B">
            <w:pPr>
              <w:numPr>
                <w:ilvl w:val="1"/>
                <w:numId w:val="715"/>
              </w:numPr>
              <w:spacing w:before="0" w:after="0"/>
              <w:ind w:hanging="244"/>
              <w:jc w:val="left"/>
              <w:rPr>
                <w:szCs w:val="24"/>
              </w:rPr>
            </w:pPr>
            <w:r>
              <w:rPr>
                <w:szCs w:val="24"/>
              </w:rPr>
              <w:t>brûlage en plein, sur une partie de la parcelle, pied à pied ou brûlage « en tâches »,</w:t>
            </w:r>
          </w:p>
          <w:p w:rsidR="0035701C" w:rsidRDefault="00FB561B" w:rsidP="00FB561B">
            <w:pPr>
              <w:numPr>
                <w:ilvl w:val="1"/>
                <w:numId w:val="715"/>
              </w:numPr>
              <w:spacing w:before="0" w:after="0"/>
              <w:ind w:hanging="244"/>
              <w:jc w:val="left"/>
              <w:rPr>
                <w:szCs w:val="24"/>
              </w:rPr>
            </w:pPr>
            <w:r>
              <w:rPr>
                <w:szCs w:val="24"/>
              </w:rPr>
              <w:t>type de préparation de la parcelle,</w:t>
            </w:r>
          </w:p>
          <w:p w:rsidR="0035701C" w:rsidRDefault="00FB561B" w:rsidP="00FB561B">
            <w:pPr>
              <w:numPr>
                <w:ilvl w:val="1"/>
                <w:numId w:val="715"/>
              </w:numPr>
              <w:spacing w:before="0" w:after="240"/>
              <w:ind w:hanging="244"/>
              <w:jc w:val="left"/>
              <w:rPr>
                <w:szCs w:val="24"/>
              </w:rPr>
            </w:pPr>
            <w:r>
              <w:rPr>
                <w:szCs w:val="24"/>
              </w:rPr>
              <w:t>moyens de surveillance du feu</w:t>
            </w:r>
            <w:r>
              <w:rPr>
                <w:szCs w:val="24"/>
              </w:rPr>
              <w:t>….</w:t>
            </w:r>
          </w:p>
          <w:p w:rsidR="0035701C" w:rsidRDefault="00FB561B">
            <w:pPr>
              <w:spacing w:before="240" w:after="240"/>
              <w:jc w:val="left"/>
              <w:rPr>
                <w:szCs w:val="24"/>
              </w:rPr>
            </w:pPr>
            <w:r>
              <w:rPr>
                <w:b/>
                <w:bCs/>
                <w:szCs w:val="24"/>
              </w:rPr>
              <w:t>Le brûlage dirigé, néanmoins, ne peut constituer à lui seul, une opération d’aménagement des espaces pastoraux. Il doit obligatoirement s’insérer dans un itinéraire technique permettant un système de gestion et d’entretien de l’espace pastoral.</w:t>
            </w:r>
            <w:r>
              <w:rPr>
                <w:szCs w:val="24"/>
              </w:rPr>
              <w:t xml:space="preserve"> Il doit </w:t>
            </w:r>
            <w:r>
              <w:rPr>
                <w:szCs w:val="24"/>
              </w:rPr>
              <w:t xml:space="preserve">être considéré comme une action préalable d’ouverture suivie d’une utilisation rationnelle du milieu </w:t>
            </w:r>
            <w:r>
              <w:rPr>
                <w:szCs w:val="24"/>
                <w:u w:val="single"/>
              </w:rPr>
              <w:t>soit par une gestion pastorale appropriée</w:t>
            </w:r>
            <w:r>
              <w:rPr>
                <w:szCs w:val="24"/>
              </w:rPr>
              <w:t xml:space="preserve">, </w:t>
            </w:r>
            <w:r>
              <w:rPr>
                <w:szCs w:val="24"/>
                <w:u w:val="single"/>
              </w:rPr>
              <w:t>soit par de l’entretien régulier</w:t>
            </w:r>
            <w:r>
              <w:rPr>
                <w:szCs w:val="24"/>
              </w:rPr>
              <w:t>, et ce afin d’assurer la pérennité de l’ouverture et la réintégration à long te</w:t>
            </w:r>
            <w:r>
              <w:rPr>
                <w:szCs w:val="24"/>
              </w:rPr>
              <w:t>rme des surfaces</w:t>
            </w:r>
          </w:p>
          <w:p w:rsidR="0035701C" w:rsidRDefault="00FB561B">
            <w:pPr>
              <w:spacing w:before="240" w:after="240"/>
              <w:jc w:val="left"/>
              <w:rPr>
                <w:szCs w:val="24"/>
              </w:rPr>
            </w:pPr>
            <w:r>
              <w:rPr>
                <w:szCs w:val="24"/>
              </w:rPr>
              <w:t xml:space="preserve">C’est pourquoi, afin que cette opération puisse répondre aux objectifs fixés, il est proposé </w:t>
            </w:r>
            <w:r>
              <w:rPr>
                <w:szCs w:val="24"/>
                <w:u w:val="single"/>
              </w:rPr>
              <w:t>deux options post-brûlage</w:t>
            </w:r>
            <w:r>
              <w:rPr>
                <w:szCs w:val="24"/>
              </w:rPr>
              <w:t>, dont la plus appropriée sera déterminée lors du diagnostic d’exploitation préalable :</w:t>
            </w:r>
          </w:p>
          <w:p w:rsidR="0035701C" w:rsidRDefault="00FB561B" w:rsidP="00FB561B">
            <w:pPr>
              <w:numPr>
                <w:ilvl w:val="0"/>
                <w:numId w:val="716"/>
              </w:numPr>
              <w:spacing w:before="240" w:after="0"/>
              <w:ind w:hanging="210"/>
              <w:jc w:val="left"/>
              <w:rPr>
                <w:szCs w:val="24"/>
              </w:rPr>
            </w:pPr>
            <w:r>
              <w:rPr>
                <w:b/>
                <w:bCs/>
                <w:szCs w:val="24"/>
              </w:rPr>
              <w:t>option 1</w:t>
            </w:r>
            <w:r>
              <w:rPr>
                <w:szCs w:val="24"/>
              </w:rPr>
              <w:t>: après brûlage, pratique</w:t>
            </w:r>
            <w:r>
              <w:rPr>
                <w:szCs w:val="24"/>
              </w:rPr>
              <w:t xml:space="preserve">r une </w:t>
            </w:r>
            <w:r>
              <w:rPr>
                <w:szCs w:val="24"/>
                <w:u w:val="single"/>
              </w:rPr>
              <w:t>gestion pastorale</w:t>
            </w:r>
            <w:r>
              <w:rPr>
                <w:szCs w:val="24"/>
              </w:rPr>
              <w:t xml:space="preserve"> adaptée à la spécificité des milieux en se basant sur un plan de gestion pastoral sur la durée du contrat, soit cinq ans. Cette option sera souscrite sur une </w:t>
            </w:r>
            <w:r>
              <w:rPr>
                <w:szCs w:val="24"/>
                <w:u w:val="single"/>
              </w:rPr>
              <w:t>surface minimum de 10 hectares.</w:t>
            </w:r>
          </w:p>
          <w:p w:rsidR="0035701C" w:rsidRDefault="00FB561B" w:rsidP="00FB561B">
            <w:pPr>
              <w:numPr>
                <w:ilvl w:val="0"/>
                <w:numId w:val="716"/>
              </w:numPr>
              <w:spacing w:before="0" w:after="240"/>
              <w:ind w:hanging="210"/>
              <w:jc w:val="left"/>
              <w:rPr>
                <w:szCs w:val="24"/>
              </w:rPr>
            </w:pPr>
            <w:r>
              <w:rPr>
                <w:b/>
                <w:bCs/>
                <w:szCs w:val="24"/>
              </w:rPr>
              <w:t>option 2</w:t>
            </w:r>
            <w:r>
              <w:rPr>
                <w:szCs w:val="24"/>
              </w:rPr>
              <w:t xml:space="preserve"> : après brûlage, pratiquer un </w:t>
            </w:r>
            <w:r>
              <w:rPr>
                <w:szCs w:val="24"/>
                <w:u w:val="single"/>
              </w:rPr>
              <w:t>ent</w:t>
            </w:r>
            <w:r>
              <w:rPr>
                <w:szCs w:val="24"/>
                <w:u w:val="single"/>
              </w:rPr>
              <w:t>retien manuel en complément du pâturage</w:t>
            </w:r>
            <w:r>
              <w:rPr>
                <w:szCs w:val="24"/>
              </w:rPr>
              <w:t xml:space="preserve"> les quatre années suivantes. Cette option sera souscrite sur une </w:t>
            </w:r>
            <w:r>
              <w:rPr>
                <w:szCs w:val="24"/>
                <w:u w:val="single"/>
              </w:rPr>
              <w:t>surface minimum de 3 hectares.</w:t>
            </w:r>
          </w:p>
          <w:p w:rsidR="0035701C" w:rsidRDefault="00FB561B">
            <w:pPr>
              <w:spacing w:before="240" w:after="240"/>
              <w:jc w:val="left"/>
              <w:rPr>
                <w:szCs w:val="24"/>
              </w:rPr>
            </w:pPr>
            <w:r>
              <w:rPr>
                <w:b/>
                <w:bCs/>
                <w:szCs w:val="24"/>
              </w:rPr>
              <w:t>Dans le cas de la souscription de l’option 1</w:t>
            </w:r>
            <w:r>
              <w:rPr>
                <w:szCs w:val="24"/>
              </w:rPr>
              <w:t xml:space="preserve">, </w:t>
            </w:r>
            <w:r>
              <w:rPr>
                <w:szCs w:val="24"/>
                <w:u w:val="single"/>
              </w:rPr>
              <w:t>un plan de gestion pastoral est nécessaire</w:t>
            </w:r>
            <w:r>
              <w:rPr>
                <w:szCs w:val="24"/>
              </w:rPr>
              <w:t xml:space="preserve">. Celui-ci sera </w:t>
            </w:r>
            <w:r>
              <w:rPr>
                <w:szCs w:val="24"/>
                <w:u w:val="single"/>
              </w:rPr>
              <w:t xml:space="preserve">réalisé par les </w:t>
            </w:r>
            <w:r>
              <w:rPr>
                <w:szCs w:val="24"/>
                <w:u w:val="single"/>
              </w:rPr>
              <w:t>techniciens de la chambre d’agriculture,</w:t>
            </w:r>
            <w:r>
              <w:rPr>
                <w:szCs w:val="24"/>
              </w:rPr>
              <w:t xml:space="preserve"> et viendra en complément du diagnostic d'exploitation. C’est un plan individuel, sans valeur réglementaire, qui vise, dans les milieux en landes, parcours ligneux, estives, pelouses....à mettre en œuvre des actions </w:t>
            </w:r>
            <w:r>
              <w:rPr>
                <w:szCs w:val="24"/>
              </w:rPr>
              <w:t>de gestion de la ressource bénéfiques à l'environnement. Il s'agit non seulement d'entretenir l'espace par la pression alimentaire (pâturage), mais aussi d'agir spécifiquement sur la conduite du troupeau en fonction des différents faciès de végétation rele</w:t>
            </w:r>
            <w:r>
              <w:rPr>
                <w:szCs w:val="24"/>
              </w:rPr>
              <w:t>vés dans le diagnostic. En effet, l’exploitation par les herbivores nécessite une gestion rigoureuse des troupeaux si l’on veut pouvoir conserver aux maquis, estives ou pelouses, un intérêt alimentaire tout en maintenant leur richesse floristique.</w:t>
            </w:r>
          </w:p>
          <w:p w:rsidR="0035701C" w:rsidRDefault="00FB561B">
            <w:pPr>
              <w:spacing w:before="240" w:after="240"/>
              <w:jc w:val="left"/>
              <w:rPr>
                <w:szCs w:val="24"/>
              </w:rPr>
            </w:pPr>
            <w:r>
              <w:rPr>
                <w:szCs w:val="24"/>
              </w:rPr>
              <w:t xml:space="preserve">Le plan </w:t>
            </w:r>
            <w:r>
              <w:rPr>
                <w:szCs w:val="24"/>
              </w:rPr>
              <w:t xml:space="preserve">de gestion pastoral de la SAU des exploitations souhaitant souscrire cet engagement, va donc s’efforcer, à l’issue du relevé des différents faciès de végétation, de préciser les modalités du pâturage les plus adaptées pour la préservation de ces milieux ; </w:t>
            </w:r>
            <w:r>
              <w:rPr>
                <w:szCs w:val="24"/>
              </w:rPr>
              <w:t>sachant que l’objectif de l’engagement est de s’assurer que l’ensemble des couverts engagés seront utilisés de manière à lutter contre leur fermeture. Ce plan établit un prévisionnel d'utilisation de l'unité pastorale qui détermine:</w:t>
            </w:r>
          </w:p>
          <w:p w:rsidR="0035701C" w:rsidRDefault="00FB561B" w:rsidP="00FB561B">
            <w:pPr>
              <w:numPr>
                <w:ilvl w:val="0"/>
                <w:numId w:val="717"/>
              </w:numPr>
              <w:spacing w:before="240" w:after="0"/>
              <w:ind w:hanging="210"/>
              <w:jc w:val="left"/>
              <w:rPr>
                <w:szCs w:val="24"/>
              </w:rPr>
            </w:pPr>
            <w:r>
              <w:rPr>
                <w:szCs w:val="24"/>
              </w:rPr>
              <w:t xml:space="preserve">l’organisation des </w:t>
            </w:r>
            <w:r>
              <w:rPr>
                <w:szCs w:val="24"/>
              </w:rPr>
              <w:t>circuits de pâturage en fonction des secteurs « ressources »,</w:t>
            </w:r>
          </w:p>
          <w:p w:rsidR="0035701C" w:rsidRDefault="00FB561B" w:rsidP="00FB561B">
            <w:pPr>
              <w:numPr>
                <w:ilvl w:val="0"/>
                <w:numId w:val="717"/>
              </w:numPr>
              <w:spacing w:before="0" w:after="0"/>
              <w:ind w:hanging="210"/>
              <w:jc w:val="left"/>
              <w:rPr>
                <w:szCs w:val="24"/>
              </w:rPr>
            </w:pPr>
            <w:r>
              <w:rPr>
                <w:szCs w:val="24"/>
              </w:rPr>
              <w:t xml:space="preserve">l’implantation des parcs clôturés (fixes) et les obligations de gestion afférentes : </w:t>
            </w:r>
          </w:p>
          <w:p w:rsidR="0035701C" w:rsidRDefault="00FB561B" w:rsidP="00FB561B">
            <w:pPr>
              <w:numPr>
                <w:ilvl w:val="1"/>
                <w:numId w:val="717"/>
              </w:numPr>
              <w:spacing w:before="0" w:after="0"/>
              <w:ind w:hanging="244"/>
              <w:jc w:val="left"/>
              <w:rPr>
                <w:szCs w:val="24"/>
              </w:rPr>
            </w:pPr>
            <w:r>
              <w:rPr>
                <w:szCs w:val="24"/>
              </w:rPr>
              <w:t>un chargement adapté,</w:t>
            </w:r>
          </w:p>
          <w:p w:rsidR="0035701C" w:rsidRDefault="00FB561B" w:rsidP="00FB561B">
            <w:pPr>
              <w:numPr>
                <w:ilvl w:val="1"/>
                <w:numId w:val="717"/>
              </w:numPr>
              <w:spacing w:before="0" w:after="0"/>
              <w:ind w:hanging="244"/>
              <w:jc w:val="left"/>
              <w:rPr>
                <w:szCs w:val="24"/>
              </w:rPr>
            </w:pPr>
            <w:r>
              <w:rPr>
                <w:szCs w:val="24"/>
              </w:rPr>
              <w:t>les périodes d’utilisation de chaque parc,</w:t>
            </w:r>
          </w:p>
          <w:p w:rsidR="0035701C" w:rsidRDefault="00FB561B" w:rsidP="00FB561B">
            <w:pPr>
              <w:numPr>
                <w:ilvl w:val="1"/>
                <w:numId w:val="717"/>
              </w:numPr>
              <w:spacing w:before="0" w:after="0"/>
              <w:ind w:hanging="244"/>
              <w:jc w:val="left"/>
              <w:rPr>
                <w:szCs w:val="24"/>
              </w:rPr>
            </w:pPr>
            <w:r>
              <w:rPr>
                <w:szCs w:val="24"/>
              </w:rPr>
              <w:t>le niveau de consommation des différentes s</w:t>
            </w:r>
            <w:r>
              <w:rPr>
                <w:szCs w:val="24"/>
              </w:rPr>
              <w:t>trates,</w:t>
            </w:r>
          </w:p>
          <w:p w:rsidR="0035701C" w:rsidRDefault="00FB561B" w:rsidP="00FB561B">
            <w:pPr>
              <w:numPr>
                <w:ilvl w:val="1"/>
                <w:numId w:val="717"/>
              </w:numPr>
              <w:spacing w:before="0" w:after="0"/>
              <w:ind w:hanging="244"/>
              <w:jc w:val="left"/>
              <w:rPr>
                <w:szCs w:val="24"/>
              </w:rPr>
            </w:pPr>
            <w:r>
              <w:rPr>
                <w:szCs w:val="24"/>
              </w:rPr>
              <w:t>l’enregistrement des dates d’entrée et de sortie des animaux,</w:t>
            </w:r>
          </w:p>
          <w:p w:rsidR="0035701C" w:rsidRDefault="00FB561B" w:rsidP="00FB561B">
            <w:pPr>
              <w:numPr>
                <w:ilvl w:val="0"/>
                <w:numId w:val="717"/>
              </w:numPr>
              <w:spacing w:before="0" w:after="0"/>
              <w:ind w:hanging="210"/>
              <w:jc w:val="left"/>
              <w:rPr>
                <w:szCs w:val="24"/>
              </w:rPr>
            </w:pPr>
            <w:r>
              <w:rPr>
                <w:szCs w:val="24"/>
              </w:rPr>
              <w:t> la pose et dépose éventuelle de clôtures mobiles,</w:t>
            </w:r>
          </w:p>
          <w:p w:rsidR="0035701C" w:rsidRDefault="00FB561B" w:rsidP="00FB561B">
            <w:pPr>
              <w:numPr>
                <w:ilvl w:val="0"/>
                <w:numId w:val="717"/>
              </w:numPr>
              <w:spacing w:before="0" w:after="0"/>
              <w:ind w:hanging="210"/>
              <w:jc w:val="left"/>
              <w:rPr>
                <w:szCs w:val="24"/>
              </w:rPr>
            </w:pPr>
            <w:r>
              <w:rPr>
                <w:szCs w:val="24"/>
              </w:rPr>
              <w:t>la tenue d’un cahier de complémentation (type d’aliment et lieu de distribution),</w:t>
            </w:r>
          </w:p>
          <w:p w:rsidR="0035701C" w:rsidRDefault="00FB561B" w:rsidP="00FB561B">
            <w:pPr>
              <w:numPr>
                <w:ilvl w:val="0"/>
                <w:numId w:val="717"/>
              </w:numPr>
              <w:spacing w:before="0" w:after="240"/>
              <w:ind w:hanging="210"/>
              <w:jc w:val="left"/>
              <w:rPr>
                <w:szCs w:val="24"/>
              </w:rPr>
            </w:pPr>
            <w:r>
              <w:rPr>
                <w:szCs w:val="24"/>
              </w:rPr>
              <w:t xml:space="preserve">l’installation ou le déplacement éventuel des points </w:t>
            </w:r>
            <w:r>
              <w:rPr>
                <w:szCs w:val="24"/>
              </w:rPr>
              <w:t>d’eau.</w:t>
            </w:r>
          </w:p>
          <w:p w:rsidR="0035701C" w:rsidRDefault="00FB561B">
            <w:pPr>
              <w:spacing w:before="240" w:after="240"/>
              <w:jc w:val="left"/>
              <w:rPr>
                <w:szCs w:val="24"/>
              </w:rPr>
            </w:pPr>
            <w:r>
              <w:rPr>
                <w:b/>
                <w:bCs/>
                <w:szCs w:val="24"/>
              </w:rPr>
              <w:t>Dans le cas de la souscription de l’option 2</w:t>
            </w:r>
            <w:r>
              <w:rPr>
                <w:szCs w:val="24"/>
              </w:rPr>
              <w:t xml:space="preserve">, </w:t>
            </w:r>
            <w:r>
              <w:rPr>
                <w:szCs w:val="24"/>
                <w:u w:val="single"/>
              </w:rPr>
              <w:t>seul le diagnostic d’exploitation obligatoire sera réalisé.</w:t>
            </w:r>
          </w:p>
          <w:p w:rsidR="0035701C" w:rsidRDefault="00FB561B">
            <w:pPr>
              <w:spacing w:before="240" w:after="240"/>
              <w:jc w:val="left"/>
              <w:rPr>
                <w:szCs w:val="24"/>
              </w:rPr>
            </w:pPr>
            <w:r>
              <w:rPr>
                <w:b/>
                <w:bCs/>
                <w:i/>
                <w:iCs/>
                <w:szCs w:val="24"/>
              </w:rPr>
              <w:t>Cahier des charges</w:t>
            </w:r>
            <w:r>
              <w:rPr>
                <w:szCs w:val="24"/>
              </w:rPr>
              <w:t> :</w:t>
            </w:r>
          </w:p>
          <w:p w:rsidR="0035701C" w:rsidRDefault="00FB561B" w:rsidP="00FB561B">
            <w:pPr>
              <w:numPr>
                <w:ilvl w:val="0"/>
                <w:numId w:val="718"/>
              </w:numPr>
              <w:spacing w:before="240" w:after="0"/>
              <w:ind w:hanging="210"/>
              <w:jc w:val="left"/>
              <w:rPr>
                <w:szCs w:val="24"/>
              </w:rPr>
            </w:pPr>
            <w:r>
              <w:rPr>
                <w:szCs w:val="24"/>
              </w:rPr>
              <w:t>l’agriculteur s’engage à faire établir par une structure agréée un diagnostic préalable au brûlage dirigé (diagnostic parc</w:t>
            </w:r>
            <w:r>
              <w:rPr>
                <w:szCs w:val="24"/>
              </w:rPr>
              <w:t>ellaire et programme de travaux).</w:t>
            </w:r>
          </w:p>
          <w:p w:rsidR="0035701C" w:rsidRDefault="00FB561B" w:rsidP="00FB561B">
            <w:pPr>
              <w:numPr>
                <w:ilvl w:val="0"/>
                <w:numId w:val="718"/>
              </w:numPr>
              <w:spacing w:before="0" w:after="0"/>
              <w:ind w:hanging="210"/>
              <w:jc w:val="left"/>
              <w:rPr>
                <w:szCs w:val="24"/>
              </w:rPr>
            </w:pPr>
            <w:r>
              <w:rPr>
                <w:szCs w:val="24"/>
              </w:rPr>
              <w:t>l’agriculteur s’engage ensuite à mettre en œuvre et respecter le programme et les modalités de brûlage</w:t>
            </w:r>
          </w:p>
          <w:p w:rsidR="0035701C" w:rsidRDefault="00FB561B" w:rsidP="00FB561B">
            <w:pPr>
              <w:numPr>
                <w:ilvl w:val="0"/>
                <w:numId w:val="718"/>
              </w:numPr>
              <w:spacing w:before="0" w:after="0"/>
              <w:ind w:hanging="210"/>
              <w:jc w:val="left"/>
              <w:rPr>
                <w:szCs w:val="24"/>
              </w:rPr>
            </w:pPr>
            <w:r>
              <w:rPr>
                <w:szCs w:val="24"/>
              </w:rPr>
              <w:t xml:space="preserve">l’entretien de la parcelle après brûlage se fera selon l’option choisie : </w:t>
            </w:r>
          </w:p>
          <w:p w:rsidR="0035701C" w:rsidRDefault="00FB561B" w:rsidP="00FB561B">
            <w:pPr>
              <w:numPr>
                <w:ilvl w:val="1"/>
                <w:numId w:val="718"/>
              </w:numPr>
              <w:spacing w:before="0" w:after="0"/>
              <w:ind w:hanging="244"/>
              <w:jc w:val="left"/>
              <w:rPr>
                <w:szCs w:val="24"/>
              </w:rPr>
            </w:pPr>
            <w:r>
              <w:rPr>
                <w:b/>
                <w:bCs/>
                <w:szCs w:val="24"/>
              </w:rPr>
              <w:t>option 1</w:t>
            </w:r>
            <w:r>
              <w:rPr>
                <w:szCs w:val="24"/>
              </w:rPr>
              <w:t xml:space="preserve">: </w:t>
            </w:r>
            <w:r>
              <w:rPr>
                <w:b/>
                <w:bCs/>
                <w:szCs w:val="24"/>
              </w:rPr>
              <w:t>gestion pastorale</w:t>
            </w:r>
            <w:r>
              <w:rPr>
                <w:szCs w:val="24"/>
              </w:rPr>
              <w:t xml:space="preserve"> </w:t>
            </w:r>
          </w:p>
          <w:p w:rsidR="0035701C" w:rsidRDefault="00FB561B" w:rsidP="00FB561B">
            <w:pPr>
              <w:numPr>
                <w:ilvl w:val="2"/>
                <w:numId w:val="718"/>
              </w:numPr>
              <w:spacing w:before="0" w:after="0"/>
              <w:ind w:hanging="210"/>
              <w:jc w:val="left"/>
              <w:rPr>
                <w:szCs w:val="24"/>
              </w:rPr>
            </w:pPr>
            <w:r>
              <w:rPr>
                <w:szCs w:val="24"/>
              </w:rPr>
              <w:t xml:space="preserve">l’agriculteur </w:t>
            </w:r>
            <w:r>
              <w:rPr>
                <w:szCs w:val="24"/>
              </w:rPr>
              <w:t>s’engage à faire élaborer, par une structure agréée, le plan de gestion pastorale,</w:t>
            </w:r>
          </w:p>
          <w:p w:rsidR="0035701C" w:rsidRDefault="00FB561B" w:rsidP="00FB561B">
            <w:pPr>
              <w:numPr>
                <w:ilvl w:val="2"/>
                <w:numId w:val="718"/>
              </w:numPr>
              <w:spacing w:before="0" w:after="0"/>
              <w:ind w:hanging="210"/>
              <w:jc w:val="left"/>
              <w:rPr>
                <w:szCs w:val="24"/>
              </w:rPr>
            </w:pPr>
            <w:r>
              <w:rPr>
                <w:szCs w:val="24"/>
              </w:rPr>
              <w:t>l’agriculteur s’engage à respecter strictement l’ensemble des préconisations issues du plan de gestion pastoral,</w:t>
            </w:r>
          </w:p>
          <w:p w:rsidR="0035701C" w:rsidRDefault="00FB561B" w:rsidP="00FB561B">
            <w:pPr>
              <w:numPr>
                <w:ilvl w:val="1"/>
                <w:numId w:val="718"/>
              </w:numPr>
              <w:spacing w:before="0" w:after="0"/>
              <w:ind w:hanging="244"/>
              <w:jc w:val="left"/>
              <w:rPr>
                <w:szCs w:val="24"/>
              </w:rPr>
            </w:pPr>
            <w:r>
              <w:rPr>
                <w:b/>
                <w:bCs/>
                <w:szCs w:val="24"/>
              </w:rPr>
              <w:t>option 2</w:t>
            </w:r>
            <w:r>
              <w:rPr>
                <w:szCs w:val="24"/>
              </w:rPr>
              <w:t xml:space="preserve"> : </w:t>
            </w:r>
            <w:r>
              <w:rPr>
                <w:b/>
                <w:bCs/>
                <w:szCs w:val="24"/>
              </w:rPr>
              <w:t>entretien manuel et pâturage</w:t>
            </w:r>
            <w:r>
              <w:rPr>
                <w:szCs w:val="24"/>
              </w:rPr>
              <w:t xml:space="preserve"> </w:t>
            </w:r>
          </w:p>
          <w:p w:rsidR="0035701C" w:rsidRDefault="00FB561B" w:rsidP="00FB561B">
            <w:pPr>
              <w:numPr>
                <w:ilvl w:val="2"/>
                <w:numId w:val="718"/>
              </w:numPr>
              <w:spacing w:before="0" w:after="0"/>
              <w:ind w:hanging="210"/>
              <w:jc w:val="left"/>
              <w:rPr>
                <w:szCs w:val="24"/>
              </w:rPr>
            </w:pPr>
            <w:r>
              <w:rPr>
                <w:szCs w:val="24"/>
              </w:rPr>
              <w:t xml:space="preserve">l’agriculteur doit </w:t>
            </w:r>
            <w:r>
              <w:rPr>
                <w:szCs w:val="24"/>
              </w:rPr>
              <w:t>réaliser mécaniquement un broyage annuel destiné à limiter le développement des espèces arbustives,</w:t>
            </w:r>
          </w:p>
          <w:p w:rsidR="0035701C" w:rsidRDefault="00FB561B" w:rsidP="00FB561B">
            <w:pPr>
              <w:numPr>
                <w:ilvl w:val="2"/>
                <w:numId w:val="718"/>
              </w:numPr>
              <w:spacing w:before="0" w:after="0"/>
              <w:ind w:hanging="210"/>
              <w:jc w:val="left"/>
              <w:rPr>
                <w:szCs w:val="24"/>
              </w:rPr>
            </w:pPr>
            <w:r>
              <w:rPr>
                <w:szCs w:val="24"/>
              </w:rPr>
              <w:t>ces travaux de broyage devront être effectués dans la période comprise entre le mois d’octobre et le mois de mars pendant l’hibernation de la tortue d’Herma</w:t>
            </w:r>
            <w:r>
              <w:rPr>
                <w:szCs w:val="24"/>
              </w:rPr>
              <w:t>nn et avant la nidification de certains oiseaux (perdrix,….)</w:t>
            </w:r>
          </w:p>
          <w:p w:rsidR="0035701C" w:rsidRDefault="00FB561B" w:rsidP="00FB561B">
            <w:pPr>
              <w:numPr>
                <w:ilvl w:val="2"/>
                <w:numId w:val="718"/>
              </w:numPr>
              <w:spacing w:before="0" w:after="0"/>
              <w:ind w:hanging="210"/>
              <w:jc w:val="left"/>
              <w:rPr>
                <w:szCs w:val="24"/>
              </w:rPr>
            </w:pPr>
            <w:r>
              <w:rPr>
                <w:szCs w:val="24"/>
              </w:rPr>
              <w:t>si l’agriculteur souhaite enrichir la strate herbacée obtenue, il doit obligatoirement utiliser des espèces fourragères méditerranéennes et utiliser des techniques culturales simplifiées uniqueme</w:t>
            </w:r>
            <w:r>
              <w:rPr>
                <w:szCs w:val="24"/>
              </w:rPr>
              <w:t>nt (semis direct ou sursemis)</w:t>
            </w:r>
          </w:p>
          <w:p w:rsidR="0035701C" w:rsidRDefault="00FB561B" w:rsidP="00FB561B">
            <w:pPr>
              <w:numPr>
                <w:ilvl w:val="2"/>
                <w:numId w:val="718"/>
              </w:numPr>
              <w:spacing w:before="0" w:after="0"/>
              <w:ind w:hanging="210"/>
              <w:jc w:val="left"/>
              <w:rPr>
                <w:szCs w:val="24"/>
              </w:rPr>
            </w:pPr>
            <w:r>
              <w:rPr>
                <w:szCs w:val="24"/>
              </w:rPr>
              <w:t>le recours à un traitement chimique pour éliminer la repousse ligneuse est interdit</w:t>
            </w:r>
          </w:p>
          <w:p w:rsidR="0035701C" w:rsidRDefault="00FB561B" w:rsidP="00FB561B">
            <w:pPr>
              <w:numPr>
                <w:ilvl w:val="0"/>
                <w:numId w:val="718"/>
              </w:numPr>
              <w:spacing w:before="0" w:after="240"/>
              <w:ind w:hanging="210"/>
              <w:jc w:val="left"/>
              <w:rPr>
                <w:szCs w:val="24"/>
              </w:rPr>
            </w:pPr>
            <w:r>
              <w:rPr>
                <w:szCs w:val="24"/>
              </w:rPr>
              <w:t>l’agriculteur doit assurer l’enregistrement des différentes opérations et pratiques réalisées tant au niveau des opérations de brûlage que des</w:t>
            </w:r>
            <w:r>
              <w:rPr>
                <w:szCs w:val="24"/>
              </w:rPr>
              <w:t xml:space="preserve"> opérations d’entretien post-brûlage selon l’option choisie, dans un document normé prévu à cet effet. Ce document sera remis à l’agriculteur par la structure agréée ayant établi le diagnostic préalable au brûlage dirigé et le plan de gestion pastorale.</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 / ha /an.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w:t>
            </w:r>
            <w:r>
              <w:rPr>
                <w:szCs w:val="24"/>
              </w:rPr>
              <w:t>formité avec :</w:t>
            </w:r>
          </w:p>
          <w:p w:rsidR="0035701C" w:rsidRDefault="00FB561B" w:rsidP="00FB561B">
            <w:pPr>
              <w:numPr>
                <w:ilvl w:val="0"/>
                <w:numId w:val="719"/>
              </w:numPr>
              <w:spacing w:before="240" w:after="0"/>
              <w:ind w:hanging="210"/>
              <w:jc w:val="left"/>
              <w:rPr>
                <w:szCs w:val="24"/>
              </w:rPr>
            </w:pPr>
            <w:r>
              <w:rPr>
                <w:szCs w:val="24"/>
              </w:rPr>
              <w:t>les exigences établies en vertu de l’article 93 du Titre VI du règlement UE n° 1306/2013 relatif à la conditionnalité,</w:t>
            </w:r>
          </w:p>
          <w:p w:rsidR="0035701C" w:rsidRDefault="00FB561B" w:rsidP="00FB561B">
            <w:pPr>
              <w:numPr>
                <w:ilvl w:val="0"/>
                <w:numId w:val="719"/>
              </w:numPr>
              <w:spacing w:before="0" w:after="0"/>
              <w:ind w:hanging="210"/>
              <w:jc w:val="left"/>
              <w:rPr>
                <w:szCs w:val="24"/>
              </w:rPr>
            </w:pPr>
            <w:r>
              <w:rPr>
                <w:szCs w:val="24"/>
              </w:rPr>
              <w:t xml:space="preserve">les exigences établies en vertu de l’article 4.1c points ii) et iii) du règlement UE n°1307/2013 relatif à l’état </w:t>
            </w:r>
            <w:r>
              <w:rPr>
                <w:szCs w:val="24"/>
              </w:rPr>
              <w:t>d’entretien minimum des surfaces</w:t>
            </w:r>
          </w:p>
          <w:p w:rsidR="0035701C" w:rsidRDefault="00FB561B" w:rsidP="00FB561B">
            <w:pPr>
              <w:numPr>
                <w:ilvl w:val="0"/>
                <w:numId w:val="719"/>
              </w:numPr>
              <w:spacing w:before="0" w:after="0"/>
              <w:ind w:hanging="210"/>
              <w:jc w:val="left"/>
              <w:rPr>
                <w:szCs w:val="24"/>
              </w:rPr>
            </w:pPr>
            <w:r>
              <w:rPr>
                <w:szCs w:val="24"/>
              </w:rPr>
              <w:t>toute autre exigence pertinente établie par la réglementation nationale, tel le Code des Bonnes Pratiques Agricoles pris par arrêté du 22 novembre 1993</w:t>
            </w:r>
          </w:p>
          <w:p w:rsidR="0035701C" w:rsidRDefault="00FB561B" w:rsidP="00FB561B">
            <w:pPr>
              <w:numPr>
                <w:ilvl w:val="0"/>
                <w:numId w:val="719"/>
              </w:numPr>
              <w:spacing w:before="0" w:after="240"/>
              <w:ind w:hanging="210"/>
              <w:jc w:val="left"/>
              <w:rPr>
                <w:szCs w:val="24"/>
              </w:rPr>
            </w:pPr>
            <w:r>
              <w:rPr>
                <w:szCs w:val="24"/>
              </w:rPr>
              <w:t>les arrêtés préfectoraux départementaux en vigueur en Corse relatif à l</w:t>
            </w:r>
            <w:r>
              <w:rPr>
                <w:szCs w:val="24"/>
              </w:rPr>
              <w:t>’emploi du feu.</w:t>
            </w:r>
          </w:p>
          <w:p w:rsidR="0035701C" w:rsidRDefault="00FB561B">
            <w:pPr>
              <w:spacing w:before="240" w:after="240"/>
              <w:jc w:val="left"/>
              <w:rPr>
                <w:szCs w:val="24"/>
              </w:rPr>
            </w:pPr>
            <w:r>
              <w:rPr>
                <w:szCs w:val="24"/>
              </w:rPr>
              <w:t>Ces éléments sont détaillés au paragraphe « Information spécifique à l’opération – Description de la ligne de base » de la présente fiche-opération.</w:t>
            </w:r>
          </w:p>
          <w:p w:rsidR="0035701C" w:rsidRDefault="00FB561B">
            <w:pPr>
              <w:spacing w:before="240" w:after="240"/>
              <w:jc w:val="left"/>
              <w:rPr>
                <w:szCs w:val="24"/>
              </w:rPr>
            </w:pPr>
            <w:r>
              <w:rPr>
                <w:szCs w:val="24"/>
              </w:rPr>
              <w:t>Afin d’exclure tout double paiement, les pratiques visées à l’article 43 du règlement UE n°</w:t>
            </w:r>
            <w:r>
              <w:rPr>
                <w:szCs w:val="24"/>
              </w:rPr>
              <w:t xml:space="preserve"> 1307/2013 sont prises en compte dans le calcul des surcoûts et manques à gagner. La méthode de calcul est détaillée au paragraphe « Information spécifique à l’opération – Méthode de calcul du montant » de la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w:t>
            </w:r>
            <w:r>
              <w:rPr>
                <w:szCs w:val="24"/>
              </w:rPr>
              <w:t xml:space="preserv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sont les surcoûts, manques à gagner et éventuels coûts d’opportunité et de transaction générés par le respect éléments contractualisés.</w:t>
            </w:r>
          </w:p>
          <w:p w:rsidR="0035701C" w:rsidRDefault="00FB561B">
            <w:pPr>
              <w:spacing w:before="240" w:after="240"/>
              <w:jc w:val="left"/>
              <w:rPr>
                <w:szCs w:val="24"/>
              </w:rPr>
            </w:pPr>
            <w:r>
              <w:rPr>
                <w:szCs w:val="24"/>
              </w:rPr>
              <w:t xml:space="preserve">Dans le cas de cette </w:t>
            </w:r>
            <w:r>
              <w:rPr>
                <w:szCs w:val="24"/>
              </w:rPr>
              <w:t>opération, sont pris en compte des surcoûts et des coûts de transaction.</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La réalisation d’un diagnostic d’exploitation préalable à la souscription de cette opération est obligatoire.</w:t>
            </w:r>
          </w:p>
          <w:p w:rsidR="0035701C" w:rsidRDefault="00FB561B">
            <w:pPr>
              <w:spacing w:before="240" w:after="240"/>
              <w:jc w:val="left"/>
              <w:rPr>
                <w:szCs w:val="24"/>
              </w:rPr>
            </w:pPr>
            <w:r>
              <w:rPr>
                <w:b/>
                <w:bCs/>
                <w:i/>
                <w:iCs/>
                <w:szCs w:val="24"/>
              </w:rPr>
              <w:t>Surfaces éligibles:</w:t>
            </w:r>
            <w:r>
              <w:rPr>
                <w:szCs w:val="24"/>
              </w:rPr>
              <w:t xml:space="preserve"> les landes, les parcours et les estives non mécanisables dont la surface cumulée </w:t>
            </w:r>
            <w:r>
              <w:rPr>
                <w:szCs w:val="24"/>
                <w:u w:val="single"/>
              </w:rPr>
              <w:t xml:space="preserve">est de </w:t>
            </w:r>
            <w:r>
              <w:rPr>
                <w:b/>
                <w:bCs/>
                <w:szCs w:val="24"/>
                <w:u w:val="single"/>
              </w:rPr>
              <w:t>10 hectares</w:t>
            </w:r>
            <w:r>
              <w:rPr>
                <w:szCs w:val="24"/>
                <w:u w:val="single"/>
              </w:rPr>
              <w:t xml:space="preserve"> minimum si l’option 1 est retenue</w:t>
            </w:r>
            <w:r>
              <w:rPr>
                <w:szCs w:val="24"/>
              </w:rPr>
              <w:t xml:space="preserve"> et </w:t>
            </w:r>
            <w:r>
              <w:rPr>
                <w:szCs w:val="24"/>
                <w:u w:val="single"/>
              </w:rPr>
              <w:t xml:space="preserve">de </w:t>
            </w:r>
            <w:r>
              <w:rPr>
                <w:b/>
                <w:bCs/>
                <w:szCs w:val="24"/>
                <w:u w:val="single"/>
              </w:rPr>
              <w:t>3 hectares</w:t>
            </w:r>
            <w:r>
              <w:rPr>
                <w:szCs w:val="24"/>
                <w:u w:val="single"/>
              </w:rPr>
              <w:t xml:space="preserve"> si l’option 2 est retenue</w:t>
            </w:r>
            <w:r>
              <w:rPr>
                <w:szCs w:val="24"/>
              </w:rPr>
              <w:t>.</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w:t>
            </w:r>
            <w:r>
              <w:rPr>
                <w:szCs w:val="24"/>
              </w:rPr>
              <w:t>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de l’aide </w:t>
            </w:r>
            <w:r>
              <w:rPr>
                <w:b/>
                <w:bCs/>
                <w:szCs w:val="24"/>
              </w:rPr>
              <w:t xml:space="preserve">pour l’option 1 </w:t>
            </w:r>
            <w:r>
              <w:rPr>
                <w:szCs w:val="24"/>
              </w:rPr>
              <w:t xml:space="preserve">est de </w:t>
            </w:r>
            <w:r>
              <w:rPr>
                <w:b/>
                <w:bCs/>
                <w:szCs w:val="24"/>
              </w:rPr>
              <w:t xml:space="preserve">72,54 € /ha/an </w:t>
            </w:r>
            <w:r>
              <w:rPr>
                <w:szCs w:val="24"/>
              </w:rPr>
              <w:t xml:space="preserve">auquel vient s’ajouter une somme forfaitaire de </w:t>
            </w:r>
            <w:r>
              <w:rPr>
                <w:b/>
                <w:bCs/>
                <w:szCs w:val="24"/>
              </w:rPr>
              <w:t>225,18 € /an. Pour l’option 2,</w:t>
            </w:r>
            <w:r>
              <w:rPr>
                <w:szCs w:val="24"/>
              </w:rPr>
              <w:t xml:space="preserve"> ce montant est de </w:t>
            </w:r>
            <w:r>
              <w:rPr>
                <w:b/>
                <w:bCs/>
                <w:szCs w:val="24"/>
              </w:rPr>
              <w:t xml:space="preserve">308,82 € /ha/an </w:t>
            </w:r>
            <w:r>
              <w:rPr>
                <w:szCs w:val="24"/>
              </w:rPr>
              <w:t xml:space="preserve">auquel vient s’ajouter une somme forfaitaire de </w:t>
            </w:r>
            <w:r>
              <w:rPr>
                <w:b/>
                <w:bCs/>
                <w:szCs w:val="24"/>
              </w:rPr>
              <w:t>141,18 € /an.</w:t>
            </w:r>
          </w:p>
          <w:p w:rsidR="0035701C" w:rsidRDefault="00FB561B">
            <w:pPr>
              <w:spacing w:before="240" w:after="240"/>
              <w:jc w:val="left"/>
              <w:rPr>
                <w:szCs w:val="24"/>
              </w:rPr>
            </w:pPr>
            <w:r>
              <w:rPr>
                <w:szCs w:val="24"/>
              </w:rPr>
              <w:t>Il est rappelé que le plafond communautaire pour ce type de couvert (autres utilisations des terres) est de 450 €/ha/an (incluant le forfait annuel).</w:t>
            </w:r>
          </w:p>
          <w:p w:rsidR="0035701C" w:rsidRDefault="0035701C">
            <w:pPr>
              <w:pStyle w:val="Corpsdetexte"/>
            </w:pPr>
          </w:p>
        </w:tc>
      </w:tr>
    </w:tbl>
    <w:p w:rsidR="0035701C" w:rsidRDefault="00FB561B">
      <w:pPr>
        <w:pStyle w:val="Titre6"/>
      </w:pPr>
      <w:r>
        <w:t>Caractère vérifiable et contrôlable des me</w:t>
      </w:r>
      <w:r>
        <w:t>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des éléments du </w:t>
      </w:r>
      <w:r>
        <w:t xml:space="preserve">niveau de référence applicable, qui doivent inclure les normes obligatoires établies en application du titre VI, chapitre I, du règlement (UE) n° 1306/2013 du Parlement européen et du Conseil, les critères pertinents et les activités minimales établies en </w:t>
      </w:r>
      <w:r>
        <w:t>application de l'article 4, paragraphe 1, point c) ii) et c) iii), du règlement (UE) n° 1307/2013 du Parlement européen et du Conseil, les exigences minimales applicables à l'utilisation des engrais et des produits phytosanitaire ainsi que les autres exige</w:t>
      </w:r>
      <w:r>
        <w:t>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Dans cette opération, il n’y a aucune interaction avec les différents éléments réglementaires décrits dans la section 8.1 du présent programme.</w:t>
            </w:r>
          </w:p>
          <w:p w:rsidR="0035701C" w:rsidRDefault="00FB561B">
            <w:pPr>
              <w:spacing w:before="240" w:after="240"/>
              <w:jc w:val="left"/>
              <w:rPr>
                <w:szCs w:val="24"/>
              </w:rPr>
            </w:pPr>
            <w:r>
              <w:rPr>
                <w:szCs w:val="24"/>
              </w:rPr>
              <w:t>Si les pratiques rémunérées au titr</w:t>
            </w:r>
            <w:r>
              <w:rPr>
                <w:szCs w:val="24"/>
              </w:rPr>
              <w:t>e de la présente opération sont rendues obligatoires sur des zones au titre de la protection de la biodiversité (notamment des zones classées au titre des réserves naturelles des arrêtés de protection de biotopes), celle-ci ne peut être ouverte sur les zon</w:t>
            </w:r>
            <w:r>
              <w:rPr>
                <w:szCs w:val="24"/>
              </w:rPr>
              <w:t>es concernées.</w:t>
            </w:r>
          </w:p>
          <w:p w:rsidR="0035701C" w:rsidRDefault="0035701C">
            <w:pPr>
              <w:pStyle w:val="Corpsdetexte"/>
            </w:pPr>
          </w:p>
        </w:tc>
      </w:tr>
    </w:tbl>
    <w:p w:rsidR="0035701C" w:rsidRDefault="00FB561B">
      <w:r>
        <w:t>Les exigences minimales relatives à l'utilisation d'engrais doivent comprendre, entre autres, le respect des codes de bonnes pratiques introduits au titre de la directive 91/676/CEE pour les exploitations situées en dehors des zones vulnér</w:t>
      </w:r>
      <w:r>
        <w:t>ables aux nitrates, et des exigences concernant la pollution au phosphore; les exigences minimales relatives à l'utilisation de produits phytosanitaires doivent comprendre, entre autres, les principes généraux de la lutte intégrée contre les ennemis des cu</w:t>
      </w:r>
      <w:r>
        <w:t>ltures introduits par la directive 2009/128/CE du Parlement européen et du Conseil, l’obligation de détenir une autorisation d’utiliser les produits, de satisfaire aux conditions de formation, d’assurer un stockage sûr et de contrôler les équipements desti</w:t>
      </w:r>
      <w:r>
        <w:t>nés à l’épandage ainsi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 xml:space="preserve">Liste </w:t>
      </w:r>
      <w:r>
        <w:t>des races locales 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préservation des ressources génétiques.</w:t>
            </w:r>
          </w:p>
          <w:p w:rsidR="0035701C" w:rsidRDefault="0035701C">
            <w:pPr>
              <w:pStyle w:val="Corpsdetexte"/>
            </w:pPr>
          </w:p>
        </w:tc>
      </w:tr>
    </w:tbl>
    <w:p w:rsidR="0035701C" w:rsidRDefault="00FB561B">
      <w:r>
        <w:t>Description de la méthode et des</w:t>
      </w:r>
      <w:r>
        <w:t xml:space="preserve"> hypothèses et paramètres agronomiques y compris la description des exigences minimales visées à l'article 29, paragraphe 2, du règlement (UE) n° 1305/2013 correspondant à chaque type particulier d'engagement, utilisés comme référence pour les calculs just</w:t>
      </w:r>
      <w:r>
        <w:t>ifiant les coûts supplémentaires et les pertes de revenus résultant de l’engagement pris et le niveau des coûts des transactions; le cas échéant, cette méthode tient compte des aides accordées au titre du règlement (UE) n° 1307/2013, et notamment des paiem</w:t>
      </w:r>
      <w:r>
        <w:t>ents en faveur des pratiques agricoles bénéfiques pour le climat et l’environnement, afin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Pratiques de </w:t>
            </w:r>
            <w:r>
              <w:rPr>
                <w:b/>
                <w:bCs/>
                <w:i/>
                <w:iCs/>
                <w:szCs w:val="24"/>
              </w:rPr>
              <w:t>référence :</w:t>
            </w:r>
            <w:r>
              <w:rPr>
                <w:szCs w:val="24"/>
              </w:rPr>
              <w:t xml:space="preserve"> l’ouverture des espaces pastoraux par brûlage dirigé n’est pas pratiquée en Corse</w:t>
            </w:r>
          </w:p>
          <w:p w:rsidR="0035701C" w:rsidRDefault="00FB561B">
            <w:pPr>
              <w:spacing w:before="240" w:after="240"/>
              <w:jc w:val="left"/>
              <w:rPr>
                <w:szCs w:val="24"/>
              </w:rPr>
            </w:pPr>
            <w:r>
              <w:rPr>
                <w:b/>
                <w:bCs/>
                <w:i/>
                <w:iCs/>
                <w:szCs w:val="24"/>
              </w:rPr>
              <w:t xml:space="preserve">Prise en compte du verdissement : </w:t>
            </w:r>
            <w:r>
              <w:rPr>
                <w:szCs w:val="24"/>
              </w:rPr>
              <w:t>afin d’exclure tout double paiement, les pratiques rémunérées au titre du verdissement sont prises en compte de la façon suivant</w:t>
            </w:r>
            <w:r>
              <w:rPr>
                <w:szCs w:val="24"/>
              </w:rPr>
              <w:t>e dans le calcul du montant unitaire de cette opération :</w:t>
            </w:r>
          </w:p>
          <w:p w:rsidR="0035701C" w:rsidRDefault="00FB561B" w:rsidP="00FB561B">
            <w:pPr>
              <w:numPr>
                <w:ilvl w:val="0"/>
                <w:numId w:val="720"/>
              </w:numPr>
              <w:spacing w:before="240" w:after="0"/>
              <w:ind w:hanging="210"/>
              <w:jc w:val="left"/>
              <w:rPr>
                <w:szCs w:val="24"/>
              </w:rPr>
            </w:pPr>
            <w:r>
              <w:rPr>
                <w:szCs w:val="24"/>
              </w:rPr>
              <w:t>maintien de prairies permanentes existantes : cette exigence n’a pas d’interaction avec cette opération,</w:t>
            </w:r>
          </w:p>
          <w:p w:rsidR="0035701C" w:rsidRDefault="00FB561B" w:rsidP="00FB561B">
            <w:pPr>
              <w:numPr>
                <w:ilvl w:val="0"/>
                <w:numId w:val="720"/>
              </w:numPr>
              <w:spacing w:before="0" w:after="0"/>
              <w:ind w:hanging="210"/>
              <w:jc w:val="left"/>
              <w:rPr>
                <w:szCs w:val="24"/>
              </w:rPr>
            </w:pPr>
            <w:r>
              <w:rPr>
                <w:szCs w:val="24"/>
              </w:rPr>
              <w:t xml:space="preserve">présence de 5 % de SIE (Surfaces d’Intérêt Ecologique) sur les terres arables : cette </w:t>
            </w:r>
            <w:r>
              <w:rPr>
                <w:szCs w:val="24"/>
              </w:rPr>
              <w:t>exigence n’a pas d’interaction avec cette opération,</w:t>
            </w:r>
          </w:p>
          <w:p w:rsidR="0035701C" w:rsidRDefault="00FB561B" w:rsidP="00FB561B">
            <w:pPr>
              <w:numPr>
                <w:ilvl w:val="0"/>
                <w:numId w:val="720"/>
              </w:numPr>
              <w:spacing w:before="0" w:after="240"/>
              <w:ind w:hanging="210"/>
              <w:jc w:val="left"/>
              <w:rPr>
                <w:szCs w:val="24"/>
              </w:rPr>
            </w:pPr>
            <w:r>
              <w:rPr>
                <w:szCs w:val="24"/>
              </w:rPr>
              <w:t>diversification des cultures : cette exigence n’a pas d’interaction avec cette opération.</w:t>
            </w:r>
          </w:p>
          <w:p w:rsidR="0035701C" w:rsidRDefault="00FB561B">
            <w:pPr>
              <w:spacing w:before="240" w:after="240"/>
              <w:jc w:val="left"/>
              <w:rPr>
                <w:szCs w:val="24"/>
              </w:rPr>
            </w:pPr>
            <w:r>
              <w:rPr>
                <w:b/>
                <w:bCs/>
                <w:i/>
                <w:iCs/>
                <w:szCs w:val="24"/>
              </w:rPr>
              <w:t>Méthode générale de calcul du montant :</w:t>
            </w:r>
          </w:p>
          <w:p w:rsidR="0035701C" w:rsidRDefault="00FB561B" w:rsidP="00FB561B">
            <w:pPr>
              <w:numPr>
                <w:ilvl w:val="0"/>
                <w:numId w:val="721"/>
              </w:numPr>
              <w:spacing w:before="240" w:after="0"/>
              <w:ind w:hanging="210"/>
              <w:jc w:val="left"/>
              <w:rPr>
                <w:szCs w:val="24"/>
              </w:rPr>
            </w:pPr>
            <w:r>
              <w:rPr>
                <w:szCs w:val="24"/>
                <w:u w:val="single"/>
              </w:rPr>
              <w:t>pour l’option 1</w:t>
            </w:r>
            <w:r>
              <w:rPr>
                <w:szCs w:val="24"/>
              </w:rPr>
              <w:t xml:space="preserve">, le montant de l’aide est calculé sur la base du coût du </w:t>
            </w:r>
            <w:r>
              <w:rPr>
                <w:szCs w:val="24"/>
              </w:rPr>
              <w:t>service et du temps de travail nécessaire à la mise en œuvre du programme de brûlage et du plan de gestion pastorale. Le coût de transaction est rémunéré sous forme forfaitaire et est inférieur à 20% du montant total de l’opération dans la mesure où la sur</w:t>
            </w:r>
            <w:r>
              <w:rPr>
                <w:szCs w:val="24"/>
              </w:rPr>
              <w:t>face minimum à engager est de 10 hectares.</w:t>
            </w:r>
          </w:p>
          <w:p w:rsidR="0035701C" w:rsidRDefault="00FB561B" w:rsidP="00FB561B">
            <w:pPr>
              <w:numPr>
                <w:ilvl w:val="0"/>
                <w:numId w:val="721"/>
              </w:numPr>
              <w:spacing w:before="0" w:after="0"/>
              <w:ind w:hanging="210"/>
              <w:jc w:val="left"/>
              <w:rPr>
                <w:szCs w:val="24"/>
              </w:rPr>
            </w:pPr>
            <w:r>
              <w:rPr>
                <w:szCs w:val="24"/>
                <w:u w:val="single"/>
              </w:rPr>
              <w:t>pour l’option 2</w:t>
            </w:r>
            <w:r>
              <w:rPr>
                <w:szCs w:val="24"/>
              </w:rPr>
              <w:t>, le montant de l’aide est calculé sur la base du coût du service, du temps de travail nécessaire à la mise en œuvre du programme de brûlage, du temps de travail et du coût de matériel nécessaire po</w:t>
            </w:r>
            <w:r>
              <w:rPr>
                <w:szCs w:val="24"/>
              </w:rPr>
              <w:t>ur lutter contre le développement des rejets ligneux. Le coût de transaction est rémunéré sous forme forfaitaire et est inférieur à 20% du montant total de l’opération dans la mesure où la surface minimum à engager est de 3 hectares.</w:t>
            </w:r>
          </w:p>
          <w:p w:rsidR="0035701C" w:rsidRDefault="00FB561B" w:rsidP="00FB561B">
            <w:pPr>
              <w:numPr>
                <w:ilvl w:val="0"/>
                <w:numId w:val="721"/>
              </w:numPr>
              <w:spacing w:before="0" w:after="240"/>
              <w:ind w:hanging="210"/>
              <w:jc w:val="left"/>
              <w:rPr>
                <w:szCs w:val="24"/>
              </w:rPr>
            </w:pPr>
            <w:r>
              <w:rPr>
                <w:szCs w:val="24"/>
              </w:rPr>
              <w:t>quelle que soit l’opti</w:t>
            </w:r>
            <w:r>
              <w:rPr>
                <w:szCs w:val="24"/>
              </w:rPr>
              <w:t>on, le surcoût lié au temps d’enregistrement des pratiques et des interventions est rémunéré sous forme forfaitaire indépendamment de la surface engagée.</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722"/>
              </w:numPr>
              <w:spacing w:before="240" w:after="0"/>
              <w:ind w:hanging="210"/>
              <w:jc w:val="left"/>
              <w:rPr>
                <w:szCs w:val="24"/>
              </w:rPr>
            </w:pPr>
            <w:r>
              <w:rPr>
                <w:szCs w:val="24"/>
              </w:rPr>
              <w:t>coût de l’accompagnement technique (service) : barèmes de coûts horaires des techn</w:t>
            </w:r>
            <w:r>
              <w:rPr>
                <w:szCs w:val="24"/>
              </w:rPr>
              <w:t>iciens – APCA</w:t>
            </w:r>
          </w:p>
          <w:p w:rsidR="0035701C" w:rsidRDefault="00FB561B" w:rsidP="00FB561B">
            <w:pPr>
              <w:numPr>
                <w:ilvl w:val="0"/>
                <w:numId w:val="722"/>
              </w:numPr>
              <w:spacing w:before="0" w:after="0"/>
              <w:ind w:hanging="210"/>
              <w:jc w:val="left"/>
              <w:rPr>
                <w:szCs w:val="24"/>
              </w:rPr>
            </w:pPr>
            <w:r>
              <w:rPr>
                <w:szCs w:val="24"/>
              </w:rPr>
              <w:t>temps de réalisation du programme de travaux : experts nationaux</w:t>
            </w:r>
          </w:p>
          <w:p w:rsidR="0035701C" w:rsidRDefault="00FB561B" w:rsidP="00FB561B">
            <w:pPr>
              <w:numPr>
                <w:ilvl w:val="0"/>
                <w:numId w:val="722"/>
              </w:numPr>
              <w:spacing w:before="0" w:after="240"/>
              <w:ind w:hanging="210"/>
              <w:jc w:val="left"/>
              <w:rPr>
                <w:szCs w:val="24"/>
              </w:rPr>
            </w:pPr>
            <w:r>
              <w:rPr>
                <w:szCs w:val="24"/>
              </w:rPr>
              <w:t>coût horaire de main d’œuvre :</w:t>
            </w:r>
            <w:r>
              <w:rPr>
                <w:i/>
                <w:iCs/>
                <w:szCs w:val="24"/>
              </w:rPr>
              <w:t xml:space="preserve"> 2 fois le coût horaire du SMIC (1er janvier 2014) </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600825" cy="4810125"/>
                  <wp:effectExtent l="0" t="0" r="0" b="0"/>
                  <wp:docPr id="100160" name="Image 100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1" name=""/>
                          <pic:cNvPicPr>
                            <a:picLocks noChangeAspect="1"/>
                          </pic:cNvPicPr>
                        </pic:nvPicPr>
                        <pic:blipFill>
                          <a:blip r:embed="rId92"/>
                          <a:stretch>
                            <a:fillRect/>
                          </a:stretch>
                        </pic:blipFill>
                        <pic:spPr>
                          <a:xfrm>
                            <a:off x="0" y="0"/>
                            <a:ext cx="6600825" cy="4810125"/>
                          </a:xfrm>
                          <a:prstGeom prst="rect">
                            <a:avLst/>
                          </a:prstGeom>
                        </pic:spPr>
                      </pic:pic>
                    </a:graphicData>
                  </a:graphic>
                </wp:inline>
              </w:drawing>
            </w:r>
          </w:p>
          <w:p w:rsidR="0035701C" w:rsidRDefault="00FB561B">
            <w:pPr>
              <w:pStyle w:val="Pieddepage"/>
              <w:jc w:val="center"/>
            </w:pPr>
            <w:r>
              <w:t>Parcours_7_option1</w:t>
            </w:r>
          </w:p>
          <w:p w:rsidR="0035701C" w:rsidRDefault="00FB561B">
            <w:pPr>
              <w:pStyle w:val="Pieddepage"/>
              <w:jc w:val="center"/>
            </w:pPr>
            <w:r>
              <w:rPr>
                <w:noProof/>
                <w:lang w:val="fr-FR" w:eastAsia="fr-FR"/>
              </w:rPr>
              <w:drawing>
                <wp:inline distT="0" distB="0" distL="0" distR="0">
                  <wp:extent cx="6591300" cy="5876925"/>
                  <wp:effectExtent l="0" t="0" r="0" b="0"/>
                  <wp:docPr id="100162" name="Image 100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3" name=""/>
                          <pic:cNvPicPr>
                            <a:picLocks noChangeAspect="1"/>
                          </pic:cNvPicPr>
                        </pic:nvPicPr>
                        <pic:blipFill>
                          <a:blip r:embed="rId93"/>
                          <a:stretch>
                            <a:fillRect/>
                          </a:stretch>
                        </pic:blipFill>
                        <pic:spPr>
                          <a:xfrm>
                            <a:off x="0" y="0"/>
                            <a:ext cx="6591300" cy="5876925"/>
                          </a:xfrm>
                          <a:prstGeom prst="rect">
                            <a:avLst/>
                          </a:prstGeom>
                        </pic:spPr>
                      </pic:pic>
                    </a:graphicData>
                  </a:graphic>
                </wp:inline>
              </w:drawing>
            </w:r>
          </w:p>
          <w:p w:rsidR="0035701C" w:rsidRDefault="00FB561B">
            <w:pPr>
              <w:pStyle w:val="Pieddepage"/>
              <w:jc w:val="center"/>
            </w:pPr>
            <w:r>
              <w:t>Parcours_7_option2</w:t>
            </w:r>
          </w:p>
          <w:p w:rsidR="0035701C" w:rsidRDefault="0035701C">
            <w:pPr>
              <w:pStyle w:val="Pieddepage"/>
              <w:jc w:val="center"/>
            </w:pPr>
          </w:p>
        </w:tc>
      </w:tr>
    </w:tbl>
    <w:p w:rsidR="0035701C" w:rsidRDefault="00FB561B">
      <w:pPr>
        <w:pStyle w:val="Titre5"/>
        <w:rPr>
          <w:b w:val="0"/>
        </w:rPr>
      </w:pPr>
      <w:r>
        <w:rPr>
          <w:b w:val="0"/>
        </w:rPr>
        <w:br w:type="page"/>
        <w:t>-19- Prébois_1</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723"/>
              </w:numPr>
            </w:pPr>
            <w:r>
              <w:t xml:space="preserve">10.1 – Paiements au </w:t>
            </w:r>
            <w:r>
              <w:t>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PREBOIS 1 =  Gestion des prairies sous couvert arboré</w:t>
            </w:r>
          </w:p>
          <w:p w:rsidR="0035701C" w:rsidRDefault="00FB561B">
            <w:pPr>
              <w:spacing w:before="240" w:after="240"/>
              <w:jc w:val="left"/>
              <w:rPr>
                <w:szCs w:val="24"/>
              </w:rPr>
            </w:pPr>
            <w:r>
              <w:rPr>
                <w:szCs w:val="24"/>
              </w:rPr>
              <w:t>La gestion des prairies sous couvert arboré, notamment par le pâturage, répond à un objectif</w:t>
            </w:r>
            <w:r>
              <w:rPr>
                <w:szCs w:val="24"/>
              </w:rPr>
              <w:t xml:space="preserve"> de maintien de la biodiversité notamment celle du couvert arboré (protection des nids de milan royal, …) ainsi qu’à un objectif de défense de ces milieux contre les incendies.</w:t>
            </w:r>
          </w:p>
          <w:p w:rsidR="0035701C" w:rsidRDefault="00FB561B">
            <w:pPr>
              <w:spacing w:before="240" w:after="240"/>
              <w:jc w:val="left"/>
              <w:rPr>
                <w:szCs w:val="24"/>
              </w:rPr>
            </w:pPr>
            <w:r>
              <w:rPr>
                <w:szCs w:val="24"/>
              </w:rPr>
              <w:t>Cette opération vise ainsi à entretenir les prairies et le couvert arboré grâce</w:t>
            </w:r>
            <w:r>
              <w:rPr>
                <w:szCs w:val="24"/>
              </w:rPr>
              <w:t xml:space="preserve"> à un pâturage raisonné, complété par des interventions manuelles et/ou mécaniques sur les strates herbacée et arborée, afin de conserver un équilibre entre couvert herbacé et couvert arboré permettant ainsi de maintenir l’accessibilité de la ressource fou</w:t>
            </w:r>
            <w:r>
              <w:rPr>
                <w:szCs w:val="24"/>
              </w:rPr>
              <w:t>rragère sur ces surfaces et assurer leur protection en cas d’incendies en les rendant moins vulnérables. En effet, ces règles minimales d’entretien ne permettent pas de garantir une lutte efficace contre la fermeture de milieux non stabilisés et soumis à u</w:t>
            </w:r>
            <w:r>
              <w:rPr>
                <w:szCs w:val="24"/>
              </w:rPr>
              <w:t>ne forte dynamique de la végétation. Le pâturage de type extensif voire très extensif, les conditions pédo-climatiques de l'île associées à un couvert arboré plus propice au développement végétal, tout ceci concourt, sur ce type de milieu, à rendre insuffi</w:t>
            </w:r>
            <w:r>
              <w:rPr>
                <w:szCs w:val="24"/>
              </w:rPr>
              <w:t>sant l’entretien exigé d’ordinaire  sur d’autres couverts. C’est pourquoi un équilibre doit être maintenu par un effort d’entretien supplémentaire.</w:t>
            </w:r>
          </w:p>
          <w:p w:rsidR="0035701C" w:rsidRDefault="00FB561B">
            <w:pPr>
              <w:spacing w:before="240" w:after="240"/>
              <w:jc w:val="left"/>
              <w:rPr>
                <w:szCs w:val="24"/>
              </w:rPr>
            </w:pPr>
            <w:r>
              <w:rPr>
                <w:szCs w:val="24"/>
              </w:rPr>
              <w:t>L’entretien de ce type de biotope particulièrement riche tant au niveau floristique que faunistique est esse</w:t>
            </w:r>
            <w:r>
              <w:rPr>
                <w:szCs w:val="24"/>
              </w:rPr>
              <w:t>ntiel. Ces espaces sont de véritables enclaves de stockage de carbone qui non seulement permettent un recyclage du CO2 mais évitent les déperditions hydriques liées à un climat de type méditerranéen.</w:t>
            </w:r>
          </w:p>
          <w:p w:rsidR="0035701C" w:rsidRDefault="00FB561B">
            <w:pPr>
              <w:spacing w:before="240" w:after="240"/>
              <w:jc w:val="left"/>
              <w:rPr>
                <w:szCs w:val="24"/>
              </w:rPr>
            </w:pPr>
            <w:r>
              <w:rPr>
                <w:szCs w:val="24"/>
              </w:rPr>
              <w:t>Cette opération qui a déjà été proposée dans le cadre de</w:t>
            </w:r>
            <w:r>
              <w:rPr>
                <w:szCs w:val="24"/>
              </w:rPr>
              <w:t xml:space="preserve"> la programmation précédente (2007-2013) est maintenue. Bien accueillie par les exploitants, elle a contribué favorablement à la conservation ou à l’amélioration de la biodiversité dans ces milieux de prébois. Elle a conduit à la réduction de la biomasse c</w:t>
            </w:r>
            <w:r>
              <w:rPr>
                <w:szCs w:val="24"/>
              </w:rPr>
              <w:t>ombustible ce qui a permis d’assurer une prévention et une lutte contre les incendies efficace.</w:t>
            </w:r>
          </w:p>
          <w:p w:rsidR="0035701C" w:rsidRDefault="00FB561B">
            <w:pPr>
              <w:spacing w:before="240" w:after="240"/>
              <w:jc w:val="left"/>
              <w:rPr>
                <w:szCs w:val="24"/>
              </w:rPr>
            </w:pPr>
            <w:r>
              <w:rPr>
                <w:szCs w:val="24"/>
              </w:rPr>
              <w:t>L’agriculteur aura aussi la possibilité de réaliser un rééquilibrage de la flore prairiale pour en améliorer la qualité fourragère si besoin, mais uniquement av</w:t>
            </w:r>
            <w:r>
              <w:rPr>
                <w:szCs w:val="24"/>
              </w:rPr>
              <w:t>ec des espèces pérennes d’origine méditerranéenne adaptées aux conditions pédo-climatiques de l’île, et en utilisant des techniques culturales simplifiées (semis direct, sursemis) afin de préserver les sols.</w:t>
            </w:r>
          </w:p>
          <w:p w:rsidR="0035701C" w:rsidRDefault="00FB561B">
            <w:pPr>
              <w:spacing w:before="240" w:after="240"/>
              <w:jc w:val="left"/>
              <w:rPr>
                <w:szCs w:val="24"/>
              </w:rPr>
            </w:pPr>
            <w:r>
              <w:rPr>
                <w:szCs w:val="24"/>
              </w:rPr>
              <w:t xml:space="preserve">Une irrigation destinée à compenser un déficit </w:t>
            </w:r>
            <w:r>
              <w:rPr>
                <w:szCs w:val="24"/>
              </w:rPr>
              <w:t>en eau inhabituel et temporaire (fin d’été, début d’automne) est autorisée pour assurer la survie de la prairie (irrigation de soudure). Ce type d’irrigation est limité en quantité, de l’ordre de 1 500 m3/ha/an, alors qu’une irrigation conventionnelle néce</w:t>
            </w:r>
            <w:r>
              <w:rPr>
                <w:szCs w:val="24"/>
              </w:rPr>
              <w:t>ssite des apports équivalents à 8 000 m3/ha/an.</w:t>
            </w:r>
          </w:p>
          <w:p w:rsidR="0035701C" w:rsidRDefault="00FB561B">
            <w:pPr>
              <w:spacing w:before="240" w:after="240"/>
              <w:jc w:val="left"/>
              <w:rPr>
                <w:szCs w:val="24"/>
              </w:rPr>
            </w:pPr>
            <w:r>
              <w:rPr>
                <w:szCs w:val="24"/>
              </w:rPr>
              <w:t>Une fertilisation NPK est autorisée de l’ordre de 60 Unités /ha/an.</w:t>
            </w:r>
          </w:p>
          <w:p w:rsidR="0035701C" w:rsidRDefault="00FB561B">
            <w:pPr>
              <w:spacing w:before="240" w:after="240"/>
              <w:jc w:val="left"/>
              <w:rPr>
                <w:szCs w:val="24"/>
              </w:rPr>
            </w:pPr>
            <w:r>
              <w:rPr>
                <w:b/>
                <w:bCs/>
                <w:i/>
                <w:iCs/>
                <w:szCs w:val="24"/>
              </w:rPr>
              <w:t>Cahier des charges :</w:t>
            </w:r>
          </w:p>
          <w:p w:rsidR="0035701C" w:rsidRDefault="00FB561B" w:rsidP="00FB561B">
            <w:pPr>
              <w:numPr>
                <w:ilvl w:val="0"/>
                <w:numId w:val="724"/>
              </w:numPr>
              <w:spacing w:before="240" w:after="0"/>
              <w:ind w:hanging="210"/>
              <w:jc w:val="left"/>
              <w:rPr>
                <w:szCs w:val="24"/>
              </w:rPr>
            </w:pPr>
            <w:r>
              <w:rPr>
                <w:szCs w:val="24"/>
              </w:rPr>
              <w:t xml:space="preserve">l’agriculteur doit réaliser 2 broyages et/ou fauches des refus dans l’année, selon un calendrier précisé lors du </w:t>
            </w:r>
            <w:r>
              <w:rPr>
                <w:szCs w:val="24"/>
              </w:rPr>
              <w:t>diagnostic préalable en rapport avec la nature de l’espèce indésirable dominante,</w:t>
            </w:r>
          </w:p>
          <w:p w:rsidR="0035701C" w:rsidRDefault="00FB561B" w:rsidP="00FB561B">
            <w:pPr>
              <w:numPr>
                <w:ilvl w:val="0"/>
                <w:numId w:val="724"/>
              </w:numPr>
              <w:spacing w:before="0" w:after="0"/>
              <w:ind w:hanging="210"/>
              <w:jc w:val="left"/>
              <w:rPr>
                <w:szCs w:val="24"/>
              </w:rPr>
            </w:pPr>
            <w:r>
              <w:rPr>
                <w:szCs w:val="24"/>
              </w:rPr>
              <w:t>les traitements chimiques pour maîtriser les refus sont interdits (herbicides),</w:t>
            </w:r>
          </w:p>
          <w:p w:rsidR="0035701C" w:rsidRDefault="00FB561B" w:rsidP="00FB561B">
            <w:pPr>
              <w:numPr>
                <w:ilvl w:val="0"/>
                <w:numId w:val="724"/>
              </w:numPr>
              <w:spacing w:before="0" w:after="0"/>
              <w:ind w:hanging="210"/>
              <w:jc w:val="left"/>
              <w:rPr>
                <w:szCs w:val="24"/>
              </w:rPr>
            </w:pPr>
            <w:r>
              <w:rPr>
                <w:szCs w:val="24"/>
              </w:rPr>
              <w:t>un seul renouvellement des prairies temporaires est autorisé au cours des 5 ans,</w:t>
            </w:r>
          </w:p>
          <w:p w:rsidR="0035701C" w:rsidRDefault="00FB561B" w:rsidP="00FB561B">
            <w:pPr>
              <w:numPr>
                <w:ilvl w:val="0"/>
                <w:numId w:val="724"/>
              </w:numPr>
              <w:spacing w:before="0" w:after="0"/>
              <w:ind w:hanging="210"/>
              <w:jc w:val="left"/>
              <w:rPr>
                <w:szCs w:val="24"/>
              </w:rPr>
            </w:pPr>
            <w:r>
              <w:rPr>
                <w:szCs w:val="24"/>
              </w:rPr>
              <w:t>le retourneme</w:t>
            </w:r>
            <w:r>
              <w:rPr>
                <w:szCs w:val="24"/>
              </w:rPr>
              <w:t>nt des prairies naturelles est interdit pendant la durée du contrat,</w:t>
            </w:r>
          </w:p>
          <w:p w:rsidR="0035701C" w:rsidRDefault="00FB561B" w:rsidP="00FB561B">
            <w:pPr>
              <w:numPr>
                <w:ilvl w:val="0"/>
                <w:numId w:val="724"/>
              </w:numPr>
              <w:spacing w:before="0" w:after="0"/>
              <w:ind w:hanging="210"/>
              <w:jc w:val="left"/>
              <w:rPr>
                <w:szCs w:val="24"/>
              </w:rPr>
            </w:pPr>
            <w:r>
              <w:rPr>
                <w:szCs w:val="24"/>
              </w:rPr>
              <w:t>si l’agriculteur souhaite enrichir la strate herbacée, il doit obligatoirement utiliser des espèces fourragères méditerranéennes et utiliser des techniques culturales simplifiées uniqueme</w:t>
            </w:r>
            <w:r>
              <w:rPr>
                <w:szCs w:val="24"/>
              </w:rPr>
              <w:t>nt (semis direct ou sursemis)</w:t>
            </w:r>
          </w:p>
          <w:p w:rsidR="0035701C" w:rsidRDefault="00FB561B" w:rsidP="00FB561B">
            <w:pPr>
              <w:numPr>
                <w:ilvl w:val="0"/>
                <w:numId w:val="724"/>
              </w:numPr>
              <w:spacing w:before="0" w:after="0"/>
              <w:ind w:hanging="210"/>
              <w:jc w:val="left"/>
              <w:rPr>
                <w:szCs w:val="24"/>
              </w:rPr>
            </w:pPr>
            <w:r>
              <w:rPr>
                <w:szCs w:val="24"/>
              </w:rPr>
              <w:t>seule l’irrigation de soudure est autorisée,</w:t>
            </w:r>
          </w:p>
          <w:p w:rsidR="0035701C" w:rsidRDefault="00FB561B" w:rsidP="00FB561B">
            <w:pPr>
              <w:numPr>
                <w:ilvl w:val="0"/>
                <w:numId w:val="724"/>
              </w:numPr>
              <w:spacing w:before="0" w:after="0"/>
              <w:ind w:hanging="210"/>
              <w:jc w:val="left"/>
              <w:rPr>
                <w:szCs w:val="24"/>
              </w:rPr>
            </w:pPr>
            <w:r>
              <w:rPr>
                <w:szCs w:val="24"/>
              </w:rPr>
              <w:t xml:space="preserve">les interventions de coupes et/ou d’élagage sur la strate arborée : </w:t>
            </w:r>
          </w:p>
          <w:p w:rsidR="0035701C" w:rsidRDefault="00FB561B" w:rsidP="00FB561B">
            <w:pPr>
              <w:numPr>
                <w:ilvl w:val="1"/>
                <w:numId w:val="724"/>
              </w:numPr>
              <w:spacing w:before="0" w:after="0"/>
              <w:ind w:hanging="244"/>
              <w:jc w:val="left"/>
              <w:rPr>
                <w:szCs w:val="24"/>
              </w:rPr>
            </w:pPr>
            <w:r>
              <w:rPr>
                <w:szCs w:val="24"/>
              </w:rPr>
              <w:t>doivent être réalisées en hiver, hors période de nidification des oiseaux notamment sur les Zones d’Intérêt Flor</w:t>
            </w:r>
            <w:r>
              <w:rPr>
                <w:szCs w:val="24"/>
              </w:rPr>
              <w:t>istique et faunistique (ZICO),</w:t>
            </w:r>
          </w:p>
          <w:p w:rsidR="0035701C" w:rsidRDefault="00FB561B" w:rsidP="00FB561B">
            <w:pPr>
              <w:numPr>
                <w:ilvl w:val="1"/>
                <w:numId w:val="724"/>
              </w:numPr>
              <w:spacing w:before="0" w:after="0"/>
              <w:ind w:hanging="244"/>
              <w:jc w:val="left"/>
              <w:rPr>
                <w:szCs w:val="24"/>
              </w:rPr>
            </w:pPr>
            <w:r>
              <w:rPr>
                <w:szCs w:val="24"/>
              </w:rPr>
              <w:t>les rémanents, ainsi que les bois au sol, doivent être, selon leur taille, soit exportés, soit broyés sur place</w:t>
            </w:r>
          </w:p>
          <w:p w:rsidR="0035701C" w:rsidRDefault="00FB561B" w:rsidP="00FB561B">
            <w:pPr>
              <w:numPr>
                <w:ilvl w:val="1"/>
                <w:numId w:val="724"/>
              </w:numPr>
              <w:spacing w:before="0" w:after="0"/>
              <w:ind w:hanging="244"/>
              <w:jc w:val="left"/>
              <w:rPr>
                <w:szCs w:val="24"/>
              </w:rPr>
            </w:pPr>
            <w:r>
              <w:rPr>
                <w:szCs w:val="24"/>
              </w:rPr>
              <w:t>le brûlage des rémanents est interdit</w:t>
            </w:r>
          </w:p>
          <w:p w:rsidR="0035701C" w:rsidRDefault="00FB561B" w:rsidP="00FB561B">
            <w:pPr>
              <w:numPr>
                <w:ilvl w:val="1"/>
                <w:numId w:val="724"/>
              </w:numPr>
              <w:spacing w:before="0" w:after="0"/>
              <w:ind w:hanging="244"/>
              <w:jc w:val="left"/>
              <w:rPr>
                <w:szCs w:val="24"/>
              </w:rPr>
            </w:pPr>
            <w:r>
              <w:rPr>
                <w:szCs w:val="24"/>
              </w:rPr>
              <w:t>ces interventions sont réalisées deux fois sur la durée du contrat, sur deu</w:t>
            </w:r>
            <w:r>
              <w:rPr>
                <w:szCs w:val="24"/>
              </w:rPr>
              <w:t>x années différentes,</w:t>
            </w:r>
          </w:p>
          <w:p w:rsidR="0035701C" w:rsidRDefault="00FB561B" w:rsidP="00FB561B">
            <w:pPr>
              <w:numPr>
                <w:ilvl w:val="0"/>
                <w:numId w:val="724"/>
              </w:numPr>
              <w:spacing w:before="0" w:after="240"/>
              <w:ind w:hanging="210"/>
              <w:jc w:val="left"/>
              <w:rPr>
                <w:szCs w:val="24"/>
              </w:rPr>
            </w:pPr>
            <w:r>
              <w:rPr>
                <w:szCs w:val="24"/>
              </w:rPr>
              <w:t>l’agriculteur doit assurer l’enregistrement des différentes interventions et des pratiques réalisées dans un document normé prévu à cet effet. Ce document sera remis à l’agriculteur à l’issue du diagnostic obligatoire réalisé par le s</w:t>
            </w:r>
            <w:r>
              <w:rPr>
                <w:szCs w:val="24"/>
              </w:rPr>
              <w:t>ervice instructeur.</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éléments de la ligne de </w:t>
            </w:r>
            <w:r>
              <w:rPr>
                <w:szCs w:val="24"/>
              </w:rPr>
              <w:t>base sont définis en conformité avec :</w:t>
            </w:r>
          </w:p>
          <w:p w:rsidR="0035701C" w:rsidRDefault="00FB561B" w:rsidP="00FB561B">
            <w:pPr>
              <w:numPr>
                <w:ilvl w:val="0"/>
                <w:numId w:val="725"/>
              </w:numPr>
              <w:spacing w:before="240" w:after="0"/>
              <w:ind w:hanging="210"/>
              <w:jc w:val="left"/>
              <w:rPr>
                <w:szCs w:val="24"/>
              </w:rPr>
            </w:pPr>
            <w:r>
              <w:rPr>
                <w:szCs w:val="24"/>
              </w:rPr>
              <w:t>les exigences établies en vertu de l’article 93 du Titre VI du règlement UE n° 1306/2013 relatif à la conditionnalité,</w:t>
            </w:r>
          </w:p>
          <w:p w:rsidR="0035701C" w:rsidRDefault="00FB561B" w:rsidP="00FB561B">
            <w:pPr>
              <w:numPr>
                <w:ilvl w:val="0"/>
                <w:numId w:val="725"/>
              </w:numPr>
              <w:spacing w:before="0" w:after="0"/>
              <w:ind w:hanging="210"/>
              <w:jc w:val="left"/>
              <w:rPr>
                <w:szCs w:val="24"/>
              </w:rPr>
            </w:pPr>
            <w:r>
              <w:rPr>
                <w:szCs w:val="24"/>
              </w:rPr>
              <w:t xml:space="preserve">les exigences établies en vertu de l’article 4.1c points ii) et iii) du règlement UE n°1307/2013 </w:t>
            </w:r>
            <w:r>
              <w:rPr>
                <w:szCs w:val="24"/>
              </w:rPr>
              <w:t>relatif à l’état d’entretien minimum des surfaces</w:t>
            </w:r>
          </w:p>
          <w:p w:rsidR="0035701C" w:rsidRDefault="00FB561B" w:rsidP="00FB561B">
            <w:pPr>
              <w:numPr>
                <w:ilvl w:val="0"/>
                <w:numId w:val="725"/>
              </w:numPr>
              <w:spacing w:before="0" w:after="240"/>
              <w:ind w:hanging="210"/>
              <w:jc w:val="left"/>
              <w:rPr>
                <w:szCs w:val="24"/>
              </w:rPr>
            </w:pPr>
            <w:r>
              <w:rPr>
                <w:szCs w:val="24"/>
              </w:rPr>
              <w:t>toute autre exigence pertinente établie par la réglementation nationale, tel le Code des Bonnes Pratiques Agricoles pris par arrêté du 22 novembre 1993</w:t>
            </w:r>
          </w:p>
          <w:p w:rsidR="0035701C" w:rsidRDefault="00FB561B">
            <w:pPr>
              <w:spacing w:before="240" w:after="240"/>
              <w:jc w:val="left"/>
              <w:rPr>
                <w:szCs w:val="24"/>
              </w:rPr>
            </w:pPr>
            <w:r>
              <w:rPr>
                <w:szCs w:val="24"/>
              </w:rPr>
              <w:t>Ces éléments sont détaillés au paragraphe « Informatio</w:t>
            </w:r>
            <w:r>
              <w:rPr>
                <w:szCs w:val="24"/>
              </w:rPr>
              <w:t>n spécifique à l’opération – Description de la ligne de base » de la présente fiche-opération.</w:t>
            </w:r>
          </w:p>
          <w:p w:rsidR="0035701C" w:rsidRDefault="00FB561B">
            <w:pPr>
              <w:spacing w:before="240" w:after="240"/>
              <w:jc w:val="left"/>
              <w:rPr>
                <w:szCs w:val="24"/>
              </w:rPr>
            </w:pPr>
            <w:r>
              <w:rPr>
                <w:szCs w:val="24"/>
              </w:rPr>
              <w:t>Afin d’exclure tout double paiement, les pratiques visées à l’article 43 du règlement UE n° 1307/2013 sont prises en compte dans le calcul des surcoûts et manque</w:t>
            </w:r>
            <w:r>
              <w:rPr>
                <w:szCs w:val="24"/>
              </w:rPr>
              <w:t>s à gagner. La méthode de calcul est détaillée au paragraphe « Information spécifique à l’opération – Méthode de calcul du montant » de la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 xml:space="preserve">Coûts </w:t>
      </w:r>
      <w:r>
        <w:t>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les surcoûts, manques à gagner et éventuels coûts d’opportunité et de transaction générés par le respect des éléments contractualisés.</w:t>
            </w:r>
          </w:p>
          <w:p w:rsidR="0035701C" w:rsidRDefault="00FB561B">
            <w:pPr>
              <w:spacing w:before="240" w:after="240"/>
              <w:jc w:val="left"/>
              <w:rPr>
                <w:szCs w:val="24"/>
              </w:rPr>
            </w:pPr>
            <w:r>
              <w:rPr>
                <w:szCs w:val="24"/>
              </w:rPr>
              <w:t>Dans le cas de cette opération, sont pris en compte uniquement des surcoûts.</w:t>
            </w:r>
          </w:p>
          <w:p w:rsidR="0035701C" w:rsidRDefault="0035701C">
            <w:pPr>
              <w:pStyle w:val="Corpsdetexte"/>
            </w:pPr>
          </w:p>
        </w:tc>
      </w:tr>
    </w:tbl>
    <w:p w:rsidR="0035701C" w:rsidRDefault="00FB561B">
      <w:pPr>
        <w:pStyle w:val="Titre6"/>
      </w:pPr>
      <w:r>
        <w:t>Condi</w:t>
      </w:r>
      <w:r>
        <w:t>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La réalisation d’un diagnostic d’exploitation préalable à la souscription de cette opération est obligatoire.</w:t>
            </w:r>
          </w:p>
          <w:p w:rsidR="0035701C" w:rsidRDefault="00FB561B">
            <w:pPr>
              <w:spacing w:before="240" w:after="240"/>
              <w:jc w:val="left"/>
              <w:rPr>
                <w:szCs w:val="24"/>
              </w:rPr>
            </w:pPr>
            <w:r>
              <w:rPr>
                <w:b/>
                <w:bCs/>
                <w:i/>
                <w:iCs/>
                <w:szCs w:val="24"/>
              </w:rPr>
              <w:t>Surfaces éligibles:</w:t>
            </w:r>
            <w:r>
              <w:rPr>
                <w:szCs w:val="24"/>
              </w:rPr>
              <w:t xml:space="preserve"> les prairies permanentes et temporaires sous couvert arboré de type chênaies (chênes blancs, chênes vert</w:t>
            </w:r>
            <w:r>
              <w:rPr>
                <w:szCs w:val="24"/>
              </w:rPr>
              <w:t>s et chêne-liège), pinèdes, châtaigneraies, oliveraies, anciens vergers dont la densité est comprise entre 50 et 100 arbres / Ha.</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w:t>
            </w:r>
            <w:r>
              <w:rPr>
                <w:szCs w:val="24"/>
              </w:rPr>
              <w:t xml:space="preserve"> d’aide publique est de 100 %.</w:t>
            </w:r>
          </w:p>
          <w:p w:rsidR="0035701C" w:rsidRDefault="00FB561B">
            <w:pPr>
              <w:spacing w:before="240" w:after="240"/>
              <w:jc w:val="left"/>
              <w:rPr>
                <w:szCs w:val="24"/>
              </w:rPr>
            </w:pPr>
            <w:r>
              <w:rPr>
                <w:szCs w:val="24"/>
              </w:rPr>
              <w:t xml:space="preserve">Le montant de l’aide est de </w:t>
            </w:r>
            <w:r>
              <w:rPr>
                <w:b/>
                <w:bCs/>
                <w:szCs w:val="24"/>
              </w:rPr>
              <w:t>212,65 € /ha/an</w:t>
            </w:r>
            <w:r>
              <w:rPr>
                <w:szCs w:val="24"/>
              </w:rPr>
              <w:t xml:space="preserve"> auquel vient s’ajouter une somme forfaitaire de </w:t>
            </w:r>
            <w:r>
              <w:rPr>
                <w:b/>
                <w:bCs/>
                <w:szCs w:val="24"/>
              </w:rPr>
              <w:t>57,18 €/an</w:t>
            </w:r>
            <w:r>
              <w:rPr>
                <w:szCs w:val="24"/>
              </w:rPr>
              <w:t xml:space="preserve"> liée à l’enregistrement des pratiques et des interventions.</w:t>
            </w:r>
          </w:p>
          <w:p w:rsidR="0035701C" w:rsidRDefault="00FB561B">
            <w:pPr>
              <w:spacing w:before="240" w:after="240"/>
              <w:jc w:val="left"/>
              <w:rPr>
                <w:szCs w:val="24"/>
              </w:rPr>
            </w:pPr>
            <w:r>
              <w:rPr>
                <w:szCs w:val="24"/>
              </w:rPr>
              <w:t xml:space="preserve">Il est rappelé que le plafond communautaire pour ce type de </w:t>
            </w:r>
            <w:r>
              <w:rPr>
                <w:szCs w:val="24"/>
              </w:rPr>
              <w:t>couvert (autres utilisations des terres) est de 450 €/ha/an (incluant le forfait annuel).</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des éléments du niveau de référence applicable, qui doivent inclure les normes obligatoires établies en application du titre VI, chapitre </w:t>
      </w:r>
      <w:r>
        <w:t>I, du règlement (UE) n° 1306/2013 du Parlement européen et du Conseil, les critères pertinents et les activités minimales établies en application de l'article 4, paragraphe 1, point c) ii) et c) iii), du règlement (UE) n° 1307/2013 du Parlement européen et</w:t>
      </w:r>
      <w:r>
        <w:t xml:space="preserve"> du Conseil, les exigences minimales applicables à l'utilisation des engrais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Si les pratiques rémunérées au titre de la pr</w:t>
            </w:r>
            <w:r>
              <w:rPr>
                <w:szCs w:val="24"/>
              </w:rPr>
              <w:t>ésente opération sont rendues obligatoires sur des zones au titre de la protection de la biodiversité (notamment des zones classées au titre des réserves naturelles des arrêtés de protection de biotopes), celle-ci ne peut être ouverte sur les zones concern</w:t>
            </w:r>
            <w:r>
              <w:rPr>
                <w:szCs w:val="24"/>
              </w:rPr>
              <w:t>ées.</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593332"/>
                  <wp:effectExtent l="0" t="0" r="0" b="0"/>
                  <wp:docPr id="100164" name="Image 100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5" name=""/>
                          <pic:cNvPicPr>
                            <a:picLocks noChangeAspect="1"/>
                          </pic:cNvPicPr>
                        </pic:nvPicPr>
                        <pic:blipFill>
                          <a:blip r:embed="rId94"/>
                          <a:stretch>
                            <a:fillRect/>
                          </a:stretch>
                        </pic:blipFill>
                        <pic:spPr>
                          <a:xfrm>
                            <a:off x="0" y="0"/>
                            <a:ext cx="6629400" cy="1593332"/>
                          </a:xfrm>
                          <a:prstGeom prst="rect">
                            <a:avLst/>
                          </a:prstGeom>
                        </pic:spPr>
                      </pic:pic>
                    </a:graphicData>
                  </a:graphic>
                </wp:inline>
              </w:drawing>
            </w:r>
          </w:p>
          <w:p w:rsidR="0035701C" w:rsidRDefault="00FB561B">
            <w:pPr>
              <w:pStyle w:val="Pieddepage"/>
              <w:jc w:val="center"/>
            </w:pPr>
            <w:r>
              <w:t>Prébois_1_lignebase</w:t>
            </w:r>
          </w:p>
          <w:p w:rsidR="0035701C" w:rsidRDefault="0035701C">
            <w:pPr>
              <w:pStyle w:val="Pieddepage"/>
              <w:jc w:val="center"/>
            </w:pPr>
          </w:p>
        </w:tc>
      </w:tr>
    </w:tbl>
    <w:p w:rsidR="0035701C" w:rsidRDefault="00FB561B">
      <w:r>
        <w:t>Les exigences minimales relatives à l'utilisation d'engrais doivent comprendre, entre autres, le respect des codes de bonnes pratiques introduits au titre de la directive 91/676/CEE pour les exploitations situées en dehors des</w:t>
      </w:r>
      <w:r>
        <w:t xml:space="preserve"> zones vulnérables aux nitrates, et des exigences concernant la pollution au phosphore; les exigences minimales relatives à l'utilisation de produits phytosanitaires doivent comprendre, entre autres, les principes généraux de la lutte intégrée contre les e</w:t>
      </w:r>
      <w:r>
        <w:t>nnemis des cultures introduits par la directive 2009/128/CE du Parlement européen et du Conseil, l’obligation de détenir une autorisation d’utiliser les produits, de satisfaire aux conditions de formation, d’assurer un stockage sûr et de contrôler les équi</w:t>
      </w:r>
      <w:r>
        <w:t>pements destinés à l’épandage ainsi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w:t>
            </w:r>
            <w:r>
              <w:rPr>
                <w:szCs w:val="24"/>
              </w:rPr>
              <w:t>s.</w:t>
            </w:r>
          </w:p>
          <w:p w:rsidR="0035701C" w:rsidRDefault="0035701C">
            <w:pPr>
              <w:pStyle w:val="Corpsdetexte"/>
            </w:pPr>
          </w:p>
        </w:tc>
      </w:tr>
    </w:tbl>
    <w:p w:rsidR="0035701C" w:rsidRDefault="00FB561B">
      <w:r>
        <w:t>Liste des races locales 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préservation des ressources génétiques.</w:t>
            </w:r>
          </w:p>
          <w:p w:rsidR="0035701C" w:rsidRDefault="0035701C">
            <w:pPr>
              <w:pStyle w:val="Corpsdetexte"/>
            </w:pPr>
          </w:p>
        </w:tc>
      </w:tr>
    </w:tbl>
    <w:p w:rsidR="0035701C" w:rsidRDefault="00FB561B">
      <w:r>
        <w:t>Description de la mét</w:t>
      </w:r>
      <w:r>
        <w:t>hode et des hypothèses et paramètres agronomiques y compris la description des exigences minimales visées à l'article 29, paragraphe 2, du règlement (UE) n° 1305/2013 correspondant à chaque type particulier d'engagement, utilisés comme référence pour les c</w:t>
      </w:r>
      <w:r>
        <w:t>alculs justifiant les coûts supplémentaires et les pertes de revenus résultant de l’engagement pris et le niveau des coûts des transactions; le cas échéant, cette méthode tient compte des aides accordées au titre du règlement (UE) n° 1307/2013, et notammen</w:t>
      </w:r>
      <w:r>
        <w:t>t des paiements en faveur des pratiques agricoles bénéfiques pour le climat et l’environnement, afin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Pratique</w:t>
            </w:r>
            <w:r>
              <w:rPr>
                <w:b/>
                <w:bCs/>
                <w:i/>
                <w:iCs/>
                <w:szCs w:val="24"/>
              </w:rPr>
              <w:t>s de référence :</w:t>
            </w:r>
            <w:r>
              <w:rPr>
                <w:szCs w:val="24"/>
              </w:rPr>
              <w:t xml:space="preserve"> l’entretien habituel de toute parcelle en herbe consiste à réaliser chaque année au moins une fauche ou un pâturage.</w:t>
            </w:r>
          </w:p>
          <w:p w:rsidR="0035701C" w:rsidRDefault="00FB561B">
            <w:pPr>
              <w:spacing w:before="240" w:after="240"/>
              <w:jc w:val="left"/>
              <w:rPr>
                <w:szCs w:val="24"/>
              </w:rPr>
            </w:pPr>
            <w:r>
              <w:rPr>
                <w:b/>
                <w:bCs/>
                <w:i/>
                <w:iCs/>
                <w:szCs w:val="24"/>
              </w:rPr>
              <w:t xml:space="preserve">Prise en compte du verdissement : </w:t>
            </w:r>
            <w:r>
              <w:rPr>
                <w:szCs w:val="24"/>
              </w:rPr>
              <w:t xml:space="preserve">afin d’exclure tout double paiement, les pratiques rémunérées au titre du verdissement </w:t>
            </w:r>
            <w:r>
              <w:rPr>
                <w:szCs w:val="24"/>
              </w:rPr>
              <w:t>sont prises en compte de la façon suivante dans le calcul du montant unitaire de cette opération :</w:t>
            </w:r>
          </w:p>
          <w:p w:rsidR="0035701C" w:rsidRDefault="00FB561B" w:rsidP="00FB561B">
            <w:pPr>
              <w:numPr>
                <w:ilvl w:val="0"/>
                <w:numId w:val="726"/>
              </w:numPr>
              <w:spacing w:before="240" w:after="0"/>
              <w:ind w:hanging="210"/>
              <w:jc w:val="left"/>
              <w:rPr>
                <w:szCs w:val="24"/>
              </w:rPr>
            </w:pPr>
            <w:r>
              <w:rPr>
                <w:szCs w:val="24"/>
              </w:rPr>
              <w:t>maintien de prairies permanentes existantes : cette exigence a une interaction avec cette opération. L’obligation de maintien des prairies et pâturages perma</w:t>
            </w:r>
            <w:r>
              <w:rPr>
                <w:szCs w:val="24"/>
              </w:rPr>
              <w:t>nents doit être respectée à l’échelle de la parcelle engagée, ce qui est plus contraignant que le verdissement qui s’applique à l’échelle régionale. Par ailleurs cette obligation n’est pas rémunérée.</w:t>
            </w:r>
          </w:p>
          <w:p w:rsidR="0035701C" w:rsidRDefault="00FB561B" w:rsidP="00FB561B">
            <w:pPr>
              <w:numPr>
                <w:ilvl w:val="0"/>
                <w:numId w:val="726"/>
              </w:numPr>
              <w:spacing w:before="0" w:after="0"/>
              <w:ind w:hanging="210"/>
              <w:jc w:val="left"/>
              <w:rPr>
                <w:szCs w:val="24"/>
              </w:rPr>
            </w:pPr>
            <w:r>
              <w:rPr>
                <w:szCs w:val="24"/>
              </w:rPr>
              <w:t>présence de 5 % de SIE (Surfaces d’Intérêt Ecologique) s</w:t>
            </w:r>
            <w:r>
              <w:rPr>
                <w:szCs w:val="24"/>
              </w:rPr>
              <w:t>ur les terres arables : cette exigence n’a pas d’interaction avec cette opération.</w:t>
            </w:r>
          </w:p>
          <w:p w:rsidR="0035701C" w:rsidRDefault="00FB561B" w:rsidP="00FB561B">
            <w:pPr>
              <w:numPr>
                <w:ilvl w:val="0"/>
                <w:numId w:val="726"/>
              </w:numPr>
              <w:spacing w:before="0" w:after="240"/>
              <w:ind w:hanging="210"/>
              <w:jc w:val="left"/>
              <w:rPr>
                <w:szCs w:val="24"/>
              </w:rPr>
            </w:pPr>
            <w:r>
              <w:rPr>
                <w:szCs w:val="24"/>
              </w:rPr>
              <w:t>diversification des cultures : cette exigence n’a pas d’interaction avec cette opération.</w:t>
            </w:r>
          </w:p>
          <w:p w:rsidR="0035701C" w:rsidRDefault="00FB561B">
            <w:pPr>
              <w:spacing w:before="240" w:after="240"/>
              <w:jc w:val="left"/>
              <w:rPr>
                <w:szCs w:val="24"/>
              </w:rPr>
            </w:pPr>
            <w:r>
              <w:rPr>
                <w:b/>
                <w:bCs/>
                <w:i/>
                <w:iCs/>
                <w:szCs w:val="24"/>
              </w:rPr>
              <w:t>Méthode générale de calcul du montant :</w:t>
            </w:r>
            <w:r>
              <w:rPr>
                <w:szCs w:val="24"/>
              </w:rPr>
              <w:t xml:space="preserve"> le montant de l’aide est calculé sur la bas</w:t>
            </w:r>
            <w:r>
              <w:rPr>
                <w:szCs w:val="24"/>
              </w:rPr>
              <w:t>e de l’utilisation du matériel et du temps de travail supplémentaires nécessaires pour l’entretien des strates herbacée et arborée exigé par cet engagement et dépassant le cadre de la conditionnalité. Le surcoût lié au temps d’enregistrement des interventi</w:t>
            </w:r>
            <w:r>
              <w:rPr>
                <w:szCs w:val="24"/>
              </w:rPr>
              <w:t>ons et des pratiques est rémunéré sous forme forfaitaire indépendamment de la surface engagée. Il n’y a pas, dans cette opération, de coût de transaction.</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727"/>
              </w:numPr>
              <w:spacing w:before="240" w:after="0"/>
              <w:ind w:hanging="210"/>
              <w:jc w:val="left"/>
              <w:rPr>
                <w:szCs w:val="24"/>
              </w:rPr>
            </w:pPr>
            <w:r>
              <w:rPr>
                <w:szCs w:val="24"/>
              </w:rPr>
              <w:t>coût du matériel:</w:t>
            </w:r>
            <w:r>
              <w:rPr>
                <w:i/>
                <w:iCs/>
                <w:szCs w:val="24"/>
              </w:rPr>
              <w:t xml:space="preserve"> Bureau de Coordination du Machinisme Agricole (BCMA), barème de</w:t>
            </w:r>
            <w:r>
              <w:rPr>
                <w:i/>
                <w:iCs/>
                <w:szCs w:val="24"/>
              </w:rPr>
              <w:t>s façons culturales</w:t>
            </w:r>
            <w:r>
              <w:rPr>
                <w:szCs w:val="24"/>
              </w:rPr>
              <w:t xml:space="preserve"> </w:t>
            </w:r>
            <w:r>
              <w:rPr>
                <w:i/>
                <w:iCs/>
                <w:szCs w:val="24"/>
              </w:rPr>
              <w:t>2014 et références locales d’experts et de professionnels</w:t>
            </w:r>
          </w:p>
          <w:p w:rsidR="0035701C" w:rsidRDefault="00FB561B" w:rsidP="00FB561B">
            <w:pPr>
              <w:numPr>
                <w:ilvl w:val="0"/>
                <w:numId w:val="727"/>
              </w:numPr>
              <w:spacing w:before="0" w:after="0"/>
              <w:ind w:hanging="210"/>
              <w:jc w:val="left"/>
              <w:rPr>
                <w:szCs w:val="24"/>
              </w:rPr>
            </w:pPr>
            <w:r>
              <w:rPr>
                <w:szCs w:val="24"/>
              </w:rPr>
              <w:t xml:space="preserve">rendement et temps de travail : </w:t>
            </w:r>
            <w:r>
              <w:rPr>
                <w:i/>
                <w:iCs/>
                <w:szCs w:val="24"/>
              </w:rPr>
              <w:t>références d’entreprises locales d’élagage</w:t>
            </w:r>
          </w:p>
          <w:p w:rsidR="0035701C" w:rsidRDefault="00FB561B" w:rsidP="00FB561B">
            <w:pPr>
              <w:numPr>
                <w:ilvl w:val="0"/>
                <w:numId w:val="727"/>
              </w:numPr>
              <w:spacing w:before="0" w:after="240"/>
              <w:ind w:hanging="210"/>
              <w:jc w:val="left"/>
              <w:rPr>
                <w:szCs w:val="24"/>
              </w:rPr>
            </w:pPr>
            <w:r>
              <w:rPr>
                <w:szCs w:val="24"/>
              </w:rPr>
              <w:t xml:space="preserve">coût horaire de main d’œuvre : </w:t>
            </w:r>
            <w:r>
              <w:rPr>
                <w:i/>
                <w:iCs/>
                <w:szCs w:val="24"/>
              </w:rPr>
              <w:t>2 fois le coût horaire du SMIC (1er janvier 2014)</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172200" cy="3600450"/>
                  <wp:effectExtent l="0" t="0" r="0" b="0"/>
                  <wp:docPr id="100166" name="Image 100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7" name=""/>
                          <pic:cNvPicPr>
                            <a:picLocks noChangeAspect="1"/>
                          </pic:cNvPicPr>
                        </pic:nvPicPr>
                        <pic:blipFill>
                          <a:blip r:embed="rId95"/>
                          <a:stretch>
                            <a:fillRect/>
                          </a:stretch>
                        </pic:blipFill>
                        <pic:spPr>
                          <a:xfrm>
                            <a:off x="0" y="0"/>
                            <a:ext cx="6172200" cy="3600450"/>
                          </a:xfrm>
                          <a:prstGeom prst="rect">
                            <a:avLst/>
                          </a:prstGeom>
                        </pic:spPr>
                      </pic:pic>
                    </a:graphicData>
                  </a:graphic>
                </wp:inline>
              </w:drawing>
            </w:r>
          </w:p>
          <w:p w:rsidR="0035701C" w:rsidRDefault="00FB561B">
            <w:pPr>
              <w:pStyle w:val="Pieddepage"/>
              <w:jc w:val="center"/>
            </w:pPr>
            <w:r>
              <w:t>Prébois_1</w:t>
            </w:r>
          </w:p>
          <w:p w:rsidR="0035701C" w:rsidRDefault="0035701C">
            <w:pPr>
              <w:pStyle w:val="Pieddepage"/>
              <w:jc w:val="center"/>
            </w:pPr>
          </w:p>
        </w:tc>
      </w:tr>
    </w:tbl>
    <w:p w:rsidR="0035701C" w:rsidRDefault="00FB561B">
      <w:pPr>
        <w:pStyle w:val="Titre5"/>
        <w:rPr>
          <w:b w:val="0"/>
        </w:rPr>
      </w:pPr>
      <w:r>
        <w:rPr>
          <w:b w:val="0"/>
        </w:rPr>
        <w:br w:type="page"/>
        <w:t xml:space="preserve">-20- </w:t>
      </w:r>
      <w:r>
        <w:rPr>
          <w:b w:val="0"/>
        </w:rPr>
        <w:t>Prébois_2</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728"/>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PREBOIS 2 =  Gestion des parcours sous couvert arboré</w:t>
            </w:r>
          </w:p>
          <w:p w:rsidR="0035701C" w:rsidRDefault="00FB561B">
            <w:pPr>
              <w:spacing w:before="240" w:after="240"/>
              <w:jc w:val="left"/>
              <w:rPr>
                <w:szCs w:val="24"/>
              </w:rPr>
            </w:pPr>
            <w:r>
              <w:rPr>
                <w:szCs w:val="24"/>
              </w:rPr>
              <w:t xml:space="preserve">Les maquis et parcours ligneux </w:t>
            </w:r>
            <w:r>
              <w:rPr>
                <w:szCs w:val="24"/>
                <w:u w:val="single"/>
              </w:rPr>
              <w:t>mécanisables sous</w:t>
            </w:r>
            <w:r>
              <w:rPr>
                <w:szCs w:val="24"/>
                <w:u w:val="single"/>
              </w:rPr>
              <w:t xml:space="preserve"> couvert arboré</w:t>
            </w:r>
            <w:r>
              <w:rPr>
                <w:szCs w:val="24"/>
              </w:rPr>
              <w:t>, considérés comme des surfaces peu productives, jouent un rôle non négligeable dans les systèmes pastoraux extensifs corses, pour l’alimentation du cheptel lors de périodes cruciales comme l’hiver et l’été, quand l’offre fourragère herbacée</w:t>
            </w:r>
            <w:r>
              <w:rPr>
                <w:szCs w:val="24"/>
              </w:rPr>
              <w:t xml:space="preserve"> est largement déficitaire, surtout lorsqu’ils sont améliorés par un entretien régulier.</w:t>
            </w:r>
          </w:p>
          <w:p w:rsidR="0035701C" w:rsidRDefault="00FB561B">
            <w:pPr>
              <w:spacing w:before="240" w:after="240"/>
              <w:jc w:val="left"/>
              <w:rPr>
                <w:szCs w:val="24"/>
              </w:rPr>
            </w:pPr>
            <w:r>
              <w:rPr>
                <w:szCs w:val="24"/>
              </w:rPr>
              <w:t xml:space="preserve">Sur ces surfaces est pratiqué le plus souvent un pâturage de type extensif voire très extensif. Par ailleurs, les conditions pédo-climatiques de l'île sont favorables </w:t>
            </w:r>
            <w:r>
              <w:rPr>
                <w:szCs w:val="24"/>
              </w:rPr>
              <w:t>à une dynamique très forte de la végétation herbacée et ligneuse spontanée. Dans certaines situations, liées à la nature du couvert végétal et du type de conduite au pâturage, les chargements moyens habituels (compris entre 0,2 et 1,2 UGB/ha), peuvent s'av</w:t>
            </w:r>
            <w:r>
              <w:rPr>
                <w:szCs w:val="24"/>
              </w:rPr>
              <w:t>érer insuffisants pour maîtriser la totalité des repousses ligneuses.</w:t>
            </w:r>
          </w:p>
          <w:p w:rsidR="0035701C" w:rsidRDefault="00FB561B">
            <w:pPr>
              <w:spacing w:before="240" w:after="240"/>
              <w:jc w:val="left"/>
              <w:rPr>
                <w:szCs w:val="24"/>
              </w:rPr>
            </w:pPr>
            <w:r>
              <w:rPr>
                <w:szCs w:val="24"/>
              </w:rPr>
              <w:t>Il s’agit donc au travers de cette opération, de maintenir dans les exploitations d’élevages, ces surfaces peu productives améliorées, qui participent à :</w:t>
            </w:r>
          </w:p>
          <w:p w:rsidR="0035701C" w:rsidRDefault="00FB561B" w:rsidP="00FB561B">
            <w:pPr>
              <w:numPr>
                <w:ilvl w:val="0"/>
                <w:numId w:val="729"/>
              </w:numPr>
              <w:spacing w:before="240" w:after="0"/>
              <w:ind w:hanging="210"/>
              <w:jc w:val="left"/>
              <w:rPr>
                <w:szCs w:val="24"/>
              </w:rPr>
            </w:pPr>
            <w:r>
              <w:rPr>
                <w:szCs w:val="24"/>
              </w:rPr>
              <w:t>la préservation de la biodivers</w:t>
            </w:r>
            <w:r>
              <w:rPr>
                <w:szCs w:val="24"/>
              </w:rPr>
              <w:t>ité notamment celle du couvert arboré (protection des nids de milan royal, …) et du paysage agropastoral,</w:t>
            </w:r>
          </w:p>
          <w:p w:rsidR="0035701C" w:rsidRDefault="00FB561B" w:rsidP="00FB561B">
            <w:pPr>
              <w:numPr>
                <w:ilvl w:val="0"/>
                <w:numId w:val="729"/>
              </w:numPr>
              <w:spacing w:before="0" w:after="0"/>
              <w:ind w:hanging="210"/>
              <w:jc w:val="left"/>
              <w:rPr>
                <w:szCs w:val="24"/>
              </w:rPr>
            </w:pPr>
            <w:r>
              <w:rPr>
                <w:szCs w:val="24"/>
              </w:rPr>
              <w:t>l’accessibilité à de nouvelles ressources fourragères,</w:t>
            </w:r>
          </w:p>
          <w:p w:rsidR="0035701C" w:rsidRDefault="00FB561B" w:rsidP="00FB561B">
            <w:pPr>
              <w:numPr>
                <w:ilvl w:val="0"/>
                <w:numId w:val="729"/>
              </w:numPr>
              <w:spacing w:before="0" w:after="240"/>
              <w:ind w:hanging="210"/>
              <w:jc w:val="left"/>
              <w:rPr>
                <w:szCs w:val="24"/>
              </w:rPr>
            </w:pPr>
            <w:r>
              <w:rPr>
                <w:szCs w:val="24"/>
              </w:rPr>
              <w:t xml:space="preserve">la lutte contre l’érosion des sols et la protection des forêts et des espaces naturels contre </w:t>
            </w:r>
            <w:r>
              <w:rPr>
                <w:szCs w:val="24"/>
              </w:rPr>
              <w:t>l’incendie en les rendant moins vulnérables.</w:t>
            </w:r>
          </w:p>
          <w:p w:rsidR="0035701C" w:rsidRDefault="00FB561B">
            <w:pPr>
              <w:spacing w:before="240" w:after="240"/>
              <w:jc w:val="left"/>
              <w:rPr>
                <w:szCs w:val="24"/>
              </w:rPr>
            </w:pPr>
            <w:r>
              <w:rPr>
                <w:szCs w:val="24"/>
              </w:rPr>
              <w:t>Le maintien de cette pratique engendre un bénéfice environnemental avéré dans ce type de milieu, où le risque d’abandon des surfaces engendrant la fermeture de la végétation est important.</w:t>
            </w:r>
          </w:p>
          <w:p w:rsidR="0035701C" w:rsidRDefault="00FB561B">
            <w:pPr>
              <w:spacing w:before="240" w:after="240"/>
              <w:jc w:val="left"/>
              <w:rPr>
                <w:szCs w:val="24"/>
              </w:rPr>
            </w:pPr>
            <w:r>
              <w:rPr>
                <w:szCs w:val="24"/>
              </w:rPr>
              <w:t>L’entretien de ce type</w:t>
            </w:r>
            <w:r>
              <w:rPr>
                <w:szCs w:val="24"/>
              </w:rPr>
              <w:t xml:space="preserve"> de biotope particulièrement riche tant au niveau floristique que faunistique est essentiel. Ces espaces sont de véritables enclaves de stockage de carbone qui non seulement permettent un recyclage du CO2 mais évitent les déperditions hydriques liées à un </w:t>
            </w:r>
            <w:r>
              <w:rPr>
                <w:szCs w:val="24"/>
              </w:rPr>
              <w:t>climat de type méditerranéen.</w:t>
            </w:r>
          </w:p>
          <w:p w:rsidR="0035701C" w:rsidRDefault="00FB561B">
            <w:pPr>
              <w:spacing w:before="240" w:after="240"/>
              <w:jc w:val="left"/>
              <w:rPr>
                <w:szCs w:val="24"/>
              </w:rPr>
            </w:pPr>
            <w:r>
              <w:rPr>
                <w:szCs w:val="24"/>
              </w:rPr>
              <w:t>Pour cela, des actions mécaniques régulières (annuelles)de type broyage (et non pas fauche) sont indispensables  afin de garantir l'ouverture de ces milieux.</w:t>
            </w:r>
          </w:p>
          <w:p w:rsidR="0035701C" w:rsidRDefault="00FB561B">
            <w:pPr>
              <w:spacing w:before="240" w:after="240"/>
              <w:jc w:val="left"/>
              <w:rPr>
                <w:szCs w:val="24"/>
              </w:rPr>
            </w:pPr>
            <w:r>
              <w:rPr>
                <w:szCs w:val="24"/>
              </w:rPr>
              <w:t>Cette opération qui a déjà été proposée dans le cadre de la programm</w:t>
            </w:r>
            <w:r>
              <w:rPr>
                <w:szCs w:val="24"/>
              </w:rPr>
              <w:t>ation précédente (2007-2013) est maintenue. Bien accueillie par les exploitants, elle a contribué favorablement à la conservation ou à l’amélioration de la biodiversité dans ces milieux de prébois. Elle a conduit à la réduction de la biomasse combustible c</w:t>
            </w:r>
            <w:r>
              <w:rPr>
                <w:szCs w:val="24"/>
              </w:rPr>
              <w:t>e qui a permis d’assurer une prévention et une lutte contre les incendies efficace.</w:t>
            </w:r>
          </w:p>
          <w:p w:rsidR="0035701C" w:rsidRDefault="00FB561B">
            <w:pPr>
              <w:spacing w:before="240" w:after="240"/>
              <w:jc w:val="left"/>
              <w:rPr>
                <w:szCs w:val="24"/>
              </w:rPr>
            </w:pPr>
            <w:r>
              <w:rPr>
                <w:szCs w:val="24"/>
              </w:rPr>
              <w:t>Par ailleurs, sur certains milieux, on peut observer après le traitement régulier de la végétation ligneuse, du fait du bouleversement des facteurs écologiques (augmentatio</w:t>
            </w:r>
            <w:r>
              <w:rPr>
                <w:szCs w:val="24"/>
              </w:rPr>
              <w:t>n de la lumière au sol,…) le développement de certaines espèces indésirables de type chardons, asphodèles, inules,…pouvant, à court terme influer sur la biodiversité. C’est pourquoi l’agriculteur aura la possibilité dans cette nouvelle programmation (2014-</w:t>
            </w:r>
            <w:r>
              <w:rPr>
                <w:szCs w:val="24"/>
              </w:rPr>
              <w:t xml:space="preserve">2020), de mobiliser </w:t>
            </w:r>
            <w:r>
              <w:rPr>
                <w:b/>
                <w:bCs/>
                <w:szCs w:val="24"/>
              </w:rPr>
              <w:t xml:space="preserve">l’option </w:t>
            </w:r>
            <w:r>
              <w:rPr>
                <w:b/>
                <w:bCs/>
                <w:i/>
                <w:iCs/>
                <w:szCs w:val="24"/>
              </w:rPr>
              <w:t>«broyage des adventices »</w:t>
            </w:r>
            <w:r>
              <w:rPr>
                <w:szCs w:val="24"/>
              </w:rPr>
              <w:t>  afin de contenir le développement de celles-ci. La période d’intervention la plus propice au regard de l’adventice dominante sera déterminée lors de la phase de contractualisation.</w:t>
            </w:r>
          </w:p>
          <w:p w:rsidR="0035701C" w:rsidRDefault="00FB561B">
            <w:pPr>
              <w:spacing w:before="240" w:after="240"/>
              <w:jc w:val="left"/>
              <w:rPr>
                <w:szCs w:val="24"/>
              </w:rPr>
            </w:pPr>
            <w:r>
              <w:rPr>
                <w:b/>
                <w:bCs/>
                <w:i/>
                <w:iCs/>
                <w:szCs w:val="24"/>
              </w:rPr>
              <w:t xml:space="preserve">Cahier des charges </w:t>
            </w:r>
            <w:r>
              <w:rPr>
                <w:b/>
                <w:bCs/>
                <w:i/>
                <w:iCs/>
                <w:szCs w:val="24"/>
              </w:rPr>
              <w:t>:</w:t>
            </w:r>
          </w:p>
          <w:p w:rsidR="0035701C" w:rsidRDefault="00FB561B" w:rsidP="00FB561B">
            <w:pPr>
              <w:numPr>
                <w:ilvl w:val="0"/>
                <w:numId w:val="730"/>
              </w:numPr>
              <w:spacing w:before="240" w:after="0"/>
              <w:ind w:hanging="210"/>
              <w:jc w:val="left"/>
              <w:rPr>
                <w:szCs w:val="24"/>
              </w:rPr>
            </w:pPr>
            <w:r>
              <w:rPr>
                <w:szCs w:val="24"/>
              </w:rPr>
              <w:t>l’agriculteur doit réaliser mécaniquement un broyage annuel destiné à limiter le développement des espèces arbustives</w:t>
            </w:r>
          </w:p>
          <w:p w:rsidR="0035701C" w:rsidRDefault="00FB561B" w:rsidP="00FB561B">
            <w:pPr>
              <w:numPr>
                <w:ilvl w:val="0"/>
                <w:numId w:val="730"/>
              </w:numPr>
              <w:spacing w:before="0" w:after="0"/>
              <w:ind w:hanging="210"/>
              <w:jc w:val="left"/>
              <w:rPr>
                <w:szCs w:val="24"/>
              </w:rPr>
            </w:pPr>
            <w:r>
              <w:rPr>
                <w:szCs w:val="24"/>
              </w:rPr>
              <w:t xml:space="preserve">ces travaux de broyage devront être effectués dans la période comprise entre le mois d’octobre et le mois de mars pendant l’hibernation </w:t>
            </w:r>
            <w:r>
              <w:rPr>
                <w:szCs w:val="24"/>
              </w:rPr>
              <w:t>de la tortue d’Hermann et avant la nidification de certains oiseaux (perdrix,….)</w:t>
            </w:r>
          </w:p>
          <w:p w:rsidR="0035701C" w:rsidRDefault="00FB561B" w:rsidP="00FB561B">
            <w:pPr>
              <w:numPr>
                <w:ilvl w:val="0"/>
                <w:numId w:val="730"/>
              </w:numPr>
              <w:spacing w:before="0" w:after="0"/>
              <w:ind w:hanging="210"/>
              <w:jc w:val="left"/>
              <w:rPr>
                <w:szCs w:val="24"/>
              </w:rPr>
            </w:pPr>
            <w:r>
              <w:rPr>
                <w:szCs w:val="24"/>
              </w:rPr>
              <w:t xml:space="preserve">si ces travaux ont lieu sur les </w:t>
            </w:r>
            <w:r>
              <w:rPr>
                <w:b/>
                <w:bCs/>
                <w:szCs w:val="24"/>
              </w:rPr>
              <w:t xml:space="preserve">zones de renfort agricoles </w:t>
            </w:r>
            <w:r>
              <w:rPr>
                <w:szCs w:val="24"/>
              </w:rPr>
              <w:t xml:space="preserve">(*) </w:t>
            </w:r>
            <w:r>
              <w:rPr>
                <w:b/>
                <w:bCs/>
                <w:szCs w:val="24"/>
              </w:rPr>
              <w:t>des Zones d’Appui à la Lutte</w:t>
            </w:r>
            <w:r>
              <w:rPr>
                <w:szCs w:val="24"/>
              </w:rPr>
              <w:t xml:space="preserve"> (ZAL), la période des travaux de broyage sera comprise entre le mois d’octobre et l</w:t>
            </w:r>
            <w:r>
              <w:rPr>
                <w:szCs w:val="24"/>
              </w:rPr>
              <w:t>e mois de juin et c'est le diagnostic préalable qui déterminera avec précision la période la plus favorable à l'intervention en fonction de la masse de combustible présente sur ces zones</w:t>
            </w:r>
          </w:p>
          <w:p w:rsidR="0035701C" w:rsidRDefault="00FB561B" w:rsidP="00FB561B">
            <w:pPr>
              <w:numPr>
                <w:ilvl w:val="0"/>
                <w:numId w:val="730"/>
              </w:numPr>
              <w:spacing w:before="0" w:after="0"/>
              <w:ind w:hanging="210"/>
              <w:jc w:val="left"/>
              <w:rPr>
                <w:szCs w:val="24"/>
              </w:rPr>
            </w:pPr>
            <w:r>
              <w:rPr>
                <w:szCs w:val="24"/>
              </w:rPr>
              <w:t>si l’agriculteur décide de souscrire l’option supplémentaire « </w:t>
            </w:r>
            <w:r>
              <w:rPr>
                <w:i/>
                <w:iCs/>
                <w:szCs w:val="24"/>
              </w:rPr>
              <w:t>Broyag</w:t>
            </w:r>
            <w:r>
              <w:rPr>
                <w:i/>
                <w:iCs/>
                <w:szCs w:val="24"/>
              </w:rPr>
              <w:t>e ciblé en fonction des adventices »</w:t>
            </w:r>
            <w:r>
              <w:rPr>
                <w:szCs w:val="24"/>
              </w:rPr>
              <w:t>, il doit, à partir de la 2ème année d’engagement, réaliser un broyage annuel supplémentaire à la période la plus propice au regard de l’adventice dominante précisément déterminée lors du diagnostic préalable</w:t>
            </w:r>
          </w:p>
          <w:p w:rsidR="0035701C" w:rsidRDefault="00FB561B" w:rsidP="00FB561B">
            <w:pPr>
              <w:numPr>
                <w:ilvl w:val="0"/>
                <w:numId w:val="730"/>
              </w:numPr>
              <w:spacing w:before="0" w:after="0"/>
              <w:ind w:hanging="210"/>
              <w:jc w:val="left"/>
              <w:rPr>
                <w:szCs w:val="24"/>
              </w:rPr>
            </w:pPr>
            <w:r>
              <w:rPr>
                <w:szCs w:val="24"/>
              </w:rPr>
              <w:t xml:space="preserve">le </w:t>
            </w:r>
            <w:r>
              <w:rPr>
                <w:szCs w:val="24"/>
              </w:rPr>
              <w:t>retournement des surfaces engagées est interdit</w:t>
            </w:r>
          </w:p>
          <w:p w:rsidR="0035701C" w:rsidRDefault="00FB561B" w:rsidP="00FB561B">
            <w:pPr>
              <w:numPr>
                <w:ilvl w:val="0"/>
                <w:numId w:val="730"/>
              </w:numPr>
              <w:spacing w:before="0" w:after="0"/>
              <w:ind w:hanging="210"/>
              <w:jc w:val="left"/>
              <w:rPr>
                <w:szCs w:val="24"/>
              </w:rPr>
            </w:pPr>
            <w:r>
              <w:rPr>
                <w:szCs w:val="24"/>
              </w:rPr>
              <w:t>si l’agriculteur souhaite enrichir la strate herbacée obtenue, il doit obligatoirement utiliser des espèces fourragères méditerranéennes et utiliser des techniques culturales simplifiées uniquement (semis dir</w:t>
            </w:r>
            <w:r>
              <w:rPr>
                <w:szCs w:val="24"/>
              </w:rPr>
              <w:t>ect ou sursemis)</w:t>
            </w:r>
          </w:p>
          <w:p w:rsidR="0035701C" w:rsidRDefault="00FB561B" w:rsidP="00FB561B">
            <w:pPr>
              <w:numPr>
                <w:ilvl w:val="0"/>
                <w:numId w:val="730"/>
              </w:numPr>
              <w:spacing w:before="0" w:after="0"/>
              <w:ind w:hanging="210"/>
              <w:jc w:val="left"/>
              <w:rPr>
                <w:szCs w:val="24"/>
              </w:rPr>
            </w:pPr>
            <w:r>
              <w:rPr>
                <w:szCs w:val="24"/>
              </w:rPr>
              <w:t>le recours à un traitement chimique pour maîtriser la repousse ligneuse et les adventices est interdit</w:t>
            </w:r>
          </w:p>
          <w:p w:rsidR="0035701C" w:rsidRDefault="00FB561B" w:rsidP="00FB561B">
            <w:pPr>
              <w:numPr>
                <w:ilvl w:val="0"/>
                <w:numId w:val="730"/>
              </w:numPr>
              <w:spacing w:before="0" w:after="0"/>
              <w:ind w:hanging="210"/>
              <w:jc w:val="left"/>
              <w:rPr>
                <w:szCs w:val="24"/>
              </w:rPr>
            </w:pPr>
            <w:r>
              <w:rPr>
                <w:szCs w:val="24"/>
              </w:rPr>
              <w:t xml:space="preserve">les interventions de coupes et/ou d’élagage sur la strate arborée : </w:t>
            </w:r>
          </w:p>
          <w:p w:rsidR="0035701C" w:rsidRDefault="00FB561B" w:rsidP="00FB561B">
            <w:pPr>
              <w:numPr>
                <w:ilvl w:val="1"/>
                <w:numId w:val="730"/>
              </w:numPr>
              <w:spacing w:before="0" w:after="0"/>
              <w:ind w:hanging="244"/>
              <w:jc w:val="left"/>
              <w:rPr>
                <w:szCs w:val="24"/>
              </w:rPr>
            </w:pPr>
            <w:r>
              <w:rPr>
                <w:szCs w:val="24"/>
              </w:rPr>
              <w:t xml:space="preserve">doivent être réalisées en hiver, hors période de nidification des </w:t>
            </w:r>
            <w:r>
              <w:rPr>
                <w:szCs w:val="24"/>
              </w:rPr>
              <w:t>oiseaux notamment sur les Zones d’Intérêt Floristique et faunistique (ZICO),</w:t>
            </w:r>
          </w:p>
          <w:p w:rsidR="0035701C" w:rsidRDefault="00FB561B" w:rsidP="00FB561B">
            <w:pPr>
              <w:numPr>
                <w:ilvl w:val="1"/>
                <w:numId w:val="730"/>
              </w:numPr>
              <w:spacing w:before="0" w:after="0"/>
              <w:ind w:hanging="244"/>
              <w:jc w:val="left"/>
              <w:rPr>
                <w:szCs w:val="24"/>
              </w:rPr>
            </w:pPr>
            <w:r>
              <w:rPr>
                <w:szCs w:val="24"/>
              </w:rPr>
              <w:t>les rémanents, ainsi que les bois au sol, doivent être, selon leur taille, soit exportés, soit broyés sur place</w:t>
            </w:r>
          </w:p>
          <w:p w:rsidR="0035701C" w:rsidRDefault="00FB561B" w:rsidP="00FB561B">
            <w:pPr>
              <w:numPr>
                <w:ilvl w:val="1"/>
                <w:numId w:val="730"/>
              </w:numPr>
              <w:spacing w:before="0" w:after="0"/>
              <w:ind w:hanging="244"/>
              <w:jc w:val="left"/>
              <w:rPr>
                <w:szCs w:val="24"/>
              </w:rPr>
            </w:pPr>
            <w:r>
              <w:rPr>
                <w:szCs w:val="24"/>
              </w:rPr>
              <w:t>le brûlage des rémanents est interdit</w:t>
            </w:r>
          </w:p>
          <w:p w:rsidR="0035701C" w:rsidRDefault="00FB561B" w:rsidP="00FB561B">
            <w:pPr>
              <w:numPr>
                <w:ilvl w:val="1"/>
                <w:numId w:val="730"/>
              </w:numPr>
              <w:spacing w:before="0" w:after="0"/>
              <w:ind w:hanging="244"/>
              <w:jc w:val="left"/>
              <w:rPr>
                <w:szCs w:val="24"/>
              </w:rPr>
            </w:pPr>
            <w:r>
              <w:rPr>
                <w:szCs w:val="24"/>
              </w:rPr>
              <w:t>ces interventions sont réalis</w:t>
            </w:r>
            <w:r>
              <w:rPr>
                <w:szCs w:val="24"/>
              </w:rPr>
              <w:t>ées deux fois sur la durée du contrat, sur deux années différentes,</w:t>
            </w:r>
          </w:p>
          <w:p w:rsidR="0035701C" w:rsidRDefault="00FB561B" w:rsidP="00FB561B">
            <w:pPr>
              <w:numPr>
                <w:ilvl w:val="0"/>
                <w:numId w:val="730"/>
              </w:numPr>
              <w:spacing w:before="0" w:after="240"/>
              <w:ind w:hanging="210"/>
              <w:jc w:val="left"/>
              <w:rPr>
                <w:szCs w:val="24"/>
              </w:rPr>
            </w:pPr>
            <w:r>
              <w:rPr>
                <w:szCs w:val="24"/>
              </w:rPr>
              <w:t>l’agriculteur doit assurer l’enregistrement des différentes interventions et des pratiques réalisées dans un document normé prévu à cet effet. Ce document sera remis à l’agriculteur à l’is</w:t>
            </w:r>
            <w:r>
              <w:rPr>
                <w:szCs w:val="24"/>
              </w:rPr>
              <w:t>sue du diagnostic obligatoire réalisé par le service instructeur.</w:t>
            </w:r>
          </w:p>
          <w:p w:rsidR="0035701C" w:rsidRDefault="00FB561B">
            <w:pPr>
              <w:spacing w:before="240" w:after="240"/>
              <w:jc w:val="left"/>
              <w:rPr>
                <w:szCs w:val="24"/>
              </w:rPr>
            </w:pPr>
            <w:r>
              <w:rPr>
                <w:b/>
                <w:bCs/>
                <w:i/>
                <w:iCs/>
                <w:szCs w:val="24"/>
              </w:rPr>
              <w:t xml:space="preserve">(*) Définition des « zones de renfort agro-pastorales » des ZAL : </w:t>
            </w:r>
          </w:p>
          <w:p w:rsidR="0035701C" w:rsidRDefault="00FB561B">
            <w:pPr>
              <w:spacing w:before="240" w:after="240"/>
              <w:jc w:val="left"/>
              <w:rPr>
                <w:szCs w:val="24"/>
              </w:rPr>
            </w:pPr>
            <w:r>
              <w:rPr>
                <w:i/>
                <w:iCs/>
                <w:szCs w:val="24"/>
              </w:rPr>
              <w:t>Une ZAL est caractérisée par une bande roulement sur laquelle s’appuie un débroussaillement de 100 m de large (en général 5</w:t>
            </w:r>
            <w:r>
              <w:rPr>
                <w:i/>
                <w:iCs/>
                <w:szCs w:val="24"/>
              </w:rPr>
              <w:t>0 m de part et d’autre de la bande de roulement). Souvent, on constate une utilisation agro-pastorale des ZAL et des terrains en continuité de ces ouvrages. La réouverture ou l’entretien de ces terrains par des agriculteurs apparaît comme une opportunité p</w:t>
            </w:r>
            <w:r>
              <w:rPr>
                <w:i/>
                <w:iCs/>
                <w:szCs w:val="24"/>
              </w:rPr>
              <w:t>our renforcer en largeur ces ouvrages DFCI et leur conférer alors, une plus grande efficacité en cas d’incendies (lutte facilitée et sécurisée, réduction de la puissance du feu, etc….). Il est donc apparu intéressant de leur donner une définition précise q</w:t>
            </w:r>
            <w:r>
              <w:rPr>
                <w:i/>
                <w:iCs/>
                <w:szCs w:val="24"/>
              </w:rPr>
              <w:t>ui est la suivante : on qualifiera de « zones renforts agricoles » les zones qui jouxtent la ZAL sur une longueur minimum de 100 mètres et sur une profondeur, soit de 100 mètres de part et d’autre de la ZAL, soit de 200 m d’un seul coté de la ZAL si l’on r</w:t>
            </w:r>
            <w:r>
              <w:rPr>
                <w:i/>
                <w:iCs/>
                <w:szCs w:val="24"/>
              </w:rPr>
              <w:t>encontre des limites liées au relief, à des problématiques foncières ou techniques.</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euros/ha/an.</w:t>
            </w:r>
          </w:p>
          <w:p w:rsidR="0035701C" w:rsidRDefault="0035701C">
            <w:pPr>
              <w:pStyle w:val="Corpsdetexte"/>
            </w:pPr>
          </w:p>
        </w:tc>
      </w:tr>
    </w:tbl>
    <w:p w:rsidR="0035701C" w:rsidRDefault="00FB561B">
      <w:pPr>
        <w:pStyle w:val="Titre6"/>
      </w:pPr>
      <w:r>
        <w:t xml:space="preserve">Liens </w:t>
      </w:r>
      <w:r>
        <w:t>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731"/>
              </w:numPr>
              <w:spacing w:before="240" w:after="0"/>
              <w:ind w:hanging="210"/>
              <w:jc w:val="left"/>
              <w:rPr>
                <w:szCs w:val="24"/>
              </w:rPr>
            </w:pPr>
            <w:r>
              <w:rPr>
                <w:szCs w:val="24"/>
              </w:rPr>
              <w:t>les exigences établies en vertu de l’article 93 du Titre VI du règlement UE n° 1306/2013 relatif à la conditionnalité,</w:t>
            </w:r>
          </w:p>
          <w:p w:rsidR="0035701C" w:rsidRDefault="00FB561B" w:rsidP="00FB561B">
            <w:pPr>
              <w:numPr>
                <w:ilvl w:val="0"/>
                <w:numId w:val="731"/>
              </w:numPr>
              <w:spacing w:before="0" w:after="0"/>
              <w:ind w:hanging="210"/>
              <w:jc w:val="left"/>
              <w:rPr>
                <w:szCs w:val="24"/>
              </w:rPr>
            </w:pPr>
            <w:r>
              <w:rPr>
                <w:szCs w:val="24"/>
              </w:rPr>
              <w:t xml:space="preserve">les exigences établies en vertu de </w:t>
            </w:r>
            <w:r>
              <w:rPr>
                <w:szCs w:val="24"/>
              </w:rPr>
              <w:t>l’article 4.1c points ii) et iii) du règlement UE n°1307/2013 relatif à l’état d’entretien minimum des surfaces</w:t>
            </w:r>
          </w:p>
          <w:p w:rsidR="0035701C" w:rsidRDefault="00FB561B" w:rsidP="00FB561B">
            <w:pPr>
              <w:numPr>
                <w:ilvl w:val="0"/>
                <w:numId w:val="731"/>
              </w:numPr>
              <w:spacing w:before="0" w:after="240"/>
              <w:ind w:hanging="210"/>
              <w:jc w:val="left"/>
              <w:rPr>
                <w:szCs w:val="24"/>
              </w:rPr>
            </w:pPr>
            <w:r>
              <w:rPr>
                <w:szCs w:val="24"/>
              </w:rPr>
              <w:t>toute autre exigence pertinente établie par la réglementation nationale, tel le Code des Bonnes Pratiques Agricoles pris par arrêté du 22 novemb</w:t>
            </w:r>
            <w:r>
              <w:rPr>
                <w:szCs w:val="24"/>
              </w:rPr>
              <w:t>re 1993</w:t>
            </w:r>
          </w:p>
          <w:p w:rsidR="0035701C" w:rsidRDefault="00FB561B">
            <w:pPr>
              <w:spacing w:before="240" w:after="240"/>
              <w:jc w:val="left"/>
              <w:rPr>
                <w:szCs w:val="24"/>
              </w:rPr>
            </w:pPr>
            <w:r>
              <w:rPr>
                <w:szCs w:val="24"/>
              </w:rPr>
              <w:t>Ces éléments sont détaillés au paragraphe « Information spécifique à l’opération – Description de la ligne de base » de la présente fiche-opération.</w:t>
            </w:r>
          </w:p>
          <w:p w:rsidR="0035701C" w:rsidRDefault="00FB561B">
            <w:pPr>
              <w:spacing w:before="240" w:after="240"/>
              <w:jc w:val="left"/>
              <w:rPr>
                <w:szCs w:val="24"/>
              </w:rPr>
            </w:pPr>
            <w:r>
              <w:rPr>
                <w:szCs w:val="24"/>
              </w:rPr>
              <w:t>Afin d’exclure tout double paiement, les pratiques visées à l’article 43 du règlement UE n° 1307/20</w:t>
            </w:r>
            <w:r>
              <w:rPr>
                <w:szCs w:val="24"/>
              </w:rPr>
              <w:t>13 sont prises en compte dans le calcul des surcoûts et manques à gagner. La méthode de calcul est détaillée au paragraphe « Information spécifique à l’opération – Méthode de calcul du montant » de la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w:t>
            </w:r>
            <w:r>
              <w:rPr>
                <w:szCs w:val="24"/>
              </w:rPr>
              <w:t>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les surcoûts, manques à gagner et éventuels coûts d’opportunité et de transaction générés par le respect des éléments contractualisés.</w:t>
            </w:r>
          </w:p>
          <w:p w:rsidR="0035701C" w:rsidRDefault="00FB561B">
            <w:pPr>
              <w:spacing w:before="240" w:after="240"/>
              <w:jc w:val="left"/>
              <w:rPr>
                <w:szCs w:val="24"/>
              </w:rPr>
            </w:pPr>
            <w:r>
              <w:rPr>
                <w:szCs w:val="24"/>
              </w:rPr>
              <w:t xml:space="preserve">Dans le cas de cette </w:t>
            </w:r>
            <w:r>
              <w:rPr>
                <w:szCs w:val="24"/>
              </w:rPr>
              <w:t>opération, sont pris en compte les surcoûts et le gain de production fourragère.</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La réalisation d’un diagnostic d’exploitation préalable à la souscription de cette opération est obligatoire.</w:t>
            </w:r>
          </w:p>
          <w:p w:rsidR="0035701C" w:rsidRDefault="00FB561B">
            <w:pPr>
              <w:spacing w:before="240" w:after="240"/>
              <w:jc w:val="left"/>
              <w:rPr>
                <w:szCs w:val="24"/>
              </w:rPr>
            </w:pPr>
            <w:r>
              <w:rPr>
                <w:b/>
                <w:bCs/>
                <w:i/>
                <w:iCs/>
                <w:szCs w:val="24"/>
              </w:rPr>
              <w:t>Surfaces éligibles:</w:t>
            </w:r>
            <w:r>
              <w:rPr>
                <w:szCs w:val="24"/>
              </w:rPr>
              <w:t xml:space="preserve"> les maquis à cis</w:t>
            </w:r>
            <w:r>
              <w:rPr>
                <w:szCs w:val="24"/>
              </w:rPr>
              <w:t>tes, arbousier, bruyère, filaire, …. sous couvert arboré de type chênaies (chênes blancs, chênes verts et chêne-liège), pinèdes, châtaigneraies, oliveraies, anciens vergers dont la densité est comprise entre 50 et 100 arbres / Ha.</w:t>
            </w:r>
          </w:p>
          <w:p w:rsidR="0035701C" w:rsidRDefault="0035701C">
            <w:pPr>
              <w:pStyle w:val="Corpsdetexte"/>
            </w:pPr>
          </w:p>
        </w:tc>
      </w:tr>
    </w:tbl>
    <w:p w:rsidR="0035701C" w:rsidRDefault="00FB561B">
      <w:pPr>
        <w:pStyle w:val="Titre6"/>
      </w:pPr>
      <w:r>
        <w:t>Principes applicables à</w:t>
      </w:r>
      <w:r>
        <w:t xml:space="preserve">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de l’aide est de </w:t>
            </w:r>
            <w:r>
              <w:rPr>
                <w:b/>
                <w:bCs/>
                <w:szCs w:val="24"/>
              </w:rPr>
              <w:t xml:space="preserve">216,63 € /ha/an </w:t>
            </w:r>
            <w:r>
              <w:rPr>
                <w:szCs w:val="24"/>
              </w:rPr>
              <w:t>hors option et de</w:t>
            </w:r>
            <w:r>
              <w:rPr>
                <w:b/>
                <w:bCs/>
                <w:szCs w:val="24"/>
              </w:rPr>
              <w:t xml:space="preserve"> 340,56 € /ha/an</w:t>
            </w:r>
            <w:r>
              <w:rPr>
                <w:szCs w:val="24"/>
              </w:rPr>
              <w:t xml:space="preserve"> avec l’option «Broyage des adventices» auquel vient s’ajouter une somme forfaitaire de </w:t>
            </w:r>
            <w:r>
              <w:rPr>
                <w:b/>
                <w:bCs/>
                <w:szCs w:val="24"/>
              </w:rPr>
              <w:t>57,18 €/an</w:t>
            </w:r>
            <w:r>
              <w:rPr>
                <w:szCs w:val="24"/>
              </w:rPr>
              <w:t xml:space="preserve"> liée à l’enregistrement des pratiques et des interventions.</w:t>
            </w:r>
          </w:p>
          <w:p w:rsidR="0035701C" w:rsidRDefault="00FB561B">
            <w:pPr>
              <w:spacing w:before="240" w:after="240"/>
              <w:jc w:val="left"/>
              <w:rPr>
                <w:szCs w:val="24"/>
              </w:rPr>
            </w:pPr>
            <w:r>
              <w:rPr>
                <w:szCs w:val="24"/>
              </w:rPr>
              <w:t xml:space="preserve">Il est rappelé que le plafond communautaire pour ce type de couvert (autres utilisations des </w:t>
            </w:r>
            <w:r>
              <w:rPr>
                <w:szCs w:val="24"/>
              </w:rPr>
              <w:t>terres) est de 450 €/ha/an (incluant le forfait annuel).</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 xml:space="preserve">Évaluation globale de la </w:t>
      </w:r>
      <w:r>
        <w:t>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Détermination et définition des éléments du niveau de référence applicable, qui doivent inclure les normes obligatoires établies en application du titre VI, chapitre I, du règlement (UE) n° 1306/</w:t>
      </w:r>
      <w:r>
        <w:t>2013 du Parlement européen et du Conseil, les critères pertinents et les activités minimales établies en application de l'article 4, paragraphe 1, point c) ii) et c) iii), du règlement (UE) n° 1307/2013 du Parlement européen et du Conseil, les exigences mi</w:t>
      </w:r>
      <w:r>
        <w:t>nimales applicables à l'utilisation des engrais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Si les pratiques rémunérées au titre de la présente opération sont rendues</w:t>
            </w:r>
            <w:r>
              <w:rPr>
                <w:szCs w:val="24"/>
              </w:rPr>
              <w:t xml:space="preserve"> obligatoires sur des zones au titre de la protection de la biodiversité (notamment des zones classées au titre des réserves naturelles des arrêtés de protection de biotopes), celle-ci ne peut être ouverte sur les zones concernées.</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432102"/>
                  <wp:effectExtent l="0" t="0" r="0" b="0"/>
                  <wp:docPr id="100168" name="Image 100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9" name=""/>
                          <pic:cNvPicPr>
                            <a:picLocks noChangeAspect="1"/>
                          </pic:cNvPicPr>
                        </pic:nvPicPr>
                        <pic:blipFill>
                          <a:blip r:embed="rId96"/>
                          <a:stretch>
                            <a:fillRect/>
                          </a:stretch>
                        </pic:blipFill>
                        <pic:spPr>
                          <a:xfrm>
                            <a:off x="0" y="0"/>
                            <a:ext cx="6629400" cy="1432102"/>
                          </a:xfrm>
                          <a:prstGeom prst="rect">
                            <a:avLst/>
                          </a:prstGeom>
                        </pic:spPr>
                      </pic:pic>
                    </a:graphicData>
                  </a:graphic>
                </wp:inline>
              </w:drawing>
            </w:r>
          </w:p>
          <w:p w:rsidR="0035701C" w:rsidRDefault="00FB561B">
            <w:pPr>
              <w:pStyle w:val="Pieddepage"/>
              <w:jc w:val="center"/>
            </w:pPr>
            <w:r>
              <w:t>Prébois_2_lignebase</w:t>
            </w:r>
          </w:p>
          <w:p w:rsidR="0035701C" w:rsidRDefault="0035701C">
            <w:pPr>
              <w:pStyle w:val="Pieddepage"/>
              <w:jc w:val="center"/>
            </w:pPr>
          </w:p>
        </w:tc>
      </w:tr>
    </w:tbl>
    <w:p w:rsidR="0035701C" w:rsidRDefault="00FB561B">
      <w:r>
        <w:t>Les exigences minimales relatives à l'utilisation d'engrais doivent comprendre, entre autres, le respect des codes de bonnes pratiques introduits au titre de la directive 91/676/CEE pour les exploitations situées en dehors des zones vulnérables aux nitrat</w:t>
      </w:r>
      <w:r>
        <w:t>es, et des exigences concernant la pollution au phosphore; les exigences minimales relatives à l'utilisation de produits phytosanitaires doivent comprendre, entre autres, les principes généraux de la lutte intégrée contre les ennemis des cultures introduit</w:t>
      </w:r>
      <w:r>
        <w:t>s par la directive 2009/128/CE du Parlement européen et du Conseil, l’obligation de détenir une autorisation d’utiliser les produits, de satisfaire aux conditions de formation, d’assurer un stockage sûr et de contrôler les équipements destinés à l’épandage</w:t>
      </w:r>
      <w:r>
        <w:t xml:space="preserve"> ainsi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 xml:space="preserve">Liste des races locales </w:t>
      </w:r>
      <w:r>
        <w:t>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préservation des ressources génétiques.</w:t>
            </w:r>
          </w:p>
          <w:p w:rsidR="0035701C" w:rsidRDefault="0035701C">
            <w:pPr>
              <w:pStyle w:val="Corpsdetexte"/>
            </w:pPr>
          </w:p>
        </w:tc>
      </w:tr>
    </w:tbl>
    <w:p w:rsidR="0035701C" w:rsidRDefault="00FB561B">
      <w:r>
        <w:t>Description de la méthode et des hypothèses et par</w:t>
      </w:r>
      <w:r>
        <w:t>amètres agronomiques y compris la description des exigences minimales visées à l'article 29, paragraphe 2, du règlement (UE) n° 1305/2013 correspondant à chaque type particulier d'engagement, utilisés comme référence pour les calculs justifiant les coûts s</w:t>
      </w:r>
      <w:r>
        <w:t>upplémentaires et les pertes de revenus résultant de l’engagement pris et le niveau des coûts des transactions; le cas échéant, cette méthode tient compte des aides accordées au titre du règlement (UE) n° 1307/2013, et notamment des paiements en faveur des</w:t>
      </w:r>
      <w:r>
        <w:t xml:space="preserve"> pratiques agricoles bénéfiques pour le climat et l’environnement, afin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Pratiques de référence : </w:t>
            </w:r>
            <w:r>
              <w:rPr>
                <w:szCs w:val="24"/>
              </w:rPr>
              <w:t xml:space="preserve">l’entretien </w:t>
            </w:r>
            <w:r>
              <w:rPr>
                <w:szCs w:val="24"/>
              </w:rPr>
              <w:t>habituel des landes sous couvert arboré se fait uniquement par le pâturage</w:t>
            </w:r>
          </w:p>
          <w:p w:rsidR="0035701C" w:rsidRDefault="00FB561B">
            <w:pPr>
              <w:spacing w:before="240" w:after="240"/>
              <w:jc w:val="left"/>
              <w:rPr>
                <w:szCs w:val="24"/>
              </w:rPr>
            </w:pPr>
            <w:r>
              <w:rPr>
                <w:b/>
                <w:bCs/>
                <w:i/>
                <w:iCs/>
                <w:szCs w:val="24"/>
              </w:rPr>
              <w:t xml:space="preserve">Prise en compte du verdissement : </w:t>
            </w:r>
            <w:r>
              <w:rPr>
                <w:szCs w:val="24"/>
              </w:rPr>
              <w:t>afin d’exclure tout double paiement, les pratiques rémunérées au titre du verdissement sont prises en compte de la façon suivante dans le calcul du</w:t>
            </w:r>
            <w:r>
              <w:rPr>
                <w:szCs w:val="24"/>
              </w:rPr>
              <w:t xml:space="preserve"> montant unitaire de cette opération :</w:t>
            </w:r>
          </w:p>
          <w:p w:rsidR="0035701C" w:rsidRDefault="00FB561B" w:rsidP="00FB561B">
            <w:pPr>
              <w:numPr>
                <w:ilvl w:val="0"/>
                <w:numId w:val="732"/>
              </w:numPr>
              <w:spacing w:before="240" w:after="0"/>
              <w:ind w:hanging="210"/>
              <w:jc w:val="left"/>
              <w:rPr>
                <w:szCs w:val="24"/>
              </w:rPr>
            </w:pPr>
            <w:r>
              <w:rPr>
                <w:szCs w:val="24"/>
              </w:rPr>
              <w:t>maintien de prairies permanentes existantes : cette exigence a une interaction avec cette opération. L’obligation de maintien des pâturages permanents doit être respectée à l’échelle de la parcelle engagée, ce qui est</w:t>
            </w:r>
            <w:r>
              <w:rPr>
                <w:szCs w:val="24"/>
              </w:rPr>
              <w:t xml:space="preserve"> plus contraignant que le verdissement qui s’applique à l’échelle régionale. Par ailleurs cette obligation n’est pas rémunérée.</w:t>
            </w:r>
          </w:p>
          <w:p w:rsidR="0035701C" w:rsidRDefault="00FB561B" w:rsidP="00FB561B">
            <w:pPr>
              <w:numPr>
                <w:ilvl w:val="0"/>
                <w:numId w:val="732"/>
              </w:numPr>
              <w:spacing w:before="0" w:after="0"/>
              <w:ind w:hanging="210"/>
              <w:jc w:val="left"/>
              <w:rPr>
                <w:szCs w:val="24"/>
              </w:rPr>
            </w:pPr>
            <w:r>
              <w:rPr>
                <w:szCs w:val="24"/>
              </w:rPr>
              <w:t xml:space="preserve">présence de 5 % de SIE (Surfaces d’Intérêt Ecologique) sur les terres arables : cette exigence n’a pas d’interaction avec cette </w:t>
            </w:r>
            <w:r>
              <w:rPr>
                <w:szCs w:val="24"/>
              </w:rPr>
              <w:t>opération,</w:t>
            </w:r>
          </w:p>
          <w:p w:rsidR="0035701C" w:rsidRDefault="00FB561B" w:rsidP="00FB561B">
            <w:pPr>
              <w:numPr>
                <w:ilvl w:val="0"/>
                <w:numId w:val="732"/>
              </w:numPr>
              <w:spacing w:before="0" w:after="240"/>
              <w:ind w:hanging="210"/>
              <w:jc w:val="left"/>
              <w:rPr>
                <w:szCs w:val="24"/>
              </w:rPr>
            </w:pPr>
            <w:r>
              <w:rPr>
                <w:szCs w:val="24"/>
              </w:rPr>
              <w:t>diversification des cultures : cette exigence n’a pas d’interaction avec cette opération.</w:t>
            </w:r>
          </w:p>
          <w:p w:rsidR="0035701C" w:rsidRDefault="00FB561B">
            <w:pPr>
              <w:spacing w:before="240" w:after="240"/>
              <w:jc w:val="left"/>
              <w:rPr>
                <w:szCs w:val="24"/>
              </w:rPr>
            </w:pPr>
            <w:r>
              <w:rPr>
                <w:b/>
                <w:bCs/>
                <w:i/>
                <w:iCs/>
                <w:szCs w:val="24"/>
              </w:rPr>
              <w:t>Méthode générale de calcul du montant :</w:t>
            </w:r>
            <w:r>
              <w:rPr>
                <w:szCs w:val="24"/>
              </w:rPr>
              <w:t xml:space="preserve"> le montant de l’aide est calculé sur la base de l’utilisation du matériel et du temps de travail supplémentaires né</w:t>
            </w:r>
            <w:r>
              <w:rPr>
                <w:szCs w:val="24"/>
              </w:rPr>
              <w:t>cessaires pour l’entretien des strates arbustive et arborée exigé par cet engagement et dépassant le cadre de la conditionnalité. Le surcoût lié au temps d’enregistrement des interventions et des pratiques est rémunéré sous forme forfaitaire indépendamment</w:t>
            </w:r>
            <w:r>
              <w:rPr>
                <w:szCs w:val="24"/>
              </w:rPr>
              <w:t xml:space="preserve"> de la surface engagée. Il n’y a pas, dans cette opération, de coût de transaction.</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733"/>
              </w:numPr>
              <w:spacing w:before="240" w:after="0"/>
              <w:ind w:hanging="210"/>
              <w:jc w:val="left"/>
              <w:rPr>
                <w:szCs w:val="24"/>
              </w:rPr>
            </w:pPr>
            <w:r>
              <w:rPr>
                <w:szCs w:val="24"/>
              </w:rPr>
              <w:t>coût du matériel:</w:t>
            </w:r>
            <w:r>
              <w:rPr>
                <w:i/>
                <w:iCs/>
                <w:szCs w:val="24"/>
              </w:rPr>
              <w:t xml:space="preserve"> Bureau de Coordination du Machinisme Agricole (BCMA), barème des façons culturales</w:t>
            </w:r>
            <w:r>
              <w:rPr>
                <w:szCs w:val="24"/>
              </w:rPr>
              <w:t xml:space="preserve"> </w:t>
            </w:r>
            <w:r>
              <w:rPr>
                <w:i/>
                <w:iCs/>
                <w:szCs w:val="24"/>
              </w:rPr>
              <w:t>2014</w:t>
            </w:r>
          </w:p>
          <w:p w:rsidR="0035701C" w:rsidRDefault="00FB561B" w:rsidP="00FB561B">
            <w:pPr>
              <w:numPr>
                <w:ilvl w:val="0"/>
                <w:numId w:val="733"/>
              </w:numPr>
              <w:spacing w:before="0" w:after="0"/>
              <w:ind w:hanging="210"/>
              <w:jc w:val="left"/>
              <w:rPr>
                <w:szCs w:val="24"/>
              </w:rPr>
            </w:pPr>
            <w:r>
              <w:rPr>
                <w:szCs w:val="24"/>
              </w:rPr>
              <w:t xml:space="preserve">niveaux de production fourragère et valeur en </w:t>
            </w:r>
            <w:r>
              <w:rPr>
                <w:szCs w:val="24"/>
              </w:rPr>
              <w:t>UFL:</w:t>
            </w:r>
            <w:r>
              <w:rPr>
                <w:i/>
                <w:iCs/>
                <w:szCs w:val="24"/>
              </w:rPr>
              <w:t xml:space="preserve"> références locales issues du réseau régional d’expérimentations fourragères et de démonstrations (Office du Développement Agricole et Rural de Corse et Office de l’Environnement de la Corse)</w:t>
            </w:r>
          </w:p>
          <w:p w:rsidR="0035701C" w:rsidRDefault="00FB561B" w:rsidP="00FB561B">
            <w:pPr>
              <w:numPr>
                <w:ilvl w:val="0"/>
                <w:numId w:val="733"/>
              </w:numPr>
              <w:spacing w:before="0" w:after="0"/>
              <w:ind w:hanging="210"/>
              <w:jc w:val="left"/>
              <w:rPr>
                <w:szCs w:val="24"/>
              </w:rPr>
            </w:pPr>
            <w:r>
              <w:rPr>
                <w:szCs w:val="24"/>
              </w:rPr>
              <w:t>rendement et temps de travail </w:t>
            </w:r>
            <w:r>
              <w:rPr>
                <w:i/>
                <w:iCs/>
                <w:szCs w:val="24"/>
              </w:rPr>
              <w:t>: références d’entreprises loc</w:t>
            </w:r>
            <w:r>
              <w:rPr>
                <w:i/>
                <w:iCs/>
                <w:szCs w:val="24"/>
              </w:rPr>
              <w:t xml:space="preserve">ales d’élagage </w:t>
            </w:r>
          </w:p>
          <w:p w:rsidR="0035701C" w:rsidRDefault="00FB561B" w:rsidP="00FB561B">
            <w:pPr>
              <w:numPr>
                <w:ilvl w:val="0"/>
                <w:numId w:val="733"/>
              </w:numPr>
              <w:spacing w:before="0" w:after="0"/>
              <w:ind w:hanging="210"/>
              <w:jc w:val="left"/>
              <w:rPr>
                <w:szCs w:val="24"/>
              </w:rPr>
            </w:pPr>
            <w:r>
              <w:rPr>
                <w:szCs w:val="24"/>
              </w:rPr>
              <w:t>coût UFL :</w:t>
            </w:r>
            <w:r>
              <w:rPr>
                <w:i/>
                <w:iCs/>
                <w:szCs w:val="24"/>
              </w:rPr>
              <w:t xml:space="preserve"> coopératives locales</w:t>
            </w:r>
          </w:p>
          <w:p w:rsidR="0035701C" w:rsidRDefault="00FB561B" w:rsidP="00FB561B">
            <w:pPr>
              <w:numPr>
                <w:ilvl w:val="0"/>
                <w:numId w:val="733"/>
              </w:numPr>
              <w:spacing w:before="0" w:after="240"/>
              <w:ind w:hanging="210"/>
              <w:jc w:val="left"/>
              <w:rPr>
                <w:szCs w:val="24"/>
              </w:rPr>
            </w:pPr>
            <w:r>
              <w:rPr>
                <w:szCs w:val="24"/>
              </w:rPr>
              <w:t xml:space="preserve">coût horaire de main d’œuvre : </w:t>
            </w:r>
            <w:r>
              <w:rPr>
                <w:i/>
                <w:iCs/>
                <w:szCs w:val="24"/>
              </w:rPr>
              <w:t>2 fois le coût horaire du SMIC (1er janvier 2014)</w:t>
            </w:r>
          </w:p>
          <w:p w:rsidR="0035701C" w:rsidRDefault="00FB561B">
            <w:pPr>
              <w:spacing w:before="240" w:after="240"/>
              <w:jc w:val="left"/>
              <w:rPr>
                <w:szCs w:val="24"/>
              </w:rPr>
            </w:pPr>
            <w:r>
              <w:rPr>
                <w:szCs w:val="24"/>
              </w:rPr>
              <w:t> </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324600" cy="6867525"/>
                  <wp:effectExtent l="0" t="0" r="0" b="0"/>
                  <wp:docPr id="100170" name="Image 100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1" name=""/>
                          <pic:cNvPicPr>
                            <a:picLocks noChangeAspect="1"/>
                          </pic:cNvPicPr>
                        </pic:nvPicPr>
                        <pic:blipFill>
                          <a:blip r:embed="rId97"/>
                          <a:stretch>
                            <a:fillRect/>
                          </a:stretch>
                        </pic:blipFill>
                        <pic:spPr>
                          <a:xfrm>
                            <a:off x="0" y="0"/>
                            <a:ext cx="6324600" cy="6867525"/>
                          </a:xfrm>
                          <a:prstGeom prst="rect">
                            <a:avLst/>
                          </a:prstGeom>
                        </pic:spPr>
                      </pic:pic>
                    </a:graphicData>
                  </a:graphic>
                </wp:inline>
              </w:drawing>
            </w:r>
          </w:p>
          <w:p w:rsidR="0035701C" w:rsidRDefault="00FB561B">
            <w:pPr>
              <w:pStyle w:val="Pieddepage"/>
              <w:jc w:val="center"/>
            </w:pPr>
            <w:r>
              <w:t>Prébois_2</w:t>
            </w:r>
          </w:p>
          <w:p w:rsidR="0035701C" w:rsidRDefault="0035701C">
            <w:pPr>
              <w:pStyle w:val="Pieddepage"/>
              <w:jc w:val="center"/>
            </w:pPr>
          </w:p>
        </w:tc>
      </w:tr>
    </w:tbl>
    <w:p w:rsidR="0035701C" w:rsidRDefault="00FB561B">
      <w:pPr>
        <w:pStyle w:val="Titre5"/>
        <w:rPr>
          <w:b w:val="0"/>
        </w:rPr>
      </w:pPr>
      <w:r>
        <w:rPr>
          <w:b w:val="0"/>
        </w:rPr>
        <w:br w:type="page"/>
        <w:t>-21- Prébois_3</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734"/>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PREBOIS 3=  Ouverture et entretien manuel des vergers traditionnels au-delà de la nécessité de production</w:t>
            </w:r>
          </w:p>
          <w:p w:rsidR="0035701C" w:rsidRDefault="00FB561B">
            <w:pPr>
              <w:spacing w:before="240" w:after="240"/>
              <w:jc w:val="left"/>
              <w:rPr>
                <w:szCs w:val="24"/>
              </w:rPr>
            </w:pPr>
            <w:r>
              <w:rPr>
                <w:szCs w:val="24"/>
              </w:rPr>
              <w:t>Le châtaignier et l’olivier sont deux types de vergers indissociables d’un riche patrimoine cultu</w:t>
            </w:r>
            <w:r>
              <w:rPr>
                <w:szCs w:val="24"/>
              </w:rPr>
              <w:t>rel et paysager de certaines régions naturelles de l’île (la châtaigneraie en Castagniccia, l’oliveraie en Balagne, dans le Nebbio, l’Alta Rocca…) qu’il convient de protéger des effets négatifs de la déprise et des incendies. En effet, ces deux espèces son</w:t>
            </w:r>
            <w:r>
              <w:rPr>
                <w:szCs w:val="24"/>
              </w:rPr>
              <w:t>t reconnues d’intérêt communautaire par la directive 92/43/CEE (Directive Habitat).</w:t>
            </w:r>
          </w:p>
          <w:p w:rsidR="0035701C" w:rsidRDefault="00FB561B">
            <w:pPr>
              <w:spacing w:before="240" w:after="240"/>
              <w:jc w:val="left"/>
              <w:rPr>
                <w:szCs w:val="24"/>
              </w:rPr>
            </w:pPr>
            <w:r>
              <w:rPr>
                <w:szCs w:val="24"/>
              </w:rPr>
              <w:t>Peu ou pas productifs, la plupart des vergers oléicoles et castanéicoles traditionnels, du fait de la progression de l’embroussaillement lié à leur abandon, ont perdu de le</w:t>
            </w:r>
            <w:r>
              <w:rPr>
                <w:szCs w:val="24"/>
              </w:rPr>
              <w:t>ur qualité paysagère et ont subi des dommages pour parties irréversibles suite à des incendies dévastateurs.</w:t>
            </w:r>
          </w:p>
          <w:p w:rsidR="0035701C" w:rsidRDefault="00FB561B">
            <w:pPr>
              <w:spacing w:before="240" w:after="240"/>
              <w:jc w:val="left"/>
              <w:rPr>
                <w:szCs w:val="24"/>
              </w:rPr>
            </w:pPr>
            <w:r>
              <w:rPr>
                <w:szCs w:val="24"/>
              </w:rPr>
              <w:t>L’objectif est de protéger durablement, au-delà des nécessités de production, ces milieux caractéristiques des espaces naturels emblématiques en Co</w:t>
            </w:r>
            <w:r>
              <w:rPr>
                <w:szCs w:val="24"/>
              </w:rPr>
              <w:t>rse.</w:t>
            </w:r>
          </w:p>
          <w:p w:rsidR="0035701C" w:rsidRDefault="00FB561B">
            <w:pPr>
              <w:spacing w:before="240" w:after="240"/>
              <w:jc w:val="left"/>
              <w:rPr>
                <w:szCs w:val="24"/>
              </w:rPr>
            </w:pPr>
            <w:r>
              <w:rPr>
                <w:szCs w:val="24"/>
              </w:rPr>
              <w:t>Cet engagement s’adresse aux vergers non mécanisables qu’il faut traiter de façon manuelle.</w:t>
            </w:r>
          </w:p>
          <w:p w:rsidR="0035701C" w:rsidRDefault="00FB561B">
            <w:pPr>
              <w:spacing w:before="240" w:after="240"/>
              <w:jc w:val="left"/>
              <w:rPr>
                <w:szCs w:val="24"/>
              </w:rPr>
            </w:pPr>
            <w:r>
              <w:rPr>
                <w:szCs w:val="24"/>
              </w:rPr>
              <w:t>Cette opération qui a déjà été proposée dans le cadre de la programmation précédente (2007-2013) est maintenue. Bien que n’ayant pas été fortement mobilisée, e</w:t>
            </w:r>
            <w:r>
              <w:rPr>
                <w:szCs w:val="24"/>
              </w:rPr>
              <w:t>lle est apparue comme néanmoins intéressante à maintenir d’un point de vue environnemental. En effet les vergers traditionnels qui modèlent notre paysage sont les témoins vivants de la culture locale. C’est pourquoi, pour cette opération, un effort supplém</w:t>
            </w:r>
            <w:r>
              <w:rPr>
                <w:szCs w:val="24"/>
              </w:rPr>
              <w:t>entaire d’information et de sensibilisation auprès des exploitants devra être fourni afin de la mobiliser de façon conséquente.</w:t>
            </w:r>
          </w:p>
          <w:p w:rsidR="0035701C" w:rsidRDefault="00FB561B">
            <w:pPr>
              <w:spacing w:before="240" w:after="240"/>
              <w:jc w:val="left"/>
              <w:rPr>
                <w:szCs w:val="24"/>
              </w:rPr>
            </w:pPr>
            <w:r>
              <w:rPr>
                <w:b/>
                <w:bCs/>
                <w:i/>
                <w:iCs/>
                <w:szCs w:val="24"/>
              </w:rPr>
              <w:t>Cahier des charges :</w:t>
            </w:r>
          </w:p>
          <w:p w:rsidR="0035701C" w:rsidRDefault="00FB561B" w:rsidP="00FB561B">
            <w:pPr>
              <w:numPr>
                <w:ilvl w:val="0"/>
                <w:numId w:val="735"/>
              </w:numPr>
              <w:spacing w:before="240" w:after="0"/>
              <w:ind w:hanging="210"/>
              <w:jc w:val="left"/>
              <w:rPr>
                <w:szCs w:val="24"/>
              </w:rPr>
            </w:pPr>
            <w:r>
              <w:rPr>
                <w:szCs w:val="24"/>
              </w:rPr>
              <w:t>l’agriculteur doit, la première année du contrat, débroussailler manuellement l’ensemble de la parcelle (st</w:t>
            </w:r>
            <w:r>
              <w:rPr>
                <w:szCs w:val="24"/>
              </w:rPr>
              <w:t>rate arbustive)</w:t>
            </w:r>
          </w:p>
          <w:p w:rsidR="0035701C" w:rsidRDefault="00FB561B" w:rsidP="00FB561B">
            <w:pPr>
              <w:numPr>
                <w:ilvl w:val="0"/>
                <w:numId w:val="735"/>
              </w:numPr>
              <w:spacing w:before="0" w:after="0"/>
              <w:ind w:hanging="210"/>
              <w:jc w:val="left"/>
              <w:rPr>
                <w:szCs w:val="24"/>
              </w:rPr>
            </w:pPr>
            <w:r>
              <w:rPr>
                <w:szCs w:val="24"/>
              </w:rPr>
              <w:t xml:space="preserve">il doit ensuite </w:t>
            </w:r>
            <w:r>
              <w:rPr>
                <w:szCs w:val="24"/>
                <w:u w:val="single"/>
              </w:rPr>
              <w:t>réaliser annuellement un entretien manuel</w:t>
            </w:r>
            <w:r>
              <w:rPr>
                <w:szCs w:val="24"/>
              </w:rPr>
              <w:t xml:space="preserve"> des parcelles réouvertes sur les 4 années restantes du contrat en supprimant les repousses ligneuses, y compris les rejets au pied des arbres si nécessaire,</w:t>
            </w:r>
          </w:p>
          <w:p w:rsidR="0035701C" w:rsidRDefault="00FB561B" w:rsidP="00FB561B">
            <w:pPr>
              <w:numPr>
                <w:ilvl w:val="0"/>
                <w:numId w:val="735"/>
              </w:numPr>
              <w:spacing w:before="0" w:after="0"/>
              <w:ind w:hanging="210"/>
              <w:jc w:val="left"/>
              <w:rPr>
                <w:szCs w:val="24"/>
              </w:rPr>
            </w:pPr>
            <w:r>
              <w:rPr>
                <w:szCs w:val="24"/>
              </w:rPr>
              <w:t xml:space="preserve">ces travaux d’ouverture </w:t>
            </w:r>
            <w:r>
              <w:rPr>
                <w:szCs w:val="24"/>
              </w:rPr>
              <w:t>et d’entretien seront obligatoirement effectués dans la période comprise entre le mois d’octobre et le mois de mars pendant l’hibernation de la tortue d’Hermann et avant la nidification de certains oiseaux (perdrix,….),</w:t>
            </w:r>
          </w:p>
          <w:p w:rsidR="0035701C" w:rsidRDefault="00FB561B" w:rsidP="00FB561B">
            <w:pPr>
              <w:numPr>
                <w:ilvl w:val="0"/>
                <w:numId w:val="735"/>
              </w:numPr>
              <w:spacing w:before="0" w:after="0"/>
              <w:ind w:hanging="210"/>
              <w:jc w:val="left"/>
              <w:rPr>
                <w:szCs w:val="24"/>
              </w:rPr>
            </w:pPr>
            <w:r>
              <w:rPr>
                <w:szCs w:val="24"/>
              </w:rPr>
              <w:t xml:space="preserve">le recours à un traitement chimique </w:t>
            </w:r>
            <w:r>
              <w:rPr>
                <w:szCs w:val="24"/>
              </w:rPr>
              <w:t>pour éliminer la végétation initiale ou effectuer les entretiens ultérieurs est interdit,</w:t>
            </w:r>
          </w:p>
          <w:p w:rsidR="0035701C" w:rsidRDefault="00FB561B" w:rsidP="00FB561B">
            <w:pPr>
              <w:numPr>
                <w:ilvl w:val="0"/>
                <w:numId w:val="735"/>
              </w:numPr>
              <w:spacing w:before="0" w:after="0"/>
              <w:ind w:hanging="210"/>
              <w:jc w:val="left"/>
              <w:rPr>
                <w:szCs w:val="24"/>
              </w:rPr>
            </w:pPr>
            <w:r>
              <w:rPr>
                <w:szCs w:val="24"/>
              </w:rPr>
              <w:t xml:space="preserve">les interventions de coupes et/ou d’élagage sur la strate arborée : </w:t>
            </w:r>
          </w:p>
          <w:p w:rsidR="0035701C" w:rsidRDefault="00FB561B" w:rsidP="00FB561B">
            <w:pPr>
              <w:numPr>
                <w:ilvl w:val="1"/>
                <w:numId w:val="735"/>
              </w:numPr>
              <w:spacing w:before="0" w:after="0"/>
              <w:ind w:hanging="244"/>
              <w:jc w:val="left"/>
              <w:rPr>
                <w:szCs w:val="24"/>
              </w:rPr>
            </w:pPr>
            <w:r>
              <w:rPr>
                <w:szCs w:val="24"/>
              </w:rPr>
              <w:t>doivent être réalisées en hiver, hors période de nidification des oiseaux notamment sur les Zones</w:t>
            </w:r>
            <w:r>
              <w:rPr>
                <w:szCs w:val="24"/>
              </w:rPr>
              <w:t xml:space="preserve"> d’Intérêt Floristique et faunistique (ZICO),</w:t>
            </w:r>
          </w:p>
          <w:p w:rsidR="0035701C" w:rsidRDefault="00FB561B" w:rsidP="00FB561B">
            <w:pPr>
              <w:numPr>
                <w:ilvl w:val="1"/>
                <w:numId w:val="735"/>
              </w:numPr>
              <w:spacing w:before="0" w:after="0"/>
              <w:ind w:hanging="244"/>
              <w:jc w:val="left"/>
              <w:rPr>
                <w:szCs w:val="24"/>
              </w:rPr>
            </w:pPr>
            <w:r>
              <w:rPr>
                <w:szCs w:val="24"/>
              </w:rPr>
              <w:t>les rémanents, ainsi que les bois au sol, doivent être, selon leur taille, soit exportés, soit broyés sur place</w:t>
            </w:r>
          </w:p>
          <w:p w:rsidR="0035701C" w:rsidRDefault="00FB561B" w:rsidP="00FB561B">
            <w:pPr>
              <w:numPr>
                <w:ilvl w:val="1"/>
                <w:numId w:val="735"/>
              </w:numPr>
              <w:spacing w:before="0" w:after="0"/>
              <w:ind w:hanging="244"/>
              <w:jc w:val="left"/>
              <w:rPr>
                <w:szCs w:val="24"/>
              </w:rPr>
            </w:pPr>
            <w:r>
              <w:rPr>
                <w:szCs w:val="24"/>
              </w:rPr>
              <w:t>le brûlage des rémanents est interdit</w:t>
            </w:r>
          </w:p>
          <w:p w:rsidR="0035701C" w:rsidRDefault="00FB561B" w:rsidP="00FB561B">
            <w:pPr>
              <w:numPr>
                <w:ilvl w:val="1"/>
                <w:numId w:val="735"/>
              </w:numPr>
              <w:spacing w:before="0" w:after="0"/>
              <w:ind w:hanging="244"/>
              <w:jc w:val="left"/>
              <w:rPr>
                <w:szCs w:val="24"/>
              </w:rPr>
            </w:pPr>
            <w:r>
              <w:rPr>
                <w:szCs w:val="24"/>
              </w:rPr>
              <w:t>ces interventions sont réalisées deux fois sur la durée du c</w:t>
            </w:r>
            <w:r>
              <w:rPr>
                <w:szCs w:val="24"/>
              </w:rPr>
              <w:t>ontrat, sur deux années différentes,</w:t>
            </w:r>
          </w:p>
          <w:p w:rsidR="0035701C" w:rsidRDefault="00FB561B" w:rsidP="00FB561B">
            <w:pPr>
              <w:numPr>
                <w:ilvl w:val="0"/>
                <w:numId w:val="735"/>
              </w:numPr>
              <w:spacing w:before="0" w:after="240"/>
              <w:ind w:hanging="210"/>
              <w:jc w:val="left"/>
              <w:rPr>
                <w:szCs w:val="24"/>
              </w:rPr>
            </w:pPr>
            <w:r>
              <w:rPr>
                <w:szCs w:val="24"/>
              </w:rPr>
              <w:t>l’agriculteur doit assurer l’enregistrement des différentes interventions et des pratiques réalisées dans un document normé prévu à cet effet. Ce document sera remis à l’agriculteur à l’issue du diagnostic obligatoire r</w:t>
            </w:r>
            <w:r>
              <w:rPr>
                <w:szCs w:val="24"/>
              </w:rPr>
              <w:t>éalisé par le service instructeur.</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éléments de la </w:t>
            </w:r>
            <w:r>
              <w:rPr>
                <w:szCs w:val="24"/>
              </w:rPr>
              <w:t>ligne de base sont définis en conformité avec :</w:t>
            </w:r>
          </w:p>
          <w:p w:rsidR="0035701C" w:rsidRDefault="00FB561B" w:rsidP="00FB561B">
            <w:pPr>
              <w:numPr>
                <w:ilvl w:val="0"/>
                <w:numId w:val="736"/>
              </w:numPr>
              <w:spacing w:before="240" w:after="0"/>
              <w:ind w:hanging="210"/>
              <w:jc w:val="left"/>
              <w:rPr>
                <w:szCs w:val="24"/>
              </w:rPr>
            </w:pPr>
            <w:r>
              <w:rPr>
                <w:szCs w:val="24"/>
              </w:rPr>
              <w:t>les exigences établies en vertu de l’article 93 du Titre VI du règlement UE n° 1306/2013 relatif à la conditionnalité,</w:t>
            </w:r>
          </w:p>
          <w:p w:rsidR="0035701C" w:rsidRDefault="00FB561B" w:rsidP="00FB561B">
            <w:pPr>
              <w:numPr>
                <w:ilvl w:val="0"/>
                <w:numId w:val="736"/>
              </w:numPr>
              <w:spacing w:before="0" w:after="0"/>
              <w:ind w:hanging="210"/>
              <w:jc w:val="left"/>
              <w:rPr>
                <w:szCs w:val="24"/>
              </w:rPr>
            </w:pPr>
            <w:r>
              <w:rPr>
                <w:szCs w:val="24"/>
              </w:rPr>
              <w:t xml:space="preserve">les exigences établies en vertu de l’article 4.1c points ii) et iii) du règlement UE </w:t>
            </w:r>
            <w:r>
              <w:rPr>
                <w:szCs w:val="24"/>
              </w:rPr>
              <w:t>n°1307/2013 relatif à l’état d’entretien minimum des surfaces</w:t>
            </w:r>
          </w:p>
          <w:p w:rsidR="0035701C" w:rsidRDefault="00FB561B" w:rsidP="00FB561B">
            <w:pPr>
              <w:numPr>
                <w:ilvl w:val="0"/>
                <w:numId w:val="736"/>
              </w:numPr>
              <w:spacing w:before="0" w:after="240"/>
              <w:ind w:hanging="210"/>
              <w:jc w:val="left"/>
              <w:rPr>
                <w:szCs w:val="24"/>
              </w:rPr>
            </w:pPr>
            <w:r>
              <w:rPr>
                <w:szCs w:val="24"/>
              </w:rPr>
              <w:t>toute autre exigence pertinente établie par la réglementation nationale, tel le Code des Bonnes Pratiques Agricoles pris par arrêté du 22 novembre 1993</w:t>
            </w:r>
          </w:p>
          <w:p w:rsidR="0035701C" w:rsidRDefault="00FB561B">
            <w:pPr>
              <w:spacing w:before="240" w:after="240"/>
              <w:jc w:val="left"/>
              <w:rPr>
                <w:szCs w:val="24"/>
              </w:rPr>
            </w:pPr>
            <w:r>
              <w:rPr>
                <w:szCs w:val="24"/>
              </w:rPr>
              <w:t xml:space="preserve">Ces éléments sont détaillés au paragraphe </w:t>
            </w:r>
            <w:r>
              <w:rPr>
                <w:szCs w:val="24"/>
              </w:rPr>
              <w:t>« Information spécifique à l’opération – Description de la ligne de base » de la présente fiche-opération.</w:t>
            </w:r>
          </w:p>
          <w:p w:rsidR="0035701C" w:rsidRDefault="00FB561B">
            <w:pPr>
              <w:spacing w:before="240" w:after="240"/>
              <w:jc w:val="left"/>
              <w:rPr>
                <w:szCs w:val="24"/>
              </w:rPr>
            </w:pPr>
            <w:r>
              <w:rPr>
                <w:szCs w:val="24"/>
              </w:rPr>
              <w:t>Afin d’exclure tout double paiement, les pratiques visées à l’article 43 du règlement UE n° 1307/2013 sont prises en compte dans le calcul des surcoû</w:t>
            </w:r>
            <w:r>
              <w:rPr>
                <w:szCs w:val="24"/>
              </w:rPr>
              <w:t>ts et manques à gagner. La méthode de calcul est détaillée au paragraphe « Information spécifique à l’opération – Méthode de calcul du montant » de la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w:t>
            </w:r>
            <w:r>
              <w:rPr>
                <w:szCs w:val="24"/>
              </w:rPr>
              <w:t>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les surcoûts, manques à gagner et éventuels coûts d’opportunité et de transaction générés par le respect des éléments contractualisés.</w:t>
            </w:r>
          </w:p>
          <w:p w:rsidR="0035701C" w:rsidRDefault="00FB561B">
            <w:pPr>
              <w:spacing w:before="240" w:after="240"/>
              <w:jc w:val="left"/>
              <w:rPr>
                <w:szCs w:val="24"/>
              </w:rPr>
            </w:pPr>
            <w:r>
              <w:rPr>
                <w:szCs w:val="24"/>
              </w:rPr>
              <w:t xml:space="preserve">Dans le cas de cette opération, sont pris en compte uniquement des </w:t>
            </w:r>
            <w:r>
              <w:rPr>
                <w:szCs w:val="24"/>
              </w:rPr>
              <w:t>surcoûts.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La réalisation d’un diagnostic d’exploitation préalable à la souscription de cette opération est obligatoire.</w:t>
            </w:r>
          </w:p>
          <w:p w:rsidR="0035701C" w:rsidRDefault="00FB561B">
            <w:pPr>
              <w:spacing w:before="240" w:after="240"/>
              <w:jc w:val="left"/>
              <w:rPr>
                <w:szCs w:val="24"/>
              </w:rPr>
            </w:pPr>
            <w:r>
              <w:rPr>
                <w:b/>
                <w:bCs/>
                <w:i/>
                <w:iCs/>
                <w:szCs w:val="24"/>
              </w:rPr>
              <w:t>Surfaces éligibles:</w:t>
            </w:r>
            <w:r>
              <w:rPr>
                <w:szCs w:val="24"/>
              </w:rPr>
              <w:t xml:space="preserve"> Vergers d’oliviers, de châtaigniers ou autres vergers non productifs et </w:t>
            </w:r>
            <w:r>
              <w:rPr>
                <w:b/>
                <w:bCs/>
                <w:szCs w:val="24"/>
              </w:rPr>
              <w:t>non mécanisable</w:t>
            </w:r>
            <w:r>
              <w:rPr>
                <w:b/>
                <w:bCs/>
                <w:szCs w:val="24"/>
              </w:rPr>
              <w:t>s.</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de l’aide est de </w:t>
            </w:r>
            <w:r>
              <w:rPr>
                <w:b/>
                <w:bCs/>
                <w:szCs w:val="24"/>
              </w:rPr>
              <w:t>710,04</w:t>
            </w:r>
            <w:r>
              <w:rPr>
                <w:szCs w:val="24"/>
              </w:rPr>
              <w:t xml:space="preserve"> </w:t>
            </w:r>
            <w:r>
              <w:rPr>
                <w:b/>
                <w:bCs/>
                <w:szCs w:val="24"/>
              </w:rPr>
              <w:t>€ /ha/an</w:t>
            </w:r>
            <w:r>
              <w:rPr>
                <w:szCs w:val="24"/>
              </w:rPr>
              <w:t xml:space="preserve">, auquel vient s’ajouter une somme forfaitaire de </w:t>
            </w:r>
            <w:r>
              <w:rPr>
                <w:b/>
                <w:bCs/>
                <w:szCs w:val="24"/>
              </w:rPr>
              <w:t>57,18 €/an</w:t>
            </w:r>
            <w:r>
              <w:rPr>
                <w:szCs w:val="24"/>
              </w:rPr>
              <w:t xml:space="preserve"> liée à l’enregistrement des pratiques et des interventions.</w:t>
            </w:r>
          </w:p>
          <w:p w:rsidR="0035701C" w:rsidRDefault="00FB561B">
            <w:pPr>
              <w:spacing w:before="240" w:after="240"/>
              <w:jc w:val="left"/>
              <w:rPr>
                <w:szCs w:val="24"/>
              </w:rPr>
            </w:pPr>
            <w:r>
              <w:rPr>
                <w:szCs w:val="24"/>
              </w:rPr>
              <w:t>Il est rappelé que le plafond communautaire pour ce type de couvert (cultures pérennes spécialisées) est de 900 €/ha/an (incluant le forfait annuel).</w:t>
            </w:r>
          </w:p>
          <w:p w:rsidR="0035701C" w:rsidRDefault="0035701C">
            <w:pPr>
              <w:pStyle w:val="Corpsdetexte"/>
            </w:pPr>
          </w:p>
        </w:tc>
      </w:tr>
    </w:tbl>
    <w:p w:rsidR="0035701C" w:rsidRDefault="00FB561B">
      <w:pPr>
        <w:pStyle w:val="Titre6"/>
      </w:pPr>
      <w:r>
        <w:t>Caractère vérifiable et contrôlab</w:t>
      </w:r>
      <w:r>
        <w:t>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des </w:t>
      </w:r>
      <w:r>
        <w:t xml:space="preserve">éléments du niveau de référence applicable, qui doivent inclure les normes obligatoires établies en application du titre VI, chapitre I, du règlement (UE) n° 1306/2013 du Parlement européen et du Conseil, les critères pertinents et les activités minimales </w:t>
      </w:r>
      <w:r>
        <w:t xml:space="preserve">établies en application de l'article 4, paragraphe 1, point c) ii) et c) iii), du règlement (UE) n° 1307/2013 du Parlement européen et du Conseil, les exigences minimales applicables à l'utilisation des engrais et des produits phytosanitaire ainsi que les </w:t>
      </w:r>
      <w:r>
        <w:t>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Dans cette opération, il n’y a aucune interaction avec les différents éléments réglementaires décrits dans la section 8.1 du présent programme.</w:t>
            </w:r>
          </w:p>
          <w:p w:rsidR="0035701C" w:rsidRDefault="00FB561B">
            <w:pPr>
              <w:spacing w:before="240" w:after="240"/>
              <w:jc w:val="left"/>
              <w:rPr>
                <w:szCs w:val="24"/>
              </w:rPr>
            </w:pPr>
            <w:r>
              <w:rPr>
                <w:szCs w:val="24"/>
              </w:rPr>
              <w:t>Si les pratiques rémuné</w:t>
            </w:r>
            <w:r>
              <w:rPr>
                <w:szCs w:val="24"/>
              </w:rPr>
              <w:t>rées au titre de la présente opération sont rendues obligatoires sur des zones au titre de la protection de la biodiversité (notamment des zones classées au titre des réserves naturelles des arrêtés de protection de biotopes), celle-ci ne peut être ouverte</w:t>
            </w:r>
            <w:r>
              <w:rPr>
                <w:szCs w:val="24"/>
              </w:rPr>
              <w:t xml:space="preserve"> sur les zones concernées.</w:t>
            </w:r>
          </w:p>
          <w:p w:rsidR="0035701C" w:rsidRDefault="0035701C">
            <w:pPr>
              <w:pStyle w:val="Corpsdetexte"/>
            </w:pPr>
          </w:p>
        </w:tc>
      </w:tr>
    </w:tbl>
    <w:p w:rsidR="0035701C" w:rsidRDefault="00FB561B">
      <w:r>
        <w:t xml:space="preserve">Les exigences minimales relatives à l'utilisation d'engrais doivent comprendre, entre autres, le respect des codes de bonnes pratiques introduits au titre de la directive 91/676/CEE pour les exploitations situées en dehors des </w:t>
      </w:r>
      <w:r>
        <w:t>zones vulnérables aux nitrates, et des exigences concernant la pollution au phosphore; les exigences minimales relatives à l'utilisation de produits phytosanitaires doivent comprendre, entre autres, les principes généraux de la lutte intégrée contre les en</w:t>
      </w:r>
      <w:r>
        <w:t>nemis des cultures introduits par la directive 2009/128/CE du Parlement européen et du Conseil, l’obligation de détenir une autorisation d’utiliser les produits, de satisfaire aux conditions de formation, d’assurer un stockage sûr et de contrôler les équip</w:t>
      </w:r>
      <w:r>
        <w:t>ements destinés à l’épandage ainsi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r>
              <w:rPr>
                <w:szCs w:val="24"/>
              </w:rPr>
              <w:t>.</w:t>
            </w:r>
          </w:p>
          <w:p w:rsidR="0035701C" w:rsidRDefault="0035701C">
            <w:pPr>
              <w:pStyle w:val="Corpsdetexte"/>
            </w:pPr>
          </w:p>
        </w:tc>
      </w:tr>
    </w:tbl>
    <w:p w:rsidR="0035701C" w:rsidRDefault="00FB561B">
      <w:r>
        <w:t>Liste des races locales 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préservation des ressources génétiques.</w:t>
            </w:r>
          </w:p>
          <w:p w:rsidR="0035701C" w:rsidRDefault="0035701C">
            <w:pPr>
              <w:pStyle w:val="Corpsdetexte"/>
            </w:pPr>
          </w:p>
        </w:tc>
      </w:tr>
    </w:tbl>
    <w:p w:rsidR="0035701C" w:rsidRDefault="00FB561B">
      <w:r>
        <w:t xml:space="preserve">Description de la </w:t>
      </w:r>
      <w:r>
        <w:t>méthode et des hypothèses et paramètres agronomiques y compris la description des exigences minimales visées à l'article 29, paragraphe 2, du règlement (UE) n° 1305/2013 correspondant à chaque type particulier d'engagement, utilisés comme référence pour le</w:t>
      </w:r>
      <w:r>
        <w:t>s calculs justifiant les coûts supplémentaires et les pertes de revenus résultant de l’engagement pris et le niveau des coûts des transactions; le cas échéant, cette méthode tient compte des aides accordées au titre du règlement (UE) n° 1307/2013, et notam</w:t>
      </w:r>
      <w:r>
        <w:t>ment des paiements en faveur des pratiques agricoles bénéfiques pour le climat et l’environnement, afin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Prati</w:t>
            </w:r>
            <w:r>
              <w:rPr>
                <w:b/>
                <w:bCs/>
                <w:i/>
                <w:iCs/>
                <w:szCs w:val="24"/>
              </w:rPr>
              <w:t>ques de référence </w:t>
            </w:r>
            <w:r>
              <w:rPr>
                <w:szCs w:val="24"/>
              </w:rPr>
              <w:t>: ces vergers peu ou pas productifs ne sont pas entretenus du fait de leur abandon</w:t>
            </w:r>
          </w:p>
          <w:p w:rsidR="0035701C" w:rsidRDefault="00FB561B">
            <w:pPr>
              <w:spacing w:before="240" w:after="240"/>
              <w:jc w:val="left"/>
              <w:rPr>
                <w:szCs w:val="24"/>
              </w:rPr>
            </w:pPr>
            <w:r>
              <w:rPr>
                <w:b/>
                <w:bCs/>
                <w:i/>
                <w:iCs/>
                <w:szCs w:val="24"/>
              </w:rPr>
              <w:t xml:space="preserve">Prise en compte du verdissement : </w:t>
            </w:r>
            <w:r>
              <w:rPr>
                <w:szCs w:val="24"/>
              </w:rPr>
              <w:t xml:space="preserve">afin d’exclure tout double paiement, les pratiques rémunérées au titre du verdissement sont prises en compte de la façon </w:t>
            </w:r>
            <w:r>
              <w:rPr>
                <w:szCs w:val="24"/>
              </w:rPr>
              <w:t>suivante dans le calcul du montant unitaire de cette opération :</w:t>
            </w:r>
          </w:p>
          <w:p w:rsidR="0035701C" w:rsidRDefault="00FB561B" w:rsidP="00FB561B">
            <w:pPr>
              <w:numPr>
                <w:ilvl w:val="0"/>
                <w:numId w:val="737"/>
              </w:numPr>
              <w:spacing w:before="240" w:after="0"/>
              <w:ind w:hanging="210"/>
              <w:jc w:val="left"/>
              <w:rPr>
                <w:szCs w:val="24"/>
              </w:rPr>
            </w:pPr>
            <w:r>
              <w:rPr>
                <w:szCs w:val="24"/>
              </w:rPr>
              <w:t>maintien de prairies permanentes existantes : cette exigence n’a pas d’interaction avec cette opération,</w:t>
            </w:r>
          </w:p>
          <w:p w:rsidR="0035701C" w:rsidRDefault="00FB561B" w:rsidP="00FB561B">
            <w:pPr>
              <w:numPr>
                <w:ilvl w:val="0"/>
                <w:numId w:val="737"/>
              </w:numPr>
              <w:spacing w:before="0" w:after="0"/>
              <w:ind w:hanging="210"/>
              <w:jc w:val="left"/>
              <w:rPr>
                <w:szCs w:val="24"/>
              </w:rPr>
            </w:pPr>
            <w:r>
              <w:rPr>
                <w:szCs w:val="24"/>
              </w:rPr>
              <w:t xml:space="preserve">présence de 5 % de SIE (Surfaces d’Intérêt Ecologique) sur les terres arables : cette </w:t>
            </w:r>
            <w:r>
              <w:rPr>
                <w:szCs w:val="24"/>
              </w:rPr>
              <w:t>exigence n’a pas d’interaction avec cette opération,</w:t>
            </w:r>
          </w:p>
          <w:p w:rsidR="0035701C" w:rsidRDefault="00FB561B" w:rsidP="00FB561B">
            <w:pPr>
              <w:numPr>
                <w:ilvl w:val="0"/>
                <w:numId w:val="737"/>
              </w:numPr>
              <w:spacing w:before="0" w:after="240"/>
              <w:ind w:hanging="210"/>
              <w:jc w:val="left"/>
              <w:rPr>
                <w:szCs w:val="24"/>
              </w:rPr>
            </w:pPr>
            <w:r>
              <w:rPr>
                <w:szCs w:val="24"/>
              </w:rPr>
              <w:t>diversification des cultures : cette exigence n’a pas d’interaction avec cette opération.</w:t>
            </w:r>
          </w:p>
          <w:p w:rsidR="0035701C" w:rsidRDefault="00FB561B">
            <w:pPr>
              <w:spacing w:before="240" w:after="240"/>
              <w:jc w:val="left"/>
              <w:rPr>
                <w:szCs w:val="24"/>
              </w:rPr>
            </w:pPr>
            <w:r>
              <w:rPr>
                <w:b/>
                <w:bCs/>
                <w:i/>
                <w:iCs/>
                <w:szCs w:val="24"/>
              </w:rPr>
              <w:t>Méthode générale de calcul du montant :</w:t>
            </w:r>
            <w:r>
              <w:rPr>
                <w:szCs w:val="24"/>
              </w:rPr>
              <w:t xml:space="preserve"> le montant de l’aide est calculé sur la base de l’utilisation du matériel</w:t>
            </w:r>
            <w:r>
              <w:rPr>
                <w:szCs w:val="24"/>
              </w:rPr>
              <w:t xml:space="preserve"> et du temps de travail supplémentaires nécessaires pour l’entretien des strates arbustive et arborée exigé par cet engagement et dépassant le cadre de la conditionnalité. Le surcoût lié au temps d’enregistrement des interventions et des pratiques est rému</w:t>
            </w:r>
            <w:r>
              <w:rPr>
                <w:szCs w:val="24"/>
              </w:rPr>
              <w:t>néré sous forme forfaitaire indépendamment de la surface engagée. Il n’y a pas, dans cette opération, de coût de transaction.</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738"/>
              </w:numPr>
              <w:spacing w:before="240" w:after="0"/>
              <w:ind w:hanging="210"/>
              <w:jc w:val="left"/>
              <w:rPr>
                <w:szCs w:val="24"/>
              </w:rPr>
            </w:pPr>
            <w:r>
              <w:rPr>
                <w:szCs w:val="24"/>
              </w:rPr>
              <w:t xml:space="preserve">coût du matériel : </w:t>
            </w:r>
            <w:r>
              <w:rPr>
                <w:i/>
                <w:iCs/>
                <w:szCs w:val="24"/>
              </w:rPr>
              <w:t>Bureau de Coordination du Machinisme Agricole (BCMA), barème des façons culturales</w:t>
            </w:r>
            <w:r>
              <w:rPr>
                <w:szCs w:val="24"/>
              </w:rPr>
              <w:t xml:space="preserve"> </w:t>
            </w:r>
            <w:r>
              <w:rPr>
                <w:i/>
                <w:iCs/>
                <w:szCs w:val="24"/>
              </w:rPr>
              <w:t>2014</w:t>
            </w:r>
          </w:p>
          <w:p w:rsidR="0035701C" w:rsidRDefault="00FB561B" w:rsidP="00FB561B">
            <w:pPr>
              <w:numPr>
                <w:ilvl w:val="0"/>
                <w:numId w:val="738"/>
              </w:numPr>
              <w:spacing w:before="0" w:after="0"/>
              <w:ind w:hanging="210"/>
              <w:jc w:val="left"/>
              <w:rPr>
                <w:szCs w:val="24"/>
              </w:rPr>
            </w:pPr>
            <w:r>
              <w:rPr>
                <w:szCs w:val="24"/>
              </w:rPr>
              <w:t>tem</w:t>
            </w:r>
            <w:r>
              <w:rPr>
                <w:szCs w:val="24"/>
              </w:rPr>
              <w:t xml:space="preserve">ps de travail : </w:t>
            </w:r>
            <w:r>
              <w:rPr>
                <w:i/>
                <w:iCs/>
                <w:szCs w:val="24"/>
              </w:rPr>
              <w:t>références d’entreprises locales de débroussaillement ou issues du réseau régional d’expérimentations fourragères et de démonstrations (Office du Développement Agricole et Rural de Corse et Office de l’Environnement de la Corse)</w:t>
            </w:r>
          </w:p>
          <w:p w:rsidR="0035701C" w:rsidRDefault="00FB561B" w:rsidP="00FB561B">
            <w:pPr>
              <w:numPr>
                <w:ilvl w:val="0"/>
                <w:numId w:val="738"/>
              </w:numPr>
              <w:spacing w:before="0" w:after="240"/>
              <w:ind w:hanging="210"/>
              <w:jc w:val="left"/>
              <w:rPr>
                <w:szCs w:val="24"/>
              </w:rPr>
            </w:pPr>
            <w:r>
              <w:rPr>
                <w:i/>
                <w:iCs/>
                <w:szCs w:val="24"/>
              </w:rPr>
              <w:t>coût horair</w:t>
            </w:r>
            <w:r>
              <w:rPr>
                <w:i/>
                <w:iCs/>
                <w:szCs w:val="24"/>
              </w:rPr>
              <w:t>e de main d’œuvre : 2 fois le coût horaire du SMIC (1er janvier 2014)</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086475" cy="4886325"/>
                  <wp:effectExtent l="0" t="0" r="0" b="0"/>
                  <wp:docPr id="100172" name="Image 100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3" name=""/>
                          <pic:cNvPicPr>
                            <a:picLocks noChangeAspect="1"/>
                          </pic:cNvPicPr>
                        </pic:nvPicPr>
                        <pic:blipFill>
                          <a:blip r:embed="rId98"/>
                          <a:stretch>
                            <a:fillRect/>
                          </a:stretch>
                        </pic:blipFill>
                        <pic:spPr>
                          <a:xfrm>
                            <a:off x="0" y="0"/>
                            <a:ext cx="6086475" cy="4886325"/>
                          </a:xfrm>
                          <a:prstGeom prst="rect">
                            <a:avLst/>
                          </a:prstGeom>
                        </pic:spPr>
                      </pic:pic>
                    </a:graphicData>
                  </a:graphic>
                </wp:inline>
              </w:drawing>
            </w:r>
          </w:p>
          <w:p w:rsidR="0035701C" w:rsidRDefault="00FB561B">
            <w:pPr>
              <w:pStyle w:val="Pieddepage"/>
              <w:jc w:val="center"/>
            </w:pPr>
            <w:r>
              <w:t>Prébois_3</w:t>
            </w:r>
          </w:p>
          <w:p w:rsidR="0035701C" w:rsidRDefault="0035701C">
            <w:pPr>
              <w:pStyle w:val="Pieddepage"/>
              <w:jc w:val="center"/>
            </w:pPr>
          </w:p>
        </w:tc>
      </w:tr>
    </w:tbl>
    <w:p w:rsidR="0035701C" w:rsidRDefault="00FB561B">
      <w:pPr>
        <w:pStyle w:val="Titre5"/>
        <w:rPr>
          <w:b w:val="0"/>
        </w:rPr>
      </w:pPr>
      <w:r>
        <w:rPr>
          <w:b w:val="0"/>
        </w:rPr>
        <w:br w:type="page"/>
        <w:t>-22- Prébois_4</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739"/>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 titre complet : PREBOIS 4 </w:t>
            </w:r>
            <w:r>
              <w:rPr>
                <w:b/>
                <w:bCs/>
                <w:szCs w:val="24"/>
              </w:rPr>
              <w:t>=  Ouverture et entretien mécanique des vergers traditionnels au-delà de la nécessité de production</w:t>
            </w:r>
          </w:p>
          <w:p w:rsidR="0035701C" w:rsidRDefault="00FB561B">
            <w:pPr>
              <w:spacing w:before="240" w:after="240"/>
              <w:jc w:val="left"/>
              <w:rPr>
                <w:szCs w:val="24"/>
              </w:rPr>
            </w:pPr>
            <w:r>
              <w:rPr>
                <w:szCs w:val="24"/>
              </w:rPr>
              <w:t>Le châtaignier et l’olivier sont deux types de vergers indissociables d’un riche patrimoine culturel et paysager de certaines régions naturelles de l’île (l</w:t>
            </w:r>
            <w:r>
              <w:rPr>
                <w:szCs w:val="24"/>
              </w:rPr>
              <w:t>a châtaigneraie en Castagniccia, l’oliveraie en Balagne, dans le Nebbio, l’Alta Rocca…) qu’il convient de protéger des effets négatifs de la déprise. En effet, ces deux espèces sont reconnues d’intérêt communautaire par la directive 92/43/CEE (habitat). Pe</w:t>
            </w:r>
            <w:r>
              <w:rPr>
                <w:szCs w:val="24"/>
              </w:rPr>
              <w:t>u ou pas productifs la plupart des vergers oléicoles et castanéicoles traditionnels, du fait de la progression de l’embroussaillement lié à leur abandon, ont perdu de leur qualité paysagère et ont subi des dommages pour parties irréversibles suite à des in</w:t>
            </w:r>
            <w:r>
              <w:rPr>
                <w:szCs w:val="24"/>
              </w:rPr>
              <w:t>cendies dévastateurs.</w:t>
            </w:r>
          </w:p>
          <w:p w:rsidR="0035701C" w:rsidRDefault="00FB561B">
            <w:pPr>
              <w:spacing w:before="240" w:after="240"/>
              <w:jc w:val="left"/>
              <w:rPr>
                <w:szCs w:val="24"/>
              </w:rPr>
            </w:pPr>
            <w:r>
              <w:rPr>
                <w:szCs w:val="24"/>
              </w:rPr>
              <w:t>L’objectif est de protéger durablement, au-delà des nécessités de production, ces éléments caractéristiques des espaces naturels emblématiques en Corse.</w:t>
            </w:r>
          </w:p>
          <w:p w:rsidR="0035701C" w:rsidRDefault="00FB561B">
            <w:pPr>
              <w:spacing w:before="240" w:after="240"/>
              <w:jc w:val="left"/>
              <w:rPr>
                <w:szCs w:val="24"/>
              </w:rPr>
            </w:pPr>
            <w:r>
              <w:rPr>
                <w:szCs w:val="24"/>
              </w:rPr>
              <w:t xml:space="preserve">Cet engagement s’adresse aux vergers mécanisables qu’il convient de traiter avec </w:t>
            </w:r>
            <w:r>
              <w:rPr>
                <w:szCs w:val="24"/>
              </w:rPr>
              <w:t>des moyens mécaniques.</w:t>
            </w:r>
          </w:p>
          <w:p w:rsidR="0035701C" w:rsidRDefault="00FB561B">
            <w:pPr>
              <w:spacing w:before="240" w:after="240"/>
              <w:jc w:val="left"/>
              <w:rPr>
                <w:szCs w:val="24"/>
              </w:rPr>
            </w:pPr>
            <w:r>
              <w:rPr>
                <w:szCs w:val="24"/>
              </w:rPr>
              <w:t>Cette opération qui a déjà été proposée dans le cadre de la programmation précédente (2007-2013) est maintenue. Bien que n’ayant pas été fortement mobilisée, elle est apparue comme néanmoins intéressante à maintenir d’un point de vue</w:t>
            </w:r>
            <w:r>
              <w:rPr>
                <w:szCs w:val="24"/>
              </w:rPr>
              <w:t xml:space="preserve"> environnemental. En effet les vergers traditionnels qui modèlent notre paysage sont les témoins vivants de la culture locale. C’est pourquoi, pour cette opération, un effort supplémentaire d’information et de sensibilisation auprès des exploitants devra ê</w:t>
            </w:r>
            <w:r>
              <w:rPr>
                <w:szCs w:val="24"/>
              </w:rPr>
              <w:t>tre fourni afin de la mobiliser de façon conséquente.</w:t>
            </w:r>
          </w:p>
          <w:p w:rsidR="0035701C" w:rsidRDefault="00FB561B">
            <w:pPr>
              <w:spacing w:before="240" w:after="240"/>
              <w:jc w:val="left"/>
              <w:rPr>
                <w:szCs w:val="24"/>
              </w:rPr>
            </w:pPr>
            <w:r>
              <w:rPr>
                <w:b/>
                <w:bCs/>
                <w:i/>
                <w:iCs/>
                <w:szCs w:val="24"/>
              </w:rPr>
              <w:t>Cahier des charges :</w:t>
            </w:r>
          </w:p>
          <w:p w:rsidR="0035701C" w:rsidRDefault="00FB561B" w:rsidP="00FB561B">
            <w:pPr>
              <w:numPr>
                <w:ilvl w:val="0"/>
                <w:numId w:val="740"/>
              </w:numPr>
              <w:spacing w:before="240" w:after="0"/>
              <w:ind w:hanging="210"/>
              <w:jc w:val="left"/>
              <w:rPr>
                <w:szCs w:val="24"/>
              </w:rPr>
            </w:pPr>
            <w:r>
              <w:rPr>
                <w:szCs w:val="24"/>
              </w:rPr>
              <w:t>l’agriculteur doit, la première année du contrat, girobroyer la strate arbustive sur l’ensemble de la parcelle</w:t>
            </w:r>
          </w:p>
          <w:p w:rsidR="0035701C" w:rsidRDefault="00FB561B" w:rsidP="00FB561B">
            <w:pPr>
              <w:numPr>
                <w:ilvl w:val="0"/>
                <w:numId w:val="740"/>
              </w:numPr>
              <w:spacing w:before="0" w:after="0"/>
              <w:ind w:hanging="210"/>
              <w:jc w:val="left"/>
              <w:rPr>
                <w:szCs w:val="24"/>
              </w:rPr>
            </w:pPr>
            <w:r>
              <w:rPr>
                <w:szCs w:val="24"/>
              </w:rPr>
              <w:t>il doit ensuite réaliser annuellement un entretien mécanique par broya</w:t>
            </w:r>
            <w:r>
              <w:rPr>
                <w:szCs w:val="24"/>
              </w:rPr>
              <w:t>ge des parcelles réouvertes sur les 4 années restantes du contrat en supprimant les repousses ligneuses,</w:t>
            </w:r>
          </w:p>
          <w:p w:rsidR="0035701C" w:rsidRDefault="00FB561B" w:rsidP="00FB561B">
            <w:pPr>
              <w:numPr>
                <w:ilvl w:val="0"/>
                <w:numId w:val="740"/>
              </w:numPr>
              <w:spacing w:before="0" w:after="0"/>
              <w:ind w:hanging="210"/>
              <w:jc w:val="left"/>
              <w:rPr>
                <w:szCs w:val="24"/>
              </w:rPr>
            </w:pPr>
            <w:r>
              <w:rPr>
                <w:szCs w:val="24"/>
              </w:rPr>
              <w:t xml:space="preserve">ces travaux d’ouverture et d’entretien seront obligatoirement effectués dans la période comprise entre le mois d’octobre et le mois de mars pendant </w:t>
            </w:r>
            <w:r>
              <w:rPr>
                <w:szCs w:val="24"/>
              </w:rPr>
              <w:t>l’hibernation de la tortue d’Hermann et avant la nidification de certains oiseaux (perdrix,….),</w:t>
            </w:r>
          </w:p>
          <w:p w:rsidR="0035701C" w:rsidRDefault="00FB561B" w:rsidP="00FB561B">
            <w:pPr>
              <w:numPr>
                <w:ilvl w:val="0"/>
                <w:numId w:val="740"/>
              </w:numPr>
              <w:spacing w:before="0" w:after="0"/>
              <w:ind w:hanging="210"/>
              <w:jc w:val="left"/>
              <w:rPr>
                <w:szCs w:val="24"/>
              </w:rPr>
            </w:pPr>
            <w:r>
              <w:rPr>
                <w:szCs w:val="24"/>
              </w:rPr>
              <w:t>le recours à un traitement chimique pour éliminer la végétation initiale ou effectuer les entretiens ultérieurs est interdit,</w:t>
            </w:r>
          </w:p>
          <w:p w:rsidR="0035701C" w:rsidRDefault="00FB561B" w:rsidP="00FB561B">
            <w:pPr>
              <w:numPr>
                <w:ilvl w:val="0"/>
                <w:numId w:val="740"/>
              </w:numPr>
              <w:spacing w:before="0" w:after="0"/>
              <w:ind w:hanging="210"/>
              <w:jc w:val="left"/>
              <w:rPr>
                <w:szCs w:val="24"/>
              </w:rPr>
            </w:pPr>
            <w:r>
              <w:rPr>
                <w:szCs w:val="24"/>
              </w:rPr>
              <w:t xml:space="preserve">les interventions de coupes et/ou </w:t>
            </w:r>
            <w:r>
              <w:rPr>
                <w:szCs w:val="24"/>
              </w:rPr>
              <w:t xml:space="preserve">d’élagage sur la strate arborée : </w:t>
            </w:r>
          </w:p>
          <w:p w:rsidR="0035701C" w:rsidRDefault="00FB561B" w:rsidP="00FB561B">
            <w:pPr>
              <w:numPr>
                <w:ilvl w:val="1"/>
                <w:numId w:val="740"/>
              </w:numPr>
              <w:spacing w:before="0" w:after="0"/>
              <w:ind w:hanging="244"/>
              <w:jc w:val="left"/>
              <w:rPr>
                <w:szCs w:val="24"/>
              </w:rPr>
            </w:pPr>
            <w:r>
              <w:rPr>
                <w:szCs w:val="24"/>
              </w:rPr>
              <w:t>doivent être réalisées en hiver, hors période de nidification des oiseaux notamment sur les Zones d’Intérêt Floristique et faunistique (ZICO),</w:t>
            </w:r>
          </w:p>
          <w:p w:rsidR="0035701C" w:rsidRDefault="00FB561B" w:rsidP="00FB561B">
            <w:pPr>
              <w:numPr>
                <w:ilvl w:val="1"/>
                <w:numId w:val="740"/>
              </w:numPr>
              <w:spacing w:before="0" w:after="0"/>
              <w:ind w:hanging="244"/>
              <w:jc w:val="left"/>
              <w:rPr>
                <w:szCs w:val="24"/>
              </w:rPr>
            </w:pPr>
            <w:r>
              <w:rPr>
                <w:szCs w:val="24"/>
              </w:rPr>
              <w:t>les rémanents, ainsi que les bois au sol, doivent être, selon leur taille, soi</w:t>
            </w:r>
            <w:r>
              <w:rPr>
                <w:szCs w:val="24"/>
              </w:rPr>
              <w:t>t exportés, soit broyés sur place</w:t>
            </w:r>
          </w:p>
          <w:p w:rsidR="0035701C" w:rsidRDefault="00FB561B" w:rsidP="00FB561B">
            <w:pPr>
              <w:numPr>
                <w:ilvl w:val="1"/>
                <w:numId w:val="740"/>
              </w:numPr>
              <w:spacing w:before="0" w:after="0"/>
              <w:ind w:hanging="244"/>
              <w:jc w:val="left"/>
              <w:rPr>
                <w:szCs w:val="24"/>
              </w:rPr>
            </w:pPr>
            <w:r>
              <w:rPr>
                <w:szCs w:val="24"/>
              </w:rPr>
              <w:t>le brûlage des rémanents est interdit</w:t>
            </w:r>
          </w:p>
          <w:p w:rsidR="0035701C" w:rsidRDefault="00FB561B" w:rsidP="00FB561B">
            <w:pPr>
              <w:numPr>
                <w:ilvl w:val="1"/>
                <w:numId w:val="740"/>
              </w:numPr>
              <w:spacing w:before="0" w:after="0"/>
              <w:ind w:hanging="244"/>
              <w:jc w:val="left"/>
              <w:rPr>
                <w:szCs w:val="24"/>
              </w:rPr>
            </w:pPr>
            <w:r>
              <w:rPr>
                <w:szCs w:val="24"/>
              </w:rPr>
              <w:t>ces interventions sont réalisées deux fois sur la durée du contrat, sur deux années différentes,</w:t>
            </w:r>
          </w:p>
          <w:p w:rsidR="0035701C" w:rsidRDefault="00FB561B" w:rsidP="00FB561B">
            <w:pPr>
              <w:numPr>
                <w:ilvl w:val="0"/>
                <w:numId w:val="740"/>
              </w:numPr>
              <w:spacing w:before="0" w:after="240"/>
              <w:ind w:hanging="210"/>
              <w:jc w:val="left"/>
              <w:rPr>
                <w:szCs w:val="24"/>
              </w:rPr>
            </w:pPr>
            <w:r>
              <w:rPr>
                <w:szCs w:val="24"/>
              </w:rPr>
              <w:t xml:space="preserve">l’agriculteur doit assurer l’enregistrement des différentes interventions et des </w:t>
            </w:r>
            <w:r>
              <w:rPr>
                <w:szCs w:val="24"/>
              </w:rPr>
              <w:t>pratiques réalisées dans un document normé prévu à cet effet. Ce document sera remis à l’agriculteur à l’issue du diagnostic obligatoire réalisé par le service instructeur</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w:t>
            </w:r>
            <w:r>
              <w:rPr>
                <w:szCs w:val="24"/>
              </w:rPr>
              <w:t>dée pour une durée de 5 ans.</w:t>
            </w:r>
          </w:p>
          <w:p w:rsidR="0035701C" w:rsidRDefault="00FB561B">
            <w:pPr>
              <w:spacing w:before="240" w:after="240"/>
              <w:jc w:val="left"/>
              <w:rPr>
                <w:szCs w:val="24"/>
              </w:rPr>
            </w:pPr>
            <w:r>
              <w:rPr>
                <w:szCs w:val="24"/>
              </w:rPr>
              <w:t>Le montant de la rémunération est en euros/ha/an.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741"/>
              </w:numPr>
              <w:spacing w:before="240" w:after="0"/>
              <w:ind w:hanging="210"/>
              <w:jc w:val="left"/>
              <w:rPr>
                <w:szCs w:val="24"/>
              </w:rPr>
            </w:pPr>
            <w:r>
              <w:rPr>
                <w:szCs w:val="24"/>
              </w:rPr>
              <w:t xml:space="preserve">les exigences établies en vertu de l’article 93 du Titre VI du </w:t>
            </w:r>
            <w:r>
              <w:rPr>
                <w:szCs w:val="24"/>
              </w:rPr>
              <w:t>règlement UE n° 1306/2013 relatif à la conditionnalité,</w:t>
            </w:r>
          </w:p>
          <w:p w:rsidR="0035701C" w:rsidRDefault="00FB561B" w:rsidP="00FB561B">
            <w:pPr>
              <w:numPr>
                <w:ilvl w:val="0"/>
                <w:numId w:val="741"/>
              </w:numPr>
              <w:spacing w:before="0" w:after="0"/>
              <w:ind w:hanging="210"/>
              <w:jc w:val="left"/>
              <w:rPr>
                <w:szCs w:val="24"/>
              </w:rPr>
            </w:pPr>
            <w:r>
              <w:rPr>
                <w:szCs w:val="24"/>
              </w:rPr>
              <w:t>les exigences établies en vertu de l’article 4.1c points ii) et iii) du règlement UE n°1307/2013 relatif à l’état d’entretien minimum des surfaces</w:t>
            </w:r>
          </w:p>
          <w:p w:rsidR="0035701C" w:rsidRDefault="00FB561B" w:rsidP="00FB561B">
            <w:pPr>
              <w:numPr>
                <w:ilvl w:val="0"/>
                <w:numId w:val="741"/>
              </w:numPr>
              <w:spacing w:before="0" w:after="240"/>
              <w:ind w:hanging="210"/>
              <w:jc w:val="left"/>
              <w:rPr>
                <w:szCs w:val="24"/>
              </w:rPr>
            </w:pPr>
            <w:r>
              <w:rPr>
                <w:szCs w:val="24"/>
              </w:rPr>
              <w:t>toute autre exigence pertinente établie par la réglem</w:t>
            </w:r>
            <w:r>
              <w:rPr>
                <w:szCs w:val="24"/>
              </w:rPr>
              <w:t>entation nationale, tel le Code des Bonnes Pratiques Agricoles pris par arrêté du 22 novembre 1993</w:t>
            </w:r>
          </w:p>
          <w:p w:rsidR="0035701C" w:rsidRDefault="00FB561B">
            <w:pPr>
              <w:spacing w:before="240" w:after="240"/>
              <w:jc w:val="left"/>
              <w:rPr>
                <w:szCs w:val="24"/>
              </w:rPr>
            </w:pPr>
            <w:r>
              <w:rPr>
                <w:szCs w:val="24"/>
              </w:rPr>
              <w:t>Ces éléments sont détaillés au paragraphe « Information spécifique à l’opération – Description de la ligne de base » de la présente fiche-opération.</w:t>
            </w:r>
          </w:p>
          <w:p w:rsidR="0035701C" w:rsidRDefault="00FB561B">
            <w:pPr>
              <w:spacing w:before="240" w:after="240"/>
              <w:jc w:val="left"/>
              <w:rPr>
                <w:szCs w:val="24"/>
              </w:rPr>
            </w:pPr>
            <w:r>
              <w:rPr>
                <w:szCs w:val="24"/>
              </w:rPr>
              <w:t>Afin d’e</w:t>
            </w:r>
            <w:r>
              <w:rPr>
                <w:szCs w:val="24"/>
              </w:rPr>
              <w:t>xclure tout double paiement, les pratiques visées à l’article 43 du règlement UE n° 1307/2013 sont prises en compte dans le calcul des surcoûts et manques à gagner. La méthode de calcul est détaillée au paragraphe « Information spécifique à l’opération – M</w:t>
            </w:r>
            <w:r>
              <w:rPr>
                <w:szCs w:val="24"/>
              </w:rPr>
              <w:t>éthode de calcul du montant » de la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coûts éligibles sont les surcoûts, manques à gagner et éventuels coûts d’opportunité et </w:t>
            </w:r>
            <w:r>
              <w:rPr>
                <w:szCs w:val="24"/>
              </w:rPr>
              <w:t>de transaction générés par le respect des éléments contractualisés.</w:t>
            </w:r>
          </w:p>
          <w:p w:rsidR="0035701C" w:rsidRDefault="00FB561B">
            <w:pPr>
              <w:spacing w:before="240" w:after="240"/>
              <w:jc w:val="left"/>
              <w:rPr>
                <w:szCs w:val="24"/>
              </w:rPr>
            </w:pPr>
            <w:r>
              <w:rPr>
                <w:szCs w:val="24"/>
              </w:rPr>
              <w:t>Dans le cas de cette opération, sont pris en compte uniquement des surcoûts.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La réalisation d’un diagnostic d’exploitation préalable à la souscription de cette</w:t>
            </w:r>
            <w:r>
              <w:rPr>
                <w:b/>
                <w:bCs/>
                <w:szCs w:val="24"/>
              </w:rPr>
              <w:t xml:space="preserve"> opération est obligatoire.</w:t>
            </w:r>
          </w:p>
          <w:p w:rsidR="0035701C" w:rsidRDefault="00FB561B">
            <w:pPr>
              <w:spacing w:before="240" w:after="240"/>
              <w:jc w:val="left"/>
              <w:rPr>
                <w:szCs w:val="24"/>
              </w:rPr>
            </w:pPr>
            <w:r>
              <w:rPr>
                <w:b/>
                <w:bCs/>
                <w:i/>
                <w:iCs/>
                <w:szCs w:val="24"/>
              </w:rPr>
              <w:t>Surfaces éligibles:</w:t>
            </w:r>
            <w:r>
              <w:rPr>
                <w:szCs w:val="24"/>
              </w:rPr>
              <w:t xml:space="preserve"> Vergers d’oliviers, de châtaigniers ou autres vergers non productifs et mécanisables.</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 </w:t>
            </w:r>
            <w:r>
              <w:rPr>
                <w:szCs w:val="24"/>
              </w:rPr>
              <w:t>taux d’aide publique est de 100 %.</w:t>
            </w:r>
          </w:p>
          <w:p w:rsidR="0035701C" w:rsidRDefault="00FB561B">
            <w:pPr>
              <w:spacing w:before="240" w:after="240"/>
              <w:jc w:val="left"/>
              <w:rPr>
                <w:szCs w:val="24"/>
              </w:rPr>
            </w:pPr>
            <w:r>
              <w:rPr>
                <w:szCs w:val="24"/>
              </w:rPr>
              <w:t xml:space="preserve">Le montant de l’aide est de </w:t>
            </w:r>
            <w:r>
              <w:rPr>
                <w:b/>
                <w:bCs/>
                <w:szCs w:val="24"/>
              </w:rPr>
              <w:t>444,79</w:t>
            </w:r>
            <w:r>
              <w:rPr>
                <w:szCs w:val="24"/>
              </w:rPr>
              <w:t xml:space="preserve"> </w:t>
            </w:r>
            <w:r>
              <w:rPr>
                <w:b/>
                <w:bCs/>
                <w:szCs w:val="24"/>
              </w:rPr>
              <w:t>€ /ha/an</w:t>
            </w:r>
            <w:r>
              <w:rPr>
                <w:szCs w:val="24"/>
              </w:rPr>
              <w:t xml:space="preserve">, auquel vient s’ajouter une somme forfaitaire de </w:t>
            </w:r>
            <w:r>
              <w:rPr>
                <w:b/>
                <w:bCs/>
                <w:szCs w:val="24"/>
              </w:rPr>
              <w:t>57,18 €/an</w:t>
            </w:r>
            <w:r>
              <w:rPr>
                <w:szCs w:val="24"/>
              </w:rPr>
              <w:t xml:space="preserve"> liée à l’enregistrement des pratiques et des interventions.</w:t>
            </w:r>
          </w:p>
          <w:p w:rsidR="0035701C" w:rsidRDefault="00FB561B">
            <w:pPr>
              <w:spacing w:before="240" w:after="240"/>
              <w:jc w:val="left"/>
              <w:rPr>
                <w:szCs w:val="24"/>
              </w:rPr>
            </w:pPr>
            <w:r>
              <w:rPr>
                <w:szCs w:val="24"/>
              </w:rPr>
              <w:t xml:space="preserve">Il est rappelé que le plafond communautaire pour ce type </w:t>
            </w:r>
            <w:r>
              <w:rPr>
                <w:szCs w:val="24"/>
              </w:rPr>
              <w:t>de couvert (cultures pérennes spécialisées) est de 900 €/ha/an (incluant le forfait annuel).</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Cf. </w:t>
            </w:r>
            <w:r>
              <w:rPr>
                <w:szCs w:val="24"/>
              </w:rPr>
              <w:t>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Détermination et définition des éléments du niveau de référence applicable, qui doivent inclure les normes obligatoires établies en application du titre VI, chap</w:t>
      </w:r>
      <w:r>
        <w:t>itre I, du règlement (UE) n° 1306/2013 du Parlement européen et du Conseil, les critères pertinents et les activités minimales établies en application de l'article 4, paragraphe 1, point c) ii) et c) iii), du règlement (UE) n° 1307/2013 du Parlement europé</w:t>
      </w:r>
      <w:r>
        <w:t>en et du Conseil, les exigences minimales applicables à l'utilisation des engrais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Dans cette opération, il n’y a aucune in</w:t>
            </w:r>
            <w:r>
              <w:rPr>
                <w:szCs w:val="24"/>
              </w:rPr>
              <w:t>teraction avec les différents éléments réglementaires décrits dans la section 8.1 du présent programme.</w:t>
            </w:r>
          </w:p>
          <w:p w:rsidR="0035701C" w:rsidRDefault="00FB561B">
            <w:pPr>
              <w:spacing w:before="240" w:after="240"/>
              <w:jc w:val="left"/>
              <w:rPr>
                <w:szCs w:val="24"/>
              </w:rPr>
            </w:pPr>
            <w:r>
              <w:rPr>
                <w:szCs w:val="24"/>
              </w:rPr>
              <w:t>Si les pratiques rémunérées au titre de la présente opération sont rendues obligatoires sur des zones au titre de la protection de la biodiversité (nota</w:t>
            </w:r>
            <w:r>
              <w:rPr>
                <w:szCs w:val="24"/>
              </w:rPr>
              <w:t>mment des zones classées au titre des réserves naturelles des arrêtés de protection de biotopes), celle-ci ne peut être ouverte sur les zones concernées.</w:t>
            </w:r>
          </w:p>
          <w:p w:rsidR="0035701C" w:rsidRDefault="0035701C">
            <w:pPr>
              <w:pStyle w:val="Corpsdetexte"/>
            </w:pPr>
          </w:p>
        </w:tc>
      </w:tr>
    </w:tbl>
    <w:p w:rsidR="0035701C" w:rsidRDefault="00FB561B">
      <w:r>
        <w:t xml:space="preserve">Les exigences minimales relatives à l'utilisation d'engrais doivent comprendre, entre autres, le </w:t>
      </w:r>
      <w:r>
        <w:t>respect des codes de bonnes pratiques introduits au titre de la directive 91/676/CEE pour les exploitations situées en dehors des zones vulnérables aux nitrates, et des exigences concernant la pollution au phosphore; les exigences minimales relatives à l'u</w:t>
      </w:r>
      <w:r>
        <w:t>tilisation de produits phytosanitaires doivent comprendre, entre autres, les principes généraux de la lutte intégrée contre les ennemis des cultures introduits par la directive 2009/128/CE du Parlement européen et du Conseil, l’obligation de détenir une au</w:t>
      </w:r>
      <w:r>
        <w:t>torisation d’utiliser les produits, de satisfaire aux conditions de formation, d’assurer un stockage sûr et de contrôler les équipements destinés à l’épandage ainsi que les règles relatives à l’utilisation de pesticides à proximité d’étendues d’eau et d’au</w:t>
      </w:r>
      <w:r>
        <w:t>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Liste des races locales qui sont menacées d’être perdues pour l’agriculture et des ressources génétiques végétales qui son</w:t>
      </w:r>
      <w:r>
        <w:t>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préservation des ressources génétiques.</w:t>
            </w:r>
          </w:p>
          <w:p w:rsidR="0035701C" w:rsidRDefault="0035701C">
            <w:pPr>
              <w:pStyle w:val="Corpsdetexte"/>
            </w:pPr>
          </w:p>
        </w:tc>
      </w:tr>
    </w:tbl>
    <w:p w:rsidR="0035701C" w:rsidRDefault="00FB561B">
      <w:r>
        <w:t>Description de la méthode et des hypothèses et paramètres agronomiques y compris la description des exigences minimales visées à l'article 29, parag</w:t>
      </w:r>
      <w:r>
        <w:t xml:space="preserve">raphe 2, du règlement (UE) n° 1305/2013 correspondant à chaque type particulier d'engagement, utilisés comme référence pour les calculs justifiant les coûts supplémentaires et les pertes de revenus résultant de l’engagement pris et le niveau des coûts des </w:t>
      </w:r>
      <w:r>
        <w:t>transactions; le cas échéant, cette méthode tient compte des aides accordées au titre du règlement (UE) n° 1307/2013, et notamment des paiements en faveur des pratiques agricoles bénéfiques pour le climat et l’environnement, afin d’exclure un double financ</w:t>
      </w:r>
      <w:r>
        <w:t>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Pratiques de référence </w:t>
            </w:r>
            <w:r>
              <w:rPr>
                <w:szCs w:val="24"/>
              </w:rPr>
              <w:t>: ces vergers peu ou pas productifs ne sont pas entretenus du fait de leur abandon</w:t>
            </w:r>
          </w:p>
          <w:p w:rsidR="0035701C" w:rsidRDefault="00FB561B">
            <w:pPr>
              <w:spacing w:before="240" w:after="240"/>
              <w:jc w:val="left"/>
              <w:rPr>
                <w:szCs w:val="24"/>
              </w:rPr>
            </w:pPr>
            <w:r>
              <w:rPr>
                <w:b/>
                <w:bCs/>
                <w:i/>
                <w:iCs/>
                <w:szCs w:val="24"/>
              </w:rPr>
              <w:t>Prise en compte du verdisseme</w:t>
            </w:r>
            <w:r>
              <w:rPr>
                <w:b/>
                <w:bCs/>
                <w:i/>
                <w:iCs/>
                <w:szCs w:val="24"/>
              </w:rPr>
              <w:t xml:space="preserve">nt : </w:t>
            </w:r>
            <w:r>
              <w:rPr>
                <w:szCs w:val="24"/>
              </w:rPr>
              <w:t>afin d’exclure tout double paiement, les pratiques rémunérées au titre du verdissement sont prises en compte de la façon suivante dans le calcul du montant unitaire de cette opération :</w:t>
            </w:r>
          </w:p>
          <w:p w:rsidR="0035701C" w:rsidRDefault="00FB561B" w:rsidP="00FB561B">
            <w:pPr>
              <w:numPr>
                <w:ilvl w:val="0"/>
                <w:numId w:val="742"/>
              </w:numPr>
              <w:spacing w:before="240" w:after="0"/>
              <w:ind w:hanging="210"/>
              <w:jc w:val="left"/>
              <w:rPr>
                <w:szCs w:val="24"/>
              </w:rPr>
            </w:pPr>
            <w:r>
              <w:rPr>
                <w:szCs w:val="24"/>
              </w:rPr>
              <w:t xml:space="preserve">maintien de prairies permanentes existantes : cette exigence n’a </w:t>
            </w:r>
            <w:r>
              <w:rPr>
                <w:szCs w:val="24"/>
              </w:rPr>
              <w:t>pas d’interaction avec cette opération,</w:t>
            </w:r>
          </w:p>
          <w:p w:rsidR="0035701C" w:rsidRDefault="00FB561B" w:rsidP="00FB561B">
            <w:pPr>
              <w:numPr>
                <w:ilvl w:val="0"/>
                <w:numId w:val="742"/>
              </w:numPr>
              <w:spacing w:before="0" w:after="0"/>
              <w:ind w:hanging="210"/>
              <w:jc w:val="left"/>
              <w:rPr>
                <w:szCs w:val="24"/>
              </w:rPr>
            </w:pPr>
            <w:r>
              <w:rPr>
                <w:szCs w:val="24"/>
              </w:rPr>
              <w:t>présence de 5 % de SIE (Surfaces d’Intérêt Ecologique) sur les terres arables : cette exigence n’a pas d’interaction avec cette opération,</w:t>
            </w:r>
          </w:p>
          <w:p w:rsidR="0035701C" w:rsidRDefault="00FB561B" w:rsidP="00FB561B">
            <w:pPr>
              <w:numPr>
                <w:ilvl w:val="0"/>
                <w:numId w:val="742"/>
              </w:numPr>
              <w:spacing w:before="0" w:after="240"/>
              <w:ind w:hanging="210"/>
              <w:jc w:val="left"/>
              <w:rPr>
                <w:szCs w:val="24"/>
              </w:rPr>
            </w:pPr>
            <w:r>
              <w:rPr>
                <w:szCs w:val="24"/>
              </w:rPr>
              <w:t xml:space="preserve">diversification des cultures : cette exigence n’a pas d’interaction avec </w:t>
            </w:r>
            <w:r>
              <w:rPr>
                <w:szCs w:val="24"/>
              </w:rPr>
              <w:t>cette opération.</w:t>
            </w:r>
          </w:p>
          <w:p w:rsidR="0035701C" w:rsidRDefault="00FB561B">
            <w:pPr>
              <w:spacing w:before="240" w:after="240"/>
              <w:jc w:val="left"/>
              <w:rPr>
                <w:szCs w:val="24"/>
              </w:rPr>
            </w:pPr>
            <w:r>
              <w:rPr>
                <w:b/>
                <w:bCs/>
                <w:i/>
                <w:iCs/>
                <w:szCs w:val="24"/>
              </w:rPr>
              <w:t>Méthode générale de calcul du montant :</w:t>
            </w:r>
            <w:r>
              <w:rPr>
                <w:szCs w:val="24"/>
              </w:rPr>
              <w:t xml:space="preserve"> le montant de l’aide est calculé sur la base de l’utilisation du matériel et du temps de travail supplémentaires nécessaires pour l’entretien des strates arbustive et arborée exigé par cet engagement</w:t>
            </w:r>
            <w:r>
              <w:rPr>
                <w:szCs w:val="24"/>
              </w:rPr>
              <w:t xml:space="preserve"> et dépassant le cadre de la conditionnalité. Le surcoût lié au temps d’enregistrement des interventions et des pratiques est rémunéré sous forme forfaitaire indépendamment de la surface engagée. Il n’y a pas, dans cette opération, de coût de transaction.</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743"/>
              </w:numPr>
              <w:spacing w:before="240" w:after="0"/>
              <w:ind w:hanging="210"/>
              <w:jc w:val="left"/>
              <w:rPr>
                <w:szCs w:val="24"/>
              </w:rPr>
            </w:pPr>
            <w:r>
              <w:rPr>
                <w:szCs w:val="24"/>
              </w:rPr>
              <w:t xml:space="preserve">coût du matériel : </w:t>
            </w:r>
            <w:r>
              <w:rPr>
                <w:i/>
                <w:iCs/>
                <w:szCs w:val="24"/>
              </w:rPr>
              <w:t>Bureau de Coordination du Machinisme Agricole (BCMA), barème des façons culturales</w:t>
            </w:r>
            <w:r>
              <w:rPr>
                <w:szCs w:val="24"/>
              </w:rPr>
              <w:t xml:space="preserve"> </w:t>
            </w:r>
            <w:r>
              <w:rPr>
                <w:i/>
                <w:iCs/>
                <w:szCs w:val="24"/>
              </w:rPr>
              <w:t>2014</w:t>
            </w:r>
          </w:p>
          <w:p w:rsidR="0035701C" w:rsidRDefault="00FB561B" w:rsidP="00FB561B">
            <w:pPr>
              <w:numPr>
                <w:ilvl w:val="0"/>
                <w:numId w:val="743"/>
              </w:numPr>
              <w:spacing w:before="0" w:after="0"/>
              <w:ind w:hanging="210"/>
              <w:jc w:val="left"/>
              <w:rPr>
                <w:szCs w:val="24"/>
              </w:rPr>
            </w:pPr>
            <w:r>
              <w:rPr>
                <w:szCs w:val="24"/>
              </w:rPr>
              <w:t xml:space="preserve">temps de travail : </w:t>
            </w:r>
            <w:r>
              <w:rPr>
                <w:i/>
                <w:iCs/>
                <w:szCs w:val="24"/>
              </w:rPr>
              <w:t>références d’entreprises locales de débroussaillement ou issues du réseau régional d’expérimentations fourragè</w:t>
            </w:r>
            <w:r>
              <w:rPr>
                <w:i/>
                <w:iCs/>
                <w:szCs w:val="24"/>
              </w:rPr>
              <w:t>res et de démonstrations (Office du Développement Agricole et Rural de Corse et Office de l’Environnement de la Corse)</w:t>
            </w:r>
          </w:p>
          <w:p w:rsidR="0035701C" w:rsidRDefault="00FB561B" w:rsidP="00FB561B">
            <w:pPr>
              <w:numPr>
                <w:ilvl w:val="0"/>
                <w:numId w:val="743"/>
              </w:numPr>
              <w:spacing w:before="0" w:after="240"/>
              <w:ind w:hanging="210"/>
              <w:jc w:val="left"/>
              <w:rPr>
                <w:szCs w:val="24"/>
              </w:rPr>
            </w:pPr>
            <w:r>
              <w:rPr>
                <w:szCs w:val="24"/>
              </w:rPr>
              <w:t xml:space="preserve">coût horaire de main d’œuvre : </w:t>
            </w:r>
            <w:r>
              <w:rPr>
                <w:i/>
                <w:iCs/>
                <w:szCs w:val="24"/>
              </w:rPr>
              <w:t>2 fois le coût horaire du SMIC (1er janvier 2014)</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267450" cy="5305425"/>
                  <wp:effectExtent l="0" t="0" r="0" b="0"/>
                  <wp:docPr id="100174" name="Image 100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5" name=""/>
                          <pic:cNvPicPr>
                            <a:picLocks noChangeAspect="1"/>
                          </pic:cNvPicPr>
                        </pic:nvPicPr>
                        <pic:blipFill>
                          <a:blip r:embed="rId99"/>
                          <a:stretch>
                            <a:fillRect/>
                          </a:stretch>
                        </pic:blipFill>
                        <pic:spPr>
                          <a:xfrm>
                            <a:off x="0" y="0"/>
                            <a:ext cx="6267450" cy="5305425"/>
                          </a:xfrm>
                          <a:prstGeom prst="rect">
                            <a:avLst/>
                          </a:prstGeom>
                        </pic:spPr>
                      </pic:pic>
                    </a:graphicData>
                  </a:graphic>
                </wp:inline>
              </w:drawing>
            </w:r>
          </w:p>
          <w:p w:rsidR="0035701C" w:rsidRDefault="00FB561B">
            <w:pPr>
              <w:pStyle w:val="Pieddepage"/>
              <w:jc w:val="center"/>
            </w:pPr>
            <w:r>
              <w:t>Prébois_4</w:t>
            </w:r>
          </w:p>
          <w:p w:rsidR="0035701C" w:rsidRDefault="0035701C">
            <w:pPr>
              <w:pStyle w:val="Pieddepage"/>
              <w:jc w:val="center"/>
            </w:pPr>
          </w:p>
        </w:tc>
      </w:tr>
    </w:tbl>
    <w:p w:rsidR="0035701C" w:rsidRDefault="00FB561B">
      <w:pPr>
        <w:pStyle w:val="Titre5"/>
        <w:rPr>
          <w:b w:val="0"/>
        </w:rPr>
      </w:pPr>
      <w:r>
        <w:rPr>
          <w:b w:val="0"/>
        </w:rPr>
        <w:br w:type="page"/>
        <w:t>-23- Prébois_5</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744"/>
              </w:numPr>
            </w:pPr>
            <w:r>
              <w:t xml:space="preserve">10.1 – </w:t>
            </w:r>
            <w:r>
              <w:t>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PREBOIS 5 =  Protéger et conserver les espaces boisés mécanisables pâturables et pâturés, dans les exploitations agricoles.</w:t>
            </w:r>
          </w:p>
          <w:p w:rsidR="0035701C" w:rsidRDefault="00FB561B">
            <w:pPr>
              <w:spacing w:before="240" w:after="240"/>
              <w:jc w:val="left"/>
              <w:rPr>
                <w:szCs w:val="24"/>
              </w:rPr>
            </w:pPr>
            <w:r>
              <w:rPr>
                <w:szCs w:val="24"/>
              </w:rPr>
              <w:t xml:space="preserve">Les </w:t>
            </w:r>
            <w:r>
              <w:rPr>
                <w:szCs w:val="24"/>
              </w:rPr>
              <w:t>espaces boisés mécanisables, situés sur des pentes inférieures à 15%, et dans lesquels est pratiqué du pastoralisme sont des espaces agricoles où le couvert arboré est compris entre 100 et 200 arbres/ha (ce n'est donc pas de la forêt) mais dont le sous-boi</w:t>
            </w:r>
            <w:r>
              <w:rPr>
                <w:szCs w:val="24"/>
              </w:rPr>
              <w:t>s est accessible par les animaux et peut offrir, à certaines périodes de l’année, des ressources fourragères herbacées et/ou ligneuses (jeunes feuilles, tiges et fruits).</w:t>
            </w:r>
          </w:p>
          <w:p w:rsidR="0035701C" w:rsidRDefault="00FB561B">
            <w:pPr>
              <w:spacing w:before="240" w:after="240"/>
              <w:jc w:val="left"/>
              <w:rPr>
                <w:szCs w:val="24"/>
              </w:rPr>
            </w:pPr>
            <w:r>
              <w:rPr>
                <w:szCs w:val="24"/>
              </w:rPr>
              <w:t xml:space="preserve">Ces espaces boisés, typiquement méditerranéens que l’on trouve à altitude moyenne et </w:t>
            </w:r>
            <w:r>
              <w:rPr>
                <w:szCs w:val="24"/>
              </w:rPr>
              <w:t>en bord de mer sont composés de différents types de formations végétales : châtaigneraies de moyenne montagne, yeuseraies et suberaies de plaine ou de colline, résineux de plaine à pin maritime, toutes ces espèces sont reconnues d’intérêt communautaire par</w:t>
            </w:r>
            <w:r>
              <w:rPr>
                <w:szCs w:val="24"/>
              </w:rPr>
              <w:t xml:space="preserve"> la directive 92/43/CEE (habitat). Ces formations se sont établies sur d’anciennes terrasses agricoles autrefois cultivées.</w:t>
            </w:r>
          </w:p>
          <w:p w:rsidR="0035701C" w:rsidRDefault="00FB561B">
            <w:pPr>
              <w:spacing w:before="240" w:after="240"/>
              <w:jc w:val="left"/>
              <w:rPr>
                <w:szCs w:val="24"/>
              </w:rPr>
            </w:pPr>
            <w:r>
              <w:rPr>
                <w:szCs w:val="24"/>
              </w:rPr>
              <w:t>La reconquête par l’agriculture de la plaine et du piémont, a limité la progression naturelle de ces espaces boisés que l’on retrouv</w:t>
            </w:r>
            <w:r>
              <w:rPr>
                <w:szCs w:val="24"/>
              </w:rPr>
              <w:t>e désormais aux abords des espaces agricoles. Leur préservation  par l’agriculteur repose sur une politique volontariste de structuration et d’aménagement du paysage à des fins d’accessibilité, de potentialité agraire ou pastorale, et contribue ainsi à lim</w:t>
            </w:r>
            <w:r>
              <w:rPr>
                <w:szCs w:val="24"/>
              </w:rPr>
              <w:t>iter le risque qu’ils ne subissent des dommages lors des incendies.</w:t>
            </w:r>
          </w:p>
          <w:p w:rsidR="0035701C" w:rsidRDefault="00FB561B">
            <w:pPr>
              <w:spacing w:before="240" w:after="240"/>
              <w:jc w:val="left"/>
              <w:rPr>
                <w:szCs w:val="24"/>
              </w:rPr>
            </w:pPr>
            <w:r>
              <w:rPr>
                <w:szCs w:val="24"/>
              </w:rPr>
              <w:t>Cet engagement vise à protéger et à conserver ces espaces boisés au sein des exploitations pastorales, ce qui non seulement contribue à la qualité paysagère, au bien être animal (ombre..),</w:t>
            </w:r>
            <w:r>
              <w:rPr>
                <w:szCs w:val="24"/>
              </w:rPr>
              <w:t xml:space="preserve"> à la protection des espèces animales inféodées à ces milieux (insectes, milan royal, mésanges…), mais aussi à rendre accessible la ressource alimentaire qu’ils procurent (feuillage, fruits tels les glands ou les châtaignes…).</w:t>
            </w:r>
          </w:p>
          <w:p w:rsidR="0035701C" w:rsidRDefault="00FB561B">
            <w:pPr>
              <w:spacing w:before="240" w:after="240"/>
              <w:jc w:val="left"/>
              <w:rPr>
                <w:szCs w:val="24"/>
              </w:rPr>
            </w:pPr>
            <w:r>
              <w:rPr>
                <w:b/>
                <w:bCs/>
                <w:i/>
                <w:iCs/>
                <w:szCs w:val="24"/>
              </w:rPr>
              <w:t>Cahier des charges</w:t>
            </w:r>
            <w:r>
              <w:rPr>
                <w:szCs w:val="24"/>
              </w:rPr>
              <w:t> :</w:t>
            </w:r>
          </w:p>
          <w:p w:rsidR="0035701C" w:rsidRDefault="00FB561B" w:rsidP="00FB561B">
            <w:pPr>
              <w:numPr>
                <w:ilvl w:val="0"/>
                <w:numId w:val="745"/>
              </w:numPr>
              <w:spacing w:before="240" w:after="0"/>
              <w:ind w:hanging="210"/>
              <w:jc w:val="left"/>
              <w:rPr>
                <w:szCs w:val="24"/>
              </w:rPr>
            </w:pPr>
            <w:r>
              <w:rPr>
                <w:szCs w:val="24"/>
              </w:rPr>
              <w:t>la premi</w:t>
            </w:r>
            <w:r>
              <w:rPr>
                <w:szCs w:val="24"/>
              </w:rPr>
              <w:t>ère année du contrat l’agriculteur doit girobroyer la strate arbustive sur l’ensemble de la parcelle puis effectuer un entretien annuel par broyage les années suivantes.</w:t>
            </w:r>
          </w:p>
          <w:p w:rsidR="0035701C" w:rsidRDefault="00FB561B" w:rsidP="00FB561B">
            <w:pPr>
              <w:numPr>
                <w:ilvl w:val="0"/>
                <w:numId w:val="745"/>
              </w:numPr>
              <w:spacing w:before="0" w:after="0"/>
              <w:ind w:hanging="210"/>
              <w:jc w:val="left"/>
              <w:rPr>
                <w:szCs w:val="24"/>
              </w:rPr>
            </w:pPr>
            <w:r>
              <w:rPr>
                <w:szCs w:val="24"/>
              </w:rPr>
              <w:t>les travaux d’ouverture et d’entretien doivent être effectués dans la période comprise</w:t>
            </w:r>
            <w:r>
              <w:rPr>
                <w:szCs w:val="24"/>
              </w:rPr>
              <w:t xml:space="preserve"> entre le mois d’octobre et le mois de mars pendant l’hibernation de la tortue d’Hermann et avant la nidification de certains oiseaux (perdrix,….)</w:t>
            </w:r>
          </w:p>
          <w:p w:rsidR="0035701C" w:rsidRDefault="00FB561B" w:rsidP="00FB561B">
            <w:pPr>
              <w:numPr>
                <w:ilvl w:val="0"/>
                <w:numId w:val="745"/>
              </w:numPr>
              <w:spacing w:before="0" w:after="0"/>
              <w:ind w:hanging="210"/>
              <w:jc w:val="left"/>
              <w:rPr>
                <w:szCs w:val="24"/>
              </w:rPr>
            </w:pPr>
            <w:r>
              <w:rPr>
                <w:szCs w:val="24"/>
              </w:rPr>
              <w:t>les interventions de coupes et/ou d’élagage sur la strate arborée doivent être réalisées en hiver, hors pério</w:t>
            </w:r>
            <w:r>
              <w:rPr>
                <w:szCs w:val="24"/>
              </w:rPr>
              <w:t>de de nidification des oiseaux notamment sur les Zones d’Intérêt Floristique et faunistique (ZICO). Les rémanents, ainsi que les bois morts  au sol, doivent être, selon leur taille, soit exportés, soit broyés sur place. Leur brûlage est interdit. Ces inter</w:t>
            </w:r>
            <w:r>
              <w:rPr>
                <w:szCs w:val="24"/>
              </w:rPr>
              <w:t>ventions sont réalisées deux années différentes sur la durée du contrat.</w:t>
            </w:r>
          </w:p>
          <w:p w:rsidR="0035701C" w:rsidRDefault="00FB561B" w:rsidP="00FB561B">
            <w:pPr>
              <w:numPr>
                <w:ilvl w:val="0"/>
                <w:numId w:val="745"/>
              </w:numPr>
              <w:spacing w:before="0" w:after="0"/>
              <w:ind w:hanging="210"/>
              <w:jc w:val="left"/>
              <w:rPr>
                <w:szCs w:val="24"/>
              </w:rPr>
            </w:pPr>
            <w:r>
              <w:rPr>
                <w:szCs w:val="24"/>
              </w:rPr>
              <w:t>l’utilisation de produits herbicides ou de fertilisants est interdite</w:t>
            </w:r>
          </w:p>
          <w:p w:rsidR="0035701C" w:rsidRDefault="00FB561B" w:rsidP="00FB561B">
            <w:pPr>
              <w:numPr>
                <w:ilvl w:val="0"/>
                <w:numId w:val="745"/>
              </w:numPr>
              <w:spacing w:before="0" w:after="240"/>
              <w:ind w:hanging="210"/>
              <w:jc w:val="left"/>
              <w:rPr>
                <w:szCs w:val="24"/>
              </w:rPr>
            </w:pPr>
            <w:r>
              <w:rPr>
                <w:szCs w:val="24"/>
              </w:rPr>
              <w:t>l’agriculteur doit assurer l’enregistrement des différentes interventions et des pratiques réalisées dans un docu</w:t>
            </w:r>
            <w:r>
              <w:rPr>
                <w:szCs w:val="24"/>
              </w:rPr>
              <w:t>ment normé prévu à cet effet. Ce document sera remis à l’agriculteur à l’issue du diagnostic obligatoire réalisé par le service instructeur.</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w:t>
            </w:r>
            <w:r>
              <w:rPr>
                <w:szCs w:val="24"/>
              </w:rPr>
              <w:t xml:space="preserve"> montant de la rémunération est en euros / ha /an.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746"/>
              </w:numPr>
              <w:spacing w:before="240" w:after="0"/>
              <w:ind w:hanging="210"/>
              <w:jc w:val="left"/>
              <w:rPr>
                <w:szCs w:val="24"/>
              </w:rPr>
            </w:pPr>
            <w:r>
              <w:rPr>
                <w:szCs w:val="24"/>
              </w:rPr>
              <w:t>les exigences établies en vertu de l’article 93 du Titre VI du règlement UE n° 1306/2013 relatif à</w:t>
            </w:r>
            <w:r>
              <w:rPr>
                <w:szCs w:val="24"/>
              </w:rPr>
              <w:t xml:space="preserve"> la conditionnalité,</w:t>
            </w:r>
          </w:p>
          <w:p w:rsidR="0035701C" w:rsidRDefault="00FB561B" w:rsidP="00FB561B">
            <w:pPr>
              <w:numPr>
                <w:ilvl w:val="0"/>
                <w:numId w:val="746"/>
              </w:numPr>
              <w:spacing w:before="0" w:after="0"/>
              <w:ind w:hanging="210"/>
              <w:jc w:val="left"/>
              <w:rPr>
                <w:szCs w:val="24"/>
              </w:rPr>
            </w:pPr>
            <w:r>
              <w:rPr>
                <w:szCs w:val="24"/>
              </w:rPr>
              <w:t>les exigences établies en vertu de l’article 4.1c points ii) et iii) du règlement UE n°1307/2013 relatif à l’état d’entretien minimum des surfaces</w:t>
            </w:r>
          </w:p>
          <w:p w:rsidR="0035701C" w:rsidRDefault="00FB561B" w:rsidP="00FB561B">
            <w:pPr>
              <w:numPr>
                <w:ilvl w:val="0"/>
                <w:numId w:val="746"/>
              </w:numPr>
              <w:spacing w:before="0" w:after="240"/>
              <w:ind w:hanging="210"/>
              <w:jc w:val="left"/>
              <w:rPr>
                <w:szCs w:val="24"/>
              </w:rPr>
            </w:pPr>
            <w:r>
              <w:rPr>
                <w:szCs w:val="24"/>
              </w:rPr>
              <w:t>toute autre exigence pertinente établie par la réglementation nationale, tel le Code des</w:t>
            </w:r>
            <w:r>
              <w:rPr>
                <w:szCs w:val="24"/>
              </w:rPr>
              <w:t xml:space="preserve"> Bonnes Pratiques Agricoles pris par arrêté du 22 novembre 1993</w:t>
            </w:r>
          </w:p>
          <w:p w:rsidR="0035701C" w:rsidRDefault="00FB561B">
            <w:pPr>
              <w:spacing w:before="240" w:after="240"/>
              <w:jc w:val="left"/>
              <w:rPr>
                <w:szCs w:val="24"/>
              </w:rPr>
            </w:pPr>
            <w:r>
              <w:rPr>
                <w:szCs w:val="24"/>
              </w:rPr>
              <w:t>Ces éléments sont détaillés au paragraphe « Information spécifique à l’opération – Description de la ligne de base » de la présente fiche-opération.</w:t>
            </w:r>
          </w:p>
          <w:p w:rsidR="0035701C" w:rsidRDefault="00FB561B">
            <w:pPr>
              <w:spacing w:before="240" w:after="240"/>
              <w:jc w:val="left"/>
              <w:rPr>
                <w:szCs w:val="24"/>
              </w:rPr>
            </w:pPr>
            <w:r>
              <w:rPr>
                <w:szCs w:val="24"/>
              </w:rPr>
              <w:t>Afin d’exclure tout double paiement, les pr</w:t>
            </w:r>
            <w:r>
              <w:rPr>
                <w:szCs w:val="24"/>
              </w:rPr>
              <w:t>atiques visées à l’article 43 du règlement UE n° 1307/2013 sont prises en compte dans le calcul des surcoûts et manques à gagner. La méthode de calcul est détaillée au paragraphe « Information spécifique à l’opération – Méthode de calcul du montant » de la</w:t>
            </w:r>
            <w:r>
              <w:rPr>
                <w:szCs w:val="24"/>
              </w:rPr>
              <w:t xml:space="preserve">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coûts sont les surcoûts, manques à gagner et éventuels coûts d’opportunité et de transaction générés par le respect </w:t>
            </w:r>
            <w:r>
              <w:rPr>
                <w:szCs w:val="24"/>
              </w:rPr>
              <w:t>éléments contractualisés.</w:t>
            </w:r>
          </w:p>
          <w:p w:rsidR="0035701C" w:rsidRDefault="00FB561B">
            <w:pPr>
              <w:spacing w:before="240" w:after="240"/>
              <w:jc w:val="left"/>
              <w:rPr>
                <w:szCs w:val="24"/>
              </w:rPr>
            </w:pPr>
            <w:r>
              <w:rPr>
                <w:szCs w:val="24"/>
              </w:rPr>
              <w:t>Dans le cas de cette opération, sont pris en compte uniquement des surcoûts.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La réalisation d’un diagnostic d’exploitation préalable à la souscription de cette opération est obligatoire.</w:t>
            </w:r>
          </w:p>
          <w:p w:rsidR="0035701C" w:rsidRDefault="00FB561B">
            <w:pPr>
              <w:spacing w:before="240" w:after="240"/>
              <w:jc w:val="left"/>
              <w:rPr>
                <w:szCs w:val="24"/>
              </w:rPr>
            </w:pPr>
            <w:r>
              <w:rPr>
                <w:b/>
                <w:bCs/>
                <w:i/>
                <w:iCs/>
                <w:szCs w:val="24"/>
              </w:rPr>
              <w:t>Surfaces éligi</w:t>
            </w:r>
            <w:r>
              <w:rPr>
                <w:b/>
                <w:bCs/>
                <w:i/>
                <w:iCs/>
                <w:szCs w:val="24"/>
              </w:rPr>
              <w:t>bles:</w:t>
            </w:r>
            <w:r>
              <w:rPr>
                <w:szCs w:val="24"/>
              </w:rPr>
              <w:t xml:space="preserve"> Châtaigneraies, suberaies, yeuseraies, oliveraies, pinèdes, juniperaies,…. situées sur des pentes inférieures à 15%, dont la densité d’arbres est comprise entre 100 et 200 arbres par hectare maximum, et dans lesquelles les strates arbustive et herbac</w:t>
            </w:r>
            <w:r>
              <w:rPr>
                <w:szCs w:val="24"/>
              </w:rPr>
              <w:t>ée sont présentes.</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 théorique »de l’aide est de </w:t>
            </w:r>
            <w:r>
              <w:rPr>
                <w:b/>
                <w:bCs/>
                <w:szCs w:val="24"/>
              </w:rPr>
              <w:t>554,63</w:t>
            </w:r>
            <w:r>
              <w:rPr>
                <w:szCs w:val="24"/>
              </w:rPr>
              <w:t xml:space="preserve"> </w:t>
            </w:r>
            <w:r>
              <w:rPr>
                <w:b/>
                <w:bCs/>
                <w:szCs w:val="24"/>
              </w:rPr>
              <w:t>€ /ha/an</w:t>
            </w:r>
            <w:r>
              <w:rPr>
                <w:szCs w:val="24"/>
              </w:rPr>
              <w:t xml:space="preserve">, auquel vient s’ajouter une somme forfaitaire de </w:t>
            </w:r>
            <w:r>
              <w:rPr>
                <w:b/>
                <w:bCs/>
                <w:szCs w:val="24"/>
              </w:rPr>
              <w:t>57,18 €/an</w:t>
            </w:r>
            <w:r>
              <w:rPr>
                <w:szCs w:val="24"/>
              </w:rPr>
              <w:t xml:space="preserve"> liée à l’enregistrement des pratiques et des interventions.</w:t>
            </w:r>
          </w:p>
          <w:p w:rsidR="0035701C" w:rsidRDefault="00FB561B">
            <w:pPr>
              <w:spacing w:before="240" w:after="240"/>
              <w:jc w:val="left"/>
              <w:rPr>
                <w:szCs w:val="24"/>
              </w:rPr>
            </w:pPr>
            <w:r>
              <w:rPr>
                <w:szCs w:val="24"/>
              </w:rPr>
              <w:t xml:space="preserve">Concernant </w:t>
            </w:r>
            <w:r>
              <w:rPr>
                <w:szCs w:val="24"/>
                <w:u w:val="single"/>
              </w:rPr>
              <w:t>cet engagement</w:t>
            </w:r>
            <w:r>
              <w:rPr>
                <w:szCs w:val="24"/>
              </w:rPr>
              <w:t xml:space="preserve">, et étant donné que le plafond communautaire pour ce type de couvert (autres utilisations des terres) est de 450 €/ha/an (incluant le forfait annuel), le montant réellement appliqué dans ce cas sera de </w:t>
            </w:r>
            <w:r>
              <w:rPr>
                <w:b/>
                <w:bCs/>
                <w:szCs w:val="24"/>
              </w:rPr>
              <w:t>450 €/ha/an</w:t>
            </w:r>
            <w:r>
              <w:rPr>
                <w:szCs w:val="24"/>
              </w:rPr>
              <w:t>.</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 xml:space="preserve">Caractère vérifiable et contrôlable </w:t>
      </w:r>
      <w:r>
        <w:t>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des </w:t>
      </w:r>
      <w:r>
        <w:t xml:space="preserve">éléments du niveau de référence applicable, qui doivent inclure les normes obligatoires établies en application du titre VI, chapitre I, du règlement (UE) n° 1306/2013 du Parlement européen et du Conseil, les critères pertinents et les activités minimales </w:t>
      </w:r>
      <w:r>
        <w:t xml:space="preserve">établies en application de l'article 4, paragraphe 1, point c) ii) et c) iii), du règlement (UE) n° 1307/2013 du Parlement européen et du Conseil, les exigences minimales applicables à l'utilisation des engrais et des produits phytosanitaire ainsi que les </w:t>
      </w:r>
      <w:r>
        <w:t>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Dans cette opération, il n’y a aucune interaction avec les différents éléments réglementaires décrits dans la section 8.1 du présent programme.</w:t>
            </w:r>
          </w:p>
          <w:p w:rsidR="0035701C" w:rsidRDefault="00FB561B">
            <w:pPr>
              <w:spacing w:before="240" w:after="240"/>
              <w:jc w:val="left"/>
              <w:rPr>
                <w:szCs w:val="24"/>
              </w:rPr>
            </w:pPr>
            <w:r>
              <w:rPr>
                <w:szCs w:val="24"/>
              </w:rPr>
              <w:t>Si les pratiques rémuné</w:t>
            </w:r>
            <w:r>
              <w:rPr>
                <w:szCs w:val="24"/>
              </w:rPr>
              <w:t>rées au titre de la présente opération sont rendues obligatoires sur des zones au titre de la protection de la biodiversité (notamment des zones classées au titre des réserves naturelles des arrêtés de protection de biotopes), celle-ci ne peut être ouverte</w:t>
            </w:r>
            <w:r>
              <w:rPr>
                <w:szCs w:val="24"/>
              </w:rPr>
              <w:t xml:space="preserve"> sur les zones concernées.</w:t>
            </w:r>
          </w:p>
          <w:p w:rsidR="0035701C" w:rsidRDefault="0035701C">
            <w:pPr>
              <w:pStyle w:val="Corpsdetexte"/>
            </w:pPr>
          </w:p>
        </w:tc>
      </w:tr>
    </w:tbl>
    <w:p w:rsidR="0035701C" w:rsidRDefault="00FB561B">
      <w:r>
        <w:t xml:space="preserve">Les exigences minimales relatives à l'utilisation d'engrais doivent comprendre, entre autres, le respect des codes de bonnes pratiques introduits au titre de la directive 91/676/CEE pour les exploitations situées en dehors des </w:t>
      </w:r>
      <w:r>
        <w:t>zones vulnérables aux nitrates, et des exigences concernant la pollution au phosphore; les exigences minimales relatives à l'utilisation de produits phytosanitaires doivent comprendre, entre autres, les principes généraux de la lutte intégrée contre les en</w:t>
      </w:r>
      <w:r>
        <w:t>nemis des cultures introduits par la directive 2009/128/CE du Parlement européen et du Conseil, l’obligation de détenir une autorisation d’utiliser les produits, de satisfaire aux conditions de formation, d’assurer un stockage sûr et de contrôler les équip</w:t>
      </w:r>
      <w:r>
        <w:t>ements destinés à l’épandage ainsi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Dans cette opération, il n’y a pas d’interaction avec ces </w:t>
            </w:r>
            <w:r>
              <w:rPr>
                <w:szCs w:val="24"/>
              </w:rPr>
              <w:t>exigences.</w:t>
            </w:r>
          </w:p>
          <w:p w:rsidR="0035701C" w:rsidRDefault="0035701C">
            <w:pPr>
              <w:pStyle w:val="Corpsdetexte"/>
            </w:pPr>
          </w:p>
        </w:tc>
      </w:tr>
    </w:tbl>
    <w:p w:rsidR="0035701C" w:rsidRDefault="00FB561B">
      <w:r>
        <w:t>Liste des races locales 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préservation des ressources génétiques.</w:t>
            </w:r>
          </w:p>
          <w:p w:rsidR="0035701C" w:rsidRDefault="0035701C">
            <w:pPr>
              <w:pStyle w:val="Corpsdetexte"/>
            </w:pPr>
          </w:p>
        </w:tc>
      </w:tr>
    </w:tbl>
    <w:p w:rsidR="0035701C" w:rsidRDefault="00FB561B">
      <w:r>
        <w:t>Description d</w:t>
      </w:r>
      <w:r>
        <w:t>e la méthode et des hypothèses et paramètres agronomiques y compris la description des exigences minimales visées à l'article 29, paragraphe 2, du règlement (UE) n° 1305/2013 correspondant à chaque type particulier d'engagement, utilisés comme référence po</w:t>
      </w:r>
      <w:r>
        <w:t xml:space="preserve">ur les calculs justifiant les coûts supplémentaires et les pertes de revenus résultant de l’engagement pris et le niveau des coûts des transactions; le cas échéant, cette méthode tient compte des aides accordées au titre du règlement (UE) n° 1307/2013, et </w:t>
      </w:r>
      <w:r>
        <w:t>notamment des paiements en faveur des pratiques agricoles bénéfiques pour le climat et l’environnement, afin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Pratiques de référence </w:t>
            </w:r>
            <w:r>
              <w:rPr>
                <w:szCs w:val="24"/>
              </w:rPr>
              <w:t>: ces espaces boisés mécanisables ne sont pas entretenus, si ce n’est par un pâturage très extensif</w:t>
            </w:r>
          </w:p>
          <w:p w:rsidR="0035701C" w:rsidRDefault="00FB561B">
            <w:pPr>
              <w:spacing w:before="240" w:after="240"/>
              <w:jc w:val="left"/>
              <w:rPr>
                <w:szCs w:val="24"/>
              </w:rPr>
            </w:pPr>
            <w:r>
              <w:rPr>
                <w:b/>
                <w:bCs/>
                <w:i/>
                <w:iCs/>
                <w:szCs w:val="24"/>
              </w:rPr>
              <w:t xml:space="preserve">Prise en compte du verdissement : </w:t>
            </w:r>
            <w:r>
              <w:rPr>
                <w:szCs w:val="24"/>
              </w:rPr>
              <w:t xml:space="preserve">afin d’exclure tout double paiement, les pratiques rémunérées au titre du verdissement sont prises </w:t>
            </w:r>
            <w:r>
              <w:rPr>
                <w:szCs w:val="24"/>
              </w:rPr>
              <w:t>en compte de la façon suivante dans le calcul du montant unitaire de cette opération :</w:t>
            </w:r>
          </w:p>
          <w:p w:rsidR="0035701C" w:rsidRDefault="00FB561B" w:rsidP="00FB561B">
            <w:pPr>
              <w:numPr>
                <w:ilvl w:val="0"/>
                <w:numId w:val="747"/>
              </w:numPr>
              <w:spacing w:before="240" w:after="0"/>
              <w:ind w:hanging="210"/>
              <w:jc w:val="left"/>
              <w:rPr>
                <w:szCs w:val="24"/>
              </w:rPr>
            </w:pPr>
            <w:r>
              <w:rPr>
                <w:szCs w:val="24"/>
              </w:rPr>
              <w:t>maintien de prairies permanentes existantes : cette exigence n’a aucune e interaction avec cette opération.</w:t>
            </w:r>
          </w:p>
          <w:p w:rsidR="0035701C" w:rsidRDefault="00FB561B" w:rsidP="00FB561B">
            <w:pPr>
              <w:numPr>
                <w:ilvl w:val="0"/>
                <w:numId w:val="747"/>
              </w:numPr>
              <w:spacing w:before="0" w:after="0"/>
              <w:ind w:hanging="210"/>
              <w:jc w:val="left"/>
              <w:rPr>
                <w:szCs w:val="24"/>
              </w:rPr>
            </w:pPr>
            <w:r>
              <w:rPr>
                <w:szCs w:val="24"/>
              </w:rPr>
              <w:t xml:space="preserve">présence de 5 % de SIE (Surfaces d’Intérêt Ecologique) sur </w:t>
            </w:r>
            <w:r>
              <w:rPr>
                <w:szCs w:val="24"/>
              </w:rPr>
              <w:t>les terres arables : cette exigence n’a aucune interaction avec cette opération.</w:t>
            </w:r>
          </w:p>
          <w:p w:rsidR="0035701C" w:rsidRDefault="00FB561B" w:rsidP="00FB561B">
            <w:pPr>
              <w:numPr>
                <w:ilvl w:val="0"/>
                <w:numId w:val="747"/>
              </w:numPr>
              <w:spacing w:before="0" w:after="240"/>
              <w:ind w:hanging="210"/>
              <w:jc w:val="left"/>
              <w:rPr>
                <w:szCs w:val="24"/>
              </w:rPr>
            </w:pPr>
            <w:r>
              <w:rPr>
                <w:szCs w:val="24"/>
              </w:rPr>
              <w:t>diversification des cultures : cette exigence n’a pas d’interaction avec cette opération.</w:t>
            </w:r>
          </w:p>
          <w:p w:rsidR="0035701C" w:rsidRDefault="00FB561B">
            <w:pPr>
              <w:spacing w:before="240" w:after="240"/>
              <w:jc w:val="left"/>
              <w:rPr>
                <w:szCs w:val="24"/>
              </w:rPr>
            </w:pPr>
            <w:r>
              <w:rPr>
                <w:b/>
                <w:bCs/>
                <w:i/>
                <w:iCs/>
                <w:szCs w:val="24"/>
              </w:rPr>
              <w:t>Méthode générale de calcul du montant :</w:t>
            </w:r>
            <w:r>
              <w:rPr>
                <w:szCs w:val="24"/>
              </w:rPr>
              <w:t xml:space="preserve"> le montant de l’aide est calculé sur la base </w:t>
            </w:r>
            <w:r>
              <w:rPr>
                <w:szCs w:val="24"/>
              </w:rPr>
              <w:t>de l’utilisation du matériel, du temps de travail et du manque à gagner lié au temps de travail supplémentaire pour l’intervention. Le surcoût lié au temps d’enregistrement des interventions et des pratiques est rémunéré sous forme forfaitaire indépendamme</w:t>
            </w:r>
            <w:r>
              <w:rPr>
                <w:szCs w:val="24"/>
              </w:rPr>
              <w:t>nt de la surface engagée. Il n’y a pas, dans cette opération, de coût de transaction.</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748"/>
              </w:numPr>
              <w:spacing w:before="240" w:after="0"/>
              <w:ind w:hanging="210"/>
              <w:jc w:val="left"/>
              <w:rPr>
                <w:szCs w:val="24"/>
              </w:rPr>
            </w:pPr>
            <w:r>
              <w:rPr>
                <w:szCs w:val="24"/>
              </w:rPr>
              <w:t>coût du matériel:</w:t>
            </w:r>
            <w:r>
              <w:rPr>
                <w:i/>
                <w:iCs/>
                <w:szCs w:val="24"/>
              </w:rPr>
              <w:t xml:space="preserve"> Bureau de Coordination du Machinisme Agricole (BCMA), barème des façons culturales</w:t>
            </w:r>
            <w:r>
              <w:rPr>
                <w:szCs w:val="24"/>
              </w:rPr>
              <w:t xml:space="preserve"> </w:t>
            </w:r>
            <w:r>
              <w:rPr>
                <w:i/>
                <w:iCs/>
                <w:szCs w:val="24"/>
              </w:rPr>
              <w:t xml:space="preserve">2014 </w:t>
            </w:r>
          </w:p>
          <w:p w:rsidR="0035701C" w:rsidRDefault="00FB561B" w:rsidP="00FB561B">
            <w:pPr>
              <w:numPr>
                <w:ilvl w:val="0"/>
                <w:numId w:val="748"/>
              </w:numPr>
              <w:spacing w:before="0" w:after="0"/>
              <w:ind w:hanging="210"/>
              <w:jc w:val="left"/>
              <w:rPr>
                <w:szCs w:val="24"/>
              </w:rPr>
            </w:pPr>
            <w:r>
              <w:rPr>
                <w:szCs w:val="24"/>
              </w:rPr>
              <w:t xml:space="preserve">temps de travail : </w:t>
            </w:r>
            <w:r>
              <w:rPr>
                <w:i/>
                <w:iCs/>
                <w:szCs w:val="24"/>
              </w:rPr>
              <w:t>références d’entreprises</w:t>
            </w:r>
            <w:r>
              <w:rPr>
                <w:i/>
                <w:iCs/>
                <w:szCs w:val="24"/>
              </w:rPr>
              <w:t xml:space="preserve"> locales de débroussaillement ou issues du réseau régional d’expérimentations fourragères et de démonstrations (Office du Développement Agricole et Rural de Corse et Office de l’Environnement de la Corse)</w:t>
            </w:r>
          </w:p>
          <w:p w:rsidR="0035701C" w:rsidRDefault="00FB561B" w:rsidP="00FB561B">
            <w:pPr>
              <w:numPr>
                <w:ilvl w:val="0"/>
                <w:numId w:val="748"/>
              </w:numPr>
              <w:spacing w:before="0" w:after="240"/>
              <w:ind w:hanging="210"/>
              <w:jc w:val="left"/>
              <w:rPr>
                <w:szCs w:val="24"/>
              </w:rPr>
            </w:pPr>
            <w:r>
              <w:rPr>
                <w:i/>
                <w:iCs/>
                <w:szCs w:val="24"/>
              </w:rPr>
              <w:t>coût horaire de main d’œuvre : 2 fois le coût horai</w:t>
            </w:r>
            <w:r>
              <w:rPr>
                <w:i/>
                <w:iCs/>
                <w:szCs w:val="24"/>
              </w:rPr>
              <w:t>re du SMIC (1er janvier 2014)</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115050" cy="5162550"/>
                  <wp:effectExtent l="0" t="0" r="0" b="0"/>
                  <wp:docPr id="100176" name="Image 100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7" name=""/>
                          <pic:cNvPicPr>
                            <a:picLocks noChangeAspect="1"/>
                          </pic:cNvPicPr>
                        </pic:nvPicPr>
                        <pic:blipFill>
                          <a:blip r:embed="rId100"/>
                          <a:stretch>
                            <a:fillRect/>
                          </a:stretch>
                        </pic:blipFill>
                        <pic:spPr>
                          <a:xfrm>
                            <a:off x="0" y="0"/>
                            <a:ext cx="6115050" cy="5162550"/>
                          </a:xfrm>
                          <a:prstGeom prst="rect">
                            <a:avLst/>
                          </a:prstGeom>
                        </pic:spPr>
                      </pic:pic>
                    </a:graphicData>
                  </a:graphic>
                </wp:inline>
              </w:drawing>
            </w:r>
          </w:p>
          <w:p w:rsidR="0035701C" w:rsidRDefault="00FB561B">
            <w:pPr>
              <w:pStyle w:val="Pieddepage"/>
              <w:jc w:val="center"/>
            </w:pPr>
            <w:r>
              <w:t>Prébois_5</w:t>
            </w:r>
          </w:p>
          <w:p w:rsidR="0035701C" w:rsidRDefault="0035701C">
            <w:pPr>
              <w:pStyle w:val="Pieddepage"/>
              <w:jc w:val="center"/>
            </w:pPr>
          </w:p>
        </w:tc>
      </w:tr>
    </w:tbl>
    <w:p w:rsidR="0035701C" w:rsidRDefault="00FB561B">
      <w:pPr>
        <w:pStyle w:val="Titre5"/>
        <w:rPr>
          <w:b w:val="0"/>
        </w:rPr>
      </w:pPr>
      <w:r>
        <w:rPr>
          <w:b w:val="0"/>
        </w:rPr>
        <w:br w:type="page"/>
        <w:t>-24- Ripisylve</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749"/>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RIPISYLVE:=  Entretien et maintien de la ripisylve</w:t>
            </w:r>
          </w:p>
          <w:p w:rsidR="0035701C" w:rsidRDefault="00FB561B">
            <w:pPr>
              <w:spacing w:before="240" w:after="240"/>
              <w:jc w:val="left"/>
              <w:rPr>
                <w:szCs w:val="24"/>
              </w:rPr>
            </w:pPr>
            <w:r>
              <w:rPr>
                <w:szCs w:val="24"/>
              </w:rPr>
              <w:t>Les ripisylves sont considérées aujourd’hui comme des « Surfaces d’Intérêt Ecologique » majeur (SIE), des éléments de paysage qui constituent des "zones de transition" entre un cours d'eau et une terre agricole et qui jouent un rôle de "zone tampon" absolu</w:t>
            </w:r>
            <w:r>
              <w:rPr>
                <w:szCs w:val="24"/>
              </w:rPr>
              <w:t>ment indispensable à conserver pour les rôles importants qu'elles jouent en matière de protection de la biodiversité, de la qualité des eaux et des sols et qui peuvent donc être admissibles à une MAEC.</w:t>
            </w:r>
          </w:p>
          <w:p w:rsidR="0035701C" w:rsidRDefault="00FB561B">
            <w:pPr>
              <w:spacing w:before="240" w:after="240"/>
              <w:jc w:val="left"/>
              <w:rPr>
                <w:szCs w:val="24"/>
              </w:rPr>
            </w:pPr>
            <w:r>
              <w:rPr>
                <w:szCs w:val="24"/>
              </w:rPr>
              <w:t>En Corse, ces ripisylves sont essentiellement les auln</w:t>
            </w:r>
            <w:r>
              <w:rPr>
                <w:szCs w:val="24"/>
              </w:rPr>
              <w:t>aies ripicoles, à aulne glutineux et aulne à feuilles cordées de Corse. Ce sont des espèces classées dans la directive 92/43/CEE (habitat). Plus précisément, ces aulnaies ripicoles:</w:t>
            </w:r>
          </w:p>
          <w:p w:rsidR="0035701C" w:rsidRDefault="00FB561B" w:rsidP="00FB561B">
            <w:pPr>
              <w:numPr>
                <w:ilvl w:val="0"/>
                <w:numId w:val="750"/>
              </w:numPr>
              <w:spacing w:before="240" w:after="0"/>
              <w:ind w:hanging="210"/>
              <w:jc w:val="left"/>
              <w:rPr>
                <w:szCs w:val="24"/>
              </w:rPr>
            </w:pPr>
            <w:r>
              <w:rPr>
                <w:szCs w:val="24"/>
              </w:rPr>
              <w:t>contribuent à l’amélioration de la qualité de la ressource en eau,</w:t>
            </w:r>
          </w:p>
          <w:p w:rsidR="0035701C" w:rsidRDefault="00FB561B" w:rsidP="00FB561B">
            <w:pPr>
              <w:numPr>
                <w:ilvl w:val="0"/>
                <w:numId w:val="750"/>
              </w:numPr>
              <w:spacing w:before="0" w:after="0"/>
              <w:ind w:hanging="210"/>
              <w:jc w:val="left"/>
              <w:rPr>
                <w:szCs w:val="24"/>
              </w:rPr>
            </w:pPr>
            <w:r>
              <w:rPr>
                <w:szCs w:val="24"/>
              </w:rPr>
              <w:t>limiten</w:t>
            </w:r>
            <w:r>
              <w:rPr>
                <w:szCs w:val="24"/>
              </w:rPr>
              <w:t>t les risques de ruissellement, d’érosion et d’inondation,</w:t>
            </w:r>
          </w:p>
          <w:p w:rsidR="0035701C" w:rsidRDefault="00FB561B" w:rsidP="00FB561B">
            <w:pPr>
              <w:numPr>
                <w:ilvl w:val="0"/>
                <w:numId w:val="750"/>
              </w:numPr>
              <w:spacing w:before="0" w:after="0"/>
              <w:ind w:hanging="210"/>
              <w:jc w:val="left"/>
              <w:rPr>
                <w:szCs w:val="24"/>
              </w:rPr>
            </w:pPr>
            <w:r>
              <w:rPr>
                <w:szCs w:val="24"/>
              </w:rPr>
              <w:t>favorisent la diversité biologique, en particulier la faune aquatique et semi-aquatique,</w:t>
            </w:r>
          </w:p>
          <w:p w:rsidR="0035701C" w:rsidRDefault="00FB561B" w:rsidP="00FB561B">
            <w:pPr>
              <w:numPr>
                <w:ilvl w:val="0"/>
                <w:numId w:val="750"/>
              </w:numPr>
              <w:spacing w:before="0" w:after="0"/>
              <w:ind w:hanging="210"/>
              <w:jc w:val="left"/>
              <w:rPr>
                <w:szCs w:val="24"/>
              </w:rPr>
            </w:pPr>
            <w:r>
              <w:rPr>
                <w:szCs w:val="24"/>
              </w:rPr>
              <w:t>développent un réseau de corridors écologiques forestiers,</w:t>
            </w:r>
          </w:p>
          <w:p w:rsidR="0035701C" w:rsidRDefault="00FB561B" w:rsidP="00FB561B">
            <w:pPr>
              <w:numPr>
                <w:ilvl w:val="0"/>
                <w:numId w:val="750"/>
              </w:numPr>
              <w:spacing w:before="0" w:after="240"/>
              <w:ind w:hanging="210"/>
              <w:jc w:val="left"/>
              <w:rPr>
                <w:szCs w:val="24"/>
              </w:rPr>
            </w:pPr>
            <w:r>
              <w:rPr>
                <w:szCs w:val="24"/>
              </w:rPr>
              <w:t>sont un élément structurant du paysage et en assu</w:t>
            </w:r>
            <w:r>
              <w:rPr>
                <w:szCs w:val="24"/>
              </w:rPr>
              <w:t>re sa qualité.</w:t>
            </w:r>
          </w:p>
          <w:p w:rsidR="0035701C" w:rsidRDefault="00FB561B">
            <w:pPr>
              <w:spacing w:before="240" w:after="240"/>
              <w:jc w:val="left"/>
              <w:rPr>
                <w:szCs w:val="24"/>
              </w:rPr>
            </w:pPr>
            <w:r>
              <w:rPr>
                <w:szCs w:val="24"/>
              </w:rPr>
              <w:t>Le défrichement agricole et l’extension des villages ont souvent eu raison de ces milieux qui devaient être beaucoup plus étendues par le passé. La conservation de cet écosystème vers une dynamique la plus naturelle possible assurera au mieu</w:t>
            </w:r>
            <w:r>
              <w:rPr>
                <w:szCs w:val="24"/>
              </w:rPr>
              <w:t>x ce rôle régulateur et « tampon ».</w:t>
            </w:r>
          </w:p>
          <w:p w:rsidR="0035701C" w:rsidRDefault="00FB561B">
            <w:pPr>
              <w:spacing w:before="240" w:after="240"/>
              <w:jc w:val="left"/>
              <w:rPr>
                <w:szCs w:val="24"/>
              </w:rPr>
            </w:pPr>
            <w:r>
              <w:rPr>
                <w:szCs w:val="24"/>
              </w:rPr>
              <w:t xml:space="preserve">Les interventions à réaliser dans ces écosystèmes fragiles doivent être les plus légères possibles afin de les laisser au maximum fonctionner le plus naturellement possible. C’est pourquoi, dans ce milieu à haute valeur </w:t>
            </w:r>
            <w:r>
              <w:rPr>
                <w:szCs w:val="24"/>
              </w:rPr>
              <w:t>écologique qu’est la ripisylve, corridor écologique par excellence, composé essentiellement d'aulnes glutineux et d'aulnes à feuilles cordées de Corse , il n'est pas autorisé de pratiquer des interventions lourdes, ni de pratiquer de brûlage car le feu ent</w:t>
            </w:r>
            <w:r>
              <w:rPr>
                <w:szCs w:val="24"/>
              </w:rPr>
              <w:t>ame la survie des espèces à écorce très fine comme l’aulne qui ne supporte aucun échauffement, sous peine de bouleverser de façon irréversible cet écosystème en bordure des terres agricoles, précieux pour ses rôles multiples dans la protection de la biodiv</w:t>
            </w:r>
            <w:r>
              <w:rPr>
                <w:szCs w:val="24"/>
              </w:rPr>
              <w:t>ersité, de la qualité des eaux et des sols, mais très fragile et devant être protégé uniquement par un entretien limité et adapté.</w:t>
            </w:r>
          </w:p>
          <w:p w:rsidR="0035701C" w:rsidRDefault="00FB561B">
            <w:pPr>
              <w:spacing w:before="240" w:after="240"/>
              <w:jc w:val="left"/>
              <w:rPr>
                <w:szCs w:val="24"/>
              </w:rPr>
            </w:pPr>
            <w:r>
              <w:rPr>
                <w:szCs w:val="24"/>
              </w:rPr>
              <w:t xml:space="preserve">L’ensemble des ripisylves du territoire sont éligibles à condition qu’elles mesurent au minimum </w:t>
            </w:r>
            <w:r>
              <w:rPr>
                <w:b/>
                <w:bCs/>
                <w:szCs w:val="24"/>
              </w:rPr>
              <w:t>50 mètres linéaires</w:t>
            </w:r>
            <w:r>
              <w:rPr>
                <w:szCs w:val="24"/>
              </w:rPr>
              <w:t xml:space="preserve"> et </w:t>
            </w:r>
            <w:r>
              <w:rPr>
                <w:b/>
                <w:bCs/>
                <w:szCs w:val="24"/>
              </w:rPr>
              <w:t>5 mètr</w:t>
            </w:r>
            <w:r>
              <w:rPr>
                <w:b/>
                <w:bCs/>
                <w:szCs w:val="24"/>
              </w:rPr>
              <w:t>es de large.</w:t>
            </w:r>
          </w:p>
          <w:p w:rsidR="0035701C" w:rsidRDefault="00FB561B">
            <w:pPr>
              <w:spacing w:before="240" w:after="240"/>
              <w:jc w:val="left"/>
              <w:rPr>
                <w:szCs w:val="24"/>
              </w:rPr>
            </w:pPr>
            <w:r>
              <w:rPr>
                <w:szCs w:val="24"/>
              </w:rPr>
              <w:t>Cette opération qui a déjà été proposée dans le cadre de la programmation précédente (2007-2013) est maintenue. Bien que n’ayant pas été fortement mobilisée, elle est apparue comme néanmoins très intéressante à maintenir non seulement d’un poi</w:t>
            </w:r>
            <w:r>
              <w:rPr>
                <w:szCs w:val="24"/>
              </w:rPr>
              <w:t>nt de vue environnemental, mais aussi un vecteur pour sensibiliser les agriculteurs à l’ensemble problématiques environnementales. C’est pourquoi, pour cette opération, un effort supplémentaire d’information et de sensibilisation auprès des exploitants dev</w:t>
            </w:r>
            <w:r>
              <w:rPr>
                <w:szCs w:val="24"/>
              </w:rPr>
              <w:t>ra être fourni afin de la mobiliser de façon conséquente.</w:t>
            </w:r>
          </w:p>
          <w:p w:rsidR="0035701C" w:rsidRDefault="00FB561B">
            <w:pPr>
              <w:spacing w:before="240" w:after="240"/>
              <w:jc w:val="left"/>
              <w:rPr>
                <w:szCs w:val="24"/>
              </w:rPr>
            </w:pPr>
            <w:r>
              <w:rPr>
                <w:b/>
                <w:bCs/>
                <w:i/>
                <w:iCs/>
                <w:szCs w:val="24"/>
              </w:rPr>
              <w:t>Cahier des charges</w:t>
            </w:r>
            <w:r>
              <w:rPr>
                <w:szCs w:val="24"/>
              </w:rPr>
              <w:t> :</w:t>
            </w:r>
          </w:p>
          <w:p w:rsidR="0035701C" w:rsidRDefault="00FB561B" w:rsidP="00FB561B">
            <w:pPr>
              <w:numPr>
                <w:ilvl w:val="0"/>
                <w:numId w:val="751"/>
              </w:numPr>
              <w:spacing w:before="240" w:after="0"/>
              <w:ind w:hanging="210"/>
              <w:jc w:val="left"/>
              <w:rPr>
                <w:szCs w:val="24"/>
              </w:rPr>
            </w:pPr>
            <w:r>
              <w:rPr>
                <w:szCs w:val="24"/>
              </w:rPr>
              <w:t>l’agriculteur s’engage à maintenir la ripisylve</w:t>
            </w:r>
          </w:p>
          <w:p w:rsidR="0035701C" w:rsidRDefault="00FB561B" w:rsidP="00FB561B">
            <w:pPr>
              <w:numPr>
                <w:ilvl w:val="0"/>
                <w:numId w:val="751"/>
              </w:numPr>
              <w:spacing w:before="0" w:after="0"/>
              <w:ind w:hanging="210"/>
              <w:jc w:val="left"/>
              <w:rPr>
                <w:szCs w:val="24"/>
              </w:rPr>
            </w:pPr>
            <w:r>
              <w:rPr>
                <w:szCs w:val="24"/>
              </w:rPr>
              <w:t>tout traitement phytopharmaceutique est interdit</w:t>
            </w:r>
          </w:p>
          <w:p w:rsidR="0035701C" w:rsidRDefault="00FB561B" w:rsidP="00FB561B">
            <w:pPr>
              <w:numPr>
                <w:ilvl w:val="0"/>
                <w:numId w:val="751"/>
              </w:numPr>
              <w:spacing w:before="0" w:after="0"/>
              <w:ind w:hanging="210"/>
              <w:jc w:val="left"/>
              <w:rPr>
                <w:szCs w:val="24"/>
              </w:rPr>
            </w:pPr>
            <w:r>
              <w:rPr>
                <w:szCs w:val="24"/>
              </w:rPr>
              <w:t xml:space="preserve">toute intervention mécanisée est interdite et seule l’intervention manuelle est </w:t>
            </w:r>
            <w:r>
              <w:rPr>
                <w:szCs w:val="24"/>
              </w:rPr>
              <w:t>autorisée,</w:t>
            </w:r>
          </w:p>
          <w:p w:rsidR="0035701C" w:rsidRDefault="00FB561B" w:rsidP="00FB561B">
            <w:pPr>
              <w:numPr>
                <w:ilvl w:val="0"/>
                <w:numId w:val="751"/>
              </w:numPr>
              <w:spacing w:before="0" w:after="0"/>
              <w:ind w:hanging="210"/>
              <w:jc w:val="left"/>
              <w:rPr>
                <w:szCs w:val="24"/>
              </w:rPr>
            </w:pPr>
            <w:r>
              <w:rPr>
                <w:szCs w:val="24"/>
              </w:rPr>
              <w:t>l’apport ou l’enlèvement de matière (sable, graviers, blocs…) est interdit,</w:t>
            </w:r>
          </w:p>
          <w:p w:rsidR="0035701C" w:rsidRDefault="00FB561B" w:rsidP="00FB561B">
            <w:pPr>
              <w:numPr>
                <w:ilvl w:val="0"/>
                <w:numId w:val="751"/>
              </w:numPr>
              <w:spacing w:before="0" w:after="0"/>
              <w:ind w:hanging="210"/>
              <w:jc w:val="left"/>
              <w:rPr>
                <w:szCs w:val="24"/>
              </w:rPr>
            </w:pPr>
            <w:r>
              <w:rPr>
                <w:szCs w:val="24"/>
              </w:rPr>
              <w:t>le dessouchage est interdit,</w:t>
            </w:r>
          </w:p>
          <w:p w:rsidR="0035701C" w:rsidRDefault="00FB561B" w:rsidP="00FB561B">
            <w:pPr>
              <w:numPr>
                <w:ilvl w:val="0"/>
                <w:numId w:val="751"/>
              </w:numPr>
              <w:spacing w:before="0" w:after="0"/>
              <w:ind w:hanging="210"/>
              <w:jc w:val="left"/>
              <w:rPr>
                <w:szCs w:val="24"/>
              </w:rPr>
            </w:pPr>
            <w:r>
              <w:rPr>
                <w:szCs w:val="24"/>
              </w:rPr>
              <w:t>l’emploi du feu est interdit,</w:t>
            </w:r>
          </w:p>
          <w:p w:rsidR="0035701C" w:rsidRDefault="00FB561B" w:rsidP="00FB561B">
            <w:pPr>
              <w:numPr>
                <w:ilvl w:val="0"/>
                <w:numId w:val="751"/>
              </w:numPr>
              <w:spacing w:before="0" w:after="0"/>
              <w:ind w:hanging="210"/>
              <w:jc w:val="left"/>
              <w:rPr>
                <w:szCs w:val="24"/>
              </w:rPr>
            </w:pPr>
            <w:r>
              <w:rPr>
                <w:szCs w:val="24"/>
              </w:rPr>
              <w:t>toute plantation est interdite,</w:t>
            </w:r>
          </w:p>
          <w:p w:rsidR="0035701C" w:rsidRDefault="00FB561B" w:rsidP="00FB561B">
            <w:pPr>
              <w:numPr>
                <w:ilvl w:val="0"/>
                <w:numId w:val="751"/>
              </w:numPr>
              <w:spacing w:before="0" w:after="0"/>
              <w:ind w:hanging="210"/>
              <w:jc w:val="left"/>
              <w:rPr>
                <w:szCs w:val="24"/>
              </w:rPr>
            </w:pPr>
            <w:r>
              <w:rPr>
                <w:szCs w:val="24"/>
              </w:rPr>
              <w:t>les espèces lianoïdes (lierres, ronces, salsepareilles, clématite, vigne-vierg</w:t>
            </w:r>
            <w:r>
              <w:rPr>
                <w:szCs w:val="24"/>
              </w:rPr>
              <w:t>e…) doivent être conservées,</w:t>
            </w:r>
          </w:p>
          <w:p w:rsidR="0035701C" w:rsidRDefault="00FB561B" w:rsidP="00FB561B">
            <w:pPr>
              <w:numPr>
                <w:ilvl w:val="0"/>
                <w:numId w:val="751"/>
              </w:numPr>
              <w:spacing w:before="0" w:after="0"/>
              <w:ind w:hanging="210"/>
              <w:jc w:val="left"/>
              <w:rPr>
                <w:szCs w:val="24"/>
              </w:rPr>
            </w:pPr>
            <w:r>
              <w:rPr>
                <w:szCs w:val="24"/>
              </w:rPr>
              <w:t>les déchets éventuels charriés par le cours d’eau (résidus plastiques, reste de clôture métallique, détritus…) doivent être éliminés,</w:t>
            </w:r>
          </w:p>
          <w:p w:rsidR="0035701C" w:rsidRDefault="00FB561B" w:rsidP="00FB561B">
            <w:pPr>
              <w:numPr>
                <w:ilvl w:val="0"/>
                <w:numId w:val="751"/>
              </w:numPr>
              <w:spacing w:before="0" w:after="0"/>
              <w:ind w:hanging="210"/>
              <w:jc w:val="left"/>
              <w:rPr>
                <w:szCs w:val="24"/>
              </w:rPr>
            </w:pPr>
            <w:r>
              <w:rPr>
                <w:szCs w:val="24"/>
              </w:rPr>
              <w:t>l’agriculteur s’engage à entretenir la ripisylve uniquement par des coupes d’éclaircies légèr</w:t>
            </w:r>
            <w:r>
              <w:rPr>
                <w:szCs w:val="24"/>
              </w:rPr>
              <w:t>es et sélectives: 1 éclaircie par an et1 arbre sur 5 au maximum. Les arbres à éliminer sont ceux qui présentent un risque de tomber dans le lit de la rivière et/ ou qui présentent des signes de dépérissement tels la cime sèche, le tronc pourri et /ou sous-</w:t>
            </w:r>
            <w:r>
              <w:rPr>
                <w:szCs w:val="24"/>
              </w:rPr>
              <w:t>cavé (racines mises à nu par les eaux),</w:t>
            </w:r>
          </w:p>
          <w:p w:rsidR="0035701C" w:rsidRDefault="00FB561B" w:rsidP="00FB561B">
            <w:pPr>
              <w:numPr>
                <w:ilvl w:val="0"/>
                <w:numId w:val="751"/>
              </w:numPr>
              <w:spacing w:before="0" w:after="0"/>
              <w:ind w:hanging="210"/>
              <w:jc w:val="left"/>
              <w:rPr>
                <w:szCs w:val="24"/>
              </w:rPr>
            </w:pPr>
            <w:r>
              <w:rPr>
                <w:szCs w:val="24"/>
              </w:rPr>
              <w:t>tous les rémanents liés à l’entretien de la ripisylve doivent être éloignés de la rivière avant d’être éliminés,</w:t>
            </w:r>
          </w:p>
          <w:p w:rsidR="0035701C" w:rsidRDefault="00FB561B" w:rsidP="00FB561B">
            <w:pPr>
              <w:numPr>
                <w:ilvl w:val="0"/>
                <w:numId w:val="751"/>
              </w:numPr>
              <w:spacing w:before="0" w:after="0"/>
              <w:ind w:hanging="210"/>
              <w:jc w:val="left"/>
              <w:rPr>
                <w:szCs w:val="24"/>
              </w:rPr>
            </w:pPr>
            <w:r>
              <w:rPr>
                <w:szCs w:val="24"/>
              </w:rPr>
              <w:t>les branches basses qui pourraient bloquer les débris dérivants ou qui causent trop d’ombre, doivent êt</w:t>
            </w:r>
            <w:r>
              <w:rPr>
                <w:szCs w:val="24"/>
              </w:rPr>
              <w:t>re supprimées par des coupes franches au plus près du tronc pour éviter les attaques de champignons,</w:t>
            </w:r>
          </w:p>
          <w:p w:rsidR="0035701C" w:rsidRDefault="00FB561B" w:rsidP="00FB561B">
            <w:pPr>
              <w:numPr>
                <w:ilvl w:val="0"/>
                <w:numId w:val="751"/>
              </w:numPr>
              <w:spacing w:before="0" w:after="0"/>
              <w:ind w:hanging="210"/>
              <w:jc w:val="left"/>
              <w:rPr>
                <w:szCs w:val="24"/>
              </w:rPr>
            </w:pPr>
            <w:r>
              <w:rPr>
                <w:szCs w:val="24"/>
              </w:rPr>
              <w:t>les troncs qui risquent d’être emportés par la rivière (embâcles) doivent être billonnés en éléments de 1 mètre de long maximum,</w:t>
            </w:r>
          </w:p>
          <w:p w:rsidR="0035701C" w:rsidRDefault="00FB561B" w:rsidP="00FB561B">
            <w:pPr>
              <w:numPr>
                <w:ilvl w:val="0"/>
                <w:numId w:val="751"/>
              </w:numPr>
              <w:spacing w:before="0" w:after="0"/>
              <w:ind w:hanging="210"/>
              <w:jc w:val="left"/>
              <w:rPr>
                <w:szCs w:val="24"/>
              </w:rPr>
            </w:pPr>
            <w:r>
              <w:rPr>
                <w:szCs w:val="24"/>
              </w:rPr>
              <w:t>dans le cas de troncs bien</w:t>
            </w:r>
            <w:r>
              <w:rPr>
                <w:szCs w:val="24"/>
              </w:rPr>
              <w:t xml:space="preserve"> ancrés sur la berge, ils doivent être conservés car ils participent à sa stabilisation en piégeant les éléments fins</w:t>
            </w:r>
          </w:p>
          <w:p w:rsidR="0035701C" w:rsidRDefault="00FB561B" w:rsidP="00FB561B">
            <w:pPr>
              <w:numPr>
                <w:ilvl w:val="0"/>
                <w:numId w:val="751"/>
              </w:numPr>
              <w:spacing w:before="0" w:after="0"/>
              <w:ind w:hanging="210"/>
              <w:jc w:val="left"/>
              <w:rPr>
                <w:szCs w:val="24"/>
              </w:rPr>
            </w:pPr>
            <w:r>
              <w:rPr>
                <w:b/>
                <w:bCs/>
                <w:szCs w:val="24"/>
              </w:rPr>
              <w:t>tous ces travaux d’entretien de la ripisylve doivent intervenir entre octobre et mars en dehors des périodes de frai,</w:t>
            </w:r>
          </w:p>
          <w:p w:rsidR="0035701C" w:rsidRDefault="00FB561B" w:rsidP="00FB561B">
            <w:pPr>
              <w:numPr>
                <w:ilvl w:val="0"/>
                <w:numId w:val="751"/>
              </w:numPr>
              <w:spacing w:before="0" w:after="240"/>
              <w:ind w:hanging="210"/>
              <w:jc w:val="left"/>
              <w:rPr>
                <w:szCs w:val="24"/>
              </w:rPr>
            </w:pPr>
            <w:r>
              <w:rPr>
                <w:szCs w:val="24"/>
              </w:rPr>
              <w:t xml:space="preserve">l’agriculteur doit </w:t>
            </w:r>
            <w:r>
              <w:rPr>
                <w:szCs w:val="24"/>
              </w:rPr>
              <w:t>assurer l’enregistrement des différentes interventions et des pratiques réalisées dans un document normé prévu à cet effet. Ce document sera remis à l’agriculteur à l’issue du diagnostic obligatoire réalisé par le service instructeur</w:t>
            </w:r>
          </w:p>
          <w:p w:rsidR="0035701C" w:rsidRDefault="0035701C">
            <w:pPr>
              <w:pStyle w:val="Corpsdetexte"/>
            </w:pPr>
          </w:p>
        </w:tc>
      </w:tr>
    </w:tbl>
    <w:p w:rsidR="0035701C" w:rsidRDefault="00FB561B">
      <w:pPr>
        <w:pStyle w:val="Titre6"/>
      </w:pPr>
      <w:r>
        <w:t>Type de soutien</w:t>
      </w:r>
    </w:p>
    <w:p w:rsidR="0035701C" w:rsidRDefault="00FB561B">
      <w:r>
        <w:t>Type</w:t>
      </w:r>
      <w:r>
        <w:t xml:space="preserv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 / ml /an.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752"/>
              </w:numPr>
              <w:spacing w:before="240" w:after="0"/>
              <w:ind w:hanging="210"/>
              <w:jc w:val="left"/>
              <w:rPr>
                <w:szCs w:val="24"/>
              </w:rPr>
            </w:pPr>
            <w:r>
              <w:rPr>
                <w:szCs w:val="24"/>
              </w:rPr>
              <w:t>les e</w:t>
            </w:r>
            <w:r>
              <w:rPr>
                <w:szCs w:val="24"/>
              </w:rPr>
              <w:t>xigences établies en vertu de l’article 93 du Titre VI du règlement UE n° 1306/2013 relatif à la conditionnalité,</w:t>
            </w:r>
          </w:p>
          <w:p w:rsidR="0035701C" w:rsidRDefault="00FB561B" w:rsidP="00FB561B">
            <w:pPr>
              <w:numPr>
                <w:ilvl w:val="0"/>
                <w:numId w:val="752"/>
              </w:numPr>
              <w:spacing w:before="0" w:after="0"/>
              <w:ind w:hanging="210"/>
              <w:jc w:val="left"/>
              <w:rPr>
                <w:szCs w:val="24"/>
              </w:rPr>
            </w:pPr>
            <w:r>
              <w:rPr>
                <w:szCs w:val="24"/>
              </w:rPr>
              <w:t xml:space="preserve">les exigences établies en vertu de l’article 4.1c points ii) et iii) du règlement UE n°1307/2013 relatif à l’état d’entretien minimum des </w:t>
            </w:r>
            <w:r>
              <w:rPr>
                <w:szCs w:val="24"/>
              </w:rPr>
              <w:t>surfaces</w:t>
            </w:r>
          </w:p>
          <w:p w:rsidR="0035701C" w:rsidRDefault="00FB561B" w:rsidP="00FB561B">
            <w:pPr>
              <w:numPr>
                <w:ilvl w:val="0"/>
                <w:numId w:val="752"/>
              </w:numPr>
              <w:spacing w:before="0" w:after="240"/>
              <w:ind w:hanging="210"/>
              <w:jc w:val="left"/>
              <w:rPr>
                <w:szCs w:val="24"/>
              </w:rPr>
            </w:pPr>
            <w:r>
              <w:rPr>
                <w:szCs w:val="24"/>
              </w:rPr>
              <w:t>toute autre exigence pertinente établie par la réglementation nationale, tel le Code des Bonnes Pratiques Agricoles pris par arrêté du 22 novembre 1993</w:t>
            </w:r>
          </w:p>
          <w:p w:rsidR="0035701C" w:rsidRDefault="00FB561B">
            <w:pPr>
              <w:spacing w:before="240" w:after="240"/>
              <w:jc w:val="left"/>
              <w:rPr>
                <w:szCs w:val="24"/>
              </w:rPr>
            </w:pPr>
            <w:r>
              <w:rPr>
                <w:szCs w:val="24"/>
              </w:rPr>
              <w:t xml:space="preserve">Ces éléments sont détaillés au paragraphe « Information spécifique à l’opération – Description </w:t>
            </w:r>
            <w:r>
              <w:rPr>
                <w:szCs w:val="24"/>
              </w:rPr>
              <w:t>de la ligne de base » de la présente fiche-opération.</w:t>
            </w:r>
          </w:p>
          <w:p w:rsidR="0035701C" w:rsidRDefault="00FB561B">
            <w:pPr>
              <w:spacing w:before="240" w:after="240"/>
              <w:jc w:val="left"/>
              <w:rPr>
                <w:szCs w:val="24"/>
              </w:rPr>
            </w:pPr>
            <w:r>
              <w:rPr>
                <w:szCs w:val="24"/>
              </w:rPr>
              <w:t>Afin d’exclure tout double paiement, les pratiques visées à l’article 43 du règlement UE n° 1307/2013 sont prises en compte dans le calcul des surcoûts et manques à gagner. La méthode de calcul est déta</w:t>
            </w:r>
            <w:r>
              <w:rPr>
                <w:szCs w:val="24"/>
              </w:rPr>
              <w:t>illée au paragraphe « Information spécifique à l’opération – Méthode de calcul du montant » de la 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coûts sont les surcoûts, </w:t>
            </w:r>
            <w:r>
              <w:rPr>
                <w:szCs w:val="24"/>
              </w:rPr>
              <w:t>manques à gagner et éventuels coûts d’opportunité et de transaction générés par le respect éléments contractualisés.</w:t>
            </w:r>
          </w:p>
          <w:p w:rsidR="0035701C" w:rsidRDefault="00FB561B">
            <w:pPr>
              <w:spacing w:before="240" w:after="240"/>
              <w:jc w:val="left"/>
              <w:rPr>
                <w:szCs w:val="24"/>
              </w:rPr>
            </w:pPr>
            <w:r>
              <w:rPr>
                <w:szCs w:val="24"/>
              </w:rPr>
              <w:t>Dans le cas de cette opération, sont pris en compte des surcoûts.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La réalisation d’un diagnostic d’exploitatio</w:t>
            </w:r>
            <w:r>
              <w:rPr>
                <w:b/>
                <w:bCs/>
                <w:szCs w:val="24"/>
              </w:rPr>
              <w:t>n préalable à la souscription de cette opération est obligatoire.</w:t>
            </w:r>
          </w:p>
          <w:p w:rsidR="0035701C" w:rsidRDefault="00FB561B">
            <w:pPr>
              <w:spacing w:before="240" w:after="240"/>
              <w:jc w:val="left"/>
              <w:rPr>
                <w:szCs w:val="24"/>
              </w:rPr>
            </w:pPr>
            <w:r>
              <w:rPr>
                <w:b/>
                <w:bCs/>
                <w:i/>
                <w:iCs/>
                <w:szCs w:val="24"/>
              </w:rPr>
              <w:t>Surfaces éligibles:</w:t>
            </w:r>
            <w:r>
              <w:rPr>
                <w:szCs w:val="24"/>
              </w:rPr>
              <w:t xml:space="preserve"> L’ensemble des ripisylves du territoire sont éligibles à condition qu’elles mesurent au minimum </w:t>
            </w:r>
            <w:r>
              <w:rPr>
                <w:b/>
                <w:bCs/>
                <w:szCs w:val="24"/>
              </w:rPr>
              <w:t>50 mètres linéaires</w:t>
            </w:r>
            <w:r>
              <w:rPr>
                <w:szCs w:val="24"/>
              </w:rPr>
              <w:t xml:space="preserve"> et </w:t>
            </w:r>
            <w:r>
              <w:rPr>
                <w:b/>
                <w:bCs/>
                <w:szCs w:val="24"/>
              </w:rPr>
              <w:t>5 mètres de large.</w:t>
            </w:r>
          </w:p>
          <w:p w:rsidR="0035701C" w:rsidRDefault="0035701C">
            <w:pPr>
              <w:pStyle w:val="Corpsdetexte"/>
            </w:pPr>
          </w:p>
        </w:tc>
      </w:tr>
    </w:tbl>
    <w:p w:rsidR="0035701C" w:rsidRDefault="00FB561B">
      <w:pPr>
        <w:pStyle w:val="Titre6"/>
      </w:pPr>
      <w:r>
        <w:t>Principes applicables à l'étab</w:t>
      </w:r>
      <w:r>
        <w:t>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de l’aide est de </w:t>
            </w:r>
            <w:r>
              <w:rPr>
                <w:b/>
                <w:bCs/>
                <w:szCs w:val="24"/>
              </w:rPr>
              <w:t>3,16</w:t>
            </w:r>
            <w:r>
              <w:rPr>
                <w:szCs w:val="24"/>
              </w:rPr>
              <w:t xml:space="preserve"> </w:t>
            </w:r>
            <w:r>
              <w:rPr>
                <w:b/>
                <w:bCs/>
                <w:szCs w:val="24"/>
              </w:rPr>
              <w:t>€ / ml / an</w:t>
            </w:r>
            <w:r>
              <w:rPr>
                <w:szCs w:val="24"/>
              </w:rPr>
              <w:t>.</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 xml:space="preserve">Risque(s) </w:t>
      </w:r>
      <w:r>
        <w:t>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des éléments du niveau de référence applicable, qui </w:t>
      </w:r>
      <w:r>
        <w:t>doivent inclure les normes obligatoires établies en application du titre VI, chapitre I, du règlement (UE) n° 1306/2013 du Parlement européen et du Conseil, les critères pertinents et les activités minimales établies en application de l'article 4, paragrap</w:t>
      </w:r>
      <w:r>
        <w:t>he 1, point c) ii) et c) iii), du règlement (UE) n° 1307/2013 du Parlement européen et du Conseil, les exigences minimales applicables à l'utilisation des engrais et des produits phytosanitaire ainsi que les autres exigences obligatoires pertinentes établi</w:t>
      </w:r>
      <w:r>
        <w:t>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Si les pratiques rémunérées au titre de la présente opération sont rendues obligatoires sur des zones au titre de la protection de la biodiversité (notamment des zones classées au titre des réserves naturelles des a</w:t>
            </w:r>
            <w:r>
              <w:rPr>
                <w:szCs w:val="24"/>
              </w:rPr>
              <w:t>rrêtés de protection de biotopes), celle-ci ne peut être ouverte sur les zones concernées.</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479523"/>
                  <wp:effectExtent l="0" t="0" r="0" b="0"/>
                  <wp:docPr id="100178" name="Image 100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9" name=""/>
                          <pic:cNvPicPr>
                            <a:picLocks noChangeAspect="1"/>
                          </pic:cNvPicPr>
                        </pic:nvPicPr>
                        <pic:blipFill>
                          <a:blip r:embed="rId101"/>
                          <a:stretch>
                            <a:fillRect/>
                          </a:stretch>
                        </pic:blipFill>
                        <pic:spPr>
                          <a:xfrm>
                            <a:off x="0" y="0"/>
                            <a:ext cx="6629400" cy="1479523"/>
                          </a:xfrm>
                          <a:prstGeom prst="rect">
                            <a:avLst/>
                          </a:prstGeom>
                        </pic:spPr>
                      </pic:pic>
                    </a:graphicData>
                  </a:graphic>
                </wp:inline>
              </w:drawing>
            </w:r>
          </w:p>
          <w:p w:rsidR="0035701C" w:rsidRDefault="00FB561B">
            <w:pPr>
              <w:pStyle w:val="Pieddepage"/>
              <w:jc w:val="center"/>
            </w:pPr>
            <w:r>
              <w:t>Ripisylve_lignebase</w:t>
            </w:r>
          </w:p>
          <w:p w:rsidR="0035701C" w:rsidRDefault="0035701C">
            <w:pPr>
              <w:pStyle w:val="Pieddepage"/>
              <w:jc w:val="center"/>
            </w:pPr>
          </w:p>
        </w:tc>
      </w:tr>
    </w:tbl>
    <w:p w:rsidR="0035701C" w:rsidRDefault="00FB561B">
      <w:r>
        <w:t xml:space="preserve">Les exigences minimales relatives à l'utilisation d'engrais doivent comprendre, entre autres, le respect des codes de bonnes pratiques </w:t>
      </w:r>
      <w:r>
        <w:t>introduits au titre de la directive 91/676/CEE pour les exploitations situées en dehors des zones vulnérables aux nitrates, et des exigences concernant la pollution au phosphore; les exigences minimales relatives à l'utilisation de produits phytosanitaires</w:t>
      </w:r>
      <w:r>
        <w:t xml:space="preserve"> doivent comprendre, entre autres, les principes généraux de la lutte intégrée contre les ennemis des cultures introduits par la directive 2009/128/CE du Parlement européen et du Conseil, l’obligation de détenir une autorisation d’utiliser les produits, de</w:t>
      </w:r>
      <w:r>
        <w:t xml:space="preserve"> satisfaire aux conditions de formation, d’assurer un stockage sûr et de contrôler les équipements destinés à l’épandage ainsi que les règles relatives à l’utilisation de pesticides à proximité d’étendues d’eau et d’autres sites sensibles, telles qu'établi</w:t>
      </w:r>
      <w:r>
        <w:t>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Liste des races locales 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w:t>
            </w:r>
            <w:r>
              <w:rPr>
                <w:szCs w:val="24"/>
              </w:rPr>
              <w:t>pération ne concerne pas la préservation des ressources génétiques.</w:t>
            </w:r>
          </w:p>
          <w:p w:rsidR="0035701C" w:rsidRDefault="0035701C">
            <w:pPr>
              <w:pStyle w:val="Corpsdetexte"/>
            </w:pPr>
          </w:p>
        </w:tc>
      </w:tr>
    </w:tbl>
    <w:p w:rsidR="0035701C" w:rsidRDefault="00FB561B">
      <w:r>
        <w:t>Description de la méthode et des hypothèses et paramètres agronomiques y compris la description des exigences minimales visées à l'article 29, paragraphe 2, du règlement (UE) n° 1305/201</w:t>
      </w:r>
      <w:r>
        <w:t>3 correspondant à chaque type particulier d'engagement, utilisés comme référence pour les calculs justifiant les coûts supplémentaires et les pertes de revenus résultant de l’engagement pris et le niveau des coûts des transactions; le cas échéant, cette mé</w:t>
      </w:r>
      <w:r>
        <w:t>thode tient compte des aides accordées au titre du règlement (UE) n° 1307/2013, et notamment des paiements en faveur des pratiques agricoles bénéfiques pour le climat et l’environnement, afin d’exclure un double financement; le cas échéant, la méthode de c</w:t>
      </w:r>
      <w:r>
        <w:t>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Pratiques de référence </w:t>
            </w:r>
            <w:r>
              <w:rPr>
                <w:szCs w:val="24"/>
              </w:rPr>
              <w:t>: ces milieux ne sont d’ordinaire pas entretenus voire endommagés ou détruits.</w:t>
            </w:r>
          </w:p>
          <w:p w:rsidR="0035701C" w:rsidRDefault="00FB561B">
            <w:pPr>
              <w:spacing w:before="240" w:after="240"/>
              <w:jc w:val="left"/>
              <w:rPr>
                <w:szCs w:val="24"/>
              </w:rPr>
            </w:pPr>
            <w:r>
              <w:rPr>
                <w:b/>
                <w:bCs/>
                <w:i/>
                <w:iCs/>
                <w:szCs w:val="24"/>
              </w:rPr>
              <w:t xml:space="preserve">Prise en compte du verdissement : </w:t>
            </w:r>
            <w:r>
              <w:rPr>
                <w:szCs w:val="24"/>
              </w:rPr>
              <w:t xml:space="preserve">afin d’exclure tout double paiement, </w:t>
            </w:r>
            <w:r>
              <w:rPr>
                <w:szCs w:val="24"/>
              </w:rPr>
              <w:t>les pratiques rémunérées au titre du verdissement sont prises en compte de la façon suivante dans le calcul du montant unitaire de cette opération :</w:t>
            </w:r>
          </w:p>
          <w:p w:rsidR="0035701C" w:rsidRDefault="00FB561B" w:rsidP="00FB561B">
            <w:pPr>
              <w:numPr>
                <w:ilvl w:val="0"/>
                <w:numId w:val="753"/>
              </w:numPr>
              <w:spacing w:before="240" w:after="0"/>
              <w:ind w:hanging="210"/>
              <w:jc w:val="left"/>
              <w:rPr>
                <w:szCs w:val="24"/>
              </w:rPr>
            </w:pPr>
            <w:r>
              <w:rPr>
                <w:szCs w:val="24"/>
              </w:rPr>
              <w:t>maintien de prairies permanentes existantes : cette exigence n’a pas d’interaction avec cette opération.</w:t>
            </w:r>
          </w:p>
          <w:p w:rsidR="0035701C" w:rsidRDefault="00FB561B" w:rsidP="00FB561B">
            <w:pPr>
              <w:numPr>
                <w:ilvl w:val="0"/>
                <w:numId w:val="753"/>
              </w:numPr>
              <w:spacing w:before="0" w:after="0"/>
              <w:ind w:hanging="210"/>
              <w:jc w:val="left"/>
              <w:rPr>
                <w:szCs w:val="24"/>
              </w:rPr>
            </w:pPr>
            <w:r>
              <w:rPr>
                <w:szCs w:val="24"/>
              </w:rPr>
              <w:t>présence de 5 % de SIE (Surfaces d’Intérêt Ecologique) sur les terres arables : cette exigence n’a pas d’interaction avec cette opération.</w:t>
            </w:r>
          </w:p>
          <w:p w:rsidR="0035701C" w:rsidRDefault="00FB561B" w:rsidP="00FB561B">
            <w:pPr>
              <w:numPr>
                <w:ilvl w:val="0"/>
                <w:numId w:val="753"/>
              </w:numPr>
              <w:spacing w:before="0" w:after="240"/>
              <w:ind w:hanging="210"/>
              <w:jc w:val="left"/>
              <w:rPr>
                <w:szCs w:val="24"/>
              </w:rPr>
            </w:pPr>
            <w:r>
              <w:rPr>
                <w:szCs w:val="24"/>
              </w:rPr>
              <w:t>diversification des cultures : cette exigence n’a pas d’interaction avec cette opération.</w:t>
            </w:r>
          </w:p>
          <w:p w:rsidR="0035701C" w:rsidRDefault="00FB561B">
            <w:pPr>
              <w:spacing w:before="240" w:after="240"/>
              <w:jc w:val="left"/>
              <w:rPr>
                <w:szCs w:val="24"/>
              </w:rPr>
            </w:pPr>
            <w:r>
              <w:rPr>
                <w:b/>
                <w:bCs/>
                <w:i/>
                <w:iCs/>
                <w:szCs w:val="24"/>
              </w:rPr>
              <w:t xml:space="preserve">Méthode générale de calcul </w:t>
            </w:r>
            <w:r>
              <w:rPr>
                <w:b/>
                <w:bCs/>
                <w:i/>
                <w:iCs/>
                <w:szCs w:val="24"/>
              </w:rPr>
              <w:t xml:space="preserve">du montant : </w:t>
            </w:r>
            <w:r>
              <w:rPr>
                <w:szCs w:val="24"/>
              </w:rPr>
              <w:t>Le montant de l’aide est calculé par comparaison entre le temps de travail nécessaire à une taille favorable à la biodiversité et à l’entretien du côté du cours d’eau (enlèvement des embâcles) et celui nécessaire à un entretien rapide répondan</w:t>
            </w:r>
            <w:r>
              <w:rPr>
                <w:szCs w:val="24"/>
              </w:rPr>
              <w:t>t aux seuls critères économiques et du surcoût lié au temps d’enregistrement des interventions et des pratiques. Il n’y a pas, dans cette opération, de coût de transaction.</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754"/>
              </w:numPr>
              <w:spacing w:before="240" w:after="0"/>
              <w:ind w:hanging="210"/>
              <w:jc w:val="left"/>
              <w:rPr>
                <w:szCs w:val="24"/>
              </w:rPr>
            </w:pPr>
            <w:r>
              <w:rPr>
                <w:szCs w:val="24"/>
              </w:rPr>
              <w:t xml:space="preserve">temps de travail : </w:t>
            </w:r>
            <w:r>
              <w:rPr>
                <w:i/>
                <w:iCs/>
                <w:szCs w:val="24"/>
              </w:rPr>
              <w:t>références d’entreprises locales spécialisée</w:t>
            </w:r>
            <w:r>
              <w:rPr>
                <w:i/>
                <w:iCs/>
                <w:szCs w:val="24"/>
              </w:rPr>
              <w:t xml:space="preserve">s dans ce type de travaux ou issues du réseau régional d’expérimentations fourragères et de démonstrations (Office du Développement Agricole et Rural de Corse et Office de l’Environnement de la Corse) </w:t>
            </w:r>
          </w:p>
          <w:p w:rsidR="0035701C" w:rsidRDefault="00FB561B" w:rsidP="00FB561B">
            <w:pPr>
              <w:numPr>
                <w:ilvl w:val="0"/>
                <w:numId w:val="754"/>
              </w:numPr>
              <w:spacing w:before="0" w:after="240"/>
              <w:ind w:hanging="210"/>
              <w:jc w:val="left"/>
              <w:rPr>
                <w:szCs w:val="24"/>
              </w:rPr>
            </w:pPr>
            <w:r>
              <w:rPr>
                <w:i/>
                <w:iCs/>
                <w:szCs w:val="24"/>
              </w:rPr>
              <w:t xml:space="preserve">coût horaire de main d’œuvre : 2 fois le coût horaire </w:t>
            </w:r>
            <w:r>
              <w:rPr>
                <w:i/>
                <w:iCs/>
                <w:szCs w:val="24"/>
              </w:rPr>
              <w:t>du SMIC (1er janvier 2014)</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153150" cy="4248150"/>
                  <wp:effectExtent l="0" t="0" r="0" b="0"/>
                  <wp:docPr id="100180" name="Image 100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1" name=""/>
                          <pic:cNvPicPr>
                            <a:picLocks noChangeAspect="1"/>
                          </pic:cNvPicPr>
                        </pic:nvPicPr>
                        <pic:blipFill>
                          <a:blip r:embed="rId102"/>
                          <a:stretch>
                            <a:fillRect/>
                          </a:stretch>
                        </pic:blipFill>
                        <pic:spPr>
                          <a:xfrm>
                            <a:off x="0" y="0"/>
                            <a:ext cx="6153150" cy="4248150"/>
                          </a:xfrm>
                          <a:prstGeom prst="rect">
                            <a:avLst/>
                          </a:prstGeom>
                        </pic:spPr>
                      </pic:pic>
                    </a:graphicData>
                  </a:graphic>
                </wp:inline>
              </w:drawing>
            </w:r>
          </w:p>
          <w:p w:rsidR="0035701C" w:rsidRDefault="00FB561B">
            <w:pPr>
              <w:pStyle w:val="Pieddepage"/>
              <w:jc w:val="center"/>
            </w:pPr>
            <w:r>
              <w:t>Ripisylve</w:t>
            </w:r>
          </w:p>
          <w:p w:rsidR="0035701C" w:rsidRDefault="0035701C">
            <w:pPr>
              <w:pStyle w:val="Pieddepage"/>
              <w:jc w:val="center"/>
            </w:pPr>
          </w:p>
        </w:tc>
      </w:tr>
    </w:tbl>
    <w:p w:rsidR="0035701C" w:rsidRDefault="00FB561B">
      <w:pPr>
        <w:pStyle w:val="Titre5"/>
        <w:rPr>
          <w:b w:val="0"/>
        </w:rPr>
      </w:pPr>
      <w:r>
        <w:rPr>
          <w:b w:val="0"/>
        </w:rPr>
        <w:br w:type="page"/>
        <w:t>-25- ZAL</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755"/>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 titre complet : ZAL =  Maîtrise du combustible sur les ouvrages de Défense </w:t>
            </w:r>
            <w:r>
              <w:rPr>
                <w:b/>
                <w:bCs/>
                <w:szCs w:val="24"/>
              </w:rPr>
              <w:t>des Forêts contre l’Incendie de type Zones d’Appui à la Lutte (ZAL)</w:t>
            </w:r>
          </w:p>
          <w:p w:rsidR="0035701C" w:rsidRDefault="00FB561B">
            <w:pPr>
              <w:spacing w:before="240" w:after="240"/>
              <w:jc w:val="left"/>
              <w:rPr>
                <w:szCs w:val="24"/>
              </w:rPr>
            </w:pPr>
            <w:r>
              <w:rPr>
                <w:szCs w:val="24"/>
              </w:rPr>
              <w:t>Comme indiqué dans le préambule de la mesure 10, la lutte contre les incendies est un enjeu majeur pour l’environnement en Corse. C’est pourquoi, l’île bénéficie d’un Plan de Prévention de</w:t>
            </w:r>
            <w:r>
              <w:rPr>
                <w:szCs w:val="24"/>
              </w:rPr>
              <w:t xml:space="preserve">s Forêts et des Espaces Naturels contre les Incendies de la Corse qui prévoit notamment des Zones d’Appui à la Lutte (ZAL) destinées à cloisonner les massifs pour limiter au maximum les grands incendies de forêts qui ravagent régulièrement l’île impactant </w:t>
            </w:r>
            <w:r>
              <w:rPr>
                <w:szCs w:val="24"/>
              </w:rPr>
              <w:t>sensiblement tant la biodiversité que la qualité et la diversité paysagère.</w:t>
            </w:r>
          </w:p>
          <w:p w:rsidR="0035701C" w:rsidRDefault="00FB561B">
            <w:pPr>
              <w:spacing w:before="240" w:after="240"/>
              <w:jc w:val="left"/>
              <w:rPr>
                <w:szCs w:val="24"/>
              </w:rPr>
            </w:pPr>
            <w:r>
              <w:rPr>
                <w:szCs w:val="24"/>
              </w:rPr>
              <w:t>Situées préférentiellement sur des lignes de crêtes, la ZAL comprend une zone démaquisée d’une largeur minimale de 100 mètres (en règle générale) répartie de façon égale de part et</w:t>
            </w:r>
            <w:r>
              <w:rPr>
                <w:szCs w:val="24"/>
              </w:rPr>
              <w:t xml:space="preserve"> d’autre d’une bande de roulement pour la circulation des véhiculés de secours. Cette coupure de combustible est équipée de points d’eau à intervalles réguliers pour le ravitaillement des camions.</w:t>
            </w:r>
          </w:p>
          <w:p w:rsidR="0035701C" w:rsidRDefault="00FB561B">
            <w:pPr>
              <w:spacing w:before="240" w:after="240"/>
              <w:jc w:val="left"/>
              <w:rPr>
                <w:szCs w:val="24"/>
              </w:rPr>
            </w:pPr>
            <w:r>
              <w:rPr>
                <w:szCs w:val="24"/>
              </w:rPr>
              <w:t>Ces ouvrages qui représentent des superficies importantes s</w:t>
            </w:r>
            <w:r>
              <w:rPr>
                <w:szCs w:val="24"/>
              </w:rPr>
              <w:t>ont parfois intégrés dans la SAU des exploitants agricoles et pâturés par différents cheptels de façon extensive ; leur entretien mécanique est habituellement assuré par les services publics en charge de la prévention des incendies.</w:t>
            </w:r>
          </w:p>
          <w:p w:rsidR="0035701C" w:rsidRDefault="00FB561B">
            <w:pPr>
              <w:spacing w:before="240" w:after="240"/>
              <w:jc w:val="left"/>
              <w:rPr>
                <w:szCs w:val="24"/>
              </w:rPr>
            </w:pPr>
            <w:r>
              <w:rPr>
                <w:szCs w:val="24"/>
              </w:rPr>
              <w:t>L’objectif de cette dém</w:t>
            </w:r>
            <w:r>
              <w:rPr>
                <w:szCs w:val="24"/>
              </w:rPr>
              <w:t>arche est d’associer, pour l’entretien des ouvrages, les exploitants volontaires afin de pérenniser l’intérêt DFCI de l’ouvrage, garantie nécessaire pour éviter que les incendies ne perturbent de façon durable l’environnement de la Corse.</w:t>
            </w:r>
          </w:p>
          <w:p w:rsidR="0035701C" w:rsidRDefault="00FB561B">
            <w:pPr>
              <w:spacing w:before="240" w:after="240"/>
              <w:jc w:val="left"/>
              <w:rPr>
                <w:szCs w:val="24"/>
              </w:rPr>
            </w:pPr>
            <w:r>
              <w:rPr>
                <w:szCs w:val="24"/>
              </w:rPr>
              <w:t>Cet entretien, ca</w:t>
            </w:r>
            <w:r>
              <w:rPr>
                <w:szCs w:val="24"/>
              </w:rPr>
              <w:t xml:space="preserve">lé sur un cahier des charges précis, devra concilier un double objectif, participer à l’alimentation des cheptels et prévenir efficacement les incendies en maîtrisant la masse de combustible avant chaque été. En effet, au début de la saison des incendies, </w:t>
            </w:r>
            <w:r>
              <w:rPr>
                <w:szCs w:val="24"/>
              </w:rPr>
              <w:t>certaines parcelles utilisées pour le pâturage sont susceptibles de présenter des ressources fourragères pour les troupeaux. Or, en l’état, elles constituent un risque pour la propagation des feux et pour l’efficacité de la lutte puisqu’elles rendent les Z</w:t>
            </w:r>
            <w:r>
              <w:rPr>
                <w:szCs w:val="24"/>
              </w:rPr>
              <w:t>AL inopérantes. Le girobroyage des parcelles à une date fixe implique d’éliminer une partie de la ressource qui aurait pu être consommée par les animaux (espèces fourragères), de l’ordre de 1 tonne de Matière Sèche / ha /an.</w:t>
            </w:r>
          </w:p>
          <w:p w:rsidR="0035701C" w:rsidRDefault="00FB561B">
            <w:pPr>
              <w:spacing w:before="240" w:after="240"/>
              <w:jc w:val="left"/>
              <w:rPr>
                <w:szCs w:val="24"/>
              </w:rPr>
            </w:pPr>
            <w:r>
              <w:rPr>
                <w:b/>
                <w:bCs/>
                <w:i/>
                <w:iCs/>
                <w:szCs w:val="24"/>
              </w:rPr>
              <w:t>Cahier des charges</w:t>
            </w:r>
            <w:r>
              <w:rPr>
                <w:szCs w:val="24"/>
              </w:rPr>
              <w:t> :</w:t>
            </w:r>
          </w:p>
          <w:p w:rsidR="0035701C" w:rsidRDefault="00FB561B" w:rsidP="00FB561B">
            <w:pPr>
              <w:numPr>
                <w:ilvl w:val="0"/>
                <w:numId w:val="756"/>
              </w:numPr>
              <w:spacing w:before="240" w:after="0"/>
              <w:ind w:hanging="210"/>
              <w:jc w:val="left"/>
              <w:rPr>
                <w:szCs w:val="24"/>
              </w:rPr>
            </w:pPr>
            <w:r>
              <w:rPr>
                <w:szCs w:val="24"/>
              </w:rPr>
              <w:t>l’agricult</w:t>
            </w:r>
            <w:r>
              <w:rPr>
                <w:szCs w:val="24"/>
              </w:rPr>
              <w:t>eur doit supprimer obligatoirement par girobroyage, chaque année entre le</w:t>
            </w:r>
            <w:r>
              <w:rPr>
                <w:b/>
                <w:bCs/>
                <w:szCs w:val="24"/>
              </w:rPr>
              <w:t xml:space="preserve"> 1er mai et le 30 juin</w:t>
            </w:r>
            <w:r>
              <w:rPr>
                <w:szCs w:val="24"/>
              </w:rPr>
              <w:t xml:space="preserve">, le combustible (herbacé et ligneux) non consommé. Ce broyage de la végétation doit obligatoirement être réalisé de la façon la plus fine possible, avec des </w:t>
            </w:r>
            <w:r>
              <w:rPr>
                <w:szCs w:val="24"/>
              </w:rPr>
              <w:t>outils adaptés,</w:t>
            </w:r>
          </w:p>
          <w:p w:rsidR="0035701C" w:rsidRDefault="00FB561B" w:rsidP="00FB561B">
            <w:pPr>
              <w:numPr>
                <w:ilvl w:val="0"/>
                <w:numId w:val="756"/>
              </w:numPr>
              <w:spacing w:before="0" w:after="0"/>
              <w:ind w:hanging="210"/>
              <w:jc w:val="left"/>
              <w:rPr>
                <w:szCs w:val="24"/>
              </w:rPr>
            </w:pPr>
            <w:r>
              <w:rPr>
                <w:szCs w:val="24"/>
              </w:rPr>
              <w:t>le recours à un traitement chimique pour éliminer la végétation est interdit,</w:t>
            </w:r>
          </w:p>
          <w:p w:rsidR="0035701C" w:rsidRDefault="00FB561B" w:rsidP="00FB561B">
            <w:pPr>
              <w:numPr>
                <w:ilvl w:val="0"/>
                <w:numId w:val="756"/>
              </w:numPr>
              <w:spacing w:before="0" w:after="0"/>
              <w:ind w:hanging="210"/>
              <w:jc w:val="left"/>
              <w:rPr>
                <w:szCs w:val="24"/>
              </w:rPr>
            </w:pPr>
            <w:r>
              <w:rPr>
                <w:szCs w:val="24"/>
              </w:rPr>
              <w:t>si l’agriculteur souhaite enrichir la strate herbacée obtenue, il doit obligatoirement utiliser des espèces fourragères méditerranéennes et utiliser des technique</w:t>
            </w:r>
            <w:r>
              <w:rPr>
                <w:szCs w:val="24"/>
              </w:rPr>
              <w:t>s culturales simplifiées uniquement (semis direct ou sursemis)</w:t>
            </w:r>
          </w:p>
          <w:p w:rsidR="0035701C" w:rsidRDefault="00FB561B" w:rsidP="00FB561B">
            <w:pPr>
              <w:numPr>
                <w:ilvl w:val="0"/>
                <w:numId w:val="756"/>
              </w:numPr>
              <w:spacing w:before="0" w:after="0"/>
              <w:ind w:hanging="210"/>
              <w:jc w:val="left"/>
              <w:rPr>
                <w:szCs w:val="24"/>
              </w:rPr>
            </w:pPr>
            <w:r>
              <w:rPr>
                <w:szCs w:val="24"/>
              </w:rPr>
              <w:t>le retournement des surfaces engagées est interdit pendant la durée du contrat</w:t>
            </w:r>
          </w:p>
          <w:p w:rsidR="0035701C" w:rsidRDefault="00FB561B" w:rsidP="00FB561B">
            <w:pPr>
              <w:numPr>
                <w:ilvl w:val="0"/>
                <w:numId w:val="756"/>
              </w:numPr>
              <w:spacing w:before="0" w:after="240"/>
              <w:ind w:hanging="210"/>
              <w:jc w:val="left"/>
              <w:rPr>
                <w:szCs w:val="24"/>
              </w:rPr>
            </w:pPr>
            <w:r>
              <w:rPr>
                <w:szCs w:val="24"/>
              </w:rPr>
              <w:t>l’agriculteur doit assurer l’enregistrement des différentes interventions et des pratiques réalisées dans un docum</w:t>
            </w:r>
            <w:r>
              <w:rPr>
                <w:szCs w:val="24"/>
              </w:rPr>
              <w:t>ent normé prévu à cet effet. Ce document sera remis à l’agriculteur à l’issue du diagnostic obligatoire réalisé par le service instructeur.</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 xml:space="preserve">Le </w:t>
            </w:r>
            <w:r>
              <w:rPr>
                <w:szCs w:val="24"/>
              </w:rPr>
              <w:t>montant de la rémunération est en euros / ha /an.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757"/>
              </w:numPr>
              <w:spacing w:before="240" w:after="0"/>
              <w:ind w:hanging="210"/>
              <w:jc w:val="left"/>
              <w:rPr>
                <w:szCs w:val="24"/>
              </w:rPr>
            </w:pPr>
            <w:r>
              <w:rPr>
                <w:szCs w:val="24"/>
              </w:rPr>
              <w:t xml:space="preserve">les exigences établies en vertu de l’article 93 du Titre VI du règlement UE n° 1306/2013 relatif à </w:t>
            </w:r>
            <w:r>
              <w:rPr>
                <w:szCs w:val="24"/>
              </w:rPr>
              <w:t>la conditionnalité,</w:t>
            </w:r>
          </w:p>
          <w:p w:rsidR="0035701C" w:rsidRDefault="00FB561B" w:rsidP="00FB561B">
            <w:pPr>
              <w:numPr>
                <w:ilvl w:val="0"/>
                <w:numId w:val="757"/>
              </w:numPr>
              <w:spacing w:before="0" w:after="0"/>
              <w:ind w:hanging="210"/>
              <w:jc w:val="left"/>
              <w:rPr>
                <w:szCs w:val="24"/>
              </w:rPr>
            </w:pPr>
            <w:r>
              <w:rPr>
                <w:szCs w:val="24"/>
              </w:rPr>
              <w:t>les exigences établies en vertu de l’article 4.1c points ii) et iii) du règlement UE n°1307/2013 relatif à l’état d’entretien minimum des surfaces</w:t>
            </w:r>
          </w:p>
          <w:p w:rsidR="0035701C" w:rsidRDefault="00FB561B" w:rsidP="00FB561B">
            <w:pPr>
              <w:numPr>
                <w:ilvl w:val="0"/>
                <w:numId w:val="757"/>
              </w:numPr>
              <w:spacing w:before="0" w:after="240"/>
              <w:ind w:hanging="210"/>
              <w:jc w:val="left"/>
              <w:rPr>
                <w:szCs w:val="24"/>
              </w:rPr>
            </w:pPr>
            <w:r>
              <w:rPr>
                <w:szCs w:val="24"/>
              </w:rPr>
              <w:t xml:space="preserve">toute autre exigence pertinente établie par la réglementation nationale, tel le Code des </w:t>
            </w:r>
            <w:r>
              <w:rPr>
                <w:szCs w:val="24"/>
              </w:rPr>
              <w:t>Bonnes Pratiques Agricoles pris par arrêté du 22 novembre 1993</w:t>
            </w:r>
          </w:p>
          <w:p w:rsidR="0035701C" w:rsidRDefault="00FB561B">
            <w:pPr>
              <w:spacing w:before="240" w:after="240"/>
              <w:jc w:val="left"/>
              <w:rPr>
                <w:szCs w:val="24"/>
              </w:rPr>
            </w:pPr>
            <w:r>
              <w:rPr>
                <w:szCs w:val="24"/>
              </w:rPr>
              <w:t>Ces éléments sont détaillés au paragraphe « Information spécifique à l’opération – Description de la ligne de base » de la présente fiche-opération.</w:t>
            </w:r>
          </w:p>
          <w:p w:rsidR="0035701C" w:rsidRDefault="00FB561B">
            <w:pPr>
              <w:spacing w:before="240" w:after="240"/>
              <w:jc w:val="left"/>
              <w:rPr>
                <w:szCs w:val="24"/>
              </w:rPr>
            </w:pPr>
            <w:r>
              <w:rPr>
                <w:szCs w:val="24"/>
              </w:rPr>
              <w:t>Afin d’exclure tout double paiement, les pra</w:t>
            </w:r>
            <w:r>
              <w:rPr>
                <w:szCs w:val="24"/>
              </w:rPr>
              <w:t xml:space="preserve">tiques visées à l’article 43 du règlement UE n° 1307/2013 sont prises en compte dans le calcul des surcoûts et manques à gagner. La méthode de calcul est détaillée au paragraphe « Information spécifique à l’opération – Méthode de calcul du montant » de la </w:t>
            </w:r>
            <w:r>
              <w:rPr>
                <w:szCs w:val="24"/>
              </w:rPr>
              <w:t>présente fiche-opération.</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sont les surcoûts, manques à gagner et éventuels coûts d’opportunité et de transaction générés par le respect éléments</w:t>
            </w:r>
            <w:r>
              <w:rPr>
                <w:szCs w:val="24"/>
              </w:rPr>
              <w:t xml:space="preserve"> contractualisés.</w:t>
            </w:r>
          </w:p>
          <w:p w:rsidR="0035701C" w:rsidRDefault="00FB561B">
            <w:pPr>
              <w:spacing w:before="240" w:after="240"/>
              <w:jc w:val="left"/>
              <w:rPr>
                <w:szCs w:val="24"/>
              </w:rPr>
            </w:pPr>
            <w:r>
              <w:rPr>
                <w:szCs w:val="24"/>
              </w:rPr>
              <w:t>Dans le cas de cette opération, sont pris en compte des surcoûts et des manques à gagner.</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La réalisation d’un diagnostic d’exploitation préalable à la souscription de cette opération est obligatoire.</w:t>
            </w:r>
          </w:p>
          <w:p w:rsidR="0035701C" w:rsidRDefault="00FB561B">
            <w:pPr>
              <w:spacing w:before="240" w:after="240"/>
              <w:jc w:val="left"/>
              <w:rPr>
                <w:szCs w:val="24"/>
              </w:rPr>
            </w:pPr>
            <w:r>
              <w:rPr>
                <w:b/>
                <w:bCs/>
                <w:i/>
                <w:iCs/>
                <w:szCs w:val="24"/>
              </w:rPr>
              <w:t xml:space="preserve">Surfaces </w:t>
            </w:r>
            <w:r>
              <w:rPr>
                <w:b/>
                <w:bCs/>
                <w:i/>
                <w:iCs/>
                <w:szCs w:val="24"/>
              </w:rPr>
              <w:t>éligibles:</w:t>
            </w:r>
          </w:p>
          <w:p w:rsidR="0035701C" w:rsidRDefault="00FB561B">
            <w:pPr>
              <w:spacing w:before="240" w:after="240"/>
              <w:jc w:val="left"/>
              <w:rPr>
                <w:szCs w:val="24"/>
              </w:rPr>
            </w:pPr>
            <w:r>
              <w:rPr>
                <w:b/>
                <w:bCs/>
                <w:szCs w:val="24"/>
              </w:rPr>
              <w:t>Cette mesure sera mise en œuvre uniquement sur les ouvrages définis comme ZAL et prévus dans les documents de programmation de type PLPI (plan local de prévention contre les incendies) et PRMF (protection rapprochée des massifs forestiers).</w:t>
            </w:r>
          </w:p>
          <w:p w:rsidR="0035701C" w:rsidRDefault="00FB561B">
            <w:pPr>
              <w:spacing w:before="240" w:after="240"/>
              <w:jc w:val="left"/>
              <w:rPr>
                <w:szCs w:val="24"/>
              </w:rPr>
            </w:pPr>
            <w:r>
              <w:rPr>
                <w:szCs w:val="24"/>
              </w:rPr>
              <w:t xml:space="preserve">Les </w:t>
            </w:r>
            <w:r>
              <w:rPr>
                <w:szCs w:val="24"/>
              </w:rPr>
              <w:t>couverts éligibles sont les repousses ligneuses après traitement initial des:</w:t>
            </w:r>
          </w:p>
          <w:p w:rsidR="0035701C" w:rsidRDefault="00FB561B" w:rsidP="00FB561B">
            <w:pPr>
              <w:numPr>
                <w:ilvl w:val="0"/>
                <w:numId w:val="758"/>
              </w:numPr>
              <w:spacing w:before="240" w:after="0"/>
              <w:ind w:hanging="210"/>
              <w:jc w:val="left"/>
              <w:rPr>
                <w:szCs w:val="24"/>
              </w:rPr>
            </w:pPr>
            <w:r>
              <w:rPr>
                <w:szCs w:val="24"/>
              </w:rPr>
              <w:t>maquis constitués par les cistaies,</w:t>
            </w:r>
          </w:p>
          <w:p w:rsidR="0035701C" w:rsidRDefault="00FB561B" w:rsidP="00FB561B">
            <w:pPr>
              <w:numPr>
                <w:ilvl w:val="0"/>
                <w:numId w:val="758"/>
              </w:numPr>
              <w:spacing w:before="0" w:after="0"/>
              <w:ind w:hanging="210"/>
              <w:jc w:val="left"/>
              <w:rPr>
                <w:szCs w:val="24"/>
              </w:rPr>
            </w:pPr>
            <w:r>
              <w:rPr>
                <w:szCs w:val="24"/>
              </w:rPr>
              <w:t>maquis à base de bruyère, arbousier, filaire,….</w:t>
            </w:r>
          </w:p>
          <w:p w:rsidR="0035701C" w:rsidRDefault="00FB561B" w:rsidP="00FB561B">
            <w:pPr>
              <w:numPr>
                <w:ilvl w:val="0"/>
                <w:numId w:val="758"/>
              </w:numPr>
              <w:spacing w:before="0" w:after="240"/>
              <w:ind w:hanging="210"/>
              <w:jc w:val="left"/>
              <w:rPr>
                <w:szCs w:val="24"/>
              </w:rPr>
            </w:pPr>
            <w:r>
              <w:rPr>
                <w:szCs w:val="24"/>
              </w:rPr>
              <w:t>maquis arborés.</w:t>
            </w:r>
          </w:p>
          <w:p w:rsidR="0035701C" w:rsidRDefault="00FB561B">
            <w:pPr>
              <w:spacing w:before="240" w:after="240"/>
              <w:jc w:val="left"/>
              <w:rPr>
                <w:szCs w:val="24"/>
              </w:rPr>
            </w:pPr>
            <w:r>
              <w:rPr>
                <w:szCs w:val="24"/>
              </w:rPr>
              <w:t>Les ZAL créées par décapage du sol ne sont pas éligibles à cette opération car</w:t>
            </w:r>
            <w:r>
              <w:rPr>
                <w:szCs w:val="24"/>
              </w:rPr>
              <w:t xml:space="preserve"> cet itinéraire technique freine considérablement la repousse des ligneux, annihile quasi totalement la repousse des herbacées nécessaires à l’alimentation des cheptels et entraîne une perte de biodiversité.</w:t>
            </w:r>
          </w:p>
          <w:p w:rsidR="0035701C" w:rsidRDefault="0035701C">
            <w:pPr>
              <w:pStyle w:val="Corpsdetexte"/>
            </w:pPr>
          </w:p>
        </w:tc>
      </w:tr>
    </w:tbl>
    <w:p w:rsidR="0035701C" w:rsidRDefault="00FB561B">
      <w:pPr>
        <w:pStyle w:val="Titre6"/>
      </w:pPr>
      <w:r>
        <w:t>Principes applicables à l'établissement des cr</w:t>
      </w:r>
      <w:r>
        <w:t>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de l’aide est de </w:t>
            </w:r>
            <w:r>
              <w:rPr>
                <w:b/>
                <w:bCs/>
                <w:szCs w:val="24"/>
              </w:rPr>
              <w:t>402,90</w:t>
            </w:r>
            <w:r>
              <w:rPr>
                <w:szCs w:val="24"/>
              </w:rPr>
              <w:t xml:space="preserve"> </w:t>
            </w:r>
            <w:r>
              <w:rPr>
                <w:b/>
                <w:bCs/>
                <w:szCs w:val="24"/>
              </w:rPr>
              <w:t>€ / ha / an</w:t>
            </w:r>
            <w:r>
              <w:rPr>
                <w:szCs w:val="24"/>
              </w:rPr>
              <w:t xml:space="preserve">, auquel vient s’ajouter une somme forfaitaire de </w:t>
            </w:r>
            <w:r>
              <w:rPr>
                <w:b/>
                <w:bCs/>
                <w:szCs w:val="24"/>
              </w:rPr>
              <w:t>57,18 €/an</w:t>
            </w:r>
            <w:r>
              <w:rPr>
                <w:szCs w:val="24"/>
              </w:rPr>
              <w:t xml:space="preserve"> liée à l’enregistrement des pratiques et des interventions.</w:t>
            </w:r>
          </w:p>
          <w:p w:rsidR="0035701C" w:rsidRDefault="00FB561B">
            <w:pPr>
              <w:spacing w:before="240" w:after="240"/>
              <w:jc w:val="left"/>
              <w:rPr>
                <w:szCs w:val="24"/>
              </w:rPr>
            </w:pPr>
            <w:r>
              <w:rPr>
                <w:szCs w:val="24"/>
              </w:rPr>
              <w:t>Il est rappelé que le plafond communautaire pour ce type de couvert (autres utilisations des terres) est de 450 €/ha/an (incluant le forfait annuel).</w:t>
            </w:r>
          </w:p>
          <w:p w:rsidR="0035701C" w:rsidRDefault="0035701C">
            <w:pPr>
              <w:pStyle w:val="Corpsdetexte"/>
            </w:pPr>
          </w:p>
        </w:tc>
      </w:tr>
    </w:tbl>
    <w:p w:rsidR="0035701C" w:rsidRDefault="00FB561B">
      <w:pPr>
        <w:pStyle w:val="Titre6"/>
      </w:pPr>
      <w:r>
        <w:t>Caractère vérifiable et contrôlable des mes</w:t>
      </w:r>
      <w:r>
        <w:t>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des éléments du </w:t>
      </w:r>
      <w:r>
        <w:t xml:space="preserve">niveau de référence applicable, qui doivent inclure les normes obligatoires établies en application du titre VI, chapitre I, du règlement (UE) n° 1306/2013 du Parlement européen et du Conseil, les critères pertinents et les activités minimales établies en </w:t>
      </w:r>
      <w:r>
        <w:t>application de l'article 4, paragraphe 1, point c) ii) et c) iii), du règlement (UE) n° 1307/2013 du Parlement européen et du Conseil, les exigences minimales applicables à l'utilisation des engrais et des produits phytosanitaire ainsi que les autres exige</w:t>
      </w:r>
      <w:r>
        <w:t>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Si les pratiques rémunérées au titre de la présente opération sont rendues obligatoires sur des zones au titre de la protection de la biodiversité (notamment des zones classées au</w:t>
            </w:r>
            <w:r>
              <w:rPr>
                <w:szCs w:val="24"/>
              </w:rPr>
              <w:t xml:space="preserve"> titre des réserves naturelles des arrêtés de protection de biotopes), celle-ci ne peut être ouverte sur les zones concernées.</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890044"/>
                  <wp:effectExtent l="0" t="0" r="0" b="0"/>
                  <wp:docPr id="100182" name="Image 100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3" name=""/>
                          <pic:cNvPicPr>
                            <a:picLocks noChangeAspect="1"/>
                          </pic:cNvPicPr>
                        </pic:nvPicPr>
                        <pic:blipFill>
                          <a:blip r:embed="rId103"/>
                          <a:stretch>
                            <a:fillRect/>
                          </a:stretch>
                        </pic:blipFill>
                        <pic:spPr>
                          <a:xfrm>
                            <a:off x="0" y="0"/>
                            <a:ext cx="6629400" cy="1890044"/>
                          </a:xfrm>
                          <a:prstGeom prst="rect">
                            <a:avLst/>
                          </a:prstGeom>
                        </pic:spPr>
                      </pic:pic>
                    </a:graphicData>
                  </a:graphic>
                </wp:inline>
              </w:drawing>
            </w:r>
          </w:p>
          <w:p w:rsidR="0035701C" w:rsidRDefault="00FB561B">
            <w:pPr>
              <w:pStyle w:val="Pieddepage"/>
              <w:jc w:val="center"/>
            </w:pPr>
            <w:r>
              <w:t>ZAL_lignebase</w:t>
            </w:r>
          </w:p>
          <w:p w:rsidR="0035701C" w:rsidRDefault="0035701C">
            <w:pPr>
              <w:pStyle w:val="Pieddepage"/>
              <w:jc w:val="center"/>
            </w:pPr>
          </w:p>
        </w:tc>
      </w:tr>
    </w:tbl>
    <w:p w:rsidR="0035701C" w:rsidRDefault="00FB561B">
      <w:r>
        <w:t xml:space="preserve">Les exigences minimales relatives à l'utilisation d'engrais doivent comprendre, entre autres, le respect des </w:t>
      </w:r>
      <w:r>
        <w:t>codes de bonnes pratiques introduits au titre de la directive 91/676/CEE pour les exploitations situées en dehors des zones vulnérables aux nitrates, et des exigences concernant la pollution au phosphore; les exigences minimales relatives à l'utilisation d</w:t>
      </w:r>
      <w:r>
        <w:t>e produits phytosanitaires doivent comprendre, entre autres, les principes généraux de la lutte intégrée contre les ennemis des cultures introduits par la directive 2009/128/CE du Parlement européen et du Conseil, l’obligation de détenir une autorisation d</w:t>
      </w:r>
      <w:r>
        <w:t>’utiliser les produits, de satisfaire aux conditions de formation, d’assurer un stockage sûr et de contrôler les équipements destinés à l’épandage ainsi que les règles relatives à l’utilisation de pesticides à proximité d’étendues d’eau et d’autres sites s</w:t>
      </w:r>
      <w:r>
        <w:t>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Liste des races locales qui sont menacées d’être perdues pour l’agriculture et des ressources génétiques végétales qui sont menacées d</w:t>
      </w:r>
      <w:r>
        <w:t>’érosion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préservation des ressources génétiques.</w:t>
            </w:r>
          </w:p>
          <w:p w:rsidR="0035701C" w:rsidRDefault="0035701C">
            <w:pPr>
              <w:pStyle w:val="Corpsdetexte"/>
            </w:pPr>
          </w:p>
        </w:tc>
      </w:tr>
    </w:tbl>
    <w:p w:rsidR="0035701C" w:rsidRDefault="00FB561B">
      <w:r>
        <w:t xml:space="preserve">Description de la méthode et des hypothèses et paramètres agronomiques y compris la description des exigences minimales visées à l'article 29, paragraphe 2, du </w:t>
      </w:r>
      <w:r>
        <w:t>règlement (UE) n° 1305/2013 correspondant à chaque type particulier d'engagement, utilisés comme référence pour les calculs justifiant les coûts supplémentaires et les pertes de revenus résultant de l’engagement pris et le niveau des coûts des transactions</w:t>
      </w:r>
      <w:r>
        <w:t>; le cas échéant, cette méthode tient compte des aides accordées au titre du règlement (UE) n° 1307/2013, et notamment des paiements en faveur des pratiques agricoles bénéfiques pour le climat et l’environnement, afin d’exclure un double financement; le ca</w:t>
      </w:r>
      <w:r>
        <w:t>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Pratiques de référence : </w:t>
            </w:r>
            <w:r>
              <w:rPr>
                <w:szCs w:val="24"/>
              </w:rPr>
              <w:t>habituellement, l’entretien des ZAL est assuré par les services publics (Sapeurs-Forestiers départementaux)</w:t>
            </w:r>
          </w:p>
          <w:p w:rsidR="0035701C" w:rsidRDefault="00FB561B">
            <w:pPr>
              <w:spacing w:before="240" w:after="240"/>
              <w:jc w:val="left"/>
              <w:rPr>
                <w:szCs w:val="24"/>
              </w:rPr>
            </w:pPr>
            <w:r>
              <w:rPr>
                <w:b/>
                <w:bCs/>
                <w:i/>
                <w:iCs/>
                <w:szCs w:val="24"/>
              </w:rPr>
              <w:t xml:space="preserve">Prise en compte du verdissement : </w:t>
            </w:r>
            <w:r>
              <w:rPr>
                <w:szCs w:val="24"/>
              </w:rPr>
              <w:t>afin d’exclure tout double paiement, les pratiques rémunérées au titre du verdissement sont prises en compte de la façon suivante dans le calcul du montant unitaire de cette opération :</w:t>
            </w:r>
          </w:p>
          <w:p w:rsidR="0035701C" w:rsidRDefault="00FB561B" w:rsidP="00FB561B">
            <w:pPr>
              <w:numPr>
                <w:ilvl w:val="0"/>
                <w:numId w:val="759"/>
              </w:numPr>
              <w:spacing w:before="240" w:after="240"/>
              <w:ind w:hanging="210"/>
              <w:jc w:val="left"/>
              <w:rPr>
                <w:szCs w:val="24"/>
              </w:rPr>
            </w:pPr>
            <w:r>
              <w:rPr>
                <w:szCs w:val="24"/>
              </w:rPr>
              <w:t>maintien de prairies permanentes exi</w:t>
            </w:r>
            <w:r>
              <w:rPr>
                <w:szCs w:val="24"/>
              </w:rPr>
              <w:t>stantes : cette exigence a une interaction avec cette opération. L’obligation de maintien des prairies et pâturages permanentes doit être respectée à l’échelle de la parcelle engagée, ce qui est plus contraignant que le verdissement qui s’applique à l’éche</w:t>
            </w:r>
            <w:r>
              <w:rPr>
                <w:szCs w:val="24"/>
              </w:rPr>
              <w:t>lle régionale. Par ailleurs, cette obligation n’est pas rémunérée.</w:t>
            </w:r>
          </w:p>
          <w:p w:rsidR="0035701C" w:rsidRDefault="00FB561B" w:rsidP="00FB561B">
            <w:pPr>
              <w:numPr>
                <w:ilvl w:val="0"/>
                <w:numId w:val="760"/>
              </w:numPr>
              <w:spacing w:before="240" w:after="0"/>
              <w:ind w:hanging="210"/>
              <w:jc w:val="left"/>
              <w:rPr>
                <w:szCs w:val="24"/>
              </w:rPr>
            </w:pPr>
            <w:r>
              <w:rPr>
                <w:szCs w:val="24"/>
              </w:rPr>
              <w:t>présence de 5 % de SIE (Surfaces d’Intérêt Ecologique) sur les terres arables : cette exigence n’a pas d’interaction avec cette opération,</w:t>
            </w:r>
          </w:p>
          <w:p w:rsidR="0035701C" w:rsidRDefault="00FB561B" w:rsidP="00FB561B">
            <w:pPr>
              <w:numPr>
                <w:ilvl w:val="0"/>
                <w:numId w:val="760"/>
              </w:numPr>
              <w:spacing w:before="0" w:after="240"/>
              <w:ind w:hanging="210"/>
              <w:jc w:val="left"/>
              <w:rPr>
                <w:szCs w:val="24"/>
              </w:rPr>
            </w:pPr>
            <w:r>
              <w:rPr>
                <w:szCs w:val="24"/>
              </w:rPr>
              <w:t xml:space="preserve">diversification des cultures : cette exigence n’a </w:t>
            </w:r>
            <w:r>
              <w:rPr>
                <w:szCs w:val="24"/>
              </w:rPr>
              <w:t>pas d’interaction avec cette opération.</w:t>
            </w:r>
          </w:p>
          <w:p w:rsidR="0035701C" w:rsidRDefault="00FB561B">
            <w:pPr>
              <w:spacing w:before="240" w:after="240"/>
              <w:jc w:val="left"/>
              <w:rPr>
                <w:szCs w:val="24"/>
              </w:rPr>
            </w:pPr>
            <w:r>
              <w:rPr>
                <w:b/>
                <w:bCs/>
                <w:i/>
                <w:iCs/>
                <w:szCs w:val="24"/>
              </w:rPr>
              <w:t>Méthode générale de calcul du montant :</w:t>
            </w:r>
            <w:r>
              <w:rPr>
                <w:szCs w:val="24"/>
              </w:rPr>
              <w:t xml:space="preserve"> le montant de l’aide est calculé sur la base de l’utilisation du matériel, du temps de travail et de la perte fourragère générée par l’intervention. Le surcoût lié au temps d’e</w:t>
            </w:r>
            <w:r>
              <w:rPr>
                <w:szCs w:val="24"/>
              </w:rPr>
              <w:t>nregistrement des interventions et des pratiques est rémunéré sous forme forfaitaire indépendamment de la surface engagée. Il n’y a pas, dans cette opération, de coût de transaction.</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761"/>
              </w:numPr>
              <w:spacing w:before="240" w:after="0"/>
              <w:ind w:hanging="210"/>
              <w:jc w:val="left"/>
              <w:rPr>
                <w:szCs w:val="24"/>
              </w:rPr>
            </w:pPr>
            <w:r>
              <w:rPr>
                <w:szCs w:val="24"/>
              </w:rPr>
              <w:t>UFL : Unité Fourragère Lait, MS : Matière Sèche</w:t>
            </w:r>
          </w:p>
          <w:p w:rsidR="0035701C" w:rsidRDefault="00FB561B" w:rsidP="00FB561B">
            <w:pPr>
              <w:numPr>
                <w:ilvl w:val="0"/>
                <w:numId w:val="761"/>
              </w:numPr>
              <w:spacing w:before="0" w:after="0"/>
              <w:ind w:hanging="210"/>
              <w:jc w:val="left"/>
              <w:rPr>
                <w:szCs w:val="24"/>
              </w:rPr>
            </w:pPr>
            <w:r>
              <w:rPr>
                <w:szCs w:val="24"/>
              </w:rPr>
              <w:t xml:space="preserve">coût </w:t>
            </w:r>
            <w:r>
              <w:rPr>
                <w:szCs w:val="24"/>
              </w:rPr>
              <w:t xml:space="preserve">du matériel : </w:t>
            </w:r>
            <w:r>
              <w:rPr>
                <w:i/>
                <w:iCs/>
                <w:szCs w:val="24"/>
              </w:rPr>
              <w:t>Bureau de Coordination du Machinisme Agricole (BCMA),  barème des façons culturales 2014</w:t>
            </w:r>
          </w:p>
          <w:p w:rsidR="0035701C" w:rsidRDefault="00FB561B" w:rsidP="00FB561B">
            <w:pPr>
              <w:numPr>
                <w:ilvl w:val="0"/>
                <w:numId w:val="761"/>
              </w:numPr>
              <w:spacing w:before="0" w:after="0"/>
              <w:ind w:hanging="210"/>
              <w:jc w:val="left"/>
              <w:rPr>
                <w:szCs w:val="24"/>
              </w:rPr>
            </w:pPr>
            <w:r>
              <w:rPr>
                <w:i/>
                <w:iCs/>
                <w:szCs w:val="24"/>
              </w:rPr>
              <w:t xml:space="preserve">temps de travail : références locales issues du réseau régional d’expérimentations fourragères et de démonstrations (Office du Développement Agricole et </w:t>
            </w:r>
            <w:r>
              <w:rPr>
                <w:i/>
                <w:iCs/>
                <w:szCs w:val="24"/>
              </w:rPr>
              <w:t>Rural de Corse et Office de l’Environnement de la Corse)</w:t>
            </w:r>
          </w:p>
          <w:p w:rsidR="0035701C" w:rsidRDefault="00FB561B" w:rsidP="00FB561B">
            <w:pPr>
              <w:numPr>
                <w:ilvl w:val="0"/>
                <w:numId w:val="761"/>
              </w:numPr>
              <w:spacing w:before="0" w:after="0"/>
              <w:ind w:hanging="210"/>
              <w:jc w:val="left"/>
              <w:rPr>
                <w:szCs w:val="24"/>
              </w:rPr>
            </w:pPr>
            <w:r>
              <w:rPr>
                <w:szCs w:val="24"/>
              </w:rPr>
              <w:t>niveaux de production des prairies, perte de biomasse et valeur en UFL:</w:t>
            </w:r>
            <w:r>
              <w:rPr>
                <w:i/>
                <w:iCs/>
                <w:szCs w:val="24"/>
              </w:rPr>
              <w:t xml:space="preserve"> références locales issues du réseau régional d’expérimentations fourragères et de démonstrations (Office du Développement Agric</w:t>
            </w:r>
            <w:r>
              <w:rPr>
                <w:i/>
                <w:iCs/>
                <w:szCs w:val="24"/>
              </w:rPr>
              <w:t>ole et Rural de Corse et Office de l’Environnement de la Corse)</w:t>
            </w:r>
          </w:p>
          <w:p w:rsidR="0035701C" w:rsidRDefault="00FB561B" w:rsidP="00FB561B">
            <w:pPr>
              <w:numPr>
                <w:ilvl w:val="0"/>
                <w:numId w:val="761"/>
              </w:numPr>
              <w:spacing w:before="0" w:after="0"/>
              <w:ind w:hanging="210"/>
              <w:jc w:val="left"/>
              <w:rPr>
                <w:szCs w:val="24"/>
              </w:rPr>
            </w:pPr>
            <w:r>
              <w:rPr>
                <w:szCs w:val="24"/>
              </w:rPr>
              <w:t>coût UFL :</w:t>
            </w:r>
            <w:r>
              <w:rPr>
                <w:i/>
                <w:iCs/>
                <w:szCs w:val="24"/>
              </w:rPr>
              <w:t xml:space="preserve"> coopératives locales</w:t>
            </w:r>
          </w:p>
          <w:p w:rsidR="0035701C" w:rsidRDefault="00FB561B" w:rsidP="00FB561B">
            <w:pPr>
              <w:numPr>
                <w:ilvl w:val="0"/>
                <w:numId w:val="761"/>
              </w:numPr>
              <w:spacing w:before="0" w:after="240"/>
              <w:ind w:hanging="210"/>
              <w:jc w:val="left"/>
              <w:rPr>
                <w:szCs w:val="24"/>
              </w:rPr>
            </w:pPr>
            <w:r>
              <w:rPr>
                <w:szCs w:val="24"/>
              </w:rPr>
              <w:t xml:space="preserve">coût horaire de main d’œuvre : </w:t>
            </w:r>
            <w:r>
              <w:rPr>
                <w:i/>
                <w:iCs/>
                <w:szCs w:val="24"/>
              </w:rPr>
              <w:t>2 fois le coût horaire du SMIC (1er janvier 2014).</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105525" cy="3124200"/>
                  <wp:effectExtent l="0" t="0" r="0" b="0"/>
                  <wp:docPr id="100184" name="Image 100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5" name=""/>
                          <pic:cNvPicPr>
                            <a:picLocks noChangeAspect="1"/>
                          </pic:cNvPicPr>
                        </pic:nvPicPr>
                        <pic:blipFill>
                          <a:blip r:embed="rId104"/>
                          <a:stretch>
                            <a:fillRect/>
                          </a:stretch>
                        </pic:blipFill>
                        <pic:spPr>
                          <a:xfrm>
                            <a:off x="0" y="0"/>
                            <a:ext cx="6105525" cy="3124200"/>
                          </a:xfrm>
                          <a:prstGeom prst="rect">
                            <a:avLst/>
                          </a:prstGeom>
                        </pic:spPr>
                      </pic:pic>
                    </a:graphicData>
                  </a:graphic>
                </wp:inline>
              </w:drawing>
            </w:r>
          </w:p>
          <w:p w:rsidR="0035701C" w:rsidRDefault="00FB561B">
            <w:pPr>
              <w:pStyle w:val="Pieddepage"/>
              <w:jc w:val="center"/>
            </w:pPr>
            <w:r>
              <w:t>ZAL</w:t>
            </w:r>
          </w:p>
          <w:p w:rsidR="0035701C" w:rsidRDefault="0035701C">
            <w:pPr>
              <w:pStyle w:val="Pieddepage"/>
              <w:jc w:val="center"/>
            </w:pPr>
          </w:p>
        </w:tc>
      </w:tr>
    </w:tbl>
    <w:p w:rsidR="0035701C" w:rsidRDefault="00FB561B">
      <w:pPr>
        <w:pStyle w:val="Titre5"/>
        <w:rPr>
          <w:b w:val="0"/>
        </w:rPr>
      </w:pPr>
      <w:r>
        <w:rPr>
          <w:b w:val="0"/>
        </w:rPr>
        <w:br w:type="page"/>
        <w:t>-26- Prairie_9</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762"/>
              </w:numPr>
            </w:pPr>
            <w:r>
              <w:t>10.1 – Paiements au titre d'engagements</w:t>
            </w:r>
            <w:r>
              <w:t xml:space="preserve">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PRAIRIE_9 =  Gestion des prairies non fauchées dans les élevages non transhumants afin de limiter la propagation du feu</w:t>
            </w:r>
          </w:p>
          <w:p w:rsidR="0035701C" w:rsidRDefault="00FB561B">
            <w:pPr>
              <w:spacing w:before="240" w:after="240"/>
              <w:jc w:val="left"/>
              <w:rPr>
                <w:szCs w:val="24"/>
              </w:rPr>
            </w:pPr>
            <w:r>
              <w:rPr>
                <w:szCs w:val="24"/>
              </w:rPr>
              <w:t xml:space="preserve">La problématique des feux de forêts et </w:t>
            </w:r>
            <w:r>
              <w:rPr>
                <w:szCs w:val="24"/>
              </w:rPr>
              <w:t>d'espaces naturels, qui brûlent chaque année en Corse plusieurs centaines voire plusieurs milliers d’hectares, est une préoccupation environnementale majeure. En effet la répétition des grands incendies sur certains secteurs de l’île a des conséquences néf</w:t>
            </w:r>
            <w:r>
              <w:rPr>
                <w:szCs w:val="24"/>
              </w:rPr>
              <w:t>astes voire irréversibles sur les paysages, la faune et la flore, entrainant ainsi une perte progressive de biodiversité. Ces conséquences sont notamment :</w:t>
            </w:r>
          </w:p>
          <w:p w:rsidR="0035701C" w:rsidRDefault="00FB561B" w:rsidP="00FB561B">
            <w:pPr>
              <w:numPr>
                <w:ilvl w:val="0"/>
                <w:numId w:val="763"/>
              </w:numPr>
              <w:spacing w:before="240" w:after="0"/>
              <w:ind w:hanging="210"/>
              <w:jc w:val="left"/>
              <w:rPr>
                <w:szCs w:val="24"/>
              </w:rPr>
            </w:pPr>
            <w:r>
              <w:rPr>
                <w:szCs w:val="24"/>
              </w:rPr>
              <w:t>l’homogénéisation des paysages,</w:t>
            </w:r>
          </w:p>
          <w:p w:rsidR="0035701C" w:rsidRDefault="00FB561B" w:rsidP="00FB561B">
            <w:pPr>
              <w:numPr>
                <w:ilvl w:val="0"/>
                <w:numId w:val="763"/>
              </w:numPr>
              <w:spacing w:before="0" w:after="0"/>
              <w:ind w:hanging="210"/>
              <w:jc w:val="left"/>
              <w:rPr>
                <w:szCs w:val="24"/>
              </w:rPr>
            </w:pPr>
            <w:r>
              <w:rPr>
                <w:szCs w:val="24"/>
              </w:rPr>
              <w:t>le développement d’espèces invasives ou opportunistes au détriment d</w:t>
            </w:r>
            <w:r>
              <w:rPr>
                <w:szCs w:val="24"/>
              </w:rPr>
              <w:t>es espèces herbacées et ligneuses locales suite à l'ouverture du milieu par le feu (asphodèles, faux cotonnier, férule, ....)</w:t>
            </w:r>
          </w:p>
          <w:p w:rsidR="0035701C" w:rsidRDefault="00FB561B" w:rsidP="00FB561B">
            <w:pPr>
              <w:numPr>
                <w:ilvl w:val="0"/>
                <w:numId w:val="763"/>
              </w:numPr>
              <w:spacing w:before="0" w:after="0"/>
              <w:ind w:hanging="210"/>
              <w:jc w:val="left"/>
              <w:rPr>
                <w:szCs w:val="24"/>
              </w:rPr>
            </w:pPr>
            <w:r>
              <w:rPr>
                <w:szCs w:val="24"/>
              </w:rPr>
              <w:t>l’érosion et le lessivage des sols,</w:t>
            </w:r>
          </w:p>
          <w:p w:rsidR="0035701C" w:rsidRDefault="00FB561B" w:rsidP="00FB561B">
            <w:pPr>
              <w:numPr>
                <w:ilvl w:val="0"/>
                <w:numId w:val="763"/>
              </w:numPr>
              <w:spacing w:before="0" w:after="0"/>
              <w:ind w:hanging="210"/>
              <w:jc w:val="left"/>
              <w:rPr>
                <w:szCs w:val="24"/>
              </w:rPr>
            </w:pPr>
            <w:r>
              <w:rPr>
                <w:szCs w:val="24"/>
              </w:rPr>
              <w:t>la modification de certains biotopes (haies, bosquets; etc...) qui constituent des refuges pou</w:t>
            </w:r>
            <w:r>
              <w:rPr>
                <w:szCs w:val="24"/>
              </w:rPr>
              <w:t>r la faune,</w:t>
            </w:r>
          </w:p>
          <w:p w:rsidR="0035701C" w:rsidRDefault="00FB561B" w:rsidP="00FB561B">
            <w:pPr>
              <w:numPr>
                <w:ilvl w:val="0"/>
                <w:numId w:val="763"/>
              </w:numPr>
              <w:spacing w:before="0" w:after="0"/>
              <w:ind w:hanging="210"/>
              <w:jc w:val="left"/>
              <w:rPr>
                <w:szCs w:val="24"/>
              </w:rPr>
            </w:pPr>
            <w:r>
              <w:rPr>
                <w:szCs w:val="24"/>
              </w:rPr>
              <w:t>la dévégétalisation des zones les plus fragiles (les crêtes, les terrains très pentus...),</w:t>
            </w:r>
          </w:p>
          <w:p w:rsidR="0035701C" w:rsidRDefault="00FB561B" w:rsidP="00FB561B">
            <w:pPr>
              <w:numPr>
                <w:ilvl w:val="0"/>
                <w:numId w:val="763"/>
              </w:numPr>
              <w:spacing w:before="0" w:after="0"/>
              <w:ind w:hanging="210"/>
              <w:jc w:val="left"/>
              <w:rPr>
                <w:szCs w:val="24"/>
              </w:rPr>
            </w:pPr>
            <w:r>
              <w:rPr>
                <w:szCs w:val="24"/>
              </w:rPr>
              <w:t>la destruction inéluctable des espèces animales présentes au moment des grands incendies (tortues, lapins, perdreaux, jeunes sangliers....) dont certaine</w:t>
            </w:r>
            <w:r>
              <w:rPr>
                <w:szCs w:val="24"/>
              </w:rPr>
              <w:t>s sont déjà très menacées de disparition comme la tortue d'Hermann,</w:t>
            </w:r>
          </w:p>
          <w:p w:rsidR="0035701C" w:rsidRDefault="00FB561B" w:rsidP="00FB561B">
            <w:pPr>
              <w:numPr>
                <w:ilvl w:val="0"/>
                <w:numId w:val="763"/>
              </w:numPr>
              <w:spacing w:before="0" w:after="240"/>
              <w:ind w:hanging="210"/>
              <w:jc w:val="left"/>
              <w:rPr>
                <w:szCs w:val="24"/>
              </w:rPr>
            </w:pPr>
            <w:r>
              <w:rPr>
                <w:szCs w:val="24"/>
              </w:rPr>
              <w:t>l’émission de dioxyde de carbone.</w:t>
            </w:r>
          </w:p>
          <w:p w:rsidR="0035701C" w:rsidRDefault="00FB561B">
            <w:pPr>
              <w:spacing w:before="240" w:after="240"/>
              <w:jc w:val="left"/>
              <w:rPr>
                <w:szCs w:val="24"/>
              </w:rPr>
            </w:pPr>
            <w:r>
              <w:rPr>
                <w:szCs w:val="24"/>
              </w:rPr>
              <w:t>Les incendies ont donc un impact négatif sérieux sur l’environnement qui justifie le caractère AEC de ce TO ciblé sur cette problématique.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Au printemps,</w:t>
            </w:r>
            <w:r>
              <w:rPr>
                <w:szCs w:val="24"/>
              </w:rPr>
              <w:t xml:space="preserve"> dans les systèmes agro-pastoraux corses, la production de fourrage excède souvent le potentiel de consommation des animaux, permettant ainsi aux éleveurs non transhumants de disposer d’un stock d’herbe séché sur pied destiné à l’alimentation de leurs trou</w:t>
            </w:r>
            <w:r>
              <w:rPr>
                <w:szCs w:val="24"/>
              </w:rPr>
              <w:t>peaux durant l’été.</w:t>
            </w:r>
          </w:p>
          <w:p w:rsidR="0035701C" w:rsidRDefault="00FB561B">
            <w:pPr>
              <w:spacing w:before="240" w:after="240"/>
              <w:jc w:val="left"/>
              <w:rPr>
                <w:szCs w:val="24"/>
              </w:rPr>
            </w:pPr>
            <w:r>
              <w:rPr>
                <w:szCs w:val="24"/>
              </w:rPr>
              <w:t>Cependant cette réserve fourragère de par sa forte inflammabilité et combustibilité constitue un vecteur de propagation des feux courants très préoccupant. Or, comme indiqué dans le préambule de la mesure 10, la lutte contre les incendi</w:t>
            </w:r>
            <w:r>
              <w:rPr>
                <w:szCs w:val="24"/>
              </w:rPr>
              <w:t>es est un enjeu majeur pour l’environnement en Corse.</w:t>
            </w:r>
          </w:p>
          <w:p w:rsidR="0035701C" w:rsidRDefault="00FB561B">
            <w:pPr>
              <w:spacing w:before="240" w:after="240"/>
              <w:jc w:val="left"/>
              <w:rPr>
                <w:szCs w:val="24"/>
              </w:rPr>
            </w:pPr>
            <w:r>
              <w:rPr>
                <w:szCs w:val="24"/>
              </w:rPr>
              <w:t>Au-delà des objectifs paysagers et de maintien de la biodiversité, cet engagement doit surtout contribuer à une meilleure prévision et lutte contre les incendies. Ainsi, sur les secteurs fortement soumi</w:t>
            </w:r>
            <w:r>
              <w:rPr>
                <w:szCs w:val="24"/>
              </w:rPr>
              <w:t>s à la pression incendiaire, ces surfaces pourront jouer un rôle de « zones d’ancrage » et par conséquent limiter de manière significative la propagation du feu.</w:t>
            </w:r>
          </w:p>
          <w:p w:rsidR="0035701C" w:rsidRDefault="00FB561B">
            <w:pPr>
              <w:spacing w:before="240" w:after="240"/>
              <w:jc w:val="left"/>
              <w:rPr>
                <w:szCs w:val="24"/>
              </w:rPr>
            </w:pPr>
            <w:r>
              <w:rPr>
                <w:b/>
                <w:bCs/>
                <w:szCs w:val="24"/>
              </w:rPr>
              <w:t>La cartographie des zones sensibles aux incendies en Corse sera un support incontournable pour</w:t>
            </w:r>
            <w:r>
              <w:rPr>
                <w:b/>
                <w:bCs/>
                <w:szCs w:val="24"/>
              </w:rPr>
              <w:t xml:space="preserve"> cibler les parcelles éligibles à cet engagement.</w:t>
            </w:r>
          </w:p>
          <w:p w:rsidR="0035701C" w:rsidRDefault="00FB561B">
            <w:pPr>
              <w:spacing w:before="240" w:after="240"/>
              <w:jc w:val="left"/>
              <w:rPr>
                <w:szCs w:val="24"/>
              </w:rPr>
            </w:pPr>
            <w:r>
              <w:rPr>
                <w:szCs w:val="24"/>
              </w:rPr>
              <w:t xml:space="preserve">Cet engagement est particulièrement adapté aux </w:t>
            </w:r>
            <w:r>
              <w:rPr>
                <w:b/>
                <w:bCs/>
                <w:szCs w:val="24"/>
              </w:rPr>
              <w:t xml:space="preserve">zones de renfort agricoles </w:t>
            </w:r>
            <w:r>
              <w:rPr>
                <w:szCs w:val="24"/>
              </w:rPr>
              <w:t xml:space="preserve">(*) </w:t>
            </w:r>
            <w:r>
              <w:rPr>
                <w:b/>
                <w:bCs/>
                <w:szCs w:val="24"/>
              </w:rPr>
              <w:t>des Zones d’Appui à la Lutte</w:t>
            </w:r>
            <w:r>
              <w:rPr>
                <w:szCs w:val="24"/>
              </w:rPr>
              <w:t xml:space="preserve"> (ZAL), lorsque celles-ci sont des prairies naturelles ou temporaires.</w:t>
            </w:r>
          </w:p>
          <w:p w:rsidR="0035701C" w:rsidRDefault="00FB561B">
            <w:pPr>
              <w:spacing w:before="240" w:after="240"/>
              <w:jc w:val="left"/>
              <w:rPr>
                <w:szCs w:val="24"/>
              </w:rPr>
            </w:pPr>
            <w:r>
              <w:rPr>
                <w:szCs w:val="24"/>
              </w:rPr>
              <w:t>Une fertilisation NPK est aut</w:t>
            </w:r>
            <w:r>
              <w:rPr>
                <w:szCs w:val="24"/>
              </w:rPr>
              <w:t>orisée de l’ordre de 60 Unités /ha/an.</w:t>
            </w:r>
          </w:p>
          <w:p w:rsidR="0035701C" w:rsidRDefault="00FB561B">
            <w:pPr>
              <w:spacing w:before="240" w:after="240"/>
              <w:jc w:val="left"/>
              <w:rPr>
                <w:szCs w:val="24"/>
              </w:rPr>
            </w:pPr>
            <w:r>
              <w:rPr>
                <w:szCs w:val="24"/>
              </w:rPr>
              <w:t> </w:t>
            </w:r>
            <w:r>
              <w:rPr>
                <w:b/>
                <w:bCs/>
                <w:i/>
                <w:iCs/>
                <w:szCs w:val="24"/>
              </w:rPr>
              <w:t xml:space="preserve">(*) Définition des « zones de renfort agro-pastorales » des ZAL : </w:t>
            </w:r>
          </w:p>
          <w:p w:rsidR="0035701C" w:rsidRDefault="00FB561B">
            <w:pPr>
              <w:spacing w:before="240" w:after="240"/>
              <w:jc w:val="left"/>
              <w:rPr>
                <w:szCs w:val="24"/>
              </w:rPr>
            </w:pPr>
            <w:r>
              <w:rPr>
                <w:i/>
                <w:iCs/>
                <w:szCs w:val="24"/>
              </w:rPr>
              <w:t xml:space="preserve">Une ZAL est caractérisée par une bande roulement sur laquelle s’appuie un débroussaillement de 100 m de large (en général 50 m de part et d’autre de </w:t>
            </w:r>
            <w:r>
              <w:rPr>
                <w:i/>
                <w:iCs/>
                <w:szCs w:val="24"/>
              </w:rPr>
              <w:t>la bande de roulement). Souvent, on constate une utilisation agro-pastorale des ZAL et des terrains en continuité de ces ouvrages. La réouverture ou l’entretien de ces terrains par des agriculteurs apparaît comme une opportunité pour renforcer en largeur c</w:t>
            </w:r>
            <w:r>
              <w:rPr>
                <w:i/>
                <w:iCs/>
                <w:szCs w:val="24"/>
              </w:rPr>
              <w:t>es ouvrages DFCI et leur conférer alors, une plus grande efficacité en cas d’incendies (lutte facilitée et sécurisée, réduction de la puissance du feu, etc….). Il est donc apparu intéressant de leur donner une définition précise qui est la suivante : on qu</w:t>
            </w:r>
            <w:r>
              <w:rPr>
                <w:i/>
                <w:iCs/>
                <w:szCs w:val="24"/>
              </w:rPr>
              <w:t>alifiera de « zones renforts agricoles » les zones qui jouxtent la ZAL sur une longueur minimum de 100 mètres et sur une profondeur, soit de 100 mètres de part et d’autre de la ZAL, soit de 200 m d’un seul coté de la ZAL si l’on rencontre des limites liées</w:t>
            </w:r>
            <w:r>
              <w:rPr>
                <w:i/>
                <w:iCs/>
                <w:szCs w:val="24"/>
              </w:rPr>
              <w:t xml:space="preserve"> au relief, à des problématiques foncières ou techniques.</w:t>
            </w:r>
          </w:p>
          <w:p w:rsidR="0035701C" w:rsidRDefault="00FB561B">
            <w:pPr>
              <w:spacing w:before="240" w:after="240"/>
              <w:jc w:val="left"/>
              <w:rPr>
                <w:szCs w:val="24"/>
              </w:rPr>
            </w:pPr>
            <w:r>
              <w:rPr>
                <w:b/>
                <w:bCs/>
                <w:i/>
                <w:iCs/>
                <w:szCs w:val="24"/>
              </w:rPr>
              <w:t>Cahier des charges :</w:t>
            </w:r>
          </w:p>
          <w:p w:rsidR="0035701C" w:rsidRDefault="00FB561B" w:rsidP="00FB561B">
            <w:pPr>
              <w:numPr>
                <w:ilvl w:val="0"/>
                <w:numId w:val="764"/>
              </w:numPr>
              <w:spacing w:before="240" w:after="0"/>
              <w:ind w:hanging="210"/>
              <w:jc w:val="left"/>
              <w:rPr>
                <w:szCs w:val="24"/>
              </w:rPr>
            </w:pPr>
            <w:r>
              <w:rPr>
                <w:szCs w:val="24"/>
              </w:rPr>
              <w:t>l’agriculteur doit réaliser 2 broyages et/ou fauches de la végétation au cours de l’année.</w:t>
            </w:r>
          </w:p>
          <w:p w:rsidR="0035701C" w:rsidRDefault="00FB561B" w:rsidP="00FB561B">
            <w:pPr>
              <w:numPr>
                <w:ilvl w:val="0"/>
                <w:numId w:val="764"/>
              </w:numPr>
              <w:spacing w:before="0" w:after="0"/>
              <w:ind w:hanging="210"/>
              <w:jc w:val="left"/>
              <w:rPr>
                <w:szCs w:val="24"/>
              </w:rPr>
            </w:pPr>
            <w:r>
              <w:rPr>
                <w:szCs w:val="24"/>
              </w:rPr>
              <w:t xml:space="preserve"> un des 2 broyages doit se faire obligatoirement chaque année </w:t>
            </w:r>
            <w:r>
              <w:rPr>
                <w:szCs w:val="24"/>
                <w:u w:val="single"/>
              </w:rPr>
              <w:t>entre le 1er et le 30 ju</w:t>
            </w:r>
            <w:r>
              <w:rPr>
                <w:szCs w:val="24"/>
                <w:u w:val="single"/>
              </w:rPr>
              <w:t>in</w:t>
            </w:r>
            <w:r>
              <w:rPr>
                <w:szCs w:val="24"/>
              </w:rPr>
              <w:t xml:space="preserve"> pour éliminer toute végétation combustible avant la période la plus sensible aux incendies</w:t>
            </w:r>
            <w:r>
              <w:rPr>
                <w:szCs w:val="24"/>
                <w:u w:val="single"/>
              </w:rPr>
              <w:t>,</w:t>
            </w:r>
          </w:p>
          <w:p w:rsidR="0035701C" w:rsidRDefault="00FB561B" w:rsidP="00FB561B">
            <w:pPr>
              <w:numPr>
                <w:ilvl w:val="0"/>
                <w:numId w:val="764"/>
              </w:numPr>
              <w:spacing w:before="0" w:after="0"/>
              <w:ind w:hanging="210"/>
              <w:jc w:val="left"/>
              <w:rPr>
                <w:szCs w:val="24"/>
              </w:rPr>
            </w:pPr>
            <w:r>
              <w:rPr>
                <w:szCs w:val="24"/>
              </w:rPr>
              <w:t>le recours à un traitement chimique pour éliminer la végétation est interdit,</w:t>
            </w:r>
          </w:p>
          <w:p w:rsidR="0035701C" w:rsidRDefault="00FB561B" w:rsidP="00FB561B">
            <w:pPr>
              <w:numPr>
                <w:ilvl w:val="0"/>
                <w:numId w:val="764"/>
              </w:numPr>
              <w:spacing w:before="0" w:after="0"/>
              <w:ind w:hanging="210"/>
              <w:jc w:val="left"/>
              <w:rPr>
                <w:szCs w:val="24"/>
              </w:rPr>
            </w:pPr>
            <w:r>
              <w:rPr>
                <w:szCs w:val="24"/>
              </w:rPr>
              <w:t>si l’agriculteur souhaite enrichir la strate herbacée, il doit obligatoirement util</w:t>
            </w:r>
            <w:r>
              <w:rPr>
                <w:szCs w:val="24"/>
              </w:rPr>
              <w:t>iser des espèces fourragères pérennes méditerranéennes et utiliser des techniques culturales simplifiées uniquement (semis direct ou sursemis)</w:t>
            </w:r>
          </w:p>
          <w:p w:rsidR="0035701C" w:rsidRDefault="00FB561B" w:rsidP="00FB561B">
            <w:pPr>
              <w:numPr>
                <w:ilvl w:val="0"/>
                <w:numId w:val="764"/>
              </w:numPr>
              <w:spacing w:before="0" w:after="0"/>
              <w:ind w:hanging="210"/>
              <w:jc w:val="left"/>
              <w:rPr>
                <w:szCs w:val="24"/>
              </w:rPr>
            </w:pPr>
            <w:r>
              <w:rPr>
                <w:szCs w:val="24"/>
              </w:rPr>
              <w:t xml:space="preserve">un seul renouvellement des prairies temporaires est autorisé au cours des 5 ans, </w:t>
            </w:r>
          </w:p>
          <w:p w:rsidR="0035701C" w:rsidRDefault="00FB561B" w:rsidP="00FB561B">
            <w:pPr>
              <w:numPr>
                <w:ilvl w:val="0"/>
                <w:numId w:val="764"/>
              </w:numPr>
              <w:spacing w:before="0" w:after="0"/>
              <w:ind w:hanging="210"/>
              <w:jc w:val="left"/>
              <w:rPr>
                <w:szCs w:val="24"/>
              </w:rPr>
            </w:pPr>
            <w:r>
              <w:rPr>
                <w:szCs w:val="24"/>
              </w:rPr>
              <w:t>le retournement des prairies na</w:t>
            </w:r>
            <w:r>
              <w:rPr>
                <w:szCs w:val="24"/>
              </w:rPr>
              <w:t>turelles est interdit pendant la durée du contrat,</w:t>
            </w:r>
          </w:p>
          <w:p w:rsidR="0035701C" w:rsidRDefault="00FB561B" w:rsidP="00FB561B">
            <w:pPr>
              <w:numPr>
                <w:ilvl w:val="0"/>
                <w:numId w:val="764"/>
              </w:numPr>
              <w:spacing w:before="0" w:after="0"/>
              <w:ind w:hanging="210"/>
              <w:jc w:val="left"/>
              <w:rPr>
                <w:szCs w:val="24"/>
              </w:rPr>
            </w:pPr>
            <w:r>
              <w:rPr>
                <w:szCs w:val="24"/>
              </w:rPr>
              <w:t>seule l’irrigation de soudure est autorisée,</w:t>
            </w:r>
          </w:p>
          <w:p w:rsidR="0035701C" w:rsidRDefault="00FB561B" w:rsidP="00FB561B">
            <w:pPr>
              <w:numPr>
                <w:ilvl w:val="0"/>
                <w:numId w:val="764"/>
              </w:numPr>
              <w:spacing w:before="0" w:after="240"/>
              <w:ind w:hanging="210"/>
              <w:jc w:val="left"/>
              <w:rPr>
                <w:szCs w:val="24"/>
              </w:rPr>
            </w:pPr>
            <w:r>
              <w:rPr>
                <w:szCs w:val="24"/>
              </w:rPr>
              <w:t xml:space="preserve">l’agriculteur doit assurer l’enregistrement des différentes interventions et des pratiques réalisées dans un document normé prévu à cet effet. Ce document sera </w:t>
            </w:r>
            <w:r>
              <w:rPr>
                <w:szCs w:val="24"/>
              </w:rPr>
              <w:t>remis à l’agriculteur à l’issue du diagnostic obligatoire réalisé par le service instructeur.</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 / ha /</w:t>
            </w:r>
            <w:r>
              <w:rPr>
                <w:szCs w:val="24"/>
              </w:rPr>
              <w:t>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765"/>
              </w:numPr>
              <w:spacing w:before="240" w:after="0"/>
              <w:ind w:hanging="210"/>
              <w:jc w:val="left"/>
              <w:rPr>
                <w:szCs w:val="24"/>
              </w:rPr>
            </w:pPr>
            <w:r>
              <w:rPr>
                <w:szCs w:val="24"/>
              </w:rPr>
              <w:t>les exigences établies en vertu de l’article 93 du Titre VI du règlement UE n° 1306/2013 relatif à la conditionnalité,</w:t>
            </w:r>
          </w:p>
          <w:p w:rsidR="0035701C" w:rsidRDefault="00FB561B" w:rsidP="00FB561B">
            <w:pPr>
              <w:numPr>
                <w:ilvl w:val="0"/>
                <w:numId w:val="765"/>
              </w:numPr>
              <w:spacing w:before="0" w:after="0"/>
              <w:ind w:hanging="210"/>
              <w:jc w:val="left"/>
              <w:rPr>
                <w:szCs w:val="24"/>
              </w:rPr>
            </w:pPr>
            <w:r>
              <w:rPr>
                <w:szCs w:val="24"/>
              </w:rPr>
              <w:t xml:space="preserve">les exigences établies en </w:t>
            </w:r>
            <w:r>
              <w:rPr>
                <w:szCs w:val="24"/>
              </w:rPr>
              <w:t>vertu de l’article 4.1c points ii) et iii) du règlement UE n°1307/2013 relatif à l’état d’entretien minimum des surfaces</w:t>
            </w:r>
          </w:p>
          <w:p w:rsidR="0035701C" w:rsidRDefault="00FB561B" w:rsidP="00FB561B">
            <w:pPr>
              <w:numPr>
                <w:ilvl w:val="0"/>
                <w:numId w:val="765"/>
              </w:numPr>
              <w:spacing w:before="0" w:after="240"/>
              <w:ind w:hanging="210"/>
              <w:jc w:val="left"/>
              <w:rPr>
                <w:szCs w:val="24"/>
              </w:rPr>
            </w:pPr>
            <w:r>
              <w:rPr>
                <w:szCs w:val="24"/>
              </w:rPr>
              <w:t xml:space="preserve">toute autre exigence pertinente établie par la réglementation nationale, tel le Code des Bonnes Pratiques Agricoles pris par arrêté du </w:t>
            </w:r>
            <w:r>
              <w:rPr>
                <w:szCs w:val="24"/>
              </w:rPr>
              <w:t>22 novembre 1993.</w:t>
            </w:r>
          </w:p>
          <w:p w:rsidR="0035701C" w:rsidRDefault="00FB561B">
            <w:pPr>
              <w:spacing w:before="240" w:after="240"/>
              <w:jc w:val="left"/>
              <w:rPr>
                <w:szCs w:val="24"/>
              </w:rPr>
            </w:pPr>
            <w:r>
              <w:rPr>
                <w:szCs w:val="24"/>
              </w:rPr>
              <w:t>Ces éléments sont détaillés au paragraphe « Information spécifique à l’opération – Description de la ligne de base » de la présente fiche-opération.</w:t>
            </w:r>
          </w:p>
          <w:p w:rsidR="0035701C" w:rsidRDefault="00FB561B">
            <w:pPr>
              <w:spacing w:before="240" w:after="240"/>
              <w:jc w:val="left"/>
              <w:rPr>
                <w:szCs w:val="24"/>
              </w:rPr>
            </w:pPr>
            <w:r>
              <w:rPr>
                <w:szCs w:val="24"/>
              </w:rPr>
              <w:t xml:space="preserve">Afin d’exclure tout double paiement, les pratiques visées à l’article 43 du règlement UE </w:t>
            </w:r>
            <w:r>
              <w:rPr>
                <w:szCs w:val="24"/>
              </w:rPr>
              <w:t>n° 1307/2013 sont prises en compte dans le calcul des surcoûts et manques à gagner. La méthode de prise en compte est détaillée au paragraphe « Information spécifique à l’opération – Méthode de calcul du montant » de la présente fiche-opération.</w:t>
            </w:r>
          </w:p>
          <w:p w:rsidR="0035701C" w:rsidRDefault="0035701C">
            <w:pPr>
              <w:pStyle w:val="Corpsdetexte"/>
            </w:pPr>
          </w:p>
        </w:tc>
      </w:tr>
    </w:tbl>
    <w:p w:rsidR="0035701C" w:rsidRDefault="00FB561B">
      <w:pPr>
        <w:pStyle w:val="Titre6"/>
      </w:pPr>
      <w:r>
        <w:t>Bénéfici</w:t>
      </w:r>
      <w:r>
        <w:t>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sont les surcoûts, manques à gagner et éventuels coûts d’opportunité et de transaction générés par le respect éléments contractualisés.</w:t>
            </w:r>
          </w:p>
          <w:p w:rsidR="0035701C" w:rsidRDefault="00FB561B">
            <w:pPr>
              <w:spacing w:before="240" w:after="240"/>
              <w:jc w:val="left"/>
              <w:rPr>
                <w:szCs w:val="24"/>
              </w:rPr>
            </w:pPr>
            <w:r>
              <w:rPr>
                <w:szCs w:val="24"/>
              </w:rPr>
              <w:t>Dans le cas de cet</w:t>
            </w:r>
            <w:r>
              <w:rPr>
                <w:szCs w:val="24"/>
              </w:rPr>
              <w:t>te opération, sont pris en compte des surcoûts et des manques à gagner.</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La réalisation d’un diagnostic d’exploitation préalable à la souscription de cette opération est obligatoire.</w:t>
            </w:r>
          </w:p>
          <w:p w:rsidR="0035701C" w:rsidRDefault="00FB561B">
            <w:pPr>
              <w:spacing w:before="240" w:after="240"/>
              <w:jc w:val="left"/>
              <w:rPr>
                <w:szCs w:val="24"/>
              </w:rPr>
            </w:pPr>
            <w:r>
              <w:rPr>
                <w:b/>
                <w:bCs/>
                <w:i/>
                <w:iCs/>
                <w:szCs w:val="24"/>
              </w:rPr>
              <w:t>Surfaces éligibles :</w:t>
            </w:r>
            <w:r>
              <w:rPr>
                <w:szCs w:val="24"/>
              </w:rPr>
              <w:t xml:space="preserve"> les prairies naturelles et temporaires situées dans des zones soumises ou exposées aux incendies.</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Le montant de l’aide est de </w:t>
            </w:r>
            <w:r>
              <w:rPr>
                <w:b/>
                <w:bCs/>
                <w:szCs w:val="24"/>
              </w:rPr>
              <w:t>359,91 € /ha/an</w:t>
            </w:r>
            <w:r>
              <w:rPr>
                <w:szCs w:val="24"/>
              </w:rPr>
              <w:t xml:space="preserve">, auquel vient s’ajouter une somme forfaitaire de </w:t>
            </w:r>
            <w:r>
              <w:rPr>
                <w:b/>
                <w:bCs/>
                <w:szCs w:val="24"/>
              </w:rPr>
              <w:t>57,18 €/an</w:t>
            </w:r>
            <w:r>
              <w:rPr>
                <w:szCs w:val="24"/>
              </w:rPr>
              <w:t xml:space="preserve"> liée à l’enregistrement des pratiques et des interventions.</w:t>
            </w:r>
          </w:p>
          <w:p w:rsidR="0035701C" w:rsidRDefault="00FB561B">
            <w:pPr>
              <w:spacing w:before="240" w:after="240"/>
              <w:jc w:val="left"/>
              <w:rPr>
                <w:szCs w:val="24"/>
              </w:rPr>
            </w:pPr>
            <w:r>
              <w:rPr>
                <w:szCs w:val="24"/>
              </w:rPr>
              <w:t>Il est rappelé que le plafond communautaire pour ce type de couvert (autres utilisations des</w:t>
            </w:r>
            <w:r>
              <w:rPr>
                <w:szCs w:val="24"/>
              </w:rPr>
              <w:t xml:space="preserve"> terres) est de 450 €/ha/an (incluant le forfait annuel).</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 xml:space="preserve">Évaluation globale de la </w:t>
      </w:r>
      <w:r>
        <w:t>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Détermination et définition des éléments du niveau de référence applicable, qui doivent inclure les normes obligatoires établies en application du titre VI, chapitre I, du règlement (UE) n° 1306/</w:t>
      </w:r>
      <w:r>
        <w:t>2013 du Parlement européen et du Conseil, les critères pertinents et les activités minimales établies en application de l'article 4, paragraphe 1, point c) ii) et c) iii), du règlement (UE) n° 1307/2013 du Parlement européen et du Conseil, les exigences mi</w:t>
      </w:r>
      <w:r>
        <w:t>nimales applicables à l'utilisation des engrais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Si les pratiques rémunérées au titre de la présente opération sont rendues</w:t>
            </w:r>
            <w:r>
              <w:rPr>
                <w:szCs w:val="24"/>
              </w:rPr>
              <w:t xml:space="preserve"> obligatoires sur des zones au titre de la protection de la biodiversité (notamment des zones classées au titre des réserves naturelles des arrêtés de protection de biotopes), celle-ci ne peut être ouverte sur les zones concernées.</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877856"/>
                  <wp:effectExtent l="0" t="0" r="0" b="0"/>
                  <wp:docPr id="100186" name="Image 100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7" name=""/>
                          <pic:cNvPicPr>
                            <a:picLocks noChangeAspect="1"/>
                          </pic:cNvPicPr>
                        </pic:nvPicPr>
                        <pic:blipFill>
                          <a:blip r:embed="rId105"/>
                          <a:stretch>
                            <a:fillRect/>
                          </a:stretch>
                        </pic:blipFill>
                        <pic:spPr>
                          <a:xfrm>
                            <a:off x="0" y="0"/>
                            <a:ext cx="6629400" cy="1877856"/>
                          </a:xfrm>
                          <a:prstGeom prst="rect">
                            <a:avLst/>
                          </a:prstGeom>
                        </pic:spPr>
                      </pic:pic>
                    </a:graphicData>
                  </a:graphic>
                </wp:inline>
              </w:drawing>
            </w:r>
          </w:p>
          <w:p w:rsidR="0035701C" w:rsidRDefault="00FB561B">
            <w:pPr>
              <w:pStyle w:val="Pieddepage"/>
              <w:jc w:val="center"/>
            </w:pPr>
            <w:r>
              <w:t>Prairie_9_lignebase</w:t>
            </w:r>
          </w:p>
          <w:p w:rsidR="0035701C" w:rsidRDefault="0035701C">
            <w:pPr>
              <w:pStyle w:val="Pieddepage"/>
              <w:jc w:val="center"/>
            </w:pPr>
          </w:p>
        </w:tc>
      </w:tr>
    </w:tbl>
    <w:p w:rsidR="0035701C" w:rsidRDefault="00FB561B">
      <w:r>
        <w:t>Les exigences minimales relatives à l'utilisation d'engrais doivent comprendre, entre autres, le respect des codes de bonnes pratiques introduits au titre de la directive 91/676/CEE pour les exploitations situées en dehors des zones vulnérables aux nitrat</w:t>
      </w:r>
      <w:r>
        <w:t>es, et des exigences concernant la pollution au phosphore; les exigences minimales relatives à l'utilisation de produits phytosanitaires doivent comprendre, entre autres, les principes généraux de la lutte intégrée contre les ennemis des cultures introduit</w:t>
      </w:r>
      <w:r>
        <w:t>s par la directive 2009/128/CE du Parlement européen et du Conseil, l’obligation de détenir une autorisation d’utiliser les produits, de satisfaire aux conditions de formation, d’assurer un stockage sûr et de contrôler les équipements destinés à l’épandage</w:t>
      </w:r>
      <w:r>
        <w:t xml:space="preserve"> ainsi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 xml:space="preserve">Liste des races locales </w:t>
      </w:r>
      <w:r>
        <w:t>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Cette opération ne concerne pas la préservation des ressources génétiques.</w:t>
            </w:r>
          </w:p>
          <w:p w:rsidR="0035701C" w:rsidRDefault="0035701C">
            <w:pPr>
              <w:pStyle w:val="Corpsdetexte"/>
            </w:pPr>
          </w:p>
        </w:tc>
      </w:tr>
    </w:tbl>
    <w:p w:rsidR="0035701C" w:rsidRDefault="00FB561B">
      <w:r>
        <w:t xml:space="preserve">Description de la méthode et des hypothèses et </w:t>
      </w:r>
      <w:r>
        <w:t>paramètres agronomiques y compris la description des exigences minimales visées à l'article 29, paragraphe 2, du règlement (UE) n° 1305/2013 correspondant à chaque type particulier d'engagement, utilisés comme référence pour les calculs justifiant les coût</w:t>
      </w:r>
      <w:r>
        <w:t xml:space="preserve">s supplémentaires et les pertes de revenus résultant de l’engagement pris et le niveau des coûts des transactions; le cas échéant, cette méthode tient compte des aides accordées au titre du règlement (UE) n° 1307/2013, et notamment des paiements en faveur </w:t>
      </w:r>
      <w:r>
        <w:t>des pratiques agricoles bénéfiques pour le climat et l’environnement, afin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Pratiques de référence : </w:t>
            </w:r>
            <w:r>
              <w:rPr>
                <w:szCs w:val="24"/>
              </w:rPr>
              <w:t>les éleve</w:t>
            </w:r>
            <w:r>
              <w:rPr>
                <w:szCs w:val="24"/>
              </w:rPr>
              <w:t>urs non transhumants maintiennent des stocks d’herbe sèche sur leurs prairies pour utiliser cette ressource herbagère durant l’été.</w:t>
            </w:r>
          </w:p>
          <w:p w:rsidR="0035701C" w:rsidRDefault="00FB561B">
            <w:pPr>
              <w:spacing w:before="240" w:after="240"/>
              <w:jc w:val="left"/>
              <w:rPr>
                <w:szCs w:val="24"/>
              </w:rPr>
            </w:pPr>
            <w:r>
              <w:rPr>
                <w:b/>
                <w:bCs/>
                <w:i/>
                <w:iCs/>
                <w:szCs w:val="24"/>
              </w:rPr>
              <w:t xml:space="preserve">Prise en compte du verdissement : </w:t>
            </w:r>
            <w:r>
              <w:rPr>
                <w:szCs w:val="24"/>
              </w:rPr>
              <w:t>afin d’exclure tout double paiement, les pratiques rémunérées au titre du verdissement son</w:t>
            </w:r>
            <w:r>
              <w:rPr>
                <w:szCs w:val="24"/>
              </w:rPr>
              <w:t>t prises en compte de la façon suivante dans le calcul du montant unitaire de cette opération :</w:t>
            </w:r>
          </w:p>
          <w:p w:rsidR="0035701C" w:rsidRDefault="00FB561B" w:rsidP="00FB561B">
            <w:pPr>
              <w:numPr>
                <w:ilvl w:val="0"/>
                <w:numId w:val="766"/>
              </w:numPr>
              <w:spacing w:before="240" w:after="0"/>
              <w:ind w:hanging="210"/>
              <w:jc w:val="left"/>
              <w:rPr>
                <w:szCs w:val="24"/>
              </w:rPr>
            </w:pPr>
            <w:r>
              <w:rPr>
                <w:szCs w:val="24"/>
              </w:rPr>
              <w:t>maintien de prairies permanentes existantes : cette exigence a une interaction avec cette opération. L’obligation de maintien des prairies et pâturages permanen</w:t>
            </w:r>
            <w:r>
              <w:rPr>
                <w:szCs w:val="24"/>
              </w:rPr>
              <w:t>ts doit être respectée à l’échelle de la parcelle engagée, ce qui est plus contraignant que le verdissement qui s’applique à l’échelle régionale. Par ailleurs cette obligation n’est pas rémunérée.</w:t>
            </w:r>
          </w:p>
          <w:p w:rsidR="0035701C" w:rsidRDefault="00FB561B" w:rsidP="00FB561B">
            <w:pPr>
              <w:numPr>
                <w:ilvl w:val="0"/>
                <w:numId w:val="766"/>
              </w:numPr>
              <w:spacing w:before="0" w:after="0"/>
              <w:ind w:hanging="210"/>
              <w:jc w:val="left"/>
              <w:rPr>
                <w:szCs w:val="24"/>
              </w:rPr>
            </w:pPr>
            <w:r>
              <w:rPr>
                <w:szCs w:val="24"/>
              </w:rPr>
              <w:t xml:space="preserve">présence de 5 % de SIE (Surfaces d’Intérêt Ecologique) sur </w:t>
            </w:r>
            <w:r>
              <w:rPr>
                <w:szCs w:val="24"/>
              </w:rPr>
              <w:t>les terres arables : cette exigence n’a pas d’interaction avec cette opération.</w:t>
            </w:r>
          </w:p>
          <w:p w:rsidR="0035701C" w:rsidRDefault="00FB561B" w:rsidP="00FB561B">
            <w:pPr>
              <w:numPr>
                <w:ilvl w:val="0"/>
                <w:numId w:val="766"/>
              </w:numPr>
              <w:spacing w:before="0" w:after="240"/>
              <w:ind w:hanging="210"/>
              <w:jc w:val="left"/>
              <w:rPr>
                <w:szCs w:val="24"/>
              </w:rPr>
            </w:pPr>
            <w:r>
              <w:rPr>
                <w:szCs w:val="24"/>
              </w:rPr>
              <w:t>diversification des cultures : cette exigence n’a pas d’interaction avec cette opération.</w:t>
            </w:r>
          </w:p>
          <w:p w:rsidR="0035701C" w:rsidRDefault="00FB561B">
            <w:pPr>
              <w:spacing w:before="240" w:after="240"/>
              <w:jc w:val="left"/>
              <w:rPr>
                <w:szCs w:val="24"/>
              </w:rPr>
            </w:pPr>
            <w:r>
              <w:rPr>
                <w:b/>
                <w:bCs/>
                <w:i/>
                <w:iCs/>
                <w:szCs w:val="24"/>
              </w:rPr>
              <w:t>Méthode générale de calcul du montant :</w:t>
            </w:r>
            <w:r>
              <w:rPr>
                <w:szCs w:val="24"/>
              </w:rPr>
              <w:t xml:space="preserve"> le montant de l’aide est calculé sur la base de l’utilisation du matériel, du temps de travail et du manque à gagner lié à la perte fourragère générée par l’intervention. Le surcoût lié au temps d’enregistrement des pratiques est rémunéré sous forme forfa</w:t>
            </w:r>
            <w:r>
              <w:rPr>
                <w:szCs w:val="24"/>
              </w:rPr>
              <w:t>itaire indépendamment de la surface engagée. Il n’y a pas, dans cette opération, de coût de transaction.</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767"/>
              </w:numPr>
              <w:spacing w:before="240" w:after="0"/>
              <w:ind w:hanging="210"/>
              <w:jc w:val="left"/>
              <w:rPr>
                <w:szCs w:val="24"/>
              </w:rPr>
            </w:pPr>
            <w:r>
              <w:rPr>
                <w:szCs w:val="24"/>
              </w:rPr>
              <w:t xml:space="preserve">coût du matériel : </w:t>
            </w:r>
            <w:r>
              <w:rPr>
                <w:i/>
                <w:iCs/>
                <w:szCs w:val="24"/>
              </w:rPr>
              <w:t>Bureau de Coordination du Machinisme Agricole (BCMA), barème des façons culturales 2014</w:t>
            </w:r>
          </w:p>
          <w:p w:rsidR="0035701C" w:rsidRDefault="00FB561B" w:rsidP="00FB561B">
            <w:pPr>
              <w:numPr>
                <w:ilvl w:val="0"/>
                <w:numId w:val="767"/>
              </w:numPr>
              <w:spacing w:before="0" w:after="0"/>
              <w:ind w:hanging="210"/>
              <w:jc w:val="left"/>
              <w:rPr>
                <w:szCs w:val="24"/>
              </w:rPr>
            </w:pPr>
            <w:r>
              <w:rPr>
                <w:i/>
                <w:iCs/>
                <w:szCs w:val="24"/>
              </w:rPr>
              <w:t>temps de travail, niveau</w:t>
            </w:r>
            <w:r>
              <w:rPr>
                <w:i/>
                <w:iCs/>
                <w:szCs w:val="24"/>
              </w:rPr>
              <w:t>x de production des prairies, perte de biomasse et valeur en UFL: références locales issues du réseau régional d’expérimentations fourragères et de démonstrations (Office du Développement Agricole et Rural de Corse et Office de l’Environnement de la Corse)</w:t>
            </w:r>
          </w:p>
          <w:p w:rsidR="0035701C" w:rsidRDefault="00FB561B" w:rsidP="00FB561B">
            <w:pPr>
              <w:numPr>
                <w:ilvl w:val="0"/>
                <w:numId w:val="767"/>
              </w:numPr>
              <w:spacing w:before="0" w:after="0"/>
              <w:ind w:hanging="210"/>
              <w:jc w:val="left"/>
              <w:rPr>
                <w:szCs w:val="24"/>
              </w:rPr>
            </w:pPr>
            <w:r>
              <w:rPr>
                <w:szCs w:val="24"/>
              </w:rPr>
              <w:t>coût UFL :</w:t>
            </w:r>
            <w:r>
              <w:rPr>
                <w:i/>
                <w:iCs/>
                <w:szCs w:val="24"/>
              </w:rPr>
              <w:t xml:space="preserve"> coopératives locales</w:t>
            </w:r>
          </w:p>
          <w:p w:rsidR="0035701C" w:rsidRDefault="00FB561B" w:rsidP="00FB561B">
            <w:pPr>
              <w:numPr>
                <w:ilvl w:val="0"/>
                <w:numId w:val="767"/>
              </w:numPr>
              <w:spacing w:before="0" w:after="240"/>
              <w:ind w:hanging="210"/>
              <w:jc w:val="left"/>
              <w:rPr>
                <w:szCs w:val="24"/>
              </w:rPr>
            </w:pPr>
            <w:r>
              <w:rPr>
                <w:i/>
                <w:iCs/>
                <w:szCs w:val="24"/>
              </w:rPr>
              <w:t>coût horaire de main d’œuvre : 2 fois le coût horaire du SMIC (1er janvier 2014).</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429375" cy="3438525"/>
                  <wp:effectExtent l="0" t="0" r="0" b="0"/>
                  <wp:docPr id="100188" name="Image 100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9" name=""/>
                          <pic:cNvPicPr>
                            <a:picLocks noChangeAspect="1"/>
                          </pic:cNvPicPr>
                        </pic:nvPicPr>
                        <pic:blipFill>
                          <a:blip r:embed="rId106"/>
                          <a:stretch>
                            <a:fillRect/>
                          </a:stretch>
                        </pic:blipFill>
                        <pic:spPr>
                          <a:xfrm>
                            <a:off x="0" y="0"/>
                            <a:ext cx="6429375" cy="3438525"/>
                          </a:xfrm>
                          <a:prstGeom prst="rect">
                            <a:avLst/>
                          </a:prstGeom>
                        </pic:spPr>
                      </pic:pic>
                    </a:graphicData>
                  </a:graphic>
                </wp:inline>
              </w:drawing>
            </w:r>
          </w:p>
          <w:p w:rsidR="0035701C" w:rsidRDefault="00FB561B">
            <w:pPr>
              <w:pStyle w:val="Pieddepage"/>
              <w:jc w:val="center"/>
            </w:pPr>
            <w:r>
              <w:t>Prairie_9</w:t>
            </w:r>
          </w:p>
          <w:p w:rsidR="0035701C" w:rsidRDefault="0035701C">
            <w:pPr>
              <w:pStyle w:val="Pieddepage"/>
              <w:jc w:val="center"/>
            </w:pPr>
          </w:p>
        </w:tc>
      </w:tr>
    </w:tbl>
    <w:p w:rsidR="0035701C" w:rsidRDefault="00FB561B">
      <w:pPr>
        <w:pStyle w:val="Titre5"/>
        <w:rPr>
          <w:b w:val="0"/>
        </w:rPr>
      </w:pPr>
      <w:r>
        <w:rPr>
          <w:b w:val="0"/>
        </w:rPr>
        <w:br w:type="page"/>
        <w:t>-29- EAU_1</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768"/>
              </w:numPr>
            </w:pPr>
            <w:r>
              <w:t>10.1 – Paiements au titre d'engagements agroenvironnementaux et climatiques</w:t>
            </w:r>
          </w:p>
        </w:tc>
      </w:tr>
    </w:tbl>
    <w:p w:rsidR="0035701C" w:rsidRDefault="00FB561B">
      <w:pPr>
        <w:pStyle w:val="Titre6"/>
      </w:pPr>
      <w:r>
        <w:t xml:space="preserve">Description du type </w:t>
      </w:r>
      <w:r>
        <w:t>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EAU_ 1 =  Mise en place d’un paillage végétal ou biodégradable sur cultures maraîchères.</w:t>
            </w:r>
          </w:p>
          <w:p w:rsidR="0035701C" w:rsidRDefault="00FB561B">
            <w:pPr>
              <w:spacing w:before="240" w:after="240"/>
              <w:jc w:val="left"/>
              <w:rPr>
                <w:szCs w:val="24"/>
              </w:rPr>
            </w:pPr>
            <w:r>
              <w:rPr>
                <w:szCs w:val="24"/>
              </w:rPr>
              <w:t xml:space="preserve">En maraîchage de plein champ ou sous tunnel (serres exclues), le paillage contrarie la prolifération des différents bio-agresseurs : </w:t>
            </w:r>
            <w:r>
              <w:rPr>
                <w:szCs w:val="24"/>
              </w:rPr>
              <w:t>adventices, mouches, thrips, mildiou. Il permet ainsi de limiter le nombre de doses homologuées apportées pour ces usages ou de proscrire certains usages (enjeu de protection de la qualité de l’eau).</w:t>
            </w:r>
          </w:p>
          <w:p w:rsidR="0035701C" w:rsidRDefault="00FB561B">
            <w:pPr>
              <w:spacing w:before="240" w:after="240"/>
              <w:jc w:val="left"/>
              <w:rPr>
                <w:szCs w:val="24"/>
              </w:rPr>
            </w:pPr>
            <w:r>
              <w:rPr>
                <w:szCs w:val="24"/>
              </w:rPr>
              <w:t>Il contribue ainsi à la préservation de la qualité de l’</w:t>
            </w:r>
            <w:r>
              <w:rPr>
                <w:szCs w:val="24"/>
              </w:rPr>
              <w:t xml:space="preserve">eau en réduisant l’impact des produits phytosanitaires. En outre, il répond à l’objectif de protection de l’eau sur un plan quantitatif, dans la mesure où il préserve la réserve utile du sol et peut ainsi contribuer à limiter le recours à l’irrigation. Il </w:t>
            </w:r>
            <w:r>
              <w:rPr>
                <w:szCs w:val="24"/>
              </w:rPr>
              <w:t>permet en outre une protection des sols contre l’érosion ceux-ci étant alors couverts par le paillage et non laissés nus après un désherbage.</w:t>
            </w:r>
          </w:p>
          <w:p w:rsidR="0035701C" w:rsidRDefault="00FB561B">
            <w:pPr>
              <w:spacing w:before="240" w:after="240"/>
              <w:jc w:val="left"/>
              <w:rPr>
                <w:szCs w:val="24"/>
              </w:rPr>
            </w:pPr>
            <w:r>
              <w:rPr>
                <w:szCs w:val="24"/>
              </w:rPr>
              <w:t>Toutefois pour répondre à cet enjeu de préservation de la qualité de l’eau sans porter atteinte à d’autres enjeux,</w:t>
            </w:r>
            <w:r>
              <w:rPr>
                <w:szCs w:val="24"/>
              </w:rPr>
              <w:t xml:space="preserve"> en particulier de protection des sols ou du paysage, le paillage doit être uniquement végétal ou biodégradable ; le paillage plastique est interdit.</w:t>
            </w:r>
          </w:p>
          <w:p w:rsidR="0035701C" w:rsidRDefault="00FB561B">
            <w:pPr>
              <w:spacing w:before="240" w:after="240"/>
              <w:jc w:val="left"/>
              <w:rPr>
                <w:szCs w:val="24"/>
              </w:rPr>
            </w:pPr>
            <w:r>
              <w:rPr>
                <w:szCs w:val="24"/>
              </w:rPr>
              <w:t>Cette opération peut être combinée avec d’autres opérations telles que la mise en place d’un engrais vert,</w:t>
            </w:r>
            <w:r>
              <w:rPr>
                <w:szCs w:val="24"/>
              </w:rPr>
              <w:t xml:space="preserve"> la fumure de fond de type organique et/ou la mise en place de la lutte biologique sous serre.</w:t>
            </w:r>
          </w:p>
          <w:p w:rsidR="0035701C" w:rsidRDefault="00FB561B">
            <w:pPr>
              <w:spacing w:before="240" w:after="240"/>
              <w:jc w:val="left"/>
              <w:rPr>
                <w:szCs w:val="24"/>
              </w:rPr>
            </w:pPr>
            <w:r>
              <w:rPr>
                <w:b/>
                <w:bCs/>
                <w:i/>
                <w:iCs/>
                <w:szCs w:val="24"/>
              </w:rPr>
              <w:t xml:space="preserve">Cahier des charges </w:t>
            </w:r>
          </w:p>
          <w:p w:rsidR="0035701C" w:rsidRDefault="00FB561B" w:rsidP="00FB561B">
            <w:pPr>
              <w:numPr>
                <w:ilvl w:val="0"/>
                <w:numId w:val="769"/>
              </w:numPr>
              <w:spacing w:before="240" w:after="0"/>
              <w:ind w:hanging="210"/>
              <w:jc w:val="left"/>
              <w:rPr>
                <w:szCs w:val="24"/>
              </w:rPr>
            </w:pPr>
            <w:r>
              <w:rPr>
                <w:szCs w:val="24"/>
              </w:rPr>
              <w:t xml:space="preserve">L’agriculteur s’engage à remplacer à mettre en place un paillage végétal (pailles, pailles distillées, composts, mulch, copeaux de bois) ou </w:t>
            </w:r>
            <w:r>
              <w:rPr>
                <w:szCs w:val="24"/>
              </w:rPr>
              <w:t>biodégradable (c'est-à-dire à base d’amidon et de co-polyesters).</w:t>
            </w:r>
          </w:p>
          <w:p w:rsidR="0035701C" w:rsidRDefault="00FB561B" w:rsidP="00FB561B">
            <w:pPr>
              <w:numPr>
                <w:ilvl w:val="0"/>
                <w:numId w:val="769"/>
              </w:numPr>
              <w:spacing w:before="0" w:after="0"/>
              <w:ind w:hanging="210"/>
              <w:jc w:val="left"/>
              <w:rPr>
                <w:szCs w:val="24"/>
              </w:rPr>
            </w:pPr>
            <w:r>
              <w:rPr>
                <w:szCs w:val="24"/>
              </w:rPr>
              <w:t>Il doit le mettre en place sur au minimum 40% de la surface engagée (part minimale devant porter annuellement un paillage végétal ou biodégradable).</w:t>
            </w:r>
          </w:p>
          <w:p w:rsidR="0035701C" w:rsidRDefault="00FB561B" w:rsidP="00FB561B">
            <w:pPr>
              <w:numPr>
                <w:ilvl w:val="0"/>
                <w:numId w:val="769"/>
              </w:numPr>
              <w:spacing w:before="0" w:after="0"/>
              <w:ind w:hanging="210"/>
              <w:jc w:val="left"/>
              <w:rPr>
                <w:szCs w:val="24"/>
              </w:rPr>
            </w:pPr>
            <w:r>
              <w:rPr>
                <w:szCs w:val="24"/>
              </w:rPr>
              <w:t xml:space="preserve">Il doit renseigner un registre précisant </w:t>
            </w:r>
            <w:r>
              <w:rPr>
                <w:szCs w:val="24"/>
              </w:rPr>
              <w:t>la localisation des différents types de paillages sur les éléments engagés ce qui pourra permettre des évaluations techniques comparatives des méthodes et constituer un point de contrôlabilité.</w:t>
            </w:r>
          </w:p>
          <w:p w:rsidR="0035701C" w:rsidRDefault="00FB561B" w:rsidP="00FB561B">
            <w:pPr>
              <w:numPr>
                <w:ilvl w:val="0"/>
                <w:numId w:val="769"/>
              </w:numPr>
              <w:spacing w:before="0" w:after="240"/>
              <w:ind w:hanging="210"/>
              <w:jc w:val="left"/>
              <w:rPr>
                <w:szCs w:val="24"/>
              </w:rPr>
            </w:pPr>
            <w:r>
              <w:rPr>
                <w:szCs w:val="24"/>
              </w:rPr>
              <w:t>Il doit réaliser un bilan annuel de suivi. L’élaboration de ce</w:t>
            </w:r>
            <w:r>
              <w:rPr>
                <w:szCs w:val="24"/>
              </w:rPr>
              <w:t xml:space="preserve"> bilan est obligatoire afin de garantir de bonnes conditions d’appui technique à la réduction de ces intrants. Il permettra d’évaluer la pertinence des options techniques retenues, de s’assurer de l’atteinte des objectifs de résultat et d’optimiser l’effic</w:t>
            </w:r>
            <w:r>
              <w:rPr>
                <w:szCs w:val="24"/>
              </w:rPr>
              <w:t>acité de la solution agronomique mise en œuvre. Ce bilan annuel doit être réalisé chaque année par l’agriculteur et deux fois avec l’appui d’un technicien.</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L’aide est pluriannuelle et est accordée pour une </w:t>
            </w:r>
            <w:r>
              <w:rPr>
                <w:szCs w:val="24"/>
              </w:rPr>
              <w:t>durée de 5 ans.</w:t>
            </w:r>
          </w:p>
          <w:p w:rsidR="0035701C" w:rsidRDefault="00FB561B">
            <w:pPr>
              <w:spacing w:before="240" w:after="240"/>
              <w:jc w:val="left"/>
              <w:rPr>
                <w:szCs w:val="24"/>
              </w:rPr>
            </w:pPr>
            <w:r>
              <w:rPr>
                <w:szCs w:val="24"/>
              </w:rPr>
              <w:t>Le montant de la rémunération est en euros/ha/an.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770"/>
              </w:numPr>
              <w:spacing w:before="240" w:after="0"/>
              <w:ind w:hanging="210"/>
              <w:jc w:val="left"/>
              <w:rPr>
                <w:szCs w:val="24"/>
              </w:rPr>
            </w:pPr>
            <w:r>
              <w:rPr>
                <w:szCs w:val="24"/>
              </w:rPr>
              <w:t xml:space="preserve">les exigences établies en vertu de l’article 93 du règlement UE n° 1306/2013 et de </w:t>
            </w:r>
            <w:r>
              <w:rPr>
                <w:szCs w:val="24"/>
              </w:rPr>
              <w:t>l’article 4.1c points ii) et iii) du règlement UE n°1307/2013,</w:t>
            </w:r>
          </w:p>
          <w:p w:rsidR="0035701C" w:rsidRDefault="00FB561B" w:rsidP="00FB561B">
            <w:pPr>
              <w:numPr>
                <w:ilvl w:val="0"/>
                <w:numId w:val="770"/>
              </w:numPr>
              <w:spacing w:before="0" w:after="0"/>
              <w:ind w:hanging="210"/>
              <w:jc w:val="left"/>
              <w:rPr>
                <w:szCs w:val="24"/>
              </w:rPr>
            </w:pPr>
            <w:r>
              <w:rPr>
                <w:szCs w:val="24"/>
              </w:rPr>
              <w:t>la circulaire nationale fixant les règles relatives aux bonnes conduites agricoles et environnementales (BCAE).</w:t>
            </w:r>
          </w:p>
          <w:p w:rsidR="0035701C" w:rsidRDefault="00FB561B" w:rsidP="00FB561B">
            <w:pPr>
              <w:numPr>
                <w:ilvl w:val="0"/>
                <w:numId w:val="770"/>
              </w:numPr>
              <w:spacing w:before="0" w:after="240"/>
              <w:ind w:hanging="210"/>
              <w:jc w:val="left"/>
              <w:rPr>
                <w:szCs w:val="24"/>
              </w:rPr>
            </w:pPr>
            <w:r>
              <w:rPr>
                <w:szCs w:val="24"/>
              </w:rPr>
              <w:t>l’arrêté préfectoral régional en vigueur en Corse fixant les règles relatives aux</w:t>
            </w:r>
            <w:r>
              <w:rPr>
                <w:szCs w:val="24"/>
              </w:rPr>
              <w:t xml:space="preserve"> bonnes conduites agricoles et environnementales (BCAE).</w:t>
            </w:r>
          </w:p>
          <w:p w:rsidR="0035701C" w:rsidRDefault="00FB561B">
            <w:pPr>
              <w:spacing w:before="240" w:after="240"/>
              <w:jc w:val="left"/>
              <w:rPr>
                <w:szCs w:val="24"/>
              </w:rPr>
            </w:pPr>
            <w:r>
              <w:rPr>
                <w:szCs w:val="24"/>
              </w:rPr>
              <w:t>Afin d’exclure tout double paiement, les pratiques visées à l’article 43 du règlement UE n° 1307/2013 sont prises en compte dans le calcul des surcoûts et manques à gagner.</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w:t>
            </w:r>
            <w:r>
              <w:rPr>
                <w:szCs w:val="24"/>
              </w:rPr>
              <w:t>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les surcoûts, manques à gagner et éventuels coûts d’opportunité et de transaction générés par le respect des éléments contractualisés.</w:t>
            </w:r>
          </w:p>
          <w:p w:rsidR="0035701C" w:rsidRDefault="0035701C">
            <w:pPr>
              <w:pStyle w:val="Corpsdetexte"/>
            </w:pPr>
          </w:p>
        </w:tc>
      </w:tr>
    </w:tbl>
    <w:p w:rsidR="0035701C" w:rsidRDefault="00FB561B">
      <w:pPr>
        <w:pStyle w:val="Titre6"/>
      </w:pPr>
      <w:r>
        <w:t xml:space="preserve">Conditions </w:t>
      </w:r>
      <w:r>
        <w:t>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Couverts éligibles : </w:t>
            </w:r>
            <w:r>
              <w:rPr>
                <w:szCs w:val="24"/>
              </w:rPr>
              <w:t>Maraîchage.</w:t>
            </w:r>
          </w:p>
          <w:p w:rsidR="0035701C" w:rsidRDefault="00FB561B">
            <w:pPr>
              <w:spacing w:before="240" w:after="240"/>
              <w:jc w:val="left"/>
              <w:rPr>
                <w:szCs w:val="24"/>
              </w:rPr>
            </w:pPr>
            <w:r>
              <w:rPr>
                <w:b/>
                <w:bCs/>
                <w:i/>
                <w:iCs/>
                <w:szCs w:val="24"/>
              </w:rPr>
              <w:t>Diagnostic d’exploitation :</w:t>
            </w:r>
          </w:p>
          <w:p w:rsidR="0035701C" w:rsidRDefault="00FB561B">
            <w:pPr>
              <w:spacing w:before="240" w:after="240"/>
              <w:jc w:val="left"/>
              <w:rPr>
                <w:szCs w:val="24"/>
              </w:rPr>
            </w:pPr>
            <w:r>
              <w:rPr>
                <w:szCs w:val="24"/>
              </w:rPr>
              <w:t>La réalisation d’un diagnostic d’exploitation est une obligation pour la souscription de cette opération.</w:t>
            </w:r>
          </w:p>
          <w:p w:rsidR="0035701C" w:rsidRDefault="00FB561B">
            <w:pPr>
              <w:spacing w:before="240" w:after="240"/>
              <w:jc w:val="left"/>
              <w:rPr>
                <w:szCs w:val="24"/>
              </w:rPr>
            </w:pPr>
            <w:r>
              <w:rPr>
                <w:szCs w:val="24"/>
              </w:rPr>
              <w:t>Le diagnostic d’exploitation fera apparaître les différentes possibilités</w:t>
            </w:r>
            <w:r>
              <w:rPr>
                <w:szCs w:val="24"/>
              </w:rPr>
              <w:t xml:space="preserve"> de combinaison avec d’autres opérations.</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Afin d’éviter le double paiement du coût de transaction </w:t>
            </w:r>
            <w:r>
              <w:rPr>
                <w:szCs w:val="24"/>
              </w:rPr>
              <w:t>concernant l’élaboration du bilan annuel de la stratégie des cultures :</w:t>
            </w:r>
          </w:p>
          <w:p w:rsidR="0035701C" w:rsidRDefault="00FB561B">
            <w:pPr>
              <w:spacing w:before="240" w:after="240"/>
              <w:jc w:val="left"/>
              <w:rPr>
                <w:szCs w:val="24"/>
              </w:rPr>
            </w:pPr>
            <w:r>
              <w:rPr>
                <w:szCs w:val="24"/>
              </w:rPr>
              <w:t>Option 1 (si l’opération est souscrite seule ou si elle est la première souscrite, le bilan s’ajoutera obligatoirement à cette opération) :</w:t>
            </w:r>
          </w:p>
          <w:p w:rsidR="0035701C" w:rsidRDefault="00FB561B">
            <w:pPr>
              <w:spacing w:before="240" w:after="240"/>
              <w:jc w:val="left"/>
              <w:rPr>
                <w:szCs w:val="24"/>
              </w:rPr>
            </w:pPr>
            <w:r>
              <w:rPr>
                <w:szCs w:val="24"/>
              </w:rPr>
              <w:t>Le montant unitaire est fixé à 984,17 x ce €</w:t>
            </w:r>
            <w:r>
              <w:rPr>
                <w:szCs w:val="24"/>
              </w:rPr>
              <w:t xml:space="preserve"> /ha/an pour la mise en place d’un paillage végétal ou biodégradable et l’élaboration d’un bilan annuel de la stratégie des cultures.</w:t>
            </w:r>
          </w:p>
          <w:p w:rsidR="0035701C" w:rsidRDefault="00FB561B">
            <w:pPr>
              <w:spacing w:before="240" w:after="240"/>
              <w:jc w:val="left"/>
              <w:rPr>
                <w:szCs w:val="24"/>
              </w:rPr>
            </w:pPr>
            <w:r>
              <w:rPr>
                <w:szCs w:val="24"/>
              </w:rPr>
              <w:t>Option 2 (si l’opération est souscrite avec d’autres opérations le bilan ne pourra être comptabilisé qu’une seule fois) :</w:t>
            </w:r>
          </w:p>
          <w:p w:rsidR="0035701C" w:rsidRDefault="00FB561B">
            <w:pPr>
              <w:spacing w:before="240" w:after="240"/>
              <w:jc w:val="left"/>
              <w:rPr>
                <w:szCs w:val="24"/>
              </w:rPr>
            </w:pPr>
            <w:r>
              <w:rPr>
                <w:szCs w:val="24"/>
              </w:rPr>
              <w:t>Le montant unitaire est  fixé à 966,70 x ce € /ha/an pour la mise en place d’un paillage végétal ou biodégradable</w:t>
            </w:r>
          </w:p>
          <w:p w:rsidR="0035701C" w:rsidRDefault="00FB561B">
            <w:pPr>
              <w:spacing w:before="240" w:after="240"/>
              <w:jc w:val="left"/>
              <w:rPr>
                <w:szCs w:val="24"/>
              </w:rPr>
            </w:pPr>
            <w:r>
              <w:rPr>
                <w:szCs w:val="24"/>
              </w:rPr>
              <w:t>Ainsi, pour les couverts en maraîchage, les montants unitaires sont supérieurs aux montants maximaux prévus à l’annexe II du règlement (UE) n°</w:t>
            </w:r>
            <w:r>
              <w:rPr>
                <w:szCs w:val="24"/>
              </w:rPr>
              <w:t xml:space="preserve"> 1305/2013 en cohérence avec les justifications de surcoûts induits par la mise en œuvre de cet engagement.</w:t>
            </w:r>
          </w:p>
          <w:p w:rsidR="0035701C" w:rsidRDefault="00FB561B">
            <w:pPr>
              <w:spacing w:before="240" w:after="240"/>
              <w:jc w:val="left"/>
              <w:rPr>
                <w:szCs w:val="24"/>
              </w:rPr>
            </w:pPr>
            <w:r>
              <w:rPr>
                <w:szCs w:val="24"/>
              </w:rPr>
              <w:t>En cas de combinaison d'opérations sur une même parcelle pour ce type de couvert (cf. tableau des combinaisons possibles pour les couverts en maraic</w:t>
            </w:r>
            <w:r>
              <w:rPr>
                <w:szCs w:val="24"/>
              </w:rPr>
              <w:t>hage : EAU_1, EAU_2, EAU_3 et EAU_4), le montant de l’aide ne sera également pas limité aux montants maximaux prévus à l’annexe II du règlement (UE) n° 1305/2013 en cohérence avec les justifications de surcoûts induits par la mise en œuvre de ces engagemen</w:t>
            </w:r>
            <w:r>
              <w:rPr>
                <w:szCs w:val="24"/>
              </w:rPr>
              <w:t>ts.</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 xml:space="preserve">Informations spécifiques sur </w:t>
      </w:r>
      <w:r>
        <w:t>l'opération</w:t>
      </w:r>
    </w:p>
    <w:p w:rsidR="0035701C" w:rsidRDefault="00FB561B">
      <w:r>
        <w:t>Détermination et définition des éléments du niveau de référence applicable, qui doivent inclure les normes obligatoires établies en application du titre VI, chapitre I, du règlement (UE) n° 1306/2013 du Parlement européen et du Conseil, les cri</w:t>
      </w:r>
      <w:r>
        <w:t>tères pertinents et les activités minimales établies en application de l'article 4, paragraphe 1, point c) ii) et c) iii), du règlement (UE) n° 1307/2013 du Parlement européen et du Conseil, les exigences minimales applicables à l'utilisation des engrais e</w:t>
      </w:r>
      <w:r>
        <w:t>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ind w:left="103"/>
              <w:jc w:val="left"/>
              <w:rPr>
                <w:szCs w:val="24"/>
              </w:rPr>
            </w:pPr>
            <w:r>
              <w:rPr>
                <w:szCs w:val="24"/>
              </w:rPr>
              <w:t>Dans cette opération, il n’y a aucune interaction avec les différents éléments réglementaires décrits dans la section 8.1 d</w:t>
            </w:r>
            <w:r>
              <w:rPr>
                <w:szCs w:val="24"/>
              </w:rPr>
              <w:t>u présent programme.</w:t>
            </w:r>
          </w:p>
          <w:p w:rsidR="0035701C" w:rsidRDefault="00FB561B">
            <w:pPr>
              <w:spacing w:before="240" w:after="240"/>
              <w:ind w:left="103"/>
              <w:jc w:val="left"/>
              <w:rPr>
                <w:szCs w:val="24"/>
              </w:rPr>
            </w:pPr>
            <w:r>
              <w:rPr>
                <w:szCs w:val="24"/>
              </w:rPr>
              <w:t xml:space="preserve">Si les pratiques rémunérées au titre de la présente opération sont rendues obligatoires sur des zones au titre de la protection de la biodiversité (notamment des zones classées au titre des réserves naturelles, des arrêtés de </w:t>
            </w:r>
            <w:r>
              <w:rPr>
                <w:szCs w:val="24"/>
              </w:rPr>
              <w:t>protection de biotopes,….), celle-ci ne peut être ouverte sur les zones concernées.</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r>
        <w:t>Les exigences minimales relatives à l'utilisation d'engrais doivent comprendre, entre autres, le respect des codes de bonnes pratiques introduits au titre de la directi</w:t>
      </w:r>
      <w:r>
        <w:t>ve 91/676/CEE pour les exploitations situées en dehors des zones vulnérables aux nitrates, et des exigences concernant la pollution au phosphore; les exigences minimales relatives à l'utilisation de produits phytosanitaires doivent comprendre, entre autres</w:t>
      </w:r>
      <w:r>
        <w:t>, les principes généraux de la lutte intégrée contre les ennemis des cultures introduits par la directive 2009/128/CE du Parlement européen et du Conseil, l’obligation de détenir une autorisation d’utiliser les produits, de satisfaire aux conditions de for</w:t>
      </w:r>
      <w:r>
        <w:t>mation, d’assurer un stockage sûr et de contrôler les équipements destinés à l’épandage ainsi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w:t>
            </w:r>
            <w:r>
              <w:rPr>
                <w:szCs w:val="24"/>
              </w:rPr>
              <w:t>te opération, il n’y a pas d’interaction avec ces exigences.</w:t>
            </w:r>
          </w:p>
          <w:p w:rsidR="0035701C" w:rsidRDefault="0035701C">
            <w:pPr>
              <w:pStyle w:val="Corpsdetexte"/>
            </w:pPr>
          </w:p>
        </w:tc>
      </w:tr>
    </w:tbl>
    <w:p w:rsidR="0035701C" w:rsidRDefault="00FB561B">
      <w:r>
        <w:t>Liste des races locales 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 xml:space="preserve">Description de la méthode </w:t>
      </w:r>
      <w:r>
        <w:t>et des hypothèses et paramètres agronomiques y compris la description des exigences minimales visées à l'article 29, paragraphe 2, du règlement (UE) n° 1305/2013 correspondant à chaque type particulier d'engagement, utilisés comme référence pour les calcul</w:t>
      </w:r>
      <w:r>
        <w:t>s justifiant les coûts supplémentaires et les pertes de revenus résultant de l’engagement pris et le niveau des coûts des transactions; le cas échéant, cette méthode tient compte des aides accordées au titre du règlement (UE) n° 1307/2013, et notamment des</w:t>
      </w:r>
      <w:r>
        <w:t xml:space="preserve"> paiements en faveur des pratiques agricoles bénéfiques pour le climat et l’environnement, afin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Méthode génér</w:t>
            </w:r>
            <w:r>
              <w:rPr>
                <w:b/>
                <w:bCs/>
                <w:i/>
                <w:iCs/>
                <w:szCs w:val="24"/>
              </w:rPr>
              <w:t xml:space="preserve">ale de calcul du montant : </w:t>
            </w:r>
            <w:r>
              <w:rPr>
                <w:szCs w:val="24"/>
              </w:rPr>
              <w:t>Le montant de l’aide est calculé sur la base de l’utilisation du matériel et du temps de travail supplémentaire nécessaire pour la mise en place d’un paillage végétal ou biodégradable ainsi que les coûts de transaction générés pa</w:t>
            </w:r>
            <w:r>
              <w:rPr>
                <w:szCs w:val="24"/>
              </w:rPr>
              <w:t>r le respect des éléments contractualisés.</w:t>
            </w:r>
          </w:p>
          <w:p w:rsidR="0035701C" w:rsidRDefault="00FB561B">
            <w:pPr>
              <w:spacing w:before="240" w:after="240"/>
              <w:jc w:val="left"/>
              <w:rPr>
                <w:szCs w:val="24"/>
              </w:rPr>
            </w:pPr>
            <w:r>
              <w:rPr>
                <w:szCs w:val="24"/>
              </w:rPr>
              <w:t> </w:t>
            </w:r>
            <w:r>
              <w:rPr>
                <w:b/>
                <w:bCs/>
                <w:i/>
                <w:iCs/>
                <w:szCs w:val="24"/>
              </w:rPr>
              <w:t xml:space="preserve">Pratiques de références : </w:t>
            </w:r>
            <w:r>
              <w:rPr>
                <w:szCs w:val="24"/>
              </w:rPr>
              <w:t>La pratique habituelle est de désherber chimiquement (2 passages annuels).</w:t>
            </w:r>
          </w:p>
          <w:p w:rsidR="0035701C" w:rsidRDefault="00FB561B">
            <w:pPr>
              <w:spacing w:before="240" w:after="240"/>
              <w:jc w:val="left"/>
              <w:rPr>
                <w:szCs w:val="24"/>
              </w:rPr>
            </w:pPr>
            <w:r>
              <w:rPr>
                <w:b/>
                <w:bCs/>
                <w:i/>
                <w:iCs/>
                <w:szCs w:val="24"/>
              </w:rPr>
              <w:t xml:space="preserve">Verdissement : </w:t>
            </w:r>
          </w:p>
          <w:p w:rsidR="0035701C" w:rsidRDefault="00FB561B">
            <w:pPr>
              <w:spacing w:before="240" w:after="240"/>
              <w:jc w:val="left"/>
              <w:rPr>
                <w:szCs w:val="24"/>
              </w:rPr>
            </w:pPr>
            <w:r>
              <w:rPr>
                <w:szCs w:val="24"/>
              </w:rPr>
              <w:t>L’opération ne rémunère pas :</w:t>
            </w:r>
          </w:p>
          <w:p w:rsidR="0035701C" w:rsidRDefault="00FB561B" w:rsidP="00FB561B">
            <w:pPr>
              <w:numPr>
                <w:ilvl w:val="0"/>
                <w:numId w:val="771"/>
              </w:numPr>
              <w:spacing w:before="240" w:after="0"/>
              <w:ind w:hanging="210"/>
              <w:jc w:val="left"/>
              <w:rPr>
                <w:szCs w:val="24"/>
              </w:rPr>
            </w:pPr>
            <w:r>
              <w:rPr>
                <w:szCs w:val="24"/>
              </w:rPr>
              <w:t>Le maintien des prairies permanentes</w:t>
            </w:r>
          </w:p>
          <w:p w:rsidR="0035701C" w:rsidRDefault="00FB561B" w:rsidP="00FB561B">
            <w:pPr>
              <w:numPr>
                <w:ilvl w:val="0"/>
                <w:numId w:val="771"/>
              </w:numPr>
              <w:spacing w:before="0" w:after="0"/>
              <w:ind w:hanging="210"/>
              <w:jc w:val="left"/>
              <w:rPr>
                <w:szCs w:val="24"/>
              </w:rPr>
            </w:pPr>
            <w:r>
              <w:rPr>
                <w:szCs w:val="24"/>
              </w:rPr>
              <w:t>Les obligations de diversité</w:t>
            </w:r>
            <w:r>
              <w:rPr>
                <w:szCs w:val="24"/>
              </w:rPr>
              <w:t xml:space="preserve"> des assolements</w:t>
            </w:r>
          </w:p>
          <w:p w:rsidR="0035701C" w:rsidRDefault="00FB561B" w:rsidP="00FB561B">
            <w:pPr>
              <w:numPr>
                <w:ilvl w:val="0"/>
                <w:numId w:val="771"/>
              </w:numPr>
              <w:spacing w:before="0" w:after="240"/>
              <w:ind w:hanging="210"/>
              <w:jc w:val="left"/>
              <w:rPr>
                <w:szCs w:val="24"/>
              </w:rPr>
            </w:pPr>
            <w:r>
              <w:rPr>
                <w:szCs w:val="24"/>
              </w:rPr>
              <w:t>Les obligations liées aux surfaces d’intérêt écologique</w:t>
            </w:r>
          </w:p>
          <w:p w:rsidR="0035701C" w:rsidRDefault="00FB561B">
            <w:pPr>
              <w:spacing w:before="240" w:after="240"/>
              <w:jc w:val="left"/>
              <w:rPr>
                <w:szCs w:val="24"/>
              </w:rPr>
            </w:pPr>
            <w:r>
              <w:rPr>
                <w:szCs w:val="24"/>
              </w:rPr>
              <w:t>Il n’y a donc pas de risque de double paiement pour ce qui concerne les pratiques du verdissement</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772"/>
              </w:numPr>
              <w:spacing w:before="240" w:after="0"/>
              <w:ind w:hanging="210"/>
              <w:jc w:val="left"/>
              <w:rPr>
                <w:szCs w:val="24"/>
              </w:rPr>
            </w:pPr>
            <w:r>
              <w:rPr>
                <w:szCs w:val="24"/>
              </w:rPr>
              <w:t>Coût du paillage végétal et du paillage biodégradable : Ecole Nat</w:t>
            </w:r>
            <w:r>
              <w:rPr>
                <w:szCs w:val="24"/>
              </w:rPr>
              <w:t>ionale des travaux agricoles de Bordeaux et Centre Technique Interprofessionnel des fruits et légumes</w:t>
            </w:r>
          </w:p>
          <w:p w:rsidR="0035701C" w:rsidRDefault="00FB561B" w:rsidP="00FB561B">
            <w:pPr>
              <w:numPr>
                <w:ilvl w:val="0"/>
                <w:numId w:val="772"/>
              </w:numPr>
              <w:spacing w:before="0" w:after="0"/>
              <w:ind w:hanging="210"/>
              <w:jc w:val="left"/>
              <w:rPr>
                <w:szCs w:val="24"/>
              </w:rPr>
            </w:pPr>
            <w:r>
              <w:rPr>
                <w:szCs w:val="24"/>
              </w:rPr>
              <w:t xml:space="preserve">temps de travail et coût du matériel pour la mise en place du paillage : experts nationaux (fédération nationale des coopératives d’utilisation de </w:t>
            </w:r>
            <w:r>
              <w:rPr>
                <w:szCs w:val="24"/>
              </w:rPr>
              <w:t>matériel agricole)</w:t>
            </w:r>
          </w:p>
          <w:p w:rsidR="0035701C" w:rsidRDefault="00FB561B" w:rsidP="00FB561B">
            <w:pPr>
              <w:numPr>
                <w:ilvl w:val="0"/>
                <w:numId w:val="772"/>
              </w:numPr>
              <w:spacing w:before="0" w:after="0"/>
              <w:ind w:hanging="210"/>
              <w:jc w:val="left"/>
              <w:rPr>
                <w:szCs w:val="24"/>
              </w:rPr>
            </w:pPr>
            <w:r>
              <w:rPr>
                <w:szCs w:val="24"/>
              </w:rPr>
              <w:t>Charges d’approvisionnement en herbicides : Service de Statistiques et de Prospective du Ministère de l’Agriculture</w:t>
            </w:r>
          </w:p>
          <w:p w:rsidR="0035701C" w:rsidRDefault="00FB561B" w:rsidP="00FB561B">
            <w:pPr>
              <w:numPr>
                <w:ilvl w:val="0"/>
                <w:numId w:val="772"/>
              </w:numPr>
              <w:spacing w:before="0" w:after="0"/>
              <w:ind w:hanging="210"/>
              <w:jc w:val="left"/>
              <w:rPr>
                <w:szCs w:val="24"/>
              </w:rPr>
            </w:pPr>
            <w:r>
              <w:rPr>
                <w:szCs w:val="24"/>
              </w:rPr>
              <w:t>barème des coûts horaires des techniciens : assemblée permanente des chambres d’agriculture (APCA)</w:t>
            </w:r>
          </w:p>
          <w:p w:rsidR="0035701C" w:rsidRDefault="00FB561B" w:rsidP="00FB561B">
            <w:pPr>
              <w:numPr>
                <w:ilvl w:val="0"/>
                <w:numId w:val="772"/>
              </w:numPr>
              <w:spacing w:before="0" w:after="0"/>
              <w:ind w:hanging="210"/>
              <w:jc w:val="left"/>
              <w:rPr>
                <w:szCs w:val="24"/>
              </w:rPr>
            </w:pPr>
            <w:r>
              <w:rPr>
                <w:szCs w:val="24"/>
              </w:rPr>
              <w:t>Surface moyenne engagé</w:t>
            </w:r>
            <w:r>
              <w:rPr>
                <w:szCs w:val="24"/>
              </w:rPr>
              <w:t>e par exploitation : surface moyenne engagée en MAE</w:t>
            </w:r>
          </w:p>
          <w:p w:rsidR="0035701C" w:rsidRDefault="00FB561B" w:rsidP="00FB561B">
            <w:pPr>
              <w:numPr>
                <w:ilvl w:val="0"/>
                <w:numId w:val="772"/>
              </w:numPr>
              <w:spacing w:before="0" w:after="240"/>
              <w:ind w:hanging="210"/>
              <w:jc w:val="left"/>
              <w:rPr>
                <w:szCs w:val="24"/>
              </w:rPr>
            </w:pPr>
            <w:r>
              <w:rPr>
                <w:szCs w:val="24"/>
              </w:rPr>
              <w:t>Temps de travail pour la réalisation d’un bilan : experts nationaux</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182451" cy="8280400"/>
                  <wp:effectExtent l="0" t="0" r="0" b="0"/>
                  <wp:docPr id="100190" name="Image 100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1" name=""/>
                          <pic:cNvPicPr>
                            <a:picLocks noChangeAspect="1"/>
                          </pic:cNvPicPr>
                        </pic:nvPicPr>
                        <pic:blipFill>
                          <a:blip r:embed="rId107"/>
                          <a:stretch>
                            <a:fillRect/>
                          </a:stretch>
                        </pic:blipFill>
                        <pic:spPr>
                          <a:xfrm>
                            <a:off x="0" y="0"/>
                            <a:ext cx="6182451" cy="8280400"/>
                          </a:xfrm>
                          <a:prstGeom prst="rect">
                            <a:avLst/>
                          </a:prstGeom>
                        </pic:spPr>
                      </pic:pic>
                    </a:graphicData>
                  </a:graphic>
                </wp:inline>
              </w:drawing>
            </w:r>
          </w:p>
          <w:p w:rsidR="0035701C" w:rsidRDefault="00FB561B">
            <w:pPr>
              <w:pStyle w:val="Pieddepage"/>
              <w:jc w:val="center"/>
            </w:pPr>
            <w:r>
              <w:t>Eau_1_option1</w:t>
            </w:r>
          </w:p>
          <w:p w:rsidR="0035701C" w:rsidRDefault="00FB561B">
            <w:pPr>
              <w:pStyle w:val="Pieddepage"/>
              <w:jc w:val="center"/>
            </w:pPr>
            <w:r>
              <w:rPr>
                <w:noProof/>
                <w:lang w:val="fr-FR" w:eastAsia="fr-FR"/>
              </w:rPr>
              <w:drawing>
                <wp:inline distT="0" distB="0" distL="0" distR="0">
                  <wp:extent cx="5934075" cy="5400675"/>
                  <wp:effectExtent l="0" t="0" r="0" b="0"/>
                  <wp:docPr id="100192" name="Image 100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3" name=""/>
                          <pic:cNvPicPr>
                            <a:picLocks noChangeAspect="1"/>
                          </pic:cNvPicPr>
                        </pic:nvPicPr>
                        <pic:blipFill>
                          <a:blip r:embed="rId108"/>
                          <a:stretch>
                            <a:fillRect/>
                          </a:stretch>
                        </pic:blipFill>
                        <pic:spPr>
                          <a:xfrm>
                            <a:off x="0" y="0"/>
                            <a:ext cx="5934075" cy="5400675"/>
                          </a:xfrm>
                          <a:prstGeom prst="rect">
                            <a:avLst/>
                          </a:prstGeom>
                        </pic:spPr>
                      </pic:pic>
                    </a:graphicData>
                  </a:graphic>
                </wp:inline>
              </w:drawing>
            </w:r>
          </w:p>
          <w:p w:rsidR="0035701C" w:rsidRDefault="00FB561B">
            <w:pPr>
              <w:pStyle w:val="Pieddepage"/>
              <w:jc w:val="center"/>
            </w:pPr>
            <w:r>
              <w:t>Eau_1_option2</w:t>
            </w:r>
          </w:p>
          <w:p w:rsidR="0035701C" w:rsidRDefault="0035701C">
            <w:pPr>
              <w:pStyle w:val="Pieddepage"/>
              <w:jc w:val="center"/>
            </w:pPr>
          </w:p>
        </w:tc>
      </w:tr>
    </w:tbl>
    <w:p w:rsidR="0035701C" w:rsidRDefault="00FB561B">
      <w:pPr>
        <w:pStyle w:val="Titre5"/>
        <w:rPr>
          <w:b w:val="0"/>
        </w:rPr>
      </w:pPr>
      <w:r>
        <w:rPr>
          <w:b w:val="0"/>
        </w:rPr>
        <w:br w:type="page"/>
        <w:t>-30- EAU_2</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773"/>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EAU_2 =  Remplacer une fumure de fond de type minérale par une fumure de fond de type organique avec réduction d’azote sur cultures maraîchères et légumières.</w:t>
            </w:r>
          </w:p>
          <w:p w:rsidR="0035701C" w:rsidRDefault="00FB561B">
            <w:pPr>
              <w:spacing w:before="240" w:after="240"/>
              <w:jc w:val="left"/>
              <w:rPr>
                <w:szCs w:val="24"/>
              </w:rPr>
            </w:pPr>
            <w:r>
              <w:rPr>
                <w:szCs w:val="24"/>
              </w:rPr>
              <w:t xml:space="preserve">La nouvelle pratique proposée est de </w:t>
            </w:r>
            <w:r>
              <w:rPr>
                <w:szCs w:val="24"/>
              </w:rPr>
              <w:t xml:space="preserve">remplacer l'utilisation d’une fumure de fond de type minéral par une fumure de fond de type organique (issue du commerce sous forme solide) et de réduire la fertilisation azotée dans le but de limiter le risque de lessivage et donc de préserver la qualité </w:t>
            </w:r>
            <w:r>
              <w:rPr>
                <w:szCs w:val="24"/>
              </w:rPr>
              <w:t>de la ressource en eau.</w:t>
            </w:r>
          </w:p>
          <w:p w:rsidR="0035701C" w:rsidRDefault="00FB561B">
            <w:pPr>
              <w:spacing w:before="240" w:after="240"/>
              <w:jc w:val="left"/>
              <w:rPr>
                <w:szCs w:val="24"/>
              </w:rPr>
            </w:pPr>
            <w:r>
              <w:rPr>
                <w:szCs w:val="24"/>
              </w:rPr>
              <w:t xml:space="preserve">Ce mode de fertilisation est très bénéfique pour la qualité des sols et de l’eau. Il favorise la vie des organismes du sol (maintien de la chaîne alimentaire). Il enrichit le sol en nutriments avec une décomposition progressive des </w:t>
            </w:r>
            <w:r>
              <w:rPr>
                <w:szCs w:val="24"/>
              </w:rPr>
              <w:t>éléments nutritifs. Il permet de maintenir la qualité physique du sol car le sol est friable, aéré et donc de retenir efficacement les eaux de pluie et les produits phytosanitaires.</w:t>
            </w:r>
          </w:p>
          <w:p w:rsidR="0035701C" w:rsidRDefault="00FB561B">
            <w:pPr>
              <w:spacing w:before="240" w:after="240"/>
              <w:jc w:val="left"/>
              <w:rPr>
                <w:szCs w:val="24"/>
              </w:rPr>
            </w:pPr>
            <w:r>
              <w:rPr>
                <w:szCs w:val="24"/>
              </w:rPr>
              <w:t xml:space="preserve">Cette nouvelle pratique doit permettre de diminuer l’azote minéral de 30% </w:t>
            </w:r>
            <w:r>
              <w:rPr>
                <w:szCs w:val="24"/>
              </w:rPr>
              <w:t>grâce à un meilleur fonctionnement biologique du sol. La fumure de type minéral est composée d’éléments minéraux directement assimilables par la plante, donc les surplus sont facilement lessivés vers les cours d’eau environnants. L’utilisation d’une fumure</w:t>
            </w:r>
            <w:r>
              <w:rPr>
                <w:szCs w:val="24"/>
              </w:rPr>
              <w:t xml:space="preserve"> organique permettra de libérer progressivement les éléments nutritifs et donc de limiter les risques de lessivage des sols.</w:t>
            </w:r>
          </w:p>
          <w:p w:rsidR="0035701C" w:rsidRDefault="00FB561B">
            <w:pPr>
              <w:spacing w:before="240" w:after="240"/>
              <w:jc w:val="left"/>
              <w:rPr>
                <w:szCs w:val="24"/>
              </w:rPr>
            </w:pPr>
            <w:r>
              <w:rPr>
                <w:szCs w:val="24"/>
              </w:rPr>
              <w:t xml:space="preserve">Cette opération peut être combinée avec d’autres opérations telles que le paillage végétal ou biodégradable, la mise en place d’un </w:t>
            </w:r>
            <w:r>
              <w:rPr>
                <w:szCs w:val="24"/>
              </w:rPr>
              <w:t>engrais vert et/ou la mise en place de la lutte biologique sous serre.</w:t>
            </w:r>
          </w:p>
          <w:p w:rsidR="0035701C" w:rsidRDefault="00FB561B">
            <w:pPr>
              <w:spacing w:before="240" w:after="240"/>
              <w:jc w:val="left"/>
              <w:rPr>
                <w:szCs w:val="24"/>
              </w:rPr>
            </w:pPr>
            <w:r>
              <w:rPr>
                <w:b/>
                <w:bCs/>
                <w:i/>
                <w:iCs/>
                <w:szCs w:val="24"/>
              </w:rPr>
              <w:t>Cahier des charges :</w:t>
            </w:r>
          </w:p>
          <w:p w:rsidR="0035701C" w:rsidRDefault="00FB561B">
            <w:pPr>
              <w:spacing w:before="240" w:after="240"/>
              <w:jc w:val="left"/>
              <w:rPr>
                <w:szCs w:val="24"/>
              </w:rPr>
            </w:pPr>
            <w:r>
              <w:rPr>
                <w:szCs w:val="24"/>
                <w:u w:val="single"/>
              </w:rPr>
              <w:t xml:space="preserve">En cultures maraîchères : </w:t>
            </w:r>
          </w:p>
          <w:p w:rsidR="0035701C" w:rsidRDefault="00FB561B" w:rsidP="00FB561B">
            <w:pPr>
              <w:numPr>
                <w:ilvl w:val="0"/>
                <w:numId w:val="774"/>
              </w:numPr>
              <w:spacing w:before="240" w:after="0"/>
              <w:ind w:hanging="210"/>
              <w:jc w:val="left"/>
              <w:rPr>
                <w:szCs w:val="24"/>
              </w:rPr>
            </w:pPr>
            <w:r>
              <w:rPr>
                <w:szCs w:val="24"/>
              </w:rPr>
              <w:t xml:space="preserve">L’agriculteur s’engage à remplacer 2 amendements chimiques (pratique courante 100 U de N/ha) par 2 amendements organiques (70 U de N/ha) </w:t>
            </w:r>
            <w:r>
              <w:rPr>
                <w:szCs w:val="24"/>
              </w:rPr>
              <w:t>soit 30 % de réduction d’azote. Cet amendement est enfoui dès l’épandage par une façon culturale.</w:t>
            </w:r>
          </w:p>
          <w:p w:rsidR="0035701C" w:rsidRDefault="00FB561B" w:rsidP="00FB561B">
            <w:pPr>
              <w:numPr>
                <w:ilvl w:val="0"/>
                <w:numId w:val="774"/>
              </w:numPr>
              <w:spacing w:before="0" w:after="0"/>
              <w:ind w:hanging="210"/>
              <w:jc w:val="left"/>
              <w:rPr>
                <w:szCs w:val="24"/>
              </w:rPr>
            </w:pPr>
            <w:r>
              <w:rPr>
                <w:szCs w:val="24"/>
              </w:rPr>
              <w:t>Il doit assurer l’enregistrement des différentes interventions et des pratiques réalisées dans le cahier de l’exploitant. L’enregistrement des pratiques est u</w:t>
            </w:r>
            <w:r>
              <w:rPr>
                <w:szCs w:val="24"/>
              </w:rPr>
              <w:t>ne obligation pendant toute la durée de l’engagement, permettant ainsi de vérifier l’atteinte de l’objectif sur la durée du contrat.</w:t>
            </w:r>
          </w:p>
          <w:p w:rsidR="0035701C" w:rsidRDefault="00FB561B" w:rsidP="00FB561B">
            <w:pPr>
              <w:numPr>
                <w:ilvl w:val="0"/>
                <w:numId w:val="774"/>
              </w:numPr>
              <w:spacing w:before="0" w:after="0"/>
              <w:ind w:hanging="210"/>
              <w:jc w:val="left"/>
              <w:rPr>
                <w:szCs w:val="24"/>
              </w:rPr>
            </w:pPr>
            <w:r>
              <w:rPr>
                <w:szCs w:val="24"/>
              </w:rPr>
              <w:t xml:space="preserve">Il doit effectuer un test d’azote, pour détecter s’il y a eu un manque ou un surplus d’azote. Ce test qui est à renouveler </w:t>
            </w:r>
            <w:r>
              <w:rPr>
                <w:szCs w:val="24"/>
              </w:rPr>
              <w:t>annuellement constitue un point de contrôle obligatoire. Ce test s’effectuera entre les deux apports de fumure. Suite à ce test, il y aura possibilité pour l’exploitant de rajouter 30 U de N maximum si besoin (dans la limite des 70 U de N).</w:t>
            </w:r>
          </w:p>
          <w:p w:rsidR="0035701C" w:rsidRDefault="00FB561B" w:rsidP="00FB561B">
            <w:pPr>
              <w:numPr>
                <w:ilvl w:val="0"/>
                <w:numId w:val="774"/>
              </w:numPr>
              <w:spacing w:before="0" w:after="0"/>
              <w:ind w:hanging="210"/>
              <w:jc w:val="left"/>
              <w:rPr>
                <w:szCs w:val="24"/>
              </w:rPr>
            </w:pPr>
            <w:r>
              <w:rPr>
                <w:szCs w:val="24"/>
              </w:rPr>
              <w:t>Il doit réalise</w:t>
            </w:r>
            <w:r>
              <w:rPr>
                <w:szCs w:val="24"/>
              </w:rPr>
              <w:t>r un reliquat azoté (type nitratest) en début d’année (janvier à mars) pour tenir compte de l’azote disponible dans le sol. Ce résultat sera formalisé dans le cahier de l’exploitant ainsi que dans le bilan annuel de suivi.</w:t>
            </w:r>
          </w:p>
          <w:p w:rsidR="0035701C" w:rsidRDefault="00FB561B" w:rsidP="00FB561B">
            <w:pPr>
              <w:numPr>
                <w:ilvl w:val="0"/>
                <w:numId w:val="774"/>
              </w:numPr>
              <w:spacing w:before="0" w:after="240"/>
              <w:ind w:hanging="210"/>
              <w:jc w:val="left"/>
              <w:rPr>
                <w:szCs w:val="24"/>
              </w:rPr>
            </w:pPr>
            <w:r>
              <w:rPr>
                <w:szCs w:val="24"/>
              </w:rPr>
              <w:t xml:space="preserve">Il doit réaliser un bilan annuel </w:t>
            </w:r>
            <w:r>
              <w:rPr>
                <w:szCs w:val="24"/>
              </w:rPr>
              <w:t>de suivi. L’élaboration de ce bilan est obligatoire afin de garantir de bonnes conditions d’appui technique à la réduction de ces intrants. Il permettra d’évaluer la pertinence des options techniques retenues, de s’assurer de l’atteinte des objectifs de ré</w:t>
            </w:r>
            <w:r>
              <w:rPr>
                <w:szCs w:val="24"/>
              </w:rPr>
              <w:t>sultat et d’optimiser l’efficacité de la solution agronomique mise en œuvre. Ce bilan annuel doit être réalisé chaque année par l’agriculteur et deux fois avec l’appui d’un technicien</w:t>
            </w:r>
          </w:p>
          <w:p w:rsidR="0035701C" w:rsidRDefault="00FB561B">
            <w:pPr>
              <w:spacing w:before="240" w:after="240"/>
              <w:jc w:val="left"/>
              <w:rPr>
                <w:szCs w:val="24"/>
              </w:rPr>
            </w:pPr>
            <w:r>
              <w:rPr>
                <w:szCs w:val="24"/>
                <w:u w:val="single"/>
              </w:rPr>
              <w:t>En cultures légumières :</w:t>
            </w:r>
          </w:p>
          <w:p w:rsidR="0035701C" w:rsidRDefault="00FB561B" w:rsidP="00FB561B">
            <w:pPr>
              <w:numPr>
                <w:ilvl w:val="0"/>
                <w:numId w:val="775"/>
              </w:numPr>
              <w:spacing w:before="240" w:after="0"/>
              <w:ind w:hanging="210"/>
              <w:jc w:val="left"/>
              <w:rPr>
                <w:szCs w:val="24"/>
              </w:rPr>
            </w:pPr>
            <w:r>
              <w:rPr>
                <w:szCs w:val="24"/>
              </w:rPr>
              <w:t>L’agriculteur s’engage à remplacer 1 amendement</w:t>
            </w:r>
            <w:r>
              <w:rPr>
                <w:szCs w:val="24"/>
              </w:rPr>
              <w:t xml:space="preserve"> chimique (pratique courante100 U de N/ha) par 1 amendement organique (70 U de N/ha) soit 30 % de réduction d’azote. Cet amendement est enfoui dès l’épandage par une façon culturale.</w:t>
            </w:r>
          </w:p>
          <w:p w:rsidR="0035701C" w:rsidRDefault="00FB561B" w:rsidP="00FB561B">
            <w:pPr>
              <w:numPr>
                <w:ilvl w:val="0"/>
                <w:numId w:val="775"/>
              </w:numPr>
              <w:spacing w:before="0" w:after="0"/>
              <w:ind w:hanging="210"/>
              <w:jc w:val="left"/>
              <w:rPr>
                <w:szCs w:val="24"/>
              </w:rPr>
            </w:pPr>
            <w:r>
              <w:rPr>
                <w:szCs w:val="24"/>
              </w:rPr>
              <w:t xml:space="preserve">Il doit assurer l’enregistrement des différentes interventions et des </w:t>
            </w:r>
            <w:r>
              <w:rPr>
                <w:szCs w:val="24"/>
              </w:rPr>
              <w:t>pratiques réalisées dans le cahier de l’exploitant. L’enregistrement des pratiques est une obligation pendant toute la durée de l’engagement, permettant ainsi de vérifier l’atteinte de l’objectif sur la durée du contrat.</w:t>
            </w:r>
          </w:p>
          <w:p w:rsidR="0035701C" w:rsidRDefault="00FB561B" w:rsidP="00FB561B">
            <w:pPr>
              <w:numPr>
                <w:ilvl w:val="0"/>
                <w:numId w:val="775"/>
              </w:numPr>
              <w:spacing w:before="0" w:after="0"/>
              <w:ind w:hanging="210"/>
              <w:jc w:val="left"/>
              <w:rPr>
                <w:szCs w:val="24"/>
              </w:rPr>
            </w:pPr>
            <w:r>
              <w:rPr>
                <w:szCs w:val="24"/>
              </w:rPr>
              <w:t xml:space="preserve">Il doit effectuer un test d’azote, </w:t>
            </w:r>
            <w:r>
              <w:rPr>
                <w:szCs w:val="24"/>
              </w:rPr>
              <w:t>pour détecter s’il y a eu un manque ou un surplus d’azote.. Ce test qui est à renouveler annuellement constitue un point de contrôle obligatoire. Suite à ce test, il y aura possibilité pour l’exploitant de rajouter 30 U de N maximum si besoin (dans la limi</w:t>
            </w:r>
            <w:r>
              <w:rPr>
                <w:szCs w:val="24"/>
              </w:rPr>
              <w:t>te des 70 U de N).</w:t>
            </w:r>
          </w:p>
          <w:p w:rsidR="0035701C" w:rsidRDefault="00FB561B" w:rsidP="00FB561B">
            <w:pPr>
              <w:numPr>
                <w:ilvl w:val="0"/>
                <w:numId w:val="775"/>
              </w:numPr>
              <w:spacing w:before="0" w:after="0"/>
              <w:ind w:hanging="210"/>
              <w:jc w:val="left"/>
              <w:rPr>
                <w:szCs w:val="24"/>
              </w:rPr>
            </w:pPr>
            <w:r>
              <w:rPr>
                <w:szCs w:val="24"/>
              </w:rPr>
              <w:t>Il doit réaliser un reliquat azoté (type nitratest) en début d’année (janvier à mars) est indispensable pour tenir compte de l’azote disponible dans le sol. Ce résultat sera formalisé dans le cahier d’enregistrement des pratiques ainsi q</w:t>
            </w:r>
            <w:r>
              <w:rPr>
                <w:szCs w:val="24"/>
              </w:rPr>
              <w:t>ue dans le bilan annuel de suivi.</w:t>
            </w:r>
          </w:p>
          <w:p w:rsidR="0035701C" w:rsidRDefault="00FB561B" w:rsidP="00FB561B">
            <w:pPr>
              <w:numPr>
                <w:ilvl w:val="0"/>
                <w:numId w:val="775"/>
              </w:numPr>
              <w:spacing w:before="0" w:after="240"/>
              <w:ind w:hanging="210"/>
              <w:jc w:val="left"/>
              <w:rPr>
                <w:szCs w:val="24"/>
              </w:rPr>
            </w:pPr>
            <w:r>
              <w:rPr>
                <w:szCs w:val="24"/>
              </w:rPr>
              <w:t xml:space="preserve">Il doit réaliser un bilan annuel de suivi. L’élaboration de ce bilan est obligatoire afin de garantir de bonnes conditions d’appui technique à la réduction de ces intrants. Il permettra d’évaluer la pertinence des options </w:t>
            </w:r>
            <w:r>
              <w:rPr>
                <w:szCs w:val="24"/>
              </w:rPr>
              <w:t>techniques retenues, de s’assurer de l’atteinte des objectifs de résultat et d’optimiser l’efficacité de la solution agronomique mise en œuvre. Ce bilan annuel doit être réalisé chaque année par l’agriculteur et deux fois avec l’appui d’un technicien</w:t>
            </w:r>
          </w:p>
          <w:p w:rsidR="0035701C" w:rsidRDefault="0035701C">
            <w:pPr>
              <w:pStyle w:val="Corpsdetexte"/>
            </w:pPr>
          </w:p>
        </w:tc>
      </w:tr>
    </w:tbl>
    <w:p w:rsidR="0035701C" w:rsidRDefault="00FB561B">
      <w:pPr>
        <w:pStyle w:val="Titre6"/>
      </w:pPr>
      <w:r>
        <w:t>Typ</w:t>
      </w:r>
      <w:r>
        <w:t>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éléments de la ligne de base sont définis en </w:t>
            </w:r>
            <w:r>
              <w:rPr>
                <w:szCs w:val="24"/>
              </w:rPr>
              <w:t>conformité avec :</w:t>
            </w:r>
          </w:p>
          <w:p w:rsidR="0035701C" w:rsidRDefault="00FB561B" w:rsidP="00FB561B">
            <w:pPr>
              <w:numPr>
                <w:ilvl w:val="0"/>
                <w:numId w:val="776"/>
              </w:numPr>
              <w:spacing w:before="240" w:after="0"/>
              <w:ind w:hanging="210"/>
              <w:jc w:val="left"/>
              <w:rPr>
                <w:szCs w:val="24"/>
              </w:rPr>
            </w:pPr>
            <w:r>
              <w:rPr>
                <w:szCs w:val="24"/>
              </w:rPr>
              <w:t>les exigences établies en vertu de l’article 93 du règlement UE n° 1306/2013 et de l’article 4.1c points ii) et iii) du règlement UE n°1307/2013,</w:t>
            </w:r>
          </w:p>
          <w:p w:rsidR="0035701C" w:rsidRDefault="00FB561B" w:rsidP="00FB561B">
            <w:pPr>
              <w:numPr>
                <w:ilvl w:val="0"/>
                <w:numId w:val="776"/>
              </w:numPr>
              <w:spacing w:before="0" w:after="0"/>
              <w:ind w:hanging="210"/>
              <w:jc w:val="left"/>
              <w:rPr>
                <w:szCs w:val="24"/>
              </w:rPr>
            </w:pPr>
            <w:r>
              <w:rPr>
                <w:szCs w:val="24"/>
              </w:rPr>
              <w:t>la circulaire nationale fixant les règles relatives aux bonnes conduites agricoles et enviro</w:t>
            </w:r>
            <w:r>
              <w:rPr>
                <w:szCs w:val="24"/>
              </w:rPr>
              <w:t>nnementales (BCAE).</w:t>
            </w:r>
          </w:p>
          <w:p w:rsidR="0035701C" w:rsidRDefault="00FB561B" w:rsidP="00FB561B">
            <w:pPr>
              <w:numPr>
                <w:ilvl w:val="0"/>
                <w:numId w:val="776"/>
              </w:numPr>
              <w:spacing w:before="0" w:after="240"/>
              <w:ind w:hanging="210"/>
              <w:jc w:val="left"/>
              <w:rPr>
                <w:szCs w:val="24"/>
              </w:rPr>
            </w:pPr>
            <w:r>
              <w:rPr>
                <w:szCs w:val="24"/>
              </w:rPr>
              <w:t>l’arrêté préfectoral régional en vigueur en Corse fixant les règles relatives aux bonnes conduites agricoles et environnementales (BCAE).</w:t>
            </w:r>
          </w:p>
          <w:p w:rsidR="0035701C" w:rsidRDefault="00FB561B">
            <w:pPr>
              <w:spacing w:before="240" w:after="240"/>
              <w:jc w:val="left"/>
              <w:rPr>
                <w:szCs w:val="24"/>
              </w:rPr>
            </w:pPr>
            <w:r>
              <w:rPr>
                <w:szCs w:val="24"/>
              </w:rPr>
              <w:t xml:space="preserve">Afin d’exclure tout double paiement, les pratiques visées à l’article 43 du règlement UE n° </w:t>
            </w:r>
            <w:r>
              <w:rPr>
                <w:szCs w:val="24"/>
              </w:rPr>
              <w:t>1307/2013 sont prises en compte dans le calcul des surcoûts et manques à gagner.</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les surcoûts, manques à gagner et éventuels coût</w:t>
            </w:r>
            <w:r>
              <w:rPr>
                <w:szCs w:val="24"/>
              </w:rPr>
              <w:t>s d’opportunité et de transaction générés par le respect des éléments contractualisés.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Couverts éligibles :</w:t>
            </w:r>
            <w:r>
              <w:rPr>
                <w:szCs w:val="24"/>
              </w:rPr>
              <w:t xml:space="preserve"> Cultures maraîchères et légumières.</w:t>
            </w:r>
          </w:p>
          <w:p w:rsidR="0035701C" w:rsidRDefault="00FB561B">
            <w:pPr>
              <w:spacing w:before="240" w:after="240"/>
              <w:jc w:val="left"/>
              <w:rPr>
                <w:szCs w:val="24"/>
              </w:rPr>
            </w:pPr>
            <w:r>
              <w:rPr>
                <w:b/>
                <w:bCs/>
                <w:i/>
                <w:iCs/>
                <w:szCs w:val="24"/>
              </w:rPr>
              <w:t>Diagnostic d’exploitation :</w:t>
            </w:r>
          </w:p>
          <w:p w:rsidR="0035701C" w:rsidRDefault="00FB561B">
            <w:pPr>
              <w:spacing w:before="240" w:after="240"/>
              <w:jc w:val="left"/>
              <w:rPr>
                <w:szCs w:val="24"/>
              </w:rPr>
            </w:pPr>
            <w:r>
              <w:rPr>
                <w:szCs w:val="24"/>
              </w:rPr>
              <w:t xml:space="preserve">La réalisation d’un diagnostic d’exploitation est une </w:t>
            </w:r>
            <w:r>
              <w:rPr>
                <w:szCs w:val="24"/>
              </w:rPr>
              <w:t>obligation pour la souscription de cette opération.</w:t>
            </w:r>
          </w:p>
          <w:p w:rsidR="0035701C" w:rsidRDefault="00FB561B">
            <w:pPr>
              <w:spacing w:before="240" w:after="240"/>
              <w:jc w:val="left"/>
              <w:rPr>
                <w:szCs w:val="24"/>
              </w:rPr>
            </w:pPr>
            <w:r>
              <w:rPr>
                <w:szCs w:val="24"/>
              </w:rPr>
              <w:t>Le diagnostic d’exploitation fera apparaître les différentes possibilités de combinaison avec d’autres opérations.</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w:t>
      </w:r>
      <w:r>
        <w:t xml:space="preserve">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Afin d’éviter le double paiement du coût de transaction concernant l’élaboration du bilan annuel de la stratégie des cultures :</w:t>
            </w:r>
          </w:p>
          <w:p w:rsidR="0035701C" w:rsidRDefault="00FB561B">
            <w:pPr>
              <w:spacing w:before="240" w:after="240"/>
              <w:jc w:val="left"/>
              <w:rPr>
                <w:szCs w:val="24"/>
              </w:rPr>
            </w:pPr>
            <w:r>
              <w:rPr>
                <w:szCs w:val="24"/>
              </w:rPr>
              <w:t xml:space="preserve">Option 1 (si l’opération est souscrite seule ou si elle est </w:t>
            </w:r>
            <w:r>
              <w:rPr>
                <w:szCs w:val="24"/>
              </w:rPr>
              <w:t>la première souscrite, le bilan s’ajoutera obligatoirement à cette opération) :</w:t>
            </w:r>
          </w:p>
          <w:p w:rsidR="0035701C" w:rsidRDefault="00FB561B">
            <w:pPr>
              <w:spacing w:before="240" w:after="240"/>
              <w:jc w:val="left"/>
              <w:rPr>
                <w:szCs w:val="24"/>
              </w:rPr>
            </w:pPr>
            <w:r>
              <w:rPr>
                <w:szCs w:val="24"/>
              </w:rPr>
              <w:t>Le montant unitaire est fixé à :</w:t>
            </w:r>
          </w:p>
          <w:p w:rsidR="0035701C" w:rsidRDefault="00FB561B" w:rsidP="00FB561B">
            <w:pPr>
              <w:numPr>
                <w:ilvl w:val="0"/>
                <w:numId w:val="777"/>
              </w:numPr>
              <w:spacing w:before="240" w:after="0"/>
              <w:ind w:hanging="210"/>
              <w:jc w:val="left"/>
              <w:rPr>
                <w:szCs w:val="24"/>
              </w:rPr>
            </w:pPr>
            <w:r>
              <w:rPr>
                <w:szCs w:val="24"/>
              </w:rPr>
              <w:t>749,61 € /ha/an pour les cultures maraîchères</w:t>
            </w:r>
          </w:p>
          <w:p w:rsidR="0035701C" w:rsidRDefault="00FB561B" w:rsidP="00FB561B">
            <w:pPr>
              <w:numPr>
                <w:ilvl w:val="0"/>
                <w:numId w:val="777"/>
              </w:numPr>
              <w:spacing w:before="0" w:after="240"/>
              <w:ind w:hanging="210"/>
              <w:jc w:val="left"/>
              <w:rPr>
                <w:szCs w:val="24"/>
              </w:rPr>
            </w:pPr>
            <w:r>
              <w:rPr>
                <w:szCs w:val="24"/>
              </w:rPr>
              <w:t>383,54 €/ha/an pour les cultures légumières.</w:t>
            </w:r>
          </w:p>
          <w:p w:rsidR="0035701C" w:rsidRDefault="00FB561B">
            <w:pPr>
              <w:spacing w:before="240" w:after="240"/>
              <w:jc w:val="left"/>
              <w:rPr>
                <w:szCs w:val="24"/>
              </w:rPr>
            </w:pPr>
            <w:r>
              <w:rPr>
                <w:szCs w:val="24"/>
              </w:rPr>
              <w:t>Option 2 (si l’opération est souscrite avec d’autres</w:t>
            </w:r>
            <w:r>
              <w:rPr>
                <w:szCs w:val="24"/>
              </w:rPr>
              <w:t xml:space="preserve"> opérations le bilan ne pourra être comptabilisé qu’une seule fois) :</w:t>
            </w:r>
          </w:p>
          <w:p w:rsidR="0035701C" w:rsidRDefault="00FB561B">
            <w:pPr>
              <w:spacing w:before="240" w:after="240"/>
              <w:jc w:val="left"/>
              <w:rPr>
                <w:szCs w:val="24"/>
              </w:rPr>
            </w:pPr>
            <w:r>
              <w:rPr>
                <w:szCs w:val="24"/>
              </w:rPr>
              <w:t>Le montant unitaire est  fixé à :</w:t>
            </w:r>
          </w:p>
          <w:p w:rsidR="0035701C" w:rsidRDefault="00FB561B" w:rsidP="00FB561B">
            <w:pPr>
              <w:numPr>
                <w:ilvl w:val="0"/>
                <w:numId w:val="778"/>
              </w:numPr>
              <w:spacing w:before="240" w:after="0"/>
              <w:ind w:hanging="210"/>
              <w:jc w:val="left"/>
              <w:rPr>
                <w:szCs w:val="24"/>
              </w:rPr>
            </w:pPr>
            <w:r>
              <w:rPr>
                <w:szCs w:val="24"/>
              </w:rPr>
              <w:t>732,14 € /ha/an pour les cultures maraîchères</w:t>
            </w:r>
          </w:p>
          <w:p w:rsidR="0035701C" w:rsidRDefault="00FB561B" w:rsidP="00FB561B">
            <w:pPr>
              <w:numPr>
                <w:ilvl w:val="0"/>
                <w:numId w:val="778"/>
              </w:numPr>
              <w:spacing w:before="0" w:after="240"/>
              <w:ind w:hanging="210"/>
              <w:jc w:val="left"/>
              <w:rPr>
                <w:szCs w:val="24"/>
              </w:rPr>
            </w:pPr>
            <w:r>
              <w:rPr>
                <w:szCs w:val="24"/>
              </w:rPr>
              <w:t>366,07 € /ha/an pour les cultures légumières</w:t>
            </w:r>
          </w:p>
          <w:p w:rsidR="0035701C" w:rsidRDefault="00FB561B">
            <w:pPr>
              <w:spacing w:before="240" w:after="240"/>
              <w:jc w:val="left"/>
              <w:rPr>
                <w:szCs w:val="24"/>
              </w:rPr>
            </w:pPr>
            <w:r>
              <w:rPr>
                <w:b/>
                <w:bCs/>
                <w:szCs w:val="24"/>
              </w:rPr>
              <w:t>Pour l’engagement (option 1 et option 2) sur cultures maraîch</w:t>
            </w:r>
            <w:r>
              <w:rPr>
                <w:b/>
                <w:bCs/>
                <w:szCs w:val="24"/>
              </w:rPr>
              <w:t>ères l’aide est plafonnée à 600€/ha/an.</w:t>
            </w:r>
          </w:p>
          <w:p w:rsidR="0035701C" w:rsidRDefault="00FB561B">
            <w:pPr>
              <w:spacing w:before="240" w:after="240"/>
              <w:jc w:val="left"/>
              <w:rPr>
                <w:szCs w:val="24"/>
              </w:rPr>
            </w:pPr>
            <w:r>
              <w:rPr>
                <w:szCs w:val="24"/>
              </w:rPr>
              <w:t>En cas de combinaison d'opérations sur une même parcelle pour ce type de couvert (cf. tableau des combinaisons possibles pour les couverts en maraichage : EAU_1, EAU_2, EAU_3 et EAU_4), le montant de l’aide ne sera p</w:t>
            </w:r>
            <w:r>
              <w:rPr>
                <w:szCs w:val="24"/>
              </w:rPr>
              <w:t>as limité aux montants maximaux prévus à l’annexe II du règlement (UE) n° 1305/2013 en cohérence avec les justifications de surcoûts induits par la mise en œuvre de ces engagements.</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Détermination et définition des éléments du niveau de référence applicable,</w:t>
      </w:r>
      <w:r>
        <w:t xml:space="preserve"> qui doivent inclure les normes obligatoires établies en application du titre VI, chapitre I, du règlement (UE) n° 1306/2013 du Parlement européen et du Conseil, les critères pertinents et les activités minimales établies en application de l'article 4, par</w:t>
      </w:r>
      <w:r>
        <w:t>agraphe 1, point c) ii) et c) iii), du règlement (UE) n° 1307/2013 du Parlement européen et du Conseil, les exigences minimales applicables à l'utilisation des engrais et des produits phytosanitaire ainsi que les autres exigences obligatoires pertinentes é</w:t>
      </w:r>
      <w:r>
        <w:t>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ind w:left="103"/>
              <w:jc w:val="left"/>
              <w:rPr>
                <w:szCs w:val="24"/>
              </w:rPr>
            </w:pPr>
            <w:r>
              <w:rPr>
                <w:szCs w:val="24"/>
              </w:rPr>
              <w:t xml:space="preserve">Par ailleurs, si les pratiques rémunérées au titre de la présente opération sont rendues obligatoires sur des zones au titre de la protection de la biodiversité (notamment des zones classées au titre des </w:t>
            </w:r>
            <w:r>
              <w:rPr>
                <w:szCs w:val="24"/>
              </w:rPr>
              <w:t>réserves naturelles des arrêtés de protection de biotopes), celle-ci ne peut être ouverte sur les zones concernées.</w:t>
            </w:r>
          </w:p>
          <w:p w:rsidR="0035701C" w:rsidRDefault="00FB561B">
            <w:pPr>
              <w:spacing w:before="240" w:after="240"/>
              <w:jc w:val="left"/>
              <w:rPr>
                <w:szCs w:val="24"/>
              </w:rPr>
            </w:pPr>
            <w:r>
              <w:rPr>
                <w:szCs w:val="24"/>
              </w:rPr>
              <w:t> </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153761"/>
                  <wp:effectExtent l="0" t="0" r="0" b="0"/>
                  <wp:docPr id="100194" name="Image 100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5" name=""/>
                          <pic:cNvPicPr>
                            <a:picLocks noChangeAspect="1"/>
                          </pic:cNvPicPr>
                        </pic:nvPicPr>
                        <pic:blipFill>
                          <a:blip r:embed="rId109"/>
                          <a:stretch>
                            <a:fillRect/>
                          </a:stretch>
                        </pic:blipFill>
                        <pic:spPr>
                          <a:xfrm>
                            <a:off x="0" y="0"/>
                            <a:ext cx="6629400" cy="1153761"/>
                          </a:xfrm>
                          <a:prstGeom prst="rect">
                            <a:avLst/>
                          </a:prstGeom>
                        </pic:spPr>
                      </pic:pic>
                    </a:graphicData>
                  </a:graphic>
                </wp:inline>
              </w:drawing>
            </w:r>
          </w:p>
          <w:p w:rsidR="0035701C" w:rsidRDefault="00FB561B">
            <w:pPr>
              <w:pStyle w:val="Pieddepage"/>
              <w:jc w:val="center"/>
            </w:pPr>
            <w:r>
              <w:t>Eau_2_lignebase</w:t>
            </w:r>
          </w:p>
          <w:p w:rsidR="0035701C" w:rsidRDefault="0035701C">
            <w:pPr>
              <w:pStyle w:val="Pieddepage"/>
              <w:jc w:val="center"/>
            </w:pPr>
          </w:p>
        </w:tc>
      </w:tr>
    </w:tbl>
    <w:p w:rsidR="0035701C" w:rsidRDefault="00FB561B">
      <w:r>
        <w:t>Les exigences minimales relatives à l'utilisation d'engrais doivent comprendre, entre autres, le respect des codes de</w:t>
      </w:r>
      <w:r>
        <w:t xml:space="preserve"> bonnes pratiques introduits au titre de la directive 91/676/CEE pour les exploitations situées en dehors des zones vulnérables aux nitrates, et des exigences concernant la pollution au phosphore; les exigences minimales relatives à l'utilisation de produi</w:t>
      </w:r>
      <w:r>
        <w:t>ts phytosanitaires doivent comprendre, entre autres, les principes généraux de la lutte intégrée contre les ennemis des cultures introduits par la directive 2009/128/CE du Parlement européen et du Conseil, l’obligation de détenir une autorisation d’utilise</w:t>
      </w:r>
      <w:r>
        <w:t>r les produits, de satisfaire aux conditions de formation, d’assurer un stockage sûr et de contrôler les équipements destinés à l’épandage ainsi que les règles relatives à l’utilisation de pesticides à proximité d’étendues d’eau et d’autres sites sensibles</w:t>
      </w:r>
      <w:r>
        <w:t>,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La Corse n’étant pas classée en zone vulnérable, seul le Code des Bonnes Pratiques Agricoles s’applique. Il recommande notamment qu’un cahier d’enregistrement des pratiques soit tenu. Cette disposition est </w:t>
            </w:r>
            <w:r>
              <w:rPr>
                <w:szCs w:val="24"/>
              </w:rPr>
              <w:t>obligatoire dans cette opération et non rémunérée.</w:t>
            </w:r>
          </w:p>
          <w:p w:rsidR="0035701C" w:rsidRDefault="0035701C">
            <w:pPr>
              <w:pStyle w:val="Corpsdetexte"/>
            </w:pPr>
          </w:p>
        </w:tc>
      </w:tr>
    </w:tbl>
    <w:p w:rsidR="0035701C" w:rsidRDefault="00FB561B">
      <w:r>
        <w:t>Liste des races locales 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Description de la méthode et des hypo</w:t>
      </w:r>
      <w:r>
        <w:t>thèses et paramètres agronomiques y compris la description des exigences minimales visées à l'article 29, paragraphe 2, du règlement (UE) n° 1305/2013 correspondant à chaque type particulier d'engagement, utilisés comme référence pour les calculs justifian</w:t>
      </w:r>
      <w:r>
        <w:t xml:space="preserve">t les coûts supplémentaires et les pertes de revenus résultant de l’engagement pris et le niveau des coûts des transactions; le cas échéant, cette méthode tient compte des aides accordées au titre du règlement (UE) n° 1307/2013, et notamment des paiements </w:t>
      </w:r>
      <w:r>
        <w:t>en faveur des pratiques agricoles bénéfiques pour le climat et l’environnement, afin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Méthode générale de calc</w:t>
            </w:r>
            <w:r>
              <w:rPr>
                <w:b/>
                <w:bCs/>
                <w:i/>
                <w:iCs/>
                <w:szCs w:val="24"/>
              </w:rPr>
              <w:t xml:space="preserve">ul du montant : </w:t>
            </w:r>
            <w:r>
              <w:rPr>
                <w:szCs w:val="24"/>
              </w:rPr>
              <w:t>Le montant de l’aide est calculé sur la base de l’utilisation du matériel et du temps de travail supplémentaire nécessaire pour la mise en place d’un amendement organique ainsi que les coûts de transaction générés par le respect des élément</w:t>
            </w:r>
            <w:r>
              <w:rPr>
                <w:szCs w:val="24"/>
              </w:rPr>
              <w:t>s contractualisés.</w:t>
            </w:r>
          </w:p>
          <w:p w:rsidR="0035701C" w:rsidRDefault="00FB561B">
            <w:pPr>
              <w:spacing w:before="240" w:after="240"/>
              <w:jc w:val="left"/>
              <w:rPr>
                <w:szCs w:val="24"/>
              </w:rPr>
            </w:pPr>
            <w:r>
              <w:rPr>
                <w:b/>
                <w:bCs/>
                <w:i/>
                <w:iCs/>
                <w:szCs w:val="24"/>
              </w:rPr>
              <w:t xml:space="preserve">Pratiques de références : </w:t>
            </w:r>
            <w:r>
              <w:rPr>
                <w:szCs w:val="24"/>
              </w:rPr>
              <w:t>La pratique de référence considérée correspond à la pratique habituelle de fertilisation du sol en fumure minérale de synthèse en cultures maraichères (200 U de N/ha réparties en 2 épandages annuels) et cultures</w:t>
            </w:r>
            <w:r>
              <w:rPr>
                <w:szCs w:val="24"/>
              </w:rPr>
              <w:t xml:space="preserve"> légumières (100 U de N/ha réparties en 1 épandage annuel). Suite à un test nitrate, une fumure de couverture est possible (maximum de 30 U de N/ha) si besoin.</w:t>
            </w:r>
          </w:p>
          <w:p w:rsidR="0035701C" w:rsidRDefault="00FB561B">
            <w:pPr>
              <w:spacing w:before="240" w:after="240"/>
              <w:jc w:val="left"/>
              <w:rPr>
                <w:szCs w:val="24"/>
              </w:rPr>
            </w:pPr>
            <w:r>
              <w:rPr>
                <w:b/>
                <w:bCs/>
                <w:i/>
                <w:iCs/>
                <w:szCs w:val="24"/>
              </w:rPr>
              <w:t xml:space="preserve">Verdissement : </w:t>
            </w:r>
          </w:p>
          <w:p w:rsidR="0035701C" w:rsidRDefault="00FB561B">
            <w:pPr>
              <w:spacing w:before="240" w:after="240"/>
              <w:jc w:val="left"/>
              <w:rPr>
                <w:szCs w:val="24"/>
              </w:rPr>
            </w:pPr>
            <w:r>
              <w:rPr>
                <w:szCs w:val="24"/>
              </w:rPr>
              <w:t>L’opération ne rémunère pas :</w:t>
            </w:r>
          </w:p>
          <w:p w:rsidR="0035701C" w:rsidRDefault="00FB561B" w:rsidP="00FB561B">
            <w:pPr>
              <w:numPr>
                <w:ilvl w:val="0"/>
                <w:numId w:val="779"/>
              </w:numPr>
              <w:spacing w:before="240" w:after="0"/>
              <w:ind w:hanging="210"/>
              <w:jc w:val="left"/>
              <w:rPr>
                <w:szCs w:val="24"/>
              </w:rPr>
            </w:pPr>
            <w:r>
              <w:rPr>
                <w:szCs w:val="24"/>
              </w:rPr>
              <w:t>Le maintien des prairies permanentes</w:t>
            </w:r>
          </w:p>
          <w:p w:rsidR="0035701C" w:rsidRDefault="00FB561B" w:rsidP="00FB561B">
            <w:pPr>
              <w:numPr>
                <w:ilvl w:val="0"/>
                <w:numId w:val="779"/>
              </w:numPr>
              <w:spacing w:before="0" w:after="0"/>
              <w:ind w:hanging="210"/>
              <w:jc w:val="left"/>
              <w:rPr>
                <w:szCs w:val="24"/>
              </w:rPr>
            </w:pPr>
            <w:r>
              <w:rPr>
                <w:szCs w:val="24"/>
              </w:rPr>
              <w:t xml:space="preserve">Les </w:t>
            </w:r>
            <w:r>
              <w:rPr>
                <w:szCs w:val="24"/>
              </w:rPr>
              <w:t>obligations de diversité des assolements</w:t>
            </w:r>
          </w:p>
          <w:p w:rsidR="0035701C" w:rsidRDefault="00FB561B" w:rsidP="00FB561B">
            <w:pPr>
              <w:numPr>
                <w:ilvl w:val="0"/>
                <w:numId w:val="779"/>
              </w:numPr>
              <w:spacing w:before="0" w:after="240"/>
              <w:ind w:hanging="210"/>
              <w:jc w:val="left"/>
              <w:rPr>
                <w:szCs w:val="24"/>
              </w:rPr>
            </w:pPr>
            <w:r>
              <w:rPr>
                <w:szCs w:val="24"/>
              </w:rPr>
              <w:t>Les obligations liées aux surfaces d’intérêt écologique</w:t>
            </w:r>
          </w:p>
          <w:p w:rsidR="0035701C" w:rsidRDefault="00FB561B">
            <w:pPr>
              <w:spacing w:before="240" w:after="240"/>
              <w:jc w:val="left"/>
              <w:rPr>
                <w:szCs w:val="24"/>
              </w:rPr>
            </w:pPr>
            <w:r>
              <w:rPr>
                <w:szCs w:val="24"/>
              </w:rPr>
              <w:t>Il n’y a donc pas de risque de double paiement pour ce qui concerne les pratiques du verdissement</w:t>
            </w:r>
          </w:p>
          <w:p w:rsidR="0035701C" w:rsidRDefault="00FB561B">
            <w:pPr>
              <w:spacing w:before="240" w:after="240"/>
              <w:jc w:val="left"/>
              <w:rPr>
                <w:szCs w:val="24"/>
              </w:rPr>
            </w:pPr>
            <w:r>
              <w:rPr>
                <w:szCs w:val="24"/>
              </w:rPr>
              <w:t> </w:t>
            </w:r>
            <w:r>
              <w:rPr>
                <w:b/>
                <w:bCs/>
                <w:i/>
                <w:iCs/>
                <w:szCs w:val="24"/>
              </w:rPr>
              <w:t>Source des données:</w:t>
            </w:r>
          </w:p>
          <w:p w:rsidR="0035701C" w:rsidRDefault="00FB561B" w:rsidP="00FB561B">
            <w:pPr>
              <w:numPr>
                <w:ilvl w:val="0"/>
                <w:numId w:val="780"/>
              </w:numPr>
              <w:spacing w:before="240" w:after="0"/>
              <w:ind w:hanging="210"/>
              <w:jc w:val="left"/>
              <w:rPr>
                <w:szCs w:val="24"/>
              </w:rPr>
            </w:pPr>
            <w:r>
              <w:rPr>
                <w:szCs w:val="24"/>
              </w:rPr>
              <w:t xml:space="preserve">Méthode et temps de travail pour mettre </w:t>
            </w:r>
            <w:r>
              <w:rPr>
                <w:szCs w:val="24"/>
              </w:rPr>
              <w:t>en place une fumure de fond de type organique : Chambre d’agriculture</w:t>
            </w:r>
          </w:p>
          <w:p w:rsidR="0035701C" w:rsidRDefault="00FB561B" w:rsidP="00FB561B">
            <w:pPr>
              <w:numPr>
                <w:ilvl w:val="0"/>
                <w:numId w:val="780"/>
              </w:numPr>
              <w:spacing w:before="0" w:after="0"/>
              <w:ind w:hanging="210"/>
              <w:jc w:val="left"/>
              <w:rPr>
                <w:szCs w:val="24"/>
              </w:rPr>
            </w:pPr>
            <w:r>
              <w:rPr>
                <w:szCs w:val="24"/>
              </w:rPr>
              <w:t>Coût amendements : coopératives agricoles</w:t>
            </w:r>
          </w:p>
          <w:p w:rsidR="0035701C" w:rsidRDefault="00FB561B" w:rsidP="00FB561B">
            <w:pPr>
              <w:numPr>
                <w:ilvl w:val="0"/>
                <w:numId w:val="780"/>
              </w:numPr>
              <w:spacing w:before="0" w:after="0"/>
              <w:ind w:hanging="210"/>
              <w:jc w:val="left"/>
              <w:rPr>
                <w:szCs w:val="24"/>
              </w:rPr>
            </w:pPr>
            <w:r>
              <w:rPr>
                <w:szCs w:val="24"/>
              </w:rPr>
              <w:t>Barème des coûts horaires des techniciens : assemblée permanente des chambres d’agriculture (APCA)</w:t>
            </w:r>
          </w:p>
          <w:p w:rsidR="0035701C" w:rsidRDefault="00FB561B" w:rsidP="00FB561B">
            <w:pPr>
              <w:numPr>
                <w:ilvl w:val="0"/>
                <w:numId w:val="780"/>
              </w:numPr>
              <w:spacing w:before="0" w:after="0"/>
              <w:ind w:hanging="210"/>
              <w:jc w:val="left"/>
              <w:rPr>
                <w:szCs w:val="24"/>
              </w:rPr>
            </w:pPr>
            <w:r>
              <w:rPr>
                <w:szCs w:val="24"/>
              </w:rPr>
              <w:t xml:space="preserve">Coût du matériel : Bureau de Coordination du </w:t>
            </w:r>
            <w:r>
              <w:rPr>
                <w:szCs w:val="24"/>
              </w:rPr>
              <w:t>Machinisme Agricole (tarifs 2012)  </w:t>
            </w:r>
          </w:p>
          <w:p w:rsidR="0035701C" w:rsidRDefault="00FB561B" w:rsidP="00FB561B">
            <w:pPr>
              <w:numPr>
                <w:ilvl w:val="0"/>
                <w:numId w:val="780"/>
              </w:numPr>
              <w:spacing w:before="0" w:after="0"/>
              <w:ind w:hanging="210"/>
              <w:jc w:val="left"/>
              <w:rPr>
                <w:szCs w:val="24"/>
              </w:rPr>
            </w:pPr>
            <w:r>
              <w:rPr>
                <w:szCs w:val="24"/>
              </w:rPr>
              <w:t>Surface moyenne engagée par exploitation : surface moyenne engagée en MAE</w:t>
            </w:r>
          </w:p>
          <w:p w:rsidR="0035701C" w:rsidRDefault="00FB561B" w:rsidP="00FB561B">
            <w:pPr>
              <w:numPr>
                <w:ilvl w:val="0"/>
                <w:numId w:val="780"/>
              </w:numPr>
              <w:spacing w:before="0" w:after="240"/>
              <w:ind w:hanging="210"/>
              <w:jc w:val="left"/>
              <w:rPr>
                <w:szCs w:val="24"/>
              </w:rPr>
            </w:pPr>
            <w:r>
              <w:rPr>
                <w:szCs w:val="24"/>
              </w:rPr>
              <w:t>Temps de travail pour la réalisation d’un bilan : experts nationaux</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410325" cy="8010525"/>
                  <wp:effectExtent l="0" t="0" r="0" b="0"/>
                  <wp:docPr id="100196" name="Image 100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7" name=""/>
                          <pic:cNvPicPr>
                            <a:picLocks noChangeAspect="1"/>
                          </pic:cNvPicPr>
                        </pic:nvPicPr>
                        <pic:blipFill>
                          <a:blip r:embed="rId110"/>
                          <a:stretch>
                            <a:fillRect/>
                          </a:stretch>
                        </pic:blipFill>
                        <pic:spPr>
                          <a:xfrm>
                            <a:off x="0" y="0"/>
                            <a:ext cx="6410325" cy="8010525"/>
                          </a:xfrm>
                          <a:prstGeom prst="rect">
                            <a:avLst/>
                          </a:prstGeom>
                        </pic:spPr>
                      </pic:pic>
                    </a:graphicData>
                  </a:graphic>
                </wp:inline>
              </w:drawing>
            </w:r>
          </w:p>
          <w:p w:rsidR="0035701C" w:rsidRDefault="00FB561B">
            <w:pPr>
              <w:pStyle w:val="Pieddepage"/>
              <w:jc w:val="center"/>
            </w:pPr>
            <w:r>
              <w:t>Eau_2_légumières_option1</w:t>
            </w:r>
          </w:p>
          <w:p w:rsidR="0035701C" w:rsidRDefault="00FB561B">
            <w:pPr>
              <w:pStyle w:val="Pieddepage"/>
              <w:jc w:val="center"/>
            </w:pPr>
            <w:r>
              <w:rPr>
                <w:noProof/>
                <w:lang w:val="fr-FR" w:eastAsia="fr-FR"/>
              </w:rPr>
              <w:drawing>
                <wp:inline distT="0" distB="0" distL="0" distR="0">
                  <wp:extent cx="6115050" cy="5381625"/>
                  <wp:effectExtent l="0" t="0" r="0" b="0"/>
                  <wp:docPr id="100198" name="Image 100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9" name=""/>
                          <pic:cNvPicPr>
                            <a:picLocks noChangeAspect="1"/>
                          </pic:cNvPicPr>
                        </pic:nvPicPr>
                        <pic:blipFill>
                          <a:blip r:embed="rId111"/>
                          <a:stretch>
                            <a:fillRect/>
                          </a:stretch>
                        </pic:blipFill>
                        <pic:spPr>
                          <a:xfrm>
                            <a:off x="0" y="0"/>
                            <a:ext cx="6115050" cy="5381625"/>
                          </a:xfrm>
                          <a:prstGeom prst="rect">
                            <a:avLst/>
                          </a:prstGeom>
                        </pic:spPr>
                      </pic:pic>
                    </a:graphicData>
                  </a:graphic>
                </wp:inline>
              </w:drawing>
            </w:r>
          </w:p>
          <w:p w:rsidR="0035701C" w:rsidRDefault="00FB561B">
            <w:pPr>
              <w:pStyle w:val="Pieddepage"/>
              <w:jc w:val="center"/>
            </w:pPr>
            <w:r>
              <w:t>Eau_2_légumières_option2</w:t>
            </w:r>
          </w:p>
          <w:p w:rsidR="0035701C" w:rsidRDefault="00FB561B">
            <w:pPr>
              <w:pStyle w:val="Pieddepage"/>
              <w:jc w:val="center"/>
            </w:pPr>
            <w:r>
              <w:rPr>
                <w:noProof/>
                <w:lang w:val="fr-FR" w:eastAsia="fr-FR"/>
              </w:rPr>
              <w:drawing>
                <wp:inline distT="0" distB="0" distL="0" distR="0">
                  <wp:extent cx="5848087" cy="8280400"/>
                  <wp:effectExtent l="0" t="0" r="0" b="0"/>
                  <wp:docPr id="100200" name="Image 100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1" name=""/>
                          <pic:cNvPicPr>
                            <a:picLocks noChangeAspect="1"/>
                          </pic:cNvPicPr>
                        </pic:nvPicPr>
                        <pic:blipFill>
                          <a:blip r:embed="rId112"/>
                          <a:stretch>
                            <a:fillRect/>
                          </a:stretch>
                        </pic:blipFill>
                        <pic:spPr>
                          <a:xfrm>
                            <a:off x="0" y="0"/>
                            <a:ext cx="5848087" cy="8280400"/>
                          </a:xfrm>
                          <a:prstGeom prst="rect">
                            <a:avLst/>
                          </a:prstGeom>
                        </pic:spPr>
                      </pic:pic>
                    </a:graphicData>
                  </a:graphic>
                </wp:inline>
              </w:drawing>
            </w:r>
          </w:p>
          <w:p w:rsidR="0035701C" w:rsidRDefault="00FB561B">
            <w:pPr>
              <w:pStyle w:val="Pieddepage"/>
              <w:jc w:val="center"/>
            </w:pPr>
            <w:r>
              <w:t>Eau_2_maraîchères_option1</w:t>
            </w:r>
          </w:p>
          <w:p w:rsidR="0035701C" w:rsidRDefault="00FB561B">
            <w:pPr>
              <w:pStyle w:val="Pieddepage"/>
              <w:jc w:val="center"/>
            </w:pPr>
            <w:r>
              <w:rPr>
                <w:noProof/>
                <w:lang w:val="fr-FR" w:eastAsia="fr-FR"/>
              </w:rPr>
              <w:drawing>
                <wp:inline distT="0" distB="0" distL="0" distR="0">
                  <wp:extent cx="6124575" cy="5410200"/>
                  <wp:effectExtent l="0" t="0" r="0" b="0"/>
                  <wp:docPr id="100202" name="Image 100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3" name=""/>
                          <pic:cNvPicPr>
                            <a:picLocks noChangeAspect="1"/>
                          </pic:cNvPicPr>
                        </pic:nvPicPr>
                        <pic:blipFill>
                          <a:blip r:embed="rId113"/>
                          <a:stretch>
                            <a:fillRect/>
                          </a:stretch>
                        </pic:blipFill>
                        <pic:spPr>
                          <a:xfrm>
                            <a:off x="0" y="0"/>
                            <a:ext cx="6124575" cy="5410200"/>
                          </a:xfrm>
                          <a:prstGeom prst="rect">
                            <a:avLst/>
                          </a:prstGeom>
                        </pic:spPr>
                      </pic:pic>
                    </a:graphicData>
                  </a:graphic>
                </wp:inline>
              </w:drawing>
            </w:r>
          </w:p>
          <w:p w:rsidR="0035701C" w:rsidRDefault="00FB561B">
            <w:pPr>
              <w:pStyle w:val="Pieddepage"/>
              <w:jc w:val="center"/>
            </w:pPr>
            <w:r>
              <w:t>Eau_2_maraîchères_option2</w:t>
            </w:r>
          </w:p>
          <w:p w:rsidR="0035701C" w:rsidRDefault="0035701C">
            <w:pPr>
              <w:pStyle w:val="Pieddepage"/>
              <w:jc w:val="center"/>
            </w:pPr>
          </w:p>
        </w:tc>
      </w:tr>
    </w:tbl>
    <w:p w:rsidR="0035701C" w:rsidRDefault="00FB561B">
      <w:pPr>
        <w:pStyle w:val="Titre5"/>
        <w:rPr>
          <w:b w:val="0"/>
        </w:rPr>
      </w:pPr>
      <w:r>
        <w:rPr>
          <w:b w:val="0"/>
        </w:rPr>
        <w:br w:type="page"/>
        <w:t>-31- EAU_3</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781"/>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 titre complet : EAU_3=  Mise en place d’un engrais vert en </w:t>
            </w:r>
            <w:r>
              <w:rPr>
                <w:b/>
                <w:bCs/>
                <w:szCs w:val="24"/>
              </w:rPr>
              <w:t>cultures maraîchères, légumières et grandes cultures.</w:t>
            </w:r>
          </w:p>
          <w:p w:rsidR="0035701C" w:rsidRDefault="00FB561B">
            <w:pPr>
              <w:spacing w:before="240" w:after="240"/>
              <w:jc w:val="left"/>
              <w:rPr>
                <w:szCs w:val="24"/>
              </w:rPr>
            </w:pPr>
            <w:r>
              <w:rPr>
                <w:szCs w:val="24"/>
              </w:rPr>
              <w:t>Les engrais verts permettent d’enrichir et d’améliorer les sols en y apportant par leur enfouissement dans le sol une grande qualité de matière organique, source d’humus. Ils peuvent être à base de gram</w:t>
            </w:r>
            <w:r>
              <w:rPr>
                <w:szCs w:val="24"/>
              </w:rPr>
              <w:t>inées, crucifères…etc. Lorsqu’ils sont à base de légumineuses, aussi appelées Fabacées ou Papilionacées – trèfle, luzerne, féverole, pois, …- ils restituent au sol l’azote puisé dans l’air et fixé par des micro-organismes spécifiques de ces plantes, les « </w:t>
            </w:r>
            <w:r>
              <w:rPr>
                <w:szCs w:val="24"/>
              </w:rPr>
              <w:t>rhizobiums des légumineuses ». Mais leur action bénéfique compte nombre d’autres aspects :</w:t>
            </w:r>
          </w:p>
          <w:p w:rsidR="0035701C" w:rsidRDefault="00FB561B" w:rsidP="00FB561B">
            <w:pPr>
              <w:numPr>
                <w:ilvl w:val="0"/>
                <w:numId w:val="782"/>
              </w:numPr>
              <w:spacing w:before="240" w:after="0"/>
              <w:ind w:hanging="210"/>
              <w:jc w:val="left"/>
              <w:rPr>
                <w:szCs w:val="24"/>
              </w:rPr>
            </w:pPr>
            <w:r>
              <w:rPr>
                <w:szCs w:val="24"/>
              </w:rPr>
              <w:t>ils assurent une couverture végétale permanente qui réduit les écarts de température au niveau du sol,</w:t>
            </w:r>
          </w:p>
          <w:p w:rsidR="0035701C" w:rsidRDefault="00FB561B" w:rsidP="00FB561B">
            <w:pPr>
              <w:numPr>
                <w:ilvl w:val="0"/>
                <w:numId w:val="782"/>
              </w:numPr>
              <w:spacing w:before="0" w:after="0"/>
              <w:ind w:hanging="210"/>
              <w:jc w:val="left"/>
              <w:rPr>
                <w:szCs w:val="24"/>
              </w:rPr>
            </w:pPr>
            <w:r>
              <w:rPr>
                <w:szCs w:val="24"/>
              </w:rPr>
              <w:t>ils stimulent la vie microbienne,</w:t>
            </w:r>
          </w:p>
          <w:p w:rsidR="0035701C" w:rsidRDefault="00FB561B" w:rsidP="00FB561B">
            <w:pPr>
              <w:numPr>
                <w:ilvl w:val="0"/>
                <w:numId w:val="782"/>
              </w:numPr>
              <w:spacing w:before="0" w:after="0"/>
              <w:ind w:hanging="210"/>
              <w:jc w:val="left"/>
              <w:rPr>
                <w:szCs w:val="24"/>
              </w:rPr>
            </w:pPr>
            <w:r>
              <w:rPr>
                <w:szCs w:val="24"/>
              </w:rPr>
              <w:t xml:space="preserve">ils améliorent la structure </w:t>
            </w:r>
            <w:r>
              <w:rPr>
                <w:szCs w:val="24"/>
              </w:rPr>
              <w:t>du sol,</w:t>
            </w:r>
          </w:p>
          <w:p w:rsidR="0035701C" w:rsidRDefault="00FB561B" w:rsidP="00FB561B">
            <w:pPr>
              <w:numPr>
                <w:ilvl w:val="0"/>
                <w:numId w:val="782"/>
              </w:numPr>
              <w:spacing w:before="0" w:after="0"/>
              <w:ind w:hanging="210"/>
              <w:jc w:val="left"/>
              <w:rPr>
                <w:szCs w:val="24"/>
              </w:rPr>
            </w:pPr>
            <w:r>
              <w:rPr>
                <w:szCs w:val="24"/>
              </w:rPr>
              <w:t>ils activent l’humidification des matières ligneuses,</w:t>
            </w:r>
          </w:p>
          <w:p w:rsidR="0035701C" w:rsidRDefault="00FB561B" w:rsidP="00FB561B">
            <w:pPr>
              <w:numPr>
                <w:ilvl w:val="0"/>
                <w:numId w:val="782"/>
              </w:numPr>
              <w:spacing w:before="0" w:after="0"/>
              <w:ind w:hanging="210"/>
              <w:jc w:val="left"/>
              <w:rPr>
                <w:szCs w:val="24"/>
              </w:rPr>
            </w:pPr>
            <w:r>
              <w:rPr>
                <w:szCs w:val="24"/>
              </w:rPr>
              <w:t>ils ont un pouvoir nettoyant,</w:t>
            </w:r>
          </w:p>
          <w:p w:rsidR="0035701C" w:rsidRDefault="00FB561B" w:rsidP="00FB561B">
            <w:pPr>
              <w:numPr>
                <w:ilvl w:val="0"/>
                <w:numId w:val="782"/>
              </w:numPr>
              <w:spacing w:before="0" w:after="240"/>
              <w:ind w:hanging="210"/>
              <w:jc w:val="left"/>
              <w:rPr>
                <w:szCs w:val="24"/>
              </w:rPr>
            </w:pPr>
            <w:r>
              <w:rPr>
                <w:szCs w:val="24"/>
              </w:rPr>
              <w:t>ils évitent l’érosion des sols,</w:t>
            </w:r>
          </w:p>
          <w:p w:rsidR="0035701C" w:rsidRDefault="00FB561B">
            <w:pPr>
              <w:spacing w:before="240" w:after="240"/>
              <w:jc w:val="left"/>
              <w:rPr>
                <w:szCs w:val="24"/>
              </w:rPr>
            </w:pPr>
            <w:r>
              <w:rPr>
                <w:szCs w:val="24"/>
              </w:rPr>
              <w:t>Protéger les eaux grâce à des cultures intermédiaires, pièges à nitrate (CIPAN) qui permettront de fixer les reliquats de fertilisat</w:t>
            </w:r>
            <w:r>
              <w:rPr>
                <w:szCs w:val="24"/>
              </w:rPr>
              <w:t>ion présents dans les sols, protéger les sols de l'érosion et réduire l'utilisation d'engrais azotés grâce à des CIPAN, diminuer la présence de pathogènes dans la culture suivante, contribue à la mise en valeur du paysage et à l’entretien de la biodiversit</w:t>
            </w:r>
            <w:r>
              <w:rPr>
                <w:szCs w:val="24"/>
              </w:rPr>
              <w:t>é.</w:t>
            </w:r>
          </w:p>
          <w:p w:rsidR="0035701C" w:rsidRDefault="00FB561B">
            <w:pPr>
              <w:spacing w:before="240" w:after="240"/>
              <w:jc w:val="left"/>
              <w:rPr>
                <w:szCs w:val="24"/>
              </w:rPr>
            </w:pPr>
            <w:r>
              <w:rPr>
                <w:szCs w:val="24"/>
              </w:rPr>
              <w:t>Le choix de l’engrais vert est laissé à l’appréciation de l’agriculteur, avec l’appui d’un technicien, car chaque parcelle a des besoins différents (type de sol, acidité des sols, …).</w:t>
            </w:r>
          </w:p>
          <w:p w:rsidR="0035701C" w:rsidRDefault="00FB561B">
            <w:pPr>
              <w:spacing w:before="240" w:after="240"/>
              <w:jc w:val="left"/>
              <w:rPr>
                <w:szCs w:val="24"/>
              </w:rPr>
            </w:pPr>
            <w:r>
              <w:rPr>
                <w:szCs w:val="24"/>
              </w:rPr>
              <w:t xml:space="preserve">Le but de cet engagement est de favoriser l’appropriation d’une </w:t>
            </w:r>
            <w:r>
              <w:rPr>
                <w:szCs w:val="24"/>
              </w:rPr>
              <w:t>nouvelle technique. Il répond à un objectif de protection et de préservation de la qualité de l’eau par la réduction de l’impact des produits phytosanitaires et de lutte contre l’érosion.</w:t>
            </w:r>
          </w:p>
          <w:p w:rsidR="0035701C" w:rsidRDefault="00FB561B">
            <w:pPr>
              <w:spacing w:before="240" w:after="240"/>
              <w:jc w:val="left"/>
              <w:rPr>
                <w:szCs w:val="24"/>
              </w:rPr>
            </w:pPr>
            <w:r>
              <w:rPr>
                <w:szCs w:val="24"/>
              </w:rPr>
              <w:t>Cette opération peut être combinée avec d’autres opérations telles q</w:t>
            </w:r>
            <w:r>
              <w:rPr>
                <w:szCs w:val="24"/>
              </w:rPr>
              <w:t>ue le paillage végétal ou biodégradable, la fumure de fond de type organique et/ou la mise en place de la lutte biologique sous serre.</w:t>
            </w:r>
          </w:p>
          <w:p w:rsidR="0035701C" w:rsidRDefault="00FB561B">
            <w:pPr>
              <w:spacing w:before="240" w:after="240"/>
              <w:jc w:val="left"/>
              <w:rPr>
                <w:szCs w:val="24"/>
              </w:rPr>
            </w:pPr>
            <w:r>
              <w:rPr>
                <w:b/>
                <w:bCs/>
                <w:i/>
                <w:iCs/>
                <w:szCs w:val="24"/>
              </w:rPr>
              <w:t xml:space="preserve">Cahier des charges : </w:t>
            </w:r>
          </w:p>
          <w:p w:rsidR="0035701C" w:rsidRDefault="00FB561B" w:rsidP="00FB561B">
            <w:pPr>
              <w:numPr>
                <w:ilvl w:val="0"/>
                <w:numId w:val="783"/>
              </w:numPr>
              <w:spacing w:before="240" w:after="0"/>
              <w:ind w:hanging="210"/>
              <w:jc w:val="left"/>
              <w:rPr>
                <w:szCs w:val="24"/>
              </w:rPr>
            </w:pPr>
            <w:r>
              <w:rPr>
                <w:szCs w:val="24"/>
              </w:rPr>
              <w:t>L’agriculteur s’engage à mettre en place à l'automne ou au printemps sur la totalité des sols laiss</w:t>
            </w:r>
            <w:r>
              <w:rPr>
                <w:szCs w:val="24"/>
              </w:rPr>
              <w:t>és a nus une culture destinée à diminuer l'impact de l’érosion. Utilisé comme engrais vert après son enfouissement, cette culture doit permettre une diminution de 10 UN/ha. (Source Le guide des engrais verts août 2007).</w:t>
            </w:r>
          </w:p>
          <w:p w:rsidR="0035701C" w:rsidRDefault="00FB561B" w:rsidP="00FB561B">
            <w:pPr>
              <w:numPr>
                <w:ilvl w:val="0"/>
                <w:numId w:val="783"/>
              </w:numPr>
              <w:spacing w:before="0" w:after="0"/>
              <w:ind w:hanging="210"/>
              <w:jc w:val="left"/>
              <w:rPr>
                <w:szCs w:val="24"/>
              </w:rPr>
            </w:pPr>
            <w:r>
              <w:rPr>
                <w:szCs w:val="24"/>
              </w:rPr>
              <w:t>Il s’engage à ne pas apporter de fer</w:t>
            </w:r>
            <w:r>
              <w:rPr>
                <w:szCs w:val="24"/>
              </w:rPr>
              <w:t>tilisation azotée sur l’engrais.</w:t>
            </w:r>
          </w:p>
          <w:p w:rsidR="0035701C" w:rsidRDefault="00FB561B" w:rsidP="00FB561B">
            <w:pPr>
              <w:numPr>
                <w:ilvl w:val="0"/>
                <w:numId w:val="783"/>
              </w:numPr>
              <w:spacing w:before="0" w:after="0"/>
              <w:ind w:hanging="210"/>
              <w:jc w:val="left"/>
              <w:rPr>
                <w:szCs w:val="24"/>
              </w:rPr>
            </w:pPr>
            <w:r>
              <w:rPr>
                <w:szCs w:val="24"/>
              </w:rPr>
              <w:t>L’agriculteur s’engage à mener l’itinéraire technique de l’engrais vert comme une culture à part entière. (Préparation du sol, semis, destruction mécanique, enfouissement).</w:t>
            </w:r>
          </w:p>
          <w:p w:rsidR="0035701C" w:rsidRDefault="00FB561B" w:rsidP="00FB561B">
            <w:pPr>
              <w:numPr>
                <w:ilvl w:val="0"/>
                <w:numId w:val="783"/>
              </w:numPr>
              <w:spacing w:before="0" w:after="0"/>
              <w:ind w:hanging="210"/>
              <w:jc w:val="left"/>
              <w:rPr>
                <w:szCs w:val="24"/>
              </w:rPr>
            </w:pPr>
            <w:r>
              <w:rPr>
                <w:szCs w:val="24"/>
              </w:rPr>
              <w:t>Il doit assurer l’enregistrement des différentes i</w:t>
            </w:r>
            <w:r>
              <w:rPr>
                <w:szCs w:val="24"/>
              </w:rPr>
              <w:t>nterventions et des pratiques réalisées dans le cahier de l’exploitant. L’enregistrement des pratiques est une obligation pendant toute la durée de l’engagement, permettant ainsi de vérifier l’atteinte de l’objectif sur la durée du contrat.</w:t>
            </w:r>
          </w:p>
          <w:p w:rsidR="0035701C" w:rsidRDefault="00FB561B" w:rsidP="00FB561B">
            <w:pPr>
              <w:numPr>
                <w:ilvl w:val="0"/>
                <w:numId w:val="783"/>
              </w:numPr>
              <w:spacing w:before="0" w:after="240"/>
              <w:ind w:hanging="210"/>
              <w:jc w:val="left"/>
              <w:rPr>
                <w:szCs w:val="24"/>
              </w:rPr>
            </w:pPr>
            <w:r>
              <w:rPr>
                <w:szCs w:val="24"/>
              </w:rPr>
              <w:t xml:space="preserve">Il doit </w:t>
            </w:r>
            <w:r>
              <w:rPr>
                <w:szCs w:val="24"/>
              </w:rPr>
              <w:t>réaliser un bilan annuel de suivi. L’élaboration de ce bilan est obligatoire afin de garantir de bonnes conditions d’appui technique à la réduction de ces intrants. Il permettra d’évaluer la pertinence des options techniques retenues, de s’assurer de l’att</w:t>
            </w:r>
            <w:r>
              <w:rPr>
                <w:szCs w:val="24"/>
              </w:rPr>
              <w:t>einte des objectifs de résultat et d’optimiser l’efficacité de la solution agronomique mise en œuvre. Ce bilan annuel doit être réalisé chaque année par l’agriculteur et deux fois avec l’appui d’un technicien.</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784"/>
              </w:numPr>
              <w:spacing w:before="240" w:after="0"/>
              <w:ind w:hanging="210"/>
              <w:jc w:val="left"/>
              <w:rPr>
                <w:szCs w:val="24"/>
              </w:rPr>
            </w:pPr>
            <w:r>
              <w:rPr>
                <w:szCs w:val="24"/>
              </w:rPr>
              <w:t xml:space="preserve">les exigences établies en vertu </w:t>
            </w:r>
            <w:r>
              <w:rPr>
                <w:szCs w:val="24"/>
              </w:rPr>
              <w:t>de l’article 93 du règlement UE n° 1306/2013 et de l’article 4.1c points ii) et iii) du règlement UE n°1307/2013,</w:t>
            </w:r>
          </w:p>
          <w:p w:rsidR="0035701C" w:rsidRDefault="00FB561B" w:rsidP="00FB561B">
            <w:pPr>
              <w:numPr>
                <w:ilvl w:val="0"/>
                <w:numId w:val="784"/>
              </w:numPr>
              <w:spacing w:before="0" w:after="0"/>
              <w:ind w:hanging="210"/>
              <w:jc w:val="left"/>
              <w:rPr>
                <w:szCs w:val="24"/>
              </w:rPr>
            </w:pPr>
            <w:r>
              <w:rPr>
                <w:szCs w:val="24"/>
              </w:rPr>
              <w:t>la circulaire nationale fixant les règles relatives aux bonnes conduites agricoles et environnementales (BCAE).</w:t>
            </w:r>
          </w:p>
          <w:p w:rsidR="0035701C" w:rsidRDefault="00FB561B" w:rsidP="00FB561B">
            <w:pPr>
              <w:numPr>
                <w:ilvl w:val="0"/>
                <w:numId w:val="784"/>
              </w:numPr>
              <w:spacing w:before="0" w:after="240"/>
              <w:ind w:hanging="210"/>
              <w:jc w:val="left"/>
              <w:rPr>
                <w:szCs w:val="24"/>
              </w:rPr>
            </w:pPr>
            <w:r>
              <w:rPr>
                <w:szCs w:val="24"/>
              </w:rPr>
              <w:t xml:space="preserve">l’arrêté préfectoral régional </w:t>
            </w:r>
            <w:r>
              <w:rPr>
                <w:szCs w:val="24"/>
              </w:rPr>
              <w:t>en vigueur en Corse fixant les règles relatives aux bonnes conduites agricoles et environnementales (BCAE).</w:t>
            </w:r>
          </w:p>
          <w:p w:rsidR="0035701C" w:rsidRDefault="00FB561B">
            <w:pPr>
              <w:spacing w:before="240" w:after="240"/>
              <w:jc w:val="left"/>
              <w:rPr>
                <w:szCs w:val="24"/>
              </w:rPr>
            </w:pPr>
            <w:r>
              <w:rPr>
                <w:szCs w:val="24"/>
              </w:rPr>
              <w:t>Afin d’exclure tout double paiement, les pratiques visées à l’article 43 du règlement UE n° 1307/2013 sont prises en compte dans le calcul des surco</w:t>
            </w:r>
            <w:r>
              <w:rPr>
                <w:szCs w:val="24"/>
              </w:rPr>
              <w:t>ûts et manques à gagner.</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coûts éligibles sont les surcoûts, manques à gagner et éventuels coûts d’opportunité et de transaction générés par le </w:t>
            </w:r>
            <w:r>
              <w:rPr>
                <w:szCs w:val="24"/>
              </w:rPr>
              <w:t>respect des éléments contractualisés.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Couverts éligibles :</w:t>
            </w:r>
            <w:r>
              <w:rPr>
                <w:szCs w:val="24"/>
              </w:rPr>
              <w:t xml:space="preserve"> Cultures maraîchères, légumières et grandes cultures.</w:t>
            </w:r>
          </w:p>
          <w:p w:rsidR="0035701C" w:rsidRDefault="00FB561B">
            <w:pPr>
              <w:spacing w:before="240" w:after="240"/>
              <w:jc w:val="left"/>
              <w:rPr>
                <w:szCs w:val="24"/>
              </w:rPr>
            </w:pPr>
            <w:r>
              <w:rPr>
                <w:b/>
                <w:bCs/>
                <w:i/>
                <w:iCs/>
                <w:szCs w:val="24"/>
              </w:rPr>
              <w:t>Diagnostic d’exploitation :</w:t>
            </w:r>
          </w:p>
          <w:p w:rsidR="0035701C" w:rsidRDefault="00FB561B">
            <w:pPr>
              <w:spacing w:before="240" w:after="240"/>
              <w:jc w:val="left"/>
              <w:rPr>
                <w:szCs w:val="24"/>
              </w:rPr>
            </w:pPr>
            <w:r>
              <w:rPr>
                <w:szCs w:val="24"/>
              </w:rPr>
              <w:t xml:space="preserve">La réalisation d’un diagnostic d’exploitation est une obligation pour la souscription </w:t>
            </w:r>
            <w:r>
              <w:rPr>
                <w:szCs w:val="24"/>
              </w:rPr>
              <w:t>de cette opération.</w:t>
            </w:r>
          </w:p>
          <w:p w:rsidR="0035701C" w:rsidRDefault="00FB561B">
            <w:pPr>
              <w:spacing w:before="240" w:after="240"/>
              <w:jc w:val="left"/>
              <w:rPr>
                <w:szCs w:val="24"/>
              </w:rPr>
            </w:pPr>
            <w:r>
              <w:rPr>
                <w:szCs w:val="24"/>
              </w:rPr>
              <w:t>Le diagnostic d’exploitation fera apparaître les différentes possibilités de combinaison avec d’autres opérations.</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w:t>
            </w:r>
            <w:r>
              <w:rPr>
                <w:szCs w:val="24"/>
              </w:rPr>
              <w:t xml:space="preserve"> taux d’aide publique est de 100 %.</w:t>
            </w:r>
          </w:p>
          <w:p w:rsidR="0035701C" w:rsidRDefault="00FB561B">
            <w:pPr>
              <w:spacing w:before="240" w:after="240"/>
              <w:jc w:val="left"/>
              <w:rPr>
                <w:szCs w:val="24"/>
              </w:rPr>
            </w:pPr>
            <w:r>
              <w:rPr>
                <w:szCs w:val="24"/>
              </w:rPr>
              <w:t>Afin d’éviter le double paiement du coût de transaction concernant l’élaboration du bilan annuel de la stratégie des cultures :</w:t>
            </w:r>
          </w:p>
          <w:p w:rsidR="0035701C" w:rsidRDefault="00FB561B">
            <w:pPr>
              <w:spacing w:before="240" w:after="240"/>
              <w:jc w:val="left"/>
              <w:rPr>
                <w:szCs w:val="24"/>
              </w:rPr>
            </w:pPr>
            <w:r>
              <w:rPr>
                <w:szCs w:val="24"/>
              </w:rPr>
              <w:t xml:space="preserve">Option 1 (si l’opération est souscrite seule ou si elle est la première souscrite, le bilan </w:t>
            </w:r>
            <w:r>
              <w:rPr>
                <w:szCs w:val="24"/>
              </w:rPr>
              <w:t>s’ajoutera obligatoirement à cette opération) :</w:t>
            </w:r>
          </w:p>
          <w:p w:rsidR="0035701C" w:rsidRDefault="00FB561B">
            <w:pPr>
              <w:spacing w:before="240" w:after="240"/>
              <w:jc w:val="left"/>
              <w:rPr>
                <w:szCs w:val="24"/>
              </w:rPr>
            </w:pPr>
            <w:r>
              <w:rPr>
                <w:szCs w:val="24"/>
              </w:rPr>
              <w:t>Le montant unitaire est fixé à :</w:t>
            </w:r>
          </w:p>
          <w:p w:rsidR="0035701C" w:rsidRDefault="00FB561B" w:rsidP="00FB561B">
            <w:pPr>
              <w:numPr>
                <w:ilvl w:val="0"/>
                <w:numId w:val="785"/>
              </w:numPr>
              <w:spacing w:before="240" w:after="0"/>
              <w:ind w:hanging="210"/>
              <w:jc w:val="left"/>
              <w:rPr>
                <w:szCs w:val="24"/>
              </w:rPr>
            </w:pPr>
            <w:r>
              <w:rPr>
                <w:szCs w:val="24"/>
              </w:rPr>
              <w:t>230,02 € /ha/an sur cultures maraîchères et légumières,</w:t>
            </w:r>
          </w:p>
          <w:p w:rsidR="0035701C" w:rsidRDefault="00FB561B" w:rsidP="00FB561B">
            <w:pPr>
              <w:numPr>
                <w:ilvl w:val="0"/>
                <w:numId w:val="785"/>
              </w:numPr>
              <w:spacing w:before="0" w:after="240"/>
              <w:ind w:hanging="210"/>
              <w:jc w:val="left"/>
              <w:rPr>
                <w:szCs w:val="24"/>
              </w:rPr>
            </w:pPr>
            <w:r>
              <w:rPr>
                <w:szCs w:val="24"/>
              </w:rPr>
              <w:t>207,92 €/ha/an sur grandes cultures.</w:t>
            </w:r>
          </w:p>
          <w:p w:rsidR="0035701C" w:rsidRDefault="00FB561B">
            <w:pPr>
              <w:spacing w:before="240" w:after="240"/>
              <w:jc w:val="left"/>
              <w:rPr>
                <w:szCs w:val="24"/>
              </w:rPr>
            </w:pPr>
            <w:r>
              <w:rPr>
                <w:szCs w:val="24"/>
              </w:rPr>
              <w:t>Option 2 (si l’opération est souscrite avec d’autres opérations le bilan ne pourra</w:t>
            </w:r>
            <w:r>
              <w:rPr>
                <w:szCs w:val="24"/>
              </w:rPr>
              <w:t xml:space="preserve"> être comptabilisé qu’une seule fois) :</w:t>
            </w:r>
          </w:p>
          <w:p w:rsidR="0035701C" w:rsidRDefault="00FB561B">
            <w:pPr>
              <w:spacing w:before="240" w:after="240"/>
              <w:jc w:val="left"/>
              <w:rPr>
                <w:szCs w:val="24"/>
              </w:rPr>
            </w:pPr>
            <w:r>
              <w:rPr>
                <w:szCs w:val="24"/>
              </w:rPr>
              <w:t>Le montant unitaire est  fixé à :</w:t>
            </w:r>
          </w:p>
          <w:p w:rsidR="0035701C" w:rsidRDefault="00FB561B" w:rsidP="00FB561B">
            <w:pPr>
              <w:numPr>
                <w:ilvl w:val="0"/>
                <w:numId w:val="786"/>
              </w:numPr>
              <w:spacing w:before="240" w:after="0"/>
              <w:ind w:hanging="210"/>
              <w:jc w:val="left"/>
              <w:rPr>
                <w:szCs w:val="24"/>
              </w:rPr>
            </w:pPr>
            <w:r>
              <w:rPr>
                <w:szCs w:val="24"/>
              </w:rPr>
              <w:t>212,55 €/ha/an sur cultures maraîchères et légumières,</w:t>
            </w:r>
          </w:p>
          <w:p w:rsidR="0035701C" w:rsidRDefault="00FB561B" w:rsidP="00FB561B">
            <w:pPr>
              <w:numPr>
                <w:ilvl w:val="0"/>
                <w:numId w:val="786"/>
              </w:numPr>
              <w:spacing w:before="0" w:after="240"/>
              <w:ind w:hanging="210"/>
              <w:jc w:val="left"/>
              <w:rPr>
                <w:szCs w:val="24"/>
              </w:rPr>
            </w:pPr>
            <w:r>
              <w:rPr>
                <w:szCs w:val="24"/>
              </w:rPr>
              <w:t>190,45 €/ha/an sur grandes cultures.</w:t>
            </w:r>
          </w:p>
          <w:p w:rsidR="0035701C" w:rsidRDefault="00FB561B">
            <w:pPr>
              <w:spacing w:before="240" w:after="240"/>
              <w:jc w:val="left"/>
              <w:rPr>
                <w:szCs w:val="24"/>
              </w:rPr>
            </w:pPr>
            <w:r>
              <w:rPr>
                <w:szCs w:val="24"/>
              </w:rPr>
              <w:t>En cas de combinaison d'opérations sur une même parcelle pour ce type de couvert (cf. tabl</w:t>
            </w:r>
            <w:r>
              <w:rPr>
                <w:szCs w:val="24"/>
              </w:rPr>
              <w:t>eau des combinaisons possibles pour les couverts en maraichage : EAU_1, EAU_2, EAU_3 et EAU_4), le montant de l’aide ne sera pas limité aux montants maximaux prévus à l’annexe II du règlement (UE) n° 1305/2013 en cohérence avec les justifications de surcoû</w:t>
            </w:r>
            <w:r>
              <w:rPr>
                <w:szCs w:val="24"/>
              </w:rPr>
              <w:t>ts induits par la mise en œuvre de ces engagements</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Cf. </w:t>
            </w:r>
            <w:r>
              <w:rPr>
                <w:szCs w:val="24"/>
              </w:rPr>
              <w:t>mesure</w:t>
            </w:r>
          </w:p>
          <w:p w:rsidR="0035701C" w:rsidRDefault="0035701C">
            <w:pPr>
              <w:pStyle w:val="Corpsdetexte"/>
            </w:pPr>
          </w:p>
        </w:tc>
      </w:tr>
    </w:tbl>
    <w:p w:rsidR="0035701C" w:rsidRDefault="00FB561B">
      <w:pPr>
        <w:pStyle w:val="Titre6"/>
      </w:pPr>
      <w:r>
        <w:t>Informations spécifiques sur l'opération</w:t>
      </w:r>
    </w:p>
    <w:p w:rsidR="0035701C" w:rsidRDefault="00FB561B">
      <w:r>
        <w:t>Détermination et définition des éléments du niveau de référence applicable, qui doivent inclure les normes obligatoires établies en application du titre VI, chapitre I, du règlement (UE) n° 1306/2013 du Par</w:t>
      </w:r>
      <w:r>
        <w:t>lement européen et du Conseil, les critères pertinents et les activités minimales établies en application de l'article 4, paragraphe 1, point c) ii) et c) iii), du règlement (UE) n° 1307/2013 du Parlement européen et du Conseil, les exigences minimales app</w:t>
      </w:r>
      <w:r>
        <w:t>licables à l'utilisation des engrais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 xml:space="preserve">Si les pratiques rémunérées au titre de la présente opération sont rendues </w:t>
            </w:r>
            <w:r>
              <w:rPr>
                <w:szCs w:val="24"/>
              </w:rPr>
              <w:t>obligatoires sur des zones au titre de la protection de la biodiversité (notamment des zones classées au titre des réserves naturelles des arrêtés de protection de biotopes), celle-ci ne peut être ouverte sur les zones concernées.</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153761"/>
                  <wp:effectExtent l="0" t="0" r="0" b="0"/>
                  <wp:docPr id="100204" name="Image 100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5" name=""/>
                          <pic:cNvPicPr>
                            <a:picLocks noChangeAspect="1"/>
                          </pic:cNvPicPr>
                        </pic:nvPicPr>
                        <pic:blipFill>
                          <a:blip r:embed="rId114"/>
                          <a:stretch>
                            <a:fillRect/>
                          </a:stretch>
                        </pic:blipFill>
                        <pic:spPr>
                          <a:xfrm>
                            <a:off x="0" y="0"/>
                            <a:ext cx="6629400" cy="1153761"/>
                          </a:xfrm>
                          <a:prstGeom prst="rect">
                            <a:avLst/>
                          </a:prstGeom>
                        </pic:spPr>
                      </pic:pic>
                    </a:graphicData>
                  </a:graphic>
                </wp:inline>
              </w:drawing>
            </w:r>
          </w:p>
          <w:p w:rsidR="0035701C" w:rsidRDefault="00FB561B">
            <w:pPr>
              <w:pStyle w:val="Pieddepage"/>
              <w:jc w:val="center"/>
            </w:pPr>
            <w:r>
              <w:t>Eau_3_lignebase</w:t>
            </w:r>
          </w:p>
          <w:p w:rsidR="0035701C" w:rsidRDefault="0035701C">
            <w:pPr>
              <w:pStyle w:val="Pieddepage"/>
              <w:jc w:val="center"/>
            </w:pPr>
          </w:p>
        </w:tc>
      </w:tr>
    </w:tbl>
    <w:p w:rsidR="0035701C" w:rsidRDefault="00FB561B">
      <w:r>
        <w:t xml:space="preserve">Les </w:t>
      </w:r>
      <w:r>
        <w:t>exigences minimales relatives à l'utilisation d'engrais doivent comprendre, entre autres, le respect des codes de bonnes pratiques introduits au titre de la directive 91/676/CEE pour les exploitations situées en dehors des zones vulnérables aux nitrates, e</w:t>
      </w:r>
      <w:r>
        <w:t>t des exigences concernant la pollution au phosphore; les exigences minimales relatives à l'utilisation de produits phytosanitaires doivent comprendre, entre autres, les principes généraux de la lutte intégrée contre les ennemis des cultures introduits par</w:t>
      </w:r>
      <w:r>
        <w:t xml:space="preserve"> la directive 2009/128/CE du Parlement européen et du Conseil, l’obligation de détenir une autorisation d’utiliser les produits, de satisfaire aux conditions de formation, d’assurer un stockage sûr et de contrôler les équipements destinés à l’épandage ains</w:t>
      </w:r>
      <w:r>
        <w:t>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 Corse n’étant pas classée en zone vulnérable, seul le Code des Bonnes Pratiques Agricoles s’appli</w:t>
            </w:r>
            <w:r>
              <w:rPr>
                <w:szCs w:val="24"/>
              </w:rPr>
              <w:t>que. Il recommande notamment qu’un cahier d’enregistrement des pratiques soit tenu. Cette disposition est obligatoire dans cette opération et non rémunérée.</w:t>
            </w:r>
          </w:p>
          <w:p w:rsidR="0035701C" w:rsidRDefault="0035701C">
            <w:pPr>
              <w:pStyle w:val="Corpsdetexte"/>
            </w:pPr>
          </w:p>
        </w:tc>
      </w:tr>
    </w:tbl>
    <w:p w:rsidR="0035701C" w:rsidRDefault="00FB561B">
      <w:r>
        <w:t>Liste des races locales qui sont menacées d’être perdues pour l’agriculture et des ressources gén</w:t>
      </w:r>
      <w:r>
        <w:t>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Description de la méthode et des hypothèses et paramètres agronomiques y compris la description des exigences minimales visées à l'article 29, paragraphe 2, du règlement (UE) n° 1305/2013</w:t>
      </w:r>
      <w:r>
        <w:t xml:space="preserve"> correspondant à chaque type particulier d'engagement, utilisés comme référence pour les calculs justifiant les coûts supplémentaires et les pertes de revenus résultant de l’engagement pris et le niveau des coûts des transactions; le cas échéant, cette mét</w:t>
      </w:r>
      <w:r>
        <w:t>hode tient compte des aides accordées au titre du règlement (UE) n° 1307/2013, et notamment des paiements en faveur des pratiques agricoles bénéfiques pour le climat et l’environnement, afin d’exclure un double financement; le cas échéant, la méthode de co</w:t>
      </w:r>
      <w:r>
        <w:t>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Méthode générale de calcul du montant : </w:t>
            </w:r>
            <w:r>
              <w:rPr>
                <w:szCs w:val="24"/>
              </w:rPr>
              <w:t>Le montant de l’aide est calculé sur la base de l’utilisation du matériel et du temps de travail supplémentaire nécessaire pour la mis</w:t>
            </w:r>
            <w:r>
              <w:rPr>
                <w:szCs w:val="24"/>
              </w:rPr>
              <w:t>e en place de l’engrais vert ainsi que les coûts de transaction générés par le respect des éléments contractualisés.</w:t>
            </w:r>
          </w:p>
          <w:p w:rsidR="0035701C" w:rsidRDefault="00FB561B">
            <w:pPr>
              <w:spacing w:before="240" w:after="240"/>
              <w:jc w:val="left"/>
              <w:rPr>
                <w:szCs w:val="24"/>
              </w:rPr>
            </w:pPr>
            <w:r>
              <w:rPr>
                <w:b/>
                <w:bCs/>
                <w:i/>
                <w:iCs/>
                <w:szCs w:val="24"/>
              </w:rPr>
              <w:t>Pratiques de références </w:t>
            </w:r>
            <w:r>
              <w:rPr>
                <w:szCs w:val="24"/>
              </w:rPr>
              <w:t>: La pratique habituelle consiste à laisser les repousses des cultures entre deux plantations.</w:t>
            </w:r>
          </w:p>
          <w:p w:rsidR="0035701C" w:rsidRDefault="00FB561B">
            <w:pPr>
              <w:spacing w:before="240" w:after="240"/>
              <w:jc w:val="left"/>
              <w:rPr>
                <w:szCs w:val="24"/>
              </w:rPr>
            </w:pPr>
            <w:r>
              <w:rPr>
                <w:b/>
                <w:bCs/>
                <w:i/>
                <w:iCs/>
                <w:szCs w:val="24"/>
              </w:rPr>
              <w:t xml:space="preserve">Verdissement : </w:t>
            </w:r>
          </w:p>
          <w:p w:rsidR="0035701C" w:rsidRDefault="00FB561B">
            <w:pPr>
              <w:spacing w:before="240" w:after="240"/>
              <w:jc w:val="left"/>
              <w:rPr>
                <w:szCs w:val="24"/>
              </w:rPr>
            </w:pPr>
            <w:r>
              <w:rPr>
                <w:szCs w:val="24"/>
              </w:rPr>
              <w:t>L’op</w:t>
            </w:r>
            <w:r>
              <w:rPr>
                <w:szCs w:val="24"/>
              </w:rPr>
              <w:t>ération ne rémunère pas :</w:t>
            </w:r>
          </w:p>
          <w:p w:rsidR="0035701C" w:rsidRDefault="00FB561B" w:rsidP="00FB561B">
            <w:pPr>
              <w:numPr>
                <w:ilvl w:val="0"/>
                <w:numId w:val="787"/>
              </w:numPr>
              <w:spacing w:before="240" w:after="0"/>
              <w:ind w:hanging="210"/>
              <w:jc w:val="left"/>
              <w:rPr>
                <w:szCs w:val="24"/>
              </w:rPr>
            </w:pPr>
            <w:r>
              <w:rPr>
                <w:szCs w:val="24"/>
              </w:rPr>
              <w:t>Le maintien des prairies permanentes</w:t>
            </w:r>
          </w:p>
          <w:p w:rsidR="0035701C" w:rsidRDefault="00FB561B" w:rsidP="00FB561B">
            <w:pPr>
              <w:numPr>
                <w:ilvl w:val="0"/>
                <w:numId w:val="787"/>
              </w:numPr>
              <w:spacing w:before="0" w:after="240"/>
              <w:ind w:hanging="210"/>
              <w:jc w:val="left"/>
              <w:rPr>
                <w:szCs w:val="24"/>
              </w:rPr>
            </w:pPr>
            <w:r>
              <w:rPr>
                <w:szCs w:val="24"/>
              </w:rPr>
              <w:t>Les obligations de diversité des assolements</w:t>
            </w:r>
          </w:p>
          <w:p w:rsidR="0035701C" w:rsidRDefault="00FB561B">
            <w:pPr>
              <w:spacing w:before="240" w:after="240"/>
              <w:jc w:val="left"/>
              <w:rPr>
                <w:szCs w:val="24"/>
              </w:rPr>
            </w:pPr>
            <w:r>
              <w:rPr>
                <w:szCs w:val="24"/>
              </w:rPr>
              <w:t>Concernant les surfaces d’intérêt écologiques, ne sont pas soumises à ce critère, les exploitations pour lesquelles la surface en terres arables est</w:t>
            </w:r>
            <w:r>
              <w:rPr>
                <w:szCs w:val="24"/>
              </w:rPr>
              <w:t xml:space="preserve"> inférieure ou égale à 15 ha. Dans le cas où la surface est strictement supérieure à 15 ha, l’AG tiendra compte de ce verdissement afin d’éviter tout double paiement.</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788"/>
              </w:numPr>
              <w:spacing w:before="240" w:after="0"/>
              <w:ind w:hanging="210"/>
              <w:jc w:val="left"/>
              <w:rPr>
                <w:szCs w:val="24"/>
              </w:rPr>
            </w:pPr>
            <w:r>
              <w:rPr>
                <w:szCs w:val="24"/>
              </w:rPr>
              <w:t xml:space="preserve">Méthode, temps de travail et coût pour la mise en place de l’engrais </w:t>
            </w:r>
            <w:r>
              <w:rPr>
                <w:szCs w:val="24"/>
              </w:rPr>
              <w:t>vert : Chambre d’agriculture, Guide des engrais vert en maraîchage, Organisation des Maraîchers de Corse</w:t>
            </w:r>
          </w:p>
          <w:p w:rsidR="0035701C" w:rsidRDefault="00FB561B" w:rsidP="00FB561B">
            <w:pPr>
              <w:numPr>
                <w:ilvl w:val="0"/>
                <w:numId w:val="788"/>
              </w:numPr>
              <w:spacing w:before="0" w:after="0"/>
              <w:ind w:hanging="210"/>
              <w:jc w:val="left"/>
              <w:rPr>
                <w:szCs w:val="24"/>
              </w:rPr>
            </w:pPr>
            <w:r>
              <w:rPr>
                <w:szCs w:val="24"/>
              </w:rPr>
              <w:t>Barème des coûts horaires des techniciens : assemblée permanente des chambres d’agriculture (APCA)</w:t>
            </w:r>
          </w:p>
          <w:p w:rsidR="0035701C" w:rsidRDefault="00FB561B" w:rsidP="00FB561B">
            <w:pPr>
              <w:numPr>
                <w:ilvl w:val="0"/>
                <w:numId w:val="788"/>
              </w:numPr>
              <w:spacing w:before="0" w:after="0"/>
              <w:ind w:hanging="210"/>
              <w:jc w:val="left"/>
              <w:rPr>
                <w:szCs w:val="24"/>
              </w:rPr>
            </w:pPr>
            <w:r>
              <w:rPr>
                <w:szCs w:val="24"/>
              </w:rPr>
              <w:t>Coût du matériel : Bureau de Coordination du Machini</w:t>
            </w:r>
            <w:r>
              <w:rPr>
                <w:szCs w:val="24"/>
              </w:rPr>
              <w:t>sme Agricole (tarifs 2012)</w:t>
            </w:r>
          </w:p>
          <w:p w:rsidR="0035701C" w:rsidRDefault="00FB561B" w:rsidP="00FB561B">
            <w:pPr>
              <w:numPr>
                <w:ilvl w:val="0"/>
                <w:numId w:val="788"/>
              </w:numPr>
              <w:spacing w:before="0" w:after="0"/>
              <w:ind w:hanging="210"/>
              <w:jc w:val="left"/>
              <w:rPr>
                <w:szCs w:val="24"/>
              </w:rPr>
            </w:pPr>
            <w:r>
              <w:rPr>
                <w:szCs w:val="24"/>
              </w:rPr>
              <w:t xml:space="preserve">Surface moyenne engagée par exploitation : surface moyenne engagée en MAE </w:t>
            </w:r>
          </w:p>
          <w:p w:rsidR="0035701C" w:rsidRDefault="00FB561B" w:rsidP="00FB561B">
            <w:pPr>
              <w:numPr>
                <w:ilvl w:val="0"/>
                <w:numId w:val="788"/>
              </w:numPr>
              <w:spacing w:before="0" w:after="240"/>
              <w:ind w:hanging="210"/>
              <w:jc w:val="left"/>
              <w:rPr>
                <w:szCs w:val="24"/>
              </w:rPr>
            </w:pPr>
            <w:r>
              <w:rPr>
                <w:szCs w:val="24"/>
              </w:rPr>
              <w:t>Temps de travail pour la réalisation d’un bilan : experts nationaux</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5593271" cy="8280400"/>
                  <wp:effectExtent l="0" t="0" r="0" b="0"/>
                  <wp:docPr id="100206" name="Image 100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7" name=""/>
                          <pic:cNvPicPr>
                            <a:picLocks noChangeAspect="1"/>
                          </pic:cNvPicPr>
                        </pic:nvPicPr>
                        <pic:blipFill>
                          <a:blip r:embed="rId115"/>
                          <a:stretch>
                            <a:fillRect/>
                          </a:stretch>
                        </pic:blipFill>
                        <pic:spPr>
                          <a:xfrm>
                            <a:off x="0" y="0"/>
                            <a:ext cx="5593271" cy="8280400"/>
                          </a:xfrm>
                          <a:prstGeom prst="rect">
                            <a:avLst/>
                          </a:prstGeom>
                        </pic:spPr>
                      </pic:pic>
                    </a:graphicData>
                  </a:graphic>
                </wp:inline>
              </w:drawing>
            </w:r>
          </w:p>
          <w:p w:rsidR="0035701C" w:rsidRDefault="00FB561B">
            <w:pPr>
              <w:pStyle w:val="Pieddepage"/>
              <w:jc w:val="center"/>
            </w:pPr>
            <w:r>
              <w:t>Eau_3_maraîchères&amp;légumières_option1</w:t>
            </w:r>
          </w:p>
          <w:p w:rsidR="0035701C" w:rsidRDefault="00FB561B">
            <w:pPr>
              <w:pStyle w:val="Pieddepage"/>
              <w:jc w:val="center"/>
            </w:pPr>
            <w:r>
              <w:rPr>
                <w:noProof/>
                <w:lang w:val="fr-FR" w:eastAsia="fr-FR"/>
              </w:rPr>
              <w:drawing>
                <wp:inline distT="0" distB="0" distL="0" distR="0">
                  <wp:extent cx="6134100" cy="5781675"/>
                  <wp:effectExtent l="0" t="0" r="0" b="0"/>
                  <wp:docPr id="100208" name="Image 100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09" name=""/>
                          <pic:cNvPicPr>
                            <a:picLocks noChangeAspect="1"/>
                          </pic:cNvPicPr>
                        </pic:nvPicPr>
                        <pic:blipFill>
                          <a:blip r:embed="rId116"/>
                          <a:stretch>
                            <a:fillRect/>
                          </a:stretch>
                        </pic:blipFill>
                        <pic:spPr>
                          <a:xfrm>
                            <a:off x="0" y="0"/>
                            <a:ext cx="6134100" cy="5781675"/>
                          </a:xfrm>
                          <a:prstGeom prst="rect">
                            <a:avLst/>
                          </a:prstGeom>
                        </pic:spPr>
                      </pic:pic>
                    </a:graphicData>
                  </a:graphic>
                </wp:inline>
              </w:drawing>
            </w:r>
          </w:p>
          <w:p w:rsidR="0035701C" w:rsidRDefault="00FB561B">
            <w:pPr>
              <w:pStyle w:val="Pieddepage"/>
              <w:jc w:val="center"/>
            </w:pPr>
            <w:r>
              <w:t>Eau_3_maraîchères&amp;légumières_option2</w:t>
            </w:r>
          </w:p>
          <w:p w:rsidR="0035701C" w:rsidRDefault="00FB561B">
            <w:pPr>
              <w:pStyle w:val="Pieddepage"/>
              <w:jc w:val="center"/>
            </w:pPr>
            <w:r>
              <w:rPr>
                <w:noProof/>
                <w:lang w:val="fr-FR" w:eastAsia="fr-FR"/>
              </w:rPr>
              <w:drawing>
                <wp:inline distT="0" distB="0" distL="0" distR="0">
                  <wp:extent cx="5833121" cy="8280400"/>
                  <wp:effectExtent l="0" t="0" r="0" b="0"/>
                  <wp:docPr id="100210" name="Image 100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1" name=""/>
                          <pic:cNvPicPr>
                            <a:picLocks noChangeAspect="1"/>
                          </pic:cNvPicPr>
                        </pic:nvPicPr>
                        <pic:blipFill>
                          <a:blip r:embed="rId117"/>
                          <a:stretch>
                            <a:fillRect/>
                          </a:stretch>
                        </pic:blipFill>
                        <pic:spPr>
                          <a:xfrm>
                            <a:off x="0" y="0"/>
                            <a:ext cx="5833121" cy="8280400"/>
                          </a:xfrm>
                          <a:prstGeom prst="rect">
                            <a:avLst/>
                          </a:prstGeom>
                        </pic:spPr>
                      </pic:pic>
                    </a:graphicData>
                  </a:graphic>
                </wp:inline>
              </w:drawing>
            </w:r>
          </w:p>
          <w:p w:rsidR="0035701C" w:rsidRDefault="00FB561B">
            <w:pPr>
              <w:pStyle w:val="Pieddepage"/>
              <w:jc w:val="center"/>
            </w:pPr>
            <w:r>
              <w:t>Eau_3_grandescultures_option1</w:t>
            </w:r>
          </w:p>
          <w:p w:rsidR="0035701C" w:rsidRDefault="00FB561B">
            <w:pPr>
              <w:pStyle w:val="Pieddepage"/>
              <w:jc w:val="center"/>
            </w:pPr>
            <w:r>
              <w:rPr>
                <w:noProof/>
                <w:lang w:val="fr-FR" w:eastAsia="fr-FR"/>
              </w:rPr>
              <w:drawing>
                <wp:inline distT="0" distB="0" distL="0" distR="0">
                  <wp:extent cx="5943600" cy="6334125"/>
                  <wp:effectExtent l="0" t="0" r="0" b="0"/>
                  <wp:docPr id="100212" name="Image 100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3" name=""/>
                          <pic:cNvPicPr>
                            <a:picLocks noChangeAspect="1"/>
                          </pic:cNvPicPr>
                        </pic:nvPicPr>
                        <pic:blipFill>
                          <a:blip r:embed="rId118"/>
                          <a:stretch>
                            <a:fillRect/>
                          </a:stretch>
                        </pic:blipFill>
                        <pic:spPr>
                          <a:xfrm>
                            <a:off x="0" y="0"/>
                            <a:ext cx="5943600" cy="6334125"/>
                          </a:xfrm>
                          <a:prstGeom prst="rect">
                            <a:avLst/>
                          </a:prstGeom>
                        </pic:spPr>
                      </pic:pic>
                    </a:graphicData>
                  </a:graphic>
                </wp:inline>
              </w:drawing>
            </w:r>
          </w:p>
          <w:p w:rsidR="0035701C" w:rsidRDefault="00FB561B">
            <w:pPr>
              <w:pStyle w:val="Pieddepage"/>
              <w:jc w:val="center"/>
            </w:pPr>
            <w:r>
              <w:t>Eau_3_grandescultures_option2</w:t>
            </w:r>
          </w:p>
          <w:p w:rsidR="0035701C" w:rsidRDefault="0035701C">
            <w:pPr>
              <w:pStyle w:val="Pieddepage"/>
              <w:jc w:val="center"/>
            </w:pPr>
          </w:p>
        </w:tc>
      </w:tr>
    </w:tbl>
    <w:p w:rsidR="0035701C" w:rsidRDefault="00FB561B">
      <w:pPr>
        <w:pStyle w:val="Titre5"/>
        <w:rPr>
          <w:b w:val="0"/>
        </w:rPr>
      </w:pPr>
      <w:r>
        <w:rPr>
          <w:b w:val="0"/>
        </w:rPr>
        <w:br w:type="page"/>
        <w:t>-32- EAU_4</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789"/>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 titre complet : EAU_ 4 = Mise en place de la lutte </w:t>
            </w:r>
            <w:r>
              <w:rPr>
                <w:b/>
                <w:bCs/>
                <w:szCs w:val="24"/>
              </w:rPr>
              <w:t>biologique sous serre et sous tunnel contre Tuta absoluta.</w:t>
            </w:r>
          </w:p>
          <w:p w:rsidR="0035701C" w:rsidRDefault="00FB561B">
            <w:pPr>
              <w:spacing w:before="240" w:after="240"/>
              <w:jc w:val="left"/>
              <w:rPr>
                <w:szCs w:val="24"/>
              </w:rPr>
            </w:pPr>
            <w:r>
              <w:rPr>
                <w:szCs w:val="24"/>
              </w:rPr>
              <w:t>La lutte biologique consiste à utiliser des auxiliaires des cultures pour lutter contre le développement de certains bio agresseurs spécifiques des cultures (essentiellement des ravageurs). Le reco</w:t>
            </w:r>
            <w:r>
              <w:rPr>
                <w:szCs w:val="24"/>
              </w:rPr>
              <w:t>urs à la lutte biologique pour un bio agresseur donné permet ainsi de limiter ou de supprimer les traitements phytosanitaires visant ce bio agresseur.</w:t>
            </w:r>
          </w:p>
          <w:p w:rsidR="0035701C" w:rsidRDefault="00FB561B">
            <w:pPr>
              <w:spacing w:before="240" w:after="240"/>
              <w:jc w:val="left"/>
              <w:rPr>
                <w:szCs w:val="24"/>
              </w:rPr>
            </w:pPr>
            <w:r>
              <w:rPr>
                <w:i/>
                <w:iCs/>
                <w:szCs w:val="24"/>
              </w:rPr>
              <w:t xml:space="preserve">Tuta absoluta </w:t>
            </w:r>
            <w:r>
              <w:rPr>
                <w:szCs w:val="24"/>
              </w:rPr>
              <w:t xml:space="preserve">est une petite teigne appartenant à la famille des </w:t>
            </w:r>
            <w:r>
              <w:rPr>
                <w:i/>
                <w:iCs/>
                <w:szCs w:val="24"/>
              </w:rPr>
              <w:t>Gelechiidae</w:t>
            </w:r>
            <w:r>
              <w:rPr>
                <w:szCs w:val="24"/>
              </w:rPr>
              <w:t>. Elle est appelée aussi cour</w:t>
            </w:r>
            <w:r>
              <w:rPr>
                <w:szCs w:val="24"/>
              </w:rPr>
              <w:t>amment "mineuse de la tomate", à ne pas confondre avec la mouche mineuse puisqu'il s'agit d'un lépidoptère. Elle provoque des dégâts économiques essentiellement dans les cultures de tomates, pouvant atteindre des pertes de récoltes allant de 50 à 100% dans</w:t>
            </w:r>
            <w:r>
              <w:rPr>
                <w:szCs w:val="24"/>
              </w:rPr>
              <w:t xml:space="preserve"> les cultures non-traitées. Les larves du </w:t>
            </w:r>
            <w:r>
              <w:rPr>
                <w:i/>
                <w:iCs/>
                <w:szCs w:val="24"/>
              </w:rPr>
              <w:t xml:space="preserve">Tuta absoluta </w:t>
            </w:r>
            <w:r>
              <w:rPr>
                <w:szCs w:val="24"/>
              </w:rPr>
              <w:t>font des galeries dans les feuilles, les tiges et les fruits. Suite à ces lésions, des infections secondaires peuvent aussi apparaître.</w:t>
            </w:r>
          </w:p>
          <w:p w:rsidR="0035701C" w:rsidRDefault="00FB561B">
            <w:pPr>
              <w:spacing w:before="240" w:after="240"/>
              <w:jc w:val="left"/>
              <w:rPr>
                <w:szCs w:val="24"/>
              </w:rPr>
            </w:pPr>
            <w:r>
              <w:rPr>
                <w:szCs w:val="24"/>
              </w:rPr>
              <w:t>De 2009 à 2010, la FREDON Corse (Fédération Régionale de Défense</w:t>
            </w:r>
            <w:r>
              <w:rPr>
                <w:szCs w:val="24"/>
              </w:rPr>
              <w:t xml:space="preserve"> contre les Organismes Nuisibles) a entretenu un réseau régional de surveillance en disposant des pièges à phéromones sur toute la Corse afin de mieux connaître le comportement de ce ravageur. Cela a permis de montrer que </w:t>
            </w:r>
            <w:r>
              <w:rPr>
                <w:i/>
                <w:iCs/>
                <w:szCs w:val="24"/>
              </w:rPr>
              <w:t>Tuta absoluta</w:t>
            </w:r>
            <w:r>
              <w:rPr>
                <w:szCs w:val="24"/>
              </w:rPr>
              <w:t xml:space="preserve"> est présent tout au </w:t>
            </w:r>
            <w:r>
              <w:rPr>
                <w:szCs w:val="24"/>
              </w:rPr>
              <w:t>long de l’année dans les cultures.</w:t>
            </w:r>
          </w:p>
          <w:p w:rsidR="0035701C" w:rsidRDefault="00FB561B">
            <w:pPr>
              <w:spacing w:before="240" w:after="240"/>
              <w:jc w:val="left"/>
              <w:rPr>
                <w:szCs w:val="24"/>
              </w:rPr>
            </w:pPr>
            <w:r>
              <w:rPr>
                <w:szCs w:val="24"/>
              </w:rPr>
              <w:t>Dans le cadre de cet engagement, la lutte biologique est assimilée au lâcher d’auxiliaires sous tunnels ou sous serres.</w:t>
            </w:r>
          </w:p>
          <w:p w:rsidR="0035701C" w:rsidRDefault="00FB561B">
            <w:pPr>
              <w:spacing w:before="240" w:after="240"/>
              <w:jc w:val="left"/>
              <w:rPr>
                <w:szCs w:val="24"/>
              </w:rPr>
            </w:pPr>
            <w:r>
              <w:rPr>
                <w:szCs w:val="24"/>
              </w:rPr>
              <w:t>Le but de cet engagement est de favoriser l’appropriation d’une nouvelle technique. Il répond à un ob</w:t>
            </w:r>
            <w:r>
              <w:rPr>
                <w:szCs w:val="24"/>
              </w:rPr>
              <w:t>jectif de la qualité de l’eau par la réduction de l’utilisation des produits phytosanitaires.</w:t>
            </w:r>
          </w:p>
          <w:p w:rsidR="0035701C" w:rsidRDefault="00FB561B">
            <w:pPr>
              <w:spacing w:before="240" w:after="240"/>
              <w:jc w:val="left"/>
              <w:rPr>
                <w:szCs w:val="24"/>
              </w:rPr>
            </w:pPr>
            <w:r>
              <w:rPr>
                <w:szCs w:val="24"/>
              </w:rPr>
              <w:t>Les traitements sont autorisés pour les autres ravageurs non pris en compte en Protection Biologique Intégrée et maladies cryptogamiques.</w:t>
            </w:r>
          </w:p>
          <w:p w:rsidR="0035701C" w:rsidRDefault="00FB561B">
            <w:pPr>
              <w:spacing w:before="240" w:after="240"/>
              <w:jc w:val="left"/>
              <w:rPr>
                <w:szCs w:val="24"/>
              </w:rPr>
            </w:pPr>
            <w:r>
              <w:rPr>
                <w:szCs w:val="24"/>
              </w:rPr>
              <w:t xml:space="preserve">Les traitements au </w:t>
            </w:r>
            <w:r>
              <w:rPr>
                <w:i/>
                <w:iCs/>
                <w:szCs w:val="24"/>
              </w:rPr>
              <w:t>Bacil</w:t>
            </w:r>
            <w:r>
              <w:rPr>
                <w:i/>
                <w:iCs/>
                <w:szCs w:val="24"/>
              </w:rPr>
              <w:t>lus thuringiensis</w:t>
            </w:r>
            <w:r>
              <w:rPr>
                <w:szCs w:val="24"/>
              </w:rPr>
              <w:t xml:space="preserve"> (bactérie aérobie naturellement présente dans le sol, l'eau, l'air et sur le feuillage des plantes) restent possibles (à la charge de l’agriculteur) afin d’éliminer les chenilles et permettent de contribuer ainsi à une meilleure lutte con</w:t>
            </w:r>
            <w:r>
              <w:rPr>
                <w:szCs w:val="24"/>
              </w:rPr>
              <w:t xml:space="preserve">tre ce ravageur (soit 16 traitements </w:t>
            </w:r>
            <w:r>
              <w:rPr>
                <w:i/>
                <w:iCs/>
                <w:szCs w:val="24"/>
              </w:rPr>
              <w:t>Bacillus</w:t>
            </w:r>
            <w:r>
              <w:rPr>
                <w:szCs w:val="24"/>
              </w:rPr>
              <w:t>).</w:t>
            </w:r>
          </w:p>
          <w:p w:rsidR="0035701C" w:rsidRDefault="00FB561B">
            <w:pPr>
              <w:spacing w:before="240" w:after="240"/>
              <w:jc w:val="left"/>
              <w:rPr>
                <w:szCs w:val="24"/>
              </w:rPr>
            </w:pPr>
            <w:r>
              <w:rPr>
                <w:szCs w:val="24"/>
              </w:rPr>
              <w:t>Un traitement de renfort reste autorisé, après avis d’un technicien formalisé dans le cahier de l’exploitant, en cas de forte infestation et sera à la charge de l’agriculteur. Si ce traitement est réalisé une</w:t>
            </w:r>
            <w:r>
              <w:rPr>
                <w:szCs w:val="24"/>
              </w:rPr>
              <w:t xml:space="preserve"> période de 15 à 20 jours doit être respectée afin qu’il n’y ait pas de risque nuisible pour les parasites.</w:t>
            </w:r>
          </w:p>
          <w:p w:rsidR="0035701C" w:rsidRDefault="00FB561B">
            <w:pPr>
              <w:spacing w:before="240" w:after="240"/>
              <w:jc w:val="left"/>
              <w:rPr>
                <w:szCs w:val="24"/>
              </w:rPr>
            </w:pPr>
            <w:r>
              <w:rPr>
                <w:szCs w:val="24"/>
              </w:rPr>
              <w:t>Cette opération peut être combinée avec d’autres opérations telles que le paillage végétal ou biodégradable, la fumure de fond de type organique et/</w:t>
            </w:r>
            <w:r>
              <w:rPr>
                <w:szCs w:val="24"/>
              </w:rPr>
              <w:t>ou la mise en place d’un engrais vert.</w:t>
            </w:r>
          </w:p>
          <w:p w:rsidR="0035701C" w:rsidRDefault="00FB561B">
            <w:pPr>
              <w:spacing w:before="240" w:after="240"/>
              <w:jc w:val="left"/>
              <w:rPr>
                <w:szCs w:val="24"/>
              </w:rPr>
            </w:pPr>
            <w:r>
              <w:rPr>
                <w:b/>
                <w:bCs/>
                <w:i/>
                <w:iCs/>
                <w:szCs w:val="24"/>
              </w:rPr>
              <w:t xml:space="preserve">Cahier des charges : </w:t>
            </w:r>
          </w:p>
          <w:p w:rsidR="0035701C" w:rsidRDefault="00FB561B" w:rsidP="00FB561B">
            <w:pPr>
              <w:numPr>
                <w:ilvl w:val="0"/>
                <w:numId w:val="790"/>
              </w:numPr>
              <w:spacing w:before="240" w:after="0"/>
              <w:ind w:hanging="210"/>
              <w:jc w:val="left"/>
              <w:rPr>
                <w:szCs w:val="24"/>
              </w:rPr>
            </w:pPr>
            <w:r>
              <w:rPr>
                <w:szCs w:val="24"/>
              </w:rPr>
              <w:t>L’agriculteur doit mettre en place des pièges à phéromones de détection à une densité de 3 pièges par hectare à renouveler tous les mois (18 pièges[SN1] ) afin d’obtenir un résultat optimal et me</w:t>
            </w:r>
            <w:r>
              <w:rPr>
                <w:szCs w:val="24"/>
              </w:rPr>
              <w:t>ttre en place des plaques engluées permettent de repérer l’apparition des premiers parasites.</w:t>
            </w:r>
          </w:p>
          <w:p w:rsidR="0035701C" w:rsidRDefault="00FB561B" w:rsidP="00FB561B">
            <w:pPr>
              <w:numPr>
                <w:ilvl w:val="0"/>
                <w:numId w:val="790"/>
              </w:numPr>
              <w:spacing w:before="0" w:after="0"/>
              <w:ind w:hanging="210"/>
              <w:jc w:val="left"/>
              <w:rPr>
                <w:szCs w:val="24"/>
              </w:rPr>
            </w:pPr>
            <w:r>
              <w:rPr>
                <w:szCs w:val="24"/>
              </w:rPr>
              <w:t xml:space="preserve">L’agriculteur s’engage à utiliser des auxiliaires des cultures (principalement </w:t>
            </w:r>
            <w:r>
              <w:rPr>
                <w:i/>
                <w:iCs/>
                <w:szCs w:val="24"/>
              </w:rPr>
              <w:t>Macrolophus</w:t>
            </w:r>
            <w:r>
              <w:rPr>
                <w:szCs w:val="24"/>
              </w:rPr>
              <w:t>)</w:t>
            </w:r>
          </w:p>
          <w:p w:rsidR="0035701C" w:rsidRDefault="00FB561B" w:rsidP="00FB561B">
            <w:pPr>
              <w:numPr>
                <w:ilvl w:val="0"/>
                <w:numId w:val="790"/>
              </w:numPr>
              <w:spacing w:before="0" w:after="0"/>
              <w:ind w:hanging="210"/>
              <w:jc w:val="left"/>
              <w:rPr>
                <w:szCs w:val="24"/>
              </w:rPr>
            </w:pPr>
            <w:r>
              <w:rPr>
                <w:szCs w:val="24"/>
              </w:rPr>
              <w:t xml:space="preserve">Il doit réaliser les lâchers environ un mois après la plantation de </w:t>
            </w:r>
            <w:r>
              <w:rPr>
                <w:szCs w:val="24"/>
              </w:rPr>
              <w:t>janvier à septembre soit 7 lâchers.</w:t>
            </w:r>
          </w:p>
          <w:p w:rsidR="0035701C" w:rsidRDefault="00FB561B" w:rsidP="00FB561B">
            <w:pPr>
              <w:numPr>
                <w:ilvl w:val="0"/>
                <w:numId w:val="790"/>
              </w:numPr>
              <w:spacing w:before="0" w:after="0"/>
              <w:ind w:hanging="210"/>
              <w:jc w:val="left"/>
              <w:rPr>
                <w:szCs w:val="24"/>
              </w:rPr>
            </w:pPr>
            <w:r>
              <w:rPr>
                <w:szCs w:val="24"/>
              </w:rPr>
              <w:t>Il doit assurer l’enregistrement des différentes interventions et des pratiques réalisées dans le cahier de l’exploitant. L’enregistrement des pratiques est une obligation pendant toute la durée de l’engagement, permetta</w:t>
            </w:r>
            <w:r>
              <w:rPr>
                <w:szCs w:val="24"/>
              </w:rPr>
              <w:t>nt ainsi de vérifier l’atteinte de l’objectif sur la durée du contrat.</w:t>
            </w:r>
          </w:p>
          <w:p w:rsidR="0035701C" w:rsidRDefault="00FB561B" w:rsidP="00FB561B">
            <w:pPr>
              <w:numPr>
                <w:ilvl w:val="0"/>
                <w:numId w:val="790"/>
              </w:numPr>
              <w:spacing w:before="0" w:after="240"/>
              <w:ind w:hanging="210"/>
              <w:jc w:val="left"/>
              <w:rPr>
                <w:szCs w:val="24"/>
              </w:rPr>
            </w:pPr>
            <w:r>
              <w:rPr>
                <w:szCs w:val="24"/>
              </w:rPr>
              <w:t>Il doit réaliser un bilan annuel de suivi. L’élaboration de ce bilan est obligatoire afin de garantir de bonnes conditions d’appui technique à la réduction de ces intrants. Il permettra</w:t>
            </w:r>
            <w:r>
              <w:rPr>
                <w:szCs w:val="24"/>
              </w:rPr>
              <w:t xml:space="preserve"> d’évaluer la pertinence des options techniques retenues, de s’assurer de l’atteinte des objectifs de résultat et d’optimiser l’efficacité de la solution agronomique mise en œuvre. Ce bilan annuel doit être réalisé chaque année par l’agriculteur et deux fo</w:t>
            </w:r>
            <w:r>
              <w:rPr>
                <w:szCs w:val="24"/>
              </w:rPr>
              <w:t>is avec l’appui d’un technicien</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éléments de la </w:t>
            </w:r>
            <w:r>
              <w:rPr>
                <w:szCs w:val="24"/>
              </w:rPr>
              <w:t>ligne de base sont définis en conformité avec :</w:t>
            </w:r>
          </w:p>
          <w:p w:rsidR="0035701C" w:rsidRDefault="00FB561B" w:rsidP="00FB561B">
            <w:pPr>
              <w:numPr>
                <w:ilvl w:val="0"/>
                <w:numId w:val="791"/>
              </w:numPr>
              <w:spacing w:before="240" w:after="0"/>
              <w:ind w:hanging="210"/>
              <w:jc w:val="left"/>
              <w:rPr>
                <w:szCs w:val="24"/>
              </w:rPr>
            </w:pPr>
            <w:r>
              <w:rPr>
                <w:szCs w:val="24"/>
              </w:rPr>
              <w:t>les exigences établies en vertu de l’article 93 du règlement UE n° 1306/2013 et de l’article 4.1c points ii) et iii) du règlement UE n°1307/2013,</w:t>
            </w:r>
          </w:p>
          <w:p w:rsidR="0035701C" w:rsidRDefault="00FB561B" w:rsidP="00FB561B">
            <w:pPr>
              <w:numPr>
                <w:ilvl w:val="0"/>
                <w:numId w:val="791"/>
              </w:numPr>
              <w:spacing w:before="0" w:after="0"/>
              <w:ind w:hanging="210"/>
              <w:jc w:val="left"/>
              <w:rPr>
                <w:szCs w:val="24"/>
              </w:rPr>
            </w:pPr>
            <w:r>
              <w:rPr>
                <w:szCs w:val="24"/>
              </w:rPr>
              <w:t>la circulaire nationale fixant les règles relatives aux bonnes</w:t>
            </w:r>
            <w:r>
              <w:rPr>
                <w:szCs w:val="24"/>
              </w:rPr>
              <w:t xml:space="preserve"> conduites agricoles et environnementales (BCAE).</w:t>
            </w:r>
          </w:p>
          <w:p w:rsidR="0035701C" w:rsidRDefault="00FB561B" w:rsidP="00FB561B">
            <w:pPr>
              <w:numPr>
                <w:ilvl w:val="0"/>
                <w:numId w:val="791"/>
              </w:numPr>
              <w:spacing w:before="0" w:after="240"/>
              <w:ind w:hanging="210"/>
              <w:jc w:val="left"/>
              <w:rPr>
                <w:szCs w:val="24"/>
              </w:rPr>
            </w:pPr>
            <w:r>
              <w:rPr>
                <w:szCs w:val="24"/>
              </w:rPr>
              <w:t>l’arrêté préfectoral régional en vigueur en Corse fixant les règles relatives aux bonnes conduites agricoles et environnementales (BCAE).</w:t>
            </w:r>
          </w:p>
          <w:p w:rsidR="0035701C" w:rsidRDefault="00FB561B">
            <w:pPr>
              <w:spacing w:before="240" w:after="240"/>
              <w:jc w:val="left"/>
              <w:rPr>
                <w:szCs w:val="24"/>
              </w:rPr>
            </w:pPr>
            <w:r>
              <w:rPr>
                <w:szCs w:val="24"/>
              </w:rPr>
              <w:t xml:space="preserve">Afin d’exclure tout double paiement, les pratiques visées à </w:t>
            </w:r>
            <w:r>
              <w:rPr>
                <w:szCs w:val="24"/>
              </w:rPr>
              <w:t>l’article 43 du règlement UE n° 1307/2013 sont prises en compte dans le calcul des surcoûts et manques à gagner.</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les surcoûts, ma</w:t>
            </w:r>
            <w:r>
              <w:rPr>
                <w:szCs w:val="24"/>
              </w:rPr>
              <w:t>nques à gagner et éventuels coûts d’opportunité et de transaction générés par le respect des éléments contractualisés.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Couverts éligibles :</w:t>
            </w:r>
            <w:r>
              <w:rPr>
                <w:szCs w:val="24"/>
              </w:rPr>
              <w:t xml:space="preserve"> Cultures maraîchères sous serre et tunnel.</w:t>
            </w:r>
          </w:p>
          <w:p w:rsidR="0035701C" w:rsidRDefault="00FB561B">
            <w:pPr>
              <w:spacing w:before="240" w:after="240"/>
              <w:jc w:val="left"/>
              <w:rPr>
                <w:szCs w:val="24"/>
              </w:rPr>
            </w:pPr>
            <w:r>
              <w:rPr>
                <w:b/>
                <w:bCs/>
                <w:i/>
                <w:iCs/>
                <w:szCs w:val="24"/>
              </w:rPr>
              <w:t>Diagnostic d’exploitation :</w:t>
            </w:r>
          </w:p>
          <w:p w:rsidR="0035701C" w:rsidRDefault="00FB561B">
            <w:pPr>
              <w:spacing w:before="240" w:after="240"/>
              <w:jc w:val="left"/>
              <w:rPr>
                <w:szCs w:val="24"/>
              </w:rPr>
            </w:pPr>
            <w:r>
              <w:rPr>
                <w:szCs w:val="24"/>
              </w:rPr>
              <w:t xml:space="preserve">La réalisation </w:t>
            </w:r>
            <w:r>
              <w:rPr>
                <w:szCs w:val="24"/>
              </w:rPr>
              <w:t>d’un diagnostic d’exploitation est une obligation pour la souscription de cette opération.</w:t>
            </w:r>
          </w:p>
          <w:p w:rsidR="0035701C" w:rsidRDefault="00FB561B">
            <w:pPr>
              <w:spacing w:before="240" w:after="240"/>
              <w:jc w:val="left"/>
              <w:rPr>
                <w:szCs w:val="24"/>
              </w:rPr>
            </w:pPr>
            <w:r>
              <w:rPr>
                <w:szCs w:val="24"/>
              </w:rPr>
              <w:t>Le diagnostic d’exploitation fera apparaître les différentes possibilités de combinaison avec d’autres opérations.</w:t>
            </w:r>
          </w:p>
          <w:p w:rsidR="0035701C" w:rsidRDefault="0035701C">
            <w:pPr>
              <w:pStyle w:val="Corpsdetexte"/>
            </w:pPr>
          </w:p>
        </w:tc>
      </w:tr>
    </w:tbl>
    <w:p w:rsidR="0035701C" w:rsidRDefault="00FB561B">
      <w:pPr>
        <w:pStyle w:val="Titre6"/>
      </w:pPr>
      <w:r>
        <w:t>Principes applicables à l'établissement des crit</w:t>
      </w:r>
      <w:r>
        <w: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Afin d’éviter le double paiement du coût de transaction concernant l’élaboration du bilan annuel de la stratégie des cultures :</w:t>
            </w:r>
          </w:p>
          <w:p w:rsidR="0035701C" w:rsidRDefault="00FB561B">
            <w:pPr>
              <w:spacing w:before="240" w:after="240"/>
              <w:jc w:val="left"/>
              <w:rPr>
                <w:szCs w:val="24"/>
              </w:rPr>
            </w:pPr>
            <w:r>
              <w:rPr>
                <w:szCs w:val="24"/>
              </w:rPr>
              <w:t>Option 1 (si l’opérat</w:t>
            </w:r>
            <w:r>
              <w:rPr>
                <w:szCs w:val="24"/>
              </w:rPr>
              <w:t>ion est souscrite seule ou si elle est la première souscrite, le bilan s’ajoutera obligatoirement à cette opération) :</w:t>
            </w:r>
          </w:p>
          <w:p w:rsidR="0035701C" w:rsidRDefault="00FB561B">
            <w:pPr>
              <w:spacing w:before="240" w:after="240"/>
              <w:jc w:val="left"/>
              <w:rPr>
                <w:szCs w:val="24"/>
              </w:rPr>
            </w:pPr>
            <w:r>
              <w:rPr>
                <w:szCs w:val="24"/>
              </w:rPr>
              <w:t>Le montant unitaire est fixé à 271,75 €/1000 m²/an[SN1] .</w:t>
            </w:r>
          </w:p>
          <w:p w:rsidR="0035701C" w:rsidRDefault="00FB561B">
            <w:pPr>
              <w:spacing w:before="240" w:after="240"/>
              <w:jc w:val="left"/>
              <w:rPr>
                <w:szCs w:val="24"/>
              </w:rPr>
            </w:pPr>
            <w:r>
              <w:rPr>
                <w:szCs w:val="24"/>
              </w:rPr>
              <w:t xml:space="preserve">Option 2 (si l’opération est souscrite avec d’autres opérations le bilan ne </w:t>
            </w:r>
            <w:r>
              <w:rPr>
                <w:szCs w:val="24"/>
              </w:rPr>
              <w:t>pourra être comptabilisé qu’une seule fois) :</w:t>
            </w:r>
          </w:p>
          <w:p w:rsidR="0035701C" w:rsidRDefault="00FB561B">
            <w:pPr>
              <w:spacing w:before="240" w:after="240"/>
              <w:jc w:val="left"/>
              <w:rPr>
                <w:szCs w:val="24"/>
              </w:rPr>
            </w:pPr>
            <w:r>
              <w:rPr>
                <w:szCs w:val="24"/>
              </w:rPr>
              <w:t>Le montant unitaire est  fixé à 270 €/1000 m²/an pour la mise en place de la lutte biologique.</w:t>
            </w:r>
          </w:p>
          <w:p w:rsidR="0035701C" w:rsidRDefault="00FB561B">
            <w:pPr>
              <w:spacing w:before="240" w:after="240"/>
              <w:jc w:val="left"/>
              <w:rPr>
                <w:szCs w:val="24"/>
              </w:rPr>
            </w:pPr>
            <w:r>
              <w:rPr>
                <w:szCs w:val="24"/>
              </w:rPr>
              <w:t>Ainsi, pour les couverts en maraîchage, ces montants unitaires sont supérieurs aux montants maximaux prévus à l’ann</w:t>
            </w:r>
            <w:r>
              <w:rPr>
                <w:szCs w:val="24"/>
              </w:rPr>
              <w:t>exe II du règlement (UE) n° 1305/2013 en cohérence avec les justifications de surcoûts induits par la mise en œuvre de cet engagement.</w:t>
            </w:r>
          </w:p>
          <w:p w:rsidR="0035701C" w:rsidRDefault="00FB561B">
            <w:pPr>
              <w:spacing w:before="240" w:after="240"/>
              <w:jc w:val="left"/>
              <w:rPr>
                <w:szCs w:val="24"/>
              </w:rPr>
            </w:pPr>
            <w:r>
              <w:rPr>
                <w:szCs w:val="24"/>
              </w:rPr>
              <w:t xml:space="preserve">En cas de combinaison d'opérations sur une même parcelle pour ce type de couvert (cf. tableau des combinaisons possibles </w:t>
            </w:r>
            <w:r>
              <w:rPr>
                <w:szCs w:val="24"/>
              </w:rPr>
              <w:t>pour les couverts en maraichage : EAU_1, EAU_2, EAU_3 et EAU_4), le montant de l’aide ne sera également pas limité aux montants maximaux prévus à l’annexe II du règlement (UE) n° 1305/2013 en cohérence avec les justifications de surcoûts induits par la mis</w:t>
            </w:r>
            <w:r>
              <w:rPr>
                <w:szCs w:val="24"/>
              </w:rPr>
              <w:t>e en œuvre de ces engagements.</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Détermination et définition des éléments du niveau de référence applicable, qui doivent inclure les normes obligatoires établies en application du titre VI, chapitre I, du règlement (UE) n° 1306/2013 du Parlement eu</w:t>
      </w:r>
      <w:r>
        <w:t xml:space="preserve">ropéen et du Conseil, les critères pertinents et les activités minimales établies en application de l'article 4, paragraphe 1, point c) ii) et c) iii), du règlement (UE) n° 1307/2013 du Parlement européen et du Conseil, les exigences minimales applicables </w:t>
      </w:r>
      <w:r>
        <w:t>à l'utilisation des engrais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ind w:left="103"/>
              <w:jc w:val="left"/>
              <w:rPr>
                <w:szCs w:val="24"/>
              </w:rPr>
            </w:pPr>
            <w:r>
              <w:rPr>
                <w:szCs w:val="24"/>
              </w:rPr>
              <w:t>Par ailleurs, si les pratiques rémunérées au titre de la présente opération sont rendues oblig</w:t>
            </w:r>
            <w:r>
              <w:rPr>
                <w:szCs w:val="24"/>
              </w:rPr>
              <w:t>atoires sur des zones au titre de la protection de la biodiversité (notamment des zones classées au titre des réserves naturelles des arrêtés de protection de biotopes), celle-ci ne peut être ouverte sur les zones concernées.</w:t>
            </w:r>
          </w:p>
          <w:p w:rsidR="0035701C" w:rsidRDefault="00FB561B">
            <w:pPr>
              <w:spacing w:before="240" w:after="240"/>
              <w:jc w:val="left"/>
              <w:rPr>
                <w:szCs w:val="24"/>
              </w:rPr>
            </w:pPr>
            <w:r>
              <w:rPr>
                <w:szCs w:val="24"/>
              </w:rPr>
              <w:t> </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293772"/>
                  <wp:effectExtent l="0" t="0" r="0" b="0"/>
                  <wp:docPr id="100214" name="Image 100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5" name=""/>
                          <pic:cNvPicPr>
                            <a:picLocks noChangeAspect="1"/>
                          </pic:cNvPicPr>
                        </pic:nvPicPr>
                        <pic:blipFill>
                          <a:blip r:embed="rId119"/>
                          <a:stretch>
                            <a:fillRect/>
                          </a:stretch>
                        </pic:blipFill>
                        <pic:spPr>
                          <a:xfrm>
                            <a:off x="0" y="0"/>
                            <a:ext cx="6629400" cy="1293772"/>
                          </a:xfrm>
                          <a:prstGeom prst="rect">
                            <a:avLst/>
                          </a:prstGeom>
                        </pic:spPr>
                      </pic:pic>
                    </a:graphicData>
                  </a:graphic>
                </wp:inline>
              </w:drawing>
            </w:r>
          </w:p>
          <w:p w:rsidR="0035701C" w:rsidRDefault="00FB561B">
            <w:pPr>
              <w:pStyle w:val="Pieddepage"/>
              <w:jc w:val="center"/>
            </w:pPr>
            <w:r>
              <w:t>Eau_4_lignebase</w:t>
            </w:r>
          </w:p>
          <w:p w:rsidR="0035701C" w:rsidRDefault="0035701C">
            <w:pPr>
              <w:pStyle w:val="Pieddepage"/>
              <w:jc w:val="center"/>
            </w:pPr>
          </w:p>
        </w:tc>
      </w:tr>
    </w:tbl>
    <w:p w:rsidR="0035701C" w:rsidRDefault="00FB561B">
      <w:r>
        <w:t xml:space="preserve">Les </w:t>
      </w:r>
      <w:r>
        <w:t>exigences minimales relatives à l'utilisation d'engrais doivent comprendre, entre autres, le respect des codes de bonnes pratiques introduits au titre de la directive 91/676/CEE pour les exploitations situées en dehors des zones vulnérables aux nitrates, e</w:t>
      </w:r>
      <w:r>
        <w:t>t des exigences concernant la pollution au phosphore; les exigences minimales relatives à l'utilisation de produits phytosanitaires doivent comprendre, entre autres, les principes généraux de la lutte intégrée contre les ennemis des cultures introduits par</w:t>
      </w:r>
      <w:r>
        <w:t xml:space="preserve"> la directive 2009/128/CE du Parlement européen et du Conseil, l’obligation de détenir une autorisation d’utiliser les produits, de satisfaire aux conditions de formation, d’assurer un stockage sûr et de contrôler les équipements destinés à l’épandage ains</w:t>
      </w:r>
      <w:r>
        <w:t>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Liste des races locales qui s</w:t>
      </w:r>
      <w:r>
        <w:t>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Description de la méthode et des hypothèses et paramètres agronomiques y compris la description des exigences minimales</w:t>
      </w:r>
      <w:r>
        <w:t xml:space="preserve"> visées à l'article 29, paragraphe 2, du règlement (UE) n° 1305/2013 correspondant à chaque type particulier d'engagement, utilisés comme référence pour les calculs justifiant les coûts supplémentaires et les pertes de revenus résultant de l’engagement pri</w:t>
      </w:r>
      <w:r>
        <w:t>s et le niveau des coûts des transactions; le cas échéant, cette méthode tient compte des aides accordées au titre du règlement (UE) n° 1307/2013, et notamment des paiements en faveur des pratiques agricoles bénéfiques pour le climat et l’environnement, af</w:t>
      </w:r>
      <w:r>
        <w:t>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Méthode générale de calcul du montant : </w:t>
            </w:r>
            <w:r>
              <w:rPr>
                <w:szCs w:val="24"/>
              </w:rPr>
              <w:t>Le montant de l’aide est calculé sur la base de l’utilisation du m</w:t>
            </w:r>
            <w:r>
              <w:rPr>
                <w:szCs w:val="24"/>
              </w:rPr>
              <w:t>atériel supplémentaire nécessaire pour la mise en place de la lutte biologique ainsi que les coûts de transaction générés par le respect des éléments contractualisés.</w:t>
            </w:r>
          </w:p>
          <w:p w:rsidR="0035701C" w:rsidRDefault="00FB561B">
            <w:pPr>
              <w:spacing w:before="240" w:after="240"/>
              <w:jc w:val="left"/>
              <w:rPr>
                <w:szCs w:val="24"/>
              </w:rPr>
            </w:pPr>
            <w:r>
              <w:rPr>
                <w:b/>
                <w:bCs/>
                <w:i/>
                <w:iCs/>
                <w:szCs w:val="24"/>
              </w:rPr>
              <w:t>Pratiques de références </w:t>
            </w:r>
            <w:r>
              <w:rPr>
                <w:szCs w:val="24"/>
              </w:rPr>
              <w:t xml:space="preserve">: La méthode de lutte actuelle consiste à positionner 12 </w:t>
            </w:r>
            <w:r>
              <w:rPr>
                <w:szCs w:val="24"/>
              </w:rPr>
              <w:t>traitements insecticides sur une période de 10 mois maximum.</w:t>
            </w:r>
          </w:p>
          <w:p w:rsidR="0035701C" w:rsidRDefault="00FB561B">
            <w:pPr>
              <w:spacing w:before="240" w:after="240"/>
              <w:jc w:val="left"/>
              <w:rPr>
                <w:szCs w:val="24"/>
              </w:rPr>
            </w:pPr>
            <w:r>
              <w:rPr>
                <w:b/>
                <w:bCs/>
                <w:i/>
                <w:iCs/>
                <w:szCs w:val="24"/>
              </w:rPr>
              <w:t xml:space="preserve">Verdissement : </w:t>
            </w:r>
          </w:p>
          <w:p w:rsidR="0035701C" w:rsidRDefault="00FB561B">
            <w:pPr>
              <w:spacing w:before="240" w:after="240"/>
              <w:jc w:val="left"/>
              <w:rPr>
                <w:szCs w:val="24"/>
              </w:rPr>
            </w:pPr>
            <w:r>
              <w:rPr>
                <w:szCs w:val="24"/>
              </w:rPr>
              <w:t>L’opération ne rémunère pas :</w:t>
            </w:r>
          </w:p>
          <w:p w:rsidR="0035701C" w:rsidRDefault="00FB561B" w:rsidP="00FB561B">
            <w:pPr>
              <w:numPr>
                <w:ilvl w:val="0"/>
                <w:numId w:val="792"/>
              </w:numPr>
              <w:spacing w:before="240" w:after="0"/>
              <w:ind w:hanging="210"/>
              <w:jc w:val="left"/>
              <w:rPr>
                <w:szCs w:val="24"/>
              </w:rPr>
            </w:pPr>
            <w:r>
              <w:rPr>
                <w:szCs w:val="24"/>
              </w:rPr>
              <w:t>Le maintien des prairies permanentes</w:t>
            </w:r>
          </w:p>
          <w:p w:rsidR="0035701C" w:rsidRDefault="00FB561B" w:rsidP="00FB561B">
            <w:pPr>
              <w:numPr>
                <w:ilvl w:val="0"/>
                <w:numId w:val="792"/>
              </w:numPr>
              <w:spacing w:before="0" w:after="0"/>
              <w:ind w:hanging="210"/>
              <w:jc w:val="left"/>
              <w:rPr>
                <w:szCs w:val="24"/>
              </w:rPr>
            </w:pPr>
            <w:r>
              <w:rPr>
                <w:szCs w:val="24"/>
              </w:rPr>
              <w:t>Les obligations de diversité des assolements</w:t>
            </w:r>
          </w:p>
          <w:p w:rsidR="0035701C" w:rsidRDefault="00FB561B" w:rsidP="00FB561B">
            <w:pPr>
              <w:numPr>
                <w:ilvl w:val="0"/>
                <w:numId w:val="792"/>
              </w:numPr>
              <w:spacing w:before="0" w:after="240"/>
              <w:ind w:hanging="210"/>
              <w:jc w:val="left"/>
              <w:rPr>
                <w:szCs w:val="24"/>
              </w:rPr>
            </w:pPr>
            <w:r>
              <w:rPr>
                <w:szCs w:val="24"/>
              </w:rPr>
              <w:t>Les obligations liées aux surfaces d’intérêt écologique</w:t>
            </w:r>
          </w:p>
          <w:p w:rsidR="0035701C" w:rsidRDefault="00FB561B">
            <w:pPr>
              <w:spacing w:before="240" w:after="240"/>
              <w:jc w:val="left"/>
              <w:rPr>
                <w:szCs w:val="24"/>
              </w:rPr>
            </w:pPr>
            <w:r>
              <w:rPr>
                <w:szCs w:val="24"/>
              </w:rPr>
              <w:t>Il n’y a do</w:t>
            </w:r>
            <w:r>
              <w:rPr>
                <w:szCs w:val="24"/>
              </w:rPr>
              <w:t>nc pas de risque de double paiement pour ce qui concerne les pratiques du verdissement.</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793"/>
              </w:numPr>
              <w:spacing w:before="240" w:after="0"/>
              <w:ind w:hanging="210"/>
              <w:jc w:val="left"/>
              <w:rPr>
                <w:szCs w:val="24"/>
              </w:rPr>
            </w:pPr>
            <w:r>
              <w:rPr>
                <w:szCs w:val="24"/>
              </w:rPr>
              <w:t>Méthode, matériel et coûts : Chambre d’agriculture, entreprises spécialisées PBI BIOBEST KOPERT, FREDON</w:t>
            </w:r>
          </w:p>
          <w:p w:rsidR="0035701C" w:rsidRDefault="00FB561B" w:rsidP="00FB561B">
            <w:pPr>
              <w:numPr>
                <w:ilvl w:val="0"/>
                <w:numId w:val="793"/>
              </w:numPr>
              <w:spacing w:before="0" w:after="0"/>
              <w:ind w:hanging="210"/>
              <w:jc w:val="left"/>
              <w:rPr>
                <w:szCs w:val="24"/>
              </w:rPr>
            </w:pPr>
            <w:r>
              <w:rPr>
                <w:szCs w:val="24"/>
              </w:rPr>
              <w:t xml:space="preserve">Barème des coûts horaires des techniciens : </w:t>
            </w:r>
            <w:r>
              <w:rPr>
                <w:szCs w:val="24"/>
              </w:rPr>
              <w:t>assemblée permanente des chambres d’agriculture (APCA)</w:t>
            </w:r>
          </w:p>
          <w:p w:rsidR="0035701C" w:rsidRDefault="00FB561B" w:rsidP="00FB561B">
            <w:pPr>
              <w:numPr>
                <w:ilvl w:val="0"/>
                <w:numId w:val="793"/>
              </w:numPr>
              <w:spacing w:before="0" w:after="0"/>
              <w:ind w:hanging="210"/>
              <w:jc w:val="left"/>
              <w:rPr>
                <w:szCs w:val="24"/>
              </w:rPr>
            </w:pPr>
            <w:r>
              <w:rPr>
                <w:szCs w:val="24"/>
              </w:rPr>
              <w:t>Surface moyenne engagée par exploitation : surface moyenne engagée en MAE</w:t>
            </w:r>
          </w:p>
          <w:p w:rsidR="0035701C" w:rsidRDefault="00FB561B" w:rsidP="00FB561B">
            <w:pPr>
              <w:numPr>
                <w:ilvl w:val="0"/>
                <w:numId w:val="793"/>
              </w:numPr>
              <w:spacing w:before="0" w:after="240"/>
              <w:ind w:hanging="210"/>
              <w:jc w:val="left"/>
              <w:rPr>
                <w:szCs w:val="24"/>
              </w:rPr>
            </w:pPr>
            <w:r>
              <w:rPr>
                <w:szCs w:val="24"/>
              </w:rPr>
              <w:t>Temps de travail pour la réalisation d’un bilan : experts nationaux</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334125" cy="6981825"/>
                  <wp:effectExtent l="0" t="0" r="0" b="0"/>
                  <wp:docPr id="100216" name="Image 100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7" name=""/>
                          <pic:cNvPicPr>
                            <a:picLocks noChangeAspect="1"/>
                          </pic:cNvPicPr>
                        </pic:nvPicPr>
                        <pic:blipFill>
                          <a:blip r:embed="rId120"/>
                          <a:stretch>
                            <a:fillRect/>
                          </a:stretch>
                        </pic:blipFill>
                        <pic:spPr>
                          <a:xfrm>
                            <a:off x="0" y="0"/>
                            <a:ext cx="6334125" cy="6981825"/>
                          </a:xfrm>
                          <a:prstGeom prst="rect">
                            <a:avLst/>
                          </a:prstGeom>
                        </pic:spPr>
                      </pic:pic>
                    </a:graphicData>
                  </a:graphic>
                </wp:inline>
              </w:drawing>
            </w:r>
          </w:p>
          <w:p w:rsidR="0035701C" w:rsidRDefault="00FB561B">
            <w:pPr>
              <w:pStyle w:val="Pieddepage"/>
              <w:jc w:val="center"/>
            </w:pPr>
            <w:r>
              <w:t>Eau_4_option1</w:t>
            </w:r>
          </w:p>
          <w:p w:rsidR="0035701C" w:rsidRDefault="00FB561B">
            <w:pPr>
              <w:pStyle w:val="Pieddepage"/>
              <w:jc w:val="center"/>
            </w:pPr>
            <w:r>
              <w:rPr>
                <w:noProof/>
                <w:lang w:val="fr-FR" w:eastAsia="fr-FR"/>
              </w:rPr>
              <w:drawing>
                <wp:inline distT="0" distB="0" distL="0" distR="0">
                  <wp:extent cx="6134100" cy="2838450"/>
                  <wp:effectExtent l="0" t="0" r="0" b="0"/>
                  <wp:docPr id="100218" name="Image 100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19" name=""/>
                          <pic:cNvPicPr>
                            <a:picLocks noChangeAspect="1"/>
                          </pic:cNvPicPr>
                        </pic:nvPicPr>
                        <pic:blipFill>
                          <a:blip r:embed="rId121"/>
                          <a:stretch>
                            <a:fillRect/>
                          </a:stretch>
                        </pic:blipFill>
                        <pic:spPr>
                          <a:xfrm>
                            <a:off x="0" y="0"/>
                            <a:ext cx="6134100" cy="2838450"/>
                          </a:xfrm>
                          <a:prstGeom prst="rect">
                            <a:avLst/>
                          </a:prstGeom>
                        </pic:spPr>
                      </pic:pic>
                    </a:graphicData>
                  </a:graphic>
                </wp:inline>
              </w:drawing>
            </w:r>
          </w:p>
          <w:p w:rsidR="0035701C" w:rsidRDefault="00FB561B">
            <w:pPr>
              <w:pStyle w:val="Pieddepage"/>
              <w:jc w:val="center"/>
            </w:pPr>
            <w:r>
              <w:t>Eau_4_option2</w:t>
            </w:r>
          </w:p>
          <w:p w:rsidR="0035701C" w:rsidRDefault="0035701C">
            <w:pPr>
              <w:pStyle w:val="Pieddepage"/>
              <w:jc w:val="center"/>
            </w:pPr>
          </w:p>
        </w:tc>
      </w:tr>
    </w:tbl>
    <w:p w:rsidR="0035701C" w:rsidRDefault="00FB561B">
      <w:pPr>
        <w:pStyle w:val="Titre5"/>
        <w:rPr>
          <w:b w:val="0"/>
        </w:rPr>
      </w:pPr>
      <w:r>
        <w:rPr>
          <w:b w:val="0"/>
        </w:rPr>
        <w:br w:type="page"/>
        <w:t>-33- EAU_5</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794"/>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EAU_ 5 = Mise en place de la lutte biologique contre le pou rouge de Californie sur agrumes.</w:t>
            </w:r>
          </w:p>
          <w:p w:rsidR="0035701C" w:rsidRDefault="00FB561B">
            <w:pPr>
              <w:spacing w:before="240" w:after="240"/>
              <w:jc w:val="left"/>
              <w:rPr>
                <w:szCs w:val="24"/>
              </w:rPr>
            </w:pPr>
            <w:r>
              <w:rPr>
                <w:szCs w:val="24"/>
              </w:rPr>
              <w:t>La lutte biologique</w:t>
            </w:r>
            <w:r>
              <w:rPr>
                <w:szCs w:val="24"/>
              </w:rPr>
              <w:t xml:space="preserve"> consiste à utiliser des auxiliaires de cultures pour lutter contre le développement de certains bio agresseurs spécifiques des cultures (essentiellement des ravageurs). Le recours à la lutte biologique pour un bio agresseur donné permet ainsi de limiter o</w:t>
            </w:r>
            <w:r>
              <w:rPr>
                <w:szCs w:val="24"/>
              </w:rPr>
              <w:t>u supprimer les traitements phytosanitaires visant ce bio agresseur.</w:t>
            </w:r>
          </w:p>
          <w:p w:rsidR="0035701C" w:rsidRDefault="00FB561B">
            <w:pPr>
              <w:spacing w:before="240" w:after="240"/>
              <w:jc w:val="left"/>
              <w:rPr>
                <w:szCs w:val="24"/>
              </w:rPr>
            </w:pPr>
            <w:r>
              <w:rPr>
                <w:szCs w:val="24"/>
              </w:rPr>
              <w:t>Dans le cadre de cet engagement, elle est assimilée aux lâchers d’auxiliaires.</w:t>
            </w:r>
          </w:p>
          <w:p w:rsidR="0035701C" w:rsidRDefault="00FB561B">
            <w:pPr>
              <w:spacing w:before="240" w:after="240"/>
              <w:jc w:val="left"/>
              <w:rPr>
                <w:szCs w:val="24"/>
              </w:rPr>
            </w:pPr>
            <w:r>
              <w:rPr>
                <w:szCs w:val="24"/>
              </w:rPr>
              <w:t>Le pou rouge de Californie est une cochenille diaspine qui attaque les agrumes à deux niveaux : elle affaibl</w:t>
            </w:r>
            <w:r>
              <w:rPr>
                <w:szCs w:val="24"/>
              </w:rPr>
              <w:t>it l’arbre par ses ponctions de sève et se fixe sur les fruits.</w:t>
            </w:r>
          </w:p>
          <w:p w:rsidR="0035701C" w:rsidRDefault="00FB561B">
            <w:pPr>
              <w:spacing w:before="240" w:after="240"/>
              <w:jc w:val="left"/>
              <w:rPr>
                <w:szCs w:val="24"/>
              </w:rPr>
            </w:pPr>
            <w:r>
              <w:rPr>
                <w:szCs w:val="24"/>
              </w:rPr>
              <w:t xml:space="preserve">La mesure vise à remplacer les traitements chimiques contre cet insecte ravageur par le lâcher inondatif de son parasitoïde </w:t>
            </w:r>
            <w:r>
              <w:rPr>
                <w:i/>
                <w:iCs/>
                <w:szCs w:val="24"/>
              </w:rPr>
              <w:t>Aphytis melinus</w:t>
            </w:r>
            <w:r>
              <w:rPr>
                <w:szCs w:val="24"/>
              </w:rPr>
              <w:t xml:space="preserve"> et de </w:t>
            </w:r>
            <w:r>
              <w:rPr>
                <w:i/>
                <w:iCs/>
                <w:szCs w:val="24"/>
              </w:rPr>
              <w:t>Rhizobius lophantae</w:t>
            </w:r>
            <w:r>
              <w:rPr>
                <w:szCs w:val="24"/>
              </w:rPr>
              <w:t>. L’association de ces deux</w:t>
            </w:r>
            <w:r>
              <w:rPr>
                <w:szCs w:val="24"/>
              </w:rPr>
              <w:t xml:space="preserve"> parasitoïdes est plus efficace que le lâcher seul d’</w:t>
            </w:r>
            <w:r>
              <w:rPr>
                <w:i/>
                <w:iCs/>
                <w:szCs w:val="24"/>
              </w:rPr>
              <w:t>Aphytis melinus.</w:t>
            </w:r>
          </w:p>
          <w:p w:rsidR="0035701C" w:rsidRDefault="00FB561B">
            <w:pPr>
              <w:spacing w:before="240" w:after="240"/>
              <w:jc w:val="left"/>
              <w:rPr>
                <w:szCs w:val="24"/>
              </w:rPr>
            </w:pPr>
            <w:r>
              <w:rPr>
                <w:szCs w:val="24"/>
              </w:rPr>
              <w:t xml:space="preserve">En cas de forte infestation, le recours à un traitement chimique (à la charge de l’agriculteur et après avis d’un technicien formalisé dans le cahier de l’exploitant) reste possible. Il </w:t>
            </w:r>
            <w:r>
              <w:rPr>
                <w:szCs w:val="24"/>
              </w:rPr>
              <w:t>doit être positionné sur la première génération en mai car c’est souvent l’essaimage le plus important.</w:t>
            </w:r>
          </w:p>
          <w:p w:rsidR="0035701C" w:rsidRDefault="00FB561B">
            <w:pPr>
              <w:spacing w:before="240" w:after="240"/>
              <w:jc w:val="left"/>
              <w:rPr>
                <w:szCs w:val="24"/>
              </w:rPr>
            </w:pPr>
            <w:r>
              <w:rPr>
                <w:szCs w:val="24"/>
              </w:rPr>
              <w:t>Dès lors, par rapport à la pratique conventionnelle, le nombre de traitement est diminué de moitié.</w:t>
            </w:r>
          </w:p>
          <w:p w:rsidR="0035701C" w:rsidRDefault="00FB561B">
            <w:pPr>
              <w:spacing w:before="240" w:after="240"/>
              <w:jc w:val="left"/>
              <w:rPr>
                <w:szCs w:val="24"/>
              </w:rPr>
            </w:pPr>
            <w:r>
              <w:rPr>
                <w:szCs w:val="24"/>
              </w:rPr>
              <w:t xml:space="preserve">L’Association Régionale d’Expérimentation en Fruits </w:t>
            </w:r>
            <w:r>
              <w:rPr>
                <w:szCs w:val="24"/>
              </w:rPr>
              <w:t>et Légumes en Corse (Areflec), station expérimentale agréée en arboriculture fruitière, étudie les méthodes d’élevages d’insectes au travers de pilotes expérimentaux de production depuis 2005. La mise au point d’une unité de production au service de la pro</w:t>
            </w:r>
            <w:r>
              <w:rPr>
                <w:szCs w:val="24"/>
              </w:rPr>
              <w:t>tection des vergers et de l’environnement a été possible en 2009 et pérennisée, de 2010 à 2012, au travers d’un appel à projet de l’Agence de l’Eau Rhône Méditerranée et Corse « Accompagnement technique des Mesures Agro Environnementales Territorialisées e</w:t>
            </w:r>
            <w:r>
              <w:rPr>
                <w:szCs w:val="24"/>
              </w:rPr>
              <w:t>t de l’Agriculture Biologique sur le territoire Corse », en partenariat avec l’Office de l’Environnement de la Corse.</w:t>
            </w:r>
          </w:p>
          <w:p w:rsidR="0035701C" w:rsidRDefault="00FB561B">
            <w:pPr>
              <w:spacing w:before="240" w:after="240"/>
              <w:jc w:val="left"/>
              <w:rPr>
                <w:szCs w:val="24"/>
              </w:rPr>
            </w:pPr>
            <w:r>
              <w:rPr>
                <w:szCs w:val="24"/>
              </w:rPr>
              <w:t>L’objectif principal est de réduire les risques de pollution des eaux par les produits phytosanitaires.</w:t>
            </w:r>
          </w:p>
          <w:p w:rsidR="0035701C" w:rsidRDefault="00FB561B">
            <w:pPr>
              <w:spacing w:before="240" w:after="240"/>
              <w:jc w:val="left"/>
              <w:rPr>
                <w:szCs w:val="24"/>
              </w:rPr>
            </w:pPr>
            <w:r>
              <w:rPr>
                <w:szCs w:val="24"/>
              </w:rPr>
              <w:t>Cette opération peut être combinée</w:t>
            </w:r>
            <w:r>
              <w:rPr>
                <w:szCs w:val="24"/>
              </w:rPr>
              <w:t xml:space="preserve"> avec d’autres opérations telles que la lutte biologique contre la cochenille asiatique, le piégeage massif contre la mouche méditerranéenne des fruits et/ou la mise en place d’un enherbement au niveau des inter-rangs.</w:t>
            </w:r>
          </w:p>
          <w:p w:rsidR="0035701C" w:rsidRDefault="00FB561B">
            <w:pPr>
              <w:spacing w:before="240" w:after="240"/>
              <w:jc w:val="left"/>
              <w:rPr>
                <w:szCs w:val="24"/>
              </w:rPr>
            </w:pPr>
            <w:r>
              <w:rPr>
                <w:b/>
                <w:bCs/>
                <w:i/>
                <w:iCs/>
                <w:szCs w:val="24"/>
              </w:rPr>
              <w:t>Cahier des charges :</w:t>
            </w:r>
          </w:p>
          <w:p w:rsidR="0035701C" w:rsidRDefault="00FB561B" w:rsidP="00FB561B">
            <w:pPr>
              <w:numPr>
                <w:ilvl w:val="0"/>
                <w:numId w:val="795"/>
              </w:numPr>
              <w:spacing w:before="240" w:after="0"/>
              <w:ind w:hanging="210"/>
              <w:jc w:val="left"/>
              <w:rPr>
                <w:szCs w:val="24"/>
              </w:rPr>
            </w:pPr>
            <w:r>
              <w:rPr>
                <w:szCs w:val="24"/>
              </w:rPr>
              <w:t>L’agriculteur s’</w:t>
            </w:r>
            <w:r>
              <w:rPr>
                <w:szCs w:val="24"/>
              </w:rPr>
              <w:t>engage à respecter le protocole établi par les structures agréées pour la mise en place de la lutte biologique.</w:t>
            </w:r>
          </w:p>
          <w:p w:rsidR="0035701C" w:rsidRDefault="00FB561B" w:rsidP="00FB561B">
            <w:pPr>
              <w:numPr>
                <w:ilvl w:val="0"/>
                <w:numId w:val="795"/>
              </w:numPr>
              <w:spacing w:before="0" w:after="0"/>
              <w:ind w:hanging="210"/>
              <w:jc w:val="left"/>
              <w:rPr>
                <w:szCs w:val="24"/>
              </w:rPr>
            </w:pPr>
            <w:r>
              <w:rPr>
                <w:szCs w:val="24"/>
              </w:rPr>
              <w:t xml:space="preserve">Il doit mettre en place un piège à phéromone début mars sur la parcelle concernée par le lâcher du parasitoïde, afin de détecter l’activité du </w:t>
            </w:r>
            <w:r>
              <w:rPr>
                <w:szCs w:val="24"/>
              </w:rPr>
              <w:t>pou rouge et le niveau d’infestation. L’apparition des mâles correspond au stade réceptif des femelles au parasitisme.</w:t>
            </w:r>
          </w:p>
          <w:p w:rsidR="0035701C" w:rsidRDefault="00FB561B" w:rsidP="00FB561B">
            <w:pPr>
              <w:numPr>
                <w:ilvl w:val="0"/>
                <w:numId w:val="795"/>
              </w:numPr>
              <w:spacing w:before="0" w:after="0"/>
              <w:ind w:hanging="210"/>
              <w:jc w:val="left"/>
              <w:rPr>
                <w:szCs w:val="24"/>
              </w:rPr>
            </w:pPr>
            <w:r>
              <w:rPr>
                <w:szCs w:val="24"/>
              </w:rPr>
              <w:t>Il doit réaliser les lâchers, à raison d’un lâcher de 12 500 individus par mois et par hectare d’</w:t>
            </w:r>
            <w:r>
              <w:rPr>
                <w:i/>
                <w:iCs/>
                <w:szCs w:val="24"/>
              </w:rPr>
              <w:t>Aphytis</w:t>
            </w:r>
            <w:r>
              <w:rPr>
                <w:szCs w:val="24"/>
              </w:rPr>
              <w:t xml:space="preserve"> </w:t>
            </w:r>
            <w:r>
              <w:rPr>
                <w:i/>
                <w:iCs/>
                <w:szCs w:val="24"/>
              </w:rPr>
              <w:t>melinus</w:t>
            </w:r>
            <w:r>
              <w:rPr>
                <w:szCs w:val="24"/>
              </w:rPr>
              <w:t xml:space="preserve"> et de 125 individus par </w:t>
            </w:r>
            <w:r>
              <w:rPr>
                <w:szCs w:val="24"/>
              </w:rPr>
              <w:t xml:space="preserve">mois et par hectare de </w:t>
            </w:r>
            <w:r>
              <w:rPr>
                <w:i/>
                <w:iCs/>
                <w:szCs w:val="24"/>
              </w:rPr>
              <w:t>Rhizobius lophantae,</w:t>
            </w:r>
            <w:r>
              <w:rPr>
                <w:szCs w:val="24"/>
              </w:rPr>
              <w:t xml:space="preserve"> tous les mois de mi-juin à mi-octobre, soit 4 lâchers pour un total de 50 000 individus par hectare et par an d’</w:t>
            </w:r>
            <w:r>
              <w:rPr>
                <w:i/>
                <w:iCs/>
                <w:szCs w:val="24"/>
              </w:rPr>
              <w:t>Aphytis</w:t>
            </w:r>
            <w:r>
              <w:rPr>
                <w:szCs w:val="24"/>
              </w:rPr>
              <w:t xml:space="preserve"> </w:t>
            </w:r>
            <w:r>
              <w:rPr>
                <w:i/>
                <w:iCs/>
                <w:szCs w:val="24"/>
              </w:rPr>
              <w:t xml:space="preserve">melinus </w:t>
            </w:r>
            <w:r>
              <w:rPr>
                <w:szCs w:val="24"/>
              </w:rPr>
              <w:t xml:space="preserve">et 500 individus par hectare et par an de </w:t>
            </w:r>
            <w:r>
              <w:rPr>
                <w:i/>
                <w:iCs/>
                <w:szCs w:val="24"/>
              </w:rPr>
              <w:t>Rhizobius lophantae</w:t>
            </w:r>
            <w:r>
              <w:rPr>
                <w:szCs w:val="24"/>
              </w:rPr>
              <w:t>.</w:t>
            </w:r>
          </w:p>
          <w:p w:rsidR="0035701C" w:rsidRDefault="00FB561B" w:rsidP="00FB561B">
            <w:pPr>
              <w:numPr>
                <w:ilvl w:val="0"/>
                <w:numId w:val="795"/>
              </w:numPr>
              <w:spacing w:before="0" w:after="0"/>
              <w:ind w:hanging="210"/>
              <w:jc w:val="left"/>
              <w:rPr>
                <w:szCs w:val="24"/>
              </w:rPr>
            </w:pPr>
            <w:r>
              <w:rPr>
                <w:szCs w:val="24"/>
              </w:rPr>
              <w:t>Il doit assurer l’enr</w:t>
            </w:r>
            <w:r>
              <w:rPr>
                <w:szCs w:val="24"/>
              </w:rPr>
              <w:t>egistrement des différentes interventions et des pratiques réalisées dans le cahier de l’exploitant. L’enregistrement des pratiques est une obligation pendant toute la durée de l’engagement, permettant ainsi de vérifier l’atteinte de l’objectif sur la duré</w:t>
            </w:r>
            <w:r>
              <w:rPr>
                <w:szCs w:val="24"/>
              </w:rPr>
              <w:t>e du contrat.</w:t>
            </w:r>
          </w:p>
          <w:p w:rsidR="0035701C" w:rsidRDefault="00FB561B" w:rsidP="00FB561B">
            <w:pPr>
              <w:numPr>
                <w:ilvl w:val="0"/>
                <w:numId w:val="795"/>
              </w:numPr>
              <w:spacing w:before="0" w:after="240"/>
              <w:ind w:hanging="210"/>
              <w:jc w:val="left"/>
              <w:rPr>
                <w:szCs w:val="24"/>
              </w:rPr>
            </w:pPr>
            <w:r>
              <w:rPr>
                <w:szCs w:val="24"/>
              </w:rPr>
              <w:t>Il doit réaliser un bilan annuel de suivi. L’élaboration de ce bilan est obligatoire afin de garantir de bonnes conditions d’appui technique à la réduction de ces intrants. Il permettra d’évaluer la pertinence des options techniques retenues,</w:t>
            </w:r>
            <w:r>
              <w:rPr>
                <w:szCs w:val="24"/>
              </w:rPr>
              <w:t xml:space="preserve"> de s’assurer de l’atteinte des objectifs de résultat et d’optimiser l’efficacité de la solution agronomique mise en œuvre. Ce bilan annuel doit être réalisé chaque année par l’agriculteur et deux fois avec l’appui d’un technicien</w:t>
            </w:r>
          </w:p>
          <w:p w:rsidR="0035701C" w:rsidRDefault="0035701C">
            <w:pPr>
              <w:pStyle w:val="Corpsdetexte"/>
            </w:pPr>
          </w:p>
        </w:tc>
      </w:tr>
    </w:tbl>
    <w:p w:rsidR="0035701C" w:rsidRDefault="00FB561B">
      <w:pPr>
        <w:pStyle w:val="Titre6"/>
      </w:pPr>
      <w:r>
        <w:t>Type de soutien</w:t>
      </w:r>
    </w:p>
    <w:p w:rsidR="0035701C" w:rsidRDefault="00FB561B">
      <w:r>
        <w:t>Type de</w:t>
      </w:r>
      <w:r>
        <w:t xml:space="preserv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796"/>
              </w:numPr>
              <w:spacing w:before="240" w:after="0"/>
              <w:ind w:hanging="210"/>
              <w:jc w:val="left"/>
              <w:rPr>
                <w:szCs w:val="24"/>
              </w:rPr>
            </w:pPr>
            <w:r>
              <w:rPr>
                <w:szCs w:val="24"/>
              </w:rPr>
              <w:t xml:space="preserve">les </w:t>
            </w:r>
            <w:r>
              <w:rPr>
                <w:szCs w:val="24"/>
              </w:rPr>
              <w:t>exigences établies en vertu de l’article 93 du règlement UE n° 1306/2013 et de l’article 4.1c points ii) et iii) du règlement UE n°1307/2013,</w:t>
            </w:r>
          </w:p>
          <w:p w:rsidR="0035701C" w:rsidRDefault="00FB561B" w:rsidP="00FB561B">
            <w:pPr>
              <w:numPr>
                <w:ilvl w:val="0"/>
                <w:numId w:val="796"/>
              </w:numPr>
              <w:spacing w:before="0" w:after="0"/>
              <w:ind w:hanging="210"/>
              <w:jc w:val="left"/>
              <w:rPr>
                <w:szCs w:val="24"/>
              </w:rPr>
            </w:pPr>
            <w:r>
              <w:rPr>
                <w:szCs w:val="24"/>
              </w:rPr>
              <w:t>la circulaire nationale fixant les règles relatives aux bonnes conduites agricoles et environnementales (BCAE).</w:t>
            </w:r>
          </w:p>
          <w:p w:rsidR="0035701C" w:rsidRDefault="00FB561B" w:rsidP="00FB561B">
            <w:pPr>
              <w:numPr>
                <w:ilvl w:val="0"/>
                <w:numId w:val="796"/>
              </w:numPr>
              <w:spacing w:before="0" w:after="240"/>
              <w:ind w:hanging="210"/>
              <w:jc w:val="left"/>
              <w:rPr>
                <w:szCs w:val="24"/>
              </w:rPr>
            </w:pPr>
            <w:r>
              <w:rPr>
                <w:szCs w:val="24"/>
              </w:rPr>
              <w:t>l’arrêté préfectoral régional en vigueur en Corse fixant les règles relatives aux bonnes conduites agricoles et environnementales (BCAE).</w:t>
            </w:r>
          </w:p>
          <w:p w:rsidR="0035701C" w:rsidRDefault="00FB561B">
            <w:pPr>
              <w:spacing w:before="240" w:after="240"/>
              <w:jc w:val="left"/>
              <w:rPr>
                <w:szCs w:val="24"/>
              </w:rPr>
            </w:pPr>
            <w:r>
              <w:rPr>
                <w:szCs w:val="24"/>
              </w:rPr>
              <w:t>Afin d’exclure tout double paiement, les pratiques visées à l’article 43 du règlement UE n° 1307/2013 sont prises en c</w:t>
            </w:r>
            <w:r>
              <w:rPr>
                <w:szCs w:val="24"/>
              </w:rPr>
              <w:t>ompte dans le calcul des surcoûts et manques à gagner.</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les surcoûts, manques à gagner et éventuels coûts d’opportunité et de tran</w:t>
            </w:r>
            <w:r>
              <w:rPr>
                <w:szCs w:val="24"/>
              </w:rPr>
              <w:t>saction générés par le respect des éléments contractualisés.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Couverts éligibles :</w:t>
            </w:r>
            <w:r>
              <w:rPr>
                <w:szCs w:val="24"/>
              </w:rPr>
              <w:t xml:space="preserve"> Arboriculture (agrumiculture).</w:t>
            </w:r>
          </w:p>
          <w:p w:rsidR="0035701C" w:rsidRDefault="00FB561B">
            <w:pPr>
              <w:spacing w:before="240" w:after="240"/>
              <w:jc w:val="left"/>
              <w:rPr>
                <w:szCs w:val="24"/>
              </w:rPr>
            </w:pPr>
            <w:r>
              <w:rPr>
                <w:b/>
                <w:bCs/>
                <w:i/>
                <w:iCs/>
                <w:szCs w:val="24"/>
              </w:rPr>
              <w:t>Diagnostic d’exploitation :</w:t>
            </w:r>
          </w:p>
          <w:p w:rsidR="0035701C" w:rsidRDefault="00FB561B">
            <w:pPr>
              <w:spacing w:before="240" w:after="240"/>
              <w:jc w:val="left"/>
              <w:rPr>
                <w:szCs w:val="24"/>
              </w:rPr>
            </w:pPr>
            <w:r>
              <w:rPr>
                <w:szCs w:val="24"/>
              </w:rPr>
              <w:t xml:space="preserve">La réalisation d’un diagnostic d’exploitation est une obligation pour la souscription </w:t>
            </w:r>
            <w:r>
              <w:rPr>
                <w:szCs w:val="24"/>
              </w:rPr>
              <w:t>de cette opération.</w:t>
            </w:r>
          </w:p>
          <w:p w:rsidR="0035701C" w:rsidRDefault="00FB561B">
            <w:pPr>
              <w:spacing w:before="240" w:after="240"/>
              <w:jc w:val="left"/>
              <w:rPr>
                <w:szCs w:val="24"/>
              </w:rPr>
            </w:pPr>
            <w:r>
              <w:rPr>
                <w:szCs w:val="24"/>
              </w:rPr>
              <w:t>Il permettra de mettre en évidence ou non la présence d’autres cochenilles et de définir l’efficacité de la mesure. En effet, l’utilisation de produits phytosanitaires contre celles-ci serait nuisible pour les parasitoïdes du pou rouge.</w:t>
            </w:r>
            <w:r>
              <w:rPr>
                <w:szCs w:val="24"/>
              </w:rPr>
              <w:t xml:space="preserve"> D’autre part, ce diagnostic permettra de cibler les zones infestées de l’exploitation et donc les zones où les lâchers seront possibles. Il sera réalisé avec l’appui de structures agréées en arboriculture fruitière.</w:t>
            </w:r>
          </w:p>
          <w:p w:rsidR="0035701C" w:rsidRDefault="00FB561B">
            <w:pPr>
              <w:spacing w:before="240" w:after="240"/>
              <w:jc w:val="left"/>
              <w:rPr>
                <w:szCs w:val="24"/>
              </w:rPr>
            </w:pPr>
            <w:r>
              <w:rPr>
                <w:szCs w:val="24"/>
              </w:rPr>
              <w:t>Le diagnostic d’exploitation fera appar</w:t>
            </w:r>
            <w:r>
              <w:rPr>
                <w:szCs w:val="24"/>
              </w:rPr>
              <w:t>aître les différentes possibilités de combinaison avec d’autres opérations.</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Afin d’éviter le double</w:t>
            </w:r>
            <w:r>
              <w:rPr>
                <w:szCs w:val="24"/>
              </w:rPr>
              <w:t xml:space="preserve"> paiement du coût de transaction concernant l’élaboration du bilan annuel de la stratégie des cultures :</w:t>
            </w:r>
          </w:p>
          <w:p w:rsidR="0035701C" w:rsidRDefault="00FB561B">
            <w:pPr>
              <w:spacing w:before="240" w:after="240"/>
              <w:jc w:val="left"/>
              <w:rPr>
                <w:szCs w:val="24"/>
              </w:rPr>
            </w:pPr>
            <w:r>
              <w:rPr>
                <w:szCs w:val="24"/>
              </w:rPr>
              <w:t>Option 1 (si l’opération est souscrite seule ou si elle est la première souscrite, le bilan s’ajoutera obligatoirement à cette opération) :</w:t>
            </w:r>
          </w:p>
          <w:p w:rsidR="0035701C" w:rsidRDefault="00FB561B">
            <w:pPr>
              <w:spacing w:before="240" w:after="240"/>
              <w:jc w:val="left"/>
              <w:rPr>
                <w:szCs w:val="24"/>
              </w:rPr>
            </w:pPr>
            <w:r>
              <w:rPr>
                <w:szCs w:val="24"/>
              </w:rPr>
              <w:t xml:space="preserve">Le montant </w:t>
            </w:r>
            <w:r>
              <w:rPr>
                <w:szCs w:val="24"/>
              </w:rPr>
              <w:t>unitaire est fixé à 489,14 € /ha/an.</w:t>
            </w:r>
          </w:p>
          <w:p w:rsidR="0035701C" w:rsidRDefault="00FB561B">
            <w:pPr>
              <w:spacing w:before="240" w:after="240"/>
              <w:jc w:val="left"/>
              <w:rPr>
                <w:szCs w:val="24"/>
              </w:rPr>
            </w:pPr>
            <w:r>
              <w:rPr>
                <w:szCs w:val="24"/>
              </w:rPr>
              <w:t>Option 2 (si l’opération est souscrite avec d’autres opérations le bilan ne pourra être comptabilisé qu’une seule fois) :</w:t>
            </w:r>
          </w:p>
          <w:p w:rsidR="0035701C" w:rsidRDefault="00FB561B">
            <w:pPr>
              <w:spacing w:before="240" w:after="240"/>
              <w:jc w:val="left"/>
              <w:rPr>
                <w:szCs w:val="24"/>
              </w:rPr>
            </w:pPr>
            <w:r>
              <w:rPr>
                <w:szCs w:val="24"/>
              </w:rPr>
              <w:t>Le montant unitaire est fixé à 471,67 € /ha/an pour les lâchers d’auxiliaires contre le pou rouge</w:t>
            </w:r>
            <w:r>
              <w:rPr>
                <w:szCs w:val="24"/>
              </w:rPr>
              <w:t xml:space="preserve"> de Californie.</w:t>
            </w:r>
          </w:p>
          <w:p w:rsidR="0035701C" w:rsidRDefault="00FB561B">
            <w:pPr>
              <w:spacing w:before="240" w:after="240"/>
              <w:jc w:val="left"/>
              <w:rPr>
                <w:szCs w:val="24"/>
              </w:rPr>
            </w:pPr>
            <w:r>
              <w:rPr>
                <w:szCs w:val="24"/>
              </w:rPr>
              <w:t>En cas de combinaison d'opérations sur une même parcelle, le montant de l’aide sera limité au maximum à 900€/ha.</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w:t>
            </w:r>
            <w:r>
              <w:rPr>
                <w:szCs w:val="24"/>
              </w:rPr>
              <w:t>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Détermination et définition des éléments du niveau de référence applicable, qui doivent inclure les normes obligatoires établies</w:t>
      </w:r>
      <w:r>
        <w:t xml:space="preserve"> en application du titre VI, chapitre I, du règlement (UE) n° 1306/2013 du Parlement européen et du Conseil, les critères pertinents et les activités minimales établies en application de l'article 4, paragraphe 1, point c) ii) et c) iii), du règlement (UE)</w:t>
      </w:r>
      <w:r>
        <w:t xml:space="preserve"> n° 1307/2013 du Parlement européen et du Conseil, les exigences minimales applicables à l'utilisation des engrais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ind w:left="103"/>
              <w:jc w:val="left"/>
              <w:rPr>
                <w:szCs w:val="24"/>
              </w:rPr>
            </w:pPr>
            <w:r>
              <w:rPr>
                <w:szCs w:val="24"/>
              </w:rPr>
              <w:t>Par ail</w:t>
            </w:r>
            <w:r>
              <w:rPr>
                <w:szCs w:val="24"/>
              </w:rPr>
              <w:t>leurs, si les pratiques rémunérées au titre de la présente opération sont rendues obligatoires sur des zones au titre de la protection de la biodiversité (notamment des zones classées au titre des réserves naturelles des arrêtés de protection de biotopes),</w:t>
            </w:r>
            <w:r>
              <w:rPr>
                <w:szCs w:val="24"/>
              </w:rPr>
              <w:t xml:space="preserve"> celle-ci ne peut être ouverte sur les zones concernées.</w:t>
            </w:r>
          </w:p>
          <w:p w:rsidR="0035701C" w:rsidRDefault="00FB561B">
            <w:pPr>
              <w:spacing w:before="240" w:after="240"/>
              <w:jc w:val="left"/>
              <w:rPr>
                <w:szCs w:val="24"/>
              </w:rPr>
            </w:pPr>
            <w:r>
              <w:rPr>
                <w:szCs w:val="24"/>
              </w:rPr>
              <w:t> </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293772"/>
                  <wp:effectExtent l="0" t="0" r="0" b="0"/>
                  <wp:docPr id="100220" name="Image 100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1" name=""/>
                          <pic:cNvPicPr>
                            <a:picLocks noChangeAspect="1"/>
                          </pic:cNvPicPr>
                        </pic:nvPicPr>
                        <pic:blipFill>
                          <a:blip r:embed="rId122"/>
                          <a:stretch>
                            <a:fillRect/>
                          </a:stretch>
                        </pic:blipFill>
                        <pic:spPr>
                          <a:xfrm>
                            <a:off x="0" y="0"/>
                            <a:ext cx="6629400" cy="1293772"/>
                          </a:xfrm>
                          <a:prstGeom prst="rect">
                            <a:avLst/>
                          </a:prstGeom>
                        </pic:spPr>
                      </pic:pic>
                    </a:graphicData>
                  </a:graphic>
                </wp:inline>
              </w:drawing>
            </w:r>
          </w:p>
          <w:p w:rsidR="0035701C" w:rsidRDefault="00FB561B">
            <w:pPr>
              <w:pStyle w:val="Pieddepage"/>
              <w:jc w:val="center"/>
            </w:pPr>
            <w:r>
              <w:t>Eau_5_lignebase</w:t>
            </w:r>
          </w:p>
          <w:p w:rsidR="0035701C" w:rsidRDefault="0035701C">
            <w:pPr>
              <w:pStyle w:val="Pieddepage"/>
              <w:jc w:val="center"/>
            </w:pPr>
          </w:p>
        </w:tc>
      </w:tr>
    </w:tbl>
    <w:p w:rsidR="0035701C" w:rsidRDefault="00FB561B">
      <w:r>
        <w:t xml:space="preserve">Les exigences minimales relatives à l'utilisation d'engrais doivent comprendre, entre autres, le respect des codes de bonnes pratiques introduits au titre de la directive </w:t>
      </w:r>
      <w:r>
        <w:t>91/676/CEE pour les exploitations situées en dehors des zones vulnérables aux nitrates, et des exigences concernant la pollution au phosphore; les exigences minimales relatives à l'utilisation de produits phytosanitaires doivent comprendre, entre autres, l</w:t>
      </w:r>
      <w:r>
        <w:t>es principes généraux de la lutte intégrée contre les ennemis des cultures introduits par la directive 2009/128/CE du Parlement européen et du Conseil, l’obligation de détenir une autorisation d’utiliser les produits, de satisfaire aux conditions de format</w:t>
      </w:r>
      <w:r>
        <w:t>ion, d’assurer un stockage sûr et de contrôler les équipements destinés à l’épandage ainsi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Dans cette </w:t>
            </w:r>
            <w:r>
              <w:rPr>
                <w:szCs w:val="24"/>
              </w:rPr>
              <w:t>opération, il n’y a pas d’interaction avec ces exigences.</w:t>
            </w:r>
          </w:p>
          <w:p w:rsidR="0035701C" w:rsidRDefault="0035701C">
            <w:pPr>
              <w:pStyle w:val="Corpsdetexte"/>
            </w:pPr>
          </w:p>
        </w:tc>
      </w:tr>
    </w:tbl>
    <w:p w:rsidR="0035701C" w:rsidRDefault="00FB561B">
      <w:r>
        <w:t>Liste des races locales 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Description de la méthode et d</w:t>
      </w:r>
      <w:r>
        <w:t>es hypothèses et paramètres agronomiques y compris la description des exigences minimales visées à l'article 29, paragraphe 2, du règlement (UE) n° 1305/2013 correspondant à chaque type particulier d'engagement, utilisés comme référence pour les calculs ju</w:t>
      </w:r>
      <w:r>
        <w:t>stifiant les coûts supplémentaires et les pertes de revenus résultant de l’engagement pris et le niveau des coûts des transactions; le cas échéant, cette méthode tient compte des aides accordées au titre du règlement (UE) n° 1307/2013, et notamment des pai</w:t>
      </w:r>
      <w:r>
        <w:t>ements en faveur des pratiques agricoles bénéfiques pour le climat et l’environnement, afin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Méthode générale </w:t>
            </w:r>
            <w:r>
              <w:rPr>
                <w:b/>
                <w:bCs/>
                <w:i/>
                <w:iCs/>
                <w:szCs w:val="24"/>
              </w:rPr>
              <w:t xml:space="preserve">de calcul du montant : </w:t>
            </w:r>
            <w:r>
              <w:rPr>
                <w:szCs w:val="24"/>
              </w:rPr>
              <w:t>Le montant de l’aide est calculé sur la base de l’utilisation du matériel et du temps de travail supplémentaire nécessaire pour la mise en place de la lutte biologique ainsi que les coûts de transaction générés par le respect des élé</w:t>
            </w:r>
            <w:r>
              <w:rPr>
                <w:szCs w:val="24"/>
              </w:rPr>
              <w:t>ments contractualisés.</w:t>
            </w:r>
          </w:p>
          <w:p w:rsidR="0035701C" w:rsidRDefault="00FB561B">
            <w:pPr>
              <w:spacing w:before="240" w:after="240"/>
              <w:jc w:val="left"/>
              <w:rPr>
                <w:szCs w:val="24"/>
              </w:rPr>
            </w:pPr>
            <w:r>
              <w:rPr>
                <w:b/>
                <w:bCs/>
                <w:i/>
                <w:iCs/>
                <w:szCs w:val="24"/>
              </w:rPr>
              <w:t>Pratiques de références </w:t>
            </w:r>
            <w:r>
              <w:rPr>
                <w:szCs w:val="24"/>
              </w:rPr>
              <w:t>: La méthode de lutte actuelle consiste à positionner deux traitements insecticides sur les deux essaimages les plus importants, la première et troisième génération. Ceux-ci sont déclenchés en mai et septembre</w:t>
            </w:r>
            <w:r>
              <w:rPr>
                <w:szCs w:val="24"/>
              </w:rPr>
              <w:t xml:space="preserve"> sur la base des avertissements diffusés par le réseau de suivi.</w:t>
            </w:r>
          </w:p>
          <w:p w:rsidR="0035701C" w:rsidRDefault="00FB561B">
            <w:pPr>
              <w:spacing w:before="240" w:after="240"/>
              <w:jc w:val="left"/>
              <w:rPr>
                <w:szCs w:val="24"/>
              </w:rPr>
            </w:pPr>
            <w:r>
              <w:rPr>
                <w:b/>
                <w:bCs/>
                <w:i/>
                <w:iCs/>
                <w:szCs w:val="24"/>
              </w:rPr>
              <w:t xml:space="preserve">Verdissement : </w:t>
            </w:r>
          </w:p>
          <w:p w:rsidR="0035701C" w:rsidRDefault="00FB561B">
            <w:pPr>
              <w:spacing w:before="240" w:after="240"/>
              <w:jc w:val="left"/>
              <w:rPr>
                <w:szCs w:val="24"/>
              </w:rPr>
            </w:pPr>
            <w:r>
              <w:rPr>
                <w:szCs w:val="24"/>
              </w:rPr>
              <w:t>L’opération ne rémunère pas :</w:t>
            </w:r>
          </w:p>
          <w:p w:rsidR="0035701C" w:rsidRDefault="00FB561B" w:rsidP="00FB561B">
            <w:pPr>
              <w:numPr>
                <w:ilvl w:val="0"/>
                <w:numId w:val="797"/>
              </w:numPr>
              <w:spacing w:before="240" w:after="0"/>
              <w:ind w:hanging="210"/>
              <w:jc w:val="left"/>
              <w:rPr>
                <w:szCs w:val="24"/>
              </w:rPr>
            </w:pPr>
            <w:r>
              <w:rPr>
                <w:szCs w:val="24"/>
              </w:rPr>
              <w:t>Le maintien des prairies permanentes</w:t>
            </w:r>
          </w:p>
          <w:p w:rsidR="0035701C" w:rsidRDefault="00FB561B" w:rsidP="00FB561B">
            <w:pPr>
              <w:numPr>
                <w:ilvl w:val="0"/>
                <w:numId w:val="797"/>
              </w:numPr>
              <w:spacing w:before="0" w:after="0"/>
              <w:ind w:hanging="210"/>
              <w:jc w:val="left"/>
              <w:rPr>
                <w:szCs w:val="24"/>
              </w:rPr>
            </w:pPr>
            <w:r>
              <w:rPr>
                <w:szCs w:val="24"/>
              </w:rPr>
              <w:t>Les obligations de diversité des assolements</w:t>
            </w:r>
          </w:p>
          <w:p w:rsidR="0035701C" w:rsidRDefault="00FB561B" w:rsidP="00FB561B">
            <w:pPr>
              <w:numPr>
                <w:ilvl w:val="0"/>
                <w:numId w:val="797"/>
              </w:numPr>
              <w:spacing w:before="0" w:after="240"/>
              <w:ind w:hanging="210"/>
              <w:jc w:val="left"/>
              <w:rPr>
                <w:szCs w:val="24"/>
              </w:rPr>
            </w:pPr>
            <w:r>
              <w:rPr>
                <w:szCs w:val="24"/>
              </w:rPr>
              <w:t>Les obligations liées aux surfaces d’intérêt écologique</w:t>
            </w:r>
          </w:p>
          <w:p w:rsidR="0035701C" w:rsidRDefault="00FB561B">
            <w:pPr>
              <w:spacing w:before="240" w:after="240"/>
              <w:jc w:val="left"/>
              <w:rPr>
                <w:szCs w:val="24"/>
              </w:rPr>
            </w:pPr>
            <w:r>
              <w:rPr>
                <w:szCs w:val="24"/>
              </w:rPr>
              <w:t xml:space="preserve">Il n’y </w:t>
            </w:r>
            <w:r>
              <w:rPr>
                <w:szCs w:val="24"/>
              </w:rPr>
              <w:t>a donc pas de risque de double paiement pour ce qui concerne les pratiques du verdissement.</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798"/>
              </w:numPr>
              <w:spacing w:before="240" w:after="0"/>
              <w:ind w:hanging="210"/>
              <w:jc w:val="left"/>
              <w:rPr>
                <w:szCs w:val="24"/>
              </w:rPr>
            </w:pPr>
            <w:r>
              <w:rPr>
                <w:szCs w:val="24"/>
              </w:rPr>
              <w:t>Méthode de lutte biologique (piégeage et lâchers parasitoïde) et coût parasitoïde : AREFLEC station expérimentale</w:t>
            </w:r>
          </w:p>
          <w:p w:rsidR="0035701C" w:rsidRDefault="00FB561B" w:rsidP="00FB561B">
            <w:pPr>
              <w:numPr>
                <w:ilvl w:val="0"/>
                <w:numId w:val="798"/>
              </w:numPr>
              <w:spacing w:before="0" w:after="0"/>
              <w:ind w:hanging="210"/>
              <w:jc w:val="left"/>
              <w:rPr>
                <w:szCs w:val="24"/>
              </w:rPr>
            </w:pPr>
            <w:r>
              <w:rPr>
                <w:szCs w:val="24"/>
              </w:rPr>
              <w:t>Coût du piège à phéromone : CA</w:t>
            </w:r>
            <w:r>
              <w:rPr>
                <w:szCs w:val="24"/>
              </w:rPr>
              <w:t>NICO</w:t>
            </w:r>
          </w:p>
          <w:p w:rsidR="0035701C" w:rsidRDefault="00FB561B" w:rsidP="00FB561B">
            <w:pPr>
              <w:numPr>
                <w:ilvl w:val="0"/>
                <w:numId w:val="798"/>
              </w:numPr>
              <w:spacing w:before="0" w:after="0"/>
              <w:ind w:hanging="210"/>
              <w:jc w:val="left"/>
              <w:rPr>
                <w:szCs w:val="24"/>
              </w:rPr>
            </w:pPr>
            <w:r>
              <w:rPr>
                <w:szCs w:val="24"/>
              </w:rPr>
              <w:t>barème des coûts horaires des techniciens : assemblée permanente des chambres d’agriculture (APCA)</w:t>
            </w:r>
          </w:p>
          <w:p w:rsidR="0035701C" w:rsidRDefault="00FB561B" w:rsidP="00FB561B">
            <w:pPr>
              <w:numPr>
                <w:ilvl w:val="0"/>
                <w:numId w:val="798"/>
              </w:numPr>
              <w:spacing w:before="0" w:after="0"/>
              <w:ind w:hanging="210"/>
              <w:jc w:val="left"/>
              <w:rPr>
                <w:szCs w:val="24"/>
              </w:rPr>
            </w:pPr>
            <w:r>
              <w:rPr>
                <w:szCs w:val="24"/>
              </w:rPr>
              <w:t>Coût du matériel : Bureau de Coordination du Machinisme Agricole (tarifs 2012)</w:t>
            </w:r>
          </w:p>
          <w:p w:rsidR="0035701C" w:rsidRDefault="00FB561B" w:rsidP="00FB561B">
            <w:pPr>
              <w:numPr>
                <w:ilvl w:val="0"/>
                <w:numId w:val="798"/>
              </w:numPr>
              <w:spacing w:before="0" w:after="0"/>
              <w:ind w:hanging="210"/>
              <w:jc w:val="left"/>
              <w:rPr>
                <w:szCs w:val="24"/>
              </w:rPr>
            </w:pPr>
            <w:r>
              <w:rPr>
                <w:szCs w:val="24"/>
              </w:rPr>
              <w:t>Surface moyenne engagée par exploitation : surface moyenne engagée en MAE</w:t>
            </w:r>
          </w:p>
          <w:p w:rsidR="0035701C" w:rsidRDefault="00FB561B" w:rsidP="00FB561B">
            <w:pPr>
              <w:numPr>
                <w:ilvl w:val="0"/>
                <w:numId w:val="798"/>
              </w:numPr>
              <w:spacing w:before="0" w:after="240"/>
              <w:ind w:hanging="210"/>
              <w:jc w:val="left"/>
              <w:rPr>
                <w:szCs w:val="24"/>
              </w:rPr>
            </w:pPr>
            <w:r>
              <w:rPr>
                <w:szCs w:val="24"/>
              </w:rPr>
              <w:t>Temps de travail pour la réalisation d’un bilan : experts nationaux</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5946508" cy="8280400"/>
                  <wp:effectExtent l="0" t="0" r="0" b="0"/>
                  <wp:docPr id="100222" name="Image 100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3" name=""/>
                          <pic:cNvPicPr>
                            <a:picLocks noChangeAspect="1"/>
                          </pic:cNvPicPr>
                        </pic:nvPicPr>
                        <pic:blipFill>
                          <a:blip r:embed="rId123"/>
                          <a:stretch>
                            <a:fillRect/>
                          </a:stretch>
                        </pic:blipFill>
                        <pic:spPr>
                          <a:xfrm>
                            <a:off x="0" y="0"/>
                            <a:ext cx="5946508" cy="8280400"/>
                          </a:xfrm>
                          <a:prstGeom prst="rect">
                            <a:avLst/>
                          </a:prstGeom>
                        </pic:spPr>
                      </pic:pic>
                    </a:graphicData>
                  </a:graphic>
                </wp:inline>
              </w:drawing>
            </w:r>
          </w:p>
          <w:p w:rsidR="0035701C" w:rsidRDefault="00FB561B">
            <w:pPr>
              <w:pStyle w:val="Pieddepage"/>
              <w:jc w:val="center"/>
            </w:pPr>
            <w:r>
              <w:t>Eau_5_option1</w:t>
            </w:r>
          </w:p>
          <w:p w:rsidR="0035701C" w:rsidRDefault="00FB561B">
            <w:pPr>
              <w:pStyle w:val="Pieddepage"/>
              <w:jc w:val="center"/>
            </w:pPr>
            <w:r>
              <w:rPr>
                <w:noProof/>
                <w:lang w:val="fr-FR" w:eastAsia="fr-FR"/>
              </w:rPr>
              <w:drawing>
                <wp:inline distT="0" distB="0" distL="0" distR="0">
                  <wp:extent cx="6343650" cy="5172075"/>
                  <wp:effectExtent l="0" t="0" r="0" b="0"/>
                  <wp:docPr id="100224" name="Image 100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5" name=""/>
                          <pic:cNvPicPr>
                            <a:picLocks noChangeAspect="1"/>
                          </pic:cNvPicPr>
                        </pic:nvPicPr>
                        <pic:blipFill>
                          <a:blip r:embed="rId124"/>
                          <a:stretch>
                            <a:fillRect/>
                          </a:stretch>
                        </pic:blipFill>
                        <pic:spPr>
                          <a:xfrm>
                            <a:off x="0" y="0"/>
                            <a:ext cx="6343650" cy="5172075"/>
                          </a:xfrm>
                          <a:prstGeom prst="rect">
                            <a:avLst/>
                          </a:prstGeom>
                        </pic:spPr>
                      </pic:pic>
                    </a:graphicData>
                  </a:graphic>
                </wp:inline>
              </w:drawing>
            </w:r>
          </w:p>
          <w:p w:rsidR="0035701C" w:rsidRDefault="00FB561B">
            <w:pPr>
              <w:pStyle w:val="Pieddepage"/>
              <w:jc w:val="center"/>
            </w:pPr>
            <w:r>
              <w:t>Eau_5_option2</w:t>
            </w:r>
          </w:p>
          <w:p w:rsidR="0035701C" w:rsidRDefault="0035701C">
            <w:pPr>
              <w:pStyle w:val="Pieddepage"/>
              <w:jc w:val="center"/>
            </w:pPr>
          </w:p>
        </w:tc>
      </w:tr>
    </w:tbl>
    <w:p w:rsidR="0035701C" w:rsidRDefault="00FB561B">
      <w:pPr>
        <w:pStyle w:val="Titre5"/>
        <w:rPr>
          <w:b w:val="0"/>
        </w:rPr>
      </w:pPr>
      <w:r>
        <w:rPr>
          <w:b w:val="0"/>
        </w:rPr>
        <w:br w:type="page"/>
        <w:t>-34- EAU_6</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799"/>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 titre </w:t>
            </w:r>
            <w:r>
              <w:rPr>
                <w:b/>
                <w:bCs/>
                <w:szCs w:val="24"/>
              </w:rPr>
              <w:t>complet : EAU_ 6 = Mise en place de la lutte biologique contre la cochenille asiatique</w:t>
            </w:r>
            <w:r>
              <w:rPr>
                <w:szCs w:val="24"/>
              </w:rPr>
              <w:t xml:space="preserve"> </w:t>
            </w:r>
            <w:r>
              <w:rPr>
                <w:b/>
                <w:bCs/>
                <w:szCs w:val="24"/>
              </w:rPr>
              <w:t>sur agrumes.</w:t>
            </w:r>
          </w:p>
          <w:p w:rsidR="0035701C" w:rsidRDefault="00FB561B">
            <w:pPr>
              <w:spacing w:before="240" w:after="240"/>
              <w:jc w:val="left"/>
              <w:rPr>
                <w:szCs w:val="24"/>
              </w:rPr>
            </w:pPr>
            <w:r>
              <w:rPr>
                <w:szCs w:val="24"/>
              </w:rPr>
              <w:t xml:space="preserve">La lutte biologique consiste à utiliser des auxiliaires de cultures pour lutter contre le développement de certains bio agresseurs spécifiques des cultures </w:t>
            </w:r>
            <w:r>
              <w:rPr>
                <w:szCs w:val="24"/>
              </w:rPr>
              <w:t>(essentiellement des ravageurs). Le recours à la lutte biologique pour un bio agresseur donné permet ainsi de limiter ou supprimer les traitements phytosanitaires visant ce bio agresseur.</w:t>
            </w:r>
          </w:p>
          <w:p w:rsidR="0035701C" w:rsidRDefault="00FB561B">
            <w:pPr>
              <w:spacing w:before="240" w:after="240"/>
              <w:jc w:val="left"/>
              <w:rPr>
                <w:szCs w:val="24"/>
              </w:rPr>
            </w:pPr>
            <w:r>
              <w:rPr>
                <w:szCs w:val="24"/>
              </w:rPr>
              <w:t>Dans le cadre de cet engagement, elle est assimilée aux lâchers d’au</w:t>
            </w:r>
            <w:r>
              <w:rPr>
                <w:szCs w:val="24"/>
              </w:rPr>
              <w:t>xiliaires.</w:t>
            </w:r>
          </w:p>
          <w:p w:rsidR="0035701C" w:rsidRDefault="00FB561B">
            <w:pPr>
              <w:spacing w:before="240" w:after="240"/>
              <w:jc w:val="left"/>
              <w:rPr>
                <w:szCs w:val="24"/>
              </w:rPr>
            </w:pPr>
            <w:r>
              <w:rPr>
                <w:szCs w:val="24"/>
              </w:rPr>
              <w:t>La cochenille asiatique est une cochenille diaspine qui attaque les agrumes à deux niveaux : elle affaiblit l’arbre par ses ponctions de sève et injecte une toxine qui peut tuer l’arbre en 3 à 5 ans si aucune mesure sanitaire n’est prise.</w:t>
            </w:r>
          </w:p>
          <w:p w:rsidR="0035701C" w:rsidRDefault="00FB561B">
            <w:pPr>
              <w:spacing w:before="240" w:after="240"/>
              <w:jc w:val="left"/>
              <w:rPr>
                <w:szCs w:val="24"/>
              </w:rPr>
            </w:pPr>
            <w:r>
              <w:rPr>
                <w:szCs w:val="24"/>
              </w:rPr>
              <w:t>La mes</w:t>
            </w:r>
            <w:r>
              <w:rPr>
                <w:szCs w:val="24"/>
              </w:rPr>
              <w:t xml:space="preserve">ure vise à remplacer les traitements chimiques contre cet insecte ravageur par le lâcher inondatif de son parasitoïde </w:t>
            </w:r>
            <w:r>
              <w:rPr>
                <w:i/>
                <w:iCs/>
                <w:szCs w:val="24"/>
              </w:rPr>
              <w:t>Aphytis yanonensis</w:t>
            </w:r>
            <w:r>
              <w:rPr>
                <w:szCs w:val="24"/>
              </w:rPr>
              <w:t xml:space="preserve"> et de </w:t>
            </w:r>
            <w:r>
              <w:rPr>
                <w:i/>
                <w:iCs/>
                <w:szCs w:val="24"/>
              </w:rPr>
              <w:t>Rhizobius lophantae</w:t>
            </w:r>
            <w:r>
              <w:rPr>
                <w:szCs w:val="24"/>
              </w:rPr>
              <w:t>.</w:t>
            </w:r>
          </w:p>
          <w:p w:rsidR="0035701C" w:rsidRDefault="00FB561B">
            <w:pPr>
              <w:spacing w:before="240" w:after="240"/>
              <w:jc w:val="left"/>
              <w:rPr>
                <w:szCs w:val="24"/>
              </w:rPr>
            </w:pPr>
            <w:r>
              <w:rPr>
                <w:szCs w:val="24"/>
              </w:rPr>
              <w:t>Toutefois et afin de ne pas pénaliser l’agriculteur en cas de forte infestation (plus de 70%</w:t>
            </w:r>
            <w:r>
              <w:rPr>
                <w:szCs w:val="24"/>
              </w:rPr>
              <w:t xml:space="preserve"> des rameaux et feuilles touchés), le recours à un traitement chimique (à la charge de l’agriculteur et après avis d’un technicien formalisé dans le cahier de l’exploitant) reste possible. Il doit être positionné sur la première génération en mai car c’est</w:t>
            </w:r>
            <w:r>
              <w:rPr>
                <w:szCs w:val="24"/>
              </w:rPr>
              <w:t xml:space="preserve"> souvent l’essaimage le plus important.</w:t>
            </w:r>
          </w:p>
          <w:p w:rsidR="0035701C" w:rsidRDefault="00FB561B">
            <w:pPr>
              <w:spacing w:before="240" w:after="240"/>
              <w:jc w:val="left"/>
              <w:rPr>
                <w:szCs w:val="24"/>
              </w:rPr>
            </w:pPr>
            <w:r>
              <w:rPr>
                <w:szCs w:val="24"/>
              </w:rPr>
              <w:t>L’Association Régionale d’Expérimentation en Fruits et Légumes en Corse (Areflec), station expérimentale agréée en arboriculture fruitière, étudie les méthodes d’élevages d’insectes au travers de pilotes expérimentau</w:t>
            </w:r>
            <w:r>
              <w:rPr>
                <w:szCs w:val="24"/>
              </w:rPr>
              <w:t>x de production depuis 2005. Les travaux effectués ont permis de définir les modalités de mise en œuvre de la mesure.</w:t>
            </w:r>
          </w:p>
          <w:p w:rsidR="0035701C" w:rsidRDefault="00FB561B">
            <w:pPr>
              <w:spacing w:before="240" w:after="240"/>
              <w:jc w:val="left"/>
              <w:rPr>
                <w:szCs w:val="24"/>
              </w:rPr>
            </w:pPr>
            <w:r>
              <w:rPr>
                <w:szCs w:val="24"/>
              </w:rPr>
              <w:t>L’objectif principal est de réduire les risques de pollution des eaux par les produits phytosanitaires.</w:t>
            </w:r>
          </w:p>
          <w:p w:rsidR="0035701C" w:rsidRDefault="00FB561B">
            <w:pPr>
              <w:spacing w:before="240" w:after="240"/>
              <w:jc w:val="left"/>
              <w:rPr>
                <w:szCs w:val="24"/>
              </w:rPr>
            </w:pPr>
            <w:r>
              <w:rPr>
                <w:szCs w:val="24"/>
              </w:rPr>
              <w:t>Cette opération peut être combinée</w:t>
            </w:r>
            <w:r>
              <w:rPr>
                <w:szCs w:val="24"/>
              </w:rPr>
              <w:t xml:space="preserve"> avec d’autres opérations telles que la lutte biologique contre le pou rouge de Californie, le piégeage massif contre la mouche méditerranéenne des fruits et/ou la mise en place d’un enherbement au niveau des inter-rangs.</w:t>
            </w:r>
          </w:p>
          <w:p w:rsidR="0035701C" w:rsidRDefault="00FB561B">
            <w:pPr>
              <w:spacing w:before="240" w:after="240"/>
              <w:jc w:val="left"/>
              <w:rPr>
                <w:szCs w:val="24"/>
              </w:rPr>
            </w:pPr>
            <w:r>
              <w:rPr>
                <w:b/>
                <w:bCs/>
                <w:i/>
                <w:iCs/>
                <w:szCs w:val="24"/>
              </w:rPr>
              <w:t xml:space="preserve">Cahier des charges : </w:t>
            </w:r>
          </w:p>
          <w:p w:rsidR="0035701C" w:rsidRDefault="00FB561B" w:rsidP="00FB561B">
            <w:pPr>
              <w:numPr>
                <w:ilvl w:val="0"/>
                <w:numId w:val="800"/>
              </w:numPr>
              <w:spacing w:before="240" w:after="0"/>
              <w:ind w:hanging="210"/>
              <w:jc w:val="left"/>
              <w:rPr>
                <w:szCs w:val="24"/>
              </w:rPr>
            </w:pPr>
            <w:r>
              <w:rPr>
                <w:szCs w:val="24"/>
              </w:rPr>
              <w:t>L’agriculteur s’engage à respecter le protocole établi par les structures agréées pour la mise en place de la lutte biologique.</w:t>
            </w:r>
          </w:p>
          <w:p w:rsidR="0035701C" w:rsidRDefault="00FB561B" w:rsidP="00FB561B">
            <w:pPr>
              <w:numPr>
                <w:ilvl w:val="0"/>
                <w:numId w:val="800"/>
              </w:numPr>
              <w:spacing w:before="0" w:after="0"/>
              <w:ind w:hanging="210"/>
              <w:jc w:val="left"/>
              <w:rPr>
                <w:szCs w:val="24"/>
              </w:rPr>
            </w:pPr>
            <w:r>
              <w:rPr>
                <w:szCs w:val="24"/>
              </w:rPr>
              <w:t>Il doit mettre en place un piège à phéromone début mars sur la parcelle concernée par le lâcher du parasitoïde, afin de détecter</w:t>
            </w:r>
            <w:r>
              <w:rPr>
                <w:szCs w:val="24"/>
              </w:rPr>
              <w:t xml:space="preserve"> l’activité de la cochenille et le niveau d’infestation. L’apparition des mâles correspond au stade réceptif des femelles au parasitisme.</w:t>
            </w:r>
          </w:p>
          <w:p w:rsidR="0035701C" w:rsidRDefault="00FB561B" w:rsidP="00FB561B">
            <w:pPr>
              <w:numPr>
                <w:ilvl w:val="0"/>
                <w:numId w:val="800"/>
              </w:numPr>
              <w:spacing w:before="0" w:after="0"/>
              <w:ind w:hanging="210"/>
              <w:jc w:val="left"/>
              <w:rPr>
                <w:szCs w:val="24"/>
              </w:rPr>
            </w:pPr>
            <w:r>
              <w:rPr>
                <w:szCs w:val="24"/>
              </w:rPr>
              <w:t>Il doit réaliser les lâchers, à raison d’un lâcher de 12 500 individus par mois et par hectare d’</w:t>
            </w:r>
            <w:r>
              <w:rPr>
                <w:i/>
                <w:iCs/>
                <w:szCs w:val="24"/>
              </w:rPr>
              <w:t>Aphytis</w:t>
            </w:r>
            <w:r>
              <w:rPr>
                <w:szCs w:val="24"/>
              </w:rPr>
              <w:t xml:space="preserve"> </w:t>
            </w:r>
            <w:r>
              <w:rPr>
                <w:i/>
                <w:iCs/>
                <w:szCs w:val="24"/>
              </w:rPr>
              <w:t>yanonensis</w:t>
            </w:r>
            <w:r>
              <w:rPr>
                <w:szCs w:val="24"/>
              </w:rPr>
              <w:t xml:space="preserve"> et</w:t>
            </w:r>
            <w:r>
              <w:rPr>
                <w:szCs w:val="24"/>
              </w:rPr>
              <w:t xml:space="preserve"> de 125 individus par mois et par hectare de </w:t>
            </w:r>
            <w:r>
              <w:rPr>
                <w:i/>
                <w:iCs/>
                <w:szCs w:val="24"/>
              </w:rPr>
              <w:t>Rhizobius lophantae,</w:t>
            </w:r>
            <w:r>
              <w:rPr>
                <w:szCs w:val="24"/>
              </w:rPr>
              <w:t xml:space="preserve"> tous les mois de mi-juin à mi-octobre, soit 4 lâchers pour un total de 50 000 individus par hectare et par an d’</w:t>
            </w:r>
            <w:r>
              <w:rPr>
                <w:i/>
                <w:iCs/>
                <w:szCs w:val="24"/>
              </w:rPr>
              <w:t>Aphytis</w:t>
            </w:r>
            <w:r>
              <w:rPr>
                <w:szCs w:val="24"/>
              </w:rPr>
              <w:t xml:space="preserve"> </w:t>
            </w:r>
            <w:r>
              <w:rPr>
                <w:i/>
                <w:iCs/>
                <w:szCs w:val="24"/>
              </w:rPr>
              <w:t>yanonensis</w:t>
            </w:r>
            <w:r>
              <w:rPr>
                <w:szCs w:val="24"/>
              </w:rPr>
              <w:t xml:space="preserve"> et 500 individus par hectare et par an de </w:t>
            </w:r>
            <w:r>
              <w:rPr>
                <w:i/>
                <w:iCs/>
                <w:szCs w:val="24"/>
              </w:rPr>
              <w:t>Rhizobius lophant</w:t>
            </w:r>
            <w:r>
              <w:rPr>
                <w:i/>
                <w:iCs/>
                <w:szCs w:val="24"/>
              </w:rPr>
              <w:t>ae</w:t>
            </w:r>
            <w:r>
              <w:rPr>
                <w:szCs w:val="24"/>
              </w:rPr>
              <w:t>.</w:t>
            </w:r>
          </w:p>
          <w:p w:rsidR="0035701C" w:rsidRDefault="00FB561B" w:rsidP="00FB561B">
            <w:pPr>
              <w:numPr>
                <w:ilvl w:val="0"/>
                <w:numId w:val="800"/>
              </w:numPr>
              <w:spacing w:before="0" w:after="0"/>
              <w:ind w:hanging="210"/>
              <w:jc w:val="left"/>
              <w:rPr>
                <w:szCs w:val="24"/>
              </w:rPr>
            </w:pPr>
            <w:r>
              <w:rPr>
                <w:szCs w:val="24"/>
              </w:rPr>
              <w:t xml:space="preserve">Il doit assurer l’enregistrement des différentes interventions et des pratiques réalisées dans le cahier de l’exploitant. L’enregistrement des pratiques est une obligation pendant toute la durée de l’engagement, permettant ainsi de vérifier l’atteinte </w:t>
            </w:r>
            <w:r>
              <w:rPr>
                <w:szCs w:val="24"/>
              </w:rPr>
              <w:t>de l’objectif sur la durée du contrat.</w:t>
            </w:r>
          </w:p>
          <w:p w:rsidR="0035701C" w:rsidRDefault="00FB561B" w:rsidP="00FB561B">
            <w:pPr>
              <w:numPr>
                <w:ilvl w:val="0"/>
                <w:numId w:val="800"/>
              </w:numPr>
              <w:spacing w:before="0" w:after="240"/>
              <w:ind w:hanging="210"/>
              <w:jc w:val="left"/>
              <w:rPr>
                <w:szCs w:val="24"/>
              </w:rPr>
            </w:pPr>
            <w:r>
              <w:rPr>
                <w:szCs w:val="24"/>
              </w:rPr>
              <w:t xml:space="preserve">Il doit réaliser un bilan annuel de suivi. L’élaboration de ce bilan est obligatoire afin de garantir de bonnes conditions d’appui technique à la réduction de ces intrants. Il permettra d’évaluer la pertinence des </w:t>
            </w:r>
            <w:r>
              <w:rPr>
                <w:szCs w:val="24"/>
              </w:rPr>
              <w:t>options techniques retenues, de s’assurer de l’atteinte des objectifs de résultat et d’optimiser l’efficacité de la solution agronomique mise en œuvre. Ce bilan annuel doit être réalisé chaque année par l’agriculteur et deux fois avec l’appui d’un technici</w:t>
            </w:r>
            <w:r>
              <w:rPr>
                <w:szCs w:val="24"/>
              </w:rPr>
              <w:t>en.</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éléments de la ligne de base sont définis en </w:t>
            </w:r>
            <w:r>
              <w:rPr>
                <w:szCs w:val="24"/>
              </w:rPr>
              <w:t>conformité avec :</w:t>
            </w:r>
          </w:p>
          <w:p w:rsidR="0035701C" w:rsidRDefault="00FB561B" w:rsidP="00FB561B">
            <w:pPr>
              <w:numPr>
                <w:ilvl w:val="0"/>
                <w:numId w:val="801"/>
              </w:numPr>
              <w:spacing w:before="240" w:after="0"/>
              <w:ind w:hanging="210"/>
              <w:jc w:val="left"/>
              <w:rPr>
                <w:szCs w:val="24"/>
              </w:rPr>
            </w:pPr>
            <w:r>
              <w:rPr>
                <w:szCs w:val="24"/>
              </w:rPr>
              <w:t>les exigences établies en vertu de l’article 93 du règlement UE n° 1306/2013 et de l’article 4.1c points ii) et iii) du règlement UE n°1307/2013,</w:t>
            </w:r>
          </w:p>
          <w:p w:rsidR="0035701C" w:rsidRDefault="00FB561B" w:rsidP="00FB561B">
            <w:pPr>
              <w:numPr>
                <w:ilvl w:val="0"/>
                <w:numId w:val="801"/>
              </w:numPr>
              <w:spacing w:before="0" w:after="0"/>
              <w:ind w:hanging="210"/>
              <w:jc w:val="left"/>
              <w:rPr>
                <w:szCs w:val="24"/>
              </w:rPr>
            </w:pPr>
            <w:r>
              <w:rPr>
                <w:szCs w:val="24"/>
              </w:rPr>
              <w:t>la circulaire nationale fixant les règles relatives aux bonnes conduites agricoles et enviro</w:t>
            </w:r>
            <w:r>
              <w:rPr>
                <w:szCs w:val="24"/>
              </w:rPr>
              <w:t>nnementales (BCAE).</w:t>
            </w:r>
          </w:p>
          <w:p w:rsidR="0035701C" w:rsidRDefault="00FB561B" w:rsidP="00FB561B">
            <w:pPr>
              <w:numPr>
                <w:ilvl w:val="0"/>
                <w:numId w:val="801"/>
              </w:numPr>
              <w:spacing w:before="0" w:after="240"/>
              <w:ind w:hanging="210"/>
              <w:jc w:val="left"/>
              <w:rPr>
                <w:szCs w:val="24"/>
              </w:rPr>
            </w:pPr>
            <w:r>
              <w:rPr>
                <w:szCs w:val="24"/>
              </w:rPr>
              <w:t>l’arrêté préfectoral régional en vigueur en Corse fixant les règles relatives aux bonnes conduites agricoles et environnementales (BCAE).</w:t>
            </w:r>
          </w:p>
          <w:p w:rsidR="0035701C" w:rsidRDefault="00FB561B">
            <w:pPr>
              <w:spacing w:before="240" w:after="240"/>
              <w:jc w:val="left"/>
              <w:rPr>
                <w:szCs w:val="24"/>
              </w:rPr>
            </w:pPr>
            <w:r>
              <w:rPr>
                <w:szCs w:val="24"/>
              </w:rPr>
              <w:t xml:space="preserve">Afin d’exclure tout double paiement, les pratiques visées à l’article 43 du règlement UE n° </w:t>
            </w:r>
            <w:r>
              <w:rPr>
                <w:szCs w:val="24"/>
              </w:rPr>
              <w:t>1307/2013 sont prises en compte dans le calcul des surcoûts et manques à gagner.</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les surcoûts, manques à gagner et éventuels coût</w:t>
            </w:r>
            <w:r>
              <w:rPr>
                <w:szCs w:val="24"/>
              </w:rPr>
              <w:t>s d’opportunité et de transaction générés par le respect des éléments contractualisés.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Couverts éligibles :</w:t>
            </w:r>
            <w:r>
              <w:rPr>
                <w:szCs w:val="24"/>
              </w:rPr>
              <w:t xml:space="preserve"> Arboriculture (agrumiculture).</w:t>
            </w:r>
          </w:p>
          <w:p w:rsidR="0035701C" w:rsidRDefault="00FB561B">
            <w:pPr>
              <w:spacing w:before="240" w:after="240"/>
              <w:jc w:val="left"/>
              <w:rPr>
                <w:szCs w:val="24"/>
              </w:rPr>
            </w:pPr>
            <w:r>
              <w:rPr>
                <w:b/>
                <w:bCs/>
                <w:i/>
                <w:iCs/>
                <w:szCs w:val="24"/>
              </w:rPr>
              <w:t>Diagnostic d’exploitation :</w:t>
            </w:r>
          </w:p>
          <w:p w:rsidR="0035701C" w:rsidRDefault="00FB561B">
            <w:pPr>
              <w:spacing w:before="240" w:after="240"/>
              <w:jc w:val="left"/>
              <w:rPr>
                <w:szCs w:val="24"/>
              </w:rPr>
            </w:pPr>
            <w:r>
              <w:rPr>
                <w:szCs w:val="24"/>
              </w:rPr>
              <w:t xml:space="preserve">La réalisation d’un diagnostic d’exploitation est une </w:t>
            </w:r>
            <w:r>
              <w:rPr>
                <w:szCs w:val="24"/>
              </w:rPr>
              <w:t>obligation pour la souscription de cette opération.</w:t>
            </w:r>
          </w:p>
          <w:p w:rsidR="0035701C" w:rsidRDefault="00FB561B">
            <w:pPr>
              <w:spacing w:before="240" w:after="240"/>
              <w:jc w:val="left"/>
              <w:rPr>
                <w:szCs w:val="24"/>
              </w:rPr>
            </w:pPr>
            <w:r>
              <w:rPr>
                <w:szCs w:val="24"/>
              </w:rPr>
              <w:t>Il permettra de mettre en évidence  ou non la présence d’autres cochenilles et de définir l’efficacité de la mesure. En effet, l’utilisation de produits phytosanitaires contre celles-ci serait nuisible po</w:t>
            </w:r>
            <w:r>
              <w:rPr>
                <w:szCs w:val="24"/>
              </w:rPr>
              <w:t>ur les parasitoïdes de la cochenille asiatique. D’autre part, ce diagnostic permettra de cibler les zones infestées de l’exploitation et donc les zones où les lâchers seront possibles. Il sera réalisé avec l’appui de structures agréées en arboriculture fru</w:t>
            </w:r>
            <w:r>
              <w:rPr>
                <w:szCs w:val="24"/>
              </w:rPr>
              <w:t>itière.</w:t>
            </w:r>
          </w:p>
          <w:p w:rsidR="0035701C" w:rsidRDefault="00FB561B">
            <w:pPr>
              <w:spacing w:before="240" w:after="240"/>
              <w:jc w:val="left"/>
              <w:rPr>
                <w:szCs w:val="24"/>
              </w:rPr>
            </w:pPr>
            <w:r>
              <w:rPr>
                <w:szCs w:val="24"/>
              </w:rPr>
              <w:t>Le diagnostic d’exploitation fera apparaître les différentes possibilités de combinaison avec d’autres opérations.</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w:t>
            </w:r>
            <w:r>
              <w:rPr>
                <w:szCs w:val="24"/>
              </w:rPr>
              <w:t xml:space="preserve"> publique est de 100 %.</w:t>
            </w:r>
          </w:p>
          <w:p w:rsidR="0035701C" w:rsidRDefault="00FB561B">
            <w:pPr>
              <w:spacing w:before="240" w:after="240"/>
              <w:jc w:val="left"/>
              <w:rPr>
                <w:szCs w:val="24"/>
              </w:rPr>
            </w:pPr>
            <w:r>
              <w:rPr>
                <w:szCs w:val="24"/>
              </w:rPr>
              <w:t>Afin d’éviter le double paiement du coût de transaction concernant l’élaboration du bilan annuel de la stratégie des cultures :</w:t>
            </w:r>
          </w:p>
          <w:p w:rsidR="0035701C" w:rsidRDefault="00FB561B">
            <w:pPr>
              <w:spacing w:before="240" w:after="240"/>
              <w:jc w:val="left"/>
              <w:rPr>
                <w:szCs w:val="24"/>
              </w:rPr>
            </w:pPr>
            <w:r>
              <w:rPr>
                <w:szCs w:val="24"/>
              </w:rPr>
              <w:t xml:space="preserve">Option 1 (si l’opération est souscrite seule ou si elle est la première souscrite, le bilan s’ajoutera </w:t>
            </w:r>
            <w:r>
              <w:rPr>
                <w:szCs w:val="24"/>
              </w:rPr>
              <w:t>obligatoirement à cette opération) :</w:t>
            </w:r>
          </w:p>
          <w:p w:rsidR="0035701C" w:rsidRDefault="00FB561B">
            <w:pPr>
              <w:spacing w:before="240" w:after="240"/>
              <w:jc w:val="left"/>
              <w:rPr>
                <w:szCs w:val="24"/>
              </w:rPr>
            </w:pPr>
            <w:r>
              <w:rPr>
                <w:szCs w:val="24"/>
              </w:rPr>
              <w:t>Le montant unitaire est fixé à 387,09 € /ha/an.</w:t>
            </w:r>
          </w:p>
          <w:p w:rsidR="0035701C" w:rsidRDefault="00FB561B">
            <w:pPr>
              <w:spacing w:before="240" w:after="240"/>
              <w:jc w:val="left"/>
              <w:rPr>
                <w:szCs w:val="24"/>
              </w:rPr>
            </w:pPr>
            <w:r>
              <w:rPr>
                <w:szCs w:val="24"/>
              </w:rPr>
              <w:t>Option 2 (si l’opération est souscrite avec d’autres opérations le bilan ne pourra être comptabilisé qu’une seule fois) :</w:t>
            </w:r>
          </w:p>
          <w:p w:rsidR="0035701C" w:rsidRDefault="00FB561B">
            <w:pPr>
              <w:spacing w:before="240" w:after="240"/>
              <w:jc w:val="left"/>
              <w:rPr>
                <w:szCs w:val="24"/>
              </w:rPr>
            </w:pPr>
            <w:r>
              <w:rPr>
                <w:szCs w:val="24"/>
              </w:rPr>
              <w:t>Le montant unitaire est fixé à 369,62 €/ha/an pou</w:t>
            </w:r>
            <w:r>
              <w:rPr>
                <w:szCs w:val="24"/>
              </w:rPr>
              <w:t>r les lâchers d’auxiliaires contre la cochenille asiatique</w:t>
            </w:r>
          </w:p>
          <w:p w:rsidR="0035701C" w:rsidRDefault="00FB561B">
            <w:pPr>
              <w:spacing w:before="240" w:after="240"/>
              <w:jc w:val="left"/>
              <w:rPr>
                <w:szCs w:val="24"/>
              </w:rPr>
            </w:pPr>
            <w:r>
              <w:rPr>
                <w:szCs w:val="24"/>
              </w:rPr>
              <w:t>En cas de combinaison d'opérations sur une même parcelle, le montant de l’aide sera limité au maximum à 900€/ha.</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w:t>
      </w:r>
      <w:r>
        <w:t xml:space="preserve">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des éléments du niveau de référence applicable, qui </w:t>
      </w:r>
      <w:r>
        <w:t>doivent inclure les normes obligatoires établies en application du titre VI, chapitre I, du règlement (UE) n° 1306/2013 du Parlement européen et du Conseil, les critères pertinents et les activités minimales établies en application de l'article 4, paragrap</w:t>
      </w:r>
      <w:r>
        <w:t>he 1, point c) ii) et c) iii), du règlement (UE) n° 1307/2013 du Parlement européen et du Conseil, les exigences minimales applicables à l'utilisation des engrais et des produits phytosanitaire ainsi que les autres exigences obligatoires pertinentes établi</w:t>
      </w:r>
      <w:r>
        <w:t>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ind w:left="103"/>
              <w:jc w:val="left"/>
              <w:rPr>
                <w:szCs w:val="24"/>
              </w:rPr>
            </w:pPr>
            <w:r>
              <w:rPr>
                <w:szCs w:val="24"/>
              </w:rPr>
              <w:t>Par ailleurs, si les pratiques rémunérées au titre de la présente opération sont rendues obligatoires sur des zones au titre de la protection de la biodiversité (notamment des zones classées au titre des réserves na</w:t>
            </w:r>
            <w:r>
              <w:rPr>
                <w:szCs w:val="24"/>
              </w:rPr>
              <w:t>turelles des arrêtés de protection de biotopes), celle-ci ne peut être ouverte sur les zones concernées.</w:t>
            </w:r>
          </w:p>
          <w:p w:rsidR="0035701C" w:rsidRDefault="00FB561B">
            <w:pPr>
              <w:spacing w:before="240" w:after="240"/>
              <w:jc w:val="left"/>
              <w:rPr>
                <w:szCs w:val="24"/>
              </w:rPr>
            </w:pPr>
            <w:r>
              <w:rPr>
                <w:szCs w:val="24"/>
              </w:rPr>
              <w:t> </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293772"/>
                  <wp:effectExtent l="0" t="0" r="0" b="0"/>
                  <wp:docPr id="100226" name="Image 100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7" name=""/>
                          <pic:cNvPicPr>
                            <a:picLocks noChangeAspect="1"/>
                          </pic:cNvPicPr>
                        </pic:nvPicPr>
                        <pic:blipFill>
                          <a:blip r:embed="rId122"/>
                          <a:stretch>
                            <a:fillRect/>
                          </a:stretch>
                        </pic:blipFill>
                        <pic:spPr>
                          <a:xfrm>
                            <a:off x="0" y="0"/>
                            <a:ext cx="6629400" cy="1293772"/>
                          </a:xfrm>
                          <a:prstGeom prst="rect">
                            <a:avLst/>
                          </a:prstGeom>
                        </pic:spPr>
                      </pic:pic>
                    </a:graphicData>
                  </a:graphic>
                </wp:inline>
              </w:drawing>
            </w:r>
          </w:p>
          <w:p w:rsidR="0035701C" w:rsidRDefault="00FB561B">
            <w:pPr>
              <w:pStyle w:val="Pieddepage"/>
              <w:jc w:val="center"/>
            </w:pPr>
            <w:r>
              <w:t>Eau_6_lignebase</w:t>
            </w:r>
          </w:p>
          <w:p w:rsidR="0035701C" w:rsidRDefault="0035701C">
            <w:pPr>
              <w:pStyle w:val="Pieddepage"/>
              <w:jc w:val="center"/>
            </w:pPr>
          </w:p>
        </w:tc>
      </w:tr>
    </w:tbl>
    <w:p w:rsidR="0035701C" w:rsidRDefault="00FB561B">
      <w:r>
        <w:t xml:space="preserve">Les exigences minimales relatives à l'utilisation d'engrais doivent comprendre, entre autres, le respect des codes de bonnes </w:t>
      </w:r>
      <w:r>
        <w:t>pratiques introduits au titre de la directive 91/676/CEE pour les exploitations situées en dehors des zones vulnérables aux nitrates, et des exigences concernant la pollution au phosphore; les exigences minimales relatives à l'utilisation de produits phyto</w:t>
      </w:r>
      <w:r>
        <w:t>sanitaires doivent comprendre, entre autres, les principes généraux de la lutte intégrée contre les ennemis des cultures introduits par la directive 2009/128/CE du Parlement européen et du Conseil, l’obligation de détenir une autorisation d’utiliser les pr</w:t>
      </w:r>
      <w:r>
        <w:t>oduits, de satisfaire aux conditions de formation, d’assurer un stockage sûr et de contrôler les équipements destinés à l’épandage ainsi que les règles relatives à l’utilisation de pesticides à proximité d’étendues d’eau et d’autres sites sensibles, telles</w:t>
      </w:r>
      <w:r>
        <w:t xml:space="preserve">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Liste des races locales qui sont menacées d’être perdues pour l’agriculture et des ressources génétiques végétales qui sont menacées d’érosion génétiq</w:t>
      </w:r>
      <w:r>
        <w:t>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Description de la méthode et des hypothèses et paramètres agronomiques y compris la description des exigences minimales visées à l'article 29, paragraphe 2, du règlement (UE) n° 1305/2013 correspondant à chaque type particulier d'engagement</w:t>
      </w:r>
      <w:r>
        <w:t>, utilisés comme référence pour les calculs justifiant les coûts supplémentaires et les pertes de revenus résultant de l’engagement pris et le niveau des coûts des transactions; le cas échéant, cette méthode tient compte des aides accordées au titre du règ</w:t>
      </w:r>
      <w:r>
        <w:t>lement (UE) n° 1307/2013, et notamment des paiements en faveur des pratiques agricoles bénéfiques pour le climat et l’environnement, afin d’exclure un double financement; le cas échéant, la méthode de conversion utilisée pour d’autres unités conformément à</w:t>
      </w:r>
      <w:r>
        <w:t xml:space="preserve">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Méthode générale de calcul du montant : </w:t>
            </w:r>
            <w:r>
              <w:rPr>
                <w:szCs w:val="24"/>
              </w:rPr>
              <w:t>Le montant de l’aide est calculé sur la base de l’utilisation du matériel et du temps de travail supplémentaire nécessaire pour la mise en place de la lutte biologique ainsi que les coûts</w:t>
            </w:r>
            <w:r>
              <w:rPr>
                <w:szCs w:val="24"/>
              </w:rPr>
              <w:t xml:space="preserve"> de transaction générés par le respect des éléments contractualisés.</w:t>
            </w:r>
          </w:p>
          <w:p w:rsidR="0035701C" w:rsidRDefault="00FB561B">
            <w:pPr>
              <w:spacing w:before="240" w:after="240"/>
              <w:jc w:val="left"/>
              <w:rPr>
                <w:szCs w:val="24"/>
              </w:rPr>
            </w:pPr>
            <w:r>
              <w:rPr>
                <w:b/>
                <w:bCs/>
                <w:i/>
                <w:iCs/>
                <w:szCs w:val="24"/>
              </w:rPr>
              <w:t>Pratiques de références </w:t>
            </w:r>
            <w:r>
              <w:rPr>
                <w:szCs w:val="24"/>
              </w:rPr>
              <w:t xml:space="preserve">: La méthode de lutte actuelle consiste à positionner deux traitements insecticides sur les deux essaimages les plus importants. Ceux-ci sont déclenchés en mai et </w:t>
            </w:r>
            <w:r>
              <w:rPr>
                <w:szCs w:val="24"/>
              </w:rPr>
              <w:t>septembre sur la base des avertissements diffusés par le réseau de suivi. Le recours à un troisième traitement (réalisé avec des huiles minérales) est parfois nécessaire si un pic supplémentaire est observé.</w:t>
            </w:r>
          </w:p>
          <w:p w:rsidR="0035701C" w:rsidRDefault="00FB561B">
            <w:pPr>
              <w:spacing w:before="240" w:after="240"/>
              <w:jc w:val="left"/>
              <w:rPr>
                <w:szCs w:val="24"/>
              </w:rPr>
            </w:pPr>
            <w:r>
              <w:rPr>
                <w:b/>
                <w:bCs/>
                <w:i/>
                <w:iCs/>
                <w:szCs w:val="24"/>
              </w:rPr>
              <w:t xml:space="preserve">Verdissement : </w:t>
            </w:r>
          </w:p>
          <w:p w:rsidR="0035701C" w:rsidRDefault="00FB561B">
            <w:pPr>
              <w:spacing w:before="240" w:after="240"/>
              <w:jc w:val="left"/>
              <w:rPr>
                <w:szCs w:val="24"/>
              </w:rPr>
            </w:pPr>
            <w:r>
              <w:rPr>
                <w:szCs w:val="24"/>
              </w:rPr>
              <w:t>L’opération ne rémunère pas :</w:t>
            </w:r>
          </w:p>
          <w:p w:rsidR="0035701C" w:rsidRDefault="00FB561B" w:rsidP="00FB561B">
            <w:pPr>
              <w:numPr>
                <w:ilvl w:val="0"/>
                <w:numId w:val="802"/>
              </w:numPr>
              <w:spacing w:before="240" w:after="0"/>
              <w:ind w:hanging="210"/>
              <w:jc w:val="left"/>
              <w:rPr>
                <w:szCs w:val="24"/>
              </w:rPr>
            </w:pPr>
            <w:r>
              <w:rPr>
                <w:szCs w:val="24"/>
              </w:rPr>
              <w:t>Le</w:t>
            </w:r>
            <w:r>
              <w:rPr>
                <w:szCs w:val="24"/>
              </w:rPr>
              <w:t xml:space="preserve"> maintien des prairies permanentes</w:t>
            </w:r>
          </w:p>
          <w:p w:rsidR="0035701C" w:rsidRDefault="00FB561B" w:rsidP="00FB561B">
            <w:pPr>
              <w:numPr>
                <w:ilvl w:val="0"/>
                <w:numId w:val="802"/>
              </w:numPr>
              <w:spacing w:before="0" w:after="0"/>
              <w:ind w:hanging="210"/>
              <w:jc w:val="left"/>
              <w:rPr>
                <w:szCs w:val="24"/>
              </w:rPr>
            </w:pPr>
            <w:r>
              <w:rPr>
                <w:szCs w:val="24"/>
              </w:rPr>
              <w:t>Les obligations de diversité des assolements</w:t>
            </w:r>
          </w:p>
          <w:p w:rsidR="0035701C" w:rsidRDefault="00FB561B" w:rsidP="00FB561B">
            <w:pPr>
              <w:numPr>
                <w:ilvl w:val="0"/>
                <w:numId w:val="802"/>
              </w:numPr>
              <w:spacing w:before="0" w:after="240"/>
              <w:ind w:hanging="210"/>
              <w:jc w:val="left"/>
              <w:rPr>
                <w:szCs w:val="24"/>
              </w:rPr>
            </w:pPr>
            <w:r>
              <w:rPr>
                <w:szCs w:val="24"/>
              </w:rPr>
              <w:t>Les obligations liées aux surfaces d’intérêt écologique</w:t>
            </w:r>
          </w:p>
          <w:p w:rsidR="0035701C" w:rsidRDefault="00FB561B">
            <w:pPr>
              <w:spacing w:before="240" w:after="240"/>
              <w:jc w:val="left"/>
              <w:rPr>
                <w:szCs w:val="24"/>
              </w:rPr>
            </w:pPr>
            <w:r>
              <w:rPr>
                <w:szCs w:val="24"/>
              </w:rPr>
              <w:t>Il n’y a donc pas de risque de double paiement pour ce qui concerne les pratiques du verdissement.</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803"/>
              </w:numPr>
              <w:spacing w:before="240" w:after="0"/>
              <w:ind w:hanging="210"/>
              <w:jc w:val="left"/>
              <w:rPr>
                <w:szCs w:val="24"/>
              </w:rPr>
            </w:pPr>
            <w:r>
              <w:rPr>
                <w:szCs w:val="24"/>
              </w:rPr>
              <w:t>M</w:t>
            </w:r>
            <w:r>
              <w:rPr>
                <w:szCs w:val="24"/>
              </w:rPr>
              <w:t>éthode de lutte biologique (piégeage et lâchers parasitoïde) et coût parasitoïde : AREFLEC station expérimentale</w:t>
            </w:r>
          </w:p>
          <w:p w:rsidR="0035701C" w:rsidRDefault="00FB561B" w:rsidP="00FB561B">
            <w:pPr>
              <w:numPr>
                <w:ilvl w:val="0"/>
                <w:numId w:val="803"/>
              </w:numPr>
              <w:spacing w:before="0" w:after="0"/>
              <w:ind w:hanging="210"/>
              <w:jc w:val="left"/>
              <w:rPr>
                <w:szCs w:val="24"/>
              </w:rPr>
            </w:pPr>
            <w:r>
              <w:rPr>
                <w:szCs w:val="24"/>
              </w:rPr>
              <w:t>Coût du piège à phéromone : CANICO</w:t>
            </w:r>
          </w:p>
          <w:p w:rsidR="0035701C" w:rsidRDefault="00FB561B" w:rsidP="00FB561B">
            <w:pPr>
              <w:numPr>
                <w:ilvl w:val="0"/>
                <w:numId w:val="803"/>
              </w:numPr>
              <w:spacing w:before="0" w:after="0"/>
              <w:ind w:hanging="210"/>
              <w:jc w:val="left"/>
              <w:rPr>
                <w:szCs w:val="24"/>
              </w:rPr>
            </w:pPr>
            <w:r>
              <w:rPr>
                <w:szCs w:val="24"/>
              </w:rPr>
              <w:t>barème des coûts horaires des techniciens : assemblée permanente des chambres d’agriculture (APCA)</w:t>
            </w:r>
          </w:p>
          <w:p w:rsidR="0035701C" w:rsidRDefault="00FB561B" w:rsidP="00FB561B">
            <w:pPr>
              <w:numPr>
                <w:ilvl w:val="0"/>
                <w:numId w:val="803"/>
              </w:numPr>
              <w:spacing w:before="0" w:after="0"/>
              <w:ind w:hanging="210"/>
              <w:jc w:val="left"/>
              <w:rPr>
                <w:szCs w:val="24"/>
              </w:rPr>
            </w:pPr>
            <w:r>
              <w:rPr>
                <w:szCs w:val="24"/>
              </w:rPr>
              <w:t>Coût du m</w:t>
            </w:r>
            <w:r>
              <w:rPr>
                <w:szCs w:val="24"/>
              </w:rPr>
              <w:t>atériel : Bureau de Coordination du Machinisme Agricole (tarifs 2012)</w:t>
            </w:r>
          </w:p>
          <w:p w:rsidR="0035701C" w:rsidRDefault="00FB561B" w:rsidP="00FB561B">
            <w:pPr>
              <w:numPr>
                <w:ilvl w:val="0"/>
                <w:numId w:val="803"/>
              </w:numPr>
              <w:spacing w:before="0" w:after="0"/>
              <w:ind w:hanging="210"/>
              <w:jc w:val="left"/>
              <w:rPr>
                <w:szCs w:val="24"/>
              </w:rPr>
            </w:pPr>
            <w:r>
              <w:rPr>
                <w:szCs w:val="24"/>
              </w:rPr>
              <w:t>Surface moyenne engagée par exploitation : surface moyenne engagée en MAE</w:t>
            </w:r>
          </w:p>
          <w:p w:rsidR="0035701C" w:rsidRDefault="00FB561B" w:rsidP="00FB561B">
            <w:pPr>
              <w:numPr>
                <w:ilvl w:val="0"/>
                <w:numId w:val="803"/>
              </w:numPr>
              <w:spacing w:before="0" w:after="240"/>
              <w:ind w:hanging="210"/>
              <w:jc w:val="left"/>
              <w:rPr>
                <w:szCs w:val="24"/>
              </w:rPr>
            </w:pPr>
            <w:r>
              <w:rPr>
                <w:szCs w:val="24"/>
              </w:rPr>
              <w:t>Temps de travail pour la réalisation d’un bilan : experts nationaux</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5954044" cy="8280400"/>
                  <wp:effectExtent l="0" t="0" r="0" b="0"/>
                  <wp:docPr id="100228" name="Image 100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29" name=""/>
                          <pic:cNvPicPr>
                            <a:picLocks noChangeAspect="1"/>
                          </pic:cNvPicPr>
                        </pic:nvPicPr>
                        <pic:blipFill>
                          <a:blip r:embed="rId125"/>
                          <a:stretch>
                            <a:fillRect/>
                          </a:stretch>
                        </pic:blipFill>
                        <pic:spPr>
                          <a:xfrm>
                            <a:off x="0" y="0"/>
                            <a:ext cx="5954044" cy="8280400"/>
                          </a:xfrm>
                          <a:prstGeom prst="rect">
                            <a:avLst/>
                          </a:prstGeom>
                        </pic:spPr>
                      </pic:pic>
                    </a:graphicData>
                  </a:graphic>
                </wp:inline>
              </w:drawing>
            </w:r>
          </w:p>
          <w:p w:rsidR="0035701C" w:rsidRDefault="00FB561B">
            <w:pPr>
              <w:pStyle w:val="Pieddepage"/>
              <w:jc w:val="center"/>
            </w:pPr>
            <w:r>
              <w:t>Eau_6_option1</w:t>
            </w:r>
          </w:p>
          <w:p w:rsidR="0035701C" w:rsidRDefault="00FB561B">
            <w:pPr>
              <w:pStyle w:val="Pieddepage"/>
              <w:jc w:val="center"/>
            </w:pPr>
            <w:r>
              <w:rPr>
                <w:noProof/>
                <w:lang w:val="fr-FR" w:eastAsia="fr-FR"/>
              </w:rPr>
              <w:drawing>
                <wp:inline distT="0" distB="0" distL="0" distR="0">
                  <wp:extent cx="6343650" cy="5400675"/>
                  <wp:effectExtent l="0" t="0" r="0" b="0"/>
                  <wp:docPr id="100230" name="Image 100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1" name=""/>
                          <pic:cNvPicPr>
                            <a:picLocks noChangeAspect="1"/>
                          </pic:cNvPicPr>
                        </pic:nvPicPr>
                        <pic:blipFill>
                          <a:blip r:embed="rId126"/>
                          <a:stretch>
                            <a:fillRect/>
                          </a:stretch>
                        </pic:blipFill>
                        <pic:spPr>
                          <a:xfrm>
                            <a:off x="0" y="0"/>
                            <a:ext cx="6343650" cy="5400675"/>
                          </a:xfrm>
                          <a:prstGeom prst="rect">
                            <a:avLst/>
                          </a:prstGeom>
                        </pic:spPr>
                      </pic:pic>
                    </a:graphicData>
                  </a:graphic>
                </wp:inline>
              </w:drawing>
            </w:r>
          </w:p>
          <w:p w:rsidR="0035701C" w:rsidRDefault="00FB561B">
            <w:pPr>
              <w:pStyle w:val="Pieddepage"/>
              <w:jc w:val="center"/>
            </w:pPr>
            <w:r>
              <w:t>Eau_6_option2</w:t>
            </w:r>
          </w:p>
          <w:p w:rsidR="0035701C" w:rsidRDefault="0035701C">
            <w:pPr>
              <w:pStyle w:val="Pieddepage"/>
              <w:jc w:val="center"/>
            </w:pPr>
          </w:p>
        </w:tc>
      </w:tr>
    </w:tbl>
    <w:p w:rsidR="0035701C" w:rsidRDefault="00FB561B">
      <w:pPr>
        <w:pStyle w:val="Titre5"/>
        <w:rPr>
          <w:b w:val="0"/>
        </w:rPr>
      </w:pPr>
      <w:r>
        <w:rPr>
          <w:b w:val="0"/>
        </w:rPr>
        <w:br w:type="page"/>
        <w:t xml:space="preserve">-35- </w:t>
      </w:r>
      <w:r>
        <w:rPr>
          <w:b w:val="0"/>
        </w:rPr>
        <w:t>EAU_7</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804"/>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EAU_ 7 = Mise en place du piégeage massif contre la mouche méditerranéenne des fruits.</w:t>
            </w:r>
          </w:p>
          <w:p w:rsidR="0035701C" w:rsidRDefault="00FB561B">
            <w:pPr>
              <w:spacing w:before="240" w:after="240"/>
              <w:jc w:val="left"/>
              <w:rPr>
                <w:szCs w:val="24"/>
              </w:rPr>
            </w:pPr>
            <w:r>
              <w:rPr>
                <w:szCs w:val="24"/>
              </w:rPr>
              <w:t>La cératite (</w:t>
            </w:r>
            <w:r>
              <w:rPr>
                <w:i/>
                <w:iCs/>
                <w:szCs w:val="24"/>
              </w:rPr>
              <w:t>Ceratitis capitata Wied</w:t>
            </w:r>
            <w:r>
              <w:rPr>
                <w:szCs w:val="24"/>
              </w:rPr>
              <w:t xml:space="preserve">.) est un diptère qui pond ses œufs dans les fruits de nombreuses espèces tempérées et des agrumes. En Corse, en conditions hivernales favorables, une à plusieurs générations peuvent être observées dès le mois de février. Ainsi, ce </w:t>
            </w:r>
            <w:r>
              <w:rPr>
                <w:szCs w:val="24"/>
              </w:rPr>
              <w:t>ravageur se développe rapidement et peut entraîner jusqu’à la perte totale de la récolte.</w:t>
            </w:r>
          </w:p>
          <w:p w:rsidR="0035701C" w:rsidRDefault="00FB561B">
            <w:pPr>
              <w:spacing w:before="240" w:after="240"/>
              <w:jc w:val="left"/>
              <w:rPr>
                <w:szCs w:val="24"/>
              </w:rPr>
            </w:pPr>
            <w:r>
              <w:rPr>
                <w:szCs w:val="24"/>
              </w:rPr>
              <w:t>La mouche des fruits touche un grand nombre d’espèces fruitières d’où son impact économique majeur. De ce fait, elle est à l’origine de nombreux traitements insectici</w:t>
            </w:r>
            <w:r>
              <w:rPr>
                <w:szCs w:val="24"/>
              </w:rPr>
              <w:t>des qui sont impératifs sous peine de compromettre la rentabilité de l’exploitation (4 traitements minimum).</w:t>
            </w:r>
          </w:p>
          <w:p w:rsidR="0035701C" w:rsidRDefault="00FB561B">
            <w:pPr>
              <w:spacing w:before="240" w:after="240"/>
              <w:jc w:val="left"/>
              <w:rPr>
                <w:szCs w:val="24"/>
              </w:rPr>
            </w:pPr>
            <w:r>
              <w:rPr>
                <w:szCs w:val="24"/>
              </w:rPr>
              <w:t xml:space="preserve">La mesure vise à remplacer les traitements chimiques contre la mouche méditerranéenne des fruits (Cératite) par la disposition de pièges à la fois </w:t>
            </w:r>
            <w:r>
              <w:rPr>
                <w:szCs w:val="24"/>
              </w:rPr>
              <w:t>alimentaires et sexuels spécifiques de la cératite en verger.</w:t>
            </w:r>
          </w:p>
          <w:p w:rsidR="0035701C" w:rsidRDefault="00FB561B">
            <w:pPr>
              <w:spacing w:before="240" w:after="240"/>
              <w:jc w:val="left"/>
              <w:rPr>
                <w:szCs w:val="24"/>
              </w:rPr>
            </w:pPr>
            <w:r>
              <w:rPr>
                <w:szCs w:val="24"/>
              </w:rPr>
              <w:t>Toutefois et afin de ne pas pénaliser l’agriculteur en cas de forte infestation, un traitement chimique reste autorisé (à la charge de l’agriculteur et après avis d’un technicien). Ce traitement</w:t>
            </w:r>
            <w:r>
              <w:rPr>
                <w:szCs w:val="24"/>
              </w:rPr>
              <w:t xml:space="preserve"> sera déclenché après avis d’un technicien et sera formalisé dans le cahier de l’exploitant.</w:t>
            </w:r>
          </w:p>
          <w:p w:rsidR="0035701C" w:rsidRDefault="00FB561B">
            <w:pPr>
              <w:spacing w:before="240" w:after="240"/>
              <w:jc w:val="left"/>
              <w:rPr>
                <w:szCs w:val="24"/>
              </w:rPr>
            </w:pPr>
            <w:r>
              <w:rPr>
                <w:szCs w:val="24"/>
              </w:rPr>
              <w:t>L’Areflec (Association Régionale d'Expérimentation sur les Fruits et Légumes En Corse), en partenariat notamment avec le Civam Bio Corse, a mis au point une méthod</w:t>
            </w:r>
            <w:r>
              <w:rPr>
                <w:szCs w:val="24"/>
              </w:rPr>
              <w:t>e de protection des vergers par piégeage de masse, autorisée en AB. Le piège utilisé combine une couleur jaune et des attractifs alimentaires qui attirent les cératites. Sur le couvercle transparent, est pulvérisé un insecticide (pyréthrinoïde de synthèse)</w:t>
            </w:r>
            <w:r>
              <w:rPr>
                <w:szCs w:val="24"/>
              </w:rPr>
              <w:t xml:space="preserve"> qui tue la cératite lorsqu’elle entre dans le piège. Les essais menés en Corse démontrent que, quelle que soit l’espèce fruitière, il est possible d’envisager cette lutte sur des surfaces relativement faibles, de 1 à 5 hectares de vergers. Le dispositif s</w:t>
            </w:r>
            <w:r>
              <w:rPr>
                <w:szCs w:val="24"/>
              </w:rPr>
              <w:t>eul permet, dans la plupart des situations, de limiter le niveau des dégâts à moins de 5% de fruits piqués.</w:t>
            </w:r>
          </w:p>
          <w:p w:rsidR="0035701C" w:rsidRDefault="00FB561B">
            <w:pPr>
              <w:spacing w:before="240" w:after="240"/>
              <w:jc w:val="left"/>
              <w:rPr>
                <w:szCs w:val="24"/>
              </w:rPr>
            </w:pPr>
            <w:r>
              <w:rPr>
                <w:szCs w:val="24"/>
              </w:rPr>
              <w:t>L’objectif principal est de réduire les risques de pollution des eaux par les produits phytosanitaires.</w:t>
            </w:r>
          </w:p>
          <w:p w:rsidR="0035701C" w:rsidRDefault="00FB561B">
            <w:pPr>
              <w:spacing w:before="240" w:after="240"/>
              <w:jc w:val="left"/>
              <w:rPr>
                <w:szCs w:val="24"/>
              </w:rPr>
            </w:pPr>
            <w:r>
              <w:rPr>
                <w:szCs w:val="24"/>
              </w:rPr>
              <w:t>Cette opération peut être combinée avec d’au</w:t>
            </w:r>
            <w:r>
              <w:rPr>
                <w:szCs w:val="24"/>
              </w:rPr>
              <w:t>tres opérations telles que la lutte biologique contre la cochenille asiatique, la lutte biologique contre la cochenille asiatique, la confusion sexuelle contre la tordeuse orientale du pêcher et/ou la mise en place d’un enherbement au niveau des inter-rang</w:t>
            </w:r>
            <w:r>
              <w:rPr>
                <w:szCs w:val="24"/>
              </w:rPr>
              <w:t>s.</w:t>
            </w:r>
          </w:p>
          <w:p w:rsidR="0035701C" w:rsidRDefault="00FB561B">
            <w:pPr>
              <w:spacing w:before="240" w:after="240"/>
              <w:jc w:val="left"/>
              <w:rPr>
                <w:szCs w:val="24"/>
              </w:rPr>
            </w:pPr>
            <w:r>
              <w:rPr>
                <w:b/>
                <w:bCs/>
                <w:i/>
                <w:iCs/>
                <w:szCs w:val="24"/>
              </w:rPr>
              <w:t xml:space="preserve">Cahier des charges : </w:t>
            </w:r>
          </w:p>
          <w:p w:rsidR="0035701C" w:rsidRDefault="00FB561B" w:rsidP="00FB561B">
            <w:pPr>
              <w:numPr>
                <w:ilvl w:val="0"/>
                <w:numId w:val="805"/>
              </w:numPr>
              <w:spacing w:before="240" w:after="0"/>
              <w:ind w:hanging="210"/>
              <w:jc w:val="left"/>
              <w:rPr>
                <w:szCs w:val="24"/>
              </w:rPr>
            </w:pPr>
            <w:r>
              <w:rPr>
                <w:szCs w:val="24"/>
              </w:rPr>
              <w:t>L’agriculteur s’engage à respecter le protocole établi par les structures agréées pour la mise en place et le suivi du piégeage massif sur son verger. La surface minimum de contractualisation est d’1 hectare.</w:t>
            </w:r>
          </w:p>
          <w:p w:rsidR="0035701C" w:rsidRDefault="00FB561B" w:rsidP="00FB561B">
            <w:pPr>
              <w:numPr>
                <w:ilvl w:val="0"/>
                <w:numId w:val="805"/>
              </w:numPr>
              <w:spacing w:before="0" w:after="0"/>
              <w:ind w:hanging="210"/>
              <w:jc w:val="left"/>
              <w:rPr>
                <w:szCs w:val="24"/>
              </w:rPr>
            </w:pPr>
            <w:r>
              <w:rPr>
                <w:szCs w:val="24"/>
              </w:rPr>
              <w:t xml:space="preserve">Il doit montés les </w:t>
            </w:r>
            <w:r>
              <w:rPr>
                <w:szCs w:val="24"/>
              </w:rPr>
              <w:t>pièges (assemblage des plastiques et insertion des attractifs) et les posés à raison de 80 pièges par hectare. Le piège utilisé pour le suivi en lutte chimique est éliminé.</w:t>
            </w:r>
          </w:p>
          <w:p w:rsidR="0035701C" w:rsidRDefault="00FB561B" w:rsidP="00FB561B">
            <w:pPr>
              <w:numPr>
                <w:ilvl w:val="0"/>
                <w:numId w:val="805"/>
              </w:numPr>
              <w:spacing w:before="0" w:after="0"/>
              <w:ind w:hanging="210"/>
              <w:jc w:val="left"/>
              <w:rPr>
                <w:szCs w:val="24"/>
              </w:rPr>
            </w:pPr>
            <w:r>
              <w:rPr>
                <w:szCs w:val="24"/>
              </w:rPr>
              <w:t>Il doit réaliser un suivi  bi-hebdomadaire des captures afin de vérifier le maintie</w:t>
            </w:r>
            <w:r>
              <w:rPr>
                <w:szCs w:val="24"/>
              </w:rPr>
              <w:t>n des populations de cératites à des niveaux d’infestation tolérables (5-8 mouches/piège/jour) et de décider de l’opportunité d’un traitement chimique de renfort. Ce suivi des populations se fait sur les pièges utilisés pour le piégeage massif.</w:t>
            </w:r>
          </w:p>
          <w:p w:rsidR="0035701C" w:rsidRDefault="00FB561B" w:rsidP="00FB561B">
            <w:pPr>
              <w:numPr>
                <w:ilvl w:val="0"/>
                <w:numId w:val="805"/>
              </w:numPr>
              <w:spacing w:before="0" w:after="0"/>
              <w:ind w:hanging="210"/>
              <w:jc w:val="left"/>
              <w:rPr>
                <w:szCs w:val="24"/>
              </w:rPr>
            </w:pPr>
            <w:r>
              <w:rPr>
                <w:szCs w:val="24"/>
              </w:rPr>
              <w:t>En fin de s</w:t>
            </w:r>
            <w:r>
              <w:rPr>
                <w:szCs w:val="24"/>
              </w:rPr>
              <w:t>uivi, il doit sortir les pièges du verger et les démonter(démontage et dépose).</w:t>
            </w:r>
          </w:p>
          <w:p w:rsidR="0035701C" w:rsidRDefault="00FB561B" w:rsidP="00FB561B">
            <w:pPr>
              <w:numPr>
                <w:ilvl w:val="0"/>
                <w:numId w:val="805"/>
              </w:numPr>
              <w:spacing w:before="0" w:after="0"/>
              <w:ind w:hanging="210"/>
              <w:jc w:val="left"/>
              <w:rPr>
                <w:szCs w:val="24"/>
              </w:rPr>
            </w:pPr>
            <w:r>
              <w:rPr>
                <w:szCs w:val="24"/>
              </w:rPr>
              <w:t>Il doit assurer l’enregistrement des différentes interventions et des pratiques réalisées dans le cahier de l’exploitant. L’enregistrement des pratiques est une obligation pend</w:t>
            </w:r>
            <w:r>
              <w:rPr>
                <w:szCs w:val="24"/>
              </w:rPr>
              <w:t>ant toute la durée de l’engagement, permettant ainsi de vérifier l’atteinte de l’objectif sur la durée du contrat.</w:t>
            </w:r>
          </w:p>
          <w:p w:rsidR="0035701C" w:rsidRDefault="00FB561B" w:rsidP="00FB561B">
            <w:pPr>
              <w:numPr>
                <w:ilvl w:val="0"/>
                <w:numId w:val="805"/>
              </w:numPr>
              <w:spacing w:before="0" w:after="240"/>
              <w:ind w:hanging="210"/>
              <w:jc w:val="left"/>
              <w:rPr>
                <w:szCs w:val="24"/>
              </w:rPr>
            </w:pPr>
            <w:r>
              <w:rPr>
                <w:szCs w:val="24"/>
              </w:rPr>
              <w:t xml:space="preserve">Il doit réaliser un bilan annuel de suivi. L’élaboration de ce bilan est obligatoire afin de garantir de bonnes conditions d’appui technique </w:t>
            </w:r>
            <w:r>
              <w:rPr>
                <w:szCs w:val="24"/>
              </w:rPr>
              <w:t>à la réduction de ces intrants. Il permettra d’évaluer la pertinence des options techniques retenues, de s’assurer de l’atteinte des objectifs de résultat et d’optimiser l’efficacité de la solution agronomique mise en œuvre. Ce bilan annuel doit être réali</w:t>
            </w:r>
            <w:r>
              <w:rPr>
                <w:szCs w:val="24"/>
              </w:rPr>
              <w:t>sé chaque année par l’agriculteur et deux fois avec l’appui d’un technicien</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euros/ha/an.</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 xml:space="preserve">Liens vers </w:t>
      </w:r>
      <w:r>
        <w:t>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806"/>
              </w:numPr>
              <w:spacing w:before="240" w:after="0"/>
              <w:ind w:hanging="210"/>
              <w:jc w:val="left"/>
              <w:rPr>
                <w:szCs w:val="24"/>
              </w:rPr>
            </w:pPr>
            <w:r>
              <w:rPr>
                <w:szCs w:val="24"/>
              </w:rPr>
              <w:t>les exigences établies en vertu de l’article 93 du règlement UE n° 1306/2013 et de l’article 4.1c points ii) et iii) du règlement UE n°1307/2013,</w:t>
            </w:r>
          </w:p>
          <w:p w:rsidR="0035701C" w:rsidRDefault="00FB561B" w:rsidP="00FB561B">
            <w:pPr>
              <w:numPr>
                <w:ilvl w:val="0"/>
                <w:numId w:val="806"/>
              </w:numPr>
              <w:spacing w:before="0" w:after="0"/>
              <w:ind w:hanging="210"/>
              <w:jc w:val="left"/>
              <w:rPr>
                <w:szCs w:val="24"/>
              </w:rPr>
            </w:pPr>
            <w:r>
              <w:rPr>
                <w:szCs w:val="24"/>
              </w:rPr>
              <w:t>la circulaire na</w:t>
            </w:r>
            <w:r>
              <w:rPr>
                <w:szCs w:val="24"/>
              </w:rPr>
              <w:t>tionale fixant les règles relatives aux bonnes conduites agricoles et environnementales (BCAE).</w:t>
            </w:r>
          </w:p>
          <w:p w:rsidR="0035701C" w:rsidRDefault="00FB561B" w:rsidP="00FB561B">
            <w:pPr>
              <w:numPr>
                <w:ilvl w:val="0"/>
                <w:numId w:val="806"/>
              </w:numPr>
              <w:spacing w:before="0" w:after="240"/>
              <w:ind w:hanging="210"/>
              <w:jc w:val="left"/>
              <w:rPr>
                <w:szCs w:val="24"/>
              </w:rPr>
            </w:pPr>
            <w:r>
              <w:rPr>
                <w:szCs w:val="24"/>
              </w:rPr>
              <w:t>l’arrêté préfectoral régional en vigueur en Corse fixant les règles relatives aux bonnes conduites agricoles et environnementales (BCAE).</w:t>
            </w:r>
          </w:p>
          <w:p w:rsidR="0035701C" w:rsidRDefault="00FB561B">
            <w:pPr>
              <w:spacing w:before="240" w:after="240"/>
              <w:jc w:val="left"/>
              <w:rPr>
                <w:szCs w:val="24"/>
              </w:rPr>
            </w:pPr>
            <w:r>
              <w:rPr>
                <w:szCs w:val="24"/>
              </w:rPr>
              <w:t xml:space="preserve">Afin d’exclure tout </w:t>
            </w:r>
            <w:r>
              <w:rPr>
                <w:szCs w:val="24"/>
              </w:rPr>
              <w:t>double paiement, les pratiques visées à l’article 43 du règlement UE n° 1307/2013 sont prises en compte dans le calcul des surcoûts et manques à gagner.</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w:t>
            </w:r>
            <w:r>
              <w:rPr>
                <w:szCs w:val="24"/>
              </w:rPr>
              <w:t>es coûts éligibles sont les surcoûts, manques à gagner et éventuels coûts d’opportunité et de transaction générés par le respect des éléments contractualisés.</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Couverts éligibles :</w:t>
            </w:r>
            <w:r>
              <w:rPr>
                <w:szCs w:val="24"/>
              </w:rPr>
              <w:t xml:space="preserve"> Arboriculture.</w:t>
            </w:r>
          </w:p>
          <w:p w:rsidR="0035701C" w:rsidRDefault="00FB561B">
            <w:pPr>
              <w:spacing w:before="240" w:after="240"/>
              <w:jc w:val="left"/>
              <w:rPr>
                <w:szCs w:val="24"/>
              </w:rPr>
            </w:pPr>
            <w:r>
              <w:rPr>
                <w:b/>
                <w:bCs/>
                <w:i/>
                <w:iCs/>
                <w:szCs w:val="24"/>
              </w:rPr>
              <w:t>Diagnostic d’exploitation :</w:t>
            </w:r>
          </w:p>
          <w:p w:rsidR="0035701C" w:rsidRDefault="00FB561B">
            <w:pPr>
              <w:spacing w:before="240" w:after="240"/>
              <w:jc w:val="left"/>
              <w:rPr>
                <w:szCs w:val="24"/>
              </w:rPr>
            </w:pPr>
            <w:r>
              <w:rPr>
                <w:szCs w:val="24"/>
              </w:rPr>
              <w:t>La</w:t>
            </w:r>
            <w:r>
              <w:rPr>
                <w:szCs w:val="24"/>
              </w:rPr>
              <w:t xml:space="preserve"> réalisation d’un diagnostic d’exploitation est une obligation pour la souscription de cette opération.</w:t>
            </w:r>
          </w:p>
          <w:p w:rsidR="0035701C" w:rsidRDefault="00FB561B">
            <w:pPr>
              <w:spacing w:before="240" w:after="240"/>
              <w:jc w:val="left"/>
              <w:rPr>
                <w:szCs w:val="24"/>
              </w:rPr>
            </w:pPr>
            <w:r>
              <w:rPr>
                <w:szCs w:val="24"/>
              </w:rPr>
              <w:t>Le diagnostic d’exploitation fera apparaître les différentes possibilités de combinaison avec d’autres opérations.</w:t>
            </w:r>
          </w:p>
          <w:p w:rsidR="0035701C" w:rsidRDefault="0035701C">
            <w:pPr>
              <w:pStyle w:val="Corpsdetexte"/>
            </w:pPr>
          </w:p>
        </w:tc>
      </w:tr>
    </w:tbl>
    <w:p w:rsidR="0035701C" w:rsidRDefault="00FB561B">
      <w:pPr>
        <w:pStyle w:val="Titre6"/>
      </w:pPr>
      <w:r>
        <w:t>Principes applicables à l'établisse</w:t>
      </w:r>
      <w:r>
        <w:t>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Afin d’éviter le double paiement du coût de transaction concernant l’élaboration du bilan annuel de la stratégie des cultures :</w:t>
            </w:r>
          </w:p>
          <w:p w:rsidR="0035701C" w:rsidRDefault="00FB561B">
            <w:pPr>
              <w:spacing w:before="240" w:after="240"/>
              <w:jc w:val="left"/>
              <w:rPr>
                <w:szCs w:val="24"/>
              </w:rPr>
            </w:pPr>
            <w:r>
              <w:rPr>
                <w:szCs w:val="24"/>
              </w:rPr>
              <w:t>Option 1</w:t>
            </w:r>
            <w:r>
              <w:rPr>
                <w:szCs w:val="24"/>
              </w:rPr>
              <w:t xml:space="preserve"> (si l’opération est souscrite seule ou si elle est la première souscrite, le bilan s’ajoutera obligatoirement à cette opération) :</w:t>
            </w:r>
          </w:p>
          <w:p w:rsidR="0035701C" w:rsidRDefault="00FB561B">
            <w:pPr>
              <w:spacing w:before="240" w:after="240"/>
              <w:jc w:val="left"/>
              <w:rPr>
                <w:szCs w:val="24"/>
              </w:rPr>
            </w:pPr>
            <w:r>
              <w:rPr>
                <w:szCs w:val="24"/>
              </w:rPr>
              <w:t>Le montant unitaire est fixé à 144,99 € /ha/an.</w:t>
            </w:r>
          </w:p>
          <w:p w:rsidR="0035701C" w:rsidRDefault="00FB561B">
            <w:pPr>
              <w:spacing w:before="240" w:after="240"/>
              <w:jc w:val="left"/>
              <w:rPr>
                <w:szCs w:val="24"/>
              </w:rPr>
            </w:pPr>
            <w:r>
              <w:rPr>
                <w:szCs w:val="24"/>
              </w:rPr>
              <w:t xml:space="preserve">Option 2 (si l’opération est souscrite avec d’autres opérations le bilan ne </w:t>
            </w:r>
            <w:r>
              <w:rPr>
                <w:szCs w:val="24"/>
              </w:rPr>
              <w:t>pourra être comptabilisé qu’une seule fois) :</w:t>
            </w:r>
          </w:p>
          <w:p w:rsidR="0035701C" w:rsidRDefault="00FB561B">
            <w:pPr>
              <w:spacing w:before="240" w:after="240"/>
              <w:jc w:val="left"/>
              <w:rPr>
                <w:szCs w:val="24"/>
              </w:rPr>
            </w:pPr>
            <w:r>
              <w:rPr>
                <w:szCs w:val="24"/>
              </w:rPr>
              <w:t>Le montant unitaire est  fixé à 127,52 €/ha/an pour la mise en place du piégeage massif contre la mouche méditerranéenne des fruits.</w:t>
            </w:r>
          </w:p>
          <w:p w:rsidR="0035701C" w:rsidRDefault="00FB561B">
            <w:pPr>
              <w:spacing w:before="240" w:after="240"/>
              <w:jc w:val="left"/>
              <w:rPr>
                <w:szCs w:val="24"/>
              </w:rPr>
            </w:pPr>
            <w:r>
              <w:rPr>
                <w:szCs w:val="24"/>
              </w:rPr>
              <w:t>En cas de combinaison d'opérations sur une même parcelle, le montant de l’aid</w:t>
            </w:r>
            <w:r>
              <w:rPr>
                <w:szCs w:val="24"/>
              </w:rPr>
              <w:t>e sera limité au maximum à 900€/ha.</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Détermination et définition des éléments du niveau de référence applicable, qui doivent inclure les normes obligatoires établies en application du titre VI, chapitre I, du règlement (UE) n° 1306/2013 du Parlement eu</w:t>
      </w:r>
      <w:r>
        <w:t xml:space="preserve">ropéen et du Conseil, les critères pertinents et les activités minimales établies en application de l'article 4, paragraphe 1, point c) ii) et c) iii), du règlement (UE) n° 1307/2013 du Parlement européen et du Conseil, les exigences minimales applicables </w:t>
      </w:r>
      <w:r>
        <w:t>à l'utilisation des engrais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ind w:left="103"/>
              <w:jc w:val="left"/>
              <w:rPr>
                <w:szCs w:val="24"/>
              </w:rPr>
            </w:pPr>
            <w:r>
              <w:rPr>
                <w:szCs w:val="24"/>
              </w:rPr>
              <w:t>Par ailleurs, si les pratiques rémunérées au titre de la présente opération sont rendues oblig</w:t>
            </w:r>
            <w:r>
              <w:rPr>
                <w:szCs w:val="24"/>
              </w:rPr>
              <w:t>atoires sur des zones au titre de la protection de la biodiversité (notamment des zones classées au titre des réserves naturelles des arrêtés de protection de biotopes), celle-ci ne peut être ouverte sur les zones concernées.</w:t>
            </w:r>
          </w:p>
          <w:p w:rsidR="0035701C" w:rsidRDefault="00FB561B">
            <w:pPr>
              <w:spacing w:before="240" w:after="240"/>
              <w:jc w:val="left"/>
              <w:rPr>
                <w:szCs w:val="24"/>
              </w:rPr>
            </w:pPr>
            <w:r>
              <w:rPr>
                <w:szCs w:val="24"/>
              </w:rPr>
              <w:t> </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293772"/>
                  <wp:effectExtent l="0" t="0" r="0" b="0"/>
                  <wp:docPr id="100232" name="Image 100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3" name=""/>
                          <pic:cNvPicPr>
                            <a:picLocks noChangeAspect="1"/>
                          </pic:cNvPicPr>
                        </pic:nvPicPr>
                        <pic:blipFill>
                          <a:blip r:embed="rId122"/>
                          <a:stretch>
                            <a:fillRect/>
                          </a:stretch>
                        </pic:blipFill>
                        <pic:spPr>
                          <a:xfrm>
                            <a:off x="0" y="0"/>
                            <a:ext cx="6629400" cy="1293772"/>
                          </a:xfrm>
                          <a:prstGeom prst="rect">
                            <a:avLst/>
                          </a:prstGeom>
                        </pic:spPr>
                      </pic:pic>
                    </a:graphicData>
                  </a:graphic>
                </wp:inline>
              </w:drawing>
            </w:r>
          </w:p>
          <w:p w:rsidR="0035701C" w:rsidRDefault="00FB561B">
            <w:pPr>
              <w:pStyle w:val="Pieddepage"/>
              <w:jc w:val="center"/>
            </w:pPr>
            <w:r>
              <w:t>Eau_7_lignebase</w:t>
            </w:r>
          </w:p>
          <w:p w:rsidR="0035701C" w:rsidRDefault="0035701C">
            <w:pPr>
              <w:pStyle w:val="Pieddepage"/>
              <w:jc w:val="center"/>
            </w:pPr>
          </w:p>
        </w:tc>
      </w:tr>
    </w:tbl>
    <w:p w:rsidR="0035701C" w:rsidRDefault="00FB561B">
      <w:r>
        <w:t xml:space="preserve">Les </w:t>
      </w:r>
      <w:r>
        <w:t>exigences minimales relatives à l'utilisation d'engrais doivent comprendre, entre autres, le respect des codes de bonnes pratiques introduits au titre de la directive 91/676/CEE pour les exploitations situées en dehors des zones vulnérables aux nitrates, e</w:t>
      </w:r>
      <w:r>
        <w:t>t des exigences concernant la pollution au phosphore; les exigences minimales relatives à l'utilisation de produits phytosanitaires doivent comprendre, entre autres, les principes généraux de la lutte intégrée contre les ennemis des cultures introduits par</w:t>
      </w:r>
      <w:r>
        <w:t xml:space="preserve"> la directive 2009/128/CE du Parlement européen et du Conseil, l’obligation de détenir une autorisation d’utiliser les produits, de satisfaire aux conditions de formation, d’assurer un stockage sûr et de contrôler les équipements destinés à l’épandage ains</w:t>
      </w:r>
      <w:r>
        <w:t>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Liste des races locales qui s</w:t>
      </w:r>
      <w:r>
        <w:t>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Description de la méthode et des hypothèses et paramètres agronomiques y compris la description des exigences minimales</w:t>
      </w:r>
      <w:r>
        <w:t xml:space="preserve"> visées à l'article 29, paragraphe 2, du règlement (UE) n° 1305/2013 correspondant à chaque type particulier d'engagement, utilisés comme référence pour les calculs justifiant les coûts supplémentaires et les pertes de revenus résultant de l’engagement pri</w:t>
      </w:r>
      <w:r>
        <w:t>s et le niveau des coûts des transactions; le cas échéant, cette méthode tient compte des aides accordées au titre du règlement (UE) n° 1307/2013, et notamment des paiements en faveur des pratiques agricoles bénéfiques pour le climat et l’environnement, af</w:t>
      </w:r>
      <w:r>
        <w:t>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Méthode générale de calcul du montant : </w:t>
            </w:r>
            <w:r>
              <w:rPr>
                <w:szCs w:val="24"/>
              </w:rPr>
              <w:t>Le montant de l’aide est calculé sur la base de l’utilisation du m</w:t>
            </w:r>
            <w:r>
              <w:rPr>
                <w:szCs w:val="24"/>
              </w:rPr>
              <w:t>atériel et du temps de travail supplémentaire nécessaire pour la mise en place de la lutte biologique ainsi que les coûts de transaction générés par le respect des éléments contractualisés.</w:t>
            </w:r>
          </w:p>
          <w:p w:rsidR="0035701C" w:rsidRDefault="00FB561B">
            <w:pPr>
              <w:spacing w:before="240" w:after="240"/>
              <w:jc w:val="left"/>
              <w:rPr>
                <w:szCs w:val="24"/>
              </w:rPr>
            </w:pPr>
            <w:r>
              <w:rPr>
                <w:b/>
                <w:bCs/>
                <w:i/>
                <w:iCs/>
                <w:szCs w:val="24"/>
              </w:rPr>
              <w:t>Pratiques de références </w:t>
            </w:r>
            <w:r>
              <w:rPr>
                <w:szCs w:val="24"/>
              </w:rPr>
              <w:t xml:space="preserve">: La méthode de lutte actuelle consiste à </w:t>
            </w:r>
            <w:r>
              <w:rPr>
                <w:szCs w:val="24"/>
              </w:rPr>
              <w:t>positionner un piège et à réaliser un suivi bi-hebdomadaire des populations du ravageur pour déclencher les traitements chimiques au moment des pics de population. (Nombre de traitements réalisés : 4)</w:t>
            </w:r>
          </w:p>
          <w:p w:rsidR="0035701C" w:rsidRDefault="00FB561B">
            <w:pPr>
              <w:spacing w:before="240" w:after="240"/>
              <w:jc w:val="left"/>
              <w:rPr>
                <w:szCs w:val="24"/>
              </w:rPr>
            </w:pPr>
            <w:r>
              <w:rPr>
                <w:b/>
                <w:bCs/>
                <w:i/>
                <w:iCs/>
                <w:szCs w:val="24"/>
              </w:rPr>
              <w:t xml:space="preserve">Verdissement : </w:t>
            </w:r>
          </w:p>
          <w:p w:rsidR="0035701C" w:rsidRDefault="00FB561B">
            <w:pPr>
              <w:spacing w:before="240" w:after="240"/>
              <w:jc w:val="left"/>
              <w:rPr>
                <w:szCs w:val="24"/>
              </w:rPr>
            </w:pPr>
            <w:r>
              <w:rPr>
                <w:szCs w:val="24"/>
              </w:rPr>
              <w:t>L’opération ne rémunère pas :</w:t>
            </w:r>
          </w:p>
          <w:p w:rsidR="0035701C" w:rsidRDefault="00FB561B" w:rsidP="00FB561B">
            <w:pPr>
              <w:numPr>
                <w:ilvl w:val="0"/>
                <w:numId w:val="807"/>
              </w:numPr>
              <w:spacing w:before="240" w:after="0"/>
              <w:ind w:hanging="210"/>
              <w:jc w:val="left"/>
              <w:rPr>
                <w:szCs w:val="24"/>
              </w:rPr>
            </w:pPr>
            <w:r>
              <w:rPr>
                <w:szCs w:val="24"/>
              </w:rPr>
              <w:t>Le mainti</w:t>
            </w:r>
            <w:r>
              <w:rPr>
                <w:szCs w:val="24"/>
              </w:rPr>
              <w:t>en des prairies permanentes</w:t>
            </w:r>
          </w:p>
          <w:p w:rsidR="0035701C" w:rsidRDefault="00FB561B" w:rsidP="00FB561B">
            <w:pPr>
              <w:numPr>
                <w:ilvl w:val="0"/>
                <w:numId w:val="807"/>
              </w:numPr>
              <w:spacing w:before="0" w:after="0"/>
              <w:ind w:hanging="210"/>
              <w:jc w:val="left"/>
              <w:rPr>
                <w:szCs w:val="24"/>
              </w:rPr>
            </w:pPr>
            <w:r>
              <w:rPr>
                <w:szCs w:val="24"/>
              </w:rPr>
              <w:t>Les obligations de diversité des assolements</w:t>
            </w:r>
          </w:p>
          <w:p w:rsidR="0035701C" w:rsidRDefault="00FB561B" w:rsidP="00FB561B">
            <w:pPr>
              <w:numPr>
                <w:ilvl w:val="0"/>
                <w:numId w:val="807"/>
              </w:numPr>
              <w:spacing w:before="0" w:after="240"/>
              <w:ind w:hanging="210"/>
              <w:jc w:val="left"/>
              <w:rPr>
                <w:szCs w:val="24"/>
              </w:rPr>
            </w:pPr>
            <w:r>
              <w:rPr>
                <w:szCs w:val="24"/>
              </w:rPr>
              <w:t>Les obligations liées aux surfaces d’intérêt écologique</w:t>
            </w:r>
          </w:p>
          <w:p w:rsidR="0035701C" w:rsidRDefault="00FB561B">
            <w:pPr>
              <w:spacing w:before="240" w:after="240"/>
              <w:jc w:val="left"/>
              <w:rPr>
                <w:szCs w:val="24"/>
              </w:rPr>
            </w:pPr>
            <w:r>
              <w:rPr>
                <w:szCs w:val="24"/>
              </w:rPr>
              <w:t>Il n’y a donc pas de risque de double paiement pour ce qui concerne les pratiques du verdissement.</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808"/>
              </w:numPr>
              <w:spacing w:before="240" w:after="0"/>
              <w:ind w:hanging="210"/>
              <w:jc w:val="left"/>
              <w:rPr>
                <w:szCs w:val="24"/>
              </w:rPr>
            </w:pPr>
            <w:r>
              <w:rPr>
                <w:szCs w:val="24"/>
              </w:rPr>
              <w:t>Coût des</w:t>
            </w:r>
            <w:r>
              <w:rPr>
                <w:szCs w:val="24"/>
              </w:rPr>
              <w:t xml:space="preserve"> pièges : CANICO</w:t>
            </w:r>
          </w:p>
          <w:p w:rsidR="0035701C" w:rsidRDefault="00FB561B" w:rsidP="00FB561B">
            <w:pPr>
              <w:numPr>
                <w:ilvl w:val="0"/>
                <w:numId w:val="808"/>
              </w:numPr>
              <w:spacing w:before="0" w:after="0"/>
              <w:ind w:hanging="210"/>
              <w:jc w:val="left"/>
              <w:rPr>
                <w:szCs w:val="24"/>
              </w:rPr>
            </w:pPr>
            <w:r>
              <w:rPr>
                <w:szCs w:val="24"/>
              </w:rPr>
              <w:t>Méthode et temps de mis en place du dispositif : INRA URGRQA – AREFLEC – CIVAM BIO CORSE</w:t>
            </w:r>
          </w:p>
          <w:p w:rsidR="0035701C" w:rsidRDefault="00FB561B" w:rsidP="00FB561B">
            <w:pPr>
              <w:numPr>
                <w:ilvl w:val="0"/>
                <w:numId w:val="808"/>
              </w:numPr>
              <w:spacing w:before="0" w:after="0"/>
              <w:ind w:hanging="210"/>
              <w:jc w:val="left"/>
              <w:rPr>
                <w:szCs w:val="24"/>
              </w:rPr>
            </w:pPr>
            <w:r>
              <w:rPr>
                <w:szCs w:val="24"/>
              </w:rPr>
              <w:t>Barème des coûts horaires des techniciens : assemblée permanente des chambres d’agriculture (APCA)</w:t>
            </w:r>
          </w:p>
          <w:p w:rsidR="0035701C" w:rsidRDefault="00FB561B" w:rsidP="00FB561B">
            <w:pPr>
              <w:numPr>
                <w:ilvl w:val="0"/>
                <w:numId w:val="808"/>
              </w:numPr>
              <w:spacing w:before="0" w:after="0"/>
              <w:ind w:hanging="210"/>
              <w:jc w:val="left"/>
              <w:rPr>
                <w:szCs w:val="24"/>
              </w:rPr>
            </w:pPr>
            <w:r>
              <w:rPr>
                <w:szCs w:val="24"/>
              </w:rPr>
              <w:t>Coût du matériel : Bureau de Coordination du Machin</w:t>
            </w:r>
            <w:r>
              <w:rPr>
                <w:szCs w:val="24"/>
              </w:rPr>
              <w:t>isme Agricole (tarifs 2012)</w:t>
            </w:r>
          </w:p>
          <w:p w:rsidR="0035701C" w:rsidRDefault="00FB561B" w:rsidP="00FB561B">
            <w:pPr>
              <w:numPr>
                <w:ilvl w:val="0"/>
                <w:numId w:val="808"/>
              </w:numPr>
              <w:spacing w:before="0" w:after="0"/>
              <w:ind w:hanging="210"/>
              <w:jc w:val="left"/>
              <w:rPr>
                <w:szCs w:val="24"/>
              </w:rPr>
            </w:pPr>
            <w:r>
              <w:rPr>
                <w:szCs w:val="24"/>
              </w:rPr>
              <w:t>Surface moyenne engagée par exploitation : surface moyenne engagée en MAE</w:t>
            </w:r>
          </w:p>
          <w:p w:rsidR="0035701C" w:rsidRDefault="00FB561B" w:rsidP="00FB561B">
            <w:pPr>
              <w:numPr>
                <w:ilvl w:val="0"/>
                <w:numId w:val="808"/>
              </w:numPr>
              <w:spacing w:before="0" w:after="240"/>
              <w:ind w:hanging="210"/>
              <w:jc w:val="left"/>
              <w:rPr>
                <w:szCs w:val="24"/>
              </w:rPr>
            </w:pPr>
            <w:r>
              <w:rPr>
                <w:szCs w:val="24"/>
              </w:rPr>
              <w:t>Temps de travail pour la réalisation d’un bilan : experts nationaux</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5952936" cy="8280400"/>
                  <wp:effectExtent l="0" t="0" r="0" b="0"/>
                  <wp:docPr id="100234" name="Image 100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5" name=""/>
                          <pic:cNvPicPr>
                            <a:picLocks noChangeAspect="1"/>
                          </pic:cNvPicPr>
                        </pic:nvPicPr>
                        <pic:blipFill>
                          <a:blip r:embed="rId127"/>
                          <a:stretch>
                            <a:fillRect/>
                          </a:stretch>
                        </pic:blipFill>
                        <pic:spPr>
                          <a:xfrm>
                            <a:off x="0" y="0"/>
                            <a:ext cx="5952936" cy="8280400"/>
                          </a:xfrm>
                          <a:prstGeom prst="rect">
                            <a:avLst/>
                          </a:prstGeom>
                        </pic:spPr>
                      </pic:pic>
                    </a:graphicData>
                  </a:graphic>
                </wp:inline>
              </w:drawing>
            </w:r>
          </w:p>
          <w:p w:rsidR="0035701C" w:rsidRDefault="00FB561B">
            <w:pPr>
              <w:pStyle w:val="Pieddepage"/>
              <w:jc w:val="center"/>
            </w:pPr>
            <w:r>
              <w:t>Eau_7_option1</w:t>
            </w:r>
          </w:p>
          <w:p w:rsidR="0035701C" w:rsidRDefault="00FB561B">
            <w:pPr>
              <w:pStyle w:val="Pieddepage"/>
              <w:jc w:val="center"/>
            </w:pPr>
            <w:r>
              <w:rPr>
                <w:noProof/>
                <w:lang w:val="fr-FR" w:eastAsia="fr-FR"/>
              </w:rPr>
              <w:drawing>
                <wp:inline distT="0" distB="0" distL="0" distR="0">
                  <wp:extent cx="6353175" cy="5600700"/>
                  <wp:effectExtent l="0" t="0" r="0" b="0"/>
                  <wp:docPr id="100236" name="Image 100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7" name=""/>
                          <pic:cNvPicPr>
                            <a:picLocks noChangeAspect="1"/>
                          </pic:cNvPicPr>
                        </pic:nvPicPr>
                        <pic:blipFill>
                          <a:blip r:embed="rId128"/>
                          <a:stretch>
                            <a:fillRect/>
                          </a:stretch>
                        </pic:blipFill>
                        <pic:spPr>
                          <a:xfrm>
                            <a:off x="0" y="0"/>
                            <a:ext cx="6353175" cy="5600700"/>
                          </a:xfrm>
                          <a:prstGeom prst="rect">
                            <a:avLst/>
                          </a:prstGeom>
                        </pic:spPr>
                      </pic:pic>
                    </a:graphicData>
                  </a:graphic>
                </wp:inline>
              </w:drawing>
            </w:r>
          </w:p>
          <w:p w:rsidR="0035701C" w:rsidRDefault="00FB561B">
            <w:pPr>
              <w:pStyle w:val="Pieddepage"/>
              <w:jc w:val="center"/>
            </w:pPr>
            <w:r>
              <w:t>Eau_7_option2</w:t>
            </w:r>
          </w:p>
          <w:p w:rsidR="0035701C" w:rsidRDefault="0035701C">
            <w:pPr>
              <w:pStyle w:val="Pieddepage"/>
              <w:jc w:val="center"/>
            </w:pPr>
          </w:p>
        </w:tc>
      </w:tr>
    </w:tbl>
    <w:p w:rsidR="0035701C" w:rsidRDefault="00FB561B">
      <w:pPr>
        <w:pStyle w:val="Titre5"/>
        <w:rPr>
          <w:b w:val="0"/>
        </w:rPr>
      </w:pPr>
      <w:r>
        <w:rPr>
          <w:b w:val="0"/>
        </w:rPr>
        <w:br w:type="page"/>
        <w:t>-36- EAU_8</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809"/>
              </w:numPr>
            </w:pPr>
            <w:r>
              <w:t>10.1 – Paiements au titre</w:t>
            </w:r>
            <w:r>
              <w:t xml:space="preserv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EAU_8 = Mise en place de la confusion sexuelle contre la tordeuse orientale du pêcher.</w:t>
            </w:r>
          </w:p>
          <w:p w:rsidR="0035701C" w:rsidRDefault="00FB561B">
            <w:pPr>
              <w:spacing w:before="240" w:after="240"/>
              <w:jc w:val="left"/>
              <w:rPr>
                <w:szCs w:val="24"/>
              </w:rPr>
            </w:pPr>
            <w:r>
              <w:rPr>
                <w:szCs w:val="24"/>
              </w:rPr>
              <w:t xml:space="preserve">La tordeuse orientale du pêcher est à l’origine du dessèchement </w:t>
            </w:r>
            <w:r>
              <w:rPr>
                <w:szCs w:val="24"/>
              </w:rPr>
              <w:t>des pousses et de la perte de fruits liée au développement des larves dans la chair. Les pertes économiques peuvent être très importantes.</w:t>
            </w:r>
          </w:p>
          <w:p w:rsidR="0035701C" w:rsidRDefault="00FB561B">
            <w:pPr>
              <w:spacing w:before="240" w:after="240"/>
              <w:jc w:val="left"/>
              <w:rPr>
                <w:szCs w:val="24"/>
              </w:rPr>
            </w:pPr>
            <w:r>
              <w:rPr>
                <w:szCs w:val="24"/>
              </w:rPr>
              <w:t>Des travaux relatifs à la confusion sexuelle ont permis de définir les modalités de mise en œuvre de la mesure. Ils o</w:t>
            </w:r>
            <w:r>
              <w:rPr>
                <w:szCs w:val="24"/>
              </w:rPr>
              <w:t>nt ainsi fixé la surface minimum d’intervention à 1 hectare.</w:t>
            </w:r>
          </w:p>
          <w:p w:rsidR="0035701C" w:rsidRDefault="00FB561B">
            <w:pPr>
              <w:spacing w:before="240" w:after="240"/>
              <w:jc w:val="left"/>
              <w:rPr>
                <w:szCs w:val="24"/>
              </w:rPr>
            </w:pPr>
            <w:r>
              <w:rPr>
                <w:szCs w:val="24"/>
              </w:rPr>
              <w:t>Le piégeage d’un individu étant fréquent, un traitement chimique de renfort ( à la charge de l’exploitant et après avis d’un technicien formalisé dans le cahier de l’exploitant) est prévu.</w:t>
            </w:r>
          </w:p>
          <w:p w:rsidR="0035701C" w:rsidRDefault="00FB561B">
            <w:pPr>
              <w:spacing w:before="240" w:after="240"/>
              <w:jc w:val="left"/>
              <w:rPr>
                <w:szCs w:val="24"/>
              </w:rPr>
            </w:pPr>
            <w:r>
              <w:rPr>
                <w:szCs w:val="24"/>
              </w:rPr>
              <w:t>Dès lo</w:t>
            </w:r>
            <w:r>
              <w:rPr>
                <w:szCs w:val="24"/>
              </w:rPr>
              <w:t>rs, par rapport à la pratique conventionnelle, le nombre de traitements passe de 6 à 3.</w:t>
            </w:r>
          </w:p>
          <w:p w:rsidR="0035701C" w:rsidRDefault="00FB561B">
            <w:pPr>
              <w:spacing w:before="240" w:after="240"/>
              <w:jc w:val="left"/>
              <w:rPr>
                <w:szCs w:val="24"/>
              </w:rPr>
            </w:pPr>
            <w:r>
              <w:rPr>
                <w:szCs w:val="24"/>
              </w:rPr>
              <w:t>L’objectif principal est de réduire les risques de pollution des eaux par les produits phytosanitaires.</w:t>
            </w:r>
          </w:p>
          <w:p w:rsidR="0035701C" w:rsidRDefault="00FB561B">
            <w:pPr>
              <w:spacing w:before="240" w:after="240"/>
              <w:jc w:val="left"/>
              <w:rPr>
                <w:szCs w:val="24"/>
              </w:rPr>
            </w:pPr>
            <w:r>
              <w:rPr>
                <w:szCs w:val="24"/>
              </w:rPr>
              <w:t>Cette opération peut être combinée avec d’autres opérations tell</w:t>
            </w:r>
            <w:r>
              <w:rPr>
                <w:szCs w:val="24"/>
              </w:rPr>
              <w:t>es le piégeage massif contre la mouche méditerranéenne des fruits et/ou la mise en place d’un enherbement au niveau des inter-rangs.</w:t>
            </w:r>
          </w:p>
          <w:p w:rsidR="0035701C" w:rsidRDefault="00FB561B">
            <w:pPr>
              <w:spacing w:before="240" w:after="240"/>
              <w:jc w:val="left"/>
              <w:rPr>
                <w:szCs w:val="24"/>
              </w:rPr>
            </w:pPr>
            <w:r>
              <w:rPr>
                <w:b/>
                <w:bCs/>
                <w:i/>
                <w:iCs/>
                <w:szCs w:val="24"/>
              </w:rPr>
              <w:t>Cahier des charges :</w:t>
            </w:r>
          </w:p>
          <w:p w:rsidR="0035701C" w:rsidRDefault="00FB561B" w:rsidP="00FB561B">
            <w:pPr>
              <w:numPr>
                <w:ilvl w:val="0"/>
                <w:numId w:val="810"/>
              </w:numPr>
              <w:spacing w:before="240" w:after="0"/>
              <w:ind w:hanging="210"/>
              <w:jc w:val="left"/>
              <w:rPr>
                <w:szCs w:val="24"/>
              </w:rPr>
            </w:pPr>
            <w:r>
              <w:rPr>
                <w:szCs w:val="24"/>
              </w:rPr>
              <w:t xml:space="preserve">L’agriculteur s’engage à respecter le protocole établi par les structures agréées pour la mise en </w:t>
            </w:r>
            <w:r>
              <w:rPr>
                <w:szCs w:val="24"/>
              </w:rPr>
              <w:t>place de la confusion sexuelle. La surface minimum de contractualisation est d’un hectare.</w:t>
            </w:r>
          </w:p>
          <w:p w:rsidR="0035701C" w:rsidRDefault="00FB561B" w:rsidP="00FB561B">
            <w:pPr>
              <w:numPr>
                <w:ilvl w:val="0"/>
                <w:numId w:val="810"/>
              </w:numPr>
              <w:spacing w:before="0" w:after="0"/>
              <w:ind w:hanging="210"/>
              <w:jc w:val="left"/>
              <w:rPr>
                <w:szCs w:val="24"/>
              </w:rPr>
            </w:pPr>
            <w:r>
              <w:rPr>
                <w:szCs w:val="24"/>
              </w:rPr>
              <w:t>Il doit mettre en place de diffuseurs à phéromone en verger à une densité de 500 diffuseurs par hectare.</w:t>
            </w:r>
          </w:p>
          <w:p w:rsidR="0035701C" w:rsidRDefault="00FB561B" w:rsidP="00FB561B">
            <w:pPr>
              <w:numPr>
                <w:ilvl w:val="0"/>
                <w:numId w:val="810"/>
              </w:numPr>
              <w:spacing w:before="0" w:after="0"/>
              <w:ind w:hanging="210"/>
              <w:jc w:val="left"/>
              <w:rPr>
                <w:szCs w:val="24"/>
              </w:rPr>
            </w:pPr>
            <w:r>
              <w:rPr>
                <w:szCs w:val="24"/>
              </w:rPr>
              <w:t>Il doit réaliser un suivi bi-hebdomadaire des captures penda</w:t>
            </w:r>
            <w:r>
              <w:rPr>
                <w:szCs w:val="24"/>
              </w:rPr>
              <w:t>nt 18 semaines. Il est nécessaire d’assurer une surveillance accrue du verger et donc de mettre 2 pièges par hectare.</w:t>
            </w:r>
          </w:p>
          <w:p w:rsidR="0035701C" w:rsidRDefault="00FB561B" w:rsidP="00FB561B">
            <w:pPr>
              <w:numPr>
                <w:ilvl w:val="0"/>
                <w:numId w:val="810"/>
              </w:numPr>
              <w:spacing w:before="0" w:after="0"/>
              <w:ind w:hanging="210"/>
              <w:jc w:val="left"/>
              <w:rPr>
                <w:szCs w:val="24"/>
              </w:rPr>
            </w:pPr>
            <w:r>
              <w:rPr>
                <w:szCs w:val="24"/>
              </w:rPr>
              <w:t>Il doit réaliser 2 traitements chimiques sur la première génération pour faire baisser la population initiale.</w:t>
            </w:r>
          </w:p>
          <w:p w:rsidR="0035701C" w:rsidRDefault="00FB561B" w:rsidP="00FB561B">
            <w:pPr>
              <w:numPr>
                <w:ilvl w:val="0"/>
                <w:numId w:val="810"/>
              </w:numPr>
              <w:spacing w:before="0" w:after="0"/>
              <w:ind w:hanging="210"/>
              <w:jc w:val="left"/>
              <w:rPr>
                <w:szCs w:val="24"/>
              </w:rPr>
            </w:pPr>
            <w:r>
              <w:rPr>
                <w:szCs w:val="24"/>
              </w:rPr>
              <w:t>Il doit assurer l’enregistr</w:t>
            </w:r>
            <w:r>
              <w:rPr>
                <w:szCs w:val="24"/>
              </w:rPr>
              <w:t>ement des différentes interventions et des pratiques réalisées dans le cahier de l’exploitant. L’enregistrement des pratiques est une obligation pendant toute la durée de l’engagement, permettant ainsi de vérifier l’atteinte de l’objectif sur la durée du c</w:t>
            </w:r>
            <w:r>
              <w:rPr>
                <w:szCs w:val="24"/>
              </w:rPr>
              <w:t>ontrat.</w:t>
            </w:r>
          </w:p>
          <w:p w:rsidR="0035701C" w:rsidRDefault="00FB561B" w:rsidP="00FB561B">
            <w:pPr>
              <w:numPr>
                <w:ilvl w:val="0"/>
                <w:numId w:val="810"/>
              </w:numPr>
              <w:spacing w:before="0" w:after="240"/>
              <w:ind w:hanging="210"/>
              <w:jc w:val="left"/>
              <w:rPr>
                <w:szCs w:val="24"/>
              </w:rPr>
            </w:pPr>
            <w:r>
              <w:rPr>
                <w:szCs w:val="24"/>
              </w:rPr>
              <w:t>Il doit réaliser un bilan annuel de suivi. L’élaboration de ce bilan est obligatoire afin de garantir de bonnes conditions d’appui technique à la réduction de ces intrants. Il permettra d’évaluer la pertinence des options techniques retenues, de s’</w:t>
            </w:r>
            <w:r>
              <w:rPr>
                <w:szCs w:val="24"/>
              </w:rPr>
              <w:t>assurer de l’atteinte des objectifs de résultat et d’optimiser l’efficacité de la solution agronomique mise en œuvre. Ce bilan annuel doit être réalisé chaque année par l’agriculteur et deux fois avec l’appui d’un technicien.</w:t>
            </w:r>
          </w:p>
          <w:p w:rsidR="0035701C" w:rsidRDefault="0035701C">
            <w:pPr>
              <w:pStyle w:val="Corpsdetexte"/>
            </w:pPr>
          </w:p>
        </w:tc>
      </w:tr>
    </w:tbl>
    <w:p w:rsidR="0035701C" w:rsidRDefault="00FB561B">
      <w:pPr>
        <w:pStyle w:val="Titre6"/>
      </w:pPr>
      <w:r>
        <w:t>Type de soutien</w:t>
      </w:r>
    </w:p>
    <w:p w:rsidR="0035701C" w:rsidRDefault="00FB561B">
      <w:r>
        <w:t>Type de sout</w:t>
      </w:r>
      <w:r>
        <w: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811"/>
              </w:numPr>
              <w:spacing w:before="240" w:after="0"/>
              <w:ind w:hanging="210"/>
              <w:jc w:val="left"/>
              <w:rPr>
                <w:szCs w:val="24"/>
              </w:rPr>
            </w:pPr>
            <w:r>
              <w:rPr>
                <w:szCs w:val="24"/>
              </w:rPr>
              <w:t xml:space="preserve">les exigences </w:t>
            </w:r>
            <w:r>
              <w:rPr>
                <w:szCs w:val="24"/>
              </w:rPr>
              <w:t>établies en vertu de l’article 93 du règlement UE n° 1306/2013 et de l’article 4.1c points ii) et iii) du règlement UE n°1307/2013,</w:t>
            </w:r>
          </w:p>
          <w:p w:rsidR="0035701C" w:rsidRDefault="00FB561B" w:rsidP="00FB561B">
            <w:pPr>
              <w:numPr>
                <w:ilvl w:val="0"/>
                <w:numId w:val="811"/>
              </w:numPr>
              <w:spacing w:before="0" w:after="0"/>
              <w:ind w:hanging="210"/>
              <w:jc w:val="left"/>
              <w:rPr>
                <w:szCs w:val="24"/>
              </w:rPr>
            </w:pPr>
            <w:r>
              <w:rPr>
                <w:szCs w:val="24"/>
              </w:rPr>
              <w:t>la circulaire nationale fixant les règles relatives aux bonnes conduites agricoles et environnementales (BCAE).</w:t>
            </w:r>
          </w:p>
          <w:p w:rsidR="0035701C" w:rsidRDefault="00FB561B" w:rsidP="00FB561B">
            <w:pPr>
              <w:numPr>
                <w:ilvl w:val="0"/>
                <w:numId w:val="811"/>
              </w:numPr>
              <w:spacing w:before="0" w:after="240"/>
              <w:ind w:hanging="210"/>
              <w:jc w:val="left"/>
              <w:rPr>
                <w:szCs w:val="24"/>
              </w:rPr>
            </w:pPr>
            <w:r>
              <w:rPr>
                <w:szCs w:val="24"/>
              </w:rPr>
              <w:t xml:space="preserve">l’arrêté </w:t>
            </w:r>
            <w:r>
              <w:rPr>
                <w:szCs w:val="24"/>
              </w:rPr>
              <w:t>préfectoral régional en vigueur en Corse fixant les règles relatives aux bonnes conduites agricoles et environnementales (BCAE).</w:t>
            </w:r>
          </w:p>
          <w:p w:rsidR="0035701C" w:rsidRDefault="00FB561B">
            <w:pPr>
              <w:spacing w:before="240" w:after="240"/>
              <w:jc w:val="left"/>
              <w:rPr>
                <w:szCs w:val="24"/>
              </w:rPr>
            </w:pPr>
            <w:r>
              <w:rPr>
                <w:szCs w:val="24"/>
              </w:rPr>
              <w:t>Afin d’exclure tout double paiement, les pratiques visées à l’article 43 du règlement UE n° 1307/2013 sont prises en compte dan</w:t>
            </w:r>
            <w:r>
              <w:rPr>
                <w:szCs w:val="24"/>
              </w:rPr>
              <w:t>s le calcul des surcoûts et manques à gagner.</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les surcoûts, manques à gagner et éventuels coûts d’opportunité et de transaction</w:t>
            </w:r>
            <w:r>
              <w:rPr>
                <w:szCs w:val="24"/>
              </w:rPr>
              <w:t xml:space="preserve"> générés par le respect des éléments contractualisés.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Couverts éligibles :</w:t>
            </w:r>
            <w:r>
              <w:rPr>
                <w:szCs w:val="24"/>
              </w:rPr>
              <w:t xml:space="preserve"> Arboriculture.</w:t>
            </w:r>
          </w:p>
          <w:p w:rsidR="0035701C" w:rsidRDefault="00FB561B">
            <w:pPr>
              <w:spacing w:before="240" w:after="240"/>
              <w:jc w:val="left"/>
              <w:rPr>
                <w:szCs w:val="24"/>
              </w:rPr>
            </w:pPr>
            <w:r>
              <w:rPr>
                <w:b/>
                <w:bCs/>
                <w:i/>
                <w:iCs/>
                <w:szCs w:val="24"/>
              </w:rPr>
              <w:t>Diagnostic d’exploitation :</w:t>
            </w:r>
          </w:p>
          <w:p w:rsidR="0035701C" w:rsidRDefault="00FB561B">
            <w:pPr>
              <w:spacing w:before="240" w:after="240"/>
              <w:jc w:val="left"/>
              <w:rPr>
                <w:szCs w:val="24"/>
              </w:rPr>
            </w:pPr>
            <w:r>
              <w:rPr>
                <w:szCs w:val="24"/>
              </w:rPr>
              <w:t>La réalisation d’un diagnostic d’exploitation est une obligation pour la souscription de cette opération.</w:t>
            </w:r>
          </w:p>
          <w:p w:rsidR="0035701C" w:rsidRDefault="00FB561B">
            <w:pPr>
              <w:spacing w:before="240" w:after="240"/>
              <w:jc w:val="left"/>
              <w:rPr>
                <w:szCs w:val="24"/>
              </w:rPr>
            </w:pPr>
            <w:r>
              <w:rPr>
                <w:szCs w:val="24"/>
              </w:rPr>
              <w:t xml:space="preserve">Le </w:t>
            </w:r>
            <w:r>
              <w:rPr>
                <w:szCs w:val="24"/>
              </w:rPr>
              <w:t>diagnostic d’exploitation fera apparaître les différentes possibilités de combinaison avec d’autres opérations.</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w:t>
            </w:r>
            <w:r>
              <w:rPr>
                <w:szCs w:val="24"/>
              </w:rPr>
              <w:t>st de 100 %.</w:t>
            </w:r>
          </w:p>
          <w:p w:rsidR="0035701C" w:rsidRDefault="00FB561B">
            <w:pPr>
              <w:spacing w:before="240" w:after="240"/>
              <w:jc w:val="left"/>
              <w:rPr>
                <w:szCs w:val="24"/>
              </w:rPr>
            </w:pPr>
            <w:r>
              <w:rPr>
                <w:szCs w:val="24"/>
              </w:rPr>
              <w:t>Afin d’éviter le double paiement du coût de transaction concernant l’élaboration du bilan annuel de la stratégie des cultures :</w:t>
            </w:r>
          </w:p>
          <w:p w:rsidR="0035701C" w:rsidRDefault="00FB561B">
            <w:pPr>
              <w:spacing w:before="240" w:after="240"/>
              <w:jc w:val="left"/>
              <w:rPr>
                <w:szCs w:val="24"/>
              </w:rPr>
            </w:pPr>
            <w:r>
              <w:rPr>
                <w:szCs w:val="24"/>
              </w:rPr>
              <w:t xml:space="preserve">Option 1 (si l’opération est souscrite seule ou si elle est la première souscrite, le bilan s’ajoutera </w:t>
            </w:r>
            <w:r>
              <w:rPr>
                <w:szCs w:val="24"/>
              </w:rPr>
              <w:t>obligatoirement à cette opération) :</w:t>
            </w:r>
          </w:p>
          <w:p w:rsidR="0035701C" w:rsidRDefault="00FB561B">
            <w:pPr>
              <w:spacing w:before="240" w:after="240"/>
              <w:jc w:val="left"/>
              <w:rPr>
                <w:szCs w:val="24"/>
              </w:rPr>
            </w:pPr>
            <w:r>
              <w:rPr>
                <w:szCs w:val="24"/>
              </w:rPr>
              <w:t>Le montant unitaire est fixé à 182,34 € /ha/an.</w:t>
            </w:r>
          </w:p>
          <w:p w:rsidR="0035701C" w:rsidRDefault="00FB561B">
            <w:pPr>
              <w:spacing w:before="240" w:after="240"/>
              <w:jc w:val="left"/>
              <w:rPr>
                <w:szCs w:val="24"/>
              </w:rPr>
            </w:pPr>
            <w:r>
              <w:rPr>
                <w:szCs w:val="24"/>
              </w:rPr>
              <w:t>Option 2 (si l’opération est souscrite avec d’autres opérations le bilan ne pourra être comptabilisé qu’une seule fois) :</w:t>
            </w:r>
          </w:p>
          <w:p w:rsidR="0035701C" w:rsidRDefault="00FB561B">
            <w:pPr>
              <w:spacing w:before="240" w:after="240"/>
              <w:jc w:val="left"/>
              <w:rPr>
                <w:szCs w:val="24"/>
              </w:rPr>
            </w:pPr>
            <w:r>
              <w:rPr>
                <w:szCs w:val="24"/>
              </w:rPr>
              <w:t>Le montant unitaire est  fixé à 164,87 €/ha/an po</w:t>
            </w:r>
            <w:r>
              <w:rPr>
                <w:szCs w:val="24"/>
              </w:rPr>
              <w:t>ur la mise en place de la confusion sexuelle contre la tordeuse orientale du pêcher.</w:t>
            </w:r>
          </w:p>
          <w:p w:rsidR="0035701C" w:rsidRDefault="00FB561B">
            <w:pPr>
              <w:spacing w:before="240" w:after="240"/>
              <w:jc w:val="left"/>
              <w:rPr>
                <w:szCs w:val="24"/>
              </w:rPr>
            </w:pPr>
            <w:r>
              <w:rPr>
                <w:szCs w:val="24"/>
              </w:rPr>
              <w:t>En cas de combinaison d'opérations sur une même parcelle, le montant de l’aide sera limité au maximum à 900€/ha.</w:t>
            </w:r>
          </w:p>
          <w:p w:rsidR="0035701C" w:rsidRDefault="0035701C">
            <w:pPr>
              <w:pStyle w:val="Corpsdetexte"/>
            </w:pPr>
          </w:p>
        </w:tc>
      </w:tr>
    </w:tbl>
    <w:p w:rsidR="0035701C" w:rsidRDefault="00FB561B">
      <w:pPr>
        <w:pStyle w:val="Titre6"/>
      </w:pPr>
      <w:r>
        <w:t>Caractère vérifiable et contrôlable des mesures et/ou ty</w:t>
      </w:r>
      <w:r>
        <w:t>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des éléments du niveau de </w:t>
      </w:r>
      <w:r>
        <w:t>référence applicable, qui doivent inclure les normes obligatoires établies en application du titre VI, chapitre I, du règlement (UE) n° 1306/2013 du Parlement européen et du Conseil, les critères pertinents et les activités minimales établies en applicatio</w:t>
      </w:r>
      <w:r>
        <w:t>n de l'article 4, paragraphe 1, point c) ii) et c) iii), du règlement (UE) n° 1307/2013 du Parlement européen et du Conseil, les exigences minimales applicables à l'utilisation des engrais et des produits phytosanitaire ainsi que les autres exigences oblig</w:t>
      </w:r>
      <w:r>
        <w:t>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ind w:left="103"/>
              <w:jc w:val="left"/>
              <w:rPr>
                <w:szCs w:val="24"/>
              </w:rPr>
            </w:pPr>
            <w:r>
              <w:rPr>
                <w:szCs w:val="24"/>
              </w:rPr>
              <w:t>Par ailleurs, si les pratiques rémunérées au titre de la présente opération sont rendues obligatoires sur des zones au titre de la protection de la biodiversité (notamment des zones classée</w:t>
            </w:r>
            <w:r>
              <w:rPr>
                <w:szCs w:val="24"/>
              </w:rPr>
              <w:t>s au titre des réserves naturelles des arrêtés de protection de biotopes), celle-ci ne peut être ouverte sur les zones concernées.</w:t>
            </w:r>
          </w:p>
          <w:p w:rsidR="0035701C" w:rsidRDefault="00FB561B">
            <w:pPr>
              <w:spacing w:before="240" w:after="240"/>
              <w:jc w:val="left"/>
              <w:rPr>
                <w:szCs w:val="24"/>
              </w:rPr>
            </w:pPr>
            <w:r>
              <w:rPr>
                <w:szCs w:val="24"/>
              </w:rPr>
              <w:t> </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293772"/>
                  <wp:effectExtent l="0" t="0" r="0" b="0"/>
                  <wp:docPr id="100238" name="Image 100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39" name=""/>
                          <pic:cNvPicPr>
                            <a:picLocks noChangeAspect="1"/>
                          </pic:cNvPicPr>
                        </pic:nvPicPr>
                        <pic:blipFill>
                          <a:blip r:embed="rId122"/>
                          <a:stretch>
                            <a:fillRect/>
                          </a:stretch>
                        </pic:blipFill>
                        <pic:spPr>
                          <a:xfrm>
                            <a:off x="0" y="0"/>
                            <a:ext cx="6629400" cy="1293772"/>
                          </a:xfrm>
                          <a:prstGeom prst="rect">
                            <a:avLst/>
                          </a:prstGeom>
                        </pic:spPr>
                      </pic:pic>
                    </a:graphicData>
                  </a:graphic>
                </wp:inline>
              </w:drawing>
            </w:r>
          </w:p>
          <w:p w:rsidR="0035701C" w:rsidRDefault="00FB561B">
            <w:pPr>
              <w:pStyle w:val="Pieddepage"/>
              <w:jc w:val="center"/>
            </w:pPr>
            <w:r>
              <w:t>Eau_8_lignebase</w:t>
            </w:r>
          </w:p>
          <w:p w:rsidR="0035701C" w:rsidRDefault="0035701C">
            <w:pPr>
              <w:pStyle w:val="Pieddepage"/>
              <w:jc w:val="center"/>
            </w:pPr>
          </w:p>
        </w:tc>
      </w:tr>
    </w:tbl>
    <w:p w:rsidR="0035701C" w:rsidRDefault="00FB561B">
      <w:r>
        <w:t xml:space="preserve">Les exigences minimales relatives à l'utilisation d'engrais doivent comprendre, entre autres, le </w:t>
      </w:r>
      <w:r>
        <w:t>respect des codes de bonnes pratiques introduits au titre de la directive 91/676/CEE pour les exploitations situées en dehors des zones vulnérables aux nitrates, et des exigences concernant la pollution au phosphore; les exigences minimales relatives à l'u</w:t>
      </w:r>
      <w:r>
        <w:t>tilisation de produits phytosanitaires doivent comprendre, entre autres, les principes généraux de la lutte intégrée contre les ennemis des cultures introduits par la directive 2009/128/CE du Parlement européen et du Conseil, l’obligation de détenir une au</w:t>
      </w:r>
      <w:r>
        <w:t>torisation d’utiliser les produits, de satisfaire aux conditions de formation, d’assurer un stockage sûr et de contrôler les équipements destinés à l’épandage ainsi que les règles relatives à l’utilisation de pesticides à proximité d’étendues d’eau et d’au</w:t>
      </w:r>
      <w:r>
        <w:t>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Liste des races locales qui sont menacées d’être perdues pour l’agriculture et des ressources génétiques végétales qui son</w:t>
      </w:r>
      <w:r>
        <w:t>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Description de la méthode et des hypothèses et paramètres agronomiques y compris la description des exigences minimales visées à l'article 29, paragraphe 2, du règlement (UE) n° 1305/2013 correspondant à chaque t</w:t>
      </w:r>
      <w:r>
        <w:t>ype particulier d'engagement, utilisés comme référence pour les calculs justifiant les coûts supplémentaires et les pertes de revenus résultant de l’engagement pris et le niveau des coûts des transactions; le cas échéant, cette méthode tient compte des aid</w:t>
      </w:r>
      <w:r>
        <w:t>es accordées au titre du règlement (UE) n° 1307/2013, et notamment des paiements en faveur des pratiques agricoles bénéfiques pour le climat et l’environnement, afin d’exclure un double financement; le cas échéant, la méthode de conversion utilisée pour d’</w:t>
      </w:r>
      <w:r>
        <w:t>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Méthode générale de calcul du montant : </w:t>
            </w:r>
            <w:r>
              <w:rPr>
                <w:szCs w:val="24"/>
              </w:rPr>
              <w:t>Le montant de l’aide est calculé sur la base de l’utilisation du matériel et du temps de travail supplémentaire nécessaire pour la mise en place de la confusio</w:t>
            </w:r>
            <w:r>
              <w:rPr>
                <w:szCs w:val="24"/>
              </w:rPr>
              <w:t>n sexuelle ainsi que les coûts de transaction générés par le respect des éléments contractualisés.</w:t>
            </w:r>
          </w:p>
          <w:p w:rsidR="0035701C" w:rsidRDefault="00FB561B">
            <w:pPr>
              <w:spacing w:before="240" w:after="240"/>
              <w:jc w:val="left"/>
              <w:rPr>
                <w:szCs w:val="24"/>
              </w:rPr>
            </w:pPr>
            <w:r>
              <w:rPr>
                <w:b/>
                <w:bCs/>
                <w:i/>
                <w:iCs/>
                <w:szCs w:val="24"/>
              </w:rPr>
              <w:t>Pratiques de références </w:t>
            </w:r>
            <w:r>
              <w:rPr>
                <w:szCs w:val="24"/>
              </w:rPr>
              <w:t xml:space="preserve">: La méthode de lutte actuelle consiste à positionner un seul piège à phéromone par hectare et de réaliser un suivi bi-hebdomadaire </w:t>
            </w:r>
            <w:r>
              <w:rPr>
                <w:szCs w:val="24"/>
              </w:rPr>
              <w:t>des captures pendant 18 semaines afin de déclencher les traitements de façon efficace et de couvrir toute la période de vol.</w:t>
            </w:r>
          </w:p>
          <w:p w:rsidR="0035701C" w:rsidRDefault="00FB561B">
            <w:pPr>
              <w:spacing w:before="240" w:after="240"/>
              <w:jc w:val="left"/>
              <w:rPr>
                <w:szCs w:val="24"/>
              </w:rPr>
            </w:pPr>
            <w:r>
              <w:rPr>
                <w:szCs w:val="24"/>
              </w:rPr>
              <w:t>En Corse, le climat et les niveaux de population élevés imposent la réalisation de 6 traitements chimiques.</w:t>
            </w:r>
          </w:p>
          <w:p w:rsidR="0035701C" w:rsidRDefault="00FB561B">
            <w:pPr>
              <w:spacing w:before="240" w:after="240"/>
              <w:jc w:val="left"/>
              <w:rPr>
                <w:szCs w:val="24"/>
              </w:rPr>
            </w:pPr>
            <w:r>
              <w:rPr>
                <w:b/>
                <w:bCs/>
                <w:i/>
                <w:iCs/>
                <w:szCs w:val="24"/>
              </w:rPr>
              <w:t xml:space="preserve">Verdissement : </w:t>
            </w:r>
          </w:p>
          <w:p w:rsidR="0035701C" w:rsidRDefault="00FB561B">
            <w:pPr>
              <w:spacing w:before="240" w:after="240"/>
              <w:jc w:val="left"/>
              <w:rPr>
                <w:szCs w:val="24"/>
              </w:rPr>
            </w:pPr>
            <w:r>
              <w:rPr>
                <w:szCs w:val="24"/>
              </w:rPr>
              <w:t>L’opération ne rémunère pas :</w:t>
            </w:r>
          </w:p>
          <w:p w:rsidR="0035701C" w:rsidRDefault="00FB561B" w:rsidP="00FB561B">
            <w:pPr>
              <w:numPr>
                <w:ilvl w:val="0"/>
                <w:numId w:val="812"/>
              </w:numPr>
              <w:spacing w:before="240" w:after="0"/>
              <w:ind w:hanging="210"/>
              <w:jc w:val="left"/>
              <w:rPr>
                <w:szCs w:val="24"/>
              </w:rPr>
            </w:pPr>
            <w:r>
              <w:rPr>
                <w:szCs w:val="24"/>
              </w:rPr>
              <w:t>Le maintien des prairies permanentes</w:t>
            </w:r>
          </w:p>
          <w:p w:rsidR="0035701C" w:rsidRDefault="00FB561B" w:rsidP="00FB561B">
            <w:pPr>
              <w:numPr>
                <w:ilvl w:val="0"/>
                <w:numId w:val="812"/>
              </w:numPr>
              <w:spacing w:before="0" w:after="0"/>
              <w:ind w:hanging="210"/>
              <w:jc w:val="left"/>
              <w:rPr>
                <w:szCs w:val="24"/>
              </w:rPr>
            </w:pPr>
            <w:r>
              <w:rPr>
                <w:szCs w:val="24"/>
              </w:rPr>
              <w:t>Les obligations de diversité des assolements</w:t>
            </w:r>
          </w:p>
          <w:p w:rsidR="0035701C" w:rsidRDefault="00FB561B" w:rsidP="00FB561B">
            <w:pPr>
              <w:numPr>
                <w:ilvl w:val="0"/>
                <w:numId w:val="812"/>
              </w:numPr>
              <w:spacing w:before="0" w:after="240"/>
              <w:ind w:hanging="210"/>
              <w:jc w:val="left"/>
              <w:rPr>
                <w:szCs w:val="24"/>
              </w:rPr>
            </w:pPr>
            <w:r>
              <w:rPr>
                <w:szCs w:val="24"/>
              </w:rPr>
              <w:t>Les obligations liées aux surfaces d’intérêt écologique</w:t>
            </w:r>
          </w:p>
          <w:p w:rsidR="0035701C" w:rsidRDefault="00FB561B">
            <w:pPr>
              <w:spacing w:before="240" w:after="240"/>
              <w:jc w:val="left"/>
              <w:rPr>
                <w:szCs w:val="24"/>
              </w:rPr>
            </w:pPr>
            <w:r>
              <w:rPr>
                <w:szCs w:val="24"/>
              </w:rPr>
              <w:t>Il n’y a donc pas de risque de double paiement pour ce qui concerne les pratiques du ver</w:t>
            </w:r>
            <w:r>
              <w:rPr>
                <w:szCs w:val="24"/>
              </w:rPr>
              <w:t>dissement.</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813"/>
              </w:numPr>
              <w:spacing w:before="240" w:after="0"/>
              <w:ind w:hanging="210"/>
              <w:jc w:val="left"/>
              <w:rPr>
                <w:szCs w:val="24"/>
              </w:rPr>
            </w:pPr>
            <w:r>
              <w:rPr>
                <w:szCs w:val="24"/>
              </w:rPr>
              <w:t>Coût des pièges : CANICO</w:t>
            </w:r>
          </w:p>
          <w:p w:rsidR="0035701C" w:rsidRDefault="00FB561B" w:rsidP="00FB561B">
            <w:pPr>
              <w:numPr>
                <w:ilvl w:val="0"/>
                <w:numId w:val="813"/>
              </w:numPr>
              <w:spacing w:before="0" w:after="0"/>
              <w:ind w:hanging="210"/>
              <w:jc w:val="left"/>
              <w:rPr>
                <w:szCs w:val="24"/>
              </w:rPr>
            </w:pPr>
            <w:r>
              <w:rPr>
                <w:szCs w:val="24"/>
              </w:rPr>
              <w:t>Méthode et temps de mis en place du dispositif : INRA URGRQA – AREFLEC</w:t>
            </w:r>
          </w:p>
          <w:p w:rsidR="0035701C" w:rsidRDefault="00FB561B" w:rsidP="00FB561B">
            <w:pPr>
              <w:numPr>
                <w:ilvl w:val="0"/>
                <w:numId w:val="813"/>
              </w:numPr>
              <w:spacing w:before="0" w:after="0"/>
              <w:ind w:hanging="210"/>
              <w:jc w:val="left"/>
              <w:rPr>
                <w:szCs w:val="24"/>
              </w:rPr>
            </w:pPr>
            <w:r>
              <w:rPr>
                <w:szCs w:val="24"/>
              </w:rPr>
              <w:t>Barème des coûts horaires des techniciens : assemblée permanente des chambres d’agriculture (APCA)</w:t>
            </w:r>
          </w:p>
          <w:p w:rsidR="0035701C" w:rsidRDefault="00FB561B" w:rsidP="00FB561B">
            <w:pPr>
              <w:numPr>
                <w:ilvl w:val="0"/>
                <w:numId w:val="813"/>
              </w:numPr>
              <w:spacing w:before="0" w:after="0"/>
              <w:ind w:hanging="210"/>
              <w:jc w:val="left"/>
              <w:rPr>
                <w:szCs w:val="24"/>
              </w:rPr>
            </w:pPr>
            <w:r>
              <w:rPr>
                <w:szCs w:val="24"/>
              </w:rPr>
              <w:t xml:space="preserve">Coût du matériel : Bureau de </w:t>
            </w:r>
            <w:r>
              <w:rPr>
                <w:szCs w:val="24"/>
              </w:rPr>
              <w:t>Coordination du Machinisme Agricole (tarifs 2012)</w:t>
            </w:r>
          </w:p>
          <w:p w:rsidR="0035701C" w:rsidRDefault="00FB561B" w:rsidP="00FB561B">
            <w:pPr>
              <w:numPr>
                <w:ilvl w:val="0"/>
                <w:numId w:val="813"/>
              </w:numPr>
              <w:spacing w:before="0" w:after="0"/>
              <w:ind w:hanging="210"/>
              <w:jc w:val="left"/>
              <w:rPr>
                <w:szCs w:val="24"/>
              </w:rPr>
            </w:pPr>
            <w:r>
              <w:rPr>
                <w:szCs w:val="24"/>
              </w:rPr>
              <w:t>Surface moyenne engagée par exploitation : surface moyenne engagée en MAE</w:t>
            </w:r>
          </w:p>
          <w:p w:rsidR="0035701C" w:rsidRDefault="00FB561B" w:rsidP="00FB561B">
            <w:pPr>
              <w:numPr>
                <w:ilvl w:val="0"/>
                <w:numId w:val="813"/>
              </w:numPr>
              <w:spacing w:before="0" w:after="240"/>
              <w:ind w:hanging="210"/>
              <w:jc w:val="left"/>
              <w:rPr>
                <w:szCs w:val="24"/>
              </w:rPr>
            </w:pPr>
            <w:r>
              <w:rPr>
                <w:szCs w:val="24"/>
              </w:rPr>
              <w:t>Temps de travail pour la réalisation d’un bilan : experts nationaux</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321890" cy="8280400"/>
                  <wp:effectExtent l="0" t="0" r="0" b="0"/>
                  <wp:docPr id="100240" name="Image 100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1" name=""/>
                          <pic:cNvPicPr>
                            <a:picLocks noChangeAspect="1"/>
                          </pic:cNvPicPr>
                        </pic:nvPicPr>
                        <pic:blipFill>
                          <a:blip r:embed="rId129"/>
                          <a:stretch>
                            <a:fillRect/>
                          </a:stretch>
                        </pic:blipFill>
                        <pic:spPr>
                          <a:xfrm>
                            <a:off x="0" y="0"/>
                            <a:ext cx="6321890" cy="8280400"/>
                          </a:xfrm>
                          <a:prstGeom prst="rect">
                            <a:avLst/>
                          </a:prstGeom>
                        </pic:spPr>
                      </pic:pic>
                    </a:graphicData>
                  </a:graphic>
                </wp:inline>
              </w:drawing>
            </w:r>
          </w:p>
          <w:p w:rsidR="0035701C" w:rsidRDefault="00FB561B">
            <w:pPr>
              <w:pStyle w:val="Pieddepage"/>
              <w:jc w:val="center"/>
            </w:pPr>
            <w:r>
              <w:t>Eau_8_option1</w:t>
            </w:r>
          </w:p>
          <w:p w:rsidR="0035701C" w:rsidRDefault="00FB561B">
            <w:pPr>
              <w:pStyle w:val="Pieddepage"/>
              <w:jc w:val="center"/>
            </w:pPr>
            <w:r>
              <w:rPr>
                <w:noProof/>
                <w:lang w:val="fr-FR" w:eastAsia="fr-FR"/>
              </w:rPr>
              <w:drawing>
                <wp:inline distT="0" distB="0" distL="0" distR="0">
                  <wp:extent cx="6343650" cy="5981700"/>
                  <wp:effectExtent l="0" t="0" r="0" b="0"/>
                  <wp:docPr id="100242" name="Image 100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3" name=""/>
                          <pic:cNvPicPr>
                            <a:picLocks noChangeAspect="1"/>
                          </pic:cNvPicPr>
                        </pic:nvPicPr>
                        <pic:blipFill>
                          <a:blip r:embed="rId130"/>
                          <a:stretch>
                            <a:fillRect/>
                          </a:stretch>
                        </pic:blipFill>
                        <pic:spPr>
                          <a:xfrm>
                            <a:off x="0" y="0"/>
                            <a:ext cx="6343650" cy="5981700"/>
                          </a:xfrm>
                          <a:prstGeom prst="rect">
                            <a:avLst/>
                          </a:prstGeom>
                        </pic:spPr>
                      </pic:pic>
                    </a:graphicData>
                  </a:graphic>
                </wp:inline>
              </w:drawing>
            </w:r>
          </w:p>
          <w:p w:rsidR="0035701C" w:rsidRDefault="00FB561B">
            <w:pPr>
              <w:pStyle w:val="Pieddepage"/>
              <w:jc w:val="center"/>
            </w:pPr>
            <w:r>
              <w:t>Eau_8_option2</w:t>
            </w:r>
          </w:p>
          <w:p w:rsidR="0035701C" w:rsidRDefault="0035701C">
            <w:pPr>
              <w:pStyle w:val="Pieddepage"/>
              <w:jc w:val="center"/>
            </w:pPr>
          </w:p>
        </w:tc>
      </w:tr>
    </w:tbl>
    <w:p w:rsidR="0035701C" w:rsidRDefault="00FB561B">
      <w:pPr>
        <w:pStyle w:val="Titre5"/>
        <w:rPr>
          <w:b w:val="0"/>
        </w:rPr>
      </w:pPr>
      <w:r>
        <w:rPr>
          <w:b w:val="0"/>
        </w:rPr>
        <w:br w:type="page"/>
        <w:t>-37- EAU_9</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814"/>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EAU_ 9 = Mise en place d’un enherbement sous culture ligneuse pérenne (Arboriculture – Viticulture).</w:t>
            </w:r>
          </w:p>
          <w:p w:rsidR="0035701C" w:rsidRDefault="00FB561B">
            <w:pPr>
              <w:spacing w:before="240" w:after="240"/>
              <w:jc w:val="left"/>
              <w:rPr>
                <w:szCs w:val="24"/>
              </w:rPr>
            </w:pPr>
            <w:r>
              <w:rPr>
                <w:szCs w:val="24"/>
              </w:rPr>
              <w:t>Cet engagement vise à cou</w:t>
            </w:r>
            <w:r>
              <w:rPr>
                <w:szCs w:val="24"/>
              </w:rPr>
              <w:t>vrir les sols laissés nus dans l’inter rang sous vergers ou vignes, par la mise en place en automne d’un couvert herbacé pérenne, afin de réduire les risques d’érosion du sol et de lessivage ou de ruissellement, entraînant ces derniers vers la ressource en</w:t>
            </w:r>
            <w:r>
              <w:rPr>
                <w:szCs w:val="24"/>
              </w:rPr>
              <w:t xml:space="preserve"> eau.</w:t>
            </w:r>
          </w:p>
          <w:p w:rsidR="0035701C" w:rsidRDefault="00FB561B">
            <w:pPr>
              <w:spacing w:before="240" w:after="240"/>
              <w:jc w:val="left"/>
              <w:rPr>
                <w:szCs w:val="24"/>
              </w:rPr>
            </w:pPr>
            <w:r>
              <w:rPr>
                <w:szCs w:val="24"/>
              </w:rPr>
              <w:t>Il répond ainsi à un objectif de protection de la qualité de l’eau par la réduction de l’impact des produits phytosanitaires et de lutte contre l’érosion.</w:t>
            </w:r>
          </w:p>
          <w:p w:rsidR="0035701C" w:rsidRDefault="00FB561B">
            <w:pPr>
              <w:spacing w:before="240" w:after="240"/>
              <w:jc w:val="left"/>
              <w:rPr>
                <w:szCs w:val="24"/>
              </w:rPr>
            </w:pPr>
            <w:r>
              <w:rPr>
                <w:szCs w:val="24"/>
              </w:rPr>
              <w:t xml:space="preserve">Les espèces préconisées pour être implantées sont des espèces adaptées à la sécheresse et dont </w:t>
            </w:r>
            <w:r>
              <w:rPr>
                <w:szCs w:val="24"/>
              </w:rPr>
              <w:t>la pérennité pourra atteindre au moins les cinq années de l’engagement.</w:t>
            </w:r>
          </w:p>
          <w:p w:rsidR="0035701C" w:rsidRDefault="00FB561B">
            <w:pPr>
              <w:spacing w:before="240" w:after="240"/>
              <w:jc w:val="left"/>
              <w:rPr>
                <w:szCs w:val="24"/>
              </w:rPr>
            </w:pPr>
            <w:r>
              <w:rPr>
                <w:szCs w:val="24"/>
              </w:rPr>
              <w:t xml:space="preserve">Toutefois, il est laissé à l’agriculteur, après avis d’un technicien, le choix de l’espèce ou du mélange d'espèces à implanter. En effet, chaque culture est différente et répond à des </w:t>
            </w:r>
            <w:r>
              <w:rPr>
                <w:szCs w:val="24"/>
              </w:rPr>
              <w:t>besoins différents (vigueur, stress hydrique, type de sol).</w:t>
            </w:r>
          </w:p>
          <w:p w:rsidR="0035701C" w:rsidRDefault="00FB561B">
            <w:pPr>
              <w:spacing w:before="240" w:after="240"/>
              <w:jc w:val="left"/>
              <w:rPr>
                <w:szCs w:val="24"/>
              </w:rPr>
            </w:pPr>
            <w:r>
              <w:rPr>
                <w:szCs w:val="24"/>
              </w:rPr>
              <w:t>En raison de la concurrence du couvert herbacé avec la vigne vis-à-vis de l’eau mais aussi des éléments nutritifs (azote, potassium, oligo-éléments), la présence d’un enherbement va avoir des cons</w:t>
            </w:r>
            <w:r>
              <w:rPr>
                <w:szCs w:val="24"/>
              </w:rPr>
              <w:t>équences sur le développement et la production de la vigne. Ces conséquences seront plus ou moins importantes selon les conditions climatiques, les disponibilités en éléments nutritifs et les espèces semées. L’impact sera quantitatif (réduction des bois, d</w:t>
            </w:r>
            <w:r>
              <w:rPr>
                <w:szCs w:val="24"/>
              </w:rPr>
              <w:t>u nombre et du poids des grappes), mais aussi qualitatif (modification de la composition des baies). C’est pour cela qu’un coefficient d’étalement peut être appliqué.</w:t>
            </w:r>
          </w:p>
          <w:p w:rsidR="0035701C" w:rsidRDefault="00FB561B">
            <w:pPr>
              <w:spacing w:before="240" w:after="240"/>
              <w:ind w:left="360"/>
              <w:jc w:val="left"/>
              <w:rPr>
                <w:szCs w:val="24"/>
              </w:rPr>
            </w:pPr>
            <w:r>
              <w:rPr>
                <w:szCs w:val="24"/>
              </w:rPr>
              <w:t>Cette opération peut être combinée avec d’autres opérations telles que :</w:t>
            </w:r>
          </w:p>
          <w:p w:rsidR="0035701C" w:rsidRDefault="00FB561B" w:rsidP="00FB561B">
            <w:pPr>
              <w:numPr>
                <w:ilvl w:val="0"/>
                <w:numId w:val="815"/>
              </w:numPr>
              <w:spacing w:before="240" w:after="0"/>
              <w:ind w:hanging="210"/>
              <w:jc w:val="left"/>
              <w:rPr>
                <w:szCs w:val="24"/>
              </w:rPr>
            </w:pPr>
            <w:r>
              <w:rPr>
                <w:szCs w:val="24"/>
              </w:rPr>
              <w:t xml:space="preserve">Pour </w:t>
            </w:r>
            <w:r>
              <w:rPr>
                <w:szCs w:val="24"/>
              </w:rPr>
              <w:t>l’arboriculture : la lutte biologique contre le pou rouge de Californie, la lutte biologique contre la cochenille asiatique, le piégeage massif contre la mouche méditerranéenne des fruits et/ou la confusion sexuelle contre la tordeuse orientale du pêcher.</w:t>
            </w:r>
          </w:p>
          <w:p w:rsidR="0035701C" w:rsidRDefault="00FB561B" w:rsidP="00FB561B">
            <w:pPr>
              <w:numPr>
                <w:ilvl w:val="0"/>
                <w:numId w:val="815"/>
              </w:numPr>
              <w:spacing w:before="0" w:after="240"/>
              <w:ind w:hanging="210"/>
              <w:jc w:val="left"/>
              <w:rPr>
                <w:szCs w:val="24"/>
              </w:rPr>
            </w:pPr>
            <w:r>
              <w:rPr>
                <w:szCs w:val="24"/>
              </w:rPr>
              <w:t>Pour la viticulture : la confusion sexuelle contre Eudemis et/ou Cochylis, le désherbage mécanique au niveau du rang, la mise en place d’un engrais vert et/ou le désherbage mécanique au niveau de l’inter-rang (pour les deux dernières opérations : le coeffi</w:t>
            </w:r>
            <w:r>
              <w:rPr>
                <w:szCs w:val="24"/>
              </w:rPr>
              <w:t>cient d’étalement ne doit pas être supérieur à 1).</w:t>
            </w:r>
          </w:p>
          <w:p w:rsidR="0035701C" w:rsidRDefault="00FB561B">
            <w:pPr>
              <w:spacing w:before="240" w:after="240"/>
              <w:jc w:val="left"/>
              <w:rPr>
                <w:szCs w:val="24"/>
              </w:rPr>
            </w:pPr>
            <w:r>
              <w:rPr>
                <w:b/>
                <w:bCs/>
                <w:i/>
                <w:iCs/>
                <w:szCs w:val="24"/>
              </w:rPr>
              <w:t xml:space="preserve">Cahier des charges : </w:t>
            </w:r>
          </w:p>
          <w:p w:rsidR="0035701C" w:rsidRDefault="00FB561B" w:rsidP="00FB561B">
            <w:pPr>
              <w:numPr>
                <w:ilvl w:val="0"/>
                <w:numId w:val="816"/>
              </w:numPr>
              <w:spacing w:before="240" w:after="0"/>
              <w:ind w:hanging="210"/>
              <w:jc w:val="left"/>
              <w:rPr>
                <w:szCs w:val="24"/>
              </w:rPr>
            </w:pPr>
            <w:r>
              <w:rPr>
                <w:szCs w:val="24"/>
              </w:rPr>
              <w:t>L’agriculteur s’engage à respecter le cahier des charges de la mesure.</w:t>
            </w:r>
          </w:p>
          <w:p w:rsidR="0035701C" w:rsidRDefault="00FB561B" w:rsidP="00FB561B">
            <w:pPr>
              <w:numPr>
                <w:ilvl w:val="0"/>
                <w:numId w:val="816"/>
              </w:numPr>
              <w:spacing w:before="0" w:after="0"/>
              <w:ind w:hanging="210"/>
              <w:jc w:val="left"/>
              <w:rPr>
                <w:szCs w:val="24"/>
              </w:rPr>
            </w:pPr>
            <w:r>
              <w:rPr>
                <w:szCs w:val="24"/>
              </w:rPr>
              <w:t xml:space="preserve">L’agriculteur s’engage à mettre en place et entretenir une surface en herbe en couverture des inter-rangs de sa </w:t>
            </w:r>
            <w:r>
              <w:rPr>
                <w:szCs w:val="24"/>
              </w:rPr>
              <w:t>culture afin d’éviter l’érosion du sol, tout en respectant la structure du sol selon les prescriptions du diagnostic.</w:t>
            </w:r>
          </w:p>
          <w:p w:rsidR="0035701C" w:rsidRDefault="00FB561B" w:rsidP="00FB561B">
            <w:pPr>
              <w:numPr>
                <w:ilvl w:val="0"/>
                <w:numId w:val="816"/>
              </w:numPr>
              <w:spacing w:before="0" w:after="0"/>
              <w:ind w:hanging="210"/>
              <w:jc w:val="left"/>
              <w:rPr>
                <w:szCs w:val="24"/>
              </w:rPr>
            </w:pPr>
            <w:r>
              <w:rPr>
                <w:szCs w:val="24"/>
              </w:rPr>
              <w:t>Il s’engage à acheter les semences, à travailler le sol pour la mise en place de ce couvert  début automne et à l’entretenir mécaniquement</w:t>
            </w:r>
            <w:r>
              <w:rPr>
                <w:szCs w:val="24"/>
              </w:rPr>
              <w:t xml:space="preserve"> avant le 30 juin</w:t>
            </w:r>
          </w:p>
          <w:p w:rsidR="0035701C" w:rsidRDefault="00FB561B" w:rsidP="00FB561B">
            <w:pPr>
              <w:numPr>
                <w:ilvl w:val="0"/>
                <w:numId w:val="816"/>
              </w:numPr>
              <w:spacing w:before="0" w:after="0"/>
              <w:ind w:hanging="210"/>
              <w:jc w:val="left"/>
              <w:rPr>
                <w:szCs w:val="24"/>
              </w:rPr>
            </w:pPr>
            <w:r>
              <w:rPr>
                <w:szCs w:val="24"/>
              </w:rPr>
              <w:t xml:space="preserve">Il doit assurer l’enregistrement des différentes interventions et des pratiques réalisées dans le cahier de l’exploitant. L’enregistrement des pratiques est une obligation pendant toute la durée de l’engagement, permettant ainsi de </w:t>
            </w:r>
            <w:r>
              <w:rPr>
                <w:szCs w:val="24"/>
              </w:rPr>
              <w:t>vérifier l’atteinte de l’objectif sur la durée du contrat.</w:t>
            </w:r>
          </w:p>
          <w:p w:rsidR="0035701C" w:rsidRDefault="00FB561B" w:rsidP="00FB561B">
            <w:pPr>
              <w:numPr>
                <w:ilvl w:val="0"/>
                <w:numId w:val="816"/>
              </w:numPr>
              <w:spacing w:before="0" w:after="240"/>
              <w:ind w:hanging="210"/>
              <w:jc w:val="left"/>
              <w:rPr>
                <w:szCs w:val="24"/>
              </w:rPr>
            </w:pPr>
            <w:r>
              <w:rPr>
                <w:szCs w:val="24"/>
              </w:rPr>
              <w:t>Il doit réaliser un bilan annuel de suivi. L’élaboration de ce bilan est obligatoire afin de garantir de bonnes conditions d’appui technique à la réduction de ces intrants. Il permettra d’évaluer l</w:t>
            </w:r>
            <w:r>
              <w:rPr>
                <w:szCs w:val="24"/>
              </w:rPr>
              <w:t>a pertinence des options techniques retenues, de s’assurer de l’atteinte des objectifs de résultat et d’optimiser l’efficacité de la solution agronomique mise en œuvre. Ce bilan annuel doit être réalisé chaque année par l’agriculteur et deux fois avec l’ap</w:t>
            </w:r>
            <w:r>
              <w:rPr>
                <w:szCs w:val="24"/>
              </w:rPr>
              <w:t>pui d’un technicien</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éléments de la ligne de base </w:t>
            </w:r>
            <w:r>
              <w:rPr>
                <w:szCs w:val="24"/>
              </w:rPr>
              <w:t>sont définis en conformité avec :</w:t>
            </w:r>
          </w:p>
          <w:p w:rsidR="0035701C" w:rsidRDefault="00FB561B" w:rsidP="00FB561B">
            <w:pPr>
              <w:numPr>
                <w:ilvl w:val="0"/>
                <w:numId w:val="817"/>
              </w:numPr>
              <w:spacing w:before="240" w:after="0"/>
              <w:ind w:hanging="210"/>
              <w:jc w:val="left"/>
              <w:rPr>
                <w:szCs w:val="24"/>
              </w:rPr>
            </w:pPr>
            <w:r>
              <w:rPr>
                <w:szCs w:val="24"/>
              </w:rPr>
              <w:t>les exigences établies en vertu de l’article 93 du règlement UE n° 1306/2013 et de l’article 4.1c points ii) et iii) du règlement UE n°1307/2013,</w:t>
            </w:r>
          </w:p>
          <w:p w:rsidR="0035701C" w:rsidRDefault="00FB561B" w:rsidP="00FB561B">
            <w:pPr>
              <w:numPr>
                <w:ilvl w:val="0"/>
                <w:numId w:val="817"/>
              </w:numPr>
              <w:spacing w:before="0" w:after="0"/>
              <w:ind w:hanging="210"/>
              <w:jc w:val="left"/>
              <w:rPr>
                <w:szCs w:val="24"/>
              </w:rPr>
            </w:pPr>
            <w:r>
              <w:rPr>
                <w:szCs w:val="24"/>
              </w:rPr>
              <w:t xml:space="preserve">la circulaire nationale fixant les règles relatives aux bonnes conduites </w:t>
            </w:r>
            <w:r>
              <w:rPr>
                <w:szCs w:val="24"/>
              </w:rPr>
              <w:t>agricoles et environnementales (BCAE).</w:t>
            </w:r>
          </w:p>
          <w:p w:rsidR="0035701C" w:rsidRDefault="00FB561B" w:rsidP="00FB561B">
            <w:pPr>
              <w:numPr>
                <w:ilvl w:val="0"/>
                <w:numId w:val="817"/>
              </w:numPr>
              <w:spacing w:before="0" w:after="240"/>
              <w:ind w:hanging="210"/>
              <w:jc w:val="left"/>
              <w:rPr>
                <w:szCs w:val="24"/>
              </w:rPr>
            </w:pPr>
            <w:r>
              <w:rPr>
                <w:szCs w:val="24"/>
              </w:rPr>
              <w:t>l’arrêté préfectoral régional en vigueur en Corse fixant les règles relatives aux bonnes conduites agricoles et environnementales (BCAE).</w:t>
            </w:r>
          </w:p>
          <w:p w:rsidR="0035701C" w:rsidRDefault="00FB561B">
            <w:pPr>
              <w:spacing w:before="240" w:after="240"/>
              <w:jc w:val="left"/>
              <w:rPr>
                <w:szCs w:val="24"/>
              </w:rPr>
            </w:pPr>
            <w:r>
              <w:rPr>
                <w:szCs w:val="24"/>
              </w:rPr>
              <w:t>Afin d’exclure tout double paiement, les pratiques visées à l’article 43 du règ</w:t>
            </w:r>
            <w:r>
              <w:rPr>
                <w:szCs w:val="24"/>
              </w:rPr>
              <w:t>lement UE n° 1307/2013 sont prises en compte dans le calcul des surcoûts et manques à gagner.</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coûts éligibles sont les surcoûts, manques à gagner et </w:t>
            </w:r>
            <w:r>
              <w:rPr>
                <w:szCs w:val="24"/>
              </w:rPr>
              <w:t>éventuels coûts d’opportunité et de transaction générés par le respect des éléments contractualisés.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Couverts éligibles : </w:t>
            </w:r>
            <w:r>
              <w:rPr>
                <w:szCs w:val="24"/>
              </w:rPr>
              <w:t>Arboriculture et viticulture.</w:t>
            </w:r>
          </w:p>
          <w:p w:rsidR="0035701C" w:rsidRDefault="00FB561B">
            <w:pPr>
              <w:spacing w:before="240" w:after="240"/>
              <w:jc w:val="left"/>
              <w:rPr>
                <w:szCs w:val="24"/>
              </w:rPr>
            </w:pPr>
            <w:r>
              <w:rPr>
                <w:szCs w:val="24"/>
              </w:rPr>
              <w:t>En arboriculture la part de la parcelle à enherber correspond en règle géné</w:t>
            </w:r>
            <w:r>
              <w:rPr>
                <w:szCs w:val="24"/>
              </w:rPr>
              <w:t>rale à la part occupée par les inter-rangs selon l’espacement habituel des rangs sur le territoire. Le temps de travail calculé pour la mise en place de cet engagement correspond bien à l’enherbement de la totalité des inter-rangs.</w:t>
            </w:r>
          </w:p>
          <w:p w:rsidR="0035701C" w:rsidRDefault="00FB561B">
            <w:pPr>
              <w:spacing w:before="240" w:after="240"/>
              <w:jc w:val="left"/>
              <w:rPr>
                <w:szCs w:val="24"/>
              </w:rPr>
            </w:pPr>
            <w:r>
              <w:rPr>
                <w:szCs w:val="24"/>
              </w:rPr>
              <w:t>En viticulture la part d</w:t>
            </w:r>
            <w:r>
              <w:rPr>
                <w:szCs w:val="24"/>
              </w:rPr>
              <w:t>e la parcelle à enherber correspond soit à la totalité des inter-rangs soit à un inter-rang sur deux. Dans ce cas, un coefficient d’étalement sera appliqué (100 % pour la totalité des inter-rangs ou 50 % dans le cas d’un inter-rang sur deux). Le temps de t</w:t>
            </w:r>
            <w:r>
              <w:rPr>
                <w:szCs w:val="24"/>
              </w:rPr>
              <w:t>ravail calculé pour la mise en place de cet engagement correspond bien à l’enherbement de la totalité des inter-rangs.</w:t>
            </w:r>
          </w:p>
          <w:p w:rsidR="0035701C" w:rsidRDefault="00FB561B">
            <w:pPr>
              <w:spacing w:before="240" w:after="240"/>
              <w:jc w:val="left"/>
              <w:rPr>
                <w:szCs w:val="24"/>
              </w:rPr>
            </w:pPr>
            <w:r>
              <w:rPr>
                <w:b/>
                <w:bCs/>
                <w:i/>
                <w:iCs/>
                <w:szCs w:val="24"/>
              </w:rPr>
              <w:t>Diagnostic d’exploitation :</w:t>
            </w:r>
          </w:p>
          <w:p w:rsidR="0035701C" w:rsidRDefault="00FB561B">
            <w:pPr>
              <w:spacing w:before="240" w:after="240"/>
              <w:jc w:val="left"/>
              <w:rPr>
                <w:szCs w:val="24"/>
              </w:rPr>
            </w:pPr>
            <w:r>
              <w:rPr>
                <w:szCs w:val="24"/>
              </w:rPr>
              <w:t>La réalisation d’un diagnostic d’exploitation est une obligation pour la souscription de cette opération.</w:t>
            </w:r>
          </w:p>
          <w:p w:rsidR="0035701C" w:rsidRDefault="00FB561B">
            <w:pPr>
              <w:spacing w:before="240" w:after="240"/>
              <w:jc w:val="left"/>
              <w:rPr>
                <w:szCs w:val="24"/>
              </w:rPr>
            </w:pPr>
            <w:r>
              <w:rPr>
                <w:szCs w:val="24"/>
              </w:rPr>
              <w:t xml:space="preserve">Le </w:t>
            </w:r>
            <w:r>
              <w:rPr>
                <w:szCs w:val="24"/>
              </w:rPr>
              <w:t>diagnostic d’exploitation fera apparaître les différentes possibilités de combinaison avec d’autres opérations.</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 taux d’aide publique </w:t>
            </w:r>
            <w:r>
              <w:rPr>
                <w:szCs w:val="24"/>
              </w:rPr>
              <w:t>est de 100 %.</w:t>
            </w:r>
          </w:p>
          <w:p w:rsidR="0035701C" w:rsidRDefault="00FB561B">
            <w:pPr>
              <w:spacing w:before="240" w:after="240"/>
              <w:jc w:val="left"/>
              <w:rPr>
                <w:szCs w:val="24"/>
              </w:rPr>
            </w:pPr>
            <w:r>
              <w:rPr>
                <w:szCs w:val="24"/>
              </w:rPr>
              <w:t>Afin d’éviter le double paiement du coût de transaction concernant l’élaboration du bilan annuel de la stratégie des cultures :</w:t>
            </w:r>
          </w:p>
          <w:p w:rsidR="0035701C" w:rsidRDefault="00FB561B">
            <w:pPr>
              <w:spacing w:before="240" w:after="240"/>
              <w:jc w:val="left"/>
              <w:rPr>
                <w:szCs w:val="24"/>
              </w:rPr>
            </w:pPr>
            <w:r>
              <w:rPr>
                <w:szCs w:val="24"/>
              </w:rPr>
              <w:t>Option 1 (si l’opération est souscrite seule ou si elle est la première souscrite, le bilan s’ajoutera obligatoire</w:t>
            </w:r>
            <w:r>
              <w:rPr>
                <w:szCs w:val="24"/>
              </w:rPr>
              <w:t>ment à cette opération) :</w:t>
            </w:r>
          </w:p>
          <w:p w:rsidR="0035701C" w:rsidRDefault="00FB561B">
            <w:pPr>
              <w:spacing w:before="240" w:after="240"/>
              <w:jc w:val="left"/>
              <w:rPr>
                <w:szCs w:val="24"/>
              </w:rPr>
            </w:pPr>
            <w:r>
              <w:rPr>
                <w:szCs w:val="24"/>
              </w:rPr>
              <w:t>Le montant unitaire est fixé à :</w:t>
            </w:r>
          </w:p>
          <w:p w:rsidR="0035701C" w:rsidRDefault="00FB561B" w:rsidP="00FB561B">
            <w:pPr>
              <w:numPr>
                <w:ilvl w:val="0"/>
                <w:numId w:val="818"/>
              </w:numPr>
              <w:spacing w:before="240" w:after="0"/>
              <w:ind w:hanging="210"/>
              <w:jc w:val="left"/>
              <w:rPr>
                <w:szCs w:val="24"/>
              </w:rPr>
            </w:pPr>
            <w:r>
              <w:rPr>
                <w:szCs w:val="24"/>
              </w:rPr>
              <w:t>117,86 €/ha/an pour l’arboriculture</w:t>
            </w:r>
          </w:p>
          <w:p w:rsidR="0035701C" w:rsidRDefault="00FB561B" w:rsidP="00FB561B">
            <w:pPr>
              <w:numPr>
                <w:ilvl w:val="0"/>
                <w:numId w:val="818"/>
              </w:numPr>
              <w:spacing w:before="0" w:after="240"/>
              <w:ind w:hanging="210"/>
              <w:jc w:val="left"/>
              <w:rPr>
                <w:szCs w:val="24"/>
              </w:rPr>
            </w:pPr>
            <w:r>
              <w:rPr>
                <w:szCs w:val="24"/>
              </w:rPr>
              <w:t>122,70 €/ha/an pour la viticulture</w:t>
            </w:r>
          </w:p>
          <w:p w:rsidR="0035701C" w:rsidRDefault="00FB561B">
            <w:pPr>
              <w:spacing w:before="240" w:after="240"/>
              <w:jc w:val="left"/>
              <w:rPr>
                <w:szCs w:val="24"/>
              </w:rPr>
            </w:pPr>
            <w:r>
              <w:rPr>
                <w:szCs w:val="24"/>
              </w:rPr>
              <w:t>Option 2 (si l’opération est souscrite avec d’autres opérations le bilan ne pourra être comptabilisé qu’une seule fois) :</w:t>
            </w:r>
          </w:p>
          <w:p w:rsidR="0035701C" w:rsidRDefault="00FB561B">
            <w:pPr>
              <w:spacing w:before="240" w:after="240"/>
              <w:jc w:val="left"/>
              <w:rPr>
                <w:szCs w:val="24"/>
              </w:rPr>
            </w:pPr>
            <w:r>
              <w:rPr>
                <w:szCs w:val="24"/>
              </w:rPr>
              <w:t xml:space="preserve">Le </w:t>
            </w:r>
            <w:r>
              <w:rPr>
                <w:szCs w:val="24"/>
              </w:rPr>
              <w:t>montant unitaire est  fixé à :</w:t>
            </w:r>
          </w:p>
          <w:p w:rsidR="0035701C" w:rsidRDefault="00FB561B" w:rsidP="00FB561B">
            <w:pPr>
              <w:numPr>
                <w:ilvl w:val="0"/>
                <w:numId w:val="819"/>
              </w:numPr>
              <w:spacing w:before="240" w:after="0"/>
              <w:ind w:hanging="210"/>
              <w:jc w:val="left"/>
              <w:rPr>
                <w:szCs w:val="24"/>
              </w:rPr>
            </w:pPr>
            <w:r>
              <w:rPr>
                <w:szCs w:val="24"/>
              </w:rPr>
              <w:t>100,39 €/ha/an pour l’arboriculture</w:t>
            </w:r>
          </w:p>
          <w:p w:rsidR="0035701C" w:rsidRDefault="00FB561B" w:rsidP="00FB561B">
            <w:pPr>
              <w:numPr>
                <w:ilvl w:val="0"/>
                <w:numId w:val="819"/>
              </w:numPr>
              <w:spacing w:before="0" w:after="240"/>
              <w:ind w:hanging="210"/>
              <w:jc w:val="left"/>
              <w:rPr>
                <w:szCs w:val="24"/>
              </w:rPr>
            </w:pPr>
            <w:r>
              <w:rPr>
                <w:szCs w:val="24"/>
              </w:rPr>
              <w:t>102,19 €/ha/an pour la viticulture</w:t>
            </w:r>
          </w:p>
          <w:p w:rsidR="0035701C" w:rsidRDefault="00FB561B">
            <w:pPr>
              <w:spacing w:before="240" w:after="240"/>
              <w:jc w:val="left"/>
              <w:rPr>
                <w:szCs w:val="24"/>
              </w:rPr>
            </w:pPr>
            <w:r>
              <w:rPr>
                <w:szCs w:val="24"/>
              </w:rPr>
              <w:t>En cas de combinaison d'opérations sur une même parcelle, le montant de l’aide sera limité au maximum à 900€/ha.</w:t>
            </w:r>
          </w:p>
          <w:p w:rsidR="0035701C" w:rsidRDefault="0035701C">
            <w:pPr>
              <w:pStyle w:val="Corpsdetexte"/>
            </w:pPr>
          </w:p>
        </w:tc>
      </w:tr>
    </w:tbl>
    <w:p w:rsidR="0035701C" w:rsidRDefault="00FB561B">
      <w:pPr>
        <w:pStyle w:val="Titre6"/>
      </w:pPr>
      <w:r>
        <w:t>Caractère vérifiable et contrôlable des</w:t>
      </w:r>
      <w:r>
        <w:t xml:space="preserve">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des éléments </w:t>
      </w:r>
      <w:r>
        <w:t xml:space="preserve">du niveau de référence applicable, qui doivent inclure les normes obligatoires établies en application du titre VI, chapitre I, du règlement (UE) n° 1306/2013 du Parlement européen et du Conseil, les critères pertinents et les activités minimales établies </w:t>
      </w:r>
      <w:r>
        <w:t>en application de l'article 4, paragraphe 1, point c) ii) et c) iii), du règlement (UE) n° 1307/2013 du Parlement européen et du Conseil, les exigences minimales applicables à l'utilisation des engrais et des produits phytosanitaire ainsi que les autres ex</w:t>
      </w:r>
      <w:r>
        <w:t>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Dans cette opération, il n’y a aucune interaction avec les différents éléments réglementaires décrits dans la section 8.1 du présent programme.</w:t>
            </w:r>
          </w:p>
          <w:p w:rsidR="0035701C" w:rsidRDefault="00FB561B">
            <w:pPr>
              <w:spacing w:before="240" w:after="240"/>
              <w:jc w:val="left"/>
              <w:rPr>
                <w:szCs w:val="24"/>
              </w:rPr>
            </w:pPr>
            <w:r>
              <w:rPr>
                <w:szCs w:val="24"/>
              </w:rPr>
              <w:t xml:space="preserve">Si les pratiques rémunérées au </w:t>
            </w:r>
            <w:r>
              <w:rPr>
                <w:szCs w:val="24"/>
              </w:rPr>
              <w:t>titre de la présente opération sont rendues obligatoires sur des zones au titre de la protection de la biodiversité (notamment des zones classées au titre des réserves naturelles, des arrêtés de protection de biotopes,….), celle-ci ne peut être ouverte sur</w:t>
            </w:r>
            <w:r>
              <w:rPr>
                <w:szCs w:val="24"/>
              </w:rPr>
              <w:t xml:space="preserve"> les zones concernées.</w:t>
            </w:r>
          </w:p>
          <w:p w:rsidR="0035701C" w:rsidRDefault="0035701C">
            <w:pPr>
              <w:pStyle w:val="Corpsdetexte"/>
            </w:pPr>
          </w:p>
        </w:tc>
      </w:tr>
    </w:tbl>
    <w:p w:rsidR="0035701C" w:rsidRDefault="00FB561B">
      <w:r>
        <w:t>Les exigences minimales relatives à l'utilisation d'engrais doivent comprendre, entre autres, le respect des codes de bonnes pratiques introduits au titre de la directive 91/676/CEE pour les exploitations situées en dehors des zone</w:t>
      </w:r>
      <w:r>
        <w:t>s vulnérables aux nitrates, et des exigences concernant la pollution au phosphore; les exigences minimales relatives à l'utilisation de produits phytosanitaires doivent comprendre, entre autres, les principes généraux de la lutte intégrée contre les ennemi</w:t>
      </w:r>
      <w:r>
        <w:t>s des cultures introduits par la directive 2009/128/CE du Parlement européen et du Conseil, l’obligation de détenir une autorisation d’utiliser les produits, de satisfaire aux conditions de formation, d’assurer un stockage sûr et de contrôler les équipemen</w:t>
      </w:r>
      <w:r>
        <w:t>ts destinés à l’épandage ainsi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Liste des races locales 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Description de la méthode et des hypothèses et paramètres agronomiques y compris la descri</w:t>
      </w:r>
      <w:r>
        <w:t xml:space="preserve">ption des exigences minimales visées à l'article 29, paragraphe 2, du règlement (UE) n° 1305/2013 correspondant à chaque type particulier d'engagement, utilisés comme référence pour les calculs justifiant les coûts supplémentaires et les pertes de revenus </w:t>
      </w:r>
      <w:r>
        <w:t xml:space="preserve">résultant de l’engagement pris et le niveau des coûts des transactions; le cas échéant, cette méthode tient compte des aides accordées au titre du règlement (UE) n° 1307/2013, et notamment des paiements en faveur des pratiques agricoles bénéfiques pour le </w:t>
      </w:r>
      <w:r>
        <w:t>climat et l’environnement, afin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Méthode générale de calcul du montant : </w:t>
            </w:r>
            <w:r>
              <w:rPr>
                <w:szCs w:val="24"/>
              </w:rPr>
              <w:t xml:space="preserve">Le montant de l’aide est calculé sur </w:t>
            </w:r>
            <w:r>
              <w:rPr>
                <w:szCs w:val="24"/>
              </w:rPr>
              <w:t>la base de l’utilisation du matériel et du temps de travail supplémentaire nécessaire pour la mise en place de l’enherbement ainsi que les coûts de transaction générés par le respect des éléments contractualisés.</w:t>
            </w:r>
          </w:p>
          <w:p w:rsidR="0035701C" w:rsidRDefault="00FB561B">
            <w:pPr>
              <w:spacing w:before="240" w:after="240"/>
              <w:jc w:val="left"/>
              <w:rPr>
                <w:szCs w:val="24"/>
              </w:rPr>
            </w:pPr>
            <w:r>
              <w:rPr>
                <w:b/>
                <w:bCs/>
                <w:i/>
                <w:iCs/>
                <w:szCs w:val="24"/>
              </w:rPr>
              <w:t>Pratiques de références </w:t>
            </w:r>
            <w:r>
              <w:rPr>
                <w:szCs w:val="24"/>
              </w:rPr>
              <w:t>: La pratique habit</w:t>
            </w:r>
            <w:r>
              <w:rPr>
                <w:szCs w:val="24"/>
              </w:rPr>
              <w:t>uelle consiste à désherber chimiquement.</w:t>
            </w:r>
          </w:p>
          <w:p w:rsidR="0035701C" w:rsidRDefault="00FB561B">
            <w:pPr>
              <w:spacing w:before="240" w:after="240"/>
              <w:jc w:val="left"/>
              <w:rPr>
                <w:szCs w:val="24"/>
              </w:rPr>
            </w:pPr>
            <w:r>
              <w:rPr>
                <w:b/>
                <w:bCs/>
                <w:i/>
                <w:iCs/>
                <w:szCs w:val="24"/>
              </w:rPr>
              <w:t xml:space="preserve">Verdissement : </w:t>
            </w:r>
          </w:p>
          <w:p w:rsidR="0035701C" w:rsidRDefault="00FB561B">
            <w:pPr>
              <w:spacing w:before="240" w:after="240"/>
              <w:jc w:val="left"/>
              <w:rPr>
                <w:szCs w:val="24"/>
              </w:rPr>
            </w:pPr>
            <w:r>
              <w:rPr>
                <w:szCs w:val="24"/>
              </w:rPr>
              <w:t>L’opération ne rémunère pas :</w:t>
            </w:r>
          </w:p>
          <w:p w:rsidR="0035701C" w:rsidRDefault="00FB561B" w:rsidP="00FB561B">
            <w:pPr>
              <w:numPr>
                <w:ilvl w:val="0"/>
                <w:numId w:val="820"/>
              </w:numPr>
              <w:spacing w:before="240" w:after="0"/>
              <w:ind w:hanging="210"/>
              <w:jc w:val="left"/>
              <w:rPr>
                <w:szCs w:val="24"/>
              </w:rPr>
            </w:pPr>
            <w:r>
              <w:rPr>
                <w:szCs w:val="24"/>
              </w:rPr>
              <w:t>Le maintien des prairies permanentes</w:t>
            </w:r>
          </w:p>
          <w:p w:rsidR="0035701C" w:rsidRDefault="00FB561B" w:rsidP="00FB561B">
            <w:pPr>
              <w:numPr>
                <w:ilvl w:val="0"/>
                <w:numId w:val="820"/>
              </w:numPr>
              <w:spacing w:before="0" w:after="0"/>
              <w:ind w:hanging="210"/>
              <w:jc w:val="left"/>
              <w:rPr>
                <w:szCs w:val="24"/>
              </w:rPr>
            </w:pPr>
            <w:r>
              <w:rPr>
                <w:szCs w:val="24"/>
              </w:rPr>
              <w:t>Les obligations de diversité des assolements</w:t>
            </w:r>
          </w:p>
          <w:p w:rsidR="0035701C" w:rsidRDefault="00FB561B" w:rsidP="00FB561B">
            <w:pPr>
              <w:numPr>
                <w:ilvl w:val="0"/>
                <w:numId w:val="820"/>
              </w:numPr>
              <w:spacing w:before="0" w:after="240"/>
              <w:ind w:hanging="210"/>
              <w:jc w:val="left"/>
              <w:rPr>
                <w:szCs w:val="24"/>
              </w:rPr>
            </w:pPr>
            <w:r>
              <w:rPr>
                <w:szCs w:val="24"/>
              </w:rPr>
              <w:t>Les obligations liées aux surfaces d’intérêt écologique</w:t>
            </w:r>
          </w:p>
          <w:p w:rsidR="0035701C" w:rsidRDefault="00FB561B">
            <w:pPr>
              <w:spacing w:before="240" w:after="240"/>
              <w:jc w:val="left"/>
              <w:rPr>
                <w:szCs w:val="24"/>
              </w:rPr>
            </w:pPr>
            <w:r>
              <w:rPr>
                <w:szCs w:val="24"/>
              </w:rPr>
              <w:t xml:space="preserve">Il n’y a donc pas de risque de </w:t>
            </w:r>
            <w:r>
              <w:rPr>
                <w:szCs w:val="24"/>
              </w:rPr>
              <w:t>double paiement pour ce qui concerne les pratiques du verdissement.</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821"/>
              </w:numPr>
              <w:spacing w:before="240" w:after="0"/>
              <w:ind w:hanging="210"/>
              <w:jc w:val="left"/>
              <w:rPr>
                <w:szCs w:val="24"/>
              </w:rPr>
            </w:pPr>
            <w:r>
              <w:rPr>
                <w:szCs w:val="24"/>
              </w:rPr>
              <w:t>Barème des coûts horaires des techniciens : assemblée permanente des chambres d’agriculture (APCA)</w:t>
            </w:r>
          </w:p>
          <w:p w:rsidR="0035701C" w:rsidRDefault="00FB561B" w:rsidP="00FB561B">
            <w:pPr>
              <w:numPr>
                <w:ilvl w:val="0"/>
                <w:numId w:val="821"/>
              </w:numPr>
              <w:spacing w:before="0" w:after="0"/>
              <w:ind w:hanging="210"/>
              <w:jc w:val="left"/>
              <w:rPr>
                <w:szCs w:val="24"/>
              </w:rPr>
            </w:pPr>
            <w:r>
              <w:rPr>
                <w:szCs w:val="24"/>
              </w:rPr>
              <w:t>Coût du matériel : Bureau de Coordination du Machinisme Agricole (tar</w:t>
            </w:r>
            <w:r>
              <w:rPr>
                <w:szCs w:val="24"/>
              </w:rPr>
              <w:t>ifs 2012)</w:t>
            </w:r>
          </w:p>
          <w:p w:rsidR="0035701C" w:rsidRDefault="00FB561B" w:rsidP="00FB561B">
            <w:pPr>
              <w:numPr>
                <w:ilvl w:val="0"/>
                <w:numId w:val="821"/>
              </w:numPr>
              <w:spacing w:before="0" w:after="0"/>
              <w:ind w:hanging="210"/>
              <w:jc w:val="left"/>
              <w:rPr>
                <w:szCs w:val="24"/>
              </w:rPr>
            </w:pPr>
            <w:r>
              <w:rPr>
                <w:szCs w:val="24"/>
              </w:rPr>
              <w:t>Surface moyenne engagée par exploitation : surface moyenne engagée en MAE</w:t>
            </w:r>
          </w:p>
          <w:p w:rsidR="0035701C" w:rsidRDefault="00FB561B" w:rsidP="00FB561B">
            <w:pPr>
              <w:numPr>
                <w:ilvl w:val="0"/>
                <w:numId w:val="821"/>
              </w:numPr>
              <w:spacing w:before="0" w:after="240"/>
              <w:ind w:hanging="210"/>
              <w:jc w:val="left"/>
              <w:rPr>
                <w:szCs w:val="24"/>
              </w:rPr>
            </w:pPr>
            <w:r>
              <w:rPr>
                <w:szCs w:val="24"/>
              </w:rPr>
              <w:t>Temps de travail pour la réalisation d’un bilan : experts nationaux</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051758" cy="8280400"/>
                  <wp:effectExtent l="0" t="0" r="0" b="0"/>
                  <wp:docPr id="100244" name="Image 100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5" name=""/>
                          <pic:cNvPicPr>
                            <a:picLocks noChangeAspect="1"/>
                          </pic:cNvPicPr>
                        </pic:nvPicPr>
                        <pic:blipFill>
                          <a:blip r:embed="rId131"/>
                          <a:stretch>
                            <a:fillRect/>
                          </a:stretch>
                        </pic:blipFill>
                        <pic:spPr>
                          <a:xfrm>
                            <a:off x="0" y="0"/>
                            <a:ext cx="6051758" cy="8280400"/>
                          </a:xfrm>
                          <a:prstGeom prst="rect">
                            <a:avLst/>
                          </a:prstGeom>
                        </pic:spPr>
                      </pic:pic>
                    </a:graphicData>
                  </a:graphic>
                </wp:inline>
              </w:drawing>
            </w:r>
          </w:p>
          <w:p w:rsidR="0035701C" w:rsidRDefault="00FB561B">
            <w:pPr>
              <w:pStyle w:val="Pieddepage"/>
              <w:jc w:val="center"/>
            </w:pPr>
            <w:r>
              <w:t>Eau_9_arboriculture_option1(1)</w:t>
            </w:r>
          </w:p>
          <w:p w:rsidR="0035701C" w:rsidRDefault="00FB561B">
            <w:pPr>
              <w:pStyle w:val="Pieddepage"/>
              <w:jc w:val="center"/>
            </w:pPr>
            <w:r>
              <w:rPr>
                <w:noProof/>
                <w:lang w:val="fr-FR" w:eastAsia="fr-FR"/>
              </w:rPr>
              <w:drawing>
                <wp:inline distT="0" distB="0" distL="0" distR="0">
                  <wp:extent cx="6315075" cy="5448300"/>
                  <wp:effectExtent l="0" t="0" r="0" b="0"/>
                  <wp:docPr id="100246" name="Image 100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7" name=""/>
                          <pic:cNvPicPr>
                            <a:picLocks noChangeAspect="1"/>
                          </pic:cNvPicPr>
                        </pic:nvPicPr>
                        <pic:blipFill>
                          <a:blip r:embed="rId132"/>
                          <a:stretch>
                            <a:fillRect/>
                          </a:stretch>
                        </pic:blipFill>
                        <pic:spPr>
                          <a:xfrm>
                            <a:off x="0" y="0"/>
                            <a:ext cx="6315075" cy="5448300"/>
                          </a:xfrm>
                          <a:prstGeom prst="rect">
                            <a:avLst/>
                          </a:prstGeom>
                        </pic:spPr>
                      </pic:pic>
                    </a:graphicData>
                  </a:graphic>
                </wp:inline>
              </w:drawing>
            </w:r>
          </w:p>
          <w:p w:rsidR="0035701C" w:rsidRDefault="00FB561B">
            <w:pPr>
              <w:pStyle w:val="Pieddepage"/>
              <w:jc w:val="center"/>
            </w:pPr>
            <w:r>
              <w:t>Eau_9_arboriculture_option1(2)</w:t>
            </w:r>
          </w:p>
          <w:p w:rsidR="0035701C" w:rsidRDefault="00FB561B">
            <w:pPr>
              <w:pStyle w:val="Pieddepage"/>
              <w:jc w:val="center"/>
            </w:pPr>
            <w:r>
              <w:rPr>
                <w:noProof/>
                <w:lang w:val="fr-FR" w:eastAsia="fr-FR"/>
              </w:rPr>
              <w:drawing>
                <wp:inline distT="0" distB="0" distL="0" distR="0">
                  <wp:extent cx="5664643" cy="8280400"/>
                  <wp:effectExtent l="0" t="0" r="0" b="0"/>
                  <wp:docPr id="100248" name="Image 100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9" name=""/>
                          <pic:cNvPicPr>
                            <a:picLocks noChangeAspect="1"/>
                          </pic:cNvPicPr>
                        </pic:nvPicPr>
                        <pic:blipFill>
                          <a:blip r:embed="rId133"/>
                          <a:stretch>
                            <a:fillRect/>
                          </a:stretch>
                        </pic:blipFill>
                        <pic:spPr>
                          <a:xfrm>
                            <a:off x="0" y="0"/>
                            <a:ext cx="5664643" cy="8280400"/>
                          </a:xfrm>
                          <a:prstGeom prst="rect">
                            <a:avLst/>
                          </a:prstGeom>
                        </pic:spPr>
                      </pic:pic>
                    </a:graphicData>
                  </a:graphic>
                </wp:inline>
              </w:drawing>
            </w:r>
          </w:p>
          <w:p w:rsidR="0035701C" w:rsidRDefault="00FB561B">
            <w:pPr>
              <w:pStyle w:val="Pieddepage"/>
              <w:jc w:val="center"/>
            </w:pPr>
            <w:r>
              <w:t>Eau_9_arboriculture_option2(1)</w:t>
            </w:r>
          </w:p>
          <w:p w:rsidR="0035701C" w:rsidRDefault="00FB561B">
            <w:pPr>
              <w:pStyle w:val="Pieddepage"/>
              <w:jc w:val="center"/>
            </w:pPr>
            <w:r>
              <w:rPr>
                <w:noProof/>
                <w:lang w:val="fr-FR" w:eastAsia="fr-FR"/>
              </w:rPr>
              <w:drawing>
                <wp:inline distT="0" distB="0" distL="0" distR="0">
                  <wp:extent cx="6343650" cy="847725"/>
                  <wp:effectExtent l="0" t="0" r="0" b="0"/>
                  <wp:docPr id="100250" name="Image 10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1" name=""/>
                          <pic:cNvPicPr>
                            <a:picLocks noChangeAspect="1"/>
                          </pic:cNvPicPr>
                        </pic:nvPicPr>
                        <pic:blipFill>
                          <a:blip r:embed="rId134"/>
                          <a:stretch>
                            <a:fillRect/>
                          </a:stretch>
                        </pic:blipFill>
                        <pic:spPr>
                          <a:xfrm>
                            <a:off x="0" y="0"/>
                            <a:ext cx="6343650" cy="847725"/>
                          </a:xfrm>
                          <a:prstGeom prst="rect">
                            <a:avLst/>
                          </a:prstGeom>
                        </pic:spPr>
                      </pic:pic>
                    </a:graphicData>
                  </a:graphic>
                </wp:inline>
              </w:drawing>
            </w:r>
          </w:p>
          <w:p w:rsidR="0035701C" w:rsidRDefault="00FB561B">
            <w:pPr>
              <w:pStyle w:val="Pieddepage"/>
              <w:jc w:val="center"/>
            </w:pPr>
            <w:r>
              <w:t>Eau_9_arboriculture_option2(2)</w:t>
            </w:r>
          </w:p>
          <w:p w:rsidR="0035701C" w:rsidRDefault="00FB561B">
            <w:pPr>
              <w:pStyle w:val="Pieddepage"/>
              <w:jc w:val="center"/>
            </w:pPr>
            <w:r>
              <w:rPr>
                <w:noProof/>
                <w:lang w:val="fr-FR" w:eastAsia="fr-FR"/>
              </w:rPr>
              <w:drawing>
                <wp:inline distT="0" distB="0" distL="0" distR="0">
                  <wp:extent cx="5887321" cy="8280400"/>
                  <wp:effectExtent l="0" t="0" r="0" b="0"/>
                  <wp:docPr id="100252" name="Image 100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3" name=""/>
                          <pic:cNvPicPr>
                            <a:picLocks noChangeAspect="1"/>
                          </pic:cNvPicPr>
                        </pic:nvPicPr>
                        <pic:blipFill>
                          <a:blip r:embed="rId135"/>
                          <a:stretch>
                            <a:fillRect/>
                          </a:stretch>
                        </pic:blipFill>
                        <pic:spPr>
                          <a:xfrm>
                            <a:off x="0" y="0"/>
                            <a:ext cx="5887321" cy="8280400"/>
                          </a:xfrm>
                          <a:prstGeom prst="rect">
                            <a:avLst/>
                          </a:prstGeom>
                        </pic:spPr>
                      </pic:pic>
                    </a:graphicData>
                  </a:graphic>
                </wp:inline>
              </w:drawing>
            </w:r>
          </w:p>
          <w:p w:rsidR="0035701C" w:rsidRDefault="00FB561B">
            <w:pPr>
              <w:pStyle w:val="Pieddepage"/>
              <w:jc w:val="center"/>
            </w:pPr>
            <w:r>
              <w:t>Eau_9_viticulture_option1(1)</w:t>
            </w:r>
          </w:p>
          <w:p w:rsidR="0035701C" w:rsidRDefault="00FB561B">
            <w:pPr>
              <w:pStyle w:val="Pieddepage"/>
              <w:jc w:val="center"/>
            </w:pPr>
            <w:r>
              <w:rPr>
                <w:noProof/>
                <w:lang w:val="fr-FR" w:eastAsia="fr-FR"/>
              </w:rPr>
              <w:drawing>
                <wp:inline distT="0" distB="0" distL="0" distR="0">
                  <wp:extent cx="6438900" cy="3800475"/>
                  <wp:effectExtent l="0" t="0" r="0" b="0"/>
                  <wp:docPr id="100254" name="Image 100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5" name=""/>
                          <pic:cNvPicPr>
                            <a:picLocks noChangeAspect="1"/>
                          </pic:cNvPicPr>
                        </pic:nvPicPr>
                        <pic:blipFill>
                          <a:blip r:embed="rId136"/>
                          <a:stretch>
                            <a:fillRect/>
                          </a:stretch>
                        </pic:blipFill>
                        <pic:spPr>
                          <a:xfrm>
                            <a:off x="0" y="0"/>
                            <a:ext cx="6438900" cy="3800475"/>
                          </a:xfrm>
                          <a:prstGeom prst="rect">
                            <a:avLst/>
                          </a:prstGeom>
                        </pic:spPr>
                      </pic:pic>
                    </a:graphicData>
                  </a:graphic>
                </wp:inline>
              </w:drawing>
            </w:r>
          </w:p>
          <w:p w:rsidR="0035701C" w:rsidRDefault="00FB561B">
            <w:pPr>
              <w:pStyle w:val="Pieddepage"/>
              <w:jc w:val="center"/>
            </w:pPr>
            <w:r>
              <w:t>Eau_9_viticulture_option1(2)</w:t>
            </w:r>
          </w:p>
          <w:p w:rsidR="0035701C" w:rsidRDefault="00FB561B">
            <w:pPr>
              <w:pStyle w:val="Pieddepage"/>
              <w:jc w:val="center"/>
            </w:pPr>
            <w:r>
              <w:rPr>
                <w:noProof/>
                <w:lang w:val="fr-FR" w:eastAsia="fr-FR"/>
              </w:rPr>
              <w:drawing>
                <wp:inline distT="0" distB="0" distL="0" distR="0">
                  <wp:extent cx="5536894" cy="8280400"/>
                  <wp:effectExtent l="0" t="0" r="0" b="0"/>
                  <wp:docPr id="100256" name="Image 100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7" name=""/>
                          <pic:cNvPicPr>
                            <a:picLocks noChangeAspect="1"/>
                          </pic:cNvPicPr>
                        </pic:nvPicPr>
                        <pic:blipFill>
                          <a:blip r:embed="rId137"/>
                          <a:stretch>
                            <a:fillRect/>
                          </a:stretch>
                        </pic:blipFill>
                        <pic:spPr>
                          <a:xfrm>
                            <a:off x="0" y="0"/>
                            <a:ext cx="5536894" cy="8280400"/>
                          </a:xfrm>
                          <a:prstGeom prst="rect">
                            <a:avLst/>
                          </a:prstGeom>
                        </pic:spPr>
                      </pic:pic>
                    </a:graphicData>
                  </a:graphic>
                </wp:inline>
              </w:drawing>
            </w:r>
          </w:p>
          <w:p w:rsidR="0035701C" w:rsidRDefault="00FB561B">
            <w:pPr>
              <w:pStyle w:val="Pieddepage"/>
              <w:jc w:val="center"/>
            </w:pPr>
            <w:r>
              <w:t>Eau_9_viticulture_option2</w:t>
            </w:r>
          </w:p>
          <w:p w:rsidR="0035701C" w:rsidRDefault="0035701C">
            <w:pPr>
              <w:pStyle w:val="Pieddepage"/>
              <w:jc w:val="center"/>
            </w:pPr>
          </w:p>
        </w:tc>
      </w:tr>
    </w:tbl>
    <w:p w:rsidR="0035701C" w:rsidRDefault="00FB561B">
      <w:pPr>
        <w:pStyle w:val="Titre5"/>
        <w:rPr>
          <w:b w:val="0"/>
        </w:rPr>
      </w:pPr>
      <w:r>
        <w:rPr>
          <w:b w:val="0"/>
        </w:rPr>
        <w:br w:type="page"/>
        <w:t>-38- EAU_10</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822"/>
              </w:numPr>
            </w:pPr>
            <w:r>
              <w:t>10.1 – Paiements au titre d'engagements agroenvironnementaux et climatiques</w:t>
            </w:r>
          </w:p>
        </w:tc>
      </w:tr>
    </w:tbl>
    <w:p w:rsidR="0035701C" w:rsidRDefault="00FB561B">
      <w:pPr>
        <w:pStyle w:val="Titre6"/>
      </w:pPr>
      <w:r>
        <w:t xml:space="preserve">Description du type </w:t>
      </w:r>
      <w:r>
        <w:t>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 titre complet : EAU_ 10 = Mise en place de la confusion sexuelle contre Eudemis et/ou Cochylis.</w:t>
            </w:r>
          </w:p>
          <w:p w:rsidR="0035701C" w:rsidRDefault="00FB561B">
            <w:pPr>
              <w:spacing w:before="240" w:after="240"/>
              <w:jc w:val="left"/>
              <w:rPr>
                <w:szCs w:val="24"/>
              </w:rPr>
            </w:pPr>
            <w:r>
              <w:rPr>
                <w:szCs w:val="24"/>
              </w:rPr>
              <w:t>L’Eudemis et la Cochylis sont parmi les plus nuisibles des vers de la grappe. Ces deux espèces présentent plusieurs cycles reproducteurs par an</w:t>
            </w:r>
            <w:r>
              <w:rPr>
                <w:szCs w:val="24"/>
              </w:rPr>
              <w:t xml:space="preserve"> (2 pour Cochylis et 3 voire 4 pour Eudemis). Les dégâts provoqués par la première génération sont généralement considérés comme négligeables. En revanche les deuxième et troisième générations de chenilles sont redoutables: elles perforent les grains occas</w:t>
            </w:r>
            <w:r>
              <w:rPr>
                <w:szCs w:val="24"/>
              </w:rPr>
              <w:t>ionnant des blessures qui provoquent l’écoulement de jus sucré. Ceci favorisant l’installation de pourriture grise (</w:t>
            </w:r>
            <w:r>
              <w:rPr>
                <w:i/>
                <w:iCs/>
                <w:szCs w:val="24"/>
              </w:rPr>
              <w:t>Botrytis cinerea</w:t>
            </w:r>
            <w:r>
              <w:rPr>
                <w:szCs w:val="24"/>
              </w:rPr>
              <w:t>) et d’autres pourritures secondaires telles celles responsables de goûts moisis-terreux ou de la production d’ochratoxine A</w:t>
            </w:r>
            <w:r>
              <w:rPr>
                <w:szCs w:val="24"/>
              </w:rPr>
              <w:t xml:space="preserve"> (OTA). Les pertes économiques peuvent être très importantes.</w:t>
            </w:r>
          </w:p>
          <w:p w:rsidR="0035701C" w:rsidRDefault="00FB561B">
            <w:pPr>
              <w:spacing w:before="240" w:after="240"/>
              <w:jc w:val="left"/>
              <w:rPr>
                <w:szCs w:val="24"/>
              </w:rPr>
            </w:pPr>
            <w:r>
              <w:rPr>
                <w:szCs w:val="24"/>
              </w:rPr>
              <w:t xml:space="preserve">Des travaux relatifs à la confusion sexuelle ont permis de définir les modalités de mise en œuvre de la mesure. Ils ont ainsi fixé la surface minimum d’intervention en viticulture à 5 hectares. </w:t>
            </w:r>
            <w:r>
              <w:rPr>
                <w:szCs w:val="24"/>
              </w:rPr>
              <w:t>En effet, pour que le nuage de phéromones de synthèse soit pleinement efficace les surfaces traitées doivent être homogènes. Dès lors, par rapport à la pratique conventionnelle, le nombre de traitement passe de 3 à 1.</w:t>
            </w:r>
          </w:p>
          <w:p w:rsidR="0035701C" w:rsidRDefault="00FB561B">
            <w:pPr>
              <w:spacing w:before="240" w:after="240"/>
              <w:jc w:val="left"/>
              <w:rPr>
                <w:szCs w:val="24"/>
              </w:rPr>
            </w:pPr>
            <w:r>
              <w:rPr>
                <w:szCs w:val="24"/>
              </w:rPr>
              <w:t>L’objectif principal est de réduire le</w:t>
            </w:r>
            <w:r>
              <w:rPr>
                <w:szCs w:val="24"/>
              </w:rPr>
              <w:t xml:space="preserve"> nombre de traitement et dès lors les risques de pollution des eaux par les produits phytosanitaires.</w:t>
            </w:r>
          </w:p>
          <w:p w:rsidR="0035701C" w:rsidRDefault="00FB561B">
            <w:pPr>
              <w:spacing w:before="240" w:after="240"/>
              <w:jc w:val="left"/>
              <w:rPr>
                <w:szCs w:val="24"/>
              </w:rPr>
            </w:pPr>
            <w:r>
              <w:rPr>
                <w:szCs w:val="24"/>
              </w:rPr>
              <w:t>Cette opération peut être combinée avec d’autres opérations telles que : l’enherbement au niveau des inter-rangs, le désherbage mécanique au niveau du ran</w:t>
            </w:r>
            <w:r>
              <w:rPr>
                <w:szCs w:val="24"/>
              </w:rPr>
              <w:t>g, la mise en place d’un engrais vert et/ou le désherbage mécanique au niveau de l’inter-rang (pour les opérations où un coefficient d’étalement pourra être appliqué il ne devra pas être supérieur à 1).</w:t>
            </w:r>
          </w:p>
          <w:p w:rsidR="0035701C" w:rsidRDefault="00FB561B">
            <w:pPr>
              <w:spacing w:before="240" w:after="240"/>
              <w:jc w:val="left"/>
              <w:rPr>
                <w:szCs w:val="24"/>
              </w:rPr>
            </w:pPr>
            <w:r>
              <w:rPr>
                <w:b/>
                <w:bCs/>
                <w:i/>
                <w:iCs/>
                <w:szCs w:val="24"/>
              </w:rPr>
              <w:t xml:space="preserve">Cahier des charges : </w:t>
            </w:r>
          </w:p>
          <w:p w:rsidR="0035701C" w:rsidRDefault="00FB561B" w:rsidP="00FB561B">
            <w:pPr>
              <w:numPr>
                <w:ilvl w:val="0"/>
                <w:numId w:val="823"/>
              </w:numPr>
              <w:spacing w:before="240" w:after="0"/>
              <w:ind w:hanging="210"/>
              <w:jc w:val="left"/>
              <w:rPr>
                <w:szCs w:val="24"/>
              </w:rPr>
            </w:pPr>
            <w:r>
              <w:rPr>
                <w:szCs w:val="24"/>
              </w:rPr>
              <w:t>L’agriculteur s’engage à respec</w:t>
            </w:r>
            <w:r>
              <w:rPr>
                <w:szCs w:val="24"/>
              </w:rPr>
              <w:t>ter le protocole établi par les structures agréées pour la mise en place de la confusion sexuelle.</w:t>
            </w:r>
          </w:p>
          <w:p w:rsidR="0035701C" w:rsidRDefault="00FB561B" w:rsidP="00FB561B">
            <w:pPr>
              <w:numPr>
                <w:ilvl w:val="0"/>
                <w:numId w:val="823"/>
              </w:numPr>
              <w:spacing w:before="0" w:after="0"/>
              <w:ind w:hanging="210"/>
              <w:jc w:val="left"/>
              <w:rPr>
                <w:szCs w:val="24"/>
              </w:rPr>
            </w:pPr>
            <w:r>
              <w:rPr>
                <w:szCs w:val="24"/>
              </w:rPr>
              <w:t>Il s’engage à le mettre en place sur minimum 5 hectares.</w:t>
            </w:r>
          </w:p>
          <w:p w:rsidR="0035701C" w:rsidRDefault="00FB561B" w:rsidP="00FB561B">
            <w:pPr>
              <w:numPr>
                <w:ilvl w:val="0"/>
                <w:numId w:val="823"/>
              </w:numPr>
              <w:spacing w:before="0" w:after="0"/>
              <w:ind w:hanging="210"/>
              <w:jc w:val="left"/>
              <w:rPr>
                <w:szCs w:val="24"/>
              </w:rPr>
            </w:pPr>
            <w:r>
              <w:rPr>
                <w:szCs w:val="24"/>
              </w:rPr>
              <w:t>Il s’engage à mettre en place et à réaliser un suivi bi-hebdomadaire de pièges à phéromone sur chaqu</w:t>
            </w:r>
            <w:r>
              <w:rPr>
                <w:szCs w:val="24"/>
              </w:rPr>
              <w:t>e bloc afin de vérifier l’efficacité du dispositif et de couvrir toute la période de vol. Ce suivi est consigné dans le cahier de l’exploitant.</w:t>
            </w:r>
          </w:p>
          <w:p w:rsidR="0035701C" w:rsidRDefault="00FB561B" w:rsidP="00FB561B">
            <w:pPr>
              <w:numPr>
                <w:ilvl w:val="0"/>
                <w:numId w:val="823"/>
              </w:numPr>
              <w:spacing w:before="0" w:after="0"/>
              <w:ind w:hanging="210"/>
              <w:jc w:val="left"/>
              <w:rPr>
                <w:szCs w:val="24"/>
              </w:rPr>
            </w:pPr>
            <w:r>
              <w:rPr>
                <w:szCs w:val="24"/>
              </w:rPr>
              <w:t>Il s’engage à mettre en place des diffuseurs à phéromones à une densité de 650 unités par hectares, soit 500 par</w:t>
            </w:r>
            <w:r>
              <w:rPr>
                <w:szCs w:val="24"/>
              </w:rPr>
              <w:t xml:space="preserve"> hectares et renforcements des bordures de la parcelle de 150 unités pour empêcher la pénétration des papillons dans la parcelle. Les diffuseurs seront posés dès le début du premier vol à repérer à l’aide d’un piège sexuel.</w:t>
            </w:r>
          </w:p>
          <w:p w:rsidR="0035701C" w:rsidRDefault="00FB561B" w:rsidP="00FB561B">
            <w:pPr>
              <w:numPr>
                <w:ilvl w:val="0"/>
                <w:numId w:val="823"/>
              </w:numPr>
              <w:spacing w:before="0" w:after="0"/>
              <w:ind w:hanging="210"/>
              <w:jc w:val="left"/>
              <w:rPr>
                <w:szCs w:val="24"/>
              </w:rPr>
            </w:pPr>
            <w:r>
              <w:rPr>
                <w:szCs w:val="24"/>
              </w:rPr>
              <w:t>L’exploitant doit réaliser un tr</w:t>
            </w:r>
            <w:r>
              <w:rPr>
                <w:szCs w:val="24"/>
              </w:rPr>
              <w:t>aitement curatif sur la première génération afin que la confusion soit pleinement efficace avec des populations de départ réduites.</w:t>
            </w:r>
          </w:p>
          <w:p w:rsidR="0035701C" w:rsidRDefault="00FB561B" w:rsidP="00FB561B">
            <w:pPr>
              <w:numPr>
                <w:ilvl w:val="0"/>
                <w:numId w:val="823"/>
              </w:numPr>
              <w:spacing w:before="0" w:after="0"/>
              <w:ind w:hanging="210"/>
              <w:jc w:val="left"/>
              <w:rPr>
                <w:szCs w:val="24"/>
              </w:rPr>
            </w:pPr>
            <w:r>
              <w:rPr>
                <w:szCs w:val="24"/>
              </w:rPr>
              <w:t>Il doit assurer l’enregistrement des différentes interventions et des pratiques réalisées dans le cahier de l’exploitant. L’</w:t>
            </w:r>
            <w:r>
              <w:rPr>
                <w:szCs w:val="24"/>
              </w:rPr>
              <w:t>enregistrement des pratiques est une obligation pendant toute la durée de l’engagement, permettant ainsi de vérifier l’atteinte de l’objectif sur la durée du contrat.</w:t>
            </w:r>
          </w:p>
          <w:p w:rsidR="0035701C" w:rsidRDefault="00FB561B" w:rsidP="00FB561B">
            <w:pPr>
              <w:numPr>
                <w:ilvl w:val="0"/>
                <w:numId w:val="823"/>
              </w:numPr>
              <w:spacing w:before="0" w:after="240"/>
              <w:ind w:hanging="210"/>
              <w:jc w:val="left"/>
              <w:rPr>
                <w:szCs w:val="24"/>
              </w:rPr>
            </w:pPr>
            <w:r>
              <w:rPr>
                <w:szCs w:val="24"/>
              </w:rPr>
              <w:t>Il doit réaliser un bilan annuel de suivi. L’élaboration de ce bilan est obligatoire afin</w:t>
            </w:r>
            <w:r>
              <w:rPr>
                <w:szCs w:val="24"/>
              </w:rPr>
              <w:t xml:space="preserve"> de garantir de bonnes conditions d’appui technique à la réduction de ces intrants. Il permettra d’évaluer la pertinence des options techniques retenues, de s’assurer de l’atteinte des objectifs de résultat et d’optimiser l’efficacité de la solution agrono</w:t>
            </w:r>
            <w:r>
              <w:rPr>
                <w:szCs w:val="24"/>
              </w:rPr>
              <w:t>mique mise en œuvre. Ce bilan annuel doit être réalisé chaque année par l’agriculteur et deux fois avec l’appui d’un technicien</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w:t>
            </w:r>
          </w:p>
          <w:p w:rsidR="0035701C" w:rsidRDefault="00FB561B">
            <w:pPr>
              <w:spacing w:before="24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w:t>
            </w:r>
            <w:r>
              <w:rPr>
                <w:szCs w:val="24"/>
              </w:rPr>
              <w:t xml:space="preserve"> la rémunération est en euros/ha/an.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824"/>
              </w:numPr>
              <w:spacing w:before="240" w:after="0"/>
              <w:ind w:hanging="210"/>
              <w:jc w:val="left"/>
              <w:rPr>
                <w:szCs w:val="24"/>
              </w:rPr>
            </w:pPr>
            <w:r>
              <w:rPr>
                <w:szCs w:val="24"/>
              </w:rPr>
              <w:t xml:space="preserve">les exigences établies en vertu de l’article 93 du règlement UE n° 1306/2013 et de l’article 4.1c points ii) et </w:t>
            </w:r>
            <w:r>
              <w:rPr>
                <w:szCs w:val="24"/>
              </w:rPr>
              <w:t>iii) du règlement UE n°1307/2013,</w:t>
            </w:r>
          </w:p>
          <w:p w:rsidR="0035701C" w:rsidRDefault="00FB561B" w:rsidP="00FB561B">
            <w:pPr>
              <w:numPr>
                <w:ilvl w:val="0"/>
                <w:numId w:val="824"/>
              </w:numPr>
              <w:spacing w:before="0" w:after="0"/>
              <w:ind w:hanging="210"/>
              <w:jc w:val="left"/>
              <w:rPr>
                <w:szCs w:val="24"/>
              </w:rPr>
            </w:pPr>
            <w:r>
              <w:rPr>
                <w:szCs w:val="24"/>
              </w:rPr>
              <w:t>la circulaire nationale fixant les règles relatives aux bonnes conduites agricoles et environnementales (BCAE).</w:t>
            </w:r>
          </w:p>
          <w:p w:rsidR="0035701C" w:rsidRDefault="00FB561B" w:rsidP="00FB561B">
            <w:pPr>
              <w:numPr>
                <w:ilvl w:val="0"/>
                <w:numId w:val="824"/>
              </w:numPr>
              <w:spacing w:before="0" w:after="240"/>
              <w:ind w:hanging="210"/>
              <w:jc w:val="left"/>
              <w:rPr>
                <w:szCs w:val="24"/>
              </w:rPr>
            </w:pPr>
            <w:r>
              <w:rPr>
                <w:szCs w:val="24"/>
              </w:rPr>
              <w:t xml:space="preserve">l’arrêté préfectoral régional en vigueur en Corse fixant les règles relatives aux bonnes conduites agricoles </w:t>
            </w:r>
            <w:r>
              <w:rPr>
                <w:szCs w:val="24"/>
              </w:rPr>
              <w:t>et environnementales (BCAE).</w:t>
            </w:r>
          </w:p>
          <w:p w:rsidR="0035701C" w:rsidRDefault="00FB561B">
            <w:pPr>
              <w:spacing w:before="240" w:after="240"/>
              <w:jc w:val="left"/>
              <w:rPr>
                <w:szCs w:val="24"/>
              </w:rPr>
            </w:pPr>
            <w:r>
              <w:rPr>
                <w:szCs w:val="24"/>
              </w:rPr>
              <w:t>Afin d’exclure tout double paiement, les pratiques visées à l’article 43 du règlement UE n° 1307/2013 sont prises en compte dans le calcul des surcoûts et manques à gagner.</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w:t>
            </w:r>
            <w:r>
              <w:rPr>
                <w:szCs w:val="24"/>
              </w:rPr>
              <w:t>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les surcoûts, manques à gagner et éventuels coûts d’opportunité et de transaction générés par le respect des éléments contractualisés.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Couverts </w:t>
            </w:r>
            <w:r>
              <w:rPr>
                <w:b/>
                <w:bCs/>
                <w:i/>
                <w:iCs/>
                <w:szCs w:val="24"/>
              </w:rPr>
              <w:t>éligibles :</w:t>
            </w:r>
            <w:r>
              <w:rPr>
                <w:szCs w:val="24"/>
              </w:rPr>
              <w:t xml:space="preserve"> Viticulture.</w:t>
            </w:r>
          </w:p>
          <w:p w:rsidR="0035701C" w:rsidRDefault="00FB561B">
            <w:pPr>
              <w:spacing w:before="240" w:after="240"/>
              <w:jc w:val="left"/>
              <w:rPr>
                <w:szCs w:val="24"/>
              </w:rPr>
            </w:pPr>
            <w:r>
              <w:rPr>
                <w:b/>
                <w:bCs/>
                <w:i/>
                <w:iCs/>
                <w:szCs w:val="24"/>
              </w:rPr>
              <w:t>Diagnostic d’exploitation :</w:t>
            </w:r>
          </w:p>
          <w:p w:rsidR="0035701C" w:rsidRDefault="00FB561B">
            <w:pPr>
              <w:spacing w:before="240" w:after="240"/>
              <w:jc w:val="left"/>
              <w:rPr>
                <w:szCs w:val="24"/>
              </w:rPr>
            </w:pPr>
            <w:r>
              <w:rPr>
                <w:szCs w:val="24"/>
              </w:rPr>
              <w:t>La réalisation d’un diagnostic d’exploitation est une obligation pour la souscription de cette opération.</w:t>
            </w:r>
          </w:p>
          <w:p w:rsidR="0035701C" w:rsidRDefault="00FB561B">
            <w:pPr>
              <w:spacing w:before="240" w:after="240"/>
              <w:jc w:val="left"/>
              <w:rPr>
                <w:szCs w:val="24"/>
              </w:rPr>
            </w:pPr>
            <w:r>
              <w:rPr>
                <w:szCs w:val="24"/>
              </w:rPr>
              <w:t xml:space="preserve">Il permettra de mettre en évidence ou non l’utilisation de produits phytosanitaires contre la </w:t>
            </w:r>
            <w:r>
              <w:rPr>
                <w:szCs w:val="24"/>
              </w:rPr>
              <w:t>cicadelle dorée et leur homologation. En effet, ces traitement peuvent être homologués pour la cicadelle dorée et pour les vers de la grappe. Dans ce cas là l’exploitant n’est pas éligible. L’exploitant devra utiliser uniquement des produits homologués cic</w:t>
            </w:r>
            <w:r>
              <w:rPr>
                <w:szCs w:val="24"/>
              </w:rPr>
              <w:t>adelle dorée pour être éligible.</w:t>
            </w:r>
          </w:p>
          <w:p w:rsidR="0035701C" w:rsidRDefault="00FB561B">
            <w:pPr>
              <w:spacing w:before="240" w:after="240"/>
              <w:jc w:val="left"/>
              <w:rPr>
                <w:szCs w:val="24"/>
              </w:rPr>
            </w:pPr>
            <w:r>
              <w:rPr>
                <w:szCs w:val="24"/>
              </w:rPr>
              <w:t>Le diagnostic d’exploitation fera apparaître les différentes possibilités de combinaison avec d’autres opérations.</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 xml:space="preserve">Montants et taux d'aide </w:t>
      </w:r>
      <w:r>
        <w:t>(applicables)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Afin d’éviter le double paiement du coût de transaction concernant l’élaboration du bilan annuel de la stratégie des cultures :</w:t>
            </w:r>
          </w:p>
          <w:p w:rsidR="0035701C" w:rsidRDefault="00FB561B">
            <w:pPr>
              <w:spacing w:before="240" w:after="240"/>
              <w:jc w:val="left"/>
              <w:rPr>
                <w:szCs w:val="24"/>
              </w:rPr>
            </w:pPr>
            <w:r>
              <w:rPr>
                <w:szCs w:val="24"/>
              </w:rPr>
              <w:t>Option 1 (si l’opération est souscrite seule ou si elle est la première sous</w:t>
            </w:r>
            <w:r>
              <w:rPr>
                <w:szCs w:val="24"/>
              </w:rPr>
              <w:t>crite, le bilan s’ajoutera obligatoirement à cette opération) :</w:t>
            </w:r>
          </w:p>
          <w:p w:rsidR="0035701C" w:rsidRDefault="00FB561B">
            <w:pPr>
              <w:spacing w:before="240" w:after="240"/>
              <w:jc w:val="left"/>
              <w:rPr>
                <w:szCs w:val="24"/>
              </w:rPr>
            </w:pPr>
            <w:r>
              <w:rPr>
                <w:szCs w:val="24"/>
              </w:rPr>
              <w:t>Le montant unitaire est fixé à 222,32 €/ha/an.</w:t>
            </w:r>
          </w:p>
          <w:p w:rsidR="0035701C" w:rsidRDefault="00FB561B">
            <w:pPr>
              <w:spacing w:before="240" w:after="240"/>
              <w:jc w:val="left"/>
              <w:rPr>
                <w:szCs w:val="24"/>
              </w:rPr>
            </w:pPr>
            <w:r>
              <w:rPr>
                <w:szCs w:val="24"/>
              </w:rPr>
              <w:t>Option 2 (si l’opération est souscrite avec d’autres opérations le bilan ne pourra être comptabilisé qu’une seule fois) :</w:t>
            </w:r>
          </w:p>
          <w:p w:rsidR="0035701C" w:rsidRDefault="00FB561B">
            <w:pPr>
              <w:spacing w:before="240" w:after="240"/>
              <w:jc w:val="left"/>
              <w:rPr>
                <w:szCs w:val="24"/>
              </w:rPr>
            </w:pPr>
            <w:r>
              <w:rPr>
                <w:szCs w:val="24"/>
              </w:rPr>
              <w:t>Le montant unitaire est</w:t>
            </w:r>
            <w:r>
              <w:rPr>
                <w:szCs w:val="24"/>
              </w:rPr>
              <w:t xml:space="preserve">  fixé à 187,38 €/ha/an pour la mise en place de la confusion sexuelle contre Eudémis et/ou Cochylis.</w:t>
            </w:r>
          </w:p>
          <w:p w:rsidR="0035701C" w:rsidRDefault="00FB561B">
            <w:pPr>
              <w:spacing w:before="240" w:after="240"/>
              <w:jc w:val="left"/>
              <w:rPr>
                <w:szCs w:val="24"/>
              </w:rPr>
            </w:pPr>
            <w:r>
              <w:rPr>
                <w:szCs w:val="24"/>
              </w:rPr>
              <w:t>En cas de combinaison d'opérations sur une même parcelle, le montant de l’aide sera limité au maximum à 900€/ha.</w:t>
            </w:r>
          </w:p>
          <w:p w:rsidR="0035701C" w:rsidRDefault="0035701C">
            <w:pPr>
              <w:pStyle w:val="Corpsdetexte"/>
            </w:pPr>
          </w:p>
        </w:tc>
      </w:tr>
    </w:tbl>
    <w:p w:rsidR="0035701C" w:rsidRDefault="00FB561B">
      <w:pPr>
        <w:pStyle w:val="Titre6"/>
      </w:pPr>
      <w:r>
        <w:t>Caractère vérifiable et contrôlable des</w:t>
      </w:r>
      <w:r>
        <w:t xml:space="preserve">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des éléments </w:t>
      </w:r>
      <w:r>
        <w:t xml:space="preserve">du niveau de référence applicable, qui doivent inclure les normes obligatoires établies en application du titre VI, chapitre I, du règlement (UE) n° 1306/2013 du Parlement européen et du Conseil, les critères pertinents et les activités minimales établies </w:t>
      </w:r>
      <w:r>
        <w:t>en application de l'article 4, paragraphe 1, point c) ii) et c) iii), du règlement (UE) n° 1307/2013 du Parlement européen et du Conseil, les exigences minimales applicables à l'utilisation des engrais et des produits phytosanitaire ainsi que les autres ex</w:t>
      </w:r>
      <w:r>
        <w:t>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ind w:left="103"/>
              <w:jc w:val="left"/>
              <w:rPr>
                <w:szCs w:val="24"/>
              </w:rPr>
            </w:pPr>
            <w:r>
              <w:rPr>
                <w:szCs w:val="24"/>
              </w:rPr>
              <w:t xml:space="preserve">Par ailleurs, si les pratiques rémunérées au titre de la présente opération sont rendues obligatoires sur des zones au titre de la protection de la biodiversité (notamment des </w:t>
            </w:r>
            <w:r>
              <w:rPr>
                <w:szCs w:val="24"/>
              </w:rPr>
              <w:t>zones classées au titre des réserves naturelles des arrêtés de protection de biotopes), celle-ci ne peut être ouverte sur les zones concernées.</w:t>
            </w:r>
          </w:p>
          <w:p w:rsidR="0035701C" w:rsidRDefault="00FB561B">
            <w:pPr>
              <w:spacing w:before="240" w:after="240"/>
              <w:jc w:val="left"/>
              <w:rPr>
                <w:szCs w:val="24"/>
              </w:rPr>
            </w:pPr>
            <w:r>
              <w:rPr>
                <w:szCs w:val="24"/>
              </w:rPr>
              <w:t> </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293772"/>
                  <wp:effectExtent l="0" t="0" r="0" b="0"/>
                  <wp:docPr id="100258" name="Image 100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59" name=""/>
                          <pic:cNvPicPr>
                            <a:picLocks noChangeAspect="1"/>
                          </pic:cNvPicPr>
                        </pic:nvPicPr>
                        <pic:blipFill>
                          <a:blip r:embed="rId122"/>
                          <a:stretch>
                            <a:fillRect/>
                          </a:stretch>
                        </pic:blipFill>
                        <pic:spPr>
                          <a:xfrm>
                            <a:off x="0" y="0"/>
                            <a:ext cx="6629400" cy="1293772"/>
                          </a:xfrm>
                          <a:prstGeom prst="rect">
                            <a:avLst/>
                          </a:prstGeom>
                        </pic:spPr>
                      </pic:pic>
                    </a:graphicData>
                  </a:graphic>
                </wp:inline>
              </w:drawing>
            </w:r>
          </w:p>
          <w:p w:rsidR="0035701C" w:rsidRDefault="00FB561B">
            <w:pPr>
              <w:pStyle w:val="Pieddepage"/>
              <w:jc w:val="center"/>
            </w:pPr>
            <w:r>
              <w:t>Eau_10_lignebase</w:t>
            </w:r>
          </w:p>
          <w:p w:rsidR="0035701C" w:rsidRDefault="0035701C">
            <w:pPr>
              <w:pStyle w:val="Pieddepage"/>
              <w:jc w:val="center"/>
            </w:pPr>
          </w:p>
        </w:tc>
      </w:tr>
    </w:tbl>
    <w:p w:rsidR="0035701C" w:rsidRDefault="00FB561B">
      <w:r>
        <w:t xml:space="preserve">Les exigences minimales relatives à l'utilisation d'engrais doivent comprendre, entre </w:t>
      </w:r>
      <w:r>
        <w:t>autres, le respect des codes de bonnes pratiques introduits au titre de la directive 91/676/CEE pour les exploitations situées en dehors des zones vulnérables aux nitrates, et des exigences concernant la pollution au phosphore; les exigences minimales rela</w:t>
      </w:r>
      <w:r>
        <w:t>tives à l'utilisation de produits phytosanitaires doivent comprendre, entre autres, les principes généraux de la lutte intégrée contre les ennemis des cultures introduits par la directive 2009/128/CE du Parlement européen et du Conseil, l’obligation de dét</w:t>
      </w:r>
      <w:r>
        <w:t>enir une autorisation d’utiliser les produits, de satisfaire aux conditions de formation, d’assurer un stockage sûr et de contrôler les équipements destinés à l’épandage ainsi que les règles relatives à l’utilisation de pesticides à proximité d’étendues d’</w:t>
      </w:r>
      <w:r>
        <w:t>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Liste des races locales qui sont menacées d’être perdues pour l’agriculture et des ressources génétiques végéta</w:t>
      </w:r>
      <w:r>
        <w:t>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Description de la méthode et des hypothèses et paramètres agronomiques y compris la description des exigences minimales visées à l'article 29, paragraphe 2, du règlement (UE) n° 1305/2013 correspondant</w:t>
      </w:r>
      <w:r>
        <w:t xml:space="preserve"> à chaque type particulier d'engagement, utilisés comme référence pour les calculs justifiant les coûts supplémentaires et les pertes de revenus résultant de l’engagement pris et le niveau des coûts des transactions; le cas échéant, cette méthode tient com</w:t>
      </w:r>
      <w:r>
        <w:t>pte des aides accordées au titre du règlement (UE) n° 1307/2013, et notamment des paiements en faveur des pratiques agricoles bénéfiques pour le climat et l’environnement, afin d’exclure un double financement; le cas échéant, la méthode de conversion utili</w:t>
      </w:r>
      <w:r>
        <w:t>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Méthode générale de calcul du montant : </w:t>
            </w:r>
            <w:r>
              <w:rPr>
                <w:szCs w:val="24"/>
              </w:rPr>
              <w:t xml:space="preserve">Le montant de l’aide est calculé sur la base de l’utilisation du matériel et du temps de travail supplémentaire nécessaire pour la mise en place de </w:t>
            </w:r>
            <w:r>
              <w:rPr>
                <w:szCs w:val="24"/>
              </w:rPr>
              <w:t>la confusion sexuelle ainsi que les coûts de transaction générés par le respect des éléments contractualisés.</w:t>
            </w:r>
          </w:p>
          <w:p w:rsidR="0035701C" w:rsidRDefault="00FB561B">
            <w:pPr>
              <w:spacing w:before="240" w:after="240"/>
              <w:jc w:val="left"/>
              <w:rPr>
                <w:szCs w:val="24"/>
              </w:rPr>
            </w:pPr>
            <w:r>
              <w:rPr>
                <w:b/>
                <w:bCs/>
                <w:i/>
                <w:iCs/>
                <w:szCs w:val="24"/>
              </w:rPr>
              <w:t>Pratiques de références </w:t>
            </w:r>
            <w:r>
              <w:rPr>
                <w:szCs w:val="24"/>
              </w:rPr>
              <w:t>: La méthode de lutte actuelle consiste à positionner des pièges à phéromones sur chaque bloc et d’assurer un suivi bi-heb</w:t>
            </w:r>
            <w:r>
              <w:rPr>
                <w:szCs w:val="24"/>
              </w:rPr>
              <w:t>domadaire afin de déclencher les traitements de façon efficace et de couvrir toute la période de vol.</w:t>
            </w:r>
          </w:p>
          <w:p w:rsidR="0035701C" w:rsidRDefault="00FB561B">
            <w:pPr>
              <w:spacing w:before="240" w:after="240"/>
              <w:jc w:val="left"/>
              <w:rPr>
                <w:szCs w:val="24"/>
              </w:rPr>
            </w:pPr>
            <w:r>
              <w:rPr>
                <w:szCs w:val="24"/>
              </w:rPr>
              <w:t>Réalisation d’un traitement curatif sur la première génération et de deux traitements préventifs sur la seconde et troisième génération</w:t>
            </w:r>
          </w:p>
          <w:p w:rsidR="0035701C" w:rsidRDefault="00FB561B">
            <w:pPr>
              <w:spacing w:before="240" w:after="240"/>
              <w:jc w:val="left"/>
              <w:rPr>
                <w:szCs w:val="24"/>
              </w:rPr>
            </w:pPr>
            <w:r>
              <w:rPr>
                <w:b/>
                <w:bCs/>
                <w:i/>
                <w:iCs/>
                <w:szCs w:val="24"/>
              </w:rPr>
              <w:t xml:space="preserve">Verdissement : </w:t>
            </w:r>
          </w:p>
          <w:p w:rsidR="0035701C" w:rsidRDefault="00FB561B">
            <w:pPr>
              <w:spacing w:before="240" w:after="240"/>
              <w:jc w:val="left"/>
              <w:rPr>
                <w:szCs w:val="24"/>
              </w:rPr>
            </w:pPr>
            <w:r>
              <w:rPr>
                <w:szCs w:val="24"/>
              </w:rPr>
              <w:t>L’</w:t>
            </w:r>
            <w:r>
              <w:rPr>
                <w:szCs w:val="24"/>
              </w:rPr>
              <w:t>opération ne rémunère pas :</w:t>
            </w:r>
          </w:p>
          <w:p w:rsidR="0035701C" w:rsidRDefault="00FB561B" w:rsidP="00FB561B">
            <w:pPr>
              <w:numPr>
                <w:ilvl w:val="0"/>
                <w:numId w:val="825"/>
              </w:numPr>
              <w:spacing w:before="240" w:after="0"/>
              <w:ind w:hanging="210"/>
              <w:jc w:val="left"/>
              <w:rPr>
                <w:szCs w:val="24"/>
              </w:rPr>
            </w:pPr>
            <w:r>
              <w:rPr>
                <w:szCs w:val="24"/>
              </w:rPr>
              <w:t>Le maintien des prairies permanentes</w:t>
            </w:r>
          </w:p>
          <w:p w:rsidR="0035701C" w:rsidRDefault="00FB561B" w:rsidP="00FB561B">
            <w:pPr>
              <w:numPr>
                <w:ilvl w:val="0"/>
                <w:numId w:val="825"/>
              </w:numPr>
              <w:spacing w:before="0" w:after="0"/>
              <w:ind w:hanging="210"/>
              <w:jc w:val="left"/>
              <w:rPr>
                <w:szCs w:val="24"/>
              </w:rPr>
            </w:pPr>
            <w:r>
              <w:rPr>
                <w:szCs w:val="24"/>
              </w:rPr>
              <w:t>Les obligations de diversité des assolements</w:t>
            </w:r>
          </w:p>
          <w:p w:rsidR="0035701C" w:rsidRDefault="00FB561B" w:rsidP="00FB561B">
            <w:pPr>
              <w:numPr>
                <w:ilvl w:val="0"/>
                <w:numId w:val="825"/>
              </w:numPr>
              <w:spacing w:before="0" w:after="240"/>
              <w:ind w:hanging="210"/>
              <w:jc w:val="left"/>
              <w:rPr>
                <w:szCs w:val="24"/>
              </w:rPr>
            </w:pPr>
            <w:r>
              <w:rPr>
                <w:szCs w:val="24"/>
              </w:rPr>
              <w:t>Les obligations liées aux surfaces d’intérêt écologique</w:t>
            </w:r>
          </w:p>
          <w:p w:rsidR="0035701C" w:rsidRDefault="00FB561B">
            <w:pPr>
              <w:spacing w:before="240" w:after="240"/>
              <w:jc w:val="left"/>
              <w:rPr>
                <w:szCs w:val="24"/>
              </w:rPr>
            </w:pPr>
            <w:r>
              <w:rPr>
                <w:szCs w:val="24"/>
              </w:rPr>
              <w:t xml:space="preserve">Il n’y a donc pas de risque de double paiement pour ce qui concerne les pratiques du </w:t>
            </w:r>
            <w:r>
              <w:rPr>
                <w:szCs w:val="24"/>
              </w:rPr>
              <w:t>verdissement.</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826"/>
              </w:numPr>
              <w:spacing w:before="240" w:after="0"/>
              <w:ind w:hanging="210"/>
              <w:jc w:val="left"/>
              <w:rPr>
                <w:szCs w:val="24"/>
              </w:rPr>
            </w:pPr>
            <w:r>
              <w:rPr>
                <w:szCs w:val="24"/>
              </w:rPr>
              <w:t>Prix du diffuseur : source Institut Français de la vigne et du vin – Vinnopôle</w:t>
            </w:r>
          </w:p>
          <w:p w:rsidR="0035701C" w:rsidRDefault="00FB561B" w:rsidP="00FB561B">
            <w:pPr>
              <w:numPr>
                <w:ilvl w:val="0"/>
                <w:numId w:val="826"/>
              </w:numPr>
              <w:spacing w:before="0" w:after="0"/>
              <w:ind w:hanging="210"/>
              <w:jc w:val="left"/>
              <w:rPr>
                <w:szCs w:val="24"/>
              </w:rPr>
            </w:pPr>
            <w:r>
              <w:rPr>
                <w:szCs w:val="24"/>
              </w:rPr>
              <w:t>Méthode et temps de mis en place du dispositif : CRVI Corse - TECHN’ITAB et BASF The chemical compagny</w:t>
            </w:r>
          </w:p>
          <w:p w:rsidR="0035701C" w:rsidRDefault="00FB561B" w:rsidP="00FB561B">
            <w:pPr>
              <w:numPr>
                <w:ilvl w:val="0"/>
                <w:numId w:val="826"/>
              </w:numPr>
              <w:spacing w:before="0" w:after="0"/>
              <w:ind w:hanging="210"/>
              <w:jc w:val="left"/>
              <w:rPr>
                <w:szCs w:val="24"/>
              </w:rPr>
            </w:pPr>
            <w:r>
              <w:rPr>
                <w:szCs w:val="24"/>
              </w:rPr>
              <w:t>Barème des coûts horaires des technicien</w:t>
            </w:r>
            <w:r>
              <w:rPr>
                <w:szCs w:val="24"/>
              </w:rPr>
              <w:t>s : assemblée permanente des chambres d’agriculture (APCA)</w:t>
            </w:r>
          </w:p>
          <w:p w:rsidR="0035701C" w:rsidRDefault="00FB561B" w:rsidP="00FB561B">
            <w:pPr>
              <w:numPr>
                <w:ilvl w:val="0"/>
                <w:numId w:val="826"/>
              </w:numPr>
              <w:spacing w:before="0" w:after="0"/>
              <w:ind w:hanging="210"/>
              <w:jc w:val="left"/>
              <w:rPr>
                <w:szCs w:val="24"/>
              </w:rPr>
            </w:pPr>
            <w:r>
              <w:rPr>
                <w:szCs w:val="24"/>
              </w:rPr>
              <w:t>Surface moyenne engagée par exploitation : surface moyenne engagée en MAE</w:t>
            </w:r>
          </w:p>
          <w:p w:rsidR="0035701C" w:rsidRDefault="00FB561B" w:rsidP="00FB561B">
            <w:pPr>
              <w:numPr>
                <w:ilvl w:val="0"/>
                <w:numId w:val="826"/>
              </w:numPr>
              <w:spacing w:before="0" w:after="240"/>
              <w:ind w:hanging="210"/>
              <w:jc w:val="left"/>
              <w:rPr>
                <w:szCs w:val="24"/>
              </w:rPr>
            </w:pPr>
            <w:r>
              <w:rPr>
                <w:szCs w:val="24"/>
              </w:rPr>
              <w:t>Temps de travail pour la réalisation d’un bilan : experts nationaux</w:t>
            </w:r>
          </w:p>
          <w:p w:rsidR="0035701C" w:rsidRDefault="00FB561B">
            <w:pPr>
              <w:spacing w:before="240" w:after="240"/>
              <w:ind w:left="708"/>
              <w:jc w:val="left"/>
              <w:rPr>
                <w:szCs w:val="24"/>
              </w:rPr>
            </w:pPr>
            <w:r>
              <w:rPr>
                <w:szCs w:val="24"/>
              </w:rPr>
              <w:t> </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343650" cy="7534275"/>
                  <wp:effectExtent l="0" t="0" r="0" b="0"/>
                  <wp:docPr id="100260" name="Image 100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1" name=""/>
                          <pic:cNvPicPr>
                            <a:picLocks noChangeAspect="1"/>
                          </pic:cNvPicPr>
                        </pic:nvPicPr>
                        <pic:blipFill>
                          <a:blip r:embed="rId138"/>
                          <a:stretch>
                            <a:fillRect/>
                          </a:stretch>
                        </pic:blipFill>
                        <pic:spPr>
                          <a:xfrm>
                            <a:off x="0" y="0"/>
                            <a:ext cx="6343650" cy="7534275"/>
                          </a:xfrm>
                          <a:prstGeom prst="rect">
                            <a:avLst/>
                          </a:prstGeom>
                        </pic:spPr>
                      </pic:pic>
                    </a:graphicData>
                  </a:graphic>
                </wp:inline>
              </w:drawing>
            </w:r>
          </w:p>
          <w:p w:rsidR="0035701C" w:rsidRDefault="00FB561B">
            <w:pPr>
              <w:pStyle w:val="Pieddepage"/>
              <w:jc w:val="center"/>
            </w:pPr>
            <w:r>
              <w:t>Eau_10_option1</w:t>
            </w:r>
          </w:p>
          <w:p w:rsidR="0035701C" w:rsidRDefault="00FB561B">
            <w:pPr>
              <w:pStyle w:val="Pieddepage"/>
              <w:jc w:val="center"/>
            </w:pPr>
            <w:r>
              <w:rPr>
                <w:noProof/>
                <w:lang w:val="fr-FR" w:eastAsia="fr-FR"/>
              </w:rPr>
              <w:drawing>
                <wp:inline distT="0" distB="0" distL="0" distR="0">
                  <wp:extent cx="6353175" cy="4400550"/>
                  <wp:effectExtent l="0" t="0" r="0" b="0"/>
                  <wp:docPr id="100262" name="Image 100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3" name=""/>
                          <pic:cNvPicPr>
                            <a:picLocks noChangeAspect="1"/>
                          </pic:cNvPicPr>
                        </pic:nvPicPr>
                        <pic:blipFill>
                          <a:blip r:embed="rId139"/>
                          <a:stretch>
                            <a:fillRect/>
                          </a:stretch>
                        </pic:blipFill>
                        <pic:spPr>
                          <a:xfrm>
                            <a:off x="0" y="0"/>
                            <a:ext cx="6353175" cy="4400550"/>
                          </a:xfrm>
                          <a:prstGeom prst="rect">
                            <a:avLst/>
                          </a:prstGeom>
                        </pic:spPr>
                      </pic:pic>
                    </a:graphicData>
                  </a:graphic>
                </wp:inline>
              </w:drawing>
            </w:r>
          </w:p>
          <w:p w:rsidR="0035701C" w:rsidRDefault="00FB561B">
            <w:pPr>
              <w:pStyle w:val="Pieddepage"/>
              <w:jc w:val="center"/>
            </w:pPr>
            <w:r>
              <w:t>Eau_10_option2</w:t>
            </w:r>
          </w:p>
          <w:p w:rsidR="0035701C" w:rsidRDefault="0035701C">
            <w:pPr>
              <w:pStyle w:val="Pieddepage"/>
              <w:jc w:val="center"/>
            </w:pPr>
          </w:p>
        </w:tc>
      </w:tr>
    </w:tbl>
    <w:p w:rsidR="0035701C" w:rsidRDefault="00FB561B">
      <w:pPr>
        <w:pStyle w:val="Titre5"/>
        <w:rPr>
          <w:b w:val="0"/>
        </w:rPr>
      </w:pPr>
      <w:r>
        <w:rPr>
          <w:b w:val="0"/>
        </w:rPr>
        <w:br w:type="page"/>
        <w:t>-39- EAU_11</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827"/>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 titre complet :  EAU_ 11 = Remplacer le désherbage chimique par un désherbage mécanique en viticulture au niveau de </w:t>
            </w:r>
            <w:r>
              <w:rPr>
                <w:b/>
                <w:bCs/>
                <w:szCs w:val="24"/>
              </w:rPr>
              <w:t>l’inter-rang.</w:t>
            </w:r>
          </w:p>
          <w:p w:rsidR="0035701C" w:rsidRDefault="00FB561B">
            <w:pPr>
              <w:spacing w:before="240" w:after="240"/>
              <w:jc w:val="left"/>
              <w:rPr>
                <w:szCs w:val="24"/>
              </w:rPr>
            </w:pPr>
            <w:r>
              <w:rPr>
                <w:szCs w:val="24"/>
              </w:rPr>
              <w:t>Le désherbage des vignes a plusieurs objectifs : limiter la concurrence par rapport aux ressources hydriques et azotées, maintenir un état sanitaire correct en évitant que les herbes ne montent au cœur des souches. L’utilisation des herbicide</w:t>
            </w:r>
            <w:r>
              <w:rPr>
                <w:szCs w:val="24"/>
              </w:rPr>
              <w:t>s permet une très bonne maîtrise de la flore adventice du vignoble dans la majorité des cas. De plus leur utilisation est relativement simple et rapide. Cependant, la pression règlementaire sur les molécules herbicides incite à se pencher de plus en plus s</w:t>
            </w:r>
            <w:r>
              <w:rPr>
                <w:szCs w:val="24"/>
              </w:rPr>
              <w:t>ur les solutions alternatives de désherbage.</w:t>
            </w:r>
          </w:p>
          <w:p w:rsidR="0035701C" w:rsidRDefault="00FB561B">
            <w:pPr>
              <w:spacing w:before="240" w:after="240"/>
              <w:jc w:val="left"/>
              <w:rPr>
                <w:szCs w:val="24"/>
              </w:rPr>
            </w:pPr>
            <w:r>
              <w:rPr>
                <w:szCs w:val="24"/>
              </w:rPr>
              <w:t>Cet engagement permet de remplacer totalement les traitements herbicides (pré et post levée) par des désherbages mécaniques. De plus le désherbage mécanique présente de nombreux autres avantages :</w:t>
            </w:r>
          </w:p>
          <w:p w:rsidR="0035701C" w:rsidRDefault="00FB561B" w:rsidP="00FB561B">
            <w:pPr>
              <w:numPr>
                <w:ilvl w:val="0"/>
                <w:numId w:val="828"/>
              </w:numPr>
              <w:spacing w:before="240" w:after="0"/>
              <w:ind w:hanging="210"/>
              <w:jc w:val="left"/>
              <w:rPr>
                <w:szCs w:val="24"/>
              </w:rPr>
            </w:pPr>
            <w:r>
              <w:rPr>
                <w:szCs w:val="24"/>
              </w:rPr>
              <w:t>Destruction de</w:t>
            </w:r>
            <w:r>
              <w:rPr>
                <w:szCs w:val="24"/>
              </w:rPr>
              <w:t xml:space="preserve"> la croûte de battance,</w:t>
            </w:r>
          </w:p>
          <w:p w:rsidR="0035701C" w:rsidRDefault="00FB561B" w:rsidP="00FB561B">
            <w:pPr>
              <w:numPr>
                <w:ilvl w:val="0"/>
                <w:numId w:val="828"/>
              </w:numPr>
              <w:spacing w:before="0" w:after="0"/>
              <w:ind w:hanging="210"/>
              <w:jc w:val="left"/>
              <w:rPr>
                <w:szCs w:val="24"/>
              </w:rPr>
            </w:pPr>
            <w:r>
              <w:rPr>
                <w:szCs w:val="24"/>
              </w:rPr>
              <w:t>Amélioration de la porosité du sol,</w:t>
            </w:r>
          </w:p>
          <w:p w:rsidR="0035701C" w:rsidRDefault="00FB561B" w:rsidP="00FB561B">
            <w:pPr>
              <w:numPr>
                <w:ilvl w:val="0"/>
                <w:numId w:val="828"/>
              </w:numPr>
              <w:spacing w:before="0" w:after="240"/>
              <w:ind w:hanging="210"/>
              <w:jc w:val="left"/>
              <w:rPr>
                <w:szCs w:val="24"/>
              </w:rPr>
            </w:pPr>
            <w:r>
              <w:rPr>
                <w:szCs w:val="24"/>
              </w:rPr>
              <w:t>Limitation des pertes en eau et du ruissellement.</w:t>
            </w:r>
          </w:p>
          <w:p w:rsidR="0035701C" w:rsidRDefault="00FB561B">
            <w:pPr>
              <w:spacing w:before="240" w:after="240"/>
              <w:jc w:val="left"/>
              <w:rPr>
                <w:szCs w:val="24"/>
              </w:rPr>
            </w:pPr>
            <w:r>
              <w:rPr>
                <w:szCs w:val="24"/>
              </w:rPr>
              <w:t>Il répond ainsi à un objectif de protection de la qualité de l’eau par la réduction de l’utilisation des produits phytosanitaires.</w:t>
            </w:r>
          </w:p>
          <w:p w:rsidR="0035701C" w:rsidRDefault="00FB561B">
            <w:pPr>
              <w:spacing w:before="240" w:after="240"/>
              <w:jc w:val="left"/>
              <w:rPr>
                <w:szCs w:val="24"/>
              </w:rPr>
            </w:pPr>
            <w:r>
              <w:rPr>
                <w:szCs w:val="24"/>
              </w:rPr>
              <w:t>En viticulture,</w:t>
            </w:r>
            <w:r>
              <w:rPr>
                <w:szCs w:val="24"/>
              </w:rPr>
              <w:t xml:space="preserve"> la part de la parcelle à désherber correspond soit à la totalité des inter-rangs soit à un inter-rang sur deux. Dans ce cas, un coefficient d’étalement sera appliqué (100% pour la totalité des inter-rangs et 50% pour 1 inter-rang sur 2. De plus, cela perm</w:t>
            </w:r>
            <w:r>
              <w:rPr>
                <w:szCs w:val="24"/>
              </w:rPr>
              <w:t>ettra à l’exploitant d’évoluer vers des pratiques plus respectueuses de l’environnement sans mettre en péril l’équilibre de son exploitation</w:t>
            </w:r>
          </w:p>
          <w:p w:rsidR="0035701C" w:rsidRDefault="00FB561B">
            <w:pPr>
              <w:spacing w:before="240" w:after="240"/>
              <w:jc w:val="left"/>
              <w:rPr>
                <w:szCs w:val="24"/>
              </w:rPr>
            </w:pPr>
            <w:r>
              <w:rPr>
                <w:szCs w:val="24"/>
              </w:rPr>
              <w:t>Cette opération peut être combinée avec d’autres opérations telles que : l’enherbement au niveau des inter-rangs (p</w:t>
            </w:r>
            <w:r>
              <w:rPr>
                <w:szCs w:val="24"/>
              </w:rPr>
              <w:t>our cette opération le coefficient d’étalement pour l’inter-rang ne doit pas dépasser 1), le désherbage mécanique au niveau du rang, la mise en place d’un engrais vert et/ou la mise en place de la confusion sexuelle contre Eudemis et/ou Cochylis.</w:t>
            </w:r>
          </w:p>
          <w:p w:rsidR="0035701C" w:rsidRDefault="00FB561B">
            <w:pPr>
              <w:spacing w:before="240" w:after="240"/>
              <w:jc w:val="left"/>
              <w:rPr>
                <w:szCs w:val="24"/>
              </w:rPr>
            </w:pPr>
            <w:r>
              <w:rPr>
                <w:b/>
                <w:bCs/>
                <w:i/>
                <w:iCs/>
                <w:szCs w:val="24"/>
              </w:rPr>
              <w:t>Cahier de</w:t>
            </w:r>
            <w:r>
              <w:rPr>
                <w:b/>
                <w:bCs/>
                <w:i/>
                <w:iCs/>
                <w:szCs w:val="24"/>
              </w:rPr>
              <w:t xml:space="preserve">s charges : </w:t>
            </w:r>
          </w:p>
          <w:p w:rsidR="0035701C" w:rsidRDefault="00FB561B" w:rsidP="00FB561B">
            <w:pPr>
              <w:numPr>
                <w:ilvl w:val="0"/>
                <w:numId w:val="829"/>
              </w:numPr>
              <w:spacing w:before="240" w:after="0"/>
              <w:ind w:hanging="210"/>
              <w:jc w:val="left"/>
              <w:rPr>
                <w:szCs w:val="24"/>
              </w:rPr>
            </w:pPr>
            <w:r>
              <w:rPr>
                <w:szCs w:val="24"/>
              </w:rPr>
              <w:t>L’agriculteur s’engage à remplacer le désherbage chimique (pré et post levées) de l’inter-rang (2 épandages annuels) par un désherbage mécanique (3 passages annuels).</w:t>
            </w:r>
          </w:p>
          <w:p w:rsidR="0035701C" w:rsidRDefault="00FB561B" w:rsidP="00FB561B">
            <w:pPr>
              <w:numPr>
                <w:ilvl w:val="0"/>
                <w:numId w:val="829"/>
              </w:numPr>
              <w:spacing w:before="0" w:after="0"/>
              <w:ind w:hanging="210"/>
              <w:jc w:val="left"/>
              <w:rPr>
                <w:szCs w:val="24"/>
              </w:rPr>
            </w:pPr>
            <w:r>
              <w:rPr>
                <w:szCs w:val="24"/>
              </w:rPr>
              <w:t>Il doit assurer l’enregistrement des différentes interventions et des pratiq</w:t>
            </w:r>
            <w:r>
              <w:rPr>
                <w:szCs w:val="24"/>
              </w:rPr>
              <w:t>ues réalisées dans le cahier de l’exploitant. L’enregistrement des pratiques est une obligation pendant toute la durée de l’engagement, permettant ainsi de vérifier l’atteinte de l’objectif sur la durée du contrat.</w:t>
            </w:r>
          </w:p>
          <w:p w:rsidR="0035701C" w:rsidRDefault="00FB561B" w:rsidP="00FB561B">
            <w:pPr>
              <w:numPr>
                <w:ilvl w:val="0"/>
                <w:numId w:val="829"/>
              </w:numPr>
              <w:spacing w:before="0" w:after="240"/>
              <w:ind w:hanging="210"/>
              <w:jc w:val="left"/>
              <w:rPr>
                <w:szCs w:val="24"/>
              </w:rPr>
            </w:pPr>
            <w:r>
              <w:rPr>
                <w:szCs w:val="24"/>
              </w:rPr>
              <w:t>Il doit réaliser un bilan annuel de suivi</w:t>
            </w:r>
            <w:r>
              <w:rPr>
                <w:szCs w:val="24"/>
              </w:rPr>
              <w:t>. L’élaboration de ce bilan est obligatoire afin de garantir de bonnes conditions d’appui technique à la réduction de ces intrants. Il permettra d’évaluer la pertinence des options techniques retenues, de s’assurer de l’atteinte des objectifs de résultat e</w:t>
            </w:r>
            <w:r>
              <w:rPr>
                <w:szCs w:val="24"/>
              </w:rPr>
              <w:t>t d’optimiser l’efficacité de la solution agronomique mise en œuvre. Ce bilan annuel doit être réalisé chaque année par l’agriculteur et deux fois avec l’appui d’un technicien</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L’aide est pluriannuelle et est </w:t>
            </w:r>
            <w:r>
              <w:rPr>
                <w:szCs w:val="24"/>
              </w:rPr>
              <w:t>accordée pour une durée de 5 ans.</w:t>
            </w:r>
          </w:p>
          <w:p w:rsidR="0035701C" w:rsidRDefault="00FB561B">
            <w:pPr>
              <w:spacing w:before="240" w:after="240"/>
              <w:jc w:val="left"/>
              <w:rPr>
                <w:szCs w:val="24"/>
              </w:rPr>
            </w:pPr>
            <w:r>
              <w:rPr>
                <w:szCs w:val="24"/>
              </w:rPr>
              <w:t>Le montant de la rémunération est en euros/ha/an.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830"/>
              </w:numPr>
              <w:spacing w:before="240" w:after="0"/>
              <w:ind w:hanging="210"/>
              <w:jc w:val="left"/>
              <w:rPr>
                <w:szCs w:val="24"/>
              </w:rPr>
            </w:pPr>
            <w:r>
              <w:rPr>
                <w:szCs w:val="24"/>
              </w:rPr>
              <w:t xml:space="preserve">les exigences établies en vertu de l’article 93 du règlement UE </w:t>
            </w:r>
            <w:r>
              <w:rPr>
                <w:szCs w:val="24"/>
              </w:rPr>
              <w:t>n° 1306/2013 et de l’article 4.1c points ii) et iii) du règlement UE n°1307/2013,</w:t>
            </w:r>
          </w:p>
          <w:p w:rsidR="0035701C" w:rsidRDefault="00FB561B" w:rsidP="00FB561B">
            <w:pPr>
              <w:numPr>
                <w:ilvl w:val="0"/>
                <w:numId w:val="830"/>
              </w:numPr>
              <w:spacing w:before="0" w:after="0"/>
              <w:ind w:hanging="210"/>
              <w:jc w:val="left"/>
              <w:rPr>
                <w:szCs w:val="24"/>
              </w:rPr>
            </w:pPr>
            <w:r>
              <w:rPr>
                <w:szCs w:val="24"/>
              </w:rPr>
              <w:t>la circulaire nationale fixant les règles relatives aux bonnes conduites agricoles et environnementales (BCAE).</w:t>
            </w:r>
          </w:p>
          <w:p w:rsidR="0035701C" w:rsidRDefault="00FB561B" w:rsidP="00FB561B">
            <w:pPr>
              <w:numPr>
                <w:ilvl w:val="0"/>
                <w:numId w:val="830"/>
              </w:numPr>
              <w:spacing w:before="0" w:after="240"/>
              <w:ind w:hanging="210"/>
              <w:jc w:val="left"/>
              <w:rPr>
                <w:szCs w:val="24"/>
              </w:rPr>
            </w:pPr>
            <w:r>
              <w:rPr>
                <w:szCs w:val="24"/>
              </w:rPr>
              <w:t xml:space="preserve">l’arrêté préfectoral régional en vigueur en Corse fixant les </w:t>
            </w:r>
            <w:r>
              <w:rPr>
                <w:szCs w:val="24"/>
              </w:rPr>
              <w:t>règles relatives aux bonnes conduites agricoles et environnementales (BCAE).</w:t>
            </w:r>
          </w:p>
          <w:p w:rsidR="0035701C" w:rsidRDefault="00FB561B">
            <w:pPr>
              <w:spacing w:before="240" w:after="240"/>
              <w:jc w:val="left"/>
              <w:rPr>
                <w:szCs w:val="24"/>
              </w:rPr>
            </w:pPr>
            <w:r>
              <w:rPr>
                <w:szCs w:val="24"/>
              </w:rPr>
              <w:t>Afin d’exclure tout double paiement, les pratiques visées à l’article 43 du règlement UE n° 1307/2013 sont prises en compte dans le calcul des surcoûts et manques à gagner.</w:t>
            </w:r>
          </w:p>
          <w:p w:rsidR="0035701C" w:rsidRDefault="0035701C">
            <w:pPr>
              <w:pStyle w:val="Corpsdetexte"/>
            </w:pPr>
          </w:p>
        </w:tc>
      </w:tr>
    </w:tbl>
    <w:p w:rsidR="0035701C" w:rsidRDefault="00FB561B">
      <w:pPr>
        <w:pStyle w:val="Titre6"/>
      </w:pPr>
      <w:r>
        <w:t>Béné</w:t>
      </w:r>
      <w:r>
        <w:t>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les surcoûts, manques à gagner et éventuels coûts d’opportunité et de transaction générés par le respect des éléments contractualisés.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Couverts éligibles :</w:t>
            </w:r>
            <w:r>
              <w:rPr>
                <w:szCs w:val="24"/>
              </w:rPr>
              <w:t xml:space="preserve"> Surface inter-rangs en viticulture.</w:t>
            </w:r>
          </w:p>
          <w:p w:rsidR="0035701C" w:rsidRDefault="00FB561B">
            <w:pPr>
              <w:spacing w:before="240" w:after="240"/>
              <w:jc w:val="left"/>
              <w:rPr>
                <w:szCs w:val="24"/>
              </w:rPr>
            </w:pPr>
            <w:r>
              <w:rPr>
                <w:b/>
                <w:bCs/>
                <w:i/>
                <w:iCs/>
                <w:szCs w:val="24"/>
              </w:rPr>
              <w:t>Diagnostic d’exploitation :</w:t>
            </w:r>
          </w:p>
          <w:p w:rsidR="0035701C" w:rsidRDefault="00FB561B">
            <w:pPr>
              <w:spacing w:before="240" w:after="240"/>
              <w:jc w:val="left"/>
              <w:rPr>
                <w:szCs w:val="24"/>
              </w:rPr>
            </w:pPr>
            <w:r>
              <w:rPr>
                <w:szCs w:val="24"/>
              </w:rPr>
              <w:t>La réalisation d’un diagnostic d’exploitation est une obligation pour la souscription de cette opération.</w:t>
            </w:r>
          </w:p>
          <w:p w:rsidR="0035701C" w:rsidRDefault="00FB561B">
            <w:pPr>
              <w:spacing w:before="240" w:after="240"/>
              <w:jc w:val="left"/>
              <w:rPr>
                <w:szCs w:val="24"/>
              </w:rPr>
            </w:pPr>
            <w:r>
              <w:rPr>
                <w:szCs w:val="24"/>
              </w:rPr>
              <w:t>Le diagnostic d’exploitation fera ap</w:t>
            </w:r>
            <w:r>
              <w:rPr>
                <w:szCs w:val="24"/>
              </w:rPr>
              <w:t>paraître les différentes possibilités de combinaison avec d’autres opérations.</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 xml:space="preserve">Afin d’éviter le </w:t>
            </w:r>
            <w:r>
              <w:rPr>
                <w:szCs w:val="24"/>
              </w:rPr>
              <w:t>double paiement du coût de transaction concernant l’élaboration du bilan annuel de la stratégie des cultures :</w:t>
            </w:r>
          </w:p>
          <w:p w:rsidR="0035701C" w:rsidRDefault="00FB561B">
            <w:pPr>
              <w:spacing w:before="240" w:after="240"/>
              <w:jc w:val="left"/>
              <w:rPr>
                <w:szCs w:val="24"/>
              </w:rPr>
            </w:pPr>
            <w:r>
              <w:rPr>
                <w:szCs w:val="24"/>
              </w:rPr>
              <w:t>Option 1 (si l’opération est souscrite seule ou si elle est la première souscrite, le bilan s’ajoutera obligatoirement à cette opération) :</w:t>
            </w:r>
          </w:p>
          <w:p w:rsidR="0035701C" w:rsidRDefault="00FB561B">
            <w:pPr>
              <w:spacing w:before="240" w:after="240"/>
              <w:jc w:val="left"/>
              <w:rPr>
                <w:szCs w:val="24"/>
              </w:rPr>
            </w:pPr>
            <w:r>
              <w:rPr>
                <w:szCs w:val="24"/>
              </w:rPr>
              <w:t>Le mo</w:t>
            </w:r>
            <w:r>
              <w:rPr>
                <w:szCs w:val="24"/>
              </w:rPr>
              <w:t>ntant unitaire est fixé à 373,42 x ce €/ha/an.</w:t>
            </w:r>
          </w:p>
          <w:p w:rsidR="0035701C" w:rsidRDefault="00FB561B">
            <w:pPr>
              <w:spacing w:before="240" w:after="240"/>
              <w:jc w:val="left"/>
              <w:rPr>
                <w:szCs w:val="24"/>
              </w:rPr>
            </w:pPr>
            <w:r>
              <w:rPr>
                <w:szCs w:val="24"/>
              </w:rPr>
              <w:t>Option 2 (si l’opération est souscrite avec d’autres opérations le bilan ne pourra être comptabilisé qu’une seule fois) :</w:t>
            </w:r>
          </w:p>
          <w:p w:rsidR="0035701C" w:rsidRDefault="00FB561B">
            <w:pPr>
              <w:spacing w:before="240" w:after="240"/>
              <w:jc w:val="left"/>
              <w:rPr>
                <w:szCs w:val="24"/>
              </w:rPr>
            </w:pPr>
            <w:r>
              <w:rPr>
                <w:szCs w:val="24"/>
              </w:rPr>
              <w:t>Le montant unitaire est  fixé à 338,48 x ce €/ha/an pour la mise en place du désherbage</w:t>
            </w:r>
            <w:r>
              <w:rPr>
                <w:szCs w:val="24"/>
              </w:rPr>
              <w:t xml:space="preserve"> mécanique sur l’inter-rang.</w:t>
            </w:r>
          </w:p>
          <w:p w:rsidR="0035701C" w:rsidRDefault="00FB561B">
            <w:pPr>
              <w:spacing w:before="240" w:after="240"/>
              <w:jc w:val="left"/>
              <w:rPr>
                <w:szCs w:val="24"/>
              </w:rPr>
            </w:pPr>
            <w:r>
              <w:rPr>
                <w:szCs w:val="24"/>
              </w:rPr>
              <w:t>En cas de combinaison d'opérations sur une même parcelle, le montant de l’aide sera limité au maximum à 900€/ha.</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w:t>
      </w:r>
      <w:r>
        <w:t>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des éléments du niveau de référence applicable, qui doivent inclure les normes </w:t>
      </w:r>
      <w:r>
        <w:t>obligatoires établies en application du titre VI, chapitre I, du règlement (UE) n° 1306/2013 du Parlement européen et du Conseil, les critères pertinents et les activités minimales établies en application de l'article 4, paragraphe 1, point c) ii) et c) ii</w:t>
      </w:r>
      <w:r>
        <w:t>i), du règlement (UE) n° 1307/2013 du Parlement européen et du Conseil, les exigences minimales applicables à l'utilisation des engrais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w:t>
            </w:r>
            <w:r>
              <w:rPr>
                <w:b/>
                <w:bCs/>
                <w:i/>
                <w:iCs/>
                <w:szCs w:val="24"/>
              </w:rPr>
              <w:t>gne de base :</w:t>
            </w:r>
          </w:p>
          <w:p w:rsidR="0035701C" w:rsidRDefault="00FB561B">
            <w:pPr>
              <w:spacing w:before="240" w:after="240"/>
              <w:ind w:left="103"/>
              <w:jc w:val="left"/>
              <w:rPr>
                <w:szCs w:val="24"/>
              </w:rPr>
            </w:pPr>
            <w:r>
              <w:rPr>
                <w:szCs w:val="24"/>
              </w:rPr>
              <w:t>Par ailleurs, si les pratiques rémunérées au titre de la présente opération sont rendues obligatoires sur des zones au titre de la protection de la biodiversité (notamment des zones classées au titre des réserves naturelles des arrêtés de pro</w:t>
            </w:r>
            <w:r>
              <w:rPr>
                <w:szCs w:val="24"/>
              </w:rPr>
              <w:t>tection de biotopes), celle-ci ne peut être ouverte sur les zones concernées.</w:t>
            </w:r>
          </w:p>
          <w:p w:rsidR="0035701C" w:rsidRDefault="00FB561B">
            <w:pPr>
              <w:spacing w:before="240" w:after="240"/>
              <w:jc w:val="left"/>
              <w:rPr>
                <w:szCs w:val="24"/>
              </w:rPr>
            </w:pPr>
            <w:r>
              <w:rPr>
                <w:szCs w:val="24"/>
              </w:rPr>
              <w:t> </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293772"/>
                  <wp:effectExtent l="0" t="0" r="0" b="0"/>
                  <wp:docPr id="100264" name="Image 100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5" name=""/>
                          <pic:cNvPicPr>
                            <a:picLocks noChangeAspect="1"/>
                          </pic:cNvPicPr>
                        </pic:nvPicPr>
                        <pic:blipFill>
                          <a:blip r:embed="rId122"/>
                          <a:stretch>
                            <a:fillRect/>
                          </a:stretch>
                        </pic:blipFill>
                        <pic:spPr>
                          <a:xfrm>
                            <a:off x="0" y="0"/>
                            <a:ext cx="6629400" cy="1293772"/>
                          </a:xfrm>
                          <a:prstGeom prst="rect">
                            <a:avLst/>
                          </a:prstGeom>
                        </pic:spPr>
                      </pic:pic>
                    </a:graphicData>
                  </a:graphic>
                </wp:inline>
              </w:drawing>
            </w:r>
          </w:p>
          <w:p w:rsidR="0035701C" w:rsidRDefault="00FB561B">
            <w:pPr>
              <w:pStyle w:val="Pieddepage"/>
              <w:jc w:val="center"/>
            </w:pPr>
            <w:r>
              <w:t>Eau_11_lignebase</w:t>
            </w:r>
          </w:p>
          <w:p w:rsidR="0035701C" w:rsidRDefault="0035701C">
            <w:pPr>
              <w:pStyle w:val="Pieddepage"/>
              <w:jc w:val="center"/>
            </w:pPr>
          </w:p>
        </w:tc>
      </w:tr>
    </w:tbl>
    <w:p w:rsidR="0035701C" w:rsidRDefault="00FB561B">
      <w:r>
        <w:t>Les exigences minimales relatives à l'utilisation d'engrais doivent comprendre, entre autres, le respect des codes de bonnes pratiques introduits au titre</w:t>
      </w:r>
      <w:r>
        <w:t xml:space="preserve"> de la directive 91/676/CEE pour les exploitations situées en dehors des zones vulnérables aux nitrates, et des exigences concernant la pollution au phosphore; les exigences minimales relatives à l'utilisation de produits phytosanitaires doivent comprendre</w:t>
      </w:r>
      <w:r>
        <w:t>, entre autres, les principes généraux de la lutte intégrée contre les ennemis des cultures introduits par la directive 2009/128/CE du Parlement européen et du Conseil, l’obligation de détenir une autorisation d’utiliser les produits, de satisfaire aux con</w:t>
      </w:r>
      <w:r>
        <w:t>ditions de formation, d’assurer un stockage sûr et de contrôler les équipements destinés à l’épandage ainsi que les règles relatives à l’utilisation de pesticides à proximité d’étendues d’eau et d’autres sites sensibles, telles qu'établies par le droit nat</w:t>
      </w:r>
      <w:r>
        <w: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Liste des races locales 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 xml:space="preserve">Description </w:t>
      </w:r>
      <w:r>
        <w:t>de la méthode et des hypothèses et paramètres agronomiques y compris la description des exigences minimales visées à l'article 29, paragraphe 2, du règlement (UE) n° 1305/2013 correspondant à chaque type particulier d'engagement, utilisés comme référence p</w:t>
      </w:r>
      <w:r>
        <w:t>our les calculs justifiant les coûts supplémentaires et les pertes de revenus résultant de l’engagement pris et le niveau des coûts des transactions; le cas échéant, cette méthode tient compte des aides accordées au titre du règlement (UE) n° 1307/2013, et</w:t>
      </w:r>
      <w:r>
        <w:t xml:space="preserve"> notamment des paiements en faveur des pratiques agricoles bénéfiques pour le climat et l’environnement, afin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Méthode générale de calcul du montant : </w:t>
            </w:r>
            <w:r>
              <w:rPr>
                <w:szCs w:val="24"/>
              </w:rPr>
              <w:t>Le montant de l’aide est calculé sur la base de l’utilisation du matériel et du temps de travail supplémentaire nécessaire pour la mise en place du désherbage mécanique ainsi que les coûts de transaction générés par</w:t>
            </w:r>
            <w:r>
              <w:rPr>
                <w:szCs w:val="24"/>
              </w:rPr>
              <w:t xml:space="preserve"> le respect des éléments contractualisés.</w:t>
            </w:r>
          </w:p>
          <w:p w:rsidR="0035701C" w:rsidRDefault="00FB561B">
            <w:pPr>
              <w:spacing w:before="240" w:after="240"/>
              <w:jc w:val="left"/>
              <w:rPr>
                <w:szCs w:val="24"/>
              </w:rPr>
            </w:pPr>
            <w:r>
              <w:rPr>
                <w:b/>
                <w:bCs/>
                <w:i/>
                <w:iCs/>
                <w:szCs w:val="24"/>
              </w:rPr>
              <w:t>Pratiques de références </w:t>
            </w:r>
            <w:r>
              <w:rPr>
                <w:szCs w:val="24"/>
              </w:rPr>
              <w:t>: La pratique habituelle de désherbage chimique en viticulture correspond à 2 épandages annuels.</w:t>
            </w:r>
          </w:p>
          <w:p w:rsidR="0035701C" w:rsidRDefault="00FB561B">
            <w:pPr>
              <w:spacing w:before="240" w:after="240"/>
              <w:jc w:val="left"/>
              <w:rPr>
                <w:szCs w:val="24"/>
              </w:rPr>
            </w:pPr>
            <w:r>
              <w:rPr>
                <w:b/>
                <w:bCs/>
                <w:i/>
                <w:iCs/>
                <w:szCs w:val="24"/>
              </w:rPr>
              <w:t xml:space="preserve">Verdissement : </w:t>
            </w:r>
          </w:p>
          <w:p w:rsidR="0035701C" w:rsidRDefault="00FB561B">
            <w:pPr>
              <w:spacing w:before="240" w:after="240"/>
              <w:jc w:val="left"/>
              <w:rPr>
                <w:szCs w:val="24"/>
              </w:rPr>
            </w:pPr>
            <w:r>
              <w:rPr>
                <w:szCs w:val="24"/>
              </w:rPr>
              <w:t>L’opération ne rémunère pas :</w:t>
            </w:r>
          </w:p>
          <w:p w:rsidR="0035701C" w:rsidRDefault="00FB561B" w:rsidP="00FB561B">
            <w:pPr>
              <w:numPr>
                <w:ilvl w:val="0"/>
                <w:numId w:val="831"/>
              </w:numPr>
              <w:spacing w:before="240" w:after="0"/>
              <w:ind w:hanging="210"/>
              <w:jc w:val="left"/>
              <w:rPr>
                <w:szCs w:val="24"/>
              </w:rPr>
            </w:pPr>
            <w:r>
              <w:rPr>
                <w:szCs w:val="24"/>
              </w:rPr>
              <w:t>Le maintien des prairies permanentes</w:t>
            </w:r>
          </w:p>
          <w:p w:rsidR="0035701C" w:rsidRDefault="00FB561B" w:rsidP="00FB561B">
            <w:pPr>
              <w:numPr>
                <w:ilvl w:val="0"/>
                <w:numId w:val="831"/>
              </w:numPr>
              <w:spacing w:before="0" w:after="0"/>
              <w:ind w:hanging="210"/>
              <w:jc w:val="left"/>
              <w:rPr>
                <w:szCs w:val="24"/>
              </w:rPr>
            </w:pPr>
            <w:r>
              <w:rPr>
                <w:szCs w:val="24"/>
              </w:rPr>
              <w:t xml:space="preserve">Les </w:t>
            </w:r>
            <w:r>
              <w:rPr>
                <w:szCs w:val="24"/>
              </w:rPr>
              <w:t>obligations de diversité des assolements</w:t>
            </w:r>
          </w:p>
          <w:p w:rsidR="0035701C" w:rsidRDefault="00FB561B" w:rsidP="00FB561B">
            <w:pPr>
              <w:numPr>
                <w:ilvl w:val="0"/>
                <w:numId w:val="831"/>
              </w:numPr>
              <w:spacing w:before="0" w:after="240"/>
              <w:ind w:hanging="210"/>
              <w:jc w:val="left"/>
              <w:rPr>
                <w:szCs w:val="24"/>
              </w:rPr>
            </w:pPr>
            <w:r>
              <w:rPr>
                <w:szCs w:val="24"/>
              </w:rPr>
              <w:t>Les obligations liées aux surfaces d’intérêt écologique</w:t>
            </w:r>
          </w:p>
          <w:p w:rsidR="0035701C" w:rsidRDefault="00FB561B">
            <w:pPr>
              <w:spacing w:before="240" w:after="240"/>
              <w:jc w:val="left"/>
              <w:rPr>
                <w:szCs w:val="24"/>
              </w:rPr>
            </w:pPr>
            <w:r>
              <w:rPr>
                <w:szCs w:val="24"/>
              </w:rPr>
              <w:t>Il n’y a donc pas de risque de double paiement pour ce qui concerne les pratiques du verdissement.</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832"/>
              </w:numPr>
              <w:spacing w:before="240" w:after="0"/>
              <w:ind w:hanging="210"/>
              <w:jc w:val="left"/>
              <w:rPr>
                <w:szCs w:val="24"/>
              </w:rPr>
            </w:pPr>
            <w:r>
              <w:rPr>
                <w:szCs w:val="24"/>
              </w:rPr>
              <w:t>Méthode et temps de travail : CRVI Corse</w:t>
            </w:r>
            <w:r>
              <w:rPr>
                <w:szCs w:val="24"/>
              </w:rPr>
              <w:t xml:space="preserve"> – Cave viticole d’Aleria</w:t>
            </w:r>
          </w:p>
          <w:p w:rsidR="0035701C" w:rsidRDefault="00FB561B" w:rsidP="00FB561B">
            <w:pPr>
              <w:numPr>
                <w:ilvl w:val="0"/>
                <w:numId w:val="832"/>
              </w:numPr>
              <w:spacing w:before="0" w:after="0"/>
              <w:ind w:hanging="210"/>
              <w:jc w:val="left"/>
              <w:rPr>
                <w:szCs w:val="24"/>
              </w:rPr>
            </w:pPr>
            <w:r>
              <w:rPr>
                <w:szCs w:val="24"/>
              </w:rPr>
              <w:t>Barème des coûts horaires des techniciens : assemblée permanente des chambres d’agriculture (APCA)</w:t>
            </w:r>
          </w:p>
          <w:p w:rsidR="0035701C" w:rsidRDefault="00FB561B" w:rsidP="00FB561B">
            <w:pPr>
              <w:numPr>
                <w:ilvl w:val="0"/>
                <w:numId w:val="832"/>
              </w:numPr>
              <w:spacing w:before="0" w:after="0"/>
              <w:ind w:hanging="210"/>
              <w:jc w:val="left"/>
              <w:rPr>
                <w:szCs w:val="24"/>
              </w:rPr>
            </w:pPr>
            <w:r>
              <w:rPr>
                <w:szCs w:val="24"/>
              </w:rPr>
              <w:t>Coût du matériel : Bureau de Coordination du Machinisme Agricole (tarifs 2012)</w:t>
            </w:r>
          </w:p>
          <w:p w:rsidR="0035701C" w:rsidRDefault="00FB561B" w:rsidP="00FB561B">
            <w:pPr>
              <w:numPr>
                <w:ilvl w:val="0"/>
                <w:numId w:val="832"/>
              </w:numPr>
              <w:spacing w:before="0" w:after="0"/>
              <w:ind w:hanging="210"/>
              <w:jc w:val="left"/>
              <w:rPr>
                <w:szCs w:val="24"/>
              </w:rPr>
            </w:pPr>
            <w:r>
              <w:rPr>
                <w:szCs w:val="24"/>
              </w:rPr>
              <w:t>Charges d’approvisionnement en herbicide : Service d</w:t>
            </w:r>
            <w:r>
              <w:rPr>
                <w:szCs w:val="24"/>
              </w:rPr>
              <w:t>e statistiques et de prospectives du Ministère de l’Agriculture</w:t>
            </w:r>
          </w:p>
          <w:p w:rsidR="0035701C" w:rsidRDefault="00FB561B" w:rsidP="00FB561B">
            <w:pPr>
              <w:numPr>
                <w:ilvl w:val="0"/>
                <w:numId w:val="832"/>
              </w:numPr>
              <w:spacing w:before="0" w:after="0"/>
              <w:ind w:hanging="210"/>
              <w:jc w:val="left"/>
              <w:rPr>
                <w:szCs w:val="24"/>
              </w:rPr>
            </w:pPr>
            <w:r>
              <w:rPr>
                <w:szCs w:val="24"/>
              </w:rPr>
              <w:t>Surface moyenne engagée par exploitation : surface moyenne engagée en MAE</w:t>
            </w:r>
          </w:p>
          <w:p w:rsidR="0035701C" w:rsidRDefault="00FB561B" w:rsidP="00FB561B">
            <w:pPr>
              <w:numPr>
                <w:ilvl w:val="0"/>
                <w:numId w:val="832"/>
              </w:numPr>
              <w:spacing w:before="0" w:after="240"/>
              <w:ind w:hanging="210"/>
              <w:jc w:val="left"/>
              <w:rPr>
                <w:szCs w:val="24"/>
              </w:rPr>
            </w:pPr>
            <w:r>
              <w:rPr>
                <w:szCs w:val="24"/>
              </w:rPr>
              <w:t>Temps de travail pour la réalisation d’un bilan : experts nationaux</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334125" cy="8077200"/>
                  <wp:effectExtent l="0" t="0" r="0" b="0"/>
                  <wp:docPr id="100266" name="Image 100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7" name=""/>
                          <pic:cNvPicPr>
                            <a:picLocks noChangeAspect="1"/>
                          </pic:cNvPicPr>
                        </pic:nvPicPr>
                        <pic:blipFill>
                          <a:blip r:embed="rId140"/>
                          <a:stretch>
                            <a:fillRect/>
                          </a:stretch>
                        </pic:blipFill>
                        <pic:spPr>
                          <a:xfrm>
                            <a:off x="0" y="0"/>
                            <a:ext cx="6334125" cy="8077200"/>
                          </a:xfrm>
                          <a:prstGeom prst="rect">
                            <a:avLst/>
                          </a:prstGeom>
                        </pic:spPr>
                      </pic:pic>
                    </a:graphicData>
                  </a:graphic>
                </wp:inline>
              </w:drawing>
            </w:r>
          </w:p>
          <w:p w:rsidR="0035701C" w:rsidRDefault="00FB561B">
            <w:pPr>
              <w:pStyle w:val="Pieddepage"/>
              <w:jc w:val="center"/>
            </w:pPr>
            <w:r>
              <w:t>Eau_11_option1</w:t>
            </w:r>
          </w:p>
          <w:p w:rsidR="0035701C" w:rsidRDefault="00FB561B">
            <w:pPr>
              <w:pStyle w:val="Pieddepage"/>
              <w:jc w:val="center"/>
            </w:pPr>
            <w:r>
              <w:rPr>
                <w:noProof/>
                <w:lang w:val="fr-FR" w:eastAsia="fr-FR"/>
              </w:rPr>
              <w:drawing>
                <wp:inline distT="0" distB="0" distL="0" distR="0">
                  <wp:extent cx="6353175" cy="4762500"/>
                  <wp:effectExtent l="0" t="0" r="0" b="0"/>
                  <wp:docPr id="100268" name="Image 100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69" name=""/>
                          <pic:cNvPicPr>
                            <a:picLocks noChangeAspect="1"/>
                          </pic:cNvPicPr>
                        </pic:nvPicPr>
                        <pic:blipFill>
                          <a:blip r:embed="rId141"/>
                          <a:stretch>
                            <a:fillRect/>
                          </a:stretch>
                        </pic:blipFill>
                        <pic:spPr>
                          <a:xfrm>
                            <a:off x="0" y="0"/>
                            <a:ext cx="6353175" cy="4762500"/>
                          </a:xfrm>
                          <a:prstGeom prst="rect">
                            <a:avLst/>
                          </a:prstGeom>
                        </pic:spPr>
                      </pic:pic>
                    </a:graphicData>
                  </a:graphic>
                </wp:inline>
              </w:drawing>
            </w:r>
          </w:p>
          <w:p w:rsidR="0035701C" w:rsidRDefault="00FB561B">
            <w:pPr>
              <w:pStyle w:val="Pieddepage"/>
              <w:jc w:val="center"/>
            </w:pPr>
            <w:r>
              <w:t>Eau_11_option2</w:t>
            </w:r>
          </w:p>
          <w:p w:rsidR="0035701C" w:rsidRDefault="0035701C">
            <w:pPr>
              <w:pStyle w:val="Pieddepage"/>
              <w:jc w:val="center"/>
            </w:pPr>
          </w:p>
        </w:tc>
      </w:tr>
    </w:tbl>
    <w:p w:rsidR="0035701C" w:rsidRDefault="00FB561B">
      <w:pPr>
        <w:pStyle w:val="Titre5"/>
        <w:rPr>
          <w:b w:val="0"/>
        </w:rPr>
      </w:pPr>
      <w:r>
        <w:rPr>
          <w:b w:val="0"/>
        </w:rPr>
        <w:br w:type="page"/>
        <w:t>-40- EAU_12</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833"/>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w:t>
            </w:r>
          </w:p>
          <w:p w:rsidR="0035701C" w:rsidRDefault="00FB561B">
            <w:pPr>
              <w:spacing w:before="240" w:after="240"/>
              <w:jc w:val="left"/>
              <w:rPr>
                <w:szCs w:val="24"/>
              </w:rPr>
            </w:pPr>
            <w:r>
              <w:rPr>
                <w:b/>
                <w:bCs/>
                <w:szCs w:val="24"/>
              </w:rPr>
              <w:t>Sous titre complet :  EAU_ 12 = Remplacer le désherbage chimique par un désherbage mécanique en viticulture au niveau du rang.</w:t>
            </w:r>
          </w:p>
          <w:p w:rsidR="0035701C" w:rsidRDefault="00FB561B">
            <w:pPr>
              <w:spacing w:before="240" w:after="240"/>
              <w:jc w:val="left"/>
              <w:rPr>
                <w:szCs w:val="24"/>
              </w:rPr>
            </w:pPr>
            <w:r>
              <w:rPr>
                <w:szCs w:val="24"/>
              </w:rPr>
              <w:t xml:space="preserve">Le </w:t>
            </w:r>
            <w:r>
              <w:rPr>
                <w:szCs w:val="24"/>
              </w:rPr>
              <w:t>désherbage des vignes a plusieurs objectifs : limiter la concurrence par rapport aux ressources hydriques et azotées, maintenir un état sanitaire correct en évitant que les herbes ne montent au cœur des souches. L’utilisation des herbicides permet une très</w:t>
            </w:r>
            <w:r>
              <w:rPr>
                <w:szCs w:val="24"/>
              </w:rPr>
              <w:t xml:space="preserve"> bonne maîtrise de la flore adventice du vignoble dans la majorité des cas. De plus leur utilisation est relativement simple et rapide. Cependant, la pression règlementaire sur les molécules herbicides incite à se pencher de plus en plus sur les solutions </w:t>
            </w:r>
            <w:r>
              <w:rPr>
                <w:szCs w:val="24"/>
              </w:rPr>
              <w:t>alternatives de désherbage.</w:t>
            </w:r>
          </w:p>
          <w:p w:rsidR="0035701C" w:rsidRDefault="00FB561B">
            <w:pPr>
              <w:spacing w:before="240" w:after="240"/>
              <w:jc w:val="left"/>
              <w:rPr>
                <w:szCs w:val="24"/>
              </w:rPr>
            </w:pPr>
            <w:r>
              <w:rPr>
                <w:szCs w:val="24"/>
              </w:rPr>
              <w:t>Cet engagement permet de remplacer totalement les traitements herbicides (pré et post levée) par des désherbages mécaniques sur le rang de vigne. De plus le désherbage mécanique présente de nombreux autres avantages :</w:t>
            </w:r>
          </w:p>
          <w:p w:rsidR="0035701C" w:rsidRDefault="00FB561B" w:rsidP="00FB561B">
            <w:pPr>
              <w:numPr>
                <w:ilvl w:val="0"/>
                <w:numId w:val="834"/>
              </w:numPr>
              <w:spacing w:before="240" w:after="0"/>
              <w:ind w:hanging="210"/>
              <w:jc w:val="left"/>
              <w:rPr>
                <w:szCs w:val="24"/>
              </w:rPr>
            </w:pPr>
            <w:r>
              <w:rPr>
                <w:szCs w:val="24"/>
              </w:rPr>
              <w:t>Destructio</w:t>
            </w:r>
            <w:r>
              <w:rPr>
                <w:szCs w:val="24"/>
              </w:rPr>
              <w:t>n de la croûte de battance,</w:t>
            </w:r>
          </w:p>
          <w:p w:rsidR="0035701C" w:rsidRDefault="00FB561B" w:rsidP="00FB561B">
            <w:pPr>
              <w:numPr>
                <w:ilvl w:val="0"/>
                <w:numId w:val="834"/>
              </w:numPr>
              <w:spacing w:before="0" w:after="0"/>
              <w:ind w:hanging="210"/>
              <w:jc w:val="left"/>
              <w:rPr>
                <w:szCs w:val="24"/>
              </w:rPr>
            </w:pPr>
            <w:r>
              <w:rPr>
                <w:szCs w:val="24"/>
              </w:rPr>
              <w:t>Amélioration de la porosité du sol,</w:t>
            </w:r>
          </w:p>
          <w:p w:rsidR="0035701C" w:rsidRDefault="00FB561B" w:rsidP="00FB561B">
            <w:pPr>
              <w:numPr>
                <w:ilvl w:val="0"/>
                <w:numId w:val="834"/>
              </w:numPr>
              <w:spacing w:before="0" w:after="240"/>
              <w:ind w:hanging="210"/>
              <w:jc w:val="left"/>
              <w:rPr>
                <w:szCs w:val="24"/>
              </w:rPr>
            </w:pPr>
            <w:r>
              <w:rPr>
                <w:szCs w:val="24"/>
              </w:rPr>
              <w:t>Limitation des pertes en eau et du ruissellement.</w:t>
            </w:r>
          </w:p>
          <w:p w:rsidR="0035701C" w:rsidRDefault="00FB561B">
            <w:pPr>
              <w:spacing w:before="240" w:after="240"/>
              <w:jc w:val="left"/>
              <w:rPr>
                <w:szCs w:val="24"/>
              </w:rPr>
            </w:pPr>
            <w:r>
              <w:rPr>
                <w:szCs w:val="24"/>
              </w:rPr>
              <w:t>Il répond ainsi à un objectif de protection de la qualité de l’eau par la réduction de l’utilisation des produits phytosanitaires.</w:t>
            </w:r>
          </w:p>
          <w:p w:rsidR="0035701C" w:rsidRDefault="00FB561B">
            <w:pPr>
              <w:spacing w:before="240" w:after="240"/>
              <w:jc w:val="left"/>
              <w:rPr>
                <w:szCs w:val="24"/>
              </w:rPr>
            </w:pPr>
            <w:r>
              <w:rPr>
                <w:szCs w:val="24"/>
              </w:rPr>
              <w:t xml:space="preserve">Cette </w:t>
            </w:r>
            <w:r>
              <w:rPr>
                <w:szCs w:val="24"/>
              </w:rPr>
              <w:t xml:space="preserve">opération peut être combinée avec d’autres opérations telles que : l’enherbement au niveau des inter-rangs, la mise en place d’un engrais vert, la mise en place de la confusion sexuelle contre Eudemis et/ou Cochylis et/ou le désherbage mécanique au niveau </w:t>
            </w:r>
            <w:r>
              <w:rPr>
                <w:szCs w:val="24"/>
              </w:rPr>
              <w:t>de l’inter-rang (pour les opérations où un coefficient d’étalement pourra être appliqué il ne devra pas être supérieur à 1).</w:t>
            </w:r>
          </w:p>
          <w:p w:rsidR="0035701C" w:rsidRDefault="00FB561B">
            <w:pPr>
              <w:spacing w:before="240" w:after="240"/>
              <w:jc w:val="left"/>
              <w:rPr>
                <w:szCs w:val="24"/>
              </w:rPr>
            </w:pPr>
            <w:r>
              <w:rPr>
                <w:b/>
                <w:bCs/>
                <w:i/>
                <w:iCs/>
                <w:szCs w:val="24"/>
              </w:rPr>
              <w:t xml:space="preserve">Cahier des charges : </w:t>
            </w:r>
          </w:p>
          <w:p w:rsidR="0035701C" w:rsidRDefault="00FB561B" w:rsidP="00FB561B">
            <w:pPr>
              <w:numPr>
                <w:ilvl w:val="0"/>
                <w:numId w:val="835"/>
              </w:numPr>
              <w:spacing w:before="240" w:after="0"/>
              <w:ind w:hanging="210"/>
              <w:jc w:val="left"/>
              <w:rPr>
                <w:szCs w:val="24"/>
              </w:rPr>
            </w:pPr>
            <w:r>
              <w:rPr>
                <w:szCs w:val="24"/>
              </w:rPr>
              <w:t xml:space="preserve">L’agriculteur s’engage à remplacer le désherbage chimique (pré et post levées) du rang (2 épandages annuels) </w:t>
            </w:r>
            <w:r>
              <w:rPr>
                <w:szCs w:val="24"/>
              </w:rPr>
              <w:t xml:space="preserve">par un désherbage mécanique (3 passages annuels). </w:t>
            </w:r>
          </w:p>
          <w:p w:rsidR="0035701C" w:rsidRDefault="00FB561B" w:rsidP="00FB561B">
            <w:pPr>
              <w:numPr>
                <w:ilvl w:val="0"/>
                <w:numId w:val="835"/>
              </w:numPr>
              <w:spacing w:before="0" w:after="0"/>
              <w:ind w:hanging="210"/>
              <w:jc w:val="left"/>
              <w:rPr>
                <w:szCs w:val="24"/>
              </w:rPr>
            </w:pPr>
            <w:r>
              <w:rPr>
                <w:szCs w:val="24"/>
              </w:rPr>
              <w:t>Il doit assurer l’enregistrement des différentes interventions et des pratiques réalisées dans le cahier de l’exploitant. L’enregistrement des pratiques est une obligation pendant toute la durée de l’engag</w:t>
            </w:r>
            <w:r>
              <w:rPr>
                <w:szCs w:val="24"/>
              </w:rPr>
              <w:t>ement, permettant ainsi de vérifier l’atteinte de l’objectif sur la durée du contrat.</w:t>
            </w:r>
          </w:p>
          <w:p w:rsidR="0035701C" w:rsidRDefault="00FB561B" w:rsidP="00FB561B">
            <w:pPr>
              <w:numPr>
                <w:ilvl w:val="0"/>
                <w:numId w:val="835"/>
              </w:numPr>
              <w:spacing w:before="0" w:after="240"/>
              <w:ind w:hanging="210"/>
              <w:jc w:val="left"/>
              <w:rPr>
                <w:szCs w:val="24"/>
              </w:rPr>
            </w:pPr>
            <w:r>
              <w:rPr>
                <w:szCs w:val="24"/>
              </w:rPr>
              <w:t>Il doit réaliser un bilan annuel de suivi. L’élaboration de ce bilan est obligatoire afin de garantir de bonnes conditions d’appui technique à la réduction de ces intrant</w:t>
            </w:r>
            <w:r>
              <w:rPr>
                <w:szCs w:val="24"/>
              </w:rPr>
              <w:t>s. Il permettra d’évaluer la pertinence des options techniques retenues, de s’assurer de l’atteinte des objectifs de résultat et d’optimiser l’efficacité de la solution agronomique mise en œuvre. Ce bilan annuel doit être réalisé chaque année par l’agricul</w:t>
            </w:r>
            <w:r>
              <w:rPr>
                <w:szCs w:val="24"/>
              </w:rPr>
              <w:t>teur et deux fois avec l’appui d’un technicien.</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w:t>
            </w:r>
            <w:r>
              <w:rPr>
                <w:szCs w:val="24"/>
              </w:rPr>
              <w:t>éléments de la ligne de base sont définis en conformité avec :</w:t>
            </w:r>
          </w:p>
          <w:p w:rsidR="0035701C" w:rsidRDefault="00FB561B" w:rsidP="00FB561B">
            <w:pPr>
              <w:numPr>
                <w:ilvl w:val="0"/>
                <w:numId w:val="836"/>
              </w:numPr>
              <w:spacing w:before="240" w:after="0"/>
              <w:ind w:hanging="210"/>
              <w:jc w:val="left"/>
              <w:rPr>
                <w:szCs w:val="24"/>
              </w:rPr>
            </w:pPr>
            <w:r>
              <w:rPr>
                <w:szCs w:val="24"/>
              </w:rPr>
              <w:t>les exigences établies en vertu de l’article 93 du règlement UE n° 1306/2013 et de l’article 4.1c points ii) et iii) du règlement UE n°1307/2013,</w:t>
            </w:r>
          </w:p>
          <w:p w:rsidR="0035701C" w:rsidRDefault="00FB561B" w:rsidP="00FB561B">
            <w:pPr>
              <w:numPr>
                <w:ilvl w:val="0"/>
                <w:numId w:val="836"/>
              </w:numPr>
              <w:spacing w:before="0" w:after="0"/>
              <w:ind w:hanging="210"/>
              <w:jc w:val="left"/>
              <w:rPr>
                <w:szCs w:val="24"/>
              </w:rPr>
            </w:pPr>
            <w:r>
              <w:rPr>
                <w:szCs w:val="24"/>
              </w:rPr>
              <w:t xml:space="preserve">la circulaire nationale fixant les règles </w:t>
            </w:r>
            <w:r>
              <w:rPr>
                <w:szCs w:val="24"/>
              </w:rPr>
              <w:t>relatives aux bonnes conduites agricoles et environnementales (BCAE).</w:t>
            </w:r>
          </w:p>
          <w:p w:rsidR="0035701C" w:rsidRDefault="00FB561B" w:rsidP="00FB561B">
            <w:pPr>
              <w:numPr>
                <w:ilvl w:val="0"/>
                <w:numId w:val="836"/>
              </w:numPr>
              <w:spacing w:before="0" w:after="240"/>
              <w:ind w:hanging="210"/>
              <w:jc w:val="left"/>
              <w:rPr>
                <w:szCs w:val="24"/>
              </w:rPr>
            </w:pPr>
            <w:r>
              <w:rPr>
                <w:szCs w:val="24"/>
              </w:rPr>
              <w:t>l’arrêté préfectoral régional en vigueur en Corse fixant les règles relatives aux bonnes conduites agricoles et environnementales (BCAE).</w:t>
            </w:r>
          </w:p>
          <w:p w:rsidR="0035701C" w:rsidRDefault="00FB561B">
            <w:pPr>
              <w:spacing w:before="240" w:after="240"/>
              <w:jc w:val="left"/>
              <w:rPr>
                <w:szCs w:val="24"/>
              </w:rPr>
            </w:pPr>
            <w:r>
              <w:rPr>
                <w:szCs w:val="24"/>
              </w:rPr>
              <w:t>Afin d’exclure tout double paiement, les pratiqu</w:t>
            </w:r>
            <w:r>
              <w:rPr>
                <w:szCs w:val="24"/>
              </w:rPr>
              <w:t>es visées à l’article 43 du règlement UE n° 1307/2013 sont prises en compte dans le calcul des surcoûts et manques à gagner.</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coûts éligibles sont les </w:t>
            </w:r>
            <w:r>
              <w:rPr>
                <w:szCs w:val="24"/>
              </w:rPr>
              <w:t>surcoûts, manques à gagner et éventuels coûts d’opportunité et de transaction générés par le respect des éléments contractualisés.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Couverts éligibles :</w:t>
            </w:r>
            <w:r>
              <w:rPr>
                <w:szCs w:val="24"/>
              </w:rPr>
              <w:t xml:space="preserve"> Surface au niveau des rangs en viticulture.</w:t>
            </w:r>
          </w:p>
          <w:p w:rsidR="0035701C" w:rsidRDefault="00FB561B">
            <w:pPr>
              <w:spacing w:before="240" w:after="240"/>
              <w:jc w:val="left"/>
              <w:rPr>
                <w:szCs w:val="24"/>
              </w:rPr>
            </w:pPr>
            <w:r>
              <w:rPr>
                <w:b/>
                <w:bCs/>
                <w:i/>
                <w:iCs/>
                <w:szCs w:val="24"/>
              </w:rPr>
              <w:t>Diagnostic d’exploitation :</w:t>
            </w:r>
          </w:p>
          <w:p w:rsidR="0035701C" w:rsidRDefault="00FB561B">
            <w:pPr>
              <w:spacing w:before="240" w:after="240"/>
              <w:jc w:val="left"/>
              <w:rPr>
                <w:szCs w:val="24"/>
              </w:rPr>
            </w:pPr>
            <w:r>
              <w:rPr>
                <w:szCs w:val="24"/>
              </w:rPr>
              <w:t xml:space="preserve">La </w:t>
            </w:r>
            <w:r>
              <w:rPr>
                <w:szCs w:val="24"/>
              </w:rPr>
              <w:t>réalisation d’un diagnostic d’exploitation est une obligation pour la souscription de cette opération.</w:t>
            </w:r>
          </w:p>
          <w:p w:rsidR="0035701C" w:rsidRDefault="00FB561B">
            <w:pPr>
              <w:spacing w:before="240" w:after="240"/>
              <w:jc w:val="left"/>
              <w:rPr>
                <w:szCs w:val="24"/>
              </w:rPr>
            </w:pPr>
            <w:r>
              <w:rPr>
                <w:szCs w:val="24"/>
              </w:rPr>
              <w:t>La mis en place de cet engagement suppose que le type de terrain ne soit pas soumis à des risques d’érosion élevés. Le diagnostic permettra de définir l’</w:t>
            </w:r>
            <w:r>
              <w:rPr>
                <w:szCs w:val="24"/>
              </w:rPr>
              <w:t>efficacité de la mesure.</w:t>
            </w:r>
          </w:p>
          <w:p w:rsidR="0035701C" w:rsidRDefault="00FB561B">
            <w:pPr>
              <w:spacing w:before="240" w:after="240"/>
              <w:jc w:val="left"/>
              <w:rPr>
                <w:szCs w:val="24"/>
              </w:rPr>
            </w:pPr>
            <w:r>
              <w:rPr>
                <w:szCs w:val="24"/>
              </w:rPr>
              <w:t>Le diagnostic d’exploitation fera apparaître les différentes possibilités de combinaison avec d’autres opérations.</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 xml:space="preserve">Montants et taux d'aide </w:t>
      </w:r>
      <w:r>
        <w:t>(applicables)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Afin d’éviter le double paiement du coût de transaction concernant l’élaboration du bilan annuel de la stratégie des cultures :</w:t>
            </w:r>
          </w:p>
          <w:p w:rsidR="0035701C" w:rsidRDefault="00FB561B">
            <w:pPr>
              <w:spacing w:before="240" w:after="240"/>
              <w:jc w:val="left"/>
              <w:rPr>
                <w:szCs w:val="24"/>
              </w:rPr>
            </w:pPr>
            <w:r>
              <w:rPr>
                <w:szCs w:val="24"/>
              </w:rPr>
              <w:t>Option 1 (si l’opération est souscrite seule ou si elle est la première sous</w:t>
            </w:r>
            <w:r>
              <w:rPr>
                <w:szCs w:val="24"/>
              </w:rPr>
              <w:t>crite, le bilan s’ajoutera obligatoirement à cette opération) :</w:t>
            </w:r>
          </w:p>
          <w:p w:rsidR="0035701C" w:rsidRDefault="00FB561B">
            <w:pPr>
              <w:spacing w:before="240" w:after="240"/>
              <w:jc w:val="left"/>
              <w:rPr>
                <w:szCs w:val="24"/>
              </w:rPr>
            </w:pPr>
            <w:r>
              <w:rPr>
                <w:szCs w:val="24"/>
              </w:rPr>
              <w:t>Le montant unitaire est fixé à 509,38 x ce €/ha/an.</w:t>
            </w:r>
          </w:p>
          <w:p w:rsidR="0035701C" w:rsidRDefault="00FB561B">
            <w:pPr>
              <w:spacing w:before="240" w:after="240"/>
              <w:jc w:val="left"/>
              <w:rPr>
                <w:szCs w:val="24"/>
              </w:rPr>
            </w:pPr>
            <w:r>
              <w:rPr>
                <w:szCs w:val="24"/>
              </w:rPr>
              <w:t>Option 2 (si l’opération est souscrite avec d’autres opérations le bilan ne pourra être comptabilisé qu’une seule fois) :</w:t>
            </w:r>
          </w:p>
          <w:p w:rsidR="0035701C" w:rsidRDefault="00FB561B">
            <w:pPr>
              <w:spacing w:before="240" w:after="240"/>
              <w:jc w:val="left"/>
              <w:rPr>
                <w:szCs w:val="24"/>
              </w:rPr>
            </w:pPr>
            <w:r>
              <w:rPr>
                <w:szCs w:val="24"/>
              </w:rPr>
              <w:t>Le montant unitair</w:t>
            </w:r>
            <w:r>
              <w:rPr>
                <w:szCs w:val="24"/>
              </w:rPr>
              <w:t>e est  fixé à 474,44 x ce €/ha/an pour la mise en place du désherbage mécanique sur le rang.</w:t>
            </w:r>
          </w:p>
          <w:p w:rsidR="0035701C" w:rsidRDefault="00FB561B">
            <w:pPr>
              <w:spacing w:before="240" w:after="240"/>
              <w:jc w:val="left"/>
              <w:rPr>
                <w:szCs w:val="24"/>
              </w:rPr>
            </w:pPr>
            <w:r>
              <w:rPr>
                <w:szCs w:val="24"/>
              </w:rPr>
              <w:t>En cas de combinaison d'opérations sur une même parcelle, le montant de l’aide sera limité au maximum à 900€/ha.</w:t>
            </w:r>
          </w:p>
          <w:p w:rsidR="0035701C" w:rsidRDefault="0035701C">
            <w:pPr>
              <w:pStyle w:val="Corpsdetexte"/>
            </w:pPr>
          </w:p>
        </w:tc>
      </w:tr>
    </w:tbl>
    <w:p w:rsidR="0035701C" w:rsidRDefault="00FB561B">
      <w:pPr>
        <w:pStyle w:val="Titre6"/>
      </w:pPr>
      <w:r>
        <w:t xml:space="preserve">Caractère vérifiable et contrôlable des mesures </w:t>
      </w:r>
      <w:r>
        <w:t>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des éléments du niveau </w:t>
      </w:r>
      <w:r>
        <w:t>de référence applicable, qui doivent inclure les normes obligatoires établies en application du titre VI, chapitre I, du règlement (UE) n° 1306/2013 du Parlement européen et du Conseil, les critères pertinents et les activités minimales établies en applica</w:t>
      </w:r>
      <w:r>
        <w:t>tion de l'article 4, paragraphe 1, point c) ii) et c) iii), du règlement (UE) n° 1307/2013 du Parlement européen et du Conseil, les exigences minimales applicables à l'utilisation des engrais et des produits phytosanitaire ainsi que les autres exigences ob</w:t>
      </w:r>
      <w:r>
        <w:t>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ind w:left="103"/>
              <w:jc w:val="left"/>
              <w:rPr>
                <w:szCs w:val="24"/>
              </w:rPr>
            </w:pPr>
            <w:r>
              <w:rPr>
                <w:szCs w:val="24"/>
              </w:rPr>
              <w:t>Par ailleurs, si les pratiques rémunérées au titre de la présente opération sont rendues obligatoires sur des zones au titre de la protection de la biodiversité (notamment des zones clas</w:t>
            </w:r>
            <w:r>
              <w:rPr>
                <w:szCs w:val="24"/>
              </w:rPr>
              <w:t>sées au titre des réserves naturelles des arrêtés de protection de biotopes), celle-ci ne peut être ouverte sur les zones concernées.</w:t>
            </w:r>
          </w:p>
          <w:p w:rsidR="0035701C" w:rsidRDefault="00FB561B">
            <w:pPr>
              <w:spacing w:before="240" w:after="240"/>
              <w:jc w:val="left"/>
              <w:rPr>
                <w:szCs w:val="24"/>
              </w:rPr>
            </w:pPr>
            <w:r>
              <w:rPr>
                <w:szCs w:val="24"/>
              </w:rPr>
              <w:t> </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293772"/>
                  <wp:effectExtent l="0" t="0" r="0" b="0"/>
                  <wp:docPr id="100270" name="Image 100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1" name=""/>
                          <pic:cNvPicPr>
                            <a:picLocks noChangeAspect="1"/>
                          </pic:cNvPicPr>
                        </pic:nvPicPr>
                        <pic:blipFill>
                          <a:blip r:embed="rId122"/>
                          <a:stretch>
                            <a:fillRect/>
                          </a:stretch>
                        </pic:blipFill>
                        <pic:spPr>
                          <a:xfrm>
                            <a:off x="0" y="0"/>
                            <a:ext cx="6629400" cy="1293772"/>
                          </a:xfrm>
                          <a:prstGeom prst="rect">
                            <a:avLst/>
                          </a:prstGeom>
                        </pic:spPr>
                      </pic:pic>
                    </a:graphicData>
                  </a:graphic>
                </wp:inline>
              </w:drawing>
            </w:r>
          </w:p>
          <w:p w:rsidR="0035701C" w:rsidRDefault="00FB561B">
            <w:pPr>
              <w:pStyle w:val="Pieddepage"/>
              <w:jc w:val="center"/>
            </w:pPr>
            <w:r>
              <w:t>Eau_12_lignebase</w:t>
            </w:r>
          </w:p>
          <w:p w:rsidR="0035701C" w:rsidRDefault="0035701C">
            <w:pPr>
              <w:pStyle w:val="Pieddepage"/>
              <w:jc w:val="center"/>
            </w:pPr>
          </w:p>
        </w:tc>
      </w:tr>
    </w:tbl>
    <w:p w:rsidR="0035701C" w:rsidRDefault="00FB561B">
      <w:r>
        <w:t xml:space="preserve">Les exigences minimales relatives à l'utilisation d'engrais doivent comprendre, entre autres, le </w:t>
      </w:r>
      <w:r>
        <w:t>respect des codes de bonnes pratiques introduits au titre de la directive 91/676/CEE pour les exploitations situées en dehors des zones vulnérables aux nitrates, et des exigences concernant la pollution au phosphore; les exigences minimales relatives à l'u</w:t>
      </w:r>
      <w:r>
        <w:t>tilisation de produits phytosanitaires doivent comprendre, entre autres, les principes généraux de la lutte intégrée contre les ennemis des cultures introduits par la directive 2009/128/CE du Parlement européen et du Conseil, l’obligation de détenir une au</w:t>
      </w:r>
      <w:r>
        <w:t>torisation d’utiliser les produits, de satisfaire aux conditions de formation, d’assurer un stockage sûr et de contrôler les équipements destinés à l’épandage ainsi que les règles relatives à l’utilisation de pesticides à proximité d’étendues d’eau et d’au</w:t>
      </w:r>
      <w:r>
        <w:t>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Dans cette opération, il n’y a pas d’interaction avec ces exigences.</w:t>
            </w:r>
          </w:p>
          <w:p w:rsidR="0035701C" w:rsidRDefault="0035701C">
            <w:pPr>
              <w:pStyle w:val="Corpsdetexte"/>
            </w:pPr>
          </w:p>
        </w:tc>
      </w:tr>
    </w:tbl>
    <w:p w:rsidR="0035701C" w:rsidRDefault="00FB561B">
      <w:r>
        <w:t>Liste des races locales qui sont menacées d’être perdues pour l’agriculture et des ressources génétiques végétales qui son</w:t>
      </w:r>
      <w:r>
        <w:t>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 xml:space="preserve">Description de la méthode et des hypothèses et paramètres agronomiques y compris la description des exigences minimales visées à l'article 29, paragraphe 2, du règlement (UE) n° 1305/2013 correspondant à chaque </w:t>
      </w:r>
      <w:r>
        <w:t>type particulier d'engagement, utilisés comme référence pour les calculs justifiant les coûts supplémentaires et les pertes de revenus résultant de l’engagement pris et le niveau des coûts des transactions; le cas échéant, cette méthode tient compte des ai</w:t>
      </w:r>
      <w:r>
        <w:t>des accordées au titre du règlement (UE) n° 1307/2013, et notamment des paiements en faveur des pratiques agricoles bénéfiques pour le climat et l’environnement, afin d’exclure un double financement; le cas échéant, la méthode de conversion utilisée pour d</w:t>
      </w:r>
      <w:r>
        <w:t>’autres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Méthode générale de calcul du montant : </w:t>
            </w:r>
            <w:r>
              <w:rPr>
                <w:szCs w:val="24"/>
              </w:rPr>
              <w:t>Le montant de l’aide est calculé sur la base de l’utilisation du matériel et du temps de travail supplémentaire nécessaire pour la mise en place du désherbage</w:t>
            </w:r>
            <w:r>
              <w:rPr>
                <w:szCs w:val="24"/>
              </w:rPr>
              <w:t xml:space="preserve"> mécanique ainsi que les coûts de transaction générés par le respect des éléments contractualisés.</w:t>
            </w:r>
          </w:p>
          <w:p w:rsidR="0035701C" w:rsidRDefault="00FB561B">
            <w:pPr>
              <w:spacing w:before="240" w:after="240"/>
              <w:jc w:val="left"/>
              <w:rPr>
                <w:szCs w:val="24"/>
              </w:rPr>
            </w:pPr>
            <w:r>
              <w:rPr>
                <w:b/>
                <w:bCs/>
                <w:i/>
                <w:iCs/>
                <w:szCs w:val="24"/>
              </w:rPr>
              <w:t>Pratiques de références </w:t>
            </w:r>
            <w:r>
              <w:rPr>
                <w:szCs w:val="24"/>
              </w:rPr>
              <w:t>: La pratique habituelle de désherbage chimique en viticulture au niveau du rang correspond à 2 épandages annuels.</w:t>
            </w:r>
          </w:p>
          <w:p w:rsidR="0035701C" w:rsidRDefault="00FB561B">
            <w:pPr>
              <w:spacing w:before="240" w:after="240"/>
              <w:jc w:val="left"/>
              <w:rPr>
                <w:szCs w:val="24"/>
              </w:rPr>
            </w:pPr>
            <w:r>
              <w:rPr>
                <w:b/>
                <w:bCs/>
                <w:i/>
                <w:iCs/>
                <w:szCs w:val="24"/>
              </w:rPr>
              <w:t xml:space="preserve">Verdissement : </w:t>
            </w:r>
          </w:p>
          <w:p w:rsidR="0035701C" w:rsidRDefault="00FB561B">
            <w:pPr>
              <w:spacing w:before="240" w:after="240"/>
              <w:jc w:val="left"/>
              <w:rPr>
                <w:szCs w:val="24"/>
              </w:rPr>
            </w:pPr>
            <w:r>
              <w:rPr>
                <w:szCs w:val="24"/>
              </w:rPr>
              <w:t>L’</w:t>
            </w:r>
            <w:r>
              <w:rPr>
                <w:szCs w:val="24"/>
              </w:rPr>
              <w:t>opération ne rémunère pas :</w:t>
            </w:r>
          </w:p>
          <w:p w:rsidR="0035701C" w:rsidRDefault="00FB561B" w:rsidP="00FB561B">
            <w:pPr>
              <w:numPr>
                <w:ilvl w:val="0"/>
                <w:numId w:val="837"/>
              </w:numPr>
              <w:spacing w:before="240" w:after="0"/>
              <w:ind w:hanging="210"/>
              <w:jc w:val="left"/>
              <w:rPr>
                <w:szCs w:val="24"/>
              </w:rPr>
            </w:pPr>
            <w:r>
              <w:rPr>
                <w:szCs w:val="24"/>
              </w:rPr>
              <w:t>Le maintien des prairies permanentes</w:t>
            </w:r>
          </w:p>
          <w:p w:rsidR="0035701C" w:rsidRDefault="00FB561B" w:rsidP="00FB561B">
            <w:pPr>
              <w:numPr>
                <w:ilvl w:val="0"/>
                <w:numId w:val="837"/>
              </w:numPr>
              <w:spacing w:before="0" w:after="0"/>
              <w:ind w:hanging="210"/>
              <w:jc w:val="left"/>
              <w:rPr>
                <w:szCs w:val="24"/>
              </w:rPr>
            </w:pPr>
            <w:r>
              <w:rPr>
                <w:szCs w:val="24"/>
              </w:rPr>
              <w:t>Les obligations de diversité des assolements</w:t>
            </w:r>
          </w:p>
          <w:p w:rsidR="0035701C" w:rsidRDefault="00FB561B" w:rsidP="00FB561B">
            <w:pPr>
              <w:numPr>
                <w:ilvl w:val="0"/>
                <w:numId w:val="837"/>
              </w:numPr>
              <w:spacing w:before="0" w:after="240"/>
              <w:ind w:hanging="210"/>
              <w:jc w:val="left"/>
              <w:rPr>
                <w:szCs w:val="24"/>
              </w:rPr>
            </w:pPr>
            <w:r>
              <w:rPr>
                <w:szCs w:val="24"/>
              </w:rPr>
              <w:t>Les obligations liées aux surfaces d’intérêt écologique</w:t>
            </w:r>
          </w:p>
          <w:p w:rsidR="0035701C" w:rsidRDefault="00FB561B">
            <w:pPr>
              <w:spacing w:before="240" w:after="240"/>
              <w:jc w:val="left"/>
              <w:rPr>
                <w:szCs w:val="24"/>
              </w:rPr>
            </w:pPr>
            <w:r>
              <w:rPr>
                <w:szCs w:val="24"/>
              </w:rPr>
              <w:t xml:space="preserve">Il n’y a donc pas de risque de double paiement pour ce qui concerne les pratiques du </w:t>
            </w:r>
            <w:r>
              <w:rPr>
                <w:szCs w:val="24"/>
              </w:rPr>
              <w:t>verdissement.</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838"/>
              </w:numPr>
              <w:spacing w:before="240" w:after="0"/>
              <w:ind w:hanging="210"/>
              <w:jc w:val="left"/>
              <w:rPr>
                <w:szCs w:val="24"/>
              </w:rPr>
            </w:pPr>
            <w:r>
              <w:rPr>
                <w:szCs w:val="24"/>
              </w:rPr>
              <w:t>Méthode et temps de travail : Institut Français de la Vigne et du Vin</w:t>
            </w:r>
          </w:p>
          <w:p w:rsidR="0035701C" w:rsidRDefault="00FB561B" w:rsidP="00FB561B">
            <w:pPr>
              <w:numPr>
                <w:ilvl w:val="0"/>
                <w:numId w:val="838"/>
              </w:numPr>
              <w:spacing w:before="0" w:after="0"/>
              <w:ind w:hanging="210"/>
              <w:jc w:val="left"/>
              <w:rPr>
                <w:szCs w:val="24"/>
              </w:rPr>
            </w:pPr>
            <w:r>
              <w:rPr>
                <w:szCs w:val="24"/>
              </w:rPr>
              <w:t>Barème des coûts horaires des techniciens : assemblée permanente des chambres d’agriculture (APCA)</w:t>
            </w:r>
          </w:p>
          <w:p w:rsidR="0035701C" w:rsidRDefault="00FB561B" w:rsidP="00FB561B">
            <w:pPr>
              <w:numPr>
                <w:ilvl w:val="0"/>
                <w:numId w:val="838"/>
              </w:numPr>
              <w:spacing w:before="0" w:after="0"/>
              <w:ind w:hanging="210"/>
              <w:jc w:val="left"/>
              <w:rPr>
                <w:szCs w:val="24"/>
              </w:rPr>
            </w:pPr>
            <w:r>
              <w:rPr>
                <w:szCs w:val="24"/>
              </w:rPr>
              <w:t>Coût du matériel : Bureau de Coordination du Machinis</w:t>
            </w:r>
            <w:r>
              <w:rPr>
                <w:szCs w:val="24"/>
              </w:rPr>
              <w:t>me Agricole (tarifs 2012)</w:t>
            </w:r>
          </w:p>
          <w:p w:rsidR="0035701C" w:rsidRDefault="00FB561B" w:rsidP="00FB561B">
            <w:pPr>
              <w:numPr>
                <w:ilvl w:val="0"/>
                <w:numId w:val="838"/>
              </w:numPr>
              <w:spacing w:before="0" w:after="0"/>
              <w:ind w:hanging="210"/>
              <w:jc w:val="left"/>
              <w:rPr>
                <w:szCs w:val="24"/>
              </w:rPr>
            </w:pPr>
            <w:r>
              <w:rPr>
                <w:szCs w:val="24"/>
              </w:rPr>
              <w:t>Charges d’approvisionnement en herbicide : Service de statistiques et de prospectives du Ministère de l’Agriculture</w:t>
            </w:r>
          </w:p>
          <w:p w:rsidR="0035701C" w:rsidRDefault="00FB561B" w:rsidP="00FB561B">
            <w:pPr>
              <w:numPr>
                <w:ilvl w:val="0"/>
                <w:numId w:val="838"/>
              </w:numPr>
              <w:spacing w:before="0" w:after="0"/>
              <w:ind w:hanging="210"/>
              <w:jc w:val="left"/>
              <w:rPr>
                <w:szCs w:val="24"/>
              </w:rPr>
            </w:pPr>
            <w:r>
              <w:rPr>
                <w:szCs w:val="24"/>
              </w:rPr>
              <w:t>Surface moyenne engagée par exploitation : surface moyenne engagée en MAE</w:t>
            </w:r>
          </w:p>
          <w:p w:rsidR="0035701C" w:rsidRDefault="00FB561B" w:rsidP="00FB561B">
            <w:pPr>
              <w:numPr>
                <w:ilvl w:val="0"/>
                <w:numId w:val="838"/>
              </w:numPr>
              <w:spacing w:before="0" w:after="240"/>
              <w:ind w:hanging="210"/>
              <w:jc w:val="left"/>
              <w:rPr>
                <w:szCs w:val="24"/>
              </w:rPr>
            </w:pPr>
            <w:r>
              <w:rPr>
                <w:szCs w:val="24"/>
              </w:rPr>
              <w:t>Temps de travail pour la réalisation d’u</w:t>
            </w:r>
            <w:r>
              <w:rPr>
                <w:szCs w:val="24"/>
              </w:rPr>
              <w:t>n bilan : experts nationaux</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343650" cy="7877175"/>
                  <wp:effectExtent l="0" t="0" r="0" b="0"/>
                  <wp:docPr id="100272" name="Image 100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3" name=""/>
                          <pic:cNvPicPr>
                            <a:picLocks noChangeAspect="1"/>
                          </pic:cNvPicPr>
                        </pic:nvPicPr>
                        <pic:blipFill>
                          <a:blip r:embed="rId142"/>
                          <a:stretch>
                            <a:fillRect/>
                          </a:stretch>
                        </pic:blipFill>
                        <pic:spPr>
                          <a:xfrm>
                            <a:off x="0" y="0"/>
                            <a:ext cx="6343650" cy="7877175"/>
                          </a:xfrm>
                          <a:prstGeom prst="rect">
                            <a:avLst/>
                          </a:prstGeom>
                        </pic:spPr>
                      </pic:pic>
                    </a:graphicData>
                  </a:graphic>
                </wp:inline>
              </w:drawing>
            </w:r>
          </w:p>
          <w:p w:rsidR="0035701C" w:rsidRDefault="00FB561B">
            <w:pPr>
              <w:pStyle w:val="Pieddepage"/>
              <w:jc w:val="center"/>
            </w:pPr>
            <w:r>
              <w:t>Eau_12_option1</w:t>
            </w:r>
          </w:p>
          <w:p w:rsidR="0035701C" w:rsidRDefault="00FB561B">
            <w:pPr>
              <w:pStyle w:val="Pieddepage"/>
              <w:jc w:val="center"/>
            </w:pPr>
            <w:r>
              <w:rPr>
                <w:noProof/>
                <w:lang w:val="fr-FR" w:eastAsia="fr-FR"/>
              </w:rPr>
              <w:drawing>
                <wp:inline distT="0" distB="0" distL="0" distR="0">
                  <wp:extent cx="6343650" cy="4572000"/>
                  <wp:effectExtent l="0" t="0" r="0" b="0"/>
                  <wp:docPr id="100274" name="Image 100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5" name=""/>
                          <pic:cNvPicPr>
                            <a:picLocks noChangeAspect="1"/>
                          </pic:cNvPicPr>
                        </pic:nvPicPr>
                        <pic:blipFill>
                          <a:blip r:embed="rId143"/>
                          <a:stretch>
                            <a:fillRect/>
                          </a:stretch>
                        </pic:blipFill>
                        <pic:spPr>
                          <a:xfrm>
                            <a:off x="0" y="0"/>
                            <a:ext cx="6343650" cy="4572000"/>
                          </a:xfrm>
                          <a:prstGeom prst="rect">
                            <a:avLst/>
                          </a:prstGeom>
                        </pic:spPr>
                      </pic:pic>
                    </a:graphicData>
                  </a:graphic>
                </wp:inline>
              </w:drawing>
            </w:r>
          </w:p>
          <w:p w:rsidR="0035701C" w:rsidRDefault="00FB561B">
            <w:pPr>
              <w:pStyle w:val="Pieddepage"/>
              <w:jc w:val="center"/>
            </w:pPr>
            <w:r>
              <w:t>Eau_12_option2</w:t>
            </w:r>
          </w:p>
          <w:p w:rsidR="0035701C" w:rsidRDefault="0035701C">
            <w:pPr>
              <w:pStyle w:val="Pieddepage"/>
              <w:jc w:val="center"/>
            </w:pPr>
          </w:p>
        </w:tc>
      </w:tr>
    </w:tbl>
    <w:p w:rsidR="0035701C" w:rsidRDefault="00FB561B">
      <w:pPr>
        <w:pStyle w:val="Titre5"/>
        <w:rPr>
          <w:b w:val="0"/>
        </w:rPr>
      </w:pPr>
      <w:r>
        <w:rPr>
          <w:b w:val="0"/>
        </w:rPr>
        <w:br w:type="page"/>
        <w:t>-41- EAU_13</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839"/>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 titre complet :  EAU_ 13 = Mise en place d’un </w:t>
            </w:r>
            <w:r>
              <w:rPr>
                <w:b/>
                <w:bCs/>
                <w:szCs w:val="24"/>
              </w:rPr>
              <w:t>engrais vert en viticulture.</w:t>
            </w:r>
          </w:p>
          <w:p w:rsidR="0035701C" w:rsidRDefault="00FB561B">
            <w:pPr>
              <w:spacing w:before="240" w:after="240"/>
              <w:jc w:val="left"/>
              <w:rPr>
                <w:szCs w:val="24"/>
              </w:rPr>
            </w:pPr>
            <w:r>
              <w:rPr>
                <w:szCs w:val="24"/>
              </w:rPr>
              <w:t>Les engrais verts permettent d’enrichir et d’améliorer les sols en y apportant une grande qualité de matière organique, source d’humus. Ils peuvent être à base de graminées, crucifères, … Lorsqu’ils sont à base de légumineuses,</w:t>
            </w:r>
            <w:r>
              <w:rPr>
                <w:szCs w:val="24"/>
              </w:rPr>
              <w:t xml:space="preserve"> aussi appelées Fabacées ou Papilionacées – trèfle, luzerne, féverole, pois, …- ils restituent au sol l’azote puisé dans l’air et fixé par des micro-organismes spécifiques de ces plantes, les « rhizobiums des légumineuses ». Mais leur action bénéfique comp</w:t>
            </w:r>
            <w:r>
              <w:rPr>
                <w:szCs w:val="24"/>
              </w:rPr>
              <w:t>te nombre d’autres aspects :</w:t>
            </w:r>
          </w:p>
          <w:p w:rsidR="0035701C" w:rsidRDefault="00FB561B" w:rsidP="00FB561B">
            <w:pPr>
              <w:numPr>
                <w:ilvl w:val="0"/>
                <w:numId w:val="840"/>
              </w:numPr>
              <w:spacing w:before="240" w:after="0"/>
              <w:ind w:hanging="210"/>
              <w:jc w:val="left"/>
              <w:rPr>
                <w:szCs w:val="24"/>
              </w:rPr>
            </w:pPr>
            <w:r>
              <w:rPr>
                <w:szCs w:val="24"/>
              </w:rPr>
              <w:t>Ils assurent une couverture végétale permanente qui réduit les écarts de température au niveau du sol,</w:t>
            </w:r>
          </w:p>
          <w:p w:rsidR="0035701C" w:rsidRDefault="00FB561B" w:rsidP="00FB561B">
            <w:pPr>
              <w:numPr>
                <w:ilvl w:val="0"/>
                <w:numId w:val="840"/>
              </w:numPr>
              <w:spacing w:before="0" w:after="0"/>
              <w:ind w:hanging="210"/>
              <w:jc w:val="left"/>
              <w:rPr>
                <w:szCs w:val="24"/>
              </w:rPr>
            </w:pPr>
            <w:r>
              <w:rPr>
                <w:szCs w:val="24"/>
              </w:rPr>
              <w:t>Ils stimulent la vie microbienne,</w:t>
            </w:r>
          </w:p>
          <w:p w:rsidR="0035701C" w:rsidRDefault="00FB561B" w:rsidP="00FB561B">
            <w:pPr>
              <w:numPr>
                <w:ilvl w:val="0"/>
                <w:numId w:val="840"/>
              </w:numPr>
              <w:spacing w:before="0" w:after="0"/>
              <w:ind w:hanging="210"/>
              <w:jc w:val="left"/>
              <w:rPr>
                <w:szCs w:val="24"/>
              </w:rPr>
            </w:pPr>
            <w:r>
              <w:rPr>
                <w:szCs w:val="24"/>
              </w:rPr>
              <w:t>Ils améliorent la structure du sol,</w:t>
            </w:r>
          </w:p>
          <w:p w:rsidR="0035701C" w:rsidRDefault="00FB561B" w:rsidP="00FB561B">
            <w:pPr>
              <w:numPr>
                <w:ilvl w:val="0"/>
                <w:numId w:val="840"/>
              </w:numPr>
              <w:spacing w:before="0" w:after="0"/>
              <w:ind w:hanging="210"/>
              <w:jc w:val="left"/>
              <w:rPr>
                <w:szCs w:val="24"/>
              </w:rPr>
            </w:pPr>
            <w:r>
              <w:rPr>
                <w:szCs w:val="24"/>
              </w:rPr>
              <w:t>Ils activent l’humidification des matières ligneuses,</w:t>
            </w:r>
          </w:p>
          <w:p w:rsidR="0035701C" w:rsidRDefault="00FB561B" w:rsidP="00FB561B">
            <w:pPr>
              <w:numPr>
                <w:ilvl w:val="0"/>
                <w:numId w:val="840"/>
              </w:numPr>
              <w:spacing w:before="0" w:after="0"/>
              <w:ind w:hanging="210"/>
              <w:jc w:val="left"/>
              <w:rPr>
                <w:szCs w:val="24"/>
              </w:rPr>
            </w:pPr>
            <w:r>
              <w:rPr>
                <w:szCs w:val="24"/>
              </w:rPr>
              <w:t>Ils ont un pouvoir nettoyant,</w:t>
            </w:r>
          </w:p>
          <w:p w:rsidR="0035701C" w:rsidRDefault="00FB561B" w:rsidP="00FB561B">
            <w:pPr>
              <w:numPr>
                <w:ilvl w:val="0"/>
                <w:numId w:val="840"/>
              </w:numPr>
              <w:spacing w:before="0" w:after="240"/>
              <w:ind w:hanging="210"/>
              <w:jc w:val="left"/>
              <w:rPr>
                <w:szCs w:val="24"/>
              </w:rPr>
            </w:pPr>
            <w:r>
              <w:rPr>
                <w:szCs w:val="24"/>
              </w:rPr>
              <w:t>Ils évitent l’érosion des sols,</w:t>
            </w:r>
          </w:p>
          <w:p w:rsidR="0035701C" w:rsidRDefault="00FB561B">
            <w:pPr>
              <w:spacing w:before="240" w:after="240"/>
              <w:jc w:val="left"/>
              <w:rPr>
                <w:szCs w:val="24"/>
              </w:rPr>
            </w:pPr>
            <w:r>
              <w:rPr>
                <w:szCs w:val="24"/>
              </w:rPr>
              <w:t xml:space="preserve">Cet engagement vis à mettre en place un engrais vert au niveau des inter-rangs sous vigne en automne afin de réduire les risques d’érosion du sol et de lessivage ou de ruissellement, entraînant </w:t>
            </w:r>
            <w:r>
              <w:rPr>
                <w:szCs w:val="24"/>
              </w:rPr>
              <w:t>les produits phytosanitaires vers la ressource en eau. Cet engagement permettra d’améliorer la structure du sol, d’améliorer la fertilité minérale, d’avoir un apport en matière organique et d’améliorer l’activité biologique du sol.</w:t>
            </w:r>
          </w:p>
          <w:p w:rsidR="0035701C" w:rsidRDefault="00FB561B">
            <w:pPr>
              <w:spacing w:before="240" w:after="240"/>
              <w:jc w:val="left"/>
              <w:rPr>
                <w:szCs w:val="24"/>
              </w:rPr>
            </w:pPr>
            <w:r>
              <w:rPr>
                <w:szCs w:val="24"/>
              </w:rPr>
              <w:t>Cet engagement nécessite</w:t>
            </w:r>
            <w:r>
              <w:rPr>
                <w:szCs w:val="24"/>
              </w:rPr>
              <w:t xml:space="preserve"> l’achat de semences, le travail du sol pour l’implantation de l’engrais vert, le semis, la destruction et l’enfouissement de l’engrais vert. Cette culture doit permettre une diminution de 10 U de N/ha.</w:t>
            </w:r>
          </w:p>
          <w:p w:rsidR="0035701C" w:rsidRDefault="00FB561B">
            <w:pPr>
              <w:spacing w:before="240" w:after="240"/>
              <w:jc w:val="left"/>
              <w:rPr>
                <w:szCs w:val="24"/>
              </w:rPr>
            </w:pPr>
            <w:r>
              <w:rPr>
                <w:szCs w:val="24"/>
              </w:rPr>
              <w:t>Il est laissé à l’agriculteur, après avis d’un techni</w:t>
            </w:r>
            <w:r>
              <w:rPr>
                <w:szCs w:val="24"/>
              </w:rPr>
              <w:t>cien, le choix de l’espèce à implanter car chaque parcelle a des besoins différents (type de sol, acidité des sols, …).</w:t>
            </w:r>
          </w:p>
          <w:p w:rsidR="0035701C" w:rsidRDefault="00FB561B">
            <w:pPr>
              <w:spacing w:before="240" w:after="240"/>
              <w:jc w:val="left"/>
              <w:rPr>
                <w:szCs w:val="24"/>
              </w:rPr>
            </w:pPr>
            <w:r>
              <w:rPr>
                <w:szCs w:val="24"/>
              </w:rPr>
              <w:t>Il répond à un objectif de la qualité de l’eau par la réduction de l’impact des produits phytosanitaires et de lutte contre l’érosion.</w:t>
            </w:r>
          </w:p>
          <w:p w:rsidR="0035701C" w:rsidRDefault="00FB561B">
            <w:pPr>
              <w:spacing w:before="240" w:after="240"/>
              <w:jc w:val="left"/>
              <w:rPr>
                <w:szCs w:val="24"/>
              </w:rPr>
            </w:pPr>
            <w:r>
              <w:rPr>
                <w:szCs w:val="24"/>
              </w:rPr>
              <w:t>C</w:t>
            </w:r>
            <w:r>
              <w:rPr>
                <w:szCs w:val="24"/>
              </w:rPr>
              <w:t>ette opération peut être combinée avec d’autres opérations telles que : l’enherbement au niveau des inter-rangs, le désherbage mécanique au niveau du rang, la mise en place de la confusion sexuelle contre Eudemis et/ou Cochylis et/ou le désherbage mécaniqu</w:t>
            </w:r>
            <w:r>
              <w:rPr>
                <w:szCs w:val="24"/>
              </w:rPr>
              <w:t>e au niveau de l’inter-rang (pour les opérations où un coefficient d’étalement pourra être appliqué il ne devra pas être supérieur à 1).</w:t>
            </w:r>
          </w:p>
          <w:p w:rsidR="0035701C" w:rsidRDefault="00FB561B">
            <w:pPr>
              <w:spacing w:before="240" w:after="240"/>
              <w:jc w:val="left"/>
              <w:rPr>
                <w:szCs w:val="24"/>
              </w:rPr>
            </w:pPr>
            <w:r>
              <w:rPr>
                <w:b/>
                <w:bCs/>
                <w:i/>
                <w:iCs/>
                <w:szCs w:val="24"/>
              </w:rPr>
              <w:t xml:space="preserve">Cahier des charges : </w:t>
            </w:r>
          </w:p>
          <w:p w:rsidR="0035701C" w:rsidRDefault="00FB561B" w:rsidP="00FB561B">
            <w:pPr>
              <w:numPr>
                <w:ilvl w:val="0"/>
                <w:numId w:val="841"/>
              </w:numPr>
              <w:spacing w:before="240" w:after="0"/>
              <w:ind w:hanging="210"/>
              <w:jc w:val="left"/>
              <w:rPr>
                <w:szCs w:val="24"/>
              </w:rPr>
            </w:pPr>
            <w:r>
              <w:rPr>
                <w:szCs w:val="24"/>
              </w:rPr>
              <w:t>L’agriculteur s’engage à mettre en place à l'automne sur la totalité des inter-rangs laissés à nu</w:t>
            </w:r>
            <w:r>
              <w:rPr>
                <w:szCs w:val="24"/>
              </w:rPr>
              <w:t>s une culture destinée à diminuer l'impact de l’érosion</w:t>
            </w:r>
          </w:p>
          <w:p w:rsidR="0035701C" w:rsidRDefault="00FB561B" w:rsidP="00FB561B">
            <w:pPr>
              <w:numPr>
                <w:ilvl w:val="0"/>
                <w:numId w:val="841"/>
              </w:numPr>
              <w:spacing w:before="0" w:after="0"/>
              <w:ind w:hanging="210"/>
              <w:jc w:val="left"/>
              <w:rPr>
                <w:szCs w:val="24"/>
              </w:rPr>
            </w:pPr>
            <w:r>
              <w:rPr>
                <w:szCs w:val="24"/>
              </w:rPr>
              <w:t>Il s’engage à ne pas apporter de fertilisation azotée sur l’engrais.</w:t>
            </w:r>
          </w:p>
          <w:p w:rsidR="0035701C" w:rsidRDefault="00FB561B" w:rsidP="00FB561B">
            <w:pPr>
              <w:numPr>
                <w:ilvl w:val="0"/>
                <w:numId w:val="841"/>
              </w:numPr>
              <w:spacing w:before="0" w:after="0"/>
              <w:ind w:hanging="210"/>
              <w:jc w:val="left"/>
              <w:rPr>
                <w:szCs w:val="24"/>
              </w:rPr>
            </w:pPr>
            <w:r>
              <w:rPr>
                <w:szCs w:val="24"/>
              </w:rPr>
              <w:t xml:space="preserve">L’agriculteur s’engage à détruire et enfouir cette culture entre mi-mars et mi-avril. </w:t>
            </w:r>
          </w:p>
          <w:p w:rsidR="0035701C" w:rsidRDefault="00FB561B" w:rsidP="00FB561B">
            <w:pPr>
              <w:numPr>
                <w:ilvl w:val="0"/>
                <w:numId w:val="841"/>
              </w:numPr>
              <w:spacing w:before="0" w:after="0"/>
              <w:ind w:hanging="210"/>
              <w:jc w:val="left"/>
              <w:rPr>
                <w:szCs w:val="24"/>
              </w:rPr>
            </w:pPr>
            <w:r>
              <w:rPr>
                <w:szCs w:val="24"/>
              </w:rPr>
              <w:t>Il doit assurer l’enregistrement des différe</w:t>
            </w:r>
            <w:r>
              <w:rPr>
                <w:szCs w:val="24"/>
              </w:rPr>
              <w:t>ntes interventions et des pratiques réalisées dans le cahier de l’exploitant. L’enregistrement des pratiques est une obligation pendant toute la durée de l’engagement, permettant ainsi de vérifier l’atteinte de l’objectif sur la durée du contrat.</w:t>
            </w:r>
          </w:p>
          <w:p w:rsidR="0035701C" w:rsidRDefault="00FB561B" w:rsidP="00FB561B">
            <w:pPr>
              <w:numPr>
                <w:ilvl w:val="0"/>
                <w:numId w:val="841"/>
              </w:numPr>
              <w:spacing w:before="0" w:after="240"/>
              <w:ind w:hanging="210"/>
              <w:jc w:val="left"/>
              <w:rPr>
                <w:szCs w:val="24"/>
              </w:rPr>
            </w:pPr>
            <w:r>
              <w:rPr>
                <w:szCs w:val="24"/>
              </w:rPr>
              <w:t>Il doit r</w:t>
            </w:r>
            <w:r>
              <w:rPr>
                <w:szCs w:val="24"/>
              </w:rPr>
              <w:t>éaliser un bilan annuel de suivi. L’élaboration de ce bilan est obligatoire afin de garantir de bonnes conditions d’appui technique à la réduction de ces intrants. Il permettra d’évaluer la pertinence des options techniques retenues, de s’assurer de l’atte</w:t>
            </w:r>
            <w:r>
              <w:rPr>
                <w:szCs w:val="24"/>
              </w:rPr>
              <w:t>inte des objectifs de résultat et d’optimiser l’efficacité de la solution agronomique mise en œuvre. Ce bilan annuel doit être réalisé chaque année par l’agriculteur et deux fois avec l’appui d’un technicien</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pluriannuelle et est accordée pour une durée de 5 ans.</w:t>
            </w:r>
          </w:p>
          <w:p w:rsidR="0035701C" w:rsidRDefault="00FB561B">
            <w:pPr>
              <w:spacing w:before="240" w:after="240"/>
              <w:jc w:val="left"/>
              <w:rPr>
                <w:szCs w:val="24"/>
              </w:rPr>
            </w:pPr>
            <w:r>
              <w:rPr>
                <w:szCs w:val="24"/>
              </w:rPr>
              <w:t>Le montant de la rémunération est en euros/ha/an.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w:t>
            </w:r>
          </w:p>
          <w:p w:rsidR="0035701C" w:rsidRDefault="00FB561B" w:rsidP="00FB561B">
            <w:pPr>
              <w:numPr>
                <w:ilvl w:val="0"/>
                <w:numId w:val="842"/>
              </w:numPr>
              <w:spacing w:before="240" w:after="0"/>
              <w:ind w:hanging="210"/>
              <w:jc w:val="left"/>
              <w:rPr>
                <w:szCs w:val="24"/>
              </w:rPr>
            </w:pPr>
            <w:r>
              <w:rPr>
                <w:szCs w:val="24"/>
              </w:rPr>
              <w:t>les exigences établies en vertu d</w:t>
            </w:r>
            <w:r>
              <w:rPr>
                <w:szCs w:val="24"/>
              </w:rPr>
              <w:t>e l’article 93 du règlement UE n° 1306/2013 et de l’article 4.1c points ii) et iii) du règlement UE n°1307/2013,</w:t>
            </w:r>
          </w:p>
          <w:p w:rsidR="0035701C" w:rsidRDefault="00FB561B" w:rsidP="00FB561B">
            <w:pPr>
              <w:numPr>
                <w:ilvl w:val="0"/>
                <w:numId w:val="842"/>
              </w:numPr>
              <w:spacing w:before="0" w:after="0"/>
              <w:ind w:hanging="210"/>
              <w:jc w:val="left"/>
              <w:rPr>
                <w:szCs w:val="24"/>
              </w:rPr>
            </w:pPr>
            <w:r>
              <w:rPr>
                <w:szCs w:val="24"/>
              </w:rPr>
              <w:t>la circulaire nationale fixant les règles relatives aux bonnes conduites agricoles et environnementales (BCAE).</w:t>
            </w:r>
          </w:p>
          <w:p w:rsidR="0035701C" w:rsidRDefault="00FB561B" w:rsidP="00FB561B">
            <w:pPr>
              <w:numPr>
                <w:ilvl w:val="0"/>
                <w:numId w:val="842"/>
              </w:numPr>
              <w:spacing w:before="0" w:after="240"/>
              <w:ind w:hanging="210"/>
              <w:jc w:val="left"/>
              <w:rPr>
                <w:szCs w:val="24"/>
              </w:rPr>
            </w:pPr>
            <w:r>
              <w:rPr>
                <w:szCs w:val="24"/>
              </w:rPr>
              <w:t xml:space="preserve">l’arrêté préfectoral régional </w:t>
            </w:r>
            <w:r>
              <w:rPr>
                <w:szCs w:val="24"/>
              </w:rPr>
              <w:t>en vigueur en Corse fixant les règles relatives aux bonnes conduites agricoles et environnementales (BCAE).</w:t>
            </w:r>
          </w:p>
          <w:p w:rsidR="0035701C" w:rsidRDefault="00FB561B">
            <w:pPr>
              <w:spacing w:before="240" w:after="240"/>
              <w:jc w:val="left"/>
              <w:rPr>
                <w:szCs w:val="24"/>
              </w:rPr>
            </w:pPr>
            <w:r>
              <w:rPr>
                <w:szCs w:val="24"/>
              </w:rPr>
              <w:t>Afin d’exclure tout double paiement, les pratiques visées à l’article 43 du règlement UE n° 1307/2013 sont prises en compte dans le calcul des surco</w:t>
            </w:r>
            <w:r>
              <w:rPr>
                <w:szCs w:val="24"/>
              </w:rPr>
              <w:t>ûts et manques à gagner.</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 sont les surcoûts, manques à gagner et éventuels coûts d’opportunité et de transaction générés par le respect</w:t>
            </w:r>
            <w:r>
              <w:rPr>
                <w:szCs w:val="24"/>
              </w:rPr>
              <w:t xml:space="preserve"> des éléments contractualisés.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L’agriculteur s’engage à respecter le cahier des charges de l’engagement unitaire.</w:t>
            </w:r>
          </w:p>
          <w:p w:rsidR="0035701C" w:rsidRDefault="00FB561B">
            <w:pPr>
              <w:spacing w:before="240" w:after="240"/>
              <w:jc w:val="left"/>
              <w:rPr>
                <w:szCs w:val="24"/>
              </w:rPr>
            </w:pPr>
            <w:r>
              <w:rPr>
                <w:b/>
                <w:bCs/>
                <w:i/>
                <w:iCs/>
                <w:szCs w:val="24"/>
              </w:rPr>
              <w:t>Couverts éligibles :</w:t>
            </w:r>
            <w:r>
              <w:rPr>
                <w:szCs w:val="24"/>
              </w:rPr>
              <w:t xml:space="preserve"> Surface inter-rangs en viticulture.</w:t>
            </w:r>
          </w:p>
          <w:p w:rsidR="0035701C" w:rsidRDefault="00FB561B">
            <w:pPr>
              <w:spacing w:before="240" w:after="240"/>
              <w:jc w:val="left"/>
              <w:rPr>
                <w:szCs w:val="24"/>
              </w:rPr>
            </w:pPr>
            <w:r>
              <w:rPr>
                <w:b/>
                <w:bCs/>
                <w:i/>
                <w:iCs/>
                <w:szCs w:val="24"/>
              </w:rPr>
              <w:t>Diagnostic d’exploitation :</w:t>
            </w:r>
          </w:p>
          <w:p w:rsidR="0035701C" w:rsidRDefault="00FB561B">
            <w:pPr>
              <w:spacing w:before="240" w:after="240"/>
              <w:jc w:val="left"/>
              <w:rPr>
                <w:szCs w:val="24"/>
              </w:rPr>
            </w:pPr>
            <w:r>
              <w:rPr>
                <w:szCs w:val="24"/>
              </w:rPr>
              <w:t>La réalisation d’un diagnost</w:t>
            </w:r>
            <w:r>
              <w:rPr>
                <w:szCs w:val="24"/>
              </w:rPr>
              <w:t>ic d’exploitation est une obligation pour la souscription de cette opération.</w:t>
            </w:r>
          </w:p>
          <w:p w:rsidR="0035701C" w:rsidRDefault="00FB561B">
            <w:pPr>
              <w:spacing w:before="240" w:after="240"/>
              <w:jc w:val="left"/>
              <w:rPr>
                <w:szCs w:val="24"/>
              </w:rPr>
            </w:pPr>
            <w:r>
              <w:rPr>
                <w:szCs w:val="24"/>
              </w:rPr>
              <w:t> Le diagnostic d’exploitation fera apparaître les différentes possibilités de combinaison avec d’autres opérations.</w:t>
            </w:r>
          </w:p>
          <w:p w:rsidR="0035701C" w:rsidRDefault="0035701C">
            <w:pPr>
              <w:pStyle w:val="Corpsdetexte"/>
            </w:pPr>
          </w:p>
        </w:tc>
      </w:tr>
    </w:tbl>
    <w:p w:rsidR="0035701C" w:rsidRDefault="00FB561B">
      <w:pPr>
        <w:pStyle w:val="Titre6"/>
      </w:pPr>
      <w:r>
        <w:t xml:space="preserve">Principes applicables à l'établissement des critères de </w:t>
      </w:r>
      <w:r>
        <w:t>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100 %.</w:t>
            </w:r>
          </w:p>
          <w:p w:rsidR="0035701C" w:rsidRDefault="00FB561B">
            <w:pPr>
              <w:spacing w:before="240" w:after="240"/>
              <w:jc w:val="left"/>
              <w:rPr>
                <w:szCs w:val="24"/>
              </w:rPr>
            </w:pPr>
            <w:r>
              <w:rPr>
                <w:szCs w:val="24"/>
              </w:rPr>
              <w:t>Afin d’éviter le double paiement du coût de transaction concernant l’élaboration du bilan annuel de la stratégie des cultures :</w:t>
            </w:r>
          </w:p>
          <w:p w:rsidR="0035701C" w:rsidRDefault="00FB561B">
            <w:pPr>
              <w:spacing w:before="240" w:after="240"/>
              <w:jc w:val="left"/>
              <w:rPr>
                <w:szCs w:val="24"/>
              </w:rPr>
            </w:pPr>
            <w:r>
              <w:rPr>
                <w:szCs w:val="24"/>
              </w:rPr>
              <w:t xml:space="preserve">Option 1 (si l’opération est </w:t>
            </w:r>
            <w:r>
              <w:rPr>
                <w:szCs w:val="24"/>
              </w:rPr>
              <w:t>souscrite seule ou si elle est la première souscrite, le bilan s’ajoutera obligatoirement à cette opération) :</w:t>
            </w:r>
          </w:p>
          <w:p w:rsidR="0035701C" w:rsidRDefault="00FB561B">
            <w:pPr>
              <w:spacing w:before="240" w:after="240"/>
              <w:jc w:val="left"/>
              <w:rPr>
                <w:szCs w:val="24"/>
              </w:rPr>
            </w:pPr>
            <w:r>
              <w:rPr>
                <w:szCs w:val="24"/>
              </w:rPr>
              <w:t>Le montant unitaire est fixé à 482,55 x ce €/ha/an.</w:t>
            </w:r>
          </w:p>
          <w:p w:rsidR="0035701C" w:rsidRDefault="00FB561B">
            <w:pPr>
              <w:spacing w:before="240" w:after="240"/>
              <w:jc w:val="left"/>
              <w:rPr>
                <w:szCs w:val="24"/>
              </w:rPr>
            </w:pPr>
            <w:r>
              <w:rPr>
                <w:szCs w:val="24"/>
              </w:rPr>
              <w:t>Option 2 (si l’opération est souscrite avec d’autres opérations le bilan ne pourra être compt</w:t>
            </w:r>
            <w:r>
              <w:rPr>
                <w:szCs w:val="24"/>
              </w:rPr>
              <w:t>abilisé qu’une seule fois) :</w:t>
            </w:r>
          </w:p>
          <w:p w:rsidR="0035701C" w:rsidRDefault="00FB561B">
            <w:pPr>
              <w:spacing w:before="240" w:after="240"/>
              <w:jc w:val="left"/>
              <w:rPr>
                <w:szCs w:val="24"/>
              </w:rPr>
            </w:pPr>
            <w:r>
              <w:rPr>
                <w:szCs w:val="24"/>
              </w:rPr>
              <w:t>Le montant unitaire est  fixé à 447,61 x ce €/ha/an pour la mise en place de l’engrais vert sur l’inter-rang.</w:t>
            </w:r>
          </w:p>
          <w:p w:rsidR="0035701C" w:rsidRDefault="00FB561B">
            <w:pPr>
              <w:spacing w:before="240" w:after="240"/>
              <w:jc w:val="left"/>
              <w:rPr>
                <w:szCs w:val="24"/>
              </w:rPr>
            </w:pPr>
            <w:r>
              <w:rPr>
                <w:szCs w:val="24"/>
              </w:rPr>
              <w:t>En cas de combinaison d'opérations sur une même parcelle, le montant de l’aide sera limité au maximum à 900€/ha.</w:t>
            </w:r>
          </w:p>
          <w:p w:rsidR="0035701C" w:rsidRDefault="0035701C">
            <w:pPr>
              <w:pStyle w:val="Corpsdetexte"/>
            </w:pPr>
          </w:p>
        </w:tc>
      </w:tr>
    </w:tbl>
    <w:p w:rsidR="0035701C" w:rsidRDefault="00FB561B">
      <w:pPr>
        <w:pStyle w:val="Titre6"/>
      </w:pPr>
      <w:r>
        <w:t>Ca</w:t>
      </w:r>
      <w:r>
        <w:t>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mesure</w:t>
            </w:r>
          </w:p>
          <w:p w:rsidR="0035701C" w:rsidRDefault="0035701C">
            <w:pPr>
              <w:pStyle w:val="Corpsdetexte"/>
            </w:pPr>
          </w:p>
        </w:tc>
      </w:tr>
    </w:tbl>
    <w:p w:rsidR="0035701C" w:rsidRDefault="00FB561B">
      <w:pPr>
        <w:pStyle w:val="Titre6"/>
      </w:pPr>
      <w:r>
        <w:t>Informations spécifiques sur l'opération</w:t>
      </w:r>
    </w:p>
    <w:p w:rsidR="0035701C" w:rsidRDefault="00FB561B">
      <w:r>
        <w:t>Détermination et définition des éléments du niveau de référence applicable, qui doivent inclure les normes obligatoires établies en application du titre VI, chapitre I, du règlement (UE) n° 1306/2013 du Parlement européen et du Conseil, les critères pertin</w:t>
      </w:r>
      <w:r>
        <w:t>ents et les activités minimales établies en application de l'article 4, paragraphe 1, point c) ii) et c) iii), du règlement (UE) n° 1307/2013 du Parlement européen et du Conseil, les exigences minimales applicables à l'utilisation des engrais et des produi</w:t>
      </w:r>
      <w:r>
        <w:t>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ind w:left="103"/>
              <w:jc w:val="left"/>
              <w:rPr>
                <w:szCs w:val="24"/>
              </w:rPr>
            </w:pPr>
            <w:r>
              <w:rPr>
                <w:szCs w:val="24"/>
              </w:rPr>
              <w:t>Par ailleurs, si les pratiques rémunérées au titre de la présente opération sont rendues obligatoires sur des zones au titre de la prot</w:t>
            </w:r>
            <w:r>
              <w:rPr>
                <w:szCs w:val="24"/>
              </w:rPr>
              <w:t>ection de la biodiversité (notamment des zones classées au titre des réserves naturelles des arrêtés de protection de biotopes), celle-ci ne peut être ouverte sur les zones concernées.</w:t>
            </w:r>
          </w:p>
          <w:p w:rsidR="0035701C" w:rsidRDefault="00FB561B">
            <w:pPr>
              <w:spacing w:before="240" w:after="240"/>
              <w:jc w:val="left"/>
              <w:rPr>
                <w:szCs w:val="24"/>
              </w:rPr>
            </w:pPr>
            <w:r>
              <w:rPr>
                <w:szCs w:val="24"/>
              </w:rPr>
              <w:t> </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153761"/>
                  <wp:effectExtent l="0" t="0" r="0" b="0"/>
                  <wp:docPr id="100276" name="Image 100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7" name=""/>
                          <pic:cNvPicPr>
                            <a:picLocks noChangeAspect="1"/>
                          </pic:cNvPicPr>
                        </pic:nvPicPr>
                        <pic:blipFill>
                          <a:blip r:embed="rId114"/>
                          <a:stretch>
                            <a:fillRect/>
                          </a:stretch>
                        </pic:blipFill>
                        <pic:spPr>
                          <a:xfrm>
                            <a:off x="0" y="0"/>
                            <a:ext cx="6629400" cy="1153761"/>
                          </a:xfrm>
                          <a:prstGeom prst="rect">
                            <a:avLst/>
                          </a:prstGeom>
                        </pic:spPr>
                      </pic:pic>
                    </a:graphicData>
                  </a:graphic>
                </wp:inline>
              </w:drawing>
            </w:r>
          </w:p>
          <w:p w:rsidR="0035701C" w:rsidRDefault="00FB561B">
            <w:pPr>
              <w:pStyle w:val="Pieddepage"/>
              <w:jc w:val="center"/>
            </w:pPr>
            <w:r>
              <w:t>Eau_13_lignebase</w:t>
            </w:r>
          </w:p>
          <w:p w:rsidR="0035701C" w:rsidRDefault="0035701C">
            <w:pPr>
              <w:pStyle w:val="Pieddepage"/>
              <w:jc w:val="center"/>
            </w:pPr>
          </w:p>
        </w:tc>
      </w:tr>
    </w:tbl>
    <w:p w:rsidR="0035701C" w:rsidRDefault="00FB561B">
      <w:r>
        <w:t xml:space="preserve">Les exigences minimales relatives à </w:t>
      </w:r>
      <w:r>
        <w:t>l'utilisation d'engrais doivent comprendre, entre autres, le respect des codes de bonnes pratiques introduits au titre de la directive 91/676/CEE pour les exploitations situées en dehors des zones vulnérables aux nitrates, et des exigences concernant la po</w:t>
      </w:r>
      <w:r>
        <w:t>llution au phosphore; les exigences minimales relatives à l'utilisation de produits phytosanitaires doivent comprendre, entre autres, les principes généraux de la lutte intégrée contre les ennemis des cultures introduits par la directive 2009/128/CE du Par</w:t>
      </w:r>
      <w:r>
        <w:t>lement européen et du Conseil, l’obligation de détenir une autorisation d’utiliser les produits, de satisfaire aux conditions de formation, d’assurer un stockage sûr et de contrôler les équipements destinés à l’épandage ainsi que les règles relatives à l’u</w:t>
      </w:r>
      <w:r>
        <w:t>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 Corse n’étant pas classée en zone vulnérable, seul le Code des Bonnes Pratiques Agricoles s’applique. Il recommande notamment qu’</w:t>
            </w:r>
            <w:r>
              <w:rPr>
                <w:szCs w:val="24"/>
              </w:rPr>
              <w:t>un cahier d’enregistrement des pratiques soit tenu. Cette disposition est obligatoire dans cette opération et non rémunérée.</w:t>
            </w:r>
          </w:p>
          <w:p w:rsidR="0035701C" w:rsidRDefault="0035701C">
            <w:pPr>
              <w:pStyle w:val="Corpsdetexte"/>
            </w:pPr>
          </w:p>
        </w:tc>
      </w:tr>
    </w:tbl>
    <w:p w:rsidR="0035701C" w:rsidRDefault="00FB561B">
      <w:r>
        <w:t>Liste des races locales qui sont menacées d’être perdues pour l’agriculture et des ressources génétiques végétales qui sont menac</w:t>
      </w:r>
      <w:r>
        <w:t>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 xml:space="preserve">Description de la méthode et des hypothèses et paramètres agronomiques y compris la description des exigences minimales visées à l'article 29, paragraphe 2, du règlement (UE) n° 1305/2013 correspondant à chaque type </w:t>
      </w:r>
      <w:r>
        <w:t>particulier d'engagement, utilisés comme référence pour les calculs justifiant les coûts supplémentaires et les pertes de revenus résultant de l’engagement pris et le niveau des coûts des transactions; le cas échéant, cette méthode tient compte des aides a</w:t>
      </w:r>
      <w:r>
        <w:t>ccordées au titre du règlement (UE) n° 1307/2013, et notamment des paiements en faveur des pratiques agricoles bénéfiques pour le climat et l’environnement, afin d’exclure un double financement; le cas échéant, la méthode de conversion utilisée pour d’autr</w:t>
      </w:r>
      <w:r>
        <w:t>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 xml:space="preserve">Méthode générale de calcul du montant : </w:t>
            </w:r>
            <w:r>
              <w:rPr>
                <w:szCs w:val="24"/>
              </w:rPr>
              <w:t xml:space="preserve">Le montant de l’aide est calculé sur la base de l’utilisation du matériel et du temps de travail supplémentaire nécessaire pour la mise en place de l’engrais vert </w:t>
            </w:r>
            <w:r>
              <w:rPr>
                <w:szCs w:val="24"/>
              </w:rPr>
              <w:t>ainsi que les coûts de transaction générés par le respect des éléments contractualisés.</w:t>
            </w:r>
          </w:p>
          <w:p w:rsidR="0035701C" w:rsidRDefault="00FB561B">
            <w:pPr>
              <w:spacing w:before="240" w:after="240"/>
              <w:jc w:val="left"/>
              <w:rPr>
                <w:szCs w:val="24"/>
              </w:rPr>
            </w:pPr>
            <w:r>
              <w:rPr>
                <w:szCs w:val="24"/>
              </w:rPr>
              <w:t>La pratique de référence considérée correspond à la pratique habituelle de fertilisation du sol en fumure minérale de synthèse en cultures maraichères (200 U de N/ha ré</w:t>
            </w:r>
            <w:r>
              <w:rPr>
                <w:szCs w:val="24"/>
              </w:rPr>
              <w:t>parties en 2 épandages annuels) et cultures légumières (100 U de N/ha réparties en 1 épandage annuel). Suite à un test nitrate, une fumure de couverture est possible (maximum de 30 U de N/ha) si besoin.</w:t>
            </w:r>
          </w:p>
          <w:p w:rsidR="0035701C" w:rsidRDefault="00FB561B">
            <w:pPr>
              <w:spacing w:before="240" w:after="240"/>
              <w:jc w:val="left"/>
              <w:rPr>
                <w:szCs w:val="24"/>
              </w:rPr>
            </w:pPr>
            <w:r>
              <w:rPr>
                <w:b/>
                <w:bCs/>
                <w:i/>
                <w:iCs/>
                <w:szCs w:val="24"/>
              </w:rPr>
              <w:t xml:space="preserve">Verdissement : </w:t>
            </w:r>
          </w:p>
          <w:p w:rsidR="0035701C" w:rsidRDefault="00FB561B">
            <w:pPr>
              <w:spacing w:before="240" w:after="240"/>
              <w:jc w:val="left"/>
              <w:rPr>
                <w:szCs w:val="24"/>
              </w:rPr>
            </w:pPr>
            <w:r>
              <w:rPr>
                <w:szCs w:val="24"/>
              </w:rPr>
              <w:t>L’opération ne rémunère pas :</w:t>
            </w:r>
          </w:p>
          <w:p w:rsidR="0035701C" w:rsidRDefault="00FB561B" w:rsidP="00FB561B">
            <w:pPr>
              <w:numPr>
                <w:ilvl w:val="0"/>
                <w:numId w:val="843"/>
              </w:numPr>
              <w:spacing w:before="240" w:after="0"/>
              <w:ind w:hanging="210"/>
              <w:jc w:val="left"/>
              <w:rPr>
                <w:szCs w:val="24"/>
              </w:rPr>
            </w:pPr>
            <w:r>
              <w:rPr>
                <w:szCs w:val="24"/>
              </w:rPr>
              <w:t>Le main</w:t>
            </w:r>
            <w:r>
              <w:rPr>
                <w:szCs w:val="24"/>
              </w:rPr>
              <w:t>tien des prairies permanentes</w:t>
            </w:r>
          </w:p>
          <w:p w:rsidR="0035701C" w:rsidRDefault="00FB561B" w:rsidP="00FB561B">
            <w:pPr>
              <w:numPr>
                <w:ilvl w:val="0"/>
                <w:numId w:val="843"/>
              </w:numPr>
              <w:spacing w:before="0" w:after="0"/>
              <w:ind w:hanging="210"/>
              <w:jc w:val="left"/>
              <w:rPr>
                <w:szCs w:val="24"/>
              </w:rPr>
            </w:pPr>
            <w:r>
              <w:rPr>
                <w:szCs w:val="24"/>
              </w:rPr>
              <w:t>Les obligations de diversité des assolements</w:t>
            </w:r>
          </w:p>
          <w:p w:rsidR="0035701C" w:rsidRDefault="00FB561B" w:rsidP="00FB561B">
            <w:pPr>
              <w:numPr>
                <w:ilvl w:val="0"/>
                <w:numId w:val="843"/>
              </w:numPr>
              <w:spacing w:before="0" w:after="240"/>
              <w:ind w:hanging="210"/>
              <w:jc w:val="left"/>
              <w:rPr>
                <w:szCs w:val="24"/>
              </w:rPr>
            </w:pPr>
            <w:r>
              <w:rPr>
                <w:szCs w:val="24"/>
              </w:rPr>
              <w:t>Les obligations liées aux surfaces d’intérêt écologique</w:t>
            </w:r>
          </w:p>
          <w:p w:rsidR="0035701C" w:rsidRDefault="00FB561B">
            <w:pPr>
              <w:spacing w:before="240" w:after="240"/>
              <w:jc w:val="left"/>
              <w:rPr>
                <w:szCs w:val="24"/>
              </w:rPr>
            </w:pPr>
            <w:r>
              <w:rPr>
                <w:szCs w:val="24"/>
              </w:rPr>
              <w:t>Il n’y a donc pas de risque de double paiement pour ce qui concerne les pratiques du verdissement.</w:t>
            </w:r>
          </w:p>
          <w:p w:rsidR="0035701C" w:rsidRDefault="00FB561B">
            <w:pPr>
              <w:spacing w:before="240" w:after="240"/>
              <w:jc w:val="left"/>
              <w:rPr>
                <w:szCs w:val="24"/>
              </w:rPr>
            </w:pPr>
            <w:r>
              <w:rPr>
                <w:b/>
                <w:bCs/>
                <w:i/>
                <w:iCs/>
                <w:szCs w:val="24"/>
              </w:rPr>
              <w:t>Source des données:</w:t>
            </w:r>
          </w:p>
          <w:p w:rsidR="0035701C" w:rsidRDefault="00FB561B" w:rsidP="00FB561B">
            <w:pPr>
              <w:numPr>
                <w:ilvl w:val="0"/>
                <w:numId w:val="844"/>
              </w:numPr>
              <w:spacing w:before="240" w:after="0"/>
              <w:ind w:hanging="210"/>
              <w:jc w:val="left"/>
              <w:rPr>
                <w:szCs w:val="24"/>
              </w:rPr>
            </w:pPr>
            <w:r>
              <w:rPr>
                <w:szCs w:val="24"/>
              </w:rPr>
              <w:t>Méthode et temps de travail : Professionnels locaux, Inter Bio Corse, CRVI Corse, Institut Français de la Vigne et du Vin</w:t>
            </w:r>
          </w:p>
          <w:p w:rsidR="0035701C" w:rsidRDefault="00FB561B" w:rsidP="00FB561B">
            <w:pPr>
              <w:numPr>
                <w:ilvl w:val="0"/>
                <w:numId w:val="844"/>
              </w:numPr>
              <w:spacing w:before="0" w:after="0"/>
              <w:ind w:hanging="210"/>
              <w:jc w:val="left"/>
              <w:rPr>
                <w:szCs w:val="24"/>
              </w:rPr>
            </w:pPr>
            <w:r>
              <w:rPr>
                <w:szCs w:val="24"/>
              </w:rPr>
              <w:t>Barème des coûts horaires des techniciens : assemblée permanente des chambres d’agriculture (APCA)</w:t>
            </w:r>
          </w:p>
          <w:p w:rsidR="0035701C" w:rsidRDefault="00FB561B" w:rsidP="00FB561B">
            <w:pPr>
              <w:numPr>
                <w:ilvl w:val="0"/>
                <w:numId w:val="844"/>
              </w:numPr>
              <w:spacing w:before="0" w:after="0"/>
              <w:ind w:hanging="210"/>
              <w:jc w:val="left"/>
              <w:rPr>
                <w:szCs w:val="24"/>
              </w:rPr>
            </w:pPr>
            <w:r>
              <w:rPr>
                <w:szCs w:val="24"/>
              </w:rPr>
              <w:t xml:space="preserve">Coût du matériel : Bureau de </w:t>
            </w:r>
            <w:r>
              <w:rPr>
                <w:szCs w:val="24"/>
              </w:rPr>
              <w:t>Coordination du Machinisme Agricole (tarifs 2012)</w:t>
            </w:r>
          </w:p>
          <w:p w:rsidR="0035701C" w:rsidRDefault="00FB561B" w:rsidP="00FB561B">
            <w:pPr>
              <w:numPr>
                <w:ilvl w:val="0"/>
                <w:numId w:val="844"/>
              </w:numPr>
              <w:spacing w:before="0" w:after="0"/>
              <w:ind w:hanging="210"/>
              <w:jc w:val="left"/>
              <w:rPr>
                <w:szCs w:val="24"/>
              </w:rPr>
            </w:pPr>
            <w:r>
              <w:rPr>
                <w:szCs w:val="24"/>
              </w:rPr>
              <w:t>Charges d’approvisionnement en herbicide : Service de statistiques et de prospectives du Ministère de l’Agriculture</w:t>
            </w:r>
          </w:p>
          <w:p w:rsidR="0035701C" w:rsidRDefault="00FB561B" w:rsidP="00FB561B">
            <w:pPr>
              <w:numPr>
                <w:ilvl w:val="0"/>
                <w:numId w:val="844"/>
              </w:numPr>
              <w:spacing w:before="0" w:after="0"/>
              <w:ind w:hanging="210"/>
              <w:jc w:val="left"/>
              <w:rPr>
                <w:szCs w:val="24"/>
              </w:rPr>
            </w:pPr>
            <w:r>
              <w:rPr>
                <w:szCs w:val="24"/>
              </w:rPr>
              <w:t>Surface moyenne engagée par exploitation : surface moyenne engagée en MAE</w:t>
            </w:r>
          </w:p>
          <w:p w:rsidR="0035701C" w:rsidRDefault="00FB561B" w:rsidP="00FB561B">
            <w:pPr>
              <w:numPr>
                <w:ilvl w:val="0"/>
                <w:numId w:val="844"/>
              </w:numPr>
              <w:spacing w:before="0" w:after="240"/>
              <w:ind w:hanging="210"/>
              <w:jc w:val="left"/>
              <w:rPr>
                <w:szCs w:val="24"/>
              </w:rPr>
            </w:pPr>
            <w:r>
              <w:rPr>
                <w:szCs w:val="24"/>
              </w:rPr>
              <w:t>Temps de travail</w:t>
            </w:r>
            <w:r>
              <w:rPr>
                <w:szCs w:val="24"/>
              </w:rPr>
              <w:t xml:space="preserve"> pour la réalisation d’un bilan : experts nationaux</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323544" cy="8280400"/>
                  <wp:effectExtent l="0" t="0" r="0" b="0"/>
                  <wp:docPr id="100278" name="Image 100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9" name=""/>
                          <pic:cNvPicPr>
                            <a:picLocks noChangeAspect="1"/>
                          </pic:cNvPicPr>
                        </pic:nvPicPr>
                        <pic:blipFill>
                          <a:blip r:embed="rId144"/>
                          <a:stretch>
                            <a:fillRect/>
                          </a:stretch>
                        </pic:blipFill>
                        <pic:spPr>
                          <a:xfrm>
                            <a:off x="0" y="0"/>
                            <a:ext cx="6323544" cy="8280400"/>
                          </a:xfrm>
                          <a:prstGeom prst="rect">
                            <a:avLst/>
                          </a:prstGeom>
                        </pic:spPr>
                      </pic:pic>
                    </a:graphicData>
                  </a:graphic>
                </wp:inline>
              </w:drawing>
            </w:r>
          </w:p>
          <w:p w:rsidR="0035701C" w:rsidRDefault="00FB561B">
            <w:pPr>
              <w:pStyle w:val="Pieddepage"/>
              <w:jc w:val="center"/>
            </w:pPr>
            <w:r>
              <w:t>Eau_13_option1(1)</w:t>
            </w:r>
          </w:p>
          <w:p w:rsidR="0035701C" w:rsidRDefault="00FB561B">
            <w:pPr>
              <w:pStyle w:val="Pieddepage"/>
            </w:pPr>
            <w:r>
              <w:rPr>
                <w:noProof/>
                <w:lang w:val="fr-FR" w:eastAsia="fr-FR"/>
              </w:rPr>
              <w:drawing>
                <wp:inline distT="0" distB="0" distL="0" distR="0">
                  <wp:extent cx="6629400" cy="3191230"/>
                  <wp:effectExtent l="0" t="0" r="0" b="0"/>
                  <wp:docPr id="100280" name="Image 100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1" name=""/>
                          <pic:cNvPicPr>
                            <a:picLocks noChangeAspect="1"/>
                          </pic:cNvPicPr>
                        </pic:nvPicPr>
                        <pic:blipFill>
                          <a:blip r:embed="rId145"/>
                          <a:stretch>
                            <a:fillRect/>
                          </a:stretch>
                        </pic:blipFill>
                        <pic:spPr>
                          <a:xfrm>
                            <a:off x="0" y="0"/>
                            <a:ext cx="6629400" cy="3191230"/>
                          </a:xfrm>
                          <a:prstGeom prst="rect">
                            <a:avLst/>
                          </a:prstGeom>
                        </pic:spPr>
                      </pic:pic>
                    </a:graphicData>
                  </a:graphic>
                </wp:inline>
              </w:drawing>
            </w:r>
          </w:p>
          <w:p w:rsidR="0035701C" w:rsidRDefault="00FB561B">
            <w:pPr>
              <w:pStyle w:val="Pieddepage"/>
              <w:jc w:val="center"/>
            </w:pPr>
            <w:r>
              <w:t>Eau_13_option1(2)</w:t>
            </w:r>
          </w:p>
          <w:p w:rsidR="0035701C" w:rsidRDefault="00FB561B">
            <w:pPr>
              <w:pStyle w:val="Pieddepage"/>
              <w:jc w:val="center"/>
            </w:pPr>
            <w:r>
              <w:rPr>
                <w:noProof/>
                <w:lang w:val="fr-FR" w:eastAsia="fr-FR"/>
              </w:rPr>
              <w:drawing>
                <wp:inline distT="0" distB="0" distL="0" distR="0">
                  <wp:extent cx="5901601" cy="8280400"/>
                  <wp:effectExtent l="0" t="0" r="0" b="0"/>
                  <wp:docPr id="100282" name="Image 100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3" name=""/>
                          <pic:cNvPicPr>
                            <a:picLocks noChangeAspect="1"/>
                          </pic:cNvPicPr>
                        </pic:nvPicPr>
                        <pic:blipFill>
                          <a:blip r:embed="rId146"/>
                          <a:stretch>
                            <a:fillRect/>
                          </a:stretch>
                        </pic:blipFill>
                        <pic:spPr>
                          <a:xfrm>
                            <a:off x="0" y="0"/>
                            <a:ext cx="5901601" cy="8280400"/>
                          </a:xfrm>
                          <a:prstGeom prst="rect">
                            <a:avLst/>
                          </a:prstGeom>
                        </pic:spPr>
                      </pic:pic>
                    </a:graphicData>
                  </a:graphic>
                </wp:inline>
              </w:drawing>
            </w:r>
          </w:p>
          <w:p w:rsidR="0035701C" w:rsidRDefault="00FB561B">
            <w:pPr>
              <w:pStyle w:val="Pieddepage"/>
              <w:jc w:val="center"/>
            </w:pPr>
            <w:r>
              <w:t>Eau_13_option2</w:t>
            </w:r>
          </w:p>
          <w:p w:rsidR="0035701C" w:rsidRDefault="0035701C">
            <w:pPr>
              <w:pStyle w:val="Pieddepage"/>
              <w:jc w:val="center"/>
            </w:pPr>
          </w:p>
        </w:tc>
      </w:tr>
    </w:tbl>
    <w:p w:rsidR="0035701C" w:rsidRDefault="00FB561B">
      <w:pPr>
        <w:pStyle w:val="Titre5"/>
        <w:rPr>
          <w:b w:val="0"/>
        </w:rPr>
      </w:pPr>
      <w:r>
        <w:rPr>
          <w:b w:val="0"/>
        </w:rPr>
        <w:br w:type="page"/>
        <w:t>10.1- Pollinisation</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845"/>
              </w:numPr>
            </w:pPr>
            <w:r>
              <w:t>10.1 – Paiements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Sous-titre complet de l’opération : Pollinisation = Amélioration du potentiel pollinisateur de l’abeille</w:t>
            </w:r>
          </w:p>
          <w:p w:rsidR="0035701C" w:rsidRDefault="00FB561B">
            <w:pPr>
              <w:spacing w:before="240" w:after="240"/>
              <w:jc w:val="left"/>
              <w:rPr>
                <w:szCs w:val="24"/>
              </w:rPr>
            </w:pPr>
            <w:r>
              <w:rPr>
                <w:szCs w:val="24"/>
              </w:rPr>
              <w:t>L’appauvrissement de l’entomofaune pollinisatrice constatée dans les zones cultivées en Corse rend plus importante l’action des abeilles domestiques su</w:t>
            </w:r>
            <w:r>
              <w:rPr>
                <w:szCs w:val="24"/>
              </w:rPr>
              <w:t>r la pollinisation de certaines espèces végétales. L’apiculture est caractérisée par une transhumance saisonnière des ruches et ce sur plusieurs emplacements suivant des floraisons successives.</w:t>
            </w:r>
          </w:p>
          <w:p w:rsidR="0035701C" w:rsidRDefault="00FB561B">
            <w:pPr>
              <w:spacing w:before="240" w:after="240"/>
              <w:jc w:val="left"/>
              <w:rPr>
                <w:szCs w:val="24"/>
              </w:rPr>
            </w:pPr>
            <w:r>
              <w:rPr>
                <w:szCs w:val="24"/>
              </w:rPr>
              <w:t>La pratique de la transhumance par un apiculteur professionnel</w:t>
            </w:r>
            <w:r>
              <w:rPr>
                <w:szCs w:val="24"/>
              </w:rPr>
              <w:t xml:space="preserve"> répond à plusieurs objectifs :</w:t>
            </w:r>
          </w:p>
          <w:p w:rsidR="0035701C" w:rsidRDefault="00FB561B" w:rsidP="00FB561B">
            <w:pPr>
              <w:numPr>
                <w:ilvl w:val="0"/>
                <w:numId w:val="846"/>
              </w:numPr>
              <w:spacing w:before="240" w:after="0"/>
              <w:ind w:hanging="210"/>
              <w:jc w:val="left"/>
              <w:rPr>
                <w:szCs w:val="24"/>
              </w:rPr>
            </w:pPr>
            <w:r>
              <w:rPr>
                <w:szCs w:val="24"/>
              </w:rPr>
              <w:t>offrir une ressource alimentaire toute l’année, alors qu’elle ne serait pas ou moins disponible si les ruches restaient sur un seul site toute l’année ;</w:t>
            </w:r>
          </w:p>
          <w:p w:rsidR="0035701C" w:rsidRDefault="00FB561B" w:rsidP="00FB561B">
            <w:pPr>
              <w:numPr>
                <w:ilvl w:val="0"/>
                <w:numId w:val="846"/>
              </w:numPr>
              <w:spacing w:before="0" w:after="0"/>
              <w:ind w:hanging="210"/>
              <w:jc w:val="left"/>
              <w:rPr>
                <w:szCs w:val="24"/>
              </w:rPr>
            </w:pPr>
            <w:r>
              <w:rPr>
                <w:szCs w:val="24"/>
              </w:rPr>
              <w:t>proposer une gamme diversifiée de miel aux consommateurs ;</w:t>
            </w:r>
          </w:p>
          <w:p w:rsidR="0035701C" w:rsidRDefault="00FB561B" w:rsidP="00FB561B">
            <w:pPr>
              <w:numPr>
                <w:ilvl w:val="0"/>
                <w:numId w:val="846"/>
              </w:numPr>
              <w:spacing w:before="0" w:after="240"/>
              <w:ind w:hanging="210"/>
              <w:jc w:val="left"/>
              <w:rPr>
                <w:szCs w:val="24"/>
              </w:rPr>
            </w:pPr>
            <w:r>
              <w:rPr>
                <w:szCs w:val="24"/>
              </w:rPr>
              <w:t xml:space="preserve">produire </w:t>
            </w:r>
            <w:r>
              <w:rPr>
                <w:szCs w:val="24"/>
              </w:rPr>
              <w:t>éventuellement un miel sous signe de qualité (Biologique, IGP, AOP, Label rouge) ;</w:t>
            </w:r>
          </w:p>
          <w:p w:rsidR="0035701C" w:rsidRDefault="00FB561B">
            <w:pPr>
              <w:spacing w:before="240" w:after="240"/>
              <w:jc w:val="left"/>
              <w:rPr>
                <w:szCs w:val="24"/>
              </w:rPr>
            </w:pPr>
            <w:r>
              <w:rPr>
                <w:szCs w:val="24"/>
              </w:rPr>
              <w:t>Pour chacun de ces lieux, l’apiculteur recherche un emplacement pour positionner les ruches afin que les colonies d’abeilles mellifères puissent exploiter la ressource prése</w:t>
            </w:r>
            <w:r>
              <w:rPr>
                <w:szCs w:val="24"/>
              </w:rPr>
              <w:t>nte dans le territoire, dans son aire de butinage.</w:t>
            </w:r>
          </w:p>
          <w:p w:rsidR="0035701C" w:rsidRDefault="00FB561B">
            <w:pPr>
              <w:spacing w:before="240" w:after="240"/>
              <w:jc w:val="left"/>
              <w:rPr>
                <w:szCs w:val="24"/>
              </w:rPr>
            </w:pPr>
            <w:r>
              <w:rPr>
                <w:szCs w:val="24"/>
              </w:rPr>
              <w:t>Cette pratique est très prégnante dans l’AOP Miels de Corse puisque celui-ci se décline en 6 gammes variétales :</w:t>
            </w:r>
          </w:p>
          <w:p w:rsidR="0035701C" w:rsidRDefault="00FB561B" w:rsidP="00FB561B">
            <w:pPr>
              <w:numPr>
                <w:ilvl w:val="0"/>
                <w:numId w:val="847"/>
              </w:numPr>
              <w:spacing w:before="240" w:after="0"/>
              <w:ind w:hanging="210"/>
              <w:jc w:val="left"/>
              <w:rPr>
                <w:szCs w:val="24"/>
              </w:rPr>
            </w:pPr>
            <w:r>
              <w:rPr>
                <w:szCs w:val="24"/>
              </w:rPr>
              <w:t>Châtaignier</w:t>
            </w:r>
          </w:p>
          <w:p w:rsidR="0035701C" w:rsidRDefault="00FB561B" w:rsidP="00FB561B">
            <w:pPr>
              <w:numPr>
                <w:ilvl w:val="0"/>
                <w:numId w:val="847"/>
              </w:numPr>
              <w:spacing w:before="0" w:after="0"/>
              <w:ind w:hanging="210"/>
              <w:jc w:val="left"/>
              <w:rPr>
                <w:szCs w:val="24"/>
              </w:rPr>
            </w:pPr>
            <w:r>
              <w:rPr>
                <w:szCs w:val="24"/>
              </w:rPr>
              <w:t>Printemps (clémentiniers, asphodèles, chardons…)</w:t>
            </w:r>
          </w:p>
          <w:p w:rsidR="0035701C" w:rsidRDefault="00FB561B" w:rsidP="00FB561B">
            <w:pPr>
              <w:numPr>
                <w:ilvl w:val="0"/>
                <w:numId w:val="847"/>
              </w:numPr>
              <w:spacing w:before="0" w:after="0"/>
              <w:ind w:hanging="210"/>
              <w:jc w:val="left"/>
              <w:rPr>
                <w:szCs w:val="24"/>
              </w:rPr>
            </w:pPr>
            <w:r>
              <w:rPr>
                <w:szCs w:val="24"/>
              </w:rPr>
              <w:t>maquis de printemps (bruyère, l</w:t>
            </w:r>
            <w:r>
              <w:rPr>
                <w:szCs w:val="24"/>
              </w:rPr>
              <w:t>avande, lotiers, aubépine, cistes, chênes…)</w:t>
            </w:r>
          </w:p>
          <w:p w:rsidR="0035701C" w:rsidRDefault="00FB561B" w:rsidP="00FB561B">
            <w:pPr>
              <w:numPr>
                <w:ilvl w:val="0"/>
                <w:numId w:val="847"/>
              </w:numPr>
              <w:spacing w:before="0" w:after="0"/>
              <w:ind w:hanging="210"/>
              <w:jc w:val="left"/>
              <w:rPr>
                <w:szCs w:val="24"/>
              </w:rPr>
            </w:pPr>
            <w:r>
              <w:rPr>
                <w:szCs w:val="24"/>
              </w:rPr>
              <w:t>miellats du maquis (cistes, lavande, myrte, eucalyptus…)</w:t>
            </w:r>
          </w:p>
          <w:p w:rsidR="0035701C" w:rsidRDefault="00FB561B" w:rsidP="00FB561B">
            <w:pPr>
              <w:numPr>
                <w:ilvl w:val="0"/>
                <w:numId w:val="847"/>
              </w:numPr>
              <w:spacing w:before="0" w:after="0"/>
              <w:ind w:hanging="210"/>
              <w:jc w:val="left"/>
              <w:rPr>
                <w:szCs w:val="24"/>
              </w:rPr>
            </w:pPr>
            <w:r>
              <w:rPr>
                <w:szCs w:val="24"/>
              </w:rPr>
              <w:t> maquis d’été (anthyllide, genêts, germandrée marum, thym corse…)</w:t>
            </w:r>
          </w:p>
          <w:p w:rsidR="0035701C" w:rsidRDefault="00FB561B" w:rsidP="00FB561B">
            <w:pPr>
              <w:numPr>
                <w:ilvl w:val="0"/>
                <w:numId w:val="847"/>
              </w:numPr>
              <w:spacing w:before="0" w:after="240"/>
              <w:ind w:hanging="210"/>
              <w:jc w:val="left"/>
              <w:rPr>
                <w:szCs w:val="24"/>
              </w:rPr>
            </w:pPr>
            <w:r>
              <w:rPr>
                <w:szCs w:val="24"/>
              </w:rPr>
              <w:t>Maquis d’automne (arbousier, lierre, ronce, inule visqueuse…)</w:t>
            </w:r>
          </w:p>
          <w:p w:rsidR="0035701C" w:rsidRDefault="00FB561B">
            <w:pPr>
              <w:spacing w:before="240" w:after="240"/>
              <w:jc w:val="left"/>
              <w:rPr>
                <w:szCs w:val="24"/>
              </w:rPr>
            </w:pPr>
            <w:r>
              <w:rPr>
                <w:b/>
                <w:bCs/>
                <w:szCs w:val="24"/>
              </w:rPr>
              <w:t>Un emplacement</w:t>
            </w:r>
            <w:r>
              <w:rPr>
                <w:szCs w:val="24"/>
              </w:rPr>
              <w:t xml:space="preserve"> est un espac</w:t>
            </w:r>
            <w:r>
              <w:rPr>
                <w:szCs w:val="24"/>
              </w:rPr>
              <w:t>e où l’apiculteur dépose ses ruches pour une période donnée. La surface d’un emplacement est de quelques centaines de m², en général aménagé par l’apiculteur pour lui faciliter le travail et accessible en véhicule motorisé. Cet emplacement ne lui appartien</w:t>
            </w:r>
            <w:r>
              <w:rPr>
                <w:szCs w:val="24"/>
              </w:rPr>
              <w:t>t généralement pas.</w:t>
            </w:r>
          </w:p>
          <w:p w:rsidR="0035701C" w:rsidRDefault="00FB561B">
            <w:pPr>
              <w:spacing w:before="240" w:after="240"/>
              <w:jc w:val="left"/>
              <w:rPr>
                <w:szCs w:val="24"/>
              </w:rPr>
            </w:pPr>
            <w:r>
              <w:rPr>
                <w:szCs w:val="24"/>
              </w:rPr>
              <w:t>L’emplacement est à distinguer de l’aire de butinage qui est l’espace dans lequel les abeilles mellifères vont évoluer depuis l’emplacement de leur ruche. Si l’emplacement a une surface de quelques centaines de m², celle d’une aire de b</w:t>
            </w:r>
            <w:r>
              <w:rPr>
                <w:szCs w:val="24"/>
              </w:rPr>
              <w:t>utinage peut atteindre plusieurs milliers d’hectares.</w:t>
            </w:r>
          </w:p>
          <w:p w:rsidR="0035701C" w:rsidRDefault="00FB561B">
            <w:pPr>
              <w:spacing w:before="240" w:after="240"/>
              <w:jc w:val="left"/>
              <w:rPr>
                <w:szCs w:val="24"/>
              </w:rPr>
            </w:pPr>
            <w:r>
              <w:rPr>
                <w:szCs w:val="24"/>
              </w:rPr>
              <w:t>Cette sous-mesure a pour objectif de modifier sensiblement les pratiques apicoles  en augmentant le nombre d’emplacements de colonies pour limiter la pression exercée sur la ressource et en améliorant l</w:t>
            </w:r>
            <w:r>
              <w:rPr>
                <w:szCs w:val="24"/>
              </w:rPr>
              <w:t>eur répartition au profit de zones dites « intéressantes pour la biodiversité », identifiées à l'échelon régional.</w:t>
            </w:r>
          </w:p>
          <w:p w:rsidR="0035701C" w:rsidRDefault="00FB561B">
            <w:pPr>
              <w:spacing w:before="240" w:after="240"/>
              <w:jc w:val="left"/>
              <w:rPr>
                <w:szCs w:val="24"/>
              </w:rPr>
            </w:pPr>
            <w:r>
              <w:rPr>
                <w:szCs w:val="24"/>
              </w:rPr>
              <w:t>Cette présente opération concourt donc à améliorer le service de pollinisation et ainsi de préserver et de renforcer la richesse de la biodiv</w:t>
            </w:r>
            <w:r>
              <w:rPr>
                <w:szCs w:val="24"/>
              </w:rPr>
              <w:t>ersité végétale ainsi que la production de ressources (nectar, pollen, graines) et d’habitats pour de nombreux autres insectes et animaux dont certains sont des auxiliaires des cultures.</w:t>
            </w:r>
          </w:p>
          <w:p w:rsidR="0035701C" w:rsidRDefault="00FB561B">
            <w:pPr>
              <w:spacing w:before="240" w:after="240"/>
              <w:jc w:val="left"/>
              <w:rPr>
                <w:szCs w:val="24"/>
              </w:rPr>
            </w:pPr>
            <w:r>
              <w:rPr>
                <w:szCs w:val="24"/>
              </w:rPr>
              <w:t>Ce type d’opération vise le domaine prioritaire:</w:t>
            </w:r>
          </w:p>
          <w:p w:rsidR="0035701C" w:rsidRDefault="00FB561B" w:rsidP="00FB561B">
            <w:pPr>
              <w:numPr>
                <w:ilvl w:val="0"/>
                <w:numId w:val="848"/>
              </w:numPr>
              <w:spacing w:before="240" w:after="240"/>
              <w:ind w:hanging="210"/>
              <w:jc w:val="left"/>
              <w:rPr>
                <w:szCs w:val="24"/>
              </w:rPr>
            </w:pPr>
            <w:r>
              <w:rPr>
                <w:szCs w:val="24"/>
              </w:rPr>
              <w:t xml:space="preserve">4A Restaurer et </w:t>
            </w:r>
            <w:r>
              <w:rPr>
                <w:szCs w:val="24"/>
              </w:rPr>
              <w:t>préserver la biodiversité : Les abeilles sont un maillon essentiel de la biodiversité : elles permettent la pollinisation – le transport de grains de pollen permettant de féconder les plantes - de très nombreuses cultures et arbres fruitiers.</w:t>
            </w:r>
          </w:p>
          <w:p w:rsidR="0035701C" w:rsidRDefault="00FB561B">
            <w:pPr>
              <w:spacing w:before="240" w:after="240"/>
              <w:jc w:val="left"/>
              <w:rPr>
                <w:szCs w:val="24"/>
              </w:rPr>
            </w:pPr>
            <w:r>
              <w:rPr>
                <w:szCs w:val="24"/>
              </w:rPr>
              <w:t>Cette opérati</w:t>
            </w:r>
            <w:r>
              <w:rPr>
                <w:szCs w:val="24"/>
              </w:rPr>
              <w:t>on est ciblée sur les besoins identifiés dans la zone de programmation :</w:t>
            </w:r>
          </w:p>
          <w:p w:rsidR="0035701C" w:rsidRDefault="00FB561B" w:rsidP="00FB561B">
            <w:pPr>
              <w:numPr>
                <w:ilvl w:val="0"/>
                <w:numId w:val="849"/>
              </w:numPr>
              <w:spacing w:before="240" w:after="240"/>
              <w:ind w:hanging="210"/>
              <w:jc w:val="left"/>
              <w:rPr>
                <w:szCs w:val="24"/>
              </w:rPr>
            </w:pPr>
            <w:r>
              <w:rPr>
                <w:szCs w:val="24"/>
              </w:rPr>
              <w:t>n°16 : Accroître la contribution de l’agriculture à la valorisation du patrimoine naturel, au maintien de la biodiversité, à la qualité des paysages agricoles : Les abeilles participe</w:t>
            </w:r>
            <w:r>
              <w:rPr>
                <w:szCs w:val="24"/>
              </w:rPr>
              <w:t>nt à la pollinisation d’un grand nombre d’espèces végétales et contribuent ainsi à la reproduction de beaucoup d’entre elles, dont de nombreuses espèces menacées.</w:t>
            </w:r>
          </w:p>
          <w:p w:rsidR="0035701C" w:rsidRDefault="00FB561B" w:rsidP="00FB561B">
            <w:pPr>
              <w:numPr>
                <w:ilvl w:val="0"/>
                <w:numId w:val="850"/>
              </w:numPr>
              <w:spacing w:before="240" w:after="240"/>
              <w:ind w:hanging="210"/>
              <w:jc w:val="left"/>
              <w:rPr>
                <w:szCs w:val="24"/>
              </w:rPr>
            </w:pPr>
            <w:r>
              <w:rPr>
                <w:szCs w:val="24"/>
              </w:rPr>
              <w:t>n°32 : Préserver le bon état de l'environnement, assurer le renouvellement des ressources nat</w:t>
            </w:r>
            <w:r>
              <w:rPr>
                <w:szCs w:val="24"/>
              </w:rPr>
              <w:t>urelles et prévenir le risque incendie : Les abeilles contribuent à la pollinisation de 80% des espèces de plantes à fleurs ou à fruits. Favoriser leur transhumance permet de renforcer leur potentiel pollinisateur.</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u w:val="single"/>
              </w:rPr>
              <w:t>Engagements du bénéficiaire :</w:t>
            </w:r>
          </w:p>
          <w:p w:rsidR="0035701C" w:rsidRDefault="00FB561B">
            <w:pPr>
              <w:spacing w:before="240" w:after="240"/>
              <w:jc w:val="left"/>
              <w:rPr>
                <w:szCs w:val="24"/>
              </w:rPr>
            </w:pPr>
            <w:r>
              <w:rPr>
                <w:szCs w:val="24"/>
              </w:rPr>
              <w:t xml:space="preserve">Le </w:t>
            </w:r>
            <w:r>
              <w:rPr>
                <w:szCs w:val="24"/>
              </w:rPr>
              <w:t>bénéficiaire doit  s'engager à respecter les prescriptions suivantes</w:t>
            </w:r>
          </w:p>
          <w:p w:rsidR="0035701C" w:rsidRDefault="00FB561B" w:rsidP="00FB561B">
            <w:pPr>
              <w:numPr>
                <w:ilvl w:val="0"/>
                <w:numId w:val="851"/>
              </w:numPr>
              <w:spacing w:before="240" w:after="0"/>
              <w:ind w:hanging="210"/>
              <w:jc w:val="left"/>
              <w:rPr>
                <w:szCs w:val="24"/>
              </w:rPr>
            </w:pPr>
            <w:r>
              <w:rPr>
                <w:szCs w:val="24"/>
              </w:rPr>
              <w:t>Enregistrement de la localisation des emplacements dans le cahier d’enregistrement des emplacements des ruches</w:t>
            </w:r>
          </w:p>
          <w:p w:rsidR="0035701C" w:rsidRDefault="00FB561B" w:rsidP="00FB561B">
            <w:pPr>
              <w:numPr>
                <w:ilvl w:val="0"/>
                <w:numId w:val="851"/>
              </w:numPr>
              <w:spacing w:before="0" w:after="0"/>
              <w:ind w:hanging="210"/>
              <w:jc w:val="left"/>
              <w:rPr>
                <w:szCs w:val="24"/>
              </w:rPr>
            </w:pPr>
            <w:r>
              <w:rPr>
                <w:szCs w:val="24"/>
              </w:rPr>
              <w:t>Demeurer en AOP « Miels de Corse – Mele di Corsica» pendant toute la durée d</w:t>
            </w:r>
            <w:r>
              <w:rPr>
                <w:szCs w:val="24"/>
              </w:rPr>
              <w:t>u contrat</w:t>
            </w:r>
          </w:p>
          <w:p w:rsidR="0035701C" w:rsidRDefault="00FB561B" w:rsidP="00FB561B">
            <w:pPr>
              <w:numPr>
                <w:ilvl w:val="0"/>
                <w:numId w:val="851"/>
              </w:numPr>
              <w:spacing w:before="0" w:after="0"/>
              <w:ind w:hanging="210"/>
              <w:jc w:val="left"/>
              <w:rPr>
                <w:szCs w:val="24"/>
              </w:rPr>
            </w:pPr>
            <w:r>
              <w:rPr>
                <w:szCs w:val="24"/>
              </w:rPr>
              <w:t>Respecter  au moins 4 emplacements distincts sur une année, pour 120 colonies engagées. Ces emplacements peuvent être des emplacements de ruchers fixes ou transhumants</w:t>
            </w:r>
          </w:p>
          <w:p w:rsidR="0035701C" w:rsidRDefault="00FB561B" w:rsidP="00FB561B">
            <w:pPr>
              <w:numPr>
                <w:ilvl w:val="0"/>
                <w:numId w:val="851"/>
              </w:numPr>
              <w:spacing w:before="0" w:after="0"/>
              <w:ind w:hanging="210"/>
              <w:jc w:val="left"/>
              <w:rPr>
                <w:szCs w:val="24"/>
              </w:rPr>
            </w:pPr>
            <w:r>
              <w:rPr>
                <w:szCs w:val="24"/>
              </w:rPr>
              <w:t>Avoir un emplacement supplémentaire par tranche de 30 colonies, soit respecter</w:t>
            </w:r>
            <w:r>
              <w:rPr>
                <w:szCs w:val="24"/>
              </w:rPr>
              <w:t xml:space="preserve"> la répartition suivante : </w:t>
            </w:r>
          </w:p>
          <w:p w:rsidR="0035701C" w:rsidRDefault="00FB561B" w:rsidP="00FB561B">
            <w:pPr>
              <w:numPr>
                <w:ilvl w:val="1"/>
                <w:numId w:val="851"/>
              </w:numPr>
              <w:spacing w:before="0" w:after="0"/>
              <w:ind w:hanging="244"/>
              <w:jc w:val="left"/>
              <w:rPr>
                <w:szCs w:val="24"/>
              </w:rPr>
            </w:pPr>
            <w:r>
              <w:rPr>
                <w:szCs w:val="24"/>
              </w:rPr>
              <w:t>avoir 4 emplacements pour 120 colonies engagées</w:t>
            </w:r>
          </w:p>
          <w:p w:rsidR="0035701C" w:rsidRDefault="00FB561B" w:rsidP="00FB561B">
            <w:pPr>
              <w:numPr>
                <w:ilvl w:val="1"/>
                <w:numId w:val="851"/>
              </w:numPr>
              <w:spacing w:before="0" w:after="0"/>
              <w:ind w:hanging="244"/>
              <w:jc w:val="left"/>
              <w:rPr>
                <w:szCs w:val="24"/>
              </w:rPr>
            </w:pPr>
            <w:r>
              <w:rPr>
                <w:szCs w:val="24"/>
              </w:rPr>
              <w:t>avoir 5 emplacements entre 121 et 150 colonies engagées</w:t>
            </w:r>
          </w:p>
          <w:p w:rsidR="0035701C" w:rsidRDefault="00FB561B" w:rsidP="00FB561B">
            <w:pPr>
              <w:numPr>
                <w:ilvl w:val="1"/>
                <w:numId w:val="851"/>
              </w:numPr>
              <w:spacing w:before="0" w:after="0"/>
              <w:ind w:hanging="244"/>
              <w:jc w:val="left"/>
              <w:rPr>
                <w:szCs w:val="24"/>
              </w:rPr>
            </w:pPr>
            <w:r>
              <w:rPr>
                <w:szCs w:val="24"/>
              </w:rPr>
              <w:t>etc...</w:t>
            </w:r>
          </w:p>
          <w:p w:rsidR="0035701C" w:rsidRDefault="00FB561B" w:rsidP="00FB561B">
            <w:pPr>
              <w:numPr>
                <w:ilvl w:val="0"/>
                <w:numId w:val="851"/>
              </w:numPr>
              <w:spacing w:before="0" w:after="0"/>
              <w:ind w:hanging="210"/>
              <w:jc w:val="left"/>
              <w:rPr>
                <w:szCs w:val="24"/>
              </w:rPr>
            </w:pPr>
            <w:r>
              <w:rPr>
                <w:szCs w:val="24"/>
              </w:rPr>
              <w:t xml:space="preserve">Respecter une distance minimum de 2,5 km entre deux emplacements. Dans le cas d’obstacles naturels (lignes de crête </w:t>
            </w:r>
            <w:r>
              <w:rPr>
                <w:szCs w:val="24"/>
              </w:rPr>
              <w:t>et cols en zone de montagne, bosquets), la distance minimale est portée à 500 mètres.</w:t>
            </w:r>
          </w:p>
          <w:p w:rsidR="0035701C" w:rsidRDefault="00FB561B" w:rsidP="00FB561B">
            <w:pPr>
              <w:numPr>
                <w:ilvl w:val="0"/>
                <w:numId w:val="851"/>
              </w:numPr>
              <w:spacing w:before="0" w:after="0"/>
              <w:ind w:hanging="210"/>
              <w:jc w:val="left"/>
              <w:rPr>
                <w:szCs w:val="24"/>
              </w:rPr>
            </w:pPr>
            <w:r>
              <w:rPr>
                <w:szCs w:val="24"/>
              </w:rPr>
              <w:t>Respecter la présence d’un rucher d’au moins 30 colonies par emplacement, pendant un laps de temps minimum de 3 semaines.</w:t>
            </w:r>
          </w:p>
          <w:p w:rsidR="0035701C" w:rsidRDefault="00FB561B" w:rsidP="00FB561B">
            <w:pPr>
              <w:numPr>
                <w:ilvl w:val="0"/>
                <w:numId w:val="851"/>
              </w:numPr>
              <w:spacing w:before="0" w:after="0"/>
              <w:ind w:hanging="210"/>
              <w:jc w:val="left"/>
              <w:rPr>
                <w:szCs w:val="24"/>
              </w:rPr>
            </w:pPr>
            <w:r>
              <w:rPr>
                <w:szCs w:val="24"/>
              </w:rPr>
              <w:t xml:space="preserve">Situer 1 emplacement sur 4 engagé dans une zone </w:t>
            </w:r>
            <w:r>
              <w:rPr>
                <w:szCs w:val="24"/>
              </w:rPr>
              <w:t xml:space="preserve">intéressante au titre de la biodiversité. Ces zones sont : </w:t>
            </w:r>
          </w:p>
          <w:p w:rsidR="0035701C" w:rsidRDefault="00FB561B" w:rsidP="00FB561B">
            <w:pPr>
              <w:numPr>
                <w:ilvl w:val="1"/>
                <w:numId w:val="851"/>
              </w:numPr>
              <w:spacing w:before="0" w:after="0"/>
              <w:ind w:hanging="244"/>
              <w:jc w:val="left"/>
              <w:rPr>
                <w:szCs w:val="24"/>
              </w:rPr>
            </w:pPr>
            <w:r>
              <w:rPr>
                <w:szCs w:val="24"/>
              </w:rPr>
              <w:t>Les sites NATURA 2000</w:t>
            </w:r>
          </w:p>
          <w:p w:rsidR="0035701C" w:rsidRDefault="00FB561B" w:rsidP="00FB561B">
            <w:pPr>
              <w:numPr>
                <w:ilvl w:val="1"/>
                <w:numId w:val="851"/>
              </w:numPr>
              <w:spacing w:before="0" w:after="0"/>
              <w:ind w:hanging="244"/>
              <w:jc w:val="left"/>
              <w:rPr>
                <w:szCs w:val="24"/>
              </w:rPr>
            </w:pPr>
            <w:r>
              <w:rPr>
                <w:szCs w:val="24"/>
              </w:rPr>
              <w:t>Les habitats et peuplements communautaires prioritaires (directive 92/43 CE)</w:t>
            </w:r>
          </w:p>
          <w:p w:rsidR="0035701C" w:rsidRDefault="00FB561B" w:rsidP="00FB561B">
            <w:pPr>
              <w:numPr>
                <w:ilvl w:val="1"/>
                <w:numId w:val="851"/>
              </w:numPr>
              <w:spacing w:before="0" w:after="0"/>
              <w:ind w:hanging="244"/>
              <w:jc w:val="left"/>
              <w:rPr>
                <w:szCs w:val="24"/>
              </w:rPr>
            </w:pPr>
            <w:r>
              <w:rPr>
                <w:szCs w:val="24"/>
              </w:rPr>
              <w:t>L’ensemble des milieux aquatiques et humides identifiés au titre du SDAGE de Corse.</w:t>
            </w:r>
          </w:p>
          <w:p w:rsidR="0035701C" w:rsidRDefault="00FB561B" w:rsidP="00FB561B">
            <w:pPr>
              <w:numPr>
                <w:ilvl w:val="1"/>
                <w:numId w:val="851"/>
              </w:numPr>
              <w:spacing w:before="0" w:after="0"/>
              <w:ind w:hanging="244"/>
              <w:jc w:val="left"/>
              <w:rPr>
                <w:szCs w:val="24"/>
              </w:rPr>
            </w:pPr>
            <w:r>
              <w:rPr>
                <w:szCs w:val="24"/>
              </w:rPr>
              <w:t xml:space="preserve">Les Réserves </w:t>
            </w:r>
            <w:r>
              <w:rPr>
                <w:szCs w:val="24"/>
              </w:rPr>
              <w:t>Naturelles de Corse</w:t>
            </w:r>
          </w:p>
          <w:p w:rsidR="0035701C" w:rsidRDefault="00FB561B" w:rsidP="00FB561B">
            <w:pPr>
              <w:numPr>
                <w:ilvl w:val="1"/>
                <w:numId w:val="851"/>
              </w:numPr>
              <w:spacing w:before="0" w:after="0"/>
              <w:ind w:hanging="244"/>
              <w:jc w:val="left"/>
              <w:rPr>
                <w:szCs w:val="24"/>
              </w:rPr>
            </w:pPr>
            <w:r>
              <w:rPr>
                <w:szCs w:val="24"/>
              </w:rPr>
              <w:t>Les sites classés au titre de la loi de 1930 faisant l’objet d’une Opération Grand Site</w:t>
            </w:r>
          </w:p>
          <w:p w:rsidR="0035701C" w:rsidRDefault="00FB561B" w:rsidP="00FB561B">
            <w:pPr>
              <w:numPr>
                <w:ilvl w:val="1"/>
                <w:numId w:val="851"/>
              </w:numPr>
              <w:spacing w:before="0" w:after="0"/>
              <w:ind w:hanging="244"/>
              <w:jc w:val="left"/>
              <w:rPr>
                <w:szCs w:val="24"/>
              </w:rPr>
            </w:pPr>
            <w:r>
              <w:rPr>
                <w:szCs w:val="24"/>
              </w:rPr>
              <w:t>Les réservoirs de biodiversité (notamment les zones de haute montagne &gt; 1000m) et les corridors écologiques de la Trame Verte et Bleue</w:t>
            </w:r>
          </w:p>
          <w:p w:rsidR="0035701C" w:rsidRDefault="00FB561B" w:rsidP="00FB561B">
            <w:pPr>
              <w:numPr>
                <w:ilvl w:val="1"/>
                <w:numId w:val="851"/>
              </w:numPr>
              <w:spacing w:before="0" w:after="0"/>
              <w:ind w:hanging="244"/>
              <w:jc w:val="left"/>
              <w:rPr>
                <w:szCs w:val="24"/>
              </w:rPr>
            </w:pPr>
            <w:r>
              <w:rPr>
                <w:szCs w:val="24"/>
              </w:rPr>
              <w:t>Les Espaces N</w:t>
            </w:r>
            <w:r>
              <w:rPr>
                <w:szCs w:val="24"/>
              </w:rPr>
              <w:t>aturels Sensibles</w:t>
            </w:r>
          </w:p>
          <w:p w:rsidR="0035701C" w:rsidRDefault="00FB561B" w:rsidP="00FB561B">
            <w:pPr>
              <w:numPr>
                <w:ilvl w:val="1"/>
                <w:numId w:val="851"/>
              </w:numPr>
              <w:spacing w:before="0" w:after="0"/>
              <w:ind w:hanging="244"/>
              <w:jc w:val="left"/>
              <w:rPr>
                <w:szCs w:val="24"/>
              </w:rPr>
            </w:pPr>
            <w:r>
              <w:rPr>
                <w:szCs w:val="24"/>
              </w:rPr>
              <w:t>Les Sites du Conservatoire du Littoral et du Conservatoire des Espaces Naturels de Corse</w:t>
            </w:r>
          </w:p>
          <w:p w:rsidR="0035701C" w:rsidRDefault="00FB561B" w:rsidP="00FB561B">
            <w:pPr>
              <w:numPr>
                <w:ilvl w:val="1"/>
                <w:numId w:val="851"/>
              </w:numPr>
              <w:spacing w:before="0" w:after="0"/>
              <w:ind w:hanging="244"/>
              <w:jc w:val="left"/>
              <w:rPr>
                <w:szCs w:val="24"/>
              </w:rPr>
            </w:pPr>
            <w:r>
              <w:rPr>
                <w:szCs w:val="24"/>
              </w:rPr>
              <w:t>Les zones pastorales stratégiques identifiées dans l’inventaire agro-sylvo-pastoral SODETEG)</w:t>
            </w:r>
          </w:p>
          <w:p w:rsidR="0035701C" w:rsidRDefault="00FB561B" w:rsidP="00FB561B">
            <w:pPr>
              <w:numPr>
                <w:ilvl w:val="1"/>
                <w:numId w:val="851"/>
              </w:numPr>
              <w:spacing w:before="0" w:after="0"/>
              <w:ind w:hanging="244"/>
              <w:jc w:val="left"/>
              <w:rPr>
                <w:szCs w:val="24"/>
              </w:rPr>
            </w:pPr>
            <w:r>
              <w:rPr>
                <w:szCs w:val="24"/>
              </w:rPr>
              <w:t>Les espaces boisés classés ou soumis au régime forestier</w:t>
            </w:r>
            <w:r>
              <w:rPr>
                <w:szCs w:val="24"/>
              </w:rPr>
              <w:t>.</w:t>
            </w:r>
          </w:p>
          <w:p w:rsidR="0035701C" w:rsidRDefault="00FB561B" w:rsidP="00FB561B">
            <w:pPr>
              <w:numPr>
                <w:ilvl w:val="0"/>
                <w:numId w:val="851"/>
              </w:numPr>
              <w:spacing w:before="0" w:after="240"/>
              <w:ind w:hanging="210"/>
              <w:jc w:val="left"/>
              <w:rPr>
                <w:szCs w:val="24"/>
              </w:rPr>
            </w:pPr>
            <w:r>
              <w:rPr>
                <w:szCs w:val="24"/>
              </w:rPr>
              <w:t>Ce point vérifié à l’occasion de la déclaration de surface par contrôle administratif, sur les données RPG, peut également être vérifié lors du CSP sur la base du RPG (distance) et du cahier de l’exploitant pour la rotation.</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Type de soutien</w:t>
      </w:r>
    </w:p>
    <w:p w:rsidR="0035701C" w:rsidRDefault="00FB561B">
      <w:r>
        <w:t xml:space="preserve">Type de </w:t>
      </w:r>
      <w:r>
        <w:t>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Paiement unitaire forfaitaire à la colonie.</w:t>
            </w:r>
          </w:p>
          <w:p w:rsidR="0035701C" w:rsidRDefault="00FB561B">
            <w:pPr>
              <w:spacing w:before="240" w:after="240"/>
              <w:jc w:val="left"/>
              <w:rPr>
                <w:szCs w:val="24"/>
              </w:rPr>
            </w:pPr>
            <w:r>
              <w:rPr>
                <w:szCs w:val="24"/>
              </w:rPr>
              <w:t>Jusqu'n 2020, l’aide est pluriannuelle et est accordée pour une durée de 5 ans.</w:t>
            </w:r>
          </w:p>
          <w:p w:rsidR="0035701C" w:rsidRDefault="00FB561B">
            <w:pPr>
              <w:spacing w:before="240" w:after="240"/>
              <w:jc w:val="left"/>
              <w:rPr>
                <w:szCs w:val="24"/>
              </w:rPr>
            </w:pPr>
            <w:r>
              <w:rPr>
                <w:szCs w:val="24"/>
              </w:rPr>
              <w:t xml:space="preserve">A partir de 2021, la durée de souscription de l'engagement est d'un an, en conformité avec les options prévues </w:t>
            </w:r>
            <w:r>
              <w:rPr>
                <w:szCs w:val="24"/>
              </w:rPr>
              <w:t>à l'article 7 du règlement (UE) 2020/2220.</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les exigences établies en vertu de l’article 93 du règlement UE n° 1306/2013 et de l’article 4.1c points ii)</w:t>
            </w:r>
            <w:r>
              <w:rPr>
                <w:szCs w:val="24"/>
              </w:rPr>
              <w:t xml:space="preserve"> et iii) du règlement UE n°1307/2013.</w:t>
            </w:r>
          </w:p>
          <w:p w:rsidR="0035701C" w:rsidRDefault="00FB561B">
            <w:pPr>
              <w:spacing w:before="240" w:after="240"/>
              <w:jc w:val="left"/>
              <w:rPr>
                <w:szCs w:val="24"/>
              </w:rPr>
            </w:pPr>
            <w:r>
              <w:rPr>
                <w:szCs w:val="24"/>
              </w:rPr>
              <w:t>Afin d’exclure tout double paiement, les pratiques visées à l’article 43 du règlement UE n° 1307/2013 sont prises en compte dans le calcul des surcoûts et manques à gagner.</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Type bénéficiaire : toute </w:t>
            </w:r>
            <w:r>
              <w:rPr>
                <w:szCs w:val="24"/>
              </w:rPr>
              <w:t>personne physique ou morale exerçant une activité agricole. </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montants unitaires sont basés sur le surcoût engendré par le respect des engagements par rapport à la ligne de base définie pour ce type d’opération.</w:t>
            </w:r>
          </w:p>
          <w:p w:rsidR="0035701C" w:rsidRDefault="0035701C">
            <w:pPr>
              <w:pStyle w:val="Corpsdetexte"/>
            </w:pPr>
          </w:p>
        </w:tc>
      </w:tr>
    </w:tbl>
    <w:p w:rsidR="0035701C" w:rsidRDefault="00FB561B">
      <w:pPr>
        <w:pStyle w:val="Titre6"/>
      </w:pPr>
      <w:r>
        <w:t>Conditions d'admiss</w:t>
      </w:r>
      <w:r>
        <w:t>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bénéficiaire doit :</w:t>
            </w:r>
          </w:p>
          <w:p w:rsidR="0035701C" w:rsidRDefault="00FB561B" w:rsidP="00FB561B">
            <w:pPr>
              <w:numPr>
                <w:ilvl w:val="0"/>
                <w:numId w:val="852"/>
              </w:numPr>
              <w:spacing w:before="240" w:after="0"/>
              <w:ind w:hanging="210"/>
              <w:jc w:val="left"/>
              <w:rPr>
                <w:szCs w:val="24"/>
              </w:rPr>
            </w:pPr>
            <w:r>
              <w:rPr>
                <w:szCs w:val="24"/>
              </w:rPr>
              <w:t>Disposer d’au moins  120 colonies.</w:t>
            </w:r>
          </w:p>
          <w:p w:rsidR="0035701C" w:rsidRDefault="00FB561B" w:rsidP="00FB561B">
            <w:pPr>
              <w:numPr>
                <w:ilvl w:val="0"/>
                <w:numId w:val="852"/>
              </w:numPr>
              <w:spacing w:before="0" w:after="240"/>
              <w:ind w:hanging="210"/>
              <w:jc w:val="left"/>
              <w:rPr>
                <w:szCs w:val="24"/>
              </w:rPr>
            </w:pPr>
            <w:r>
              <w:rPr>
                <w:szCs w:val="24"/>
              </w:rPr>
              <w:t>Etre en AOP « Miels de Corse – Mele di Corsica»</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Montant forfaitaire de </w:t>
            </w:r>
            <w:r>
              <w:rPr>
                <w:szCs w:val="24"/>
              </w:rPr>
              <w:t>18€/colonie/an.</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 xml:space="preserve">Dialogue AG/OP sur l’évolution du contenu de la mesure </w:t>
            </w:r>
          </w:p>
          <w:p w:rsidR="0035701C" w:rsidRDefault="00FB561B">
            <w:pPr>
              <w:spacing w:before="240" w:after="240"/>
              <w:jc w:val="left"/>
              <w:rPr>
                <w:szCs w:val="24"/>
              </w:rPr>
            </w:pPr>
            <w:r>
              <w:rPr>
                <w:szCs w:val="24"/>
              </w:rPr>
              <w:t xml:space="preserve">- L'OP a demandé que soient bien décrits les conditions </w:t>
            </w:r>
            <w:r>
              <w:rPr>
                <w:szCs w:val="24"/>
              </w:rPr>
              <w:t>d'éligibilité des bénéficiaires de cette opération, et la détermination des montants et taux d'aide, ainsi que les méthodes de contrôle d'admissibilité. Les éléments de Droit, les précisions apportées au présent texte, ainsi que le détail des éléments de r</w:t>
            </w:r>
            <w:r>
              <w:rPr>
                <w:szCs w:val="24"/>
              </w:rPr>
              <w:t>éponse à fournir sur les demandes de paiement sont satisfaisants.</w:t>
            </w:r>
          </w:p>
          <w:p w:rsidR="0035701C" w:rsidRDefault="00FB561B">
            <w:pPr>
              <w:spacing w:before="240" w:after="240"/>
              <w:jc w:val="left"/>
              <w:rPr>
                <w:szCs w:val="24"/>
              </w:rPr>
            </w:pPr>
            <w:r>
              <w:rPr>
                <w:szCs w:val="24"/>
              </w:rPr>
              <w:t>L'OP souhaite cependant rappeler que les aides directes (1er pilier) sont payées par un autre OP qui est également en charge du développement des outils SIGC pour l'Etat Membre. Les disposit</w:t>
            </w:r>
            <w:r>
              <w:rPr>
                <w:szCs w:val="24"/>
              </w:rPr>
              <w:t>ions prévues par l'AG en Corse ne suscitent pas de difficultés particulières pour s'intégrer dans les outils nationaux.</w:t>
            </w:r>
          </w:p>
          <w:p w:rsidR="0035701C" w:rsidRDefault="00FB561B">
            <w:pPr>
              <w:spacing w:before="240" w:after="240"/>
              <w:jc w:val="left"/>
              <w:rPr>
                <w:szCs w:val="24"/>
              </w:rPr>
            </w:pPr>
            <w:r>
              <w:rPr>
                <w:szCs w:val="24"/>
                <w:u w:val="single"/>
              </w:rPr>
              <w:t>Risques identifiés selon la méthodologie présentée par l’OP (cf. chapitre 18)</w:t>
            </w:r>
          </w:p>
          <w:p w:rsidR="0035701C" w:rsidRDefault="00FB561B">
            <w:pPr>
              <w:spacing w:before="240" w:after="240"/>
              <w:jc w:val="left"/>
              <w:rPr>
                <w:szCs w:val="24"/>
              </w:rPr>
            </w:pPr>
            <w:r>
              <w:rPr>
                <w:szCs w:val="24"/>
              </w:rPr>
              <w:t>n°1 - R1 : Pour les formes juridiques sociétaires ou assoc</w:t>
            </w:r>
            <w:r>
              <w:rPr>
                <w:szCs w:val="24"/>
              </w:rPr>
              <w:t>iatives, les collectivités, conformité des statuts et actes, mise à jour effective et conforme au long de la période d’engagement. (source : Législation nationale : décalage entre Droit Social, Droit des Sociétés, Droit Rural)</w:t>
            </w:r>
          </w:p>
          <w:p w:rsidR="0035701C" w:rsidRDefault="00FB561B">
            <w:pPr>
              <w:spacing w:before="240" w:after="240"/>
              <w:jc w:val="left"/>
              <w:rPr>
                <w:szCs w:val="24"/>
              </w:rPr>
            </w:pPr>
            <w:r>
              <w:rPr>
                <w:szCs w:val="24"/>
              </w:rPr>
              <w:t>n°2 - R3 : Contrat pluriannue</w:t>
            </w:r>
            <w:r>
              <w:rPr>
                <w:szCs w:val="24"/>
              </w:rPr>
              <w:t>l susceptible d'être rompu ou modifié (source : AUDIT J4 2012)</w:t>
            </w:r>
          </w:p>
          <w:p w:rsidR="0035701C" w:rsidRDefault="00FB561B">
            <w:pPr>
              <w:spacing w:before="240" w:after="240"/>
              <w:jc w:val="left"/>
              <w:rPr>
                <w:szCs w:val="24"/>
              </w:rPr>
            </w:pPr>
            <w:r>
              <w:rPr>
                <w:szCs w:val="24"/>
              </w:rPr>
              <w:t xml:space="preserve">n°3 - R8 : Paramétrage adéquat des outils ETAT MEMBRE -Effectivité de la mise à disposition des outils en conformité avec les exigences du PDRC. Dans le cadre des mesures « Surfaces » et "Hors </w:t>
            </w:r>
            <w:r>
              <w:rPr>
                <w:szCs w:val="24"/>
              </w:rPr>
              <w:t>Surfaces" vigilance accrue sur la disponibilité et l’adéquation des outils de gestion nationaux au regard des exigences du présent PDRC. (source : DG AGRI 2011, DG AGRI 2013, CCCOP Exercices 2008-2013, SAI 2013-2014, Audit d'agrément DG AGRI J5 (juin 2014)</w:t>
            </w:r>
            <w:r>
              <w:rPr>
                <w:szCs w:val="24"/>
              </w:rPr>
              <w:t>)</w:t>
            </w:r>
          </w:p>
          <w:p w:rsidR="0035701C" w:rsidRDefault="00FB561B">
            <w:pPr>
              <w:spacing w:before="240" w:after="240"/>
              <w:jc w:val="left"/>
              <w:rPr>
                <w:szCs w:val="24"/>
              </w:rPr>
            </w:pPr>
            <w:r>
              <w:rPr>
                <w:szCs w:val="24"/>
              </w:rPr>
              <w:t>n°4 - R8 : Accessibilité pour l’OP comme pour l’AG aux informations relevant du 1er Pilier de la PAC nécessaires à la bonne gestion et au contrôle du PDRC. (source : CCCOP Exercices 2008-2013, SAI 2013-2014)</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VERIFIER Po</w:t>
            </w:r>
            <w:r>
              <w:rPr>
                <w:szCs w:val="24"/>
              </w:rPr>
              <w:t>ur les formes juridiques sociétaires ou associatives, conformité des statuts et actes, mise à jour effective et conforme..</w:t>
            </w:r>
          </w:p>
          <w:p w:rsidR="0035701C" w:rsidRDefault="00FB561B">
            <w:pPr>
              <w:spacing w:before="240" w:after="240"/>
              <w:jc w:val="left"/>
              <w:rPr>
                <w:szCs w:val="24"/>
              </w:rPr>
            </w:pPr>
            <w:r>
              <w:rPr>
                <w:szCs w:val="24"/>
              </w:rPr>
              <w:t>n°2 - R3 : CONTROLER administrativement par le biais des demandes de paiement et déclarations annuelles, le suivi du respect  des eng</w:t>
            </w:r>
            <w:r>
              <w:rPr>
                <w:szCs w:val="24"/>
              </w:rPr>
              <w:t>agements pluri annuels, tout au long du contrat.</w:t>
            </w:r>
          </w:p>
          <w:p w:rsidR="0035701C" w:rsidRDefault="00FB561B">
            <w:pPr>
              <w:spacing w:before="240" w:after="240"/>
              <w:jc w:val="left"/>
              <w:rPr>
                <w:szCs w:val="24"/>
              </w:rPr>
            </w:pPr>
            <w:r>
              <w:rPr>
                <w:szCs w:val="24"/>
              </w:rPr>
              <w:t>n°3 - R8 : ETABLIR par EM procédure de paramétrage des outils SIGC,</w:t>
            </w:r>
          </w:p>
          <w:p w:rsidR="0035701C" w:rsidRDefault="00FB561B">
            <w:pPr>
              <w:spacing w:before="240" w:after="240"/>
              <w:jc w:val="left"/>
              <w:rPr>
                <w:szCs w:val="24"/>
              </w:rPr>
            </w:pPr>
            <w:r>
              <w:rPr>
                <w:szCs w:val="24"/>
              </w:rPr>
              <w:t>                 RESPECT par OP de cette procédure,</w:t>
            </w:r>
          </w:p>
          <w:p w:rsidR="0035701C" w:rsidRDefault="00FB561B">
            <w:pPr>
              <w:spacing w:before="240" w:after="240"/>
              <w:jc w:val="left"/>
              <w:rPr>
                <w:szCs w:val="24"/>
              </w:rPr>
            </w:pPr>
            <w:r>
              <w:rPr>
                <w:szCs w:val="24"/>
              </w:rPr>
              <w:t>                MISE EN PRODUCTION CONFORME dans des délais cohérents avec les mises en</w:t>
            </w:r>
            <w:r>
              <w:rPr>
                <w:szCs w:val="24"/>
              </w:rPr>
              <w:t xml:space="preserve"> paiement.</w:t>
            </w:r>
          </w:p>
          <w:p w:rsidR="0035701C" w:rsidRDefault="00FB561B">
            <w:pPr>
              <w:spacing w:before="240" w:after="240"/>
              <w:jc w:val="left"/>
              <w:rPr>
                <w:szCs w:val="24"/>
              </w:rPr>
            </w:pPr>
            <w:r>
              <w:rPr>
                <w:szCs w:val="24"/>
              </w:rPr>
              <w:t>n°4 - R8 : Prise en compte des demandes d'habilitations aux outils déclarés par l'EM formulées par l'OP-ODARC.</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 Au vu des cotations matricielles, sur le poids financier de la mesure (&lt;5%), sur les priorités, </w:t>
            </w:r>
            <w:r>
              <w:rPr>
                <w:szCs w:val="24"/>
              </w:rPr>
              <w:t>les risques, les mesures d’atténuation prévues, cette mesure reçoit une évaluation  favorable peu risquée ; Les mécanismes de mise en œuvre sont connus et maîtrisés par tous les acteurs,  les programmations précédentes qui ont suscité des problèmes particu</w:t>
            </w:r>
            <w:r>
              <w:rPr>
                <w:szCs w:val="24"/>
              </w:rPr>
              <w:t>liers sur les outils nationaux SIGC sont pris en charge par l'EM et l'OP. Les recommandations et rappels à la règlementation faits par la Commission lors de l’audit de juin 2012 ont été pris en charge. Un soin particulier sera cependant apporté sur la cont</w:t>
            </w:r>
            <w:r>
              <w:rPr>
                <w:szCs w:val="24"/>
              </w:rPr>
              <w:t>inuité des engagements pluriannuels.</w:t>
            </w:r>
          </w:p>
          <w:p w:rsidR="0035701C" w:rsidRDefault="00FB561B">
            <w:pPr>
              <w:spacing w:before="240" w:after="240"/>
              <w:jc w:val="left"/>
              <w:rPr>
                <w:szCs w:val="24"/>
              </w:rPr>
            </w:pPr>
            <w:r>
              <w:rPr>
                <w:szCs w:val="24"/>
              </w:rPr>
              <w:t>- La phase d'instruction des demandes d'aides du PDRC SIGC étant dorénavant gérée directement par l'OP-ODARC, les risques relatifs à la bonne transmission des informations entre les partenaires sont fortement diminués.</w:t>
            </w:r>
          </w:p>
          <w:p w:rsidR="0035701C" w:rsidRDefault="00FB561B">
            <w:pPr>
              <w:spacing w:before="240" w:after="240"/>
              <w:jc w:val="left"/>
              <w:rPr>
                <w:szCs w:val="24"/>
              </w:rPr>
            </w:pPr>
            <w:r>
              <w:rPr>
                <w:szCs w:val="24"/>
              </w:rPr>
              <w:t>- Concernant l'évaluation globale de la mesure : la mesure est contrôlable sous réserve de la mise en place d'actions d'atténuation et des précisions apportées dans les documents de mise en œuvre notamment sur la nécessité de bien contrôler l'éligibilité d</w:t>
            </w:r>
            <w:r>
              <w:rPr>
                <w:szCs w:val="24"/>
              </w:rPr>
              <w:t xml:space="preserve">u demandeur, et la stricte adéquation des outils de gestion de l'EM aux exigences de la mesure du PDRC. Une surveillance particulière sera assurée par l'OP sur la qualité des paramétrages, des saisies des demandes d'aide et de leur contrôle administratif. </w:t>
            </w:r>
            <w:r>
              <w:rPr>
                <w:szCs w:val="24"/>
              </w:rPr>
              <w:t>Ces derniers éléments font l'objet d'un conventionnement EM/OP.</w:t>
            </w:r>
          </w:p>
          <w:p w:rsidR="0035701C" w:rsidRDefault="0035701C">
            <w:pPr>
              <w:pStyle w:val="Corpsdetexte"/>
            </w:pPr>
          </w:p>
        </w:tc>
      </w:tr>
    </w:tbl>
    <w:p w:rsidR="0035701C" w:rsidRDefault="00FB561B">
      <w:pPr>
        <w:pStyle w:val="Titre6"/>
      </w:pPr>
      <w:r>
        <w:t>Informations spécifiques sur l'opération</w:t>
      </w:r>
    </w:p>
    <w:p w:rsidR="0035701C" w:rsidRDefault="00FB561B">
      <w:r>
        <w:t>Détermination et définition des éléments du niveau de référence applicable, qui doivent inclure les normes obligatoires établies en application du ti</w:t>
      </w:r>
      <w:r>
        <w:t>tre VI, chapitre I, du règlement (UE) n° 1306/2013 du Parlement européen et du Conseil, les critères pertinents et les activités minimales établies en application de l'article 4, paragraphe 1, point c) ii) et c) iii), du règlement (UE) n° 1307/2013 du Parl</w:t>
      </w:r>
      <w:r>
        <w:t>ement européen et du Conseil, les exigences minimales applicables à l'utilisation des engrais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i/>
                <w:iCs/>
                <w:szCs w:val="24"/>
              </w:rPr>
              <w:t>Ligne de base :</w:t>
            </w:r>
          </w:p>
          <w:p w:rsidR="0035701C" w:rsidRDefault="00FB561B">
            <w:pPr>
              <w:spacing w:before="240" w:after="240"/>
              <w:jc w:val="left"/>
              <w:rPr>
                <w:szCs w:val="24"/>
              </w:rPr>
            </w:pPr>
            <w:r>
              <w:rPr>
                <w:szCs w:val="24"/>
              </w:rPr>
              <w:t>Il n’y a pas de BCAE spécifi</w:t>
            </w:r>
            <w:r>
              <w:rPr>
                <w:szCs w:val="24"/>
              </w:rPr>
              <w:t>ques concernant cet engagement. La ligne de base de la mesure correspond à l’utilisation de 2 emplacements par tranche de 120 colonies, situés en zone favorable à la production de miel.</w:t>
            </w:r>
          </w:p>
          <w:p w:rsidR="0035701C" w:rsidRDefault="0035701C">
            <w:pPr>
              <w:pStyle w:val="Corpsdetexte"/>
            </w:pPr>
          </w:p>
        </w:tc>
      </w:tr>
    </w:tbl>
    <w:p w:rsidR="0035701C" w:rsidRDefault="00FB561B">
      <w:r>
        <w:t xml:space="preserve">Les exigences minimales relatives à l'utilisation d'engrais doivent </w:t>
      </w:r>
      <w:r>
        <w:t>comprendre, entre autres, le respect des codes de bonnes pratiques introduits au titre de la directive 91/676/CEE pour les exploitations situées en dehors des zones vulnérables aux nitrates, et des exigences concernant la pollution au phosphore; les exigen</w:t>
      </w:r>
      <w:r>
        <w:t>ces minimales relatives à l'utilisation de produits phytosanitaires doivent comprendre, entre autres, les principes généraux de la lutte intégrée contre les ennemis des cultures introduits par la directive 2009/128/CE du Parlement européen et du Conseil, l</w:t>
      </w:r>
      <w:r>
        <w:t>’obligation de détenir une autorisation d’utiliser les produits, de satisfaire aux conditions de formation, d’assurer un stockage sûr et de contrôler les équipements destinés à l’épandage ainsi que les règles relatives à l’utilisation de pesticides à proxi</w:t>
      </w:r>
      <w:r>
        <w:t>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Liste des races locales qui sont menacées d’être perdues pour l’agriculture et des ressources génétiques végétales qui sont menacées d’érosion génétiqu</w:t>
      </w:r>
      <w:r>
        <w:t>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Description de la méthode et des hypothèses et paramètres agronomiques y compris la description des exigences minimales visées à l'article 29, paragraphe 2, du règlement (UE) n° 1305/2013 correspondant à chaque type particulier d'engagement,</w:t>
      </w:r>
      <w:r>
        <w:t xml:space="preserve"> utilisés comme référence pour les calculs justifiant les coûts supplémentaires et les pertes de revenus résultant de l’engagement pris et le niveau des coûts des transactions; le cas échéant, cette méthode tient compte des aides accordées au titre du règl</w:t>
      </w:r>
      <w:r>
        <w:t xml:space="preserve">ement (UE) n° 1307/2013, et notamment des paiements en faveur des pratiques agricoles bénéfiques pour le climat et l’environnement, afin d’exclure un double financement; le cas échéant, la méthode de conversion utilisée pour d’autres unités conformément à </w:t>
      </w:r>
      <w:r>
        <w:t>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Pratiques de références :</w:t>
            </w:r>
          </w:p>
          <w:p w:rsidR="0035701C" w:rsidRDefault="00FB561B">
            <w:pPr>
              <w:spacing w:before="240" w:after="240"/>
              <w:jc w:val="left"/>
              <w:rPr>
                <w:szCs w:val="24"/>
              </w:rPr>
            </w:pPr>
            <w:r>
              <w:rPr>
                <w:szCs w:val="24"/>
              </w:rPr>
              <w:t>Les pratiques de références à partir desquelles le montant unitaire de cette opération a été calculé correspondent à une exploitation de 120 colonies réparties en 2 emplacements sur des zones qui ne son</w:t>
            </w:r>
            <w:r>
              <w:rPr>
                <w:szCs w:val="24"/>
              </w:rPr>
              <w:t>t pas intéressantes au titre de la biodiversité.</w:t>
            </w:r>
          </w:p>
          <w:p w:rsidR="0035701C" w:rsidRDefault="00FB561B">
            <w:pPr>
              <w:spacing w:before="240" w:after="240"/>
              <w:jc w:val="left"/>
              <w:rPr>
                <w:szCs w:val="24"/>
              </w:rPr>
            </w:pPr>
            <w:r>
              <w:rPr>
                <w:szCs w:val="24"/>
              </w:rPr>
              <w:t> </w:t>
            </w:r>
            <w:r>
              <w:rPr>
                <w:b/>
                <w:bCs/>
                <w:szCs w:val="24"/>
              </w:rPr>
              <w:t>Prise en compte du verdissement :</w:t>
            </w:r>
          </w:p>
          <w:p w:rsidR="0035701C" w:rsidRDefault="00FB561B">
            <w:pPr>
              <w:spacing w:before="240" w:after="240"/>
              <w:jc w:val="left"/>
              <w:rPr>
                <w:szCs w:val="24"/>
              </w:rPr>
            </w:pPr>
            <w:r>
              <w:rPr>
                <w:szCs w:val="24"/>
              </w:rPr>
              <w:t>Les engagements de la présente opération, n’ont aucune interaction avec les pratiques rémunérées au titre du verdissement.</w:t>
            </w:r>
          </w:p>
          <w:p w:rsidR="0035701C" w:rsidRDefault="00FB561B">
            <w:pPr>
              <w:spacing w:before="240" w:after="240"/>
              <w:jc w:val="left"/>
              <w:rPr>
                <w:szCs w:val="24"/>
              </w:rPr>
            </w:pPr>
            <w:r>
              <w:rPr>
                <w:b/>
                <w:bCs/>
                <w:szCs w:val="24"/>
              </w:rPr>
              <w:t>Méthode de calcul du montant :</w:t>
            </w:r>
          </w:p>
          <w:p w:rsidR="0035701C" w:rsidRDefault="00FB561B">
            <w:pPr>
              <w:spacing w:before="240" w:after="240"/>
              <w:jc w:val="left"/>
              <w:rPr>
                <w:szCs w:val="24"/>
              </w:rPr>
            </w:pPr>
            <w:r>
              <w:rPr>
                <w:szCs w:val="24"/>
              </w:rPr>
              <w:t xml:space="preserve">La méthode de </w:t>
            </w:r>
            <w:r>
              <w:rPr>
                <w:szCs w:val="24"/>
              </w:rPr>
              <w:t>calcul du montant est détaillée dans le tableau ci-dessous.</w:t>
            </w:r>
          </w:p>
          <w:p w:rsidR="0035701C" w:rsidRDefault="00FB561B">
            <w:pPr>
              <w:spacing w:before="240" w:after="240"/>
              <w:jc w:val="left"/>
              <w:rPr>
                <w:szCs w:val="24"/>
              </w:rPr>
            </w:pPr>
            <w:r>
              <w:rPr>
                <w:szCs w:val="24"/>
              </w:rPr>
              <w:t>Il est proposé une aide forfaitaire de 18€/colonie/an couvrant une partie du surcoût engendré.</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5238750" cy="7915275"/>
                  <wp:effectExtent l="0" t="0" r="0" b="0"/>
                  <wp:docPr id="100284" name="Image 100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5" name=""/>
                          <pic:cNvPicPr>
                            <a:picLocks noChangeAspect="1"/>
                          </pic:cNvPicPr>
                        </pic:nvPicPr>
                        <pic:blipFill>
                          <a:blip r:embed="rId147"/>
                          <a:stretch>
                            <a:fillRect/>
                          </a:stretch>
                        </pic:blipFill>
                        <pic:spPr>
                          <a:xfrm>
                            <a:off x="0" y="0"/>
                            <a:ext cx="5238750" cy="7915275"/>
                          </a:xfrm>
                          <a:prstGeom prst="rect">
                            <a:avLst/>
                          </a:prstGeom>
                        </pic:spPr>
                      </pic:pic>
                    </a:graphicData>
                  </a:graphic>
                </wp:inline>
              </w:drawing>
            </w:r>
          </w:p>
          <w:p w:rsidR="0035701C" w:rsidRDefault="00FB561B">
            <w:pPr>
              <w:pStyle w:val="Pieddepage"/>
              <w:jc w:val="center"/>
            </w:pPr>
            <w:r>
              <w:t>10.1.Pollinisation(1)</w:t>
            </w:r>
          </w:p>
          <w:p w:rsidR="0035701C" w:rsidRDefault="00FB561B">
            <w:pPr>
              <w:pStyle w:val="Pieddepage"/>
              <w:jc w:val="center"/>
            </w:pPr>
            <w:r>
              <w:rPr>
                <w:noProof/>
                <w:lang w:val="fr-FR" w:eastAsia="fr-FR"/>
              </w:rPr>
              <w:drawing>
                <wp:inline distT="0" distB="0" distL="0" distR="0">
                  <wp:extent cx="5229225" cy="1533525"/>
                  <wp:effectExtent l="0" t="0" r="0" b="0"/>
                  <wp:docPr id="100286" name="Image 100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7" name=""/>
                          <pic:cNvPicPr>
                            <a:picLocks noChangeAspect="1"/>
                          </pic:cNvPicPr>
                        </pic:nvPicPr>
                        <pic:blipFill>
                          <a:blip r:embed="rId148"/>
                          <a:stretch>
                            <a:fillRect/>
                          </a:stretch>
                        </pic:blipFill>
                        <pic:spPr>
                          <a:xfrm>
                            <a:off x="0" y="0"/>
                            <a:ext cx="5229225" cy="1533525"/>
                          </a:xfrm>
                          <a:prstGeom prst="rect">
                            <a:avLst/>
                          </a:prstGeom>
                        </pic:spPr>
                      </pic:pic>
                    </a:graphicData>
                  </a:graphic>
                </wp:inline>
              </w:drawing>
            </w:r>
          </w:p>
          <w:p w:rsidR="0035701C" w:rsidRDefault="00FB561B">
            <w:pPr>
              <w:pStyle w:val="Pieddepage"/>
              <w:jc w:val="center"/>
            </w:pPr>
            <w:r>
              <w:t>10.1.Pollinisation(2)</w:t>
            </w:r>
          </w:p>
          <w:p w:rsidR="0035701C" w:rsidRDefault="0035701C">
            <w:pPr>
              <w:pStyle w:val="Pieddepage"/>
              <w:jc w:val="center"/>
            </w:pPr>
          </w:p>
        </w:tc>
      </w:tr>
    </w:tbl>
    <w:p w:rsidR="0035701C" w:rsidRDefault="00FB561B">
      <w:pPr>
        <w:pStyle w:val="Titre5"/>
        <w:rPr>
          <w:b w:val="0"/>
        </w:rPr>
      </w:pPr>
      <w:r>
        <w:rPr>
          <w:b w:val="0"/>
        </w:rPr>
        <w:br w:type="page"/>
        <w:t>10.1- Races menacées</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853"/>
              </w:numPr>
            </w:pPr>
            <w:r>
              <w:t>10.1 – Paiemen</w:t>
            </w:r>
            <w:r>
              <w:t>ts au titre d'engagements agroenvironnementaux et climatiques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L’objectif de la mesure concerne la conservation et l’utilisation sur les exploitations d’espèces locales conduites en race pure et menacées de disparition.</w:t>
            </w:r>
          </w:p>
          <w:p w:rsidR="0035701C" w:rsidRDefault="00FB561B">
            <w:pPr>
              <w:spacing w:before="240" w:after="240"/>
              <w:jc w:val="left"/>
              <w:rPr>
                <w:szCs w:val="24"/>
              </w:rPr>
            </w:pPr>
            <w:r>
              <w:rPr>
                <w:szCs w:val="24"/>
              </w:rPr>
              <w:t>Cette menace de disparition relève en Corse :</w:t>
            </w:r>
          </w:p>
          <w:p w:rsidR="0035701C" w:rsidRDefault="00FB561B" w:rsidP="00FB561B">
            <w:pPr>
              <w:numPr>
                <w:ilvl w:val="0"/>
                <w:numId w:val="854"/>
              </w:numPr>
              <w:spacing w:before="240" w:after="0"/>
              <w:ind w:hanging="210"/>
              <w:jc w:val="left"/>
              <w:rPr>
                <w:szCs w:val="24"/>
              </w:rPr>
            </w:pPr>
            <w:r>
              <w:rPr>
                <w:szCs w:val="24"/>
              </w:rPr>
              <w:t>du faible effectif des races concernées dû notamment à la recherche de races plus productives</w:t>
            </w:r>
          </w:p>
          <w:p w:rsidR="0035701C" w:rsidRDefault="00FB561B" w:rsidP="00FB561B">
            <w:pPr>
              <w:numPr>
                <w:ilvl w:val="0"/>
                <w:numId w:val="854"/>
              </w:numPr>
              <w:spacing w:before="0" w:after="0"/>
              <w:ind w:hanging="210"/>
              <w:jc w:val="left"/>
              <w:rPr>
                <w:szCs w:val="24"/>
              </w:rPr>
            </w:pPr>
            <w:r>
              <w:rPr>
                <w:szCs w:val="24"/>
              </w:rPr>
              <w:t xml:space="preserve">du risque sanitaire important que connaît la région Corse du fait de sa situation géographique et de son exposition </w:t>
            </w:r>
            <w:r>
              <w:rPr>
                <w:szCs w:val="24"/>
              </w:rPr>
              <w:t>aux épizooties venant du sud s’accroissant avec le changement climatique</w:t>
            </w:r>
          </w:p>
          <w:p w:rsidR="0035701C" w:rsidRDefault="00FB561B" w:rsidP="00FB561B">
            <w:pPr>
              <w:numPr>
                <w:ilvl w:val="0"/>
                <w:numId w:val="854"/>
              </w:numPr>
              <w:spacing w:before="0" w:after="240"/>
              <w:ind w:hanging="210"/>
              <w:jc w:val="left"/>
              <w:rPr>
                <w:szCs w:val="24"/>
              </w:rPr>
            </w:pPr>
            <w:r>
              <w:rPr>
                <w:szCs w:val="24"/>
              </w:rPr>
              <w:t>La Corse est l’unique réservoir de ces races reconnues comme spécifiques à la région.</w:t>
            </w:r>
          </w:p>
          <w:p w:rsidR="0035701C" w:rsidRDefault="00FB561B">
            <w:pPr>
              <w:spacing w:before="240" w:after="240"/>
              <w:jc w:val="left"/>
              <w:rPr>
                <w:szCs w:val="24"/>
              </w:rPr>
            </w:pPr>
            <w:r>
              <w:rPr>
                <w:szCs w:val="24"/>
              </w:rPr>
              <w:t xml:space="preserve">Il s’agit de compenser des coûts supplémentaires et des pertes de revenus liés à la conservation </w:t>
            </w:r>
            <w:r>
              <w:rPr>
                <w:szCs w:val="24"/>
              </w:rPr>
              <w:t>et à l’utilisation de ressources génétiques locales.</w:t>
            </w:r>
          </w:p>
          <w:p w:rsidR="0035701C" w:rsidRDefault="00FB561B">
            <w:pPr>
              <w:spacing w:before="240" w:after="240"/>
              <w:jc w:val="left"/>
              <w:rPr>
                <w:szCs w:val="24"/>
              </w:rPr>
            </w:pPr>
            <w:r>
              <w:rPr>
                <w:szCs w:val="24"/>
              </w:rPr>
              <w:t>Sont concernées les races reconnues suivantes:</w:t>
            </w:r>
          </w:p>
          <w:p w:rsidR="0035701C" w:rsidRDefault="00FB561B" w:rsidP="00FB561B">
            <w:pPr>
              <w:numPr>
                <w:ilvl w:val="0"/>
                <w:numId w:val="855"/>
              </w:numPr>
              <w:spacing w:before="240" w:after="0"/>
              <w:ind w:hanging="210"/>
              <w:jc w:val="left"/>
              <w:rPr>
                <w:szCs w:val="24"/>
              </w:rPr>
            </w:pPr>
            <w:r>
              <w:rPr>
                <w:szCs w:val="24"/>
              </w:rPr>
              <w:t>La race ovine corse</w:t>
            </w:r>
          </w:p>
          <w:p w:rsidR="0035701C" w:rsidRDefault="00FB561B" w:rsidP="00FB561B">
            <w:pPr>
              <w:numPr>
                <w:ilvl w:val="0"/>
                <w:numId w:val="855"/>
              </w:numPr>
              <w:spacing w:before="0" w:after="0"/>
              <w:ind w:hanging="210"/>
              <w:jc w:val="left"/>
              <w:rPr>
                <w:szCs w:val="24"/>
              </w:rPr>
            </w:pPr>
            <w:r>
              <w:rPr>
                <w:szCs w:val="24"/>
              </w:rPr>
              <w:t>La race caprine corse</w:t>
            </w:r>
          </w:p>
          <w:p w:rsidR="0035701C" w:rsidRDefault="00FB561B" w:rsidP="00FB561B">
            <w:pPr>
              <w:numPr>
                <w:ilvl w:val="0"/>
                <w:numId w:val="855"/>
              </w:numPr>
              <w:spacing w:before="0" w:after="0"/>
              <w:ind w:hanging="210"/>
              <w:jc w:val="left"/>
              <w:rPr>
                <w:szCs w:val="24"/>
              </w:rPr>
            </w:pPr>
            <w:r>
              <w:rPr>
                <w:szCs w:val="24"/>
              </w:rPr>
              <w:t>La race porcine Nustrale</w:t>
            </w:r>
          </w:p>
          <w:p w:rsidR="0035701C" w:rsidRDefault="00FB561B" w:rsidP="00FB561B">
            <w:pPr>
              <w:numPr>
                <w:ilvl w:val="0"/>
                <w:numId w:val="855"/>
              </w:numPr>
              <w:spacing w:before="0" w:after="0"/>
              <w:ind w:hanging="210"/>
              <w:jc w:val="left"/>
              <w:rPr>
                <w:szCs w:val="24"/>
              </w:rPr>
            </w:pPr>
            <w:r>
              <w:rPr>
                <w:szCs w:val="24"/>
              </w:rPr>
              <w:t>La race bovine corse</w:t>
            </w:r>
          </w:p>
          <w:p w:rsidR="0035701C" w:rsidRDefault="00FB561B" w:rsidP="00FB561B">
            <w:pPr>
              <w:numPr>
                <w:ilvl w:val="0"/>
                <w:numId w:val="855"/>
              </w:numPr>
              <w:spacing w:before="0" w:after="240"/>
              <w:ind w:hanging="210"/>
              <w:jc w:val="left"/>
              <w:rPr>
                <w:szCs w:val="24"/>
              </w:rPr>
            </w:pPr>
            <w:r>
              <w:rPr>
                <w:szCs w:val="24"/>
              </w:rPr>
              <w:t>La race équine corse</w:t>
            </w:r>
          </w:p>
          <w:p w:rsidR="0035701C" w:rsidRDefault="00FB561B">
            <w:pPr>
              <w:spacing w:before="240" w:after="240"/>
              <w:jc w:val="left"/>
              <w:rPr>
                <w:szCs w:val="24"/>
              </w:rPr>
            </w:pPr>
            <w:r>
              <w:rPr>
                <w:szCs w:val="24"/>
              </w:rPr>
              <w:t>La durée du dispositif est de 5 ans.</w:t>
            </w:r>
          </w:p>
          <w:p w:rsidR="0035701C" w:rsidRDefault="00FB561B">
            <w:pPr>
              <w:spacing w:before="240" w:after="240"/>
              <w:jc w:val="left"/>
              <w:rPr>
                <w:szCs w:val="24"/>
              </w:rPr>
            </w:pPr>
            <w:r>
              <w:rPr>
                <w:szCs w:val="24"/>
              </w:rPr>
              <w:t>Cette opér</w:t>
            </w:r>
            <w:r>
              <w:rPr>
                <w:szCs w:val="24"/>
              </w:rPr>
              <w:t>ation est ouverte à l’échelle régionale. En effet, il n’est pas pertinent de cibler sur des territoires à enjeux particuliers compte tenu du caractère dispersé des élevages conservant des races à petits effectifs.</w:t>
            </w:r>
          </w:p>
          <w:p w:rsidR="0035701C" w:rsidRDefault="00FB561B">
            <w:pPr>
              <w:spacing w:before="240" w:after="240"/>
              <w:jc w:val="left"/>
              <w:rPr>
                <w:szCs w:val="24"/>
              </w:rPr>
            </w:pPr>
            <w:r>
              <w:rPr>
                <w:szCs w:val="24"/>
              </w:rPr>
              <w:t>Par ailleurs, les éleveurs s’engagent à ad</w:t>
            </w:r>
            <w:r>
              <w:rPr>
                <w:szCs w:val="24"/>
              </w:rPr>
              <w:t>hérer à l’association ou l’organisme agréé de la race qui prend ainsi en charge l’animation de la mesure.</w:t>
            </w:r>
          </w:p>
          <w:p w:rsidR="0035701C" w:rsidRDefault="00FB561B">
            <w:pPr>
              <w:spacing w:before="240" w:after="240"/>
              <w:jc w:val="left"/>
              <w:rPr>
                <w:szCs w:val="24"/>
              </w:rPr>
            </w:pPr>
            <w:r>
              <w:rPr>
                <w:szCs w:val="24"/>
              </w:rPr>
              <w:t>Ce type d’opération concerne le domaine prioritaire :</w:t>
            </w:r>
          </w:p>
          <w:p w:rsidR="0035701C" w:rsidRDefault="00FB561B" w:rsidP="00FB561B">
            <w:pPr>
              <w:numPr>
                <w:ilvl w:val="0"/>
                <w:numId w:val="856"/>
              </w:numPr>
              <w:spacing w:before="240" w:after="240"/>
              <w:ind w:hanging="210"/>
              <w:jc w:val="left"/>
              <w:rPr>
                <w:szCs w:val="24"/>
              </w:rPr>
            </w:pPr>
            <w:r>
              <w:rPr>
                <w:szCs w:val="24"/>
              </w:rPr>
              <w:t>4A Restaurer et préserver la biodiversité : Les races locales corses constituent l’une des riche</w:t>
            </w:r>
            <w:r>
              <w:rPr>
                <w:szCs w:val="24"/>
              </w:rPr>
              <w:t>sses de la biodiversité insulaire, un patrimoine génétique, historique et culturel dont la Corse est l’unique réservoir. Elles ont failli disparaître au profit de races plus productives. Leur sauvegarde et leur réimplantation au sein des exploitations agri</w:t>
            </w:r>
            <w:r>
              <w:rPr>
                <w:szCs w:val="24"/>
              </w:rPr>
              <w:t>coles corses est un enjeu majeur en termes de préservation de la biodiversité.</w:t>
            </w:r>
          </w:p>
          <w:p w:rsidR="0035701C" w:rsidRDefault="00FB561B">
            <w:pPr>
              <w:spacing w:before="240" w:after="240"/>
              <w:ind w:left="720"/>
              <w:jc w:val="left"/>
              <w:rPr>
                <w:szCs w:val="24"/>
              </w:rPr>
            </w:pPr>
            <w:r>
              <w:rPr>
                <w:szCs w:val="24"/>
              </w:rPr>
              <w:t>Cette opération est ciblée sur les besoins identifiés dans la zone de programmation :</w:t>
            </w:r>
          </w:p>
          <w:p w:rsidR="0035701C" w:rsidRDefault="00FB561B" w:rsidP="00FB561B">
            <w:pPr>
              <w:numPr>
                <w:ilvl w:val="0"/>
                <w:numId w:val="857"/>
              </w:numPr>
              <w:spacing w:before="240" w:after="240"/>
              <w:ind w:hanging="210"/>
              <w:jc w:val="left"/>
              <w:rPr>
                <w:szCs w:val="24"/>
              </w:rPr>
            </w:pPr>
            <w:r>
              <w:rPr>
                <w:szCs w:val="24"/>
              </w:rPr>
              <w:t xml:space="preserve">n°16 : Accroître la contribution de l’agriculture à la valorisation du patrimoine naturel, </w:t>
            </w:r>
            <w:r>
              <w:rPr>
                <w:szCs w:val="24"/>
              </w:rPr>
              <w:t>au maintien de la biodiversité, à la qualité des paysages agricoles. Les races locales insulaires, notamment en ce qui concerne les ruminants, sont dites « rustiques » et sont très bien adaptées aux milieux difficiles leur permettant ainsi de valoriser des</w:t>
            </w:r>
            <w:r>
              <w:rPr>
                <w:szCs w:val="24"/>
              </w:rPr>
              <w:t xml:space="preserve"> couverts qui ne pourraient pas l’être par des races exogènes.</w:t>
            </w:r>
          </w:p>
          <w:p w:rsidR="0035701C" w:rsidRDefault="00FB561B" w:rsidP="00FB561B">
            <w:pPr>
              <w:numPr>
                <w:ilvl w:val="0"/>
                <w:numId w:val="858"/>
              </w:numPr>
              <w:spacing w:before="240" w:after="240"/>
              <w:ind w:hanging="210"/>
              <w:jc w:val="left"/>
              <w:rPr>
                <w:szCs w:val="24"/>
              </w:rPr>
            </w:pPr>
            <w:r>
              <w:rPr>
                <w:szCs w:val="24"/>
              </w:rPr>
              <w:t>n°32 : Préserver le bon état de l'environnement, assurer le renouvellement des ressources naturelles et prévenir le risque incendie. Les races locales insulaires pâturent, au travers de pratiqu</w:t>
            </w:r>
            <w:r>
              <w:rPr>
                <w:szCs w:val="24"/>
              </w:rPr>
              <w:t>es pastorales, des espaces d’accès difficiles diminuant ainsi le risque incendie dans ces zones.</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Paiement unitaire forfaitaire à l’UGB.</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éléments de la ligne de base </w:t>
            </w:r>
            <w:r>
              <w:rPr>
                <w:szCs w:val="24"/>
              </w:rPr>
              <w:t>sont définis en conformité avec les  règles de conditionnalités établies en vertu de l’article 93 du règlement UE n° 1306/2013.</w:t>
            </w:r>
          </w:p>
          <w:p w:rsidR="0035701C" w:rsidRDefault="00FB561B">
            <w:pPr>
              <w:spacing w:before="240" w:after="240"/>
              <w:jc w:val="left"/>
              <w:rPr>
                <w:szCs w:val="24"/>
              </w:rPr>
            </w:pPr>
            <w:r>
              <w:rPr>
                <w:szCs w:val="24"/>
              </w:rPr>
              <w:t>Afin d’exclure tout double paiement, les pratiques visées à l’article 43 du règlement UE n° 1307/2013 sont prises en compte dans</w:t>
            </w:r>
            <w:r>
              <w:rPr>
                <w:szCs w:val="24"/>
              </w:rPr>
              <w:t xml:space="preserve"> le calcul des surcoûts et manques à gagner.</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Type bénéficiaire : toute personne physique ou morale exerçant une activité agricole. Ces personnes ou groupements de personnes doivent être des agriculteurs actifs au sens de l’article 9 du règl</w:t>
            </w:r>
            <w:r>
              <w:rPr>
                <w:szCs w:val="24"/>
              </w:rPr>
              <w:t>ement (UE) n°1307/2013.</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montants unitaires forfaitaires sont calculés selon les races/espèces par UGB.</w:t>
            </w:r>
          </w:p>
          <w:p w:rsidR="0035701C" w:rsidRDefault="00FB561B">
            <w:pPr>
              <w:spacing w:before="240" w:after="240"/>
              <w:jc w:val="left"/>
              <w:rPr>
                <w:szCs w:val="24"/>
              </w:rPr>
            </w:pPr>
            <w:r>
              <w:rPr>
                <w:szCs w:val="24"/>
              </w:rPr>
              <w:t>Ces montants sont basés sur la perte de revenus engendrée par l’élevage de ces races par rapport à des races plus productives.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bénéficiaire doit :</w:t>
            </w:r>
          </w:p>
          <w:p w:rsidR="0035701C" w:rsidRDefault="00FB561B" w:rsidP="00FB561B">
            <w:pPr>
              <w:numPr>
                <w:ilvl w:val="0"/>
                <w:numId w:val="859"/>
              </w:numPr>
              <w:spacing w:before="240" w:after="240"/>
              <w:ind w:hanging="210"/>
              <w:jc w:val="left"/>
              <w:rPr>
                <w:szCs w:val="24"/>
              </w:rPr>
            </w:pPr>
            <w:r>
              <w:rPr>
                <w:szCs w:val="24"/>
              </w:rPr>
              <w:t>Faire une déclaration de surface chaque année dans les délais impartis, incluant la demande d’aide PRM</w:t>
            </w:r>
          </w:p>
          <w:p w:rsidR="0035701C" w:rsidRDefault="00FB561B" w:rsidP="00FB561B">
            <w:pPr>
              <w:numPr>
                <w:ilvl w:val="0"/>
                <w:numId w:val="860"/>
              </w:numPr>
              <w:spacing w:before="240" w:after="0"/>
              <w:ind w:hanging="210"/>
              <w:jc w:val="left"/>
              <w:rPr>
                <w:szCs w:val="24"/>
              </w:rPr>
            </w:pPr>
            <w:r>
              <w:rPr>
                <w:szCs w:val="24"/>
              </w:rPr>
              <w:t xml:space="preserve">Détenir un cheptel en race pure appartenant aux races locales citées précédemment et en détenir la documentation : </w:t>
            </w:r>
          </w:p>
          <w:p w:rsidR="0035701C" w:rsidRDefault="00FB561B" w:rsidP="00FB561B">
            <w:pPr>
              <w:numPr>
                <w:ilvl w:val="1"/>
                <w:numId w:val="860"/>
              </w:numPr>
              <w:spacing w:before="0" w:after="0"/>
              <w:ind w:hanging="244"/>
              <w:jc w:val="left"/>
              <w:rPr>
                <w:szCs w:val="24"/>
              </w:rPr>
            </w:pPr>
            <w:r>
              <w:rPr>
                <w:szCs w:val="24"/>
              </w:rPr>
              <w:t>Pour les équins : détention d’au moins 2 UGB mâle ou femelle, de race pure. Les mâles ne sont éligibles que s’ils ont au moins un descendant</w:t>
            </w:r>
            <w:r>
              <w:rPr>
                <w:szCs w:val="24"/>
              </w:rPr>
              <w:t xml:space="preserve"> de race pure ; les femelles ne sont éligibles que si elles sont âgées d’au moins 3 ans et qu’elles ont été confirmées par la Commission d’approbation et de confirmation de la race</w:t>
            </w:r>
          </w:p>
          <w:p w:rsidR="0035701C" w:rsidRDefault="00FB561B" w:rsidP="00FB561B">
            <w:pPr>
              <w:numPr>
                <w:ilvl w:val="1"/>
                <w:numId w:val="860"/>
              </w:numPr>
              <w:spacing w:before="0" w:after="0"/>
              <w:ind w:hanging="244"/>
              <w:jc w:val="left"/>
              <w:rPr>
                <w:szCs w:val="24"/>
              </w:rPr>
            </w:pPr>
            <w:r>
              <w:rPr>
                <w:szCs w:val="24"/>
              </w:rPr>
              <w:t>Pour les autres animaux : détention d’un nombre de femelles de la race prot</w:t>
            </w:r>
            <w:r>
              <w:rPr>
                <w:szCs w:val="24"/>
              </w:rPr>
              <w:t xml:space="preserve">égée, par espèce, au moins égal au nombre suivant : </w:t>
            </w:r>
          </w:p>
          <w:p w:rsidR="0035701C" w:rsidRDefault="00FB561B" w:rsidP="00FB561B">
            <w:pPr>
              <w:numPr>
                <w:ilvl w:val="2"/>
                <w:numId w:val="860"/>
              </w:numPr>
              <w:spacing w:before="0" w:after="0"/>
              <w:ind w:hanging="210"/>
              <w:jc w:val="left"/>
              <w:rPr>
                <w:szCs w:val="24"/>
              </w:rPr>
            </w:pPr>
            <w:r>
              <w:rPr>
                <w:szCs w:val="24"/>
              </w:rPr>
              <w:t>Espèces porcines : équivalent d’un 1.5 UGB soit 3 truies reproductrices</w:t>
            </w:r>
          </w:p>
          <w:p w:rsidR="0035701C" w:rsidRDefault="00FB561B" w:rsidP="00FB561B">
            <w:pPr>
              <w:numPr>
                <w:ilvl w:val="2"/>
                <w:numId w:val="860"/>
              </w:numPr>
              <w:spacing w:before="0" w:after="240"/>
              <w:ind w:hanging="210"/>
              <w:jc w:val="left"/>
              <w:rPr>
                <w:szCs w:val="24"/>
              </w:rPr>
            </w:pPr>
            <w:r>
              <w:rPr>
                <w:szCs w:val="24"/>
              </w:rPr>
              <w:t xml:space="preserve">Pour les autres espèces (bovine, ovine et caprine) : au moins 6 vaches de plus de 2 ans, 40 brebis ou 40 chèvres (équivalent à 6 </w:t>
            </w:r>
            <w:r>
              <w:rPr>
                <w:szCs w:val="24"/>
              </w:rPr>
              <w:t>UGB)</w:t>
            </w:r>
          </w:p>
          <w:p w:rsidR="0035701C" w:rsidRDefault="00FB561B" w:rsidP="00FB561B">
            <w:pPr>
              <w:numPr>
                <w:ilvl w:val="0"/>
                <w:numId w:val="861"/>
              </w:numPr>
              <w:spacing w:before="240" w:after="240"/>
              <w:ind w:hanging="210"/>
              <w:jc w:val="left"/>
              <w:rPr>
                <w:szCs w:val="24"/>
              </w:rPr>
            </w:pPr>
            <w:r>
              <w:rPr>
                <w:szCs w:val="24"/>
              </w:rPr>
              <w:t>Etre répertorié par l’organisme chargé de la conservation de la race.</w:t>
            </w:r>
          </w:p>
          <w:p w:rsidR="0035701C" w:rsidRDefault="00FB561B" w:rsidP="00FB561B">
            <w:pPr>
              <w:numPr>
                <w:ilvl w:val="0"/>
                <w:numId w:val="862"/>
              </w:numPr>
              <w:spacing w:before="240" w:after="0"/>
              <w:ind w:hanging="210"/>
              <w:jc w:val="left"/>
              <w:rPr>
                <w:szCs w:val="24"/>
              </w:rPr>
            </w:pPr>
            <w:r>
              <w:rPr>
                <w:szCs w:val="24"/>
              </w:rPr>
              <w:t xml:space="preserve">Participer activement au schéma de sélection de la race/espèce concernée notamment : </w:t>
            </w:r>
          </w:p>
          <w:p w:rsidR="0035701C" w:rsidRDefault="00FB561B" w:rsidP="00FB561B">
            <w:pPr>
              <w:numPr>
                <w:ilvl w:val="1"/>
                <w:numId w:val="862"/>
              </w:numPr>
              <w:spacing w:before="0" w:after="0"/>
              <w:ind w:hanging="244"/>
              <w:jc w:val="left"/>
              <w:rPr>
                <w:szCs w:val="24"/>
              </w:rPr>
            </w:pPr>
            <w:r>
              <w:rPr>
                <w:szCs w:val="24"/>
              </w:rPr>
              <w:t>Pour les races ovines et caprines : Etre au Contrôle Laitier Officiel et respecter les engageme</w:t>
            </w:r>
            <w:r>
              <w:rPr>
                <w:szCs w:val="24"/>
              </w:rPr>
              <w:t>nts s’y afférant.</w:t>
            </w:r>
          </w:p>
          <w:p w:rsidR="0035701C" w:rsidRDefault="00FB561B" w:rsidP="00FB561B">
            <w:pPr>
              <w:numPr>
                <w:ilvl w:val="1"/>
                <w:numId w:val="862"/>
              </w:numPr>
              <w:spacing w:before="0" w:after="0"/>
              <w:ind w:hanging="244"/>
              <w:jc w:val="left"/>
              <w:rPr>
                <w:szCs w:val="24"/>
              </w:rPr>
            </w:pPr>
            <w:r>
              <w:rPr>
                <w:szCs w:val="24"/>
              </w:rPr>
              <w:t>Pour les races porcine et bovine: Etre éleveur – sélectionneur et respecter les engagements s’y afférant.</w:t>
            </w:r>
          </w:p>
          <w:p w:rsidR="0035701C" w:rsidRDefault="00FB561B" w:rsidP="00FB561B">
            <w:pPr>
              <w:numPr>
                <w:ilvl w:val="1"/>
                <w:numId w:val="862"/>
              </w:numPr>
              <w:spacing w:before="0" w:after="240"/>
              <w:ind w:hanging="244"/>
              <w:jc w:val="left"/>
              <w:rPr>
                <w:szCs w:val="24"/>
              </w:rPr>
            </w:pPr>
            <w:r>
              <w:rPr>
                <w:szCs w:val="24"/>
              </w:rPr>
              <w:t>Pour la race équine : Etre éleveur – sélectionneur et respecter les engagements s’y afférant. .</w:t>
            </w:r>
          </w:p>
          <w:p w:rsidR="0035701C" w:rsidRDefault="00FB561B">
            <w:pPr>
              <w:spacing w:before="240" w:after="240"/>
              <w:jc w:val="left"/>
              <w:rPr>
                <w:szCs w:val="24"/>
              </w:rPr>
            </w:pPr>
            <w:r>
              <w:rPr>
                <w:szCs w:val="24"/>
                <w:u w:val="single"/>
              </w:rPr>
              <w:t>Conditions relatives aux animaux eng</w:t>
            </w:r>
            <w:r>
              <w:rPr>
                <w:szCs w:val="24"/>
                <w:u w:val="single"/>
              </w:rPr>
              <w:t>agés :</w:t>
            </w:r>
          </w:p>
          <w:p w:rsidR="0035701C" w:rsidRDefault="00FB561B">
            <w:pPr>
              <w:spacing w:before="240" w:after="240"/>
              <w:jc w:val="left"/>
              <w:rPr>
                <w:szCs w:val="24"/>
              </w:rPr>
            </w:pPr>
            <w:r>
              <w:rPr>
                <w:szCs w:val="24"/>
              </w:rPr>
              <w:t>L'exploitant peut engager en PRM un certain nombre d’animaux répondant aux critères d’éligibilité définis ci-dessus et qu’il possède au moment de la souscription de l’engagement. L’engagement ne porte pas sur des animaux précis identifiés mais sur u</w:t>
            </w:r>
            <w:r>
              <w:rPr>
                <w:szCs w:val="24"/>
              </w:rPr>
              <w:t>n nombre d’animaux.</w:t>
            </w:r>
          </w:p>
          <w:p w:rsidR="0035701C" w:rsidRDefault="00FB561B">
            <w:pPr>
              <w:spacing w:before="240" w:after="240"/>
              <w:jc w:val="left"/>
              <w:rPr>
                <w:szCs w:val="24"/>
              </w:rPr>
            </w:pPr>
            <w:r>
              <w:rPr>
                <w:szCs w:val="24"/>
              </w:rPr>
              <w:t>Pendant la durée du contrat, les animaux eux-mêmes peuvent changer, seul le nombre d’animaux éligibles détenus doit être en permanence égal ou supérieur au nombre d’animaux engagés.</w:t>
            </w:r>
          </w:p>
          <w:p w:rsidR="0035701C" w:rsidRDefault="00FB561B">
            <w:pPr>
              <w:spacing w:before="240" w:after="240"/>
              <w:jc w:val="left"/>
              <w:rPr>
                <w:szCs w:val="24"/>
              </w:rPr>
            </w:pPr>
            <w:r>
              <w:rPr>
                <w:szCs w:val="24"/>
              </w:rPr>
              <w:t xml:space="preserve">Pour le contrôle des engagements, le cahier d’étable </w:t>
            </w:r>
            <w:r>
              <w:rPr>
                <w:szCs w:val="24"/>
              </w:rPr>
              <w:t>est de ce fait une pièce obligatoire à remplir et à conserver sur l’exploitation.</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L’aide est attribuée pour les catégories d’animaux suiv</w:t>
            </w:r>
            <w:r>
              <w:rPr>
                <w:szCs w:val="24"/>
              </w:rPr>
              <w:t>ants :</w:t>
            </w:r>
          </w:p>
          <w:p w:rsidR="0035701C" w:rsidRDefault="00FB561B" w:rsidP="00FB561B">
            <w:pPr>
              <w:numPr>
                <w:ilvl w:val="0"/>
                <w:numId w:val="863"/>
              </w:numPr>
              <w:spacing w:before="240" w:after="0"/>
              <w:ind w:hanging="210"/>
              <w:jc w:val="left"/>
              <w:rPr>
                <w:szCs w:val="24"/>
              </w:rPr>
            </w:pPr>
            <w:r>
              <w:rPr>
                <w:szCs w:val="24"/>
              </w:rPr>
              <w:t>Pour les ovins-caprins, l’aide est allouée aux femelles ayant déjà mis bas une fois et aux reproducteurs (béliers et boucs).</w:t>
            </w:r>
          </w:p>
          <w:p w:rsidR="0035701C" w:rsidRDefault="00FB561B" w:rsidP="00FB561B">
            <w:pPr>
              <w:numPr>
                <w:ilvl w:val="0"/>
                <w:numId w:val="863"/>
              </w:numPr>
              <w:spacing w:before="0" w:after="0"/>
              <w:ind w:hanging="210"/>
              <w:jc w:val="left"/>
              <w:rPr>
                <w:szCs w:val="24"/>
              </w:rPr>
            </w:pPr>
            <w:r>
              <w:rPr>
                <w:szCs w:val="24"/>
              </w:rPr>
              <w:t xml:space="preserve">Pour les bovins, l’aide est allouée aux femelles de plus de 2 ans ayant déjà mis bas une fois et aux reproducteurs </w:t>
            </w:r>
            <w:r>
              <w:rPr>
                <w:szCs w:val="24"/>
              </w:rPr>
              <w:t>(taureaux).</w:t>
            </w:r>
          </w:p>
          <w:p w:rsidR="0035701C" w:rsidRDefault="00FB561B" w:rsidP="00FB561B">
            <w:pPr>
              <w:numPr>
                <w:ilvl w:val="0"/>
                <w:numId w:val="863"/>
              </w:numPr>
              <w:spacing w:before="0" w:after="0"/>
              <w:ind w:hanging="210"/>
              <w:jc w:val="left"/>
              <w:rPr>
                <w:szCs w:val="24"/>
              </w:rPr>
            </w:pPr>
            <w:r>
              <w:rPr>
                <w:szCs w:val="24"/>
              </w:rPr>
              <w:t>Pour les porcins, l’aide est allouée aux truies reproductrices et aux verrats.</w:t>
            </w:r>
          </w:p>
          <w:p w:rsidR="0035701C" w:rsidRDefault="00FB561B" w:rsidP="00FB561B">
            <w:pPr>
              <w:numPr>
                <w:ilvl w:val="0"/>
                <w:numId w:val="863"/>
              </w:numPr>
              <w:spacing w:before="0" w:after="240"/>
              <w:ind w:hanging="210"/>
              <w:jc w:val="left"/>
              <w:rPr>
                <w:szCs w:val="24"/>
              </w:rPr>
            </w:pPr>
            <w:r>
              <w:rPr>
                <w:szCs w:val="24"/>
              </w:rPr>
              <w:t>Pour les équins, l’aide est allouée aux femelles de plus de 6 mois et aux étalons.</w:t>
            </w:r>
          </w:p>
          <w:p w:rsidR="0035701C" w:rsidRDefault="00FB561B">
            <w:pPr>
              <w:spacing w:before="240" w:after="240"/>
              <w:ind w:left="600"/>
              <w:jc w:val="left"/>
              <w:rPr>
                <w:szCs w:val="24"/>
              </w:rPr>
            </w:pPr>
            <w:r>
              <w:rPr>
                <w:szCs w:val="24"/>
                <w:u w:val="single"/>
              </w:rPr>
              <w:t>Type d’espèces : Montant annuel</w:t>
            </w:r>
          </w:p>
          <w:p w:rsidR="0035701C" w:rsidRDefault="00FB561B">
            <w:pPr>
              <w:spacing w:before="240" w:after="240"/>
              <w:ind w:left="600"/>
              <w:jc w:val="left"/>
              <w:rPr>
                <w:szCs w:val="24"/>
              </w:rPr>
            </w:pPr>
            <w:r>
              <w:rPr>
                <w:szCs w:val="24"/>
              </w:rPr>
              <w:t>Ovins/Caprins/Bovins/Porcins/Equins : 200 € par UG</w:t>
            </w:r>
            <w:r>
              <w:rPr>
                <w:szCs w:val="24"/>
              </w:rPr>
              <w:t>B</w:t>
            </w:r>
          </w:p>
          <w:p w:rsidR="0035701C" w:rsidRDefault="00FB561B">
            <w:pPr>
              <w:spacing w:before="240" w:after="240"/>
              <w:jc w:val="left"/>
              <w:rPr>
                <w:szCs w:val="24"/>
              </w:rPr>
            </w:pPr>
            <w:r>
              <w:rPr>
                <w:szCs w:val="24"/>
              </w:rPr>
              <w:t>L’objectif de cette mesure étant d’augmenter le nombre d’exploitations utilisant ces races locales et non de trop densifier les cheptels sur les exploitations, ce qui engendrerait un effet inverse au développement de la biodiversité compte tenu des risqu</w:t>
            </w:r>
            <w:r>
              <w:rPr>
                <w:szCs w:val="24"/>
              </w:rPr>
              <w:t>es importants liés à la consanguinité (la Corse est l’unique réservoir de ces races, l’apport en génétique en dehors de l’exploitation via l’achat d’animaux sélectionnés est limité et la base initiale de diversité génétique en termes de lignées est faible)</w:t>
            </w:r>
            <w:r>
              <w:rPr>
                <w:szCs w:val="24"/>
              </w:rPr>
              <w:t>, il sera retenu un maximum de 15 UGB par exploitation.</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 xml:space="preserve">Dialogue AG/OP sur l’évolution du contenu de la mesure </w:t>
            </w:r>
          </w:p>
          <w:p w:rsidR="0035701C" w:rsidRDefault="00FB561B">
            <w:pPr>
              <w:spacing w:before="240" w:after="240"/>
              <w:jc w:val="left"/>
              <w:rPr>
                <w:szCs w:val="24"/>
              </w:rPr>
            </w:pPr>
            <w:r>
              <w:rPr>
                <w:szCs w:val="24"/>
              </w:rPr>
              <w:t xml:space="preserve">- L'OP a demandé que </w:t>
            </w:r>
            <w:r>
              <w:rPr>
                <w:szCs w:val="24"/>
              </w:rPr>
              <w:t>soient bien décrits les conditions d'éligibilité des bénéficiaires de cette opération, et la détermination des montants et taux d'aide, ainsi que les méthodes de contrôle d'admissibilité. Les éléments de Droit, les précisions apportées au présent texte, ai</w:t>
            </w:r>
            <w:r>
              <w:rPr>
                <w:szCs w:val="24"/>
              </w:rPr>
              <w:t>nsi que le détail des éléments de réponse à fournir sur les demandes de paiement sont satisfaisants.</w:t>
            </w:r>
          </w:p>
          <w:p w:rsidR="0035701C" w:rsidRDefault="00FB561B">
            <w:pPr>
              <w:spacing w:before="240" w:after="240"/>
              <w:jc w:val="left"/>
              <w:rPr>
                <w:szCs w:val="24"/>
              </w:rPr>
            </w:pPr>
            <w:r>
              <w:rPr>
                <w:szCs w:val="24"/>
              </w:rPr>
              <w:t>L'OP souhaite cependant rappeler que les aides directes (1er pilier) sont payées par un autre OP qui est également en charge du développement des outils SI</w:t>
            </w:r>
            <w:r>
              <w:rPr>
                <w:szCs w:val="24"/>
              </w:rPr>
              <w:t>GC pour l'Etat Membre. Les dispositions prévues par l'AG en Corse ne suscitent pas de difficultés particulières pour s'intégrer dans les outils nationaux.</w:t>
            </w:r>
          </w:p>
          <w:p w:rsidR="0035701C" w:rsidRDefault="00FB561B">
            <w:pPr>
              <w:spacing w:before="240" w:after="240"/>
              <w:jc w:val="left"/>
              <w:rPr>
                <w:szCs w:val="24"/>
              </w:rPr>
            </w:pPr>
            <w:r>
              <w:rPr>
                <w:szCs w:val="24"/>
              </w:rPr>
              <w:t>-L'OP a demandé que soient bien décrites les conditions d'éligibilité des bénéficiaires de cette opér</w:t>
            </w:r>
            <w:r>
              <w:rPr>
                <w:szCs w:val="24"/>
              </w:rPr>
              <w:t>ation, et la détermination des montants et taux d'aide (Sélectionneurs OVIN-CAPRIN, GAEC)</w:t>
            </w:r>
          </w:p>
          <w:p w:rsidR="0035701C" w:rsidRDefault="00FB561B">
            <w:pPr>
              <w:spacing w:before="240" w:after="240"/>
              <w:jc w:val="left"/>
              <w:rPr>
                <w:szCs w:val="24"/>
              </w:rPr>
            </w:pPr>
            <w:r>
              <w:rPr>
                <w:szCs w:val="24"/>
                <w:u w:val="single"/>
              </w:rPr>
              <w:t>Risques identifiés selon la méthodologie présentée par l’OP (cf. chapitre 18)</w:t>
            </w:r>
          </w:p>
          <w:p w:rsidR="0035701C" w:rsidRDefault="00FB561B">
            <w:pPr>
              <w:spacing w:before="240" w:after="240"/>
              <w:jc w:val="left"/>
              <w:rPr>
                <w:szCs w:val="24"/>
              </w:rPr>
            </w:pPr>
            <w:r>
              <w:rPr>
                <w:szCs w:val="24"/>
              </w:rPr>
              <w:t>n°1 - R7 : Pour les races ovines et caprines, une précision est attendu concernant la qu</w:t>
            </w:r>
            <w:r>
              <w:rPr>
                <w:szCs w:val="24"/>
              </w:rPr>
              <w:t>alité d'éleveurs-sélectionneurs, l'adhésion au contrôle laitier officiel ne suffit pas à remplir les objectifs de la mesure; Il convient de s'assurer que l'inscription au contrôle laitier induit obligatoirement la qualité de sélectionneur (source : 2007-20</w:t>
            </w:r>
            <w:r>
              <w:rPr>
                <w:szCs w:val="24"/>
              </w:rPr>
              <w:t>13 en continu Formation de l'administration, des Partenaires, des Bénéficiaires, Multiplicité des précisions sur « Guidance » (notes de cadrage))</w:t>
            </w:r>
          </w:p>
          <w:p w:rsidR="0035701C" w:rsidRDefault="00FB561B">
            <w:pPr>
              <w:spacing w:before="240" w:after="240"/>
              <w:jc w:val="left"/>
              <w:rPr>
                <w:szCs w:val="24"/>
              </w:rPr>
            </w:pPr>
            <w:r>
              <w:rPr>
                <w:szCs w:val="24"/>
              </w:rPr>
              <w:t>n°2 - R11 : CONCERNANT LA TRANSPARENCE GAEC : préciser les modalités de calcul de la mesure (source : 2007-201</w:t>
            </w:r>
            <w:r>
              <w:rPr>
                <w:szCs w:val="24"/>
              </w:rPr>
              <w:t>3 en continu Formation de l'administration, des Partenaires, des Bénéficiaires, Multiplicité des précisions sur « Guidance » (notes de cadrage))</w:t>
            </w:r>
          </w:p>
          <w:p w:rsidR="0035701C" w:rsidRDefault="00FB561B">
            <w:pPr>
              <w:spacing w:before="240" w:after="240"/>
              <w:jc w:val="left"/>
              <w:rPr>
                <w:szCs w:val="24"/>
              </w:rPr>
            </w:pPr>
            <w:r>
              <w:rPr>
                <w:szCs w:val="24"/>
              </w:rPr>
              <w:t>n°3 - R8 : Paramétrage adéquat des outils ETAT MEMBRE -Effectivité de la mise à disposition des outils en confo</w:t>
            </w:r>
            <w:r>
              <w:rPr>
                <w:szCs w:val="24"/>
              </w:rPr>
              <w:t>rmité avec les exigences du PDRC. Dans le cadre des mesures « Surfaces » et "Hors Surfaces" vigilance accrue sur la disponibilité et l’adéquation des outils de gestion nationaux au regard des exigences du présent PDRC. (source : DG AGRI 2011, DG AGRI 2013,</w:t>
            </w:r>
            <w:r>
              <w:rPr>
                <w:szCs w:val="24"/>
              </w:rPr>
              <w:t xml:space="preserve"> CCCOP Exercices 2008-2013, SAI 2013-2014, Audit d'agrément DG AGRI J5 (juin 2014))</w:t>
            </w:r>
          </w:p>
          <w:p w:rsidR="0035701C" w:rsidRDefault="00FB561B">
            <w:pPr>
              <w:spacing w:before="240" w:after="240"/>
              <w:jc w:val="left"/>
              <w:rPr>
                <w:szCs w:val="24"/>
              </w:rPr>
            </w:pPr>
            <w:r>
              <w:rPr>
                <w:szCs w:val="24"/>
              </w:rPr>
              <w:t xml:space="preserve">n°4 - R8 : Accessibilité pour l’OP comme pour l’AG aux informations relevant du 1er Pilier de la PAC nécessaires à la bonne gestion et au contrôle du PDRC. (source : CCCOP </w:t>
            </w:r>
            <w:r>
              <w:rPr>
                <w:szCs w:val="24"/>
              </w:rPr>
              <w:t>Exercices 2008-2013, SAI 2013-2014)</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n°1 - R7 : VERIFIER et PRECISER EN OVIN-CAPRIN Définition claire et objective des critères minimaux d’éligibilité du demandeur et de la demande avec parution et large diffusion au public </w:t>
            </w:r>
            <w:r>
              <w:rPr>
                <w:szCs w:val="24"/>
              </w:rPr>
              <w:t>potentiel, formalisation transparente sans interprétation possible des différentes exigences tant en éligibilité qu’en maintien des engagements obligatoires.</w:t>
            </w:r>
          </w:p>
          <w:p w:rsidR="0035701C" w:rsidRDefault="00FB561B">
            <w:pPr>
              <w:spacing w:before="240" w:after="240"/>
              <w:jc w:val="left"/>
              <w:rPr>
                <w:szCs w:val="24"/>
              </w:rPr>
            </w:pPr>
            <w:r>
              <w:rPr>
                <w:szCs w:val="24"/>
              </w:rPr>
              <w:t>n°2 - R11 : PRECISER l'application de la transparence GAEC pour la détermination du plafond primab</w:t>
            </w:r>
            <w:r>
              <w:rPr>
                <w:szCs w:val="24"/>
              </w:rPr>
              <w:t>le. Détail précis et méthodologie de calcul du taux d'aide selon les critères d'éligibilité, et/ou critères de sélection (scoring) dans le DOMO et les notices d'information. Sensibilisation de l'administration et des bénéficiaires..</w:t>
            </w:r>
          </w:p>
          <w:p w:rsidR="0035701C" w:rsidRDefault="00FB561B">
            <w:pPr>
              <w:spacing w:before="240" w:after="240"/>
              <w:jc w:val="left"/>
              <w:rPr>
                <w:szCs w:val="24"/>
              </w:rPr>
            </w:pPr>
            <w:r>
              <w:rPr>
                <w:szCs w:val="24"/>
              </w:rPr>
              <w:t xml:space="preserve">n°3 - R8 : ETABLIR par </w:t>
            </w:r>
            <w:r>
              <w:rPr>
                <w:szCs w:val="24"/>
              </w:rPr>
              <w:t>EM procédure de paramétrage des outils SIGC,</w:t>
            </w:r>
          </w:p>
          <w:p w:rsidR="0035701C" w:rsidRDefault="00FB561B">
            <w:pPr>
              <w:spacing w:before="240" w:after="240"/>
              <w:jc w:val="left"/>
              <w:rPr>
                <w:szCs w:val="24"/>
              </w:rPr>
            </w:pPr>
            <w:r>
              <w:rPr>
                <w:szCs w:val="24"/>
              </w:rPr>
              <w:t>                RESPECT par OP de cette procédure,</w:t>
            </w:r>
          </w:p>
          <w:p w:rsidR="0035701C" w:rsidRDefault="00FB561B">
            <w:pPr>
              <w:spacing w:before="240" w:after="240"/>
              <w:jc w:val="left"/>
              <w:rPr>
                <w:szCs w:val="24"/>
              </w:rPr>
            </w:pPr>
            <w:r>
              <w:rPr>
                <w:szCs w:val="24"/>
              </w:rPr>
              <w:t>                MISE EN PRODUCTION CONFORME dans des délais cohérents avec les mises en paiement.</w:t>
            </w:r>
          </w:p>
          <w:p w:rsidR="0035701C" w:rsidRDefault="00FB561B">
            <w:pPr>
              <w:spacing w:before="240" w:after="240"/>
              <w:jc w:val="left"/>
              <w:rPr>
                <w:szCs w:val="24"/>
              </w:rPr>
            </w:pPr>
            <w:r>
              <w:rPr>
                <w:szCs w:val="24"/>
              </w:rPr>
              <w:t xml:space="preserve">n°4 - R8 : Prise en compte des demandes d'habilitations aux </w:t>
            </w:r>
            <w:r>
              <w:rPr>
                <w:szCs w:val="24"/>
              </w:rPr>
              <w:t>outils déclarés par l'EM formulées par l'OP-ODARC.</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Au vu des cotations matricielles, sur le poids financier de la mesure (&lt;5%), sur les priorités, les risques, les mesures d’atténuation prévues, cette mesure reçoit une é</w:t>
            </w:r>
            <w:r>
              <w:rPr>
                <w:szCs w:val="24"/>
              </w:rPr>
              <w:t>valuation  favorable peu risquée ; Les mécanismes de mise en œuvre sont connus et maîtrisés par tous les acteurs,  les programmations précédentes qui ont suscité des problèmes particuliers sur les outils nationaux SIGC sont pris en charge par l'EM et l'OP.</w:t>
            </w:r>
            <w:r>
              <w:rPr>
                <w:szCs w:val="24"/>
              </w:rPr>
              <w:t xml:space="preserve"> Les recommandations et rappels à la règlementation faits par la Commission lors de l’audit de juin 2012 ont été pris en charge. Un soin particulier sera cependant apporté sur la continuité des engagements pluriannuels, le contrôle de la transparence GAEC,</w:t>
            </w:r>
            <w:r>
              <w:rPr>
                <w:szCs w:val="24"/>
              </w:rPr>
              <w:t xml:space="preserve"> la qualité de sélectionneur.</w:t>
            </w:r>
          </w:p>
          <w:p w:rsidR="0035701C" w:rsidRDefault="00FB561B">
            <w:pPr>
              <w:spacing w:before="240" w:after="240"/>
              <w:jc w:val="left"/>
              <w:rPr>
                <w:szCs w:val="24"/>
              </w:rPr>
            </w:pPr>
            <w:r>
              <w:rPr>
                <w:szCs w:val="24"/>
              </w:rPr>
              <w:t>- La phase d'instruction des demandes d'aides du PDRC SIGC étant dorénavant gérée directement par l'OP-ODARC, les risques relatifs à la bonne transmission des informations entre les partenaires sont fortement diminués.</w:t>
            </w:r>
          </w:p>
          <w:p w:rsidR="0035701C" w:rsidRDefault="00FB561B">
            <w:pPr>
              <w:spacing w:before="240" w:after="240"/>
              <w:jc w:val="left"/>
              <w:rPr>
                <w:szCs w:val="24"/>
              </w:rPr>
            </w:pPr>
            <w:r>
              <w:rPr>
                <w:szCs w:val="24"/>
              </w:rPr>
              <w:t>- Conce</w:t>
            </w:r>
            <w:r>
              <w:rPr>
                <w:szCs w:val="24"/>
              </w:rPr>
              <w:t>rnant l'évaluation globale de la mesure : la mesure est contrôlable sous réserve de la mise en place d'actions d'atténuation et des précisions apportées dans les documents de mise en œuvre notamment sur la nécessité de bien contrôler l'éligibilité du deman</w:t>
            </w:r>
            <w:r>
              <w:rPr>
                <w:szCs w:val="24"/>
              </w:rPr>
              <w:t>deur, et la stricte adéquation des outils de gestion de l'EM aux exigences de la mesure du PDRC. Une surveillance particulière sera assurée par l'OP sur la qualité des paramétrages, des saisies des demandes d'aide et de leur contrôle administratif. Ces der</w:t>
            </w:r>
            <w:r>
              <w:rPr>
                <w:szCs w:val="24"/>
              </w:rPr>
              <w:t>niers éléments font l'objet d'un conventionnement EM/OP.</w:t>
            </w:r>
          </w:p>
          <w:p w:rsidR="0035701C" w:rsidRDefault="0035701C">
            <w:pPr>
              <w:pStyle w:val="Corpsdetexte"/>
            </w:pPr>
          </w:p>
        </w:tc>
      </w:tr>
    </w:tbl>
    <w:p w:rsidR="0035701C" w:rsidRDefault="00FB561B">
      <w:pPr>
        <w:pStyle w:val="Titre6"/>
      </w:pPr>
      <w:r>
        <w:t>Informations spécifiques sur l'opération</w:t>
      </w:r>
    </w:p>
    <w:p w:rsidR="0035701C" w:rsidRDefault="00FB561B">
      <w:r>
        <w:t>Détermination et définition des éléments du niveau de référence applicable, qui doivent inclure les normes obligatoires établies en application du titre VI,</w:t>
      </w:r>
      <w:r>
        <w:t xml:space="preserve"> chapitre I, du règlement (UE) n° 1306/2013 du Parlement européen et du Conseil, les critères pertinents et les activités minimales établies en application de l'article 4, paragraphe 1, point c) ii) et c) iii), du règlement (UE) n° 1307/2013 du Parlement e</w:t>
      </w:r>
      <w:r>
        <w:t>uropéen et du Conseil, les exigences minimales applicables à l'utilisation des engrais et des produits phytosanitaire ainsi que les autres exigences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Description des éléments de la ligne de base :</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391275" cy="866775"/>
                  <wp:effectExtent l="0" t="0" r="0" b="0"/>
                  <wp:docPr id="100288" name="Image 100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89" name=""/>
                          <pic:cNvPicPr>
                            <a:picLocks noChangeAspect="1"/>
                          </pic:cNvPicPr>
                        </pic:nvPicPr>
                        <pic:blipFill>
                          <a:blip r:embed="rId149"/>
                          <a:stretch>
                            <a:fillRect/>
                          </a:stretch>
                        </pic:blipFill>
                        <pic:spPr>
                          <a:xfrm>
                            <a:off x="0" y="0"/>
                            <a:ext cx="6391275" cy="866775"/>
                          </a:xfrm>
                          <a:prstGeom prst="rect">
                            <a:avLst/>
                          </a:prstGeom>
                        </pic:spPr>
                      </pic:pic>
                    </a:graphicData>
                  </a:graphic>
                </wp:inline>
              </w:drawing>
            </w:r>
          </w:p>
          <w:p w:rsidR="0035701C" w:rsidRDefault="00FB561B">
            <w:pPr>
              <w:pStyle w:val="Pieddepage"/>
              <w:jc w:val="center"/>
            </w:pPr>
            <w:r>
              <w:t>1</w:t>
            </w:r>
            <w:r>
              <w:t>0.1.Races menacées_détermination</w:t>
            </w:r>
          </w:p>
          <w:p w:rsidR="0035701C" w:rsidRDefault="0035701C">
            <w:pPr>
              <w:pStyle w:val="Pieddepage"/>
              <w:jc w:val="center"/>
            </w:pPr>
          </w:p>
        </w:tc>
      </w:tr>
    </w:tbl>
    <w:p w:rsidR="0035701C" w:rsidRDefault="00FB561B">
      <w:r>
        <w:t>Les exigences minimales relatives à l'utilisation d'engrais doivent comprendre, entre autres, le respect des codes de bonnes pratiques introduits au titre de la directive 91/676/CEE pour les exploitations situées en dehor</w:t>
      </w:r>
      <w:r>
        <w:t xml:space="preserve">s des zones vulnérables aux nitrates, et des exigences concernant la pollution au phosphore; les exigences minimales relatives à l'utilisation de produits phytosanitaires doivent comprendre, entre autres, les principes généraux de la lutte intégrée contre </w:t>
      </w:r>
      <w:r>
        <w:t>les ennemis des cultures introduits par la directive 2009/128/CE du Parlement européen et du Conseil, l’obligation de détenir une autorisation d’utiliser les produits, de satisfaire aux conditions de formation, d’assurer un stockage sûr et de contrôler les</w:t>
      </w:r>
      <w:r>
        <w:t xml:space="preserve"> équipements destinés à l’épandage ainsi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r>
        <w:t>Liste des races locales qui sont menacées d’être</w:t>
      </w:r>
      <w:r>
        <w:t xml:space="preserv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Les conditions de l’article 7(2) et 7(3) du règlement délégué (UE) n° 807/2014 sont respectées, à savoir : </w:t>
            </w:r>
          </w:p>
          <w:p w:rsidR="0035701C" w:rsidRDefault="00FB561B">
            <w:pPr>
              <w:spacing w:before="240" w:after="240"/>
              <w:jc w:val="left"/>
              <w:rPr>
                <w:szCs w:val="24"/>
              </w:rPr>
            </w:pPr>
            <w:r>
              <w:rPr>
                <w:szCs w:val="24"/>
              </w:rPr>
              <w:t xml:space="preserve">Les races locales concernées par cette </w:t>
            </w:r>
            <w:r>
              <w:rPr>
                <w:szCs w:val="24"/>
              </w:rPr>
              <w:t>mesure sont (Données 2014)</w:t>
            </w:r>
          </w:p>
          <w:p w:rsidR="0035701C" w:rsidRDefault="00FB561B">
            <w:pPr>
              <w:spacing w:before="240" w:after="240"/>
              <w:jc w:val="left"/>
              <w:rPr>
                <w:szCs w:val="24"/>
              </w:rPr>
            </w:pPr>
            <w:r>
              <w:rPr>
                <w:b/>
                <w:bCs/>
                <w:szCs w:val="24"/>
              </w:rPr>
              <w:t>Race ovine corse</w:t>
            </w:r>
            <w:r>
              <w:rPr>
                <w:szCs w:val="24"/>
              </w:rPr>
              <w:t> : 15 633 brebis mères sont inscrites au Livre généalogique de la race. Ce chiffre est certifié par l’Institut de l’Elevage. L’OS Corse, organisme chargé de la conservation de la race possède les capacités et le s</w:t>
            </w:r>
            <w:r>
              <w:rPr>
                <w:szCs w:val="24"/>
              </w:rPr>
              <w:t>avoir-faire nécessaires pour identifier les animaux de race ovine corse.</w:t>
            </w:r>
          </w:p>
          <w:p w:rsidR="0035701C" w:rsidRDefault="00FB561B">
            <w:pPr>
              <w:spacing w:before="240" w:after="240"/>
              <w:jc w:val="left"/>
              <w:rPr>
                <w:szCs w:val="24"/>
              </w:rPr>
            </w:pPr>
            <w:r>
              <w:rPr>
                <w:b/>
                <w:bCs/>
                <w:szCs w:val="24"/>
              </w:rPr>
              <w:t>Race caprine corse</w:t>
            </w:r>
            <w:r>
              <w:rPr>
                <w:szCs w:val="24"/>
              </w:rPr>
              <w:t> : 825 chèvres ayant le statut de « mères à bouc » sont inscrites au Livre zootechnique de la race. Ce chiffre est certifié par CAPGENES (Organisme de sélection nati</w:t>
            </w:r>
            <w:r>
              <w:rPr>
                <w:szCs w:val="24"/>
              </w:rPr>
              <w:t>onal caprin). L’ILOCC (Interprofession ovine et caprine de Corse), organisme chargé de la conservation de la race possède les capacités et le savoir-faire nécessaires pour identifier les animaux de la race caprine corse.</w:t>
            </w:r>
          </w:p>
          <w:p w:rsidR="0035701C" w:rsidRDefault="00FB561B">
            <w:pPr>
              <w:spacing w:before="240" w:after="240"/>
              <w:jc w:val="left"/>
              <w:rPr>
                <w:szCs w:val="24"/>
              </w:rPr>
            </w:pPr>
            <w:r>
              <w:rPr>
                <w:b/>
                <w:bCs/>
                <w:szCs w:val="24"/>
              </w:rPr>
              <w:t>Race porcine Nustrale</w:t>
            </w:r>
            <w:r>
              <w:rPr>
                <w:szCs w:val="24"/>
              </w:rPr>
              <w:t xml:space="preserve"> : 900 truies </w:t>
            </w:r>
            <w:r>
              <w:rPr>
                <w:szCs w:val="24"/>
              </w:rPr>
              <w:t>mères sont inscrites au livre généalogique de la race. Ce chiffre est certifié par l’IFIP (Institut du Porc Français) au travers du LIGERAL (Association des Livres Généalogique des Races Locales). L’ARGRPC (Association Régionale de gestion de la race porci</w:t>
            </w:r>
            <w:r>
              <w:rPr>
                <w:szCs w:val="24"/>
              </w:rPr>
              <w:t>ne corse), organisme chargé de la conservation de la race possède les capacités et le savoir-faire nécessaires pour identifier les animaux de race Nustrale.</w:t>
            </w:r>
          </w:p>
          <w:p w:rsidR="0035701C" w:rsidRDefault="00FB561B">
            <w:pPr>
              <w:spacing w:before="240" w:after="240"/>
              <w:jc w:val="left"/>
              <w:rPr>
                <w:szCs w:val="24"/>
              </w:rPr>
            </w:pPr>
            <w:r>
              <w:rPr>
                <w:b/>
                <w:bCs/>
                <w:szCs w:val="24"/>
              </w:rPr>
              <w:t>Race bovine corse</w:t>
            </w:r>
            <w:r>
              <w:rPr>
                <w:szCs w:val="24"/>
              </w:rPr>
              <w:t> : 507 vaches mères sont inscrites au Livre Généalogique de la race. Ce chiffre es</w:t>
            </w:r>
            <w:r>
              <w:rPr>
                <w:szCs w:val="24"/>
              </w:rPr>
              <w:t>t certifié par l’Institut de l’Elevage. Corsica Vaccaghja (Association Régionale des éleveurs bovins de Corse), organisme chargé de la conservation de la race possède les capacités et le savoir-faire nécessaires pour identifier les animaux de race bovine c</w:t>
            </w:r>
            <w:r>
              <w:rPr>
                <w:szCs w:val="24"/>
              </w:rPr>
              <w:t>orse.</w:t>
            </w:r>
          </w:p>
          <w:p w:rsidR="0035701C" w:rsidRDefault="00FB561B">
            <w:pPr>
              <w:spacing w:before="240" w:after="240"/>
              <w:jc w:val="left"/>
              <w:rPr>
                <w:szCs w:val="24"/>
              </w:rPr>
            </w:pPr>
            <w:r>
              <w:rPr>
                <w:b/>
                <w:bCs/>
                <w:szCs w:val="24"/>
              </w:rPr>
              <w:t>Race équine corse</w:t>
            </w:r>
            <w:r>
              <w:rPr>
                <w:szCs w:val="24"/>
              </w:rPr>
              <w:t> : 130 juments et 9 étalons sont inscrits au Livre Généalogique de la race (Stud-Book). Ce chiffre est certifié par les Haras Nationaux.  U Cavallu Corsu (Association Régionale de la race équine corse), organisme chargé de la conserv</w:t>
            </w:r>
            <w:r>
              <w:rPr>
                <w:szCs w:val="24"/>
              </w:rPr>
              <w:t>ation de la race possède les capacités et le savoir-faire nécessaires pour identifier les animaux de race équine corse.</w:t>
            </w:r>
          </w:p>
          <w:p w:rsidR="0035701C" w:rsidRDefault="0035701C">
            <w:pPr>
              <w:pStyle w:val="Corpsdetexte"/>
            </w:pPr>
          </w:p>
        </w:tc>
      </w:tr>
    </w:tbl>
    <w:p w:rsidR="0035701C" w:rsidRDefault="00FB561B">
      <w:r>
        <w:t>Description de la méthode et des hypothèses et paramètres agronomiques y compris la description des exigences minimales visées à l'art</w:t>
      </w:r>
      <w:r>
        <w:t xml:space="preserve">icle 29, paragraphe 2, du règlement (UE) n° 1305/2013 correspondant à chaque type particulier d'engagement, utilisés comme référence pour les calculs justifiant les coûts supplémentaires et les pertes de revenus résultant de l’engagement pris et le niveau </w:t>
      </w:r>
      <w:r>
        <w:t>des coûts des transactions; le cas échéant, cette méthode tient compte des aides accordées au titre du règlement (UE) n° 1307/2013, et notamment des paiements en faveur des pratiques agricoles bénéfiques pour le climat et l’environnement, afin d’exclure un</w:t>
      </w:r>
      <w:r>
        <w:t xml:space="preserve">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u w:val="single"/>
              </w:rPr>
              <w:t>Prise en compte du verdissement :</w:t>
            </w:r>
          </w:p>
          <w:p w:rsidR="0035701C" w:rsidRDefault="00FB561B">
            <w:pPr>
              <w:spacing w:before="240" w:after="240"/>
              <w:jc w:val="left"/>
              <w:rPr>
                <w:szCs w:val="24"/>
              </w:rPr>
            </w:pPr>
            <w:r>
              <w:rPr>
                <w:szCs w:val="24"/>
              </w:rPr>
              <w:t>Les engagements de la présente opération, n’ont pas d’interaction avec les pratiques ré</w:t>
            </w:r>
            <w:r>
              <w:rPr>
                <w:szCs w:val="24"/>
              </w:rPr>
              <w:t>munérées au titre du verdissement.</w:t>
            </w:r>
          </w:p>
          <w:p w:rsidR="0035701C" w:rsidRDefault="00FB561B">
            <w:pPr>
              <w:spacing w:before="240" w:after="240"/>
              <w:jc w:val="left"/>
              <w:rPr>
                <w:szCs w:val="24"/>
              </w:rPr>
            </w:pPr>
            <w:r>
              <w:rPr>
                <w:b/>
                <w:bCs/>
                <w:szCs w:val="24"/>
                <w:u w:val="single"/>
              </w:rPr>
              <w:t>Justification des montants d’aide pour la conservation des races menacées</w:t>
            </w:r>
          </w:p>
          <w:p w:rsidR="0035701C" w:rsidRDefault="00FB561B">
            <w:pPr>
              <w:spacing w:before="240" w:after="240"/>
              <w:jc w:val="left"/>
              <w:rPr>
                <w:szCs w:val="24"/>
              </w:rPr>
            </w:pPr>
            <w:r>
              <w:rPr>
                <w:szCs w:val="24"/>
              </w:rPr>
              <w:t>Il s’agit des manques à gagner identifiés pour chaque espèce :</w:t>
            </w:r>
          </w:p>
          <w:p w:rsidR="0035701C" w:rsidRDefault="00FB561B" w:rsidP="00FB561B">
            <w:pPr>
              <w:numPr>
                <w:ilvl w:val="0"/>
                <w:numId w:val="864"/>
              </w:numPr>
              <w:spacing w:before="240" w:after="0"/>
              <w:ind w:hanging="210"/>
              <w:jc w:val="left"/>
              <w:rPr>
                <w:szCs w:val="24"/>
              </w:rPr>
            </w:pPr>
            <w:r>
              <w:rPr>
                <w:szCs w:val="24"/>
              </w:rPr>
              <w:t xml:space="preserve">Espèce porcine : comparaison races productives Large White et Land Race / Race </w:t>
            </w:r>
            <w:r>
              <w:rPr>
                <w:szCs w:val="24"/>
              </w:rPr>
              <w:t>Nustrale</w:t>
            </w:r>
          </w:p>
          <w:p w:rsidR="0035701C" w:rsidRDefault="00FB561B" w:rsidP="00FB561B">
            <w:pPr>
              <w:numPr>
                <w:ilvl w:val="0"/>
                <w:numId w:val="864"/>
              </w:numPr>
              <w:spacing w:before="0" w:after="0"/>
              <w:ind w:hanging="210"/>
              <w:jc w:val="left"/>
              <w:rPr>
                <w:szCs w:val="24"/>
              </w:rPr>
            </w:pPr>
            <w:r>
              <w:rPr>
                <w:szCs w:val="24"/>
              </w:rPr>
              <w:t>Espèce ovine : comparaison races productives lacaune, basco-béarnaise et manech / Race corse</w:t>
            </w:r>
          </w:p>
          <w:p w:rsidR="0035701C" w:rsidRDefault="00FB561B" w:rsidP="00FB561B">
            <w:pPr>
              <w:numPr>
                <w:ilvl w:val="0"/>
                <w:numId w:val="864"/>
              </w:numPr>
              <w:spacing w:before="0" w:after="0"/>
              <w:ind w:hanging="210"/>
              <w:jc w:val="left"/>
              <w:rPr>
                <w:szCs w:val="24"/>
              </w:rPr>
            </w:pPr>
            <w:r>
              <w:rPr>
                <w:szCs w:val="24"/>
              </w:rPr>
              <w:t>Espèce caprine : comparaison races productives alpine, Saanen, poitevine pyrénéenne / Race corse</w:t>
            </w:r>
          </w:p>
          <w:p w:rsidR="0035701C" w:rsidRDefault="00FB561B" w:rsidP="00FB561B">
            <w:pPr>
              <w:numPr>
                <w:ilvl w:val="0"/>
                <w:numId w:val="864"/>
              </w:numPr>
              <w:spacing w:before="0" w:after="240"/>
              <w:ind w:hanging="210"/>
              <w:jc w:val="left"/>
              <w:rPr>
                <w:szCs w:val="24"/>
              </w:rPr>
            </w:pPr>
            <w:r>
              <w:rPr>
                <w:szCs w:val="24"/>
              </w:rPr>
              <w:t>Système bovin allaitant : comparaison races productives l</w:t>
            </w:r>
            <w:r>
              <w:rPr>
                <w:szCs w:val="24"/>
              </w:rPr>
              <w:t>imousine, aubrac… / Race corse</w:t>
            </w:r>
          </w:p>
          <w:p w:rsidR="0035701C" w:rsidRDefault="00FB561B">
            <w:pPr>
              <w:spacing w:before="240" w:after="240"/>
              <w:jc w:val="left"/>
              <w:rPr>
                <w:szCs w:val="24"/>
              </w:rPr>
            </w:pPr>
            <w:r>
              <w:rPr>
                <w:szCs w:val="24"/>
              </w:rPr>
              <w:t>Ces exemples conduisent à un montant unique de 200€/UGB.</w:t>
            </w:r>
          </w:p>
          <w:p w:rsidR="0035701C" w:rsidRDefault="00FB561B">
            <w:pPr>
              <w:spacing w:before="240" w:after="240"/>
              <w:jc w:val="left"/>
              <w:rPr>
                <w:szCs w:val="24"/>
              </w:rPr>
            </w:pPr>
            <w:r>
              <w:rPr>
                <w:szCs w:val="24"/>
              </w:rPr>
              <w:t> </w:t>
            </w:r>
          </w:p>
          <w:p w:rsidR="0035701C" w:rsidRDefault="00FB561B" w:rsidP="00FB561B">
            <w:pPr>
              <w:numPr>
                <w:ilvl w:val="0"/>
                <w:numId w:val="865"/>
              </w:numPr>
              <w:spacing w:before="240" w:after="240"/>
              <w:ind w:hanging="210"/>
              <w:jc w:val="left"/>
              <w:rPr>
                <w:szCs w:val="24"/>
              </w:rPr>
            </w:pPr>
            <w:r>
              <w:rPr>
                <w:b/>
                <w:bCs/>
                <w:szCs w:val="24"/>
                <w:u w:val="single"/>
              </w:rPr>
              <w:t>Race porcine NUSTRALE</w:t>
            </w:r>
          </w:p>
          <w:p w:rsidR="0035701C" w:rsidRDefault="00FB561B">
            <w:pPr>
              <w:spacing w:before="240" w:after="240"/>
              <w:jc w:val="left"/>
              <w:rPr>
                <w:szCs w:val="24"/>
              </w:rPr>
            </w:pPr>
            <w:r>
              <w:rPr>
                <w:szCs w:val="24"/>
              </w:rPr>
              <w:t xml:space="preserve">Les performances de croissance des porcs de race Nustrale sont faibles au regard de celles de porcs de races continentales. Les animaux doivent </w:t>
            </w:r>
            <w:r>
              <w:rPr>
                <w:szCs w:val="24"/>
              </w:rPr>
              <w:t>donc être élevés plus longtemps, ce qui induit des coûts de production plus élevés (cf. tableaux joints).</w:t>
            </w:r>
          </w:p>
          <w:p w:rsidR="0035701C" w:rsidRDefault="00FB561B">
            <w:pPr>
              <w:spacing w:before="240" w:after="240"/>
              <w:jc w:val="left"/>
              <w:rPr>
                <w:szCs w:val="24"/>
              </w:rPr>
            </w:pPr>
            <w:r>
              <w:rPr>
                <w:szCs w:val="24"/>
              </w:rPr>
              <w:t>Le différentiel moyen est donc de 121.1 j pour un porc de 100 kg vif.</w:t>
            </w:r>
          </w:p>
          <w:p w:rsidR="0035701C" w:rsidRDefault="00FB561B">
            <w:pPr>
              <w:spacing w:before="240" w:after="240"/>
              <w:jc w:val="left"/>
              <w:rPr>
                <w:szCs w:val="24"/>
              </w:rPr>
            </w:pPr>
            <w:r>
              <w:rPr>
                <w:szCs w:val="24"/>
              </w:rPr>
              <w:t>En moyenne, on compte 1 mâle pour 5 femelles.</w:t>
            </w:r>
          </w:p>
          <w:p w:rsidR="0035701C" w:rsidRDefault="00FB561B">
            <w:pPr>
              <w:spacing w:before="240" w:after="240"/>
              <w:jc w:val="left"/>
              <w:rPr>
                <w:szCs w:val="24"/>
              </w:rPr>
            </w:pPr>
            <w:r>
              <w:rPr>
                <w:b/>
                <w:bCs/>
                <w:i/>
                <w:iCs/>
                <w:szCs w:val="24"/>
              </w:rPr>
              <w:t>Evaluation des pertes :</w:t>
            </w:r>
          </w:p>
          <w:p w:rsidR="0035701C" w:rsidRDefault="00FB561B">
            <w:pPr>
              <w:spacing w:before="240" w:after="240"/>
              <w:jc w:val="left"/>
              <w:rPr>
                <w:szCs w:val="24"/>
              </w:rPr>
            </w:pPr>
            <w:r>
              <w:rPr>
                <w:szCs w:val="24"/>
              </w:rPr>
              <w:t xml:space="preserve">Frais </w:t>
            </w:r>
            <w:r>
              <w:rPr>
                <w:szCs w:val="24"/>
              </w:rPr>
              <w:t>d’alimentation : 2,5 kg/j pendant 121.1 jours (prix aliment : 0,26 €/kg), soit 78.72 €.</w:t>
            </w:r>
          </w:p>
          <w:p w:rsidR="0035701C" w:rsidRDefault="00FB561B">
            <w:pPr>
              <w:spacing w:before="240" w:after="240"/>
              <w:jc w:val="left"/>
              <w:rPr>
                <w:szCs w:val="24"/>
              </w:rPr>
            </w:pPr>
            <w:r>
              <w:rPr>
                <w:szCs w:val="24"/>
              </w:rPr>
              <w:t>Une portée moyenne est évaluée à 11.6 porcelets sevrés, ce qui conduit à environ 23 porcs produits par truie et par an (2 saillies possibles par an).</w:t>
            </w:r>
          </w:p>
          <w:p w:rsidR="0035701C" w:rsidRDefault="00FB561B">
            <w:pPr>
              <w:spacing w:before="240" w:after="240"/>
              <w:jc w:val="left"/>
              <w:rPr>
                <w:szCs w:val="24"/>
              </w:rPr>
            </w:pPr>
            <w:r>
              <w:rPr>
                <w:szCs w:val="24"/>
              </w:rPr>
              <w:t>Au total, la premi</w:t>
            </w:r>
            <w:r>
              <w:rPr>
                <w:szCs w:val="24"/>
              </w:rPr>
              <w:t>ère année, le surcoût de production est estimé à 78.72 € x 23 = 1810.50 € par truie.</w:t>
            </w:r>
          </w:p>
          <w:p w:rsidR="0035701C" w:rsidRDefault="00FB561B">
            <w:pPr>
              <w:spacing w:before="240" w:after="240"/>
              <w:jc w:val="left"/>
              <w:rPr>
                <w:szCs w:val="24"/>
              </w:rPr>
            </w:pPr>
            <w:r>
              <w:rPr>
                <w:szCs w:val="24"/>
              </w:rPr>
              <w:t>Aujourd’hui, le prix de vente de la charcuterie AOC ne permet pas de compenser cette différence.</w:t>
            </w:r>
          </w:p>
          <w:p w:rsidR="0035701C" w:rsidRDefault="00FB561B">
            <w:pPr>
              <w:spacing w:before="240" w:after="240"/>
              <w:jc w:val="left"/>
              <w:rPr>
                <w:szCs w:val="24"/>
              </w:rPr>
            </w:pPr>
            <w:r>
              <w:rPr>
                <w:szCs w:val="24"/>
              </w:rPr>
              <w:t xml:space="preserve">Une aide forfaitaire couvrant une partie de ces frais est donc proposée </w:t>
            </w:r>
            <w:r>
              <w:rPr>
                <w:szCs w:val="24"/>
              </w:rPr>
              <w:t>pour les truies et verrats sélectionnés :</w:t>
            </w:r>
          </w:p>
          <w:p w:rsidR="0035701C" w:rsidRDefault="00FB561B" w:rsidP="00FB561B">
            <w:pPr>
              <w:numPr>
                <w:ilvl w:val="0"/>
                <w:numId w:val="866"/>
              </w:numPr>
              <w:spacing w:before="240" w:after="0"/>
              <w:ind w:hanging="244"/>
              <w:jc w:val="left"/>
              <w:rPr>
                <w:szCs w:val="24"/>
              </w:rPr>
            </w:pPr>
            <w:r>
              <w:rPr>
                <w:b/>
                <w:bCs/>
                <w:szCs w:val="24"/>
                <w:u w:val="single"/>
              </w:rPr>
              <w:t>Truies soit 0,5 UGB : 100 € par animal</w:t>
            </w:r>
          </w:p>
          <w:p w:rsidR="0035701C" w:rsidRDefault="00FB561B" w:rsidP="00FB561B">
            <w:pPr>
              <w:numPr>
                <w:ilvl w:val="0"/>
                <w:numId w:val="866"/>
              </w:numPr>
              <w:spacing w:before="0" w:after="0"/>
              <w:ind w:hanging="244"/>
              <w:jc w:val="left"/>
              <w:rPr>
                <w:szCs w:val="24"/>
              </w:rPr>
            </w:pPr>
            <w:r>
              <w:rPr>
                <w:b/>
                <w:bCs/>
                <w:szCs w:val="24"/>
                <w:u w:val="single"/>
              </w:rPr>
              <w:t>Verrats soit 0,3 UGB : 60 € par animal</w:t>
            </w:r>
          </w:p>
          <w:p w:rsidR="0035701C" w:rsidRDefault="00FB561B" w:rsidP="00FB561B">
            <w:pPr>
              <w:numPr>
                <w:ilvl w:val="0"/>
                <w:numId w:val="866"/>
              </w:numPr>
              <w:spacing w:before="0" w:after="240"/>
              <w:ind w:hanging="244"/>
              <w:jc w:val="left"/>
              <w:rPr>
                <w:szCs w:val="24"/>
              </w:rPr>
            </w:pPr>
            <w:r>
              <w:rPr>
                <w:b/>
                <w:bCs/>
                <w:szCs w:val="24"/>
                <w:u w:val="single"/>
              </w:rPr>
              <w:t>Soit 200€ par UGB</w:t>
            </w:r>
          </w:p>
          <w:p w:rsidR="0035701C" w:rsidRDefault="00FB561B">
            <w:pPr>
              <w:spacing w:before="240" w:after="240"/>
              <w:ind w:left="720"/>
              <w:jc w:val="left"/>
              <w:rPr>
                <w:szCs w:val="24"/>
              </w:rPr>
            </w:pPr>
            <w:r>
              <w:rPr>
                <w:szCs w:val="24"/>
              </w:rPr>
              <w:t> </w:t>
            </w:r>
          </w:p>
          <w:p w:rsidR="0035701C" w:rsidRDefault="00FB561B" w:rsidP="00FB561B">
            <w:pPr>
              <w:numPr>
                <w:ilvl w:val="0"/>
                <w:numId w:val="867"/>
              </w:numPr>
              <w:spacing w:before="240" w:after="240"/>
              <w:ind w:hanging="210"/>
              <w:jc w:val="left"/>
              <w:rPr>
                <w:szCs w:val="24"/>
              </w:rPr>
            </w:pPr>
            <w:r>
              <w:rPr>
                <w:b/>
                <w:bCs/>
                <w:szCs w:val="24"/>
                <w:u w:val="single"/>
              </w:rPr>
              <w:t>Race bovine corse</w:t>
            </w:r>
          </w:p>
          <w:p w:rsidR="0035701C" w:rsidRDefault="00FB561B">
            <w:pPr>
              <w:spacing w:before="240" w:after="240"/>
              <w:jc w:val="left"/>
              <w:rPr>
                <w:szCs w:val="24"/>
              </w:rPr>
            </w:pPr>
            <w:r>
              <w:rPr>
                <w:szCs w:val="24"/>
              </w:rPr>
              <w:t>Les animaux de race bovine corse ont des poids très faibles au regard de ceux des autres races con</w:t>
            </w:r>
            <w:r>
              <w:rPr>
                <w:szCs w:val="24"/>
              </w:rPr>
              <w:t>tinentales. Un éleveur qui s’orientera vers un élevage en pure race corse présentera une production inférieure à celle d’un éleveur qui conduit un troupeau de race pure ou croisée (cf. tableaux joints).</w:t>
            </w:r>
          </w:p>
          <w:p w:rsidR="0035701C" w:rsidRDefault="00FB561B">
            <w:pPr>
              <w:spacing w:before="240" w:after="240"/>
              <w:jc w:val="left"/>
              <w:rPr>
                <w:szCs w:val="24"/>
              </w:rPr>
            </w:pPr>
            <w:r>
              <w:rPr>
                <w:b/>
                <w:bCs/>
                <w:i/>
                <w:iCs/>
                <w:szCs w:val="24"/>
              </w:rPr>
              <w:t>Evaluation des pertes :</w:t>
            </w:r>
          </w:p>
          <w:p w:rsidR="0035701C" w:rsidRDefault="00FB561B">
            <w:pPr>
              <w:spacing w:before="240" w:after="240"/>
              <w:jc w:val="left"/>
              <w:rPr>
                <w:szCs w:val="24"/>
              </w:rPr>
            </w:pPr>
            <w:r>
              <w:rPr>
                <w:szCs w:val="24"/>
              </w:rPr>
              <w:t xml:space="preserve">Différentiel        =&gt; Perte </w:t>
            </w:r>
            <w:r>
              <w:rPr>
                <w:szCs w:val="24"/>
              </w:rPr>
              <w:t>estimée : 349 € par veau.</w:t>
            </w:r>
          </w:p>
          <w:p w:rsidR="0035701C" w:rsidRDefault="00FB561B">
            <w:pPr>
              <w:spacing w:before="240" w:after="240"/>
              <w:jc w:val="left"/>
              <w:rPr>
                <w:szCs w:val="24"/>
              </w:rPr>
            </w:pPr>
            <w:r>
              <w:rPr>
                <w:szCs w:val="24"/>
              </w:rPr>
              <w:t>Une aide forfaitaire couvrant une partie de ces frais est proposée à la conservation de génisses et de taureaux sélectionnés.</w:t>
            </w:r>
          </w:p>
          <w:p w:rsidR="0035701C" w:rsidRDefault="00FB561B" w:rsidP="00FB561B">
            <w:pPr>
              <w:numPr>
                <w:ilvl w:val="0"/>
                <w:numId w:val="868"/>
              </w:numPr>
              <w:spacing w:before="240" w:after="0"/>
              <w:ind w:hanging="244"/>
              <w:jc w:val="left"/>
              <w:rPr>
                <w:szCs w:val="24"/>
              </w:rPr>
            </w:pPr>
            <w:r>
              <w:rPr>
                <w:b/>
                <w:bCs/>
                <w:szCs w:val="24"/>
                <w:u w:val="single"/>
              </w:rPr>
              <w:t>Génisses/taureaux soit 1 UGB : 200 € par animal</w:t>
            </w:r>
          </w:p>
          <w:p w:rsidR="0035701C" w:rsidRDefault="00FB561B" w:rsidP="00FB561B">
            <w:pPr>
              <w:numPr>
                <w:ilvl w:val="0"/>
                <w:numId w:val="868"/>
              </w:numPr>
              <w:spacing w:before="0" w:after="240"/>
              <w:ind w:hanging="244"/>
              <w:jc w:val="left"/>
              <w:rPr>
                <w:szCs w:val="24"/>
              </w:rPr>
            </w:pPr>
            <w:r>
              <w:rPr>
                <w:b/>
                <w:bCs/>
                <w:szCs w:val="24"/>
                <w:u w:val="single"/>
              </w:rPr>
              <w:t>Soit 200€  /UGB*</w:t>
            </w:r>
          </w:p>
          <w:p w:rsidR="0035701C" w:rsidRDefault="00FB561B">
            <w:pPr>
              <w:spacing w:before="240" w:after="240"/>
              <w:ind w:left="720"/>
              <w:jc w:val="left"/>
              <w:rPr>
                <w:szCs w:val="24"/>
              </w:rPr>
            </w:pPr>
            <w:r>
              <w:rPr>
                <w:szCs w:val="24"/>
              </w:rPr>
              <w:t> </w:t>
            </w:r>
          </w:p>
          <w:p w:rsidR="0035701C" w:rsidRDefault="00FB561B" w:rsidP="00FB561B">
            <w:pPr>
              <w:numPr>
                <w:ilvl w:val="0"/>
                <w:numId w:val="869"/>
              </w:numPr>
              <w:spacing w:before="240" w:after="240"/>
              <w:ind w:hanging="210"/>
              <w:jc w:val="left"/>
              <w:rPr>
                <w:szCs w:val="24"/>
              </w:rPr>
            </w:pPr>
            <w:r>
              <w:rPr>
                <w:b/>
                <w:bCs/>
                <w:szCs w:val="24"/>
                <w:u w:val="single"/>
              </w:rPr>
              <w:t>Race ovine corse</w:t>
            </w:r>
          </w:p>
          <w:p w:rsidR="0035701C" w:rsidRDefault="00FB561B">
            <w:pPr>
              <w:spacing w:before="240" w:after="240"/>
              <w:jc w:val="left"/>
              <w:rPr>
                <w:szCs w:val="24"/>
              </w:rPr>
            </w:pPr>
            <w:r>
              <w:rPr>
                <w:szCs w:val="24"/>
              </w:rPr>
              <w:t xml:space="preserve">Les animaux de race </w:t>
            </w:r>
            <w:r>
              <w:rPr>
                <w:szCs w:val="24"/>
              </w:rPr>
              <w:t>ovine corse produisent moins de lait que les races continentales et dans une période beaucoup plus longue (cf. tableaux joints).</w:t>
            </w:r>
          </w:p>
          <w:p w:rsidR="0035701C" w:rsidRDefault="00FB561B">
            <w:pPr>
              <w:spacing w:before="240" w:after="240"/>
              <w:jc w:val="left"/>
              <w:rPr>
                <w:szCs w:val="24"/>
              </w:rPr>
            </w:pPr>
            <w:r>
              <w:rPr>
                <w:szCs w:val="24"/>
              </w:rPr>
              <w:t>Le cours actuel du lait de brebis en Corse est de 1,24 €/l. Sur cette base, on peut évaluer le prix de la production issue d’un</w:t>
            </w:r>
            <w:r>
              <w:rPr>
                <w:szCs w:val="24"/>
              </w:rPr>
              <w:t>e brebis :</w:t>
            </w:r>
          </w:p>
          <w:p w:rsidR="0035701C" w:rsidRDefault="00FB561B" w:rsidP="00FB561B">
            <w:pPr>
              <w:numPr>
                <w:ilvl w:val="0"/>
                <w:numId w:val="870"/>
              </w:numPr>
              <w:spacing w:before="240" w:after="0"/>
              <w:ind w:hanging="244"/>
              <w:jc w:val="left"/>
              <w:rPr>
                <w:szCs w:val="24"/>
              </w:rPr>
            </w:pPr>
            <w:r>
              <w:rPr>
                <w:szCs w:val="24"/>
              </w:rPr>
              <w:t>continentale : 302 €</w:t>
            </w:r>
          </w:p>
          <w:p w:rsidR="0035701C" w:rsidRDefault="00FB561B" w:rsidP="00FB561B">
            <w:pPr>
              <w:numPr>
                <w:ilvl w:val="0"/>
                <w:numId w:val="870"/>
              </w:numPr>
              <w:spacing w:before="0" w:after="240"/>
              <w:ind w:hanging="244"/>
              <w:jc w:val="left"/>
              <w:rPr>
                <w:szCs w:val="24"/>
              </w:rPr>
            </w:pPr>
            <w:r>
              <w:rPr>
                <w:szCs w:val="24"/>
              </w:rPr>
              <w:t>corse : 175 €</w:t>
            </w:r>
          </w:p>
          <w:p w:rsidR="0035701C" w:rsidRDefault="00FB561B">
            <w:pPr>
              <w:spacing w:before="240" w:after="240"/>
              <w:jc w:val="left"/>
              <w:rPr>
                <w:szCs w:val="24"/>
              </w:rPr>
            </w:pPr>
            <w:r>
              <w:rPr>
                <w:szCs w:val="24"/>
              </w:rPr>
              <w:t>Le différentiel avec une brebis de race corse est évalué à 127 € par an.</w:t>
            </w:r>
          </w:p>
          <w:p w:rsidR="0035701C" w:rsidRDefault="00FB561B">
            <w:pPr>
              <w:spacing w:before="240" w:after="240"/>
              <w:jc w:val="left"/>
              <w:rPr>
                <w:szCs w:val="24"/>
              </w:rPr>
            </w:pPr>
            <w:r>
              <w:rPr>
                <w:szCs w:val="24"/>
              </w:rPr>
              <w:t>Une aide plafonnée couvrant une partie des pertes est proposée à la conservation de brebis et de béliers sélectionnés.</w:t>
            </w:r>
          </w:p>
          <w:p w:rsidR="0035701C" w:rsidRDefault="00FB561B" w:rsidP="00FB561B">
            <w:pPr>
              <w:numPr>
                <w:ilvl w:val="0"/>
                <w:numId w:val="871"/>
              </w:numPr>
              <w:spacing w:before="240" w:after="0"/>
              <w:ind w:hanging="244"/>
              <w:jc w:val="left"/>
              <w:rPr>
                <w:szCs w:val="24"/>
              </w:rPr>
            </w:pPr>
            <w:r>
              <w:rPr>
                <w:b/>
                <w:bCs/>
                <w:szCs w:val="24"/>
                <w:u w:val="single"/>
              </w:rPr>
              <w:t xml:space="preserve">Brebis/bélier : </w:t>
            </w:r>
            <w:r>
              <w:rPr>
                <w:b/>
                <w:bCs/>
                <w:szCs w:val="24"/>
                <w:u w:val="single"/>
              </w:rPr>
              <w:t>0,15 UGB : 33.33€ par animal</w:t>
            </w:r>
          </w:p>
          <w:p w:rsidR="0035701C" w:rsidRDefault="00FB561B" w:rsidP="00FB561B">
            <w:pPr>
              <w:numPr>
                <w:ilvl w:val="0"/>
                <w:numId w:val="871"/>
              </w:numPr>
              <w:spacing w:before="0" w:after="240"/>
              <w:ind w:hanging="244"/>
              <w:jc w:val="left"/>
              <w:rPr>
                <w:szCs w:val="24"/>
              </w:rPr>
            </w:pPr>
            <w:r>
              <w:rPr>
                <w:b/>
                <w:bCs/>
                <w:szCs w:val="24"/>
                <w:u w:val="single"/>
              </w:rPr>
              <w:t>Soit  200 € / UGB</w:t>
            </w:r>
          </w:p>
          <w:p w:rsidR="0035701C" w:rsidRDefault="00FB561B">
            <w:pPr>
              <w:spacing w:before="240" w:after="240"/>
              <w:jc w:val="left"/>
              <w:rPr>
                <w:szCs w:val="24"/>
              </w:rPr>
            </w:pPr>
            <w:r>
              <w:rPr>
                <w:szCs w:val="24"/>
              </w:rPr>
              <w:t> </w:t>
            </w:r>
          </w:p>
          <w:p w:rsidR="0035701C" w:rsidRDefault="00FB561B" w:rsidP="00FB561B">
            <w:pPr>
              <w:numPr>
                <w:ilvl w:val="0"/>
                <w:numId w:val="872"/>
              </w:numPr>
              <w:spacing w:before="240" w:after="240"/>
              <w:ind w:hanging="210"/>
              <w:jc w:val="left"/>
              <w:rPr>
                <w:szCs w:val="24"/>
              </w:rPr>
            </w:pPr>
            <w:r>
              <w:rPr>
                <w:b/>
                <w:bCs/>
                <w:szCs w:val="24"/>
                <w:u w:val="single"/>
              </w:rPr>
              <w:t>Race caprine corse</w:t>
            </w:r>
          </w:p>
          <w:p w:rsidR="0035701C" w:rsidRDefault="00FB561B">
            <w:pPr>
              <w:spacing w:before="240" w:after="240"/>
              <w:jc w:val="left"/>
              <w:rPr>
                <w:szCs w:val="24"/>
              </w:rPr>
            </w:pPr>
            <w:r>
              <w:rPr>
                <w:szCs w:val="24"/>
              </w:rPr>
              <w:t>Les animaux de race caprine corse présentent une production inférieure à celle des autres races continentales.</w:t>
            </w:r>
          </w:p>
          <w:p w:rsidR="0035701C" w:rsidRDefault="00FB561B">
            <w:pPr>
              <w:spacing w:before="240" w:after="240"/>
              <w:jc w:val="left"/>
              <w:rPr>
                <w:szCs w:val="24"/>
              </w:rPr>
            </w:pPr>
            <w:r>
              <w:rPr>
                <w:szCs w:val="24"/>
              </w:rPr>
              <w:t>Le cours actuel du lait de chèvre en Corse est de 0,90 €/l. Sur cette base, o</w:t>
            </w:r>
            <w:r>
              <w:rPr>
                <w:szCs w:val="24"/>
              </w:rPr>
              <w:t>n peut évaluer le prix de la production issue d’une chèvre :</w:t>
            </w:r>
          </w:p>
          <w:p w:rsidR="0035701C" w:rsidRDefault="00FB561B" w:rsidP="00FB561B">
            <w:pPr>
              <w:numPr>
                <w:ilvl w:val="0"/>
                <w:numId w:val="873"/>
              </w:numPr>
              <w:spacing w:before="240" w:after="0"/>
              <w:ind w:hanging="210"/>
              <w:jc w:val="left"/>
              <w:rPr>
                <w:szCs w:val="24"/>
              </w:rPr>
            </w:pPr>
            <w:r>
              <w:rPr>
                <w:szCs w:val="24"/>
              </w:rPr>
              <w:t>continentale : 816.3 €</w:t>
            </w:r>
          </w:p>
          <w:p w:rsidR="0035701C" w:rsidRDefault="00FB561B" w:rsidP="00FB561B">
            <w:pPr>
              <w:numPr>
                <w:ilvl w:val="0"/>
                <w:numId w:val="873"/>
              </w:numPr>
              <w:spacing w:before="0" w:after="240"/>
              <w:ind w:hanging="210"/>
              <w:jc w:val="left"/>
              <w:rPr>
                <w:szCs w:val="24"/>
              </w:rPr>
            </w:pPr>
            <w:r>
              <w:rPr>
                <w:szCs w:val="24"/>
              </w:rPr>
              <w:t>corse : 175.5 €</w:t>
            </w:r>
          </w:p>
          <w:p w:rsidR="0035701C" w:rsidRDefault="00FB561B">
            <w:pPr>
              <w:spacing w:before="240" w:after="240"/>
              <w:jc w:val="left"/>
              <w:rPr>
                <w:szCs w:val="24"/>
              </w:rPr>
            </w:pPr>
            <w:r>
              <w:rPr>
                <w:szCs w:val="24"/>
              </w:rPr>
              <w:t>Le différentiel avec une chèvre de race corse est évalué à 640.80€ par an.</w:t>
            </w:r>
          </w:p>
          <w:p w:rsidR="0035701C" w:rsidRDefault="00FB561B">
            <w:pPr>
              <w:spacing w:before="240" w:after="240"/>
              <w:jc w:val="left"/>
              <w:rPr>
                <w:szCs w:val="24"/>
              </w:rPr>
            </w:pPr>
            <w:r>
              <w:rPr>
                <w:szCs w:val="24"/>
              </w:rPr>
              <w:t>Une aide forfaitaire couvrant une partie des pertes est proposée à la conservatio</w:t>
            </w:r>
            <w:r>
              <w:rPr>
                <w:szCs w:val="24"/>
              </w:rPr>
              <w:t>n de chèvres et de boucs sélectionnés.</w:t>
            </w:r>
          </w:p>
          <w:p w:rsidR="0035701C" w:rsidRDefault="00FB561B" w:rsidP="00FB561B">
            <w:pPr>
              <w:numPr>
                <w:ilvl w:val="0"/>
                <w:numId w:val="874"/>
              </w:numPr>
              <w:spacing w:before="240" w:after="0"/>
              <w:ind w:hanging="244"/>
              <w:jc w:val="left"/>
              <w:rPr>
                <w:szCs w:val="24"/>
              </w:rPr>
            </w:pPr>
            <w:r>
              <w:rPr>
                <w:b/>
                <w:bCs/>
                <w:szCs w:val="24"/>
                <w:u w:val="single"/>
              </w:rPr>
              <w:t>Chèvre/bouc : 0,15 UGB : 33.33€ par animal</w:t>
            </w:r>
          </w:p>
          <w:p w:rsidR="0035701C" w:rsidRDefault="00FB561B" w:rsidP="00FB561B">
            <w:pPr>
              <w:numPr>
                <w:ilvl w:val="0"/>
                <w:numId w:val="874"/>
              </w:numPr>
              <w:spacing w:before="0" w:after="240"/>
              <w:ind w:hanging="244"/>
              <w:jc w:val="left"/>
              <w:rPr>
                <w:szCs w:val="24"/>
              </w:rPr>
            </w:pPr>
            <w:r>
              <w:rPr>
                <w:b/>
                <w:bCs/>
                <w:szCs w:val="24"/>
                <w:u w:val="single"/>
              </w:rPr>
              <w:t>Soit  200 € / UGB.</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u w:val="single"/>
              </w:rPr>
              <w:t>Correspondance Animaux / UGB :</w:t>
            </w:r>
          </w:p>
          <w:p w:rsidR="0035701C" w:rsidRDefault="00FB561B" w:rsidP="00FB561B">
            <w:pPr>
              <w:numPr>
                <w:ilvl w:val="0"/>
                <w:numId w:val="875"/>
              </w:numPr>
              <w:spacing w:before="240" w:after="0"/>
              <w:ind w:hanging="210"/>
              <w:jc w:val="left"/>
              <w:rPr>
                <w:szCs w:val="24"/>
              </w:rPr>
            </w:pPr>
            <w:r>
              <w:rPr>
                <w:szCs w:val="24"/>
              </w:rPr>
              <w:t>Taureaux, vaches de plus de 2 ans, équidés de plus de 6 mois: 1,00 UGB</w:t>
            </w:r>
          </w:p>
          <w:p w:rsidR="0035701C" w:rsidRDefault="00FB561B" w:rsidP="00FB561B">
            <w:pPr>
              <w:numPr>
                <w:ilvl w:val="0"/>
                <w:numId w:val="875"/>
              </w:numPr>
              <w:spacing w:before="0" w:after="0"/>
              <w:ind w:hanging="210"/>
              <w:jc w:val="left"/>
              <w:rPr>
                <w:szCs w:val="24"/>
              </w:rPr>
            </w:pPr>
            <w:r>
              <w:rPr>
                <w:szCs w:val="24"/>
              </w:rPr>
              <w:t>Caprins/Ovins : 0,15 UGB</w:t>
            </w:r>
          </w:p>
          <w:p w:rsidR="0035701C" w:rsidRDefault="00FB561B" w:rsidP="00FB561B">
            <w:pPr>
              <w:numPr>
                <w:ilvl w:val="0"/>
                <w:numId w:val="875"/>
              </w:numPr>
              <w:spacing w:before="0" w:after="0"/>
              <w:ind w:hanging="210"/>
              <w:jc w:val="left"/>
              <w:rPr>
                <w:szCs w:val="24"/>
              </w:rPr>
            </w:pPr>
            <w:r>
              <w:rPr>
                <w:szCs w:val="24"/>
              </w:rPr>
              <w:t xml:space="preserve">Truies reproductrices &gt; </w:t>
            </w:r>
            <w:r>
              <w:rPr>
                <w:szCs w:val="24"/>
              </w:rPr>
              <w:t>50 kg : 0,50 UGB</w:t>
            </w:r>
          </w:p>
          <w:p w:rsidR="0035701C" w:rsidRDefault="00FB561B" w:rsidP="00FB561B">
            <w:pPr>
              <w:numPr>
                <w:ilvl w:val="0"/>
                <w:numId w:val="875"/>
              </w:numPr>
              <w:spacing w:before="0" w:after="240"/>
              <w:ind w:hanging="210"/>
              <w:jc w:val="left"/>
              <w:rPr>
                <w:szCs w:val="24"/>
              </w:rPr>
            </w:pPr>
            <w:r>
              <w:rPr>
                <w:szCs w:val="24"/>
              </w:rPr>
              <w:t>Autres porcins (verrats) : 0,30</w:t>
            </w:r>
          </w:p>
          <w:p w:rsidR="0035701C" w:rsidRDefault="00FB561B">
            <w:pPr>
              <w:spacing w:before="240" w:after="240"/>
              <w:jc w:val="left"/>
              <w:rPr>
                <w:szCs w:val="24"/>
              </w:rPr>
            </w:pPr>
            <w:r>
              <w:rPr>
                <w:i/>
                <w:iCs/>
                <w:szCs w:val="24"/>
              </w:rPr>
              <w:t>                                    Source : Journal officiel de l’Union Européenne du 23/12/2006</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067425" cy="6638925"/>
                  <wp:effectExtent l="0" t="0" r="0" b="0"/>
                  <wp:docPr id="100290" name="Image 100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1" name=""/>
                          <pic:cNvPicPr>
                            <a:picLocks noChangeAspect="1"/>
                          </pic:cNvPicPr>
                        </pic:nvPicPr>
                        <pic:blipFill>
                          <a:blip r:embed="rId150"/>
                          <a:stretch>
                            <a:fillRect/>
                          </a:stretch>
                        </pic:blipFill>
                        <pic:spPr>
                          <a:xfrm>
                            <a:off x="0" y="0"/>
                            <a:ext cx="6067425" cy="6638925"/>
                          </a:xfrm>
                          <a:prstGeom prst="rect">
                            <a:avLst/>
                          </a:prstGeom>
                        </pic:spPr>
                      </pic:pic>
                    </a:graphicData>
                  </a:graphic>
                </wp:inline>
              </w:drawing>
            </w:r>
          </w:p>
          <w:p w:rsidR="0035701C" w:rsidRDefault="00FB561B">
            <w:pPr>
              <w:pStyle w:val="Pieddepage"/>
              <w:jc w:val="center"/>
            </w:pPr>
            <w:r>
              <w:t>PRM-1</w:t>
            </w:r>
          </w:p>
          <w:p w:rsidR="0035701C" w:rsidRDefault="00FB561B">
            <w:pPr>
              <w:pStyle w:val="Pieddepage"/>
              <w:jc w:val="center"/>
            </w:pPr>
            <w:r>
              <w:rPr>
                <w:noProof/>
                <w:lang w:val="fr-FR" w:eastAsia="fr-FR"/>
              </w:rPr>
              <w:drawing>
                <wp:inline distT="0" distB="0" distL="0" distR="0">
                  <wp:extent cx="6029325" cy="7077075"/>
                  <wp:effectExtent l="0" t="0" r="0" b="0"/>
                  <wp:docPr id="100292" name="Image 10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3" name=""/>
                          <pic:cNvPicPr>
                            <a:picLocks noChangeAspect="1"/>
                          </pic:cNvPicPr>
                        </pic:nvPicPr>
                        <pic:blipFill>
                          <a:blip r:embed="rId151"/>
                          <a:stretch>
                            <a:fillRect/>
                          </a:stretch>
                        </pic:blipFill>
                        <pic:spPr>
                          <a:xfrm>
                            <a:off x="0" y="0"/>
                            <a:ext cx="6029325" cy="7077075"/>
                          </a:xfrm>
                          <a:prstGeom prst="rect">
                            <a:avLst/>
                          </a:prstGeom>
                        </pic:spPr>
                      </pic:pic>
                    </a:graphicData>
                  </a:graphic>
                </wp:inline>
              </w:drawing>
            </w:r>
          </w:p>
          <w:p w:rsidR="0035701C" w:rsidRDefault="00FB561B">
            <w:pPr>
              <w:pStyle w:val="Pieddepage"/>
              <w:jc w:val="center"/>
            </w:pPr>
            <w:r>
              <w:t>PRM-2</w:t>
            </w:r>
          </w:p>
          <w:p w:rsidR="0035701C" w:rsidRDefault="00FB561B">
            <w:pPr>
              <w:pStyle w:val="Pieddepage"/>
              <w:jc w:val="center"/>
            </w:pPr>
            <w:r>
              <w:rPr>
                <w:noProof/>
                <w:lang w:val="fr-FR" w:eastAsia="fr-FR"/>
              </w:rPr>
              <w:drawing>
                <wp:inline distT="0" distB="0" distL="0" distR="0">
                  <wp:extent cx="6000750" cy="3695700"/>
                  <wp:effectExtent l="0" t="0" r="0" b="0"/>
                  <wp:docPr id="100294" name="Image 100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5" name=""/>
                          <pic:cNvPicPr>
                            <a:picLocks noChangeAspect="1"/>
                          </pic:cNvPicPr>
                        </pic:nvPicPr>
                        <pic:blipFill>
                          <a:blip r:embed="rId152"/>
                          <a:stretch>
                            <a:fillRect/>
                          </a:stretch>
                        </pic:blipFill>
                        <pic:spPr>
                          <a:xfrm>
                            <a:off x="0" y="0"/>
                            <a:ext cx="6000750" cy="3695700"/>
                          </a:xfrm>
                          <a:prstGeom prst="rect">
                            <a:avLst/>
                          </a:prstGeom>
                        </pic:spPr>
                      </pic:pic>
                    </a:graphicData>
                  </a:graphic>
                </wp:inline>
              </w:drawing>
            </w:r>
          </w:p>
          <w:p w:rsidR="0035701C" w:rsidRDefault="00FB561B">
            <w:pPr>
              <w:pStyle w:val="Pieddepage"/>
              <w:jc w:val="center"/>
            </w:pPr>
            <w:r>
              <w:t>PRM-3</w:t>
            </w:r>
          </w:p>
          <w:p w:rsidR="0035701C" w:rsidRDefault="0035701C">
            <w:pPr>
              <w:pStyle w:val="Pieddepage"/>
              <w:jc w:val="center"/>
            </w:pPr>
          </w:p>
        </w:tc>
      </w:tr>
    </w:tbl>
    <w:p w:rsidR="0035701C" w:rsidRDefault="00FB561B">
      <w:pPr>
        <w:pStyle w:val="Titre4"/>
        <w:jc w:val="left"/>
      </w:pPr>
      <w:r>
        <w:t>Caractère vérifiable et contrôlable des mesures et/ou types d'opérations</w:t>
      </w:r>
    </w:p>
    <w:p w:rsidR="0035701C" w:rsidRDefault="00FB561B">
      <w:pPr>
        <w:pStyle w:val="Titre5"/>
        <w:rPr>
          <w:b w:val="0"/>
        </w:rPr>
      </w:pPr>
      <w:r>
        <w:rPr>
          <w:b w:val="0"/>
        </w:rPr>
        <w:t>Risque(s)</w:t>
      </w:r>
      <w:r>
        <w:rPr>
          <w:b w:val="0"/>
        </w:rPr>
        <w:t xml:space="preserve"> dans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Pour les MAEC surfaciques (la vérifiabilité des TO pollinisation et races menacées sont traités dans ces opérations)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u w:val="single"/>
              </w:rPr>
              <w:t xml:space="preserve">Dialogue AG/OP sur l’évolution du contenu de la mesure </w:t>
            </w:r>
          </w:p>
          <w:p w:rsidR="0035701C" w:rsidRDefault="00FB561B">
            <w:pPr>
              <w:spacing w:before="240" w:after="240"/>
              <w:jc w:val="left"/>
              <w:rPr>
                <w:szCs w:val="24"/>
              </w:rPr>
            </w:pPr>
            <w:r>
              <w:rPr>
                <w:szCs w:val="24"/>
              </w:rPr>
              <w:t xml:space="preserve">- L'OP a demandé que soient bien décrits les </w:t>
            </w:r>
            <w:r>
              <w:rPr>
                <w:szCs w:val="24"/>
              </w:rPr>
              <w:t>conditions d'éligibilité des bénéficiaires de ces opérations et engagements divers des MAEC, et la détermination des montants et taux d'aide, ainsi que les méthodes de contrôle d'admissibilité. Les éléments de Droit, les précisions apportées au présent tex</w:t>
            </w:r>
            <w:r>
              <w:rPr>
                <w:szCs w:val="24"/>
              </w:rPr>
              <w:t>te, ainsi que le détail des éléments de réponse à fournir sur les demandes de paiement sont satisfaisants.</w:t>
            </w:r>
          </w:p>
          <w:p w:rsidR="0035701C" w:rsidRDefault="00FB561B">
            <w:pPr>
              <w:spacing w:before="240" w:after="240"/>
              <w:jc w:val="left"/>
              <w:rPr>
                <w:szCs w:val="24"/>
              </w:rPr>
            </w:pPr>
            <w:r>
              <w:rPr>
                <w:szCs w:val="24"/>
              </w:rPr>
              <w:t>- L'OP insiste sur la bonne information des bénéficiaires et des gestionnaires sur les règles concernant la pluriannualité des engagements le respect</w:t>
            </w:r>
            <w:r>
              <w:rPr>
                <w:szCs w:val="24"/>
              </w:rPr>
              <w:t xml:space="preserve"> des lignes de base, des BCAE de la conditionnalité et plus particulièrement sur la gestion des résiliations partielles ou totales, des cessions-reprises, ainsi que des éventuels avenants concernant principalement les évolutions des éléments surfaciques so</w:t>
            </w:r>
            <w:r>
              <w:rPr>
                <w:szCs w:val="24"/>
              </w:rPr>
              <w:t>us engagements.</w:t>
            </w:r>
          </w:p>
          <w:p w:rsidR="0035701C" w:rsidRDefault="00FB561B">
            <w:pPr>
              <w:spacing w:before="240" w:after="240"/>
              <w:jc w:val="left"/>
              <w:rPr>
                <w:szCs w:val="24"/>
              </w:rPr>
            </w:pPr>
            <w:r>
              <w:rPr>
                <w:szCs w:val="24"/>
              </w:rPr>
              <w:t>L'OP souhaite cependant rappeler que les aides directes (1er pilier) sont payées par un autre OP qui est également en charge du développement des outils SIGC pour l'Etat Membre. Les dispositions prévues par l'AG en Corse ne suscitent pas de</w:t>
            </w:r>
            <w:r>
              <w:rPr>
                <w:szCs w:val="24"/>
              </w:rPr>
              <w:t xml:space="preserve"> difficultés particulières pour s'intégrer dans les outils nationaux.</w:t>
            </w:r>
          </w:p>
          <w:p w:rsidR="0035701C" w:rsidRDefault="00FB561B">
            <w:pPr>
              <w:spacing w:before="240" w:after="240"/>
              <w:jc w:val="left"/>
              <w:rPr>
                <w:szCs w:val="24"/>
              </w:rPr>
            </w:pPr>
            <w:r>
              <w:rPr>
                <w:szCs w:val="24"/>
                <w:u w:val="single"/>
              </w:rPr>
              <w:t>Risques identifiés selon la méthodologie présentée par l’OP (cf. chapitre 18)</w:t>
            </w:r>
          </w:p>
          <w:p w:rsidR="0035701C" w:rsidRDefault="00FB561B">
            <w:pPr>
              <w:spacing w:before="240" w:after="240"/>
              <w:jc w:val="left"/>
              <w:rPr>
                <w:szCs w:val="24"/>
              </w:rPr>
            </w:pPr>
            <w:r>
              <w:rPr>
                <w:szCs w:val="24"/>
              </w:rPr>
              <w:t xml:space="preserve">n°1 - R1 : Définition claire et objective des critères minimaux d’éligibilité du demandeur et de la demande </w:t>
            </w:r>
            <w:r>
              <w:rPr>
                <w:szCs w:val="24"/>
              </w:rPr>
              <w:t>avec parution et large diffusion au public potentiel, formalisation transparente sans interprétation possible des différentes exigences tant en éligibilité qu’en maintien des engagements obligatoires. (source : 2007-2013 en continu Formation de l'administr</w:t>
            </w:r>
            <w:r>
              <w:rPr>
                <w:szCs w:val="24"/>
              </w:rPr>
              <w:t>ation, des Partenaires, des Bénéficiaires, Multiplicité des précisions sur « Guidance » (notes de cadrage))</w:t>
            </w:r>
          </w:p>
          <w:p w:rsidR="0035701C" w:rsidRDefault="00FB561B">
            <w:pPr>
              <w:spacing w:before="240" w:after="240"/>
              <w:jc w:val="left"/>
              <w:rPr>
                <w:szCs w:val="24"/>
              </w:rPr>
            </w:pPr>
            <w:r>
              <w:rPr>
                <w:szCs w:val="24"/>
              </w:rPr>
              <w:t xml:space="preserve">n°2 - R1 : RESPECT DES LIGNES DE BASE ET BCAE Définition claire et objective des critères minimaux d’éligibilité du demandeur et de la demande avec </w:t>
            </w:r>
            <w:r>
              <w:rPr>
                <w:szCs w:val="24"/>
              </w:rPr>
              <w:t>parution et large diffusion au public potentiel, formalisation transparente sans interprétation possible des différentes exigences tant en éligibilité qu’en maintien des engagements obligatoires. (source : 2007-2013 en continu Formation de l'administration</w:t>
            </w:r>
            <w:r>
              <w:rPr>
                <w:szCs w:val="24"/>
              </w:rPr>
              <w:t>, des Partenaires, des Bénéficiaires, Multiplicité des précisions sur « Guidance » (notes de cadrage))</w:t>
            </w:r>
          </w:p>
          <w:p w:rsidR="0035701C" w:rsidRDefault="00FB561B">
            <w:pPr>
              <w:spacing w:before="240" w:after="240"/>
              <w:jc w:val="left"/>
              <w:rPr>
                <w:szCs w:val="24"/>
              </w:rPr>
            </w:pPr>
            <w:r>
              <w:rPr>
                <w:szCs w:val="24"/>
              </w:rPr>
              <w:t>n°3 - R5 : Possibilité de non reconduction de l'engagement pluri annuel (source : AUDIT J4 JUIN 2012)</w:t>
            </w:r>
          </w:p>
          <w:p w:rsidR="0035701C" w:rsidRDefault="00FB561B">
            <w:pPr>
              <w:spacing w:before="240" w:after="240"/>
              <w:jc w:val="left"/>
              <w:rPr>
                <w:szCs w:val="24"/>
              </w:rPr>
            </w:pPr>
            <w:r>
              <w:rPr>
                <w:szCs w:val="24"/>
              </w:rPr>
              <w:t>n°4 - R8 : Paramétrage adéquat des outils ETAT MEMB</w:t>
            </w:r>
            <w:r>
              <w:rPr>
                <w:szCs w:val="24"/>
              </w:rPr>
              <w:t>RE -Effectivité de la mise à disposition des outils en conformité avec les exigences du PDRC. Dans le cadre des mesures « Surfaces » et "Hors Surfaces" vigilance accrue sur la disponibilité et l’adéquation des outils de gestion nationaux au regard des exig</w:t>
            </w:r>
            <w:r>
              <w:rPr>
                <w:szCs w:val="24"/>
              </w:rPr>
              <w:t>ences du présent PDRC. (source : DG AGRI 2011, DG AGRI 2013, CCCOP Exercices 2008-2013, SAI 2013-2014, Audit d'agrément DG AGRI J5 (juin 2014))</w:t>
            </w:r>
          </w:p>
          <w:p w:rsidR="0035701C" w:rsidRDefault="00FB561B">
            <w:pPr>
              <w:spacing w:before="240" w:after="240"/>
              <w:jc w:val="left"/>
              <w:rPr>
                <w:szCs w:val="24"/>
              </w:rPr>
            </w:pPr>
            <w:r>
              <w:rPr>
                <w:szCs w:val="24"/>
              </w:rPr>
              <w:t>n°5 - R8 : Accessibilité pour l’OP comme pour l’AG aux informations relevant du 1er Pilier de la PAC nécessaires</w:t>
            </w:r>
            <w:r>
              <w:rPr>
                <w:szCs w:val="24"/>
              </w:rPr>
              <w:t xml:space="preserve"> à la bonne gestion et au contrôle du PDRC. (source : CCCOP Exercices 2008-2013, SAI 2013-2014)</w:t>
            </w:r>
          </w:p>
          <w:p w:rsidR="0035701C" w:rsidRDefault="0035701C">
            <w:pPr>
              <w:pStyle w:val="Corpsdetexte"/>
            </w:pPr>
          </w:p>
        </w:tc>
      </w:tr>
    </w:tbl>
    <w:p w:rsidR="0035701C" w:rsidRDefault="00FB561B">
      <w:pPr>
        <w:pStyle w:val="Titre5"/>
        <w:rPr>
          <w:b w:val="0"/>
        </w:rPr>
      </w:pPr>
      <w:r>
        <w:rPr>
          <w:b w:val="0"/>
        </w:rP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Pour les MAEC surfaciques (la vérifiabilité des TO pollinisation et races menacées sont traités dans ces opérations)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xml:space="preserve">n°1 - R1 : </w:t>
            </w:r>
            <w:r>
              <w:rPr>
                <w:szCs w:val="24"/>
              </w:rPr>
              <w:t>APPLIQUER à minima  l'article 9 du R UE 1307/2014.</w:t>
            </w:r>
          </w:p>
          <w:p w:rsidR="0035701C" w:rsidRDefault="00FB561B">
            <w:pPr>
              <w:spacing w:before="240" w:after="240"/>
              <w:jc w:val="left"/>
              <w:rPr>
                <w:szCs w:val="24"/>
              </w:rPr>
            </w:pPr>
            <w:r>
              <w:rPr>
                <w:szCs w:val="24"/>
              </w:rPr>
              <w:t>n°2 - R1 : INFORMER SENSIBILISER dès la demande de diagnostic environnemental sur les exigences BCAE, les lignes de Base la Conditionnalité et l'ensemble des engagements à respecter tout au long du contrat</w:t>
            </w:r>
            <w:r>
              <w:rPr>
                <w:szCs w:val="24"/>
              </w:rPr>
              <w:t>.</w:t>
            </w:r>
          </w:p>
          <w:p w:rsidR="0035701C" w:rsidRDefault="00FB561B">
            <w:pPr>
              <w:spacing w:before="240" w:after="240"/>
              <w:jc w:val="left"/>
              <w:rPr>
                <w:szCs w:val="24"/>
              </w:rPr>
            </w:pPr>
            <w:r>
              <w:rPr>
                <w:szCs w:val="24"/>
              </w:rPr>
              <w:t>n°3 - R5 : CONTROLER administrativement Par le biais d'une demande de paiement et déclaration de surface annuelle, suivi du respect des engagements pluri annuels, tout au long du contrat.</w:t>
            </w:r>
          </w:p>
          <w:p w:rsidR="0035701C" w:rsidRDefault="00FB561B">
            <w:pPr>
              <w:spacing w:before="240" w:after="240"/>
              <w:jc w:val="left"/>
              <w:rPr>
                <w:szCs w:val="24"/>
              </w:rPr>
            </w:pPr>
            <w:r>
              <w:rPr>
                <w:szCs w:val="24"/>
              </w:rPr>
              <w:t>n°4 - R8 : ETABLIR par EM procédure de paramétrage des outils SIGC</w:t>
            </w:r>
            <w:r>
              <w:rPr>
                <w:szCs w:val="24"/>
              </w:rPr>
              <w:t>,</w:t>
            </w:r>
          </w:p>
          <w:p w:rsidR="0035701C" w:rsidRDefault="00FB561B">
            <w:pPr>
              <w:spacing w:before="240" w:after="240"/>
              <w:jc w:val="left"/>
              <w:rPr>
                <w:szCs w:val="24"/>
              </w:rPr>
            </w:pPr>
            <w:r>
              <w:rPr>
                <w:szCs w:val="24"/>
              </w:rPr>
              <w:t>                RESPECT par OP de cette procédure,</w:t>
            </w:r>
          </w:p>
          <w:p w:rsidR="0035701C" w:rsidRDefault="00FB561B">
            <w:pPr>
              <w:spacing w:before="240" w:after="240"/>
              <w:jc w:val="left"/>
              <w:rPr>
                <w:szCs w:val="24"/>
              </w:rPr>
            </w:pPr>
            <w:r>
              <w:rPr>
                <w:szCs w:val="24"/>
              </w:rPr>
              <w:t>                MISE EN PRODUCTION CONFORME dans des délais cohérents avec les mises en paiement.</w:t>
            </w:r>
          </w:p>
          <w:p w:rsidR="0035701C" w:rsidRDefault="00FB561B">
            <w:pPr>
              <w:spacing w:before="240" w:after="240"/>
              <w:jc w:val="left"/>
              <w:rPr>
                <w:szCs w:val="24"/>
              </w:rPr>
            </w:pPr>
            <w:r>
              <w:rPr>
                <w:szCs w:val="24"/>
              </w:rPr>
              <w:t xml:space="preserve">n°5 - R8 : Prise en compte des demandes d'habilitations aux outils déclarés par l'EM formulées par </w:t>
            </w:r>
            <w:r>
              <w:rPr>
                <w:szCs w:val="24"/>
              </w:rPr>
              <w:t>l'OP-ODARC.</w:t>
            </w:r>
          </w:p>
          <w:p w:rsidR="0035701C" w:rsidRDefault="0035701C">
            <w:pPr>
              <w:pStyle w:val="Corpsdetexte"/>
            </w:pPr>
          </w:p>
        </w:tc>
      </w:tr>
    </w:tbl>
    <w:p w:rsidR="0035701C" w:rsidRDefault="00FB561B">
      <w:pPr>
        <w:pStyle w:val="Titre5"/>
        <w:rPr>
          <w:b w:val="0"/>
        </w:rPr>
      </w:pPr>
      <w:r>
        <w:rPr>
          <w:b w:val="0"/>
        </w:rP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Pour les MAEC surfaciques (la vérifiabilité des TO pollinisation et races menacées sont traités dans ces opérations)</w:t>
            </w:r>
          </w:p>
          <w:p w:rsidR="0035701C" w:rsidRDefault="00FB561B">
            <w:pPr>
              <w:spacing w:before="240" w:after="240"/>
              <w:jc w:val="left"/>
              <w:rPr>
                <w:szCs w:val="24"/>
              </w:rPr>
            </w:pPr>
            <w:r>
              <w:rPr>
                <w:szCs w:val="24"/>
              </w:rPr>
              <w:t>- Au vu des cotations matricielles, sur le poids financier de la mesure (&lt;15%), sur les prior</w:t>
            </w:r>
            <w:r>
              <w:rPr>
                <w:szCs w:val="24"/>
              </w:rPr>
              <w:t>ités, les risques, les mesures d’atténuation prévues, cette mesure reçoit une évaluation  favorable peu risquée ; Les mécanismes de mise en œuvre sont connus et maîtrisés par tous les acteurs,  les programmations précédentes qui ont suscité des problèmes p</w:t>
            </w:r>
            <w:r>
              <w:rPr>
                <w:szCs w:val="24"/>
              </w:rPr>
              <w:t>articuliers sur les outils nationaux SIGC sont pris en charge par l'EM et l'OP. Les recommandations et rappels à la règlementation faits par la Commission lors de l’audit de juin 2012 ont été pris en charge. Un soin particulier sera cependant apporté sur l</w:t>
            </w:r>
            <w:r>
              <w:rPr>
                <w:szCs w:val="24"/>
              </w:rPr>
              <w:t>a continuité des engagements pluriannuels.</w:t>
            </w:r>
          </w:p>
          <w:p w:rsidR="0035701C" w:rsidRDefault="00FB561B">
            <w:pPr>
              <w:spacing w:before="240" w:after="240"/>
              <w:jc w:val="left"/>
              <w:rPr>
                <w:szCs w:val="24"/>
              </w:rPr>
            </w:pPr>
            <w:r>
              <w:rPr>
                <w:szCs w:val="24"/>
              </w:rPr>
              <w:t>- La phase d'instruction des demandes d'aides du PDRC SIGC étant dorénavant gérée directement par l'OP-ODARC, les risques relatifs à la bonne transmission des informations entre les partenaires sont fortement dimi</w:t>
            </w:r>
            <w:r>
              <w:rPr>
                <w:szCs w:val="24"/>
              </w:rPr>
              <w:t>nués.</w:t>
            </w:r>
          </w:p>
          <w:p w:rsidR="0035701C" w:rsidRDefault="00FB561B">
            <w:pPr>
              <w:spacing w:before="240" w:after="240"/>
              <w:jc w:val="left"/>
              <w:rPr>
                <w:szCs w:val="24"/>
              </w:rPr>
            </w:pPr>
            <w:r>
              <w:rPr>
                <w:szCs w:val="24"/>
              </w:rPr>
              <w:t>- Concernant l'évaluation globale de la mesure : la mesure est contrôlable sous réserve de la mise en place d'actions d'atténuation et des précisions apportées dans les documents de mise en œuvre notamment sur la nécessité de bien informer en amont (</w:t>
            </w:r>
            <w:r>
              <w:rPr>
                <w:szCs w:val="24"/>
              </w:rPr>
              <w:t xml:space="preserve">diagnostic environnemental) sur les obligations multiples et pluriannuelles, de contrôler l'éligibilité du demandeur, et la stricte adéquation des outils de gestion de l'EM aux exigences de la mesure du PDRC. Une surveillance particulière sera assurée par </w:t>
            </w:r>
            <w:r>
              <w:rPr>
                <w:szCs w:val="24"/>
              </w:rPr>
              <w:t>l'OP sur la qualité des paramétrages, des saisies des demandes d'aide et de leur contrôle administratif. Ces derniers éléments font l'objet d'un conventionnement EM/OP.</w:t>
            </w:r>
          </w:p>
          <w:p w:rsidR="0035701C" w:rsidRDefault="0035701C">
            <w:pPr>
              <w:pStyle w:val="Corpsdetexte"/>
            </w:pPr>
          </w:p>
        </w:tc>
      </w:tr>
    </w:tbl>
    <w:p w:rsidR="0035701C" w:rsidRDefault="00FB561B">
      <w:pPr>
        <w:pStyle w:val="Titre4"/>
        <w:jc w:val="left"/>
      </w:pPr>
      <w:r>
        <w:t>Informations spécifiques sur la mesure</w:t>
      </w:r>
    </w:p>
    <w:p w:rsidR="0035701C" w:rsidRDefault="00FB561B">
      <w:r>
        <w:t xml:space="preserve">Détermination et définition des éléments du </w:t>
      </w:r>
      <w:r>
        <w:t xml:space="preserve">niveau de référence applicable, qui doivent inclure les normes obligatoires établies en application du titre VI, chapitre I, du règlement (UE) n° 1306/2013 du Parlement européen et du Conseil, les critères pertinents et les activités minimales établies en </w:t>
      </w:r>
      <w:r>
        <w:t>application de l'article 4, paragraphe 1, point c) ii) et c) iii), du règlement (UE) n° 1307/2013 du Parlement européen et du Conseil, les exigences minimales applicables à l'utilisation des engrais et des produits phytosanitaire ainsi que les autres exige</w:t>
      </w:r>
      <w:r>
        <w:t>nces obligatoires pertinentes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En cours</w:t>
            </w:r>
          </w:p>
          <w:p w:rsidR="0035701C" w:rsidRDefault="0035701C">
            <w:pPr>
              <w:pStyle w:val="Corpsdetexte"/>
            </w:pPr>
          </w:p>
        </w:tc>
      </w:tr>
    </w:tbl>
    <w:p w:rsidR="0035701C" w:rsidRDefault="00FB561B">
      <w:pPr>
        <w:spacing w:after="100"/>
      </w:pPr>
      <w:r>
        <w:t>Les exigences minimales relatives à l'utilisation d'engrais doivent comprendre, entre autres, le respect des codes de bonnes pratiques introduits au titre de la directive 91/676/CEE po</w:t>
      </w:r>
      <w:r>
        <w:t xml:space="preserve">ur les exploitations situées en dehors des zones vulnérables aux nitrates, et des exigences concernant la pollution au phosphore; les exigences minimales relatives à l'utilisation de produits phytosanitaires doivent comprendre, entre autres, les principes </w:t>
      </w:r>
      <w:r>
        <w:t>généraux de la lutte intégrée contre les ennemis des cultures introduits par la directive 2009/128/CE du Parlement européen et du Conseil, l’obligation de détenir une autorisation d’utiliser les produits, de satisfaire aux conditions de formation, d’assure</w:t>
      </w:r>
      <w:r>
        <w:t>r un stockage sûr et de contrôler les équipements destinés à l’épandage ainsi que les règles relatives à l’utilisation de pesticides à proximité d’étendues d’eau et d’autres sites sensibles, telles qu'établies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En cours</w:t>
            </w:r>
          </w:p>
          <w:p w:rsidR="0035701C" w:rsidRDefault="0035701C">
            <w:pPr>
              <w:pStyle w:val="Corpsdetexte"/>
              <w:spacing w:after="100"/>
            </w:pPr>
          </w:p>
        </w:tc>
      </w:tr>
    </w:tbl>
    <w:p w:rsidR="0035701C" w:rsidRDefault="00FB561B">
      <w:pPr>
        <w:spacing w:after="100"/>
      </w:pPr>
      <w:r>
        <w:t>Liste des rac</w:t>
      </w:r>
      <w:r>
        <w:t>es locales qui sont menacées d’être perdues pour l’agriculture et des ressources génétiques végétales qui sont menacées d’érosion génétique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Races locales menacées :</w:t>
            </w:r>
          </w:p>
          <w:p w:rsidR="0035701C" w:rsidRDefault="00FB561B" w:rsidP="00FB561B">
            <w:pPr>
              <w:numPr>
                <w:ilvl w:val="0"/>
                <w:numId w:val="876"/>
              </w:numPr>
              <w:spacing w:before="240" w:after="0"/>
              <w:ind w:hanging="210"/>
              <w:jc w:val="left"/>
              <w:rPr>
                <w:szCs w:val="24"/>
              </w:rPr>
            </w:pPr>
            <w:r>
              <w:rPr>
                <w:szCs w:val="24"/>
              </w:rPr>
              <w:t>porcins race Corse</w:t>
            </w:r>
          </w:p>
          <w:p w:rsidR="0035701C" w:rsidRDefault="00FB561B" w:rsidP="00FB561B">
            <w:pPr>
              <w:numPr>
                <w:ilvl w:val="0"/>
                <w:numId w:val="876"/>
              </w:numPr>
              <w:spacing w:before="0" w:after="0"/>
              <w:ind w:hanging="210"/>
              <w:jc w:val="left"/>
              <w:rPr>
                <w:szCs w:val="24"/>
              </w:rPr>
            </w:pPr>
            <w:r>
              <w:rPr>
                <w:szCs w:val="24"/>
              </w:rPr>
              <w:t>ovins race Corse</w:t>
            </w:r>
          </w:p>
          <w:p w:rsidR="0035701C" w:rsidRDefault="00FB561B" w:rsidP="00FB561B">
            <w:pPr>
              <w:numPr>
                <w:ilvl w:val="0"/>
                <w:numId w:val="876"/>
              </w:numPr>
              <w:spacing w:before="0" w:after="0"/>
              <w:ind w:hanging="210"/>
              <w:jc w:val="left"/>
              <w:rPr>
                <w:szCs w:val="24"/>
              </w:rPr>
            </w:pPr>
            <w:r>
              <w:rPr>
                <w:szCs w:val="24"/>
              </w:rPr>
              <w:t>bovins race Corse</w:t>
            </w:r>
          </w:p>
          <w:p w:rsidR="0035701C" w:rsidRDefault="00FB561B" w:rsidP="00FB561B">
            <w:pPr>
              <w:numPr>
                <w:ilvl w:val="0"/>
                <w:numId w:val="876"/>
              </w:numPr>
              <w:spacing w:before="0" w:after="0"/>
              <w:ind w:hanging="210"/>
              <w:jc w:val="left"/>
              <w:rPr>
                <w:szCs w:val="24"/>
              </w:rPr>
            </w:pPr>
            <w:r>
              <w:rPr>
                <w:szCs w:val="24"/>
              </w:rPr>
              <w:t>caprins race Corse</w:t>
            </w:r>
          </w:p>
          <w:p w:rsidR="0035701C" w:rsidRDefault="00FB561B" w:rsidP="00FB561B">
            <w:pPr>
              <w:numPr>
                <w:ilvl w:val="0"/>
                <w:numId w:val="876"/>
              </w:numPr>
              <w:spacing w:before="0" w:after="240"/>
              <w:ind w:hanging="210"/>
              <w:jc w:val="left"/>
              <w:rPr>
                <w:szCs w:val="24"/>
              </w:rPr>
            </w:pPr>
            <w:r>
              <w:rPr>
                <w:szCs w:val="24"/>
              </w:rPr>
              <w:t>équins race Corse</w:t>
            </w:r>
          </w:p>
          <w:p w:rsidR="0035701C" w:rsidRDefault="00FB561B">
            <w:pPr>
              <w:spacing w:before="240" w:after="240"/>
              <w:jc w:val="left"/>
              <w:rPr>
                <w:szCs w:val="24"/>
              </w:rPr>
            </w:pPr>
            <w:r>
              <w:rPr>
                <w:szCs w:val="24"/>
              </w:rPr>
              <w:t> </w:t>
            </w:r>
          </w:p>
          <w:p w:rsidR="0035701C" w:rsidRDefault="0035701C">
            <w:pPr>
              <w:pStyle w:val="Corpsdetexte"/>
              <w:spacing w:after="100"/>
            </w:pPr>
          </w:p>
        </w:tc>
      </w:tr>
    </w:tbl>
    <w:p w:rsidR="0035701C" w:rsidRDefault="00FB561B">
      <w:pPr>
        <w:spacing w:after="100"/>
      </w:pPr>
      <w:r>
        <w:t xml:space="preserve">Description de la méthode et des hypothèses et paramètres agronomiques y compris la description des exigences minimales visées à l'article 29, paragraphe 2, du règlement (UE) n° 1305/2013 correspondant à chaque type particulier d'engagement, utilisés </w:t>
      </w:r>
      <w:r>
        <w:t>comme référence pour les calculs justifiant les coûts supplémentaires et les pertes de revenus résultant de l’engagement pris et le niveau des coûts des transactions; le cas échéant, cette méthode tient compte des aides accordées au titre du règlement (UE)</w:t>
      </w:r>
      <w:r>
        <w:t xml:space="preserve"> n° 1307/2013, et notamment des paiements en faveur des pratiques agricoles bénéfiques pour le climat et l’environnement, afin d’exclure un double financement; le cas échéant, la méthode de conversion utilisée pour d’autres unités conformément à l’article </w:t>
      </w:r>
      <w:r>
        <w:t>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En cours</w:t>
            </w:r>
          </w:p>
          <w:p w:rsidR="0035701C" w:rsidRDefault="0035701C">
            <w:pPr>
              <w:pStyle w:val="Corpsdetexte"/>
              <w:spacing w:after="100"/>
            </w:pPr>
          </w:p>
        </w:tc>
      </w:tr>
    </w:tbl>
    <w:p w:rsidR="0035701C" w:rsidRDefault="00FB561B">
      <w:pPr>
        <w:pStyle w:val="Titre4"/>
        <w:spacing w:after="100"/>
        <w:jc w:val="left"/>
      </w:pPr>
      <w:r>
        <w:t>Autres remarques importantes pour comprendre et mettre en œuvre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L'ensemble des calculs des Types d'Opérations de la Mesure M10 sont établis conformément à l’article 62.2 du règlement FEADER et font l’objet d’une certi</w:t>
            </w:r>
            <w:r>
              <w:rPr>
                <w:szCs w:val="24"/>
              </w:rPr>
              <w:t>fication réalisée par l'organisme "Eco Logique Conseil", figurant au chapitre 18.2</w:t>
            </w:r>
          </w:p>
          <w:p w:rsidR="0035701C" w:rsidRDefault="0035701C">
            <w:pPr>
              <w:pStyle w:val="Corpsdetexte"/>
            </w:pPr>
          </w:p>
        </w:tc>
      </w:tr>
    </w:tbl>
    <w:p w:rsidR="0035701C" w:rsidRDefault="00FB561B">
      <w:pPr>
        <w:pStyle w:val="Titre3"/>
        <w:jc w:val="left"/>
      </w:pPr>
      <w:r>
        <w:br w:type="page"/>
      </w:r>
      <w:bookmarkStart w:id="110" w:name="_Toc256000109"/>
      <w:r>
        <w:t>M11 - Agriculture biologique (article 29)</w:t>
      </w:r>
      <w:bookmarkEnd w:id="110"/>
    </w:p>
    <w:p w:rsidR="0035701C" w:rsidRDefault="00FB561B">
      <w:pPr>
        <w:pStyle w:val="Titre4"/>
        <w:jc w:val="left"/>
      </w:pPr>
      <w:r>
        <w:t>Base juridique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Règlement (UE) n°1305 /2013 du 17 décembre 2013 (FEADER) Article 29</w:t>
            </w:r>
          </w:p>
          <w:p w:rsidR="0035701C" w:rsidRDefault="0035701C">
            <w:pPr>
              <w:pStyle w:val="Corpsdetexte"/>
            </w:pPr>
          </w:p>
        </w:tc>
      </w:tr>
    </w:tbl>
    <w:p w:rsidR="0035701C" w:rsidRDefault="00FB561B">
      <w:pPr>
        <w:pStyle w:val="Titre4"/>
        <w:jc w:val="left"/>
      </w:pPr>
      <w:r>
        <w:t xml:space="preserve">Description générale de la mesure, y </w:t>
      </w:r>
      <w:r>
        <w:t>compris sa logique d'intervention et sa contribution aux domaines prioritaires et à la réalisation des 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passage entre l'agriculture conventionnelle et l'agriculture biologique nécessite une période de transition. Pendant cette péri</w:t>
            </w:r>
            <w:r>
              <w:rPr>
                <w:szCs w:val="24"/>
              </w:rPr>
              <w:t>ode de conversion, le producteur met en œuvre des modes de production rigoureusement identiques et conformes aux règles de production biologiques. Durant cette période, aucun produit ne peut être commercialisé en faisant référence au mode de production A.B</w:t>
            </w:r>
            <w:r>
              <w:rPr>
                <w:szCs w:val="24"/>
              </w:rPr>
              <w:t>. (Agriculture Biologique).</w:t>
            </w:r>
          </w:p>
          <w:p w:rsidR="0035701C" w:rsidRDefault="00FB561B">
            <w:pPr>
              <w:spacing w:before="240" w:after="240"/>
              <w:jc w:val="left"/>
              <w:rPr>
                <w:szCs w:val="24"/>
              </w:rPr>
            </w:pPr>
            <w:r>
              <w:rPr>
                <w:szCs w:val="24"/>
              </w:rPr>
              <w:t>La pratique de l'Agriculture Biologique permet une forte protection de l’environnement (ressource en eau, biodiversité…).</w:t>
            </w:r>
          </w:p>
          <w:p w:rsidR="0035701C" w:rsidRDefault="00FB561B">
            <w:pPr>
              <w:spacing w:before="240" w:after="240"/>
              <w:jc w:val="left"/>
              <w:rPr>
                <w:szCs w:val="24"/>
              </w:rPr>
            </w:pPr>
            <w:r>
              <w:rPr>
                <w:szCs w:val="24"/>
              </w:rPr>
              <w:t xml:space="preserve">En Corse, le nombre de surfaces en Agriculture Biologique a fortement augmenté entre 2007 et 2012. Ainsi, </w:t>
            </w:r>
            <w:r>
              <w:rPr>
                <w:szCs w:val="24"/>
              </w:rPr>
              <w:t>l’Inter Bio Corse dénombrait 4 111 ha en Bio en 2007 pour 9 429 ha de surfaces AB en 2012, soit 5,6% de la SAU totale  (167 896 ha - AGRESTE 2012). La région Corse souhaite encore amplifier cette tendance avec comme objectif l’atteinte de 14 000 ha de surf</w:t>
            </w:r>
            <w:r>
              <w:rPr>
                <w:szCs w:val="24"/>
              </w:rPr>
              <w:t>aces AB en 2020, soit 8.3% de la SAU totale.</w:t>
            </w:r>
          </w:p>
          <w:p w:rsidR="0035701C" w:rsidRDefault="00FB561B">
            <w:pPr>
              <w:spacing w:before="240" w:after="240"/>
              <w:jc w:val="left"/>
              <w:rPr>
                <w:szCs w:val="24"/>
              </w:rPr>
            </w:pPr>
            <w:r>
              <w:rPr>
                <w:szCs w:val="24"/>
              </w:rPr>
              <w:t>Cependant, la pratique de l’Agriculture Biologique engendre néanmoins des surcoûts de production imputables selon les cas qui peuvent freiner des exploitants dans leurs projets de conversion :</w:t>
            </w:r>
          </w:p>
          <w:p w:rsidR="0035701C" w:rsidRDefault="00FB561B" w:rsidP="00FB561B">
            <w:pPr>
              <w:numPr>
                <w:ilvl w:val="0"/>
                <w:numId w:val="877"/>
              </w:numPr>
              <w:spacing w:before="240" w:after="240"/>
              <w:ind w:hanging="210"/>
              <w:jc w:val="left"/>
              <w:rPr>
                <w:szCs w:val="24"/>
              </w:rPr>
            </w:pPr>
            <w:r>
              <w:rPr>
                <w:b/>
                <w:bCs/>
                <w:szCs w:val="24"/>
              </w:rPr>
              <w:t>Des rotations cult</w:t>
            </w:r>
            <w:r>
              <w:rPr>
                <w:b/>
                <w:bCs/>
                <w:szCs w:val="24"/>
              </w:rPr>
              <w:t>urales plus importantes</w:t>
            </w:r>
            <w:r>
              <w:rPr>
                <w:szCs w:val="24"/>
              </w:rPr>
              <w:t xml:space="preserve"> et une diversification de l’assolement,</w:t>
            </w:r>
          </w:p>
          <w:p w:rsidR="0035701C" w:rsidRDefault="00FB561B">
            <w:pPr>
              <w:spacing w:before="240" w:after="240"/>
              <w:jc w:val="left"/>
              <w:rPr>
                <w:szCs w:val="24"/>
              </w:rPr>
            </w:pPr>
            <w:r>
              <w:rPr>
                <w:szCs w:val="24"/>
              </w:rPr>
              <w:t>La nécessité de maintenir la fertilité des sols par les pratiques culturales combinée aux moyens limités de désinfection naturelle des sols impose aux producteurs biologiques la conduite de ro</w:t>
            </w:r>
            <w:r>
              <w:rPr>
                <w:szCs w:val="24"/>
              </w:rPr>
              <w:t>tations longues et complexes (succession de cultures adaptées, souvent avec introduction de prairies temporaires et/ou artificielles (ce qui permet notamment une maîtrise des risques d’érosion mais provoque des coûts supplémentaires sur la diversité du mat</w:t>
            </w:r>
            <w:r>
              <w:rPr>
                <w:szCs w:val="24"/>
              </w:rPr>
              <w:t>ériel et des compétences). Cela induit une augmentation de la biodiversité, tout en entraînant un coût supplémentaire en termes de compétences et de matériel nécessaires,</w:t>
            </w:r>
          </w:p>
          <w:p w:rsidR="0035701C" w:rsidRDefault="00FB561B" w:rsidP="00FB561B">
            <w:pPr>
              <w:numPr>
                <w:ilvl w:val="0"/>
                <w:numId w:val="878"/>
              </w:numPr>
              <w:spacing w:before="240" w:after="240"/>
              <w:ind w:hanging="210"/>
              <w:jc w:val="left"/>
              <w:rPr>
                <w:szCs w:val="24"/>
              </w:rPr>
            </w:pPr>
            <w:r>
              <w:rPr>
                <w:b/>
                <w:bCs/>
                <w:szCs w:val="24"/>
              </w:rPr>
              <w:t>Un travail du sol plus exigeant</w:t>
            </w:r>
          </w:p>
          <w:p w:rsidR="0035701C" w:rsidRDefault="00FB561B">
            <w:pPr>
              <w:spacing w:before="240" w:after="240"/>
              <w:jc w:val="left"/>
              <w:rPr>
                <w:szCs w:val="24"/>
              </w:rPr>
            </w:pPr>
            <w:r>
              <w:rPr>
                <w:szCs w:val="24"/>
              </w:rPr>
              <w:t>notamment déchaumage, labour, faux-semis plus exigean</w:t>
            </w:r>
            <w:r>
              <w:rPr>
                <w:szCs w:val="24"/>
              </w:rPr>
              <w:t>t avec des apports d’engrais organiques, plus coûteux et dont la mise en œuvre est plus lourde,</w:t>
            </w:r>
          </w:p>
          <w:p w:rsidR="0035701C" w:rsidRDefault="00FB561B" w:rsidP="00FB561B">
            <w:pPr>
              <w:numPr>
                <w:ilvl w:val="0"/>
                <w:numId w:val="879"/>
              </w:numPr>
              <w:spacing w:before="240" w:after="240"/>
              <w:ind w:hanging="210"/>
              <w:jc w:val="left"/>
              <w:rPr>
                <w:szCs w:val="24"/>
              </w:rPr>
            </w:pPr>
            <w:r>
              <w:rPr>
                <w:b/>
                <w:bCs/>
                <w:szCs w:val="24"/>
              </w:rPr>
              <w:t>Un couvert végétal « non productif »</w:t>
            </w:r>
          </w:p>
          <w:p w:rsidR="0035701C" w:rsidRDefault="00FB561B">
            <w:pPr>
              <w:spacing w:before="240" w:after="240"/>
              <w:jc w:val="left"/>
              <w:rPr>
                <w:szCs w:val="24"/>
              </w:rPr>
            </w:pPr>
            <w:r>
              <w:rPr>
                <w:szCs w:val="24"/>
              </w:rPr>
              <w:t>L’entretien de la fertilité des sols impose également l’implantation d’engrais verts et/ou de couvert végétal. Pour une con</w:t>
            </w:r>
            <w:r>
              <w:rPr>
                <w:szCs w:val="24"/>
              </w:rPr>
              <w:t>duite optimale des cultures, il est nécessaire de réserver au moins 10 % à 30 % de la surface cultivée en engrais verts une partie de l’année. Cette surface « non productive » représente alors un manque à gagner conséquent pour le producteur mais est néces</w:t>
            </w:r>
            <w:r>
              <w:rPr>
                <w:szCs w:val="24"/>
              </w:rPr>
              <w:t>saire à la réussite des cultures à venir. Elle est très bénéfique à l’environnement, en permettant une limitation de l’érosion hivernale et une réduction du lessivage.</w:t>
            </w:r>
          </w:p>
          <w:p w:rsidR="0035701C" w:rsidRDefault="00FB561B" w:rsidP="00FB561B">
            <w:pPr>
              <w:numPr>
                <w:ilvl w:val="0"/>
                <w:numId w:val="880"/>
              </w:numPr>
              <w:spacing w:before="240" w:after="240"/>
              <w:ind w:hanging="210"/>
              <w:jc w:val="left"/>
              <w:rPr>
                <w:szCs w:val="24"/>
              </w:rPr>
            </w:pPr>
            <w:r>
              <w:rPr>
                <w:b/>
                <w:bCs/>
                <w:szCs w:val="24"/>
              </w:rPr>
              <w:t>Des traitements coûteux</w:t>
            </w:r>
          </w:p>
          <w:p w:rsidR="0035701C" w:rsidRDefault="00FB561B">
            <w:pPr>
              <w:spacing w:before="240" w:after="240"/>
              <w:jc w:val="left"/>
              <w:rPr>
                <w:szCs w:val="24"/>
              </w:rPr>
            </w:pPr>
            <w:r>
              <w:rPr>
                <w:szCs w:val="24"/>
              </w:rPr>
              <w:t xml:space="preserve">Le recours à des techniques de traitement alternatives basées </w:t>
            </w:r>
            <w:r>
              <w:rPr>
                <w:szCs w:val="24"/>
              </w:rPr>
              <w:t>sur l’utilisation de produits naturels conduit à un surcoût significatif (surcoût du produit et répétition des traitements, les molécules naturelles n’étant pas stables ni rémanentes). Il en est de même pour l’utilisation de paillages biodégradables à la p</w:t>
            </w:r>
            <w:r>
              <w:rPr>
                <w:szCs w:val="24"/>
              </w:rPr>
              <w:t>lace du paillage plastique.</w:t>
            </w:r>
          </w:p>
          <w:p w:rsidR="0035701C" w:rsidRDefault="00FB561B" w:rsidP="00FB561B">
            <w:pPr>
              <w:numPr>
                <w:ilvl w:val="0"/>
                <w:numId w:val="881"/>
              </w:numPr>
              <w:spacing w:before="240" w:after="240"/>
              <w:ind w:hanging="210"/>
              <w:jc w:val="left"/>
              <w:rPr>
                <w:szCs w:val="24"/>
              </w:rPr>
            </w:pPr>
            <w:r>
              <w:rPr>
                <w:b/>
                <w:bCs/>
                <w:szCs w:val="24"/>
              </w:rPr>
              <w:t>Un désherbage manuel important</w:t>
            </w:r>
          </w:p>
          <w:p w:rsidR="0035701C" w:rsidRDefault="00FB561B">
            <w:pPr>
              <w:spacing w:before="240" w:after="240"/>
              <w:jc w:val="left"/>
              <w:rPr>
                <w:szCs w:val="24"/>
              </w:rPr>
            </w:pPr>
            <w:r>
              <w:rPr>
                <w:szCs w:val="24"/>
              </w:rPr>
              <w:t>Même si un désherbage mécanique est possible sur une partie des surfaces consacrées à l’agriculture biologique, la pratique du désherbage manuel est incontournable pour la plupart des productions b</w:t>
            </w:r>
            <w:r>
              <w:rPr>
                <w:szCs w:val="24"/>
              </w:rPr>
              <w:t>iologiques. Cette pratique induit des coûts de main d’œuvre élevés.</w:t>
            </w:r>
          </w:p>
          <w:p w:rsidR="0035701C" w:rsidRDefault="00FB561B" w:rsidP="00FB561B">
            <w:pPr>
              <w:numPr>
                <w:ilvl w:val="0"/>
                <w:numId w:val="882"/>
              </w:numPr>
              <w:spacing w:before="240" w:after="240"/>
              <w:ind w:hanging="210"/>
              <w:jc w:val="left"/>
              <w:rPr>
                <w:szCs w:val="24"/>
              </w:rPr>
            </w:pPr>
            <w:r>
              <w:rPr>
                <w:b/>
                <w:bCs/>
                <w:szCs w:val="24"/>
              </w:rPr>
              <w:t>L’utilisation de semences ou plants certifiés en Agriculture biologique</w:t>
            </w:r>
          </w:p>
          <w:p w:rsidR="0035701C" w:rsidRDefault="00FB561B">
            <w:pPr>
              <w:spacing w:before="240" w:after="240"/>
              <w:jc w:val="left"/>
              <w:rPr>
                <w:szCs w:val="24"/>
              </w:rPr>
            </w:pPr>
            <w:r>
              <w:rPr>
                <w:szCs w:val="24"/>
              </w:rPr>
              <w:t xml:space="preserve">Les agriculteurs biologiques sont soumis depuis le 1er janvier 2004 à une obligation réglementaire d’utiliser des </w:t>
            </w:r>
            <w:r>
              <w:rPr>
                <w:szCs w:val="24"/>
              </w:rPr>
              <w:t>semences produites en agriculture biologique. Or, ces dernières connaissent des surcoûts très importants par rapport aux semences conventionnelles. Le fait de s’engager dans une production biologique conduit ainsi à un investissement non productif notable.</w:t>
            </w:r>
          </w:p>
          <w:p w:rsidR="0035701C" w:rsidRDefault="00FB561B" w:rsidP="00FB561B">
            <w:pPr>
              <w:numPr>
                <w:ilvl w:val="0"/>
                <w:numId w:val="883"/>
              </w:numPr>
              <w:spacing w:before="240" w:after="240"/>
              <w:ind w:hanging="210"/>
              <w:jc w:val="left"/>
              <w:rPr>
                <w:szCs w:val="24"/>
              </w:rPr>
            </w:pPr>
            <w:r>
              <w:rPr>
                <w:b/>
                <w:bCs/>
                <w:szCs w:val="24"/>
              </w:rPr>
              <w:t>L’utilisation de terreau certifié en Agriculture biologique pour les plants</w:t>
            </w:r>
          </w:p>
          <w:p w:rsidR="0035701C" w:rsidRDefault="00FB561B">
            <w:pPr>
              <w:spacing w:before="240" w:after="240"/>
              <w:jc w:val="left"/>
              <w:rPr>
                <w:szCs w:val="24"/>
              </w:rPr>
            </w:pPr>
            <w:r>
              <w:rPr>
                <w:szCs w:val="24"/>
              </w:rPr>
              <w:t>Un grand nombre d’espèces nécessitent un semis en deux étapes, avec constitution d’un « plant » qui est ensuite repiqué. Or, la réalisation de ces plants implique de disposer de t</w:t>
            </w:r>
            <w:r>
              <w:rPr>
                <w:szCs w:val="24"/>
              </w:rPr>
              <w:t>erreau biologique, très coûteux. Ici encore, il s’agit d’un investissement non productif lié à la pratique de l’agriculture biologique qui génère en moyenne un surcoût de 30 à 50 % en fonction de la qualité du terreau choisi.</w:t>
            </w:r>
          </w:p>
          <w:p w:rsidR="0035701C" w:rsidRDefault="00FB561B" w:rsidP="00FB561B">
            <w:pPr>
              <w:numPr>
                <w:ilvl w:val="0"/>
                <w:numId w:val="884"/>
              </w:numPr>
              <w:spacing w:before="240" w:after="240"/>
              <w:ind w:hanging="210"/>
              <w:jc w:val="left"/>
              <w:rPr>
                <w:szCs w:val="24"/>
              </w:rPr>
            </w:pPr>
            <w:r>
              <w:rPr>
                <w:b/>
                <w:bCs/>
                <w:szCs w:val="24"/>
              </w:rPr>
              <w:t>Des exploitations de petites s</w:t>
            </w:r>
            <w:r>
              <w:rPr>
                <w:b/>
                <w:bCs/>
                <w:szCs w:val="24"/>
              </w:rPr>
              <w:t>urfaces</w:t>
            </w:r>
          </w:p>
          <w:p w:rsidR="0035701C" w:rsidRDefault="00FB561B">
            <w:pPr>
              <w:spacing w:before="240" w:after="240"/>
              <w:jc w:val="left"/>
              <w:rPr>
                <w:szCs w:val="24"/>
              </w:rPr>
            </w:pPr>
            <w:r>
              <w:rPr>
                <w:szCs w:val="24"/>
              </w:rPr>
              <w:t>Les producteurs biologiques exploitent en moyenne de plus petites surfaces que les producteurs conventionnels, ce qui est un atout pour la « durabilité » des exploitations agricoles et pour la biodiversité des pourtours de parcelles.</w:t>
            </w:r>
          </w:p>
          <w:p w:rsidR="0035701C" w:rsidRDefault="00FB561B" w:rsidP="00FB561B">
            <w:pPr>
              <w:numPr>
                <w:ilvl w:val="0"/>
                <w:numId w:val="885"/>
              </w:numPr>
              <w:spacing w:before="240" w:after="240"/>
              <w:ind w:hanging="210"/>
              <w:jc w:val="left"/>
              <w:rPr>
                <w:szCs w:val="24"/>
              </w:rPr>
            </w:pPr>
            <w:r>
              <w:rPr>
                <w:b/>
                <w:bCs/>
                <w:szCs w:val="24"/>
              </w:rPr>
              <w:t xml:space="preserve">Un triage des </w:t>
            </w:r>
            <w:r>
              <w:rPr>
                <w:b/>
                <w:bCs/>
                <w:szCs w:val="24"/>
              </w:rPr>
              <w:t>récoltes</w:t>
            </w:r>
          </w:p>
          <w:p w:rsidR="0035701C" w:rsidRDefault="00FB561B">
            <w:pPr>
              <w:spacing w:before="240" w:after="240"/>
              <w:jc w:val="left"/>
              <w:rPr>
                <w:szCs w:val="24"/>
              </w:rPr>
            </w:pPr>
            <w:r>
              <w:rPr>
                <w:szCs w:val="24"/>
              </w:rPr>
              <w:t>souvent indispensable pour la bonne conservation des récoltes (par ex grains) , et le stockage des productions (pratiquement obligatoire en bio).</w:t>
            </w:r>
          </w:p>
          <w:p w:rsidR="0035701C" w:rsidRDefault="00FB561B" w:rsidP="00FB561B">
            <w:pPr>
              <w:numPr>
                <w:ilvl w:val="0"/>
                <w:numId w:val="886"/>
              </w:numPr>
              <w:spacing w:before="240" w:after="240"/>
              <w:ind w:hanging="210"/>
              <w:jc w:val="left"/>
              <w:rPr>
                <w:szCs w:val="24"/>
              </w:rPr>
            </w:pPr>
            <w:r>
              <w:rPr>
                <w:b/>
                <w:bCs/>
                <w:szCs w:val="24"/>
              </w:rPr>
              <w:t>Un rendement réduit</w:t>
            </w:r>
          </w:p>
          <w:p w:rsidR="0035701C" w:rsidRDefault="00FB561B">
            <w:pPr>
              <w:spacing w:before="240" w:after="240"/>
              <w:jc w:val="left"/>
              <w:rPr>
                <w:szCs w:val="24"/>
              </w:rPr>
            </w:pPr>
            <w:r>
              <w:rPr>
                <w:szCs w:val="24"/>
              </w:rPr>
              <w:t xml:space="preserve">Les moyens limités de lutte contre les ravageurs et la gestion extensive des </w:t>
            </w:r>
            <w:r>
              <w:rPr>
                <w:szCs w:val="24"/>
              </w:rPr>
              <w:t>intrants imposent aux producteurs biologiques de pratiquer des densités de semis ou de plantations faibles. Les potentiels de rendement sont donc diminués. De plus, ce mode de culture plus extensif aboutit à une productivité par plante moins importante qui</w:t>
            </w:r>
            <w:r>
              <w:rPr>
                <w:szCs w:val="24"/>
              </w:rPr>
              <w:t xml:space="preserve"> n’est pas entièrement compensée par des prix plus élevés – alors que le bénéfice environnemental est important, par la réduction des pollutions.</w:t>
            </w:r>
          </w:p>
          <w:p w:rsidR="0035701C" w:rsidRDefault="00FB561B">
            <w:pPr>
              <w:spacing w:before="240" w:after="240"/>
              <w:jc w:val="left"/>
              <w:rPr>
                <w:szCs w:val="24"/>
              </w:rPr>
            </w:pPr>
            <w:r>
              <w:rPr>
                <w:szCs w:val="24"/>
              </w:rPr>
              <w:t> En conséquence, ces différentes pratiques sont très favorables à l’environnement : présence accrues de prairi</w:t>
            </w:r>
            <w:r>
              <w:rPr>
                <w:szCs w:val="24"/>
              </w:rPr>
              <w:t>es dans l’assolement, présence de haies et de zones de compensation écologique, réduction des pollutions de l’eau… Elles conduisent en contrepartie à une marge brute par hectare globale inférieure à celle observée en agriculture conventionnelle, ainsi qu’à</w:t>
            </w:r>
            <w:r>
              <w:rPr>
                <w:szCs w:val="24"/>
              </w:rPr>
              <w:t xml:space="preserve"> des charges de structure plus élevées (main d’œuvre supplémentaire).</w:t>
            </w:r>
          </w:p>
          <w:p w:rsidR="0035701C" w:rsidRDefault="00FB561B">
            <w:pPr>
              <w:spacing w:before="240" w:after="240"/>
              <w:jc w:val="left"/>
              <w:rPr>
                <w:szCs w:val="24"/>
              </w:rPr>
            </w:pPr>
            <w:r>
              <w:rPr>
                <w:szCs w:val="24"/>
              </w:rPr>
              <w:t xml:space="preserve">Cette mesure vise donc à inciter et à accompagner des exploitations s’engageant pour partie ou en totalité dans une démarche de conversion à l’agriculture biologique ou à poursuivre son </w:t>
            </w:r>
            <w:r>
              <w:rPr>
                <w:szCs w:val="24"/>
              </w:rPr>
              <w:t>engagement en AB. Elle se décline en 2 sous-mesures :</w:t>
            </w:r>
          </w:p>
          <w:p w:rsidR="0035701C" w:rsidRDefault="00FB561B" w:rsidP="00FB561B">
            <w:pPr>
              <w:numPr>
                <w:ilvl w:val="0"/>
                <w:numId w:val="887"/>
              </w:numPr>
              <w:spacing w:before="240" w:after="0"/>
              <w:ind w:hanging="210"/>
              <w:jc w:val="left"/>
              <w:rPr>
                <w:szCs w:val="24"/>
              </w:rPr>
            </w:pPr>
            <w:r>
              <w:rPr>
                <w:szCs w:val="24"/>
              </w:rPr>
              <w:t>Une aide à la conversion en AB</w:t>
            </w:r>
          </w:p>
          <w:p w:rsidR="0035701C" w:rsidRDefault="00FB561B" w:rsidP="00FB561B">
            <w:pPr>
              <w:numPr>
                <w:ilvl w:val="0"/>
                <w:numId w:val="887"/>
              </w:numPr>
              <w:spacing w:before="0" w:after="240"/>
              <w:ind w:hanging="210"/>
              <w:jc w:val="left"/>
              <w:rPr>
                <w:szCs w:val="24"/>
              </w:rPr>
            </w:pPr>
            <w:r>
              <w:rPr>
                <w:szCs w:val="24"/>
              </w:rPr>
              <w:t>Une aide au maintien en AB.</w:t>
            </w:r>
          </w:p>
          <w:p w:rsidR="0035701C" w:rsidRDefault="00FB561B">
            <w:pPr>
              <w:spacing w:before="240" w:after="240"/>
              <w:jc w:val="left"/>
              <w:rPr>
                <w:szCs w:val="24"/>
              </w:rPr>
            </w:pPr>
            <w:r>
              <w:rPr>
                <w:szCs w:val="24"/>
              </w:rPr>
              <w:t>D’autres mesures du PDRC viennent renforcer l’incitation à la production en Agriculture Biologique :</w:t>
            </w:r>
          </w:p>
          <w:p w:rsidR="0035701C" w:rsidRDefault="00FB561B" w:rsidP="00FB561B">
            <w:pPr>
              <w:numPr>
                <w:ilvl w:val="0"/>
                <w:numId w:val="888"/>
              </w:numPr>
              <w:spacing w:before="240" w:after="0"/>
              <w:ind w:hanging="210"/>
              <w:jc w:val="left"/>
              <w:rPr>
                <w:szCs w:val="24"/>
              </w:rPr>
            </w:pPr>
            <w:r>
              <w:rPr>
                <w:szCs w:val="24"/>
              </w:rPr>
              <w:t>Mesure 1 « Transfert de connaissances et a</w:t>
            </w:r>
            <w:r>
              <w:rPr>
                <w:szCs w:val="24"/>
              </w:rPr>
              <w:t>ctions d'information»  au travers la possibilité de mobiliser des opérations de formation, de démonstration ou des stages d’acquisition de compétences spécialisés en Agriculture Biologique.</w:t>
            </w:r>
          </w:p>
          <w:p w:rsidR="0035701C" w:rsidRDefault="00FB561B" w:rsidP="00FB561B">
            <w:pPr>
              <w:numPr>
                <w:ilvl w:val="0"/>
                <w:numId w:val="888"/>
              </w:numPr>
              <w:spacing w:before="0" w:after="0"/>
              <w:ind w:hanging="210"/>
              <w:jc w:val="left"/>
              <w:rPr>
                <w:szCs w:val="24"/>
              </w:rPr>
            </w:pPr>
            <w:r>
              <w:rPr>
                <w:szCs w:val="24"/>
              </w:rPr>
              <w:t> Mesure 3 « Systèmes de qualité applicables aux produits agricoles</w:t>
            </w:r>
            <w:r>
              <w:rPr>
                <w:szCs w:val="24"/>
              </w:rPr>
              <w:t xml:space="preserve"> et aux denrées alimentaire » : l’AB étant un signe officiel de qualité, les nouveaux entrants dans ce signe pourront bénéficier d’une aide à la certification. De manière plus transversale, des actions de promotion visant à sensibiliser et à communiquer su</w:t>
            </w:r>
            <w:r>
              <w:rPr>
                <w:szCs w:val="24"/>
              </w:rPr>
              <w:t>r l’AB seront également possibles.</w:t>
            </w:r>
          </w:p>
          <w:p w:rsidR="0035701C" w:rsidRDefault="00FB561B" w:rsidP="00FB561B">
            <w:pPr>
              <w:numPr>
                <w:ilvl w:val="0"/>
                <w:numId w:val="888"/>
              </w:numPr>
              <w:spacing w:before="0" w:after="0"/>
              <w:ind w:hanging="210"/>
              <w:jc w:val="left"/>
              <w:rPr>
                <w:szCs w:val="24"/>
              </w:rPr>
            </w:pPr>
            <w:r>
              <w:rPr>
                <w:szCs w:val="24"/>
              </w:rPr>
              <w:t>Mesure 4 « Investissements physiques » : les investissements spécifiques aux pratiques en AB sont intégrés à cette mesure.</w:t>
            </w:r>
          </w:p>
          <w:p w:rsidR="0035701C" w:rsidRDefault="00FB561B" w:rsidP="00FB561B">
            <w:pPr>
              <w:numPr>
                <w:ilvl w:val="0"/>
                <w:numId w:val="888"/>
              </w:numPr>
              <w:spacing w:before="0" w:after="0"/>
              <w:ind w:hanging="210"/>
              <w:jc w:val="left"/>
              <w:rPr>
                <w:szCs w:val="24"/>
              </w:rPr>
            </w:pPr>
            <w:r>
              <w:rPr>
                <w:szCs w:val="24"/>
              </w:rPr>
              <w:t>Mesure 6 « Développement des exploitations agricoles et des entreprises » : la production en AB es</w:t>
            </w:r>
            <w:r>
              <w:rPr>
                <w:szCs w:val="24"/>
              </w:rPr>
              <w:t>t un critère de sélection pour l’accès à l’aide à l’installation en agriculture.</w:t>
            </w:r>
          </w:p>
          <w:p w:rsidR="0035701C" w:rsidRDefault="00FB561B" w:rsidP="00FB561B">
            <w:pPr>
              <w:numPr>
                <w:ilvl w:val="0"/>
                <w:numId w:val="888"/>
              </w:numPr>
              <w:spacing w:before="0" w:after="240"/>
              <w:ind w:hanging="210"/>
              <w:jc w:val="left"/>
              <w:rPr>
                <w:szCs w:val="24"/>
              </w:rPr>
            </w:pPr>
            <w:r>
              <w:rPr>
                <w:szCs w:val="24"/>
              </w:rPr>
              <w:t>Mesure 16 « Coopération » : les projets de développement de la filière AB pourront être soutenus au travers de cette mesure. </w:t>
            </w:r>
          </w:p>
          <w:p w:rsidR="0035701C" w:rsidRDefault="00FB561B">
            <w:pPr>
              <w:spacing w:before="240" w:after="240"/>
              <w:jc w:val="left"/>
              <w:rPr>
                <w:szCs w:val="24"/>
              </w:rPr>
            </w:pPr>
            <w:r>
              <w:rPr>
                <w:szCs w:val="24"/>
              </w:rPr>
              <w:br/>
              <w:t xml:space="preserve">Cette mesure répond à plusieurs besoins </w:t>
            </w:r>
            <w:r>
              <w:rPr>
                <w:szCs w:val="24"/>
              </w:rPr>
              <w:t>identifiés dans le programme :</w:t>
            </w:r>
          </w:p>
          <w:p w:rsidR="0035701C" w:rsidRDefault="00FB561B" w:rsidP="00FB561B">
            <w:pPr>
              <w:numPr>
                <w:ilvl w:val="0"/>
                <w:numId w:val="889"/>
              </w:numPr>
              <w:spacing w:before="240" w:after="240"/>
              <w:ind w:hanging="210"/>
              <w:jc w:val="left"/>
              <w:rPr>
                <w:szCs w:val="24"/>
              </w:rPr>
            </w:pPr>
            <w:r>
              <w:rPr>
                <w:szCs w:val="24"/>
              </w:rPr>
              <w:t>16 : Maintien du patrimoine naturel, de la biodiversité, des paysages agricoles : l’Agriculture Biologique obéit à une gestion globale de la production qui valorise et stimule l’écosystème et notamment la biodiversité. En eff</w:t>
            </w:r>
            <w:r>
              <w:rPr>
                <w:szCs w:val="24"/>
              </w:rPr>
              <w:t>et, le maintien de zones naturelles et l’absence d’intrants chimiques créent des habitats propices à la vie des espèces. En s’abstenant d’utiliser des engrais minéraux, des pesticides de synthèse, des produits pharmaceutiques et des traitements antiparasit</w:t>
            </w:r>
            <w:r>
              <w:rPr>
                <w:szCs w:val="24"/>
              </w:rPr>
              <w:t>aires chimiques ainsi que des semences et des races génétiquement modifiées, l’Agriculture Biologique favorise le maintien de la biodiversité et participe à la conservation de la fertilité du sol et à la prévention de  la prolifération des ravageurs.</w:t>
            </w:r>
          </w:p>
          <w:p w:rsidR="0035701C" w:rsidRDefault="00FB561B" w:rsidP="00FB561B">
            <w:pPr>
              <w:numPr>
                <w:ilvl w:val="0"/>
                <w:numId w:val="890"/>
              </w:numPr>
              <w:spacing w:before="240" w:after="240"/>
              <w:ind w:hanging="210"/>
              <w:jc w:val="left"/>
              <w:rPr>
                <w:szCs w:val="24"/>
              </w:rPr>
            </w:pPr>
            <w:r>
              <w:rPr>
                <w:szCs w:val="24"/>
              </w:rPr>
              <w:t xml:space="preserve">19 : </w:t>
            </w:r>
            <w:r>
              <w:rPr>
                <w:szCs w:val="24"/>
              </w:rPr>
              <w:t>Encourager et soutenir les démarches de qualité, valoriser les liens produits/Terroirs  et développer la qualité environnementale, notamment l'Agriculture Biologique :</w:t>
            </w:r>
          </w:p>
          <w:p w:rsidR="0035701C" w:rsidRDefault="00FB561B">
            <w:pPr>
              <w:spacing w:before="240" w:after="240"/>
              <w:ind w:left="720"/>
              <w:jc w:val="left"/>
              <w:rPr>
                <w:szCs w:val="24"/>
              </w:rPr>
            </w:pPr>
            <w:r>
              <w:rPr>
                <w:szCs w:val="24"/>
              </w:rPr>
              <w:t>L’Agriculture Biologique est un signe officiel de qualité régit par le règlement (CE) n°</w:t>
            </w:r>
            <w:r>
              <w:rPr>
                <w:szCs w:val="24"/>
              </w:rPr>
              <w:t> 889/2008.</w:t>
            </w:r>
          </w:p>
          <w:p w:rsidR="0035701C" w:rsidRDefault="00FB561B">
            <w:pPr>
              <w:spacing w:before="240" w:after="240"/>
              <w:ind w:left="720"/>
              <w:jc w:val="left"/>
              <w:rPr>
                <w:szCs w:val="24"/>
              </w:rPr>
            </w:pPr>
            <w:r>
              <w:rPr>
                <w:szCs w:val="24"/>
              </w:rPr>
              <w:t xml:space="preserve">C’est un système de production agricole spécifique qui exclut l’usage d’engrais chimique, de pesticides de synthèses, d’OGM et limite l’emploi d’intrants. L’usage de médicaments est limité et strictement encadré. Il s’agit d’un système certifié </w:t>
            </w:r>
            <w:r>
              <w:rPr>
                <w:szCs w:val="24"/>
              </w:rPr>
              <w:t>qui gère de façon globale la production en favorisant l’agro-système mais aussi la biodiversité, les activités biologiques des sols et les cycles biologiques.</w:t>
            </w:r>
          </w:p>
          <w:p w:rsidR="0035701C" w:rsidRDefault="00FB561B">
            <w:pPr>
              <w:spacing w:before="240" w:after="240"/>
              <w:ind w:left="720"/>
              <w:jc w:val="left"/>
              <w:rPr>
                <w:szCs w:val="24"/>
              </w:rPr>
            </w:pPr>
            <w:r>
              <w:rPr>
                <w:szCs w:val="24"/>
              </w:rPr>
              <w:t>Les bénéfices que la société peut retirer de l'agriculture biologique sont multiples en termes de</w:t>
            </w:r>
            <w:r>
              <w:rPr>
                <w:szCs w:val="24"/>
              </w:rPr>
              <w:t xml:space="preserve"> préservation de la qualité des sols, de la biodiversité, de l'air et de l'eau. Ses modes de transformation privilégient la mise en valeur des caractéristiques naturelles des produits.</w:t>
            </w:r>
          </w:p>
          <w:p w:rsidR="0035701C" w:rsidRDefault="00FB561B">
            <w:pPr>
              <w:spacing w:before="240" w:after="240"/>
              <w:ind w:left="720"/>
              <w:jc w:val="left"/>
              <w:rPr>
                <w:szCs w:val="24"/>
              </w:rPr>
            </w:pPr>
            <w:r>
              <w:rPr>
                <w:szCs w:val="24"/>
              </w:rPr>
              <w:t> Favoriser la production en Agriculture Biologique participe donc à mai</w:t>
            </w:r>
            <w:r>
              <w:rPr>
                <w:szCs w:val="24"/>
              </w:rPr>
              <w:t>ntenir la qualité environnementale de la Corse.</w:t>
            </w:r>
          </w:p>
          <w:p w:rsidR="0035701C" w:rsidRDefault="00FB561B">
            <w:pPr>
              <w:spacing w:before="240" w:after="240"/>
              <w:jc w:val="left"/>
              <w:rPr>
                <w:szCs w:val="24"/>
              </w:rPr>
            </w:pPr>
            <w:r>
              <w:rPr>
                <w:szCs w:val="24"/>
              </w:rPr>
              <w:t>Elle est ciblée principalement sur le domaine prioritaire 4b.</w:t>
            </w:r>
          </w:p>
          <w:p w:rsidR="0035701C" w:rsidRDefault="00FB561B" w:rsidP="00FB561B">
            <w:pPr>
              <w:numPr>
                <w:ilvl w:val="0"/>
                <w:numId w:val="891"/>
              </w:numPr>
              <w:spacing w:before="240" w:after="240"/>
              <w:ind w:hanging="210"/>
              <w:jc w:val="left"/>
              <w:rPr>
                <w:szCs w:val="24"/>
              </w:rPr>
            </w:pPr>
            <w:r>
              <w:rPr>
                <w:szCs w:val="24"/>
                <w:u w:val="single"/>
              </w:rPr>
              <w:t>4B Améliorer la gestion de l’eau.</w:t>
            </w:r>
          </w:p>
          <w:p w:rsidR="0035701C" w:rsidRDefault="00FB561B">
            <w:pPr>
              <w:spacing w:before="240" w:after="240"/>
              <w:jc w:val="left"/>
              <w:rPr>
                <w:szCs w:val="24"/>
              </w:rPr>
            </w:pPr>
            <w:r>
              <w:rPr>
                <w:szCs w:val="24"/>
              </w:rPr>
              <w:t>Certaines pratiques de l’AB (rotations longues, utilisation d’engrais organiques et moindre apport en azote, etc</w:t>
            </w:r>
            <w:r>
              <w:rPr>
                <w:szCs w:val="24"/>
              </w:rPr>
              <w:t>.) permettent (pour une superficie cultivée équivalente en agriculture conventionnelle) de diminuer le lessivage de nutriments (azote, phosphore) responsable de la détérioration de la qualité des eaux. Les risques de contamination de l’eau par les pesticid</w:t>
            </w:r>
            <w:r>
              <w:rPr>
                <w:szCs w:val="24"/>
              </w:rPr>
              <w:t>es sont également plus faibles en AB</w:t>
            </w:r>
          </w:p>
          <w:p w:rsidR="0035701C" w:rsidRDefault="00FB561B">
            <w:pPr>
              <w:spacing w:before="240" w:after="240"/>
              <w:jc w:val="left"/>
              <w:rPr>
                <w:szCs w:val="24"/>
              </w:rPr>
            </w:pPr>
            <w:r>
              <w:rPr>
                <w:szCs w:val="24"/>
              </w:rPr>
              <w:t>De plus, l’Agriculture Biologique participe également à d’autres domaines prioritaires :</w:t>
            </w:r>
          </w:p>
          <w:p w:rsidR="0035701C" w:rsidRDefault="00FB561B" w:rsidP="00FB561B">
            <w:pPr>
              <w:numPr>
                <w:ilvl w:val="0"/>
                <w:numId w:val="892"/>
              </w:numPr>
              <w:spacing w:before="240" w:after="240"/>
              <w:ind w:hanging="210"/>
              <w:jc w:val="left"/>
              <w:rPr>
                <w:szCs w:val="24"/>
              </w:rPr>
            </w:pPr>
            <w:r>
              <w:rPr>
                <w:szCs w:val="24"/>
                <w:u w:val="single"/>
              </w:rPr>
              <w:t>4A Restaurer et préserver la biodiversité :</w:t>
            </w:r>
          </w:p>
          <w:p w:rsidR="0035701C" w:rsidRDefault="00FB561B">
            <w:pPr>
              <w:spacing w:before="240" w:after="240"/>
              <w:jc w:val="left"/>
              <w:rPr>
                <w:szCs w:val="24"/>
              </w:rPr>
            </w:pPr>
            <w:r>
              <w:rPr>
                <w:szCs w:val="24"/>
              </w:rPr>
              <w:t xml:space="preserve">Les techniques liées à l’Agriculture Biologique, grâce à l’absence d’intrants </w:t>
            </w:r>
            <w:r>
              <w:rPr>
                <w:szCs w:val="24"/>
              </w:rPr>
              <w:t>synthétiques et au maintien de davantage de superficies naturelles…, influent de façon positive sur la diversité et l’abondance des espèces floristiques et faunistiques, et ce autant pour les espèces sauvages que pour les espèces domestiquées.</w:t>
            </w:r>
          </w:p>
          <w:p w:rsidR="0035701C" w:rsidRDefault="00FB561B" w:rsidP="00FB561B">
            <w:pPr>
              <w:numPr>
                <w:ilvl w:val="0"/>
                <w:numId w:val="893"/>
              </w:numPr>
              <w:spacing w:before="240" w:after="240"/>
              <w:ind w:hanging="210"/>
              <w:jc w:val="left"/>
              <w:rPr>
                <w:szCs w:val="24"/>
              </w:rPr>
            </w:pPr>
            <w:r>
              <w:rPr>
                <w:szCs w:val="24"/>
                <w:u w:val="single"/>
              </w:rPr>
              <w:t>4C Améliorer</w:t>
            </w:r>
            <w:r>
              <w:rPr>
                <w:szCs w:val="24"/>
                <w:u w:val="single"/>
              </w:rPr>
              <w:t xml:space="preserve"> la gestion des sols </w:t>
            </w:r>
          </w:p>
          <w:p w:rsidR="0035701C" w:rsidRDefault="00FB561B">
            <w:pPr>
              <w:spacing w:before="240" w:after="240"/>
              <w:jc w:val="left"/>
              <w:rPr>
                <w:szCs w:val="24"/>
              </w:rPr>
            </w:pPr>
            <w:r>
              <w:rPr>
                <w:szCs w:val="24"/>
              </w:rPr>
              <w:t>Les sols sous Agriculture Biologique ont tendance à afficher une activité biologique et un taux de matière organique plus importants que ceux qui sont régis de manière conventionnelle. La gestion en AB tend également à limiter les ris</w:t>
            </w:r>
            <w:r>
              <w:rPr>
                <w:szCs w:val="24"/>
              </w:rPr>
              <w:t>ques d’érosion grâce à diverses pratiques (ex. : rotations de cultures incluant pâturages, couverture plus importante du sol).</w:t>
            </w:r>
          </w:p>
          <w:p w:rsidR="0035701C" w:rsidRDefault="00FB561B" w:rsidP="00FB561B">
            <w:pPr>
              <w:numPr>
                <w:ilvl w:val="0"/>
                <w:numId w:val="894"/>
              </w:numPr>
              <w:spacing w:before="240" w:after="240"/>
              <w:ind w:hanging="210"/>
              <w:jc w:val="left"/>
              <w:rPr>
                <w:szCs w:val="24"/>
              </w:rPr>
            </w:pPr>
            <w:r>
              <w:rPr>
                <w:szCs w:val="24"/>
                <w:u w:val="single"/>
              </w:rPr>
              <w:t>5D réduire les émissions de gaz à effet de serre et d'ammoniac provenant de l'agriculture</w:t>
            </w:r>
          </w:p>
          <w:p w:rsidR="0035701C" w:rsidRDefault="00FB561B">
            <w:pPr>
              <w:spacing w:before="240" w:after="240"/>
              <w:jc w:val="left"/>
              <w:rPr>
                <w:szCs w:val="24"/>
              </w:rPr>
            </w:pPr>
            <w:r>
              <w:rPr>
                <w:szCs w:val="24"/>
              </w:rPr>
              <w:t>L’Agriculture Biologique participe égal</w:t>
            </w:r>
            <w:r>
              <w:rPr>
                <w:szCs w:val="24"/>
              </w:rPr>
              <w:t>ement à atténuer le changement climatique notamment grâce à son impact positif sur les émissions de gaz à effet de serre au travers d’une gestion améliorée de la matière organique, et grâce à la réduction des émissions de protoxyde d’azote liés à l’absence</w:t>
            </w:r>
            <w:r>
              <w:rPr>
                <w:szCs w:val="24"/>
              </w:rPr>
              <w:t xml:space="preserve"> de fertilisation chimique.</w:t>
            </w:r>
          </w:p>
          <w:p w:rsidR="0035701C" w:rsidRDefault="00FB561B">
            <w:pPr>
              <w:spacing w:before="240" w:after="240"/>
              <w:jc w:val="left"/>
              <w:rPr>
                <w:szCs w:val="24"/>
              </w:rPr>
            </w:pPr>
            <w:r>
              <w:rPr>
                <w:szCs w:val="24"/>
              </w:rPr>
              <w:t>De plus, les techniques liées à l’Agriculture biologique, notamment le compostage et l’augmentation de la part des légumineuses dans la rotation, constituent un potentiel important de réduction des émissions de gaz à effet de se</w:t>
            </w:r>
            <w:r>
              <w:rPr>
                <w:szCs w:val="24"/>
              </w:rPr>
              <w:t>rre.</w:t>
            </w:r>
          </w:p>
          <w:p w:rsidR="0035701C" w:rsidRDefault="00FB561B" w:rsidP="00FB561B">
            <w:pPr>
              <w:numPr>
                <w:ilvl w:val="0"/>
                <w:numId w:val="895"/>
              </w:numPr>
              <w:spacing w:before="240" w:after="240"/>
              <w:ind w:hanging="210"/>
              <w:jc w:val="left"/>
              <w:rPr>
                <w:szCs w:val="24"/>
              </w:rPr>
            </w:pPr>
            <w:r>
              <w:rPr>
                <w:szCs w:val="24"/>
                <w:u w:val="single"/>
              </w:rPr>
              <w:t>3A améliorer la compétitivité des producteurs primaires en les intégrant mieux dans la chaîne agroalimentaire au moyen des programmes de qualité, en conférant une valeur ajoutée aux produits agricoles</w:t>
            </w:r>
          </w:p>
          <w:p w:rsidR="0035701C" w:rsidRDefault="00FB561B">
            <w:pPr>
              <w:spacing w:before="240" w:after="240"/>
              <w:jc w:val="left"/>
              <w:rPr>
                <w:szCs w:val="24"/>
              </w:rPr>
            </w:pPr>
            <w:r>
              <w:rPr>
                <w:szCs w:val="24"/>
              </w:rPr>
              <w:t>L’AB constitue enfin un programme de qualité recon</w:t>
            </w:r>
            <w:r>
              <w:rPr>
                <w:szCs w:val="24"/>
              </w:rPr>
              <w:t>nu par les consommateurs, et procure un potentiel de valeur ajoutée supérieur sur le marché.</w:t>
            </w:r>
          </w:p>
          <w:p w:rsidR="0035701C" w:rsidRDefault="0035701C">
            <w:pPr>
              <w:pStyle w:val="Corpsdetexte"/>
            </w:pPr>
          </w:p>
        </w:tc>
      </w:tr>
    </w:tbl>
    <w:p w:rsidR="0035701C" w:rsidRDefault="00FB561B">
      <w:pPr>
        <w:pStyle w:val="Titre4"/>
        <w:jc w:val="left"/>
      </w:pPr>
      <w:r>
        <w:t xml:space="preserve">Portée, niveau du soutien, bénéficiaires admissibles et, le cas échéant, méthodologie pour le calcul du montant ou du taux d'aide selon une ventilation par </w:t>
      </w:r>
      <w:r>
        <w:t>sous-mesure et/ou type d'opération, si nécessaire. Pour chaque type d'opération, spécification des coûts admissibles, des conditions d'admissibilité, des montants et taux d'aide applicables et des principes en matière de définition des critères de sélectio</w:t>
      </w:r>
      <w:r>
        <w:t>n</w:t>
      </w:r>
    </w:p>
    <w:p w:rsidR="0035701C" w:rsidRDefault="00FB561B">
      <w:pPr>
        <w:pStyle w:val="Titre5"/>
        <w:rPr>
          <w:b w:val="0"/>
        </w:rPr>
      </w:pPr>
      <w:r>
        <w:rPr>
          <w:b w:val="0"/>
        </w:rPr>
        <w:t>11.1- Conversion AB</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896"/>
              </w:numPr>
            </w:pPr>
            <w:r>
              <w:t>11.1 – Paiement pour la conversion aux pratiques et méthodes de l'agriculture biologique</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L'agriculture biologique qui est caractérisée par le non-usage d'intrants chimiques, de synthèse </w:t>
            </w:r>
            <w:r>
              <w:rPr>
                <w:szCs w:val="24"/>
              </w:rPr>
              <w:t>et d'OGM, et dont les pratiques d'élevage et de cultures visent la gestion durable des ressources naturelles, la préservation des sols et de l’environnement, le respect des équilibres écologiques et le bien-être animal, a globalement un impact positif avér</w:t>
            </w:r>
            <w:r>
              <w:rPr>
                <w:szCs w:val="24"/>
              </w:rPr>
              <w:t>é sur l'eau, le sol, la biodiversité et le changement climatique. Le développement de surfaces AB est donc un enjeu important pour la Corse, soucieuse de préserver son environnement. </w:t>
            </w:r>
          </w:p>
          <w:p w:rsidR="0035701C" w:rsidRDefault="00FB561B">
            <w:pPr>
              <w:spacing w:before="240" w:after="240"/>
              <w:jc w:val="left"/>
              <w:rPr>
                <w:szCs w:val="24"/>
              </w:rPr>
            </w:pPr>
            <w:r>
              <w:rPr>
                <w:szCs w:val="24"/>
              </w:rPr>
              <w:t>Or de part son cahier des charges, l’Agriculture Biologique impose aux a</w:t>
            </w:r>
            <w:r>
              <w:rPr>
                <w:szCs w:val="24"/>
              </w:rPr>
              <w:t>griculteurs la mise en œuvre d’itinéraires techniques plus coûteux au regard de la mise en œuvre de pratiques agro-environnementales mais aussi de l’achat d’intrants. De plus, les rendements en Agriculture Biologique sont inférieurs à ceux obtenus en conve</w:t>
            </w:r>
            <w:r>
              <w:rPr>
                <w:szCs w:val="24"/>
              </w:rPr>
              <w:t>ntionnel.</w:t>
            </w:r>
          </w:p>
          <w:p w:rsidR="0035701C" w:rsidRDefault="00FB561B">
            <w:pPr>
              <w:spacing w:before="240" w:after="240"/>
              <w:jc w:val="left"/>
              <w:rPr>
                <w:szCs w:val="24"/>
              </w:rPr>
            </w:pPr>
            <w:r>
              <w:rPr>
                <w:szCs w:val="24"/>
              </w:rPr>
              <w:t>Cette opération permet de compenser les surcoûts et manques à gagner qu’entraîne le mode de production en Agriculture Biologique et qui, notamment dans la phase de conversion, sont insuffisamment pris en charge par le marché.</w:t>
            </w:r>
          </w:p>
          <w:p w:rsidR="0035701C" w:rsidRDefault="00FB561B">
            <w:pPr>
              <w:spacing w:before="240" w:after="240"/>
              <w:jc w:val="left"/>
              <w:rPr>
                <w:szCs w:val="24"/>
              </w:rPr>
            </w:pPr>
            <w:r>
              <w:rPr>
                <w:szCs w:val="24"/>
              </w:rPr>
              <w:t>Cette aide vise à in</w:t>
            </w:r>
            <w:r>
              <w:rPr>
                <w:szCs w:val="24"/>
              </w:rPr>
              <w:t>citer et à accompagner les exploitations à adopter les pratiques et méthodes de l’Agriculture Biologique.</w:t>
            </w:r>
          </w:p>
          <w:p w:rsidR="0035701C" w:rsidRDefault="00FB561B">
            <w:pPr>
              <w:spacing w:before="240" w:after="240"/>
              <w:jc w:val="left"/>
              <w:rPr>
                <w:szCs w:val="24"/>
              </w:rPr>
            </w:pPr>
            <w:r>
              <w:rPr>
                <w:szCs w:val="24"/>
              </w:rPr>
              <w:t>Cette aide a également pour objectif de convaincre, certains producteurs dont les exploitations ont un faible revenu et dont le mode de production est</w:t>
            </w:r>
            <w:r>
              <w:rPr>
                <w:szCs w:val="24"/>
              </w:rPr>
              <w:t xml:space="preserve"> conforme au cahier des charges de s’engager dans la labellisation de leur production.</w:t>
            </w:r>
          </w:p>
          <w:p w:rsidR="0035701C" w:rsidRDefault="00FB561B">
            <w:pPr>
              <w:spacing w:before="240" w:after="240"/>
              <w:jc w:val="left"/>
              <w:rPr>
                <w:szCs w:val="24"/>
              </w:rPr>
            </w:pPr>
            <w:r>
              <w:rPr>
                <w:szCs w:val="24"/>
              </w:rPr>
              <w:t>Durée du dispositif : 5 ans</w:t>
            </w:r>
          </w:p>
          <w:p w:rsidR="0035701C" w:rsidRDefault="00FB561B">
            <w:pPr>
              <w:spacing w:before="240" w:after="240"/>
              <w:jc w:val="left"/>
              <w:rPr>
                <w:szCs w:val="24"/>
              </w:rPr>
            </w:pPr>
            <w:r>
              <w:rPr>
                <w:szCs w:val="24"/>
              </w:rPr>
              <w:t>Engagements pluriannuels.</w:t>
            </w:r>
          </w:p>
          <w:p w:rsidR="0035701C" w:rsidRDefault="00FB561B">
            <w:pPr>
              <w:spacing w:before="240" w:after="240"/>
              <w:jc w:val="left"/>
              <w:rPr>
                <w:szCs w:val="24"/>
              </w:rPr>
            </w:pPr>
            <w:r>
              <w:rPr>
                <w:szCs w:val="24"/>
              </w:rPr>
              <w:t xml:space="preserve">Par dérogation, les engagements dans la mesure d'aide à la </w:t>
            </w:r>
            <w:r>
              <w:rPr>
                <w:szCs w:val="24"/>
                <w:u w:val="single"/>
              </w:rPr>
              <w:t>conversion à l'agriculture biologique</w:t>
            </w:r>
            <w:r>
              <w:rPr>
                <w:szCs w:val="24"/>
              </w:rPr>
              <w:t xml:space="preserve"> sont maintenus sur</w:t>
            </w:r>
            <w:r>
              <w:rPr>
                <w:szCs w:val="24"/>
              </w:rPr>
              <w:t xml:space="preserve"> une durée de 5 ans, ainsi que le permet l'article 7 du règlement (UE) 2020/2220.</w:t>
            </w:r>
          </w:p>
          <w:p w:rsidR="0035701C" w:rsidRDefault="00FB561B">
            <w:pPr>
              <w:spacing w:before="240" w:after="240"/>
              <w:jc w:val="left"/>
              <w:rPr>
                <w:szCs w:val="24"/>
              </w:rPr>
            </w:pPr>
            <w:r>
              <w:rPr>
                <w:b/>
                <w:bCs/>
                <w:szCs w:val="24"/>
                <w:u w:val="single"/>
              </w:rPr>
              <w:t>Engagements auxquels souscrit le bénéficiaire pour la durée de l’opération</w:t>
            </w:r>
            <w:r>
              <w:rPr>
                <w:szCs w:val="24"/>
              </w:rPr>
              <w:t> :</w:t>
            </w:r>
          </w:p>
          <w:p w:rsidR="0035701C" w:rsidRDefault="00FB561B" w:rsidP="00FB561B">
            <w:pPr>
              <w:numPr>
                <w:ilvl w:val="0"/>
                <w:numId w:val="897"/>
              </w:numPr>
              <w:spacing w:before="240" w:after="0"/>
              <w:ind w:hanging="210"/>
              <w:jc w:val="left"/>
              <w:rPr>
                <w:szCs w:val="24"/>
              </w:rPr>
            </w:pPr>
            <w:r>
              <w:rPr>
                <w:szCs w:val="24"/>
              </w:rPr>
              <w:t>Dans le cas des prairies permanentes et des landes et parcours, détenir un cheptel de 6 UGB minim</w:t>
            </w:r>
            <w:r>
              <w:rPr>
                <w:szCs w:val="24"/>
              </w:rPr>
              <w:t>um avec l’obligation de convertir les animaux au plus tard en année 3.</w:t>
            </w:r>
          </w:p>
          <w:p w:rsidR="0035701C" w:rsidRDefault="00FB561B" w:rsidP="00FB561B">
            <w:pPr>
              <w:numPr>
                <w:ilvl w:val="0"/>
                <w:numId w:val="897"/>
              </w:numPr>
              <w:spacing w:before="0" w:after="240"/>
              <w:ind w:hanging="210"/>
              <w:jc w:val="left"/>
              <w:rPr>
                <w:szCs w:val="24"/>
              </w:rPr>
            </w:pPr>
            <w:r>
              <w:rPr>
                <w:szCs w:val="24"/>
              </w:rPr>
              <w:t>Satisfaire aux prescriptions techniques de la filière Agriculture Biologique validées par l’Autorité de Gestion notamment en matière de suivi technique et d’autonomie alimentaire à l’éc</w:t>
            </w:r>
            <w:r>
              <w:rPr>
                <w:szCs w:val="24"/>
              </w:rPr>
              <w:t>helle de l’exploitation.</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Paiement unitaire forfaitaire à l’hectare par type de culture.</w:t>
            </w:r>
          </w:p>
          <w:p w:rsidR="0035701C" w:rsidRDefault="00FB561B">
            <w:pPr>
              <w:spacing w:before="240" w:after="240"/>
              <w:jc w:val="left"/>
              <w:rPr>
                <w:szCs w:val="24"/>
              </w:rPr>
            </w:pPr>
            <w:r>
              <w:rPr>
                <w:szCs w:val="24"/>
              </w:rPr>
              <w:t xml:space="preserve">Bien que la durée de conversion varie en fonction des types de production, l’aide à la conversion est attribuée pour une </w:t>
            </w:r>
            <w:r>
              <w:rPr>
                <w:szCs w:val="24"/>
              </w:rPr>
              <w:t>durée de 5 ans afin d’accompagner l’ensemble des agriculteurs dans leur changement de pratiques jusqu’à l’obtention d’un niveau de rendement stabilisé, en leur permettant notamment d’acquérir la technicité nécessaire.</w:t>
            </w:r>
          </w:p>
          <w:p w:rsidR="0035701C" w:rsidRDefault="0035701C">
            <w:pPr>
              <w:pStyle w:val="Corpsdetexte"/>
            </w:pPr>
          </w:p>
        </w:tc>
      </w:tr>
    </w:tbl>
    <w:p w:rsidR="0035701C" w:rsidRDefault="00FB561B">
      <w:pPr>
        <w:pStyle w:val="Titre6"/>
      </w:pPr>
      <w:r>
        <w:t>Liens vers d'autres actes législatif</w:t>
      </w:r>
      <w:r>
        <w: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les exigences établies en vertu de</w:t>
            </w:r>
          </w:p>
          <w:p w:rsidR="0035701C" w:rsidRDefault="00FB561B">
            <w:pPr>
              <w:spacing w:before="240" w:after="240"/>
              <w:jc w:val="left"/>
              <w:rPr>
                <w:szCs w:val="24"/>
              </w:rPr>
            </w:pPr>
            <w:r>
              <w:rPr>
                <w:szCs w:val="24"/>
              </w:rPr>
              <w:t>l'article 93 du règlement (UE) n°1306/2013 et de l'article 4.1.c points ii) et iii) du règlement (UE)</w:t>
            </w:r>
          </w:p>
          <w:p w:rsidR="0035701C" w:rsidRDefault="00FB561B">
            <w:pPr>
              <w:spacing w:before="240" w:after="240"/>
              <w:jc w:val="left"/>
              <w:rPr>
                <w:szCs w:val="24"/>
              </w:rPr>
            </w:pPr>
            <w:r>
              <w:rPr>
                <w:szCs w:val="24"/>
              </w:rPr>
              <w:t>n°1307/2013.</w:t>
            </w:r>
          </w:p>
          <w:p w:rsidR="0035701C" w:rsidRDefault="00FB561B">
            <w:pPr>
              <w:spacing w:before="240" w:after="240"/>
              <w:jc w:val="left"/>
              <w:rPr>
                <w:szCs w:val="24"/>
              </w:rPr>
            </w:pPr>
            <w:r>
              <w:rPr>
                <w:szCs w:val="24"/>
              </w:rPr>
              <w:t>Afin d'exclure tout double paiement, le</w:t>
            </w:r>
            <w:r>
              <w:rPr>
                <w:szCs w:val="24"/>
              </w:rPr>
              <w:t>s pratiques visées à l'article 43 du règlement (UE) n°1307/2013, sont prises en compte dans le calcul des surcoûts et manques à gagner.</w:t>
            </w:r>
          </w:p>
          <w:p w:rsidR="0035701C" w:rsidRDefault="00FB561B">
            <w:pPr>
              <w:spacing w:before="240" w:after="240"/>
              <w:jc w:val="left"/>
              <w:rPr>
                <w:szCs w:val="24"/>
              </w:rPr>
            </w:pPr>
            <w:r>
              <w:rPr>
                <w:szCs w:val="24"/>
              </w:rPr>
              <w:t>Le cahier des charges de l’agriculture biologique à respecter par le bénéficiaire est conforme au Règlement CE n°834/200</w:t>
            </w:r>
            <w:r>
              <w:rPr>
                <w:szCs w:val="24"/>
              </w:rPr>
              <w:t>7 et ses règlements d'application notamment le règlement (CE) n°889/2008, le cas échéant complétés par le cahier des charges national homologué par l’arrêté interministériel du 5 janvier 2010 et modifié.</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Toute personne physique ou morale </w:t>
            </w:r>
            <w:r>
              <w:rPr>
                <w:szCs w:val="24"/>
              </w:rPr>
              <w:t>exerçant une activité agricole. Ces personnes ou groupements de personnes doivent être des agriculteurs actifs au sens de l’article 9 du règlement (UE) n°1307/2013.</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montants unitaires sont calculés selon les types de culture sur la </w:t>
            </w:r>
            <w:r>
              <w:rPr>
                <w:szCs w:val="24"/>
              </w:rPr>
              <w:t>base de la différence moyenne de marge brute entre une conduite en agriculture conventionnelle et une conduite en agriculture biologique auxquels s’ajoutent les surcoûts de main d’œuvre liés à la mise en œuvre des itinéraires techniques bio et des coûts de</w:t>
            </w:r>
            <w:r>
              <w:rPr>
                <w:szCs w:val="24"/>
              </w:rPr>
              <w:t xml:space="preserve"> transaction (cf. § description de la méthodologie pour les calculs).</w:t>
            </w:r>
          </w:p>
          <w:p w:rsidR="0035701C" w:rsidRDefault="00FB561B">
            <w:pPr>
              <w:spacing w:before="240" w:after="240"/>
              <w:jc w:val="left"/>
              <w:rPr>
                <w:szCs w:val="24"/>
              </w:rPr>
            </w:pPr>
            <w:r>
              <w:rPr>
                <w:szCs w:val="24"/>
              </w:rPr>
              <w:t>Les montants du dispositif « conversion à l’agriculture biologique » ne prennent pas en compte les coûts de certification à l'AB.</w:t>
            </w:r>
          </w:p>
          <w:p w:rsidR="0035701C" w:rsidRDefault="00FB561B">
            <w:pPr>
              <w:spacing w:before="240" w:after="240"/>
              <w:jc w:val="left"/>
              <w:rPr>
                <w:szCs w:val="24"/>
              </w:rPr>
            </w:pPr>
            <w:r>
              <w:rPr>
                <w:szCs w:val="24"/>
              </w:rPr>
              <w:t xml:space="preserve">Les calculs et montant d'aide sont établis conformément </w:t>
            </w:r>
            <w:r>
              <w:rPr>
                <w:szCs w:val="24"/>
              </w:rPr>
              <w:t>à l’article 62.2 du règlement FEADER et font l’objet d’une certification réalisée par l'organisme "Eco Logique Conseil", figurant au chapitre 18.2 du programme.</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Eligibilité du demandeur :</w:t>
            </w:r>
          </w:p>
          <w:p w:rsidR="0035701C" w:rsidRDefault="00FB561B" w:rsidP="00FB561B">
            <w:pPr>
              <w:numPr>
                <w:ilvl w:val="0"/>
                <w:numId w:val="898"/>
              </w:numPr>
              <w:spacing w:before="240" w:after="0"/>
              <w:ind w:hanging="210"/>
              <w:jc w:val="left"/>
              <w:rPr>
                <w:szCs w:val="24"/>
              </w:rPr>
            </w:pPr>
            <w:r>
              <w:rPr>
                <w:szCs w:val="24"/>
              </w:rPr>
              <w:t>Faire une déclaration de surface chaque</w:t>
            </w:r>
            <w:r>
              <w:rPr>
                <w:szCs w:val="24"/>
              </w:rPr>
              <w:t xml:space="preserve"> année dans les délais impartis, incluant la demande d’aide CAB</w:t>
            </w:r>
          </w:p>
          <w:p w:rsidR="0035701C" w:rsidRDefault="00FB561B" w:rsidP="00FB561B">
            <w:pPr>
              <w:numPr>
                <w:ilvl w:val="0"/>
                <w:numId w:val="898"/>
              </w:numPr>
              <w:spacing w:before="0" w:after="0"/>
              <w:ind w:hanging="210"/>
              <w:jc w:val="left"/>
              <w:rPr>
                <w:szCs w:val="24"/>
              </w:rPr>
            </w:pPr>
            <w:r>
              <w:rPr>
                <w:szCs w:val="24"/>
              </w:rPr>
              <w:t>Respect du cahier des charges de l’AB sur l’ensemble des parcelles engagées</w:t>
            </w:r>
          </w:p>
          <w:p w:rsidR="0035701C" w:rsidRDefault="00FB561B" w:rsidP="00FB561B">
            <w:pPr>
              <w:numPr>
                <w:ilvl w:val="0"/>
                <w:numId w:val="898"/>
              </w:numPr>
              <w:spacing w:before="0" w:after="0"/>
              <w:ind w:hanging="210"/>
              <w:jc w:val="left"/>
              <w:rPr>
                <w:szCs w:val="24"/>
              </w:rPr>
            </w:pPr>
            <w:r>
              <w:rPr>
                <w:szCs w:val="24"/>
              </w:rPr>
              <w:t>Notifier son activité auprès de l’Agence Bio</w:t>
            </w:r>
          </w:p>
          <w:p w:rsidR="0035701C" w:rsidRDefault="00FB561B" w:rsidP="00FB561B">
            <w:pPr>
              <w:numPr>
                <w:ilvl w:val="0"/>
                <w:numId w:val="898"/>
              </w:numPr>
              <w:spacing w:before="0" w:after="0"/>
              <w:ind w:hanging="210"/>
              <w:jc w:val="left"/>
              <w:rPr>
                <w:szCs w:val="24"/>
              </w:rPr>
            </w:pPr>
            <w:r>
              <w:rPr>
                <w:szCs w:val="24"/>
              </w:rPr>
              <w:t>Fournir une étude prospective sur les débouchés envisagés préalablement</w:t>
            </w:r>
            <w:r>
              <w:rPr>
                <w:szCs w:val="24"/>
              </w:rPr>
              <w:t xml:space="preserve"> à la programmation de l’aide.</w:t>
            </w:r>
          </w:p>
          <w:p w:rsidR="0035701C" w:rsidRDefault="00FB561B" w:rsidP="00FB561B">
            <w:pPr>
              <w:numPr>
                <w:ilvl w:val="0"/>
                <w:numId w:val="898"/>
              </w:numPr>
              <w:spacing w:before="0" w:after="240"/>
              <w:ind w:hanging="210"/>
              <w:jc w:val="left"/>
              <w:rPr>
                <w:szCs w:val="24"/>
              </w:rPr>
            </w:pPr>
            <w:r>
              <w:rPr>
                <w:szCs w:val="24"/>
              </w:rPr>
              <w:t>Formation spécifique AB obligatoire réalisée au plus tard le 15 avril de l’année de la 1ère demande d’aide et dispensée par un organisme spécialisé en AB et membre du réseau FNAB.</w:t>
            </w:r>
          </w:p>
          <w:p w:rsidR="0035701C" w:rsidRDefault="00FB561B">
            <w:pPr>
              <w:spacing w:before="240" w:after="240"/>
              <w:ind w:left="426"/>
              <w:jc w:val="left"/>
              <w:rPr>
                <w:szCs w:val="24"/>
              </w:rPr>
            </w:pPr>
            <w:r>
              <w:rPr>
                <w:szCs w:val="24"/>
              </w:rPr>
              <w:t> </w:t>
            </w:r>
          </w:p>
          <w:p w:rsidR="0035701C" w:rsidRDefault="00FB561B">
            <w:pPr>
              <w:spacing w:before="240" w:after="240"/>
              <w:jc w:val="left"/>
              <w:rPr>
                <w:szCs w:val="24"/>
              </w:rPr>
            </w:pPr>
            <w:r>
              <w:rPr>
                <w:szCs w:val="24"/>
                <w:u w:val="single"/>
              </w:rPr>
              <w:t>Eligibilité des surfaces :</w:t>
            </w:r>
          </w:p>
          <w:p w:rsidR="0035701C" w:rsidRDefault="00FB561B" w:rsidP="00FB561B">
            <w:pPr>
              <w:numPr>
                <w:ilvl w:val="0"/>
                <w:numId w:val="899"/>
              </w:numPr>
              <w:spacing w:before="240" w:after="240"/>
              <w:ind w:hanging="210"/>
              <w:jc w:val="left"/>
              <w:rPr>
                <w:szCs w:val="24"/>
              </w:rPr>
            </w:pPr>
            <w:r>
              <w:rPr>
                <w:szCs w:val="24"/>
              </w:rPr>
              <w:t xml:space="preserve">Sont éligibles </w:t>
            </w:r>
            <w:r>
              <w:rPr>
                <w:szCs w:val="24"/>
              </w:rPr>
              <w:t>au moment de l’introduction de la demande d’aide  l’ensemble des surfaces en 1ère ou 2ième année de conversion n’ayant pas bénéficié des aides à la conversion ou au maintien au cours de la précédente programmation (1er et 2nd pilier).</w:t>
            </w:r>
          </w:p>
          <w:p w:rsidR="0035701C" w:rsidRDefault="0035701C">
            <w:pPr>
              <w:pStyle w:val="Corpsdetexte"/>
            </w:pPr>
          </w:p>
        </w:tc>
      </w:tr>
    </w:tbl>
    <w:p w:rsidR="0035701C" w:rsidRDefault="00FB561B">
      <w:pPr>
        <w:pStyle w:val="Titre6"/>
      </w:pPr>
      <w:r>
        <w:t xml:space="preserve">Principes </w:t>
      </w:r>
      <w:r>
        <w:t>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Tableau 11.1.</w:t>
            </w:r>
          </w:p>
          <w:p w:rsidR="0035701C" w:rsidRDefault="00FB561B">
            <w:pPr>
              <w:spacing w:before="240" w:after="240"/>
              <w:jc w:val="left"/>
              <w:rPr>
                <w:szCs w:val="24"/>
              </w:rPr>
            </w:pPr>
            <w:r>
              <w:rPr>
                <w:szCs w:val="24"/>
              </w:rPr>
              <w:t>Le maraîchage est défini comme la succession d’au moins deux cultures annuelles sur une parcelle ou sous abris hauts. La culture lé</w:t>
            </w:r>
            <w:r>
              <w:rPr>
                <w:szCs w:val="24"/>
              </w:rPr>
              <w:t>gumière de plein champ correspond à une culture annuelle de légumes.</w:t>
            </w:r>
          </w:p>
          <w:p w:rsidR="0035701C" w:rsidRDefault="00FB561B">
            <w:pPr>
              <w:spacing w:before="240" w:after="240"/>
              <w:jc w:val="left"/>
              <w:rPr>
                <w:szCs w:val="24"/>
              </w:rPr>
            </w:pPr>
            <w:r>
              <w:rPr>
                <w:szCs w:val="24"/>
              </w:rPr>
              <w:t>Pour les catégories de couvert « maraîchage », et « Autres PPAM (annuelles et bisannuelles)», les montants unitaires sont supérieurs aux montants maximaux prévus à l’annexe II du règlemen</w:t>
            </w:r>
            <w:r>
              <w:rPr>
                <w:szCs w:val="24"/>
              </w:rPr>
              <w:t>t (UE) n°1305/2013 en cohérence avec les surcoûts induits par la conduite en bio pour ces productions.</w:t>
            </w:r>
          </w:p>
          <w:p w:rsidR="0035701C" w:rsidRDefault="00FB561B">
            <w:pPr>
              <w:spacing w:before="240" w:after="240"/>
              <w:jc w:val="left"/>
              <w:rPr>
                <w:szCs w:val="24"/>
              </w:rPr>
            </w:pPr>
            <w:r>
              <w:rPr>
                <w:szCs w:val="24"/>
              </w:rPr>
              <w:t> La sous-catégorie « arboriculture extensive » comprend les vergers issus de vergers anciens rénovés, pour les productions suivantes : Châtaigniers, oliv</w:t>
            </w:r>
            <w:r>
              <w:rPr>
                <w:szCs w:val="24"/>
              </w:rPr>
              <w:t>iers, noisetiers, noyers. Une réduction des paiements pour cette catégorie d’environ 45% est appliquée en conformité avec leur moindre densité (cf. justification). Ces mêmes productions, si elles concernent des vergers nouvellement plantés, seront à consid</w:t>
            </w:r>
            <w:r>
              <w:rPr>
                <w:szCs w:val="24"/>
              </w:rPr>
              <w:t>érer dans la catégorie « arboriculture ».</w:t>
            </w:r>
          </w:p>
          <w:p w:rsidR="0035701C" w:rsidRDefault="00FB561B">
            <w:pPr>
              <w:spacing w:before="240" w:after="240"/>
              <w:jc w:val="left"/>
              <w:rPr>
                <w:szCs w:val="24"/>
              </w:rPr>
            </w:pPr>
            <w:r>
              <w:rPr>
                <w:szCs w:val="24"/>
              </w:rPr>
              <w:t>La catégorie landes et parcours comprend l’ensemble des surfaces présentant des ressources issues de ligneux consommées (feuillage et fruits) pour les systèmes constitués d’herbivores ou de porcins.</w:t>
            </w:r>
          </w:p>
          <w:p w:rsidR="0035701C" w:rsidRDefault="00FB561B">
            <w:pPr>
              <w:spacing w:before="240" w:after="240"/>
              <w:jc w:val="left"/>
              <w:rPr>
                <w:szCs w:val="24"/>
              </w:rPr>
            </w:pPr>
            <w:r>
              <w:rPr>
                <w:szCs w:val="24"/>
              </w:rPr>
              <w:t>La catégorie « </w:t>
            </w:r>
            <w:r>
              <w:rPr>
                <w:szCs w:val="24"/>
              </w:rPr>
              <w:t>légumes de plein champ » comprend les légumes produits à grande échelle (&gt; 5ha/espèce) de façon fortement mécanisée.</w:t>
            </w:r>
          </w:p>
          <w:p w:rsidR="0035701C" w:rsidRDefault="00FB561B">
            <w:pPr>
              <w:spacing w:before="240" w:after="240"/>
              <w:jc w:val="left"/>
              <w:rPr>
                <w:szCs w:val="24"/>
              </w:rPr>
            </w:pPr>
            <w:r>
              <w:rPr>
                <w:szCs w:val="24"/>
              </w:rPr>
              <w:t>Cette aide est cumulable avec certaines MAEC, hormis les opérations portant sur les systèmes d’exploitation (MAEC systèmes)</w:t>
            </w:r>
          </w:p>
          <w:p w:rsidR="0035701C" w:rsidRDefault="00FB561B">
            <w:pPr>
              <w:spacing w:before="240" w:after="240"/>
              <w:jc w:val="left"/>
              <w:rPr>
                <w:szCs w:val="24"/>
              </w:rPr>
            </w:pPr>
            <w:r>
              <w:rPr>
                <w:szCs w:val="24"/>
              </w:rPr>
              <w:t>Une table indiq</w:t>
            </w:r>
            <w:r>
              <w:rPr>
                <w:szCs w:val="24"/>
              </w:rPr>
              <w:t>uant les possibilités de cumul pour chaque engagement unitaire est établie par l’Autorité de Gestion (cf. tableau :  croisement M11/M10).</w:t>
            </w:r>
          </w:p>
          <w:p w:rsidR="0035701C" w:rsidRDefault="00FB561B">
            <w:pPr>
              <w:spacing w:before="240" w:after="240"/>
              <w:jc w:val="left"/>
              <w:rPr>
                <w:szCs w:val="24"/>
              </w:rPr>
            </w:pPr>
            <w:r>
              <w:rPr>
                <w:szCs w:val="24"/>
              </w:rPr>
              <w:t>Le montant d’aides total versé pour une exploitation peut être amené à varier au cours de l’engagement en fonction des</w:t>
            </w:r>
            <w:r>
              <w:rPr>
                <w:szCs w:val="24"/>
              </w:rPr>
              <w:t xml:space="preserve"> couverts implantés chaque année, du fait de la rotation des cultures mises en œuvre sur les parcelles engagées dans la mesure. Il ne pourra toutefois pas excéder le montant d’aides maximal déterminé sur la base de l’assolement déclaré en première année d’</w:t>
            </w:r>
            <w:r>
              <w:rPr>
                <w:szCs w:val="24"/>
              </w:rPr>
              <w:t>engagement.</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5791200" cy="4695825"/>
                  <wp:effectExtent l="0" t="0" r="0" b="0"/>
                  <wp:docPr id="100296" name="Image 100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7" name=""/>
                          <pic:cNvPicPr>
                            <a:picLocks noChangeAspect="1"/>
                          </pic:cNvPicPr>
                        </pic:nvPicPr>
                        <pic:blipFill>
                          <a:blip r:embed="rId153"/>
                          <a:stretch>
                            <a:fillRect/>
                          </a:stretch>
                        </pic:blipFill>
                        <pic:spPr>
                          <a:xfrm>
                            <a:off x="0" y="0"/>
                            <a:ext cx="5791200" cy="4695825"/>
                          </a:xfrm>
                          <a:prstGeom prst="rect">
                            <a:avLst/>
                          </a:prstGeom>
                        </pic:spPr>
                      </pic:pic>
                    </a:graphicData>
                  </a:graphic>
                </wp:inline>
              </w:drawing>
            </w:r>
          </w:p>
          <w:p w:rsidR="0035701C" w:rsidRDefault="00FB561B">
            <w:pPr>
              <w:pStyle w:val="Pieddepage"/>
              <w:jc w:val="center"/>
            </w:pPr>
            <w:r>
              <w:t>Tableau 11.1</w:t>
            </w:r>
          </w:p>
          <w:p w:rsidR="0035701C" w:rsidRDefault="00FB561B">
            <w:pPr>
              <w:pStyle w:val="Pieddepage"/>
              <w:jc w:val="center"/>
            </w:pPr>
            <w:r>
              <w:rPr>
                <w:noProof/>
                <w:lang w:val="fr-FR" w:eastAsia="fr-FR"/>
              </w:rPr>
              <w:drawing>
                <wp:inline distT="0" distB="0" distL="0" distR="0">
                  <wp:extent cx="5124450" cy="7639050"/>
                  <wp:effectExtent l="0" t="0" r="0" b="0"/>
                  <wp:docPr id="100298" name="Image 100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99" name=""/>
                          <pic:cNvPicPr>
                            <a:picLocks noChangeAspect="1"/>
                          </pic:cNvPicPr>
                        </pic:nvPicPr>
                        <pic:blipFill>
                          <a:blip r:embed="rId154"/>
                          <a:stretch>
                            <a:fillRect/>
                          </a:stretch>
                        </pic:blipFill>
                        <pic:spPr>
                          <a:xfrm>
                            <a:off x="0" y="0"/>
                            <a:ext cx="5124450" cy="7639050"/>
                          </a:xfrm>
                          <a:prstGeom prst="rect">
                            <a:avLst/>
                          </a:prstGeom>
                        </pic:spPr>
                      </pic:pic>
                    </a:graphicData>
                  </a:graphic>
                </wp:inline>
              </w:drawing>
            </w:r>
          </w:p>
          <w:p w:rsidR="0035701C" w:rsidRDefault="00FB561B">
            <w:pPr>
              <w:pStyle w:val="Pieddepage"/>
              <w:jc w:val="center"/>
            </w:pPr>
            <w:r>
              <w:t>croisement 10-11</w:t>
            </w:r>
          </w:p>
          <w:p w:rsidR="0035701C" w:rsidRDefault="0035701C">
            <w:pPr>
              <w:pStyle w:val="Pieddepage"/>
              <w:jc w:val="center"/>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w:t>
            </w:r>
          </w:p>
          <w:p w:rsidR="0035701C" w:rsidRDefault="00FB561B">
            <w:pPr>
              <w:spacing w:before="240" w:after="240"/>
              <w:jc w:val="left"/>
              <w:rPr>
                <w:szCs w:val="24"/>
              </w:rPr>
            </w:pPr>
            <w:r>
              <w:rPr>
                <w:szCs w:val="24"/>
              </w:rPr>
              <w:t xml:space="preserve">- L'OP a demandé que soient bien </w:t>
            </w:r>
            <w:r>
              <w:rPr>
                <w:szCs w:val="24"/>
              </w:rPr>
              <w:t>décrits les diverses définitions réglementaires des aides surfaciques tant sur la définition des bénéficiaires que sur les surfaces et cheptels. Ce point a été pleinement satisfait, y compris sur les GAEC et autres formes sociétaires possibles. L'OP a dema</w:t>
            </w:r>
            <w:r>
              <w:rPr>
                <w:szCs w:val="24"/>
              </w:rPr>
              <w:t>ndé de reformuler clairement le lien entre les dispositifs MAB et CAB présents, ainsi que leurs liens avec  les aides à la conversion ou au maintien au cours de la précédente programmation (1er et 2nd pilier). Ce point est également satisfaisant. La problé</w:t>
            </w:r>
            <w:r>
              <w:rPr>
                <w:szCs w:val="24"/>
              </w:rPr>
              <w:t>matique particulière de l'obligation de formation réalisée au 15 avril au plus tard est prise en charge dans le cadre d'un contrôle administratif particulier  mais simple à exécuter.</w:t>
            </w:r>
          </w:p>
          <w:p w:rsidR="0035701C" w:rsidRDefault="00FB561B">
            <w:pPr>
              <w:spacing w:before="240" w:after="240"/>
              <w:jc w:val="left"/>
              <w:rPr>
                <w:szCs w:val="24"/>
              </w:rPr>
            </w:pPr>
            <w:r>
              <w:rPr>
                <w:szCs w:val="24"/>
                <w:u w:val="single"/>
              </w:rPr>
              <w:t>Risques identifiés selon la méthodologie présentée par l’OP (cf. chapitre</w:t>
            </w:r>
            <w:r>
              <w:rPr>
                <w:szCs w:val="24"/>
                <w:u w:val="single"/>
              </w:rPr>
              <w:t xml:space="preserve"> 18)</w:t>
            </w:r>
          </w:p>
          <w:p w:rsidR="0035701C" w:rsidRDefault="00FB561B">
            <w:pPr>
              <w:spacing w:before="240" w:after="240"/>
              <w:jc w:val="left"/>
              <w:rPr>
                <w:szCs w:val="24"/>
              </w:rPr>
            </w:pPr>
            <w:r>
              <w:rPr>
                <w:szCs w:val="24"/>
              </w:rPr>
              <w:t>n°1 - R6 : Au moment de la 1ère  demande de paiement, risque que la formation AB n'est pas été suivie (1er au 15 Avril). En effet les demandes de paiement peuvent être faites à compter du 1erAvril (source : Procédure réglementaire de Déclaration de su</w:t>
            </w:r>
            <w:r>
              <w:rPr>
                <w:szCs w:val="24"/>
              </w:rPr>
              <w:t>rface et demande de paiement : entre le 1er avril et le 15 mai (+ 20 jours sous pénalités de retard) )</w:t>
            </w:r>
          </w:p>
          <w:p w:rsidR="0035701C" w:rsidRDefault="00FB561B">
            <w:pPr>
              <w:spacing w:before="240" w:after="240"/>
              <w:jc w:val="left"/>
              <w:rPr>
                <w:szCs w:val="24"/>
              </w:rPr>
            </w:pPr>
            <w:r>
              <w:rPr>
                <w:szCs w:val="24"/>
              </w:rPr>
              <w:t>n°2 - R3 : Contrat pluriannuel susceptible d'être rompu ou modifié (source : AUDIT J4 2012)</w:t>
            </w:r>
          </w:p>
          <w:p w:rsidR="0035701C" w:rsidRDefault="00FB561B">
            <w:pPr>
              <w:spacing w:before="240" w:after="240"/>
              <w:jc w:val="left"/>
              <w:rPr>
                <w:szCs w:val="24"/>
              </w:rPr>
            </w:pPr>
            <w:r>
              <w:rPr>
                <w:szCs w:val="24"/>
              </w:rPr>
              <w:t> n°3 - R8  : Paramétrage adéquat des outils ETAT MEMBRE -Effe</w:t>
            </w:r>
            <w:r>
              <w:rPr>
                <w:szCs w:val="24"/>
              </w:rPr>
              <w:t>ctivité de la mise à disposition des outils en conformité avec les exigences du PDRC. Dans le cadre des mesures « Surfaces » et "Hors Surfaces" vigilance accrue sur la disponibilité et l’adéquation des outils de gestion nationaux au regard des exigences du</w:t>
            </w:r>
            <w:r>
              <w:rPr>
                <w:szCs w:val="24"/>
              </w:rPr>
              <w:t xml:space="preserve"> présent PDRC. (source : DG AGRI 2011, DG AGRI 2013, CCCOP Exercices 2008-2013, SAI 2013-2014, Audit d'agrément DG AGRI J5 (juin 2014))</w:t>
            </w:r>
          </w:p>
          <w:p w:rsidR="0035701C" w:rsidRDefault="00FB561B">
            <w:pPr>
              <w:spacing w:before="240" w:after="240"/>
              <w:jc w:val="left"/>
              <w:rPr>
                <w:szCs w:val="24"/>
              </w:rPr>
            </w:pPr>
            <w:r>
              <w:rPr>
                <w:szCs w:val="24"/>
              </w:rPr>
              <w:t>n°4 - R8 : Accessibilité pour l’OP comme pour l’AG aux informations relevant du 1er Pilier de la PAC nécessaires à la bo</w:t>
            </w:r>
            <w:r>
              <w:rPr>
                <w:szCs w:val="24"/>
              </w:rPr>
              <w:t>nne gestion et au contrôle du PDRC. (source : CCCOP Exercices 2008-2013, SAI 2013-2014).</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R6 : EXIGER que soit fournie à l'appui de la demande de paiement jointe à la déclaration de surface l'attestation de formation spécifique</w:t>
            </w:r>
            <w:r>
              <w:rPr>
                <w:szCs w:val="24"/>
              </w:rPr>
              <w:t xml:space="preserve"> AB obligatoire.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n°2 - R3 : CONTROLER administrativement par le biais des demandes de paiement et déclarations de surface annuelles, le suivi du respect  des engagements pluri annuels, tout au long du contrat.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n°3 - R8 : ETABLIR par EM procédure de par</w:t>
            </w:r>
            <w:r>
              <w:rPr>
                <w:szCs w:val="24"/>
              </w:rPr>
              <w:t>amétrage des outils SIGC,</w:t>
            </w:r>
          </w:p>
          <w:p w:rsidR="0035701C" w:rsidRDefault="00FB561B">
            <w:pPr>
              <w:spacing w:before="240" w:after="240"/>
              <w:jc w:val="left"/>
              <w:rPr>
                <w:szCs w:val="24"/>
              </w:rPr>
            </w:pPr>
            <w:r>
              <w:rPr>
                <w:szCs w:val="24"/>
              </w:rPr>
              <w:t>               RESPECT par OP de cette procédure,</w:t>
            </w:r>
          </w:p>
          <w:p w:rsidR="0035701C" w:rsidRDefault="00FB561B">
            <w:pPr>
              <w:spacing w:before="240" w:after="240"/>
              <w:jc w:val="left"/>
              <w:rPr>
                <w:szCs w:val="24"/>
              </w:rPr>
            </w:pPr>
            <w:r>
              <w:rPr>
                <w:szCs w:val="24"/>
              </w:rPr>
              <w:t>               MISE EN PRODUCTION CONFORME dans des délais cohérents avec les mises en paiement.</w:t>
            </w:r>
          </w:p>
          <w:p w:rsidR="0035701C" w:rsidRDefault="00FB561B">
            <w:pPr>
              <w:spacing w:before="240" w:after="240"/>
              <w:jc w:val="left"/>
              <w:rPr>
                <w:szCs w:val="24"/>
              </w:rPr>
            </w:pPr>
            <w:r>
              <w:rPr>
                <w:szCs w:val="24"/>
              </w:rPr>
              <w:t xml:space="preserve">n°4 - R8 : Prise en compte des demandes d'habilitations aux outils déclarés par </w:t>
            </w:r>
            <w:r>
              <w:rPr>
                <w:szCs w:val="24"/>
              </w:rPr>
              <w:t>l'EM formulées par l'OP-ODARC.</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Au vu des cotations matricielles, sur le poids financier de la mesure (&lt;5%), sur les priorités, les risques, les mesures d’atténuation prévues, cette mesure reçoit une évaluation  favorable</w:t>
            </w:r>
            <w:r>
              <w:rPr>
                <w:szCs w:val="24"/>
              </w:rPr>
              <w:t xml:space="preserve"> assez peu risquée ; Les mécanismes de mise en œuvre sont connus et maîtrisés par tous les acteurs,  les programmations précédentes qui ont suscité des problèmes particuliers sur les outils nationaux SIGC sont pris en charge par l'EM et l'OP. Les recommand</w:t>
            </w:r>
            <w:r>
              <w:rPr>
                <w:szCs w:val="24"/>
              </w:rPr>
              <w:t>ations et rappels à la règlementation faits par la Commission ont été pris en charge.</w:t>
            </w:r>
          </w:p>
          <w:p w:rsidR="0035701C" w:rsidRDefault="00FB561B">
            <w:pPr>
              <w:spacing w:before="240" w:after="240"/>
              <w:jc w:val="left"/>
              <w:rPr>
                <w:szCs w:val="24"/>
              </w:rPr>
            </w:pPr>
            <w:r>
              <w:rPr>
                <w:szCs w:val="24"/>
              </w:rPr>
              <w:t>- La phase d'instruction des demandes d'aides du PDRC SIGC étant dorénavant gérée directement par l'OP-ODARC, les risques relatifs à la bonne transmission des information</w:t>
            </w:r>
            <w:r>
              <w:rPr>
                <w:szCs w:val="24"/>
              </w:rPr>
              <w:t>s entre les partenaires sont fortement diminués.</w:t>
            </w:r>
          </w:p>
          <w:p w:rsidR="0035701C" w:rsidRDefault="00FB561B">
            <w:pPr>
              <w:spacing w:before="240" w:after="240"/>
              <w:jc w:val="left"/>
              <w:rPr>
                <w:szCs w:val="24"/>
              </w:rPr>
            </w:pPr>
            <w:r>
              <w:rPr>
                <w:szCs w:val="24"/>
              </w:rPr>
              <w:t>- Concernant l'évaluation globale de la mesure : la mesure est contrôlable sous réserve de la mise en place d'actions d'atténuation et des précisions apportées dans les documents de mise en œuvre notamment s</w:t>
            </w:r>
            <w:r>
              <w:rPr>
                <w:szCs w:val="24"/>
              </w:rPr>
              <w:t>ur la nécessité de bien contrôler  le respect des engagements pris pour chaque parcelle sur toute la durée du contrat (5 ans) et la stricte adéquation des outils de gestion de l'EM aux exigences de la mesure du PDRC. Une surveillance particulière sera assu</w:t>
            </w:r>
            <w:r>
              <w:rPr>
                <w:szCs w:val="24"/>
              </w:rPr>
              <w:t>rée par l'OP sur la qualité des paramétrages, des saisies des déclarations de surface et de leur contrôle administratif. Ces derniers éléments font l'objet d'un conventionnement EM/OP.</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w:t>
      </w:r>
      <w:r>
        <w:t>des éléments du niveau de référence applicable, qui doivent inclure les normes obligatoires établies en application du titre VI, chapitre I, du règlement (UE) n° 1306/2013 du Parlement européen et du Conseil, les critères pertinents et les activités minima</w:t>
      </w:r>
      <w:r>
        <w:t>les établies en application de l'article 4, paragraphe 1, point c), ii) et iii), du règlement (UE) n° 1307/2013 du Parlement européen et du Conseil, les exigences minimales applicables à l'utilisation des engrais et des produits phytosanitaire et les autre</w:t>
      </w:r>
      <w:r>
        <w:t>s exigences obligatoires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Description de la ligne de base</w:t>
            </w:r>
          </w:p>
          <w:p w:rsidR="0035701C" w:rsidRDefault="00FB561B">
            <w:pPr>
              <w:spacing w:before="240" w:after="240"/>
              <w:jc w:val="left"/>
              <w:rPr>
                <w:szCs w:val="24"/>
              </w:rPr>
            </w:pPr>
            <w:r>
              <w:rPr>
                <w:szCs w:val="24"/>
              </w:rPr>
              <w:t>Les montants unitaires des aides à la conversion sont calculés sur la base de surcoûts et manques à gagner générés par la conduite en 'agriculture biologique, ceci en c</w:t>
            </w:r>
            <w:r>
              <w:rPr>
                <w:szCs w:val="24"/>
              </w:rPr>
              <w:t>omparaison avec les pratiques de l'agriculture conventionnelle qui respectent les exigences du verdissement.</w:t>
            </w:r>
          </w:p>
          <w:p w:rsidR="0035701C" w:rsidRDefault="00FB561B">
            <w:pPr>
              <w:spacing w:before="240" w:after="240"/>
              <w:jc w:val="left"/>
              <w:rPr>
                <w:szCs w:val="24"/>
              </w:rPr>
            </w:pPr>
            <w:r>
              <w:rPr>
                <w:szCs w:val="24"/>
              </w:rPr>
              <w:t>Les engagements pris dans cette sous-mesure dépassent les exigences de la ligne de base.</w:t>
            </w:r>
          </w:p>
          <w:p w:rsidR="0035701C" w:rsidRDefault="00FB561B">
            <w:pPr>
              <w:spacing w:before="240" w:after="240"/>
              <w:jc w:val="left"/>
              <w:rPr>
                <w:szCs w:val="24"/>
              </w:rPr>
            </w:pPr>
            <w:r>
              <w:rPr>
                <w:b/>
                <w:bCs/>
                <w:szCs w:val="24"/>
              </w:rPr>
              <w:t>Prise en compte du verdissement</w:t>
            </w:r>
          </w:p>
          <w:p w:rsidR="0035701C" w:rsidRDefault="00FB561B">
            <w:pPr>
              <w:spacing w:before="240" w:after="240"/>
              <w:jc w:val="left"/>
              <w:rPr>
                <w:szCs w:val="24"/>
              </w:rPr>
            </w:pPr>
            <w:r>
              <w:rPr>
                <w:szCs w:val="24"/>
              </w:rPr>
              <w:t xml:space="preserve">Prise en compte des </w:t>
            </w:r>
            <w:r>
              <w:rPr>
                <w:szCs w:val="24"/>
              </w:rPr>
              <w:t>pratiques du verdissement afin d’éviter tout double paiement :</w:t>
            </w:r>
          </w:p>
          <w:p w:rsidR="0035701C" w:rsidRDefault="00FB561B" w:rsidP="00FB561B">
            <w:pPr>
              <w:numPr>
                <w:ilvl w:val="0"/>
                <w:numId w:val="900"/>
              </w:numPr>
              <w:spacing w:before="240" w:after="0"/>
              <w:ind w:hanging="210"/>
              <w:jc w:val="left"/>
              <w:rPr>
                <w:szCs w:val="24"/>
              </w:rPr>
            </w:pPr>
            <w:r>
              <w:rPr>
                <w:szCs w:val="24"/>
              </w:rPr>
              <w:t>Diversification des cultures : pour les cultures annuelles, la pratique de référence se base sur un assolement-type qui va au-delà des exigences du verdissement (voir tableau ci-après).</w:t>
            </w:r>
          </w:p>
          <w:p w:rsidR="0035701C" w:rsidRDefault="00FB561B" w:rsidP="00FB561B">
            <w:pPr>
              <w:numPr>
                <w:ilvl w:val="0"/>
                <w:numId w:val="900"/>
              </w:numPr>
              <w:spacing w:before="0" w:after="0"/>
              <w:ind w:hanging="210"/>
              <w:jc w:val="left"/>
              <w:rPr>
                <w:szCs w:val="24"/>
              </w:rPr>
            </w:pPr>
            <w:r>
              <w:rPr>
                <w:szCs w:val="24"/>
              </w:rPr>
              <w:t>Prairie</w:t>
            </w:r>
            <w:r>
              <w:rPr>
                <w:szCs w:val="24"/>
              </w:rPr>
              <w:t>s permanentes : l’engagement à maintenir les prairies permanentes constitue une ligne de base</w:t>
            </w:r>
          </w:p>
          <w:p w:rsidR="0035701C" w:rsidRDefault="00FB561B" w:rsidP="00FB561B">
            <w:pPr>
              <w:numPr>
                <w:ilvl w:val="0"/>
                <w:numId w:val="900"/>
              </w:numPr>
              <w:spacing w:before="0" w:after="240"/>
              <w:ind w:hanging="210"/>
              <w:jc w:val="left"/>
              <w:rPr>
                <w:szCs w:val="24"/>
              </w:rPr>
            </w:pPr>
            <w:r>
              <w:rPr>
                <w:szCs w:val="24"/>
              </w:rPr>
              <w:t>Surfaces d’intérêt écologique : cette exigence n’a pas de lien avec la mesure 11.</w:t>
            </w:r>
          </w:p>
          <w:p w:rsidR="0035701C" w:rsidRDefault="00FB561B">
            <w:pPr>
              <w:spacing w:before="240" w:after="240"/>
              <w:jc w:val="left"/>
              <w:rPr>
                <w:szCs w:val="24"/>
              </w:rPr>
            </w:pPr>
            <w:r>
              <w:rPr>
                <w:b/>
                <w:bCs/>
                <w:szCs w:val="24"/>
              </w:rPr>
              <w:t>Assolement de référence utilisé pour le calcul de la marge brute en production c</w:t>
            </w:r>
            <w:r>
              <w:rPr>
                <w:b/>
                <w:bCs/>
                <w:szCs w:val="24"/>
              </w:rPr>
              <w:t>onventionnelle pour la catégorie de couvert « cultures annuelles »</w:t>
            </w:r>
            <w:r>
              <w:rPr>
                <w:szCs w:val="24"/>
              </w:rPr>
              <w:t xml:space="preserve"> (cf. Tableau Assolement BIO).</w:t>
            </w:r>
          </w:p>
          <w:p w:rsidR="0035701C" w:rsidRDefault="00FB561B">
            <w:pPr>
              <w:spacing w:before="240" w:after="240"/>
              <w:jc w:val="left"/>
              <w:rPr>
                <w:szCs w:val="24"/>
              </w:rPr>
            </w:pPr>
            <w:r>
              <w:rPr>
                <w:szCs w:val="24"/>
              </w:rPr>
              <w:t>Source : Agreste, Statistique Agricole Annuelle de 2007 à 2012</w:t>
            </w:r>
          </w:p>
          <w:p w:rsidR="0035701C" w:rsidRDefault="00FB561B">
            <w:pPr>
              <w:spacing w:before="240" w:after="240"/>
              <w:jc w:val="left"/>
              <w:rPr>
                <w:szCs w:val="24"/>
              </w:rPr>
            </w:pPr>
            <w:r>
              <w:rPr>
                <w:szCs w:val="24"/>
              </w:rPr>
              <w:t> </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400800" cy="1352550"/>
                  <wp:effectExtent l="0" t="0" r="0" b="0"/>
                  <wp:docPr id="100300" name="Image 100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01" name=""/>
                          <pic:cNvPicPr>
                            <a:picLocks noChangeAspect="1"/>
                          </pic:cNvPicPr>
                        </pic:nvPicPr>
                        <pic:blipFill>
                          <a:blip r:embed="rId155"/>
                          <a:stretch>
                            <a:fillRect/>
                          </a:stretch>
                        </pic:blipFill>
                        <pic:spPr>
                          <a:xfrm>
                            <a:off x="0" y="0"/>
                            <a:ext cx="6400800" cy="1352550"/>
                          </a:xfrm>
                          <a:prstGeom prst="rect">
                            <a:avLst/>
                          </a:prstGeom>
                        </pic:spPr>
                      </pic:pic>
                    </a:graphicData>
                  </a:graphic>
                </wp:inline>
              </w:drawing>
            </w:r>
          </w:p>
          <w:p w:rsidR="0035701C" w:rsidRDefault="00FB561B">
            <w:pPr>
              <w:pStyle w:val="Pieddepage"/>
              <w:jc w:val="center"/>
            </w:pPr>
            <w:r>
              <w:t>Tableau Assolement BIO</w:t>
            </w:r>
          </w:p>
          <w:p w:rsidR="0035701C" w:rsidRDefault="0035701C">
            <w:pPr>
              <w:pStyle w:val="Pieddepage"/>
              <w:jc w:val="center"/>
            </w:pPr>
          </w:p>
        </w:tc>
      </w:tr>
    </w:tbl>
    <w:p w:rsidR="0035701C" w:rsidRDefault="00FB561B">
      <w:r>
        <w:t xml:space="preserve">Description de la méthode et des hypothèses et paramètres </w:t>
      </w:r>
      <w:r>
        <w:t>agronomiques y compris la description des exigences minimales visées à l'article 29, paragraphe 2, du règlement (UE) n° 1305/2013 correspondant à chaque type particulier d'engagement utilisés comme référence pour les calculs justifiant les coûts supplément</w:t>
      </w:r>
      <w:r>
        <w:t>aires et les pertes de revenus résultant de l’engagement pris et le niveau des coûts des transactions; le cas échéant, cette méthode tient compte des aides accordées au titre du règlement (UE) n° 1307/2013, et notamment des paiements en faveur des pratique</w:t>
      </w:r>
      <w:r>
        <w:t>s agricoles bénéfiques pour le climat et l’environnement, afin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Justification des montants pour la conversion </w:t>
            </w:r>
            <w:r>
              <w:rPr>
                <w:b/>
                <w:bCs/>
                <w:szCs w:val="24"/>
              </w:rPr>
              <w:t>en AB</w:t>
            </w:r>
          </w:p>
          <w:p w:rsidR="0035701C" w:rsidRDefault="00FB561B">
            <w:pPr>
              <w:spacing w:before="240" w:after="240"/>
              <w:jc w:val="left"/>
              <w:rPr>
                <w:szCs w:val="24"/>
              </w:rPr>
            </w:pPr>
            <w:r>
              <w:rPr>
                <w:szCs w:val="24"/>
              </w:rPr>
              <w:t>Les montants unitaires résultent d'un différentiel de marge brute entre production conventionnelle et production biologique (sauf pour catégorie "Landes et parcours") auxquels s'ajoutent les surcoûts de main d’œuvre liés à la mise en œuvre des itinér</w:t>
            </w:r>
            <w:r>
              <w:rPr>
                <w:szCs w:val="24"/>
              </w:rPr>
              <w:t>aires techniques bio, lorsque ces derniers sont avérés, et des coûts de transaction dans certains cas (pour les catégories "Prairies" et "Cultures annuelles").</w:t>
            </w:r>
          </w:p>
          <w:p w:rsidR="0035701C" w:rsidRDefault="00FB561B">
            <w:pPr>
              <w:spacing w:before="240" w:after="240"/>
              <w:jc w:val="left"/>
              <w:rPr>
                <w:szCs w:val="24"/>
              </w:rPr>
            </w:pPr>
            <w:r>
              <w:rPr>
                <w:szCs w:val="24"/>
              </w:rPr>
              <w:t>Pour les catégories de couverts "Prairies" et "Cultures annuelles" dont les différentiels de mar</w:t>
            </w:r>
            <w:r>
              <w:rPr>
                <w:szCs w:val="24"/>
              </w:rPr>
              <w:t>ge brute entre production conventionnelle et production biologique n'atteignent pas le plafond communautaire, il a été tenu compte :</w:t>
            </w:r>
          </w:p>
          <w:p w:rsidR="0035701C" w:rsidRDefault="00FB561B" w:rsidP="00FB561B">
            <w:pPr>
              <w:numPr>
                <w:ilvl w:val="0"/>
                <w:numId w:val="901"/>
              </w:numPr>
              <w:spacing w:before="240" w:after="0"/>
              <w:ind w:hanging="210"/>
              <w:jc w:val="left"/>
              <w:rPr>
                <w:szCs w:val="24"/>
              </w:rPr>
            </w:pPr>
            <w:r>
              <w:rPr>
                <w:szCs w:val="24"/>
              </w:rPr>
              <w:t>de la meilleure valorisation des productions en agriculture biologique, dans des conditions de rendements stabilisés. Les m</w:t>
            </w:r>
            <w:r>
              <w:rPr>
                <w:szCs w:val="24"/>
              </w:rPr>
              <w:t xml:space="preserve">ontants à la conversion sont donc lissés : </w:t>
            </w:r>
          </w:p>
          <w:p w:rsidR="0035701C" w:rsidRDefault="00FB561B" w:rsidP="00FB561B">
            <w:pPr>
              <w:numPr>
                <w:ilvl w:val="1"/>
                <w:numId w:val="901"/>
              </w:numPr>
              <w:spacing w:before="0" w:after="0"/>
              <w:ind w:hanging="244"/>
              <w:jc w:val="left"/>
              <w:rPr>
                <w:szCs w:val="24"/>
              </w:rPr>
            </w:pPr>
            <w:r>
              <w:rPr>
                <w:i/>
                <w:iCs/>
                <w:szCs w:val="24"/>
              </w:rPr>
              <w:t>Pour la catégorie « cultures annuelles »: différentiel de marge brute sans valorisation AB pendant 3 ans + différentiel de marge brute avec valorisation AB pendant 2 ans.</w:t>
            </w:r>
          </w:p>
          <w:p w:rsidR="0035701C" w:rsidRDefault="00FB561B" w:rsidP="00FB561B">
            <w:pPr>
              <w:numPr>
                <w:ilvl w:val="1"/>
                <w:numId w:val="901"/>
              </w:numPr>
              <w:spacing w:before="0" w:after="0"/>
              <w:ind w:hanging="244"/>
              <w:jc w:val="left"/>
              <w:rPr>
                <w:szCs w:val="24"/>
              </w:rPr>
            </w:pPr>
            <w:r>
              <w:rPr>
                <w:i/>
                <w:iCs/>
                <w:szCs w:val="24"/>
              </w:rPr>
              <w:t>Pour la catégorie « Prairies » : différen</w:t>
            </w:r>
            <w:r>
              <w:rPr>
                <w:i/>
                <w:iCs/>
                <w:szCs w:val="24"/>
              </w:rPr>
              <w:t>tiel de marge brute sans valorisation AB pendant 2 ans + différentiel de marge brute avec valorisation AB pendant 3 ans.</w:t>
            </w:r>
          </w:p>
          <w:p w:rsidR="0035701C" w:rsidRDefault="00FB561B" w:rsidP="00FB561B">
            <w:pPr>
              <w:numPr>
                <w:ilvl w:val="0"/>
                <w:numId w:val="901"/>
              </w:numPr>
              <w:spacing w:before="0" w:after="240"/>
              <w:ind w:hanging="210"/>
              <w:jc w:val="left"/>
              <w:rPr>
                <w:szCs w:val="24"/>
              </w:rPr>
            </w:pPr>
            <w:r>
              <w:rPr>
                <w:szCs w:val="24"/>
              </w:rPr>
              <w:t>des coûts de transaction qui recouvrent le temps passé par le producteur pour élaborer et suivre son projet d'un point de vue technique</w:t>
            </w:r>
            <w:r>
              <w:rPr>
                <w:szCs w:val="24"/>
              </w:rPr>
              <w:t xml:space="preserve"> et administratif : 20 €/ha/an (sur la base d'une valeur unitaire à 19,06€/h correspondant à 2 fois le SMIC).</w:t>
            </w:r>
          </w:p>
          <w:p w:rsidR="0035701C" w:rsidRDefault="00FB561B">
            <w:pPr>
              <w:spacing w:before="240" w:after="240"/>
              <w:jc w:val="left"/>
              <w:rPr>
                <w:szCs w:val="24"/>
              </w:rPr>
            </w:pPr>
            <w:r>
              <w:rPr>
                <w:szCs w:val="24"/>
              </w:rPr>
              <w:t>Pour les autres catégories de couvert, il n'a pas été nécessaire de tenir compte des coûts de transaction étant donné que le différentiel de marge</w:t>
            </w:r>
            <w:r>
              <w:rPr>
                <w:szCs w:val="24"/>
              </w:rPr>
              <w:t xml:space="preserve"> brute dépassait déjà le plafond fixé par la réglementation européenne.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Pour la catégorie "Landes et parcours", le montant unitaire couvre les surcoûts  liés à l'entretien mécanisé des clôtures auxquels s'ajoutent les surcoûts liés au désherbage mécaniqu</w:t>
            </w:r>
            <w:r>
              <w:rPr>
                <w:szCs w:val="24"/>
              </w:rPr>
              <w:t>e sous les clôtures. Les surcoûts et manques à gagner estimés étant identiques entre la conversion et le maintien, et afin de maintenir un différentiel de soutien en faveur de la conversion, les coûts de transaction estimés dans le cadre de démarches indiv</w:t>
            </w:r>
            <w:r>
              <w:rPr>
                <w:szCs w:val="24"/>
              </w:rPr>
              <w:t>iduelles ont été intégrés dans le calcul du montant unitaire de l'aide à la conversion uniquement.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xml:space="preserve">Concernant l’arboriculture, une différenciation de montant à l’ha a été réalisée afin de tenir compte de la spécificité de ce type de couvert en Corse. En </w:t>
            </w:r>
            <w:r>
              <w:rPr>
                <w:szCs w:val="24"/>
              </w:rPr>
              <w:t>effet, en arboriculture traditionnelle ou extensive, les vergers sont des vergers rénovés et non plantés. Ainsi, le nombre de pieds par ha est inférieur d’au moins 40% à 50% dans ces vergers anciens par rapport à des vergers plantés. Le montant de l’aide à</w:t>
            </w:r>
            <w:r>
              <w:rPr>
                <w:szCs w:val="24"/>
              </w:rPr>
              <w:t xml:space="preserve"> l’hectare « arboriculture extensive » a donc été diminué par rapport à celui de la catégorie « arboriculture ».</w:t>
            </w:r>
          </w:p>
          <w:p w:rsidR="0035701C" w:rsidRDefault="00FB561B">
            <w:pPr>
              <w:spacing w:before="240" w:after="240"/>
              <w:jc w:val="left"/>
              <w:rPr>
                <w:szCs w:val="24"/>
              </w:rPr>
            </w:pPr>
            <w:r>
              <w:rPr>
                <w:szCs w:val="24"/>
              </w:rPr>
              <w:t>Cf. tableau ci-joint.</w:t>
            </w:r>
          </w:p>
          <w:p w:rsidR="0035701C" w:rsidRDefault="00FB561B">
            <w:pPr>
              <w:spacing w:before="240" w:after="240"/>
              <w:jc w:val="left"/>
              <w:rPr>
                <w:szCs w:val="24"/>
              </w:rPr>
            </w:pPr>
            <w:r>
              <w:rPr>
                <w:szCs w:val="24"/>
              </w:rPr>
              <w:t>Avec :</w:t>
            </w:r>
          </w:p>
          <w:p w:rsidR="0035701C" w:rsidRDefault="00FB561B">
            <w:pPr>
              <w:spacing w:before="240" w:after="240"/>
              <w:jc w:val="left"/>
              <w:rPr>
                <w:szCs w:val="24"/>
              </w:rPr>
            </w:pPr>
            <w:r>
              <w:rPr>
                <w:szCs w:val="24"/>
              </w:rPr>
              <w:t>MB : Marge brute = Produit brut (PB) – Charges opérationnelles (CO)</w:t>
            </w:r>
          </w:p>
          <w:p w:rsidR="0035701C" w:rsidRDefault="00FB561B">
            <w:pPr>
              <w:spacing w:before="240" w:after="240"/>
              <w:jc w:val="left"/>
              <w:rPr>
                <w:szCs w:val="24"/>
              </w:rPr>
            </w:pPr>
            <w:r>
              <w:rPr>
                <w:szCs w:val="24"/>
              </w:rPr>
              <w:t>PB = quantité produite * prix du marché = rend</w:t>
            </w:r>
            <w:r>
              <w:rPr>
                <w:szCs w:val="24"/>
              </w:rPr>
              <w:t>ement * surface * prix du marché</w:t>
            </w:r>
          </w:p>
          <w:p w:rsidR="0035701C" w:rsidRDefault="00FB561B">
            <w:pPr>
              <w:spacing w:before="240" w:after="240"/>
              <w:jc w:val="left"/>
              <w:rPr>
                <w:szCs w:val="24"/>
              </w:rPr>
            </w:pPr>
            <w:r>
              <w:rPr>
                <w:szCs w:val="24"/>
              </w:rPr>
              <w:t>CO = semences, phytosanitaires, fertilisants, paillage ou entretien du sol, irrigation, coût d’utilisation du matériel</w:t>
            </w:r>
          </w:p>
          <w:p w:rsidR="0035701C" w:rsidRDefault="00FB561B">
            <w:pPr>
              <w:spacing w:before="240" w:after="240"/>
              <w:jc w:val="left"/>
              <w:rPr>
                <w:szCs w:val="24"/>
              </w:rPr>
            </w:pPr>
            <w:r>
              <w:rPr>
                <w:szCs w:val="24"/>
              </w:rPr>
              <w:t>Conv : conventionnelle</w:t>
            </w:r>
          </w:p>
          <w:p w:rsidR="0035701C" w:rsidRDefault="00FB561B">
            <w:pPr>
              <w:spacing w:before="240" w:after="240"/>
              <w:jc w:val="left"/>
              <w:rPr>
                <w:szCs w:val="24"/>
              </w:rPr>
            </w:pPr>
            <w:r>
              <w:rPr>
                <w:i/>
                <w:iCs/>
                <w:szCs w:val="24"/>
              </w:rPr>
              <w:t>SMO : Surcoûts de main d’œuvre</w:t>
            </w:r>
          </w:p>
          <w:p w:rsidR="0035701C" w:rsidRDefault="00FB561B">
            <w:pPr>
              <w:spacing w:before="240" w:after="240"/>
              <w:jc w:val="left"/>
              <w:rPr>
                <w:szCs w:val="24"/>
              </w:rPr>
            </w:pPr>
            <w:r>
              <w:rPr>
                <w:i/>
                <w:iCs/>
                <w:szCs w:val="24"/>
              </w:rPr>
              <w:t xml:space="preserve">Cout de transaction </w:t>
            </w:r>
            <w:r>
              <w:rPr>
                <w:szCs w:val="24"/>
              </w:rPr>
              <w:t>: plafonnés à 20% de l’aide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Les coûts de transaction dans le cadre de démarches collectives sont estimés à 20 €/ha/an en période de conversion.</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Sources des données :</w:t>
            </w:r>
          </w:p>
          <w:p w:rsidR="0035701C" w:rsidRDefault="00FB561B">
            <w:pPr>
              <w:spacing w:before="240" w:after="240"/>
              <w:jc w:val="left"/>
              <w:rPr>
                <w:szCs w:val="24"/>
              </w:rPr>
            </w:pPr>
            <w:r>
              <w:rPr>
                <w:szCs w:val="24"/>
              </w:rPr>
              <w:t>Différentiels de marge brute et surcoûts de main d’œuvre :</w:t>
            </w:r>
          </w:p>
          <w:p w:rsidR="0035701C" w:rsidRDefault="00FB561B" w:rsidP="00FB561B">
            <w:pPr>
              <w:numPr>
                <w:ilvl w:val="0"/>
                <w:numId w:val="902"/>
              </w:numPr>
              <w:spacing w:before="240" w:after="0"/>
              <w:ind w:hanging="210"/>
              <w:jc w:val="left"/>
              <w:rPr>
                <w:szCs w:val="24"/>
              </w:rPr>
            </w:pPr>
            <w:r>
              <w:rPr>
                <w:szCs w:val="24"/>
              </w:rPr>
              <w:t>Landes, estives et parcours : Chambre d’agriculture de l’</w:t>
            </w:r>
            <w:r>
              <w:rPr>
                <w:szCs w:val="24"/>
              </w:rPr>
              <w:t>Aveyron (2013)</w:t>
            </w:r>
          </w:p>
          <w:p w:rsidR="0035701C" w:rsidRDefault="00FB561B" w:rsidP="00FB561B">
            <w:pPr>
              <w:numPr>
                <w:ilvl w:val="0"/>
                <w:numId w:val="902"/>
              </w:numPr>
              <w:spacing w:before="0" w:after="0"/>
              <w:ind w:hanging="210"/>
              <w:jc w:val="left"/>
              <w:rPr>
                <w:szCs w:val="24"/>
              </w:rPr>
            </w:pPr>
            <w:r>
              <w:rPr>
                <w:szCs w:val="24"/>
              </w:rPr>
              <w:t>Prairies : Institut de l’élevage (2012)</w:t>
            </w:r>
          </w:p>
          <w:p w:rsidR="0035701C" w:rsidRDefault="00FB561B" w:rsidP="00FB561B">
            <w:pPr>
              <w:numPr>
                <w:ilvl w:val="0"/>
                <w:numId w:val="902"/>
              </w:numPr>
              <w:spacing w:before="0" w:after="0"/>
              <w:ind w:hanging="210"/>
              <w:jc w:val="left"/>
              <w:rPr>
                <w:szCs w:val="24"/>
              </w:rPr>
            </w:pPr>
            <w:r>
              <w:rPr>
                <w:szCs w:val="24"/>
              </w:rPr>
              <w:t>Cultures annuelles : Coop de France, Chambres d’agriculture d’Aquitaine, de l’Aveyron, et du Gers, ITAB, AGRESTE statistiques 2007-2012, SSP- RICA 2005-2011</w:t>
            </w:r>
          </w:p>
          <w:p w:rsidR="0035701C" w:rsidRDefault="00FB561B" w:rsidP="00FB561B">
            <w:pPr>
              <w:numPr>
                <w:ilvl w:val="0"/>
                <w:numId w:val="902"/>
              </w:numPr>
              <w:spacing w:before="0" w:after="0"/>
              <w:ind w:hanging="210"/>
              <w:jc w:val="left"/>
              <w:rPr>
                <w:szCs w:val="24"/>
              </w:rPr>
            </w:pPr>
            <w:r>
              <w:rPr>
                <w:szCs w:val="24"/>
              </w:rPr>
              <w:t xml:space="preserve">Viticulture : Chambre d’agriculture de </w:t>
            </w:r>
            <w:r>
              <w:rPr>
                <w:szCs w:val="24"/>
              </w:rPr>
              <w:t>Gironde (2011-2013)</w:t>
            </w:r>
          </w:p>
          <w:p w:rsidR="0035701C" w:rsidRDefault="00FB561B" w:rsidP="00FB561B">
            <w:pPr>
              <w:numPr>
                <w:ilvl w:val="0"/>
                <w:numId w:val="902"/>
              </w:numPr>
              <w:spacing w:before="0" w:after="0"/>
              <w:ind w:hanging="210"/>
              <w:jc w:val="left"/>
              <w:rPr>
                <w:szCs w:val="24"/>
              </w:rPr>
            </w:pPr>
            <w:r>
              <w:rPr>
                <w:szCs w:val="24"/>
              </w:rPr>
              <w:t>Cultures légumières de plein champ : CASDAR Légumes de plein champ bio (2013), GABnor Chambre d'agriculture du Nord – Pas de Calais</w:t>
            </w:r>
          </w:p>
          <w:p w:rsidR="0035701C" w:rsidRDefault="00FB561B" w:rsidP="00FB561B">
            <w:pPr>
              <w:numPr>
                <w:ilvl w:val="0"/>
                <w:numId w:val="902"/>
              </w:numPr>
              <w:spacing w:before="0" w:after="0"/>
              <w:ind w:hanging="210"/>
              <w:jc w:val="left"/>
              <w:rPr>
                <w:szCs w:val="24"/>
              </w:rPr>
            </w:pPr>
            <w:r>
              <w:rPr>
                <w:szCs w:val="24"/>
              </w:rPr>
              <w:t>Maraîchage : CIVAMBIO des Pyrénées Orientales, Chambre d'agriculture du Roussillon, Gab Île-de-France (2</w:t>
            </w:r>
            <w:r>
              <w:rPr>
                <w:szCs w:val="24"/>
              </w:rPr>
              <w:t>013)</w:t>
            </w:r>
          </w:p>
          <w:p w:rsidR="0035701C" w:rsidRDefault="00FB561B" w:rsidP="00FB561B">
            <w:pPr>
              <w:numPr>
                <w:ilvl w:val="0"/>
                <w:numId w:val="902"/>
              </w:numPr>
              <w:spacing w:before="0" w:after="0"/>
              <w:ind w:hanging="210"/>
              <w:jc w:val="left"/>
              <w:rPr>
                <w:szCs w:val="24"/>
              </w:rPr>
            </w:pPr>
            <w:r>
              <w:rPr>
                <w:szCs w:val="24"/>
              </w:rPr>
              <w:t>Arboriculture : Chambre d'agriculture du Tarn et Garonne, de l’Isère et de l’Ardèche (2008-2012)</w:t>
            </w:r>
          </w:p>
          <w:p w:rsidR="0035701C" w:rsidRDefault="00FB561B" w:rsidP="00FB561B">
            <w:pPr>
              <w:numPr>
                <w:ilvl w:val="0"/>
                <w:numId w:val="902"/>
              </w:numPr>
              <w:spacing w:before="0" w:after="0"/>
              <w:ind w:hanging="210"/>
              <w:jc w:val="left"/>
              <w:rPr>
                <w:szCs w:val="24"/>
              </w:rPr>
            </w:pPr>
            <w:r>
              <w:rPr>
                <w:szCs w:val="24"/>
              </w:rPr>
              <w:t>PPAM : Chambre d'agriculture du Vaucluse (2013), Union des professionnels des plantes à parfum, aromatiques et médicinales (2014)</w:t>
            </w:r>
          </w:p>
          <w:p w:rsidR="0035701C" w:rsidRDefault="00FB561B" w:rsidP="00FB561B">
            <w:pPr>
              <w:numPr>
                <w:ilvl w:val="0"/>
                <w:numId w:val="902"/>
              </w:numPr>
              <w:spacing w:before="0" w:after="240"/>
              <w:ind w:hanging="210"/>
              <w:jc w:val="left"/>
              <w:rPr>
                <w:szCs w:val="24"/>
              </w:rPr>
            </w:pPr>
            <w:r>
              <w:rPr>
                <w:i/>
                <w:iCs/>
                <w:szCs w:val="24"/>
              </w:rPr>
              <w:t>Coûts de transaction : F</w:t>
            </w:r>
            <w:r>
              <w:rPr>
                <w:i/>
                <w:iCs/>
                <w:szCs w:val="24"/>
              </w:rPr>
              <w:t>édération nationale d’agriculture biologique (FNAB), 2010</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5943600" cy="4000500"/>
                  <wp:effectExtent l="0" t="0" r="0" b="0"/>
                  <wp:docPr id="100302" name="Image 100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03" name=""/>
                          <pic:cNvPicPr>
                            <a:picLocks noChangeAspect="1"/>
                          </pic:cNvPicPr>
                        </pic:nvPicPr>
                        <pic:blipFill>
                          <a:blip r:embed="rId156"/>
                          <a:stretch>
                            <a:fillRect/>
                          </a:stretch>
                        </pic:blipFill>
                        <pic:spPr>
                          <a:xfrm>
                            <a:off x="0" y="0"/>
                            <a:ext cx="5943600" cy="4000500"/>
                          </a:xfrm>
                          <a:prstGeom prst="rect">
                            <a:avLst/>
                          </a:prstGeom>
                        </pic:spPr>
                      </pic:pic>
                    </a:graphicData>
                  </a:graphic>
                </wp:inline>
              </w:drawing>
            </w:r>
          </w:p>
          <w:p w:rsidR="0035701C" w:rsidRDefault="00FB561B">
            <w:pPr>
              <w:pStyle w:val="Pieddepage"/>
              <w:jc w:val="center"/>
            </w:pPr>
            <w:r>
              <w:t>calcul conversion</w:t>
            </w:r>
          </w:p>
          <w:p w:rsidR="0035701C" w:rsidRDefault="0035701C">
            <w:pPr>
              <w:pStyle w:val="Pieddepage"/>
              <w:jc w:val="center"/>
            </w:pPr>
          </w:p>
        </w:tc>
      </w:tr>
    </w:tbl>
    <w:p w:rsidR="0035701C" w:rsidRDefault="00FB561B">
      <w:pPr>
        <w:pStyle w:val="Titre5"/>
        <w:rPr>
          <w:b w:val="0"/>
        </w:rPr>
      </w:pPr>
      <w:r>
        <w:rPr>
          <w:b w:val="0"/>
        </w:rPr>
        <w:br w:type="page"/>
        <w:t>11.2- Maintien AB</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903"/>
              </w:numPr>
            </w:pPr>
            <w:r>
              <w:t xml:space="preserve">11.2 – Paiement au maintien des pratiques et méthodes de l'agriculture biologique </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L'agriculture biologique </w:t>
            </w:r>
            <w:r>
              <w:rPr>
                <w:szCs w:val="24"/>
              </w:rPr>
              <w:t xml:space="preserve">qui est caractérisée par le non-usage d'intrants chimiques, de synthèse et d'OGM, et dont les pratiques d'élevage et de cultures visent la gestion durable des ressources naturelles, la préservation des sols et de l’environnement, le respect des équilibres </w:t>
            </w:r>
            <w:r>
              <w:rPr>
                <w:szCs w:val="24"/>
              </w:rPr>
              <w:t>écologiques et le bien-être animal, a globalement un impact positif avéré sur l'eau, le sol, la biodiversité et le changement climatique. Le développement de surfaces AB est donc un enjeu important pour la Corse, soucieuse de préserver son environnement. </w:t>
            </w:r>
          </w:p>
          <w:p w:rsidR="0035701C" w:rsidRDefault="00FB561B">
            <w:pPr>
              <w:spacing w:before="240" w:after="240"/>
              <w:jc w:val="left"/>
              <w:rPr>
                <w:szCs w:val="24"/>
              </w:rPr>
            </w:pPr>
            <w:r>
              <w:rPr>
                <w:szCs w:val="24"/>
              </w:rPr>
              <w:t>Or, de part son cahier des charges, l’Agriculture Biologique impose aux agriculteurs la mise en œuvre d’itinéraires techniques plus coûteux au regard de la mise en œuvre de pratiques agro-environnementales mais aussi de l’achat d’intrants. De plus, les ren</w:t>
            </w:r>
            <w:r>
              <w:rPr>
                <w:szCs w:val="24"/>
              </w:rPr>
              <w:t>dements en Agriculture Biologique sont inférieurs à ceux obtenus en conventionnel.</w:t>
            </w:r>
          </w:p>
          <w:p w:rsidR="0035701C" w:rsidRDefault="00FB561B">
            <w:pPr>
              <w:spacing w:before="240" w:after="240"/>
              <w:jc w:val="left"/>
              <w:rPr>
                <w:szCs w:val="24"/>
              </w:rPr>
            </w:pPr>
            <w:r>
              <w:rPr>
                <w:szCs w:val="24"/>
              </w:rPr>
              <w:t>Or, aujourd'hui, tous les surcoûts de la production en agriculture biologique ne peuvent être répercutés intégralement sur le prix de vente des produits.</w:t>
            </w:r>
          </w:p>
          <w:p w:rsidR="0035701C" w:rsidRDefault="00FB561B">
            <w:pPr>
              <w:spacing w:before="240" w:after="240"/>
              <w:jc w:val="left"/>
              <w:rPr>
                <w:szCs w:val="24"/>
              </w:rPr>
            </w:pPr>
            <w:r>
              <w:rPr>
                <w:szCs w:val="24"/>
              </w:rPr>
              <w:t>Il est donc nécessa</w:t>
            </w:r>
            <w:r>
              <w:rPr>
                <w:szCs w:val="24"/>
              </w:rPr>
              <w:t>ire pour maintenir le niveau de production actuelle et sa qualité dans la durée mais aussi la mise en œuvre des pratiques respectueuses de l’environnement sur les exploitations, de prendre en charge via une aide financière, une partie de ces surcoûts. C’es</w:t>
            </w:r>
            <w:r>
              <w:rPr>
                <w:szCs w:val="24"/>
              </w:rPr>
              <w:t>t l’enjeu de cette sous-mesure d’aide au maintien.</w:t>
            </w:r>
          </w:p>
          <w:p w:rsidR="0035701C" w:rsidRDefault="00FB561B">
            <w:pPr>
              <w:spacing w:before="240" w:after="240"/>
              <w:jc w:val="left"/>
              <w:rPr>
                <w:szCs w:val="24"/>
              </w:rPr>
            </w:pPr>
            <w:r>
              <w:rPr>
                <w:szCs w:val="24"/>
              </w:rPr>
              <w:t>Cette aide est complémentaire à l’aide à la conversion. En effet, cette aide au maintien a pour objectif d’éviter que les agriculteurs après 5 années de conversion, retournent à l’agriculture conventionnel</w:t>
            </w:r>
            <w:r>
              <w:rPr>
                <w:szCs w:val="24"/>
              </w:rPr>
              <w:t>le faute d’aides supplémentaires pour compenser les coûts additionnels et les pertes de revenu résultant d’engagements agro-environnementaux.</w:t>
            </w:r>
          </w:p>
          <w:p w:rsidR="0035701C" w:rsidRDefault="00FB561B">
            <w:pPr>
              <w:spacing w:before="240" w:after="240"/>
              <w:jc w:val="left"/>
              <w:rPr>
                <w:szCs w:val="24"/>
              </w:rPr>
            </w:pPr>
            <w:r>
              <w:rPr>
                <w:szCs w:val="24"/>
              </w:rPr>
              <w:t>Cette opération permet de compenser les surcoûts et manques à gagner qu’entraîne le mode de production en Agricult</w:t>
            </w:r>
            <w:r>
              <w:rPr>
                <w:szCs w:val="24"/>
              </w:rPr>
              <w:t>ure Biologique et qui sont insuffisamment pris en charge par le marché.</w:t>
            </w:r>
          </w:p>
          <w:p w:rsidR="0035701C" w:rsidRDefault="00FB561B">
            <w:pPr>
              <w:spacing w:before="240" w:after="240"/>
              <w:jc w:val="left"/>
              <w:rPr>
                <w:szCs w:val="24"/>
              </w:rPr>
            </w:pPr>
            <w:r>
              <w:rPr>
                <w:szCs w:val="24"/>
              </w:rPr>
              <w:t>Cette aide vise à inciter et à accompagner les exploitations à poursuivre les pratiques et méthodes de l’Agriculture Biologique.</w:t>
            </w:r>
          </w:p>
          <w:p w:rsidR="0035701C" w:rsidRDefault="00FB561B">
            <w:pPr>
              <w:spacing w:before="240" w:after="240"/>
              <w:jc w:val="left"/>
              <w:rPr>
                <w:szCs w:val="24"/>
              </w:rPr>
            </w:pPr>
            <w:r>
              <w:rPr>
                <w:szCs w:val="24"/>
              </w:rPr>
              <w:t>Durée du dispositif : 5 ans maximum</w:t>
            </w:r>
          </w:p>
          <w:p w:rsidR="0035701C" w:rsidRDefault="00FB561B" w:rsidP="00FB561B">
            <w:pPr>
              <w:numPr>
                <w:ilvl w:val="0"/>
                <w:numId w:val="904"/>
              </w:numPr>
              <w:spacing w:before="240" w:after="0"/>
              <w:ind w:hanging="210"/>
              <w:jc w:val="left"/>
              <w:rPr>
                <w:szCs w:val="24"/>
              </w:rPr>
            </w:pPr>
            <w:r>
              <w:rPr>
                <w:szCs w:val="24"/>
              </w:rPr>
              <w:t>jusqu'en 2020 la du</w:t>
            </w:r>
            <w:r>
              <w:rPr>
                <w:szCs w:val="24"/>
              </w:rPr>
              <w:t>rée de souscription de l'engagement est de 5 ans</w:t>
            </w:r>
          </w:p>
          <w:p w:rsidR="0035701C" w:rsidRDefault="00FB561B" w:rsidP="00FB561B">
            <w:pPr>
              <w:numPr>
                <w:ilvl w:val="0"/>
                <w:numId w:val="904"/>
              </w:numPr>
              <w:spacing w:before="0" w:after="240"/>
              <w:ind w:hanging="210"/>
              <w:jc w:val="left"/>
              <w:rPr>
                <w:szCs w:val="24"/>
              </w:rPr>
            </w:pPr>
            <w:r>
              <w:rPr>
                <w:szCs w:val="24"/>
              </w:rPr>
              <w:t>A partir de 2021, la durée de souscription de l'engagement est d'un an, en conformité avec les options prévues à l'article 7 du règlement (UE) 2020/2220.</w:t>
            </w:r>
          </w:p>
          <w:p w:rsidR="0035701C" w:rsidRDefault="00FB561B">
            <w:pPr>
              <w:spacing w:before="240" w:after="240"/>
              <w:jc w:val="left"/>
              <w:rPr>
                <w:szCs w:val="24"/>
              </w:rPr>
            </w:pPr>
            <w:r>
              <w:rPr>
                <w:szCs w:val="24"/>
              </w:rPr>
              <w:t>Engagements pluriannuels</w:t>
            </w:r>
          </w:p>
          <w:p w:rsidR="0035701C" w:rsidRDefault="00FB561B">
            <w:pPr>
              <w:spacing w:before="240" w:after="240"/>
              <w:jc w:val="left"/>
              <w:rPr>
                <w:szCs w:val="24"/>
              </w:rPr>
            </w:pPr>
            <w:r>
              <w:rPr>
                <w:b/>
                <w:bCs/>
                <w:szCs w:val="24"/>
                <w:u w:val="single"/>
              </w:rPr>
              <w:t>Engagements auxquels souscri</w:t>
            </w:r>
            <w:r>
              <w:rPr>
                <w:b/>
                <w:bCs/>
                <w:szCs w:val="24"/>
                <w:u w:val="single"/>
              </w:rPr>
              <w:t>t le bénéficiaire pour la durée de l’opération</w:t>
            </w:r>
            <w:r>
              <w:rPr>
                <w:szCs w:val="24"/>
              </w:rPr>
              <w:t> :</w:t>
            </w:r>
          </w:p>
          <w:p w:rsidR="0035701C" w:rsidRDefault="00FB561B" w:rsidP="00FB561B">
            <w:pPr>
              <w:numPr>
                <w:ilvl w:val="0"/>
                <w:numId w:val="905"/>
              </w:numPr>
              <w:spacing w:before="240" w:after="0"/>
              <w:ind w:hanging="210"/>
              <w:jc w:val="left"/>
              <w:rPr>
                <w:szCs w:val="24"/>
              </w:rPr>
            </w:pPr>
            <w:r>
              <w:rPr>
                <w:szCs w:val="24"/>
              </w:rPr>
              <w:t>Dans le cas des prairies permanentes et des landes et parcours, détenir un cheptel de 6 UGB minimum avec l’obligation que les animaux soient certifiés dès l’entrée dans le dispositif.</w:t>
            </w:r>
          </w:p>
          <w:p w:rsidR="0035701C" w:rsidRDefault="00FB561B" w:rsidP="00FB561B">
            <w:pPr>
              <w:numPr>
                <w:ilvl w:val="0"/>
                <w:numId w:val="905"/>
              </w:numPr>
              <w:spacing w:before="0" w:after="240"/>
              <w:ind w:hanging="210"/>
              <w:jc w:val="left"/>
              <w:rPr>
                <w:szCs w:val="24"/>
              </w:rPr>
            </w:pPr>
            <w:r>
              <w:rPr>
                <w:szCs w:val="24"/>
              </w:rPr>
              <w:t>Satisfaire aux prescrip</w:t>
            </w:r>
            <w:r>
              <w:rPr>
                <w:szCs w:val="24"/>
              </w:rPr>
              <w:t>tions techniques de la filière Agriculture Biologique validées par l’Autorité de Gestion notamment en matière de suivi technique et d’autonomie alimentaire à l’échelle de l’exploitation.</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Paiement unitaire </w:t>
            </w:r>
            <w:r>
              <w:rPr>
                <w:szCs w:val="24"/>
              </w:rPr>
              <w:t>forfaitaire à l’hectare par type de culture.</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éléments de la ligne de base sont définis en conformité avec les exigences établies en vertu de</w:t>
            </w:r>
          </w:p>
          <w:p w:rsidR="0035701C" w:rsidRDefault="00FB561B">
            <w:pPr>
              <w:spacing w:before="240" w:after="240"/>
              <w:jc w:val="left"/>
              <w:rPr>
                <w:szCs w:val="24"/>
              </w:rPr>
            </w:pPr>
            <w:r>
              <w:rPr>
                <w:szCs w:val="24"/>
              </w:rPr>
              <w:t>l'article 93 du règlement (UE) n°1306/2013 et de l'article 4.1.c points</w:t>
            </w:r>
            <w:r>
              <w:rPr>
                <w:szCs w:val="24"/>
              </w:rPr>
              <w:t xml:space="preserve"> ii) et iii) du règlement (UE)</w:t>
            </w:r>
          </w:p>
          <w:p w:rsidR="0035701C" w:rsidRDefault="00FB561B">
            <w:pPr>
              <w:spacing w:before="240" w:after="240"/>
              <w:jc w:val="left"/>
              <w:rPr>
                <w:szCs w:val="24"/>
              </w:rPr>
            </w:pPr>
            <w:r>
              <w:rPr>
                <w:szCs w:val="24"/>
              </w:rPr>
              <w:t>n°1307/2013.</w:t>
            </w:r>
          </w:p>
          <w:p w:rsidR="0035701C" w:rsidRDefault="00FB561B">
            <w:pPr>
              <w:spacing w:before="240" w:after="240"/>
              <w:jc w:val="left"/>
              <w:rPr>
                <w:szCs w:val="24"/>
              </w:rPr>
            </w:pPr>
            <w:r>
              <w:rPr>
                <w:szCs w:val="24"/>
              </w:rPr>
              <w:t>Afin d'exclure tout double paiement, les pratiques visées à l'article 43 du règlement (UE) N°1307/2013, sont prises en compte dans le calcul des surcoûts et manques à gagner.</w:t>
            </w:r>
          </w:p>
          <w:p w:rsidR="0035701C" w:rsidRDefault="00FB561B">
            <w:pPr>
              <w:spacing w:before="240" w:after="240"/>
              <w:jc w:val="left"/>
              <w:rPr>
                <w:szCs w:val="24"/>
              </w:rPr>
            </w:pPr>
            <w:r>
              <w:rPr>
                <w:szCs w:val="24"/>
              </w:rPr>
              <w:t>Le cahier des charges de l’agricultur</w:t>
            </w:r>
            <w:r>
              <w:rPr>
                <w:szCs w:val="24"/>
              </w:rPr>
              <w:t>e biologique à respecter par le bénéficiaire est conforme au Règlement CE n°834/2007 et ses règlements d'application  notamment le règlement (CE)  N°889/2008, le cas échéant complétés par le cahier des charges national homologué par l’arrêté interministéri</w:t>
            </w:r>
            <w:r>
              <w:rPr>
                <w:szCs w:val="24"/>
              </w:rPr>
              <w:t>el du 5 janvier 2010 et modifié.</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Toute personne physique ou morale exerçant une activité agricole. Ces personnes ou groupements de personnes doivent être des agriculteurs actifs au sens de l’article 9 du règlement (UE) n°1307/2013.</w:t>
            </w:r>
          </w:p>
          <w:p w:rsidR="0035701C" w:rsidRDefault="0035701C">
            <w:pPr>
              <w:pStyle w:val="Corpsdetexte"/>
            </w:pPr>
          </w:p>
        </w:tc>
      </w:tr>
    </w:tbl>
    <w:p w:rsidR="0035701C" w:rsidRDefault="00FB561B">
      <w:pPr>
        <w:pStyle w:val="Titre6"/>
      </w:pPr>
      <w:r>
        <w:t xml:space="preserve">Coûts </w:t>
      </w:r>
      <w:r>
        <w:t>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montants unitaires sont calculés selon les types de culture sur la base de la différence moyenne de marge brute entre une conduite en agriculture conventionnelle et une conduite en agriculture biologique auxquels s’ajoutent les surcoûts de </w:t>
            </w:r>
            <w:r>
              <w:rPr>
                <w:szCs w:val="24"/>
              </w:rPr>
              <w:t>main d’œuvre liés à la mise en œuvre des itinéraires techniques bio et les coûts de transaction (cf. § description de la méthodologie pour les calculs).</w:t>
            </w:r>
          </w:p>
          <w:p w:rsidR="0035701C" w:rsidRDefault="00FB561B">
            <w:pPr>
              <w:spacing w:before="240" w:after="240"/>
              <w:jc w:val="left"/>
              <w:rPr>
                <w:szCs w:val="24"/>
              </w:rPr>
            </w:pPr>
            <w:r>
              <w:rPr>
                <w:szCs w:val="24"/>
              </w:rPr>
              <w:t xml:space="preserve">Les montants du dispositif « maintien à l’agriculture biologique » ne prennent pas en compte les coûts </w:t>
            </w:r>
            <w:r>
              <w:rPr>
                <w:szCs w:val="24"/>
              </w:rPr>
              <w:t>de certification AB.</w:t>
            </w:r>
          </w:p>
          <w:p w:rsidR="0035701C" w:rsidRDefault="00FB561B">
            <w:pPr>
              <w:spacing w:before="240" w:after="240"/>
              <w:jc w:val="left"/>
              <w:rPr>
                <w:szCs w:val="24"/>
              </w:rPr>
            </w:pPr>
            <w:r>
              <w:rPr>
                <w:szCs w:val="24"/>
              </w:rPr>
              <w:t>Les calculs et montant d'aide sont établis conformément à l’article 62.2 du règlement FEADER et font l’objet d’une certification réalisée par l'organisme "Eco Logique Conseil", figurant au chapitre 18.2 du programme.</w:t>
            </w:r>
          </w:p>
          <w:p w:rsidR="0035701C" w:rsidRDefault="0035701C">
            <w:pPr>
              <w:pStyle w:val="Corpsdetexte"/>
            </w:pPr>
          </w:p>
        </w:tc>
      </w:tr>
    </w:tbl>
    <w:p w:rsidR="0035701C" w:rsidRDefault="00FB561B">
      <w:pPr>
        <w:pStyle w:val="Titre6"/>
      </w:pPr>
      <w:r>
        <w:t>Conditions d'adm</w:t>
      </w:r>
      <w:r>
        <w:t>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Eligibilité du demandeur :</w:t>
            </w:r>
          </w:p>
          <w:p w:rsidR="0035701C" w:rsidRDefault="00FB561B" w:rsidP="00FB561B">
            <w:pPr>
              <w:numPr>
                <w:ilvl w:val="0"/>
                <w:numId w:val="906"/>
              </w:numPr>
              <w:spacing w:before="240" w:after="0"/>
              <w:ind w:hanging="210"/>
              <w:jc w:val="left"/>
              <w:rPr>
                <w:szCs w:val="24"/>
              </w:rPr>
            </w:pPr>
            <w:r>
              <w:rPr>
                <w:szCs w:val="24"/>
              </w:rPr>
              <w:t>Faire une déclaration de surface chaque année dans les délais impartis, incluant la demande d’aide MAB</w:t>
            </w:r>
          </w:p>
          <w:p w:rsidR="0035701C" w:rsidRDefault="00FB561B" w:rsidP="00FB561B">
            <w:pPr>
              <w:numPr>
                <w:ilvl w:val="0"/>
                <w:numId w:val="906"/>
              </w:numPr>
              <w:spacing w:before="0" w:after="0"/>
              <w:ind w:hanging="210"/>
              <w:jc w:val="left"/>
              <w:rPr>
                <w:szCs w:val="24"/>
              </w:rPr>
            </w:pPr>
            <w:r>
              <w:rPr>
                <w:szCs w:val="24"/>
              </w:rPr>
              <w:t>Respecter le cahier des charges de l’AB sur l’ensemble des parcelles engagées</w:t>
            </w:r>
          </w:p>
          <w:p w:rsidR="0035701C" w:rsidRDefault="00FB561B" w:rsidP="00FB561B">
            <w:pPr>
              <w:numPr>
                <w:ilvl w:val="0"/>
                <w:numId w:val="906"/>
              </w:numPr>
              <w:spacing w:before="0" w:after="240"/>
              <w:ind w:hanging="210"/>
              <w:jc w:val="left"/>
              <w:rPr>
                <w:szCs w:val="24"/>
              </w:rPr>
            </w:pPr>
            <w:r>
              <w:rPr>
                <w:szCs w:val="24"/>
              </w:rPr>
              <w:t xml:space="preserve">Notifier son activité auprès de </w:t>
            </w:r>
            <w:r>
              <w:rPr>
                <w:szCs w:val="24"/>
              </w:rPr>
              <w:t>l’Agence Bio</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szCs w:val="24"/>
                <w:u w:val="single"/>
              </w:rPr>
              <w:t>Eligibilité des surfaces :</w:t>
            </w:r>
          </w:p>
          <w:p w:rsidR="0035701C" w:rsidRDefault="00FB561B" w:rsidP="00FB561B">
            <w:pPr>
              <w:numPr>
                <w:ilvl w:val="0"/>
                <w:numId w:val="907"/>
              </w:numPr>
              <w:spacing w:before="240" w:after="0"/>
              <w:ind w:hanging="210"/>
              <w:jc w:val="left"/>
              <w:rPr>
                <w:szCs w:val="24"/>
              </w:rPr>
            </w:pPr>
            <w:r>
              <w:rPr>
                <w:szCs w:val="24"/>
              </w:rPr>
              <w:t xml:space="preserve">L’aide est limitée : </w:t>
            </w:r>
          </w:p>
          <w:p w:rsidR="0035701C" w:rsidRDefault="00FB561B" w:rsidP="00FB561B">
            <w:pPr>
              <w:numPr>
                <w:ilvl w:val="1"/>
                <w:numId w:val="907"/>
              </w:numPr>
              <w:spacing w:before="0" w:after="0"/>
              <w:ind w:hanging="244"/>
              <w:jc w:val="left"/>
              <w:rPr>
                <w:szCs w:val="24"/>
              </w:rPr>
            </w:pPr>
            <w:r>
              <w:rPr>
                <w:szCs w:val="24"/>
              </w:rPr>
              <w:t>aux 5 années qui suivent immédiatement la fin de l’engagement de l’aide à la conversion sur la parcelle,</w:t>
            </w:r>
          </w:p>
          <w:p w:rsidR="0035701C" w:rsidRDefault="00FB561B" w:rsidP="00FB561B">
            <w:pPr>
              <w:numPr>
                <w:ilvl w:val="1"/>
                <w:numId w:val="907"/>
              </w:numPr>
              <w:spacing w:before="0" w:after="240"/>
              <w:ind w:hanging="244"/>
              <w:jc w:val="left"/>
              <w:rPr>
                <w:szCs w:val="24"/>
              </w:rPr>
            </w:pPr>
            <w:r>
              <w:rPr>
                <w:szCs w:val="24"/>
              </w:rPr>
              <w:t xml:space="preserve">ou aux 5 années qui suivent immédiatement la date de certification de la parcelle, si </w:t>
            </w:r>
            <w:r>
              <w:rPr>
                <w:szCs w:val="24"/>
              </w:rPr>
              <w:t>celle-ci n’a pas fait l’objet d’une période de conversion.</w:t>
            </w:r>
          </w:p>
          <w:p w:rsidR="0035701C" w:rsidRDefault="00FB561B">
            <w:pPr>
              <w:spacing w:before="240" w:after="240"/>
              <w:ind w:left="1440"/>
              <w:jc w:val="left"/>
              <w:rPr>
                <w:szCs w:val="24"/>
              </w:rPr>
            </w:pPr>
            <w:r>
              <w:rPr>
                <w:szCs w:val="24"/>
              </w:rPr>
              <w:t> </w:t>
            </w:r>
          </w:p>
          <w:p w:rsidR="0035701C" w:rsidRDefault="00FB561B">
            <w:pPr>
              <w:spacing w:before="240" w:after="240"/>
              <w:ind w:left="720"/>
              <w:jc w:val="left"/>
              <w:rPr>
                <w:szCs w:val="24"/>
              </w:rPr>
            </w:pPr>
            <w:r>
              <w:rPr>
                <w:i/>
                <w:iCs/>
                <w:szCs w:val="24"/>
              </w:rPr>
              <w:t>Lien avec la précédente programmation</w:t>
            </w:r>
            <w:r>
              <w:rPr>
                <w:szCs w:val="24"/>
              </w:rPr>
              <w:t> :</w:t>
            </w:r>
          </w:p>
          <w:p w:rsidR="0035701C" w:rsidRDefault="00FB561B" w:rsidP="00FB561B">
            <w:pPr>
              <w:numPr>
                <w:ilvl w:val="0"/>
                <w:numId w:val="908"/>
              </w:numPr>
              <w:spacing w:before="240" w:after="240"/>
              <w:ind w:hanging="210"/>
              <w:jc w:val="left"/>
              <w:rPr>
                <w:szCs w:val="24"/>
              </w:rPr>
            </w:pPr>
            <w:r>
              <w:rPr>
                <w:szCs w:val="24"/>
              </w:rPr>
              <w:t>La durée du soutien tient compte des annuités éventuellement perçues au titre de la précédente programmation.</w:t>
            </w:r>
          </w:p>
          <w:p w:rsidR="0035701C" w:rsidRDefault="0035701C">
            <w:pPr>
              <w:pStyle w:val="Corpsdetexte"/>
            </w:pPr>
          </w:p>
        </w:tc>
      </w:tr>
    </w:tbl>
    <w:p w:rsidR="0035701C" w:rsidRDefault="00FB561B">
      <w:pPr>
        <w:pStyle w:val="Titre6"/>
      </w:pPr>
      <w:r>
        <w:t>Principes applicables à l'établissement des</w:t>
      </w:r>
      <w:r>
        <w:t xml:space="preserve">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Tableau 11.2</w:t>
            </w:r>
          </w:p>
          <w:p w:rsidR="0035701C" w:rsidRDefault="00FB561B">
            <w:pPr>
              <w:spacing w:before="240" w:after="240"/>
              <w:jc w:val="left"/>
              <w:rPr>
                <w:szCs w:val="24"/>
              </w:rPr>
            </w:pPr>
            <w:r>
              <w:rPr>
                <w:szCs w:val="24"/>
              </w:rPr>
              <w:t xml:space="preserve">La catégorie « arboriculture extensive » comprend les vergers issus de vergers anciens rénovés, pour les productions suivantes : Châtaigniers, oliviers, noisetiers, </w:t>
            </w:r>
            <w:r>
              <w:rPr>
                <w:szCs w:val="24"/>
              </w:rPr>
              <w:t>noyers. Ces mêmes productions, si elles concernent des vergers nouvellement plantés, seront à considérer dans la catégorie « arboriculture ».</w:t>
            </w:r>
          </w:p>
          <w:p w:rsidR="0035701C" w:rsidRDefault="00FB561B">
            <w:pPr>
              <w:spacing w:before="240" w:after="240"/>
              <w:jc w:val="left"/>
              <w:rPr>
                <w:szCs w:val="24"/>
              </w:rPr>
            </w:pPr>
            <w:r>
              <w:rPr>
                <w:szCs w:val="24"/>
              </w:rPr>
              <w:t>La catégorie « légumes de plein champ » comprend les légumes produits à grande échelle (&gt; 5ha/espèce) de façon for</w:t>
            </w:r>
            <w:r>
              <w:rPr>
                <w:szCs w:val="24"/>
              </w:rPr>
              <w:t>tement mécanisée.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xml:space="preserve">Cette aide est cumulable avec le crédit d’impôt bio (Le crédit d'impôt bio est un dispositif de soutien national, en place depuis 2006. Dans sa forme actuelle, il s'agit d'une aide fiscale qui est soumise aux règles </w:t>
            </w:r>
            <w:r>
              <w:rPr>
                <w:i/>
                <w:iCs/>
                <w:szCs w:val="24"/>
              </w:rPr>
              <w:t>de minimis</w:t>
            </w:r>
            <w:r>
              <w:rPr>
                <w:szCs w:val="24"/>
              </w:rPr>
              <w:t xml:space="preserve"> agricoles</w:t>
            </w:r>
            <w:r>
              <w:rPr>
                <w:szCs w:val="24"/>
              </w:rPr>
              <w:t>. Pour en bénéficier, il faut qu'au moins 40% des recettes agricoles de l'exercice fiscal soient issues d'activités certifiées en agriculture biologique.)</w:t>
            </w:r>
          </w:p>
          <w:p w:rsidR="0035701C" w:rsidRDefault="00FB561B">
            <w:pPr>
              <w:spacing w:before="240" w:after="240"/>
              <w:jc w:val="left"/>
              <w:rPr>
                <w:szCs w:val="24"/>
              </w:rPr>
            </w:pPr>
            <w:r>
              <w:rPr>
                <w:szCs w:val="24"/>
              </w:rPr>
              <w:t>Cette aide est cumulable avec certaines MAEC, hormis les opérations portant sur les systèmes d’exploi</w:t>
            </w:r>
            <w:r>
              <w:rPr>
                <w:szCs w:val="24"/>
              </w:rPr>
              <w:t>tation.</w:t>
            </w:r>
          </w:p>
          <w:p w:rsidR="0035701C" w:rsidRDefault="00FB561B">
            <w:pPr>
              <w:spacing w:before="240" w:after="240"/>
              <w:jc w:val="left"/>
              <w:rPr>
                <w:szCs w:val="24"/>
              </w:rPr>
            </w:pPr>
            <w:r>
              <w:rPr>
                <w:szCs w:val="24"/>
              </w:rPr>
              <w:t>Une table indiquant les possibilités de cumul pour chaque engagement unitaire est établie par l’Autorité de Gestion (cf. Tableau croisement M11/M10).</w:t>
            </w:r>
          </w:p>
          <w:p w:rsidR="0035701C" w:rsidRDefault="00FB561B">
            <w:pPr>
              <w:spacing w:before="240" w:after="240"/>
              <w:jc w:val="left"/>
              <w:rPr>
                <w:szCs w:val="24"/>
              </w:rPr>
            </w:pPr>
            <w:r>
              <w:rPr>
                <w:szCs w:val="24"/>
              </w:rPr>
              <w:t>Le montant d’aides total versé pour une exploitation peut être amené à varier au cours de l’engage</w:t>
            </w:r>
            <w:r>
              <w:rPr>
                <w:szCs w:val="24"/>
              </w:rPr>
              <w:t xml:space="preserve">ment en fonction des couverts implantés chaque année, du fait de la rotation des cultures mises en œuvre sur les parcelles engagées dans la mesure. Il ne pourra toutefois pas excéder le montant d’aides maximal déterminé sur la base de l’assolement déclaré </w:t>
            </w:r>
            <w:r>
              <w:rPr>
                <w:szCs w:val="24"/>
              </w:rPr>
              <w:t>en première année d’engagement.</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5378217"/>
                  <wp:effectExtent l="0" t="0" r="0" b="0"/>
                  <wp:docPr id="100304" name="Image 100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05" name=""/>
                          <pic:cNvPicPr>
                            <a:picLocks noChangeAspect="1"/>
                          </pic:cNvPicPr>
                        </pic:nvPicPr>
                        <pic:blipFill>
                          <a:blip r:embed="rId157"/>
                          <a:stretch>
                            <a:fillRect/>
                          </a:stretch>
                        </pic:blipFill>
                        <pic:spPr>
                          <a:xfrm>
                            <a:off x="0" y="0"/>
                            <a:ext cx="6629400" cy="5378217"/>
                          </a:xfrm>
                          <a:prstGeom prst="rect">
                            <a:avLst/>
                          </a:prstGeom>
                        </pic:spPr>
                      </pic:pic>
                    </a:graphicData>
                  </a:graphic>
                </wp:inline>
              </w:drawing>
            </w:r>
          </w:p>
          <w:p w:rsidR="0035701C" w:rsidRDefault="00FB561B">
            <w:pPr>
              <w:pStyle w:val="Pieddepage"/>
              <w:jc w:val="center"/>
            </w:pPr>
            <w:r>
              <w:t>Tableau 11.2</w:t>
            </w:r>
          </w:p>
          <w:p w:rsidR="0035701C" w:rsidRDefault="00FB561B">
            <w:pPr>
              <w:pStyle w:val="Pieddepage"/>
              <w:jc w:val="center"/>
            </w:pPr>
            <w:r>
              <w:rPr>
                <w:noProof/>
                <w:lang w:val="fr-FR" w:eastAsia="fr-FR"/>
              </w:rPr>
              <w:drawing>
                <wp:inline distT="0" distB="0" distL="0" distR="0">
                  <wp:extent cx="5124450" cy="7639050"/>
                  <wp:effectExtent l="0" t="0" r="0" b="0"/>
                  <wp:docPr id="100306" name="Image 100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07" name=""/>
                          <pic:cNvPicPr>
                            <a:picLocks noChangeAspect="1"/>
                          </pic:cNvPicPr>
                        </pic:nvPicPr>
                        <pic:blipFill>
                          <a:blip r:embed="rId154"/>
                          <a:stretch>
                            <a:fillRect/>
                          </a:stretch>
                        </pic:blipFill>
                        <pic:spPr>
                          <a:xfrm>
                            <a:off x="0" y="0"/>
                            <a:ext cx="5124450" cy="7639050"/>
                          </a:xfrm>
                          <a:prstGeom prst="rect">
                            <a:avLst/>
                          </a:prstGeom>
                        </pic:spPr>
                      </pic:pic>
                    </a:graphicData>
                  </a:graphic>
                </wp:inline>
              </w:drawing>
            </w:r>
          </w:p>
          <w:p w:rsidR="0035701C" w:rsidRDefault="00FB561B">
            <w:pPr>
              <w:pStyle w:val="Pieddepage"/>
              <w:jc w:val="center"/>
            </w:pPr>
            <w:r>
              <w:t>Croisement M11/M10</w:t>
            </w:r>
          </w:p>
          <w:p w:rsidR="0035701C" w:rsidRDefault="0035701C">
            <w:pPr>
              <w:pStyle w:val="Pieddepage"/>
              <w:jc w:val="center"/>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w:t>
            </w:r>
          </w:p>
          <w:p w:rsidR="0035701C" w:rsidRDefault="00FB561B">
            <w:pPr>
              <w:spacing w:before="240" w:after="240"/>
              <w:jc w:val="left"/>
              <w:rPr>
                <w:szCs w:val="24"/>
              </w:rPr>
            </w:pPr>
            <w:r>
              <w:rPr>
                <w:szCs w:val="24"/>
              </w:rPr>
              <w:t xml:space="preserve">- L'OP a </w:t>
            </w:r>
            <w:r>
              <w:rPr>
                <w:szCs w:val="24"/>
              </w:rPr>
              <w:t>demandé que soient bien décrits les diverses définitions réglementaires des aides surfaciques tant sur la définition des bénéficiaires que sur les surfaces et cheptels. Ce point a été pleinement satisfait, y compris sur les GAEC et autres formes sociétaire</w:t>
            </w:r>
            <w:r>
              <w:rPr>
                <w:szCs w:val="24"/>
              </w:rPr>
              <w:t>s possibles. L'OP a demandé de reformuler clairement le lien entre les dispositifs MAB et CAB présents, ainsi que leurs liens avec  les aides à la conversion ou au maintien au cours de la précédente programmation (1er et 2nd pilier). Ce point est également</w:t>
            </w:r>
            <w:r>
              <w:rPr>
                <w:szCs w:val="24"/>
              </w:rPr>
              <w:t xml:space="preserve"> satisfaisant. La problématique particulière du respect des engagements à la parcelle est prise en charge dans le cadre d'un contrôle administratif particulier  long mais simple à exécuter si les outils SIGC sont disponibles et conformes.</w:t>
            </w:r>
          </w:p>
          <w:p w:rsidR="0035701C" w:rsidRDefault="00FB561B">
            <w:pPr>
              <w:spacing w:before="240" w:after="240"/>
              <w:jc w:val="left"/>
              <w:rPr>
                <w:szCs w:val="24"/>
              </w:rPr>
            </w:pPr>
            <w:r>
              <w:rPr>
                <w:szCs w:val="24"/>
                <w:u w:val="single"/>
              </w:rPr>
              <w:t>Risques identifié</w:t>
            </w:r>
            <w:r>
              <w:rPr>
                <w:szCs w:val="24"/>
                <w:u w:val="single"/>
              </w:rPr>
              <w:t>s selon la méthodologie présentée par l’OP (cf. chapitre 18)</w:t>
            </w:r>
          </w:p>
          <w:p w:rsidR="0035701C" w:rsidRDefault="00FB561B">
            <w:pPr>
              <w:spacing w:before="240" w:after="240"/>
              <w:jc w:val="left"/>
              <w:rPr>
                <w:szCs w:val="24"/>
              </w:rPr>
            </w:pPr>
            <w:r>
              <w:rPr>
                <w:szCs w:val="24"/>
              </w:rPr>
              <w:t>n°1 - R6 : Afin de déterminer la durée de l'engagement possible en MAB, il convient de s'assurer POUR CHAQUE SURFACE (quelqu'en soit l'exploitant annuité par annuité), l'historicité des opération</w:t>
            </w:r>
            <w:r>
              <w:rPr>
                <w:szCs w:val="24"/>
              </w:rPr>
              <w:t>s menées tant en SAB-M qu'en CAB (source : Spécificités du SIGC, et notamment le fait que les engagements sont pris sur chaque parcelle, et non par l'exploitant.)</w:t>
            </w:r>
          </w:p>
          <w:p w:rsidR="0035701C" w:rsidRDefault="00FB561B">
            <w:pPr>
              <w:spacing w:before="240" w:after="240"/>
              <w:jc w:val="left"/>
              <w:rPr>
                <w:szCs w:val="24"/>
              </w:rPr>
            </w:pPr>
            <w:r>
              <w:rPr>
                <w:szCs w:val="24"/>
              </w:rPr>
              <w:t> n°2 - R3 : Contrat pluriannuel susceptible d'être rompu ou modifié (source : AUDIT J4 2012)</w:t>
            </w:r>
          </w:p>
          <w:p w:rsidR="0035701C" w:rsidRDefault="00FB561B">
            <w:pPr>
              <w:spacing w:before="240" w:after="240"/>
              <w:jc w:val="left"/>
              <w:rPr>
                <w:szCs w:val="24"/>
              </w:rPr>
            </w:pPr>
            <w:r>
              <w:rPr>
                <w:szCs w:val="24"/>
              </w:rPr>
              <w:t> n°3 - R8 : Paramétrage adéquat des outils ETAT MEMBRE -Effectivité de la mise à disposition des outils en conformité avec les exigences du PDRC. Dans le cadre des mesures « Surfaces » et "Hors Surfaces" vigilance accrue sur la disponibilité et l’adéquatio</w:t>
            </w:r>
            <w:r>
              <w:rPr>
                <w:szCs w:val="24"/>
              </w:rPr>
              <w:t>n des outils de gestion nationaux au regard des exigences du présent PDRC. (source : DG AGRI 2011, DG AGRI 2013, CCCOP Exercices 2008-2013, SAI 2013-2014, Audit d'agrément DG AGRI J5 (juin 2014))</w:t>
            </w:r>
          </w:p>
          <w:p w:rsidR="0035701C" w:rsidRDefault="00FB561B">
            <w:pPr>
              <w:spacing w:before="240" w:after="240"/>
              <w:jc w:val="left"/>
              <w:rPr>
                <w:szCs w:val="24"/>
              </w:rPr>
            </w:pPr>
            <w:r>
              <w:rPr>
                <w:szCs w:val="24"/>
              </w:rPr>
              <w:t>n°4 - R8 : Accessibilité pour l’OP comme pour l’AG aux infor</w:t>
            </w:r>
            <w:r>
              <w:rPr>
                <w:szCs w:val="24"/>
              </w:rPr>
              <w:t>mations relevant du 1er Pilier de la PAC nécessaires à la bonne gestion et au contrôle du PDRC. (source : CCCOP Exercices 2008-2013, SAI 2013-2014).</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R6 : EXIGER que soit mené un contrôle administratif de chaque parcelle indiqu</w:t>
            </w:r>
            <w:r>
              <w:rPr>
                <w:szCs w:val="24"/>
              </w:rPr>
              <w:t>ée à la demande de paiement, tout au long du contrat avec contrôle de cohérence entre les années y compris celles relevant de l'ancienne programmation..</w:t>
            </w:r>
          </w:p>
          <w:p w:rsidR="0035701C" w:rsidRDefault="00FB561B">
            <w:pPr>
              <w:spacing w:before="240" w:after="240"/>
              <w:jc w:val="left"/>
              <w:rPr>
                <w:szCs w:val="24"/>
              </w:rPr>
            </w:pPr>
            <w:r>
              <w:rPr>
                <w:szCs w:val="24"/>
              </w:rPr>
              <w:t> n°2 - R3 : CONTROLER administrativement par le biais des demandes de paiement et déclarations de surfa</w:t>
            </w:r>
            <w:r>
              <w:rPr>
                <w:szCs w:val="24"/>
              </w:rPr>
              <w:t>ce annuelles, le suivi du respect  des engagements pluri annuels, tout au long du contrat.</w:t>
            </w:r>
          </w:p>
          <w:p w:rsidR="0035701C" w:rsidRDefault="00FB561B">
            <w:pPr>
              <w:spacing w:before="240" w:after="240"/>
              <w:jc w:val="left"/>
              <w:rPr>
                <w:szCs w:val="24"/>
              </w:rPr>
            </w:pPr>
            <w:r>
              <w:rPr>
                <w:szCs w:val="24"/>
              </w:rPr>
              <w:t> n°3 - R8 : ETABLIR par EM procédure de paramétrage des outils SIGC,</w:t>
            </w:r>
          </w:p>
          <w:p w:rsidR="0035701C" w:rsidRDefault="00FB561B">
            <w:pPr>
              <w:spacing w:before="240" w:after="240"/>
              <w:jc w:val="left"/>
              <w:rPr>
                <w:szCs w:val="24"/>
              </w:rPr>
            </w:pPr>
            <w:r>
              <w:rPr>
                <w:szCs w:val="24"/>
              </w:rPr>
              <w:t>                 RESPECT par OP de cette procédure,</w:t>
            </w:r>
          </w:p>
          <w:p w:rsidR="0035701C" w:rsidRDefault="00FB561B">
            <w:pPr>
              <w:spacing w:before="240" w:after="240"/>
              <w:jc w:val="left"/>
              <w:rPr>
                <w:szCs w:val="24"/>
              </w:rPr>
            </w:pPr>
            <w:r>
              <w:rPr>
                <w:szCs w:val="24"/>
              </w:rPr>
              <w:t>                 MISE EN PRODUCTION CONFORME</w:t>
            </w:r>
            <w:r>
              <w:rPr>
                <w:szCs w:val="24"/>
              </w:rPr>
              <w:t xml:space="preserve"> dans des délais cohérents avec les mises en paiement.</w:t>
            </w:r>
          </w:p>
          <w:p w:rsidR="0035701C" w:rsidRDefault="00FB561B">
            <w:pPr>
              <w:spacing w:before="240" w:after="240"/>
              <w:jc w:val="left"/>
              <w:rPr>
                <w:szCs w:val="24"/>
              </w:rPr>
            </w:pPr>
            <w:r>
              <w:rPr>
                <w:szCs w:val="24"/>
              </w:rPr>
              <w:t>n°4 - R8 : Prise en compte des demandes d'habilitations aux outils déclarés par l'EM formulées par l'OP-ODARC.</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 Au vu des cotations matricielles, sur le poids </w:t>
            </w:r>
            <w:r>
              <w:rPr>
                <w:szCs w:val="24"/>
              </w:rPr>
              <w:t>financier de la mesure (&lt;5%), sur les priorités, les risques, les mesures d’atténuation prévues, cette mesure reçoit une évaluation  favorable assez peu risquée ; Les mécanismes de mise en œuvre sont connus et maîtrisés par tous les acteurs,  les programma</w:t>
            </w:r>
            <w:r>
              <w:rPr>
                <w:szCs w:val="24"/>
              </w:rPr>
              <w:t>tions précédentes qui ont suscité des problèmes particuliers sur les outils nationaux SIGC sont pris en charge par l'EM et l'OP. Les recommandations et rappels à la règlementation faits par la Commission ont été pris en charge.</w:t>
            </w:r>
          </w:p>
          <w:p w:rsidR="0035701C" w:rsidRDefault="00FB561B">
            <w:pPr>
              <w:spacing w:before="240" w:after="240"/>
              <w:jc w:val="left"/>
              <w:rPr>
                <w:szCs w:val="24"/>
              </w:rPr>
            </w:pPr>
            <w:r>
              <w:rPr>
                <w:szCs w:val="24"/>
              </w:rPr>
              <w:t>- La phase d'instruction des</w:t>
            </w:r>
            <w:r>
              <w:rPr>
                <w:szCs w:val="24"/>
              </w:rPr>
              <w:t xml:space="preserve"> demandes d'aides du PDRC SIGC étant dorénavant gérée directement par l'OP-ODARC, les risques relatifs à la bonne transmission des informations entre les partenaires sont fortement diminués.</w:t>
            </w:r>
          </w:p>
          <w:p w:rsidR="0035701C" w:rsidRDefault="00FB561B">
            <w:pPr>
              <w:spacing w:before="240" w:after="240"/>
              <w:jc w:val="left"/>
              <w:rPr>
                <w:szCs w:val="24"/>
              </w:rPr>
            </w:pPr>
            <w:r>
              <w:rPr>
                <w:szCs w:val="24"/>
              </w:rPr>
              <w:t>- Concernant l'évaluation globale de la mesure : la mesure est co</w:t>
            </w:r>
            <w:r>
              <w:rPr>
                <w:szCs w:val="24"/>
              </w:rPr>
              <w:t>ntrôlable sous réserve de la mise en place d'actions d'atténuation et des précisions apportées dans les documents de mise en œuvre notamment sur la nécessité de bien contrôler l'éligibilité du demandeur principalement en 1ère année (attestation de formatio</w:t>
            </w:r>
            <w:r>
              <w:rPr>
                <w:szCs w:val="24"/>
              </w:rPr>
              <w:t>n), le respect des engagements pris sur toute la durée du contrat (5 ans) et la stricte adéquation des outils de gestion de l'EM aux exigences de la mesure du PDRC. Une surveillance particulière sera assurée par l'OP sur la qualité des paramétrages, des sa</w:t>
            </w:r>
            <w:r>
              <w:rPr>
                <w:szCs w:val="24"/>
              </w:rPr>
              <w:t>isies des déclarations de surface et de leur contrôle administratif. Ces derniers éléments font l'objet d'un conventionnement EM/OP.</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Détermination et définition des éléments du niveau de référence applicable, qui </w:t>
      </w:r>
      <w:r>
        <w:t>doivent inclure les normes obligatoires établies en application du titre VI, chapitre I, du règlement (UE) n° 1306/2013 du Parlement européen et du Conseil, les critères pertinents et les activités minimales établies en application de l'article 4, paragrap</w:t>
      </w:r>
      <w:r>
        <w:t>he 1, point c), ii) et iii), du règlement (UE) n° 1307/2013 du Parlement européen et du Conseil, les exigences minimales applicables à l'utilisation des engrais et des produits phytosanitaire et les autres exigences obligatoires établies par le droit natio</w:t>
      </w:r>
      <w:r>
        <w:t>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Description de la ligne de base</w:t>
            </w:r>
          </w:p>
          <w:p w:rsidR="0035701C" w:rsidRDefault="00FB561B">
            <w:pPr>
              <w:spacing w:before="240" w:after="240"/>
              <w:jc w:val="left"/>
              <w:rPr>
                <w:szCs w:val="24"/>
              </w:rPr>
            </w:pPr>
            <w:r>
              <w:rPr>
                <w:szCs w:val="24"/>
              </w:rPr>
              <w:t>Les montants unitaires des aides au maintien sont calculés sur la base de surcoûts et manques à gagner générés par le maintien des pratiques de l'agriculture biologique, ceci en comparaison avec les pratiques de l'agricu</w:t>
            </w:r>
            <w:r>
              <w:rPr>
                <w:szCs w:val="24"/>
              </w:rPr>
              <w:t>lture conventionnelle qui respectent les exigences du verdissement.</w:t>
            </w:r>
          </w:p>
          <w:p w:rsidR="0035701C" w:rsidRDefault="00FB561B">
            <w:pPr>
              <w:spacing w:before="240" w:after="240"/>
              <w:jc w:val="left"/>
              <w:rPr>
                <w:szCs w:val="24"/>
              </w:rPr>
            </w:pPr>
            <w:r>
              <w:rPr>
                <w:szCs w:val="24"/>
              </w:rPr>
              <w:t>Les engagements pris dans cette sous-mesure dépassent les exigences de la ligne de base.</w:t>
            </w:r>
          </w:p>
          <w:p w:rsidR="0035701C" w:rsidRDefault="00FB561B">
            <w:pPr>
              <w:spacing w:before="240" w:after="240"/>
              <w:jc w:val="left"/>
              <w:rPr>
                <w:szCs w:val="24"/>
              </w:rPr>
            </w:pPr>
            <w:r>
              <w:rPr>
                <w:b/>
                <w:bCs/>
                <w:szCs w:val="24"/>
              </w:rPr>
              <w:t>Prise en compte du verdissement</w:t>
            </w:r>
          </w:p>
          <w:p w:rsidR="0035701C" w:rsidRDefault="00FB561B">
            <w:pPr>
              <w:spacing w:before="240" w:after="240"/>
              <w:jc w:val="left"/>
              <w:rPr>
                <w:szCs w:val="24"/>
              </w:rPr>
            </w:pPr>
            <w:r>
              <w:rPr>
                <w:szCs w:val="24"/>
              </w:rPr>
              <w:t>Prise en compte des pratiques du verdissement afin d’éviter tout do</w:t>
            </w:r>
            <w:r>
              <w:rPr>
                <w:szCs w:val="24"/>
              </w:rPr>
              <w:t>uble paiement :</w:t>
            </w:r>
          </w:p>
          <w:p w:rsidR="0035701C" w:rsidRDefault="00FB561B" w:rsidP="00FB561B">
            <w:pPr>
              <w:numPr>
                <w:ilvl w:val="0"/>
                <w:numId w:val="909"/>
              </w:numPr>
              <w:spacing w:before="240" w:after="0"/>
              <w:ind w:hanging="210"/>
              <w:jc w:val="left"/>
              <w:rPr>
                <w:szCs w:val="24"/>
              </w:rPr>
            </w:pPr>
            <w:r>
              <w:rPr>
                <w:szCs w:val="24"/>
              </w:rPr>
              <w:t>Diversification des cultures : pour les cultures annuelles, la pratique de référence se base sur un assolement-type qui va au-delà des exigences du verdissement (voir tableau ci-après).</w:t>
            </w:r>
          </w:p>
          <w:p w:rsidR="0035701C" w:rsidRDefault="00FB561B" w:rsidP="00FB561B">
            <w:pPr>
              <w:numPr>
                <w:ilvl w:val="0"/>
                <w:numId w:val="909"/>
              </w:numPr>
              <w:spacing w:before="0" w:after="0"/>
              <w:ind w:hanging="210"/>
              <w:jc w:val="left"/>
              <w:rPr>
                <w:szCs w:val="24"/>
              </w:rPr>
            </w:pPr>
            <w:r>
              <w:rPr>
                <w:szCs w:val="24"/>
              </w:rPr>
              <w:t xml:space="preserve">Prairies permanentes : l’engagement à maintenir les </w:t>
            </w:r>
            <w:r>
              <w:rPr>
                <w:szCs w:val="24"/>
              </w:rPr>
              <w:t>prairies permanentes constitue une ligne de base</w:t>
            </w:r>
          </w:p>
          <w:p w:rsidR="0035701C" w:rsidRDefault="00FB561B" w:rsidP="00FB561B">
            <w:pPr>
              <w:numPr>
                <w:ilvl w:val="0"/>
                <w:numId w:val="909"/>
              </w:numPr>
              <w:spacing w:before="0" w:after="240"/>
              <w:ind w:hanging="210"/>
              <w:jc w:val="left"/>
              <w:rPr>
                <w:szCs w:val="24"/>
              </w:rPr>
            </w:pPr>
            <w:r>
              <w:rPr>
                <w:szCs w:val="24"/>
              </w:rPr>
              <w:t>Surfaces d’intérêt écologique : cette exigence n’a pas de lien avec la mesure 11.</w:t>
            </w:r>
          </w:p>
          <w:p w:rsidR="0035701C" w:rsidRDefault="00FB561B">
            <w:pPr>
              <w:spacing w:before="240" w:after="240"/>
              <w:jc w:val="left"/>
              <w:rPr>
                <w:szCs w:val="24"/>
              </w:rPr>
            </w:pPr>
            <w:r>
              <w:rPr>
                <w:b/>
                <w:bCs/>
                <w:szCs w:val="24"/>
              </w:rPr>
              <w:t>Assolement de référence utilisé pour le calcul de la marge brute en production conventionnelle pour la catégorie de couvert «</w:t>
            </w:r>
            <w:r>
              <w:rPr>
                <w:b/>
                <w:bCs/>
                <w:szCs w:val="24"/>
              </w:rPr>
              <w:t xml:space="preserve"> cultures annuelles » </w:t>
            </w:r>
            <w:r>
              <w:rPr>
                <w:szCs w:val="24"/>
              </w:rPr>
              <w:t>(cf. tableau assolement BIO).</w:t>
            </w:r>
          </w:p>
          <w:p w:rsidR="0035701C" w:rsidRDefault="00FB561B">
            <w:pPr>
              <w:spacing w:before="240" w:after="240"/>
              <w:jc w:val="left"/>
              <w:rPr>
                <w:szCs w:val="24"/>
              </w:rPr>
            </w:pPr>
            <w:r>
              <w:rPr>
                <w:szCs w:val="24"/>
              </w:rPr>
              <w:t>Source : Agreste, Statistique Agricole Annuelle de 2007 à 2012</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6400800" cy="1352550"/>
                  <wp:effectExtent l="0" t="0" r="0" b="0"/>
                  <wp:docPr id="100308" name="Image 100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09" name=""/>
                          <pic:cNvPicPr>
                            <a:picLocks noChangeAspect="1"/>
                          </pic:cNvPicPr>
                        </pic:nvPicPr>
                        <pic:blipFill>
                          <a:blip r:embed="rId155"/>
                          <a:stretch>
                            <a:fillRect/>
                          </a:stretch>
                        </pic:blipFill>
                        <pic:spPr>
                          <a:xfrm>
                            <a:off x="0" y="0"/>
                            <a:ext cx="6400800" cy="1352550"/>
                          </a:xfrm>
                          <a:prstGeom prst="rect">
                            <a:avLst/>
                          </a:prstGeom>
                        </pic:spPr>
                      </pic:pic>
                    </a:graphicData>
                  </a:graphic>
                </wp:inline>
              </w:drawing>
            </w:r>
          </w:p>
          <w:p w:rsidR="0035701C" w:rsidRDefault="00FB561B">
            <w:pPr>
              <w:pStyle w:val="Pieddepage"/>
              <w:jc w:val="center"/>
            </w:pPr>
            <w:r>
              <w:t>tableau assolement BIO</w:t>
            </w:r>
          </w:p>
          <w:p w:rsidR="0035701C" w:rsidRDefault="0035701C">
            <w:pPr>
              <w:pStyle w:val="Pieddepage"/>
              <w:jc w:val="center"/>
            </w:pPr>
          </w:p>
        </w:tc>
      </w:tr>
    </w:tbl>
    <w:p w:rsidR="0035701C" w:rsidRDefault="00FB561B">
      <w:r>
        <w:t xml:space="preserve">Description de la méthode et des hypothèses et paramètres agronomiques y compris la description des exigences </w:t>
      </w:r>
      <w:r>
        <w:t>minimales visées à l'article 29, paragraphe 2, du règlement (UE) n° 1305/2013 correspondant à chaque type particulier d'engagement utilisés comme référence pour les calculs justifiant les coûts supplémentaires et les pertes de revenus résultant de l’engage</w:t>
      </w:r>
      <w:r>
        <w:t>ment pris et le niveau des coûts des transactions; le cas échéant, cette méthode tient compte des aides accordées au titre du règlement (UE) n° 1307/2013, et notamment des paiements en faveur des pratiques agricoles bénéfiques pour le climat et l’environne</w:t>
      </w:r>
      <w:r>
        <w:t>ment, afin d’exclure un double financement;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Justification des montants  pour le maintien en AB</w:t>
            </w:r>
          </w:p>
          <w:p w:rsidR="0035701C" w:rsidRDefault="00FB561B">
            <w:pPr>
              <w:spacing w:before="240" w:after="240"/>
              <w:jc w:val="left"/>
              <w:rPr>
                <w:szCs w:val="24"/>
              </w:rPr>
            </w:pPr>
            <w:r>
              <w:rPr>
                <w:szCs w:val="24"/>
              </w:rPr>
              <w:t> Les montants unitaires résultent d'un différen</w:t>
            </w:r>
            <w:r>
              <w:rPr>
                <w:szCs w:val="24"/>
              </w:rPr>
              <w:t>tiel de marge brute entre production conventionnelle et production biologique (sauf pour la catégorie "Landes, estives et parcours") auxquels s'ajoutent les surcoûts de main d'œuvre liés à la mise en œuvre des itinéraires techniques bio, lorsque ces dernie</w:t>
            </w:r>
            <w:r>
              <w:rPr>
                <w:szCs w:val="24"/>
              </w:rPr>
              <w:t>rs sont avérés, et des coûts de transaction dans certains cas (pour les catégories "Prairies", "Cultures annuelles").</w:t>
            </w:r>
          </w:p>
          <w:p w:rsidR="0035701C" w:rsidRDefault="00FB561B">
            <w:pPr>
              <w:spacing w:before="240" w:after="240"/>
              <w:jc w:val="left"/>
              <w:rPr>
                <w:szCs w:val="24"/>
              </w:rPr>
            </w:pPr>
            <w:r>
              <w:rPr>
                <w:szCs w:val="24"/>
              </w:rPr>
              <w:t xml:space="preserve">Pour les catégories de couverts "Prairies" et "Cultures annuelles" dont les différentiels de marge brute entre production conventionnelle </w:t>
            </w:r>
            <w:r>
              <w:rPr>
                <w:szCs w:val="24"/>
              </w:rPr>
              <w:t>et production biologique n'atteignent pas le plafond communautaire, il a été tenu compte des coûts de transaction qui recouvrent le temps passé par le producteur pour suivre les contraintes techniques et administratives en certification Agriculture Biologi</w:t>
            </w:r>
            <w:r>
              <w:rPr>
                <w:szCs w:val="24"/>
              </w:rPr>
              <w:t>que: pour le maintien ces coûts de transaction sont établis à 10 €/ha/an.</w:t>
            </w:r>
          </w:p>
          <w:p w:rsidR="0035701C" w:rsidRDefault="00FB561B">
            <w:pPr>
              <w:spacing w:before="240" w:after="240"/>
              <w:jc w:val="left"/>
              <w:rPr>
                <w:szCs w:val="24"/>
              </w:rPr>
            </w:pPr>
            <w:r>
              <w:rPr>
                <w:szCs w:val="24"/>
              </w:rPr>
              <w:t>Pour la catégorie "Landes, estives, parcours", le montant unitaire couvre les surcoûts liés à l'entretien mécanisé des clôtures auxquels s'ajoutent les surcoûts liés au désherbage mé</w:t>
            </w:r>
            <w:r>
              <w:rPr>
                <w:szCs w:val="24"/>
              </w:rPr>
              <w:t>canique sous les clôtures. Les surcoûts et manques à gagner estimés étant identiques entre la conversion et le maintien, et afin de maintenir un différentiel de soutien en faveur de la conversion, les coûts de transaction estimés dans le cadre de démarches</w:t>
            </w:r>
            <w:r>
              <w:rPr>
                <w:szCs w:val="24"/>
              </w:rPr>
              <w:t xml:space="preserve"> individuelles ont été intégrés dans le calcul du montant unitaire de l'aide à la conversion uniquement.</w:t>
            </w:r>
          </w:p>
          <w:p w:rsidR="0035701C" w:rsidRDefault="00FB561B">
            <w:pPr>
              <w:spacing w:before="240" w:after="240"/>
              <w:jc w:val="left"/>
              <w:rPr>
                <w:szCs w:val="24"/>
              </w:rPr>
            </w:pPr>
            <w:r>
              <w:rPr>
                <w:szCs w:val="24"/>
              </w:rPr>
              <w:t>Concernant l’arboriculture, une différenciation de montant à l’hectare a été réalisée afin de tenir compte de la spécificité de ce type de couvert en C</w:t>
            </w:r>
            <w:r>
              <w:rPr>
                <w:szCs w:val="24"/>
              </w:rPr>
              <w:t xml:space="preserve">orse. En effet, en arboriculture traditionnelle ou extensive (Châtaigniers, oliviers, noisetiers, noyers), les vergers sont des vergers rénovés et non plantés. Ainsi, le nombre de pieds par hectare est inférieur d’au moins 40% dans ces vergers anciens par </w:t>
            </w:r>
            <w:r>
              <w:rPr>
                <w:szCs w:val="24"/>
              </w:rPr>
              <w:t>rapport à des vergers plantés. Le montant de l’aide à l’hectare « arboriculture extensive » a donc été diminué par rapport à celui de la catégorie « arboriculture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Cf. tableau ci-joint.</w:t>
            </w:r>
          </w:p>
          <w:p w:rsidR="0035701C" w:rsidRDefault="00FB561B">
            <w:pPr>
              <w:spacing w:before="240" w:after="240"/>
              <w:jc w:val="left"/>
              <w:rPr>
                <w:szCs w:val="24"/>
              </w:rPr>
            </w:pPr>
            <w:r>
              <w:rPr>
                <w:szCs w:val="24"/>
              </w:rPr>
              <w:t>Avec :</w:t>
            </w:r>
          </w:p>
          <w:p w:rsidR="0035701C" w:rsidRDefault="00FB561B">
            <w:pPr>
              <w:spacing w:before="240" w:after="240"/>
              <w:jc w:val="left"/>
              <w:rPr>
                <w:szCs w:val="24"/>
              </w:rPr>
            </w:pPr>
            <w:r>
              <w:rPr>
                <w:szCs w:val="24"/>
              </w:rPr>
              <w:t>MB : Marge brute = Produit brut (PB) – Charges opérationnel</w:t>
            </w:r>
            <w:r>
              <w:rPr>
                <w:szCs w:val="24"/>
              </w:rPr>
              <w:t>les (CO)</w:t>
            </w:r>
          </w:p>
          <w:p w:rsidR="0035701C" w:rsidRDefault="00FB561B">
            <w:pPr>
              <w:spacing w:before="240" w:after="240"/>
              <w:jc w:val="left"/>
              <w:rPr>
                <w:szCs w:val="24"/>
              </w:rPr>
            </w:pPr>
            <w:r>
              <w:rPr>
                <w:szCs w:val="24"/>
              </w:rPr>
              <w:t>PB = quantité produite * prix du marché = rendement * surface * prix du marché</w:t>
            </w:r>
          </w:p>
          <w:p w:rsidR="0035701C" w:rsidRDefault="00FB561B">
            <w:pPr>
              <w:spacing w:before="240" w:after="240"/>
              <w:jc w:val="left"/>
              <w:rPr>
                <w:szCs w:val="24"/>
              </w:rPr>
            </w:pPr>
            <w:r>
              <w:rPr>
                <w:szCs w:val="24"/>
              </w:rPr>
              <w:t>CO = semences, phytosanitaires, fertilisants, paillage ou entretien du sol, irrigation, coût d’utilisation du matériel</w:t>
            </w:r>
          </w:p>
          <w:p w:rsidR="0035701C" w:rsidRDefault="00FB561B">
            <w:pPr>
              <w:spacing w:before="240" w:after="240"/>
              <w:jc w:val="left"/>
              <w:rPr>
                <w:szCs w:val="24"/>
              </w:rPr>
            </w:pPr>
            <w:r>
              <w:rPr>
                <w:szCs w:val="24"/>
              </w:rPr>
              <w:t>Conv : conventionnelle</w:t>
            </w:r>
          </w:p>
          <w:p w:rsidR="0035701C" w:rsidRDefault="00FB561B">
            <w:pPr>
              <w:spacing w:before="240" w:after="240"/>
              <w:jc w:val="left"/>
              <w:rPr>
                <w:szCs w:val="24"/>
              </w:rPr>
            </w:pPr>
            <w:r>
              <w:rPr>
                <w:i/>
                <w:iCs/>
                <w:szCs w:val="24"/>
              </w:rPr>
              <w:t>SMO : Surcoûts de main d’œ</w:t>
            </w:r>
            <w:r>
              <w:rPr>
                <w:i/>
                <w:iCs/>
                <w:szCs w:val="24"/>
              </w:rPr>
              <w:t>uvre</w:t>
            </w:r>
          </w:p>
          <w:p w:rsidR="0035701C" w:rsidRDefault="00FB561B">
            <w:pPr>
              <w:spacing w:before="240" w:after="240"/>
              <w:jc w:val="left"/>
              <w:rPr>
                <w:szCs w:val="24"/>
              </w:rPr>
            </w:pPr>
            <w:r>
              <w:rPr>
                <w:i/>
                <w:iCs/>
                <w:szCs w:val="24"/>
              </w:rPr>
              <w:t xml:space="preserve">Cout de transaction </w:t>
            </w:r>
            <w:r>
              <w:rPr>
                <w:szCs w:val="24"/>
              </w:rPr>
              <w:t>: plafonnés à 20% de l’aide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Le maraîchage est défini comme la succession d’au moins deux cultures annuelles sur une parcelle ou sous abris hauts. La culture légumière de plein champ correspond à une culture annuelle de légumes.</w:t>
            </w:r>
          </w:p>
          <w:p w:rsidR="0035701C" w:rsidRDefault="00FB561B">
            <w:pPr>
              <w:spacing w:before="240" w:after="240"/>
              <w:jc w:val="left"/>
              <w:rPr>
                <w:szCs w:val="24"/>
              </w:rPr>
            </w:pPr>
            <w:r>
              <w:rPr>
                <w:szCs w:val="24"/>
              </w:rPr>
              <w:t>La catégorie landes et parcours comprend l’ensemble des surfaces présentant des ressources issues de ligneux consommées (feuillage et fruits) pour les systèmes constitués d’herbivores ou de porcins.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Les coûts de transaction dans le cadre de démarches col</w:t>
            </w:r>
            <w:r>
              <w:rPr>
                <w:szCs w:val="24"/>
              </w:rPr>
              <w:t>lectives sont estimés à 10€/ha/an une fois certifié bio.</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Sources des données :</w:t>
            </w:r>
          </w:p>
          <w:p w:rsidR="0035701C" w:rsidRDefault="00FB561B" w:rsidP="00FB561B">
            <w:pPr>
              <w:numPr>
                <w:ilvl w:val="0"/>
                <w:numId w:val="910"/>
              </w:numPr>
              <w:spacing w:before="240" w:after="0"/>
              <w:ind w:hanging="210"/>
              <w:jc w:val="left"/>
              <w:rPr>
                <w:szCs w:val="24"/>
              </w:rPr>
            </w:pPr>
            <w:r>
              <w:rPr>
                <w:szCs w:val="24"/>
              </w:rPr>
              <w:t xml:space="preserve">Différentiels de marge brute et surcoûts de main d’œuvre : </w:t>
            </w:r>
          </w:p>
          <w:p w:rsidR="0035701C" w:rsidRDefault="00FB561B" w:rsidP="00FB561B">
            <w:pPr>
              <w:numPr>
                <w:ilvl w:val="1"/>
                <w:numId w:val="910"/>
              </w:numPr>
              <w:spacing w:before="0" w:after="0"/>
              <w:ind w:hanging="244"/>
              <w:jc w:val="left"/>
              <w:rPr>
                <w:szCs w:val="24"/>
              </w:rPr>
            </w:pPr>
            <w:r>
              <w:rPr>
                <w:szCs w:val="24"/>
              </w:rPr>
              <w:t>Landes, estives et parcours : Chambre d’agriculture de l’Aveyron (2013)</w:t>
            </w:r>
          </w:p>
          <w:p w:rsidR="0035701C" w:rsidRDefault="00FB561B" w:rsidP="00FB561B">
            <w:pPr>
              <w:numPr>
                <w:ilvl w:val="1"/>
                <w:numId w:val="910"/>
              </w:numPr>
              <w:spacing w:before="0" w:after="0"/>
              <w:ind w:hanging="244"/>
              <w:jc w:val="left"/>
              <w:rPr>
                <w:szCs w:val="24"/>
              </w:rPr>
            </w:pPr>
            <w:r>
              <w:rPr>
                <w:szCs w:val="24"/>
              </w:rPr>
              <w:t>Prairies : Institut de l’élevage (2012)</w:t>
            </w:r>
          </w:p>
          <w:p w:rsidR="0035701C" w:rsidRDefault="00FB561B" w:rsidP="00FB561B">
            <w:pPr>
              <w:numPr>
                <w:ilvl w:val="1"/>
                <w:numId w:val="910"/>
              </w:numPr>
              <w:spacing w:before="0" w:after="0"/>
              <w:ind w:hanging="244"/>
              <w:jc w:val="left"/>
              <w:rPr>
                <w:szCs w:val="24"/>
              </w:rPr>
            </w:pPr>
            <w:r>
              <w:rPr>
                <w:szCs w:val="24"/>
              </w:rPr>
              <w:t>Cul</w:t>
            </w:r>
            <w:r>
              <w:rPr>
                <w:szCs w:val="24"/>
              </w:rPr>
              <w:t>tures annuelles : Coop de France, Chambres d’agriculture d’Aquitaine, de l’Aveyron, et du Gers, ITAB, AGRESTE statistiques 2007-2012, SSP- RICA 2005-2011</w:t>
            </w:r>
          </w:p>
          <w:p w:rsidR="0035701C" w:rsidRDefault="00FB561B" w:rsidP="00FB561B">
            <w:pPr>
              <w:numPr>
                <w:ilvl w:val="1"/>
                <w:numId w:val="910"/>
              </w:numPr>
              <w:spacing w:before="0" w:after="0"/>
              <w:ind w:hanging="244"/>
              <w:jc w:val="left"/>
              <w:rPr>
                <w:szCs w:val="24"/>
              </w:rPr>
            </w:pPr>
            <w:r>
              <w:rPr>
                <w:szCs w:val="24"/>
              </w:rPr>
              <w:t>Viticulture : Chambre d’agriculture de Gironde (2011-2013)</w:t>
            </w:r>
          </w:p>
          <w:p w:rsidR="0035701C" w:rsidRDefault="00FB561B" w:rsidP="00FB561B">
            <w:pPr>
              <w:numPr>
                <w:ilvl w:val="1"/>
                <w:numId w:val="910"/>
              </w:numPr>
              <w:spacing w:before="0" w:after="0"/>
              <w:ind w:hanging="244"/>
              <w:jc w:val="left"/>
              <w:rPr>
                <w:szCs w:val="24"/>
              </w:rPr>
            </w:pPr>
            <w:r>
              <w:rPr>
                <w:szCs w:val="24"/>
              </w:rPr>
              <w:t>Cultures légumières de plein champ : CASDAR</w:t>
            </w:r>
            <w:r>
              <w:rPr>
                <w:szCs w:val="24"/>
              </w:rPr>
              <w:t xml:space="preserve"> Légumes de plein champ bio (2013), GABnor Chambre d'agriculture du Nord – Pas de Calais</w:t>
            </w:r>
          </w:p>
          <w:p w:rsidR="0035701C" w:rsidRDefault="00FB561B" w:rsidP="00FB561B">
            <w:pPr>
              <w:numPr>
                <w:ilvl w:val="1"/>
                <w:numId w:val="910"/>
              </w:numPr>
              <w:spacing w:before="0" w:after="0"/>
              <w:ind w:hanging="244"/>
              <w:jc w:val="left"/>
              <w:rPr>
                <w:szCs w:val="24"/>
              </w:rPr>
            </w:pPr>
            <w:r>
              <w:rPr>
                <w:szCs w:val="24"/>
              </w:rPr>
              <w:t>Maraîchage : CIVAMBIO des Pyrénées Orientales, Chambre d'agriculture du Roussillon, Gab Île-de-France (2013)</w:t>
            </w:r>
          </w:p>
          <w:p w:rsidR="0035701C" w:rsidRDefault="00FB561B" w:rsidP="00FB561B">
            <w:pPr>
              <w:numPr>
                <w:ilvl w:val="1"/>
                <w:numId w:val="910"/>
              </w:numPr>
              <w:spacing w:before="0" w:after="0"/>
              <w:ind w:hanging="244"/>
              <w:jc w:val="left"/>
              <w:rPr>
                <w:szCs w:val="24"/>
              </w:rPr>
            </w:pPr>
            <w:r>
              <w:rPr>
                <w:szCs w:val="24"/>
              </w:rPr>
              <w:t xml:space="preserve">Arboriculture : Chambre d'agriculture du Tarn et Garonne, </w:t>
            </w:r>
            <w:r>
              <w:rPr>
                <w:szCs w:val="24"/>
              </w:rPr>
              <w:t>de l’Isère et de l’Ardèche (2008-2012)</w:t>
            </w:r>
          </w:p>
          <w:p w:rsidR="0035701C" w:rsidRDefault="00FB561B" w:rsidP="00FB561B">
            <w:pPr>
              <w:numPr>
                <w:ilvl w:val="1"/>
                <w:numId w:val="910"/>
              </w:numPr>
              <w:spacing w:before="0" w:after="240"/>
              <w:ind w:hanging="244"/>
              <w:jc w:val="left"/>
              <w:rPr>
                <w:szCs w:val="24"/>
              </w:rPr>
            </w:pPr>
            <w:r>
              <w:rPr>
                <w:szCs w:val="24"/>
              </w:rPr>
              <w:t>PPAM : Chambre d'agriculture du Vaucluse (2013), Union des professionnels des plantes à parfum, aromatiques et médicinales (2014)</w:t>
            </w:r>
          </w:p>
          <w:p w:rsidR="0035701C" w:rsidRDefault="00FB561B">
            <w:pPr>
              <w:spacing w:before="240" w:after="240"/>
              <w:jc w:val="left"/>
              <w:rPr>
                <w:szCs w:val="24"/>
              </w:rPr>
            </w:pPr>
            <w:r>
              <w:rPr>
                <w:i/>
                <w:iCs/>
                <w:szCs w:val="24"/>
              </w:rPr>
              <w:t>Coûts de transaction : Fédération nationale d’agriculture biologique (FNAB), 2010</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5962650" cy="3514725"/>
                  <wp:effectExtent l="0" t="0" r="0" b="0"/>
                  <wp:docPr id="100310" name="Image 100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11" name=""/>
                          <pic:cNvPicPr>
                            <a:picLocks noChangeAspect="1"/>
                          </pic:cNvPicPr>
                        </pic:nvPicPr>
                        <pic:blipFill>
                          <a:blip r:embed="rId158"/>
                          <a:stretch>
                            <a:fillRect/>
                          </a:stretch>
                        </pic:blipFill>
                        <pic:spPr>
                          <a:xfrm>
                            <a:off x="0" y="0"/>
                            <a:ext cx="5962650" cy="3514725"/>
                          </a:xfrm>
                          <a:prstGeom prst="rect">
                            <a:avLst/>
                          </a:prstGeom>
                        </pic:spPr>
                      </pic:pic>
                    </a:graphicData>
                  </a:graphic>
                </wp:inline>
              </w:drawing>
            </w:r>
          </w:p>
          <w:p w:rsidR="0035701C" w:rsidRDefault="00FB561B">
            <w:pPr>
              <w:pStyle w:val="Pieddepage"/>
              <w:jc w:val="center"/>
            </w:pPr>
            <w:r>
              <w:t>calcul maintien</w:t>
            </w:r>
          </w:p>
          <w:p w:rsidR="0035701C" w:rsidRDefault="0035701C">
            <w:pPr>
              <w:pStyle w:val="Pieddepage"/>
              <w:jc w:val="center"/>
            </w:pPr>
          </w:p>
        </w:tc>
      </w:tr>
    </w:tbl>
    <w:p w:rsidR="0035701C" w:rsidRDefault="00FB561B">
      <w:pPr>
        <w:pStyle w:val="Titre4"/>
        <w:jc w:val="left"/>
      </w:pPr>
      <w:r>
        <w:t>Caractère vérifiable et contrôlable des mesures et/ou types d'opérations</w:t>
      </w:r>
    </w:p>
    <w:p w:rsidR="0035701C" w:rsidRDefault="00FB561B">
      <w:pPr>
        <w:pStyle w:val="Titre5"/>
        <w:rPr>
          <w:b w:val="0"/>
        </w:rPr>
      </w:pPr>
      <w:r>
        <w:rPr>
          <w:b w:val="0"/>
        </w:rPr>
        <w:t>Risque(s) dans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Par opération</w:t>
            </w:r>
          </w:p>
          <w:p w:rsidR="0035701C" w:rsidRDefault="0035701C">
            <w:pPr>
              <w:pStyle w:val="Corpsdetexte"/>
            </w:pPr>
          </w:p>
        </w:tc>
      </w:tr>
    </w:tbl>
    <w:p w:rsidR="0035701C" w:rsidRDefault="00FB561B">
      <w:pPr>
        <w:pStyle w:val="Titre5"/>
        <w:rPr>
          <w:b w:val="0"/>
        </w:rPr>
      </w:pPr>
      <w:r>
        <w:rPr>
          <w:b w:val="0"/>
        </w:rP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Par opération.</w:t>
            </w:r>
          </w:p>
          <w:p w:rsidR="0035701C" w:rsidRDefault="0035701C">
            <w:pPr>
              <w:pStyle w:val="Corpsdetexte"/>
            </w:pPr>
          </w:p>
        </w:tc>
      </w:tr>
    </w:tbl>
    <w:p w:rsidR="0035701C" w:rsidRDefault="00FB561B">
      <w:pPr>
        <w:pStyle w:val="Titre5"/>
        <w:rPr>
          <w:b w:val="0"/>
        </w:rPr>
      </w:pPr>
      <w:r>
        <w:rPr>
          <w:b w:val="0"/>
        </w:rP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Par opération.</w:t>
            </w:r>
          </w:p>
          <w:p w:rsidR="0035701C" w:rsidRDefault="0035701C">
            <w:pPr>
              <w:pStyle w:val="Corpsdetexte"/>
            </w:pPr>
          </w:p>
        </w:tc>
      </w:tr>
    </w:tbl>
    <w:p w:rsidR="0035701C" w:rsidRDefault="00FB561B">
      <w:pPr>
        <w:pStyle w:val="Titre4"/>
        <w:jc w:val="left"/>
      </w:pPr>
      <w:r>
        <w:t xml:space="preserve">Informations </w:t>
      </w:r>
      <w:r>
        <w:t>spécifiques sur la mesure</w:t>
      </w:r>
    </w:p>
    <w:p w:rsidR="0035701C" w:rsidRDefault="00FB561B">
      <w:r>
        <w:t>Détermination et définition des éléments du niveau de référence applicable, qui doivent inclure les normes obligatoires établies en application du titre VI, chapitre I, du règlement (UE) n° 1306/2013 du Parlement européen et du Co</w:t>
      </w:r>
      <w:r>
        <w:t>nseil, les critères pertinents et les activités minimales établies en application de l'article 4, paragraphe 1, point c), ii) et iii), du règlement (UE) n° 1307/2013 du Parlement européen et du Conseil, les exigences minimales applicables à l'utilisation d</w:t>
      </w:r>
      <w:r>
        <w:t>es engrais et des produits phytosanitaire et les autres exigences obligatoires établies par le droit national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spacing w:after="100"/>
      </w:pPr>
      <w:r>
        <w:t>Description de la méthode et des hypothèses et paramètres agronomiques y compris la description des exigences minimales visées à l'article 29,</w:t>
      </w:r>
      <w:r>
        <w:t xml:space="preserve"> paragraphe 2, du règlement (UE) n° 1305/2013 correspondant à chaque type particulier d'engagement utilisés comme référence pour les calculs justifiant les coûts supplémentaires et les pertes de revenus résultant de l’engagement pris et le niveau des coûts</w:t>
      </w:r>
      <w:r>
        <w:t xml:space="preserve"> des transactions; le cas échéant, cette méthode tient compte des aides accordées au titre du règlement (UE) n° 1307/2013, et notamment des paiements en faveur des pratiques agricoles bénéfiques pour le climat et l’environnement, afin d’exclure un double f</w:t>
      </w:r>
      <w:r>
        <w:t>inancement; le cas échéant, la méthode de conversion utilisée pour d’autres unités conformément à l’article 9 dudit règlement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spacing w:after="100"/>
            </w:pPr>
          </w:p>
        </w:tc>
      </w:tr>
    </w:tbl>
    <w:p w:rsidR="0035701C" w:rsidRDefault="00FB561B">
      <w:pPr>
        <w:pStyle w:val="Titre4"/>
        <w:spacing w:after="100"/>
        <w:jc w:val="left"/>
      </w:pPr>
      <w:r>
        <w:t>Autres remarques importantes pour comprendre et mettre en œuvre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3"/>
        <w:jc w:val="left"/>
      </w:pPr>
      <w:r>
        <w:br w:type="page"/>
      </w:r>
      <w:bookmarkStart w:id="111" w:name="_Toc256000110"/>
      <w:r>
        <w:t xml:space="preserve">M13 - Paiements en faveur des zones soumises à </w:t>
      </w:r>
      <w:r>
        <w:t>des contraintes naturelles ou à d'autres contraintes spécifiques (article 31)</w:t>
      </w:r>
      <w:bookmarkEnd w:id="111"/>
    </w:p>
    <w:p w:rsidR="0035701C" w:rsidRDefault="00FB561B">
      <w:pPr>
        <w:pStyle w:val="Titre4"/>
        <w:jc w:val="left"/>
      </w:pPr>
      <w:r>
        <w:t>Base juridique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Règlement (UE) n°1305 /2013 du 17 décembre 2013 (FEADER) Article 31 &amp; 32</w:t>
            </w:r>
          </w:p>
          <w:p w:rsidR="0035701C" w:rsidRDefault="00FB561B">
            <w:pPr>
              <w:spacing w:before="240" w:after="240"/>
              <w:jc w:val="left"/>
              <w:rPr>
                <w:szCs w:val="24"/>
              </w:rPr>
            </w:pPr>
            <w:r>
              <w:rPr>
                <w:szCs w:val="24"/>
              </w:rPr>
              <w:t>Règlement (UE) n°1307/2013, titre III, chapitre 3, article 4 et 9</w:t>
            </w:r>
          </w:p>
          <w:p w:rsidR="0035701C" w:rsidRDefault="00FB561B">
            <w:pPr>
              <w:spacing w:before="240" w:after="240"/>
              <w:jc w:val="left"/>
              <w:rPr>
                <w:szCs w:val="24"/>
              </w:rPr>
            </w:pPr>
            <w:r>
              <w:rPr>
                <w:szCs w:val="24"/>
              </w:rPr>
              <w:t>Règlement (UE) n°1306/20</w:t>
            </w:r>
            <w:r>
              <w:rPr>
                <w:szCs w:val="24"/>
              </w:rPr>
              <w:t>13, article 92</w:t>
            </w:r>
          </w:p>
          <w:p w:rsidR="0035701C" w:rsidRDefault="0035701C">
            <w:pPr>
              <w:pStyle w:val="Corpsdetexte"/>
            </w:pPr>
          </w:p>
        </w:tc>
      </w:tr>
    </w:tbl>
    <w:p w:rsidR="0035701C" w:rsidRDefault="00FB561B">
      <w:pPr>
        <w:pStyle w:val="Titre4"/>
        <w:jc w:val="left"/>
      </w:pPr>
      <w:r>
        <w:t>Description générale de la mesure, y compris sa logique d'intervention et sa contribution aux domaines prioritaires et à la réalisation des 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L’ICHN permet de compenser une partie du différentiel de revenu engendré par</w:t>
            </w:r>
            <w:r>
              <w:rPr>
                <w:szCs w:val="24"/>
              </w:rPr>
              <w:t xml:space="preserve"> des contraintes naturelles ou spécifiques auxquels sont soumises les exploitations agricoles dans les zones où les conditions d’exploitation sont difficiles.</w:t>
            </w:r>
          </w:p>
          <w:p w:rsidR="0035701C" w:rsidRDefault="00FB561B">
            <w:pPr>
              <w:spacing w:before="240" w:after="240"/>
              <w:jc w:val="left"/>
              <w:rPr>
                <w:szCs w:val="24"/>
              </w:rPr>
            </w:pPr>
            <w:r>
              <w:rPr>
                <w:szCs w:val="24"/>
              </w:rPr>
              <w:t>Cette aide contribue :</w:t>
            </w:r>
          </w:p>
          <w:p w:rsidR="0035701C" w:rsidRDefault="00FB561B" w:rsidP="00FB561B">
            <w:pPr>
              <w:numPr>
                <w:ilvl w:val="0"/>
                <w:numId w:val="911"/>
              </w:numPr>
              <w:spacing w:before="240" w:after="0"/>
              <w:ind w:hanging="210"/>
              <w:jc w:val="left"/>
              <w:rPr>
                <w:szCs w:val="24"/>
              </w:rPr>
            </w:pPr>
            <w:r>
              <w:rPr>
                <w:szCs w:val="24"/>
              </w:rPr>
              <w:t xml:space="preserve">à maintenir une activité agricole viable dans les zones caractérisées par </w:t>
            </w:r>
            <w:r>
              <w:rPr>
                <w:szCs w:val="24"/>
              </w:rPr>
              <w:t>des handicaps : zones de montagnes (altitude, pente, sols, climat) ou zones de handicaps spécifiques(climat, contraintes localisées de pente et d’hydromorphie, pression foncière et touristique).</w:t>
            </w:r>
          </w:p>
          <w:p w:rsidR="0035701C" w:rsidRDefault="00FB561B" w:rsidP="00FB561B">
            <w:pPr>
              <w:numPr>
                <w:ilvl w:val="0"/>
                <w:numId w:val="911"/>
              </w:numPr>
              <w:spacing w:before="0" w:after="0"/>
              <w:ind w:hanging="210"/>
              <w:jc w:val="left"/>
              <w:rPr>
                <w:szCs w:val="24"/>
              </w:rPr>
            </w:pPr>
            <w:r>
              <w:rPr>
                <w:szCs w:val="24"/>
              </w:rPr>
              <w:t>à préserver un tissu agricole et économique dans ces territoi</w:t>
            </w:r>
            <w:r>
              <w:rPr>
                <w:szCs w:val="24"/>
              </w:rPr>
              <w:t>res menacés de déprise.</w:t>
            </w:r>
          </w:p>
          <w:p w:rsidR="0035701C" w:rsidRDefault="00FB561B" w:rsidP="00FB561B">
            <w:pPr>
              <w:numPr>
                <w:ilvl w:val="0"/>
                <w:numId w:val="911"/>
              </w:numPr>
              <w:spacing w:before="0" w:after="240"/>
              <w:ind w:hanging="210"/>
              <w:jc w:val="left"/>
              <w:rPr>
                <w:szCs w:val="24"/>
              </w:rPr>
            </w:pPr>
            <w:r>
              <w:rPr>
                <w:szCs w:val="24"/>
              </w:rPr>
              <w:t>à la protection de l’environnement et la gestion des ressources naturelles.</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b/>
                <w:bCs/>
                <w:szCs w:val="24"/>
              </w:rPr>
              <w:t>Contribution aux domaines prioritaires et aux objectifs transversaux</w:t>
            </w:r>
          </w:p>
          <w:p w:rsidR="0035701C" w:rsidRDefault="00FB561B">
            <w:pPr>
              <w:spacing w:before="240" w:after="240"/>
              <w:jc w:val="left"/>
              <w:rPr>
                <w:szCs w:val="24"/>
              </w:rPr>
            </w:pPr>
            <w:r>
              <w:rPr>
                <w:szCs w:val="24"/>
              </w:rPr>
              <w:t>Cette mesure est essentiellement ciblée sur le domaine prioritaire 4a) « restaurer, p</w:t>
            </w:r>
            <w:r>
              <w:rPr>
                <w:szCs w:val="24"/>
              </w:rPr>
              <w:t xml:space="preserve">réserver et renforcer les écosystèmes liés à l’agriculture et à la foresterie » et sur l’objectif transversal relatif à l’Environnement, ainsi qu’au besoin n°32 identifié dans la zone de programmation « Préserver le bon état de l'environnement, assurer le </w:t>
            </w:r>
            <w:r>
              <w:rPr>
                <w:szCs w:val="24"/>
              </w:rPr>
              <w:t>renouvellement des ressources naturelles et prévenir le risque incendie.» dans la mesure où :</w:t>
            </w:r>
          </w:p>
          <w:p w:rsidR="0035701C" w:rsidRDefault="00FB561B" w:rsidP="00FB561B">
            <w:pPr>
              <w:numPr>
                <w:ilvl w:val="0"/>
                <w:numId w:val="912"/>
              </w:numPr>
              <w:spacing w:before="240" w:after="240"/>
              <w:ind w:hanging="210"/>
              <w:jc w:val="left"/>
              <w:rPr>
                <w:szCs w:val="24"/>
              </w:rPr>
            </w:pPr>
            <w:r>
              <w:rPr>
                <w:szCs w:val="24"/>
              </w:rPr>
              <w:t>L’ICHN contribue à la préservation d’écosystèmes diversifiés du littoral jusqu’en montagne (gammes de maquis, forêts et prairies) et de paysages ouverts, ainsi qu</w:t>
            </w:r>
            <w:r>
              <w:rPr>
                <w:szCs w:val="24"/>
              </w:rPr>
              <w:t>’à la biodiversité qui leur est associée, et au maintien de systèmes agraires traditionnels et à faible incidence environnementale.</w:t>
            </w:r>
          </w:p>
          <w:p w:rsidR="0035701C" w:rsidRDefault="00FB561B" w:rsidP="00FB561B">
            <w:pPr>
              <w:numPr>
                <w:ilvl w:val="0"/>
                <w:numId w:val="913"/>
              </w:numPr>
              <w:spacing w:before="240" w:after="0"/>
              <w:ind w:hanging="210"/>
              <w:jc w:val="left"/>
              <w:rPr>
                <w:szCs w:val="24"/>
              </w:rPr>
            </w:pPr>
            <w:r>
              <w:rPr>
                <w:szCs w:val="24"/>
              </w:rPr>
              <w:t xml:space="preserve">L’entretien des milieux par l’activité agricole contribue à la protection contre les incendies particulièrement sensible en </w:t>
            </w:r>
            <w:r>
              <w:rPr>
                <w:szCs w:val="24"/>
              </w:rPr>
              <w:t>zone méditerranéenne,</w:t>
            </w:r>
          </w:p>
          <w:p w:rsidR="0035701C" w:rsidRDefault="00FB561B" w:rsidP="00FB561B">
            <w:pPr>
              <w:numPr>
                <w:ilvl w:val="0"/>
                <w:numId w:val="913"/>
              </w:numPr>
              <w:spacing w:before="0" w:after="0"/>
              <w:ind w:hanging="210"/>
              <w:jc w:val="left"/>
              <w:rPr>
                <w:szCs w:val="24"/>
              </w:rPr>
            </w:pPr>
            <w:r>
              <w:rPr>
                <w:szCs w:val="24"/>
              </w:rPr>
              <w:t xml:space="preserve">L’ICHN permet le maintien d’un système d’élevage agro-pastoral caractérisé sur l’ensemble de la Corse : </w:t>
            </w:r>
          </w:p>
          <w:p w:rsidR="0035701C" w:rsidRDefault="00FB561B" w:rsidP="00FB561B">
            <w:pPr>
              <w:numPr>
                <w:ilvl w:val="1"/>
                <w:numId w:val="913"/>
              </w:numPr>
              <w:spacing w:before="0" w:after="0"/>
              <w:ind w:hanging="244"/>
              <w:jc w:val="left"/>
              <w:rPr>
                <w:szCs w:val="24"/>
              </w:rPr>
            </w:pPr>
            <w:r>
              <w:rPr>
                <w:szCs w:val="24"/>
              </w:rPr>
              <w:t xml:space="preserve">par son caractère extensif (chargement régional moyen de 0,4 UGB/ha), et qui valorise des surfaces herbagères, et des ressources </w:t>
            </w:r>
            <w:r>
              <w:rPr>
                <w:szCs w:val="24"/>
              </w:rPr>
              <w:t>végétales spontanées.</w:t>
            </w:r>
          </w:p>
          <w:p w:rsidR="0035701C" w:rsidRDefault="00FB561B" w:rsidP="00FB561B">
            <w:pPr>
              <w:numPr>
                <w:ilvl w:val="1"/>
                <w:numId w:val="913"/>
              </w:numPr>
              <w:spacing w:before="0" w:after="0"/>
              <w:ind w:hanging="244"/>
              <w:jc w:val="left"/>
              <w:rPr>
                <w:szCs w:val="24"/>
              </w:rPr>
            </w:pPr>
            <w:r>
              <w:rPr>
                <w:szCs w:val="24"/>
              </w:rPr>
              <w:t>par son caractère durable inhérent à sa plus faible consommation en intrants que les élevages plus intensifs ou en stabulation,</w:t>
            </w:r>
          </w:p>
          <w:p w:rsidR="0035701C" w:rsidRDefault="00FB561B" w:rsidP="00FB561B">
            <w:pPr>
              <w:numPr>
                <w:ilvl w:val="1"/>
                <w:numId w:val="913"/>
              </w:numPr>
              <w:spacing w:before="0" w:after="240"/>
              <w:ind w:hanging="244"/>
              <w:jc w:val="left"/>
              <w:rPr>
                <w:szCs w:val="24"/>
              </w:rPr>
            </w:pPr>
            <w:r>
              <w:rPr>
                <w:szCs w:val="24"/>
              </w:rPr>
              <w:t>par le maintien de surfaces herbagères extensives dont les effets bénéfiques sur l’environnement sont nomb</w:t>
            </w:r>
            <w:r>
              <w:rPr>
                <w:szCs w:val="24"/>
              </w:rPr>
              <w:t>reux : biodiversité, stockage du carbone, amélioration de la qualité de l’eau, lutte contre l’érosion.</w:t>
            </w:r>
          </w:p>
          <w:p w:rsidR="0035701C" w:rsidRDefault="00FB561B">
            <w:pPr>
              <w:spacing w:before="240" w:after="240"/>
              <w:jc w:val="left"/>
              <w:rPr>
                <w:szCs w:val="24"/>
              </w:rPr>
            </w:pPr>
            <w:r>
              <w:rPr>
                <w:szCs w:val="24"/>
              </w:rPr>
              <w:t>De plus cette compensation partielle des surcoûts permet de maintenir des capacités d’investissement dans ces systèmes d’exploitation ce qui répond au be</w:t>
            </w:r>
            <w:r>
              <w:rPr>
                <w:szCs w:val="24"/>
              </w:rPr>
              <w:t>soin n°13 «Encourager la restructuration des unités d’élevage et favoriser la reconquête et la gestion des parcours pastoraux ».</w:t>
            </w:r>
          </w:p>
          <w:p w:rsidR="0035701C" w:rsidRDefault="00FB561B">
            <w:pPr>
              <w:spacing w:before="240" w:after="240"/>
              <w:jc w:val="left"/>
              <w:rPr>
                <w:szCs w:val="24"/>
              </w:rPr>
            </w:pPr>
            <w:r>
              <w:rPr>
                <w:szCs w:val="24"/>
              </w:rPr>
              <w:t>L’ICHN répond enfin aux besoins identifiés dans la zone de programmation : n°33 « Maintenir une occupation du territoire et fav</w:t>
            </w:r>
            <w:r>
              <w:rPr>
                <w:szCs w:val="24"/>
              </w:rPr>
              <w:t>oriser le lien social » et n°15 « Compenser les handicaps naturels liés à la montagne, au climat et à l'insularité », dans la mesure où :</w:t>
            </w:r>
          </w:p>
          <w:p w:rsidR="0035701C" w:rsidRDefault="00FB561B" w:rsidP="00FB561B">
            <w:pPr>
              <w:numPr>
                <w:ilvl w:val="0"/>
                <w:numId w:val="914"/>
              </w:numPr>
              <w:spacing w:before="240" w:after="0"/>
              <w:ind w:hanging="210"/>
              <w:jc w:val="left"/>
              <w:rPr>
                <w:szCs w:val="24"/>
              </w:rPr>
            </w:pPr>
            <w:r>
              <w:rPr>
                <w:szCs w:val="24"/>
              </w:rPr>
              <w:t>elle permet d’assurer un développement équilibré des zones rurales en établissant une péréquation entre les territoire</w:t>
            </w:r>
            <w:r>
              <w:rPr>
                <w:szCs w:val="24"/>
              </w:rPr>
              <w:t>s soumis à des contraintes naturelles ou spécifiques et ceux n’en présentant pas en compensant au moins partiellement les surcoûts,</w:t>
            </w:r>
          </w:p>
          <w:p w:rsidR="0035701C" w:rsidRDefault="00FB561B" w:rsidP="00FB561B">
            <w:pPr>
              <w:numPr>
                <w:ilvl w:val="0"/>
                <w:numId w:val="914"/>
              </w:numPr>
              <w:spacing w:before="0" w:after="240"/>
              <w:ind w:hanging="210"/>
              <w:jc w:val="left"/>
              <w:rPr>
                <w:szCs w:val="24"/>
              </w:rPr>
            </w:pPr>
            <w:r>
              <w:rPr>
                <w:szCs w:val="24"/>
              </w:rPr>
              <w:t>le maintien de l’agriculture dans ces zones est source d'emploi et de protection du foncier, surtout dans les zones littoral</w:t>
            </w:r>
            <w:r>
              <w:rPr>
                <w:szCs w:val="24"/>
              </w:rPr>
              <w:t>es et touristiques.</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szCs w:val="24"/>
              </w:rPr>
              <w:t>La mesure est déclinée à partir de campagne 2019, suite à la réforme du zonage des zones soumises à contraintes, en 3 sous-mesures :</w:t>
            </w:r>
          </w:p>
          <w:p w:rsidR="0035701C" w:rsidRDefault="00FB561B" w:rsidP="00FB561B">
            <w:pPr>
              <w:numPr>
                <w:ilvl w:val="0"/>
                <w:numId w:val="915"/>
              </w:numPr>
              <w:spacing w:before="240" w:after="0"/>
              <w:ind w:hanging="210"/>
              <w:jc w:val="left"/>
              <w:rPr>
                <w:szCs w:val="24"/>
              </w:rPr>
            </w:pPr>
            <w:r>
              <w:rPr>
                <w:szCs w:val="24"/>
              </w:rPr>
              <w:t>13.1 - Paiements compensatoires pour les zones de montagne : montagne sèche et haute montagne</w:t>
            </w:r>
          </w:p>
          <w:p w:rsidR="0035701C" w:rsidRDefault="00FB561B" w:rsidP="00FB561B">
            <w:pPr>
              <w:numPr>
                <w:ilvl w:val="0"/>
                <w:numId w:val="915"/>
              </w:numPr>
              <w:spacing w:before="0" w:after="0"/>
              <w:ind w:hanging="210"/>
              <w:jc w:val="left"/>
              <w:rPr>
                <w:szCs w:val="24"/>
              </w:rPr>
            </w:pPr>
            <w:r>
              <w:rPr>
                <w:szCs w:val="24"/>
              </w:rPr>
              <w:t xml:space="preserve">13.2 - </w:t>
            </w:r>
            <w:r>
              <w:rPr>
                <w:szCs w:val="24"/>
              </w:rPr>
              <w:t>Paiements compensatoires pour les zones soumises à des contraintes naturelles (ZSCN)</w:t>
            </w:r>
          </w:p>
          <w:p w:rsidR="0035701C" w:rsidRDefault="00FB561B" w:rsidP="00FB561B">
            <w:pPr>
              <w:numPr>
                <w:ilvl w:val="0"/>
                <w:numId w:val="915"/>
              </w:numPr>
              <w:spacing w:before="0" w:after="240"/>
              <w:ind w:hanging="210"/>
              <w:jc w:val="left"/>
              <w:rPr>
                <w:szCs w:val="24"/>
              </w:rPr>
            </w:pPr>
            <w:r>
              <w:rPr>
                <w:szCs w:val="24"/>
              </w:rPr>
              <w:t>13.3 - Paiements compensatoires pour les zones soumises à des contraintes spécifiques (ZSCS)</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szCs w:val="24"/>
              </w:rPr>
              <w:t xml:space="preserve">La mise en oeuvre du nouveau zonage pour le paiement de l’ICHN pour les </w:t>
            </w:r>
            <w:r>
              <w:rPr>
                <w:szCs w:val="24"/>
              </w:rPr>
              <w:t>zones autres que montagne est notifié au niveau national (cf. méthodologie explicitée dans le document du Cadre National relatif à l’ICHN). Ce nouveau zonage désormais en vigueur dans le Programme de développement rural de la Corse (cf. carte suivante) com</w:t>
            </w:r>
            <w:r>
              <w:rPr>
                <w:szCs w:val="24"/>
              </w:rPr>
              <w:t>prend 3 zones :</w:t>
            </w:r>
          </w:p>
          <w:p w:rsidR="0035701C" w:rsidRDefault="00FB561B" w:rsidP="00FB561B">
            <w:pPr>
              <w:numPr>
                <w:ilvl w:val="0"/>
                <w:numId w:val="916"/>
              </w:numPr>
              <w:spacing w:before="240" w:after="0"/>
              <w:ind w:hanging="210"/>
              <w:jc w:val="left"/>
              <w:rPr>
                <w:szCs w:val="24"/>
              </w:rPr>
            </w:pPr>
            <w:r>
              <w:rPr>
                <w:szCs w:val="24"/>
              </w:rPr>
              <w:t>Communes en zones de montagne : 337 communes</w:t>
            </w:r>
          </w:p>
          <w:p w:rsidR="0035701C" w:rsidRDefault="00FB561B" w:rsidP="00FB561B">
            <w:pPr>
              <w:numPr>
                <w:ilvl w:val="0"/>
                <w:numId w:val="916"/>
              </w:numPr>
              <w:spacing w:before="0" w:after="0"/>
              <w:ind w:hanging="210"/>
              <w:jc w:val="left"/>
              <w:rPr>
                <w:szCs w:val="24"/>
              </w:rPr>
            </w:pPr>
            <w:r>
              <w:rPr>
                <w:szCs w:val="24"/>
              </w:rPr>
              <w:t>Communes en zones soumises à des contraintes naturelles (ZSCN) : 22 communes sont classées par des critères biophysiques : AJACCIO, BASTIA, BIGUGLIA, BORGO , CALVI, CANALE-DI-VERDE, CERVIONE, FUR</w:t>
            </w:r>
            <w:r>
              <w:rPr>
                <w:szCs w:val="24"/>
              </w:rPr>
              <w:t>IANI, GHISONACCIA, L'ÎLE-ROUSSE, LUCCIANA, PENTA-DI-CASINCA, POGGIO-MEZZANA , SORBO-OCAGNANO, SAINT-FLORENT,  SAN-GIULIANO, SANTA-LUCIA-DI-MORIANI, SANTA-MARIA-POGGIO, SAN-NICOLAO, TAGLIO-ISOLACCIO, TALASANI, VALLE-DI-CAMPOLORO.</w:t>
            </w:r>
          </w:p>
          <w:p w:rsidR="0035701C" w:rsidRDefault="00FB561B" w:rsidP="00FB561B">
            <w:pPr>
              <w:numPr>
                <w:ilvl w:val="0"/>
                <w:numId w:val="916"/>
              </w:numPr>
              <w:spacing w:before="0" w:after="240"/>
              <w:ind w:hanging="210"/>
              <w:jc w:val="left"/>
              <w:rPr>
                <w:szCs w:val="24"/>
              </w:rPr>
            </w:pPr>
            <w:r>
              <w:rPr>
                <w:szCs w:val="24"/>
              </w:rPr>
              <w:t xml:space="preserve">Communes en zones soumises </w:t>
            </w:r>
            <w:r>
              <w:rPr>
                <w:szCs w:val="24"/>
              </w:rPr>
              <w:t>à des contraintes spécifiques : 5 communes sont classées par des critères spécifiques : ALERIA, CASTELLARE-DI-CASINCA, LINGUIZZETTA, VENZOLASCA et  VESCOVATO</w:t>
            </w:r>
          </w:p>
          <w:p w:rsidR="0035701C" w:rsidRDefault="00FB561B">
            <w:pPr>
              <w:spacing w:before="240" w:after="240"/>
              <w:jc w:val="left"/>
              <w:rPr>
                <w:szCs w:val="24"/>
              </w:rPr>
            </w:pPr>
            <w:r>
              <w:rPr>
                <w:szCs w:val="24"/>
              </w:rPr>
              <w:t>La nouvelle délimitation entraine la répartition de la SAU suivante (source Document du Cadre Nati</w:t>
            </w:r>
            <w:r>
              <w:rPr>
                <w:szCs w:val="24"/>
              </w:rPr>
              <w:t>onal V7.0) :</w:t>
            </w:r>
          </w:p>
          <w:tbl>
            <w:tblPr>
              <w:tblW w:w="7485" w:type="dxa"/>
              <w:tblCellSpacing w:w="8" w:type="dxa"/>
              <w:tblBorders>
                <w:top w:val="outset" w:sz="6" w:space="0" w:color="808080"/>
                <w:left w:val="outset" w:sz="6" w:space="0" w:color="808080"/>
                <w:bottom w:val="outset" w:sz="6" w:space="0" w:color="808080"/>
                <w:right w:val="outset" w:sz="6" w:space="0" w:color="808080"/>
              </w:tblBorders>
              <w:tblCellMar>
                <w:top w:w="15" w:type="dxa"/>
                <w:left w:w="15" w:type="dxa"/>
                <w:bottom w:w="15" w:type="dxa"/>
                <w:right w:w="15" w:type="dxa"/>
              </w:tblCellMar>
              <w:tblLook w:val="04A0" w:firstRow="1" w:lastRow="0" w:firstColumn="1" w:lastColumn="0" w:noHBand="0" w:noVBand="1"/>
            </w:tblPr>
            <w:tblGrid>
              <w:gridCol w:w="1576"/>
              <w:gridCol w:w="2230"/>
              <w:gridCol w:w="2239"/>
              <w:gridCol w:w="1370"/>
            </w:tblGrid>
            <w:tr w:rsidR="0035701C">
              <w:trPr>
                <w:tblCellSpacing w:w="8" w:type="dxa"/>
              </w:trPr>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 </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art 32.1b_ZSCN</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art. 32.1c_ZSCS</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Total</w:t>
                  </w:r>
                </w:p>
              </w:tc>
            </w:tr>
            <w:tr w:rsidR="0035701C">
              <w:trPr>
                <w:tblCellSpacing w:w="8" w:type="dxa"/>
              </w:trPr>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SAU Corse</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12 509 ha</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7 899 ha</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19 958 ha</w:t>
                  </w:r>
                </w:p>
              </w:tc>
            </w:tr>
          </w:tbl>
          <w:p w:rsidR="0035701C" w:rsidRDefault="00FB561B">
            <w:pPr>
              <w:spacing w:before="240" w:after="240"/>
              <w:jc w:val="left"/>
              <w:rPr>
                <w:szCs w:val="24"/>
              </w:rPr>
            </w:pPr>
            <w:r>
              <w:rPr>
                <w:szCs w:val="24"/>
              </w:rPr>
              <w:t xml:space="preserve">Par ailleurs, le classement en "zone sèche" qui concerne les zones de montagne et les autres zones se fait sur la base des critères suivants : sols karstiques, </w:t>
            </w:r>
            <w:r>
              <w:rPr>
                <w:szCs w:val="24"/>
              </w:rPr>
              <w:t>(donc ne retenant pas l’eau), sécheresse estivale marquée, grande variabilité intra et interannuelle du climat, faible croît de la biomasse, prédominance de l’élevage ovin. La zone sèche française a fait l’état en 1985 et 1986 de classement par arrêtés int</w:t>
            </w:r>
            <w:r>
              <w:rPr>
                <w:szCs w:val="24"/>
              </w:rPr>
              <w:t>erministériels sur la base d’études de terrains.</w:t>
            </w:r>
          </w:p>
          <w:p w:rsidR="0035701C" w:rsidRDefault="00FB561B">
            <w:pPr>
              <w:spacing w:before="240" w:after="240"/>
              <w:jc w:val="left"/>
              <w:rPr>
                <w:szCs w:val="24"/>
              </w:rPr>
            </w:pPr>
            <w:r>
              <w:rPr>
                <w:szCs w:val="24"/>
              </w:rPr>
              <w:t>Les montants prévus par zone correspondent au tableau joint.</w:t>
            </w:r>
          </w:p>
          <w:p w:rsidR="0035701C" w:rsidRDefault="00FB561B">
            <w:pPr>
              <w:spacing w:before="240" w:after="240"/>
              <w:jc w:val="left"/>
              <w:rPr>
                <w:szCs w:val="24"/>
              </w:rPr>
            </w:pPr>
            <w:r>
              <w:rPr>
                <w:szCs w:val="24"/>
              </w:rPr>
              <w:t> </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5853962" cy="8280400"/>
                  <wp:effectExtent l="0" t="0" r="0" b="0"/>
                  <wp:docPr id="100312" name="Image 100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13" name=""/>
                          <pic:cNvPicPr>
                            <a:picLocks noChangeAspect="1"/>
                          </pic:cNvPicPr>
                        </pic:nvPicPr>
                        <pic:blipFill>
                          <a:blip r:embed="rId159"/>
                          <a:stretch>
                            <a:fillRect/>
                          </a:stretch>
                        </pic:blipFill>
                        <pic:spPr>
                          <a:xfrm>
                            <a:off x="0" y="0"/>
                            <a:ext cx="5853962" cy="8280400"/>
                          </a:xfrm>
                          <a:prstGeom prst="rect">
                            <a:avLst/>
                          </a:prstGeom>
                        </pic:spPr>
                      </pic:pic>
                    </a:graphicData>
                  </a:graphic>
                </wp:inline>
              </w:drawing>
            </w:r>
          </w:p>
          <w:p w:rsidR="0035701C" w:rsidRDefault="00FB561B">
            <w:pPr>
              <w:pStyle w:val="Pieddepage"/>
              <w:jc w:val="center"/>
            </w:pPr>
            <w:r>
              <w:t>zonage ICHN 2019</w:t>
            </w:r>
          </w:p>
          <w:p w:rsidR="0035701C" w:rsidRDefault="0035701C">
            <w:pPr>
              <w:pStyle w:val="Pieddepage"/>
              <w:jc w:val="center"/>
            </w:pPr>
          </w:p>
        </w:tc>
      </w:tr>
    </w:tbl>
    <w:p w:rsidR="0035701C" w:rsidRDefault="00FB561B">
      <w:pPr>
        <w:pStyle w:val="Titre4"/>
        <w:jc w:val="left"/>
      </w:pPr>
      <w:r>
        <w:t>Portée, niveau du soutien, bénéficiaires admissibles et, le cas échéant, méthodologie pour le calcul du montant ou du taux</w:t>
      </w:r>
      <w:r>
        <w:t xml:space="preserve"> d'aide selon une ventilation par sous-mesure et/ou type d'opération, si nécessaire. Pour chaque type d'opération, spécification des coûts admissibles, des conditions d'admissibilité, des montants et taux d'aide applicables et des principes en matière de d</w:t>
      </w:r>
      <w:r>
        <w:t>éfinition des critères de sélection</w:t>
      </w:r>
    </w:p>
    <w:p w:rsidR="0035701C" w:rsidRDefault="00FB561B">
      <w:pPr>
        <w:pStyle w:val="Titre5"/>
        <w:rPr>
          <w:b w:val="0"/>
        </w:rPr>
      </w:pPr>
      <w:r>
        <w:rPr>
          <w:b w:val="0"/>
        </w:rPr>
        <w:t>13.1- ICHN-Montagne</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917"/>
              </w:numPr>
            </w:pPr>
            <w:r>
              <w:t>13.1 – Paiement d'indemnités en faveur des zones de montagne</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Sous-titre complet de l’opération : ICHN-Montagne = Indemnités en zone de montagne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xml:space="preserve">La </w:t>
            </w:r>
            <w:r>
              <w:rPr>
                <w:szCs w:val="24"/>
              </w:rPr>
              <w:t>mesure a pour objet la mise en œuvre des paiements de l’ICHN en faveur des zones de montagne.</w:t>
            </w:r>
          </w:p>
          <w:p w:rsidR="0035701C" w:rsidRDefault="00FB561B">
            <w:pPr>
              <w:spacing w:before="240" w:after="240"/>
              <w:jc w:val="left"/>
              <w:rPr>
                <w:szCs w:val="24"/>
              </w:rPr>
            </w:pPr>
            <w:r>
              <w:rPr>
                <w:szCs w:val="24"/>
              </w:rPr>
              <w:t>Les exploitations agricoles des zones de montagne sont majoritairement de taille économique modeste et spécialisées en élevage et/ou en arboriculture extensive tr</w:t>
            </w:r>
            <w:r>
              <w:rPr>
                <w:szCs w:val="24"/>
              </w:rPr>
              <w:t>aditionnelle. Dans cette zone, 65 % des exploitations ont un cheptel bovin allaitant, 26% un cheptel ovin/caprin majoritaire et 17% sont en polyculture (arboriculture traditionnelle à faible densité d’arbres : châtaigniers, oliviers). Ces exploitations fon</w:t>
            </w:r>
            <w:r>
              <w:rPr>
                <w:szCs w:val="24"/>
              </w:rPr>
              <w:t>t face à des coûts structurels importants liés à des conditions climatiques difficiles et de fortes pentes. Le maintien de ces exploitations est particulièrement important pour, d’une part assurer une occupation équilibrée du territoire et, d’autre part, p</w:t>
            </w:r>
            <w:r>
              <w:rPr>
                <w:szCs w:val="24"/>
              </w:rPr>
              <w:t>réserver l’environnement. En effet, l’utilisation des terres permet de limiter l’enfrichement et la fermeture des paysages. De plus, les pratiques d’élevage garantissent l’entretien des surfaces en herbe dont les effets positifs sur l’environnement sont no</w:t>
            </w:r>
            <w:r>
              <w:rPr>
                <w:szCs w:val="24"/>
              </w:rPr>
              <w:t>mbreux : préservation de la biodiversité, protection contre l’érosion, stockage de carbone. En ce sens, cette sous-mesure est ciblée sur le domaine prioritaire 4a) et répond au besoin n°32 « Préserver le bon état de l'environnement, assurer le renouvelleme</w:t>
            </w:r>
            <w:r>
              <w:rPr>
                <w:szCs w:val="24"/>
              </w:rPr>
              <w:t>nt des ressources naturelles et prévenir le risque incendie.»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En compensant en partie les surcoûts liés aux contraintes naturelles, l’ICHN permet de maintenir une activité agricole en montagne et apporte une réponse économique aux enjeux de ces territoir</w:t>
            </w:r>
            <w:r>
              <w:rPr>
                <w:szCs w:val="24"/>
              </w:rPr>
              <w:t>es fortement contraints, ce qui répond à la fois aux besoins n°15 « Compenser les handicaps naturels liés à la montagne, au climat et à l'insularité», et n°33 « Maintenir une occupation du territoire et favoriser le lien social ». De plus cette compensatio</w:t>
            </w:r>
            <w:r>
              <w:rPr>
                <w:szCs w:val="24"/>
              </w:rPr>
              <w:t>n partielle des surcoûts permet de maintenir des capacités d’investissement dans ces systèmes d’exploitation ce qui répond au besoin n°13 «Encourager la restructuration des unités d’élevage et favoriser la reconquête et la gestion des parcours pastoraux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u w:val="single"/>
              </w:rPr>
              <w:t>Engagements du bénéficiaire :</w:t>
            </w:r>
          </w:p>
          <w:p w:rsidR="0035701C" w:rsidRDefault="00FB561B" w:rsidP="00FB561B">
            <w:pPr>
              <w:numPr>
                <w:ilvl w:val="0"/>
                <w:numId w:val="918"/>
              </w:numPr>
              <w:spacing w:before="240" w:after="0"/>
              <w:ind w:hanging="210"/>
              <w:jc w:val="left"/>
              <w:rPr>
                <w:szCs w:val="24"/>
              </w:rPr>
            </w:pPr>
            <w:r>
              <w:rPr>
                <w:szCs w:val="24"/>
              </w:rPr>
              <w:t xml:space="preserve">Pour l’ensemble des exploitations d’élevage (ovins, bovins, équidés) bénéficiant de l’ICHN afférente aux surfaces fourragères : </w:t>
            </w:r>
          </w:p>
          <w:p w:rsidR="0035701C" w:rsidRDefault="00FB561B" w:rsidP="00FB561B">
            <w:pPr>
              <w:numPr>
                <w:ilvl w:val="1"/>
                <w:numId w:val="918"/>
              </w:numPr>
              <w:spacing w:before="0" w:after="0"/>
              <w:ind w:hanging="244"/>
              <w:jc w:val="left"/>
              <w:rPr>
                <w:szCs w:val="24"/>
              </w:rPr>
            </w:pPr>
            <w:r>
              <w:rPr>
                <w:szCs w:val="24"/>
              </w:rPr>
              <w:t xml:space="preserve">Tenue du carnet d’étable, tenir à jour les entrées (naissance) et sorties (vente en vif ou </w:t>
            </w:r>
            <w:r>
              <w:rPr>
                <w:szCs w:val="24"/>
              </w:rPr>
              <w:t>passage à l’abattoir) des animaux.</w:t>
            </w:r>
          </w:p>
          <w:p w:rsidR="0035701C" w:rsidRDefault="00FB561B" w:rsidP="00FB561B">
            <w:pPr>
              <w:numPr>
                <w:ilvl w:val="0"/>
                <w:numId w:val="918"/>
              </w:numPr>
              <w:spacing w:before="0" w:after="0"/>
              <w:ind w:hanging="210"/>
              <w:jc w:val="left"/>
              <w:rPr>
                <w:szCs w:val="24"/>
              </w:rPr>
            </w:pPr>
            <w:r>
              <w:rPr>
                <w:szCs w:val="24"/>
              </w:rPr>
              <w:t xml:space="preserve">Pour les exploitations bénéficiaires de l’ICHN pour les surfaces de chênaies et de châtaigneraies entretenues par des animaux commercialisés : </w:t>
            </w:r>
          </w:p>
          <w:p w:rsidR="0035701C" w:rsidRDefault="00FB561B" w:rsidP="00FB561B">
            <w:pPr>
              <w:numPr>
                <w:ilvl w:val="1"/>
                <w:numId w:val="918"/>
              </w:numPr>
              <w:spacing w:before="0" w:after="0"/>
              <w:ind w:hanging="244"/>
              <w:jc w:val="left"/>
              <w:rPr>
                <w:szCs w:val="24"/>
              </w:rPr>
            </w:pPr>
            <w:r>
              <w:rPr>
                <w:szCs w:val="24"/>
              </w:rPr>
              <w:t>Tenue du carnet d’étable, tenir à jour les entrées (naissance) et sorties (ve</w:t>
            </w:r>
            <w:r>
              <w:rPr>
                <w:szCs w:val="24"/>
              </w:rPr>
              <w:t>nte en vif ou passage à l’abattoir) des animaux.</w:t>
            </w:r>
          </w:p>
          <w:p w:rsidR="0035701C" w:rsidRDefault="00FB561B" w:rsidP="00FB561B">
            <w:pPr>
              <w:numPr>
                <w:ilvl w:val="1"/>
                <w:numId w:val="918"/>
              </w:numPr>
              <w:spacing w:before="0" w:after="0"/>
              <w:ind w:hanging="244"/>
              <w:jc w:val="left"/>
              <w:rPr>
                <w:szCs w:val="24"/>
              </w:rPr>
            </w:pPr>
            <w:r>
              <w:rPr>
                <w:szCs w:val="24"/>
              </w:rPr>
              <w:t>Identification pérenne et généralisée des animaux au sevrage, identification par pose de boucle aux animaux dès le sevrage.</w:t>
            </w:r>
          </w:p>
          <w:p w:rsidR="0035701C" w:rsidRDefault="00FB561B" w:rsidP="00FB561B">
            <w:pPr>
              <w:numPr>
                <w:ilvl w:val="1"/>
                <w:numId w:val="918"/>
              </w:numPr>
              <w:spacing w:before="0" w:after="0"/>
              <w:ind w:hanging="244"/>
              <w:jc w:val="left"/>
              <w:rPr>
                <w:szCs w:val="24"/>
              </w:rPr>
            </w:pPr>
            <w:r>
              <w:rPr>
                <w:szCs w:val="24"/>
              </w:rPr>
              <w:t>Les surfaces de finition doivent être clôturées.</w:t>
            </w:r>
          </w:p>
          <w:p w:rsidR="0035701C" w:rsidRDefault="00FB561B" w:rsidP="00FB561B">
            <w:pPr>
              <w:numPr>
                <w:ilvl w:val="1"/>
                <w:numId w:val="918"/>
              </w:numPr>
              <w:spacing w:before="0" w:after="240"/>
              <w:ind w:hanging="244"/>
              <w:jc w:val="left"/>
              <w:rPr>
                <w:szCs w:val="24"/>
              </w:rPr>
            </w:pPr>
            <w:r>
              <w:rPr>
                <w:szCs w:val="24"/>
              </w:rPr>
              <w:t xml:space="preserve">Le port de fer aux nasaux est </w:t>
            </w:r>
            <w:r>
              <w:rPr>
                <w:szCs w:val="24"/>
              </w:rPr>
              <w:t>obligatoire pour l’ensemble des animaux (anneaux, autres…).</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surfacique accordée annuellement aux agriculteurs situés dans des zones de montagne.</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pertes de reven</w:t>
            </w:r>
            <w:r>
              <w:rPr>
                <w:szCs w:val="24"/>
              </w:rPr>
              <w:t>us sont calculées par rapport à des zones qui ne sont pas touchées par des contraintes naturelles ou d'autres contraintes spécifiques, en tenant compte des paiements versés en vertu du titre III, chapitre 3, du Règlement (UE) n° 1307/2013.</w:t>
            </w:r>
          </w:p>
          <w:p w:rsidR="0035701C" w:rsidRDefault="00FB561B">
            <w:pPr>
              <w:spacing w:before="240" w:after="240"/>
              <w:jc w:val="left"/>
              <w:rPr>
                <w:szCs w:val="24"/>
              </w:rPr>
            </w:pPr>
            <w:r>
              <w:rPr>
                <w:szCs w:val="24"/>
              </w:rPr>
              <w:t>La notion de « s</w:t>
            </w:r>
            <w:r>
              <w:rPr>
                <w:szCs w:val="24"/>
              </w:rPr>
              <w:t>urfaces agricoles » renvoie à l’article 4 du règlement (UE) n°1307/2013.</w:t>
            </w:r>
          </w:p>
          <w:p w:rsidR="0035701C" w:rsidRDefault="00FB561B">
            <w:pPr>
              <w:spacing w:before="240" w:after="240"/>
              <w:jc w:val="left"/>
              <w:rPr>
                <w:szCs w:val="24"/>
              </w:rPr>
            </w:pPr>
            <w:r>
              <w:rPr>
                <w:szCs w:val="24"/>
              </w:rPr>
              <w:t>La notion d'« agriculteur actif » renvoie à l'article 9 du règlement (UE) n° 1307/2013.</w:t>
            </w:r>
          </w:p>
          <w:p w:rsidR="0035701C" w:rsidRDefault="00FB561B">
            <w:pPr>
              <w:spacing w:before="240" w:after="240"/>
              <w:jc w:val="left"/>
              <w:rPr>
                <w:szCs w:val="24"/>
              </w:rPr>
            </w:pPr>
            <w:r>
              <w:rPr>
                <w:szCs w:val="24"/>
              </w:rPr>
              <w:t>Les bénéficiaires doivent respecter les règles liées à la conditionnalité en vertu de l’article</w:t>
            </w:r>
            <w:r>
              <w:rPr>
                <w:szCs w:val="24"/>
              </w:rPr>
              <w:t xml:space="preserve"> 93 du règlement (UE) n°1306/2013.</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Personne physique ou morale exerçant une activité agricole.</w:t>
            </w:r>
          </w:p>
          <w:p w:rsidR="0035701C" w:rsidRDefault="00FB561B">
            <w:pPr>
              <w:spacing w:before="240" w:after="240"/>
              <w:jc w:val="left"/>
              <w:rPr>
                <w:szCs w:val="24"/>
              </w:rPr>
            </w:pPr>
            <w:r>
              <w:rPr>
                <w:szCs w:val="24"/>
              </w:rPr>
              <w:t>Les paiements sont accordés aux agriculteurs actifs au sens de l'article 9 du Règlement (UE) n°1307/2013.</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éligibles</w:t>
            </w:r>
            <w:r>
              <w:rPr>
                <w:szCs w:val="24"/>
              </w:rPr>
              <w:t xml:space="preserve"> sont les coûts supplémentaires et les pertes de revenu liées aux contraintes des zones de montagne. Ces pertes de revenu sont évaluées sur la base des différences entre les revenus moyens des exploitations de montagne et des zones non défavorisées. Ces él</w:t>
            </w:r>
            <w:r>
              <w:rPr>
                <w:szCs w:val="24"/>
              </w:rPr>
              <w:t>éments sont présentés en annexe (Annexe M13).</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Eligibilité du demandeur</w:t>
            </w:r>
            <w:r>
              <w:rPr>
                <w:szCs w:val="24"/>
              </w:rPr>
              <w:t> :</w:t>
            </w:r>
          </w:p>
          <w:p w:rsidR="0035701C" w:rsidRDefault="00FB561B" w:rsidP="00FB561B">
            <w:pPr>
              <w:numPr>
                <w:ilvl w:val="0"/>
                <w:numId w:val="919"/>
              </w:numPr>
              <w:spacing w:before="240" w:after="240"/>
              <w:ind w:hanging="244"/>
              <w:jc w:val="left"/>
              <w:rPr>
                <w:szCs w:val="24"/>
              </w:rPr>
            </w:pPr>
            <w:r>
              <w:rPr>
                <w:szCs w:val="24"/>
              </w:rPr>
              <w:t>relevant de l’exploitation</w:t>
            </w:r>
          </w:p>
          <w:p w:rsidR="0035701C" w:rsidRDefault="00FB561B" w:rsidP="00FB561B">
            <w:pPr>
              <w:numPr>
                <w:ilvl w:val="0"/>
                <w:numId w:val="920"/>
              </w:numPr>
              <w:spacing w:before="240" w:after="0"/>
              <w:ind w:hanging="210"/>
              <w:jc w:val="left"/>
              <w:rPr>
                <w:szCs w:val="24"/>
              </w:rPr>
            </w:pPr>
            <w:r>
              <w:rPr>
                <w:szCs w:val="24"/>
              </w:rPr>
              <w:t xml:space="preserve">Pour les surfaces fourragères : détenir un cheptel en production animale d’au moins 3 UGB valorisant principalement ces </w:t>
            </w:r>
            <w:r>
              <w:rPr>
                <w:szCs w:val="24"/>
              </w:rPr>
              <w:t>espaces avec au moins 3 ha de surfaces fourragères éligibles.</w:t>
            </w:r>
          </w:p>
          <w:p w:rsidR="0035701C" w:rsidRDefault="00FB561B" w:rsidP="00FB561B">
            <w:pPr>
              <w:numPr>
                <w:ilvl w:val="0"/>
                <w:numId w:val="920"/>
              </w:numPr>
              <w:spacing w:before="0" w:after="240"/>
              <w:ind w:hanging="210"/>
              <w:jc w:val="left"/>
              <w:rPr>
                <w:szCs w:val="24"/>
              </w:rPr>
            </w:pPr>
            <w:r>
              <w:rPr>
                <w:szCs w:val="24"/>
              </w:rPr>
              <w:t>Pour les surfaces cultivées destinées à la commercialisation, y compris les chênaies et les châtaigneraies entretenues par des animaux commercialisés, détenir au moins 1 ha en culture éligible e</w:t>
            </w:r>
            <w:r>
              <w:rPr>
                <w:szCs w:val="24"/>
              </w:rPr>
              <w:t>t s’il s’agit de surfaces entretenues par des animaux commercialisés, détenir au moins 3 UGB  valorisant principalement ces espaces.</w:t>
            </w:r>
          </w:p>
          <w:p w:rsidR="0035701C" w:rsidRDefault="00FB561B">
            <w:pPr>
              <w:spacing w:before="240" w:after="240"/>
              <w:ind w:left="720"/>
              <w:jc w:val="left"/>
              <w:rPr>
                <w:szCs w:val="24"/>
              </w:rPr>
            </w:pPr>
            <w:r>
              <w:rPr>
                <w:szCs w:val="24"/>
              </w:rPr>
              <w:t>Ces critères permettent notamment de garantir un niveau minimum d’entretien des terres dans les systèmes de conduite (cf. A</w:t>
            </w:r>
            <w:r>
              <w:rPr>
                <w:szCs w:val="24"/>
              </w:rPr>
              <w:t>nnexe M13 § 2).</w:t>
            </w:r>
          </w:p>
          <w:p w:rsidR="0035701C" w:rsidRDefault="00FB561B" w:rsidP="00FB561B">
            <w:pPr>
              <w:numPr>
                <w:ilvl w:val="0"/>
                <w:numId w:val="921"/>
              </w:numPr>
              <w:spacing w:before="240" w:after="240"/>
              <w:ind w:hanging="244"/>
              <w:jc w:val="left"/>
              <w:rPr>
                <w:szCs w:val="24"/>
              </w:rPr>
            </w:pPr>
            <w:r>
              <w:rPr>
                <w:szCs w:val="24"/>
              </w:rPr>
              <w:t>Relevant de l’exploitant:</w:t>
            </w:r>
          </w:p>
          <w:p w:rsidR="0035701C" w:rsidRDefault="00FB561B" w:rsidP="00FB561B">
            <w:pPr>
              <w:numPr>
                <w:ilvl w:val="0"/>
                <w:numId w:val="922"/>
              </w:numPr>
              <w:spacing w:before="240" w:after="240"/>
              <w:ind w:hanging="210"/>
              <w:jc w:val="left"/>
              <w:rPr>
                <w:szCs w:val="24"/>
              </w:rPr>
            </w:pPr>
            <w:r>
              <w:rPr>
                <w:szCs w:val="24"/>
              </w:rPr>
              <w:t>Être un agriculteur actif,</w:t>
            </w:r>
          </w:p>
          <w:p w:rsidR="0035701C" w:rsidRDefault="00FB561B" w:rsidP="00FB561B">
            <w:pPr>
              <w:numPr>
                <w:ilvl w:val="0"/>
                <w:numId w:val="923"/>
              </w:numPr>
              <w:spacing w:before="240" w:after="0"/>
              <w:ind w:hanging="210"/>
              <w:jc w:val="left"/>
              <w:rPr>
                <w:szCs w:val="24"/>
              </w:rPr>
            </w:pPr>
            <w:r>
              <w:rPr>
                <w:szCs w:val="24"/>
              </w:rPr>
              <w:t xml:space="preserve">Un GAEC (groupement agricole d’exploitation en commun) est éligible à l’indemnité avec une dégressivité de l’aide appliquée au niveau des membres éligibles du GAEC selon les conditions </w:t>
            </w:r>
            <w:r>
              <w:rPr>
                <w:szCs w:val="24"/>
              </w:rPr>
              <w:t>prévues à l'article 31.4 du règlement 1305/2013.</w:t>
            </w:r>
          </w:p>
          <w:p w:rsidR="0035701C" w:rsidRDefault="00FB561B" w:rsidP="00FB561B">
            <w:pPr>
              <w:numPr>
                <w:ilvl w:val="0"/>
                <w:numId w:val="923"/>
              </w:numPr>
              <w:spacing w:before="0" w:after="240"/>
              <w:ind w:hanging="210"/>
              <w:jc w:val="left"/>
              <w:rPr>
                <w:szCs w:val="24"/>
              </w:rPr>
            </w:pPr>
            <w:r>
              <w:rPr>
                <w:szCs w:val="24"/>
              </w:rPr>
              <w:t>Les autres exploitations agricoles de forme sociétaire qui respectent les conditions d'éligibilité peuvent bénéficier de l’indemnité dans la limite d’un plafond dès lors qu'au moins un associé exploitant rem</w:t>
            </w:r>
            <w:r>
              <w:rPr>
                <w:szCs w:val="24"/>
              </w:rPr>
              <w:t>plit les conditions d’éligibilité à l'aide.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u w:val="single"/>
              </w:rPr>
              <w:t>Éligibilité des surfaces</w:t>
            </w:r>
            <w:r>
              <w:rPr>
                <w:szCs w:val="24"/>
              </w:rPr>
              <w:t xml:space="preserve"> </w:t>
            </w:r>
            <w:r>
              <w:rPr>
                <w:szCs w:val="24"/>
                <w:u w:val="single"/>
              </w:rPr>
              <w:t>:</w:t>
            </w:r>
          </w:p>
          <w:p w:rsidR="0035701C" w:rsidRDefault="00FB561B">
            <w:pPr>
              <w:spacing w:before="240" w:after="240"/>
              <w:jc w:val="left"/>
              <w:rPr>
                <w:szCs w:val="24"/>
              </w:rPr>
            </w:pPr>
            <w:r>
              <w:rPr>
                <w:szCs w:val="24"/>
              </w:rPr>
              <w:t>Les surfaces retenues pour le calcul de l’indemnité sont :</w:t>
            </w:r>
          </w:p>
          <w:p w:rsidR="0035701C" w:rsidRDefault="00FB561B" w:rsidP="00FB561B">
            <w:pPr>
              <w:numPr>
                <w:ilvl w:val="0"/>
                <w:numId w:val="924"/>
              </w:numPr>
              <w:spacing w:before="240" w:after="0"/>
              <w:ind w:hanging="210"/>
              <w:jc w:val="left"/>
              <w:rPr>
                <w:szCs w:val="24"/>
              </w:rPr>
            </w:pPr>
            <w:r>
              <w:rPr>
                <w:szCs w:val="24"/>
              </w:rPr>
              <w:t>les surfaces fourragères situées en zone de montagne à savoir les prairies, parcours, landes, estives, plantes fourragères a</w:t>
            </w:r>
            <w:r>
              <w:rPr>
                <w:szCs w:val="24"/>
              </w:rPr>
              <w:t>nnuelles, céréales et protéagineux consommés par les animaux (ruminants) de l’exploitation ainsi que les surfaces fourragères en pâturage collectif déclarées par les entités collectives pour la part correspondante utilisée par le demandeur.</w:t>
            </w:r>
          </w:p>
          <w:p w:rsidR="0035701C" w:rsidRDefault="00FB561B" w:rsidP="00FB561B">
            <w:pPr>
              <w:numPr>
                <w:ilvl w:val="0"/>
                <w:numId w:val="924"/>
              </w:numPr>
              <w:spacing w:before="0" w:after="240"/>
              <w:ind w:hanging="210"/>
              <w:jc w:val="left"/>
              <w:rPr>
                <w:szCs w:val="24"/>
              </w:rPr>
            </w:pPr>
            <w:r>
              <w:rPr>
                <w:szCs w:val="24"/>
              </w:rPr>
              <w:t>les surfaces cu</w:t>
            </w:r>
            <w:r>
              <w:rPr>
                <w:szCs w:val="24"/>
              </w:rPr>
              <w:t>ltivées destinées à la commercialisation, y compris les chênaies et les châtaigneraies entretenues par des animaux commercialisés.</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 </w:t>
            </w:r>
            <w:r>
              <w:rPr>
                <w:szCs w:val="24"/>
              </w:rPr>
              <w:t>taux d’aide publique est de 100%.</w:t>
            </w:r>
          </w:p>
          <w:p w:rsidR="0035701C" w:rsidRDefault="00FB561B">
            <w:pPr>
              <w:spacing w:before="240" w:after="240"/>
              <w:jc w:val="left"/>
              <w:rPr>
                <w:szCs w:val="24"/>
              </w:rPr>
            </w:pPr>
            <w:r>
              <w:rPr>
                <w:szCs w:val="24"/>
              </w:rPr>
              <w:t>Les montants unitaires sont compris dans la fourchette précisée à l’annexe II du R(UE)1305/2013 soit entre 25 et 450€/ha ; ils correspondent à une compensation partielle des surcoûts et pertes de revenu en zone de montagne</w:t>
            </w:r>
            <w:r>
              <w:rPr>
                <w:szCs w:val="24"/>
              </w:rPr>
              <w: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L’ICHN est versée dans la limite de 50ha de surfaces admissibles. Les montants d’aides à l’hectare sont précisés dans le tableau : 13.1- ICHN-ZM.</w:t>
            </w:r>
          </w:p>
          <w:p w:rsidR="0035701C" w:rsidRDefault="00FB561B">
            <w:pPr>
              <w:spacing w:before="240" w:after="240"/>
              <w:jc w:val="left"/>
              <w:rPr>
                <w:szCs w:val="24"/>
              </w:rPr>
            </w:pPr>
            <w:r>
              <w:rPr>
                <w:szCs w:val="24"/>
              </w:rPr>
              <w:t xml:space="preserve">L’aide est dégressive au-delà des 25 premiers ha de surfaces primables, afin d'ajuster les montants reçus </w:t>
            </w:r>
            <w:r>
              <w:rPr>
                <w:szCs w:val="24"/>
              </w:rPr>
              <w:t>à l'intensité des contraintes subies par l'exploitation. Ces montants sont diminués d’1/3 du 26 ème au 50ème ha primé.</w:t>
            </w:r>
          </w:p>
          <w:p w:rsidR="0035701C" w:rsidRDefault="00FB561B">
            <w:pPr>
              <w:spacing w:before="240" w:after="240"/>
              <w:jc w:val="left"/>
              <w:rPr>
                <w:szCs w:val="24"/>
              </w:rPr>
            </w:pPr>
            <w:r>
              <w:rPr>
                <w:szCs w:val="24"/>
              </w:rPr>
              <w:t xml:space="preserve">Par ailleurs, les paiements sont modulés en fonction des systèmes agricoles conformément à l'article 31.1. Ces modulations se basent sur </w:t>
            </w:r>
            <w:r>
              <w:rPr>
                <w:szCs w:val="24"/>
              </w:rPr>
              <w:t>les différences de coûts supplémentaires et de pertes de revenu entre les systèmes agricoles calculées avec les données du Réseau d'Information Comptable (RICA) ainsi que sur les données de l'OP ODARC. La justification et la méthode de calcul de ces modula</w:t>
            </w:r>
            <w:r>
              <w:rPr>
                <w:szCs w:val="24"/>
              </w:rPr>
              <w:t>tions et des montants de la mesure sont décrites en annexe (Annexe M13) :</w:t>
            </w:r>
          </w:p>
          <w:p w:rsidR="0035701C" w:rsidRDefault="00FB561B">
            <w:pPr>
              <w:spacing w:before="240" w:after="240"/>
              <w:jc w:val="left"/>
              <w:rPr>
                <w:szCs w:val="24"/>
              </w:rPr>
            </w:pPr>
            <w:r>
              <w:rPr>
                <w:b/>
                <w:bCs/>
                <w:szCs w:val="24"/>
              </w:rPr>
              <w:t>1 - Majoration pour les élevages en petits ruminants :</w:t>
            </w:r>
          </w:p>
          <w:p w:rsidR="0035701C" w:rsidRDefault="00FB561B">
            <w:pPr>
              <w:spacing w:before="240" w:after="240"/>
              <w:ind w:left="720"/>
              <w:jc w:val="left"/>
              <w:rPr>
                <w:szCs w:val="24"/>
              </w:rPr>
            </w:pPr>
            <w:r>
              <w:rPr>
                <w:szCs w:val="24"/>
              </w:rPr>
              <w:t xml:space="preserve">Les montants sont majorés de 10% lorsque le cheptel de l'exploitant, converti en UGB est constitué à plus de 50% d'ovins ou de </w:t>
            </w:r>
            <w:r>
              <w:rPr>
                <w:szCs w:val="24"/>
              </w:rPr>
              <w:t>caprins.</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b/>
                <w:bCs/>
                <w:szCs w:val="24"/>
              </w:rPr>
              <w:t>2 - Modulation de l'ICHN pour les pluriactifs :</w:t>
            </w:r>
          </w:p>
          <w:p w:rsidR="0035701C" w:rsidRDefault="00FB561B">
            <w:pPr>
              <w:spacing w:before="240" w:after="240"/>
              <w:ind w:left="720"/>
              <w:jc w:val="left"/>
              <w:rPr>
                <w:szCs w:val="24"/>
              </w:rPr>
            </w:pPr>
            <w:r>
              <w:rPr>
                <w:szCs w:val="24"/>
              </w:rPr>
              <w:t>Cette modulation vise à tenir compte du poids des revenus non agricoles afin d'adapter les paiements à la réalité des contraintes subies par les exploitations selon le poids relatif des revenus non</w:t>
            </w:r>
            <w:r>
              <w:rPr>
                <w:szCs w:val="24"/>
              </w:rPr>
              <w:t xml:space="preserve"> agricoles dans le revenu global. Ainsi, les agriculteurs pluriactifs qui ont une activité principale non agricole (RNA &gt; RA) :</w:t>
            </w:r>
          </w:p>
          <w:p w:rsidR="0035701C" w:rsidRDefault="00FB561B" w:rsidP="00FB561B">
            <w:pPr>
              <w:numPr>
                <w:ilvl w:val="0"/>
                <w:numId w:val="925"/>
              </w:numPr>
              <w:spacing w:before="240" w:after="0"/>
              <w:ind w:hanging="210"/>
              <w:jc w:val="left"/>
              <w:rPr>
                <w:szCs w:val="24"/>
              </w:rPr>
            </w:pPr>
            <w:r>
              <w:rPr>
                <w:szCs w:val="24"/>
              </w:rPr>
              <w:t>avec des revenus non agricoles supérieurs à 2 SMIC (RNA &gt; 2 SMIC) ne reçoivent pas de paiement ICHN.</w:t>
            </w:r>
          </w:p>
          <w:p w:rsidR="0035701C" w:rsidRDefault="00FB561B" w:rsidP="00FB561B">
            <w:pPr>
              <w:numPr>
                <w:ilvl w:val="0"/>
                <w:numId w:val="925"/>
              </w:numPr>
              <w:spacing w:before="0" w:after="240"/>
              <w:ind w:hanging="210"/>
              <w:jc w:val="left"/>
              <w:rPr>
                <w:szCs w:val="24"/>
              </w:rPr>
            </w:pPr>
            <w:r>
              <w:rPr>
                <w:szCs w:val="24"/>
              </w:rPr>
              <w:t>Ceux dont les revenus non a</w:t>
            </w:r>
            <w:r>
              <w:rPr>
                <w:szCs w:val="24"/>
              </w:rPr>
              <w:t>gricoles sont compris entre 1 et 2 SMIC (1 SMIC &lt; RNA &lt; 2 SMIC) reçoivent l'ICHN selon un plafond en surfaces primables de 25 ha. Pour justifier et adapter cette dégressivité de l'ICHN à cette catégorie, une étude au plan national évaluera les pertes de re</w:t>
            </w:r>
            <w:r>
              <w:rPr>
                <w:szCs w:val="24"/>
              </w:rPr>
              <w:t>venus supportés par les exploitations pluriactives dont les revenus non agricoles sont compris entre 1 et 2 SMIC en comparant celles situées dans les zones soumises à des contraintes naturelles par rapport à celles situées en zones non soumises à des contr</w:t>
            </w:r>
            <w:r>
              <w:rPr>
                <w:szCs w:val="24"/>
              </w:rPr>
              <w:t>aintes.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3 - Modulation de l'ICHN selon la part de SAU en zones soumises à des contraintes :</w:t>
            </w:r>
          </w:p>
          <w:p w:rsidR="0035701C" w:rsidRDefault="00FB561B">
            <w:pPr>
              <w:spacing w:before="240" w:after="240"/>
              <w:jc w:val="left"/>
              <w:rPr>
                <w:szCs w:val="24"/>
              </w:rPr>
            </w:pPr>
            <w:r>
              <w:rPr>
                <w:szCs w:val="24"/>
              </w:rPr>
              <w:t>Avant 2019, afin d’adapter les paiements à la réalité des contraintes subies :</w:t>
            </w:r>
          </w:p>
          <w:p w:rsidR="0035701C" w:rsidRDefault="00FB561B" w:rsidP="00FB561B">
            <w:pPr>
              <w:numPr>
                <w:ilvl w:val="0"/>
                <w:numId w:val="926"/>
              </w:numPr>
              <w:spacing w:before="240" w:after="0"/>
              <w:ind w:hanging="210"/>
              <w:jc w:val="left"/>
              <w:rPr>
                <w:szCs w:val="24"/>
              </w:rPr>
            </w:pPr>
            <w:r>
              <w:rPr>
                <w:szCs w:val="24"/>
              </w:rPr>
              <w:t xml:space="preserve">les exploitants dont la part de SAU située en zones défavorisées est supérieure ou </w:t>
            </w:r>
            <w:r>
              <w:rPr>
                <w:szCs w:val="24"/>
              </w:rPr>
              <w:t>égale à 50 % mais inférieure à 80 % reçoivent 15 % des montants unitaires,</w:t>
            </w:r>
          </w:p>
          <w:p w:rsidR="0035701C" w:rsidRDefault="00FB561B" w:rsidP="00FB561B">
            <w:pPr>
              <w:numPr>
                <w:ilvl w:val="0"/>
                <w:numId w:val="926"/>
              </w:numPr>
              <w:spacing w:before="0" w:after="240"/>
              <w:ind w:hanging="210"/>
              <w:jc w:val="left"/>
              <w:rPr>
                <w:szCs w:val="24"/>
              </w:rPr>
            </w:pPr>
            <w:r>
              <w:rPr>
                <w:szCs w:val="24"/>
              </w:rPr>
              <w:t>les exploitants dont la part de SAU située en zones défavorisées est inférieure à 50 % reçoivent 9 % des montants unitaires.</w:t>
            </w:r>
          </w:p>
          <w:p w:rsidR="0035701C" w:rsidRDefault="00FB561B">
            <w:pPr>
              <w:spacing w:before="240" w:after="240"/>
              <w:jc w:val="left"/>
              <w:rPr>
                <w:szCs w:val="24"/>
              </w:rPr>
            </w:pPr>
            <w:r>
              <w:rPr>
                <w:szCs w:val="24"/>
              </w:rPr>
              <w:t>A partir de 2019 cette modulation est supprimée consécut</w:t>
            </w:r>
            <w:r>
              <w:rPr>
                <w:szCs w:val="24"/>
              </w:rPr>
              <w:t>ivement à la réforme du zonage, dès lors que l'ensemble des communes de Corse sont en zones présentant des contraintes.</w:t>
            </w:r>
          </w:p>
          <w:p w:rsidR="0035701C" w:rsidRDefault="00FB561B">
            <w:pPr>
              <w:spacing w:before="240" w:after="240"/>
              <w:jc w:val="left"/>
              <w:rPr>
                <w:szCs w:val="24"/>
              </w:rPr>
            </w:pPr>
            <w:r>
              <w:rPr>
                <w:b/>
                <w:bCs/>
                <w:szCs w:val="24"/>
              </w:rPr>
              <w:t xml:space="preserve">4 - Modulation de l'ICHN afin d’adapter les paiements aux exploitations ayant presque totalement surmonté le handicap </w:t>
            </w:r>
            <w:r>
              <w:rPr>
                <w:szCs w:val="24"/>
              </w:rPr>
              <w:t xml:space="preserve">en raison de </w:t>
            </w:r>
            <w:r>
              <w:rPr>
                <w:szCs w:val="24"/>
              </w:rPr>
              <w:t>l’évolution de leur système de production, au moment de pouvoir prétendre à la retraite.</w:t>
            </w:r>
          </w:p>
          <w:p w:rsidR="0035701C" w:rsidRDefault="00FB561B">
            <w:pPr>
              <w:spacing w:before="240" w:after="240"/>
              <w:ind w:left="720"/>
              <w:jc w:val="left"/>
              <w:rPr>
                <w:szCs w:val="24"/>
              </w:rPr>
            </w:pPr>
            <w:r>
              <w:rPr>
                <w:szCs w:val="24"/>
              </w:rPr>
              <w:t>Conformément aux précisions figurant à l’Annexe M13, il apparaît que les exploitations agricoles dont les membres peuvent prétendre à la retraite, ont par la configura</w:t>
            </w:r>
            <w:r>
              <w:rPr>
                <w:szCs w:val="24"/>
              </w:rPr>
              <w:t xml:space="preserve">tion différenciée de leur système de conduite technique et économique de l’exploitation presque totalement surmonté les handicaps. Aussi, afin d’éviter une surcompensation du revenu de ces exploitants par l’ICHN, le niveau de l’aide pour les exploitations </w:t>
            </w:r>
            <w:r>
              <w:rPr>
                <w:szCs w:val="24"/>
              </w:rPr>
              <w:t>dont la majorité des agriculteurs dépassent l’âge minimum légal d’accès à la retraite à taux plein et dont le système d'exploitation répond aux conditions précisées à l'annexe M13, est ramené à 13% des montants unitaires.</w:t>
            </w:r>
          </w:p>
          <w:p w:rsidR="0035701C" w:rsidRDefault="00FB561B">
            <w:pPr>
              <w:spacing w:before="240" w:after="240"/>
              <w:ind w:left="720"/>
              <w:jc w:val="left"/>
              <w:rPr>
                <w:szCs w:val="24"/>
              </w:rPr>
            </w:pPr>
            <w:r>
              <w:rPr>
                <w:szCs w:val="24"/>
              </w:rPr>
              <w:t xml:space="preserve">Ces conditions sont vérifiées sur </w:t>
            </w:r>
            <w:r>
              <w:rPr>
                <w:szCs w:val="24"/>
              </w:rPr>
              <w:t>la base de l’un des critères technico-économiques suivants :</w:t>
            </w:r>
          </w:p>
          <w:p w:rsidR="0035701C" w:rsidRDefault="00FB561B" w:rsidP="00FB561B">
            <w:pPr>
              <w:numPr>
                <w:ilvl w:val="0"/>
                <w:numId w:val="927"/>
              </w:numPr>
              <w:spacing w:before="240" w:after="0"/>
              <w:ind w:hanging="210"/>
              <w:jc w:val="left"/>
              <w:rPr>
                <w:szCs w:val="24"/>
              </w:rPr>
            </w:pPr>
            <w:r>
              <w:rPr>
                <w:szCs w:val="24"/>
              </w:rPr>
              <w:t>le nombre et le montant moyen des investissements de l’exploitation est inférieur à la moyenne des autres exploitations</w:t>
            </w:r>
          </w:p>
          <w:p w:rsidR="0035701C" w:rsidRDefault="00FB561B" w:rsidP="00FB561B">
            <w:pPr>
              <w:numPr>
                <w:ilvl w:val="0"/>
                <w:numId w:val="927"/>
              </w:numPr>
              <w:spacing w:before="0" w:after="0"/>
              <w:ind w:hanging="210"/>
              <w:jc w:val="left"/>
              <w:rPr>
                <w:szCs w:val="24"/>
              </w:rPr>
            </w:pPr>
            <w:r>
              <w:rPr>
                <w:szCs w:val="24"/>
              </w:rPr>
              <w:t xml:space="preserve">la part de leur surface agricole en herbe et des autres surfaces cultivées </w:t>
            </w:r>
            <w:r>
              <w:rPr>
                <w:szCs w:val="24"/>
              </w:rPr>
              <w:t>en contrepartie des surfaces en parcours ligneux, est augmentée d’au moins 1/3 pour cette catégorie</w:t>
            </w:r>
          </w:p>
          <w:p w:rsidR="0035701C" w:rsidRDefault="00FB561B" w:rsidP="00FB561B">
            <w:pPr>
              <w:numPr>
                <w:ilvl w:val="0"/>
                <w:numId w:val="927"/>
              </w:numPr>
              <w:spacing w:before="0" w:after="240"/>
              <w:ind w:hanging="210"/>
              <w:jc w:val="left"/>
              <w:rPr>
                <w:szCs w:val="24"/>
              </w:rPr>
            </w:pPr>
            <w:r>
              <w:rPr>
                <w:szCs w:val="24"/>
              </w:rPr>
              <w:t>le degré d’autonomie alimentaire, (mesuré par le ratio Nombre d’ha en herbe mis en valeur par unité de cheptel), de ces exploitations est au moins 3 fois su</w:t>
            </w:r>
            <w:r>
              <w:rPr>
                <w:szCs w:val="24"/>
              </w:rPr>
              <w:t>périeur pour cette catégorie d’exploitations, par rapport à l’ensemble des exploitations en zone défavorisées.</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b/>
                <w:bCs/>
                <w:szCs w:val="24"/>
              </w:rPr>
              <w:t>5 - Stabilisateur budgétaire.</w:t>
            </w:r>
          </w:p>
          <w:p w:rsidR="0035701C" w:rsidRDefault="00FB561B">
            <w:pPr>
              <w:spacing w:before="240" w:after="240"/>
              <w:ind w:left="720"/>
              <w:jc w:val="left"/>
              <w:rPr>
                <w:szCs w:val="24"/>
              </w:rPr>
            </w:pPr>
            <w:r>
              <w:rPr>
                <w:szCs w:val="24"/>
              </w:rPr>
              <w:t>Afin de respecter l’enveloppe notifiée de crédits à engager, un stabilisateur budgétaire pourra être défini annue</w:t>
            </w:r>
            <w:r>
              <w:rPr>
                <w:szCs w:val="24"/>
              </w:rPr>
              <w:t>llement. A partir de la campagne 2016, il devra être supérieur ou égal à 90 % de l’enveloppe prévue. Il sera appliqué sur le montant total de la prime attribuée à chaque bénéficiaire.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Modalités de gestion de la transition</w:t>
            </w:r>
          </w:p>
          <w:p w:rsidR="0035701C" w:rsidRDefault="00FB561B" w:rsidP="00FB561B">
            <w:pPr>
              <w:numPr>
                <w:ilvl w:val="0"/>
                <w:numId w:val="928"/>
              </w:numPr>
              <w:spacing w:before="240" w:after="240"/>
              <w:ind w:hanging="210"/>
              <w:jc w:val="left"/>
              <w:rPr>
                <w:szCs w:val="24"/>
              </w:rPr>
            </w:pPr>
            <w:r>
              <w:rPr>
                <w:szCs w:val="24"/>
              </w:rPr>
              <w:t>La mesure 13.1 correspond pour l</w:t>
            </w:r>
            <w:r>
              <w:rPr>
                <w:szCs w:val="24"/>
              </w:rPr>
              <w:t>’année 2014 de transition à la mesure (211) de la programmation 2007-2013. Cette annuité répond aux règles de transition du volet 2 de la transition.</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1851169"/>
                  <wp:effectExtent l="0" t="0" r="0" b="0"/>
                  <wp:docPr id="100314" name="Image 100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15" name=""/>
                          <pic:cNvPicPr>
                            <a:picLocks noChangeAspect="1"/>
                          </pic:cNvPicPr>
                        </pic:nvPicPr>
                        <pic:blipFill>
                          <a:blip r:embed="rId160"/>
                          <a:stretch>
                            <a:fillRect/>
                          </a:stretch>
                        </pic:blipFill>
                        <pic:spPr>
                          <a:xfrm>
                            <a:off x="0" y="0"/>
                            <a:ext cx="6629400" cy="1851169"/>
                          </a:xfrm>
                          <a:prstGeom prst="rect">
                            <a:avLst/>
                          </a:prstGeom>
                        </pic:spPr>
                      </pic:pic>
                    </a:graphicData>
                  </a:graphic>
                </wp:inline>
              </w:drawing>
            </w:r>
          </w:p>
          <w:p w:rsidR="0035701C" w:rsidRDefault="00FB561B">
            <w:pPr>
              <w:pStyle w:val="Pieddepage"/>
              <w:jc w:val="center"/>
            </w:pPr>
            <w:r>
              <w:t>tableau : 13.1- ICHN-ZM</w:t>
            </w:r>
          </w:p>
          <w:p w:rsidR="0035701C" w:rsidRDefault="0035701C">
            <w:pPr>
              <w:pStyle w:val="Pieddepage"/>
              <w:jc w:val="center"/>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Paragraphe : risques liés à la mise en œuvre de la mesure M13</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Paragraphe : mesures d’atténuation de la mesure M13</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Cf. Paragraphe : évaluation </w:t>
            </w:r>
            <w:r>
              <w:rPr>
                <w:szCs w:val="24"/>
              </w:rPr>
              <w:t>globale de la mesure M13</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Voir l’annexe M13 pour la justification des montants.</w:t>
            </w:r>
          </w:p>
          <w:p w:rsidR="0035701C" w:rsidRDefault="0035701C">
            <w:pPr>
              <w:pStyle w:val="Corpsdetexte"/>
            </w:pPr>
          </w:p>
        </w:tc>
      </w:tr>
    </w:tbl>
    <w:p w:rsidR="0035701C" w:rsidRDefault="00FB561B">
      <w:pPr>
        <w:pStyle w:val="Titre6"/>
      </w:pPr>
      <w:r>
        <w:t>Informations spécifiques sur l'opération</w:t>
      </w:r>
    </w:p>
    <w:p w:rsidR="0035701C" w:rsidRDefault="00FB561B">
      <w:r>
        <w:t xml:space="preserve">Fixation de la superficie minimale par exploitation sur la base de </w:t>
      </w:r>
      <w:r>
        <w:t>laquelle l’État membre calcule la dégressivité des paiements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paragraphe : Informations spécifiques sur la mesure M13.</w:t>
            </w:r>
          </w:p>
          <w:p w:rsidR="0035701C" w:rsidRDefault="0035701C">
            <w:pPr>
              <w:pStyle w:val="Corpsdetexte"/>
            </w:pPr>
          </w:p>
        </w:tc>
      </w:tr>
    </w:tbl>
    <w:p w:rsidR="0035701C" w:rsidRDefault="00FB561B">
      <w:r>
        <w:t>[Désignation des zones soumises à des contraintes naturelles et à d'autres contraintes spécifiques] Description du niveau de l'unité</w:t>
      </w:r>
      <w:r>
        <w:t xml:space="preserve"> locale appliquée pour la désignation des zones.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paragraphe : Informations spécifiques sur la mesure M13.</w:t>
            </w:r>
          </w:p>
          <w:p w:rsidR="0035701C" w:rsidRDefault="0035701C">
            <w:pPr>
              <w:pStyle w:val="Corpsdetexte"/>
            </w:pPr>
          </w:p>
        </w:tc>
      </w:tr>
    </w:tbl>
    <w:p w:rsidR="0035701C" w:rsidRDefault="00FB561B">
      <w:r>
        <w:t>[Désignation des zones soumises à des contraintes naturelles et à d'autres contraintes spécifiques] Description de l’application de la méthode,</w:t>
      </w:r>
      <w:r>
        <w:t xml:space="preserve"> y compris les critères visés à l’article 32 du règlement (UE) n° 1305/2013, pour la délimitation des trois catégories de zones visées dans ledit article, y compris la description et les résultats du rééquilibrage en faveur des zones soumises à des contrai</w:t>
      </w:r>
      <w:r>
        <w:t>ntes naturelles et à d’autres contraintes spécifiques autres que les zones de montagne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paragraphe : Informations spécifiques sur la mesure M13.</w:t>
            </w:r>
          </w:p>
          <w:p w:rsidR="0035701C" w:rsidRDefault="0035701C">
            <w:pPr>
              <w:pStyle w:val="Corpsdetexte"/>
            </w:pPr>
          </w:p>
        </w:tc>
      </w:tr>
    </w:tbl>
    <w:p w:rsidR="0035701C" w:rsidRDefault="00FB561B">
      <w:pPr>
        <w:pStyle w:val="Titre5"/>
        <w:rPr>
          <w:b w:val="0"/>
        </w:rPr>
      </w:pPr>
      <w:r>
        <w:rPr>
          <w:b w:val="0"/>
        </w:rPr>
        <w:br w:type="page"/>
        <w:t>13.2- ICHN-ZSCN</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929"/>
              </w:numPr>
            </w:pPr>
            <w:r>
              <w:t>13.2 - Paiement d'indemnités pour les autres zones soumises à des contraint</w:t>
            </w:r>
            <w:r>
              <w:t>es naturelles importantes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Sous-titre complet de l’opération : ICHN-ZSCN = Indemnités en zone soumise à des contraintes naturelles (art. 32.1b)</w:t>
            </w:r>
          </w:p>
          <w:p w:rsidR="0035701C" w:rsidRDefault="00FB561B">
            <w:pPr>
              <w:spacing w:before="240" w:after="240"/>
              <w:jc w:val="left"/>
              <w:rPr>
                <w:szCs w:val="24"/>
              </w:rPr>
            </w:pPr>
            <w:r>
              <w:rPr>
                <w:szCs w:val="24"/>
              </w:rPr>
              <w:t xml:space="preserve">Cette opération a pour objectif de compenser les pertes de revenu et les coûts </w:t>
            </w:r>
            <w:r>
              <w:rPr>
                <w:szCs w:val="24"/>
              </w:rPr>
              <w:t>supplémentaires liés aux contraintes dans les zones désignées à partir de 2019 conformément aux dispositions de l'article 32 du R.1305/2013.</w:t>
            </w:r>
          </w:p>
          <w:p w:rsidR="0035701C" w:rsidRDefault="00FB561B">
            <w:pPr>
              <w:spacing w:before="240" w:after="240"/>
              <w:jc w:val="left"/>
              <w:rPr>
                <w:szCs w:val="24"/>
              </w:rPr>
            </w:pPr>
            <w:r>
              <w:rPr>
                <w:szCs w:val="24"/>
              </w:rPr>
              <w:t xml:space="preserve">La révision du zonage conforme aux dispositions de l'article 32 du règlement sus mentionné est effective à compter </w:t>
            </w:r>
            <w:r>
              <w:rPr>
                <w:szCs w:val="24"/>
              </w:rPr>
              <w:t>de la campagne 2019.</w:t>
            </w:r>
          </w:p>
          <w:p w:rsidR="0035701C" w:rsidRDefault="00FB561B">
            <w:pPr>
              <w:spacing w:before="240" w:after="240"/>
              <w:jc w:val="left"/>
              <w:rPr>
                <w:szCs w:val="24"/>
              </w:rPr>
            </w:pPr>
            <w:r>
              <w:rPr>
                <w:szCs w:val="24"/>
              </w:rPr>
              <w:t>La zone visée représente 22 communes (cf. carte précédente, dans la description de la mesure 13) : AJACCIO, BASTIA, BIGUGLIA, BORGO , CALVI, CANALE-DI-VERDE, CERVIONE, FURIANI, GHISONACCIA, L'ÎLE-ROUSSE, LUCCIANA, PENTA-DI-CASINCA, POG</w:t>
            </w:r>
            <w:r>
              <w:rPr>
                <w:szCs w:val="24"/>
              </w:rPr>
              <w:t>GIO-MEZZANA , SORBO-OCAGNANO, SAINT-FLORENT,  SAN-GIULIANO, SANTA-LUCIA-DI-MORIANI, SANTA-MARIA-POGGIO, SAN-NICOLAO, TAGLIO-ISOLACCIO, TALASANI, VALLE-DI-CAMPOLORO.</w:t>
            </w:r>
          </w:p>
          <w:p w:rsidR="0035701C" w:rsidRDefault="00FB561B">
            <w:pPr>
              <w:spacing w:before="240" w:after="240"/>
              <w:jc w:val="left"/>
              <w:rPr>
                <w:szCs w:val="24"/>
              </w:rPr>
            </w:pPr>
            <w:r>
              <w:rPr>
                <w:szCs w:val="24"/>
              </w:rPr>
              <w:t>Cette sous-mesure est ciblée sur le domaine prioritaire 4a) relatif à la biodiversité et ré</w:t>
            </w:r>
            <w:r>
              <w:rPr>
                <w:szCs w:val="24"/>
              </w:rPr>
              <w:t>pond au besoin n°32 « Préserver le bon état de l'environnement, assurer le renouvellement des ressources naturelles et prévenir le risque incendie» dans la mesure où elle est ciblée sur le maintient de systèmes de production extensifs et traditionnels ayan</w:t>
            </w:r>
            <w:r>
              <w:rPr>
                <w:szCs w:val="24"/>
              </w:rPr>
              <w:t>t un impact favorable sur l’environnement : systèmes pastoraux et arboriculture traditionnelle et extensive.</w:t>
            </w:r>
          </w:p>
          <w:p w:rsidR="0035701C" w:rsidRDefault="00FB561B">
            <w:pPr>
              <w:spacing w:before="240" w:after="240"/>
              <w:jc w:val="left"/>
              <w:rPr>
                <w:szCs w:val="24"/>
              </w:rPr>
            </w:pPr>
            <w:r>
              <w:rPr>
                <w:szCs w:val="24"/>
              </w:rPr>
              <w:t>En compensant en partie les surcoûts et les manques à gagner liés aux contraintes de cette zone, l’ICHN permet de maintenir une activité agricole e</w:t>
            </w:r>
            <w:r>
              <w:rPr>
                <w:szCs w:val="24"/>
              </w:rPr>
              <w:t>t apporte une réponse économique aux enjeux de ces territoires où les contraintes physiques (insularité, difficultés localisées de pente et d’hydromorphie) exercent une pression importante sur le maintien de ces systèmes, ce qui répond à la fois aux besoin</w:t>
            </w:r>
            <w:r>
              <w:rPr>
                <w:szCs w:val="24"/>
              </w:rPr>
              <w:t xml:space="preserve">s n°15 « Compenser les handicaps naturels liés à la montagne, au climat et à l'insularité», et n°33 « Maintenir une occupation du territoire et favoriser le lien social ». De plus cette compensation partielle des surcoûts permet de maintenir des capacités </w:t>
            </w:r>
            <w:r>
              <w:rPr>
                <w:szCs w:val="24"/>
              </w:rPr>
              <w:t>d’investissement dans ces systèmes d’exploitation ce qui répond au besoin n°13 «Encourager la restructuration des unités d’élevage et favoriser la reconquête et la gestion des parcours pastoraux ».</w:t>
            </w:r>
          </w:p>
          <w:p w:rsidR="0035701C" w:rsidRDefault="00FB561B">
            <w:pPr>
              <w:spacing w:before="240" w:after="240"/>
              <w:jc w:val="left"/>
              <w:rPr>
                <w:szCs w:val="24"/>
              </w:rPr>
            </w:pPr>
            <w:r>
              <w:rPr>
                <w:szCs w:val="24"/>
              </w:rPr>
              <w:t>Conformément aux éléments présentés à "l'Annexe complément</w:t>
            </w:r>
            <w:r>
              <w:rPr>
                <w:szCs w:val="24"/>
              </w:rPr>
              <w:t>aire M13", le dispositif d'aide s'applique à l'ensemble des surfaces agricoles à l'exception de certaines productions végétales, dans la mesure où elles constituent un système de production ayant surmonté les contraintes de ces zones. Pour ces systèmes une</w:t>
            </w:r>
            <w:r>
              <w:rPr>
                <w:szCs w:val="24"/>
              </w:rPr>
              <w:t xml:space="preserve"> modulation nulle s'applique.</w:t>
            </w:r>
          </w:p>
          <w:p w:rsidR="0035701C" w:rsidRDefault="00FB561B">
            <w:pPr>
              <w:spacing w:before="240" w:after="240"/>
              <w:jc w:val="left"/>
              <w:rPr>
                <w:szCs w:val="24"/>
              </w:rPr>
            </w:pPr>
            <w:r>
              <w:rPr>
                <w:szCs w:val="24"/>
                <w:u w:val="single"/>
              </w:rPr>
              <w:t>Engagements du bénéficiaire</w:t>
            </w:r>
          </w:p>
          <w:p w:rsidR="0035701C" w:rsidRDefault="00FB561B">
            <w:pPr>
              <w:spacing w:before="240" w:after="240"/>
              <w:jc w:val="left"/>
              <w:rPr>
                <w:szCs w:val="24"/>
              </w:rPr>
            </w:pPr>
            <w:r>
              <w:rPr>
                <w:szCs w:val="24"/>
              </w:rPr>
              <w:t>Pour l’ensemble des exploitations d’élevage bénéficiant de l’ICHN afférente aux surfaces fourragères : Tenue du carnet d’étable, tenir à jour les entrées (naissance) et sorties (vente en vif ou pass</w:t>
            </w:r>
            <w:r>
              <w:rPr>
                <w:szCs w:val="24"/>
              </w:rPr>
              <w:t>age à l’abattoir) des animaux.</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surfacique accordée annuellement aux agriculteurs exerçant une activité dans les zones citées à l'article 32.1.b) du règlement (UE) n°1305/2013.</w:t>
            </w:r>
          </w:p>
          <w:p w:rsidR="0035701C" w:rsidRDefault="0035701C">
            <w:pPr>
              <w:pStyle w:val="Corpsdetexte"/>
            </w:pPr>
          </w:p>
        </w:tc>
      </w:tr>
    </w:tbl>
    <w:p w:rsidR="0035701C" w:rsidRDefault="00FB561B">
      <w:pPr>
        <w:pStyle w:val="Titre6"/>
      </w:pPr>
      <w:r>
        <w:t xml:space="preserve">Liens vers d'autres actes </w:t>
      </w:r>
      <w:r>
        <w:t>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supplémentaires et les pertes de revenus sont calculés par rapport à des zones qui ne sont pas touchées par des contraintes naturelles ou d'autres contraintes spécifiques, en tenant compte des paiements versés en vertu du titre III, c</w:t>
            </w:r>
            <w:r>
              <w:rPr>
                <w:szCs w:val="24"/>
              </w:rPr>
              <w:t>hapitre 3, du Règlement (UE) n° 1307/2013.</w:t>
            </w:r>
          </w:p>
          <w:p w:rsidR="0035701C" w:rsidRDefault="00FB561B">
            <w:pPr>
              <w:spacing w:before="240" w:after="240"/>
              <w:jc w:val="left"/>
              <w:rPr>
                <w:szCs w:val="24"/>
              </w:rPr>
            </w:pPr>
            <w:r>
              <w:rPr>
                <w:szCs w:val="24"/>
              </w:rPr>
              <w:t>La notion de « surfaces agricoles » renvoie à l’article 4 du Règlement (UE) n°1307/2013.</w:t>
            </w:r>
          </w:p>
          <w:p w:rsidR="0035701C" w:rsidRDefault="00FB561B">
            <w:pPr>
              <w:spacing w:before="240" w:after="240"/>
              <w:jc w:val="left"/>
              <w:rPr>
                <w:szCs w:val="24"/>
              </w:rPr>
            </w:pPr>
            <w:r>
              <w:rPr>
                <w:szCs w:val="24"/>
              </w:rPr>
              <w:t>La notion d'agriculteur actif renvoie à l'article 9 du Règlement (UE) n° 1307/2013.</w:t>
            </w:r>
          </w:p>
          <w:p w:rsidR="0035701C" w:rsidRDefault="00FB561B">
            <w:pPr>
              <w:spacing w:before="240" w:after="240"/>
              <w:jc w:val="left"/>
              <w:rPr>
                <w:szCs w:val="24"/>
              </w:rPr>
            </w:pPr>
            <w:r>
              <w:rPr>
                <w:szCs w:val="24"/>
              </w:rPr>
              <w:t xml:space="preserve">Les bénéficiaires doivent respecter les </w:t>
            </w:r>
            <w:r>
              <w:rPr>
                <w:szCs w:val="24"/>
              </w:rPr>
              <w:t>règles liées à la conditionnalité en vertu de l’article 92 du Règlement (UE) n°1306/2013.</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Personne physique ou morale exerçant une activité agricole.</w:t>
            </w:r>
          </w:p>
          <w:p w:rsidR="0035701C" w:rsidRDefault="00FB561B">
            <w:pPr>
              <w:spacing w:before="240" w:after="240"/>
              <w:jc w:val="left"/>
              <w:rPr>
                <w:szCs w:val="24"/>
              </w:rPr>
            </w:pPr>
            <w:r>
              <w:rPr>
                <w:szCs w:val="24"/>
              </w:rPr>
              <w:t xml:space="preserve">Les paiements sont accordés aux agriculteurs actifs au sens de l'article 9 du règlement </w:t>
            </w:r>
            <w:r>
              <w:rPr>
                <w:szCs w:val="24"/>
              </w:rPr>
              <w:t>(UE) n° 1307/2013.</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pertes de revenu sont évaluées sur la base des différences entre les revenus moyens des exploitations des zones visées par rapport à celles des zones non contraintes. Les revenus de ces exploitations sont issus so</w:t>
            </w:r>
            <w:r>
              <w:rPr>
                <w:szCs w:val="24"/>
              </w:rPr>
              <w:t>it du réseau d'informations comptables national (RICA), soit pour le détail des filières locales du Référentiel Technico Economique Régional Corse financé par l'Etat et l'ODARC.</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Eligibilité du demandeur</w:t>
            </w:r>
            <w:r>
              <w:rPr>
                <w:szCs w:val="24"/>
              </w:rPr>
              <w:t> :</w:t>
            </w:r>
          </w:p>
          <w:p w:rsidR="0035701C" w:rsidRDefault="00FB561B" w:rsidP="00FB561B">
            <w:pPr>
              <w:numPr>
                <w:ilvl w:val="0"/>
                <w:numId w:val="930"/>
              </w:numPr>
              <w:spacing w:before="240" w:after="240"/>
              <w:ind w:hanging="244"/>
              <w:jc w:val="left"/>
              <w:rPr>
                <w:szCs w:val="24"/>
              </w:rPr>
            </w:pPr>
            <w:r>
              <w:rPr>
                <w:szCs w:val="24"/>
              </w:rPr>
              <w:t>relevant de l’exploita</w:t>
            </w:r>
            <w:r>
              <w:rPr>
                <w:szCs w:val="24"/>
              </w:rPr>
              <w:t>tion</w:t>
            </w:r>
          </w:p>
          <w:p w:rsidR="0035701C" w:rsidRDefault="00FB561B" w:rsidP="00FB561B">
            <w:pPr>
              <w:numPr>
                <w:ilvl w:val="0"/>
                <w:numId w:val="931"/>
              </w:numPr>
              <w:spacing w:before="240" w:after="0"/>
              <w:ind w:hanging="210"/>
              <w:jc w:val="left"/>
              <w:rPr>
                <w:szCs w:val="24"/>
              </w:rPr>
            </w:pPr>
            <w:r>
              <w:rPr>
                <w:szCs w:val="24"/>
              </w:rPr>
              <w:t>Pour les surfaces fourragères : détenir un cheptel en production animale d’au moins 3 UGB herbivores avec au moins 3 ha de surfaces fourragères éligibles.</w:t>
            </w:r>
          </w:p>
          <w:p w:rsidR="0035701C" w:rsidRDefault="00FB561B" w:rsidP="00FB561B">
            <w:pPr>
              <w:numPr>
                <w:ilvl w:val="0"/>
                <w:numId w:val="931"/>
              </w:numPr>
              <w:spacing w:before="0" w:after="240"/>
              <w:ind w:hanging="210"/>
              <w:jc w:val="left"/>
              <w:rPr>
                <w:szCs w:val="24"/>
              </w:rPr>
            </w:pPr>
            <w:r>
              <w:rPr>
                <w:szCs w:val="24"/>
              </w:rPr>
              <w:t xml:space="preserve">Pour les surfaces cultivées destinées à la commercialisation, détenir au moins 1 ha en culture </w:t>
            </w:r>
            <w:r>
              <w:rPr>
                <w:szCs w:val="24"/>
              </w:rPr>
              <w:t>éligible</w:t>
            </w:r>
          </w:p>
          <w:p w:rsidR="0035701C" w:rsidRDefault="00FB561B">
            <w:pPr>
              <w:spacing w:before="240" w:after="240"/>
              <w:ind w:left="360"/>
              <w:jc w:val="left"/>
              <w:rPr>
                <w:szCs w:val="24"/>
              </w:rPr>
            </w:pPr>
            <w:r>
              <w:rPr>
                <w:szCs w:val="24"/>
              </w:rPr>
              <w:t>Ces critères permettent notamment de garantir un niveau minimum d’entretien des terres dans les systèmes de conduite (cf. Annexe M13 § 2).</w:t>
            </w:r>
          </w:p>
          <w:p w:rsidR="0035701C" w:rsidRDefault="00FB561B">
            <w:pPr>
              <w:spacing w:before="240" w:after="240"/>
              <w:ind w:left="720"/>
              <w:jc w:val="left"/>
              <w:rPr>
                <w:szCs w:val="24"/>
              </w:rPr>
            </w:pPr>
            <w:r>
              <w:rPr>
                <w:szCs w:val="24"/>
              </w:rPr>
              <w:t> </w:t>
            </w:r>
          </w:p>
          <w:p w:rsidR="0035701C" w:rsidRDefault="00FB561B" w:rsidP="00FB561B">
            <w:pPr>
              <w:numPr>
                <w:ilvl w:val="0"/>
                <w:numId w:val="932"/>
              </w:numPr>
              <w:spacing w:before="240" w:after="240"/>
              <w:ind w:hanging="244"/>
              <w:jc w:val="left"/>
              <w:rPr>
                <w:szCs w:val="24"/>
              </w:rPr>
            </w:pPr>
            <w:r>
              <w:rPr>
                <w:szCs w:val="24"/>
              </w:rPr>
              <w:t>Relevant de l’exploitant:</w:t>
            </w:r>
          </w:p>
          <w:p w:rsidR="0035701C" w:rsidRDefault="00FB561B" w:rsidP="00FB561B">
            <w:pPr>
              <w:numPr>
                <w:ilvl w:val="0"/>
                <w:numId w:val="933"/>
              </w:numPr>
              <w:spacing w:before="240" w:after="0"/>
              <w:ind w:hanging="210"/>
              <w:jc w:val="left"/>
              <w:rPr>
                <w:szCs w:val="24"/>
              </w:rPr>
            </w:pPr>
            <w:r>
              <w:rPr>
                <w:szCs w:val="24"/>
              </w:rPr>
              <w:t>Être un agriculteur actif,</w:t>
            </w:r>
          </w:p>
          <w:p w:rsidR="0035701C" w:rsidRDefault="00FB561B" w:rsidP="00FB561B">
            <w:pPr>
              <w:numPr>
                <w:ilvl w:val="0"/>
                <w:numId w:val="933"/>
              </w:numPr>
              <w:spacing w:before="0" w:after="240"/>
              <w:ind w:hanging="210"/>
              <w:jc w:val="left"/>
              <w:rPr>
                <w:szCs w:val="24"/>
              </w:rPr>
            </w:pPr>
            <w:r>
              <w:rPr>
                <w:szCs w:val="24"/>
              </w:rPr>
              <w:t xml:space="preserve">Un GAEC (groupement agricole d’exploitation en </w:t>
            </w:r>
            <w:r>
              <w:rPr>
                <w:szCs w:val="24"/>
              </w:rPr>
              <w:t>commun) est éligible à l’indemnité avec une dégressivité de l’aide appliquée au niveau des membres éligibles du GAEC selon les conditions prévues à l'article 31.4 du règlement 1305/2013.</w:t>
            </w:r>
          </w:p>
          <w:p w:rsidR="0035701C" w:rsidRDefault="00FB561B" w:rsidP="00FB561B">
            <w:pPr>
              <w:numPr>
                <w:ilvl w:val="0"/>
                <w:numId w:val="934"/>
              </w:numPr>
              <w:spacing w:before="240" w:after="240"/>
              <w:ind w:hanging="210"/>
              <w:jc w:val="left"/>
              <w:rPr>
                <w:szCs w:val="24"/>
              </w:rPr>
            </w:pPr>
            <w:r>
              <w:rPr>
                <w:szCs w:val="24"/>
              </w:rPr>
              <w:t xml:space="preserve">Les autres exploitations agricoles de forme sociétaire peuvent </w:t>
            </w:r>
            <w:r>
              <w:rPr>
                <w:szCs w:val="24"/>
              </w:rPr>
              <w:t>bénéficier de l’indemnité dans la limite d’un plafond dès lors qu'au moins un associé exploitant remplit les conditions d’éligibilité à l'aide.</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w:t>
      </w:r>
      <w:r>
        <w:t>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w:t>
            </w:r>
          </w:p>
          <w:p w:rsidR="0035701C" w:rsidRDefault="00FB561B">
            <w:pPr>
              <w:spacing w:before="240" w:after="240"/>
              <w:jc w:val="left"/>
              <w:rPr>
                <w:szCs w:val="24"/>
              </w:rPr>
            </w:pPr>
            <w:r>
              <w:rPr>
                <w:szCs w:val="24"/>
              </w:rPr>
              <w:t>Les montants unitaires sont compris dans la fourchette réglementaire précisée à l’annexe II du Règlement (UE) n°1305/2013 ; ils correspondent à une compensation partielle des surcoûts et pertes d’exploitation en</w:t>
            </w:r>
            <w:r>
              <w:rPr>
                <w:szCs w:val="24"/>
              </w:rPr>
              <w:t xml:space="preserve"> zone de handicap spécifique.</w:t>
            </w:r>
          </w:p>
          <w:p w:rsidR="0035701C" w:rsidRDefault="00FB561B">
            <w:pPr>
              <w:spacing w:before="240" w:after="240"/>
              <w:jc w:val="left"/>
              <w:rPr>
                <w:szCs w:val="24"/>
              </w:rPr>
            </w:pPr>
            <w:r>
              <w:rPr>
                <w:szCs w:val="24"/>
              </w:rPr>
              <w:t>Les montants d’aides à l’hectare sont ceux du tableau ci-dessous :</w:t>
            </w:r>
          </w:p>
          <w:tbl>
            <w:tblPr>
              <w:tblW w:w="7500" w:type="dxa"/>
              <w:jc w:val="center"/>
              <w:tblCellSpacing w:w="8" w:type="dxa"/>
              <w:tblCellMar>
                <w:top w:w="15" w:type="dxa"/>
                <w:left w:w="15" w:type="dxa"/>
                <w:bottom w:w="15" w:type="dxa"/>
                <w:right w:w="15" w:type="dxa"/>
              </w:tblCellMar>
              <w:tblLook w:val="04A0" w:firstRow="1" w:lastRow="0" w:firstColumn="1" w:lastColumn="0" w:noHBand="0" w:noVBand="1"/>
            </w:tblPr>
            <w:tblGrid>
              <w:gridCol w:w="6059"/>
              <w:gridCol w:w="1417"/>
            </w:tblGrid>
            <w:tr w:rsidR="0035701C">
              <w:trPr>
                <w:tblCellSpacing w:w="8" w:type="dxa"/>
                <w:jc w:val="center"/>
              </w:trPr>
              <w:tc>
                <w:tcPr>
                  <w:tcW w:w="0" w:type="auto"/>
                  <w:gridSpan w:val="2"/>
                  <w:tcMar>
                    <w:top w:w="0" w:type="dxa"/>
                    <w:left w:w="108" w:type="dxa"/>
                    <w:bottom w:w="0" w:type="dxa"/>
                    <w:right w:w="108" w:type="dxa"/>
                  </w:tcMar>
                  <w:vAlign w:val="center"/>
                  <w:hideMark/>
                </w:tcPr>
                <w:p w:rsidR="0035701C" w:rsidRDefault="00FB561B">
                  <w:pPr>
                    <w:spacing w:before="0" w:after="0"/>
                    <w:jc w:val="center"/>
                    <w:rPr>
                      <w:color w:val="000000"/>
                      <w:szCs w:val="24"/>
                    </w:rPr>
                  </w:pPr>
                  <w:r>
                    <w:rPr>
                      <w:color w:val="000000"/>
                      <w:szCs w:val="24"/>
                    </w:rPr>
                    <w:t>Paiements ZSCN</w:t>
                  </w:r>
                </w:p>
              </w:tc>
            </w:tr>
            <w:tr w:rsidR="0035701C">
              <w:tblPrEx>
                <w:tblBorders>
                  <w:top w:val="outset" w:sz="6" w:space="0" w:color="808080"/>
                  <w:left w:val="outset" w:sz="6" w:space="0" w:color="808080"/>
                  <w:bottom w:val="outset" w:sz="6" w:space="0" w:color="808080"/>
                  <w:right w:val="outset" w:sz="6" w:space="0" w:color="808080"/>
                </w:tblBorders>
              </w:tblPrEx>
              <w:trPr>
                <w:tblCellSpacing w:w="8" w:type="dxa"/>
                <w:jc w:val="center"/>
              </w:trPr>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Montant en €/ha pour les 25 premiers hectares de surface admissible</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ZSCN et ZSCS</w:t>
                  </w:r>
                </w:p>
              </w:tc>
            </w:tr>
            <w:tr w:rsidR="0035701C">
              <w:tblPrEx>
                <w:tblBorders>
                  <w:top w:val="outset" w:sz="6" w:space="0" w:color="808080"/>
                  <w:left w:val="outset" w:sz="6" w:space="0" w:color="808080"/>
                  <w:bottom w:val="outset" w:sz="6" w:space="0" w:color="808080"/>
                  <w:right w:val="outset" w:sz="6" w:space="0" w:color="808080"/>
                </w:tblBorders>
              </w:tblPrEx>
              <w:trPr>
                <w:tblCellSpacing w:w="8" w:type="dxa"/>
                <w:jc w:val="center"/>
              </w:trPr>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Surface fourragère (Elevage)</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192</w:t>
                  </w:r>
                </w:p>
              </w:tc>
            </w:tr>
            <w:tr w:rsidR="0035701C">
              <w:tblPrEx>
                <w:tblBorders>
                  <w:top w:val="outset" w:sz="6" w:space="0" w:color="808080"/>
                  <w:left w:val="outset" w:sz="6" w:space="0" w:color="808080"/>
                  <w:bottom w:val="outset" w:sz="6" w:space="0" w:color="808080"/>
                  <w:right w:val="outset" w:sz="6" w:space="0" w:color="808080"/>
                </w:tblBorders>
              </w:tblPrEx>
              <w:trPr>
                <w:tblCellSpacing w:w="8" w:type="dxa"/>
                <w:jc w:val="center"/>
              </w:trPr>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 xml:space="preserve">Cultures : oliviers, </w:t>
                  </w:r>
                  <w:r>
                    <w:rPr>
                      <w:color w:val="000000"/>
                      <w:szCs w:val="24"/>
                    </w:rPr>
                    <w:t>châtaigniers, noisetiers</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180</w:t>
                  </w:r>
                </w:p>
              </w:tc>
            </w:tr>
          </w:tbl>
          <w:p w:rsidR="0035701C" w:rsidRDefault="00FB561B">
            <w:pPr>
              <w:spacing w:before="240" w:after="240"/>
              <w:jc w:val="left"/>
              <w:rPr>
                <w:szCs w:val="24"/>
              </w:rPr>
            </w:pPr>
            <w:r>
              <w:rPr>
                <w:szCs w:val="24"/>
              </w:rPr>
              <w:t>L’ICHN est versée dans la limite de 50 hectares de surfaces admissibles.</w:t>
            </w:r>
          </w:p>
          <w:p w:rsidR="0035701C" w:rsidRDefault="00FB561B">
            <w:pPr>
              <w:spacing w:before="240" w:after="240"/>
              <w:jc w:val="left"/>
              <w:rPr>
                <w:szCs w:val="24"/>
              </w:rPr>
            </w:pPr>
            <w:r>
              <w:rPr>
                <w:szCs w:val="24"/>
              </w:rPr>
              <w:t xml:space="preserve">L’aide est dégressive au-delà des 25 premiers hectares de surfaces primables, afin d'ajuster les montants reçus à l'intensité des contraintes subies par </w:t>
            </w:r>
            <w:r>
              <w:rPr>
                <w:szCs w:val="24"/>
              </w:rPr>
              <w:t>l'exploitation. Ces montants sont diminués d’1/3 du 26 ème au 50ème hectare primé.</w:t>
            </w:r>
          </w:p>
          <w:p w:rsidR="0035701C" w:rsidRDefault="00FB561B">
            <w:pPr>
              <w:spacing w:before="240" w:after="240"/>
              <w:jc w:val="left"/>
              <w:rPr>
                <w:szCs w:val="24"/>
              </w:rPr>
            </w:pPr>
            <w:r>
              <w:rPr>
                <w:szCs w:val="24"/>
              </w:rPr>
              <w:t>Par ailleurs, ces montants seront modulés de la façon suivante:</w:t>
            </w:r>
          </w:p>
          <w:p w:rsidR="0035701C" w:rsidRDefault="00FB561B">
            <w:pPr>
              <w:spacing w:before="240" w:after="240"/>
              <w:jc w:val="left"/>
              <w:rPr>
                <w:szCs w:val="24"/>
              </w:rPr>
            </w:pPr>
            <w:r>
              <w:rPr>
                <w:b/>
                <w:bCs/>
                <w:szCs w:val="24"/>
              </w:rPr>
              <w:t>1 - Majoration pour les élevages transhumants :</w:t>
            </w:r>
          </w:p>
          <w:p w:rsidR="0035701C" w:rsidRDefault="00FB561B">
            <w:pPr>
              <w:spacing w:before="240" w:after="240"/>
              <w:ind w:left="720"/>
              <w:jc w:val="left"/>
              <w:rPr>
                <w:szCs w:val="24"/>
              </w:rPr>
            </w:pPr>
            <w:r>
              <w:rPr>
                <w:szCs w:val="24"/>
              </w:rPr>
              <w:t>En zone soumise à des contraintes naturelles, les montants so</w:t>
            </w:r>
            <w:r>
              <w:rPr>
                <w:szCs w:val="24"/>
              </w:rPr>
              <w:t>nt majorés de 30% lorsque le cheptel de l'exploitant, converti en UGB est constitué à plus de 50% d'ovins ou de caprins.</w:t>
            </w:r>
          </w:p>
          <w:p w:rsidR="0035701C" w:rsidRDefault="00FB561B">
            <w:pPr>
              <w:spacing w:before="240" w:after="240"/>
              <w:jc w:val="left"/>
              <w:rPr>
                <w:szCs w:val="24"/>
              </w:rPr>
            </w:pPr>
            <w:r>
              <w:rPr>
                <w:b/>
                <w:bCs/>
                <w:szCs w:val="24"/>
              </w:rPr>
              <w:t>2 - Modulation de l'ICHN pour les pluriactifs :</w:t>
            </w:r>
          </w:p>
          <w:p w:rsidR="0035701C" w:rsidRDefault="00FB561B">
            <w:pPr>
              <w:spacing w:before="240" w:after="240"/>
              <w:ind w:left="720"/>
              <w:jc w:val="left"/>
              <w:rPr>
                <w:szCs w:val="24"/>
              </w:rPr>
            </w:pPr>
            <w:r>
              <w:rPr>
                <w:szCs w:val="24"/>
              </w:rPr>
              <w:t>Les agriculteurs pluriactifs dont la majorité des surfaces se situent dans les zones so</w:t>
            </w:r>
            <w:r>
              <w:rPr>
                <w:szCs w:val="24"/>
              </w:rPr>
              <w:t>umises à des contraintes naturelles ou spécifiques ([SAU_ZSCN + SAU_ZSCS] / SAU &gt;50%), qui ont une activité principale non agricole (RNA&gt;RA), et pour lesquels les revenus non agricoles sont supérieurs à ½ SMIC brut ne reçoivent pas de paiement ICHN.</w:t>
            </w:r>
          </w:p>
          <w:p w:rsidR="0035701C" w:rsidRDefault="00FB561B">
            <w:pPr>
              <w:spacing w:before="240" w:after="240"/>
              <w:jc w:val="left"/>
              <w:rPr>
                <w:szCs w:val="24"/>
              </w:rPr>
            </w:pPr>
            <w:r>
              <w:rPr>
                <w:b/>
                <w:bCs/>
                <w:szCs w:val="24"/>
              </w:rPr>
              <w:t>3 - Mo</w:t>
            </w:r>
            <w:r>
              <w:rPr>
                <w:b/>
                <w:bCs/>
                <w:szCs w:val="24"/>
              </w:rPr>
              <w:t>dulation de l'ICHN selon le type de surface</w:t>
            </w:r>
          </w:p>
          <w:p w:rsidR="0035701C" w:rsidRDefault="00FB561B" w:rsidP="00FB561B">
            <w:pPr>
              <w:numPr>
                <w:ilvl w:val="0"/>
                <w:numId w:val="935"/>
              </w:numPr>
              <w:spacing w:before="240" w:after="0"/>
              <w:ind w:hanging="210"/>
              <w:jc w:val="left"/>
              <w:rPr>
                <w:szCs w:val="24"/>
              </w:rPr>
            </w:pPr>
            <w:r>
              <w:rPr>
                <w:szCs w:val="24"/>
              </w:rPr>
              <w:t xml:space="preserve">Les surfaces recevant l’indemnité sont les surfaces fourragères associées à des élevages, à savoir : les prairies naturelles, temporaires ou permanentes, parcours, landes, plantes fourragères annuelles, céréales </w:t>
            </w:r>
            <w:r>
              <w:rPr>
                <w:szCs w:val="24"/>
              </w:rPr>
              <w:t>et protéagineux à destination par fauche ou par pâturage des animaux (ruminants) de l’exploitation, ainsi que les surfaces fourragères en pâturage collectif déclarées par les entités collectives pour la part correspondante utilisée par le demandeur.</w:t>
            </w:r>
          </w:p>
          <w:p w:rsidR="0035701C" w:rsidRDefault="00FB561B" w:rsidP="00FB561B">
            <w:pPr>
              <w:numPr>
                <w:ilvl w:val="0"/>
                <w:numId w:val="935"/>
              </w:numPr>
              <w:spacing w:before="0" w:after="240"/>
              <w:ind w:hanging="210"/>
              <w:jc w:val="left"/>
              <w:rPr>
                <w:szCs w:val="24"/>
              </w:rPr>
            </w:pPr>
            <w:r>
              <w:rPr>
                <w:szCs w:val="24"/>
              </w:rPr>
              <w:t>L'anal</w:t>
            </w:r>
            <w:r>
              <w:rPr>
                <w:szCs w:val="24"/>
              </w:rPr>
              <w:t>yse des coûts supplémentaires et des pertes de revenus pour les exploitations orientées vers des productions végétales montre que l’octroi de l'aide aux surfaces cultivées n'est pas justifié à l'exception des surfaces en culture de châtaigniers, oliviers e</w:t>
            </w:r>
            <w:r>
              <w:rPr>
                <w:szCs w:val="24"/>
              </w:rPr>
              <w:t>t noisetiers, destinées à la commercialisation.</w:t>
            </w:r>
          </w:p>
          <w:p w:rsidR="0035701C" w:rsidRDefault="00FB561B">
            <w:pPr>
              <w:spacing w:before="240" w:after="240"/>
              <w:jc w:val="left"/>
              <w:rPr>
                <w:szCs w:val="24"/>
              </w:rPr>
            </w:pPr>
            <w:r>
              <w:rPr>
                <w:b/>
                <w:bCs/>
                <w:szCs w:val="24"/>
              </w:rPr>
              <w:t xml:space="preserve">4 - Modulation de l'ICHN afin d’adapter les paiements aux exploitations ayant presque totalement surmonté le handicap </w:t>
            </w:r>
            <w:r>
              <w:rPr>
                <w:szCs w:val="24"/>
              </w:rPr>
              <w:t>en raison de l’évolution de leur système de production, au moment de pouvoir prétendre à l</w:t>
            </w:r>
            <w:r>
              <w:rPr>
                <w:szCs w:val="24"/>
              </w:rPr>
              <w:t>a retraite.</w:t>
            </w:r>
          </w:p>
          <w:p w:rsidR="0035701C" w:rsidRDefault="00FB561B">
            <w:pPr>
              <w:spacing w:before="240" w:after="240"/>
              <w:ind w:left="720"/>
              <w:jc w:val="left"/>
              <w:rPr>
                <w:szCs w:val="24"/>
              </w:rPr>
            </w:pPr>
            <w:r>
              <w:rPr>
                <w:szCs w:val="24"/>
              </w:rPr>
              <w:t>Conformément aux précisions figurant à l’Annexe M13, il apparaît que les exploitations agricoles dont les membres peuvent prétendre à la retraite, ont par la configuration différenciée de leur système de conduite technique et économique de l’ex</w:t>
            </w:r>
            <w:r>
              <w:rPr>
                <w:szCs w:val="24"/>
              </w:rPr>
              <w:t xml:space="preserve">ploitation presque totalement surmonté les handicaps. Aussi, afin d’éviter une surcompensation du revenu de ces exploitants par l’ICHN, le niveau de l’aide pour les exploitations dont la majorité des agriculteurs dépassent l’âge minimum légal d’accès à la </w:t>
            </w:r>
            <w:r>
              <w:rPr>
                <w:szCs w:val="24"/>
              </w:rPr>
              <w:t>retraite à taux plein et dont le système d'exploitation répond aux conditions précisées à l'annexe M13, est ramené à 13% des montants unitaires.</w:t>
            </w:r>
          </w:p>
          <w:p w:rsidR="0035701C" w:rsidRDefault="00FB561B">
            <w:pPr>
              <w:spacing w:before="240" w:after="240"/>
              <w:ind w:left="720"/>
              <w:jc w:val="left"/>
              <w:rPr>
                <w:szCs w:val="24"/>
              </w:rPr>
            </w:pPr>
            <w:r>
              <w:rPr>
                <w:szCs w:val="24"/>
              </w:rPr>
              <w:t>Ces conditions sont vérifiées sur la base de l’un des critères technico-économiques suivants :</w:t>
            </w:r>
          </w:p>
          <w:p w:rsidR="0035701C" w:rsidRDefault="00FB561B" w:rsidP="00FB561B">
            <w:pPr>
              <w:numPr>
                <w:ilvl w:val="0"/>
                <w:numId w:val="936"/>
              </w:numPr>
              <w:spacing w:before="240" w:after="0"/>
              <w:ind w:hanging="210"/>
              <w:jc w:val="left"/>
              <w:rPr>
                <w:szCs w:val="24"/>
              </w:rPr>
            </w:pPr>
            <w:r>
              <w:rPr>
                <w:szCs w:val="24"/>
              </w:rPr>
              <w:t xml:space="preserve">le nombre et le </w:t>
            </w:r>
            <w:r>
              <w:rPr>
                <w:szCs w:val="24"/>
              </w:rPr>
              <w:t>montant moyen des investissements de l’exploitation est inférieur à la moyenne des autres exploitations</w:t>
            </w:r>
          </w:p>
          <w:p w:rsidR="0035701C" w:rsidRDefault="00FB561B" w:rsidP="00FB561B">
            <w:pPr>
              <w:numPr>
                <w:ilvl w:val="0"/>
                <w:numId w:val="936"/>
              </w:numPr>
              <w:spacing w:before="0" w:after="0"/>
              <w:ind w:hanging="210"/>
              <w:jc w:val="left"/>
              <w:rPr>
                <w:szCs w:val="24"/>
              </w:rPr>
            </w:pPr>
            <w:r>
              <w:rPr>
                <w:szCs w:val="24"/>
              </w:rPr>
              <w:t>la part de leur surface agricole en herbe et des autres surfaces cultivées en contrepartie des surfaces en parcours ligneux, est augmentée d’au moins 1/</w:t>
            </w:r>
            <w:r>
              <w:rPr>
                <w:szCs w:val="24"/>
              </w:rPr>
              <w:t>3 pour cette catégorie</w:t>
            </w:r>
          </w:p>
          <w:p w:rsidR="0035701C" w:rsidRDefault="00FB561B" w:rsidP="00FB561B">
            <w:pPr>
              <w:numPr>
                <w:ilvl w:val="0"/>
                <w:numId w:val="936"/>
              </w:numPr>
              <w:spacing w:before="0" w:after="240"/>
              <w:ind w:hanging="210"/>
              <w:jc w:val="left"/>
              <w:rPr>
                <w:szCs w:val="24"/>
              </w:rPr>
            </w:pPr>
            <w:r>
              <w:rPr>
                <w:szCs w:val="24"/>
              </w:rPr>
              <w:t>le degré d’autonomie alimentaire, (mesuré par le ratio Nombre d’ha en herbe mis en valeur par unité de cheptel), de ces exploitations est au moins 3 fois supérieur pour cette catégorie d’exploitations, par rapport à l’ensemble des ex</w:t>
            </w:r>
            <w:r>
              <w:rPr>
                <w:szCs w:val="24"/>
              </w:rPr>
              <w:t>ploitations en zone défavorisées.</w:t>
            </w:r>
          </w:p>
          <w:p w:rsidR="0035701C" w:rsidRDefault="00FB561B">
            <w:pPr>
              <w:spacing w:before="240" w:after="240"/>
              <w:jc w:val="left"/>
              <w:rPr>
                <w:szCs w:val="24"/>
              </w:rPr>
            </w:pPr>
            <w:r>
              <w:rPr>
                <w:b/>
                <w:bCs/>
                <w:szCs w:val="24"/>
              </w:rPr>
              <w:t>5 - Stabilisateur budgétaire.</w:t>
            </w:r>
          </w:p>
          <w:p w:rsidR="0035701C" w:rsidRDefault="00FB561B">
            <w:pPr>
              <w:spacing w:before="240" w:after="240"/>
              <w:ind w:left="720"/>
              <w:jc w:val="left"/>
              <w:rPr>
                <w:szCs w:val="24"/>
              </w:rPr>
            </w:pPr>
            <w:r>
              <w:rPr>
                <w:szCs w:val="24"/>
              </w:rPr>
              <w:t xml:space="preserve">Afin de respecter l’enveloppe notifiée de crédits à engager, un stabilisateur budgétaire pourra être défini annuellement. Il devra être supérieur ou égal à 90 % de l’enveloppe prévue. Il sera </w:t>
            </w:r>
            <w:r>
              <w:rPr>
                <w:szCs w:val="24"/>
              </w:rPr>
              <w:t>appliqué sur le montant total de la prime attribuée à chaque bénéficiaire.</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Paragraphe : risques liés à la mise en œuvre de la mesur</w:t>
            </w:r>
            <w:r>
              <w:rPr>
                <w:szCs w:val="24"/>
              </w:rPr>
              <w:t>e M13</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Paragraphe : mesures d’atténuation de la mesure M13</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Paragraphe : Evaluation globale de la mesure M13</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Voir les annexes </w:t>
            </w:r>
            <w:r>
              <w:rPr>
                <w:szCs w:val="24"/>
              </w:rPr>
              <w:t>de justification des montants de la mesure 13.</w:t>
            </w:r>
          </w:p>
          <w:p w:rsidR="0035701C" w:rsidRDefault="0035701C">
            <w:pPr>
              <w:pStyle w:val="Corpsdetexte"/>
            </w:pPr>
          </w:p>
        </w:tc>
      </w:tr>
    </w:tbl>
    <w:p w:rsidR="0035701C" w:rsidRDefault="00FB561B">
      <w:pPr>
        <w:pStyle w:val="Titre6"/>
      </w:pPr>
      <w:r>
        <w:t>Informations spécifiques sur l'opération</w:t>
      </w:r>
    </w:p>
    <w:p w:rsidR="0035701C" w:rsidRDefault="00FB561B">
      <w:r>
        <w:t>Fixation de la superficie minimale par exploitation sur la base de laquelle l’État membre calcule la dégressivité des paiements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paragraphe : Informations spécifiq</w:t>
            </w:r>
            <w:r>
              <w:rPr>
                <w:szCs w:val="24"/>
              </w:rPr>
              <w:t>ues sur la mesure M13</w:t>
            </w:r>
          </w:p>
          <w:p w:rsidR="0035701C" w:rsidRDefault="0035701C">
            <w:pPr>
              <w:pStyle w:val="Corpsdetexte"/>
            </w:pPr>
          </w:p>
        </w:tc>
      </w:tr>
    </w:tbl>
    <w:p w:rsidR="0035701C" w:rsidRDefault="00FB561B">
      <w:r>
        <w:t xml:space="preserve">[Désignation des zones soumises à des contraintes naturelles et à d'autres contraintes spécifiques] Description du niveau de l'unité locale appliquée pour la désignation des zones.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paragraphe : Informations spécifiques sur la m</w:t>
            </w:r>
            <w:r>
              <w:rPr>
                <w:szCs w:val="24"/>
              </w:rPr>
              <w:t>esure M13</w:t>
            </w:r>
          </w:p>
          <w:p w:rsidR="0035701C" w:rsidRDefault="0035701C">
            <w:pPr>
              <w:pStyle w:val="Corpsdetexte"/>
            </w:pPr>
          </w:p>
        </w:tc>
      </w:tr>
    </w:tbl>
    <w:p w:rsidR="0035701C" w:rsidRDefault="00FB561B">
      <w:r>
        <w:t>[Désignation des zones soumises à des contraintes naturelles et à d'autres contraintes spécifiques] Description de l’application de la méthode, y compris les critères visés à l’article 32 du règlement (UE) n° 1305/2013, pour la délimitation des</w:t>
      </w:r>
      <w:r>
        <w:t xml:space="preserve"> trois catégories de zones visées dans ledit article, y compris la description et les résultats du rééquilibrage en faveur des zones soumises à des contraintes naturelles et à d’autres contraintes spécifiques autres que les zones de montagne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paragraphe</w:t>
            </w:r>
            <w:r>
              <w:rPr>
                <w:szCs w:val="24"/>
              </w:rPr>
              <w:t> : Informations spécifiques sur la mesure M13</w:t>
            </w:r>
          </w:p>
          <w:p w:rsidR="0035701C" w:rsidRDefault="0035701C">
            <w:pPr>
              <w:pStyle w:val="Corpsdetexte"/>
            </w:pPr>
          </w:p>
        </w:tc>
      </w:tr>
    </w:tbl>
    <w:p w:rsidR="0035701C" w:rsidRDefault="00FB561B">
      <w:pPr>
        <w:pStyle w:val="Titre5"/>
        <w:rPr>
          <w:b w:val="0"/>
        </w:rPr>
      </w:pPr>
      <w:r>
        <w:rPr>
          <w:b w:val="0"/>
        </w:rPr>
        <w:br w:type="page"/>
        <w:t>13.3- ICHN- ZSCS</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937"/>
              </w:numPr>
            </w:pPr>
            <w:r>
              <w:t>13.3 - Paiement d'indemnités en faveur d'autres zones soumises à des contraintes spécifiques</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Sous-titre complet de l’opération : ICHN-ZSCS</w:t>
            </w:r>
            <w:r>
              <w:rPr>
                <w:b/>
                <w:bCs/>
                <w:szCs w:val="24"/>
              </w:rPr>
              <w:t xml:space="preserve"> = Indemnités en zone soumise à des contraintes spécifiques (art. 32.1c)</w:t>
            </w:r>
          </w:p>
          <w:p w:rsidR="0035701C" w:rsidRDefault="00FB561B">
            <w:pPr>
              <w:spacing w:before="240" w:after="240"/>
              <w:jc w:val="left"/>
              <w:rPr>
                <w:szCs w:val="24"/>
              </w:rPr>
            </w:pPr>
            <w:r>
              <w:rPr>
                <w:szCs w:val="24"/>
              </w:rPr>
              <w:t>Cette opération a pour objectif de compenser les pertes de revenu et les coûts supplémentaires liés aux contraintes dans les zones désignées à partir de 2019 conformément aux disposit</w:t>
            </w:r>
            <w:r>
              <w:rPr>
                <w:szCs w:val="24"/>
              </w:rPr>
              <w:t>ions de l'article 32 du R.1305/2013.</w:t>
            </w:r>
          </w:p>
          <w:p w:rsidR="0035701C" w:rsidRDefault="00FB561B">
            <w:pPr>
              <w:spacing w:before="240" w:after="240"/>
              <w:jc w:val="left"/>
              <w:rPr>
                <w:szCs w:val="24"/>
              </w:rPr>
            </w:pPr>
            <w:r>
              <w:rPr>
                <w:szCs w:val="24"/>
              </w:rPr>
              <w:t>La révision du zonage conforme aux dispositions de l'article 32 du règlement sus mentionné est effective à compter de la campagne 2019.</w:t>
            </w:r>
          </w:p>
          <w:p w:rsidR="0035701C" w:rsidRDefault="00FB561B">
            <w:pPr>
              <w:spacing w:before="240" w:after="240"/>
              <w:jc w:val="left"/>
              <w:rPr>
                <w:szCs w:val="24"/>
              </w:rPr>
            </w:pPr>
            <w:r>
              <w:rPr>
                <w:szCs w:val="24"/>
              </w:rPr>
              <w:t>La zone visée représente 5 communes (cf. carte précédente, dans la description de l</w:t>
            </w:r>
            <w:r>
              <w:rPr>
                <w:szCs w:val="24"/>
              </w:rPr>
              <w:t>a mesure 13) : ALERIA, CASTELLARE-DI-CASINCA, LINGUIZZETTA, VENZOLASCA et  VESCOVATO</w:t>
            </w:r>
          </w:p>
          <w:p w:rsidR="0035701C" w:rsidRDefault="00FB561B">
            <w:pPr>
              <w:spacing w:before="240" w:after="240"/>
              <w:jc w:val="left"/>
              <w:rPr>
                <w:szCs w:val="24"/>
              </w:rPr>
            </w:pPr>
            <w:r>
              <w:rPr>
                <w:szCs w:val="24"/>
              </w:rPr>
              <w:t>Cette sous-mesure est ciblée sur le domaine prioritaire 4a) relatif à la biodiversité et répond au besoin n°32 « Préserver le bon état de l'environnement, assurer le renou</w:t>
            </w:r>
            <w:r>
              <w:rPr>
                <w:szCs w:val="24"/>
              </w:rPr>
              <w:t xml:space="preserve">vellement des ressources naturelles et prévenir le risque incendie» dans la mesure où elle est ciblée sur le maintient de systèmes de production extensifs et traditionnels ayant un impact favorable sur l’environnement : systèmes pastoraux et arboriculture </w:t>
            </w:r>
            <w:r>
              <w:rPr>
                <w:szCs w:val="24"/>
              </w:rPr>
              <w:t>traditionnelle et extensive.</w:t>
            </w:r>
          </w:p>
          <w:p w:rsidR="0035701C" w:rsidRDefault="00FB561B">
            <w:pPr>
              <w:spacing w:before="240" w:after="240"/>
              <w:jc w:val="left"/>
              <w:rPr>
                <w:szCs w:val="24"/>
              </w:rPr>
            </w:pPr>
            <w:r>
              <w:rPr>
                <w:szCs w:val="24"/>
              </w:rPr>
              <w:t>En compensant en partie les surcoûts et les manques à gagner liés aux contraintes de cette zone, l’ICHN permet de maintenir une activité agricole et apporte une réponse économique aux enjeux de ces territoires où les contrainte</w:t>
            </w:r>
            <w:r>
              <w:rPr>
                <w:szCs w:val="24"/>
              </w:rPr>
              <w:t>s physiques (insularité, difficultés localisées de pente et d’hydromorphie), foncières et touristiques exercent une pression importante sur le maintien de ces systèmes ce qui répond à la fois aux besoins n°15 « Compenser les handicaps naturels liés à la mo</w:t>
            </w:r>
            <w:r>
              <w:rPr>
                <w:szCs w:val="24"/>
              </w:rPr>
              <w:t>ntagne, au climat et à l'insularité», et n°33 « Maintenir une occupation du territoire et favoriser le lien social ». De plus cette compensation partielle des surcoûts permet de maintenir des capacités d’investissement dans ces systèmes d’exploitation ce q</w:t>
            </w:r>
            <w:r>
              <w:rPr>
                <w:szCs w:val="24"/>
              </w:rPr>
              <w:t>ui répond au besoin n°13 «Encourager la restructuration des unités d’élevage et favoriser la reconquête et la gestion des parcours pastoraux ».</w:t>
            </w:r>
          </w:p>
          <w:p w:rsidR="0035701C" w:rsidRDefault="00FB561B">
            <w:pPr>
              <w:spacing w:before="240" w:after="240"/>
              <w:jc w:val="left"/>
              <w:rPr>
                <w:szCs w:val="24"/>
              </w:rPr>
            </w:pPr>
            <w:r>
              <w:rPr>
                <w:szCs w:val="24"/>
              </w:rPr>
              <w:t>Conformément aux éléments présentés à "l'Annexe complémentaire M13", le dispositif d'aide s'applique à l'ensembl</w:t>
            </w:r>
            <w:r>
              <w:rPr>
                <w:szCs w:val="24"/>
              </w:rPr>
              <w:t>e des surfaces agricoles à l'exception de certaines productions végétales, dans la mesure où elles constituent un système de production ayant surmonté les contraintes de ces zones. Pour ces systèmes une modulation nulle s'applique.</w:t>
            </w:r>
          </w:p>
          <w:p w:rsidR="0035701C" w:rsidRDefault="00FB561B">
            <w:pPr>
              <w:spacing w:before="240" w:after="240"/>
              <w:jc w:val="left"/>
              <w:rPr>
                <w:szCs w:val="24"/>
              </w:rPr>
            </w:pPr>
            <w:r>
              <w:rPr>
                <w:szCs w:val="24"/>
                <w:u w:val="single"/>
              </w:rPr>
              <w:t>Engagements du bénéficia</w:t>
            </w:r>
            <w:r>
              <w:rPr>
                <w:szCs w:val="24"/>
                <w:u w:val="single"/>
              </w:rPr>
              <w:t>ire</w:t>
            </w:r>
          </w:p>
          <w:p w:rsidR="0035701C" w:rsidRDefault="00FB561B">
            <w:pPr>
              <w:spacing w:before="240" w:after="240"/>
              <w:jc w:val="left"/>
              <w:rPr>
                <w:szCs w:val="24"/>
              </w:rPr>
            </w:pPr>
            <w:r>
              <w:rPr>
                <w:szCs w:val="24"/>
              </w:rPr>
              <w:t>Pour l’ensemble des exploitations d’élevage bénéficiant de l’ICHN afférente aux surfaces fourragères : Tenue du carnet d’étable, tenir à jour les entrées (naissance) et sorties (vente en vif ou passage à l’abattoir) des animaux.</w:t>
            </w:r>
          </w:p>
          <w:p w:rsidR="0035701C" w:rsidRDefault="0035701C">
            <w:pPr>
              <w:pStyle w:val="Corpsdetexte"/>
            </w:pPr>
          </w:p>
        </w:tc>
      </w:tr>
    </w:tbl>
    <w:p w:rsidR="0035701C" w:rsidRDefault="00FB561B">
      <w:pPr>
        <w:pStyle w:val="Titre6"/>
      </w:pPr>
      <w:r>
        <w:t>Type de soutien</w:t>
      </w:r>
    </w:p>
    <w:p w:rsidR="0035701C" w:rsidRDefault="00FB561B">
      <w:r>
        <w:t xml:space="preserve">Type </w:t>
      </w:r>
      <w:r>
        <w:t>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surfacique accordée annuellement aux agriculteurs exerçant une activité dans les zones citées à l'article 32.1.c) du règlement (UE) n°1305/2013.</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supplémentaires et les pertes de</w:t>
            </w:r>
            <w:r>
              <w:rPr>
                <w:szCs w:val="24"/>
              </w:rPr>
              <w:t xml:space="preserve"> revenus sont calculés par rapport à des zones qui ne sont pas touchées par des contraintes naturelles ou d'autres contraintes spécifiques, en tenant compte des paiements versés en vertu du titre III, chapitre 3, du Règlement (UE) n° 1307/2013.</w:t>
            </w:r>
          </w:p>
          <w:p w:rsidR="0035701C" w:rsidRDefault="00FB561B">
            <w:pPr>
              <w:spacing w:before="240" w:after="240"/>
              <w:jc w:val="left"/>
              <w:rPr>
                <w:szCs w:val="24"/>
              </w:rPr>
            </w:pPr>
            <w:r>
              <w:rPr>
                <w:szCs w:val="24"/>
              </w:rPr>
              <w:t>La notion d</w:t>
            </w:r>
            <w:r>
              <w:rPr>
                <w:szCs w:val="24"/>
              </w:rPr>
              <w:t>e « surfaces agricoles » renvoie à l’article 4 du Règlement (UE) n°1307/2013.</w:t>
            </w:r>
          </w:p>
          <w:p w:rsidR="0035701C" w:rsidRDefault="00FB561B">
            <w:pPr>
              <w:spacing w:before="240" w:after="240"/>
              <w:jc w:val="left"/>
              <w:rPr>
                <w:szCs w:val="24"/>
              </w:rPr>
            </w:pPr>
            <w:r>
              <w:rPr>
                <w:szCs w:val="24"/>
              </w:rPr>
              <w:t>La notion d'agriculteur actif renvoie à l'article 9 du Règlement (UE) n° 1307/2013.</w:t>
            </w:r>
          </w:p>
          <w:p w:rsidR="0035701C" w:rsidRDefault="00FB561B">
            <w:pPr>
              <w:spacing w:before="240" w:after="240"/>
              <w:jc w:val="left"/>
              <w:rPr>
                <w:szCs w:val="24"/>
              </w:rPr>
            </w:pPr>
            <w:r>
              <w:rPr>
                <w:szCs w:val="24"/>
              </w:rPr>
              <w:t>Les bénéficiaires doivent respecter les règles liées à la conditionnalité en vertu de l’articl</w:t>
            </w:r>
            <w:r>
              <w:rPr>
                <w:szCs w:val="24"/>
              </w:rPr>
              <w:t>e 92 du Règlement (UE) n°1306/2013.</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Personne physique ou morale exerçant une activité agricole.</w:t>
            </w:r>
          </w:p>
          <w:p w:rsidR="0035701C" w:rsidRDefault="00FB561B">
            <w:pPr>
              <w:spacing w:before="240" w:after="240"/>
              <w:jc w:val="left"/>
              <w:rPr>
                <w:szCs w:val="24"/>
              </w:rPr>
            </w:pPr>
            <w:r>
              <w:rPr>
                <w:szCs w:val="24"/>
              </w:rPr>
              <w:t>Les paiements sont accordés aux agriculteurs actifs au sens de l'article 9 du règlement (UE) n° 1307/2013.</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pertes de </w:t>
            </w:r>
            <w:r>
              <w:rPr>
                <w:szCs w:val="24"/>
              </w:rPr>
              <w:t>revenu sont évaluées sur la base des différences entre les revenus moyens des exploitations des zones visées par rapport à celles des zones non contraintes. Les revenus de ces exploitations sont issus soit du réseau d'informations comptables national (RICA</w:t>
            </w:r>
            <w:r>
              <w:rPr>
                <w:szCs w:val="24"/>
              </w:rPr>
              <w:t>), soit pour le détail des filières locales du Référentiel Technico Economique Régional Corse financé par l'Etat et l'ODARC.</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Eligibilité du demandeur</w:t>
            </w:r>
            <w:r>
              <w:rPr>
                <w:szCs w:val="24"/>
              </w:rPr>
              <w:t> :</w:t>
            </w:r>
          </w:p>
          <w:p w:rsidR="0035701C" w:rsidRDefault="00FB561B" w:rsidP="00FB561B">
            <w:pPr>
              <w:numPr>
                <w:ilvl w:val="0"/>
                <w:numId w:val="938"/>
              </w:numPr>
              <w:spacing w:before="240" w:after="240"/>
              <w:ind w:hanging="244"/>
              <w:jc w:val="left"/>
              <w:rPr>
                <w:szCs w:val="24"/>
              </w:rPr>
            </w:pPr>
            <w:r>
              <w:rPr>
                <w:szCs w:val="24"/>
              </w:rPr>
              <w:t>relevant de l’exploitation</w:t>
            </w:r>
          </w:p>
          <w:p w:rsidR="0035701C" w:rsidRDefault="00FB561B" w:rsidP="00FB561B">
            <w:pPr>
              <w:numPr>
                <w:ilvl w:val="0"/>
                <w:numId w:val="939"/>
              </w:numPr>
              <w:spacing w:before="240" w:after="0"/>
              <w:ind w:hanging="210"/>
              <w:jc w:val="left"/>
              <w:rPr>
                <w:szCs w:val="24"/>
              </w:rPr>
            </w:pPr>
            <w:r>
              <w:rPr>
                <w:szCs w:val="24"/>
              </w:rPr>
              <w:t>Pour les surfaces fourragères : détenir un chept</w:t>
            </w:r>
            <w:r>
              <w:rPr>
                <w:szCs w:val="24"/>
              </w:rPr>
              <w:t>el en production animale d’au moins 3 UGB herbivores avec au moins 3 ha de surfaces fourragères éligibles.</w:t>
            </w:r>
          </w:p>
          <w:p w:rsidR="0035701C" w:rsidRDefault="00FB561B" w:rsidP="00FB561B">
            <w:pPr>
              <w:numPr>
                <w:ilvl w:val="0"/>
                <w:numId w:val="939"/>
              </w:numPr>
              <w:spacing w:before="0" w:after="240"/>
              <w:ind w:hanging="210"/>
              <w:jc w:val="left"/>
              <w:rPr>
                <w:szCs w:val="24"/>
              </w:rPr>
            </w:pPr>
            <w:r>
              <w:rPr>
                <w:szCs w:val="24"/>
              </w:rPr>
              <w:t>Pour les surfaces cultivées destinées à la commercialisation, détenir au moins 1 ha en culture éligible</w:t>
            </w:r>
          </w:p>
          <w:p w:rsidR="0035701C" w:rsidRDefault="00FB561B">
            <w:pPr>
              <w:spacing w:before="240" w:after="240"/>
              <w:ind w:left="360"/>
              <w:jc w:val="left"/>
              <w:rPr>
                <w:szCs w:val="24"/>
              </w:rPr>
            </w:pPr>
            <w:r>
              <w:rPr>
                <w:szCs w:val="24"/>
              </w:rPr>
              <w:t>Ces critères permettent notamment de garantir</w:t>
            </w:r>
            <w:r>
              <w:rPr>
                <w:szCs w:val="24"/>
              </w:rPr>
              <w:t xml:space="preserve"> un niveau minimum d’entretien des terres dans les systèmes de conduite (cf. Annexe M13 § 2).</w:t>
            </w:r>
          </w:p>
          <w:p w:rsidR="0035701C" w:rsidRDefault="00FB561B">
            <w:pPr>
              <w:spacing w:before="240" w:after="240"/>
              <w:ind w:left="720"/>
              <w:jc w:val="left"/>
              <w:rPr>
                <w:szCs w:val="24"/>
              </w:rPr>
            </w:pPr>
            <w:r>
              <w:rPr>
                <w:szCs w:val="24"/>
              </w:rPr>
              <w:t> </w:t>
            </w:r>
          </w:p>
          <w:p w:rsidR="0035701C" w:rsidRDefault="00FB561B" w:rsidP="00FB561B">
            <w:pPr>
              <w:numPr>
                <w:ilvl w:val="0"/>
                <w:numId w:val="940"/>
              </w:numPr>
              <w:spacing w:before="240" w:after="240"/>
              <w:ind w:hanging="244"/>
              <w:jc w:val="left"/>
              <w:rPr>
                <w:szCs w:val="24"/>
              </w:rPr>
            </w:pPr>
            <w:r>
              <w:rPr>
                <w:szCs w:val="24"/>
              </w:rPr>
              <w:t>Relevant de l’exploitant:</w:t>
            </w:r>
          </w:p>
          <w:p w:rsidR="0035701C" w:rsidRDefault="00FB561B" w:rsidP="00FB561B">
            <w:pPr>
              <w:numPr>
                <w:ilvl w:val="0"/>
                <w:numId w:val="941"/>
              </w:numPr>
              <w:spacing w:before="240" w:after="0"/>
              <w:ind w:hanging="210"/>
              <w:jc w:val="left"/>
              <w:rPr>
                <w:szCs w:val="24"/>
              </w:rPr>
            </w:pPr>
            <w:r>
              <w:rPr>
                <w:szCs w:val="24"/>
              </w:rPr>
              <w:t>Être un agriculteur actif,</w:t>
            </w:r>
          </w:p>
          <w:p w:rsidR="0035701C" w:rsidRDefault="00FB561B" w:rsidP="00FB561B">
            <w:pPr>
              <w:numPr>
                <w:ilvl w:val="0"/>
                <w:numId w:val="941"/>
              </w:numPr>
              <w:spacing w:before="0" w:after="240"/>
              <w:ind w:hanging="210"/>
              <w:jc w:val="left"/>
              <w:rPr>
                <w:szCs w:val="24"/>
              </w:rPr>
            </w:pPr>
            <w:r>
              <w:rPr>
                <w:szCs w:val="24"/>
              </w:rPr>
              <w:t xml:space="preserve">Un GAEC (groupement agricole d’exploitation en commun) est éligible à l’indemnité avec une dégressivité de </w:t>
            </w:r>
            <w:r>
              <w:rPr>
                <w:szCs w:val="24"/>
              </w:rPr>
              <w:t>l’aide appliquée au niveau des membres éligibles du GAEC selon les conditions prévues à l'article 31.4 du règlement 1305/2013.</w:t>
            </w:r>
          </w:p>
          <w:p w:rsidR="0035701C" w:rsidRDefault="00FB561B" w:rsidP="00FB561B">
            <w:pPr>
              <w:numPr>
                <w:ilvl w:val="0"/>
                <w:numId w:val="942"/>
              </w:numPr>
              <w:spacing w:before="240" w:after="240"/>
              <w:ind w:hanging="210"/>
              <w:jc w:val="left"/>
              <w:rPr>
                <w:szCs w:val="24"/>
              </w:rPr>
            </w:pPr>
            <w:r>
              <w:rPr>
                <w:szCs w:val="24"/>
              </w:rPr>
              <w:t>Les autres exploitations agricoles de forme sociétaire peuvent bénéficier de l’indemnité dans la limite d’un plafond dès lors qu'</w:t>
            </w:r>
            <w:r>
              <w:rPr>
                <w:szCs w:val="24"/>
              </w:rPr>
              <w:t>au moins un associé exploitant remplit les conditions d’éligibilité à l'aide.</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taux d’aide publique est de 100%.</w:t>
            </w:r>
          </w:p>
          <w:p w:rsidR="0035701C" w:rsidRDefault="00FB561B">
            <w:pPr>
              <w:spacing w:before="240" w:after="240"/>
              <w:jc w:val="left"/>
              <w:rPr>
                <w:szCs w:val="24"/>
              </w:rPr>
            </w:pPr>
            <w:r>
              <w:rPr>
                <w:szCs w:val="24"/>
              </w:rPr>
              <w:t xml:space="preserve">Les montants </w:t>
            </w:r>
            <w:r>
              <w:rPr>
                <w:szCs w:val="24"/>
              </w:rPr>
              <w:t>unitaires sont compris dans la fourchette réglementaire précisée à l’annexe II du Règlement (UE) n°1305/2013 ; ils correspondent à une compensation partielle des surcoûts et pertes d’exploitation en zone de handicap spécifique.</w:t>
            </w:r>
          </w:p>
          <w:p w:rsidR="0035701C" w:rsidRDefault="00FB561B">
            <w:pPr>
              <w:spacing w:before="240" w:after="240"/>
              <w:jc w:val="left"/>
              <w:rPr>
                <w:szCs w:val="24"/>
              </w:rPr>
            </w:pPr>
            <w:r>
              <w:rPr>
                <w:szCs w:val="24"/>
              </w:rPr>
              <w:t>Les montants d’aides à l’hec</w:t>
            </w:r>
            <w:r>
              <w:rPr>
                <w:szCs w:val="24"/>
              </w:rPr>
              <w:t>tare sont ceux du tableau ci-dessous :</w:t>
            </w:r>
          </w:p>
          <w:tbl>
            <w:tblPr>
              <w:tblW w:w="7500" w:type="dxa"/>
              <w:jc w:val="center"/>
              <w:tblCellSpacing w:w="8" w:type="dxa"/>
              <w:tblCellMar>
                <w:top w:w="15" w:type="dxa"/>
                <w:left w:w="15" w:type="dxa"/>
                <w:bottom w:w="15" w:type="dxa"/>
                <w:right w:w="15" w:type="dxa"/>
              </w:tblCellMar>
              <w:tblLook w:val="04A0" w:firstRow="1" w:lastRow="0" w:firstColumn="1" w:lastColumn="0" w:noHBand="0" w:noVBand="1"/>
            </w:tblPr>
            <w:tblGrid>
              <w:gridCol w:w="6059"/>
              <w:gridCol w:w="1417"/>
            </w:tblGrid>
            <w:tr w:rsidR="0035701C">
              <w:trPr>
                <w:tblCellSpacing w:w="8" w:type="dxa"/>
                <w:jc w:val="center"/>
              </w:trPr>
              <w:tc>
                <w:tcPr>
                  <w:tcW w:w="0" w:type="auto"/>
                  <w:gridSpan w:val="2"/>
                  <w:tcMar>
                    <w:top w:w="0" w:type="dxa"/>
                    <w:left w:w="108" w:type="dxa"/>
                    <w:bottom w:w="0" w:type="dxa"/>
                    <w:right w:w="108" w:type="dxa"/>
                  </w:tcMar>
                  <w:vAlign w:val="center"/>
                  <w:hideMark/>
                </w:tcPr>
                <w:p w:rsidR="0035701C" w:rsidRDefault="00FB561B">
                  <w:pPr>
                    <w:spacing w:before="0" w:after="0"/>
                    <w:jc w:val="center"/>
                    <w:rPr>
                      <w:color w:val="000000"/>
                      <w:szCs w:val="24"/>
                    </w:rPr>
                  </w:pPr>
                  <w:r>
                    <w:rPr>
                      <w:color w:val="000000"/>
                      <w:szCs w:val="24"/>
                    </w:rPr>
                    <w:t>Paiements ZSCS</w:t>
                  </w:r>
                </w:p>
              </w:tc>
            </w:tr>
            <w:tr w:rsidR="0035701C">
              <w:tblPrEx>
                <w:tblBorders>
                  <w:top w:val="outset" w:sz="6" w:space="0" w:color="808080"/>
                  <w:left w:val="outset" w:sz="6" w:space="0" w:color="808080"/>
                  <w:bottom w:val="outset" w:sz="6" w:space="0" w:color="808080"/>
                  <w:right w:val="outset" w:sz="6" w:space="0" w:color="808080"/>
                </w:tblBorders>
              </w:tblPrEx>
              <w:trPr>
                <w:tblCellSpacing w:w="8" w:type="dxa"/>
                <w:jc w:val="center"/>
              </w:trPr>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Montant en €/ha pour les 25 premiers hectares de surface admissible</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ZSCN et ZSCS</w:t>
                  </w:r>
                </w:p>
              </w:tc>
            </w:tr>
            <w:tr w:rsidR="0035701C">
              <w:tblPrEx>
                <w:tblBorders>
                  <w:top w:val="outset" w:sz="6" w:space="0" w:color="808080"/>
                  <w:left w:val="outset" w:sz="6" w:space="0" w:color="808080"/>
                  <w:bottom w:val="outset" w:sz="6" w:space="0" w:color="808080"/>
                  <w:right w:val="outset" w:sz="6" w:space="0" w:color="808080"/>
                </w:tblBorders>
              </w:tblPrEx>
              <w:trPr>
                <w:tblCellSpacing w:w="8" w:type="dxa"/>
                <w:jc w:val="center"/>
              </w:trPr>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Surface fourragère (Elevage)</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192</w:t>
                  </w:r>
                </w:p>
              </w:tc>
            </w:tr>
            <w:tr w:rsidR="0035701C">
              <w:tblPrEx>
                <w:tblBorders>
                  <w:top w:val="outset" w:sz="6" w:space="0" w:color="808080"/>
                  <w:left w:val="outset" w:sz="6" w:space="0" w:color="808080"/>
                  <w:bottom w:val="outset" w:sz="6" w:space="0" w:color="808080"/>
                  <w:right w:val="outset" w:sz="6" w:space="0" w:color="808080"/>
                </w:tblBorders>
              </w:tblPrEx>
              <w:trPr>
                <w:tblCellSpacing w:w="8" w:type="dxa"/>
                <w:jc w:val="center"/>
              </w:trPr>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Cultures : oliviers, châtaigniers, noisetiers</w:t>
                  </w:r>
                </w:p>
              </w:tc>
              <w:tc>
                <w:tcPr>
                  <w:tcW w:w="0" w:type="auto"/>
                  <w:tcBorders>
                    <w:top w:val="inset" w:sz="6" w:space="0" w:color="808080"/>
                    <w:left w:val="inset" w:sz="6" w:space="0" w:color="808080"/>
                    <w:bottom w:val="inset" w:sz="6" w:space="0" w:color="808080"/>
                    <w:right w:val="inset" w:sz="6" w:space="0" w:color="808080"/>
                  </w:tcBorders>
                  <w:tcMar>
                    <w:top w:w="22" w:type="dxa"/>
                    <w:left w:w="22" w:type="dxa"/>
                    <w:bottom w:w="22" w:type="dxa"/>
                    <w:right w:w="22" w:type="dxa"/>
                  </w:tcMar>
                  <w:vAlign w:val="center"/>
                  <w:hideMark/>
                </w:tcPr>
                <w:p w:rsidR="0035701C" w:rsidRDefault="00FB561B">
                  <w:pPr>
                    <w:spacing w:before="0" w:after="0"/>
                    <w:jc w:val="left"/>
                    <w:rPr>
                      <w:color w:val="000000"/>
                      <w:szCs w:val="24"/>
                    </w:rPr>
                  </w:pPr>
                  <w:r>
                    <w:rPr>
                      <w:color w:val="000000"/>
                      <w:szCs w:val="24"/>
                    </w:rPr>
                    <w:t>180</w:t>
                  </w:r>
                </w:p>
              </w:tc>
            </w:tr>
          </w:tbl>
          <w:p w:rsidR="0035701C" w:rsidRDefault="00FB561B">
            <w:pPr>
              <w:spacing w:before="240" w:after="240"/>
              <w:jc w:val="left"/>
              <w:rPr>
                <w:szCs w:val="24"/>
              </w:rPr>
            </w:pPr>
            <w:r>
              <w:rPr>
                <w:szCs w:val="24"/>
              </w:rPr>
              <w:t xml:space="preserve">L’ICHN est versée dans la limite </w:t>
            </w:r>
            <w:r>
              <w:rPr>
                <w:szCs w:val="24"/>
              </w:rPr>
              <w:t>de 50 hectares de surfaces admissibles.</w:t>
            </w:r>
          </w:p>
          <w:p w:rsidR="0035701C" w:rsidRDefault="00FB561B">
            <w:pPr>
              <w:spacing w:before="240" w:after="240"/>
              <w:jc w:val="left"/>
              <w:rPr>
                <w:szCs w:val="24"/>
              </w:rPr>
            </w:pPr>
            <w:r>
              <w:rPr>
                <w:szCs w:val="24"/>
              </w:rPr>
              <w:t>L’aide est dégressive au-delà des 25 premiers hectares de surfaces primables, afin d'ajuster les montants reçus à l'intensité des contraintes subies par l'exploitation. Ces montants sont diminués d’1/3 du 26 ème au 5</w:t>
            </w:r>
            <w:r>
              <w:rPr>
                <w:szCs w:val="24"/>
              </w:rPr>
              <w:t>0ème hectare primé.</w:t>
            </w:r>
          </w:p>
          <w:p w:rsidR="0035701C" w:rsidRDefault="00FB561B">
            <w:pPr>
              <w:spacing w:before="240" w:after="240"/>
              <w:jc w:val="left"/>
              <w:rPr>
                <w:szCs w:val="24"/>
              </w:rPr>
            </w:pPr>
            <w:r>
              <w:rPr>
                <w:szCs w:val="24"/>
              </w:rPr>
              <w:t>Par ailleurs, ces montants seront modulés de la façon suivante:</w:t>
            </w:r>
          </w:p>
          <w:p w:rsidR="0035701C" w:rsidRDefault="00FB561B">
            <w:pPr>
              <w:spacing w:before="240" w:after="240"/>
              <w:jc w:val="left"/>
              <w:rPr>
                <w:szCs w:val="24"/>
              </w:rPr>
            </w:pPr>
            <w:r>
              <w:rPr>
                <w:b/>
                <w:bCs/>
                <w:szCs w:val="24"/>
              </w:rPr>
              <w:t>1 - Majoration pour les élevages transhumants :</w:t>
            </w:r>
          </w:p>
          <w:p w:rsidR="0035701C" w:rsidRDefault="00FB561B">
            <w:pPr>
              <w:spacing w:before="240" w:after="240"/>
              <w:ind w:left="720"/>
              <w:jc w:val="left"/>
              <w:rPr>
                <w:szCs w:val="24"/>
              </w:rPr>
            </w:pPr>
            <w:r>
              <w:rPr>
                <w:szCs w:val="24"/>
              </w:rPr>
              <w:t xml:space="preserve">En zone soumise à des contraintes naturelles, les montants sont majorés de 30% lorsque le cheptel de l'exploitant, converti </w:t>
            </w:r>
            <w:r>
              <w:rPr>
                <w:szCs w:val="24"/>
              </w:rPr>
              <w:t>en UGB est constitué à plus de 50% d'ovins ou de caprins.</w:t>
            </w:r>
          </w:p>
          <w:p w:rsidR="0035701C" w:rsidRDefault="00FB561B">
            <w:pPr>
              <w:spacing w:before="240" w:after="240"/>
              <w:jc w:val="left"/>
              <w:rPr>
                <w:szCs w:val="24"/>
              </w:rPr>
            </w:pPr>
            <w:r>
              <w:rPr>
                <w:b/>
                <w:bCs/>
                <w:szCs w:val="24"/>
              </w:rPr>
              <w:t>2 - Modulation de l'ICHN pour les pluriactifs :</w:t>
            </w:r>
          </w:p>
          <w:p w:rsidR="0035701C" w:rsidRDefault="00FB561B">
            <w:pPr>
              <w:spacing w:before="240" w:after="240"/>
              <w:ind w:left="720"/>
              <w:jc w:val="left"/>
              <w:rPr>
                <w:szCs w:val="24"/>
              </w:rPr>
            </w:pPr>
            <w:r>
              <w:rPr>
                <w:szCs w:val="24"/>
              </w:rPr>
              <w:t>Les agriculteurs pluriactifs dont la majorité des surfaces se situent dans les zones soumises à des contraintes naturelles ou spécifiques ([SAU_ZSCN +</w:t>
            </w:r>
            <w:r>
              <w:rPr>
                <w:szCs w:val="24"/>
              </w:rPr>
              <w:t xml:space="preserve"> SAU_ZSCS] / SAU &gt;50%), qui ont une activité principale non agricole (RNA&gt;RA), et pour lesquels les revenus non agricoles sont supérieurs à ½ SMIC brut ne reçoivent pas de paiement ICHN.</w:t>
            </w:r>
          </w:p>
          <w:p w:rsidR="0035701C" w:rsidRDefault="00FB561B">
            <w:pPr>
              <w:spacing w:before="240" w:after="240"/>
              <w:jc w:val="left"/>
              <w:rPr>
                <w:szCs w:val="24"/>
              </w:rPr>
            </w:pPr>
            <w:r>
              <w:rPr>
                <w:b/>
                <w:bCs/>
                <w:szCs w:val="24"/>
              </w:rPr>
              <w:t>3 - Modulation de l'ICHN selon le type de surface</w:t>
            </w:r>
          </w:p>
          <w:p w:rsidR="0035701C" w:rsidRDefault="00FB561B" w:rsidP="00FB561B">
            <w:pPr>
              <w:numPr>
                <w:ilvl w:val="0"/>
                <w:numId w:val="943"/>
              </w:numPr>
              <w:spacing w:before="240" w:after="0"/>
              <w:ind w:hanging="210"/>
              <w:jc w:val="left"/>
              <w:rPr>
                <w:szCs w:val="24"/>
              </w:rPr>
            </w:pPr>
            <w:r>
              <w:rPr>
                <w:szCs w:val="24"/>
              </w:rPr>
              <w:t>Les surfaces receva</w:t>
            </w:r>
            <w:r>
              <w:rPr>
                <w:szCs w:val="24"/>
              </w:rPr>
              <w:t>nt l’indemnité sont les surfaces fourragères associées à des élevages, à savoir : les prairies naturelles, temporaires ou permanentes, parcours, landes, plantes fourragères annuelles, céréales et protéagineux à destination par fauche ou par pâturage des an</w:t>
            </w:r>
            <w:r>
              <w:rPr>
                <w:szCs w:val="24"/>
              </w:rPr>
              <w:t>imaux (ruminants) de l’exploitation, ainsi que les surfaces fourragères en pâturage collectif déclarées par les entités collectives pour la part correspondante utilisée par le demandeur.</w:t>
            </w:r>
          </w:p>
          <w:p w:rsidR="0035701C" w:rsidRDefault="00FB561B" w:rsidP="00FB561B">
            <w:pPr>
              <w:numPr>
                <w:ilvl w:val="0"/>
                <w:numId w:val="943"/>
              </w:numPr>
              <w:spacing w:before="0" w:after="240"/>
              <w:ind w:hanging="210"/>
              <w:jc w:val="left"/>
              <w:rPr>
                <w:szCs w:val="24"/>
              </w:rPr>
            </w:pPr>
            <w:r>
              <w:rPr>
                <w:szCs w:val="24"/>
              </w:rPr>
              <w:t>L'analyse des coûts supplémentaires et des pertes de revenus pour les</w:t>
            </w:r>
            <w:r>
              <w:rPr>
                <w:szCs w:val="24"/>
              </w:rPr>
              <w:t xml:space="preserve"> exploitations orientées vers des productions végétales montre que l’octroi de l'aide aux surfaces cultivées n'est pas justifié à l'exception des surfaces en culture de châtaigniers, oliviers et noisetiers, destinées à la commercialisation.</w:t>
            </w:r>
          </w:p>
          <w:p w:rsidR="0035701C" w:rsidRDefault="00FB561B">
            <w:pPr>
              <w:spacing w:before="240" w:after="240"/>
              <w:jc w:val="left"/>
              <w:rPr>
                <w:szCs w:val="24"/>
              </w:rPr>
            </w:pPr>
            <w:r>
              <w:rPr>
                <w:b/>
                <w:bCs/>
                <w:szCs w:val="24"/>
              </w:rPr>
              <w:t xml:space="preserve">4 - Modulation </w:t>
            </w:r>
            <w:r>
              <w:rPr>
                <w:b/>
                <w:bCs/>
                <w:szCs w:val="24"/>
              </w:rPr>
              <w:t xml:space="preserve">de l'ICHN afin d’adapter les paiements aux exploitations ayant presque totalement surmonté le handicap </w:t>
            </w:r>
            <w:r>
              <w:rPr>
                <w:szCs w:val="24"/>
              </w:rPr>
              <w:t>en raison de l’évolution de leur système de production, au moment de pouvoir prétendre à la retraite.</w:t>
            </w:r>
          </w:p>
          <w:p w:rsidR="0035701C" w:rsidRDefault="00FB561B">
            <w:pPr>
              <w:spacing w:before="240" w:after="240"/>
              <w:ind w:left="720"/>
              <w:jc w:val="left"/>
              <w:rPr>
                <w:szCs w:val="24"/>
              </w:rPr>
            </w:pPr>
            <w:r>
              <w:rPr>
                <w:szCs w:val="24"/>
              </w:rPr>
              <w:t>Conformément aux précisions figurant à l’Annexe M13</w:t>
            </w:r>
            <w:r>
              <w:rPr>
                <w:szCs w:val="24"/>
              </w:rPr>
              <w:t>, il apparaît que les exploitations agricoles dont les membres peuvent prétendre à la retraite, ont par la configuration différenciée de leur système de conduite technique et économique de l’exploitation presque totalement surmonté les handicaps. Aussi, af</w:t>
            </w:r>
            <w:r>
              <w:rPr>
                <w:szCs w:val="24"/>
              </w:rPr>
              <w:t xml:space="preserve">in d’éviter une surcompensation du revenu de ces exploitants par l’ICHN, le niveau de l’aide pour les exploitations dont la majorité des agriculteurs dépassent l’âge minimum légal d’accès à la retraite à taux plein et dont le système d'exploitation répond </w:t>
            </w:r>
            <w:r>
              <w:rPr>
                <w:szCs w:val="24"/>
              </w:rPr>
              <w:t>aux conditions précisées à l'annexe M13, est ramené à 13% des montants unitaires.</w:t>
            </w:r>
          </w:p>
          <w:p w:rsidR="0035701C" w:rsidRDefault="00FB561B">
            <w:pPr>
              <w:spacing w:before="240" w:after="240"/>
              <w:ind w:left="720"/>
              <w:jc w:val="left"/>
              <w:rPr>
                <w:szCs w:val="24"/>
              </w:rPr>
            </w:pPr>
            <w:r>
              <w:rPr>
                <w:szCs w:val="24"/>
              </w:rPr>
              <w:t>Ces conditions sont vérifiées sur la base de l’un des critères technico-économiques suivants :</w:t>
            </w:r>
          </w:p>
          <w:p w:rsidR="0035701C" w:rsidRDefault="00FB561B" w:rsidP="00FB561B">
            <w:pPr>
              <w:numPr>
                <w:ilvl w:val="0"/>
                <w:numId w:val="944"/>
              </w:numPr>
              <w:spacing w:before="240" w:after="0"/>
              <w:ind w:hanging="210"/>
              <w:jc w:val="left"/>
              <w:rPr>
                <w:szCs w:val="24"/>
              </w:rPr>
            </w:pPr>
            <w:r>
              <w:rPr>
                <w:szCs w:val="24"/>
              </w:rPr>
              <w:t>le nombre et le montant moyen des investissements de l’exploitation est inférie</w:t>
            </w:r>
            <w:r>
              <w:rPr>
                <w:szCs w:val="24"/>
              </w:rPr>
              <w:t>ur à la moyenne des autres exploitations</w:t>
            </w:r>
          </w:p>
          <w:p w:rsidR="0035701C" w:rsidRDefault="00FB561B" w:rsidP="00FB561B">
            <w:pPr>
              <w:numPr>
                <w:ilvl w:val="0"/>
                <w:numId w:val="944"/>
              </w:numPr>
              <w:spacing w:before="0" w:after="0"/>
              <w:ind w:hanging="210"/>
              <w:jc w:val="left"/>
              <w:rPr>
                <w:szCs w:val="24"/>
              </w:rPr>
            </w:pPr>
            <w:r>
              <w:rPr>
                <w:szCs w:val="24"/>
              </w:rPr>
              <w:t>la part de leur surface agricole en herbe et des autres surfaces cultivées en contrepartie des surfaces en parcours ligneux, est augmentée d’au moins 1/3 pour cette catégorie</w:t>
            </w:r>
          </w:p>
          <w:p w:rsidR="0035701C" w:rsidRDefault="00FB561B" w:rsidP="00FB561B">
            <w:pPr>
              <w:numPr>
                <w:ilvl w:val="0"/>
                <w:numId w:val="944"/>
              </w:numPr>
              <w:spacing w:before="0" w:after="240"/>
              <w:ind w:hanging="210"/>
              <w:jc w:val="left"/>
              <w:rPr>
                <w:szCs w:val="24"/>
              </w:rPr>
            </w:pPr>
            <w:r>
              <w:rPr>
                <w:szCs w:val="24"/>
              </w:rPr>
              <w:t xml:space="preserve">le degré d’autonomie alimentaire, </w:t>
            </w:r>
            <w:r>
              <w:rPr>
                <w:szCs w:val="24"/>
              </w:rPr>
              <w:t>(mesuré par le ratio Nombre d’ha en herbe mis en valeur par unité de cheptel), de ces exploitations est au moins 3 fois supérieur pour cette catégorie d’exploitations, par rapport à l’ensemble des exploitations en zone défavorisées.</w:t>
            </w:r>
          </w:p>
          <w:p w:rsidR="0035701C" w:rsidRDefault="00FB561B">
            <w:pPr>
              <w:spacing w:before="240" w:after="240"/>
              <w:jc w:val="left"/>
              <w:rPr>
                <w:szCs w:val="24"/>
              </w:rPr>
            </w:pPr>
            <w:r>
              <w:rPr>
                <w:b/>
                <w:bCs/>
                <w:szCs w:val="24"/>
              </w:rPr>
              <w:t>5 - Stabilisateur budgé</w:t>
            </w:r>
            <w:r>
              <w:rPr>
                <w:b/>
                <w:bCs/>
                <w:szCs w:val="24"/>
              </w:rPr>
              <w:t>taire.</w:t>
            </w:r>
          </w:p>
          <w:p w:rsidR="0035701C" w:rsidRDefault="00FB561B">
            <w:pPr>
              <w:spacing w:before="240" w:after="240"/>
              <w:ind w:left="720"/>
              <w:jc w:val="left"/>
              <w:rPr>
                <w:szCs w:val="24"/>
              </w:rPr>
            </w:pPr>
            <w:r>
              <w:rPr>
                <w:szCs w:val="24"/>
              </w:rPr>
              <w:t>Afin de respecter l’enveloppe notifiée de crédits à engager, un stabilisateur budgétaire pourra être défini annuellement. Il devra être supérieur ou égal à 90 % de l’enveloppe prévue. Il sera appliqué sur le montant total de la prime attribuée à cha</w:t>
            </w:r>
            <w:r>
              <w:rPr>
                <w:szCs w:val="24"/>
              </w:rPr>
              <w:t>que bénéficiaire.</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Paragraphe : risques liés à la mise en œuvre de la mesure M13</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Cf. Paragraphe : risques </w:t>
            </w:r>
            <w:r>
              <w:rPr>
                <w:szCs w:val="24"/>
              </w:rPr>
              <w:t>liés à la mise en œuvre de la mesure M13</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Paragraphe : risques liés à la mise en œuvre de la mesure M13</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Voir les annexes de justification des montants de </w:t>
            </w:r>
            <w:r>
              <w:rPr>
                <w:szCs w:val="24"/>
              </w:rPr>
              <w:t>la mesure 13.</w:t>
            </w:r>
          </w:p>
          <w:p w:rsidR="0035701C" w:rsidRDefault="0035701C">
            <w:pPr>
              <w:pStyle w:val="Corpsdetexte"/>
            </w:pPr>
          </w:p>
        </w:tc>
      </w:tr>
    </w:tbl>
    <w:p w:rsidR="0035701C" w:rsidRDefault="00FB561B">
      <w:pPr>
        <w:pStyle w:val="Titre6"/>
      </w:pPr>
      <w:r>
        <w:t>Informations spécifiques sur l'opération</w:t>
      </w:r>
    </w:p>
    <w:p w:rsidR="0035701C" w:rsidRDefault="00FB561B">
      <w:r>
        <w:t>Fixation de la superficie minimale par exploitation sur la base de laquelle l’État membre calcule la dégressivité des paiements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paragraphe : Informations spécifiques sur la mesure M13</w:t>
            </w:r>
          </w:p>
          <w:p w:rsidR="0035701C" w:rsidRDefault="0035701C">
            <w:pPr>
              <w:pStyle w:val="Corpsdetexte"/>
            </w:pPr>
          </w:p>
        </w:tc>
      </w:tr>
    </w:tbl>
    <w:p w:rsidR="0035701C" w:rsidRDefault="00FB561B">
      <w:r>
        <w:t xml:space="preserve">[Désignation des zones soumises à des contraintes naturelles et à d'autres contraintes spécifiques] Description du niveau de l'unité locale appliquée pour la désignation des zones.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paragraphe : Informations spécifiques sur la mesure M13</w:t>
            </w:r>
          </w:p>
          <w:p w:rsidR="0035701C" w:rsidRDefault="0035701C">
            <w:pPr>
              <w:pStyle w:val="Corpsdetexte"/>
            </w:pPr>
          </w:p>
        </w:tc>
      </w:tr>
    </w:tbl>
    <w:p w:rsidR="0035701C" w:rsidRDefault="00FB561B">
      <w:r>
        <w:t>[Désignation</w:t>
      </w:r>
      <w:r>
        <w:t xml:space="preserve"> des zones soumises à des contraintes naturelles et à d'autres contraintes spécifiques] Description de l’application de la méthode, y compris les critères visés à l’article 32 du règlement (UE) n° 1305/2013, pour la délimitation des trois catégories de zon</w:t>
      </w:r>
      <w:r>
        <w:t>es visées dans ledit article, y compris la description et les résultats du rééquilibrage en faveur des zones soumises à des contraintes naturelles et à d’autres contraintes spécifiques autres que les zones de montagne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Cf. paragraphe : Informations spécifiq</w:t>
            </w:r>
            <w:r>
              <w:rPr>
                <w:szCs w:val="24"/>
              </w:rPr>
              <w:t>ues sur la mesure M13</w:t>
            </w:r>
          </w:p>
          <w:p w:rsidR="0035701C" w:rsidRDefault="0035701C">
            <w:pPr>
              <w:pStyle w:val="Corpsdetexte"/>
            </w:pPr>
          </w:p>
        </w:tc>
      </w:tr>
    </w:tbl>
    <w:p w:rsidR="0035701C" w:rsidRDefault="00FB561B">
      <w:pPr>
        <w:pStyle w:val="Titre4"/>
        <w:jc w:val="left"/>
      </w:pPr>
      <w:r>
        <w:t>Caractère vérifiable et contrôlable des mesures et/ou types d'opérations</w:t>
      </w:r>
    </w:p>
    <w:p w:rsidR="0035701C" w:rsidRDefault="00FB561B">
      <w:pPr>
        <w:pStyle w:val="Titre5"/>
        <w:rPr>
          <w:b w:val="0"/>
        </w:rPr>
      </w:pPr>
      <w:r>
        <w:rPr>
          <w:b w:val="0"/>
        </w:rPr>
        <w:t>Risque(s) dans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w:t>
            </w:r>
          </w:p>
          <w:p w:rsidR="0035701C" w:rsidRDefault="00FB561B">
            <w:pPr>
              <w:spacing w:before="240" w:after="240"/>
              <w:jc w:val="left"/>
              <w:rPr>
                <w:szCs w:val="24"/>
              </w:rPr>
            </w:pPr>
            <w:r>
              <w:rPr>
                <w:szCs w:val="24"/>
              </w:rPr>
              <w:t xml:space="preserve">- L'OP a demandé que soient bien décrits les diverses </w:t>
            </w:r>
            <w:r>
              <w:rPr>
                <w:szCs w:val="24"/>
              </w:rPr>
              <w:t>définitions réglementaires des aides surfaciques tant sur la définition des bénéficiaires que sur les surfaces et cheptels. Ce point a été pleinement satisfait y compris sur les GAEC et autres formes sociétaires possibles. Le cas particulier des prétendant</w:t>
            </w:r>
            <w:r>
              <w:rPr>
                <w:szCs w:val="24"/>
              </w:rPr>
              <w:t xml:space="preserve">s possibles à la retraite qui n'étaient pas éligibles aux aides lors de la dernière programmation est pris en charge de façon raisonnable et cohérente. Les éléments retracés suite aux échanges avec la Commission appellent une remarque particulière de l’OP </w:t>
            </w:r>
            <w:r>
              <w:rPr>
                <w:szCs w:val="24"/>
              </w:rPr>
              <w:t xml:space="preserve">concernant le nombre minimum UGB à détenir sur l’exploitation. En effet, au vu du nombre restreint d’UGB finalement retenu, l’OP serait attentif aux éventuels problèmes de sous pâturage. L'OP souhaite cependant rappeler que les aides directes (1er pilier) </w:t>
            </w:r>
            <w:r>
              <w:rPr>
                <w:szCs w:val="24"/>
              </w:rPr>
              <w:t>sont payées par un autre OP qui est également en charge du développement des outils SIGC pour l'Etat Membre. Les dispositions prévues par l'AG en Corse ne suscitent pas de difficultés particulières pour s'intégrer dans les outils nationaux.</w:t>
            </w:r>
          </w:p>
          <w:p w:rsidR="0035701C" w:rsidRDefault="00FB561B">
            <w:pPr>
              <w:spacing w:before="240" w:after="240"/>
              <w:jc w:val="left"/>
              <w:rPr>
                <w:szCs w:val="24"/>
              </w:rPr>
            </w:pPr>
            <w:r>
              <w:rPr>
                <w:szCs w:val="24"/>
                <w:u w:val="single"/>
              </w:rPr>
              <w:t>Risques identif</w:t>
            </w:r>
            <w:r>
              <w:rPr>
                <w:szCs w:val="24"/>
                <w:u w:val="single"/>
              </w:rPr>
              <w:t>iés selon la méthodologie présentée par l’OP (cf. chapitre 18)</w:t>
            </w:r>
          </w:p>
          <w:p w:rsidR="0035701C" w:rsidRDefault="00FB561B">
            <w:pPr>
              <w:spacing w:before="240" w:after="240"/>
              <w:jc w:val="left"/>
              <w:rPr>
                <w:szCs w:val="24"/>
              </w:rPr>
            </w:pPr>
            <w:r>
              <w:rPr>
                <w:szCs w:val="24"/>
              </w:rPr>
              <w:t>n°1 - R1  : Nouveaux Bénéficiaires Cas spécifique des prétendants possibles à la retraite : Définition claire et objective des critères minimaux d’éligibilité du demandeur et de la demande avec</w:t>
            </w:r>
            <w:r>
              <w:rPr>
                <w:szCs w:val="24"/>
              </w:rPr>
              <w:t xml:space="preserve"> parution et large diffusion au public potentiel, formalisation transparente sans interprétation possible des différentes exigences tant en éligibilité qu’en maintien des engagements obligatoires. (source : Ponctuel sur Retour d'Expérience)</w:t>
            </w:r>
          </w:p>
          <w:p w:rsidR="0035701C" w:rsidRDefault="00FB561B">
            <w:pPr>
              <w:spacing w:before="240" w:after="240"/>
              <w:jc w:val="left"/>
              <w:rPr>
                <w:szCs w:val="24"/>
              </w:rPr>
            </w:pPr>
            <w:r>
              <w:rPr>
                <w:szCs w:val="24"/>
              </w:rPr>
              <w:t>n°2 - R8  : Par</w:t>
            </w:r>
            <w:r>
              <w:rPr>
                <w:szCs w:val="24"/>
              </w:rPr>
              <w:t>amétrage adéquat des outils ETAT MEMBRE -Effectivité de la mise à disposition des outils en conformité avec les exigences du PDRC. Dans le cadre des mesures « Surfaces » et "Hors Surfaces" vigilance accrue sur la disponibilité et l’adéquation des outils de</w:t>
            </w:r>
            <w:r>
              <w:rPr>
                <w:szCs w:val="24"/>
              </w:rPr>
              <w:t xml:space="preserve"> gestion nationaux au regard des exigences du présent PDRC. (source : DG AGRI 2011, DG AGRI 2013, CCCOP Exercices 2008-2013, SAI 2013-2014, Audit d'agrément DG AGRI J5 (juin 2014))</w:t>
            </w:r>
          </w:p>
          <w:p w:rsidR="0035701C" w:rsidRDefault="00FB561B">
            <w:pPr>
              <w:spacing w:before="240" w:after="240"/>
              <w:jc w:val="left"/>
              <w:rPr>
                <w:szCs w:val="24"/>
              </w:rPr>
            </w:pPr>
            <w:r>
              <w:rPr>
                <w:szCs w:val="24"/>
              </w:rPr>
              <w:t>n°3 - R8  : Accessibilité pour l’OP comme pour l’AG aux informations releva</w:t>
            </w:r>
            <w:r>
              <w:rPr>
                <w:szCs w:val="24"/>
              </w:rPr>
              <w:t>nt du 1er Pilier de la PAC nécessaires à la bonne gestion et au contrôle du PDRC. (source : CCCOP Exercices 2008-2013, SAI 2013-2014)</w:t>
            </w:r>
          </w:p>
          <w:p w:rsidR="0035701C" w:rsidRDefault="0035701C">
            <w:pPr>
              <w:pStyle w:val="Corpsdetexte"/>
            </w:pPr>
          </w:p>
        </w:tc>
      </w:tr>
    </w:tbl>
    <w:p w:rsidR="0035701C" w:rsidRDefault="00FB561B">
      <w:pPr>
        <w:pStyle w:val="Titre5"/>
        <w:rPr>
          <w:b w:val="0"/>
        </w:rPr>
      </w:pPr>
      <w:r>
        <w:rPr>
          <w:b w:val="0"/>
        </w:rP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n°1 - R1  : VERIFIER ET CONTROLER auprès de la MSA (Régime social agricole national) le statut </w:t>
            </w:r>
            <w:r>
              <w:rPr>
                <w:szCs w:val="24"/>
              </w:rPr>
              <w:t>d'exploitant ou non du demandeur.</w:t>
            </w:r>
          </w:p>
          <w:p w:rsidR="0035701C" w:rsidRDefault="00FB561B">
            <w:pPr>
              <w:spacing w:before="240" w:after="240"/>
              <w:jc w:val="left"/>
              <w:rPr>
                <w:szCs w:val="24"/>
              </w:rPr>
            </w:pPr>
            <w:r>
              <w:rPr>
                <w:szCs w:val="24"/>
              </w:rPr>
              <w:t>n°2 - R8  : ETABLIR par EM procédure de paramétrage des outils SIGC,</w:t>
            </w:r>
          </w:p>
          <w:p w:rsidR="0035701C" w:rsidRDefault="00FB561B">
            <w:pPr>
              <w:spacing w:before="240" w:after="240"/>
              <w:jc w:val="left"/>
              <w:rPr>
                <w:szCs w:val="24"/>
              </w:rPr>
            </w:pPr>
            <w:r>
              <w:rPr>
                <w:szCs w:val="24"/>
              </w:rPr>
              <w:t>                RESPECT par OP de cette procédure,</w:t>
            </w:r>
          </w:p>
          <w:p w:rsidR="0035701C" w:rsidRDefault="00FB561B">
            <w:pPr>
              <w:spacing w:before="240" w:after="240"/>
              <w:jc w:val="left"/>
              <w:rPr>
                <w:szCs w:val="24"/>
              </w:rPr>
            </w:pPr>
            <w:r>
              <w:rPr>
                <w:szCs w:val="24"/>
              </w:rPr>
              <w:t>                MISE EN PRODUCTION CONFORME dans des délais cohérents avec les mises en paiement."</w:t>
            </w:r>
          </w:p>
          <w:p w:rsidR="0035701C" w:rsidRDefault="00FB561B">
            <w:pPr>
              <w:spacing w:before="240" w:after="240"/>
              <w:jc w:val="left"/>
              <w:rPr>
                <w:szCs w:val="24"/>
              </w:rPr>
            </w:pPr>
            <w:r>
              <w:rPr>
                <w:szCs w:val="24"/>
              </w:rPr>
              <w:t>n°3</w:t>
            </w:r>
            <w:r>
              <w:rPr>
                <w:szCs w:val="24"/>
              </w:rPr>
              <w:t xml:space="preserve"> - R8  : Prise en compte des demandes d'habilitations aux outils déclarés par l'EM formulées par l'OP-ODARC.</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5"/>
        <w:rPr>
          <w:b w:val="0"/>
        </w:rPr>
      </w:pPr>
      <w:r>
        <w:rPr>
          <w:b w:val="0"/>
        </w:rP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Au vu des cotations matricielles, sur le poids financier de la mesure (&gt;50%), sur les priorités, les risques,</w:t>
            </w:r>
            <w:r>
              <w:rPr>
                <w:szCs w:val="24"/>
              </w:rPr>
              <w:t xml:space="preserve"> les mesures d’atténuation prévues, cette mesure reçoit une évaluation  favorable assez peu risquée ; Les mécanismes de mise en œuvre sont connus et maîtrisés par tous les acteurs,  les programmations précédentes qui ont suscité des problèmes particuliers </w:t>
            </w:r>
            <w:r>
              <w:rPr>
                <w:szCs w:val="24"/>
              </w:rPr>
              <w:t>sur les outils nationaux SIGC sont pris en charge par l'EM et l'OP. Les recommandations et rappels à la règlementation faits par la Commission lors de l’audit de juin 2012 ont été pris en charge, notamment vis-à-vis de la contrôlabilité du taux de chargeme</w:t>
            </w:r>
            <w:r>
              <w:rPr>
                <w:szCs w:val="24"/>
              </w:rPr>
              <w:t>nt. Ce dernier ayant été supprimé.</w:t>
            </w:r>
          </w:p>
          <w:p w:rsidR="0035701C" w:rsidRDefault="00FB561B">
            <w:pPr>
              <w:spacing w:before="240" w:after="240"/>
              <w:jc w:val="left"/>
              <w:rPr>
                <w:szCs w:val="24"/>
              </w:rPr>
            </w:pPr>
            <w:r>
              <w:rPr>
                <w:szCs w:val="24"/>
              </w:rPr>
              <w:t>- La phase d'instruction des demandes d'aides du PDRC SIGC étant dorénavant gérée directement par l'OP-ODARC, les risques relatifs à la bonne transmission des informations entre les partenaires sont fortement diminués.</w:t>
            </w:r>
          </w:p>
          <w:p w:rsidR="0035701C" w:rsidRDefault="00FB561B">
            <w:pPr>
              <w:spacing w:before="240" w:after="240"/>
              <w:jc w:val="left"/>
              <w:rPr>
                <w:szCs w:val="24"/>
              </w:rPr>
            </w:pPr>
            <w:r>
              <w:rPr>
                <w:szCs w:val="24"/>
              </w:rPr>
              <w:t xml:space="preserve">- </w:t>
            </w:r>
            <w:r>
              <w:rPr>
                <w:szCs w:val="24"/>
              </w:rPr>
              <w:t xml:space="preserve">Concernant l'évaluation globale de la mesure : la mesure est contrôlable sous réserve de la mise en place d'actions d'atténuation et des précisions apportées dans les documents de mise en œuvre notamment sur la nécessité de bien contrôler l'éligibilité du </w:t>
            </w:r>
            <w:r>
              <w:rPr>
                <w:szCs w:val="24"/>
              </w:rPr>
              <w:t>demandeur principalement pour les prétendants possibles à la retraite, et la stricte adéquation des outils de gestion de l'EM aux exigences de la mesure du PDRC. Une surveillance particulière sera assurée par l'OP sur la qualité des paramétrages, des saisi</w:t>
            </w:r>
            <w:r>
              <w:rPr>
                <w:szCs w:val="24"/>
              </w:rPr>
              <w:t>es des déclarations de surface et de leur contrôle administratif. Ces derniers éléments font l'objet d'un conventionnement EM/OP.</w:t>
            </w:r>
          </w:p>
          <w:p w:rsidR="0035701C" w:rsidRDefault="0035701C">
            <w:pPr>
              <w:pStyle w:val="Corpsdetexte"/>
            </w:pPr>
          </w:p>
        </w:tc>
      </w:tr>
    </w:tbl>
    <w:p w:rsidR="0035701C" w:rsidRDefault="00FB561B">
      <w:pPr>
        <w:pStyle w:val="Titre4"/>
        <w:jc w:val="left"/>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Voir les annexes de justification des montants de la mesure 1</w:t>
            </w:r>
            <w:r>
              <w:rPr>
                <w:szCs w:val="24"/>
              </w:rPr>
              <w:t>3 : annexe M13 et Annexe complémentaire 2019</w:t>
            </w:r>
          </w:p>
          <w:p w:rsidR="0035701C" w:rsidRDefault="0035701C">
            <w:pPr>
              <w:pStyle w:val="Corpsdetexte"/>
            </w:pPr>
          </w:p>
        </w:tc>
      </w:tr>
    </w:tbl>
    <w:p w:rsidR="0035701C" w:rsidRDefault="00FB561B">
      <w:pPr>
        <w:pStyle w:val="Titre4"/>
        <w:jc w:val="left"/>
      </w:pPr>
      <w:r>
        <w:t>Informations spécifiques sur la mesure</w:t>
      </w:r>
    </w:p>
    <w:p w:rsidR="0035701C" w:rsidRDefault="00FB561B">
      <w:r>
        <w:t>Fixation de la superficie minimale par exploitation sur la base de laquelle l’État membre calcule la dégressivité des paiements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paiements sont dégressifs au-delà du 2</w:t>
            </w:r>
            <w:r>
              <w:rPr>
                <w:szCs w:val="24"/>
              </w:rPr>
              <w:t>5ème hectare primé (premier seuil de dégressivité), puis nuls au-delà de 50 hectares primables (deuxième seuil de dégressivité).</w:t>
            </w:r>
          </w:p>
          <w:p w:rsidR="0035701C" w:rsidRDefault="0035701C">
            <w:pPr>
              <w:pStyle w:val="Corpsdetexte"/>
            </w:pPr>
          </w:p>
        </w:tc>
      </w:tr>
    </w:tbl>
    <w:p w:rsidR="0035701C" w:rsidRDefault="00FB561B">
      <w:pPr>
        <w:spacing w:after="100"/>
      </w:pPr>
      <w:r>
        <w:t xml:space="preserve">[Désignation des zones soumises à des contraintes naturelles et à d'autres contraintes spécifiques] Description du niveau de l'unité locale appliquée pour la désignation des zones.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La délimitation de l’unité locale à partir de laquelle le classement est r</w:t>
            </w:r>
            <w:r>
              <w:rPr>
                <w:szCs w:val="24"/>
              </w:rPr>
              <w:t>éalisé est en France la commune (LAU2).</w:t>
            </w:r>
          </w:p>
          <w:p w:rsidR="0035701C" w:rsidRDefault="0035701C">
            <w:pPr>
              <w:pStyle w:val="Corpsdetexte"/>
              <w:spacing w:after="100"/>
            </w:pPr>
          </w:p>
        </w:tc>
      </w:tr>
    </w:tbl>
    <w:p w:rsidR="0035701C" w:rsidRDefault="00FB561B">
      <w:pPr>
        <w:spacing w:after="100"/>
      </w:pPr>
      <w:r>
        <w:t>[Désignation des zones soumises à des contraintes naturelles et à d'autres contraintes spécifiques] Description de l’application de la méthode, y compris les critères visés à l’article 32 du règlement (UE) n° 1305/</w:t>
      </w:r>
      <w:r>
        <w:t>2013, pour la délimitation des trois catégories de zones visées dans ledit article, y compris la description et les résultats du rééquilibrage en faveur des zones soumises à des contraintes naturelles et à d’autres contraintes spécifiques autres que les zo</w:t>
      </w:r>
      <w:r>
        <w:t>nes de montagne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u w:val="single"/>
              </w:rPr>
              <w:t>1) Contexte du zonage avant la mise en œuvre de la réforme</w:t>
            </w:r>
          </w:p>
          <w:p w:rsidR="0035701C" w:rsidRDefault="00FB561B">
            <w:pPr>
              <w:spacing w:before="240" w:after="240"/>
              <w:jc w:val="left"/>
              <w:rPr>
                <w:szCs w:val="24"/>
              </w:rPr>
            </w:pPr>
            <w:r>
              <w:rPr>
                <w:szCs w:val="24"/>
              </w:rPr>
              <w:t>En Corse, 27 communes bordant le littoral ne sont pas classées en zone de montagne et ont été étudiées dans le cadre de la révision du zonage. Sur ces 27 communes, 22 étaient classé</w:t>
            </w:r>
            <w:r>
              <w:rPr>
                <w:szCs w:val="24"/>
              </w:rPr>
              <w:t>es en zones affectées de handicaps spécifiques (ZHS) et 5 hors zone défavorisées.</w:t>
            </w:r>
          </w:p>
          <w:p w:rsidR="0035701C" w:rsidRDefault="00FB561B">
            <w:pPr>
              <w:spacing w:before="240" w:after="240"/>
              <w:jc w:val="left"/>
              <w:rPr>
                <w:szCs w:val="24"/>
              </w:rPr>
            </w:pPr>
            <w:r>
              <w:rPr>
                <w:szCs w:val="24"/>
              </w:rPr>
              <w:t>La révision du zonage à partir de 2019 sur la région a été effectuée conformément au règlement (UE) n° 1305/2013 et selon les méthodes établies à l’échelon national par le Mi</w:t>
            </w:r>
            <w:r>
              <w:rPr>
                <w:szCs w:val="24"/>
              </w:rPr>
              <w:t>nistère de l'agriculture et de l'alimentation (MAA) avec le concours de l’INRA.</w:t>
            </w:r>
          </w:p>
          <w:p w:rsidR="0035701C" w:rsidRDefault="00FB561B">
            <w:pPr>
              <w:spacing w:before="240" w:after="240"/>
              <w:jc w:val="left"/>
              <w:rPr>
                <w:szCs w:val="24"/>
              </w:rPr>
            </w:pPr>
            <w:r>
              <w:rPr>
                <w:szCs w:val="24"/>
              </w:rPr>
              <w:t>L'ensemble de la Corse représente une SAU de 301 133 ha (2016).</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u w:val="single"/>
              </w:rPr>
              <w:t>2) Principes généraux</w:t>
            </w:r>
          </w:p>
          <w:p w:rsidR="0035701C" w:rsidRDefault="00FB561B">
            <w:pPr>
              <w:spacing w:before="240" w:after="240"/>
              <w:jc w:val="left"/>
              <w:rPr>
                <w:szCs w:val="24"/>
              </w:rPr>
            </w:pPr>
            <w:r>
              <w:rPr>
                <w:szCs w:val="24"/>
              </w:rPr>
              <w:t xml:space="preserve">Les principes et méthodes retenus pour la Corse sont strictement identiques à ceux déjà </w:t>
            </w:r>
            <w:r>
              <w:rPr>
                <w:szCs w:val="24"/>
              </w:rPr>
              <w:t>utilisés en France hexagonale.</w:t>
            </w:r>
          </w:p>
          <w:p w:rsidR="0035701C" w:rsidRDefault="00FB561B">
            <w:pPr>
              <w:spacing w:before="240" w:after="240"/>
              <w:jc w:val="left"/>
              <w:rPr>
                <w:szCs w:val="24"/>
              </w:rPr>
            </w:pPr>
            <w:r>
              <w:rPr>
                <w:szCs w:val="24"/>
              </w:rPr>
              <w:t>La Corse compte 3 régions agricoles, réparties sur les 2 ex-départements corses : « littoral corse en Corse du Sud », « littoral corse en Haute-Corse », « coteaux corses en Haute Corse » .</w:t>
            </w:r>
          </w:p>
          <w:p w:rsidR="0035701C" w:rsidRDefault="00FB561B">
            <w:pPr>
              <w:spacing w:before="240" w:after="240"/>
              <w:jc w:val="left"/>
              <w:rPr>
                <w:szCs w:val="24"/>
              </w:rPr>
            </w:pPr>
            <w:r>
              <w:rPr>
                <w:szCs w:val="24"/>
              </w:rPr>
              <w:t>La maille PRA est utilisée pour appl</w:t>
            </w:r>
            <w:r>
              <w:rPr>
                <w:szCs w:val="24"/>
              </w:rPr>
              <w:t>iquer :</w:t>
            </w:r>
          </w:p>
          <w:p w:rsidR="0035701C" w:rsidRDefault="00FB561B" w:rsidP="00FB561B">
            <w:pPr>
              <w:numPr>
                <w:ilvl w:val="0"/>
                <w:numId w:val="945"/>
              </w:numPr>
              <w:spacing w:before="240" w:after="240"/>
              <w:ind w:hanging="210"/>
              <w:jc w:val="left"/>
              <w:rPr>
                <w:szCs w:val="24"/>
              </w:rPr>
            </w:pPr>
            <w:r>
              <w:rPr>
                <w:szCs w:val="24"/>
              </w:rPr>
              <w:t>en ZSCN et ZSCS critères combinés, le réglage fin par le calcul du chargement, la production brute standard, ainsi que pour appliquer les principes de Production brute standard (PBS) "restreinte" et de "tunnel" d'activation ;</w:t>
            </w:r>
          </w:p>
          <w:p w:rsidR="0035701C" w:rsidRDefault="00FB561B" w:rsidP="00FB561B">
            <w:pPr>
              <w:numPr>
                <w:ilvl w:val="0"/>
                <w:numId w:val="946"/>
              </w:numPr>
              <w:spacing w:before="240" w:after="240"/>
              <w:ind w:hanging="210"/>
              <w:jc w:val="left"/>
              <w:rPr>
                <w:szCs w:val="24"/>
              </w:rPr>
            </w:pPr>
            <w:r>
              <w:rPr>
                <w:szCs w:val="24"/>
              </w:rPr>
              <w:t>en ZSCS, l'ensemble de</w:t>
            </w:r>
            <w:r>
              <w:rPr>
                <w:szCs w:val="24"/>
              </w:rPr>
              <w:t>s critères, sauf le critère "zones humides" défini lui à l'échelle de la commune.</w:t>
            </w:r>
          </w:p>
          <w:p w:rsidR="0035701C" w:rsidRDefault="00FB561B">
            <w:pPr>
              <w:spacing w:before="240" w:after="240"/>
              <w:jc w:val="left"/>
              <w:rPr>
                <w:szCs w:val="24"/>
              </w:rPr>
            </w:pPr>
            <w:r>
              <w:rPr>
                <w:szCs w:val="24"/>
              </w:rPr>
              <w:t>La liste des communes classées en ZSCN et ZSCS est fixée par une disposition juridique nationale.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u w:val="single"/>
              </w:rPr>
              <w:t>3) Établissement du zonage des zones soumises à des contraintes naturelles</w:t>
            </w:r>
            <w:r>
              <w:rPr>
                <w:b/>
                <w:bCs/>
                <w:szCs w:val="24"/>
                <w:u w:val="single"/>
              </w:rPr>
              <w:t xml:space="preserve"> (ZSCN)</w:t>
            </w:r>
          </w:p>
          <w:p w:rsidR="0035701C" w:rsidRDefault="00FB561B">
            <w:pPr>
              <w:spacing w:before="240" w:after="240"/>
              <w:jc w:val="left"/>
              <w:rPr>
                <w:szCs w:val="24"/>
              </w:rPr>
            </w:pPr>
            <w:r>
              <w:rPr>
                <w:szCs w:val="24"/>
              </w:rPr>
              <w:t> </w:t>
            </w:r>
          </w:p>
          <w:p w:rsidR="0035701C" w:rsidRDefault="00FB561B" w:rsidP="00FB561B">
            <w:pPr>
              <w:numPr>
                <w:ilvl w:val="0"/>
                <w:numId w:val="947"/>
              </w:numPr>
              <w:spacing w:before="240" w:after="240"/>
              <w:ind w:hanging="244"/>
              <w:jc w:val="left"/>
              <w:rPr>
                <w:szCs w:val="24"/>
              </w:rPr>
            </w:pPr>
            <w:r>
              <w:rPr>
                <w:b/>
                <w:bCs/>
                <w:szCs w:val="24"/>
              </w:rPr>
              <w:t>Délimitation par les critères biophysiques</w:t>
            </w:r>
          </w:p>
          <w:p w:rsidR="0035701C" w:rsidRDefault="00FB561B">
            <w:pPr>
              <w:spacing w:before="240" w:after="240"/>
              <w:jc w:val="left"/>
              <w:rPr>
                <w:szCs w:val="24"/>
              </w:rPr>
            </w:pPr>
            <w:r>
              <w:rPr>
                <w:szCs w:val="24"/>
              </w:rPr>
              <w:t xml:space="preserve">Comme le montre les cartes dans l’annexe INRA jointe au PDRC, parmi les 12 critères biophysiques établis par le règlement (drainage des sols limité, 15% ou plus du volume de la couche arable en éléments </w:t>
            </w:r>
            <w:r>
              <w:rPr>
                <w:szCs w:val="24"/>
              </w:rPr>
              <w:t>grossiers ou présentant des affleurements rocheux, texture sableuse ou sablo-limoneuse sur une épaisseur ≥ 50 cm sur les 100 premiers cm de sol, couche arable présentant une texture d'argile lourde (≥ 60%), teneur en matière organique ≥ 30% sur une épaisse</w:t>
            </w:r>
            <w:r>
              <w:rPr>
                <w:szCs w:val="24"/>
              </w:rPr>
              <w:t xml:space="preserve">ur ≥ 40 cm sur les 100 premiers cm de sol, strate à caractère vertique ≥ 15 cm, à une profondeur ≤ 100 cm et dont la couche arable présente une teneur en argile ≥ 30%, profondeur d'enracinement ≤ 30 cm, salinité ≥ 4 dS/m dans la couche arable,, sodicité ≥ </w:t>
            </w:r>
            <w:r>
              <w:rPr>
                <w:szCs w:val="24"/>
              </w:rPr>
              <w:t>6 ESP sur une épaisseur ≥ 50 cm sur les 100 premiers cm de sol, acidité ≤ 5 dans la couche arable, pente ≥ 15%, rapport précipitations/évapotranspiration ≤ 0,5 et ce, sur au moins 7 années sur 30), 4 critères sont opérant dans le classement ZSCN dès lors q</w:t>
            </w:r>
            <w:r>
              <w:rPr>
                <w:szCs w:val="24"/>
              </w:rPr>
              <w:t>ue 60% de la SAU répond à ces critères :</w:t>
            </w:r>
          </w:p>
          <w:p w:rsidR="0035701C" w:rsidRDefault="00FB561B" w:rsidP="00FB561B">
            <w:pPr>
              <w:numPr>
                <w:ilvl w:val="0"/>
                <w:numId w:val="948"/>
              </w:numPr>
              <w:spacing w:before="240" w:after="0"/>
              <w:ind w:hanging="210"/>
              <w:jc w:val="left"/>
              <w:rPr>
                <w:szCs w:val="24"/>
              </w:rPr>
            </w:pPr>
            <w:r>
              <w:rPr>
                <w:szCs w:val="24"/>
              </w:rPr>
              <w:t>Pente &gt; 15%</w:t>
            </w:r>
          </w:p>
          <w:p w:rsidR="0035701C" w:rsidRDefault="00FB561B" w:rsidP="00FB561B">
            <w:pPr>
              <w:numPr>
                <w:ilvl w:val="0"/>
                <w:numId w:val="948"/>
              </w:numPr>
              <w:spacing w:before="0" w:after="0"/>
              <w:ind w:hanging="210"/>
              <w:jc w:val="left"/>
              <w:rPr>
                <w:szCs w:val="24"/>
              </w:rPr>
            </w:pPr>
            <w:r>
              <w:rPr>
                <w:szCs w:val="24"/>
              </w:rPr>
              <w:t>P/ETP &lt; 0,5 sur 7 mois</w:t>
            </w:r>
          </w:p>
          <w:p w:rsidR="0035701C" w:rsidRDefault="00FB561B" w:rsidP="00FB561B">
            <w:pPr>
              <w:numPr>
                <w:ilvl w:val="0"/>
                <w:numId w:val="948"/>
              </w:numPr>
              <w:spacing w:before="0" w:after="0"/>
              <w:ind w:hanging="210"/>
              <w:jc w:val="left"/>
              <w:rPr>
                <w:szCs w:val="24"/>
              </w:rPr>
            </w:pPr>
            <w:r>
              <w:rPr>
                <w:szCs w:val="24"/>
              </w:rPr>
              <w:t>Profondeur sols &lt; 30cm</w:t>
            </w:r>
          </w:p>
          <w:p w:rsidR="0035701C" w:rsidRDefault="00FB561B" w:rsidP="00FB561B">
            <w:pPr>
              <w:numPr>
                <w:ilvl w:val="0"/>
                <w:numId w:val="948"/>
              </w:numPr>
              <w:spacing w:before="0" w:after="240"/>
              <w:ind w:hanging="210"/>
              <w:jc w:val="left"/>
              <w:rPr>
                <w:szCs w:val="24"/>
              </w:rPr>
            </w:pPr>
            <w:r>
              <w:rPr>
                <w:szCs w:val="24"/>
              </w:rPr>
              <w:t>Sols à éléments grossiers ou mal drainés</w:t>
            </w:r>
          </w:p>
          <w:p w:rsidR="0035701C" w:rsidRDefault="00FB561B">
            <w:pPr>
              <w:spacing w:before="240" w:after="240"/>
              <w:ind w:left="720"/>
              <w:jc w:val="left"/>
              <w:rPr>
                <w:szCs w:val="24"/>
              </w:rPr>
            </w:pPr>
            <w:r>
              <w:rPr>
                <w:szCs w:val="24"/>
              </w:rPr>
              <w:t> </w:t>
            </w:r>
          </w:p>
          <w:p w:rsidR="0035701C" w:rsidRDefault="00FB561B" w:rsidP="00FB561B">
            <w:pPr>
              <w:numPr>
                <w:ilvl w:val="0"/>
                <w:numId w:val="949"/>
              </w:numPr>
              <w:spacing w:before="240" w:after="240"/>
              <w:ind w:hanging="244"/>
              <w:jc w:val="left"/>
              <w:rPr>
                <w:szCs w:val="24"/>
              </w:rPr>
            </w:pPr>
            <w:r>
              <w:rPr>
                <w:b/>
                <w:bCs/>
                <w:szCs w:val="24"/>
              </w:rPr>
              <w:t>Réglage fin</w:t>
            </w:r>
          </w:p>
          <w:p w:rsidR="0035701C" w:rsidRDefault="00FB561B">
            <w:pPr>
              <w:spacing w:before="240" w:after="240"/>
              <w:jc w:val="left"/>
              <w:rPr>
                <w:szCs w:val="24"/>
              </w:rPr>
            </w:pPr>
            <w:r>
              <w:rPr>
                <w:szCs w:val="24"/>
              </w:rPr>
              <w:t xml:space="preserve">Le réglage fin est réalisé en utilisant trois indicateurs (calculés à l’échelle de la petite région </w:t>
            </w:r>
            <w:r>
              <w:rPr>
                <w:szCs w:val="24"/>
              </w:rPr>
              <w:t>agricole) :</w:t>
            </w:r>
          </w:p>
          <w:p w:rsidR="0035701C" w:rsidRDefault="00FB561B">
            <w:pPr>
              <w:spacing w:before="240" w:after="240"/>
              <w:jc w:val="left"/>
              <w:rPr>
                <w:szCs w:val="24"/>
              </w:rPr>
            </w:pPr>
            <w:r>
              <w:rPr>
                <w:szCs w:val="24"/>
              </w:rPr>
              <w:t xml:space="preserve">1- PBS (Production Brute Standard )/ha ≤ 80% PBS/ha nationale </w:t>
            </w:r>
            <w:r>
              <w:rPr>
                <w:szCs w:val="24"/>
                <w:u w:val="single"/>
              </w:rPr>
              <w:t>ou</w:t>
            </w:r>
            <w:r>
              <w:rPr>
                <w:szCs w:val="24"/>
              </w:rPr>
              <w:t xml:space="preserve"> PBS "restreinte"/ha ≤ 80 % de la PBS « restreinte » nationale.</w:t>
            </w:r>
          </w:p>
          <w:p w:rsidR="0035701C" w:rsidRDefault="00FB561B">
            <w:pPr>
              <w:spacing w:before="240" w:after="240"/>
              <w:jc w:val="left"/>
              <w:rPr>
                <w:szCs w:val="24"/>
              </w:rPr>
            </w:pPr>
            <w:r>
              <w:rPr>
                <w:szCs w:val="24"/>
              </w:rPr>
              <w:t>2- UGB AG (Unité Gros Bétail Alimentation Grossière) /ha SFP (Surface Fourragère Principale) ≤ 1,4.</w:t>
            </w:r>
          </w:p>
          <w:p w:rsidR="0035701C" w:rsidRDefault="00FB561B">
            <w:pPr>
              <w:spacing w:before="240" w:after="240"/>
              <w:jc w:val="left"/>
              <w:rPr>
                <w:szCs w:val="24"/>
              </w:rPr>
            </w:pPr>
            <w:r>
              <w:rPr>
                <w:szCs w:val="24"/>
              </w:rPr>
              <w:t>3- Rendement cér</w:t>
            </w:r>
            <w:r>
              <w:rPr>
                <w:szCs w:val="24"/>
              </w:rPr>
              <w:t>éales (blé tendre) &lt; moyenne nationale (72,6 Qt/ha)</w:t>
            </w:r>
          </w:p>
          <w:p w:rsidR="0035701C" w:rsidRDefault="00FB561B">
            <w:pPr>
              <w:spacing w:before="240" w:after="240"/>
              <w:jc w:val="left"/>
              <w:rPr>
                <w:szCs w:val="24"/>
              </w:rPr>
            </w:pPr>
            <w:r>
              <w:rPr>
                <w:szCs w:val="24"/>
              </w:rPr>
              <w:t xml:space="preserve">Pour être délimitée, une commune classée selon les critères biophysiques doit être en dessous du seuil limite pour </w:t>
            </w:r>
            <w:r>
              <w:rPr>
                <w:szCs w:val="24"/>
                <w:u w:val="single"/>
              </w:rPr>
              <w:t>les trois</w:t>
            </w:r>
            <w:r>
              <w:rPr>
                <w:szCs w:val="24"/>
              </w:rPr>
              <w:t xml:space="preserve"> indicateurs.</w:t>
            </w:r>
          </w:p>
          <w:p w:rsidR="0035701C" w:rsidRDefault="00FB561B">
            <w:pPr>
              <w:spacing w:before="240" w:after="240"/>
              <w:jc w:val="left"/>
              <w:rPr>
                <w:szCs w:val="24"/>
              </w:rPr>
            </w:pPr>
            <w:r>
              <w:rPr>
                <w:szCs w:val="24"/>
              </w:rPr>
              <w:t>L'application de ces 4 critères biophysiques et du réglage fin con</w:t>
            </w:r>
            <w:r>
              <w:rPr>
                <w:szCs w:val="24"/>
              </w:rPr>
              <w:t>duit à classer en ZSCN les 22 communes suivantes : Ajaccio, Bastia, Biguglia, Borgo, Calvi, Canale-di-Verde, Cervione, Furiani, Ghisonaccia, L'Île-Rousse, Lucciana, Penta-di-Casinca, Poggio-Mezzana, Sorbo-Ocagnano, Saint-Florent, San-Giuliano, Santa-Lucia-</w:t>
            </w:r>
            <w:r>
              <w:rPr>
                <w:szCs w:val="24"/>
              </w:rPr>
              <w:t>di-Moriani, Santa-Maria-Poggio, San-Nicolao, Taglio-Isolaccio, Talasani, Valle-di-Campoloro.</w:t>
            </w:r>
          </w:p>
          <w:p w:rsidR="0035701C" w:rsidRDefault="00FB561B">
            <w:pPr>
              <w:spacing w:before="240" w:after="240"/>
              <w:jc w:val="left"/>
              <w:rPr>
                <w:szCs w:val="24"/>
              </w:rPr>
            </w:pPr>
            <w:r>
              <w:rPr>
                <w:szCs w:val="24"/>
              </w:rPr>
              <w:t>Pour information, cela représente une SAU (données recensement agricole de 2010) de 12 059 ha.</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u w:val="single"/>
              </w:rPr>
              <w:t>4) Établissement du zonage des zones soumises à des contraintes sp</w:t>
            </w:r>
            <w:r>
              <w:rPr>
                <w:b/>
                <w:bCs/>
                <w:szCs w:val="24"/>
                <w:u w:val="single"/>
              </w:rPr>
              <w:t>écifiques (ZSCS)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Pour la Corse, le critère « autonomie fourragère », qui fait partie de la famille de critères « élevage extensif – zones herbagères », conduit à classer en ZSCS les communes non classées par l'application des critères biophysiques.</w:t>
            </w:r>
          </w:p>
          <w:p w:rsidR="0035701C" w:rsidRDefault="00FB561B">
            <w:pPr>
              <w:spacing w:before="240" w:after="240"/>
              <w:jc w:val="left"/>
              <w:rPr>
                <w:szCs w:val="24"/>
              </w:rPr>
            </w:pPr>
            <w:r>
              <w:rPr>
                <w:szCs w:val="24"/>
              </w:rPr>
              <w:t xml:space="preserve">Il </w:t>
            </w:r>
            <w:r>
              <w:rPr>
                <w:szCs w:val="24"/>
              </w:rPr>
              <w:t>s’agit de zones où l'élevage présent est majoritairement de type extensif, avec une forte prédominance de surfaces herbagères et pastorales  menacées de régression/disparition ou intensification.</w:t>
            </w:r>
          </w:p>
          <w:p w:rsidR="0035701C" w:rsidRDefault="00FB561B">
            <w:pPr>
              <w:spacing w:before="240" w:after="240"/>
              <w:jc w:val="left"/>
              <w:rPr>
                <w:szCs w:val="24"/>
              </w:rPr>
            </w:pPr>
            <w:r>
              <w:rPr>
                <w:szCs w:val="24"/>
              </w:rPr>
              <w:t>Les zones retenues en Corse sont celles qui combinent à la f</w:t>
            </w:r>
            <w:r>
              <w:rPr>
                <w:szCs w:val="24"/>
              </w:rPr>
              <w:t>ois :</w:t>
            </w:r>
          </w:p>
          <w:p w:rsidR="0035701C" w:rsidRDefault="00FB561B" w:rsidP="00FB561B">
            <w:pPr>
              <w:numPr>
                <w:ilvl w:val="0"/>
                <w:numId w:val="950"/>
              </w:numPr>
              <w:spacing w:before="240" w:after="0"/>
              <w:ind w:hanging="210"/>
              <w:jc w:val="left"/>
              <w:rPr>
                <w:szCs w:val="24"/>
              </w:rPr>
            </w:pPr>
            <w:r>
              <w:rPr>
                <w:szCs w:val="24"/>
              </w:rPr>
              <w:t xml:space="preserve">les 3 indicateurs qui montrent une proportion importante des surfaces herbagères dans la surface agricole totale : </w:t>
            </w:r>
          </w:p>
          <w:p w:rsidR="0035701C" w:rsidRDefault="00FB561B" w:rsidP="00FB561B">
            <w:pPr>
              <w:numPr>
                <w:ilvl w:val="1"/>
                <w:numId w:val="950"/>
              </w:numPr>
              <w:spacing w:before="0" w:after="0"/>
              <w:ind w:hanging="244"/>
              <w:jc w:val="left"/>
              <w:rPr>
                <w:szCs w:val="24"/>
              </w:rPr>
            </w:pPr>
            <w:r>
              <w:rPr>
                <w:szCs w:val="24"/>
              </w:rPr>
              <w:t>STH (surfaces toujours en herbe) /SAU ≥ 30% ou</w:t>
            </w:r>
          </w:p>
          <w:p w:rsidR="0035701C" w:rsidRDefault="00FB561B" w:rsidP="00FB561B">
            <w:pPr>
              <w:numPr>
                <w:ilvl w:val="1"/>
                <w:numId w:val="950"/>
              </w:numPr>
              <w:spacing w:before="0" w:after="0"/>
              <w:ind w:hanging="244"/>
              <w:jc w:val="left"/>
              <w:rPr>
                <w:szCs w:val="24"/>
              </w:rPr>
            </w:pPr>
            <w:r>
              <w:rPr>
                <w:szCs w:val="24"/>
              </w:rPr>
              <w:t>STH + PT (prairies temporaires) /SAU ≥ 40 % ou</w:t>
            </w:r>
          </w:p>
          <w:p w:rsidR="0035701C" w:rsidRDefault="00FB561B" w:rsidP="00FB561B">
            <w:pPr>
              <w:numPr>
                <w:ilvl w:val="1"/>
                <w:numId w:val="950"/>
              </w:numPr>
              <w:spacing w:before="0" w:after="0"/>
              <w:ind w:hanging="244"/>
              <w:jc w:val="left"/>
              <w:rPr>
                <w:szCs w:val="24"/>
              </w:rPr>
            </w:pPr>
            <w:r>
              <w:rPr>
                <w:szCs w:val="24"/>
              </w:rPr>
              <w:t xml:space="preserve">STH + PT +céréales autoconsommées/SAU ≥ </w:t>
            </w:r>
            <w:r>
              <w:rPr>
                <w:szCs w:val="24"/>
              </w:rPr>
              <w:t>42 %</w:t>
            </w:r>
          </w:p>
          <w:p w:rsidR="0035701C" w:rsidRDefault="00FB561B" w:rsidP="00FB561B">
            <w:pPr>
              <w:numPr>
                <w:ilvl w:val="0"/>
                <w:numId w:val="950"/>
              </w:numPr>
              <w:spacing w:before="0" w:after="240"/>
              <w:ind w:hanging="210"/>
              <w:jc w:val="left"/>
              <w:rPr>
                <w:szCs w:val="24"/>
              </w:rPr>
            </w:pPr>
            <w:r>
              <w:rPr>
                <w:szCs w:val="24"/>
              </w:rPr>
              <w:t>et d'autres critères (surfaces peu productives, zones humides, déprise agricole), venant renforcer l'évidence des contraintes pesant sur la production agricole en Corse.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Les 5 communes concernées sont : Aleria, Castellare-di-Casinca, Linguizzetta, V</w:t>
            </w:r>
            <w:r>
              <w:rPr>
                <w:szCs w:val="24"/>
              </w:rPr>
              <w:t>enzolasca et Vescovato.</w:t>
            </w:r>
          </w:p>
          <w:p w:rsidR="0035701C" w:rsidRDefault="00FB561B">
            <w:pPr>
              <w:spacing w:before="240" w:after="240"/>
              <w:jc w:val="left"/>
              <w:rPr>
                <w:szCs w:val="24"/>
              </w:rPr>
            </w:pPr>
            <w:r>
              <w:rPr>
                <w:szCs w:val="24"/>
              </w:rPr>
              <w:t xml:space="preserve">Elles représentent </w:t>
            </w:r>
            <w:r>
              <w:rPr>
                <w:b/>
                <w:bCs/>
                <w:szCs w:val="24"/>
              </w:rPr>
              <w:t>7 899 ha de SAU</w:t>
            </w:r>
            <w:r>
              <w:rPr>
                <w:szCs w:val="24"/>
              </w:rPr>
              <w:t xml:space="preserve"> (SAU totale RA 2010 des communes classées).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u w:val="single"/>
              </w:rPr>
              <w:t>5) Documents annexés</w:t>
            </w:r>
          </w:p>
          <w:p w:rsidR="0035701C" w:rsidRDefault="00FB561B">
            <w:pPr>
              <w:spacing w:before="240" w:after="240"/>
              <w:jc w:val="left"/>
              <w:rPr>
                <w:szCs w:val="24"/>
              </w:rPr>
            </w:pPr>
            <w:r>
              <w:rPr>
                <w:szCs w:val="24"/>
              </w:rPr>
              <w:t>Pour ces délimitations ZSCN et ZSCS voir les documents établis par l'INRA annexés au PDRC et au DCN pour le détail de la méthodolo</w:t>
            </w:r>
            <w:r>
              <w:rPr>
                <w:szCs w:val="24"/>
              </w:rPr>
              <w:t>gie.</w:t>
            </w:r>
          </w:p>
          <w:p w:rsidR="0035701C" w:rsidRDefault="00FB561B">
            <w:pPr>
              <w:spacing w:before="240" w:after="240"/>
              <w:jc w:val="left"/>
              <w:rPr>
                <w:szCs w:val="24"/>
              </w:rPr>
            </w:pPr>
            <w:r>
              <w:rPr>
                <w:szCs w:val="24"/>
              </w:rPr>
              <w:t>Cf. carte du zonage annexée au § "Description" de la M13.</w:t>
            </w:r>
          </w:p>
          <w:p w:rsidR="0035701C" w:rsidRDefault="0035701C">
            <w:pPr>
              <w:pStyle w:val="Corpsdetexte"/>
              <w:spacing w:after="100"/>
            </w:pPr>
          </w:p>
        </w:tc>
      </w:tr>
    </w:tbl>
    <w:p w:rsidR="0035701C" w:rsidRDefault="00FB561B">
      <w:pPr>
        <w:pStyle w:val="Titre4"/>
        <w:spacing w:after="100"/>
        <w:jc w:val="left"/>
      </w:pPr>
      <w:r>
        <w:t>Autres remarques importantes pour comprendre et mettre en œuvre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montants et calculs relatifs à la mesure M13 sont établis dans le respect de l’article 62.2 du règlement FEADER </w:t>
            </w:r>
            <w:r>
              <w:rPr>
                <w:szCs w:val="24"/>
              </w:rPr>
              <w:t>et font l’objet d’une certification réalisée par l'organisme "Eco Logique Conseil", figurant au chapitre 18.2 du programme.</w:t>
            </w:r>
          </w:p>
          <w:p w:rsidR="0035701C" w:rsidRDefault="0035701C">
            <w:pPr>
              <w:pStyle w:val="Corpsdetexte"/>
            </w:pPr>
          </w:p>
        </w:tc>
      </w:tr>
    </w:tbl>
    <w:p w:rsidR="0035701C" w:rsidRDefault="00FB561B">
      <w:pPr>
        <w:pStyle w:val="Titre3"/>
        <w:jc w:val="left"/>
      </w:pPr>
      <w:r>
        <w:br w:type="page"/>
      </w:r>
      <w:bookmarkStart w:id="112" w:name="_Toc256000111"/>
      <w:r>
        <w:t>M19 - Soutien au développement local Leader (CLLD - développement local mené par les acteurs locaux) (article 35 du règlement (UE</w:t>
      </w:r>
      <w:r>
        <w:t>) n° 1303/2013)</w:t>
      </w:r>
      <w:bookmarkEnd w:id="112"/>
    </w:p>
    <w:p w:rsidR="0035701C" w:rsidRDefault="00FB561B">
      <w:pPr>
        <w:pStyle w:val="Titre4"/>
        <w:jc w:val="left"/>
      </w:pPr>
      <w:r>
        <w:t>Base juridique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951"/>
              </w:numPr>
              <w:spacing w:before="0" w:after="0"/>
              <w:ind w:hanging="210"/>
              <w:jc w:val="left"/>
              <w:rPr>
                <w:szCs w:val="24"/>
              </w:rPr>
            </w:pPr>
            <w:r>
              <w:rPr>
                <w:szCs w:val="24"/>
              </w:rPr>
              <w:t>Règlement (UE) n°1303/2013 du 17 décembre 2013 (FEADER) Articles 32 et 35 du Règlement (U.E),</w:t>
            </w:r>
          </w:p>
          <w:p w:rsidR="0035701C" w:rsidRDefault="00FB561B" w:rsidP="00FB561B">
            <w:pPr>
              <w:numPr>
                <w:ilvl w:val="0"/>
                <w:numId w:val="951"/>
              </w:numPr>
              <w:spacing w:before="0" w:after="240"/>
              <w:ind w:hanging="210"/>
              <w:jc w:val="left"/>
              <w:rPr>
                <w:szCs w:val="24"/>
              </w:rPr>
            </w:pPr>
            <w:r>
              <w:rPr>
                <w:szCs w:val="24"/>
              </w:rPr>
              <w:t>Règlement (UE) n°1305/2013 du 17 décembre 2013, Articles 42 à 44 relatifs à LEADER</w:t>
            </w:r>
          </w:p>
          <w:p w:rsidR="0035701C" w:rsidRDefault="0035701C">
            <w:pPr>
              <w:pStyle w:val="Corpsdetexte"/>
            </w:pPr>
          </w:p>
        </w:tc>
      </w:tr>
    </w:tbl>
    <w:p w:rsidR="0035701C" w:rsidRDefault="00FB561B">
      <w:pPr>
        <w:pStyle w:val="Titre4"/>
        <w:jc w:val="left"/>
      </w:pPr>
      <w:r>
        <w:t xml:space="preserve">Description générale de la mesure, y compris </w:t>
      </w:r>
      <w:r>
        <w:t>sa logique d'intervention et sa contribution aux domaines prioritaires et à la réalisation des objectifs transversaux</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LEADER signifie Liaison Entre Actions de Développement de l'Economie Rurale. Il s'agit d'un soutien à des territoires ruraux pour des </w:t>
            </w:r>
            <w:r>
              <w:rPr>
                <w:szCs w:val="24"/>
              </w:rPr>
              <w:t>actions relevant de stratégies définies localement par un ensemble de partenaires publics et privés regroupés dans des groupes d'action locale (GAL). LEADER a existé pendant trois générations sous forme de programmes d'initiative communautaires (PIC). Pour</w:t>
            </w:r>
            <w:r>
              <w:rPr>
                <w:szCs w:val="24"/>
              </w:rPr>
              <w:t xml:space="preserve"> la période 2007-2013, il a été intégré au FEADER dont il a constitué l'axe 4, appelé axe «méthodologique», en raison de son mode de gouvernance spécifique.</w:t>
            </w:r>
          </w:p>
          <w:p w:rsidR="0035701C" w:rsidRDefault="00FB561B">
            <w:pPr>
              <w:spacing w:before="240" w:after="240"/>
              <w:jc w:val="left"/>
              <w:rPr>
                <w:szCs w:val="24"/>
              </w:rPr>
            </w:pPr>
            <w:r>
              <w:rPr>
                <w:szCs w:val="24"/>
              </w:rPr>
              <w:t>Cette intégration dans les Programmes de Développement Ruraux en a fait une méthode de mise en œuvr</w:t>
            </w:r>
            <w:r>
              <w:rPr>
                <w:szCs w:val="24"/>
              </w:rPr>
              <w:t>e des différents axes du développement rural à une échelle infrarégionale, marquant une volonté de territorialisation plus poussée des politiques européennes. Cette volonté de territorialisation est davantage marquée pour la programmation 2014-2020.</w:t>
            </w:r>
          </w:p>
          <w:p w:rsidR="0035701C" w:rsidRDefault="00FB561B">
            <w:pPr>
              <w:spacing w:before="240" w:after="240"/>
              <w:jc w:val="left"/>
              <w:rPr>
                <w:szCs w:val="24"/>
              </w:rPr>
            </w:pPr>
            <w:r>
              <w:rPr>
                <w:szCs w:val="24"/>
              </w:rPr>
              <w:t>LEADER</w:t>
            </w:r>
            <w:r>
              <w:rPr>
                <w:szCs w:val="24"/>
              </w:rPr>
              <w:t xml:space="preserve"> vise explicitement à renforcer ou concevoir des stratégies locales de développement et à sélectionner les actions permettant de concrétiser ces stratégies. Les actions programmées doivent apporter une valeur ajoutée en termes de méthodologie (émergence de</w:t>
            </w:r>
            <w:r>
              <w:rPr>
                <w:szCs w:val="24"/>
              </w:rPr>
              <w:t xml:space="preserve"> nouveaux partenariats) ou de contenu (impact pour le territoire).</w:t>
            </w:r>
          </w:p>
          <w:p w:rsidR="0035701C" w:rsidRDefault="00FB561B">
            <w:pPr>
              <w:spacing w:before="240" w:after="240"/>
              <w:jc w:val="left"/>
              <w:rPr>
                <w:szCs w:val="24"/>
              </w:rPr>
            </w:pPr>
            <w:r>
              <w:rPr>
                <w:szCs w:val="24"/>
              </w:rPr>
              <w:t>L'originalité et la spécificité de LEADER reposent sur plusieurs principes :</w:t>
            </w:r>
          </w:p>
          <w:p w:rsidR="0035701C" w:rsidRDefault="00FB561B" w:rsidP="00FB561B">
            <w:pPr>
              <w:numPr>
                <w:ilvl w:val="0"/>
                <w:numId w:val="952"/>
              </w:numPr>
              <w:spacing w:before="240" w:after="0"/>
              <w:ind w:hanging="210"/>
              <w:jc w:val="left"/>
              <w:rPr>
                <w:szCs w:val="24"/>
              </w:rPr>
            </w:pPr>
            <w:r>
              <w:rPr>
                <w:szCs w:val="24"/>
              </w:rPr>
              <w:t>Définition d'une stratégie de développement définie à un niveau infrarégional,</w:t>
            </w:r>
          </w:p>
          <w:p w:rsidR="0035701C" w:rsidRDefault="00FB561B" w:rsidP="00FB561B">
            <w:pPr>
              <w:numPr>
                <w:ilvl w:val="0"/>
                <w:numId w:val="952"/>
              </w:numPr>
              <w:spacing w:before="0" w:after="0"/>
              <w:ind w:hanging="210"/>
              <w:jc w:val="left"/>
              <w:rPr>
                <w:szCs w:val="24"/>
              </w:rPr>
            </w:pPr>
            <w:r>
              <w:rPr>
                <w:szCs w:val="24"/>
              </w:rPr>
              <w:t xml:space="preserve">Partenariat local, fondé sur une </w:t>
            </w:r>
            <w:r>
              <w:rPr>
                <w:szCs w:val="24"/>
              </w:rPr>
              <w:t>participation d'acteurs publics et privés donnant une place au moins égale à ces derniers au niveau décisionnel. Ce partenariat définit sa stratégie et pro ranime ses actions,</w:t>
            </w:r>
          </w:p>
          <w:p w:rsidR="0035701C" w:rsidRDefault="00FB561B" w:rsidP="00FB561B">
            <w:pPr>
              <w:numPr>
                <w:ilvl w:val="0"/>
                <w:numId w:val="952"/>
              </w:numPr>
              <w:spacing w:before="0" w:after="0"/>
              <w:ind w:hanging="210"/>
              <w:jc w:val="left"/>
              <w:rPr>
                <w:szCs w:val="24"/>
              </w:rPr>
            </w:pPr>
            <w:r>
              <w:rPr>
                <w:szCs w:val="24"/>
              </w:rPr>
              <w:t>Approche ascendante globale consistant à associer plusieurs secteurs de l'économ</w:t>
            </w:r>
            <w:r>
              <w:rPr>
                <w:szCs w:val="24"/>
              </w:rPr>
              <w:t>ie rurale pour définir une stratégie intégrée,</w:t>
            </w:r>
          </w:p>
          <w:p w:rsidR="0035701C" w:rsidRDefault="00FB561B" w:rsidP="00FB561B">
            <w:pPr>
              <w:numPr>
                <w:ilvl w:val="0"/>
                <w:numId w:val="952"/>
              </w:numPr>
              <w:spacing w:before="0" w:after="0"/>
              <w:ind w:hanging="210"/>
              <w:jc w:val="left"/>
              <w:rPr>
                <w:szCs w:val="24"/>
              </w:rPr>
            </w:pPr>
            <w:r>
              <w:rPr>
                <w:szCs w:val="24"/>
              </w:rPr>
              <w:t>Ciblage de la stratégie sur des axes prioritaires pour garantir la concentration des moyens et la lisibilité,</w:t>
            </w:r>
          </w:p>
          <w:p w:rsidR="0035701C" w:rsidRDefault="00FB561B" w:rsidP="00FB561B">
            <w:pPr>
              <w:numPr>
                <w:ilvl w:val="0"/>
                <w:numId w:val="952"/>
              </w:numPr>
              <w:spacing w:before="0" w:after="0"/>
              <w:ind w:hanging="210"/>
              <w:jc w:val="left"/>
              <w:rPr>
                <w:szCs w:val="24"/>
              </w:rPr>
            </w:pPr>
            <w:r>
              <w:rPr>
                <w:szCs w:val="24"/>
              </w:rPr>
              <w:t>Approches novatrices apportant une réelle valeur ajoutée aux territoires par rapport aux autres opé</w:t>
            </w:r>
            <w:r>
              <w:rPr>
                <w:szCs w:val="24"/>
              </w:rPr>
              <w:t>rations existantes (en termes de méthode et/ou de contenu),</w:t>
            </w:r>
          </w:p>
          <w:p w:rsidR="0035701C" w:rsidRDefault="00FB561B" w:rsidP="00FB561B">
            <w:pPr>
              <w:numPr>
                <w:ilvl w:val="0"/>
                <w:numId w:val="952"/>
              </w:numPr>
              <w:spacing w:before="0" w:after="0"/>
              <w:ind w:hanging="210"/>
              <w:jc w:val="left"/>
              <w:rPr>
                <w:szCs w:val="24"/>
              </w:rPr>
            </w:pPr>
            <w:r>
              <w:rPr>
                <w:szCs w:val="24"/>
              </w:rPr>
              <w:t>Engagement dans des processus d'échange et de capitalisation de pratiques innovantes, qui passe par une participation à la mise en réseau,</w:t>
            </w:r>
          </w:p>
          <w:p w:rsidR="0035701C" w:rsidRDefault="00FB561B" w:rsidP="00FB561B">
            <w:pPr>
              <w:numPr>
                <w:ilvl w:val="0"/>
                <w:numId w:val="952"/>
              </w:numPr>
              <w:spacing w:before="0" w:after="240"/>
              <w:ind w:hanging="210"/>
              <w:jc w:val="left"/>
              <w:rPr>
                <w:szCs w:val="24"/>
              </w:rPr>
            </w:pPr>
            <w:r>
              <w:rPr>
                <w:szCs w:val="24"/>
              </w:rPr>
              <w:t>Mise en œuvre de projets de coopération interterritoriale</w:t>
            </w:r>
            <w:r>
              <w:rPr>
                <w:szCs w:val="24"/>
              </w:rPr>
              <w:t xml:space="preserve"> et transnationale.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LEADER devra participer directement au développement des zones rurales et péri-urbaines en renforçant la cohésion territoriale et en contribuant au développement durable à long terme. Il contribuera directement à la  priorité 6 : Prom</w:t>
            </w:r>
            <w:r>
              <w:rPr>
                <w:szCs w:val="24"/>
              </w:rPr>
              <w:t>ouvoir l'inclusion sociale, la réduction de la pauvreté et le développement économique des zones rurales, et plus particulièrement au domaine prioritaire 6 b : promouvoir le développement local dans les zones rurales. Cependant, en raison de la transversal</w:t>
            </w:r>
            <w:r>
              <w:rPr>
                <w:szCs w:val="24"/>
              </w:rPr>
              <w:t>ité inhérente aux stratégies locales, LEADER pourra également contribuer à l’ensemble des priorités de l’Union Européenne pour le FEADER, ainsi qu’aux trois objectifs transversaux du RDR (article 5 du RDR).</w:t>
            </w:r>
          </w:p>
          <w:p w:rsidR="0035701C" w:rsidRDefault="00FB561B">
            <w:pPr>
              <w:spacing w:before="240" w:after="240"/>
              <w:jc w:val="left"/>
              <w:rPr>
                <w:szCs w:val="24"/>
              </w:rPr>
            </w:pPr>
            <w:r>
              <w:rPr>
                <w:szCs w:val="24"/>
              </w:rPr>
              <w:t>Les stratégies locales de développement des GAL d</w:t>
            </w:r>
            <w:r>
              <w:rPr>
                <w:szCs w:val="24"/>
              </w:rPr>
              <w:t>evront impérativement se référer à l’article 7 du règlement (UE) n° 1303/2013 relatif à l’égalité hommes femmes et à la lutte contre les discriminations dans la préparation,  la mise en œuvre, le suivi et l'évaluation. Cet élément sera pris en compte en pa</w:t>
            </w:r>
            <w:r>
              <w:rPr>
                <w:szCs w:val="24"/>
              </w:rPr>
              <w:t>rticulier lors de la sélection des candidatures.</w:t>
            </w:r>
          </w:p>
          <w:p w:rsidR="0035701C" w:rsidRDefault="00FB561B">
            <w:pPr>
              <w:spacing w:before="240" w:after="240"/>
              <w:jc w:val="left"/>
              <w:rPr>
                <w:szCs w:val="24"/>
              </w:rPr>
            </w:pPr>
            <w:r>
              <w:rPr>
                <w:szCs w:val="24"/>
              </w:rPr>
              <w:t>A cet effet, la mise en œuvre de la démarche LEADER prend appui sur 4 sous mesures :</w:t>
            </w:r>
          </w:p>
          <w:p w:rsidR="0035701C" w:rsidRDefault="00FB561B" w:rsidP="00FB561B">
            <w:pPr>
              <w:numPr>
                <w:ilvl w:val="0"/>
                <w:numId w:val="953"/>
              </w:numPr>
              <w:spacing w:before="240" w:after="0"/>
              <w:ind w:hanging="210"/>
              <w:jc w:val="left"/>
              <w:rPr>
                <w:szCs w:val="24"/>
              </w:rPr>
            </w:pPr>
            <w:r>
              <w:rPr>
                <w:szCs w:val="24"/>
              </w:rPr>
              <w:t>19.1 Soutien préparatoire à l’élaboration de stratégies de développement</w:t>
            </w:r>
          </w:p>
          <w:p w:rsidR="0035701C" w:rsidRDefault="00FB561B" w:rsidP="00FB561B">
            <w:pPr>
              <w:numPr>
                <w:ilvl w:val="0"/>
                <w:numId w:val="953"/>
              </w:numPr>
              <w:spacing w:before="0" w:after="0"/>
              <w:ind w:hanging="210"/>
              <w:jc w:val="left"/>
              <w:rPr>
                <w:szCs w:val="24"/>
              </w:rPr>
            </w:pPr>
            <w:r>
              <w:rPr>
                <w:szCs w:val="24"/>
              </w:rPr>
              <w:t>19.2 Soutien à la mise en œuvre des opérations li</w:t>
            </w:r>
            <w:r>
              <w:rPr>
                <w:szCs w:val="24"/>
              </w:rPr>
              <w:t>ées aux stratégies locales de développement</w:t>
            </w:r>
          </w:p>
          <w:p w:rsidR="0035701C" w:rsidRDefault="00FB561B" w:rsidP="00FB561B">
            <w:pPr>
              <w:numPr>
                <w:ilvl w:val="0"/>
                <w:numId w:val="953"/>
              </w:numPr>
              <w:spacing w:before="0" w:after="0"/>
              <w:ind w:hanging="210"/>
              <w:jc w:val="left"/>
              <w:rPr>
                <w:szCs w:val="24"/>
              </w:rPr>
            </w:pPr>
            <w:r>
              <w:rPr>
                <w:szCs w:val="24"/>
              </w:rPr>
              <w:t>19.3 Préparation et mise en œuvre des activités de coopération</w:t>
            </w:r>
          </w:p>
          <w:p w:rsidR="0035701C" w:rsidRDefault="00FB561B" w:rsidP="00FB561B">
            <w:pPr>
              <w:numPr>
                <w:ilvl w:val="0"/>
                <w:numId w:val="953"/>
              </w:numPr>
              <w:spacing w:before="0" w:after="240"/>
              <w:ind w:hanging="210"/>
              <w:jc w:val="left"/>
              <w:rPr>
                <w:szCs w:val="24"/>
              </w:rPr>
            </w:pPr>
            <w:r>
              <w:rPr>
                <w:szCs w:val="24"/>
              </w:rPr>
              <w:t>19.4 Animation et frais de fonctionnement</w:t>
            </w:r>
          </w:p>
          <w:p w:rsidR="0035701C" w:rsidRDefault="00FB561B">
            <w:pPr>
              <w:spacing w:before="240" w:after="240"/>
              <w:jc w:val="left"/>
              <w:rPr>
                <w:szCs w:val="24"/>
              </w:rPr>
            </w:pPr>
            <w:r>
              <w:rPr>
                <w:szCs w:val="24"/>
              </w:rPr>
              <w:t xml:space="preserve">Le choix pour la nouvelle programmation est de s'appuyer sur les enjeux et thématiques figurant au </w:t>
            </w:r>
            <w:r>
              <w:rPr>
                <w:szCs w:val="24"/>
              </w:rPr>
              <w:t>Diagnostic Territorial Stratégique et les besoins identifiés par l'analyse AFOM, en particulier ceux relatifs au développement rural.</w:t>
            </w:r>
          </w:p>
          <w:p w:rsidR="0035701C" w:rsidRDefault="00FB561B">
            <w:pPr>
              <w:spacing w:before="240" w:after="240"/>
              <w:jc w:val="left"/>
              <w:rPr>
                <w:szCs w:val="24"/>
              </w:rPr>
            </w:pPr>
            <w:r>
              <w:rPr>
                <w:szCs w:val="24"/>
              </w:rPr>
              <w:t>Les besoins identifiés auxquels doit répondre prioritairement LEADER sont les suivants :</w:t>
            </w:r>
          </w:p>
          <w:p w:rsidR="0035701C" w:rsidRDefault="00FB561B" w:rsidP="00FB561B">
            <w:pPr>
              <w:numPr>
                <w:ilvl w:val="0"/>
                <w:numId w:val="954"/>
              </w:numPr>
              <w:spacing w:before="240" w:after="0"/>
              <w:ind w:hanging="210"/>
              <w:jc w:val="left"/>
              <w:rPr>
                <w:szCs w:val="24"/>
              </w:rPr>
            </w:pPr>
            <w:r>
              <w:rPr>
                <w:szCs w:val="24"/>
              </w:rPr>
              <w:t>Besoin n°27 : Susciter, accompagn</w:t>
            </w:r>
            <w:r>
              <w:rPr>
                <w:szCs w:val="24"/>
              </w:rPr>
              <w:t>er l'émergence de dynamique territoriale de projet,</w:t>
            </w:r>
          </w:p>
          <w:p w:rsidR="0035701C" w:rsidRDefault="00FB561B" w:rsidP="00FB561B">
            <w:pPr>
              <w:numPr>
                <w:ilvl w:val="0"/>
                <w:numId w:val="954"/>
              </w:numPr>
              <w:spacing w:before="0" w:after="0"/>
              <w:ind w:hanging="210"/>
              <w:jc w:val="left"/>
              <w:rPr>
                <w:szCs w:val="24"/>
              </w:rPr>
            </w:pPr>
            <w:r>
              <w:rPr>
                <w:szCs w:val="24"/>
              </w:rPr>
              <w:t>Besoin n°28 : Accompagner l'animation territoriale et l'ingénierie, notamment sur le foncier,</w:t>
            </w:r>
          </w:p>
          <w:p w:rsidR="0035701C" w:rsidRDefault="00FB561B" w:rsidP="00FB561B">
            <w:pPr>
              <w:numPr>
                <w:ilvl w:val="0"/>
                <w:numId w:val="954"/>
              </w:numPr>
              <w:spacing w:before="0" w:after="0"/>
              <w:ind w:hanging="210"/>
              <w:jc w:val="left"/>
              <w:rPr>
                <w:szCs w:val="24"/>
              </w:rPr>
            </w:pPr>
            <w:r>
              <w:rPr>
                <w:szCs w:val="24"/>
              </w:rPr>
              <w:t>Besoin n°29 : Favoriser la coopération, l'innovation organisationnelle et la constitution de réseaux,</w:t>
            </w:r>
          </w:p>
          <w:p w:rsidR="0035701C" w:rsidRDefault="00FB561B" w:rsidP="00FB561B">
            <w:pPr>
              <w:numPr>
                <w:ilvl w:val="0"/>
                <w:numId w:val="954"/>
              </w:numPr>
              <w:spacing w:before="0" w:after="0"/>
              <w:ind w:hanging="210"/>
              <w:jc w:val="left"/>
              <w:rPr>
                <w:szCs w:val="24"/>
              </w:rPr>
            </w:pPr>
            <w:r>
              <w:rPr>
                <w:szCs w:val="24"/>
              </w:rPr>
              <w:t>Besoin n</w:t>
            </w:r>
            <w:r>
              <w:rPr>
                <w:szCs w:val="24"/>
              </w:rPr>
              <w:t>°30 : Favoriser les approches du développement endogène visant à la valorisation des ressources productives, culturelles et patrimoniales des territoriales,</w:t>
            </w:r>
          </w:p>
          <w:p w:rsidR="0035701C" w:rsidRDefault="00FB561B" w:rsidP="00FB561B">
            <w:pPr>
              <w:numPr>
                <w:ilvl w:val="0"/>
                <w:numId w:val="954"/>
              </w:numPr>
              <w:spacing w:before="0" w:after="0"/>
              <w:ind w:hanging="210"/>
              <w:jc w:val="left"/>
              <w:rPr>
                <w:szCs w:val="24"/>
              </w:rPr>
            </w:pPr>
            <w:r>
              <w:rPr>
                <w:szCs w:val="24"/>
              </w:rPr>
              <w:t>Besoin n°33 : Maintenir une occupation du territoire et favoriser le lien social,</w:t>
            </w:r>
          </w:p>
          <w:p w:rsidR="0035701C" w:rsidRDefault="00FB561B" w:rsidP="00FB561B">
            <w:pPr>
              <w:numPr>
                <w:ilvl w:val="0"/>
                <w:numId w:val="954"/>
              </w:numPr>
              <w:spacing w:before="0" w:after="0"/>
              <w:ind w:hanging="210"/>
              <w:jc w:val="left"/>
              <w:rPr>
                <w:szCs w:val="24"/>
              </w:rPr>
            </w:pPr>
            <w:r>
              <w:rPr>
                <w:szCs w:val="24"/>
              </w:rPr>
              <w:t>Besoin n°34 : Fav</w:t>
            </w:r>
            <w:r>
              <w:rPr>
                <w:szCs w:val="24"/>
              </w:rPr>
              <w:t>oriser un équilibre entre le tourisme et les autres secteurs économiques</w:t>
            </w:r>
          </w:p>
          <w:p w:rsidR="0035701C" w:rsidRDefault="00FB561B" w:rsidP="00FB561B">
            <w:pPr>
              <w:numPr>
                <w:ilvl w:val="0"/>
                <w:numId w:val="954"/>
              </w:numPr>
              <w:spacing w:before="0" w:after="240"/>
              <w:ind w:hanging="210"/>
              <w:jc w:val="left"/>
              <w:rPr>
                <w:szCs w:val="24"/>
              </w:rPr>
            </w:pPr>
            <w:r>
              <w:rPr>
                <w:szCs w:val="24"/>
              </w:rPr>
              <w:t>Besoin n°31 : Développer la mise en place des services essentiels et l'accueil en milieu rural (4.1-2)</w:t>
            </w:r>
          </w:p>
          <w:p w:rsidR="0035701C" w:rsidRDefault="00FB561B">
            <w:pPr>
              <w:spacing w:before="240" w:after="240"/>
              <w:jc w:val="left"/>
              <w:rPr>
                <w:szCs w:val="24"/>
              </w:rPr>
            </w:pPr>
            <w:r>
              <w:rPr>
                <w:szCs w:val="24"/>
              </w:rPr>
              <w:t>Les Stratégies Locales de Développement des GAL doivent contribuer à un développ</w:t>
            </w:r>
            <w:r>
              <w:rPr>
                <w:szCs w:val="24"/>
              </w:rPr>
              <w:t>ement territorial équilibré des zones rurales et constituer un cadre approprié pour traiter des liens rural-urbain.</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Territoire éligible</w:t>
            </w:r>
            <w:r>
              <w:rPr>
                <w:szCs w:val="24"/>
              </w:rPr>
              <w:t xml:space="preserve"> : Les GAL pourront choisir comme base territoriale de leur candidature les bassins de vie déterminés par l’INSEE (corr</w:t>
            </w:r>
            <w:r>
              <w:rPr>
                <w:szCs w:val="24"/>
              </w:rPr>
              <w:t>espondant dans les grandes lignes aux « périmètres d’intervention » de la Collectivité Territoriale de Corse. La volonté d'organisation de ces territoires en Pôles d'Equilibre Territoriaux Ruraux (P.E.T.R) ou l'existence de démarches territoriales engagées</w:t>
            </w:r>
            <w:r>
              <w:rPr>
                <w:szCs w:val="24"/>
              </w:rPr>
              <w:t xml:space="preserve"> à cette échelle (SCOT, Agenda 21..), constitueront des éléments d'appréciation majeurs lors de la sélection des candidatures (dynamiques territoriales à l’œuvre).</w:t>
            </w:r>
          </w:p>
          <w:p w:rsidR="0035701C" w:rsidRDefault="00FB561B">
            <w:pPr>
              <w:spacing w:before="240" w:after="240"/>
              <w:jc w:val="left"/>
              <w:rPr>
                <w:szCs w:val="24"/>
              </w:rPr>
            </w:pPr>
            <w:r>
              <w:rPr>
                <w:szCs w:val="24"/>
              </w:rPr>
              <w:t>Le nombre d'habitants situés dans le périmètre du GAL doit être compris entre 10 000 et 150 </w:t>
            </w:r>
            <w:r>
              <w:rPr>
                <w:szCs w:val="24"/>
              </w:rPr>
              <w:t>000.</w:t>
            </w:r>
          </w:p>
          <w:p w:rsidR="0035701C" w:rsidRDefault="00FB561B">
            <w:pPr>
              <w:spacing w:before="240" w:after="240"/>
              <w:jc w:val="left"/>
              <w:rPr>
                <w:szCs w:val="24"/>
              </w:rPr>
            </w:pPr>
            <w:r>
              <w:rPr>
                <w:szCs w:val="24"/>
              </w:rPr>
              <w:t>La présence d’une ville moyenne sur le territoire du GAL peut se justifier lorsque l’existence et l’efficacité de la stratégie proposée dépendent de l’interaction entre la ville moyenne et les zones rurales environnantes. Elle confère ainsi une plus g</w:t>
            </w:r>
            <w:r>
              <w:rPr>
                <w:szCs w:val="24"/>
              </w:rPr>
              <w:t>rande cohérence à l’action publique locale et permet de développer le lien urbain-rural.</w:t>
            </w:r>
          </w:p>
          <w:p w:rsidR="0035701C" w:rsidRDefault="00FB561B">
            <w:pPr>
              <w:spacing w:before="240" w:after="240"/>
              <w:jc w:val="left"/>
              <w:rPr>
                <w:szCs w:val="24"/>
              </w:rPr>
            </w:pPr>
            <w:r>
              <w:rPr>
                <w:b/>
                <w:bCs/>
                <w:szCs w:val="24"/>
              </w:rPr>
              <w:t xml:space="preserve">La définition des villes moyennes </w:t>
            </w:r>
            <w:r>
              <w:rPr>
                <w:szCs w:val="24"/>
              </w:rPr>
              <w:t xml:space="preserve">s’appuiera sur les sept pôles urbains de Corse identifiés dans le PADDUC et qui structurent l’armature urbaine du territoire </w:t>
            </w:r>
            <w:r>
              <w:rPr>
                <w:szCs w:val="24"/>
              </w:rPr>
              <w:t>régional, y compris les deux pôles urbains supérieurs d’Ajaccio et de Bastia.</w:t>
            </w:r>
          </w:p>
          <w:p w:rsidR="0035701C" w:rsidRDefault="00FB561B">
            <w:pPr>
              <w:spacing w:before="240" w:after="240"/>
              <w:jc w:val="left"/>
              <w:rPr>
                <w:szCs w:val="24"/>
              </w:rPr>
            </w:pPr>
            <w:r>
              <w:rPr>
                <w:szCs w:val="24"/>
              </w:rPr>
              <w:t>Ces pôles secondaires et supérieurs pourront être intégrés au périmètre du GAL aux conditions suivantes :</w:t>
            </w:r>
          </w:p>
          <w:p w:rsidR="0035701C" w:rsidRDefault="00FB561B" w:rsidP="00FB561B">
            <w:pPr>
              <w:numPr>
                <w:ilvl w:val="0"/>
                <w:numId w:val="955"/>
              </w:numPr>
              <w:spacing w:before="240" w:after="0"/>
              <w:ind w:hanging="210"/>
              <w:jc w:val="left"/>
              <w:rPr>
                <w:szCs w:val="24"/>
              </w:rPr>
            </w:pPr>
            <w:r>
              <w:rPr>
                <w:szCs w:val="24"/>
              </w:rPr>
              <w:t>la part de l’enveloppe allouée à des opérations situées dans ces villes,</w:t>
            </w:r>
            <w:r>
              <w:rPr>
                <w:szCs w:val="24"/>
              </w:rPr>
              <w:t xml:space="preserve"> ne pourra dépasser 20%,</w:t>
            </w:r>
          </w:p>
          <w:p w:rsidR="0035701C" w:rsidRDefault="00FB561B" w:rsidP="00FB561B">
            <w:pPr>
              <w:numPr>
                <w:ilvl w:val="0"/>
                <w:numId w:val="955"/>
              </w:numPr>
              <w:spacing w:before="0" w:after="240"/>
              <w:ind w:hanging="210"/>
              <w:jc w:val="left"/>
              <w:rPr>
                <w:szCs w:val="24"/>
              </w:rPr>
            </w:pPr>
            <w:r>
              <w:rPr>
                <w:szCs w:val="24"/>
              </w:rPr>
              <w:t>il devra être démontré que les actions menées dans les zones urbaines sont conformes à la stratégie de développement du GAL, ont un impact sur les zones rurales environnantes et  sont en lien avec d'autres actions et acteurs de ces</w:t>
            </w:r>
            <w:r>
              <w:rPr>
                <w:szCs w:val="24"/>
              </w:rPr>
              <w:t xml:space="preserve"> mêmes zones.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Nombre de GAL envisagés :</w:t>
            </w:r>
          </w:p>
          <w:p w:rsidR="0035701C" w:rsidRDefault="00FB561B">
            <w:pPr>
              <w:spacing w:before="240" w:after="240"/>
              <w:jc w:val="left"/>
              <w:rPr>
                <w:szCs w:val="24"/>
              </w:rPr>
            </w:pPr>
            <w:r>
              <w:rPr>
                <w:szCs w:val="24"/>
              </w:rPr>
              <w:t>L’objectif est d’étendre la démarche en nombre de territoires et par voie de conséquence, en population concernée. Le nombre de GAL pourrait ainsi se situer entre 4 et 6.</w:t>
            </w:r>
          </w:p>
          <w:p w:rsidR="0035701C" w:rsidRDefault="0035701C">
            <w:pPr>
              <w:pStyle w:val="Corpsdetexte"/>
            </w:pPr>
          </w:p>
        </w:tc>
      </w:tr>
    </w:tbl>
    <w:p w:rsidR="0035701C" w:rsidRDefault="00FB561B">
      <w:pPr>
        <w:pStyle w:val="Titre4"/>
        <w:jc w:val="left"/>
      </w:pPr>
      <w:r>
        <w:t xml:space="preserve">Portée, niveau du soutien, bénéficiaires </w:t>
      </w:r>
      <w:r>
        <w:t>admissibles et, le cas échéant, méthodologie pour le calcul du montant ou du taux d'aide selon une ventilation par sous-mesure et/ou type d'opération, si nécessaire. Pour chaque type d'opération, spécification des coûts admissibles, des conditions d'admiss</w:t>
      </w:r>
      <w:r>
        <w:t>ibilité, des montants et taux d'aide applicables et des principes en matière de définition des critères de sélection</w:t>
      </w:r>
    </w:p>
    <w:p w:rsidR="0035701C" w:rsidRDefault="00FB561B">
      <w:pPr>
        <w:pStyle w:val="Titre5"/>
        <w:rPr>
          <w:b w:val="0"/>
        </w:rPr>
      </w:pPr>
      <w:r>
        <w:rPr>
          <w:b w:val="0"/>
        </w:rPr>
        <w:t>19.1- Préparation stratégies</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956"/>
              </w:numPr>
            </w:pPr>
            <w:r>
              <w:t>19.1 - Soutien préparatoire</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Sous titre complet : Préparation </w:t>
            </w:r>
            <w:r>
              <w:rPr>
                <w:b/>
                <w:bCs/>
                <w:szCs w:val="24"/>
              </w:rPr>
              <w:t>stratégies = Soutien Préparatoire aux stratégies de développement local (SDL)</w:t>
            </w:r>
          </w:p>
          <w:p w:rsidR="0035701C" w:rsidRDefault="00FB561B">
            <w:pPr>
              <w:spacing w:before="240" w:after="240"/>
              <w:jc w:val="left"/>
              <w:rPr>
                <w:szCs w:val="24"/>
              </w:rPr>
            </w:pPr>
            <w:r>
              <w:rPr>
                <w:szCs w:val="24"/>
              </w:rPr>
              <w:t>L'instauration d'un soutien a pour objectif de préparer les territoires à la définition et à la mise en œuvre d'une stratégie de développement. Il s'agira de renforcer les capaci</w:t>
            </w:r>
            <w:r>
              <w:rPr>
                <w:szCs w:val="24"/>
              </w:rPr>
              <w:t>tés d'ingénierie locale, la formation, la mise en réseau, les études et services conseils pour permettre l'élaboration des stratégies locales de développement et la mise en place du partenariat public-privé.</w:t>
            </w:r>
          </w:p>
          <w:p w:rsidR="0035701C" w:rsidRDefault="00FB561B">
            <w:pPr>
              <w:spacing w:before="240" w:after="240"/>
              <w:jc w:val="left"/>
              <w:rPr>
                <w:szCs w:val="24"/>
              </w:rPr>
            </w:pPr>
            <w:r>
              <w:rPr>
                <w:szCs w:val="24"/>
              </w:rPr>
              <w:t>Le soutien préparatoire (article 35 (1) du règle</w:t>
            </w:r>
            <w:r>
              <w:rPr>
                <w:szCs w:val="24"/>
              </w:rPr>
              <w:t>ment (UE) 1303/2013) bénéficie à tous les acteurs locaux ayant répondu à l'AMI pour l'élaboration de leur stratégie locale de développement que celle-ci soit ou non retenue par le comité de sélection. Il prendra la forme d'un soutien financier leur permett</w:t>
            </w:r>
            <w:r>
              <w:rPr>
                <w:szCs w:val="24"/>
              </w:rPr>
              <w:t>ant d'engager des dépenses telles qu'elles sont énumérées à l'article 35 (1) du règlement (UE) 1303/2013. Par ailleurs, l’Autorité de gestion met également en place un accompagnement technique sous la forme d’accompagnement méthodologique et de réunions de</w:t>
            </w:r>
            <w:r>
              <w:rPr>
                <w:szCs w:val="24"/>
              </w:rPr>
              <w:t xml:space="preserve"> travail, etc.   </w:t>
            </w:r>
          </w:p>
          <w:p w:rsidR="0035701C" w:rsidRDefault="00FB561B">
            <w:pPr>
              <w:spacing w:before="240" w:after="240"/>
              <w:jc w:val="left"/>
              <w:rPr>
                <w:szCs w:val="24"/>
              </w:rPr>
            </w:pPr>
            <w:r>
              <w:rPr>
                <w:szCs w:val="24"/>
              </w:rPr>
              <w:t>Ce type d'opération est ciblé sur le domaine prioritaire 6b)</w:t>
            </w:r>
          </w:p>
          <w:p w:rsidR="0035701C" w:rsidRDefault="00FB561B">
            <w:pPr>
              <w:spacing w:before="240" w:after="240"/>
              <w:jc w:val="left"/>
              <w:rPr>
                <w:szCs w:val="24"/>
              </w:rPr>
            </w:pPr>
            <w:r>
              <w:rPr>
                <w:szCs w:val="24"/>
              </w:rPr>
              <w:t>Date d’éligibilité des dépenses au soutien préparatoire : 01 janvier 2015 jusqu’à la date de dépôt des candidatures LEADER.</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Aide </w:t>
            </w:r>
            <w:r>
              <w:rPr>
                <w:szCs w:val="24"/>
              </w:rPr>
              <w:t>versée sous forme de subvention.</w:t>
            </w:r>
          </w:p>
          <w:p w:rsidR="0035701C" w:rsidRDefault="0035701C">
            <w:pPr>
              <w:pStyle w:val="Corpsdetexte"/>
            </w:pPr>
          </w:p>
        </w:tc>
      </w:tr>
    </w:tbl>
    <w:p w:rsidR="0035701C" w:rsidRDefault="00FB561B">
      <w:pPr>
        <w:pStyle w:val="Titre6"/>
      </w:pPr>
      <w:r>
        <w:t>Liens vers 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Règles d’éligibilité des dépenses prévues aux articles  65-71 du règlement (UE) n°1303 / 2013 et aux règles générales du règlement (UE) n°1305/2013.</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Structure porteuse</w:t>
            </w:r>
            <w:r>
              <w:rPr>
                <w:szCs w:val="24"/>
              </w:rPr>
              <w:t xml:space="preserve"> de GAL (existante ou en projet) souhaitant proposer une candidature à l'appel à sélection des Stratégies de locales de Développement sur un territoire pertinent (de type bassin de vie INSEE).</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coûts du soutien préparatoire peuvent c</w:t>
            </w:r>
            <w:r>
              <w:rPr>
                <w:szCs w:val="24"/>
              </w:rPr>
              <w:t>ouvrir un ou plusieurs des éléments suivants:</w:t>
            </w:r>
          </w:p>
          <w:p w:rsidR="0035701C" w:rsidRDefault="00FB561B" w:rsidP="00FB561B">
            <w:pPr>
              <w:numPr>
                <w:ilvl w:val="0"/>
                <w:numId w:val="957"/>
              </w:numPr>
              <w:spacing w:before="240" w:after="0"/>
              <w:ind w:hanging="210"/>
              <w:jc w:val="left"/>
              <w:rPr>
                <w:szCs w:val="24"/>
              </w:rPr>
            </w:pPr>
            <w:r>
              <w:rPr>
                <w:szCs w:val="24"/>
              </w:rPr>
              <w:t>Actions de formation en faveur du partenariat local</w:t>
            </w:r>
          </w:p>
          <w:p w:rsidR="0035701C" w:rsidRDefault="00FB561B" w:rsidP="00FB561B">
            <w:pPr>
              <w:numPr>
                <w:ilvl w:val="0"/>
                <w:numId w:val="957"/>
              </w:numPr>
              <w:spacing w:before="0" w:after="0"/>
              <w:ind w:hanging="210"/>
              <w:jc w:val="left"/>
              <w:rPr>
                <w:szCs w:val="24"/>
              </w:rPr>
            </w:pPr>
            <w:r>
              <w:rPr>
                <w:szCs w:val="24"/>
              </w:rPr>
              <w:t xml:space="preserve">Etudes, diagnostics sur la zone concernée en vue de préparer la stratégie de développement local (y compris les études de faisabilité pour quelques projets </w:t>
            </w:r>
            <w:r>
              <w:rPr>
                <w:szCs w:val="24"/>
              </w:rPr>
              <w:t>envisagés dans le cadre des stratégies locales de développement)</w:t>
            </w:r>
          </w:p>
          <w:p w:rsidR="0035701C" w:rsidRDefault="00FB561B" w:rsidP="00FB561B">
            <w:pPr>
              <w:numPr>
                <w:ilvl w:val="0"/>
                <w:numId w:val="957"/>
              </w:numPr>
              <w:spacing w:before="0" w:after="240"/>
              <w:ind w:hanging="210"/>
              <w:jc w:val="left"/>
              <w:rPr>
                <w:szCs w:val="24"/>
              </w:rPr>
            </w:pPr>
            <w:r>
              <w:rPr>
                <w:szCs w:val="24"/>
              </w:rPr>
              <w:t>Coûts liés à l'élaboration de la stratégie locale de développement (services de conseils) et coûts de fonctionnement et de personnel.</w:t>
            </w:r>
          </w:p>
          <w:p w:rsidR="0035701C" w:rsidRDefault="00FB561B">
            <w:pPr>
              <w:spacing w:before="240" w:after="240"/>
              <w:jc w:val="left"/>
              <w:rPr>
                <w:szCs w:val="24"/>
              </w:rPr>
            </w:pPr>
            <w:r>
              <w:rPr>
                <w:szCs w:val="24"/>
              </w:rPr>
              <w:t>Une attention sera portée au partage des coûts de personn</w:t>
            </w:r>
            <w:r>
              <w:rPr>
                <w:szCs w:val="24"/>
              </w:rPr>
              <w:t xml:space="preserve">el, de déplacement et des frais de structure au titre de la mesure 431 (GAL actuel) de la période de programmation 2007-2013 et de la mobilisation de l'aide préparatoire. Un traçage précis du temps passé doit permettre de distinguer clairement les actions </w:t>
            </w:r>
            <w:r>
              <w:rPr>
                <w:szCs w:val="24"/>
              </w:rPr>
              <w:t>de soutien relevant de la programmation 2007-2013 de celles relevant de la préparation de la programmation 2014-2020.</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 versement de la subvention est conditionné à la présentation d'une stratégie locale de développement dans </w:t>
            </w:r>
            <w:r>
              <w:rPr>
                <w:szCs w:val="24"/>
              </w:rPr>
              <w:t>le cadre de l'appel à candidatures LEADER.</w:t>
            </w:r>
          </w:p>
          <w:p w:rsidR="0035701C" w:rsidRDefault="00FB561B">
            <w:pPr>
              <w:spacing w:before="240" w:after="240"/>
              <w:jc w:val="left"/>
              <w:rPr>
                <w:szCs w:val="24"/>
              </w:rPr>
            </w:pPr>
            <w:r>
              <w:rPr>
                <w:szCs w:val="24"/>
              </w:rPr>
              <w:t>Le périmètre concerné devra comporter une population de 10.000 à 150.000 habitants</w:t>
            </w:r>
          </w:p>
          <w:p w:rsidR="0035701C" w:rsidRDefault="00FB561B">
            <w:pPr>
              <w:spacing w:before="240" w:after="240"/>
              <w:jc w:val="left"/>
              <w:rPr>
                <w:szCs w:val="24"/>
              </w:rPr>
            </w:pPr>
            <w:r>
              <w:rPr>
                <w:szCs w:val="24"/>
              </w:rPr>
              <w:t>Conformément à l’article 35 (1) (a) du règlement UE 1303/2013, le soutien préparatoire est éligible, que la stratégie de développe</w:t>
            </w:r>
            <w:r>
              <w:rPr>
                <w:szCs w:val="24"/>
              </w:rPr>
              <w:t>ment local menée par les acteurs locaux, élaborée par un groupe d’action locale bénéficiant du soutien, soit sélectionnée ou non par le comité de sélection pour bénéficier d’un financement.</w:t>
            </w:r>
          </w:p>
          <w:p w:rsidR="0035701C" w:rsidRDefault="0035701C">
            <w:pPr>
              <w:pStyle w:val="Corpsdetexte"/>
            </w:pPr>
          </w:p>
        </w:tc>
      </w:tr>
    </w:tbl>
    <w:p w:rsidR="0035701C" w:rsidRDefault="00FB561B">
      <w:pPr>
        <w:pStyle w:val="Titre6"/>
      </w:pPr>
      <w:r>
        <w:t>Principes applicables à l'établissement des critères de sélectio</w:t>
      </w:r>
      <w:r>
        <w:t>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Les projets seront retenus dans le cadre d’un appel à projet sur la base d’une enveloppe fermée. Les critères de sélection pourront prendre en compte :</w:t>
            </w:r>
          </w:p>
          <w:p w:rsidR="0035701C" w:rsidRDefault="00FB561B" w:rsidP="00FB561B">
            <w:pPr>
              <w:numPr>
                <w:ilvl w:val="0"/>
                <w:numId w:val="958"/>
              </w:numPr>
              <w:spacing w:before="240" w:after="0"/>
              <w:ind w:hanging="210"/>
              <w:jc w:val="left"/>
              <w:rPr>
                <w:szCs w:val="24"/>
              </w:rPr>
            </w:pPr>
            <w:r>
              <w:rPr>
                <w:szCs w:val="24"/>
              </w:rPr>
              <w:t>La Stratégie et le Territoire (pertinence et cohérence de la stratégie par rapport au territoire)</w:t>
            </w:r>
          </w:p>
          <w:p w:rsidR="0035701C" w:rsidRDefault="00FB561B" w:rsidP="00FB561B">
            <w:pPr>
              <w:numPr>
                <w:ilvl w:val="0"/>
                <w:numId w:val="958"/>
              </w:numPr>
              <w:spacing w:before="0" w:after="0"/>
              <w:ind w:hanging="210"/>
              <w:jc w:val="left"/>
              <w:rPr>
                <w:szCs w:val="24"/>
              </w:rPr>
            </w:pPr>
            <w:r>
              <w:rPr>
                <w:szCs w:val="24"/>
              </w:rPr>
              <w:t xml:space="preserve">Le </w:t>
            </w:r>
            <w:r>
              <w:rPr>
                <w:szCs w:val="24"/>
              </w:rPr>
              <w:t>plan d'action et la maquette financière</w:t>
            </w:r>
          </w:p>
          <w:p w:rsidR="0035701C" w:rsidRDefault="00FB561B" w:rsidP="00FB561B">
            <w:pPr>
              <w:numPr>
                <w:ilvl w:val="0"/>
                <w:numId w:val="958"/>
              </w:numPr>
              <w:spacing w:before="0" w:after="0"/>
              <w:ind w:hanging="210"/>
              <w:jc w:val="left"/>
              <w:rPr>
                <w:szCs w:val="24"/>
              </w:rPr>
            </w:pPr>
            <w:r>
              <w:rPr>
                <w:szCs w:val="24"/>
              </w:rPr>
              <w:t>Valeur ajoutée et l'innovation</w:t>
            </w:r>
          </w:p>
          <w:p w:rsidR="0035701C" w:rsidRDefault="00FB561B" w:rsidP="00FB561B">
            <w:pPr>
              <w:numPr>
                <w:ilvl w:val="0"/>
                <w:numId w:val="958"/>
              </w:numPr>
              <w:spacing w:before="0" w:after="0"/>
              <w:ind w:hanging="210"/>
              <w:jc w:val="left"/>
              <w:rPr>
                <w:szCs w:val="24"/>
              </w:rPr>
            </w:pPr>
            <w:r>
              <w:rPr>
                <w:szCs w:val="24"/>
              </w:rPr>
              <w:t>Le Partenariat et la Gouvernance de la stratégie</w:t>
            </w:r>
          </w:p>
          <w:p w:rsidR="0035701C" w:rsidRDefault="00FB561B" w:rsidP="00FB561B">
            <w:pPr>
              <w:numPr>
                <w:ilvl w:val="0"/>
                <w:numId w:val="958"/>
              </w:numPr>
              <w:spacing w:before="0" w:after="240"/>
              <w:ind w:hanging="210"/>
              <w:jc w:val="left"/>
              <w:rPr>
                <w:szCs w:val="24"/>
              </w:rPr>
            </w:pPr>
            <w:r>
              <w:rPr>
                <w:szCs w:val="24"/>
              </w:rPr>
              <w:t>La démarche d'évaluation qui sera mise en oeuvre</w:t>
            </w:r>
          </w:p>
          <w:p w:rsidR="0035701C" w:rsidRDefault="00FB561B">
            <w:pPr>
              <w:spacing w:before="240" w:after="240"/>
              <w:jc w:val="left"/>
              <w:rPr>
                <w:szCs w:val="24"/>
              </w:rPr>
            </w:pPr>
            <w:r>
              <w:rPr>
                <w:szCs w:val="24"/>
              </w:rPr>
              <w:t xml:space="preserve">Une grille de sélection des opérations prévoira l’établissement d’un système de points </w:t>
            </w:r>
            <w:r>
              <w:rPr>
                <w:szCs w:val="24"/>
              </w:rPr>
              <w:t>permettant le classement des dossiers de candidature des Stratégie Locale de Développement et la fixation d’un seuil minimal afin d’accéder au soutien au titre du PDRC.</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Taux d'aide publique: 100%</w:t>
            </w:r>
          </w:p>
          <w:p w:rsidR="0035701C" w:rsidRDefault="00FB561B">
            <w:pPr>
              <w:spacing w:before="240" w:after="240"/>
              <w:jc w:val="left"/>
              <w:rPr>
                <w:szCs w:val="24"/>
              </w:rPr>
            </w:pPr>
            <w:r>
              <w:rPr>
                <w:szCs w:val="24"/>
              </w:rPr>
              <w:t>Montant maximal : 20</w:t>
            </w:r>
            <w:r>
              <w:rPr>
                <w:szCs w:val="24"/>
              </w:rPr>
              <w:t>.000 € par candidature</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 :</w:t>
            </w:r>
          </w:p>
          <w:p w:rsidR="0035701C" w:rsidRDefault="00FB561B">
            <w:pPr>
              <w:spacing w:before="240" w:after="240"/>
              <w:jc w:val="left"/>
              <w:rPr>
                <w:szCs w:val="24"/>
              </w:rPr>
            </w:pPr>
            <w:r>
              <w:rPr>
                <w:szCs w:val="24"/>
              </w:rPr>
              <w:t>- L'OP a demandé que soient bien décrits les organismes</w:t>
            </w:r>
            <w:r>
              <w:rPr>
                <w:szCs w:val="24"/>
              </w:rPr>
              <w:t xml:space="preserve"> susceptibles d'être bénéficiaires de cette opération. Les éléments de Droit, ainsi que le détail des éléments de réponse à fournir sur les appels à manifestation d'intérêt sont pleinement satisfaisants.</w:t>
            </w:r>
          </w:p>
          <w:p w:rsidR="0035701C" w:rsidRDefault="00FB561B">
            <w:pPr>
              <w:spacing w:before="240" w:after="240"/>
              <w:jc w:val="left"/>
              <w:rPr>
                <w:szCs w:val="24"/>
              </w:rPr>
            </w:pPr>
            <w:r>
              <w:rPr>
                <w:szCs w:val="24"/>
              </w:rPr>
              <w:t>- Concernant les principes de sélection tels que déc</w:t>
            </w:r>
            <w:r>
              <w:rPr>
                <w:szCs w:val="24"/>
              </w:rPr>
              <w:t>rits dans le PDRC, l’OP a recommandé que leurs modalités d’application soient établies sur la base d’éléments vérifiables et contrôlables. Après avoir pris connaissance des précisions apportées au présent texte, l'Organisme Payeur considère que ce document</w:t>
            </w:r>
            <w:r>
              <w:rPr>
                <w:szCs w:val="24"/>
              </w:rPr>
              <w:t xml:space="preserve"> permet de lever l'ensemble de ces interrogations. L’Organisme Payeur ne formule donc plus de réserves sur ce point.</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n°1 - R4 : Identification claire des organismes et/ou socié</w:t>
            </w:r>
            <w:r>
              <w:rPr>
                <w:szCs w:val="24"/>
              </w:rPr>
              <w:t>tés sélectionnés répondant aux Appels à Manifestation d'Intérêt (source : Ponctuel sur Retour d'Expérience. Multiplicité des organismes, de leur statut juridique (privé, public, associatif))</w:t>
            </w:r>
          </w:p>
          <w:p w:rsidR="0035701C" w:rsidRDefault="00FB561B">
            <w:pPr>
              <w:spacing w:before="240" w:after="240"/>
              <w:jc w:val="left"/>
              <w:rPr>
                <w:szCs w:val="24"/>
              </w:rPr>
            </w:pPr>
            <w:r>
              <w:rPr>
                <w:szCs w:val="24"/>
              </w:rPr>
              <w:t>n°2 - R10 : Dépenses du maître d'ouvrage, définition des éléments</w:t>
            </w:r>
            <w:r>
              <w:rPr>
                <w:szCs w:val="24"/>
              </w:rPr>
              <w:t xml:space="preserve"> comptables et preuves probantes pris en charge, sensibilisation de l'administration et des bénéficiaires (charges sociales, liste présence aux réunions,…). (source : 2007-2013 en continu Formation de l'administration, des Partenaires, des Bénéficiaires, M</w:t>
            </w:r>
            <w:r>
              <w:rPr>
                <w:szCs w:val="24"/>
              </w:rPr>
              <w:t>ultiplicité des précisions sur « Guidance » (notes de cadrage))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R4 : VERIFIER Pour tous les bénéficiaires et par tous moyens la validité juridique de la structure.</w:t>
            </w:r>
          </w:p>
          <w:p w:rsidR="0035701C" w:rsidRDefault="00FB561B">
            <w:pPr>
              <w:spacing w:before="240" w:after="240"/>
              <w:jc w:val="left"/>
              <w:rPr>
                <w:szCs w:val="24"/>
              </w:rPr>
            </w:pPr>
            <w:r>
              <w:rPr>
                <w:szCs w:val="24"/>
              </w:rPr>
              <w:t xml:space="preserve">n°2 - R10 : VERIFIER Principalement pour les frais </w:t>
            </w:r>
            <w:r>
              <w:rPr>
                <w:szCs w:val="24"/>
              </w:rPr>
              <w:t>d'organisation et de visite de bien détailler les coûts, les indemnités journalières, frais de déplacements (selon barème pré établi), coûts salariaux, modalités d'enregistrement et de suivi des participants….</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Au vu des co</w:t>
            </w:r>
            <w:r>
              <w:rPr>
                <w:szCs w:val="24"/>
              </w:rPr>
              <w:t>tations matricielles, sur le poids financier de la mesure (&lt;5%), sur les priorités, les risques, les mesures d’atténuation prévues, cette mesure reçoit une évaluation  favorable peu risquée ; Les mécanismes de mise en œuvre sont connus, les procédures maît</w:t>
            </w:r>
            <w:r>
              <w:rPr>
                <w:szCs w:val="24"/>
              </w:rPr>
              <w:t>risées par tous les gestionnaires.</w:t>
            </w:r>
          </w:p>
          <w:p w:rsidR="0035701C" w:rsidRDefault="00FB561B">
            <w:pPr>
              <w:spacing w:before="240" w:after="240"/>
              <w:jc w:val="left"/>
              <w:rPr>
                <w:szCs w:val="24"/>
              </w:rPr>
            </w:pPr>
            <w:r>
              <w:rPr>
                <w:szCs w:val="24"/>
              </w:rPr>
              <w:t xml:space="preserve">Concernant l'évaluation globale de la mesure : la mesure est contrôlable sous réserve de la mise en place d'actions d'atténuation et des précisions apportées dans les documents de mise en œuvre notamment sur la nécessité </w:t>
            </w:r>
            <w:r>
              <w:rPr>
                <w:szCs w:val="24"/>
              </w:rPr>
              <w:t>de fixer des barèmes pour les frais de déplacements, les précisions sur les coûts salariaux pris en charge, les justificatifs de présence.</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6"/>
      </w:pPr>
      <w:r>
        <w:t>Informations spécifiques sur l'opération</w:t>
      </w:r>
    </w:p>
    <w:p w:rsidR="0035701C" w:rsidRDefault="00FB561B">
      <w:r>
        <w:t>Descrip</w:t>
      </w:r>
      <w:r>
        <w:t>tion des éléments obligatoires du développement local mené par les acteurs locaux (ci-après «DLAL») dont la mesure Leader est composée: soutien préparatoire, mise en œuvre des opérations relevant de la stratégie de DLAL, préparation et mise en œuvre des ac</w:t>
      </w:r>
      <w:r>
        <w:t>tivités de coopération du groupe d'action locale (ci-après «GAL»), frais de fonctionnement et animation, visés à l'article 35, paragraphe 1, du règlement (UE) n°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 xml:space="preserve">Description de l’utilisation du kit de démarrage Leader visé à l’article 43 du </w:t>
      </w:r>
      <w:r>
        <w:t>règlement (UE) n° 1305/2013 en tant que type particulier d’aide préparatoire (si utilisé)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35701C">
            <w:pPr>
              <w:pStyle w:val="Corpsdetexte"/>
            </w:pPr>
          </w:p>
        </w:tc>
      </w:tr>
    </w:tbl>
    <w:p w:rsidR="0035701C" w:rsidRDefault="00FB561B">
      <w:r>
        <w:t>Description du système de candidatures permanent pour les projets de coopération Leader visé à l’article 44, paragraphe 3,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Procéd</w:t>
      </w:r>
      <w:r>
        <w:t>ure et calendrier de sélection des stratégies de développement local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Justification du choix, pour la mise en œuvre de la stratégie locale de développement, des zones géographiques dont la population excède les limites prévues à l’article 33, paragraphe</w:t>
      </w:r>
      <w:r>
        <w:t> 6, du règlement (UE) n°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Coordination avec les autres Fonds structurels et d'investissement européens (ci-après les «Fonds ESI») en ce qui concerne le DLAL, y compris les solutions pouvant être utilisées en ce qui concerne l'utilisation de </w:t>
      </w:r>
      <w:r>
        <w:t>l'option du Fonds chef de file et toute complémentarité globale entre les Fonds ESI dans le cadre du financement du soutien préparatoire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Possibilité de ne pas payer d'avances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Possibilité de payer des avances uniquement sur la mesure 19.4 Animation et f</w:t>
            </w:r>
            <w:r>
              <w:rPr>
                <w:szCs w:val="24"/>
              </w:rPr>
              <w:t>rais de fonctionnement</w:t>
            </w:r>
          </w:p>
          <w:p w:rsidR="0035701C" w:rsidRDefault="0035701C">
            <w:pPr>
              <w:pStyle w:val="Corpsdetexte"/>
            </w:pPr>
          </w:p>
        </w:tc>
      </w:tr>
    </w:tbl>
    <w:p w:rsidR="0035701C" w:rsidRDefault="00FB561B">
      <w:r>
        <w:t>Définition des tâches de l'autorité de gestion, de l'organisme payeur et des GAL dans le cadre de Leader, notamment en ce qui concerne la procédure de sélection non discriminatoire et transparente et les critères objectifs de sélec</w:t>
      </w:r>
      <w:r>
        <w:t>tion des opérations visées à l'article 34, paragraphe 3, point b), du règlement (UE) n°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Description des mécanismes de coordination prévus et des complémentarités assurées avec les opérations bénéficiant d’un soutien dans le cadre d’autres mes</w:t>
      </w:r>
      <w:r>
        <w:t xml:space="preserve">ures de développement rural, en particulier en ce qui concerne: les investissements dans des activités non agricoles et l’aide au démarrage d’entreprises au titre de l’article 19 du règlement (UE) nº 1305/2013, les investissements au titre de l’article 20 </w:t>
      </w:r>
      <w:r>
        <w:t>du règlement (UE) nº 1305/2013, et la coopération au titre de l’article 35 du règlement (UE) nº 1305/2013, notamment la mise en œuvre de stratégies locales de développement grâce à des partenariats public-privé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br w:type="page"/>
        <w:t>19.2- Opérations LEADER</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959"/>
              </w:numPr>
            </w:pPr>
            <w:r>
              <w:t>19.2 - Aide à la mise en œuvre d'opérations dans le cadre de la stratégie de développement local mené par les acteurs locaux</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Sous titre complet Opérations LEADER = Mise en œuvre d'opérations dans le cadre de la stratégie lo</w:t>
            </w:r>
            <w:r>
              <w:rPr>
                <w:szCs w:val="24"/>
              </w:rPr>
              <w:t>cale de développement (S.L.D)</w:t>
            </w:r>
          </w:p>
          <w:p w:rsidR="0035701C" w:rsidRDefault="00FB561B">
            <w:pPr>
              <w:spacing w:before="240" w:after="240"/>
              <w:jc w:val="left"/>
              <w:rPr>
                <w:szCs w:val="24"/>
              </w:rPr>
            </w:pPr>
            <w:r>
              <w:rPr>
                <w:szCs w:val="24"/>
              </w:rPr>
              <w:t>Ce type d'opération finance les opérations retenues par les GAL dans le cadre de leur stratégie locale de développement.</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versée sous forme de subvention.</w:t>
            </w:r>
          </w:p>
          <w:p w:rsidR="0035701C" w:rsidRDefault="0035701C">
            <w:pPr>
              <w:pStyle w:val="Corpsdetexte"/>
            </w:pPr>
          </w:p>
        </w:tc>
      </w:tr>
    </w:tbl>
    <w:p w:rsidR="0035701C" w:rsidRDefault="00FB561B">
      <w:pPr>
        <w:pStyle w:val="Titre6"/>
      </w:pPr>
      <w:r>
        <w:t xml:space="preserve">Liens vers </w:t>
      </w:r>
      <w:r>
        <w:t>d'autres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Art 45 du règlement (UE) n° 1305/2013</w:t>
            </w:r>
          </w:p>
          <w:p w:rsidR="0035701C" w:rsidRDefault="00FB561B">
            <w:pPr>
              <w:spacing w:before="240" w:after="240"/>
              <w:jc w:val="left"/>
              <w:rPr>
                <w:szCs w:val="24"/>
              </w:rPr>
            </w:pPr>
            <w:r>
              <w:rPr>
                <w:szCs w:val="24"/>
              </w:rPr>
              <w:t>Art 65-71 du règlement (UE) n° 1303/2013</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Structure porteuse d’un GAL, acteurs publics et privés.</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Pour la mise en œuvre de leur stratégie locale de </w:t>
            </w:r>
            <w:r>
              <w:rPr>
                <w:szCs w:val="24"/>
              </w:rPr>
              <w:t>développement, les GAL ont la possibilité de financer les opérations conformes au (UE) n°1305/2013, aux priorités du DLAL LEADER et à leur stratégie de développement.</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opérations doivent être conformes aux priorités identi</w:t>
            </w:r>
            <w:r>
              <w:rPr>
                <w:szCs w:val="24"/>
              </w:rPr>
              <w:t>fiées dans les stratégies de DLAL, dans l'Accord de partenariat et aux règles générales d'éligibilité du règlement (UE) N°1305/2013 du 17 décembre 2013 relatif au soutien au développement rural par le FEADER.</w:t>
            </w:r>
          </w:p>
          <w:p w:rsidR="0035701C" w:rsidRDefault="00FB561B">
            <w:pPr>
              <w:spacing w:before="240" w:after="240"/>
              <w:jc w:val="left"/>
              <w:rPr>
                <w:szCs w:val="24"/>
              </w:rPr>
            </w:pPr>
            <w:r>
              <w:rPr>
                <w:szCs w:val="24"/>
              </w:rPr>
              <w:t>Elles devront contribuer aux objectifs des stra</w:t>
            </w:r>
            <w:r>
              <w:rPr>
                <w:szCs w:val="24"/>
              </w:rPr>
              <w:t>tégies locales de développement, au renforcement de la cohésion territoriale, en l'occurrence à travers le caractère intégré, ascendant et innovant de la stratégie, et au partenariat public/privé.</w:t>
            </w:r>
          </w:p>
          <w:p w:rsidR="0035701C" w:rsidRDefault="0035701C">
            <w:pPr>
              <w:pStyle w:val="Corpsdetexte"/>
            </w:pPr>
          </w:p>
        </w:tc>
      </w:tr>
    </w:tbl>
    <w:p w:rsidR="0035701C" w:rsidRDefault="00FB561B">
      <w:pPr>
        <w:pStyle w:val="Titre6"/>
      </w:pPr>
      <w:r>
        <w:t>Principes applicables à l'établissement des critères de s</w:t>
      </w:r>
      <w:r>
        <w:t>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opérations retenues au titre de LEADER seront sélectionnées par les GAL en cohérence avec leurs stratégies locales de développement dans le cadre d'un comité de programmation réunissant des partenaires publics et privés locaux. Conformément à </w:t>
            </w:r>
            <w:r>
              <w:rPr>
                <w:szCs w:val="24"/>
              </w:rPr>
              <w:t>l’article 34 (3) du règlement UE 1303/2013, les GAL doivent élaborer une procédure de sélection transparente et non discriminatoire et des critères objectifs de sélection des opérations qui préviennent les conflits d’intérêt, garantissent qu’au moins 50% d</w:t>
            </w:r>
            <w:r>
              <w:rPr>
                <w:szCs w:val="24"/>
              </w:rPr>
              <w:t>es voix à exprimer lors du vote sur des décisions de sélection proviennent de partenaires qui ne sont pas des autorités publiques et autorisent la sélection par procédure écrite. Ils doivent également assurer lors de la sélection des opérations la cohérenc</w:t>
            </w:r>
            <w:r>
              <w:rPr>
                <w:szCs w:val="24"/>
              </w:rPr>
              <w:t>e entre celles-ci et la stratégie de développement local mené par les acteurs locaux en classant les opérations en fonction de leur contribution à la réalisation des objectifs et valeurs cibles de ladite stratégie.</w:t>
            </w:r>
          </w:p>
          <w:p w:rsidR="0035701C" w:rsidRDefault="00FB561B">
            <w:pPr>
              <w:spacing w:before="240" w:after="240"/>
              <w:jc w:val="left"/>
              <w:rPr>
                <w:szCs w:val="24"/>
              </w:rPr>
            </w:pPr>
            <w:r>
              <w:rPr>
                <w:szCs w:val="24"/>
              </w:rPr>
              <w:t>Elles doivent ainsi concourir à la priori</w:t>
            </w:r>
            <w:r>
              <w:rPr>
                <w:szCs w:val="24"/>
              </w:rPr>
              <w:t>té 6 du RDR (Priorité 6 Promouvoir l'inclusion sociale, la réduction de la pauvreté et le développement économique des zones rurales), et au domaine prioritaire 6B (Promouvoir le développement local dans les zones rurales).</w:t>
            </w:r>
          </w:p>
          <w:p w:rsidR="0035701C" w:rsidRDefault="00FB561B">
            <w:pPr>
              <w:spacing w:before="240" w:after="240"/>
              <w:jc w:val="left"/>
              <w:rPr>
                <w:szCs w:val="24"/>
              </w:rPr>
            </w:pPr>
            <w:r>
              <w:rPr>
                <w:szCs w:val="24"/>
              </w:rPr>
              <w:t> Une grille d'analyse des projet</w:t>
            </w:r>
            <w:r>
              <w:rPr>
                <w:szCs w:val="24"/>
              </w:rPr>
              <w:t>s devra aider à valider la cohérence du projet et son caractère innovant. Elle devra figurer dans la candidature des GAL et être validée par l'Autorité de Gestion lors de la sélection des GAL.</w:t>
            </w:r>
          </w:p>
          <w:p w:rsidR="0035701C" w:rsidRDefault="00FB561B">
            <w:pPr>
              <w:spacing w:before="240" w:after="240"/>
              <w:jc w:val="left"/>
              <w:rPr>
                <w:szCs w:val="24"/>
              </w:rPr>
            </w:pPr>
            <w:r>
              <w:rPr>
                <w:szCs w:val="24"/>
              </w:rPr>
              <w:t xml:space="preserve">Les opérations des GAL devront veiller à intégrer la dimension </w:t>
            </w:r>
            <w:r>
              <w:rPr>
                <w:szCs w:val="24"/>
              </w:rPr>
              <w:t>relative à l’égalité hommes femmes et à la lutte contre les discriminations dans la préparation, la mise en œuvre, le suivi et l'évaluation (référence à l’article 7 du règlement (UE) n° 1303/2013).</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GAL fixe le mon</w:t>
            </w:r>
            <w:r>
              <w:rPr>
                <w:szCs w:val="24"/>
              </w:rPr>
              <w:t>tant du soutien aux projets conformément à l’article 34 (3) (f) du règlement UE 1303/2013.. Ceci devra tenir compte du régime applicable aux aides d'Etat.</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w:t>
      </w:r>
      <w:r>
        <w:t>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 :</w:t>
            </w:r>
          </w:p>
          <w:p w:rsidR="0035701C" w:rsidRDefault="00FB561B">
            <w:pPr>
              <w:spacing w:before="240" w:after="240"/>
              <w:jc w:val="left"/>
              <w:rPr>
                <w:szCs w:val="24"/>
              </w:rPr>
            </w:pPr>
            <w:r>
              <w:rPr>
                <w:szCs w:val="24"/>
              </w:rPr>
              <w:t>- L'OP a demandé que soient bien décrits les pétitionnaires susceptibles d'être bénéficiaires de cette opération. Les éléments de Droit, les précisions apportées au présent texte,</w:t>
            </w:r>
            <w:r>
              <w:rPr>
                <w:szCs w:val="24"/>
              </w:rPr>
              <w:t xml:space="preserve"> ainsi que le détail des éléments de réponse à fournir sur les appels à projet sont satisfaisants.  La mise en place d'un contrôle croisé sur les aides de même type ou de même public cible sera formalisé.</w:t>
            </w:r>
          </w:p>
          <w:p w:rsidR="0035701C" w:rsidRDefault="00FB561B">
            <w:pPr>
              <w:spacing w:before="240" w:after="240"/>
              <w:jc w:val="left"/>
              <w:rPr>
                <w:szCs w:val="24"/>
              </w:rPr>
            </w:pPr>
            <w:r>
              <w:rPr>
                <w:szCs w:val="24"/>
              </w:rPr>
              <w:t>- Concernant les modes de sélection des opérations </w:t>
            </w:r>
            <w:r>
              <w:rPr>
                <w:szCs w:val="24"/>
              </w:rPr>
              <w:t xml:space="preserve"> tels que décrits dans le PDRC, l’OP a recommandé que leurs modalités d’application soient clairement établies et diffusés et formalisées pour chaque dossier. Un point d'attention sera porté sur l'éligibilité de la demande et du demandeur . Après avoir pri</w:t>
            </w:r>
            <w:r>
              <w:rPr>
                <w:szCs w:val="24"/>
              </w:rPr>
              <w:t>s connaissance des précisions apportées au présent texte, l'Organisme Payeur considère que ce document permet de lever ses interrogations.</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n°1 - R1 : Pour les formes juridiques</w:t>
            </w:r>
            <w:r>
              <w:rPr>
                <w:szCs w:val="24"/>
              </w:rPr>
              <w:t xml:space="preserve"> sociétaires , conformité des statuts et actes, mise à jour effective et conforme au long de la période d’engagement. (source : Législation nationale : décalage entre Droit Social, Droit des Sociétés, Droit Rural)</w:t>
            </w:r>
          </w:p>
          <w:p w:rsidR="0035701C" w:rsidRDefault="00FB561B">
            <w:pPr>
              <w:spacing w:before="240" w:after="240"/>
              <w:jc w:val="left"/>
              <w:rPr>
                <w:szCs w:val="24"/>
              </w:rPr>
            </w:pPr>
            <w:r>
              <w:rPr>
                <w:szCs w:val="24"/>
              </w:rPr>
              <w:t xml:space="preserve">n°2 - R10 : Pour l'ensemble des </w:t>
            </w:r>
            <w:r>
              <w:rPr>
                <w:szCs w:val="24"/>
              </w:rPr>
              <w:t>investissements et projets en général , risque de projets déjà financés par ailleurs (toujours sous engagement d'anciens contrats) (source : Ponctuel sur Retour d'Expérience)</w:t>
            </w:r>
          </w:p>
          <w:p w:rsidR="0035701C" w:rsidRDefault="00FB561B">
            <w:pPr>
              <w:spacing w:before="240" w:after="240"/>
              <w:jc w:val="left"/>
              <w:rPr>
                <w:szCs w:val="24"/>
              </w:rPr>
            </w:pPr>
            <w:r>
              <w:rPr>
                <w:szCs w:val="24"/>
              </w:rPr>
              <w:t>n°3 - R2 : Pour les investissements, s'assurer de leur caractère raisonnable (sou</w:t>
            </w:r>
            <w:r>
              <w:rPr>
                <w:szCs w:val="24"/>
              </w:rPr>
              <w:t>rce : CCCOP Exercice 2012-2014)</w:t>
            </w:r>
          </w:p>
          <w:p w:rsidR="0035701C" w:rsidRDefault="00FB561B">
            <w:pPr>
              <w:spacing w:before="240" w:after="240"/>
              <w:jc w:val="left"/>
              <w:rPr>
                <w:szCs w:val="24"/>
              </w:rPr>
            </w:pPr>
            <w:r>
              <w:rPr>
                <w:szCs w:val="24"/>
              </w:rPr>
              <w:t xml:space="preserve">n°4 - R7 : Formalisation transparente par le GAL des critères d'opportunité pour la sélection des opérations. Définition claire et objective des critères minimaux d’éligibilité du demandeur et de la demande avec parution et </w:t>
            </w:r>
            <w:r>
              <w:rPr>
                <w:szCs w:val="24"/>
              </w:rPr>
              <w:t>large diffusion au public potentiel, formalisation transparente sans interprétation possible des différentes exigences tant en éligibilité qu’en maintien des engagements obligatoires. (source : 2007-2013 en continu Formation de l'administration, des Parten</w:t>
            </w:r>
            <w:r>
              <w:rPr>
                <w:szCs w:val="24"/>
              </w:rPr>
              <w:t>aires, des Bénéficiaires, Multiplicité des précisions sur « Guidance » (notes de cadrage))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VERIFIER Pour les formes juridiques sociétaires , conformité des statuts et actes, mise à jour effective et conforme.</w:t>
            </w:r>
          </w:p>
          <w:p w:rsidR="0035701C" w:rsidRDefault="00FB561B">
            <w:pPr>
              <w:spacing w:before="240" w:after="240"/>
              <w:jc w:val="left"/>
              <w:rPr>
                <w:szCs w:val="24"/>
              </w:rPr>
            </w:pPr>
            <w:r>
              <w:rPr>
                <w:szCs w:val="24"/>
              </w:rPr>
              <w:t xml:space="preserve">n°2 - R10 : </w:t>
            </w:r>
            <w:r>
              <w:rPr>
                <w:szCs w:val="24"/>
              </w:rPr>
              <w:t>EXECUTER UN CONTRÔLE CROISE des aides aux bénéficiaires de l'opération avec les autres aides dont ils ont bénéficié ou dont ils bénéficient, et avec celles des bénéficiaires partenaires (cas des actions collectives). MAINTENIR ce point de contrôle administ</w:t>
            </w:r>
            <w:r>
              <w:rPr>
                <w:szCs w:val="24"/>
              </w:rPr>
              <w:t>ratif de la demande d'aide à la fin de la période d'engagement.</w:t>
            </w:r>
          </w:p>
          <w:p w:rsidR="0035701C" w:rsidRDefault="00FB561B">
            <w:pPr>
              <w:spacing w:before="240" w:after="240"/>
              <w:jc w:val="left"/>
              <w:rPr>
                <w:szCs w:val="24"/>
              </w:rPr>
            </w:pPr>
            <w:r>
              <w:rPr>
                <w:szCs w:val="24"/>
              </w:rPr>
              <w:t>n°3 - R2  : FORMALISER en l’absence de recours à des coûts relevant de l’article 62.2 du R/UE 1305/2013, la mise en place d’un protocole d’évaluation à partir de 3 devis et/ou avis authentique</w:t>
            </w:r>
            <w:r>
              <w:rPr>
                <w:szCs w:val="24"/>
              </w:rPr>
              <w:t xml:space="preserve"> du comité technique en charge de la sélection des opérations garantissant le caractère raisonnable de la dépense..</w:t>
            </w:r>
          </w:p>
          <w:p w:rsidR="0035701C" w:rsidRDefault="00FB561B">
            <w:pPr>
              <w:spacing w:before="240" w:after="240"/>
              <w:jc w:val="left"/>
              <w:rPr>
                <w:szCs w:val="24"/>
              </w:rPr>
            </w:pPr>
            <w:r>
              <w:rPr>
                <w:szCs w:val="24"/>
              </w:rPr>
              <w:t xml:space="preserve">n°4 - R7 : FORMALISER pour chaque projet retenu par une grille d'analyse de choix en opportunité établie par les GAL. ETABLIR les contrôles </w:t>
            </w:r>
            <w:r>
              <w:rPr>
                <w:szCs w:val="24"/>
              </w:rPr>
              <w:t>de l'éligibilité de la demande et du demandeur.</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Au vu des cotations matricielles, sur le poids financier de la mesure (&lt;10%), sur les priorités, les risques, les mesures d’atténuation prévues, cette mesure reçoit une éva</w:t>
            </w:r>
            <w:r>
              <w:rPr>
                <w:szCs w:val="24"/>
              </w:rPr>
              <w:t>luation  correcte peu risquée ; Les mécanismes de mise en œuvre sont connus et maîtrisés par tous les acteurs,  les programmations précédentes qui ont suscité des ajustements sur des mesures de même type ont permis une amélioration constante des procédures</w:t>
            </w:r>
            <w:r>
              <w:rPr>
                <w:szCs w:val="24"/>
              </w:rPr>
              <w:t>.</w:t>
            </w:r>
          </w:p>
          <w:p w:rsidR="0035701C" w:rsidRDefault="00FB561B">
            <w:pPr>
              <w:spacing w:before="240" w:after="240"/>
              <w:jc w:val="left"/>
              <w:rPr>
                <w:szCs w:val="24"/>
              </w:rPr>
            </w:pPr>
            <w:r>
              <w:rPr>
                <w:szCs w:val="24"/>
              </w:rPr>
              <w:t>- Concernant l'évaluation globale de la mesure : la mesure est contrôlable sous réserve de la mise en place d'actions d'atténuation et des précisions apportées dans les documents de mise en œuvre notamment sur la nécessité de bien contrôler , et de vérif</w:t>
            </w:r>
            <w:r>
              <w:rPr>
                <w:szCs w:val="24"/>
              </w:rPr>
              <w:t>ier l'inexistence de financements précédents ou déjà engagés auprès des bénéficiaires  . Il convient également de s'assurer de bien transcrire la preuve de la transparence des modes de sélection des opérations, comme du contrôle d'éligibilité.</w:t>
            </w:r>
          </w:p>
          <w:p w:rsidR="0035701C" w:rsidRDefault="0035701C">
            <w:pPr>
              <w:pStyle w:val="Corpsdetexte"/>
            </w:pPr>
          </w:p>
        </w:tc>
      </w:tr>
    </w:tbl>
    <w:p w:rsidR="0035701C" w:rsidRDefault="00FB561B">
      <w:pPr>
        <w:pStyle w:val="Titre6"/>
      </w:pPr>
      <w:r>
        <w:t>Méthode de</w:t>
      </w:r>
      <w:r>
        <w:t xml:space="preserv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6"/>
      </w:pPr>
      <w:r>
        <w:t>Informations spécifiques sur l'opération</w:t>
      </w:r>
    </w:p>
    <w:p w:rsidR="0035701C" w:rsidRDefault="00FB561B">
      <w:r>
        <w:t>Description des éléments obligatoires du développement local mené par les acteurs locaux (ci-après «DLAL») dont la mesure Leader est composée: soutien prépara</w:t>
      </w:r>
      <w:r>
        <w:t>toire, mise en œuvre des opérations relevant de la stratégie de DLAL, préparation et mise en œuvre des activités de coopération du groupe d'action locale (ci-après «GAL»), frais de fonctionnement et animation, visés à l'article 35, paragraphe 1, du règleme</w:t>
      </w:r>
      <w:r>
        <w:t>nt (UE) n°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Description de l’utilisation du kit de démarrage Leader visé à l’article 43 du règlement (UE) n° 1305/2013 en tant que type particulier d’aide préparatoire (si utilisé)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Description du système de candidatures permanent pour les </w:t>
      </w:r>
      <w:r>
        <w:t>projets de coopération Leader visé à l’article 44, paragraphe 3,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Procédure et calendrier de sélection des stratégies de développement local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Justification du choix, pour la mise en œuvre de la stratégie locale de </w:t>
      </w:r>
      <w:r>
        <w:t>développement, des zones géographiques dont la population excède les limites prévues à l’article 33, paragraphe 6, du règlement (UE) n°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Coordination avec les autres Fonds structurels et d'investissement européens (ci-après les «Fonds ESI») en</w:t>
      </w:r>
      <w:r>
        <w:t xml:space="preserve"> ce qui concerne le DLAL, y compris les solutions pouvant être utilisées en ce qui concerne l'utilisation de l'option du Fonds chef de file et toute complémentarité globale entre les Fonds ESI dans le cadre du financement du soutien préparatoire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Possib</w:t>
      </w:r>
      <w:r>
        <w:t>ilité de ne pas payer d'avances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Possibilité de payer des avances uniquement sur la mesure 19.4 Animation et frais de fonctionnement</w:t>
            </w:r>
          </w:p>
          <w:p w:rsidR="0035701C" w:rsidRDefault="0035701C">
            <w:pPr>
              <w:pStyle w:val="Corpsdetexte"/>
            </w:pPr>
          </w:p>
        </w:tc>
      </w:tr>
    </w:tbl>
    <w:p w:rsidR="0035701C" w:rsidRDefault="00FB561B">
      <w:r>
        <w:t xml:space="preserve">Définition des tâches de l'autorité de gestion, de l'organisme payeur et des GAL dans le cadre de Leader, notamment en ce </w:t>
      </w:r>
      <w:r>
        <w:t>qui concerne la procédure de sélection non discriminatoire et transparente et les critères objectifs de sélection des opérations visées à l'article 34, paragraphe 3, point b), du règlement (UE) n°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Description des mécanismes de coordination pr</w:t>
      </w:r>
      <w:r>
        <w:t>évus et des complémentarités assurées avec les opérations bénéficiant d’un soutien dans le cadre d’autres mesures de développement rural, en particulier en ce qui concerne: les investissements dans des activités non agricoles et l’aide au démarrage d’entre</w:t>
      </w:r>
      <w:r>
        <w:t>prises au titre de l’article 19 du règlement (UE) nº 1305/2013, les investissements au titre de l’article 20 du règlement (UE) nº 1305/2013, et la coopération au titre de l’article 35 du règlement (UE) nº 1305/2013, notamment la mise en œuvre de stratégies</w:t>
      </w:r>
      <w:r>
        <w:t xml:space="preserve"> locales de développement grâce à des partenariats public-privé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br w:type="page"/>
        <w:t>19.3- Coopération LEADER</w:t>
      </w:r>
    </w:p>
    <w:p w:rsidR="0035701C" w:rsidRDefault="00FB561B">
      <w:r>
        <w:t xml:space="preserve">Sous-mesure: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960"/>
              </w:numPr>
            </w:pPr>
            <w:r>
              <w:t>19.3 - Préparation et mise en œuvre des activités de coopération du groupe d'action locale</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Sous titre complet </w:t>
            </w:r>
            <w:r>
              <w:rPr>
                <w:szCs w:val="24"/>
              </w:rPr>
              <w:t>Coopération LEADER =  Préparation et mise en œuvre des activités de coopération des GAL</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Deux types de coopérations sont prévus au titre de l'approche LEADER :</w:t>
            </w:r>
          </w:p>
          <w:p w:rsidR="0035701C" w:rsidRDefault="00FB561B" w:rsidP="00FB561B">
            <w:pPr>
              <w:numPr>
                <w:ilvl w:val="0"/>
                <w:numId w:val="961"/>
              </w:numPr>
              <w:spacing w:before="240" w:after="0"/>
              <w:ind w:hanging="210"/>
              <w:jc w:val="left"/>
              <w:rPr>
                <w:szCs w:val="24"/>
              </w:rPr>
            </w:pPr>
            <w:r>
              <w:rPr>
                <w:szCs w:val="24"/>
              </w:rPr>
              <w:t>la coopération interterritoriale (entre territoires français)</w:t>
            </w:r>
          </w:p>
          <w:p w:rsidR="0035701C" w:rsidRDefault="00FB561B" w:rsidP="00FB561B">
            <w:pPr>
              <w:numPr>
                <w:ilvl w:val="0"/>
                <w:numId w:val="961"/>
              </w:numPr>
              <w:spacing w:before="0" w:after="240"/>
              <w:ind w:hanging="210"/>
              <w:jc w:val="left"/>
              <w:rPr>
                <w:szCs w:val="24"/>
              </w:rPr>
            </w:pPr>
            <w:r>
              <w:rPr>
                <w:szCs w:val="24"/>
              </w:rPr>
              <w:t>la coopération transnationale (en</w:t>
            </w:r>
            <w:r>
              <w:rPr>
                <w:szCs w:val="24"/>
              </w:rPr>
              <w:t>tre territoires relevant de plusieurs Etats membres ainsi qu'avec des territoires de pays tiers)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xml:space="preserve">La coopération permet une ouverture et des échanges d'expérience entre différents territoires. La Corse étant confrontée à la problématique de l'insularité, </w:t>
            </w:r>
            <w:r>
              <w:rPr>
                <w:szCs w:val="24"/>
              </w:rPr>
              <w:t>ce volet doit donc être renforcé et faire pleinement partie des objectifs de l'approche LEADER. L'intégration de la coopération à la stratégie de développement des GAL est obligatoire.</w:t>
            </w:r>
          </w:p>
          <w:p w:rsidR="0035701C" w:rsidRDefault="00FB561B">
            <w:pPr>
              <w:spacing w:before="240" w:after="240"/>
              <w:jc w:val="left"/>
              <w:rPr>
                <w:szCs w:val="24"/>
              </w:rPr>
            </w:pPr>
            <w:r>
              <w:rPr>
                <w:szCs w:val="24"/>
              </w:rPr>
              <w:t xml:space="preserve">La coopération sera facilitée par un accompagnement méthodologique qui </w:t>
            </w:r>
            <w:r>
              <w:rPr>
                <w:szCs w:val="24"/>
              </w:rPr>
              <w:t>s'appuiera sur les différents réseaux ruraux : régional, national et européen. A l'échelle régionale, il pourra être envisagé la mise en place d'actions de formation à destination des GAL (type stages d'initiation aux langues étrangères au cours desquels l</w:t>
            </w:r>
            <w:r>
              <w:rPr>
                <w:szCs w:val="24"/>
              </w:rPr>
              <w:t>es GAL apprendraient à présenter leur projet, leur stratégie locale de développement). Ils apprendraient également à rédiger un appel à candidature.</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versée sous forme de subvention.</w:t>
            </w:r>
          </w:p>
          <w:p w:rsidR="0035701C" w:rsidRDefault="0035701C">
            <w:pPr>
              <w:pStyle w:val="Corpsdetexte"/>
            </w:pPr>
          </w:p>
        </w:tc>
      </w:tr>
    </w:tbl>
    <w:p w:rsidR="0035701C" w:rsidRDefault="00FB561B">
      <w:pPr>
        <w:pStyle w:val="Titre6"/>
      </w:pPr>
      <w:r>
        <w:t xml:space="preserve">Liens vers d'autres </w:t>
      </w:r>
      <w:r>
        <w:t>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Règles d’éligibilité des dépenses prévues aux articles  65-71 du règlement (UE) n°1303 / 2013 et aux règles générales du règlement (UE) n°1305/2013.</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GAL, acteurs locaux, groupement de partenaires locaux et transnationaux p</w:t>
            </w:r>
            <w:r>
              <w:rPr>
                <w:szCs w:val="24"/>
              </w:rPr>
              <w:t>ublics et privés.</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projets doivent réunir au moins deux partenaires (dont un GAL agissant comme coordinateur) et s'intégrer pleinement dans la stratégie de développement mise en œuvre. Les dépenses devront être strictement liées aux </w:t>
            </w:r>
            <w:r>
              <w:rPr>
                <w:szCs w:val="24"/>
              </w:rPr>
              <w:t>projets de coopération projetés.</w:t>
            </w:r>
          </w:p>
          <w:p w:rsidR="0035701C" w:rsidRDefault="00FB561B">
            <w:pPr>
              <w:spacing w:before="240" w:after="240"/>
              <w:jc w:val="left"/>
              <w:rPr>
                <w:szCs w:val="24"/>
              </w:rPr>
            </w:pPr>
            <w:r>
              <w:rPr>
                <w:szCs w:val="24"/>
              </w:rPr>
              <w:t>Détail des dépenses admises :</w:t>
            </w:r>
          </w:p>
          <w:p w:rsidR="0035701C" w:rsidRDefault="00FB561B" w:rsidP="00FB561B">
            <w:pPr>
              <w:numPr>
                <w:ilvl w:val="0"/>
                <w:numId w:val="962"/>
              </w:numPr>
              <w:spacing w:before="240" w:after="0"/>
              <w:ind w:hanging="210"/>
              <w:jc w:val="left"/>
              <w:rPr>
                <w:szCs w:val="24"/>
              </w:rPr>
            </w:pPr>
            <w:r>
              <w:rPr>
                <w:szCs w:val="24"/>
              </w:rPr>
              <w:t xml:space="preserve">Coûts liés à la préparation technique des projets : réunions (échanges techniques), frais de déplacements, d'hébergement, d'interprétation, études liées au projet de coopération. Ces dépenses </w:t>
            </w:r>
            <w:r>
              <w:rPr>
                <w:szCs w:val="24"/>
              </w:rPr>
              <w:t>doivent donner aux GAL participant à une action de coopération (interterritoriale ou transnationale) les moyens d'organiser le travail en amont de l'action commune.</w:t>
            </w:r>
          </w:p>
          <w:p w:rsidR="0035701C" w:rsidRDefault="00FB561B" w:rsidP="00FB561B">
            <w:pPr>
              <w:numPr>
                <w:ilvl w:val="0"/>
                <w:numId w:val="962"/>
              </w:numPr>
              <w:spacing w:before="0" w:after="240"/>
              <w:ind w:hanging="210"/>
              <w:jc w:val="left"/>
              <w:rPr>
                <w:szCs w:val="24"/>
              </w:rPr>
            </w:pPr>
            <w:r>
              <w:rPr>
                <w:szCs w:val="24"/>
              </w:rPr>
              <w:t>Coûts liés à la mise en œuvre des projets : animation et coordination, frais de déplacement</w:t>
            </w:r>
            <w:r>
              <w:rPr>
                <w:szCs w:val="24"/>
              </w:rPr>
              <w:t xml:space="preserve"> et de séjour, frais d'interprétariat, expertise technique, supports techniques à la mise en place d'actions communes.</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Démontrer que la mise en œuvre d’un projet concret est envisagée, conformément à l’article 44(1) du règlemen</w:t>
            </w:r>
            <w:r>
              <w:rPr>
                <w:szCs w:val="24"/>
              </w:rPr>
              <w:t>t UE 1305/2013 ;</w:t>
            </w:r>
          </w:p>
          <w:p w:rsidR="0035701C" w:rsidRDefault="00FB561B">
            <w:pPr>
              <w:spacing w:before="240" w:after="240"/>
              <w:jc w:val="left"/>
              <w:rPr>
                <w:szCs w:val="24"/>
              </w:rPr>
            </w:pPr>
            <w:r>
              <w:rPr>
                <w:szCs w:val="24"/>
              </w:rPr>
              <w:t>Les projets de coopération doivent s’inscrire  dans la stratégie locale de développement du GAL.</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projets de coopération (préparation et mise en œuvre) relèveront </w:t>
            </w:r>
            <w:r>
              <w:rPr>
                <w:szCs w:val="24"/>
              </w:rPr>
              <w:t>exclusivement des GAL qui intègreront dans leur sélection les critères suivants :</w:t>
            </w:r>
          </w:p>
          <w:p w:rsidR="0035701C" w:rsidRDefault="00FB561B" w:rsidP="00FB561B">
            <w:pPr>
              <w:numPr>
                <w:ilvl w:val="0"/>
                <w:numId w:val="963"/>
              </w:numPr>
              <w:spacing w:before="240" w:after="0"/>
              <w:ind w:hanging="210"/>
              <w:jc w:val="left"/>
              <w:rPr>
                <w:szCs w:val="24"/>
              </w:rPr>
            </w:pPr>
            <w:r>
              <w:rPr>
                <w:szCs w:val="24"/>
              </w:rPr>
              <w:t>pertinence de l'opération par rapport à la stratégie du GAL ;</w:t>
            </w:r>
          </w:p>
          <w:p w:rsidR="0035701C" w:rsidRDefault="00FB561B" w:rsidP="00FB561B">
            <w:pPr>
              <w:numPr>
                <w:ilvl w:val="0"/>
                <w:numId w:val="963"/>
              </w:numPr>
              <w:spacing w:before="0" w:after="0"/>
              <w:ind w:hanging="210"/>
              <w:jc w:val="left"/>
              <w:rPr>
                <w:szCs w:val="24"/>
              </w:rPr>
            </w:pPr>
            <w:r>
              <w:rPr>
                <w:szCs w:val="24"/>
              </w:rPr>
              <w:t>implication des partenaires locaux ;</w:t>
            </w:r>
          </w:p>
          <w:p w:rsidR="0035701C" w:rsidRDefault="00FB561B" w:rsidP="00FB561B">
            <w:pPr>
              <w:numPr>
                <w:ilvl w:val="0"/>
                <w:numId w:val="963"/>
              </w:numPr>
              <w:spacing w:before="0" w:after="240"/>
              <w:ind w:hanging="210"/>
              <w:jc w:val="left"/>
              <w:rPr>
                <w:szCs w:val="24"/>
              </w:rPr>
            </w:pPr>
            <w:r>
              <w:rPr>
                <w:szCs w:val="24"/>
              </w:rPr>
              <w:t>priorité aux nouveaux partenaires ou aux nouveaux projets par rapport aux c</w:t>
            </w:r>
            <w:r>
              <w:rPr>
                <w:szCs w:val="24"/>
              </w:rPr>
              <w:t>oopérations antérieures.</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Taux d’aide publique : 100%</w:t>
            </w:r>
          </w:p>
          <w:p w:rsidR="0035701C" w:rsidRDefault="0035701C">
            <w:pPr>
              <w:pStyle w:val="Corpsdetexte"/>
            </w:pPr>
          </w:p>
        </w:tc>
      </w:tr>
    </w:tbl>
    <w:p w:rsidR="0035701C" w:rsidRDefault="00FB561B">
      <w:pPr>
        <w:pStyle w:val="Titre6"/>
      </w:pPr>
      <w:r>
        <w:t>Caractère vérifiable et contrôlable des mesures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 xml:space="preserve">Dialogue AG/OP sur l’évolution du contenu </w:t>
            </w:r>
            <w:r>
              <w:rPr>
                <w:szCs w:val="24"/>
                <w:u w:val="single"/>
              </w:rPr>
              <w:t>de la mesure :</w:t>
            </w:r>
          </w:p>
          <w:p w:rsidR="0035701C" w:rsidRDefault="00FB561B">
            <w:pPr>
              <w:spacing w:before="240" w:after="240"/>
              <w:jc w:val="left"/>
              <w:rPr>
                <w:szCs w:val="24"/>
              </w:rPr>
            </w:pPr>
            <w:r>
              <w:rPr>
                <w:szCs w:val="24"/>
              </w:rPr>
              <w:t>- L'OP a demandé que soient bien décrits les pétitionnaires susceptibles d'être bénéficiaires de cette opération. Les éléments de Droit, les précisions apportées au présent texte, ainsi que le détail des éléments de réponse à fournir sur les</w:t>
            </w:r>
            <w:r>
              <w:rPr>
                <w:szCs w:val="24"/>
              </w:rPr>
              <w:t xml:space="preserve"> projets sont satisfaisants.  La mise en place d'un contrôle croisé sur les partenaires d'une action de coopération sera formalisée.</w:t>
            </w:r>
          </w:p>
          <w:p w:rsidR="0035701C" w:rsidRDefault="00FB561B">
            <w:pPr>
              <w:spacing w:before="240" w:after="240"/>
              <w:jc w:val="left"/>
              <w:rPr>
                <w:szCs w:val="24"/>
              </w:rPr>
            </w:pPr>
            <w:r>
              <w:rPr>
                <w:szCs w:val="24"/>
              </w:rPr>
              <w:t xml:space="preserve">- Concernant les principes de sélection tels que décrits dans le PDRC, l’OP a recommandé que leurs modalités d’application </w:t>
            </w:r>
            <w:r>
              <w:rPr>
                <w:szCs w:val="24"/>
              </w:rPr>
              <w:t>soient établies sur la base d’éléments vérifiables et contrôlables. Après avoir pris connaissance des précisions apportées au présent texte, l'Organisme Payeur considère que ce document permet de lever ses interrogations. L’Organisme Payeur recommande cepe</w:t>
            </w:r>
            <w:r>
              <w:rPr>
                <w:szCs w:val="24"/>
              </w:rPr>
              <w:t>ndant une attention particulière sur les modes de calcul retenus pour le financement des dépenses de déplacement et autres frais de réunion et d'animation et la bonne information des pétitionnaires.</w:t>
            </w:r>
          </w:p>
          <w:p w:rsidR="0035701C" w:rsidRDefault="00FB561B">
            <w:pPr>
              <w:spacing w:before="240" w:after="240"/>
              <w:jc w:val="left"/>
              <w:rPr>
                <w:szCs w:val="24"/>
              </w:rPr>
            </w:pPr>
            <w:r>
              <w:rPr>
                <w:szCs w:val="24"/>
                <w:u w:val="single"/>
              </w:rPr>
              <w:t>Risques identifiés selon la méthodologie présentée par l’</w:t>
            </w:r>
            <w:r>
              <w:rPr>
                <w:szCs w:val="24"/>
                <w:u w:val="single"/>
              </w:rPr>
              <w:t>OP (cf. chapitre 18) :</w:t>
            </w:r>
          </w:p>
          <w:p w:rsidR="0035701C" w:rsidRDefault="00FB561B">
            <w:pPr>
              <w:spacing w:before="240" w:after="240"/>
              <w:jc w:val="left"/>
              <w:rPr>
                <w:szCs w:val="24"/>
              </w:rPr>
            </w:pPr>
            <w:r>
              <w:rPr>
                <w:szCs w:val="24"/>
              </w:rPr>
              <w:t>n°1 - R1 : Pour les formes juridiques sociétaires , conformité des statuts et actes, mise à jour effective et conforme au long de la période d’engagement. (source : Législation nationale : décalage entre Droit Social, Droit des Socié</w:t>
            </w:r>
            <w:r>
              <w:rPr>
                <w:szCs w:val="24"/>
              </w:rPr>
              <w:t>tés, Droit Rural)</w:t>
            </w:r>
          </w:p>
          <w:p w:rsidR="0035701C" w:rsidRDefault="00FB561B">
            <w:pPr>
              <w:spacing w:before="240" w:after="240"/>
              <w:jc w:val="left"/>
              <w:rPr>
                <w:szCs w:val="24"/>
              </w:rPr>
            </w:pPr>
            <w:r>
              <w:rPr>
                <w:szCs w:val="24"/>
              </w:rPr>
              <w:t>n°2 - R10 : Dépenses du maître d'ouvrage, définition des éléments comptables et preuves probantes pris en charge, sensibilisation de l'administration et des bénéficiaires (charges sociales, liste présence aux réunions,…). (source : 2007-2</w:t>
            </w:r>
            <w:r>
              <w:rPr>
                <w:szCs w:val="24"/>
              </w:rPr>
              <w:t>013 en continu Formation de l'administration, des Partenaires, des Bénéficiaires, Multiplicité des précisions sur « Guidance » (notes de cadrage))</w:t>
            </w:r>
          </w:p>
          <w:p w:rsidR="0035701C" w:rsidRDefault="00FB561B">
            <w:pPr>
              <w:spacing w:before="240" w:after="240"/>
              <w:jc w:val="left"/>
              <w:rPr>
                <w:szCs w:val="24"/>
              </w:rPr>
            </w:pPr>
            <w:r>
              <w:rPr>
                <w:szCs w:val="24"/>
              </w:rPr>
              <w:t>n°3 - R10 : Pour les actions financées par des membres du groupe de coopération et subventionnées directement</w:t>
            </w:r>
            <w:r>
              <w:rPr>
                <w:szCs w:val="24"/>
              </w:rPr>
              <w:t xml:space="preserve"> à leur profit. Il faut bien vérifier la conformité des dépenses au regard du projet générique, la conformité des conventions de partenariat, et que les dépenses ne fassent pas l'objet d'un risque de double financement (même action financée sur 2 partenair</w:t>
            </w:r>
            <w:r>
              <w:rPr>
                <w:szCs w:val="24"/>
              </w:rPr>
              <w:t>es) (source : Ponctuel sur Retour d'Expérience)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VERIFIER Pour les formes juridiques sociétaires , conformité des statuts et actes, mise à jour effective et conforme.</w:t>
            </w:r>
          </w:p>
          <w:p w:rsidR="0035701C" w:rsidRDefault="00FB561B">
            <w:pPr>
              <w:spacing w:before="240" w:after="240"/>
              <w:jc w:val="left"/>
              <w:rPr>
                <w:szCs w:val="24"/>
              </w:rPr>
            </w:pPr>
            <w:r>
              <w:rPr>
                <w:szCs w:val="24"/>
              </w:rPr>
              <w:t xml:space="preserve">n°2 - R10 : VERIFIER Principalement pour les frais de </w:t>
            </w:r>
            <w:r>
              <w:rPr>
                <w:szCs w:val="24"/>
              </w:rPr>
              <w:t>réunion et d'animation de bien détailler les coûts, de déplacements (selon barème pré établi), coûts salariaux, modalités d'enregistrement des participants….</w:t>
            </w:r>
          </w:p>
          <w:p w:rsidR="0035701C" w:rsidRDefault="00FB561B">
            <w:pPr>
              <w:spacing w:before="240" w:after="240"/>
              <w:jc w:val="left"/>
              <w:rPr>
                <w:szCs w:val="24"/>
              </w:rPr>
            </w:pPr>
            <w:r>
              <w:rPr>
                <w:szCs w:val="24"/>
              </w:rPr>
              <w:t>n°3 - R10 : CONTROLER notamment pour les bénéficiaires membre du groupe de coopération, la bonne d</w:t>
            </w:r>
            <w:r>
              <w:rPr>
                <w:szCs w:val="24"/>
              </w:rPr>
              <w:t>éfinition, répartition et modalités de calcul des actions afin d'éviter tout risque de double paiement. ASSURER par le recours à la vérification du GAL Coordinateur au titre des conventions de partenariat les garanties de bonne transparence.</w:t>
            </w:r>
          </w:p>
          <w:p w:rsidR="0035701C" w:rsidRDefault="0035701C">
            <w:pPr>
              <w:pStyle w:val="Corpsdetexte"/>
            </w:pPr>
          </w:p>
        </w:tc>
      </w:tr>
    </w:tbl>
    <w:p w:rsidR="0035701C" w:rsidRDefault="00FB561B">
      <w:pPr>
        <w:pStyle w:val="Titre7"/>
      </w:pPr>
      <w:r>
        <w:t>Évaluation g</w:t>
      </w:r>
      <w:r>
        <w:t>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Au vu des cotations matricielles, sur le poids financier de la mesure (&lt;5%), sur les priorités, les risques, les mesures d’atténuation prévues, cette mesure reçoit une évaluation  correcte peu risquée ; Les mécanismes de mise en œuvre s</w:t>
            </w:r>
            <w:r>
              <w:rPr>
                <w:szCs w:val="24"/>
              </w:rPr>
              <w:t>ont connus et maîtrisés par tous les acteurs,  les programmations précédentes qui ont suscité des ajustements sur des mesures de même type ont permis une amélioration constante des procédures.</w:t>
            </w:r>
          </w:p>
          <w:p w:rsidR="0035701C" w:rsidRDefault="00FB561B">
            <w:pPr>
              <w:spacing w:before="240" w:after="240"/>
              <w:jc w:val="left"/>
              <w:rPr>
                <w:szCs w:val="24"/>
              </w:rPr>
            </w:pPr>
            <w:r>
              <w:rPr>
                <w:szCs w:val="24"/>
              </w:rPr>
              <w:t>Concernant l'évaluation globale de la mesure : la mesure est co</w:t>
            </w:r>
            <w:r>
              <w:rPr>
                <w:szCs w:val="24"/>
              </w:rPr>
              <w:t>ntrôlable sous réserve de la mise en place d'actions d'atténuation et des précisions apportées dans les documents de mise en œuvre notamment sur la nécessité de s'assurer de la conformité juridique du bénéficiaire, et de fixer si nécessaire des barèmes pou</w:t>
            </w:r>
            <w:r>
              <w:rPr>
                <w:szCs w:val="24"/>
              </w:rPr>
              <w:t>r les frais de déplacements, les précisions sur les coûts salariaux pris en charge, les justificatifs de présence, et les modes de calcul de sélection.</w:t>
            </w:r>
          </w:p>
          <w:p w:rsidR="0035701C" w:rsidRDefault="0035701C">
            <w:pPr>
              <w:pStyle w:val="Corpsdetexte"/>
            </w:pPr>
          </w:p>
        </w:tc>
      </w:tr>
    </w:tbl>
    <w:p w:rsidR="0035701C" w:rsidRDefault="00FB561B">
      <w:pPr>
        <w:pStyle w:val="Titre6"/>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6"/>
      </w:pPr>
      <w:r>
        <w:t xml:space="preserve">Informations spécifiques sur </w:t>
      </w:r>
      <w:r>
        <w:t>l'opération</w:t>
      </w:r>
    </w:p>
    <w:p w:rsidR="0035701C" w:rsidRDefault="00FB561B">
      <w:r>
        <w:t>Description des éléments obligatoires du développement local mené par les acteurs locaux (ci-après «DLAL») dont la mesure Leader est composée: soutien préparatoire, mise en œuvre des opérations relevant de la stratégie de DLAL, préparation et m</w:t>
      </w:r>
      <w:r>
        <w:t>ise en œuvre des activités de coopération du groupe d'action locale (ci-après «GAL»), frais de fonctionnement et animation, visés à l'article 35, paragraphe 1, du règlement (UE) n°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Description de l’utilisation du kit de démarrage Leader visé </w:t>
      </w:r>
      <w:r>
        <w:t>à l’article 43 du règlement (UE) n° 1305/2013 en tant que type particulier d’aide préparatoire (si utilisé)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Description du système de candidatures permanent pour les projets de coopération Leader visé à l’article 44, paragraphe 3, du règlement (UE) n° </w:t>
      </w:r>
      <w:r>
        <w:t>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Procédure et calendrier de sélection des stratégies de développement local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Justification du choix, pour la mise en œuvre de la stratégie locale de développement, des zones géographiques dont la population excède les limites prévues à </w:t>
      </w:r>
      <w:r>
        <w:t>l’article 33, paragraphe 6, du règlement (UE) n°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Coordination avec les autres Fonds structurels et d'investissement européens (ci-après les «Fonds ESI») en ce qui concerne le DLAL, y compris les solutions pouvant être utilisées en ce qui conc</w:t>
      </w:r>
      <w:r>
        <w:t>erne l'utilisation de l'option du Fonds chef de file et toute complémentarité globale entre les Fonds ESI dans le cadre du financement du soutien préparatoire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Possibilité de ne pas payer d'avances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Possibilité de payer des avances uniquement sur la mesu</w:t>
            </w:r>
            <w:r>
              <w:rPr>
                <w:szCs w:val="24"/>
              </w:rPr>
              <w:t>re 19.4 Animation et frais de fonctionnement</w:t>
            </w:r>
          </w:p>
          <w:p w:rsidR="0035701C" w:rsidRDefault="0035701C">
            <w:pPr>
              <w:pStyle w:val="Corpsdetexte"/>
            </w:pPr>
          </w:p>
        </w:tc>
      </w:tr>
    </w:tbl>
    <w:p w:rsidR="0035701C" w:rsidRDefault="00FB561B">
      <w:r>
        <w:t>Définition des tâches de l'autorité de gestion, de l'organisme payeur et des GAL dans le cadre de Leader, notamment en ce qui concerne la procédure de sélection non discriminatoire et transparente et les critè</w:t>
      </w:r>
      <w:r>
        <w:t>res objectifs de sélection des opérations visées à l'article 34, paragraphe 3, point b), du règlement (UE) n°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Description des mécanismes de coordination prévus et des complémentarités assurées avec les opérations bénéficiant d’un soutien dans</w:t>
      </w:r>
      <w:r>
        <w:t xml:space="preserve"> le cadre d’autres mesures de développement rural, en particulier en ce qui concerne: les investissements dans des activités non agricoles et l’aide au démarrage d’entreprises au titre de l’article 19 du règlement (UE) nº 1305/2013, les investissements au </w:t>
      </w:r>
      <w:r>
        <w:t>titre de l’article 20 du règlement (UE) nº 1305/2013, et la coopération au titre de l’article 35 du règlement (UE) nº 1305/2013, notamment la mise en œuvre de stratégies locales de développement grâce à des partenariats public-privé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5"/>
        <w:rPr>
          <w:b w:val="0"/>
        </w:rPr>
      </w:pPr>
      <w:r>
        <w:rPr>
          <w:b w:val="0"/>
        </w:rPr>
        <w:br w:type="page"/>
        <w:t>19.4- GAL</w:t>
      </w:r>
    </w:p>
    <w:p w:rsidR="0035701C" w:rsidRDefault="00FB561B">
      <w:r>
        <w:t>Sous-mes</w:t>
      </w:r>
      <w:r>
        <w:t xml:space="preserve">ure: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rsidP="00FB561B">
            <w:pPr>
              <w:numPr>
                <w:ilvl w:val="0"/>
                <w:numId w:val="964"/>
              </w:numPr>
            </w:pPr>
            <w:r>
              <w:t>19.4 - Soutien pour les frais de fonctionnement et l'animation</w:t>
            </w:r>
          </w:p>
        </w:tc>
      </w:tr>
    </w:tbl>
    <w:p w:rsidR="0035701C" w:rsidRDefault="00FB561B">
      <w:pPr>
        <w:pStyle w:val="Titre6"/>
      </w:pPr>
      <w:r>
        <w:t>Description du type d'opération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Sous-titre complet : GAL = Fonctionnement et Animation des GAL</w:t>
            </w:r>
          </w:p>
          <w:p w:rsidR="0035701C" w:rsidRDefault="00FB561B">
            <w:pPr>
              <w:spacing w:before="240" w:after="240"/>
              <w:jc w:val="left"/>
              <w:rPr>
                <w:szCs w:val="24"/>
              </w:rPr>
            </w:pPr>
            <w:r>
              <w:rPr>
                <w:szCs w:val="24"/>
              </w:rPr>
              <w:t xml:space="preserve">Cette mesure s'applique aux dépenses engagées par les GAL en termes d'animation et de </w:t>
            </w:r>
            <w:r>
              <w:rPr>
                <w:szCs w:val="24"/>
              </w:rPr>
              <w:t>fonctionnement pour la mise en œuvre de leur stratégie locale de développement.</w:t>
            </w:r>
          </w:p>
          <w:p w:rsidR="0035701C" w:rsidRDefault="00FB561B">
            <w:pPr>
              <w:spacing w:before="240" w:after="240"/>
              <w:jc w:val="left"/>
              <w:rPr>
                <w:szCs w:val="24"/>
              </w:rPr>
            </w:pPr>
            <w:r>
              <w:rPr>
                <w:szCs w:val="24"/>
              </w:rPr>
              <w:t xml:space="preserve">La mise en œuvre des stratégies locales de développement par les territoires requière une solide ingénierie territoriale indispensable pour répondre aux objectifs fixés et aux </w:t>
            </w:r>
            <w:r>
              <w:rPr>
                <w:szCs w:val="24"/>
              </w:rPr>
              <w:t>exigences émises par le programme LEADER.</w:t>
            </w:r>
          </w:p>
          <w:p w:rsidR="0035701C" w:rsidRDefault="00FB561B">
            <w:pPr>
              <w:spacing w:before="240" w:after="240"/>
              <w:jc w:val="left"/>
              <w:rPr>
                <w:szCs w:val="24"/>
              </w:rPr>
            </w:pPr>
            <w:r>
              <w:rPr>
                <w:szCs w:val="24"/>
              </w:rPr>
              <w:t>L'animation comprend les missions suivantes :</w:t>
            </w:r>
          </w:p>
          <w:p w:rsidR="0035701C" w:rsidRDefault="00FB561B" w:rsidP="00FB561B">
            <w:pPr>
              <w:numPr>
                <w:ilvl w:val="0"/>
                <w:numId w:val="965"/>
              </w:numPr>
              <w:spacing w:before="240" w:after="0"/>
              <w:ind w:hanging="210"/>
              <w:jc w:val="left"/>
              <w:rPr>
                <w:szCs w:val="24"/>
              </w:rPr>
            </w:pPr>
            <w:r>
              <w:rPr>
                <w:szCs w:val="24"/>
              </w:rPr>
              <w:t>animation du territoire en lien avec la stratégie définie par le GAL ;</w:t>
            </w:r>
          </w:p>
          <w:p w:rsidR="0035701C" w:rsidRDefault="00FB561B" w:rsidP="00FB561B">
            <w:pPr>
              <w:numPr>
                <w:ilvl w:val="0"/>
                <w:numId w:val="965"/>
              </w:numPr>
              <w:spacing w:before="0" w:after="0"/>
              <w:ind w:hanging="210"/>
              <w:jc w:val="left"/>
              <w:rPr>
                <w:szCs w:val="24"/>
              </w:rPr>
            </w:pPr>
            <w:r>
              <w:rPr>
                <w:szCs w:val="24"/>
              </w:rPr>
              <w:t>accueil et accompagnement des porteurs de projets ;</w:t>
            </w:r>
          </w:p>
          <w:p w:rsidR="0035701C" w:rsidRDefault="00FB561B" w:rsidP="00FB561B">
            <w:pPr>
              <w:numPr>
                <w:ilvl w:val="0"/>
                <w:numId w:val="965"/>
              </w:numPr>
              <w:spacing w:before="0" w:after="0"/>
              <w:ind w:hanging="210"/>
              <w:jc w:val="left"/>
              <w:rPr>
                <w:szCs w:val="24"/>
              </w:rPr>
            </w:pPr>
            <w:r>
              <w:rPr>
                <w:szCs w:val="24"/>
              </w:rPr>
              <w:t>mise en réseau des porteurs de projets ;</w:t>
            </w:r>
          </w:p>
          <w:p w:rsidR="0035701C" w:rsidRDefault="00FB561B" w:rsidP="00FB561B">
            <w:pPr>
              <w:numPr>
                <w:ilvl w:val="0"/>
                <w:numId w:val="965"/>
              </w:numPr>
              <w:spacing w:before="0" w:after="0"/>
              <w:ind w:hanging="210"/>
              <w:jc w:val="left"/>
              <w:rPr>
                <w:szCs w:val="24"/>
              </w:rPr>
            </w:pPr>
            <w:r>
              <w:rPr>
                <w:szCs w:val="24"/>
              </w:rPr>
              <w:t>orie</w:t>
            </w:r>
            <w:r>
              <w:rPr>
                <w:szCs w:val="24"/>
              </w:rPr>
              <w:t>ntation éventuelle vers d'autres financements européens ;</w:t>
            </w:r>
          </w:p>
          <w:p w:rsidR="0035701C" w:rsidRDefault="00FB561B" w:rsidP="00FB561B">
            <w:pPr>
              <w:numPr>
                <w:ilvl w:val="0"/>
                <w:numId w:val="965"/>
              </w:numPr>
              <w:spacing w:before="0" w:after="0"/>
              <w:ind w:hanging="210"/>
              <w:jc w:val="left"/>
              <w:rPr>
                <w:szCs w:val="24"/>
              </w:rPr>
            </w:pPr>
            <w:r>
              <w:rPr>
                <w:szCs w:val="24"/>
              </w:rPr>
              <w:t>organisation des instances de gouvernance ;</w:t>
            </w:r>
          </w:p>
          <w:p w:rsidR="0035701C" w:rsidRDefault="00FB561B" w:rsidP="00FB561B">
            <w:pPr>
              <w:numPr>
                <w:ilvl w:val="0"/>
                <w:numId w:val="965"/>
              </w:numPr>
              <w:spacing w:before="0" w:after="240"/>
              <w:ind w:hanging="210"/>
              <w:jc w:val="left"/>
              <w:rPr>
                <w:szCs w:val="24"/>
              </w:rPr>
            </w:pPr>
            <w:r>
              <w:rPr>
                <w:szCs w:val="24"/>
              </w:rPr>
              <w:t>gestion du programme en lien avec l'AG et l’OP.</w:t>
            </w:r>
          </w:p>
          <w:p w:rsidR="0035701C" w:rsidRDefault="0035701C">
            <w:pPr>
              <w:pStyle w:val="Corpsdetexte"/>
            </w:pPr>
          </w:p>
        </w:tc>
      </w:tr>
    </w:tbl>
    <w:p w:rsidR="0035701C" w:rsidRDefault="00FB561B">
      <w:pPr>
        <w:pStyle w:val="Titre6"/>
      </w:pPr>
      <w:r>
        <w:t>Type de soutien</w:t>
      </w:r>
    </w:p>
    <w:p w:rsidR="0035701C" w:rsidRDefault="00FB561B">
      <w:r>
        <w:t>Type de soutien: Subventions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Aide versée sous forme de subvention.</w:t>
            </w:r>
          </w:p>
          <w:p w:rsidR="0035701C" w:rsidRDefault="0035701C">
            <w:pPr>
              <w:pStyle w:val="Corpsdetexte"/>
            </w:pPr>
          </w:p>
        </w:tc>
      </w:tr>
    </w:tbl>
    <w:p w:rsidR="0035701C" w:rsidRDefault="00FB561B">
      <w:pPr>
        <w:pStyle w:val="Titre6"/>
      </w:pPr>
      <w:r>
        <w:t>Liens vers d'autres</w:t>
      </w:r>
      <w:r>
        <w:t xml:space="preserve"> actes législatifs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Règles d’éligibilité des dépenses prévues aux articles  65-71 du règlement (UE) n°1303 / 2013 et aux règles générales du règlement (UE) n°1305/2013.</w:t>
            </w:r>
          </w:p>
          <w:p w:rsidR="0035701C" w:rsidRDefault="0035701C">
            <w:pPr>
              <w:pStyle w:val="Corpsdetexte"/>
            </w:pPr>
          </w:p>
        </w:tc>
      </w:tr>
    </w:tbl>
    <w:p w:rsidR="0035701C" w:rsidRDefault="00FB561B">
      <w:pPr>
        <w:pStyle w:val="Titre6"/>
      </w:pPr>
      <w:r>
        <w:t>Bénéficiaires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Structure porteuse du GAL assurant l'animation et la gestion de la </w:t>
            </w:r>
            <w:r>
              <w:rPr>
                <w:szCs w:val="24"/>
              </w:rPr>
              <w:t>stratégie locale de développement.</w:t>
            </w:r>
          </w:p>
          <w:p w:rsidR="0035701C" w:rsidRDefault="0035701C">
            <w:pPr>
              <w:pStyle w:val="Corpsdetexte"/>
            </w:pPr>
          </w:p>
        </w:tc>
      </w:tr>
    </w:tbl>
    <w:p w:rsidR="0035701C" w:rsidRDefault="00FB561B">
      <w:pPr>
        <w:pStyle w:val="Titre6"/>
      </w:pPr>
      <w:r>
        <w:t>Coûts admissibles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Sont admissibles à la présente mesure :</w:t>
            </w:r>
          </w:p>
          <w:p w:rsidR="0035701C" w:rsidRDefault="00FB561B" w:rsidP="00FB561B">
            <w:pPr>
              <w:numPr>
                <w:ilvl w:val="0"/>
                <w:numId w:val="966"/>
              </w:numPr>
              <w:spacing w:before="240" w:after="0"/>
              <w:ind w:hanging="210"/>
              <w:jc w:val="left"/>
              <w:rPr>
                <w:szCs w:val="24"/>
              </w:rPr>
            </w:pPr>
            <w:r>
              <w:rPr>
                <w:szCs w:val="24"/>
              </w:rPr>
              <w:t>Les frais de fonctionnement liés à la gestion de la mise en œuvre de la stratégie de développement local mené par les acteurs locaux, comprenant les coûts d'expl</w:t>
            </w:r>
            <w:r>
              <w:rPr>
                <w:szCs w:val="24"/>
              </w:rPr>
              <w:t>oitation, de personnel et de formation, les coûts liés aux relations publiques, les coûts financiers ainsi que les coûts liés au suivi et à l'évaluation de la stratégie.</w:t>
            </w:r>
          </w:p>
          <w:p w:rsidR="0035701C" w:rsidRDefault="00FB561B" w:rsidP="00FB561B">
            <w:pPr>
              <w:numPr>
                <w:ilvl w:val="0"/>
                <w:numId w:val="966"/>
              </w:numPr>
              <w:spacing w:before="0" w:after="0"/>
              <w:ind w:hanging="210"/>
              <w:jc w:val="left"/>
              <w:rPr>
                <w:szCs w:val="24"/>
              </w:rPr>
            </w:pPr>
            <w:r>
              <w:rPr>
                <w:szCs w:val="24"/>
              </w:rPr>
              <w:t xml:space="preserve">L'animation de la stratégie de développement local mené par les acteurs locaux en vue </w:t>
            </w:r>
            <w:r>
              <w:rPr>
                <w:szCs w:val="24"/>
              </w:rPr>
              <w:t>de faciliter les échanges entre acteurs dans le but de fournir des informations et promouvoir la stratégie, ainsi que d'aider les bénéficiaires potentiels en vue du développement des opérations et de la préparation des demandes.</w:t>
            </w:r>
          </w:p>
          <w:p w:rsidR="0035701C" w:rsidRDefault="00FB561B" w:rsidP="00FB561B">
            <w:pPr>
              <w:numPr>
                <w:ilvl w:val="0"/>
                <w:numId w:val="966"/>
              </w:numPr>
              <w:spacing w:before="0" w:after="240"/>
              <w:ind w:hanging="210"/>
              <w:jc w:val="left"/>
              <w:rPr>
                <w:szCs w:val="24"/>
              </w:rPr>
            </w:pPr>
            <w:r>
              <w:rPr>
                <w:szCs w:val="24"/>
              </w:rPr>
              <w:t xml:space="preserve">Les couts indirects </w:t>
            </w:r>
            <w:r>
              <w:rPr>
                <w:szCs w:val="24"/>
              </w:rPr>
              <w:t>forfaitaires representant 15% de frais de personnel directs eligibles, conformément à l'article 68-1b du R(UE) 1303/2013</w:t>
            </w:r>
          </w:p>
          <w:p w:rsidR="0035701C" w:rsidRDefault="00FB561B">
            <w:pPr>
              <w:spacing w:before="240" w:after="240"/>
              <w:jc w:val="left"/>
              <w:rPr>
                <w:szCs w:val="24"/>
              </w:rPr>
            </w:pPr>
            <w:r>
              <w:rPr>
                <w:szCs w:val="24"/>
              </w:rPr>
              <w:t>L'ensemble du soutien financier avant la sélection avec les GAL relève du soutien préparatoire.</w:t>
            </w:r>
          </w:p>
          <w:p w:rsidR="0035701C" w:rsidRDefault="0035701C">
            <w:pPr>
              <w:pStyle w:val="Corpsdetexte"/>
            </w:pPr>
          </w:p>
        </w:tc>
      </w:tr>
    </w:tbl>
    <w:p w:rsidR="0035701C" w:rsidRDefault="00FB561B">
      <w:pPr>
        <w:pStyle w:val="Titre6"/>
      </w:pPr>
      <w:r>
        <w:t>Conditions d'admissibilité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GAL sélect</w:t>
            </w:r>
            <w:r>
              <w:rPr>
                <w:szCs w:val="24"/>
              </w:rPr>
              <w:t>ionnés par l'Autorité de Gestion.</w:t>
            </w:r>
          </w:p>
          <w:p w:rsidR="0035701C" w:rsidRDefault="0035701C">
            <w:pPr>
              <w:pStyle w:val="Corpsdetexte"/>
            </w:pPr>
          </w:p>
        </w:tc>
      </w:tr>
    </w:tbl>
    <w:p w:rsidR="0035701C" w:rsidRDefault="00FB561B">
      <w:pPr>
        <w:pStyle w:val="Titre6"/>
      </w:pPr>
      <w:r>
        <w:t>Principes applicables à l'établissement des critères de sélection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Projet GAL sélectionnés par la procédure de l'Appel à Projet LEADER.</w:t>
            </w:r>
          </w:p>
          <w:p w:rsidR="0035701C" w:rsidRDefault="0035701C">
            <w:pPr>
              <w:pStyle w:val="Corpsdetexte"/>
            </w:pPr>
          </w:p>
        </w:tc>
      </w:tr>
    </w:tbl>
    <w:p w:rsidR="0035701C" w:rsidRDefault="00FB561B">
      <w:pPr>
        <w:pStyle w:val="Titre6"/>
      </w:pPr>
      <w:r>
        <w:t>Montants et taux d'aide (applicables)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Taux d’aide publique : 100%</w:t>
            </w:r>
          </w:p>
          <w:p w:rsidR="0035701C" w:rsidRDefault="00FB561B">
            <w:pPr>
              <w:spacing w:before="240" w:after="240"/>
              <w:jc w:val="left"/>
              <w:rPr>
                <w:szCs w:val="24"/>
              </w:rPr>
            </w:pPr>
            <w:r>
              <w:rPr>
                <w:szCs w:val="24"/>
              </w:rPr>
              <w:t>L'article 35.2 du</w:t>
            </w:r>
            <w:r>
              <w:rPr>
                <w:szCs w:val="24"/>
              </w:rPr>
              <w:t xml:space="preserve"> règlement n° 1303/2013 fixe le niveau d'aide du type d'opération 19.4 à 25 % maximum des dépenses publiques totales encourues dans le cadre de la stratégie de développement local mené par les acteurs locaux.</w:t>
            </w:r>
          </w:p>
          <w:p w:rsidR="0035701C" w:rsidRDefault="0035701C">
            <w:pPr>
              <w:pStyle w:val="Corpsdetexte"/>
            </w:pPr>
          </w:p>
        </w:tc>
      </w:tr>
    </w:tbl>
    <w:p w:rsidR="0035701C" w:rsidRDefault="00FB561B">
      <w:pPr>
        <w:pStyle w:val="Titre6"/>
      </w:pPr>
      <w:r>
        <w:t>Caractère vérifiable et contrôlable des mesur</w:t>
      </w:r>
      <w:r>
        <w:t>es et/ou types d'opérations</w:t>
      </w:r>
    </w:p>
    <w:p w:rsidR="0035701C" w:rsidRDefault="00FB561B">
      <w:pPr>
        <w:pStyle w:val="Titre7"/>
      </w:pPr>
      <w:r>
        <w:t>Risque(s) liés à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 :</w:t>
            </w:r>
          </w:p>
          <w:p w:rsidR="0035701C" w:rsidRDefault="00FB561B">
            <w:pPr>
              <w:spacing w:before="240" w:after="240"/>
              <w:jc w:val="left"/>
              <w:rPr>
                <w:szCs w:val="24"/>
              </w:rPr>
            </w:pPr>
            <w:r>
              <w:rPr>
                <w:szCs w:val="24"/>
              </w:rPr>
              <w:t>- L'OP a demandé que soient bien décrits les pétitionnaires susceptibles d'être bénéficiaires de cette opération. Les élément</w:t>
            </w:r>
            <w:r>
              <w:rPr>
                <w:szCs w:val="24"/>
              </w:rPr>
              <w:t>s de Droit, les précisions apportées au présent texte, ainsi que le détail des éléments de réponse à fournir sur les projets admissibles sont satisfaisants.</w:t>
            </w:r>
          </w:p>
          <w:p w:rsidR="0035701C" w:rsidRDefault="00FB561B">
            <w:pPr>
              <w:spacing w:before="240" w:after="240"/>
              <w:jc w:val="left"/>
              <w:rPr>
                <w:szCs w:val="24"/>
              </w:rPr>
            </w:pPr>
            <w:r>
              <w:rPr>
                <w:szCs w:val="24"/>
              </w:rPr>
              <w:t>- L’Organisme Payeur recommande  une attention particulière sur les modes de calcul retenus, la bon</w:t>
            </w:r>
            <w:r>
              <w:rPr>
                <w:szCs w:val="24"/>
              </w:rPr>
              <w:t>ne présentation comptable des justificatifs pour le financement des dépenses de fonctionnement et la bonne information des pétitionnaires.</w:t>
            </w:r>
          </w:p>
          <w:p w:rsidR="0035701C" w:rsidRDefault="00FB561B">
            <w:pPr>
              <w:spacing w:before="240" w:after="240"/>
              <w:jc w:val="left"/>
              <w:rPr>
                <w:szCs w:val="24"/>
              </w:rPr>
            </w:pPr>
            <w:r>
              <w:rPr>
                <w:szCs w:val="24"/>
              </w:rPr>
              <w:t>- L'analyse partagée entre AG et OP sur les possibilités de mise en place d'avances aux GAL est satisfaisante et conc</w:t>
            </w:r>
            <w:r>
              <w:rPr>
                <w:szCs w:val="24"/>
              </w:rPr>
              <w:t>oure à une bonne régularité de la résorption de celles-ci.</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 xml:space="preserve">n°1 - R1 : Pour les formes juridiques, conformité des statuts et actes, mise à jour effective et conforme au long de </w:t>
            </w:r>
            <w:r>
              <w:rPr>
                <w:szCs w:val="24"/>
              </w:rPr>
              <w:t>la période d’engagement. (source : Législation nationale : décalage entre Droit Social, Droit des Sociétés, Droit Rural)</w:t>
            </w:r>
          </w:p>
          <w:p w:rsidR="0035701C" w:rsidRDefault="00FB561B">
            <w:pPr>
              <w:spacing w:before="240" w:after="240"/>
              <w:jc w:val="left"/>
              <w:rPr>
                <w:szCs w:val="24"/>
              </w:rPr>
            </w:pPr>
            <w:r>
              <w:rPr>
                <w:szCs w:val="24"/>
              </w:rPr>
              <w:t>n°2 - R10 : Dépenses du maître d'ouvrage, définition des éléments comptables et preuves probantes pris en charge, sensibilisation de l'</w:t>
            </w:r>
            <w:r>
              <w:rPr>
                <w:szCs w:val="24"/>
              </w:rPr>
              <w:t>administration et des bénéficiaires (charges sociales, liste présence aux réunions,…). (source : 2007-2013 en continu Formation de l'administration, des Partenaires, des Bénéficiaires, Multiplicité des précisions sur « Guidance » (notes de cadrage))</w:t>
            </w:r>
          </w:p>
          <w:p w:rsidR="0035701C" w:rsidRDefault="00FB561B">
            <w:pPr>
              <w:spacing w:before="240" w:after="240"/>
              <w:jc w:val="left"/>
              <w:rPr>
                <w:szCs w:val="24"/>
              </w:rPr>
            </w:pPr>
            <w:r>
              <w:rPr>
                <w:szCs w:val="24"/>
              </w:rPr>
              <w:t xml:space="preserve">n°3 – </w:t>
            </w:r>
            <w:r>
              <w:rPr>
                <w:szCs w:val="24"/>
              </w:rPr>
              <w:t>R9  : CAS SPECIFIQUE DES AVANCES Art42 et 63 du R UE 1305/2013Renforcement du contrôle de la conformité juridique et comptable des justificatifs de dépenses présentés. (source : 2007-2013 en continu Formation de l'administration, des Partenaires, des Bénéf</w:t>
            </w:r>
            <w:r>
              <w:rPr>
                <w:szCs w:val="24"/>
              </w:rPr>
              <w:t>iciaires, Multiplicité des précisions sur « Guidance » (notes de cadrage))</w:t>
            </w:r>
          </w:p>
          <w:p w:rsidR="0035701C" w:rsidRDefault="0035701C">
            <w:pPr>
              <w:pStyle w:val="Corpsdetexte"/>
            </w:pPr>
          </w:p>
        </w:tc>
      </w:tr>
    </w:tbl>
    <w:p w:rsidR="0035701C" w:rsidRDefault="00FB561B">
      <w:pPr>
        <w:pStyle w:val="Titre7"/>
      </w:pPr>
      <w: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VERIFIER Pour les formes juridiques, conformité des statuts et actes, mise à jour effective et conforme.</w:t>
            </w:r>
          </w:p>
          <w:p w:rsidR="0035701C" w:rsidRDefault="00FB561B">
            <w:pPr>
              <w:spacing w:before="240" w:after="240"/>
              <w:jc w:val="left"/>
              <w:rPr>
                <w:szCs w:val="24"/>
              </w:rPr>
            </w:pPr>
            <w:r>
              <w:rPr>
                <w:szCs w:val="24"/>
              </w:rPr>
              <w:t xml:space="preserve">n°2 - R10 : VERIFIER Principalement pour </w:t>
            </w:r>
            <w:r>
              <w:rPr>
                <w:szCs w:val="24"/>
              </w:rPr>
              <w:t>les frais de réunion et d'animation de bien détailler les coûts, de déplacements (selon barème pré établi), coûts salariaux, modalités d'enregistrement des participants…                       </w:t>
            </w:r>
          </w:p>
          <w:p w:rsidR="0035701C" w:rsidRDefault="00FB561B">
            <w:pPr>
              <w:spacing w:before="240" w:after="240"/>
              <w:jc w:val="left"/>
              <w:rPr>
                <w:szCs w:val="24"/>
              </w:rPr>
            </w:pPr>
            <w:r>
              <w:rPr>
                <w:szCs w:val="24"/>
              </w:rPr>
              <w:t xml:space="preserve">n°3 - R9 : CONTROLER sur toute la période de programmation les </w:t>
            </w:r>
            <w:r>
              <w:rPr>
                <w:szCs w:val="24"/>
              </w:rPr>
              <w:t>coûts de fonctionnement au regard des dépenses publiques engagées par le biais du GAL.</w:t>
            </w:r>
          </w:p>
          <w:p w:rsidR="0035701C" w:rsidRDefault="0035701C">
            <w:pPr>
              <w:pStyle w:val="Corpsdetexte"/>
            </w:pPr>
          </w:p>
        </w:tc>
      </w:tr>
    </w:tbl>
    <w:p w:rsidR="0035701C" w:rsidRDefault="00FB561B">
      <w:pPr>
        <w:pStyle w:val="Titre7"/>
      </w:pPr>
      <w: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Au vu des cotations matricielles, sur le poids financier de la mesure (&lt;5%), sur les priorités, les risques, les mesures d’atténuation </w:t>
            </w:r>
            <w:r>
              <w:rPr>
                <w:szCs w:val="24"/>
              </w:rPr>
              <w:t>prévues, cette mesure reçoit une évaluation  correcte peu risquée ; Les mécanismes de mise en œuvre sont connus et maîtrisés par tous les acteurs,  les programmations précédentes qui ont suscité des ajustements sur des mesures de même type ont permis une a</w:t>
            </w:r>
            <w:r>
              <w:rPr>
                <w:szCs w:val="24"/>
              </w:rPr>
              <w:t>mélioration constante des procédures.</w:t>
            </w:r>
          </w:p>
          <w:p w:rsidR="0035701C" w:rsidRDefault="00FB561B">
            <w:pPr>
              <w:spacing w:before="240" w:after="240"/>
              <w:jc w:val="left"/>
              <w:rPr>
                <w:szCs w:val="24"/>
              </w:rPr>
            </w:pPr>
            <w:r>
              <w:rPr>
                <w:szCs w:val="24"/>
              </w:rPr>
              <w:t>Concernant l'évaluation globale de la mesure : la mesure est contrôlable sous réserve de la mise en place d'actions d'atténuation et des précisions apportées dans les documents de mise en œuvre notamment sur la nécessi</w:t>
            </w:r>
            <w:r>
              <w:rPr>
                <w:szCs w:val="24"/>
              </w:rPr>
              <w:t>té de s'assurer de la conformité juridique du bénéficiaire tout au long de la programmation, et de fixer clairement et de façon transparente la justification des dépenses de fonctionnement et les protocoles spécifiques de gestion des avances.</w:t>
            </w:r>
          </w:p>
          <w:p w:rsidR="0035701C" w:rsidRDefault="0035701C">
            <w:pPr>
              <w:pStyle w:val="Corpsdetexte"/>
            </w:pPr>
          </w:p>
        </w:tc>
      </w:tr>
    </w:tbl>
    <w:p w:rsidR="0035701C" w:rsidRDefault="00FB561B">
      <w:pPr>
        <w:pStyle w:val="Titre6"/>
      </w:pPr>
      <w:r>
        <w:t xml:space="preserve">Méthode de </w:t>
      </w:r>
      <w:r>
        <w:t>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6"/>
      </w:pPr>
      <w:r>
        <w:t>Informations spécifiques sur l'opération</w:t>
      </w:r>
    </w:p>
    <w:p w:rsidR="0035701C" w:rsidRDefault="00FB561B">
      <w:r>
        <w:t>Description des éléments obligatoires du développement local mené par les acteurs locaux (ci-après «DLAL») dont la mesure Leader est composée: soutien préparat</w:t>
      </w:r>
      <w:r>
        <w:t>oire, mise en œuvre des opérations relevant de la stratégie de DLAL, préparation et mise en œuvre des activités de coopération du groupe d'action locale (ci-après «GAL»), frais de fonctionnement et animation, visés à l'article 35, paragraphe 1, du règlemen</w:t>
      </w:r>
      <w:r>
        <w:t>t (UE) n°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Description de l’utilisation du kit de démarrage Leader visé à l’article 43 du règlement (UE) n° 1305/2013 en tant que type particulier d’aide préparatoire (si utilisé)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Description du système de candidatures permanent pour les p</w:t>
      </w:r>
      <w:r>
        <w:t>rojets de coopération Leader visé à l’article 44, paragraphe 3,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Procédure et calendrier de sélection des stratégies de développement local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Justification du choix, pour la mise en œuvre de la stratégie locale de </w:t>
      </w:r>
      <w:r>
        <w:t>développement, des zones géographiques dont la population excède les limites prévues à l’article 33, paragraphe 6, du règlement (UE) n°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Coordination avec les autres Fonds structurels et d'investissement européens (ci-après les «Fonds ESI») en</w:t>
      </w:r>
      <w:r>
        <w:t xml:space="preserve"> ce qui concerne le DLAL, y compris les solutions pouvant être utilisées en ce qui concerne l'utilisation de l'option du Fonds chef de file et toute complémentarité globale entre les Fonds ESI dans le cadre du financement du soutien préparatoire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Possib</w:t>
      </w:r>
      <w:r>
        <w:t>ilité de ne pas payer d'avances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Possibilité de payer des avances uniquement sur la mesure 19.4 Animation et frais de fonctionnement</w:t>
            </w:r>
          </w:p>
          <w:p w:rsidR="0035701C" w:rsidRDefault="0035701C">
            <w:pPr>
              <w:pStyle w:val="Corpsdetexte"/>
            </w:pPr>
          </w:p>
        </w:tc>
      </w:tr>
    </w:tbl>
    <w:p w:rsidR="0035701C" w:rsidRDefault="00FB561B">
      <w:r>
        <w:t xml:space="preserve">Définition des tâches de l'autorité de gestion, de l'organisme payeur et des GAL dans le cadre de Leader, notamment en ce </w:t>
      </w:r>
      <w:r>
        <w:t>qui concerne la procédure de sélection non discriminatoire et transparente et les critères objectifs de sélection des opérations visées à l'article 34, paragraphe 3, point b), du règlement (UE) n°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r>
        <w:t xml:space="preserve">Description des mécanismes de coordination </w:t>
      </w:r>
      <w:r>
        <w:t>prévus et des complémentarités assurées avec les opérations bénéficiant d’un soutien dans le cadre d’autres mesures de développement rural, en particulier en ce qui concerne: les investissements dans des activités non agricoles et l’aide au démarrage d’ent</w:t>
      </w:r>
      <w:r>
        <w:t>reprises au titre de l’article 19 du règlement (UE) nº 1305/2013, les investissements au titre de l’article 20 du règlement (UE) nº 1305/2013, et la coopération au titre de l’article 35 du règlement (UE) nº 1305/2013, notamment la mise en œuvre de stratégi</w:t>
      </w:r>
      <w:r>
        <w:t>es locales de développement grâce à des partenariats public-privé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4"/>
        <w:jc w:val="left"/>
      </w:pPr>
      <w:r>
        <w:t>Caractère vérifiable et contrôlable des mesures et/ou types d'opérations</w:t>
      </w:r>
    </w:p>
    <w:p w:rsidR="0035701C" w:rsidRDefault="00FB561B">
      <w:pPr>
        <w:pStyle w:val="Titre5"/>
        <w:rPr>
          <w:b w:val="0"/>
        </w:rPr>
      </w:pPr>
      <w:r>
        <w:rPr>
          <w:b w:val="0"/>
        </w:rPr>
        <w:t>Risque(s) dans la mise en œuvre des mesures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u w:val="single"/>
              </w:rPr>
              <w:t>Dialogue AG/OP sur l’évolution du contenu de la mesure :</w:t>
            </w:r>
          </w:p>
          <w:p w:rsidR="0035701C" w:rsidRDefault="00FB561B">
            <w:pPr>
              <w:spacing w:before="240" w:after="240"/>
              <w:jc w:val="left"/>
              <w:rPr>
                <w:szCs w:val="24"/>
              </w:rPr>
            </w:pPr>
            <w:r>
              <w:rPr>
                <w:szCs w:val="24"/>
              </w:rPr>
              <w:t>- L'OP a dem</w:t>
            </w:r>
            <w:r>
              <w:rPr>
                <w:szCs w:val="24"/>
              </w:rPr>
              <w:t>andé que soient bien décrits les pétitionnaires susceptibles d'être bénéficiaires de cette opération. Les éléments de Droit, les précisions apportées au présent texte, ainsi que le détail des éléments de réponse à fournir sur les projets admissibles sont s</w:t>
            </w:r>
            <w:r>
              <w:rPr>
                <w:szCs w:val="24"/>
              </w:rPr>
              <w:t>atisfaisants.</w:t>
            </w:r>
          </w:p>
          <w:p w:rsidR="0035701C" w:rsidRDefault="00FB561B">
            <w:pPr>
              <w:spacing w:before="240" w:after="240"/>
              <w:jc w:val="left"/>
              <w:rPr>
                <w:szCs w:val="24"/>
              </w:rPr>
            </w:pPr>
            <w:r>
              <w:rPr>
                <w:szCs w:val="24"/>
              </w:rPr>
              <w:t>- L’Organisme Payeur recommande  une attention particulière sur les modes de calcul retenus, la bonne présentation comptable des justificatifs pour le financement des dépenses de fonctionnement et la bonne information des pétitionnaires.</w:t>
            </w:r>
          </w:p>
          <w:p w:rsidR="0035701C" w:rsidRDefault="00FB561B">
            <w:pPr>
              <w:spacing w:before="240" w:after="240"/>
              <w:jc w:val="left"/>
              <w:rPr>
                <w:szCs w:val="24"/>
              </w:rPr>
            </w:pPr>
            <w:r>
              <w:rPr>
                <w:szCs w:val="24"/>
              </w:rPr>
              <w:t>- L'</w:t>
            </w:r>
            <w:r>
              <w:rPr>
                <w:szCs w:val="24"/>
              </w:rPr>
              <w:t>analyse partagée entre AG et OP sur les possibilités de mise en place d'avances aux GAL est satisfaisante et concoure à une bonne régularité de la résorption de celles-ci.</w:t>
            </w:r>
          </w:p>
          <w:p w:rsidR="0035701C" w:rsidRDefault="00FB561B">
            <w:pPr>
              <w:spacing w:before="240" w:after="240"/>
              <w:jc w:val="left"/>
              <w:rPr>
                <w:szCs w:val="24"/>
              </w:rPr>
            </w:pPr>
            <w:r>
              <w:rPr>
                <w:szCs w:val="24"/>
                <w:u w:val="single"/>
              </w:rPr>
              <w:t>Risques identifiés selon la méthodologie présentée par l’OP (cf. chapitre 18) :</w:t>
            </w:r>
          </w:p>
          <w:p w:rsidR="0035701C" w:rsidRDefault="00FB561B">
            <w:pPr>
              <w:spacing w:before="240" w:after="240"/>
              <w:jc w:val="left"/>
              <w:rPr>
                <w:szCs w:val="24"/>
              </w:rPr>
            </w:pPr>
            <w:r>
              <w:rPr>
                <w:szCs w:val="24"/>
              </w:rPr>
              <w:t xml:space="preserve">n°1 </w:t>
            </w:r>
            <w:r>
              <w:rPr>
                <w:szCs w:val="24"/>
              </w:rPr>
              <w:t>- R1 : Pour les formes juridiques, conformité des statuts et actes, mise à jour effective et conforme au long de la période d’engagement. (source : Législation nationale : décalage entre Droit Social, Droit des Sociétés, Droit Rural)</w:t>
            </w:r>
          </w:p>
          <w:p w:rsidR="0035701C" w:rsidRDefault="00FB561B">
            <w:pPr>
              <w:spacing w:before="240" w:after="240"/>
              <w:jc w:val="left"/>
              <w:rPr>
                <w:szCs w:val="24"/>
              </w:rPr>
            </w:pPr>
            <w:r>
              <w:rPr>
                <w:szCs w:val="24"/>
              </w:rPr>
              <w:t>n°2 - R10 : Dépenses i</w:t>
            </w:r>
            <w:r>
              <w:rPr>
                <w:szCs w:val="24"/>
              </w:rPr>
              <w:t xml:space="preserve">mmatérielles, définition des éléments comptables et preuves probantes pris en charge, sensibilisation de l'administration et des bénéficiaires (charges sociales, liste présence aux réunions,…). (source : 2007-2013 en continu Formation de l'administration, </w:t>
            </w:r>
            <w:r>
              <w:rPr>
                <w:szCs w:val="24"/>
              </w:rPr>
              <w:t>des Partenaires, des Bénéficiaires, Multiplicité des précisions sur « Guidance » (notes de cadrage))</w:t>
            </w:r>
          </w:p>
          <w:p w:rsidR="0035701C" w:rsidRDefault="00FB561B">
            <w:pPr>
              <w:spacing w:before="240" w:after="240"/>
              <w:jc w:val="left"/>
              <w:rPr>
                <w:szCs w:val="24"/>
              </w:rPr>
            </w:pPr>
            <w:r>
              <w:rPr>
                <w:szCs w:val="24"/>
              </w:rPr>
              <w:t>n°3 – R9  : CAS SPECIFIQUE DES AVANCES Art42 et 63 du R UE 1305/2013Renforcement du contrôle de la conformité juridique et comptable des justificatifs de d</w:t>
            </w:r>
            <w:r>
              <w:rPr>
                <w:szCs w:val="24"/>
              </w:rPr>
              <w:t>épenses présentés. (source : 2007-2013 en continu Formation de l'administration, des Partenaires, des Bénéficiaires, Multiplicité des précisions sur « Guidance » (notes de cadrage))</w:t>
            </w:r>
          </w:p>
          <w:p w:rsidR="0035701C" w:rsidRDefault="0035701C">
            <w:pPr>
              <w:pStyle w:val="Corpsdetexte"/>
            </w:pPr>
          </w:p>
        </w:tc>
      </w:tr>
    </w:tbl>
    <w:p w:rsidR="0035701C" w:rsidRDefault="00FB561B">
      <w:pPr>
        <w:pStyle w:val="Titre5"/>
        <w:rPr>
          <w:b w:val="0"/>
        </w:rPr>
      </w:pPr>
      <w:r>
        <w:rPr>
          <w:b w:val="0"/>
        </w:rPr>
        <w:t>Mesures d’atténuation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n°1 - R1 : VERIFIER Pour les formes juridiques, co</w:t>
            </w:r>
            <w:r>
              <w:rPr>
                <w:szCs w:val="24"/>
              </w:rPr>
              <w:t>nformité des statuts et actes, mise à jour effective et conforme.</w:t>
            </w:r>
          </w:p>
          <w:p w:rsidR="0035701C" w:rsidRDefault="00FB561B">
            <w:pPr>
              <w:spacing w:before="240" w:after="240"/>
              <w:jc w:val="left"/>
              <w:rPr>
                <w:szCs w:val="24"/>
              </w:rPr>
            </w:pPr>
            <w:r>
              <w:rPr>
                <w:szCs w:val="24"/>
              </w:rPr>
              <w:t>n°2 - R10 : VERIFIER Principalement pour les frais de réunion et d'animation de bien détailler les coûts, de déplacements (selon barème pré établi), coûts salariaux, modalités d'enregistreme</w:t>
            </w:r>
            <w:r>
              <w:rPr>
                <w:szCs w:val="24"/>
              </w:rPr>
              <w:t>nt des participants….</w:t>
            </w:r>
          </w:p>
          <w:p w:rsidR="0035701C" w:rsidRDefault="00FB561B">
            <w:pPr>
              <w:spacing w:before="240" w:after="240"/>
              <w:jc w:val="left"/>
              <w:rPr>
                <w:szCs w:val="24"/>
              </w:rPr>
            </w:pPr>
            <w:r>
              <w:rPr>
                <w:szCs w:val="24"/>
              </w:rPr>
              <w:t>n°3 - R9 : CONTROLER sur toute la période de programmation les coûts de fonctionnement au regard des dépenses publiques engagées par le biais du GAL.</w:t>
            </w:r>
          </w:p>
          <w:p w:rsidR="0035701C" w:rsidRDefault="0035701C">
            <w:pPr>
              <w:pStyle w:val="Corpsdetexte"/>
            </w:pPr>
          </w:p>
        </w:tc>
      </w:tr>
    </w:tbl>
    <w:p w:rsidR="0035701C" w:rsidRDefault="00FB561B">
      <w:pPr>
        <w:pStyle w:val="Titre5"/>
        <w:rPr>
          <w:b w:val="0"/>
        </w:rPr>
      </w:pPr>
      <w:r>
        <w:rPr>
          <w:b w:val="0"/>
        </w:rPr>
        <w:t>Évaluation globale de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Au vu des cotations matricielles, sur le poids fin</w:t>
            </w:r>
            <w:r>
              <w:rPr>
                <w:szCs w:val="24"/>
              </w:rPr>
              <w:t>ancier de la mesure (&lt;5%), sur les priorités, les risques, les mesures d’atténuation prévues, cette mesure reçoit une évaluation  correcte peu risquée ; Les mécanismes de mise en œuvre sont connus et maîtrisés par tous les acteurs,  les programmations préc</w:t>
            </w:r>
            <w:r>
              <w:rPr>
                <w:szCs w:val="24"/>
              </w:rPr>
              <w:t>édentes qui ont suscité des ajustements sur des mesures de même type ont permis une amélioration constante des procédures.</w:t>
            </w:r>
          </w:p>
          <w:p w:rsidR="0035701C" w:rsidRDefault="00FB561B">
            <w:pPr>
              <w:spacing w:before="240" w:after="240"/>
              <w:jc w:val="left"/>
              <w:rPr>
                <w:szCs w:val="24"/>
              </w:rPr>
            </w:pPr>
            <w:r>
              <w:rPr>
                <w:szCs w:val="24"/>
              </w:rPr>
              <w:t xml:space="preserve">Concernant l'évaluation globale de la mesure : la mesure est contrôlable sous réserve de la mise en place d'actions d'atténuation et </w:t>
            </w:r>
            <w:r>
              <w:rPr>
                <w:szCs w:val="24"/>
              </w:rPr>
              <w:t xml:space="preserve">des précisions apportées dans les documents de mise en œuvre notamment sur la nécessité de s'assurer de la conformité juridique du bénéficiaire tout au long de la programmation, et de fixer clairement et de façon transparente la justification des dépenses </w:t>
            </w:r>
            <w:r>
              <w:rPr>
                <w:szCs w:val="24"/>
              </w:rPr>
              <w:t>de fonctionnement et les protocoles spécifiques de gestion des avances.</w:t>
            </w:r>
          </w:p>
          <w:p w:rsidR="0035701C" w:rsidRDefault="0035701C">
            <w:pPr>
              <w:pStyle w:val="Corpsdetexte"/>
            </w:pPr>
          </w:p>
        </w:tc>
      </w:tr>
    </w:tbl>
    <w:p w:rsidR="0035701C" w:rsidRDefault="00FB561B">
      <w:pPr>
        <w:pStyle w:val="Titre4"/>
        <w:jc w:val="left"/>
      </w:pPr>
      <w:r>
        <w:t>Méthode de calcul du montant ou du taux d’aide, le cas échéant</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FB561B">
      <w:pPr>
        <w:pStyle w:val="Titre4"/>
        <w:jc w:val="left"/>
      </w:pPr>
      <w:r>
        <w:t>Informations spécifiques sur la mesure</w:t>
      </w:r>
    </w:p>
    <w:p w:rsidR="0035701C" w:rsidRDefault="00FB561B">
      <w:r>
        <w:t xml:space="preserve">Description des éléments obligatoires du développement local mené par les </w:t>
      </w:r>
      <w:r>
        <w:t xml:space="preserve">acteurs locaux (ci-après «DLAL») dont la mesure Leader est composée: soutien préparatoire, mise en œuvre des opérations relevant de la stratégie de DLAL, préparation et mise en œuvre des activités de coopération du groupe d'action locale (ci-après «GAL»), </w:t>
      </w:r>
      <w:r>
        <w:t>frais de fonctionnement et animation, visés à l'article 35, paragraphe 1, du règlement (UE) n°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Conformément à l’article 35, paragraphe 1, du règlement (UE) n° 1303/2013, l'intervention en faveur du développement local mené par les acteurs locaux </w:t>
            </w:r>
            <w:r>
              <w:rPr>
                <w:szCs w:val="24"/>
              </w:rPr>
              <w:t>couvre :</w:t>
            </w:r>
          </w:p>
          <w:p w:rsidR="0035701C" w:rsidRDefault="00FB561B">
            <w:pPr>
              <w:spacing w:before="240" w:after="240"/>
              <w:jc w:val="left"/>
              <w:rPr>
                <w:szCs w:val="24"/>
              </w:rPr>
            </w:pPr>
            <w:r>
              <w:rPr>
                <w:szCs w:val="24"/>
              </w:rPr>
              <w:t>a) les coûts afférents au soutien préparatoire couvrant le renforcement des capacités, la formation et la mise en réseau en vue de la préparation et de la mise en œuvre d'une stratégie de développement local (type d’opération 19.1). Ces coûts incl</w:t>
            </w:r>
            <w:r>
              <w:rPr>
                <w:szCs w:val="24"/>
              </w:rPr>
              <w:t>uent des actions de formation pour les acteurs locaux; des études portant sur la région concernée; des coûts liés à l'élaboration de la stratégie de développement local mené par des acteurs locaux, y compris les coûts de consultation et les coûts des actio</w:t>
            </w:r>
            <w:r>
              <w:rPr>
                <w:szCs w:val="24"/>
              </w:rPr>
              <w:t>ns liées aux consultations d'acteurs aux fins de la préparation de la stratégie; les coûts administratifs (coûts de fonctionnement et coûts de personnel) pendant la phase de préparation de la candidature. Ce soutien préparatoire est éligible, que la straté</w:t>
            </w:r>
            <w:r>
              <w:rPr>
                <w:szCs w:val="24"/>
              </w:rPr>
              <w:t>gie de développement local mené par des acteurs locaux, élaborée par un groupe d'action locale bénéficiant du soutien, soit sélectionnée ou non par le comité de sélection institué en vertu de l'article 33, paragraphe 3, pour bénéficier d'un financement.</w:t>
            </w:r>
          </w:p>
          <w:p w:rsidR="0035701C" w:rsidRDefault="00FB561B">
            <w:pPr>
              <w:spacing w:before="240" w:after="240"/>
              <w:jc w:val="left"/>
              <w:rPr>
                <w:szCs w:val="24"/>
              </w:rPr>
            </w:pPr>
            <w:r>
              <w:rPr>
                <w:szCs w:val="24"/>
              </w:rPr>
              <w:t>b)</w:t>
            </w:r>
            <w:r>
              <w:rPr>
                <w:szCs w:val="24"/>
              </w:rPr>
              <w:t xml:space="preserve"> la mise en œuvre des opérations relevant de la stratégie de développement local mené par les acteurs locaux (type d’opération 19.2)</w:t>
            </w:r>
          </w:p>
          <w:p w:rsidR="0035701C" w:rsidRDefault="00FB561B">
            <w:pPr>
              <w:spacing w:before="240" w:after="240"/>
              <w:jc w:val="left"/>
              <w:rPr>
                <w:szCs w:val="24"/>
              </w:rPr>
            </w:pPr>
            <w:r>
              <w:rPr>
                <w:szCs w:val="24"/>
              </w:rPr>
              <w:t>c) la préparation et l'exécution des activités de coopération du groupe d'action locale (type d’opération 19.3): Soutien te</w:t>
            </w:r>
            <w:r>
              <w:rPr>
                <w:szCs w:val="24"/>
              </w:rPr>
              <w:t>chnique préparatoire des frais liés à la mise en oeuvre des projets de coopération.</w:t>
            </w:r>
          </w:p>
          <w:p w:rsidR="0035701C" w:rsidRDefault="00FB561B">
            <w:pPr>
              <w:spacing w:before="240" w:after="240"/>
              <w:jc w:val="left"/>
              <w:rPr>
                <w:szCs w:val="24"/>
              </w:rPr>
            </w:pPr>
            <w:r>
              <w:rPr>
                <w:szCs w:val="24"/>
              </w:rPr>
              <w:t>d) les frais de fonctionnement liés à la gestion de la mise en œuvre de la stratégie de développement local mené par les acteurs locaux, comprenant les coûts d'exploitation</w:t>
            </w:r>
            <w:r>
              <w:rPr>
                <w:szCs w:val="24"/>
              </w:rPr>
              <w:t>, de personnel et de formation, les coûts liés aux relations publiques ainsi que les coûts liés au suivi et à l'évaluation de la stratégie, visés à l'article 34, paragraphe 3, point g) (type d’opération 19.4)</w:t>
            </w:r>
          </w:p>
          <w:p w:rsidR="0035701C" w:rsidRDefault="00FB561B">
            <w:pPr>
              <w:spacing w:before="240" w:after="240"/>
              <w:jc w:val="left"/>
              <w:rPr>
                <w:szCs w:val="24"/>
              </w:rPr>
            </w:pPr>
            <w:r>
              <w:rPr>
                <w:szCs w:val="24"/>
              </w:rPr>
              <w:t>e) l'animation de la stratégie de développement</w:t>
            </w:r>
            <w:r>
              <w:rPr>
                <w:szCs w:val="24"/>
              </w:rPr>
              <w:t xml:space="preserve"> local mené par les acteurs locaux en vue de faciliter les échanges entre acteurs dans le but de fournir des informations et promouvoir la stratégie, ainsi que d'aider les bénéficiaires potentiels en vue du développement des opérations et de la préparation</w:t>
            </w:r>
            <w:r>
              <w:rPr>
                <w:szCs w:val="24"/>
              </w:rPr>
              <w:t xml:space="preserve"> des demandes. (type d’opération 19.4)</w:t>
            </w:r>
          </w:p>
          <w:p w:rsidR="0035701C" w:rsidRDefault="0035701C">
            <w:pPr>
              <w:pStyle w:val="Corpsdetexte"/>
            </w:pPr>
          </w:p>
        </w:tc>
      </w:tr>
    </w:tbl>
    <w:p w:rsidR="0035701C" w:rsidRDefault="00FB561B">
      <w:pPr>
        <w:spacing w:after="100"/>
      </w:pPr>
      <w:r>
        <w:t>Description de l’utilisation du kit de démarrage Leader visé à l’article 43 du règlement (UE) n° 1305/2013 en tant que type particulier d’aide préparatoire (si utilisé)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spacing w:after="100"/>
            </w:pPr>
          </w:p>
        </w:tc>
      </w:tr>
    </w:tbl>
    <w:p w:rsidR="0035701C" w:rsidRDefault="00FB561B">
      <w:pPr>
        <w:spacing w:after="100"/>
      </w:pPr>
      <w:r>
        <w:t xml:space="preserve">Description du système de </w:t>
      </w:r>
      <w:r>
        <w:t>candidatures permanent pour les projets de coopération Leader visé à l’article 44, paragraphe 3,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projets financés sur la mesure 19.3 seront sélectionnés et programmés par le GAL. Il n'est pas prévu par l'AG de système de </w:t>
            </w:r>
            <w:r>
              <w:rPr>
                <w:szCs w:val="24"/>
              </w:rPr>
              <w:t>candidature permanent.</w:t>
            </w:r>
          </w:p>
          <w:p w:rsidR="0035701C" w:rsidRDefault="0035701C">
            <w:pPr>
              <w:pStyle w:val="Corpsdetexte"/>
              <w:spacing w:after="100"/>
            </w:pPr>
          </w:p>
        </w:tc>
      </w:tr>
    </w:tbl>
    <w:p w:rsidR="0035701C" w:rsidRDefault="00FB561B">
      <w:pPr>
        <w:spacing w:after="100"/>
      </w:pPr>
      <w:r>
        <w:t>Procédure et calendrier de sélection des stratégies de développement local</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Procédure et calendrier de sélection des stratégies locales de développement</w:t>
            </w:r>
            <w:r>
              <w:rPr>
                <w:szCs w:val="24"/>
              </w:rPr>
              <w:t xml:space="preserve"> :</w:t>
            </w:r>
          </w:p>
          <w:p w:rsidR="0035701C" w:rsidRDefault="00FB561B">
            <w:pPr>
              <w:spacing w:before="240" w:after="240"/>
              <w:jc w:val="left"/>
              <w:rPr>
                <w:szCs w:val="24"/>
              </w:rPr>
            </w:pPr>
            <w:r>
              <w:rPr>
                <w:szCs w:val="24"/>
              </w:rPr>
              <w:t>Les stratégies locales de développement seront sélectionnées au niveau région</w:t>
            </w:r>
            <w:r>
              <w:rPr>
                <w:szCs w:val="24"/>
              </w:rPr>
              <w:t>al sur la base du cahier des charges de l’appel à candidatures. Un Comité régional de sélection, composé à minima de conseillers de l’Assemblée de Corse,  des deux Conseils Généraux, sera organisé sous la présidence du Président du Conseil Exécutif de Cors</w:t>
            </w:r>
            <w:r>
              <w:rPr>
                <w:szCs w:val="24"/>
              </w:rPr>
              <w:t>e.</w:t>
            </w:r>
          </w:p>
          <w:p w:rsidR="0035701C" w:rsidRDefault="00FB561B">
            <w:pPr>
              <w:spacing w:before="240" w:after="240"/>
              <w:jc w:val="left"/>
              <w:rPr>
                <w:szCs w:val="24"/>
              </w:rPr>
            </w:pPr>
            <w:r>
              <w:rPr>
                <w:szCs w:val="24"/>
              </w:rPr>
              <w:t>Ce comité s’appuiera sur l’avis d’un groupe d’experts régionaux et nationaux ; cet avis étant rendu sur la base de critères de sélection communs à toutes les candidatures. La sélection des stratégies de développement local sera ensuite validée par la Co</w:t>
            </w:r>
            <w:r>
              <w:rPr>
                <w:szCs w:val="24"/>
              </w:rPr>
              <w:t>llectivité Territoriale de Corse Autorité de Gestion.</w:t>
            </w:r>
          </w:p>
          <w:p w:rsidR="0035701C" w:rsidRDefault="00FB561B">
            <w:pPr>
              <w:spacing w:before="240" w:after="240"/>
              <w:jc w:val="left"/>
              <w:rPr>
                <w:szCs w:val="24"/>
              </w:rPr>
            </w:pPr>
            <w:r>
              <w:rPr>
                <w:szCs w:val="24"/>
              </w:rPr>
              <w:t>La sélection des stratégies locales de développement s’effectuera en un seul temps, avec le lancement de l’Appel à candidatures à la fin mars, et la réponse attendue pour la fin juillet. Un unique comit</w:t>
            </w:r>
            <w:r>
              <w:rPr>
                <w:szCs w:val="24"/>
              </w:rPr>
              <w:t>é de sélection désignera les stratégies retenues (A), et celles rejetées (C). Les candidatures à retravailler (B) seront ensuite définitivement sélectionnées si elles répondent favorablement aux recommandations émises par le comité de sélection.</w:t>
            </w:r>
          </w:p>
          <w:p w:rsidR="0035701C" w:rsidRDefault="00FB561B">
            <w:pPr>
              <w:spacing w:before="240" w:after="240"/>
              <w:jc w:val="left"/>
              <w:rPr>
                <w:szCs w:val="24"/>
              </w:rPr>
            </w:pPr>
            <w:r>
              <w:rPr>
                <w:szCs w:val="24"/>
              </w:rPr>
              <w:t xml:space="preserve">Pour être </w:t>
            </w:r>
            <w:r>
              <w:rPr>
                <w:szCs w:val="24"/>
              </w:rPr>
              <w:t>sélectionnées, les candidatures devront préalablement répondre à des critères de recevabilité. (Territoire, Stratégie, Gouvernance, Coopération, Maquette financière)</w:t>
            </w:r>
          </w:p>
          <w:p w:rsidR="0035701C" w:rsidRDefault="00FB561B">
            <w:pPr>
              <w:spacing w:before="240" w:after="240"/>
              <w:jc w:val="left"/>
              <w:rPr>
                <w:szCs w:val="24"/>
              </w:rPr>
            </w:pPr>
            <w:r>
              <w:rPr>
                <w:szCs w:val="24"/>
              </w:rPr>
              <w:t>Après vérification de la recevabilité, les candidatures seront appréciées au regard de 6 p</w:t>
            </w:r>
            <w:r>
              <w:rPr>
                <w:szCs w:val="24"/>
              </w:rPr>
              <w:t>rincipaux critères de sélection :</w:t>
            </w:r>
          </w:p>
          <w:p w:rsidR="0035701C" w:rsidRDefault="00FB561B" w:rsidP="00FB561B">
            <w:pPr>
              <w:numPr>
                <w:ilvl w:val="0"/>
                <w:numId w:val="967"/>
              </w:numPr>
              <w:spacing w:before="240" w:after="0"/>
              <w:ind w:hanging="210"/>
              <w:jc w:val="left"/>
              <w:rPr>
                <w:szCs w:val="24"/>
              </w:rPr>
            </w:pPr>
            <w:r>
              <w:rPr>
                <w:szCs w:val="24"/>
              </w:rPr>
              <w:t>Stratégie / Territoire</w:t>
            </w:r>
          </w:p>
          <w:p w:rsidR="0035701C" w:rsidRDefault="00FB561B" w:rsidP="00FB561B">
            <w:pPr>
              <w:numPr>
                <w:ilvl w:val="0"/>
                <w:numId w:val="967"/>
              </w:numPr>
              <w:spacing w:before="0" w:after="0"/>
              <w:ind w:hanging="210"/>
              <w:jc w:val="left"/>
              <w:rPr>
                <w:szCs w:val="24"/>
              </w:rPr>
            </w:pPr>
            <w:r>
              <w:rPr>
                <w:szCs w:val="24"/>
              </w:rPr>
              <w:t>Plan d’action / maquette financière</w:t>
            </w:r>
          </w:p>
          <w:p w:rsidR="0035701C" w:rsidRDefault="00FB561B" w:rsidP="00FB561B">
            <w:pPr>
              <w:numPr>
                <w:ilvl w:val="0"/>
                <w:numId w:val="967"/>
              </w:numPr>
              <w:spacing w:before="0" w:after="0"/>
              <w:ind w:hanging="210"/>
              <w:jc w:val="left"/>
              <w:rPr>
                <w:szCs w:val="24"/>
              </w:rPr>
            </w:pPr>
            <w:r>
              <w:rPr>
                <w:szCs w:val="24"/>
              </w:rPr>
              <w:t>Valeur ajoutée / innovation</w:t>
            </w:r>
          </w:p>
          <w:p w:rsidR="0035701C" w:rsidRDefault="00FB561B" w:rsidP="00FB561B">
            <w:pPr>
              <w:numPr>
                <w:ilvl w:val="0"/>
                <w:numId w:val="967"/>
              </w:numPr>
              <w:spacing w:before="0" w:after="0"/>
              <w:ind w:hanging="210"/>
              <w:jc w:val="left"/>
              <w:rPr>
                <w:szCs w:val="24"/>
              </w:rPr>
            </w:pPr>
            <w:r>
              <w:rPr>
                <w:szCs w:val="24"/>
              </w:rPr>
              <w:t>Partenariat</w:t>
            </w:r>
          </w:p>
          <w:p w:rsidR="0035701C" w:rsidRDefault="00FB561B" w:rsidP="00FB561B">
            <w:pPr>
              <w:numPr>
                <w:ilvl w:val="0"/>
                <w:numId w:val="967"/>
              </w:numPr>
              <w:spacing w:before="0" w:after="0"/>
              <w:ind w:hanging="210"/>
              <w:jc w:val="left"/>
              <w:rPr>
                <w:szCs w:val="24"/>
              </w:rPr>
            </w:pPr>
            <w:r>
              <w:rPr>
                <w:szCs w:val="24"/>
              </w:rPr>
              <w:t>Gouvernance</w:t>
            </w:r>
          </w:p>
          <w:p w:rsidR="0035701C" w:rsidRDefault="00FB561B" w:rsidP="00FB561B">
            <w:pPr>
              <w:numPr>
                <w:ilvl w:val="0"/>
                <w:numId w:val="967"/>
              </w:numPr>
              <w:spacing w:before="0" w:after="240"/>
              <w:ind w:hanging="210"/>
              <w:jc w:val="left"/>
              <w:rPr>
                <w:szCs w:val="24"/>
              </w:rPr>
            </w:pPr>
            <w:r>
              <w:rPr>
                <w:szCs w:val="24"/>
              </w:rPr>
              <w:t>Evaluation</w:t>
            </w:r>
          </w:p>
          <w:p w:rsidR="0035701C" w:rsidRDefault="00FB561B">
            <w:pPr>
              <w:spacing w:before="240" w:after="240"/>
              <w:jc w:val="left"/>
              <w:rPr>
                <w:szCs w:val="24"/>
              </w:rPr>
            </w:pPr>
            <w:r>
              <w:rPr>
                <w:szCs w:val="24"/>
              </w:rPr>
              <w:t>Système de notation : les candidatures seront classées de la manière suivante (grille de notation dé</w:t>
            </w:r>
            <w:r>
              <w:rPr>
                <w:szCs w:val="24"/>
              </w:rPr>
              <w:t>taillée en annexe de l’appel à candidatures) :</w:t>
            </w:r>
          </w:p>
          <w:p w:rsidR="0035701C" w:rsidRDefault="00FB561B" w:rsidP="00FB561B">
            <w:pPr>
              <w:numPr>
                <w:ilvl w:val="0"/>
                <w:numId w:val="968"/>
              </w:numPr>
              <w:spacing w:before="240" w:after="0"/>
              <w:ind w:hanging="210"/>
              <w:jc w:val="left"/>
              <w:rPr>
                <w:szCs w:val="24"/>
              </w:rPr>
            </w:pPr>
            <w:r>
              <w:rPr>
                <w:szCs w:val="24"/>
              </w:rPr>
              <w:t>Classement A : candidature de bonne qualité retenue en l’état ;</w:t>
            </w:r>
          </w:p>
          <w:p w:rsidR="0035701C" w:rsidRDefault="00FB561B" w:rsidP="00FB561B">
            <w:pPr>
              <w:numPr>
                <w:ilvl w:val="0"/>
                <w:numId w:val="968"/>
              </w:numPr>
              <w:spacing w:before="0" w:after="0"/>
              <w:ind w:hanging="210"/>
              <w:jc w:val="left"/>
              <w:rPr>
                <w:szCs w:val="24"/>
              </w:rPr>
            </w:pPr>
            <w:r>
              <w:rPr>
                <w:szCs w:val="24"/>
              </w:rPr>
              <w:t>Classement B : candidature de qualité intermédiaire : la candidature est intéressante mais elle mérite d’être complétée et retravaillée en foncti</w:t>
            </w:r>
            <w:r>
              <w:rPr>
                <w:szCs w:val="24"/>
              </w:rPr>
              <w:t>on de critères et de recommandations identifiées. Si tel est le cas, le territoire disposera d’un délai d’un mois pour compléter sa candidature qui sera soumise pour consultation écrite aux membres du Comité Régional de Sélection.</w:t>
            </w:r>
          </w:p>
          <w:p w:rsidR="0035701C" w:rsidRDefault="00FB561B" w:rsidP="00FB561B">
            <w:pPr>
              <w:numPr>
                <w:ilvl w:val="0"/>
                <w:numId w:val="968"/>
              </w:numPr>
              <w:spacing w:before="0" w:after="240"/>
              <w:ind w:hanging="210"/>
              <w:jc w:val="left"/>
              <w:rPr>
                <w:szCs w:val="24"/>
              </w:rPr>
            </w:pPr>
            <w:r>
              <w:rPr>
                <w:szCs w:val="24"/>
              </w:rPr>
              <w:t xml:space="preserve">Classement C : </w:t>
            </w:r>
            <w:r>
              <w:rPr>
                <w:szCs w:val="24"/>
              </w:rPr>
              <w:t>candidature de qualité insuffisante et rejetée.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Calendrier de sélection :</w:t>
            </w:r>
          </w:p>
          <w:p w:rsidR="0035701C" w:rsidRDefault="00FB561B">
            <w:pPr>
              <w:spacing w:before="240" w:after="240"/>
              <w:jc w:val="left"/>
              <w:rPr>
                <w:szCs w:val="24"/>
              </w:rPr>
            </w:pPr>
            <w:r>
              <w:rPr>
                <w:szCs w:val="24"/>
              </w:rPr>
              <w:t>Les stratégies locales de développement seront sélectionnées par appel à candidatures, après avis du comité de sélection régional LEADER. Afin de tenir compte du temps nécessaire à</w:t>
            </w:r>
            <w:r>
              <w:rPr>
                <w:szCs w:val="24"/>
              </w:rPr>
              <w:t xml:space="preserve"> certains territoires pour se structurer conformément aux critères de l’appel à candidature et élaborer une stratégie de qualité, il est proposé une sélection selon le calendrier suivant :</w:t>
            </w:r>
          </w:p>
          <w:p w:rsidR="0035701C" w:rsidRDefault="00FB561B" w:rsidP="00FB561B">
            <w:pPr>
              <w:numPr>
                <w:ilvl w:val="0"/>
                <w:numId w:val="969"/>
              </w:numPr>
              <w:spacing w:before="240" w:after="0"/>
              <w:ind w:hanging="210"/>
              <w:jc w:val="left"/>
              <w:rPr>
                <w:szCs w:val="24"/>
              </w:rPr>
            </w:pPr>
            <w:r>
              <w:rPr>
                <w:b/>
                <w:bCs/>
                <w:szCs w:val="24"/>
              </w:rPr>
              <w:t>Lancement de l’appel à projets</w:t>
            </w:r>
            <w:r>
              <w:rPr>
                <w:szCs w:val="24"/>
              </w:rPr>
              <w:t xml:space="preserve"> : Fin mars 2015 </w:t>
            </w:r>
          </w:p>
          <w:p w:rsidR="0035701C" w:rsidRDefault="00FB561B" w:rsidP="00FB561B">
            <w:pPr>
              <w:numPr>
                <w:ilvl w:val="0"/>
                <w:numId w:val="969"/>
              </w:numPr>
              <w:spacing w:before="0" w:after="0"/>
              <w:ind w:hanging="210"/>
              <w:jc w:val="left"/>
              <w:rPr>
                <w:szCs w:val="24"/>
              </w:rPr>
            </w:pPr>
            <w:r>
              <w:rPr>
                <w:b/>
                <w:bCs/>
                <w:szCs w:val="24"/>
              </w:rPr>
              <w:t>Date limite pour le</w:t>
            </w:r>
            <w:r>
              <w:rPr>
                <w:b/>
                <w:bCs/>
                <w:szCs w:val="24"/>
              </w:rPr>
              <w:t xml:space="preserve"> dépôt des candidatures</w:t>
            </w:r>
            <w:r>
              <w:rPr>
                <w:szCs w:val="24"/>
              </w:rPr>
              <w:t xml:space="preserve"> : 30 juillet 2015 </w:t>
            </w:r>
          </w:p>
          <w:p w:rsidR="0035701C" w:rsidRDefault="00FB561B" w:rsidP="00FB561B">
            <w:pPr>
              <w:numPr>
                <w:ilvl w:val="0"/>
                <w:numId w:val="969"/>
              </w:numPr>
              <w:spacing w:before="0" w:after="0"/>
              <w:ind w:hanging="210"/>
              <w:jc w:val="left"/>
              <w:rPr>
                <w:szCs w:val="24"/>
              </w:rPr>
            </w:pPr>
            <w:r>
              <w:rPr>
                <w:b/>
                <w:bCs/>
                <w:szCs w:val="24"/>
              </w:rPr>
              <w:t>Sélection des 1ers GAL et désignation des candidatures à retravailler</w:t>
            </w:r>
            <w:r>
              <w:rPr>
                <w:szCs w:val="24"/>
              </w:rPr>
              <w:t> : 18 septembre 2015 </w:t>
            </w:r>
          </w:p>
          <w:p w:rsidR="0035701C" w:rsidRDefault="00FB561B" w:rsidP="00FB561B">
            <w:pPr>
              <w:numPr>
                <w:ilvl w:val="0"/>
                <w:numId w:val="969"/>
              </w:numPr>
              <w:spacing w:before="0" w:after="0"/>
              <w:ind w:hanging="210"/>
              <w:jc w:val="left"/>
              <w:rPr>
                <w:szCs w:val="24"/>
              </w:rPr>
            </w:pPr>
            <w:r>
              <w:rPr>
                <w:b/>
                <w:bCs/>
                <w:szCs w:val="24"/>
              </w:rPr>
              <w:t>Date limite pour le dépôt des candidatures retravaillées :</w:t>
            </w:r>
            <w:r>
              <w:rPr>
                <w:szCs w:val="24"/>
              </w:rPr>
              <w:t xml:space="preserve"> 16 octobre 2015 </w:t>
            </w:r>
          </w:p>
          <w:p w:rsidR="0035701C" w:rsidRDefault="00FB561B" w:rsidP="00FB561B">
            <w:pPr>
              <w:numPr>
                <w:ilvl w:val="0"/>
                <w:numId w:val="969"/>
              </w:numPr>
              <w:spacing w:before="0" w:after="240"/>
              <w:ind w:hanging="210"/>
              <w:jc w:val="left"/>
              <w:rPr>
                <w:szCs w:val="24"/>
              </w:rPr>
            </w:pPr>
            <w:r>
              <w:rPr>
                <w:b/>
                <w:bCs/>
                <w:szCs w:val="24"/>
              </w:rPr>
              <w:t>Date limite de sélection des candidatures retr</w:t>
            </w:r>
            <w:r>
              <w:rPr>
                <w:b/>
                <w:bCs/>
                <w:szCs w:val="24"/>
              </w:rPr>
              <w:t>availlées :</w:t>
            </w:r>
            <w:r>
              <w:rPr>
                <w:szCs w:val="24"/>
              </w:rPr>
              <w:t xml:space="preserve"> 04 novembre 2015</w:t>
            </w:r>
          </w:p>
          <w:p w:rsidR="0035701C" w:rsidRDefault="00FB561B">
            <w:pPr>
              <w:spacing w:before="240" w:after="240"/>
              <w:jc w:val="left"/>
              <w:rPr>
                <w:szCs w:val="24"/>
              </w:rPr>
            </w:pPr>
            <w:r>
              <w:rPr>
                <w:szCs w:val="24"/>
              </w:rPr>
              <w:t> Une stratégie de développement local comprend au moins les éléments suivants :</w:t>
            </w:r>
          </w:p>
          <w:p w:rsidR="0035701C" w:rsidRDefault="00FB561B" w:rsidP="00FB561B">
            <w:pPr>
              <w:numPr>
                <w:ilvl w:val="0"/>
                <w:numId w:val="970"/>
              </w:numPr>
              <w:spacing w:before="240" w:after="0"/>
              <w:ind w:hanging="210"/>
              <w:jc w:val="left"/>
              <w:rPr>
                <w:szCs w:val="24"/>
              </w:rPr>
            </w:pPr>
            <w:r>
              <w:rPr>
                <w:szCs w:val="24"/>
              </w:rPr>
              <w:t>la détermination de la zone et de la population relevant de la stratégie;</w:t>
            </w:r>
          </w:p>
          <w:p w:rsidR="0035701C" w:rsidRDefault="00FB561B" w:rsidP="00FB561B">
            <w:pPr>
              <w:numPr>
                <w:ilvl w:val="0"/>
                <w:numId w:val="970"/>
              </w:numPr>
              <w:spacing w:before="0" w:after="0"/>
              <w:ind w:hanging="210"/>
              <w:jc w:val="left"/>
              <w:rPr>
                <w:szCs w:val="24"/>
              </w:rPr>
            </w:pPr>
            <w:r>
              <w:rPr>
                <w:szCs w:val="24"/>
              </w:rPr>
              <w:t xml:space="preserve">une analyse des besoins et du potentiel de développement de la zone, y </w:t>
            </w:r>
            <w:r>
              <w:rPr>
                <w:szCs w:val="24"/>
              </w:rPr>
              <w:t>compris une analyse des atouts, des faiblesses, des opportunités et des menaces;</w:t>
            </w:r>
          </w:p>
          <w:p w:rsidR="0035701C" w:rsidRDefault="00FB561B" w:rsidP="00FB561B">
            <w:pPr>
              <w:numPr>
                <w:ilvl w:val="0"/>
                <w:numId w:val="970"/>
              </w:numPr>
              <w:spacing w:before="0" w:after="0"/>
              <w:ind w:hanging="210"/>
              <w:jc w:val="left"/>
              <w:rPr>
                <w:szCs w:val="24"/>
              </w:rPr>
            </w:pPr>
            <w:r>
              <w:rPr>
                <w:szCs w:val="24"/>
              </w:rPr>
              <w:t xml:space="preserve">une description de la stratégie et de ses objectifs, une description du caractère intégré et innovant de la stratégie et une hiérarchie des objectifs, y compris des objectifs </w:t>
            </w:r>
            <w:r>
              <w:rPr>
                <w:szCs w:val="24"/>
              </w:rPr>
              <w:t>clairs et mesurables en matière de réalisations et de résultats ;</w:t>
            </w:r>
          </w:p>
          <w:p w:rsidR="0035701C" w:rsidRDefault="00FB561B" w:rsidP="00FB561B">
            <w:pPr>
              <w:numPr>
                <w:ilvl w:val="0"/>
                <w:numId w:val="970"/>
              </w:numPr>
              <w:spacing w:before="0" w:after="0"/>
              <w:ind w:hanging="210"/>
              <w:jc w:val="left"/>
              <w:rPr>
                <w:szCs w:val="24"/>
              </w:rPr>
            </w:pPr>
            <w:r>
              <w:rPr>
                <w:szCs w:val="24"/>
              </w:rPr>
              <w:t>une description du processus de participation des acteurs locaux à l'élaboration de la stratégie;</w:t>
            </w:r>
          </w:p>
          <w:p w:rsidR="0035701C" w:rsidRDefault="00FB561B" w:rsidP="00FB561B">
            <w:pPr>
              <w:numPr>
                <w:ilvl w:val="0"/>
                <w:numId w:val="970"/>
              </w:numPr>
              <w:spacing w:before="0" w:after="0"/>
              <w:ind w:hanging="210"/>
              <w:jc w:val="left"/>
              <w:rPr>
                <w:szCs w:val="24"/>
              </w:rPr>
            </w:pPr>
            <w:r>
              <w:rPr>
                <w:szCs w:val="24"/>
              </w:rPr>
              <w:t>un plan d'action montrant comment les objectifs sont traduits en actions;</w:t>
            </w:r>
          </w:p>
          <w:p w:rsidR="0035701C" w:rsidRDefault="00FB561B" w:rsidP="00FB561B">
            <w:pPr>
              <w:numPr>
                <w:ilvl w:val="0"/>
                <w:numId w:val="970"/>
              </w:numPr>
              <w:spacing w:before="0" w:after="0"/>
              <w:ind w:hanging="210"/>
              <w:jc w:val="left"/>
              <w:rPr>
                <w:szCs w:val="24"/>
              </w:rPr>
            </w:pPr>
            <w:r>
              <w:rPr>
                <w:szCs w:val="24"/>
              </w:rPr>
              <w:t>une description de</w:t>
            </w:r>
            <w:r>
              <w:rPr>
                <w:szCs w:val="24"/>
              </w:rPr>
              <w:t>s mécanismes de gestion et de suivi de la stratégie, qui atteste la capacité du groupe d'action locale à appliquer la stratégie, et une description des indicateurs et des mécanismes spécifiques d'évaluation ;</w:t>
            </w:r>
          </w:p>
          <w:p w:rsidR="0035701C" w:rsidRDefault="00FB561B" w:rsidP="00FB561B">
            <w:pPr>
              <w:numPr>
                <w:ilvl w:val="0"/>
                <w:numId w:val="970"/>
              </w:numPr>
              <w:spacing w:before="0" w:after="240"/>
              <w:ind w:hanging="210"/>
              <w:jc w:val="left"/>
              <w:rPr>
                <w:szCs w:val="24"/>
              </w:rPr>
            </w:pPr>
            <w:r>
              <w:rPr>
                <w:szCs w:val="24"/>
              </w:rPr>
              <w:t>le plan de financement de la stratégie.</w:t>
            </w:r>
          </w:p>
          <w:p w:rsidR="0035701C" w:rsidRDefault="00FB561B">
            <w:pPr>
              <w:spacing w:before="240" w:after="240"/>
              <w:jc w:val="left"/>
              <w:rPr>
                <w:szCs w:val="24"/>
              </w:rPr>
            </w:pPr>
            <w:r>
              <w:rPr>
                <w:szCs w:val="24"/>
              </w:rPr>
              <w:t>L'anima</w:t>
            </w:r>
            <w:r>
              <w:rPr>
                <w:szCs w:val="24"/>
              </w:rPr>
              <w:t>tion et l’ingénierie territoriales devront être renforcées afin de :</w:t>
            </w:r>
          </w:p>
          <w:p w:rsidR="0035701C" w:rsidRDefault="00FB561B" w:rsidP="00FB561B">
            <w:pPr>
              <w:numPr>
                <w:ilvl w:val="0"/>
                <w:numId w:val="971"/>
              </w:numPr>
              <w:spacing w:before="240" w:after="0"/>
              <w:ind w:hanging="210"/>
              <w:jc w:val="left"/>
              <w:rPr>
                <w:szCs w:val="24"/>
              </w:rPr>
            </w:pPr>
            <w:r>
              <w:rPr>
                <w:szCs w:val="24"/>
              </w:rPr>
              <w:t>Faciliter la mise en œuvre de stratégies de développement local en complémentarité avec les différentes politiques publiques en faveur du développement rural,</w:t>
            </w:r>
          </w:p>
          <w:p w:rsidR="0035701C" w:rsidRDefault="00FB561B" w:rsidP="00FB561B">
            <w:pPr>
              <w:numPr>
                <w:ilvl w:val="0"/>
                <w:numId w:val="971"/>
              </w:numPr>
              <w:spacing w:before="0" w:after="0"/>
              <w:ind w:hanging="210"/>
              <w:jc w:val="left"/>
              <w:rPr>
                <w:szCs w:val="24"/>
              </w:rPr>
            </w:pPr>
            <w:r>
              <w:rPr>
                <w:szCs w:val="24"/>
              </w:rPr>
              <w:t xml:space="preserve">Favoriser l'émergence et la </w:t>
            </w:r>
            <w:r>
              <w:rPr>
                <w:szCs w:val="24"/>
              </w:rPr>
              <w:t>réalisation de projets à dimension collective par la mise en réseau des acteurs de l'économie locale,</w:t>
            </w:r>
          </w:p>
          <w:p w:rsidR="0035701C" w:rsidRDefault="00FB561B" w:rsidP="00FB561B">
            <w:pPr>
              <w:numPr>
                <w:ilvl w:val="0"/>
                <w:numId w:val="971"/>
              </w:numPr>
              <w:spacing w:before="0" w:after="240"/>
              <w:ind w:hanging="210"/>
              <w:jc w:val="left"/>
              <w:rPr>
                <w:szCs w:val="24"/>
              </w:rPr>
            </w:pPr>
            <w:r>
              <w:rPr>
                <w:szCs w:val="24"/>
              </w:rPr>
              <w:t>Favoriser la coordination des structures accompagnatrices de l'économie rurale.</w:t>
            </w:r>
          </w:p>
          <w:p w:rsidR="0035701C" w:rsidRDefault="00FB561B">
            <w:pPr>
              <w:spacing w:before="240" w:after="240"/>
              <w:jc w:val="left"/>
              <w:rPr>
                <w:szCs w:val="24"/>
              </w:rPr>
            </w:pPr>
            <w:r>
              <w:rPr>
                <w:szCs w:val="24"/>
              </w:rPr>
              <w:t>La stratégie locale de développement doit comporter un volet coopération p</w:t>
            </w:r>
            <w:r>
              <w:rPr>
                <w:szCs w:val="24"/>
              </w:rPr>
              <w:t>ermettant de favoriser les synergies territoriales et le développement de stratégies intégrées. Elles devront être construites en cohérence avec les stratégies développées par des territoires voisins ou à des échelles géographiques différentes.</w:t>
            </w:r>
          </w:p>
          <w:p w:rsidR="0035701C" w:rsidRDefault="0035701C">
            <w:pPr>
              <w:pStyle w:val="Corpsdetexte"/>
              <w:spacing w:after="100"/>
            </w:pPr>
          </w:p>
        </w:tc>
      </w:tr>
    </w:tbl>
    <w:p w:rsidR="0035701C" w:rsidRDefault="00FB561B">
      <w:pPr>
        <w:spacing w:after="100"/>
      </w:pPr>
      <w:r>
        <w:t>Justification du choix, pour la mise en œuvre de la stratégie locale de développement, des zones géographiques dont la population excède les limites prévues à l’article 33, paragraphe 6, du règlement (UE) n°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Sans objet</w:t>
            </w:r>
          </w:p>
          <w:p w:rsidR="0035701C" w:rsidRDefault="0035701C">
            <w:pPr>
              <w:pStyle w:val="Corpsdetexte"/>
              <w:spacing w:after="100"/>
            </w:pPr>
          </w:p>
        </w:tc>
      </w:tr>
    </w:tbl>
    <w:p w:rsidR="0035701C" w:rsidRDefault="00FB561B">
      <w:pPr>
        <w:spacing w:after="100"/>
      </w:pPr>
      <w:r>
        <w:t>Coordination avec les aut</w:t>
      </w:r>
      <w:r>
        <w:t>res Fonds structurels et d'investissement européens (ci-après les «Fonds ESI») en ce qui concerne le DLAL, y compris les solutions pouvant être utilisées en ce qui concerne l'utilisation de l'option du Fonds chef de file et toute complémentarité globale en</w:t>
      </w:r>
      <w:r>
        <w:t>tre les Fonds ESI dans le cadre du financement du soutien préparatoire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DLAL pluri fonds n'est pas envisagé en Corse.</w:t>
            </w:r>
          </w:p>
          <w:p w:rsidR="0035701C" w:rsidRDefault="0035701C">
            <w:pPr>
              <w:pStyle w:val="Corpsdetexte"/>
              <w:spacing w:after="100"/>
            </w:pPr>
          </w:p>
        </w:tc>
      </w:tr>
    </w:tbl>
    <w:p w:rsidR="0035701C" w:rsidRDefault="00FB561B">
      <w:pPr>
        <w:spacing w:after="100"/>
      </w:pPr>
      <w:r>
        <w:t>Possibilité de ne pas payer d'avances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Uniquement sur la mesure 19.4.</w:t>
            </w:r>
          </w:p>
          <w:p w:rsidR="0035701C" w:rsidRDefault="0035701C">
            <w:pPr>
              <w:pStyle w:val="Corpsdetexte"/>
              <w:spacing w:after="100"/>
            </w:pPr>
          </w:p>
        </w:tc>
      </w:tr>
    </w:tbl>
    <w:p w:rsidR="0035701C" w:rsidRDefault="00FB561B">
      <w:pPr>
        <w:spacing w:after="100"/>
      </w:pPr>
      <w:r>
        <w:t xml:space="preserve">Définition des tâches de l'autorité de gestion, de l'organisme </w:t>
      </w:r>
      <w:r>
        <w:t xml:space="preserve">payeur et des GAL dans le cadre de Leader, notamment en ce qui concerne la procédure de sélection non discriminatoire et transparente et les critères objectifs de sélection des opérations visées à l'article 34, paragraphe 3, point b), du règlement (UE) n° </w:t>
      </w:r>
      <w:r>
        <w:t>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Répartition des tâches entre Autorité de gestion / OP / GAL pour la mise en œuvre de LEADER   :</w:t>
            </w:r>
          </w:p>
          <w:p w:rsidR="0035701C" w:rsidRDefault="00FB561B">
            <w:pPr>
              <w:spacing w:before="240" w:after="240"/>
              <w:jc w:val="left"/>
              <w:rPr>
                <w:szCs w:val="24"/>
              </w:rPr>
            </w:pPr>
            <w:r>
              <w:rPr>
                <w:szCs w:val="24"/>
              </w:rPr>
              <w:t> </w:t>
            </w:r>
          </w:p>
          <w:p w:rsidR="0035701C" w:rsidRDefault="00FB561B" w:rsidP="00FB561B">
            <w:pPr>
              <w:numPr>
                <w:ilvl w:val="0"/>
                <w:numId w:val="972"/>
              </w:numPr>
              <w:spacing w:before="240" w:after="240"/>
              <w:ind w:hanging="210"/>
              <w:jc w:val="left"/>
              <w:rPr>
                <w:szCs w:val="24"/>
              </w:rPr>
            </w:pPr>
            <w:r>
              <w:rPr>
                <w:b/>
                <w:bCs/>
                <w:szCs w:val="24"/>
              </w:rPr>
              <w:t xml:space="preserve">Les groupes d'action locale ont notamment pour tâches (article 34.3 du Règlement UE N° 1303/2013) </w:t>
            </w:r>
            <w:r>
              <w:rPr>
                <w:szCs w:val="24"/>
              </w:rPr>
              <w:t>:</w:t>
            </w:r>
          </w:p>
          <w:p w:rsidR="0035701C" w:rsidRDefault="00FB561B">
            <w:pPr>
              <w:spacing w:before="240" w:after="240"/>
              <w:jc w:val="left"/>
              <w:rPr>
                <w:szCs w:val="24"/>
              </w:rPr>
            </w:pPr>
            <w:r>
              <w:rPr>
                <w:szCs w:val="24"/>
              </w:rPr>
              <w:t xml:space="preserve"> a) de renforcer la capacité des acteurs locaux </w:t>
            </w:r>
            <w:r>
              <w:rPr>
                <w:szCs w:val="24"/>
              </w:rPr>
              <w:t>à élaborer et à mettre en œuvre des opérations, y compris en stimulant leurs capacités de gestion des projets ;</w:t>
            </w:r>
          </w:p>
          <w:p w:rsidR="0035701C" w:rsidRDefault="00FB561B">
            <w:pPr>
              <w:spacing w:before="240" w:after="240"/>
              <w:jc w:val="left"/>
              <w:rPr>
                <w:szCs w:val="24"/>
              </w:rPr>
            </w:pPr>
            <w:r>
              <w:rPr>
                <w:szCs w:val="24"/>
              </w:rPr>
              <w:t>b) d'élaborer une procédure de sélection transparente et non discriminatoire et des critères objectifs de sélection des opérations qui prévienne</w:t>
            </w:r>
            <w:r>
              <w:rPr>
                <w:szCs w:val="24"/>
              </w:rPr>
              <w:t>nt les conflits d'intérêts, garantissent qu'au moins 50 % des voix à exprimer lors du vote sur des décisions de sélection proviennent de partenaires qui ne sont pas des autorités publiques et autorisent la sélection par procédure écrite ;</w:t>
            </w:r>
          </w:p>
          <w:p w:rsidR="0035701C" w:rsidRDefault="00FB561B">
            <w:pPr>
              <w:spacing w:before="240" w:after="240"/>
              <w:jc w:val="left"/>
              <w:rPr>
                <w:szCs w:val="24"/>
              </w:rPr>
            </w:pPr>
            <w:r>
              <w:rPr>
                <w:szCs w:val="24"/>
              </w:rPr>
              <w:t>c) d'assurer, lor</w:t>
            </w:r>
            <w:r>
              <w:rPr>
                <w:szCs w:val="24"/>
              </w:rPr>
              <w:t>s de la sélection des opérations, la cohérence entre celles-ci et la stratégie de développement local mené par les acteurs locaux en classant les opérations en fonction de leur contribution à la réalisation des objectifs et valeurs cibles de ladite stratég</w:t>
            </w:r>
            <w:r>
              <w:rPr>
                <w:szCs w:val="24"/>
              </w:rPr>
              <w:t>ie;</w:t>
            </w:r>
          </w:p>
          <w:p w:rsidR="0035701C" w:rsidRDefault="00FB561B">
            <w:pPr>
              <w:spacing w:before="240" w:after="240"/>
              <w:jc w:val="left"/>
              <w:rPr>
                <w:szCs w:val="24"/>
              </w:rPr>
            </w:pPr>
            <w:r>
              <w:rPr>
                <w:szCs w:val="24"/>
              </w:rPr>
              <w:t>d) d'élaborer et de publier des appels à propositions ou une procédure de soumission de projets continue, y compris la définition des critères de sélection;</w:t>
            </w:r>
          </w:p>
          <w:p w:rsidR="0035701C" w:rsidRDefault="00FB561B">
            <w:pPr>
              <w:spacing w:before="240" w:after="240"/>
              <w:jc w:val="left"/>
              <w:rPr>
                <w:szCs w:val="24"/>
              </w:rPr>
            </w:pPr>
            <w:r>
              <w:rPr>
                <w:szCs w:val="24"/>
              </w:rPr>
              <w:t>e) de réceptionner et d'évaluer les demandes de soutien;</w:t>
            </w:r>
          </w:p>
          <w:p w:rsidR="0035701C" w:rsidRDefault="00FB561B">
            <w:pPr>
              <w:spacing w:before="240" w:after="240"/>
              <w:jc w:val="left"/>
              <w:rPr>
                <w:szCs w:val="24"/>
              </w:rPr>
            </w:pPr>
            <w:r>
              <w:rPr>
                <w:szCs w:val="24"/>
              </w:rPr>
              <w:t>f) de sélectionner les opérations et d</w:t>
            </w:r>
            <w:r>
              <w:rPr>
                <w:szCs w:val="24"/>
              </w:rPr>
              <w:t>e déterminer le montant du soutien et, le cas échéant, de présenter les propositions à l'organisme responsable de la vérification finale de leur admissibilité avant approbation;</w:t>
            </w:r>
          </w:p>
          <w:p w:rsidR="0035701C" w:rsidRDefault="00FB561B">
            <w:pPr>
              <w:spacing w:before="240" w:after="240"/>
              <w:jc w:val="left"/>
              <w:rPr>
                <w:szCs w:val="24"/>
              </w:rPr>
            </w:pPr>
            <w:r>
              <w:rPr>
                <w:szCs w:val="24"/>
              </w:rPr>
              <w:t>g) de suivre l'application de la stratégie de développement local mené par les</w:t>
            </w:r>
            <w:r>
              <w:rPr>
                <w:szCs w:val="24"/>
              </w:rPr>
              <w:t xml:space="preserve"> acteurs locaux et des opérations soutenues et d'accomplir des activités d'évaluation.</w:t>
            </w:r>
          </w:p>
          <w:p w:rsidR="0035701C" w:rsidRDefault="00FB561B">
            <w:pPr>
              <w:spacing w:before="240" w:after="240"/>
              <w:jc w:val="left"/>
              <w:rPr>
                <w:szCs w:val="24"/>
              </w:rPr>
            </w:pPr>
            <w:r>
              <w:rPr>
                <w:szCs w:val="24"/>
              </w:rPr>
              <w:t>Le GAL sera l’interlocuteur unique des différents maîtres d’ouvrage des opérations mises en œuvre dans le cadre du plan de développement, du montage des opérations jusqu</w:t>
            </w:r>
            <w:r>
              <w:rPr>
                <w:szCs w:val="24"/>
              </w:rPr>
              <w:t>’à leur réalisation.</w:t>
            </w:r>
          </w:p>
          <w:p w:rsidR="0035701C" w:rsidRDefault="00FB561B">
            <w:pPr>
              <w:spacing w:before="240" w:after="240"/>
              <w:jc w:val="left"/>
              <w:rPr>
                <w:szCs w:val="24"/>
              </w:rPr>
            </w:pPr>
            <w:r>
              <w:rPr>
                <w:szCs w:val="24"/>
              </w:rPr>
              <w:t>Les opérations seront sélectionnées par le comité de programmation du GAL, qui sera seul juge de leur opportunité. Le contrôle de l’éligibilité sera assuré par la Direction du Développement Local de la CTC.</w:t>
            </w:r>
          </w:p>
          <w:p w:rsidR="0035701C" w:rsidRDefault="00FB561B">
            <w:pPr>
              <w:spacing w:before="240" w:after="240"/>
              <w:jc w:val="left"/>
              <w:rPr>
                <w:szCs w:val="24"/>
              </w:rPr>
            </w:pPr>
            <w:r>
              <w:rPr>
                <w:szCs w:val="24"/>
              </w:rPr>
              <w:t>Le paiement aux bénéficiaire</w:t>
            </w:r>
            <w:r>
              <w:rPr>
                <w:szCs w:val="24"/>
              </w:rPr>
              <w:t>s des crédits de la Collectivité Territoriale et du FEADER sera effectué par l’organisme payeur.</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 xml:space="preserve">L’Autorité de gestion : </w:t>
            </w:r>
          </w:p>
          <w:p w:rsidR="0035701C" w:rsidRDefault="00FB561B" w:rsidP="00FB561B">
            <w:pPr>
              <w:numPr>
                <w:ilvl w:val="0"/>
                <w:numId w:val="973"/>
              </w:numPr>
              <w:spacing w:before="240" w:after="0"/>
              <w:ind w:hanging="210"/>
              <w:jc w:val="left"/>
              <w:rPr>
                <w:szCs w:val="24"/>
              </w:rPr>
            </w:pPr>
            <w:r>
              <w:rPr>
                <w:szCs w:val="24"/>
              </w:rPr>
              <w:t>Assurera la sélection des GAL.</w:t>
            </w:r>
          </w:p>
          <w:p w:rsidR="0035701C" w:rsidRDefault="00FB561B" w:rsidP="00FB561B">
            <w:pPr>
              <w:numPr>
                <w:ilvl w:val="0"/>
                <w:numId w:val="973"/>
              </w:numPr>
              <w:spacing w:before="0" w:after="0"/>
              <w:ind w:hanging="210"/>
              <w:jc w:val="left"/>
              <w:rPr>
                <w:szCs w:val="24"/>
              </w:rPr>
            </w:pPr>
            <w:r>
              <w:rPr>
                <w:szCs w:val="24"/>
              </w:rPr>
              <w:t>Sera l’interlocuteur privilégié du GAL pour assurer l’instruction règlementaire.</w:t>
            </w:r>
          </w:p>
          <w:p w:rsidR="0035701C" w:rsidRDefault="00FB561B" w:rsidP="00FB561B">
            <w:pPr>
              <w:numPr>
                <w:ilvl w:val="0"/>
                <w:numId w:val="973"/>
              </w:numPr>
              <w:spacing w:before="0" w:after="240"/>
              <w:ind w:hanging="210"/>
              <w:jc w:val="left"/>
              <w:rPr>
                <w:szCs w:val="24"/>
              </w:rPr>
            </w:pPr>
            <w:r>
              <w:rPr>
                <w:szCs w:val="24"/>
              </w:rPr>
              <w:t xml:space="preserve">Sera chargée de la </w:t>
            </w:r>
            <w:r>
              <w:rPr>
                <w:szCs w:val="24"/>
              </w:rPr>
              <w:t>sélection et de la réalisation des contrôles qualité gestion à réaliser sur place selon les textes en vigueur.</w:t>
            </w:r>
          </w:p>
          <w:p w:rsidR="0035701C" w:rsidRDefault="00FB561B">
            <w:pPr>
              <w:spacing w:before="240" w:after="240"/>
              <w:ind w:left="360"/>
              <w:jc w:val="left"/>
              <w:rPr>
                <w:szCs w:val="24"/>
              </w:rPr>
            </w:pPr>
            <w:r>
              <w:rPr>
                <w:szCs w:val="24"/>
              </w:rPr>
              <w:t> </w:t>
            </w:r>
          </w:p>
          <w:p w:rsidR="0035701C" w:rsidRDefault="00FB561B">
            <w:pPr>
              <w:spacing w:before="240" w:after="240"/>
              <w:jc w:val="left"/>
              <w:rPr>
                <w:szCs w:val="24"/>
              </w:rPr>
            </w:pPr>
            <w:r>
              <w:rPr>
                <w:b/>
                <w:bCs/>
                <w:szCs w:val="24"/>
              </w:rPr>
              <w:t>L’organisme payeur :</w:t>
            </w:r>
          </w:p>
          <w:p w:rsidR="0035701C" w:rsidRDefault="00FB561B" w:rsidP="00FB561B">
            <w:pPr>
              <w:numPr>
                <w:ilvl w:val="0"/>
                <w:numId w:val="974"/>
              </w:numPr>
              <w:spacing w:before="240" w:after="0"/>
              <w:ind w:hanging="210"/>
              <w:jc w:val="left"/>
              <w:rPr>
                <w:szCs w:val="24"/>
              </w:rPr>
            </w:pPr>
            <w:r>
              <w:rPr>
                <w:szCs w:val="24"/>
              </w:rPr>
              <w:t>L’OP met en paiement l’aide du FEADER au maître d’ouvrage.</w:t>
            </w:r>
          </w:p>
          <w:p w:rsidR="0035701C" w:rsidRDefault="00FB561B" w:rsidP="00FB561B">
            <w:pPr>
              <w:numPr>
                <w:ilvl w:val="0"/>
                <w:numId w:val="974"/>
              </w:numPr>
              <w:spacing w:before="0" w:after="0"/>
              <w:ind w:hanging="210"/>
              <w:jc w:val="left"/>
              <w:rPr>
                <w:szCs w:val="24"/>
              </w:rPr>
            </w:pPr>
            <w:r>
              <w:rPr>
                <w:szCs w:val="24"/>
              </w:rPr>
              <w:t>Il assure l’engagement comptable et édite la convention attribu</w:t>
            </w:r>
            <w:r>
              <w:rPr>
                <w:szCs w:val="24"/>
              </w:rPr>
              <w:t>tive d’aide après réception du compte rendu écrit du comité de programmation statuant sur le dossier concerné transmis par la DDL.</w:t>
            </w:r>
          </w:p>
          <w:p w:rsidR="0035701C" w:rsidRDefault="00FB561B" w:rsidP="00FB561B">
            <w:pPr>
              <w:numPr>
                <w:ilvl w:val="0"/>
                <w:numId w:val="974"/>
              </w:numPr>
              <w:spacing w:before="0" w:after="0"/>
              <w:ind w:hanging="210"/>
              <w:jc w:val="left"/>
              <w:rPr>
                <w:szCs w:val="24"/>
              </w:rPr>
            </w:pPr>
            <w:r>
              <w:rPr>
                <w:szCs w:val="24"/>
              </w:rPr>
              <w:t xml:space="preserve">L’OP est chargé de réaliser les contrôles sur place des mesures hors surface, portant sur les bénéficiaires de l’aide et sur </w:t>
            </w:r>
            <w:r>
              <w:rPr>
                <w:szCs w:val="24"/>
              </w:rPr>
              <w:t>le GAL lui-même dans le cadre de la mesure 19.</w:t>
            </w:r>
          </w:p>
          <w:p w:rsidR="0035701C" w:rsidRDefault="00FB561B" w:rsidP="00FB561B">
            <w:pPr>
              <w:numPr>
                <w:ilvl w:val="0"/>
                <w:numId w:val="974"/>
              </w:numPr>
              <w:spacing w:before="0" w:after="240"/>
              <w:ind w:hanging="210"/>
              <w:jc w:val="left"/>
              <w:rPr>
                <w:szCs w:val="24"/>
              </w:rPr>
            </w:pPr>
            <w:r>
              <w:rPr>
                <w:szCs w:val="24"/>
              </w:rPr>
              <w:t>L’OP exerce des contrôles de conformité sur un échantillon de dossiers.</w:t>
            </w:r>
          </w:p>
          <w:p w:rsidR="0035701C" w:rsidRDefault="0035701C">
            <w:pPr>
              <w:pStyle w:val="Corpsdetexte"/>
              <w:spacing w:after="100"/>
            </w:pPr>
          </w:p>
        </w:tc>
      </w:tr>
    </w:tbl>
    <w:p w:rsidR="0035701C" w:rsidRDefault="00FB561B">
      <w:pPr>
        <w:spacing w:after="100"/>
      </w:pPr>
      <w:r>
        <w:t>Description des mécanismes de coordination prévus et des complémentarités assurées avec les opérations bénéficiant d’un soutien dans le</w:t>
      </w:r>
      <w:r>
        <w:t xml:space="preserve"> cadre d’autres mesures de développement rural, en particulier en ce qui concerne: les investissements dans des activités non agricoles et l’aide au démarrage d’entreprises au titre de l’article 19 du règlement (UE) nº 1305/2013, les investissements au tit</w:t>
      </w:r>
      <w:r>
        <w:t>re de l’article 20 du règlement (UE) nº 1305/2013, et la coopération au titre de l’article 35 du règlement (UE) nº 1305/2013, notamment la mise en œuvre de stratégies locales de développement grâce à des partenariats public-privé</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Les stratégies des GAL déf</w:t>
            </w:r>
            <w:r>
              <w:rPr>
                <w:szCs w:val="24"/>
              </w:rPr>
              <w:t>iniront les besoins du territoire et les opérations qui seront soutenues par LEADER ; dans le cas où ces opérations pourraient aussi être soutenues par d‘autres mesures du PDR (notamment par les mesures M6, M7 ou M16), le GAL devra démontrer la valeur ajou</w:t>
            </w:r>
            <w:r>
              <w:rPr>
                <w:szCs w:val="24"/>
              </w:rPr>
              <w:t>tée qui pourrait découler de la mise en œuvre de l'opération via LEADER par rapport à sa mise en œuvre "traditionnelle". Il s'agira de démontrer que la mise en réseau des partenaires public/privé, l'approche collective, le caractère intégré des projets, la</w:t>
            </w:r>
            <w:r>
              <w:rPr>
                <w:szCs w:val="24"/>
              </w:rPr>
              <w:t xml:space="preserve"> dimension stratégique des actions, etc., permettent d'améliorer la contribution aux résultats des opérations.</w:t>
            </w:r>
          </w:p>
          <w:p w:rsidR="0035701C" w:rsidRDefault="0035701C">
            <w:pPr>
              <w:pStyle w:val="Corpsdetexte"/>
              <w:spacing w:after="100"/>
            </w:pPr>
          </w:p>
        </w:tc>
      </w:tr>
    </w:tbl>
    <w:p w:rsidR="0035701C" w:rsidRDefault="00FB561B">
      <w:pPr>
        <w:pStyle w:val="Titre4"/>
        <w:spacing w:after="100"/>
        <w:jc w:val="left"/>
      </w:pPr>
      <w:r>
        <w:t>Autres remarques importantes pour comprendre et mettre en œuvre la mesure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35701C">
      <w:pPr>
        <w:sectPr w:rsidR="0035701C">
          <w:pgSz w:w="12240" w:h="15840"/>
          <w:pgMar w:top="900" w:right="900" w:bottom="900" w:left="900" w:header="720" w:footer="720" w:gutter="0"/>
          <w:cols w:space="720"/>
        </w:sectPr>
      </w:pPr>
    </w:p>
    <w:p w:rsidR="0035701C" w:rsidRDefault="00FB561B">
      <w:pPr>
        <w:pStyle w:val="Titre1"/>
      </w:pPr>
      <w:bookmarkStart w:id="113" w:name="_Toc256000112"/>
      <w:r>
        <w:t>Plan d’évaluation</w:t>
      </w:r>
      <w:bookmarkEnd w:id="113"/>
    </w:p>
    <w:p w:rsidR="0035701C" w:rsidRDefault="00FB561B">
      <w:pPr>
        <w:pStyle w:val="Titre2"/>
      </w:pPr>
      <w:bookmarkStart w:id="114" w:name="_Toc256000113"/>
      <w:r>
        <w:t>Objectifs et finalité</w:t>
      </w:r>
      <w:bookmarkEnd w:id="114"/>
    </w:p>
    <w:p w:rsidR="0035701C" w:rsidRDefault="00FB561B">
      <w:r>
        <w:t xml:space="preserve">Indication des </w:t>
      </w:r>
      <w:r>
        <w:t>objectifs et de la finalité du plan d’évaluation, sur la base de la nécessité d'assurer que des activités d’évaluation suffisantes et appropriées sont entreprises, dans le but notamment de fournir les informations nécessaires pour le pilotage du programme,</w:t>
      </w:r>
      <w:r>
        <w:t xml:space="preserve"> pour les rapports annuels de mise en œuvre de 2017 et 2019 et pour l’évaluation ex post, et de garantir que les données nécessaires à l'évaluation du PDR sont disponibles.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Le plan d'évaluation est destiné à améliorer la stratégie d’investissement et la mi</w:t>
            </w:r>
            <w:r>
              <w:rPr>
                <w:szCs w:val="24"/>
              </w:rPr>
              <w:t xml:space="preserve">se-en-œuvre du PDR en termes d'efficacité (atteinte des objectifs fixés), d'efficience (adéquation des ressources avec les objectifs), de pertinence (réponse opérationnelle aux besoins les plus importants) et d'impact (amélioration de la situation dans la </w:t>
            </w:r>
            <w:r>
              <w:rPr>
                <w:szCs w:val="24"/>
              </w:rPr>
              <w:t>zone de programmation).</w:t>
            </w:r>
          </w:p>
          <w:p w:rsidR="0035701C" w:rsidRDefault="00FB561B">
            <w:pPr>
              <w:spacing w:before="240" w:after="240"/>
              <w:jc w:val="left"/>
              <w:rPr>
                <w:szCs w:val="24"/>
              </w:rPr>
            </w:pPr>
            <w:r>
              <w:rPr>
                <w:szCs w:val="24"/>
              </w:rPr>
              <w:t>L'objectif du plan d'évaluation est également de veiller à ce que des activités d'évaluation suffisantes et appropriées soient entreprises, en particulier pour fournir les informations nécessaires pour la mise en œuvre et la gestion</w:t>
            </w:r>
            <w:r>
              <w:rPr>
                <w:szCs w:val="24"/>
              </w:rPr>
              <w:t xml:space="preserve"> du PDRC, pour les rapports annuels d'exécution en 2017 et 2019 et l'évaluation ex post et à veiller à ce que les données nécessaires à l'évaluation du PDRC soient disponibles.</w:t>
            </w:r>
          </w:p>
          <w:p w:rsidR="0035701C" w:rsidRDefault="00FB561B">
            <w:pPr>
              <w:spacing w:before="240" w:after="240"/>
              <w:jc w:val="left"/>
              <w:rPr>
                <w:szCs w:val="24"/>
              </w:rPr>
            </w:pPr>
            <w:r>
              <w:rPr>
                <w:szCs w:val="24"/>
              </w:rPr>
              <w:t>Ses objectifs assignés relèvent des textes communautaires suivants :</w:t>
            </w:r>
          </w:p>
          <w:p w:rsidR="0035701C" w:rsidRDefault="00FB561B" w:rsidP="00FB561B">
            <w:pPr>
              <w:numPr>
                <w:ilvl w:val="0"/>
                <w:numId w:val="975"/>
              </w:numPr>
              <w:spacing w:before="240" w:after="0"/>
              <w:ind w:hanging="244"/>
              <w:jc w:val="left"/>
              <w:rPr>
                <w:szCs w:val="24"/>
              </w:rPr>
            </w:pPr>
            <w:r>
              <w:rPr>
                <w:szCs w:val="24"/>
              </w:rPr>
              <w:t>Le règleme</w:t>
            </w:r>
            <w:r>
              <w:rPr>
                <w:szCs w:val="24"/>
              </w:rPr>
              <w:t>nt UE commun 1303/2013 en date du 17 décembre 2013 – Articles 27, 54, 56 et 57.  les responsabilités et indépendance des évaluations ainsi que son public.</w:t>
            </w:r>
          </w:p>
          <w:p w:rsidR="0035701C" w:rsidRDefault="00FB561B" w:rsidP="00FB561B">
            <w:pPr>
              <w:numPr>
                <w:ilvl w:val="0"/>
                <w:numId w:val="975"/>
              </w:numPr>
              <w:spacing w:before="0" w:after="240"/>
              <w:ind w:hanging="244"/>
              <w:jc w:val="left"/>
              <w:rPr>
                <w:szCs w:val="24"/>
              </w:rPr>
            </w:pPr>
            <w:r>
              <w:rPr>
                <w:szCs w:val="24"/>
              </w:rPr>
              <w:t>Le règlement UE 1305/2013 du 17 décembre 2013 – Articles 8, 67 à, 71, et  74 à 76.</w:t>
            </w:r>
          </w:p>
          <w:p w:rsidR="0035701C" w:rsidRDefault="00FB561B">
            <w:pPr>
              <w:spacing w:before="240" w:after="240"/>
              <w:jc w:val="left"/>
              <w:rPr>
                <w:szCs w:val="24"/>
              </w:rPr>
            </w:pPr>
            <w:r>
              <w:rPr>
                <w:szCs w:val="24"/>
              </w:rPr>
              <w:t>La Collectivité Te</w:t>
            </w:r>
            <w:r>
              <w:rPr>
                <w:szCs w:val="24"/>
              </w:rPr>
              <w:t>rritoriale de Corse, Autorité de Gestion du  programme portera son attention sur les points suivants :</w:t>
            </w:r>
          </w:p>
          <w:p w:rsidR="0035701C" w:rsidRDefault="00FB561B" w:rsidP="00FB561B">
            <w:pPr>
              <w:numPr>
                <w:ilvl w:val="0"/>
                <w:numId w:val="976"/>
              </w:numPr>
              <w:spacing w:before="240" w:after="0"/>
              <w:ind w:hanging="244"/>
              <w:jc w:val="left"/>
              <w:rPr>
                <w:szCs w:val="24"/>
              </w:rPr>
            </w:pPr>
            <w:r>
              <w:rPr>
                <w:szCs w:val="24"/>
              </w:rPr>
              <w:t>Elaborer un outil de pilotage efficient  pour la cohérence de la stratégie d’investissement avec  les interventions programmées.</w:t>
            </w:r>
          </w:p>
          <w:p w:rsidR="0035701C" w:rsidRDefault="00FB561B" w:rsidP="00FB561B">
            <w:pPr>
              <w:numPr>
                <w:ilvl w:val="0"/>
                <w:numId w:val="976"/>
              </w:numPr>
              <w:spacing w:before="0" w:after="0"/>
              <w:ind w:hanging="244"/>
              <w:jc w:val="left"/>
              <w:rPr>
                <w:szCs w:val="24"/>
              </w:rPr>
            </w:pPr>
            <w:r>
              <w:rPr>
                <w:szCs w:val="24"/>
              </w:rPr>
              <w:t>Garantir un accompagneme</w:t>
            </w:r>
            <w:r>
              <w:rPr>
                <w:szCs w:val="24"/>
              </w:rPr>
              <w:t>nt in-itinere  et en continu sur la conduite du programme et des résultats.</w:t>
            </w:r>
          </w:p>
          <w:p w:rsidR="0035701C" w:rsidRDefault="00FB561B" w:rsidP="00FB561B">
            <w:pPr>
              <w:numPr>
                <w:ilvl w:val="0"/>
                <w:numId w:val="976"/>
              </w:numPr>
              <w:spacing w:before="0" w:after="240"/>
              <w:ind w:hanging="244"/>
              <w:jc w:val="left"/>
              <w:rPr>
                <w:szCs w:val="24"/>
              </w:rPr>
            </w:pPr>
            <w:r>
              <w:rPr>
                <w:szCs w:val="24"/>
              </w:rPr>
              <w:t>Organiser un dispositif d’échange avec les services instructeurs ainsi que des outils de suivi internes au niveau de l’Autorité de Gestion (CTC - Direction des Affaires Européennes</w:t>
            </w:r>
            <w:r>
              <w:rPr>
                <w:szCs w:val="24"/>
              </w:rPr>
              <w:t xml:space="preserve"> et Internationales DAEI) pour satisfaire les exigences  des règlements européens : Etablissement des Rapports Annuels d’exécution  dont ceux nécessaires pour la revue des performances en 2017 et 2019.</w:t>
            </w:r>
          </w:p>
          <w:p w:rsidR="0035701C" w:rsidRDefault="00FB561B">
            <w:pPr>
              <w:spacing w:before="240" w:after="240"/>
              <w:jc w:val="left"/>
              <w:rPr>
                <w:szCs w:val="24"/>
              </w:rPr>
            </w:pPr>
            <w:r>
              <w:rPr>
                <w:szCs w:val="24"/>
              </w:rPr>
              <w:t>Le dispositif s’attachera à ce que les données et info</w:t>
            </w:r>
            <w:r>
              <w:rPr>
                <w:szCs w:val="24"/>
              </w:rPr>
              <w:t>rmations soient rapidement disponibles au format approprié, stabilisées et cohérentes pour mener  à bien ces exercices. Il permettra aussi d’ « alerter » l’Autorité de Gestion sur un retard éventuel de réalisations d’une ou plusieurs mesures ou des résulta</w:t>
            </w:r>
            <w:r>
              <w:rPr>
                <w:szCs w:val="24"/>
              </w:rPr>
              <w:t>ts jugés insuffisants concernant l’atteinte des objectifs.</w:t>
            </w:r>
          </w:p>
          <w:p w:rsidR="0035701C" w:rsidRDefault="00FB561B">
            <w:pPr>
              <w:spacing w:before="240" w:after="240"/>
              <w:jc w:val="left"/>
              <w:rPr>
                <w:szCs w:val="24"/>
              </w:rPr>
            </w:pPr>
            <w:r>
              <w:rPr>
                <w:szCs w:val="24"/>
              </w:rPr>
              <w:t>En complément,  l’Autorité de Gestion conduira des évaluations sur des domaines spécifiques  du PDRC, qui constituent des enjeux propres à la Corse.  La liste des domaines sera arrêtée en concertat</w:t>
            </w:r>
            <w:r>
              <w:rPr>
                <w:szCs w:val="24"/>
              </w:rPr>
              <w:t>ion avec le comité de suivi pluri fonds.</w:t>
            </w:r>
          </w:p>
          <w:p w:rsidR="0035701C" w:rsidRDefault="00FB561B">
            <w:pPr>
              <w:spacing w:before="240" w:after="240"/>
              <w:jc w:val="left"/>
              <w:rPr>
                <w:szCs w:val="24"/>
              </w:rPr>
            </w:pPr>
            <w:r>
              <w:rPr>
                <w:szCs w:val="24"/>
              </w:rPr>
              <w:t>Pour mener à bien ces objectifs, l’Autorité de Gestion s’appuiera sur le bilan et les enseignements à tirer de la précédente programmation.    </w:t>
            </w:r>
          </w:p>
          <w:p w:rsidR="0035701C" w:rsidRDefault="0035701C">
            <w:pPr>
              <w:pStyle w:val="Corpsdetexte"/>
            </w:pPr>
          </w:p>
        </w:tc>
      </w:tr>
    </w:tbl>
    <w:p w:rsidR="0035701C" w:rsidRDefault="00FB561B">
      <w:pPr>
        <w:pStyle w:val="Titre2"/>
      </w:pPr>
      <w:bookmarkStart w:id="115" w:name="_Toc256000114"/>
      <w:r>
        <w:t>Gouvernance et coordination</w:t>
      </w:r>
      <w:bookmarkEnd w:id="115"/>
    </w:p>
    <w:p w:rsidR="0035701C" w:rsidRDefault="00FB561B">
      <w:r>
        <w:t xml:space="preserve">Brève description des modalités de suivi </w:t>
      </w:r>
      <w:r>
        <w:t>et d’évaluation pour le PDR, identifiant les principaux organismes concernés et leurs responsabilités. Explication de la manière dont les activités d’évaluation sont liées à la mise en œuvre du PDR en ce qui concerne leur contenu et leur calendrier.</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Organi</w:t>
            </w:r>
            <w:r>
              <w:rPr>
                <w:b/>
                <w:bCs/>
                <w:szCs w:val="24"/>
              </w:rPr>
              <w:t>sation générale de l’évaluation des FESI dont la CTC est autorité de gestion.</w:t>
            </w:r>
          </w:p>
          <w:p w:rsidR="0035701C" w:rsidRDefault="00FB561B">
            <w:pPr>
              <w:spacing w:before="240" w:after="240"/>
              <w:jc w:val="left"/>
              <w:rPr>
                <w:szCs w:val="24"/>
              </w:rPr>
            </w:pPr>
            <w:r>
              <w:rPr>
                <w:szCs w:val="24"/>
              </w:rPr>
              <w:t>La CTC est autorité de gestion du FEDER, FSE et du FEADER. La mise en œuvre de chacun de ces fonds nécessite de recourir à une démarche évaluative afin de s’assurer de la bonne m</w:t>
            </w:r>
            <w:r>
              <w:rPr>
                <w:szCs w:val="24"/>
              </w:rPr>
              <w:t>ise en œuvre des programmes et de la bonne utilisation des fonds européen. </w:t>
            </w:r>
          </w:p>
          <w:p w:rsidR="0035701C" w:rsidRDefault="00FB561B">
            <w:pPr>
              <w:spacing w:before="240" w:after="240"/>
              <w:jc w:val="left"/>
              <w:rPr>
                <w:szCs w:val="24"/>
              </w:rPr>
            </w:pPr>
            <w:r>
              <w:rPr>
                <w:szCs w:val="24"/>
              </w:rPr>
              <w:t xml:space="preserve">Afin d’appuyer les services opérationnels, la CTC a souhaité se doter de compétence spécifique en matière d’évaluation. Ainsi, au sein de la DAEI, la cohérence globale des actions </w:t>
            </w:r>
            <w:r>
              <w:rPr>
                <w:szCs w:val="24"/>
              </w:rPr>
              <w:t>évaluatives sera confiée à un chargé d’évaluation. Il aura également pour tâche de s’assurer de la bonne mise en œuvre des évaluations et fournira un appui méthodologie aux agents en charge de chaque fond. Ce chargé d’évaluation a un rôle transversal sur l</w:t>
            </w:r>
            <w:r>
              <w:rPr>
                <w:szCs w:val="24"/>
              </w:rPr>
              <w:t>es différents FESI dont la CTC est Autorité de Gestion.</w:t>
            </w:r>
          </w:p>
          <w:p w:rsidR="0035701C" w:rsidRDefault="00FB561B">
            <w:pPr>
              <w:spacing w:before="240" w:after="240"/>
              <w:jc w:val="left"/>
              <w:rPr>
                <w:szCs w:val="24"/>
              </w:rPr>
            </w:pPr>
            <w:r>
              <w:rPr>
                <w:szCs w:val="24"/>
              </w:rPr>
              <w:t>La communication générale autour des programmes européens est également regroupée dans un seul pôle au sein de la DAEI. Celui-ci pourra être mobilisé pour la communication des résultats des évaluation</w:t>
            </w:r>
            <w:r>
              <w:rPr>
                <w:szCs w:val="24"/>
              </w:rPr>
              <w:t>s du FEADER.</w:t>
            </w:r>
          </w:p>
          <w:p w:rsidR="0035701C" w:rsidRDefault="00FB561B">
            <w:pPr>
              <w:spacing w:before="240" w:after="240"/>
              <w:jc w:val="left"/>
              <w:rPr>
                <w:szCs w:val="24"/>
              </w:rPr>
            </w:pPr>
            <w:r>
              <w:rPr>
                <w:b/>
                <w:bCs/>
                <w:szCs w:val="24"/>
              </w:rPr>
              <w:t>Organisation du système de suivi et d’évaluation pour le FEADER:</w:t>
            </w:r>
          </w:p>
          <w:p w:rsidR="0035701C" w:rsidRDefault="00FB561B">
            <w:pPr>
              <w:spacing w:before="240" w:after="240"/>
              <w:jc w:val="left"/>
              <w:rPr>
                <w:szCs w:val="24"/>
              </w:rPr>
            </w:pPr>
            <w:r>
              <w:rPr>
                <w:szCs w:val="24"/>
              </w:rPr>
              <w:t>Les activités d’évaluation sont placées sous la responsabilité de la Collectivité Territoriale de Corse, Autorité de gestion. L’Autorité de Gestion associera les parties prenante</w:t>
            </w:r>
            <w:r>
              <w:rPr>
                <w:szCs w:val="24"/>
              </w:rPr>
              <w:t>s, qui ont contribué à l’élaboration du Programme, l’organisme Payeur  ainsi que les services CTC et ceux déconcentrés de l’Etat en charge de l’animation et l’instruction des mesures et bien évidemment le Comité de suivi pluri fonds.</w:t>
            </w:r>
          </w:p>
          <w:p w:rsidR="0035701C" w:rsidRDefault="00FB561B">
            <w:pPr>
              <w:spacing w:before="240" w:after="240"/>
              <w:jc w:val="left"/>
              <w:rPr>
                <w:szCs w:val="24"/>
              </w:rPr>
            </w:pPr>
            <w:r>
              <w:rPr>
                <w:szCs w:val="24"/>
              </w:rPr>
              <w:t>Spécifiquement pour le</w:t>
            </w:r>
            <w:r>
              <w:rPr>
                <w:szCs w:val="24"/>
              </w:rPr>
              <w:t xml:space="preserve"> FEADER, un Coordonnateur et deux chargés du suivi (RAE et maquette financière) positionnés au sein l’Autorité de gestion (CTC - Direction Des Affaires Européennes et Internationales  - unité FEADER) coordonneront les activités de suivi et d’évaluation en </w:t>
            </w:r>
            <w:r>
              <w:rPr>
                <w:szCs w:val="24"/>
              </w:rPr>
              <w:t>lien avec les services instructeurs.</w:t>
            </w:r>
          </w:p>
          <w:p w:rsidR="0035701C" w:rsidRDefault="00FB561B">
            <w:pPr>
              <w:spacing w:before="240" w:after="240"/>
              <w:jc w:val="left"/>
              <w:rPr>
                <w:szCs w:val="24"/>
              </w:rPr>
            </w:pPr>
            <w:r>
              <w:rPr>
                <w:szCs w:val="24"/>
              </w:rPr>
              <w:t>La mission confiée à cette cellule consistera  à :</w:t>
            </w:r>
          </w:p>
          <w:p w:rsidR="0035701C" w:rsidRDefault="00FB561B">
            <w:pPr>
              <w:spacing w:before="240" w:after="240"/>
              <w:jc w:val="left"/>
              <w:rPr>
                <w:szCs w:val="24"/>
              </w:rPr>
            </w:pPr>
            <w:r>
              <w:rPr>
                <w:szCs w:val="24"/>
              </w:rPr>
              <w:t>•           la formation et la coordination des instructeurs pour garantir un bon remplissage des valeurs des indicateurs pour chaque dossier programmé ;</w:t>
            </w:r>
          </w:p>
          <w:p w:rsidR="0035701C" w:rsidRDefault="00FB561B">
            <w:pPr>
              <w:spacing w:before="240" w:after="240"/>
              <w:jc w:val="left"/>
              <w:rPr>
                <w:szCs w:val="24"/>
              </w:rPr>
            </w:pPr>
            <w:r>
              <w:rPr>
                <w:szCs w:val="24"/>
              </w:rPr>
              <w:t>•           la</w:t>
            </w:r>
            <w:r>
              <w:rPr>
                <w:szCs w:val="24"/>
              </w:rPr>
              <w:t xml:space="preserve"> collecte et le renseignement des données de suivi des programmes notamment les données du cadre de performance (indicateurs de réalisation, indicateurs de résultats, indicateurs spécifiques) ;</w:t>
            </w:r>
          </w:p>
          <w:p w:rsidR="0035701C" w:rsidRDefault="00FB561B">
            <w:pPr>
              <w:spacing w:before="240" w:after="240"/>
              <w:jc w:val="left"/>
              <w:rPr>
                <w:szCs w:val="24"/>
              </w:rPr>
            </w:pPr>
            <w:r>
              <w:rPr>
                <w:szCs w:val="24"/>
              </w:rPr>
              <w:t xml:space="preserve">•           l’élaboration des rapports annuels de mise en </w:t>
            </w:r>
            <w:r>
              <w:rPr>
                <w:szCs w:val="24"/>
              </w:rPr>
              <w:t>œuvre ;</w:t>
            </w:r>
          </w:p>
          <w:p w:rsidR="0035701C" w:rsidRDefault="00FB561B">
            <w:pPr>
              <w:spacing w:before="240" w:after="240"/>
              <w:jc w:val="left"/>
              <w:rPr>
                <w:szCs w:val="24"/>
              </w:rPr>
            </w:pPr>
            <w:r>
              <w:rPr>
                <w:szCs w:val="24"/>
              </w:rPr>
              <w:t>•           le pilotage des activités de suivi opérationnel, financier et d’évaluation ;</w:t>
            </w:r>
          </w:p>
          <w:p w:rsidR="0035701C" w:rsidRDefault="00FB561B">
            <w:pPr>
              <w:spacing w:before="240" w:after="240"/>
              <w:jc w:val="left"/>
              <w:rPr>
                <w:szCs w:val="24"/>
              </w:rPr>
            </w:pPr>
            <w:r>
              <w:rPr>
                <w:szCs w:val="24"/>
              </w:rPr>
              <w:t>•           la préparation du rendu des travaux auprès du comité de suivi.</w:t>
            </w:r>
          </w:p>
          <w:p w:rsidR="0035701C" w:rsidRDefault="00FB561B">
            <w:pPr>
              <w:spacing w:before="240" w:after="240"/>
              <w:jc w:val="left"/>
              <w:rPr>
                <w:szCs w:val="24"/>
              </w:rPr>
            </w:pPr>
            <w:r>
              <w:rPr>
                <w:szCs w:val="24"/>
              </w:rPr>
              <w:t xml:space="preserve">La centralisation du suivi et de l’évaluation du programme  au sein de cette équipe </w:t>
            </w:r>
            <w:r>
              <w:rPr>
                <w:szCs w:val="24"/>
              </w:rPr>
              <w:t>garantira une coordination des activités d'évaluation, une visibilité globale des interventions.</w:t>
            </w:r>
          </w:p>
          <w:p w:rsidR="0035701C" w:rsidRDefault="00FB561B">
            <w:pPr>
              <w:spacing w:before="240" w:after="240"/>
              <w:jc w:val="left"/>
              <w:rPr>
                <w:szCs w:val="24"/>
              </w:rPr>
            </w:pPr>
            <w:r>
              <w:rPr>
                <w:szCs w:val="24"/>
              </w:rPr>
              <w:t>Le trinôme, appuyé par le chargé d’évaluation sera également forces de proposition pour de nouveaux sujets d’évaluation afin d’augmenter l’efficacité et l’effi</w:t>
            </w:r>
            <w:r>
              <w:rPr>
                <w:szCs w:val="24"/>
              </w:rPr>
              <w:t>cience du programme.</w:t>
            </w:r>
          </w:p>
          <w:p w:rsidR="0035701C" w:rsidRDefault="00FB561B">
            <w:pPr>
              <w:spacing w:before="240" w:after="240"/>
              <w:jc w:val="left"/>
              <w:rPr>
                <w:szCs w:val="24"/>
              </w:rPr>
            </w:pPr>
            <w:r>
              <w:rPr>
                <w:szCs w:val="24"/>
              </w:rPr>
              <w:t>Après la clôture du PDRC 2020, la Collectivité Territoriale de Corse participera à l’évaluation ex-post qui sera menée par la Commission Européenne.</w:t>
            </w:r>
          </w:p>
          <w:p w:rsidR="0035701C" w:rsidRDefault="00FB561B">
            <w:pPr>
              <w:spacing w:before="240" w:after="240"/>
              <w:jc w:val="left"/>
              <w:rPr>
                <w:szCs w:val="24"/>
              </w:rPr>
            </w:pPr>
            <w:r>
              <w:rPr>
                <w:b/>
                <w:bCs/>
                <w:szCs w:val="24"/>
              </w:rPr>
              <w:t>Coordination des activités d’évaluation avec le PDRC :</w:t>
            </w:r>
          </w:p>
          <w:p w:rsidR="0035701C" w:rsidRDefault="00FB561B">
            <w:pPr>
              <w:spacing w:before="240" w:after="240"/>
              <w:jc w:val="left"/>
              <w:rPr>
                <w:szCs w:val="24"/>
              </w:rPr>
            </w:pPr>
            <w:r>
              <w:rPr>
                <w:szCs w:val="24"/>
              </w:rPr>
              <w:t>Les activités d’évaluation s’in</w:t>
            </w:r>
            <w:r>
              <w:rPr>
                <w:szCs w:val="24"/>
              </w:rPr>
              <w:t>scriront dans la gouvernance et le pilotage global du PDRC. Ainsi les principaux résultats des RAE seront présentés en Comité de suivi. Le Comité Régional de Programmation des aides  sera également saisi pour information.</w:t>
            </w:r>
          </w:p>
          <w:p w:rsidR="0035701C" w:rsidRDefault="00FB561B">
            <w:pPr>
              <w:spacing w:before="240" w:after="240"/>
              <w:jc w:val="left"/>
              <w:rPr>
                <w:szCs w:val="24"/>
              </w:rPr>
            </w:pPr>
            <w:r>
              <w:rPr>
                <w:szCs w:val="24"/>
              </w:rPr>
              <w:t>Les activités spécifiques d’évalua</w:t>
            </w:r>
            <w:r>
              <w:rPr>
                <w:szCs w:val="24"/>
              </w:rPr>
              <w:t>tion feront également l’objet d’une présentation dans ces instances, au stade de leur lancement ainsi qu’à celui de l’examen des résultats.  </w:t>
            </w:r>
          </w:p>
          <w:p w:rsidR="0035701C" w:rsidRDefault="00FB561B">
            <w:pPr>
              <w:spacing w:before="240" w:after="240"/>
              <w:jc w:val="left"/>
              <w:rPr>
                <w:szCs w:val="24"/>
              </w:rPr>
            </w:pPr>
            <w:r>
              <w:rPr>
                <w:szCs w:val="24"/>
              </w:rPr>
              <w:t xml:space="preserve">Ainsi, le comité de suivi pourra approuver les modifications proposées ou suggérer d'autres modalités de prise en </w:t>
            </w:r>
            <w:r>
              <w:rPr>
                <w:szCs w:val="24"/>
              </w:rPr>
              <w:t>compte des conclusions et recommandations formulées dans les rapports d'évaluation.</w:t>
            </w:r>
          </w:p>
          <w:p w:rsidR="0035701C" w:rsidRDefault="00FB561B">
            <w:pPr>
              <w:spacing w:before="240" w:after="240"/>
              <w:jc w:val="left"/>
              <w:rPr>
                <w:szCs w:val="24"/>
              </w:rPr>
            </w:pPr>
            <w:r>
              <w:rPr>
                <w:szCs w:val="24"/>
              </w:rPr>
              <w:t>Les échanges entre évaluations et les changements de pratiques ou modifications du PDRC doivent être conduit de manière itérative. La composition du comité de suivi en fait</w:t>
            </w:r>
            <w:r>
              <w:rPr>
                <w:szCs w:val="24"/>
              </w:rPr>
              <w:t xml:space="preserve"> un lieu d’échange idéal pour cela. En fonction de l’ordre du jour et de l’importance des conclusions des évaluations, des réunions spécifiques transversales ou centrées sur le FEADER pourront être organisé.</w:t>
            </w:r>
          </w:p>
          <w:p w:rsidR="0035701C" w:rsidRDefault="00FB561B">
            <w:pPr>
              <w:spacing w:before="240" w:after="240"/>
              <w:jc w:val="left"/>
              <w:rPr>
                <w:szCs w:val="24"/>
              </w:rPr>
            </w:pPr>
            <w:r>
              <w:rPr>
                <w:b/>
                <w:bCs/>
                <w:szCs w:val="24"/>
              </w:rPr>
              <w:t>Participation des Bénéficiaires :    </w:t>
            </w:r>
          </w:p>
          <w:p w:rsidR="0035701C" w:rsidRDefault="00FB561B">
            <w:pPr>
              <w:spacing w:before="240" w:after="240"/>
              <w:jc w:val="left"/>
              <w:rPr>
                <w:szCs w:val="24"/>
              </w:rPr>
            </w:pPr>
            <w:r>
              <w:rPr>
                <w:szCs w:val="24"/>
              </w:rPr>
              <w:t>L’Autorité</w:t>
            </w:r>
            <w:r>
              <w:rPr>
                <w:szCs w:val="24"/>
              </w:rPr>
              <w:t xml:space="preserve"> de Gestion s’attachera à ce que les bénéficiaires soient partie prenante des activités d’évaluation. Il s’agira ainsi de les solliciter en tant que personne ressource au moyen de questionnaires et entretiens notamment pour des activités spécifiques d’éval</w:t>
            </w:r>
            <w:r>
              <w:rPr>
                <w:szCs w:val="24"/>
              </w:rPr>
              <w:t>uation. Des structures relais au niveau local ou régional (type GAL RRR..) seront également associées aux travaux d’évaluation.       </w:t>
            </w:r>
          </w:p>
          <w:p w:rsidR="0035701C" w:rsidRDefault="0035701C">
            <w:pPr>
              <w:pStyle w:val="Corpsdetexte"/>
            </w:pPr>
          </w:p>
        </w:tc>
      </w:tr>
    </w:tbl>
    <w:p w:rsidR="0035701C" w:rsidRDefault="00FB561B">
      <w:pPr>
        <w:pStyle w:val="Titre2"/>
      </w:pPr>
      <w:bookmarkStart w:id="116" w:name="_Toc256000115"/>
      <w:r>
        <w:t>Sujets et activités d'évaluation</w:t>
      </w:r>
      <w:bookmarkEnd w:id="116"/>
    </w:p>
    <w:p w:rsidR="0035701C" w:rsidRDefault="00FB561B">
      <w:r>
        <w:t>Description indicative des sujets et activités d'évaluation prévus, y compris, mais pa</w:t>
      </w:r>
      <w:r>
        <w:t>s exclusivement, le respect des exigences en matière d'évaluation visées dans le règlement (UE) n° 1303/2013 et dans le règlement (UE) n° 1305/2013. Elle contient notamment : a) les activités nécessaires pour évaluer la contribution de chaque priorité du P</w:t>
      </w:r>
      <w:r>
        <w:t>DR visée à l'article 5 du règlement (UE) n° 1305/2013 à la réalisation des objectifs en matière de développement rural fixés à l'article 4 de ce règlement, l’évaluation des valeurs des indicateurs de résultat et d’impact, l’analyse des effets nets, les que</w:t>
      </w:r>
      <w:r>
        <w:t>stions thématiques, y compris les sous-programmes, les questions transversales, le réseau rural national et la contribution des stratégies de DLAL; b) le soutien prévu à l’évaluation au niveau des groupes d'action locale; c) les éléments spécifiques au pro</w:t>
      </w:r>
      <w:r>
        <w:t>gramme, tels que les travaux nécessaires au développement de méthodologies ou à la prise en compte de domaines d'action spécifiques.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Pour la période de programmation 2014-2020, deux  grandes thématiques d’évaluation sont à prendre en compte :</w:t>
            </w:r>
          </w:p>
          <w:p w:rsidR="0035701C" w:rsidRDefault="00FB561B">
            <w:pPr>
              <w:spacing w:before="240" w:after="240"/>
              <w:jc w:val="left"/>
              <w:rPr>
                <w:szCs w:val="24"/>
              </w:rPr>
            </w:pPr>
            <w:r>
              <w:rPr>
                <w:szCs w:val="24"/>
              </w:rPr>
              <w:t xml:space="preserve">D’une part </w:t>
            </w:r>
            <w:r>
              <w:rPr>
                <w:szCs w:val="24"/>
              </w:rPr>
              <w:t>celles globales relevant des exigences et règlements communautaires</w:t>
            </w:r>
          </w:p>
          <w:p w:rsidR="0035701C" w:rsidRDefault="00FB561B" w:rsidP="00FB561B">
            <w:pPr>
              <w:numPr>
                <w:ilvl w:val="0"/>
                <w:numId w:val="977"/>
              </w:numPr>
              <w:spacing w:before="240" w:after="0"/>
              <w:ind w:hanging="244"/>
              <w:jc w:val="left"/>
              <w:rPr>
                <w:szCs w:val="24"/>
              </w:rPr>
            </w:pPr>
            <w:r>
              <w:rPr>
                <w:szCs w:val="24"/>
              </w:rPr>
              <w:t>L’analyse de la contribution du PDRC aux objectifs de la PAC, de la stratégie UE 2020, les thèmes transversaux du développement rural (innovation, environnement, changement climatique) enf</w:t>
            </w:r>
            <w:r>
              <w:rPr>
                <w:szCs w:val="24"/>
              </w:rPr>
              <w:t>in l’examen spécifique de LEADER ainsi que le réseau rural</w:t>
            </w:r>
          </w:p>
          <w:p w:rsidR="0035701C" w:rsidRDefault="00FB561B" w:rsidP="00FB561B">
            <w:pPr>
              <w:numPr>
                <w:ilvl w:val="0"/>
                <w:numId w:val="977"/>
              </w:numPr>
              <w:spacing w:before="0" w:after="240"/>
              <w:ind w:hanging="244"/>
              <w:jc w:val="left"/>
              <w:rPr>
                <w:szCs w:val="24"/>
              </w:rPr>
            </w:pPr>
            <w:r>
              <w:rPr>
                <w:szCs w:val="24"/>
              </w:rPr>
              <w:t>Le renseignement des indicateurs du système commun de suivi et d’évaluation et celui de la performance du programme au regard des cibles définies dans le plan des indicateurs</w:t>
            </w:r>
          </w:p>
          <w:p w:rsidR="0035701C" w:rsidRDefault="00FB561B">
            <w:pPr>
              <w:spacing w:before="240" w:after="240"/>
              <w:jc w:val="left"/>
              <w:rPr>
                <w:szCs w:val="24"/>
              </w:rPr>
            </w:pPr>
            <w:r>
              <w:rPr>
                <w:szCs w:val="24"/>
              </w:rPr>
              <w:t>D’autre part, celles s</w:t>
            </w:r>
            <w:r>
              <w:rPr>
                <w:szCs w:val="24"/>
              </w:rPr>
              <w:t>pécifiques relevant du périmètre territorial où il s’agira d’examiner en quoi les résultats du PDRC répondent aux besoins régionaux identifiés lors de l’élaboration.</w:t>
            </w:r>
          </w:p>
          <w:p w:rsidR="0035701C" w:rsidRDefault="00FB561B">
            <w:pPr>
              <w:spacing w:before="240" w:after="240"/>
              <w:jc w:val="left"/>
              <w:rPr>
                <w:szCs w:val="24"/>
              </w:rPr>
            </w:pPr>
            <w:r>
              <w:rPr>
                <w:szCs w:val="24"/>
              </w:rPr>
              <w:t> </w:t>
            </w:r>
            <w:r>
              <w:rPr>
                <w:szCs w:val="24"/>
                <w:u w:val="single"/>
              </w:rPr>
              <w:t>Thèmes d’évaluation du PDRC 2014-2020</w:t>
            </w:r>
          </w:p>
          <w:p w:rsidR="0035701C" w:rsidRDefault="00FB561B">
            <w:pPr>
              <w:spacing w:before="240" w:after="240"/>
              <w:jc w:val="left"/>
              <w:rPr>
                <w:szCs w:val="24"/>
              </w:rPr>
            </w:pPr>
            <w:r>
              <w:rPr>
                <w:szCs w:val="24"/>
              </w:rPr>
              <w:t>Au regard des exigences communautaires :</w:t>
            </w:r>
          </w:p>
          <w:p w:rsidR="0035701C" w:rsidRDefault="00FB561B" w:rsidP="00FB561B">
            <w:pPr>
              <w:numPr>
                <w:ilvl w:val="0"/>
                <w:numId w:val="978"/>
              </w:numPr>
              <w:spacing w:before="240" w:after="0"/>
              <w:ind w:hanging="244"/>
              <w:jc w:val="left"/>
              <w:rPr>
                <w:szCs w:val="24"/>
              </w:rPr>
            </w:pPr>
            <w:r>
              <w:rPr>
                <w:szCs w:val="24"/>
              </w:rPr>
              <w:t>Contributi</w:t>
            </w:r>
            <w:r>
              <w:rPr>
                <w:szCs w:val="24"/>
              </w:rPr>
              <w:t>on du programme à la réalisation des objectifs pour chacune des six priorités ;</w:t>
            </w:r>
          </w:p>
          <w:p w:rsidR="0035701C" w:rsidRDefault="00FB561B" w:rsidP="00FB561B">
            <w:pPr>
              <w:numPr>
                <w:ilvl w:val="0"/>
                <w:numId w:val="978"/>
              </w:numPr>
              <w:spacing w:before="0" w:after="0"/>
              <w:ind w:hanging="244"/>
              <w:jc w:val="left"/>
              <w:rPr>
                <w:szCs w:val="24"/>
              </w:rPr>
            </w:pPr>
            <w:r>
              <w:rPr>
                <w:szCs w:val="24"/>
              </w:rPr>
              <w:t>Contribution du programme aux priorités transversales (innovation, changement climatique et environnement) ;</w:t>
            </w:r>
          </w:p>
          <w:p w:rsidR="0035701C" w:rsidRDefault="00FB561B" w:rsidP="00FB561B">
            <w:pPr>
              <w:numPr>
                <w:ilvl w:val="0"/>
                <w:numId w:val="978"/>
              </w:numPr>
              <w:spacing w:before="0" w:after="0"/>
              <w:ind w:hanging="244"/>
              <w:jc w:val="left"/>
              <w:rPr>
                <w:szCs w:val="24"/>
              </w:rPr>
            </w:pPr>
            <w:r>
              <w:rPr>
                <w:szCs w:val="24"/>
              </w:rPr>
              <w:t>Contribution du programme aux objectifs de l’accord de partenariat</w:t>
            </w:r>
          </w:p>
          <w:p w:rsidR="0035701C" w:rsidRDefault="00FB561B" w:rsidP="00FB561B">
            <w:pPr>
              <w:numPr>
                <w:ilvl w:val="0"/>
                <w:numId w:val="978"/>
              </w:numPr>
              <w:spacing w:before="0" w:after="0"/>
              <w:ind w:hanging="244"/>
              <w:jc w:val="left"/>
              <w:rPr>
                <w:szCs w:val="24"/>
              </w:rPr>
            </w:pPr>
            <w:r>
              <w:rPr>
                <w:szCs w:val="24"/>
              </w:rPr>
              <w:t>Valeur Ajoutée du réseau rural régional et la réalisation des objectifs de développement rural</w:t>
            </w:r>
          </w:p>
          <w:p w:rsidR="0035701C" w:rsidRDefault="00FB561B" w:rsidP="00FB561B">
            <w:pPr>
              <w:numPr>
                <w:ilvl w:val="0"/>
                <w:numId w:val="978"/>
              </w:numPr>
              <w:spacing w:before="0" w:after="0"/>
              <w:ind w:hanging="244"/>
              <w:jc w:val="left"/>
              <w:rPr>
                <w:szCs w:val="24"/>
              </w:rPr>
            </w:pPr>
            <w:r>
              <w:rPr>
                <w:szCs w:val="24"/>
              </w:rPr>
              <w:t>Contribution des stratégies locales de développement et plus-value de l’approche LEADER (un soutien à l’évaluation est également prévu pour les GAL)</w:t>
            </w:r>
          </w:p>
          <w:p w:rsidR="0035701C" w:rsidRDefault="00FB561B" w:rsidP="00FB561B">
            <w:pPr>
              <w:numPr>
                <w:ilvl w:val="0"/>
                <w:numId w:val="978"/>
              </w:numPr>
              <w:spacing w:before="0" w:after="240"/>
              <w:ind w:hanging="244"/>
              <w:jc w:val="left"/>
              <w:rPr>
                <w:szCs w:val="24"/>
              </w:rPr>
            </w:pPr>
            <w:r>
              <w:rPr>
                <w:szCs w:val="24"/>
              </w:rPr>
              <w:t>l’évaluation</w:t>
            </w:r>
            <w:r>
              <w:rPr>
                <w:szCs w:val="24"/>
              </w:rPr>
              <w:t xml:space="preserve"> des valeurs des indicateurs de résultat et d’impact ainsi que l’analyse des effets nets</w:t>
            </w:r>
          </w:p>
          <w:p w:rsidR="0035701C" w:rsidRDefault="00FB561B">
            <w:pPr>
              <w:spacing w:before="240" w:after="240"/>
              <w:jc w:val="left"/>
              <w:rPr>
                <w:szCs w:val="24"/>
              </w:rPr>
            </w:pPr>
            <w:r>
              <w:rPr>
                <w:szCs w:val="24"/>
              </w:rPr>
              <w:t>Par ailleurs, des évaluations intermédiaires pourront être menées pour la performance du programme : </w:t>
            </w:r>
          </w:p>
          <w:p w:rsidR="0035701C" w:rsidRDefault="00FB561B" w:rsidP="00FB561B">
            <w:pPr>
              <w:numPr>
                <w:ilvl w:val="0"/>
                <w:numId w:val="979"/>
              </w:numPr>
              <w:spacing w:before="240" w:after="0"/>
              <w:ind w:hanging="244"/>
              <w:jc w:val="left"/>
              <w:rPr>
                <w:szCs w:val="24"/>
              </w:rPr>
            </w:pPr>
            <w:r>
              <w:rPr>
                <w:szCs w:val="24"/>
              </w:rPr>
              <w:t>Evaluation à mi-parcours des réalisations et résultats du program</w:t>
            </w:r>
            <w:r>
              <w:rPr>
                <w:szCs w:val="24"/>
              </w:rPr>
              <w:t>me 2014-2020 ;</w:t>
            </w:r>
          </w:p>
          <w:p w:rsidR="0035701C" w:rsidRDefault="00FB561B" w:rsidP="00FB561B">
            <w:pPr>
              <w:numPr>
                <w:ilvl w:val="0"/>
                <w:numId w:val="979"/>
              </w:numPr>
              <w:spacing w:before="0" w:after="240"/>
              <w:ind w:hanging="244"/>
              <w:jc w:val="left"/>
              <w:rPr>
                <w:szCs w:val="24"/>
              </w:rPr>
            </w:pPr>
            <w:r>
              <w:rPr>
                <w:szCs w:val="24"/>
              </w:rPr>
              <w:t>Evaluation des mesures présentant des taux de programmation insuffisants ou élevés.</w:t>
            </w:r>
          </w:p>
          <w:p w:rsidR="0035701C" w:rsidRDefault="00FB561B">
            <w:pPr>
              <w:spacing w:before="240" w:after="240"/>
              <w:jc w:val="left"/>
              <w:rPr>
                <w:szCs w:val="24"/>
              </w:rPr>
            </w:pPr>
            <w:r>
              <w:rPr>
                <w:szCs w:val="24"/>
              </w:rPr>
              <w:t>Au regard de la spécificité de la stratégie régionale d’intervention :</w:t>
            </w:r>
          </w:p>
          <w:p w:rsidR="0035701C" w:rsidRDefault="00FB561B">
            <w:pPr>
              <w:spacing w:before="240" w:after="240"/>
              <w:jc w:val="left"/>
              <w:rPr>
                <w:szCs w:val="24"/>
              </w:rPr>
            </w:pPr>
            <w:r>
              <w:rPr>
                <w:szCs w:val="24"/>
              </w:rPr>
              <w:t>Les thématiques seront sélectionnées en considération d’une part de leur caractère str</w:t>
            </w:r>
            <w:r>
              <w:rPr>
                <w:szCs w:val="24"/>
              </w:rPr>
              <w:t>atégique dans la logique d’intervention et d’autre part de la place prépondérante occupée dans la maquette financière.</w:t>
            </w:r>
          </w:p>
          <w:p w:rsidR="0035701C" w:rsidRDefault="00FB561B">
            <w:pPr>
              <w:spacing w:before="240" w:after="240"/>
              <w:jc w:val="left"/>
              <w:rPr>
                <w:szCs w:val="24"/>
              </w:rPr>
            </w:pPr>
            <w:r>
              <w:rPr>
                <w:szCs w:val="24"/>
              </w:rPr>
              <w:t>A titre indicatif, l’AG a identifié les thèmes suivants, qui seront à mieux cibler par le Comité de suivi au niveau du périmètre et de la</w:t>
            </w:r>
            <w:r>
              <w:rPr>
                <w:szCs w:val="24"/>
              </w:rPr>
              <w:t xml:space="preserve"> méthodologie d’évaluation.</w:t>
            </w:r>
          </w:p>
          <w:p w:rsidR="0035701C" w:rsidRDefault="00FB561B" w:rsidP="00FB561B">
            <w:pPr>
              <w:numPr>
                <w:ilvl w:val="0"/>
                <w:numId w:val="980"/>
              </w:numPr>
              <w:spacing w:before="240" w:after="0"/>
              <w:ind w:hanging="210"/>
              <w:jc w:val="left"/>
              <w:rPr>
                <w:szCs w:val="24"/>
              </w:rPr>
            </w:pPr>
            <w:r>
              <w:rPr>
                <w:szCs w:val="24"/>
              </w:rPr>
              <w:t>Les aides en faveur des exploitations agricoles,</w:t>
            </w:r>
          </w:p>
          <w:p w:rsidR="0035701C" w:rsidRDefault="00FB561B" w:rsidP="00FB561B">
            <w:pPr>
              <w:numPr>
                <w:ilvl w:val="0"/>
                <w:numId w:val="980"/>
              </w:numPr>
              <w:spacing w:before="0" w:after="0"/>
              <w:ind w:hanging="210"/>
              <w:jc w:val="left"/>
              <w:rPr>
                <w:szCs w:val="24"/>
              </w:rPr>
            </w:pPr>
            <w:r>
              <w:rPr>
                <w:szCs w:val="24"/>
              </w:rPr>
              <w:t>Les mesures MAEC,</w:t>
            </w:r>
          </w:p>
          <w:p w:rsidR="0035701C" w:rsidRDefault="00FB561B" w:rsidP="00FB561B">
            <w:pPr>
              <w:numPr>
                <w:ilvl w:val="0"/>
                <w:numId w:val="980"/>
              </w:numPr>
              <w:spacing w:before="0" w:after="0"/>
              <w:ind w:hanging="210"/>
              <w:jc w:val="left"/>
              <w:rPr>
                <w:szCs w:val="24"/>
              </w:rPr>
            </w:pPr>
            <w:r>
              <w:rPr>
                <w:szCs w:val="24"/>
              </w:rPr>
              <w:t>Les résultats des mesures Forêt en gestion-valorisation de la ressource et structuration - diversification de la filière professionnelle….</w:t>
            </w:r>
          </w:p>
          <w:p w:rsidR="0035701C" w:rsidRDefault="00FB561B" w:rsidP="00FB561B">
            <w:pPr>
              <w:numPr>
                <w:ilvl w:val="0"/>
                <w:numId w:val="980"/>
              </w:numPr>
              <w:spacing w:before="0" w:after="0"/>
              <w:ind w:hanging="210"/>
              <w:jc w:val="left"/>
              <w:rPr>
                <w:szCs w:val="24"/>
              </w:rPr>
            </w:pPr>
            <w:r>
              <w:rPr>
                <w:szCs w:val="24"/>
              </w:rPr>
              <w:t xml:space="preserve">Les mesures en faveur </w:t>
            </w:r>
            <w:r>
              <w:rPr>
                <w:szCs w:val="24"/>
              </w:rPr>
              <w:t>des projets fonciers et pastoraux portés par l’ODARC qui constituent des enjeux forts du territoire</w:t>
            </w:r>
          </w:p>
          <w:p w:rsidR="0035701C" w:rsidRDefault="00FB561B" w:rsidP="00FB561B">
            <w:pPr>
              <w:numPr>
                <w:ilvl w:val="0"/>
                <w:numId w:val="980"/>
              </w:numPr>
              <w:spacing w:before="0" w:after="240"/>
              <w:ind w:hanging="210"/>
              <w:jc w:val="left"/>
              <w:rPr>
                <w:szCs w:val="24"/>
              </w:rPr>
            </w:pPr>
            <w:r>
              <w:rPr>
                <w:szCs w:val="24"/>
              </w:rPr>
              <w:t>L'ICHN</w:t>
            </w:r>
          </w:p>
          <w:p w:rsidR="0035701C" w:rsidRDefault="00FB561B">
            <w:pPr>
              <w:spacing w:before="240" w:after="240"/>
              <w:jc w:val="left"/>
              <w:rPr>
                <w:szCs w:val="24"/>
              </w:rPr>
            </w:pPr>
            <w:r>
              <w:rPr>
                <w:szCs w:val="24"/>
              </w:rPr>
              <w:t xml:space="preserve">La problématique des changements climatique est complexe et fera l'objet d'une attention particulière dans l'élaboration de nos plans d'évaluations. </w:t>
            </w:r>
            <w:r>
              <w:rPr>
                <w:szCs w:val="24"/>
              </w:rPr>
              <w:t>Tout comme plus généralement, la problématique environnementale.</w:t>
            </w:r>
          </w:p>
          <w:p w:rsidR="0035701C" w:rsidRDefault="00FB561B">
            <w:pPr>
              <w:spacing w:before="240" w:after="240"/>
              <w:jc w:val="left"/>
              <w:rPr>
                <w:szCs w:val="24"/>
              </w:rPr>
            </w:pPr>
            <w:r>
              <w:rPr>
                <w:szCs w:val="24"/>
              </w:rPr>
              <w:t>L'innovation et notamment la mise en œuvre de la 3S fera également partie des thèmes d’évaluations prioritaire.</w:t>
            </w:r>
          </w:p>
          <w:p w:rsidR="0035701C" w:rsidRDefault="00FB561B">
            <w:pPr>
              <w:spacing w:before="240" w:after="240"/>
              <w:jc w:val="left"/>
              <w:rPr>
                <w:szCs w:val="24"/>
              </w:rPr>
            </w:pPr>
            <w:r>
              <w:rPr>
                <w:szCs w:val="24"/>
              </w:rPr>
              <w:t>L’ensemble de ses problématiques et des solutions mise en œuvre par la CTC et s</w:t>
            </w:r>
            <w:r>
              <w:rPr>
                <w:szCs w:val="24"/>
              </w:rPr>
              <w:t>es partenaires ne se limite pas au FEADER.</w:t>
            </w:r>
          </w:p>
          <w:p w:rsidR="0035701C" w:rsidRDefault="00FB561B">
            <w:pPr>
              <w:spacing w:before="240" w:after="240"/>
              <w:jc w:val="left"/>
              <w:rPr>
                <w:szCs w:val="24"/>
              </w:rPr>
            </w:pPr>
            <w:r>
              <w:rPr>
                <w:szCs w:val="24"/>
              </w:rPr>
              <w:t>C’est pourquoi, sur certains thèmes transversaux, des évaluations communes aux FESI dont la CTC est autorité de gestion seront conduites.</w:t>
            </w:r>
          </w:p>
          <w:p w:rsidR="0035701C" w:rsidRDefault="00FB561B">
            <w:pPr>
              <w:spacing w:before="240" w:after="240"/>
              <w:jc w:val="left"/>
              <w:rPr>
                <w:szCs w:val="24"/>
              </w:rPr>
            </w:pPr>
            <w:r>
              <w:rPr>
                <w:szCs w:val="24"/>
              </w:rPr>
              <w:t>Les difficultés techniques de ces thèmes d'évaluations pourraient nécessite</w:t>
            </w:r>
            <w:r>
              <w:rPr>
                <w:szCs w:val="24"/>
              </w:rPr>
              <w:t>r le recours à des prestataires privés recrutés par appel d'offre ainsi que la mobilisation de l'ensemble des ressources interne de la CTC (ODARC, OEC, Direction du Développement durable...) et de ses partenaires habituels (ADEME, DREAL, DRAAF, DDTM...).</w:t>
            </w:r>
          </w:p>
          <w:p w:rsidR="0035701C" w:rsidRDefault="00FB561B">
            <w:pPr>
              <w:spacing w:before="240" w:after="240"/>
              <w:jc w:val="left"/>
              <w:rPr>
                <w:szCs w:val="24"/>
              </w:rPr>
            </w:pPr>
            <w:r>
              <w:rPr>
                <w:szCs w:val="24"/>
              </w:rPr>
              <w:t>A</w:t>
            </w:r>
            <w:r>
              <w:rPr>
                <w:szCs w:val="24"/>
              </w:rPr>
              <w:t>u cours de la mise en œuvre du programme, certaines évaluations de porté opérationnelle pourront être décidé (évaluation dite « flash »), afin, par exemple, d’éclairer l’Autorité de Gestion ou le Comité de suivi sur une difficulté spécifique. On peut pense</w:t>
            </w:r>
            <w:r>
              <w:rPr>
                <w:szCs w:val="24"/>
              </w:rPr>
              <w:t>r à la mise en œuvre de l’approche LEADER par exemple.</w:t>
            </w:r>
          </w:p>
          <w:p w:rsidR="0035701C" w:rsidRDefault="00FB561B">
            <w:pPr>
              <w:spacing w:before="240" w:after="240"/>
              <w:jc w:val="left"/>
              <w:rPr>
                <w:szCs w:val="24"/>
              </w:rPr>
            </w:pPr>
            <w:r>
              <w:rPr>
                <w:szCs w:val="24"/>
              </w:rPr>
              <w:t>La liste des activités spécifiques d’évaluation sera présentée en Comité de Suivi.     </w:t>
            </w:r>
          </w:p>
          <w:p w:rsidR="0035701C" w:rsidRDefault="00FB561B">
            <w:pPr>
              <w:spacing w:before="240" w:after="240"/>
              <w:jc w:val="left"/>
              <w:rPr>
                <w:szCs w:val="24"/>
              </w:rPr>
            </w:pPr>
            <w:r>
              <w:rPr>
                <w:szCs w:val="24"/>
              </w:rPr>
              <w:t>En fin de programme, les évaluations revêtiront un caractère prospectif renforcé, en préparation des suites donné</w:t>
            </w:r>
            <w:r>
              <w:rPr>
                <w:szCs w:val="24"/>
              </w:rPr>
              <w:t>es aux programmes 2014-2020 pour la période suivante.</w:t>
            </w:r>
          </w:p>
          <w:p w:rsidR="0035701C" w:rsidRDefault="00FB561B">
            <w:pPr>
              <w:spacing w:before="240" w:after="240"/>
              <w:jc w:val="left"/>
              <w:rPr>
                <w:szCs w:val="24"/>
              </w:rPr>
            </w:pPr>
            <w:r>
              <w:rPr>
                <w:szCs w:val="24"/>
                <w:u w:val="single"/>
              </w:rPr>
              <w:t xml:space="preserve">Activités d’évaluation : </w:t>
            </w:r>
          </w:p>
          <w:p w:rsidR="0035701C" w:rsidRDefault="00FB561B">
            <w:pPr>
              <w:spacing w:before="240" w:after="240"/>
              <w:jc w:val="left"/>
              <w:rPr>
                <w:szCs w:val="24"/>
              </w:rPr>
            </w:pPr>
            <w:r>
              <w:rPr>
                <w:szCs w:val="24"/>
              </w:rPr>
              <w:t>Elles porteront sur les points suivants :</w:t>
            </w:r>
          </w:p>
          <w:p w:rsidR="0035701C" w:rsidRDefault="00FB561B" w:rsidP="00FB561B">
            <w:pPr>
              <w:numPr>
                <w:ilvl w:val="0"/>
                <w:numId w:val="981"/>
              </w:numPr>
              <w:spacing w:before="240" w:after="0"/>
              <w:ind w:hanging="244"/>
              <w:jc w:val="left"/>
              <w:rPr>
                <w:szCs w:val="24"/>
              </w:rPr>
            </w:pPr>
            <w:r>
              <w:rPr>
                <w:szCs w:val="24"/>
              </w:rPr>
              <w:t>Préparation des évaluations (base du cadre communautaire et national, définition d’une méthodologie pour le renseignement des indicate</w:t>
            </w:r>
            <w:r>
              <w:rPr>
                <w:szCs w:val="24"/>
              </w:rPr>
              <w:t>urs, identification et collecte des données nécessaire, validation de la disponibilité, préparation des cahiers des charges en cas d’externalisation)  </w:t>
            </w:r>
          </w:p>
          <w:p w:rsidR="0035701C" w:rsidRDefault="00FB561B" w:rsidP="00FB561B">
            <w:pPr>
              <w:numPr>
                <w:ilvl w:val="0"/>
                <w:numId w:val="981"/>
              </w:numPr>
              <w:spacing w:before="0" w:after="0"/>
              <w:ind w:hanging="244"/>
              <w:jc w:val="left"/>
              <w:rPr>
                <w:szCs w:val="24"/>
              </w:rPr>
            </w:pPr>
            <w:r>
              <w:rPr>
                <w:szCs w:val="24"/>
              </w:rPr>
              <w:t>Conduite des évaluations (appréciation des résultats, formulation des recommandations et conclusions, re</w:t>
            </w:r>
            <w:r>
              <w:rPr>
                <w:szCs w:val="24"/>
              </w:rPr>
              <w:t>nforcement des rapports annuels d’exécution 2017 et 2019)</w:t>
            </w:r>
          </w:p>
          <w:p w:rsidR="0035701C" w:rsidRDefault="00FB561B" w:rsidP="00FB561B">
            <w:pPr>
              <w:numPr>
                <w:ilvl w:val="0"/>
                <w:numId w:val="981"/>
              </w:numPr>
              <w:spacing w:before="0" w:after="240"/>
              <w:ind w:hanging="244"/>
              <w:jc w:val="left"/>
              <w:rPr>
                <w:szCs w:val="24"/>
              </w:rPr>
            </w:pPr>
            <w:r>
              <w:rPr>
                <w:szCs w:val="24"/>
              </w:rPr>
              <w:t xml:space="preserve">Diffusion et communication des résultats de l’évaluation à destination des partenaires du programme et aussi du Grand public, au moyen de synthèse sur le site Europe de la CTC et de présentation au </w:t>
            </w:r>
            <w:r>
              <w:rPr>
                <w:szCs w:val="24"/>
              </w:rPr>
              <w:t>partenaires dans le cadre du comité de suivi.</w:t>
            </w:r>
          </w:p>
          <w:p w:rsidR="0035701C" w:rsidRDefault="0035701C">
            <w:pPr>
              <w:pStyle w:val="Corpsdetexte"/>
            </w:pPr>
          </w:p>
        </w:tc>
      </w:tr>
    </w:tbl>
    <w:p w:rsidR="0035701C" w:rsidRDefault="00FB561B">
      <w:pPr>
        <w:pStyle w:val="Titre2"/>
      </w:pPr>
      <w:bookmarkStart w:id="117" w:name="_Toc256000116"/>
      <w:r>
        <w:t>Données et informations</w:t>
      </w:r>
      <w:bookmarkEnd w:id="117"/>
    </w:p>
    <w:p w:rsidR="0035701C" w:rsidRDefault="00FB561B">
      <w:r>
        <w:t xml:space="preserve">Brève description du système d’enregistrement permettant de conserver, de gérer et de fournir des informations statistiques sur le PDR, sa mise en œuvre et la mise à disposition de </w:t>
      </w:r>
      <w:r>
        <w:t>données de surveillance aux fins de l’évaluation. Identification des sources de données à utiliser, des lacunes en matière de données et des éventuels problèmes institutionnels liés à la fourniture de données, et solutions proposées. Cette section doit dém</w:t>
      </w:r>
      <w:r>
        <w:t>ontrer que des systèmes appropriés de gestion des données seront opérationnels en temps utile.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 xml:space="preserve">Système de collecte de données et activités d'évaluation </w:t>
            </w:r>
          </w:p>
          <w:p w:rsidR="0035701C" w:rsidRDefault="00FB561B">
            <w:pPr>
              <w:spacing w:before="240" w:after="240"/>
              <w:jc w:val="left"/>
              <w:rPr>
                <w:szCs w:val="24"/>
              </w:rPr>
            </w:pPr>
            <w:r>
              <w:rPr>
                <w:szCs w:val="24"/>
              </w:rPr>
              <w:t xml:space="preserve">Le système de collecte de données est schématisé à la figure jointe qui identifie pour chacun des </w:t>
            </w:r>
            <w:r>
              <w:rPr>
                <w:szCs w:val="24"/>
              </w:rPr>
              <w:t>indicateurs le service responsable, le mode de collecte et sa régularité.</w:t>
            </w:r>
          </w:p>
          <w:p w:rsidR="0035701C" w:rsidRDefault="00FB561B">
            <w:pPr>
              <w:spacing w:before="240" w:after="240"/>
              <w:jc w:val="left"/>
              <w:rPr>
                <w:szCs w:val="24"/>
              </w:rPr>
            </w:pPr>
            <w:r>
              <w:rPr>
                <w:szCs w:val="24"/>
              </w:rPr>
              <w:t>Les données relatives au paiement seront fournies par l’OP ODARC par le biais du logiciel OSIRIS développé par l’ASP.</w:t>
            </w:r>
          </w:p>
          <w:p w:rsidR="0035701C" w:rsidRDefault="00FB561B">
            <w:pPr>
              <w:spacing w:before="240" w:after="240"/>
              <w:jc w:val="left"/>
              <w:rPr>
                <w:szCs w:val="24"/>
              </w:rPr>
            </w:pPr>
            <w:r>
              <w:rPr>
                <w:szCs w:val="24"/>
              </w:rPr>
              <w:t>Pour ce qui concerne les indicateurs de réalisation, les données</w:t>
            </w:r>
            <w:r>
              <w:rPr>
                <w:szCs w:val="24"/>
              </w:rPr>
              <w:t xml:space="preserve"> sont renseignées par les services instructeurs en charge des dossiers sur la base d’informations demandées aux bénéficiaires lors de la constitution des dossiers de demande de subvention pour les estimations prévisionnelles, et lors du solde de la subvent</w:t>
            </w:r>
            <w:r>
              <w:rPr>
                <w:szCs w:val="24"/>
              </w:rPr>
              <w:t>ion pour les réalisations effectives.</w:t>
            </w:r>
          </w:p>
          <w:p w:rsidR="0035701C" w:rsidRDefault="00FB561B">
            <w:pPr>
              <w:spacing w:before="240" w:after="240"/>
              <w:jc w:val="left"/>
              <w:rPr>
                <w:szCs w:val="24"/>
              </w:rPr>
            </w:pPr>
            <w:r>
              <w:rPr>
                <w:szCs w:val="24"/>
              </w:rPr>
              <w:t>Le logiciel de gestion OSIRIS, développé par l’ASP en lien étroit avec l’Autorité de gestion, sera donc le reflet des dossiers des bénéficiaires. Des formations et guides aux services instructeurs seront déployés en ta</w:t>
            </w:r>
            <w:r>
              <w:rPr>
                <w:szCs w:val="24"/>
              </w:rPr>
              <w:t>nt que de besoin pour s’assurer de la qualité des données saisies, étant entendu que la saisie des indicateurs sous Osiris sera rendue obligatoire.</w:t>
            </w:r>
          </w:p>
          <w:p w:rsidR="0035701C" w:rsidRDefault="00FB561B">
            <w:pPr>
              <w:spacing w:before="240" w:after="240"/>
              <w:jc w:val="left"/>
              <w:rPr>
                <w:szCs w:val="24"/>
              </w:rPr>
            </w:pPr>
            <w:r>
              <w:rPr>
                <w:szCs w:val="24"/>
              </w:rPr>
              <w:t xml:space="preserve">Le chargé d’évaluation mènera une veille sur les informations saisies, notamment au démarrage du programme, </w:t>
            </w:r>
            <w:r>
              <w:rPr>
                <w:szCs w:val="24"/>
              </w:rPr>
              <w:t>afin de s’assurer de leur cohérence et renforcer l’accompagnement si nécessaire. L’Autorité de gestion aura accès en temps réel à la base de données Osiris.</w:t>
            </w:r>
          </w:p>
          <w:p w:rsidR="0035701C" w:rsidRDefault="00FB561B">
            <w:pPr>
              <w:spacing w:before="240" w:after="240"/>
              <w:jc w:val="left"/>
              <w:rPr>
                <w:szCs w:val="24"/>
              </w:rPr>
            </w:pPr>
            <w:r>
              <w:rPr>
                <w:szCs w:val="24"/>
              </w:rPr>
              <w:t>Par ailleurs, les bénéficiaires d'un soutien au titre des mesures de développement rural et les gro</w:t>
            </w:r>
            <w:r>
              <w:rPr>
                <w:szCs w:val="24"/>
              </w:rPr>
              <w:t>upes d'action locale s'engagent à fournir à l'autorité de gestion et/ou aux évaluateurs désignés ou autres organismes habilités à assumer des fonctions en son nom, toutes les informations nécessaires pour permettre le suivi et l'évaluation du programme.</w:t>
            </w:r>
          </w:p>
          <w:p w:rsidR="0035701C" w:rsidRDefault="00FB561B">
            <w:pPr>
              <w:spacing w:before="240" w:after="240"/>
              <w:jc w:val="left"/>
              <w:rPr>
                <w:szCs w:val="24"/>
              </w:rPr>
            </w:pPr>
            <w:r>
              <w:rPr>
                <w:szCs w:val="24"/>
              </w:rPr>
              <w:t>L'</w:t>
            </w:r>
            <w:r>
              <w:rPr>
                <w:szCs w:val="24"/>
              </w:rPr>
              <w:t>Autorité de gestion pourra également faire appel à la plate-forme développée par l'Observatoire du Développement Rural (ODR), en partenariat avec le Ministère et l'ASP, pour fournir une base d'indicateurs complémentaires sur les programmes communautaires d</w:t>
            </w:r>
            <w:r>
              <w:rPr>
                <w:szCs w:val="24"/>
              </w:rPr>
              <w:t>e développement rural.</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3176143"/>
                  <wp:effectExtent l="0" t="0" r="0" b="0"/>
                  <wp:docPr id="100316" name="Image 100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17" name=""/>
                          <pic:cNvPicPr>
                            <a:picLocks noChangeAspect="1"/>
                          </pic:cNvPicPr>
                        </pic:nvPicPr>
                        <pic:blipFill>
                          <a:blip r:embed="rId161"/>
                          <a:stretch>
                            <a:fillRect/>
                          </a:stretch>
                        </pic:blipFill>
                        <pic:spPr>
                          <a:xfrm>
                            <a:off x="0" y="0"/>
                            <a:ext cx="6629400" cy="3176143"/>
                          </a:xfrm>
                          <a:prstGeom prst="rect">
                            <a:avLst/>
                          </a:prstGeom>
                        </pic:spPr>
                      </pic:pic>
                    </a:graphicData>
                  </a:graphic>
                </wp:inline>
              </w:drawing>
            </w:r>
          </w:p>
          <w:p w:rsidR="0035701C" w:rsidRDefault="00FB561B">
            <w:pPr>
              <w:pStyle w:val="Pieddepage"/>
              <w:jc w:val="center"/>
            </w:pPr>
            <w:r>
              <w:t>Systeme de collecte</w:t>
            </w:r>
          </w:p>
          <w:p w:rsidR="0035701C" w:rsidRDefault="0035701C">
            <w:pPr>
              <w:pStyle w:val="Pieddepage"/>
              <w:jc w:val="center"/>
            </w:pPr>
          </w:p>
        </w:tc>
      </w:tr>
    </w:tbl>
    <w:p w:rsidR="0035701C" w:rsidRDefault="00FB561B">
      <w:pPr>
        <w:pStyle w:val="Titre2"/>
      </w:pPr>
      <w:bookmarkStart w:id="118" w:name="_Toc256000117"/>
      <w:r>
        <w:t>Calendrier</w:t>
      </w:r>
      <w:bookmarkEnd w:id="118"/>
    </w:p>
    <w:p w:rsidR="0035701C" w:rsidRDefault="00FB561B">
      <w:r>
        <w:t>Principales étapes de la période de programmation et description indicative du calendrier nécessaire pour assurer que les résultats seront disponibles en temps utile.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 xml:space="preserve">Les principales étapes </w:t>
            </w:r>
            <w:r>
              <w:rPr>
                <w:szCs w:val="24"/>
              </w:rPr>
              <w:t>identifiées à ce stade, sont les trois temps forts à prendre en considération pour les rapports annuels d’exécution :</w:t>
            </w:r>
          </w:p>
          <w:p w:rsidR="0035701C" w:rsidRDefault="00FB561B">
            <w:pPr>
              <w:spacing w:before="240" w:after="240"/>
              <w:jc w:val="left"/>
              <w:rPr>
                <w:szCs w:val="24"/>
              </w:rPr>
            </w:pPr>
            <w:r>
              <w:rPr>
                <w:szCs w:val="24"/>
              </w:rPr>
              <w:t>2017 : Evaluation in-itinere, sur la base du RAE 2016 renforcé sur l’analyse des informations et progrès accomplis, afin d’améliorer l’arc</w:t>
            </w:r>
            <w:r>
              <w:rPr>
                <w:szCs w:val="24"/>
              </w:rPr>
              <w:t>hitecture et la mise en œuvre du programme </w:t>
            </w:r>
          </w:p>
          <w:p w:rsidR="0035701C" w:rsidRDefault="00FB561B">
            <w:pPr>
              <w:spacing w:before="240" w:after="240"/>
              <w:jc w:val="left"/>
              <w:rPr>
                <w:szCs w:val="24"/>
              </w:rPr>
            </w:pPr>
            <w:r>
              <w:rPr>
                <w:szCs w:val="24"/>
              </w:rPr>
              <w:t>2019 : Evaluation finale  en s’appuyant sur le RAE 2018 renforcé sur les réalisations du PDRC au sein du cadre de performance</w:t>
            </w:r>
          </w:p>
          <w:p w:rsidR="0035701C" w:rsidRDefault="00FB561B">
            <w:pPr>
              <w:spacing w:before="240" w:after="240"/>
              <w:jc w:val="left"/>
              <w:rPr>
                <w:szCs w:val="24"/>
              </w:rPr>
            </w:pPr>
            <w:r>
              <w:rPr>
                <w:szCs w:val="24"/>
              </w:rPr>
              <w:t>2024 : Evaluation Ex post</w:t>
            </w:r>
          </w:p>
          <w:p w:rsidR="0035701C" w:rsidRDefault="00FB561B">
            <w:pPr>
              <w:spacing w:before="240" w:after="240"/>
              <w:jc w:val="left"/>
              <w:rPr>
                <w:szCs w:val="24"/>
              </w:rPr>
            </w:pPr>
            <w:r>
              <w:rPr>
                <w:szCs w:val="24"/>
              </w:rPr>
              <w:t xml:space="preserve">Pour chaque étape, les données seront collectées en année N </w:t>
            </w:r>
            <w:r>
              <w:rPr>
                <w:szCs w:val="24"/>
              </w:rPr>
              <w:t>– 1, avec des évaluations diligentées selon les dispositions  du Code des Marchés Publics. </w:t>
            </w:r>
          </w:p>
          <w:p w:rsidR="0035701C" w:rsidRDefault="0035701C">
            <w:pPr>
              <w:pStyle w:val="Corpsdetexte"/>
            </w:pPr>
          </w:p>
        </w:tc>
      </w:tr>
    </w:tbl>
    <w:p w:rsidR="0035701C" w:rsidRDefault="00FB561B">
      <w:pPr>
        <w:pStyle w:val="Titre2"/>
      </w:pPr>
      <w:bookmarkStart w:id="119" w:name="_Toc256000118"/>
      <w:r>
        <w:t>Communication</w:t>
      </w:r>
      <w:bookmarkEnd w:id="119"/>
    </w:p>
    <w:p w:rsidR="0035701C" w:rsidRDefault="00FB561B">
      <w:r>
        <w:t xml:space="preserve">Description de la manière dont les données recueillies dans le cadre de l'évaluation seront diffusées aux bénéficiaires cibles, y compris une </w:t>
      </w:r>
      <w:r>
        <w:t>description des mécanismes mis en place pour assurer le suivi de l’utilisation des résultats d’évaluation.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szCs w:val="24"/>
              </w:rPr>
              <w:t>Une diffusion des retours de l’évaluation sera précisée dès l’élaboration du cahier des charges dans le cadre d’une évaluation sous-traitée à un pres</w:t>
            </w:r>
            <w:r>
              <w:rPr>
                <w:szCs w:val="24"/>
              </w:rPr>
              <w:t>tataire extérieur (fixation du nombre de pages du rapport final, de la synthèse du rapport, etc.).</w:t>
            </w:r>
          </w:p>
          <w:p w:rsidR="0035701C" w:rsidRDefault="00FB561B">
            <w:pPr>
              <w:spacing w:before="240" w:after="240"/>
              <w:jc w:val="left"/>
              <w:rPr>
                <w:szCs w:val="24"/>
              </w:rPr>
            </w:pPr>
            <w:r>
              <w:rPr>
                <w:szCs w:val="24"/>
              </w:rPr>
              <w:t>La communication des conclusions et recommandation formulées dans les rapports d'évaluation sera fait par le chargé d'évaluation ainsi que par le service com</w:t>
            </w:r>
            <w:r>
              <w:rPr>
                <w:szCs w:val="24"/>
              </w:rPr>
              <w:t>munication de la DAEI. Afin de gagner en cohérence et en transversalité, ces deux entités sont communes à l'ensemble des fonds.</w:t>
            </w:r>
          </w:p>
          <w:p w:rsidR="0035701C" w:rsidRDefault="00FB561B">
            <w:pPr>
              <w:spacing w:before="240" w:after="240"/>
              <w:jc w:val="left"/>
              <w:rPr>
                <w:szCs w:val="24"/>
              </w:rPr>
            </w:pPr>
            <w:r>
              <w:rPr>
                <w:szCs w:val="24"/>
              </w:rPr>
              <w:t>La problématique de la communication fait suite au constat selon lequel il y a in fine peu de retours synthétiques des évaluatio</w:t>
            </w:r>
            <w:r>
              <w:rPr>
                <w:szCs w:val="24"/>
              </w:rPr>
              <w:t>ns faites sur la période de programmation précédente, ou avec un décalage dans le temps par rapport aux besoins.</w:t>
            </w:r>
          </w:p>
          <w:p w:rsidR="0035701C" w:rsidRDefault="00FB561B">
            <w:pPr>
              <w:spacing w:before="240" w:after="240"/>
              <w:jc w:val="left"/>
              <w:rPr>
                <w:szCs w:val="24"/>
              </w:rPr>
            </w:pPr>
            <w:r>
              <w:rPr>
                <w:szCs w:val="24"/>
              </w:rPr>
              <w:t>Un besoin important de travail sur la forme de la communication de l’évaluation est donc exprimé à ce stade par l’autorité de gestion.</w:t>
            </w:r>
          </w:p>
          <w:p w:rsidR="0035701C" w:rsidRDefault="00FB561B">
            <w:pPr>
              <w:spacing w:before="240" w:after="240"/>
              <w:jc w:val="left"/>
              <w:rPr>
                <w:szCs w:val="24"/>
              </w:rPr>
            </w:pPr>
            <w:r>
              <w:rPr>
                <w:szCs w:val="24"/>
              </w:rPr>
              <w:t>Le circu</w:t>
            </w:r>
            <w:r>
              <w:rPr>
                <w:szCs w:val="24"/>
              </w:rPr>
              <w:t>it et les besoins d’information des différents groupes cibles identifiés à ce stade sont les suivants :</w:t>
            </w:r>
          </w:p>
          <w:p w:rsidR="0035701C" w:rsidRDefault="00FB561B">
            <w:pPr>
              <w:spacing w:before="240" w:after="240"/>
              <w:jc w:val="left"/>
              <w:rPr>
                <w:szCs w:val="24"/>
              </w:rPr>
            </w:pPr>
            <w:r>
              <w:rPr>
                <w:szCs w:val="24"/>
              </w:rPr>
              <w:t>• Partenaires du programme : Ils comprennent l’Autorité de gestion, l’organisme payeur, les services instructeurs, les contributeurs directs au programm</w:t>
            </w:r>
            <w:r>
              <w:rPr>
                <w:szCs w:val="24"/>
              </w:rPr>
              <w:t>e tels que les co-financeurs et plus généralement l’ensemble des membres du Comité de suivi. Ces différents acteurs sont impliqués dans l’animation et la gestion du programme et sont à ce titre intéressés par les réalisations et résultats.</w:t>
            </w:r>
          </w:p>
          <w:p w:rsidR="0035701C" w:rsidRDefault="00FB561B">
            <w:pPr>
              <w:spacing w:before="240" w:after="240"/>
              <w:jc w:val="left"/>
              <w:rPr>
                <w:szCs w:val="24"/>
              </w:rPr>
            </w:pPr>
            <w:r>
              <w:rPr>
                <w:szCs w:val="24"/>
              </w:rPr>
              <w:t xml:space="preserve">Les évaluations </w:t>
            </w:r>
            <w:r>
              <w:rPr>
                <w:szCs w:val="24"/>
              </w:rPr>
              <w:t>concernant la mise en œuvre du programme constituent également une information essentielle pour cette catégorie d’acteurs. Ils auront accès aux résultats des travaux de suivi et d’évaluation directement par la mise en ligne des rapports annuels d’exécution</w:t>
            </w:r>
            <w:r>
              <w:rPr>
                <w:szCs w:val="24"/>
              </w:rPr>
              <w:t xml:space="preserve"> et rapports d’évaluation sur le site www.Corse.eu</w:t>
            </w:r>
          </w:p>
          <w:p w:rsidR="0035701C" w:rsidRDefault="00FB561B">
            <w:pPr>
              <w:spacing w:before="240" w:after="240"/>
              <w:jc w:val="left"/>
              <w:rPr>
                <w:szCs w:val="24"/>
              </w:rPr>
            </w:pPr>
            <w:r>
              <w:rPr>
                <w:szCs w:val="24"/>
              </w:rPr>
              <w:t>Ils pourront également prendre connaissance de la synthèse des travaux d’évaluation par une restitution synthétique faite lors du comité de suivi.</w:t>
            </w:r>
          </w:p>
          <w:p w:rsidR="0035701C" w:rsidRDefault="00FB561B">
            <w:pPr>
              <w:spacing w:before="240" w:after="240"/>
              <w:jc w:val="left"/>
              <w:rPr>
                <w:szCs w:val="24"/>
              </w:rPr>
            </w:pPr>
            <w:r>
              <w:rPr>
                <w:szCs w:val="24"/>
              </w:rPr>
              <w:t>• Elus : soucieux d’une gestion efficace de l’argent publi</w:t>
            </w:r>
            <w:r>
              <w:rPr>
                <w:szCs w:val="24"/>
              </w:rPr>
              <w:t>c, les élus seront destinataires de notes de synthèse reprenant les principales réalisations et résultats de la mise en œuvre du programme à la lumière des indicateurs de contexte. Ils pourront également suivre les avancées du programme en assistant au com</w:t>
            </w:r>
            <w:r>
              <w:rPr>
                <w:szCs w:val="24"/>
              </w:rPr>
              <w:t>ité de suivi annuel du programme.</w:t>
            </w:r>
          </w:p>
          <w:p w:rsidR="0035701C" w:rsidRDefault="00FB561B">
            <w:pPr>
              <w:spacing w:before="240" w:after="240"/>
              <w:jc w:val="left"/>
              <w:rPr>
                <w:szCs w:val="24"/>
              </w:rPr>
            </w:pPr>
            <w:r>
              <w:rPr>
                <w:szCs w:val="24"/>
              </w:rPr>
              <w:t xml:space="preserve">• Structures d’accompagnement des porteurs de projet, chambres consulaires, organismes représentant les acteurs locaux : relais d’information essentiels, les professionnels devront être impliqués en début de programmation </w:t>
            </w:r>
            <w:r>
              <w:rPr>
                <w:szCs w:val="24"/>
              </w:rPr>
              <w:t>afin de communiquer auprès des publics cibles du programme sur les mesures existantes et les modalités de mise en œuvre du programme. Il conviendra également de leur communiquer annuellement une fiche de synthèse reprenant les principales réalisation et ré</w:t>
            </w:r>
            <w:r>
              <w:rPr>
                <w:szCs w:val="24"/>
              </w:rPr>
              <w:t>sultats du programme.</w:t>
            </w:r>
          </w:p>
          <w:p w:rsidR="0035701C" w:rsidRDefault="00FB561B">
            <w:pPr>
              <w:spacing w:before="240" w:after="240"/>
              <w:jc w:val="left"/>
              <w:rPr>
                <w:szCs w:val="24"/>
              </w:rPr>
            </w:pPr>
            <w:r>
              <w:rPr>
                <w:szCs w:val="24"/>
              </w:rPr>
              <w:t xml:space="preserve">• Grand public : la communication portera sur les principales actions réalisées selon les règles de publicité en vigueur, notamment pour les grosses opérations en apposant une plaque. Le site www.Corse.eu sera aussi développé pour </w:t>
            </w:r>
            <w:r>
              <w:rPr>
                <w:szCs w:val="24"/>
              </w:rPr>
              <w:t>mettre en avant les réalisations et résultats du programme dans un standard vulgarisé et simplifié.</w:t>
            </w:r>
          </w:p>
          <w:p w:rsidR="0035701C" w:rsidRDefault="00FB561B">
            <w:pPr>
              <w:spacing w:before="240" w:after="240"/>
              <w:jc w:val="left"/>
              <w:rPr>
                <w:szCs w:val="24"/>
              </w:rPr>
            </w:pPr>
            <w:r>
              <w:rPr>
                <w:szCs w:val="24"/>
              </w:rPr>
              <w:t xml:space="preserve">Enfin, la tenue des Comités de suivi constituera l’opportunité d’une couverture presse régionale sur le programme. Des dossiers presse seront rédigés à cet </w:t>
            </w:r>
            <w:r>
              <w:rPr>
                <w:szCs w:val="24"/>
              </w:rPr>
              <w:t>effet Ils comprendront les principaux résultats du programme complétés d’une petite analyse de ceux-ci ainsi qu’une note de conjoncture.</w:t>
            </w:r>
          </w:p>
          <w:p w:rsidR="0035701C" w:rsidRDefault="00FB561B">
            <w:pPr>
              <w:spacing w:before="240" w:after="240"/>
              <w:jc w:val="left"/>
              <w:rPr>
                <w:szCs w:val="24"/>
              </w:rPr>
            </w:pPr>
            <w:r>
              <w:rPr>
                <w:szCs w:val="24"/>
              </w:rPr>
              <w:t>Afin de pouvoir piloter et valoriser au plus haut niveau la communication des évaluations qui seront conduites, l’autor</w:t>
            </w:r>
            <w:r>
              <w:rPr>
                <w:szCs w:val="24"/>
              </w:rPr>
              <w:t>ité de gestion sera en charge d’en élaborer la stratégie. Le comité de suivi pluri-fonds sera à ce titre un lieu d’échange possible pour communiquer et prendre en compte les recommandations des évaluations.</w:t>
            </w:r>
          </w:p>
          <w:p w:rsidR="0035701C" w:rsidRDefault="0035701C">
            <w:pPr>
              <w:pStyle w:val="Corpsdetexte"/>
            </w:pPr>
          </w:p>
        </w:tc>
      </w:tr>
    </w:tbl>
    <w:p w:rsidR="0035701C" w:rsidRDefault="00FB561B">
      <w:pPr>
        <w:pStyle w:val="Titre2"/>
      </w:pPr>
      <w:bookmarkStart w:id="120" w:name="_Toc256000119"/>
      <w:r>
        <w:t>Ressources</w:t>
      </w:r>
      <w:bookmarkEnd w:id="120"/>
    </w:p>
    <w:p w:rsidR="0035701C" w:rsidRDefault="00FB561B">
      <w:r>
        <w:t xml:space="preserve">Description des ressources requises </w:t>
      </w:r>
      <w:r>
        <w:t xml:space="preserve">et prévues pour mettre en œuvre le plan, y compris une indication des besoins en capacités administratives, en données, en ressources financières et en moyens informatiques. Description des activités de renforcement des capacités prévues pour garantir que </w:t>
      </w:r>
      <w:r>
        <w:t>le plan d’évaluation pourra être pleinement mis en œuvre.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20" w:type="dxa"/>
              <w:bottom w:w="20" w:type="dxa"/>
            </w:tcMar>
            <w:vAlign w:val="center"/>
          </w:tcPr>
          <w:p w:rsidR="0035701C" w:rsidRDefault="00FB561B">
            <w:pPr>
              <w:spacing w:before="0" w:after="240"/>
              <w:jc w:val="left"/>
              <w:rPr>
                <w:szCs w:val="24"/>
              </w:rPr>
            </w:pPr>
            <w:r>
              <w:rPr>
                <w:b/>
                <w:bCs/>
                <w:szCs w:val="24"/>
              </w:rPr>
              <w:t>Ressources humaines :</w:t>
            </w:r>
          </w:p>
          <w:p w:rsidR="0035701C" w:rsidRDefault="00FB561B">
            <w:pPr>
              <w:spacing w:before="240" w:after="240"/>
              <w:jc w:val="left"/>
              <w:rPr>
                <w:szCs w:val="24"/>
              </w:rPr>
            </w:pPr>
            <w:r>
              <w:rPr>
                <w:szCs w:val="24"/>
              </w:rPr>
              <w:t>Trois personnes seront chargées de suivi et d’évaluation au sein de la Collectivité Territoriale de Corse  – Direction des Affaires Européennes et Internationales  – Service af</w:t>
            </w:r>
            <w:r>
              <w:rPr>
                <w:szCs w:val="24"/>
              </w:rPr>
              <w:t>faires Européennes « pilotage des programmes » : Un évaluateur chargé du suivi des évaluations de l’ensemble des fonds dont la CTC est autorité de gestion, un Coordonnateur spécifique FEADER, un chargé de suivi pour les RAE, un chargé de suivi financier.</w:t>
            </w:r>
          </w:p>
          <w:p w:rsidR="0035701C" w:rsidRDefault="00FB561B">
            <w:pPr>
              <w:spacing w:before="240" w:after="240"/>
              <w:jc w:val="left"/>
              <w:rPr>
                <w:szCs w:val="24"/>
              </w:rPr>
            </w:pPr>
            <w:r>
              <w:rPr>
                <w:szCs w:val="24"/>
              </w:rPr>
              <w:t>C</w:t>
            </w:r>
            <w:r>
              <w:rPr>
                <w:szCs w:val="24"/>
              </w:rPr>
              <w:t>es moyens humains ont une répartition des taches rationnelles qui nous permet de nous assurer que les ressources humaines sont en adéquations avec les besoins. Nous nous sommes également appuyés sur notre expérience 2007 2013. Ainsi, un chargé d’évaluation</w:t>
            </w:r>
            <w:r>
              <w:rPr>
                <w:szCs w:val="24"/>
              </w:rPr>
              <w:t xml:space="preserve"> pluri fond est désormais associé à ce travail évaluatif.</w:t>
            </w:r>
          </w:p>
          <w:p w:rsidR="0035701C" w:rsidRDefault="00FB561B">
            <w:pPr>
              <w:spacing w:before="240" w:after="240"/>
              <w:jc w:val="left"/>
              <w:rPr>
                <w:szCs w:val="24"/>
              </w:rPr>
            </w:pPr>
            <w:r>
              <w:rPr>
                <w:b/>
                <w:bCs/>
                <w:szCs w:val="24"/>
              </w:rPr>
              <w:t>Ressources financières :</w:t>
            </w:r>
          </w:p>
          <w:p w:rsidR="0035701C" w:rsidRDefault="00FB561B">
            <w:pPr>
              <w:spacing w:before="240" w:after="240"/>
              <w:jc w:val="left"/>
              <w:rPr>
                <w:szCs w:val="24"/>
              </w:rPr>
            </w:pPr>
            <w:r>
              <w:rPr>
                <w:szCs w:val="24"/>
              </w:rPr>
              <w:t>Chaque année, un budget dédié sera mobilisé pour la réalisation des évaluations prévues au plan. Les prestations extérieures, ainsi que les salaires des coordonnateurs et ch</w:t>
            </w:r>
            <w:r>
              <w:rPr>
                <w:szCs w:val="24"/>
              </w:rPr>
              <w:t>argés de suivi, pourront bénéficier de fonds FEADER de l’assistance technique.</w:t>
            </w:r>
          </w:p>
          <w:p w:rsidR="0035701C" w:rsidRDefault="00FB561B">
            <w:pPr>
              <w:spacing w:before="240" w:after="240"/>
              <w:jc w:val="left"/>
              <w:rPr>
                <w:szCs w:val="24"/>
              </w:rPr>
            </w:pPr>
            <w:r>
              <w:rPr>
                <w:szCs w:val="24"/>
              </w:rPr>
              <w:t>Les coûts liés au suivi – évaluation pourront être les suivants : gestion quotidienne du système de suivi et d'évaluation, coûts du renforcement de la capacité administrative da</w:t>
            </w:r>
            <w:r>
              <w:rPr>
                <w:szCs w:val="24"/>
              </w:rPr>
              <w:t>ns le domaine du suivi et de l'évaluation (formations, création de guides méthodologiques …), prestations externes pour la réalisation des évaluations thématiques ou d’études spécifiques, études de cas, achat de données, coûts de mise en œuvre des stratégi</w:t>
            </w:r>
            <w:r>
              <w:rPr>
                <w:szCs w:val="24"/>
              </w:rPr>
              <w:t>es de communication etc.</w:t>
            </w:r>
          </w:p>
          <w:p w:rsidR="0035701C" w:rsidRDefault="0035701C">
            <w:pPr>
              <w:pStyle w:val="Corpsdetexte"/>
            </w:pPr>
          </w:p>
        </w:tc>
      </w:tr>
    </w:tbl>
    <w:p w:rsidR="0035701C" w:rsidRDefault="0035701C">
      <w:pPr>
        <w:sectPr w:rsidR="0035701C">
          <w:pgSz w:w="12240" w:h="15840"/>
          <w:pgMar w:top="900" w:right="900" w:bottom="900" w:left="900" w:header="720" w:footer="720" w:gutter="0"/>
          <w:cols w:space="720"/>
        </w:sectPr>
      </w:pPr>
    </w:p>
    <w:p w:rsidR="0035701C" w:rsidRDefault="00FB561B">
      <w:pPr>
        <w:pStyle w:val="Titre1"/>
      </w:pPr>
      <w:bookmarkStart w:id="121" w:name="_Toc256000120"/>
      <w:r>
        <w:t>Plan de financement</w:t>
      </w:r>
      <w:bookmarkEnd w:id="121"/>
    </w:p>
    <w:p w:rsidR="0035701C" w:rsidRDefault="00FB561B">
      <w:pPr>
        <w:pStyle w:val="Titre2"/>
      </w:pPr>
      <w:r>
        <w:t xml:space="preserve"> </w:t>
      </w:r>
      <w:bookmarkStart w:id="122" w:name="_Toc256000121"/>
      <w:r>
        <w:t>Participation annuelle du Feader (en euros)</w:t>
      </w:r>
      <w:bookmarkEnd w:id="12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00"/>
        <w:gridCol w:w="200"/>
        <w:gridCol w:w="200"/>
        <w:gridCol w:w="200"/>
        <w:gridCol w:w="200"/>
        <w:gridCol w:w="200"/>
        <w:gridCol w:w="200"/>
        <w:gridCol w:w="200"/>
        <w:gridCol w:w="200"/>
        <w:gridCol w:w="200"/>
        <w:gridCol w:w="200"/>
      </w:tblGrid>
      <w:tr w:rsidR="0035701C">
        <w:tc>
          <w:tcPr>
            <w:tcW w:w="200" w:type="dxa"/>
            <w:shd w:val="clear" w:color="auto" w:fill="C0C0C0"/>
            <w:tcMar>
              <w:top w:w="60" w:type="dxa"/>
            </w:tcMar>
          </w:tcPr>
          <w:p w:rsidR="0035701C" w:rsidRDefault="00FB561B">
            <w:pPr>
              <w:jc w:val="center"/>
              <w:rPr>
                <w:b/>
              </w:rPr>
            </w:pPr>
            <w:r>
              <w:rPr>
                <w:b/>
              </w:rPr>
              <w:t>Types de régions et dotations complémentaires</w:t>
            </w:r>
          </w:p>
        </w:tc>
        <w:tc>
          <w:tcPr>
            <w:tcW w:w="200" w:type="dxa"/>
            <w:shd w:val="clear" w:color="auto" w:fill="C0C0C0"/>
            <w:tcMar>
              <w:top w:w="60" w:type="dxa"/>
            </w:tcMar>
          </w:tcPr>
          <w:p w:rsidR="0035701C" w:rsidRDefault="00FB561B">
            <w:pPr>
              <w:jc w:val="center"/>
              <w:rPr>
                <w:b/>
              </w:rPr>
            </w:pPr>
            <w:r>
              <w:rPr>
                <w:b/>
              </w:rPr>
              <w:t>2014</w:t>
            </w:r>
          </w:p>
        </w:tc>
        <w:tc>
          <w:tcPr>
            <w:tcW w:w="200" w:type="dxa"/>
            <w:shd w:val="clear" w:color="auto" w:fill="C0C0C0"/>
            <w:tcMar>
              <w:top w:w="60" w:type="dxa"/>
            </w:tcMar>
          </w:tcPr>
          <w:p w:rsidR="0035701C" w:rsidRDefault="00FB561B">
            <w:pPr>
              <w:jc w:val="center"/>
              <w:rPr>
                <w:b/>
              </w:rPr>
            </w:pPr>
            <w:r>
              <w:rPr>
                <w:b/>
              </w:rPr>
              <w:t>2015</w:t>
            </w:r>
          </w:p>
        </w:tc>
        <w:tc>
          <w:tcPr>
            <w:tcW w:w="200" w:type="dxa"/>
            <w:shd w:val="clear" w:color="auto" w:fill="C0C0C0"/>
            <w:tcMar>
              <w:top w:w="60" w:type="dxa"/>
            </w:tcMar>
          </w:tcPr>
          <w:p w:rsidR="0035701C" w:rsidRDefault="00FB561B">
            <w:pPr>
              <w:jc w:val="center"/>
              <w:rPr>
                <w:b/>
              </w:rPr>
            </w:pPr>
            <w:r>
              <w:rPr>
                <w:b/>
              </w:rPr>
              <w:t>2016</w:t>
            </w:r>
          </w:p>
        </w:tc>
        <w:tc>
          <w:tcPr>
            <w:tcW w:w="200" w:type="dxa"/>
            <w:shd w:val="clear" w:color="auto" w:fill="C0C0C0"/>
            <w:tcMar>
              <w:top w:w="60" w:type="dxa"/>
            </w:tcMar>
          </w:tcPr>
          <w:p w:rsidR="0035701C" w:rsidRDefault="00FB561B">
            <w:pPr>
              <w:jc w:val="center"/>
              <w:rPr>
                <w:b/>
              </w:rPr>
            </w:pPr>
            <w:r>
              <w:rPr>
                <w:b/>
              </w:rPr>
              <w:t>2017</w:t>
            </w:r>
          </w:p>
        </w:tc>
        <w:tc>
          <w:tcPr>
            <w:tcW w:w="200" w:type="dxa"/>
            <w:shd w:val="clear" w:color="auto" w:fill="C0C0C0"/>
            <w:tcMar>
              <w:top w:w="60" w:type="dxa"/>
            </w:tcMar>
          </w:tcPr>
          <w:p w:rsidR="0035701C" w:rsidRDefault="00FB561B">
            <w:pPr>
              <w:jc w:val="center"/>
              <w:rPr>
                <w:b/>
              </w:rPr>
            </w:pPr>
            <w:r>
              <w:rPr>
                <w:b/>
              </w:rPr>
              <w:t>2018</w:t>
            </w:r>
          </w:p>
        </w:tc>
        <w:tc>
          <w:tcPr>
            <w:tcW w:w="200" w:type="dxa"/>
            <w:shd w:val="clear" w:color="auto" w:fill="C0C0C0"/>
            <w:tcMar>
              <w:top w:w="60" w:type="dxa"/>
            </w:tcMar>
          </w:tcPr>
          <w:p w:rsidR="0035701C" w:rsidRDefault="00FB561B">
            <w:pPr>
              <w:jc w:val="center"/>
              <w:rPr>
                <w:b/>
              </w:rPr>
            </w:pPr>
            <w:r>
              <w:rPr>
                <w:b/>
              </w:rPr>
              <w:t>2019</w:t>
            </w:r>
          </w:p>
        </w:tc>
        <w:tc>
          <w:tcPr>
            <w:tcW w:w="200" w:type="dxa"/>
            <w:shd w:val="clear" w:color="auto" w:fill="C0C0C0"/>
            <w:tcMar>
              <w:top w:w="60" w:type="dxa"/>
            </w:tcMar>
          </w:tcPr>
          <w:p w:rsidR="0035701C" w:rsidRDefault="00FB561B">
            <w:pPr>
              <w:jc w:val="center"/>
              <w:rPr>
                <w:b/>
              </w:rPr>
            </w:pPr>
            <w:r>
              <w:rPr>
                <w:b/>
              </w:rPr>
              <w:t>2020</w:t>
            </w:r>
          </w:p>
        </w:tc>
        <w:tc>
          <w:tcPr>
            <w:tcW w:w="200" w:type="dxa"/>
            <w:shd w:val="clear" w:color="auto" w:fill="C0C0C0"/>
            <w:tcMar>
              <w:top w:w="60" w:type="dxa"/>
            </w:tcMar>
          </w:tcPr>
          <w:p w:rsidR="0035701C" w:rsidRDefault="00FB561B">
            <w:pPr>
              <w:jc w:val="center"/>
              <w:rPr>
                <w:b/>
              </w:rPr>
            </w:pPr>
            <w:r>
              <w:rPr>
                <w:b/>
              </w:rPr>
              <w:t>2021</w:t>
            </w:r>
          </w:p>
        </w:tc>
        <w:tc>
          <w:tcPr>
            <w:tcW w:w="200" w:type="dxa"/>
            <w:shd w:val="clear" w:color="auto" w:fill="C0C0C0"/>
            <w:tcMar>
              <w:top w:w="60" w:type="dxa"/>
            </w:tcMar>
          </w:tcPr>
          <w:p w:rsidR="0035701C" w:rsidRDefault="00FB561B">
            <w:pPr>
              <w:jc w:val="center"/>
              <w:rPr>
                <w:b/>
              </w:rPr>
            </w:pPr>
            <w:r>
              <w:rPr>
                <w:b/>
              </w:rPr>
              <w:t>2022</w:t>
            </w:r>
          </w:p>
        </w:tc>
        <w:tc>
          <w:tcPr>
            <w:tcW w:w="200" w:type="dxa"/>
            <w:shd w:val="clear" w:color="auto" w:fill="C0C0C0"/>
            <w:tcMar>
              <w:top w:w="60" w:type="dxa"/>
            </w:tcMar>
          </w:tcPr>
          <w:p w:rsidR="0035701C" w:rsidRDefault="00FB561B">
            <w:pPr>
              <w:jc w:val="center"/>
            </w:pPr>
            <w:r>
              <w:rPr>
                <w:b/>
              </w:rPr>
              <w:t>Total</w:t>
            </w:r>
          </w:p>
        </w:tc>
      </w:tr>
      <w:tr w:rsidR="0035701C">
        <w:tc>
          <w:tcPr>
            <w:tcW w:w="200" w:type="dxa"/>
            <w:shd w:val="clear" w:color="auto" w:fill="FFFFFF"/>
            <w:tcMar>
              <w:top w:w="60" w:type="dxa"/>
            </w:tcMar>
          </w:tcPr>
          <w:p w:rsidR="0035701C" w:rsidRDefault="00FB561B">
            <w:pPr>
              <w:jc w:val="left"/>
              <w:rPr>
                <w:sz w:val="16"/>
              </w:rPr>
            </w:pPr>
            <w:r>
              <w:rPr>
                <w:sz w:val="16"/>
              </w:rPr>
              <w:t xml:space="preserve">Article 59, paragraphe 3, point c), du règlement (UE) </w:t>
            </w:r>
            <w:r>
              <w:rPr>
                <w:sz w:val="16"/>
              </w:rPr>
              <w:t>n° 1305/2013 - Régions en transition autres que celles visées à l’article 59, paragraphe 3, point b)</w:t>
            </w:r>
          </w:p>
        </w:tc>
        <w:tc>
          <w:tcPr>
            <w:tcW w:w="200" w:type="dxa"/>
            <w:shd w:val="clear" w:color="auto" w:fill="FFFFFF"/>
            <w:tcMar>
              <w:top w:w="60" w:type="dxa"/>
            </w:tcMar>
          </w:tcPr>
          <w:p w:rsidR="0035701C" w:rsidRDefault="00FB561B">
            <w:pPr>
              <w:jc w:val="right"/>
              <w:rPr>
                <w:sz w:val="16"/>
              </w:rPr>
            </w:pPr>
            <w:r>
              <w:rPr>
                <w:sz w:val="16"/>
              </w:rPr>
              <w:t>0,00</w:t>
            </w:r>
          </w:p>
        </w:tc>
        <w:tc>
          <w:tcPr>
            <w:tcW w:w="200" w:type="dxa"/>
            <w:shd w:val="clear" w:color="auto" w:fill="FFFFFF"/>
            <w:tcMar>
              <w:top w:w="60" w:type="dxa"/>
            </w:tcMar>
          </w:tcPr>
          <w:p w:rsidR="0035701C" w:rsidRDefault="00FB561B">
            <w:pPr>
              <w:jc w:val="right"/>
              <w:rPr>
                <w:sz w:val="16"/>
              </w:rPr>
            </w:pPr>
            <w:r>
              <w:rPr>
                <w:sz w:val="16"/>
              </w:rPr>
              <w:t>28 290 984,00</w:t>
            </w:r>
          </w:p>
        </w:tc>
        <w:tc>
          <w:tcPr>
            <w:tcW w:w="200" w:type="dxa"/>
            <w:shd w:val="clear" w:color="auto" w:fill="FFFFFF"/>
            <w:tcMar>
              <w:top w:w="60" w:type="dxa"/>
            </w:tcMar>
          </w:tcPr>
          <w:p w:rsidR="0035701C" w:rsidRDefault="00FB561B">
            <w:pPr>
              <w:jc w:val="right"/>
              <w:rPr>
                <w:sz w:val="16"/>
              </w:rPr>
            </w:pPr>
            <w:r>
              <w:rPr>
                <w:sz w:val="16"/>
              </w:rPr>
              <w:t>28 151 916,00</w:t>
            </w:r>
          </w:p>
        </w:tc>
        <w:tc>
          <w:tcPr>
            <w:tcW w:w="200" w:type="dxa"/>
            <w:shd w:val="clear" w:color="auto" w:fill="FFFFFF"/>
            <w:tcMar>
              <w:top w:w="60" w:type="dxa"/>
            </w:tcMar>
          </w:tcPr>
          <w:p w:rsidR="0035701C" w:rsidRDefault="00FB561B">
            <w:pPr>
              <w:jc w:val="right"/>
              <w:rPr>
                <w:sz w:val="16"/>
              </w:rPr>
            </w:pPr>
            <w:r>
              <w:rPr>
                <w:sz w:val="16"/>
              </w:rPr>
              <w:t>19 133 142,00</w:t>
            </w:r>
          </w:p>
        </w:tc>
        <w:tc>
          <w:tcPr>
            <w:tcW w:w="200" w:type="dxa"/>
            <w:shd w:val="clear" w:color="auto" w:fill="FFFFFF"/>
            <w:tcMar>
              <w:top w:w="60" w:type="dxa"/>
            </w:tcMar>
          </w:tcPr>
          <w:p w:rsidR="0035701C" w:rsidRDefault="00FB561B">
            <w:pPr>
              <w:jc w:val="right"/>
              <w:rPr>
                <w:sz w:val="16"/>
              </w:rPr>
            </w:pPr>
            <w:r>
              <w:rPr>
                <w:sz w:val="16"/>
              </w:rPr>
              <w:t>18 816 158,00</w:t>
            </w:r>
          </w:p>
        </w:tc>
        <w:tc>
          <w:tcPr>
            <w:tcW w:w="200" w:type="dxa"/>
            <w:shd w:val="clear" w:color="auto" w:fill="FFFFFF"/>
            <w:tcMar>
              <w:top w:w="60" w:type="dxa"/>
            </w:tcMar>
          </w:tcPr>
          <w:p w:rsidR="0035701C" w:rsidRDefault="00FB561B">
            <w:pPr>
              <w:jc w:val="right"/>
              <w:rPr>
                <w:sz w:val="16"/>
              </w:rPr>
            </w:pPr>
            <w:r>
              <w:rPr>
                <w:sz w:val="16"/>
              </w:rPr>
              <w:t>18 856 867,00</w:t>
            </w:r>
          </w:p>
        </w:tc>
        <w:tc>
          <w:tcPr>
            <w:tcW w:w="200" w:type="dxa"/>
            <w:shd w:val="clear" w:color="auto" w:fill="FFFFFF"/>
            <w:tcMar>
              <w:top w:w="60" w:type="dxa"/>
            </w:tcMar>
          </w:tcPr>
          <w:p w:rsidR="0035701C" w:rsidRDefault="00FB561B">
            <w:pPr>
              <w:jc w:val="right"/>
              <w:rPr>
                <w:sz w:val="16"/>
              </w:rPr>
            </w:pPr>
            <w:r>
              <w:rPr>
                <w:sz w:val="16"/>
              </w:rPr>
              <w:t>21 146 250,00</w:t>
            </w:r>
          </w:p>
        </w:tc>
        <w:tc>
          <w:tcPr>
            <w:tcW w:w="200" w:type="dxa"/>
            <w:shd w:val="clear" w:color="auto" w:fill="FFFFFF"/>
            <w:tcMar>
              <w:top w:w="60" w:type="dxa"/>
            </w:tcMar>
          </w:tcPr>
          <w:p w:rsidR="0035701C" w:rsidRDefault="00FB561B">
            <w:pPr>
              <w:jc w:val="right"/>
              <w:rPr>
                <w:sz w:val="16"/>
              </w:rPr>
            </w:pPr>
            <w:r>
              <w:rPr>
                <w:sz w:val="16"/>
              </w:rPr>
              <w:t>18 748 200,00</w:t>
            </w:r>
          </w:p>
        </w:tc>
        <w:tc>
          <w:tcPr>
            <w:tcW w:w="200" w:type="dxa"/>
            <w:shd w:val="clear" w:color="auto" w:fill="FFFFFF"/>
            <w:tcMar>
              <w:top w:w="60" w:type="dxa"/>
            </w:tcMar>
          </w:tcPr>
          <w:p w:rsidR="0035701C" w:rsidRDefault="00FB561B">
            <w:pPr>
              <w:jc w:val="right"/>
              <w:rPr>
                <w:b/>
                <w:sz w:val="16"/>
              </w:rPr>
            </w:pPr>
            <w:r>
              <w:rPr>
                <w:sz w:val="16"/>
              </w:rPr>
              <w:t>16 915 000,00</w:t>
            </w:r>
          </w:p>
        </w:tc>
        <w:tc>
          <w:tcPr>
            <w:tcW w:w="200" w:type="dxa"/>
            <w:shd w:val="clear" w:color="auto" w:fill="FFFFFF"/>
            <w:tcMar>
              <w:top w:w="60" w:type="dxa"/>
            </w:tcMar>
          </w:tcPr>
          <w:p w:rsidR="0035701C" w:rsidRDefault="00FB561B">
            <w:pPr>
              <w:jc w:val="right"/>
              <w:rPr>
                <w:sz w:val="16"/>
              </w:rPr>
            </w:pPr>
            <w:r>
              <w:rPr>
                <w:b/>
                <w:sz w:val="16"/>
              </w:rPr>
              <w:t>170 058 517,00</w:t>
            </w:r>
          </w:p>
        </w:tc>
      </w:tr>
      <w:tr w:rsidR="0035701C">
        <w:tc>
          <w:tcPr>
            <w:tcW w:w="200" w:type="dxa"/>
            <w:shd w:val="clear" w:color="auto" w:fill="FFFFFF"/>
            <w:tcMar>
              <w:top w:w="60" w:type="dxa"/>
            </w:tcMar>
          </w:tcPr>
          <w:p w:rsidR="0035701C" w:rsidRDefault="00FB561B">
            <w:pPr>
              <w:jc w:val="left"/>
              <w:rPr>
                <w:sz w:val="16"/>
              </w:rPr>
            </w:pPr>
            <w:r>
              <w:rPr>
                <w:sz w:val="16"/>
              </w:rPr>
              <w:t>Article 59, paragraphe</w:t>
            </w:r>
            <w:r>
              <w:rPr>
                <w:sz w:val="16"/>
              </w:rPr>
              <w:t xml:space="preserve"> 4, point e), du règlement (UE) n° 1305/2013 - Opérations bénéficiant d'un financement provenant de ressources transférées au Feader en application de l'article 7, paragraphe 2, et de l'article 14, paragraphe 1, du règlement (UE) n° 1307/2013</w:t>
            </w:r>
          </w:p>
        </w:tc>
        <w:tc>
          <w:tcPr>
            <w:tcW w:w="200" w:type="dxa"/>
            <w:shd w:val="clear" w:color="auto" w:fill="FFFFFF"/>
            <w:tcMar>
              <w:top w:w="60" w:type="dxa"/>
            </w:tcMar>
          </w:tcPr>
          <w:p w:rsidR="0035701C" w:rsidRDefault="00FB561B">
            <w:pPr>
              <w:jc w:val="right"/>
              <w:rPr>
                <w:sz w:val="16"/>
              </w:rPr>
            </w:pPr>
            <w:r>
              <w:rPr>
                <w:sz w:val="16"/>
              </w:rPr>
              <w:t>0,00</w:t>
            </w:r>
          </w:p>
        </w:tc>
        <w:tc>
          <w:tcPr>
            <w:tcW w:w="200" w:type="dxa"/>
            <w:shd w:val="clear" w:color="auto" w:fill="FFFFFF"/>
            <w:tcMar>
              <w:top w:w="60" w:type="dxa"/>
            </w:tcMar>
          </w:tcPr>
          <w:p w:rsidR="0035701C" w:rsidRDefault="00FB561B">
            <w:pPr>
              <w:jc w:val="right"/>
              <w:rPr>
                <w:sz w:val="16"/>
              </w:rPr>
            </w:pPr>
            <w:r>
              <w:rPr>
                <w:sz w:val="16"/>
              </w:rPr>
              <w:t>1 594 73</w:t>
            </w:r>
            <w:r>
              <w:rPr>
                <w:sz w:val="16"/>
              </w:rPr>
              <w:t>0,00</w:t>
            </w:r>
          </w:p>
        </w:tc>
        <w:tc>
          <w:tcPr>
            <w:tcW w:w="200" w:type="dxa"/>
            <w:shd w:val="clear" w:color="auto" w:fill="FFFFFF"/>
            <w:tcMar>
              <w:top w:w="60" w:type="dxa"/>
            </w:tcMar>
          </w:tcPr>
          <w:p w:rsidR="0035701C" w:rsidRDefault="00FB561B">
            <w:pPr>
              <w:jc w:val="right"/>
              <w:rPr>
                <w:sz w:val="16"/>
              </w:rPr>
            </w:pPr>
            <w:r>
              <w:rPr>
                <w:sz w:val="16"/>
              </w:rPr>
              <w:t>1 894 335,00</w:t>
            </w:r>
          </w:p>
        </w:tc>
        <w:tc>
          <w:tcPr>
            <w:tcW w:w="200" w:type="dxa"/>
            <w:shd w:val="clear" w:color="auto" w:fill="FFFFFF"/>
            <w:tcMar>
              <w:top w:w="60" w:type="dxa"/>
            </w:tcMar>
          </w:tcPr>
          <w:p w:rsidR="0035701C" w:rsidRDefault="00FB561B">
            <w:pPr>
              <w:jc w:val="right"/>
              <w:rPr>
                <w:sz w:val="16"/>
              </w:rPr>
            </w:pPr>
            <w:r>
              <w:rPr>
                <w:sz w:val="16"/>
              </w:rPr>
              <w:t>1 880 773,00</w:t>
            </w:r>
          </w:p>
        </w:tc>
        <w:tc>
          <w:tcPr>
            <w:tcW w:w="200" w:type="dxa"/>
            <w:shd w:val="clear" w:color="auto" w:fill="FFFFFF"/>
            <w:tcMar>
              <w:top w:w="60" w:type="dxa"/>
            </w:tcMar>
          </w:tcPr>
          <w:p w:rsidR="0035701C" w:rsidRDefault="00FB561B">
            <w:pPr>
              <w:jc w:val="right"/>
              <w:rPr>
                <w:sz w:val="16"/>
              </w:rPr>
            </w:pPr>
            <w:r>
              <w:rPr>
                <w:sz w:val="16"/>
              </w:rPr>
              <w:t>1 867 136,00</w:t>
            </w:r>
          </w:p>
        </w:tc>
        <w:tc>
          <w:tcPr>
            <w:tcW w:w="200" w:type="dxa"/>
            <w:shd w:val="clear" w:color="auto" w:fill="FFFFFF"/>
            <w:tcMar>
              <w:top w:w="60" w:type="dxa"/>
            </w:tcMar>
          </w:tcPr>
          <w:p w:rsidR="0035701C" w:rsidRDefault="00FB561B">
            <w:pPr>
              <w:jc w:val="right"/>
              <w:rPr>
                <w:sz w:val="16"/>
              </w:rPr>
            </w:pPr>
            <w:r>
              <w:rPr>
                <w:sz w:val="16"/>
              </w:rPr>
              <w:t>3 645 804,00</w:t>
            </w:r>
          </w:p>
        </w:tc>
        <w:tc>
          <w:tcPr>
            <w:tcW w:w="200" w:type="dxa"/>
            <w:shd w:val="clear" w:color="auto" w:fill="FFFFFF"/>
            <w:tcMar>
              <w:top w:w="60" w:type="dxa"/>
            </w:tcMar>
          </w:tcPr>
          <w:p w:rsidR="0035701C" w:rsidRDefault="00FB561B">
            <w:pPr>
              <w:jc w:val="right"/>
              <w:rPr>
                <w:sz w:val="16"/>
              </w:rPr>
            </w:pPr>
            <w:r>
              <w:rPr>
                <w:sz w:val="16"/>
              </w:rPr>
              <w:t>3 629 009,00</w:t>
            </w:r>
          </w:p>
        </w:tc>
        <w:tc>
          <w:tcPr>
            <w:tcW w:w="200" w:type="dxa"/>
            <w:shd w:val="clear" w:color="auto" w:fill="FFFFFF"/>
            <w:tcMar>
              <w:top w:w="60" w:type="dxa"/>
            </w:tcMar>
          </w:tcPr>
          <w:p w:rsidR="0035701C" w:rsidRDefault="00FB561B">
            <w:pPr>
              <w:jc w:val="right"/>
              <w:rPr>
                <w:sz w:val="16"/>
              </w:rPr>
            </w:pPr>
            <w:r>
              <w:rPr>
                <w:sz w:val="16"/>
              </w:rPr>
              <w:t>3 000 000,00</w:t>
            </w:r>
          </w:p>
        </w:tc>
        <w:tc>
          <w:tcPr>
            <w:tcW w:w="200" w:type="dxa"/>
            <w:shd w:val="clear" w:color="auto" w:fill="FFFFFF"/>
            <w:tcMar>
              <w:top w:w="60" w:type="dxa"/>
            </w:tcMar>
          </w:tcPr>
          <w:p w:rsidR="0035701C" w:rsidRDefault="00FB561B">
            <w:pPr>
              <w:jc w:val="right"/>
              <w:rPr>
                <w:b/>
                <w:sz w:val="16"/>
              </w:rPr>
            </w:pPr>
            <w:r>
              <w:rPr>
                <w:sz w:val="16"/>
              </w:rPr>
              <w:t>3 000 000,00</w:t>
            </w:r>
          </w:p>
        </w:tc>
        <w:tc>
          <w:tcPr>
            <w:tcW w:w="200" w:type="dxa"/>
            <w:shd w:val="clear" w:color="auto" w:fill="FFFFFF"/>
            <w:tcMar>
              <w:top w:w="60" w:type="dxa"/>
            </w:tcMar>
          </w:tcPr>
          <w:p w:rsidR="0035701C" w:rsidRDefault="00FB561B">
            <w:pPr>
              <w:jc w:val="right"/>
              <w:rPr>
                <w:b/>
                <w:sz w:val="16"/>
              </w:rPr>
            </w:pPr>
            <w:r>
              <w:rPr>
                <w:b/>
                <w:sz w:val="16"/>
              </w:rPr>
              <w:t>20 511 787,00</w:t>
            </w:r>
          </w:p>
        </w:tc>
      </w:tr>
      <w:tr w:rsidR="0035701C">
        <w:tc>
          <w:tcPr>
            <w:tcW w:w="200" w:type="dxa"/>
            <w:shd w:val="clear" w:color="auto" w:fill="C0C0C0"/>
            <w:tcMar>
              <w:top w:w="60" w:type="dxa"/>
            </w:tcMar>
          </w:tcPr>
          <w:p w:rsidR="0035701C" w:rsidRDefault="00FB561B">
            <w:pPr>
              <w:jc w:val="left"/>
              <w:rPr>
                <w:b/>
                <w:sz w:val="16"/>
              </w:rPr>
            </w:pPr>
            <w:r>
              <w:rPr>
                <w:b/>
                <w:sz w:val="16"/>
              </w:rPr>
              <w:t>Total Feader (sans Next Generation EU)</w:t>
            </w:r>
          </w:p>
        </w:tc>
        <w:tc>
          <w:tcPr>
            <w:tcW w:w="200" w:type="dxa"/>
            <w:shd w:val="clear" w:color="auto" w:fill="C0C0C0"/>
            <w:tcMar>
              <w:top w:w="60" w:type="dxa"/>
            </w:tcMar>
          </w:tcPr>
          <w:p w:rsidR="0035701C" w:rsidRDefault="00FB561B">
            <w:pPr>
              <w:jc w:val="right"/>
              <w:rPr>
                <w:b/>
                <w:sz w:val="16"/>
              </w:rPr>
            </w:pPr>
            <w:r>
              <w:rPr>
                <w:b/>
                <w:sz w:val="16"/>
              </w:rPr>
              <w:t>0,00</w:t>
            </w:r>
          </w:p>
        </w:tc>
        <w:tc>
          <w:tcPr>
            <w:tcW w:w="200" w:type="dxa"/>
            <w:shd w:val="clear" w:color="auto" w:fill="C0C0C0"/>
            <w:tcMar>
              <w:top w:w="60" w:type="dxa"/>
            </w:tcMar>
          </w:tcPr>
          <w:p w:rsidR="0035701C" w:rsidRDefault="00FB561B">
            <w:pPr>
              <w:jc w:val="right"/>
              <w:rPr>
                <w:b/>
                <w:sz w:val="16"/>
              </w:rPr>
            </w:pPr>
            <w:r>
              <w:rPr>
                <w:b/>
                <w:sz w:val="16"/>
              </w:rPr>
              <w:t>29 885 714,00</w:t>
            </w:r>
          </w:p>
        </w:tc>
        <w:tc>
          <w:tcPr>
            <w:tcW w:w="200" w:type="dxa"/>
            <w:shd w:val="clear" w:color="auto" w:fill="C0C0C0"/>
            <w:tcMar>
              <w:top w:w="60" w:type="dxa"/>
            </w:tcMar>
          </w:tcPr>
          <w:p w:rsidR="0035701C" w:rsidRDefault="00FB561B">
            <w:pPr>
              <w:jc w:val="right"/>
              <w:rPr>
                <w:b/>
                <w:sz w:val="16"/>
              </w:rPr>
            </w:pPr>
            <w:r>
              <w:rPr>
                <w:b/>
                <w:sz w:val="16"/>
              </w:rPr>
              <w:t>30 046 251,00</w:t>
            </w:r>
          </w:p>
        </w:tc>
        <w:tc>
          <w:tcPr>
            <w:tcW w:w="200" w:type="dxa"/>
            <w:shd w:val="clear" w:color="auto" w:fill="C0C0C0"/>
            <w:tcMar>
              <w:top w:w="60" w:type="dxa"/>
            </w:tcMar>
          </w:tcPr>
          <w:p w:rsidR="0035701C" w:rsidRDefault="00FB561B">
            <w:pPr>
              <w:jc w:val="right"/>
              <w:rPr>
                <w:b/>
                <w:sz w:val="16"/>
              </w:rPr>
            </w:pPr>
            <w:r>
              <w:rPr>
                <w:b/>
                <w:sz w:val="16"/>
              </w:rPr>
              <w:t>21 013 915,00</w:t>
            </w:r>
          </w:p>
        </w:tc>
        <w:tc>
          <w:tcPr>
            <w:tcW w:w="200" w:type="dxa"/>
            <w:shd w:val="clear" w:color="auto" w:fill="C0C0C0"/>
            <w:tcMar>
              <w:top w:w="60" w:type="dxa"/>
            </w:tcMar>
          </w:tcPr>
          <w:p w:rsidR="0035701C" w:rsidRDefault="00FB561B">
            <w:pPr>
              <w:jc w:val="right"/>
              <w:rPr>
                <w:b/>
                <w:sz w:val="16"/>
              </w:rPr>
            </w:pPr>
            <w:r>
              <w:rPr>
                <w:b/>
                <w:sz w:val="16"/>
              </w:rPr>
              <w:t>20 683 294,00</w:t>
            </w:r>
          </w:p>
        </w:tc>
        <w:tc>
          <w:tcPr>
            <w:tcW w:w="200" w:type="dxa"/>
            <w:shd w:val="clear" w:color="auto" w:fill="C0C0C0"/>
            <w:tcMar>
              <w:top w:w="60" w:type="dxa"/>
            </w:tcMar>
          </w:tcPr>
          <w:p w:rsidR="0035701C" w:rsidRDefault="00FB561B">
            <w:pPr>
              <w:jc w:val="right"/>
              <w:rPr>
                <w:b/>
                <w:sz w:val="16"/>
              </w:rPr>
            </w:pPr>
            <w:r>
              <w:rPr>
                <w:b/>
                <w:sz w:val="16"/>
              </w:rPr>
              <w:t>22 502 671,00</w:t>
            </w:r>
          </w:p>
        </w:tc>
        <w:tc>
          <w:tcPr>
            <w:tcW w:w="200" w:type="dxa"/>
            <w:shd w:val="clear" w:color="auto" w:fill="C0C0C0"/>
            <w:tcMar>
              <w:top w:w="60" w:type="dxa"/>
            </w:tcMar>
          </w:tcPr>
          <w:p w:rsidR="0035701C" w:rsidRDefault="00FB561B">
            <w:pPr>
              <w:jc w:val="right"/>
              <w:rPr>
                <w:b/>
                <w:sz w:val="16"/>
              </w:rPr>
            </w:pPr>
            <w:r>
              <w:rPr>
                <w:b/>
                <w:sz w:val="16"/>
              </w:rPr>
              <w:t>24 775 259,00</w:t>
            </w:r>
          </w:p>
        </w:tc>
        <w:tc>
          <w:tcPr>
            <w:tcW w:w="200" w:type="dxa"/>
            <w:shd w:val="clear" w:color="auto" w:fill="C0C0C0"/>
            <w:tcMar>
              <w:top w:w="60" w:type="dxa"/>
            </w:tcMar>
          </w:tcPr>
          <w:p w:rsidR="0035701C" w:rsidRDefault="00FB561B">
            <w:pPr>
              <w:jc w:val="right"/>
              <w:rPr>
                <w:b/>
                <w:sz w:val="16"/>
              </w:rPr>
            </w:pPr>
            <w:r>
              <w:rPr>
                <w:b/>
                <w:sz w:val="16"/>
              </w:rPr>
              <w:t>21 748 200,00</w:t>
            </w:r>
          </w:p>
        </w:tc>
        <w:tc>
          <w:tcPr>
            <w:tcW w:w="200" w:type="dxa"/>
            <w:shd w:val="clear" w:color="auto" w:fill="C0C0C0"/>
            <w:tcMar>
              <w:top w:w="60" w:type="dxa"/>
            </w:tcMar>
          </w:tcPr>
          <w:p w:rsidR="0035701C" w:rsidRDefault="00FB561B">
            <w:pPr>
              <w:jc w:val="right"/>
              <w:rPr>
                <w:b/>
                <w:sz w:val="16"/>
              </w:rPr>
            </w:pPr>
            <w:r>
              <w:rPr>
                <w:b/>
                <w:sz w:val="16"/>
              </w:rPr>
              <w:t>19 915 000,00</w:t>
            </w:r>
          </w:p>
        </w:tc>
        <w:tc>
          <w:tcPr>
            <w:tcW w:w="200" w:type="dxa"/>
            <w:shd w:val="clear" w:color="auto" w:fill="C0C0C0"/>
            <w:tcMar>
              <w:top w:w="60" w:type="dxa"/>
            </w:tcMar>
          </w:tcPr>
          <w:p w:rsidR="0035701C" w:rsidRDefault="00FB561B">
            <w:pPr>
              <w:jc w:val="right"/>
              <w:rPr>
                <w:b/>
                <w:sz w:val="16"/>
              </w:rPr>
            </w:pPr>
            <w:r>
              <w:rPr>
                <w:b/>
                <w:sz w:val="16"/>
              </w:rPr>
              <w:t>190 570 304,00</w:t>
            </w:r>
          </w:p>
        </w:tc>
      </w:tr>
      <w:tr w:rsidR="0035701C">
        <w:tc>
          <w:tcPr>
            <w:tcW w:w="200" w:type="dxa"/>
            <w:shd w:val="clear" w:color="auto" w:fill="FFFFFF"/>
            <w:tcMar>
              <w:top w:w="60" w:type="dxa"/>
            </w:tcMar>
          </w:tcPr>
          <w:p w:rsidR="0035701C" w:rsidRDefault="00FB561B">
            <w:pPr>
              <w:jc w:val="left"/>
              <w:rPr>
                <w:b/>
                <w:sz w:val="16"/>
              </w:rPr>
            </w:pPr>
            <w:r>
              <w:rPr>
                <w:b/>
                <w:sz w:val="16"/>
              </w:rPr>
              <w:t>Dont réserve de performance (article 20 du règlement (UE) nº 1303/2013)</w:t>
            </w:r>
          </w:p>
        </w:tc>
        <w:tc>
          <w:tcPr>
            <w:tcW w:w="200" w:type="dxa"/>
            <w:shd w:val="clear" w:color="auto" w:fill="FFFFFF"/>
            <w:tcMar>
              <w:top w:w="60" w:type="dxa"/>
            </w:tcMar>
          </w:tcPr>
          <w:p w:rsidR="0035701C" w:rsidRDefault="00FB561B">
            <w:pPr>
              <w:jc w:val="right"/>
              <w:rPr>
                <w:b/>
                <w:sz w:val="16"/>
              </w:rPr>
            </w:pPr>
            <w:r>
              <w:rPr>
                <w:b/>
                <w:sz w:val="16"/>
              </w:rPr>
              <w:t>0,00</w:t>
            </w:r>
          </w:p>
        </w:tc>
        <w:tc>
          <w:tcPr>
            <w:tcW w:w="200" w:type="dxa"/>
            <w:shd w:val="clear" w:color="auto" w:fill="FFFFFF"/>
            <w:tcMar>
              <w:top w:w="60" w:type="dxa"/>
            </w:tcMar>
          </w:tcPr>
          <w:p w:rsidR="0035701C" w:rsidRDefault="00FB561B">
            <w:pPr>
              <w:jc w:val="right"/>
              <w:rPr>
                <w:b/>
                <w:sz w:val="16"/>
              </w:rPr>
            </w:pPr>
            <w:r>
              <w:rPr>
                <w:b/>
                <w:sz w:val="16"/>
              </w:rPr>
              <w:t>1 702 665,00</w:t>
            </w:r>
          </w:p>
        </w:tc>
        <w:tc>
          <w:tcPr>
            <w:tcW w:w="200" w:type="dxa"/>
            <w:shd w:val="clear" w:color="auto" w:fill="FFFFFF"/>
            <w:tcMar>
              <w:top w:w="60" w:type="dxa"/>
            </w:tcMar>
          </w:tcPr>
          <w:p w:rsidR="0035701C" w:rsidRDefault="00FB561B">
            <w:pPr>
              <w:jc w:val="right"/>
              <w:rPr>
                <w:b/>
                <w:sz w:val="16"/>
              </w:rPr>
            </w:pPr>
            <w:r>
              <w:rPr>
                <w:b/>
                <w:sz w:val="16"/>
              </w:rPr>
              <w:t>1 694 325,00</w:t>
            </w:r>
          </w:p>
        </w:tc>
        <w:tc>
          <w:tcPr>
            <w:tcW w:w="200" w:type="dxa"/>
            <w:shd w:val="clear" w:color="auto" w:fill="FFFFFF"/>
            <w:tcMar>
              <w:top w:w="60" w:type="dxa"/>
            </w:tcMar>
          </w:tcPr>
          <w:p w:rsidR="0035701C" w:rsidRDefault="00FB561B">
            <w:pPr>
              <w:jc w:val="right"/>
              <w:rPr>
                <w:b/>
                <w:sz w:val="16"/>
              </w:rPr>
            </w:pPr>
            <w:r>
              <w:rPr>
                <w:b/>
                <w:sz w:val="16"/>
              </w:rPr>
              <w:t>1 151 496,00</w:t>
            </w:r>
          </w:p>
        </w:tc>
        <w:tc>
          <w:tcPr>
            <w:tcW w:w="200" w:type="dxa"/>
            <w:shd w:val="clear" w:color="auto" w:fill="FFFFFF"/>
            <w:tcMar>
              <w:top w:w="60" w:type="dxa"/>
            </w:tcMar>
          </w:tcPr>
          <w:p w:rsidR="0035701C" w:rsidRDefault="00FB561B">
            <w:pPr>
              <w:jc w:val="right"/>
              <w:rPr>
                <w:b/>
                <w:sz w:val="16"/>
              </w:rPr>
            </w:pPr>
            <w:r>
              <w:rPr>
                <w:b/>
                <w:sz w:val="16"/>
              </w:rPr>
              <w:t>1 132 482,00</w:t>
            </w:r>
          </w:p>
        </w:tc>
        <w:tc>
          <w:tcPr>
            <w:tcW w:w="200" w:type="dxa"/>
            <w:shd w:val="clear" w:color="auto" w:fill="FFFFFF"/>
            <w:tcMar>
              <w:top w:w="60" w:type="dxa"/>
            </w:tcMar>
          </w:tcPr>
          <w:p w:rsidR="0035701C" w:rsidRDefault="00FB561B">
            <w:pPr>
              <w:jc w:val="right"/>
              <w:rPr>
                <w:b/>
                <w:sz w:val="16"/>
              </w:rPr>
            </w:pPr>
            <w:r>
              <w:rPr>
                <w:b/>
                <w:sz w:val="16"/>
              </w:rPr>
              <w:t>1 132 467,00</w:t>
            </w:r>
          </w:p>
        </w:tc>
        <w:tc>
          <w:tcPr>
            <w:tcW w:w="200" w:type="dxa"/>
            <w:shd w:val="clear" w:color="auto" w:fill="FFFFFF"/>
            <w:tcMar>
              <w:top w:w="60" w:type="dxa"/>
            </w:tcMar>
          </w:tcPr>
          <w:p w:rsidR="0035701C" w:rsidRDefault="00FB561B">
            <w:pPr>
              <w:jc w:val="right"/>
              <w:rPr>
                <w:b/>
                <w:sz w:val="16"/>
              </w:rPr>
            </w:pPr>
            <w:r>
              <w:rPr>
                <w:b/>
                <w:sz w:val="16"/>
              </w:rPr>
              <w:t>1 269 840,00</w:t>
            </w:r>
          </w:p>
        </w:tc>
        <w:tc>
          <w:tcPr>
            <w:tcW w:w="200" w:type="dxa"/>
            <w:shd w:val="clear" w:color="auto" w:fill="FFFFFF"/>
            <w:tcMar>
              <w:top w:w="60" w:type="dxa"/>
            </w:tcMar>
          </w:tcPr>
          <w:p w:rsidR="0035701C" w:rsidRDefault="0035701C">
            <w:pPr>
              <w:jc w:val="right"/>
              <w:rPr>
                <w:b/>
                <w:sz w:val="16"/>
              </w:rPr>
            </w:pPr>
          </w:p>
        </w:tc>
        <w:tc>
          <w:tcPr>
            <w:tcW w:w="200" w:type="dxa"/>
            <w:shd w:val="clear" w:color="auto" w:fill="FFFFFF"/>
            <w:tcMar>
              <w:top w:w="60" w:type="dxa"/>
            </w:tcMar>
          </w:tcPr>
          <w:p w:rsidR="0035701C" w:rsidRDefault="0035701C">
            <w:pPr>
              <w:jc w:val="right"/>
              <w:rPr>
                <w:b/>
                <w:sz w:val="16"/>
              </w:rPr>
            </w:pPr>
          </w:p>
        </w:tc>
        <w:tc>
          <w:tcPr>
            <w:tcW w:w="200" w:type="dxa"/>
            <w:shd w:val="clear" w:color="auto" w:fill="FFFFFF"/>
            <w:tcMar>
              <w:top w:w="60" w:type="dxa"/>
            </w:tcMar>
          </w:tcPr>
          <w:p w:rsidR="0035701C" w:rsidRDefault="00FB561B">
            <w:pPr>
              <w:jc w:val="right"/>
              <w:rPr>
                <w:sz w:val="16"/>
              </w:rPr>
            </w:pPr>
            <w:r>
              <w:rPr>
                <w:b/>
                <w:sz w:val="16"/>
              </w:rPr>
              <w:t>8 083 275,00</w:t>
            </w:r>
          </w:p>
        </w:tc>
      </w:tr>
      <w:tr w:rsidR="0035701C">
        <w:tc>
          <w:tcPr>
            <w:tcW w:w="200" w:type="dxa"/>
            <w:shd w:val="clear" w:color="auto" w:fill="FFFFFF"/>
            <w:tcMar>
              <w:top w:w="60" w:type="dxa"/>
            </w:tcMar>
          </w:tcPr>
          <w:p w:rsidR="0035701C" w:rsidRDefault="00FB561B">
            <w:pPr>
              <w:jc w:val="left"/>
              <w:rPr>
                <w:sz w:val="16"/>
              </w:rPr>
            </w:pPr>
            <w:r>
              <w:rPr>
                <w:sz w:val="16"/>
              </w:rPr>
              <w:t xml:space="preserve">Article 59, paragraphe 4, point e bis), du règlement </w:t>
            </w:r>
            <w:r>
              <w:rPr>
                <w:sz w:val="16"/>
              </w:rPr>
              <w:t>(UE) nº 1305/2013 - Instrument de l’Union européenne pour la relance (Next Generation EU) / Opérations bénéficiant d’un financement provenant des ressources supplémentaires visées à l’article 58 bis, paragraphe 1.</w:t>
            </w:r>
          </w:p>
        </w:tc>
        <w:tc>
          <w:tcPr>
            <w:tcW w:w="200" w:type="dxa"/>
            <w:shd w:val="clear" w:color="auto" w:fill="FFFFFF"/>
            <w:tcMar>
              <w:top w:w="60" w:type="dxa"/>
            </w:tcMar>
          </w:tcPr>
          <w:p w:rsidR="0035701C" w:rsidRDefault="0035701C">
            <w:pPr>
              <w:jc w:val="right"/>
              <w:rPr>
                <w:sz w:val="16"/>
              </w:rPr>
            </w:pPr>
          </w:p>
        </w:tc>
        <w:tc>
          <w:tcPr>
            <w:tcW w:w="200" w:type="dxa"/>
            <w:shd w:val="clear" w:color="auto" w:fill="FFFFFF"/>
            <w:tcMar>
              <w:top w:w="60" w:type="dxa"/>
            </w:tcMar>
          </w:tcPr>
          <w:p w:rsidR="0035701C" w:rsidRDefault="0035701C">
            <w:pPr>
              <w:jc w:val="right"/>
              <w:rPr>
                <w:sz w:val="16"/>
              </w:rPr>
            </w:pPr>
          </w:p>
        </w:tc>
        <w:tc>
          <w:tcPr>
            <w:tcW w:w="200" w:type="dxa"/>
            <w:shd w:val="clear" w:color="auto" w:fill="FFFFFF"/>
            <w:tcMar>
              <w:top w:w="60" w:type="dxa"/>
            </w:tcMar>
          </w:tcPr>
          <w:p w:rsidR="0035701C" w:rsidRDefault="0035701C">
            <w:pPr>
              <w:jc w:val="right"/>
              <w:rPr>
                <w:sz w:val="16"/>
              </w:rPr>
            </w:pPr>
          </w:p>
        </w:tc>
        <w:tc>
          <w:tcPr>
            <w:tcW w:w="200" w:type="dxa"/>
            <w:shd w:val="clear" w:color="auto" w:fill="FFFFFF"/>
            <w:tcMar>
              <w:top w:w="60" w:type="dxa"/>
            </w:tcMar>
          </w:tcPr>
          <w:p w:rsidR="0035701C" w:rsidRDefault="0035701C">
            <w:pPr>
              <w:jc w:val="right"/>
              <w:rPr>
                <w:sz w:val="16"/>
              </w:rPr>
            </w:pPr>
          </w:p>
        </w:tc>
        <w:tc>
          <w:tcPr>
            <w:tcW w:w="200" w:type="dxa"/>
            <w:shd w:val="clear" w:color="auto" w:fill="FFFFFF"/>
            <w:tcMar>
              <w:top w:w="60" w:type="dxa"/>
            </w:tcMar>
          </w:tcPr>
          <w:p w:rsidR="0035701C" w:rsidRDefault="0035701C">
            <w:pPr>
              <w:jc w:val="right"/>
              <w:rPr>
                <w:sz w:val="16"/>
              </w:rPr>
            </w:pPr>
          </w:p>
        </w:tc>
        <w:tc>
          <w:tcPr>
            <w:tcW w:w="200" w:type="dxa"/>
            <w:shd w:val="clear" w:color="auto" w:fill="FFFFFF"/>
            <w:tcMar>
              <w:top w:w="60" w:type="dxa"/>
            </w:tcMar>
          </w:tcPr>
          <w:p w:rsidR="0035701C" w:rsidRDefault="0035701C">
            <w:pPr>
              <w:jc w:val="right"/>
              <w:rPr>
                <w:sz w:val="16"/>
              </w:rPr>
            </w:pPr>
          </w:p>
        </w:tc>
        <w:tc>
          <w:tcPr>
            <w:tcW w:w="200" w:type="dxa"/>
            <w:shd w:val="clear" w:color="auto" w:fill="FFFFFF"/>
            <w:tcMar>
              <w:top w:w="60" w:type="dxa"/>
            </w:tcMar>
          </w:tcPr>
          <w:p w:rsidR="0035701C" w:rsidRDefault="0035701C">
            <w:pPr>
              <w:jc w:val="right"/>
              <w:rPr>
                <w:sz w:val="16"/>
              </w:rPr>
            </w:pPr>
          </w:p>
        </w:tc>
        <w:tc>
          <w:tcPr>
            <w:tcW w:w="200" w:type="dxa"/>
            <w:shd w:val="clear" w:color="auto" w:fill="FFFFFF"/>
            <w:tcMar>
              <w:top w:w="60" w:type="dxa"/>
            </w:tcMar>
          </w:tcPr>
          <w:p w:rsidR="0035701C" w:rsidRDefault="00FB561B">
            <w:pPr>
              <w:jc w:val="right"/>
              <w:rPr>
                <w:sz w:val="16"/>
              </w:rPr>
            </w:pPr>
            <w:r>
              <w:rPr>
                <w:sz w:val="16"/>
              </w:rPr>
              <w:t>2 577 380,00</w:t>
            </w:r>
          </w:p>
        </w:tc>
        <w:tc>
          <w:tcPr>
            <w:tcW w:w="200" w:type="dxa"/>
            <w:shd w:val="clear" w:color="auto" w:fill="FFFFFF"/>
            <w:tcMar>
              <w:top w:w="60" w:type="dxa"/>
            </w:tcMar>
          </w:tcPr>
          <w:p w:rsidR="0035701C" w:rsidRDefault="00FB561B">
            <w:pPr>
              <w:jc w:val="right"/>
              <w:rPr>
                <w:b/>
                <w:sz w:val="16"/>
              </w:rPr>
            </w:pPr>
            <w:r>
              <w:rPr>
                <w:sz w:val="16"/>
              </w:rPr>
              <w:t>6 134 100,00</w:t>
            </w:r>
          </w:p>
        </w:tc>
        <w:tc>
          <w:tcPr>
            <w:tcW w:w="200" w:type="dxa"/>
            <w:shd w:val="clear" w:color="auto" w:fill="FFFFFF"/>
            <w:tcMar>
              <w:top w:w="60" w:type="dxa"/>
            </w:tcMar>
          </w:tcPr>
          <w:p w:rsidR="0035701C" w:rsidRDefault="00FB561B">
            <w:pPr>
              <w:jc w:val="right"/>
              <w:rPr>
                <w:b/>
                <w:sz w:val="16"/>
              </w:rPr>
            </w:pPr>
            <w:r>
              <w:rPr>
                <w:b/>
                <w:sz w:val="16"/>
              </w:rPr>
              <w:t>8 711 480</w:t>
            </w:r>
            <w:r>
              <w:rPr>
                <w:b/>
                <w:sz w:val="16"/>
              </w:rPr>
              <w:t>,00</w:t>
            </w:r>
          </w:p>
        </w:tc>
      </w:tr>
      <w:tr w:rsidR="0035701C">
        <w:tc>
          <w:tcPr>
            <w:tcW w:w="200" w:type="dxa"/>
            <w:shd w:val="clear" w:color="auto" w:fill="C0C0C0"/>
            <w:tcMar>
              <w:top w:w="60" w:type="dxa"/>
            </w:tcMar>
          </w:tcPr>
          <w:p w:rsidR="0035701C" w:rsidRDefault="00FB561B">
            <w:pPr>
              <w:jc w:val="left"/>
              <w:rPr>
                <w:b/>
                <w:sz w:val="16"/>
              </w:rPr>
            </w:pPr>
            <w:r>
              <w:rPr>
                <w:b/>
                <w:sz w:val="16"/>
              </w:rPr>
              <w:t>Total (Feader + Next Generation EU)</w:t>
            </w:r>
          </w:p>
        </w:tc>
        <w:tc>
          <w:tcPr>
            <w:tcW w:w="200" w:type="dxa"/>
            <w:shd w:val="clear" w:color="auto" w:fill="C0C0C0"/>
            <w:tcMar>
              <w:top w:w="60" w:type="dxa"/>
            </w:tcMar>
          </w:tcPr>
          <w:p w:rsidR="0035701C" w:rsidRDefault="0035701C">
            <w:pPr>
              <w:jc w:val="right"/>
              <w:rPr>
                <w:b/>
                <w:sz w:val="16"/>
              </w:rPr>
            </w:pPr>
          </w:p>
        </w:tc>
        <w:tc>
          <w:tcPr>
            <w:tcW w:w="200" w:type="dxa"/>
            <w:shd w:val="clear" w:color="auto" w:fill="C0C0C0"/>
            <w:tcMar>
              <w:top w:w="60" w:type="dxa"/>
            </w:tcMar>
          </w:tcPr>
          <w:p w:rsidR="0035701C" w:rsidRDefault="00FB561B">
            <w:pPr>
              <w:jc w:val="right"/>
              <w:rPr>
                <w:b/>
                <w:sz w:val="16"/>
              </w:rPr>
            </w:pPr>
            <w:r>
              <w:rPr>
                <w:b/>
                <w:sz w:val="16"/>
              </w:rPr>
              <w:t>29 885 714,00</w:t>
            </w:r>
          </w:p>
        </w:tc>
        <w:tc>
          <w:tcPr>
            <w:tcW w:w="200" w:type="dxa"/>
            <w:shd w:val="clear" w:color="auto" w:fill="C0C0C0"/>
            <w:tcMar>
              <w:top w:w="60" w:type="dxa"/>
            </w:tcMar>
          </w:tcPr>
          <w:p w:rsidR="0035701C" w:rsidRDefault="00FB561B">
            <w:pPr>
              <w:jc w:val="right"/>
              <w:rPr>
                <w:b/>
                <w:sz w:val="16"/>
              </w:rPr>
            </w:pPr>
            <w:r>
              <w:rPr>
                <w:b/>
                <w:sz w:val="16"/>
              </w:rPr>
              <w:t>30 046 251,00</w:t>
            </w:r>
          </w:p>
        </w:tc>
        <w:tc>
          <w:tcPr>
            <w:tcW w:w="200" w:type="dxa"/>
            <w:shd w:val="clear" w:color="auto" w:fill="C0C0C0"/>
            <w:tcMar>
              <w:top w:w="60" w:type="dxa"/>
            </w:tcMar>
          </w:tcPr>
          <w:p w:rsidR="0035701C" w:rsidRDefault="00FB561B">
            <w:pPr>
              <w:jc w:val="right"/>
              <w:rPr>
                <w:b/>
                <w:sz w:val="16"/>
              </w:rPr>
            </w:pPr>
            <w:r>
              <w:rPr>
                <w:b/>
                <w:sz w:val="16"/>
              </w:rPr>
              <w:t>21 013 915,00</w:t>
            </w:r>
          </w:p>
        </w:tc>
        <w:tc>
          <w:tcPr>
            <w:tcW w:w="200" w:type="dxa"/>
            <w:shd w:val="clear" w:color="auto" w:fill="C0C0C0"/>
            <w:tcMar>
              <w:top w:w="60" w:type="dxa"/>
            </w:tcMar>
          </w:tcPr>
          <w:p w:rsidR="0035701C" w:rsidRDefault="00FB561B">
            <w:pPr>
              <w:jc w:val="right"/>
              <w:rPr>
                <w:b/>
                <w:sz w:val="16"/>
              </w:rPr>
            </w:pPr>
            <w:r>
              <w:rPr>
                <w:b/>
                <w:sz w:val="16"/>
              </w:rPr>
              <w:t>20 683 294,00</w:t>
            </w:r>
          </w:p>
        </w:tc>
        <w:tc>
          <w:tcPr>
            <w:tcW w:w="200" w:type="dxa"/>
            <w:shd w:val="clear" w:color="auto" w:fill="C0C0C0"/>
            <w:tcMar>
              <w:top w:w="60" w:type="dxa"/>
            </w:tcMar>
          </w:tcPr>
          <w:p w:rsidR="0035701C" w:rsidRDefault="00FB561B">
            <w:pPr>
              <w:jc w:val="right"/>
              <w:rPr>
                <w:b/>
                <w:sz w:val="16"/>
              </w:rPr>
            </w:pPr>
            <w:r>
              <w:rPr>
                <w:b/>
                <w:sz w:val="16"/>
              </w:rPr>
              <w:t>22 502 671,00</w:t>
            </w:r>
          </w:p>
        </w:tc>
        <w:tc>
          <w:tcPr>
            <w:tcW w:w="200" w:type="dxa"/>
            <w:shd w:val="clear" w:color="auto" w:fill="C0C0C0"/>
            <w:tcMar>
              <w:top w:w="60" w:type="dxa"/>
            </w:tcMar>
          </w:tcPr>
          <w:p w:rsidR="0035701C" w:rsidRDefault="00FB561B">
            <w:pPr>
              <w:jc w:val="right"/>
              <w:rPr>
                <w:b/>
                <w:sz w:val="16"/>
              </w:rPr>
            </w:pPr>
            <w:r>
              <w:rPr>
                <w:b/>
                <w:sz w:val="16"/>
              </w:rPr>
              <w:t>24 775 259,00</w:t>
            </w:r>
          </w:p>
        </w:tc>
        <w:tc>
          <w:tcPr>
            <w:tcW w:w="200" w:type="dxa"/>
            <w:shd w:val="clear" w:color="auto" w:fill="C0C0C0"/>
            <w:tcMar>
              <w:top w:w="60" w:type="dxa"/>
            </w:tcMar>
          </w:tcPr>
          <w:p w:rsidR="0035701C" w:rsidRDefault="00FB561B">
            <w:pPr>
              <w:jc w:val="right"/>
              <w:rPr>
                <w:b/>
                <w:sz w:val="16"/>
              </w:rPr>
            </w:pPr>
            <w:r>
              <w:rPr>
                <w:b/>
                <w:sz w:val="16"/>
              </w:rPr>
              <w:t>24 325 580,00</w:t>
            </w:r>
          </w:p>
        </w:tc>
        <w:tc>
          <w:tcPr>
            <w:tcW w:w="200" w:type="dxa"/>
            <w:shd w:val="clear" w:color="auto" w:fill="C0C0C0"/>
            <w:tcMar>
              <w:top w:w="60" w:type="dxa"/>
            </w:tcMar>
          </w:tcPr>
          <w:p w:rsidR="0035701C" w:rsidRDefault="00FB561B">
            <w:pPr>
              <w:jc w:val="right"/>
              <w:rPr>
                <w:b/>
                <w:sz w:val="16"/>
              </w:rPr>
            </w:pPr>
            <w:r>
              <w:rPr>
                <w:b/>
                <w:sz w:val="16"/>
              </w:rPr>
              <w:t>26 049 100,00</w:t>
            </w:r>
          </w:p>
        </w:tc>
        <w:tc>
          <w:tcPr>
            <w:tcW w:w="200" w:type="dxa"/>
            <w:shd w:val="clear" w:color="auto" w:fill="C0C0C0"/>
            <w:tcMar>
              <w:top w:w="60" w:type="dxa"/>
            </w:tcMar>
          </w:tcPr>
          <w:p w:rsidR="0035701C" w:rsidRDefault="00FB561B">
            <w:pPr>
              <w:jc w:val="right"/>
              <w:rPr>
                <w:sz w:val="16"/>
              </w:rPr>
            </w:pPr>
            <w:r>
              <w:rPr>
                <w:b/>
                <w:sz w:val="16"/>
              </w:rPr>
              <w:t>199 281 784,00</w:t>
            </w:r>
          </w:p>
        </w:tc>
      </w:tr>
    </w:tbl>
    <w:p w:rsidR="0035701C" w:rsidRDefault="0035701C">
      <w:pP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
        <w:gridCol w:w="200"/>
        <w:gridCol w:w="200"/>
        <w:gridCol w:w="200"/>
      </w:tblGrid>
      <w:tr w:rsidR="0035701C">
        <w:tc>
          <w:tcPr>
            <w:tcW w:w="1900" w:type="pct"/>
            <w:shd w:val="clear" w:color="auto" w:fill="C0C0C0"/>
            <w:tcMar>
              <w:top w:w="60" w:type="dxa"/>
            </w:tcMar>
          </w:tcPr>
          <w:p w:rsidR="0035701C" w:rsidRDefault="00FB561B">
            <w:pPr>
              <w:jc w:val="left"/>
              <w:rPr>
                <w:b/>
                <w:sz w:val="16"/>
              </w:rPr>
            </w:pPr>
            <w:r>
              <w:rPr>
                <w:b/>
                <w:sz w:val="16"/>
              </w:rPr>
              <w:t xml:space="preserve">Total indicative amount for EAFRD and EURI of support envisaged for climate change </w:t>
            </w:r>
            <w:r>
              <w:rPr>
                <w:b/>
                <w:sz w:val="16"/>
              </w:rPr>
              <w:t>objectives</w:t>
            </w:r>
          </w:p>
        </w:tc>
        <w:tc>
          <w:tcPr>
            <w:tcW w:w="600" w:type="pct"/>
            <w:shd w:val="clear" w:color="auto" w:fill="FFFFFF"/>
            <w:tcMar>
              <w:top w:w="60" w:type="dxa"/>
            </w:tcMar>
          </w:tcPr>
          <w:p w:rsidR="0035701C" w:rsidRDefault="00FB561B">
            <w:pPr>
              <w:jc w:val="right"/>
              <w:rPr>
                <w:sz w:val="16"/>
              </w:rPr>
            </w:pPr>
            <w:r>
              <w:rPr>
                <w:b/>
                <w:sz w:val="16"/>
              </w:rPr>
              <w:t>136 751 740,50</w:t>
            </w:r>
          </w:p>
        </w:tc>
        <w:tc>
          <w:tcPr>
            <w:tcW w:w="1900" w:type="pct"/>
            <w:shd w:val="clear" w:color="auto" w:fill="C0C0C0"/>
            <w:tcMar>
              <w:top w:w="60" w:type="dxa"/>
            </w:tcMar>
          </w:tcPr>
          <w:p w:rsidR="0035701C" w:rsidRDefault="00FB561B">
            <w:pPr>
              <w:jc w:val="left"/>
              <w:rPr>
                <w:b/>
                <w:sz w:val="16"/>
              </w:rPr>
            </w:pPr>
            <w:r>
              <w:rPr>
                <w:sz w:val="16"/>
              </w:rPr>
              <w:t>Share of the total indicative amount for EAFRD and EURI of support envisaged for climate change objectives (%)</w:t>
            </w:r>
          </w:p>
        </w:tc>
        <w:tc>
          <w:tcPr>
            <w:tcW w:w="600" w:type="pct"/>
            <w:shd w:val="clear" w:color="auto" w:fill="FFFFFF"/>
            <w:tcMar>
              <w:top w:w="60" w:type="dxa"/>
            </w:tcMar>
          </w:tcPr>
          <w:p w:rsidR="0035701C" w:rsidRDefault="00FB561B">
            <w:pPr>
              <w:jc w:val="right"/>
              <w:rPr>
                <w:sz w:val="16"/>
              </w:rPr>
            </w:pPr>
            <w:r>
              <w:rPr>
                <w:b/>
                <w:sz w:val="16"/>
              </w:rPr>
              <w:t>68,62</w:t>
            </w:r>
          </w:p>
        </w:tc>
      </w:tr>
      <w:tr w:rsidR="0035701C">
        <w:tc>
          <w:tcPr>
            <w:tcW w:w="1900" w:type="pct"/>
            <w:shd w:val="clear" w:color="auto" w:fill="C0C0C0"/>
            <w:tcMar>
              <w:top w:w="60" w:type="dxa"/>
            </w:tcMar>
          </w:tcPr>
          <w:p w:rsidR="0035701C" w:rsidRDefault="00FB561B">
            <w:pPr>
              <w:jc w:val="left"/>
              <w:rPr>
                <w:b/>
                <w:sz w:val="16"/>
              </w:rPr>
            </w:pPr>
            <w:r>
              <w:rPr>
                <w:b/>
                <w:sz w:val="16"/>
              </w:rPr>
              <w:t>Total indicative amount, for EAFRD, of support envisaged for climate change objectives</w:t>
            </w:r>
          </w:p>
        </w:tc>
        <w:tc>
          <w:tcPr>
            <w:tcW w:w="600" w:type="pct"/>
            <w:shd w:val="clear" w:color="auto" w:fill="FFFFFF"/>
            <w:tcMar>
              <w:top w:w="60" w:type="dxa"/>
            </w:tcMar>
          </w:tcPr>
          <w:p w:rsidR="0035701C" w:rsidRDefault="00FB561B">
            <w:pPr>
              <w:jc w:val="right"/>
              <w:rPr>
                <w:sz w:val="16"/>
              </w:rPr>
            </w:pPr>
            <w:r>
              <w:rPr>
                <w:b/>
                <w:sz w:val="16"/>
              </w:rPr>
              <w:t>132 831 740,50</w:t>
            </w:r>
          </w:p>
        </w:tc>
        <w:tc>
          <w:tcPr>
            <w:tcW w:w="1900" w:type="pct"/>
            <w:shd w:val="clear" w:color="auto" w:fill="C0C0C0"/>
            <w:tcMar>
              <w:top w:w="60" w:type="dxa"/>
            </w:tcMar>
          </w:tcPr>
          <w:p w:rsidR="0035701C" w:rsidRDefault="00FB561B">
            <w:pPr>
              <w:jc w:val="left"/>
              <w:rPr>
                <w:b/>
                <w:sz w:val="16"/>
              </w:rPr>
            </w:pPr>
            <w:r>
              <w:rPr>
                <w:sz w:val="16"/>
              </w:rPr>
              <w:t xml:space="preserve">Share of </w:t>
            </w:r>
            <w:r>
              <w:rPr>
                <w:sz w:val="16"/>
              </w:rPr>
              <w:t>the total indicative amount, for EAFRD, of support envisaged for climate change objectives (%)</w:t>
            </w:r>
          </w:p>
        </w:tc>
        <w:tc>
          <w:tcPr>
            <w:tcW w:w="600" w:type="pct"/>
            <w:shd w:val="clear" w:color="auto" w:fill="FFFFFF"/>
            <w:tcMar>
              <w:top w:w="60" w:type="dxa"/>
            </w:tcMar>
          </w:tcPr>
          <w:p w:rsidR="0035701C" w:rsidRDefault="00FB561B">
            <w:pPr>
              <w:jc w:val="right"/>
              <w:rPr>
                <w:sz w:val="16"/>
              </w:rPr>
            </w:pPr>
            <w:r>
              <w:rPr>
                <w:b/>
                <w:sz w:val="16"/>
              </w:rPr>
              <w:t>69,70</w:t>
            </w:r>
          </w:p>
        </w:tc>
      </w:tr>
      <w:tr w:rsidR="0035701C">
        <w:tc>
          <w:tcPr>
            <w:tcW w:w="1900" w:type="pct"/>
            <w:shd w:val="clear" w:color="auto" w:fill="C0C0C0"/>
            <w:tcMar>
              <w:top w:w="60" w:type="dxa"/>
            </w:tcMar>
          </w:tcPr>
          <w:p w:rsidR="0035701C" w:rsidRDefault="00FB561B">
            <w:pPr>
              <w:jc w:val="left"/>
              <w:rPr>
                <w:b/>
                <w:sz w:val="16"/>
              </w:rPr>
            </w:pPr>
            <w:r>
              <w:rPr>
                <w:b/>
                <w:sz w:val="16"/>
              </w:rPr>
              <w:t>Total indicative amount, for EURI, of support envisaged for climate change objectives</w:t>
            </w:r>
          </w:p>
        </w:tc>
        <w:tc>
          <w:tcPr>
            <w:tcW w:w="600" w:type="pct"/>
            <w:shd w:val="clear" w:color="auto" w:fill="FFFFFF"/>
            <w:tcMar>
              <w:top w:w="60" w:type="dxa"/>
            </w:tcMar>
          </w:tcPr>
          <w:p w:rsidR="0035701C" w:rsidRDefault="00FB561B">
            <w:pPr>
              <w:jc w:val="right"/>
              <w:rPr>
                <w:sz w:val="16"/>
              </w:rPr>
            </w:pPr>
            <w:r>
              <w:rPr>
                <w:b/>
                <w:sz w:val="16"/>
              </w:rPr>
              <w:t>3 920 000,00</w:t>
            </w:r>
          </w:p>
        </w:tc>
        <w:tc>
          <w:tcPr>
            <w:tcW w:w="1900" w:type="pct"/>
            <w:shd w:val="clear" w:color="auto" w:fill="C0C0C0"/>
            <w:tcMar>
              <w:top w:w="60" w:type="dxa"/>
            </w:tcMar>
          </w:tcPr>
          <w:p w:rsidR="0035701C" w:rsidRDefault="00FB561B">
            <w:pPr>
              <w:jc w:val="left"/>
              <w:rPr>
                <w:b/>
                <w:sz w:val="16"/>
              </w:rPr>
            </w:pPr>
            <w:r>
              <w:rPr>
                <w:sz w:val="16"/>
              </w:rPr>
              <w:t xml:space="preserve">Share of total indicative amount, for EURI, of support </w:t>
            </w:r>
            <w:r>
              <w:rPr>
                <w:sz w:val="16"/>
              </w:rPr>
              <w:t>envisaged for climate change objectives (%)</w:t>
            </w:r>
          </w:p>
        </w:tc>
        <w:tc>
          <w:tcPr>
            <w:tcW w:w="600" w:type="pct"/>
            <w:shd w:val="clear" w:color="auto" w:fill="FFFFFF"/>
            <w:tcMar>
              <w:top w:w="60" w:type="dxa"/>
            </w:tcMar>
          </w:tcPr>
          <w:p w:rsidR="0035701C" w:rsidRDefault="00FB561B">
            <w:pPr>
              <w:jc w:val="right"/>
              <w:rPr>
                <w:sz w:val="16"/>
              </w:rPr>
            </w:pPr>
            <w:r>
              <w:rPr>
                <w:b/>
                <w:sz w:val="16"/>
              </w:rPr>
              <w:t>45,00</w:t>
            </w:r>
          </w:p>
        </w:tc>
      </w:tr>
    </w:tbl>
    <w:p w:rsidR="0035701C" w:rsidRDefault="0035701C">
      <w:pP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
        <w:gridCol w:w="200"/>
        <w:gridCol w:w="200"/>
        <w:gridCol w:w="200"/>
      </w:tblGrid>
      <w:tr w:rsidR="0035701C">
        <w:tc>
          <w:tcPr>
            <w:tcW w:w="1900" w:type="pct"/>
            <w:shd w:val="clear" w:color="auto" w:fill="C0C0C0"/>
            <w:tcMar>
              <w:top w:w="60" w:type="dxa"/>
            </w:tcMar>
          </w:tcPr>
          <w:p w:rsidR="0035701C" w:rsidRDefault="00FB561B">
            <w:pPr>
              <w:jc w:val="left"/>
              <w:rPr>
                <w:b/>
                <w:sz w:val="16"/>
              </w:rPr>
            </w:pPr>
            <w:r>
              <w:rPr>
                <w:b/>
                <w:sz w:val="16"/>
              </w:rPr>
              <w:t>EAFRD and EURI contribution for Art59(6)</w:t>
            </w:r>
          </w:p>
        </w:tc>
        <w:tc>
          <w:tcPr>
            <w:tcW w:w="600" w:type="pct"/>
            <w:shd w:val="clear" w:color="auto" w:fill="FFFFFF"/>
            <w:tcMar>
              <w:top w:w="60" w:type="dxa"/>
            </w:tcMar>
          </w:tcPr>
          <w:p w:rsidR="0035701C" w:rsidRDefault="00FB561B">
            <w:pPr>
              <w:jc w:val="right"/>
              <w:rPr>
                <w:sz w:val="16"/>
              </w:rPr>
            </w:pPr>
            <w:r>
              <w:rPr>
                <w:b/>
                <w:sz w:val="16"/>
              </w:rPr>
              <w:t>126 124 720,50</w:t>
            </w:r>
          </w:p>
        </w:tc>
        <w:tc>
          <w:tcPr>
            <w:tcW w:w="1900" w:type="pct"/>
            <w:shd w:val="clear" w:color="auto" w:fill="C0C0C0"/>
            <w:tcMar>
              <w:top w:w="60" w:type="dxa"/>
            </w:tcMar>
          </w:tcPr>
          <w:p w:rsidR="0035701C" w:rsidRDefault="00FB561B">
            <w:pPr>
              <w:jc w:val="left"/>
              <w:rPr>
                <w:b/>
                <w:sz w:val="16"/>
              </w:rPr>
            </w:pPr>
            <w:r>
              <w:rPr>
                <w:sz w:val="16"/>
              </w:rPr>
              <w:t>Share of EAFRD and EURI contribution for Art59(6) (%)</w:t>
            </w:r>
          </w:p>
        </w:tc>
        <w:tc>
          <w:tcPr>
            <w:tcW w:w="600" w:type="pct"/>
            <w:shd w:val="clear" w:color="auto" w:fill="FFFFFF"/>
            <w:tcMar>
              <w:top w:w="60" w:type="dxa"/>
            </w:tcMar>
          </w:tcPr>
          <w:p w:rsidR="0035701C" w:rsidRDefault="00FB561B">
            <w:pPr>
              <w:jc w:val="right"/>
              <w:rPr>
                <w:sz w:val="16"/>
              </w:rPr>
            </w:pPr>
            <w:r>
              <w:rPr>
                <w:b/>
                <w:sz w:val="16"/>
              </w:rPr>
              <w:t>63,29</w:t>
            </w:r>
          </w:p>
        </w:tc>
      </w:tr>
      <w:tr w:rsidR="0035701C">
        <w:tc>
          <w:tcPr>
            <w:tcW w:w="1900" w:type="pct"/>
            <w:shd w:val="clear" w:color="auto" w:fill="C0C0C0"/>
            <w:tcMar>
              <w:top w:w="60" w:type="dxa"/>
            </w:tcMar>
          </w:tcPr>
          <w:p w:rsidR="0035701C" w:rsidRDefault="00FB561B">
            <w:pPr>
              <w:jc w:val="left"/>
              <w:rPr>
                <w:b/>
                <w:sz w:val="16"/>
              </w:rPr>
            </w:pPr>
            <w:r>
              <w:rPr>
                <w:b/>
                <w:sz w:val="16"/>
              </w:rPr>
              <w:t>Total EAFRD contribution for Art59(6)</w:t>
            </w:r>
          </w:p>
        </w:tc>
        <w:tc>
          <w:tcPr>
            <w:tcW w:w="600" w:type="pct"/>
            <w:shd w:val="clear" w:color="auto" w:fill="FFFFFF"/>
            <w:tcMar>
              <w:top w:w="60" w:type="dxa"/>
            </w:tcMar>
          </w:tcPr>
          <w:p w:rsidR="0035701C" w:rsidRDefault="00FB561B">
            <w:pPr>
              <w:jc w:val="right"/>
              <w:rPr>
                <w:sz w:val="16"/>
              </w:rPr>
            </w:pPr>
            <w:r>
              <w:rPr>
                <w:b/>
                <w:sz w:val="16"/>
              </w:rPr>
              <w:t>122 204 720,50</w:t>
            </w:r>
          </w:p>
        </w:tc>
        <w:tc>
          <w:tcPr>
            <w:tcW w:w="1900" w:type="pct"/>
            <w:shd w:val="clear" w:color="auto" w:fill="C0C0C0"/>
            <w:tcMar>
              <w:top w:w="60" w:type="dxa"/>
            </w:tcMar>
          </w:tcPr>
          <w:p w:rsidR="0035701C" w:rsidRDefault="00FB561B">
            <w:pPr>
              <w:jc w:val="left"/>
              <w:rPr>
                <w:b/>
                <w:sz w:val="16"/>
              </w:rPr>
            </w:pPr>
            <w:r>
              <w:rPr>
                <w:sz w:val="16"/>
              </w:rPr>
              <w:t xml:space="preserve">Share of total EAFRD contribution </w:t>
            </w:r>
            <w:r>
              <w:rPr>
                <w:sz w:val="16"/>
              </w:rPr>
              <w:t>for Art59(6) (%)</w:t>
            </w:r>
          </w:p>
        </w:tc>
        <w:tc>
          <w:tcPr>
            <w:tcW w:w="600" w:type="pct"/>
            <w:shd w:val="clear" w:color="auto" w:fill="FFFFFF"/>
            <w:tcMar>
              <w:top w:w="60" w:type="dxa"/>
            </w:tcMar>
          </w:tcPr>
          <w:p w:rsidR="0035701C" w:rsidRDefault="00FB561B">
            <w:pPr>
              <w:jc w:val="right"/>
              <w:rPr>
                <w:sz w:val="16"/>
              </w:rPr>
            </w:pPr>
            <w:r>
              <w:rPr>
                <w:b/>
                <w:sz w:val="16"/>
              </w:rPr>
              <w:t>63.86</w:t>
            </w:r>
          </w:p>
        </w:tc>
      </w:tr>
      <w:tr w:rsidR="0035701C">
        <w:tc>
          <w:tcPr>
            <w:tcW w:w="1900" w:type="pct"/>
            <w:shd w:val="clear" w:color="auto" w:fill="C0C0C0"/>
            <w:tcMar>
              <w:top w:w="60" w:type="dxa"/>
            </w:tcMar>
          </w:tcPr>
          <w:p w:rsidR="0035701C" w:rsidRDefault="00FB561B">
            <w:pPr>
              <w:jc w:val="left"/>
              <w:rPr>
                <w:b/>
                <w:sz w:val="16"/>
              </w:rPr>
            </w:pPr>
            <w:r>
              <w:rPr>
                <w:b/>
                <w:sz w:val="16"/>
              </w:rPr>
              <w:t>Total EURI contribution for Art59(6)</w:t>
            </w:r>
          </w:p>
        </w:tc>
        <w:tc>
          <w:tcPr>
            <w:tcW w:w="600" w:type="pct"/>
            <w:shd w:val="clear" w:color="auto" w:fill="FFFFFF"/>
            <w:tcMar>
              <w:top w:w="60" w:type="dxa"/>
            </w:tcMar>
          </w:tcPr>
          <w:p w:rsidR="0035701C" w:rsidRDefault="00FB561B">
            <w:pPr>
              <w:jc w:val="right"/>
              <w:rPr>
                <w:sz w:val="16"/>
              </w:rPr>
            </w:pPr>
            <w:r>
              <w:rPr>
                <w:b/>
                <w:sz w:val="16"/>
              </w:rPr>
              <w:t>3 920 000,00</w:t>
            </w:r>
          </w:p>
        </w:tc>
        <w:tc>
          <w:tcPr>
            <w:tcW w:w="1900" w:type="pct"/>
            <w:shd w:val="clear" w:color="auto" w:fill="C0C0C0"/>
            <w:tcMar>
              <w:top w:w="60" w:type="dxa"/>
            </w:tcMar>
          </w:tcPr>
          <w:p w:rsidR="0035701C" w:rsidRDefault="00FB561B">
            <w:pPr>
              <w:jc w:val="left"/>
              <w:rPr>
                <w:b/>
                <w:sz w:val="16"/>
              </w:rPr>
            </w:pPr>
            <w:r>
              <w:rPr>
                <w:sz w:val="16"/>
              </w:rPr>
              <w:t>Share of total EURI contribution for Art59(6) (%)</w:t>
            </w:r>
          </w:p>
        </w:tc>
        <w:tc>
          <w:tcPr>
            <w:tcW w:w="600" w:type="pct"/>
            <w:shd w:val="clear" w:color="auto" w:fill="FFFFFF"/>
            <w:tcMar>
              <w:top w:w="60" w:type="dxa"/>
            </w:tcMar>
          </w:tcPr>
          <w:p w:rsidR="0035701C" w:rsidRDefault="00FB561B">
            <w:pPr>
              <w:jc w:val="right"/>
              <w:rPr>
                <w:sz w:val="16"/>
              </w:rPr>
            </w:pPr>
            <w:r>
              <w:rPr>
                <w:b/>
                <w:sz w:val="16"/>
              </w:rPr>
              <w:t>45,00</w:t>
            </w:r>
          </w:p>
        </w:tc>
      </w:tr>
    </w:tbl>
    <w:p w:rsidR="0035701C" w:rsidRDefault="0035701C">
      <w:pPr>
        <w:rPr>
          <w:b/>
        </w:rPr>
      </w:pPr>
    </w:p>
    <w:p w:rsidR="0035701C" w:rsidRDefault="0035701C">
      <w:pP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
        <w:gridCol w:w="200"/>
      </w:tblGrid>
      <w:tr w:rsidR="0035701C">
        <w:tc>
          <w:tcPr>
            <w:tcW w:w="3750" w:type="pct"/>
            <w:shd w:val="clear" w:color="auto" w:fill="C0C0C0"/>
            <w:tcMar>
              <w:top w:w="60" w:type="dxa"/>
            </w:tcMar>
          </w:tcPr>
          <w:p w:rsidR="0035701C" w:rsidRDefault="00FB561B">
            <w:pPr>
              <w:jc w:val="left"/>
              <w:rPr>
                <w:b/>
                <w:sz w:val="16"/>
              </w:rPr>
            </w:pPr>
            <w:r>
              <w:rPr>
                <w:b/>
                <w:sz w:val="16"/>
              </w:rPr>
              <w:t>Part d’AT déclarée dans le RRN</w:t>
            </w:r>
          </w:p>
        </w:tc>
        <w:tc>
          <w:tcPr>
            <w:tcW w:w="1250" w:type="pct"/>
            <w:shd w:val="clear" w:color="auto" w:fill="FFFFFF"/>
            <w:tcMar>
              <w:top w:w="60" w:type="dxa"/>
            </w:tcMar>
          </w:tcPr>
          <w:p w:rsidR="0035701C" w:rsidRDefault="00FB561B">
            <w:pPr>
              <w:jc w:val="right"/>
              <w:rPr>
                <w:sz w:val="16"/>
              </w:rPr>
            </w:pPr>
            <w:r>
              <w:rPr>
                <w:b/>
                <w:sz w:val="16"/>
              </w:rPr>
              <w:t>408 083,00</w:t>
            </w:r>
          </w:p>
        </w:tc>
      </w:tr>
    </w:tbl>
    <w:p w:rsidR="0035701C" w:rsidRDefault="0035701C">
      <w:pPr>
        <w:rPr>
          <w:b/>
        </w:rPr>
        <w:sectPr w:rsidR="0035701C">
          <w:pgSz w:w="15840" w:h="12240" w:orient="landscape"/>
          <w:pgMar w:top="900" w:right="900" w:bottom="900" w:left="900" w:header="720" w:footer="720" w:gutter="0"/>
          <w:cols w:space="720"/>
        </w:sectPr>
      </w:pPr>
    </w:p>
    <w:p w:rsidR="0035701C" w:rsidRDefault="00FB561B">
      <w:pPr>
        <w:pStyle w:val="Titre2"/>
      </w:pPr>
      <w:r>
        <w:t xml:space="preserve"> </w:t>
      </w:r>
      <w:bookmarkStart w:id="123" w:name="_Toc256000122"/>
      <w:r>
        <w:t xml:space="preserve">Taux unique de participation du Feader applicable à l'ensemble </w:t>
      </w:r>
      <w:r>
        <w:t>des mesures réparties par type de région visées à l'article 59, paragraphe 3, du règlement (UE) n° 1305/2013</w:t>
      </w:r>
      <w:bookmarkEnd w:id="1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gridCol w:w="2400"/>
        <w:gridCol w:w="2400"/>
      </w:tblGrid>
      <w:tr w:rsidR="0035701C">
        <w:tc>
          <w:tcPr>
            <w:tcW w:w="3500" w:type="pct"/>
            <w:shd w:val="clear" w:color="auto" w:fill="C0C0C0"/>
            <w:tcMar>
              <w:top w:w="60" w:type="dxa"/>
            </w:tcMar>
          </w:tcPr>
          <w:p w:rsidR="0035701C" w:rsidRDefault="00FB561B">
            <w:pPr>
              <w:jc w:val="center"/>
              <w:rPr>
                <w:b/>
                <w:sz w:val="20"/>
              </w:rPr>
            </w:pPr>
            <w:r>
              <w:rPr>
                <w:b/>
                <w:sz w:val="20"/>
              </w:rPr>
              <w:t>Article établissant le taux de participation maximal.</w:t>
            </w:r>
          </w:p>
        </w:tc>
        <w:tc>
          <w:tcPr>
            <w:tcW w:w="500" w:type="pct"/>
            <w:shd w:val="clear" w:color="auto" w:fill="C0C0C0"/>
            <w:tcMar>
              <w:top w:w="60" w:type="dxa"/>
            </w:tcMar>
          </w:tcPr>
          <w:p w:rsidR="0035701C" w:rsidRDefault="00FB561B">
            <w:pPr>
              <w:jc w:val="center"/>
              <w:rPr>
                <w:b/>
                <w:sz w:val="20"/>
              </w:rPr>
            </w:pPr>
            <w:r>
              <w:rPr>
                <w:b/>
                <w:sz w:val="20"/>
              </w:rPr>
              <w:t xml:space="preserve">Taux de participation applicable du Feader  </w:t>
            </w:r>
          </w:p>
        </w:tc>
        <w:tc>
          <w:tcPr>
            <w:tcW w:w="500" w:type="pct"/>
            <w:shd w:val="clear" w:color="auto" w:fill="C0C0C0"/>
            <w:tcMar>
              <w:top w:w="60" w:type="dxa"/>
            </w:tcMar>
          </w:tcPr>
          <w:p w:rsidR="0035701C" w:rsidRDefault="00FB561B">
            <w:pPr>
              <w:jc w:val="center"/>
              <w:rPr>
                <w:b/>
                <w:sz w:val="20"/>
              </w:rPr>
            </w:pPr>
            <w:r>
              <w:rPr>
                <w:b/>
                <w:sz w:val="20"/>
              </w:rPr>
              <w:t>Taux minimal de participation du Feader applicab</w:t>
            </w:r>
            <w:r>
              <w:rPr>
                <w:b/>
                <w:sz w:val="20"/>
              </w:rPr>
              <w:t>le 2014-2022 (en %)</w:t>
            </w:r>
          </w:p>
        </w:tc>
        <w:tc>
          <w:tcPr>
            <w:tcW w:w="500" w:type="pct"/>
            <w:shd w:val="clear" w:color="auto" w:fill="C0C0C0"/>
            <w:tcMar>
              <w:top w:w="60" w:type="dxa"/>
            </w:tcMar>
          </w:tcPr>
          <w:p w:rsidR="0035701C" w:rsidRDefault="00FB561B">
            <w:pPr>
              <w:jc w:val="center"/>
              <w:rPr>
                <w:sz w:val="20"/>
              </w:rPr>
            </w:pPr>
            <w:r>
              <w:rPr>
                <w:b/>
                <w:sz w:val="20"/>
              </w:rPr>
              <w:t>Taux maximal de participation du Feader applicable 2014-2022 (en %)</w:t>
            </w:r>
          </w:p>
        </w:tc>
      </w:tr>
      <w:tr w:rsidR="0035701C">
        <w:tc>
          <w:tcPr>
            <w:tcW w:w="3500" w:type="pct"/>
            <w:shd w:val="clear" w:color="auto" w:fill="FFFFFF"/>
            <w:tcMar>
              <w:top w:w="60" w:type="dxa"/>
            </w:tcMar>
          </w:tcPr>
          <w:p w:rsidR="0035701C" w:rsidRDefault="00FB561B">
            <w:pPr>
              <w:jc w:val="left"/>
              <w:rPr>
                <w:sz w:val="16"/>
              </w:rPr>
            </w:pPr>
            <w:r>
              <w:rPr>
                <w:sz w:val="16"/>
              </w:rPr>
              <w:t>Article 59, paragraphe 3, point c), du règlement (UE) n° 1305/2013 - Régions en transition autres que celles visées à l’article 59, paragraphe 3, point b)</w:t>
            </w:r>
          </w:p>
        </w:tc>
        <w:tc>
          <w:tcPr>
            <w:tcW w:w="500" w:type="pct"/>
            <w:shd w:val="clear" w:color="auto" w:fill="FFFFFF"/>
            <w:tcMar>
              <w:top w:w="60" w:type="dxa"/>
            </w:tcMar>
          </w:tcPr>
          <w:p w:rsidR="0035701C" w:rsidRDefault="00FB561B">
            <w:pPr>
              <w:jc w:val="right"/>
              <w:rPr>
                <w:sz w:val="16"/>
              </w:rPr>
            </w:pPr>
            <w:r>
              <w:rPr>
                <w:sz w:val="16"/>
              </w:rPr>
              <w:t>50%</w:t>
            </w:r>
          </w:p>
        </w:tc>
        <w:tc>
          <w:tcPr>
            <w:tcW w:w="500" w:type="pct"/>
            <w:shd w:val="clear" w:color="auto" w:fill="FFFFFF"/>
            <w:tcMar>
              <w:top w:w="60" w:type="dxa"/>
            </w:tcMar>
          </w:tcPr>
          <w:p w:rsidR="0035701C" w:rsidRDefault="00FB561B">
            <w:pPr>
              <w:jc w:val="right"/>
              <w:rPr>
                <w:sz w:val="16"/>
              </w:rPr>
            </w:pPr>
            <w:r>
              <w:rPr>
                <w:sz w:val="16"/>
              </w:rPr>
              <w:t>20%</w:t>
            </w:r>
          </w:p>
        </w:tc>
        <w:tc>
          <w:tcPr>
            <w:tcW w:w="500" w:type="pct"/>
            <w:shd w:val="clear" w:color="auto" w:fill="FFFFFF"/>
            <w:tcMar>
              <w:top w:w="60" w:type="dxa"/>
            </w:tcMar>
          </w:tcPr>
          <w:p w:rsidR="0035701C" w:rsidRDefault="00FB561B">
            <w:pPr>
              <w:jc w:val="right"/>
              <w:rPr>
                <w:sz w:val="16"/>
              </w:rPr>
            </w:pPr>
            <w:r>
              <w:rPr>
                <w:sz w:val="16"/>
              </w:rPr>
              <w:t>63%</w:t>
            </w:r>
          </w:p>
        </w:tc>
      </w:tr>
    </w:tbl>
    <w:p w:rsidR="0035701C" w:rsidRDefault="00FB561B">
      <w:pPr>
        <w:pStyle w:val="Titre2"/>
      </w:pPr>
      <w:r>
        <w:br w:type="page"/>
      </w:r>
      <w:bookmarkStart w:id="124" w:name="_Toc256000123"/>
      <w:r>
        <w:t>Répartition par mesure ou par type d’opération bénéficiant d’un taux de participation spécifique du Feader (en €, ensemble de la période 2014-2022)</w:t>
      </w:r>
      <w:bookmarkEnd w:id="124"/>
    </w:p>
    <w:p w:rsidR="0035701C" w:rsidRDefault="00FB561B">
      <w:pPr>
        <w:pStyle w:val="Titre3"/>
        <w:jc w:val="left"/>
      </w:pPr>
      <w:bookmarkStart w:id="125" w:name="_Toc256000124"/>
      <w:r>
        <w:t>M01 - Transfert de connaissances et actions d'information (article 14)</w:t>
      </w:r>
      <w:bookmarkEnd w:id="12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782"/>
        <w:gridCol w:w="1782"/>
        <w:gridCol w:w="1782"/>
        <w:gridCol w:w="1782"/>
        <w:gridCol w:w="1782"/>
        <w:gridCol w:w="1782"/>
        <w:gridCol w:w="1782"/>
        <w:gridCol w:w="1782"/>
      </w:tblGrid>
      <w:tr w:rsidR="0035701C">
        <w:tc>
          <w:tcPr>
            <w:tcW w:w="4800" w:type="dxa"/>
            <w:gridSpan w:val="2"/>
            <w:shd w:val="clear" w:color="auto" w:fill="C0C0C0"/>
            <w:tcMar>
              <w:top w:w="60" w:type="dxa"/>
            </w:tcMar>
          </w:tcPr>
          <w:p w:rsidR="0035701C" w:rsidRDefault="00FB561B">
            <w:pPr>
              <w:jc w:val="center"/>
              <w:rPr>
                <w:b/>
                <w:sz w:val="20"/>
              </w:rPr>
            </w:pPr>
            <w:r>
              <w:rPr>
                <w:b/>
                <w:sz w:val="20"/>
              </w:rPr>
              <w:t xml:space="preserve">Types de régions et dotations </w:t>
            </w:r>
            <w:r>
              <w:rPr>
                <w:b/>
                <w:sz w:val="20"/>
              </w:rPr>
              <w:t>complémentaires</w:t>
            </w:r>
          </w:p>
        </w:tc>
        <w:tc>
          <w:tcPr>
            <w:tcW w:w="2400" w:type="dxa"/>
            <w:shd w:val="clear" w:color="auto" w:fill="C0C0C0"/>
            <w:tcMar>
              <w:top w:w="60" w:type="dxa"/>
            </w:tcMar>
          </w:tcPr>
          <w:p w:rsidR="0035701C" w:rsidRDefault="00FB561B">
            <w:pPr>
              <w:jc w:val="center"/>
              <w:rPr>
                <w:b/>
                <w:sz w:val="20"/>
              </w:rPr>
            </w:pPr>
            <w:r>
              <w:rPr>
                <w:b/>
                <w:sz w:val="20"/>
              </w:rPr>
              <w:t>Taux de participation du Feader applicable 2014-2022 (en %)</w:t>
            </w:r>
          </w:p>
        </w:tc>
        <w:tc>
          <w:tcPr>
            <w:tcW w:w="2400" w:type="dxa"/>
            <w:shd w:val="clear" w:color="auto" w:fill="C0C0C0"/>
            <w:tcMar>
              <w:top w:w="60" w:type="dxa"/>
            </w:tcMar>
          </w:tcPr>
          <w:p w:rsidR="0035701C" w:rsidRDefault="00FB561B">
            <w:pPr>
              <w:jc w:val="center"/>
              <w:rPr>
                <w:b/>
                <w:sz w:val="20"/>
              </w:rPr>
            </w:pPr>
            <w:r>
              <w:rPr>
                <w:b/>
                <w:sz w:val="20"/>
              </w:rPr>
              <w:t>Taux de participation du Feader applicable avec l’article 59, paragraphe 4, point g), du règlement (UE) nº 1305/2013, 2014-2022 (%)</w:t>
            </w:r>
          </w:p>
        </w:tc>
        <w:tc>
          <w:tcPr>
            <w:tcW w:w="2400" w:type="dxa"/>
            <w:shd w:val="clear" w:color="auto" w:fill="C0C0C0"/>
            <w:tcMar>
              <w:top w:w="60" w:type="dxa"/>
            </w:tcMar>
          </w:tcPr>
          <w:p w:rsidR="0035701C" w:rsidRDefault="00FB561B">
            <w:pPr>
              <w:jc w:val="center"/>
              <w:rPr>
                <w:b/>
                <w:sz w:val="20"/>
              </w:rPr>
            </w:pPr>
            <w:r>
              <w:rPr>
                <w:b/>
                <w:sz w:val="20"/>
              </w:rPr>
              <w:t xml:space="preserve">Taux applicable aux instruments financiers sous </w:t>
            </w:r>
            <w:r>
              <w:rPr>
                <w:b/>
                <w:sz w:val="20"/>
              </w:rPr>
              <w:t>la responsabilité de l’autorité de gestion art. 59, par. 4, point d) 2014-2022 (en %)</w:t>
            </w:r>
          </w:p>
        </w:tc>
        <w:tc>
          <w:tcPr>
            <w:tcW w:w="2400" w:type="dxa"/>
            <w:shd w:val="clear" w:color="auto" w:fill="C0C0C0"/>
            <w:tcMar>
              <w:top w:w="60" w:type="dxa"/>
            </w:tcMar>
          </w:tcPr>
          <w:p w:rsidR="0035701C" w:rsidRDefault="00FB561B">
            <w:pPr>
              <w:jc w:val="center"/>
              <w:rPr>
                <w:b/>
                <w:sz w:val="20"/>
              </w:rPr>
            </w:pPr>
            <w:r>
              <w:rPr>
                <w:b/>
                <w:sz w:val="20"/>
              </w:rPr>
              <w:t xml:space="preserve">Taux applicable aux instruments financiers sous la responsabilité de l’autorité de gestion art. 59, par. 4, point d), avec l’art. 59, par. 4, point g), du règlement (UE) </w:t>
            </w:r>
            <w:r>
              <w:rPr>
                <w:b/>
                <w:sz w:val="20"/>
              </w:rPr>
              <w:t>nº 1305/2013, 2014-2022 (en %)</w:t>
            </w:r>
          </w:p>
        </w:tc>
        <w:tc>
          <w:tcPr>
            <w:tcW w:w="2400" w:type="dxa"/>
            <w:shd w:val="clear" w:color="auto" w:fill="C0C0C0"/>
            <w:tcMar>
              <w:top w:w="60" w:type="dxa"/>
            </w:tcMar>
          </w:tcPr>
          <w:p w:rsidR="0035701C" w:rsidRDefault="00FB561B">
            <w:pPr>
              <w:jc w:val="center"/>
              <w:rPr>
                <w:b/>
                <w:sz w:val="20"/>
              </w:rPr>
            </w:pPr>
            <w:r>
              <w:rPr>
                <w:b/>
                <w:sz w:val="20"/>
              </w:rPr>
              <w:t>Montant indicatif du Feader pour les instruments financiers art. 59, par. 4, point d) 2014-2022 (en €)</w:t>
            </w:r>
          </w:p>
        </w:tc>
        <w:tc>
          <w:tcPr>
            <w:tcW w:w="2400" w:type="dxa"/>
            <w:shd w:val="clear" w:color="auto" w:fill="C0C0C0"/>
            <w:tcMar>
              <w:top w:w="60" w:type="dxa"/>
            </w:tcMar>
          </w:tcPr>
          <w:p w:rsidR="0035701C" w:rsidRDefault="00FB561B">
            <w:pPr>
              <w:jc w:val="center"/>
              <w:rPr>
                <w:sz w:val="20"/>
              </w:rPr>
            </w:pPr>
            <w:r>
              <w:rPr>
                <w:b/>
                <w:sz w:val="20"/>
              </w:rPr>
              <w:t>Participation totale prévue de l’Union 2014-2022 (en euros)</w:t>
            </w:r>
          </w:p>
        </w:tc>
      </w:tr>
      <w:tr w:rsidR="0035701C">
        <w:tc>
          <w:tcPr>
            <w:tcW w:w="2400" w:type="dxa"/>
            <w:shd w:val="clear" w:color="auto" w:fill="FFFFFF"/>
            <w:tcMar>
              <w:top w:w="60" w:type="dxa"/>
            </w:tcMar>
          </w:tcPr>
          <w:p w:rsidR="0035701C" w:rsidRDefault="00FB561B">
            <w:pPr>
              <w:jc w:val="left"/>
              <w:rPr>
                <w:sz w:val="16"/>
              </w:rPr>
            </w:pPr>
            <w:r>
              <w:rPr>
                <w:sz w:val="16"/>
              </w:rPr>
              <w:t>Article 59, paragraphe 3, point c), du règlement (UE) n° 1305</w:t>
            </w:r>
            <w:r>
              <w:rPr>
                <w:sz w:val="16"/>
              </w:rPr>
              <w:t>/2013 - Régions en transition autres que celles visées à l’article 59, paragraphe 3, point b)</w:t>
            </w:r>
          </w:p>
        </w:tc>
        <w:tc>
          <w:tcPr>
            <w:tcW w:w="2400" w:type="dxa"/>
            <w:shd w:val="clear" w:color="auto" w:fill="FFFFFF"/>
            <w:tcMar>
              <w:top w:w="60" w:type="dxa"/>
            </w:tcMar>
          </w:tcPr>
          <w:p w:rsidR="0035701C" w:rsidRDefault="00FB561B">
            <w:pPr>
              <w:jc w:val="left"/>
              <w:rPr>
                <w:sz w:val="16"/>
              </w:rPr>
            </w:pPr>
            <w:r>
              <w:rPr>
                <w:sz w:val="16"/>
              </w:rPr>
              <w:t>Article 59, paragraphe 4, point a), du règlement (UE) n° 1305/2013 - Mesures visées aux articles 14, 27 et 35, pour le développement local dans le cadre de Leader</w:t>
            </w:r>
            <w:r>
              <w:rPr>
                <w:sz w:val="16"/>
              </w:rPr>
              <w:t xml:space="preserve"> visé à l'article 32 du règlement (UE) n° 1303/2013 et pour les opérations au titre de l'article 19, paragraphe 1, point a) i)</w:t>
            </w:r>
          </w:p>
        </w:tc>
        <w:tc>
          <w:tcPr>
            <w:tcW w:w="2400" w:type="dxa"/>
            <w:shd w:val="clear" w:color="auto" w:fill="FFFFFF"/>
            <w:tcMar>
              <w:top w:w="60" w:type="dxa"/>
            </w:tcMar>
          </w:tcPr>
          <w:p w:rsidR="0035701C" w:rsidRDefault="00FB561B">
            <w:pPr>
              <w:jc w:val="right"/>
              <w:rPr>
                <w:sz w:val="16"/>
              </w:rPr>
            </w:pPr>
            <w:r>
              <w:rPr>
                <w:sz w:val="16"/>
              </w:rPr>
              <w:t>80%</w:t>
            </w: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FB561B">
            <w:pPr>
              <w:jc w:val="right"/>
              <w:rPr>
                <w:sz w:val="16"/>
              </w:rPr>
            </w:pPr>
            <w:r>
              <w:rPr>
                <w:sz w:val="16"/>
              </w:rPr>
              <w:t>560 000,00 (2A)</w:t>
            </w:r>
          </w:p>
          <w:p w:rsidR="0035701C" w:rsidRDefault="00FB561B">
            <w:pPr>
              <w:jc w:val="right"/>
              <w:rPr>
                <w:sz w:val="16"/>
              </w:rPr>
            </w:pPr>
            <w:r>
              <w:rPr>
                <w:sz w:val="16"/>
              </w:rPr>
              <w:t>0,00 (5E)</w:t>
            </w:r>
          </w:p>
        </w:tc>
      </w:tr>
      <w:tr w:rsidR="0035701C">
        <w:tc>
          <w:tcPr>
            <w:tcW w:w="14400" w:type="dxa"/>
            <w:gridSpan w:val="6"/>
            <w:shd w:val="clear" w:color="auto" w:fill="C0C0C0"/>
            <w:tcMar>
              <w:top w:w="60" w:type="dxa"/>
            </w:tcMar>
          </w:tcPr>
          <w:p w:rsidR="0035701C" w:rsidRDefault="00FB561B">
            <w:pPr>
              <w:jc w:val="center"/>
              <w:rPr>
                <w:sz w:val="16"/>
              </w:rPr>
            </w:pPr>
            <w:r>
              <w:rPr>
                <w:sz w:val="16"/>
              </w:rPr>
              <w:t>Total (EAFRD only)</w:t>
            </w:r>
            <w:r>
              <w:rPr>
                <w:sz w:val="16"/>
              </w:rPr>
              <w:br/>
              <w:t>Total (EURI only)</w:t>
            </w:r>
            <w:r>
              <w:rPr>
                <w:sz w:val="16"/>
              </w:rPr>
              <w:br/>
              <w:t>Total (EAFRD + EURI)</w:t>
            </w:r>
          </w:p>
        </w:tc>
        <w:tc>
          <w:tcPr>
            <w:tcW w:w="2400" w:type="dxa"/>
            <w:shd w:val="clear" w:color="auto" w:fill="C0C0C0"/>
            <w:tcMar>
              <w:top w:w="60" w:type="dxa"/>
            </w:tcMar>
          </w:tcPr>
          <w:p w:rsidR="0035701C" w:rsidRDefault="00FB561B">
            <w:pPr>
              <w:jc w:val="right"/>
              <w:rPr>
                <w:sz w:val="16"/>
              </w:rPr>
            </w:pPr>
            <w:r>
              <w:rPr>
                <w:sz w:val="16"/>
              </w:rPr>
              <w:t>0,00</w:t>
            </w:r>
            <w:r>
              <w:rPr>
                <w:sz w:val="16"/>
              </w:rPr>
              <w:br/>
              <w:t>0,00</w:t>
            </w:r>
            <w:r>
              <w:rPr>
                <w:sz w:val="16"/>
              </w:rPr>
              <w:br/>
              <w:t>0,00</w:t>
            </w:r>
          </w:p>
        </w:tc>
        <w:tc>
          <w:tcPr>
            <w:tcW w:w="2400" w:type="dxa"/>
            <w:shd w:val="clear" w:color="auto" w:fill="C0C0C0"/>
            <w:tcMar>
              <w:top w:w="60" w:type="dxa"/>
            </w:tcMar>
          </w:tcPr>
          <w:p w:rsidR="0035701C" w:rsidRDefault="00FB561B">
            <w:pPr>
              <w:jc w:val="right"/>
              <w:rPr>
                <w:sz w:val="16"/>
              </w:rPr>
            </w:pPr>
            <w:r>
              <w:rPr>
                <w:sz w:val="16"/>
              </w:rPr>
              <w:t>560 000,00</w:t>
            </w:r>
            <w:r>
              <w:rPr>
                <w:sz w:val="16"/>
              </w:rPr>
              <w:br/>
              <w:t>0,00</w:t>
            </w:r>
            <w:r>
              <w:rPr>
                <w:sz w:val="16"/>
              </w:rPr>
              <w:br/>
            </w:r>
            <w:r>
              <w:rPr>
                <w:sz w:val="16"/>
              </w:rPr>
              <w:t>560 000,00</w:t>
            </w:r>
          </w:p>
        </w:tc>
      </w:tr>
    </w:tbl>
    <w:p w:rsidR="0035701C" w:rsidRDefault="00FB561B">
      <w:pPr>
        <w:pStyle w:val="Titre3"/>
        <w:jc w:val="left"/>
      </w:pPr>
      <w:r>
        <w:rPr>
          <w:b/>
        </w:rPr>
        <w:br w:type="page"/>
      </w:r>
      <w:bookmarkStart w:id="126" w:name="_Toc256000125"/>
      <w:r>
        <w:t>M04 - Investissements physiques (article 17)</w:t>
      </w:r>
      <w:bookmarkEnd w:id="12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782"/>
        <w:gridCol w:w="1782"/>
        <w:gridCol w:w="1782"/>
        <w:gridCol w:w="1782"/>
        <w:gridCol w:w="1782"/>
        <w:gridCol w:w="1782"/>
        <w:gridCol w:w="1782"/>
        <w:gridCol w:w="1782"/>
      </w:tblGrid>
      <w:tr w:rsidR="0035701C">
        <w:tc>
          <w:tcPr>
            <w:tcW w:w="4800" w:type="dxa"/>
            <w:gridSpan w:val="2"/>
            <w:shd w:val="clear" w:color="auto" w:fill="C0C0C0"/>
            <w:tcMar>
              <w:top w:w="60" w:type="dxa"/>
            </w:tcMar>
          </w:tcPr>
          <w:p w:rsidR="0035701C" w:rsidRDefault="00FB561B">
            <w:pPr>
              <w:jc w:val="center"/>
              <w:rPr>
                <w:b/>
                <w:sz w:val="20"/>
              </w:rPr>
            </w:pPr>
            <w:r>
              <w:rPr>
                <w:b/>
                <w:sz w:val="20"/>
              </w:rPr>
              <w:t>Types de régions et dotations complémentaires</w:t>
            </w:r>
          </w:p>
        </w:tc>
        <w:tc>
          <w:tcPr>
            <w:tcW w:w="2400" w:type="dxa"/>
            <w:shd w:val="clear" w:color="auto" w:fill="C0C0C0"/>
            <w:tcMar>
              <w:top w:w="60" w:type="dxa"/>
            </w:tcMar>
          </w:tcPr>
          <w:p w:rsidR="0035701C" w:rsidRDefault="00FB561B">
            <w:pPr>
              <w:jc w:val="center"/>
              <w:rPr>
                <w:b/>
                <w:sz w:val="20"/>
              </w:rPr>
            </w:pPr>
            <w:r>
              <w:rPr>
                <w:b/>
                <w:sz w:val="20"/>
              </w:rPr>
              <w:t>Taux de participation du Feader applicable 2014-2022 (en %)</w:t>
            </w:r>
          </w:p>
        </w:tc>
        <w:tc>
          <w:tcPr>
            <w:tcW w:w="2400" w:type="dxa"/>
            <w:shd w:val="clear" w:color="auto" w:fill="C0C0C0"/>
            <w:tcMar>
              <w:top w:w="60" w:type="dxa"/>
            </w:tcMar>
          </w:tcPr>
          <w:p w:rsidR="0035701C" w:rsidRDefault="00FB561B">
            <w:pPr>
              <w:jc w:val="center"/>
              <w:rPr>
                <w:b/>
                <w:sz w:val="20"/>
              </w:rPr>
            </w:pPr>
            <w:r>
              <w:rPr>
                <w:b/>
                <w:sz w:val="20"/>
              </w:rPr>
              <w:t xml:space="preserve">Taux de participation du Feader applicable avec l’article 59, paragraphe 4, point g), du </w:t>
            </w:r>
            <w:r>
              <w:rPr>
                <w:b/>
                <w:sz w:val="20"/>
              </w:rPr>
              <w:t>règlement (UE) nº 1305/2013, 2014-2022 (%)</w:t>
            </w:r>
          </w:p>
        </w:tc>
        <w:tc>
          <w:tcPr>
            <w:tcW w:w="2400" w:type="dxa"/>
            <w:shd w:val="clear" w:color="auto" w:fill="C0C0C0"/>
            <w:tcMar>
              <w:top w:w="60" w:type="dxa"/>
            </w:tcMar>
          </w:tcPr>
          <w:p w:rsidR="0035701C" w:rsidRDefault="00FB561B">
            <w:pPr>
              <w:jc w:val="center"/>
              <w:rPr>
                <w:b/>
                <w:sz w:val="20"/>
              </w:rPr>
            </w:pPr>
            <w:r>
              <w:rPr>
                <w:b/>
                <w:sz w:val="20"/>
              </w:rPr>
              <w:t>Taux applicable aux instruments financiers sous la responsabilité de l’autorité de gestion art. 59, par. 4, point d) 2014-2022 (en %)</w:t>
            </w:r>
          </w:p>
        </w:tc>
        <w:tc>
          <w:tcPr>
            <w:tcW w:w="2400" w:type="dxa"/>
            <w:shd w:val="clear" w:color="auto" w:fill="C0C0C0"/>
            <w:tcMar>
              <w:top w:w="60" w:type="dxa"/>
            </w:tcMar>
          </w:tcPr>
          <w:p w:rsidR="0035701C" w:rsidRDefault="00FB561B">
            <w:pPr>
              <w:jc w:val="center"/>
              <w:rPr>
                <w:b/>
                <w:sz w:val="20"/>
              </w:rPr>
            </w:pPr>
            <w:r>
              <w:rPr>
                <w:b/>
                <w:sz w:val="20"/>
              </w:rPr>
              <w:t>Taux applicable aux instruments financiers sous la responsabilité de l’autorité</w:t>
            </w:r>
            <w:r>
              <w:rPr>
                <w:b/>
                <w:sz w:val="20"/>
              </w:rPr>
              <w:t xml:space="preserve"> de gestion art. 59, par. 4, point d), avec l’art. 59, par. 4, point g), du règlement (UE) nº 1305/2013, 2014-2022 (en %)</w:t>
            </w:r>
          </w:p>
        </w:tc>
        <w:tc>
          <w:tcPr>
            <w:tcW w:w="2400" w:type="dxa"/>
            <w:shd w:val="clear" w:color="auto" w:fill="C0C0C0"/>
            <w:tcMar>
              <w:top w:w="60" w:type="dxa"/>
            </w:tcMar>
          </w:tcPr>
          <w:p w:rsidR="0035701C" w:rsidRDefault="00FB561B">
            <w:pPr>
              <w:jc w:val="center"/>
              <w:rPr>
                <w:b/>
                <w:sz w:val="20"/>
              </w:rPr>
            </w:pPr>
            <w:r>
              <w:rPr>
                <w:b/>
                <w:sz w:val="20"/>
              </w:rPr>
              <w:t>Montant indicatif du Feader pour les instruments financiers art. 59, par. 4, point d) 2014-2022 (en €)</w:t>
            </w:r>
          </w:p>
        </w:tc>
        <w:tc>
          <w:tcPr>
            <w:tcW w:w="2400" w:type="dxa"/>
            <w:shd w:val="clear" w:color="auto" w:fill="C0C0C0"/>
            <w:tcMar>
              <w:top w:w="60" w:type="dxa"/>
            </w:tcMar>
          </w:tcPr>
          <w:p w:rsidR="0035701C" w:rsidRDefault="00FB561B">
            <w:pPr>
              <w:jc w:val="center"/>
              <w:rPr>
                <w:sz w:val="20"/>
              </w:rPr>
            </w:pPr>
            <w:r>
              <w:rPr>
                <w:b/>
                <w:sz w:val="20"/>
              </w:rPr>
              <w:t xml:space="preserve">Participation totale prévue de </w:t>
            </w:r>
            <w:r>
              <w:rPr>
                <w:b/>
                <w:sz w:val="20"/>
              </w:rPr>
              <w:t>l’Union 2014-2022 (en euros)</w:t>
            </w:r>
          </w:p>
        </w:tc>
      </w:tr>
      <w:tr w:rsidR="0035701C">
        <w:tc>
          <w:tcPr>
            <w:tcW w:w="2400" w:type="dxa"/>
            <w:vMerge w:val="restart"/>
            <w:shd w:val="clear" w:color="auto" w:fill="FFFFFF"/>
            <w:tcMar>
              <w:top w:w="60" w:type="dxa"/>
            </w:tcMar>
          </w:tcPr>
          <w:p w:rsidR="0035701C" w:rsidRDefault="00FB561B">
            <w:pPr>
              <w:jc w:val="left"/>
              <w:rPr>
                <w:sz w:val="16"/>
              </w:rPr>
            </w:pPr>
            <w:r>
              <w:rPr>
                <w:sz w:val="16"/>
              </w:rPr>
              <w:t>Article 59, paragraphe 3, point c), du règlement (UE) n° 1305/2013 - Régions en transition autres que celles visées à l’article 59, paragraphe 3, point b)</w:t>
            </w:r>
          </w:p>
        </w:tc>
        <w:tc>
          <w:tcPr>
            <w:tcW w:w="2400" w:type="dxa"/>
            <w:shd w:val="clear" w:color="auto" w:fill="FFFFFF"/>
            <w:tcMar>
              <w:top w:w="60" w:type="dxa"/>
            </w:tcMar>
          </w:tcPr>
          <w:p w:rsidR="0035701C" w:rsidRDefault="00FB561B">
            <w:pPr>
              <w:jc w:val="left"/>
              <w:rPr>
                <w:sz w:val="16"/>
              </w:rPr>
            </w:pPr>
            <w:r>
              <w:rPr>
                <w:sz w:val="16"/>
              </w:rPr>
              <w:t>Main</w:t>
            </w:r>
          </w:p>
        </w:tc>
        <w:tc>
          <w:tcPr>
            <w:tcW w:w="2400" w:type="dxa"/>
            <w:shd w:val="clear" w:color="auto" w:fill="FFFFFF"/>
            <w:tcMar>
              <w:top w:w="60" w:type="dxa"/>
            </w:tcMar>
          </w:tcPr>
          <w:p w:rsidR="0035701C" w:rsidRDefault="00FB561B">
            <w:pPr>
              <w:jc w:val="right"/>
              <w:rPr>
                <w:sz w:val="16"/>
              </w:rPr>
            </w:pPr>
            <w:r>
              <w:rPr>
                <w:sz w:val="16"/>
              </w:rPr>
              <w:t>50%</w:t>
            </w: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FB561B">
            <w:pPr>
              <w:jc w:val="right"/>
              <w:rPr>
                <w:sz w:val="16"/>
              </w:rPr>
            </w:pPr>
            <w:r>
              <w:rPr>
                <w:sz w:val="16"/>
              </w:rPr>
              <w:t>24 178 447,00 (2A)</w:t>
            </w:r>
          </w:p>
          <w:p w:rsidR="0035701C" w:rsidRDefault="00FB561B">
            <w:pPr>
              <w:jc w:val="right"/>
              <w:rPr>
                <w:sz w:val="16"/>
              </w:rPr>
            </w:pPr>
            <w:r>
              <w:rPr>
                <w:sz w:val="16"/>
              </w:rPr>
              <w:t>1 500 000,00 (3A)</w:t>
            </w:r>
          </w:p>
          <w:p w:rsidR="0035701C" w:rsidRDefault="00FB561B">
            <w:pPr>
              <w:jc w:val="right"/>
              <w:rPr>
                <w:sz w:val="16"/>
              </w:rPr>
            </w:pPr>
            <w:r>
              <w:rPr>
                <w:sz w:val="16"/>
              </w:rPr>
              <w:t>1 603 200,00 (P4)</w:t>
            </w:r>
          </w:p>
          <w:p w:rsidR="0035701C" w:rsidRDefault="00FB561B">
            <w:pPr>
              <w:jc w:val="right"/>
              <w:rPr>
                <w:sz w:val="16"/>
              </w:rPr>
            </w:pPr>
            <w:r>
              <w:rPr>
                <w:sz w:val="16"/>
              </w:rPr>
              <w:t>160 000,00 (5A)</w:t>
            </w:r>
          </w:p>
          <w:p w:rsidR="0035701C" w:rsidRDefault="00FB561B">
            <w:pPr>
              <w:jc w:val="right"/>
              <w:rPr>
                <w:sz w:val="16"/>
              </w:rPr>
            </w:pPr>
            <w:r>
              <w:rPr>
                <w:sz w:val="16"/>
              </w:rPr>
              <w:t>525 000,00 (5E)</w:t>
            </w:r>
          </w:p>
        </w:tc>
      </w:tr>
      <w:tr w:rsidR="0035701C">
        <w:tc>
          <w:tcPr>
            <w:tcW w:w="2400" w:type="dxa"/>
            <w:vMerge/>
            <w:shd w:val="clear" w:color="auto" w:fill="FFFFFF"/>
            <w:tcMar>
              <w:top w:w="60" w:type="dxa"/>
            </w:tcMar>
          </w:tcPr>
          <w:p w:rsidR="0035701C" w:rsidRDefault="0035701C">
            <w:pPr>
              <w:jc w:val="left"/>
              <w:rPr>
                <w:sz w:val="16"/>
              </w:rPr>
            </w:pPr>
          </w:p>
        </w:tc>
        <w:tc>
          <w:tcPr>
            <w:tcW w:w="2400" w:type="dxa"/>
            <w:shd w:val="clear" w:color="auto" w:fill="FFFFFF"/>
            <w:tcMar>
              <w:top w:w="60" w:type="dxa"/>
            </w:tcMar>
          </w:tcPr>
          <w:p w:rsidR="0035701C" w:rsidRDefault="00FB561B">
            <w:pPr>
              <w:jc w:val="left"/>
              <w:rPr>
                <w:sz w:val="16"/>
              </w:rPr>
            </w:pPr>
            <w:r>
              <w:rPr>
                <w:sz w:val="16"/>
              </w:rPr>
              <w:t xml:space="preserve">Article 59, paragraphe 4, point e), du règlement (UE) n° 1305/2013 - Opérations bénéficiant d'un financement provenant de ressources transférées au Feader en application de l'article 7, paragraphe 2, et de l'article 14, </w:t>
            </w:r>
            <w:r>
              <w:rPr>
                <w:sz w:val="16"/>
              </w:rPr>
              <w:t>paragraphe 1, du règlement (UE) n° 1307/2013</w:t>
            </w:r>
          </w:p>
        </w:tc>
        <w:tc>
          <w:tcPr>
            <w:tcW w:w="2400" w:type="dxa"/>
            <w:shd w:val="clear" w:color="auto" w:fill="FFFFFF"/>
            <w:tcMar>
              <w:top w:w="60" w:type="dxa"/>
            </w:tcMar>
          </w:tcPr>
          <w:p w:rsidR="0035701C" w:rsidRDefault="00FB561B">
            <w:pPr>
              <w:jc w:val="right"/>
              <w:rPr>
                <w:sz w:val="16"/>
              </w:rPr>
            </w:pPr>
            <w:r>
              <w:rPr>
                <w:sz w:val="16"/>
              </w:rPr>
              <w:t>100%</w:t>
            </w: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FB561B">
            <w:pPr>
              <w:jc w:val="right"/>
              <w:rPr>
                <w:sz w:val="16"/>
              </w:rPr>
            </w:pPr>
            <w:r>
              <w:rPr>
                <w:sz w:val="16"/>
              </w:rPr>
              <w:t>2 792 500,00 (2A)</w:t>
            </w:r>
          </w:p>
          <w:p w:rsidR="0035701C" w:rsidRDefault="00FB561B">
            <w:pPr>
              <w:jc w:val="right"/>
              <w:rPr>
                <w:sz w:val="16"/>
              </w:rPr>
            </w:pPr>
            <w:r>
              <w:rPr>
                <w:sz w:val="16"/>
              </w:rPr>
              <w:t>0,00 (3A)</w:t>
            </w:r>
          </w:p>
          <w:p w:rsidR="0035701C" w:rsidRDefault="00FB561B">
            <w:pPr>
              <w:jc w:val="right"/>
              <w:rPr>
                <w:sz w:val="16"/>
              </w:rPr>
            </w:pPr>
            <w:r>
              <w:rPr>
                <w:sz w:val="16"/>
              </w:rPr>
              <w:t>500 000,00 (P4)</w:t>
            </w:r>
          </w:p>
          <w:p w:rsidR="0035701C" w:rsidRDefault="00FB561B">
            <w:pPr>
              <w:jc w:val="right"/>
              <w:rPr>
                <w:sz w:val="16"/>
              </w:rPr>
            </w:pPr>
            <w:r>
              <w:rPr>
                <w:sz w:val="16"/>
              </w:rPr>
              <w:t>0,00 (5A)</w:t>
            </w:r>
          </w:p>
          <w:p w:rsidR="0035701C" w:rsidRDefault="00FB561B">
            <w:pPr>
              <w:jc w:val="right"/>
              <w:rPr>
                <w:sz w:val="16"/>
              </w:rPr>
            </w:pPr>
            <w:r>
              <w:rPr>
                <w:sz w:val="16"/>
              </w:rPr>
              <w:t>0,00 (5E)</w:t>
            </w:r>
          </w:p>
        </w:tc>
      </w:tr>
      <w:tr w:rsidR="0035701C">
        <w:tc>
          <w:tcPr>
            <w:tcW w:w="2400" w:type="dxa"/>
            <w:vMerge w:val="restart"/>
            <w:shd w:val="clear" w:color="auto" w:fill="FFFFFF"/>
            <w:tcMar>
              <w:top w:w="60" w:type="dxa"/>
            </w:tcMar>
          </w:tcPr>
          <w:p w:rsidR="0035701C" w:rsidRDefault="00FB561B">
            <w:pPr>
              <w:jc w:val="left"/>
              <w:rPr>
                <w:sz w:val="16"/>
              </w:rPr>
            </w:pPr>
            <w:r>
              <w:rPr>
                <w:sz w:val="16"/>
              </w:rPr>
              <w:t xml:space="preserve">Article 59, paragraphe 3, point c), du règlement (UE) nº 1305/2013 – Article 59, paragraphe 4, point e bis), du règlement (UE) </w:t>
            </w:r>
            <w:r>
              <w:rPr>
                <w:sz w:val="16"/>
              </w:rPr>
              <w:t>nº 1305/2013 Next Generation EU (instrument de l’Union européenne pour la relance) - Instrument de l’Union européenne pour la relance (Next Generation EU) / Régions en transition autres que celles visées à l’article 59, paragraphe 3, point b)</w:t>
            </w:r>
          </w:p>
        </w:tc>
        <w:tc>
          <w:tcPr>
            <w:tcW w:w="2400" w:type="dxa"/>
            <w:shd w:val="clear" w:color="auto" w:fill="FFFFFF"/>
            <w:tcMar>
              <w:top w:w="60" w:type="dxa"/>
            </w:tcMar>
          </w:tcPr>
          <w:p w:rsidR="0035701C" w:rsidRDefault="00FB561B">
            <w:pPr>
              <w:jc w:val="left"/>
              <w:rPr>
                <w:sz w:val="16"/>
              </w:rPr>
            </w:pPr>
            <w:r>
              <w:rPr>
                <w:sz w:val="16"/>
              </w:rPr>
              <w:t>Main</w:t>
            </w:r>
          </w:p>
        </w:tc>
        <w:tc>
          <w:tcPr>
            <w:tcW w:w="2400" w:type="dxa"/>
            <w:shd w:val="clear" w:color="auto" w:fill="FFFFFF"/>
            <w:tcMar>
              <w:top w:w="60" w:type="dxa"/>
            </w:tcMar>
          </w:tcPr>
          <w:p w:rsidR="0035701C" w:rsidRDefault="00FB561B">
            <w:pPr>
              <w:jc w:val="right"/>
              <w:rPr>
                <w:sz w:val="16"/>
              </w:rPr>
            </w:pPr>
            <w:r>
              <w:rPr>
                <w:sz w:val="16"/>
              </w:rPr>
              <w:t>100%</w:t>
            </w: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FB561B">
            <w:pPr>
              <w:jc w:val="right"/>
              <w:rPr>
                <w:sz w:val="16"/>
              </w:rPr>
            </w:pPr>
            <w:r>
              <w:rPr>
                <w:sz w:val="16"/>
              </w:rPr>
              <w:t>1 191 480,00 (2A)</w:t>
            </w:r>
          </w:p>
          <w:p w:rsidR="0035701C" w:rsidRDefault="00FB561B">
            <w:pPr>
              <w:jc w:val="right"/>
              <w:rPr>
                <w:sz w:val="16"/>
              </w:rPr>
            </w:pPr>
            <w:r>
              <w:rPr>
                <w:sz w:val="16"/>
              </w:rPr>
              <w:t>3 600 000,00 (3A)</w:t>
            </w:r>
          </w:p>
          <w:p w:rsidR="0035701C" w:rsidRDefault="00FB561B">
            <w:pPr>
              <w:jc w:val="right"/>
              <w:rPr>
                <w:sz w:val="16"/>
              </w:rPr>
            </w:pPr>
            <w:r>
              <w:rPr>
                <w:sz w:val="16"/>
              </w:rPr>
              <w:t>0,00 (P4)</w:t>
            </w:r>
          </w:p>
          <w:p w:rsidR="0035701C" w:rsidRDefault="00FB561B">
            <w:pPr>
              <w:jc w:val="right"/>
              <w:rPr>
                <w:sz w:val="16"/>
              </w:rPr>
            </w:pPr>
            <w:r>
              <w:rPr>
                <w:sz w:val="16"/>
              </w:rPr>
              <w:t>0,00 (5A)</w:t>
            </w:r>
          </w:p>
          <w:p w:rsidR="0035701C" w:rsidRDefault="00FB561B">
            <w:pPr>
              <w:jc w:val="right"/>
              <w:rPr>
                <w:sz w:val="16"/>
              </w:rPr>
            </w:pPr>
            <w:r>
              <w:rPr>
                <w:sz w:val="16"/>
              </w:rPr>
              <w:t>0,00 (5E)</w:t>
            </w:r>
          </w:p>
        </w:tc>
      </w:tr>
      <w:tr w:rsidR="0035701C">
        <w:tc>
          <w:tcPr>
            <w:tcW w:w="2400" w:type="dxa"/>
            <w:vMerge/>
            <w:shd w:val="clear" w:color="auto" w:fill="FFFFFF"/>
            <w:tcMar>
              <w:top w:w="60" w:type="dxa"/>
            </w:tcMar>
          </w:tcPr>
          <w:p w:rsidR="0035701C" w:rsidRDefault="0035701C">
            <w:pPr>
              <w:jc w:val="left"/>
              <w:rPr>
                <w:sz w:val="16"/>
              </w:rPr>
            </w:pPr>
          </w:p>
        </w:tc>
        <w:tc>
          <w:tcPr>
            <w:tcW w:w="2400" w:type="dxa"/>
            <w:shd w:val="clear" w:color="auto" w:fill="FFFFFF"/>
            <w:tcMar>
              <w:top w:w="60" w:type="dxa"/>
            </w:tcMar>
          </w:tcPr>
          <w:p w:rsidR="0035701C" w:rsidRDefault="00FB561B">
            <w:pPr>
              <w:jc w:val="left"/>
              <w:rPr>
                <w:sz w:val="16"/>
              </w:rPr>
            </w:pPr>
            <w:r>
              <w:rPr>
                <w:sz w:val="16"/>
              </w:rPr>
              <w:t xml:space="preserve">Article 59, paragraphe 4, point b), du règlement (UE) n° 1305/2013 - Opérations contribuant à la réalisation des objectifs en matière d’environnement, d’atténuation des changements </w:t>
            </w:r>
            <w:r>
              <w:rPr>
                <w:sz w:val="16"/>
              </w:rPr>
              <w:t>climatiques et d’adaptation à ces changements au titre de l’article 17, de l’article 22, paragraphe 1, points a) et b), des articles 28, 29, 30, 31 et 34</w:t>
            </w:r>
          </w:p>
        </w:tc>
        <w:tc>
          <w:tcPr>
            <w:tcW w:w="2400" w:type="dxa"/>
            <w:shd w:val="clear" w:color="auto" w:fill="FFFFFF"/>
            <w:tcMar>
              <w:top w:w="60" w:type="dxa"/>
            </w:tcMar>
          </w:tcPr>
          <w:p w:rsidR="0035701C" w:rsidRDefault="00FB561B">
            <w:pPr>
              <w:jc w:val="right"/>
              <w:rPr>
                <w:sz w:val="16"/>
              </w:rPr>
            </w:pPr>
            <w:r>
              <w:rPr>
                <w:sz w:val="16"/>
              </w:rPr>
              <w:t>100%</w:t>
            </w: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FB561B">
            <w:pPr>
              <w:jc w:val="right"/>
              <w:rPr>
                <w:sz w:val="16"/>
              </w:rPr>
            </w:pPr>
            <w:r>
              <w:rPr>
                <w:sz w:val="16"/>
              </w:rPr>
              <w:t>0,00 (2A)</w:t>
            </w:r>
          </w:p>
          <w:p w:rsidR="0035701C" w:rsidRDefault="00FB561B">
            <w:pPr>
              <w:jc w:val="right"/>
              <w:rPr>
                <w:sz w:val="16"/>
              </w:rPr>
            </w:pPr>
            <w:r>
              <w:rPr>
                <w:sz w:val="16"/>
              </w:rPr>
              <w:t>0,00 (3A)</w:t>
            </w:r>
          </w:p>
          <w:p w:rsidR="0035701C" w:rsidRDefault="00FB561B">
            <w:pPr>
              <w:jc w:val="right"/>
              <w:rPr>
                <w:sz w:val="16"/>
              </w:rPr>
            </w:pPr>
            <w:r>
              <w:rPr>
                <w:sz w:val="16"/>
              </w:rPr>
              <w:t>3 920 000,00 (P4)</w:t>
            </w:r>
          </w:p>
          <w:p w:rsidR="0035701C" w:rsidRDefault="00FB561B">
            <w:pPr>
              <w:jc w:val="right"/>
              <w:rPr>
                <w:sz w:val="16"/>
              </w:rPr>
            </w:pPr>
            <w:r>
              <w:rPr>
                <w:sz w:val="16"/>
              </w:rPr>
              <w:t>0,00 (5A)</w:t>
            </w:r>
          </w:p>
          <w:p w:rsidR="0035701C" w:rsidRDefault="00FB561B">
            <w:pPr>
              <w:jc w:val="right"/>
              <w:rPr>
                <w:sz w:val="16"/>
              </w:rPr>
            </w:pPr>
            <w:r>
              <w:rPr>
                <w:sz w:val="16"/>
              </w:rPr>
              <w:t>0,00 (5E)</w:t>
            </w:r>
          </w:p>
        </w:tc>
      </w:tr>
      <w:tr w:rsidR="0035701C">
        <w:tc>
          <w:tcPr>
            <w:tcW w:w="14400" w:type="dxa"/>
            <w:gridSpan w:val="6"/>
            <w:shd w:val="clear" w:color="auto" w:fill="C0C0C0"/>
            <w:tcMar>
              <w:top w:w="60" w:type="dxa"/>
            </w:tcMar>
          </w:tcPr>
          <w:p w:rsidR="0035701C" w:rsidRDefault="00FB561B">
            <w:pPr>
              <w:jc w:val="center"/>
              <w:rPr>
                <w:sz w:val="16"/>
              </w:rPr>
            </w:pPr>
            <w:r>
              <w:rPr>
                <w:sz w:val="16"/>
              </w:rPr>
              <w:t>Total (EAFRD only)</w:t>
            </w:r>
            <w:r>
              <w:rPr>
                <w:sz w:val="16"/>
              </w:rPr>
              <w:br/>
              <w:t xml:space="preserve">Total (EURI </w:t>
            </w:r>
            <w:r>
              <w:rPr>
                <w:sz w:val="16"/>
              </w:rPr>
              <w:t>only)</w:t>
            </w:r>
            <w:r>
              <w:rPr>
                <w:sz w:val="16"/>
              </w:rPr>
              <w:br/>
              <w:t>Total (EAFRD + EURI)</w:t>
            </w:r>
          </w:p>
        </w:tc>
        <w:tc>
          <w:tcPr>
            <w:tcW w:w="2400" w:type="dxa"/>
            <w:shd w:val="clear" w:color="auto" w:fill="C0C0C0"/>
            <w:tcMar>
              <w:top w:w="60" w:type="dxa"/>
            </w:tcMar>
          </w:tcPr>
          <w:p w:rsidR="0035701C" w:rsidRDefault="00FB561B">
            <w:pPr>
              <w:jc w:val="right"/>
              <w:rPr>
                <w:sz w:val="16"/>
              </w:rPr>
            </w:pPr>
            <w:r>
              <w:rPr>
                <w:sz w:val="16"/>
              </w:rPr>
              <w:t>0,00</w:t>
            </w:r>
            <w:r>
              <w:rPr>
                <w:sz w:val="16"/>
              </w:rPr>
              <w:br/>
              <w:t>0,00</w:t>
            </w:r>
            <w:r>
              <w:rPr>
                <w:sz w:val="16"/>
              </w:rPr>
              <w:br/>
              <w:t>0,00</w:t>
            </w:r>
          </w:p>
        </w:tc>
        <w:tc>
          <w:tcPr>
            <w:tcW w:w="2400" w:type="dxa"/>
            <w:shd w:val="clear" w:color="auto" w:fill="C0C0C0"/>
            <w:tcMar>
              <w:top w:w="60" w:type="dxa"/>
            </w:tcMar>
          </w:tcPr>
          <w:p w:rsidR="0035701C" w:rsidRDefault="00FB561B">
            <w:pPr>
              <w:jc w:val="right"/>
              <w:rPr>
                <w:sz w:val="16"/>
              </w:rPr>
            </w:pPr>
            <w:r>
              <w:rPr>
                <w:sz w:val="16"/>
              </w:rPr>
              <w:t>31 259 147,00</w:t>
            </w:r>
            <w:r>
              <w:rPr>
                <w:sz w:val="16"/>
              </w:rPr>
              <w:br/>
              <w:t>8 711 480,00</w:t>
            </w:r>
            <w:r>
              <w:rPr>
                <w:sz w:val="16"/>
              </w:rPr>
              <w:br/>
              <w:t>39 970 627,00</w:t>
            </w:r>
          </w:p>
        </w:tc>
      </w:tr>
    </w:tbl>
    <w:p w:rsidR="0035701C" w:rsidRDefault="0035701C">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3750" w:type="pct"/>
            <w:shd w:val="clear" w:color="auto" w:fill="C0C0C0"/>
            <w:tcMar>
              <w:top w:w="60" w:type="dxa"/>
            </w:tcMar>
          </w:tcPr>
          <w:p w:rsidR="0035701C" w:rsidRDefault="00FB561B">
            <w:pPr>
              <w:jc w:val="left"/>
              <w:rPr>
                <w:b/>
                <w:sz w:val="16"/>
              </w:rPr>
            </w:pPr>
            <w:r>
              <w:rPr>
                <w:b/>
                <w:sz w:val="16"/>
              </w:rPr>
              <w:t>Participation totale de l'Union réservée aux opérations relevant de l'article 59, paragraphe 6, du règlement (UE) n° 1305/2013 (€)</w:t>
            </w:r>
          </w:p>
        </w:tc>
        <w:tc>
          <w:tcPr>
            <w:tcW w:w="1250" w:type="pct"/>
            <w:shd w:val="clear" w:color="auto" w:fill="FFFFFF"/>
            <w:tcMar>
              <w:top w:w="60" w:type="dxa"/>
            </w:tcMar>
          </w:tcPr>
          <w:p w:rsidR="0035701C" w:rsidRDefault="00FB561B">
            <w:pPr>
              <w:jc w:val="right"/>
              <w:rPr>
                <w:sz w:val="16"/>
              </w:rPr>
            </w:pPr>
            <w:r>
              <w:rPr>
                <w:sz w:val="16"/>
              </w:rPr>
              <w:t>6 708 200,00</w:t>
            </w:r>
          </w:p>
        </w:tc>
      </w:tr>
    </w:tbl>
    <w:p w:rsidR="0035701C" w:rsidRDefault="0035701C">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3750" w:type="pct"/>
            <w:shd w:val="clear" w:color="auto" w:fill="C0C0C0"/>
            <w:tcMar>
              <w:top w:w="60" w:type="dxa"/>
            </w:tcMar>
          </w:tcPr>
          <w:p w:rsidR="0035701C" w:rsidRDefault="00FB561B">
            <w:pPr>
              <w:jc w:val="left"/>
              <w:rPr>
                <w:b/>
                <w:sz w:val="16"/>
              </w:rPr>
            </w:pPr>
            <w:r>
              <w:rPr>
                <w:b/>
                <w:sz w:val="16"/>
              </w:rPr>
              <w:t>dont Feader (€)</w:t>
            </w:r>
          </w:p>
        </w:tc>
        <w:tc>
          <w:tcPr>
            <w:tcW w:w="1250" w:type="pct"/>
            <w:shd w:val="clear" w:color="auto" w:fill="FFFFFF"/>
            <w:tcMar>
              <w:top w:w="60" w:type="dxa"/>
            </w:tcMar>
          </w:tcPr>
          <w:p w:rsidR="0035701C" w:rsidRDefault="00FB561B">
            <w:pPr>
              <w:jc w:val="right"/>
              <w:rPr>
                <w:sz w:val="16"/>
              </w:rPr>
            </w:pPr>
            <w:r>
              <w:rPr>
                <w:sz w:val="16"/>
              </w:rPr>
              <w:t>2 788 200,00</w:t>
            </w:r>
          </w:p>
        </w:tc>
      </w:tr>
    </w:tbl>
    <w:p w:rsidR="0035701C" w:rsidRDefault="0035701C">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3750" w:type="pct"/>
            <w:shd w:val="clear" w:color="auto" w:fill="C0C0C0"/>
            <w:tcMar>
              <w:top w:w="60" w:type="dxa"/>
            </w:tcMar>
          </w:tcPr>
          <w:p w:rsidR="0035701C" w:rsidRDefault="00FB561B">
            <w:pPr>
              <w:jc w:val="left"/>
              <w:rPr>
                <w:b/>
                <w:sz w:val="16"/>
              </w:rPr>
            </w:pPr>
            <w:r>
              <w:rPr>
                <w:b/>
                <w:sz w:val="16"/>
              </w:rPr>
              <w:t>dont Instrument européen pour la relance (€)</w:t>
            </w:r>
          </w:p>
        </w:tc>
        <w:tc>
          <w:tcPr>
            <w:tcW w:w="1250" w:type="pct"/>
            <w:shd w:val="clear" w:color="auto" w:fill="FFFFFF"/>
            <w:tcMar>
              <w:top w:w="60" w:type="dxa"/>
            </w:tcMar>
          </w:tcPr>
          <w:p w:rsidR="0035701C" w:rsidRDefault="00FB561B">
            <w:pPr>
              <w:jc w:val="right"/>
              <w:rPr>
                <w:sz w:val="16"/>
              </w:rPr>
            </w:pPr>
            <w:r>
              <w:rPr>
                <w:sz w:val="16"/>
              </w:rPr>
              <w:t>3 920 000,00</w:t>
            </w:r>
          </w:p>
        </w:tc>
      </w:tr>
    </w:tbl>
    <w:p w:rsidR="0035701C" w:rsidRDefault="00FB561B">
      <w:pPr>
        <w:pStyle w:val="Titre3"/>
        <w:jc w:val="left"/>
      </w:pPr>
      <w:r>
        <w:rPr>
          <w:b/>
        </w:rPr>
        <w:br w:type="page"/>
      </w:r>
      <w:bookmarkStart w:id="127" w:name="_Toc256000126"/>
      <w:r>
        <w:t>M05 - Reconstitution du potentiel de production agricole endommagé par des catastrophes naturelles et des événements catastrophiques et mise en place de mesures de prévention approp</w:t>
      </w:r>
      <w:r>
        <w:t>riées (article 18)</w:t>
      </w:r>
      <w:bookmarkEnd w:id="127"/>
      <w: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782"/>
        <w:gridCol w:w="1782"/>
        <w:gridCol w:w="1782"/>
        <w:gridCol w:w="1782"/>
        <w:gridCol w:w="1782"/>
        <w:gridCol w:w="1782"/>
        <w:gridCol w:w="1782"/>
        <w:gridCol w:w="1782"/>
      </w:tblGrid>
      <w:tr w:rsidR="0035701C">
        <w:tc>
          <w:tcPr>
            <w:tcW w:w="4800" w:type="dxa"/>
            <w:gridSpan w:val="2"/>
            <w:shd w:val="clear" w:color="auto" w:fill="C0C0C0"/>
            <w:tcMar>
              <w:top w:w="60" w:type="dxa"/>
            </w:tcMar>
          </w:tcPr>
          <w:p w:rsidR="0035701C" w:rsidRDefault="00FB561B">
            <w:pPr>
              <w:jc w:val="center"/>
              <w:rPr>
                <w:b/>
                <w:sz w:val="20"/>
              </w:rPr>
            </w:pPr>
            <w:r>
              <w:rPr>
                <w:b/>
                <w:sz w:val="20"/>
              </w:rPr>
              <w:t>Types de régions et dotations complémentaires</w:t>
            </w:r>
          </w:p>
        </w:tc>
        <w:tc>
          <w:tcPr>
            <w:tcW w:w="2400" w:type="dxa"/>
            <w:shd w:val="clear" w:color="auto" w:fill="C0C0C0"/>
            <w:tcMar>
              <w:top w:w="60" w:type="dxa"/>
            </w:tcMar>
          </w:tcPr>
          <w:p w:rsidR="0035701C" w:rsidRDefault="00FB561B">
            <w:pPr>
              <w:jc w:val="center"/>
              <w:rPr>
                <w:b/>
                <w:sz w:val="20"/>
              </w:rPr>
            </w:pPr>
            <w:r>
              <w:rPr>
                <w:b/>
                <w:sz w:val="20"/>
              </w:rPr>
              <w:t>Taux de participation du Feader applicable 2014-2022 (en %)</w:t>
            </w:r>
          </w:p>
        </w:tc>
        <w:tc>
          <w:tcPr>
            <w:tcW w:w="2400" w:type="dxa"/>
            <w:shd w:val="clear" w:color="auto" w:fill="C0C0C0"/>
            <w:tcMar>
              <w:top w:w="60" w:type="dxa"/>
            </w:tcMar>
          </w:tcPr>
          <w:p w:rsidR="0035701C" w:rsidRDefault="00FB561B">
            <w:pPr>
              <w:jc w:val="center"/>
              <w:rPr>
                <w:b/>
                <w:sz w:val="20"/>
              </w:rPr>
            </w:pPr>
            <w:r>
              <w:rPr>
                <w:b/>
                <w:sz w:val="20"/>
              </w:rPr>
              <w:t>Taux de participation du Feader applicable avec l’article 59, paragraphe 4, point g), du règlement (UE) nº 1305/2013, 2014-2022 (%</w:t>
            </w:r>
            <w:r>
              <w:rPr>
                <w:b/>
                <w:sz w:val="20"/>
              </w:rPr>
              <w:t>)</w:t>
            </w:r>
          </w:p>
        </w:tc>
        <w:tc>
          <w:tcPr>
            <w:tcW w:w="2400" w:type="dxa"/>
            <w:shd w:val="clear" w:color="auto" w:fill="C0C0C0"/>
            <w:tcMar>
              <w:top w:w="60" w:type="dxa"/>
            </w:tcMar>
          </w:tcPr>
          <w:p w:rsidR="0035701C" w:rsidRDefault="00FB561B">
            <w:pPr>
              <w:jc w:val="center"/>
              <w:rPr>
                <w:b/>
                <w:sz w:val="20"/>
              </w:rPr>
            </w:pPr>
            <w:r>
              <w:rPr>
                <w:b/>
                <w:sz w:val="20"/>
              </w:rPr>
              <w:t>Taux applicable aux instruments financiers sous la responsabilité de l’autorité de gestion art. 59, par. 4, point d) 2014-2022 (en %)</w:t>
            </w:r>
          </w:p>
        </w:tc>
        <w:tc>
          <w:tcPr>
            <w:tcW w:w="2400" w:type="dxa"/>
            <w:shd w:val="clear" w:color="auto" w:fill="C0C0C0"/>
            <w:tcMar>
              <w:top w:w="60" w:type="dxa"/>
            </w:tcMar>
          </w:tcPr>
          <w:p w:rsidR="0035701C" w:rsidRDefault="00FB561B">
            <w:pPr>
              <w:jc w:val="center"/>
              <w:rPr>
                <w:b/>
                <w:sz w:val="20"/>
              </w:rPr>
            </w:pPr>
            <w:r>
              <w:rPr>
                <w:b/>
                <w:sz w:val="20"/>
              </w:rPr>
              <w:t>Taux applicable aux instruments financiers sous la responsabilité de l’autorité de gestion art. 59, par. 4, point d), av</w:t>
            </w:r>
            <w:r>
              <w:rPr>
                <w:b/>
                <w:sz w:val="20"/>
              </w:rPr>
              <w:t>ec l’art. 59, par. 4, point g), du règlement (UE) nº 1305/2013, 2014-2022 (en %)</w:t>
            </w:r>
          </w:p>
        </w:tc>
        <w:tc>
          <w:tcPr>
            <w:tcW w:w="2400" w:type="dxa"/>
            <w:shd w:val="clear" w:color="auto" w:fill="C0C0C0"/>
            <w:tcMar>
              <w:top w:w="60" w:type="dxa"/>
            </w:tcMar>
          </w:tcPr>
          <w:p w:rsidR="0035701C" w:rsidRDefault="00FB561B">
            <w:pPr>
              <w:jc w:val="center"/>
              <w:rPr>
                <w:b/>
                <w:sz w:val="20"/>
              </w:rPr>
            </w:pPr>
            <w:r>
              <w:rPr>
                <w:b/>
                <w:sz w:val="20"/>
              </w:rPr>
              <w:t>Montant indicatif du Feader pour les instruments financiers art. 59, par. 4, point d) 2014-2022 (en €)</w:t>
            </w:r>
          </w:p>
        </w:tc>
        <w:tc>
          <w:tcPr>
            <w:tcW w:w="2400" w:type="dxa"/>
            <w:shd w:val="clear" w:color="auto" w:fill="C0C0C0"/>
            <w:tcMar>
              <w:top w:w="60" w:type="dxa"/>
            </w:tcMar>
          </w:tcPr>
          <w:p w:rsidR="0035701C" w:rsidRDefault="00FB561B">
            <w:pPr>
              <w:jc w:val="center"/>
              <w:rPr>
                <w:sz w:val="20"/>
              </w:rPr>
            </w:pPr>
            <w:r>
              <w:rPr>
                <w:b/>
                <w:sz w:val="20"/>
              </w:rPr>
              <w:t>Participation totale prévue de l’Union 2014-2022 (en euros)</w:t>
            </w:r>
          </w:p>
        </w:tc>
      </w:tr>
      <w:tr w:rsidR="0035701C">
        <w:tc>
          <w:tcPr>
            <w:tcW w:w="2400" w:type="dxa"/>
            <w:shd w:val="clear" w:color="auto" w:fill="FFFFFF"/>
            <w:tcMar>
              <w:top w:w="60" w:type="dxa"/>
            </w:tcMar>
          </w:tcPr>
          <w:p w:rsidR="0035701C" w:rsidRDefault="00FB561B">
            <w:pPr>
              <w:jc w:val="left"/>
              <w:rPr>
                <w:sz w:val="16"/>
              </w:rPr>
            </w:pPr>
            <w:r>
              <w:rPr>
                <w:sz w:val="16"/>
              </w:rPr>
              <w:t>Article 59,</w:t>
            </w:r>
            <w:r>
              <w:rPr>
                <w:sz w:val="16"/>
              </w:rPr>
              <w:t xml:space="preserve"> paragraphe 3, point c), du règlement (UE) n° 1305/2013 - Régions en transition autres que celles visées à l’article 59, paragraphe 3, point b)</w:t>
            </w:r>
          </w:p>
        </w:tc>
        <w:tc>
          <w:tcPr>
            <w:tcW w:w="2400" w:type="dxa"/>
            <w:shd w:val="clear" w:color="auto" w:fill="FFFFFF"/>
            <w:tcMar>
              <w:top w:w="60" w:type="dxa"/>
            </w:tcMar>
          </w:tcPr>
          <w:p w:rsidR="0035701C" w:rsidRDefault="00FB561B">
            <w:pPr>
              <w:jc w:val="left"/>
              <w:rPr>
                <w:sz w:val="16"/>
              </w:rPr>
            </w:pPr>
            <w:r>
              <w:rPr>
                <w:sz w:val="16"/>
              </w:rPr>
              <w:t>Main</w:t>
            </w:r>
          </w:p>
        </w:tc>
        <w:tc>
          <w:tcPr>
            <w:tcW w:w="2400" w:type="dxa"/>
            <w:shd w:val="clear" w:color="auto" w:fill="FFFFFF"/>
            <w:tcMar>
              <w:top w:w="60" w:type="dxa"/>
            </w:tcMar>
          </w:tcPr>
          <w:p w:rsidR="0035701C" w:rsidRDefault="00FB561B">
            <w:pPr>
              <w:jc w:val="right"/>
              <w:rPr>
                <w:sz w:val="16"/>
              </w:rPr>
            </w:pPr>
            <w:r>
              <w:rPr>
                <w:sz w:val="16"/>
              </w:rPr>
              <w:t>50%</w:t>
            </w: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FB561B">
            <w:pPr>
              <w:jc w:val="right"/>
              <w:rPr>
                <w:sz w:val="16"/>
              </w:rPr>
            </w:pPr>
            <w:r>
              <w:rPr>
                <w:sz w:val="16"/>
              </w:rPr>
              <w:t>300 000,00 (3B)</w:t>
            </w:r>
          </w:p>
        </w:tc>
      </w:tr>
      <w:tr w:rsidR="0035701C">
        <w:tc>
          <w:tcPr>
            <w:tcW w:w="14400" w:type="dxa"/>
            <w:gridSpan w:val="6"/>
            <w:shd w:val="clear" w:color="auto" w:fill="C0C0C0"/>
            <w:tcMar>
              <w:top w:w="60" w:type="dxa"/>
            </w:tcMar>
          </w:tcPr>
          <w:p w:rsidR="0035701C" w:rsidRDefault="00FB561B">
            <w:pPr>
              <w:jc w:val="center"/>
              <w:rPr>
                <w:sz w:val="16"/>
              </w:rPr>
            </w:pPr>
            <w:r>
              <w:rPr>
                <w:sz w:val="16"/>
              </w:rPr>
              <w:t>Total (EAFRD only)</w:t>
            </w:r>
            <w:r>
              <w:rPr>
                <w:sz w:val="16"/>
              </w:rPr>
              <w:br/>
              <w:t>Total (EURI only)</w:t>
            </w:r>
            <w:r>
              <w:rPr>
                <w:sz w:val="16"/>
              </w:rPr>
              <w:br/>
              <w:t>Total (EAFRD + EURI)</w:t>
            </w:r>
          </w:p>
        </w:tc>
        <w:tc>
          <w:tcPr>
            <w:tcW w:w="2400" w:type="dxa"/>
            <w:shd w:val="clear" w:color="auto" w:fill="C0C0C0"/>
            <w:tcMar>
              <w:top w:w="60" w:type="dxa"/>
            </w:tcMar>
          </w:tcPr>
          <w:p w:rsidR="0035701C" w:rsidRDefault="00FB561B">
            <w:pPr>
              <w:jc w:val="right"/>
              <w:rPr>
                <w:sz w:val="16"/>
              </w:rPr>
            </w:pPr>
            <w:r>
              <w:rPr>
                <w:sz w:val="16"/>
              </w:rPr>
              <w:t>0,00</w:t>
            </w:r>
            <w:r>
              <w:rPr>
                <w:sz w:val="16"/>
              </w:rPr>
              <w:br/>
              <w:t>0,00</w:t>
            </w:r>
            <w:r>
              <w:rPr>
                <w:sz w:val="16"/>
              </w:rPr>
              <w:br/>
              <w:t>0,00</w:t>
            </w:r>
          </w:p>
        </w:tc>
        <w:tc>
          <w:tcPr>
            <w:tcW w:w="2400" w:type="dxa"/>
            <w:shd w:val="clear" w:color="auto" w:fill="C0C0C0"/>
            <w:tcMar>
              <w:top w:w="60" w:type="dxa"/>
            </w:tcMar>
          </w:tcPr>
          <w:p w:rsidR="0035701C" w:rsidRDefault="00FB561B">
            <w:pPr>
              <w:jc w:val="right"/>
              <w:rPr>
                <w:sz w:val="16"/>
              </w:rPr>
            </w:pPr>
            <w:r>
              <w:rPr>
                <w:sz w:val="16"/>
              </w:rPr>
              <w:t>300 000,00</w:t>
            </w:r>
            <w:r>
              <w:rPr>
                <w:sz w:val="16"/>
              </w:rPr>
              <w:br/>
              <w:t>0,00</w:t>
            </w:r>
            <w:r>
              <w:rPr>
                <w:sz w:val="16"/>
              </w:rPr>
              <w:br/>
              <w:t>300 000,00</w:t>
            </w:r>
          </w:p>
        </w:tc>
      </w:tr>
    </w:tbl>
    <w:p w:rsidR="0035701C" w:rsidRDefault="00FB561B">
      <w:pPr>
        <w:pStyle w:val="Titre3"/>
        <w:jc w:val="left"/>
      </w:pPr>
      <w:r>
        <w:rPr>
          <w:b/>
        </w:rPr>
        <w:br w:type="page"/>
      </w:r>
      <w:bookmarkStart w:id="128" w:name="_Toc256000127"/>
      <w:r>
        <w:t>M06 - Développement des exploitations agricoles et des entreprises (article 19)</w:t>
      </w:r>
      <w:bookmarkEnd w:id="12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782"/>
        <w:gridCol w:w="1782"/>
        <w:gridCol w:w="1782"/>
        <w:gridCol w:w="1782"/>
        <w:gridCol w:w="1782"/>
        <w:gridCol w:w="1782"/>
        <w:gridCol w:w="1782"/>
        <w:gridCol w:w="1782"/>
      </w:tblGrid>
      <w:tr w:rsidR="0035701C">
        <w:tc>
          <w:tcPr>
            <w:tcW w:w="4800" w:type="dxa"/>
            <w:gridSpan w:val="2"/>
            <w:shd w:val="clear" w:color="auto" w:fill="C0C0C0"/>
            <w:tcMar>
              <w:top w:w="60" w:type="dxa"/>
            </w:tcMar>
          </w:tcPr>
          <w:p w:rsidR="0035701C" w:rsidRDefault="00FB561B">
            <w:pPr>
              <w:jc w:val="center"/>
              <w:rPr>
                <w:b/>
                <w:sz w:val="20"/>
              </w:rPr>
            </w:pPr>
            <w:r>
              <w:rPr>
                <w:b/>
                <w:sz w:val="20"/>
              </w:rPr>
              <w:t>Types de régions et dotations complémentaires</w:t>
            </w:r>
          </w:p>
        </w:tc>
        <w:tc>
          <w:tcPr>
            <w:tcW w:w="2400" w:type="dxa"/>
            <w:shd w:val="clear" w:color="auto" w:fill="C0C0C0"/>
            <w:tcMar>
              <w:top w:w="60" w:type="dxa"/>
            </w:tcMar>
          </w:tcPr>
          <w:p w:rsidR="0035701C" w:rsidRDefault="00FB561B">
            <w:pPr>
              <w:jc w:val="center"/>
              <w:rPr>
                <w:b/>
                <w:sz w:val="20"/>
              </w:rPr>
            </w:pPr>
            <w:r>
              <w:rPr>
                <w:b/>
                <w:sz w:val="20"/>
              </w:rPr>
              <w:t>Taux de participation du Feader applicable 2014-2022 (en %)</w:t>
            </w:r>
          </w:p>
        </w:tc>
        <w:tc>
          <w:tcPr>
            <w:tcW w:w="2400" w:type="dxa"/>
            <w:shd w:val="clear" w:color="auto" w:fill="C0C0C0"/>
            <w:tcMar>
              <w:top w:w="60" w:type="dxa"/>
            </w:tcMar>
          </w:tcPr>
          <w:p w:rsidR="0035701C" w:rsidRDefault="00FB561B">
            <w:pPr>
              <w:jc w:val="center"/>
              <w:rPr>
                <w:b/>
                <w:sz w:val="20"/>
              </w:rPr>
            </w:pPr>
            <w:r>
              <w:rPr>
                <w:b/>
                <w:sz w:val="20"/>
              </w:rPr>
              <w:t xml:space="preserve">Taux de participation du Feader </w:t>
            </w:r>
            <w:r>
              <w:rPr>
                <w:b/>
                <w:sz w:val="20"/>
              </w:rPr>
              <w:t>applicable avec l’article 59, paragraphe 4, point g), du règlement (UE) nº 1305/2013, 2014-2022 (%)</w:t>
            </w:r>
          </w:p>
        </w:tc>
        <w:tc>
          <w:tcPr>
            <w:tcW w:w="2400" w:type="dxa"/>
            <w:shd w:val="clear" w:color="auto" w:fill="C0C0C0"/>
            <w:tcMar>
              <w:top w:w="60" w:type="dxa"/>
            </w:tcMar>
          </w:tcPr>
          <w:p w:rsidR="0035701C" w:rsidRDefault="00FB561B">
            <w:pPr>
              <w:jc w:val="center"/>
              <w:rPr>
                <w:b/>
                <w:sz w:val="20"/>
              </w:rPr>
            </w:pPr>
            <w:r>
              <w:rPr>
                <w:b/>
                <w:sz w:val="20"/>
              </w:rPr>
              <w:t>Taux applicable aux instruments financiers sous la responsabilité de l’autorité de gestion art. 59, par. 4, point d) 2014-2022 (en %)</w:t>
            </w:r>
          </w:p>
        </w:tc>
        <w:tc>
          <w:tcPr>
            <w:tcW w:w="2400" w:type="dxa"/>
            <w:shd w:val="clear" w:color="auto" w:fill="C0C0C0"/>
            <w:tcMar>
              <w:top w:w="60" w:type="dxa"/>
            </w:tcMar>
          </w:tcPr>
          <w:p w:rsidR="0035701C" w:rsidRDefault="00FB561B">
            <w:pPr>
              <w:jc w:val="center"/>
              <w:rPr>
                <w:b/>
                <w:sz w:val="20"/>
              </w:rPr>
            </w:pPr>
            <w:r>
              <w:rPr>
                <w:b/>
                <w:sz w:val="20"/>
              </w:rPr>
              <w:t>Taux applicable aux in</w:t>
            </w:r>
            <w:r>
              <w:rPr>
                <w:b/>
                <w:sz w:val="20"/>
              </w:rPr>
              <w:t>struments financiers sous la responsabilité de l’autorité de gestion art. 59, par. 4, point d), avec l’art. 59, par. 4, point g), du règlement (UE) nº 1305/2013, 2014-2022 (en %)</w:t>
            </w:r>
          </w:p>
        </w:tc>
        <w:tc>
          <w:tcPr>
            <w:tcW w:w="2400" w:type="dxa"/>
            <w:shd w:val="clear" w:color="auto" w:fill="C0C0C0"/>
            <w:tcMar>
              <w:top w:w="60" w:type="dxa"/>
            </w:tcMar>
          </w:tcPr>
          <w:p w:rsidR="0035701C" w:rsidRDefault="00FB561B">
            <w:pPr>
              <w:jc w:val="center"/>
              <w:rPr>
                <w:b/>
                <w:sz w:val="20"/>
              </w:rPr>
            </w:pPr>
            <w:r>
              <w:rPr>
                <w:b/>
                <w:sz w:val="20"/>
              </w:rPr>
              <w:t xml:space="preserve">Montant indicatif du Feader pour les instruments financiers art. 59, par. 4, </w:t>
            </w:r>
            <w:r>
              <w:rPr>
                <w:b/>
                <w:sz w:val="20"/>
              </w:rPr>
              <w:t>point d) 2014-2022 (en €)</w:t>
            </w:r>
          </w:p>
        </w:tc>
        <w:tc>
          <w:tcPr>
            <w:tcW w:w="2400" w:type="dxa"/>
            <w:shd w:val="clear" w:color="auto" w:fill="C0C0C0"/>
            <w:tcMar>
              <w:top w:w="60" w:type="dxa"/>
            </w:tcMar>
          </w:tcPr>
          <w:p w:rsidR="0035701C" w:rsidRDefault="00FB561B">
            <w:pPr>
              <w:jc w:val="center"/>
              <w:rPr>
                <w:sz w:val="20"/>
              </w:rPr>
            </w:pPr>
            <w:r>
              <w:rPr>
                <w:b/>
                <w:sz w:val="20"/>
              </w:rPr>
              <w:t>Participation totale prévue de l’Union 2014-2022 (en euros)</w:t>
            </w:r>
          </w:p>
        </w:tc>
      </w:tr>
      <w:tr w:rsidR="0035701C">
        <w:tc>
          <w:tcPr>
            <w:tcW w:w="2400" w:type="dxa"/>
            <w:vMerge w:val="restart"/>
            <w:shd w:val="clear" w:color="auto" w:fill="FFFFFF"/>
            <w:tcMar>
              <w:top w:w="60" w:type="dxa"/>
            </w:tcMar>
          </w:tcPr>
          <w:p w:rsidR="0035701C" w:rsidRDefault="00FB561B">
            <w:pPr>
              <w:jc w:val="left"/>
              <w:rPr>
                <w:sz w:val="16"/>
              </w:rPr>
            </w:pPr>
            <w:r>
              <w:rPr>
                <w:sz w:val="16"/>
              </w:rPr>
              <w:t>Article 59, paragraphe 3, point c), du règlement (UE) n° 1305/2013 - Régions en transition autres que celles visées à l’article 59, paragraphe 3, point b)</w:t>
            </w:r>
          </w:p>
        </w:tc>
        <w:tc>
          <w:tcPr>
            <w:tcW w:w="2400" w:type="dxa"/>
            <w:shd w:val="clear" w:color="auto" w:fill="FFFFFF"/>
            <w:tcMar>
              <w:top w:w="60" w:type="dxa"/>
            </w:tcMar>
          </w:tcPr>
          <w:p w:rsidR="0035701C" w:rsidRDefault="00FB561B">
            <w:pPr>
              <w:jc w:val="left"/>
              <w:rPr>
                <w:sz w:val="16"/>
              </w:rPr>
            </w:pPr>
            <w:r>
              <w:rPr>
                <w:sz w:val="16"/>
              </w:rPr>
              <w:t>Main</w:t>
            </w:r>
          </w:p>
        </w:tc>
        <w:tc>
          <w:tcPr>
            <w:tcW w:w="2400" w:type="dxa"/>
            <w:shd w:val="clear" w:color="auto" w:fill="FFFFFF"/>
            <w:tcMar>
              <w:top w:w="60" w:type="dxa"/>
            </w:tcMar>
          </w:tcPr>
          <w:p w:rsidR="0035701C" w:rsidRDefault="00FB561B">
            <w:pPr>
              <w:jc w:val="right"/>
              <w:rPr>
                <w:sz w:val="16"/>
              </w:rPr>
            </w:pPr>
            <w:r>
              <w:rPr>
                <w:sz w:val="16"/>
              </w:rPr>
              <w:t>50%</w:t>
            </w: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FB561B">
            <w:pPr>
              <w:jc w:val="right"/>
              <w:rPr>
                <w:sz w:val="16"/>
              </w:rPr>
            </w:pPr>
            <w:r>
              <w:rPr>
                <w:sz w:val="16"/>
              </w:rPr>
              <w:t>0,00 (2B)</w:t>
            </w:r>
          </w:p>
          <w:p w:rsidR="0035701C" w:rsidRDefault="00FB561B">
            <w:pPr>
              <w:jc w:val="right"/>
              <w:rPr>
                <w:sz w:val="16"/>
              </w:rPr>
            </w:pPr>
            <w:r>
              <w:rPr>
                <w:sz w:val="16"/>
              </w:rPr>
              <w:t>580 000,00 (5E)</w:t>
            </w:r>
          </w:p>
          <w:p w:rsidR="0035701C" w:rsidRDefault="00FB561B">
            <w:pPr>
              <w:jc w:val="right"/>
              <w:rPr>
                <w:sz w:val="16"/>
              </w:rPr>
            </w:pPr>
            <w:r>
              <w:rPr>
                <w:sz w:val="16"/>
              </w:rPr>
              <w:t>1 700 000,00 (6A)</w:t>
            </w:r>
          </w:p>
        </w:tc>
      </w:tr>
      <w:tr w:rsidR="0035701C">
        <w:tc>
          <w:tcPr>
            <w:tcW w:w="2400" w:type="dxa"/>
            <w:vMerge/>
            <w:shd w:val="clear" w:color="auto" w:fill="FFFFFF"/>
            <w:tcMar>
              <w:top w:w="60" w:type="dxa"/>
            </w:tcMar>
          </w:tcPr>
          <w:p w:rsidR="0035701C" w:rsidRDefault="0035701C">
            <w:pPr>
              <w:jc w:val="left"/>
              <w:rPr>
                <w:sz w:val="16"/>
              </w:rPr>
            </w:pPr>
          </w:p>
        </w:tc>
        <w:tc>
          <w:tcPr>
            <w:tcW w:w="2400" w:type="dxa"/>
            <w:shd w:val="clear" w:color="auto" w:fill="FFFFFF"/>
            <w:tcMar>
              <w:top w:w="60" w:type="dxa"/>
            </w:tcMar>
          </w:tcPr>
          <w:p w:rsidR="0035701C" w:rsidRDefault="00FB561B">
            <w:pPr>
              <w:jc w:val="left"/>
              <w:rPr>
                <w:sz w:val="16"/>
              </w:rPr>
            </w:pPr>
            <w:r>
              <w:rPr>
                <w:sz w:val="16"/>
              </w:rPr>
              <w:t xml:space="preserve">Article 59, paragraphe 4, point a), du règlement (UE) n° 1305/2013 - Mesures visées aux articles 14, 27 et 35, pour le développement local dans le cadre de Leader visé à l'article 32 du règlement (UE) n° </w:t>
            </w:r>
            <w:r>
              <w:rPr>
                <w:sz w:val="16"/>
              </w:rPr>
              <w:t>1303/2013 et pour les opérations au titre de l'article 19, paragraphe 1, point a) i)</w:t>
            </w:r>
          </w:p>
        </w:tc>
        <w:tc>
          <w:tcPr>
            <w:tcW w:w="2400" w:type="dxa"/>
            <w:shd w:val="clear" w:color="auto" w:fill="FFFFFF"/>
            <w:tcMar>
              <w:top w:w="60" w:type="dxa"/>
            </w:tcMar>
          </w:tcPr>
          <w:p w:rsidR="0035701C" w:rsidRDefault="00FB561B">
            <w:pPr>
              <w:jc w:val="right"/>
              <w:rPr>
                <w:sz w:val="16"/>
              </w:rPr>
            </w:pPr>
            <w:r>
              <w:rPr>
                <w:sz w:val="16"/>
              </w:rPr>
              <w:t>70%</w:t>
            </w: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FB561B">
            <w:pPr>
              <w:jc w:val="right"/>
              <w:rPr>
                <w:sz w:val="16"/>
              </w:rPr>
            </w:pPr>
            <w:r>
              <w:rPr>
                <w:sz w:val="16"/>
              </w:rPr>
              <w:t>10 150 003,00 (2B)</w:t>
            </w:r>
          </w:p>
          <w:p w:rsidR="0035701C" w:rsidRDefault="00FB561B">
            <w:pPr>
              <w:jc w:val="right"/>
              <w:rPr>
                <w:sz w:val="16"/>
              </w:rPr>
            </w:pPr>
            <w:r>
              <w:rPr>
                <w:sz w:val="16"/>
              </w:rPr>
              <w:t>0,00 (5E)</w:t>
            </w:r>
          </w:p>
          <w:p w:rsidR="0035701C" w:rsidRDefault="00FB561B">
            <w:pPr>
              <w:jc w:val="right"/>
              <w:rPr>
                <w:sz w:val="16"/>
              </w:rPr>
            </w:pPr>
            <w:r>
              <w:rPr>
                <w:sz w:val="16"/>
              </w:rPr>
              <w:t>0,00 (6A)</w:t>
            </w:r>
          </w:p>
        </w:tc>
      </w:tr>
      <w:tr w:rsidR="0035701C">
        <w:tc>
          <w:tcPr>
            <w:tcW w:w="14400" w:type="dxa"/>
            <w:gridSpan w:val="6"/>
            <w:shd w:val="clear" w:color="auto" w:fill="C0C0C0"/>
            <w:tcMar>
              <w:top w:w="60" w:type="dxa"/>
            </w:tcMar>
          </w:tcPr>
          <w:p w:rsidR="0035701C" w:rsidRDefault="00FB561B">
            <w:pPr>
              <w:jc w:val="center"/>
              <w:rPr>
                <w:sz w:val="16"/>
              </w:rPr>
            </w:pPr>
            <w:r>
              <w:rPr>
                <w:sz w:val="16"/>
              </w:rPr>
              <w:t>Total (EAFRD only)</w:t>
            </w:r>
            <w:r>
              <w:rPr>
                <w:sz w:val="16"/>
              </w:rPr>
              <w:br/>
              <w:t>Total (EURI only)</w:t>
            </w:r>
            <w:r>
              <w:rPr>
                <w:sz w:val="16"/>
              </w:rPr>
              <w:br/>
              <w:t>Total (EAFRD + EURI)</w:t>
            </w:r>
          </w:p>
        </w:tc>
        <w:tc>
          <w:tcPr>
            <w:tcW w:w="2400" w:type="dxa"/>
            <w:shd w:val="clear" w:color="auto" w:fill="C0C0C0"/>
            <w:tcMar>
              <w:top w:w="60" w:type="dxa"/>
            </w:tcMar>
          </w:tcPr>
          <w:p w:rsidR="0035701C" w:rsidRDefault="00FB561B">
            <w:pPr>
              <w:jc w:val="right"/>
              <w:rPr>
                <w:sz w:val="16"/>
              </w:rPr>
            </w:pPr>
            <w:r>
              <w:rPr>
                <w:sz w:val="16"/>
              </w:rPr>
              <w:t>0,00</w:t>
            </w:r>
            <w:r>
              <w:rPr>
                <w:sz w:val="16"/>
              </w:rPr>
              <w:br/>
              <w:t>0,00</w:t>
            </w:r>
            <w:r>
              <w:rPr>
                <w:sz w:val="16"/>
              </w:rPr>
              <w:br/>
              <w:t>0,00</w:t>
            </w:r>
          </w:p>
        </w:tc>
        <w:tc>
          <w:tcPr>
            <w:tcW w:w="2400" w:type="dxa"/>
            <w:shd w:val="clear" w:color="auto" w:fill="C0C0C0"/>
            <w:tcMar>
              <w:top w:w="60" w:type="dxa"/>
            </w:tcMar>
          </w:tcPr>
          <w:p w:rsidR="0035701C" w:rsidRDefault="00FB561B">
            <w:pPr>
              <w:jc w:val="right"/>
              <w:rPr>
                <w:sz w:val="16"/>
              </w:rPr>
            </w:pPr>
            <w:r>
              <w:rPr>
                <w:sz w:val="16"/>
              </w:rPr>
              <w:t>12 430 003,00</w:t>
            </w:r>
            <w:r>
              <w:rPr>
                <w:sz w:val="16"/>
              </w:rPr>
              <w:br/>
              <w:t>0,00</w:t>
            </w:r>
            <w:r>
              <w:rPr>
                <w:sz w:val="16"/>
              </w:rPr>
              <w:br/>
              <w:t>12 430 003,00</w:t>
            </w:r>
          </w:p>
        </w:tc>
      </w:tr>
    </w:tbl>
    <w:p w:rsidR="0035701C" w:rsidRDefault="00FB561B">
      <w:pPr>
        <w:pStyle w:val="Titre3"/>
        <w:jc w:val="left"/>
      </w:pPr>
      <w:r>
        <w:rPr>
          <w:b/>
        </w:rPr>
        <w:br w:type="page"/>
      </w:r>
      <w:bookmarkStart w:id="129" w:name="_Toc256000128"/>
      <w:r>
        <w:t xml:space="preserve">M07 - Services </w:t>
      </w:r>
      <w:r>
        <w:t>de base et rénovation des villages dans les zones rurales (article 20)</w:t>
      </w:r>
      <w:bookmarkEnd w:id="129"/>
      <w: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782"/>
        <w:gridCol w:w="1782"/>
        <w:gridCol w:w="1782"/>
        <w:gridCol w:w="1782"/>
        <w:gridCol w:w="1782"/>
        <w:gridCol w:w="1782"/>
        <w:gridCol w:w="1782"/>
        <w:gridCol w:w="1782"/>
      </w:tblGrid>
      <w:tr w:rsidR="0035701C">
        <w:tc>
          <w:tcPr>
            <w:tcW w:w="4800" w:type="dxa"/>
            <w:gridSpan w:val="2"/>
            <w:shd w:val="clear" w:color="auto" w:fill="C0C0C0"/>
            <w:tcMar>
              <w:top w:w="60" w:type="dxa"/>
            </w:tcMar>
          </w:tcPr>
          <w:p w:rsidR="0035701C" w:rsidRDefault="00FB561B">
            <w:pPr>
              <w:jc w:val="center"/>
              <w:rPr>
                <w:b/>
                <w:sz w:val="20"/>
              </w:rPr>
            </w:pPr>
            <w:r>
              <w:rPr>
                <w:b/>
                <w:sz w:val="20"/>
              </w:rPr>
              <w:t>Types de régions et dotations complémentaires</w:t>
            </w:r>
          </w:p>
        </w:tc>
        <w:tc>
          <w:tcPr>
            <w:tcW w:w="2400" w:type="dxa"/>
            <w:shd w:val="clear" w:color="auto" w:fill="C0C0C0"/>
            <w:tcMar>
              <w:top w:w="60" w:type="dxa"/>
            </w:tcMar>
          </w:tcPr>
          <w:p w:rsidR="0035701C" w:rsidRDefault="00FB561B">
            <w:pPr>
              <w:jc w:val="center"/>
              <w:rPr>
                <w:b/>
                <w:sz w:val="20"/>
              </w:rPr>
            </w:pPr>
            <w:r>
              <w:rPr>
                <w:b/>
                <w:sz w:val="20"/>
              </w:rPr>
              <w:t>Taux de participation du Feader applicable 2014-2022 (en %)</w:t>
            </w:r>
          </w:p>
        </w:tc>
        <w:tc>
          <w:tcPr>
            <w:tcW w:w="2400" w:type="dxa"/>
            <w:shd w:val="clear" w:color="auto" w:fill="C0C0C0"/>
            <w:tcMar>
              <w:top w:w="60" w:type="dxa"/>
            </w:tcMar>
          </w:tcPr>
          <w:p w:rsidR="0035701C" w:rsidRDefault="00FB561B">
            <w:pPr>
              <w:jc w:val="center"/>
              <w:rPr>
                <w:b/>
                <w:sz w:val="20"/>
              </w:rPr>
            </w:pPr>
            <w:r>
              <w:rPr>
                <w:b/>
                <w:sz w:val="20"/>
              </w:rPr>
              <w:t>Taux de participation du Feader applicable avec l’article 59, paragraphe 4, po</w:t>
            </w:r>
            <w:r>
              <w:rPr>
                <w:b/>
                <w:sz w:val="20"/>
              </w:rPr>
              <w:t>int g), du règlement (UE) nº 1305/2013, 2014-2022 (%)</w:t>
            </w:r>
          </w:p>
        </w:tc>
        <w:tc>
          <w:tcPr>
            <w:tcW w:w="2400" w:type="dxa"/>
            <w:shd w:val="clear" w:color="auto" w:fill="C0C0C0"/>
            <w:tcMar>
              <w:top w:w="60" w:type="dxa"/>
            </w:tcMar>
          </w:tcPr>
          <w:p w:rsidR="0035701C" w:rsidRDefault="00FB561B">
            <w:pPr>
              <w:jc w:val="center"/>
              <w:rPr>
                <w:b/>
                <w:sz w:val="20"/>
              </w:rPr>
            </w:pPr>
            <w:r>
              <w:rPr>
                <w:b/>
                <w:sz w:val="20"/>
              </w:rPr>
              <w:t>Taux applicable aux instruments financiers sous la responsabilité de l’autorité de gestion art. 59, par. 4, point d) 2014-2022 (en %)</w:t>
            </w:r>
          </w:p>
        </w:tc>
        <w:tc>
          <w:tcPr>
            <w:tcW w:w="2400" w:type="dxa"/>
            <w:shd w:val="clear" w:color="auto" w:fill="C0C0C0"/>
            <w:tcMar>
              <w:top w:w="60" w:type="dxa"/>
            </w:tcMar>
          </w:tcPr>
          <w:p w:rsidR="0035701C" w:rsidRDefault="00FB561B">
            <w:pPr>
              <w:jc w:val="center"/>
              <w:rPr>
                <w:b/>
                <w:sz w:val="20"/>
              </w:rPr>
            </w:pPr>
            <w:r>
              <w:rPr>
                <w:b/>
                <w:sz w:val="20"/>
              </w:rPr>
              <w:t>Taux applicable aux instruments financiers sous la responsabilité de</w:t>
            </w:r>
            <w:r>
              <w:rPr>
                <w:b/>
                <w:sz w:val="20"/>
              </w:rPr>
              <w:t xml:space="preserve"> l’autorité de gestion art. 59, par. 4, point d), avec l’art. 59, par. 4, point g), du règlement (UE) nº 1305/2013, 2014-2022 (en %)</w:t>
            </w:r>
          </w:p>
        </w:tc>
        <w:tc>
          <w:tcPr>
            <w:tcW w:w="2400" w:type="dxa"/>
            <w:shd w:val="clear" w:color="auto" w:fill="C0C0C0"/>
            <w:tcMar>
              <w:top w:w="60" w:type="dxa"/>
            </w:tcMar>
          </w:tcPr>
          <w:p w:rsidR="0035701C" w:rsidRDefault="00FB561B">
            <w:pPr>
              <w:jc w:val="center"/>
              <w:rPr>
                <w:b/>
                <w:sz w:val="20"/>
              </w:rPr>
            </w:pPr>
            <w:r>
              <w:rPr>
                <w:b/>
                <w:sz w:val="20"/>
              </w:rPr>
              <w:t>Montant indicatif du Feader pour les instruments financiers art. 59, par. 4, point d) 2014-2022 (en €)</w:t>
            </w:r>
          </w:p>
        </w:tc>
        <w:tc>
          <w:tcPr>
            <w:tcW w:w="2400" w:type="dxa"/>
            <w:shd w:val="clear" w:color="auto" w:fill="C0C0C0"/>
            <w:tcMar>
              <w:top w:w="60" w:type="dxa"/>
            </w:tcMar>
          </w:tcPr>
          <w:p w:rsidR="0035701C" w:rsidRDefault="00FB561B">
            <w:pPr>
              <w:jc w:val="center"/>
              <w:rPr>
                <w:sz w:val="20"/>
              </w:rPr>
            </w:pPr>
            <w:r>
              <w:rPr>
                <w:b/>
                <w:sz w:val="20"/>
              </w:rPr>
              <w:t>Participation totale</w:t>
            </w:r>
            <w:r>
              <w:rPr>
                <w:b/>
                <w:sz w:val="20"/>
              </w:rPr>
              <w:t xml:space="preserve"> prévue de l’Union 2014-2022 (en euros)</w:t>
            </w:r>
          </w:p>
        </w:tc>
      </w:tr>
      <w:tr w:rsidR="0035701C">
        <w:tc>
          <w:tcPr>
            <w:tcW w:w="2400" w:type="dxa"/>
            <w:shd w:val="clear" w:color="auto" w:fill="FFFFFF"/>
            <w:tcMar>
              <w:top w:w="60" w:type="dxa"/>
            </w:tcMar>
          </w:tcPr>
          <w:p w:rsidR="0035701C" w:rsidRDefault="00FB561B">
            <w:pPr>
              <w:jc w:val="left"/>
              <w:rPr>
                <w:sz w:val="16"/>
              </w:rPr>
            </w:pPr>
            <w:r>
              <w:rPr>
                <w:sz w:val="16"/>
              </w:rPr>
              <w:t>Article 59, paragraphe 3, point c), du règlement (UE) n° 1305/2013 - Régions en transition autres que celles visées à l’article 59, paragraphe 3, point b)</w:t>
            </w:r>
          </w:p>
        </w:tc>
        <w:tc>
          <w:tcPr>
            <w:tcW w:w="2400" w:type="dxa"/>
            <w:shd w:val="clear" w:color="auto" w:fill="FFFFFF"/>
            <w:tcMar>
              <w:top w:w="60" w:type="dxa"/>
            </w:tcMar>
          </w:tcPr>
          <w:p w:rsidR="0035701C" w:rsidRDefault="00FB561B">
            <w:pPr>
              <w:jc w:val="left"/>
              <w:rPr>
                <w:sz w:val="16"/>
              </w:rPr>
            </w:pPr>
            <w:r>
              <w:rPr>
                <w:sz w:val="16"/>
              </w:rPr>
              <w:t>Main</w:t>
            </w:r>
          </w:p>
        </w:tc>
        <w:tc>
          <w:tcPr>
            <w:tcW w:w="2400" w:type="dxa"/>
            <w:shd w:val="clear" w:color="auto" w:fill="FFFFFF"/>
            <w:tcMar>
              <w:top w:w="60" w:type="dxa"/>
            </w:tcMar>
          </w:tcPr>
          <w:p w:rsidR="0035701C" w:rsidRDefault="00FB561B">
            <w:pPr>
              <w:jc w:val="right"/>
              <w:rPr>
                <w:sz w:val="16"/>
              </w:rPr>
            </w:pPr>
            <w:r>
              <w:rPr>
                <w:sz w:val="16"/>
              </w:rPr>
              <w:t>50%</w:t>
            </w: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FB561B">
            <w:pPr>
              <w:jc w:val="right"/>
              <w:rPr>
                <w:sz w:val="16"/>
              </w:rPr>
            </w:pPr>
            <w:r>
              <w:rPr>
                <w:sz w:val="16"/>
              </w:rPr>
              <w:t>1 000 000,00 (2A)</w:t>
            </w:r>
          </w:p>
          <w:p w:rsidR="0035701C" w:rsidRDefault="00FB561B">
            <w:pPr>
              <w:jc w:val="right"/>
              <w:rPr>
                <w:sz w:val="16"/>
              </w:rPr>
            </w:pPr>
            <w:r>
              <w:rPr>
                <w:sz w:val="16"/>
              </w:rPr>
              <w:t>2 475 000,00 (P4)</w:t>
            </w:r>
          </w:p>
          <w:p w:rsidR="0035701C" w:rsidRDefault="00FB561B">
            <w:pPr>
              <w:jc w:val="right"/>
              <w:rPr>
                <w:sz w:val="16"/>
              </w:rPr>
            </w:pPr>
            <w:r>
              <w:rPr>
                <w:sz w:val="16"/>
              </w:rPr>
              <w:t>9 095 550,00 (6B)</w:t>
            </w:r>
          </w:p>
        </w:tc>
      </w:tr>
      <w:tr w:rsidR="0035701C">
        <w:tc>
          <w:tcPr>
            <w:tcW w:w="14400" w:type="dxa"/>
            <w:gridSpan w:val="6"/>
            <w:shd w:val="clear" w:color="auto" w:fill="C0C0C0"/>
            <w:tcMar>
              <w:top w:w="60" w:type="dxa"/>
            </w:tcMar>
          </w:tcPr>
          <w:p w:rsidR="0035701C" w:rsidRDefault="00FB561B">
            <w:pPr>
              <w:jc w:val="center"/>
              <w:rPr>
                <w:sz w:val="16"/>
              </w:rPr>
            </w:pPr>
            <w:r>
              <w:rPr>
                <w:sz w:val="16"/>
              </w:rPr>
              <w:t>Total (EAFRD only)</w:t>
            </w:r>
            <w:r>
              <w:rPr>
                <w:sz w:val="16"/>
              </w:rPr>
              <w:br/>
              <w:t>Total (EURI only)</w:t>
            </w:r>
            <w:r>
              <w:rPr>
                <w:sz w:val="16"/>
              </w:rPr>
              <w:br/>
              <w:t>Total (EAFRD + EURI)</w:t>
            </w:r>
          </w:p>
        </w:tc>
        <w:tc>
          <w:tcPr>
            <w:tcW w:w="2400" w:type="dxa"/>
            <w:shd w:val="clear" w:color="auto" w:fill="C0C0C0"/>
            <w:tcMar>
              <w:top w:w="60" w:type="dxa"/>
            </w:tcMar>
          </w:tcPr>
          <w:p w:rsidR="0035701C" w:rsidRDefault="00FB561B">
            <w:pPr>
              <w:jc w:val="right"/>
              <w:rPr>
                <w:sz w:val="16"/>
              </w:rPr>
            </w:pPr>
            <w:r>
              <w:rPr>
                <w:sz w:val="16"/>
              </w:rPr>
              <w:t>0,00</w:t>
            </w:r>
            <w:r>
              <w:rPr>
                <w:sz w:val="16"/>
              </w:rPr>
              <w:br/>
              <w:t>0,00</w:t>
            </w:r>
            <w:r>
              <w:rPr>
                <w:sz w:val="16"/>
              </w:rPr>
              <w:br/>
              <w:t>0,00</w:t>
            </w:r>
          </w:p>
        </w:tc>
        <w:tc>
          <w:tcPr>
            <w:tcW w:w="2400" w:type="dxa"/>
            <w:shd w:val="clear" w:color="auto" w:fill="C0C0C0"/>
            <w:tcMar>
              <w:top w:w="60" w:type="dxa"/>
            </w:tcMar>
          </w:tcPr>
          <w:p w:rsidR="0035701C" w:rsidRDefault="00FB561B">
            <w:pPr>
              <w:jc w:val="right"/>
              <w:rPr>
                <w:sz w:val="16"/>
              </w:rPr>
            </w:pPr>
            <w:r>
              <w:rPr>
                <w:sz w:val="16"/>
              </w:rPr>
              <w:t>12 570 550,00</w:t>
            </w:r>
            <w:r>
              <w:rPr>
                <w:sz w:val="16"/>
              </w:rPr>
              <w:br/>
              <w:t>0,00</w:t>
            </w:r>
            <w:r>
              <w:rPr>
                <w:sz w:val="16"/>
              </w:rPr>
              <w:br/>
              <w:t>12 570 550,00</w:t>
            </w:r>
          </w:p>
        </w:tc>
      </w:tr>
    </w:tbl>
    <w:p w:rsidR="0035701C" w:rsidRDefault="00FB561B">
      <w:pPr>
        <w:pStyle w:val="Titre3"/>
        <w:jc w:val="left"/>
      </w:pPr>
      <w:r>
        <w:rPr>
          <w:b/>
        </w:rPr>
        <w:br w:type="page"/>
      </w:r>
      <w:bookmarkStart w:id="130" w:name="_Toc256000129"/>
      <w:r>
        <w:t>M08 - Investissements dans le développement des zones forestières et amélioration de la viabilité des forêts (articles 21 à 26)</w:t>
      </w:r>
      <w:bookmarkEnd w:id="130"/>
      <w: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782"/>
        <w:gridCol w:w="1782"/>
        <w:gridCol w:w="1782"/>
        <w:gridCol w:w="1782"/>
        <w:gridCol w:w="1782"/>
        <w:gridCol w:w="1782"/>
        <w:gridCol w:w="1782"/>
        <w:gridCol w:w="1782"/>
      </w:tblGrid>
      <w:tr w:rsidR="0035701C">
        <w:tc>
          <w:tcPr>
            <w:tcW w:w="4800" w:type="dxa"/>
            <w:gridSpan w:val="2"/>
            <w:shd w:val="clear" w:color="auto" w:fill="C0C0C0"/>
            <w:tcMar>
              <w:top w:w="60" w:type="dxa"/>
            </w:tcMar>
          </w:tcPr>
          <w:p w:rsidR="0035701C" w:rsidRDefault="00FB561B">
            <w:pPr>
              <w:jc w:val="center"/>
              <w:rPr>
                <w:b/>
                <w:sz w:val="20"/>
              </w:rPr>
            </w:pPr>
            <w:r>
              <w:rPr>
                <w:b/>
                <w:sz w:val="20"/>
              </w:rPr>
              <w:t>Types de régions et dotations complémentaires</w:t>
            </w:r>
          </w:p>
        </w:tc>
        <w:tc>
          <w:tcPr>
            <w:tcW w:w="2400" w:type="dxa"/>
            <w:shd w:val="clear" w:color="auto" w:fill="C0C0C0"/>
            <w:tcMar>
              <w:top w:w="60" w:type="dxa"/>
            </w:tcMar>
          </w:tcPr>
          <w:p w:rsidR="0035701C" w:rsidRDefault="00FB561B">
            <w:pPr>
              <w:jc w:val="center"/>
              <w:rPr>
                <w:b/>
                <w:sz w:val="20"/>
              </w:rPr>
            </w:pPr>
            <w:r>
              <w:rPr>
                <w:b/>
                <w:sz w:val="20"/>
              </w:rPr>
              <w:t>Taux de participation du Feader applicable 2014-2022 (en %)</w:t>
            </w:r>
          </w:p>
        </w:tc>
        <w:tc>
          <w:tcPr>
            <w:tcW w:w="2400" w:type="dxa"/>
            <w:shd w:val="clear" w:color="auto" w:fill="C0C0C0"/>
            <w:tcMar>
              <w:top w:w="60" w:type="dxa"/>
            </w:tcMar>
          </w:tcPr>
          <w:p w:rsidR="0035701C" w:rsidRDefault="00FB561B">
            <w:pPr>
              <w:jc w:val="center"/>
              <w:rPr>
                <w:b/>
                <w:sz w:val="20"/>
              </w:rPr>
            </w:pPr>
            <w:r>
              <w:rPr>
                <w:b/>
                <w:sz w:val="20"/>
              </w:rPr>
              <w:t>Taux de participation du Feader applicable avec l’article 59, paragraphe 4, point g), du règlement (UE) nº 1305/2013, 2014-2022 (%)</w:t>
            </w:r>
          </w:p>
        </w:tc>
        <w:tc>
          <w:tcPr>
            <w:tcW w:w="2400" w:type="dxa"/>
            <w:shd w:val="clear" w:color="auto" w:fill="C0C0C0"/>
            <w:tcMar>
              <w:top w:w="60" w:type="dxa"/>
            </w:tcMar>
          </w:tcPr>
          <w:p w:rsidR="0035701C" w:rsidRDefault="00FB561B">
            <w:pPr>
              <w:jc w:val="center"/>
              <w:rPr>
                <w:b/>
                <w:sz w:val="20"/>
              </w:rPr>
            </w:pPr>
            <w:r>
              <w:rPr>
                <w:b/>
                <w:sz w:val="20"/>
              </w:rPr>
              <w:t>Taux applicable au</w:t>
            </w:r>
            <w:r>
              <w:rPr>
                <w:b/>
                <w:sz w:val="20"/>
              </w:rPr>
              <w:t>x instruments financiers sous la responsabilité de l’autorité de gestion art. 59, par. 4, point d) 2014-2022 (en %)</w:t>
            </w:r>
          </w:p>
        </w:tc>
        <w:tc>
          <w:tcPr>
            <w:tcW w:w="2400" w:type="dxa"/>
            <w:shd w:val="clear" w:color="auto" w:fill="C0C0C0"/>
            <w:tcMar>
              <w:top w:w="60" w:type="dxa"/>
            </w:tcMar>
          </w:tcPr>
          <w:p w:rsidR="0035701C" w:rsidRDefault="00FB561B">
            <w:pPr>
              <w:jc w:val="center"/>
              <w:rPr>
                <w:b/>
                <w:sz w:val="20"/>
              </w:rPr>
            </w:pPr>
            <w:r>
              <w:rPr>
                <w:b/>
                <w:sz w:val="20"/>
              </w:rPr>
              <w:t>Taux applicable aux instruments financiers sous la responsabilité de l’autorité de gestion art. 59, par. 4, point d), avec l’art. 59, par. 4</w:t>
            </w:r>
            <w:r>
              <w:rPr>
                <w:b/>
                <w:sz w:val="20"/>
              </w:rPr>
              <w:t>, point g), du règlement (UE) nº 1305/2013, 2014-2022 (en %)</w:t>
            </w:r>
          </w:p>
        </w:tc>
        <w:tc>
          <w:tcPr>
            <w:tcW w:w="2400" w:type="dxa"/>
            <w:shd w:val="clear" w:color="auto" w:fill="C0C0C0"/>
            <w:tcMar>
              <w:top w:w="60" w:type="dxa"/>
            </w:tcMar>
          </w:tcPr>
          <w:p w:rsidR="0035701C" w:rsidRDefault="00FB561B">
            <w:pPr>
              <w:jc w:val="center"/>
              <w:rPr>
                <w:b/>
                <w:sz w:val="20"/>
              </w:rPr>
            </w:pPr>
            <w:r>
              <w:rPr>
                <w:b/>
                <w:sz w:val="20"/>
              </w:rPr>
              <w:t>Montant indicatif du Feader pour les instruments financiers art. 59, par. 4, point d) 2014-2022 (en €)</w:t>
            </w:r>
          </w:p>
        </w:tc>
        <w:tc>
          <w:tcPr>
            <w:tcW w:w="2400" w:type="dxa"/>
            <w:shd w:val="clear" w:color="auto" w:fill="C0C0C0"/>
            <w:tcMar>
              <w:top w:w="60" w:type="dxa"/>
            </w:tcMar>
          </w:tcPr>
          <w:p w:rsidR="0035701C" w:rsidRDefault="00FB561B">
            <w:pPr>
              <w:jc w:val="center"/>
              <w:rPr>
                <w:sz w:val="20"/>
              </w:rPr>
            </w:pPr>
            <w:r>
              <w:rPr>
                <w:b/>
                <w:sz w:val="20"/>
              </w:rPr>
              <w:t>Participation totale prévue de l’Union 2014-2022 (en euros)</w:t>
            </w:r>
          </w:p>
        </w:tc>
      </w:tr>
      <w:tr w:rsidR="0035701C">
        <w:tc>
          <w:tcPr>
            <w:tcW w:w="2400" w:type="dxa"/>
            <w:vMerge w:val="restart"/>
            <w:shd w:val="clear" w:color="auto" w:fill="FFFFFF"/>
            <w:tcMar>
              <w:top w:w="60" w:type="dxa"/>
            </w:tcMar>
          </w:tcPr>
          <w:p w:rsidR="0035701C" w:rsidRDefault="00FB561B">
            <w:pPr>
              <w:jc w:val="left"/>
              <w:rPr>
                <w:sz w:val="16"/>
              </w:rPr>
            </w:pPr>
            <w:r>
              <w:rPr>
                <w:sz w:val="16"/>
              </w:rPr>
              <w:t xml:space="preserve">Article 59, paragraphe 3, </w:t>
            </w:r>
            <w:r>
              <w:rPr>
                <w:sz w:val="16"/>
              </w:rPr>
              <w:t>point c), du règlement (UE) n° 1305/2013 - Régions en transition autres que celles visées à l’article 59, paragraphe 3, point b)</w:t>
            </w:r>
          </w:p>
        </w:tc>
        <w:tc>
          <w:tcPr>
            <w:tcW w:w="2400" w:type="dxa"/>
            <w:shd w:val="clear" w:color="auto" w:fill="FFFFFF"/>
            <w:tcMar>
              <w:top w:w="60" w:type="dxa"/>
            </w:tcMar>
          </w:tcPr>
          <w:p w:rsidR="0035701C" w:rsidRDefault="00FB561B">
            <w:pPr>
              <w:jc w:val="left"/>
              <w:rPr>
                <w:sz w:val="16"/>
              </w:rPr>
            </w:pPr>
            <w:r>
              <w:rPr>
                <w:sz w:val="16"/>
              </w:rPr>
              <w:t>Main</w:t>
            </w:r>
          </w:p>
        </w:tc>
        <w:tc>
          <w:tcPr>
            <w:tcW w:w="2400" w:type="dxa"/>
            <w:shd w:val="clear" w:color="auto" w:fill="FFFFFF"/>
            <w:tcMar>
              <w:top w:w="60" w:type="dxa"/>
            </w:tcMar>
          </w:tcPr>
          <w:p w:rsidR="0035701C" w:rsidRDefault="00FB561B">
            <w:pPr>
              <w:jc w:val="right"/>
              <w:rPr>
                <w:sz w:val="16"/>
              </w:rPr>
            </w:pPr>
            <w:r>
              <w:rPr>
                <w:sz w:val="16"/>
              </w:rPr>
              <w:t>50%</w:t>
            </w: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FB561B">
            <w:pPr>
              <w:jc w:val="right"/>
              <w:rPr>
                <w:sz w:val="16"/>
              </w:rPr>
            </w:pPr>
            <w:r>
              <w:rPr>
                <w:sz w:val="16"/>
              </w:rPr>
              <w:t>0,00 (P4)</w:t>
            </w:r>
          </w:p>
          <w:p w:rsidR="0035701C" w:rsidRDefault="00FB561B">
            <w:pPr>
              <w:jc w:val="right"/>
              <w:rPr>
                <w:sz w:val="16"/>
              </w:rPr>
            </w:pPr>
            <w:r>
              <w:rPr>
                <w:sz w:val="16"/>
              </w:rPr>
              <w:t>0,00 (5E)</w:t>
            </w:r>
          </w:p>
        </w:tc>
      </w:tr>
      <w:tr w:rsidR="0035701C">
        <w:tc>
          <w:tcPr>
            <w:tcW w:w="2400" w:type="dxa"/>
            <w:vMerge/>
            <w:shd w:val="clear" w:color="auto" w:fill="FFFFFF"/>
            <w:tcMar>
              <w:top w:w="60" w:type="dxa"/>
            </w:tcMar>
          </w:tcPr>
          <w:p w:rsidR="0035701C" w:rsidRDefault="0035701C">
            <w:pPr>
              <w:jc w:val="left"/>
              <w:rPr>
                <w:sz w:val="16"/>
              </w:rPr>
            </w:pPr>
          </w:p>
        </w:tc>
        <w:tc>
          <w:tcPr>
            <w:tcW w:w="2400" w:type="dxa"/>
            <w:shd w:val="clear" w:color="auto" w:fill="FFFFFF"/>
            <w:tcMar>
              <w:top w:w="60" w:type="dxa"/>
            </w:tcMar>
          </w:tcPr>
          <w:p w:rsidR="0035701C" w:rsidRDefault="00FB561B">
            <w:pPr>
              <w:jc w:val="left"/>
              <w:rPr>
                <w:sz w:val="16"/>
              </w:rPr>
            </w:pPr>
            <w:r>
              <w:rPr>
                <w:sz w:val="16"/>
              </w:rPr>
              <w:t xml:space="preserve">Article 59, paragraphe 4, point b), du règlement (UE) n° 1305/2013 - Opérations contribuant </w:t>
            </w:r>
            <w:r>
              <w:rPr>
                <w:sz w:val="16"/>
              </w:rPr>
              <w:t>à la réalisation des objectifs en matière d’environnement, d’atténuation des changements climatiques et d’adaptation à ces changements au titre de l’article 17, de l’article 22, paragraphe 1, points a) et b), des articles 28, 29, 30, 31 et 34</w:t>
            </w:r>
          </w:p>
        </w:tc>
        <w:tc>
          <w:tcPr>
            <w:tcW w:w="2400" w:type="dxa"/>
            <w:shd w:val="clear" w:color="auto" w:fill="FFFFFF"/>
            <w:tcMar>
              <w:top w:w="60" w:type="dxa"/>
            </w:tcMar>
          </w:tcPr>
          <w:p w:rsidR="0035701C" w:rsidRDefault="00FB561B">
            <w:pPr>
              <w:jc w:val="right"/>
              <w:rPr>
                <w:sz w:val="16"/>
              </w:rPr>
            </w:pPr>
            <w:r>
              <w:rPr>
                <w:sz w:val="16"/>
              </w:rPr>
              <w:t>50%</w:t>
            </w: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FB561B">
            <w:pPr>
              <w:jc w:val="right"/>
              <w:rPr>
                <w:sz w:val="16"/>
              </w:rPr>
            </w:pPr>
            <w:r>
              <w:rPr>
                <w:sz w:val="16"/>
              </w:rPr>
              <w:t>4 250</w:t>
            </w:r>
            <w:r>
              <w:rPr>
                <w:sz w:val="16"/>
              </w:rPr>
              <w:t> 000,00 (P4)</w:t>
            </w:r>
          </w:p>
          <w:p w:rsidR="0035701C" w:rsidRDefault="00FB561B">
            <w:pPr>
              <w:jc w:val="right"/>
              <w:rPr>
                <w:sz w:val="16"/>
              </w:rPr>
            </w:pPr>
            <w:r>
              <w:rPr>
                <w:sz w:val="16"/>
              </w:rPr>
              <w:t>1 160 000,00 (5E)</w:t>
            </w:r>
          </w:p>
        </w:tc>
      </w:tr>
      <w:tr w:rsidR="0035701C">
        <w:tc>
          <w:tcPr>
            <w:tcW w:w="14400" w:type="dxa"/>
            <w:gridSpan w:val="6"/>
            <w:shd w:val="clear" w:color="auto" w:fill="C0C0C0"/>
            <w:tcMar>
              <w:top w:w="60" w:type="dxa"/>
            </w:tcMar>
          </w:tcPr>
          <w:p w:rsidR="0035701C" w:rsidRDefault="00FB561B">
            <w:pPr>
              <w:jc w:val="center"/>
              <w:rPr>
                <w:sz w:val="16"/>
              </w:rPr>
            </w:pPr>
            <w:r>
              <w:rPr>
                <w:sz w:val="16"/>
              </w:rPr>
              <w:t>Total (EAFRD only)</w:t>
            </w:r>
            <w:r>
              <w:rPr>
                <w:sz w:val="16"/>
              </w:rPr>
              <w:br/>
              <w:t>Total (EURI only)</w:t>
            </w:r>
            <w:r>
              <w:rPr>
                <w:sz w:val="16"/>
              </w:rPr>
              <w:br/>
              <w:t>Total (EAFRD + EURI)</w:t>
            </w:r>
          </w:p>
        </w:tc>
        <w:tc>
          <w:tcPr>
            <w:tcW w:w="2400" w:type="dxa"/>
            <w:shd w:val="clear" w:color="auto" w:fill="C0C0C0"/>
            <w:tcMar>
              <w:top w:w="60" w:type="dxa"/>
            </w:tcMar>
          </w:tcPr>
          <w:p w:rsidR="0035701C" w:rsidRDefault="00FB561B">
            <w:pPr>
              <w:jc w:val="right"/>
              <w:rPr>
                <w:sz w:val="16"/>
              </w:rPr>
            </w:pPr>
            <w:r>
              <w:rPr>
                <w:sz w:val="16"/>
              </w:rPr>
              <w:t>0,00</w:t>
            </w:r>
            <w:r>
              <w:rPr>
                <w:sz w:val="16"/>
              </w:rPr>
              <w:br/>
              <w:t>0,00</w:t>
            </w:r>
            <w:r>
              <w:rPr>
                <w:sz w:val="16"/>
              </w:rPr>
              <w:br/>
              <w:t>0,00</w:t>
            </w:r>
          </w:p>
        </w:tc>
        <w:tc>
          <w:tcPr>
            <w:tcW w:w="2400" w:type="dxa"/>
            <w:shd w:val="clear" w:color="auto" w:fill="C0C0C0"/>
            <w:tcMar>
              <w:top w:w="60" w:type="dxa"/>
            </w:tcMar>
          </w:tcPr>
          <w:p w:rsidR="0035701C" w:rsidRDefault="00FB561B">
            <w:pPr>
              <w:jc w:val="right"/>
              <w:rPr>
                <w:sz w:val="16"/>
              </w:rPr>
            </w:pPr>
            <w:r>
              <w:rPr>
                <w:sz w:val="16"/>
              </w:rPr>
              <w:t>5 410 000,00</w:t>
            </w:r>
            <w:r>
              <w:rPr>
                <w:sz w:val="16"/>
              </w:rPr>
              <w:br/>
              <w:t>0,00</w:t>
            </w:r>
            <w:r>
              <w:rPr>
                <w:sz w:val="16"/>
              </w:rPr>
              <w:br/>
              <w:t>5 410 000,00</w:t>
            </w:r>
          </w:p>
        </w:tc>
      </w:tr>
    </w:tbl>
    <w:p w:rsidR="0035701C" w:rsidRDefault="00FB561B">
      <w:pPr>
        <w:pStyle w:val="Titre3"/>
        <w:jc w:val="left"/>
      </w:pPr>
      <w:r>
        <w:rPr>
          <w:b/>
        </w:rPr>
        <w:br w:type="page"/>
      </w:r>
      <w:bookmarkStart w:id="131" w:name="_Toc256000130"/>
      <w:r>
        <w:t>M10 - Agroenvironnement - climat (article 28)</w:t>
      </w:r>
      <w:bookmarkEnd w:id="13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782"/>
        <w:gridCol w:w="1782"/>
        <w:gridCol w:w="1782"/>
        <w:gridCol w:w="1782"/>
        <w:gridCol w:w="1782"/>
        <w:gridCol w:w="1782"/>
        <w:gridCol w:w="1782"/>
        <w:gridCol w:w="1782"/>
      </w:tblGrid>
      <w:tr w:rsidR="0035701C">
        <w:tc>
          <w:tcPr>
            <w:tcW w:w="4800" w:type="dxa"/>
            <w:gridSpan w:val="2"/>
            <w:shd w:val="clear" w:color="auto" w:fill="C0C0C0"/>
            <w:tcMar>
              <w:top w:w="60" w:type="dxa"/>
            </w:tcMar>
          </w:tcPr>
          <w:p w:rsidR="0035701C" w:rsidRDefault="00FB561B">
            <w:pPr>
              <w:jc w:val="center"/>
              <w:rPr>
                <w:b/>
                <w:sz w:val="20"/>
              </w:rPr>
            </w:pPr>
            <w:r>
              <w:rPr>
                <w:b/>
                <w:sz w:val="20"/>
              </w:rPr>
              <w:t>Types de régions et dotations complémentaires</w:t>
            </w:r>
          </w:p>
        </w:tc>
        <w:tc>
          <w:tcPr>
            <w:tcW w:w="2400" w:type="dxa"/>
            <w:shd w:val="clear" w:color="auto" w:fill="C0C0C0"/>
            <w:tcMar>
              <w:top w:w="60" w:type="dxa"/>
            </w:tcMar>
          </w:tcPr>
          <w:p w:rsidR="0035701C" w:rsidRDefault="00FB561B">
            <w:pPr>
              <w:jc w:val="center"/>
              <w:rPr>
                <w:b/>
                <w:sz w:val="20"/>
              </w:rPr>
            </w:pPr>
            <w:r>
              <w:rPr>
                <w:b/>
                <w:sz w:val="20"/>
              </w:rPr>
              <w:t xml:space="preserve">Taux de participation du </w:t>
            </w:r>
            <w:r>
              <w:rPr>
                <w:b/>
                <w:sz w:val="20"/>
              </w:rPr>
              <w:t>Feader applicable 2014-2022 (en %)</w:t>
            </w:r>
          </w:p>
        </w:tc>
        <w:tc>
          <w:tcPr>
            <w:tcW w:w="2400" w:type="dxa"/>
            <w:shd w:val="clear" w:color="auto" w:fill="C0C0C0"/>
            <w:tcMar>
              <w:top w:w="60" w:type="dxa"/>
            </w:tcMar>
          </w:tcPr>
          <w:p w:rsidR="0035701C" w:rsidRDefault="00FB561B">
            <w:pPr>
              <w:jc w:val="center"/>
              <w:rPr>
                <w:b/>
                <w:sz w:val="20"/>
              </w:rPr>
            </w:pPr>
            <w:r>
              <w:rPr>
                <w:b/>
                <w:sz w:val="20"/>
              </w:rPr>
              <w:t>Taux de participation du Feader applicable avec l’article 59, paragraphe 4, point g), du règlement (UE) nº 1305/2013, 2014-2022 (%)</w:t>
            </w:r>
          </w:p>
        </w:tc>
        <w:tc>
          <w:tcPr>
            <w:tcW w:w="2400" w:type="dxa"/>
            <w:shd w:val="clear" w:color="auto" w:fill="C0C0C0"/>
            <w:tcMar>
              <w:top w:w="60" w:type="dxa"/>
            </w:tcMar>
          </w:tcPr>
          <w:p w:rsidR="0035701C" w:rsidRDefault="00FB561B">
            <w:pPr>
              <w:jc w:val="center"/>
              <w:rPr>
                <w:b/>
                <w:sz w:val="20"/>
              </w:rPr>
            </w:pPr>
            <w:r>
              <w:rPr>
                <w:b/>
                <w:sz w:val="20"/>
              </w:rPr>
              <w:t>Taux applicable aux instruments financiers sous la responsabilité de l’autorité de gestio</w:t>
            </w:r>
            <w:r>
              <w:rPr>
                <w:b/>
                <w:sz w:val="20"/>
              </w:rPr>
              <w:t>n art. 59, par. 4, point d) 2014-2022 (en %)</w:t>
            </w:r>
          </w:p>
        </w:tc>
        <w:tc>
          <w:tcPr>
            <w:tcW w:w="2400" w:type="dxa"/>
            <w:shd w:val="clear" w:color="auto" w:fill="C0C0C0"/>
            <w:tcMar>
              <w:top w:w="60" w:type="dxa"/>
            </w:tcMar>
          </w:tcPr>
          <w:p w:rsidR="0035701C" w:rsidRDefault="00FB561B">
            <w:pPr>
              <w:jc w:val="center"/>
              <w:rPr>
                <w:b/>
                <w:sz w:val="20"/>
              </w:rPr>
            </w:pPr>
            <w:r>
              <w:rPr>
                <w:b/>
                <w:sz w:val="20"/>
              </w:rPr>
              <w:t>Taux applicable aux instruments financiers sous la responsabilité de l’autorité de gestion art. 59, par. 4, point d), avec l’art. 59, par. 4, point g), du règlement (UE) nº 1305/2013, 2014-2022 (en %)</w:t>
            </w:r>
          </w:p>
        </w:tc>
        <w:tc>
          <w:tcPr>
            <w:tcW w:w="2400" w:type="dxa"/>
            <w:shd w:val="clear" w:color="auto" w:fill="C0C0C0"/>
            <w:tcMar>
              <w:top w:w="60" w:type="dxa"/>
            </w:tcMar>
          </w:tcPr>
          <w:p w:rsidR="0035701C" w:rsidRDefault="00FB561B">
            <w:pPr>
              <w:jc w:val="center"/>
              <w:rPr>
                <w:b/>
                <w:sz w:val="20"/>
              </w:rPr>
            </w:pPr>
            <w:r>
              <w:rPr>
                <w:b/>
                <w:sz w:val="20"/>
              </w:rPr>
              <w:t>Montant in</w:t>
            </w:r>
            <w:r>
              <w:rPr>
                <w:b/>
                <w:sz w:val="20"/>
              </w:rPr>
              <w:t>dicatif du Feader pour les instruments financiers art. 59, par. 4, point d) 2014-2022 (en €)</w:t>
            </w:r>
          </w:p>
        </w:tc>
        <w:tc>
          <w:tcPr>
            <w:tcW w:w="2400" w:type="dxa"/>
            <w:shd w:val="clear" w:color="auto" w:fill="C0C0C0"/>
            <w:tcMar>
              <w:top w:w="60" w:type="dxa"/>
            </w:tcMar>
          </w:tcPr>
          <w:p w:rsidR="0035701C" w:rsidRDefault="00FB561B">
            <w:pPr>
              <w:jc w:val="center"/>
              <w:rPr>
                <w:sz w:val="20"/>
              </w:rPr>
            </w:pPr>
            <w:r>
              <w:rPr>
                <w:b/>
                <w:sz w:val="20"/>
              </w:rPr>
              <w:t>Participation totale prévue de l’Union 2014-2022 (en euros)</w:t>
            </w:r>
          </w:p>
        </w:tc>
      </w:tr>
      <w:tr w:rsidR="0035701C">
        <w:tc>
          <w:tcPr>
            <w:tcW w:w="2400" w:type="dxa"/>
            <w:vMerge w:val="restart"/>
            <w:shd w:val="clear" w:color="auto" w:fill="FFFFFF"/>
            <w:tcMar>
              <w:top w:w="60" w:type="dxa"/>
            </w:tcMar>
          </w:tcPr>
          <w:p w:rsidR="0035701C" w:rsidRDefault="00FB561B">
            <w:pPr>
              <w:jc w:val="left"/>
              <w:rPr>
                <w:sz w:val="16"/>
              </w:rPr>
            </w:pPr>
            <w:r>
              <w:rPr>
                <w:sz w:val="16"/>
              </w:rPr>
              <w:t xml:space="preserve">Article 59, paragraphe 3, point c), du règlement (UE) n° 1305/2013 - Régions en transition autres que </w:t>
            </w:r>
            <w:r>
              <w:rPr>
                <w:sz w:val="16"/>
              </w:rPr>
              <w:t>celles visées à l’article 59, paragraphe 3, point b)</w:t>
            </w:r>
          </w:p>
        </w:tc>
        <w:tc>
          <w:tcPr>
            <w:tcW w:w="2400" w:type="dxa"/>
            <w:shd w:val="clear" w:color="auto" w:fill="FFFFFF"/>
            <w:tcMar>
              <w:top w:w="60" w:type="dxa"/>
            </w:tcMar>
          </w:tcPr>
          <w:p w:rsidR="0035701C" w:rsidRDefault="00FB561B">
            <w:pPr>
              <w:jc w:val="left"/>
              <w:rPr>
                <w:sz w:val="16"/>
              </w:rPr>
            </w:pPr>
            <w:r>
              <w:rPr>
                <w:sz w:val="16"/>
              </w:rPr>
              <w:t>Main</w:t>
            </w:r>
          </w:p>
        </w:tc>
        <w:tc>
          <w:tcPr>
            <w:tcW w:w="2400" w:type="dxa"/>
            <w:shd w:val="clear" w:color="auto" w:fill="FFFFFF"/>
            <w:tcMar>
              <w:top w:w="60" w:type="dxa"/>
            </w:tcMar>
          </w:tcPr>
          <w:p w:rsidR="0035701C" w:rsidRDefault="00FB561B">
            <w:pPr>
              <w:jc w:val="right"/>
              <w:rPr>
                <w:sz w:val="16"/>
              </w:rPr>
            </w:pPr>
            <w:r>
              <w:rPr>
                <w:sz w:val="16"/>
              </w:rPr>
              <w:t>50%</w:t>
            </w: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FB561B">
            <w:pPr>
              <w:jc w:val="right"/>
              <w:rPr>
                <w:sz w:val="16"/>
              </w:rPr>
            </w:pPr>
            <w:r>
              <w:rPr>
                <w:sz w:val="16"/>
              </w:rPr>
              <w:t>0,00 (P4)</w:t>
            </w:r>
          </w:p>
        </w:tc>
      </w:tr>
      <w:tr w:rsidR="0035701C">
        <w:tc>
          <w:tcPr>
            <w:tcW w:w="2400" w:type="dxa"/>
            <w:vMerge/>
            <w:shd w:val="clear" w:color="auto" w:fill="FFFFFF"/>
            <w:tcMar>
              <w:top w:w="60" w:type="dxa"/>
            </w:tcMar>
          </w:tcPr>
          <w:p w:rsidR="0035701C" w:rsidRDefault="0035701C">
            <w:pPr>
              <w:jc w:val="left"/>
              <w:rPr>
                <w:sz w:val="16"/>
              </w:rPr>
            </w:pPr>
          </w:p>
        </w:tc>
        <w:tc>
          <w:tcPr>
            <w:tcW w:w="2400" w:type="dxa"/>
            <w:shd w:val="clear" w:color="auto" w:fill="FFFFFF"/>
            <w:tcMar>
              <w:top w:w="60" w:type="dxa"/>
            </w:tcMar>
          </w:tcPr>
          <w:p w:rsidR="0035701C" w:rsidRDefault="00FB561B">
            <w:pPr>
              <w:jc w:val="left"/>
              <w:rPr>
                <w:sz w:val="16"/>
              </w:rPr>
            </w:pPr>
            <w:r>
              <w:rPr>
                <w:sz w:val="16"/>
              </w:rPr>
              <w:t xml:space="preserve">Article 59, paragraphe 4, point b), du règlement (UE) n° 1305/2013 - Opérations contribuant à la réalisation des objectifs en matière d’environnement, d’atténuation des </w:t>
            </w:r>
            <w:r>
              <w:rPr>
                <w:sz w:val="16"/>
              </w:rPr>
              <w:t>changements climatiques et d’adaptation à ces changements au titre de l’article 17, de l’article 22, paragraphe 1, points a) et b), des articles 28, 29, 30, 31 et 34</w:t>
            </w:r>
          </w:p>
        </w:tc>
        <w:tc>
          <w:tcPr>
            <w:tcW w:w="2400" w:type="dxa"/>
            <w:shd w:val="clear" w:color="auto" w:fill="FFFFFF"/>
            <w:tcMar>
              <w:top w:w="60" w:type="dxa"/>
            </w:tcMar>
          </w:tcPr>
          <w:p w:rsidR="0035701C" w:rsidRDefault="00FB561B">
            <w:pPr>
              <w:jc w:val="right"/>
              <w:rPr>
                <w:sz w:val="16"/>
              </w:rPr>
            </w:pPr>
            <w:r>
              <w:rPr>
                <w:sz w:val="16"/>
              </w:rPr>
              <w:t>50%</w:t>
            </w: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FB561B">
            <w:pPr>
              <w:jc w:val="right"/>
              <w:rPr>
                <w:sz w:val="16"/>
              </w:rPr>
            </w:pPr>
            <w:r>
              <w:rPr>
                <w:sz w:val="16"/>
              </w:rPr>
              <w:t>7 005 000,00 (P4)</w:t>
            </w:r>
          </w:p>
        </w:tc>
      </w:tr>
      <w:tr w:rsidR="0035701C">
        <w:tc>
          <w:tcPr>
            <w:tcW w:w="14400" w:type="dxa"/>
            <w:gridSpan w:val="6"/>
            <w:shd w:val="clear" w:color="auto" w:fill="C0C0C0"/>
            <w:tcMar>
              <w:top w:w="60" w:type="dxa"/>
            </w:tcMar>
          </w:tcPr>
          <w:p w:rsidR="0035701C" w:rsidRDefault="00FB561B">
            <w:pPr>
              <w:jc w:val="center"/>
              <w:rPr>
                <w:sz w:val="16"/>
              </w:rPr>
            </w:pPr>
            <w:r>
              <w:rPr>
                <w:sz w:val="16"/>
              </w:rPr>
              <w:t>Total (EAFRD only)</w:t>
            </w:r>
            <w:r>
              <w:rPr>
                <w:sz w:val="16"/>
              </w:rPr>
              <w:br/>
              <w:t>Total (EURI only)</w:t>
            </w:r>
            <w:r>
              <w:rPr>
                <w:sz w:val="16"/>
              </w:rPr>
              <w:br/>
              <w:t>Total (EAFRD + EURI)</w:t>
            </w:r>
          </w:p>
        </w:tc>
        <w:tc>
          <w:tcPr>
            <w:tcW w:w="2400" w:type="dxa"/>
            <w:shd w:val="clear" w:color="auto" w:fill="C0C0C0"/>
            <w:tcMar>
              <w:top w:w="60" w:type="dxa"/>
            </w:tcMar>
          </w:tcPr>
          <w:p w:rsidR="0035701C" w:rsidRDefault="00FB561B">
            <w:pPr>
              <w:jc w:val="right"/>
              <w:rPr>
                <w:sz w:val="16"/>
              </w:rPr>
            </w:pPr>
            <w:r>
              <w:rPr>
                <w:sz w:val="16"/>
              </w:rPr>
              <w:t>0,00</w:t>
            </w:r>
            <w:r>
              <w:rPr>
                <w:sz w:val="16"/>
              </w:rPr>
              <w:br/>
            </w:r>
            <w:r>
              <w:rPr>
                <w:sz w:val="16"/>
              </w:rPr>
              <w:t>0,00</w:t>
            </w:r>
            <w:r>
              <w:rPr>
                <w:sz w:val="16"/>
              </w:rPr>
              <w:br/>
              <w:t>0,00</w:t>
            </w:r>
          </w:p>
        </w:tc>
        <w:tc>
          <w:tcPr>
            <w:tcW w:w="2400" w:type="dxa"/>
            <w:shd w:val="clear" w:color="auto" w:fill="C0C0C0"/>
            <w:tcMar>
              <w:top w:w="60" w:type="dxa"/>
            </w:tcMar>
          </w:tcPr>
          <w:p w:rsidR="0035701C" w:rsidRDefault="00FB561B">
            <w:pPr>
              <w:jc w:val="right"/>
              <w:rPr>
                <w:sz w:val="16"/>
              </w:rPr>
            </w:pPr>
            <w:r>
              <w:rPr>
                <w:sz w:val="16"/>
              </w:rPr>
              <w:t>7 005 000,00</w:t>
            </w:r>
            <w:r>
              <w:rPr>
                <w:sz w:val="16"/>
              </w:rPr>
              <w:br/>
              <w:t>0,00</w:t>
            </w:r>
            <w:r>
              <w:rPr>
                <w:sz w:val="16"/>
              </w:rPr>
              <w:br/>
              <w:t>7 005 000,00</w:t>
            </w:r>
          </w:p>
        </w:tc>
      </w:tr>
    </w:tbl>
    <w:p w:rsidR="0035701C" w:rsidRDefault="00FB561B">
      <w:pPr>
        <w:pStyle w:val="Titre3"/>
        <w:jc w:val="left"/>
      </w:pPr>
      <w:r>
        <w:rPr>
          <w:b/>
        </w:rPr>
        <w:br w:type="page"/>
      </w:r>
      <w:bookmarkStart w:id="132" w:name="_Toc256000131"/>
      <w:r>
        <w:t>M11 - Agriculture biologique (article 29)</w:t>
      </w:r>
      <w:bookmarkEnd w:id="13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782"/>
        <w:gridCol w:w="1782"/>
        <w:gridCol w:w="1782"/>
        <w:gridCol w:w="1782"/>
        <w:gridCol w:w="1782"/>
        <w:gridCol w:w="1782"/>
        <w:gridCol w:w="1782"/>
        <w:gridCol w:w="1782"/>
      </w:tblGrid>
      <w:tr w:rsidR="0035701C">
        <w:tc>
          <w:tcPr>
            <w:tcW w:w="4800" w:type="dxa"/>
            <w:gridSpan w:val="2"/>
            <w:shd w:val="clear" w:color="auto" w:fill="C0C0C0"/>
            <w:tcMar>
              <w:top w:w="60" w:type="dxa"/>
            </w:tcMar>
          </w:tcPr>
          <w:p w:rsidR="0035701C" w:rsidRDefault="00FB561B">
            <w:pPr>
              <w:jc w:val="center"/>
              <w:rPr>
                <w:b/>
                <w:sz w:val="20"/>
              </w:rPr>
            </w:pPr>
            <w:r>
              <w:rPr>
                <w:b/>
                <w:sz w:val="20"/>
              </w:rPr>
              <w:t>Types de régions et dotations complémentaires</w:t>
            </w:r>
          </w:p>
        </w:tc>
        <w:tc>
          <w:tcPr>
            <w:tcW w:w="2400" w:type="dxa"/>
            <w:shd w:val="clear" w:color="auto" w:fill="C0C0C0"/>
            <w:tcMar>
              <w:top w:w="60" w:type="dxa"/>
            </w:tcMar>
          </w:tcPr>
          <w:p w:rsidR="0035701C" w:rsidRDefault="00FB561B">
            <w:pPr>
              <w:jc w:val="center"/>
              <w:rPr>
                <w:b/>
                <w:sz w:val="20"/>
              </w:rPr>
            </w:pPr>
            <w:r>
              <w:rPr>
                <w:b/>
                <w:sz w:val="20"/>
              </w:rPr>
              <w:t>Taux de participation du Feader applicable 2014-2022 (en %)</w:t>
            </w:r>
          </w:p>
        </w:tc>
        <w:tc>
          <w:tcPr>
            <w:tcW w:w="2400" w:type="dxa"/>
            <w:shd w:val="clear" w:color="auto" w:fill="C0C0C0"/>
            <w:tcMar>
              <w:top w:w="60" w:type="dxa"/>
            </w:tcMar>
          </w:tcPr>
          <w:p w:rsidR="0035701C" w:rsidRDefault="00FB561B">
            <w:pPr>
              <w:jc w:val="center"/>
              <w:rPr>
                <w:b/>
                <w:sz w:val="20"/>
              </w:rPr>
            </w:pPr>
            <w:r>
              <w:rPr>
                <w:b/>
                <w:sz w:val="20"/>
              </w:rPr>
              <w:t xml:space="preserve">Taux de participation du Feader applicable avec l’article 59, </w:t>
            </w:r>
            <w:r>
              <w:rPr>
                <w:b/>
                <w:sz w:val="20"/>
              </w:rPr>
              <w:t>paragraphe 4, point g), du règlement (UE) nº 1305/2013, 2014-2022 (%)</w:t>
            </w:r>
          </w:p>
        </w:tc>
        <w:tc>
          <w:tcPr>
            <w:tcW w:w="2400" w:type="dxa"/>
            <w:shd w:val="clear" w:color="auto" w:fill="C0C0C0"/>
            <w:tcMar>
              <w:top w:w="60" w:type="dxa"/>
            </w:tcMar>
          </w:tcPr>
          <w:p w:rsidR="0035701C" w:rsidRDefault="00FB561B">
            <w:pPr>
              <w:jc w:val="center"/>
              <w:rPr>
                <w:b/>
                <w:sz w:val="20"/>
              </w:rPr>
            </w:pPr>
            <w:r>
              <w:rPr>
                <w:b/>
                <w:sz w:val="20"/>
              </w:rPr>
              <w:t>Taux applicable aux instruments financiers sous la responsabilité de l’autorité de gestion art. 59, par. 4, point d) 2014-2022 (en %)</w:t>
            </w:r>
          </w:p>
        </w:tc>
        <w:tc>
          <w:tcPr>
            <w:tcW w:w="2400" w:type="dxa"/>
            <w:shd w:val="clear" w:color="auto" w:fill="C0C0C0"/>
            <w:tcMar>
              <w:top w:w="60" w:type="dxa"/>
            </w:tcMar>
          </w:tcPr>
          <w:p w:rsidR="0035701C" w:rsidRDefault="00FB561B">
            <w:pPr>
              <w:jc w:val="center"/>
              <w:rPr>
                <w:b/>
                <w:sz w:val="20"/>
              </w:rPr>
            </w:pPr>
            <w:r>
              <w:rPr>
                <w:b/>
                <w:sz w:val="20"/>
              </w:rPr>
              <w:t>Taux applicable aux instruments financiers sous la r</w:t>
            </w:r>
            <w:r>
              <w:rPr>
                <w:b/>
                <w:sz w:val="20"/>
              </w:rPr>
              <w:t>esponsabilité de l’autorité de gestion art. 59, par. 4, point d), avec l’art. 59, par. 4, point g), du règlement (UE) nº 1305/2013, 2014-2022 (en %)</w:t>
            </w:r>
          </w:p>
        </w:tc>
        <w:tc>
          <w:tcPr>
            <w:tcW w:w="2400" w:type="dxa"/>
            <w:shd w:val="clear" w:color="auto" w:fill="C0C0C0"/>
            <w:tcMar>
              <w:top w:w="60" w:type="dxa"/>
            </w:tcMar>
          </w:tcPr>
          <w:p w:rsidR="0035701C" w:rsidRDefault="00FB561B">
            <w:pPr>
              <w:jc w:val="center"/>
              <w:rPr>
                <w:b/>
                <w:sz w:val="20"/>
              </w:rPr>
            </w:pPr>
            <w:r>
              <w:rPr>
                <w:b/>
                <w:sz w:val="20"/>
              </w:rPr>
              <w:t>Montant indicatif du Feader pour les instruments financiers art. 59, par. 4, point d) 2014-2022 (en €)</w:t>
            </w:r>
          </w:p>
        </w:tc>
        <w:tc>
          <w:tcPr>
            <w:tcW w:w="2400" w:type="dxa"/>
            <w:shd w:val="clear" w:color="auto" w:fill="C0C0C0"/>
            <w:tcMar>
              <w:top w:w="60" w:type="dxa"/>
            </w:tcMar>
          </w:tcPr>
          <w:p w:rsidR="0035701C" w:rsidRDefault="00FB561B">
            <w:pPr>
              <w:jc w:val="center"/>
              <w:rPr>
                <w:sz w:val="20"/>
              </w:rPr>
            </w:pPr>
            <w:r>
              <w:rPr>
                <w:b/>
                <w:sz w:val="20"/>
              </w:rPr>
              <w:t>Part</w:t>
            </w:r>
            <w:r>
              <w:rPr>
                <w:b/>
                <w:sz w:val="20"/>
              </w:rPr>
              <w:t>icipation totale prévue de l’Union 2014-2022 (en euros)</w:t>
            </w:r>
          </w:p>
        </w:tc>
      </w:tr>
      <w:tr w:rsidR="0035701C">
        <w:tc>
          <w:tcPr>
            <w:tcW w:w="2400" w:type="dxa"/>
            <w:vMerge w:val="restart"/>
            <w:shd w:val="clear" w:color="auto" w:fill="FFFFFF"/>
            <w:tcMar>
              <w:top w:w="60" w:type="dxa"/>
            </w:tcMar>
          </w:tcPr>
          <w:p w:rsidR="0035701C" w:rsidRDefault="00FB561B">
            <w:pPr>
              <w:jc w:val="left"/>
              <w:rPr>
                <w:sz w:val="16"/>
              </w:rPr>
            </w:pPr>
            <w:r>
              <w:rPr>
                <w:sz w:val="16"/>
              </w:rPr>
              <w:t>Article 59, paragraphe 3, point c), du règlement (UE) n° 1305/2013 - Régions en transition autres que celles visées à l’article 59, paragraphe 3, point b)</w:t>
            </w:r>
          </w:p>
        </w:tc>
        <w:tc>
          <w:tcPr>
            <w:tcW w:w="2400" w:type="dxa"/>
            <w:shd w:val="clear" w:color="auto" w:fill="FFFFFF"/>
            <w:tcMar>
              <w:top w:w="60" w:type="dxa"/>
            </w:tcMar>
          </w:tcPr>
          <w:p w:rsidR="0035701C" w:rsidRDefault="00FB561B">
            <w:pPr>
              <w:jc w:val="left"/>
              <w:rPr>
                <w:sz w:val="16"/>
              </w:rPr>
            </w:pPr>
            <w:r>
              <w:rPr>
                <w:sz w:val="16"/>
              </w:rPr>
              <w:t>Main</w:t>
            </w:r>
          </w:p>
        </w:tc>
        <w:tc>
          <w:tcPr>
            <w:tcW w:w="2400" w:type="dxa"/>
            <w:shd w:val="clear" w:color="auto" w:fill="FFFFFF"/>
            <w:tcMar>
              <w:top w:w="60" w:type="dxa"/>
            </w:tcMar>
          </w:tcPr>
          <w:p w:rsidR="0035701C" w:rsidRDefault="00FB561B">
            <w:pPr>
              <w:jc w:val="right"/>
              <w:rPr>
                <w:sz w:val="16"/>
              </w:rPr>
            </w:pPr>
            <w:r>
              <w:rPr>
                <w:sz w:val="16"/>
              </w:rPr>
              <w:t>50%</w:t>
            </w: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FB561B">
            <w:pPr>
              <w:jc w:val="right"/>
              <w:rPr>
                <w:sz w:val="16"/>
              </w:rPr>
            </w:pPr>
            <w:r>
              <w:rPr>
                <w:sz w:val="16"/>
              </w:rPr>
              <w:t>0,00 (P4)</w:t>
            </w:r>
          </w:p>
        </w:tc>
      </w:tr>
      <w:tr w:rsidR="0035701C">
        <w:tc>
          <w:tcPr>
            <w:tcW w:w="2400" w:type="dxa"/>
            <w:vMerge/>
            <w:shd w:val="clear" w:color="auto" w:fill="FFFFFF"/>
            <w:tcMar>
              <w:top w:w="60" w:type="dxa"/>
            </w:tcMar>
          </w:tcPr>
          <w:p w:rsidR="0035701C" w:rsidRDefault="0035701C">
            <w:pPr>
              <w:jc w:val="left"/>
              <w:rPr>
                <w:sz w:val="16"/>
              </w:rPr>
            </w:pPr>
          </w:p>
        </w:tc>
        <w:tc>
          <w:tcPr>
            <w:tcW w:w="2400" w:type="dxa"/>
            <w:shd w:val="clear" w:color="auto" w:fill="FFFFFF"/>
            <w:tcMar>
              <w:top w:w="60" w:type="dxa"/>
            </w:tcMar>
          </w:tcPr>
          <w:p w:rsidR="0035701C" w:rsidRDefault="00FB561B">
            <w:pPr>
              <w:jc w:val="left"/>
              <w:rPr>
                <w:sz w:val="16"/>
              </w:rPr>
            </w:pPr>
            <w:r>
              <w:rPr>
                <w:sz w:val="16"/>
              </w:rPr>
              <w:t xml:space="preserve">Article 59, </w:t>
            </w:r>
            <w:r>
              <w:rPr>
                <w:sz w:val="16"/>
              </w:rPr>
              <w:t>paragraphe 4, point b), du règlement (UE) n° 1305/2013 - Opérations contribuant à la réalisation des objectifs en matière d’environnement, d’atténuation des changements climatiques et d’adaptation à ces changements au titre de l’article 17, de l’article 22</w:t>
            </w:r>
            <w:r>
              <w:rPr>
                <w:sz w:val="16"/>
              </w:rPr>
              <w:t>, paragraphe 1, points a) et b), des articles 28, 29, 30, 31 et 34</w:t>
            </w:r>
          </w:p>
        </w:tc>
        <w:tc>
          <w:tcPr>
            <w:tcW w:w="2400" w:type="dxa"/>
            <w:shd w:val="clear" w:color="auto" w:fill="FFFFFF"/>
            <w:tcMar>
              <w:top w:w="60" w:type="dxa"/>
            </w:tcMar>
          </w:tcPr>
          <w:p w:rsidR="0035701C" w:rsidRDefault="00FB561B">
            <w:pPr>
              <w:jc w:val="right"/>
              <w:rPr>
                <w:sz w:val="16"/>
              </w:rPr>
            </w:pPr>
            <w:r>
              <w:rPr>
                <w:sz w:val="16"/>
              </w:rPr>
              <w:t>75%</w:t>
            </w: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FB561B">
            <w:pPr>
              <w:jc w:val="right"/>
              <w:rPr>
                <w:sz w:val="16"/>
              </w:rPr>
            </w:pPr>
            <w:r>
              <w:rPr>
                <w:sz w:val="16"/>
              </w:rPr>
              <w:t>5 850 000,25 (P4)</w:t>
            </w:r>
          </w:p>
        </w:tc>
      </w:tr>
      <w:tr w:rsidR="0035701C">
        <w:tc>
          <w:tcPr>
            <w:tcW w:w="14400" w:type="dxa"/>
            <w:gridSpan w:val="6"/>
            <w:shd w:val="clear" w:color="auto" w:fill="C0C0C0"/>
            <w:tcMar>
              <w:top w:w="60" w:type="dxa"/>
            </w:tcMar>
          </w:tcPr>
          <w:p w:rsidR="0035701C" w:rsidRDefault="00FB561B">
            <w:pPr>
              <w:jc w:val="center"/>
              <w:rPr>
                <w:sz w:val="16"/>
              </w:rPr>
            </w:pPr>
            <w:r>
              <w:rPr>
                <w:sz w:val="16"/>
              </w:rPr>
              <w:t>Total (EAFRD only)</w:t>
            </w:r>
            <w:r>
              <w:rPr>
                <w:sz w:val="16"/>
              </w:rPr>
              <w:br/>
              <w:t>Total (EURI only)</w:t>
            </w:r>
            <w:r>
              <w:rPr>
                <w:sz w:val="16"/>
              </w:rPr>
              <w:br/>
              <w:t>Total (EAFRD + EURI)</w:t>
            </w:r>
          </w:p>
        </w:tc>
        <w:tc>
          <w:tcPr>
            <w:tcW w:w="2400" w:type="dxa"/>
            <w:shd w:val="clear" w:color="auto" w:fill="C0C0C0"/>
            <w:tcMar>
              <w:top w:w="60" w:type="dxa"/>
            </w:tcMar>
          </w:tcPr>
          <w:p w:rsidR="0035701C" w:rsidRDefault="00FB561B">
            <w:pPr>
              <w:jc w:val="right"/>
              <w:rPr>
                <w:sz w:val="16"/>
              </w:rPr>
            </w:pPr>
            <w:r>
              <w:rPr>
                <w:sz w:val="16"/>
              </w:rPr>
              <w:t>0,00</w:t>
            </w:r>
            <w:r>
              <w:rPr>
                <w:sz w:val="16"/>
              </w:rPr>
              <w:br/>
              <w:t>0,00</w:t>
            </w:r>
            <w:r>
              <w:rPr>
                <w:sz w:val="16"/>
              </w:rPr>
              <w:br/>
              <w:t>0,00</w:t>
            </w:r>
          </w:p>
        </w:tc>
        <w:tc>
          <w:tcPr>
            <w:tcW w:w="2400" w:type="dxa"/>
            <w:shd w:val="clear" w:color="auto" w:fill="C0C0C0"/>
            <w:tcMar>
              <w:top w:w="60" w:type="dxa"/>
            </w:tcMar>
          </w:tcPr>
          <w:p w:rsidR="0035701C" w:rsidRDefault="00FB561B">
            <w:pPr>
              <w:jc w:val="right"/>
              <w:rPr>
                <w:sz w:val="16"/>
              </w:rPr>
            </w:pPr>
            <w:r>
              <w:rPr>
                <w:sz w:val="16"/>
              </w:rPr>
              <w:t>5 850 000,25</w:t>
            </w:r>
            <w:r>
              <w:rPr>
                <w:sz w:val="16"/>
              </w:rPr>
              <w:br/>
              <w:t>0,00</w:t>
            </w:r>
            <w:r>
              <w:rPr>
                <w:sz w:val="16"/>
              </w:rPr>
              <w:br/>
              <w:t>5 850 000,25</w:t>
            </w:r>
          </w:p>
        </w:tc>
      </w:tr>
    </w:tbl>
    <w:p w:rsidR="0035701C" w:rsidRDefault="00FB561B">
      <w:pPr>
        <w:pStyle w:val="Titre3"/>
        <w:jc w:val="left"/>
      </w:pPr>
      <w:r>
        <w:rPr>
          <w:b/>
        </w:rPr>
        <w:br w:type="page"/>
      </w:r>
      <w:bookmarkStart w:id="133" w:name="_Toc256000132"/>
      <w:r>
        <w:t xml:space="preserve">M13 - Paiements en faveur des zones soumises à des </w:t>
      </w:r>
      <w:r>
        <w:t>contraintes naturelles ou à d'autres contraintes spécifiques (article 31)</w:t>
      </w:r>
      <w:bookmarkEnd w:id="1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782"/>
        <w:gridCol w:w="1782"/>
        <w:gridCol w:w="1782"/>
        <w:gridCol w:w="1782"/>
        <w:gridCol w:w="1782"/>
        <w:gridCol w:w="1782"/>
        <w:gridCol w:w="1782"/>
        <w:gridCol w:w="1782"/>
      </w:tblGrid>
      <w:tr w:rsidR="0035701C">
        <w:tc>
          <w:tcPr>
            <w:tcW w:w="4800" w:type="dxa"/>
            <w:gridSpan w:val="2"/>
            <w:shd w:val="clear" w:color="auto" w:fill="C0C0C0"/>
            <w:tcMar>
              <w:top w:w="60" w:type="dxa"/>
            </w:tcMar>
          </w:tcPr>
          <w:p w:rsidR="0035701C" w:rsidRDefault="00FB561B">
            <w:pPr>
              <w:jc w:val="center"/>
              <w:rPr>
                <w:b/>
                <w:sz w:val="20"/>
              </w:rPr>
            </w:pPr>
            <w:r>
              <w:rPr>
                <w:b/>
                <w:sz w:val="20"/>
              </w:rPr>
              <w:t>Types de régions et dotations complémentaires</w:t>
            </w:r>
          </w:p>
        </w:tc>
        <w:tc>
          <w:tcPr>
            <w:tcW w:w="2400" w:type="dxa"/>
            <w:shd w:val="clear" w:color="auto" w:fill="C0C0C0"/>
            <w:tcMar>
              <w:top w:w="60" w:type="dxa"/>
            </w:tcMar>
          </w:tcPr>
          <w:p w:rsidR="0035701C" w:rsidRDefault="00FB561B">
            <w:pPr>
              <w:jc w:val="center"/>
              <w:rPr>
                <w:b/>
                <w:sz w:val="20"/>
              </w:rPr>
            </w:pPr>
            <w:r>
              <w:rPr>
                <w:b/>
                <w:sz w:val="20"/>
              </w:rPr>
              <w:t>Taux de participation du Feader applicable 2014-2022 (en %)</w:t>
            </w:r>
          </w:p>
        </w:tc>
        <w:tc>
          <w:tcPr>
            <w:tcW w:w="2400" w:type="dxa"/>
            <w:shd w:val="clear" w:color="auto" w:fill="C0C0C0"/>
            <w:tcMar>
              <w:top w:w="60" w:type="dxa"/>
            </w:tcMar>
          </w:tcPr>
          <w:p w:rsidR="0035701C" w:rsidRDefault="00FB561B">
            <w:pPr>
              <w:jc w:val="center"/>
              <w:rPr>
                <w:b/>
                <w:sz w:val="20"/>
              </w:rPr>
            </w:pPr>
            <w:r>
              <w:rPr>
                <w:b/>
                <w:sz w:val="20"/>
              </w:rPr>
              <w:t xml:space="preserve">Taux de participation du Feader applicable avec l’article 59, paragraphe 4, </w:t>
            </w:r>
            <w:r>
              <w:rPr>
                <w:b/>
                <w:sz w:val="20"/>
              </w:rPr>
              <w:t>point g), du règlement (UE) nº 1305/2013, 2014-2022 (%)</w:t>
            </w:r>
          </w:p>
        </w:tc>
        <w:tc>
          <w:tcPr>
            <w:tcW w:w="2400" w:type="dxa"/>
            <w:shd w:val="clear" w:color="auto" w:fill="C0C0C0"/>
            <w:tcMar>
              <w:top w:w="60" w:type="dxa"/>
            </w:tcMar>
          </w:tcPr>
          <w:p w:rsidR="0035701C" w:rsidRDefault="00FB561B">
            <w:pPr>
              <w:jc w:val="center"/>
              <w:rPr>
                <w:b/>
                <w:sz w:val="20"/>
              </w:rPr>
            </w:pPr>
            <w:r>
              <w:rPr>
                <w:b/>
                <w:sz w:val="20"/>
              </w:rPr>
              <w:t>Taux applicable aux instruments financiers sous la responsabilité de l’autorité de gestion art. 59, par. 4, point d) 2014-2022 (en %)</w:t>
            </w:r>
          </w:p>
        </w:tc>
        <w:tc>
          <w:tcPr>
            <w:tcW w:w="2400" w:type="dxa"/>
            <w:shd w:val="clear" w:color="auto" w:fill="C0C0C0"/>
            <w:tcMar>
              <w:top w:w="60" w:type="dxa"/>
            </w:tcMar>
          </w:tcPr>
          <w:p w:rsidR="0035701C" w:rsidRDefault="00FB561B">
            <w:pPr>
              <w:jc w:val="center"/>
              <w:rPr>
                <w:b/>
                <w:sz w:val="20"/>
              </w:rPr>
            </w:pPr>
            <w:r>
              <w:rPr>
                <w:b/>
                <w:sz w:val="20"/>
              </w:rPr>
              <w:t xml:space="preserve">Taux applicable aux instruments financiers sous la responsabilité </w:t>
            </w:r>
            <w:r>
              <w:rPr>
                <w:b/>
                <w:sz w:val="20"/>
              </w:rPr>
              <w:t>de l’autorité de gestion art. 59, par. 4, point d), avec l’art. 59, par. 4, point g), du règlement (UE) nº 1305/2013, 2014-2022 (en %)</w:t>
            </w:r>
          </w:p>
        </w:tc>
        <w:tc>
          <w:tcPr>
            <w:tcW w:w="2400" w:type="dxa"/>
            <w:shd w:val="clear" w:color="auto" w:fill="C0C0C0"/>
            <w:tcMar>
              <w:top w:w="60" w:type="dxa"/>
            </w:tcMar>
          </w:tcPr>
          <w:p w:rsidR="0035701C" w:rsidRDefault="00FB561B">
            <w:pPr>
              <w:jc w:val="center"/>
              <w:rPr>
                <w:b/>
                <w:sz w:val="20"/>
              </w:rPr>
            </w:pPr>
            <w:r>
              <w:rPr>
                <w:b/>
                <w:sz w:val="20"/>
              </w:rPr>
              <w:t>Montant indicatif du Feader pour les instruments financiers art. 59, par. 4, point d) 2014-2022 (en €)</w:t>
            </w:r>
          </w:p>
        </w:tc>
        <w:tc>
          <w:tcPr>
            <w:tcW w:w="2400" w:type="dxa"/>
            <w:shd w:val="clear" w:color="auto" w:fill="C0C0C0"/>
            <w:tcMar>
              <w:top w:w="60" w:type="dxa"/>
            </w:tcMar>
          </w:tcPr>
          <w:p w:rsidR="0035701C" w:rsidRDefault="00FB561B">
            <w:pPr>
              <w:jc w:val="center"/>
              <w:rPr>
                <w:sz w:val="20"/>
              </w:rPr>
            </w:pPr>
            <w:r>
              <w:rPr>
                <w:b/>
                <w:sz w:val="20"/>
              </w:rPr>
              <w:t>Participation tota</w:t>
            </w:r>
            <w:r>
              <w:rPr>
                <w:b/>
                <w:sz w:val="20"/>
              </w:rPr>
              <w:t>le prévue de l’Union 2014-2022 (en euros)</w:t>
            </w:r>
          </w:p>
        </w:tc>
      </w:tr>
      <w:tr w:rsidR="0035701C">
        <w:tc>
          <w:tcPr>
            <w:tcW w:w="2400" w:type="dxa"/>
            <w:vMerge w:val="restart"/>
            <w:shd w:val="clear" w:color="auto" w:fill="FFFFFF"/>
            <w:tcMar>
              <w:top w:w="60" w:type="dxa"/>
            </w:tcMar>
          </w:tcPr>
          <w:p w:rsidR="0035701C" w:rsidRDefault="00FB561B">
            <w:pPr>
              <w:jc w:val="left"/>
              <w:rPr>
                <w:sz w:val="16"/>
              </w:rPr>
            </w:pPr>
            <w:r>
              <w:rPr>
                <w:sz w:val="16"/>
              </w:rPr>
              <w:t>Article 59, paragraphe 3, point c), du règlement (UE) n° 1305/2013 - Régions en transition autres que celles visées à l’article 59, paragraphe 3, point b)</w:t>
            </w:r>
          </w:p>
        </w:tc>
        <w:tc>
          <w:tcPr>
            <w:tcW w:w="2400" w:type="dxa"/>
            <w:shd w:val="clear" w:color="auto" w:fill="FFFFFF"/>
            <w:tcMar>
              <w:top w:w="60" w:type="dxa"/>
            </w:tcMar>
          </w:tcPr>
          <w:p w:rsidR="0035701C" w:rsidRDefault="00FB561B">
            <w:pPr>
              <w:jc w:val="left"/>
              <w:rPr>
                <w:sz w:val="16"/>
              </w:rPr>
            </w:pPr>
            <w:r>
              <w:rPr>
                <w:sz w:val="16"/>
              </w:rPr>
              <w:t xml:space="preserve">Article 59, paragraphe 4, point b), du règlement (UE) </w:t>
            </w:r>
            <w:r>
              <w:rPr>
                <w:sz w:val="16"/>
              </w:rPr>
              <w:t>n° 1305/2013 - Opérations contribuant à la réalisation des objectifs en matière d’environnement, d’atténuation des changements climatiques et d’adaptation à ces changements au titre de l’article 17, de l’article 22, paragraphe 1, points a) et b), des artic</w:t>
            </w:r>
            <w:r>
              <w:rPr>
                <w:sz w:val="16"/>
              </w:rPr>
              <w:t>les 28, 29, 30, 31 et 34</w:t>
            </w:r>
          </w:p>
        </w:tc>
        <w:tc>
          <w:tcPr>
            <w:tcW w:w="2400" w:type="dxa"/>
            <w:shd w:val="clear" w:color="auto" w:fill="FFFFFF"/>
            <w:tcMar>
              <w:top w:w="60" w:type="dxa"/>
            </w:tcMar>
          </w:tcPr>
          <w:p w:rsidR="0035701C" w:rsidRDefault="00FB561B">
            <w:pPr>
              <w:jc w:val="right"/>
              <w:rPr>
                <w:sz w:val="16"/>
              </w:rPr>
            </w:pPr>
            <w:r>
              <w:rPr>
                <w:sz w:val="16"/>
              </w:rPr>
              <w:t>75%</w:t>
            </w: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FB561B">
            <w:pPr>
              <w:jc w:val="right"/>
              <w:rPr>
                <w:sz w:val="16"/>
              </w:rPr>
            </w:pPr>
            <w:r>
              <w:rPr>
                <w:sz w:val="16"/>
              </w:rPr>
              <w:t>83 932 233,25 (P4)</w:t>
            </w:r>
          </w:p>
        </w:tc>
      </w:tr>
      <w:tr w:rsidR="0035701C">
        <w:tc>
          <w:tcPr>
            <w:tcW w:w="2400" w:type="dxa"/>
            <w:vMerge/>
            <w:shd w:val="clear" w:color="auto" w:fill="FFFFFF"/>
            <w:tcMar>
              <w:top w:w="60" w:type="dxa"/>
            </w:tcMar>
          </w:tcPr>
          <w:p w:rsidR="0035701C" w:rsidRDefault="0035701C">
            <w:pPr>
              <w:jc w:val="left"/>
              <w:rPr>
                <w:sz w:val="16"/>
              </w:rPr>
            </w:pPr>
          </w:p>
        </w:tc>
        <w:tc>
          <w:tcPr>
            <w:tcW w:w="2400" w:type="dxa"/>
            <w:shd w:val="clear" w:color="auto" w:fill="FFFFFF"/>
            <w:tcMar>
              <w:top w:w="60" w:type="dxa"/>
            </w:tcMar>
          </w:tcPr>
          <w:p w:rsidR="0035701C" w:rsidRDefault="00FB561B">
            <w:pPr>
              <w:jc w:val="left"/>
              <w:rPr>
                <w:sz w:val="16"/>
              </w:rPr>
            </w:pPr>
            <w:r>
              <w:rPr>
                <w:sz w:val="16"/>
              </w:rPr>
              <w:t>Article 59, paragraphe 4, point e), du règlement (UE) n° 1305/2013 - Opérations bénéficiant d'un financement provenant de ressources transférées au Feader en application de l'article 7, paragraphe 2, et</w:t>
            </w:r>
            <w:r>
              <w:rPr>
                <w:sz w:val="16"/>
              </w:rPr>
              <w:t xml:space="preserve"> de l'article 14, paragraphe 1, du règlement (UE) n° 1307/2013</w:t>
            </w:r>
          </w:p>
        </w:tc>
        <w:tc>
          <w:tcPr>
            <w:tcW w:w="2400" w:type="dxa"/>
            <w:shd w:val="clear" w:color="auto" w:fill="FFFFFF"/>
            <w:tcMar>
              <w:top w:w="60" w:type="dxa"/>
            </w:tcMar>
          </w:tcPr>
          <w:p w:rsidR="0035701C" w:rsidRDefault="00FB561B">
            <w:pPr>
              <w:jc w:val="right"/>
              <w:rPr>
                <w:sz w:val="16"/>
              </w:rPr>
            </w:pPr>
            <w:r>
              <w:rPr>
                <w:sz w:val="16"/>
              </w:rPr>
              <w:t>75%</w:t>
            </w: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FB561B">
            <w:pPr>
              <w:jc w:val="right"/>
              <w:rPr>
                <w:sz w:val="16"/>
              </w:rPr>
            </w:pPr>
            <w:r>
              <w:rPr>
                <w:sz w:val="16"/>
              </w:rPr>
              <w:t>17 219 287,00 (P4)</w:t>
            </w:r>
          </w:p>
        </w:tc>
      </w:tr>
      <w:tr w:rsidR="0035701C">
        <w:tc>
          <w:tcPr>
            <w:tcW w:w="14400" w:type="dxa"/>
            <w:gridSpan w:val="6"/>
            <w:shd w:val="clear" w:color="auto" w:fill="C0C0C0"/>
            <w:tcMar>
              <w:top w:w="60" w:type="dxa"/>
            </w:tcMar>
          </w:tcPr>
          <w:p w:rsidR="0035701C" w:rsidRDefault="00FB561B">
            <w:pPr>
              <w:jc w:val="center"/>
              <w:rPr>
                <w:sz w:val="16"/>
              </w:rPr>
            </w:pPr>
            <w:r>
              <w:rPr>
                <w:sz w:val="16"/>
              </w:rPr>
              <w:t>Total (EAFRD only)</w:t>
            </w:r>
            <w:r>
              <w:rPr>
                <w:sz w:val="16"/>
              </w:rPr>
              <w:br/>
              <w:t>Total (EURI only)</w:t>
            </w:r>
            <w:r>
              <w:rPr>
                <w:sz w:val="16"/>
              </w:rPr>
              <w:br/>
              <w:t>Total (EAFRD + EURI)</w:t>
            </w:r>
          </w:p>
        </w:tc>
        <w:tc>
          <w:tcPr>
            <w:tcW w:w="2400" w:type="dxa"/>
            <w:shd w:val="clear" w:color="auto" w:fill="C0C0C0"/>
            <w:tcMar>
              <w:top w:w="60" w:type="dxa"/>
            </w:tcMar>
          </w:tcPr>
          <w:p w:rsidR="0035701C" w:rsidRDefault="00FB561B">
            <w:pPr>
              <w:jc w:val="right"/>
              <w:rPr>
                <w:sz w:val="16"/>
              </w:rPr>
            </w:pPr>
            <w:r>
              <w:rPr>
                <w:sz w:val="16"/>
              </w:rPr>
              <w:t>0,00</w:t>
            </w:r>
            <w:r>
              <w:rPr>
                <w:sz w:val="16"/>
              </w:rPr>
              <w:br/>
              <w:t>0,00</w:t>
            </w:r>
            <w:r>
              <w:rPr>
                <w:sz w:val="16"/>
              </w:rPr>
              <w:br/>
              <w:t>0,00</w:t>
            </w:r>
          </w:p>
        </w:tc>
        <w:tc>
          <w:tcPr>
            <w:tcW w:w="2400" w:type="dxa"/>
            <w:shd w:val="clear" w:color="auto" w:fill="C0C0C0"/>
            <w:tcMar>
              <w:top w:w="60" w:type="dxa"/>
            </w:tcMar>
          </w:tcPr>
          <w:p w:rsidR="0035701C" w:rsidRDefault="00FB561B">
            <w:pPr>
              <w:jc w:val="right"/>
              <w:rPr>
                <w:sz w:val="16"/>
              </w:rPr>
            </w:pPr>
            <w:r>
              <w:rPr>
                <w:sz w:val="16"/>
              </w:rPr>
              <w:t>101 151 520,25</w:t>
            </w:r>
            <w:r>
              <w:rPr>
                <w:sz w:val="16"/>
              </w:rPr>
              <w:br/>
              <w:t>0,00</w:t>
            </w:r>
            <w:r>
              <w:rPr>
                <w:sz w:val="16"/>
              </w:rPr>
              <w:br/>
              <w:t>101 151 520,25</w:t>
            </w:r>
          </w:p>
        </w:tc>
      </w:tr>
    </w:tbl>
    <w:p w:rsidR="0035701C" w:rsidRDefault="00FB561B">
      <w:pPr>
        <w:pStyle w:val="Titre3"/>
        <w:jc w:val="left"/>
      </w:pPr>
      <w:r>
        <w:rPr>
          <w:b/>
        </w:rPr>
        <w:br w:type="page"/>
      </w:r>
      <w:bookmarkStart w:id="134" w:name="_Toc256000133"/>
      <w:r>
        <w:t xml:space="preserve">M19 - Soutien au développement local Leader (CLLD - </w:t>
      </w:r>
      <w:r>
        <w:t>développement local mené par les acteurs locaux) (article 35 du règlement (UE) n° 1303/2013)</w:t>
      </w:r>
      <w:bookmarkEnd w:id="13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782"/>
        <w:gridCol w:w="1782"/>
        <w:gridCol w:w="1782"/>
        <w:gridCol w:w="1782"/>
        <w:gridCol w:w="1782"/>
        <w:gridCol w:w="1782"/>
        <w:gridCol w:w="1782"/>
        <w:gridCol w:w="1782"/>
      </w:tblGrid>
      <w:tr w:rsidR="0035701C">
        <w:tc>
          <w:tcPr>
            <w:tcW w:w="4800" w:type="dxa"/>
            <w:gridSpan w:val="2"/>
            <w:shd w:val="clear" w:color="auto" w:fill="C0C0C0"/>
            <w:tcMar>
              <w:top w:w="60" w:type="dxa"/>
            </w:tcMar>
          </w:tcPr>
          <w:p w:rsidR="0035701C" w:rsidRDefault="00FB561B">
            <w:pPr>
              <w:jc w:val="center"/>
              <w:rPr>
                <w:b/>
                <w:sz w:val="20"/>
              </w:rPr>
            </w:pPr>
            <w:r>
              <w:rPr>
                <w:b/>
                <w:sz w:val="20"/>
              </w:rPr>
              <w:t>Types de régions et dotations complémentaires</w:t>
            </w:r>
          </w:p>
        </w:tc>
        <w:tc>
          <w:tcPr>
            <w:tcW w:w="2400" w:type="dxa"/>
            <w:shd w:val="clear" w:color="auto" w:fill="C0C0C0"/>
            <w:tcMar>
              <w:top w:w="60" w:type="dxa"/>
            </w:tcMar>
          </w:tcPr>
          <w:p w:rsidR="0035701C" w:rsidRDefault="00FB561B">
            <w:pPr>
              <w:jc w:val="center"/>
              <w:rPr>
                <w:b/>
                <w:sz w:val="20"/>
              </w:rPr>
            </w:pPr>
            <w:r>
              <w:rPr>
                <w:b/>
                <w:sz w:val="20"/>
              </w:rPr>
              <w:t>Taux de participation du Feader applicable 2014-2022 (en %)</w:t>
            </w:r>
          </w:p>
        </w:tc>
        <w:tc>
          <w:tcPr>
            <w:tcW w:w="2400" w:type="dxa"/>
            <w:shd w:val="clear" w:color="auto" w:fill="C0C0C0"/>
            <w:tcMar>
              <w:top w:w="60" w:type="dxa"/>
            </w:tcMar>
          </w:tcPr>
          <w:p w:rsidR="0035701C" w:rsidRDefault="00FB561B">
            <w:pPr>
              <w:jc w:val="center"/>
              <w:rPr>
                <w:b/>
                <w:sz w:val="20"/>
              </w:rPr>
            </w:pPr>
            <w:r>
              <w:rPr>
                <w:b/>
                <w:sz w:val="20"/>
              </w:rPr>
              <w:t>Taux de participation du Feader applicable avec l’article</w:t>
            </w:r>
            <w:r>
              <w:rPr>
                <w:b/>
                <w:sz w:val="20"/>
              </w:rPr>
              <w:t> 59, paragraphe 4, point g), du règlement (UE) nº 1305/2013, 2014-2022 (%)</w:t>
            </w:r>
          </w:p>
        </w:tc>
        <w:tc>
          <w:tcPr>
            <w:tcW w:w="2400" w:type="dxa"/>
            <w:shd w:val="clear" w:color="auto" w:fill="C0C0C0"/>
            <w:tcMar>
              <w:top w:w="60" w:type="dxa"/>
            </w:tcMar>
          </w:tcPr>
          <w:p w:rsidR="0035701C" w:rsidRDefault="00FB561B">
            <w:pPr>
              <w:jc w:val="center"/>
              <w:rPr>
                <w:b/>
                <w:sz w:val="20"/>
              </w:rPr>
            </w:pPr>
            <w:r>
              <w:rPr>
                <w:b/>
                <w:sz w:val="20"/>
              </w:rPr>
              <w:t>Taux applicable aux instruments financiers sous la responsabilité de l’autorité de gestion art. 59, par. 4, point d) 2014-2022 (en %)</w:t>
            </w:r>
          </w:p>
        </w:tc>
        <w:tc>
          <w:tcPr>
            <w:tcW w:w="2400" w:type="dxa"/>
            <w:shd w:val="clear" w:color="auto" w:fill="C0C0C0"/>
            <w:tcMar>
              <w:top w:w="60" w:type="dxa"/>
            </w:tcMar>
          </w:tcPr>
          <w:p w:rsidR="0035701C" w:rsidRDefault="00FB561B">
            <w:pPr>
              <w:jc w:val="center"/>
              <w:rPr>
                <w:b/>
                <w:sz w:val="20"/>
              </w:rPr>
            </w:pPr>
            <w:r>
              <w:rPr>
                <w:b/>
                <w:sz w:val="20"/>
              </w:rPr>
              <w:t>Taux applicable aux instruments financiers sous</w:t>
            </w:r>
            <w:r>
              <w:rPr>
                <w:b/>
                <w:sz w:val="20"/>
              </w:rPr>
              <w:t xml:space="preserve"> la responsabilité de l’autorité de gestion art. 59, par. 4, point d), avec l’art. 59, par. 4, point g), du règlement (UE) nº 1305/2013, 2014-2022 (en %)</w:t>
            </w:r>
          </w:p>
        </w:tc>
        <w:tc>
          <w:tcPr>
            <w:tcW w:w="2400" w:type="dxa"/>
            <w:shd w:val="clear" w:color="auto" w:fill="C0C0C0"/>
            <w:tcMar>
              <w:top w:w="60" w:type="dxa"/>
            </w:tcMar>
          </w:tcPr>
          <w:p w:rsidR="0035701C" w:rsidRDefault="00FB561B">
            <w:pPr>
              <w:jc w:val="center"/>
              <w:rPr>
                <w:b/>
                <w:sz w:val="20"/>
              </w:rPr>
            </w:pPr>
            <w:r>
              <w:rPr>
                <w:b/>
                <w:sz w:val="20"/>
              </w:rPr>
              <w:t>Montant indicatif du Feader pour les instruments financiers art. 59, par. 4, point d) 2014-2022 (en €)</w:t>
            </w:r>
          </w:p>
        </w:tc>
        <w:tc>
          <w:tcPr>
            <w:tcW w:w="2400" w:type="dxa"/>
            <w:shd w:val="clear" w:color="auto" w:fill="C0C0C0"/>
            <w:tcMar>
              <w:top w:w="60" w:type="dxa"/>
            </w:tcMar>
          </w:tcPr>
          <w:p w:rsidR="0035701C" w:rsidRDefault="00FB561B">
            <w:pPr>
              <w:jc w:val="center"/>
              <w:rPr>
                <w:sz w:val="20"/>
              </w:rPr>
            </w:pPr>
            <w:r>
              <w:rPr>
                <w:b/>
                <w:sz w:val="20"/>
              </w:rPr>
              <w:t>Participation totale prévue de l’Union 2014-2022 (en euros)</w:t>
            </w:r>
          </w:p>
        </w:tc>
      </w:tr>
      <w:tr w:rsidR="0035701C">
        <w:tc>
          <w:tcPr>
            <w:tcW w:w="2400" w:type="dxa"/>
            <w:vMerge w:val="restart"/>
            <w:shd w:val="clear" w:color="auto" w:fill="FFFFFF"/>
            <w:tcMar>
              <w:top w:w="60" w:type="dxa"/>
            </w:tcMar>
          </w:tcPr>
          <w:p w:rsidR="0035701C" w:rsidRDefault="00FB561B">
            <w:pPr>
              <w:jc w:val="left"/>
              <w:rPr>
                <w:sz w:val="16"/>
              </w:rPr>
            </w:pPr>
            <w:r>
              <w:rPr>
                <w:sz w:val="16"/>
              </w:rPr>
              <w:t>Article 59, paragraphe 3, point c), du règlement (UE) n° 1305/2013 - Régions en transition autres que celles visées à l’article 59, paragraphe 3, point b)</w:t>
            </w:r>
          </w:p>
        </w:tc>
        <w:tc>
          <w:tcPr>
            <w:tcW w:w="2400" w:type="dxa"/>
            <w:shd w:val="clear" w:color="auto" w:fill="FFFFFF"/>
            <w:tcMar>
              <w:top w:w="60" w:type="dxa"/>
            </w:tcMar>
          </w:tcPr>
          <w:p w:rsidR="0035701C" w:rsidRDefault="00FB561B">
            <w:pPr>
              <w:jc w:val="left"/>
              <w:rPr>
                <w:sz w:val="16"/>
              </w:rPr>
            </w:pPr>
            <w:r>
              <w:rPr>
                <w:sz w:val="16"/>
              </w:rPr>
              <w:t>Main</w:t>
            </w:r>
          </w:p>
        </w:tc>
        <w:tc>
          <w:tcPr>
            <w:tcW w:w="2400" w:type="dxa"/>
            <w:shd w:val="clear" w:color="auto" w:fill="FFFFFF"/>
            <w:tcMar>
              <w:top w:w="60" w:type="dxa"/>
            </w:tcMar>
          </w:tcPr>
          <w:p w:rsidR="0035701C" w:rsidRDefault="00FB561B">
            <w:pPr>
              <w:jc w:val="right"/>
              <w:rPr>
                <w:sz w:val="16"/>
              </w:rPr>
            </w:pPr>
            <w:r>
              <w:rPr>
                <w:sz w:val="16"/>
              </w:rPr>
              <w:t>50%</w:t>
            </w: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FB561B">
            <w:pPr>
              <w:jc w:val="right"/>
              <w:rPr>
                <w:sz w:val="16"/>
              </w:rPr>
            </w:pPr>
            <w:r>
              <w:rPr>
                <w:sz w:val="16"/>
              </w:rPr>
              <w:t>0,00 (6B)</w:t>
            </w:r>
          </w:p>
        </w:tc>
      </w:tr>
      <w:tr w:rsidR="0035701C">
        <w:tc>
          <w:tcPr>
            <w:tcW w:w="2400" w:type="dxa"/>
            <w:vMerge/>
            <w:shd w:val="clear" w:color="auto" w:fill="FFFFFF"/>
            <w:tcMar>
              <w:top w:w="60" w:type="dxa"/>
            </w:tcMar>
          </w:tcPr>
          <w:p w:rsidR="0035701C" w:rsidRDefault="0035701C">
            <w:pPr>
              <w:jc w:val="left"/>
              <w:rPr>
                <w:sz w:val="16"/>
              </w:rPr>
            </w:pPr>
          </w:p>
        </w:tc>
        <w:tc>
          <w:tcPr>
            <w:tcW w:w="2400" w:type="dxa"/>
            <w:shd w:val="clear" w:color="auto" w:fill="FFFFFF"/>
            <w:tcMar>
              <w:top w:w="60" w:type="dxa"/>
            </w:tcMar>
          </w:tcPr>
          <w:p w:rsidR="0035701C" w:rsidRDefault="00FB561B">
            <w:pPr>
              <w:jc w:val="left"/>
              <w:rPr>
                <w:sz w:val="16"/>
              </w:rPr>
            </w:pPr>
            <w:r>
              <w:rPr>
                <w:sz w:val="16"/>
              </w:rPr>
              <w:t xml:space="preserve">Article 59, </w:t>
            </w:r>
            <w:r>
              <w:rPr>
                <w:sz w:val="16"/>
              </w:rPr>
              <w:t>paragraphe 4, point a), du règlement (UE) n° 1305/2013 - Mesures visées aux articles 14, 27 et 35, pour le développement local dans le cadre de Leader visé à l'article 32 du règlement (UE) n° 1303/2013 et pour les opérations au titre de l'article 19, parag</w:t>
            </w:r>
            <w:r>
              <w:rPr>
                <w:sz w:val="16"/>
              </w:rPr>
              <w:t>raphe 1, point a) i)</w:t>
            </w:r>
          </w:p>
        </w:tc>
        <w:tc>
          <w:tcPr>
            <w:tcW w:w="2400" w:type="dxa"/>
            <w:shd w:val="clear" w:color="auto" w:fill="FFFFFF"/>
            <w:tcMar>
              <w:top w:w="60" w:type="dxa"/>
            </w:tcMar>
          </w:tcPr>
          <w:p w:rsidR="0035701C" w:rsidRDefault="00FB561B">
            <w:pPr>
              <w:jc w:val="right"/>
              <w:rPr>
                <w:sz w:val="16"/>
              </w:rPr>
            </w:pPr>
            <w:r>
              <w:rPr>
                <w:sz w:val="16"/>
              </w:rPr>
              <w:t>80%</w:t>
            </w: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FB561B">
            <w:pPr>
              <w:jc w:val="right"/>
              <w:rPr>
                <w:sz w:val="16"/>
              </w:rPr>
            </w:pPr>
            <w:r>
              <w:rPr>
                <w:sz w:val="16"/>
              </w:rPr>
              <w:t>9 534 500,00 (6B)</w:t>
            </w:r>
          </w:p>
        </w:tc>
      </w:tr>
      <w:tr w:rsidR="0035701C">
        <w:tc>
          <w:tcPr>
            <w:tcW w:w="14400" w:type="dxa"/>
            <w:gridSpan w:val="6"/>
            <w:shd w:val="clear" w:color="auto" w:fill="C0C0C0"/>
            <w:tcMar>
              <w:top w:w="60" w:type="dxa"/>
            </w:tcMar>
          </w:tcPr>
          <w:p w:rsidR="0035701C" w:rsidRDefault="00FB561B">
            <w:pPr>
              <w:jc w:val="center"/>
              <w:rPr>
                <w:sz w:val="16"/>
              </w:rPr>
            </w:pPr>
            <w:r>
              <w:rPr>
                <w:sz w:val="16"/>
              </w:rPr>
              <w:t>Total (EAFRD only)</w:t>
            </w:r>
            <w:r>
              <w:rPr>
                <w:sz w:val="16"/>
              </w:rPr>
              <w:br/>
              <w:t>Total (EURI only)</w:t>
            </w:r>
            <w:r>
              <w:rPr>
                <w:sz w:val="16"/>
              </w:rPr>
              <w:br/>
              <w:t>Total (EAFRD + EURI)</w:t>
            </w:r>
          </w:p>
        </w:tc>
        <w:tc>
          <w:tcPr>
            <w:tcW w:w="2400" w:type="dxa"/>
            <w:shd w:val="clear" w:color="auto" w:fill="C0C0C0"/>
            <w:tcMar>
              <w:top w:w="60" w:type="dxa"/>
            </w:tcMar>
          </w:tcPr>
          <w:p w:rsidR="0035701C" w:rsidRDefault="00FB561B">
            <w:pPr>
              <w:jc w:val="right"/>
              <w:rPr>
                <w:sz w:val="16"/>
              </w:rPr>
            </w:pPr>
            <w:r>
              <w:rPr>
                <w:sz w:val="16"/>
              </w:rPr>
              <w:t>0,00</w:t>
            </w:r>
            <w:r>
              <w:rPr>
                <w:sz w:val="16"/>
              </w:rPr>
              <w:br/>
              <w:t>0,00</w:t>
            </w:r>
            <w:r>
              <w:rPr>
                <w:sz w:val="16"/>
              </w:rPr>
              <w:br/>
              <w:t>0,00</w:t>
            </w:r>
          </w:p>
        </w:tc>
        <w:tc>
          <w:tcPr>
            <w:tcW w:w="2400" w:type="dxa"/>
            <w:shd w:val="clear" w:color="auto" w:fill="C0C0C0"/>
            <w:tcMar>
              <w:top w:w="60" w:type="dxa"/>
            </w:tcMar>
          </w:tcPr>
          <w:p w:rsidR="0035701C" w:rsidRDefault="00FB561B">
            <w:pPr>
              <w:jc w:val="right"/>
              <w:rPr>
                <w:sz w:val="16"/>
              </w:rPr>
            </w:pPr>
            <w:r>
              <w:rPr>
                <w:sz w:val="16"/>
              </w:rPr>
              <w:t>9 534 500,00</w:t>
            </w:r>
            <w:r>
              <w:rPr>
                <w:sz w:val="16"/>
              </w:rPr>
              <w:br/>
              <w:t>0,00</w:t>
            </w:r>
            <w:r>
              <w:rPr>
                <w:sz w:val="16"/>
              </w:rPr>
              <w:br/>
              <w:t>9 534 500,00</w:t>
            </w:r>
          </w:p>
        </w:tc>
      </w:tr>
    </w:tbl>
    <w:p w:rsidR="0035701C" w:rsidRDefault="00FB561B">
      <w:pPr>
        <w:pStyle w:val="Titre3"/>
        <w:jc w:val="left"/>
      </w:pPr>
      <w:r>
        <w:rPr>
          <w:b/>
        </w:rPr>
        <w:br w:type="page"/>
      </w:r>
      <w:bookmarkStart w:id="135" w:name="_Toc256000134"/>
      <w:r>
        <w:t>M20 - Assistance technique demandée par les États membres (articles 51 à 54)</w:t>
      </w:r>
      <w:bookmarkEnd w:id="13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782"/>
        <w:gridCol w:w="1782"/>
        <w:gridCol w:w="1782"/>
        <w:gridCol w:w="1782"/>
        <w:gridCol w:w="1782"/>
        <w:gridCol w:w="1782"/>
        <w:gridCol w:w="1782"/>
        <w:gridCol w:w="1782"/>
      </w:tblGrid>
      <w:tr w:rsidR="0035701C">
        <w:tc>
          <w:tcPr>
            <w:tcW w:w="4800" w:type="dxa"/>
            <w:gridSpan w:val="2"/>
            <w:shd w:val="clear" w:color="auto" w:fill="C0C0C0"/>
            <w:tcMar>
              <w:top w:w="60" w:type="dxa"/>
            </w:tcMar>
          </w:tcPr>
          <w:p w:rsidR="0035701C" w:rsidRDefault="00FB561B">
            <w:pPr>
              <w:jc w:val="center"/>
              <w:rPr>
                <w:b/>
                <w:sz w:val="20"/>
              </w:rPr>
            </w:pPr>
            <w:r>
              <w:rPr>
                <w:b/>
                <w:sz w:val="20"/>
              </w:rPr>
              <w:t xml:space="preserve">Types de régions et </w:t>
            </w:r>
            <w:r>
              <w:rPr>
                <w:b/>
                <w:sz w:val="20"/>
              </w:rPr>
              <w:t>dotations complémentaires</w:t>
            </w:r>
          </w:p>
        </w:tc>
        <w:tc>
          <w:tcPr>
            <w:tcW w:w="2400" w:type="dxa"/>
            <w:shd w:val="clear" w:color="auto" w:fill="C0C0C0"/>
            <w:tcMar>
              <w:top w:w="60" w:type="dxa"/>
            </w:tcMar>
          </w:tcPr>
          <w:p w:rsidR="0035701C" w:rsidRDefault="00FB561B">
            <w:pPr>
              <w:jc w:val="center"/>
              <w:rPr>
                <w:b/>
                <w:sz w:val="20"/>
              </w:rPr>
            </w:pPr>
            <w:r>
              <w:rPr>
                <w:b/>
                <w:sz w:val="20"/>
              </w:rPr>
              <w:t>Taux de participation du Feader applicable 2014-2022 (en %)</w:t>
            </w:r>
          </w:p>
        </w:tc>
        <w:tc>
          <w:tcPr>
            <w:tcW w:w="2400" w:type="dxa"/>
            <w:shd w:val="clear" w:color="auto" w:fill="C0C0C0"/>
            <w:tcMar>
              <w:top w:w="60" w:type="dxa"/>
            </w:tcMar>
          </w:tcPr>
          <w:p w:rsidR="0035701C" w:rsidRDefault="00FB561B">
            <w:pPr>
              <w:jc w:val="center"/>
              <w:rPr>
                <w:b/>
                <w:sz w:val="20"/>
              </w:rPr>
            </w:pPr>
            <w:r>
              <w:rPr>
                <w:b/>
                <w:sz w:val="20"/>
              </w:rPr>
              <w:t>Taux de participation du Feader applicable avec l’article 59, paragraphe 4, point g), du règlement (UE) nº 1305/2013, 2014-2022 (%)</w:t>
            </w:r>
          </w:p>
        </w:tc>
        <w:tc>
          <w:tcPr>
            <w:tcW w:w="2400" w:type="dxa"/>
            <w:shd w:val="clear" w:color="auto" w:fill="C0C0C0"/>
            <w:tcMar>
              <w:top w:w="60" w:type="dxa"/>
            </w:tcMar>
          </w:tcPr>
          <w:p w:rsidR="0035701C" w:rsidRDefault="00FB561B">
            <w:pPr>
              <w:jc w:val="center"/>
              <w:rPr>
                <w:b/>
                <w:sz w:val="20"/>
              </w:rPr>
            </w:pPr>
            <w:r>
              <w:rPr>
                <w:b/>
                <w:sz w:val="20"/>
              </w:rPr>
              <w:t>Taux applicable aux instruments financ</w:t>
            </w:r>
            <w:r>
              <w:rPr>
                <w:b/>
                <w:sz w:val="20"/>
              </w:rPr>
              <w:t>iers sous la responsabilité de l’autorité de gestion art. 59, par. 4, point d) 2014-2022 (en %)</w:t>
            </w:r>
          </w:p>
        </w:tc>
        <w:tc>
          <w:tcPr>
            <w:tcW w:w="2400" w:type="dxa"/>
            <w:shd w:val="clear" w:color="auto" w:fill="C0C0C0"/>
            <w:tcMar>
              <w:top w:w="60" w:type="dxa"/>
            </w:tcMar>
          </w:tcPr>
          <w:p w:rsidR="0035701C" w:rsidRDefault="00FB561B">
            <w:pPr>
              <w:jc w:val="center"/>
              <w:rPr>
                <w:b/>
                <w:sz w:val="20"/>
              </w:rPr>
            </w:pPr>
            <w:r>
              <w:rPr>
                <w:b/>
                <w:sz w:val="20"/>
              </w:rPr>
              <w:t>Taux applicable aux instruments financiers sous la responsabilité de l’autorité de gestion art. 59, par. 4, point d), avec l’art. 59, par. 4, point g), du règle</w:t>
            </w:r>
            <w:r>
              <w:rPr>
                <w:b/>
                <w:sz w:val="20"/>
              </w:rPr>
              <w:t>ment (UE) nº 1305/2013, 2014-2022 (en %)</w:t>
            </w:r>
          </w:p>
        </w:tc>
        <w:tc>
          <w:tcPr>
            <w:tcW w:w="2400" w:type="dxa"/>
            <w:shd w:val="clear" w:color="auto" w:fill="C0C0C0"/>
            <w:tcMar>
              <w:top w:w="60" w:type="dxa"/>
            </w:tcMar>
          </w:tcPr>
          <w:p w:rsidR="0035701C" w:rsidRDefault="00FB561B">
            <w:pPr>
              <w:jc w:val="center"/>
              <w:rPr>
                <w:b/>
                <w:sz w:val="20"/>
              </w:rPr>
            </w:pPr>
            <w:r>
              <w:rPr>
                <w:b/>
                <w:sz w:val="20"/>
              </w:rPr>
              <w:t>Montant indicatif du Feader pour les instruments financiers art. 59, par. 4, point d) 2014-2022 (en €)</w:t>
            </w:r>
          </w:p>
        </w:tc>
        <w:tc>
          <w:tcPr>
            <w:tcW w:w="2400" w:type="dxa"/>
            <w:shd w:val="clear" w:color="auto" w:fill="C0C0C0"/>
            <w:tcMar>
              <w:top w:w="60" w:type="dxa"/>
            </w:tcMar>
          </w:tcPr>
          <w:p w:rsidR="0035701C" w:rsidRDefault="00FB561B">
            <w:pPr>
              <w:jc w:val="center"/>
              <w:rPr>
                <w:sz w:val="20"/>
              </w:rPr>
            </w:pPr>
            <w:r>
              <w:rPr>
                <w:b/>
                <w:sz w:val="20"/>
              </w:rPr>
              <w:t>Participation totale prévue de l’Union 2014-2022 (en euros)</w:t>
            </w:r>
          </w:p>
        </w:tc>
      </w:tr>
      <w:tr w:rsidR="0035701C">
        <w:tc>
          <w:tcPr>
            <w:tcW w:w="2400" w:type="dxa"/>
            <w:shd w:val="clear" w:color="auto" w:fill="FFFFFF"/>
            <w:tcMar>
              <w:top w:w="60" w:type="dxa"/>
            </w:tcMar>
          </w:tcPr>
          <w:p w:rsidR="0035701C" w:rsidRDefault="00FB561B">
            <w:pPr>
              <w:jc w:val="left"/>
              <w:rPr>
                <w:sz w:val="16"/>
              </w:rPr>
            </w:pPr>
            <w:r>
              <w:rPr>
                <w:sz w:val="16"/>
              </w:rPr>
              <w:t xml:space="preserve">Article 59, paragraphe 3, point c), du règlement </w:t>
            </w:r>
            <w:r>
              <w:rPr>
                <w:sz w:val="16"/>
              </w:rPr>
              <w:t>(UE) n° 1305/2013 - Régions en transition autres que celles visées à l’article 59, paragraphe 3, point b)</w:t>
            </w:r>
          </w:p>
        </w:tc>
        <w:tc>
          <w:tcPr>
            <w:tcW w:w="2400" w:type="dxa"/>
            <w:shd w:val="clear" w:color="auto" w:fill="FFFFFF"/>
            <w:tcMar>
              <w:top w:w="60" w:type="dxa"/>
            </w:tcMar>
          </w:tcPr>
          <w:p w:rsidR="0035701C" w:rsidRDefault="00FB561B">
            <w:pPr>
              <w:jc w:val="left"/>
              <w:rPr>
                <w:sz w:val="16"/>
              </w:rPr>
            </w:pPr>
            <w:r>
              <w:rPr>
                <w:sz w:val="16"/>
              </w:rPr>
              <w:t>Main</w:t>
            </w:r>
          </w:p>
        </w:tc>
        <w:tc>
          <w:tcPr>
            <w:tcW w:w="2400" w:type="dxa"/>
            <w:shd w:val="clear" w:color="auto" w:fill="FFFFFF"/>
            <w:tcMar>
              <w:top w:w="60" w:type="dxa"/>
            </w:tcMar>
          </w:tcPr>
          <w:p w:rsidR="0035701C" w:rsidRDefault="00FB561B">
            <w:pPr>
              <w:jc w:val="right"/>
              <w:rPr>
                <w:sz w:val="16"/>
              </w:rPr>
            </w:pPr>
            <w:r>
              <w:rPr>
                <w:sz w:val="16"/>
              </w:rPr>
              <w:t>50%</w:t>
            </w: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35701C">
            <w:pPr>
              <w:jc w:val="right"/>
              <w:rPr>
                <w:sz w:val="16"/>
              </w:rPr>
            </w:pPr>
          </w:p>
        </w:tc>
        <w:tc>
          <w:tcPr>
            <w:tcW w:w="2400" w:type="dxa"/>
            <w:shd w:val="clear" w:color="auto" w:fill="FFFFFF"/>
            <w:tcMar>
              <w:top w:w="60" w:type="dxa"/>
            </w:tcMar>
          </w:tcPr>
          <w:p w:rsidR="0035701C" w:rsidRDefault="00FB561B">
            <w:pPr>
              <w:jc w:val="right"/>
              <w:rPr>
                <w:sz w:val="16"/>
              </w:rPr>
            </w:pPr>
            <w:r>
              <w:rPr>
                <w:sz w:val="16"/>
              </w:rPr>
              <w:t>4 499 583,50</w:t>
            </w:r>
          </w:p>
        </w:tc>
      </w:tr>
      <w:tr w:rsidR="0035701C">
        <w:tc>
          <w:tcPr>
            <w:tcW w:w="14400" w:type="dxa"/>
            <w:gridSpan w:val="6"/>
            <w:shd w:val="clear" w:color="auto" w:fill="C0C0C0"/>
            <w:tcMar>
              <w:top w:w="60" w:type="dxa"/>
            </w:tcMar>
          </w:tcPr>
          <w:p w:rsidR="0035701C" w:rsidRDefault="00FB561B">
            <w:pPr>
              <w:jc w:val="center"/>
              <w:rPr>
                <w:sz w:val="16"/>
              </w:rPr>
            </w:pPr>
            <w:r>
              <w:rPr>
                <w:sz w:val="16"/>
              </w:rPr>
              <w:t>Total (EAFRD only)</w:t>
            </w:r>
            <w:r>
              <w:rPr>
                <w:sz w:val="16"/>
              </w:rPr>
              <w:br/>
              <w:t>Total (EURI only)</w:t>
            </w:r>
            <w:r>
              <w:rPr>
                <w:sz w:val="16"/>
              </w:rPr>
              <w:br/>
              <w:t>Total (EAFRD + EURI)</w:t>
            </w:r>
          </w:p>
        </w:tc>
        <w:tc>
          <w:tcPr>
            <w:tcW w:w="2400" w:type="dxa"/>
            <w:shd w:val="clear" w:color="auto" w:fill="C0C0C0"/>
            <w:tcMar>
              <w:top w:w="60" w:type="dxa"/>
            </w:tcMar>
          </w:tcPr>
          <w:p w:rsidR="0035701C" w:rsidRDefault="00FB561B">
            <w:pPr>
              <w:jc w:val="right"/>
              <w:rPr>
                <w:sz w:val="16"/>
              </w:rPr>
            </w:pPr>
            <w:r>
              <w:rPr>
                <w:sz w:val="16"/>
              </w:rPr>
              <w:t>0,00</w:t>
            </w:r>
            <w:r>
              <w:rPr>
                <w:sz w:val="16"/>
              </w:rPr>
              <w:br/>
              <w:t>0,00</w:t>
            </w:r>
            <w:r>
              <w:rPr>
                <w:sz w:val="16"/>
              </w:rPr>
              <w:br/>
              <w:t>0,00</w:t>
            </w:r>
          </w:p>
        </w:tc>
        <w:tc>
          <w:tcPr>
            <w:tcW w:w="2400" w:type="dxa"/>
            <w:shd w:val="clear" w:color="auto" w:fill="C0C0C0"/>
            <w:tcMar>
              <w:top w:w="60" w:type="dxa"/>
            </w:tcMar>
          </w:tcPr>
          <w:p w:rsidR="0035701C" w:rsidRDefault="00FB561B">
            <w:pPr>
              <w:jc w:val="right"/>
              <w:rPr>
                <w:sz w:val="16"/>
              </w:rPr>
            </w:pPr>
            <w:r>
              <w:rPr>
                <w:sz w:val="16"/>
              </w:rPr>
              <w:t>4 499 583,50</w:t>
            </w:r>
            <w:r>
              <w:rPr>
                <w:sz w:val="16"/>
              </w:rPr>
              <w:br/>
              <w:t>0,00</w:t>
            </w:r>
            <w:r>
              <w:rPr>
                <w:sz w:val="16"/>
              </w:rPr>
              <w:br/>
              <w:t>4 499 583,50</w:t>
            </w:r>
          </w:p>
        </w:tc>
      </w:tr>
    </w:tbl>
    <w:p w:rsidR="0035701C" w:rsidRDefault="0035701C">
      <w:pPr>
        <w:rPr>
          <w:b/>
        </w:rPr>
        <w:sectPr w:rsidR="0035701C">
          <w:pgSz w:w="15840" w:h="12240" w:orient="landscape"/>
          <w:pgMar w:top="900" w:right="900" w:bottom="900" w:left="900" w:header="720" w:footer="720" w:gutter="0"/>
          <w:cols w:space="720"/>
        </w:sectPr>
      </w:pPr>
    </w:p>
    <w:p w:rsidR="0035701C" w:rsidRDefault="00FB561B">
      <w:pPr>
        <w:pStyle w:val="Titre2"/>
      </w:pPr>
      <w:bookmarkStart w:id="136" w:name="_Toc256000135"/>
      <w:r>
        <w:t>Ventilation indicative par mesure pour chaque sous-programme</w:t>
      </w:r>
      <w:bookmarkEnd w:id="1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gridCol w:w="2400"/>
      </w:tblGrid>
      <w:tr w:rsidR="0035701C">
        <w:tc>
          <w:tcPr>
            <w:tcW w:w="2400" w:type="dxa"/>
            <w:shd w:val="clear" w:color="auto" w:fill="C0C0C0"/>
            <w:tcMar>
              <w:top w:w="60" w:type="dxa"/>
            </w:tcMar>
          </w:tcPr>
          <w:p w:rsidR="0035701C" w:rsidRDefault="00FB561B">
            <w:pPr>
              <w:jc w:val="center"/>
              <w:rPr>
                <w:sz w:val="20"/>
              </w:rPr>
            </w:pPr>
            <w:r>
              <w:rPr>
                <w:sz w:val="20"/>
              </w:rPr>
              <w:t>Nom du sous-programme thématique</w:t>
            </w:r>
          </w:p>
        </w:tc>
        <w:tc>
          <w:tcPr>
            <w:tcW w:w="2400" w:type="dxa"/>
            <w:shd w:val="clear" w:color="auto" w:fill="C0C0C0"/>
            <w:tcMar>
              <w:top w:w="60" w:type="dxa"/>
            </w:tcMar>
          </w:tcPr>
          <w:p w:rsidR="0035701C" w:rsidRDefault="00FB561B">
            <w:pPr>
              <w:jc w:val="center"/>
              <w:rPr>
                <w:sz w:val="16"/>
              </w:rPr>
            </w:pPr>
            <w:r>
              <w:rPr>
                <w:sz w:val="16"/>
              </w:rPr>
              <w:t>Mesure</w:t>
            </w:r>
          </w:p>
        </w:tc>
        <w:tc>
          <w:tcPr>
            <w:tcW w:w="2400" w:type="dxa"/>
            <w:shd w:val="clear" w:color="auto" w:fill="C0C0C0"/>
            <w:tcMar>
              <w:top w:w="60" w:type="dxa"/>
            </w:tcMar>
          </w:tcPr>
          <w:p w:rsidR="0035701C" w:rsidRDefault="00FB561B">
            <w:pPr>
              <w:jc w:val="center"/>
              <w:rPr>
                <w:sz w:val="16"/>
              </w:rPr>
            </w:pPr>
            <w:r>
              <w:rPr>
                <w:sz w:val="16"/>
              </w:rPr>
              <w:t>Participation totale prévue de l’Union 2014-2022 (en euros)</w:t>
            </w:r>
          </w:p>
        </w:tc>
      </w:tr>
    </w:tbl>
    <w:p w:rsidR="0035701C" w:rsidRDefault="0035701C">
      <w:pPr>
        <w:sectPr w:rsidR="0035701C">
          <w:pgSz w:w="15840" w:h="12240" w:orient="landscape"/>
          <w:pgMar w:top="900" w:right="900" w:bottom="900" w:left="900" w:header="720" w:footer="720" w:gutter="0"/>
          <w:cols w:space="720"/>
        </w:sectPr>
      </w:pPr>
    </w:p>
    <w:p w:rsidR="0035701C" w:rsidRDefault="00FB561B">
      <w:pPr>
        <w:pStyle w:val="Titre1"/>
      </w:pPr>
      <w:bookmarkStart w:id="137" w:name="_Toc256000136"/>
      <w:r>
        <w:t>Plan des indicateurs</w:t>
      </w:r>
      <w:bookmarkEnd w:id="137"/>
    </w:p>
    <w:p w:rsidR="0035701C" w:rsidRDefault="00FB561B">
      <w:pPr>
        <w:pStyle w:val="Titre2"/>
      </w:pPr>
      <w:bookmarkStart w:id="138" w:name="_Toc256000137"/>
      <w:r>
        <w:t>Plan des indicateurs</w:t>
      </w:r>
      <w:bookmarkEnd w:id="138"/>
    </w:p>
    <w:p w:rsidR="0035701C" w:rsidRDefault="00FB561B">
      <w:pPr>
        <w:pStyle w:val="Titre3"/>
        <w:jc w:val="left"/>
      </w:pPr>
      <w:bookmarkStart w:id="139" w:name="_Toc256000138"/>
      <w:r>
        <w:t xml:space="preserve">P1: favoriser le transfert de </w:t>
      </w:r>
      <w:r>
        <w:t>connaissances et l'innovation dans les secteurs de l'agriculture et de la foresterie, ainsi que dans les zones rurales</w:t>
      </w:r>
      <w:bookmarkEnd w:id="139"/>
    </w:p>
    <w:p w:rsidR="0035701C" w:rsidRDefault="00FB561B">
      <w:pPr>
        <w:pStyle w:val="Titre4"/>
        <w:jc w:val="left"/>
      </w:pPr>
      <w:r>
        <w:t>1A) Favoriser l'innovation, la coopération et le développement de la base de connaissances dans les zones rurales</w:t>
      </w:r>
    </w:p>
    <w:p w:rsidR="0035701C" w:rsidRDefault="00FB561B">
      <w:r>
        <w:t xml:space="preserve">Indicateur(s) cible(s) </w:t>
      </w:r>
      <w:r>
        <w:t>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2400" w:type="dxa"/>
            <w:shd w:val="clear" w:color="auto" w:fill="C0C0C0"/>
            <w:tcMar>
              <w:top w:w="60" w:type="dxa"/>
            </w:tcMar>
            <w:vAlign w:val="center"/>
          </w:tcPr>
          <w:p w:rsidR="0035701C" w:rsidRDefault="00FB561B">
            <w:pPr>
              <w:jc w:val="center"/>
              <w:rPr>
                <w:b/>
                <w:sz w:val="20"/>
              </w:rPr>
            </w:pPr>
            <w:r>
              <w:rPr>
                <w:b/>
                <w:sz w:val="20"/>
              </w:rPr>
              <w:t>Nom de l'indicateur cible</w:t>
            </w:r>
          </w:p>
        </w:tc>
        <w:tc>
          <w:tcPr>
            <w:tcW w:w="2400" w:type="dxa"/>
            <w:shd w:val="clear" w:color="auto" w:fill="C0C0C0"/>
            <w:tcMar>
              <w:top w:w="60" w:type="dxa"/>
            </w:tcMar>
            <w:vAlign w:val="center"/>
          </w:tcPr>
          <w:p w:rsidR="0035701C" w:rsidRDefault="00FB561B">
            <w:pPr>
              <w:jc w:val="center"/>
              <w:rPr>
                <w:sz w:val="20"/>
              </w:rPr>
            </w:pPr>
            <w:r>
              <w:rPr>
                <w:b/>
                <w:sz w:val="20"/>
              </w:rPr>
              <w:t>Valeur cible pour 2025</w:t>
            </w:r>
          </w:p>
        </w:tc>
      </w:tr>
      <w:tr w:rsidR="0035701C">
        <w:tc>
          <w:tcPr>
            <w:tcW w:w="4000" w:type="pct"/>
            <w:shd w:val="clear" w:color="auto" w:fill="FFFFFF"/>
            <w:tcMar>
              <w:top w:w="60" w:type="dxa"/>
            </w:tcMar>
            <w:vAlign w:val="center"/>
          </w:tcPr>
          <w:p w:rsidR="0035701C" w:rsidRDefault="00FB561B">
            <w:pPr>
              <w:spacing w:before="20" w:after="20"/>
              <w:jc w:val="left"/>
              <w:rPr>
                <w:b/>
                <w:sz w:val="16"/>
              </w:rPr>
            </w:pPr>
            <w:r>
              <w:rPr>
                <w:b/>
                <w:sz w:val="16"/>
              </w:rPr>
              <w:t>T1: pourcentage des dépenses relevant des articles 14, 15 et 35 du règlement (UE) n° 1305/2013 dans le total des dépenses au titre du PDR (domaine prioritaire 1A)</w:t>
            </w:r>
          </w:p>
        </w:tc>
        <w:tc>
          <w:tcPr>
            <w:tcW w:w="1000" w:type="pct"/>
            <w:shd w:val="clear" w:color="auto" w:fill="FFFFFF"/>
            <w:tcMar>
              <w:top w:w="60" w:type="dxa"/>
            </w:tcMar>
            <w:vAlign w:val="center"/>
          </w:tcPr>
          <w:p w:rsidR="0035701C" w:rsidRDefault="00FB561B">
            <w:pPr>
              <w:spacing w:before="20" w:after="20"/>
              <w:jc w:val="right"/>
              <w:rPr>
                <w:b/>
                <w:sz w:val="16"/>
              </w:rPr>
            </w:pPr>
            <w:r>
              <w:rPr>
                <w:b/>
                <w:sz w:val="16"/>
              </w:rPr>
              <w:t>0,22</w:t>
            </w:r>
          </w:p>
        </w:tc>
      </w:tr>
      <w:tr w:rsidR="0035701C">
        <w:tc>
          <w:tcPr>
            <w:tcW w:w="4000" w:type="pct"/>
            <w:shd w:val="clear" w:color="auto" w:fill="FFFFFF"/>
            <w:tcMar>
              <w:top w:w="60" w:type="dxa"/>
            </w:tcMar>
            <w:vAlign w:val="center"/>
          </w:tcPr>
          <w:p w:rsidR="0035701C" w:rsidRDefault="00FB561B">
            <w:pPr>
              <w:spacing w:before="20" w:after="20"/>
              <w:jc w:val="left"/>
              <w:rPr>
                <w:sz w:val="16"/>
              </w:rPr>
            </w:pPr>
            <w:r>
              <w:rPr>
                <w:sz w:val="16"/>
              </w:rPr>
              <w:t xml:space="preserve">Total des dépenses </w:t>
            </w:r>
            <w:r>
              <w:rPr>
                <w:sz w:val="16"/>
              </w:rPr>
              <w:t>publiques prévues au titre du PDR</w:t>
            </w:r>
          </w:p>
        </w:tc>
        <w:tc>
          <w:tcPr>
            <w:tcW w:w="1000" w:type="pct"/>
            <w:shd w:val="clear" w:color="auto" w:fill="FFFFFF"/>
            <w:tcMar>
              <w:top w:w="60" w:type="dxa"/>
            </w:tcMar>
            <w:vAlign w:val="center"/>
          </w:tcPr>
          <w:p w:rsidR="0035701C" w:rsidRDefault="00FB561B">
            <w:pPr>
              <w:spacing w:before="20" w:after="20"/>
              <w:jc w:val="right"/>
              <w:rPr>
                <w:sz w:val="16"/>
              </w:rPr>
            </w:pPr>
            <w:r>
              <w:rPr>
                <w:sz w:val="16"/>
              </w:rPr>
              <w:t>315 342 364,29</w:t>
            </w:r>
          </w:p>
        </w:tc>
      </w:tr>
      <w:tr w:rsidR="0035701C">
        <w:tc>
          <w:tcPr>
            <w:tcW w:w="4000" w:type="pct"/>
            <w:shd w:val="clear" w:color="auto" w:fill="FFFFFF"/>
            <w:tcMar>
              <w:top w:w="60" w:type="dxa"/>
            </w:tcMar>
            <w:vAlign w:val="center"/>
          </w:tcPr>
          <w:p w:rsidR="0035701C" w:rsidRDefault="00FB561B">
            <w:pPr>
              <w:spacing w:before="20" w:after="20"/>
              <w:jc w:val="left"/>
              <w:rPr>
                <w:sz w:val="16"/>
              </w:rPr>
            </w:pPr>
            <w:r>
              <w:rPr>
                <w:sz w:val="16"/>
              </w:rPr>
              <w:t>Dépenses publiques (domaine prioritaire 1A)</w:t>
            </w:r>
          </w:p>
        </w:tc>
        <w:tc>
          <w:tcPr>
            <w:tcW w:w="1000" w:type="pct"/>
            <w:shd w:val="clear" w:color="auto" w:fill="FFFFFF"/>
            <w:tcMar>
              <w:top w:w="60" w:type="dxa"/>
            </w:tcMar>
            <w:vAlign w:val="center"/>
          </w:tcPr>
          <w:p w:rsidR="0035701C" w:rsidRDefault="00FB561B">
            <w:pPr>
              <w:spacing w:before="20" w:after="20"/>
              <w:jc w:val="right"/>
              <w:rPr>
                <w:sz w:val="16"/>
              </w:rPr>
            </w:pPr>
            <w:r>
              <w:rPr>
                <w:sz w:val="16"/>
              </w:rPr>
              <w:t>700 000,00</w:t>
            </w:r>
          </w:p>
        </w:tc>
      </w:tr>
    </w:tbl>
    <w:p w:rsidR="0035701C" w:rsidRDefault="0035701C">
      <w:pPr>
        <w:jc w:val="center"/>
        <w:rPr>
          <w:sz w:val="16"/>
        </w:rPr>
      </w:pPr>
    </w:p>
    <w:p w:rsidR="0035701C" w:rsidRDefault="00FB561B">
      <w:r>
        <w:t>Indicateur(s) de réalisation prévus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gridCol w:w="2400"/>
        <w:gridCol w:w="2400"/>
      </w:tblGrid>
      <w:tr w:rsidR="0035701C">
        <w:tc>
          <w:tcPr>
            <w:tcW w:w="1750" w:type="pct"/>
            <w:shd w:val="clear" w:color="auto" w:fill="C0C0C0"/>
            <w:tcMar>
              <w:top w:w="60" w:type="dxa"/>
            </w:tcMar>
            <w:vAlign w:val="center"/>
          </w:tcPr>
          <w:p w:rsidR="0035701C" w:rsidRDefault="00FB561B">
            <w:pPr>
              <w:jc w:val="center"/>
              <w:rPr>
                <w:b/>
                <w:sz w:val="20"/>
              </w:rPr>
            </w:pPr>
            <w:r>
              <w:rPr>
                <w:b/>
                <w:sz w:val="20"/>
              </w:rPr>
              <w:t>Nom de la mesure</w:t>
            </w:r>
          </w:p>
        </w:tc>
        <w:tc>
          <w:tcPr>
            <w:tcW w:w="1750" w:type="pct"/>
            <w:shd w:val="clear" w:color="auto" w:fill="C0C0C0"/>
            <w:tcMar>
              <w:top w:w="60" w:type="dxa"/>
            </w:tcMar>
            <w:vAlign w:val="center"/>
          </w:tcPr>
          <w:p w:rsidR="0035701C" w:rsidRDefault="00FB561B">
            <w:pPr>
              <w:jc w:val="center"/>
              <w:rPr>
                <w:b/>
                <w:sz w:val="20"/>
              </w:rPr>
            </w:pPr>
            <w:r>
              <w:rPr>
                <w:b/>
                <w:sz w:val="20"/>
              </w:rPr>
              <w:t>Nom de l'indicateur</w:t>
            </w:r>
          </w:p>
        </w:tc>
        <w:tc>
          <w:tcPr>
            <w:tcW w:w="750" w:type="pct"/>
            <w:shd w:val="clear" w:color="auto" w:fill="C0C0C0"/>
            <w:tcMar>
              <w:top w:w="60" w:type="dxa"/>
            </w:tcMar>
            <w:vAlign w:val="center"/>
          </w:tcPr>
          <w:p w:rsidR="0035701C" w:rsidRDefault="00FB561B">
            <w:pPr>
              <w:jc w:val="center"/>
              <w:rPr>
                <w:b/>
                <w:sz w:val="20"/>
              </w:rPr>
            </w:pPr>
            <w:r>
              <w:rPr>
                <w:b/>
                <w:sz w:val="20"/>
              </w:rPr>
              <w:t>Valeur</w:t>
            </w:r>
          </w:p>
        </w:tc>
        <w:tc>
          <w:tcPr>
            <w:tcW w:w="750" w:type="pct"/>
            <w:shd w:val="clear" w:color="auto" w:fill="C0C0C0"/>
            <w:tcMar>
              <w:top w:w="60" w:type="dxa"/>
            </w:tcMar>
            <w:vAlign w:val="center"/>
          </w:tcPr>
          <w:p w:rsidR="0035701C" w:rsidRDefault="00FB561B">
            <w:pPr>
              <w:jc w:val="center"/>
              <w:rPr>
                <w:sz w:val="20"/>
              </w:rPr>
            </w:pPr>
            <w:r>
              <w:rPr>
                <w:b/>
                <w:sz w:val="20"/>
              </w:rPr>
              <w:t>Dont financés par Next Generation EU</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 xml:space="preserve">M01 - Transfert de </w:t>
            </w:r>
            <w:r>
              <w:rPr>
                <w:b/>
                <w:sz w:val="16"/>
              </w:rPr>
              <w:t>connaissances et actions d'information (article 14)</w:t>
            </w:r>
          </w:p>
        </w:tc>
        <w:tc>
          <w:tcPr>
            <w:tcW w:w="1750" w:type="pct"/>
            <w:shd w:val="clear" w:color="auto" w:fill="FFFFFF"/>
            <w:tcMar>
              <w:top w:w="60" w:type="dxa"/>
            </w:tcMar>
            <w:vAlign w:val="center"/>
          </w:tcPr>
          <w:p w:rsidR="0035701C" w:rsidRDefault="00FB561B">
            <w:pPr>
              <w:spacing w:before="20" w:after="20"/>
              <w:jc w:val="left"/>
              <w:rPr>
                <w:sz w:val="16"/>
              </w:rPr>
            </w:pPr>
            <w:r>
              <w:rPr>
                <w:sz w:val="16"/>
              </w:rPr>
              <w:t>Total des dépenses publiques (en €) (formations, échanges d'exploitations, démonstrations) (1.1 à 1.3)</w:t>
            </w:r>
          </w:p>
        </w:tc>
        <w:tc>
          <w:tcPr>
            <w:tcW w:w="750" w:type="pct"/>
            <w:shd w:val="clear" w:color="auto" w:fill="FFFFFF"/>
            <w:tcMar>
              <w:top w:w="60" w:type="dxa"/>
            </w:tcMar>
            <w:vAlign w:val="center"/>
          </w:tcPr>
          <w:p w:rsidR="0035701C" w:rsidRDefault="00FB561B">
            <w:pPr>
              <w:spacing w:before="20" w:after="20"/>
              <w:jc w:val="right"/>
              <w:rPr>
                <w:sz w:val="16"/>
              </w:rPr>
            </w:pPr>
            <w:r>
              <w:rPr>
                <w:sz w:val="16"/>
              </w:rPr>
              <w:t>700 000,00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0,00</w:t>
            </w:r>
          </w:p>
        </w:tc>
      </w:tr>
    </w:tbl>
    <w:p w:rsidR="0035701C" w:rsidRDefault="0035701C">
      <w:pPr>
        <w:sectPr w:rsidR="0035701C">
          <w:pgSz w:w="12240" w:h="15840"/>
          <w:pgMar w:top="900" w:right="900" w:bottom="900" w:left="900" w:header="720" w:footer="720" w:gutter="0"/>
          <w:cols w:space="720"/>
        </w:sectPr>
      </w:pPr>
    </w:p>
    <w:p w:rsidR="0035701C" w:rsidRDefault="00FB561B">
      <w:pPr>
        <w:pStyle w:val="Titre4"/>
        <w:jc w:val="left"/>
      </w:pPr>
      <w:r>
        <w:t xml:space="preserve">1B) Renforcer les liens entre l'agriculture, la production alimentaire et </w:t>
      </w:r>
      <w:r>
        <w:t>la foresterie, la recherche et l'innovation, y compris aux fins d'améliorer la gestion et les performances dans le domaine de l'environnement</w:t>
      </w:r>
    </w:p>
    <w:p w:rsidR="0035701C" w:rsidRDefault="00FB561B">
      <w:r>
        <w:t>Aucune mesure sélectionnée dans la stratégie pour ce domaine prioritaire.</w:t>
      </w:r>
    </w:p>
    <w:p w:rsidR="0035701C" w:rsidRDefault="0035701C">
      <w:pPr>
        <w:sectPr w:rsidR="0035701C">
          <w:pgSz w:w="12240" w:h="15840"/>
          <w:pgMar w:top="900" w:right="900" w:bottom="900" w:left="900" w:header="720" w:footer="720" w:gutter="0"/>
          <w:cols w:space="720"/>
        </w:sectPr>
      </w:pPr>
    </w:p>
    <w:p w:rsidR="0035701C" w:rsidRDefault="00FB561B">
      <w:pPr>
        <w:pStyle w:val="Titre4"/>
        <w:jc w:val="left"/>
      </w:pPr>
      <w:r>
        <w:t xml:space="preserve">1C) Favoriser l'apprentissage </w:t>
      </w:r>
      <w:r>
        <w:t>tout au long de la vie et la formation professionnelle dans les secteurs de l'agriculture et de la foresterie</w:t>
      </w:r>
    </w:p>
    <w:p w:rsidR="0035701C" w:rsidRDefault="00FB561B">
      <w:r>
        <w:t>Indicateur(s) cible(s)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750" w:type="pct"/>
            <w:shd w:val="clear" w:color="auto" w:fill="C0C0C0"/>
            <w:tcMar>
              <w:top w:w="60" w:type="dxa"/>
            </w:tcMar>
            <w:vAlign w:val="center"/>
          </w:tcPr>
          <w:p w:rsidR="0035701C" w:rsidRDefault="00FB561B">
            <w:pPr>
              <w:jc w:val="center"/>
              <w:rPr>
                <w:b/>
                <w:sz w:val="20"/>
              </w:rPr>
            </w:pPr>
            <w:r>
              <w:rPr>
                <w:b/>
                <w:sz w:val="20"/>
              </w:rPr>
              <w:t>Nom de l'indicateur cible</w:t>
            </w:r>
          </w:p>
        </w:tc>
        <w:tc>
          <w:tcPr>
            <w:tcW w:w="750" w:type="pct"/>
            <w:shd w:val="clear" w:color="auto" w:fill="C0C0C0"/>
            <w:tcMar>
              <w:top w:w="60" w:type="dxa"/>
            </w:tcMar>
            <w:vAlign w:val="center"/>
          </w:tcPr>
          <w:p w:rsidR="0035701C" w:rsidRDefault="00FB561B">
            <w:pPr>
              <w:jc w:val="center"/>
              <w:rPr>
                <w:sz w:val="20"/>
              </w:rPr>
            </w:pPr>
            <w:r>
              <w:rPr>
                <w:b/>
                <w:sz w:val="20"/>
              </w:rPr>
              <w:t>Valeur cible pour 2025</w:t>
            </w:r>
          </w:p>
        </w:tc>
      </w:tr>
      <w:tr w:rsidR="0035701C">
        <w:tc>
          <w:tcPr>
            <w:tcW w:w="4000" w:type="pct"/>
            <w:shd w:val="clear" w:color="auto" w:fill="FFFFFF"/>
            <w:tcMar>
              <w:top w:w="60" w:type="dxa"/>
            </w:tcMar>
            <w:vAlign w:val="center"/>
          </w:tcPr>
          <w:p w:rsidR="0035701C" w:rsidRDefault="00FB561B">
            <w:pPr>
              <w:spacing w:before="20" w:after="20"/>
              <w:jc w:val="left"/>
              <w:rPr>
                <w:b/>
                <w:sz w:val="16"/>
              </w:rPr>
            </w:pPr>
            <w:r>
              <w:rPr>
                <w:b/>
                <w:sz w:val="16"/>
              </w:rPr>
              <w:t xml:space="preserve">T3: nombre total de participants formés en vertu de </w:t>
            </w:r>
            <w:r>
              <w:rPr>
                <w:b/>
                <w:sz w:val="16"/>
              </w:rPr>
              <w:t>l’article 14 du règlement (UE) n° 1305/2013 (domaine prioritaire 1C)</w:t>
            </w:r>
          </w:p>
        </w:tc>
        <w:tc>
          <w:tcPr>
            <w:tcW w:w="1000" w:type="pct"/>
            <w:shd w:val="clear" w:color="auto" w:fill="FFFFFF"/>
            <w:tcMar>
              <w:top w:w="60" w:type="dxa"/>
            </w:tcMar>
            <w:vAlign w:val="center"/>
          </w:tcPr>
          <w:p w:rsidR="0035701C" w:rsidRDefault="00FB561B">
            <w:pPr>
              <w:spacing w:before="20" w:after="20"/>
              <w:jc w:val="right"/>
              <w:rPr>
                <w:b/>
                <w:sz w:val="16"/>
              </w:rPr>
            </w:pPr>
            <w:r>
              <w:rPr>
                <w:b/>
                <w:sz w:val="16"/>
              </w:rPr>
              <w:t>300,00</w:t>
            </w:r>
          </w:p>
        </w:tc>
      </w:tr>
    </w:tbl>
    <w:p w:rsidR="0035701C" w:rsidRDefault="0035701C">
      <w:pPr>
        <w:jc w:val="center"/>
        <w:rPr>
          <w:sz w:val="16"/>
        </w:rPr>
      </w:pPr>
    </w:p>
    <w:p w:rsidR="0035701C" w:rsidRDefault="00FB561B">
      <w:r>
        <w:t>Indicateur(s) de réalisation prévus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gridCol w:w="2400"/>
        <w:gridCol w:w="2400"/>
      </w:tblGrid>
      <w:tr w:rsidR="0035701C">
        <w:tc>
          <w:tcPr>
            <w:tcW w:w="1750" w:type="pct"/>
            <w:shd w:val="clear" w:color="auto" w:fill="C0C0C0"/>
            <w:tcMar>
              <w:top w:w="60" w:type="dxa"/>
            </w:tcMar>
            <w:vAlign w:val="center"/>
          </w:tcPr>
          <w:p w:rsidR="0035701C" w:rsidRDefault="00FB561B">
            <w:pPr>
              <w:jc w:val="center"/>
              <w:rPr>
                <w:b/>
                <w:sz w:val="20"/>
              </w:rPr>
            </w:pPr>
            <w:r>
              <w:rPr>
                <w:b/>
                <w:sz w:val="20"/>
              </w:rPr>
              <w:t>Nom de la mesure</w:t>
            </w:r>
          </w:p>
        </w:tc>
        <w:tc>
          <w:tcPr>
            <w:tcW w:w="1750" w:type="pct"/>
            <w:shd w:val="clear" w:color="auto" w:fill="C0C0C0"/>
            <w:tcMar>
              <w:top w:w="60" w:type="dxa"/>
            </w:tcMar>
            <w:vAlign w:val="center"/>
          </w:tcPr>
          <w:p w:rsidR="0035701C" w:rsidRDefault="00FB561B">
            <w:pPr>
              <w:jc w:val="center"/>
              <w:rPr>
                <w:b/>
                <w:sz w:val="20"/>
              </w:rPr>
            </w:pPr>
            <w:r>
              <w:rPr>
                <w:b/>
                <w:sz w:val="20"/>
              </w:rPr>
              <w:t>Nom de l'indicateur</w:t>
            </w:r>
          </w:p>
        </w:tc>
        <w:tc>
          <w:tcPr>
            <w:tcW w:w="750" w:type="pct"/>
            <w:shd w:val="clear" w:color="auto" w:fill="C0C0C0"/>
            <w:tcMar>
              <w:top w:w="60" w:type="dxa"/>
            </w:tcMar>
            <w:vAlign w:val="center"/>
          </w:tcPr>
          <w:p w:rsidR="0035701C" w:rsidRDefault="00FB561B">
            <w:pPr>
              <w:jc w:val="center"/>
              <w:rPr>
                <w:b/>
                <w:sz w:val="20"/>
              </w:rPr>
            </w:pPr>
            <w:r>
              <w:rPr>
                <w:b/>
                <w:sz w:val="20"/>
              </w:rPr>
              <w:t>Valeur</w:t>
            </w:r>
          </w:p>
        </w:tc>
        <w:tc>
          <w:tcPr>
            <w:tcW w:w="750" w:type="pct"/>
            <w:shd w:val="clear" w:color="auto" w:fill="C0C0C0"/>
            <w:tcMar>
              <w:top w:w="60" w:type="dxa"/>
            </w:tcMar>
            <w:vAlign w:val="center"/>
          </w:tcPr>
          <w:p w:rsidR="0035701C" w:rsidRDefault="00FB561B">
            <w:pPr>
              <w:jc w:val="center"/>
              <w:rPr>
                <w:sz w:val="20"/>
              </w:rPr>
            </w:pPr>
            <w:r>
              <w:rPr>
                <w:b/>
                <w:sz w:val="20"/>
              </w:rPr>
              <w:t>Dont financés par Next Generation EU</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 xml:space="preserve">M01 - Transfert de connaissances et actions </w:t>
            </w:r>
            <w:r>
              <w:rPr>
                <w:b/>
                <w:sz w:val="16"/>
              </w:rPr>
              <w:t>d'information (article 14)</w:t>
            </w:r>
          </w:p>
        </w:tc>
        <w:tc>
          <w:tcPr>
            <w:tcW w:w="1750" w:type="pct"/>
            <w:shd w:val="clear" w:color="auto" w:fill="FFFFFF"/>
            <w:tcMar>
              <w:top w:w="60" w:type="dxa"/>
            </w:tcMar>
            <w:vAlign w:val="center"/>
          </w:tcPr>
          <w:p w:rsidR="0035701C" w:rsidRDefault="00FB561B">
            <w:pPr>
              <w:spacing w:before="20" w:after="20"/>
              <w:jc w:val="left"/>
              <w:rPr>
                <w:sz w:val="16"/>
              </w:rPr>
            </w:pPr>
            <w:r>
              <w:rPr>
                <w:sz w:val="16"/>
              </w:rPr>
              <w:t>Formation/Acquisition des compétences (1.1) - Nombre de participants aux formations</w:t>
            </w:r>
          </w:p>
        </w:tc>
        <w:tc>
          <w:tcPr>
            <w:tcW w:w="750" w:type="pct"/>
            <w:shd w:val="clear" w:color="auto" w:fill="FFFFFF"/>
            <w:tcMar>
              <w:top w:w="60" w:type="dxa"/>
            </w:tcMar>
            <w:vAlign w:val="center"/>
          </w:tcPr>
          <w:p w:rsidR="0035701C" w:rsidRDefault="00FB561B">
            <w:pPr>
              <w:spacing w:before="20" w:after="20"/>
              <w:jc w:val="right"/>
              <w:rPr>
                <w:sz w:val="16"/>
              </w:rPr>
            </w:pPr>
            <w:r>
              <w:rPr>
                <w:sz w:val="16"/>
              </w:rPr>
              <w:t>300,00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0,00</w:t>
            </w:r>
          </w:p>
        </w:tc>
      </w:tr>
    </w:tbl>
    <w:p w:rsidR="0035701C" w:rsidRDefault="0035701C">
      <w:pPr>
        <w:sectPr w:rsidR="0035701C">
          <w:pgSz w:w="12240" w:h="15840"/>
          <w:pgMar w:top="900" w:right="900" w:bottom="900" w:left="900" w:header="720" w:footer="720" w:gutter="0"/>
          <w:cols w:space="720"/>
        </w:sectPr>
      </w:pPr>
    </w:p>
    <w:p w:rsidR="0035701C" w:rsidRDefault="00FB561B">
      <w:pPr>
        <w:pStyle w:val="Titre3"/>
        <w:jc w:val="left"/>
      </w:pPr>
      <w:bookmarkStart w:id="140" w:name="_Toc256000139"/>
      <w:r>
        <w:t xml:space="preserve">P2: amélioration de la viabilité des exploitations agricoles et la compétitivité de tous les types d'agriculture dans </w:t>
      </w:r>
      <w:r>
        <w:t>toutes les régions et promotion des technologies agricoles innovantes et de la gestion durable des forêts</w:t>
      </w:r>
      <w:bookmarkEnd w:id="140"/>
    </w:p>
    <w:p w:rsidR="0035701C" w:rsidRDefault="00FB561B">
      <w:pPr>
        <w:pStyle w:val="Titre4"/>
        <w:jc w:val="left"/>
      </w:pPr>
      <w:r>
        <w:t>2A) Améliorer les résultats économiques de toutes les exploitations agricoles et faciliter la restructuration et la modernisation des exploitations ag</w:t>
      </w:r>
      <w:r>
        <w:t>ricoles, notamment en vue d'accroître la participation au marché et l'orientation vers le marché ainsi que la diversification agricole</w:t>
      </w:r>
    </w:p>
    <w:p w:rsidR="0035701C" w:rsidRDefault="00FB561B">
      <w:r>
        <w:t>Indicateur(s) cible(s)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750" w:type="pct"/>
            <w:shd w:val="clear" w:color="auto" w:fill="C0C0C0"/>
            <w:tcMar>
              <w:top w:w="60" w:type="dxa"/>
            </w:tcMar>
            <w:vAlign w:val="center"/>
          </w:tcPr>
          <w:p w:rsidR="0035701C" w:rsidRDefault="00FB561B">
            <w:pPr>
              <w:jc w:val="center"/>
              <w:rPr>
                <w:b/>
                <w:sz w:val="20"/>
              </w:rPr>
            </w:pPr>
            <w:r>
              <w:rPr>
                <w:b/>
                <w:sz w:val="20"/>
              </w:rPr>
              <w:t>Nom de l'indicateur cible</w:t>
            </w:r>
          </w:p>
        </w:tc>
        <w:tc>
          <w:tcPr>
            <w:tcW w:w="750" w:type="pct"/>
            <w:shd w:val="clear" w:color="auto" w:fill="C0C0C0"/>
            <w:tcMar>
              <w:top w:w="60" w:type="dxa"/>
            </w:tcMar>
            <w:vAlign w:val="center"/>
          </w:tcPr>
          <w:p w:rsidR="0035701C" w:rsidRDefault="00FB561B">
            <w:pPr>
              <w:jc w:val="center"/>
              <w:rPr>
                <w:sz w:val="20"/>
              </w:rPr>
            </w:pPr>
            <w:r>
              <w:rPr>
                <w:b/>
                <w:sz w:val="20"/>
              </w:rPr>
              <w:t>Valeur cible pour 2025</w:t>
            </w:r>
          </w:p>
        </w:tc>
      </w:tr>
      <w:tr w:rsidR="0035701C">
        <w:tc>
          <w:tcPr>
            <w:tcW w:w="4000" w:type="pct"/>
            <w:shd w:val="clear" w:color="auto" w:fill="FFFFFF"/>
            <w:tcMar>
              <w:top w:w="60" w:type="dxa"/>
            </w:tcMar>
            <w:vAlign w:val="center"/>
          </w:tcPr>
          <w:p w:rsidR="0035701C" w:rsidRDefault="00FB561B">
            <w:pPr>
              <w:spacing w:before="20" w:after="20"/>
              <w:jc w:val="left"/>
              <w:rPr>
                <w:b/>
                <w:sz w:val="16"/>
              </w:rPr>
            </w:pPr>
            <w:r>
              <w:rPr>
                <w:b/>
                <w:sz w:val="16"/>
              </w:rPr>
              <w:t xml:space="preserve">T4: pourcentage d’exploitations </w:t>
            </w:r>
            <w:r>
              <w:rPr>
                <w:b/>
                <w:sz w:val="16"/>
              </w:rPr>
              <w:t>agricoles bénéficiant d’un soutien au titre du PDR pour des investissements dans la restructuration ou la modernisation (domaine prioritaire 2A)</w:t>
            </w:r>
          </w:p>
        </w:tc>
        <w:tc>
          <w:tcPr>
            <w:tcW w:w="1000" w:type="pct"/>
            <w:shd w:val="clear" w:color="auto" w:fill="FFFFFF"/>
            <w:tcMar>
              <w:top w:w="60" w:type="dxa"/>
            </w:tcMar>
            <w:vAlign w:val="center"/>
          </w:tcPr>
          <w:p w:rsidR="0035701C" w:rsidRDefault="00FB561B">
            <w:pPr>
              <w:spacing w:before="20" w:after="20"/>
              <w:jc w:val="right"/>
              <w:rPr>
                <w:b/>
                <w:sz w:val="16"/>
              </w:rPr>
            </w:pPr>
            <w:r>
              <w:rPr>
                <w:b/>
                <w:sz w:val="16"/>
              </w:rPr>
              <w:t>38,23</w:t>
            </w:r>
          </w:p>
        </w:tc>
      </w:tr>
      <w:tr w:rsidR="0035701C">
        <w:tc>
          <w:tcPr>
            <w:tcW w:w="4000" w:type="pct"/>
            <w:shd w:val="clear" w:color="auto" w:fill="FFFFFF"/>
            <w:tcMar>
              <w:top w:w="60" w:type="dxa"/>
            </w:tcMar>
            <w:vAlign w:val="center"/>
          </w:tcPr>
          <w:p w:rsidR="0035701C" w:rsidRDefault="00FB561B">
            <w:pPr>
              <w:spacing w:before="20" w:after="20"/>
              <w:jc w:val="left"/>
              <w:rPr>
                <w:sz w:val="16"/>
              </w:rPr>
            </w:pPr>
            <w:r>
              <w:rPr>
                <w:sz w:val="16"/>
              </w:rPr>
              <w:t xml:space="preserve">Nombre d’exploitations agricoles bénéficiant d’un soutien au titre du PDR pour des investissements dans </w:t>
            </w:r>
            <w:r>
              <w:rPr>
                <w:sz w:val="16"/>
              </w:rPr>
              <w:t>la restructuration ou la modernisation (domaine prioritaire 2A)</w:t>
            </w:r>
          </w:p>
        </w:tc>
        <w:tc>
          <w:tcPr>
            <w:tcW w:w="1000" w:type="pct"/>
            <w:shd w:val="clear" w:color="auto" w:fill="FFFFFF"/>
            <w:tcMar>
              <w:top w:w="60" w:type="dxa"/>
            </w:tcMar>
            <w:vAlign w:val="center"/>
          </w:tcPr>
          <w:p w:rsidR="0035701C" w:rsidRDefault="00FB561B">
            <w:pPr>
              <w:spacing w:before="20" w:after="20"/>
              <w:jc w:val="right"/>
              <w:rPr>
                <w:sz w:val="16"/>
              </w:rPr>
            </w:pPr>
            <w:r>
              <w:rPr>
                <w:sz w:val="16"/>
              </w:rPr>
              <w:t>1 082,00</w:t>
            </w:r>
          </w:p>
        </w:tc>
      </w:tr>
    </w:tbl>
    <w:p w:rsidR="0035701C" w:rsidRDefault="0035701C">
      <w:pPr>
        <w:jc w:val="center"/>
        <w:rPr>
          <w:sz w:val="16"/>
        </w:rPr>
      </w:pPr>
    </w:p>
    <w:p w:rsidR="0035701C" w:rsidRDefault="00FB561B">
      <w:r>
        <w:t>Indicateur contextuel utilisé comme dénominateur pour la valeur cible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4000" w:type="pct"/>
            <w:shd w:val="clear" w:color="auto" w:fill="C0C0C0"/>
            <w:tcMar>
              <w:top w:w="60" w:type="dxa"/>
            </w:tcMar>
            <w:vAlign w:val="center"/>
          </w:tcPr>
          <w:p w:rsidR="0035701C" w:rsidRDefault="00FB561B">
            <w:pPr>
              <w:jc w:val="center"/>
              <w:rPr>
                <w:b/>
                <w:sz w:val="20"/>
              </w:rPr>
            </w:pPr>
            <w:r>
              <w:rPr>
                <w:b/>
                <w:sz w:val="20"/>
              </w:rPr>
              <w:t>Nom de l'indicateur contextuel</w:t>
            </w:r>
          </w:p>
        </w:tc>
        <w:tc>
          <w:tcPr>
            <w:tcW w:w="1000" w:type="pct"/>
            <w:shd w:val="clear" w:color="auto" w:fill="C0C0C0"/>
            <w:tcMar>
              <w:top w:w="60" w:type="dxa"/>
            </w:tcMar>
            <w:vAlign w:val="center"/>
          </w:tcPr>
          <w:p w:rsidR="0035701C" w:rsidRDefault="00FB561B">
            <w:pPr>
              <w:jc w:val="center"/>
              <w:rPr>
                <w:sz w:val="20"/>
              </w:rPr>
            </w:pPr>
            <w:r>
              <w:rPr>
                <w:b/>
                <w:sz w:val="20"/>
              </w:rPr>
              <w:t>Valeur de l'année de base</w:t>
            </w:r>
          </w:p>
        </w:tc>
      </w:tr>
      <w:tr w:rsidR="0035701C">
        <w:tc>
          <w:tcPr>
            <w:tcW w:w="1000" w:type="pct"/>
            <w:shd w:val="clear" w:color="auto" w:fill="FFFFFF"/>
            <w:tcMar>
              <w:top w:w="60" w:type="dxa"/>
            </w:tcMar>
            <w:vAlign w:val="center"/>
          </w:tcPr>
          <w:p w:rsidR="0035701C" w:rsidRDefault="00FB561B">
            <w:pPr>
              <w:spacing w:before="20" w:after="20"/>
              <w:jc w:val="left"/>
              <w:rPr>
                <w:sz w:val="16"/>
              </w:rPr>
            </w:pPr>
            <w:r>
              <w:rPr>
                <w:sz w:val="16"/>
              </w:rPr>
              <w:t>17 Exploitations agricoles (fermes) - nombre total</w:t>
            </w:r>
          </w:p>
        </w:tc>
        <w:tc>
          <w:tcPr>
            <w:tcW w:w="1000" w:type="pct"/>
            <w:shd w:val="clear" w:color="auto" w:fill="FFFFFF"/>
            <w:tcMar>
              <w:top w:w="60" w:type="dxa"/>
            </w:tcMar>
            <w:vAlign w:val="center"/>
          </w:tcPr>
          <w:p w:rsidR="0035701C" w:rsidRDefault="00FB561B">
            <w:pPr>
              <w:spacing w:before="20" w:after="20"/>
              <w:jc w:val="right"/>
              <w:rPr>
                <w:sz w:val="16"/>
              </w:rPr>
            </w:pPr>
            <w:r>
              <w:rPr>
                <w:sz w:val="16"/>
              </w:rPr>
              <w:t>2 830,00</w:t>
            </w:r>
          </w:p>
        </w:tc>
      </w:tr>
    </w:tbl>
    <w:p w:rsidR="0035701C" w:rsidRDefault="0035701C"/>
    <w:p w:rsidR="0035701C" w:rsidRDefault="00FB561B">
      <w:r>
        <w:t>Indicateur(s) de réalisation prévus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gridCol w:w="2400"/>
        <w:gridCol w:w="2400"/>
      </w:tblGrid>
      <w:tr w:rsidR="0035701C">
        <w:tc>
          <w:tcPr>
            <w:tcW w:w="1750" w:type="pct"/>
            <w:vMerge w:val="restart"/>
            <w:shd w:val="clear" w:color="auto" w:fill="C0C0C0"/>
            <w:tcMar>
              <w:top w:w="60" w:type="dxa"/>
            </w:tcMar>
            <w:vAlign w:val="center"/>
          </w:tcPr>
          <w:p w:rsidR="0035701C" w:rsidRDefault="00FB561B">
            <w:pPr>
              <w:jc w:val="center"/>
              <w:rPr>
                <w:b/>
                <w:sz w:val="20"/>
              </w:rPr>
            </w:pPr>
            <w:r>
              <w:rPr>
                <w:b/>
                <w:sz w:val="20"/>
              </w:rPr>
              <w:t>Nom de la mesure</w:t>
            </w:r>
          </w:p>
        </w:tc>
        <w:tc>
          <w:tcPr>
            <w:tcW w:w="1750" w:type="pct"/>
            <w:vMerge w:val="restart"/>
            <w:shd w:val="clear" w:color="auto" w:fill="C0C0C0"/>
            <w:tcMar>
              <w:top w:w="60" w:type="dxa"/>
            </w:tcMar>
            <w:vAlign w:val="center"/>
          </w:tcPr>
          <w:p w:rsidR="0035701C" w:rsidRDefault="00FB561B">
            <w:pPr>
              <w:jc w:val="center"/>
              <w:rPr>
                <w:b/>
                <w:sz w:val="20"/>
              </w:rPr>
            </w:pPr>
            <w:r>
              <w:rPr>
                <w:b/>
                <w:sz w:val="20"/>
              </w:rPr>
              <w:t>Nom de l'indicateur</w:t>
            </w:r>
          </w:p>
        </w:tc>
        <w:tc>
          <w:tcPr>
            <w:tcW w:w="750" w:type="pct"/>
            <w:vMerge w:val="restart"/>
            <w:shd w:val="clear" w:color="auto" w:fill="C0C0C0"/>
            <w:tcMar>
              <w:top w:w="60" w:type="dxa"/>
            </w:tcMar>
            <w:vAlign w:val="center"/>
          </w:tcPr>
          <w:p w:rsidR="0035701C" w:rsidRDefault="00FB561B">
            <w:pPr>
              <w:jc w:val="center"/>
              <w:rPr>
                <w:b/>
                <w:sz w:val="20"/>
              </w:rPr>
            </w:pPr>
            <w:r>
              <w:rPr>
                <w:b/>
                <w:sz w:val="20"/>
              </w:rPr>
              <w:t>Valeur</w:t>
            </w:r>
          </w:p>
        </w:tc>
        <w:tc>
          <w:tcPr>
            <w:tcW w:w="750" w:type="pct"/>
            <w:vMerge w:val="restart"/>
            <w:shd w:val="clear" w:color="auto" w:fill="C0C0C0"/>
            <w:tcMar>
              <w:top w:w="60" w:type="dxa"/>
            </w:tcMar>
            <w:vAlign w:val="center"/>
          </w:tcPr>
          <w:p w:rsidR="0035701C" w:rsidRDefault="00FB561B">
            <w:pPr>
              <w:jc w:val="center"/>
              <w:rPr>
                <w:sz w:val="20"/>
              </w:rPr>
            </w:pPr>
            <w:r>
              <w:rPr>
                <w:b/>
                <w:sz w:val="20"/>
              </w:rPr>
              <w:t>Dont financés par Next Generation EU</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M01 - Transfert de connaissances et actions d'information (article 14)</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 xml:space="preserve">Formation/Acquisition des compétences (1.1) - </w:t>
            </w:r>
            <w:r>
              <w:rPr>
                <w:sz w:val="16"/>
              </w:rPr>
              <w:t>Nombre de participants aux formations</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300,00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M01 - Transfert de connaissances et actions d'information (article 14)</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Formation/Acquisition des compétences (1.1) - Total des dépenses publiques</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487 500,00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M01 - Transfert de connaissances et actions </w:t>
            </w:r>
            <w:r>
              <w:rPr>
                <w:b/>
                <w:sz w:val="16"/>
              </w:rPr>
              <w:t>d'information (article 14)</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Total des dépenses publiques (en €) (formations, échanges d'exploitations, démonstrations) (1.1 à 1.3)</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700 000,00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M04 - Investissements physiques (article 17)</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Nombre d'exploitations bénéficiant du soutien à l'investissement po</w:t>
            </w:r>
            <w:r>
              <w:rPr>
                <w:sz w:val="16"/>
              </w:rPr>
              <w:t>ur les exploitations agricoles (4.1)</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1 082,00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29,00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M04 - Investissements physiques (article 17)</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Total des dépenses publiques pour les investissements dans les infrastructures (4.3)</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1 380 000,00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M04 - Investissements physiques (article 17)</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 xml:space="preserve">Total des </w:t>
            </w:r>
            <w:r>
              <w:rPr>
                <w:sz w:val="16"/>
              </w:rPr>
              <w:t>investissements (en €) (publics et privés)</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126 033 392,91</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1 588 640,00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M04 - Investissements physiques (article 17)</w:t>
            </w:r>
          </w:p>
        </w:tc>
        <w:tc>
          <w:tcPr>
            <w:tcW w:w="1750" w:type="pct"/>
            <w:shd w:val="clear" w:color="auto" w:fill="FFFFFF"/>
            <w:tcMar>
              <w:top w:w="60" w:type="dxa"/>
            </w:tcMar>
            <w:vAlign w:val="center"/>
          </w:tcPr>
          <w:p w:rsidR="0035701C" w:rsidRDefault="00FB561B">
            <w:pPr>
              <w:spacing w:before="20" w:after="20"/>
              <w:jc w:val="left"/>
              <w:rPr>
                <w:sz w:val="16"/>
              </w:rPr>
            </w:pPr>
            <w:r>
              <w:rPr>
                <w:sz w:val="16"/>
              </w:rPr>
              <w:t>Total des dépenses publiques (en €) (4.1)</w:t>
            </w:r>
          </w:p>
        </w:tc>
        <w:tc>
          <w:tcPr>
            <w:tcW w:w="750" w:type="pct"/>
            <w:shd w:val="clear" w:color="auto" w:fill="FFFFFF"/>
            <w:tcMar>
              <w:top w:w="60" w:type="dxa"/>
            </w:tcMar>
            <w:vAlign w:val="center"/>
          </w:tcPr>
          <w:p w:rsidR="0035701C" w:rsidRDefault="00FB561B">
            <w:pPr>
              <w:spacing w:before="20" w:after="20"/>
              <w:jc w:val="right"/>
              <w:rPr>
                <w:sz w:val="16"/>
              </w:rPr>
            </w:pPr>
            <w:r>
              <w:rPr>
                <w:sz w:val="16"/>
              </w:rPr>
              <w:t>63 820 874,00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1 191 480,00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M04 - Investissements physiques (article 17)</w:t>
            </w:r>
          </w:p>
        </w:tc>
        <w:tc>
          <w:tcPr>
            <w:tcW w:w="1750" w:type="pct"/>
            <w:shd w:val="clear" w:color="auto" w:fill="FFFFFF"/>
            <w:tcMar>
              <w:top w:w="60" w:type="dxa"/>
            </w:tcMar>
            <w:vAlign w:val="center"/>
          </w:tcPr>
          <w:p w:rsidR="0035701C" w:rsidRDefault="00FB561B">
            <w:pPr>
              <w:spacing w:before="20" w:after="20"/>
              <w:jc w:val="left"/>
              <w:rPr>
                <w:sz w:val="16"/>
              </w:rPr>
            </w:pPr>
            <w:r>
              <w:rPr>
                <w:sz w:val="16"/>
              </w:rPr>
              <w:t xml:space="preserve">Total des dépenses publiques (en €) </w:t>
            </w:r>
          </w:p>
        </w:tc>
        <w:tc>
          <w:tcPr>
            <w:tcW w:w="750" w:type="pct"/>
            <w:shd w:val="clear" w:color="auto" w:fill="FFFFFF"/>
            <w:tcMar>
              <w:top w:w="60" w:type="dxa"/>
            </w:tcMar>
            <w:vAlign w:val="center"/>
          </w:tcPr>
          <w:p w:rsidR="0035701C" w:rsidRDefault="00FB561B">
            <w:pPr>
              <w:spacing w:before="20" w:after="20"/>
              <w:jc w:val="right"/>
              <w:rPr>
                <w:sz w:val="16"/>
              </w:rPr>
            </w:pPr>
            <w:r>
              <w:rPr>
                <w:sz w:val="16"/>
              </w:rPr>
              <w:t>65 200 874,00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1 191 480,00</w:t>
            </w:r>
          </w:p>
        </w:tc>
      </w:tr>
      <w:tr w:rsidR="0035701C">
        <w:tc>
          <w:tcPr>
            <w:tcW w:w="1750" w:type="pct"/>
            <w:shd w:val="clear" w:color="auto" w:fill="FFFFFF"/>
            <w:tcMar>
              <w:top w:w="60" w:type="dxa"/>
            </w:tcMar>
            <w:vAlign w:val="center"/>
          </w:tcPr>
          <w:p w:rsidR="0035701C" w:rsidRDefault="00FB561B">
            <w:pPr>
              <w:spacing w:before="20" w:after="20"/>
              <w:jc w:val="left"/>
              <w:rPr>
                <w:sz w:val="16"/>
              </w:rPr>
            </w:pPr>
            <w:r>
              <w:rPr>
                <w:sz w:val="16"/>
              </w:rPr>
              <w:t xml:space="preserve">M07 - Services de base et rénovation des villages dans les zones rurales (article 20) </w:t>
            </w:r>
          </w:p>
        </w:tc>
        <w:tc>
          <w:tcPr>
            <w:tcW w:w="1750" w:type="pct"/>
            <w:shd w:val="clear" w:color="auto" w:fill="FFFFFF"/>
            <w:tcMar>
              <w:top w:w="60" w:type="dxa"/>
            </w:tcMar>
            <w:vAlign w:val="center"/>
          </w:tcPr>
          <w:p w:rsidR="0035701C" w:rsidRDefault="00FB561B">
            <w:pPr>
              <w:spacing w:before="20" w:after="20"/>
              <w:jc w:val="left"/>
              <w:rPr>
                <w:sz w:val="16"/>
              </w:rPr>
            </w:pPr>
            <w:r>
              <w:rPr>
                <w:sz w:val="16"/>
              </w:rPr>
              <w:t>Nombre d'opérations</w:t>
            </w:r>
          </w:p>
        </w:tc>
        <w:tc>
          <w:tcPr>
            <w:tcW w:w="750" w:type="pct"/>
            <w:shd w:val="clear" w:color="auto" w:fill="FFFFFF"/>
            <w:tcMar>
              <w:top w:w="60" w:type="dxa"/>
            </w:tcMar>
            <w:vAlign w:val="center"/>
          </w:tcPr>
          <w:p w:rsidR="0035701C" w:rsidRDefault="00FB561B">
            <w:pPr>
              <w:spacing w:before="20" w:after="20"/>
              <w:jc w:val="right"/>
              <w:rPr>
                <w:sz w:val="16"/>
              </w:rPr>
            </w:pPr>
            <w:r>
              <w:rPr>
                <w:sz w:val="16"/>
              </w:rPr>
              <w:t>6,00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sz w:val="16"/>
              </w:rPr>
            </w:pPr>
            <w:r>
              <w:rPr>
                <w:sz w:val="16"/>
              </w:rPr>
              <w:t xml:space="preserve">M07 - Services de base et rénovation des villages dans les zones rurales (article 20) </w:t>
            </w:r>
          </w:p>
        </w:tc>
        <w:tc>
          <w:tcPr>
            <w:tcW w:w="1750" w:type="pct"/>
            <w:shd w:val="clear" w:color="auto" w:fill="FFFFFF"/>
            <w:tcMar>
              <w:top w:w="60" w:type="dxa"/>
            </w:tcMar>
            <w:vAlign w:val="center"/>
          </w:tcPr>
          <w:p w:rsidR="0035701C" w:rsidRDefault="00FB561B">
            <w:pPr>
              <w:spacing w:before="20" w:after="20"/>
              <w:jc w:val="left"/>
              <w:rPr>
                <w:sz w:val="16"/>
              </w:rPr>
            </w:pPr>
            <w:r>
              <w:rPr>
                <w:sz w:val="16"/>
              </w:rPr>
              <w:t>Total des dépenses publiques (en €)</w:t>
            </w:r>
          </w:p>
        </w:tc>
        <w:tc>
          <w:tcPr>
            <w:tcW w:w="750" w:type="pct"/>
            <w:shd w:val="clear" w:color="auto" w:fill="FFFFFF"/>
            <w:tcMar>
              <w:top w:w="60" w:type="dxa"/>
            </w:tcMar>
            <w:vAlign w:val="center"/>
          </w:tcPr>
          <w:p w:rsidR="0035701C" w:rsidRDefault="00FB561B">
            <w:pPr>
              <w:spacing w:before="20" w:after="20"/>
              <w:jc w:val="right"/>
              <w:rPr>
                <w:sz w:val="16"/>
              </w:rPr>
            </w:pPr>
            <w:r>
              <w:rPr>
                <w:sz w:val="16"/>
              </w:rPr>
              <w:t>2 000 000,00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bl>
    <w:p w:rsidR="0035701C" w:rsidRDefault="0035701C">
      <w:pPr>
        <w:sectPr w:rsidR="0035701C">
          <w:pgSz w:w="12240" w:h="15840"/>
          <w:pgMar w:top="900" w:right="900" w:bottom="900" w:left="900" w:header="720" w:footer="720" w:gutter="0"/>
          <w:cols w:space="720"/>
        </w:sectPr>
      </w:pPr>
    </w:p>
    <w:p w:rsidR="0035701C" w:rsidRDefault="00FB561B">
      <w:pPr>
        <w:pStyle w:val="Titre4"/>
        <w:jc w:val="left"/>
      </w:pPr>
      <w:r>
        <w:t xml:space="preserve">2B) Faciliter l'entrée d'exploitants agricoles suffisamment qualifiés dans le secteur de l'agriculture, et </w:t>
      </w:r>
      <w:r>
        <w:t>en particulier le renouvellement des générations</w:t>
      </w:r>
    </w:p>
    <w:p w:rsidR="0035701C" w:rsidRDefault="00FB561B">
      <w:r>
        <w:t>Indicateur(s) cible(s)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750" w:type="pct"/>
            <w:shd w:val="clear" w:color="auto" w:fill="C0C0C0"/>
            <w:tcMar>
              <w:top w:w="60" w:type="dxa"/>
            </w:tcMar>
            <w:vAlign w:val="center"/>
          </w:tcPr>
          <w:p w:rsidR="0035701C" w:rsidRDefault="00FB561B">
            <w:pPr>
              <w:jc w:val="center"/>
              <w:rPr>
                <w:b/>
                <w:sz w:val="20"/>
              </w:rPr>
            </w:pPr>
            <w:r>
              <w:rPr>
                <w:b/>
                <w:sz w:val="20"/>
              </w:rPr>
              <w:t>Nom de l'indicateur cible</w:t>
            </w:r>
          </w:p>
        </w:tc>
        <w:tc>
          <w:tcPr>
            <w:tcW w:w="750" w:type="pct"/>
            <w:shd w:val="clear" w:color="auto" w:fill="C0C0C0"/>
            <w:tcMar>
              <w:top w:w="60" w:type="dxa"/>
            </w:tcMar>
            <w:vAlign w:val="center"/>
          </w:tcPr>
          <w:p w:rsidR="0035701C" w:rsidRDefault="00FB561B">
            <w:pPr>
              <w:jc w:val="center"/>
              <w:rPr>
                <w:sz w:val="20"/>
              </w:rPr>
            </w:pPr>
            <w:r>
              <w:rPr>
                <w:b/>
                <w:sz w:val="20"/>
              </w:rPr>
              <w:t>Valeur cible pour 2025</w:t>
            </w:r>
          </w:p>
        </w:tc>
      </w:tr>
      <w:tr w:rsidR="0035701C">
        <w:tc>
          <w:tcPr>
            <w:tcW w:w="4000" w:type="pct"/>
            <w:shd w:val="clear" w:color="auto" w:fill="FFFFFF"/>
            <w:tcMar>
              <w:top w:w="60" w:type="dxa"/>
            </w:tcMar>
            <w:vAlign w:val="center"/>
          </w:tcPr>
          <w:p w:rsidR="0035701C" w:rsidRDefault="00FB561B">
            <w:pPr>
              <w:spacing w:before="20" w:after="20"/>
              <w:jc w:val="left"/>
              <w:rPr>
                <w:b/>
                <w:sz w:val="16"/>
              </w:rPr>
            </w:pPr>
            <w:r>
              <w:rPr>
                <w:b/>
                <w:sz w:val="16"/>
              </w:rPr>
              <w:t xml:space="preserve">T5: pourcentage d’exploitations agricoles avec un plan d’entreprise/des investissements pour les jeunes agriculteurs </w:t>
            </w:r>
            <w:r>
              <w:rPr>
                <w:b/>
                <w:sz w:val="16"/>
              </w:rPr>
              <w:t>soutenus par le PDR (domaine prioritaire 2B)</w:t>
            </w:r>
          </w:p>
        </w:tc>
        <w:tc>
          <w:tcPr>
            <w:tcW w:w="1000" w:type="pct"/>
            <w:shd w:val="clear" w:color="auto" w:fill="FFFFFF"/>
            <w:tcMar>
              <w:top w:w="60" w:type="dxa"/>
            </w:tcMar>
            <w:vAlign w:val="center"/>
          </w:tcPr>
          <w:p w:rsidR="0035701C" w:rsidRDefault="00FB561B">
            <w:pPr>
              <w:spacing w:before="20" w:after="20"/>
              <w:jc w:val="right"/>
              <w:rPr>
                <w:b/>
                <w:sz w:val="16"/>
              </w:rPr>
            </w:pPr>
            <w:r>
              <w:rPr>
                <w:b/>
                <w:sz w:val="16"/>
              </w:rPr>
              <w:t>13,14</w:t>
            </w:r>
          </w:p>
        </w:tc>
      </w:tr>
      <w:tr w:rsidR="0035701C">
        <w:tc>
          <w:tcPr>
            <w:tcW w:w="4000" w:type="pct"/>
            <w:shd w:val="clear" w:color="auto" w:fill="FFFFFF"/>
            <w:tcMar>
              <w:top w:w="60" w:type="dxa"/>
            </w:tcMar>
            <w:vAlign w:val="center"/>
          </w:tcPr>
          <w:p w:rsidR="0035701C" w:rsidRDefault="00FB561B">
            <w:pPr>
              <w:spacing w:before="20" w:after="20"/>
              <w:jc w:val="left"/>
              <w:rPr>
                <w:sz w:val="16"/>
              </w:rPr>
            </w:pPr>
            <w:r>
              <w:rPr>
                <w:sz w:val="16"/>
              </w:rPr>
              <w:t>Nombre d’exploitations agricoles avec un plan d’entreprise/des investissements pour les jeunes agriculteurs soutenus par le PDR (domaine prioritaire 2B)</w:t>
            </w:r>
          </w:p>
        </w:tc>
        <w:tc>
          <w:tcPr>
            <w:tcW w:w="1000" w:type="pct"/>
            <w:shd w:val="clear" w:color="auto" w:fill="FFFFFF"/>
            <w:tcMar>
              <w:top w:w="60" w:type="dxa"/>
            </w:tcMar>
            <w:vAlign w:val="center"/>
          </w:tcPr>
          <w:p w:rsidR="0035701C" w:rsidRDefault="00FB561B">
            <w:pPr>
              <w:spacing w:before="20" w:after="20"/>
              <w:jc w:val="right"/>
              <w:rPr>
                <w:sz w:val="16"/>
              </w:rPr>
            </w:pPr>
            <w:r>
              <w:rPr>
                <w:sz w:val="16"/>
              </w:rPr>
              <w:t>372,00</w:t>
            </w:r>
          </w:p>
        </w:tc>
      </w:tr>
    </w:tbl>
    <w:p w:rsidR="0035701C" w:rsidRDefault="0035701C">
      <w:pPr>
        <w:jc w:val="center"/>
        <w:rPr>
          <w:sz w:val="16"/>
        </w:rPr>
      </w:pPr>
    </w:p>
    <w:p w:rsidR="0035701C" w:rsidRDefault="00FB561B">
      <w:r>
        <w:t xml:space="preserve">Indicateur contextuel utilisé comme </w:t>
      </w:r>
      <w:r>
        <w:t>dénominateur pour la valeur cible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4000" w:type="pct"/>
            <w:shd w:val="clear" w:color="auto" w:fill="C0C0C0"/>
            <w:tcMar>
              <w:top w:w="60" w:type="dxa"/>
            </w:tcMar>
            <w:vAlign w:val="center"/>
          </w:tcPr>
          <w:p w:rsidR="0035701C" w:rsidRDefault="00FB561B">
            <w:pPr>
              <w:jc w:val="center"/>
              <w:rPr>
                <w:b/>
                <w:sz w:val="20"/>
              </w:rPr>
            </w:pPr>
            <w:r>
              <w:rPr>
                <w:b/>
                <w:sz w:val="20"/>
              </w:rPr>
              <w:t>Nom de l'indicateur contextuel</w:t>
            </w:r>
          </w:p>
        </w:tc>
        <w:tc>
          <w:tcPr>
            <w:tcW w:w="1000" w:type="pct"/>
            <w:shd w:val="clear" w:color="auto" w:fill="C0C0C0"/>
            <w:tcMar>
              <w:top w:w="60" w:type="dxa"/>
            </w:tcMar>
            <w:vAlign w:val="center"/>
          </w:tcPr>
          <w:p w:rsidR="0035701C" w:rsidRDefault="00FB561B">
            <w:pPr>
              <w:jc w:val="center"/>
              <w:rPr>
                <w:sz w:val="20"/>
              </w:rPr>
            </w:pPr>
            <w:r>
              <w:rPr>
                <w:b/>
                <w:sz w:val="20"/>
              </w:rPr>
              <w:t>Valeur de l'année de base</w:t>
            </w:r>
          </w:p>
        </w:tc>
      </w:tr>
      <w:tr w:rsidR="0035701C">
        <w:tc>
          <w:tcPr>
            <w:tcW w:w="1000" w:type="pct"/>
            <w:shd w:val="clear" w:color="auto" w:fill="FFFFFF"/>
            <w:tcMar>
              <w:top w:w="60" w:type="dxa"/>
            </w:tcMar>
            <w:vAlign w:val="center"/>
          </w:tcPr>
          <w:p w:rsidR="0035701C" w:rsidRDefault="00FB561B">
            <w:pPr>
              <w:spacing w:before="20" w:after="20"/>
              <w:jc w:val="left"/>
              <w:rPr>
                <w:sz w:val="16"/>
              </w:rPr>
            </w:pPr>
            <w:r>
              <w:rPr>
                <w:sz w:val="16"/>
              </w:rPr>
              <w:t>17 Exploitations agricoles (fermes) - nombre total</w:t>
            </w:r>
          </w:p>
        </w:tc>
        <w:tc>
          <w:tcPr>
            <w:tcW w:w="1000" w:type="pct"/>
            <w:shd w:val="clear" w:color="auto" w:fill="FFFFFF"/>
            <w:tcMar>
              <w:top w:w="60" w:type="dxa"/>
            </w:tcMar>
            <w:vAlign w:val="center"/>
          </w:tcPr>
          <w:p w:rsidR="0035701C" w:rsidRDefault="00FB561B">
            <w:pPr>
              <w:spacing w:before="20" w:after="20"/>
              <w:jc w:val="right"/>
              <w:rPr>
                <w:sz w:val="16"/>
              </w:rPr>
            </w:pPr>
            <w:r>
              <w:rPr>
                <w:sz w:val="16"/>
              </w:rPr>
              <w:t>2 830,00</w:t>
            </w:r>
          </w:p>
        </w:tc>
      </w:tr>
    </w:tbl>
    <w:p w:rsidR="0035701C" w:rsidRDefault="0035701C"/>
    <w:p w:rsidR="0035701C" w:rsidRDefault="00FB561B">
      <w:r>
        <w:t>Indicateur(s) de réalisation prévus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gridCol w:w="2400"/>
        <w:gridCol w:w="2400"/>
      </w:tblGrid>
      <w:tr w:rsidR="0035701C">
        <w:tc>
          <w:tcPr>
            <w:tcW w:w="1750" w:type="pct"/>
            <w:vMerge w:val="restart"/>
            <w:shd w:val="clear" w:color="auto" w:fill="C0C0C0"/>
            <w:tcMar>
              <w:top w:w="60" w:type="dxa"/>
            </w:tcMar>
            <w:vAlign w:val="center"/>
          </w:tcPr>
          <w:p w:rsidR="0035701C" w:rsidRDefault="00FB561B">
            <w:pPr>
              <w:jc w:val="center"/>
              <w:rPr>
                <w:b/>
                <w:sz w:val="20"/>
              </w:rPr>
            </w:pPr>
            <w:r>
              <w:rPr>
                <w:b/>
                <w:sz w:val="20"/>
              </w:rPr>
              <w:t>Nom de la mesure</w:t>
            </w:r>
          </w:p>
        </w:tc>
        <w:tc>
          <w:tcPr>
            <w:tcW w:w="1750" w:type="pct"/>
            <w:vMerge w:val="restart"/>
            <w:shd w:val="clear" w:color="auto" w:fill="C0C0C0"/>
            <w:tcMar>
              <w:top w:w="60" w:type="dxa"/>
            </w:tcMar>
            <w:vAlign w:val="center"/>
          </w:tcPr>
          <w:p w:rsidR="0035701C" w:rsidRDefault="00FB561B">
            <w:pPr>
              <w:jc w:val="center"/>
              <w:rPr>
                <w:b/>
                <w:sz w:val="20"/>
              </w:rPr>
            </w:pPr>
            <w:r>
              <w:rPr>
                <w:b/>
                <w:sz w:val="20"/>
              </w:rPr>
              <w:t>Nom de l'indicateur</w:t>
            </w:r>
          </w:p>
        </w:tc>
        <w:tc>
          <w:tcPr>
            <w:tcW w:w="750" w:type="pct"/>
            <w:vMerge w:val="restart"/>
            <w:shd w:val="clear" w:color="auto" w:fill="C0C0C0"/>
            <w:tcMar>
              <w:top w:w="60" w:type="dxa"/>
            </w:tcMar>
            <w:vAlign w:val="center"/>
          </w:tcPr>
          <w:p w:rsidR="0035701C" w:rsidRDefault="00FB561B">
            <w:pPr>
              <w:jc w:val="center"/>
              <w:rPr>
                <w:b/>
                <w:sz w:val="20"/>
              </w:rPr>
            </w:pPr>
            <w:r>
              <w:rPr>
                <w:b/>
                <w:sz w:val="20"/>
              </w:rPr>
              <w:t>Valeur</w:t>
            </w:r>
          </w:p>
        </w:tc>
        <w:tc>
          <w:tcPr>
            <w:tcW w:w="750" w:type="pct"/>
            <w:vMerge w:val="restart"/>
            <w:shd w:val="clear" w:color="auto" w:fill="C0C0C0"/>
            <w:tcMar>
              <w:top w:w="60" w:type="dxa"/>
            </w:tcMar>
            <w:vAlign w:val="center"/>
          </w:tcPr>
          <w:p w:rsidR="0035701C" w:rsidRDefault="00FB561B">
            <w:pPr>
              <w:jc w:val="center"/>
              <w:rPr>
                <w:sz w:val="20"/>
              </w:rPr>
            </w:pPr>
            <w:r>
              <w:rPr>
                <w:b/>
                <w:sz w:val="20"/>
              </w:rPr>
              <w:t xml:space="preserve">Dont </w:t>
            </w:r>
            <w:r>
              <w:rPr>
                <w:b/>
                <w:sz w:val="20"/>
              </w:rPr>
              <w:t>financés par Next Generation EU</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M06 - Développement des exploitations agricoles et des entreprises (article 19)</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Nombre de bénéficiaires (exploitations) percevant l'aide au démarrage d'entreprises pour les jeunes agriculteurs (6.1)</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372,00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M06 - </w:t>
            </w:r>
            <w:r>
              <w:rPr>
                <w:b/>
                <w:sz w:val="16"/>
              </w:rPr>
              <w:t>Développement des exploitations agricoles et des entreprises (article 19)</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Nombre de bénéficiaires (exploitations) percevant un soutien à l'investissement dans des activités non agricoles dans des zones rurales (6.4)</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10,00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 xml:space="preserve">M06 - Développement des </w:t>
            </w:r>
            <w:r>
              <w:rPr>
                <w:b/>
                <w:sz w:val="16"/>
              </w:rPr>
              <w:t>exploitations agricoles et des entreprises (article 19)</w:t>
            </w:r>
          </w:p>
        </w:tc>
        <w:tc>
          <w:tcPr>
            <w:tcW w:w="1750" w:type="pct"/>
            <w:shd w:val="clear" w:color="auto" w:fill="FFFFFF"/>
            <w:tcMar>
              <w:top w:w="60" w:type="dxa"/>
            </w:tcMar>
            <w:vAlign w:val="center"/>
          </w:tcPr>
          <w:p w:rsidR="0035701C" w:rsidRDefault="00FB561B">
            <w:pPr>
              <w:spacing w:before="20" w:after="20"/>
              <w:jc w:val="left"/>
              <w:rPr>
                <w:sz w:val="16"/>
              </w:rPr>
            </w:pPr>
            <w:r>
              <w:rPr>
                <w:sz w:val="16"/>
              </w:rPr>
              <w:t>Nombre de bénéficiaires (exploitations) percevant des paiements de transfert (6.5)</w:t>
            </w:r>
          </w:p>
        </w:tc>
        <w:tc>
          <w:tcPr>
            <w:tcW w:w="750" w:type="pc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M06 - Développement des exploitations agricoles et des entreprises (article 19)</w:t>
            </w:r>
          </w:p>
        </w:tc>
        <w:tc>
          <w:tcPr>
            <w:tcW w:w="1750" w:type="pct"/>
            <w:shd w:val="clear" w:color="auto" w:fill="FFFFFF"/>
            <w:tcMar>
              <w:top w:w="60" w:type="dxa"/>
            </w:tcMar>
            <w:vAlign w:val="center"/>
          </w:tcPr>
          <w:p w:rsidR="0035701C" w:rsidRDefault="00FB561B">
            <w:pPr>
              <w:spacing w:before="20" w:after="20"/>
              <w:jc w:val="left"/>
              <w:rPr>
                <w:sz w:val="16"/>
              </w:rPr>
            </w:pPr>
            <w:r>
              <w:rPr>
                <w:sz w:val="16"/>
              </w:rPr>
              <w:t>Total des investissements (en</w:t>
            </w:r>
            <w:r>
              <w:rPr>
                <w:sz w:val="16"/>
              </w:rPr>
              <w:t xml:space="preserve"> €) (publics et privés)</w:t>
            </w:r>
          </w:p>
        </w:tc>
        <w:tc>
          <w:tcPr>
            <w:tcW w:w="750" w:type="pct"/>
            <w:shd w:val="clear" w:color="auto" w:fill="FFFFFF"/>
            <w:tcMar>
              <w:top w:w="60" w:type="dxa"/>
            </w:tcMar>
            <w:vAlign w:val="center"/>
          </w:tcPr>
          <w:p w:rsidR="0035701C" w:rsidRDefault="00FB561B">
            <w:pPr>
              <w:spacing w:before="20" w:after="20"/>
              <w:jc w:val="right"/>
              <w:rPr>
                <w:sz w:val="16"/>
              </w:rPr>
            </w:pPr>
            <w:r>
              <w:rPr>
                <w:sz w:val="16"/>
              </w:rPr>
              <w:t>17 500 004,00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M06 - Développement des exploitations agricoles et des entreprises (article 19)</w:t>
            </w:r>
          </w:p>
        </w:tc>
        <w:tc>
          <w:tcPr>
            <w:tcW w:w="1750" w:type="pct"/>
            <w:shd w:val="clear" w:color="auto" w:fill="FFFFFF"/>
            <w:tcMar>
              <w:top w:w="60" w:type="dxa"/>
            </w:tcMar>
            <w:vAlign w:val="center"/>
          </w:tcPr>
          <w:p w:rsidR="0035701C" w:rsidRDefault="00FB561B">
            <w:pPr>
              <w:spacing w:before="20" w:after="20"/>
              <w:jc w:val="left"/>
              <w:rPr>
                <w:sz w:val="16"/>
              </w:rPr>
            </w:pPr>
            <w:r>
              <w:rPr>
                <w:sz w:val="16"/>
              </w:rPr>
              <w:t>Total des dépenses publiques (en €) (6.1)</w:t>
            </w:r>
          </w:p>
        </w:tc>
        <w:tc>
          <w:tcPr>
            <w:tcW w:w="750" w:type="pct"/>
            <w:shd w:val="clear" w:color="auto" w:fill="FFFFFF"/>
            <w:tcMar>
              <w:top w:w="60" w:type="dxa"/>
            </w:tcMar>
            <w:vAlign w:val="center"/>
          </w:tcPr>
          <w:p w:rsidR="0035701C" w:rsidRDefault="00FB561B">
            <w:pPr>
              <w:spacing w:before="20" w:after="20"/>
              <w:jc w:val="right"/>
              <w:rPr>
                <w:sz w:val="16"/>
              </w:rPr>
            </w:pPr>
            <w:r>
              <w:rPr>
                <w:sz w:val="16"/>
              </w:rPr>
              <w:t>17 500 004,00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 xml:space="preserve">M06 - Développement des exploitations agricoles et des entreprises (article </w:t>
            </w:r>
            <w:r>
              <w:rPr>
                <w:b/>
                <w:sz w:val="16"/>
              </w:rPr>
              <w:t>19)</w:t>
            </w:r>
          </w:p>
        </w:tc>
        <w:tc>
          <w:tcPr>
            <w:tcW w:w="1750" w:type="pct"/>
            <w:shd w:val="clear" w:color="auto" w:fill="FFFFFF"/>
            <w:tcMar>
              <w:top w:w="60" w:type="dxa"/>
            </w:tcMar>
            <w:vAlign w:val="center"/>
          </w:tcPr>
          <w:p w:rsidR="0035701C" w:rsidRDefault="00FB561B">
            <w:pPr>
              <w:spacing w:before="20" w:after="20"/>
              <w:jc w:val="left"/>
              <w:rPr>
                <w:sz w:val="16"/>
              </w:rPr>
            </w:pPr>
            <w:r>
              <w:rPr>
                <w:sz w:val="16"/>
              </w:rPr>
              <w:t>Total des dépenses publiques (en €)</w:t>
            </w:r>
          </w:p>
        </w:tc>
        <w:tc>
          <w:tcPr>
            <w:tcW w:w="750" w:type="pct"/>
            <w:shd w:val="clear" w:color="auto" w:fill="FFFFFF"/>
            <w:tcMar>
              <w:top w:w="60" w:type="dxa"/>
            </w:tcMar>
            <w:vAlign w:val="center"/>
          </w:tcPr>
          <w:p w:rsidR="0035701C" w:rsidRDefault="00FB561B">
            <w:pPr>
              <w:spacing w:before="20" w:after="20"/>
              <w:jc w:val="right"/>
              <w:rPr>
                <w:sz w:val="16"/>
              </w:rPr>
            </w:pPr>
            <w:r>
              <w:rPr>
                <w:sz w:val="16"/>
              </w:rPr>
              <w:t>17 500 004,00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bl>
    <w:p w:rsidR="0035701C" w:rsidRDefault="0035701C">
      <w:pPr>
        <w:sectPr w:rsidR="0035701C">
          <w:pgSz w:w="12240" w:h="15840"/>
          <w:pgMar w:top="900" w:right="900" w:bottom="900" w:left="900" w:header="720" w:footer="720" w:gutter="0"/>
          <w:cols w:space="720"/>
        </w:sectPr>
      </w:pPr>
    </w:p>
    <w:p w:rsidR="0035701C" w:rsidRDefault="00FB561B">
      <w:pPr>
        <w:pStyle w:val="Titre3"/>
        <w:jc w:val="left"/>
      </w:pPr>
      <w:bookmarkStart w:id="141" w:name="_Toc256000140"/>
      <w:r>
        <w:t>P3: promouvoir l'organisation de la chaîne alimentaire, y compris la transformation et la commercialisation des produits agricoles, le bien-être animal ainsi que la gestion des risques dans</w:t>
      </w:r>
      <w:r>
        <w:t xml:space="preserve"> le secteur de l'agriculture</w:t>
      </w:r>
      <w:bookmarkEnd w:id="141"/>
    </w:p>
    <w:p w:rsidR="0035701C" w:rsidRDefault="00FB561B">
      <w:pPr>
        <w:pStyle w:val="Titre4"/>
        <w:jc w:val="left"/>
      </w:pPr>
      <w:r>
        <w:t>3A) Améliorer la compétitivité des producteurs primaires en les intégrant mieux dans la chaîne agroalimentaire au moyen des programmes de qualité, en conférant une valeur ajoutée aux produits agricoles, et par le biais de la pr</w:t>
      </w:r>
      <w:r>
        <w:t>omotion sur les marchés locaux et des circuits d’approvisionnement courts, des groupements de producteurs et des organisations interprofessionnelles</w:t>
      </w:r>
    </w:p>
    <w:p w:rsidR="0035701C" w:rsidRDefault="00FB561B">
      <w:r>
        <w:t>Indicateur(s) cible(s)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750" w:type="pct"/>
            <w:shd w:val="clear" w:color="auto" w:fill="C0C0C0"/>
            <w:tcMar>
              <w:top w:w="60" w:type="dxa"/>
            </w:tcMar>
            <w:vAlign w:val="center"/>
          </w:tcPr>
          <w:p w:rsidR="0035701C" w:rsidRDefault="00FB561B">
            <w:pPr>
              <w:jc w:val="center"/>
              <w:rPr>
                <w:b/>
                <w:sz w:val="20"/>
              </w:rPr>
            </w:pPr>
            <w:r>
              <w:rPr>
                <w:b/>
                <w:sz w:val="20"/>
              </w:rPr>
              <w:t>Nom de l'indicateur cible</w:t>
            </w:r>
          </w:p>
        </w:tc>
        <w:tc>
          <w:tcPr>
            <w:tcW w:w="750" w:type="pct"/>
            <w:shd w:val="clear" w:color="auto" w:fill="C0C0C0"/>
            <w:tcMar>
              <w:top w:w="60" w:type="dxa"/>
            </w:tcMar>
            <w:vAlign w:val="center"/>
          </w:tcPr>
          <w:p w:rsidR="0035701C" w:rsidRDefault="00FB561B">
            <w:pPr>
              <w:jc w:val="center"/>
              <w:rPr>
                <w:sz w:val="20"/>
              </w:rPr>
            </w:pPr>
            <w:r>
              <w:rPr>
                <w:b/>
                <w:sz w:val="20"/>
              </w:rPr>
              <w:t>Valeur cible pour 2025</w:t>
            </w:r>
          </w:p>
        </w:tc>
      </w:tr>
      <w:tr w:rsidR="0035701C">
        <w:tc>
          <w:tcPr>
            <w:tcW w:w="4000" w:type="pct"/>
            <w:shd w:val="clear" w:color="auto" w:fill="FFFFFF"/>
            <w:tcMar>
              <w:top w:w="60" w:type="dxa"/>
            </w:tcMar>
            <w:vAlign w:val="center"/>
          </w:tcPr>
          <w:p w:rsidR="0035701C" w:rsidRDefault="00FB561B">
            <w:pPr>
              <w:spacing w:before="20" w:after="20"/>
              <w:jc w:val="left"/>
              <w:rPr>
                <w:b/>
                <w:sz w:val="16"/>
              </w:rPr>
            </w:pPr>
            <w:r>
              <w:rPr>
                <w:b/>
                <w:sz w:val="16"/>
              </w:rPr>
              <w:t xml:space="preserve">T6: pourcentage </w:t>
            </w:r>
            <w:r>
              <w:rPr>
                <w:b/>
                <w:sz w:val="16"/>
              </w:rPr>
              <w:t>d’exploitations agricoles percevant un soutien pour participer à des systèmes de qualité, des marchés locaux et des circuits d’approvisionnement courts ou des groupements/organisations de producteurs (domaine prioritaire 3A)</w:t>
            </w:r>
          </w:p>
        </w:tc>
        <w:tc>
          <w:tcPr>
            <w:tcW w:w="1000" w:type="pct"/>
            <w:shd w:val="clear" w:color="auto" w:fill="FFFFFF"/>
            <w:tcMar>
              <w:top w:w="60" w:type="dxa"/>
            </w:tcMar>
            <w:vAlign w:val="center"/>
          </w:tcPr>
          <w:p w:rsidR="0035701C" w:rsidRDefault="00FB561B">
            <w:pPr>
              <w:spacing w:before="20" w:after="20"/>
              <w:jc w:val="right"/>
              <w:rPr>
                <w:b/>
                <w:sz w:val="16"/>
              </w:rPr>
            </w:pPr>
            <w:r>
              <w:rPr>
                <w:b/>
                <w:sz w:val="16"/>
              </w:rPr>
              <w:t>0,00</w:t>
            </w:r>
          </w:p>
        </w:tc>
      </w:tr>
      <w:tr w:rsidR="0035701C">
        <w:tc>
          <w:tcPr>
            <w:tcW w:w="4000" w:type="pct"/>
            <w:shd w:val="clear" w:color="auto" w:fill="FFFFFF"/>
            <w:tcMar>
              <w:top w:w="60" w:type="dxa"/>
            </w:tcMar>
            <w:vAlign w:val="center"/>
          </w:tcPr>
          <w:p w:rsidR="0035701C" w:rsidRDefault="00FB561B">
            <w:pPr>
              <w:spacing w:before="20" w:after="20"/>
              <w:jc w:val="left"/>
              <w:rPr>
                <w:sz w:val="16"/>
              </w:rPr>
            </w:pPr>
            <w:r>
              <w:rPr>
                <w:sz w:val="16"/>
              </w:rPr>
              <w:t>Nombre d’exploitations ag</w:t>
            </w:r>
            <w:r>
              <w:rPr>
                <w:sz w:val="16"/>
              </w:rPr>
              <w:t>ricoles percevant un soutien pour participer à des systèmes de qualité, des marchés locaux et des circuits d’approvisionnement courts ou des groupements/organisations de producteurs (domaine prioritaire 3A)</w:t>
            </w:r>
          </w:p>
        </w:tc>
        <w:tc>
          <w:tcPr>
            <w:tcW w:w="1000" w:type="pct"/>
            <w:shd w:val="clear" w:color="auto" w:fill="FFFFFF"/>
            <w:tcMar>
              <w:top w:w="60" w:type="dxa"/>
            </w:tcMar>
            <w:vAlign w:val="center"/>
          </w:tcPr>
          <w:p w:rsidR="0035701C" w:rsidRDefault="00FB561B">
            <w:pPr>
              <w:spacing w:before="20" w:after="20"/>
              <w:jc w:val="right"/>
              <w:rPr>
                <w:sz w:val="16"/>
              </w:rPr>
            </w:pPr>
            <w:r>
              <w:rPr>
                <w:sz w:val="16"/>
              </w:rPr>
              <w:t>0,00</w:t>
            </w:r>
          </w:p>
        </w:tc>
      </w:tr>
    </w:tbl>
    <w:p w:rsidR="0035701C" w:rsidRDefault="0035701C">
      <w:pPr>
        <w:jc w:val="center"/>
        <w:rPr>
          <w:sz w:val="16"/>
        </w:rPr>
      </w:pPr>
    </w:p>
    <w:p w:rsidR="0035701C" w:rsidRDefault="00FB561B">
      <w:r>
        <w:t xml:space="preserve">Indicateur contextuel utilisé comme </w:t>
      </w:r>
      <w:r>
        <w:t>dénominateur pour la valeur cible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4000" w:type="pct"/>
            <w:shd w:val="clear" w:color="auto" w:fill="C0C0C0"/>
            <w:tcMar>
              <w:top w:w="60" w:type="dxa"/>
            </w:tcMar>
            <w:vAlign w:val="center"/>
          </w:tcPr>
          <w:p w:rsidR="0035701C" w:rsidRDefault="00FB561B">
            <w:pPr>
              <w:jc w:val="center"/>
              <w:rPr>
                <w:b/>
                <w:sz w:val="20"/>
              </w:rPr>
            </w:pPr>
            <w:r>
              <w:rPr>
                <w:b/>
                <w:sz w:val="20"/>
              </w:rPr>
              <w:t>Nom de l'indicateur contextuel</w:t>
            </w:r>
          </w:p>
        </w:tc>
        <w:tc>
          <w:tcPr>
            <w:tcW w:w="1000" w:type="pct"/>
            <w:shd w:val="clear" w:color="auto" w:fill="C0C0C0"/>
            <w:tcMar>
              <w:top w:w="60" w:type="dxa"/>
            </w:tcMar>
            <w:vAlign w:val="center"/>
          </w:tcPr>
          <w:p w:rsidR="0035701C" w:rsidRDefault="00FB561B">
            <w:pPr>
              <w:jc w:val="center"/>
              <w:rPr>
                <w:sz w:val="20"/>
              </w:rPr>
            </w:pPr>
            <w:r>
              <w:rPr>
                <w:b/>
                <w:sz w:val="20"/>
              </w:rPr>
              <w:t>Valeur de l'année de base</w:t>
            </w:r>
          </w:p>
        </w:tc>
      </w:tr>
      <w:tr w:rsidR="0035701C">
        <w:tc>
          <w:tcPr>
            <w:tcW w:w="1000" w:type="pct"/>
            <w:shd w:val="clear" w:color="auto" w:fill="FFFFFF"/>
            <w:tcMar>
              <w:top w:w="60" w:type="dxa"/>
            </w:tcMar>
            <w:vAlign w:val="center"/>
          </w:tcPr>
          <w:p w:rsidR="0035701C" w:rsidRDefault="00FB561B">
            <w:pPr>
              <w:spacing w:before="20" w:after="20"/>
              <w:jc w:val="left"/>
              <w:rPr>
                <w:sz w:val="16"/>
              </w:rPr>
            </w:pPr>
            <w:r>
              <w:rPr>
                <w:sz w:val="16"/>
              </w:rPr>
              <w:t>17 Exploitations agricoles (fermes) - nombre total</w:t>
            </w:r>
          </w:p>
        </w:tc>
        <w:tc>
          <w:tcPr>
            <w:tcW w:w="1000" w:type="pct"/>
            <w:shd w:val="clear" w:color="auto" w:fill="FFFFFF"/>
            <w:tcMar>
              <w:top w:w="60" w:type="dxa"/>
            </w:tcMar>
            <w:vAlign w:val="center"/>
          </w:tcPr>
          <w:p w:rsidR="0035701C" w:rsidRDefault="00FB561B">
            <w:pPr>
              <w:spacing w:before="20" w:after="20"/>
              <w:jc w:val="right"/>
              <w:rPr>
                <w:sz w:val="16"/>
              </w:rPr>
            </w:pPr>
            <w:r>
              <w:rPr>
                <w:sz w:val="16"/>
              </w:rPr>
              <w:t>2 830,00</w:t>
            </w:r>
          </w:p>
        </w:tc>
      </w:tr>
    </w:tbl>
    <w:p w:rsidR="0035701C" w:rsidRDefault="0035701C"/>
    <w:p w:rsidR="0035701C" w:rsidRDefault="00FB561B">
      <w:r>
        <w:t>Indicateur(s) de réalisation prévus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gridCol w:w="2400"/>
        <w:gridCol w:w="2400"/>
      </w:tblGrid>
      <w:tr w:rsidR="0035701C">
        <w:tc>
          <w:tcPr>
            <w:tcW w:w="1750" w:type="pct"/>
            <w:shd w:val="clear" w:color="auto" w:fill="C0C0C0"/>
            <w:tcMar>
              <w:top w:w="60" w:type="dxa"/>
            </w:tcMar>
            <w:vAlign w:val="center"/>
          </w:tcPr>
          <w:p w:rsidR="0035701C" w:rsidRDefault="00FB561B">
            <w:pPr>
              <w:jc w:val="center"/>
              <w:rPr>
                <w:b/>
                <w:sz w:val="20"/>
              </w:rPr>
            </w:pPr>
            <w:r>
              <w:rPr>
                <w:b/>
                <w:sz w:val="20"/>
              </w:rPr>
              <w:t>Nom de la mesure</w:t>
            </w:r>
          </w:p>
        </w:tc>
        <w:tc>
          <w:tcPr>
            <w:tcW w:w="1750" w:type="pct"/>
            <w:shd w:val="clear" w:color="auto" w:fill="C0C0C0"/>
            <w:tcMar>
              <w:top w:w="60" w:type="dxa"/>
            </w:tcMar>
            <w:vAlign w:val="center"/>
          </w:tcPr>
          <w:p w:rsidR="0035701C" w:rsidRDefault="00FB561B">
            <w:pPr>
              <w:jc w:val="center"/>
              <w:rPr>
                <w:b/>
                <w:sz w:val="20"/>
              </w:rPr>
            </w:pPr>
            <w:r>
              <w:rPr>
                <w:b/>
                <w:sz w:val="20"/>
              </w:rPr>
              <w:t>Nom de l'indicateur</w:t>
            </w:r>
          </w:p>
        </w:tc>
        <w:tc>
          <w:tcPr>
            <w:tcW w:w="750" w:type="pct"/>
            <w:shd w:val="clear" w:color="auto" w:fill="C0C0C0"/>
            <w:tcMar>
              <w:top w:w="60" w:type="dxa"/>
            </w:tcMar>
            <w:vAlign w:val="center"/>
          </w:tcPr>
          <w:p w:rsidR="0035701C" w:rsidRDefault="00FB561B">
            <w:pPr>
              <w:jc w:val="center"/>
              <w:rPr>
                <w:b/>
                <w:sz w:val="20"/>
              </w:rPr>
            </w:pPr>
            <w:r>
              <w:rPr>
                <w:b/>
                <w:sz w:val="20"/>
              </w:rPr>
              <w:t>Valeur</w:t>
            </w:r>
          </w:p>
        </w:tc>
        <w:tc>
          <w:tcPr>
            <w:tcW w:w="750" w:type="pct"/>
            <w:shd w:val="clear" w:color="auto" w:fill="C0C0C0"/>
            <w:tcMar>
              <w:top w:w="60" w:type="dxa"/>
            </w:tcMar>
            <w:vAlign w:val="center"/>
          </w:tcPr>
          <w:p w:rsidR="0035701C" w:rsidRDefault="00FB561B">
            <w:pPr>
              <w:jc w:val="center"/>
              <w:rPr>
                <w:sz w:val="20"/>
              </w:rPr>
            </w:pPr>
            <w:r>
              <w:rPr>
                <w:b/>
                <w:sz w:val="20"/>
              </w:rPr>
              <w:t xml:space="preserve">Dont </w:t>
            </w:r>
            <w:r>
              <w:rPr>
                <w:b/>
                <w:sz w:val="20"/>
              </w:rPr>
              <w:t>financés par Next Generation EU</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M04 - Investissements physiques (article 17)</w:t>
            </w:r>
          </w:p>
        </w:tc>
        <w:tc>
          <w:tcPr>
            <w:tcW w:w="1750" w:type="pct"/>
            <w:shd w:val="clear" w:color="auto" w:fill="FFFFFF"/>
            <w:tcMar>
              <w:top w:w="60" w:type="dxa"/>
            </w:tcMar>
            <w:vAlign w:val="center"/>
          </w:tcPr>
          <w:p w:rsidR="0035701C" w:rsidRDefault="00FB561B">
            <w:pPr>
              <w:spacing w:before="20" w:after="20"/>
              <w:jc w:val="left"/>
              <w:rPr>
                <w:sz w:val="16"/>
              </w:rPr>
            </w:pPr>
            <w:r>
              <w:rPr>
                <w:sz w:val="16"/>
              </w:rPr>
              <w:t xml:space="preserve">Nombre d'opérations bénéficiant d'un soutien à l'investissement (pour les exploitations agricoles, la transformation et la commercialisation des produits agricoles par exemple) </w:t>
            </w:r>
            <w:r>
              <w:rPr>
                <w:sz w:val="16"/>
              </w:rPr>
              <w:t>(4.1 et 4.2)</w:t>
            </w:r>
          </w:p>
        </w:tc>
        <w:tc>
          <w:tcPr>
            <w:tcW w:w="750" w:type="pct"/>
            <w:shd w:val="clear" w:color="auto" w:fill="FFFFFF"/>
            <w:tcMar>
              <w:top w:w="60" w:type="dxa"/>
            </w:tcMar>
            <w:vAlign w:val="center"/>
          </w:tcPr>
          <w:p w:rsidR="0035701C" w:rsidRDefault="00FB561B">
            <w:pPr>
              <w:spacing w:before="20" w:after="20"/>
              <w:jc w:val="right"/>
              <w:rPr>
                <w:sz w:val="16"/>
              </w:rPr>
            </w:pPr>
            <w:r>
              <w:rPr>
                <w:sz w:val="16"/>
              </w:rPr>
              <w:t>19,00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2,00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M04 - Investissements physiques (article 17)</w:t>
            </w:r>
          </w:p>
        </w:tc>
        <w:tc>
          <w:tcPr>
            <w:tcW w:w="1750" w:type="pct"/>
            <w:shd w:val="clear" w:color="auto" w:fill="FFFFFF"/>
            <w:tcMar>
              <w:top w:w="60" w:type="dxa"/>
            </w:tcMar>
            <w:vAlign w:val="center"/>
          </w:tcPr>
          <w:p w:rsidR="0035701C" w:rsidRDefault="00FB561B">
            <w:pPr>
              <w:spacing w:before="20" w:after="20"/>
              <w:jc w:val="left"/>
              <w:rPr>
                <w:sz w:val="16"/>
              </w:rPr>
            </w:pPr>
            <w:r>
              <w:rPr>
                <w:sz w:val="16"/>
              </w:rPr>
              <w:t>Total des investissements (en €) (publics et privés)</w:t>
            </w:r>
          </w:p>
        </w:tc>
        <w:tc>
          <w:tcPr>
            <w:tcW w:w="750" w:type="pct"/>
            <w:shd w:val="clear" w:color="auto" w:fill="FFFFFF"/>
            <w:tcMar>
              <w:top w:w="60" w:type="dxa"/>
            </w:tcMar>
            <w:vAlign w:val="center"/>
          </w:tcPr>
          <w:p w:rsidR="0035701C" w:rsidRDefault="00FB561B">
            <w:pPr>
              <w:spacing w:before="20" w:after="20"/>
              <w:jc w:val="right"/>
              <w:rPr>
                <w:sz w:val="16"/>
              </w:rPr>
            </w:pPr>
            <w:r>
              <w:rPr>
                <w:sz w:val="16"/>
              </w:rPr>
              <w:t>23 000 000,00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6 000 000,00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M04 - Investissements physiques (article 17)</w:t>
            </w:r>
          </w:p>
        </w:tc>
        <w:tc>
          <w:tcPr>
            <w:tcW w:w="1750" w:type="pct"/>
            <w:shd w:val="clear" w:color="auto" w:fill="FFFFFF"/>
            <w:tcMar>
              <w:top w:w="60" w:type="dxa"/>
            </w:tcMar>
            <w:vAlign w:val="center"/>
          </w:tcPr>
          <w:p w:rsidR="0035701C" w:rsidRDefault="00FB561B">
            <w:pPr>
              <w:spacing w:before="20" w:after="20"/>
              <w:jc w:val="left"/>
              <w:rPr>
                <w:sz w:val="16"/>
              </w:rPr>
            </w:pPr>
            <w:r>
              <w:rPr>
                <w:sz w:val="16"/>
              </w:rPr>
              <w:t xml:space="preserve">Total des dépenses publiques (en €) </w:t>
            </w:r>
          </w:p>
        </w:tc>
        <w:tc>
          <w:tcPr>
            <w:tcW w:w="750" w:type="pct"/>
            <w:shd w:val="clear" w:color="auto" w:fill="FFFFFF"/>
            <w:tcMar>
              <w:top w:w="60" w:type="dxa"/>
            </w:tcMar>
            <w:vAlign w:val="center"/>
          </w:tcPr>
          <w:p w:rsidR="0035701C" w:rsidRDefault="00FB561B">
            <w:pPr>
              <w:spacing w:before="20" w:after="20"/>
              <w:jc w:val="right"/>
              <w:rPr>
                <w:sz w:val="16"/>
              </w:rPr>
            </w:pPr>
            <w:r>
              <w:rPr>
                <w:sz w:val="16"/>
              </w:rPr>
              <w:t>8 700 000,00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3 600 000,</w:t>
            </w:r>
            <w:r>
              <w:rPr>
                <w:sz w:val="16"/>
              </w:rPr>
              <w:t>00</w:t>
            </w:r>
          </w:p>
        </w:tc>
      </w:tr>
    </w:tbl>
    <w:p w:rsidR="0035701C" w:rsidRDefault="0035701C">
      <w:pPr>
        <w:sectPr w:rsidR="0035701C">
          <w:pgSz w:w="12240" w:h="15840"/>
          <w:pgMar w:top="900" w:right="900" w:bottom="900" w:left="900" w:header="720" w:footer="720" w:gutter="0"/>
          <w:cols w:space="720"/>
        </w:sectPr>
      </w:pPr>
    </w:p>
    <w:p w:rsidR="0035701C" w:rsidRDefault="00FB561B">
      <w:pPr>
        <w:pStyle w:val="Titre4"/>
        <w:jc w:val="left"/>
      </w:pPr>
      <w:r>
        <w:t>3B) Soutien à la prévention et à la gestion des risques au niveau des exploitations</w:t>
      </w:r>
    </w:p>
    <w:p w:rsidR="0035701C" w:rsidRDefault="00FB561B">
      <w:r>
        <w:t>Indicateur(s) cible(s)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750" w:type="pct"/>
            <w:shd w:val="clear" w:color="auto" w:fill="C0C0C0"/>
            <w:tcMar>
              <w:top w:w="60" w:type="dxa"/>
            </w:tcMar>
            <w:vAlign w:val="center"/>
          </w:tcPr>
          <w:p w:rsidR="0035701C" w:rsidRDefault="00FB561B">
            <w:pPr>
              <w:jc w:val="center"/>
              <w:rPr>
                <w:b/>
                <w:sz w:val="20"/>
              </w:rPr>
            </w:pPr>
            <w:r>
              <w:rPr>
                <w:b/>
                <w:sz w:val="20"/>
              </w:rPr>
              <w:t>Nom de l'indicateur cible</w:t>
            </w:r>
          </w:p>
        </w:tc>
        <w:tc>
          <w:tcPr>
            <w:tcW w:w="750" w:type="pct"/>
            <w:shd w:val="clear" w:color="auto" w:fill="C0C0C0"/>
            <w:tcMar>
              <w:top w:w="60" w:type="dxa"/>
            </w:tcMar>
            <w:vAlign w:val="center"/>
          </w:tcPr>
          <w:p w:rsidR="0035701C" w:rsidRDefault="00FB561B">
            <w:pPr>
              <w:jc w:val="center"/>
              <w:rPr>
                <w:sz w:val="20"/>
              </w:rPr>
            </w:pPr>
            <w:r>
              <w:rPr>
                <w:b/>
                <w:sz w:val="20"/>
              </w:rPr>
              <w:t>Valeur cible pour 2025</w:t>
            </w:r>
          </w:p>
        </w:tc>
      </w:tr>
      <w:tr w:rsidR="0035701C">
        <w:tc>
          <w:tcPr>
            <w:tcW w:w="4000" w:type="pct"/>
            <w:shd w:val="clear" w:color="auto" w:fill="FFFFFF"/>
            <w:tcMar>
              <w:top w:w="60" w:type="dxa"/>
            </w:tcMar>
            <w:vAlign w:val="center"/>
          </w:tcPr>
          <w:p w:rsidR="0035701C" w:rsidRDefault="00FB561B">
            <w:pPr>
              <w:spacing w:before="20" w:after="20"/>
              <w:jc w:val="left"/>
              <w:rPr>
                <w:b/>
                <w:sz w:val="16"/>
              </w:rPr>
            </w:pPr>
            <w:r>
              <w:rPr>
                <w:b/>
                <w:sz w:val="16"/>
              </w:rPr>
              <w:t xml:space="preserve">T7: pourcentage d’exploitations participant aux programmes de gestion des </w:t>
            </w:r>
            <w:r>
              <w:rPr>
                <w:b/>
                <w:sz w:val="16"/>
              </w:rPr>
              <w:t>risques (domaine prioritaire 3B)</w:t>
            </w:r>
          </w:p>
        </w:tc>
        <w:tc>
          <w:tcPr>
            <w:tcW w:w="1000" w:type="pct"/>
            <w:shd w:val="clear" w:color="auto" w:fill="FFFFFF"/>
            <w:tcMar>
              <w:top w:w="60" w:type="dxa"/>
            </w:tcMar>
            <w:vAlign w:val="center"/>
          </w:tcPr>
          <w:p w:rsidR="0035701C" w:rsidRDefault="00FB561B">
            <w:pPr>
              <w:spacing w:before="20" w:after="20"/>
              <w:jc w:val="right"/>
              <w:rPr>
                <w:b/>
                <w:sz w:val="16"/>
              </w:rPr>
            </w:pPr>
            <w:r>
              <w:rPr>
                <w:b/>
                <w:sz w:val="16"/>
              </w:rPr>
              <w:t>0</w:t>
            </w:r>
          </w:p>
        </w:tc>
      </w:tr>
      <w:tr w:rsidR="0035701C">
        <w:tc>
          <w:tcPr>
            <w:tcW w:w="4000" w:type="pct"/>
            <w:shd w:val="clear" w:color="auto" w:fill="FFFFFF"/>
            <w:tcMar>
              <w:top w:w="60" w:type="dxa"/>
            </w:tcMar>
            <w:vAlign w:val="center"/>
          </w:tcPr>
          <w:p w:rsidR="0035701C" w:rsidRDefault="00FB561B">
            <w:pPr>
              <w:spacing w:before="20" w:after="20"/>
              <w:jc w:val="left"/>
              <w:rPr>
                <w:sz w:val="16"/>
              </w:rPr>
            </w:pPr>
            <w:r>
              <w:rPr>
                <w:sz w:val="16"/>
              </w:rPr>
              <w:t>Nombre d’exploitations participant aux programmes de gestion des risques (domaine prioritaire 3B)</w:t>
            </w:r>
          </w:p>
        </w:tc>
        <w:tc>
          <w:tcPr>
            <w:tcW w:w="1000" w:type="pct"/>
            <w:shd w:val="clear" w:color="auto" w:fill="FFFFFF"/>
            <w:tcMar>
              <w:top w:w="60" w:type="dxa"/>
            </w:tcMar>
            <w:vAlign w:val="center"/>
          </w:tcPr>
          <w:p w:rsidR="0035701C" w:rsidRDefault="00FB561B">
            <w:pPr>
              <w:spacing w:before="20" w:after="20"/>
              <w:jc w:val="right"/>
              <w:rPr>
                <w:sz w:val="16"/>
              </w:rPr>
            </w:pPr>
            <w:r>
              <w:rPr>
                <w:sz w:val="16"/>
              </w:rPr>
              <w:t>0</w:t>
            </w:r>
          </w:p>
        </w:tc>
      </w:tr>
    </w:tbl>
    <w:p w:rsidR="0035701C" w:rsidRDefault="0035701C">
      <w:pPr>
        <w:jc w:val="center"/>
        <w:rPr>
          <w:sz w:val="16"/>
        </w:rPr>
      </w:pPr>
    </w:p>
    <w:p w:rsidR="0035701C" w:rsidRDefault="00FB561B">
      <w:r>
        <w:t>Indicateur contextuel utilisé comme dénominateur pour la valeur cible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4000" w:type="pct"/>
            <w:shd w:val="clear" w:color="auto" w:fill="C0C0C0"/>
            <w:tcMar>
              <w:top w:w="60" w:type="dxa"/>
            </w:tcMar>
            <w:vAlign w:val="center"/>
          </w:tcPr>
          <w:p w:rsidR="0035701C" w:rsidRDefault="00FB561B">
            <w:pPr>
              <w:jc w:val="center"/>
              <w:rPr>
                <w:b/>
                <w:sz w:val="20"/>
              </w:rPr>
            </w:pPr>
            <w:r>
              <w:rPr>
                <w:b/>
                <w:sz w:val="20"/>
              </w:rPr>
              <w:t>Nom de l'indicateur contextuel</w:t>
            </w:r>
          </w:p>
        </w:tc>
        <w:tc>
          <w:tcPr>
            <w:tcW w:w="1000" w:type="pct"/>
            <w:shd w:val="clear" w:color="auto" w:fill="C0C0C0"/>
            <w:tcMar>
              <w:top w:w="60" w:type="dxa"/>
            </w:tcMar>
            <w:vAlign w:val="center"/>
          </w:tcPr>
          <w:p w:rsidR="0035701C" w:rsidRDefault="00FB561B">
            <w:pPr>
              <w:jc w:val="center"/>
              <w:rPr>
                <w:sz w:val="20"/>
              </w:rPr>
            </w:pPr>
            <w:r>
              <w:rPr>
                <w:b/>
                <w:sz w:val="20"/>
              </w:rPr>
              <w:t>Valeur de l'année</w:t>
            </w:r>
            <w:r>
              <w:rPr>
                <w:b/>
                <w:sz w:val="20"/>
              </w:rPr>
              <w:t xml:space="preserve"> de base</w:t>
            </w:r>
          </w:p>
        </w:tc>
      </w:tr>
      <w:tr w:rsidR="0035701C">
        <w:tc>
          <w:tcPr>
            <w:tcW w:w="1000" w:type="pct"/>
            <w:shd w:val="clear" w:color="auto" w:fill="FFFFFF"/>
            <w:tcMar>
              <w:top w:w="60" w:type="dxa"/>
            </w:tcMar>
            <w:vAlign w:val="center"/>
          </w:tcPr>
          <w:p w:rsidR="0035701C" w:rsidRDefault="00FB561B">
            <w:pPr>
              <w:spacing w:before="20" w:after="20"/>
              <w:jc w:val="left"/>
              <w:rPr>
                <w:sz w:val="16"/>
              </w:rPr>
            </w:pPr>
            <w:r>
              <w:rPr>
                <w:sz w:val="16"/>
              </w:rPr>
              <w:t>17 Exploitations agricoles (fermes) - nombre total</w:t>
            </w:r>
          </w:p>
        </w:tc>
        <w:tc>
          <w:tcPr>
            <w:tcW w:w="1000" w:type="pct"/>
            <w:shd w:val="clear" w:color="auto" w:fill="FFFFFF"/>
            <w:tcMar>
              <w:top w:w="60" w:type="dxa"/>
            </w:tcMar>
            <w:vAlign w:val="center"/>
          </w:tcPr>
          <w:p w:rsidR="0035701C" w:rsidRDefault="00FB561B">
            <w:pPr>
              <w:spacing w:before="20" w:after="20"/>
              <w:jc w:val="right"/>
              <w:rPr>
                <w:sz w:val="16"/>
              </w:rPr>
            </w:pPr>
            <w:r>
              <w:rPr>
                <w:sz w:val="16"/>
              </w:rPr>
              <w:t>2 830,00</w:t>
            </w:r>
          </w:p>
        </w:tc>
      </w:tr>
    </w:tbl>
    <w:p w:rsidR="0035701C" w:rsidRDefault="0035701C"/>
    <w:p w:rsidR="0035701C" w:rsidRDefault="00FB561B">
      <w:r>
        <w:t>Indicateur(s) de réalisation prévus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gridCol w:w="2400"/>
        <w:gridCol w:w="2400"/>
      </w:tblGrid>
      <w:tr w:rsidR="0035701C">
        <w:tc>
          <w:tcPr>
            <w:tcW w:w="1750" w:type="pct"/>
            <w:vMerge w:val="restart"/>
            <w:shd w:val="clear" w:color="auto" w:fill="C0C0C0"/>
            <w:tcMar>
              <w:top w:w="60" w:type="dxa"/>
            </w:tcMar>
            <w:vAlign w:val="center"/>
          </w:tcPr>
          <w:p w:rsidR="0035701C" w:rsidRDefault="00FB561B">
            <w:pPr>
              <w:jc w:val="center"/>
              <w:rPr>
                <w:b/>
                <w:sz w:val="20"/>
              </w:rPr>
            </w:pPr>
            <w:r>
              <w:rPr>
                <w:b/>
                <w:sz w:val="20"/>
              </w:rPr>
              <w:t>Nom de la mesure</w:t>
            </w:r>
          </w:p>
        </w:tc>
        <w:tc>
          <w:tcPr>
            <w:tcW w:w="1750" w:type="pct"/>
            <w:vMerge w:val="restart"/>
            <w:shd w:val="clear" w:color="auto" w:fill="C0C0C0"/>
            <w:tcMar>
              <w:top w:w="60" w:type="dxa"/>
            </w:tcMar>
            <w:vAlign w:val="center"/>
          </w:tcPr>
          <w:p w:rsidR="0035701C" w:rsidRDefault="00FB561B">
            <w:pPr>
              <w:jc w:val="center"/>
              <w:rPr>
                <w:b/>
                <w:sz w:val="20"/>
              </w:rPr>
            </w:pPr>
            <w:r>
              <w:rPr>
                <w:b/>
                <w:sz w:val="20"/>
              </w:rPr>
              <w:t>Nom de l'indicateur</w:t>
            </w:r>
          </w:p>
        </w:tc>
        <w:tc>
          <w:tcPr>
            <w:tcW w:w="750" w:type="pct"/>
            <w:vMerge w:val="restart"/>
            <w:shd w:val="clear" w:color="auto" w:fill="C0C0C0"/>
            <w:tcMar>
              <w:top w:w="60" w:type="dxa"/>
            </w:tcMar>
            <w:vAlign w:val="center"/>
          </w:tcPr>
          <w:p w:rsidR="0035701C" w:rsidRDefault="00FB561B">
            <w:pPr>
              <w:jc w:val="center"/>
              <w:rPr>
                <w:b/>
                <w:sz w:val="20"/>
              </w:rPr>
            </w:pPr>
            <w:r>
              <w:rPr>
                <w:b/>
                <w:sz w:val="20"/>
              </w:rPr>
              <w:t>Valeur</w:t>
            </w:r>
          </w:p>
        </w:tc>
        <w:tc>
          <w:tcPr>
            <w:tcW w:w="750" w:type="pct"/>
            <w:vMerge w:val="restart"/>
            <w:shd w:val="clear" w:color="auto" w:fill="C0C0C0"/>
            <w:tcMar>
              <w:top w:w="60" w:type="dxa"/>
            </w:tcMar>
            <w:vAlign w:val="center"/>
          </w:tcPr>
          <w:p w:rsidR="0035701C" w:rsidRDefault="00FB561B">
            <w:pPr>
              <w:jc w:val="center"/>
              <w:rPr>
                <w:sz w:val="20"/>
              </w:rPr>
            </w:pPr>
            <w:r>
              <w:rPr>
                <w:b/>
                <w:sz w:val="20"/>
              </w:rPr>
              <w:t>Dont financés par Next Generation EU</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 xml:space="preserve">M05 - Reconstitution du potentiel de production agricole endommagé par des catastrophes naturelles et des événements catastrophiques et mise en place de mesures de prévention appropriées (article 18) </w:t>
            </w:r>
          </w:p>
        </w:tc>
        <w:tc>
          <w:tcPr>
            <w:tcW w:w="1750" w:type="pct"/>
            <w:shd w:val="clear" w:color="auto" w:fill="FFFFFF"/>
            <w:tcMar>
              <w:top w:w="60" w:type="dxa"/>
            </w:tcMar>
            <w:vAlign w:val="center"/>
          </w:tcPr>
          <w:p w:rsidR="0035701C" w:rsidRDefault="00FB561B">
            <w:pPr>
              <w:spacing w:before="20" w:after="20"/>
              <w:jc w:val="left"/>
              <w:rPr>
                <w:sz w:val="16"/>
              </w:rPr>
            </w:pPr>
            <w:r>
              <w:rPr>
                <w:sz w:val="16"/>
              </w:rPr>
              <w:t xml:space="preserve">Nombre des bénéficiaires d'actions préventives (5.1) - </w:t>
            </w:r>
            <w:r>
              <w:rPr>
                <w:sz w:val="16"/>
              </w:rPr>
              <w:t xml:space="preserve">exploitations agricoles </w:t>
            </w:r>
          </w:p>
        </w:tc>
        <w:tc>
          <w:tcPr>
            <w:tcW w:w="750" w:type="pc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 xml:space="preserve">M05 - Reconstitution du potentiel de production agricole endommagé par des catastrophes naturelles et des événements catastrophiques et mise en place de mesures de prévention appropriées (article 18) </w:t>
            </w:r>
          </w:p>
        </w:tc>
        <w:tc>
          <w:tcPr>
            <w:tcW w:w="1750" w:type="pct"/>
            <w:shd w:val="clear" w:color="auto" w:fill="FFFFFF"/>
            <w:tcMar>
              <w:top w:w="60" w:type="dxa"/>
            </w:tcMar>
            <w:vAlign w:val="center"/>
          </w:tcPr>
          <w:p w:rsidR="0035701C" w:rsidRDefault="00FB561B">
            <w:pPr>
              <w:spacing w:before="20" w:after="20"/>
              <w:jc w:val="left"/>
              <w:rPr>
                <w:sz w:val="16"/>
              </w:rPr>
            </w:pPr>
            <w:r>
              <w:rPr>
                <w:sz w:val="16"/>
              </w:rPr>
              <w:t xml:space="preserve">Nombre des </w:t>
            </w:r>
            <w:r>
              <w:rPr>
                <w:sz w:val="16"/>
              </w:rPr>
              <w:t>bénéficiaires d'actions préventives (5.1) - entités publiques</w:t>
            </w:r>
          </w:p>
        </w:tc>
        <w:tc>
          <w:tcPr>
            <w:tcW w:w="750" w:type="pc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 xml:space="preserve">M05 - Reconstitution du potentiel de production agricole endommagé par des catastrophes naturelles et des événements catastrophiques et mise en place de mesures de prévention appropriées (article 18) </w:t>
            </w:r>
          </w:p>
        </w:tc>
        <w:tc>
          <w:tcPr>
            <w:tcW w:w="1750" w:type="pct"/>
            <w:shd w:val="clear" w:color="auto" w:fill="FFFFFF"/>
            <w:tcMar>
              <w:top w:w="60" w:type="dxa"/>
            </w:tcMar>
            <w:vAlign w:val="center"/>
          </w:tcPr>
          <w:p w:rsidR="0035701C" w:rsidRDefault="00FB561B">
            <w:pPr>
              <w:spacing w:before="20" w:after="20"/>
              <w:jc w:val="left"/>
              <w:rPr>
                <w:sz w:val="16"/>
              </w:rPr>
            </w:pPr>
            <w:r>
              <w:rPr>
                <w:sz w:val="16"/>
              </w:rPr>
              <w:t>Total des dépenses publiques (en €) (5.1)</w:t>
            </w:r>
          </w:p>
        </w:tc>
        <w:tc>
          <w:tcPr>
            <w:tcW w:w="750" w:type="pc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M05 -</w:t>
            </w:r>
            <w:r>
              <w:rPr>
                <w:b/>
                <w:sz w:val="16"/>
              </w:rPr>
              <w:t xml:space="preserve"> Reconstitution du potentiel de production agricole endommagé par des catastrophes naturelles et des événements catastrophiques et mise en place de mesures de prévention appropriées (article 18) </w:t>
            </w:r>
          </w:p>
        </w:tc>
        <w:tc>
          <w:tcPr>
            <w:tcW w:w="1750" w:type="pct"/>
            <w:shd w:val="clear" w:color="auto" w:fill="FFFFFF"/>
            <w:tcMar>
              <w:top w:w="60" w:type="dxa"/>
            </w:tcMar>
            <w:vAlign w:val="center"/>
          </w:tcPr>
          <w:p w:rsidR="0035701C" w:rsidRDefault="00FB561B">
            <w:pPr>
              <w:spacing w:before="20" w:after="20"/>
              <w:jc w:val="left"/>
              <w:rPr>
                <w:sz w:val="16"/>
              </w:rPr>
            </w:pPr>
            <w:r>
              <w:rPr>
                <w:sz w:val="16"/>
              </w:rPr>
              <w:t>Total des dépenses publiques (en €) (5.1 à 5.2)</w:t>
            </w:r>
          </w:p>
        </w:tc>
        <w:tc>
          <w:tcPr>
            <w:tcW w:w="750" w:type="pct"/>
            <w:shd w:val="clear" w:color="auto" w:fill="FFFFFF"/>
            <w:tcMar>
              <w:top w:w="60" w:type="dxa"/>
            </w:tcMar>
            <w:vAlign w:val="center"/>
          </w:tcPr>
          <w:p w:rsidR="0035701C" w:rsidRDefault="00FB561B">
            <w:pPr>
              <w:spacing w:before="20" w:after="20"/>
              <w:jc w:val="right"/>
              <w:rPr>
                <w:sz w:val="16"/>
              </w:rPr>
            </w:pPr>
            <w:r>
              <w:rPr>
                <w:sz w:val="16"/>
              </w:rPr>
              <w:t>600 000,00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bl>
    <w:p w:rsidR="0035701C" w:rsidRDefault="0035701C">
      <w:pPr>
        <w:sectPr w:rsidR="0035701C">
          <w:pgSz w:w="12240" w:h="15840"/>
          <w:pgMar w:top="900" w:right="900" w:bottom="900" w:left="900" w:header="720" w:footer="720" w:gutter="0"/>
          <w:cols w:space="720"/>
        </w:sectPr>
      </w:pPr>
    </w:p>
    <w:p w:rsidR="0035701C" w:rsidRDefault="00FB561B">
      <w:pPr>
        <w:pStyle w:val="Titre3"/>
        <w:jc w:val="left"/>
      </w:pPr>
      <w:bookmarkStart w:id="142" w:name="_Toc256000141"/>
      <w:r>
        <w:t>P4: restaurer, préserver et renforcer les écosystèmes liés à l'agriculture et à la foresterie</w:t>
      </w:r>
      <w:bookmarkEnd w:id="142"/>
    </w:p>
    <w:p w:rsidR="0035701C" w:rsidRDefault="00FB561B">
      <w:pPr>
        <w:rPr>
          <w:b/>
          <w:i/>
        </w:rPr>
      </w:pPr>
      <w:r>
        <w:rPr>
          <w:b/>
          <w:i/>
        </w:rPr>
        <w:t>Agriculture</w:t>
      </w:r>
    </w:p>
    <w:p w:rsidR="0035701C" w:rsidRDefault="00FB561B">
      <w:r>
        <w:t>Indicateur(s) de réalisation prévus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gridCol w:w="2400"/>
        <w:gridCol w:w="2400"/>
      </w:tblGrid>
      <w:tr w:rsidR="0035701C">
        <w:tc>
          <w:tcPr>
            <w:tcW w:w="1750" w:type="pct"/>
            <w:vMerge w:val="restart"/>
            <w:shd w:val="clear" w:color="auto" w:fill="C0C0C0"/>
            <w:tcMar>
              <w:top w:w="60" w:type="dxa"/>
            </w:tcMar>
            <w:vAlign w:val="center"/>
          </w:tcPr>
          <w:p w:rsidR="0035701C" w:rsidRDefault="00FB561B">
            <w:pPr>
              <w:jc w:val="center"/>
              <w:rPr>
                <w:b/>
                <w:sz w:val="20"/>
              </w:rPr>
            </w:pPr>
            <w:r>
              <w:rPr>
                <w:b/>
                <w:sz w:val="20"/>
              </w:rPr>
              <w:t>Nom de la mesure</w:t>
            </w:r>
          </w:p>
        </w:tc>
        <w:tc>
          <w:tcPr>
            <w:tcW w:w="1750" w:type="pct"/>
            <w:vMerge w:val="restart"/>
            <w:shd w:val="clear" w:color="auto" w:fill="C0C0C0"/>
            <w:tcMar>
              <w:top w:w="60" w:type="dxa"/>
            </w:tcMar>
            <w:vAlign w:val="center"/>
          </w:tcPr>
          <w:p w:rsidR="0035701C" w:rsidRDefault="00FB561B">
            <w:pPr>
              <w:jc w:val="center"/>
              <w:rPr>
                <w:b/>
                <w:sz w:val="20"/>
              </w:rPr>
            </w:pPr>
            <w:r>
              <w:rPr>
                <w:b/>
                <w:sz w:val="20"/>
              </w:rPr>
              <w:t>Nom de l'indicateur</w:t>
            </w:r>
          </w:p>
        </w:tc>
        <w:tc>
          <w:tcPr>
            <w:tcW w:w="750" w:type="pct"/>
            <w:vMerge w:val="restart"/>
            <w:shd w:val="clear" w:color="auto" w:fill="C0C0C0"/>
            <w:tcMar>
              <w:top w:w="60" w:type="dxa"/>
            </w:tcMar>
            <w:vAlign w:val="center"/>
          </w:tcPr>
          <w:p w:rsidR="0035701C" w:rsidRDefault="00FB561B">
            <w:pPr>
              <w:jc w:val="center"/>
              <w:rPr>
                <w:b/>
                <w:sz w:val="20"/>
              </w:rPr>
            </w:pPr>
            <w:r>
              <w:rPr>
                <w:b/>
                <w:sz w:val="20"/>
              </w:rPr>
              <w:t>Valeur</w:t>
            </w:r>
          </w:p>
        </w:tc>
        <w:tc>
          <w:tcPr>
            <w:tcW w:w="750" w:type="pct"/>
            <w:vMerge w:val="restart"/>
            <w:shd w:val="clear" w:color="auto" w:fill="C0C0C0"/>
            <w:tcMar>
              <w:top w:w="60" w:type="dxa"/>
            </w:tcMar>
            <w:vAlign w:val="center"/>
          </w:tcPr>
          <w:p w:rsidR="0035701C" w:rsidRDefault="00FB561B">
            <w:pPr>
              <w:jc w:val="center"/>
              <w:rPr>
                <w:sz w:val="20"/>
              </w:rPr>
            </w:pPr>
            <w:r>
              <w:rPr>
                <w:b/>
                <w:sz w:val="20"/>
              </w:rPr>
              <w:t>Dont financés par Next Generation EU</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M04 - </w:t>
            </w:r>
            <w:r>
              <w:rPr>
                <w:b/>
                <w:sz w:val="16"/>
              </w:rPr>
              <w:t>Investissements physiques (article 17)</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Nombre d'opérations de soutien à des investissements non productifs (4.4)</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M04 - Investissements physiques (article 17)</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Total des investissements (en €) (publics et privés)</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8 609 666,67</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5 226 666,67</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M04 - </w:t>
            </w:r>
            <w:r>
              <w:rPr>
                <w:b/>
                <w:sz w:val="16"/>
              </w:rPr>
              <w:t>Investissements physiques (article 17)</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 xml:space="preserve">Total des dépenses publiques (en €) </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6 626 400,00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3 920 000,00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M07 - Services de base et rénovation des villages dans les zones rurales (article 20)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Nombre d'opérations soutenues visant l'établissement de plans de d</w:t>
            </w:r>
            <w:r>
              <w:rPr>
                <w:sz w:val="16"/>
              </w:rPr>
              <w:t>éveloppement des villages et de plans de gestion des zones relevant de Natura 2000/à haute valeur naturelle (7.1)</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1,00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M07 - Services de base et rénovation des villages dans les zones rurales (article 20)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Total des dépenses publiques (en €)</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4 950 000,00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M10 - Agroenvironnement - climat (article 28)</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Superficie (ha) concernée par l'aide versée au titre de l'agroenvironnement/du climat (10.1)</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6 000,00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M10 - Agroenvironnement - climat (article 28)</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 xml:space="preserve">Dépenses publiques en faveur de la </w:t>
            </w:r>
            <w:r>
              <w:rPr>
                <w:sz w:val="16"/>
              </w:rPr>
              <w:t>conservation des ressources génétiques (10.2)</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M10 - Agroenvironnement - climat (article 28)</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 xml:space="preserve">Total des dépenses publiques (en €) </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14 010 000,00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M11 - Agriculture biologique (article 29)</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Superficie (ha) - conversion à l'agriculture biologique (11.</w:t>
            </w:r>
            <w:r>
              <w:rPr>
                <w:sz w:val="16"/>
              </w:rPr>
              <w:t>1)</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1 200,00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M11 - Agriculture biologique (article 29)</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Superficie (ha) - maintien de l'agriculture biologique (11.2)</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3 107,00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M11 - Agriculture biologique (article 29)</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Total des dépenses publiques (en €)</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7 800 000,33</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 xml:space="preserve">M13 - Paiements en faveur des </w:t>
            </w:r>
            <w:r>
              <w:rPr>
                <w:b/>
                <w:sz w:val="16"/>
              </w:rPr>
              <w:t>zones soumises à des contraintes naturelles ou à d'autres contraintes spécifiques (article 31)</w:t>
            </w:r>
          </w:p>
        </w:tc>
        <w:tc>
          <w:tcPr>
            <w:tcW w:w="1750" w:type="pct"/>
            <w:shd w:val="clear" w:color="auto" w:fill="FFFFFF"/>
            <w:tcMar>
              <w:top w:w="60" w:type="dxa"/>
            </w:tcMar>
            <w:vAlign w:val="center"/>
          </w:tcPr>
          <w:p w:rsidR="0035701C" w:rsidRDefault="00FB561B">
            <w:pPr>
              <w:spacing w:before="20" w:after="20"/>
              <w:jc w:val="left"/>
              <w:rPr>
                <w:sz w:val="16"/>
              </w:rPr>
            </w:pPr>
            <w:r>
              <w:rPr>
                <w:sz w:val="16"/>
              </w:rPr>
              <w:t>Superficie (ha) - zones de montagne (13.1)</w:t>
            </w:r>
          </w:p>
        </w:tc>
        <w:tc>
          <w:tcPr>
            <w:tcW w:w="750" w:type="pct"/>
            <w:shd w:val="clear" w:color="auto" w:fill="FFFFFF"/>
            <w:tcMar>
              <w:top w:w="60" w:type="dxa"/>
            </w:tcMar>
            <w:vAlign w:val="center"/>
          </w:tcPr>
          <w:p w:rsidR="0035701C" w:rsidRDefault="00FB561B">
            <w:pPr>
              <w:spacing w:before="20" w:after="20"/>
              <w:jc w:val="right"/>
              <w:rPr>
                <w:sz w:val="16"/>
              </w:rPr>
            </w:pPr>
            <w:r>
              <w:rPr>
                <w:sz w:val="16"/>
              </w:rPr>
              <w:t>64 000,00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 xml:space="preserve">M13 - Paiements en faveur des zones soumises à des contraintes naturelles ou à d'autres contraintes </w:t>
            </w:r>
            <w:r>
              <w:rPr>
                <w:b/>
                <w:sz w:val="16"/>
              </w:rPr>
              <w:t>spécifiques (article 31)</w:t>
            </w:r>
          </w:p>
        </w:tc>
        <w:tc>
          <w:tcPr>
            <w:tcW w:w="1750" w:type="pct"/>
            <w:shd w:val="clear" w:color="auto" w:fill="FFFFFF"/>
            <w:tcMar>
              <w:top w:w="60" w:type="dxa"/>
            </w:tcMar>
            <w:vAlign w:val="center"/>
          </w:tcPr>
          <w:p w:rsidR="0035701C" w:rsidRDefault="00FB561B">
            <w:pPr>
              <w:spacing w:before="20" w:after="20"/>
              <w:jc w:val="left"/>
              <w:rPr>
                <w:sz w:val="16"/>
              </w:rPr>
            </w:pPr>
            <w:r>
              <w:rPr>
                <w:sz w:val="16"/>
              </w:rPr>
              <w:t>Superficie (ha) - autres zones soumises à des contraintes naturelles importantes (13.2)</w:t>
            </w:r>
          </w:p>
        </w:tc>
        <w:tc>
          <w:tcPr>
            <w:tcW w:w="750" w:type="pct"/>
            <w:shd w:val="clear" w:color="auto" w:fill="FFFFFF"/>
            <w:tcMar>
              <w:top w:w="60" w:type="dxa"/>
            </w:tcMar>
            <w:vAlign w:val="center"/>
          </w:tcPr>
          <w:p w:rsidR="0035701C" w:rsidRDefault="00FB561B">
            <w:pPr>
              <w:spacing w:before="20" w:after="20"/>
              <w:jc w:val="right"/>
              <w:rPr>
                <w:sz w:val="16"/>
              </w:rPr>
            </w:pPr>
            <w:r>
              <w:rPr>
                <w:sz w:val="16"/>
              </w:rPr>
              <w:t>6 500,00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M13 - Paiements en faveur des zones soumises à des contraintes naturelles ou à d'autres contraintes spécifiques (article 31)</w:t>
            </w:r>
          </w:p>
        </w:tc>
        <w:tc>
          <w:tcPr>
            <w:tcW w:w="1750" w:type="pct"/>
            <w:shd w:val="clear" w:color="auto" w:fill="FFFFFF"/>
            <w:tcMar>
              <w:top w:w="60" w:type="dxa"/>
            </w:tcMar>
            <w:vAlign w:val="center"/>
          </w:tcPr>
          <w:p w:rsidR="0035701C" w:rsidRDefault="00FB561B">
            <w:pPr>
              <w:spacing w:before="20" w:after="20"/>
              <w:jc w:val="left"/>
              <w:rPr>
                <w:sz w:val="16"/>
              </w:rPr>
            </w:pPr>
            <w:r>
              <w:rPr>
                <w:sz w:val="16"/>
              </w:rPr>
              <w:t>Superf</w:t>
            </w:r>
            <w:r>
              <w:rPr>
                <w:sz w:val="16"/>
              </w:rPr>
              <w:t>icie (ha) - zones soumises à des contraintes spécifiques (13.3)</w:t>
            </w:r>
          </w:p>
        </w:tc>
        <w:tc>
          <w:tcPr>
            <w:tcW w:w="750" w:type="pct"/>
            <w:shd w:val="clear" w:color="auto" w:fill="FFFFFF"/>
            <w:tcMar>
              <w:top w:w="60" w:type="dxa"/>
            </w:tcMar>
            <w:vAlign w:val="center"/>
          </w:tcPr>
          <w:p w:rsidR="0035701C" w:rsidRDefault="00FB561B">
            <w:pPr>
              <w:spacing w:before="20" w:after="20"/>
              <w:jc w:val="right"/>
              <w:rPr>
                <w:sz w:val="16"/>
              </w:rPr>
            </w:pPr>
            <w:r>
              <w:rPr>
                <w:sz w:val="16"/>
              </w:rPr>
              <w:t>1 500,00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M13 - Paiements en faveur des zones soumises à des contraintes naturelles ou à d'autres contraintes spécifiques (article 31)</w:t>
            </w:r>
          </w:p>
        </w:tc>
        <w:tc>
          <w:tcPr>
            <w:tcW w:w="1750" w:type="pct"/>
            <w:shd w:val="clear" w:color="auto" w:fill="FFFFFF"/>
            <w:tcMar>
              <w:top w:w="60" w:type="dxa"/>
            </w:tcMar>
            <w:vAlign w:val="center"/>
          </w:tcPr>
          <w:p w:rsidR="0035701C" w:rsidRDefault="00FB561B">
            <w:pPr>
              <w:spacing w:before="20" w:after="20"/>
              <w:jc w:val="left"/>
              <w:rPr>
                <w:sz w:val="16"/>
              </w:rPr>
            </w:pPr>
            <w:r>
              <w:rPr>
                <w:sz w:val="16"/>
              </w:rPr>
              <w:t>Total des dépenses publiques (en €)</w:t>
            </w:r>
          </w:p>
        </w:tc>
        <w:tc>
          <w:tcPr>
            <w:tcW w:w="750" w:type="pct"/>
            <w:shd w:val="clear" w:color="auto" w:fill="FFFFFF"/>
            <w:tcMar>
              <w:top w:w="60" w:type="dxa"/>
            </w:tcMar>
            <w:vAlign w:val="center"/>
          </w:tcPr>
          <w:p w:rsidR="0035701C" w:rsidRDefault="00FB561B">
            <w:pPr>
              <w:spacing w:before="20" w:after="20"/>
              <w:jc w:val="right"/>
              <w:rPr>
                <w:sz w:val="16"/>
              </w:rPr>
            </w:pPr>
            <w:r>
              <w:rPr>
                <w:sz w:val="16"/>
              </w:rPr>
              <w:t>134 868 693,67</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bl>
    <w:p w:rsidR="0035701C" w:rsidRDefault="00FB561B">
      <w:pPr>
        <w:rPr>
          <w:b/>
          <w:i/>
        </w:rPr>
      </w:pPr>
      <w:r>
        <w:rPr>
          <w:b/>
          <w:i/>
        </w:rPr>
        <w:t>Foresterie</w:t>
      </w:r>
    </w:p>
    <w:p w:rsidR="0035701C" w:rsidRDefault="00FB561B">
      <w:r>
        <w:t>Indicateur(s) de réalisation prévus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gridCol w:w="2400"/>
        <w:gridCol w:w="2400"/>
      </w:tblGrid>
      <w:tr w:rsidR="0035701C">
        <w:tc>
          <w:tcPr>
            <w:tcW w:w="1750" w:type="pct"/>
            <w:vMerge w:val="restart"/>
            <w:shd w:val="clear" w:color="auto" w:fill="C0C0C0"/>
            <w:tcMar>
              <w:top w:w="60" w:type="dxa"/>
            </w:tcMar>
            <w:vAlign w:val="center"/>
          </w:tcPr>
          <w:p w:rsidR="0035701C" w:rsidRDefault="00FB561B">
            <w:pPr>
              <w:jc w:val="center"/>
              <w:rPr>
                <w:b/>
                <w:sz w:val="20"/>
              </w:rPr>
            </w:pPr>
            <w:r>
              <w:rPr>
                <w:b/>
                <w:sz w:val="20"/>
              </w:rPr>
              <w:t>Nom de la mesure</w:t>
            </w:r>
          </w:p>
        </w:tc>
        <w:tc>
          <w:tcPr>
            <w:tcW w:w="1750" w:type="pct"/>
            <w:vMerge w:val="restart"/>
            <w:shd w:val="clear" w:color="auto" w:fill="C0C0C0"/>
            <w:tcMar>
              <w:top w:w="60" w:type="dxa"/>
            </w:tcMar>
            <w:vAlign w:val="center"/>
          </w:tcPr>
          <w:p w:rsidR="0035701C" w:rsidRDefault="00FB561B">
            <w:pPr>
              <w:jc w:val="center"/>
              <w:rPr>
                <w:b/>
                <w:sz w:val="20"/>
              </w:rPr>
            </w:pPr>
            <w:r>
              <w:rPr>
                <w:b/>
                <w:sz w:val="20"/>
              </w:rPr>
              <w:t>Nom de l'indicateur</w:t>
            </w:r>
          </w:p>
        </w:tc>
        <w:tc>
          <w:tcPr>
            <w:tcW w:w="750" w:type="pct"/>
            <w:vMerge w:val="restart"/>
            <w:shd w:val="clear" w:color="auto" w:fill="C0C0C0"/>
            <w:tcMar>
              <w:top w:w="60" w:type="dxa"/>
            </w:tcMar>
            <w:vAlign w:val="center"/>
          </w:tcPr>
          <w:p w:rsidR="0035701C" w:rsidRDefault="00FB561B">
            <w:pPr>
              <w:jc w:val="center"/>
              <w:rPr>
                <w:b/>
                <w:sz w:val="20"/>
              </w:rPr>
            </w:pPr>
            <w:r>
              <w:rPr>
                <w:b/>
                <w:sz w:val="20"/>
              </w:rPr>
              <w:t>Valeur</w:t>
            </w:r>
          </w:p>
        </w:tc>
        <w:tc>
          <w:tcPr>
            <w:tcW w:w="750" w:type="pct"/>
            <w:vMerge w:val="restart"/>
            <w:shd w:val="clear" w:color="auto" w:fill="C0C0C0"/>
            <w:tcMar>
              <w:top w:w="60" w:type="dxa"/>
            </w:tcMar>
            <w:vAlign w:val="center"/>
          </w:tcPr>
          <w:p w:rsidR="0035701C" w:rsidRDefault="00FB561B">
            <w:pPr>
              <w:jc w:val="center"/>
              <w:rPr>
                <w:sz w:val="20"/>
              </w:rPr>
            </w:pPr>
            <w:r>
              <w:rPr>
                <w:b/>
                <w:sz w:val="20"/>
              </w:rPr>
              <w:t>Dont financés par Next Generation EU</w:t>
            </w:r>
          </w:p>
        </w:tc>
      </w:tr>
      <w:tr w:rsidR="0035701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 xml:space="preserve">M08 - Investissements dans le développement des zones forestières et amélioration de la viabilité des forêts (articles 21 à 26)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Total des dépenses publiques (en €) (8.1)</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 xml:space="preserve">M08 - Investissements dans le développement des zones forestières et amélioration de la viabilité des forêts (articles 21 à 26)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Total des dépenses publiques (en €) (8.2)</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M08 - Investissements dans le développement des zones forestières et améliora</w:t>
            </w:r>
            <w:r>
              <w:rPr>
                <w:b/>
                <w:sz w:val="16"/>
              </w:rPr>
              <w:t xml:space="preserve">tion de la viabilité des forêts (articles 21 à 26)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Total des dépenses publiques (en €) (8.3)</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8 500 000,00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 xml:space="preserve">M08 - Investissements dans le développement des zones forestières et amélioration de la viabilité des forêts (articles 21 à 26)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Total des dépense</w:t>
            </w:r>
            <w:r>
              <w:rPr>
                <w:sz w:val="16"/>
              </w:rPr>
              <w:t>s publiques (en €) (8.4)</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M08 - Investissements dans le développement des zones forestières et amélioration de la viabilité des forêts (articles 21 à 26)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Nombre des bénéficiaires d'actions préventives (8.3)</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6,00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 xml:space="preserve">M08 - Investissements dans le développement des zones forestières et amélioration de la viabilité des forêts (articles 21 à 26) </w:t>
            </w:r>
          </w:p>
        </w:tc>
        <w:tc>
          <w:tcPr>
            <w:tcW w:w="1750" w:type="pct"/>
            <w:shd w:val="clear" w:color="auto" w:fill="FFFFFF"/>
            <w:tcMar>
              <w:top w:w="60" w:type="dxa"/>
            </w:tcMar>
            <w:vAlign w:val="center"/>
          </w:tcPr>
          <w:p w:rsidR="0035701C" w:rsidRDefault="00FB561B">
            <w:pPr>
              <w:spacing w:before="20" w:after="20"/>
              <w:jc w:val="left"/>
              <w:rPr>
                <w:sz w:val="16"/>
              </w:rPr>
            </w:pPr>
            <w:r>
              <w:rPr>
                <w:sz w:val="16"/>
              </w:rPr>
              <w:t>Total des dépenses publiques (en €) (8.5)</w:t>
            </w:r>
          </w:p>
        </w:tc>
        <w:tc>
          <w:tcPr>
            <w:tcW w:w="750" w:type="pc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 xml:space="preserve">M08 - Investissements dans le développement des zones forestières et amélioration de la viabilité des forêts (articles 21 à 26) </w:t>
            </w:r>
          </w:p>
        </w:tc>
        <w:tc>
          <w:tcPr>
            <w:tcW w:w="1750" w:type="pct"/>
            <w:shd w:val="clear" w:color="auto" w:fill="FFFFFF"/>
            <w:tcMar>
              <w:top w:w="60" w:type="dxa"/>
            </w:tcMar>
            <w:vAlign w:val="center"/>
          </w:tcPr>
          <w:p w:rsidR="0035701C" w:rsidRDefault="00FB561B">
            <w:pPr>
              <w:spacing w:before="20" w:after="20"/>
              <w:jc w:val="left"/>
              <w:rPr>
                <w:sz w:val="16"/>
              </w:rPr>
            </w:pPr>
            <w:r>
              <w:rPr>
                <w:sz w:val="16"/>
              </w:rPr>
              <w:t>Nombre d'opérations (investissements améliorant la résilience et la valeur des écosystèmes forestiers) (8.5)</w:t>
            </w:r>
          </w:p>
        </w:tc>
        <w:tc>
          <w:tcPr>
            <w:tcW w:w="750" w:type="pc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M08 - Inve</w:t>
            </w:r>
            <w:r>
              <w:rPr>
                <w:b/>
                <w:sz w:val="16"/>
              </w:rPr>
              <w:t xml:space="preserve">stissements dans le développement des zones forestières et amélioration de la viabilité des forêts (articles 21 à 26) </w:t>
            </w:r>
          </w:p>
        </w:tc>
        <w:tc>
          <w:tcPr>
            <w:tcW w:w="1750" w:type="pct"/>
            <w:shd w:val="clear" w:color="auto" w:fill="FFFFFF"/>
            <w:tcMar>
              <w:top w:w="60" w:type="dxa"/>
            </w:tcMar>
            <w:vAlign w:val="center"/>
          </w:tcPr>
          <w:p w:rsidR="0035701C" w:rsidRDefault="00FB561B">
            <w:pPr>
              <w:spacing w:before="20" w:after="20"/>
              <w:jc w:val="left"/>
              <w:rPr>
                <w:sz w:val="16"/>
              </w:rPr>
            </w:pPr>
            <w:r>
              <w:rPr>
                <w:sz w:val="16"/>
              </w:rPr>
              <w:t>Zones concernées par des investissements améliorant la résilience et la valeur environnementale des écosystèmes forestiers (8.5)</w:t>
            </w:r>
          </w:p>
        </w:tc>
        <w:tc>
          <w:tcPr>
            <w:tcW w:w="750" w:type="pc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sz w:val="16"/>
              </w:rPr>
            </w:pPr>
            <w:r>
              <w:rPr>
                <w:sz w:val="16"/>
              </w:rPr>
              <w:t xml:space="preserve">M08 - Investissements dans le développement des zones forestières et amélioration de la viabilité des forêts (articles 21 à 26) </w:t>
            </w:r>
          </w:p>
        </w:tc>
        <w:tc>
          <w:tcPr>
            <w:tcW w:w="1750" w:type="pct"/>
            <w:shd w:val="clear" w:color="auto" w:fill="FFFFFF"/>
            <w:tcMar>
              <w:top w:w="60" w:type="dxa"/>
            </w:tcMar>
            <w:vAlign w:val="center"/>
          </w:tcPr>
          <w:p w:rsidR="0035701C" w:rsidRDefault="00FB561B">
            <w:pPr>
              <w:spacing w:before="20" w:after="20"/>
              <w:jc w:val="left"/>
              <w:rPr>
                <w:sz w:val="16"/>
              </w:rPr>
            </w:pPr>
            <w:r>
              <w:rPr>
                <w:sz w:val="16"/>
              </w:rPr>
              <w:t>Total des dépenses publiques (en €) (8.6)</w:t>
            </w:r>
          </w:p>
        </w:tc>
        <w:tc>
          <w:tcPr>
            <w:tcW w:w="750" w:type="pc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bl>
    <w:p w:rsidR="0035701C" w:rsidRDefault="0035701C">
      <w:pPr>
        <w:sectPr w:rsidR="0035701C">
          <w:pgSz w:w="12240" w:h="15840"/>
          <w:pgMar w:top="900" w:right="900" w:bottom="900" w:left="900" w:header="720" w:footer="720" w:gutter="0"/>
          <w:cols w:space="720"/>
        </w:sectPr>
      </w:pPr>
    </w:p>
    <w:p w:rsidR="0035701C" w:rsidRDefault="00FB561B">
      <w:pPr>
        <w:pStyle w:val="Titre4"/>
        <w:jc w:val="left"/>
      </w:pPr>
      <w:r>
        <w:t xml:space="preserve">4A) Restaurer, préserver et renforcer la biodiversité, y compris </w:t>
      </w:r>
      <w:r>
        <w:t>dans les zones relevant de Natura 2000, les zones soumises à des contraintes naturelles ou à d'autres contraintes spécifiques et les zones agricoles à haute valeur naturelle, ainsi que les paysages européens</w:t>
      </w:r>
    </w:p>
    <w:p w:rsidR="0035701C" w:rsidRDefault="00FB561B">
      <w:pPr>
        <w:rPr>
          <w:b/>
          <w:i/>
        </w:rPr>
      </w:pPr>
      <w:r>
        <w:rPr>
          <w:b/>
          <w:i/>
        </w:rPr>
        <w:t>Agriculture</w:t>
      </w:r>
    </w:p>
    <w:p w:rsidR="0035701C" w:rsidRDefault="00FB561B">
      <w:r>
        <w:t>Indicateur(s) cible(s)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750" w:type="pct"/>
            <w:shd w:val="clear" w:color="auto" w:fill="C0C0C0"/>
            <w:tcMar>
              <w:top w:w="60" w:type="dxa"/>
            </w:tcMar>
            <w:vAlign w:val="center"/>
          </w:tcPr>
          <w:p w:rsidR="0035701C" w:rsidRDefault="00FB561B">
            <w:pPr>
              <w:jc w:val="center"/>
              <w:rPr>
                <w:b/>
                <w:sz w:val="20"/>
              </w:rPr>
            </w:pPr>
            <w:r>
              <w:rPr>
                <w:b/>
                <w:sz w:val="20"/>
              </w:rPr>
              <w:t>Nom</w:t>
            </w:r>
            <w:r>
              <w:rPr>
                <w:b/>
                <w:sz w:val="20"/>
              </w:rPr>
              <w:t xml:space="preserve"> de l'indicateur cible</w:t>
            </w:r>
          </w:p>
        </w:tc>
        <w:tc>
          <w:tcPr>
            <w:tcW w:w="750" w:type="pct"/>
            <w:shd w:val="clear" w:color="auto" w:fill="C0C0C0"/>
            <w:tcMar>
              <w:top w:w="60" w:type="dxa"/>
            </w:tcMar>
            <w:vAlign w:val="center"/>
          </w:tcPr>
          <w:p w:rsidR="0035701C" w:rsidRDefault="00FB561B">
            <w:pPr>
              <w:jc w:val="center"/>
              <w:rPr>
                <w:sz w:val="20"/>
              </w:rPr>
            </w:pPr>
            <w:r>
              <w:rPr>
                <w:b/>
                <w:sz w:val="20"/>
              </w:rPr>
              <w:t>Valeur cible pour 2025</w:t>
            </w:r>
          </w:p>
        </w:tc>
      </w:tr>
      <w:tr w:rsidR="0035701C">
        <w:tc>
          <w:tcPr>
            <w:tcW w:w="4000" w:type="pct"/>
            <w:shd w:val="clear" w:color="auto" w:fill="FFFFFF"/>
            <w:tcMar>
              <w:top w:w="60" w:type="dxa"/>
            </w:tcMar>
            <w:vAlign w:val="center"/>
          </w:tcPr>
          <w:p w:rsidR="0035701C" w:rsidRDefault="00FB561B">
            <w:pPr>
              <w:spacing w:before="20" w:after="20"/>
              <w:jc w:val="left"/>
              <w:rPr>
                <w:b/>
                <w:sz w:val="16"/>
              </w:rPr>
            </w:pPr>
            <w:r>
              <w:rPr>
                <w:b/>
                <w:sz w:val="16"/>
              </w:rPr>
              <w:t>T9: pourcentage des terres agricoles sous contrats de gestion soutenant la biodiversité et/ou la préservation des paysages (domaine prioritaire 4A)</w:t>
            </w:r>
          </w:p>
        </w:tc>
        <w:tc>
          <w:tcPr>
            <w:tcW w:w="1000" w:type="pct"/>
            <w:shd w:val="clear" w:color="auto" w:fill="FFFFFF"/>
            <w:tcMar>
              <w:top w:w="60" w:type="dxa"/>
            </w:tcMar>
            <w:vAlign w:val="center"/>
          </w:tcPr>
          <w:p w:rsidR="0035701C" w:rsidRDefault="00FB561B">
            <w:pPr>
              <w:spacing w:before="20" w:after="20"/>
              <w:jc w:val="right"/>
              <w:rPr>
                <w:b/>
                <w:sz w:val="16"/>
              </w:rPr>
            </w:pPr>
            <w:r>
              <w:rPr>
                <w:b/>
                <w:sz w:val="16"/>
              </w:rPr>
              <w:t>3,06</w:t>
            </w:r>
          </w:p>
        </w:tc>
      </w:tr>
      <w:tr w:rsidR="0035701C">
        <w:tc>
          <w:tcPr>
            <w:tcW w:w="4000" w:type="pct"/>
            <w:shd w:val="clear" w:color="auto" w:fill="FFFFFF"/>
            <w:tcMar>
              <w:top w:w="60" w:type="dxa"/>
            </w:tcMar>
            <w:vAlign w:val="center"/>
          </w:tcPr>
          <w:p w:rsidR="0035701C" w:rsidRDefault="00FB561B">
            <w:pPr>
              <w:spacing w:before="20" w:after="20"/>
              <w:jc w:val="left"/>
              <w:rPr>
                <w:sz w:val="16"/>
              </w:rPr>
            </w:pPr>
            <w:r>
              <w:rPr>
                <w:sz w:val="16"/>
              </w:rPr>
              <w:t xml:space="preserve">Terres agricoles (ha) sous contrats de gestion </w:t>
            </w:r>
            <w:r>
              <w:rPr>
                <w:sz w:val="16"/>
              </w:rPr>
              <w:t>soutenant la biodiversité et/ou la préservation des paysages (domaine prioritaire 4A)</w:t>
            </w:r>
          </w:p>
        </w:tc>
        <w:tc>
          <w:tcPr>
            <w:tcW w:w="1000" w:type="pct"/>
            <w:shd w:val="clear" w:color="auto" w:fill="FFFFFF"/>
            <w:tcMar>
              <w:top w:w="60" w:type="dxa"/>
            </w:tcMar>
            <w:vAlign w:val="center"/>
          </w:tcPr>
          <w:p w:rsidR="0035701C" w:rsidRDefault="00FB561B">
            <w:pPr>
              <w:spacing w:before="20" w:after="20"/>
              <w:jc w:val="right"/>
              <w:rPr>
                <w:sz w:val="16"/>
              </w:rPr>
            </w:pPr>
            <w:r>
              <w:rPr>
                <w:sz w:val="16"/>
              </w:rPr>
              <w:t>5 500,00</w:t>
            </w:r>
          </w:p>
        </w:tc>
      </w:tr>
    </w:tbl>
    <w:p w:rsidR="0035701C" w:rsidRDefault="0035701C">
      <w:pPr>
        <w:jc w:val="center"/>
        <w:rPr>
          <w:sz w:val="16"/>
        </w:rPr>
      </w:pPr>
    </w:p>
    <w:p w:rsidR="0035701C" w:rsidRDefault="00FB561B">
      <w:r>
        <w:t>Indicateur contextuel utilisé comme dénominateur pour la valeur cible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4000" w:type="pct"/>
            <w:shd w:val="clear" w:color="auto" w:fill="C0C0C0"/>
            <w:tcMar>
              <w:top w:w="60" w:type="dxa"/>
            </w:tcMar>
            <w:vAlign w:val="center"/>
          </w:tcPr>
          <w:p w:rsidR="0035701C" w:rsidRDefault="00FB561B">
            <w:pPr>
              <w:jc w:val="center"/>
              <w:rPr>
                <w:b/>
                <w:sz w:val="20"/>
              </w:rPr>
            </w:pPr>
            <w:r>
              <w:rPr>
                <w:b/>
                <w:sz w:val="20"/>
              </w:rPr>
              <w:t>Nom de l'indicateur contextuel</w:t>
            </w:r>
          </w:p>
        </w:tc>
        <w:tc>
          <w:tcPr>
            <w:tcW w:w="1000" w:type="pct"/>
            <w:shd w:val="clear" w:color="auto" w:fill="C0C0C0"/>
            <w:tcMar>
              <w:top w:w="60" w:type="dxa"/>
            </w:tcMar>
            <w:vAlign w:val="center"/>
          </w:tcPr>
          <w:p w:rsidR="0035701C" w:rsidRDefault="00FB561B">
            <w:pPr>
              <w:jc w:val="center"/>
              <w:rPr>
                <w:sz w:val="20"/>
              </w:rPr>
            </w:pPr>
            <w:r>
              <w:rPr>
                <w:b/>
                <w:sz w:val="20"/>
              </w:rPr>
              <w:t>Valeur de l'année de base</w:t>
            </w:r>
          </w:p>
        </w:tc>
      </w:tr>
      <w:tr w:rsidR="0035701C">
        <w:tc>
          <w:tcPr>
            <w:tcW w:w="1000" w:type="pct"/>
            <w:shd w:val="clear" w:color="auto" w:fill="FFFFFF"/>
            <w:tcMar>
              <w:top w:w="60" w:type="dxa"/>
            </w:tcMar>
            <w:vAlign w:val="center"/>
          </w:tcPr>
          <w:p w:rsidR="0035701C" w:rsidRDefault="00FB561B">
            <w:pPr>
              <w:spacing w:before="20" w:after="20"/>
              <w:jc w:val="left"/>
              <w:rPr>
                <w:sz w:val="16"/>
              </w:rPr>
            </w:pPr>
            <w:r>
              <w:rPr>
                <w:sz w:val="16"/>
              </w:rPr>
              <w:t xml:space="preserve">18 Surface agricole - SAU </w:t>
            </w:r>
            <w:r>
              <w:rPr>
                <w:sz w:val="16"/>
              </w:rPr>
              <w:t>totale</w:t>
            </w:r>
          </w:p>
        </w:tc>
        <w:tc>
          <w:tcPr>
            <w:tcW w:w="1000" w:type="pct"/>
            <w:shd w:val="clear" w:color="auto" w:fill="FFFFFF"/>
            <w:tcMar>
              <w:top w:w="60" w:type="dxa"/>
            </w:tcMar>
            <w:vAlign w:val="center"/>
          </w:tcPr>
          <w:p w:rsidR="0035701C" w:rsidRDefault="00FB561B">
            <w:pPr>
              <w:spacing w:before="20" w:after="20"/>
              <w:jc w:val="right"/>
              <w:rPr>
                <w:sz w:val="16"/>
              </w:rPr>
            </w:pPr>
            <w:r>
              <w:rPr>
                <w:sz w:val="16"/>
              </w:rPr>
              <w:t>179 940,00</w:t>
            </w:r>
          </w:p>
        </w:tc>
      </w:tr>
    </w:tbl>
    <w:p w:rsidR="0035701C" w:rsidRDefault="00FB561B">
      <w:pPr>
        <w:rPr>
          <w:b/>
          <w:i/>
        </w:rPr>
      </w:pPr>
      <w:r>
        <w:rPr>
          <w:b/>
          <w:i/>
        </w:rPr>
        <w:t>Foresterie</w:t>
      </w:r>
    </w:p>
    <w:p w:rsidR="0035701C" w:rsidRDefault="00FB561B">
      <w:r>
        <w:t>Indicateur(s) cible(s)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1000" w:type="pct"/>
            <w:shd w:val="clear" w:color="auto" w:fill="C0C0C0"/>
            <w:tcMar>
              <w:top w:w="60" w:type="dxa"/>
            </w:tcMar>
            <w:vAlign w:val="center"/>
          </w:tcPr>
          <w:p w:rsidR="0035701C" w:rsidRDefault="00FB561B">
            <w:pPr>
              <w:jc w:val="center"/>
              <w:rPr>
                <w:b/>
                <w:sz w:val="20"/>
              </w:rPr>
            </w:pPr>
            <w:r>
              <w:rPr>
                <w:b/>
                <w:sz w:val="20"/>
              </w:rPr>
              <w:t>Nom de l'indicateur cible</w:t>
            </w:r>
          </w:p>
        </w:tc>
        <w:tc>
          <w:tcPr>
            <w:tcW w:w="1000" w:type="pct"/>
            <w:shd w:val="clear" w:color="auto" w:fill="C0C0C0"/>
            <w:tcMar>
              <w:top w:w="60" w:type="dxa"/>
            </w:tcMar>
            <w:vAlign w:val="center"/>
          </w:tcPr>
          <w:p w:rsidR="0035701C" w:rsidRDefault="00FB561B">
            <w:pPr>
              <w:jc w:val="center"/>
              <w:rPr>
                <w:sz w:val="20"/>
              </w:rPr>
            </w:pPr>
            <w:r>
              <w:rPr>
                <w:b/>
                <w:sz w:val="20"/>
              </w:rPr>
              <w:t>Valeur cible pour 2025</w:t>
            </w:r>
          </w:p>
        </w:tc>
      </w:tr>
      <w:tr w:rsidR="0035701C">
        <w:tc>
          <w:tcPr>
            <w:tcW w:w="4000" w:type="pct"/>
            <w:shd w:val="clear" w:color="auto" w:fill="FFFFFF"/>
            <w:tcMar>
              <w:top w:w="60" w:type="dxa"/>
            </w:tcMar>
            <w:vAlign w:val="center"/>
          </w:tcPr>
          <w:p w:rsidR="0035701C" w:rsidRDefault="00FB561B">
            <w:pPr>
              <w:spacing w:before="20" w:after="20"/>
              <w:jc w:val="left"/>
              <w:rPr>
                <w:b/>
                <w:sz w:val="16"/>
              </w:rPr>
            </w:pPr>
            <w:r>
              <w:rPr>
                <w:b/>
                <w:sz w:val="16"/>
              </w:rPr>
              <w:t>T8: pourcentage des forêts ou autres zones boisées sous contrats de gestion soutenant la biodiversité (domaine prioritaire 4A)</w:t>
            </w:r>
          </w:p>
        </w:tc>
        <w:tc>
          <w:tcPr>
            <w:tcW w:w="1000" w:type="pct"/>
            <w:shd w:val="clear" w:color="auto" w:fill="FFFFFF"/>
            <w:tcMar>
              <w:top w:w="60" w:type="dxa"/>
            </w:tcMar>
            <w:vAlign w:val="center"/>
          </w:tcPr>
          <w:p w:rsidR="0035701C" w:rsidRDefault="00FB561B">
            <w:pPr>
              <w:spacing w:before="20" w:after="20"/>
              <w:jc w:val="right"/>
              <w:rPr>
                <w:b/>
                <w:sz w:val="16"/>
              </w:rPr>
            </w:pPr>
            <w:r>
              <w:rPr>
                <w:b/>
                <w:sz w:val="16"/>
              </w:rPr>
              <w:t>0</w:t>
            </w:r>
          </w:p>
        </w:tc>
      </w:tr>
      <w:tr w:rsidR="0035701C">
        <w:tc>
          <w:tcPr>
            <w:tcW w:w="4000" w:type="pct"/>
            <w:shd w:val="clear" w:color="auto" w:fill="FFFFFF"/>
            <w:tcMar>
              <w:top w:w="60" w:type="dxa"/>
            </w:tcMar>
            <w:vAlign w:val="center"/>
          </w:tcPr>
          <w:p w:rsidR="0035701C" w:rsidRDefault="00FB561B">
            <w:pPr>
              <w:spacing w:before="20" w:after="20"/>
              <w:jc w:val="left"/>
              <w:rPr>
                <w:sz w:val="16"/>
              </w:rPr>
            </w:pPr>
            <w:r>
              <w:rPr>
                <w:sz w:val="16"/>
              </w:rPr>
              <w:t xml:space="preserve">Forêts ou </w:t>
            </w:r>
            <w:r>
              <w:rPr>
                <w:sz w:val="16"/>
              </w:rPr>
              <w:t>autres zones boisées (ha) sous contrats de gestion soutenant la biodiversité (domaine prioritaire 4A)</w:t>
            </w:r>
          </w:p>
        </w:tc>
        <w:tc>
          <w:tcPr>
            <w:tcW w:w="1000" w:type="pct"/>
            <w:shd w:val="clear" w:color="auto" w:fill="FFFFFF"/>
            <w:tcMar>
              <w:top w:w="60" w:type="dxa"/>
            </w:tcMar>
            <w:vAlign w:val="center"/>
          </w:tcPr>
          <w:p w:rsidR="0035701C" w:rsidRDefault="00FB561B">
            <w:pPr>
              <w:spacing w:before="20" w:after="20"/>
              <w:jc w:val="right"/>
              <w:rPr>
                <w:sz w:val="16"/>
              </w:rPr>
            </w:pPr>
            <w:r>
              <w:rPr>
                <w:sz w:val="16"/>
              </w:rPr>
              <w:t>0,00</w:t>
            </w:r>
          </w:p>
        </w:tc>
      </w:tr>
    </w:tbl>
    <w:p w:rsidR="0035701C" w:rsidRDefault="0035701C">
      <w:pPr>
        <w:jc w:val="center"/>
        <w:rPr>
          <w:sz w:val="16"/>
        </w:rPr>
      </w:pPr>
    </w:p>
    <w:p w:rsidR="0035701C" w:rsidRDefault="00FB561B">
      <w:r>
        <w:t>Indicateur contextuel utilisé comme dénominateur pour la valeur cible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4000" w:type="pct"/>
            <w:shd w:val="clear" w:color="auto" w:fill="C0C0C0"/>
            <w:tcMar>
              <w:top w:w="60" w:type="dxa"/>
            </w:tcMar>
            <w:vAlign w:val="center"/>
          </w:tcPr>
          <w:p w:rsidR="0035701C" w:rsidRDefault="00FB561B">
            <w:pPr>
              <w:jc w:val="center"/>
              <w:rPr>
                <w:b/>
                <w:sz w:val="20"/>
              </w:rPr>
            </w:pPr>
            <w:r>
              <w:rPr>
                <w:b/>
                <w:sz w:val="20"/>
              </w:rPr>
              <w:t>Nom de l'indicateur contextuel</w:t>
            </w:r>
          </w:p>
        </w:tc>
        <w:tc>
          <w:tcPr>
            <w:tcW w:w="1000" w:type="pct"/>
            <w:shd w:val="clear" w:color="auto" w:fill="C0C0C0"/>
            <w:tcMar>
              <w:top w:w="60" w:type="dxa"/>
            </w:tcMar>
            <w:vAlign w:val="center"/>
          </w:tcPr>
          <w:p w:rsidR="0035701C" w:rsidRDefault="00FB561B">
            <w:pPr>
              <w:jc w:val="center"/>
              <w:rPr>
                <w:sz w:val="20"/>
              </w:rPr>
            </w:pPr>
            <w:r>
              <w:rPr>
                <w:b/>
                <w:sz w:val="20"/>
              </w:rPr>
              <w:t>Valeur de l'année de base</w:t>
            </w:r>
          </w:p>
        </w:tc>
      </w:tr>
      <w:tr w:rsidR="0035701C">
        <w:tc>
          <w:tcPr>
            <w:tcW w:w="1000" w:type="pct"/>
            <w:shd w:val="clear" w:color="auto" w:fill="FFFFFF"/>
            <w:tcMar>
              <w:top w:w="60" w:type="dxa"/>
            </w:tcMar>
            <w:vAlign w:val="center"/>
          </w:tcPr>
          <w:p w:rsidR="0035701C" w:rsidRDefault="00FB561B">
            <w:pPr>
              <w:spacing w:before="20" w:after="20"/>
              <w:jc w:val="left"/>
              <w:rPr>
                <w:sz w:val="16"/>
              </w:rPr>
            </w:pPr>
            <w:r>
              <w:rPr>
                <w:sz w:val="16"/>
              </w:rPr>
              <w:t>29 Forêts et autres</w:t>
            </w:r>
            <w:r>
              <w:rPr>
                <w:sz w:val="16"/>
              </w:rPr>
              <w:t xml:space="preserve"> terres boisées (000) - total</w:t>
            </w:r>
          </w:p>
        </w:tc>
        <w:tc>
          <w:tcPr>
            <w:tcW w:w="1000" w:type="pct"/>
            <w:shd w:val="clear" w:color="auto" w:fill="FFFFFF"/>
            <w:tcMar>
              <w:top w:w="60" w:type="dxa"/>
            </w:tcMar>
            <w:vAlign w:val="center"/>
          </w:tcPr>
          <w:p w:rsidR="0035701C" w:rsidRDefault="00FB561B">
            <w:pPr>
              <w:spacing w:before="20" w:after="20"/>
              <w:jc w:val="right"/>
              <w:rPr>
                <w:sz w:val="16"/>
              </w:rPr>
            </w:pPr>
            <w:r>
              <w:rPr>
                <w:sz w:val="16"/>
              </w:rPr>
              <w:t>570,55</w:t>
            </w:r>
          </w:p>
        </w:tc>
      </w:tr>
    </w:tbl>
    <w:p w:rsidR="0035701C" w:rsidRDefault="0035701C">
      <w:pPr>
        <w:sectPr w:rsidR="0035701C">
          <w:pgSz w:w="12240" w:h="15840"/>
          <w:pgMar w:top="900" w:right="900" w:bottom="900" w:left="900" w:header="720" w:footer="720" w:gutter="0"/>
          <w:cols w:space="720"/>
        </w:sectPr>
      </w:pPr>
    </w:p>
    <w:p w:rsidR="0035701C" w:rsidRDefault="00FB561B">
      <w:pPr>
        <w:pStyle w:val="Titre4"/>
        <w:jc w:val="left"/>
      </w:pPr>
      <w:r>
        <w:t>4B) Améliorer la gestion de l'eau, y compris la gestion des engrais et des pesticides</w:t>
      </w:r>
    </w:p>
    <w:p w:rsidR="0035701C" w:rsidRDefault="00FB561B">
      <w:pPr>
        <w:rPr>
          <w:b/>
          <w:i/>
        </w:rPr>
      </w:pPr>
      <w:r>
        <w:rPr>
          <w:b/>
          <w:i/>
        </w:rPr>
        <w:t>Agriculture</w:t>
      </w:r>
    </w:p>
    <w:p w:rsidR="0035701C" w:rsidRDefault="00FB561B">
      <w:r>
        <w:t>Indicateur(s) cible(s)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1000" w:type="pct"/>
            <w:shd w:val="clear" w:color="auto" w:fill="C0C0C0"/>
            <w:tcMar>
              <w:top w:w="60" w:type="dxa"/>
            </w:tcMar>
            <w:vAlign w:val="center"/>
          </w:tcPr>
          <w:p w:rsidR="0035701C" w:rsidRDefault="00FB561B">
            <w:pPr>
              <w:jc w:val="center"/>
              <w:rPr>
                <w:b/>
                <w:sz w:val="20"/>
              </w:rPr>
            </w:pPr>
            <w:r>
              <w:rPr>
                <w:b/>
                <w:sz w:val="20"/>
              </w:rPr>
              <w:t>Nom de l'indicateur cible</w:t>
            </w:r>
          </w:p>
        </w:tc>
        <w:tc>
          <w:tcPr>
            <w:tcW w:w="1000" w:type="pct"/>
            <w:shd w:val="clear" w:color="auto" w:fill="C0C0C0"/>
            <w:tcMar>
              <w:top w:w="60" w:type="dxa"/>
            </w:tcMar>
            <w:vAlign w:val="center"/>
          </w:tcPr>
          <w:p w:rsidR="0035701C" w:rsidRDefault="00FB561B">
            <w:pPr>
              <w:jc w:val="center"/>
              <w:rPr>
                <w:sz w:val="20"/>
              </w:rPr>
            </w:pPr>
            <w:r>
              <w:rPr>
                <w:b/>
                <w:sz w:val="20"/>
              </w:rPr>
              <w:t>Valeur cible pour 2025</w:t>
            </w:r>
          </w:p>
        </w:tc>
      </w:tr>
      <w:tr w:rsidR="0035701C">
        <w:tc>
          <w:tcPr>
            <w:tcW w:w="4000" w:type="pct"/>
            <w:shd w:val="clear" w:color="auto" w:fill="FFFFFF"/>
            <w:tcMar>
              <w:top w:w="60" w:type="dxa"/>
            </w:tcMar>
            <w:vAlign w:val="center"/>
          </w:tcPr>
          <w:p w:rsidR="0035701C" w:rsidRDefault="00FB561B">
            <w:pPr>
              <w:spacing w:before="20" w:after="20"/>
              <w:jc w:val="left"/>
              <w:rPr>
                <w:b/>
                <w:sz w:val="16"/>
              </w:rPr>
            </w:pPr>
            <w:r>
              <w:rPr>
                <w:b/>
                <w:sz w:val="16"/>
              </w:rPr>
              <w:t>T10: pourcentage des terres</w:t>
            </w:r>
            <w:r>
              <w:rPr>
                <w:b/>
                <w:sz w:val="16"/>
              </w:rPr>
              <w:t xml:space="preserve"> agricoles sous contrats de gestion visant à améliorer la gestion de l’eau (domaine prioritaire 4B)</w:t>
            </w:r>
          </w:p>
        </w:tc>
        <w:tc>
          <w:tcPr>
            <w:tcW w:w="1000" w:type="pct"/>
            <w:shd w:val="clear" w:color="auto" w:fill="FFFFFF"/>
            <w:tcMar>
              <w:top w:w="60" w:type="dxa"/>
            </w:tcMar>
            <w:vAlign w:val="center"/>
          </w:tcPr>
          <w:p w:rsidR="0035701C" w:rsidRDefault="00FB561B">
            <w:pPr>
              <w:spacing w:before="20" w:after="20"/>
              <w:jc w:val="right"/>
              <w:rPr>
                <w:b/>
                <w:sz w:val="16"/>
              </w:rPr>
            </w:pPr>
            <w:r>
              <w:rPr>
                <w:b/>
                <w:sz w:val="16"/>
              </w:rPr>
              <w:t>2,67</w:t>
            </w:r>
          </w:p>
        </w:tc>
      </w:tr>
      <w:tr w:rsidR="0035701C">
        <w:tc>
          <w:tcPr>
            <w:tcW w:w="4000" w:type="pct"/>
            <w:shd w:val="clear" w:color="auto" w:fill="FFFFFF"/>
            <w:tcMar>
              <w:top w:w="60" w:type="dxa"/>
            </w:tcMar>
            <w:vAlign w:val="center"/>
          </w:tcPr>
          <w:p w:rsidR="0035701C" w:rsidRDefault="00FB561B">
            <w:pPr>
              <w:spacing w:before="20" w:after="20"/>
              <w:jc w:val="left"/>
              <w:rPr>
                <w:sz w:val="16"/>
              </w:rPr>
            </w:pPr>
            <w:r>
              <w:rPr>
                <w:sz w:val="16"/>
              </w:rPr>
              <w:t>Terres agricoles (ha) sous contrats de gestion visant à améliorer la gestion de l’eau (domaine prioritaire 4B)</w:t>
            </w:r>
          </w:p>
        </w:tc>
        <w:tc>
          <w:tcPr>
            <w:tcW w:w="1000" w:type="pct"/>
            <w:shd w:val="clear" w:color="auto" w:fill="FFFFFF"/>
            <w:tcMar>
              <w:top w:w="60" w:type="dxa"/>
            </w:tcMar>
            <w:vAlign w:val="center"/>
          </w:tcPr>
          <w:p w:rsidR="0035701C" w:rsidRDefault="00FB561B">
            <w:pPr>
              <w:spacing w:before="20" w:after="20"/>
              <w:jc w:val="right"/>
              <w:rPr>
                <w:sz w:val="16"/>
              </w:rPr>
            </w:pPr>
            <w:r>
              <w:rPr>
                <w:sz w:val="16"/>
              </w:rPr>
              <w:t>4 807,00</w:t>
            </w:r>
          </w:p>
        </w:tc>
      </w:tr>
    </w:tbl>
    <w:p w:rsidR="0035701C" w:rsidRDefault="0035701C">
      <w:pPr>
        <w:jc w:val="center"/>
        <w:rPr>
          <w:sz w:val="16"/>
        </w:rPr>
      </w:pPr>
    </w:p>
    <w:p w:rsidR="0035701C" w:rsidRDefault="00FB561B">
      <w:r>
        <w:t xml:space="preserve">Indicateur contextuel </w:t>
      </w:r>
      <w:r>
        <w:t>utilisé comme dénominateur pour la valeur cible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4000" w:type="pct"/>
            <w:shd w:val="clear" w:color="auto" w:fill="C0C0C0"/>
            <w:tcMar>
              <w:top w:w="60" w:type="dxa"/>
            </w:tcMar>
            <w:vAlign w:val="center"/>
          </w:tcPr>
          <w:p w:rsidR="0035701C" w:rsidRDefault="00FB561B">
            <w:pPr>
              <w:jc w:val="center"/>
              <w:rPr>
                <w:b/>
                <w:sz w:val="20"/>
              </w:rPr>
            </w:pPr>
            <w:r>
              <w:rPr>
                <w:b/>
                <w:sz w:val="20"/>
              </w:rPr>
              <w:t>Nom de l'indicateur contextuel</w:t>
            </w:r>
          </w:p>
        </w:tc>
        <w:tc>
          <w:tcPr>
            <w:tcW w:w="1000" w:type="pct"/>
            <w:shd w:val="clear" w:color="auto" w:fill="C0C0C0"/>
            <w:tcMar>
              <w:top w:w="60" w:type="dxa"/>
            </w:tcMar>
            <w:vAlign w:val="center"/>
          </w:tcPr>
          <w:p w:rsidR="0035701C" w:rsidRDefault="00FB561B">
            <w:pPr>
              <w:jc w:val="center"/>
              <w:rPr>
                <w:sz w:val="20"/>
              </w:rPr>
            </w:pPr>
            <w:r>
              <w:rPr>
                <w:b/>
                <w:sz w:val="20"/>
              </w:rPr>
              <w:t>Valeur de l'année de base</w:t>
            </w:r>
          </w:p>
        </w:tc>
      </w:tr>
      <w:tr w:rsidR="0035701C">
        <w:tc>
          <w:tcPr>
            <w:tcW w:w="1000" w:type="pct"/>
            <w:shd w:val="clear" w:color="auto" w:fill="FFFFFF"/>
            <w:tcMar>
              <w:top w:w="60" w:type="dxa"/>
            </w:tcMar>
            <w:vAlign w:val="center"/>
          </w:tcPr>
          <w:p w:rsidR="0035701C" w:rsidRDefault="00FB561B">
            <w:pPr>
              <w:spacing w:before="20" w:after="20"/>
              <w:jc w:val="left"/>
              <w:rPr>
                <w:sz w:val="16"/>
              </w:rPr>
            </w:pPr>
            <w:r>
              <w:rPr>
                <w:sz w:val="16"/>
              </w:rPr>
              <w:t>18 Surface agricole - SAU totale</w:t>
            </w:r>
          </w:p>
        </w:tc>
        <w:tc>
          <w:tcPr>
            <w:tcW w:w="1000" w:type="pct"/>
            <w:shd w:val="clear" w:color="auto" w:fill="FFFFFF"/>
            <w:tcMar>
              <w:top w:w="60" w:type="dxa"/>
            </w:tcMar>
            <w:vAlign w:val="center"/>
          </w:tcPr>
          <w:p w:rsidR="0035701C" w:rsidRDefault="00FB561B">
            <w:pPr>
              <w:spacing w:before="20" w:after="20"/>
              <w:jc w:val="right"/>
              <w:rPr>
                <w:sz w:val="16"/>
              </w:rPr>
            </w:pPr>
            <w:r>
              <w:rPr>
                <w:sz w:val="16"/>
              </w:rPr>
              <w:t>179 940,00</w:t>
            </w:r>
          </w:p>
        </w:tc>
      </w:tr>
    </w:tbl>
    <w:p w:rsidR="0035701C" w:rsidRDefault="00FB561B">
      <w:pPr>
        <w:rPr>
          <w:b/>
          <w:i/>
        </w:rPr>
      </w:pPr>
      <w:r>
        <w:rPr>
          <w:b/>
          <w:i/>
        </w:rPr>
        <w:t>Foresterie</w:t>
      </w:r>
    </w:p>
    <w:p w:rsidR="0035701C" w:rsidRDefault="00FB561B">
      <w:r>
        <w:t>Indicateur(s) cible(s)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1000" w:type="pct"/>
            <w:shd w:val="clear" w:color="auto" w:fill="C0C0C0"/>
            <w:tcMar>
              <w:top w:w="60" w:type="dxa"/>
            </w:tcMar>
            <w:vAlign w:val="center"/>
          </w:tcPr>
          <w:p w:rsidR="0035701C" w:rsidRDefault="00FB561B">
            <w:pPr>
              <w:jc w:val="center"/>
              <w:rPr>
                <w:b/>
                <w:sz w:val="20"/>
              </w:rPr>
            </w:pPr>
            <w:r>
              <w:rPr>
                <w:b/>
                <w:sz w:val="20"/>
              </w:rPr>
              <w:t>Nom de l'indicateur cible</w:t>
            </w:r>
          </w:p>
        </w:tc>
        <w:tc>
          <w:tcPr>
            <w:tcW w:w="1000" w:type="pct"/>
            <w:shd w:val="clear" w:color="auto" w:fill="C0C0C0"/>
            <w:tcMar>
              <w:top w:w="60" w:type="dxa"/>
            </w:tcMar>
            <w:vAlign w:val="center"/>
          </w:tcPr>
          <w:p w:rsidR="0035701C" w:rsidRDefault="00FB561B">
            <w:pPr>
              <w:jc w:val="center"/>
              <w:rPr>
                <w:sz w:val="20"/>
              </w:rPr>
            </w:pPr>
            <w:r>
              <w:rPr>
                <w:b/>
                <w:sz w:val="20"/>
              </w:rPr>
              <w:t>Valeur cible pour 2025</w:t>
            </w:r>
          </w:p>
        </w:tc>
      </w:tr>
      <w:tr w:rsidR="0035701C">
        <w:tc>
          <w:tcPr>
            <w:tcW w:w="4000" w:type="pct"/>
            <w:shd w:val="clear" w:color="auto" w:fill="FFFFFF"/>
            <w:tcMar>
              <w:top w:w="60" w:type="dxa"/>
            </w:tcMar>
            <w:vAlign w:val="center"/>
          </w:tcPr>
          <w:p w:rsidR="0035701C" w:rsidRDefault="00FB561B">
            <w:pPr>
              <w:spacing w:before="20" w:after="20"/>
              <w:jc w:val="left"/>
              <w:rPr>
                <w:b/>
                <w:sz w:val="16"/>
              </w:rPr>
            </w:pPr>
            <w:r>
              <w:rPr>
                <w:b/>
                <w:sz w:val="16"/>
              </w:rPr>
              <w:t xml:space="preserve">T11: </w:t>
            </w:r>
            <w:r>
              <w:rPr>
                <w:b/>
                <w:sz w:val="16"/>
              </w:rPr>
              <w:t>pourcentage des terres forestières sous contrats de gestion visant à améliorer la gestion de l’eau (domaine prioritaire 4B)</w:t>
            </w:r>
          </w:p>
        </w:tc>
        <w:tc>
          <w:tcPr>
            <w:tcW w:w="1000" w:type="pct"/>
            <w:shd w:val="clear" w:color="auto" w:fill="FFFFFF"/>
            <w:tcMar>
              <w:top w:w="60" w:type="dxa"/>
            </w:tcMar>
            <w:vAlign w:val="center"/>
          </w:tcPr>
          <w:p w:rsidR="0035701C" w:rsidRDefault="00FB561B">
            <w:pPr>
              <w:spacing w:before="20" w:after="20"/>
              <w:jc w:val="right"/>
              <w:rPr>
                <w:b/>
                <w:sz w:val="16"/>
              </w:rPr>
            </w:pPr>
            <w:r>
              <w:rPr>
                <w:b/>
                <w:sz w:val="16"/>
              </w:rPr>
              <w:t>0</w:t>
            </w:r>
          </w:p>
        </w:tc>
      </w:tr>
      <w:tr w:rsidR="0035701C">
        <w:tc>
          <w:tcPr>
            <w:tcW w:w="4000" w:type="pct"/>
            <w:shd w:val="clear" w:color="auto" w:fill="FFFFFF"/>
            <w:tcMar>
              <w:top w:w="60" w:type="dxa"/>
            </w:tcMar>
            <w:vAlign w:val="center"/>
          </w:tcPr>
          <w:p w:rsidR="0035701C" w:rsidRDefault="00FB561B">
            <w:pPr>
              <w:spacing w:before="20" w:after="20"/>
              <w:jc w:val="left"/>
              <w:rPr>
                <w:sz w:val="16"/>
              </w:rPr>
            </w:pPr>
            <w:r>
              <w:rPr>
                <w:sz w:val="16"/>
              </w:rPr>
              <w:t>Terres forestières (ha) sous contrats de gestion visant à améliorer la gestion de l’eau (domaine prioritaire 4B)</w:t>
            </w:r>
          </w:p>
        </w:tc>
        <w:tc>
          <w:tcPr>
            <w:tcW w:w="1000" w:type="pct"/>
            <w:shd w:val="clear" w:color="auto" w:fill="FFFFFF"/>
            <w:tcMar>
              <w:top w:w="60" w:type="dxa"/>
            </w:tcMar>
            <w:vAlign w:val="center"/>
          </w:tcPr>
          <w:p w:rsidR="0035701C" w:rsidRDefault="00FB561B">
            <w:pPr>
              <w:spacing w:before="20" w:after="20"/>
              <w:jc w:val="right"/>
              <w:rPr>
                <w:sz w:val="16"/>
              </w:rPr>
            </w:pPr>
            <w:r>
              <w:rPr>
                <w:sz w:val="16"/>
              </w:rPr>
              <w:t>0,00</w:t>
            </w:r>
          </w:p>
        </w:tc>
      </w:tr>
    </w:tbl>
    <w:p w:rsidR="0035701C" w:rsidRDefault="0035701C">
      <w:pPr>
        <w:jc w:val="center"/>
        <w:rPr>
          <w:sz w:val="16"/>
        </w:rPr>
      </w:pPr>
    </w:p>
    <w:p w:rsidR="0035701C" w:rsidRDefault="00FB561B">
      <w:r>
        <w:t>Indicateur contextuel utilisé comme dénominateur pour la valeur cible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4000" w:type="pct"/>
            <w:shd w:val="clear" w:color="auto" w:fill="C0C0C0"/>
            <w:tcMar>
              <w:top w:w="60" w:type="dxa"/>
            </w:tcMar>
            <w:vAlign w:val="center"/>
          </w:tcPr>
          <w:p w:rsidR="0035701C" w:rsidRDefault="00FB561B">
            <w:pPr>
              <w:jc w:val="center"/>
              <w:rPr>
                <w:b/>
                <w:sz w:val="20"/>
              </w:rPr>
            </w:pPr>
            <w:r>
              <w:rPr>
                <w:b/>
                <w:sz w:val="20"/>
              </w:rPr>
              <w:t>Nom de l'indicateur contextuel</w:t>
            </w:r>
          </w:p>
        </w:tc>
        <w:tc>
          <w:tcPr>
            <w:tcW w:w="1000" w:type="pct"/>
            <w:shd w:val="clear" w:color="auto" w:fill="C0C0C0"/>
            <w:tcMar>
              <w:top w:w="60" w:type="dxa"/>
            </w:tcMar>
            <w:vAlign w:val="center"/>
          </w:tcPr>
          <w:p w:rsidR="0035701C" w:rsidRDefault="00FB561B">
            <w:pPr>
              <w:jc w:val="center"/>
              <w:rPr>
                <w:sz w:val="20"/>
              </w:rPr>
            </w:pPr>
            <w:r>
              <w:rPr>
                <w:b/>
                <w:sz w:val="20"/>
              </w:rPr>
              <w:t>Valeur de l'année de base</w:t>
            </w:r>
          </w:p>
        </w:tc>
      </w:tr>
      <w:tr w:rsidR="0035701C">
        <w:tc>
          <w:tcPr>
            <w:tcW w:w="1000" w:type="pct"/>
            <w:shd w:val="clear" w:color="auto" w:fill="FFFFFF"/>
            <w:tcMar>
              <w:top w:w="60" w:type="dxa"/>
            </w:tcMar>
            <w:vAlign w:val="center"/>
          </w:tcPr>
          <w:p w:rsidR="0035701C" w:rsidRDefault="00FB561B">
            <w:pPr>
              <w:spacing w:before="20" w:after="20"/>
              <w:jc w:val="left"/>
              <w:rPr>
                <w:sz w:val="16"/>
              </w:rPr>
            </w:pPr>
            <w:r>
              <w:rPr>
                <w:sz w:val="16"/>
              </w:rPr>
              <w:t>29 Forêts et autres terres boisées (000) - total</w:t>
            </w:r>
          </w:p>
        </w:tc>
        <w:tc>
          <w:tcPr>
            <w:tcW w:w="1000" w:type="pct"/>
            <w:shd w:val="clear" w:color="auto" w:fill="FFFFFF"/>
            <w:tcMar>
              <w:top w:w="60" w:type="dxa"/>
            </w:tcMar>
            <w:vAlign w:val="center"/>
          </w:tcPr>
          <w:p w:rsidR="0035701C" w:rsidRDefault="00FB561B">
            <w:pPr>
              <w:spacing w:before="20" w:after="20"/>
              <w:jc w:val="right"/>
              <w:rPr>
                <w:sz w:val="16"/>
              </w:rPr>
            </w:pPr>
            <w:r>
              <w:rPr>
                <w:sz w:val="16"/>
              </w:rPr>
              <w:t>570,55</w:t>
            </w:r>
          </w:p>
        </w:tc>
      </w:tr>
    </w:tbl>
    <w:p w:rsidR="0035701C" w:rsidRDefault="0035701C">
      <w:pPr>
        <w:sectPr w:rsidR="0035701C">
          <w:pgSz w:w="12240" w:h="15840"/>
          <w:pgMar w:top="900" w:right="900" w:bottom="900" w:left="900" w:header="720" w:footer="720" w:gutter="0"/>
          <w:cols w:space="720"/>
        </w:sectPr>
      </w:pPr>
    </w:p>
    <w:p w:rsidR="0035701C" w:rsidRDefault="00FB561B">
      <w:pPr>
        <w:pStyle w:val="Titre4"/>
        <w:jc w:val="left"/>
      </w:pPr>
      <w:r>
        <w:t xml:space="preserve">4C) Prévenir l'érosion des sols et améliorer la gestion des </w:t>
      </w:r>
      <w:r>
        <w:t>sols</w:t>
      </w:r>
    </w:p>
    <w:p w:rsidR="0035701C" w:rsidRDefault="00FB561B">
      <w:pPr>
        <w:rPr>
          <w:b/>
          <w:i/>
        </w:rPr>
      </w:pPr>
      <w:r>
        <w:rPr>
          <w:b/>
          <w:i/>
        </w:rPr>
        <w:t>Agriculture</w:t>
      </w:r>
    </w:p>
    <w:p w:rsidR="0035701C" w:rsidRDefault="00FB561B">
      <w:r>
        <w:t>Indicateur(s) cible(s)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1000" w:type="pct"/>
            <w:shd w:val="clear" w:color="auto" w:fill="C0C0C0"/>
            <w:tcMar>
              <w:top w:w="60" w:type="dxa"/>
            </w:tcMar>
            <w:vAlign w:val="center"/>
          </w:tcPr>
          <w:p w:rsidR="0035701C" w:rsidRDefault="00FB561B">
            <w:pPr>
              <w:jc w:val="center"/>
              <w:rPr>
                <w:b/>
                <w:sz w:val="20"/>
              </w:rPr>
            </w:pPr>
            <w:r>
              <w:rPr>
                <w:b/>
                <w:sz w:val="20"/>
              </w:rPr>
              <w:t>Nom de l'indicateur cible</w:t>
            </w:r>
          </w:p>
        </w:tc>
        <w:tc>
          <w:tcPr>
            <w:tcW w:w="1000" w:type="pct"/>
            <w:shd w:val="clear" w:color="auto" w:fill="C0C0C0"/>
            <w:tcMar>
              <w:top w:w="60" w:type="dxa"/>
            </w:tcMar>
            <w:vAlign w:val="center"/>
          </w:tcPr>
          <w:p w:rsidR="0035701C" w:rsidRDefault="00FB561B">
            <w:pPr>
              <w:jc w:val="center"/>
              <w:rPr>
                <w:sz w:val="20"/>
              </w:rPr>
            </w:pPr>
            <w:r>
              <w:rPr>
                <w:b/>
                <w:sz w:val="20"/>
              </w:rPr>
              <w:t>Valeur cible pour 2025</w:t>
            </w:r>
          </w:p>
        </w:tc>
      </w:tr>
      <w:tr w:rsidR="0035701C">
        <w:tc>
          <w:tcPr>
            <w:tcW w:w="4000" w:type="pct"/>
            <w:shd w:val="clear" w:color="auto" w:fill="FFFFFF"/>
            <w:tcMar>
              <w:top w:w="60" w:type="dxa"/>
            </w:tcMar>
            <w:vAlign w:val="center"/>
          </w:tcPr>
          <w:p w:rsidR="0035701C" w:rsidRDefault="00FB561B">
            <w:pPr>
              <w:spacing w:before="20" w:after="20"/>
              <w:jc w:val="left"/>
              <w:rPr>
                <w:b/>
                <w:sz w:val="16"/>
              </w:rPr>
            </w:pPr>
            <w:r>
              <w:rPr>
                <w:b/>
                <w:sz w:val="16"/>
              </w:rPr>
              <w:t xml:space="preserve">T12: pourcentage des terres agricoles sous contrats de gestion visant à améliorer la gestion des sols et/ou à prévenir l’érosion des sols (domaine </w:t>
            </w:r>
            <w:r>
              <w:rPr>
                <w:b/>
                <w:sz w:val="16"/>
              </w:rPr>
              <w:t>prioritaire 4C)</w:t>
            </w:r>
          </w:p>
        </w:tc>
        <w:tc>
          <w:tcPr>
            <w:tcW w:w="1000" w:type="pct"/>
            <w:shd w:val="clear" w:color="auto" w:fill="FFFFFF"/>
            <w:tcMar>
              <w:top w:w="60" w:type="dxa"/>
            </w:tcMar>
            <w:vAlign w:val="center"/>
          </w:tcPr>
          <w:p w:rsidR="0035701C" w:rsidRDefault="00FB561B">
            <w:pPr>
              <w:spacing w:before="20" w:after="20"/>
              <w:jc w:val="right"/>
              <w:rPr>
                <w:b/>
                <w:sz w:val="16"/>
              </w:rPr>
            </w:pPr>
            <w:r>
              <w:rPr>
                <w:b/>
                <w:sz w:val="16"/>
              </w:rPr>
              <w:t>0,28</w:t>
            </w:r>
          </w:p>
        </w:tc>
      </w:tr>
      <w:tr w:rsidR="0035701C">
        <w:tc>
          <w:tcPr>
            <w:tcW w:w="4000" w:type="pct"/>
            <w:shd w:val="clear" w:color="auto" w:fill="FFFFFF"/>
            <w:tcMar>
              <w:top w:w="60" w:type="dxa"/>
            </w:tcMar>
            <w:vAlign w:val="center"/>
          </w:tcPr>
          <w:p w:rsidR="0035701C" w:rsidRDefault="00FB561B">
            <w:pPr>
              <w:spacing w:before="20" w:after="20"/>
              <w:jc w:val="left"/>
              <w:rPr>
                <w:sz w:val="16"/>
              </w:rPr>
            </w:pPr>
            <w:r>
              <w:rPr>
                <w:sz w:val="16"/>
              </w:rPr>
              <w:t>Terres agricoles (ha) sous contrats de gestion visant à améliorer la gestion des sols et/ou à prévenir l’érosion des sols (domaine prioritaire 4C)</w:t>
            </w:r>
          </w:p>
        </w:tc>
        <w:tc>
          <w:tcPr>
            <w:tcW w:w="1000" w:type="pct"/>
            <w:shd w:val="clear" w:color="auto" w:fill="FFFFFF"/>
            <w:tcMar>
              <w:top w:w="60" w:type="dxa"/>
            </w:tcMar>
            <w:vAlign w:val="center"/>
          </w:tcPr>
          <w:p w:rsidR="0035701C" w:rsidRDefault="00FB561B">
            <w:pPr>
              <w:spacing w:before="20" w:after="20"/>
              <w:jc w:val="right"/>
              <w:rPr>
                <w:sz w:val="16"/>
              </w:rPr>
            </w:pPr>
            <w:r>
              <w:rPr>
                <w:sz w:val="16"/>
              </w:rPr>
              <w:t>500,00</w:t>
            </w:r>
          </w:p>
        </w:tc>
      </w:tr>
    </w:tbl>
    <w:p w:rsidR="0035701C" w:rsidRDefault="0035701C">
      <w:pPr>
        <w:jc w:val="center"/>
        <w:rPr>
          <w:sz w:val="16"/>
        </w:rPr>
      </w:pPr>
    </w:p>
    <w:p w:rsidR="0035701C" w:rsidRDefault="00FB561B">
      <w:r>
        <w:t>Indicateur contextuel utilisé comme dénominateur pour la valeur cible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4000" w:type="pct"/>
            <w:shd w:val="clear" w:color="auto" w:fill="C0C0C0"/>
            <w:tcMar>
              <w:top w:w="60" w:type="dxa"/>
            </w:tcMar>
            <w:vAlign w:val="center"/>
          </w:tcPr>
          <w:p w:rsidR="0035701C" w:rsidRDefault="00FB561B">
            <w:pPr>
              <w:jc w:val="center"/>
              <w:rPr>
                <w:b/>
                <w:sz w:val="20"/>
              </w:rPr>
            </w:pPr>
            <w:r>
              <w:rPr>
                <w:b/>
                <w:sz w:val="20"/>
              </w:rPr>
              <w:t xml:space="preserve">Nom de </w:t>
            </w:r>
            <w:r>
              <w:rPr>
                <w:b/>
                <w:sz w:val="20"/>
              </w:rPr>
              <w:t>l'indicateur contextuel</w:t>
            </w:r>
          </w:p>
        </w:tc>
        <w:tc>
          <w:tcPr>
            <w:tcW w:w="1000" w:type="pct"/>
            <w:shd w:val="clear" w:color="auto" w:fill="C0C0C0"/>
            <w:tcMar>
              <w:top w:w="60" w:type="dxa"/>
            </w:tcMar>
            <w:vAlign w:val="center"/>
          </w:tcPr>
          <w:p w:rsidR="0035701C" w:rsidRDefault="00FB561B">
            <w:pPr>
              <w:jc w:val="center"/>
              <w:rPr>
                <w:sz w:val="20"/>
              </w:rPr>
            </w:pPr>
            <w:r>
              <w:rPr>
                <w:b/>
                <w:sz w:val="20"/>
              </w:rPr>
              <w:t>Valeur de l'année de base</w:t>
            </w:r>
          </w:p>
        </w:tc>
      </w:tr>
      <w:tr w:rsidR="0035701C">
        <w:tc>
          <w:tcPr>
            <w:tcW w:w="1000" w:type="pct"/>
            <w:shd w:val="clear" w:color="auto" w:fill="FFFFFF"/>
            <w:tcMar>
              <w:top w:w="60" w:type="dxa"/>
            </w:tcMar>
            <w:vAlign w:val="center"/>
          </w:tcPr>
          <w:p w:rsidR="0035701C" w:rsidRDefault="00FB561B">
            <w:pPr>
              <w:spacing w:before="20" w:after="20"/>
              <w:jc w:val="left"/>
              <w:rPr>
                <w:sz w:val="16"/>
              </w:rPr>
            </w:pPr>
            <w:r>
              <w:rPr>
                <w:sz w:val="16"/>
              </w:rPr>
              <w:t>18 Surface agricole - SAU totale</w:t>
            </w:r>
          </w:p>
        </w:tc>
        <w:tc>
          <w:tcPr>
            <w:tcW w:w="1000" w:type="pct"/>
            <w:shd w:val="clear" w:color="auto" w:fill="FFFFFF"/>
            <w:tcMar>
              <w:top w:w="60" w:type="dxa"/>
            </w:tcMar>
            <w:vAlign w:val="center"/>
          </w:tcPr>
          <w:p w:rsidR="0035701C" w:rsidRDefault="00FB561B">
            <w:pPr>
              <w:spacing w:before="20" w:after="20"/>
              <w:jc w:val="right"/>
              <w:rPr>
                <w:sz w:val="16"/>
              </w:rPr>
            </w:pPr>
            <w:r>
              <w:rPr>
                <w:sz w:val="16"/>
              </w:rPr>
              <w:t>179 940,00</w:t>
            </w:r>
          </w:p>
        </w:tc>
      </w:tr>
    </w:tbl>
    <w:p w:rsidR="0035701C" w:rsidRDefault="00FB561B">
      <w:pPr>
        <w:rPr>
          <w:b/>
          <w:i/>
        </w:rPr>
      </w:pPr>
      <w:r>
        <w:rPr>
          <w:b/>
          <w:i/>
        </w:rPr>
        <w:t>Foresterie</w:t>
      </w:r>
    </w:p>
    <w:p w:rsidR="0035701C" w:rsidRDefault="00FB561B">
      <w:r>
        <w:t>Indicateur(s) cible(s)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1000" w:type="pct"/>
            <w:shd w:val="clear" w:color="auto" w:fill="C0C0C0"/>
            <w:tcMar>
              <w:top w:w="60" w:type="dxa"/>
            </w:tcMar>
            <w:vAlign w:val="center"/>
          </w:tcPr>
          <w:p w:rsidR="0035701C" w:rsidRDefault="00FB561B">
            <w:pPr>
              <w:jc w:val="center"/>
              <w:rPr>
                <w:b/>
                <w:sz w:val="20"/>
              </w:rPr>
            </w:pPr>
            <w:r>
              <w:rPr>
                <w:b/>
                <w:sz w:val="20"/>
              </w:rPr>
              <w:t>Nom de l'indicateur cible</w:t>
            </w:r>
          </w:p>
        </w:tc>
        <w:tc>
          <w:tcPr>
            <w:tcW w:w="1000" w:type="pct"/>
            <w:shd w:val="clear" w:color="auto" w:fill="C0C0C0"/>
            <w:tcMar>
              <w:top w:w="60" w:type="dxa"/>
            </w:tcMar>
            <w:vAlign w:val="center"/>
          </w:tcPr>
          <w:p w:rsidR="0035701C" w:rsidRDefault="00FB561B">
            <w:pPr>
              <w:jc w:val="center"/>
              <w:rPr>
                <w:sz w:val="20"/>
              </w:rPr>
            </w:pPr>
            <w:r>
              <w:rPr>
                <w:b/>
                <w:sz w:val="20"/>
              </w:rPr>
              <w:t>Valeur cible pour 2025</w:t>
            </w:r>
          </w:p>
        </w:tc>
      </w:tr>
      <w:tr w:rsidR="0035701C">
        <w:tc>
          <w:tcPr>
            <w:tcW w:w="4000" w:type="pct"/>
            <w:shd w:val="clear" w:color="auto" w:fill="FFFFFF"/>
            <w:tcMar>
              <w:top w:w="60" w:type="dxa"/>
            </w:tcMar>
            <w:vAlign w:val="center"/>
          </w:tcPr>
          <w:p w:rsidR="0035701C" w:rsidRDefault="00FB561B">
            <w:pPr>
              <w:spacing w:before="20" w:after="20"/>
              <w:jc w:val="left"/>
              <w:rPr>
                <w:b/>
                <w:sz w:val="16"/>
              </w:rPr>
            </w:pPr>
            <w:r>
              <w:rPr>
                <w:b/>
                <w:sz w:val="16"/>
              </w:rPr>
              <w:t xml:space="preserve">T13: pourcentage des terres forestières sous contrats de gestion </w:t>
            </w:r>
            <w:r>
              <w:rPr>
                <w:b/>
                <w:sz w:val="16"/>
              </w:rPr>
              <w:t>visant à améliorer la gestion des sols et/ou à prévenir l’érosion des sols (domaine prioritaire 4C)</w:t>
            </w:r>
          </w:p>
        </w:tc>
        <w:tc>
          <w:tcPr>
            <w:tcW w:w="1000" w:type="pct"/>
            <w:shd w:val="clear" w:color="auto" w:fill="FFFFFF"/>
            <w:tcMar>
              <w:top w:w="60" w:type="dxa"/>
            </w:tcMar>
            <w:vAlign w:val="center"/>
          </w:tcPr>
          <w:p w:rsidR="0035701C" w:rsidRDefault="00FB561B">
            <w:pPr>
              <w:spacing w:before="20" w:after="20"/>
              <w:jc w:val="right"/>
              <w:rPr>
                <w:b/>
                <w:sz w:val="16"/>
              </w:rPr>
            </w:pPr>
            <w:r>
              <w:rPr>
                <w:b/>
                <w:sz w:val="16"/>
              </w:rPr>
              <w:t>0</w:t>
            </w:r>
          </w:p>
        </w:tc>
      </w:tr>
      <w:tr w:rsidR="0035701C">
        <w:tc>
          <w:tcPr>
            <w:tcW w:w="4000" w:type="pct"/>
            <w:shd w:val="clear" w:color="auto" w:fill="FFFFFF"/>
            <w:tcMar>
              <w:top w:w="60" w:type="dxa"/>
            </w:tcMar>
            <w:vAlign w:val="center"/>
          </w:tcPr>
          <w:p w:rsidR="0035701C" w:rsidRDefault="00FB561B">
            <w:pPr>
              <w:spacing w:before="20" w:after="20"/>
              <w:jc w:val="left"/>
              <w:rPr>
                <w:sz w:val="16"/>
              </w:rPr>
            </w:pPr>
            <w:r>
              <w:rPr>
                <w:sz w:val="16"/>
              </w:rPr>
              <w:t>Terres forestières (ha) sous contrats de gestion visant à améliorer la gestion des sols et/ou à prévenir l’érosion des sols (domaine prioritaire 4C)</w:t>
            </w:r>
          </w:p>
        </w:tc>
        <w:tc>
          <w:tcPr>
            <w:tcW w:w="1000" w:type="pct"/>
            <w:shd w:val="clear" w:color="auto" w:fill="FFFFFF"/>
            <w:tcMar>
              <w:top w:w="60" w:type="dxa"/>
            </w:tcMar>
            <w:vAlign w:val="center"/>
          </w:tcPr>
          <w:p w:rsidR="0035701C" w:rsidRDefault="00FB561B">
            <w:pPr>
              <w:spacing w:before="20" w:after="20"/>
              <w:jc w:val="right"/>
              <w:rPr>
                <w:sz w:val="16"/>
              </w:rPr>
            </w:pPr>
            <w:r>
              <w:rPr>
                <w:sz w:val="16"/>
              </w:rPr>
              <w:t>0,00</w:t>
            </w:r>
          </w:p>
        </w:tc>
      </w:tr>
    </w:tbl>
    <w:p w:rsidR="0035701C" w:rsidRDefault="0035701C">
      <w:pPr>
        <w:jc w:val="center"/>
        <w:rPr>
          <w:sz w:val="16"/>
        </w:rPr>
      </w:pPr>
    </w:p>
    <w:p w:rsidR="0035701C" w:rsidRDefault="00FB561B">
      <w:r>
        <w:t>Indicateur contextuel utilisé comme dénominateur pour la valeur cible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4000" w:type="pct"/>
            <w:shd w:val="clear" w:color="auto" w:fill="C0C0C0"/>
            <w:tcMar>
              <w:top w:w="60" w:type="dxa"/>
            </w:tcMar>
            <w:vAlign w:val="center"/>
          </w:tcPr>
          <w:p w:rsidR="0035701C" w:rsidRDefault="00FB561B">
            <w:pPr>
              <w:jc w:val="center"/>
              <w:rPr>
                <w:b/>
                <w:sz w:val="20"/>
              </w:rPr>
            </w:pPr>
            <w:r>
              <w:rPr>
                <w:b/>
                <w:sz w:val="20"/>
              </w:rPr>
              <w:t>Nom de l'indicateur contextuel</w:t>
            </w:r>
          </w:p>
        </w:tc>
        <w:tc>
          <w:tcPr>
            <w:tcW w:w="1000" w:type="pct"/>
            <w:shd w:val="clear" w:color="auto" w:fill="C0C0C0"/>
            <w:tcMar>
              <w:top w:w="60" w:type="dxa"/>
            </w:tcMar>
            <w:vAlign w:val="center"/>
          </w:tcPr>
          <w:p w:rsidR="0035701C" w:rsidRDefault="00FB561B">
            <w:pPr>
              <w:jc w:val="center"/>
              <w:rPr>
                <w:sz w:val="20"/>
              </w:rPr>
            </w:pPr>
            <w:r>
              <w:rPr>
                <w:b/>
                <w:sz w:val="20"/>
              </w:rPr>
              <w:t>Valeur de l'année de base</w:t>
            </w:r>
          </w:p>
        </w:tc>
      </w:tr>
      <w:tr w:rsidR="0035701C">
        <w:tc>
          <w:tcPr>
            <w:tcW w:w="1000" w:type="pct"/>
            <w:shd w:val="clear" w:color="auto" w:fill="FFFFFF"/>
            <w:tcMar>
              <w:top w:w="60" w:type="dxa"/>
            </w:tcMar>
            <w:vAlign w:val="center"/>
          </w:tcPr>
          <w:p w:rsidR="0035701C" w:rsidRDefault="00FB561B">
            <w:pPr>
              <w:spacing w:before="20" w:after="20"/>
              <w:jc w:val="left"/>
              <w:rPr>
                <w:sz w:val="16"/>
              </w:rPr>
            </w:pPr>
            <w:r>
              <w:rPr>
                <w:sz w:val="16"/>
              </w:rPr>
              <w:t>29 Forêts et autres terres boisées (000) - total</w:t>
            </w:r>
          </w:p>
        </w:tc>
        <w:tc>
          <w:tcPr>
            <w:tcW w:w="1000" w:type="pct"/>
            <w:shd w:val="clear" w:color="auto" w:fill="FFFFFF"/>
            <w:tcMar>
              <w:top w:w="60" w:type="dxa"/>
            </w:tcMar>
            <w:vAlign w:val="center"/>
          </w:tcPr>
          <w:p w:rsidR="0035701C" w:rsidRDefault="00FB561B">
            <w:pPr>
              <w:spacing w:before="20" w:after="20"/>
              <w:jc w:val="right"/>
              <w:rPr>
                <w:sz w:val="16"/>
              </w:rPr>
            </w:pPr>
            <w:r>
              <w:rPr>
                <w:sz w:val="16"/>
              </w:rPr>
              <w:t>570,55</w:t>
            </w:r>
          </w:p>
        </w:tc>
      </w:tr>
    </w:tbl>
    <w:p w:rsidR="0035701C" w:rsidRDefault="0035701C">
      <w:pPr>
        <w:sectPr w:rsidR="0035701C">
          <w:pgSz w:w="12240" w:h="15840"/>
          <w:pgMar w:top="900" w:right="900" w:bottom="900" w:left="900" w:header="720" w:footer="720" w:gutter="0"/>
          <w:cols w:space="720"/>
        </w:sectPr>
      </w:pPr>
    </w:p>
    <w:p w:rsidR="0035701C" w:rsidRDefault="00FB561B">
      <w:pPr>
        <w:pStyle w:val="Titre3"/>
        <w:jc w:val="left"/>
      </w:pPr>
      <w:bookmarkStart w:id="143" w:name="_Toc256000142"/>
      <w:r>
        <w:t xml:space="preserve">P5: promouvoir l’utilisation efficace des ressources et </w:t>
      </w:r>
      <w:r>
        <w:t>soutenir la transition vers une économie à faibles émissions de CO2 et résiliente aux changements climatiques, dans les secteurs agricole et alimentaire ainsi que dans le secteur de la foresterie</w:t>
      </w:r>
      <w:bookmarkEnd w:id="143"/>
    </w:p>
    <w:p w:rsidR="0035701C" w:rsidRDefault="00FB561B">
      <w:pPr>
        <w:pStyle w:val="Titre4"/>
        <w:jc w:val="left"/>
      </w:pPr>
      <w:r>
        <w:t xml:space="preserve">5A) Développer l'utilisation efficace de l'eau dans </w:t>
      </w:r>
      <w:r>
        <w:t>l'agriculture</w:t>
      </w:r>
    </w:p>
    <w:p w:rsidR="0035701C" w:rsidRDefault="00FB561B">
      <w:r>
        <w:t>Indicateur(s) cible(s)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1000" w:type="pct"/>
            <w:shd w:val="clear" w:color="auto" w:fill="C0C0C0"/>
            <w:tcMar>
              <w:top w:w="60" w:type="dxa"/>
            </w:tcMar>
            <w:vAlign w:val="center"/>
          </w:tcPr>
          <w:p w:rsidR="0035701C" w:rsidRDefault="00FB561B">
            <w:pPr>
              <w:jc w:val="center"/>
              <w:rPr>
                <w:b/>
                <w:sz w:val="20"/>
              </w:rPr>
            </w:pPr>
            <w:r>
              <w:rPr>
                <w:b/>
                <w:sz w:val="20"/>
              </w:rPr>
              <w:t>Nom de l'indicateur cible</w:t>
            </w:r>
          </w:p>
        </w:tc>
        <w:tc>
          <w:tcPr>
            <w:tcW w:w="1000" w:type="pct"/>
            <w:shd w:val="clear" w:color="auto" w:fill="C0C0C0"/>
            <w:tcMar>
              <w:top w:w="60" w:type="dxa"/>
            </w:tcMar>
            <w:vAlign w:val="center"/>
          </w:tcPr>
          <w:p w:rsidR="0035701C" w:rsidRDefault="00FB561B">
            <w:pPr>
              <w:jc w:val="center"/>
              <w:rPr>
                <w:sz w:val="20"/>
              </w:rPr>
            </w:pPr>
            <w:r>
              <w:rPr>
                <w:b/>
                <w:sz w:val="20"/>
              </w:rPr>
              <w:t>Valeur cible pour 2025</w:t>
            </w:r>
          </w:p>
        </w:tc>
      </w:tr>
      <w:tr w:rsidR="0035701C">
        <w:tc>
          <w:tcPr>
            <w:tcW w:w="4000" w:type="pct"/>
            <w:shd w:val="clear" w:color="auto" w:fill="FFFFFF"/>
            <w:tcMar>
              <w:top w:w="60" w:type="dxa"/>
            </w:tcMar>
            <w:vAlign w:val="center"/>
          </w:tcPr>
          <w:p w:rsidR="0035701C" w:rsidRDefault="00FB561B">
            <w:pPr>
              <w:spacing w:before="20" w:after="20"/>
              <w:jc w:val="left"/>
              <w:rPr>
                <w:b/>
                <w:sz w:val="16"/>
              </w:rPr>
            </w:pPr>
            <w:r>
              <w:rPr>
                <w:b/>
                <w:sz w:val="16"/>
              </w:rPr>
              <w:t>T14: pourcentage des terres irriguées passant à un système d’irrigation plus efficace (domaine prioritaire 5A)</w:t>
            </w:r>
          </w:p>
        </w:tc>
        <w:tc>
          <w:tcPr>
            <w:tcW w:w="1000" w:type="pct"/>
            <w:shd w:val="clear" w:color="auto" w:fill="FFFFFF"/>
            <w:tcMar>
              <w:top w:w="60" w:type="dxa"/>
            </w:tcMar>
            <w:vAlign w:val="center"/>
          </w:tcPr>
          <w:p w:rsidR="0035701C" w:rsidRDefault="00FB561B">
            <w:pPr>
              <w:spacing w:before="20" w:after="20"/>
              <w:jc w:val="right"/>
              <w:rPr>
                <w:b/>
                <w:sz w:val="16"/>
              </w:rPr>
            </w:pPr>
            <w:r>
              <w:rPr>
                <w:b/>
                <w:sz w:val="16"/>
              </w:rPr>
              <w:t>0,12</w:t>
            </w:r>
          </w:p>
        </w:tc>
      </w:tr>
      <w:tr w:rsidR="0035701C">
        <w:tc>
          <w:tcPr>
            <w:tcW w:w="4000" w:type="pct"/>
            <w:shd w:val="clear" w:color="auto" w:fill="FFFFFF"/>
            <w:tcMar>
              <w:top w:w="60" w:type="dxa"/>
            </w:tcMar>
            <w:vAlign w:val="center"/>
          </w:tcPr>
          <w:p w:rsidR="0035701C" w:rsidRDefault="00FB561B">
            <w:pPr>
              <w:spacing w:before="20" w:after="20"/>
              <w:jc w:val="left"/>
              <w:rPr>
                <w:sz w:val="16"/>
              </w:rPr>
            </w:pPr>
            <w:r>
              <w:rPr>
                <w:sz w:val="16"/>
              </w:rPr>
              <w:t>Terres irriguées (ha) passant à un système</w:t>
            </w:r>
            <w:r>
              <w:rPr>
                <w:sz w:val="16"/>
              </w:rPr>
              <w:t xml:space="preserve"> d’irrigation plus efficace (domaine prioritaire 5A)</w:t>
            </w:r>
          </w:p>
        </w:tc>
        <w:tc>
          <w:tcPr>
            <w:tcW w:w="1000" w:type="pct"/>
            <w:shd w:val="clear" w:color="auto" w:fill="FFFFFF"/>
            <w:tcMar>
              <w:top w:w="60" w:type="dxa"/>
            </w:tcMar>
            <w:vAlign w:val="center"/>
          </w:tcPr>
          <w:p w:rsidR="0035701C" w:rsidRDefault="00FB561B">
            <w:pPr>
              <w:spacing w:before="20" w:after="20"/>
              <w:jc w:val="right"/>
              <w:rPr>
                <w:sz w:val="16"/>
              </w:rPr>
            </w:pPr>
            <w:r>
              <w:rPr>
                <w:sz w:val="16"/>
              </w:rPr>
              <w:t>15,00</w:t>
            </w:r>
          </w:p>
        </w:tc>
      </w:tr>
    </w:tbl>
    <w:p w:rsidR="0035701C" w:rsidRDefault="0035701C">
      <w:pPr>
        <w:jc w:val="center"/>
        <w:rPr>
          <w:sz w:val="16"/>
        </w:rPr>
      </w:pPr>
    </w:p>
    <w:p w:rsidR="0035701C" w:rsidRDefault="00FB561B">
      <w:r>
        <w:t>Indicateur contextuel utilisé comme dénominateur pour la valeur cible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4000" w:type="pct"/>
            <w:shd w:val="clear" w:color="auto" w:fill="C0C0C0"/>
            <w:tcMar>
              <w:top w:w="60" w:type="dxa"/>
            </w:tcMar>
            <w:vAlign w:val="center"/>
          </w:tcPr>
          <w:p w:rsidR="0035701C" w:rsidRDefault="00FB561B">
            <w:pPr>
              <w:jc w:val="center"/>
              <w:rPr>
                <w:b/>
                <w:sz w:val="20"/>
              </w:rPr>
            </w:pPr>
            <w:r>
              <w:rPr>
                <w:b/>
                <w:sz w:val="20"/>
              </w:rPr>
              <w:t>Nom de l'indicateur contextuel</w:t>
            </w:r>
          </w:p>
        </w:tc>
        <w:tc>
          <w:tcPr>
            <w:tcW w:w="1000" w:type="pct"/>
            <w:shd w:val="clear" w:color="auto" w:fill="C0C0C0"/>
            <w:tcMar>
              <w:top w:w="60" w:type="dxa"/>
            </w:tcMar>
            <w:vAlign w:val="center"/>
          </w:tcPr>
          <w:p w:rsidR="0035701C" w:rsidRDefault="00FB561B">
            <w:pPr>
              <w:jc w:val="center"/>
              <w:rPr>
                <w:sz w:val="20"/>
              </w:rPr>
            </w:pPr>
            <w:r>
              <w:rPr>
                <w:b/>
                <w:sz w:val="20"/>
              </w:rPr>
              <w:t>Valeur de l'année de base</w:t>
            </w:r>
          </w:p>
        </w:tc>
      </w:tr>
      <w:tr w:rsidR="0035701C">
        <w:tc>
          <w:tcPr>
            <w:tcW w:w="1000" w:type="pct"/>
            <w:shd w:val="clear" w:color="auto" w:fill="FFFFFF"/>
            <w:tcMar>
              <w:top w:w="60" w:type="dxa"/>
            </w:tcMar>
            <w:vAlign w:val="center"/>
          </w:tcPr>
          <w:p w:rsidR="0035701C" w:rsidRDefault="00FB561B">
            <w:pPr>
              <w:spacing w:before="20" w:after="20"/>
              <w:jc w:val="left"/>
              <w:rPr>
                <w:sz w:val="16"/>
              </w:rPr>
            </w:pPr>
            <w:r>
              <w:rPr>
                <w:sz w:val="16"/>
              </w:rPr>
              <w:t>20 Terres irriguées - total</w:t>
            </w:r>
          </w:p>
        </w:tc>
        <w:tc>
          <w:tcPr>
            <w:tcW w:w="1000" w:type="pct"/>
            <w:shd w:val="clear" w:color="auto" w:fill="FFFFFF"/>
            <w:tcMar>
              <w:top w:w="60" w:type="dxa"/>
            </w:tcMar>
            <w:vAlign w:val="center"/>
          </w:tcPr>
          <w:p w:rsidR="0035701C" w:rsidRDefault="00FB561B">
            <w:pPr>
              <w:spacing w:before="20" w:after="20"/>
              <w:jc w:val="right"/>
              <w:rPr>
                <w:sz w:val="16"/>
              </w:rPr>
            </w:pPr>
            <w:r>
              <w:rPr>
                <w:sz w:val="16"/>
              </w:rPr>
              <w:t>12 020,00</w:t>
            </w:r>
          </w:p>
        </w:tc>
      </w:tr>
    </w:tbl>
    <w:p w:rsidR="0035701C" w:rsidRDefault="0035701C"/>
    <w:p w:rsidR="0035701C" w:rsidRDefault="00FB561B">
      <w:r>
        <w:t xml:space="preserve">Indicateur(s) de </w:t>
      </w:r>
      <w:r>
        <w:t>réalisation prévus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gridCol w:w="2400"/>
        <w:gridCol w:w="2400"/>
      </w:tblGrid>
      <w:tr w:rsidR="0035701C">
        <w:tc>
          <w:tcPr>
            <w:tcW w:w="1750" w:type="pct"/>
            <w:vMerge w:val="restart"/>
            <w:shd w:val="clear" w:color="auto" w:fill="C0C0C0"/>
            <w:tcMar>
              <w:top w:w="60" w:type="dxa"/>
            </w:tcMar>
            <w:vAlign w:val="center"/>
          </w:tcPr>
          <w:p w:rsidR="0035701C" w:rsidRDefault="00FB561B">
            <w:pPr>
              <w:jc w:val="center"/>
              <w:rPr>
                <w:b/>
                <w:sz w:val="20"/>
              </w:rPr>
            </w:pPr>
            <w:r>
              <w:rPr>
                <w:b/>
                <w:sz w:val="20"/>
              </w:rPr>
              <w:t>Nom de la mesure</w:t>
            </w:r>
          </w:p>
        </w:tc>
        <w:tc>
          <w:tcPr>
            <w:tcW w:w="1750" w:type="pct"/>
            <w:vMerge w:val="restart"/>
            <w:shd w:val="clear" w:color="auto" w:fill="C0C0C0"/>
            <w:tcMar>
              <w:top w:w="60" w:type="dxa"/>
            </w:tcMar>
            <w:vAlign w:val="center"/>
          </w:tcPr>
          <w:p w:rsidR="0035701C" w:rsidRDefault="00FB561B">
            <w:pPr>
              <w:jc w:val="center"/>
              <w:rPr>
                <w:b/>
                <w:sz w:val="20"/>
              </w:rPr>
            </w:pPr>
            <w:r>
              <w:rPr>
                <w:b/>
                <w:sz w:val="20"/>
              </w:rPr>
              <w:t>Nom de l'indicateur</w:t>
            </w:r>
          </w:p>
        </w:tc>
        <w:tc>
          <w:tcPr>
            <w:tcW w:w="750" w:type="pct"/>
            <w:vMerge w:val="restart"/>
            <w:shd w:val="clear" w:color="auto" w:fill="C0C0C0"/>
            <w:tcMar>
              <w:top w:w="60" w:type="dxa"/>
            </w:tcMar>
            <w:vAlign w:val="center"/>
          </w:tcPr>
          <w:p w:rsidR="0035701C" w:rsidRDefault="00FB561B">
            <w:pPr>
              <w:jc w:val="center"/>
              <w:rPr>
                <w:b/>
                <w:sz w:val="20"/>
              </w:rPr>
            </w:pPr>
            <w:r>
              <w:rPr>
                <w:b/>
                <w:sz w:val="20"/>
              </w:rPr>
              <w:t>Valeur</w:t>
            </w:r>
          </w:p>
        </w:tc>
        <w:tc>
          <w:tcPr>
            <w:tcW w:w="750" w:type="pct"/>
            <w:vMerge w:val="restart"/>
            <w:shd w:val="clear" w:color="auto" w:fill="C0C0C0"/>
            <w:tcMar>
              <w:top w:w="60" w:type="dxa"/>
            </w:tcMar>
            <w:vAlign w:val="center"/>
          </w:tcPr>
          <w:p w:rsidR="0035701C" w:rsidRDefault="00FB561B">
            <w:pPr>
              <w:jc w:val="center"/>
              <w:rPr>
                <w:sz w:val="20"/>
              </w:rPr>
            </w:pPr>
            <w:r>
              <w:rPr>
                <w:b/>
                <w:sz w:val="20"/>
              </w:rPr>
              <w:t>Dont financés par Next Generation EU</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M04 - Investissements physiques (article 17)</w:t>
            </w:r>
          </w:p>
        </w:tc>
        <w:tc>
          <w:tcPr>
            <w:tcW w:w="1750" w:type="pct"/>
            <w:shd w:val="clear" w:color="auto" w:fill="FFFFFF"/>
            <w:tcMar>
              <w:top w:w="60" w:type="dxa"/>
            </w:tcMar>
            <w:vAlign w:val="center"/>
          </w:tcPr>
          <w:p w:rsidR="0035701C" w:rsidRDefault="00FB561B">
            <w:pPr>
              <w:spacing w:before="20" w:after="20"/>
              <w:jc w:val="left"/>
              <w:rPr>
                <w:sz w:val="16"/>
              </w:rPr>
            </w:pPr>
            <w:r>
              <w:rPr>
                <w:sz w:val="16"/>
              </w:rPr>
              <w:t>Nombre d'opérations bénéficiant d'un soutien à l'investissement (4.1, 4.3)</w:t>
            </w:r>
          </w:p>
        </w:tc>
        <w:tc>
          <w:tcPr>
            <w:tcW w:w="750" w:type="pct"/>
            <w:shd w:val="clear" w:color="auto" w:fill="FFFFFF"/>
            <w:tcMar>
              <w:top w:w="60" w:type="dxa"/>
            </w:tcMar>
            <w:vAlign w:val="center"/>
          </w:tcPr>
          <w:p w:rsidR="0035701C" w:rsidRDefault="00FB561B">
            <w:pPr>
              <w:spacing w:before="20" w:after="20"/>
              <w:jc w:val="right"/>
              <w:rPr>
                <w:sz w:val="16"/>
              </w:rPr>
            </w:pPr>
            <w:r>
              <w:rPr>
                <w:sz w:val="16"/>
              </w:rPr>
              <w:t>1,00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 xml:space="preserve">M04 - </w:t>
            </w:r>
            <w:r>
              <w:rPr>
                <w:b/>
                <w:sz w:val="16"/>
              </w:rPr>
              <w:t>Investissements physiques (article 17)</w:t>
            </w:r>
          </w:p>
        </w:tc>
        <w:tc>
          <w:tcPr>
            <w:tcW w:w="1750" w:type="pct"/>
            <w:shd w:val="clear" w:color="auto" w:fill="FFFFFF"/>
            <w:tcMar>
              <w:top w:w="60" w:type="dxa"/>
            </w:tcMar>
            <w:vAlign w:val="center"/>
          </w:tcPr>
          <w:p w:rsidR="0035701C" w:rsidRDefault="00FB561B">
            <w:pPr>
              <w:spacing w:before="20" w:after="20"/>
              <w:jc w:val="left"/>
              <w:rPr>
                <w:sz w:val="16"/>
              </w:rPr>
            </w:pPr>
            <w:r>
              <w:rPr>
                <w:sz w:val="16"/>
              </w:rPr>
              <w:t>Superficie (ha) concernée par les investissements visant des économies en eau (systèmes plus efficaces d'irrigation par exemple)</w:t>
            </w:r>
          </w:p>
        </w:tc>
        <w:tc>
          <w:tcPr>
            <w:tcW w:w="750" w:type="pct"/>
            <w:shd w:val="clear" w:color="auto" w:fill="FFFFFF"/>
            <w:tcMar>
              <w:top w:w="60" w:type="dxa"/>
            </w:tcMar>
            <w:vAlign w:val="center"/>
          </w:tcPr>
          <w:p w:rsidR="0035701C" w:rsidRDefault="00FB561B">
            <w:pPr>
              <w:spacing w:before="20" w:after="20"/>
              <w:jc w:val="right"/>
              <w:rPr>
                <w:sz w:val="16"/>
              </w:rPr>
            </w:pPr>
            <w:r>
              <w:rPr>
                <w:sz w:val="16"/>
              </w:rPr>
              <w:t>15,00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M04 - Investissements physiques (article 17)</w:t>
            </w:r>
          </w:p>
        </w:tc>
        <w:tc>
          <w:tcPr>
            <w:tcW w:w="1750" w:type="pct"/>
            <w:shd w:val="clear" w:color="auto" w:fill="FFFFFF"/>
            <w:tcMar>
              <w:top w:w="60" w:type="dxa"/>
            </w:tcMar>
            <w:vAlign w:val="center"/>
          </w:tcPr>
          <w:p w:rsidR="0035701C" w:rsidRDefault="00FB561B">
            <w:pPr>
              <w:spacing w:before="20" w:after="20"/>
              <w:jc w:val="left"/>
              <w:rPr>
                <w:sz w:val="16"/>
              </w:rPr>
            </w:pPr>
            <w:r>
              <w:rPr>
                <w:sz w:val="16"/>
              </w:rPr>
              <w:t>Total des investissements (en €) (</w:t>
            </w:r>
            <w:r>
              <w:rPr>
                <w:sz w:val="16"/>
              </w:rPr>
              <w:t>publics et privés)</w:t>
            </w:r>
          </w:p>
        </w:tc>
        <w:tc>
          <w:tcPr>
            <w:tcW w:w="750" w:type="pct"/>
            <w:shd w:val="clear" w:color="auto" w:fill="FFFFFF"/>
            <w:tcMar>
              <w:top w:w="60" w:type="dxa"/>
            </w:tcMar>
            <w:vAlign w:val="center"/>
          </w:tcPr>
          <w:p w:rsidR="0035701C" w:rsidRDefault="00FB561B">
            <w:pPr>
              <w:spacing w:before="20" w:after="20"/>
              <w:jc w:val="right"/>
              <w:rPr>
                <w:sz w:val="16"/>
              </w:rPr>
            </w:pPr>
            <w:r>
              <w:rPr>
                <w:sz w:val="16"/>
              </w:rPr>
              <w:t>400 000,00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M04 - Investissements physiques (article 17)</w:t>
            </w:r>
          </w:p>
        </w:tc>
        <w:tc>
          <w:tcPr>
            <w:tcW w:w="1750" w:type="pct"/>
            <w:shd w:val="clear" w:color="auto" w:fill="FFFFFF"/>
            <w:tcMar>
              <w:top w:w="60" w:type="dxa"/>
            </w:tcMar>
            <w:vAlign w:val="center"/>
          </w:tcPr>
          <w:p w:rsidR="0035701C" w:rsidRDefault="00FB561B">
            <w:pPr>
              <w:spacing w:before="20" w:after="20"/>
              <w:jc w:val="left"/>
              <w:rPr>
                <w:sz w:val="16"/>
              </w:rPr>
            </w:pPr>
            <w:r>
              <w:rPr>
                <w:sz w:val="16"/>
              </w:rPr>
              <w:t xml:space="preserve">Total des dépenses publiques (en €) </w:t>
            </w:r>
          </w:p>
        </w:tc>
        <w:tc>
          <w:tcPr>
            <w:tcW w:w="750" w:type="pct"/>
            <w:shd w:val="clear" w:color="auto" w:fill="FFFFFF"/>
            <w:tcMar>
              <w:top w:w="60" w:type="dxa"/>
            </w:tcMar>
            <w:vAlign w:val="center"/>
          </w:tcPr>
          <w:p w:rsidR="0035701C" w:rsidRDefault="00FB561B">
            <w:pPr>
              <w:spacing w:before="20" w:after="20"/>
              <w:jc w:val="right"/>
              <w:rPr>
                <w:sz w:val="16"/>
              </w:rPr>
            </w:pPr>
            <w:r>
              <w:rPr>
                <w:sz w:val="16"/>
              </w:rPr>
              <w:t>320 000,00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bl>
    <w:p w:rsidR="0035701C" w:rsidRDefault="0035701C">
      <w:pPr>
        <w:sectPr w:rsidR="0035701C">
          <w:pgSz w:w="12240" w:h="15840"/>
          <w:pgMar w:top="900" w:right="900" w:bottom="900" w:left="900" w:header="720" w:footer="720" w:gutter="0"/>
          <w:cols w:space="720"/>
        </w:sectPr>
      </w:pPr>
    </w:p>
    <w:p w:rsidR="0035701C" w:rsidRDefault="00FB561B">
      <w:pPr>
        <w:pStyle w:val="Titre4"/>
        <w:jc w:val="left"/>
      </w:pPr>
      <w:r>
        <w:t>5B) Développer l'utilisation efficace de l'énergie dans l'agriculture et la transformation alimentaire</w:t>
      </w:r>
    </w:p>
    <w:p w:rsidR="0035701C" w:rsidRDefault="00FB561B">
      <w:r>
        <w:t xml:space="preserve">Aucune mesure </w:t>
      </w:r>
      <w:r>
        <w:t>sélectionnée dans la stratégie pour ce domaine prioritaire.</w:t>
      </w:r>
    </w:p>
    <w:p w:rsidR="0035701C" w:rsidRDefault="0035701C">
      <w:pPr>
        <w:sectPr w:rsidR="0035701C">
          <w:pgSz w:w="12240" w:h="15840"/>
          <w:pgMar w:top="900" w:right="900" w:bottom="900" w:left="900" w:header="720" w:footer="720" w:gutter="0"/>
          <w:cols w:space="720"/>
        </w:sectPr>
      </w:pPr>
    </w:p>
    <w:p w:rsidR="0035701C" w:rsidRDefault="00FB561B">
      <w:pPr>
        <w:pStyle w:val="Titre4"/>
        <w:jc w:val="left"/>
      </w:pPr>
      <w:r>
        <w:t xml:space="preserve">5C) Faciliter la fourniture et l'utilisation de sources d'énergie renouvelables, de sous-produits, des déchets, des résidus et d'autres matières premières non alimentaires à des fins de </w:t>
      </w:r>
      <w:r>
        <w:t>bioéconomie</w:t>
      </w:r>
    </w:p>
    <w:p w:rsidR="0035701C" w:rsidRDefault="00FB561B">
      <w:r>
        <w:t>Aucune mesure sélectionnée dans la stratégie pour ce domaine prioritaire.</w:t>
      </w:r>
    </w:p>
    <w:p w:rsidR="0035701C" w:rsidRDefault="0035701C">
      <w:pPr>
        <w:sectPr w:rsidR="0035701C">
          <w:pgSz w:w="12240" w:h="15840"/>
          <w:pgMar w:top="900" w:right="900" w:bottom="900" w:left="900" w:header="720" w:footer="720" w:gutter="0"/>
          <w:cols w:space="720"/>
        </w:sectPr>
      </w:pPr>
    </w:p>
    <w:p w:rsidR="0035701C" w:rsidRDefault="00FB561B">
      <w:pPr>
        <w:pStyle w:val="Titre4"/>
        <w:jc w:val="left"/>
      </w:pPr>
      <w:r>
        <w:t>5D) Réduire les émissions de gaz à effet de serre et d'ammoniac provenant de l'agriculture</w:t>
      </w:r>
    </w:p>
    <w:p w:rsidR="0035701C" w:rsidRDefault="00FB561B">
      <w:r>
        <w:t>Aucune mesure sélectionnée dans la stratégie pour ce domaine priorita</w:t>
      </w:r>
      <w:r>
        <w:t>ire.</w:t>
      </w:r>
    </w:p>
    <w:p w:rsidR="0035701C" w:rsidRDefault="0035701C">
      <w:pPr>
        <w:sectPr w:rsidR="0035701C">
          <w:pgSz w:w="12240" w:h="15840"/>
          <w:pgMar w:top="900" w:right="900" w:bottom="900" w:left="900" w:header="720" w:footer="720" w:gutter="0"/>
          <w:cols w:space="720"/>
        </w:sectPr>
      </w:pPr>
    </w:p>
    <w:p w:rsidR="0035701C" w:rsidRDefault="00FB561B">
      <w:pPr>
        <w:pStyle w:val="Titre4"/>
        <w:jc w:val="left"/>
      </w:pPr>
      <w:r>
        <w:t>5E) Promouvoir la conservation et la séquestration du carbone dans les secteurs de l'agriculture et de la foresterie</w:t>
      </w:r>
    </w:p>
    <w:p w:rsidR="0035701C" w:rsidRDefault="00FB561B">
      <w:r>
        <w:t>Indicateur(s) cible(s)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750" w:type="pct"/>
            <w:shd w:val="clear" w:color="auto" w:fill="C0C0C0"/>
            <w:tcMar>
              <w:top w:w="60" w:type="dxa"/>
            </w:tcMar>
            <w:vAlign w:val="center"/>
          </w:tcPr>
          <w:p w:rsidR="0035701C" w:rsidRDefault="00FB561B">
            <w:pPr>
              <w:jc w:val="center"/>
              <w:rPr>
                <w:b/>
                <w:sz w:val="20"/>
              </w:rPr>
            </w:pPr>
            <w:r>
              <w:rPr>
                <w:b/>
                <w:sz w:val="20"/>
              </w:rPr>
              <w:t>Nom de l'indicateur cible</w:t>
            </w:r>
          </w:p>
        </w:tc>
        <w:tc>
          <w:tcPr>
            <w:tcW w:w="750" w:type="pct"/>
            <w:shd w:val="clear" w:color="auto" w:fill="C0C0C0"/>
            <w:tcMar>
              <w:top w:w="60" w:type="dxa"/>
            </w:tcMar>
            <w:vAlign w:val="center"/>
          </w:tcPr>
          <w:p w:rsidR="0035701C" w:rsidRDefault="00FB561B">
            <w:pPr>
              <w:jc w:val="center"/>
              <w:rPr>
                <w:sz w:val="20"/>
              </w:rPr>
            </w:pPr>
            <w:r>
              <w:rPr>
                <w:b/>
                <w:sz w:val="20"/>
              </w:rPr>
              <w:t>Valeur cible pour 2025</w:t>
            </w:r>
          </w:p>
        </w:tc>
      </w:tr>
      <w:tr w:rsidR="0035701C">
        <w:tc>
          <w:tcPr>
            <w:tcW w:w="4000" w:type="pct"/>
            <w:shd w:val="clear" w:color="auto" w:fill="FFFFFF"/>
            <w:tcMar>
              <w:top w:w="60" w:type="dxa"/>
            </w:tcMar>
            <w:vAlign w:val="center"/>
          </w:tcPr>
          <w:p w:rsidR="0035701C" w:rsidRDefault="00FB561B">
            <w:pPr>
              <w:spacing w:before="20" w:after="20"/>
              <w:jc w:val="left"/>
              <w:rPr>
                <w:b/>
                <w:sz w:val="16"/>
              </w:rPr>
            </w:pPr>
            <w:r>
              <w:rPr>
                <w:b/>
                <w:sz w:val="16"/>
              </w:rPr>
              <w:t xml:space="preserve">T19: pourcentage des terres agricoles et </w:t>
            </w:r>
            <w:r>
              <w:rPr>
                <w:b/>
                <w:sz w:val="16"/>
              </w:rPr>
              <w:t>forestières sous contrats de gestion contribuant à la séquestration et à la conservation du carbone (domaine prioritaire 5E)</w:t>
            </w:r>
          </w:p>
        </w:tc>
        <w:tc>
          <w:tcPr>
            <w:tcW w:w="1000" w:type="pct"/>
            <w:shd w:val="clear" w:color="auto" w:fill="FFFFFF"/>
            <w:tcMar>
              <w:top w:w="60" w:type="dxa"/>
            </w:tcMar>
            <w:vAlign w:val="center"/>
          </w:tcPr>
          <w:p w:rsidR="0035701C" w:rsidRDefault="00FB561B">
            <w:pPr>
              <w:spacing w:before="20" w:after="20"/>
              <w:jc w:val="right"/>
              <w:rPr>
                <w:b/>
                <w:sz w:val="16"/>
              </w:rPr>
            </w:pPr>
            <w:r>
              <w:rPr>
                <w:b/>
                <w:sz w:val="16"/>
              </w:rPr>
              <w:t>0</w:t>
            </w:r>
          </w:p>
        </w:tc>
      </w:tr>
      <w:tr w:rsidR="0035701C">
        <w:tc>
          <w:tcPr>
            <w:tcW w:w="4000" w:type="pct"/>
            <w:shd w:val="clear" w:color="auto" w:fill="FFFFFF"/>
            <w:tcMar>
              <w:top w:w="60" w:type="dxa"/>
            </w:tcMar>
            <w:vAlign w:val="center"/>
          </w:tcPr>
          <w:p w:rsidR="0035701C" w:rsidRDefault="00FB561B">
            <w:pPr>
              <w:spacing w:before="20" w:after="20"/>
              <w:jc w:val="left"/>
              <w:rPr>
                <w:sz w:val="16"/>
              </w:rPr>
            </w:pPr>
            <w:r>
              <w:rPr>
                <w:sz w:val="16"/>
              </w:rPr>
              <w:t>Terres agricoles et forestières (ha) sous contrats de gestion visant à promouvoir la séquestration/conservation du carbone (doma</w:t>
            </w:r>
            <w:r>
              <w:rPr>
                <w:sz w:val="16"/>
              </w:rPr>
              <w:t>ine prioritaire 5E)</w:t>
            </w:r>
          </w:p>
        </w:tc>
        <w:tc>
          <w:tcPr>
            <w:tcW w:w="1000" w:type="pct"/>
            <w:shd w:val="clear" w:color="auto" w:fill="FFFFFF"/>
            <w:tcMar>
              <w:top w:w="60" w:type="dxa"/>
            </w:tcMar>
            <w:vAlign w:val="center"/>
          </w:tcPr>
          <w:p w:rsidR="0035701C" w:rsidRDefault="00FB561B">
            <w:pPr>
              <w:spacing w:before="20" w:after="20"/>
              <w:jc w:val="right"/>
              <w:rPr>
                <w:sz w:val="16"/>
              </w:rPr>
            </w:pPr>
            <w:r>
              <w:rPr>
                <w:sz w:val="16"/>
              </w:rPr>
              <w:t>0,00</w:t>
            </w:r>
          </w:p>
        </w:tc>
      </w:tr>
    </w:tbl>
    <w:p w:rsidR="0035701C" w:rsidRDefault="0035701C">
      <w:pPr>
        <w:jc w:val="center"/>
        <w:rPr>
          <w:sz w:val="16"/>
        </w:rPr>
      </w:pPr>
    </w:p>
    <w:p w:rsidR="0035701C" w:rsidRDefault="00FB561B">
      <w:r>
        <w:t>Indicateur contextuel utilisé comme dénominateur pour la valeur cible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4000" w:type="pct"/>
            <w:shd w:val="clear" w:color="auto" w:fill="C0C0C0"/>
            <w:tcMar>
              <w:top w:w="60" w:type="dxa"/>
            </w:tcMar>
            <w:vAlign w:val="center"/>
          </w:tcPr>
          <w:p w:rsidR="0035701C" w:rsidRDefault="00FB561B">
            <w:pPr>
              <w:jc w:val="center"/>
              <w:rPr>
                <w:b/>
                <w:sz w:val="20"/>
              </w:rPr>
            </w:pPr>
            <w:r>
              <w:rPr>
                <w:b/>
                <w:sz w:val="20"/>
              </w:rPr>
              <w:t>Nom de l'indicateur contextuel</w:t>
            </w:r>
          </w:p>
        </w:tc>
        <w:tc>
          <w:tcPr>
            <w:tcW w:w="1000" w:type="pct"/>
            <w:shd w:val="clear" w:color="auto" w:fill="C0C0C0"/>
            <w:tcMar>
              <w:top w:w="60" w:type="dxa"/>
            </w:tcMar>
            <w:vAlign w:val="center"/>
          </w:tcPr>
          <w:p w:rsidR="0035701C" w:rsidRDefault="00FB561B">
            <w:pPr>
              <w:jc w:val="center"/>
              <w:rPr>
                <w:sz w:val="20"/>
              </w:rPr>
            </w:pPr>
            <w:r>
              <w:rPr>
                <w:b/>
                <w:sz w:val="20"/>
              </w:rPr>
              <w:t>Valeur de l'année de base</w:t>
            </w:r>
          </w:p>
        </w:tc>
      </w:tr>
      <w:tr w:rsidR="0035701C">
        <w:tc>
          <w:tcPr>
            <w:tcW w:w="1000" w:type="pct"/>
            <w:shd w:val="clear" w:color="auto" w:fill="FFFFFF"/>
            <w:tcMar>
              <w:top w:w="60" w:type="dxa"/>
            </w:tcMar>
            <w:vAlign w:val="center"/>
          </w:tcPr>
          <w:p w:rsidR="0035701C" w:rsidRDefault="00FB561B">
            <w:pPr>
              <w:spacing w:before="20" w:after="20"/>
              <w:jc w:val="left"/>
              <w:rPr>
                <w:sz w:val="16"/>
              </w:rPr>
            </w:pPr>
            <w:r>
              <w:rPr>
                <w:sz w:val="16"/>
              </w:rPr>
              <w:t>18 Surface agricole - SAU totale</w:t>
            </w:r>
          </w:p>
        </w:tc>
        <w:tc>
          <w:tcPr>
            <w:tcW w:w="1000" w:type="pct"/>
            <w:shd w:val="clear" w:color="auto" w:fill="FFFFFF"/>
            <w:tcMar>
              <w:top w:w="60" w:type="dxa"/>
            </w:tcMar>
            <w:vAlign w:val="center"/>
          </w:tcPr>
          <w:p w:rsidR="0035701C" w:rsidRDefault="00FB561B">
            <w:pPr>
              <w:spacing w:before="20" w:after="20"/>
              <w:jc w:val="right"/>
              <w:rPr>
                <w:sz w:val="16"/>
              </w:rPr>
            </w:pPr>
            <w:r>
              <w:rPr>
                <w:sz w:val="16"/>
              </w:rPr>
              <w:t>179 940,00</w:t>
            </w:r>
          </w:p>
        </w:tc>
      </w:tr>
      <w:tr w:rsidR="0035701C">
        <w:tc>
          <w:tcPr>
            <w:tcW w:w="1000" w:type="pct"/>
            <w:shd w:val="clear" w:color="auto" w:fill="FFFFFF"/>
            <w:tcMar>
              <w:top w:w="60" w:type="dxa"/>
            </w:tcMar>
            <w:vAlign w:val="center"/>
          </w:tcPr>
          <w:p w:rsidR="0035701C" w:rsidRDefault="00FB561B">
            <w:pPr>
              <w:spacing w:before="20" w:after="20"/>
              <w:jc w:val="left"/>
              <w:rPr>
                <w:sz w:val="16"/>
              </w:rPr>
            </w:pPr>
            <w:r>
              <w:rPr>
                <w:sz w:val="16"/>
              </w:rPr>
              <w:t>29 Forêts et autres terres boisées (000) - total</w:t>
            </w:r>
          </w:p>
        </w:tc>
        <w:tc>
          <w:tcPr>
            <w:tcW w:w="1000" w:type="pct"/>
            <w:shd w:val="clear" w:color="auto" w:fill="FFFFFF"/>
            <w:tcMar>
              <w:top w:w="60" w:type="dxa"/>
            </w:tcMar>
            <w:vAlign w:val="center"/>
          </w:tcPr>
          <w:p w:rsidR="0035701C" w:rsidRDefault="00FB561B">
            <w:pPr>
              <w:spacing w:before="20" w:after="20"/>
              <w:jc w:val="right"/>
              <w:rPr>
                <w:sz w:val="16"/>
              </w:rPr>
            </w:pPr>
            <w:r>
              <w:rPr>
                <w:sz w:val="16"/>
              </w:rPr>
              <w:t>570,55</w:t>
            </w:r>
          </w:p>
        </w:tc>
      </w:tr>
    </w:tbl>
    <w:p w:rsidR="0035701C" w:rsidRDefault="0035701C"/>
    <w:p w:rsidR="0035701C" w:rsidRDefault="00FB561B">
      <w:r>
        <w:t>Indicateur(s) de réalisation prévus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gridCol w:w="2400"/>
        <w:gridCol w:w="2400"/>
      </w:tblGrid>
      <w:tr w:rsidR="0035701C">
        <w:tc>
          <w:tcPr>
            <w:tcW w:w="1750" w:type="pct"/>
            <w:vMerge w:val="restart"/>
            <w:shd w:val="clear" w:color="auto" w:fill="C0C0C0"/>
            <w:tcMar>
              <w:top w:w="60" w:type="dxa"/>
            </w:tcMar>
            <w:vAlign w:val="center"/>
          </w:tcPr>
          <w:p w:rsidR="0035701C" w:rsidRDefault="00FB561B">
            <w:pPr>
              <w:jc w:val="center"/>
              <w:rPr>
                <w:b/>
                <w:sz w:val="20"/>
              </w:rPr>
            </w:pPr>
            <w:r>
              <w:rPr>
                <w:b/>
                <w:sz w:val="20"/>
              </w:rPr>
              <w:t>Nom de la mesure</w:t>
            </w:r>
          </w:p>
        </w:tc>
        <w:tc>
          <w:tcPr>
            <w:tcW w:w="1750" w:type="pct"/>
            <w:vMerge w:val="restart"/>
            <w:shd w:val="clear" w:color="auto" w:fill="C0C0C0"/>
            <w:tcMar>
              <w:top w:w="60" w:type="dxa"/>
            </w:tcMar>
            <w:vAlign w:val="center"/>
          </w:tcPr>
          <w:p w:rsidR="0035701C" w:rsidRDefault="00FB561B">
            <w:pPr>
              <w:jc w:val="center"/>
              <w:rPr>
                <w:b/>
                <w:sz w:val="20"/>
              </w:rPr>
            </w:pPr>
            <w:r>
              <w:rPr>
                <w:b/>
                <w:sz w:val="20"/>
              </w:rPr>
              <w:t>Nom de l'indicateur</w:t>
            </w:r>
          </w:p>
        </w:tc>
        <w:tc>
          <w:tcPr>
            <w:tcW w:w="750" w:type="pct"/>
            <w:vMerge w:val="restart"/>
            <w:shd w:val="clear" w:color="auto" w:fill="C0C0C0"/>
            <w:tcMar>
              <w:top w:w="60" w:type="dxa"/>
            </w:tcMar>
            <w:vAlign w:val="center"/>
          </w:tcPr>
          <w:p w:rsidR="0035701C" w:rsidRDefault="00FB561B">
            <w:pPr>
              <w:jc w:val="center"/>
              <w:rPr>
                <w:b/>
                <w:sz w:val="20"/>
              </w:rPr>
            </w:pPr>
            <w:r>
              <w:rPr>
                <w:b/>
                <w:sz w:val="20"/>
              </w:rPr>
              <w:t>Valeur</w:t>
            </w:r>
          </w:p>
        </w:tc>
        <w:tc>
          <w:tcPr>
            <w:tcW w:w="750" w:type="pct"/>
            <w:vMerge w:val="restart"/>
            <w:shd w:val="clear" w:color="auto" w:fill="C0C0C0"/>
            <w:tcMar>
              <w:top w:w="60" w:type="dxa"/>
            </w:tcMar>
            <w:vAlign w:val="center"/>
          </w:tcPr>
          <w:p w:rsidR="0035701C" w:rsidRDefault="00FB561B">
            <w:pPr>
              <w:jc w:val="center"/>
              <w:rPr>
                <w:sz w:val="20"/>
              </w:rPr>
            </w:pPr>
            <w:r>
              <w:rPr>
                <w:b/>
                <w:sz w:val="20"/>
              </w:rPr>
              <w:t>Dont financés par Next Generation EU</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M01 - Transfert de connaissances et actions d'information (article 14)</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Formation/Acquisition des compétences (1.1) - Nombre de</w:t>
            </w:r>
            <w:r>
              <w:rPr>
                <w:sz w:val="16"/>
              </w:rPr>
              <w:t xml:space="preserve"> participants aux formations</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M01 - Transfert de connaissances et actions d'information (article 14)</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Formation/Acquisition des compétences (1.1) - Total des dépenses publiques</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M01 - Transfert de connaissances et actions d'information </w:t>
            </w:r>
            <w:r>
              <w:rPr>
                <w:b/>
                <w:sz w:val="16"/>
              </w:rPr>
              <w:t>(article 14)</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Total des dépenses publiques (en €) (formations, échanges d'exploitations, démonstrations) (1.1 à 1.3)</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M04 - Investissements physiques (article 17)</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Nombre d'opérations de soutien à des investissements non productifs (4.4)</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M04 -</w:t>
            </w:r>
            <w:r>
              <w:rPr>
                <w:b/>
                <w:sz w:val="16"/>
              </w:rPr>
              <w:t xml:space="preserve"> Investissements physiques (article 17)</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Total des investissements (en €) (publics et privés)</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1 312 500,00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M04 - Investissements physiques (article 17)</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 xml:space="preserve">Total des dépenses publiques (en €) </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1 050 000,00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 xml:space="preserve">M06 - Développement des exploitations agricoles </w:t>
            </w:r>
            <w:r>
              <w:rPr>
                <w:sz w:val="16"/>
              </w:rPr>
              <w:t>et des entreprises (article 19)</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Total des investissements (en €) (publics et privés)</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1 933 333,33</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M06 - Développement des exploitations agricoles et des entreprises (article 19)</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Total des dépenses publiques (en €)</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1 160 000,00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M08 - Investissements dans le développement des zones forestières et amélioration de la viabilité des forêts (articles 21 à 26)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Superficie (ha) à boiser (mise en place - 8.1)</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M08 - Investissements dans le développement des zones forestières et amélioration de la viabilité des forêts (articles 21 à 26)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Total des dépenses publiques (en €) (8.1)</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M08 - Investissements dans le développement des zones forestières et améliora</w:t>
            </w:r>
            <w:r>
              <w:rPr>
                <w:b/>
                <w:sz w:val="16"/>
              </w:rPr>
              <w:t xml:space="preserve">tion de la viabilité des forêts (articles 21 à 26)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Superficie (ha) où des systèmes agroforestiers doivent être mis en place (8.2)</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M08 - Investissements dans le développement des zones forestières et amélioration de la viabilité des forêts (article</w:t>
            </w:r>
            <w:r>
              <w:rPr>
                <w:b/>
                <w:sz w:val="16"/>
              </w:rPr>
              <w:t xml:space="preserve">s 21 à 26)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Total des dépenses publiques (en €) (8.2)</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 xml:space="preserve">M08 - Investissements dans le développement des zones forestières et amélioration de la viabilité des forêts (articles 21 à 26)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Total des dépenses publiques (en €) (8.3)</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sz w:val="16"/>
              </w:rPr>
            </w:pPr>
            <w:r>
              <w:rPr>
                <w:sz w:val="16"/>
              </w:rPr>
              <w:t xml:space="preserve">M08 - Investissements dans le développement des zones forestières et amélioration de la viabilité des forêts (articles 21 à 26) </w:t>
            </w:r>
          </w:p>
        </w:tc>
        <w:tc>
          <w:tcPr>
            <w:tcW w:w="1750" w:type="pct"/>
            <w:shd w:val="clear" w:color="auto" w:fill="FFFFFF"/>
            <w:tcMar>
              <w:top w:w="60" w:type="dxa"/>
            </w:tcMar>
            <w:vAlign w:val="center"/>
          </w:tcPr>
          <w:p w:rsidR="0035701C" w:rsidRDefault="00FB561B">
            <w:pPr>
              <w:spacing w:before="20" w:after="20"/>
              <w:jc w:val="left"/>
              <w:rPr>
                <w:sz w:val="16"/>
              </w:rPr>
            </w:pPr>
            <w:r>
              <w:rPr>
                <w:sz w:val="16"/>
              </w:rPr>
              <w:t>Total des dépenses publiques (en €) (8.4)</w:t>
            </w:r>
          </w:p>
        </w:tc>
        <w:tc>
          <w:tcPr>
            <w:tcW w:w="750" w:type="pc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sz w:val="16"/>
              </w:rPr>
            </w:pPr>
            <w:r>
              <w:rPr>
                <w:sz w:val="16"/>
              </w:rPr>
              <w:t xml:space="preserve">M08 - Investissements dans le développement des zones forestières et amélioration de la viabilité des forêts (articles 21 à 26) </w:t>
            </w:r>
          </w:p>
        </w:tc>
        <w:tc>
          <w:tcPr>
            <w:tcW w:w="1750" w:type="pct"/>
            <w:shd w:val="clear" w:color="auto" w:fill="FFFFFF"/>
            <w:tcMar>
              <w:top w:w="60" w:type="dxa"/>
            </w:tcMar>
            <w:vAlign w:val="center"/>
          </w:tcPr>
          <w:p w:rsidR="0035701C" w:rsidRDefault="00FB561B">
            <w:pPr>
              <w:spacing w:before="20" w:after="20"/>
              <w:jc w:val="left"/>
              <w:rPr>
                <w:sz w:val="16"/>
              </w:rPr>
            </w:pPr>
            <w:r>
              <w:rPr>
                <w:sz w:val="16"/>
              </w:rPr>
              <w:t>Total des dépenses publiques (en €) (8.5)</w:t>
            </w:r>
          </w:p>
        </w:tc>
        <w:tc>
          <w:tcPr>
            <w:tcW w:w="750" w:type="pct"/>
            <w:shd w:val="clear" w:color="auto" w:fill="FFFFFF"/>
            <w:tcMar>
              <w:top w:w="60" w:type="dxa"/>
            </w:tcMar>
            <w:vAlign w:val="center"/>
          </w:tcPr>
          <w:p w:rsidR="0035701C" w:rsidRDefault="00FB561B">
            <w:pPr>
              <w:spacing w:before="20" w:after="20"/>
              <w:jc w:val="right"/>
              <w:rPr>
                <w:sz w:val="16"/>
              </w:rPr>
            </w:pPr>
            <w:r>
              <w:rPr>
                <w:sz w:val="16"/>
              </w:rPr>
              <w:t>580 000,00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M08 - Investissements dans le développement des zones forestières et am</w:t>
            </w:r>
            <w:r>
              <w:rPr>
                <w:b/>
                <w:sz w:val="16"/>
              </w:rPr>
              <w:t xml:space="preserve">élioration de la viabilité des forêts (articles 21 à 26) </w:t>
            </w:r>
          </w:p>
        </w:tc>
        <w:tc>
          <w:tcPr>
            <w:tcW w:w="1750" w:type="pct"/>
            <w:shd w:val="clear" w:color="auto" w:fill="FFFFFF"/>
            <w:tcMar>
              <w:top w:w="60" w:type="dxa"/>
            </w:tcMar>
            <w:vAlign w:val="center"/>
          </w:tcPr>
          <w:p w:rsidR="0035701C" w:rsidRDefault="00FB561B">
            <w:pPr>
              <w:spacing w:before="20" w:after="20"/>
              <w:jc w:val="left"/>
              <w:rPr>
                <w:sz w:val="16"/>
              </w:rPr>
            </w:pPr>
            <w:r>
              <w:rPr>
                <w:sz w:val="16"/>
              </w:rPr>
              <w:t>Nombre d'opérations (investissements améliorant la résilience et la valeur des écosystèmes forestiers) (8.5)</w:t>
            </w:r>
          </w:p>
        </w:tc>
        <w:tc>
          <w:tcPr>
            <w:tcW w:w="750" w:type="pct"/>
            <w:shd w:val="clear" w:color="auto" w:fill="FFFFFF"/>
            <w:tcMar>
              <w:top w:w="60" w:type="dxa"/>
            </w:tcMar>
            <w:vAlign w:val="center"/>
          </w:tcPr>
          <w:p w:rsidR="0035701C" w:rsidRDefault="00FB561B">
            <w:pPr>
              <w:spacing w:before="20" w:after="20"/>
              <w:jc w:val="right"/>
              <w:rPr>
                <w:sz w:val="16"/>
              </w:rPr>
            </w:pPr>
            <w:r>
              <w:rPr>
                <w:sz w:val="16"/>
              </w:rPr>
              <w:t>10,00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sz w:val="16"/>
              </w:rPr>
            </w:pPr>
            <w:r>
              <w:rPr>
                <w:sz w:val="16"/>
              </w:rPr>
              <w:t>M08 - Investissements dans le développement des zones forestières et amélioratio</w:t>
            </w:r>
            <w:r>
              <w:rPr>
                <w:sz w:val="16"/>
              </w:rPr>
              <w:t xml:space="preserve">n de la viabilité des forêts (articles 21 à 26) </w:t>
            </w:r>
          </w:p>
        </w:tc>
        <w:tc>
          <w:tcPr>
            <w:tcW w:w="1750" w:type="pct"/>
            <w:shd w:val="clear" w:color="auto" w:fill="FFFFFF"/>
            <w:tcMar>
              <w:top w:w="60" w:type="dxa"/>
            </w:tcMar>
            <w:vAlign w:val="center"/>
          </w:tcPr>
          <w:p w:rsidR="0035701C" w:rsidRDefault="00FB561B">
            <w:pPr>
              <w:spacing w:before="20" w:after="20"/>
              <w:jc w:val="left"/>
              <w:rPr>
                <w:sz w:val="16"/>
              </w:rPr>
            </w:pPr>
            <w:r>
              <w:rPr>
                <w:sz w:val="16"/>
              </w:rPr>
              <w:t>Total des dépenses publiques (en €) (8.6)</w:t>
            </w:r>
          </w:p>
        </w:tc>
        <w:tc>
          <w:tcPr>
            <w:tcW w:w="750" w:type="pct"/>
            <w:shd w:val="clear" w:color="auto" w:fill="FFFFFF"/>
            <w:tcMar>
              <w:top w:w="60" w:type="dxa"/>
            </w:tcMar>
            <w:vAlign w:val="center"/>
          </w:tcPr>
          <w:p w:rsidR="0035701C" w:rsidRDefault="00FB561B">
            <w:pPr>
              <w:spacing w:before="20" w:after="20"/>
              <w:jc w:val="right"/>
              <w:rPr>
                <w:sz w:val="16"/>
              </w:rPr>
            </w:pPr>
            <w:r>
              <w:rPr>
                <w:sz w:val="16"/>
              </w:rPr>
              <w:t>1 740 000,00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bl>
    <w:p w:rsidR="0035701C" w:rsidRDefault="0035701C">
      <w:pPr>
        <w:sectPr w:rsidR="0035701C">
          <w:pgSz w:w="12240" w:h="15840"/>
          <w:pgMar w:top="900" w:right="900" w:bottom="900" w:left="900" w:header="720" w:footer="720" w:gutter="0"/>
          <w:cols w:space="720"/>
        </w:sectPr>
      </w:pPr>
    </w:p>
    <w:p w:rsidR="0035701C" w:rsidRDefault="00FB561B">
      <w:pPr>
        <w:pStyle w:val="Titre3"/>
        <w:jc w:val="left"/>
      </w:pPr>
      <w:bookmarkStart w:id="144" w:name="_Toc256000143"/>
      <w:r>
        <w:t>P6: promouvoir l'inclusion sociale, la réduction de la pauvreté et le développement économique dans les zones rurales</w:t>
      </w:r>
      <w:bookmarkEnd w:id="144"/>
    </w:p>
    <w:p w:rsidR="0035701C" w:rsidRDefault="00FB561B">
      <w:pPr>
        <w:pStyle w:val="Titre4"/>
        <w:jc w:val="left"/>
      </w:pPr>
      <w:r>
        <w:t xml:space="preserve">6A) Faciliter la </w:t>
      </w:r>
      <w:r>
        <w:t>diversification, la création et le développement de petites entreprises ainsi que la création d'emplois</w:t>
      </w:r>
    </w:p>
    <w:p w:rsidR="0035701C" w:rsidRDefault="00FB561B">
      <w:r>
        <w:t>Indicateur(s) cible(s)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750" w:type="pct"/>
            <w:shd w:val="clear" w:color="auto" w:fill="C0C0C0"/>
            <w:tcMar>
              <w:top w:w="60" w:type="dxa"/>
            </w:tcMar>
            <w:vAlign w:val="center"/>
          </w:tcPr>
          <w:p w:rsidR="0035701C" w:rsidRDefault="00FB561B">
            <w:pPr>
              <w:jc w:val="center"/>
              <w:rPr>
                <w:b/>
                <w:sz w:val="20"/>
              </w:rPr>
            </w:pPr>
            <w:r>
              <w:rPr>
                <w:b/>
                <w:sz w:val="20"/>
              </w:rPr>
              <w:t>Nom de l'indicateur cible</w:t>
            </w:r>
          </w:p>
        </w:tc>
        <w:tc>
          <w:tcPr>
            <w:tcW w:w="750" w:type="pct"/>
            <w:shd w:val="clear" w:color="auto" w:fill="C0C0C0"/>
            <w:tcMar>
              <w:top w:w="60" w:type="dxa"/>
            </w:tcMar>
            <w:vAlign w:val="center"/>
          </w:tcPr>
          <w:p w:rsidR="0035701C" w:rsidRDefault="00FB561B">
            <w:pPr>
              <w:jc w:val="center"/>
              <w:rPr>
                <w:sz w:val="20"/>
              </w:rPr>
            </w:pPr>
            <w:r>
              <w:rPr>
                <w:b/>
                <w:sz w:val="20"/>
              </w:rPr>
              <w:t>Valeur cible pour 2025</w:t>
            </w:r>
          </w:p>
        </w:tc>
      </w:tr>
      <w:tr w:rsidR="0035701C">
        <w:tc>
          <w:tcPr>
            <w:tcW w:w="4000" w:type="pct"/>
            <w:shd w:val="clear" w:color="auto" w:fill="FFFFFF"/>
            <w:tcMar>
              <w:top w:w="60" w:type="dxa"/>
            </w:tcMar>
            <w:vAlign w:val="center"/>
          </w:tcPr>
          <w:p w:rsidR="0035701C" w:rsidRDefault="00FB561B">
            <w:pPr>
              <w:spacing w:before="20" w:after="20"/>
              <w:jc w:val="left"/>
              <w:rPr>
                <w:b/>
                <w:sz w:val="16"/>
              </w:rPr>
            </w:pPr>
            <w:r>
              <w:rPr>
                <w:b/>
                <w:sz w:val="16"/>
              </w:rPr>
              <w:t>T20: emplois créés dans les projets soutenus (domaine prioritaire 6A)</w:t>
            </w:r>
          </w:p>
        </w:tc>
        <w:tc>
          <w:tcPr>
            <w:tcW w:w="1000" w:type="pct"/>
            <w:shd w:val="clear" w:color="auto" w:fill="FFFFFF"/>
            <w:tcMar>
              <w:top w:w="60" w:type="dxa"/>
            </w:tcMar>
            <w:vAlign w:val="center"/>
          </w:tcPr>
          <w:p w:rsidR="0035701C" w:rsidRDefault="00FB561B">
            <w:pPr>
              <w:spacing w:before="20" w:after="20"/>
              <w:jc w:val="right"/>
              <w:rPr>
                <w:b/>
                <w:sz w:val="16"/>
              </w:rPr>
            </w:pPr>
            <w:r>
              <w:rPr>
                <w:b/>
                <w:sz w:val="16"/>
              </w:rPr>
              <w:t>8,00</w:t>
            </w:r>
          </w:p>
        </w:tc>
      </w:tr>
    </w:tbl>
    <w:p w:rsidR="0035701C" w:rsidRDefault="0035701C">
      <w:pPr>
        <w:jc w:val="center"/>
        <w:rPr>
          <w:sz w:val="16"/>
        </w:rPr>
      </w:pPr>
    </w:p>
    <w:p w:rsidR="0035701C" w:rsidRDefault="00FB561B">
      <w:r>
        <w:t>Indicateur(s) de réalisation prévus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gridCol w:w="2400"/>
        <w:gridCol w:w="2400"/>
      </w:tblGrid>
      <w:tr w:rsidR="0035701C">
        <w:tc>
          <w:tcPr>
            <w:tcW w:w="1750" w:type="pct"/>
            <w:shd w:val="clear" w:color="auto" w:fill="C0C0C0"/>
            <w:tcMar>
              <w:top w:w="60" w:type="dxa"/>
            </w:tcMar>
            <w:vAlign w:val="center"/>
          </w:tcPr>
          <w:p w:rsidR="0035701C" w:rsidRDefault="00FB561B">
            <w:pPr>
              <w:jc w:val="center"/>
              <w:rPr>
                <w:b/>
                <w:sz w:val="20"/>
              </w:rPr>
            </w:pPr>
            <w:r>
              <w:rPr>
                <w:b/>
                <w:sz w:val="20"/>
              </w:rPr>
              <w:t>Nom de la mesure</w:t>
            </w:r>
          </w:p>
        </w:tc>
        <w:tc>
          <w:tcPr>
            <w:tcW w:w="1750" w:type="pct"/>
            <w:shd w:val="clear" w:color="auto" w:fill="C0C0C0"/>
            <w:tcMar>
              <w:top w:w="60" w:type="dxa"/>
            </w:tcMar>
            <w:vAlign w:val="center"/>
          </w:tcPr>
          <w:p w:rsidR="0035701C" w:rsidRDefault="00FB561B">
            <w:pPr>
              <w:jc w:val="center"/>
              <w:rPr>
                <w:b/>
                <w:sz w:val="20"/>
              </w:rPr>
            </w:pPr>
            <w:r>
              <w:rPr>
                <w:b/>
                <w:sz w:val="20"/>
              </w:rPr>
              <w:t>Nom de l'indicateur</w:t>
            </w:r>
          </w:p>
        </w:tc>
        <w:tc>
          <w:tcPr>
            <w:tcW w:w="750" w:type="pct"/>
            <w:shd w:val="clear" w:color="auto" w:fill="C0C0C0"/>
            <w:tcMar>
              <w:top w:w="60" w:type="dxa"/>
            </w:tcMar>
            <w:vAlign w:val="center"/>
          </w:tcPr>
          <w:p w:rsidR="0035701C" w:rsidRDefault="00FB561B">
            <w:pPr>
              <w:jc w:val="center"/>
              <w:rPr>
                <w:b/>
                <w:sz w:val="20"/>
              </w:rPr>
            </w:pPr>
            <w:r>
              <w:rPr>
                <w:b/>
                <w:sz w:val="20"/>
              </w:rPr>
              <w:t>Valeur</w:t>
            </w:r>
          </w:p>
        </w:tc>
        <w:tc>
          <w:tcPr>
            <w:tcW w:w="750" w:type="pct"/>
            <w:shd w:val="clear" w:color="auto" w:fill="C0C0C0"/>
            <w:tcMar>
              <w:top w:w="60" w:type="dxa"/>
            </w:tcMar>
            <w:vAlign w:val="center"/>
          </w:tcPr>
          <w:p w:rsidR="0035701C" w:rsidRDefault="00FB561B">
            <w:pPr>
              <w:jc w:val="center"/>
              <w:rPr>
                <w:sz w:val="20"/>
              </w:rPr>
            </w:pPr>
            <w:r>
              <w:rPr>
                <w:b/>
                <w:sz w:val="20"/>
              </w:rPr>
              <w:t>Dont financés par Next Generation EU</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M06 - Développement des exploitations agricoles et des entreprises (article 19)</w:t>
            </w:r>
          </w:p>
        </w:tc>
        <w:tc>
          <w:tcPr>
            <w:tcW w:w="1750" w:type="pct"/>
            <w:shd w:val="clear" w:color="auto" w:fill="FFFFFF"/>
            <w:tcMar>
              <w:top w:w="60" w:type="dxa"/>
            </w:tcMar>
            <w:vAlign w:val="center"/>
          </w:tcPr>
          <w:p w:rsidR="0035701C" w:rsidRDefault="00FB561B">
            <w:pPr>
              <w:spacing w:before="20" w:after="20"/>
              <w:jc w:val="left"/>
              <w:rPr>
                <w:sz w:val="16"/>
              </w:rPr>
            </w:pPr>
            <w:r>
              <w:rPr>
                <w:sz w:val="16"/>
              </w:rPr>
              <w:t xml:space="preserve">Nombre de bénéficiaires (exploitations) </w:t>
            </w:r>
            <w:r>
              <w:rPr>
                <w:sz w:val="16"/>
              </w:rPr>
              <w:t>percevant l'aide au démarrage d'entreprises/un soutien à l'investissement dans des activités non agricoles dans des zones rurales (6.2 et 6.4)</w:t>
            </w:r>
          </w:p>
        </w:tc>
        <w:tc>
          <w:tcPr>
            <w:tcW w:w="750" w:type="pct"/>
            <w:shd w:val="clear" w:color="auto" w:fill="FFFFFF"/>
            <w:tcMar>
              <w:top w:w="60" w:type="dxa"/>
            </w:tcMar>
            <w:vAlign w:val="center"/>
          </w:tcPr>
          <w:p w:rsidR="0035701C" w:rsidRDefault="00FB561B">
            <w:pPr>
              <w:spacing w:before="20" w:after="20"/>
              <w:jc w:val="right"/>
              <w:rPr>
                <w:sz w:val="16"/>
              </w:rPr>
            </w:pPr>
            <w:r>
              <w:rPr>
                <w:sz w:val="16"/>
              </w:rPr>
              <w:t>10,00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M06 - Développement des exploitations agricoles et des entreprises (article 19)</w:t>
            </w:r>
          </w:p>
        </w:tc>
        <w:tc>
          <w:tcPr>
            <w:tcW w:w="1750" w:type="pct"/>
            <w:shd w:val="clear" w:color="auto" w:fill="FFFFFF"/>
            <w:tcMar>
              <w:top w:w="60" w:type="dxa"/>
            </w:tcMar>
            <w:vAlign w:val="center"/>
          </w:tcPr>
          <w:p w:rsidR="0035701C" w:rsidRDefault="00FB561B">
            <w:pPr>
              <w:spacing w:before="20" w:after="20"/>
              <w:jc w:val="left"/>
              <w:rPr>
                <w:sz w:val="16"/>
              </w:rPr>
            </w:pPr>
            <w:r>
              <w:rPr>
                <w:sz w:val="16"/>
              </w:rPr>
              <w:t xml:space="preserve">Total des </w:t>
            </w:r>
            <w:r>
              <w:rPr>
                <w:sz w:val="16"/>
              </w:rPr>
              <w:t>investissements (en €) (publics et privés)</w:t>
            </w:r>
          </w:p>
        </w:tc>
        <w:tc>
          <w:tcPr>
            <w:tcW w:w="750" w:type="pct"/>
            <w:shd w:val="clear" w:color="auto" w:fill="FFFFFF"/>
            <w:tcMar>
              <w:top w:w="60" w:type="dxa"/>
            </w:tcMar>
            <w:vAlign w:val="center"/>
          </w:tcPr>
          <w:p w:rsidR="0035701C" w:rsidRDefault="00FB561B">
            <w:pPr>
              <w:spacing w:before="20" w:after="20"/>
              <w:jc w:val="right"/>
              <w:rPr>
                <w:sz w:val="16"/>
              </w:rPr>
            </w:pPr>
            <w:r>
              <w:rPr>
                <w:sz w:val="16"/>
              </w:rPr>
              <w:t>6 450 909,09</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M06 - Développement des exploitations agricoles et des entreprises (article 19)</w:t>
            </w:r>
          </w:p>
        </w:tc>
        <w:tc>
          <w:tcPr>
            <w:tcW w:w="1750" w:type="pct"/>
            <w:shd w:val="clear" w:color="auto" w:fill="FFFFFF"/>
            <w:tcMar>
              <w:top w:w="60" w:type="dxa"/>
            </w:tcMar>
            <w:vAlign w:val="center"/>
          </w:tcPr>
          <w:p w:rsidR="0035701C" w:rsidRDefault="00FB561B">
            <w:pPr>
              <w:spacing w:before="20" w:after="20"/>
              <w:jc w:val="left"/>
              <w:rPr>
                <w:sz w:val="16"/>
              </w:rPr>
            </w:pPr>
            <w:r>
              <w:rPr>
                <w:sz w:val="16"/>
              </w:rPr>
              <w:t>Total des dépenses publiques (en €)</w:t>
            </w:r>
          </w:p>
        </w:tc>
        <w:tc>
          <w:tcPr>
            <w:tcW w:w="750" w:type="pct"/>
            <w:shd w:val="clear" w:color="auto" w:fill="FFFFFF"/>
            <w:tcMar>
              <w:top w:w="60" w:type="dxa"/>
            </w:tcMar>
            <w:vAlign w:val="center"/>
          </w:tcPr>
          <w:p w:rsidR="0035701C" w:rsidRDefault="00FB561B">
            <w:pPr>
              <w:spacing w:before="20" w:after="20"/>
              <w:jc w:val="right"/>
              <w:rPr>
                <w:sz w:val="16"/>
              </w:rPr>
            </w:pPr>
            <w:r>
              <w:rPr>
                <w:sz w:val="16"/>
              </w:rPr>
              <w:t>3 400 000,00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bl>
    <w:p w:rsidR="0035701C" w:rsidRDefault="0035701C">
      <w:pPr>
        <w:sectPr w:rsidR="0035701C">
          <w:pgSz w:w="12240" w:h="15840"/>
          <w:pgMar w:top="900" w:right="900" w:bottom="900" w:left="900" w:header="720" w:footer="720" w:gutter="0"/>
          <w:cols w:space="720"/>
        </w:sectPr>
      </w:pPr>
    </w:p>
    <w:p w:rsidR="0035701C" w:rsidRDefault="00FB561B">
      <w:pPr>
        <w:pStyle w:val="Titre4"/>
        <w:jc w:val="left"/>
      </w:pPr>
      <w:r>
        <w:t>6B) Promouvoir le développement local dans les zones ru</w:t>
      </w:r>
      <w:r>
        <w:t>rales</w:t>
      </w:r>
    </w:p>
    <w:p w:rsidR="0035701C" w:rsidRDefault="00FB561B">
      <w:r>
        <w:t>Indicateur(s) cible(s)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750" w:type="pct"/>
            <w:vMerge w:val="restart"/>
            <w:shd w:val="clear" w:color="auto" w:fill="C0C0C0"/>
            <w:tcMar>
              <w:top w:w="60" w:type="dxa"/>
            </w:tcMar>
            <w:vAlign w:val="center"/>
          </w:tcPr>
          <w:p w:rsidR="0035701C" w:rsidRDefault="00FB561B">
            <w:pPr>
              <w:jc w:val="center"/>
              <w:rPr>
                <w:b/>
                <w:sz w:val="20"/>
              </w:rPr>
            </w:pPr>
            <w:r>
              <w:rPr>
                <w:b/>
                <w:sz w:val="20"/>
              </w:rPr>
              <w:t>Nom de l'indicateur cible</w:t>
            </w:r>
          </w:p>
        </w:tc>
        <w:tc>
          <w:tcPr>
            <w:tcW w:w="750" w:type="pct"/>
            <w:vMerge w:val="restart"/>
            <w:shd w:val="clear" w:color="auto" w:fill="C0C0C0"/>
            <w:tcMar>
              <w:top w:w="60" w:type="dxa"/>
            </w:tcMar>
            <w:vAlign w:val="center"/>
          </w:tcPr>
          <w:p w:rsidR="0035701C" w:rsidRDefault="00FB561B">
            <w:pPr>
              <w:jc w:val="center"/>
              <w:rPr>
                <w:sz w:val="20"/>
              </w:rPr>
            </w:pPr>
            <w:r>
              <w:rPr>
                <w:b/>
                <w:sz w:val="20"/>
              </w:rPr>
              <w:t>Valeur cible pour 2025</w:t>
            </w:r>
          </w:p>
        </w:tc>
      </w:tr>
      <w:tr w:rsidR="0035701C">
        <w:tc>
          <w:tcPr>
            <w:tcW w:w="4000" w:type="pct"/>
            <w:vMerge w:val="restart"/>
            <w:shd w:val="clear" w:color="auto" w:fill="FFFFFF"/>
            <w:tcMar>
              <w:top w:w="60" w:type="dxa"/>
            </w:tcMar>
            <w:vAlign w:val="center"/>
          </w:tcPr>
          <w:p w:rsidR="0035701C" w:rsidRDefault="00FB561B">
            <w:pPr>
              <w:spacing w:before="20" w:after="20"/>
              <w:jc w:val="left"/>
              <w:rPr>
                <w:b/>
                <w:sz w:val="16"/>
              </w:rPr>
            </w:pPr>
            <w:r>
              <w:rPr>
                <w:b/>
                <w:sz w:val="16"/>
              </w:rPr>
              <w:t>T21: pourcentage de la population rurale concernée par les stratégies de développement local (domaine prioritaire 6B)</w:t>
            </w:r>
          </w:p>
        </w:tc>
        <w:tc>
          <w:tcPr>
            <w:tcW w:w="1000" w:type="pct"/>
            <w:vMerge w:val="restart"/>
            <w:shd w:val="clear" w:color="auto" w:fill="FFFFFF"/>
            <w:tcMar>
              <w:top w:w="60" w:type="dxa"/>
            </w:tcMar>
            <w:vAlign w:val="center"/>
          </w:tcPr>
          <w:p w:rsidR="0035701C" w:rsidRDefault="00FB561B">
            <w:pPr>
              <w:spacing w:before="20" w:after="20"/>
              <w:jc w:val="right"/>
              <w:rPr>
                <w:b/>
                <w:sz w:val="16"/>
              </w:rPr>
            </w:pPr>
            <w:r>
              <w:rPr>
                <w:b/>
                <w:sz w:val="16"/>
              </w:rPr>
              <w:t>53,70</w:t>
            </w:r>
          </w:p>
        </w:tc>
      </w:tr>
      <w:tr w:rsidR="0035701C">
        <w:tc>
          <w:tcPr>
            <w:tcW w:w="4000" w:type="pct"/>
            <w:shd w:val="clear" w:color="auto" w:fill="FFFFFF"/>
            <w:tcMar>
              <w:top w:w="60" w:type="dxa"/>
            </w:tcMar>
            <w:vAlign w:val="center"/>
          </w:tcPr>
          <w:p w:rsidR="0035701C" w:rsidRDefault="00FB561B">
            <w:pPr>
              <w:spacing w:before="20" w:after="20"/>
              <w:jc w:val="left"/>
              <w:rPr>
                <w:sz w:val="16"/>
              </w:rPr>
            </w:pPr>
            <w:r>
              <w:rPr>
                <w:sz w:val="16"/>
              </w:rPr>
              <w:t xml:space="preserve">Population rurale concernée par les </w:t>
            </w:r>
            <w:r>
              <w:rPr>
                <w:sz w:val="16"/>
              </w:rPr>
              <w:t>stratégies de développement local (domaine prioritaire 6B)</w:t>
            </w:r>
          </w:p>
        </w:tc>
        <w:tc>
          <w:tcPr>
            <w:tcW w:w="1000" w:type="pct"/>
            <w:shd w:val="clear" w:color="auto" w:fill="FFFFFF"/>
            <w:tcMar>
              <w:top w:w="60" w:type="dxa"/>
            </w:tcMar>
            <w:vAlign w:val="center"/>
          </w:tcPr>
          <w:p w:rsidR="0035701C" w:rsidRDefault="00FB561B">
            <w:pPr>
              <w:spacing w:before="20" w:after="20"/>
              <w:jc w:val="right"/>
              <w:rPr>
                <w:sz w:val="16"/>
              </w:rPr>
            </w:pPr>
            <w:r>
              <w:rPr>
                <w:sz w:val="16"/>
              </w:rPr>
              <w:t>170 000,00</w:t>
            </w:r>
          </w:p>
        </w:tc>
      </w:tr>
      <w:tr w:rsidR="0035701C">
        <w:tc>
          <w:tcPr>
            <w:tcW w:w="4000" w:type="pct"/>
            <w:shd w:val="clear" w:color="auto" w:fill="FFFFFF"/>
            <w:tcMar>
              <w:top w:w="60" w:type="dxa"/>
            </w:tcMar>
            <w:vAlign w:val="center"/>
          </w:tcPr>
          <w:p w:rsidR="0035701C" w:rsidRDefault="00FB561B">
            <w:pPr>
              <w:spacing w:before="20" w:after="20"/>
              <w:jc w:val="left"/>
              <w:rPr>
                <w:b/>
                <w:sz w:val="16"/>
              </w:rPr>
            </w:pPr>
            <w:r>
              <w:rPr>
                <w:b/>
                <w:sz w:val="16"/>
              </w:rPr>
              <w:t>T22: pourcentage de la population rurale bénéficiant de meilleurs services/infrastructures (domaine prioritaire 6B)</w:t>
            </w:r>
          </w:p>
        </w:tc>
        <w:tc>
          <w:tcPr>
            <w:tcW w:w="1000" w:type="pct"/>
            <w:shd w:val="clear" w:color="auto" w:fill="FFFFFF"/>
            <w:tcMar>
              <w:top w:w="60" w:type="dxa"/>
            </w:tcMar>
            <w:vAlign w:val="center"/>
          </w:tcPr>
          <w:p w:rsidR="0035701C" w:rsidRDefault="00FB561B">
            <w:pPr>
              <w:spacing w:before="20" w:after="20"/>
              <w:jc w:val="right"/>
              <w:rPr>
                <w:b/>
                <w:sz w:val="16"/>
              </w:rPr>
            </w:pPr>
            <w:r>
              <w:rPr>
                <w:b/>
                <w:sz w:val="16"/>
              </w:rPr>
              <w:t>6,68</w:t>
            </w:r>
          </w:p>
        </w:tc>
      </w:tr>
      <w:tr w:rsidR="0035701C">
        <w:tc>
          <w:tcPr>
            <w:tcW w:w="4000" w:type="pct"/>
            <w:shd w:val="clear" w:color="auto" w:fill="FFFFFF"/>
            <w:tcMar>
              <w:top w:w="60" w:type="dxa"/>
            </w:tcMar>
            <w:vAlign w:val="center"/>
          </w:tcPr>
          <w:p w:rsidR="0035701C" w:rsidRDefault="00FB561B">
            <w:pPr>
              <w:spacing w:before="20" w:after="20"/>
              <w:jc w:val="left"/>
              <w:rPr>
                <w:b/>
                <w:sz w:val="16"/>
              </w:rPr>
            </w:pPr>
            <w:r>
              <w:rPr>
                <w:b/>
                <w:sz w:val="16"/>
              </w:rPr>
              <w:t xml:space="preserve">T23: emplois créés dans les projets soutenus (Leader) (domaine </w:t>
            </w:r>
            <w:r>
              <w:rPr>
                <w:b/>
                <w:sz w:val="16"/>
              </w:rPr>
              <w:t>prioritaire 6B)</w:t>
            </w:r>
          </w:p>
        </w:tc>
        <w:tc>
          <w:tcPr>
            <w:tcW w:w="1000" w:type="pct"/>
            <w:shd w:val="clear" w:color="auto" w:fill="FFFFFF"/>
            <w:tcMar>
              <w:top w:w="60" w:type="dxa"/>
            </w:tcMar>
            <w:vAlign w:val="center"/>
          </w:tcPr>
          <w:p w:rsidR="0035701C" w:rsidRDefault="00FB561B">
            <w:pPr>
              <w:spacing w:before="20" w:after="20"/>
              <w:jc w:val="right"/>
              <w:rPr>
                <w:b/>
                <w:sz w:val="16"/>
              </w:rPr>
            </w:pPr>
            <w:r>
              <w:rPr>
                <w:b/>
                <w:sz w:val="16"/>
              </w:rPr>
              <w:t>12,00</w:t>
            </w:r>
          </w:p>
        </w:tc>
      </w:tr>
      <w:tr w:rsidR="0035701C">
        <w:tc>
          <w:tcPr>
            <w:tcW w:w="4000" w:type="pct"/>
            <w:shd w:val="clear" w:color="auto" w:fill="FFFFFF"/>
            <w:tcMar>
              <w:top w:w="60" w:type="dxa"/>
            </w:tcMar>
            <w:vAlign w:val="center"/>
          </w:tcPr>
          <w:p w:rsidR="0035701C" w:rsidRDefault="00FB561B">
            <w:pPr>
              <w:spacing w:before="20" w:after="20"/>
              <w:jc w:val="left"/>
              <w:rPr>
                <w:sz w:val="16"/>
              </w:rPr>
            </w:pPr>
            <w:r>
              <w:rPr>
                <w:sz w:val="16"/>
              </w:rPr>
              <w:t>Population nette bénéficiant de meilleurs services</w:t>
            </w:r>
          </w:p>
        </w:tc>
        <w:tc>
          <w:tcPr>
            <w:tcW w:w="1000" w:type="pct"/>
            <w:shd w:val="clear" w:color="auto" w:fill="FFFFFF"/>
            <w:tcMar>
              <w:top w:w="60" w:type="dxa"/>
            </w:tcMar>
            <w:vAlign w:val="center"/>
          </w:tcPr>
          <w:p w:rsidR="0035701C" w:rsidRDefault="00FB561B">
            <w:pPr>
              <w:spacing w:before="20" w:after="20"/>
              <w:jc w:val="right"/>
              <w:rPr>
                <w:sz w:val="16"/>
              </w:rPr>
            </w:pPr>
            <w:r>
              <w:rPr>
                <w:sz w:val="16"/>
              </w:rPr>
              <w:t>21 138,00</w:t>
            </w:r>
          </w:p>
        </w:tc>
      </w:tr>
    </w:tbl>
    <w:p w:rsidR="0035701C" w:rsidRDefault="0035701C">
      <w:pPr>
        <w:jc w:val="center"/>
        <w:rPr>
          <w:sz w:val="16"/>
        </w:rPr>
      </w:pPr>
    </w:p>
    <w:p w:rsidR="0035701C" w:rsidRDefault="00FB561B">
      <w:r>
        <w:t>Indicateur contextuel utilisé comme dénominateur pour la valeur cible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4000" w:type="pct"/>
            <w:shd w:val="clear" w:color="auto" w:fill="C0C0C0"/>
            <w:tcMar>
              <w:top w:w="60" w:type="dxa"/>
            </w:tcMar>
            <w:vAlign w:val="center"/>
          </w:tcPr>
          <w:p w:rsidR="0035701C" w:rsidRDefault="00FB561B">
            <w:pPr>
              <w:jc w:val="center"/>
              <w:rPr>
                <w:b/>
                <w:sz w:val="20"/>
              </w:rPr>
            </w:pPr>
            <w:r>
              <w:rPr>
                <w:b/>
                <w:sz w:val="20"/>
              </w:rPr>
              <w:t>Nom de l'indicateur contextuel</w:t>
            </w:r>
          </w:p>
        </w:tc>
        <w:tc>
          <w:tcPr>
            <w:tcW w:w="1000" w:type="pct"/>
            <w:shd w:val="clear" w:color="auto" w:fill="C0C0C0"/>
            <w:tcMar>
              <w:top w:w="60" w:type="dxa"/>
            </w:tcMar>
            <w:vAlign w:val="center"/>
          </w:tcPr>
          <w:p w:rsidR="0035701C" w:rsidRDefault="00FB561B">
            <w:pPr>
              <w:jc w:val="center"/>
              <w:rPr>
                <w:sz w:val="20"/>
              </w:rPr>
            </w:pPr>
            <w:r>
              <w:rPr>
                <w:b/>
                <w:sz w:val="20"/>
              </w:rPr>
              <w:t>Valeur de l'année de base</w:t>
            </w:r>
          </w:p>
        </w:tc>
      </w:tr>
      <w:tr w:rsidR="0035701C">
        <w:tc>
          <w:tcPr>
            <w:tcW w:w="1000" w:type="pct"/>
            <w:shd w:val="clear" w:color="auto" w:fill="FFFFFF"/>
            <w:tcMar>
              <w:top w:w="60" w:type="dxa"/>
            </w:tcMar>
            <w:vAlign w:val="center"/>
          </w:tcPr>
          <w:p w:rsidR="0035701C" w:rsidRDefault="00FB561B">
            <w:pPr>
              <w:spacing w:before="20" w:after="20"/>
              <w:jc w:val="left"/>
              <w:rPr>
                <w:sz w:val="16"/>
              </w:rPr>
            </w:pPr>
            <w:r>
              <w:rPr>
                <w:sz w:val="16"/>
              </w:rPr>
              <w:t>1 Population - totale</w:t>
            </w:r>
          </w:p>
        </w:tc>
        <w:tc>
          <w:tcPr>
            <w:tcW w:w="1000" w:type="pct"/>
            <w:shd w:val="clear" w:color="auto" w:fill="FFFFFF"/>
            <w:tcMar>
              <w:top w:w="60" w:type="dxa"/>
            </w:tcMar>
            <w:vAlign w:val="center"/>
          </w:tcPr>
          <w:p w:rsidR="0035701C" w:rsidRDefault="00FB561B">
            <w:pPr>
              <w:spacing w:before="20" w:after="20"/>
              <w:jc w:val="right"/>
              <w:rPr>
                <w:sz w:val="16"/>
              </w:rPr>
            </w:pPr>
            <w:r>
              <w:rPr>
                <w:sz w:val="16"/>
              </w:rPr>
              <w:t>316 578,00</w:t>
            </w:r>
          </w:p>
        </w:tc>
      </w:tr>
      <w:tr w:rsidR="0035701C">
        <w:tc>
          <w:tcPr>
            <w:tcW w:w="1000" w:type="pct"/>
            <w:shd w:val="clear" w:color="auto" w:fill="FFFFFF"/>
            <w:tcMar>
              <w:top w:w="60" w:type="dxa"/>
            </w:tcMar>
            <w:vAlign w:val="center"/>
          </w:tcPr>
          <w:p w:rsidR="0035701C" w:rsidRDefault="00FB561B">
            <w:pPr>
              <w:spacing w:before="20" w:after="20"/>
              <w:jc w:val="left"/>
              <w:rPr>
                <w:sz w:val="16"/>
              </w:rPr>
            </w:pPr>
            <w:r>
              <w:rPr>
                <w:sz w:val="16"/>
              </w:rPr>
              <w:t xml:space="preserve">1 </w:t>
            </w:r>
            <w:r>
              <w:rPr>
                <w:sz w:val="16"/>
              </w:rPr>
              <w:t>Population - zones rurales</w:t>
            </w:r>
          </w:p>
        </w:tc>
        <w:tc>
          <w:tcPr>
            <w:tcW w:w="1000" w:type="pct"/>
            <w:shd w:val="clear" w:color="auto" w:fill="FFFFFF"/>
            <w:tcMar>
              <w:top w:w="60" w:type="dxa"/>
            </w:tcMar>
            <w:vAlign w:val="center"/>
          </w:tcPr>
          <w:p w:rsidR="0035701C" w:rsidRDefault="00FB561B">
            <w:pPr>
              <w:spacing w:before="20" w:after="20"/>
              <w:jc w:val="right"/>
              <w:rPr>
                <w:sz w:val="16"/>
              </w:rPr>
            </w:pPr>
            <w:r>
              <w:rPr>
                <w:sz w:val="16"/>
              </w:rPr>
              <w:t>100,00</w:t>
            </w:r>
          </w:p>
        </w:tc>
      </w:tr>
      <w:tr w:rsidR="0035701C">
        <w:tc>
          <w:tcPr>
            <w:tcW w:w="1000" w:type="pct"/>
            <w:shd w:val="clear" w:color="auto" w:fill="FFFFFF"/>
            <w:tcMar>
              <w:top w:w="60" w:type="dxa"/>
            </w:tcMar>
            <w:vAlign w:val="center"/>
          </w:tcPr>
          <w:p w:rsidR="0035701C" w:rsidRDefault="00FB561B">
            <w:pPr>
              <w:spacing w:before="20" w:after="20"/>
              <w:jc w:val="left"/>
              <w:rPr>
                <w:sz w:val="16"/>
              </w:rPr>
            </w:pPr>
            <w:r>
              <w:rPr>
                <w:sz w:val="16"/>
              </w:rPr>
              <w:t>1 Population - zones intermédiaires</w:t>
            </w:r>
          </w:p>
        </w:tc>
        <w:tc>
          <w:tcPr>
            <w:tcW w:w="1000" w:type="pct"/>
            <w:shd w:val="clear" w:color="auto" w:fill="FFFFFF"/>
            <w:tcMar>
              <w:top w:w="60" w:type="dxa"/>
            </w:tcMar>
            <w:vAlign w:val="center"/>
          </w:tcPr>
          <w:p w:rsidR="0035701C" w:rsidRDefault="00FB561B">
            <w:pPr>
              <w:spacing w:before="20" w:after="20"/>
              <w:jc w:val="right"/>
              <w:rPr>
                <w:sz w:val="16"/>
              </w:rPr>
            </w:pPr>
            <w:r>
              <w:rPr>
                <w:sz w:val="16"/>
              </w:rPr>
              <w:t>0,00</w:t>
            </w:r>
          </w:p>
        </w:tc>
      </w:tr>
    </w:tbl>
    <w:p w:rsidR="0035701C" w:rsidRDefault="0035701C"/>
    <w:p w:rsidR="0035701C" w:rsidRDefault="00FB561B">
      <w:r>
        <w:t>Indicateur(s) de réalisation prévus 2014-2022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gridCol w:w="2400"/>
        <w:gridCol w:w="2400"/>
      </w:tblGrid>
      <w:tr w:rsidR="0035701C">
        <w:tc>
          <w:tcPr>
            <w:tcW w:w="1750" w:type="pct"/>
            <w:vMerge w:val="restart"/>
            <w:shd w:val="clear" w:color="auto" w:fill="C0C0C0"/>
            <w:tcMar>
              <w:top w:w="60" w:type="dxa"/>
            </w:tcMar>
            <w:vAlign w:val="center"/>
          </w:tcPr>
          <w:p w:rsidR="0035701C" w:rsidRDefault="00FB561B">
            <w:pPr>
              <w:jc w:val="center"/>
              <w:rPr>
                <w:b/>
                <w:sz w:val="20"/>
              </w:rPr>
            </w:pPr>
            <w:r>
              <w:rPr>
                <w:b/>
                <w:sz w:val="20"/>
              </w:rPr>
              <w:t>Nom de la mesure</w:t>
            </w:r>
          </w:p>
        </w:tc>
        <w:tc>
          <w:tcPr>
            <w:tcW w:w="1750" w:type="pct"/>
            <w:vMerge w:val="restart"/>
            <w:shd w:val="clear" w:color="auto" w:fill="C0C0C0"/>
            <w:tcMar>
              <w:top w:w="60" w:type="dxa"/>
            </w:tcMar>
            <w:vAlign w:val="center"/>
          </w:tcPr>
          <w:p w:rsidR="0035701C" w:rsidRDefault="00FB561B">
            <w:pPr>
              <w:jc w:val="center"/>
              <w:rPr>
                <w:b/>
                <w:sz w:val="20"/>
              </w:rPr>
            </w:pPr>
            <w:r>
              <w:rPr>
                <w:b/>
                <w:sz w:val="20"/>
              </w:rPr>
              <w:t>Nom de l'indicateur</w:t>
            </w:r>
          </w:p>
        </w:tc>
        <w:tc>
          <w:tcPr>
            <w:tcW w:w="750" w:type="pct"/>
            <w:vMerge w:val="restart"/>
            <w:shd w:val="clear" w:color="auto" w:fill="C0C0C0"/>
            <w:tcMar>
              <w:top w:w="60" w:type="dxa"/>
            </w:tcMar>
            <w:vAlign w:val="center"/>
          </w:tcPr>
          <w:p w:rsidR="0035701C" w:rsidRDefault="00FB561B">
            <w:pPr>
              <w:jc w:val="center"/>
              <w:rPr>
                <w:b/>
                <w:sz w:val="20"/>
              </w:rPr>
            </w:pPr>
            <w:r>
              <w:rPr>
                <w:b/>
                <w:sz w:val="20"/>
              </w:rPr>
              <w:t>Valeur</w:t>
            </w:r>
          </w:p>
        </w:tc>
        <w:tc>
          <w:tcPr>
            <w:tcW w:w="750" w:type="pct"/>
            <w:vMerge w:val="restart"/>
            <w:shd w:val="clear" w:color="auto" w:fill="C0C0C0"/>
            <w:tcMar>
              <w:top w:w="60" w:type="dxa"/>
            </w:tcMar>
            <w:vAlign w:val="center"/>
          </w:tcPr>
          <w:p w:rsidR="0035701C" w:rsidRDefault="00FB561B">
            <w:pPr>
              <w:jc w:val="center"/>
              <w:rPr>
                <w:sz w:val="20"/>
              </w:rPr>
            </w:pPr>
            <w:r>
              <w:rPr>
                <w:b/>
                <w:sz w:val="20"/>
              </w:rPr>
              <w:t>Dont financés par Next Generation EU</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M07 - Services de base et rénovation des villages dans les zones rurales (article 20)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Nombre d'opérations soutenues visant l'établissement de plans de développement des villages et de plans de gestion des zones relevant de Natura 2000/à haute valeur natur</w:t>
            </w:r>
            <w:r>
              <w:rPr>
                <w:sz w:val="16"/>
              </w:rPr>
              <w:t>elle (7.1)</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15,00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M07 - Services de base et rénovation des villages dans les zones rurales (article 20)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 xml:space="preserve">Nombre d'opérations soutenues concernant des investissements dans les infrastructures à petite échelle, notamment les investissements dans les </w:t>
            </w:r>
            <w:r>
              <w:rPr>
                <w:sz w:val="16"/>
              </w:rPr>
              <w:t>énergies renouvelables et les économies d'énergie (7.2)</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M07 - Services de base et rénovation des villages dans les zones rurales (article 20)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Nombre d'opérations soutenues concernant des investissements dans des services de base au niveau local po</w:t>
            </w:r>
            <w:r>
              <w:rPr>
                <w:sz w:val="16"/>
              </w:rPr>
              <w:t>ur la population rurale (7.4)</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5,00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M07 - Services de base et rénovation des villages dans les zones rurales (article 20)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Nombre d'opérations soutenues concernant des investissements dans les infrastructures récréatives/touristiques (7.5)</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M07 - Services de base et rénovation des villages dans les zones rurales (article 20)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Nombre d'opérations soutenues concernant des études/investissements liés au patrimoine culturel et naturel rural, y compris aux sites à haute valeur naturelle (7.6)</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8,00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M07 - Services de base et rénovation des villages dans les zones rurales (article 20)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 xml:space="preserve">Nombre d'opérations soutenues concernant des investissements dans la délocalisation d'activités pour des raisons environnementales ou liées à la qualité de la vie </w:t>
            </w:r>
            <w:r>
              <w:rPr>
                <w:sz w:val="16"/>
              </w:rPr>
              <w:t>(7.7)</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M07 - Services de base et rénovation des villages dans les zones rurales (article 20)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Nombre d'opérations Autres (7.8)</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M07 - Services de base et rénovation des villages dans les zones rurales (article 20)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 xml:space="preserve">Population bénéficiant de </w:t>
            </w:r>
            <w:r>
              <w:rPr>
                <w:sz w:val="16"/>
              </w:rPr>
              <w:t>meilleurs services/infrastructures (7.1, 7.2, 7.4, 7.5, 7.6, 7.7)</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49 780,00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M07 - Services de base et rénovation des villages dans les zones rurales (article 20) </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Total des dépenses publiques (en €)</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18 191 100,00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M19 - Soutien au développement local </w:t>
            </w:r>
            <w:r>
              <w:rPr>
                <w:b/>
                <w:sz w:val="16"/>
              </w:rPr>
              <w:t>Leader (CLLD - développement local mené par les acteurs locaux) (article 35 du règlement (UE) n° 1303/2013)</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Nombre de groupes d'action locale sélectionnés</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6,00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vMerge w:val="restart"/>
            <w:shd w:val="clear" w:color="auto" w:fill="FFFFFF"/>
            <w:tcMar>
              <w:top w:w="60" w:type="dxa"/>
            </w:tcMar>
            <w:vAlign w:val="center"/>
          </w:tcPr>
          <w:p w:rsidR="0035701C" w:rsidRDefault="00FB561B">
            <w:pPr>
              <w:spacing w:before="20" w:after="20"/>
              <w:jc w:val="left"/>
              <w:rPr>
                <w:b/>
                <w:sz w:val="16"/>
              </w:rPr>
            </w:pPr>
            <w:r>
              <w:rPr>
                <w:b/>
                <w:sz w:val="16"/>
              </w:rPr>
              <w:t xml:space="preserve">M19 - Soutien au développement local Leader (CLLD - développement local mené par les acteurs </w:t>
            </w:r>
            <w:r>
              <w:rPr>
                <w:b/>
                <w:sz w:val="16"/>
              </w:rPr>
              <w:t>locaux) (article 35 du règlement (UE) n° 1303/2013)</w:t>
            </w:r>
          </w:p>
        </w:tc>
        <w:tc>
          <w:tcPr>
            <w:tcW w:w="1750" w:type="pct"/>
            <w:vMerge w:val="restart"/>
            <w:shd w:val="clear" w:color="auto" w:fill="FFFFFF"/>
            <w:tcMar>
              <w:top w:w="60" w:type="dxa"/>
            </w:tcMar>
            <w:vAlign w:val="center"/>
          </w:tcPr>
          <w:p w:rsidR="0035701C" w:rsidRDefault="00FB561B">
            <w:pPr>
              <w:spacing w:before="20" w:after="20"/>
              <w:jc w:val="left"/>
              <w:rPr>
                <w:sz w:val="16"/>
              </w:rPr>
            </w:pPr>
            <w:r>
              <w:rPr>
                <w:sz w:val="16"/>
              </w:rPr>
              <w:t>Population concernée par les groupes d'action locale</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170 000,00</w:t>
            </w:r>
          </w:p>
        </w:tc>
        <w:tc>
          <w:tcPr>
            <w:tcW w:w="750" w:type="pct"/>
            <w:vMerge w:val="restar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M19 - Soutien au développement local Leader (CLLD - développement local mené par les acteurs locaux) (article 35 du règlement (UE) n° 130</w:t>
            </w:r>
            <w:r>
              <w:rPr>
                <w:b/>
                <w:sz w:val="16"/>
              </w:rPr>
              <w:t>3/2013)</w:t>
            </w:r>
          </w:p>
        </w:tc>
        <w:tc>
          <w:tcPr>
            <w:tcW w:w="1750" w:type="pct"/>
            <w:shd w:val="clear" w:color="auto" w:fill="FFFFFF"/>
            <w:tcMar>
              <w:top w:w="60" w:type="dxa"/>
            </w:tcMar>
            <w:vAlign w:val="center"/>
          </w:tcPr>
          <w:p w:rsidR="0035701C" w:rsidRDefault="00FB561B">
            <w:pPr>
              <w:spacing w:before="20" w:after="20"/>
              <w:jc w:val="left"/>
              <w:rPr>
                <w:sz w:val="16"/>
              </w:rPr>
            </w:pPr>
            <w:r>
              <w:rPr>
                <w:sz w:val="16"/>
              </w:rPr>
              <w:t>Total des dépenses publiques (en €) - soutien préparatoire (19.1)</w:t>
            </w:r>
          </w:p>
        </w:tc>
        <w:tc>
          <w:tcPr>
            <w:tcW w:w="750" w:type="pct"/>
            <w:shd w:val="clear" w:color="auto" w:fill="FFFFFF"/>
            <w:tcMar>
              <w:top w:w="60" w:type="dxa"/>
            </w:tcMar>
            <w:vAlign w:val="center"/>
          </w:tcPr>
          <w:p w:rsidR="0035701C" w:rsidRDefault="00FB561B">
            <w:pPr>
              <w:spacing w:before="20" w:after="20"/>
              <w:jc w:val="right"/>
              <w:rPr>
                <w:sz w:val="16"/>
              </w:rPr>
            </w:pPr>
            <w:r>
              <w:rPr>
                <w:sz w:val="16"/>
              </w:rPr>
              <w:t>160 000,00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M19 - Soutien au développement local Leader (CLLD - développement local mené par les acteurs locaux) (article 35 du règlement (UE) n° 1303/2013)</w:t>
            </w:r>
          </w:p>
        </w:tc>
        <w:tc>
          <w:tcPr>
            <w:tcW w:w="1750" w:type="pct"/>
            <w:shd w:val="clear" w:color="auto" w:fill="FFFFFF"/>
            <w:tcMar>
              <w:top w:w="60" w:type="dxa"/>
            </w:tcMar>
            <w:vAlign w:val="center"/>
          </w:tcPr>
          <w:p w:rsidR="0035701C" w:rsidRDefault="00FB561B">
            <w:pPr>
              <w:spacing w:before="20" w:after="20"/>
              <w:jc w:val="left"/>
              <w:rPr>
                <w:sz w:val="16"/>
              </w:rPr>
            </w:pPr>
            <w:r>
              <w:rPr>
                <w:sz w:val="16"/>
              </w:rPr>
              <w:t xml:space="preserve">Total des dépenses </w:t>
            </w:r>
            <w:r>
              <w:rPr>
                <w:sz w:val="16"/>
              </w:rPr>
              <w:t>publiques (en €) - soutien à la mise en œuvre d'opérations au titre de la stratégie du CLLD (19.2)</w:t>
            </w:r>
          </w:p>
        </w:tc>
        <w:tc>
          <w:tcPr>
            <w:tcW w:w="750" w:type="pct"/>
            <w:shd w:val="clear" w:color="auto" w:fill="FFFFFF"/>
            <w:tcMar>
              <w:top w:w="60" w:type="dxa"/>
            </w:tcMar>
            <w:vAlign w:val="center"/>
          </w:tcPr>
          <w:p w:rsidR="0035701C" w:rsidRDefault="00FB561B">
            <w:pPr>
              <w:spacing w:before="20" w:after="20"/>
              <w:jc w:val="right"/>
              <w:rPr>
                <w:sz w:val="16"/>
              </w:rPr>
            </w:pPr>
            <w:r>
              <w:rPr>
                <w:sz w:val="16"/>
              </w:rPr>
              <w:t>8 631 125,00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M19 - Soutien au développement local Leader (CLLD - développement local mené par les acteurs locaux) (article 35 du règlement (UE) n° 1303/20</w:t>
            </w:r>
            <w:r>
              <w:rPr>
                <w:b/>
                <w:sz w:val="16"/>
              </w:rPr>
              <w:t>13)</w:t>
            </w:r>
          </w:p>
        </w:tc>
        <w:tc>
          <w:tcPr>
            <w:tcW w:w="1750" w:type="pct"/>
            <w:shd w:val="clear" w:color="auto" w:fill="FFFFFF"/>
            <w:tcMar>
              <w:top w:w="60" w:type="dxa"/>
            </w:tcMar>
            <w:vAlign w:val="center"/>
          </w:tcPr>
          <w:p w:rsidR="0035701C" w:rsidRDefault="00FB561B">
            <w:pPr>
              <w:spacing w:before="20" w:after="20"/>
              <w:jc w:val="left"/>
              <w:rPr>
                <w:sz w:val="16"/>
              </w:rPr>
            </w:pPr>
            <w:r>
              <w:rPr>
                <w:sz w:val="16"/>
              </w:rPr>
              <w:t>Total des dépenses publiques (€) - Préparation et mise en œuvre des activités de coopération du groupe d'action locale (19.3)</w:t>
            </w:r>
          </w:p>
        </w:tc>
        <w:tc>
          <w:tcPr>
            <w:tcW w:w="750" w:type="pct"/>
            <w:shd w:val="clear" w:color="auto" w:fill="FFFFFF"/>
            <w:tcMar>
              <w:top w:w="60" w:type="dxa"/>
            </w:tcMar>
            <w:vAlign w:val="center"/>
          </w:tcPr>
          <w:p w:rsidR="0035701C" w:rsidRDefault="00FB561B">
            <w:pPr>
              <w:spacing w:before="20" w:after="20"/>
              <w:jc w:val="right"/>
              <w:rPr>
                <w:sz w:val="16"/>
              </w:rPr>
            </w:pPr>
            <w:r>
              <w:rPr>
                <w:sz w:val="16"/>
              </w:rPr>
              <w:t>213 100,00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r w:rsidR="0035701C">
        <w:tc>
          <w:tcPr>
            <w:tcW w:w="1750" w:type="pct"/>
            <w:shd w:val="clear" w:color="auto" w:fill="FFFFFF"/>
            <w:tcMar>
              <w:top w:w="60" w:type="dxa"/>
            </w:tcMar>
            <w:vAlign w:val="center"/>
          </w:tcPr>
          <w:p w:rsidR="0035701C" w:rsidRDefault="00FB561B">
            <w:pPr>
              <w:spacing w:before="20" w:after="20"/>
              <w:jc w:val="left"/>
              <w:rPr>
                <w:b/>
                <w:sz w:val="16"/>
              </w:rPr>
            </w:pPr>
            <w:r>
              <w:rPr>
                <w:b/>
                <w:sz w:val="16"/>
              </w:rPr>
              <w:t>M19 - Soutien au développement local Leader (CLLD - développement local mené par les acteurs locaux) (article 35</w:t>
            </w:r>
            <w:r>
              <w:rPr>
                <w:b/>
                <w:sz w:val="16"/>
              </w:rPr>
              <w:t xml:space="preserve"> du règlement (UE) n° 1303/2013)</w:t>
            </w:r>
          </w:p>
        </w:tc>
        <w:tc>
          <w:tcPr>
            <w:tcW w:w="1750" w:type="pct"/>
            <w:shd w:val="clear" w:color="auto" w:fill="FFFFFF"/>
            <w:tcMar>
              <w:top w:w="60" w:type="dxa"/>
            </w:tcMar>
            <w:vAlign w:val="center"/>
          </w:tcPr>
          <w:p w:rsidR="0035701C" w:rsidRDefault="00FB561B">
            <w:pPr>
              <w:spacing w:before="20" w:after="20"/>
              <w:jc w:val="left"/>
              <w:rPr>
                <w:sz w:val="16"/>
              </w:rPr>
            </w:pPr>
            <w:r>
              <w:rPr>
                <w:sz w:val="16"/>
              </w:rPr>
              <w:t>Total des dépenses publiques (en €) - soutien pour les frais de fonctionnement et l'animation (19.4)</w:t>
            </w:r>
          </w:p>
        </w:tc>
        <w:tc>
          <w:tcPr>
            <w:tcW w:w="750" w:type="pct"/>
            <w:shd w:val="clear" w:color="auto" w:fill="FFFFFF"/>
            <w:tcMar>
              <w:top w:w="60" w:type="dxa"/>
            </w:tcMar>
            <w:vAlign w:val="center"/>
          </w:tcPr>
          <w:p w:rsidR="0035701C" w:rsidRDefault="00FB561B">
            <w:pPr>
              <w:spacing w:before="20" w:after="20"/>
              <w:jc w:val="right"/>
              <w:rPr>
                <w:sz w:val="16"/>
              </w:rPr>
            </w:pPr>
            <w:r>
              <w:rPr>
                <w:sz w:val="16"/>
              </w:rPr>
              <w:t>2 913 900,00</w:t>
            </w:r>
          </w:p>
        </w:tc>
        <w:tc>
          <w:tcPr>
            <w:tcW w:w="750" w:type="pct"/>
            <w:shd w:val="clear" w:color="auto" w:fill="FFFFFF"/>
            <w:tcMar>
              <w:top w:w="60" w:type="dxa"/>
            </w:tcMar>
            <w:vAlign w:val="center"/>
          </w:tcPr>
          <w:p w:rsidR="0035701C" w:rsidRDefault="00FB561B">
            <w:pPr>
              <w:spacing w:before="20" w:after="20"/>
              <w:jc w:val="right"/>
              <w:rPr>
                <w:sz w:val="16"/>
              </w:rPr>
            </w:pPr>
            <w:r>
              <w:rPr>
                <w:sz w:val="16"/>
              </w:rPr>
              <w:t>0</w:t>
            </w:r>
          </w:p>
        </w:tc>
      </w:tr>
    </w:tbl>
    <w:p w:rsidR="0035701C" w:rsidRDefault="0035701C">
      <w:pPr>
        <w:sectPr w:rsidR="0035701C">
          <w:pgSz w:w="12240" w:h="15840"/>
          <w:pgMar w:top="900" w:right="900" w:bottom="900" w:left="900" w:header="720" w:footer="720" w:gutter="0"/>
          <w:cols w:space="720"/>
        </w:sectPr>
      </w:pPr>
    </w:p>
    <w:p w:rsidR="0035701C" w:rsidRDefault="00FB561B">
      <w:pPr>
        <w:pStyle w:val="Titre4"/>
        <w:jc w:val="left"/>
      </w:pPr>
      <w:r>
        <w:t xml:space="preserve">6C) Améliorer l'accessibilité, l'utilisation et la qualité des technologiques de l'information </w:t>
      </w:r>
      <w:r>
        <w:t>et de la communication (TIC) dans les zones rurales</w:t>
      </w:r>
    </w:p>
    <w:p w:rsidR="0035701C" w:rsidRDefault="00FB561B">
      <w:r>
        <w:t>Aucune mesure sélectionnée dans la stratégie pour ce domaine prioritaire.</w:t>
      </w:r>
    </w:p>
    <w:p w:rsidR="0035701C" w:rsidRDefault="0035701C">
      <w:pPr>
        <w:sectPr w:rsidR="0035701C">
          <w:pgSz w:w="12240" w:h="15840"/>
          <w:pgMar w:top="900" w:right="900" w:bottom="900" w:left="900" w:header="720" w:footer="720" w:gutter="0"/>
          <w:cols w:space="720"/>
        </w:sectPr>
      </w:pPr>
    </w:p>
    <w:p w:rsidR="0035701C" w:rsidRDefault="0035701C">
      <w:pPr>
        <w:sectPr w:rsidR="0035701C">
          <w:pgSz w:w="12240" w:h="15840"/>
          <w:pgMar w:top="900" w:right="900" w:bottom="900" w:left="900" w:header="720" w:footer="720" w:gutter="0"/>
          <w:cols w:space="720"/>
        </w:sectPr>
      </w:pPr>
    </w:p>
    <w:p w:rsidR="0035701C" w:rsidRDefault="00FB561B">
      <w:pPr>
        <w:pStyle w:val="Titre2"/>
      </w:pPr>
      <w:bookmarkStart w:id="145" w:name="_Toc256000144"/>
      <w:r>
        <w:t xml:space="preserve">Aperçu des résultats prévus et des dépenses prévues, par mesure et par domaine prioritaire (généré </w:t>
      </w:r>
      <w:r>
        <w:t>automatiquement)</w:t>
      </w:r>
      <w:bookmarkEnd w:id="1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2"/>
        <w:gridCol w:w="882"/>
        <w:gridCol w:w="882"/>
        <w:gridCol w:w="882"/>
        <w:gridCol w:w="882"/>
        <w:gridCol w:w="882"/>
        <w:gridCol w:w="882"/>
        <w:gridCol w:w="882"/>
        <w:gridCol w:w="882"/>
        <w:gridCol w:w="882"/>
        <w:gridCol w:w="882"/>
        <w:gridCol w:w="882"/>
        <w:gridCol w:w="882"/>
        <w:gridCol w:w="882"/>
        <w:gridCol w:w="882"/>
        <w:gridCol w:w="882"/>
        <w:gridCol w:w="882"/>
        <w:gridCol w:w="882"/>
      </w:tblGrid>
      <w:tr w:rsidR="0035701C">
        <w:tc>
          <w:tcPr>
            <w:tcW w:w="750" w:type="pct"/>
            <w:vMerge w:val="restart"/>
            <w:shd w:val="clear" w:color="auto" w:fill="C0C0C0"/>
            <w:tcMar>
              <w:top w:w="20" w:type="dxa"/>
              <w:left w:w="20" w:type="dxa"/>
              <w:bottom w:w="20" w:type="dxa"/>
            </w:tcMar>
            <w:vAlign w:val="center"/>
          </w:tcPr>
          <w:p w:rsidR="0035701C" w:rsidRDefault="00FB561B">
            <w:pPr>
              <w:jc w:val="center"/>
              <w:rPr>
                <w:sz w:val="16"/>
              </w:rPr>
            </w:pPr>
            <w:r>
              <w:rPr>
                <w:sz w:val="16"/>
              </w:rPr>
              <w:t>Mesures</w:t>
            </w:r>
          </w:p>
        </w:tc>
        <w:tc>
          <w:tcPr>
            <w:tcW w:w="750" w:type="pct"/>
            <w:vMerge w:val="restart"/>
            <w:shd w:val="clear" w:color="auto" w:fill="C0C0C0"/>
            <w:tcMar>
              <w:top w:w="20" w:type="dxa"/>
              <w:left w:w="20" w:type="dxa"/>
              <w:bottom w:w="20" w:type="dxa"/>
            </w:tcMar>
            <w:vAlign w:val="center"/>
          </w:tcPr>
          <w:p w:rsidR="0035701C" w:rsidRDefault="00FB561B">
            <w:pPr>
              <w:jc w:val="center"/>
              <w:rPr>
                <w:sz w:val="16"/>
              </w:rPr>
            </w:pPr>
            <w:r>
              <w:rPr>
                <w:sz w:val="16"/>
              </w:rPr>
              <w:t>Indicateurs</w:t>
            </w:r>
          </w:p>
        </w:tc>
        <w:tc>
          <w:tcPr>
            <w:tcW w:w="750" w:type="pct"/>
            <w:gridSpan w:val="2"/>
            <w:shd w:val="clear" w:color="auto" w:fill="C0C0C0"/>
            <w:tcMar>
              <w:top w:w="20" w:type="dxa"/>
              <w:left w:w="20" w:type="dxa"/>
              <w:bottom w:w="20" w:type="dxa"/>
            </w:tcMar>
            <w:vAlign w:val="center"/>
          </w:tcPr>
          <w:p w:rsidR="0035701C" w:rsidRDefault="00FB561B">
            <w:pPr>
              <w:jc w:val="center"/>
              <w:rPr>
                <w:sz w:val="16"/>
              </w:rPr>
            </w:pPr>
            <w:r>
              <w:rPr>
                <w:sz w:val="16"/>
              </w:rPr>
              <w:t>P2</w:t>
            </w:r>
          </w:p>
        </w:tc>
        <w:tc>
          <w:tcPr>
            <w:tcW w:w="750" w:type="pct"/>
            <w:gridSpan w:val="2"/>
            <w:shd w:val="clear" w:color="auto" w:fill="C0C0C0"/>
            <w:tcMar>
              <w:top w:w="20" w:type="dxa"/>
              <w:left w:w="20" w:type="dxa"/>
              <w:bottom w:w="20" w:type="dxa"/>
            </w:tcMar>
            <w:vAlign w:val="center"/>
          </w:tcPr>
          <w:p w:rsidR="0035701C" w:rsidRDefault="00FB561B">
            <w:pPr>
              <w:jc w:val="center"/>
              <w:rPr>
                <w:sz w:val="16"/>
              </w:rPr>
            </w:pPr>
            <w:r>
              <w:rPr>
                <w:sz w:val="16"/>
              </w:rPr>
              <w:t>P3</w:t>
            </w:r>
          </w:p>
        </w:tc>
        <w:tc>
          <w:tcPr>
            <w:tcW w:w="750" w:type="pct"/>
            <w:gridSpan w:val="3"/>
            <w:shd w:val="clear" w:color="auto" w:fill="C0C0C0"/>
            <w:tcMar>
              <w:top w:w="20" w:type="dxa"/>
              <w:left w:w="20" w:type="dxa"/>
              <w:bottom w:w="20" w:type="dxa"/>
            </w:tcMar>
            <w:vAlign w:val="center"/>
          </w:tcPr>
          <w:p w:rsidR="0035701C" w:rsidRDefault="00FB561B">
            <w:pPr>
              <w:jc w:val="center"/>
              <w:rPr>
                <w:sz w:val="16"/>
              </w:rPr>
            </w:pPr>
            <w:r>
              <w:rPr>
                <w:sz w:val="16"/>
              </w:rPr>
              <w:t>P4</w:t>
            </w:r>
          </w:p>
        </w:tc>
        <w:tc>
          <w:tcPr>
            <w:tcW w:w="750" w:type="pct"/>
            <w:gridSpan w:val="5"/>
            <w:shd w:val="clear" w:color="auto" w:fill="C0C0C0"/>
            <w:tcMar>
              <w:top w:w="20" w:type="dxa"/>
              <w:left w:w="20" w:type="dxa"/>
              <w:bottom w:w="20" w:type="dxa"/>
            </w:tcMar>
            <w:vAlign w:val="center"/>
          </w:tcPr>
          <w:p w:rsidR="0035701C" w:rsidRDefault="00FB561B">
            <w:pPr>
              <w:jc w:val="center"/>
              <w:rPr>
                <w:sz w:val="16"/>
              </w:rPr>
            </w:pPr>
            <w:r>
              <w:rPr>
                <w:sz w:val="16"/>
              </w:rPr>
              <w:t>P5</w:t>
            </w:r>
          </w:p>
        </w:tc>
        <w:tc>
          <w:tcPr>
            <w:tcW w:w="750" w:type="pct"/>
            <w:gridSpan w:val="3"/>
            <w:shd w:val="clear" w:color="auto" w:fill="C0C0C0"/>
            <w:tcMar>
              <w:top w:w="20" w:type="dxa"/>
              <w:left w:w="20" w:type="dxa"/>
              <w:bottom w:w="20" w:type="dxa"/>
            </w:tcMar>
            <w:vAlign w:val="center"/>
          </w:tcPr>
          <w:p w:rsidR="0035701C" w:rsidRDefault="00FB561B">
            <w:pPr>
              <w:jc w:val="center"/>
              <w:rPr>
                <w:sz w:val="16"/>
              </w:rPr>
            </w:pPr>
            <w:r>
              <w:rPr>
                <w:sz w:val="16"/>
              </w:rPr>
              <w:t>P6</w:t>
            </w:r>
          </w:p>
        </w:tc>
        <w:tc>
          <w:tcPr>
            <w:tcW w:w="750" w:type="pct"/>
            <w:vMerge w:val="restart"/>
            <w:shd w:val="clear" w:color="auto" w:fill="C0C0C0"/>
            <w:tcMar>
              <w:top w:w="20" w:type="dxa"/>
              <w:left w:w="20" w:type="dxa"/>
              <w:bottom w:w="20" w:type="dxa"/>
            </w:tcMar>
            <w:vAlign w:val="center"/>
          </w:tcPr>
          <w:p w:rsidR="0035701C" w:rsidRDefault="00FB561B">
            <w:pPr>
              <w:jc w:val="center"/>
              <w:rPr>
                <w:sz w:val="16"/>
              </w:rPr>
            </w:pPr>
            <w:r>
              <w:rPr>
                <w:sz w:val="16"/>
              </w:rPr>
              <w:t>Total</w:t>
            </w:r>
          </w:p>
        </w:tc>
      </w:tr>
      <w:tr w:rsidR="0035701C">
        <w:tc>
          <w:tcPr>
            <w:tcW w:w="750" w:type="pct"/>
            <w:vMerge/>
            <w:shd w:val="clear" w:color="auto" w:fill="C0C0C0"/>
            <w:tcMar>
              <w:top w:w="20" w:type="dxa"/>
              <w:left w:w="20" w:type="dxa"/>
              <w:bottom w:w="20" w:type="dxa"/>
            </w:tcMar>
            <w:vAlign w:val="center"/>
          </w:tcPr>
          <w:p w:rsidR="0035701C" w:rsidRDefault="0035701C">
            <w:pPr>
              <w:jc w:val="center"/>
              <w:rPr>
                <w:sz w:val="16"/>
              </w:rPr>
            </w:pPr>
          </w:p>
        </w:tc>
        <w:tc>
          <w:tcPr>
            <w:tcW w:w="750" w:type="pct"/>
            <w:vMerge/>
            <w:shd w:val="clear" w:color="auto" w:fill="C0C0C0"/>
            <w:tcMar>
              <w:top w:w="20" w:type="dxa"/>
              <w:left w:w="20" w:type="dxa"/>
              <w:bottom w:w="20" w:type="dxa"/>
            </w:tcMar>
            <w:vAlign w:val="center"/>
          </w:tcPr>
          <w:p w:rsidR="0035701C" w:rsidRDefault="0035701C">
            <w:pPr>
              <w:jc w:val="center"/>
              <w:rPr>
                <w:sz w:val="16"/>
              </w:rPr>
            </w:pPr>
          </w:p>
        </w:tc>
        <w:tc>
          <w:tcPr>
            <w:tcW w:w="750" w:type="pct"/>
            <w:shd w:val="clear" w:color="auto" w:fill="C0C0C0"/>
            <w:tcMar>
              <w:top w:w="20" w:type="dxa"/>
              <w:left w:w="20" w:type="dxa"/>
              <w:bottom w:w="20" w:type="dxa"/>
            </w:tcMar>
            <w:vAlign w:val="center"/>
          </w:tcPr>
          <w:p w:rsidR="0035701C" w:rsidRDefault="00FB561B">
            <w:pPr>
              <w:jc w:val="center"/>
              <w:rPr>
                <w:sz w:val="16"/>
              </w:rPr>
            </w:pPr>
            <w:r>
              <w:rPr>
                <w:sz w:val="16"/>
              </w:rPr>
              <w:t>2A</w:t>
            </w:r>
          </w:p>
        </w:tc>
        <w:tc>
          <w:tcPr>
            <w:tcW w:w="750" w:type="pct"/>
            <w:shd w:val="clear" w:color="auto" w:fill="C0C0C0"/>
            <w:tcMar>
              <w:top w:w="20" w:type="dxa"/>
              <w:left w:w="20" w:type="dxa"/>
              <w:bottom w:w="20" w:type="dxa"/>
            </w:tcMar>
            <w:vAlign w:val="center"/>
          </w:tcPr>
          <w:p w:rsidR="0035701C" w:rsidRDefault="00FB561B">
            <w:pPr>
              <w:jc w:val="center"/>
              <w:rPr>
                <w:sz w:val="16"/>
              </w:rPr>
            </w:pPr>
            <w:r>
              <w:rPr>
                <w:sz w:val="16"/>
              </w:rPr>
              <w:t>2B</w:t>
            </w:r>
          </w:p>
        </w:tc>
        <w:tc>
          <w:tcPr>
            <w:tcW w:w="750" w:type="pct"/>
            <w:shd w:val="clear" w:color="auto" w:fill="C0C0C0"/>
            <w:tcMar>
              <w:top w:w="20" w:type="dxa"/>
              <w:left w:w="20" w:type="dxa"/>
              <w:bottom w:w="20" w:type="dxa"/>
            </w:tcMar>
            <w:vAlign w:val="center"/>
          </w:tcPr>
          <w:p w:rsidR="0035701C" w:rsidRDefault="00FB561B">
            <w:pPr>
              <w:jc w:val="center"/>
              <w:rPr>
                <w:sz w:val="16"/>
              </w:rPr>
            </w:pPr>
            <w:r>
              <w:rPr>
                <w:sz w:val="16"/>
              </w:rPr>
              <w:t>3A</w:t>
            </w:r>
          </w:p>
        </w:tc>
        <w:tc>
          <w:tcPr>
            <w:tcW w:w="750" w:type="pct"/>
            <w:shd w:val="clear" w:color="auto" w:fill="C0C0C0"/>
            <w:tcMar>
              <w:top w:w="20" w:type="dxa"/>
              <w:left w:w="20" w:type="dxa"/>
              <w:bottom w:w="20" w:type="dxa"/>
            </w:tcMar>
            <w:vAlign w:val="center"/>
          </w:tcPr>
          <w:p w:rsidR="0035701C" w:rsidRDefault="00FB561B">
            <w:pPr>
              <w:jc w:val="center"/>
              <w:rPr>
                <w:sz w:val="16"/>
              </w:rPr>
            </w:pPr>
            <w:r>
              <w:rPr>
                <w:sz w:val="16"/>
              </w:rPr>
              <w:t>3B</w:t>
            </w:r>
          </w:p>
        </w:tc>
        <w:tc>
          <w:tcPr>
            <w:tcW w:w="750" w:type="pct"/>
            <w:shd w:val="clear" w:color="auto" w:fill="C0C0C0"/>
            <w:tcMar>
              <w:top w:w="20" w:type="dxa"/>
              <w:left w:w="20" w:type="dxa"/>
              <w:bottom w:w="20" w:type="dxa"/>
            </w:tcMar>
            <w:vAlign w:val="center"/>
          </w:tcPr>
          <w:p w:rsidR="0035701C" w:rsidRDefault="00FB561B">
            <w:pPr>
              <w:jc w:val="center"/>
              <w:rPr>
                <w:sz w:val="16"/>
              </w:rPr>
            </w:pPr>
            <w:r>
              <w:rPr>
                <w:sz w:val="16"/>
              </w:rPr>
              <w:t>4A</w:t>
            </w:r>
          </w:p>
        </w:tc>
        <w:tc>
          <w:tcPr>
            <w:tcW w:w="750" w:type="pct"/>
            <w:shd w:val="clear" w:color="auto" w:fill="C0C0C0"/>
            <w:tcMar>
              <w:top w:w="20" w:type="dxa"/>
              <w:left w:w="20" w:type="dxa"/>
              <w:bottom w:w="20" w:type="dxa"/>
            </w:tcMar>
            <w:vAlign w:val="center"/>
          </w:tcPr>
          <w:p w:rsidR="0035701C" w:rsidRDefault="00FB561B">
            <w:pPr>
              <w:jc w:val="center"/>
              <w:rPr>
                <w:sz w:val="16"/>
              </w:rPr>
            </w:pPr>
            <w:r>
              <w:rPr>
                <w:sz w:val="16"/>
              </w:rPr>
              <w:t>4B</w:t>
            </w:r>
          </w:p>
        </w:tc>
        <w:tc>
          <w:tcPr>
            <w:tcW w:w="750" w:type="pct"/>
            <w:shd w:val="clear" w:color="auto" w:fill="C0C0C0"/>
            <w:tcMar>
              <w:top w:w="20" w:type="dxa"/>
              <w:left w:w="20" w:type="dxa"/>
              <w:bottom w:w="20" w:type="dxa"/>
            </w:tcMar>
            <w:vAlign w:val="center"/>
          </w:tcPr>
          <w:p w:rsidR="0035701C" w:rsidRDefault="00FB561B">
            <w:pPr>
              <w:jc w:val="center"/>
              <w:rPr>
                <w:sz w:val="16"/>
              </w:rPr>
            </w:pPr>
            <w:r>
              <w:rPr>
                <w:sz w:val="16"/>
              </w:rPr>
              <w:t>4C</w:t>
            </w:r>
          </w:p>
        </w:tc>
        <w:tc>
          <w:tcPr>
            <w:tcW w:w="750" w:type="pct"/>
            <w:shd w:val="clear" w:color="auto" w:fill="C0C0C0"/>
            <w:tcMar>
              <w:top w:w="20" w:type="dxa"/>
              <w:left w:w="20" w:type="dxa"/>
              <w:bottom w:w="20" w:type="dxa"/>
            </w:tcMar>
            <w:vAlign w:val="center"/>
          </w:tcPr>
          <w:p w:rsidR="0035701C" w:rsidRDefault="00FB561B">
            <w:pPr>
              <w:jc w:val="center"/>
              <w:rPr>
                <w:sz w:val="16"/>
              </w:rPr>
            </w:pPr>
            <w:r>
              <w:rPr>
                <w:sz w:val="16"/>
              </w:rPr>
              <w:t>5A</w:t>
            </w:r>
          </w:p>
        </w:tc>
        <w:tc>
          <w:tcPr>
            <w:tcW w:w="750" w:type="pct"/>
            <w:shd w:val="clear" w:color="auto" w:fill="C0C0C0"/>
            <w:tcMar>
              <w:top w:w="20" w:type="dxa"/>
              <w:left w:w="20" w:type="dxa"/>
              <w:bottom w:w="20" w:type="dxa"/>
            </w:tcMar>
            <w:vAlign w:val="center"/>
          </w:tcPr>
          <w:p w:rsidR="0035701C" w:rsidRDefault="00FB561B">
            <w:pPr>
              <w:jc w:val="center"/>
              <w:rPr>
                <w:sz w:val="16"/>
              </w:rPr>
            </w:pPr>
            <w:r>
              <w:rPr>
                <w:sz w:val="16"/>
              </w:rPr>
              <w:t>5B</w:t>
            </w:r>
          </w:p>
        </w:tc>
        <w:tc>
          <w:tcPr>
            <w:tcW w:w="750" w:type="pct"/>
            <w:shd w:val="clear" w:color="auto" w:fill="C0C0C0"/>
            <w:tcMar>
              <w:top w:w="20" w:type="dxa"/>
              <w:left w:w="20" w:type="dxa"/>
              <w:bottom w:w="20" w:type="dxa"/>
            </w:tcMar>
            <w:vAlign w:val="center"/>
          </w:tcPr>
          <w:p w:rsidR="0035701C" w:rsidRDefault="00FB561B">
            <w:pPr>
              <w:jc w:val="center"/>
              <w:rPr>
                <w:sz w:val="16"/>
              </w:rPr>
            </w:pPr>
            <w:r>
              <w:rPr>
                <w:sz w:val="16"/>
              </w:rPr>
              <w:t>5C</w:t>
            </w:r>
          </w:p>
        </w:tc>
        <w:tc>
          <w:tcPr>
            <w:tcW w:w="750" w:type="pct"/>
            <w:shd w:val="clear" w:color="auto" w:fill="C0C0C0"/>
            <w:tcMar>
              <w:top w:w="20" w:type="dxa"/>
              <w:left w:w="20" w:type="dxa"/>
              <w:bottom w:w="20" w:type="dxa"/>
            </w:tcMar>
            <w:vAlign w:val="center"/>
          </w:tcPr>
          <w:p w:rsidR="0035701C" w:rsidRDefault="00FB561B">
            <w:pPr>
              <w:jc w:val="center"/>
              <w:rPr>
                <w:sz w:val="16"/>
              </w:rPr>
            </w:pPr>
            <w:r>
              <w:rPr>
                <w:sz w:val="16"/>
              </w:rPr>
              <w:t>5D</w:t>
            </w:r>
          </w:p>
        </w:tc>
        <w:tc>
          <w:tcPr>
            <w:tcW w:w="750" w:type="pct"/>
            <w:shd w:val="clear" w:color="auto" w:fill="C0C0C0"/>
            <w:tcMar>
              <w:top w:w="20" w:type="dxa"/>
              <w:left w:w="20" w:type="dxa"/>
              <w:bottom w:w="20" w:type="dxa"/>
            </w:tcMar>
            <w:vAlign w:val="center"/>
          </w:tcPr>
          <w:p w:rsidR="0035701C" w:rsidRDefault="00FB561B">
            <w:pPr>
              <w:jc w:val="center"/>
              <w:rPr>
                <w:sz w:val="16"/>
              </w:rPr>
            </w:pPr>
            <w:r>
              <w:rPr>
                <w:sz w:val="16"/>
              </w:rPr>
              <w:t>5E</w:t>
            </w:r>
          </w:p>
        </w:tc>
        <w:tc>
          <w:tcPr>
            <w:tcW w:w="750" w:type="pct"/>
            <w:shd w:val="clear" w:color="auto" w:fill="C0C0C0"/>
            <w:tcMar>
              <w:top w:w="20" w:type="dxa"/>
              <w:left w:w="20" w:type="dxa"/>
              <w:bottom w:w="20" w:type="dxa"/>
            </w:tcMar>
            <w:vAlign w:val="center"/>
          </w:tcPr>
          <w:p w:rsidR="0035701C" w:rsidRDefault="00FB561B">
            <w:pPr>
              <w:jc w:val="center"/>
              <w:rPr>
                <w:sz w:val="16"/>
              </w:rPr>
            </w:pPr>
            <w:r>
              <w:rPr>
                <w:sz w:val="16"/>
              </w:rPr>
              <w:t>6A</w:t>
            </w:r>
          </w:p>
        </w:tc>
        <w:tc>
          <w:tcPr>
            <w:tcW w:w="750" w:type="pct"/>
            <w:shd w:val="clear" w:color="auto" w:fill="C0C0C0"/>
            <w:tcMar>
              <w:top w:w="20" w:type="dxa"/>
              <w:left w:w="20" w:type="dxa"/>
              <w:bottom w:w="20" w:type="dxa"/>
            </w:tcMar>
            <w:vAlign w:val="center"/>
          </w:tcPr>
          <w:p w:rsidR="0035701C" w:rsidRDefault="00FB561B">
            <w:pPr>
              <w:jc w:val="center"/>
              <w:rPr>
                <w:sz w:val="16"/>
              </w:rPr>
            </w:pPr>
            <w:r>
              <w:rPr>
                <w:sz w:val="16"/>
              </w:rPr>
              <w:t>6B</w:t>
            </w:r>
          </w:p>
        </w:tc>
        <w:tc>
          <w:tcPr>
            <w:tcW w:w="750" w:type="pct"/>
            <w:shd w:val="clear" w:color="auto" w:fill="C0C0C0"/>
            <w:tcMar>
              <w:top w:w="20" w:type="dxa"/>
              <w:left w:w="20" w:type="dxa"/>
              <w:bottom w:w="20" w:type="dxa"/>
            </w:tcMar>
            <w:vAlign w:val="center"/>
          </w:tcPr>
          <w:p w:rsidR="0035701C" w:rsidRDefault="00FB561B">
            <w:pPr>
              <w:jc w:val="center"/>
              <w:rPr>
                <w:sz w:val="16"/>
              </w:rPr>
            </w:pPr>
            <w:r>
              <w:rPr>
                <w:sz w:val="16"/>
              </w:rPr>
              <w:t>6C</w:t>
            </w:r>
          </w:p>
        </w:tc>
        <w:tc>
          <w:tcPr>
            <w:tcW w:w="750" w:type="pct"/>
            <w:vMerge/>
            <w:shd w:val="clear" w:color="auto" w:fill="C0C0C0"/>
            <w:tcMar>
              <w:top w:w="20" w:type="dxa"/>
              <w:left w:w="20" w:type="dxa"/>
              <w:bottom w:w="20" w:type="dxa"/>
            </w:tcMar>
            <w:vAlign w:val="center"/>
          </w:tcPr>
          <w:p w:rsidR="0035701C" w:rsidRDefault="0035701C">
            <w:pPr>
              <w:jc w:val="center"/>
              <w:rPr>
                <w:sz w:val="16"/>
              </w:rPr>
            </w:pPr>
          </w:p>
        </w:tc>
      </w:tr>
      <w:tr w:rsidR="0035701C">
        <w:tc>
          <w:tcPr>
            <w:tcW w:w="750" w:type="pct"/>
            <w:vMerge w:val="restart"/>
            <w:shd w:val="clear" w:color="auto" w:fill="FFFFFF"/>
            <w:tcMar>
              <w:top w:w="20" w:type="dxa"/>
              <w:left w:w="20" w:type="dxa"/>
              <w:bottom w:w="20" w:type="dxa"/>
            </w:tcMar>
            <w:vAlign w:val="center"/>
          </w:tcPr>
          <w:p w:rsidR="0035701C" w:rsidRDefault="00FB561B">
            <w:pPr>
              <w:jc w:val="center"/>
              <w:rPr>
                <w:sz w:val="12"/>
              </w:rPr>
            </w:pPr>
            <w:r>
              <w:rPr>
                <w:sz w:val="12"/>
              </w:rPr>
              <w:t>M01</w:t>
            </w: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Formation/Acquisition des compétences (1.1) - Nombre de participants aux formations</w:t>
            </w: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300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300</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Formation/Acquisition des compétences</w:t>
            </w:r>
            <w:r>
              <w:rPr>
                <w:sz w:val="12"/>
              </w:rPr>
              <w:t xml:space="preserve"> (1.1) - Total des dépenses publiques</w:t>
            </w: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487,500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487,500</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Total des dépenses publiques (en €) (formations, échanges d'exploitations, démonstrations) (1.1 à 1.3)</w:t>
            </w: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700,000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700,000</w:t>
            </w:r>
          </w:p>
        </w:tc>
      </w:tr>
      <w:tr w:rsidR="0035701C">
        <w:tc>
          <w:tcPr>
            <w:tcW w:w="750" w:type="pct"/>
            <w:vMerge w:val="restart"/>
            <w:shd w:val="clear" w:color="auto" w:fill="FFFFFF"/>
            <w:tcMar>
              <w:top w:w="20" w:type="dxa"/>
              <w:left w:w="20" w:type="dxa"/>
              <w:bottom w:w="20" w:type="dxa"/>
            </w:tcMar>
            <w:vAlign w:val="center"/>
          </w:tcPr>
          <w:p w:rsidR="0035701C" w:rsidRDefault="00FB561B">
            <w:pPr>
              <w:jc w:val="center"/>
              <w:rPr>
                <w:sz w:val="12"/>
              </w:rPr>
            </w:pPr>
            <w:r>
              <w:rPr>
                <w:sz w:val="12"/>
              </w:rPr>
              <w:t>M04</w:t>
            </w: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 xml:space="preserve">Total des investissements (en €) (publics et </w:t>
            </w:r>
            <w:r>
              <w:rPr>
                <w:sz w:val="12"/>
              </w:rPr>
              <w:t>privés)</w:t>
            </w: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126,033,392.91</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23,000,000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FB561B">
            <w:pPr>
              <w:jc w:val="right"/>
              <w:rPr>
                <w:sz w:val="12"/>
              </w:rPr>
            </w:pPr>
            <w:r>
              <w:rPr>
                <w:sz w:val="12"/>
              </w:rPr>
              <w:t>8,609,666.67</w:t>
            </w: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400,000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1,312,500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159,355,559.58</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 xml:space="preserve">Total des dépenses publiques (en €) </w:t>
            </w: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65,200,874</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8,700,000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FB561B">
            <w:pPr>
              <w:jc w:val="right"/>
              <w:rPr>
                <w:sz w:val="12"/>
              </w:rPr>
            </w:pPr>
            <w:r>
              <w:rPr>
                <w:sz w:val="12"/>
              </w:rPr>
              <w:t>6,626,400</w:t>
            </w: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320,000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1,050,000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81,897,274</w:t>
            </w:r>
          </w:p>
        </w:tc>
      </w:tr>
      <w:tr w:rsidR="0035701C">
        <w:tc>
          <w:tcPr>
            <w:tcW w:w="750" w:type="pct"/>
            <w:vMerge w:val="restart"/>
            <w:shd w:val="clear" w:color="auto" w:fill="FFFFFF"/>
            <w:tcMar>
              <w:top w:w="20" w:type="dxa"/>
              <w:left w:w="20" w:type="dxa"/>
              <w:bottom w:w="20" w:type="dxa"/>
            </w:tcMar>
            <w:vAlign w:val="center"/>
          </w:tcPr>
          <w:p w:rsidR="0035701C" w:rsidRDefault="00FB561B">
            <w:pPr>
              <w:jc w:val="center"/>
              <w:rPr>
                <w:sz w:val="12"/>
              </w:rPr>
            </w:pPr>
            <w:r>
              <w:rPr>
                <w:sz w:val="12"/>
              </w:rPr>
              <w:t>M05</w:t>
            </w: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 xml:space="preserve">Nombre des bénéficiaires d'actions préventives (5.1) - exploitations agricoles </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0</w:t>
            </w:r>
          </w:p>
        </w:tc>
        <w:tc>
          <w:tcPr>
            <w:tcW w:w="750" w:type="pct"/>
            <w:gridSpan w:val="3"/>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0</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Nombre des bénéficiaires d'actions préventives (5.1) - entités publiques</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0</w:t>
            </w:r>
          </w:p>
        </w:tc>
        <w:tc>
          <w:tcPr>
            <w:tcW w:w="750" w:type="pct"/>
            <w:gridSpan w:val="3"/>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0</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Total des dépenses publiques (en €) (5.1 à 5.2)</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600,000</w:t>
            </w:r>
          </w:p>
        </w:tc>
        <w:tc>
          <w:tcPr>
            <w:tcW w:w="750" w:type="pct"/>
            <w:gridSpan w:val="3"/>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600,000</w:t>
            </w:r>
          </w:p>
        </w:tc>
      </w:tr>
      <w:tr w:rsidR="0035701C">
        <w:tc>
          <w:tcPr>
            <w:tcW w:w="750" w:type="pct"/>
            <w:vMerge w:val="restart"/>
            <w:shd w:val="clear" w:color="auto" w:fill="FFFFFF"/>
            <w:tcMar>
              <w:top w:w="20" w:type="dxa"/>
              <w:left w:w="20" w:type="dxa"/>
              <w:bottom w:w="20" w:type="dxa"/>
            </w:tcMar>
            <w:vAlign w:val="center"/>
          </w:tcPr>
          <w:p w:rsidR="0035701C" w:rsidRDefault="00FB561B">
            <w:pPr>
              <w:jc w:val="center"/>
              <w:rPr>
                <w:sz w:val="12"/>
              </w:rPr>
            </w:pPr>
            <w:r>
              <w:rPr>
                <w:sz w:val="12"/>
              </w:rPr>
              <w:t>M06</w:t>
            </w: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Total des investissements (en €) (publics et privés)</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17,500,004</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1,933,333.33</w:t>
            </w: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6,450,909.09</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25,884,246.42</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Total des dépenses publiques (en €)</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17,500,004</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1,160,000</w:t>
            </w: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3,400,000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22,060,004</w:t>
            </w:r>
          </w:p>
        </w:tc>
      </w:tr>
      <w:tr w:rsidR="0035701C">
        <w:tc>
          <w:tcPr>
            <w:tcW w:w="750" w:type="pct"/>
            <w:vMerge w:val="restart"/>
            <w:shd w:val="clear" w:color="auto" w:fill="FFFFFF"/>
            <w:tcMar>
              <w:top w:w="20" w:type="dxa"/>
              <w:left w:w="20" w:type="dxa"/>
              <w:bottom w:w="20" w:type="dxa"/>
            </w:tcMar>
            <w:vAlign w:val="center"/>
          </w:tcPr>
          <w:p w:rsidR="0035701C" w:rsidRDefault="00FB561B">
            <w:pPr>
              <w:jc w:val="center"/>
              <w:rPr>
                <w:sz w:val="12"/>
              </w:rPr>
            </w:pPr>
            <w:r>
              <w:rPr>
                <w:sz w:val="12"/>
              </w:rPr>
              <w:t>M07</w:t>
            </w: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 xml:space="preserve">Total des dépenses publiques (en </w:t>
            </w:r>
            <w:r>
              <w:rPr>
                <w:sz w:val="12"/>
              </w:rPr>
              <w:t>€)</w:t>
            </w: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2,000,000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FB561B">
            <w:pPr>
              <w:jc w:val="right"/>
              <w:rPr>
                <w:sz w:val="12"/>
              </w:rPr>
            </w:pPr>
            <w:r>
              <w:rPr>
                <w:sz w:val="12"/>
              </w:rPr>
              <w:t>4,950,000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18,191,100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25,141,100</w:t>
            </w:r>
          </w:p>
        </w:tc>
      </w:tr>
      <w:tr w:rsidR="0035701C">
        <w:tc>
          <w:tcPr>
            <w:tcW w:w="750" w:type="pct"/>
            <w:vMerge w:val="restart"/>
            <w:shd w:val="clear" w:color="auto" w:fill="FFFFFF"/>
            <w:tcMar>
              <w:top w:w="20" w:type="dxa"/>
              <w:left w:w="20" w:type="dxa"/>
              <w:bottom w:w="20" w:type="dxa"/>
            </w:tcMar>
            <w:vAlign w:val="center"/>
          </w:tcPr>
          <w:p w:rsidR="0035701C" w:rsidRDefault="00FB561B">
            <w:pPr>
              <w:jc w:val="center"/>
              <w:rPr>
                <w:sz w:val="12"/>
              </w:rPr>
            </w:pPr>
            <w:r>
              <w:rPr>
                <w:sz w:val="12"/>
              </w:rPr>
              <w:t>M08</w:t>
            </w: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Total des dépenses publiques (en €) (8.1)</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0</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Total des dépenses publiques (en €) (8.2)</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0</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Total des dépenses publiques (en €) (8.3)</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FB561B">
            <w:pPr>
              <w:jc w:val="right"/>
              <w:rPr>
                <w:sz w:val="12"/>
              </w:rPr>
            </w:pPr>
            <w:r>
              <w:rPr>
                <w:sz w:val="12"/>
              </w:rPr>
              <w:t>8,500,000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8,500,000</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Total des dépenses publiques (en €) (8.4)</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0</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Total des dépenses publiques (en €) (8.5)</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580,000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580,000</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Total des dépenses publiques (en €) (8.6)</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1,740,000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1,740,000</w:t>
            </w:r>
          </w:p>
        </w:tc>
      </w:tr>
      <w:tr w:rsidR="0035701C">
        <w:tc>
          <w:tcPr>
            <w:tcW w:w="750" w:type="pct"/>
            <w:vMerge w:val="restart"/>
            <w:shd w:val="clear" w:color="auto" w:fill="FFFFFF"/>
            <w:tcMar>
              <w:top w:w="20" w:type="dxa"/>
              <w:left w:w="20" w:type="dxa"/>
              <w:bottom w:w="20" w:type="dxa"/>
            </w:tcMar>
            <w:vAlign w:val="center"/>
          </w:tcPr>
          <w:p w:rsidR="0035701C" w:rsidRDefault="00FB561B">
            <w:pPr>
              <w:jc w:val="center"/>
              <w:rPr>
                <w:sz w:val="12"/>
              </w:rPr>
            </w:pPr>
            <w:r>
              <w:rPr>
                <w:sz w:val="12"/>
              </w:rPr>
              <w:t>M10</w:t>
            </w: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 xml:space="preserve">Superficie (ha) concernée par l'aide versée </w:t>
            </w:r>
            <w:r>
              <w:rPr>
                <w:sz w:val="12"/>
              </w:rPr>
              <w:t>au titre de l'agroenvironnement/du climat (10.1)</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FB561B">
            <w:pPr>
              <w:jc w:val="right"/>
              <w:rPr>
                <w:sz w:val="12"/>
              </w:rPr>
            </w:pPr>
            <w:r>
              <w:rPr>
                <w:sz w:val="12"/>
              </w:rPr>
              <w:t>6,000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6,000</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 xml:space="preserve">Total des dépenses publiques (en €) </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FB561B">
            <w:pPr>
              <w:jc w:val="right"/>
              <w:rPr>
                <w:sz w:val="12"/>
              </w:rPr>
            </w:pPr>
            <w:r>
              <w:rPr>
                <w:sz w:val="12"/>
              </w:rPr>
              <w:t>14,010,000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14,010,000</w:t>
            </w:r>
          </w:p>
        </w:tc>
      </w:tr>
      <w:tr w:rsidR="0035701C">
        <w:tc>
          <w:tcPr>
            <w:tcW w:w="750" w:type="pct"/>
            <w:vMerge w:val="restart"/>
            <w:shd w:val="clear" w:color="auto" w:fill="FFFFFF"/>
            <w:tcMar>
              <w:top w:w="20" w:type="dxa"/>
              <w:left w:w="20" w:type="dxa"/>
              <w:bottom w:w="20" w:type="dxa"/>
            </w:tcMar>
            <w:vAlign w:val="center"/>
          </w:tcPr>
          <w:p w:rsidR="0035701C" w:rsidRDefault="00FB561B">
            <w:pPr>
              <w:jc w:val="center"/>
              <w:rPr>
                <w:sz w:val="12"/>
              </w:rPr>
            </w:pPr>
            <w:r>
              <w:rPr>
                <w:sz w:val="12"/>
              </w:rPr>
              <w:t>M11</w:t>
            </w: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Superficie (ha) - conversion à l'agriculture biologique (11.1)</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FB561B">
            <w:pPr>
              <w:jc w:val="right"/>
              <w:rPr>
                <w:sz w:val="12"/>
              </w:rPr>
            </w:pPr>
            <w:r>
              <w:rPr>
                <w:sz w:val="12"/>
              </w:rPr>
              <w:t>1,200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1,200</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 xml:space="preserve">Superficie (ha) </w:t>
            </w:r>
            <w:r>
              <w:rPr>
                <w:sz w:val="12"/>
              </w:rPr>
              <w:t>- maintien de l'agriculture biologique (11.2)</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FB561B">
            <w:pPr>
              <w:jc w:val="right"/>
              <w:rPr>
                <w:sz w:val="12"/>
              </w:rPr>
            </w:pPr>
            <w:r>
              <w:rPr>
                <w:sz w:val="12"/>
              </w:rPr>
              <w:t>3,107</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3,107</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Total des dépenses publiques (en €)</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FB561B">
            <w:pPr>
              <w:jc w:val="right"/>
              <w:rPr>
                <w:sz w:val="12"/>
              </w:rPr>
            </w:pPr>
            <w:r>
              <w:rPr>
                <w:sz w:val="12"/>
              </w:rPr>
              <w:t>7,800,000.33</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7,800,000.33</w:t>
            </w:r>
          </w:p>
        </w:tc>
      </w:tr>
      <w:tr w:rsidR="0035701C">
        <w:tc>
          <w:tcPr>
            <w:tcW w:w="750" w:type="pct"/>
            <w:vMerge w:val="restart"/>
            <w:shd w:val="clear" w:color="auto" w:fill="FFFFFF"/>
            <w:tcMar>
              <w:top w:w="20" w:type="dxa"/>
              <w:left w:w="20" w:type="dxa"/>
              <w:bottom w:w="20" w:type="dxa"/>
            </w:tcMar>
            <w:vAlign w:val="center"/>
          </w:tcPr>
          <w:p w:rsidR="0035701C" w:rsidRDefault="00FB561B">
            <w:pPr>
              <w:jc w:val="center"/>
              <w:rPr>
                <w:sz w:val="12"/>
              </w:rPr>
            </w:pPr>
            <w:r>
              <w:rPr>
                <w:sz w:val="12"/>
              </w:rPr>
              <w:t>M13</w:t>
            </w: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Superficie (ha) - zones de montagne (13.1)</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FB561B">
            <w:pPr>
              <w:jc w:val="right"/>
              <w:rPr>
                <w:sz w:val="12"/>
              </w:rPr>
            </w:pPr>
            <w:r>
              <w:rPr>
                <w:sz w:val="12"/>
              </w:rPr>
              <w:t>64,000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64,000</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 xml:space="preserve">Superficie (ha) - autres zones </w:t>
            </w:r>
            <w:r>
              <w:rPr>
                <w:sz w:val="12"/>
              </w:rPr>
              <w:t>soumises à des contraintes naturelles importantes (13.2)</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FB561B">
            <w:pPr>
              <w:jc w:val="right"/>
              <w:rPr>
                <w:sz w:val="12"/>
              </w:rPr>
            </w:pPr>
            <w:r>
              <w:rPr>
                <w:sz w:val="12"/>
              </w:rPr>
              <w:t>6,500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6,500</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Superficie (ha) - zones soumises à des contraintes spécifiques (13.3)</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FB561B">
            <w:pPr>
              <w:jc w:val="right"/>
              <w:rPr>
                <w:sz w:val="12"/>
              </w:rPr>
            </w:pPr>
            <w:r>
              <w:rPr>
                <w:sz w:val="12"/>
              </w:rPr>
              <w:t>1,500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1,500</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Total des dépenses publiques (en €)</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FB561B">
            <w:pPr>
              <w:jc w:val="right"/>
              <w:rPr>
                <w:sz w:val="12"/>
              </w:rPr>
            </w:pPr>
            <w:r>
              <w:rPr>
                <w:sz w:val="12"/>
              </w:rPr>
              <w:t>134,868,693.67</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134,868,693.67</w:t>
            </w:r>
          </w:p>
        </w:tc>
      </w:tr>
      <w:tr w:rsidR="0035701C">
        <w:tc>
          <w:tcPr>
            <w:tcW w:w="750" w:type="pct"/>
            <w:vMerge w:val="restart"/>
            <w:shd w:val="clear" w:color="auto" w:fill="FFFFFF"/>
            <w:tcMar>
              <w:top w:w="20" w:type="dxa"/>
              <w:left w:w="20" w:type="dxa"/>
              <w:bottom w:w="20" w:type="dxa"/>
            </w:tcMar>
            <w:vAlign w:val="center"/>
          </w:tcPr>
          <w:p w:rsidR="0035701C" w:rsidRDefault="00FB561B">
            <w:pPr>
              <w:jc w:val="center"/>
              <w:rPr>
                <w:sz w:val="12"/>
              </w:rPr>
            </w:pPr>
            <w:r>
              <w:rPr>
                <w:sz w:val="12"/>
              </w:rPr>
              <w:t>M19</w:t>
            </w: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Nombre de groupes d'action locale sélectionnés</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6</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6</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Population concernée par les groupes d'action locale</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170,000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170,000</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Total des dépenses publiques (en €) - soutien préparatoire (19.1)</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160,000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160,000</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 xml:space="preserve">Total </w:t>
            </w:r>
            <w:r>
              <w:rPr>
                <w:sz w:val="12"/>
              </w:rPr>
              <w:t>des dépenses publiques (en €) - soutien à la mise en œuvre d'opérations au titre de la stratégie du CLLD (19.2)</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8,631,125</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8,631,125</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 xml:space="preserve">Total des dépenses publiques (€) - Préparation et mise en œuvre des activités de coopération du groupe </w:t>
            </w:r>
            <w:r>
              <w:rPr>
                <w:sz w:val="12"/>
              </w:rPr>
              <w:t>d'action locale (19.3)</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213,100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213,100</w:t>
            </w:r>
          </w:p>
        </w:tc>
      </w:tr>
      <w:tr w:rsidR="0035701C">
        <w:tc>
          <w:tcPr>
            <w:tcW w:w="750" w:type="pct"/>
            <w:vMerge/>
            <w:shd w:val="clear" w:color="auto" w:fill="FFFFFF"/>
            <w:tcMar>
              <w:top w:w="20" w:type="dxa"/>
              <w:left w:w="20" w:type="dxa"/>
              <w:bottom w:w="20" w:type="dxa"/>
            </w:tcMar>
            <w:vAlign w:val="center"/>
          </w:tcPr>
          <w:p w:rsidR="0035701C" w:rsidRDefault="0035701C">
            <w:pPr>
              <w:jc w:val="center"/>
              <w:rPr>
                <w:sz w:val="12"/>
              </w:rPr>
            </w:pPr>
          </w:p>
        </w:tc>
        <w:tc>
          <w:tcPr>
            <w:tcW w:w="750" w:type="pct"/>
            <w:shd w:val="clear" w:color="auto" w:fill="FFFFFF"/>
            <w:tcMar>
              <w:top w:w="20" w:type="dxa"/>
              <w:left w:w="20" w:type="dxa"/>
              <w:bottom w:w="20" w:type="dxa"/>
            </w:tcMar>
            <w:vAlign w:val="center"/>
          </w:tcPr>
          <w:p w:rsidR="0035701C" w:rsidRDefault="00FB561B">
            <w:pPr>
              <w:jc w:val="left"/>
              <w:rPr>
                <w:sz w:val="12"/>
              </w:rPr>
            </w:pPr>
            <w:r>
              <w:rPr>
                <w:sz w:val="12"/>
              </w:rPr>
              <w:t>Total des dépenses publiques (en €) - soutien pour les frais de fonctionnement et l'animation (19.4)</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gridSpan w:val="3"/>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2,913,900</w:t>
            </w:r>
          </w:p>
        </w:tc>
        <w:tc>
          <w:tcPr>
            <w:tcW w:w="750" w:type="pct"/>
            <w:shd w:val="clear" w:color="auto" w:fill="FFFFFF"/>
            <w:tcMar>
              <w:top w:w="20" w:type="dxa"/>
              <w:left w:w="20" w:type="dxa"/>
              <w:bottom w:w="20" w:type="dxa"/>
            </w:tcMar>
            <w:vAlign w:val="center"/>
          </w:tcPr>
          <w:p w:rsidR="0035701C" w:rsidRDefault="0035701C">
            <w:pPr>
              <w:jc w:val="right"/>
              <w:rPr>
                <w:sz w:val="12"/>
              </w:rPr>
            </w:pPr>
          </w:p>
        </w:tc>
        <w:tc>
          <w:tcPr>
            <w:tcW w:w="750" w:type="pct"/>
            <w:shd w:val="clear" w:color="auto" w:fill="FFFFFF"/>
            <w:tcMar>
              <w:top w:w="20" w:type="dxa"/>
              <w:left w:w="20" w:type="dxa"/>
              <w:bottom w:w="20" w:type="dxa"/>
            </w:tcMar>
            <w:vAlign w:val="center"/>
          </w:tcPr>
          <w:p w:rsidR="0035701C" w:rsidRDefault="00FB561B">
            <w:pPr>
              <w:jc w:val="right"/>
              <w:rPr>
                <w:sz w:val="12"/>
              </w:rPr>
            </w:pPr>
            <w:r>
              <w:rPr>
                <w:sz w:val="12"/>
              </w:rPr>
              <w:t>2,913,900</w:t>
            </w:r>
          </w:p>
        </w:tc>
      </w:tr>
    </w:tbl>
    <w:p w:rsidR="0035701C" w:rsidRDefault="0035701C">
      <w:pPr>
        <w:sectPr w:rsidR="0035701C">
          <w:pgSz w:w="15840" w:h="12240" w:orient="landscape"/>
          <w:pgMar w:top="900" w:right="46" w:bottom="900" w:left="46" w:header="720" w:footer="720" w:gutter="0"/>
          <w:cols w:space="720"/>
        </w:sectPr>
      </w:pPr>
    </w:p>
    <w:p w:rsidR="0035701C" w:rsidRDefault="00FB561B">
      <w:pPr>
        <w:pStyle w:val="Titre2"/>
      </w:pPr>
      <w:bookmarkStart w:id="146" w:name="_Toc256000145"/>
      <w:r>
        <w:t xml:space="preserve">Effets secondaires: détermination des contributions </w:t>
      </w:r>
      <w:r>
        <w:t>potentielles des mesures/sous-mesures de développement rural programmées au titre d’un domaine prioritaire donné à d’autres domaines prioritaires/cibles</w:t>
      </w:r>
      <w:bookmarkEnd w:id="1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4"/>
        <w:gridCol w:w="794"/>
        <w:gridCol w:w="794"/>
        <w:gridCol w:w="794"/>
        <w:gridCol w:w="793"/>
        <w:gridCol w:w="795"/>
        <w:gridCol w:w="793"/>
        <w:gridCol w:w="795"/>
        <w:gridCol w:w="793"/>
        <w:gridCol w:w="795"/>
        <w:gridCol w:w="794"/>
        <w:gridCol w:w="792"/>
        <w:gridCol w:w="2"/>
        <w:gridCol w:w="794"/>
        <w:gridCol w:w="794"/>
        <w:gridCol w:w="794"/>
        <w:gridCol w:w="794"/>
        <w:gridCol w:w="791"/>
        <w:gridCol w:w="3"/>
        <w:gridCol w:w="794"/>
        <w:gridCol w:w="794"/>
        <w:gridCol w:w="790"/>
      </w:tblGrid>
      <w:tr w:rsidR="0035701C">
        <w:tc>
          <w:tcPr>
            <w:tcW w:w="0" w:type="auto"/>
            <w:vMerge w:val="restart"/>
            <w:shd w:val="clear" w:color="auto" w:fill="808080"/>
            <w:tcMar>
              <w:top w:w="20" w:type="dxa"/>
              <w:left w:w="20" w:type="dxa"/>
              <w:bottom w:w="20" w:type="dxa"/>
            </w:tcMar>
            <w:vAlign w:val="center"/>
          </w:tcPr>
          <w:p w:rsidR="0035701C" w:rsidRDefault="00FB561B">
            <w:pPr>
              <w:jc w:val="center"/>
              <w:rPr>
                <w:b/>
                <w:sz w:val="20"/>
              </w:rPr>
            </w:pPr>
            <w:r>
              <w:rPr>
                <w:sz w:val="16"/>
              </w:rPr>
              <w:t>Domaine prioritaire du plan des indicateurs</w:t>
            </w:r>
          </w:p>
        </w:tc>
        <w:tc>
          <w:tcPr>
            <w:tcW w:w="0" w:type="auto"/>
            <w:vMerge w:val="restart"/>
            <w:shd w:val="clear" w:color="auto" w:fill="808080"/>
            <w:tcMar>
              <w:top w:w="20" w:type="dxa"/>
              <w:left w:w="20" w:type="dxa"/>
              <w:bottom w:w="20" w:type="dxa"/>
            </w:tcMar>
            <w:vAlign w:val="center"/>
          </w:tcPr>
          <w:p w:rsidR="0035701C" w:rsidRDefault="00FB561B">
            <w:pPr>
              <w:jc w:val="center"/>
              <w:rPr>
                <w:b/>
                <w:sz w:val="20"/>
              </w:rPr>
            </w:pPr>
            <w:r>
              <w:rPr>
                <w:b/>
                <w:sz w:val="20"/>
              </w:rPr>
              <w:t>Mesure</w:t>
            </w:r>
          </w:p>
        </w:tc>
        <w:tc>
          <w:tcPr>
            <w:tcW w:w="0" w:type="auto"/>
            <w:gridSpan w:val="3"/>
            <w:shd w:val="clear" w:color="auto" w:fill="808080"/>
            <w:tcMar>
              <w:top w:w="20" w:type="dxa"/>
              <w:left w:w="20" w:type="dxa"/>
              <w:bottom w:w="20" w:type="dxa"/>
            </w:tcMar>
            <w:vAlign w:val="center"/>
          </w:tcPr>
          <w:p w:rsidR="0035701C" w:rsidRDefault="00FB561B">
            <w:pPr>
              <w:jc w:val="center"/>
              <w:rPr>
                <w:b/>
                <w:sz w:val="20"/>
              </w:rPr>
            </w:pPr>
            <w:r>
              <w:rPr>
                <w:b/>
                <w:sz w:val="20"/>
              </w:rPr>
              <w:t>P1</w:t>
            </w:r>
          </w:p>
        </w:tc>
        <w:tc>
          <w:tcPr>
            <w:tcW w:w="0" w:type="auto"/>
            <w:gridSpan w:val="2"/>
            <w:shd w:val="clear" w:color="auto" w:fill="808080"/>
            <w:tcMar>
              <w:top w:w="20" w:type="dxa"/>
              <w:left w:w="20" w:type="dxa"/>
              <w:bottom w:w="20" w:type="dxa"/>
            </w:tcMar>
            <w:vAlign w:val="center"/>
          </w:tcPr>
          <w:p w:rsidR="0035701C" w:rsidRDefault="00FB561B">
            <w:pPr>
              <w:jc w:val="center"/>
              <w:rPr>
                <w:b/>
                <w:sz w:val="20"/>
              </w:rPr>
            </w:pPr>
            <w:r>
              <w:rPr>
                <w:b/>
                <w:sz w:val="20"/>
              </w:rPr>
              <w:t>P2</w:t>
            </w:r>
          </w:p>
        </w:tc>
        <w:tc>
          <w:tcPr>
            <w:tcW w:w="0" w:type="auto"/>
            <w:gridSpan w:val="2"/>
            <w:shd w:val="clear" w:color="auto" w:fill="808080"/>
            <w:tcMar>
              <w:top w:w="20" w:type="dxa"/>
              <w:left w:w="20" w:type="dxa"/>
              <w:bottom w:w="20" w:type="dxa"/>
            </w:tcMar>
            <w:vAlign w:val="center"/>
          </w:tcPr>
          <w:p w:rsidR="0035701C" w:rsidRDefault="00FB561B">
            <w:pPr>
              <w:jc w:val="center"/>
              <w:rPr>
                <w:b/>
                <w:sz w:val="20"/>
              </w:rPr>
            </w:pPr>
            <w:r>
              <w:rPr>
                <w:b/>
                <w:sz w:val="20"/>
              </w:rPr>
              <w:t>P3</w:t>
            </w:r>
          </w:p>
        </w:tc>
        <w:tc>
          <w:tcPr>
            <w:tcW w:w="0" w:type="auto"/>
            <w:gridSpan w:val="3"/>
            <w:shd w:val="clear" w:color="auto" w:fill="808080"/>
            <w:tcMar>
              <w:top w:w="20" w:type="dxa"/>
              <w:left w:w="20" w:type="dxa"/>
              <w:bottom w:w="20" w:type="dxa"/>
            </w:tcMar>
            <w:vAlign w:val="center"/>
          </w:tcPr>
          <w:p w:rsidR="0035701C" w:rsidRDefault="00FB561B">
            <w:pPr>
              <w:jc w:val="center"/>
              <w:rPr>
                <w:b/>
                <w:sz w:val="20"/>
              </w:rPr>
            </w:pPr>
            <w:r>
              <w:rPr>
                <w:b/>
                <w:sz w:val="20"/>
              </w:rPr>
              <w:t>P4</w:t>
            </w:r>
          </w:p>
        </w:tc>
        <w:tc>
          <w:tcPr>
            <w:tcW w:w="0" w:type="auto"/>
            <w:gridSpan w:val="6"/>
            <w:shd w:val="clear" w:color="auto" w:fill="808080"/>
            <w:tcMar>
              <w:top w:w="20" w:type="dxa"/>
              <w:left w:w="20" w:type="dxa"/>
              <w:bottom w:w="20" w:type="dxa"/>
            </w:tcMar>
            <w:vAlign w:val="center"/>
          </w:tcPr>
          <w:p w:rsidR="0035701C" w:rsidRDefault="00FB561B">
            <w:pPr>
              <w:jc w:val="center"/>
              <w:rPr>
                <w:b/>
                <w:sz w:val="20"/>
              </w:rPr>
            </w:pPr>
            <w:r>
              <w:rPr>
                <w:b/>
                <w:sz w:val="20"/>
              </w:rPr>
              <w:t>P5</w:t>
            </w:r>
          </w:p>
        </w:tc>
        <w:tc>
          <w:tcPr>
            <w:tcW w:w="0" w:type="auto"/>
            <w:gridSpan w:val="4"/>
            <w:shd w:val="clear" w:color="auto" w:fill="808080"/>
            <w:tcMar>
              <w:top w:w="20" w:type="dxa"/>
              <w:left w:w="20" w:type="dxa"/>
              <w:bottom w:w="20" w:type="dxa"/>
            </w:tcMar>
            <w:vAlign w:val="center"/>
          </w:tcPr>
          <w:p w:rsidR="0035701C" w:rsidRDefault="00FB561B">
            <w:pPr>
              <w:jc w:val="center"/>
              <w:rPr>
                <w:b/>
                <w:sz w:val="20"/>
              </w:rPr>
            </w:pPr>
            <w:r>
              <w:rPr>
                <w:b/>
                <w:sz w:val="20"/>
              </w:rPr>
              <w:t>P6</w:t>
            </w:r>
          </w:p>
        </w:tc>
      </w:tr>
      <w:tr w:rsidR="0035701C">
        <w:tc>
          <w:tcPr>
            <w:tcW w:w="0" w:type="auto"/>
            <w:vMerge/>
            <w:shd w:val="clear" w:color="auto" w:fill="808080"/>
            <w:tcMar>
              <w:top w:w="20" w:type="dxa"/>
              <w:left w:w="20" w:type="dxa"/>
              <w:bottom w:w="20" w:type="dxa"/>
            </w:tcMar>
            <w:vAlign w:val="center"/>
          </w:tcPr>
          <w:p w:rsidR="0035701C" w:rsidRDefault="0035701C">
            <w:pPr>
              <w:jc w:val="center"/>
              <w:rPr>
                <w:b/>
                <w:sz w:val="20"/>
              </w:rPr>
            </w:pPr>
          </w:p>
        </w:tc>
        <w:tc>
          <w:tcPr>
            <w:tcW w:w="0" w:type="auto"/>
            <w:vMerge/>
            <w:shd w:val="clear" w:color="auto" w:fill="808080"/>
            <w:tcMar>
              <w:top w:w="20" w:type="dxa"/>
              <w:left w:w="20" w:type="dxa"/>
              <w:bottom w:w="20" w:type="dxa"/>
            </w:tcMar>
            <w:vAlign w:val="center"/>
          </w:tcPr>
          <w:p w:rsidR="0035701C" w:rsidRDefault="0035701C">
            <w:pPr>
              <w:jc w:val="center"/>
              <w:rPr>
                <w:b/>
                <w:sz w:val="20"/>
              </w:rPr>
            </w:pPr>
          </w:p>
        </w:tc>
        <w:tc>
          <w:tcPr>
            <w:tcW w:w="0" w:type="auto"/>
            <w:shd w:val="clear" w:color="auto" w:fill="C0C0C0"/>
            <w:tcMar>
              <w:top w:w="20" w:type="dxa"/>
              <w:left w:w="20" w:type="dxa"/>
              <w:bottom w:w="20" w:type="dxa"/>
            </w:tcMar>
            <w:vAlign w:val="center"/>
          </w:tcPr>
          <w:p w:rsidR="0035701C" w:rsidRDefault="00FB561B">
            <w:pPr>
              <w:jc w:val="center"/>
              <w:rPr>
                <w:sz w:val="16"/>
              </w:rPr>
            </w:pPr>
            <w:r>
              <w:rPr>
                <w:sz w:val="16"/>
              </w:rPr>
              <w:t>1A</w:t>
            </w:r>
          </w:p>
        </w:tc>
        <w:tc>
          <w:tcPr>
            <w:tcW w:w="0" w:type="auto"/>
            <w:shd w:val="clear" w:color="auto" w:fill="C0C0C0"/>
            <w:tcMar>
              <w:top w:w="20" w:type="dxa"/>
              <w:left w:w="20" w:type="dxa"/>
              <w:bottom w:w="20" w:type="dxa"/>
            </w:tcMar>
            <w:vAlign w:val="center"/>
          </w:tcPr>
          <w:p w:rsidR="0035701C" w:rsidRDefault="00FB561B">
            <w:pPr>
              <w:jc w:val="center"/>
              <w:rPr>
                <w:sz w:val="16"/>
              </w:rPr>
            </w:pPr>
            <w:r>
              <w:rPr>
                <w:sz w:val="16"/>
              </w:rPr>
              <w:t>1B</w:t>
            </w:r>
          </w:p>
        </w:tc>
        <w:tc>
          <w:tcPr>
            <w:tcW w:w="0" w:type="auto"/>
            <w:shd w:val="clear" w:color="auto" w:fill="C0C0C0"/>
            <w:tcMar>
              <w:top w:w="20" w:type="dxa"/>
              <w:left w:w="20" w:type="dxa"/>
              <w:bottom w:w="20" w:type="dxa"/>
            </w:tcMar>
            <w:vAlign w:val="center"/>
          </w:tcPr>
          <w:p w:rsidR="0035701C" w:rsidRDefault="00FB561B">
            <w:pPr>
              <w:jc w:val="center"/>
              <w:rPr>
                <w:sz w:val="16"/>
              </w:rPr>
            </w:pPr>
            <w:r>
              <w:rPr>
                <w:sz w:val="16"/>
              </w:rPr>
              <w:t>1C</w:t>
            </w:r>
          </w:p>
        </w:tc>
        <w:tc>
          <w:tcPr>
            <w:tcW w:w="0" w:type="auto"/>
            <w:shd w:val="clear" w:color="auto" w:fill="C0C0C0"/>
            <w:tcMar>
              <w:top w:w="20" w:type="dxa"/>
              <w:left w:w="20" w:type="dxa"/>
              <w:bottom w:w="20" w:type="dxa"/>
            </w:tcMar>
            <w:vAlign w:val="center"/>
          </w:tcPr>
          <w:p w:rsidR="0035701C" w:rsidRDefault="00FB561B">
            <w:pPr>
              <w:jc w:val="center"/>
              <w:rPr>
                <w:sz w:val="16"/>
              </w:rPr>
            </w:pPr>
            <w:r>
              <w:rPr>
                <w:sz w:val="16"/>
              </w:rPr>
              <w:t>2A</w:t>
            </w:r>
          </w:p>
        </w:tc>
        <w:tc>
          <w:tcPr>
            <w:tcW w:w="0" w:type="auto"/>
            <w:shd w:val="clear" w:color="auto" w:fill="C0C0C0"/>
            <w:tcMar>
              <w:top w:w="20" w:type="dxa"/>
              <w:left w:w="20" w:type="dxa"/>
              <w:bottom w:w="20" w:type="dxa"/>
            </w:tcMar>
            <w:vAlign w:val="center"/>
          </w:tcPr>
          <w:p w:rsidR="0035701C" w:rsidRDefault="00FB561B">
            <w:pPr>
              <w:jc w:val="center"/>
              <w:rPr>
                <w:sz w:val="16"/>
              </w:rPr>
            </w:pPr>
            <w:r>
              <w:rPr>
                <w:sz w:val="16"/>
              </w:rPr>
              <w:t>2B</w:t>
            </w:r>
          </w:p>
        </w:tc>
        <w:tc>
          <w:tcPr>
            <w:tcW w:w="0" w:type="auto"/>
            <w:shd w:val="clear" w:color="auto" w:fill="C0C0C0"/>
            <w:tcMar>
              <w:top w:w="20" w:type="dxa"/>
              <w:left w:w="20" w:type="dxa"/>
              <w:bottom w:w="20" w:type="dxa"/>
            </w:tcMar>
            <w:vAlign w:val="center"/>
          </w:tcPr>
          <w:p w:rsidR="0035701C" w:rsidRDefault="00FB561B">
            <w:pPr>
              <w:jc w:val="center"/>
              <w:rPr>
                <w:sz w:val="16"/>
              </w:rPr>
            </w:pPr>
            <w:r>
              <w:rPr>
                <w:sz w:val="16"/>
              </w:rPr>
              <w:t>3A</w:t>
            </w:r>
          </w:p>
        </w:tc>
        <w:tc>
          <w:tcPr>
            <w:tcW w:w="0" w:type="auto"/>
            <w:shd w:val="clear" w:color="auto" w:fill="C0C0C0"/>
            <w:tcMar>
              <w:top w:w="20" w:type="dxa"/>
              <w:left w:w="20" w:type="dxa"/>
              <w:bottom w:w="20" w:type="dxa"/>
            </w:tcMar>
            <w:vAlign w:val="center"/>
          </w:tcPr>
          <w:p w:rsidR="0035701C" w:rsidRDefault="00FB561B">
            <w:pPr>
              <w:jc w:val="center"/>
              <w:rPr>
                <w:sz w:val="16"/>
              </w:rPr>
            </w:pPr>
            <w:r>
              <w:rPr>
                <w:sz w:val="16"/>
              </w:rPr>
              <w:t>3B</w:t>
            </w:r>
          </w:p>
        </w:tc>
        <w:tc>
          <w:tcPr>
            <w:tcW w:w="0" w:type="auto"/>
            <w:shd w:val="clear" w:color="auto" w:fill="C0C0C0"/>
            <w:tcMar>
              <w:top w:w="20" w:type="dxa"/>
              <w:left w:w="20" w:type="dxa"/>
              <w:bottom w:w="20" w:type="dxa"/>
            </w:tcMar>
            <w:vAlign w:val="center"/>
          </w:tcPr>
          <w:p w:rsidR="0035701C" w:rsidRDefault="00FB561B">
            <w:pPr>
              <w:jc w:val="center"/>
              <w:rPr>
                <w:sz w:val="16"/>
              </w:rPr>
            </w:pPr>
            <w:r>
              <w:rPr>
                <w:sz w:val="16"/>
              </w:rPr>
              <w:t>4A</w:t>
            </w:r>
          </w:p>
        </w:tc>
        <w:tc>
          <w:tcPr>
            <w:tcW w:w="0" w:type="auto"/>
            <w:shd w:val="clear" w:color="auto" w:fill="C0C0C0"/>
            <w:tcMar>
              <w:top w:w="20" w:type="dxa"/>
              <w:left w:w="20" w:type="dxa"/>
              <w:bottom w:w="20" w:type="dxa"/>
            </w:tcMar>
            <w:vAlign w:val="center"/>
          </w:tcPr>
          <w:p w:rsidR="0035701C" w:rsidRDefault="00FB561B">
            <w:pPr>
              <w:jc w:val="center"/>
              <w:rPr>
                <w:sz w:val="16"/>
              </w:rPr>
            </w:pPr>
            <w:r>
              <w:rPr>
                <w:sz w:val="16"/>
              </w:rPr>
              <w:t>4B</w:t>
            </w:r>
          </w:p>
        </w:tc>
        <w:tc>
          <w:tcPr>
            <w:tcW w:w="0" w:type="auto"/>
            <w:gridSpan w:val="2"/>
            <w:shd w:val="clear" w:color="auto" w:fill="C0C0C0"/>
            <w:tcMar>
              <w:top w:w="20" w:type="dxa"/>
              <w:left w:w="20" w:type="dxa"/>
              <w:bottom w:w="20" w:type="dxa"/>
            </w:tcMar>
            <w:vAlign w:val="center"/>
          </w:tcPr>
          <w:p w:rsidR="0035701C" w:rsidRDefault="00FB561B">
            <w:pPr>
              <w:jc w:val="center"/>
              <w:rPr>
                <w:sz w:val="16"/>
              </w:rPr>
            </w:pPr>
            <w:r>
              <w:rPr>
                <w:sz w:val="16"/>
              </w:rPr>
              <w:t>4C</w:t>
            </w:r>
          </w:p>
        </w:tc>
        <w:tc>
          <w:tcPr>
            <w:tcW w:w="0" w:type="auto"/>
            <w:shd w:val="clear" w:color="auto" w:fill="C0C0C0"/>
            <w:tcMar>
              <w:top w:w="20" w:type="dxa"/>
              <w:left w:w="20" w:type="dxa"/>
              <w:bottom w:w="20" w:type="dxa"/>
            </w:tcMar>
            <w:vAlign w:val="center"/>
          </w:tcPr>
          <w:p w:rsidR="0035701C" w:rsidRDefault="00FB561B">
            <w:pPr>
              <w:jc w:val="center"/>
              <w:rPr>
                <w:sz w:val="16"/>
              </w:rPr>
            </w:pPr>
            <w:r>
              <w:rPr>
                <w:sz w:val="16"/>
              </w:rPr>
              <w:t>5A</w:t>
            </w:r>
          </w:p>
        </w:tc>
        <w:tc>
          <w:tcPr>
            <w:tcW w:w="0" w:type="auto"/>
            <w:shd w:val="clear" w:color="auto" w:fill="C0C0C0"/>
            <w:tcMar>
              <w:top w:w="20" w:type="dxa"/>
              <w:left w:w="20" w:type="dxa"/>
              <w:bottom w:w="20" w:type="dxa"/>
            </w:tcMar>
            <w:vAlign w:val="center"/>
          </w:tcPr>
          <w:p w:rsidR="0035701C" w:rsidRDefault="00FB561B">
            <w:pPr>
              <w:jc w:val="center"/>
              <w:rPr>
                <w:sz w:val="16"/>
              </w:rPr>
            </w:pPr>
            <w:r>
              <w:rPr>
                <w:sz w:val="16"/>
              </w:rPr>
              <w:t>5B</w:t>
            </w:r>
          </w:p>
        </w:tc>
        <w:tc>
          <w:tcPr>
            <w:tcW w:w="0" w:type="auto"/>
            <w:shd w:val="clear" w:color="auto" w:fill="C0C0C0"/>
            <w:tcMar>
              <w:top w:w="20" w:type="dxa"/>
              <w:left w:w="20" w:type="dxa"/>
              <w:bottom w:w="20" w:type="dxa"/>
            </w:tcMar>
            <w:vAlign w:val="center"/>
          </w:tcPr>
          <w:p w:rsidR="0035701C" w:rsidRDefault="00FB561B">
            <w:pPr>
              <w:jc w:val="center"/>
              <w:rPr>
                <w:sz w:val="16"/>
              </w:rPr>
            </w:pPr>
            <w:r>
              <w:rPr>
                <w:sz w:val="16"/>
              </w:rPr>
              <w:t>5C</w:t>
            </w:r>
          </w:p>
        </w:tc>
        <w:tc>
          <w:tcPr>
            <w:tcW w:w="0" w:type="auto"/>
            <w:shd w:val="clear" w:color="auto" w:fill="C0C0C0"/>
            <w:tcMar>
              <w:top w:w="20" w:type="dxa"/>
              <w:left w:w="20" w:type="dxa"/>
              <w:bottom w:w="20" w:type="dxa"/>
            </w:tcMar>
            <w:vAlign w:val="center"/>
          </w:tcPr>
          <w:p w:rsidR="0035701C" w:rsidRDefault="00FB561B">
            <w:pPr>
              <w:jc w:val="center"/>
              <w:rPr>
                <w:sz w:val="16"/>
              </w:rPr>
            </w:pPr>
            <w:r>
              <w:rPr>
                <w:sz w:val="16"/>
              </w:rPr>
              <w:t>5D</w:t>
            </w:r>
          </w:p>
        </w:tc>
        <w:tc>
          <w:tcPr>
            <w:tcW w:w="0" w:type="auto"/>
            <w:gridSpan w:val="2"/>
            <w:shd w:val="clear" w:color="auto" w:fill="C0C0C0"/>
            <w:tcMar>
              <w:top w:w="20" w:type="dxa"/>
              <w:left w:w="20" w:type="dxa"/>
              <w:bottom w:w="20" w:type="dxa"/>
            </w:tcMar>
            <w:vAlign w:val="center"/>
          </w:tcPr>
          <w:p w:rsidR="0035701C" w:rsidRDefault="00FB561B">
            <w:pPr>
              <w:jc w:val="center"/>
              <w:rPr>
                <w:sz w:val="16"/>
              </w:rPr>
            </w:pPr>
            <w:r>
              <w:rPr>
                <w:sz w:val="16"/>
              </w:rPr>
              <w:t>5E</w:t>
            </w:r>
          </w:p>
        </w:tc>
        <w:tc>
          <w:tcPr>
            <w:tcW w:w="0" w:type="auto"/>
            <w:shd w:val="clear" w:color="auto" w:fill="C0C0C0"/>
            <w:tcMar>
              <w:top w:w="20" w:type="dxa"/>
              <w:left w:w="20" w:type="dxa"/>
              <w:bottom w:w="20" w:type="dxa"/>
            </w:tcMar>
            <w:vAlign w:val="center"/>
          </w:tcPr>
          <w:p w:rsidR="0035701C" w:rsidRDefault="00FB561B">
            <w:pPr>
              <w:jc w:val="center"/>
              <w:rPr>
                <w:sz w:val="16"/>
              </w:rPr>
            </w:pPr>
            <w:r>
              <w:rPr>
                <w:sz w:val="16"/>
              </w:rPr>
              <w:t>6A</w:t>
            </w:r>
          </w:p>
        </w:tc>
        <w:tc>
          <w:tcPr>
            <w:tcW w:w="0" w:type="auto"/>
            <w:shd w:val="clear" w:color="auto" w:fill="C0C0C0"/>
            <w:tcMar>
              <w:top w:w="20" w:type="dxa"/>
              <w:left w:w="20" w:type="dxa"/>
              <w:bottom w:w="20" w:type="dxa"/>
            </w:tcMar>
            <w:vAlign w:val="center"/>
          </w:tcPr>
          <w:p w:rsidR="0035701C" w:rsidRDefault="00FB561B">
            <w:pPr>
              <w:jc w:val="center"/>
              <w:rPr>
                <w:sz w:val="16"/>
              </w:rPr>
            </w:pPr>
            <w:r>
              <w:rPr>
                <w:sz w:val="16"/>
              </w:rPr>
              <w:t>6B</w:t>
            </w:r>
          </w:p>
        </w:tc>
        <w:tc>
          <w:tcPr>
            <w:tcW w:w="0" w:type="auto"/>
            <w:shd w:val="clear" w:color="auto" w:fill="C0C0C0"/>
            <w:tcMar>
              <w:top w:w="20" w:type="dxa"/>
              <w:left w:w="20" w:type="dxa"/>
              <w:bottom w:w="20" w:type="dxa"/>
            </w:tcMar>
            <w:vAlign w:val="center"/>
          </w:tcPr>
          <w:p w:rsidR="0035701C" w:rsidRDefault="00FB561B">
            <w:pPr>
              <w:jc w:val="center"/>
              <w:rPr>
                <w:sz w:val="16"/>
              </w:rPr>
            </w:pPr>
            <w:r>
              <w:rPr>
                <w:sz w:val="16"/>
              </w:rPr>
              <w:t>6C</w:t>
            </w:r>
          </w:p>
        </w:tc>
      </w:tr>
      <w:tr w:rsidR="0035701C">
        <w:tc>
          <w:tcPr>
            <w:tcW w:w="0" w:type="auto"/>
            <w:vMerge w:val="restart"/>
            <w:shd w:val="clear" w:color="auto" w:fill="FFFFFF"/>
            <w:tcMar>
              <w:top w:w="20" w:type="dxa"/>
              <w:left w:w="20" w:type="dxa"/>
              <w:bottom w:w="20" w:type="dxa"/>
            </w:tcMar>
            <w:vAlign w:val="center"/>
          </w:tcPr>
          <w:p w:rsidR="0035701C" w:rsidRDefault="00FB561B">
            <w:pPr>
              <w:jc w:val="center"/>
              <w:rPr>
                <w:sz w:val="12"/>
              </w:rPr>
            </w:pPr>
            <w:r>
              <w:rPr>
                <w:sz w:val="12"/>
              </w:rPr>
              <w:t>2A</w:t>
            </w:r>
          </w:p>
        </w:tc>
        <w:tc>
          <w:tcPr>
            <w:tcW w:w="0" w:type="auto"/>
            <w:shd w:val="clear" w:color="auto" w:fill="FFFFFF"/>
            <w:tcMar>
              <w:top w:w="20" w:type="dxa"/>
              <w:left w:w="20" w:type="dxa"/>
              <w:bottom w:w="20" w:type="dxa"/>
            </w:tcMar>
            <w:vAlign w:val="center"/>
          </w:tcPr>
          <w:p w:rsidR="0035701C" w:rsidRDefault="00FB561B">
            <w:pPr>
              <w:jc w:val="left"/>
              <w:rPr>
                <w:sz w:val="12"/>
              </w:rPr>
            </w:pPr>
            <w:r>
              <w:rPr>
                <w:sz w:val="12"/>
              </w:rPr>
              <w:t>M01 - Transfert de connaissances et actions d'information (article 14)</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sz w:val="12"/>
              </w:rPr>
              <w:t>X</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sz w:val="12"/>
              </w:rPr>
              <w:t>X</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r>
      <w:tr w:rsidR="0035701C">
        <w:tc>
          <w:tcPr>
            <w:tcW w:w="0" w:type="auto"/>
            <w:vMerge/>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left"/>
              <w:rPr>
                <w:sz w:val="12"/>
              </w:rPr>
            </w:pPr>
            <w:r>
              <w:rPr>
                <w:sz w:val="12"/>
              </w:rPr>
              <w:t>M04 - Investissements physiques (article 17)</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sz w:val="12"/>
              </w:rPr>
              <w:t>X</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FB561B">
            <w:pPr>
              <w:jc w:val="center"/>
              <w:rPr>
                <w:sz w:val="12"/>
              </w:rPr>
            </w:pPr>
            <w:r>
              <w:rPr>
                <w:sz w:val="12"/>
              </w:rPr>
              <w:t>X</w:t>
            </w:r>
          </w:p>
        </w:tc>
        <w:tc>
          <w:tcPr>
            <w:tcW w:w="0" w:type="auto"/>
            <w:shd w:val="clear" w:color="auto" w:fill="FFFFFF"/>
            <w:tcMar>
              <w:top w:w="20" w:type="dxa"/>
              <w:left w:w="20" w:type="dxa"/>
              <w:bottom w:w="20" w:type="dxa"/>
            </w:tcMar>
            <w:vAlign w:val="center"/>
          </w:tcPr>
          <w:p w:rsidR="0035701C" w:rsidRDefault="00FB561B">
            <w:pPr>
              <w:jc w:val="center"/>
              <w:rPr>
                <w:sz w:val="12"/>
              </w:rPr>
            </w:pPr>
            <w:r>
              <w:rPr>
                <w:sz w:val="12"/>
              </w:rPr>
              <w:t>X</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r>
      <w:tr w:rsidR="0035701C">
        <w:tc>
          <w:tcPr>
            <w:tcW w:w="0" w:type="auto"/>
            <w:vMerge/>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left"/>
              <w:rPr>
                <w:sz w:val="12"/>
              </w:rPr>
            </w:pPr>
            <w:r>
              <w:rPr>
                <w:sz w:val="12"/>
              </w:rPr>
              <w:t xml:space="preserve">M07 - Services de base et rénovation des villages dans les zones rurales (article 20) </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sz w:val="12"/>
              </w:rPr>
              <w:t>X</w:t>
            </w:r>
          </w:p>
        </w:tc>
        <w:tc>
          <w:tcPr>
            <w:tcW w:w="0" w:type="auto"/>
            <w:shd w:val="clear" w:color="auto" w:fill="FFFFFF"/>
            <w:tcMar>
              <w:top w:w="20" w:type="dxa"/>
              <w:left w:w="20" w:type="dxa"/>
              <w:bottom w:w="20" w:type="dxa"/>
            </w:tcMar>
            <w:vAlign w:val="center"/>
          </w:tcPr>
          <w:p w:rsidR="0035701C" w:rsidRDefault="0035701C">
            <w:pPr>
              <w:jc w:val="center"/>
              <w:rPr>
                <w:sz w:val="12"/>
              </w:rPr>
            </w:pPr>
          </w:p>
        </w:tc>
      </w:tr>
      <w:tr w:rsidR="0035701C">
        <w:tc>
          <w:tcPr>
            <w:tcW w:w="0" w:type="auto"/>
            <w:vMerge w:val="restart"/>
            <w:shd w:val="clear" w:color="auto" w:fill="FFFFFF"/>
            <w:tcMar>
              <w:top w:w="20" w:type="dxa"/>
              <w:left w:w="20" w:type="dxa"/>
              <w:bottom w:w="20" w:type="dxa"/>
            </w:tcMar>
            <w:vAlign w:val="center"/>
          </w:tcPr>
          <w:p w:rsidR="0035701C" w:rsidRDefault="00FB561B">
            <w:pPr>
              <w:jc w:val="center"/>
              <w:rPr>
                <w:sz w:val="12"/>
              </w:rPr>
            </w:pPr>
            <w:r>
              <w:rPr>
                <w:sz w:val="12"/>
              </w:rPr>
              <w:t>2B</w:t>
            </w:r>
          </w:p>
        </w:tc>
        <w:tc>
          <w:tcPr>
            <w:tcW w:w="0" w:type="auto"/>
            <w:shd w:val="clear" w:color="auto" w:fill="FFFFFF"/>
            <w:tcMar>
              <w:top w:w="20" w:type="dxa"/>
              <w:left w:w="20" w:type="dxa"/>
              <w:bottom w:w="20" w:type="dxa"/>
            </w:tcMar>
            <w:vAlign w:val="center"/>
          </w:tcPr>
          <w:p w:rsidR="0035701C" w:rsidRDefault="00FB561B">
            <w:pPr>
              <w:jc w:val="left"/>
              <w:rPr>
                <w:sz w:val="12"/>
              </w:rPr>
            </w:pPr>
            <w:r>
              <w:rPr>
                <w:sz w:val="12"/>
              </w:rPr>
              <w:t>M06 - Développement des exploitations agricoles et des entreprises (article 19)</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r>
      <w:tr w:rsidR="0035701C">
        <w:tc>
          <w:tcPr>
            <w:tcW w:w="0" w:type="auto"/>
            <w:vMerge w:val="restart"/>
            <w:shd w:val="clear" w:color="auto" w:fill="FFFFFF"/>
            <w:tcMar>
              <w:top w:w="20" w:type="dxa"/>
              <w:left w:w="20" w:type="dxa"/>
              <w:bottom w:w="20" w:type="dxa"/>
            </w:tcMar>
            <w:vAlign w:val="center"/>
          </w:tcPr>
          <w:p w:rsidR="0035701C" w:rsidRDefault="00FB561B">
            <w:pPr>
              <w:jc w:val="center"/>
              <w:rPr>
                <w:sz w:val="12"/>
              </w:rPr>
            </w:pPr>
            <w:r>
              <w:rPr>
                <w:sz w:val="12"/>
              </w:rPr>
              <w:t>3A</w:t>
            </w:r>
          </w:p>
        </w:tc>
        <w:tc>
          <w:tcPr>
            <w:tcW w:w="0" w:type="auto"/>
            <w:shd w:val="clear" w:color="auto" w:fill="FFFFFF"/>
            <w:tcMar>
              <w:top w:w="20" w:type="dxa"/>
              <w:left w:w="20" w:type="dxa"/>
              <w:bottom w:w="20" w:type="dxa"/>
            </w:tcMar>
            <w:vAlign w:val="center"/>
          </w:tcPr>
          <w:p w:rsidR="0035701C" w:rsidRDefault="00FB561B">
            <w:pPr>
              <w:jc w:val="left"/>
              <w:rPr>
                <w:sz w:val="12"/>
              </w:rPr>
            </w:pPr>
            <w:r>
              <w:rPr>
                <w:sz w:val="12"/>
              </w:rPr>
              <w:t xml:space="preserve">M04 - Investissements physiques (article </w:t>
            </w:r>
            <w:r>
              <w:rPr>
                <w:sz w:val="12"/>
              </w:rPr>
              <w:t>17)</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r>
      <w:tr w:rsidR="0035701C">
        <w:tc>
          <w:tcPr>
            <w:tcW w:w="0" w:type="auto"/>
            <w:vMerge w:val="restart"/>
            <w:shd w:val="clear" w:color="auto" w:fill="FFFFFF"/>
            <w:tcMar>
              <w:top w:w="20" w:type="dxa"/>
              <w:left w:w="20" w:type="dxa"/>
              <w:bottom w:w="20" w:type="dxa"/>
            </w:tcMar>
            <w:vAlign w:val="center"/>
          </w:tcPr>
          <w:p w:rsidR="0035701C" w:rsidRDefault="00FB561B">
            <w:pPr>
              <w:jc w:val="center"/>
              <w:rPr>
                <w:sz w:val="12"/>
              </w:rPr>
            </w:pPr>
            <w:r>
              <w:rPr>
                <w:sz w:val="12"/>
              </w:rPr>
              <w:t>3B</w:t>
            </w:r>
          </w:p>
        </w:tc>
        <w:tc>
          <w:tcPr>
            <w:tcW w:w="0" w:type="auto"/>
            <w:shd w:val="clear" w:color="auto" w:fill="FFFFFF"/>
            <w:tcMar>
              <w:top w:w="20" w:type="dxa"/>
              <w:left w:w="20" w:type="dxa"/>
              <w:bottom w:w="20" w:type="dxa"/>
            </w:tcMar>
            <w:vAlign w:val="center"/>
          </w:tcPr>
          <w:p w:rsidR="0035701C" w:rsidRDefault="00FB561B">
            <w:pPr>
              <w:jc w:val="left"/>
              <w:rPr>
                <w:sz w:val="12"/>
              </w:rPr>
            </w:pPr>
            <w:r>
              <w:rPr>
                <w:sz w:val="12"/>
              </w:rPr>
              <w:t xml:space="preserve">M05 - Reconstitution du potentiel de production agricole endommagé par des catastrophes naturelles et des événements catastrophiques et mise en place de mesures de prévention appropriées (article 18) </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FB561B">
            <w:pPr>
              <w:jc w:val="center"/>
              <w:rPr>
                <w:sz w:val="12"/>
              </w:rPr>
            </w:pPr>
            <w:r>
              <w:rPr>
                <w:sz w:val="12"/>
              </w:rPr>
              <w:t>X</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r>
      <w:tr w:rsidR="0035701C">
        <w:tc>
          <w:tcPr>
            <w:tcW w:w="0" w:type="auto"/>
            <w:vMerge w:val="restart"/>
            <w:shd w:val="clear" w:color="auto" w:fill="FFFFFF"/>
            <w:tcMar>
              <w:top w:w="20" w:type="dxa"/>
              <w:left w:w="20" w:type="dxa"/>
              <w:bottom w:w="20" w:type="dxa"/>
            </w:tcMar>
            <w:vAlign w:val="center"/>
          </w:tcPr>
          <w:p w:rsidR="0035701C" w:rsidRDefault="00FB561B">
            <w:pPr>
              <w:jc w:val="center"/>
              <w:rPr>
                <w:sz w:val="12"/>
              </w:rPr>
            </w:pPr>
            <w:r>
              <w:rPr>
                <w:sz w:val="12"/>
              </w:rPr>
              <w:t>5A</w:t>
            </w:r>
          </w:p>
        </w:tc>
        <w:tc>
          <w:tcPr>
            <w:tcW w:w="0" w:type="auto"/>
            <w:shd w:val="clear" w:color="auto" w:fill="FFFFFF"/>
            <w:tcMar>
              <w:top w:w="20" w:type="dxa"/>
              <w:left w:w="20" w:type="dxa"/>
              <w:bottom w:w="20" w:type="dxa"/>
            </w:tcMar>
            <w:vAlign w:val="center"/>
          </w:tcPr>
          <w:p w:rsidR="0035701C" w:rsidRDefault="00FB561B">
            <w:pPr>
              <w:jc w:val="left"/>
              <w:rPr>
                <w:sz w:val="12"/>
              </w:rPr>
            </w:pPr>
            <w:r>
              <w:rPr>
                <w:sz w:val="12"/>
              </w:rPr>
              <w:t xml:space="preserve">M04 </w:t>
            </w:r>
            <w:r>
              <w:rPr>
                <w:sz w:val="12"/>
              </w:rPr>
              <w:t>- Investissements physiques (article 17)</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r>
      <w:tr w:rsidR="0035701C">
        <w:tc>
          <w:tcPr>
            <w:tcW w:w="0" w:type="auto"/>
            <w:vMerge w:val="restart"/>
            <w:shd w:val="clear" w:color="auto" w:fill="FFFFFF"/>
            <w:tcMar>
              <w:top w:w="20" w:type="dxa"/>
              <w:left w:w="20" w:type="dxa"/>
              <w:bottom w:w="20" w:type="dxa"/>
            </w:tcMar>
            <w:vAlign w:val="center"/>
          </w:tcPr>
          <w:p w:rsidR="0035701C" w:rsidRDefault="00FB561B">
            <w:pPr>
              <w:jc w:val="center"/>
              <w:rPr>
                <w:sz w:val="12"/>
              </w:rPr>
            </w:pPr>
            <w:r>
              <w:rPr>
                <w:sz w:val="12"/>
              </w:rPr>
              <w:t>5E</w:t>
            </w:r>
          </w:p>
        </w:tc>
        <w:tc>
          <w:tcPr>
            <w:tcW w:w="0" w:type="auto"/>
            <w:shd w:val="clear" w:color="auto" w:fill="FFFFFF"/>
            <w:tcMar>
              <w:top w:w="20" w:type="dxa"/>
              <w:left w:w="20" w:type="dxa"/>
              <w:bottom w:w="20" w:type="dxa"/>
            </w:tcMar>
            <w:vAlign w:val="center"/>
          </w:tcPr>
          <w:p w:rsidR="0035701C" w:rsidRDefault="00FB561B">
            <w:pPr>
              <w:jc w:val="left"/>
              <w:rPr>
                <w:sz w:val="12"/>
              </w:rPr>
            </w:pPr>
            <w:r>
              <w:rPr>
                <w:sz w:val="12"/>
              </w:rPr>
              <w:t>M01 - Transfert de connaissances et actions d'information (article 14)</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r>
      <w:tr w:rsidR="0035701C">
        <w:tc>
          <w:tcPr>
            <w:tcW w:w="0" w:type="auto"/>
            <w:vMerge/>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left"/>
              <w:rPr>
                <w:sz w:val="12"/>
              </w:rPr>
            </w:pPr>
            <w:r>
              <w:rPr>
                <w:sz w:val="12"/>
              </w:rPr>
              <w:t>M04 - Investissements physiques (article 17)</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r>
      <w:tr w:rsidR="0035701C">
        <w:tc>
          <w:tcPr>
            <w:tcW w:w="0" w:type="auto"/>
            <w:vMerge/>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left"/>
              <w:rPr>
                <w:sz w:val="12"/>
              </w:rPr>
            </w:pPr>
            <w:r>
              <w:rPr>
                <w:sz w:val="12"/>
              </w:rPr>
              <w:t xml:space="preserve">M06 - Développement des </w:t>
            </w:r>
            <w:r>
              <w:rPr>
                <w:sz w:val="12"/>
              </w:rPr>
              <w:t>exploitations agricoles et des entreprises (article 19)</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sz w:val="12"/>
              </w:rPr>
              <w:t>X</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r>
      <w:tr w:rsidR="0035701C">
        <w:tc>
          <w:tcPr>
            <w:tcW w:w="0" w:type="auto"/>
            <w:vMerge/>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left"/>
              <w:rPr>
                <w:sz w:val="12"/>
              </w:rPr>
            </w:pPr>
            <w:r>
              <w:rPr>
                <w:sz w:val="12"/>
              </w:rPr>
              <w:t xml:space="preserve">M08 - Investissements dans le développement des zones forestières et amélioration de la viabilité des forêts (articles 21 à 26) </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sz w:val="12"/>
              </w:rPr>
              <w:t>X</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r>
      <w:tr w:rsidR="0035701C">
        <w:tc>
          <w:tcPr>
            <w:tcW w:w="0" w:type="auto"/>
            <w:vMerge w:val="restart"/>
            <w:shd w:val="clear" w:color="auto" w:fill="FFFFFF"/>
            <w:tcMar>
              <w:top w:w="20" w:type="dxa"/>
              <w:left w:w="20" w:type="dxa"/>
              <w:bottom w:w="20" w:type="dxa"/>
            </w:tcMar>
            <w:vAlign w:val="center"/>
          </w:tcPr>
          <w:p w:rsidR="0035701C" w:rsidRDefault="00FB561B">
            <w:pPr>
              <w:jc w:val="center"/>
              <w:rPr>
                <w:sz w:val="12"/>
              </w:rPr>
            </w:pPr>
            <w:r>
              <w:rPr>
                <w:sz w:val="12"/>
              </w:rPr>
              <w:t>6A</w:t>
            </w:r>
          </w:p>
        </w:tc>
        <w:tc>
          <w:tcPr>
            <w:tcW w:w="0" w:type="auto"/>
            <w:shd w:val="clear" w:color="auto" w:fill="FFFFFF"/>
            <w:tcMar>
              <w:top w:w="20" w:type="dxa"/>
              <w:left w:w="20" w:type="dxa"/>
              <w:bottom w:w="20" w:type="dxa"/>
            </w:tcMar>
            <w:vAlign w:val="center"/>
          </w:tcPr>
          <w:p w:rsidR="0035701C" w:rsidRDefault="00FB561B">
            <w:pPr>
              <w:jc w:val="left"/>
              <w:rPr>
                <w:sz w:val="12"/>
              </w:rPr>
            </w:pPr>
            <w:r>
              <w:rPr>
                <w:sz w:val="12"/>
              </w:rPr>
              <w:t xml:space="preserve">M06 - Développement des </w:t>
            </w:r>
            <w:r>
              <w:rPr>
                <w:sz w:val="12"/>
              </w:rPr>
              <w:t>exploitations agricoles et des entreprises (article 19)</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r>
      <w:tr w:rsidR="0035701C">
        <w:tc>
          <w:tcPr>
            <w:tcW w:w="0" w:type="auto"/>
            <w:vMerge w:val="restart"/>
            <w:shd w:val="clear" w:color="auto" w:fill="FFFFFF"/>
            <w:tcMar>
              <w:top w:w="20" w:type="dxa"/>
              <w:left w:w="20" w:type="dxa"/>
              <w:bottom w:w="20" w:type="dxa"/>
            </w:tcMar>
            <w:vAlign w:val="center"/>
          </w:tcPr>
          <w:p w:rsidR="0035701C" w:rsidRDefault="00FB561B">
            <w:pPr>
              <w:jc w:val="center"/>
              <w:rPr>
                <w:sz w:val="12"/>
              </w:rPr>
            </w:pPr>
            <w:r>
              <w:rPr>
                <w:sz w:val="12"/>
              </w:rPr>
              <w:t>6B</w:t>
            </w:r>
          </w:p>
        </w:tc>
        <w:tc>
          <w:tcPr>
            <w:tcW w:w="0" w:type="auto"/>
            <w:shd w:val="clear" w:color="auto" w:fill="FFFFFF"/>
            <w:tcMar>
              <w:top w:w="20" w:type="dxa"/>
              <w:left w:w="20" w:type="dxa"/>
              <w:bottom w:w="20" w:type="dxa"/>
            </w:tcMar>
            <w:vAlign w:val="center"/>
          </w:tcPr>
          <w:p w:rsidR="0035701C" w:rsidRDefault="00FB561B">
            <w:pPr>
              <w:jc w:val="left"/>
              <w:rPr>
                <w:sz w:val="12"/>
              </w:rPr>
            </w:pPr>
            <w:r>
              <w:rPr>
                <w:sz w:val="12"/>
              </w:rPr>
              <w:t xml:space="preserve">M07 - Services de base et rénovation des villages dans les zones rurales (article 20) </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35701C">
            <w:pPr>
              <w:jc w:val="center"/>
              <w:rPr>
                <w:sz w:val="12"/>
              </w:rPr>
            </w:pPr>
          </w:p>
        </w:tc>
      </w:tr>
      <w:tr w:rsidR="0035701C">
        <w:tc>
          <w:tcPr>
            <w:tcW w:w="0" w:type="auto"/>
            <w:vMerge/>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left"/>
              <w:rPr>
                <w:sz w:val="12"/>
              </w:rPr>
            </w:pPr>
            <w:r>
              <w:rPr>
                <w:sz w:val="12"/>
              </w:rPr>
              <w:t xml:space="preserve">M19 - Soutien au développement local Leader (CLLD - développement </w:t>
            </w:r>
            <w:r>
              <w:rPr>
                <w:sz w:val="12"/>
              </w:rPr>
              <w:t>local mené par les acteurs locaux) (article 35 du règlement (UE) n° 1303/2013)</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35701C">
            <w:pPr>
              <w:jc w:val="center"/>
              <w:rPr>
                <w:sz w:val="12"/>
              </w:rPr>
            </w:pPr>
          </w:p>
        </w:tc>
      </w:tr>
      <w:tr w:rsidR="0035701C">
        <w:tc>
          <w:tcPr>
            <w:tcW w:w="0" w:type="auto"/>
            <w:vMerge w:val="restart"/>
            <w:shd w:val="clear" w:color="auto" w:fill="FFFFFF"/>
            <w:tcMar>
              <w:top w:w="20" w:type="dxa"/>
              <w:left w:w="20" w:type="dxa"/>
              <w:bottom w:w="20" w:type="dxa"/>
            </w:tcMar>
            <w:vAlign w:val="center"/>
          </w:tcPr>
          <w:p w:rsidR="0035701C" w:rsidRDefault="00FB561B">
            <w:pPr>
              <w:jc w:val="center"/>
              <w:rPr>
                <w:sz w:val="12"/>
              </w:rPr>
            </w:pPr>
            <w:r>
              <w:rPr>
                <w:sz w:val="12"/>
              </w:rPr>
              <w:t>P4 (FOREST)</w:t>
            </w:r>
          </w:p>
        </w:tc>
        <w:tc>
          <w:tcPr>
            <w:tcW w:w="0" w:type="auto"/>
            <w:shd w:val="clear" w:color="auto" w:fill="FFFFFF"/>
            <w:tcMar>
              <w:top w:w="20" w:type="dxa"/>
              <w:left w:w="20" w:type="dxa"/>
              <w:bottom w:w="20" w:type="dxa"/>
            </w:tcMar>
            <w:vAlign w:val="center"/>
          </w:tcPr>
          <w:p w:rsidR="0035701C" w:rsidRDefault="00FB561B">
            <w:pPr>
              <w:jc w:val="left"/>
              <w:rPr>
                <w:sz w:val="12"/>
              </w:rPr>
            </w:pPr>
            <w:r>
              <w:rPr>
                <w:sz w:val="12"/>
              </w:rPr>
              <w:t xml:space="preserve">M08 - Investissements dans le développement des zones forestières et amélioration de la viabilité des forêts (articles 21 à 26) </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gridSpan w:val="2"/>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r>
      <w:tr w:rsidR="0035701C">
        <w:tc>
          <w:tcPr>
            <w:tcW w:w="0" w:type="auto"/>
            <w:vMerge w:val="restart"/>
            <w:shd w:val="clear" w:color="auto" w:fill="FFFFFF"/>
            <w:tcMar>
              <w:top w:w="20" w:type="dxa"/>
              <w:left w:w="20" w:type="dxa"/>
              <w:bottom w:w="20" w:type="dxa"/>
            </w:tcMar>
            <w:vAlign w:val="center"/>
          </w:tcPr>
          <w:p w:rsidR="0035701C" w:rsidRDefault="00FB561B">
            <w:pPr>
              <w:jc w:val="center"/>
              <w:rPr>
                <w:sz w:val="12"/>
              </w:rPr>
            </w:pPr>
            <w:r>
              <w:rPr>
                <w:sz w:val="12"/>
              </w:rPr>
              <w:t>P4 (AGRI)</w:t>
            </w:r>
          </w:p>
        </w:tc>
        <w:tc>
          <w:tcPr>
            <w:tcW w:w="0" w:type="auto"/>
            <w:shd w:val="clear" w:color="auto" w:fill="FFFFFF"/>
            <w:tcMar>
              <w:top w:w="20" w:type="dxa"/>
              <w:left w:w="20" w:type="dxa"/>
              <w:bottom w:w="20" w:type="dxa"/>
            </w:tcMar>
            <w:vAlign w:val="center"/>
          </w:tcPr>
          <w:p w:rsidR="0035701C" w:rsidRDefault="00FB561B">
            <w:pPr>
              <w:jc w:val="left"/>
              <w:rPr>
                <w:sz w:val="12"/>
              </w:rPr>
            </w:pPr>
            <w:r>
              <w:rPr>
                <w:sz w:val="12"/>
              </w:rPr>
              <w:t>M04 - Investissements physiques (article 17)</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gridSpan w:val="2"/>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r>
      <w:tr w:rsidR="0035701C">
        <w:tc>
          <w:tcPr>
            <w:tcW w:w="0" w:type="auto"/>
            <w:vMerge/>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left"/>
              <w:rPr>
                <w:sz w:val="12"/>
              </w:rPr>
            </w:pPr>
            <w:r>
              <w:rPr>
                <w:sz w:val="12"/>
              </w:rPr>
              <w:t xml:space="preserve">M07 - Services de base et rénovation des villages dans les zones rurales (article 20) </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gridSpan w:val="2"/>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sz w:val="12"/>
              </w:rPr>
              <w:t>X</w:t>
            </w:r>
          </w:p>
        </w:tc>
        <w:tc>
          <w:tcPr>
            <w:tcW w:w="0" w:type="auto"/>
            <w:shd w:val="clear" w:color="auto" w:fill="FFFFFF"/>
            <w:tcMar>
              <w:top w:w="20" w:type="dxa"/>
              <w:left w:w="20" w:type="dxa"/>
              <w:bottom w:w="20" w:type="dxa"/>
            </w:tcMar>
            <w:vAlign w:val="center"/>
          </w:tcPr>
          <w:p w:rsidR="0035701C" w:rsidRDefault="0035701C">
            <w:pPr>
              <w:jc w:val="center"/>
              <w:rPr>
                <w:sz w:val="12"/>
              </w:rPr>
            </w:pPr>
          </w:p>
        </w:tc>
      </w:tr>
      <w:tr w:rsidR="0035701C">
        <w:tc>
          <w:tcPr>
            <w:tcW w:w="0" w:type="auto"/>
            <w:vMerge/>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left"/>
              <w:rPr>
                <w:sz w:val="12"/>
              </w:rPr>
            </w:pPr>
            <w:r>
              <w:rPr>
                <w:sz w:val="12"/>
              </w:rPr>
              <w:t>M10 - Agroenvironnement - climat (article 28)</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gridSpan w:val="2"/>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r>
      <w:tr w:rsidR="0035701C">
        <w:tc>
          <w:tcPr>
            <w:tcW w:w="0" w:type="auto"/>
            <w:vMerge/>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left"/>
              <w:rPr>
                <w:sz w:val="12"/>
              </w:rPr>
            </w:pPr>
            <w:r>
              <w:rPr>
                <w:sz w:val="12"/>
              </w:rPr>
              <w:t>M11 - Agriculture biologique (article 29)</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gridSpan w:val="2"/>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r>
      <w:tr w:rsidR="0035701C">
        <w:tc>
          <w:tcPr>
            <w:tcW w:w="0" w:type="auto"/>
            <w:vMerge/>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left"/>
              <w:rPr>
                <w:sz w:val="12"/>
              </w:rPr>
            </w:pPr>
            <w:r>
              <w:rPr>
                <w:sz w:val="12"/>
              </w:rPr>
              <w:t>M13 - Paiements en faveur des zones soumises à des contraintes naturelles ou à d'autres contraintes spécifiques (article 31)</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gridSpan w:val="2"/>
            <w:shd w:val="clear" w:color="auto" w:fill="FFFFFF"/>
            <w:tcMar>
              <w:top w:w="20" w:type="dxa"/>
              <w:left w:w="20" w:type="dxa"/>
              <w:bottom w:w="20" w:type="dxa"/>
            </w:tcMar>
            <w:vAlign w:val="center"/>
          </w:tcPr>
          <w:p w:rsidR="0035701C" w:rsidRDefault="00FB561B">
            <w:pPr>
              <w:jc w:val="center"/>
              <w:rPr>
                <w:sz w:val="12"/>
              </w:rPr>
            </w:pPr>
            <w:r>
              <w:rPr>
                <w:b/>
                <w:sz w:val="12"/>
              </w:rPr>
              <w:t>P</w:t>
            </w: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gridSpan w:val="2"/>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c>
          <w:tcPr>
            <w:tcW w:w="0" w:type="auto"/>
            <w:shd w:val="clear" w:color="auto" w:fill="FFFFFF"/>
            <w:tcMar>
              <w:top w:w="20" w:type="dxa"/>
              <w:left w:w="20" w:type="dxa"/>
              <w:bottom w:w="20" w:type="dxa"/>
            </w:tcMar>
            <w:vAlign w:val="center"/>
          </w:tcPr>
          <w:p w:rsidR="0035701C" w:rsidRDefault="0035701C">
            <w:pPr>
              <w:jc w:val="center"/>
              <w:rPr>
                <w:sz w:val="12"/>
              </w:rPr>
            </w:pPr>
          </w:p>
        </w:tc>
      </w:tr>
    </w:tbl>
    <w:p w:rsidR="0035701C" w:rsidRDefault="0035701C">
      <w:pPr>
        <w:sectPr w:rsidR="0035701C">
          <w:pgSz w:w="15840" w:h="12240" w:orient="landscape"/>
          <w:pgMar w:top="900" w:right="46" w:bottom="900" w:left="46" w:header="720" w:footer="720" w:gutter="0"/>
          <w:cols w:space="720"/>
        </w:sectPr>
      </w:pPr>
    </w:p>
    <w:p w:rsidR="0035701C" w:rsidRDefault="00FB561B">
      <w:pPr>
        <w:pStyle w:val="Titre2"/>
      </w:pPr>
      <w:r>
        <w:t xml:space="preserve"> </w:t>
      </w:r>
      <w:bookmarkStart w:id="147" w:name="_Toc256000146"/>
      <w:r>
        <w:t xml:space="preserve">Tableau montrant </w:t>
      </w:r>
      <w:r>
        <w:t>comment les mesures/régimes environnementaux sont programmés pour la réalisation d’un ou de plusieurs objectifs environnementaux/climatiques</w:t>
      </w:r>
      <w:bookmarkEnd w:id="147"/>
    </w:p>
    <w:p w:rsidR="0035701C" w:rsidRDefault="00FB561B">
      <w:pPr>
        <w:pStyle w:val="Titre3"/>
        <w:jc w:val="left"/>
      </w:pPr>
      <w:r>
        <w:t xml:space="preserve"> </w:t>
      </w:r>
      <w:bookmarkStart w:id="148" w:name="_Toc256000147"/>
      <w:r>
        <w:t>Terres agricoles</w:t>
      </w:r>
      <w:bookmarkEnd w:id="148"/>
    </w:p>
    <w:p w:rsidR="0035701C" w:rsidRDefault="00FB561B">
      <w:pPr>
        <w:pStyle w:val="Titre4"/>
        <w:jc w:val="left"/>
      </w:pPr>
      <w:r>
        <w:t>M10 - Agroenvironnement - climat (article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4"/>
        <w:gridCol w:w="1584"/>
        <w:gridCol w:w="1584"/>
        <w:gridCol w:w="1584"/>
        <w:gridCol w:w="1584"/>
        <w:gridCol w:w="1584"/>
        <w:gridCol w:w="1584"/>
        <w:gridCol w:w="1584"/>
        <w:gridCol w:w="1584"/>
      </w:tblGrid>
      <w:tr w:rsidR="0035701C">
        <w:tc>
          <w:tcPr>
            <w:tcW w:w="1000" w:type="pct"/>
            <w:shd w:val="clear" w:color="auto" w:fill="C0C0C0"/>
            <w:tcMar>
              <w:top w:w="60" w:type="dxa"/>
            </w:tcMar>
          </w:tcPr>
          <w:p w:rsidR="0035701C" w:rsidRDefault="00FB561B">
            <w:pPr>
              <w:jc w:val="center"/>
              <w:rPr>
                <w:b/>
                <w:sz w:val="20"/>
              </w:rPr>
            </w:pPr>
            <w:r>
              <w:rPr>
                <w:b/>
                <w:sz w:val="20"/>
              </w:rPr>
              <w:t>Type d’opération ou groupe de types d’opération</w:t>
            </w:r>
          </w:p>
        </w:tc>
        <w:tc>
          <w:tcPr>
            <w:tcW w:w="1000" w:type="pct"/>
            <w:shd w:val="clear" w:color="auto" w:fill="C0C0C0"/>
            <w:tcMar>
              <w:top w:w="60" w:type="dxa"/>
            </w:tcMar>
          </w:tcPr>
          <w:p w:rsidR="0035701C" w:rsidRDefault="00FB561B">
            <w:pPr>
              <w:jc w:val="center"/>
              <w:rPr>
                <w:b/>
                <w:sz w:val="20"/>
              </w:rPr>
            </w:pPr>
            <w:r>
              <w:rPr>
                <w:b/>
                <w:sz w:val="20"/>
              </w:rPr>
              <w:t>Typologie des mesures agroenvironnementales et climatiques (AECM)</w:t>
            </w:r>
          </w:p>
        </w:tc>
        <w:tc>
          <w:tcPr>
            <w:tcW w:w="1000" w:type="pct"/>
            <w:shd w:val="clear" w:color="auto" w:fill="C0C0C0"/>
            <w:tcMar>
              <w:top w:w="60" w:type="dxa"/>
            </w:tcMar>
          </w:tcPr>
          <w:p w:rsidR="0035701C" w:rsidRDefault="00FB561B">
            <w:pPr>
              <w:jc w:val="center"/>
              <w:rPr>
                <w:b/>
                <w:sz w:val="20"/>
              </w:rPr>
            </w:pPr>
            <w:r>
              <w:rPr>
                <w:b/>
                <w:sz w:val="20"/>
              </w:rPr>
              <w:t>Dépenses totales (EUR)</w:t>
            </w:r>
          </w:p>
        </w:tc>
        <w:tc>
          <w:tcPr>
            <w:tcW w:w="1000" w:type="pct"/>
            <w:shd w:val="clear" w:color="auto" w:fill="C0C0C0"/>
            <w:tcMar>
              <w:top w:w="60" w:type="dxa"/>
            </w:tcMar>
          </w:tcPr>
          <w:p w:rsidR="0035701C" w:rsidRDefault="00FB561B">
            <w:pPr>
              <w:jc w:val="center"/>
              <w:rPr>
                <w:b/>
                <w:sz w:val="20"/>
              </w:rPr>
            </w:pPr>
            <w:r>
              <w:rPr>
                <w:b/>
                <w:sz w:val="20"/>
              </w:rPr>
              <w:t>Superficie totale (ha) par mesure ou par type d’opération</w:t>
            </w:r>
          </w:p>
        </w:tc>
        <w:tc>
          <w:tcPr>
            <w:tcW w:w="1000" w:type="pct"/>
            <w:shd w:val="clear" w:color="auto" w:fill="C0C0C0"/>
            <w:tcMar>
              <w:top w:w="60" w:type="dxa"/>
            </w:tcMar>
          </w:tcPr>
          <w:p w:rsidR="0035701C" w:rsidRDefault="00FB561B">
            <w:pPr>
              <w:jc w:val="center"/>
              <w:rPr>
                <w:b/>
                <w:sz w:val="20"/>
              </w:rPr>
            </w:pPr>
            <w:r>
              <w:rPr>
                <w:b/>
                <w:sz w:val="20"/>
              </w:rPr>
              <w:t>Biodiversité domaine prioritaire 4A</w:t>
            </w:r>
          </w:p>
        </w:tc>
        <w:tc>
          <w:tcPr>
            <w:tcW w:w="1000" w:type="pct"/>
            <w:shd w:val="clear" w:color="auto" w:fill="C0C0C0"/>
            <w:tcMar>
              <w:top w:w="60" w:type="dxa"/>
            </w:tcMar>
          </w:tcPr>
          <w:p w:rsidR="0035701C" w:rsidRDefault="00FB561B">
            <w:pPr>
              <w:jc w:val="center"/>
              <w:rPr>
                <w:b/>
                <w:sz w:val="20"/>
              </w:rPr>
            </w:pPr>
            <w:r>
              <w:rPr>
                <w:b/>
                <w:sz w:val="20"/>
              </w:rPr>
              <w:t>Gestion de l’eau domaine prioritaire 4B</w:t>
            </w:r>
          </w:p>
        </w:tc>
        <w:tc>
          <w:tcPr>
            <w:tcW w:w="1000" w:type="pct"/>
            <w:shd w:val="clear" w:color="auto" w:fill="C0C0C0"/>
            <w:tcMar>
              <w:top w:w="60" w:type="dxa"/>
            </w:tcMar>
          </w:tcPr>
          <w:p w:rsidR="0035701C" w:rsidRDefault="00FB561B">
            <w:pPr>
              <w:jc w:val="center"/>
              <w:rPr>
                <w:b/>
                <w:sz w:val="20"/>
              </w:rPr>
            </w:pPr>
            <w:r>
              <w:rPr>
                <w:b/>
                <w:sz w:val="20"/>
              </w:rPr>
              <w:t>Gestion des sols domaine priorita</w:t>
            </w:r>
            <w:r>
              <w:rPr>
                <w:b/>
                <w:sz w:val="20"/>
              </w:rPr>
              <w:t>ire 4C</w:t>
            </w:r>
          </w:p>
        </w:tc>
        <w:tc>
          <w:tcPr>
            <w:tcW w:w="1000" w:type="pct"/>
            <w:shd w:val="clear" w:color="auto" w:fill="C0C0C0"/>
            <w:tcMar>
              <w:top w:w="60" w:type="dxa"/>
            </w:tcMar>
          </w:tcPr>
          <w:p w:rsidR="0035701C" w:rsidRDefault="00FB561B">
            <w:pPr>
              <w:jc w:val="center"/>
              <w:rPr>
                <w:b/>
                <w:sz w:val="20"/>
              </w:rPr>
            </w:pPr>
            <w:r>
              <w:rPr>
                <w:b/>
                <w:sz w:val="20"/>
              </w:rPr>
              <w:t>Réduction des émissions de gaz à effet de serre et d’ammoniac domaine prioritaire 5D</w:t>
            </w:r>
          </w:p>
        </w:tc>
        <w:tc>
          <w:tcPr>
            <w:tcW w:w="1000" w:type="pct"/>
            <w:shd w:val="clear" w:color="auto" w:fill="C0C0C0"/>
            <w:tcMar>
              <w:top w:w="60" w:type="dxa"/>
            </w:tcMar>
          </w:tcPr>
          <w:p w:rsidR="0035701C" w:rsidRDefault="00FB561B">
            <w:pPr>
              <w:jc w:val="center"/>
              <w:rPr>
                <w:sz w:val="20"/>
              </w:rPr>
            </w:pPr>
            <w:r>
              <w:rPr>
                <w:b/>
                <w:sz w:val="20"/>
              </w:rPr>
              <w:t>Séquestration/conservation du carbone domaine prioritaire 5E</w:t>
            </w:r>
          </w:p>
        </w:tc>
      </w:tr>
      <w:tr w:rsidR="0035701C">
        <w:tc>
          <w:tcPr>
            <w:tcW w:w="1000" w:type="pct"/>
            <w:shd w:val="clear" w:color="auto" w:fill="FFFFFF"/>
            <w:tcMar>
              <w:top w:w="60" w:type="dxa"/>
            </w:tcMar>
          </w:tcPr>
          <w:p w:rsidR="0035701C" w:rsidRDefault="00FB561B">
            <w:pPr>
              <w:jc w:val="left"/>
              <w:rPr>
                <w:sz w:val="16"/>
              </w:rPr>
            </w:pPr>
            <w:r>
              <w:rPr>
                <w:sz w:val="16"/>
              </w:rPr>
              <w:t>MAEC-7,29,30,33,34,35,36,37,39,40,41</w:t>
            </w:r>
          </w:p>
        </w:tc>
        <w:tc>
          <w:tcPr>
            <w:tcW w:w="1000" w:type="pct"/>
            <w:shd w:val="clear" w:color="auto" w:fill="FFFFFF"/>
            <w:tcMar>
              <w:top w:w="60" w:type="dxa"/>
            </w:tcMar>
          </w:tcPr>
          <w:p w:rsidR="0035701C" w:rsidRDefault="00FB561B">
            <w:pPr>
              <w:jc w:val="left"/>
              <w:rPr>
                <w:sz w:val="16"/>
              </w:rPr>
            </w:pPr>
            <w:r>
              <w:rPr>
                <w:sz w:val="16"/>
              </w:rPr>
              <w:t>Meilleure gestion, réduction des engrais et pesticides minéraux (</w:t>
            </w:r>
            <w:r>
              <w:rPr>
                <w:sz w:val="16"/>
              </w:rPr>
              <w:t>y compris production intégrée)</w:t>
            </w:r>
          </w:p>
        </w:tc>
        <w:tc>
          <w:tcPr>
            <w:tcW w:w="750" w:type="pct"/>
            <w:shd w:val="clear" w:color="auto" w:fill="FFFFFF"/>
            <w:tcMar>
              <w:top w:w="60" w:type="dxa"/>
            </w:tcMar>
          </w:tcPr>
          <w:p w:rsidR="0035701C" w:rsidRDefault="00FB561B">
            <w:pPr>
              <w:jc w:val="right"/>
              <w:rPr>
                <w:sz w:val="16"/>
              </w:rPr>
            </w:pPr>
            <w:r>
              <w:rPr>
                <w:sz w:val="16"/>
              </w:rPr>
              <w:t>2 500 000,00</w:t>
            </w:r>
          </w:p>
        </w:tc>
        <w:tc>
          <w:tcPr>
            <w:tcW w:w="750" w:type="pct"/>
            <w:shd w:val="clear" w:color="auto" w:fill="FFFFFF"/>
            <w:tcMar>
              <w:top w:w="60" w:type="dxa"/>
            </w:tcMar>
          </w:tcPr>
          <w:p w:rsidR="0035701C" w:rsidRDefault="00FB561B">
            <w:pPr>
              <w:jc w:val="right"/>
              <w:rPr>
                <w:sz w:val="16"/>
              </w:rPr>
            </w:pPr>
            <w:r>
              <w:rPr>
                <w:sz w:val="16"/>
              </w:rPr>
              <w:t>1 500,00</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750" w:type="pct"/>
            <w:shd w:val="clear" w:color="auto" w:fill="FFFFFF"/>
            <w:tcMar>
              <w:top w:w="60" w:type="dxa"/>
            </w:tcMar>
          </w:tcPr>
          <w:p w:rsidR="0035701C" w:rsidRDefault="00FB561B">
            <w:pPr>
              <w:jc w:val="center"/>
              <w:rPr>
                <w:sz w:val="20"/>
              </w:rPr>
            </w:pPr>
            <w:r>
              <w:rPr>
                <w:sz w:val="20"/>
              </w:rPr>
              <w:t xml:space="preserve"> X </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750" w:type="pct"/>
            <w:shd w:val="clear" w:color="auto" w:fill="FFFFFF"/>
            <w:tcMar>
              <w:top w:w="60" w:type="dxa"/>
            </w:tcMar>
          </w:tcPr>
          <w:p w:rsidR="0035701C" w:rsidRDefault="00FB561B">
            <w:pPr>
              <w:jc w:val="center"/>
              <w:rPr>
                <w:sz w:val="20"/>
              </w:rPr>
            </w:pPr>
            <w:r>
              <w:rPr>
                <w:sz w:val="20"/>
              </w:rPr>
              <w:t xml:space="preserve">   </w:t>
            </w:r>
          </w:p>
        </w:tc>
      </w:tr>
      <w:tr w:rsidR="0035701C">
        <w:tc>
          <w:tcPr>
            <w:tcW w:w="1000" w:type="pct"/>
            <w:shd w:val="clear" w:color="auto" w:fill="FFFFFF"/>
            <w:tcMar>
              <w:top w:w="60" w:type="dxa"/>
            </w:tcMar>
          </w:tcPr>
          <w:p w:rsidR="0035701C" w:rsidRDefault="00FB561B">
            <w:pPr>
              <w:jc w:val="left"/>
              <w:rPr>
                <w:sz w:val="16"/>
              </w:rPr>
            </w:pPr>
            <w:r>
              <w:rPr>
                <w:sz w:val="16"/>
              </w:rPr>
              <w:t>MAEC-1,2,3,6,8,9,10,11,12,13,14,15,16,17,18,19,20,21,22,23,24,25,26,27,28,43</w:t>
            </w:r>
          </w:p>
        </w:tc>
        <w:tc>
          <w:tcPr>
            <w:tcW w:w="1000" w:type="pct"/>
            <w:shd w:val="clear" w:color="auto" w:fill="FFFFFF"/>
            <w:tcMar>
              <w:top w:w="60" w:type="dxa"/>
            </w:tcMar>
          </w:tcPr>
          <w:p w:rsidR="0035701C" w:rsidRDefault="00FB561B">
            <w:pPr>
              <w:jc w:val="left"/>
              <w:rPr>
                <w:sz w:val="16"/>
              </w:rPr>
            </w:pPr>
            <w:r>
              <w:rPr>
                <w:sz w:val="16"/>
              </w:rPr>
              <w:t>Entretien des systèmes de terres arables et prairies à haute valeur naturelle (par exemple, techniques de</w:t>
            </w:r>
            <w:r>
              <w:rPr>
                <w:sz w:val="16"/>
              </w:rPr>
              <w:t xml:space="preserve"> fauchage, labour manuel, coupe de la chaume hivernale sur les terres arables), introduction de pratiques étendues de pâturage, conversion de terres arables en prairies.</w:t>
            </w:r>
          </w:p>
        </w:tc>
        <w:tc>
          <w:tcPr>
            <w:tcW w:w="750" w:type="pct"/>
            <w:shd w:val="clear" w:color="auto" w:fill="FFFFFF"/>
            <w:tcMar>
              <w:top w:w="60" w:type="dxa"/>
            </w:tcMar>
          </w:tcPr>
          <w:p w:rsidR="0035701C" w:rsidRDefault="00FB561B">
            <w:pPr>
              <w:jc w:val="right"/>
              <w:rPr>
                <w:sz w:val="16"/>
              </w:rPr>
            </w:pPr>
            <w:r>
              <w:rPr>
                <w:sz w:val="16"/>
              </w:rPr>
              <w:t>11 000 000,00</w:t>
            </w:r>
          </w:p>
        </w:tc>
        <w:tc>
          <w:tcPr>
            <w:tcW w:w="750" w:type="pct"/>
            <w:shd w:val="clear" w:color="auto" w:fill="FFFFFF"/>
            <w:tcMar>
              <w:top w:w="60" w:type="dxa"/>
            </w:tcMar>
          </w:tcPr>
          <w:p w:rsidR="0035701C" w:rsidRDefault="00FB561B">
            <w:pPr>
              <w:jc w:val="right"/>
              <w:rPr>
                <w:sz w:val="16"/>
              </w:rPr>
            </w:pPr>
            <w:r>
              <w:rPr>
                <w:sz w:val="16"/>
              </w:rPr>
              <w:t>6 000,00</w:t>
            </w:r>
          </w:p>
        </w:tc>
        <w:tc>
          <w:tcPr>
            <w:tcW w:w="750" w:type="pct"/>
            <w:shd w:val="clear" w:color="auto" w:fill="FFFFFF"/>
            <w:tcMar>
              <w:top w:w="60" w:type="dxa"/>
            </w:tcMar>
          </w:tcPr>
          <w:p w:rsidR="0035701C" w:rsidRDefault="00FB561B">
            <w:pPr>
              <w:jc w:val="center"/>
              <w:rPr>
                <w:sz w:val="20"/>
              </w:rPr>
            </w:pPr>
            <w:r>
              <w:rPr>
                <w:sz w:val="20"/>
              </w:rPr>
              <w:t xml:space="preserve"> X </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750" w:type="pct"/>
            <w:shd w:val="clear" w:color="auto" w:fill="FFFFFF"/>
            <w:tcMar>
              <w:top w:w="60" w:type="dxa"/>
            </w:tcMar>
          </w:tcPr>
          <w:p w:rsidR="0035701C" w:rsidRDefault="00FB561B">
            <w:pPr>
              <w:jc w:val="center"/>
              <w:rPr>
                <w:sz w:val="20"/>
              </w:rPr>
            </w:pPr>
            <w:r>
              <w:rPr>
                <w:sz w:val="20"/>
              </w:rPr>
              <w:t xml:space="preserve">   </w:t>
            </w:r>
          </w:p>
        </w:tc>
      </w:tr>
      <w:tr w:rsidR="0035701C">
        <w:tc>
          <w:tcPr>
            <w:tcW w:w="1000" w:type="pct"/>
            <w:shd w:val="clear" w:color="auto" w:fill="FFFFFF"/>
            <w:tcMar>
              <w:top w:w="60" w:type="dxa"/>
            </w:tcMar>
          </w:tcPr>
          <w:p w:rsidR="0035701C" w:rsidRDefault="00FB561B">
            <w:pPr>
              <w:jc w:val="left"/>
              <w:rPr>
                <w:sz w:val="16"/>
              </w:rPr>
            </w:pPr>
            <w:r>
              <w:rPr>
                <w:sz w:val="16"/>
              </w:rPr>
              <w:t>MAEC-4,5,31,32,38,42</w:t>
            </w:r>
          </w:p>
        </w:tc>
        <w:tc>
          <w:tcPr>
            <w:tcW w:w="1000" w:type="pct"/>
            <w:shd w:val="clear" w:color="auto" w:fill="FFFFFF"/>
            <w:tcMar>
              <w:top w:w="60" w:type="dxa"/>
            </w:tcMar>
          </w:tcPr>
          <w:p w:rsidR="0035701C" w:rsidRDefault="00FB561B">
            <w:pPr>
              <w:jc w:val="left"/>
              <w:rPr>
                <w:sz w:val="16"/>
              </w:rPr>
            </w:pPr>
            <w:r>
              <w:rPr>
                <w:sz w:val="16"/>
              </w:rPr>
              <w:t xml:space="preserve">Sol de couverture, </w:t>
            </w:r>
            <w:r>
              <w:rPr>
                <w:sz w:val="16"/>
              </w:rPr>
              <w:t>techniques de labour, travail du sol réduit, agriculture de conservation</w:t>
            </w:r>
          </w:p>
        </w:tc>
        <w:tc>
          <w:tcPr>
            <w:tcW w:w="750" w:type="pct"/>
            <w:shd w:val="clear" w:color="auto" w:fill="FFFFFF"/>
            <w:tcMar>
              <w:top w:w="60" w:type="dxa"/>
            </w:tcMar>
          </w:tcPr>
          <w:p w:rsidR="0035701C" w:rsidRDefault="00FB561B">
            <w:pPr>
              <w:jc w:val="right"/>
              <w:rPr>
                <w:sz w:val="16"/>
              </w:rPr>
            </w:pPr>
            <w:r>
              <w:rPr>
                <w:sz w:val="16"/>
              </w:rPr>
              <w:t>1 500 000,00</w:t>
            </w:r>
          </w:p>
        </w:tc>
        <w:tc>
          <w:tcPr>
            <w:tcW w:w="750" w:type="pct"/>
            <w:shd w:val="clear" w:color="auto" w:fill="FFFFFF"/>
            <w:tcMar>
              <w:top w:w="60" w:type="dxa"/>
            </w:tcMar>
          </w:tcPr>
          <w:p w:rsidR="0035701C" w:rsidRDefault="00FB561B">
            <w:pPr>
              <w:jc w:val="right"/>
              <w:rPr>
                <w:sz w:val="16"/>
              </w:rPr>
            </w:pPr>
            <w:r>
              <w:rPr>
                <w:sz w:val="16"/>
              </w:rPr>
              <w:t>1 500,00</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750" w:type="pct"/>
            <w:shd w:val="clear" w:color="auto" w:fill="FFFFFF"/>
            <w:tcMar>
              <w:top w:w="60" w:type="dxa"/>
            </w:tcMar>
          </w:tcPr>
          <w:p w:rsidR="0035701C" w:rsidRDefault="00FB561B">
            <w:pPr>
              <w:jc w:val="center"/>
              <w:rPr>
                <w:sz w:val="20"/>
              </w:rPr>
            </w:pPr>
            <w:r>
              <w:rPr>
                <w:sz w:val="20"/>
              </w:rPr>
              <w:t xml:space="preserve"> X </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750" w:type="pct"/>
            <w:shd w:val="clear" w:color="auto" w:fill="FFFFFF"/>
            <w:tcMar>
              <w:top w:w="60" w:type="dxa"/>
            </w:tcMar>
          </w:tcPr>
          <w:p w:rsidR="0035701C" w:rsidRDefault="00FB561B">
            <w:pPr>
              <w:jc w:val="center"/>
              <w:rPr>
                <w:sz w:val="20"/>
              </w:rPr>
            </w:pPr>
            <w:r>
              <w:rPr>
                <w:sz w:val="20"/>
              </w:rPr>
              <w:t xml:space="preserve">   </w:t>
            </w:r>
          </w:p>
        </w:tc>
      </w:tr>
      <w:tr w:rsidR="0035701C">
        <w:tc>
          <w:tcPr>
            <w:tcW w:w="1000" w:type="pct"/>
            <w:shd w:val="clear" w:color="auto" w:fill="FFFFFF"/>
            <w:tcMar>
              <w:top w:w="60" w:type="dxa"/>
            </w:tcMar>
          </w:tcPr>
          <w:p w:rsidR="0035701C" w:rsidRDefault="00FB561B">
            <w:pPr>
              <w:jc w:val="left"/>
              <w:rPr>
                <w:sz w:val="16"/>
              </w:rPr>
            </w:pPr>
            <w:r>
              <w:rPr>
                <w:sz w:val="16"/>
              </w:rPr>
              <w:t>Pollinisation_&amp;_Races_menacées</w:t>
            </w:r>
          </w:p>
        </w:tc>
        <w:tc>
          <w:tcPr>
            <w:tcW w:w="1000" w:type="pct"/>
            <w:shd w:val="clear" w:color="auto" w:fill="FFFFFF"/>
            <w:tcMar>
              <w:top w:w="60" w:type="dxa"/>
            </w:tcMar>
          </w:tcPr>
          <w:p w:rsidR="0035701C" w:rsidRDefault="00FB561B">
            <w:pPr>
              <w:jc w:val="left"/>
              <w:rPr>
                <w:sz w:val="16"/>
              </w:rPr>
            </w:pPr>
            <w:r>
              <w:rPr>
                <w:sz w:val="16"/>
              </w:rPr>
              <w:t>Autres</w:t>
            </w:r>
          </w:p>
        </w:tc>
        <w:tc>
          <w:tcPr>
            <w:tcW w:w="750" w:type="pct"/>
            <w:shd w:val="clear" w:color="auto" w:fill="FFFFFF"/>
            <w:tcMar>
              <w:top w:w="60" w:type="dxa"/>
            </w:tcMar>
          </w:tcPr>
          <w:p w:rsidR="0035701C" w:rsidRDefault="00FB561B">
            <w:pPr>
              <w:jc w:val="right"/>
              <w:rPr>
                <w:sz w:val="16"/>
              </w:rPr>
            </w:pPr>
            <w:r>
              <w:rPr>
                <w:sz w:val="16"/>
              </w:rPr>
              <w:t>506 000,00</w:t>
            </w:r>
          </w:p>
        </w:tc>
        <w:tc>
          <w:tcPr>
            <w:tcW w:w="750" w:type="pct"/>
            <w:shd w:val="clear" w:color="auto" w:fill="FFFFFF"/>
            <w:tcMar>
              <w:top w:w="60" w:type="dxa"/>
            </w:tcMar>
          </w:tcPr>
          <w:p w:rsidR="0035701C" w:rsidRDefault="0035701C">
            <w:pPr>
              <w:jc w:val="right"/>
              <w:rPr>
                <w:sz w:val="16"/>
              </w:rPr>
            </w:pPr>
          </w:p>
        </w:tc>
        <w:tc>
          <w:tcPr>
            <w:tcW w:w="750" w:type="pct"/>
            <w:shd w:val="clear" w:color="auto" w:fill="FFFFFF"/>
            <w:tcMar>
              <w:top w:w="60" w:type="dxa"/>
            </w:tcMar>
          </w:tcPr>
          <w:p w:rsidR="0035701C" w:rsidRDefault="00FB561B">
            <w:pPr>
              <w:jc w:val="center"/>
              <w:rPr>
                <w:sz w:val="20"/>
              </w:rPr>
            </w:pPr>
            <w:r>
              <w:rPr>
                <w:sz w:val="20"/>
              </w:rPr>
              <w:t xml:space="preserve"> X </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750" w:type="pct"/>
            <w:shd w:val="clear" w:color="auto" w:fill="FFFFFF"/>
            <w:tcMar>
              <w:top w:w="60" w:type="dxa"/>
            </w:tcMar>
          </w:tcPr>
          <w:p w:rsidR="0035701C" w:rsidRDefault="00FB561B">
            <w:pPr>
              <w:jc w:val="center"/>
              <w:rPr>
                <w:sz w:val="20"/>
              </w:rPr>
            </w:pPr>
            <w:r>
              <w:rPr>
                <w:sz w:val="20"/>
              </w:rPr>
              <w:t xml:space="preserve">   </w:t>
            </w:r>
          </w:p>
        </w:tc>
      </w:tr>
    </w:tbl>
    <w:p w:rsidR="0035701C" w:rsidRDefault="00FB561B">
      <w:pPr>
        <w:pStyle w:val="Titre4"/>
        <w:jc w:val="left"/>
        <w:rPr>
          <w:b/>
        </w:rPr>
      </w:pPr>
      <w:r>
        <w:rPr>
          <w:b/>
        </w:rPr>
        <w:t>M11 - Agriculture biologique (article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782"/>
        <w:gridCol w:w="1782"/>
        <w:gridCol w:w="1782"/>
        <w:gridCol w:w="1782"/>
        <w:gridCol w:w="1782"/>
        <w:gridCol w:w="1782"/>
        <w:gridCol w:w="1782"/>
      </w:tblGrid>
      <w:tr w:rsidR="0035701C">
        <w:tc>
          <w:tcPr>
            <w:tcW w:w="1000" w:type="pct"/>
            <w:shd w:val="clear" w:color="auto" w:fill="C0C0C0"/>
            <w:tcMar>
              <w:top w:w="60" w:type="dxa"/>
            </w:tcMar>
          </w:tcPr>
          <w:p w:rsidR="0035701C" w:rsidRDefault="00FB561B">
            <w:pPr>
              <w:jc w:val="center"/>
              <w:rPr>
                <w:b/>
                <w:sz w:val="20"/>
              </w:rPr>
            </w:pPr>
            <w:r>
              <w:rPr>
                <w:b/>
                <w:sz w:val="20"/>
              </w:rPr>
              <w:t>Sous-mesure</w:t>
            </w:r>
          </w:p>
        </w:tc>
        <w:tc>
          <w:tcPr>
            <w:tcW w:w="1000" w:type="pct"/>
            <w:shd w:val="clear" w:color="auto" w:fill="C0C0C0"/>
            <w:tcMar>
              <w:top w:w="60" w:type="dxa"/>
            </w:tcMar>
          </w:tcPr>
          <w:p w:rsidR="0035701C" w:rsidRDefault="00FB561B">
            <w:pPr>
              <w:jc w:val="center"/>
              <w:rPr>
                <w:b/>
                <w:sz w:val="20"/>
              </w:rPr>
            </w:pPr>
            <w:r>
              <w:rPr>
                <w:b/>
                <w:sz w:val="20"/>
              </w:rPr>
              <w:t xml:space="preserve">Dépenses </w:t>
            </w:r>
            <w:r>
              <w:rPr>
                <w:b/>
                <w:sz w:val="20"/>
              </w:rPr>
              <w:t>totales (EUR)</w:t>
            </w:r>
          </w:p>
        </w:tc>
        <w:tc>
          <w:tcPr>
            <w:tcW w:w="1000" w:type="pct"/>
            <w:shd w:val="clear" w:color="auto" w:fill="C0C0C0"/>
            <w:tcMar>
              <w:top w:w="60" w:type="dxa"/>
            </w:tcMar>
          </w:tcPr>
          <w:p w:rsidR="0035701C" w:rsidRDefault="00FB561B">
            <w:pPr>
              <w:jc w:val="center"/>
              <w:rPr>
                <w:b/>
                <w:sz w:val="20"/>
              </w:rPr>
            </w:pPr>
            <w:r>
              <w:rPr>
                <w:b/>
                <w:sz w:val="20"/>
              </w:rPr>
              <w:t>Superficie totale (ha) par mesure ou par type d’opération</w:t>
            </w:r>
          </w:p>
        </w:tc>
        <w:tc>
          <w:tcPr>
            <w:tcW w:w="1000" w:type="pct"/>
            <w:shd w:val="clear" w:color="auto" w:fill="C0C0C0"/>
            <w:tcMar>
              <w:top w:w="60" w:type="dxa"/>
            </w:tcMar>
          </w:tcPr>
          <w:p w:rsidR="0035701C" w:rsidRDefault="00FB561B">
            <w:pPr>
              <w:jc w:val="center"/>
              <w:rPr>
                <w:b/>
                <w:sz w:val="20"/>
              </w:rPr>
            </w:pPr>
            <w:r>
              <w:rPr>
                <w:b/>
                <w:sz w:val="20"/>
              </w:rPr>
              <w:t>Biodiversité domaine prioritaire 4A</w:t>
            </w:r>
          </w:p>
        </w:tc>
        <w:tc>
          <w:tcPr>
            <w:tcW w:w="1000" w:type="pct"/>
            <w:shd w:val="clear" w:color="auto" w:fill="C0C0C0"/>
            <w:tcMar>
              <w:top w:w="60" w:type="dxa"/>
            </w:tcMar>
          </w:tcPr>
          <w:p w:rsidR="0035701C" w:rsidRDefault="00FB561B">
            <w:pPr>
              <w:jc w:val="center"/>
              <w:rPr>
                <w:b/>
                <w:sz w:val="20"/>
              </w:rPr>
            </w:pPr>
            <w:r>
              <w:rPr>
                <w:b/>
                <w:sz w:val="20"/>
              </w:rPr>
              <w:t>Gestion de l’eau domaine prioritaire 4B</w:t>
            </w:r>
          </w:p>
        </w:tc>
        <w:tc>
          <w:tcPr>
            <w:tcW w:w="1000" w:type="pct"/>
            <w:shd w:val="clear" w:color="auto" w:fill="C0C0C0"/>
            <w:tcMar>
              <w:top w:w="60" w:type="dxa"/>
            </w:tcMar>
          </w:tcPr>
          <w:p w:rsidR="0035701C" w:rsidRDefault="00FB561B">
            <w:pPr>
              <w:jc w:val="center"/>
              <w:rPr>
                <w:b/>
                <w:sz w:val="20"/>
              </w:rPr>
            </w:pPr>
            <w:r>
              <w:rPr>
                <w:b/>
                <w:sz w:val="20"/>
              </w:rPr>
              <w:t>Gestion des sols domaine prioritaire 4C</w:t>
            </w:r>
          </w:p>
        </w:tc>
        <w:tc>
          <w:tcPr>
            <w:tcW w:w="1000" w:type="pct"/>
            <w:shd w:val="clear" w:color="auto" w:fill="C0C0C0"/>
            <w:tcMar>
              <w:top w:w="60" w:type="dxa"/>
            </w:tcMar>
          </w:tcPr>
          <w:p w:rsidR="0035701C" w:rsidRDefault="00FB561B">
            <w:pPr>
              <w:jc w:val="center"/>
              <w:rPr>
                <w:b/>
                <w:sz w:val="20"/>
              </w:rPr>
            </w:pPr>
            <w:r>
              <w:rPr>
                <w:b/>
                <w:sz w:val="20"/>
              </w:rPr>
              <w:t>Réduction des émissions de gaz à effet de serre et d’ammoniac domain</w:t>
            </w:r>
            <w:r>
              <w:rPr>
                <w:b/>
                <w:sz w:val="20"/>
              </w:rPr>
              <w:t>e prioritaire 5D</w:t>
            </w:r>
          </w:p>
        </w:tc>
        <w:tc>
          <w:tcPr>
            <w:tcW w:w="1000" w:type="pct"/>
            <w:shd w:val="clear" w:color="auto" w:fill="C0C0C0"/>
            <w:tcMar>
              <w:top w:w="60" w:type="dxa"/>
            </w:tcMar>
          </w:tcPr>
          <w:p w:rsidR="0035701C" w:rsidRDefault="00FB561B">
            <w:pPr>
              <w:jc w:val="center"/>
              <w:rPr>
                <w:sz w:val="20"/>
              </w:rPr>
            </w:pPr>
            <w:r>
              <w:rPr>
                <w:b/>
                <w:sz w:val="20"/>
              </w:rPr>
              <w:t>Séquestration/conservation du carbone domaine prioritaire 5E</w:t>
            </w:r>
          </w:p>
        </w:tc>
      </w:tr>
      <w:tr w:rsidR="0035701C">
        <w:tc>
          <w:tcPr>
            <w:tcW w:w="2000" w:type="pct"/>
            <w:shd w:val="clear" w:color="auto" w:fill="FFFFFF"/>
            <w:tcMar>
              <w:top w:w="60" w:type="dxa"/>
            </w:tcMar>
          </w:tcPr>
          <w:p w:rsidR="0035701C" w:rsidRDefault="00FB561B">
            <w:pPr>
              <w:jc w:val="left"/>
              <w:rPr>
                <w:sz w:val="16"/>
              </w:rPr>
            </w:pPr>
            <w:r>
              <w:rPr>
                <w:sz w:val="16"/>
              </w:rPr>
              <w:t>11.1 – Paiement pour la conversion aux pratiques et méthodes de l'agriculture biologique</w:t>
            </w:r>
          </w:p>
        </w:tc>
        <w:tc>
          <w:tcPr>
            <w:tcW w:w="750" w:type="pct"/>
            <w:shd w:val="clear" w:color="auto" w:fill="FFFFFF"/>
            <w:tcMar>
              <w:top w:w="60" w:type="dxa"/>
            </w:tcMar>
          </w:tcPr>
          <w:p w:rsidR="0035701C" w:rsidRDefault="00FB561B">
            <w:pPr>
              <w:jc w:val="right"/>
              <w:rPr>
                <w:sz w:val="16"/>
              </w:rPr>
            </w:pPr>
            <w:r>
              <w:rPr>
                <w:sz w:val="16"/>
              </w:rPr>
              <w:t>2 880 000,00</w:t>
            </w:r>
          </w:p>
        </w:tc>
        <w:tc>
          <w:tcPr>
            <w:tcW w:w="750" w:type="pct"/>
            <w:shd w:val="clear" w:color="auto" w:fill="FFFFFF"/>
            <w:tcMar>
              <w:top w:w="60" w:type="dxa"/>
            </w:tcMar>
          </w:tcPr>
          <w:p w:rsidR="0035701C" w:rsidRDefault="00FB561B">
            <w:pPr>
              <w:jc w:val="right"/>
              <w:rPr>
                <w:sz w:val="16"/>
              </w:rPr>
            </w:pPr>
            <w:r>
              <w:rPr>
                <w:sz w:val="16"/>
              </w:rPr>
              <w:t>960,00</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750" w:type="pct"/>
            <w:shd w:val="clear" w:color="auto" w:fill="FFFFFF"/>
            <w:tcMar>
              <w:top w:w="60" w:type="dxa"/>
            </w:tcMar>
          </w:tcPr>
          <w:p w:rsidR="0035701C" w:rsidRDefault="00FB561B">
            <w:pPr>
              <w:jc w:val="center"/>
              <w:rPr>
                <w:sz w:val="20"/>
              </w:rPr>
            </w:pPr>
            <w:r>
              <w:rPr>
                <w:sz w:val="20"/>
              </w:rPr>
              <w:t xml:space="preserve"> X </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250" w:type="pct"/>
            <w:shd w:val="clear" w:color="auto" w:fill="C0C0C0"/>
            <w:tcMar>
              <w:top w:w="60" w:type="dxa"/>
            </w:tcMar>
          </w:tcPr>
          <w:p w:rsidR="0035701C" w:rsidRDefault="0035701C">
            <w:pPr>
              <w:jc w:val="left"/>
              <w:rPr>
                <w:sz w:val="16"/>
              </w:rPr>
            </w:pPr>
          </w:p>
        </w:tc>
        <w:tc>
          <w:tcPr>
            <w:tcW w:w="250" w:type="pct"/>
            <w:shd w:val="clear" w:color="auto" w:fill="C0C0C0"/>
            <w:tcMar>
              <w:top w:w="60" w:type="dxa"/>
            </w:tcMar>
          </w:tcPr>
          <w:p w:rsidR="0035701C" w:rsidRDefault="0035701C">
            <w:pPr>
              <w:jc w:val="left"/>
              <w:rPr>
                <w:sz w:val="16"/>
              </w:rPr>
            </w:pPr>
          </w:p>
        </w:tc>
      </w:tr>
      <w:tr w:rsidR="0035701C">
        <w:tc>
          <w:tcPr>
            <w:tcW w:w="2000" w:type="pct"/>
            <w:shd w:val="clear" w:color="auto" w:fill="FFFFFF"/>
            <w:tcMar>
              <w:top w:w="60" w:type="dxa"/>
            </w:tcMar>
          </w:tcPr>
          <w:p w:rsidR="0035701C" w:rsidRDefault="00FB561B">
            <w:pPr>
              <w:jc w:val="left"/>
              <w:rPr>
                <w:sz w:val="16"/>
              </w:rPr>
            </w:pPr>
            <w:r>
              <w:rPr>
                <w:sz w:val="16"/>
              </w:rPr>
              <w:t>11.2 – Paiement au maintien des pratiques et méthodes</w:t>
            </w:r>
            <w:r>
              <w:rPr>
                <w:sz w:val="16"/>
              </w:rPr>
              <w:t xml:space="preserve"> de l'agriculture biologique</w:t>
            </w:r>
          </w:p>
        </w:tc>
        <w:tc>
          <w:tcPr>
            <w:tcW w:w="750" w:type="pct"/>
            <w:shd w:val="clear" w:color="auto" w:fill="FFFFFF"/>
            <w:tcMar>
              <w:top w:w="60" w:type="dxa"/>
            </w:tcMar>
          </w:tcPr>
          <w:p w:rsidR="0035701C" w:rsidRDefault="00FB561B">
            <w:pPr>
              <w:jc w:val="right"/>
              <w:rPr>
                <w:sz w:val="16"/>
              </w:rPr>
            </w:pPr>
            <w:r>
              <w:rPr>
                <w:sz w:val="16"/>
              </w:rPr>
              <w:t>3 106 667,00</w:t>
            </w:r>
          </w:p>
        </w:tc>
        <w:tc>
          <w:tcPr>
            <w:tcW w:w="750" w:type="pct"/>
            <w:shd w:val="clear" w:color="auto" w:fill="FFFFFF"/>
            <w:tcMar>
              <w:top w:w="60" w:type="dxa"/>
            </w:tcMar>
          </w:tcPr>
          <w:p w:rsidR="0035701C" w:rsidRDefault="00FB561B">
            <w:pPr>
              <w:jc w:val="right"/>
              <w:rPr>
                <w:sz w:val="16"/>
              </w:rPr>
            </w:pPr>
            <w:r>
              <w:rPr>
                <w:sz w:val="16"/>
              </w:rPr>
              <w:t>2 071,00</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750" w:type="pct"/>
            <w:shd w:val="clear" w:color="auto" w:fill="FFFFFF"/>
            <w:tcMar>
              <w:top w:w="60" w:type="dxa"/>
            </w:tcMar>
          </w:tcPr>
          <w:p w:rsidR="0035701C" w:rsidRDefault="00FB561B">
            <w:pPr>
              <w:jc w:val="center"/>
              <w:rPr>
                <w:sz w:val="20"/>
              </w:rPr>
            </w:pPr>
            <w:r>
              <w:rPr>
                <w:sz w:val="20"/>
              </w:rPr>
              <w:t xml:space="preserve"> X </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250" w:type="pct"/>
            <w:shd w:val="clear" w:color="auto" w:fill="C0C0C0"/>
            <w:tcMar>
              <w:top w:w="60" w:type="dxa"/>
            </w:tcMar>
          </w:tcPr>
          <w:p w:rsidR="0035701C" w:rsidRDefault="0035701C">
            <w:pPr>
              <w:jc w:val="left"/>
              <w:rPr>
                <w:sz w:val="16"/>
              </w:rPr>
            </w:pPr>
          </w:p>
        </w:tc>
        <w:tc>
          <w:tcPr>
            <w:tcW w:w="250" w:type="pct"/>
            <w:shd w:val="clear" w:color="auto" w:fill="C0C0C0"/>
            <w:tcMar>
              <w:top w:w="60" w:type="dxa"/>
            </w:tcMar>
          </w:tcPr>
          <w:p w:rsidR="0035701C" w:rsidRDefault="0035701C">
            <w:pPr>
              <w:jc w:val="left"/>
              <w:rPr>
                <w:sz w:val="16"/>
              </w:rPr>
            </w:pPr>
          </w:p>
        </w:tc>
      </w:tr>
    </w:tbl>
    <w:p w:rsidR="0035701C" w:rsidRDefault="00FB561B">
      <w:pPr>
        <w:pStyle w:val="Titre4"/>
        <w:jc w:val="left"/>
        <w:rPr>
          <w:b/>
        </w:rPr>
      </w:pPr>
      <w:r>
        <w:rPr>
          <w:b/>
        </w:rPr>
        <w:t>M12 - Paiements au titre de Natura 2000 et de la directive-cadre sur l'eau (article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782"/>
        <w:gridCol w:w="1782"/>
        <w:gridCol w:w="1782"/>
        <w:gridCol w:w="1782"/>
        <w:gridCol w:w="1782"/>
        <w:gridCol w:w="1782"/>
        <w:gridCol w:w="1782"/>
      </w:tblGrid>
      <w:tr w:rsidR="0035701C">
        <w:tc>
          <w:tcPr>
            <w:tcW w:w="1000" w:type="pct"/>
            <w:shd w:val="clear" w:color="auto" w:fill="C0C0C0"/>
            <w:tcMar>
              <w:top w:w="60" w:type="dxa"/>
            </w:tcMar>
          </w:tcPr>
          <w:p w:rsidR="0035701C" w:rsidRDefault="00FB561B">
            <w:pPr>
              <w:jc w:val="center"/>
              <w:rPr>
                <w:b/>
                <w:sz w:val="20"/>
              </w:rPr>
            </w:pPr>
            <w:r>
              <w:rPr>
                <w:b/>
                <w:sz w:val="20"/>
              </w:rPr>
              <w:t>Sous-mesure</w:t>
            </w:r>
          </w:p>
        </w:tc>
        <w:tc>
          <w:tcPr>
            <w:tcW w:w="1000" w:type="pct"/>
            <w:shd w:val="clear" w:color="auto" w:fill="C0C0C0"/>
            <w:tcMar>
              <w:top w:w="60" w:type="dxa"/>
            </w:tcMar>
          </w:tcPr>
          <w:p w:rsidR="0035701C" w:rsidRDefault="00FB561B">
            <w:pPr>
              <w:jc w:val="center"/>
              <w:rPr>
                <w:b/>
                <w:sz w:val="20"/>
              </w:rPr>
            </w:pPr>
            <w:r>
              <w:rPr>
                <w:b/>
                <w:sz w:val="20"/>
              </w:rPr>
              <w:t>Dépenses totales (EUR)</w:t>
            </w:r>
          </w:p>
        </w:tc>
        <w:tc>
          <w:tcPr>
            <w:tcW w:w="1000" w:type="pct"/>
            <w:shd w:val="clear" w:color="auto" w:fill="C0C0C0"/>
            <w:tcMar>
              <w:top w:w="60" w:type="dxa"/>
            </w:tcMar>
          </w:tcPr>
          <w:p w:rsidR="0035701C" w:rsidRDefault="00FB561B">
            <w:pPr>
              <w:jc w:val="center"/>
              <w:rPr>
                <w:b/>
                <w:sz w:val="20"/>
              </w:rPr>
            </w:pPr>
            <w:r>
              <w:rPr>
                <w:b/>
                <w:sz w:val="20"/>
              </w:rPr>
              <w:t>Superficie totale (ha) par mesure ou par type d’opération</w:t>
            </w:r>
          </w:p>
        </w:tc>
        <w:tc>
          <w:tcPr>
            <w:tcW w:w="1000" w:type="pct"/>
            <w:shd w:val="clear" w:color="auto" w:fill="C0C0C0"/>
            <w:tcMar>
              <w:top w:w="60" w:type="dxa"/>
            </w:tcMar>
          </w:tcPr>
          <w:p w:rsidR="0035701C" w:rsidRDefault="00FB561B">
            <w:pPr>
              <w:jc w:val="center"/>
              <w:rPr>
                <w:b/>
                <w:sz w:val="20"/>
              </w:rPr>
            </w:pPr>
            <w:r>
              <w:rPr>
                <w:b/>
                <w:sz w:val="20"/>
              </w:rPr>
              <w:t>Biodiversité domaine prioritaire 4A</w:t>
            </w:r>
          </w:p>
        </w:tc>
        <w:tc>
          <w:tcPr>
            <w:tcW w:w="1000" w:type="pct"/>
            <w:shd w:val="clear" w:color="auto" w:fill="C0C0C0"/>
            <w:tcMar>
              <w:top w:w="60" w:type="dxa"/>
            </w:tcMar>
          </w:tcPr>
          <w:p w:rsidR="0035701C" w:rsidRDefault="00FB561B">
            <w:pPr>
              <w:jc w:val="center"/>
              <w:rPr>
                <w:b/>
                <w:sz w:val="20"/>
              </w:rPr>
            </w:pPr>
            <w:r>
              <w:rPr>
                <w:b/>
                <w:sz w:val="20"/>
              </w:rPr>
              <w:t>Gestion de l’eau domaine prioritaire 4B</w:t>
            </w:r>
          </w:p>
        </w:tc>
        <w:tc>
          <w:tcPr>
            <w:tcW w:w="1000" w:type="pct"/>
            <w:shd w:val="clear" w:color="auto" w:fill="C0C0C0"/>
            <w:tcMar>
              <w:top w:w="60" w:type="dxa"/>
            </w:tcMar>
          </w:tcPr>
          <w:p w:rsidR="0035701C" w:rsidRDefault="00FB561B">
            <w:pPr>
              <w:jc w:val="center"/>
              <w:rPr>
                <w:b/>
                <w:sz w:val="20"/>
              </w:rPr>
            </w:pPr>
            <w:r>
              <w:rPr>
                <w:b/>
                <w:sz w:val="20"/>
              </w:rPr>
              <w:t>Gestion des sols domaine prioritaire 4C</w:t>
            </w:r>
          </w:p>
        </w:tc>
        <w:tc>
          <w:tcPr>
            <w:tcW w:w="1000" w:type="pct"/>
            <w:shd w:val="clear" w:color="auto" w:fill="C0C0C0"/>
            <w:tcMar>
              <w:top w:w="60" w:type="dxa"/>
            </w:tcMar>
          </w:tcPr>
          <w:p w:rsidR="0035701C" w:rsidRDefault="00FB561B">
            <w:pPr>
              <w:jc w:val="center"/>
              <w:rPr>
                <w:b/>
                <w:sz w:val="20"/>
              </w:rPr>
            </w:pPr>
            <w:r>
              <w:rPr>
                <w:b/>
                <w:sz w:val="20"/>
              </w:rPr>
              <w:t>Réduction des émissions de gaz à effet de serre et d’ammoniac domaine prioritaire 5D</w:t>
            </w:r>
          </w:p>
        </w:tc>
        <w:tc>
          <w:tcPr>
            <w:tcW w:w="1000" w:type="pct"/>
            <w:shd w:val="clear" w:color="auto" w:fill="C0C0C0"/>
            <w:tcMar>
              <w:top w:w="60" w:type="dxa"/>
            </w:tcMar>
          </w:tcPr>
          <w:p w:rsidR="0035701C" w:rsidRDefault="00FB561B">
            <w:pPr>
              <w:jc w:val="center"/>
              <w:rPr>
                <w:sz w:val="20"/>
              </w:rPr>
            </w:pPr>
            <w:r>
              <w:rPr>
                <w:b/>
                <w:sz w:val="20"/>
              </w:rPr>
              <w:t>Séquestration/conservation du carbone domaine prioritai</w:t>
            </w:r>
            <w:r>
              <w:rPr>
                <w:b/>
                <w:sz w:val="20"/>
              </w:rPr>
              <w:t>re 5E</w:t>
            </w:r>
          </w:p>
        </w:tc>
      </w:tr>
      <w:tr w:rsidR="0035701C">
        <w:tc>
          <w:tcPr>
            <w:tcW w:w="2000" w:type="pct"/>
            <w:shd w:val="clear" w:color="auto" w:fill="FFFFFF"/>
            <w:tcMar>
              <w:top w:w="60" w:type="dxa"/>
            </w:tcMar>
          </w:tcPr>
          <w:p w:rsidR="0035701C" w:rsidRDefault="00FB561B">
            <w:pPr>
              <w:jc w:val="left"/>
              <w:rPr>
                <w:sz w:val="16"/>
              </w:rPr>
            </w:pPr>
            <w:r>
              <w:rPr>
                <w:sz w:val="16"/>
              </w:rPr>
              <w:t>12.3 – Paiement d'indemnités en faveur des zones agricoles incluses dans les plans de gestion de district hydrographique</w:t>
            </w:r>
          </w:p>
        </w:tc>
        <w:tc>
          <w:tcPr>
            <w:tcW w:w="750" w:type="pct"/>
            <w:shd w:val="clear" w:color="auto" w:fill="FFFFFF"/>
            <w:tcMar>
              <w:top w:w="60" w:type="dxa"/>
            </w:tcMar>
          </w:tcPr>
          <w:p w:rsidR="0035701C" w:rsidRDefault="00FB561B">
            <w:pPr>
              <w:jc w:val="right"/>
              <w:rPr>
                <w:sz w:val="16"/>
              </w:rPr>
            </w:pPr>
            <w:r>
              <w:rPr>
                <w:sz w:val="16"/>
              </w:rPr>
              <w:t>0,00</w:t>
            </w:r>
          </w:p>
        </w:tc>
        <w:tc>
          <w:tcPr>
            <w:tcW w:w="750" w:type="pct"/>
            <w:shd w:val="clear" w:color="auto" w:fill="FFFFFF"/>
            <w:tcMar>
              <w:top w:w="60" w:type="dxa"/>
            </w:tcMar>
          </w:tcPr>
          <w:p w:rsidR="0035701C" w:rsidRDefault="00FB561B">
            <w:pPr>
              <w:jc w:val="right"/>
              <w:rPr>
                <w:sz w:val="16"/>
              </w:rPr>
            </w:pPr>
            <w:r>
              <w:rPr>
                <w:sz w:val="16"/>
              </w:rPr>
              <w:t>0,00</w:t>
            </w:r>
          </w:p>
        </w:tc>
        <w:tc>
          <w:tcPr>
            <w:tcW w:w="250" w:type="pct"/>
            <w:shd w:val="clear" w:color="auto" w:fill="C0C0C0"/>
            <w:tcMar>
              <w:top w:w="60" w:type="dxa"/>
            </w:tcMar>
          </w:tcPr>
          <w:p w:rsidR="0035701C" w:rsidRDefault="0035701C">
            <w:pPr>
              <w:jc w:val="left"/>
              <w:rPr>
                <w:sz w:val="16"/>
              </w:rPr>
            </w:pPr>
          </w:p>
        </w:tc>
        <w:tc>
          <w:tcPr>
            <w:tcW w:w="250" w:type="pct"/>
            <w:shd w:val="clear" w:color="auto" w:fill="FFFFFF"/>
            <w:tcMar>
              <w:top w:w="60" w:type="dxa"/>
            </w:tcMar>
          </w:tcPr>
          <w:p w:rsidR="0035701C" w:rsidRDefault="00FB561B">
            <w:pPr>
              <w:jc w:val="center"/>
              <w:rPr>
                <w:sz w:val="20"/>
              </w:rPr>
            </w:pPr>
            <w:r>
              <w:rPr>
                <w:sz w:val="20"/>
              </w:rPr>
              <w:t xml:space="preserve">   </w:t>
            </w:r>
          </w:p>
        </w:tc>
        <w:tc>
          <w:tcPr>
            <w:tcW w:w="250" w:type="pct"/>
            <w:shd w:val="clear" w:color="auto" w:fill="C0C0C0"/>
            <w:tcMar>
              <w:top w:w="60" w:type="dxa"/>
            </w:tcMar>
          </w:tcPr>
          <w:p w:rsidR="0035701C" w:rsidRDefault="0035701C">
            <w:pPr>
              <w:jc w:val="left"/>
              <w:rPr>
                <w:sz w:val="16"/>
              </w:rPr>
            </w:pPr>
          </w:p>
        </w:tc>
        <w:tc>
          <w:tcPr>
            <w:tcW w:w="250" w:type="pct"/>
            <w:shd w:val="clear" w:color="auto" w:fill="C0C0C0"/>
            <w:tcMar>
              <w:top w:w="60" w:type="dxa"/>
            </w:tcMar>
          </w:tcPr>
          <w:p w:rsidR="0035701C" w:rsidRDefault="0035701C">
            <w:pPr>
              <w:jc w:val="left"/>
              <w:rPr>
                <w:sz w:val="16"/>
              </w:rPr>
            </w:pPr>
          </w:p>
        </w:tc>
        <w:tc>
          <w:tcPr>
            <w:tcW w:w="250" w:type="pct"/>
            <w:shd w:val="clear" w:color="auto" w:fill="C0C0C0"/>
            <w:tcMar>
              <w:top w:w="60" w:type="dxa"/>
            </w:tcMar>
          </w:tcPr>
          <w:p w:rsidR="0035701C" w:rsidRDefault="0035701C">
            <w:pPr>
              <w:jc w:val="left"/>
              <w:rPr>
                <w:sz w:val="16"/>
              </w:rPr>
            </w:pPr>
          </w:p>
        </w:tc>
      </w:tr>
      <w:tr w:rsidR="0035701C">
        <w:tc>
          <w:tcPr>
            <w:tcW w:w="2000" w:type="pct"/>
            <w:shd w:val="clear" w:color="auto" w:fill="FFFFFF"/>
            <w:tcMar>
              <w:top w:w="60" w:type="dxa"/>
            </w:tcMar>
          </w:tcPr>
          <w:p w:rsidR="0035701C" w:rsidRDefault="00FB561B">
            <w:pPr>
              <w:jc w:val="left"/>
              <w:rPr>
                <w:sz w:val="16"/>
              </w:rPr>
            </w:pPr>
            <w:r>
              <w:rPr>
                <w:sz w:val="16"/>
              </w:rPr>
              <w:t>12.1 – Paiement d'indemnités en faveur des zones agricoles Natura 2000</w:t>
            </w:r>
          </w:p>
        </w:tc>
        <w:tc>
          <w:tcPr>
            <w:tcW w:w="750" w:type="pct"/>
            <w:shd w:val="clear" w:color="auto" w:fill="FFFFFF"/>
            <w:tcMar>
              <w:top w:w="60" w:type="dxa"/>
            </w:tcMar>
          </w:tcPr>
          <w:p w:rsidR="0035701C" w:rsidRDefault="00FB561B">
            <w:pPr>
              <w:jc w:val="right"/>
              <w:rPr>
                <w:sz w:val="16"/>
              </w:rPr>
            </w:pPr>
            <w:r>
              <w:rPr>
                <w:sz w:val="16"/>
              </w:rPr>
              <w:t>0,00</w:t>
            </w:r>
          </w:p>
        </w:tc>
        <w:tc>
          <w:tcPr>
            <w:tcW w:w="750" w:type="pct"/>
            <w:shd w:val="clear" w:color="auto" w:fill="FFFFFF"/>
            <w:tcMar>
              <w:top w:w="60" w:type="dxa"/>
            </w:tcMar>
          </w:tcPr>
          <w:p w:rsidR="0035701C" w:rsidRDefault="00FB561B">
            <w:pPr>
              <w:jc w:val="right"/>
              <w:rPr>
                <w:sz w:val="16"/>
              </w:rPr>
            </w:pPr>
            <w:r>
              <w:rPr>
                <w:sz w:val="16"/>
              </w:rPr>
              <w:t>0,00</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250" w:type="pct"/>
            <w:shd w:val="clear" w:color="auto" w:fill="C0C0C0"/>
            <w:tcMar>
              <w:top w:w="60" w:type="dxa"/>
            </w:tcMar>
          </w:tcPr>
          <w:p w:rsidR="0035701C" w:rsidRDefault="0035701C">
            <w:pPr>
              <w:jc w:val="left"/>
              <w:rPr>
                <w:sz w:val="16"/>
              </w:rPr>
            </w:pPr>
          </w:p>
        </w:tc>
        <w:tc>
          <w:tcPr>
            <w:tcW w:w="250" w:type="pct"/>
            <w:shd w:val="clear" w:color="auto" w:fill="C0C0C0"/>
            <w:tcMar>
              <w:top w:w="60" w:type="dxa"/>
            </w:tcMar>
          </w:tcPr>
          <w:p w:rsidR="0035701C" w:rsidRDefault="0035701C">
            <w:pPr>
              <w:jc w:val="left"/>
              <w:rPr>
                <w:sz w:val="16"/>
              </w:rPr>
            </w:pPr>
          </w:p>
        </w:tc>
        <w:tc>
          <w:tcPr>
            <w:tcW w:w="250" w:type="pct"/>
            <w:shd w:val="clear" w:color="auto" w:fill="C0C0C0"/>
            <w:tcMar>
              <w:top w:w="60" w:type="dxa"/>
            </w:tcMar>
          </w:tcPr>
          <w:p w:rsidR="0035701C" w:rsidRDefault="0035701C">
            <w:pPr>
              <w:jc w:val="left"/>
              <w:rPr>
                <w:sz w:val="16"/>
              </w:rPr>
            </w:pPr>
          </w:p>
        </w:tc>
        <w:tc>
          <w:tcPr>
            <w:tcW w:w="250" w:type="pct"/>
            <w:shd w:val="clear" w:color="auto" w:fill="C0C0C0"/>
            <w:tcMar>
              <w:top w:w="60" w:type="dxa"/>
            </w:tcMar>
          </w:tcPr>
          <w:p w:rsidR="0035701C" w:rsidRDefault="0035701C">
            <w:pPr>
              <w:jc w:val="left"/>
              <w:rPr>
                <w:sz w:val="16"/>
              </w:rPr>
            </w:pPr>
          </w:p>
        </w:tc>
      </w:tr>
    </w:tbl>
    <w:p w:rsidR="0035701C" w:rsidRDefault="00FB561B">
      <w:pPr>
        <w:pStyle w:val="Titre4"/>
        <w:jc w:val="left"/>
        <w:rPr>
          <w:b/>
        </w:rPr>
      </w:pPr>
      <w:r>
        <w:rPr>
          <w:b/>
        </w:rPr>
        <w:t xml:space="preserve">M08 - Investissements dans le développement des zones forestières et amélioration de la viabilité des forêts (articles 21 à 26)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2"/>
        <w:gridCol w:w="1782"/>
        <w:gridCol w:w="1782"/>
        <w:gridCol w:w="1782"/>
        <w:gridCol w:w="1782"/>
        <w:gridCol w:w="1782"/>
        <w:gridCol w:w="1782"/>
        <w:gridCol w:w="1782"/>
      </w:tblGrid>
      <w:tr w:rsidR="0035701C">
        <w:tc>
          <w:tcPr>
            <w:tcW w:w="1000" w:type="pct"/>
            <w:shd w:val="clear" w:color="auto" w:fill="C0C0C0"/>
            <w:tcMar>
              <w:top w:w="60" w:type="dxa"/>
            </w:tcMar>
          </w:tcPr>
          <w:p w:rsidR="0035701C" w:rsidRDefault="00FB561B">
            <w:pPr>
              <w:jc w:val="center"/>
              <w:rPr>
                <w:b/>
                <w:sz w:val="20"/>
              </w:rPr>
            </w:pPr>
            <w:r>
              <w:rPr>
                <w:b/>
                <w:sz w:val="20"/>
              </w:rPr>
              <w:t>Sous-mesure</w:t>
            </w:r>
          </w:p>
        </w:tc>
        <w:tc>
          <w:tcPr>
            <w:tcW w:w="1000" w:type="pct"/>
            <w:shd w:val="clear" w:color="auto" w:fill="C0C0C0"/>
            <w:tcMar>
              <w:top w:w="60" w:type="dxa"/>
            </w:tcMar>
          </w:tcPr>
          <w:p w:rsidR="0035701C" w:rsidRDefault="00FB561B">
            <w:pPr>
              <w:jc w:val="center"/>
              <w:rPr>
                <w:b/>
                <w:sz w:val="20"/>
              </w:rPr>
            </w:pPr>
            <w:r>
              <w:rPr>
                <w:b/>
                <w:sz w:val="20"/>
              </w:rPr>
              <w:t>Dépenses totales (EUR)</w:t>
            </w:r>
          </w:p>
        </w:tc>
        <w:tc>
          <w:tcPr>
            <w:tcW w:w="1000" w:type="pct"/>
            <w:shd w:val="clear" w:color="auto" w:fill="C0C0C0"/>
            <w:tcMar>
              <w:top w:w="60" w:type="dxa"/>
            </w:tcMar>
          </w:tcPr>
          <w:p w:rsidR="0035701C" w:rsidRDefault="00FB561B">
            <w:pPr>
              <w:jc w:val="center"/>
              <w:rPr>
                <w:b/>
                <w:sz w:val="20"/>
              </w:rPr>
            </w:pPr>
            <w:r>
              <w:rPr>
                <w:b/>
                <w:sz w:val="20"/>
              </w:rPr>
              <w:t>Superficie totale (ha) par mesure ou par type d’opération</w:t>
            </w:r>
          </w:p>
        </w:tc>
        <w:tc>
          <w:tcPr>
            <w:tcW w:w="1000" w:type="pct"/>
            <w:shd w:val="clear" w:color="auto" w:fill="C0C0C0"/>
            <w:tcMar>
              <w:top w:w="60" w:type="dxa"/>
            </w:tcMar>
          </w:tcPr>
          <w:p w:rsidR="0035701C" w:rsidRDefault="00FB561B">
            <w:pPr>
              <w:jc w:val="center"/>
              <w:rPr>
                <w:b/>
                <w:sz w:val="20"/>
              </w:rPr>
            </w:pPr>
            <w:r>
              <w:rPr>
                <w:b/>
                <w:sz w:val="20"/>
              </w:rPr>
              <w:t>Biodiversité domaine prioritaire 4</w:t>
            </w:r>
            <w:r>
              <w:rPr>
                <w:b/>
                <w:sz w:val="20"/>
              </w:rPr>
              <w:t>A</w:t>
            </w:r>
          </w:p>
        </w:tc>
        <w:tc>
          <w:tcPr>
            <w:tcW w:w="1000" w:type="pct"/>
            <w:shd w:val="clear" w:color="auto" w:fill="C0C0C0"/>
            <w:tcMar>
              <w:top w:w="60" w:type="dxa"/>
            </w:tcMar>
          </w:tcPr>
          <w:p w:rsidR="0035701C" w:rsidRDefault="00FB561B">
            <w:pPr>
              <w:jc w:val="center"/>
              <w:rPr>
                <w:b/>
                <w:sz w:val="20"/>
              </w:rPr>
            </w:pPr>
            <w:r>
              <w:rPr>
                <w:b/>
                <w:sz w:val="20"/>
              </w:rPr>
              <w:t>Gestion de l’eau domaine prioritaire 4B</w:t>
            </w:r>
          </w:p>
        </w:tc>
        <w:tc>
          <w:tcPr>
            <w:tcW w:w="1000" w:type="pct"/>
            <w:shd w:val="clear" w:color="auto" w:fill="C0C0C0"/>
            <w:tcMar>
              <w:top w:w="60" w:type="dxa"/>
            </w:tcMar>
          </w:tcPr>
          <w:p w:rsidR="0035701C" w:rsidRDefault="00FB561B">
            <w:pPr>
              <w:jc w:val="center"/>
              <w:rPr>
                <w:b/>
                <w:sz w:val="20"/>
              </w:rPr>
            </w:pPr>
            <w:r>
              <w:rPr>
                <w:b/>
                <w:sz w:val="20"/>
              </w:rPr>
              <w:t>Gestion des sols domaine prioritaire 4C</w:t>
            </w:r>
          </w:p>
        </w:tc>
        <w:tc>
          <w:tcPr>
            <w:tcW w:w="1000" w:type="pct"/>
            <w:shd w:val="clear" w:color="auto" w:fill="C0C0C0"/>
            <w:tcMar>
              <w:top w:w="60" w:type="dxa"/>
            </w:tcMar>
          </w:tcPr>
          <w:p w:rsidR="0035701C" w:rsidRDefault="00FB561B">
            <w:pPr>
              <w:jc w:val="center"/>
              <w:rPr>
                <w:b/>
                <w:sz w:val="20"/>
              </w:rPr>
            </w:pPr>
            <w:r>
              <w:rPr>
                <w:b/>
                <w:sz w:val="20"/>
              </w:rPr>
              <w:t>Réduction des émissions de gaz à effet de serre et d’ammoniac domaine prioritaire 5D</w:t>
            </w:r>
          </w:p>
        </w:tc>
        <w:tc>
          <w:tcPr>
            <w:tcW w:w="1000" w:type="pct"/>
            <w:shd w:val="clear" w:color="auto" w:fill="C0C0C0"/>
            <w:tcMar>
              <w:top w:w="60" w:type="dxa"/>
            </w:tcMar>
          </w:tcPr>
          <w:p w:rsidR="0035701C" w:rsidRDefault="00FB561B">
            <w:pPr>
              <w:jc w:val="center"/>
              <w:rPr>
                <w:sz w:val="20"/>
              </w:rPr>
            </w:pPr>
            <w:r>
              <w:rPr>
                <w:b/>
                <w:sz w:val="20"/>
              </w:rPr>
              <w:t>Séquestration/conservation du carbone domaine prioritaire 5E</w:t>
            </w:r>
          </w:p>
        </w:tc>
      </w:tr>
      <w:tr w:rsidR="0035701C">
        <w:tc>
          <w:tcPr>
            <w:tcW w:w="2000" w:type="pct"/>
            <w:shd w:val="clear" w:color="auto" w:fill="FFFFFF"/>
            <w:tcMar>
              <w:top w:w="60" w:type="dxa"/>
            </w:tcMar>
          </w:tcPr>
          <w:p w:rsidR="0035701C" w:rsidRDefault="00FB561B">
            <w:pPr>
              <w:jc w:val="left"/>
              <w:rPr>
                <w:sz w:val="16"/>
              </w:rPr>
            </w:pPr>
            <w:r>
              <w:rPr>
                <w:sz w:val="16"/>
              </w:rPr>
              <w:t xml:space="preserve">8.1 – Aide au boisement et </w:t>
            </w:r>
            <w:r>
              <w:rPr>
                <w:sz w:val="16"/>
              </w:rPr>
              <w:t>à la création de surfaces boisées</w:t>
            </w:r>
          </w:p>
        </w:tc>
        <w:tc>
          <w:tcPr>
            <w:tcW w:w="750" w:type="pct"/>
            <w:shd w:val="clear" w:color="auto" w:fill="FFFFFF"/>
            <w:tcMar>
              <w:top w:w="60" w:type="dxa"/>
            </w:tcMar>
          </w:tcPr>
          <w:p w:rsidR="0035701C" w:rsidRDefault="00FB561B">
            <w:pPr>
              <w:jc w:val="right"/>
              <w:rPr>
                <w:sz w:val="16"/>
              </w:rPr>
            </w:pPr>
            <w:r>
              <w:rPr>
                <w:sz w:val="16"/>
              </w:rPr>
              <w:t>0,00</w:t>
            </w:r>
          </w:p>
        </w:tc>
        <w:tc>
          <w:tcPr>
            <w:tcW w:w="750" w:type="pct"/>
            <w:shd w:val="clear" w:color="auto" w:fill="FFFFFF"/>
            <w:tcMar>
              <w:top w:w="60" w:type="dxa"/>
            </w:tcMar>
          </w:tcPr>
          <w:p w:rsidR="0035701C" w:rsidRDefault="00FB561B">
            <w:pPr>
              <w:jc w:val="right"/>
              <w:rPr>
                <w:sz w:val="16"/>
              </w:rPr>
            </w:pPr>
            <w:r>
              <w:rPr>
                <w:sz w:val="16"/>
              </w:rPr>
              <w:t>0,00</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250" w:type="pct"/>
            <w:shd w:val="clear" w:color="auto" w:fill="C0C0C0"/>
            <w:tcMar>
              <w:top w:w="60" w:type="dxa"/>
            </w:tcMar>
          </w:tcPr>
          <w:p w:rsidR="0035701C" w:rsidRDefault="0035701C">
            <w:pPr>
              <w:jc w:val="left"/>
              <w:rPr>
                <w:sz w:val="16"/>
              </w:rPr>
            </w:pPr>
          </w:p>
        </w:tc>
        <w:tc>
          <w:tcPr>
            <w:tcW w:w="250" w:type="pct"/>
            <w:shd w:val="clear" w:color="auto" w:fill="FFFFFF"/>
            <w:tcMar>
              <w:top w:w="60" w:type="dxa"/>
            </w:tcMar>
          </w:tcPr>
          <w:p w:rsidR="0035701C" w:rsidRDefault="00FB561B">
            <w:pPr>
              <w:jc w:val="center"/>
              <w:rPr>
                <w:sz w:val="20"/>
              </w:rPr>
            </w:pPr>
            <w:r>
              <w:rPr>
                <w:sz w:val="20"/>
              </w:rPr>
              <w:t xml:space="preserve">   </w:t>
            </w:r>
          </w:p>
        </w:tc>
      </w:tr>
      <w:tr w:rsidR="0035701C">
        <w:tc>
          <w:tcPr>
            <w:tcW w:w="2000" w:type="pct"/>
            <w:shd w:val="clear" w:color="auto" w:fill="FFFFFF"/>
            <w:tcMar>
              <w:top w:w="60" w:type="dxa"/>
            </w:tcMar>
          </w:tcPr>
          <w:p w:rsidR="0035701C" w:rsidRDefault="00FB561B">
            <w:pPr>
              <w:jc w:val="left"/>
              <w:rPr>
                <w:sz w:val="16"/>
              </w:rPr>
            </w:pPr>
            <w:r>
              <w:rPr>
                <w:sz w:val="16"/>
              </w:rPr>
              <w:t>8.2 - Aide à la mise en place et à la maintenance de systèmes agroforestiers</w:t>
            </w:r>
          </w:p>
        </w:tc>
        <w:tc>
          <w:tcPr>
            <w:tcW w:w="750" w:type="pct"/>
            <w:shd w:val="clear" w:color="auto" w:fill="FFFFFF"/>
            <w:tcMar>
              <w:top w:w="60" w:type="dxa"/>
            </w:tcMar>
          </w:tcPr>
          <w:p w:rsidR="0035701C" w:rsidRDefault="00FB561B">
            <w:pPr>
              <w:jc w:val="right"/>
              <w:rPr>
                <w:sz w:val="16"/>
              </w:rPr>
            </w:pPr>
            <w:r>
              <w:rPr>
                <w:sz w:val="16"/>
              </w:rPr>
              <w:t>0,00</w:t>
            </w:r>
          </w:p>
        </w:tc>
        <w:tc>
          <w:tcPr>
            <w:tcW w:w="750" w:type="pct"/>
            <w:shd w:val="clear" w:color="auto" w:fill="FFFFFF"/>
            <w:tcMar>
              <w:top w:w="60" w:type="dxa"/>
            </w:tcMar>
          </w:tcPr>
          <w:p w:rsidR="0035701C" w:rsidRDefault="00FB561B">
            <w:pPr>
              <w:jc w:val="right"/>
              <w:rPr>
                <w:sz w:val="16"/>
              </w:rPr>
            </w:pPr>
            <w:r>
              <w:rPr>
                <w:sz w:val="16"/>
              </w:rPr>
              <w:t>0,00</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250" w:type="pct"/>
            <w:shd w:val="clear" w:color="auto" w:fill="C0C0C0"/>
            <w:tcMar>
              <w:top w:w="60" w:type="dxa"/>
            </w:tcMar>
          </w:tcPr>
          <w:p w:rsidR="0035701C" w:rsidRDefault="0035701C">
            <w:pPr>
              <w:jc w:val="left"/>
              <w:rPr>
                <w:sz w:val="16"/>
              </w:rPr>
            </w:pPr>
          </w:p>
        </w:tc>
        <w:tc>
          <w:tcPr>
            <w:tcW w:w="250" w:type="pct"/>
            <w:shd w:val="clear" w:color="auto" w:fill="FFFFFF"/>
            <w:tcMar>
              <w:top w:w="60" w:type="dxa"/>
            </w:tcMar>
          </w:tcPr>
          <w:p w:rsidR="0035701C" w:rsidRDefault="00FB561B">
            <w:pPr>
              <w:jc w:val="center"/>
              <w:rPr>
                <w:sz w:val="20"/>
              </w:rPr>
            </w:pPr>
            <w:r>
              <w:rPr>
                <w:sz w:val="20"/>
              </w:rPr>
              <w:t xml:space="preserve">   </w:t>
            </w:r>
          </w:p>
        </w:tc>
      </w:tr>
    </w:tbl>
    <w:p w:rsidR="0035701C" w:rsidRDefault="0035701C">
      <w:pPr>
        <w:rPr>
          <w:b/>
        </w:rPr>
        <w:sectPr w:rsidR="0035701C">
          <w:pgSz w:w="15840" w:h="12240" w:orient="landscape"/>
          <w:pgMar w:top="900" w:right="900" w:bottom="900" w:left="900" w:header="720" w:footer="720" w:gutter="0"/>
          <w:cols w:space="720"/>
        </w:sectPr>
      </w:pPr>
    </w:p>
    <w:p w:rsidR="0035701C" w:rsidRDefault="00FB561B">
      <w:pPr>
        <w:pStyle w:val="Titre3"/>
        <w:jc w:val="left"/>
      </w:pPr>
      <w:r>
        <w:t xml:space="preserve"> </w:t>
      </w:r>
      <w:bookmarkStart w:id="149" w:name="_Toc256000148"/>
      <w:r>
        <w:t>Zones forestières</w:t>
      </w:r>
      <w:bookmarkEnd w:id="149"/>
    </w:p>
    <w:p w:rsidR="0035701C" w:rsidRDefault="00FB561B">
      <w:pPr>
        <w:pStyle w:val="Titre4"/>
        <w:jc w:val="left"/>
      </w:pPr>
      <w:r>
        <w:t xml:space="preserve">M15 - Services forestiers, environnementaux et </w:t>
      </w:r>
      <w:r>
        <w:t>climatiques et conservation des forêts (article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376"/>
        <w:gridCol w:w="2376"/>
        <w:gridCol w:w="2376"/>
        <w:gridCol w:w="2376"/>
        <w:gridCol w:w="2376"/>
      </w:tblGrid>
      <w:tr w:rsidR="0035701C">
        <w:tc>
          <w:tcPr>
            <w:tcW w:w="1000" w:type="pct"/>
            <w:shd w:val="clear" w:color="auto" w:fill="C0C0C0"/>
            <w:tcMar>
              <w:top w:w="60" w:type="dxa"/>
            </w:tcMar>
          </w:tcPr>
          <w:p w:rsidR="0035701C" w:rsidRDefault="00FB561B">
            <w:pPr>
              <w:jc w:val="center"/>
              <w:rPr>
                <w:b/>
                <w:sz w:val="20"/>
              </w:rPr>
            </w:pPr>
            <w:r>
              <w:rPr>
                <w:b/>
                <w:sz w:val="20"/>
              </w:rPr>
              <w:t>Type d’opération ou groupe de types d’opération</w:t>
            </w:r>
          </w:p>
        </w:tc>
        <w:tc>
          <w:tcPr>
            <w:tcW w:w="1000" w:type="pct"/>
            <w:shd w:val="clear" w:color="auto" w:fill="C0C0C0"/>
            <w:tcMar>
              <w:top w:w="60" w:type="dxa"/>
            </w:tcMar>
          </w:tcPr>
          <w:p w:rsidR="0035701C" w:rsidRDefault="00FB561B">
            <w:pPr>
              <w:jc w:val="center"/>
              <w:rPr>
                <w:b/>
                <w:sz w:val="20"/>
              </w:rPr>
            </w:pPr>
            <w:r>
              <w:rPr>
                <w:b/>
                <w:sz w:val="20"/>
              </w:rPr>
              <w:t>Dépenses totales (EUR)</w:t>
            </w:r>
          </w:p>
        </w:tc>
        <w:tc>
          <w:tcPr>
            <w:tcW w:w="1000" w:type="pct"/>
            <w:shd w:val="clear" w:color="auto" w:fill="C0C0C0"/>
            <w:tcMar>
              <w:top w:w="60" w:type="dxa"/>
            </w:tcMar>
          </w:tcPr>
          <w:p w:rsidR="0035701C" w:rsidRDefault="00FB561B">
            <w:pPr>
              <w:jc w:val="center"/>
              <w:rPr>
                <w:b/>
                <w:sz w:val="20"/>
              </w:rPr>
            </w:pPr>
            <w:r>
              <w:rPr>
                <w:b/>
                <w:sz w:val="20"/>
              </w:rPr>
              <w:t>Superficie totale (ha) par mesure ou par type d’opération</w:t>
            </w:r>
          </w:p>
        </w:tc>
        <w:tc>
          <w:tcPr>
            <w:tcW w:w="1000" w:type="pct"/>
            <w:shd w:val="clear" w:color="auto" w:fill="C0C0C0"/>
            <w:tcMar>
              <w:top w:w="60" w:type="dxa"/>
            </w:tcMar>
          </w:tcPr>
          <w:p w:rsidR="0035701C" w:rsidRDefault="00FB561B">
            <w:pPr>
              <w:jc w:val="center"/>
              <w:rPr>
                <w:b/>
                <w:sz w:val="20"/>
              </w:rPr>
            </w:pPr>
            <w:r>
              <w:rPr>
                <w:b/>
                <w:sz w:val="20"/>
              </w:rPr>
              <w:t>Biodiversité domaine prioritaire 4A</w:t>
            </w:r>
          </w:p>
        </w:tc>
        <w:tc>
          <w:tcPr>
            <w:tcW w:w="1000" w:type="pct"/>
            <w:shd w:val="clear" w:color="auto" w:fill="C0C0C0"/>
            <w:tcMar>
              <w:top w:w="60" w:type="dxa"/>
            </w:tcMar>
          </w:tcPr>
          <w:p w:rsidR="0035701C" w:rsidRDefault="00FB561B">
            <w:pPr>
              <w:jc w:val="center"/>
              <w:rPr>
                <w:b/>
                <w:sz w:val="20"/>
              </w:rPr>
            </w:pPr>
            <w:r>
              <w:rPr>
                <w:b/>
                <w:sz w:val="20"/>
              </w:rPr>
              <w:t>Gestion de l’eau domaine prioritaire 4B</w:t>
            </w:r>
          </w:p>
        </w:tc>
        <w:tc>
          <w:tcPr>
            <w:tcW w:w="1000" w:type="pct"/>
            <w:shd w:val="clear" w:color="auto" w:fill="C0C0C0"/>
            <w:tcMar>
              <w:top w:w="60" w:type="dxa"/>
            </w:tcMar>
          </w:tcPr>
          <w:p w:rsidR="0035701C" w:rsidRDefault="00FB561B">
            <w:pPr>
              <w:jc w:val="center"/>
              <w:rPr>
                <w:sz w:val="20"/>
              </w:rPr>
            </w:pPr>
            <w:r>
              <w:rPr>
                <w:b/>
                <w:sz w:val="20"/>
              </w:rPr>
              <w:t>Gestion des sols domaine prioritaire 4C</w:t>
            </w:r>
          </w:p>
        </w:tc>
      </w:tr>
    </w:tbl>
    <w:p w:rsidR="0035701C" w:rsidRDefault="00FB561B">
      <w:pPr>
        <w:pStyle w:val="Titre4"/>
        <w:jc w:val="left"/>
        <w:rPr>
          <w:b/>
        </w:rPr>
      </w:pPr>
      <w:r>
        <w:rPr>
          <w:b/>
        </w:rPr>
        <w:t>M12 - Paiements au titre de Natura 2000 et de la directive-cadre sur l'eau (article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376"/>
        <w:gridCol w:w="2376"/>
        <w:gridCol w:w="2376"/>
        <w:gridCol w:w="2376"/>
        <w:gridCol w:w="2376"/>
      </w:tblGrid>
      <w:tr w:rsidR="0035701C">
        <w:tc>
          <w:tcPr>
            <w:tcW w:w="1000" w:type="pct"/>
            <w:shd w:val="clear" w:color="auto" w:fill="C0C0C0"/>
            <w:tcMar>
              <w:top w:w="60" w:type="dxa"/>
            </w:tcMar>
          </w:tcPr>
          <w:p w:rsidR="0035701C" w:rsidRDefault="00FB561B">
            <w:pPr>
              <w:jc w:val="center"/>
              <w:rPr>
                <w:b/>
                <w:sz w:val="20"/>
              </w:rPr>
            </w:pPr>
            <w:r>
              <w:rPr>
                <w:b/>
                <w:sz w:val="20"/>
              </w:rPr>
              <w:t>Sous-mesure</w:t>
            </w:r>
          </w:p>
        </w:tc>
        <w:tc>
          <w:tcPr>
            <w:tcW w:w="1000" w:type="pct"/>
            <w:shd w:val="clear" w:color="auto" w:fill="C0C0C0"/>
            <w:tcMar>
              <w:top w:w="60" w:type="dxa"/>
            </w:tcMar>
          </w:tcPr>
          <w:p w:rsidR="0035701C" w:rsidRDefault="00FB561B">
            <w:pPr>
              <w:jc w:val="center"/>
              <w:rPr>
                <w:b/>
                <w:sz w:val="20"/>
              </w:rPr>
            </w:pPr>
            <w:r>
              <w:rPr>
                <w:b/>
                <w:sz w:val="20"/>
              </w:rPr>
              <w:t>Dépenses totales (EUR)</w:t>
            </w:r>
          </w:p>
        </w:tc>
        <w:tc>
          <w:tcPr>
            <w:tcW w:w="1000" w:type="pct"/>
            <w:shd w:val="clear" w:color="auto" w:fill="C0C0C0"/>
            <w:tcMar>
              <w:top w:w="60" w:type="dxa"/>
            </w:tcMar>
          </w:tcPr>
          <w:p w:rsidR="0035701C" w:rsidRDefault="00FB561B">
            <w:pPr>
              <w:jc w:val="center"/>
              <w:rPr>
                <w:b/>
                <w:sz w:val="20"/>
              </w:rPr>
            </w:pPr>
            <w:r>
              <w:rPr>
                <w:b/>
                <w:sz w:val="20"/>
              </w:rPr>
              <w:t>Superficie totale (ha) par mesure ou par type d’opération</w:t>
            </w:r>
          </w:p>
        </w:tc>
        <w:tc>
          <w:tcPr>
            <w:tcW w:w="1000" w:type="pct"/>
            <w:shd w:val="clear" w:color="auto" w:fill="C0C0C0"/>
            <w:tcMar>
              <w:top w:w="60" w:type="dxa"/>
            </w:tcMar>
          </w:tcPr>
          <w:p w:rsidR="0035701C" w:rsidRDefault="00FB561B">
            <w:pPr>
              <w:jc w:val="center"/>
              <w:rPr>
                <w:b/>
                <w:sz w:val="20"/>
              </w:rPr>
            </w:pPr>
            <w:r>
              <w:rPr>
                <w:b/>
                <w:sz w:val="20"/>
              </w:rPr>
              <w:t>Biodiversité domaine prioritaire </w:t>
            </w:r>
            <w:r>
              <w:rPr>
                <w:b/>
                <w:sz w:val="20"/>
              </w:rPr>
              <w:t>4A</w:t>
            </w:r>
          </w:p>
        </w:tc>
        <w:tc>
          <w:tcPr>
            <w:tcW w:w="1000" w:type="pct"/>
            <w:shd w:val="clear" w:color="auto" w:fill="C0C0C0"/>
            <w:tcMar>
              <w:top w:w="60" w:type="dxa"/>
            </w:tcMar>
          </w:tcPr>
          <w:p w:rsidR="0035701C" w:rsidRDefault="00FB561B">
            <w:pPr>
              <w:jc w:val="center"/>
              <w:rPr>
                <w:b/>
                <w:sz w:val="20"/>
              </w:rPr>
            </w:pPr>
            <w:r>
              <w:rPr>
                <w:b/>
                <w:sz w:val="20"/>
              </w:rPr>
              <w:t>Gestion de l’eau domaine prioritaire 4B</w:t>
            </w:r>
          </w:p>
        </w:tc>
        <w:tc>
          <w:tcPr>
            <w:tcW w:w="1000" w:type="pct"/>
            <w:shd w:val="clear" w:color="auto" w:fill="C0C0C0"/>
            <w:tcMar>
              <w:top w:w="60" w:type="dxa"/>
            </w:tcMar>
          </w:tcPr>
          <w:p w:rsidR="0035701C" w:rsidRDefault="00FB561B">
            <w:pPr>
              <w:jc w:val="center"/>
              <w:rPr>
                <w:sz w:val="20"/>
              </w:rPr>
            </w:pPr>
            <w:r>
              <w:rPr>
                <w:b/>
                <w:sz w:val="20"/>
              </w:rPr>
              <w:t>Gestion des sols domaine prioritaire 4C</w:t>
            </w:r>
          </w:p>
        </w:tc>
      </w:tr>
      <w:tr w:rsidR="0035701C">
        <w:tc>
          <w:tcPr>
            <w:tcW w:w="2000" w:type="pct"/>
            <w:shd w:val="clear" w:color="auto" w:fill="FFFFFF"/>
            <w:tcMar>
              <w:top w:w="60" w:type="dxa"/>
            </w:tcMar>
          </w:tcPr>
          <w:p w:rsidR="0035701C" w:rsidRDefault="00FB561B">
            <w:pPr>
              <w:jc w:val="left"/>
              <w:rPr>
                <w:sz w:val="16"/>
              </w:rPr>
            </w:pPr>
            <w:r>
              <w:rPr>
                <w:sz w:val="16"/>
              </w:rPr>
              <w:t>12.2 – Paiement d'indemnités en faveur des zones forestières Natura 2000</w:t>
            </w:r>
          </w:p>
        </w:tc>
        <w:tc>
          <w:tcPr>
            <w:tcW w:w="750" w:type="pct"/>
            <w:shd w:val="clear" w:color="auto" w:fill="FFFFFF"/>
            <w:tcMar>
              <w:top w:w="60" w:type="dxa"/>
            </w:tcMar>
          </w:tcPr>
          <w:p w:rsidR="0035701C" w:rsidRDefault="00FB561B">
            <w:pPr>
              <w:jc w:val="right"/>
              <w:rPr>
                <w:sz w:val="16"/>
              </w:rPr>
            </w:pPr>
            <w:r>
              <w:rPr>
                <w:sz w:val="16"/>
              </w:rPr>
              <w:t>0,00</w:t>
            </w:r>
          </w:p>
        </w:tc>
        <w:tc>
          <w:tcPr>
            <w:tcW w:w="750" w:type="pct"/>
            <w:shd w:val="clear" w:color="auto" w:fill="FFFFFF"/>
            <w:tcMar>
              <w:top w:w="60" w:type="dxa"/>
            </w:tcMar>
          </w:tcPr>
          <w:p w:rsidR="0035701C" w:rsidRDefault="00FB561B">
            <w:pPr>
              <w:jc w:val="right"/>
              <w:rPr>
                <w:sz w:val="16"/>
              </w:rPr>
            </w:pPr>
            <w:r>
              <w:rPr>
                <w:sz w:val="16"/>
              </w:rPr>
              <w:t>0,00</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250" w:type="pct"/>
            <w:shd w:val="clear" w:color="auto" w:fill="C0C0C0"/>
            <w:tcMar>
              <w:top w:w="60" w:type="dxa"/>
            </w:tcMar>
          </w:tcPr>
          <w:p w:rsidR="0035701C" w:rsidRDefault="0035701C">
            <w:pPr>
              <w:jc w:val="left"/>
              <w:rPr>
                <w:sz w:val="16"/>
              </w:rPr>
            </w:pPr>
          </w:p>
        </w:tc>
        <w:tc>
          <w:tcPr>
            <w:tcW w:w="250" w:type="pct"/>
            <w:shd w:val="clear" w:color="auto" w:fill="C0C0C0"/>
            <w:tcMar>
              <w:top w:w="60" w:type="dxa"/>
            </w:tcMar>
          </w:tcPr>
          <w:p w:rsidR="0035701C" w:rsidRDefault="0035701C">
            <w:pPr>
              <w:jc w:val="left"/>
              <w:rPr>
                <w:sz w:val="16"/>
              </w:rPr>
            </w:pPr>
          </w:p>
        </w:tc>
      </w:tr>
    </w:tbl>
    <w:p w:rsidR="0035701C" w:rsidRDefault="00FB561B">
      <w:pPr>
        <w:pStyle w:val="Titre4"/>
        <w:jc w:val="left"/>
        <w:rPr>
          <w:b/>
        </w:rPr>
      </w:pPr>
      <w:r>
        <w:rPr>
          <w:b/>
        </w:rPr>
        <w:t xml:space="preserve">M08 - Investissements dans le développement des zones forestières et amélioration de la viabilité des forêts (articles 21 à 26)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376"/>
        <w:gridCol w:w="2376"/>
        <w:gridCol w:w="2376"/>
        <w:gridCol w:w="2376"/>
        <w:gridCol w:w="2376"/>
      </w:tblGrid>
      <w:tr w:rsidR="0035701C">
        <w:tc>
          <w:tcPr>
            <w:tcW w:w="1000" w:type="pct"/>
            <w:shd w:val="clear" w:color="auto" w:fill="C0C0C0"/>
            <w:tcMar>
              <w:top w:w="60" w:type="dxa"/>
            </w:tcMar>
          </w:tcPr>
          <w:p w:rsidR="0035701C" w:rsidRDefault="00FB561B">
            <w:pPr>
              <w:jc w:val="center"/>
              <w:rPr>
                <w:b/>
                <w:sz w:val="20"/>
              </w:rPr>
            </w:pPr>
            <w:r>
              <w:rPr>
                <w:b/>
                <w:sz w:val="20"/>
              </w:rPr>
              <w:t>Sous-mesure</w:t>
            </w:r>
          </w:p>
        </w:tc>
        <w:tc>
          <w:tcPr>
            <w:tcW w:w="1000" w:type="pct"/>
            <w:shd w:val="clear" w:color="auto" w:fill="C0C0C0"/>
            <w:tcMar>
              <w:top w:w="60" w:type="dxa"/>
            </w:tcMar>
          </w:tcPr>
          <w:p w:rsidR="0035701C" w:rsidRDefault="00FB561B">
            <w:pPr>
              <w:jc w:val="center"/>
              <w:rPr>
                <w:b/>
                <w:sz w:val="20"/>
              </w:rPr>
            </w:pPr>
            <w:r>
              <w:rPr>
                <w:b/>
                <w:sz w:val="20"/>
              </w:rPr>
              <w:t>Dépenses totales (EUR)</w:t>
            </w:r>
          </w:p>
        </w:tc>
        <w:tc>
          <w:tcPr>
            <w:tcW w:w="1000" w:type="pct"/>
            <w:shd w:val="clear" w:color="auto" w:fill="C0C0C0"/>
            <w:tcMar>
              <w:top w:w="60" w:type="dxa"/>
            </w:tcMar>
          </w:tcPr>
          <w:p w:rsidR="0035701C" w:rsidRDefault="00FB561B">
            <w:pPr>
              <w:jc w:val="center"/>
              <w:rPr>
                <w:b/>
                <w:sz w:val="20"/>
              </w:rPr>
            </w:pPr>
            <w:r>
              <w:rPr>
                <w:b/>
                <w:sz w:val="20"/>
              </w:rPr>
              <w:t>Superficie totale (ha) par mesure ou par type d’opération</w:t>
            </w:r>
          </w:p>
        </w:tc>
        <w:tc>
          <w:tcPr>
            <w:tcW w:w="1000" w:type="pct"/>
            <w:shd w:val="clear" w:color="auto" w:fill="C0C0C0"/>
            <w:tcMar>
              <w:top w:w="60" w:type="dxa"/>
            </w:tcMar>
          </w:tcPr>
          <w:p w:rsidR="0035701C" w:rsidRDefault="00FB561B">
            <w:pPr>
              <w:jc w:val="center"/>
              <w:rPr>
                <w:b/>
                <w:sz w:val="20"/>
              </w:rPr>
            </w:pPr>
            <w:r>
              <w:rPr>
                <w:b/>
                <w:sz w:val="20"/>
              </w:rPr>
              <w:t>Biodiversité domaine prioritaire 4</w:t>
            </w:r>
            <w:r>
              <w:rPr>
                <w:b/>
                <w:sz w:val="20"/>
              </w:rPr>
              <w:t>A</w:t>
            </w:r>
          </w:p>
        </w:tc>
        <w:tc>
          <w:tcPr>
            <w:tcW w:w="1000" w:type="pct"/>
            <w:shd w:val="clear" w:color="auto" w:fill="C0C0C0"/>
            <w:tcMar>
              <w:top w:w="60" w:type="dxa"/>
            </w:tcMar>
          </w:tcPr>
          <w:p w:rsidR="0035701C" w:rsidRDefault="00FB561B">
            <w:pPr>
              <w:jc w:val="center"/>
              <w:rPr>
                <w:b/>
                <w:sz w:val="20"/>
              </w:rPr>
            </w:pPr>
            <w:r>
              <w:rPr>
                <w:b/>
                <w:sz w:val="20"/>
              </w:rPr>
              <w:t>Gestion de l’eau domaine prioritaire 4B</w:t>
            </w:r>
          </w:p>
        </w:tc>
        <w:tc>
          <w:tcPr>
            <w:tcW w:w="1000" w:type="pct"/>
            <w:shd w:val="clear" w:color="auto" w:fill="C0C0C0"/>
            <w:tcMar>
              <w:top w:w="60" w:type="dxa"/>
            </w:tcMar>
          </w:tcPr>
          <w:p w:rsidR="0035701C" w:rsidRDefault="00FB561B">
            <w:pPr>
              <w:jc w:val="center"/>
              <w:rPr>
                <w:sz w:val="20"/>
              </w:rPr>
            </w:pPr>
            <w:r>
              <w:rPr>
                <w:b/>
                <w:sz w:val="20"/>
              </w:rPr>
              <w:t>Gestion des sols domaine prioritaire 4C</w:t>
            </w:r>
          </w:p>
        </w:tc>
      </w:tr>
      <w:tr w:rsidR="0035701C">
        <w:tc>
          <w:tcPr>
            <w:tcW w:w="2000" w:type="pct"/>
            <w:shd w:val="clear" w:color="auto" w:fill="FFFFFF"/>
            <w:tcMar>
              <w:top w:w="60" w:type="dxa"/>
            </w:tcMar>
          </w:tcPr>
          <w:p w:rsidR="0035701C" w:rsidRDefault="00FB561B">
            <w:pPr>
              <w:jc w:val="left"/>
              <w:rPr>
                <w:sz w:val="16"/>
              </w:rPr>
            </w:pPr>
            <w:r>
              <w:rPr>
                <w:sz w:val="16"/>
              </w:rPr>
              <w:t>8.5 - Aide aux investissements améliorant la résilience et la valeur environnementale des écosystèmes forestiers</w:t>
            </w:r>
          </w:p>
        </w:tc>
        <w:tc>
          <w:tcPr>
            <w:tcW w:w="750" w:type="pct"/>
            <w:shd w:val="clear" w:color="auto" w:fill="FFFFFF"/>
            <w:tcMar>
              <w:top w:w="60" w:type="dxa"/>
            </w:tcMar>
          </w:tcPr>
          <w:p w:rsidR="0035701C" w:rsidRDefault="00FB561B">
            <w:pPr>
              <w:jc w:val="right"/>
              <w:rPr>
                <w:sz w:val="16"/>
              </w:rPr>
            </w:pPr>
            <w:r>
              <w:rPr>
                <w:sz w:val="16"/>
              </w:rPr>
              <w:t>1 360 000,00</w:t>
            </w:r>
          </w:p>
        </w:tc>
        <w:tc>
          <w:tcPr>
            <w:tcW w:w="750" w:type="pct"/>
            <w:shd w:val="clear" w:color="auto" w:fill="FFFFFF"/>
            <w:tcMar>
              <w:top w:w="60" w:type="dxa"/>
            </w:tcMar>
          </w:tcPr>
          <w:p w:rsidR="0035701C" w:rsidRDefault="00FB561B">
            <w:pPr>
              <w:jc w:val="right"/>
              <w:rPr>
                <w:sz w:val="16"/>
              </w:rPr>
            </w:pPr>
            <w:r>
              <w:rPr>
                <w:sz w:val="16"/>
              </w:rPr>
              <w:t>113,00</w:t>
            </w:r>
          </w:p>
        </w:tc>
        <w:tc>
          <w:tcPr>
            <w:tcW w:w="750" w:type="pct"/>
            <w:shd w:val="clear" w:color="auto" w:fill="FFFFFF"/>
            <w:tcMar>
              <w:top w:w="60" w:type="dxa"/>
            </w:tcMar>
          </w:tcPr>
          <w:p w:rsidR="0035701C" w:rsidRDefault="00FB561B">
            <w:pPr>
              <w:jc w:val="center"/>
              <w:rPr>
                <w:sz w:val="20"/>
              </w:rPr>
            </w:pPr>
            <w:r>
              <w:rPr>
                <w:sz w:val="20"/>
              </w:rPr>
              <w:t xml:space="preserve"> X </w:t>
            </w:r>
          </w:p>
        </w:tc>
        <w:tc>
          <w:tcPr>
            <w:tcW w:w="750" w:type="pct"/>
            <w:shd w:val="clear" w:color="auto" w:fill="FFFFFF"/>
            <w:tcMar>
              <w:top w:w="60" w:type="dxa"/>
            </w:tcMar>
          </w:tcPr>
          <w:p w:rsidR="0035701C" w:rsidRDefault="00FB561B">
            <w:pPr>
              <w:jc w:val="center"/>
              <w:rPr>
                <w:sz w:val="20"/>
              </w:rPr>
            </w:pPr>
            <w:r>
              <w:rPr>
                <w:sz w:val="20"/>
              </w:rPr>
              <w:t xml:space="preserve">   </w:t>
            </w:r>
          </w:p>
        </w:tc>
        <w:tc>
          <w:tcPr>
            <w:tcW w:w="750" w:type="pct"/>
            <w:shd w:val="clear" w:color="auto" w:fill="FFFFFF"/>
            <w:tcMar>
              <w:top w:w="60" w:type="dxa"/>
            </w:tcMar>
          </w:tcPr>
          <w:p w:rsidR="0035701C" w:rsidRDefault="00FB561B">
            <w:pPr>
              <w:jc w:val="center"/>
              <w:rPr>
                <w:sz w:val="20"/>
              </w:rPr>
            </w:pPr>
            <w:r>
              <w:rPr>
                <w:sz w:val="20"/>
              </w:rPr>
              <w:t xml:space="preserve">   </w:t>
            </w:r>
          </w:p>
        </w:tc>
      </w:tr>
    </w:tbl>
    <w:p w:rsidR="0035701C" w:rsidRDefault="0035701C">
      <w:pPr>
        <w:rPr>
          <w:b/>
        </w:rPr>
        <w:sectPr w:rsidR="0035701C">
          <w:pgSz w:w="15840" w:h="12240" w:orient="landscape"/>
          <w:pgMar w:top="900" w:right="900" w:bottom="900" w:left="900" w:header="720" w:footer="720" w:gutter="0"/>
          <w:cols w:space="720"/>
        </w:sectPr>
      </w:pPr>
    </w:p>
    <w:p w:rsidR="0035701C" w:rsidRDefault="00FB561B">
      <w:pPr>
        <w:pStyle w:val="Titre2"/>
      </w:pPr>
      <w:bookmarkStart w:id="150" w:name="_Toc256000149"/>
      <w:r>
        <w:t>Objectif et</w:t>
      </w:r>
      <w:r>
        <w:t xml:space="preserve"> réalisation spécifique du programme</w:t>
      </w:r>
      <w:bookmarkEnd w:id="150"/>
    </w:p>
    <w:p w:rsidR="0035701C" w:rsidRDefault="00FB561B">
      <w:r>
        <w:t>Indicateur(s) d’objectif spécifique(s)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2131"/>
        <w:gridCol w:w="2131"/>
        <w:gridCol w:w="2131"/>
        <w:gridCol w:w="2132"/>
      </w:tblGrid>
      <w:tr w:rsidR="0035701C">
        <w:tc>
          <w:tcPr>
            <w:tcW w:w="4000" w:type="pct"/>
            <w:shd w:val="clear" w:color="auto" w:fill="C0C0C0"/>
          </w:tcPr>
          <w:p w:rsidR="0035701C" w:rsidRDefault="00FB561B">
            <w:pPr>
              <w:jc w:val="center"/>
              <w:rPr>
                <w:b/>
                <w:sz w:val="20"/>
              </w:rPr>
            </w:pPr>
            <w:r>
              <w:rPr>
                <w:b/>
                <w:sz w:val="20"/>
              </w:rPr>
              <w:t>Code</w:t>
            </w:r>
          </w:p>
        </w:tc>
        <w:tc>
          <w:tcPr>
            <w:tcW w:w="1000" w:type="pct"/>
            <w:shd w:val="clear" w:color="auto" w:fill="C0C0C0"/>
          </w:tcPr>
          <w:p w:rsidR="0035701C" w:rsidRDefault="00FB561B">
            <w:pPr>
              <w:jc w:val="center"/>
              <w:rPr>
                <w:b/>
                <w:sz w:val="20"/>
              </w:rPr>
            </w:pPr>
            <w:r>
              <w:rPr>
                <w:b/>
                <w:sz w:val="20"/>
              </w:rPr>
              <w:t>Nom de l’indicateur d’objectif</w:t>
            </w:r>
          </w:p>
        </w:tc>
        <w:tc>
          <w:tcPr>
            <w:tcW w:w="1000" w:type="pct"/>
            <w:shd w:val="clear" w:color="auto" w:fill="C0C0C0"/>
          </w:tcPr>
          <w:p w:rsidR="0035701C" w:rsidRDefault="00FB561B">
            <w:pPr>
              <w:jc w:val="center"/>
              <w:rPr>
                <w:b/>
                <w:sz w:val="20"/>
              </w:rPr>
            </w:pPr>
            <w:r>
              <w:rPr>
                <w:b/>
                <w:sz w:val="20"/>
              </w:rPr>
              <w:t>Domaine prioritaire</w:t>
            </w:r>
          </w:p>
        </w:tc>
        <w:tc>
          <w:tcPr>
            <w:tcW w:w="1000" w:type="pct"/>
            <w:shd w:val="clear" w:color="auto" w:fill="C0C0C0"/>
          </w:tcPr>
          <w:p w:rsidR="0035701C" w:rsidRDefault="00FB561B">
            <w:pPr>
              <w:jc w:val="center"/>
              <w:rPr>
                <w:b/>
                <w:sz w:val="20"/>
              </w:rPr>
            </w:pPr>
            <w:r>
              <w:rPr>
                <w:b/>
                <w:sz w:val="20"/>
              </w:rPr>
              <w:t>Valeur cible pour 2025</w:t>
            </w:r>
          </w:p>
        </w:tc>
        <w:tc>
          <w:tcPr>
            <w:tcW w:w="1000" w:type="pct"/>
            <w:shd w:val="clear" w:color="auto" w:fill="C0C0C0"/>
          </w:tcPr>
          <w:p w:rsidR="0035701C" w:rsidRDefault="00FB561B">
            <w:pPr>
              <w:jc w:val="center"/>
              <w:rPr>
                <w:sz w:val="20"/>
              </w:rPr>
            </w:pPr>
            <w:r>
              <w:rPr>
                <w:b/>
                <w:sz w:val="20"/>
              </w:rPr>
              <w:t>Unité</w:t>
            </w:r>
          </w:p>
        </w:tc>
      </w:tr>
      <w:tr w:rsidR="0035701C">
        <w:tc>
          <w:tcPr>
            <w:tcW w:w="1000" w:type="pct"/>
            <w:shd w:val="clear" w:color="auto" w:fill="FFFFFF"/>
          </w:tcPr>
          <w:p w:rsidR="0035701C" w:rsidRDefault="00FB561B">
            <w:pPr>
              <w:spacing w:before="20" w:after="20"/>
              <w:jc w:val="left"/>
              <w:rPr>
                <w:sz w:val="16"/>
              </w:rPr>
            </w:pPr>
            <w:r>
              <w:rPr>
                <w:sz w:val="16"/>
              </w:rPr>
              <w:t>002</w:t>
            </w:r>
          </w:p>
        </w:tc>
        <w:tc>
          <w:tcPr>
            <w:tcW w:w="1000" w:type="pct"/>
            <w:shd w:val="clear" w:color="auto" w:fill="FFFFFF"/>
          </w:tcPr>
          <w:p w:rsidR="0035701C" w:rsidRDefault="00FB561B">
            <w:pPr>
              <w:spacing w:before="20" w:after="20"/>
              <w:jc w:val="left"/>
              <w:rPr>
                <w:sz w:val="16"/>
              </w:rPr>
            </w:pPr>
            <w:r>
              <w:rPr>
                <w:sz w:val="16"/>
              </w:rPr>
              <w:t>Surfaces forestières dont la résilience est améliorée</w:t>
            </w:r>
          </w:p>
        </w:tc>
        <w:tc>
          <w:tcPr>
            <w:tcW w:w="1000" w:type="pct"/>
            <w:shd w:val="clear" w:color="auto" w:fill="FFFFFF"/>
          </w:tcPr>
          <w:p w:rsidR="0035701C" w:rsidRDefault="00FB561B">
            <w:pPr>
              <w:spacing w:before="20" w:after="20"/>
              <w:jc w:val="left"/>
              <w:rPr>
                <w:sz w:val="16"/>
              </w:rPr>
            </w:pPr>
            <w:r>
              <w:rPr>
                <w:sz w:val="16"/>
              </w:rPr>
              <w:t>5E</w:t>
            </w:r>
          </w:p>
        </w:tc>
        <w:tc>
          <w:tcPr>
            <w:tcW w:w="1000" w:type="pct"/>
            <w:shd w:val="clear" w:color="auto" w:fill="FFFFFF"/>
          </w:tcPr>
          <w:p w:rsidR="0035701C" w:rsidRDefault="00FB561B">
            <w:pPr>
              <w:spacing w:before="20" w:after="20"/>
              <w:jc w:val="right"/>
              <w:rPr>
                <w:sz w:val="16"/>
              </w:rPr>
            </w:pPr>
            <w:r>
              <w:rPr>
                <w:sz w:val="16"/>
              </w:rPr>
              <w:t>75,00</w:t>
            </w:r>
          </w:p>
        </w:tc>
        <w:tc>
          <w:tcPr>
            <w:tcW w:w="1000" w:type="pct"/>
            <w:shd w:val="clear" w:color="auto" w:fill="FFFFFF"/>
          </w:tcPr>
          <w:p w:rsidR="0035701C" w:rsidRDefault="00FB561B">
            <w:pPr>
              <w:spacing w:before="20" w:after="20"/>
              <w:jc w:val="left"/>
              <w:rPr>
                <w:sz w:val="16"/>
              </w:rPr>
            </w:pPr>
            <w:r>
              <w:rPr>
                <w:sz w:val="16"/>
              </w:rPr>
              <w:t>ha</w:t>
            </w:r>
          </w:p>
        </w:tc>
      </w:tr>
      <w:tr w:rsidR="0035701C">
        <w:tc>
          <w:tcPr>
            <w:tcW w:w="1000" w:type="pct"/>
            <w:shd w:val="clear" w:color="auto" w:fill="FFFFFF"/>
          </w:tcPr>
          <w:p w:rsidR="0035701C" w:rsidRDefault="00FB561B">
            <w:pPr>
              <w:spacing w:before="20" w:after="20"/>
              <w:jc w:val="left"/>
              <w:rPr>
                <w:sz w:val="16"/>
              </w:rPr>
            </w:pPr>
            <w:r>
              <w:rPr>
                <w:sz w:val="16"/>
              </w:rPr>
              <w:t>001</w:t>
            </w:r>
          </w:p>
        </w:tc>
        <w:tc>
          <w:tcPr>
            <w:tcW w:w="1000" w:type="pct"/>
            <w:shd w:val="clear" w:color="auto" w:fill="FFFFFF"/>
          </w:tcPr>
          <w:p w:rsidR="0035701C" w:rsidRDefault="00FB561B">
            <w:pPr>
              <w:spacing w:before="20" w:after="20"/>
              <w:jc w:val="left"/>
              <w:rPr>
                <w:sz w:val="16"/>
              </w:rPr>
            </w:pPr>
            <w:r>
              <w:rPr>
                <w:sz w:val="16"/>
              </w:rPr>
              <w:t xml:space="preserve">Surfaces dont le </w:t>
            </w:r>
            <w:r>
              <w:rPr>
                <w:sz w:val="16"/>
              </w:rPr>
              <w:t>potentiel de production est restauré</w:t>
            </w:r>
          </w:p>
        </w:tc>
        <w:tc>
          <w:tcPr>
            <w:tcW w:w="1000" w:type="pct"/>
            <w:shd w:val="clear" w:color="auto" w:fill="FFFFFF"/>
          </w:tcPr>
          <w:p w:rsidR="0035701C" w:rsidRDefault="00FB561B">
            <w:pPr>
              <w:spacing w:before="20" w:after="20"/>
              <w:jc w:val="left"/>
              <w:rPr>
                <w:sz w:val="16"/>
              </w:rPr>
            </w:pPr>
            <w:r>
              <w:rPr>
                <w:sz w:val="16"/>
              </w:rPr>
              <w:t>3B</w:t>
            </w:r>
          </w:p>
        </w:tc>
        <w:tc>
          <w:tcPr>
            <w:tcW w:w="1000" w:type="pct"/>
            <w:shd w:val="clear" w:color="auto" w:fill="FFFFFF"/>
          </w:tcPr>
          <w:p w:rsidR="0035701C" w:rsidRDefault="00FB561B">
            <w:pPr>
              <w:spacing w:before="20" w:after="20"/>
              <w:jc w:val="right"/>
              <w:rPr>
                <w:sz w:val="16"/>
              </w:rPr>
            </w:pPr>
            <w:r>
              <w:rPr>
                <w:sz w:val="16"/>
              </w:rPr>
              <w:t>22,00</w:t>
            </w:r>
          </w:p>
        </w:tc>
        <w:tc>
          <w:tcPr>
            <w:tcW w:w="1000" w:type="pct"/>
            <w:shd w:val="clear" w:color="auto" w:fill="FFFFFF"/>
          </w:tcPr>
          <w:p w:rsidR="0035701C" w:rsidRDefault="00FB561B">
            <w:pPr>
              <w:spacing w:before="20" w:after="20"/>
              <w:jc w:val="left"/>
              <w:rPr>
                <w:sz w:val="16"/>
              </w:rPr>
            </w:pPr>
            <w:r>
              <w:rPr>
                <w:sz w:val="16"/>
              </w:rPr>
              <w:t>ha</w:t>
            </w:r>
          </w:p>
        </w:tc>
      </w:tr>
      <w:tr w:rsidR="0035701C">
        <w:tc>
          <w:tcPr>
            <w:tcW w:w="1000" w:type="pct"/>
            <w:shd w:val="clear" w:color="auto" w:fill="FFFFFF"/>
          </w:tcPr>
          <w:p w:rsidR="0035701C" w:rsidRDefault="00FB561B">
            <w:pPr>
              <w:spacing w:before="20" w:after="20"/>
              <w:jc w:val="left"/>
              <w:rPr>
                <w:sz w:val="16"/>
              </w:rPr>
            </w:pPr>
            <w:r>
              <w:rPr>
                <w:sz w:val="16"/>
              </w:rPr>
              <w:t>003</w:t>
            </w:r>
          </w:p>
        </w:tc>
        <w:tc>
          <w:tcPr>
            <w:tcW w:w="1000" w:type="pct"/>
            <w:shd w:val="clear" w:color="auto" w:fill="FFFFFF"/>
          </w:tcPr>
          <w:p w:rsidR="0035701C" w:rsidRDefault="00FB561B">
            <w:pPr>
              <w:spacing w:before="20" w:after="20"/>
              <w:jc w:val="left"/>
              <w:rPr>
                <w:sz w:val="16"/>
              </w:rPr>
            </w:pPr>
            <w:r>
              <w:rPr>
                <w:sz w:val="16"/>
              </w:rPr>
              <w:t>Surface de Défense des Forêts Contre l'Incendie</w:t>
            </w:r>
          </w:p>
        </w:tc>
        <w:tc>
          <w:tcPr>
            <w:tcW w:w="1000" w:type="pct"/>
            <w:shd w:val="clear" w:color="auto" w:fill="FFFFFF"/>
          </w:tcPr>
          <w:p w:rsidR="0035701C" w:rsidRDefault="00FB561B">
            <w:pPr>
              <w:spacing w:before="20" w:after="20"/>
              <w:jc w:val="left"/>
              <w:rPr>
                <w:sz w:val="16"/>
              </w:rPr>
            </w:pPr>
            <w:r>
              <w:rPr>
                <w:sz w:val="16"/>
              </w:rPr>
              <w:t>4A</w:t>
            </w:r>
          </w:p>
        </w:tc>
        <w:tc>
          <w:tcPr>
            <w:tcW w:w="1000" w:type="pct"/>
            <w:shd w:val="clear" w:color="auto" w:fill="FFFFFF"/>
          </w:tcPr>
          <w:p w:rsidR="0035701C" w:rsidRDefault="00FB561B">
            <w:pPr>
              <w:spacing w:before="20" w:after="20"/>
              <w:jc w:val="right"/>
              <w:rPr>
                <w:sz w:val="16"/>
              </w:rPr>
            </w:pPr>
            <w:r>
              <w:rPr>
                <w:sz w:val="16"/>
              </w:rPr>
              <w:t>1 600,00</w:t>
            </w:r>
          </w:p>
        </w:tc>
        <w:tc>
          <w:tcPr>
            <w:tcW w:w="1000" w:type="pct"/>
            <w:shd w:val="clear" w:color="auto" w:fill="FFFFFF"/>
          </w:tcPr>
          <w:p w:rsidR="0035701C" w:rsidRDefault="00FB561B">
            <w:pPr>
              <w:spacing w:before="20" w:after="20"/>
              <w:jc w:val="left"/>
              <w:rPr>
                <w:sz w:val="16"/>
              </w:rPr>
            </w:pPr>
            <w:r>
              <w:rPr>
                <w:sz w:val="16"/>
              </w:rPr>
              <w:t>ha</w:t>
            </w:r>
          </w:p>
        </w:tc>
      </w:tr>
    </w:tbl>
    <w:p w:rsidR="0035701C" w:rsidRDefault="00FB561B">
      <w:r>
        <w:t>Indicateur(s) de réalisation spécifique(s)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2"/>
        <w:gridCol w:w="1522"/>
        <w:gridCol w:w="1522"/>
        <w:gridCol w:w="1522"/>
        <w:gridCol w:w="1522"/>
        <w:gridCol w:w="1522"/>
        <w:gridCol w:w="1524"/>
      </w:tblGrid>
      <w:tr w:rsidR="0035701C">
        <w:tc>
          <w:tcPr>
            <w:tcW w:w="4000" w:type="pct"/>
            <w:shd w:val="clear" w:color="auto" w:fill="C0C0C0"/>
          </w:tcPr>
          <w:p w:rsidR="0035701C" w:rsidRDefault="00FB561B">
            <w:pPr>
              <w:jc w:val="center"/>
              <w:rPr>
                <w:b/>
                <w:sz w:val="20"/>
              </w:rPr>
            </w:pPr>
            <w:r>
              <w:rPr>
                <w:b/>
                <w:sz w:val="20"/>
              </w:rPr>
              <w:t>Code</w:t>
            </w:r>
          </w:p>
        </w:tc>
        <w:tc>
          <w:tcPr>
            <w:tcW w:w="1000" w:type="pct"/>
            <w:shd w:val="clear" w:color="auto" w:fill="C0C0C0"/>
          </w:tcPr>
          <w:p w:rsidR="0035701C" w:rsidRDefault="00FB561B">
            <w:pPr>
              <w:jc w:val="center"/>
              <w:rPr>
                <w:b/>
                <w:sz w:val="20"/>
              </w:rPr>
            </w:pPr>
            <w:r>
              <w:rPr>
                <w:b/>
                <w:sz w:val="20"/>
              </w:rPr>
              <w:t>Nom de l’indicateur de réalisation</w:t>
            </w:r>
          </w:p>
        </w:tc>
        <w:tc>
          <w:tcPr>
            <w:tcW w:w="1000" w:type="pct"/>
            <w:shd w:val="clear" w:color="auto" w:fill="C0C0C0"/>
          </w:tcPr>
          <w:p w:rsidR="0035701C" w:rsidRDefault="00FB561B">
            <w:pPr>
              <w:jc w:val="center"/>
              <w:rPr>
                <w:b/>
                <w:sz w:val="20"/>
              </w:rPr>
            </w:pPr>
            <w:r>
              <w:rPr>
                <w:b/>
                <w:sz w:val="20"/>
              </w:rPr>
              <w:t>Mesure</w:t>
            </w:r>
          </w:p>
        </w:tc>
        <w:tc>
          <w:tcPr>
            <w:tcW w:w="1000" w:type="pct"/>
            <w:shd w:val="clear" w:color="auto" w:fill="C0C0C0"/>
          </w:tcPr>
          <w:p w:rsidR="0035701C" w:rsidRDefault="00FB561B">
            <w:pPr>
              <w:jc w:val="center"/>
              <w:rPr>
                <w:b/>
                <w:sz w:val="20"/>
              </w:rPr>
            </w:pPr>
            <w:r>
              <w:rPr>
                <w:b/>
                <w:sz w:val="20"/>
              </w:rPr>
              <w:t>Domaine prioritaire</w:t>
            </w:r>
          </w:p>
        </w:tc>
        <w:tc>
          <w:tcPr>
            <w:tcW w:w="1000" w:type="pct"/>
            <w:shd w:val="clear" w:color="auto" w:fill="C0C0C0"/>
          </w:tcPr>
          <w:p w:rsidR="0035701C" w:rsidRDefault="00FB561B">
            <w:pPr>
              <w:jc w:val="center"/>
              <w:rPr>
                <w:b/>
                <w:sz w:val="20"/>
              </w:rPr>
            </w:pPr>
            <w:r>
              <w:rPr>
                <w:b/>
                <w:sz w:val="20"/>
              </w:rPr>
              <w:t>Résultats prévus</w:t>
            </w:r>
          </w:p>
        </w:tc>
        <w:tc>
          <w:tcPr>
            <w:tcW w:w="1000" w:type="pct"/>
            <w:shd w:val="clear" w:color="auto" w:fill="C0C0C0"/>
          </w:tcPr>
          <w:p w:rsidR="0035701C" w:rsidRDefault="00FB561B">
            <w:pPr>
              <w:jc w:val="center"/>
              <w:rPr>
                <w:b/>
                <w:sz w:val="20"/>
              </w:rPr>
            </w:pPr>
            <w:r>
              <w:rPr>
                <w:b/>
                <w:sz w:val="20"/>
              </w:rPr>
              <w:t xml:space="preserve">dont </w:t>
            </w:r>
            <w:r>
              <w:rPr>
                <w:b/>
                <w:sz w:val="20"/>
              </w:rPr>
              <w:t>Instrument européen pour la relance</w:t>
            </w:r>
          </w:p>
        </w:tc>
        <w:tc>
          <w:tcPr>
            <w:tcW w:w="1000" w:type="pct"/>
            <w:shd w:val="clear" w:color="auto" w:fill="C0C0C0"/>
          </w:tcPr>
          <w:p w:rsidR="0035701C" w:rsidRDefault="00FB561B">
            <w:pPr>
              <w:jc w:val="center"/>
              <w:rPr>
                <w:sz w:val="20"/>
              </w:rPr>
            </w:pPr>
            <w:r>
              <w:rPr>
                <w:b/>
                <w:sz w:val="20"/>
              </w:rPr>
              <w:t>Unité</w:t>
            </w:r>
          </w:p>
        </w:tc>
      </w:tr>
    </w:tbl>
    <w:p w:rsidR="0035701C" w:rsidRDefault="0035701C">
      <w:pPr>
        <w:sectPr w:rsidR="0035701C">
          <w:pgSz w:w="12240" w:h="15840"/>
          <w:pgMar w:top="900" w:right="900" w:bottom="900" w:left="900" w:header="720" w:footer="720" w:gutter="0"/>
          <w:cols w:space="720"/>
        </w:sectPr>
      </w:pPr>
    </w:p>
    <w:p w:rsidR="0035701C" w:rsidRDefault="00FB561B">
      <w:pPr>
        <w:pStyle w:val="Titre1"/>
      </w:pPr>
      <w:bookmarkStart w:id="151" w:name="_Toc256000150"/>
      <w:r>
        <w:t>Financement national complémentaire</w:t>
      </w:r>
      <w:bookmarkEnd w:id="151"/>
    </w:p>
    <w:p w:rsidR="0035701C" w:rsidRDefault="00FB561B">
      <w:r>
        <w:t>Pour les mesures et opérations relevant du champ d’application de l’article 42 du traité, un tableau portant sur le financement national complémentaire par mesure conf</w:t>
      </w:r>
      <w:r>
        <w:t>ormément à l’article 82 du règlement (UE) n° 1305/2013, comprenant les montants par mesure et l’indication de la conformité aux critères établis dans le cadre du règlement sur le développement rural.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0"/>
      </w:tblGrid>
      <w:tr w:rsidR="0035701C">
        <w:tc>
          <w:tcPr>
            <w:tcW w:w="4000" w:type="pct"/>
            <w:shd w:val="clear" w:color="auto" w:fill="C0C0C0"/>
            <w:tcMar>
              <w:top w:w="60" w:type="dxa"/>
            </w:tcMar>
          </w:tcPr>
          <w:p w:rsidR="0035701C" w:rsidRDefault="00FB561B">
            <w:pPr>
              <w:jc w:val="center"/>
              <w:rPr>
                <w:b/>
                <w:sz w:val="16"/>
              </w:rPr>
            </w:pPr>
            <w:r>
              <w:rPr>
                <w:b/>
                <w:sz w:val="16"/>
              </w:rPr>
              <w:t>Mesure</w:t>
            </w:r>
          </w:p>
        </w:tc>
        <w:tc>
          <w:tcPr>
            <w:tcW w:w="1000" w:type="pct"/>
            <w:shd w:val="clear" w:color="auto" w:fill="C0C0C0"/>
            <w:tcMar>
              <w:top w:w="60" w:type="dxa"/>
            </w:tcMar>
          </w:tcPr>
          <w:p w:rsidR="0035701C" w:rsidRDefault="00FB561B">
            <w:pPr>
              <w:jc w:val="center"/>
              <w:rPr>
                <w:sz w:val="16"/>
              </w:rPr>
            </w:pPr>
            <w:r>
              <w:rPr>
                <w:b/>
                <w:sz w:val="16"/>
              </w:rPr>
              <w:t>Financement national complémentaire au cours de l</w:t>
            </w:r>
            <w:r>
              <w:rPr>
                <w:b/>
                <w:sz w:val="16"/>
              </w:rPr>
              <w:t>a période 2014-2022 (en €)</w:t>
            </w:r>
          </w:p>
        </w:tc>
      </w:tr>
      <w:tr w:rsidR="0035701C">
        <w:tc>
          <w:tcPr>
            <w:tcW w:w="4000" w:type="pct"/>
            <w:shd w:val="clear" w:color="auto" w:fill="FFFFFF"/>
            <w:tcMar>
              <w:top w:w="60" w:type="dxa"/>
            </w:tcMar>
          </w:tcPr>
          <w:p w:rsidR="0035701C" w:rsidRDefault="00FB561B">
            <w:pPr>
              <w:jc w:val="left"/>
              <w:rPr>
                <w:sz w:val="16"/>
              </w:rPr>
            </w:pPr>
            <w:r>
              <w:rPr>
                <w:sz w:val="16"/>
              </w:rPr>
              <w:t>M01 - Transfert de connaissances et actions d'information (article 14)</w:t>
            </w:r>
          </w:p>
        </w:tc>
        <w:tc>
          <w:tcPr>
            <w:tcW w:w="1000" w:type="pct"/>
            <w:shd w:val="clear" w:color="auto" w:fill="FFFFFF"/>
            <w:tcMar>
              <w:top w:w="60" w:type="dxa"/>
            </w:tcMar>
          </w:tcPr>
          <w:p w:rsidR="0035701C" w:rsidRDefault="00FB561B">
            <w:pPr>
              <w:jc w:val="right"/>
              <w:rPr>
                <w:sz w:val="16"/>
              </w:rPr>
            </w:pPr>
            <w:r>
              <w:rPr>
                <w:sz w:val="16"/>
              </w:rPr>
              <w:t>0,00</w:t>
            </w:r>
          </w:p>
        </w:tc>
      </w:tr>
      <w:tr w:rsidR="0035701C">
        <w:tc>
          <w:tcPr>
            <w:tcW w:w="4000" w:type="pct"/>
            <w:shd w:val="clear" w:color="auto" w:fill="FFFFFF"/>
            <w:tcMar>
              <w:top w:w="60" w:type="dxa"/>
            </w:tcMar>
          </w:tcPr>
          <w:p w:rsidR="0035701C" w:rsidRDefault="00FB561B">
            <w:pPr>
              <w:jc w:val="left"/>
              <w:rPr>
                <w:sz w:val="16"/>
              </w:rPr>
            </w:pPr>
            <w:r>
              <w:rPr>
                <w:sz w:val="16"/>
              </w:rPr>
              <w:t>M04 - Investissements physiques (article 17)</w:t>
            </w:r>
          </w:p>
        </w:tc>
        <w:tc>
          <w:tcPr>
            <w:tcW w:w="1000" w:type="pct"/>
            <w:shd w:val="clear" w:color="auto" w:fill="FFFFFF"/>
            <w:tcMar>
              <w:top w:w="60" w:type="dxa"/>
            </w:tcMar>
          </w:tcPr>
          <w:p w:rsidR="0035701C" w:rsidRDefault="00FB561B">
            <w:pPr>
              <w:jc w:val="right"/>
              <w:rPr>
                <w:sz w:val="16"/>
              </w:rPr>
            </w:pPr>
            <w:r>
              <w:rPr>
                <w:sz w:val="16"/>
              </w:rPr>
              <w:t>13 960 000,00</w:t>
            </w:r>
          </w:p>
        </w:tc>
      </w:tr>
      <w:tr w:rsidR="0035701C">
        <w:tc>
          <w:tcPr>
            <w:tcW w:w="4000" w:type="pct"/>
            <w:shd w:val="clear" w:color="auto" w:fill="FFFFFF"/>
            <w:tcMar>
              <w:top w:w="60" w:type="dxa"/>
            </w:tcMar>
          </w:tcPr>
          <w:p w:rsidR="0035701C" w:rsidRDefault="00FB561B">
            <w:pPr>
              <w:jc w:val="left"/>
              <w:rPr>
                <w:sz w:val="16"/>
              </w:rPr>
            </w:pPr>
            <w:r>
              <w:rPr>
                <w:sz w:val="16"/>
              </w:rPr>
              <w:t xml:space="preserve">M05 - Reconstitution du potentiel de production agricole endommagé par des catastrophes </w:t>
            </w:r>
            <w:r>
              <w:rPr>
                <w:sz w:val="16"/>
              </w:rPr>
              <w:t>naturelles et des événements catastrophiques et mise en place de mesures de prévention appropriées (article 18)</w:t>
            </w:r>
          </w:p>
        </w:tc>
        <w:tc>
          <w:tcPr>
            <w:tcW w:w="1000" w:type="pct"/>
            <w:shd w:val="clear" w:color="auto" w:fill="FFFFFF"/>
            <w:tcMar>
              <w:top w:w="60" w:type="dxa"/>
            </w:tcMar>
          </w:tcPr>
          <w:p w:rsidR="0035701C" w:rsidRDefault="00FB561B">
            <w:pPr>
              <w:jc w:val="right"/>
              <w:rPr>
                <w:sz w:val="16"/>
              </w:rPr>
            </w:pPr>
            <w:r>
              <w:rPr>
                <w:sz w:val="16"/>
              </w:rPr>
              <w:t>0,00</w:t>
            </w:r>
          </w:p>
        </w:tc>
      </w:tr>
      <w:tr w:rsidR="0035701C">
        <w:tc>
          <w:tcPr>
            <w:tcW w:w="4000" w:type="pct"/>
            <w:shd w:val="clear" w:color="auto" w:fill="FFFFFF"/>
            <w:tcMar>
              <w:top w:w="60" w:type="dxa"/>
            </w:tcMar>
          </w:tcPr>
          <w:p w:rsidR="0035701C" w:rsidRDefault="00FB561B">
            <w:pPr>
              <w:jc w:val="left"/>
              <w:rPr>
                <w:sz w:val="16"/>
              </w:rPr>
            </w:pPr>
            <w:r>
              <w:rPr>
                <w:sz w:val="16"/>
              </w:rPr>
              <w:t>M06 - Développement des exploitations agricoles et des entreprises (article 19)</w:t>
            </w:r>
          </w:p>
        </w:tc>
        <w:tc>
          <w:tcPr>
            <w:tcW w:w="1000" w:type="pct"/>
            <w:shd w:val="clear" w:color="auto" w:fill="FFFFFF"/>
            <w:tcMar>
              <w:top w:w="60" w:type="dxa"/>
            </w:tcMar>
          </w:tcPr>
          <w:p w:rsidR="0035701C" w:rsidRDefault="00FB561B">
            <w:pPr>
              <w:jc w:val="right"/>
              <w:rPr>
                <w:sz w:val="16"/>
              </w:rPr>
            </w:pPr>
            <w:r>
              <w:rPr>
                <w:sz w:val="16"/>
              </w:rPr>
              <w:t>3 000 000,00</w:t>
            </w:r>
          </w:p>
        </w:tc>
      </w:tr>
      <w:tr w:rsidR="0035701C">
        <w:tc>
          <w:tcPr>
            <w:tcW w:w="4000" w:type="pct"/>
            <w:shd w:val="clear" w:color="auto" w:fill="FFFFFF"/>
            <w:tcMar>
              <w:top w:w="60" w:type="dxa"/>
            </w:tcMar>
          </w:tcPr>
          <w:p w:rsidR="0035701C" w:rsidRDefault="00FB561B">
            <w:pPr>
              <w:jc w:val="left"/>
              <w:rPr>
                <w:sz w:val="16"/>
              </w:rPr>
            </w:pPr>
            <w:r>
              <w:rPr>
                <w:sz w:val="16"/>
              </w:rPr>
              <w:t xml:space="preserve">M07 - Services de base et rénovation des </w:t>
            </w:r>
            <w:r>
              <w:rPr>
                <w:sz w:val="16"/>
              </w:rPr>
              <w:t>villages dans les zones rurales (article 20)</w:t>
            </w:r>
          </w:p>
        </w:tc>
        <w:tc>
          <w:tcPr>
            <w:tcW w:w="1000" w:type="pct"/>
            <w:shd w:val="clear" w:color="auto" w:fill="FFFFFF"/>
            <w:tcMar>
              <w:top w:w="60" w:type="dxa"/>
            </w:tcMar>
          </w:tcPr>
          <w:p w:rsidR="0035701C" w:rsidRDefault="00FB561B">
            <w:pPr>
              <w:jc w:val="right"/>
              <w:rPr>
                <w:sz w:val="16"/>
              </w:rPr>
            </w:pPr>
            <w:r>
              <w:rPr>
                <w:sz w:val="16"/>
              </w:rPr>
              <w:t>0,00</w:t>
            </w:r>
          </w:p>
        </w:tc>
      </w:tr>
      <w:tr w:rsidR="0035701C">
        <w:tc>
          <w:tcPr>
            <w:tcW w:w="4000" w:type="pct"/>
            <w:shd w:val="clear" w:color="auto" w:fill="FFFFFF"/>
            <w:tcMar>
              <w:top w:w="60" w:type="dxa"/>
            </w:tcMar>
          </w:tcPr>
          <w:p w:rsidR="0035701C" w:rsidRDefault="00FB561B">
            <w:pPr>
              <w:jc w:val="left"/>
              <w:rPr>
                <w:sz w:val="16"/>
              </w:rPr>
            </w:pPr>
            <w:r>
              <w:rPr>
                <w:sz w:val="16"/>
              </w:rPr>
              <w:t>M08 - Investissements dans le développement des zones forestières et amélioration de la viabilité des forêts (articles 21 à 26)</w:t>
            </w:r>
          </w:p>
        </w:tc>
        <w:tc>
          <w:tcPr>
            <w:tcW w:w="1000" w:type="pct"/>
            <w:shd w:val="clear" w:color="auto" w:fill="FFFFFF"/>
            <w:tcMar>
              <w:top w:w="60" w:type="dxa"/>
            </w:tcMar>
          </w:tcPr>
          <w:p w:rsidR="0035701C" w:rsidRDefault="00FB561B">
            <w:pPr>
              <w:jc w:val="right"/>
              <w:rPr>
                <w:sz w:val="16"/>
              </w:rPr>
            </w:pPr>
            <w:r>
              <w:rPr>
                <w:sz w:val="16"/>
              </w:rPr>
              <w:t>0,00</w:t>
            </w:r>
          </w:p>
        </w:tc>
      </w:tr>
      <w:tr w:rsidR="0035701C">
        <w:tc>
          <w:tcPr>
            <w:tcW w:w="4000" w:type="pct"/>
            <w:shd w:val="clear" w:color="auto" w:fill="FFFFFF"/>
            <w:tcMar>
              <w:top w:w="60" w:type="dxa"/>
            </w:tcMar>
          </w:tcPr>
          <w:p w:rsidR="0035701C" w:rsidRDefault="00FB561B">
            <w:pPr>
              <w:jc w:val="left"/>
              <w:rPr>
                <w:sz w:val="16"/>
              </w:rPr>
            </w:pPr>
            <w:r>
              <w:rPr>
                <w:sz w:val="16"/>
              </w:rPr>
              <w:t>M10 - Agroenvironnement - climat (article 28)</w:t>
            </w:r>
          </w:p>
        </w:tc>
        <w:tc>
          <w:tcPr>
            <w:tcW w:w="1000" w:type="pct"/>
            <w:shd w:val="clear" w:color="auto" w:fill="FFFFFF"/>
            <w:tcMar>
              <w:top w:w="60" w:type="dxa"/>
            </w:tcMar>
          </w:tcPr>
          <w:p w:rsidR="0035701C" w:rsidRDefault="00FB561B">
            <w:pPr>
              <w:jc w:val="right"/>
              <w:rPr>
                <w:sz w:val="16"/>
              </w:rPr>
            </w:pPr>
            <w:r>
              <w:rPr>
                <w:sz w:val="16"/>
              </w:rPr>
              <w:t>0,00</w:t>
            </w:r>
          </w:p>
        </w:tc>
      </w:tr>
      <w:tr w:rsidR="0035701C">
        <w:tc>
          <w:tcPr>
            <w:tcW w:w="4000" w:type="pct"/>
            <w:shd w:val="clear" w:color="auto" w:fill="FFFFFF"/>
            <w:tcMar>
              <w:top w:w="60" w:type="dxa"/>
            </w:tcMar>
          </w:tcPr>
          <w:p w:rsidR="0035701C" w:rsidRDefault="00FB561B">
            <w:pPr>
              <w:jc w:val="left"/>
              <w:rPr>
                <w:sz w:val="16"/>
              </w:rPr>
            </w:pPr>
            <w:r>
              <w:rPr>
                <w:sz w:val="16"/>
              </w:rPr>
              <w:t>M11 - Agriculture b</w:t>
            </w:r>
            <w:r>
              <w:rPr>
                <w:sz w:val="16"/>
              </w:rPr>
              <w:t>iologique (article 29)</w:t>
            </w:r>
          </w:p>
        </w:tc>
        <w:tc>
          <w:tcPr>
            <w:tcW w:w="1000" w:type="pct"/>
            <w:shd w:val="clear" w:color="auto" w:fill="FFFFFF"/>
            <w:tcMar>
              <w:top w:w="60" w:type="dxa"/>
            </w:tcMar>
          </w:tcPr>
          <w:p w:rsidR="0035701C" w:rsidRDefault="00FB561B">
            <w:pPr>
              <w:jc w:val="right"/>
              <w:rPr>
                <w:sz w:val="16"/>
              </w:rPr>
            </w:pPr>
            <w:r>
              <w:rPr>
                <w:sz w:val="16"/>
              </w:rPr>
              <w:t>0,00</w:t>
            </w:r>
          </w:p>
        </w:tc>
      </w:tr>
      <w:tr w:rsidR="0035701C">
        <w:tc>
          <w:tcPr>
            <w:tcW w:w="4000" w:type="pct"/>
            <w:shd w:val="clear" w:color="auto" w:fill="FFFFFF"/>
            <w:tcMar>
              <w:top w:w="60" w:type="dxa"/>
            </w:tcMar>
          </w:tcPr>
          <w:p w:rsidR="0035701C" w:rsidRDefault="00FB561B">
            <w:pPr>
              <w:jc w:val="left"/>
              <w:rPr>
                <w:sz w:val="16"/>
              </w:rPr>
            </w:pPr>
            <w:r>
              <w:rPr>
                <w:sz w:val="16"/>
              </w:rPr>
              <w:t>M13 - Paiements en faveur des zones soumises à des contraintes naturelles ou à d'autres contraintes spécifiques (article 31)</w:t>
            </w:r>
          </w:p>
        </w:tc>
        <w:tc>
          <w:tcPr>
            <w:tcW w:w="1000" w:type="pct"/>
            <w:shd w:val="clear" w:color="auto" w:fill="FFFFFF"/>
            <w:tcMar>
              <w:top w:w="60" w:type="dxa"/>
            </w:tcMar>
          </w:tcPr>
          <w:p w:rsidR="0035701C" w:rsidRDefault="00FB561B">
            <w:pPr>
              <w:jc w:val="right"/>
              <w:rPr>
                <w:sz w:val="16"/>
              </w:rPr>
            </w:pPr>
            <w:r>
              <w:rPr>
                <w:sz w:val="16"/>
              </w:rPr>
              <w:t>0,00</w:t>
            </w:r>
          </w:p>
        </w:tc>
      </w:tr>
      <w:tr w:rsidR="0035701C">
        <w:tc>
          <w:tcPr>
            <w:tcW w:w="4000" w:type="pct"/>
            <w:shd w:val="clear" w:color="auto" w:fill="FFFFFF"/>
            <w:tcMar>
              <w:top w:w="60" w:type="dxa"/>
            </w:tcMar>
          </w:tcPr>
          <w:p w:rsidR="0035701C" w:rsidRDefault="00FB561B">
            <w:pPr>
              <w:jc w:val="left"/>
              <w:rPr>
                <w:sz w:val="16"/>
              </w:rPr>
            </w:pPr>
            <w:r>
              <w:rPr>
                <w:sz w:val="16"/>
              </w:rPr>
              <w:t xml:space="preserve">M19 - Soutien au développement local Leader (CLLD - développement local mené par les acteurs </w:t>
            </w:r>
            <w:r>
              <w:rPr>
                <w:sz w:val="16"/>
              </w:rPr>
              <w:t>locaux) (article 35 du règlement (UE) n° 1303/2013)</w:t>
            </w:r>
          </w:p>
        </w:tc>
        <w:tc>
          <w:tcPr>
            <w:tcW w:w="1000" w:type="pct"/>
            <w:shd w:val="clear" w:color="auto" w:fill="FFFFFF"/>
            <w:tcMar>
              <w:top w:w="60" w:type="dxa"/>
            </w:tcMar>
          </w:tcPr>
          <w:p w:rsidR="0035701C" w:rsidRDefault="00FB561B">
            <w:pPr>
              <w:jc w:val="right"/>
              <w:rPr>
                <w:sz w:val="16"/>
              </w:rPr>
            </w:pPr>
            <w:r>
              <w:rPr>
                <w:sz w:val="16"/>
              </w:rPr>
              <w:t>0,00</w:t>
            </w:r>
          </w:p>
        </w:tc>
      </w:tr>
      <w:tr w:rsidR="0035701C">
        <w:tc>
          <w:tcPr>
            <w:tcW w:w="4000" w:type="pct"/>
            <w:shd w:val="clear" w:color="auto" w:fill="FFFFFF"/>
            <w:tcMar>
              <w:top w:w="60" w:type="dxa"/>
            </w:tcMar>
          </w:tcPr>
          <w:p w:rsidR="0035701C" w:rsidRDefault="00FB561B">
            <w:pPr>
              <w:jc w:val="left"/>
              <w:rPr>
                <w:sz w:val="16"/>
              </w:rPr>
            </w:pPr>
            <w:r>
              <w:rPr>
                <w:sz w:val="16"/>
              </w:rPr>
              <w:t>M20 - Assistance technique demandée par les États membres (articles 51 à 54)</w:t>
            </w:r>
          </w:p>
        </w:tc>
        <w:tc>
          <w:tcPr>
            <w:tcW w:w="1000" w:type="pct"/>
            <w:shd w:val="clear" w:color="auto" w:fill="FFFFFF"/>
            <w:tcMar>
              <w:top w:w="60" w:type="dxa"/>
            </w:tcMar>
          </w:tcPr>
          <w:p w:rsidR="0035701C" w:rsidRDefault="00FB561B">
            <w:pPr>
              <w:jc w:val="right"/>
              <w:rPr>
                <w:sz w:val="16"/>
              </w:rPr>
            </w:pPr>
            <w:r>
              <w:rPr>
                <w:sz w:val="16"/>
              </w:rPr>
              <w:t>0,00</w:t>
            </w:r>
          </w:p>
        </w:tc>
      </w:tr>
      <w:tr w:rsidR="0035701C">
        <w:tc>
          <w:tcPr>
            <w:tcW w:w="4000" w:type="pct"/>
            <w:shd w:val="clear" w:color="auto" w:fill="C0C0C0"/>
            <w:tcMar>
              <w:top w:w="60" w:type="dxa"/>
            </w:tcMar>
          </w:tcPr>
          <w:p w:rsidR="0035701C" w:rsidRDefault="00FB561B">
            <w:pPr>
              <w:jc w:val="left"/>
              <w:rPr>
                <w:sz w:val="16"/>
              </w:rPr>
            </w:pPr>
            <w:r>
              <w:rPr>
                <w:sz w:val="16"/>
              </w:rPr>
              <w:t>Montant total</w:t>
            </w:r>
          </w:p>
        </w:tc>
        <w:tc>
          <w:tcPr>
            <w:tcW w:w="1000" w:type="pct"/>
            <w:shd w:val="clear" w:color="auto" w:fill="C0C0C0"/>
            <w:tcMar>
              <w:top w:w="60" w:type="dxa"/>
            </w:tcMar>
          </w:tcPr>
          <w:p w:rsidR="0035701C" w:rsidRDefault="00FB561B">
            <w:pPr>
              <w:jc w:val="right"/>
              <w:rPr>
                <w:sz w:val="16"/>
              </w:rPr>
            </w:pPr>
            <w:r>
              <w:rPr>
                <w:sz w:val="16"/>
              </w:rPr>
              <w:t>16 960 000,00</w:t>
            </w:r>
          </w:p>
        </w:tc>
      </w:tr>
    </w:tbl>
    <w:p w:rsidR="0035701C" w:rsidRDefault="00FB561B">
      <w:pPr>
        <w:pStyle w:val="Titre2"/>
      </w:pPr>
      <w:bookmarkStart w:id="152" w:name="_Toc256000151"/>
      <w:r>
        <w:t>M01 - Transfert de connaissances et actions d'information (article 14)</w:t>
      </w:r>
      <w:bookmarkEnd w:id="152"/>
    </w:p>
    <w:p w:rsidR="0035701C" w:rsidRDefault="00FB561B">
      <w:pPr>
        <w:rPr>
          <w:b/>
        </w:rPr>
      </w:pPr>
      <w:r>
        <w:rPr>
          <w:b/>
        </w:rPr>
        <w:t xml:space="preserve">Indication du </w:t>
      </w:r>
      <w:r>
        <w:rPr>
          <w:b/>
        </w:rPr>
        <w:t>respect, par les opérations, des critères établis dans le cadre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sans objet</w:t>
            </w:r>
          </w:p>
          <w:p w:rsidR="0035701C" w:rsidRDefault="0035701C">
            <w:pPr>
              <w:pStyle w:val="Corpsdetexte"/>
              <w:rPr>
                <w:b/>
              </w:rPr>
            </w:pPr>
          </w:p>
        </w:tc>
      </w:tr>
    </w:tbl>
    <w:p w:rsidR="0035701C" w:rsidRDefault="00FB561B">
      <w:pPr>
        <w:pStyle w:val="Titre2"/>
      </w:pPr>
      <w:bookmarkStart w:id="153" w:name="_Toc256000152"/>
      <w:r>
        <w:t>M04 - Investissements physiques (article 17)</w:t>
      </w:r>
      <w:bookmarkEnd w:id="153"/>
    </w:p>
    <w:p w:rsidR="0035701C" w:rsidRDefault="00FB561B">
      <w:pPr>
        <w:rPr>
          <w:b/>
        </w:rPr>
      </w:pPr>
      <w:r>
        <w:rPr>
          <w:b/>
        </w:rPr>
        <w:t>Indication du respect, par les opérations, des critères établis dans le cadre du règlement (UE) n° 1305</w:t>
      </w:r>
      <w:r>
        <w:rPr>
          <w:b/>
        </w:rPr>
        <w:t>/2013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Mesure relevant de l'article 42 du TFUE pour les TO 4.1, 4.2 et 4.3</w:t>
            </w:r>
          </w:p>
          <w:p w:rsidR="0035701C" w:rsidRDefault="00FB561B">
            <w:pPr>
              <w:spacing w:before="240" w:after="240"/>
              <w:jc w:val="left"/>
              <w:rPr>
                <w:szCs w:val="24"/>
              </w:rPr>
            </w:pPr>
            <w:r>
              <w:rPr>
                <w:szCs w:val="24"/>
              </w:rPr>
              <w:t>Les projets soutenus en top-up respecteront les conditions du PDRC et du Règlement (UE) n°1305/2013.</w:t>
            </w:r>
          </w:p>
          <w:p w:rsidR="0035701C" w:rsidRDefault="0035701C">
            <w:pPr>
              <w:pStyle w:val="Corpsdetexte"/>
              <w:rPr>
                <w:b/>
              </w:rPr>
            </w:pPr>
          </w:p>
        </w:tc>
      </w:tr>
    </w:tbl>
    <w:p w:rsidR="0035701C" w:rsidRDefault="00FB561B">
      <w:pPr>
        <w:pStyle w:val="Titre2"/>
      </w:pPr>
      <w:bookmarkStart w:id="154" w:name="_Toc256000153"/>
      <w:r>
        <w:t xml:space="preserve">M05 - Reconstitution du potentiel de production agricole endommagé par des </w:t>
      </w:r>
      <w:r>
        <w:t>catastrophes naturelles et des événements catastrophiques et mise en place de mesures de prévention appropriées (article 18)</w:t>
      </w:r>
      <w:bookmarkEnd w:id="154"/>
      <w:r>
        <w:t xml:space="preserve"> </w:t>
      </w:r>
    </w:p>
    <w:p w:rsidR="0035701C" w:rsidRDefault="00FB561B">
      <w:pPr>
        <w:rPr>
          <w:b/>
        </w:rPr>
      </w:pPr>
      <w:r>
        <w:rPr>
          <w:b/>
        </w:rPr>
        <w:t>Indication du respect, par les opérations, des critères établis dans le cadre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sans objet</w:t>
            </w:r>
          </w:p>
          <w:p w:rsidR="0035701C" w:rsidRDefault="0035701C">
            <w:pPr>
              <w:pStyle w:val="Corpsdetexte"/>
              <w:rPr>
                <w:b/>
              </w:rPr>
            </w:pPr>
          </w:p>
        </w:tc>
      </w:tr>
    </w:tbl>
    <w:p w:rsidR="0035701C" w:rsidRDefault="00FB561B">
      <w:pPr>
        <w:pStyle w:val="Titre2"/>
      </w:pPr>
      <w:bookmarkStart w:id="155" w:name="_Toc256000154"/>
      <w:r>
        <w:t>M06 - Dé</w:t>
      </w:r>
      <w:r>
        <w:t>veloppement des exploitations agricoles et des entreprises (article 19)</w:t>
      </w:r>
      <w:bookmarkEnd w:id="155"/>
    </w:p>
    <w:p w:rsidR="0035701C" w:rsidRDefault="00FB561B">
      <w:pPr>
        <w:rPr>
          <w:b/>
        </w:rPr>
      </w:pPr>
      <w:r>
        <w:rPr>
          <w:b/>
        </w:rPr>
        <w:t>Indication du respect, par les opérations, des critères établis dans le cadre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Les projets soutenus en top-up pour les sous-mesure 6.1 respecteront les co</w:t>
            </w:r>
            <w:r>
              <w:rPr>
                <w:szCs w:val="24"/>
              </w:rPr>
              <w:t>nditions du PDRC et du Règlement (UE) n°1305/2013.</w:t>
            </w:r>
          </w:p>
          <w:p w:rsidR="0035701C" w:rsidRDefault="0035701C">
            <w:pPr>
              <w:pStyle w:val="Corpsdetexte"/>
              <w:rPr>
                <w:b/>
              </w:rPr>
            </w:pPr>
          </w:p>
        </w:tc>
      </w:tr>
    </w:tbl>
    <w:p w:rsidR="0035701C" w:rsidRDefault="00FB561B">
      <w:pPr>
        <w:pStyle w:val="Titre2"/>
      </w:pPr>
      <w:bookmarkStart w:id="156" w:name="_Toc256000155"/>
      <w:r>
        <w:t>M07 - Services de base et rénovation des villages dans les zones rurales (article 20)</w:t>
      </w:r>
      <w:bookmarkEnd w:id="156"/>
      <w:r>
        <w:t xml:space="preserve"> </w:t>
      </w:r>
    </w:p>
    <w:p w:rsidR="0035701C" w:rsidRDefault="00FB561B">
      <w:pPr>
        <w:rPr>
          <w:b/>
        </w:rPr>
      </w:pPr>
      <w:r>
        <w:rPr>
          <w:b/>
        </w:rPr>
        <w:t>Indication du respect, par les opérations, des critères établis dans le cadre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_</w:t>
            </w:r>
          </w:p>
          <w:p w:rsidR="0035701C" w:rsidRDefault="0035701C">
            <w:pPr>
              <w:pStyle w:val="Corpsdetexte"/>
              <w:rPr>
                <w:b/>
              </w:rPr>
            </w:pPr>
          </w:p>
        </w:tc>
      </w:tr>
    </w:tbl>
    <w:p w:rsidR="0035701C" w:rsidRDefault="00FB561B">
      <w:pPr>
        <w:pStyle w:val="Titre2"/>
      </w:pPr>
      <w:bookmarkStart w:id="157" w:name="_Toc256000156"/>
      <w:r>
        <w:t>M08</w:t>
      </w:r>
      <w:r>
        <w:t xml:space="preserve"> - Investissements dans le développement des zones forestières et amélioration de la viabilité des forêts (articles 21 à 26)</w:t>
      </w:r>
      <w:bookmarkEnd w:id="157"/>
      <w:r>
        <w:t xml:space="preserve"> </w:t>
      </w:r>
    </w:p>
    <w:p w:rsidR="0035701C" w:rsidRDefault="00FB561B">
      <w:pPr>
        <w:rPr>
          <w:b/>
        </w:rPr>
      </w:pPr>
      <w:r>
        <w:rPr>
          <w:b/>
        </w:rPr>
        <w:t>Indication du respect, par les opérations, des critères établis dans le cadre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_</w:t>
            </w:r>
          </w:p>
          <w:p w:rsidR="0035701C" w:rsidRDefault="0035701C">
            <w:pPr>
              <w:pStyle w:val="Corpsdetexte"/>
              <w:rPr>
                <w:b/>
              </w:rPr>
            </w:pPr>
          </w:p>
        </w:tc>
      </w:tr>
    </w:tbl>
    <w:p w:rsidR="0035701C" w:rsidRDefault="00FB561B">
      <w:pPr>
        <w:pStyle w:val="Titre2"/>
      </w:pPr>
      <w:bookmarkStart w:id="158" w:name="_Toc256000157"/>
      <w:r>
        <w:t xml:space="preserve">M10 - </w:t>
      </w:r>
      <w:r>
        <w:t>Agroenvironnement - climat (article 28)</w:t>
      </w:r>
      <w:bookmarkEnd w:id="158"/>
    </w:p>
    <w:p w:rsidR="0035701C" w:rsidRDefault="00FB561B">
      <w:pPr>
        <w:rPr>
          <w:b/>
        </w:rPr>
      </w:pPr>
      <w:r>
        <w:rPr>
          <w:b/>
        </w:rPr>
        <w:t>Indication du respect, par les opérations, des critères établis dans le cadre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_</w:t>
            </w:r>
          </w:p>
          <w:p w:rsidR="0035701C" w:rsidRDefault="0035701C">
            <w:pPr>
              <w:pStyle w:val="Corpsdetexte"/>
              <w:rPr>
                <w:b/>
              </w:rPr>
            </w:pPr>
          </w:p>
        </w:tc>
      </w:tr>
    </w:tbl>
    <w:p w:rsidR="0035701C" w:rsidRDefault="00FB561B">
      <w:pPr>
        <w:pStyle w:val="Titre2"/>
      </w:pPr>
      <w:bookmarkStart w:id="159" w:name="_Toc256000158"/>
      <w:r>
        <w:t>M11 - Agriculture biologique (article 29)</w:t>
      </w:r>
      <w:bookmarkEnd w:id="159"/>
    </w:p>
    <w:p w:rsidR="0035701C" w:rsidRDefault="00FB561B">
      <w:pPr>
        <w:rPr>
          <w:b/>
        </w:rPr>
      </w:pPr>
      <w:r>
        <w:rPr>
          <w:b/>
        </w:rPr>
        <w:t>Indication du respect, par les opérations, des critères établ</w:t>
      </w:r>
      <w:r>
        <w:rPr>
          <w:b/>
        </w:rPr>
        <w:t>is dans le cadre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_</w:t>
            </w:r>
          </w:p>
          <w:p w:rsidR="0035701C" w:rsidRDefault="0035701C">
            <w:pPr>
              <w:pStyle w:val="Corpsdetexte"/>
              <w:rPr>
                <w:b/>
              </w:rPr>
            </w:pPr>
          </w:p>
        </w:tc>
      </w:tr>
    </w:tbl>
    <w:p w:rsidR="0035701C" w:rsidRDefault="00FB561B">
      <w:pPr>
        <w:pStyle w:val="Titre2"/>
      </w:pPr>
      <w:bookmarkStart w:id="160" w:name="_Toc256000159"/>
      <w:r>
        <w:t>M13 - Paiements en faveur des zones soumises à des contraintes naturelles ou à d'autres contraintes spécifiques (article 31)</w:t>
      </w:r>
      <w:bookmarkEnd w:id="160"/>
    </w:p>
    <w:p w:rsidR="0035701C" w:rsidRDefault="00FB561B">
      <w:pPr>
        <w:rPr>
          <w:b/>
        </w:rPr>
      </w:pPr>
      <w:r>
        <w:rPr>
          <w:b/>
        </w:rPr>
        <w:t xml:space="preserve">Indication du respect, par les opérations, des critères établis dans le cadre </w:t>
      </w:r>
      <w:r>
        <w:rPr>
          <w:b/>
        </w:rPr>
        <w:t>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_</w:t>
            </w:r>
          </w:p>
          <w:p w:rsidR="0035701C" w:rsidRDefault="0035701C">
            <w:pPr>
              <w:pStyle w:val="Corpsdetexte"/>
              <w:rPr>
                <w:b/>
              </w:rPr>
            </w:pPr>
          </w:p>
        </w:tc>
      </w:tr>
    </w:tbl>
    <w:p w:rsidR="0035701C" w:rsidRDefault="00FB561B">
      <w:pPr>
        <w:pStyle w:val="Titre2"/>
      </w:pPr>
      <w:bookmarkStart w:id="161" w:name="_Toc256000160"/>
      <w:r>
        <w:t>M19 - Soutien au développement local Leader (CLLD - développement local mené par les acteurs locaux) (article 35 du règlement (UE) n° 1303/2013)</w:t>
      </w:r>
      <w:bookmarkEnd w:id="161"/>
    </w:p>
    <w:p w:rsidR="0035701C" w:rsidRDefault="00FB561B">
      <w:pPr>
        <w:rPr>
          <w:b/>
        </w:rPr>
      </w:pPr>
      <w:r>
        <w:rPr>
          <w:b/>
        </w:rPr>
        <w:t>Indication du respect, par les opérations, des critères établis dans le cadr</w:t>
      </w:r>
      <w:r>
        <w:rPr>
          <w:b/>
        </w:rPr>
        <w:t>e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_</w:t>
            </w:r>
          </w:p>
          <w:p w:rsidR="0035701C" w:rsidRDefault="0035701C">
            <w:pPr>
              <w:pStyle w:val="Corpsdetexte"/>
              <w:rPr>
                <w:b/>
              </w:rPr>
            </w:pPr>
          </w:p>
        </w:tc>
      </w:tr>
    </w:tbl>
    <w:p w:rsidR="0035701C" w:rsidRDefault="00FB561B">
      <w:pPr>
        <w:pStyle w:val="Titre2"/>
      </w:pPr>
      <w:bookmarkStart w:id="162" w:name="_Toc256000161"/>
      <w:r>
        <w:t>M20 - Assistance technique demandée par les États membres (articles 51 à 54)</w:t>
      </w:r>
      <w:bookmarkEnd w:id="162"/>
    </w:p>
    <w:p w:rsidR="0035701C" w:rsidRDefault="00FB561B">
      <w:pPr>
        <w:rPr>
          <w:b/>
        </w:rPr>
      </w:pPr>
      <w:r>
        <w:rPr>
          <w:b/>
        </w:rPr>
        <w:t>Indication du respect, par les opérations, des critères établis dans le cadre du règlement (UE) n°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_</w:t>
            </w:r>
          </w:p>
          <w:p w:rsidR="0035701C" w:rsidRDefault="0035701C">
            <w:pPr>
              <w:pStyle w:val="Corpsdetexte"/>
              <w:rPr>
                <w:b/>
              </w:rPr>
            </w:pPr>
          </w:p>
        </w:tc>
      </w:tr>
    </w:tbl>
    <w:p w:rsidR="0035701C" w:rsidRDefault="0035701C">
      <w:pPr>
        <w:rPr>
          <w:b/>
        </w:rPr>
        <w:sectPr w:rsidR="0035701C">
          <w:pgSz w:w="12240" w:h="15840"/>
          <w:pgMar w:top="900" w:right="900" w:bottom="900" w:left="900" w:header="720" w:footer="720" w:gutter="0"/>
          <w:cols w:space="720"/>
        </w:sectPr>
      </w:pPr>
    </w:p>
    <w:p w:rsidR="0035701C" w:rsidRDefault="00FB561B">
      <w:pPr>
        <w:pStyle w:val="Titre1"/>
      </w:pPr>
      <w:bookmarkStart w:id="163" w:name="_Toc256000162"/>
      <w:r>
        <w:t xml:space="preserve">Éléments </w:t>
      </w:r>
      <w:r>
        <w:t>nécessaires pour l'évaluation relative aux aides d'État</w:t>
      </w:r>
      <w:bookmarkEnd w:id="163"/>
    </w:p>
    <w:p w:rsidR="0035701C" w:rsidRDefault="00FB561B">
      <w:r>
        <w:t>Pour les mesures et opérations ne relevant pas du champ d'application de l'article 42 du traité, tableau des régimes d'aides relevant de l'article 81, paragraphe 1, du règlement (UE) n° 1305/2013 à ut</w:t>
      </w:r>
      <w:r>
        <w:t>iliser pour la mise en œuvre des programmes, et comprenant l'intitulé du régime d'aides, la participation du FEADER, le cofinancement national et tout financement national complémentaire. La compatibilité avec la législation de l'Union en matière d'aides d</w:t>
      </w:r>
      <w:r>
        <w:t>'État doit être garantie pendant toute la durée du programme.</w:t>
      </w:r>
    </w:p>
    <w:p w:rsidR="0035701C" w:rsidRDefault="00FB561B">
      <w:r>
        <w:t>Le tableau est accompagné d’un engagement par lequel l’État membre s’oblige à notifier individuellement, conformément à l'article 108, paragraphe 3, du traité, les mesures pour lesquelles des no</w:t>
      </w:r>
      <w:r>
        <w:t>tifications individuelles sont exigées en vertu des règles relatives aux aides d’État ou des conditions fixées dans des décisions d’approbation d'aides d’État.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376"/>
        <w:gridCol w:w="2376"/>
        <w:gridCol w:w="2376"/>
        <w:gridCol w:w="2376"/>
        <w:gridCol w:w="2376"/>
      </w:tblGrid>
      <w:tr w:rsidR="0035701C">
        <w:tc>
          <w:tcPr>
            <w:tcW w:w="1200" w:type="pct"/>
            <w:shd w:val="clear" w:color="auto" w:fill="C0C0C0"/>
            <w:tcMar>
              <w:top w:w="60" w:type="dxa"/>
            </w:tcMar>
          </w:tcPr>
          <w:p w:rsidR="0035701C" w:rsidRDefault="00FB561B">
            <w:pPr>
              <w:rPr>
                <w:b/>
              </w:rPr>
            </w:pPr>
            <w:r>
              <w:rPr>
                <w:b/>
              </w:rPr>
              <w:t>Mesure</w:t>
            </w:r>
          </w:p>
        </w:tc>
        <w:tc>
          <w:tcPr>
            <w:tcW w:w="1200" w:type="pct"/>
            <w:shd w:val="clear" w:color="auto" w:fill="C0C0C0"/>
            <w:tcMar>
              <w:top w:w="60" w:type="dxa"/>
            </w:tcMar>
          </w:tcPr>
          <w:p w:rsidR="0035701C" w:rsidRDefault="00FB561B">
            <w:pPr>
              <w:rPr>
                <w:b/>
              </w:rPr>
            </w:pPr>
            <w:r>
              <w:rPr>
                <w:b/>
              </w:rPr>
              <w:t>Intitulé du régime d’aides</w:t>
            </w:r>
          </w:p>
        </w:tc>
        <w:tc>
          <w:tcPr>
            <w:tcW w:w="650" w:type="pct"/>
            <w:shd w:val="clear" w:color="auto" w:fill="C0C0C0"/>
            <w:tcMar>
              <w:top w:w="60" w:type="dxa"/>
            </w:tcMar>
          </w:tcPr>
          <w:p w:rsidR="0035701C" w:rsidRDefault="00FB561B">
            <w:pPr>
              <w:rPr>
                <w:b/>
              </w:rPr>
            </w:pPr>
            <w:r>
              <w:rPr>
                <w:b/>
              </w:rPr>
              <w:t>Feader (€)</w:t>
            </w:r>
          </w:p>
        </w:tc>
        <w:tc>
          <w:tcPr>
            <w:tcW w:w="650" w:type="pct"/>
            <w:shd w:val="clear" w:color="auto" w:fill="C0C0C0"/>
            <w:tcMar>
              <w:top w:w="60" w:type="dxa"/>
            </w:tcMar>
          </w:tcPr>
          <w:p w:rsidR="0035701C" w:rsidRDefault="00FB561B">
            <w:pPr>
              <w:rPr>
                <w:b/>
              </w:rPr>
            </w:pPr>
            <w:r>
              <w:rPr>
                <w:b/>
              </w:rPr>
              <w:t>Cofinancement national (en euros)</w:t>
            </w:r>
          </w:p>
        </w:tc>
        <w:tc>
          <w:tcPr>
            <w:tcW w:w="650" w:type="pct"/>
            <w:shd w:val="clear" w:color="auto" w:fill="C0C0C0"/>
            <w:tcMar>
              <w:top w:w="60" w:type="dxa"/>
            </w:tcMar>
          </w:tcPr>
          <w:p w:rsidR="0035701C" w:rsidRDefault="00FB561B">
            <w:pPr>
              <w:rPr>
                <w:b/>
              </w:rPr>
            </w:pPr>
            <w:r>
              <w:rPr>
                <w:b/>
              </w:rPr>
              <w:t>Financement natio</w:t>
            </w:r>
            <w:r>
              <w:rPr>
                <w:b/>
              </w:rPr>
              <w:t>nal complémentaire (€)</w:t>
            </w:r>
          </w:p>
        </w:tc>
        <w:tc>
          <w:tcPr>
            <w:tcW w:w="650" w:type="pct"/>
            <w:shd w:val="clear" w:color="auto" w:fill="C0C0C0"/>
            <w:tcMar>
              <w:top w:w="60" w:type="dxa"/>
            </w:tcMar>
          </w:tcPr>
          <w:p w:rsidR="0035701C" w:rsidRDefault="00FB561B">
            <w:r>
              <w:rPr>
                <w:b/>
              </w:rPr>
              <w:t>Total (en euros)</w:t>
            </w:r>
          </w:p>
        </w:tc>
      </w:tr>
      <w:tr w:rsidR="0035701C">
        <w:tc>
          <w:tcPr>
            <w:tcW w:w="1200" w:type="pct"/>
            <w:shd w:val="clear" w:color="auto" w:fill="FFFFFF"/>
            <w:tcMar>
              <w:top w:w="60" w:type="dxa"/>
            </w:tcMar>
          </w:tcPr>
          <w:p w:rsidR="0035701C" w:rsidRDefault="00FB561B">
            <w:pPr>
              <w:jc w:val="left"/>
              <w:rPr>
                <w:sz w:val="16"/>
              </w:rPr>
            </w:pPr>
            <w:r>
              <w:rPr>
                <w:sz w:val="16"/>
              </w:rPr>
              <w:t>M01 - Transfert de connaissances et actions d'information (article 14)</w:t>
            </w:r>
          </w:p>
        </w:tc>
        <w:tc>
          <w:tcPr>
            <w:tcW w:w="1200" w:type="pct"/>
            <w:shd w:val="clear" w:color="auto" w:fill="FFFFFF"/>
            <w:tcMar>
              <w:top w:w="60" w:type="dxa"/>
            </w:tcMar>
          </w:tcPr>
          <w:p w:rsidR="0035701C" w:rsidRDefault="00FB561B">
            <w:pPr>
              <w:jc w:val="left"/>
              <w:rPr>
                <w:sz w:val="16"/>
              </w:rPr>
            </w:pPr>
            <w:r>
              <w:rPr>
                <w:sz w:val="16"/>
              </w:rPr>
              <w:t>Régimes cadre exemptés et régime notifié relatifs à la formation et règlement de minimis</w:t>
            </w: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35701C">
            <w:pPr>
              <w:jc w:val="right"/>
              <w:rPr>
                <w:sz w:val="16"/>
              </w:rPr>
            </w:pPr>
          </w:p>
        </w:tc>
      </w:tr>
      <w:tr w:rsidR="0035701C">
        <w:tc>
          <w:tcPr>
            <w:tcW w:w="1200" w:type="pct"/>
            <w:shd w:val="clear" w:color="auto" w:fill="FFFFFF"/>
            <w:tcMar>
              <w:top w:w="60" w:type="dxa"/>
            </w:tcMar>
          </w:tcPr>
          <w:p w:rsidR="0035701C" w:rsidRDefault="00FB561B">
            <w:pPr>
              <w:jc w:val="left"/>
              <w:rPr>
                <w:sz w:val="16"/>
              </w:rPr>
            </w:pPr>
            <w:r>
              <w:rPr>
                <w:sz w:val="16"/>
              </w:rPr>
              <w:t>M04 - Investissements physiques (article 17)</w:t>
            </w:r>
          </w:p>
        </w:tc>
        <w:tc>
          <w:tcPr>
            <w:tcW w:w="1200" w:type="pct"/>
            <w:shd w:val="clear" w:color="auto" w:fill="FFFFFF"/>
            <w:tcMar>
              <w:top w:w="60" w:type="dxa"/>
            </w:tcMar>
          </w:tcPr>
          <w:p w:rsidR="0035701C" w:rsidRDefault="00FB561B">
            <w:pPr>
              <w:jc w:val="left"/>
              <w:rPr>
                <w:sz w:val="16"/>
              </w:rPr>
            </w:pPr>
            <w:r>
              <w:rPr>
                <w:sz w:val="16"/>
              </w:rPr>
              <w:t>Règlements de minimis. Régimes cadre exemptés relatifs à la protection de l'environnement, aux AFR, aux PME, à la RDI et au secteur agricole, forestier et dans les zones rurales</w:t>
            </w:r>
          </w:p>
        </w:tc>
        <w:tc>
          <w:tcPr>
            <w:tcW w:w="650" w:type="pct"/>
            <w:shd w:val="clear" w:color="auto" w:fill="FFFFFF"/>
            <w:tcMar>
              <w:top w:w="60" w:type="dxa"/>
            </w:tcMar>
          </w:tcPr>
          <w:p w:rsidR="0035701C" w:rsidRDefault="00FB561B">
            <w:pPr>
              <w:jc w:val="right"/>
              <w:rPr>
                <w:sz w:val="16"/>
              </w:rPr>
            </w:pPr>
            <w:r>
              <w:rPr>
                <w:sz w:val="16"/>
              </w:rPr>
              <w:t>525 000,00</w:t>
            </w:r>
          </w:p>
        </w:tc>
        <w:tc>
          <w:tcPr>
            <w:tcW w:w="650" w:type="pct"/>
            <w:shd w:val="clear" w:color="auto" w:fill="FFFFFF"/>
            <w:tcMar>
              <w:top w:w="60" w:type="dxa"/>
            </w:tcMar>
          </w:tcPr>
          <w:p w:rsidR="0035701C" w:rsidRDefault="00FB561B">
            <w:pPr>
              <w:jc w:val="right"/>
              <w:rPr>
                <w:sz w:val="16"/>
              </w:rPr>
            </w:pPr>
            <w:r>
              <w:rPr>
                <w:sz w:val="16"/>
              </w:rPr>
              <w:t>525 000,00</w:t>
            </w: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FB561B">
            <w:pPr>
              <w:jc w:val="right"/>
              <w:rPr>
                <w:sz w:val="16"/>
              </w:rPr>
            </w:pPr>
            <w:r>
              <w:rPr>
                <w:sz w:val="16"/>
              </w:rPr>
              <w:t>1 050 000,00</w:t>
            </w:r>
          </w:p>
        </w:tc>
      </w:tr>
      <w:tr w:rsidR="0035701C">
        <w:tc>
          <w:tcPr>
            <w:tcW w:w="1200" w:type="pct"/>
            <w:shd w:val="clear" w:color="auto" w:fill="FFFFFF"/>
            <w:tcMar>
              <w:top w:w="60" w:type="dxa"/>
            </w:tcMar>
          </w:tcPr>
          <w:p w:rsidR="0035701C" w:rsidRDefault="00FB561B">
            <w:pPr>
              <w:jc w:val="left"/>
              <w:rPr>
                <w:sz w:val="16"/>
              </w:rPr>
            </w:pPr>
            <w:r>
              <w:rPr>
                <w:sz w:val="16"/>
              </w:rPr>
              <w:t>M05 - Reconstitution du potentiel de prod</w:t>
            </w:r>
            <w:r>
              <w:rPr>
                <w:sz w:val="16"/>
              </w:rPr>
              <w:t xml:space="preserve">uction agricole endommagé par des catastrophes naturelles et des événements catastrophiques et mise en place de mesures de prévention appropriées (article 18) </w:t>
            </w:r>
          </w:p>
        </w:tc>
        <w:tc>
          <w:tcPr>
            <w:tcW w:w="1200" w:type="pct"/>
            <w:shd w:val="clear" w:color="auto" w:fill="FFFFFF"/>
            <w:tcMar>
              <w:top w:w="60" w:type="dxa"/>
            </w:tcMar>
          </w:tcPr>
          <w:p w:rsidR="0035701C" w:rsidRDefault="0035701C">
            <w:pPr>
              <w:jc w:val="left"/>
              <w:rPr>
                <w:sz w:val="16"/>
              </w:rPr>
            </w:pP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35701C">
            <w:pPr>
              <w:jc w:val="right"/>
              <w:rPr>
                <w:sz w:val="16"/>
              </w:rPr>
            </w:pPr>
          </w:p>
        </w:tc>
      </w:tr>
      <w:tr w:rsidR="0035701C">
        <w:tc>
          <w:tcPr>
            <w:tcW w:w="1200" w:type="pct"/>
            <w:shd w:val="clear" w:color="auto" w:fill="FFFFFF"/>
            <w:tcMar>
              <w:top w:w="60" w:type="dxa"/>
            </w:tcMar>
          </w:tcPr>
          <w:p w:rsidR="0035701C" w:rsidRDefault="00FB561B">
            <w:pPr>
              <w:jc w:val="left"/>
              <w:rPr>
                <w:sz w:val="16"/>
              </w:rPr>
            </w:pPr>
            <w:r>
              <w:rPr>
                <w:sz w:val="16"/>
              </w:rPr>
              <w:t>M06 - Développement des exploitations agricoles et des entreprises (article 19)</w:t>
            </w:r>
          </w:p>
        </w:tc>
        <w:tc>
          <w:tcPr>
            <w:tcW w:w="1200" w:type="pct"/>
            <w:shd w:val="clear" w:color="auto" w:fill="FFFFFF"/>
            <w:tcMar>
              <w:top w:w="60" w:type="dxa"/>
            </w:tcMar>
          </w:tcPr>
          <w:p w:rsidR="0035701C" w:rsidRDefault="00FB561B">
            <w:pPr>
              <w:jc w:val="left"/>
              <w:rPr>
                <w:sz w:val="16"/>
              </w:rPr>
            </w:pPr>
            <w:r>
              <w:rPr>
                <w:sz w:val="16"/>
              </w:rPr>
              <w:t xml:space="preserve">Règlement </w:t>
            </w:r>
            <w:r>
              <w:rPr>
                <w:sz w:val="16"/>
              </w:rPr>
              <w:t>de minimis. Régimes cadre exemptés relatifs aux AFR, aux PME</w:t>
            </w:r>
          </w:p>
        </w:tc>
        <w:tc>
          <w:tcPr>
            <w:tcW w:w="650" w:type="pct"/>
            <w:shd w:val="clear" w:color="auto" w:fill="FFFFFF"/>
            <w:tcMar>
              <w:top w:w="60" w:type="dxa"/>
            </w:tcMar>
          </w:tcPr>
          <w:p w:rsidR="0035701C" w:rsidRDefault="00FB561B">
            <w:pPr>
              <w:jc w:val="right"/>
              <w:rPr>
                <w:sz w:val="16"/>
              </w:rPr>
            </w:pPr>
            <w:r>
              <w:rPr>
                <w:sz w:val="16"/>
              </w:rPr>
              <w:t>2 280 000,00</w:t>
            </w:r>
          </w:p>
        </w:tc>
        <w:tc>
          <w:tcPr>
            <w:tcW w:w="650" w:type="pct"/>
            <w:shd w:val="clear" w:color="auto" w:fill="FFFFFF"/>
            <w:tcMar>
              <w:top w:w="60" w:type="dxa"/>
            </w:tcMar>
          </w:tcPr>
          <w:p w:rsidR="0035701C" w:rsidRDefault="00FB561B">
            <w:pPr>
              <w:jc w:val="right"/>
              <w:rPr>
                <w:sz w:val="16"/>
              </w:rPr>
            </w:pPr>
            <w:r>
              <w:rPr>
                <w:sz w:val="16"/>
              </w:rPr>
              <w:t>2 280 000,00</w:t>
            </w: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FB561B">
            <w:pPr>
              <w:jc w:val="right"/>
              <w:rPr>
                <w:sz w:val="16"/>
              </w:rPr>
            </w:pPr>
            <w:r>
              <w:rPr>
                <w:sz w:val="16"/>
              </w:rPr>
              <w:t>4 560 000,00</w:t>
            </w:r>
          </w:p>
        </w:tc>
      </w:tr>
      <w:tr w:rsidR="0035701C">
        <w:tc>
          <w:tcPr>
            <w:tcW w:w="1200" w:type="pct"/>
            <w:shd w:val="clear" w:color="auto" w:fill="FFFFFF"/>
            <w:tcMar>
              <w:top w:w="60" w:type="dxa"/>
            </w:tcMar>
          </w:tcPr>
          <w:p w:rsidR="0035701C" w:rsidRDefault="00FB561B">
            <w:pPr>
              <w:jc w:val="left"/>
              <w:rPr>
                <w:sz w:val="16"/>
              </w:rPr>
            </w:pPr>
            <w:r>
              <w:rPr>
                <w:sz w:val="16"/>
              </w:rPr>
              <w:t xml:space="preserve">M07 - Services de base et rénovation des villages dans les zones rurales (article 20) </w:t>
            </w:r>
          </w:p>
        </w:tc>
        <w:tc>
          <w:tcPr>
            <w:tcW w:w="1200" w:type="pct"/>
            <w:shd w:val="clear" w:color="auto" w:fill="FFFFFF"/>
            <w:tcMar>
              <w:top w:w="60" w:type="dxa"/>
            </w:tcMar>
          </w:tcPr>
          <w:p w:rsidR="0035701C" w:rsidRDefault="00FB561B">
            <w:pPr>
              <w:jc w:val="left"/>
              <w:rPr>
                <w:sz w:val="16"/>
              </w:rPr>
            </w:pPr>
            <w:r>
              <w:rPr>
                <w:sz w:val="16"/>
              </w:rPr>
              <w:t>Règlements de minimis. Régimes cadre exemptés relatifs aux AFR, aux</w:t>
            </w:r>
            <w:r>
              <w:rPr>
                <w:sz w:val="16"/>
              </w:rPr>
              <w:t xml:space="preserve"> PME</w:t>
            </w:r>
          </w:p>
        </w:tc>
        <w:tc>
          <w:tcPr>
            <w:tcW w:w="650" w:type="pct"/>
            <w:shd w:val="clear" w:color="auto" w:fill="FFFFFF"/>
            <w:tcMar>
              <w:top w:w="60" w:type="dxa"/>
            </w:tcMar>
          </w:tcPr>
          <w:p w:rsidR="0035701C" w:rsidRDefault="00FB561B">
            <w:pPr>
              <w:jc w:val="right"/>
              <w:rPr>
                <w:sz w:val="16"/>
              </w:rPr>
            </w:pPr>
            <w:r>
              <w:rPr>
                <w:sz w:val="16"/>
              </w:rPr>
              <w:t>12 570 550,00</w:t>
            </w:r>
          </w:p>
        </w:tc>
        <w:tc>
          <w:tcPr>
            <w:tcW w:w="650" w:type="pct"/>
            <w:shd w:val="clear" w:color="auto" w:fill="FFFFFF"/>
            <w:tcMar>
              <w:top w:w="60" w:type="dxa"/>
            </w:tcMar>
          </w:tcPr>
          <w:p w:rsidR="0035701C" w:rsidRDefault="00FB561B">
            <w:pPr>
              <w:jc w:val="right"/>
              <w:rPr>
                <w:sz w:val="16"/>
              </w:rPr>
            </w:pPr>
            <w:r>
              <w:rPr>
                <w:sz w:val="16"/>
              </w:rPr>
              <w:t>12 570 550,00</w:t>
            </w: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FB561B">
            <w:pPr>
              <w:jc w:val="right"/>
              <w:rPr>
                <w:sz w:val="16"/>
              </w:rPr>
            </w:pPr>
            <w:r>
              <w:rPr>
                <w:sz w:val="16"/>
              </w:rPr>
              <w:t>25 141 100,00</w:t>
            </w:r>
          </w:p>
        </w:tc>
      </w:tr>
      <w:tr w:rsidR="0035701C">
        <w:tc>
          <w:tcPr>
            <w:tcW w:w="1200" w:type="pct"/>
            <w:shd w:val="clear" w:color="auto" w:fill="FFFFFF"/>
            <w:tcMar>
              <w:top w:w="60" w:type="dxa"/>
            </w:tcMar>
          </w:tcPr>
          <w:p w:rsidR="0035701C" w:rsidRDefault="00FB561B">
            <w:pPr>
              <w:jc w:val="left"/>
              <w:rPr>
                <w:sz w:val="16"/>
              </w:rPr>
            </w:pPr>
            <w:r>
              <w:rPr>
                <w:sz w:val="16"/>
              </w:rPr>
              <w:t xml:space="preserve">M08 - Investissements dans le développement des zones forestières et amélioration de la viabilité des forêts (articles 21 à 26) </w:t>
            </w:r>
          </w:p>
        </w:tc>
        <w:tc>
          <w:tcPr>
            <w:tcW w:w="1200" w:type="pct"/>
            <w:shd w:val="clear" w:color="auto" w:fill="FFFFFF"/>
            <w:tcMar>
              <w:top w:w="60" w:type="dxa"/>
            </w:tcMar>
          </w:tcPr>
          <w:p w:rsidR="0035701C" w:rsidRDefault="00FB561B">
            <w:pPr>
              <w:jc w:val="left"/>
              <w:rPr>
                <w:sz w:val="16"/>
              </w:rPr>
            </w:pPr>
            <w:r>
              <w:rPr>
                <w:sz w:val="16"/>
              </w:rPr>
              <w:t xml:space="preserve">Règlement de minimis. Régimes cadre exemptés relatifs  au secteur agricole, </w:t>
            </w:r>
            <w:r>
              <w:rPr>
                <w:sz w:val="16"/>
              </w:rPr>
              <w:t>forestier, aux AFR, aux PME</w:t>
            </w:r>
          </w:p>
        </w:tc>
        <w:tc>
          <w:tcPr>
            <w:tcW w:w="650" w:type="pct"/>
            <w:shd w:val="clear" w:color="auto" w:fill="FFFFFF"/>
            <w:tcMar>
              <w:top w:w="60" w:type="dxa"/>
            </w:tcMar>
          </w:tcPr>
          <w:p w:rsidR="0035701C" w:rsidRDefault="00FB561B">
            <w:pPr>
              <w:jc w:val="right"/>
              <w:rPr>
                <w:sz w:val="16"/>
              </w:rPr>
            </w:pPr>
            <w:r>
              <w:rPr>
                <w:sz w:val="16"/>
              </w:rPr>
              <w:t>5 410 000,00</w:t>
            </w:r>
          </w:p>
        </w:tc>
        <w:tc>
          <w:tcPr>
            <w:tcW w:w="650" w:type="pct"/>
            <w:shd w:val="clear" w:color="auto" w:fill="FFFFFF"/>
            <w:tcMar>
              <w:top w:w="60" w:type="dxa"/>
            </w:tcMar>
          </w:tcPr>
          <w:p w:rsidR="0035701C" w:rsidRDefault="00FB561B">
            <w:pPr>
              <w:jc w:val="right"/>
              <w:rPr>
                <w:sz w:val="16"/>
              </w:rPr>
            </w:pPr>
            <w:r>
              <w:rPr>
                <w:sz w:val="16"/>
              </w:rPr>
              <w:t>5 410 000,00</w:t>
            </w: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FB561B">
            <w:pPr>
              <w:jc w:val="right"/>
              <w:rPr>
                <w:sz w:val="16"/>
              </w:rPr>
            </w:pPr>
            <w:r>
              <w:rPr>
                <w:sz w:val="16"/>
              </w:rPr>
              <w:t>10 820 000,00</w:t>
            </w:r>
          </w:p>
        </w:tc>
      </w:tr>
      <w:tr w:rsidR="0035701C">
        <w:tc>
          <w:tcPr>
            <w:tcW w:w="1200" w:type="pct"/>
            <w:shd w:val="clear" w:color="auto" w:fill="FFFFFF"/>
            <w:tcMar>
              <w:top w:w="60" w:type="dxa"/>
            </w:tcMar>
          </w:tcPr>
          <w:p w:rsidR="0035701C" w:rsidRDefault="00FB561B">
            <w:pPr>
              <w:jc w:val="left"/>
              <w:rPr>
                <w:sz w:val="16"/>
              </w:rPr>
            </w:pPr>
            <w:r>
              <w:rPr>
                <w:sz w:val="16"/>
              </w:rPr>
              <w:t>M10 - Agroenvironnement - climat (article 28)</w:t>
            </w:r>
          </w:p>
        </w:tc>
        <w:tc>
          <w:tcPr>
            <w:tcW w:w="1200" w:type="pct"/>
            <w:shd w:val="clear" w:color="auto" w:fill="FFFFFF"/>
            <w:tcMar>
              <w:top w:w="60" w:type="dxa"/>
            </w:tcMar>
          </w:tcPr>
          <w:p w:rsidR="0035701C" w:rsidRDefault="00FB561B">
            <w:pPr>
              <w:jc w:val="left"/>
              <w:rPr>
                <w:sz w:val="16"/>
              </w:rPr>
            </w:pPr>
            <w:r>
              <w:rPr>
                <w:sz w:val="16"/>
              </w:rPr>
              <w:t>Sans</w:t>
            </w: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35701C">
            <w:pPr>
              <w:jc w:val="right"/>
              <w:rPr>
                <w:sz w:val="16"/>
              </w:rPr>
            </w:pPr>
          </w:p>
        </w:tc>
      </w:tr>
      <w:tr w:rsidR="0035701C">
        <w:tc>
          <w:tcPr>
            <w:tcW w:w="1200" w:type="pct"/>
            <w:shd w:val="clear" w:color="auto" w:fill="FFFFFF"/>
            <w:tcMar>
              <w:top w:w="60" w:type="dxa"/>
            </w:tcMar>
          </w:tcPr>
          <w:p w:rsidR="0035701C" w:rsidRDefault="00FB561B">
            <w:pPr>
              <w:jc w:val="left"/>
              <w:rPr>
                <w:sz w:val="16"/>
              </w:rPr>
            </w:pPr>
            <w:r>
              <w:rPr>
                <w:sz w:val="16"/>
              </w:rPr>
              <w:t>M11 - Agriculture biologique (article 29)</w:t>
            </w:r>
          </w:p>
        </w:tc>
        <w:tc>
          <w:tcPr>
            <w:tcW w:w="1200" w:type="pct"/>
            <w:shd w:val="clear" w:color="auto" w:fill="FFFFFF"/>
            <w:tcMar>
              <w:top w:w="60" w:type="dxa"/>
            </w:tcMar>
          </w:tcPr>
          <w:p w:rsidR="0035701C" w:rsidRDefault="00FB561B">
            <w:pPr>
              <w:jc w:val="left"/>
              <w:rPr>
                <w:sz w:val="16"/>
              </w:rPr>
            </w:pPr>
            <w:r>
              <w:rPr>
                <w:sz w:val="16"/>
              </w:rPr>
              <w:t>Sans</w:t>
            </w: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35701C">
            <w:pPr>
              <w:jc w:val="right"/>
              <w:rPr>
                <w:sz w:val="16"/>
              </w:rPr>
            </w:pPr>
          </w:p>
        </w:tc>
      </w:tr>
      <w:tr w:rsidR="0035701C">
        <w:tc>
          <w:tcPr>
            <w:tcW w:w="1200" w:type="pct"/>
            <w:shd w:val="clear" w:color="auto" w:fill="FFFFFF"/>
            <w:tcMar>
              <w:top w:w="60" w:type="dxa"/>
            </w:tcMar>
          </w:tcPr>
          <w:p w:rsidR="0035701C" w:rsidRDefault="00FB561B">
            <w:pPr>
              <w:jc w:val="left"/>
              <w:rPr>
                <w:sz w:val="16"/>
              </w:rPr>
            </w:pPr>
            <w:r>
              <w:rPr>
                <w:sz w:val="16"/>
              </w:rPr>
              <w:t>M13 - Paiements en faveur des zones soumises à des contraintes naturelles ou à</w:t>
            </w:r>
            <w:r>
              <w:rPr>
                <w:sz w:val="16"/>
              </w:rPr>
              <w:t xml:space="preserve"> d'autres contraintes spécifiques (article 31)</w:t>
            </w:r>
          </w:p>
        </w:tc>
        <w:tc>
          <w:tcPr>
            <w:tcW w:w="1200" w:type="pct"/>
            <w:shd w:val="clear" w:color="auto" w:fill="FFFFFF"/>
            <w:tcMar>
              <w:top w:w="60" w:type="dxa"/>
            </w:tcMar>
          </w:tcPr>
          <w:p w:rsidR="0035701C" w:rsidRDefault="00FB561B">
            <w:pPr>
              <w:jc w:val="left"/>
              <w:rPr>
                <w:sz w:val="16"/>
              </w:rPr>
            </w:pPr>
            <w:r>
              <w:rPr>
                <w:sz w:val="16"/>
              </w:rPr>
              <w:t>Sans</w:t>
            </w: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35701C">
            <w:pPr>
              <w:jc w:val="right"/>
              <w:rPr>
                <w:sz w:val="16"/>
              </w:rPr>
            </w:pPr>
          </w:p>
        </w:tc>
      </w:tr>
      <w:tr w:rsidR="0035701C">
        <w:tc>
          <w:tcPr>
            <w:tcW w:w="1200" w:type="pct"/>
            <w:shd w:val="clear" w:color="auto" w:fill="FFFFFF"/>
            <w:tcMar>
              <w:top w:w="60" w:type="dxa"/>
            </w:tcMar>
          </w:tcPr>
          <w:p w:rsidR="0035701C" w:rsidRDefault="00FB561B">
            <w:pPr>
              <w:jc w:val="left"/>
              <w:rPr>
                <w:sz w:val="16"/>
              </w:rPr>
            </w:pPr>
            <w:r>
              <w:rPr>
                <w:sz w:val="16"/>
              </w:rPr>
              <w:t>M19 - Soutien au développement local Leader (CLLD - développement local mené par les acteurs locaux) (article 35 du règlement (UE) n° 1303/2013)</w:t>
            </w:r>
          </w:p>
        </w:tc>
        <w:tc>
          <w:tcPr>
            <w:tcW w:w="1200" w:type="pct"/>
            <w:shd w:val="clear" w:color="auto" w:fill="FFFFFF"/>
            <w:tcMar>
              <w:top w:w="60" w:type="dxa"/>
            </w:tcMar>
          </w:tcPr>
          <w:p w:rsidR="0035701C" w:rsidRDefault="00FB561B">
            <w:pPr>
              <w:jc w:val="left"/>
              <w:rPr>
                <w:sz w:val="16"/>
              </w:rPr>
            </w:pPr>
            <w:r>
              <w:rPr>
                <w:sz w:val="16"/>
              </w:rPr>
              <w:t xml:space="preserve">Règlements de minimis. Régimes cadre exemptés ou </w:t>
            </w:r>
            <w:r>
              <w:rPr>
                <w:sz w:val="16"/>
              </w:rPr>
              <w:t>notifié, relatif au développement rural, au PME, au AFR, au SIEG.</w:t>
            </w:r>
          </w:p>
        </w:tc>
        <w:tc>
          <w:tcPr>
            <w:tcW w:w="650" w:type="pct"/>
            <w:shd w:val="clear" w:color="auto" w:fill="FFFFFF"/>
            <w:tcMar>
              <w:top w:w="60" w:type="dxa"/>
            </w:tcMar>
          </w:tcPr>
          <w:p w:rsidR="0035701C" w:rsidRDefault="00FB561B">
            <w:pPr>
              <w:jc w:val="right"/>
              <w:rPr>
                <w:sz w:val="16"/>
              </w:rPr>
            </w:pPr>
            <w:r>
              <w:rPr>
                <w:sz w:val="16"/>
              </w:rPr>
              <w:t>9 534 500,00</w:t>
            </w:r>
          </w:p>
        </w:tc>
        <w:tc>
          <w:tcPr>
            <w:tcW w:w="650" w:type="pct"/>
            <w:shd w:val="clear" w:color="auto" w:fill="FFFFFF"/>
            <w:tcMar>
              <w:top w:w="60" w:type="dxa"/>
            </w:tcMar>
          </w:tcPr>
          <w:p w:rsidR="0035701C" w:rsidRDefault="00FB561B">
            <w:pPr>
              <w:jc w:val="right"/>
              <w:rPr>
                <w:sz w:val="16"/>
              </w:rPr>
            </w:pPr>
            <w:r>
              <w:rPr>
                <w:sz w:val="16"/>
              </w:rPr>
              <w:t>2 383 625,00</w:t>
            </w: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FB561B">
            <w:pPr>
              <w:jc w:val="right"/>
              <w:rPr>
                <w:sz w:val="16"/>
              </w:rPr>
            </w:pPr>
            <w:r>
              <w:rPr>
                <w:sz w:val="16"/>
              </w:rPr>
              <w:t>11 918 125,00</w:t>
            </w:r>
          </w:p>
        </w:tc>
      </w:tr>
      <w:tr w:rsidR="0035701C">
        <w:tc>
          <w:tcPr>
            <w:tcW w:w="1200" w:type="pct"/>
            <w:shd w:val="clear" w:color="auto" w:fill="FFFFFF"/>
            <w:tcMar>
              <w:top w:w="60" w:type="dxa"/>
            </w:tcMar>
          </w:tcPr>
          <w:p w:rsidR="0035701C" w:rsidRDefault="00FB561B">
            <w:pPr>
              <w:jc w:val="left"/>
              <w:rPr>
                <w:sz w:val="16"/>
              </w:rPr>
            </w:pPr>
            <w:r>
              <w:rPr>
                <w:sz w:val="16"/>
              </w:rPr>
              <w:t>M20 - Assistance technique demandée par les États membres (articles 51 à 54)</w:t>
            </w:r>
          </w:p>
        </w:tc>
        <w:tc>
          <w:tcPr>
            <w:tcW w:w="1200" w:type="pct"/>
            <w:shd w:val="clear" w:color="auto" w:fill="FFFFFF"/>
            <w:tcMar>
              <w:top w:w="60" w:type="dxa"/>
            </w:tcMar>
          </w:tcPr>
          <w:p w:rsidR="0035701C" w:rsidRDefault="0035701C">
            <w:pPr>
              <w:jc w:val="left"/>
              <w:rPr>
                <w:sz w:val="16"/>
              </w:rPr>
            </w:pP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35701C">
            <w:pPr>
              <w:jc w:val="right"/>
              <w:rPr>
                <w:sz w:val="16"/>
              </w:rPr>
            </w:pPr>
          </w:p>
        </w:tc>
        <w:tc>
          <w:tcPr>
            <w:tcW w:w="650" w:type="pct"/>
            <w:shd w:val="clear" w:color="auto" w:fill="FFFFFF"/>
            <w:tcMar>
              <w:top w:w="60" w:type="dxa"/>
            </w:tcMar>
          </w:tcPr>
          <w:p w:rsidR="0035701C" w:rsidRDefault="0035701C">
            <w:pPr>
              <w:jc w:val="right"/>
              <w:rPr>
                <w:b/>
                <w:sz w:val="16"/>
              </w:rPr>
            </w:pPr>
          </w:p>
        </w:tc>
      </w:tr>
      <w:tr w:rsidR="0035701C">
        <w:tc>
          <w:tcPr>
            <w:tcW w:w="1200" w:type="pct"/>
            <w:shd w:val="clear" w:color="auto" w:fill="C0C0C0"/>
            <w:tcMar>
              <w:top w:w="60" w:type="dxa"/>
            </w:tcMar>
          </w:tcPr>
          <w:p w:rsidR="0035701C" w:rsidRDefault="00FB561B">
            <w:pPr>
              <w:jc w:val="right"/>
              <w:rPr>
                <w:b/>
                <w:sz w:val="16"/>
              </w:rPr>
            </w:pPr>
            <w:r>
              <w:rPr>
                <w:b/>
                <w:sz w:val="16"/>
              </w:rPr>
              <w:t>Total (en euros)</w:t>
            </w:r>
          </w:p>
        </w:tc>
        <w:tc>
          <w:tcPr>
            <w:tcW w:w="1200" w:type="pct"/>
            <w:shd w:val="clear" w:color="auto" w:fill="C0C0C0"/>
            <w:tcMar>
              <w:top w:w="60" w:type="dxa"/>
            </w:tcMar>
          </w:tcPr>
          <w:p w:rsidR="0035701C" w:rsidRDefault="0035701C">
            <w:pPr>
              <w:jc w:val="right"/>
              <w:rPr>
                <w:b/>
                <w:sz w:val="16"/>
              </w:rPr>
            </w:pPr>
          </w:p>
        </w:tc>
        <w:tc>
          <w:tcPr>
            <w:tcW w:w="650" w:type="pct"/>
            <w:shd w:val="clear" w:color="auto" w:fill="C0C0C0"/>
            <w:tcMar>
              <w:top w:w="60" w:type="dxa"/>
            </w:tcMar>
          </w:tcPr>
          <w:p w:rsidR="0035701C" w:rsidRDefault="00FB561B">
            <w:pPr>
              <w:jc w:val="right"/>
              <w:rPr>
                <w:b/>
                <w:sz w:val="16"/>
              </w:rPr>
            </w:pPr>
            <w:r>
              <w:rPr>
                <w:b/>
                <w:sz w:val="16"/>
              </w:rPr>
              <w:t>30 320 050,00</w:t>
            </w:r>
          </w:p>
        </w:tc>
        <w:tc>
          <w:tcPr>
            <w:tcW w:w="650" w:type="pct"/>
            <w:shd w:val="clear" w:color="auto" w:fill="C0C0C0"/>
            <w:tcMar>
              <w:top w:w="60" w:type="dxa"/>
            </w:tcMar>
          </w:tcPr>
          <w:p w:rsidR="0035701C" w:rsidRDefault="00FB561B">
            <w:pPr>
              <w:jc w:val="right"/>
              <w:rPr>
                <w:b/>
                <w:sz w:val="16"/>
              </w:rPr>
            </w:pPr>
            <w:r>
              <w:rPr>
                <w:b/>
                <w:sz w:val="16"/>
              </w:rPr>
              <w:t>23 169 175,00</w:t>
            </w:r>
          </w:p>
        </w:tc>
        <w:tc>
          <w:tcPr>
            <w:tcW w:w="650" w:type="pct"/>
            <w:shd w:val="clear" w:color="auto" w:fill="C0C0C0"/>
            <w:tcMar>
              <w:top w:w="60" w:type="dxa"/>
            </w:tcMar>
          </w:tcPr>
          <w:p w:rsidR="0035701C" w:rsidRDefault="00FB561B">
            <w:pPr>
              <w:jc w:val="right"/>
              <w:rPr>
                <w:b/>
                <w:sz w:val="16"/>
              </w:rPr>
            </w:pPr>
            <w:r>
              <w:rPr>
                <w:b/>
                <w:sz w:val="16"/>
              </w:rPr>
              <w:t>0,00</w:t>
            </w:r>
          </w:p>
        </w:tc>
        <w:tc>
          <w:tcPr>
            <w:tcW w:w="650" w:type="pct"/>
            <w:shd w:val="clear" w:color="auto" w:fill="C0C0C0"/>
            <w:tcMar>
              <w:top w:w="60" w:type="dxa"/>
            </w:tcMar>
          </w:tcPr>
          <w:p w:rsidR="0035701C" w:rsidRDefault="00FB561B">
            <w:pPr>
              <w:jc w:val="right"/>
              <w:rPr>
                <w:sz w:val="16"/>
              </w:rPr>
            </w:pPr>
            <w:r>
              <w:rPr>
                <w:b/>
                <w:sz w:val="16"/>
              </w:rPr>
              <w:t>53 489 225,00</w:t>
            </w:r>
          </w:p>
        </w:tc>
      </w:tr>
    </w:tbl>
    <w:p w:rsidR="0035701C" w:rsidRDefault="0035701C">
      <w:pPr>
        <w:rPr>
          <w:b/>
        </w:rPr>
        <w:sectPr w:rsidR="0035701C">
          <w:pgSz w:w="15840" w:h="12240" w:orient="landscape"/>
          <w:pgMar w:top="900" w:right="900" w:bottom="900" w:left="900" w:header="720" w:footer="720" w:gutter="0"/>
          <w:cols w:space="720"/>
        </w:sectPr>
      </w:pPr>
    </w:p>
    <w:p w:rsidR="0035701C" w:rsidRDefault="0035701C"/>
    <w:p w:rsidR="0035701C" w:rsidRDefault="00FB561B">
      <w:pPr>
        <w:pStyle w:val="Titre2"/>
      </w:pPr>
      <w:bookmarkStart w:id="164" w:name="_Toc256000163"/>
      <w:r>
        <w:t>M01 - Transfert de connaissances et actions d'information (article 14)</w:t>
      </w:r>
      <w:bookmarkEnd w:id="164"/>
    </w:p>
    <w:p w:rsidR="0035701C" w:rsidRDefault="00FB561B">
      <w:r>
        <w:t>Intitulé du régime d’aides: Régimes cadre exemptés et régime notifié relatifs à la formation et règlement de minimis</w:t>
      </w:r>
    </w:p>
    <w:p w:rsidR="0035701C" w:rsidRDefault="00FB561B">
      <w:r>
        <w:t xml:space="preserve">Feader (€): </w:t>
      </w:r>
    </w:p>
    <w:p w:rsidR="0035701C" w:rsidRDefault="00FB561B">
      <w:r>
        <w:t xml:space="preserve">Cofinancement national (en euros): </w:t>
      </w:r>
    </w:p>
    <w:p w:rsidR="0035701C" w:rsidRDefault="00FB561B">
      <w:r>
        <w:t>F</w:t>
      </w:r>
      <w:r>
        <w:t xml:space="preserve">inancement national complémentaire (€): </w:t>
      </w:r>
    </w:p>
    <w:p w:rsidR="0035701C" w:rsidRDefault="00FB561B">
      <w:r>
        <w:t xml:space="preserve">Total (en euros): </w:t>
      </w:r>
    </w:p>
    <w:p w:rsidR="0035701C" w:rsidRDefault="00FB561B">
      <w:pPr>
        <w:pStyle w:val="Titre4"/>
        <w:jc w:val="left"/>
      </w:pPr>
      <w:r>
        <w:t>Indication*: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 xml:space="preserve">La mesure M01 a été modifiée au cours des différentes versions du PDR. Elle a été recentrée exclusivement sur les bénéficiaires agricoles. Dès lors cette mesure n'entre plus dans le </w:t>
            </w:r>
            <w:r>
              <w:rPr>
                <w:szCs w:val="24"/>
              </w:rPr>
              <w:t>champs des aides d'Etat.</w:t>
            </w:r>
          </w:p>
          <w:p w:rsidR="0035701C" w:rsidRDefault="0035701C">
            <w:pPr>
              <w:pStyle w:val="Corpsdetexte"/>
            </w:pPr>
          </w:p>
        </w:tc>
      </w:tr>
    </w:tbl>
    <w:p w:rsidR="0035701C" w:rsidRDefault="0035701C"/>
    <w:p w:rsidR="0035701C" w:rsidRDefault="00FB561B">
      <w:pPr>
        <w:pStyle w:val="Titre2"/>
      </w:pPr>
      <w:bookmarkStart w:id="165" w:name="_Toc256000164"/>
      <w:r>
        <w:t>M04 - Investissements physiques (article 17)</w:t>
      </w:r>
      <w:bookmarkEnd w:id="165"/>
    </w:p>
    <w:p w:rsidR="0035701C" w:rsidRDefault="00FB561B">
      <w:r>
        <w:t xml:space="preserve">Intitulé du régime d’aides: Règlements de minimis. Régimes cadre exemptés relatifs à la protection de l'environnement, aux AFR, aux PME, à la RDI et au secteur agricole, forestier et </w:t>
      </w:r>
      <w:r>
        <w:t>dans les zones rurales</w:t>
      </w:r>
    </w:p>
    <w:p w:rsidR="0035701C" w:rsidRDefault="00FB561B">
      <w:r>
        <w:t>Feader (€): 525 000,00</w:t>
      </w:r>
    </w:p>
    <w:p w:rsidR="0035701C" w:rsidRDefault="00FB561B">
      <w:r>
        <w:t>Cofinancement national (en euros): 525 000,00</w:t>
      </w:r>
    </w:p>
    <w:p w:rsidR="0035701C" w:rsidRDefault="00FB561B">
      <w:r>
        <w:t xml:space="preserve">Financement national complémentaire (€): </w:t>
      </w:r>
    </w:p>
    <w:p w:rsidR="0035701C" w:rsidRDefault="00FB561B">
      <w:r>
        <w:t>Total (en euros): 1 050 000,00</w:t>
      </w:r>
    </w:p>
    <w:p w:rsidR="0035701C" w:rsidRDefault="00FB561B">
      <w:pPr>
        <w:pStyle w:val="Titre4"/>
        <w:jc w:val="left"/>
      </w:pPr>
      <w:r>
        <w:t>Indication*: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La mesure M04 concerne essentiellement des opérations relevant de l'article 42</w:t>
            </w:r>
            <w:r>
              <w:rPr>
                <w:szCs w:val="24"/>
              </w:rPr>
              <w:t xml:space="preserve"> du traité :</w:t>
            </w:r>
          </w:p>
          <w:p w:rsidR="0035701C" w:rsidRDefault="00FB561B" w:rsidP="00FB561B">
            <w:pPr>
              <w:numPr>
                <w:ilvl w:val="0"/>
                <w:numId w:val="982"/>
              </w:numPr>
              <w:spacing w:before="240" w:after="0"/>
              <w:ind w:hanging="210"/>
              <w:jc w:val="left"/>
              <w:rPr>
                <w:szCs w:val="24"/>
              </w:rPr>
            </w:pPr>
            <w:r>
              <w:rPr>
                <w:szCs w:val="24"/>
              </w:rPr>
              <w:t>TO 4.1 bénéficiant aux exploitations agricoles;</w:t>
            </w:r>
          </w:p>
          <w:p w:rsidR="0035701C" w:rsidRDefault="00FB561B" w:rsidP="00FB561B">
            <w:pPr>
              <w:numPr>
                <w:ilvl w:val="0"/>
                <w:numId w:val="982"/>
              </w:numPr>
              <w:spacing w:before="0" w:after="0"/>
              <w:ind w:hanging="210"/>
              <w:jc w:val="left"/>
              <w:rPr>
                <w:szCs w:val="24"/>
              </w:rPr>
            </w:pPr>
            <w:r>
              <w:rPr>
                <w:szCs w:val="24"/>
              </w:rPr>
              <w:t>TO 4.2 avec des Appels à projets concernant uniquement des produits de l'annexe II du TFUE;</w:t>
            </w:r>
          </w:p>
          <w:p w:rsidR="0035701C" w:rsidRDefault="00FB561B" w:rsidP="00FB561B">
            <w:pPr>
              <w:numPr>
                <w:ilvl w:val="0"/>
                <w:numId w:val="982"/>
              </w:numPr>
              <w:spacing w:before="0" w:after="0"/>
              <w:ind w:hanging="210"/>
              <w:jc w:val="left"/>
              <w:rPr>
                <w:szCs w:val="24"/>
              </w:rPr>
            </w:pPr>
            <w:r>
              <w:rPr>
                <w:szCs w:val="24"/>
              </w:rPr>
              <w:t>TO 4.3 ciblé sur l'aménagement agricole et pastoral, y compris pour ce qui pourrait concerner la petite</w:t>
            </w:r>
            <w:r>
              <w:rPr>
                <w:szCs w:val="24"/>
              </w:rPr>
              <w:t xml:space="preserve"> hydraulique</w:t>
            </w:r>
          </w:p>
          <w:p w:rsidR="0035701C" w:rsidRDefault="00FB561B" w:rsidP="00FB561B">
            <w:pPr>
              <w:numPr>
                <w:ilvl w:val="0"/>
                <w:numId w:val="982"/>
              </w:numPr>
              <w:spacing w:before="0" w:after="240"/>
              <w:ind w:hanging="210"/>
              <w:jc w:val="left"/>
              <w:rPr>
                <w:szCs w:val="24"/>
              </w:rPr>
            </w:pPr>
            <w:r>
              <w:rPr>
                <w:szCs w:val="24"/>
              </w:rPr>
              <w:t>sauf s'agissant du TO 4.3.2 qui concerne le secteur forestier.</w:t>
            </w:r>
          </w:p>
          <w:p w:rsidR="0035701C" w:rsidRDefault="00FB561B">
            <w:pPr>
              <w:spacing w:before="240" w:after="240"/>
              <w:jc w:val="left"/>
              <w:rPr>
                <w:szCs w:val="24"/>
              </w:rPr>
            </w:pPr>
            <w:r>
              <w:rPr>
                <w:szCs w:val="24"/>
              </w:rPr>
              <w:t>Pour ces opérations aidées dans le cadre du TO 4.3.2e la mesure 4 et qui ne relèvent pas de l'article 42 du traité, le Regime cadre notifié SA.41595 « Partie B – Régime-cadre « Aid</w:t>
            </w:r>
            <w:r>
              <w:rPr>
                <w:szCs w:val="24"/>
              </w:rPr>
              <w:t>es au développement de la sylviculture et à l’adaptation des forêts au changement climatique » prolongé par décision SA.59142, sera utilisé.</w:t>
            </w:r>
          </w:p>
          <w:p w:rsidR="0035701C" w:rsidRDefault="00FB561B">
            <w:pPr>
              <w:spacing w:before="240" w:after="240"/>
              <w:jc w:val="left"/>
              <w:rPr>
                <w:szCs w:val="24"/>
              </w:rPr>
            </w:pPr>
            <w:r>
              <w:rPr>
                <w:szCs w:val="24"/>
              </w:rPr>
              <w:t>Le cumul des aides ne pourra dépasser le taux maximum admissible pour la mesure ou sous-mesure. Le taux d'aide publ</w:t>
            </w:r>
            <w:r>
              <w:rPr>
                <w:szCs w:val="24"/>
              </w:rPr>
              <w:t>ique appliqué au dossier correspondra au maximum autorisé par le régime d'aide d'Etat appliqué au dit dossier ; ce maximum ne pourra être supérieur au taux mentionné dans le PDRC.</w:t>
            </w:r>
          </w:p>
          <w:p w:rsidR="0035701C" w:rsidRDefault="0035701C">
            <w:pPr>
              <w:pStyle w:val="Corpsdetexte"/>
            </w:pPr>
          </w:p>
        </w:tc>
      </w:tr>
    </w:tbl>
    <w:p w:rsidR="0035701C" w:rsidRDefault="0035701C"/>
    <w:p w:rsidR="0035701C" w:rsidRDefault="00FB561B">
      <w:pPr>
        <w:pStyle w:val="Titre2"/>
      </w:pPr>
      <w:bookmarkStart w:id="166" w:name="_Toc256000165"/>
      <w:r>
        <w:t xml:space="preserve">M05 - Reconstitution du potentiel de production agricole endommagé par </w:t>
      </w:r>
      <w:r>
        <w:t>des catastrophes naturelles et des événements catastrophiques et mise en place de mesures de prévention appropriées (article 18)</w:t>
      </w:r>
      <w:bookmarkEnd w:id="166"/>
      <w:r>
        <w:t xml:space="preserve"> </w:t>
      </w:r>
    </w:p>
    <w:p w:rsidR="0035701C" w:rsidRDefault="00FB561B">
      <w:r>
        <w:t xml:space="preserve">Intitulé du régime d’aides: </w:t>
      </w:r>
    </w:p>
    <w:p w:rsidR="0035701C" w:rsidRDefault="00FB561B">
      <w:r>
        <w:t xml:space="preserve">Feader (€): </w:t>
      </w:r>
    </w:p>
    <w:p w:rsidR="0035701C" w:rsidRDefault="00FB561B">
      <w:r>
        <w:t xml:space="preserve">Cofinancement national (en euros): </w:t>
      </w:r>
    </w:p>
    <w:p w:rsidR="0035701C" w:rsidRDefault="00FB561B">
      <w:r>
        <w:t xml:space="preserve">Financement national complémentaire (€): </w:t>
      </w:r>
    </w:p>
    <w:p w:rsidR="0035701C" w:rsidRDefault="00FB561B">
      <w:r>
        <w:t xml:space="preserve">Total </w:t>
      </w:r>
      <w:r>
        <w:t xml:space="preserve">(en euros): </w:t>
      </w:r>
    </w:p>
    <w:p w:rsidR="0035701C" w:rsidRDefault="00FB561B">
      <w:pPr>
        <w:pStyle w:val="Titre4"/>
        <w:jc w:val="left"/>
      </w:pPr>
      <w:r>
        <w:t>Indication*: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35701C"/>
    <w:p w:rsidR="0035701C" w:rsidRDefault="00FB561B">
      <w:pPr>
        <w:pStyle w:val="Titre2"/>
      </w:pPr>
      <w:bookmarkStart w:id="167" w:name="_Toc256000166"/>
      <w:r>
        <w:t>M06 - Développement des exploitations agricoles et des entreprises (article 19)</w:t>
      </w:r>
      <w:bookmarkEnd w:id="167"/>
    </w:p>
    <w:p w:rsidR="0035701C" w:rsidRDefault="00FB561B">
      <w:r>
        <w:t>Intitulé du régime d’aides: Règlement de minimis. Régimes cadre exemptés relatifs aux AFR, aux PME</w:t>
      </w:r>
    </w:p>
    <w:p w:rsidR="0035701C" w:rsidRDefault="00FB561B">
      <w:r>
        <w:t>Feader (€): 2 280 000,00</w:t>
      </w:r>
    </w:p>
    <w:p w:rsidR="0035701C" w:rsidRDefault="00FB561B">
      <w:r>
        <w:t>Cofinancement nationa</w:t>
      </w:r>
      <w:r>
        <w:t>l (en euros): 2 280 000,00</w:t>
      </w:r>
    </w:p>
    <w:p w:rsidR="0035701C" w:rsidRDefault="00FB561B">
      <w:r>
        <w:t xml:space="preserve">Financement national complémentaire (€): </w:t>
      </w:r>
    </w:p>
    <w:p w:rsidR="0035701C" w:rsidRDefault="00FB561B">
      <w:r>
        <w:t>Total (en euros): 4 560 000,00</w:t>
      </w:r>
    </w:p>
    <w:p w:rsidR="0035701C" w:rsidRDefault="00FB561B">
      <w:pPr>
        <w:pStyle w:val="Titre4"/>
        <w:jc w:val="left"/>
      </w:pPr>
      <w:r>
        <w:t>Indication*: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 xml:space="preserve">Les types d'opérations relatifs à la diversification des exploitations agricoles vers des activités non agricoles (6.4.1) ou le développement </w:t>
            </w:r>
            <w:r>
              <w:rPr>
                <w:szCs w:val="24"/>
              </w:rPr>
              <w:t>des entreprises rurales (6.4.2) ne relèvent pas du champ de l'article 42 du traité. Les aides attribuées relèvent essentiellement du régime :</w:t>
            </w:r>
          </w:p>
          <w:p w:rsidR="0035701C" w:rsidRDefault="00FB561B" w:rsidP="00FB561B">
            <w:pPr>
              <w:numPr>
                <w:ilvl w:val="0"/>
                <w:numId w:val="983"/>
              </w:numPr>
              <w:spacing w:before="240" w:after="240"/>
              <w:ind w:hanging="210"/>
              <w:jc w:val="left"/>
              <w:rPr>
                <w:szCs w:val="24"/>
              </w:rPr>
            </w:pPr>
            <w:r>
              <w:rPr>
                <w:szCs w:val="24"/>
              </w:rPr>
              <w:t>Règlement (UE) n°1407/2013 de la Commission du 18/12/2013 relatif aux aides de minimis, prolongé jusqu'au 31/12/20</w:t>
            </w:r>
            <w:r>
              <w:rPr>
                <w:szCs w:val="24"/>
              </w:rPr>
              <w:t>23.</w:t>
            </w:r>
          </w:p>
          <w:p w:rsidR="0035701C" w:rsidRDefault="00FB561B">
            <w:pPr>
              <w:spacing w:before="240" w:after="240"/>
              <w:jc w:val="left"/>
              <w:rPr>
                <w:szCs w:val="24"/>
              </w:rPr>
            </w:pPr>
            <w:r>
              <w:rPr>
                <w:szCs w:val="24"/>
              </w:rPr>
              <w:t>D'autres régimes pourront éventuellement être utilisés jusqu'au 31/12/2023 :</w:t>
            </w:r>
          </w:p>
          <w:p w:rsidR="0035701C" w:rsidRDefault="00FB561B" w:rsidP="00FB561B">
            <w:pPr>
              <w:numPr>
                <w:ilvl w:val="0"/>
                <w:numId w:val="984"/>
              </w:numPr>
              <w:spacing w:before="240" w:after="0"/>
              <w:ind w:hanging="210"/>
              <w:jc w:val="left"/>
              <w:rPr>
                <w:szCs w:val="24"/>
              </w:rPr>
            </w:pPr>
            <w:r>
              <w:rPr>
                <w:szCs w:val="24"/>
              </w:rPr>
              <w:t>Régime cadre exempté de notification n°SA.58979 (ex. SA.39252) relatif aux AFR sur la base du règlement général d’exemption n°651/2014</w:t>
            </w:r>
          </w:p>
          <w:p w:rsidR="0035701C" w:rsidRDefault="00FB561B" w:rsidP="00FB561B">
            <w:pPr>
              <w:numPr>
                <w:ilvl w:val="0"/>
                <w:numId w:val="984"/>
              </w:numPr>
              <w:spacing w:before="0" w:after="240"/>
              <w:ind w:hanging="210"/>
              <w:jc w:val="left"/>
              <w:rPr>
                <w:szCs w:val="24"/>
              </w:rPr>
            </w:pPr>
            <w:r>
              <w:rPr>
                <w:szCs w:val="24"/>
              </w:rPr>
              <w:t>Régime cadre exempté de notification n°S</w:t>
            </w:r>
            <w:r>
              <w:rPr>
                <w:szCs w:val="24"/>
              </w:rPr>
              <w:t>A.59106 (ex. SA.52394 / SA.40453) relatif aux aides aux PME sur la base du règlement général d’exemption n°651/2014</w:t>
            </w:r>
          </w:p>
          <w:p w:rsidR="0035701C" w:rsidRDefault="00FB561B">
            <w:pPr>
              <w:spacing w:before="240" w:after="240"/>
              <w:jc w:val="left"/>
              <w:rPr>
                <w:szCs w:val="24"/>
              </w:rPr>
            </w:pPr>
            <w:r>
              <w:rPr>
                <w:szCs w:val="24"/>
              </w:rPr>
              <w:t>Le cumul des aides ne pourra dépasser le taux maximum admissible pour la mesure ou sous-mesure. En cas de différence de taux d'aide entre ce</w:t>
            </w:r>
            <w:r>
              <w:rPr>
                <w:szCs w:val="24"/>
              </w:rPr>
              <w:t>lui prévu par le règlement 1305/2013 et celui prévu par les règles d'aide d'Etat, c'est le taux le plus faible qui s'applique.</w:t>
            </w:r>
          </w:p>
          <w:p w:rsidR="0035701C" w:rsidRDefault="0035701C">
            <w:pPr>
              <w:pStyle w:val="Corpsdetexte"/>
            </w:pPr>
          </w:p>
        </w:tc>
      </w:tr>
    </w:tbl>
    <w:p w:rsidR="0035701C" w:rsidRDefault="0035701C"/>
    <w:p w:rsidR="0035701C" w:rsidRDefault="00FB561B">
      <w:pPr>
        <w:pStyle w:val="Titre2"/>
      </w:pPr>
      <w:bookmarkStart w:id="168" w:name="_Toc256000167"/>
      <w:r>
        <w:t>M07 - Services de base et rénovation des villages dans les zones rurales (article 20)</w:t>
      </w:r>
      <w:bookmarkEnd w:id="168"/>
      <w:r>
        <w:t xml:space="preserve"> </w:t>
      </w:r>
    </w:p>
    <w:p w:rsidR="0035701C" w:rsidRDefault="00FB561B">
      <w:r>
        <w:t xml:space="preserve">Intitulé du régime d’aides: Règlements </w:t>
      </w:r>
      <w:r>
        <w:t>de minimis. Régimes cadre exemptés relatifs aux AFR, aux PME</w:t>
      </w:r>
    </w:p>
    <w:p w:rsidR="0035701C" w:rsidRDefault="00FB561B">
      <w:r>
        <w:t>Feader (€): 12 570 550,00</w:t>
      </w:r>
    </w:p>
    <w:p w:rsidR="0035701C" w:rsidRDefault="00FB561B">
      <w:r>
        <w:t>Cofinancement national (en euros): 12 570 550,00</w:t>
      </w:r>
    </w:p>
    <w:p w:rsidR="0035701C" w:rsidRDefault="00FB561B">
      <w:r>
        <w:t xml:space="preserve">Financement national complémentaire (€): </w:t>
      </w:r>
    </w:p>
    <w:p w:rsidR="0035701C" w:rsidRDefault="00FB561B">
      <w:r>
        <w:t>Total (en euros): 25 141 100,00</w:t>
      </w:r>
    </w:p>
    <w:p w:rsidR="0035701C" w:rsidRDefault="00FB561B">
      <w:pPr>
        <w:pStyle w:val="Titre4"/>
        <w:jc w:val="left"/>
      </w:pPr>
      <w:r>
        <w:t>Indication*: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Certaines opérations aidées au ti</w:t>
            </w:r>
            <w:r>
              <w:rPr>
                <w:szCs w:val="24"/>
              </w:rPr>
              <w:t>tre de la mesure pourront relever du champ concurrentiel. Les subventions accordées pourront s'inscrire dans plusieurs régimes, selon la nature du projet :</w:t>
            </w:r>
          </w:p>
          <w:p w:rsidR="0035701C" w:rsidRDefault="00FB561B" w:rsidP="00FB561B">
            <w:pPr>
              <w:numPr>
                <w:ilvl w:val="0"/>
                <w:numId w:val="985"/>
              </w:numPr>
              <w:spacing w:before="240" w:after="0"/>
              <w:ind w:hanging="210"/>
              <w:jc w:val="left"/>
              <w:rPr>
                <w:szCs w:val="24"/>
              </w:rPr>
            </w:pPr>
            <w:r>
              <w:rPr>
                <w:szCs w:val="24"/>
              </w:rPr>
              <w:t>Règlement (UE) n° 1407/2013 de la Commission relatif aux aides de minimis prolongé jusqu'au 31/12/20</w:t>
            </w:r>
            <w:r>
              <w:rPr>
                <w:szCs w:val="24"/>
              </w:rPr>
              <w:t>23;</w:t>
            </w:r>
          </w:p>
          <w:p w:rsidR="0035701C" w:rsidRDefault="00FB561B" w:rsidP="00FB561B">
            <w:pPr>
              <w:numPr>
                <w:ilvl w:val="0"/>
                <w:numId w:val="985"/>
              </w:numPr>
              <w:spacing w:before="0" w:after="0"/>
              <w:ind w:hanging="210"/>
              <w:jc w:val="left"/>
              <w:rPr>
                <w:szCs w:val="24"/>
              </w:rPr>
            </w:pPr>
            <w:r>
              <w:rPr>
                <w:szCs w:val="24"/>
              </w:rPr>
              <w:t>Règlement (UE) n° 360/2012 aux aides de minimis accordées à des entreprises fournissant des services d'intérêt économique général, prolongé jusqu'au 31/12/2023;</w:t>
            </w:r>
          </w:p>
          <w:p w:rsidR="0035701C" w:rsidRDefault="00FB561B" w:rsidP="00FB561B">
            <w:pPr>
              <w:numPr>
                <w:ilvl w:val="0"/>
                <w:numId w:val="985"/>
              </w:numPr>
              <w:spacing w:before="0" w:after="0"/>
              <w:ind w:hanging="210"/>
              <w:jc w:val="left"/>
              <w:rPr>
                <w:szCs w:val="24"/>
              </w:rPr>
            </w:pPr>
            <w:r>
              <w:rPr>
                <w:szCs w:val="24"/>
              </w:rPr>
              <w:t xml:space="preserve">Régime cadre exempté de notification n°SA.59108 (ex. SA.40405) relatif aux aides à la </w:t>
            </w:r>
            <w:r>
              <w:rPr>
                <w:szCs w:val="24"/>
              </w:rPr>
              <w:t>protection de l’environnement sur la base du règlement général d’exemption n°651/2014, prolongé jusqu'au 31/12/2023;</w:t>
            </w:r>
          </w:p>
          <w:p w:rsidR="0035701C" w:rsidRDefault="00FB561B" w:rsidP="00FB561B">
            <w:pPr>
              <w:numPr>
                <w:ilvl w:val="0"/>
                <w:numId w:val="985"/>
              </w:numPr>
              <w:spacing w:before="0" w:after="0"/>
              <w:ind w:hanging="210"/>
              <w:jc w:val="left"/>
              <w:rPr>
                <w:szCs w:val="24"/>
              </w:rPr>
            </w:pPr>
            <w:r>
              <w:rPr>
                <w:szCs w:val="24"/>
              </w:rPr>
              <w:t>Régime cadre exempté de notification n°SA.58979 (ex. SA.39252) relatif aux AFR sur la base du règlement général d’exemption n°651/2014, pro</w:t>
            </w:r>
            <w:r>
              <w:rPr>
                <w:szCs w:val="24"/>
              </w:rPr>
              <w:t>longé jusqu'au 31/12/2023;</w:t>
            </w:r>
          </w:p>
          <w:p w:rsidR="0035701C" w:rsidRDefault="00FB561B" w:rsidP="00FB561B">
            <w:pPr>
              <w:numPr>
                <w:ilvl w:val="0"/>
                <w:numId w:val="985"/>
              </w:numPr>
              <w:spacing w:before="0" w:after="0"/>
              <w:ind w:hanging="210"/>
              <w:jc w:val="left"/>
              <w:rPr>
                <w:szCs w:val="24"/>
              </w:rPr>
            </w:pPr>
            <w:r>
              <w:rPr>
                <w:szCs w:val="24"/>
              </w:rPr>
              <w:t>Régime cadre exempté de notification n°SA.59106 (ex. SA.52394 / SA.40453) relatif aux aides aux PME sur la base du règlement général d’exemption n° 651/2014, prolongé jusqu'au 31/12/2023;</w:t>
            </w:r>
          </w:p>
          <w:p w:rsidR="0035701C" w:rsidRDefault="00FB561B" w:rsidP="00FB561B">
            <w:pPr>
              <w:numPr>
                <w:ilvl w:val="0"/>
                <w:numId w:val="985"/>
              </w:numPr>
              <w:spacing w:before="0" w:after="240"/>
              <w:ind w:hanging="210"/>
              <w:jc w:val="left"/>
              <w:rPr>
                <w:szCs w:val="24"/>
              </w:rPr>
            </w:pPr>
            <w:r>
              <w:rPr>
                <w:szCs w:val="24"/>
              </w:rPr>
              <w:t>Régime cadre SA.43783 « Aides aux service</w:t>
            </w:r>
            <w:r>
              <w:rPr>
                <w:szCs w:val="24"/>
              </w:rPr>
              <w:t>s de base et à la rénovation des villages dans les zones rurales », pris sur la base des LDAF, prolongé jusqu'au 31/12/2025;</w:t>
            </w:r>
          </w:p>
          <w:p w:rsidR="0035701C" w:rsidRDefault="00FB561B">
            <w:pPr>
              <w:spacing w:before="240" w:after="240"/>
              <w:jc w:val="left"/>
              <w:rPr>
                <w:szCs w:val="24"/>
              </w:rPr>
            </w:pPr>
            <w:r>
              <w:rPr>
                <w:szCs w:val="24"/>
              </w:rPr>
              <w:t>Le cumul des aides ne pourra dépasser le taux maximum admissible pour la mesure ou sous-mesure. Le taux d'aide publique appliqué au</w:t>
            </w:r>
            <w:r>
              <w:rPr>
                <w:szCs w:val="24"/>
              </w:rPr>
              <w:t xml:space="preserve"> dossier correspondra au maximum autorisé par le régime d'aide d'Etat appliqué au dit dossier ; ce maximum ne pourra être supérieur au taux mentionné dans le PDRC.</w:t>
            </w:r>
          </w:p>
          <w:p w:rsidR="0035701C" w:rsidRDefault="0035701C">
            <w:pPr>
              <w:pStyle w:val="Corpsdetexte"/>
            </w:pPr>
          </w:p>
        </w:tc>
      </w:tr>
    </w:tbl>
    <w:p w:rsidR="0035701C" w:rsidRDefault="0035701C"/>
    <w:p w:rsidR="0035701C" w:rsidRDefault="00FB561B">
      <w:pPr>
        <w:pStyle w:val="Titre2"/>
      </w:pPr>
      <w:bookmarkStart w:id="169" w:name="_Toc256000168"/>
      <w:r>
        <w:t>M08 - Investissements dans le développement des zones forestières et amélioration de la v</w:t>
      </w:r>
      <w:r>
        <w:t>iabilité des forêts (articles 21 à 26)</w:t>
      </w:r>
      <w:bookmarkEnd w:id="169"/>
      <w:r>
        <w:t xml:space="preserve"> </w:t>
      </w:r>
    </w:p>
    <w:p w:rsidR="0035701C" w:rsidRDefault="00FB561B">
      <w:r>
        <w:t>Intitulé du régime d’aides: Règlement de minimis. Régimes cadre exemptés relatifs  au secteur agricole, forestier, aux AFR, aux PME</w:t>
      </w:r>
    </w:p>
    <w:p w:rsidR="0035701C" w:rsidRDefault="00FB561B">
      <w:r>
        <w:t>Feader (€): 5 410 000,00</w:t>
      </w:r>
    </w:p>
    <w:p w:rsidR="0035701C" w:rsidRDefault="00FB561B">
      <w:r>
        <w:t>Cofinancement national (en euros): 5 410 000,00</w:t>
      </w:r>
    </w:p>
    <w:p w:rsidR="0035701C" w:rsidRDefault="00FB561B">
      <w:r>
        <w:t xml:space="preserve">Financement national complémentaire (€): </w:t>
      </w:r>
    </w:p>
    <w:p w:rsidR="0035701C" w:rsidRDefault="00FB561B">
      <w:r>
        <w:t>Total (en euros): 10 820 000,00</w:t>
      </w:r>
    </w:p>
    <w:p w:rsidR="0035701C" w:rsidRDefault="00FB561B">
      <w:pPr>
        <w:pStyle w:val="Titre4"/>
        <w:jc w:val="left"/>
      </w:pPr>
      <w:r>
        <w:t>Indication*: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Les financements des types d'opérations du PDR concernant le secteur forestier et entrant dans le champ des aides d'Etat relèvent essentiellement du régime :</w:t>
            </w:r>
          </w:p>
          <w:p w:rsidR="0035701C" w:rsidRDefault="00FB561B" w:rsidP="00FB561B">
            <w:pPr>
              <w:numPr>
                <w:ilvl w:val="0"/>
                <w:numId w:val="986"/>
              </w:numPr>
              <w:spacing w:before="240" w:after="240"/>
              <w:ind w:hanging="210"/>
              <w:jc w:val="left"/>
              <w:rPr>
                <w:szCs w:val="24"/>
              </w:rPr>
            </w:pPr>
            <w:r>
              <w:rPr>
                <w:szCs w:val="24"/>
              </w:rPr>
              <w:t>Régime cadr</w:t>
            </w:r>
            <w:r>
              <w:rPr>
                <w:szCs w:val="24"/>
              </w:rPr>
              <w:t>e notifié SA.41595 « Partie B – Régime-cadre « Aides au développement de la sylviculture et à l’adaptation des forêts au changement climatique », approuvé par décision SA.59142 et prolongé jusqu'au 31/12/25.</w:t>
            </w:r>
          </w:p>
          <w:p w:rsidR="0035701C" w:rsidRDefault="00FB561B">
            <w:pPr>
              <w:spacing w:before="240" w:after="240"/>
              <w:jc w:val="left"/>
              <w:rPr>
                <w:szCs w:val="24"/>
              </w:rPr>
            </w:pPr>
            <w:r>
              <w:rPr>
                <w:szCs w:val="24"/>
              </w:rPr>
              <w:t>D'autres régimes pourront éventuellement être ut</w:t>
            </w:r>
            <w:r>
              <w:rPr>
                <w:szCs w:val="24"/>
              </w:rPr>
              <w:t>ilisés :</w:t>
            </w:r>
          </w:p>
          <w:p w:rsidR="0035701C" w:rsidRDefault="00FB561B" w:rsidP="00FB561B">
            <w:pPr>
              <w:numPr>
                <w:ilvl w:val="0"/>
                <w:numId w:val="987"/>
              </w:numPr>
              <w:spacing w:before="240" w:after="0"/>
              <w:ind w:hanging="210"/>
              <w:jc w:val="left"/>
              <w:rPr>
                <w:szCs w:val="24"/>
              </w:rPr>
            </w:pPr>
            <w:r>
              <w:rPr>
                <w:szCs w:val="24"/>
              </w:rPr>
              <w:t>Régime d’aide exempté n°SA.59106 (ex. 52394 / SA.40453), relatif aux aides en faveur des PME pour la période 2014-2020 adopté sur la base du règlement général d’exemption par catégorie n°651/2014, prolongé jusq'au 31/12/2023;</w:t>
            </w:r>
          </w:p>
          <w:p w:rsidR="0035701C" w:rsidRDefault="00FB561B" w:rsidP="00FB561B">
            <w:pPr>
              <w:numPr>
                <w:ilvl w:val="0"/>
                <w:numId w:val="987"/>
              </w:numPr>
              <w:spacing w:before="0" w:after="240"/>
              <w:ind w:hanging="210"/>
              <w:jc w:val="left"/>
              <w:rPr>
                <w:szCs w:val="24"/>
              </w:rPr>
            </w:pPr>
            <w:r>
              <w:rPr>
                <w:szCs w:val="24"/>
              </w:rPr>
              <w:t>Règlement (UE) n° 140</w:t>
            </w:r>
            <w:r>
              <w:rPr>
                <w:szCs w:val="24"/>
              </w:rPr>
              <w:t>7/2013 de la Commission du 18/12/2013 relatif aux aides de minimis, prolongé jusq'au 31/12/2023;</w:t>
            </w:r>
          </w:p>
          <w:p w:rsidR="0035701C" w:rsidRDefault="00FB561B">
            <w:pPr>
              <w:spacing w:before="240" w:after="240"/>
              <w:jc w:val="left"/>
              <w:rPr>
                <w:szCs w:val="24"/>
              </w:rPr>
            </w:pPr>
            <w:r>
              <w:rPr>
                <w:szCs w:val="24"/>
              </w:rPr>
              <w:t>Le cumul des aides ne pourra dépasser le taux maximum admissible pour la mesure ou sous-mesure. En cas de différence de taux d'aide entre celui prévu par le rè</w:t>
            </w:r>
            <w:r>
              <w:rPr>
                <w:szCs w:val="24"/>
              </w:rPr>
              <w:t>glement 1305/2013 et celui prévu par les règles d'aide d'Etat, c'est le taux le plus faible qui s'applique.</w:t>
            </w:r>
          </w:p>
          <w:p w:rsidR="0035701C" w:rsidRDefault="0035701C">
            <w:pPr>
              <w:pStyle w:val="Corpsdetexte"/>
            </w:pPr>
          </w:p>
        </w:tc>
      </w:tr>
    </w:tbl>
    <w:p w:rsidR="0035701C" w:rsidRDefault="0035701C"/>
    <w:p w:rsidR="0035701C" w:rsidRDefault="00FB561B">
      <w:pPr>
        <w:pStyle w:val="Titre2"/>
      </w:pPr>
      <w:bookmarkStart w:id="170" w:name="_Toc256000169"/>
      <w:r>
        <w:t>M10 - Agroenvironnement - climat (article 28)</w:t>
      </w:r>
      <w:bookmarkEnd w:id="170"/>
    </w:p>
    <w:p w:rsidR="0035701C" w:rsidRDefault="00FB561B">
      <w:r>
        <w:t>Intitulé du régime d’aides: Sans</w:t>
      </w:r>
    </w:p>
    <w:p w:rsidR="0035701C" w:rsidRDefault="00FB561B">
      <w:r>
        <w:t xml:space="preserve">Feader (€): </w:t>
      </w:r>
    </w:p>
    <w:p w:rsidR="0035701C" w:rsidRDefault="00FB561B">
      <w:r>
        <w:t xml:space="preserve">Cofinancement national (en euros): </w:t>
      </w:r>
    </w:p>
    <w:p w:rsidR="0035701C" w:rsidRDefault="00FB561B">
      <w:r>
        <w:t xml:space="preserve">Financement national complémentaire (€): </w:t>
      </w:r>
    </w:p>
    <w:p w:rsidR="0035701C" w:rsidRDefault="00FB561B">
      <w:r>
        <w:t xml:space="preserve">Total (en euros): </w:t>
      </w:r>
    </w:p>
    <w:p w:rsidR="0035701C" w:rsidRDefault="00FB561B">
      <w:pPr>
        <w:pStyle w:val="Titre4"/>
        <w:jc w:val="left"/>
      </w:pPr>
      <w:r>
        <w:t>Indication*: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35701C"/>
    <w:p w:rsidR="0035701C" w:rsidRDefault="00FB561B">
      <w:pPr>
        <w:pStyle w:val="Titre2"/>
      </w:pPr>
      <w:bookmarkStart w:id="171" w:name="_Toc256000170"/>
      <w:r>
        <w:t>M11 - Agriculture biologique (article 29)</w:t>
      </w:r>
      <w:bookmarkEnd w:id="171"/>
    </w:p>
    <w:p w:rsidR="0035701C" w:rsidRDefault="00FB561B">
      <w:r>
        <w:t>Intitulé du régime d’aides: Sans</w:t>
      </w:r>
    </w:p>
    <w:p w:rsidR="0035701C" w:rsidRDefault="00FB561B">
      <w:r>
        <w:t xml:space="preserve">Feader (€): </w:t>
      </w:r>
    </w:p>
    <w:p w:rsidR="0035701C" w:rsidRDefault="00FB561B">
      <w:r>
        <w:t xml:space="preserve">Cofinancement national (en euros): </w:t>
      </w:r>
    </w:p>
    <w:p w:rsidR="0035701C" w:rsidRDefault="00FB561B">
      <w:r>
        <w:t xml:space="preserve">Financement national complémentaire (€): </w:t>
      </w:r>
    </w:p>
    <w:p w:rsidR="0035701C" w:rsidRDefault="00FB561B">
      <w:r>
        <w:t xml:space="preserve">Total (en euros): </w:t>
      </w:r>
    </w:p>
    <w:p w:rsidR="0035701C" w:rsidRDefault="00FB561B">
      <w:pPr>
        <w:pStyle w:val="Titre4"/>
        <w:jc w:val="left"/>
      </w:pPr>
      <w:r>
        <w:t>Indication*: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35701C"/>
    <w:p w:rsidR="0035701C" w:rsidRDefault="00FB561B">
      <w:pPr>
        <w:pStyle w:val="Titre2"/>
      </w:pPr>
      <w:bookmarkStart w:id="172" w:name="_Toc256000171"/>
      <w:r>
        <w:t>M13 - Paiements en faveur des zones soumises à des contraintes naturelles ou à d'autres contraintes spécifiques (article 31)</w:t>
      </w:r>
      <w:bookmarkEnd w:id="172"/>
    </w:p>
    <w:p w:rsidR="0035701C" w:rsidRDefault="00FB561B">
      <w:r>
        <w:t>Intitulé du régime d’aides: Sans</w:t>
      </w:r>
    </w:p>
    <w:p w:rsidR="0035701C" w:rsidRDefault="00FB561B">
      <w:r>
        <w:t xml:space="preserve">Feader (€): </w:t>
      </w:r>
    </w:p>
    <w:p w:rsidR="0035701C" w:rsidRDefault="00FB561B">
      <w:r>
        <w:t xml:space="preserve">Cofinancement national (en euros): </w:t>
      </w:r>
    </w:p>
    <w:p w:rsidR="0035701C" w:rsidRDefault="00FB561B">
      <w:r>
        <w:t xml:space="preserve">Financement </w:t>
      </w:r>
      <w:r>
        <w:t xml:space="preserve">national complémentaire (€): </w:t>
      </w:r>
    </w:p>
    <w:p w:rsidR="0035701C" w:rsidRDefault="00FB561B">
      <w:r>
        <w:t xml:space="preserve">Total (en euros): </w:t>
      </w:r>
    </w:p>
    <w:p w:rsidR="0035701C" w:rsidRDefault="00FB561B">
      <w:pPr>
        <w:pStyle w:val="Titre4"/>
        <w:jc w:val="left"/>
      </w:pPr>
      <w:r>
        <w:t>Indication*: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35701C"/>
    <w:p w:rsidR="0035701C" w:rsidRDefault="00FB561B">
      <w:pPr>
        <w:pStyle w:val="Titre2"/>
      </w:pPr>
      <w:bookmarkStart w:id="173" w:name="_Toc256000172"/>
      <w:r>
        <w:t>M19 - Soutien au développement local Leader (CLLD - développement local mené par les acteurs locaux) (article 35 du règlement (UE) n° 1303/2013)</w:t>
      </w:r>
      <w:bookmarkEnd w:id="173"/>
    </w:p>
    <w:p w:rsidR="0035701C" w:rsidRDefault="00FB561B">
      <w:r>
        <w:t xml:space="preserve">Intitulé du régime d’aides: Règlements de </w:t>
      </w:r>
      <w:r>
        <w:t>minimis. Régimes cadre exemptés ou notifié, relatif au développement rural, au PME, au AFR, au SIEG.</w:t>
      </w:r>
    </w:p>
    <w:p w:rsidR="0035701C" w:rsidRDefault="00FB561B">
      <w:r>
        <w:t>Feader (€): 9 534 500,00</w:t>
      </w:r>
    </w:p>
    <w:p w:rsidR="0035701C" w:rsidRDefault="00FB561B">
      <w:r>
        <w:t>Cofinancement national (en euros): 2 383 625,00</w:t>
      </w:r>
    </w:p>
    <w:p w:rsidR="0035701C" w:rsidRDefault="00FB561B">
      <w:r>
        <w:t xml:space="preserve">Financement national complémentaire (€): </w:t>
      </w:r>
    </w:p>
    <w:p w:rsidR="0035701C" w:rsidRDefault="00FB561B">
      <w:r>
        <w:t>Total (en euros): 11 918 125,00</w:t>
      </w:r>
    </w:p>
    <w:p w:rsidR="0035701C" w:rsidRDefault="00FB561B">
      <w:pPr>
        <w:pStyle w:val="Titre4"/>
        <w:jc w:val="left"/>
      </w:pPr>
      <w:r>
        <w:t>Indication*: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Certains projets mis en œuvre par les stratégies des GAL pourront entrer dans le champ concurrentiel et être hors du champ de l'article 42 du traité. Les financements relèveront alors du régime de minimis ou d'un autre régime à déterminer en f</w:t>
            </w:r>
            <w:r>
              <w:rPr>
                <w:szCs w:val="24"/>
              </w:rPr>
              <w:t>onction des projets notamment les régimes suivants :</w:t>
            </w:r>
          </w:p>
          <w:p w:rsidR="0035701C" w:rsidRDefault="00FB561B" w:rsidP="00FB561B">
            <w:pPr>
              <w:numPr>
                <w:ilvl w:val="0"/>
                <w:numId w:val="988"/>
              </w:numPr>
              <w:spacing w:before="240" w:after="0"/>
              <w:ind w:hanging="210"/>
              <w:jc w:val="left"/>
              <w:rPr>
                <w:szCs w:val="24"/>
              </w:rPr>
            </w:pPr>
            <w:r>
              <w:rPr>
                <w:szCs w:val="24"/>
              </w:rPr>
              <w:t>Règlement (UE) n° 1407/2013 de la Commission relatif aux aides de minimis prolongé jusqu'au 31/12/2023;</w:t>
            </w:r>
          </w:p>
          <w:p w:rsidR="0035701C" w:rsidRDefault="00FB561B" w:rsidP="00FB561B">
            <w:pPr>
              <w:numPr>
                <w:ilvl w:val="0"/>
                <w:numId w:val="988"/>
              </w:numPr>
              <w:spacing w:before="0" w:after="0"/>
              <w:ind w:hanging="210"/>
              <w:jc w:val="left"/>
              <w:rPr>
                <w:szCs w:val="24"/>
              </w:rPr>
            </w:pPr>
            <w:r>
              <w:rPr>
                <w:szCs w:val="24"/>
              </w:rPr>
              <w:t xml:space="preserve">Régime cadre exempté de notification n°SA.58979 (ex. SA.39252) relatif aux AFR sur la base du </w:t>
            </w:r>
            <w:r>
              <w:rPr>
                <w:szCs w:val="24"/>
              </w:rPr>
              <w:t>règlement général d’exemption n°651/2014, prolongé jusqu'au 31/12/2023;</w:t>
            </w:r>
          </w:p>
          <w:p w:rsidR="0035701C" w:rsidRDefault="00FB561B" w:rsidP="00FB561B">
            <w:pPr>
              <w:numPr>
                <w:ilvl w:val="0"/>
                <w:numId w:val="988"/>
              </w:numPr>
              <w:spacing w:before="0" w:after="0"/>
              <w:ind w:hanging="210"/>
              <w:jc w:val="left"/>
              <w:rPr>
                <w:szCs w:val="24"/>
              </w:rPr>
            </w:pPr>
            <w:r>
              <w:rPr>
                <w:szCs w:val="24"/>
              </w:rPr>
              <w:t>Régime cadre exempté de notification n°SA.59106 (ex. SA.52394 / SA.40453) relatif aux aides aux PME sur la base du règlement général d’exemption n° 651/2014, prolongé jusqu'au 31/12/20</w:t>
            </w:r>
            <w:r>
              <w:rPr>
                <w:szCs w:val="24"/>
              </w:rPr>
              <w:t>23;</w:t>
            </w:r>
          </w:p>
          <w:p w:rsidR="0035701C" w:rsidRDefault="00FB561B" w:rsidP="00FB561B">
            <w:pPr>
              <w:numPr>
                <w:ilvl w:val="0"/>
                <w:numId w:val="988"/>
              </w:numPr>
              <w:spacing w:before="0" w:after="0"/>
              <w:ind w:hanging="210"/>
              <w:jc w:val="left"/>
              <w:rPr>
                <w:szCs w:val="24"/>
              </w:rPr>
            </w:pPr>
            <w:r>
              <w:rPr>
                <w:szCs w:val="24"/>
              </w:rPr>
              <w:t>Régime cadre exempté de notification n°SA.58980 (ex. SA.40206) relatif aux aides à la protection de l’environnement sur la base du règlement général d’exemption n°651/2014, prolongé jusqu'au 31/12/2023;</w:t>
            </w:r>
          </w:p>
          <w:p w:rsidR="0035701C" w:rsidRDefault="00FB561B" w:rsidP="00FB561B">
            <w:pPr>
              <w:numPr>
                <w:ilvl w:val="0"/>
                <w:numId w:val="988"/>
              </w:numPr>
              <w:spacing w:before="0" w:after="240"/>
              <w:ind w:hanging="210"/>
              <w:jc w:val="left"/>
              <w:rPr>
                <w:szCs w:val="24"/>
              </w:rPr>
            </w:pPr>
            <w:r>
              <w:rPr>
                <w:szCs w:val="24"/>
              </w:rPr>
              <w:t>Règlement (UE) n° 360/2012 aux aides de minimis a</w:t>
            </w:r>
            <w:r>
              <w:rPr>
                <w:szCs w:val="24"/>
              </w:rPr>
              <w:t>ccordées à des entreprises fournissant des services d'intérêt économique général, prolongé jusqu'au 31/12/2023.</w:t>
            </w:r>
          </w:p>
          <w:p w:rsidR="0035701C" w:rsidRDefault="00FB561B">
            <w:pPr>
              <w:spacing w:before="240" w:after="240"/>
              <w:jc w:val="left"/>
              <w:rPr>
                <w:szCs w:val="24"/>
              </w:rPr>
            </w:pPr>
            <w:r>
              <w:rPr>
                <w:szCs w:val="24"/>
              </w:rPr>
              <w:t xml:space="preserve">Le cumul des aides ne pourra dépasser le taux maximum admissible pour la mesure ou sous-mesure. En cas de différence de taux d'aide entre celui </w:t>
            </w:r>
            <w:r>
              <w:rPr>
                <w:szCs w:val="24"/>
              </w:rPr>
              <w:t>prévu par le règlement 1305/2013 et celui prévu par les règles d'aide d'Etat, c'est le taux le plus faible qui s'applique.</w:t>
            </w:r>
          </w:p>
          <w:p w:rsidR="0035701C" w:rsidRDefault="0035701C">
            <w:pPr>
              <w:pStyle w:val="Corpsdetexte"/>
            </w:pPr>
          </w:p>
        </w:tc>
      </w:tr>
    </w:tbl>
    <w:p w:rsidR="0035701C" w:rsidRDefault="0035701C"/>
    <w:p w:rsidR="0035701C" w:rsidRDefault="00FB561B">
      <w:pPr>
        <w:pStyle w:val="Titre2"/>
      </w:pPr>
      <w:bookmarkStart w:id="174" w:name="_Toc256000173"/>
      <w:r>
        <w:t>M20 - Assistance technique demandée par les États membres (articles 51 à 54)</w:t>
      </w:r>
      <w:bookmarkEnd w:id="174"/>
    </w:p>
    <w:p w:rsidR="0035701C" w:rsidRDefault="00FB561B">
      <w:r>
        <w:t xml:space="preserve">Intitulé du régime d’aides: </w:t>
      </w:r>
    </w:p>
    <w:p w:rsidR="0035701C" w:rsidRDefault="00FB561B">
      <w:r>
        <w:t xml:space="preserve">Feader (€): </w:t>
      </w:r>
    </w:p>
    <w:p w:rsidR="0035701C" w:rsidRDefault="00FB561B">
      <w:r>
        <w:t xml:space="preserve">Cofinancement national (en euros): </w:t>
      </w:r>
    </w:p>
    <w:p w:rsidR="0035701C" w:rsidRDefault="00FB561B">
      <w:r>
        <w:t xml:space="preserve">Financement national complémentaire (€): </w:t>
      </w:r>
    </w:p>
    <w:p w:rsidR="0035701C" w:rsidRDefault="00FB561B">
      <w:r>
        <w:t xml:space="preserve">Total (en euros): </w:t>
      </w:r>
    </w:p>
    <w:p w:rsidR="0035701C" w:rsidRDefault="00FB561B">
      <w:pPr>
        <w:pStyle w:val="Titre4"/>
        <w:jc w:val="left"/>
      </w:pPr>
      <w:r>
        <w:t>Indication*: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_</w:t>
            </w:r>
          </w:p>
          <w:p w:rsidR="0035701C" w:rsidRDefault="0035701C">
            <w:pPr>
              <w:pStyle w:val="Corpsdetexte"/>
            </w:pPr>
          </w:p>
        </w:tc>
      </w:tr>
    </w:tbl>
    <w:p w:rsidR="0035701C" w:rsidRDefault="0035701C">
      <w:pPr>
        <w:sectPr w:rsidR="0035701C">
          <w:pgSz w:w="12240" w:h="15840"/>
          <w:pgMar w:top="900" w:right="900" w:bottom="900" w:left="900" w:header="720" w:footer="720" w:gutter="0"/>
          <w:cols w:space="720"/>
        </w:sectPr>
      </w:pPr>
    </w:p>
    <w:p w:rsidR="0035701C" w:rsidRDefault="00FB561B">
      <w:pPr>
        <w:pStyle w:val="Titre1"/>
      </w:pPr>
      <w:bookmarkStart w:id="175" w:name="_Toc256000174"/>
      <w:r>
        <w:t>Informations sur la complémentarité</w:t>
      </w:r>
      <w:bookmarkEnd w:id="175"/>
    </w:p>
    <w:p w:rsidR="0035701C" w:rsidRDefault="00FB561B">
      <w:pPr>
        <w:pStyle w:val="Titre2"/>
      </w:pPr>
      <w:bookmarkStart w:id="176" w:name="_Toc256000175"/>
      <w:r>
        <w:t>Description des moyens d’assurer la complémentarité et la cohérence avec:</w:t>
      </w:r>
      <w:bookmarkEnd w:id="176"/>
      <w:r>
        <w:t xml:space="preserve"> </w:t>
      </w:r>
    </w:p>
    <w:p w:rsidR="0035701C" w:rsidRDefault="00FB561B">
      <w:pPr>
        <w:pStyle w:val="Titre3"/>
        <w:jc w:val="left"/>
      </w:pPr>
      <w:bookmarkStart w:id="177" w:name="_Toc256000176"/>
      <w:r>
        <w:t>Avec d’autres instrum</w:t>
      </w:r>
      <w:r>
        <w:t>ents de l’Union et, en particulier, avec les Fonds ESI, le pilier 1, dont l’écologisation, et d’autres instruments de la politique agricole commune</w:t>
      </w:r>
      <w:bookmarkEnd w:id="17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L’articulation et la mise en cohérence de l’intervention des instruments de financements européens au traver</w:t>
            </w:r>
            <w:r>
              <w:rPr>
                <w:szCs w:val="24"/>
              </w:rPr>
              <w:t>s des programmes régionaux ou nationaux reposent sur les éléments suivants :</w:t>
            </w:r>
          </w:p>
          <w:p w:rsidR="0035701C" w:rsidRDefault="00FB561B">
            <w:pPr>
              <w:spacing w:before="240" w:after="240"/>
              <w:jc w:val="left"/>
              <w:rPr>
                <w:szCs w:val="24"/>
              </w:rPr>
            </w:pPr>
            <w:r>
              <w:rPr>
                <w:b/>
                <w:bCs/>
                <w:szCs w:val="24"/>
              </w:rPr>
              <w:t>1 - Articulation entre les OCM et le PDRC</w:t>
            </w:r>
          </w:p>
          <w:p w:rsidR="0035701C" w:rsidRDefault="00FB561B">
            <w:pPr>
              <w:spacing w:before="240" w:after="240"/>
              <w:jc w:val="left"/>
              <w:rPr>
                <w:szCs w:val="24"/>
              </w:rPr>
            </w:pPr>
            <w:r>
              <w:rPr>
                <w:szCs w:val="24"/>
              </w:rPr>
              <w:t xml:space="preserve">L'accord de partenariat précise que « si les moyens d’intervention des 1er et 2ème piliers sont complémentaires, les aides versées au </w:t>
            </w:r>
            <w:r>
              <w:rPr>
                <w:szCs w:val="24"/>
              </w:rPr>
              <w:t>titre du règlement dit OCM unique contiennent cependant quelques dispositions susceptibles de recouvrir le champ d’intervention du 2ème pilier. Pour ces zones de recouvrement, des règles d’articulation et de cohérence sont arrêtées :</w:t>
            </w:r>
          </w:p>
          <w:p w:rsidR="0035701C" w:rsidRDefault="00FB561B">
            <w:pPr>
              <w:spacing w:before="240" w:after="240"/>
              <w:jc w:val="left"/>
              <w:rPr>
                <w:szCs w:val="24"/>
              </w:rPr>
            </w:pPr>
            <w:r>
              <w:rPr>
                <w:szCs w:val="24"/>
              </w:rPr>
              <w:t>- Pour le secteur vini</w:t>
            </w:r>
            <w:r>
              <w:rPr>
                <w:szCs w:val="24"/>
              </w:rPr>
              <w:t>cole : la ligne de partage entre les opérations/actions admissibles au titre du FEAGA pour les mesures suivantes : promotion, restructuration et reconversion des vignobles, assurance-récolte, investissements et innovation, visés aux articles 45, 46, 49, 50</w:t>
            </w:r>
            <w:r>
              <w:rPr>
                <w:szCs w:val="24"/>
              </w:rPr>
              <w:t xml:space="preserve"> et 51 du règlement (UE) 1308/2013 et les opérations/actions couvrant les mêmes objectifs éligibles au titre du FEADER sont établies dans le programme national d'aide (PNA) au secteur vitivinicole 2014-2018 et sont respectées.</w:t>
            </w:r>
          </w:p>
          <w:p w:rsidR="0035701C" w:rsidRDefault="00FB561B">
            <w:pPr>
              <w:spacing w:before="240" w:after="240"/>
              <w:jc w:val="left"/>
              <w:rPr>
                <w:szCs w:val="24"/>
              </w:rPr>
            </w:pPr>
            <w:r>
              <w:rPr>
                <w:szCs w:val="24"/>
              </w:rPr>
              <w:t>- Pour le secteur fruits et l</w:t>
            </w:r>
            <w:r>
              <w:rPr>
                <w:szCs w:val="24"/>
              </w:rPr>
              <w:t>égumes : conformément à l'article 58, paragraphe 2, du règlement (UE) n° 543/2011, les critères et les règles administratives sont indiqués dans la stratégie nationale visée à l'article 36 du règlement (UE) n ° 1308/2013 et sont respectés.</w:t>
            </w:r>
          </w:p>
          <w:p w:rsidR="0035701C" w:rsidRDefault="00FB561B">
            <w:pPr>
              <w:spacing w:before="240" w:after="240"/>
              <w:jc w:val="left"/>
              <w:rPr>
                <w:szCs w:val="24"/>
              </w:rPr>
            </w:pPr>
            <w:r>
              <w:rPr>
                <w:szCs w:val="24"/>
              </w:rPr>
              <w:t>L'Autorité de ge</w:t>
            </w:r>
            <w:r>
              <w:rPr>
                <w:szCs w:val="24"/>
              </w:rPr>
              <w:t>stion veillera sur ces bases à éviter tout double financement.</w:t>
            </w:r>
          </w:p>
          <w:p w:rsidR="0035701C" w:rsidRDefault="00FB561B">
            <w:pPr>
              <w:spacing w:before="240" w:after="240"/>
              <w:jc w:val="left"/>
              <w:rPr>
                <w:szCs w:val="24"/>
              </w:rPr>
            </w:pPr>
            <w:r>
              <w:rPr>
                <w:szCs w:val="24"/>
              </w:rPr>
              <w:t>L’Accord de partenariat apporte également des précisions sur les OCM par filière, les mesures surfaciques, les mécanismes de gestion et contrôle permettant d’éviter les doubles financements, et</w:t>
            </w:r>
            <w:r>
              <w:rPr>
                <w:szCs w:val="24"/>
              </w:rPr>
              <w:t xml:space="preserve"> les modalités relatives au verdissement et à la conditionnalité, qui complètent ces éléments.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1.1 - Pour les investissements dans les exploitations agricoles.</w:t>
            </w:r>
          </w:p>
          <w:p w:rsidR="0035701C" w:rsidRDefault="00FB561B">
            <w:pPr>
              <w:spacing w:before="240" w:after="240"/>
              <w:jc w:val="left"/>
              <w:rPr>
                <w:szCs w:val="24"/>
              </w:rPr>
            </w:pPr>
            <w:r>
              <w:rPr>
                <w:szCs w:val="24"/>
              </w:rPr>
              <w:t>Pour l’ensemble des secteurs concernés par une déclinaison nationale (aides de France Agrime</w:t>
            </w:r>
            <w:r>
              <w:rPr>
                <w:szCs w:val="24"/>
              </w:rPr>
              <w:t>r pour les secteurs fruits et légumes, viti vinicole) les interventions liées à la mise en œuvre de l’OCM et le PDRC (mesure 4.1 et 4.2) peuvent prévoir des aides de même nature. En conséquence une articulation entre le FEADER et l’OCM est établie</w:t>
            </w:r>
          </w:p>
          <w:p w:rsidR="0035701C" w:rsidRDefault="00FB561B" w:rsidP="00FB561B">
            <w:pPr>
              <w:numPr>
                <w:ilvl w:val="0"/>
                <w:numId w:val="989"/>
              </w:numPr>
              <w:spacing w:before="240" w:after="0"/>
              <w:ind w:hanging="244"/>
              <w:jc w:val="left"/>
              <w:rPr>
                <w:szCs w:val="24"/>
              </w:rPr>
            </w:pPr>
            <w:r>
              <w:rPr>
                <w:szCs w:val="24"/>
              </w:rPr>
              <w:t xml:space="preserve">Pour le </w:t>
            </w:r>
            <w:r>
              <w:rPr>
                <w:szCs w:val="24"/>
              </w:rPr>
              <w:t xml:space="preserve">secteur vitivinicole : </w:t>
            </w:r>
          </w:p>
          <w:p w:rsidR="0035701C" w:rsidRDefault="00FB561B" w:rsidP="00FB561B">
            <w:pPr>
              <w:numPr>
                <w:ilvl w:val="1"/>
                <w:numId w:val="989"/>
              </w:numPr>
              <w:spacing w:before="0" w:after="0"/>
              <w:ind w:hanging="244"/>
              <w:jc w:val="left"/>
              <w:rPr>
                <w:szCs w:val="24"/>
              </w:rPr>
            </w:pPr>
            <w:r>
              <w:rPr>
                <w:szCs w:val="24"/>
              </w:rPr>
              <w:t xml:space="preserve">Pour les investissements viticoles : </w:t>
            </w:r>
          </w:p>
          <w:p w:rsidR="0035701C" w:rsidRDefault="00FB561B" w:rsidP="00FB561B">
            <w:pPr>
              <w:numPr>
                <w:ilvl w:val="2"/>
                <w:numId w:val="989"/>
              </w:numPr>
              <w:spacing w:before="0" w:after="0"/>
              <w:ind w:hanging="210"/>
              <w:jc w:val="left"/>
              <w:rPr>
                <w:szCs w:val="24"/>
              </w:rPr>
            </w:pPr>
            <w:r>
              <w:rPr>
                <w:szCs w:val="24"/>
              </w:rPr>
              <w:t xml:space="preserve">les projets de restructuration (arrachage/replantation) du vignoble sont considérés exclusivement sur le 1er pilier, sauf concernant les gros travaux de démaquisage des terrains (dans le cas où </w:t>
            </w:r>
            <w:r>
              <w:rPr>
                <w:szCs w:val="24"/>
              </w:rPr>
              <w:t>la replantation a lieu sur un terrain différent), et de clôture qui sont éligibles au FEADER.</w:t>
            </w:r>
          </w:p>
          <w:p w:rsidR="0035701C" w:rsidRDefault="00FB561B" w:rsidP="00FB561B">
            <w:pPr>
              <w:numPr>
                <w:ilvl w:val="2"/>
                <w:numId w:val="989"/>
              </w:numPr>
              <w:spacing w:before="0" w:after="0"/>
              <w:ind w:hanging="210"/>
              <w:jc w:val="left"/>
              <w:rPr>
                <w:szCs w:val="24"/>
              </w:rPr>
            </w:pPr>
            <w:r>
              <w:rPr>
                <w:szCs w:val="24"/>
              </w:rPr>
              <w:t>Sont également éligible au FEADER les travaux de plantation (hors schéma de restructuration) sur la base d'autorisation nouvelles au sens de l’article 64 du règle</w:t>
            </w:r>
            <w:r>
              <w:rPr>
                <w:szCs w:val="24"/>
              </w:rPr>
              <w:t>ment OCM 1308/2013.</w:t>
            </w:r>
          </w:p>
          <w:p w:rsidR="0035701C" w:rsidRDefault="00FB561B" w:rsidP="00FB561B">
            <w:pPr>
              <w:numPr>
                <w:ilvl w:val="1"/>
                <w:numId w:val="989"/>
              </w:numPr>
              <w:spacing w:before="0" w:after="240"/>
              <w:ind w:hanging="244"/>
              <w:jc w:val="left"/>
              <w:rPr>
                <w:szCs w:val="24"/>
              </w:rPr>
            </w:pPr>
            <w:r>
              <w:rPr>
                <w:szCs w:val="24"/>
              </w:rPr>
              <w:t>Pour les investissements matériels et immatériels vinicoles, la ligne de partage indiquée dans le plan pluriannuel de FAM s’applique à partir de 2015. La Région pourra néanmoins abonder en aides d’état ces montants dans le respect des p</w:t>
            </w:r>
            <w:r>
              <w:rPr>
                <w:szCs w:val="24"/>
              </w:rPr>
              <w:t>lafonds communautaires et conformément à la notification de régimes spécifiques par FAM en accord avec les LDA.</w:t>
            </w:r>
            <w:r>
              <w:rPr>
                <w:szCs w:val="24"/>
              </w:rPr>
              <w:br/>
              <w:t>L'introduction de l'éligibilité des stations d'épuration des caves vinicoles dans le TO 4.1.2, non éligibles dans le PNA, est ainsi établie dans</w:t>
            </w:r>
            <w:r>
              <w:rPr>
                <w:szCs w:val="24"/>
              </w:rPr>
              <w:t xml:space="preserve"> le respect de cette ligne de partage.</w:t>
            </w:r>
          </w:p>
          <w:p w:rsidR="0035701C" w:rsidRDefault="00FB561B">
            <w:pPr>
              <w:spacing w:before="240" w:after="240"/>
              <w:jc w:val="left"/>
              <w:rPr>
                <w:szCs w:val="24"/>
              </w:rPr>
            </w:pPr>
            <w:r>
              <w:rPr>
                <w:szCs w:val="24"/>
              </w:rPr>
              <w:t> </w:t>
            </w:r>
          </w:p>
          <w:p w:rsidR="0035701C" w:rsidRDefault="00FB561B" w:rsidP="00FB561B">
            <w:pPr>
              <w:numPr>
                <w:ilvl w:val="0"/>
                <w:numId w:val="990"/>
              </w:numPr>
              <w:spacing w:before="240" w:after="0"/>
              <w:ind w:hanging="244"/>
              <w:jc w:val="left"/>
              <w:rPr>
                <w:szCs w:val="24"/>
              </w:rPr>
            </w:pPr>
            <w:r>
              <w:rPr>
                <w:szCs w:val="24"/>
              </w:rPr>
              <w:t xml:space="preserve">Pour le secteur des fruits et légumes : </w:t>
            </w:r>
          </w:p>
          <w:p w:rsidR="0035701C" w:rsidRDefault="00FB561B" w:rsidP="00FB561B">
            <w:pPr>
              <w:numPr>
                <w:ilvl w:val="1"/>
                <w:numId w:val="990"/>
              </w:numPr>
              <w:spacing w:before="0" w:after="0"/>
              <w:ind w:hanging="244"/>
              <w:jc w:val="left"/>
              <w:rPr>
                <w:szCs w:val="24"/>
              </w:rPr>
            </w:pPr>
            <w:r>
              <w:rPr>
                <w:szCs w:val="24"/>
              </w:rPr>
              <w:t>Les aides à la plantation et restructuration des vergers sont octroyées prioritairement sur le FEADER, pour les productions sous signe officiel de qualité.</w:t>
            </w:r>
          </w:p>
          <w:p w:rsidR="0035701C" w:rsidRDefault="00FB561B" w:rsidP="00FB561B">
            <w:pPr>
              <w:numPr>
                <w:ilvl w:val="1"/>
                <w:numId w:val="990"/>
              </w:numPr>
              <w:spacing w:before="0" w:after="0"/>
              <w:ind w:hanging="244"/>
              <w:jc w:val="left"/>
              <w:rPr>
                <w:szCs w:val="24"/>
              </w:rPr>
            </w:pPr>
            <w:r>
              <w:rPr>
                <w:szCs w:val="24"/>
              </w:rPr>
              <w:t>Pour les investissements collectifs des organisations de producteurs finançables à la fois par le PDRC (sous-mesure 4.2) et les programmes opérationnels lié à l’OCM, les modalités d’intervention sont établies en fonction du contenu du programme opérationne</w:t>
            </w:r>
            <w:r>
              <w:rPr>
                <w:szCs w:val="24"/>
              </w:rPr>
              <w:t xml:space="preserve">l qui s’applique exclusivement. En conséquence : </w:t>
            </w:r>
          </w:p>
          <w:p w:rsidR="0035701C" w:rsidRDefault="00FB561B" w:rsidP="00FB561B">
            <w:pPr>
              <w:numPr>
                <w:ilvl w:val="2"/>
                <w:numId w:val="990"/>
              </w:numPr>
              <w:spacing w:before="0" w:after="0"/>
              <w:ind w:hanging="210"/>
              <w:jc w:val="left"/>
              <w:rPr>
                <w:szCs w:val="24"/>
              </w:rPr>
            </w:pPr>
            <w:r>
              <w:rPr>
                <w:szCs w:val="24"/>
              </w:rPr>
              <w:t>lorsque l’entreprise n’est pas une organisation de producteurs ou la filiale d’une organisation de producteurs, elle est éligible au PDRC sans restriction,</w:t>
            </w:r>
          </w:p>
          <w:p w:rsidR="0035701C" w:rsidRDefault="00FB561B" w:rsidP="00FB561B">
            <w:pPr>
              <w:numPr>
                <w:ilvl w:val="2"/>
                <w:numId w:val="990"/>
              </w:numPr>
              <w:spacing w:before="0" w:after="240"/>
              <w:ind w:hanging="210"/>
              <w:jc w:val="left"/>
              <w:rPr>
                <w:szCs w:val="24"/>
              </w:rPr>
            </w:pPr>
            <w:r>
              <w:rPr>
                <w:szCs w:val="24"/>
              </w:rPr>
              <w:t>lorsque l’entreprise est une OP ou la filiale d’un</w:t>
            </w:r>
            <w:r>
              <w:rPr>
                <w:szCs w:val="24"/>
              </w:rPr>
              <w:t>e OP, elle est éligible au PDRC si le programme opérationnel ne prévoit pas l’aide aux investissements.</w:t>
            </w:r>
          </w:p>
          <w:p w:rsidR="0035701C" w:rsidRDefault="00FB561B">
            <w:pPr>
              <w:spacing w:before="240" w:after="240"/>
              <w:jc w:val="left"/>
              <w:rPr>
                <w:szCs w:val="24"/>
              </w:rPr>
            </w:pPr>
            <w:r>
              <w:rPr>
                <w:szCs w:val="24"/>
              </w:rPr>
              <w:t> </w:t>
            </w:r>
            <w:r>
              <w:rPr>
                <w:b/>
                <w:bCs/>
                <w:szCs w:val="24"/>
              </w:rPr>
              <w:t>1.2 - Pour les actions en faveur de l’environnement</w:t>
            </w:r>
          </w:p>
          <w:p w:rsidR="0035701C" w:rsidRDefault="00FB561B">
            <w:pPr>
              <w:spacing w:before="240" w:after="240"/>
              <w:jc w:val="left"/>
              <w:rPr>
                <w:szCs w:val="24"/>
              </w:rPr>
            </w:pPr>
            <w:r>
              <w:rPr>
                <w:szCs w:val="24"/>
              </w:rPr>
              <w:t>Pour les actions retenues dans les PO liés à l’OCM le choix de l’articulation avec les MAEC du PDRC</w:t>
            </w:r>
            <w:r>
              <w:rPr>
                <w:szCs w:val="24"/>
              </w:rPr>
              <w:t xml:space="preserve"> se fait au niveau de l’organisation de producteurs et non au niveau de chaque producteur. Si l’action environnementale est inscrite dans le PO, aucun des producteurs ne peut contractualiser au titre du PDRR le dispositif d’aide équivalent.</w:t>
            </w:r>
          </w:p>
          <w:p w:rsidR="0035701C" w:rsidRDefault="00FB561B">
            <w:pPr>
              <w:spacing w:before="240" w:after="240"/>
              <w:jc w:val="left"/>
              <w:rPr>
                <w:szCs w:val="24"/>
              </w:rPr>
            </w:pPr>
            <w:r>
              <w:rPr>
                <w:szCs w:val="24"/>
              </w:rPr>
              <w:t>La mesure 10 du</w:t>
            </w:r>
            <w:r>
              <w:rPr>
                <w:szCs w:val="24"/>
              </w:rPr>
              <w:t xml:space="preserve"> PDR ne peut rémunérer que les engagements allant au-delà des exigences relatives à la conditionnalité, établies en vertu de l’article 93 du Règlement (UE) n° 1306/2013. Par ailleurs, les paiements des opérations de la mesure 10 tiennent compte du paiement</w:t>
            </w:r>
            <w:r>
              <w:rPr>
                <w:szCs w:val="24"/>
              </w:rPr>
              <w:t xml:space="preserve"> "vert" afin d'éviter le double financement.</w:t>
            </w:r>
          </w:p>
          <w:p w:rsidR="0035701C" w:rsidRDefault="00FB561B">
            <w:pPr>
              <w:spacing w:before="240" w:after="240"/>
              <w:jc w:val="left"/>
              <w:rPr>
                <w:szCs w:val="24"/>
              </w:rPr>
            </w:pPr>
            <w:r>
              <w:rPr>
                <w:b/>
                <w:bCs/>
                <w:szCs w:val="24"/>
              </w:rPr>
              <w:t>2 - Ligne de partage avec les FESI</w:t>
            </w:r>
          </w:p>
          <w:p w:rsidR="0035701C" w:rsidRDefault="00FB561B">
            <w:pPr>
              <w:spacing w:before="240" w:after="240"/>
              <w:jc w:val="left"/>
              <w:rPr>
                <w:szCs w:val="24"/>
              </w:rPr>
            </w:pPr>
            <w:r>
              <w:rPr>
                <w:szCs w:val="24"/>
              </w:rPr>
              <w:t xml:space="preserve">A travers les différents domaines d’intervention, la stratégie du PDRC vise à mettre en place une complémentarité efficace entre les fonds FEDER, FSE, FEAMP et FEADER pour, au </w:t>
            </w:r>
            <w:r>
              <w:rPr>
                <w:szCs w:val="24"/>
              </w:rPr>
              <w:t>final,  combler tous les besoins du territoire.</w:t>
            </w:r>
          </w:p>
          <w:p w:rsidR="0035701C" w:rsidRDefault="00FB561B">
            <w:pPr>
              <w:spacing w:before="240" w:after="240"/>
              <w:jc w:val="left"/>
              <w:rPr>
                <w:szCs w:val="24"/>
              </w:rPr>
            </w:pPr>
            <w:r>
              <w:rPr>
                <w:b/>
                <w:bCs/>
                <w:szCs w:val="24"/>
                <w:u w:val="single"/>
              </w:rPr>
              <w:t>Recherche, innovation</w:t>
            </w:r>
            <w:r>
              <w:rPr>
                <w:szCs w:val="24"/>
              </w:rPr>
              <w:t xml:space="preserve">: Le </w:t>
            </w:r>
            <w:r>
              <w:rPr>
                <w:b/>
                <w:bCs/>
                <w:szCs w:val="24"/>
              </w:rPr>
              <w:t>FEADER</w:t>
            </w:r>
            <w:r>
              <w:rPr>
                <w:szCs w:val="24"/>
              </w:rPr>
              <w:t xml:space="preserve"> n'intervient plus dans le domaine de la recherche et l'innovation. Les besoins identifiés dans le PDRC sont couvert par le </w:t>
            </w:r>
            <w:r>
              <w:rPr>
                <w:b/>
                <w:bCs/>
                <w:szCs w:val="24"/>
              </w:rPr>
              <w:t>FEDER</w:t>
            </w:r>
            <w:r>
              <w:rPr>
                <w:szCs w:val="24"/>
              </w:rPr>
              <w:t xml:space="preserve"> suite à une modification conjointe des deux pr</w:t>
            </w:r>
            <w:r>
              <w:rPr>
                <w:szCs w:val="24"/>
              </w:rPr>
              <w:t>ogrammes.</w:t>
            </w:r>
          </w:p>
          <w:p w:rsidR="0035701C" w:rsidRDefault="00FB561B">
            <w:pPr>
              <w:spacing w:before="240" w:after="240"/>
              <w:jc w:val="left"/>
              <w:rPr>
                <w:szCs w:val="24"/>
              </w:rPr>
            </w:pPr>
            <w:r>
              <w:rPr>
                <w:b/>
                <w:bCs/>
                <w:szCs w:val="24"/>
                <w:u w:val="single"/>
              </w:rPr>
              <w:t>Compétitivité des entreprises</w:t>
            </w:r>
            <w:r>
              <w:rPr>
                <w:szCs w:val="24"/>
              </w:rPr>
              <w:t>: les entreprises hors secteur agricole bénéficieront d'aides</w:t>
            </w:r>
            <w:r>
              <w:rPr>
                <w:b/>
                <w:bCs/>
                <w:szCs w:val="24"/>
              </w:rPr>
              <w:t xml:space="preserve"> FEDER</w:t>
            </w:r>
            <w:r>
              <w:rPr>
                <w:szCs w:val="24"/>
              </w:rPr>
              <w:t xml:space="preserve"> tandis que le </w:t>
            </w:r>
            <w:r>
              <w:rPr>
                <w:b/>
                <w:bCs/>
                <w:szCs w:val="24"/>
              </w:rPr>
              <w:t>FEADER</w:t>
            </w:r>
            <w:r>
              <w:rPr>
                <w:szCs w:val="24"/>
              </w:rPr>
              <w:t xml:space="preserve"> sera mobilisé pour des entreprises ou exploitations agricoles, exception faite des IAA qui pourront solliciter un financement </w:t>
            </w:r>
            <w:r>
              <w:rPr>
                <w:b/>
                <w:bCs/>
                <w:szCs w:val="24"/>
              </w:rPr>
              <w:t>FE</w:t>
            </w:r>
            <w:r>
              <w:rPr>
                <w:b/>
                <w:bCs/>
                <w:szCs w:val="24"/>
              </w:rPr>
              <w:t>DER</w:t>
            </w:r>
            <w:r>
              <w:rPr>
                <w:szCs w:val="24"/>
              </w:rPr>
              <w:t xml:space="preserve"> pour les aides à l'export et pour le soutien au développement d'activités de deuxième transformation (le </w:t>
            </w:r>
            <w:r>
              <w:rPr>
                <w:b/>
                <w:bCs/>
                <w:szCs w:val="24"/>
              </w:rPr>
              <w:t>FEADER</w:t>
            </w:r>
            <w:r>
              <w:rPr>
                <w:szCs w:val="24"/>
              </w:rPr>
              <w:t xml:space="preserve"> ne les prévoyant pas et se limitant au soutien aux IAA oeuvrant dans le domaine de la première transformation). Le </w:t>
            </w:r>
            <w:r>
              <w:rPr>
                <w:b/>
                <w:bCs/>
                <w:szCs w:val="24"/>
              </w:rPr>
              <w:t>FEADER</w:t>
            </w:r>
            <w:r>
              <w:rPr>
                <w:szCs w:val="24"/>
              </w:rPr>
              <w:t xml:space="preserve"> pourra également ê</w:t>
            </w:r>
            <w:r>
              <w:rPr>
                <w:szCs w:val="24"/>
              </w:rPr>
              <w:t xml:space="preserve">tre mobilisé pour accompagner les projets des entreprises en général si elles sont implantées en zone rurale. Le </w:t>
            </w:r>
            <w:r>
              <w:rPr>
                <w:b/>
                <w:bCs/>
                <w:szCs w:val="24"/>
              </w:rPr>
              <w:t>FEDER</w:t>
            </w:r>
            <w:r>
              <w:rPr>
                <w:szCs w:val="24"/>
              </w:rPr>
              <w:t xml:space="preserve"> intervient au contraire sur les espaces urbains tels que définis par le PADDUC. Ainsi, ce partage territorial permettra de couvrir complè</w:t>
            </w:r>
            <w:r>
              <w:rPr>
                <w:szCs w:val="24"/>
              </w:rPr>
              <w:t>tement l'ensemble du territoire et offre un bel exemple de complémentarité harmonieuse des fonds européens.</w:t>
            </w:r>
          </w:p>
          <w:p w:rsidR="0035701C" w:rsidRDefault="00FB561B">
            <w:pPr>
              <w:spacing w:before="240" w:after="240"/>
              <w:jc w:val="left"/>
              <w:rPr>
                <w:szCs w:val="24"/>
              </w:rPr>
            </w:pPr>
            <w:r>
              <w:rPr>
                <w:b/>
                <w:bCs/>
                <w:szCs w:val="24"/>
                <w:u w:val="single"/>
              </w:rPr>
              <w:t>Filière bois</w:t>
            </w:r>
            <w:r>
              <w:rPr>
                <w:szCs w:val="24"/>
              </w:rPr>
              <w:t>: le</w:t>
            </w:r>
            <w:r>
              <w:rPr>
                <w:b/>
                <w:bCs/>
                <w:szCs w:val="24"/>
              </w:rPr>
              <w:t xml:space="preserve"> FEDER</w:t>
            </w:r>
            <w:r>
              <w:rPr>
                <w:szCs w:val="24"/>
              </w:rPr>
              <w:t xml:space="preserve"> interviendra pour la création de capacité supplémentaire de production et le développement de moyens de stockage alors que le</w:t>
            </w:r>
            <w:r>
              <w:rPr>
                <w:szCs w:val="24"/>
              </w:rPr>
              <w:t xml:space="preserve"> </w:t>
            </w:r>
            <w:r>
              <w:rPr>
                <w:b/>
                <w:bCs/>
                <w:szCs w:val="24"/>
              </w:rPr>
              <w:t>FEADER</w:t>
            </w:r>
            <w:r>
              <w:rPr>
                <w:szCs w:val="24"/>
              </w:rPr>
              <w:t xml:space="preserve"> soutiendra l'équipement des entreprises d'exploitation forestière de première transformation. Le </w:t>
            </w:r>
            <w:r>
              <w:rPr>
                <w:b/>
                <w:bCs/>
                <w:szCs w:val="24"/>
              </w:rPr>
              <w:t>FEADER</w:t>
            </w:r>
            <w:r>
              <w:rPr>
                <w:szCs w:val="24"/>
              </w:rPr>
              <w:t xml:space="preserve"> financera également les investissements en amont de la filière bois c'est à dire la sylviculture et la mobilisation des bois.</w:t>
            </w:r>
          </w:p>
          <w:p w:rsidR="0035701C" w:rsidRDefault="00FB561B">
            <w:pPr>
              <w:spacing w:before="240" w:after="240"/>
              <w:jc w:val="left"/>
              <w:rPr>
                <w:szCs w:val="24"/>
              </w:rPr>
            </w:pPr>
            <w:r>
              <w:rPr>
                <w:b/>
                <w:bCs/>
                <w:szCs w:val="24"/>
                <w:u w:val="single"/>
              </w:rPr>
              <w:t>Préservation et va</w:t>
            </w:r>
            <w:r>
              <w:rPr>
                <w:b/>
                <w:bCs/>
                <w:szCs w:val="24"/>
                <w:u w:val="single"/>
              </w:rPr>
              <w:t>lorisation durable des atouts environnementaux et culturels du territoire:</w:t>
            </w:r>
            <w:r>
              <w:rPr>
                <w:szCs w:val="24"/>
              </w:rPr>
              <w:t xml:space="preserve"> Le </w:t>
            </w:r>
            <w:r>
              <w:rPr>
                <w:b/>
                <w:bCs/>
                <w:szCs w:val="24"/>
              </w:rPr>
              <w:t>FEDER</w:t>
            </w:r>
            <w:r>
              <w:rPr>
                <w:szCs w:val="24"/>
              </w:rPr>
              <w:t xml:space="preserve"> viendra en soutien des opérations luttant contre les risques liés à l'érosion du littoral, aux inondations et à l'amiante et le </w:t>
            </w:r>
            <w:r>
              <w:rPr>
                <w:b/>
                <w:bCs/>
                <w:szCs w:val="24"/>
              </w:rPr>
              <w:t>FEADER</w:t>
            </w:r>
            <w:r>
              <w:rPr>
                <w:szCs w:val="24"/>
              </w:rPr>
              <w:t xml:space="preserve"> complétera la préservation environnem</w:t>
            </w:r>
            <w:r>
              <w:rPr>
                <w:szCs w:val="24"/>
              </w:rPr>
              <w:t>entale en soutenant les opérations visant à diminuer le risque d'éclosion des feux et la limitation des surfaces parcourues.</w:t>
            </w:r>
          </w:p>
          <w:p w:rsidR="0035701C" w:rsidRDefault="00FB561B">
            <w:pPr>
              <w:spacing w:before="240" w:after="240"/>
              <w:jc w:val="left"/>
              <w:rPr>
                <w:szCs w:val="24"/>
              </w:rPr>
            </w:pPr>
            <w:r>
              <w:rPr>
                <w:b/>
                <w:bCs/>
                <w:szCs w:val="24"/>
                <w:u w:val="single"/>
              </w:rPr>
              <w:t>Renforcement de la cohésion sociale et amélioration du cadre de vie</w:t>
            </w:r>
            <w:r>
              <w:rPr>
                <w:szCs w:val="24"/>
              </w:rPr>
              <w:t xml:space="preserve"> : le </w:t>
            </w:r>
            <w:r>
              <w:rPr>
                <w:b/>
                <w:bCs/>
                <w:szCs w:val="24"/>
              </w:rPr>
              <w:t>FEADER</w:t>
            </w:r>
            <w:r>
              <w:rPr>
                <w:szCs w:val="24"/>
              </w:rPr>
              <w:t xml:space="preserve"> interviendra sur les sites NATURA 2000 terrestres p</w:t>
            </w:r>
            <w:r>
              <w:rPr>
                <w:szCs w:val="24"/>
              </w:rPr>
              <w:t xml:space="preserve">ar la révision et l'animation des DOCOB. Le </w:t>
            </w:r>
            <w:r>
              <w:rPr>
                <w:b/>
                <w:bCs/>
                <w:szCs w:val="24"/>
              </w:rPr>
              <w:t>FEDER</w:t>
            </w:r>
            <w:r>
              <w:rPr>
                <w:szCs w:val="24"/>
              </w:rPr>
              <w:t xml:space="preserve"> lui ciblera son intervention sur les "grands sites" de Corse comme la Parata (Ajaccio), la Restonica (Corte), Bavella, etc... et sur les espaces naturels littoraux emblématiques. Pour les sites culturels et</w:t>
            </w:r>
            <w:r>
              <w:rPr>
                <w:szCs w:val="24"/>
              </w:rPr>
              <w:t xml:space="preserve"> archéologiques: Le PO </w:t>
            </w:r>
            <w:r>
              <w:rPr>
                <w:b/>
                <w:bCs/>
                <w:szCs w:val="24"/>
              </w:rPr>
              <w:t>FEDER</w:t>
            </w:r>
            <w:r>
              <w:rPr>
                <w:szCs w:val="24"/>
              </w:rPr>
              <w:t xml:space="preserve"> ciblera des investissements sur les sites régionaux pour leur valorisation (accueil du public, services et produits), leur mise en réseau et la promotion du tourisme durable. ... Le </w:t>
            </w:r>
            <w:r>
              <w:rPr>
                <w:b/>
                <w:bCs/>
                <w:szCs w:val="24"/>
              </w:rPr>
              <w:t>FEADER</w:t>
            </w:r>
            <w:r>
              <w:rPr>
                <w:szCs w:val="24"/>
              </w:rPr>
              <w:t xml:space="preserve"> agira en amont sur des actions d'inven</w:t>
            </w:r>
            <w:r>
              <w:rPr>
                <w:szCs w:val="24"/>
              </w:rPr>
              <w:t>taire, de recherche et de restauration en s'attachant à promouvoir exclusivement le patrimoine local.</w:t>
            </w:r>
          </w:p>
          <w:p w:rsidR="0035701C" w:rsidRDefault="00FB561B">
            <w:pPr>
              <w:spacing w:before="240" w:after="240"/>
              <w:jc w:val="left"/>
              <w:rPr>
                <w:szCs w:val="24"/>
              </w:rPr>
            </w:pPr>
            <w:r>
              <w:rPr>
                <w:b/>
                <w:bCs/>
                <w:szCs w:val="24"/>
                <w:u w:val="single"/>
              </w:rPr>
              <w:t>Investissement dans la formation tout au long de la vie pour augmenter l'accès à l'emploi</w:t>
            </w:r>
            <w:r>
              <w:rPr>
                <w:szCs w:val="24"/>
              </w:rPr>
              <w:t>: Le</w:t>
            </w:r>
            <w:r>
              <w:rPr>
                <w:b/>
                <w:bCs/>
                <w:szCs w:val="24"/>
              </w:rPr>
              <w:t xml:space="preserve"> FEADER</w:t>
            </w:r>
            <w:r>
              <w:rPr>
                <w:szCs w:val="24"/>
              </w:rPr>
              <w:t xml:space="preserve"> propose aux exploitants ou salariés agricoles des formations pour renforcer leur professionnalisation et pour accroitre leur niveau de connaissance par la formation continue. Pour les autres besoins en formation, c'est le </w:t>
            </w:r>
            <w:r>
              <w:rPr>
                <w:b/>
                <w:bCs/>
                <w:szCs w:val="24"/>
              </w:rPr>
              <w:t>FSE</w:t>
            </w:r>
            <w:r>
              <w:rPr>
                <w:szCs w:val="24"/>
              </w:rPr>
              <w:t xml:space="preserve"> régional qui interviendra et </w:t>
            </w:r>
            <w:r>
              <w:rPr>
                <w:szCs w:val="24"/>
              </w:rPr>
              <w:t>notamment pour les demandeurs d'emploi les plus éloignés du monde du travail.</w:t>
            </w:r>
          </w:p>
          <w:p w:rsidR="0035701C" w:rsidRDefault="00FB561B">
            <w:pPr>
              <w:spacing w:before="240" w:after="240"/>
              <w:jc w:val="left"/>
              <w:rPr>
                <w:szCs w:val="24"/>
              </w:rPr>
            </w:pPr>
            <w:r>
              <w:rPr>
                <w:szCs w:val="24"/>
              </w:rPr>
              <w:t>Ces lignes de partage clairement définies, certains mécanismes sont mis en place pour éviter le risque de double financement.</w:t>
            </w:r>
          </w:p>
          <w:p w:rsidR="0035701C" w:rsidRDefault="00FB561B">
            <w:pPr>
              <w:spacing w:before="240" w:after="240"/>
              <w:jc w:val="left"/>
              <w:rPr>
                <w:szCs w:val="24"/>
              </w:rPr>
            </w:pPr>
            <w:r>
              <w:rPr>
                <w:szCs w:val="24"/>
              </w:rPr>
              <w:t>Au niveau de la gouvernance, la CTC, autorité de ges</w:t>
            </w:r>
            <w:r>
              <w:rPr>
                <w:szCs w:val="24"/>
              </w:rPr>
              <w:t>tion pour le FEADER, le FEDER et les FSE dans son volet régional, a fait le choix de la mise en place d'instances plurifonds (comité de suivi, instance de sélection, comité d'évaluation) qui garantiront efficacement  la cohérence de la programmation réalis</w:t>
            </w:r>
            <w:r>
              <w:rPr>
                <w:szCs w:val="24"/>
              </w:rPr>
              <w:t>ée au titre des différents programmes. D'un point de vue organisationnel, une seule direction au sein de la CTC, la DAEI, gèrera tous les fonds et fixera l'ordre du jour du COREPA. Elle procèdera donc systématiquement à des vérifications avant programmatio</w:t>
            </w:r>
            <w:r>
              <w:rPr>
                <w:szCs w:val="24"/>
              </w:rPr>
              <w:t>n. Le choix de l'instance unique garantit à la fois l'absence de double financement et la bonne articulation et complémentarité entre les différents fonds. Les dossiers CPER seront également examinés au sein de ce comité.</w:t>
            </w:r>
          </w:p>
          <w:p w:rsidR="0035701C" w:rsidRDefault="00FB561B">
            <w:pPr>
              <w:spacing w:before="240" w:after="240"/>
              <w:jc w:val="left"/>
              <w:rPr>
                <w:szCs w:val="24"/>
              </w:rPr>
            </w:pPr>
            <w:r>
              <w:rPr>
                <w:b/>
                <w:bCs/>
                <w:szCs w:val="24"/>
              </w:rPr>
              <w:t>Articulation entre le PDR et le FE</w:t>
            </w:r>
            <w:r>
              <w:rPr>
                <w:b/>
                <w:bCs/>
                <w:szCs w:val="24"/>
              </w:rPr>
              <w:t>AMP</w:t>
            </w:r>
          </w:p>
          <w:p w:rsidR="0035701C" w:rsidRDefault="00FB561B">
            <w:pPr>
              <w:spacing w:before="240" w:after="240"/>
              <w:jc w:val="left"/>
              <w:rPr>
                <w:szCs w:val="24"/>
              </w:rPr>
            </w:pPr>
            <w:r>
              <w:rPr>
                <w:szCs w:val="24"/>
              </w:rPr>
              <w:t>Les projets d’aquaculture, de pisciculture et les projets de transformation agro-alimentaire éligibles aux aides du FEAMP « priorité 2 Favoriser une aquaculture durable »,  ne sont pas éligibles aux aides du PDRC.</w:t>
            </w:r>
          </w:p>
          <w:p w:rsidR="0035701C" w:rsidRDefault="00FB561B">
            <w:pPr>
              <w:spacing w:before="240" w:after="240"/>
              <w:jc w:val="left"/>
              <w:rPr>
                <w:szCs w:val="24"/>
              </w:rPr>
            </w:pPr>
            <w:r>
              <w:rPr>
                <w:b/>
                <w:bCs/>
                <w:szCs w:val="24"/>
              </w:rPr>
              <w:t xml:space="preserve">Articulation entre LEADER et le reste </w:t>
            </w:r>
            <w:r>
              <w:rPr>
                <w:b/>
                <w:bCs/>
                <w:szCs w:val="24"/>
              </w:rPr>
              <w:t>du PDRC</w:t>
            </w:r>
          </w:p>
          <w:p w:rsidR="0035701C" w:rsidRDefault="00FB561B">
            <w:pPr>
              <w:spacing w:before="240" w:after="240"/>
              <w:jc w:val="left"/>
              <w:rPr>
                <w:szCs w:val="24"/>
              </w:rPr>
            </w:pPr>
            <w:r>
              <w:rPr>
                <w:szCs w:val="24"/>
              </w:rPr>
              <w:t>La ligne de partage entre LEADER et les autres mesures FEADER se fera en fonction des priorités stratégiques et financières du territoire.</w:t>
            </w:r>
          </w:p>
          <w:p w:rsidR="0035701C" w:rsidRDefault="00FB561B">
            <w:pPr>
              <w:spacing w:before="240" w:after="240"/>
              <w:jc w:val="left"/>
              <w:rPr>
                <w:szCs w:val="24"/>
              </w:rPr>
            </w:pPr>
            <w:r>
              <w:rPr>
                <w:szCs w:val="24"/>
              </w:rPr>
              <w:t>Si une action répond à la stratégie LEADER, la programmation du FEADER relèvera du GAL, en fonction de ses pr</w:t>
            </w:r>
            <w:r>
              <w:rPr>
                <w:szCs w:val="24"/>
              </w:rPr>
              <w:t>opres critères d’opportunité et de sélection prévus par son plan de développement.</w:t>
            </w:r>
          </w:p>
          <w:p w:rsidR="0035701C" w:rsidRDefault="00FB561B">
            <w:pPr>
              <w:spacing w:before="240" w:after="240"/>
              <w:jc w:val="left"/>
              <w:rPr>
                <w:szCs w:val="24"/>
              </w:rPr>
            </w:pPr>
            <w:r>
              <w:rPr>
                <w:szCs w:val="24"/>
              </w:rPr>
              <w:t>Si une action s’inscrit dans la stratégie LEADER et relève du type d’opérations prévu par les mesures du PDRC, elle devra nécessairement s’en démarquer par la nature de la d</w:t>
            </w:r>
            <w:r>
              <w:rPr>
                <w:szCs w:val="24"/>
              </w:rPr>
              <w:t>émarche (caractère intégré, innovation, valeur ajoutée).</w:t>
            </w:r>
          </w:p>
          <w:p w:rsidR="0035701C" w:rsidRDefault="00FB561B">
            <w:pPr>
              <w:spacing w:before="240" w:after="240"/>
              <w:jc w:val="left"/>
              <w:rPr>
                <w:szCs w:val="24"/>
              </w:rPr>
            </w:pPr>
            <w:r>
              <w:rPr>
                <w:b/>
                <w:bCs/>
                <w:szCs w:val="24"/>
              </w:rPr>
              <w:t>Mécanismes pour éviter et éliminer tout risque de double financement.</w:t>
            </w:r>
          </w:p>
          <w:p w:rsidR="0035701C" w:rsidRDefault="00FB561B">
            <w:pPr>
              <w:spacing w:before="240" w:after="240"/>
              <w:jc w:val="left"/>
              <w:rPr>
                <w:szCs w:val="24"/>
              </w:rPr>
            </w:pPr>
            <w:r>
              <w:rPr>
                <w:szCs w:val="24"/>
              </w:rPr>
              <w:t xml:space="preserve">Au niveau de la gouvernance, la CTC, autorité de gestion pour le FEADER, le FEDER et les FSE dans son volet régional, a fait le </w:t>
            </w:r>
            <w:r>
              <w:rPr>
                <w:szCs w:val="24"/>
              </w:rPr>
              <w:t>choix de la mise en place d'instances pluri fonds (comité de suivi, instance de sélection, comité d'évaluation) qui garantiront efficacement  la cohérence de la programmation réalisée au titre des différents programmes.</w:t>
            </w:r>
          </w:p>
          <w:p w:rsidR="0035701C" w:rsidRDefault="00FB561B">
            <w:pPr>
              <w:spacing w:before="240" w:after="240"/>
              <w:jc w:val="left"/>
              <w:rPr>
                <w:szCs w:val="24"/>
              </w:rPr>
            </w:pPr>
            <w:r>
              <w:rPr>
                <w:szCs w:val="24"/>
              </w:rPr>
              <w:t>D'un point de vue organisationnel, u</w:t>
            </w:r>
            <w:r>
              <w:rPr>
                <w:szCs w:val="24"/>
              </w:rPr>
              <w:t>ne seule direction au sein de la CTC, la DAEI, gèrera tous les fonds et fixera l'ordre du jour du Comité Régional de Programmation des Aides (COREPA). Ce Comité a vocation à examiner, avant programmation des aides, l’intégralité des dossiers des différents</w:t>
            </w:r>
            <w:r>
              <w:rPr>
                <w:szCs w:val="24"/>
              </w:rPr>
              <w:t xml:space="preserve"> FESI dont la CTC est autorité de gestion. Elle procèdera donc systématiquement à des vérifications avant programmation. Le choix de l'instance unique garantit à la fois l'absence de double financement et la bonne articulation et complémentarité entre les </w:t>
            </w:r>
            <w:r>
              <w:rPr>
                <w:szCs w:val="24"/>
              </w:rPr>
              <w:t>différents fonds. Les dossiers CPER seront également examinés au sein de ce comité.</w:t>
            </w:r>
          </w:p>
          <w:p w:rsidR="0035701C" w:rsidRDefault="00FB561B">
            <w:pPr>
              <w:spacing w:before="240" w:after="240"/>
              <w:jc w:val="left"/>
              <w:rPr>
                <w:szCs w:val="24"/>
              </w:rPr>
            </w:pPr>
            <w:r>
              <w:rPr>
                <w:b/>
                <w:bCs/>
                <w:szCs w:val="24"/>
              </w:rPr>
              <w:t>Prise en compte de la Directive Habitats Faune Flore et notamment des articles 6.3 et 6.4</w:t>
            </w:r>
          </w:p>
          <w:p w:rsidR="0035701C" w:rsidRDefault="00FB561B">
            <w:pPr>
              <w:spacing w:before="240" w:after="240"/>
              <w:jc w:val="left"/>
              <w:rPr>
                <w:szCs w:val="24"/>
              </w:rPr>
            </w:pPr>
            <w:r>
              <w:rPr>
                <w:szCs w:val="24"/>
              </w:rPr>
              <w:t>Toutes les interventions sur les sites Natura 2000 seront soumises à l'avis des se</w:t>
            </w:r>
            <w:r>
              <w:rPr>
                <w:szCs w:val="24"/>
              </w:rPr>
              <w:t>rvices de l'état et de l'Office de l'environnement de la Corse et bien sûr au Copil de la zone Natura 2000 concernée.</w:t>
            </w:r>
          </w:p>
          <w:p w:rsidR="0035701C" w:rsidRDefault="00FB561B">
            <w:pPr>
              <w:spacing w:before="240" w:after="240"/>
              <w:jc w:val="left"/>
              <w:rPr>
                <w:szCs w:val="24"/>
              </w:rPr>
            </w:pPr>
            <w:r>
              <w:rPr>
                <w:szCs w:val="24"/>
              </w:rPr>
              <w:t>Nous nous assurerons ainsi que seuls les projets compatibles avec les objectifs du réseau Natura 2000 seront autorisés. </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5853962" cy="8280400"/>
                  <wp:effectExtent l="0" t="0" r="0" b="0"/>
                  <wp:docPr id="100318" name="Image 100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19" name=""/>
                          <pic:cNvPicPr>
                            <a:picLocks noChangeAspect="1"/>
                          </pic:cNvPicPr>
                        </pic:nvPicPr>
                        <pic:blipFill>
                          <a:blip r:embed="rId162"/>
                          <a:stretch>
                            <a:fillRect/>
                          </a:stretch>
                        </pic:blipFill>
                        <pic:spPr>
                          <a:xfrm>
                            <a:off x="0" y="0"/>
                            <a:ext cx="5853962" cy="8280400"/>
                          </a:xfrm>
                          <a:prstGeom prst="rect">
                            <a:avLst/>
                          </a:prstGeom>
                        </pic:spPr>
                      </pic:pic>
                    </a:graphicData>
                  </a:graphic>
                </wp:inline>
              </w:drawing>
            </w:r>
          </w:p>
          <w:p w:rsidR="0035701C" w:rsidRDefault="00FB561B">
            <w:pPr>
              <w:pStyle w:val="Pieddepage"/>
              <w:jc w:val="center"/>
            </w:pPr>
            <w:r>
              <w:t xml:space="preserve">Tableau ligne </w:t>
            </w:r>
            <w:r>
              <w:t>partage FESI I</w:t>
            </w:r>
          </w:p>
          <w:p w:rsidR="0035701C" w:rsidRDefault="00FB561B">
            <w:pPr>
              <w:pStyle w:val="Pieddepage"/>
              <w:jc w:val="center"/>
            </w:pPr>
            <w:r>
              <w:rPr>
                <w:noProof/>
                <w:lang w:val="fr-FR" w:eastAsia="fr-FR"/>
              </w:rPr>
              <w:drawing>
                <wp:inline distT="0" distB="0" distL="0" distR="0">
                  <wp:extent cx="5853962" cy="8280400"/>
                  <wp:effectExtent l="0" t="0" r="0" b="0"/>
                  <wp:docPr id="100320" name="Image 100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1" name=""/>
                          <pic:cNvPicPr>
                            <a:picLocks noChangeAspect="1"/>
                          </pic:cNvPicPr>
                        </pic:nvPicPr>
                        <pic:blipFill>
                          <a:blip r:embed="rId162"/>
                          <a:stretch>
                            <a:fillRect/>
                          </a:stretch>
                        </pic:blipFill>
                        <pic:spPr>
                          <a:xfrm>
                            <a:off x="0" y="0"/>
                            <a:ext cx="5853962" cy="8280400"/>
                          </a:xfrm>
                          <a:prstGeom prst="rect">
                            <a:avLst/>
                          </a:prstGeom>
                        </pic:spPr>
                      </pic:pic>
                    </a:graphicData>
                  </a:graphic>
                </wp:inline>
              </w:drawing>
            </w:r>
          </w:p>
          <w:p w:rsidR="0035701C" w:rsidRDefault="00FB561B">
            <w:pPr>
              <w:pStyle w:val="Pieddepage"/>
              <w:jc w:val="center"/>
            </w:pPr>
            <w:r>
              <w:t>Tableau ligne partage FESI II</w:t>
            </w:r>
          </w:p>
          <w:p w:rsidR="0035701C" w:rsidRDefault="0035701C">
            <w:pPr>
              <w:pStyle w:val="Pieddepage"/>
              <w:jc w:val="center"/>
            </w:pPr>
          </w:p>
        </w:tc>
      </w:tr>
    </w:tbl>
    <w:p w:rsidR="0035701C" w:rsidRDefault="00FB561B">
      <w:pPr>
        <w:pStyle w:val="Titre3"/>
        <w:jc w:val="left"/>
      </w:pPr>
      <w:bookmarkStart w:id="178" w:name="_Toc256000177"/>
      <w:r>
        <w:t xml:space="preserve">Lorsqu'un État membre a choisi de soumettre un programme national et une série de programmes régionaux comme indiqué à l'article 6, paragraphe 2, du règlement (UE) n° 1305/2013, informations sur la </w:t>
      </w:r>
      <w:r>
        <w:t>complémentarité entre ces programmes</w:t>
      </w:r>
      <w:bookmarkEnd w:id="178"/>
      <w: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b/>
                <w:bCs/>
                <w:szCs w:val="24"/>
              </w:rPr>
              <w:t>Articulation du PDRC avec programme national de Gestion des Risques et l'Assistance Technique</w:t>
            </w:r>
          </w:p>
          <w:p w:rsidR="0035701C" w:rsidRDefault="00FB561B">
            <w:pPr>
              <w:spacing w:before="240" w:after="240"/>
              <w:ind w:left="600"/>
              <w:jc w:val="left"/>
              <w:rPr>
                <w:szCs w:val="24"/>
              </w:rPr>
            </w:pPr>
            <w:r>
              <w:rPr>
                <w:szCs w:val="24"/>
              </w:rPr>
              <w:t>Le programme national gestion des risques mobilise les articles 36, 37 et 38 du règlement (UE) n°1305/2013  (risques et assu</w:t>
            </w:r>
            <w:r>
              <w:rPr>
                <w:szCs w:val="24"/>
              </w:rPr>
              <w:t>rance), il vise à prendre en compte les aléas (climatiques, sanitaires et économiques) au travers de dispositifs assurantiels ou de fonds de mutualisation.</w:t>
            </w:r>
          </w:p>
          <w:p w:rsidR="0035701C" w:rsidRDefault="00FB561B">
            <w:pPr>
              <w:spacing w:before="240" w:after="240"/>
              <w:ind w:left="600"/>
              <w:jc w:val="left"/>
              <w:rPr>
                <w:szCs w:val="24"/>
              </w:rPr>
            </w:pPr>
            <w:r>
              <w:rPr>
                <w:szCs w:val="24"/>
              </w:rPr>
              <w:t>Ce programme est destiné à la reconstitution du potentiel de production agricole endommagé par des c</w:t>
            </w:r>
            <w:r>
              <w:rPr>
                <w:szCs w:val="24"/>
              </w:rPr>
              <w:t>atastrophes naturelles et des événements catastrophiques et à la mise en place de mesures de prévention appropriées n'est pas ouverte dans le PDRC. Aucun risque de chevauchement avec le Programme national Gestion des Risques n'est donc identifié.</w:t>
            </w:r>
          </w:p>
          <w:p w:rsidR="0035701C" w:rsidRDefault="00FB561B">
            <w:pPr>
              <w:spacing w:before="240" w:after="240"/>
              <w:jc w:val="left"/>
              <w:rPr>
                <w:szCs w:val="24"/>
              </w:rPr>
            </w:pPr>
            <w:r>
              <w:rPr>
                <w:b/>
                <w:bCs/>
                <w:szCs w:val="24"/>
              </w:rPr>
              <w:t>Complémen</w:t>
            </w:r>
            <w:r>
              <w:rPr>
                <w:b/>
                <w:bCs/>
                <w:szCs w:val="24"/>
              </w:rPr>
              <w:t>tarité entre le Réseau Rural National et le PDRC</w:t>
            </w:r>
          </w:p>
          <w:p w:rsidR="0035701C" w:rsidRDefault="00FB561B">
            <w:pPr>
              <w:spacing w:before="240" w:after="240"/>
              <w:ind w:left="567"/>
              <w:jc w:val="left"/>
              <w:rPr>
                <w:szCs w:val="24"/>
              </w:rPr>
            </w:pPr>
            <w:r>
              <w:rPr>
                <w:szCs w:val="24"/>
              </w:rPr>
              <w:t>Les activités du réseau rural national sont définies précisément dans le programme national spécifique dont le MAAF est autorité de gestion : elles intègrent l’ensemble des aspects indiqués dans l’article 54</w:t>
            </w:r>
            <w:r>
              <w:rPr>
                <w:szCs w:val="24"/>
              </w:rPr>
              <w:t xml:space="preserve">-3b) du règlement FEADER. Le réseau rural national organise ses actions et son animation à l’échelle nationale. Ce Réseau national a en effet vocation à être « carrefour des régions », organisateur de lieux de co-construction, jouant un rôle de détection, </w:t>
            </w:r>
            <w:r>
              <w:rPr>
                <w:szCs w:val="24"/>
              </w:rPr>
              <w:t>de veille, de repérage et de transfert, puisque les réponses aux problèmes rencontrés sur un territoire peuvent parfois s’inspirer de solutions trouvées ailleurs. Il ne se substituera pas aux réseaux ruraux régionaux : ceux-ci ont vocation à travailler sur</w:t>
            </w:r>
            <w:r>
              <w:rPr>
                <w:szCs w:val="24"/>
              </w:rPr>
              <w:t xml:space="preserve"> leur territoire régional en lien direct avec leur PDRR, à y jouer un rôle de prospection, de veille, de repérage localement, permettant une remontée d’informations au niveau national et européen. Un correspondant identifié dans chacune des régions assurer</w:t>
            </w:r>
            <w:r>
              <w:rPr>
                <w:szCs w:val="24"/>
              </w:rPr>
              <w:t>a la diffusion des informations de chaque PDRR relevant des activités obligatoires du RRN.</w:t>
            </w:r>
          </w:p>
          <w:p w:rsidR="0035701C" w:rsidRDefault="00FB561B">
            <w:pPr>
              <w:spacing w:before="240" w:after="240"/>
              <w:ind w:left="567"/>
              <w:jc w:val="left"/>
              <w:rPr>
                <w:szCs w:val="24"/>
              </w:rPr>
            </w:pPr>
            <w:r>
              <w:rPr>
                <w:szCs w:val="24"/>
              </w:rPr>
              <w:t xml:space="preserve">Le réseau rural régional s'articulera donc avec le réseau rural national, afin d'accroître l'efficacité de son action sur le territoire français. La complémentarité </w:t>
            </w:r>
            <w:r>
              <w:rPr>
                <w:szCs w:val="24"/>
              </w:rPr>
              <w:t>se fera en termes d'échelle : les actions et l’animation dispensée par le Réseau rural régional sont planifiées et réalisées pour le bénéfice des acteurs du réseau rural régional. La proximité du réseau rural régional des acteurs de terrains facilitera l’a</w:t>
            </w:r>
            <w:r>
              <w:rPr>
                <w:szCs w:val="24"/>
              </w:rPr>
              <w:t>scendance et la réalisation de projets opérationnels et correspondant aux besoins des acteurs du réseau.</w:t>
            </w:r>
          </w:p>
          <w:p w:rsidR="0035701C" w:rsidRDefault="00FB561B">
            <w:pPr>
              <w:spacing w:before="240" w:after="240"/>
              <w:ind w:left="600"/>
              <w:jc w:val="left"/>
              <w:rPr>
                <w:szCs w:val="24"/>
              </w:rPr>
            </w:pPr>
            <w:r>
              <w:rPr>
                <w:szCs w:val="24"/>
              </w:rPr>
              <w:t>Le Réseau rural régional aura par ailleurs un rôle de relai régional des actions des réseaux européen et national en termes de communication, d’informa</w:t>
            </w:r>
            <w:r>
              <w:rPr>
                <w:szCs w:val="24"/>
              </w:rPr>
              <w:t>tion sur les fonds européens et les manifestations organisées aux différentes échelles. Il pourra notamment être partenaire d’actions lancées par le Réseau rural national.</w:t>
            </w:r>
          </w:p>
          <w:p w:rsidR="0035701C" w:rsidRDefault="0035701C">
            <w:pPr>
              <w:pStyle w:val="Corpsdetexte"/>
            </w:pPr>
          </w:p>
        </w:tc>
      </w:tr>
    </w:tbl>
    <w:p w:rsidR="0035701C" w:rsidRDefault="00FB561B">
      <w:pPr>
        <w:pStyle w:val="Titre2"/>
        <w:rPr>
          <w:b w:val="0"/>
        </w:rPr>
      </w:pPr>
      <w:bookmarkStart w:id="179" w:name="_Toc256000178"/>
      <w:r>
        <w:rPr>
          <w:b w:val="0"/>
        </w:rPr>
        <w:t xml:space="preserve">Le cas échéant, informations sur la complémentarité avec d’autres instruments de </w:t>
      </w:r>
      <w:r>
        <w:rPr>
          <w:b w:val="0"/>
        </w:rPr>
        <w:t>l’Union, dont LIFE</w:t>
      </w:r>
      <w:bookmarkEnd w:id="17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En matière d'innovation, l'AG accompagnera la mise en place d’un partenariat régional pour la recherche et l'innovation en lien avec le PEI. Un des objectifs de ce dispositif est de faire émerger des partenariats et des projets, qui pour</w:t>
            </w:r>
            <w:r>
              <w:rPr>
                <w:szCs w:val="24"/>
              </w:rPr>
              <w:t>ront bénéficier de la mesure Coopération (mesure 16). Cette démarche contribuera à l’articulation entre le PDRC et les autres dispositifs relevant de la stratégie régionale en faveur de l'innovation (3S).</w:t>
            </w:r>
          </w:p>
          <w:p w:rsidR="0035701C" w:rsidRDefault="00FB561B">
            <w:pPr>
              <w:spacing w:before="240" w:after="240"/>
              <w:jc w:val="left"/>
              <w:rPr>
                <w:szCs w:val="24"/>
              </w:rPr>
            </w:pPr>
            <w:r>
              <w:rPr>
                <w:b/>
                <w:bCs/>
                <w:szCs w:val="24"/>
                <w:u w:val="single"/>
              </w:rPr>
              <w:t>Articulation entre le PDR et le Programme LIFE 2014</w:t>
            </w:r>
            <w:r>
              <w:rPr>
                <w:b/>
                <w:bCs/>
                <w:szCs w:val="24"/>
                <w:u w:val="single"/>
              </w:rPr>
              <w:t xml:space="preserve">-2020 </w:t>
            </w:r>
            <w:r>
              <w:rPr>
                <w:b/>
                <w:bCs/>
                <w:szCs w:val="24"/>
              </w:rPr>
              <w:t>:</w:t>
            </w:r>
          </w:p>
          <w:p w:rsidR="0035701C" w:rsidRDefault="00FB561B">
            <w:pPr>
              <w:spacing w:before="240" w:after="240"/>
              <w:jc w:val="left"/>
              <w:rPr>
                <w:szCs w:val="24"/>
              </w:rPr>
            </w:pPr>
            <w:r>
              <w:rPr>
                <w:szCs w:val="24"/>
              </w:rPr>
              <w:t>La complémentarité entre les deux programmes repose en partie sur la typologie des projets financés. Le programme LIFE 2014-2020 est entièrement dédié au secteur de l’environnement, au travers de financements de projets liés à la protection de la n</w:t>
            </w:r>
            <w:r>
              <w:rPr>
                <w:szCs w:val="24"/>
              </w:rPr>
              <w:t>ature et de la biodiversité, à l’utilisation rationnelle des ressources et aux actions pour le climat. LIFE finance des projets pilotes, de démonstration, d’échanges de bonnes pratiques, d’information et de sensibilisation ayant une forte valeur ajoutée eu</w:t>
            </w:r>
            <w:r>
              <w:rPr>
                <w:szCs w:val="24"/>
              </w:rPr>
              <w:t>ropéenne et permettant de promouvoir des approches innovantes sur les territoires en s’appuyant  sur les meilleures pratiques (solutions les plus économiques). L’accent est mis sur la réplicabilité, la transférabilité et la durabilité à long terme des résu</w:t>
            </w:r>
            <w:r>
              <w:rPr>
                <w:szCs w:val="24"/>
              </w:rPr>
              <w:t>ltats des projets.</w:t>
            </w:r>
          </w:p>
          <w:p w:rsidR="0035701C" w:rsidRDefault="00FB561B">
            <w:pPr>
              <w:spacing w:before="240" w:after="240"/>
              <w:jc w:val="left"/>
              <w:rPr>
                <w:szCs w:val="24"/>
              </w:rPr>
            </w:pPr>
            <w:r>
              <w:rPr>
                <w:szCs w:val="24"/>
              </w:rPr>
              <w:t>Le PDR intervient en complémentarité de ce programme car même si certaines de ses mesures poursuivent des objectifs généraux similaires, il vient financer des projets visant à maintenir des pratiques agricoles sur des zones où elles sont</w:t>
            </w:r>
            <w:r>
              <w:rPr>
                <w:szCs w:val="24"/>
              </w:rPr>
              <w:t xml:space="preserve"> menacées, ou à améliorer les pratiques en indemnisant le surcoût économique engendré. Le PDR a vocation à financer des actions sur des territoires bien définis mis en face d’enjeux locaux (échelle inférieure à celle d’un département par exemple) avec un e</w:t>
            </w:r>
            <w:r>
              <w:rPr>
                <w:szCs w:val="24"/>
              </w:rPr>
              <w:t>ngagement du contractant sur une durée définie de 5 ans.</w:t>
            </w:r>
          </w:p>
          <w:p w:rsidR="0035701C" w:rsidRDefault="00FB561B">
            <w:pPr>
              <w:spacing w:before="240" w:after="240"/>
              <w:jc w:val="left"/>
              <w:rPr>
                <w:szCs w:val="24"/>
              </w:rPr>
            </w:pPr>
            <w:r>
              <w:rPr>
                <w:szCs w:val="24"/>
              </w:rPr>
              <w:t>Le programme LIFE prévoit aussi des complémentarités avec les autres fonds européens via les « projets intégrés ». L’objectif  de ces projets qui seront déployés sur une grande échelle (régionale à t</w:t>
            </w:r>
            <w:r>
              <w:rPr>
                <w:szCs w:val="24"/>
              </w:rPr>
              <w:t>ransnationale) est de mettre en œuvre des plans et stratégies requis par la législation de l’UE pour créer des synergies et favoriser l’utilisation de méthodes développées via LIFE. Les projets intégrés font donc partie d’une stratégie plus large : les fon</w:t>
            </w:r>
            <w:r>
              <w:rPr>
                <w:szCs w:val="24"/>
              </w:rPr>
              <w:t>ds structurels et le FEADER pourront intervenir pour financer des activités connexes afin d’accroître la valeur ajoutée européenne de la démarche.</w:t>
            </w:r>
          </w:p>
          <w:p w:rsidR="0035701C" w:rsidRDefault="00FB561B">
            <w:pPr>
              <w:spacing w:before="240" w:after="240"/>
              <w:jc w:val="left"/>
              <w:rPr>
                <w:szCs w:val="24"/>
              </w:rPr>
            </w:pPr>
            <w:r>
              <w:rPr>
                <w:b/>
                <w:bCs/>
                <w:szCs w:val="24"/>
                <w:u w:val="single"/>
              </w:rPr>
              <w:t>Cohérence entre le Schéma Régional Climat Air Energie (SRCAE) et le PDRC :</w:t>
            </w:r>
          </w:p>
          <w:p w:rsidR="0035701C" w:rsidRDefault="00FB561B">
            <w:pPr>
              <w:spacing w:before="240" w:after="240"/>
              <w:jc w:val="left"/>
              <w:rPr>
                <w:szCs w:val="24"/>
              </w:rPr>
            </w:pPr>
            <w:r>
              <w:rPr>
                <w:szCs w:val="24"/>
              </w:rPr>
              <w:t>Le SRCAE fixe les objectifs à l’ho</w:t>
            </w:r>
            <w:r>
              <w:rPr>
                <w:szCs w:val="24"/>
              </w:rPr>
              <w:t>rizon 2020 - 2050, en matière de politique de l’énergie, de l’air et du climat.</w:t>
            </w:r>
          </w:p>
          <w:p w:rsidR="0035701C" w:rsidRDefault="00FB561B">
            <w:pPr>
              <w:spacing w:before="240" w:after="240"/>
              <w:jc w:val="left"/>
              <w:rPr>
                <w:szCs w:val="24"/>
              </w:rPr>
            </w:pPr>
            <w:r>
              <w:rPr>
                <w:szCs w:val="24"/>
              </w:rPr>
              <w:t>Concernant l’efficacité énergétique de l’agriculture, il propose deux orientations (Agri – 1 et Agri – 2).</w:t>
            </w:r>
          </w:p>
          <w:p w:rsidR="0035701C" w:rsidRDefault="00FB561B" w:rsidP="00FB561B">
            <w:pPr>
              <w:numPr>
                <w:ilvl w:val="0"/>
                <w:numId w:val="991"/>
              </w:numPr>
              <w:spacing w:before="240" w:after="240"/>
              <w:ind w:hanging="210"/>
              <w:jc w:val="left"/>
              <w:rPr>
                <w:szCs w:val="24"/>
              </w:rPr>
            </w:pPr>
            <w:r>
              <w:rPr>
                <w:szCs w:val="24"/>
              </w:rPr>
              <w:t>AGRI – 1 Favoriser les pratiques agricoles moins émettrices de GES, d</w:t>
            </w:r>
            <w:r>
              <w:rPr>
                <w:szCs w:val="24"/>
              </w:rPr>
              <w:t>e polluants, économes en énergie et en eau</w:t>
            </w:r>
          </w:p>
          <w:p w:rsidR="0035701C" w:rsidRDefault="00FB561B">
            <w:pPr>
              <w:spacing w:before="240" w:after="240"/>
              <w:jc w:val="left"/>
              <w:rPr>
                <w:szCs w:val="24"/>
              </w:rPr>
            </w:pPr>
            <w:r>
              <w:rPr>
                <w:szCs w:val="24"/>
              </w:rPr>
              <w:t>Les axes d’actions d’Agri – 1 s’oriente vers l’amélioration énergétique des exploitations ; le développement de pratique de réduction d’intrant ; l’utilisation de l’agriculture pour la production d’énergie renouve</w:t>
            </w:r>
            <w:r>
              <w:rPr>
                <w:szCs w:val="24"/>
              </w:rPr>
              <w:t>lable ; les circuits courts ; l’autonomie alimentaire des exploitations ; l’utilisation d’espèce végétale moins consommatrice d’eau et la sécurisation des ressources en eau.  </w:t>
            </w:r>
          </w:p>
          <w:p w:rsidR="0035701C" w:rsidRDefault="00FB561B">
            <w:pPr>
              <w:spacing w:before="240" w:after="240"/>
              <w:jc w:val="left"/>
              <w:rPr>
                <w:szCs w:val="24"/>
              </w:rPr>
            </w:pPr>
            <w:r>
              <w:rPr>
                <w:szCs w:val="24"/>
              </w:rPr>
              <w:t>Le PDRC n’est pas spécifiquement orienté vers l’amélioration énergétique des exp</w:t>
            </w:r>
            <w:r>
              <w:rPr>
                <w:szCs w:val="24"/>
              </w:rPr>
              <w:t>loitations, mais les investissements physiques peuvent y contribuer. De plus, la performance énergétique est prévue comme critère de sélection concernant les mesures 4.2, 4.3 et 7.5.</w:t>
            </w:r>
          </w:p>
          <w:p w:rsidR="0035701C" w:rsidRDefault="00FB561B">
            <w:pPr>
              <w:spacing w:before="240" w:after="240"/>
              <w:jc w:val="left"/>
              <w:rPr>
                <w:szCs w:val="24"/>
              </w:rPr>
            </w:pPr>
            <w:r>
              <w:rPr>
                <w:szCs w:val="24"/>
              </w:rPr>
              <w:t>Le développement des pratiques de réduction d’intrant est largement prévu</w:t>
            </w:r>
            <w:r>
              <w:rPr>
                <w:szCs w:val="24"/>
              </w:rPr>
              <w:t xml:space="preserve"> pour les couverts concernés (cultures) dans le PDRC. En effet, la conversion et le maintien en agriculture Biologique sont financés. Certaines MAEC sont également centrées sur ces problématiques.</w:t>
            </w:r>
          </w:p>
          <w:p w:rsidR="0035701C" w:rsidRDefault="00FB561B">
            <w:pPr>
              <w:spacing w:before="240" w:after="240"/>
              <w:jc w:val="left"/>
              <w:rPr>
                <w:szCs w:val="24"/>
              </w:rPr>
            </w:pPr>
            <w:r>
              <w:rPr>
                <w:szCs w:val="24"/>
              </w:rPr>
              <w:t>La production d’énergie renouvelable n’a pas été incluse da</w:t>
            </w:r>
            <w:r>
              <w:rPr>
                <w:szCs w:val="24"/>
              </w:rPr>
              <w:t>ns le périmètre du PDRC, sauf concernant les dispositifs de production d’énergie en site isolés destinés à l’autonomie énergétique de l’exploitation.</w:t>
            </w:r>
          </w:p>
          <w:p w:rsidR="0035701C" w:rsidRDefault="00FB561B">
            <w:pPr>
              <w:spacing w:before="240" w:after="240"/>
              <w:jc w:val="left"/>
              <w:rPr>
                <w:szCs w:val="24"/>
              </w:rPr>
            </w:pPr>
            <w:r>
              <w:rPr>
                <w:szCs w:val="24"/>
              </w:rPr>
              <w:t>Les circuits courts peuvent être favorisés de différentes manière : au travers de la mesure 6.4.1 ou de la</w:t>
            </w:r>
            <w:r>
              <w:rPr>
                <w:szCs w:val="24"/>
              </w:rPr>
              <w:t xml:space="preserve"> mesure 16.2.</w:t>
            </w:r>
          </w:p>
          <w:p w:rsidR="0035701C" w:rsidRDefault="00FB561B">
            <w:pPr>
              <w:spacing w:before="240" w:after="240"/>
              <w:jc w:val="left"/>
              <w:rPr>
                <w:szCs w:val="24"/>
              </w:rPr>
            </w:pPr>
            <w:r>
              <w:rPr>
                <w:szCs w:val="24"/>
              </w:rPr>
              <w:t>L’autonomie alimentaire des exploitations est un élément pris en compte dans la mesure 4.1.1 du programme.</w:t>
            </w:r>
          </w:p>
          <w:p w:rsidR="0035701C" w:rsidRDefault="00FB561B">
            <w:pPr>
              <w:spacing w:before="240" w:after="240"/>
              <w:jc w:val="left"/>
              <w:rPr>
                <w:szCs w:val="24"/>
              </w:rPr>
            </w:pPr>
            <w:r>
              <w:rPr>
                <w:szCs w:val="24"/>
              </w:rPr>
              <w:t>La sécurisation des ressources en eau, par la création de nouveau stockage ou la meilleure gestion de stockages existant fait partie de</w:t>
            </w:r>
            <w:r>
              <w:rPr>
                <w:szCs w:val="24"/>
              </w:rPr>
              <w:t xml:space="preserve"> la stratégie globale de gestion de l’eau du PDRC, quoique les ressources financières dévolues à cette mesure soient réduites, d’ailleurs en raison des difficultés à répondre aux exigences environnementales requises et de leur faible rentabilité économique</w:t>
            </w:r>
            <w:r>
              <w:rPr>
                <w:szCs w:val="24"/>
              </w:rPr>
              <w:t>.</w:t>
            </w:r>
          </w:p>
          <w:p w:rsidR="0035701C" w:rsidRDefault="00FB561B">
            <w:pPr>
              <w:spacing w:before="240" w:after="240"/>
              <w:jc w:val="left"/>
              <w:rPr>
                <w:szCs w:val="24"/>
              </w:rPr>
            </w:pPr>
            <w:r>
              <w:rPr>
                <w:szCs w:val="24"/>
              </w:rPr>
              <w:t> </w:t>
            </w:r>
          </w:p>
          <w:p w:rsidR="0035701C" w:rsidRDefault="00FB561B" w:rsidP="00FB561B">
            <w:pPr>
              <w:numPr>
                <w:ilvl w:val="0"/>
                <w:numId w:val="992"/>
              </w:numPr>
              <w:spacing w:before="240" w:after="240"/>
              <w:ind w:hanging="210"/>
              <w:jc w:val="left"/>
              <w:rPr>
                <w:szCs w:val="24"/>
              </w:rPr>
            </w:pPr>
            <w:r>
              <w:rPr>
                <w:szCs w:val="24"/>
              </w:rPr>
              <w:t>AGRI – 2 Anticiper les besoins d’adaptation des filières agricoles sous l’effet des changements climatiques.</w:t>
            </w:r>
          </w:p>
          <w:p w:rsidR="0035701C" w:rsidRDefault="00FB561B">
            <w:pPr>
              <w:spacing w:before="240" w:after="240"/>
              <w:jc w:val="left"/>
              <w:rPr>
                <w:szCs w:val="24"/>
              </w:rPr>
            </w:pPr>
            <w:r>
              <w:rPr>
                <w:szCs w:val="24"/>
              </w:rPr>
              <w:t xml:space="preserve">Ces domaines d’action s’orientent vers le choix des cultures, la valorisation des ressources génétiques locales ; la sécurisation et </w:t>
            </w:r>
            <w:r>
              <w:rPr>
                <w:szCs w:val="24"/>
              </w:rPr>
              <w:t>l’optimisation de l’irrigation ; la sensibilisation des agriculteurs ; la surveillance sanitaire ; le maintien des terres agricoles  et la protection incendie.</w:t>
            </w:r>
          </w:p>
          <w:p w:rsidR="0035701C" w:rsidRDefault="00FB561B">
            <w:pPr>
              <w:spacing w:before="240" w:after="240"/>
              <w:jc w:val="left"/>
              <w:rPr>
                <w:szCs w:val="24"/>
              </w:rPr>
            </w:pPr>
            <w:r>
              <w:rPr>
                <w:szCs w:val="24"/>
              </w:rPr>
              <w:t>Le choix des cultures est indirectement abordé au cours de l’instruction des mesures par les ser</w:t>
            </w:r>
            <w:r>
              <w:rPr>
                <w:szCs w:val="24"/>
              </w:rPr>
              <w:t>vices instructeurs. Ces agents accompagnent et conseillent les agriculteurs  lors de la réalisation de l’évaluation ex-ante relative à l’irrigation ou au cours des projets de mise en valeur, ou lors de la réalisation de diagnostic MAEC.</w:t>
            </w:r>
          </w:p>
          <w:p w:rsidR="0035701C" w:rsidRDefault="00FB561B">
            <w:pPr>
              <w:spacing w:before="240" w:after="240"/>
              <w:jc w:val="left"/>
              <w:rPr>
                <w:szCs w:val="24"/>
              </w:rPr>
            </w:pPr>
            <w:r>
              <w:rPr>
                <w:szCs w:val="24"/>
              </w:rPr>
              <w:t>La valorisation des</w:t>
            </w:r>
            <w:r>
              <w:rPr>
                <w:szCs w:val="24"/>
              </w:rPr>
              <w:t xml:space="preserve"> ressources génétiques est soutenue de différentes façons. Directement par la MAEC de protection des races menacées et par le soutien des appellations d’origines protégées qui s’appuient sur des races ou variétés locales.</w:t>
            </w:r>
          </w:p>
          <w:p w:rsidR="0035701C" w:rsidRDefault="00FB561B">
            <w:pPr>
              <w:spacing w:before="240" w:after="240"/>
              <w:jc w:val="left"/>
              <w:rPr>
                <w:szCs w:val="24"/>
              </w:rPr>
            </w:pPr>
            <w:r>
              <w:rPr>
                <w:szCs w:val="24"/>
              </w:rPr>
              <w:t>Concernant la surveillance sanitai</w:t>
            </w:r>
            <w:r>
              <w:rPr>
                <w:szCs w:val="24"/>
              </w:rPr>
              <w:t>re, il ne s’agit pas d’une compétence de la région, mais de l’état. Celle-ci sera donc réalisée sur des fonds nationaux.</w:t>
            </w:r>
          </w:p>
          <w:p w:rsidR="0035701C" w:rsidRDefault="00FB561B">
            <w:pPr>
              <w:spacing w:before="240" w:after="240"/>
              <w:jc w:val="left"/>
              <w:rPr>
                <w:szCs w:val="24"/>
              </w:rPr>
            </w:pPr>
            <w:r>
              <w:rPr>
                <w:szCs w:val="24"/>
              </w:rPr>
              <w:t>Le maintien des terres agricoles fait partie de la stratégie globale de soutien à l’agriculture du PDRC. Les démarches foncières seront</w:t>
            </w:r>
            <w:r>
              <w:rPr>
                <w:szCs w:val="24"/>
              </w:rPr>
              <w:t xml:space="preserve"> soutenues directement par la mesure 711.</w:t>
            </w:r>
          </w:p>
          <w:p w:rsidR="0035701C" w:rsidRDefault="00FB561B">
            <w:pPr>
              <w:spacing w:before="240" w:after="240"/>
              <w:jc w:val="left"/>
              <w:rPr>
                <w:szCs w:val="24"/>
              </w:rPr>
            </w:pPr>
            <w:r>
              <w:rPr>
                <w:szCs w:val="24"/>
              </w:rPr>
              <w:t>La protection incendie, notamment par des pratiques pastorales, fait l’objet d’une mesure spécifique (mesure 8.3).</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Une majorité des orientations du SRCAE est donc couverte par le PDRC.</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u w:val="single"/>
              </w:rPr>
              <w:t>Cohérence entre le PDRC e</w:t>
            </w:r>
            <w:r>
              <w:rPr>
                <w:b/>
                <w:bCs/>
                <w:szCs w:val="24"/>
                <w:u w:val="single"/>
              </w:rPr>
              <w:t>t le cadre d’action prioritaire du réseau Natura 2000 :</w:t>
            </w:r>
          </w:p>
          <w:p w:rsidR="0035701C" w:rsidRDefault="00FB561B">
            <w:pPr>
              <w:spacing w:before="240" w:after="240"/>
              <w:jc w:val="left"/>
              <w:rPr>
                <w:szCs w:val="24"/>
              </w:rPr>
            </w:pPr>
            <w:r>
              <w:rPr>
                <w:szCs w:val="24"/>
              </w:rPr>
              <w:t>Le cadre d’action prioritaire identifie les priorités suivantes pour la gestion du réseau Natura 2000 sur la période 2014-2020 :</w:t>
            </w:r>
          </w:p>
          <w:p w:rsidR="0035701C" w:rsidRDefault="00FB561B">
            <w:pPr>
              <w:spacing w:before="240" w:after="240"/>
              <w:jc w:val="left"/>
              <w:rPr>
                <w:szCs w:val="24"/>
              </w:rPr>
            </w:pPr>
            <w:r>
              <w:rPr>
                <w:szCs w:val="24"/>
              </w:rPr>
              <w:t>- finaliser le réseau Natura 2000, notamment en zone marine,</w:t>
            </w:r>
          </w:p>
          <w:p w:rsidR="0035701C" w:rsidRDefault="00FB561B">
            <w:pPr>
              <w:spacing w:before="240" w:after="240"/>
              <w:jc w:val="left"/>
              <w:rPr>
                <w:szCs w:val="24"/>
              </w:rPr>
            </w:pPr>
            <w:r>
              <w:rPr>
                <w:szCs w:val="24"/>
              </w:rPr>
              <w:t xml:space="preserve">- éviter, </w:t>
            </w:r>
            <w:r>
              <w:rPr>
                <w:szCs w:val="24"/>
              </w:rPr>
              <w:t>sinon réduire la dégradation des habitats, notamment agricoles,</w:t>
            </w:r>
          </w:p>
          <w:p w:rsidR="0035701C" w:rsidRDefault="00FB561B">
            <w:pPr>
              <w:spacing w:before="240" w:after="240"/>
              <w:jc w:val="left"/>
              <w:rPr>
                <w:szCs w:val="24"/>
              </w:rPr>
            </w:pPr>
            <w:r>
              <w:rPr>
                <w:szCs w:val="24"/>
              </w:rPr>
              <w:t>- restaurer les habitats et espèces en état de conservation défavorables,</w:t>
            </w:r>
          </w:p>
          <w:p w:rsidR="0035701C" w:rsidRDefault="00FB561B">
            <w:pPr>
              <w:spacing w:before="240" w:after="240"/>
              <w:jc w:val="left"/>
              <w:rPr>
                <w:szCs w:val="24"/>
              </w:rPr>
            </w:pPr>
            <w:r>
              <w:rPr>
                <w:szCs w:val="24"/>
              </w:rPr>
              <w:t>- améliorer l’état des connaissances des habitats et espèces, notamment en zone marine.</w:t>
            </w:r>
          </w:p>
          <w:p w:rsidR="0035701C" w:rsidRDefault="00FB561B">
            <w:pPr>
              <w:spacing w:before="240" w:after="240"/>
              <w:jc w:val="left"/>
              <w:rPr>
                <w:szCs w:val="24"/>
              </w:rPr>
            </w:pPr>
            <w:r>
              <w:rPr>
                <w:szCs w:val="24"/>
              </w:rPr>
              <w:t>Le PDRC a vocation à contribue</w:t>
            </w:r>
            <w:r>
              <w:rPr>
                <w:szCs w:val="24"/>
              </w:rPr>
              <w:t>r à ces objectifs (hors zone marine).</w:t>
            </w:r>
          </w:p>
          <w:p w:rsidR="0035701C" w:rsidRDefault="00FB561B">
            <w:pPr>
              <w:spacing w:before="240" w:after="240"/>
              <w:jc w:val="left"/>
              <w:rPr>
                <w:szCs w:val="24"/>
              </w:rPr>
            </w:pPr>
            <w:r>
              <w:rPr>
                <w:szCs w:val="24"/>
              </w:rPr>
              <w:t>La finalisation du réseau Natura 2000 sera financée par le PDRC (finalisation des derniers DOCOB M712 et Animation du réseau Natura 2000 M761).</w:t>
            </w:r>
          </w:p>
          <w:p w:rsidR="0035701C" w:rsidRDefault="00FB561B">
            <w:pPr>
              <w:spacing w:before="240" w:after="240"/>
              <w:jc w:val="left"/>
              <w:rPr>
                <w:szCs w:val="24"/>
              </w:rPr>
            </w:pPr>
            <w:r>
              <w:rPr>
                <w:szCs w:val="24"/>
              </w:rPr>
              <w:t>La non-dégradation des habitats agricoles est un objectif clair du PDRC au</w:t>
            </w:r>
            <w:r>
              <w:rPr>
                <w:szCs w:val="24"/>
              </w:rPr>
              <w:t xml:space="preserve"> travers de plusieurs mesures. Il s’agit notamment des MAEC et de l’ICHN.</w:t>
            </w:r>
          </w:p>
          <w:p w:rsidR="0035701C" w:rsidRDefault="00FB561B">
            <w:pPr>
              <w:spacing w:before="240" w:after="240"/>
              <w:jc w:val="left"/>
              <w:rPr>
                <w:szCs w:val="24"/>
              </w:rPr>
            </w:pPr>
            <w:r>
              <w:rPr>
                <w:szCs w:val="24"/>
              </w:rPr>
              <w:t>Concernant l’amélioration de la connaissance des habitats et des espèces, le PDRC n’a pas vocation directe à contribuer à cet objectif. Des fonds de l’Etat et de la Région sont mobil</w:t>
            </w:r>
            <w:r>
              <w:rPr>
                <w:szCs w:val="24"/>
              </w:rPr>
              <w:t>isés par ailleurs sur le territoire.</w:t>
            </w:r>
          </w:p>
          <w:p w:rsidR="0035701C" w:rsidRDefault="0035701C">
            <w:pPr>
              <w:pStyle w:val="Corpsdetexte"/>
            </w:pPr>
          </w:p>
        </w:tc>
      </w:tr>
    </w:tbl>
    <w:p w:rsidR="0035701C" w:rsidRDefault="0035701C">
      <w:pPr>
        <w:sectPr w:rsidR="0035701C">
          <w:pgSz w:w="12240" w:h="15840"/>
          <w:pgMar w:top="900" w:right="900" w:bottom="900" w:left="900" w:header="720" w:footer="720" w:gutter="0"/>
          <w:cols w:space="720"/>
        </w:sectPr>
      </w:pPr>
    </w:p>
    <w:p w:rsidR="0035701C" w:rsidRDefault="00FB561B">
      <w:pPr>
        <w:pStyle w:val="Titre1"/>
      </w:pPr>
      <w:bookmarkStart w:id="180" w:name="_Toc256000179"/>
      <w:r>
        <w:t>Modalités de mise en œuvre du programme</w:t>
      </w:r>
      <w:bookmarkEnd w:id="180"/>
    </w:p>
    <w:p w:rsidR="0035701C" w:rsidRDefault="00FB561B">
      <w:pPr>
        <w:pStyle w:val="Titre2"/>
      </w:pPr>
      <w:bookmarkStart w:id="181" w:name="_Toc256000180"/>
      <w:r>
        <w:t>Désignation par l’État membre de toutes les autorités visées à l’article 65, paragraphe 2, du règlement (UE) n° 1305/2013 et description sommaire de la structure de ge</w:t>
      </w:r>
      <w:r>
        <w:t>stion et de contrôle du programme requise par l’article 55, paragraphe 3, point i), du règlement (UE) n° 1303/2013 et les dispositions de l'article 74, paragraphe 3, du règlement (UE) n° 1303/2013</w:t>
      </w:r>
      <w:bookmarkEnd w:id="181"/>
    </w:p>
    <w:p w:rsidR="0035701C" w:rsidRDefault="00FB561B">
      <w:pPr>
        <w:pStyle w:val="Titre3"/>
        <w:jc w:val="left"/>
      </w:pPr>
      <w:bookmarkStart w:id="182" w:name="_Toc256000181"/>
      <w:r>
        <w:t>Autorités</w:t>
      </w:r>
      <w:bookmarkEnd w:id="1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2131"/>
        <w:gridCol w:w="2131"/>
        <w:gridCol w:w="2131"/>
        <w:gridCol w:w="2132"/>
      </w:tblGrid>
      <w:tr w:rsidR="0035701C">
        <w:tc>
          <w:tcPr>
            <w:tcW w:w="12000" w:type="dxa"/>
            <w:shd w:val="clear" w:color="auto" w:fill="C0C0C0"/>
            <w:tcMar>
              <w:top w:w="60" w:type="dxa"/>
            </w:tcMar>
          </w:tcPr>
          <w:p w:rsidR="0035701C" w:rsidRDefault="00FB561B">
            <w:pPr>
              <w:jc w:val="center"/>
              <w:rPr>
                <w:b/>
                <w:sz w:val="20"/>
              </w:rPr>
            </w:pPr>
            <w:r>
              <w:rPr>
                <w:b/>
                <w:sz w:val="20"/>
              </w:rPr>
              <w:t>Autorité responsable</w:t>
            </w:r>
          </w:p>
        </w:tc>
        <w:tc>
          <w:tcPr>
            <w:tcW w:w="12000" w:type="dxa"/>
            <w:shd w:val="clear" w:color="auto" w:fill="C0C0C0"/>
            <w:tcMar>
              <w:top w:w="60" w:type="dxa"/>
            </w:tcMar>
          </w:tcPr>
          <w:p w:rsidR="0035701C" w:rsidRDefault="00FB561B">
            <w:pPr>
              <w:jc w:val="center"/>
              <w:rPr>
                <w:b/>
                <w:sz w:val="20"/>
              </w:rPr>
            </w:pPr>
            <w:r>
              <w:rPr>
                <w:b/>
                <w:sz w:val="20"/>
              </w:rPr>
              <w:t>Nom de l’autorité</w:t>
            </w:r>
          </w:p>
        </w:tc>
        <w:tc>
          <w:tcPr>
            <w:tcW w:w="12000" w:type="dxa"/>
            <w:shd w:val="clear" w:color="auto" w:fill="C0C0C0"/>
            <w:tcMar>
              <w:top w:w="60" w:type="dxa"/>
            </w:tcMar>
          </w:tcPr>
          <w:p w:rsidR="0035701C" w:rsidRDefault="00FB561B">
            <w:pPr>
              <w:jc w:val="center"/>
              <w:rPr>
                <w:b/>
                <w:sz w:val="20"/>
              </w:rPr>
            </w:pPr>
            <w:r>
              <w:rPr>
                <w:b/>
                <w:sz w:val="20"/>
              </w:rPr>
              <w:t>Chef de l’</w:t>
            </w:r>
            <w:r>
              <w:rPr>
                <w:b/>
                <w:sz w:val="20"/>
              </w:rPr>
              <w:t>autorité</w:t>
            </w:r>
          </w:p>
        </w:tc>
        <w:tc>
          <w:tcPr>
            <w:tcW w:w="12000" w:type="dxa"/>
            <w:shd w:val="clear" w:color="auto" w:fill="C0C0C0"/>
            <w:tcMar>
              <w:top w:w="60" w:type="dxa"/>
            </w:tcMar>
          </w:tcPr>
          <w:p w:rsidR="0035701C" w:rsidRDefault="00FB561B">
            <w:pPr>
              <w:jc w:val="center"/>
              <w:rPr>
                <w:b/>
                <w:sz w:val="20"/>
              </w:rPr>
            </w:pPr>
            <w:r>
              <w:rPr>
                <w:b/>
                <w:sz w:val="20"/>
              </w:rPr>
              <w:t>Adresse</w:t>
            </w:r>
          </w:p>
        </w:tc>
        <w:tc>
          <w:tcPr>
            <w:tcW w:w="12000" w:type="dxa"/>
            <w:shd w:val="clear" w:color="auto" w:fill="C0C0C0"/>
            <w:tcMar>
              <w:top w:w="60" w:type="dxa"/>
            </w:tcMar>
          </w:tcPr>
          <w:p w:rsidR="0035701C" w:rsidRDefault="00FB561B">
            <w:pPr>
              <w:jc w:val="center"/>
              <w:rPr>
                <w:sz w:val="20"/>
              </w:rPr>
            </w:pPr>
            <w:r>
              <w:rPr>
                <w:b/>
                <w:sz w:val="20"/>
              </w:rPr>
              <w:t>Adresse de courriel</w:t>
            </w:r>
          </w:p>
        </w:tc>
      </w:tr>
      <w:tr w:rsidR="0035701C">
        <w:tc>
          <w:tcPr>
            <w:tcW w:w="12000" w:type="dxa"/>
            <w:shd w:val="clear" w:color="auto" w:fill="FFFFFF"/>
            <w:tcMar>
              <w:top w:w="60" w:type="dxa"/>
            </w:tcMar>
          </w:tcPr>
          <w:p w:rsidR="0035701C" w:rsidRDefault="00FB561B">
            <w:pPr>
              <w:jc w:val="left"/>
              <w:rPr>
                <w:sz w:val="16"/>
              </w:rPr>
            </w:pPr>
            <w:r>
              <w:rPr>
                <w:sz w:val="16"/>
              </w:rPr>
              <w:t>Managing authority</w:t>
            </w:r>
          </w:p>
        </w:tc>
        <w:tc>
          <w:tcPr>
            <w:tcW w:w="12000" w:type="dxa"/>
            <w:shd w:val="clear" w:color="auto" w:fill="FFFFFF"/>
            <w:tcMar>
              <w:top w:w="60" w:type="dxa"/>
            </w:tcMar>
          </w:tcPr>
          <w:p w:rsidR="0035701C" w:rsidRDefault="00FB561B">
            <w:pPr>
              <w:jc w:val="left"/>
              <w:rPr>
                <w:sz w:val="16"/>
              </w:rPr>
            </w:pPr>
            <w:r>
              <w:rPr>
                <w:sz w:val="16"/>
              </w:rPr>
              <w:t>Collectivité Territoriale de Corse</w:t>
            </w:r>
          </w:p>
        </w:tc>
        <w:tc>
          <w:tcPr>
            <w:tcW w:w="12000" w:type="dxa"/>
            <w:shd w:val="clear" w:color="auto" w:fill="FFFFFF"/>
            <w:tcMar>
              <w:top w:w="60" w:type="dxa"/>
            </w:tcMar>
          </w:tcPr>
          <w:p w:rsidR="0035701C" w:rsidRDefault="00FB561B">
            <w:pPr>
              <w:jc w:val="left"/>
              <w:rPr>
                <w:sz w:val="16"/>
              </w:rPr>
            </w:pPr>
            <w:r>
              <w:rPr>
                <w:sz w:val="16"/>
              </w:rPr>
              <w:t>Monsieur le Président du Conseil Exécutif de Corse</w:t>
            </w:r>
          </w:p>
        </w:tc>
        <w:tc>
          <w:tcPr>
            <w:tcW w:w="12000" w:type="dxa"/>
            <w:shd w:val="clear" w:color="auto" w:fill="FFFFFF"/>
            <w:tcMar>
              <w:top w:w="60" w:type="dxa"/>
            </w:tcMar>
          </w:tcPr>
          <w:p w:rsidR="0035701C" w:rsidRDefault="00FB561B">
            <w:pPr>
              <w:jc w:val="left"/>
              <w:rPr>
                <w:sz w:val="16"/>
              </w:rPr>
            </w:pPr>
            <w:r>
              <w:rPr>
                <w:sz w:val="16"/>
              </w:rPr>
              <w:t>22 cours Grandval 20090 AJACCIO</w:t>
            </w:r>
          </w:p>
        </w:tc>
        <w:tc>
          <w:tcPr>
            <w:tcW w:w="12000" w:type="dxa"/>
            <w:shd w:val="clear" w:color="auto" w:fill="FFFFFF"/>
            <w:tcMar>
              <w:top w:w="60" w:type="dxa"/>
            </w:tcMar>
          </w:tcPr>
          <w:p w:rsidR="0035701C" w:rsidRDefault="00FB561B">
            <w:pPr>
              <w:jc w:val="left"/>
              <w:rPr>
                <w:sz w:val="16"/>
              </w:rPr>
            </w:pPr>
            <w:r>
              <w:rPr>
                <w:sz w:val="16"/>
              </w:rPr>
              <w:t>dgs@ct-corse.fr</w:t>
            </w:r>
          </w:p>
        </w:tc>
      </w:tr>
      <w:tr w:rsidR="0035701C">
        <w:tc>
          <w:tcPr>
            <w:tcW w:w="12000" w:type="dxa"/>
            <w:shd w:val="clear" w:color="auto" w:fill="FFFFFF"/>
            <w:tcMar>
              <w:top w:w="60" w:type="dxa"/>
            </w:tcMar>
          </w:tcPr>
          <w:p w:rsidR="0035701C" w:rsidRDefault="00FB561B">
            <w:pPr>
              <w:jc w:val="left"/>
              <w:rPr>
                <w:sz w:val="16"/>
              </w:rPr>
            </w:pPr>
            <w:r>
              <w:rPr>
                <w:sz w:val="16"/>
              </w:rPr>
              <w:t>Certification body</w:t>
            </w:r>
          </w:p>
        </w:tc>
        <w:tc>
          <w:tcPr>
            <w:tcW w:w="12000" w:type="dxa"/>
            <w:shd w:val="clear" w:color="auto" w:fill="FFFFFF"/>
            <w:tcMar>
              <w:top w:w="60" w:type="dxa"/>
            </w:tcMar>
          </w:tcPr>
          <w:p w:rsidR="0035701C" w:rsidRDefault="00FB561B">
            <w:pPr>
              <w:jc w:val="left"/>
              <w:rPr>
                <w:sz w:val="16"/>
              </w:rPr>
            </w:pPr>
            <w:r>
              <w:rPr>
                <w:sz w:val="16"/>
              </w:rPr>
              <w:t xml:space="preserve">Commission de certification des comptes de </w:t>
            </w:r>
            <w:r>
              <w:rPr>
                <w:sz w:val="16"/>
              </w:rPr>
              <w:t>l'organisme payeur</w:t>
            </w:r>
          </w:p>
        </w:tc>
        <w:tc>
          <w:tcPr>
            <w:tcW w:w="12000" w:type="dxa"/>
            <w:shd w:val="clear" w:color="auto" w:fill="FFFFFF"/>
            <w:tcMar>
              <w:top w:w="60" w:type="dxa"/>
            </w:tcMar>
          </w:tcPr>
          <w:p w:rsidR="0035701C" w:rsidRDefault="00FB561B">
            <w:pPr>
              <w:jc w:val="left"/>
              <w:rPr>
                <w:sz w:val="16"/>
              </w:rPr>
            </w:pPr>
            <w:r>
              <w:rPr>
                <w:sz w:val="16"/>
              </w:rPr>
              <w:t>Madame la Présidente de la CCCOP</w:t>
            </w:r>
          </w:p>
        </w:tc>
        <w:tc>
          <w:tcPr>
            <w:tcW w:w="12000" w:type="dxa"/>
            <w:shd w:val="clear" w:color="auto" w:fill="FFFFFF"/>
            <w:tcMar>
              <w:top w:w="60" w:type="dxa"/>
            </w:tcMar>
          </w:tcPr>
          <w:p w:rsidR="0035701C" w:rsidRDefault="00FB561B">
            <w:pPr>
              <w:jc w:val="left"/>
              <w:rPr>
                <w:sz w:val="16"/>
              </w:rPr>
            </w:pPr>
            <w:r>
              <w:rPr>
                <w:sz w:val="16"/>
              </w:rPr>
              <w:t>10 rue Auguste Blanqui 93 186 Montreuil Sous Bois</w:t>
            </w:r>
          </w:p>
        </w:tc>
        <w:tc>
          <w:tcPr>
            <w:tcW w:w="12000" w:type="dxa"/>
            <w:shd w:val="clear" w:color="auto" w:fill="FFFFFF"/>
            <w:tcMar>
              <w:top w:w="60" w:type="dxa"/>
            </w:tcMar>
          </w:tcPr>
          <w:p w:rsidR="0035701C" w:rsidRDefault="00FB561B">
            <w:pPr>
              <w:jc w:val="left"/>
              <w:rPr>
                <w:sz w:val="16"/>
              </w:rPr>
            </w:pPr>
            <w:r>
              <w:rPr>
                <w:sz w:val="16"/>
              </w:rPr>
              <w:t>aline.peyronnet@finances.gouv.fr</w:t>
            </w:r>
          </w:p>
        </w:tc>
      </w:tr>
      <w:tr w:rsidR="0035701C">
        <w:tc>
          <w:tcPr>
            <w:tcW w:w="12000" w:type="dxa"/>
            <w:shd w:val="clear" w:color="auto" w:fill="FFFFFF"/>
            <w:tcMar>
              <w:top w:w="60" w:type="dxa"/>
            </w:tcMar>
          </w:tcPr>
          <w:p w:rsidR="0035701C" w:rsidRDefault="00FB561B">
            <w:pPr>
              <w:jc w:val="left"/>
              <w:rPr>
                <w:sz w:val="16"/>
              </w:rPr>
            </w:pPr>
            <w:r>
              <w:rPr>
                <w:sz w:val="16"/>
              </w:rPr>
              <w:t>Accredited paying agency</w:t>
            </w:r>
          </w:p>
        </w:tc>
        <w:tc>
          <w:tcPr>
            <w:tcW w:w="12000" w:type="dxa"/>
            <w:shd w:val="clear" w:color="auto" w:fill="FFFFFF"/>
            <w:tcMar>
              <w:top w:w="60" w:type="dxa"/>
            </w:tcMar>
          </w:tcPr>
          <w:p w:rsidR="0035701C" w:rsidRDefault="00FB561B">
            <w:pPr>
              <w:jc w:val="left"/>
              <w:rPr>
                <w:sz w:val="16"/>
              </w:rPr>
            </w:pPr>
            <w:r>
              <w:rPr>
                <w:sz w:val="16"/>
              </w:rPr>
              <w:t>Office de Développement Agricole et Rural de Corse</w:t>
            </w:r>
          </w:p>
        </w:tc>
        <w:tc>
          <w:tcPr>
            <w:tcW w:w="12000" w:type="dxa"/>
            <w:shd w:val="clear" w:color="auto" w:fill="FFFFFF"/>
            <w:tcMar>
              <w:top w:w="60" w:type="dxa"/>
            </w:tcMar>
          </w:tcPr>
          <w:p w:rsidR="0035701C" w:rsidRDefault="00FB561B">
            <w:pPr>
              <w:jc w:val="left"/>
              <w:rPr>
                <w:sz w:val="16"/>
              </w:rPr>
            </w:pPr>
            <w:r>
              <w:rPr>
                <w:sz w:val="16"/>
              </w:rPr>
              <w:t>Monsieur le Directeur de l’ODARC</w:t>
            </w:r>
          </w:p>
        </w:tc>
        <w:tc>
          <w:tcPr>
            <w:tcW w:w="12000" w:type="dxa"/>
            <w:shd w:val="clear" w:color="auto" w:fill="FFFFFF"/>
            <w:tcMar>
              <w:top w:w="60" w:type="dxa"/>
            </w:tcMar>
          </w:tcPr>
          <w:p w:rsidR="0035701C" w:rsidRDefault="00FB561B">
            <w:pPr>
              <w:jc w:val="left"/>
              <w:rPr>
                <w:sz w:val="16"/>
              </w:rPr>
            </w:pPr>
            <w:r>
              <w:rPr>
                <w:sz w:val="16"/>
              </w:rPr>
              <w:t>Avenue Paul</w:t>
            </w:r>
            <w:r>
              <w:rPr>
                <w:sz w:val="16"/>
              </w:rPr>
              <w:t xml:space="preserve"> Giacobbi BP 618 20601 BASTIA CEDEX</w:t>
            </w:r>
          </w:p>
        </w:tc>
        <w:tc>
          <w:tcPr>
            <w:tcW w:w="12000" w:type="dxa"/>
            <w:shd w:val="clear" w:color="auto" w:fill="FFFFFF"/>
            <w:tcMar>
              <w:top w:w="60" w:type="dxa"/>
            </w:tcMar>
          </w:tcPr>
          <w:p w:rsidR="0035701C" w:rsidRDefault="00FB561B">
            <w:pPr>
              <w:jc w:val="left"/>
              <w:rPr>
                <w:sz w:val="16"/>
              </w:rPr>
            </w:pPr>
            <w:r>
              <w:rPr>
                <w:sz w:val="16"/>
              </w:rPr>
              <w:t>christian.benedetti@odarc.fr</w:t>
            </w:r>
          </w:p>
        </w:tc>
      </w:tr>
      <w:tr w:rsidR="0035701C">
        <w:tc>
          <w:tcPr>
            <w:tcW w:w="12000" w:type="dxa"/>
            <w:shd w:val="clear" w:color="auto" w:fill="FFFFFF"/>
            <w:tcMar>
              <w:top w:w="60" w:type="dxa"/>
            </w:tcMar>
          </w:tcPr>
          <w:p w:rsidR="0035701C" w:rsidRDefault="00FB561B">
            <w:pPr>
              <w:jc w:val="left"/>
              <w:rPr>
                <w:sz w:val="16"/>
              </w:rPr>
            </w:pPr>
            <w:r>
              <w:rPr>
                <w:sz w:val="16"/>
              </w:rPr>
              <w:t>Coordination body</w:t>
            </w:r>
          </w:p>
        </w:tc>
        <w:tc>
          <w:tcPr>
            <w:tcW w:w="12000" w:type="dxa"/>
            <w:shd w:val="clear" w:color="auto" w:fill="FFFFFF"/>
            <w:tcMar>
              <w:top w:w="60" w:type="dxa"/>
            </w:tcMar>
          </w:tcPr>
          <w:p w:rsidR="0035701C" w:rsidRDefault="00FB561B">
            <w:pPr>
              <w:jc w:val="left"/>
              <w:rPr>
                <w:sz w:val="16"/>
              </w:rPr>
            </w:pPr>
            <w:r>
              <w:rPr>
                <w:sz w:val="16"/>
              </w:rPr>
              <w:t>Agence de Services et de Paiement – Mission de coordination des organismes payeurs des fonds agricoles</w:t>
            </w:r>
          </w:p>
        </w:tc>
        <w:tc>
          <w:tcPr>
            <w:tcW w:w="12000" w:type="dxa"/>
            <w:shd w:val="clear" w:color="auto" w:fill="FFFFFF"/>
            <w:tcMar>
              <w:top w:w="60" w:type="dxa"/>
            </w:tcMar>
          </w:tcPr>
          <w:p w:rsidR="0035701C" w:rsidRDefault="00FB561B">
            <w:pPr>
              <w:jc w:val="left"/>
              <w:rPr>
                <w:sz w:val="16"/>
              </w:rPr>
            </w:pPr>
            <w:r>
              <w:rPr>
                <w:sz w:val="16"/>
              </w:rPr>
              <w:t>Madame la chef de la MCFA</w:t>
            </w:r>
          </w:p>
        </w:tc>
        <w:tc>
          <w:tcPr>
            <w:tcW w:w="12000" w:type="dxa"/>
            <w:shd w:val="clear" w:color="auto" w:fill="FFFFFF"/>
            <w:tcMar>
              <w:top w:w="60" w:type="dxa"/>
            </w:tcMar>
          </w:tcPr>
          <w:p w:rsidR="0035701C" w:rsidRDefault="00FB561B">
            <w:pPr>
              <w:jc w:val="left"/>
              <w:rPr>
                <w:sz w:val="16"/>
              </w:rPr>
            </w:pPr>
            <w:r>
              <w:rPr>
                <w:sz w:val="16"/>
              </w:rPr>
              <w:t>12, rue Henri Rol Tanguy TSA 100001      93</w:t>
            </w:r>
            <w:r>
              <w:rPr>
                <w:sz w:val="16"/>
              </w:rPr>
              <w:t>555 Montreuil Sous Bois Cedex</w:t>
            </w:r>
          </w:p>
        </w:tc>
        <w:tc>
          <w:tcPr>
            <w:tcW w:w="12000" w:type="dxa"/>
            <w:shd w:val="clear" w:color="auto" w:fill="FFFFFF"/>
            <w:tcMar>
              <w:top w:w="60" w:type="dxa"/>
            </w:tcMar>
          </w:tcPr>
          <w:p w:rsidR="0035701C" w:rsidRDefault="00FB561B">
            <w:pPr>
              <w:jc w:val="left"/>
              <w:rPr>
                <w:sz w:val="16"/>
              </w:rPr>
            </w:pPr>
            <w:r>
              <w:rPr>
                <w:sz w:val="16"/>
              </w:rPr>
              <w:t>Beatrice.YOUNG@asp-public.fr</w:t>
            </w:r>
          </w:p>
        </w:tc>
      </w:tr>
    </w:tbl>
    <w:p w:rsidR="0035701C" w:rsidRDefault="00FB561B">
      <w:pPr>
        <w:pStyle w:val="Titre3"/>
        <w:jc w:val="left"/>
      </w:pPr>
      <w:bookmarkStart w:id="183" w:name="_Toc256000182"/>
      <w:r>
        <w:t>Description sommaire de la structure de gestion et de contrôle du programme et des modalités de l'examen indépendant des plaintes</w:t>
      </w:r>
      <w:bookmarkEnd w:id="183"/>
    </w:p>
    <w:p w:rsidR="0035701C" w:rsidRDefault="00FB561B">
      <w:pPr>
        <w:pStyle w:val="Titre4"/>
        <w:jc w:val="left"/>
      </w:pPr>
      <w:r>
        <w:t>Structure de gestion et de contrôle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b/>
                <w:bCs/>
                <w:szCs w:val="24"/>
              </w:rPr>
              <w:t xml:space="preserve">Désignation des autorités </w:t>
            </w:r>
            <w:r>
              <w:rPr>
                <w:b/>
                <w:bCs/>
                <w:szCs w:val="24"/>
              </w:rPr>
              <w:t>visées à l’article 65.2 du R (UE) n°1305/201</w:t>
            </w:r>
          </w:p>
          <w:p w:rsidR="0035701C" w:rsidRDefault="00FB561B" w:rsidP="00FB561B">
            <w:pPr>
              <w:numPr>
                <w:ilvl w:val="0"/>
                <w:numId w:val="993"/>
              </w:numPr>
              <w:spacing w:before="240" w:after="240"/>
              <w:ind w:hanging="210"/>
              <w:jc w:val="left"/>
              <w:rPr>
                <w:szCs w:val="24"/>
              </w:rPr>
            </w:pPr>
            <w:r>
              <w:rPr>
                <w:szCs w:val="24"/>
              </w:rPr>
              <w:t>Autorité de gestion</w:t>
            </w:r>
          </w:p>
          <w:p w:rsidR="0035701C" w:rsidRDefault="00FB561B">
            <w:pPr>
              <w:spacing w:before="240" w:after="240"/>
              <w:jc w:val="left"/>
              <w:rPr>
                <w:szCs w:val="24"/>
              </w:rPr>
            </w:pPr>
            <w:r>
              <w:rPr>
                <w:szCs w:val="24"/>
              </w:rPr>
              <w:t>En application loi de décentralisation du 22 janvier 2002, l'Etat français a confié à la Corse l'autorité de gestion du PDRC, pour 2014 – 2020, comme cela avait déjà été le cas pour la périod</w:t>
            </w:r>
            <w:r>
              <w:rPr>
                <w:szCs w:val="24"/>
              </w:rPr>
              <w:t>e 2007-2013.</w:t>
            </w:r>
          </w:p>
          <w:p w:rsidR="0035701C" w:rsidRDefault="00FB561B" w:rsidP="00FB561B">
            <w:pPr>
              <w:numPr>
                <w:ilvl w:val="0"/>
                <w:numId w:val="994"/>
              </w:numPr>
              <w:spacing w:before="240" w:after="240"/>
              <w:ind w:hanging="210"/>
              <w:jc w:val="left"/>
              <w:rPr>
                <w:szCs w:val="24"/>
              </w:rPr>
            </w:pPr>
            <w:r>
              <w:rPr>
                <w:szCs w:val="24"/>
              </w:rPr>
              <w:t>L'organisme payeur</w:t>
            </w:r>
          </w:p>
          <w:p w:rsidR="0035701C" w:rsidRDefault="00FB561B">
            <w:pPr>
              <w:spacing w:before="240" w:after="240"/>
              <w:jc w:val="left"/>
              <w:rPr>
                <w:szCs w:val="24"/>
              </w:rPr>
            </w:pPr>
            <w:r>
              <w:rPr>
                <w:szCs w:val="24"/>
              </w:rPr>
              <w:t>En application des art. 7.1 et 7.2 du R (UE) n°1306/2013 et de l'art. 65.2 du R (UE) n°1305/2013, l'Etat français a agréé par arrêté du 16 août 2007 l’OP ODARC en tant qu'organisme payeur des dépenses des programmes au titre</w:t>
            </w:r>
            <w:r>
              <w:rPr>
                <w:szCs w:val="24"/>
              </w:rPr>
              <w:t xml:space="preserve"> du Feader pour la Corse.</w:t>
            </w:r>
          </w:p>
          <w:p w:rsidR="0035701C" w:rsidRDefault="00FB561B" w:rsidP="00FB561B">
            <w:pPr>
              <w:numPr>
                <w:ilvl w:val="0"/>
                <w:numId w:val="995"/>
              </w:numPr>
              <w:spacing w:before="240" w:after="240"/>
              <w:ind w:hanging="210"/>
              <w:jc w:val="left"/>
              <w:rPr>
                <w:szCs w:val="24"/>
              </w:rPr>
            </w:pPr>
            <w:r>
              <w:rPr>
                <w:szCs w:val="24"/>
              </w:rPr>
              <w:t>L'organisme de coordination</w:t>
            </w:r>
          </w:p>
          <w:p w:rsidR="0035701C" w:rsidRDefault="00FB561B">
            <w:pPr>
              <w:spacing w:before="240" w:after="240"/>
              <w:jc w:val="left"/>
              <w:rPr>
                <w:szCs w:val="24"/>
              </w:rPr>
            </w:pPr>
            <w:r>
              <w:rPr>
                <w:szCs w:val="24"/>
              </w:rPr>
              <w:t>La fonction de coordination des organismes payeurs de la politique agricole commune telle que définie à l’art. 7.4 du R (UE) n°1306/2013 est confiée par l'Etat français à l’ASP par l'art. D. 313-14 du C</w:t>
            </w:r>
            <w:r>
              <w:rPr>
                <w:szCs w:val="24"/>
              </w:rPr>
              <w:t>ode rural et de la pêche maritime.</w:t>
            </w:r>
          </w:p>
          <w:p w:rsidR="0035701C" w:rsidRDefault="00FB561B" w:rsidP="00FB561B">
            <w:pPr>
              <w:numPr>
                <w:ilvl w:val="0"/>
                <w:numId w:val="996"/>
              </w:numPr>
              <w:spacing w:before="240" w:after="240"/>
              <w:ind w:hanging="210"/>
              <w:jc w:val="left"/>
              <w:rPr>
                <w:szCs w:val="24"/>
              </w:rPr>
            </w:pPr>
            <w:r>
              <w:rPr>
                <w:szCs w:val="24"/>
              </w:rPr>
              <w:t>L'organisme de certification</w:t>
            </w:r>
          </w:p>
          <w:p w:rsidR="0035701C" w:rsidRDefault="00FB561B">
            <w:pPr>
              <w:spacing w:before="240" w:after="240"/>
              <w:jc w:val="left"/>
              <w:rPr>
                <w:szCs w:val="24"/>
              </w:rPr>
            </w:pPr>
            <w:r>
              <w:rPr>
                <w:szCs w:val="24"/>
              </w:rPr>
              <w:t>La fonction de certification des comptes de l’organisme payeur telle que définie à l'art. 9 du R (UE) n°1306/2013 est confiée par l'Etat français à la Commission de certification des comptes d</w:t>
            </w:r>
            <w:r>
              <w:rPr>
                <w:szCs w:val="24"/>
              </w:rPr>
              <w:t>es organismes payeurs des dépenses financées par les fonds européens agricoles, créée par le décret n°2007-805 du 11 mai 2007.</w:t>
            </w:r>
          </w:p>
          <w:p w:rsidR="0035701C" w:rsidRDefault="00FB561B">
            <w:pPr>
              <w:spacing w:before="240" w:after="240"/>
              <w:jc w:val="left"/>
              <w:rPr>
                <w:szCs w:val="24"/>
              </w:rPr>
            </w:pPr>
            <w:r>
              <w:rPr>
                <w:b/>
                <w:bCs/>
                <w:szCs w:val="24"/>
              </w:rPr>
              <w:t>Convention entre l'Autorité de Gestion, l'Organisme Payeur ODARC, l’ASP et l'Etat</w:t>
            </w:r>
          </w:p>
          <w:p w:rsidR="0035701C" w:rsidRDefault="00FB561B">
            <w:pPr>
              <w:spacing w:before="240" w:after="240"/>
              <w:jc w:val="left"/>
              <w:rPr>
                <w:szCs w:val="24"/>
              </w:rPr>
            </w:pPr>
            <w:r>
              <w:rPr>
                <w:szCs w:val="24"/>
              </w:rPr>
              <w:t>En application de l'art. 58 du R (UE) n°1306/20</w:t>
            </w:r>
            <w:r>
              <w:rPr>
                <w:szCs w:val="24"/>
              </w:rPr>
              <w:t>13 et de l'art. 65 du R (UE) n°1305/2013, une convention sera signée entre le ministère de l'agriculture, de l'agroalimentaire et de la forêt (MAAF), l'Autorité de gestion et l'organisme payeur, ainsi que l’ASP,  en tant que maître d'ouvrage et maître d'œu</w:t>
            </w:r>
            <w:r>
              <w:rPr>
                <w:szCs w:val="24"/>
              </w:rPr>
              <w:t>vre des systèmes d'information telePAC, ISIS et OSIRIS sous l’autorité de l’Etat Membre.</w:t>
            </w:r>
          </w:p>
          <w:p w:rsidR="0035701C" w:rsidRDefault="00FB561B">
            <w:pPr>
              <w:spacing w:before="240" w:after="240"/>
              <w:jc w:val="left"/>
              <w:rPr>
                <w:szCs w:val="24"/>
              </w:rPr>
            </w:pPr>
            <w:r>
              <w:rPr>
                <w:szCs w:val="24"/>
              </w:rPr>
              <w:t>Cette convention aura pour objet de définir les rôles et missions de chacune des parties dans la mise en œuvre du PDR et de décrire le système de gestion et de contrôl</w:t>
            </w:r>
            <w:r>
              <w:rPr>
                <w:szCs w:val="24"/>
              </w:rPr>
              <w:t>e nécessaire à la protection efficace des intérêts financiers de l'Union Européenne.</w:t>
            </w:r>
          </w:p>
          <w:p w:rsidR="0035701C" w:rsidRDefault="00FB561B">
            <w:pPr>
              <w:spacing w:before="240" w:after="240"/>
              <w:jc w:val="left"/>
              <w:rPr>
                <w:szCs w:val="24"/>
              </w:rPr>
            </w:pPr>
            <w:r>
              <w:rPr>
                <w:szCs w:val="24"/>
              </w:rPr>
              <w:t>Elle règlera les modalités d'intervention de la CTC et de l'OP dans la gestion et le contrôle des dossiers de demande d'aide. Elle délimitera notamment le cadre d'interven</w:t>
            </w:r>
            <w:r>
              <w:rPr>
                <w:szCs w:val="24"/>
              </w:rPr>
              <w:t>tion de l'autorité de gestion et de l'organisme payeur pour l'application des dispositions de l'art. 7.1 du R (UE) n°1306/2013 et de l'art. 66.1.h du R (UE) n°1305/2013.</w:t>
            </w:r>
          </w:p>
          <w:p w:rsidR="0035701C" w:rsidRDefault="00FB561B">
            <w:pPr>
              <w:spacing w:before="240" w:after="240"/>
              <w:jc w:val="left"/>
              <w:rPr>
                <w:szCs w:val="24"/>
              </w:rPr>
            </w:pPr>
            <w:r>
              <w:rPr>
                <w:szCs w:val="24"/>
              </w:rPr>
              <w:t>Elle décrira les modalités d'organisation prévues entre les signataires en matière :</w:t>
            </w:r>
          </w:p>
          <w:p w:rsidR="0035701C" w:rsidRDefault="00FB561B" w:rsidP="00FB561B">
            <w:pPr>
              <w:numPr>
                <w:ilvl w:val="0"/>
                <w:numId w:val="997"/>
              </w:numPr>
              <w:spacing w:before="240" w:after="0"/>
              <w:ind w:hanging="210"/>
              <w:jc w:val="left"/>
              <w:rPr>
                <w:szCs w:val="24"/>
              </w:rPr>
            </w:pPr>
            <w:r>
              <w:rPr>
                <w:szCs w:val="24"/>
              </w:rPr>
              <w:t>d</w:t>
            </w:r>
            <w:r>
              <w:rPr>
                <w:szCs w:val="24"/>
              </w:rPr>
              <w:t>'élaboration et de transmission du PDR, de ses modifications et des communications à la Commission européenne,</w:t>
            </w:r>
          </w:p>
          <w:p w:rsidR="0035701C" w:rsidRDefault="00FB561B" w:rsidP="00FB561B">
            <w:pPr>
              <w:numPr>
                <w:ilvl w:val="0"/>
                <w:numId w:val="997"/>
              </w:numPr>
              <w:spacing w:before="0" w:after="0"/>
              <w:ind w:hanging="210"/>
              <w:jc w:val="left"/>
              <w:rPr>
                <w:szCs w:val="24"/>
              </w:rPr>
            </w:pPr>
            <w:r>
              <w:rPr>
                <w:szCs w:val="24"/>
              </w:rPr>
              <w:t xml:space="preserve">de coordination du déroulement des missions de certification des comptes et d'audit et des réponses apportées à l'organisme de certification et </w:t>
            </w:r>
            <w:r>
              <w:rPr>
                <w:szCs w:val="24"/>
              </w:rPr>
              <w:t>aux corps d'audit communautaires et nationaux,</w:t>
            </w:r>
          </w:p>
          <w:p w:rsidR="0035701C" w:rsidRDefault="00FB561B" w:rsidP="00FB561B">
            <w:pPr>
              <w:numPr>
                <w:ilvl w:val="0"/>
                <w:numId w:val="997"/>
              </w:numPr>
              <w:spacing w:before="0" w:after="240"/>
              <w:ind w:hanging="210"/>
              <w:jc w:val="left"/>
              <w:rPr>
                <w:szCs w:val="24"/>
              </w:rPr>
            </w:pPr>
            <w:r>
              <w:rPr>
                <w:szCs w:val="24"/>
              </w:rPr>
              <w:t>de suivi et d'évaluation.</w:t>
            </w:r>
          </w:p>
          <w:p w:rsidR="0035701C" w:rsidRDefault="00FB561B">
            <w:pPr>
              <w:spacing w:before="240" w:after="240"/>
              <w:jc w:val="left"/>
              <w:rPr>
                <w:szCs w:val="24"/>
              </w:rPr>
            </w:pPr>
            <w:r>
              <w:rPr>
                <w:b/>
                <w:bCs/>
                <w:szCs w:val="24"/>
              </w:rPr>
              <w:t>Définition des procédures et des circuits de gestion et de contrôle administratif et sur place</w:t>
            </w:r>
          </w:p>
          <w:p w:rsidR="0035701C" w:rsidRDefault="00FB561B">
            <w:pPr>
              <w:spacing w:before="240" w:after="240"/>
              <w:jc w:val="left"/>
              <w:rPr>
                <w:szCs w:val="24"/>
              </w:rPr>
            </w:pPr>
            <w:r>
              <w:rPr>
                <w:i/>
                <w:iCs/>
                <w:szCs w:val="24"/>
                <w:u w:val="single"/>
              </w:rPr>
              <w:t>Circuits de gestion</w:t>
            </w:r>
            <w:r>
              <w:rPr>
                <w:i/>
                <w:iCs/>
                <w:szCs w:val="24"/>
              </w:rPr>
              <w:t> :</w:t>
            </w:r>
          </w:p>
          <w:p w:rsidR="0035701C" w:rsidRDefault="00FB561B">
            <w:pPr>
              <w:spacing w:before="240" w:after="240"/>
              <w:jc w:val="left"/>
              <w:rPr>
                <w:szCs w:val="24"/>
              </w:rPr>
            </w:pPr>
            <w:r>
              <w:rPr>
                <w:szCs w:val="24"/>
              </w:rPr>
              <w:t xml:space="preserve">Dans un souci de simplification, de cohérence et de lisibilité de </w:t>
            </w:r>
            <w:r>
              <w:rPr>
                <w:szCs w:val="24"/>
              </w:rPr>
              <w:t>gestion, la CTC, a fait le choix de limiter le nombre de services instructeurs</w:t>
            </w:r>
          </w:p>
          <w:p w:rsidR="0035701C" w:rsidRDefault="00FB561B">
            <w:pPr>
              <w:spacing w:before="240" w:after="240"/>
              <w:jc w:val="left"/>
              <w:rPr>
                <w:szCs w:val="24"/>
              </w:rPr>
            </w:pPr>
            <w:r>
              <w:rPr>
                <w:szCs w:val="24"/>
                <w:u w:val="single"/>
              </w:rPr>
              <w:t>Aides relevant du système intégré de gestion et de contrôle (SIGC, l'art. 67 du R(UE) n°1306/2013</w:t>
            </w:r>
          </w:p>
          <w:p w:rsidR="0035701C" w:rsidRDefault="00FB561B">
            <w:pPr>
              <w:spacing w:before="240" w:after="240"/>
              <w:jc w:val="left"/>
              <w:rPr>
                <w:szCs w:val="24"/>
              </w:rPr>
            </w:pPr>
            <w:r>
              <w:rPr>
                <w:szCs w:val="24"/>
              </w:rPr>
              <w:t xml:space="preserve">L’OP ODARC assurera le contrôle administratif des demandes d’aides des mesures </w:t>
            </w:r>
            <w:r>
              <w:rPr>
                <w:szCs w:val="24"/>
              </w:rPr>
              <w:t>relevant du SIGC (art 74 du règlement n°1306/2013).</w:t>
            </w:r>
          </w:p>
          <w:p w:rsidR="0035701C" w:rsidRDefault="00FB561B">
            <w:pPr>
              <w:spacing w:before="240" w:after="240"/>
              <w:jc w:val="left"/>
              <w:rPr>
                <w:szCs w:val="24"/>
              </w:rPr>
            </w:pPr>
            <w:r>
              <w:rPr>
                <w:szCs w:val="24"/>
              </w:rPr>
              <w:t>Les Directions Départementales des Territoires (DDT), services déconcentrés du MAAF, assurent la fonction de guichet unique des aides appartenant au SIGC ainsi la coordination des contrôles PAC (Ier et II</w:t>
            </w:r>
            <w:r>
              <w:rPr>
                <w:szCs w:val="24"/>
              </w:rPr>
              <w:t>d pilier)</w:t>
            </w:r>
          </w:p>
          <w:p w:rsidR="0035701C" w:rsidRDefault="00FB561B">
            <w:pPr>
              <w:spacing w:before="240" w:after="240"/>
              <w:jc w:val="left"/>
              <w:rPr>
                <w:szCs w:val="24"/>
              </w:rPr>
            </w:pPr>
            <w:r>
              <w:rPr>
                <w:szCs w:val="24"/>
              </w:rPr>
              <w:t xml:space="preserve">Ces rôles respectifs de la DDTM de l’OP ODARC dans le circuit de gestion des aides relevant du SIGC sont définis dans la convention OP ODARC ; DDTM 2A et 2B ; CTC du 4 juin 2015 : « Convention relative à la gestion et l’instruction du dossier de </w:t>
            </w:r>
            <w:r>
              <w:rPr>
                <w:szCs w:val="24"/>
              </w:rPr>
              <w:t>déclaration de surface : répartition des rôles entre les DDTM et l’OP ODARC programmation 2015-2020 ».</w:t>
            </w:r>
          </w:p>
          <w:p w:rsidR="0035701C" w:rsidRDefault="00FB561B">
            <w:pPr>
              <w:spacing w:before="240" w:after="240"/>
              <w:jc w:val="left"/>
              <w:rPr>
                <w:szCs w:val="24"/>
              </w:rPr>
            </w:pPr>
            <w:r>
              <w:rPr>
                <w:szCs w:val="24"/>
                <w:u w:val="single"/>
              </w:rPr>
              <w:t>Aides ne relevant pas du SIGC</w:t>
            </w:r>
          </w:p>
          <w:p w:rsidR="0035701C" w:rsidRDefault="00FB561B">
            <w:pPr>
              <w:spacing w:before="240" w:after="240"/>
              <w:jc w:val="left"/>
              <w:rPr>
                <w:szCs w:val="24"/>
              </w:rPr>
            </w:pPr>
            <w:r>
              <w:rPr>
                <w:szCs w:val="24"/>
              </w:rPr>
              <w:t>Dans une volonté de simplification, seuls deux services instructeurs ont la charge de l’instruction de ces mesures</w:t>
            </w:r>
          </w:p>
          <w:p w:rsidR="0035701C" w:rsidRDefault="00FB561B">
            <w:pPr>
              <w:spacing w:before="240" w:after="240"/>
              <w:jc w:val="left"/>
              <w:rPr>
                <w:szCs w:val="24"/>
              </w:rPr>
            </w:pPr>
            <w:r>
              <w:rPr>
                <w:szCs w:val="24"/>
              </w:rPr>
              <w:t>Ainsi, l</w:t>
            </w:r>
            <w:r>
              <w:rPr>
                <w:szCs w:val="24"/>
              </w:rPr>
              <w:t>a CTC est chargée de l’instruction des mesures suivantes : 7 (7.1.2; 7.4; 7.5; 7.6.1; 7.6.2; 7.6.3- et 7.6.4) ; 19.1 à 19.4 ; 8.3 et Assistance technique.</w:t>
            </w:r>
          </w:p>
          <w:p w:rsidR="0035701C" w:rsidRDefault="00FB561B">
            <w:pPr>
              <w:spacing w:before="240" w:after="240"/>
              <w:jc w:val="left"/>
              <w:rPr>
                <w:szCs w:val="24"/>
              </w:rPr>
            </w:pPr>
            <w:r>
              <w:rPr>
                <w:szCs w:val="24"/>
              </w:rPr>
              <w:t>Par délégation de la CTC, l’ODARC sera en charge de l’instruction des autres mesures du PDRC (mesures</w:t>
            </w:r>
            <w:r>
              <w:rPr>
                <w:szCs w:val="24"/>
              </w:rPr>
              <w:t xml:space="preserve"> 1 (1.1 ; 1.2 ; 1.3) ; 2 (2.1) ; (3.1; 3.2) ; 4 (4.1.1 ; 4.1.2; 4.2- IAA ; 4.3.1; 4.3.2; 4.3.3; 4.4.1; 4.4.2) ; 5 ; 6 (6.1; 6.3; 6.4.1; 6.4.2; 6.4.3) ; 7 (7.1.1; 7.2) ; (8.5; 8.6.1) ; 16 (16.1; 16.2))</w:t>
            </w:r>
          </w:p>
          <w:p w:rsidR="0035701C" w:rsidRDefault="00FB561B">
            <w:pPr>
              <w:spacing w:before="240" w:after="240"/>
              <w:jc w:val="left"/>
              <w:rPr>
                <w:szCs w:val="24"/>
              </w:rPr>
            </w:pPr>
            <w:r>
              <w:rPr>
                <w:szCs w:val="24"/>
              </w:rPr>
              <w:t>Les fonctions d'information des bénéficiaires, de signa</w:t>
            </w:r>
            <w:r>
              <w:rPr>
                <w:szCs w:val="24"/>
              </w:rPr>
              <w:t>ture des décisions attributives des aides sont mises en œuvre sous l'autorité de la CTC en tant qu'autorité de gestion.</w:t>
            </w:r>
          </w:p>
          <w:p w:rsidR="0035701C" w:rsidRDefault="00FB561B">
            <w:pPr>
              <w:spacing w:before="240" w:after="240"/>
              <w:jc w:val="left"/>
              <w:rPr>
                <w:szCs w:val="24"/>
              </w:rPr>
            </w:pPr>
            <w:r>
              <w:rPr>
                <w:i/>
                <w:iCs/>
                <w:szCs w:val="24"/>
                <w:u w:val="single"/>
              </w:rPr>
              <w:t>Contrôles faits par l’OP ODARC</w:t>
            </w:r>
            <w:r>
              <w:rPr>
                <w:i/>
                <w:iCs/>
                <w:szCs w:val="24"/>
              </w:rPr>
              <w:t> :</w:t>
            </w:r>
          </w:p>
          <w:p w:rsidR="0035701C" w:rsidRDefault="00FB561B">
            <w:pPr>
              <w:spacing w:before="240" w:after="240"/>
              <w:jc w:val="left"/>
              <w:rPr>
                <w:szCs w:val="24"/>
              </w:rPr>
            </w:pPr>
            <w:r>
              <w:rPr>
                <w:szCs w:val="24"/>
              </w:rPr>
              <w:t>L'OP ODARC réalise :</w:t>
            </w:r>
          </w:p>
          <w:p w:rsidR="0035701C" w:rsidRDefault="00FB561B" w:rsidP="00FB561B">
            <w:pPr>
              <w:numPr>
                <w:ilvl w:val="0"/>
                <w:numId w:val="998"/>
              </w:numPr>
              <w:spacing w:before="240" w:after="0"/>
              <w:ind w:hanging="210"/>
              <w:jc w:val="left"/>
              <w:rPr>
                <w:szCs w:val="24"/>
              </w:rPr>
            </w:pPr>
            <w:r>
              <w:rPr>
                <w:szCs w:val="24"/>
              </w:rPr>
              <w:t>les contrôles sur place des bénéficiaires, en vertu de l'art. n°59 du R(UE) n°1306</w:t>
            </w:r>
            <w:r>
              <w:rPr>
                <w:szCs w:val="24"/>
              </w:rPr>
              <w:t>/2013</w:t>
            </w:r>
          </w:p>
          <w:p w:rsidR="0035701C" w:rsidRDefault="00FB561B" w:rsidP="00FB561B">
            <w:pPr>
              <w:numPr>
                <w:ilvl w:val="0"/>
                <w:numId w:val="998"/>
              </w:numPr>
              <w:spacing w:before="0" w:after="0"/>
              <w:ind w:hanging="210"/>
              <w:jc w:val="left"/>
              <w:rPr>
                <w:szCs w:val="24"/>
              </w:rPr>
            </w:pPr>
            <w:r>
              <w:rPr>
                <w:szCs w:val="24"/>
              </w:rPr>
              <w:t>les contrôles réalisés lors de la mise en paiement des demandes d'aides, dont les contrôles du comptable (art. 42 du décret n°2012-1246 du 7 novembre 2012),</w:t>
            </w:r>
          </w:p>
          <w:p w:rsidR="0035701C" w:rsidRDefault="00FB561B" w:rsidP="00FB561B">
            <w:pPr>
              <w:numPr>
                <w:ilvl w:val="0"/>
                <w:numId w:val="998"/>
              </w:numPr>
              <w:spacing w:before="0" w:after="240"/>
              <w:ind w:hanging="210"/>
              <w:jc w:val="left"/>
              <w:rPr>
                <w:szCs w:val="24"/>
              </w:rPr>
            </w:pPr>
            <w:r>
              <w:rPr>
                <w:szCs w:val="24"/>
              </w:rPr>
              <w:t xml:space="preserve">les contrôles de conformité en application des dispositions relatives à l'agrément des </w:t>
            </w:r>
            <w:r>
              <w:rPr>
                <w:szCs w:val="24"/>
              </w:rPr>
              <w:t>organismes payeurs.</w:t>
            </w:r>
          </w:p>
          <w:p w:rsidR="0035701C" w:rsidRDefault="00FB561B">
            <w:pPr>
              <w:spacing w:before="240" w:after="240"/>
              <w:jc w:val="left"/>
              <w:rPr>
                <w:szCs w:val="24"/>
              </w:rPr>
            </w:pPr>
            <w:r>
              <w:rPr>
                <w:szCs w:val="24"/>
              </w:rPr>
              <w:t>L’ODARC pourra déléguer les contrôles sur place relevant du SIGC à l’ASP.</w:t>
            </w:r>
          </w:p>
          <w:p w:rsidR="0035701C" w:rsidRDefault="00FB561B">
            <w:pPr>
              <w:spacing w:before="240" w:after="240"/>
              <w:jc w:val="left"/>
              <w:rPr>
                <w:szCs w:val="24"/>
              </w:rPr>
            </w:pPr>
            <w:r>
              <w:rPr>
                <w:i/>
                <w:iCs/>
                <w:szCs w:val="24"/>
                <w:u w:val="single"/>
              </w:rPr>
              <w:t>Paiement et recouvrement</w:t>
            </w:r>
          </w:p>
          <w:p w:rsidR="0035701C" w:rsidRDefault="00FB561B">
            <w:pPr>
              <w:spacing w:before="240" w:after="240"/>
              <w:jc w:val="left"/>
              <w:rPr>
                <w:szCs w:val="24"/>
              </w:rPr>
            </w:pPr>
            <w:r>
              <w:rPr>
                <w:szCs w:val="24"/>
              </w:rPr>
              <w:t>Le paiement des aides du FEADER est effectué par l'Agent Comptable de l’Organisme Payeur (OP) ODARC (art. 7 du R(UE) n°1306/2013 et décre</w:t>
            </w:r>
            <w:r>
              <w:rPr>
                <w:szCs w:val="24"/>
              </w:rPr>
              <w:t>t n°2012-1246 du 7 11 2012).</w:t>
            </w:r>
          </w:p>
          <w:p w:rsidR="0035701C" w:rsidRDefault="00FB561B">
            <w:pPr>
              <w:spacing w:before="240" w:after="240"/>
              <w:jc w:val="left"/>
              <w:rPr>
                <w:szCs w:val="24"/>
              </w:rPr>
            </w:pPr>
            <w:r>
              <w:rPr>
                <w:szCs w:val="24"/>
              </w:rPr>
              <w:t>En application de l'article 54 du R (UE) n°1306/2013, l'entité ayant réalisé le paiement d'une partie de l'aide demande au bénéficiaire, sur la base d'une décision de déchéance de droits, le remboursement des paiements à recouv</w:t>
            </w:r>
            <w:r>
              <w:rPr>
                <w:szCs w:val="24"/>
              </w:rPr>
              <w:t>rer.</w:t>
            </w:r>
          </w:p>
          <w:p w:rsidR="0035701C" w:rsidRDefault="00FB561B">
            <w:pPr>
              <w:spacing w:before="240" w:after="240"/>
              <w:jc w:val="left"/>
              <w:rPr>
                <w:szCs w:val="24"/>
              </w:rPr>
            </w:pPr>
            <w:r>
              <w:rPr>
                <w:b/>
                <w:bCs/>
                <w:szCs w:val="24"/>
              </w:rPr>
              <w:t>Systèmes d'information</w:t>
            </w:r>
          </w:p>
          <w:p w:rsidR="0035701C" w:rsidRDefault="00FB561B">
            <w:pPr>
              <w:spacing w:before="240" w:after="240"/>
              <w:jc w:val="left"/>
              <w:rPr>
                <w:szCs w:val="24"/>
              </w:rPr>
            </w:pPr>
            <w:r>
              <w:rPr>
                <w:szCs w:val="24"/>
              </w:rPr>
              <w:t>Les circuits de gestion des aides du FEADER sont intégrés dans les systèmes d'information de gestion des aides de la PAC : telePAC, ISIS et OSIRIS dont le maître d'ouvrage est l'ASP et tout autre outil futur mis à disposition pa</w:t>
            </w:r>
            <w:r>
              <w:rPr>
                <w:szCs w:val="24"/>
              </w:rPr>
              <w:t>r l’Etat Membre.</w:t>
            </w:r>
          </w:p>
          <w:p w:rsidR="0035701C" w:rsidRDefault="00FB561B">
            <w:pPr>
              <w:spacing w:before="240" w:after="240"/>
              <w:jc w:val="left"/>
              <w:rPr>
                <w:szCs w:val="24"/>
              </w:rPr>
            </w:pPr>
            <w:r>
              <w:rPr>
                <w:szCs w:val="24"/>
              </w:rPr>
              <w:t>La CTC s'assure que les services intervenant dans la gestion des aides du PDRC utilisent ces outils. La gestion des habilitations permet de garantir la sécurisation des procédures.</w:t>
            </w:r>
          </w:p>
          <w:p w:rsidR="0035701C" w:rsidRDefault="00FB561B">
            <w:pPr>
              <w:spacing w:before="240" w:after="240"/>
              <w:jc w:val="left"/>
              <w:rPr>
                <w:szCs w:val="24"/>
              </w:rPr>
            </w:pPr>
            <w:r>
              <w:rPr>
                <w:szCs w:val="24"/>
              </w:rPr>
              <w:t>L’Etat membre s’assure de la mise à disposition de ces out</w:t>
            </w:r>
            <w:r>
              <w:rPr>
                <w:szCs w:val="24"/>
              </w:rPr>
              <w:t>ils par le maître d’ouvrage à la CTC en veillant à ce qu’ils soient adaptés aux spécificités du programme et à ce que l’ODARC dispose de l’ensemble des habilitations nécessaires à l’exercice de ses missions d’Organisme Payeur mais également à celles de  se</w:t>
            </w:r>
            <w:r>
              <w:rPr>
                <w:szCs w:val="24"/>
              </w:rPr>
              <w:t>rvice instructeur avec la CTC</w:t>
            </w:r>
          </w:p>
          <w:p w:rsidR="0035701C" w:rsidRDefault="00FB561B">
            <w:pPr>
              <w:spacing w:before="240" w:after="240"/>
              <w:jc w:val="left"/>
              <w:rPr>
                <w:szCs w:val="24"/>
              </w:rPr>
            </w:pPr>
            <w:r>
              <w:rPr>
                <w:b/>
                <w:bCs/>
                <w:szCs w:val="24"/>
              </w:rPr>
              <w:t>Gouvernance</w:t>
            </w:r>
          </w:p>
          <w:p w:rsidR="0035701C" w:rsidRDefault="00FB561B">
            <w:pPr>
              <w:spacing w:before="240" w:after="240"/>
              <w:jc w:val="left"/>
              <w:rPr>
                <w:szCs w:val="24"/>
              </w:rPr>
            </w:pPr>
            <w:r>
              <w:rPr>
                <w:szCs w:val="24"/>
              </w:rPr>
              <w:t>Concernant l’architecture de la gouvernance plurifonds, un Comité de suivi plurifonds est constitué, co présidé par le Président du Conseil exécutif et le Préfet de Corse, qui permet le suivi de la stratégie global</w:t>
            </w:r>
            <w:r>
              <w:rPr>
                <w:szCs w:val="24"/>
              </w:rPr>
              <w:t>e d’intervention sur le territoire.</w:t>
            </w:r>
          </w:p>
          <w:p w:rsidR="0035701C" w:rsidRDefault="00FB561B">
            <w:pPr>
              <w:spacing w:before="240" w:after="240"/>
              <w:jc w:val="left"/>
              <w:rPr>
                <w:szCs w:val="24"/>
              </w:rPr>
            </w:pPr>
            <w:r>
              <w:rPr>
                <w:b/>
                <w:bCs/>
                <w:szCs w:val="24"/>
              </w:rPr>
              <w:t>Programmation</w:t>
            </w:r>
          </w:p>
          <w:p w:rsidR="0035701C" w:rsidRDefault="00FB561B">
            <w:pPr>
              <w:spacing w:before="240" w:after="240"/>
              <w:jc w:val="left"/>
              <w:rPr>
                <w:szCs w:val="24"/>
              </w:rPr>
            </w:pPr>
            <w:r>
              <w:rPr>
                <w:szCs w:val="24"/>
              </w:rPr>
              <w:t>Un pré Comité Régional de Programmation de Aides (Pré COREPA) et un Comité Régional de Programmation de Aides (COREPA) sont en charge de la vérification de la participation et de la disponibilité financière</w:t>
            </w:r>
            <w:r>
              <w:rPr>
                <w:szCs w:val="24"/>
              </w:rPr>
              <w:t xml:space="preserve"> des co financeurs.</w:t>
            </w:r>
          </w:p>
          <w:p w:rsidR="0035701C" w:rsidRDefault="00FB561B">
            <w:pPr>
              <w:spacing w:before="240" w:after="240"/>
              <w:jc w:val="left"/>
              <w:rPr>
                <w:szCs w:val="24"/>
              </w:rPr>
            </w:pPr>
            <w:r>
              <w:rPr>
                <w:szCs w:val="24"/>
              </w:rPr>
              <w:t>Le Conseil Exécutif de la Collectivité Territorial de Corse est chargé, après examen en pré COREPA et COREPA de la programmation des aides.</w:t>
            </w:r>
          </w:p>
          <w:p w:rsidR="0035701C" w:rsidRDefault="00FB561B">
            <w:pPr>
              <w:spacing w:before="240" w:after="240"/>
              <w:jc w:val="left"/>
              <w:rPr>
                <w:szCs w:val="24"/>
              </w:rPr>
            </w:pPr>
            <w:r>
              <w:rPr>
                <w:szCs w:val="24"/>
              </w:rPr>
              <w:t xml:space="preserve">Par ailleurs, les Groupes d’Action Locale (GAL) soumettent pour avis les dossiers qui leur sont </w:t>
            </w:r>
            <w:r>
              <w:rPr>
                <w:szCs w:val="24"/>
              </w:rPr>
              <w:t>soumis à leur comité de programmation, dans le cadre de leur convention avec l’Autorité de Gestion, pour la partie « LEADER ».</w:t>
            </w:r>
          </w:p>
          <w:p w:rsidR="0035701C" w:rsidRDefault="00FB561B">
            <w:pPr>
              <w:spacing w:before="240" w:after="240"/>
              <w:jc w:val="left"/>
              <w:rPr>
                <w:szCs w:val="24"/>
              </w:rPr>
            </w:pPr>
            <w:r>
              <w:rPr>
                <w:b/>
                <w:bCs/>
                <w:szCs w:val="24"/>
              </w:rPr>
              <w:t>Capacité humaine et administrative mobilisée pour la mise en œuvre du programme</w:t>
            </w:r>
          </w:p>
          <w:p w:rsidR="0035701C" w:rsidRDefault="00FB561B">
            <w:pPr>
              <w:spacing w:before="240" w:after="240"/>
              <w:jc w:val="left"/>
              <w:rPr>
                <w:szCs w:val="24"/>
              </w:rPr>
            </w:pPr>
            <w:r>
              <w:rPr>
                <w:szCs w:val="24"/>
              </w:rPr>
              <w:t xml:space="preserve">La CTC dispose d'une expérience significative en </w:t>
            </w:r>
            <w:r>
              <w:rPr>
                <w:szCs w:val="24"/>
              </w:rPr>
              <w:t>termes de gestion du FEADER puisqu'elle était autorité de gestion du FEADER sur la programmation 2007-2013. Durant celle-ci, les différents audits nous ont permis de prendre en compte les préconisations et de fiabiliser ainsi notre dispositif de gestion du</w:t>
            </w:r>
            <w:r>
              <w:rPr>
                <w:szCs w:val="24"/>
              </w:rPr>
              <w:t xml:space="preserve"> FEADER. Les agents bénéficieront d'un itinéraire de formation "perfectionnement" sur la gestion du FEADER mis en place par la CTC à l'initiative de la DAEI et les nouveaux agents suivront eux une formation initiation.</w:t>
            </w:r>
          </w:p>
          <w:p w:rsidR="0035701C" w:rsidRDefault="00FB561B">
            <w:pPr>
              <w:spacing w:before="240" w:after="240"/>
              <w:jc w:val="left"/>
              <w:rPr>
                <w:szCs w:val="24"/>
              </w:rPr>
            </w:pPr>
            <w:r>
              <w:rPr>
                <w:szCs w:val="24"/>
              </w:rPr>
              <w:t>La CTC et l’ODARC mobiliseront respec</w:t>
            </w:r>
            <w:r>
              <w:rPr>
                <w:szCs w:val="24"/>
              </w:rPr>
              <w:t>tivement :</w:t>
            </w:r>
          </w:p>
          <w:p w:rsidR="0035701C" w:rsidRDefault="00FB561B">
            <w:pPr>
              <w:spacing w:before="240" w:after="240"/>
              <w:ind w:left="869"/>
              <w:jc w:val="left"/>
              <w:rPr>
                <w:szCs w:val="24"/>
              </w:rPr>
            </w:pPr>
            <w:r>
              <w:rPr>
                <w:szCs w:val="24"/>
              </w:rPr>
              <w:t>La CTC : une quinzaine d'agents répartis entre  l'Autorité de Gestion (Direction des Affaires Européennes et Internationales DAEI)  et un service instructeur à savoir la Direction du Développement Local.</w:t>
            </w:r>
          </w:p>
          <w:p w:rsidR="0035701C" w:rsidRDefault="00FB561B">
            <w:pPr>
              <w:spacing w:before="240" w:after="240"/>
              <w:ind w:left="869"/>
              <w:jc w:val="left"/>
              <w:rPr>
                <w:szCs w:val="24"/>
              </w:rPr>
            </w:pPr>
            <w:r>
              <w:rPr>
                <w:szCs w:val="24"/>
              </w:rPr>
              <w:t xml:space="preserve">Au sein de la DAEI : 7  agents </w:t>
            </w:r>
            <w:r>
              <w:rPr>
                <w:szCs w:val="24"/>
              </w:rPr>
              <w:t>travailleront sur la gestion du PDRC ; 4 agents à temps plein dont trois cadres et 3 agents qui interviendront sur des thématiques transversales plurifonds parmi lesquels le FEADER (évaluation, contrôle qualité gestion, communication)</w:t>
            </w:r>
          </w:p>
          <w:p w:rsidR="0035701C" w:rsidRDefault="00FB561B">
            <w:pPr>
              <w:spacing w:before="240" w:after="240"/>
              <w:jc w:val="left"/>
              <w:rPr>
                <w:szCs w:val="24"/>
              </w:rPr>
            </w:pPr>
            <w:r>
              <w:rPr>
                <w:szCs w:val="24"/>
              </w:rPr>
              <w:t>Par ailleurs, le tran</w:t>
            </w:r>
            <w:r>
              <w:rPr>
                <w:szCs w:val="24"/>
              </w:rPr>
              <w:t xml:space="preserve">sfert en cours d'une partie du personnel du Secrétariat Général aux Affaires de la Corse (SGAC) au sein de la DAEI pour la gestion du FEDER permettra, lorsqu'il sera finalisé, de mutualiser les expériences de gestion des fonds européens grâce à six agents </w:t>
            </w:r>
            <w:r>
              <w:rPr>
                <w:szCs w:val="24"/>
              </w:rPr>
              <w:t>qui composaient précédemment la" cellule Europe" du SGAC.    </w:t>
            </w:r>
          </w:p>
          <w:p w:rsidR="0035701C" w:rsidRDefault="00FB561B">
            <w:pPr>
              <w:spacing w:before="240" w:after="240"/>
              <w:jc w:val="left"/>
              <w:rPr>
                <w:szCs w:val="24"/>
              </w:rPr>
            </w:pPr>
            <w:r>
              <w:rPr>
                <w:szCs w:val="24"/>
              </w:rPr>
              <w:t>Au sein de la DDL, 7 agents, dont trois cadres, travailleront à la mise en œuvre du PDRC à temps plein pour assurer l'instruction et le suivi des mesures qui leur sont confiées (cf 15.1.2.1).</w:t>
            </w:r>
          </w:p>
          <w:p w:rsidR="0035701C" w:rsidRDefault="00FB561B">
            <w:pPr>
              <w:spacing w:before="240" w:after="240"/>
              <w:jc w:val="left"/>
              <w:rPr>
                <w:szCs w:val="24"/>
              </w:rPr>
            </w:pPr>
            <w:r>
              <w:rPr>
                <w:szCs w:val="24"/>
              </w:rPr>
              <w:t>Au</w:t>
            </w:r>
            <w:r>
              <w:rPr>
                <w:szCs w:val="24"/>
              </w:rPr>
              <w:t xml:space="preserve"> total l’ODARC SI mobilise environ 54 agents expérimentés dans le domaine de l’instruction des aides FEADER, répartis sur neufs territoires géographiques et au siège pour assurer l’accueil, le conseil, l’accompagnement et l’instruction administratifs ou te</w:t>
            </w:r>
            <w:r>
              <w:rPr>
                <w:szCs w:val="24"/>
              </w:rPr>
              <w:t>chniques pour l’ensemble des bénéficiaires concernés par les mesures instruites par l’ODARC, et ce jusqu’au constat de service fait et au suivi.</w:t>
            </w:r>
          </w:p>
          <w:p w:rsidR="0035701C" w:rsidRDefault="00FB561B">
            <w:pPr>
              <w:spacing w:before="240" w:after="240"/>
              <w:jc w:val="left"/>
              <w:rPr>
                <w:szCs w:val="24"/>
              </w:rPr>
            </w:pPr>
            <w:r>
              <w:rPr>
                <w:szCs w:val="24"/>
              </w:rPr>
              <w:t>L’ODARC OP regroupe quant à lui environ 40 agents expérimentés pour assurer ses missions réglementaires.</w:t>
            </w:r>
          </w:p>
          <w:p w:rsidR="0035701C" w:rsidRDefault="0035701C">
            <w:pPr>
              <w:pStyle w:val="Corpsdetexte"/>
            </w:pPr>
          </w:p>
        </w:tc>
      </w:tr>
    </w:tbl>
    <w:p w:rsidR="0035701C" w:rsidRDefault="00FB561B">
      <w:pPr>
        <w:pStyle w:val="Titre4"/>
        <w:jc w:val="left"/>
      </w:pPr>
      <w:r>
        <w:t>Modalités de l’examen des plaintes</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b/>
                <w:bCs/>
                <w:szCs w:val="24"/>
              </w:rPr>
              <w:t>1/ La procédure contradictoire</w:t>
            </w:r>
          </w:p>
          <w:p w:rsidR="0035701C" w:rsidRDefault="00FB561B">
            <w:pPr>
              <w:spacing w:before="240" w:after="240"/>
              <w:jc w:val="left"/>
              <w:rPr>
                <w:szCs w:val="24"/>
              </w:rPr>
            </w:pPr>
            <w:r>
              <w:rPr>
                <w:szCs w:val="24"/>
              </w:rPr>
              <w:t>Conformément à l’article 24 de la loi n° 2000-321 du 12 Avril 2000, une procédure contradictoire est effectuée systématiquement à la suite du constat d’une anomalie par l'autorité ayant attr</w:t>
            </w:r>
            <w:r>
              <w:rPr>
                <w:szCs w:val="24"/>
              </w:rPr>
              <w:t>ibué une aide. La procédure contradictoire débute avec l’envoi d’un courrier à l’exploitant pour lui faire part des anomalies relevées et des suites financières encourues. L'intéressé est invité à présenter ses observations dans le délai fixé dans le courr</w:t>
            </w:r>
            <w:r>
              <w:rPr>
                <w:szCs w:val="24"/>
              </w:rPr>
              <w:t>ier, sous forme écrite ou sur sa demande, sous forme verbale.</w:t>
            </w:r>
          </w:p>
          <w:p w:rsidR="0035701C" w:rsidRDefault="00FB561B">
            <w:pPr>
              <w:spacing w:before="240" w:after="240"/>
              <w:jc w:val="left"/>
              <w:rPr>
                <w:szCs w:val="24"/>
              </w:rPr>
            </w:pPr>
            <w:r>
              <w:rPr>
                <w:szCs w:val="24"/>
              </w:rPr>
              <w:t>Après cette procédure contradictoire et le cas échéant au vu des éléments transmis, l’autorité ayant attribué l’aide notifie au bénéficiaire la suite à donner au contrôle qui :</w:t>
            </w:r>
          </w:p>
          <w:p w:rsidR="0035701C" w:rsidRDefault="00FB561B" w:rsidP="00FB561B">
            <w:pPr>
              <w:numPr>
                <w:ilvl w:val="0"/>
                <w:numId w:val="999"/>
              </w:numPr>
              <w:spacing w:before="240" w:after="0"/>
              <w:ind w:hanging="210"/>
              <w:jc w:val="left"/>
              <w:rPr>
                <w:szCs w:val="24"/>
              </w:rPr>
            </w:pPr>
            <w:r>
              <w:rPr>
                <w:szCs w:val="24"/>
              </w:rPr>
              <w:t>mentionne, le cas</w:t>
            </w:r>
            <w:r>
              <w:rPr>
                <w:szCs w:val="24"/>
              </w:rPr>
              <w:t xml:space="preserve"> échéant, le détail des incidences financières pour l’aide concernée,</w:t>
            </w:r>
          </w:p>
          <w:p w:rsidR="0035701C" w:rsidRDefault="00FB561B" w:rsidP="00FB561B">
            <w:pPr>
              <w:numPr>
                <w:ilvl w:val="0"/>
                <w:numId w:val="999"/>
              </w:numPr>
              <w:spacing w:before="0" w:after="0"/>
              <w:ind w:hanging="210"/>
              <w:jc w:val="left"/>
              <w:rPr>
                <w:szCs w:val="24"/>
              </w:rPr>
            </w:pPr>
            <w:r>
              <w:rPr>
                <w:szCs w:val="24"/>
              </w:rPr>
              <w:t>indique la motivation de la décision prise, c'est à dire décrit les anomalies constatées et mentionne les références réglementaires non respectées.</w:t>
            </w:r>
          </w:p>
          <w:p w:rsidR="0035701C" w:rsidRDefault="00FB561B" w:rsidP="00FB561B">
            <w:pPr>
              <w:numPr>
                <w:ilvl w:val="0"/>
                <w:numId w:val="999"/>
              </w:numPr>
              <w:spacing w:before="0" w:after="240"/>
              <w:ind w:hanging="210"/>
              <w:jc w:val="left"/>
              <w:rPr>
                <w:szCs w:val="24"/>
              </w:rPr>
            </w:pPr>
            <w:r>
              <w:rPr>
                <w:szCs w:val="24"/>
              </w:rPr>
              <w:t>informe le bénéficiaire des voies et d</w:t>
            </w:r>
            <w:r>
              <w:rPr>
                <w:szCs w:val="24"/>
              </w:rPr>
              <w:t>élais de recours dont il dispose.</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szCs w:val="24"/>
              </w:rPr>
              <w:t> </w:t>
            </w:r>
            <w:r>
              <w:rPr>
                <w:b/>
                <w:bCs/>
                <w:szCs w:val="24"/>
              </w:rPr>
              <w:t>2/ Les recours </w:t>
            </w:r>
          </w:p>
          <w:p w:rsidR="0035701C" w:rsidRDefault="00FB561B">
            <w:pPr>
              <w:spacing w:before="240" w:after="240"/>
              <w:jc w:val="left"/>
              <w:rPr>
                <w:szCs w:val="24"/>
              </w:rPr>
            </w:pPr>
            <w:r>
              <w:rPr>
                <w:szCs w:val="24"/>
              </w:rPr>
              <w:t>Le bénéficiaire dispose d'un délai de deux mois à compter de la date de notification de la décision de déchéance de droits pour déposer :</w:t>
            </w:r>
          </w:p>
          <w:p w:rsidR="0035701C" w:rsidRDefault="00FB561B" w:rsidP="00FB561B">
            <w:pPr>
              <w:numPr>
                <w:ilvl w:val="0"/>
                <w:numId w:val="1000"/>
              </w:numPr>
              <w:spacing w:before="240" w:after="0"/>
              <w:ind w:hanging="210"/>
              <w:jc w:val="left"/>
              <w:rPr>
                <w:szCs w:val="24"/>
              </w:rPr>
            </w:pPr>
            <w:r>
              <w:rPr>
                <w:szCs w:val="24"/>
              </w:rPr>
              <w:t>un recours gracieux, qu'il adresse à l'administration auteur de l</w:t>
            </w:r>
            <w:r>
              <w:rPr>
                <w:szCs w:val="24"/>
              </w:rPr>
              <w:t>a décision contestée,</w:t>
            </w:r>
          </w:p>
          <w:p w:rsidR="0035701C" w:rsidRDefault="00FB561B" w:rsidP="00FB561B">
            <w:pPr>
              <w:numPr>
                <w:ilvl w:val="0"/>
                <w:numId w:val="1000"/>
              </w:numPr>
              <w:spacing w:before="0" w:after="0"/>
              <w:ind w:hanging="210"/>
              <w:jc w:val="left"/>
              <w:rPr>
                <w:szCs w:val="24"/>
              </w:rPr>
            </w:pPr>
            <w:r>
              <w:rPr>
                <w:szCs w:val="24"/>
              </w:rPr>
              <w:t>ou/et un recours hiérarchique, qui s'adresse à l'autorité supérieure de l'auteur de la décision,</w:t>
            </w:r>
          </w:p>
          <w:p w:rsidR="0035701C" w:rsidRDefault="00FB561B" w:rsidP="00FB561B">
            <w:pPr>
              <w:numPr>
                <w:ilvl w:val="0"/>
                <w:numId w:val="1000"/>
              </w:numPr>
              <w:spacing w:before="0" w:after="240"/>
              <w:ind w:hanging="210"/>
              <w:jc w:val="left"/>
              <w:rPr>
                <w:szCs w:val="24"/>
              </w:rPr>
            </w:pPr>
            <w:r>
              <w:rPr>
                <w:szCs w:val="24"/>
              </w:rPr>
              <w:t>ou/et un recours devant le tribunal administratif compétent.</w:t>
            </w:r>
          </w:p>
          <w:p w:rsidR="0035701C" w:rsidRDefault="00FB561B">
            <w:pPr>
              <w:spacing w:before="240" w:after="240"/>
              <w:jc w:val="left"/>
              <w:rPr>
                <w:szCs w:val="24"/>
              </w:rPr>
            </w:pPr>
            <w:r>
              <w:rPr>
                <w:szCs w:val="24"/>
              </w:rPr>
              <w:t xml:space="preserve"> Si le bénéficiaire a formé un recours gracieux ou hiérarchique, il dispose </w:t>
            </w:r>
            <w:r>
              <w:rPr>
                <w:szCs w:val="24"/>
              </w:rPr>
              <w:t>en plus du délai de deux mois mentionné ci-dessus, d'un délai supplémentaire de deux mois commençant à partir de la réponse ou du rejet implicite de son recours gracieux ou hiérarchique pour déposer un recours contentieux devant le tribunal administratif.</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La justice administrative comporte trois niveaux de juridictions :</w:t>
            </w:r>
          </w:p>
          <w:p w:rsidR="0035701C" w:rsidRDefault="00FB561B" w:rsidP="00FB561B">
            <w:pPr>
              <w:numPr>
                <w:ilvl w:val="0"/>
                <w:numId w:val="1001"/>
              </w:numPr>
              <w:spacing w:before="240" w:after="0"/>
              <w:ind w:hanging="210"/>
              <w:jc w:val="left"/>
              <w:rPr>
                <w:szCs w:val="24"/>
              </w:rPr>
            </w:pPr>
            <w:r>
              <w:rPr>
                <w:b/>
                <w:bCs/>
                <w:szCs w:val="24"/>
              </w:rPr>
              <w:t xml:space="preserve">Les tribunaux administratifs </w:t>
            </w:r>
            <w:r>
              <w:rPr>
                <w:szCs w:val="24"/>
              </w:rPr>
              <w:t>sont les juridictions compétentes de droit commun en première instance. C’est à eux que le requérant doit d’abord s’adresser.</w:t>
            </w:r>
          </w:p>
          <w:p w:rsidR="0035701C" w:rsidRDefault="00FB561B" w:rsidP="00FB561B">
            <w:pPr>
              <w:numPr>
                <w:ilvl w:val="0"/>
                <w:numId w:val="1001"/>
              </w:numPr>
              <w:spacing w:before="0" w:after="0"/>
              <w:ind w:hanging="210"/>
              <w:jc w:val="left"/>
              <w:rPr>
                <w:szCs w:val="24"/>
              </w:rPr>
            </w:pPr>
            <w:r>
              <w:rPr>
                <w:b/>
                <w:bCs/>
                <w:szCs w:val="24"/>
              </w:rPr>
              <w:t>Les cours administratives d’appe</w:t>
            </w:r>
            <w:r>
              <w:rPr>
                <w:b/>
                <w:bCs/>
                <w:szCs w:val="24"/>
              </w:rPr>
              <w:t xml:space="preserve">l </w:t>
            </w:r>
            <w:r>
              <w:rPr>
                <w:szCs w:val="24"/>
              </w:rPr>
              <w:t>sont les juridictions compétentes pour statuer en appel, à la demande d’une personne privée ou d’une administration, contre un jugement de tribunal administratif.</w:t>
            </w:r>
          </w:p>
          <w:p w:rsidR="0035701C" w:rsidRDefault="00FB561B" w:rsidP="00FB561B">
            <w:pPr>
              <w:numPr>
                <w:ilvl w:val="0"/>
                <w:numId w:val="1001"/>
              </w:numPr>
              <w:spacing w:before="0" w:after="240"/>
              <w:ind w:hanging="210"/>
              <w:jc w:val="left"/>
              <w:rPr>
                <w:szCs w:val="24"/>
              </w:rPr>
            </w:pPr>
            <w:r>
              <w:rPr>
                <w:b/>
                <w:bCs/>
                <w:szCs w:val="24"/>
              </w:rPr>
              <w:t>Le Conseil d’État</w:t>
            </w:r>
            <w:r>
              <w:rPr>
                <w:szCs w:val="24"/>
              </w:rPr>
              <w:t>, la juridiction suprême de l’ordre administratif, est le juge de cassatio</w:t>
            </w:r>
            <w:r>
              <w:rPr>
                <w:szCs w:val="24"/>
              </w:rPr>
              <w:t>n des arrêts rendus par les cours administratives d’appel. Il ne juge pas une troisième fois le litige mais vérifie le respect des règles de procédure et la correcte application des règles de droit par les tribunaux administratifs et les cours administrati</w:t>
            </w:r>
            <w:r>
              <w:rPr>
                <w:szCs w:val="24"/>
              </w:rPr>
              <w:t>ves d’appel.</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3/ L'application de la décision de déchéance</w:t>
            </w:r>
          </w:p>
          <w:p w:rsidR="0035701C" w:rsidRDefault="00FB561B">
            <w:pPr>
              <w:spacing w:before="240" w:after="240"/>
              <w:jc w:val="left"/>
              <w:rPr>
                <w:szCs w:val="24"/>
              </w:rPr>
            </w:pPr>
            <w:r>
              <w:rPr>
                <w:szCs w:val="24"/>
              </w:rPr>
              <w:t>La décision de déchéance de droit est notifiée au bénéficiaire et à l’organisme payeur agréé du Feader aux fins de remboursement et d’application des sanctions prévues.</w:t>
            </w:r>
          </w:p>
          <w:p w:rsidR="0035701C" w:rsidRDefault="00FB561B">
            <w:pPr>
              <w:spacing w:before="240" w:after="240"/>
              <w:jc w:val="left"/>
              <w:rPr>
                <w:szCs w:val="24"/>
              </w:rPr>
            </w:pPr>
            <w:r>
              <w:rPr>
                <w:szCs w:val="24"/>
              </w:rPr>
              <w:t>L'organisme payeur ODARC ém</w:t>
            </w:r>
            <w:r>
              <w:rPr>
                <w:szCs w:val="24"/>
              </w:rPr>
              <w:t>ettra sur la base de la décision de déchéance de droit un ordre de reversement.</w:t>
            </w:r>
          </w:p>
          <w:p w:rsidR="0035701C" w:rsidRDefault="00FB561B">
            <w:pPr>
              <w:spacing w:before="240" w:after="240"/>
              <w:jc w:val="left"/>
              <w:rPr>
                <w:szCs w:val="24"/>
              </w:rPr>
            </w:pPr>
            <w:r>
              <w:rPr>
                <w:szCs w:val="24"/>
              </w:rPr>
              <w:t>L'organisme payeur sera amené à calculer des intérêts moratoires en cas de retard dans le remboursement par le bénéficiaire des sommes indues, précisées dans les décisions de d</w:t>
            </w:r>
            <w:r>
              <w:rPr>
                <w:szCs w:val="24"/>
              </w:rPr>
              <w:t>échéance et dans les ordres de reversement, conformément à l'article 63 du R(UE) n° 1306/2013.</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4/ Cas particulier des fausses déclarations intentionnelles</w:t>
            </w:r>
          </w:p>
          <w:p w:rsidR="0035701C" w:rsidRDefault="00FB561B">
            <w:pPr>
              <w:spacing w:before="240" w:after="240"/>
              <w:jc w:val="left"/>
              <w:rPr>
                <w:szCs w:val="24"/>
              </w:rPr>
            </w:pPr>
            <w:r>
              <w:rPr>
                <w:szCs w:val="24"/>
              </w:rPr>
              <w:t>Lorsqu'un contrôleur constate une fausse déclaration intentionnelle lors d'un contrôle ou lors d'un</w:t>
            </w:r>
            <w:r>
              <w:rPr>
                <w:szCs w:val="24"/>
              </w:rPr>
              <w:t>e visite sur place, ce dernier pourra être amené à porter certaines informations à la connaissance du procureur de la République. Il effectuera un signalement au procureur, conformément à l'article 40 du code de procédure pénale.</w:t>
            </w:r>
          </w:p>
          <w:p w:rsidR="0035701C" w:rsidRDefault="0035701C">
            <w:pPr>
              <w:pStyle w:val="Corpsdetexte"/>
            </w:pPr>
          </w:p>
        </w:tc>
      </w:tr>
    </w:tbl>
    <w:p w:rsidR="0035701C" w:rsidRDefault="00FB561B">
      <w:pPr>
        <w:pStyle w:val="Titre2"/>
        <w:rPr>
          <w:b w:val="0"/>
        </w:rPr>
      </w:pPr>
      <w:bookmarkStart w:id="184" w:name="_Toc256000183"/>
      <w:r>
        <w:rPr>
          <w:b w:val="0"/>
        </w:rPr>
        <w:t>Composition envisagée du</w:t>
      </w:r>
      <w:r>
        <w:rPr>
          <w:b w:val="0"/>
        </w:rPr>
        <w:t xml:space="preserve"> comité de suivi</w:t>
      </w:r>
      <w:bookmarkEnd w:id="18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Le suivi du FEADER s’inscrit dans un cadre inter fonds :</w:t>
            </w:r>
          </w:p>
          <w:p w:rsidR="0035701C" w:rsidRDefault="00FB561B">
            <w:pPr>
              <w:spacing w:before="240" w:after="240"/>
              <w:jc w:val="left"/>
              <w:rPr>
                <w:szCs w:val="24"/>
              </w:rPr>
            </w:pPr>
            <w:r>
              <w:rPr>
                <w:b/>
                <w:bCs/>
                <w:szCs w:val="24"/>
              </w:rPr>
              <w:t>Le Comité de suivi interfonds :</w:t>
            </w:r>
          </w:p>
          <w:p w:rsidR="0035701C" w:rsidRDefault="00FB561B">
            <w:pPr>
              <w:spacing w:before="240" w:after="240"/>
              <w:jc w:val="left"/>
              <w:rPr>
                <w:szCs w:val="24"/>
              </w:rPr>
            </w:pPr>
            <w:r>
              <w:rPr>
                <w:szCs w:val="24"/>
              </w:rPr>
              <w:t xml:space="preserve">Dans un souci de complémentarité et de cohérence, et sur la base de l’expérience de la période 2007-2013,  un comité de suivi commun aux quatre fonds </w:t>
            </w:r>
            <w:r>
              <w:rPr>
                <w:szCs w:val="24"/>
              </w:rPr>
              <w:t>est mis en place. Ce comité traite du programme régional CORSE FEDER/FSE, du volet déconcentré du programme national FSE, du Programme de Développement Rural Corse et du volet déconcentré du programme national FEAMP.</w:t>
            </w:r>
          </w:p>
          <w:p w:rsidR="0035701C" w:rsidRDefault="00FB561B">
            <w:pPr>
              <w:spacing w:before="240" w:after="240"/>
              <w:jc w:val="left"/>
              <w:rPr>
                <w:szCs w:val="24"/>
              </w:rPr>
            </w:pPr>
            <w:r>
              <w:rPr>
                <w:szCs w:val="24"/>
              </w:rPr>
              <w:t>Le Comité de suivi s’assure de l’effica</w:t>
            </w:r>
            <w:r>
              <w:rPr>
                <w:szCs w:val="24"/>
              </w:rPr>
              <w:t>cité et de la qualité de mise en œuvre du programme.</w:t>
            </w:r>
          </w:p>
          <w:p w:rsidR="0035701C" w:rsidRDefault="00FB561B">
            <w:pPr>
              <w:spacing w:before="240" w:after="240"/>
              <w:jc w:val="left"/>
              <w:rPr>
                <w:szCs w:val="24"/>
              </w:rPr>
            </w:pPr>
            <w:r>
              <w:rPr>
                <w:szCs w:val="24"/>
              </w:rPr>
              <w:t>Il  se réunira au moins une fois par an en séance plénière. Le FEADER restera traité en priorité compte tenu de l'enveloppe affectée à ce fonds et de ses aspects spécifiques.</w:t>
            </w:r>
          </w:p>
          <w:p w:rsidR="0035701C" w:rsidRDefault="00FB561B">
            <w:pPr>
              <w:spacing w:before="240" w:after="240"/>
              <w:jc w:val="left"/>
              <w:rPr>
                <w:szCs w:val="24"/>
              </w:rPr>
            </w:pPr>
            <w:r>
              <w:rPr>
                <w:szCs w:val="24"/>
              </w:rPr>
              <w:t>Chaque réunion en séance plé</w:t>
            </w:r>
            <w:r>
              <w:rPr>
                <w:szCs w:val="24"/>
              </w:rPr>
              <w:t>nière sera en règle générale précédée  de réunions techniques par programme. Les socioprofessionnels (chambres d'agriculture, présidents des GAL, représentants des associations,...) seront invités à participer à ces réunions préparatoires. En complément de</w:t>
            </w:r>
            <w:r>
              <w:rPr>
                <w:szCs w:val="24"/>
              </w:rPr>
              <w:t>s réunions ad hoc sur des thématiques spécifiques pourront être organisées en amont du comité de suivi.</w:t>
            </w:r>
          </w:p>
          <w:p w:rsidR="0035701C" w:rsidRDefault="00FB561B">
            <w:pPr>
              <w:spacing w:before="240" w:after="240"/>
              <w:jc w:val="left"/>
              <w:rPr>
                <w:szCs w:val="24"/>
              </w:rPr>
            </w:pPr>
            <w:r>
              <w:rPr>
                <w:szCs w:val="24"/>
              </w:rPr>
              <w:t>Liste détaillée des membres du Comité de suivi :</w:t>
            </w:r>
          </w:p>
          <w:p w:rsidR="0035701C" w:rsidRDefault="00FB561B">
            <w:pPr>
              <w:spacing w:before="240" w:after="240"/>
              <w:jc w:val="left"/>
              <w:rPr>
                <w:szCs w:val="24"/>
              </w:rPr>
            </w:pPr>
            <w:r>
              <w:rPr>
                <w:szCs w:val="24"/>
              </w:rPr>
              <w:t>NIVEAU COMMUNAUTAIRE :</w:t>
            </w:r>
          </w:p>
          <w:p w:rsidR="0035701C" w:rsidRDefault="00FB561B">
            <w:pPr>
              <w:spacing w:before="240" w:after="240"/>
              <w:jc w:val="left"/>
              <w:rPr>
                <w:szCs w:val="24"/>
              </w:rPr>
            </w:pPr>
            <w:r>
              <w:rPr>
                <w:szCs w:val="24"/>
              </w:rPr>
              <w:t>•             Commission européenne :</w:t>
            </w:r>
          </w:p>
          <w:p w:rsidR="0035701C" w:rsidRDefault="00FB561B">
            <w:pPr>
              <w:spacing w:before="240" w:after="240"/>
              <w:jc w:val="left"/>
              <w:rPr>
                <w:szCs w:val="24"/>
              </w:rPr>
            </w:pPr>
            <w:r>
              <w:rPr>
                <w:szCs w:val="24"/>
              </w:rPr>
              <w:t>-              Direction Générale de la po</w:t>
            </w:r>
            <w:r>
              <w:rPr>
                <w:szCs w:val="24"/>
              </w:rPr>
              <w:t>litique régionale</w:t>
            </w:r>
          </w:p>
          <w:p w:rsidR="0035701C" w:rsidRDefault="00FB561B">
            <w:pPr>
              <w:spacing w:before="240" w:after="240"/>
              <w:jc w:val="left"/>
              <w:rPr>
                <w:szCs w:val="24"/>
              </w:rPr>
            </w:pPr>
            <w:r>
              <w:rPr>
                <w:szCs w:val="24"/>
              </w:rPr>
              <w:t>-              Direction Générale de l’agriculture et du développement rural</w:t>
            </w:r>
          </w:p>
          <w:p w:rsidR="0035701C" w:rsidRDefault="00FB561B">
            <w:pPr>
              <w:spacing w:before="240" w:after="240"/>
              <w:jc w:val="left"/>
              <w:rPr>
                <w:szCs w:val="24"/>
              </w:rPr>
            </w:pPr>
            <w:r>
              <w:rPr>
                <w:szCs w:val="24"/>
              </w:rPr>
              <w:t>-              Direction Générale de l’emploi, des affaires sociales et de l’inclusion</w:t>
            </w:r>
          </w:p>
          <w:p w:rsidR="0035701C" w:rsidRDefault="00FB561B">
            <w:pPr>
              <w:spacing w:before="240" w:after="240"/>
              <w:jc w:val="left"/>
              <w:rPr>
                <w:szCs w:val="24"/>
              </w:rPr>
            </w:pPr>
            <w:r>
              <w:rPr>
                <w:szCs w:val="24"/>
              </w:rPr>
              <w:t>-              Direction Générale des affaires maritimes et de la pêche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Parlementaires européens de la circonscription européenne à laquelle appartient le territoire corse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1)            NIVEAU NATIONAL :</w:t>
            </w:r>
          </w:p>
          <w:p w:rsidR="0035701C" w:rsidRDefault="00FB561B">
            <w:pPr>
              <w:spacing w:before="240" w:after="240"/>
              <w:jc w:val="left"/>
              <w:rPr>
                <w:szCs w:val="24"/>
              </w:rPr>
            </w:pPr>
            <w:r>
              <w:rPr>
                <w:szCs w:val="24"/>
              </w:rPr>
              <w:t>Ministère de l’Intérieur</w:t>
            </w:r>
          </w:p>
          <w:p w:rsidR="0035701C" w:rsidRDefault="00FB561B">
            <w:pPr>
              <w:spacing w:before="240" w:after="240"/>
              <w:jc w:val="left"/>
              <w:rPr>
                <w:szCs w:val="24"/>
              </w:rPr>
            </w:pPr>
            <w:r>
              <w:rPr>
                <w:szCs w:val="24"/>
              </w:rPr>
              <w:t>Ministère de l’Agriculture, de l’Agroalimentaire et de la Forêt</w:t>
            </w:r>
          </w:p>
          <w:p w:rsidR="0035701C" w:rsidRDefault="00FB561B">
            <w:pPr>
              <w:spacing w:before="240" w:after="240"/>
              <w:jc w:val="left"/>
              <w:rPr>
                <w:szCs w:val="24"/>
              </w:rPr>
            </w:pPr>
            <w:r>
              <w:rPr>
                <w:szCs w:val="24"/>
              </w:rPr>
              <w:t>Ministère du Travai</w:t>
            </w:r>
            <w:r>
              <w:rPr>
                <w:szCs w:val="24"/>
              </w:rPr>
              <w:t>l, Emploi, Formation professionnelle et Dialogue social</w:t>
            </w:r>
          </w:p>
          <w:p w:rsidR="0035701C" w:rsidRDefault="00FB561B">
            <w:pPr>
              <w:spacing w:before="240" w:after="240"/>
              <w:jc w:val="left"/>
              <w:rPr>
                <w:szCs w:val="24"/>
              </w:rPr>
            </w:pPr>
            <w:r>
              <w:rPr>
                <w:szCs w:val="24"/>
              </w:rPr>
              <w:t>Ministère de l’écologie, du développement durable et de l’énergie</w:t>
            </w:r>
          </w:p>
          <w:p w:rsidR="0035701C" w:rsidRDefault="00FB561B">
            <w:pPr>
              <w:spacing w:before="240" w:after="240"/>
              <w:jc w:val="left"/>
              <w:rPr>
                <w:szCs w:val="24"/>
              </w:rPr>
            </w:pPr>
            <w:r>
              <w:rPr>
                <w:szCs w:val="24"/>
              </w:rPr>
              <w:t>Commissariat général à l’égalité des territoires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2) NIVEAU LOCAL :</w:t>
            </w:r>
          </w:p>
          <w:p w:rsidR="0035701C" w:rsidRDefault="00FB561B">
            <w:pPr>
              <w:spacing w:before="240" w:after="240"/>
              <w:jc w:val="left"/>
              <w:rPr>
                <w:szCs w:val="24"/>
              </w:rPr>
            </w:pPr>
            <w:r>
              <w:rPr>
                <w:szCs w:val="24"/>
              </w:rPr>
              <w:t>1.            Membres représentant les autorités régionales, loca</w:t>
            </w:r>
            <w:r>
              <w:rPr>
                <w:szCs w:val="24"/>
              </w:rPr>
              <w:t>les, urbaines et autres autorités publiques compétentes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Le Préfet de Corse ou son représentant (le SGAC) et le Président du Conseil Exécutif de Corse ou son représentant, coprésidents</w:t>
            </w:r>
          </w:p>
          <w:p w:rsidR="0035701C" w:rsidRDefault="00FB561B">
            <w:pPr>
              <w:spacing w:before="240" w:after="240"/>
              <w:jc w:val="left"/>
              <w:rPr>
                <w:szCs w:val="24"/>
              </w:rPr>
            </w:pPr>
            <w:r>
              <w:rPr>
                <w:szCs w:val="24"/>
              </w:rPr>
              <w:t>•             Le Président de l’Assemblée de Corse</w:t>
            </w:r>
          </w:p>
          <w:p w:rsidR="0035701C" w:rsidRDefault="00FB561B">
            <w:pPr>
              <w:spacing w:before="240" w:after="240"/>
              <w:jc w:val="left"/>
              <w:rPr>
                <w:szCs w:val="24"/>
              </w:rPr>
            </w:pPr>
            <w:r>
              <w:rPr>
                <w:szCs w:val="24"/>
              </w:rPr>
              <w:t>•    </w:t>
            </w:r>
            <w:r>
              <w:rPr>
                <w:szCs w:val="24"/>
              </w:rPr>
              <w:t>         Les Conseillers Exécutifs</w:t>
            </w:r>
          </w:p>
          <w:p w:rsidR="0035701C" w:rsidRDefault="00FB561B">
            <w:pPr>
              <w:spacing w:before="240" w:after="240"/>
              <w:jc w:val="left"/>
              <w:rPr>
                <w:szCs w:val="24"/>
              </w:rPr>
            </w:pPr>
            <w:r>
              <w:rPr>
                <w:szCs w:val="24"/>
              </w:rPr>
              <w:t>•             Les Présidents des commissions de l’Assemblée de Corse</w:t>
            </w:r>
          </w:p>
          <w:p w:rsidR="0035701C" w:rsidRDefault="00FB561B">
            <w:pPr>
              <w:spacing w:before="240" w:after="240"/>
              <w:jc w:val="left"/>
              <w:rPr>
                <w:szCs w:val="24"/>
              </w:rPr>
            </w:pPr>
            <w:r>
              <w:rPr>
                <w:szCs w:val="24"/>
              </w:rPr>
              <w:t>•             Des conseillers territoriaux désignés par l’Assemblée de Corse dont les délégations couvrent les thématiques des axes et priorités des pro</w:t>
            </w:r>
            <w:r>
              <w:rPr>
                <w:szCs w:val="24"/>
              </w:rPr>
              <w:t>grammes régionaux 2014-2020</w:t>
            </w:r>
          </w:p>
          <w:p w:rsidR="0035701C" w:rsidRDefault="00FB561B">
            <w:pPr>
              <w:spacing w:before="240" w:after="240"/>
              <w:jc w:val="left"/>
              <w:rPr>
                <w:szCs w:val="24"/>
              </w:rPr>
            </w:pPr>
            <w:r>
              <w:rPr>
                <w:szCs w:val="24"/>
              </w:rPr>
              <w:t>•             Le Préfet du département de la Haute-Corse</w:t>
            </w:r>
          </w:p>
          <w:p w:rsidR="0035701C" w:rsidRDefault="00FB561B">
            <w:pPr>
              <w:spacing w:before="240" w:after="240"/>
              <w:jc w:val="left"/>
              <w:rPr>
                <w:szCs w:val="24"/>
              </w:rPr>
            </w:pPr>
            <w:r>
              <w:rPr>
                <w:szCs w:val="24"/>
              </w:rPr>
              <w:t>•             Le Président du Conseil Général de la Corse-du-Sud</w:t>
            </w:r>
          </w:p>
          <w:p w:rsidR="0035701C" w:rsidRDefault="00FB561B">
            <w:pPr>
              <w:spacing w:before="240" w:after="240"/>
              <w:jc w:val="left"/>
              <w:rPr>
                <w:szCs w:val="24"/>
              </w:rPr>
            </w:pPr>
            <w:r>
              <w:rPr>
                <w:szCs w:val="24"/>
              </w:rPr>
              <w:t>•             Le Président du Conseil Général de la Haute-Corse</w:t>
            </w:r>
          </w:p>
          <w:p w:rsidR="0035701C" w:rsidRDefault="00FB561B">
            <w:pPr>
              <w:spacing w:before="240" w:after="240"/>
              <w:jc w:val="left"/>
              <w:rPr>
                <w:szCs w:val="24"/>
              </w:rPr>
            </w:pPr>
            <w:r>
              <w:rPr>
                <w:szCs w:val="24"/>
              </w:rPr>
              <w:t>•             Le Président de la Communaut</w:t>
            </w:r>
            <w:r>
              <w:rPr>
                <w:szCs w:val="24"/>
              </w:rPr>
              <w:t>é d’Agglomération de Bastia</w:t>
            </w:r>
          </w:p>
          <w:p w:rsidR="0035701C" w:rsidRDefault="00FB561B">
            <w:pPr>
              <w:spacing w:before="240" w:after="240"/>
              <w:jc w:val="left"/>
              <w:rPr>
                <w:szCs w:val="24"/>
              </w:rPr>
            </w:pPr>
            <w:r>
              <w:rPr>
                <w:szCs w:val="24"/>
              </w:rPr>
              <w:t>•             Le Président de la Communauté d’Agglomération du Pays Ajaccien</w:t>
            </w:r>
          </w:p>
          <w:p w:rsidR="0035701C" w:rsidRDefault="00FB561B">
            <w:pPr>
              <w:spacing w:before="240" w:after="240"/>
              <w:jc w:val="left"/>
              <w:rPr>
                <w:szCs w:val="24"/>
              </w:rPr>
            </w:pPr>
            <w:r>
              <w:rPr>
                <w:szCs w:val="24"/>
              </w:rPr>
              <w:t>•             Un représentant de l’association des maires de la Corse-du-Sud</w:t>
            </w:r>
          </w:p>
          <w:p w:rsidR="0035701C" w:rsidRDefault="00FB561B">
            <w:pPr>
              <w:spacing w:before="240" w:after="240"/>
              <w:jc w:val="left"/>
              <w:rPr>
                <w:szCs w:val="24"/>
              </w:rPr>
            </w:pPr>
            <w:r>
              <w:rPr>
                <w:szCs w:val="24"/>
              </w:rPr>
              <w:t>•             Un représentant de l’association des maires de la Haute-Cors</w:t>
            </w:r>
            <w:r>
              <w:rPr>
                <w:szCs w:val="24"/>
              </w:rPr>
              <w:t>e</w:t>
            </w:r>
          </w:p>
          <w:p w:rsidR="0035701C" w:rsidRDefault="00FB561B">
            <w:pPr>
              <w:spacing w:before="240" w:after="240"/>
              <w:jc w:val="left"/>
              <w:rPr>
                <w:szCs w:val="24"/>
              </w:rPr>
            </w:pPr>
            <w:r>
              <w:rPr>
                <w:szCs w:val="24"/>
              </w:rPr>
              <w:t>•             Le Président du Conseil Economique, Social et Culturel</w:t>
            </w:r>
          </w:p>
          <w:p w:rsidR="0035701C" w:rsidRDefault="00FB561B">
            <w:pPr>
              <w:spacing w:before="240" w:after="240"/>
              <w:jc w:val="left"/>
              <w:rPr>
                <w:szCs w:val="24"/>
              </w:rPr>
            </w:pPr>
            <w:r>
              <w:rPr>
                <w:szCs w:val="24"/>
              </w:rPr>
              <w:t>•             Le Président de la Chambre Régionale du Commerce et de l’Industrie</w:t>
            </w:r>
          </w:p>
          <w:p w:rsidR="0035701C" w:rsidRDefault="00FB561B">
            <w:pPr>
              <w:spacing w:before="240" w:after="240"/>
              <w:jc w:val="left"/>
              <w:rPr>
                <w:szCs w:val="24"/>
              </w:rPr>
            </w:pPr>
            <w:r>
              <w:rPr>
                <w:szCs w:val="24"/>
              </w:rPr>
              <w:t xml:space="preserve">•             Le Président de la Chambre du Commerce et de l’Industrie Territoriale de Bastia et de </w:t>
            </w:r>
            <w:r>
              <w:rPr>
                <w:szCs w:val="24"/>
              </w:rPr>
              <w:t>Haute-Corse</w:t>
            </w:r>
          </w:p>
          <w:p w:rsidR="0035701C" w:rsidRDefault="00FB561B">
            <w:pPr>
              <w:spacing w:before="240" w:after="240"/>
              <w:jc w:val="left"/>
              <w:rPr>
                <w:szCs w:val="24"/>
              </w:rPr>
            </w:pPr>
            <w:r>
              <w:rPr>
                <w:szCs w:val="24"/>
              </w:rPr>
              <w:t>•             Le Président de la Chambre du Commerce et de l’Industrie Territoriale d’Ajaccio et de Corse-du-Sud</w:t>
            </w:r>
          </w:p>
          <w:p w:rsidR="0035701C" w:rsidRDefault="00FB561B">
            <w:pPr>
              <w:spacing w:before="240" w:after="240"/>
              <w:jc w:val="left"/>
              <w:rPr>
                <w:szCs w:val="24"/>
              </w:rPr>
            </w:pPr>
            <w:r>
              <w:rPr>
                <w:szCs w:val="24"/>
              </w:rPr>
              <w:t>•             Le Président de la Chambre Régionale d’Agriculture de Corse</w:t>
            </w:r>
          </w:p>
          <w:p w:rsidR="0035701C" w:rsidRDefault="00FB561B">
            <w:pPr>
              <w:spacing w:before="240" w:after="240"/>
              <w:jc w:val="left"/>
              <w:rPr>
                <w:szCs w:val="24"/>
              </w:rPr>
            </w:pPr>
            <w:r>
              <w:rPr>
                <w:szCs w:val="24"/>
              </w:rPr>
              <w:t>•             Le Président de la Chambre d’Agriculture de</w:t>
            </w:r>
            <w:r>
              <w:rPr>
                <w:szCs w:val="24"/>
              </w:rPr>
              <w:t xml:space="preserve"> la Haute-Corse</w:t>
            </w:r>
          </w:p>
          <w:p w:rsidR="0035701C" w:rsidRDefault="00FB561B">
            <w:pPr>
              <w:spacing w:before="240" w:after="240"/>
              <w:jc w:val="left"/>
              <w:rPr>
                <w:szCs w:val="24"/>
              </w:rPr>
            </w:pPr>
            <w:r>
              <w:rPr>
                <w:szCs w:val="24"/>
              </w:rPr>
              <w:t>•             Le Président de la Chambre d’Agriculture de la Corse-du-Sud</w:t>
            </w:r>
          </w:p>
          <w:p w:rsidR="0035701C" w:rsidRDefault="00FB561B">
            <w:pPr>
              <w:spacing w:before="240" w:after="240"/>
              <w:jc w:val="left"/>
              <w:rPr>
                <w:szCs w:val="24"/>
              </w:rPr>
            </w:pPr>
            <w:r>
              <w:rPr>
                <w:szCs w:val="24"/>
              </w:rPr>
              <w:t>•             Le Président de la Chambre Régionale des Métiers et de l’Artisanat</w:t>
            </w:r>
          </w:p>
          <w:p w:rsidR="0035701C" w:rsidRDefault="00FB561B">
            <w:pPr>
              <w:spacing w:before="240" w:after="240"/>
              <w:jc w:val="left"/>
              <w:rPr>
                <w:szCs w:val="24"/>
              </w:rPr>
            </w:pPr>
            <w:r>
              <w:rPr>
                <w:szCs w:val="24"/>
              </w:rPr>
              <w:t>•             Le Président de la Chambre des Métiers et de l’Artisanat de la Haute-Co</w:t>
            </w:r>
            <w:r>
              <w:rPr>
                <w:szCs w:val="24"/>
              </w:rPr>
              <w:t>rse</w:t>
            </w:r>
          </w:p>
          <w:p w:rsidR="0035701C" w:rsidRDefault="00FB561B">
            <w:pPr>
              <w:spacing w:before="240" w:after="240"/>
              <w:jc w:val="left"/>
              <w:rPr>
                <w:szCs w:val="24"/>
              </w:rPr>
            </w:pPr>
            <w:r>
              <w:rPr>
                <w:szCs w:val="24"/>
              </w:rPr>
              <w:t>•             Le Président de la Chambre des Métiers et de l’Artisanat de la Corse-du-Sud</w:t>
            </w:r>
          </w:p>
          <w:p w:rsidR="0035701C" w:rsidRDefault="00FB561B">
            <w:pPr>
              <w:spacing w:before="240" w:after="240"/>
              <w:jc w:val="left"/>
              <w:rPr>
                <w:szCs w:val="24"/>
              </w:rPr>
            </w:pPr>
            <w:r>
              <w:rPr>
                <w:szCs w:val="24"/>
              </w:rPr>
              <w:t>•             Le Président de l’Université de Corse</w:t>
            </w:r>
          </w:p>
          <w:p w:rsidR="0035701C" w:rsidRDefault="00FB561B">
            <w:pPr>
              <w:spacing w:before="240" w:after="240"/>
              <w:jc w:val="left"/>
              <w:rPr>
                <w:szCs w:val="24"/>
              </w:rPr>
            </w:pPr>
            <w:r>
              <w:rPr>
                <w:szCs w:val="24"/>
              </w:rPr>
              <w:t>•             Le Président du Parc Naturel Régional de la Corse (PNRC)</w:t>
            </w:r>
          </w:p>
          <w:p w:rsidR="0035701C" w:rsidRDefault="00FB561B">
            <w:pPr>
              <w:spacing w:before="240" w:after="240"/>
              <w:jc w:val="left"/>
              <w:rPr>
                <w:szCs w:val="24"/>
              </w:rPr>
            </w:pPr>
            <w:r>
              <w:rPr>
                <w:szCs w:val="24"/>
              </w:rPr>
              <w:t>•             les Présidents des Groupe</w:t>
            </w:r>
            <w:r>
              <w:rPr>
                <w:szCs w:val="24"/>
              </w:rPr>
              <w:t>s d’Action Locale (GAL) et les représentants des Investissements Territoriaux Intégrés (ITI)</w:t>
            </w:r>
          </w:p>
          <w:p w:rsidR="0035701C" w:rsidRDefault="00FB561B">
            <w:pPr>
              <w:spacing w:before="240" w:after="240"/>
              <w:jc w:val="left"/>
              <w:rPr>
                <w:szCs w:val="24"/>
              </w:rPr>
            </w:pPr>
            <w:r>
              <w:rPr>
                <w:szCs w:val="24"/>
              </w:rPr>
              <w:t>•             Le Directeur de l’Agence de Développement Economique de la Corse (ADEC)</w:t>
            </w:r>
          </w:p>
          <w:p w:rsidR="0035701C" w:rsidRDefault="00FB561B">
            <w:pPr>
              <w:spacing w:before="240" w:after="240"/>
              <w:jc w:val="left"/>
              <w:rPr>
                <w:szCs w:val="24"/>
              </w:rPr>
            </w:pPr>
            <w:r>
              <w:rPr>
                <w:szCs w:val="24"/>
              </w:rPr>
              <w:t>•             Le Directeur de l’Agence du Tourisme de la Corse (ATC)</w:t>
            </w:r>
          </w:p>
          <w:p w:rsidR="0035701C" w:rsidRDefault="00FB561B">
            <w:pPr>
              <w:spacing w:before="240" w:after="240"/>
              <w:jc w:val="left"/>
              <w:rPr>
                <w:szCs w:val="24"/>
              </w:rPr>
            </w:pPr>
            <w:r>
              <w:rPr>
                <w:szCs w:val="24"/>
              </w:rPr>
              <w:t>•       </w:t>
            </w:r>
            <w:r>
              <w:rPr>
                <w:szCs w:val="24"/>
              </w:rPr>
              <w:t>      Le Directeur de l’Office de l’Environnement de la Corse (OEC)</w:t>
            </w:r>
          </w:p>
          <w:p w:rsidR="0035701C" w:rsidRDefault="00FB561B">
            <w:pPr>
              <w:spacing w:before="240" w:after="240"/>
              <w:jc w:val="left"/>
              <w:rPr>
                <w:szCs w:val="24"/>
              </w:rPr>
            </w:pPr>
            <w:r>
              <w:rPr>
                <w:szCs w:val="24"/>
              </w:rPr>
              <w:t>•             Le Directeur de l’Agence d’Aménagement, de planification et d’Urbanisme de la Corse (AAUC)</w:t>
            </w:r>
          </w:p>
          <w:p w:rsidR="0035701C" w:rsidRDefault="00FB561B">
            <w:pPr>
              <w:spacing w:before="240" w:after="240"/>
              <w:jc w:val="left"/>
              <w:rPr>
                <w:szCs w:val="24"/>
              </w:rPr>
            </w:pPr>
            <w:r>
              <w:rPr>
                <w:szCs w:val="24"/>
              </w:rPr>
              <w:t xml:space="preserve">•             Le Directeur de l’Office du Développement Agricole et Rural de Corse </w:t>
            </w:r>
            <w:r>
              <w:rPr>
                <w:szCs w:val="24"/>
              </w:rPr>
              <w:t>(ODARC)</w:t>
            </w:r>
          </w:p>
          <w:p w:rsidR="0035701C" w:rsidRDefault="00FB561B">
            <w:pPr>
              <w:spacing w:before="240" w:after="240"/>
              <w:jc w:val="left"/>
              <w:rPr>
                <w:szCs w:val="24"/>
              </w:rPr>
            </w:pPr>
            <w:r>
              <w:rPr>
                <w:szCs w:val="24"/>
              </w:rPr>
              <w:t>•             Le Recteur de l’Académie de Corse</w:t>
            </w:r>
          </w:p>
          <w:p w:rsidR="0035701C" w:rsidRDefault="00FB561B">
            <w:pPr>
              <w:spacing w:before="240" w:after="240"/>
              <w:jc w:val="left"/>
              <w:rPr>
                <w:szCs w:val="24"/>
              </w:rPr>
            </w:pPr>
            <w:r>
              <w:rPr>
                <w:szCs w:val="24"/>
              </w:rPr>
              <w:t>•             Le Délégué Régional à la Recherche et à la Technologie</w:t>
            </w:r>
          </w:p>
          <w:p w:rsidR="0035701C" w:rsidRDefault="00FB561B">
            <w:pPr>
              <w:spacing w:before="240" w:after="240"/>
              <w:jc w:val="left"/>
              <w:rPr>
                <w:szCs w:val="24"/>
              </w:rPr>
            </w:pPr>
            <w:r>
              <w:rPr>
                <w:szCs w:val="24"/>
              </w:rPr>
              <w:t>•             Le Directeur de l’Agence Régionale de Santé</w:t>
            </w:r>
          </w:p>
          <w:p w:rsidR="0035701C" w:rsidRDefault="00FB561B">
            <w:pPr>
              <w:spacing w:before="240" w:after="240"/>
              <w:jc w:val="left"/>
              <w:rPr>
                <w:szCs w:val="24"/>
              </w:rPr>
            </w:pPr>
            <w:r>
              <w:rPr>
                <w:szCs w:val="24"/>
              </w:rPr>
              <w:t>•             Le Directeur Régional des Finances Publiques</w:t>
            </w:r>
          </w:p>
          <w:p w:rsidR="0035701C" w:rsidRDefault="00FB561B">
            <w:pPr>
              <w:spacing w:before="240" w:after="240"/>
              <w:jc w:val="left"/>
              <w:rPr>
                <w:szCs w:val="24"/>
              </w:rPr>
            </w:pPr>
            <w:r>
              <w:rPr>
                <w:szCs w:val="24"/>
              </w:rPr>
              <w:t xml:space="preserve">•             </w:t>
            </w:r>
            <w:r>
              <w:rPr>
                <w:szCs w:val="24"/>
              </w:rPr>
              <w:t>Le Directeur Régional des Entreprises, de la Concurrence, de la Consommation, du Travail et de l'Emploi</w:t>
            </w:r>
          </w:p>
          <w:p w:rsidR="0035701C" w:rsidRDefault="00FB561B">
            <w:pPr>
              <w:spacing w:before="240" w:after="240"/>
              <w:jc w:val="left"/>
              <w:rPr>
                <w:szCs w:val="24"/>
              </w:rPr>
            </w:pPr>
            <w:r>
              <w:rPr>
                <w:szCs w:val="24"/>
              </w:rPr>
              <w:t>•             La Déléguée Régionale aux Droits des Femmes et à l’Egalité</w:t>
            </w:r>
          </w:p>
          <w:p w:rsidR="0035701C" w:rsidRDefault="00FB561B">
            <w:pPr>
              <w:spacing w:before="240" w:after="240"/>
              <w:jc w:val="left"/>
              <w:rPr>
                <w:szCs w:val="24"/>
              </w:rPr>
            </w:pPr>
            <w:r>
              <w:rPr>
                <w:szCs w:val="24"/>
              </w:rPr>
              <w:t xml:space="preserve">•             Le Directeur Régional de l'Environnement, de l'Aménagement et du </w:t>
            </w:r>
            <w:r>
              <w:rPr>
                <w:szCs w:val="24"/>
              </w:rPr>
              <w:t>Territoire et du Logement</w:t>
            </w:r>
          </w:p>
          <w:p w:rsidR="0035701C" w:rsidRDefault="00FB561B">
            <w:pPr>
              <w:spacing w:before="240" w:after="240"/>
              <w:jc w:val="left"/>
              <w:rPr>
                <w:szCs w:val="24"/>
              </w:rPr>
            </w:pPr>
            <w:r>
              <w:rPr>
                <w:szCs w:val="24"/>
              </w:rPr>
              <w:t>•             Le Directeur Régional de l’Alimentation, de l’Agriculture et de la Forêt</w:t>
            </w:r>
          </w:p>
          <w:p w:rsidR="0035701C" w:rsidRDefault="00FB561B">
            <w:pPr>
              <w:spacing w:before="240" w:after="240"/>
              <w:jc w:val="left"/>
              <w:rPr>
                <w:szCs w:val="24"/>
              </w:rPr>
            </w:pPr>
            <w:r>
              <w:rPr>
                <w:szCs w:val="24"/>
              </w:rPr>
              <w:t>•             Le Directeur de l’Agence de l’Environnement et de la Maîtrise de l’Energie</w:t>
            </w:r>
          </w:p>
          <w:p w:rsidR="0035701C" w:rsidRDefault="00FB561B">
            <w:pPr>
              <w:spacing w:before="240" w:after="240"/>
              <w:jc w:val="left"/>
              <w:rPr>
                <w:szCs w:val="24"/>
              </w:rPr>
            </w:pPr>
            <w:r>
              <w:rPr>
                <w:szCs w:val="24"/>
              </w:rPr>
              <w:t>•             Le Directeur Interrégional de la Mer Méd</w:t>
            </w:r>
            <w:r>
              <w:rPr>
                <w:szCs w:val="24"/>
              </w:rPr>
              <w:t>iterranée</w:t>
            </w:r>
          </w:p>
          <w:p w:rsidR="0035701C" w:rsidRDefault="00FB561B">
            <w:pPr>
              <w:spacing w:before="240" w:after="240"/>
              <w:jc w:val="left"/>
              <w:rPr>
                <w:szCs w:val="24"/>
              </w:rPr>
            </w:pPr>
            <w:r>
              <w:rPr>
                <w:szCs w:val="24"/>
              </w:rPr>
              <w:t>•             Le Directeur de l’Agence de l’Eau Rhône Méditerranée Corse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2.            Membres représentant les partenaires économiques et sociaux</w:t>
            </w:r>
          </w:p>
          <w:p w:rsidR="0035701C" w:rsidRDefault="00FB561B">
            <w:pPr>
              <w:spacing w:before="240" w:after="240"/>
              <w:jc w:val="left"/>
              <w:rPr>
                <w:szCs w:val="24"/>
              </w:rPr>
            </w:pPr>
            <w:r>
              <w:rPr>
                <w:szCs w:val="24"/>
              </w:rPr>
              <w:t xml:space="preserve">•             Les membres du Conseil de l’innovation 3S (entrepreneurs et chercheurs </w:t>
            </w:r>
            <w:r>
              <w:rPr>
                <w:szCs w:val="24"/>
              </w:rPr>
              <w:t>représentatifs)</w:t>
            </w:r>
          </w:p>
          <w:p w:rsidR="0035701C" w:rsidRDefault="00FB561B">
            <w:pPr>
              <w:spacing w:before="240" w:after="240"/>
              <w:jc w:val="left"/>
              <w:rPr>
                <w:szCs w:val="24"/>
              </w:rPr>
            </w:pPr>
            <w:r>
              <w:rPr>
                <w:szCs w:val="24"/>
              </w:rPr>
              <w:t>•             Cinq représentants des organisations syndicales parmi celles qui siègent au Conseil Economique, Social et Culturel de Corse (CESCC), désignés par le préfet de Corse et le président du conseil exécutif de Corse, sur proposition</w:t>
            </w:r>
            <w:r>
              <w:rPr>
                <w:szCs w:val="24"/>
              </w:rPr>
              <w:t xml:space="preserve"> du président du conseil économique, social et culturel de Corse.</w:t>
            </w:r>
          </w:p>
          <w:p w:rsidR="0035701C" w:rsidRDefault="00FB561B">
            <w:pPr>
              <w:spacing w:before="240" w:after="240"/>
              <w:jc w:val="left"/>
              <w:rPr>
                <w:szCs w:val="24"/>
              </w:rPr>
            </w:pPr>
            <w:r>
              <w:rPr>
                <w:szCs w:val="24"/>
              </w:rPr>
              <w:t>3.            Les organismes représentant la société civile</w:t>
            </w:r>
          </w:p>
          <w:p w:rsidR="0035701C" w:rsidRDefault="00FB561B">
            <w:pPr>
              <w:spacing w:before="240" w:after="240"/>
              <w:jc w:val="left"/>
              <w:rPr>
                <w:szCs w:val="24"/>
              </w:rPr>
            </w:pPr>
            <w:r>
              <w:rPr>
                <w:szCs w:val="24"/>
              </w:rPr>
              <w:t>•             Six représentants des associations représentatives dont trois dans le domaine de</w:t>
            </w:r>
            <w:r>
              <w:rPr>
                <w:szCs w:val="24"/>
              </w:rPr>
              <w:br/>
              <w:t>l’environnement, et trois dans de d</w:t>
            </w:r>
            <w:r>
              <w:rPr>
                <w:szCs w:val="24"/>
              </w:rPr>
              <w:t>omaine de la formation et de la lutte contre les</w:t>
            </w:r>
            <w:r>
              <w:rPr>
                <w:szCs w:val="24"/>
              </w:rPr>
              <w:br/>
              <w:t>discriminations, désignés par le préfet de Corse et le président du conseil exécutif de</w:t>
            </w:r>
            <w:r>
              <w:rPr>
                <w:szCs w:val="24"/>
              </w:rPr>
              <w:br/>
              <w:t>Corse, sur proposition du président du conseil économique social et culturel de Corse,</w:t>
            </w:r>
          </w:p>
          <w:p w:rsidR="0035701C" w:rsidRDefault="00FB561B">
            <w:pPr>
              <w:spacing w:before="240" w:after="240"/>
              <w:jc w:val="left"/>
              <w:rPr>
                <w:szCs w:val="24"/>
              </w:rPr>
            </w:pPr>
            <w:r>
              <w:rPr>
                <w:szCs w:val="24"/>
              </w:rPr>
              <w:t>A cette liste, il convient d'ajo</w:t>
            </w:r>
            <w:r>
              <w:rPr>
                <w:szCs w:val="24"/>
              </w:rPr>
              <w:t>uter les représentants des filières agricoles  c'est à dire les Chambres d'Agriculture, les représentants du monde rural c'est à dire les présidents des GAL qui sont membres de droit du Comité de suivi et les partenaires environnementaux.</w:t>
            </w:r>
          </w:p>
          <w:p w:rsidR="0035701C" w:rsidRDefault="00FB561B">
            <w:pPr>
              <w:spacing w:before="240" w:after="240"/>
              <w:jc w:val="left"/>
              <w:rPr>
                <w:szCs w:val="24"/>
              </w:rPr>
            </w:pPr>
            <w:r>
              <w:rPr>
                <w:szCs w:val="24"/>
              </w:rPr>
              <w:t>La composition du</w:t>
            </w:r>
            <w:r>
              <w:rPr>
                <w:szCs w:val="24"/>
              </w:rPr>
              <w:t xml:space="preserve"> Comité de suivi correspond ainsi aux exigences des articles 5 et 48 du règlement (UE) n°1303/2013.</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Comité de programmation (Comité Régional de Programmation des Aides) :</w:t>
            </w:r>
          </w:p>
          <w:p w:rsidR="0035701C" w:rsidRDefault="00FB561B">
            <w:pPr>
              <w:spacing w:before="240" w:after="240"/>
              <w:jc w:val="left"/>
              <w:rPr>
                <w:szCs w:val="24"/>
              </w:rPr>
            </w:pPr>
            <w:r>
              <w:rPr>
                <w:szCs w:val="24"/>
              </w:rPr>
              <w:t>Dans un souci de complémentarité entre les fonds, un comité de programmation (Comit</w:t>
            </w:r>
            <w:r>
              <w:rPr>
                <w:szCs w:val="24"/>
              </w:rPr>
              <w:t>é Régional de Programmation des Aides) commun à l’ensemble des fonds se réunit au moins 1 fois par mois et tant que de besoin jusqu’à la fin de la période de programmation.</w:t>
            </w:r>
          </w:p>
          <w:p w:rsidR="0035701C" w:rsidRDefault="00FB561B">
            <w:pPr>
              <w:spacing w:before="240" w:after="240"/>
              <w:jc w:val="left"/>
              <w:rPr>
                <w:szCs w:val="24"/>
              </w:rPr>
            </w:pPr>
            <w:r>
              <w:rPr>
                <w:szCs w:val="24"/>
              </w:rPr>
              <w:t>Le comité de programmation examine les dossiers, donne un avis préalable aux décisi</w:t>
            </w:r>
            <w:r>
              <w:rPr>
                <w:szCs w:val="24"/>
              </w:rPr>
              <w:t>ons d’attribution des aides financières prises par l’autorité de gestion et confirme la participation financière de l’Etat en contrepartie du Feader. Il assure le suivi de la programmation effective des crédits dans la perspective du respect des contrainte</w:t>
            </w:r>
            <w:r>
              <w:rPr>
                <w:szCs w:val="24"/>
              </w:rPr>
              <w:t>s du dégagement d’office, et dans un souci de transparence, de partenariat et de coordination entre les fonds.</w:t>
            </w:r>
          </w:p>
          <w:p w:rsidR="0035701C" w:rsidRDefault="00FB561B">
            <w:pPr>
              <w:spacing w:before="240" w:after="240"/>
              <w:jc w:val="left"/>
              <w:rPr>
                <w:szCs w:val="24"/>
              </w:rPr>
            </w:pPr>
            <w:r>
              <w:rPr>
                <w:szCs w:val="24"/>
              </w:rPr>
              <w:t>Composition :</w:t>
            </w:r>
          </w:p>
          <w:p w:rsidR="0035701C" w:rsidRDefault="00FB561B">
            <w:pPr>
              <w:spacing w:before="240" w:after="240"/>
              <w:jc w:val="left"/>
              <w:rPr>
                <w:szCs w:val="24"/>
              </w:rPr>
            </w:pPr>
            <w:r>
              <w:rPr>
                <w:szCs w:val="24"/>
              </w:rPr>
              <w:t>Le Président du Conseil Exécutif de Corse ou son représentant,</w:t>
            </w:r>
          </w:p>
          <w:p w:rsidR="0035701C" w:rsidRDefault="00FB561B">
            <w:pPr>
              <w:spacing w:before="240" w:after="240"/>
              <w:jc w:val="left"/>
              <w:rPr>
                <w:szCs w:val="24"/>
              </w:rPr>
            </w:pPr>
            <w:r>
              <w:rPr>
                <w:szCs w:val="24"/>
              </w:rPr>
              <w:t>Le Directeur de l’Office du Développement Agricole et Rural de Corse</w:t>
            </w:r>
            <w:r>
              <w:rPr>
                <w:szCs w:val="24"/>
              </w:rPr>
              <w:t xml:space="preserve"> ou son représentant, en tant qu’organisme payeur du Programme de Développement Rural de la Corse,</w:t>
            </w:r>
          </w:p>
          <w:p w:rsidR="0035701C" w:rsidRDefault="00FB561B">
            <w:pPr>
              <w:spacing w:before="240" w:after="240"/>
              <w:jc w:val="left"/>
              <w:rPr>
                <w:szCs w:val="24"/>
              </w:rPr>
            </w:pPr>
            <w:r>
              <w:rPr>
                <w:szCs w:val="24"/>
              </w:rPr>
              <w:t>Le Payeur de Corse ou son représentant,</w:t>
            </w:r>
          </w:p>
          <w:p w:rsidR="0035701C" w:rsidRDefault="00FB561B">
            <w:pPr>
              <w:spacing w:before="240" w:after="240"/>
              <w:jc w:val="left"/>
              <w:rPr>
                <w:szCs w:val="24"/>
              </w:rPr>
            </w:pPr>
            <w:r>
              <w:rPr>
                <w:szCs w:val="24"/>
              </w:rPr>
              <w:t>M. le Préfet de Corse ou son représentant,</w:t>
            </w:r>
          </w:p>
          <w:p w:rsidR="0035701C" w:rsidRDefault="00FB561B">
            <w:pPr>
              <w:spacing w:before="240" w:after="240"/>
              <w:jc w:val="left"/>
              <w:rPr>
                <w:szCs w:val="24"/>
              </w:rPr>
            </w:pPr>
            <w:r>
              <w:rPr>
                <w:szCs w:val="24"/>
              </w:rPr>
              <w:t>M. le Préfet de la Haute-Corse ou son représentant,</w:t>
            </w:r>
          </w:p>
          <w:p w:rsidR="0035701C" w:rsidRDefault="00FB561B">
            <w:pPr>
              <w:spacing w:before="240" w:after="240"/>
              <w:jc w:val="left"/>
              <w:rPr>
                <w:szCs w:val="24"/>
              </w:rPr>
            </w:pPr>
            <w:r>
              <w:rPr>
                <w:szCs w:val="24"/>
              </w:rPr>
              <w:t>M. le Directeur Région</w:t>
            </w:r>
            <w:r>
              <w:rPr>
                <w:szCs w:val="24"/>
              </w:rPr>
              <w:t>al des Finances Publiques de Corse ou son représentant,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Il associe les directeurs des agences de l’Etat ou leur représentant,</w:t>
            </w:r>
          </w:p>
          <w:p w:rsidR="0035701C" w:rsidRDefault="00FB561B">
            <w:pPr>
              <w:spacing w:before="240" w:after="240"/>
              <w:jc w:val="left"/>
              <w:rPr>
                <w:szCs w:val="24"/>
              </w:rPr>
            </w:pPr>
            <w:r>
              <w:rPr>
                <w:szCs w:val="24"/>
              </w:rPr>
              <w:t>Pour les projets qu’ils cofinancent :</w:t>
            </w:r>
          </w:p>
          <w:p w:rsidR="0035701C" w:rsidRDefault="00FB561B">
            <w:pPr>
              <w:spacing w:before="240" w:after="240"/>
              <w:jc w:val="left"/>
              <w:rPr>
                <w:szCs w:val="24"/>
              </w:rPr>
            </w:pPr>
            <w:r>
              <w:rPr>
                <w:szCs w:val="24"/>
              </w:rPr>
              <w:t>Le Président du Conseil Départemental de Corse-du-Sud ou son représentant,</w:t>
            </w:r>
          </w:p>
          <w:p w:rsidR="0035701C" w:rsidRDefault="00FB561B">
            <w:pPr>
              <w:spacing w:before="240" w:after="240"/>
              <w:jc w:val="left"/>
              <w:rPr>
                <w:szCs w:val="24"/>
              </w:rPr>
            </w:pPr>
            <w:r>
              <w:rPr>
                <w:szCs w:val="24"/>
              </w:rPr>
              <w:t>Le Président du</w:t>
            </w:r>
            <w:r>
              <w:rPr>
                <w:szCs w:val="24"/>
              </w:rPr>
              <w:t xml:space="preserve"> Conseil Départemental de Haute-Corse ou son représentant,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Pour les projets pour lesquels ils sont maîtres d’ouvrage :</w:t>
            </w:r>
          </w:p>
          <w:p w:rsidR="0035701C" w:rsidRDefault="00FB561B">
            <w:pPr>
              <w:spacing w:before="240" w:after="240"/>
              <w:jc w:val="left"/>
              <w:rPr>
                <w:szCs w:val="24"/>
              </w:rPr>
            </w:pPr>
            <w:r>
              <w:rPr>
                <w:szCs w:val="24"/>
              </w:rPr>
              <w:t>Le Président de la Communauté d’Agglomération du Pays Ajaccien ou son représentant,</w:t>
            </w:r>
          </w:p>
          <w:p w:rsidR="0035701C" w:rsidRDefault="00FB561B">
            <w:pPr>
              <w:spacing w:before="240" w:after="240"/>
              <w:jc w:val="left"/>
              <w:rPr>
                <w:szCs w:val="24"/>
              </w:rPr>
            </w:pPr>
            <w:r>
              <w:rPr>
                <w:szCs w:val="24"/>
              </w:rPr>
              <w:t xml:space="preserve">Le Président de la Communauté d’Agglomération de </w:t>
            </w:r>
            <w:r>
              <w:rPr>
                <w:szCs w:val="24"/>
              </w:rPr>
              <w:t>Bastia ou son représentant,</w:t>
            </w:r>
          </w:p>
          <w:p w:rsidR="0035701C" w:rsidRDefault="00FB561B">
            <w:pPr>
              <w:spacing w:before="240" w:after="240"/>
              <w:jc w:val="left"/>
              <w:rPr>
                <w:szCs w:val="24"/>
              </w:rPr>
            </w:pPr>
            <w:r>
              <w:rPr>
                <w:szCs w:val="24"/>
              </w:rPr>
              <w:t>Le Maire d’Ajaccio ou son représentant,</w:t>
            </w:r>
          </w:p>
          <w:p w:rsidR="0035701C" w:rsidRDefault="00FB561B">
            <w:pPr>
              <w:spacing w:before="240" w:after="240"/>
              <w:jc w:val="left"/>
              <w:rPr>
                <w:szCs w:val="24"/>
              </w:rPr>
            </w:pPr>
            <w:r>
              <w:rPr>
                <w:szCs w:val="24"/>
              </w:rPr>
              <w:t>Le Maire de Bastia ou son représentant,</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xml:space="preserve">Le Président du Conseil Exécutif de Corse et le Préfet de Corse peuvent convier tout élu ou expert thématique qu’ils jugent utile en fonction des </w:t>
            </w:r>
            <w:r>
              <w:rPr>
                <w:szCs w:val="24"/>
              </w:rPr>
              <w:t>sujets abordés à l’ordre du jour.</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Le comité de programmation comprend notamment : les représentants de la Région, Etat, Départements, agglomérations ou tout autre structure en fonction de l’ordre du jour.</w:t>
            </w:r>
          </w:p>
          <w:p w:rsidR="0035701C" w:rsidRDefault="0035701C">
            <w:pPr>
              <w:pStyle w:val="Corpsdetexte"/>
            </w:pPr>
          </w:p>
        </w:tc>
      </w:tr>
    </w:tbl>
    <w:p w:rsidR="0035701C" w:rsidRDefault="00FB561B">
      <w:pPr>
        <w:pStyle w:val="Titre2"/>
        <w:rPr>
          <w:b w:val="0"/>
        </w:rPr>
      </w:pPr>
      <w:bookmarkStart w:id="185" w:name="_Toc256000184"/>
      <w:r>
        <w:rPr>
          <w:b w:val="0"/>
        </w:rPr>
        <w:t xml:space="preserve">Dispositions prévues pour assurer la publicité </w:t>
      </w:r>
      <w:r>
        <w:rPr>
          <w:b w:val="0"/>
        </w:rPr>
        <w:t xml:space="preserve">du programme, y compris au moyen du réseau rural national, en faisant référence à la stratégie d'information et de publicité, qui décrit en détail les dispositions pratiques en matière d'information et de publicité pour le programme, visées à l'article 13 </w:t>
      </w:r>
      <w:r>
        <w:rPr>
          <w:b w:val="0"/>
        </w:rPr>
        <w:t>du règlement (UE) n° 808/2014</w:t>
      </w:r>
      <w:bookmarkEnd w:id="18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L’Union européenne souhaite mettre en œuvre une approche plus stratégique, plus cohérente, plus performante entre les différents fonds. Le transfert de gestion des fonds européens en France, de l’Etat aux Régions, s’inscrit da</w:t>
            </w:r>
            <w:r>
              <w:rPr>
                <w:szCs w:val="24"/>
              </w:rPr>
              <w:t>ns cette logique avec deux objectifs essentiels : mettre en place une gestion de proximité adaptée aux spécificités des territoires et rapprocher l’Europe des citoyens.</w:t>
            </w:r>
          </w:p>
          <w:p w:rsidR="0035701C" w:rsidRDefault="00FB561B">
            <w:pPr>
              <w:spacing w:before="240" w:after="240"/>
              <w:jc w:val="left"/>
              <w:rPr>
                <w:szCs w:val="24"/>
              </w:rPr>
            </w:pPr>
            <w:r>
              <w:rPr>
                <w:szCs w:val="24"/>
              </w:rPr>
              <w:t>L'Autorité de gestion a fait le choix d'une stratégie d'information et de publicité int</w:t>
            </w:r>
            <w:r>
              <w:rPr>
                <w:szCs w:val="24"/>
              </w:rPr>
              <w:t>erfonds.</w:t>
            </w:r>
          </w:p>
          <w:p w:rsidR="0035701C" w:rsidRDefault="00FB561B">
            <w:pPr>
              <w:spacing w:before="240" w:after="240"/>
              <w:jc w:val="left"/>
              <w:rPr>
                <w:szCs w:val="24"/>
              </w:rPr>
            </w:pPr>
            <w:r>
              <w:rPr>
                <w:szCs w:val="24"/>
              </w:rPr>
              <w:t>L’orientation générale est de corréler les actions de communication sur les fonds européens avec celles de la Corse pour mutualiser de manière optimale l’ensemble des moyens mis en œuvre, ainsi qu’avec les actions de communication des 6 partenaire</w:t>
            </w:r>
            <w:r>
              <w:rPr>
                <w:szCs w:val="24"/>
              </w:rPr>
              <w:t>s (notamment l’Etat, les Collectivités locales et les organismes intermédiaires ainsi que le Centre d’Information Europe direct) et les réseaux thématiques présents dans la région.</w:t>
            </w:r>
          </w:p>
          <w:p w:rsidR="0035701C" w:rsidRDefault="00FB561B">
            <w:pPr>
              <w:spacing w:before="240" w:after="240"/>
              <w:jc w:val="left"/>
              <w:rPr>
                <w:szCs w:val="24"/>
              </w:rPr>
            </w:pPr>
            <w:r>
              <w:rPr>
                <w:szCs w:val="24"/>
              </w:rPr>
              <w:t>  La Collectivité Territoriale de Corse décline les deux objectifs règlemen</w:t>
            </w:r>
            <w:r>
              <w:rPr>
                <w:szCs w:val="24"/>
              </w:rPr>
              <w:t>taires en cinq objectifs stratégiques:</w:t>
            </w:r>
          </w:p>
          <w:p w:rsidR="0035701C" w:rsidRDefault="00FB561B" w:rsidP="00FB561B">
            <w:pPr>
              <w:numPr>
                <w:ilvl w:val="0"/>
                <w:numId w:val="1002"/>
              </w:numPr>
              <w:spacing w:before="240" w:after="0"/>
              <w:ind w:hanging="210"/>
              <w:jc w:val="left"/>
              <w:rPr>
                <w:szCs w:val="24"/>
              </w:rPr>
            </w:pPr>
            <w:r>
              <w:rPr>
                <w:szCs w:val="24"/>
              </w:rPr>
              <w:t>Informer sur les actions concrètes des politiques européennes en Corse;</w:t>
            </w:r>
          </w:p>
          <w:p w:rsidR="0035701C" w:rsidRDefault="00FB561B" w:rsidP="00FB561B">
            <w:pPr>
              <w:numPr>
                <w:ilvl w:val="0"/>
                <w:numId w:val="1002"/>
              </w:numPr>
              <w:spacing w:before="0" w:after="0"/>
              <w:ind w:hanging="210"/>
              <w:jc w:val="left"/>
              <w:rPr>
                <w:szCs w:val="24"/>
              </w:rPr>
            </w:pPr>
            <w:r>
              <w:rPr>
                <w:szCs w:val="24"/>
              </w:rPr>
              <w:t> Rendre les mesures des programmes accessibles et informer sur les possibilités de financements;</w:t>
            </w:r>
          </w:p>
          <w:p w:rsidR="0035701C" w:rsidRDefault="00FB561B" w:rsidP="00FB561B">
            <w:pPr>
              <w:numPr>
                <w:ilvl w:val="0"/>
                <w:numId w:val="1002"/>
              </w:numPr>
              <w:spacing w:before="0" w:after="0"/>
              <w:ind w:hanging="210"/>
              <w:jc w:val="left"/>
              <w:rPr>
                <w:szCs w:val="24"/>
              </w:rPr>
            </w:pPr>
            <w:r>
              <w:rPr>
                <w:szCs w:val="24"/>
              </w:rPr>
              <w:t> Informer sur l’état d’avancement des programmes</w:t>
            </w:r>
            <w:r>
              <w:rPr>
                <w:szCs w:val="24"/>
              </w:rPr>
              <w:t xml:space="preserve"> et sur les résultats obtenus;</w:t>
            </w:r>
          </w:p>
          <w:p w:rsidR="0035701C" w:rsidRDefault="00FB561B" w:rsidP="00FB561B">
            <w:pPr>
              <w:numPr>
                <w:ilvl w:val="0"/>
                <w:numId w:val="1002"/>
              </w:numPr>
              <w:spacing w:before="0" w:after="0"/>
              <w:ind w:hanging="210"/>
              <w:jc w:val="left"/>
              <w:rPr>
                <w:szCs w:val="24"/>
              </w:rPr>
            </w:pPr>
            <w:r>
              <w:rPr>
                <w:szCs w:val="24"/>
              </w:rPr>
              <w:t> Faire des bénéficiaires des ambassadeurs des fonds européens;</w:t>
            </w:r>
          </w:p>
          <w:p w:rsidR="0035701C" w:rsidRDefault="00FB561B" w:rsidP="00FB561B">
            <w:pPr>
              <w:numPr>
                <w:ilvl w:val="0"/>
                <w:numId w:val="1002"/>
              </w:numPr>
              <w:spacing w:before="0" w:after="240"/>
              <w:ind w:hanging="210"/>
              <w:jc w:val="left"/>
              <w:rPr>
                <w:szCs w:val="24"/>
              </w:rPr>
            </w:pPr>
            <w:r>
              <w:rPr>
                <w:szCs w:val="24"/>
              </w:rPr>
              <w:t> Amplifier la diffusion des messages sur les contenus des programmes grâce aux relais d’information.</w:t>
            </w:r>
          </w:p>
          <w:p w:rsidR="0035701C" w:rsidRDefault="00FB561B">
            <w:pPr>
              <w:spacing w:before="240" w:after="240"/>
              <w:jc w:val="left"/>
              <w:rPr>
                <w:szCs w:val="24"/>
              </w:rPr>
            </w:pPr>
            <w:r>
              <w:rPr>
                <w:szCs w:val="24"/>
              </w:rPr>
              <w:t>Sept publics cibles sont divisés en deux catégories de cibles</w:t>
            </w:r>
            <w:r>
              <w:rPr>
                <w:szCs w:val="24"/>
              </w:rPr>
              <w:t xml:space="preserve"> : les cibles principales fixées par le règlement (UE) n° 1303/2013 (le grand public et les scolaires d'une part et les bénéficiaires potentiels d'autre part) et les cibles intermédiaires au nombre de cinq: les partenaires du programme, les élus et les ins</w:t>
            </w:r>
            <w:r>
              <w:rPr>
                <w:szCs w:val="24"/>
              </w:rPr>
              <w:t>titutionnels, les relais d’information des professionnels, les médias et relais d’information grand public, les porteurs de projets financés.</w:t>
            </w:r>
          </w:p>
          <w:p w:rsidR="0035701C" w:rsidRDefault="00FB561B">
            <w:pPr>
              <w:spacing w:before="240" w:after="240"/>
              <w:jc w:val="left"/>
              <w:rPr>
                <w:szCs w:val="24"/>
              </w:rPr>
            </w:pPr>
            <w:r>
              <w:rPr>
                <w:szCs w:val="24"/>
              </w:rPr>
              <w:t>Les actions de communication doivent viser directement les cibles principales, cependant des actions de communicat</w:t>
            </w:r>
            <w:r>
              <w:rPr>
                <w:szCs w:val="24"/>
              </w:rPr>
              <w:t>ion pourront aussi viser des cibles intermédiaires afin d’accentuer le message passé.</w:t>
            </w:r>
          </w:p>
          <w:p w:rsidR="0035701C" w:rsidRDefault="00FB561B">
            <w:pPr>
              <w:spacing w:before="240" w:after="240"/>
              <w:jc w:val="left"/>
              <w:rPr>
                <w:szCs w:val="24"/>
              </w:rPr>
            </w:pPr>
            <w:r>
              <w:rPr>
                <w:szCs w:val="24"/>
              </w:rPr>
              <w:t>La stratégie pluriannuelle de communication doit être déclinée en plans annuels. Les objectifs stratégiques sont précisés dans chaque plan et les actions de communication</w:t>
            </w:r>
            <w:r>
              <w:rPr>
                <w:szCs w:val="24"/>
              </w:rPr>
              <w:t xml:space="preserve"> afférentes fléchées. Les outils de cette stratégie de communication sont:</w:t>
            </w:r>
          </w:p>
          <w:p w:rsidR="0035701C" w:rsidRDefault="00FB561B" w:rsidP="00FB561B">
            <w:pPr>
              <w:numPr>
                <w:ilvl w:val="0"/>
                <w:numId w:val="1003"/>
              </w:numPr>
              <w:spacing w:before="240" w:after="0"/>
              <w:ind w:hanging="210"/>
              <w:jc w:val="left"/>
              <w:rPr>
                <w:szCs w:val="24"/>
              </w:rPr>
            </w:pPr>
            <w:r>
              <w:rPr>
                <w:szCs w:val="24"/>
              </w:rPr>
              <w:t>Les plans annuels qui sont élaborés à partir d’une évaluation des actions menées sur l’année précédente afin d’en tirer un meilleur résultat</w:t>
            </w:r>
          </w:p>
          <w:p w:rsidR="0035701C" w:rsidRDefault="00FB561B" w:rsidP="00FB561B">
            <w:pPr>
              <w:numPr>
                <w:ilvl w:val="0"/>
                <w:numId w:val="1003"/>
              </w:numPr>
              <w:spacing w:before="0" w:after="0"/>
              <w:ind w:hanging="210"/>
              <w:jc w:val="left"/>
              <w:rPr>
                <w:szCs w:val="24"/>
              </w:rPr>
            </w:pPr>
            <w:r>
              <w:rPr>
                <w:szCs w:val="24"/>
              </w:rPr>
              <w:t xml:space="preserve">La stratégie digitale: sur la base d’un </w:t>
            </w:r>
            <w:r>
              <w:rPr>
                <w:szCs w:val="24"/>
              </w:rPr>
              <w:t>audit du site existant, le nouveau portail internet devra constituer le pilier de l’information européenne à destination de tous les publics cibles</w:t>
            </w:r>
          </w:p>
          <w:p w:rsidR="0035701C" w:rsidRDefault="00FB561B" w:rsidP="00FB561B">
            <w:pPr>
              <w:numPr>
                <w:ilvl w:val="0"/>
                <w:numId w:val="1003"/>
              </w:numPr>
              <w:spacing w:before="0" w:after="240"/>
              <w:ind w:hanging="210"/>
              <w:jc w:val="left"/>
              <w:rPr>
                <w:szCs w:val="24"/>
              </w:rPr>
            </w:pPr>
            <w:r>
              <w:rPr>
                <w:szCs w:val="24"/>
              </w:rPr>
              <w:t xml:space="preserve"> Mise en place du comité de pilotage de la communication européenne qui est fondé autour d’une Charte </w:t>
            </w:r>
            <w:r>
              <w:rPr>
                <w:szCs w:val="24"/>
              </w:rPr>
              <w:t>commune annexée à la stratégie pluriannuelle.</w:t>
            </w:r>
          </w:p>
          <w:p w:rsidR="0035701C" w:rsidRDefault="00FB561B">
            <w:pPr>
              <w:spacing w:before="240" w:after="240"/>
              <w:ind w:left="99"/>
              <w:jc w:val="left"/>
              <w:rPr>
                <w:szCs w:val="24"/>
              </w:rPr>
            </w:pPr>
            <w:r>
              <w:rPr>
                <w:szCs w:val="24"/>
              </w:rPr>
              <w:t>Pour les moyens humains, la DAEI compte un ETP en charge de la communication qui travaille en lien avec un référent permanent  du service de la communication de la Collectivité Territoriale de Corse.</w:t>
            </w:r>
          </w:p>
          <w:p w:rsidR="0035701C" w:rsidRDefault="00FB561B">
            <w:pPr>
              <w:spacing w:before="240" w:after="240"/>
              <w:jc w:val="left"/>
              <w:rPr>
                <w:szCs w:val="24"/>
              </w:rPr>
            </w:pPr>
            <w:r>
              <w:rPr>
                <w:szCs w:val="24"/>
              </w:rPr>
              <w:t>Conforméme</w:t>
            </w:r>
            <w:r>
              <w:rPr>
                <w:szCs w:val="24"/>
              </w:rPr>
              <w:t>nt à la maquette financière des programmes européens concernés, la communication européenne dispose d’un budget de 10% de l’assistance technique de chaque programme.</w:t>
            </w:r>
          </w:p>
          <w:p w:rsidR="0035701C" w:rsidRDefault="00FB561B">
            <w:pPr>
              <w:spacing w:before="240" w:after="240"/>
              <w:jc w:val="left"/>
              <w:rPr>
                <w:szCs w:val="24"/>
              </w:rPr>
            </w:pPr>
            <w:r>
              <w:rPr>
                <w:szCs w:val="24"/>
              </w:rPr>
              <w:t>Cette stratégie de communication et d’information en Corse s’établit en conformité avec l’</w:t>
            </w:r>
            <w:r>
              <w:rPr>
                <w:szCs w:val="24"/>
              </w:rPr>
              <w:t>article 13 du règlement d’application relatif au soutien au développement rural par le FEADER et en lien avec le Réseau rural national.</w:t>
            </w:r>
          </w:p>
          <w:p w:rsidR="0035701C" w:rsidRDefault="00FB561B">
            <w:pPr>
              <w:spacing w:before="240" w:after="240"/>
              <w:jc w:val="left"/>
              <w:rPr>
                <w:szCs w:val="24"/>
              </w:rPr>
            </w:pPr>
            <w:r>
              <w:rPr>
                <w:szCs w:val="24"/>
              </w:rPr>
              <w:t>L’Autorité de gestion soumettra pour validation sa stratégie de communication au comité de suivi pluri-fonds, au plus ta</w:t>
            </w:r>
            <w:r>
              <w:rPr>
                <w:szCs w:val="24"/>
              </w:rPr>
              <w:t>rd dans les 6 mois suivant l'adoption du programme, ainsi que toutes les modifications futures de celle-ci. Elle informera le comité de suivi au moins une fois par an de l’avancement de la stratégie de communication, des résultats atteints et de la program</w:t>
            </w:r>
            <w:r>
              <w:rPr>
                <w:szCs w:val="24"/>
              </w:rPr>
              <w:t>mation des actions de communication à mettre en œuvre au cours de l’année suivante.</w:t>
            </w:r>
          </w:p>
          <w:p w:rsidR="0035701C" w:rsidRDefault="0035701C">
            <w:pPr>
              <w:pStyle w:val="Corpsdetexte"/>
            </w:pPr>
          </w:p>
        </w:tc>
      </w:tr>
    </w:tbl>
    <w:p w:rsidR="0035701C" w:rsidRDefault="00FB561B">
      <w:pPr>
        <w:pStyle w:val="Titre2"/>
        <w:rPr>
          <w:b w:val="0"/>
        </w:rPr>
      </w:pPr>
      <w:bookmarkStart w:id="186" w:name="_Toc256000185"/>
      <w:r>
        <w:rPr>
          <w:b w:val="0"/>
        </w:rPr>
        <w:t>Description des mécanismes qui assurent la cohérence avec les stratégies locales de développement mises en œuvre dans le cadre de Leader, les activités envisagées au titr</w:t>
      </w:r>
      <w:r>
        <w:rPr>
          <w:b w:val="0"/>
        </w:rPr>
        <w:t>e de la mesure «Coopération» visée à l’article 35 du règlement (UE) n° 1305/2013, la mesure «Services de base et rénovation des villages dans les zones rurales» visée à l’article 20 de ce règlement, et des autres Fonds ESI</w:t>
      </w:r>
      <w:bookmarkEnd w:id="18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Afin d’assurer la complémentarité</w:t>
            </w:r>
            <w:r>
              <w:rPr>
                <w:szCs w:val="24"/>
              </w:rPr>
              <w:t xml:space="preserve"> des mesures FEADER  hors LEADER (le choix  de financement sur le seul FEADER ayant été fait), les actions des GAL seront prises en compte par des financements dédiés LEADER. et les mesures développement rural du FEADER.</w:t>
            </w:r>
          </w:p>
          <w:p w:rsidR="0035701C" w:rsidRDefault="00FB561B">
            <w:pPr>
              <w:spacing w:before="240" w:after="240"/>
              <w:jc w:val="left"/>
              <w:rPr>
                <w:szCs w:val="24"/>
              </w:rPr>
            </w:pPr>
            <w:r>
              <w:rPr>
                <w:szCs w:val="24"/>
              </w:rPr>
              <w:t xml:space="preserve">Les soutiens qui constituent des </w:t>
            </w:r>
            <w:r>
              <w:rPr>
                <w:szCs w:val="24"/>
              </w:rPr>
              <w:t>aides d’Etat devront se fonder sur le régime approprié (règlement d’exemption ou règlement de minimis ou régime d’aides notifiées).</w:t>
            </w:r>
          </w:p>
          <w:p w:rsidR="0035701C" w:rsidRDefault="00FB561B">
            <w:pPr>
              <w:spacing w:before="240" w:after="240"/>
              <w:jc w:val="left"/>
              <w:rPr>
                <w:szCs w:val="24"/>
              </w:rPr>
            </w:pPr>
            <w:r>
              <w:rPr>
                <w:szCs w:val="24"/>
              </w:rPr>
              <w:t>Lors de la sélection des GAL, une attention particulière sera portée à l’existence de mesures proches à celles déjà présente</w:t>
            </w:r>
            <w:r>
              <w:rPr>
                <w:szCs w:val="24"/>
              </w:rPr>
              <w:t>s dans le PDRC.</w:t>
            </w:r>
          </w:p>
          <w:p w:rsidR="0035701C" w:rsidRDefault="00FB561B">
            <w:pPr>
              <w:spacing w:before="240" w:after="240"/>
              <w:jc w:val="left"/>
              <w:rPr>
                <w:szCs w:val="24"/>
              </w:rPr>
            </w:pPr>
            <w:r>
              <w:rPr>
                <w:szCs w:val="24"/>
              </w:rPr>
              <w:t xml:space="preserve">Si tel était le cas, une ligne de partage sera définie. Les stratégies locales de développement devront faire apparaître les lignes de partage entre les actions financées via le dispositif  LEADER et celles relevant des autres mesures dans </w:t>
            </w:r>
            <w:r>
              <w:rPr>
                <w:szCs w:val="24"/>
              </w:rPr>
              <w:t>le respect du Règlement  FEADER.</w:t>
            </w:r>
          </w:p>
          <w:p w:rsidR="0035701C" w:rsidRDefault="00FB561B">
            <w:pPr>
              <w:spacing w:before="240" w:after="240"/>
              <w:jc w:val="left"/>
              <w:rPr>
                <w:szCs w:val="24"/>
              </w:rPr>
            </w:pPr>
            <w:r>
              <w:rPr>
                <w:szCs w:val="24"/>
              </w:rPr>
              <w:t>Il est souhaitable que la stratégie des GAL se fonde principalement sur l’accueil de nouvelles activités et de nouveaux actifs. Les actions qui en relèvent devront apporter une valeur ajoutée aux mesures FEADER par l’innova</w:t>
            </w:r>
            <w:r>
              <w:rPr>
                <w:szCs w:val="24"/>
              </w:rPr>
              <w:t>tion, la transversalité et l’effet levier.</w:t>
            </w:r>
          </w:p>
          <w:p w:rsidR="0035701C" w:rsidRDefault="00FB561B">
            <w:pPr>
              <w:spacing w:before="240" w:after="240"/>
              <w:jc w:val="left"/>
              <w:rPr>
                <w:szCs w:val="24"/>
              </w:rPr>
            </w:pPr>
            <w:r>
              <w:rPr>
                <w:szCs w:val="24"/>
              </w:rPr>
              <w:t>Les stratégies de développement des GAL et les programmes d’action qui en découlent devront :</w:t>
            </w:r>
          </w:p>
          <w:p w:rsidR="0035701C" w:rsidRDefault="00FB561B" w:rsidP="00FB561B">
            <w:pPr>
              <w:numPr>
                <w:ilvl w:val="0"/>
                <w:numId w:val="1004"/>
              </w:numPr>
              <w:spacing w:before="240" w:after="0"/>
              <w:ind w:hanging="210"/>
              <w:jc w:val="left"/>
              <w:rPr>
                <w:szCs w:val="24"/>
              </w:rPr>
            </w:pPr>
            <w:r>
              <w:rPr>
                <w:szCs w:val="24"/>
              </w:rPr>
              <w:t>Etre conforme aux priorités du développement rural (3 objectifs et 6 priorités) ;</w:t>
            </w:r>
          </w:p>
          <w:p w:rsidR="0035701C" w:rsidRDefault="00FB561B" w:rsidP="00FB561B">
            <w:pPr>
              <w:numPr>
                <w:ilvl w:val="0"/>
                <w:numId w:val="1004"/>
              </w:numPr>
              <w:spacing w:before="0" w:after="0"/>
              <w:ind w:hanging="210"/>
              <w:jc w:val="left"/>
              <w:rPr>
                <w:szCs w:val="24"/>
              </w:rPr>
            </w:pPr>
            <w:r>
              <w:rPr>
                <w:szCs w:val="24"/>
              </w:rPr>
              <w:t xml:space="preserve">Répondre aux enjeux et besoins issus </w:t>
            </w:r>
            <w:r>
              <w:rPr>
                <w:szCs w:val="24"/>
              </w:rPr>
              <w:t>du Diagnostic Stratégique Territorial (voir logique d’intervention de la mesure 19, enjeux et besoins) ;</w:t>
            </w:r>
          </w:p>
          <w:p w:rsidR="0035701C" w:rsidRDefault="00FB561B" w:rsidP="00FB561B">
            <w:pPr>
              <w:numPr>
                <w:ilvl w:val="0"/>
                <w:numId w:val="1004"/>
              </w:numPr>
              <w:spacing w:before="0" w:after="240"/>
              <w:ind w:hanging="210"/>
              <w:jc w:val="left"/>
              <w:rPr>
                <w:szCs w:val="24"/>
              </w:rPr>
            </w:pPr>
            <w:r>
              <w:rPr>
                <w:szCs w:val="24"/>
              </w:rPr>
              <w:t>S’inscrire prioritairement dans le cadre défini par l’article 20 du règlement (UE) N°1305/2013 du 13 décembre 2013.</w:t>
            </w:r>
          </w:p>
          <w:p w:rsidR="0035701C" w:rsidRDefault="00FB561B">
            <w:pPr>
              <w:spacing w:before="240" w:after="240"/>
              <w:jc w:val="left"/>
              <w:rPr>
                <w:szCs w:val="24"/>
              </w:rPr>
            </w:pPr>
            <w:r>
              <w:rPr>
                <w:szCs w:val="24"/>
              </w:rPr>
              <w:t>La Direction du développement local</w:t>
            </w:r>
            <w:r>
              <w:rPr>
                <w:szCs w:val="24"/>
              </w:rPr>
              <w:t xml:space="preserve"> (DDL) de la Collectivité territoriale de Corse a lancé un appel à manifestation d'intérêt. La stratégie sera définie par rapport à cette manifestation d'intérêt selon une approche globale et ascendante à la lumière de l'expérience LEADER précédente. Le ca</w:t>
            </w:r>
            <w:r>
              <w:rPr>
                <w:szCs w:val="24"/>
              </w:rPr>
              <w:t>dre dans lequel vont s’inscrire les actions soutenues par les GAL sera précisé dans cet appel à projet LEADER.</w:t>
            </w:r>
          </w:p>
          <w:p w:rsidR="0035701C" w:rsidRDefault="00FB561B">
            <w:pPr>
              <w:spacing w:before="240" w:after="240"/>
              <w:jc w:val="left"/>
              <w:rPr>
                <w:szCs w:val="24"/>
              </w:rPr>
            </w:pPr>
            <w:r>
              <w:rPr>
                <w:szCs w:val="24"/>
              </w:rPr>
              <w:t> En attendant, le rôle de la DDL est de veiller à soutenir les territoires dans la définition de leur stratégie locale de développement. Il est e</w:t>
            </w:r>
            <w:r>
              <w:rPr>
                <w:szCs w:val="24"/>
              </w:rPr>
              <w:t>ffectivement indispensable de proposer une aide technique aux territoires afin de recueillir le plus de candidatures possibles et d'inciter des territoires qui n'ont encore jamais bénéficié des programmes LEADER précédents à se positionner sur ce créneau.</w:t>
            </w:r>
          </w:p>
          <w:p w:rsidR="0035701C" w:rsidRDefault="0035701C">
            <w:pPr>
              <w:pStyle w:val="Corpsdetexte"/>
            </w:pPr>
          </w:p>
        </w:tc>
      </w:tr>
    </w:tbl>
    <w:p w:rsidR="0035701C" w:rsidRDefault="00FB561B">
      <w:pPr>
        <w:pStyle w:val="Titre2"/>
        <w:rPr>
          <w:b w:val="0"/>
        </w:rPr>
      </w:pPr>
      <w:bookmarkStart w:id="187" w:name="_Toc256000186"/>
      <w:r>
        <w:rPr>
          <w:b w:val="0"/>
        </w:rPr>
        <w:t>Description des actions visant à réduire la charge administrative pour les bénéficiaires au titre de l’article 27, paragraphe 1, du règlement (UE) n° 1303/2013</w:t>
      </w:r>
      <w:bookmarkEnd w:id="18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En tant qu’autorité de gestion, la CTC veille à réduire la charge administrative supportée par</w:t>
            </w:r>
            <w:r>
              <w:rPr>
                <w:szCs w:val="24"/>
              </w:rPr>
              <w:t xml:space="preserve"> les bénéficiaires pour la constitution de leurs dossiers FEADER, leur traitement et leur suivi.</w:t>
            </w:r>
          </w:p>
          <w:p w:rsidR="0035701C" w:rsidRDefault="00FB561B">
            <w:pPr>
              <w:spacing w:before="240" w:after="240"/>
              <w:jc w:val="left"/>
              <w:rPr>
                <w:szCs w:val="24"/>
              </w:rPr>
            </w:pPr>
            <w:r>
              <w:rPr>
                <w:szCs w:val="24"/>
              </w:rPr>
              <w:t>A cet effet, des modalités de simplification ont été étudiées à partir d’un état des lieux, des pratiques expérimentées et des préconisations des différents co</w:t>
            </w:r>
            <w:r>
              <w:rPr>
                <w:szCs w:val="24"/>
              </w:rPr>
              <w:t>rps d’audit / de contrôle.</w:t>
            </w:r>
          </w:p>
          <w:p w:rsidR="0035701C" w:rsidRDefault="00FB561B">
            <w:pPr>
              <w:spacing w:before="240" w:after="240"/>
              <w:jc w:val="left"/>
              <w:rPr>
                <w:szCs w:val="24"/>
              </w:rPr>
            </w:pPr>
            <w:r>
              <w:rPr>
                <w:szCs w:val="24"/>
              </w:rPr>
              <w:t>Dans un souci de simplification, la Collectivité Territoriale de Corse  a souhaité tirer les enseignements de la programmation actuelle (2007-2013) en adaptant son descriptif de gestion afin de le rendre plus lisible et cohérent.</w:t>
            </w:r>
            <w:r>
              <w:rPr>
                <w:szCs w:val="24"/>
              </w:rPr>
              <w:t xml:space="preserve"> Plusieurs actions sont envisagées pour réduire la charge administrative en 2014-2020.</w:t>
            </w:r>
          </w:p>
          <w:p w:rsidR="0035701C" w:rsidRDefault="00FB561B">
            <w:pPr>
              <w:spacing w:before="240" w:after="240"/>
              <w:jc w:val="left"/>
              <w:rPr>
                <w:szCs w:val="24"/>
              </w:rPr>
            </w:pPr>
            <w:r>
              <w:rPr>
                <w:szCs w:val="24"/>
              </w:rPr>
              <w:t> </w:t>
            </w:r>
          </w:p>
          <w:p w:rsidR="0035701C" w:rsidRDefault="00FB561B" w:rsidP="00FB561B">
            <w:pPr>
              <w:numPr>
                <w:ilvl w:val="0"/>
                <w:numId w:val="1005"/>
              </w:numPr>
              <w:spacing w:before="240" w:after="240"/>
              <w:ind w:hanging="210"/>
              <w:jc w:val="left"/>
              <w:rPr>
                <w:szCs w:val="24"/>
              </w:rPr>
            </w:pPr>
            <w:r>
              <w:rPr>
                <w:b/>
                <w:bCs/>
                <w:szCs w:val="24"/>
              </w:rPr>
              <w:t>La réduction du nombre de services instructeurs</w:t>
            </w:r>
            <w:r>
              <w:rPr>
                <w:szCs w:val="24"/>
              </w:rPr>
              <w:t xml:space="preserve"> : </w:t>
            </w:r>
            <w:r>
              <w:rPr>
                <w:i/>
                <w:iCs/>
                <w:szCs w:val="24"/>
              </w:rPr>
              <w:t xml:space="preserve">cf 15 partie spécifique sur le descriptif de gestion. </w:t>
            </w:r>
          </w:p>
          <w:p w:rsidR="0035701C" w:rsidRDefault="00FB561B">
            <w:pPr>
              <w:spacing w:before="240" w:after="240"/>
              <w:ind w:left="720"/>
              <w:jc w:val="left"/>
              <w:rPr>
                <w:szCs w:val="24"/>
              </w:rPr>
            </w:pPr>
            <w:r>
              <w:rPr>
                <w:szCs w:val="24"/>
              </w:rPr>
              <w:t xml:space="preserve">Afin de rationaliser le circuit d’instruction des aides et </w:t>
            </w:r>
            <w:r>
              <w:rPr>
                <w:szCs w:val="24"/>
              </w:rPr>
              <w:t>d’uniformiser les règles de suivi des dossiers, la CTC a désigné seulement deux services instructeurs chargés d’assurer de façon intégrée l’instruction du FEADER et des co-financements. Le service instructeur sera l’interlocuteur du porteur de projet. La r</w:t>
            </w:r>
            <w:r>
              <w:rPr>
                <w:szCs w:val="24"/>
              </w:rPr>
              <w:t>éduction de la charge administrative des bénéficiaires passe par un accompagnement renforcé en amont et en aval, dans le suivi de leurs projets. Les animateurs et services instructeurs seront particulièrement vigilants et formés en ce sens. Une attention p</w:t>
            </w:r>
            <w:r>
              <w:rPr>
                <w:szCs w:val="24"/>
              </w:rPr>
              <w:t>articulière à la simplification sera apportée au moment de l’élaboration des formulaires par exemple. La transparence sur le circuit de l’instruction sera renforcée pour permettre aux bénéficiaires potentiels de suivre le parcours du dossier et d’estimer l</w:t>
            </w:r>
            <w:r>
              <w:rPr>
                <w:szCs w:val="24"/>
              </w:rPr>
              <w:t>es délais.</w:t>
            </w:r>
          </w:p>
          <w:p w:rsidR="0035701C" w:rsidRDefault="00FB561B">
            <w:pPr>
              <w:spacing w:before="240" w:after="240"/>
              <w:ind w:left="720"/>
              <w:jc w:val="left"/>
              <w:rPr>
                <w:szCs w:val="24"/>
              </w:rPr>
            </w:pPr>
            <w:r>
              <w:rPr>
                <w:szCs w:val="24"/>
              </w:rPr>
              <w:t> </w:t>
            </w:r>
          </w:p>
          <w:p w:rsidR="0035701C" w:rsidRDefault="00FB561B" w:rsidP="00FB561B">
            <w:pPr>
              <w:numPr>
                <w:ilvl w:val="0"/>
                <w:numId w:val="1006"/>
              </w:numPr>
              <w:spacing w:before="240" w:after="240"/>
              <w:ind w:hanging="210"/>
              <w:jc w:val="left"/>
              <w:rPr>
                <w:szCs w:val="24"/>
              </w:rPr>
            </w:pPr>
            <w:r>
              <w:rPr>
                <w:b/>
                <w:bCs/>
                <w:szCs w:val="24"/>
              </w:rPr>
              <w:t xml:space="preserve">La reconduction du paiement associé </w:t>
            </w:r>
            <w:r>
              <w:rPr>
                <w:szCs w:val="24"/>
              </w:rPr>
              <w:t xml:space="preserve">qui contribuera à simplifier les circuits de gestion en limitant le nombre d’étapes préalables au paiement du FEADER. Comme pour la programmation précédente, le paiement associé sera donc favorisé par </w:t>
            </w:r>
            <w:r>
              <w:rPr>
                <w:szCs w:val="24"/>
              </w:rPr>
              <w:t>l’autorité de gestion. Cela permet au bénéficiaire de déposer des demandes uniques et de recevoir des paiements uniques constitués conjointement de la subvention FEADER et des cofinancements associés. Ce mode de paiement globalisé permet de réduire les dél</w:t>
            </w:r>
            <w:r>
              <w:rPr>
                <w:szCs w:val="24"/>
              </w:rPr>
              <w:t>ais de paiements au bénéficiaire.</w:t>
            </w:r>
          </w:p>
          <w:p w:rsidR="0035701C" w:rsidRDefault="00FB561B">
            <w:pPr>
              <w:spacing w:before="240" w:after="240"/>
              <w:ind w:left="720"/>
              <w:jc w:val="left"/>
              <w:rPr>
                <w:szCs w:val="24"/>
              </w:rPr>
            </w:pPr>
            <w:r>
              <w:rPr>
                <w:szCs w:val="24"/>
              </w:rPr>
              <w:t> </w:t>
            </w:r>
          </w:p>
          <w:p w:rsidR="0035701C" w:rsidRDefault="00FB561B" w:rsidP="00FB561B">
            <w:pPr>
              <w:numPr>
                <w:ilvl w:val="0"/>
                <w:numId w:val="1007"/>
              </w:numPr>
              <w:spacing w:before="240" w:after="240"/>
              <w:ind w:hanging="210"/>
              <w:jc w:val="left"/>
              <w:rPr>
                <w:szCs w:val="24"/>
              </w:rPr>
            </w:pPr>
            <w:r>
              <w:rPr>
                <w:b/>
                <w:bCs/>
                <w:szCs w:val="24"/>
              </w:rPr>
              <w:t xml:space="preserve">La possibilité de recours aux coûts simplifiés </w:t>
            </w:r>
            <w:r>
              <w:rPr>
                <w:szCs w:val="24"/>
              </w:rPr>
              <w:t>sera utilisée pour certains types d’opérations conformément à la possibilité ouverte à l’article 67 du règlement 1303/2013.</w:t>
            </w:r>
          </w:p>
          <w:p w:rsidR="0035701C" w:rsidRDefault="00FB561B">
            <w:pPr>
              <w:spacing w:before="240" w:after="240"/>
              <w:ind w:left="720"/>
              <w:jc w:val="left"/>
              <w:rPr>
                <w:szCs w:val="24"/>
              </w:rPr>
            </w:pPr>
            <w:r>
              <w:rPr>
                <w:szCs w:val="24"/>
              </w:rPr>
              <w:t> </w:t>
            </w:r>
          </w:p>
          <w:p w:rsidR="0035701C" w:rsidRDefault="00FB561B" w:rsidP="00FB561B">
            <w:pPr>
              <w:numPr>
                <w:ilvl w:val="0"/>
                <w:numId w:val="1008"/>
              </w:numPr>
              <w:spacing w:before="240" w:after="240"/>
              <w:ind w:hanging="210"/>
              <w:jc w:val="left"/>
              <w:rPr>
                <w:szCs w:val="24"/>
              </w:rPr>
            </w:pPr>
            <w:r>
              <w:rPr>
                <w:b/>
                <w:bCs/>
                <w:szCs w:val="24"/>
              </w:rPr>
              <w:t>L’autorité de gestion veillera à assurer une in</w:t>
            </w:r>
            <w:r>
              <w:rPr>
                <w:b/>
                <w:bCs/>
                <w:szCs w:val="24"/>
              </w:rPr>
              <w:t>formation des bénéficiaires</w:t>
            </w:r>
            <w:r>
              <w:rPr>
                <w:szCs w:val="24"/>
              </w:rPr>
              <w:t xml:space="preserve"> </w:t>
            </w:r>
            <w:r>
              <w:rPr>
                <w:b/>
                <w:bCs/>
                <w:szCs w:val="24"/>
              </w:rPr>
              <w:t xml:space="preserve">sur leurs engagements et obligations </w:t>
            </w:r>
            <w:r>
              <w:rPr>
                <w:szCs w:val="24"/>
              </w:rPr>
              <w:t>le plus en amont possible, par un accompagnement dans le montage administratif, juridique et financier des dossiers.</w:t>
            </w:r>
          </w:p>
          <w:p w:rsidR="0035701C" w:rsidRDefault="00FB561B">
            <w:pPr>
              <w:spacing w:before="240" w:after="240"/>
              <w:ind w:left="720"/>
              <w:jc w:val="left"/>
              <w:rPr>
                <w:szCs w:val="24"/>
              </w:rPr>
            </w:pPr>
            <w:r>
              <w:rPr>
                <w:szCs w:val="24"/>
              </w:rPr>
              <w:t> </w:t>
            </w:r>
          </w:p>
          <w:p w:rsidR="0035701C" w:rsidRDefault="00FB561B" w:rsidP="00FB561B">
            <w:pPr>
              <w:numPr>
                <w:ilvl w:val="0"/>
                <w:numId w:val="1009"/>
              </w:numPr>
              <w:spacing w:before="240" w:after="240"/>
              <w:ind w:hanging="210"/>
              <w:jc w:val="left"/>
              <w:rPr>
                <w:szCs w:val="24"/>
              </w:rPr>
            </w:pPr>
            <w:r>
              <w:rPr>
                <w:b/>
                <w:bCs/>
                <w:szCs w:val="24"/>
              </w:rPr>
              <w:t>L’harmonisation entre les différents fonds (FEDER, FSE, FEADER)</w:t>
            </w:r>
            <w:r>
              <w:rPr>
                <w:szCs w:val="24"/>
              </w:rPr>
              <w:t xml:space="preserve"> sera fac</w:t>
            </w:r>
            <w:r>
              <w:rPr>
                <w:szCs w:val="24"/>
              </w:rPr>
              <w:t>ilitée par le caractère plurifonds des instances de pilotage (instance de sélection unique et comité de suivi interfonds).</w:t>
            </w:r>
          </w:p>
          <w:p w:rsidR="0035701C" w:rsidRDefault="00FB561B">
            <w:pPr>
              <w:spacing w:before="240" w:after="240"/>
              <w:ind w:left="720"/>
              <w:jc w:val="left"/>
              <w:rPr>
                <w:szCs w:val="24"/>
              </w:rPr>
            </w:pPr>
            <w:r>
              <w:rPr>
                <w:szCs w:val="24"/>
              </w:rPr>
              <w:t> </w:t>
            </w:r>
          </w:p>
          <w:p w:rsidR="0035701C" w:rsidRDefault="00FB561B" w:rsidP="00FB561B">
            <w:pPr>
              <w:numPr>
                <w:ilvl w:val="0"/>
                <w:numId w:val="1010"/>
              </w:numPr>
              <w:spacing w:before="240" w:after="240"/>
              <w:ind w:hanging="210"/>
              <w:jc w:val="left"/>
              <w:rPr>
                <w:szCs w:val="24"/>
              </w:rPr>
            </w:pPr>
            <w:r>
              <w:rPr>
                <w:b/>
                <w:bCs/>
                <w:szCs w:val="24"/>
              </w:rPr>
              <w:t>La formation continue des services instructeurs</w:t>
            </w:r>
            <w:r>
              <w:rPr>
                <w:szCs w:val="24"/>
              </w:rPr>
              <w:t xml:space="preserve"> sera recherchée pour garantir la technicité requise pour accompagner les bénéficiai</w:t>
            </w:r>
            <w:r>
              <w:rPr>
                <w:szCs w:val="24"/>
              </w:rPr>
              <w:t>res à tous les stades de la vie du projet (constitution du dossier de demande, acte attributif, certificat de service fait…).</w:t>
            </w:r>
          </w:p>
          <w:p w:rsidR="0035701C" w:rsidRDefault="00FB561B">
            <w:pPr>
              <w:spacing w:before="240" w:after="240"/>
              <w:ind w:left="720"/>
              <w:jc w:val="left"/>
              <w:rPr>
                <w:szCs w:val="24"/>
              </w:rPr>
            </w:pPr>
            <w:r>
              <w:rPr>
                <w:szCs w:val="24"/>
              </w:rPr>
              <w:t> </w:t>
            </w:r>
          </w:p>
          <w:p w:rsidR="0035701C" w:rsidRDefault="00FB561B" w:rsidP="00FB561B">
            <w:pPr>
              <w:numPr>
                <w:ilvl w:val="0"/>
                <w:numId w:val="1011"/>
              </w:numPr>
              <w:spacing w:before="240" w:after="240"/>
              <w:ind w:hanging="210"/>
              <w:jc w:val="left"/>
              <w:rPr>
                <w:szCs w:val="24"/>
              </w:rPr>
            </w:pPr>
            <w:r>
              <w:rPr>
                <w:b/>
                <w:bCs/>
                <w:szCs w:val="24"/>
              </w:rPr>
              <w:t>La mise en place d’une unité d’audit et contrôle qualité gestion</w:t>
            </w:r>
            <w:r>
              <w:rPr>
                <w:szCs w:val="24"/>
              </w:rPr>
              <w:t xml:space="preserve"> </w:t>
            </w:r>
            <w:r>
              <w:rPr>
                <w:b/>
                <w:bCs/>
                <w:szCs w:val="24"/>
              </w:rPr>
              <w:t>au sein de l’autorité de gestion</w:t>
            </w:r>
            <w:r>
              <w:rPr>
                <w:szCs w:val="24"/>
              </w:rPr>
              <w:t xml:space="preserve"> chargée de veiller à la bonne application des procédures, du respect de la piste d’audit et du contrôle de la cohérence des interventions entre les différents programmes.</w:t>
            </w:r>
          </w:p>
          <w:p w:rsidR="0035701C" w:rsidRDefault="00FB561B">
            <w:pPr>
              <w:spacing w:before="240" w:after="240"/>
              <w:ind w:left="720"/>
              <w:jc w:val="left"/>
              <w:rPr>
                <w:szCs w:val="24"/>
              </w:rPr>
            </w:pPr>
            <w:r>
              <w:rPr>
                <w:szCs w:val="24"/>
              </w:rPr>
              <w:t> </w:t>
            </w:r>
          </w:p>
          <w:p w:rsidR="0035701C" w:rsidRDefault="00FB561B" w:rsidP="00FB561B">
            <w:pPr>
              <w:numPr>
                <w:ilvl w:val="0"/>
                <w:numId w:val="1012"/>
              </w:numPr>
              <w:spacing w:before="240" w:after="240"/>
              <w:ind w:hanging="210"/>
              <w:jc w:val="left"/>
              <w:rPr>
                <w:szCs w:val="24"/>
              </w:rPr>
            </w:pPr>
            <w:r>
              <w:rPr>
                <w:b/>
                <w:bCs/>
                <w:szCs w:val="24"/>
              </w:rPr>
              <w:t xml:space="preserve">L’utilisation des nouvelles possibilités de transmission et de stockage numérique </w:t>
            </w:r>
            <w:r>
              <w:rPr>
                <w:b/>
                <w:bCs/>
                <w:szCs w:val="24"/>
              </w:rPr>
              <w:t>des informations</w:t>
            </w:r>
            <w:r>
              <w:rPr>
                <w:szCs w:val="24"/>
              </w:rPr>
              <w:t xml:space="preserve"> et des données : La dématérialisation des procédures se fera à l'appui d'un portail d'accès au public plurifonds, en cours de définition, qui permettra d'orienter au mieux tout bénéficiaire potentiel.</w:t>
            </w:r>
          </w:p>
          <w:p w:rsidR="0035701C" w:rsidRDefault="00FB561B">
            <w:pPr>
              <w:spacing w:before="240" w:after="240"/>
              <w:ind w:left="360"/>
              <w:jc w:val="left"/>
              <w:rPr>
                <w:szCs w:val="24"/>
              </w:rPr>
            </w:pPr>
            <w:r>
              <w:rPr>
                <w:szCs w:val="24"/>
              </w:rPr>
              <w:t> </w:t>
            </w:r>
          </w:p>
          <w:p w:rsidR="0035701C" w:rsidRDefault="0035701C">
            <w:pPr>
              <w:pStyle w:val="Corpsdetexte"/>
            </w:pPr>
          </w:p>
        </w:tc>
      </w:tr>
    </w:tbl>
    <w:p w:rsidR="0035701C" w:rsidRDefault="00FB561B">
      <w:pPr>
        <w:pStyle w:val="Titre2"/>
        <w:rPr>
          <w:b w:val="0"/>
        </w:rPr>
      </w:pPr>
      <w:bookmarkStart w:id="188" w:name="_Toc256000187"/>
      <w:r>
        <w:rPr>
          <w:b w:val="0"/>
        </w:rPr>
        <w:t>Description de l'usage de l'assist</w:t>
      </w:r>
      <w:r>
        <w:rPr>
          <w:b w:val="0"/>
        </w:rPr>
        <w:t xml:space="preserve">ance technique, y compris les activités relatives à la préparation, à la gestion, au suivi, à l’évaluation, à l’information et au contrôle du programme et de sa mise en œuvre, ainsi que les activités relatives aux périodes de programmations précédentes ou </w:t>
      </w:r>
      <w:r>
        <w:rPr>
          <w:b w:val="0"/>
        </w:rPr>
        <w:t>subséquentes visées à l'article 59, paragraphe 1, du règlement (UE) n° 1303/2013</w:t>
      </w:r>
      <w:bookmarkEnd w:id="18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L’assistance technique permet de contribuer au financement des actions nécessaires à la mise en œuvre du Programme de Développement Rural de la Corse (PDRC), dont:</w:t>
            </w:r>
          </w:p>
          <w:p w:rsidR="0035701C" w:rsidRDefault="00FB561B" w:rsidP="00FB561B">
            <w:pPr>
              <w:numPr>
                <w:ilvl w:val="0"/>
                <w:numId w:val="1013"/>
              </w:numPr>
              <w:spacing w:before="240" w:after="0"/>
              <w:ind w:hanging="210"/>
              <w:jc w:val="left"/>
              <w:rPr>
                <w:szCs w:val="24"/>
              </w:rPr>
            </w:pPr>
            <w:r>
              <w:rPr>
                <w:szCs w:val="24"/>
              </w:rPr>
              <w:t>Le pilotage</w:t>
            </w:r>
            <w:r>
              <w:rPr>
                <w:szCs w:val="24"/>
              </w:rPr>
              <w:t xml:space="preserve"> du PDRC, qui comprend l’écriture du document de programmation, le suivi et la gestion financière du programme, son évaluation et la mise en œuvre d’un plan de communication et de sensibilisation,</w:t>
            </w:r>
          </w:p>
          <w:p w:rsidR="0035701C" w:rsidRDefault="00FB561B" w:rsidP="00FB561B">
            <w:pPr>
              <w:numPr>
                <w:ilvl w:val="0"/>
                <w:numId w:val="1013"/>
              </w:numPr>
              <w:spacing w:before="0" w:after="0"/>
              <w:ind w:hanging="210"/>
              <w:jc w:val="left"/>
              <w:rPr>
                <w:szCs w:val="24"/>
              </w:rPr>
            </w:pPr>
            <w:r>
              <w:rPr>
                <w:szCs w:val="24"/>
              </w:rPr>
              <w:t>L’instruction des mesures proprement dites, y compris la ré</w:t>
            </w:r>
            <w:r>
              <w:rPr>
                <w:szCs w:val="24"/>
              </w:rPr>
              <w:t>daction de documents de mise en œuvre, le lancement d’appel à manifestations d’intérêt et d’appel à projet,</w:t>
            </w:r>
          </w:p>
          <w:p w:rsidR="0035701C" w:rsidRDefault="00FB561B" w:rsidP="00FB561B">
            <w:pPr>
              <w:numPr>
                <w:ilvl w:val="0"/>
                <w:numId w:val="1013"/>
              </w:numPr>
              <w:spacing w:before="0" w:after="240"/>
              <w:ind w:hanging="210"/>
              <w:jc w:val="left"/>
              <w:rPr>
                <w:szCs w:val="24"/>
              </w:rPr>
            </w:pPr>
            <w:r>
              <w:rPr>
                <w:szCs w:val="24"/>
              </w:rPr>
              <w:t>La mise en œuvre du Réseau rural de la Corse.</w:t>
            </w:r>
          </w:p>
          <w:p w:rsidR="0035701C" w:rsidRDefault="00FB561B">
            <w:pPr>
              <w:spacing w:before="240" w:after="240"/>
              <w:jc w:val="left"/>
              <w:rPr>
                <w:szCs w:val="24"/>
              </w:rPr>
            </w:pPr>
            <w:r>
              <w:rPr>
                <w:szCs w:val="24"/>
              </w:rPr>
              <w:t xml:space="preserve">L’assistance technique se met en œuvre via la mesure 20 sur la base des articles 51 à 54 du Règlement </w:t>
            </w:r>
            <w:r>
              <w:rPr>
                <w:szCs w:val="24"/>
              </w:rPr>
              <w:t>(UE) n°1305/2013.</w:t>
            </w:r>
          </w:p>
          <w:p w:rsidR="0035701C" w:rsidRDefault="00FB561B">
            <w:pPr>
              <w:spacing w:before="240" w:after="240"/>
              <w:jc w:val="left"/>
              <w:rPr>
                <w:szCs w:val="24"/>
              </w:rPr>
            </w:pPr>
            <w:r>
              <w:rPr>
                <w:szCs w:val="24"/>
              </w:rPr>
              <w:t>*Pourront prétendre au bénéfice de cette mesure :</w:t>
            </w:r>
          </w:p>
          <w:p w:rsidR="0035701C" w:rsidRDefault="00FB561B">
            <w:pPr>
              <w:spacing w:before="240" w:after="240"/>
              <w:jc w:val="left"/>
              <w:rPr>
                <w:szCs w:val="24"/>
              </w:rPr>
            </w:pPr>
            <w:r>
              <w:rPr>
                <w:szCs w:val="24"/>
              </w:rPr>
              <w:t>Collectivité territoriale de Corse (CTC),</w:t>
            </w:r>
          </w:p>
          <w:p w:rsidR="0035701C" w:rsidRDefault="00FB561B">
            <w:pPr>
              <w:spacing w:before="240" w:after="240"/>
              <w:jc w:val="left"/>
              <w:rPr>
                <w:szCs w:val="24"/>
              </w:rPr>
            </w:pPr>
            <w:r>
              <w:rPr>
                <w:szCs w:val="24"/>
              </w:rPr>
              <w:t>Office de Développement Agricole et Rural de la Corse (ODARC),</w:t>
            </w:r>
          </w:p>
          <w:p w:rsidR="0035701C" w:rsidRDefault="00FB561B">
            <w:pPr>
              <w:spacing w:before="240" w:after="240"/>
              <w:jc w:val="left"/>
              <w:rPr>
                <w:szCs w:val="24"/>
              </w:rPr>
            </w:pPr>
            <w:r>
              <w:rPr>
                <w:szCs w:val="24"/>
              </w:rPr>
              <w:t>Office de l'Environnement de la Corse (OEC).</w:t>
            </w:r>
          </w:p>
          <w:p w:rsidR="0035701C" w:rsidRDefault="00FB561B">
            <w:pPr>
              <w:spacing w:before="240" w:after="240"/>
              <w:jc w:val="left"/>
              <w:rPr>
                <w:szCs w:val="24"/>
              </w:rPr>
            </w:pPr>
            <w:r>
              <w:rPr>
                <w:szCs w:val="24"/>
              </w:rPr>
              <w:t>Seront éligibles à l’aide communautair</w:t>
            </w:r>
            <w:r>
              <w:rPr>
                <w:szCs w:val="24"/>
              </w:rPr>
              <w:t>e au titre de l’assistance technique :</w:t>
            </w:r>
          </w:p>
          <w:p w:rsidR="0035701C" w:rsidRDefault="00FB561B">
            <w:pPr>
              <w:spacing w:before="240" w:after="240"/>
              <w:jc w:val="left"/>
              <w:rPr>
                <w:szCs w:val="24"/>
              </w:rPr>
            </w:pPr>
            <w:r>
              <w:rPr>
                <w:szCs w:val="24"/>
              </w:rPr>
              <w:t>Les coûts relatifs à :</w:t>
            </w:r>
          </w:p>
          <w:p w:rsidR="0035701C" w:rsidRDefault="00FB561B" w:rsidP="00FB561B">
            <w:pPr>
              <w:numPr>
                <w:ilvl w:val="0"/>
                <w:numId w:val="1014"/>
              </w:numPr>
              <w:spacing w:before="240" w:after="0"/>
              <w:ind w:hanging="210"/>
              <w:jc w:val="left"/>
              <w:rPr>
                <w:szCs w:val="24"/>
              </w:rPr>
            </w:pPr>
            <w:r>
              <w:rPr>
                <w:szCs w:val="24"/>
              </w:rPr>
              <w:t>la programmation, la gestion financière, le suivi technique et financier du programme y compris les formations y afférent ;</w:t>
            </w:r>
          </w:p>
          <w:p w:rsidR="0035701C" w:rsidRDefault="00FB561B" w:rsidP="00FB561B">
            <w:pPr>
              <w:numPr>
                <w:ilvl w:val="0"/>
                <w:numId w:val="1014"/>
              </w:numPr>
              <w:spacing w:before="0" w:after="0"/>
              <w:ind w:hanging="210"/>
              <w:jc w:val="left"/>
              <w:rPr>
                <w:szCs w:val="24"/>
              </w:rPr>
            </w:pPr>
            <w:r>
              <w:rPr>
                <w:szCs w:val="24"/>
              </w:rPr>
              <w:t>l’instruction technique et administrative des demandes d’aide ;</w:t>
            </w:r>
          </w:p>
          <w:p w:rsidR="0035701C" w:rsidRDefault="00FB561B" w:rsidP="00FB561B">
            <w:pPr>
              <w:numPr>
                <w:ilvl w:val="0"/>
                <w:numId w:val="1014"/>
              </w:numPr>
              <w:spacing w:before="0" w:after="0"/>
              <w:ind w:hanging="210"/>
              <w:jc w:val="left"/>
              <w:rPr>
                <w:szCs w:val="24"/>
              </w:rPr>
            </w:pPr>
            <w:r>
              <w:rPr>
                <w:szCs w:val="24"/>
              </w:rPr>
              <w:t xml:space="preserve">les </w:t>
            </w:r>
            <w:r>
              <w:rPr>
                <w:szCs w:val="24"/>
              </w:rPr>
              <w:t>contrôles de bénéficiaires ;</w:t>
            </w:r>
          </w:p>
          <w:p w:rsidR="0035701C" w:rsidRDefault="00FB561B" w:rsidP="00FB561B">
            <w:pPr>
              <w:numPr>
                <w:ilvl w:val="0"/>
                <w:numId w:val="1014"/>
              </w:numPr>
              <w:spacing w:before="0" w:after="0"/>
              <w:ind w:hanging="210"/>
              <w:jc w:val="left"/>
              <w:rPr>
                <w:szCs w:val="24"/>
              </w:rPr>
            </w:pPr>
            <w:r>
              <w:rPr>
                <w:szCs w:val="24"/>
              </w:rPr>
              <w:t>la coordination générale des travaux du comité de suivi pluri-fonds ;</w:t>
            </w:r>
          </w:p>
          <w:p w:rsidR="0035701C" w:rsidRDefault="00FB561B" w:rsidP="00FB561B">
            <w:pPr>
              <w:numPr>
                <w:ilvl w:val="0"/>
                <w:numId w:val="1014"/>
              </w:numPr>
              <w:spacing w:before="0" w:after="0"/>
              <w:ind w:hanging="210"/>
              <w:jc w:val="left"/>
              <w:rPr>
                <w:szCs w:val="24"/>
              </w:rPr>
            </w:pPr>
            <w:r>
              <w:rPr>
                <w:szCs w:val="24"/>
              </w:rPr>
              <w:t>la réalisation des évaluations du programme ;</w:t>
            </w:r>
          </w:p>
          <w:p w:rsidR="0035701C" w:rsidRDefault="00FB561B" w:rsidP="00FB561B">
            <w:pPr>
              <w:numPr>
                <w:ilvl w:val="0"/>
                <w:numId w:val="1014"/>
              </w:numPr>
              <w:spacing w:before="0" w:after="0"/>
              <w:ind w:hanging="210"/>
              <w:jc w:val="left"/>
              <w:rPr>
                <w:szCs w:val="24"/>
              </w:rPr>
            </w:pPr>
            <w:r>
              <w:rPr>
                <w:szCs w:val="24"/>
              </w:rPr>
              <w:t>le plan de communication du programme ;</w:t>
            </w:r>
          </w:p>
          <w:p w:rsidR="0035701C" w:rsidRDefault="00FB561B" w:rsidP="00FB561B">
            <w:pPr>
              <w:numPr>
                <w:ilvl w:val="0"/>
                <w:numId w:val="1014"/>
              </w:numPr>
              <w:spacing w:before="0" w:after="0"/>
              <w:ind w:hanging="210"/>
              <w:jc w:val="left"/>
              <w:rPr>
                <w:szCs w:val="24"/>
              </w:rPr>
            </w:pPr>
            <w:r>
              <w:rPr>
                <w:szCs w:val="24"/>
              </w:rPr>
              <w:t>les opérations liées à la mise en œuvre du réseau Rural</w:t>
            </w:r>
          </w:p>
          <w:p w:rsidR="0035701C" w:rsidRDefault="00FB561B" w:rsidP="00FB561B">
            <w:pPr>
              <w:numPr>
                <w:ilvl w:val="0"/>
                <w:numId w:val="1014"/>
              </w:numPr>
              <w:spacing w:before="0" w:after="240"/>
              <w:ind w:hanging="210"/>
              <w:jc w:val="left"/>
              <w:rPr>
                <w:szCs w:val="24"/>
              </w:rPr>
            </w:pPr>
            <w:r>
              <w:rPr>
                <w:szCs w:val="24"/>
              </w:rPr>
              <w:t xml:space="preserve">l’expertise </w:t>
            </w:r>
            <w:r>
              <w:rPr>
                <w:szCs w:val="24"/>
              </w:rPr>
              <w:t>technique permettant la sécurisation des procédures, mesures d’accompagnement et de diagnostic technique auprès des bénéficiaires.</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Financement de dépenses matérielles :</w:t>
            </w:r>
          </w:p>
          <w:p w:rsidR="0035701C" w:rsidRDefault="00FB561B" w:rsidP="00FB561B">
            <w:pPr>
              <w:numPr>
                <w:ilvl w:val="0"/>
                <w:numId w:val="1015"/>
              </w:numPr>
              <w:spacing w:before="240" w:after="0"/>
              <w:ind w:hanging="210"/>
              <w:jc w:val="left"/>
              <w:rPr>
                <w:szCs w:val="24"/>
              </w:rPr>
            </w:pPr>
            <w:r>
              <w:rPr>
                <w:szCs w:val="24"/>
              </w:rPr>
              <w:t>les prestations de service (location de salles, restauration, etc.) ;</w:t>
            </w:r>
          </w:p>
          <w:p w:rsidR="0035701C" w:rsidRDefault="00FB561B" w:rsidP="00FB561B">
            <w:pPr>
              <w:numPr>
                <w:ilvl w:val="0"/>
                <w:numId w:val="1015"/>
              </w:numPr>
              <w:spacing w:before="0" w:after="0"/>
              <w:ind w:hanging="210"/>
              <w:jc w:val="left"/>
              <w:rPr>
                <w:szCs w:val="24"/>
              </w:rPr>
            </w:pPr>
            <w:r>
              <w:rPr>
                <w:szCs w:val="24"/>
              </w:rPr>
              <w:t>les dépenses d’</w:t>
            </w:r>
            <w:r>
              <w:rPr>
                <w:szCs w:val="24"/>
              </w:rPr>
              <w:t>équipement en petit matériel ou d’acquisitions diverses (petits équipements informatiques ou pédagogiques, documentation, etc.)</w:t>
            </w:r>
          </w:p>
          <w:p w:rsidR="0035701C" w:rsidRDefault="00FB561B" w:rsidP="00FB561B">
            <w:pPr>
              <w:numPr>
                <w:ilvl w:val="0"/>
                <w:numId w:val="1015"/>
              </w:numPr>
              <w:spacing w:before="0" w:after="0"/>
              <w:ind w:hanging="210"/>
              <w:jc w:val="left"/>
              <w:rPr>
                <w:szCs w:val="24"/>
              </w:rPr>
            </w:pPr>
            <w:r>
              <w:rPr>
                <w:szCs w:val="24"/>
              </w:rPr>
              <w:t>fonctionnement ;</w:t>
            </w:r>
          </w:p>
          <w:p w:rsidR="0035701C" w:rsidRDefault="00FB561B" w:rsidP="00FB561B">
            <w:pPr>
              <w:numPr>
                <w:ilvl w:val="0"/>
                <w:numId w:val="1015"/>
              </w:numPr>
              <w:spacing w:before="0" w:after="0"/>
              <w:ind w:hanging="210"/>
              <w:jc w:val="left"/>
              <w:rPr>
                <w:szCs w:val="24"/>
              </w:rPr>
            </w:pPr>
            <w:r>
              <w:rPr>
                <w:szCs w:val="24"/>
              </w:rPr>
              <w:t>frais de personnel ;</w:t>
            </w:r>
          </w:p>
          <w:p w:rsidR="0035701C" w:rsidRDefault="00FB561B" w:rsidP="00FB561B">
            <w:pPr>
              <w:numPr>
                <w:ilvl w:val="0"/>
                <w:numId w:val="1015"/>
              </w:numPr>
              <w:spacing w:before="0" w:after="0"/>
              <w:ind w:hanging="210"/>
              <w:jc w:val="left"/>
              <w:rPr>
                <w:szCs w:val="24"/>
              </w:rPr>
            </w:pPr>
            <w:r>
              <w:rPr>
                <w:szCs w:val="24"/>
              </w:rPr>
              <w:t>séminaires ;</w:t>
            </w:r>
          </w:p>
          <w:p w:rsidR="0035701C" w:rsidRDefault="00FB561B" w:rsidP="00FB561B">
            <w:pPr>
              <w:numPr>
                <w:ilvl w:val="0"/>
                <w:numId w:val="1015"/>
              </w:numPr>
              <w:spacing w:before="0" w:after="0"/>
              <w:ind w:hanging="210"/>
              <w:jc w:val="left"/>
              <w:rPr>
                <w:szCs w:val="24"/>
              </w:rPr>
            </w:pPr>
            <w:r>
              <w:rPr>
                <w:szCs w:val="24"/>
              </w:rPr>
              <w:t>formation ;</w:t>
            </w:r>
          </w:p>
          <w:p w:rsidR="0035701C" w:rsidRDefault="00FB561B" w:rsidP="00FB561B">
            <w:pPr>
              <w:numPr>
                <w:ilvl w:val="0"/>
                <w:numId w:val="1015"/>
              </w:numPr>
              <w:spacing w:before="0" w:after="0"/>
              <w:ind w:hanging="210"/>
              <w:jc w:val="left"/>
              <w:rPr>
                <w:szCs w:val="24"/>
              </w:rPr>
            </w:pPr>
            <w:r>
              <w:rPr>
                <w:szCs w:val="24"/>
              </w:rPr>
              <w:t>frais de publicité ;</w:t>
            </w:r>
          </w:p>
          <w:p w:rsidR="0035701C" w:rsidRDefault="00FB561B" w:rsidP="00FB561B">
            <w:pPr>
              <w:numPr>
                <w:ilvl w:val="0"/>
                <w:numId w:val="1015"/>
              </w:numPr>
              <w:spacing w:before="0" w:after="0"/>
              <w:ind w:hanging="210"/>
              <w:jc w:val="left"/>
              <w:rPr>
                <w:szCs w:val="24"/>
              </w:rPr>
            </w:pPr>
            <w:r>
              <w:rPr>
                <w:szCs w:val="24"/>
              </w:rPr>
              <w:t>site internet : création et maintenance</w:t>
            </w:r>
          </w:p>
          <w:p w:rsidR="0035701C" w:rsidRDefault="00FB561B" w:rsidP="00FB561B">
            <w:pPr>
              <w:numPr>
                <w:ilvl w:val="0"/>
                <w:numId w:val="1015"/>
              </w:numPr>
              <w:spacing w:before="0" w:after="240"/>
              <w:ind w:hanging="210"/>
              <w:jc w:val="left"/>
              <w:rPr>
                <w:szCs w:val="24"/>
              </w:rPr>
            </w:pPr>
            <w:r>
              <w:rPr>
                <w:szCs w:val="24"/>
              </w:rPr>
              <w:t>création de bases de données</w:t>
            </w:r>
          </w:p>
          <w:p w:rsidR="0035701C" w:rsidRDefault="00FB561B">
            <w:pPr>
              <w:spacing w:before="240" w:after="240"/>
              <w:ind w:left="720"/>
              <w:jc w:val="left"/>
              <w:rPr>
                <w:szCs w:val="24"/>
              </w:rPr>
            </w:pPr>
            <w:r>
              <w:rPr>
                <w:szCs w:val="24"/>
              </w:rPr>
              <w:t> </w:t>
            </w:r>
          </w:p>
          <w:p w:rsidR="0035701C" w:rsidRDefault="00FB561B">
            <w:pPr>
              <w:spacing w:before="240" w:after="240"/>
              <w:jc w:val="left"/>
              <w:rPr>
                <w:szCs w:val="24"/>
              </w:rPr>
            </w:pPr>
            <w:r>
              <w:rPr>
                <w:szCs w:val="24"/>
              </w:rPr>
              <w:t>Financement de dépenses immatérielles :</w:t>
            </w:r>
          </w:p>
          <w:p w:rsidR="0035701C" w:rsidRDefault="00FB561B" w:rsidP="00FB561B">
            <w:pPr>
              <w:numPr>
                <w:ilvl w:val="0"/>
                <w:numId w:val="1016"/>
              </w:numPr>
              <w:spacing w:before="240" w:after="0"/>
              <w:ind w:hanging="210"/>
              <w:jc w:val="left"/>
              <w:rPr>
                <w:szCs w:val="24"/>
              </w:rPr>
            </w:pPr>
            <w:r>
              <w:rPr>
                <w:szCs w:val="24"/>
              </w:rPr>
              <w:t>prestations intellectuelles : études, expertise, évaluation, traduction, conception de documents, appels d’offres etc. ;</w:t>
            </w:r>
          </w:p>
          <w:p w:rsidR="0035701C" w:rsidRDefault="00FB561B" w:rsidP="00FB561B">
            <w:pPr>
              <w:numPr>
                <w:ilvl w:val="0"/>
                <w:numId w:val="1016"/>
              </w:numPr>
              <w:spacing w:before="0" w:after="240"/>
              <w:ind w:hanging="210"/>
              <w:jc w:val="left"/>
              <w:rPr>
                <w:szCs w:val="24"/>
              </w:rPr>
            </w:pPr>
            <w:r>
              <w:rPr>
                <w:szCs w:val="24"/>
              </w:rPr>
              <w:t xml:space="preserve">conception, réalisation et diffusion de documents d’information </w:t>
            </w:r>
            <w:r>
              <w:rPr>
                <w:szCs w:val="24"/>
              </w:rPr>
              <w:t>et de communication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L’instruction des dossiers d’assistance technique sera assurée directement par la CTC au sein d’une seule direction de l’AG. C’est donc la DAEI qui s’assurera du caractère vérifiable et mesurable des coûts administratifs financés pa</w:t>
            </w:r>
            <w:r>
              <w:rPr>
                <w:szCs w:val="24"/>
              </w:rPr>
              <w:t>r l'assistance technique.</w:t>
            </w:r>
          </w:p>
          <w:p w:rsidR="0035701C" w:rsidRDefault="00FB561B">
            <w:pPr>
              <w:spacing w:before="240" w:after="240"/>
              <w:jc w:val="left"/>
              <w:rPr>
                <w:szCs w:val="24"/>
              </w:rPr>
            </w:pPr>
            <w:r>
              <w:rPr>
                <w:szCs w:val="24"/>
              </w:rPr>
              <w:t>La CTC dispose d’un service dédié aux marchés publics et l’ensemble de ses actes est soumis à un contrôle de légalité de l’Etat. Ce service pourra également être consulté pour l’instruction des demandes de paiement des autres béné</w:t>
            </w:r>
            <w:r>
              <w:rPr>
                <w:szCs w:val="24"/>
              </w:rPr>
              <w:t>ficiaires de l’AT. Tous ces bénéficiaires sont des organismes publics ou assimilés, soumis par nature au code des marchés publics et disposant également de services dédiés à cette tâche.</w:t>
            </w:r>
          </w:p>
          <w:p w:rsidR="0035701C" w:rsidRDefault="00FB561B">
            <w:pPr>
              <w:spacing w:before="240" w:after="240"/>
              <w:jc w:val="left"/>
              <w:rPr>
                <w:szCs w:val="24"/>
              </w:rPr>
            </w:pPr>
            <w:r>
              <w:rPr>
                <w:szCs w:val="24"/>
              </w:rPr>
              <w:t>Dans le cadre de la programmation 2014-2020, ces dépenses au titre de</w:t>
            </w:r>
            <w:r>
              <w:rPr>
                <w:szCs w:val="24"/>
              </w:rPr>
              <w:t xml:space="preserve"> l’assistance technique pourront faire l’objet de contrôles administratifs et de contrôles sur place. Ceux-ci seront réalisés de plein droit par l’OP.</w:t>
            </w:r>
          </w:p>
          <w:p w:rsidR="0035701C" w:rsidRDefault="00FB561B">
            <w:pPr>
              <w:spacing w:before="240" w:after="240"/>
              <w:jc w:val="left"/>
              <w:rPr>
                <w:szCs w:val="24"/>
              </w:rPr>
            </w:pPr>
            <w:r>
              <w:rPr>
                <w:szCs w:val="24"/>
              </w:rPr>
              <w:t>L’assistance technique fera l’objet d’un suivi et d’une évaluation, laquelle sera basée sur des indicateu</w:t>
            </w:r>
            <w:r>
              <w:rPr>
                <w:szCs w:val="24"/>
              </w:rPr>
              <w:t>rs de performance. Cette évaluation doit permettre de baser l’assistance technique sur des objectifs opérationnels (spécifiques, mesurables, réalisables, pertinents et datés) conformément à l’article 30 du règlement (UE) n° 966/2012, relatif aux règles fin</w:t>
            </w:r>
            <w:r>
              <w:rPr>
                <w:szCs w:val="24"/>
              </w:rPr>
              <w:t>ancières applicables au budget général de l'Union.</w:t>
            </w:r>
          </w:p>
          <w:p w:rsidR="0035701C" w:rsidRDefault="0035701C">
            <w:pPr>
              <w:pStyle w:val="Corpsdetexte"/>
            </w:pPr>
          </w:p>
        </w:tc>
      </w:tr>
    </w:tbl>
    <w:p w:rsidR="0035701C" w:rsidRDefault="0035701C">
      <w:pPr>
        <w:sectPr w:rsidR="0035701C">
          <w:pgSz w:w="12240" w:h="15840"/>
          <w:pgMar w:top="900" w:right="900" w:bottom="900" w:left="900" w:header="720" w:footer="720" w:gutter="0"/>
          <w:cols w:space="720"/>
        </w:sectPr>
      </w:pPr>
    </w:p>
    <w:p w:rsidR="0035701C" w:rsidRDefault="00FB561B">
      <w:pPr>
        <w:pStyle w:val="Titre1"/>
      </w:pPr>
      <w:bookmarkStart w:id="189" w:name="_Toc256000188"/>
      <w:r>
        <w:t>Liste des mesures pour associer les partenaires</w:t>
      </w:r>
      <w:bookmarkEnd w:id="189"/>
    </w:p>
    <w:p w:rsidR="0035701C" w:rsidRDefault="00FB561B">
      <w:pPr>
        <w:pStyle w:val="Titre2"/>
      </w:pPr>
      <w:bookmarkStart w:id="190" w:name="_Toc256000189"/>
      <w:r>
        <w:t>1- Projets de réglements</w:t>
      </w:r>
      <w:bookmarkEnd w:id="190"/>
    </w:p>
    <w:p w:rsidR="0035701C" w:rsidRDefault="00FB561B">
      <w:pPr>
        <w:pStyle w:val="Titre3"/>
        <w:jc w:val="left"/>
      </w:pPr>
      <w:bookmarkStart w:id="191" w:name="_Toc256000190"/>
      <w:r>
        <w:t>Objet de la consultation correspondante</w:t>
      </w:r>
      <w:bookmarkEnd w:id="19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 xml:space="preserve">Dès la publication des propositions de règlement (7 projets de textes) faites </w:t>
            </w:r>
            <w:r>
              <w:rPr>
                <w:szCs w:val="24"/>
              </w:rPr>
              <w:t>par la Commission européenne en novembre 2011, la Collectivité Territoriale de Corse a engagé une série de consultations du partenariat local et international.</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b/>
                <w:bCs/>
                <w:szCs w:val="24"/>
              </w:rPr>
              <w:t>Au niveau régional</w:t>
            </w:r>
          </w:p>
          <w:p w:rsidR="0035701C" w:rsidRDefault="00FB561B">
            <w:pPr>
              <w:spacing w:before="240" w:after="240"/>
              <w:ind w:left="600"/>
              <w:jc w:val="left"/>
              <w:rPr>
                <w:szCs w:val="24"/>
              </w:rPr>
            </w:pPr>
            <w:r>
              <w:rPr>
                <w:szCs w:val="24"/>
              </w:rPr>
              <w:t>Dans un premier temps, l’Office du Développement Agricole et Rural de Corse</w:t>
            </w:r>
            <w:r>
              <w:rPr>
                <w:szCs w:val="24"/>
              </w:rPr>
              <w:t xml:space="preserve"> a engagé une consultation sur le contenu de cette proposition législative.</w:t>
            </w:r>
          </w:p>
          <w:p w:rsidR="0035701C" w:rsidRDefault="00FB561B">
            <w:pPr>
              <w:spacing w:before="240" w:after="240"/>
              <w:ind w:left="600"/>
              <w:jc w:val="left"/>
              <w:rPr>
                <w:szCs w:val="24"/>
              </w:rPr>
            </w:pPr>
            <w:r>
              <w:rPr>
                <w:szCs w:val="24"/>
              </w:rPr>
              <w:t>La consultation a été menée du 1er mai au 10 juillet 2012 au travers d’un questionnaire consultable sur internet et d’une série d’entretiens qui a permis de parvenir à un large con</w:t>
            </w:r>
            <w:r>
              <w:rPr>
                <w:szCs w:val="24"/>
              </w:rPr>
              <w:t>sensus au sein du conseil d’administration de l’ODARC sur les propositions relatives aux projets de règlements européens.</w:t>
            </w:r>
          </w:p>
          <w:p w:rsidR="0035701C" w:rsidRDefault="00FB561B">
            <w:pPr>
              <w:spacing w:before="240" w:after="240"/>
              <w:jc w:val="left"/>
              <w:rPr>
                <w:szCs w:val="24"/>
              </w:rPr>
            </w:pPr>
            <w:r>
              <w:rPr>
                <w:b/>
                <w:bCs/>
                <w:szCs w:val="24"/>
              </w:rPr>
              <w:t>Au niveau international</w:t>
            </w:r>
          </w:p>
          <w:p w:rsidR="0035701C" w:rsidRDefault="00FB561B">
            <w:pPr>
              <w:spacing w:before="240" w:after="240"/>
              <w:ind w:left="600"/>
              <w:jc w:val="left"/>
              <w:rPr>
                <w:szCs w:val="24"/>
              </w:rPr>
            </w:pPr>
            <w:r>
              <w:rPr>
                <w:szCs w:val="24"/>
              </w:rPr>
              <w:t>En parallèle, une réflexion plus large sur la contribution des territoires insulaires à la PAC a été menée avec les partenaires d’un réseau des îles de Méditerranée. Ce réseau AGRISLES constitué dans le cadre du programme MED a permis d’associer divers Eta</w:t>
            </w:r>
            <w:r>
              <w:rPr>
                <w:szCs w:val="24"/>
              </w:rPr>
              <w:t xml:space="preserve">ts (Chypre, Malte) et régions (Thessalie, Nord Egée, Baléares, Corse, Sicile, Sardaigne, Açores) pour renforcer l’innovation organisationnelle en matière d’agriculture dans ces territoires insulaires. L’ensemble de ces travaux est visibles sur le site </w:t>
            </w:r>
            <w:r>
              <w:rPr>
                <w:szCs w:val="24"/>
                <w:u w:val="single"/>
              </w:rPr>
              <w:t>www.</w:t>
            </w:r>
            <w:r>
              <w:rPr>
                <w:szCs w:val="24"/>
                <w:u w:val="single"/>
              </w:rPr>
              <w:t>agrisles.eu</w:t>
            </w:r>
            <w:r>
              <w:rPr>
                <w:szCs w:val="24"/>
              </w:rPr>
              <w:t>.</w:t>
            </w:r>
          </w:p>
          <w:p w:rsidR="0035701C" w:rsidRDefault="00FB561B">
            <w:pPr>
              <w:spacing w:before="240" w:after="240"/>
              <w:ind w:left="600"/>
              <w:jc w:val="left"/>
              <w:rPr>
                <w:szCs w:val="24"/>
              </w:rPr>
            </w:pPr>
            <w:r>
              <w:rPr>
                <w:szCs w:val="24"/>
              </w:rPr>
              <w:t>Dans ce cadre, les partenaires ont élaboré une série de recommandations sous la forme d'un Manifeste sur la place et le rôle des îles dans la mise en œuvre des ambitions de la PAC.</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3"/>
        <w:jc w:val="left"/>
      </w:pPr>
      <w:bookmarkStart w:id="192" w:name="_Toc256000191"/>
      <w:r>
        <w:t>Résumé des résultats</w:t>
      </w:r>
      <w:bookmarkEnd w:id="19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b/>
                <w:bCs/>
                <w:szCs w:val="24"/>
              </w:rPr>
              <w:t>Au niveau régional</w:t>
            </w:r>
          </w:p>
          <w:p w:rsidR="0035701C" w:rsidRDefault="00FB561B">
            <w:pPr>
              <w:spacing w:before="240" w:after="240"/>
              <w:jc w:val="left"/>
              <w:rPr>
                <w:szCs w:val="24"/>
              </w:rPr>
            </w:pPr>
            <w:r>
              <w:rPr>
                <w:szCs w:val="24"/>
              </w:rPr>
              <w:t>La consultation su</w:t>
            </w:r>
            <w:r>
              <w:rPr>
                <w:szCs w:val="24"/>
              </w:rPr>
              <w:t>r le cadre réglementaire de la PAC a débouché sur une série de recommandations qui ont fait l'objet d'une délibération de l’Assemblée de Corse   (délibération n°2012/O2/146 du 28 septembre 2012) : 1er pilier (paiements directs et OCM), 2nd pilier (développ</w:t>
            </w:r>
            <w:r>
              <w:rPr>
                <w:szCs w:val="24"/>
              </w:rPr>
              <w:t>ement rural).</w:t>
            </w:r>
          </w:p>
          <w:p w:rsidR="0035701C" w:rsidRDefault="00FB561B">
            <w:pPr>
              <w:spacing w:before="240" w:after="240"/>
              <w:jc w:val="left"/>
              <w:rPr>
                <w:szCs w:val="24"/>
              </w:rPr>
            </w:pPr>
            <w:r>
              <w:rPr>
                <w:szCs w:val="24"/>
              </w:rPr>
              <w:t>Elle inclut :</w:t>
            </w:r>
          </w:p>
          <w:p w:rsidR="0035701C" w:rsidRDefault="00FB561B" w:rsidP="00FB561B">
            <w:pPr>
              <w:numPr>
                <w:ilvl w:val="0"/>
                <w:numId w:val="1017"/>
              </w:numPr>
              <w:spacing w:before="240" w:after="0"/>
              <w:ind w:hanging="210"/>
              <w:jc w:val="left"/>
              <w:rPr>
                <w:szCs w:val="24"/>
              </w:rPr>
            </w:pPr>
            <w:r>
              <w:rPr>
                <w:szCs w:val="24"/>
              </w:rPr>
              <w:t>Des recommandations d’ordre politique sur des sujets transversaux qui concernent l’agriculture et le développement rural de la Corse (installation, insularité, circuits d’approvisionnement courts, adaptation des régimes d’aides,</w:t>
            </w:r>
            <w:r>
              <w:rPr>
                <w:szCs w:val="24"/>
              </w:rPr>
              <w:t xml:space="preserve"> foncier, gouvernance…).</w:t>
            </w:r>
          </w:p>
          <w:p w:rsidR="0035701C" w:rsidRDefault="00FB561B" w:rsidP="00FB561B">
            <w:pPr>
              <w:numPr>
                <w:ilvl w:val="0"/>
                <w:numId w:val="1017"/>
              </w:numPr>
              <w:spacing w:before="0" w:after="240"/>
              <w:ind w:hanging="210"/>
              <w:jc w:val="left"/>
              <w:rPr>
                <w:szCs w:val="24"/>
              </w:rPr>
            </w:pPr>
            <w:r>
              <w:rPr>
                <w:szCs w:val="24"/>
              </w:rPr>
              <w:t>Des propositions d’amendements aux projets de règlements ; amendements principalement orientés vers la prise en compte de l’insularité et la reconnaissance des systèmes agricoles insulaires et méditerranéens.</w:t>
            </w:r>
          </w:p>
          <w:p w:rsidR="0035701C" w:rsidRDefault="00FB561B">
            <w:pPr>
              <w:spacing w:before="240" w:after="240"/>
              <w:jc w:val="left"/>
              <w:rPr>
                <w:szCs w:val="24"/>
              </w:rPr>
            </w:pPr>
            <w:r>
              <w:rPr>
                <w:b/>
                <w:bCs/>
                <w:szCs w:val="24"/>
              </w:rPr>
              <w:t xml:space="preserve">Au niveau </w:t>
            </w:r>
            <w:r>
              <w:rPr>
                <w:b/>
                <w:bCs/>
                <w:szCs w:val="24"/>
              </w:rPr>
              <w:t>international</w:t>
            </w:r>
          </w:p>
          <w:p w:rsidR="0035701C" w:rsidRDefault="00FB561B">
            <w:pPr>
              <w:spacing w:before="240" w:after="240"/>
              <w:jc w:val="left"/>
              <w:rPr>
                <w:szCs w:val="24"/>
              </w:rPr>
            </w:pPr>
            <w:r>
              <w:rPr>
                <w:szCs w:val="24"/>
              </w:rPr>
              <w:t>Les partenaires du réseau AGRISLES ont publié un manifeste des îles pour la PAC 2014-2020 (</w:t>
            </w:r>
            <w:r>
              <w:rPr>
                <w:szCs w:val="24"/>
                <w:u w:val="single"/>
              </w:rPr>
              <w:t>www.agrisles.eu/fr/telechargement/func-startdown/229</w:t>
            </w:r>
            <w:r>
              <w:rPr>
                <w:szCs w:val="24"/>
              </w:rPr>
              <w:t>)</w:t>
            </w:r>
          </w:p>
          <w:p w:rsidR="0035701C" w:rsidRDefault="00FB561B">
            <w:pPr>
              <w:spacing w:before="240" w:after="240"/>
              <w:jc w:val="left"/>
              <w:rPr>
                <w:szCs w:val="24"/>
              </w:rPr>
            </w:pPr>
            <w:r>
              <w:rPr>
                <w:szCs w:val="24"/>
              </w:rPr>
              <w:t>Ce manifeste présente les propositions que les îles peuvent apporter à la mise en oeuvre des défi</w:t>
            </w:r>
            <w:r>
              <w:rPr>
                <w:szCs w:val="24"/>
              </w:rPr>
              <w:t>s de la PAC 2014-2020. Sont présentés:</w:t>
            </w:r>
          </w:p>
          <w:p w:rsidR="0035701C" w:rsidRDefault="00FB561B" w:rsidP="00FB561B">
            <w:pPr>
              <w:numPr>
                <w:ilvl w:val="0"/>
                <w:numId w:val="1018"/>
              </w:numPr>
              <w:spacing w:before="240" w:after="0"/>
              <w:ind w:hanging="210"/>
              <w:jc w:val="left"/>
              <w:rPr>
                <w:szCs w:val="24"/>
              </w:rPr>
            </w:pPr>
            <w:r>
              <w:rPr>
                <w:szCs w:val="24"/>
              </w:rPr>
              <w:t>La situation des îles et leur réponse à ces défis et à ces nouvelles orientations</w:t>
            </w:r>
          </w:p>
          <w:p w:rsidR="0035701C" w:rsidRDefault="00FB561B" w:rsidP="00FB561B">
            <w:pPr>
              <w:numPr>
                <w:ilvl w:val="0"/>
                <w:numId w:val="1018"/>
              </w:numPr>
              <w:spacing w:before="0" w:after="0"/>
              <w:ind w:hanging="210"/>
              <w:jc w:val="left"/>
              <w:rPr>
                <w:szCs w:val="24"/>
              </w:rPr>
            </w:pPr>
            <w:r>
              <w:rPr>
                <w:szCs w:val="24"/>
              </w:rPr>
              <w:t xml:space="preserve">La réadaptation des instruments de la politique agricole commune aux réalités insulaires </w:t>
            </w:r>
          </w:p>
          <w:p w:rsidR="0035701C" w:rsidRDefault="00FB561B" w:rsidP="00FB561B">
            <w:pPr>
              <w:numPr>
                <w:ilvl w:val="1"/>
                <w:numId w:val="1018"/>
              </w:numPr>
              <w:spacing w:before="0" w:after="0"/>
              <w:ind w:hanging="244"/>
              <w:jc w:val="left"/>
              <w:rPr>
                <w:szCs w:val="24"/>
              </w:rPr>
            </w:pPr>
            <w:r>
              <w:rPr>
                <w:szCs w:val="24"/>
              </w:rPr>
              <w:t>Réaménagement des paiements directs dans le c</w:t>
            </w:r>
            <w:r>
              <w:rPr>
                <w:szCs w:val="24"/>
              </w:rPr>
              <w:t>adre du premier pilier</w:t>
            </w:r>
          </w:p>
          <w:p w:rsidR="0035701C" w:rsidRDefault="00FB561B" w:rsidP="00FB561B">
            <w:pPr>
              <w:numPr>
                <w:ilvl w:val="1"/>
                <w:numId w:val="1018"/>
              </w:numPr>
              <w:spacing w:before="0" w:after="0"/>
              <w:ind w:hanging="244"/>
              <w:jc w:val="left"/>
              <w:rPr>
                <w:szCs w:val="24"/>
              </w:rPr>
            </w:pPr>
            <w:r>
              <w:rPr>
                <w:szCs w:val="24"/>
              </w:rPr>
              <w:t>Le réaménagement des mesures de marché pour l’amélioration du fonctionnement de la chaîne d’approvisionnement alimentaire</w:t>
            </w:r>
          </w:p>
          <w:p w:rsidR="0035701C" w:rsidRDefault="00FB561B" w:rsidP="00FB561B">
            <w:pPr>
              <w:numPr>
                <w:ilvl w:val="1"/>
                <w:numId w:val="1018"/>
              </w:numPr>
              <w:spacing w:before="0" w:after="0"/>
              <w:ind w:hanging="244"/>
              <w:jc w:val="left"/>
              <w:rPr>
                <w:szCs w:val="24"/>
              </w:rPr>
            </w:pPr>
            <w:r>
              <w:rPr>
                <w:szCs w:val="24"/>
              </w:rPr>
              <w:t>L’adaptation du deuxième pilier aux spécificités insulaires</w:t>
            </w:r>
          </w:p>
          <w:p w:rsidR="0035701C" w:rsidRDefault="00FB561B" w:rsidP="00FB561B">
            <w:pPr>
              <w:numPr>
                <w:ilvl w:val="1"/>
                <w:numId w:val="1018"/>
              </w:numPr>
              <w:spacing w:before="0" w:after="0"/>
              <w:ind w:hanging="244"/>
              <w:jc w:val="left"/>
              <w:rPr>
                <w:szCs w:val="24"/>
              </w:rPr>
            </w:pPr>
            <w:r>
              <w:rPr>
                <w:szCs w:val="24"/>
              </w:rPr>
              <w:t>Considération des besoins et possibilités d’adapter</w:t>
            </w:r>
            <w:r>
              <w:rPr>
                <w:szCs w:val="24"/>
              </w:rPr>
              <w:t xml:space="preserve"> d’autres règles communautaires aux spécificités insulaires</w:t>
            </w:r>
          </w:p>
          <w:p w:rsidR="0035701C" w:rsidRDefault="00FB561B" w:rsidP="00FB561B">
            <w:pPr>
              <w:numPr>
                <w:ilvl w:val="0"/>
                <w:numId w:val="1018"/>
              </w:numPr>
              <w:spacing w:before="0" w:after="240"/>
              <w:ind w:hanging="210"/>
              <w:jc w:val="left"/>
              <w:rPr>
                <w:szCs w:val="24"/>
              </w:rPr>
            </w:pPr>
            <w:r>
              <w:rPr>
                <w:szCs w:val="24"/>
              </w:rPr>
              <w:t>La mise en place d’un Programme ÎLES au sein des politiques communautaires.</w:t>
            </w:r>
          </w:p>
          <w:p w:rsidR="0035701C" w:rsidRDefault="00FB561B">
            <w:pPr>
              <w:spacing w:before="240" w:after="240"/>
              <w:jc w:val="left"/>
              <w:rPr>
                <w:szCs w:val="24"/>
              </w:rPr>
            </w:pPr>
            <w:r>
              <w:rPr>
                <w:szCs w:val="24"/>
              </w:rPr>
              <w:t xml:space="preserve">Ce manifeste a été ratifié par les partenaires du réseau AGRISLES lors de la conférence de la commission des îles de la </w:t>
            </w:r>
            <w:r>
              <w:rPr>
                <w:szCs w:val="24"/>
              </w:rPr>
              <w:t>CRPM, qui a eu lieu à Chypre en octobre 2012, en marge du sommet européen.</w:t>
            </w:r>
          </w:p>
          <w:p w:rsidR="0035701C" w:rsidRDefault="0035701C">
            <w:pPr>
              <w:pStyle w:val="Corpsdetexte"/>
            </w:pPr>
          </w:p>
        </w:tc>
      </w:tr>
    </w:tbl>
    <w:p w:rsidR="0035701C" w:rsidRDefault="00FB561B">
      <w:pPr>
        <w:pStyle w:val="Titre2"/>
        <w:rPr>
          <w:b w:val="0"/>
        </w:rPr>
      </w:pPr>
      <w:bookmarkStart w:id="193" w:name="_Toc256000192"/>
      <w:r>
        <w:rPr>
          <w:b w:val="0"/>
        </w:rPr>
        <w:t>2- Orientations stratégiques</w:t>
      </w:r>
      <w:bookmarkEnd w:id="193"/>
    </w:p>
    <w:p w:rsidR="0035701C" w:rsidRDefault="00FB561B">
      <w:pPr>
        <w:pStyle w:val="Titre3"/>
        <w:jc w:val="left"/>
      </w:pPr>
      <w:bookmarkStart w:id="194" w:name="_Toc256000193"/>
      <w:r>
        <w:t>Objet de la consultation correspondante</w:t>
      </w:r>
      <w:bookmarkEnd w:id="19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 xml:space="preserve">Dans le droit fil des travaux engagés depuis l’automne 2011, les travaux sur les </w:t>
            </w:r>
            <w:r>
              <w:rPr>
                <w:b/>
                <w:bCs/>
                <w:szCs w:val="24"/>
              </w:rPr>
              <w:t>Orientations Stratégiques : A</w:t>
            </w:r>
            <w:r>
              <w:rPr>
                <w:b/>
                <w:bCs/>
                <w:szCs w:val="24"/>
              </w:rPr>
              <w:t>griculture, Développement Rural et Forêt</w:t>
            </w:r>
            <w:r>
              <w:rPr>
                <w:szCs w:val="24"/>
              </w:rPr>
              <w:t xml:space="preserve"> ont été officiellement lancés le 2 avril 2013.</w:t>
            </w:r>
          </w:p>
          <w:p w:rsidR="0035701C" w:rsidRDefault="00FB561B">
            <w:pPr>
              <w:spacing w:before="240" w:after="240"/>
              <w:jc w:val="left"/>
              <w:rPr>
                <w:szCs w:val="24"/>
              </w:rPr>
            </w:pPr>
            <w:r>
              <w:rPr>
                <w:szCs w:val="24"/>
              </w:rPr>
              <w:t>La centaine d’intervenants, élus et représentants du monde agricole, rural et forestier réunis en congrès ont souligné à la fois le bien fondé de la démarche de consult</w:t>
            </w:r>
            <w:r>
              <w:rPr>
                <w:szCs w:val="24"/>
              </w:rPr>
              <w:t>ation mais aussi et surtout la nécessité de donner une orientation nouvelle à la politique agricole, rurale et forestière mise en œuvre en Corse.</w:t>
            </w:r>
          </w:p>
          <w:p w:rsidR="0035701C" w:rsidRDefault="00FB561B">
            <w:pPr>
              <w:spacing w:before="240" w:after="240"/>
              <w:jc w:val="left"/>
              <w:rPr>
                <w:szCs w:val="24"/>
              </w:rPr>
            </w:pPr>
            <w:r>
              <w:rPr>
                <w:szCs w:val="24"/>
              </w:rPr>
              <w:t xml:space="preserve">Ces travaux ont ensuite été conduits par atelier du 12 avril au 13 juin 2013 avec l’ambition de formaliser un </w:t>
            </w:r>
            <w:r>
              <w:rPr>
                <w:szCs w:val="24"/>
              </w:rPr>
              <w:t>document d’orientation stratégique à moyen terme, qui puisse servir de cadre de référence pour la programmation du FEADER 2014-2020.</w:t>
            </w:r>
          </w:p>
          <w:p w:rsidR="0035701C" w:rsidRDefault="00FB561B">
            <w:pPr>
              <w:spacing w:before="240" w:after="240"/>
              <w:jc w:val="left"/>
              <w:rPr>
                <w:szCs w:val="24"/>
              </w:rPr>
            </w:pPr>
            <w:r>
              <w:rPr>
                <w:szCs w:val="24"/>
              </w:rPr>
              <w:t>L’ensemble des acteurs s’est accordé sur le fait de couvrir l’ensemble des opportunités et des problématiques qui affectent</w:t>
            </w:r>
            <w:r>
              <w:rPr>
                <w:szCs w:val="24"/>
              </w:rPr>
              <w:t xml:space="preserve"> le monde rural.</w:t>
            </w:r>
          </w:p>
          <w:p w:rsidR="0035701C" w:rsidRDefault="00FB561B">
            <w:pPr>
              <w:spacing w:before="240" w:after="240"/>
              <w:jc w:val="left"/>
              <w:rPr>
                <w:szCs w:val="24"/>
              </w:rPr>
            </w:pPr>
            <w:r>
              <w:rPr>
                <w:szCs w:val="24"/>
              </w:rPr>
              <w:t>Ces deux mois de travaux ont été l’occasion d’afficher une volonté, celle de passer de la participation, de la simple concertation, à l’implication des forces vives de l’île.</w:t>
            </w:r>
          </w:p>
          <w:p w:rsidR="0035701C" w:rsidRDefault="00FB561B">
            <w:pPr>
              <w:spacing w:before="240" w:after="240"/>
              <w:jc w:val="left"/>
              <w:rPr>
                <w:szCs w:val="24"/>
              </w:rPr>
            </w:pPr>
            <w:r>
              <w:rPr>
                <w:szCs w:val="24"/>
              </w:rPr>
              <w:t xml:space="preserve">Cinq ateliers ont été ainsi retenus et validés par le Conseil </w:t>
            </w:r>
            <w:r>
              <w:rPr>
                <w:szCs w:val="24"/>
              </w:rPr>
              <w:t>d’Administration de l’ODARC afin d’aborder les thèmes suivants :</w:t>
            </w:r>
          </w:p>
          <w:p w:rsidR="0035701C" w:rsidRDefault="00FB561B" w:rsidP="00FB561B">
            <w:pPr>
              <w:numPr>
                <w:ilvl w:val="0"/>
                <w:numId w:val="1019"/>
              </w:numPr>
              <w:spacing w:before="240" w:after="0"/>
              <w:ind w:hanging="210"/>
              <w:jc w:val="left"/>
              <w:rPr>
                <w:szCs w:val="24"/>
              </w:rPr>
            </w:pPr>
            <w:r>
              <w:rPr>
                <w:szCs w:val="24"/>
              </w:rPr>
              <w:t>Thématique 1 : Gérer Maîtriser la Terre.</w:t>
            </w:r>
          </w:p>
          <w:p w:rsidR="0035701C" w:rsidRDefault="00FB561B" w:rsidP="00FB561B">
            <w:pPr>
              <w:numPr>
                <w:ilvl w:val="0"/>
                <w:numId w:val="1019"/>
              </w:numPr>
              <w:spacing w:before="0" w:after="0"/>
              <w:ind w:hanging="210"/>
              <w:jc w:val="left"/>
              <w:rPr>
                <w:szCs w:val="24"/>
              </w:rPr>
            </w:pPr>
            <w:r>
              <w:rPr>
                <w:szCs w:val="24"/>
              </w:rPr>
              <w:t>Thématique 2 : Former, Installer et Accompagner les Femmes et les Hommes en milieu rural.</w:t>
            </w:r>
          </w:p>
          <w:p w:rsidR="0035701C" w:rsidRDefault="00FB561B" w:rsidP="00FB561B">
            <w:pPr>
              <w:numPr>
                <w:ilvl w:val="0"/>
                <w:numId w:val="1019"/>
              </w:numPr>
              <w:spacing w:before="0" w:after="0"/>
              <w:ind w:hanging="210"/>
              <w:jc w:val="left"/>
              <w:rPr>
                <w:szCs w:val="24"/>
              </w:rPr>
            </w:pPr>
            <w:r>
              <w:rPr>
                <w:szCs w:val="24"/>
              </w:rPr>
              <w:t>Thématique 3 : Assurer et Soutenir la Production.</w:t>
            </w:r>
          </w:p>
          <w:p w:rsidR="0035701C" w:rsidRDefault="00FB561B" w:rsidP="00FB561B">
            <w:pPr>
              <w:numPr>
                <w:ilvl w:val="0"/>
                <w:numId w:val="1019"/>
              </w:numPr>
              <w:spacing w:before="0" w:after="0"/>
              <w:ind w:hanging="210"/>
              <w:jc w:val="left"/>
              <w:rPr>
                <w:szCs w:val="24"/>
              </w:rPr>
            </w:pPr>
            <w:r>
              <w:rPr>
                <w:szCs w:val="24"/>
              </w:rPr>
              <w:t>Thématique</w:t>
            </w:r>
            <w:r>
              <w:rPr>
                <w:szCs w:val="24"/>
              </w:rPr>
              <w:t xml:space="preserve"> 4 : Promouvoir et Accroître la Qualité.</w:t>
            </w:r>
          </w:p>
          <w:p w:rsidR="0035701C" w:rsidRDefault="00FB561B" w:rsidP="00FB561B">
            <w:pPr>
              <w:numPr>
                <w:ilvl w:val="0"/>
                <w:numId w:val="1019"/>
              </w:numPr>
              <w:spacing w:before="0" w:after="240"/>
              <w:ind w:hanging="210"/>
              <w:jc w:val="left"/>
              <w:rPr>
                <w:szCs w:val="24"/>
              </w:rPr>
            </w:pPr>
            <w:r>
              <w:rPr>
                <w:szCs w:val="24"/>
              </w:rPr>
              <w:t>Thématique 5 : Promouvoir des Territoires Durables.</w:t>
            </w:r>
          </w:p>
          <w:p w:rsidR="0035701C" w:rsidRDefault="00FB561B">
            <w:pPr>
              <w:spacing w:before="240" w:after="240"/>
              <w:jc w:val="left"/>
              <w:rPr>
                <w:szCs w:val="24"/>
              </w:rPr>
            </w:pPr>
            <w:r>
              <w:rPr>
                <w:szCs w:val="24"/>
              </w:rPr>
              <w:t>Pour chacun d’entre eux, plusieurs questionnements ont été proposés (cf. Tableau : ateliers orientations stratégiques), ce qui a permis à la fois de dresser un éta</w:t>
            </w:r>
            <w:r>
              <w:rPr>
                <w:szCs w:val="24"/>
              </w:rPr>
              <w:t>t des lieux, une analyse critique, des pistes d’amélioration, puis de proposer des orientations stratégiques et d’en discuter les conditions de réussite. La concertation s’est déroulée sur 10 réunions abordant chaque fois que cela était possible les 3 comp</w:t>
            </w:r>
            <w:r>
              <w:rPr>
                <w:szCs w:val="24"/>
              </w:rPr>
              <w:t>osantes : agriculture, forêt et économie rurale.</w:t>
            </w:r>
          </w:p>
          <w:p w:rsidR="0035701C" w:rsidRDefault="0035701C">
            <w:pPr>
              <w:pStyle w:val="Corpsdetexte"/>
            </w:pPr>
          </w:p>
          <w:p w:rsidR="0035701C" w:rsidRDefault="00FB561B">
            <w:pPr>
              <w:pStyle w:val="Corpsdetexte3"/>
              <w:jc w:val="left"/>
            </w:pPr>
            <w:r>
              <w:rPr>
                <w:noProof/>
                <w:lang w:val="fr-FR" w:eastAsia="fr-FR"/>
              </w:rPr>
              <w:drawing>
                <wp:inline distT="0" distB="0" distL="0" distR="0">
                  <wp:extent cx="6629400" cy="6500812"/>
                  <wp:effectExtent l="0" t="0" r="0" b="0"/>
                  <wp:docPr id="100322" name="Image 100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3" name=""/>
                          <pic:cNvPicPr>
                            <a:picLocks noChangeAspect="1"/>
                          </pic:cNvPicPr>
                        </pic:nvPicPr>
                        <pic:blipFill>
                          <a:blip r:embed="rId163"/>
                          <a:stretch>
                            <a:fillRect/>
                          </a:stretch>
                        </pic:blipFill>
                        <pic:spPr>
                          <a:xfrm>
                            <a:off x="0" y="0"/>
                            <a:ext cx="6629400" cy="6500812"/>
                          </a:xfrm>
                          <a:prstGeom prst="rect">
                            <a:avLst/>
                          </a:prstGeom>
                        </pic:spPr>
                      </pic:pic>
                    </a:graphicData>
                  </a:graphic>
                </wp:inline>
              </w:drawing>
            </w:r>
          </w:p>
          <w:p w:rsidR="0035701C" w:rsidRDefault="00FB561B">
            <w:pPr>
              <w:pStyle w:val="Pieddepage"/>
              <w:jc w:val="center"/>
            </w:pPr>
            <w:r>
              <w:t>Tableau : ateliers orientations stratégiques</w:t>
            </w:r>
          </w:p>
          <w:p w:rsidR="0035701C" w:rsidRDefault="0035701C">
            <w:pPr>
              <w:pStyle w:val="Pieddepage"/>
              <w:jc w:val="center"/>
            </w:pPr>
          </w:p>
        </w:tc>
      </w:tr>
    </w:tbl>
    <w:p w:rsidR="0035701C" w:rsidRDefault="00FB561B">
      <w:pPr>
        <w:pStyle w:val="Titre3"/>
        <w:jc w:val="left"/>
      </w:pPr>
      <w:bookmarkStart w:id="195" w:name="_Toc256000194"/>
      <w:r>
        <w:t>Résumé des résultats</w:t>
      </w:r>
      <w:bookmarkEnd w:id="19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 xml:space="preserve">Les travaux de consultation ont débouché sur la publication d'un document :  </w:t>
            </w:r>
            <w:r>
              <w:rPr>
                <w:i/>
                <w:iCs/>
                <w:szCs w:val="24"/>
              </w:rPr>
              <w:t>Orientations agriculture, développement rural et forêt</w:t>
            </w:r>
            <w:r>
              <w:rPr>
                <w:szCs w:val="24"/>
              </w:rPr>
              <w:t xml:space="preserve"> (87 pages) validé par l’Assemblée de Corse : délibération AC 13/233 du 7 novembre 2013.</w:t>
            </w:r>
          </w:p>
          <w:p w:rsidR="0035701C" w:rsidRDefault="00FB561B">
            <w:pPr>
              <w:spacing w:before="240" w:after="240"/>
              <w:jc w:val="left"/>
              <w:rPr>
                <w:szCs w:val="24"/>
              </w:rPr>
            </w:pPr>
            <w:r>
              <w:rPr>
                <w:szCs w:val="24"/>
              </w:rPr>
              <w:t>Ces orientations stratégiques fixent des objectifs chiffrés à atteindre  :</w:t>
            </w:r>
          </w:p>
          <w:p w:rsidR="0035701C" w:rsidRDefault="00FB561B" w:rsidP="00FB561B">
            <w:pPr>
              <w:numPr>
                <w:ilvl w:val="0"/>
                <w:numId w:val="1020"/>
              </w:numPr>
              <w:spacing w:before="240" w:after="0"/>
              <w:ind w:hanging="210"/>
              <w:jc w:val="left"/>
              <w:rPr>
                <w:szCs w:val="24"/>
              </w:rPr>
            </w:pPr>
            <w:r>
              <w:rPr>
                <w:szCs w:val="24"/>
              </w:rPr>
              <w:t>En termes de PIB et de dimension économique</w:t>
            </w:r>
          </w:p>
          <w:p w:rsidR="0035701C" w:rsidRDefault="00FB561B" w:rsidP="00FB561B">
            <w:pPr>
              <w:numPr>
                <w:ilvl w:val="0"/>
                <w:numId w:val="1020"/>
              </w:numPr>
              <w:spacing w:before="0" w:after="0"/>
              <w:ind w:hanging="210"/>
              <w:jc w:val="left"/>
              <w:rPr>
                <w:szCs w:val="24"/>
              </w:rPr>
            </w:pPr>
            <w:r>
              <w:rPr>
                <w:szCs w:val="24"/>
              </w:rPr>
              <w:t xml:space="preserve">En termes de satisfaction des besoins </w:t>
            </w:r>
            <w:r>
              <w:rPr>
                <w:szCs w:val="24"/>
              </w:rPr>
              <w:t>alimentaires</w:t>
            </w:r>
          </w:p>
          <w:p w:rsidR="0035701C" w:rsidRDefault="00FB561B" w:rsidP="00FB561B">
            <w:pPr>
              <w:numPr>
                <w:ilvl w:val="0"/>
                <w:numId w:val="1020"/>
              </w:numPr>
              <w:spacing w:before="0" w:after="0"/>
              <w:ind w:hanging="210"/>
              <w:jc w:val="left"/>
              <w:rPr>
                <w:szCs w:val="24"/>
              </w:rPr>
            </w:pPr>
            <w:r>
              <w:rPr>
                <w:szCs w:val="24"/>
              </w:rPr>
              <w:t>En termes de dynamique d’emplois</w:t>
            </w:r>
          </w:p>
          <w:p w:rsidR="0035701C" w:rsidRDefault="00FB561B" w:rsidP="00FB561B">
            <w:pPr>
              <w:numPr>
                <w:ilvl w:val="0"/>
                <w:numId w:val="1020"/>
              </w:numPr>
              <w:spacing w:before="0" w:after="0"/>
              <w:ind w:hanging="210"/>
              <w:jc w:val="left"/>
              <w:rPr>
                <w:szCs w:val="24"/>
              </w:rPr>
            </w:pPr>
            <w:r>
              <w:rPr>
                <w:szCs w:val="24"/>
              </w:rPr>
              <w:t>En termes d’équilibre territorial et d’aménagement</w:t>
            </w:r>
          </w:p>
          <w:p w:rsidR="0035701C" w:rsidRDefault="00FB561B" w:rsidP="00FB561B">
            <w:pPr>
              <w:numPr>
                <w:ilvl w:val="0"/>
                <w:numId w:val="1020"/>
              </w:numPr>
              <w:spacing w:before="0" w:after="0"/>
              <w:ind w:hanging="210"/>
              <w:jc w:val="left"/>
              <w:rPr>
                <w:szCs w:val="24"/>
              </w:rPr>
            </w:pPr>
            <w:r>
              <w:rPr>
                <w:szCs w:val="24"/>
              </w:rPr>
              <w:t>En termes de paysage et de mises en valeur des espaces</w:t>
            </w:r>
          </w:p>
          <w:p w:rsidR="0035701C" w:rsidRDefault="00FB561B" w:rsidP="00FB561B">
            <w:pPr>
              <w:numPr>
                <w:ilvl w:val="0"/>
                <w:numId w:val="1020"/>
              </w:numPr>
              <w:spacing w:before="0" w:after="0"/>
              <w:ind w:hanging="210"/>
              <w:jc w:val="left"/>
              <w:rPr>
                <w:szCs w:val="24"/>
              </w:rPr>
            </w:pPr>
            <w:r>
              <w:rPr>
                <w:szCs w:val="24"/>
              </w:rPr>
              <w:t>En termes de contribution directe et indirecte à la qualité de l’environnement</w:t>
            </w:r>
          </w:p>
          <w:p w:rsidR="0035701C" w:rsidRDefault="00FB561B" w:rsidP="00FB561B">
            <w:pPr>
              <w:numPr>
                <w:ilvl w:val="0"/>
                <w:numId w:val="1020"/>
              </w:numPr>
              <w:spacing w:before="0" w:after="0"/>
              <w:ind w:hanging="210"/>
              <w:jc w:val="left"/>
              <w:rPr>
                <w:szCs w:val="24"/>
              </w:rPr>
            </w:pPr>
            <w:r>
              <w:rPr>
                <w:szCs w:val="24"/>
              </w:rPr>
              <w:t>En termes d’évolution des</w:t>
            </w:r>
            <w:r>
              <w:rPr>
                <w:szCs w:val="24"/>
              </w:rPr>
              <w:t xml:space="preserve"> systèmes de production</w:t>
            </w:r>
          </w:p>
          <w:p w:rsidR="0035701C" w:rsidRDefault="00FB561B" w:rsidP="00FB561B">
            <w:pPr>
              <w:numPr>
                <w:ilvl w:val="0"/>
                <w:numId w:val="1020"/>
              </w:numPr>
              <w:spacing w:before="0" w:after="0"/>
              <w:ind w:hanging="210"/>
              <w:jc w:val="left"/>
              <w:rPr>
                <w:szCs w:val="24"/>
              </w:rPr>
            </w:pPr>
            <w:r>
              <w:rPr>
                <w:szCs w:val="24"/>
              </w:rPr>
              <w:t>En termes de revenus</w:t>
            </w:r>
          </w:p>
          <w:p w:rsidR="0035701C" w:rsidRDefault="00FB561B" w:rsidP="00FB561B">
            <w:pPr>
              <w:numPr>
                <w:ilvl w:val="0"/>
                <w:numId w:val="1020"/>
              </w:numPr>
              <w:spacing w:before="0" w:after="240"/>
              <w:ind w:hanging="210"/>
              <w:jc w:val="left"/>
              <w:rPr>
                <w:szCs w:val="24"/>
              </w:rPr>
            </w:pPr>
            <w:r>
              <w:rPr>
                <w:szCs w:val="24"/>
              </w:rPr>
              <w:t>En termes d’accroissement de qualité des biens et des services.</w:t>
            </w:r>
          </w:p>
          <w:p w:rsidR="0035701C" w:rsidRDefault="00FB561B">
            <w:pPr>
              <w:spacing w:before="240" w:after="240"/>
              <w:jc w:val="left"/>
              <w:rPr>
                <w:szCs w:val="24"/>
              </w:rPr>
            </w:pPr>
            <w:r>
              <w:rPr>
                <w:szCs w:val="24"/>
              </w:rPr>
              <w:t>Pour y parvenir 5 orientations majeures ont été retenues :</w:t>
            </w:r>
          </w:p>
          <w:p w:rsidR="0035701C" w:rsidRDefault="00FB561B" w:rsidP="00FB561B">
            <w:pPr>
              <w:numPr>
                <w:ilvl w:val="0"/>
                <w:numId w:val="1021"/>
              </w:numPr>
              <w:spacing w:before="240" w:after="0"/>
              <w:ind w:hanging="210"/>
              <w:jc w:val="left"/>
              <w:rPr>
                <w:szCs w:val="24"/>
              </w:rPr>
            </w:pPr>
            <w:r>
              <w:rPr>
                <w:szCs w:val="24"/>
              </w:rPr>
              <w:t>Orientation n°1 : Protéger, Maîtriser et Mobiliser le foncier</w:t>
            </w:r>
          </w:p>
          <w:p w:rsidR="0035701C" w:rsidRDefault="00FB561B" w:rsidP="00FB561B">
            <w:pPr>
              <w:numPr>
                <w:ilvl w:val="0"/>
                <w:numId w:val="1021"/>
              </w:numPr>
              <w:spacing w:before="0" w:after="0"/>
              <w:ind w:hanging="210"/>
              <w:jc w:val="left"/>
              <w:rPr>
                <w:szCs w:val="24"/>
              </w:rPr>
            </w:pPr>
            <w:r>
              <w:rPr>
                <w:szCs w:val="24"/>
              </w:rPr>
              <w:t>Orientation n°2 : Intensif</w:t>
            </w:r>
            <w:r>
              <w:rPr>
                <w:szCs w:val="24"/>
              </w:rPr>
              <w:t>ier la connaissance, accroître la capacité d’innovation, accroître l’installation</w:t>
            </w:r>
          </w:p>
          <w:p w:rsidR="0035701C" w:rsidRDefault="00FB561B" w:rsidP="00FB561B">
            <w:pPr>
              <w:numPr>
                <w:ilvl w:val="0"/>
                <w:numId w:val="1021"/>
              </w:numPr>
              <w:spacing w:before="0" w:after="0"/>
              <w:ind w:hanging="210"/>
              <w:jc w:val="left"/>
              <w:rPr>
                <w:szCs w:val="24"/>
              </w:rPr>
            </w:pPr>
            <w:r>
              <w:rPr>
                <w:szCs w:val="24"/>
              </w:rPr>
              <w:t>Orientation n°3 : Orienter l’accompagnement public vers la production, la qualité et l’efficience environnementale</w:t>
            </w:r>
          </w:p>
          <w:p w:rsidR="0035701C" w:rsidRDefault="00FB561B" w:rsidP="00FB561B">
            <w:pPr>
              <w:numPr>
                <w:ilvl w:val="0"/>
                <w:numId w:val="1021"/>
              </w:numPr>
              <w:spacing w:before="0" w:after="0"/>
              <w:ind w:hanging="210"/>
              <w:jc w:val="left"/>
              <w:rPr>
                <w:szCs w:val="24"/>
              </w:rPr>
            </w:pPr>
            <w:r>
              <w:rPr>
                <w:szCs w:val="24"/>
              </w:rPr>
              <w:t>Orientation n°4 : Consolider l’action territoriale.</w:t>
            </w:r>
          </w:p>
          <w:p w:rsidR="0035701C" w:rsidRDefault="00FB561B" w:rsidP="00FB561B">
            <w:pPr>
              <w:numPr>
                <w:ilvl w:val="0"/>
                <w:numId w:val="1021"/>
              </w:numPr>
              <w:spacing w:before="0" w:after="240"/>
              <w:ind w:hanging="210"/>
              <w:jc w:val="left"/>
              <w:rPr>
                <w:szCs w:val="24"/>
              </w:rPr>
            </w:pPr>
            <w:r>
              <w:rPr>
                <w:szCs w:val="24"/>
              </w:rPr>
              <w:t>Orienta</w:t>
            </w:r>
            <w:r>
              <w:rPr>
                <w:szCs w:val="24"/>
              </w:rPr>
              <w:t>tion n°5 : Améliorer la gouvernance</w:t>
            </w:r>
          </w:p>
          <w:p w:rsidR="0035701C" w:rsidRDefault="00FB561B">
            <w:pPr>
              <w:spacing w:before="240" w:after="240"/>
              <w:jc w:val="left"/>
              <w:rPr>
                <w:szCs w:val="24"/>
              </w:rPr>
            </w:pPr>
            <w:r>
              <w:rPr>
                <w:szCs w:val="24"/>
              </w:rPr>
              <w:t>Ces travaux  de consultation nous ont permis d'analyser et d’identifier les besoins qui devront être couverts par le PDRC. Ils ont également permis la définition, la sélection des priorités et des objectifs spécifiques q</w:t>
            </w:r>
            <w:r>
              <w:rPr>
                <w:szCs w:val="24"/>
              </w:rPr>
              <w:t>ui s'attachent à ces besoins, conformément au règlement délégué (UE) n° 240/2014 relatif au code de bonne conduite européen sur le partenariat dans le cadre des FESI.</w:t>
            </w:r>
          </w:p>
          <w:p w:rsidR="0035701C" w:rsidRDefault="0035701C">
            <w:pPr>
              <w:pStyle w:val="Corpsdetexte"/>
            </w:pPr>
          </w:p>
        </w:tc>
      </w:tr>
    </w:tbl>
    <w:p w:rsidR="0035701C" w:rsidRDefault="00FB561B">
      <w:pPr>
        <w:pStyle w:val="Titre2"/>
        <w:rPr>
          <w:b w:val="0"/>
        </w:rPr>
      </w:pPr>
      <w:bookmarkStart w:id="196" w:name="_Toc256000195"/>
      <w:r>
        <w:rPr>
          <w:b w:val="0"/>
        </w:rPr>
        <w:t>3- Consultation filières agricoles</w:t>
      </w:r>
      <w:bookmarkEnd w:id="196"/>
    </w:p>
    <w:p w:rsidR="0035701C" w:rsidRDefault="00FB561B">
      <w:pPr>
        <w:pStyle w:val="Titre3"/>
        <w:jc w:val="left"/>
      </w:pPr>
      <w:bookmarkStart w:id="197" w:name="_Toc256000196"/>
      <w:r>
        <w:t>Objet de la consultation correspondante</w:t>
      </w:r>
      <w:bookmarkEnd w:id="19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 xml:space="preserve">Fin 2013 </w:t>
            </w:r>
            <w:r>
              <w:rPr>
                <w:szCs w:val="24"/>
              </w:rPr>
              <w:t>l'ODARC a engagé une série de consultation des filières agricoles de Corse sur l'élaboration du Programme de développement rural 2014-2020.</w:t>
            </w:r>
          </w:p>
          <w:p w:rsidR="0035701C" w:rsidRDefault="00FB561B">
            <w:pPr>
              <w:spacing w:before="240" w:after="240"/>
              <w:jc w:val="left"/>
              <w:rPr>
                <w:szCs w:val="24"/>
              </w:rPr>
            </w:pPr>
            <w:r>
              <w:rPr>
                <w:szCs w:val="24"/>
              </w:rPr>
              <w:t>Après les échanges sur les projets de règlements de la PAC (cf. 1- Projets Règlements), sur les orientations de l'ag</w:t>
            </w:r>
            <w:r>
              <w:rPr>
                <w:szCs w:val="24"/>
              </w:rPr>
              <w:t>riculture de la forêt et du développement rural à long termes (cf. 2- Orientations stratégiques) cette consultation constitue le troisième temps fort d'implication du partenariat local.</w:t>
            </w:r>
          </w:p>
          <w:p w:rsidR="0035701C" w:rsidRDefault="00FB561B">
            <w:pPr>
              <w:spacing w:before="240" w:after="240"/>
              <w:jc w:val="left"/>
              <w:rPr>
                <w:szCs w:val="24"/>
              </w:rPr>
            </w:pPr>
            <w:r>
              <w:rPr>
                <w:szCs w:val="24"/>
              </w:rPr>
              <w:t>Une vingtaine de réunion a eu lieu régionalement jusqu'en mars 2014 av</w:t>
            </w:r>
            <w:r>
              <w:rPr>
                <w:szCs w:val="24"/>
              </w:rPr>
              <w:t>ec les représentants des filières animales et végétales (syndicats, associations) et les organisations socio-professionnelles (Chambres d'Agriculture).</w:t>
            </w:r>
          </w:p>
          <w:p w:rsidR="0035701C" w:rsidRDefault="00FB561B">
            <w:pPr>
              <w:spacing w:before="240" w:after="240"/>
              <w:jc w:val="left"/>
              <w:rPr>
                <w:szCs w:val="24"/>
              </w:rPr>
            </w:pPr>
            <w:r>
              <w:rPr>
                <w:szCs w:val="24"/>
              </w:rPr>
              <w:t>La présence des services instructeurs à chacune de ces rencontres, nous ont permis d'analyser les retour</w:t>
            </w:r>
            <w:r>
              <w:rPr>
                <w:szCs w:val="24"/>
              </w:rPr>
              <w:t>s des filières et des partenaires au regard des résultats de la programmation 2007-2013.</w:t>
            </w:r>
          </w:p>
          <w:p w:rsidR="0035701C" w:rsidRDefault="00FB561B">
            <w:pPr>
              <w:spacing w:before="240" w:after="240"/>
              <w:jc w:val="left"/>
              <w:rPr>
                <w:szCs w:val="24"/>
              </w:rPr>
            </w:pPr>
            <w:r>
              <w:rPr>
                <w:szCs w:val="24"/>
              </w:rPr>
              <w:t>Les thématiques débattues ont concerné :</w:t>
            </w:r>
          </w:p>
          <w:p w:rsidR="0035701C" w:rsidRDefault="00FB561B" w:rsidP="00FB561B">
            <w:pPr>
              <w:numPr>
                <w:ilvl w:val="0"/>
                <w:numId w:val="1022"/>
              </w:numPr>
              <w:spacing w:before="240" w:after="0"/>
              <w:ind w:hanging="244"/>
              <w:jc w:val="left"/>
              <w:rPr>
                <w:szCs w:val="24"/>
              </w:rPr>
            </w:pPr>
            <w:r>
              <w:rPr>
                <w:szCs w:val="24"/>
              </w:rPr>
              <w:t>les priorités de la filière (axes de développement)</w:t>
            </w:r>
          </w:p>
          <w:p w:rsidR="0035701C" w:rsidRDefault="00FB561B" w:rsidP="00FB561B">
            <w:pPr>
              <w:numPr>
                <w:ilvl w:val="0"/>
                <w:numId w:val="1022"/>
              </w:numPr>
              <w:spacing w:before="0" w:after="0"/>
              <w:ind w:hanging="244"/>
              <w:jc w:val="left"/>
              <w:rPr>
                <w:szCs w:val="24"/>
              </w:rPr>
            </w:pPr>
            <w:r>
              <w:rPr>
                <w:szCs w:val="24"/>
              </w:rPr>
              <w:t>l'organisation de la filière</w:t>
            </w:r>
          </w:p>
          <w:p w:rsidR="0035701C" w:rsidRDefault="00FB561B" w:rsidP="00FB561B">
            <w:pPr>
              <w:numPr>
                <w:ilvl w:val="0"/>
                <w:numId w:val="1022"/>
              </w:numPr>
              <w:spacing w:before="0" w:after="0"/>
              <w:ind w:hanging="244"/>
              <w:jc w:val="left"/>
              <w:rPr>
                <w:szCs w:val="24"/>
              </w:rPr>
            </w:pPr>
            <w:r>
              <w:rPr>
                <w:szCs w:val="24"/>
              </w:rPr>
              <w:t>l'installation /transmission</w:t>
            </w:r>
          </w:p>
          <w:p w:rsidR="0035701C" w:rsidRDefault="00FB561B" w:rsidP="00FB561B">
            <w:pPr>
              <w:numPr>
                <w:ilvl w:val="0"/>
                <w:numId w:val="1022"/>
              </w:numPr>
              <w:spacing w:before="0" w:after="0"/>
              <w:ind w:hanging="244"/>
              <w:jc w:val="left"/>
              <w:rPr>
                <w:szCs w:val="24"/>
              </w:rPr>
            </w:pPr>
            <w:r>
              <w:rPr>
                <w:szCs w:val="24"/>
              </w:rPr>
              <w:t>la formation</w:t>
            </w:r>
          </w:p>
          <w:p w:rsidR="0035701C" w:rsidRDefault="00FB561B" w:rsidP="00FB561B">
            <w:pPr>
              <w:numPr>
                <w:ilvl w:val="0"/>
                <w:numId w:val="1022"/>
              </w:numPr>
              <w:spacing w:before="0" w:after="0"/>
              <w:ind w:hanging="244"/>
              <w:jc w:val="left"/>
              <w:rPr>
                <w:szCs w:val="24"/>
              </w:rPr>
            </w:pPr>
            <w:r>
              <w:rPr>
                <w:szCs w:val="24"/>
              </w:rPr>
              <w:t>les</w:t>
            </w:r>
            <w:r>
              <w:rPr>
                <w:szCs w:val="24"/>
              </w:rPr>
              <w:t xml:space="preserve"> démarche qualité / Agriculture biologique.</w:t>
            </w:r>
          </w:p>
          <w:p w:rsidR="0035701C" w:rsidRDefault="00FB561B" w:rsidP="00FB561B">
            <w:pPr>
              <w:numPr>
                <w:ilvl w:val="0"/>
                <w:numId w:val="1022"/>
              </w:numPr>
              <w:spacing w:before="0" w:after="0"/>
              <w:ind w:hanging="244"/>
              <w:jc w:val="left"/>
              <w:rPr>
                <w:szCs w:val="24"/>
              </w:rPr>
            </w:pPr>
            <w:r>
              <w:rPr>
                <w:szCs w:val="24"/>
              </w:rPr>
              <w:t>les actions de R&amp;D et l'expérimentation</w:t>
            </w:r>
          </w:p>
          <w:p w:rsidR="0035701C" w:rsidRDefault="00FB561B" w:rsidP="00FB561B">
            <w:pPr>
              <w:numPr>
                <w:ilvl w:val="0"/>
                <w:numId w:val="1022"/>
              </w:numPr>
              <w:spacing w:before="0" w:after="0"/>
              <w:ind w:hanging="244"/>
              <w:jc w:val="left"/>
              <w:rPr>
                <w:szCs w:val="24"/>
              </w:rPr>
            </w:pPr>
            <w:r>
              <w:rPr>
                <w:szCs w:val="24"/>
              </w:rPr>
              <w:t>l'appui technique</w:t>
            </w:r>
          </w:p>
          <w:p w:rsidR="0035701C" w:rsidRDefault="00FB561B" w:rsidP="00FB561B">
            <w:pPr>
              <w:numPr>
                <w:ilvl w:val="0"/>
                <w:numId w:val="1022"/>
              </w:numPr>
              <w:spacing w:before="0" w:after="0"/>
              <w:ind w:hanging="244"/>
              <w:jc w:val="left"/>
              <w:rPr>
                <w:szCs w:val="24"/>
              </w:rPr>
            </w:pPr>
            <w:r>
              <w:rPr>
                <w:szCs w:val="24"/>
              </w:rPr>
              <w:t>le développement  des exploitations agricoles : infrastructure, mise en valeur, transformation, diversification…</w:t>
            </w:r>
          </w:p>
          <w:p w:rsidR="0035701C" w:rsidRDefault="00FB561B" w:rsidP="00FB561B">
            <w:pPr>
              <w:numPr>
                <w:ilvl w:val="0"/>
                <w:numId w:val="1022"/>
              </w:numPr>
              <w:spacing w:before="0" w:after="0"/>
              <w:ind w:hanging="244"/>
              <w:jc w:val="left"/>
              <w:rPr>
                <w:szCs w:val="24"/>
              </w:rPr>
            </w:pPr>
            <w:r>
              <w:rPr>
                <w:szCs w:val="24"/>
              </w:rPr>
              <w:t>l’intérêt de projets groupés ou collectif</w:t>
            </w:r>
            <w:r>
              <w:rPr>
                <w:szCs w:val="24"/>
              </w:rPr>
              <w:t>s</w:t>
            </w:r>
          </w:p>
          <w:p w:rsidR="0035701C" w:rsidRDefault="00FB561B" w:rsidP="00FB561B">
            <w:pPr>
              <w:numPr>
                <w:ilvl w:val="0"/>
                <w:numId w:val="1022"/>
              </w:numPr>
              <w:spacing w:before="0" w:after="0"/>
              <w:ind w:hanging="244"/>
              <w:jc w:val="left"/>
              <w:rPr>
                <w:szCs w:val="24"/>
              </w:rPr>
            </w:pPr>
            <w:r>
              <w:rPr>
                <w:szCs w:val="24"/>
              </w:rPr>
              <w:t>la détermination des investissements individuels structurants à accompagner, priorisation/sélection.</w:t>
            </w:r>
          </w:p>
          <w:p w:rsidR="0035701C" w:rsidRDefault="00FB561B" w:rsidP="00FB561B">
            <w:pPr>
              <w:numPr>
                <w:ilvl w:val="0"/>
                <w:numId w:val="1022"/>
              </w:numPr>
              <w:spacing w:before="0" w:after="0"/>
              <w:ind w:hanging="244"/>
              <w:jc w:val="left"/>
              <w:rPr>
                <w:szCs w:val="24"/>
              </w:rPr>
            </w:pPr>
            <w:r>
              <w:rPr>
                <w:szCs w:val="24"/>
              </w:rPr>
              <w:t>la commercialisation – promotion</w:t>
            </w:r>
          </w:p>
          <w:p w:rsidR="0035701C" w:rsidRDefault="00FB561B" w:rsidP="00FB561B">
            <w:pPr>
              <w:numPr>
                <w:ilvl w:val="0"/>
                <w:numId w:val="1022"/>
              </w:numPr>
              <w:spacing w:before="0" w:after="0"/>
              <w:ind w:hanging="244"/>
              <w:jc w:val="left"/>
              <w:rPr>
                <w:szCs w:val="24"/>
              </w:rPr>
            </w:pPr>
            <w:r>
              <w:rPr>
                <w:szCs w:val="24"/>
              </w:rPr>
              <w:t>les problématiques foncières et territoriales spécifiques à la filière</w:t>
            </w:r>
          </w:p>
          <w:p w:rsidR="0035701C" w:rsidRDefault="00FB561B" w:rsidP="00FB561B">
            <w:pPr>
              <w:numPr>
                <w:ilvl w:val="0"/>
                <w:numId w:val="1022"/>
              </w:numPr>
              <w:spacing w:before="0" w:after="0"/>
              <w:ind w:hanging="244"/>
              <w:jc w:val="left"/>
              <w:rPr>
                <w:szCs w:val="24"/>
              </w:rPr>
            </w:pPr>
            <w:r>
              <w:rPr>
                <w:szCs w:val="24"/>
              </w:rPr>
              <w:t>les enjeux environnementaux spécifiques à la fili</w:t>
            </w:r>
            <w:r>
              <w:rPr>
                <w:szCs w:val="24"/>
              </w:rPr>
              <w:t>ère</w:t>
            </w:r>
          </w:p>
          <w:p w:rsidR="0035701C" w:rsidRDefault="00FB561B" w:rsidP="00FB561B">
            <w:pPr>
              <w:numPr>
                <w:ilvl w:val="0"/>
                <w:numId w:val="1022"/>
              </w:numPr>
              <w:spacing w:before="0" w:after="240"/>
              <w:ind w:hanging="244"/>
              <w:jc w:val="left"/>
              <w:rPr>
                <w:szCs w:val="24"/>
              </w:rPr>
            </w:pPr>
            <w:r>
              <w:rPr>
                <w:szCs w:val="24"/>
              </w:rPr>
              <w:t>les enjeux sanitaires</w:t>
            </w:r>
          </w:p>
          <w:p w:rsidR="0035701C" w:rsidRDefault="0035701C">
            <w:pPr>
              <w:pStyle w:val="Corpsdetexte"/>
            </w:pPr>
          </w:p>
        </w:tc>
      </w:tr>
    </w:tbl>
    <w:p w:rsidR="0035701C" w:rsidRDefault="00FB561B">
      <w:pPr>
        <w:pStyle w:val="Titre3"/>
        <w:jc w:val="left"/>
      </w:pPr>
      <w:bookmarkStart w:id="198" w:name="_Toc256000197"/>
      <w:r>
        <w:t>Résumé des résultats</w:t>
      </w:r>
      <w:bookmarkEnd w:id="19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Ces travaux sont directement en lien avec la présentation du PDR 2014-2020.</w:t>
            </w:r>
          </w:p>
          <w:p w:rsidR="0035701C" w:rsidRDefault="00FB561B">
            <w:pPr>
              <w:spacing w:before="240" w:after="240"/>
              <w:jc w:val="left"/>
              <w:rPr>
                <w:szCs w:val="24"/>
              </w:rPr>
            </w:pPr>
            <w:r>
              <w:rPr>
                <w:szCs w:val="24"/>
              </w:rPr>
              <w:t xml:space="preserve">Ils ont en particulier permis à l'Autorité de Gestion d'affiner les éléments d'appréciation en termes de priorité d'action, de </w:t>
            </w:r>
            <w:r>
              <w:rPr>
                <w:szCs w:val="24"/>
              </w:rPr>
              <w:t>modalité de sélection des opérations et d'accompagnement des porteurs de projet.</w:t>
            </w:r>
          </w:p>
          <w:p w:rsidR="0035701C" w:rsidRDefault="00FB561B">
            <w:pPr>
              <w:spacing w:before="240" w:after="240"/>
              <w:jc w:val="left"/>
              <w:rPr>
                <w:szCs w:val="24"/>
              </w:rPr>
            </w:pPr>
            <w:r>
              <w:rPr>
                <w:szCs w:val="24"/>
              </w:rPr>
              <w:t>Ces travaux de consultation et les retours des services instructeurs 2007 2013 ont permis d'affiner l’analyse et l’identification des besoins; la définition ou la sélection de</w:t>
            </w:r>
            <w:r>
              <w:rPr>
                <w:szCs w:val="24"/>
              </w:rPr>
              <w:t>s priorités et des objectifs spécifiques qui s'y rattachent; l'attribution des crédits et la définition des indicateurs spécifiques des programmes.</w:t>
            </w:r>
          </w:p>
          <w:p w:rsidR="0035701C" w:rsidRDefault="00FB561B">
            <w:pPr>
              <w:spacing w:before="240" w:after="240"/>
              <w:jc w:val="left"/>
              <w:rPr>
                <w:szCs w:val="24"/>
              </w:rPr>
            </w:pPr>
            <w:r>
              <w:rPr>
                <w:szCs w:val="24"/>
              </w:rPr>
              <w:t>Ils nous ont également permis d'affirmer la construction d'un véritable partenariat conformément au règlemen</w:t>
            </w:r>
            <w:r>
              <w:rPr>
                <w:szCs w:val="24"/>
              </w:rPr>
              <w:t>t délégué (UE) n° 240/2014 relatif au code de bonne conduite européen sur le partenariat dans le cadre des FESI.</w:t>
            </w:r>
          </w:p>
          <w:p w:rsidR="0035701C" w:rsidRDefault="0035701C">
            <w:pPr>
              <w:pStyle w:val="Corpsdetexte"/>
            </w:pPr>
          </w:p>
        </w:tc>
      </w:tr>
    </w:tbl>
    <w:p w:rsidR="0035701C" w:rsidRDefault="00FB561B">
      <w:pPr>
        <w:pStyle w:val="Titre2"/>
        <w:rPr>
          <w:b w:val="0"/>
        </w:rPr>
      </w:pPr>
      <w:bookmarkStart w:id="199" w:name="_Toc256000198"/>
      <w:r>
        <w:rPr>
          <w:b w:val="0"/>
        </w:rPr>
        <w:t>4- Consultation Réseau Rural</w:t>
      </w:r>
      <w:bookmarkEnd w:id="199"/>
    </w:p>
    <w:p w:rsidR="0035701C" w:rsidRDefault="00FB561B">
      <w:pPr>
        <w:pStyle w:val="Titre3"/>
        <w:jc w:val="left"/>
      </w:pPr>
      <w:bookmarkStart w:id="200" w:name="_Toc256000199"/>
      <w:r>
        <w:t>Objet de la consultation correspondante</w:t>
      </w:r>
      <w:bookmarkEnd w:id="20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 xml:space="preserve">Le 28/03/2014, l’Autorité de gestion a organisé une consultation du </w:t>
            </w:r>
            <w:r>
              <w:rPr>
                <w:szCs w:val="24"/>
              </w:rPr>
              <w:t>Réseau Rural Régional. Celle-ci s’est tenue dans le cadre d’une réunion de son comité de pilotage.</w:t>
            </w:r>
          </w:p>
          <w:p w:rsidR="0035701C" w:rsidRDefault="00FB561B">
            <w:pPr>
              <w:spacing w:before="240" w:after="240"/>
              <w:jc w:val="left"/>
              <w:rPr>
                <w:szCs w:val="24"/>
              </w:rPr>
            </w:pPr>
            <w:r>
              <w:rPr>
                <w:szCs w:val="24"/>
              </w:rPr>
              <w:t>Cette consultation portait largement sur la problématique du développement rural mis en œuvre en Corse à travers le FEADER.</w:t>
            </w:r>
          </w:p>
          <w:p w:rsidR="0035701C" w:rsidRDefault="00FB561B">
            <w:pPr>
              <w:spacing w:before="240" w:after="240"/>
              <w:jc w:val="left"/>
              <w:rPr>
                <w:szCs w:val="24"/>
              </w:rPr>
            </w:pPr>
            <w:r>
              <w:rPr>
                <w:szCs w:val="24"/>
              </w:rPr>
              <w:t>Des propositions ont été faites n</w:t>
            </w:r>
            <w:r>
              <w:rPr>
                <w:szCs w:val="24"/>
              </w:rPr>
              <w:t>otamment sur l’approche LEADER, mais également plus généralement sur l’ensemble du PDRC.</w:t>
            </w:r>
          </w:p>
          <w:p w:rsidR="0035701C" w:rsidRDefault="0035701C">
            <w:pPr>
              <w:pStyle w:val="Corpsdetexte"/>
            </w:pPr>
          </w:p>
        </w:tc>
      </w:tr>
    </w:tbl>
    <w:p w:rsidR="0035701C" w:rsidRDefault="00FB561B">
      <w:pPr>
        <w:pStyle w:val="Titre3"/>
        <w:jc w:val="left"/>
      </w:pPr>
      <w:bookmarkStart w:id="201" w:name="_Toc256000200"/>
      <w:r>
        <w:t>Résumé des résultats</w:t>
      </w:r>
      <w:bookmarkEnd w:id="20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CR Consultation Réseau Rural programmation 2014 2020</w:t>
            </w:r>
          </w:p>
          <w:p w:rsidR="0035701C" w:rsidRDefault="00FB561B">
            <w:pPr>
              <w:spacing w:before="240" w:after="240"/>
              <w:jc w:val="left"/>
              <w:rPr>
                <w:szCs w:val="24"/>
              </w:rPr>
            </w:pPr>
            <w:r>
              <w:rPr>
                <w:szCs w:val="24"/>
              </w:rPr>
              <w:t>28/03/2014</w:t>
            </w:r>
          </w:p>
          <w:p w:rsidR="0035701C" w:rsidRDefault="00FB561B">
            <w:pPr>
              <w:spacing w:before="240" w:after="240"/>
              <w:jc w:val="left"/>
              <w:rPr>
                <w:szCs w:val="24"/>
              </w:rPr>
            </w:pPr>
            <w:r>
              <w:rPr>
                <w:szCs w:val="24"/>
              </w:rPr>
              <w:t>LEADER et les GAL</w:t>
            </w:r>
          </w:p>
          <w:p w:rsidR="0035701C" w:rsidRDefault="00FB561B">
            <w:pPr>
              <w:spacing w:before="240" w:after="240"/>
              <w:jc w:val="left"/>
              <w:rPr>
                <w:szCs w:val="24"/>
              </w:rPr>
            </w:pPr>
            <w:r>
              <w:rPr>
                <w:szCs w:val="24"/>
              </w:rPr>
              <w:t>                Raccourcir les délais d’instruction</w:t>
            </w:r>
          </w:p>
          <w:p w:rsidR="0035701C" w:rsidRDefault="00FB561B">
            <w:pPr>
              <w:spacing w:before="240" w:after="240"/>
              <w:jc w:val="left"/>
              <w:rPr>
                <w:szCs w:val="24"/>
              </w:rPr>
            </w:pPr>
            <w:r>
              <w:rPr>
                <w:szCs w:val="24"/>
              </w:rPr>
              <w:t>                Souhait de voir une fiche mesure « projet innovant »</w:t>
            </w:r>
          </w:p>
          <w:p w:rsidR="0035701C" w:rsidRDefault="00FB561B">
            <w:pPr>
              <w:spacing w:before="240" w:after="240"/>
              <w:jc w:val="left"/>
              <w:rPr>
                <w:szCs w:val="24"/>
              </w:rPr>
            </w:pPr>
            <w:r>
              <w:rPr>
                <w:szCs w:val="24"/>
              </w:rPr>
              <w:t>                Service juridique de conseil au sein de l’AG</w:t>
            </w:r>
          </w:p>
          <w:p w:rsidR="0035701C" w:rsidRDefault="00FB561B">
            <w:pPr>
              <w:spacing w:before="240" w:after="240"/>
              <w:jc w:val="left"/>
              <w:rPr>
                <w:szCs w:val="24"/>
              </w:rPr>
            </w:pPr>
            <w:r>
              <w:rPr>
                <w:szCs w:val="24"/>
              </w:rPr>
              <w:t>                Confier aux GAL une mission de conseil pour orienter les porteurs de projets vers d’autres financements</w:t>
            </w:r>
          </w:p>
          <w:p w:rsidR="0035701C" w:rsidRDefault="00FB561B">
            <w:pPr>
              <w:spacing w:before="240" w:after="240"/>
              <w:jc w:val="left"/>
              <w:rPr>
                <w:szCs w:val="24"/>
              </w:rPr>
            </w:pPr>
            <w:r>
              <w:rPr>
                <w:szCs w:val="24"/>
              </w:rPr>
              <w:t>      </w:t>
            </w:r>
            <w:r>
              <w:rPr>
                <w:szCs w:val="24"/>
              </w:rPr>
              <w:t>          Améliorer la communication</w:t>
            </w:r>
          </w:p>
          <w:p w:rsidR="0035701C" w:rsidRDefault="00FB561B">
            <w:pPr>
              <w:spacing w:before="240" w:after="240"/>
              <w:jc w:val="left"/>
              <w:rPr>
                <w:szCs w:val="24"/>
              </w:rPr>
            </w:pPr>
            <w:r>
              <w:rPr>
                <w:szCs w:val="24"/>
              </w:rPr>
              <w:t>                Augmentation des moyens financiers</w:t>
            </w:r>
          </w:p>
          <w:p w:rsidR="0035701C" w:rsidRDefault="00FB561B">
            <w:pPr>
              <w:spacing w:before="240" w:after="240"/>
              <w:jc w:val="left"/>
              <w:rPr>
                <w:szCs w:val="24"/>
              </w:rPr>
            </w:pPr>
            <w:r>
              <w:rPr>
                <w:szCs w:val="24"/>
              </w:rPr>
              <w:t>                Objectif transversal de simplification</w:t>
            </w:r>
          </w:p>
          <w:p w:rsidR="0035701C" w:rsidRDefault="00FB561B">
            <w:pPr>
              <w:spacing w:before="240" w:after="240"/>
              <w:jc w:val="left"/>
              <w:rPr>
                <w:szCs w:val="24"/>
              </w:rPr>
            </w:pPr>
            <w:r>
              <w:rPr>
                <w:szCs w:val="24"/>
              </w:rPr>
              <w:t>Priorités pour le développement rural</w:t>
            </w:r>
          </w:p>
          <w:p w:rsidR="0035701C" w:rsidRDefault="00FB561B">
            <w:pPr>
              <w:spacing w:before="240" w:after="240"/>
              <w:jc w:val="left"/>
              <w:rPr>
                <w:szCs w:val="24"/>
              </w:rPr>
            </w:pPr>
            <w:r>
              <w:rPr>
                <w:szCs w:val="24"/>
              </w:rPr>
              <w:t>                Santé (télé médecine, maison de santé)</w:t>
            </w:r>
          </w:p>
          <w:p w:rsidR="0035701C" w:rsidRDefault="00FB561B">
            <w:pPr>
              <w:spacing w:before="240" w:after="240"/>
              <w:jc w:val="left"/>
              <w:rPr>
                <w:szCs w:val="24"/>
              </w:rPr>
            </w:pPr>
            <w:r>
              <w:rPr>
                <w:szCs w:val="24"/>
              </w:rPr>
              <w:t>                Sché</w:t>
            </w:r>
            <w:r>
              <w:rPr>
                <w:szCs w:val="24"/>
              </w:rPr>
              <w:t>ma territoriaux de mobilité</w:t>
            </w:r>
          </w:p>
          <w:p w:rsidR="0035701C" w:rsidRDefault="00FB561B">
            <w:pPr>
              <w:spacing w:before="240" w:after="240"/>
              <w:jc w:val="left"/>
              <w:rPr>
                <w:szCs w:val="24"/>
              </w:rPr>
            </w:pPr>
            <w:r>
              <w:rPr>
                <w:szCs w:val="24"/>
              </w:rPr>
              <w:t>                Maintien des services de base</w:t>
            </w:r>
          </w:p>
          <w:p w:rsidR="0035701C" w:rsidRDefault="00FB561B">
            <w:pPr>
              <w:spacing w:before="240" w:after="240"/>
              <w:jc w:val="left"/>
              <w:rPr>
                <w:szCs w:val="24"/>
              </w:rPr>
            </w:pPr>
            <w:r>
              <w:rPr>
                <w:szCs w:val="24"/>
              </w:rPr>
              <w:t>Formation</w:t>
            </w:r>
          </w:p>
          <w:p w:rsidR="0035701C" w:rsidRDefault="00FB561B">
            <w:pPr>
              <w:spacing w:before="240" w:after="240"/>
              <w:jc w:val="left"/>
              <w:rPr>
                <w:szCs w:val="24"/>
              </w:rPr>
            </w:pPr>
            <w:r>
              <w:rPr>
                <w:szCs w:val="24"/>
              </w:rPr>
              <w:t>                Favoriser les formations décentralisées permettant de créer des activités en milieu rural</w:t>
            </w:r>
          </w:p>
          <w:p w:rsidR="0035701C" w:rsidRDefault="00FB561B">
            <w:pPr>
              <w:spacing w:before="240" w:after="240"/>
              <w:jc w:val="left"/>
              <w:rPr>
                <w:szCs w:val="24"/>
              </w:rPr>
            </w:pPr>
            <w:r>
              <w:rPr>
                <w:szCs w:val="24"/>
              </w:rPr>
              <w:t xml:space="preserve">                Cellule de formation pour les territoires en </w:t>
            </w:r>
            <w:r>
              <w:rPr>
                <w:szCs w:val="24"/>
              </w:rPr>
              <w:t>mobilisant les OPCA, le pôle emploi et les chambre consulaire</w:t>
            </w:r>
          </w:p>
          <w:p w:rsidR="0035701C" w:rsidRDefault="00FB561B">
            <w:pPr>
              <w:spacing w:before="240" w:after="240"/>
              <w:jc w:val="left"/>
              <w:rPr>
                <w:szCs w:val="24"/>
              </w:rPr>
            </w:pPr>
            <w:r>
              <w:rPr>
                <w:szCs w:val="24"/>
              </w:rPr>
              <w:t>Patrimoine Bâti</w:t>
            </w:r>
          </w:p>
          <w:p w:rsidR="0035701C" w:rsidRDefault="00FB561B">
            <w:pPr>
              <w:spacing w:before="240" w:after="240"/>
              <w:jc w:val="left"/>
              <w:rPr>
                <w:szCs w:val="24"/>
              </w:rPr>
            </w:pPr>
            <w:r>
              <w:rPr>
                <w:szCs w:val="24"/>
              </w:rPr>
              <w:t>                Financement de Chartes paysagères</w:t>
            </w:r>
          </w:p>
          <w:p w:rsidR="0035701C" w:rsidRDefault="00FB561B">
            <w:pPr>
              <w:spacing w:before="240" w:after="240"/>
              <w:jc w:val="left"/>
              <w:rPr>
                <w:szCs w:val="24"/>
              </w:rPr>
            </w:pPr>
            <w:r>
              <w:rPr>
                <w:szCs w:val="24"/>
              </w:rPr>
              <w:t>                Financement d’opérations public/privé de rénovation</w:t>
            </w:r>
          </w:p>
          <w:p w:rsidR="0035701C" w:rsidRDefault="00FB561B">
            <w:pPr>
              <w:spacing w:before="240" w:after="240"/>
              <w:jc w:val="left"/>
              <w:rPr>
                <w:szCs w:val="24"/>
              </w:rPr>
            </w:pPr>
            <w:r>
              <w:rPr>
                <w:szCs w:val="24"/>
              </w:rPr>
              <w:t>                Formation qualification des professionnels a</w:t>
            </w:r>
            <w:r>
              <w:rPr>
                <w:szCs w:val="24"/>
              </w:rPr>
              <w:t>ux techniques traditionnelles</w:t>
            </w:r>
          </w:p>
          <w:p w:rsidR="0035701C" w:rsidRDefault="00FB561B">
            <w:pPr>
              <w:spacing w:before="240" w:after="240"/>
              <w:jc w:val="left"/>
              <w:rPr>
                <w:szCs w:val="24"/>
              </w:rPr>
            </w:pPr>
            <w:r>
              <w:rPr>
                <w:szCs w:val="24"/>
              </w:rPr>
              <w:t>                Conseil aux particuliers</w:t>
            </w:r>
          </w:p>
          <w:p w:rsidR="0035701C" w:rsidRDefault="00FB561B">
            <w:pPr>
              <w:spacing w:before="240" w:after="240"/>
              <w:jc w:val="left"/>
              <w:rPr>
                <w:szCs w:val="24"/>
              </w:rPr>
            </w:pPr>
            <w:r>
              <w:rPr>
                <w:szCs w:val="24"/>
              </w:rPr>
              <w:t>               Valorisation du patrimoine archéologique et religieux</w:t>
            </w:r>
          </w:p>
          <w:p w:rsidR="0035701C" w:rsidRDefault="00FB561B">
            <w:pPr>
              <w:spacing w:before="240" w:after="240"/>
              <w:jc w:val="left"/>
              <w:rPr>
                <w:szCs w:val="24"/>
              </w:rPr>
            </w:pPr>
            <w:r>
              <w:rPr>
                <w:szCs w:val="24"/>
              </w:rPr>
              <w:t>                Réfections de sentier</w:t>
            </w:r>
          </w:p>
          <w:p w:rsidR="0035701C" w:rsidRDefault="00FB561B">
            <w:pPr>
              <w:spacing w:before="240" w:after="240"/>
              <w:jc w:val="left"/>
              <w:rPr>
                <w:szCs w:val="24"/>
              </w:rPr>
            </w:pPr>
            <w:r>
              <w:rPr>
                <w:szCs w:val="24"/>
              </w:rPr>
              <w:t>Patrimoine immatériel</w:t>
            </w:r>
          </w:p>
          <w:p w:rsidR="0035701C" w:rsidRDefault="00FB561B">
            <w:pPr>
              <w:spacing w:before="240" w:after="240"/>
              <w:jc w:val="left"/>
              <w:rPr>
                <w:szCs w:val="24"/>
              </w:rPr>
            </w:pPr>
            <w:r>
              <w:rPr>
                <w:szCs w:val="24"/>
              </w:rPr>
              <w:t>                Sensibilisation du public sur le patrimo</w:t>
            </w:r>
            <w:r>
              <w:rPr>
                <w:szCs w:val="24"/>
              </w:rPr>
              <w:t>ine matériel et immatériel</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Poursuivre les efforts de recherche et de réappropriation des savoirs faires</w:t>
            </w:r>
          </w:p>
          <w:p w:rsidR="0035701C" w:rsidRDefault="00FB561B">
            <w:pPr>
              <w:spacing w:before="240" w:after="240"/>
              <w:jc w:val="left"/>
              <w:rPr>
                <w:szCs w:val="24"/>
              </w:rPr>
            </w:pPr>
            <w:r>
              <w:rPr>
                <w:szCs w:val="24"/>
              </w:rPr>
              <w:t>                Développement TIC de diffusion</w:t>
            </w:r>
          </w:p>
          <w:p w:rsidR="0035701C" w:rsidRDefault="00FB561B">
            <w:pPr>
              <w:spacing w:before="240" w:after="240"/>
              <w:jc w:val="left"/>
              <w:rPr>
                <w:szCs w:val="24"/>
              </w:rPr>
            </w:pPr>
            <w:r>
              <w:rPr>
                <w:szCs w:val="24"/>
              </w:rPr>
              <w:t>L’appel à projet comme mode de sélection</w:t>
            </w:r>
          </w:p>
          <w:p w:rsidR="0035701C" w:rsidRDefault="00FB561B">
            <w:pPr>
              <w:spacing w:before="240" w:after="240"/>
              <w:jc w:val="left"/>
              <w:rPr>
                <w:szCs w:val="24"/>
              </w:rPr>
            </w:pPr>
            <w:r>
              <w:rPr>
                <w:szCs w:val="24"/>
              </w:rPr>
              <w:t>                L’appel à projet LEADER doit s</w:t>
            </w:r>
            <w:r>
              <w:rPr>
                <w:szCs w:val="24"/>
              </w:rPr>
              <w:t>’affranchir des mesures du PDRC</w:t>
            </w:r>
          </w:p>
          <w:p w:rsidR="0035701C" w:rsidRDefault="00FB561B">
            <w:pPr>
              <w:spacing w:before="240" w:after="240"/>
              <w:jc w:val="left"/>
              <w:rPr>
                <w:szCs w:val="24"/>
              </w:rPr>
            </w:pPr>
            <w:r>
              <w:rPr>
                <w:szCs w:val="24"/>
              </w:rPr>
              <w:t>                Les appels à projet sont des approches descendantes</w:t>
            </w:r>
          </w:p>
          <w:p w:rsidR="0035701C" w:rsidRDefault="00FB561B">
            <w:pPr>
              <w:spacing w:before="240" w:after="240"/>
              <w:jc w:val="left"/>
              <w:rPr>
                <w:szCs w:val="24"/>
              </w:rPr>
            </w:pPr>
            <w:r>
              <w:rPr>
                <w:szCs w:val="24"/>
              </w:rPr>
              <w:t>Liens développement rural/développement agricole</w:t>
            </w:r>
          </w:p>
          <w:p w:rsidR="0035701C" w:rsidRDefault="00FB561B">
            <w:pPr>
              <w:spacing w:before="240" w:after="240"/>
              <w:jc w:val="left"/>
              <w:rPr>
                <w:szCs w:val="24"/>
              </w:rPr>
            </w:pPr>
            <w:r>
              <w:rPr>
                <w:szCs w:val="24"/>
              </w:rPr>
              <w:t>                Favoriser la pluri activité</w:t>
            </w:r>
          </w:p>
          <w:p w:rsidR="0035701C" w:rsidRDefault="00FB561B">
            <w:pPr>
              <w:spacing w:before="240" w:after="240"/>
              <w:jc w:val="left"/>
              <w:rPr>
                <w:szCs w:val="24"/>
              </w:rPr>
            </w:pPr>
            <w:r>
              <w:rPr>
                <w:szCs w:val="24"/>
              </w:rPr>
              <w:t>                Améliorer l’accompagnement des petites exploita</w:t>
            </w:r>
            <w:r>
              <w:rPr>
                <w:szCs w:val="24"/>
              </w:rPr>
              <w:t>tions diversifiées</w:t>
            </w:r>
          </w:p>
          <w:p w:rsidR="0035701C" w:rsidRDefault="00FB561B">
            <w:pPr>
              <w:spacing w:before="240" w:after="240"/>
              <w:jc w:val="left"/>
              <w:rPr>
                <w:szCs w:val="24"/>
              </w:rPr>
            </w:pPr>
            <w:r>
              <w:rPr>
                <w:szCs w:val="24"/>
              </w:rPr>
              <w:t>Tourisme</w:t>
            </w:r>
          </w:p>
          <w:p w:rsidR="0035701C" w:rsidRDefault="00FB561B">
            <w:pPr>
              <w:spacing w:before="240" w:after="240"/>
              <w:jc w:val="left"/>
              <w:rPr>
                <w:szCs w:val="24"/>
              </w:rPr>
            </w:pPr>
            <w:r>
              <w:rPr>
                <w:szCs w:val="24"/>
              </w:rPr>
              <w:t>                Soutenir les activités touristiques s’appuyant sur les ressources locales et les savoir faire locaux</w:t>
            </w:r>
          </w:p>
          <w:p w:rsidR="0035701C" w:rsidRDefault="00FB561B">
            <w:pPr>
              <w:spacing w:before="240" w:after="240"/>
              <w:jc w:val="left"/>
              <w:rPr>
                <w:szCs w:val="24"/>
              </w:rPr>
            </w:pPr>
            <w:r>
              <w:rPr>
                <w:szCs w:val="24"/>
              </w:rPr>
              <w:t>Circuits courts</w:t>
            </w:r>
          </w:p>
          <w:p w:rsidR="0035701C" w:rsidRDefault="00FB561B">
            <w:pPr>
              <w:spacing w:before="240" w:after="240"/>
              <w:jc w:val="left"/>
              <w:rPr>
                <w:szCs w:val="24"/>
              </w:rPr>
            </w:pPr>
            <w:r>
              <w:rPr>
                <w:szCs w:val="24"/>
              </w:rPr>
              <w:t>                Soutiens à la création de coopératives</w:t>
            </w:r>
          </w:p>
          <w:p w:rsidR="0035701C" w:rsidRDefault="00FB561B">
            <w:pPr>
              <w:spacing w:before="240" w:after="240"/>
              <w:jc w:val="left"/>
              <w:rPr>
                <w:szCs w:val="24"/>
              </w:rPr>
            </w:pPr>
            <w:r>
              <w:rPr>
                <w:szCs w:val="24"/>
              </w:rPr>
              <w:t xml:space="preserve">                Attributions d’un label </w:t>
            </w:r>
            <w:r>
              <w:rPr>
                <w:szCs w:val="24"/>
              </w:rPr>
              <w:t>pour les restaurateurs utilisant des produits locaux</w:t>
            </w:r>
          </w:p>
          <w:p w:rsidR="0035701C" w:rsidRDefault="00FB561B">
            <w:pPr>
              <w:spacing w:before="240" w:after="240"/>
              <w:jc w:val="left"/>
              <w:rPr>
                <w:szCs w:val="24"/>
              </w:rPr>
            </w:pPr>
            <w:r>
              <w:rPr>
                <w:szCs w:val="24"/>
              </w:rPr>
              <w:t>                Inciter à travers l’Agenda 21 les collectivités à acheter des produits locaux</w:t>
            </w:r>
          </w:p>
          <w:p w:rsidR="0035701C" w:rsidRDefault="00FB561B">
            <w:pPr>
              <w:spacing w:before="240" w:after="240"/>
              <w:jc w:val="left"/>
              <w:rPr>
                <w:szCs w:val="24"/>
              </w:rPr>
            </w:pPr>
            <w:r>
              <w:rPr>
                <w:szCs w:val="24"/>
              </w:rPr>
              <w:t>                Aide à l’installation hors cadre DJA</w:t>
            </w:r>
          </w:p>
          <w:p w:rsidR="0035701C" w:rsidRDefault="00FB561B">
            <w:pPr>
              <w:spacing w:before="240" w:after="240"/>
              <w:jc w:val="left"/>
              <w:rPr>
                <w:szCs w:val="24"/>
              </w:rPr>
            </w:pPr>
            <w:r>
              <w:rPr>
                <w:szCs w:val="24"/>
              </w:rPr>
              <w:t>                Développement label produits locaux</w:t>
            </w:r>
          </w:p>
          <w:p w:rsidR="0035701C" w:rsidRDefault="00FB561B">
            <w:pPr>
              <w:spacing w:before="240" w:after="240"/>
              <w:jc w:val="left"/>
              <w:rPr>
                <w:szCs w:val="24"/>
              </w:rPr>
            </w:pPr>
            <w:r>
              <w:rPr>
                <w:szCs w:val="24"/>
              </w:rPr>
              <w:t>                Animation et marché de producteurs</w:t>
            </w:r>
          </w:p>
          <w:p w:rsidR="0035701C" w:rsidRDefault="00FB561B">
            <w:pPr>
              <w:spacing w:before="240" w:after="240"/>
              <w:jc w:val="left"/>
              <w:rPr>
                <w:szCs w:val="24"/>
              </w:rPr>
            </w:pPr>
            <w:r>
              <w:rPr>
                <w:szCs w:val="24"/>
              </w:rPr>
              <w:t>                Encourager la production de variétés locales</w:t>
            </w:r>
          </w:p>
          <w:p w:rsidR="0035701C" w:rsidRDefault="00FB561B">
            <w:pPr>
              <w:spacing w:before="240" w:after="240"/>
              <w:jc w:val="left"/>
              <w:rPr>
                <w:szCs w:val="24"/>
              </w:rPr>
            </w:pPr>
            <w:r>
              <w:rPr>
                <w:szCs w:val="24"/>
              </w:rPr>
              <w:t>Problématiques foncières</w:t>
            </w:r>
          </w:p>
          <w:p w:rsidR="0035701C" w:rsidRDefault="00FB561B">
            <w:pPr>
              <w:spacing w:before="240" w:after="240"/>
              <w:jc w:val="left"/>
              <w:rPr>
                <w:szCs w:val="24"/>
              </w:rPr>
            </w:pPr>
            <w:r>
              <w:rPr>
                <w:szCs w:val="24"/>
              </w:rPr>
              <w:t>                Les ASL, ASA et AFP doivent être soutenues.</w:t>
            </w:r>
          </w:p>
          <w:p w:rsidR="0035701C" w:rsidRDefault="00FB561B">
            <w:pPr>
              <w:spacing w:before="240" w:after="240"/>
              <w:jc w:val="left"/>
              <w:rPr>
                <w:szCs w:val="24"/>
              </w:rPr>
            </w:pPr>
            <w:r>
              <w:rPr>
                <w:szCs w:val="24"/>
              </w:rPr>
              <w:t>                Création de ZAP</w:t>
            </w:r>
          </w:p>
          <w:p w:rsidR="0035701C" w:rsidRDefault="00FB561B">
            <w:pPr>
              <w:spacing w:before="240" w:after="240"/>
              <w:jc w:val="left"/>
              <w:rPr>
                <w:szCs w:val="24"/>
              </w:rPr>
            </w:pPr>
            <w:r>
              <w:rPr>
                <w:szCs w:val="24"/>
              </w:rPr>
              <w:t>TIC</w:t>
            </w:r>
          </w:p>
          <w:p w:rsidR="0035701C" w:rsidRDefault="00FB561B">
            <w:pPr>
              <w:spacing w:before="240" w:after="240"/>
              <w:jc w:val="left"/>
              <w:rPr>
                <w:szCs w:val="24"/>
              </w:rPr>
            </w:pPr>
            <w:r>
              <w:rPr>
                <w:szCs w:val="24"/>
              </w:rPr>
              <w:t>                Dévelop</w:t>
            </w:r>
            <w:r>
              <w:rPr>
                <w:szCs w:val="24"/>
              </w:rPr>
              <w:t>per les espaces de co-working</w:t>
            </w:r>
          </w:p>
          <w:p w:rsidR="0035701C" w:rsidRDefault="00FB561B">
            <w:pPr>
              <w:spacing w:before="240" w:after="240"/>
              <w:jc w:val="left"/>
              <w:rPr>
                <w:szCs w:val="24"/>
              </w:rPr>
            </w:pPr>
            <w:r>
              <w:rPr>
                <w:szCs w:val="24"/>
              </w:rPr>
              <w:t>                Communications</w:t>
            </w:r>
          </w:p>
          <w:p w:rsidR="0035701C" w:rsidRDefault="00FB561B">
            <w:pPr>
              <w:spacing w:before="240" w:after="240"/>
              <w:jc w:val="left"/>
              <w:rPr>
                <w:szCs w:val="24"/>
              </w:rPr>
            </w:pPr>
            <w:r>
              <w:rPr>
                <w:szCs w:val="24"/>
              </w:rPr>
              <w:t>Autres….</w:t>
            </w:r>
          </w:p>
          <w:p w:rsidR="0035701C" w:rsidRDefault="00FB561B">
            <w:pPr>
              <w:spacing w:before="240" w:after="240"/>
              <w:jc w:val="left"/>
              <w:rPr>
                <w:szCs w:val="24"/>
              </w:rPr>
            </w:pPr>
            <w:r>
              <w:rPr>
                <w:szCs w:val="24"/>
              </w:rPr>
              <w:t>                Soutien des artisans locaux à la participation à des foires et salons à l’extérieur de la Corse.</w:t>
            </w:r>
          </w:p>
          <w:p w:rsidR="0035701C" w:rsidRDefault="0035701C">
            <w:pPr>
              <w:pStyle w:val="Corpsdetexte"/>
            </w:pPr>
          </w:p>
        </w:tc>
      </w:tr>
    </w:tbl>
    <w:p w:rsidR="0035701C" w:rsidRDefault="00FB561B">
      <w:pPr>
        <w:pStyle w:val="Titre2"/>
        <w:rPr>
          <w:b w:val="0"/>
        </w:rPr>
      </w:pPr>
      <w:bookmarkStart w:id="202" w:name="_Toc256000201"/>
      <w:r>
        <w:rPr>
          <w:b w:val="0"/>
        </w:rPr>
        <w:t>5 - Consultation publique</w:t>
      </w:r>
      <w:bookmarkEnd w:id="202"/>
    </w:p>
    <w:p w:rsidR="0035701C" w:rsidRDefault="00FB561B">
      <w:pPr>
        <w:pStyle w:val="Titre3"/>
        <w:jc w:val="left"/>
      </w:pPr>
      <w:bookmarkStart w:id="203" w:name="_Toc256000202"/>
      <w:r>
        <w:t>Objet de la consultation correspondante</w:t>
      </w:r>
      <w:bookmarkEnd w:id="20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 xml:space="preserve">Dans </w:t>
            </w:r>
            <w:r>
              <w:rPr>
                <w:szCs w:val="24"/>
              </w:rPr>
              <w:t>le cadre de la réglementation européenne, la future Autorité de gestion a sollicité l’avis de la société civile sur les trois documents constituants le corpus du Programme de Développement Rural de la Corse 2014-2020 :</w:t>
            </w:r>
          </w:p>
          <w:p w:rsidR="0035701C" w:rsidRDefault="00FB561B">
            <w:pPr>
              <w:spacing w:before="240" w:after="240"/>
              <w:jc w:val="left"/>
              <w:rPr>
                <w:szCs w:val="24"/>
              </w:rPr>
            </w:pPr>
            <w:r>
              <w:rPr>
                <w:szCs w:val="24"/>
              </w:rPr>
              <w:br/>
              <w:t>- Le projet de PDRC 2014-2020 (V1)</w:t>
            </w:r>
            <w:r>
              <w:rPr>
                <w:szCs w:val="24"/>
              </w:rPr>
              <w:br/>
              <w:t>-</w:t>
            </w:r>
            <w:r>
              <w:rPr>
                <w:szCs w:val="24"/>
              </w:rPr>
              <w:t xml:space="preserve"> L’évaluation environnementale stratégique</w:t>
            </w:r>
            <w:r>
              <w:rPr>
                <w:szCs w:val="24"/>
              </w:rPr>
              <w:br/>
              <w:t>- L’avis de l’Autorité environnementale</w:t>
            </w:r>
          </w:p>
          <w:p w:rsidR="0035701C" w:rsidRDefault="00FB561B">
            <w:pPr>
              <w:spacing w:before="240" w:after="240"/>
              <w:jc w:val="left"/>
              <w:rPr>
                <w:szCs w:val="24"/>
              </w:rPr>
            </w:pPr>
            <w:r>
              <w:rPr>
                <w:szCs w:val="24"/>
              </w:rPr>
              <w:br/>
              <w:t xml:space="preserve">La consultation publique a été programmée du 19 décembre 2014 au 31 janvier 2015 et les avis du public pouvaient être recueillis via une adresse mail générique créée à cet </w:t>
            </w:r>
            <w:r>
              <w:rPr>
                <w:szCs w:val="24"/>
              </w:rPr>
              <w:t>effet (consultationpublique.europe2014-2020@ct-corse.fr).</w:t>
            </w:r>
            <w:r>
              <w:rPr>
                <w:szCs w:val="24"/>
              </w:rPr>
              <w:br/>
              <w:t>Afin de répondre à cette exigence, la Collectivité Territoriale de Corse a opté pour une large publication de ces trois documents sur internet. Un article en Une du site officiel de l’Europe s’engag</w:t>
            </w:r>
            <w:r>
              <w:rPr>
                <w:szCs w:val="24"/>
              </w:rPr>
              <w:t>e en Corse (www.corse.eu) a invité l’ensemble des internautes à donner leur avis. Le site de la Collectivité Territoriale de Corse (www.corse.fr) a relayé l’information avec un lien hypertexte. Les réseaux sociaux ont été aussi mobilisés, notamment le comp</w:t>
            </w:r>
            <w:r>
              <w:rPr>
                <w:szCs w:val="24"/>
              </w:rPr>
              <w:t>te Facebook de la Collectivité Territoriale de Corse.</w:t>
            </w:r>
          </w:p>
          <w:p w:rsidR="0035701C" w:rsidRDefault="00FB561B">
            <w:pPr>
              <w:spacing w:before="240" w:after="240"/>
              <w:jc w:val="left"/>
              <w:rPr>
                <w:szCs w:val="24"/>
              </w:rPr>
            </w:pPr>
            <w:r>
              <w:rPr>
                <w:szCs w:val="24"/>
              </w:rPr>
              <w:br/>
              <w:t>La page web a été vue 1208 fois (contre 427 fois pour le PO FEDER), soit environ six fois plus de visites qu’en moyenne pour un article d’actualité sur le site. Plusieurs retours ont été faits.</w:t>
            </w:r>
          </w:p>
          <w:p w:rsidR="0035701C" w:rsidRDefault="0035701C">
            <w:pPr>
              <w:pStyle w:val="Corpsdetexte"/>
            </w:pPr>
          </w:p>
        </w:tc>
      </w:tr>
    </w:tbl>
    <w:p w:rsidR="0035701C" w:rsidRDefault="00FB561B">
      <w:pPr>
        <w:pStyle w:val="Titre3"/>
        <w:jc w:val="left"/>
      </w:pPr>
      <w:bookmarkStart w:id="204" w:name="_Toc256000203"/>
      <w:r>
        <w:t>Résum</w:t>
      </w:r>
      <w:r>
        <w:t>é des résultats</w:t>
      </w:r>
      <w:bookmarkEnd w:id="20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La CTC a recensé une dizaine de réponses écrites et il est à noter que si ce chiffre peut paraitre faible, il est cependant utile de préciser que la consultation publique mise en place concernant le FEDER et le FSE n'a quant à elle abouti à</w:t>
            </w:r>
            <w:r>
              <w:rPr>
                <w:szCs w:val="24"/>
              </w:rPr>
              <w:t xml:space="preserve"> aucun retour. La consultation publique du PDRC a donc suscité des réactions.</w:t>
            </w:r>
          </w:p>
          <w:p w:rsidR="0035701C" w:rsidRDefault="00FB561B">
            <w:pPr>
              <w:spacing w:before="240" w:after="240"/>
              <w:jc w:val="left"/>
              <w:rPr>
                <w:szCs w:val="24"/>
              </w:rPr>
            </w:pPr>
            <w:r>
              <w:rPr>
                <w:szCs w:val="24"/>
              </w:rPr>
              <w:t xml:space="preserve">Ces réponses écrites ont conduit à la modification de certains points du PDRC. Ces modifications et le détails des remarques sont présentés dans l'EEA (Les sites remarquables et </w:t>
            </w:r>
            <w:r>
              <w:rPr>
                <w:szCs w:val="24"/>
              </w:rPr>
              <w:t>caractéristiques du littoral, arrêtés dans le PADDUC ont été ajoutés comme zone éligible à la mesure 7.6.1; Le financement de clôture après coupe définitive à été ajouté comme dépense éligible dans la mesure 8).</w:t>
            </w:r>
          </w:p>
          <w:p w:rsidR="0035701C" w:rsidRDefault="0035701C">
            <w:pPr>
              <w:pStyle w:val="Corpsdetexte"/>
            </w:pPr>
          </w:p>
        </w:tc>
      </w:tr>
    </w:tbl>
    <w:p w:rsidR="0035701C" w:rsidRDefault="00FB561B">
      <w:pPr>
        <w:pStyle w:val="Titre2"/>
        <w:rPr>
          <w:b w:val="0"/>
        </w:rPr>
      </w:pPr>
      <w:bookmarkStart w:id="205" w:name="_Toc256000204"/>
      <w:r>
        <w:rPr>
          <w:b w:val="0"/>
        </w:rPr>
        <w:t>6 - Participation de l'Office de l'Environ</w:t>
      </w:r>
      <w:r>
        <w:rPr>
          <w:b w:val="0"/>
        </w:rPr>
        <w:t>nement</w:t>
      </w:r>
      <w:bookmarkEnd w:id="205"/>
    </w:p>
    <w:p w:rsidR="0035701C" w:rsidRDefault="00FB561B">
      <w:pPr>
        <w:pStyle w:val="Titre3"/>
        <w:jc w:val="left"/>
      </w:pPr>
      <w:bookmarkStart w:id="206" w:name="_Toc256000205"/>
      <w:r>
        <w:t>Objet de la consultation correspondante</w:t>
      </w:r>
      <w:bookmarkEnd w:id="20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Concertation Natura 2000 et mesures Environnementales.</w:t>
            </w:r>
          </w:p>
          <w:p w:rsidR="0035701C" w:rsidRDefault="00FB561B">
            <w:pPr>
              <w:spacing w:before="240" w:after="240"/>
              <w:jc w:val="left"/>
              <w:rPr>
                <w:szCs w:val="24"/>
              </w:rPr>
            </w:pPr>
            <w:r>
              <w:rPr>
                <w:szCs w:val="24"/>
              </w:rPr>
              <w:t>L’Office de l’Environnement de la Corse est un partenaire privilégié de l’Autorité de Gestion pour l’élaboration du PDRC.</w:t>
            </w:r>
          </w:p>
          <w:p w:rsidR="0035701C" w:rsidRDefault="00FB561B">
            <w:pPr>
              <w:spacing w:before="240" w:after="240"/>
              <w:jc w:val="left"/>
              <w:rPr>
                <w:szCs w:val="24"/>
              </w:rPr>
            </w:pPr>
            <w:r>
              <w:rPr>
                <w:szCs w:val="24"/>
              </w:rPr>
              <w:t xml:space="preserve">Ainsi, à différente étapes de </w:t>
            </w:r>
            <w:r>
              <w:rPr>
                <w:szCs w:val="24"/>
              </w:rPr>
              <w:t>l’élaboration du Programme, l’OEC a été consulté ou a participé directement à la rédaction de certaines mesures.</w:t>
            </w:r>
          </w:p>
          <w:p w:rsidR="0035701C" w:rsidRDefault="0035701C">
            <w:pPr>
              <w:pStyle w:val="Corpsdetexte"/>
            </w:pPr>
          </w:p>
        </w:tc>
      </w:tr>
    </w:tbl>
    <w:p w:rsidR="0035701C" w:rsidRDefault="00FB561B">
      <w:pPr>
        <w:pStyle w:val="Titre3"/>
        <w:jc w:val="left"/>
      </w:pPr>
      <w:bookmarkStart w:id="207" w:name="_Toc256000206"/>
      <w:r>
        <w:t>Résumé des résultats</w:t>
      </w:r>
      <w:bookmarkEnd w:id="20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Ainsi, l’OEC a participé activement à la rédaction des mesures suivantes :</w:t>
            </w:r>
          </w:p>
          <w:p w:rsidR="0035701C" w:rsidRDefault="00FB561B" w:rsidP="00FB561B">
            <w:pPr>
              <w:numPr>
                <w:ilvl w:val="0"/>
                <w:numId w:val="1023"/>
              </w:numPr>
              <w:spacing w:before="240" w:after="0"/>
              <w:ind w:hanging="210"/>
              <w:jc w:val="left"/>
              <w:rPr>
                <w:szCs w:val="24"/>
              </w:rPr>
            </w:pPr>
            <w:r>
              <w:rPr>
                <w:szCs w:val="24"/>
              </w:rPr>
              <w:t>M10 MAEC</w:t>
            </w:r>
          </w:p>
          <w:p w:rsidR="0035701C" w:rsidRDefault="00FB561B" w:rsidP="00FB561B">
            <w:pPr>
              <w:numPr>
                <w:ilvl w:val="0"/>
                <w:numId w:val="1023"/>
              </w:numPr>
              <w:spacing w:before="0" w:after="0"/>
              <w:ind w:hanging="210"/>
              <w:jc w:val="left"/>
              <w:rPr>
                <w:szCs w:val="24"/>
              </w:rPr>
            </w:pPr>
            <w:r>
              <w:rPr>
                <w:szCs w:val="24"/>
              </w:rPr>
              <w:t>M7.1.2- DOCOB</w:t>
            </w:r>
          </w:p>
          <w:p w:rsidR="0035701C" w:rsidRDefault="00FB561B" w:rsidP="00FB561B">
            <w:pPr>
              <w:numPr>
                <w:ilvl w:val="0"/>
                <w:numId w:val="1023"/>
              </w:numPr>
              <w:spacing w:before="0" w:after="0"/>
              <w:ind w:hanging="210"/>
              <w:jc w:val="left"/>
              <w:rPr>
                <w:szCs w:val="24"/>
              </w:rPr>
            </w:pPr>
            <w:r>
              <w:rPr>
                <w:szCs w:val="24"/>
              </w:rPr>
              <w:t>M7.6.1- Zones naturell</w:t>
            </w:r>
            <w:r>
              <w:rPr>
                <w:szCs w:val="24"/>
              </w:rPr>
              <w:t>es</w:t>
            </w:r>
          </w:p>
          <w:p w:rsidR="0035701C" w:rsidRDefault="00FB561B" w:rsidP="00FB561B">
            <w:pPr>
              <w:numPr>
                <w:ilvl w:val="0"/>
                <w:numId w:val="1023"/>
              </w:numPr>
              <w:spacing w:before="0" w:after="0"/>
              <w:ind w:hanging="210"/>
              <w:jc w:val="left"/>
              <w:rPr>
                <w:szCs w:val="24"/>
              </w:rPr>
            </w:pPr>
            <w:r>
              <w:rPr>
                <w:szCs w:val="24"/>
              </w:rPr>
              <w:t>M7.6.3- Circuits de découvertes patrimoniaux</w:t>
            </w:r>
          </w:p>
          <w:p w:rsidR="0035701C" w:rsidRDefault="00FB561B" w:rsidP="00FB561B">
            <w:pPr>
              <w:numPr>
                <w:ilvl w:val="0"/>
                <w:numId w:val="1023"/>
              </w:numPr>
              <w:spacing w:before="0" w:after="240"/>
              <w:ind w:hanging="210"/>
              <w:jc w:val="left"/>
              <w:rPr>
                <w:szCs w:val="24"/>
              </w:rPr>
            </w:pPr>
            <w:r>
              <w:rPr>
                <w:szCs w:val="24"/>
              </w:rPr>
              <w:t>M7.6.4- Sensibilisation Environnementale</w:t>
            </w:r>
          </w:p>
          <w:p w:rsidR="0035701C" w:rsidRDefault="00FB561B">
            <w:pPr>
              <w:spacing w:before="240" w:after="240"/>
              <w:jc w:val="left"/>
              <w:rPr>
                <w:szCs w:val="24"/>
              </w:rPr>
            </w:pPr>
            <w:r>
              <w:rPr>
                <w:szCs w:val="24"/>
              </w:rPr>
              <w:t>De même la stratégie environnementale générale du PDRC a été conçue avec le concours de l’OEC.</w:t>
            </w:r>
          </w:p>
          <w:p w:rsidR="0035701C" w:rsidRDefault="00FB561B">
            <w:pPr>
              <w:spacing w:before="240" w:after="240"/>
              <w:jc w:val="left"/>
              <w:rPr>
                <w:szCs w:val="24"/>
              </w:rPr>
            </w:pPr>
            <w:r>
              <w:rPr>
                <w:szCs w:val="24"/>
              </w:rPr>
              <w:t xml:space="preserve">A toutes les étapes de l’élaboration du PDRC, l’OEC a été associé à </w:t>
            </w:r>
            <w:r>
              <w:rPr>
                <w:szCs w:val="24"/>
              </w:rPr>
              <w:t>l’analyse et l’identification des besoins;  à la définition et la sélection des priorités et des objectifs spécifiques qui s'y rattachent ; à l'attribution des crédits; à la définition des indicateurs spécifiques des programmes concernant ses domaines de c</w:t>
            </w:r>
            <w:r>
              <w:rPr>
                <w:szCs w:val="24"/>
              </w:rPr>
              <w:t>ompétence relatifs à l’environnement et au développement durable.</w:t>
            </w:r>
          </w:p>
          <w:p w:rsidR="0035701C" w:rsidRDefault="00FB561B">
            <w:pPr>
              <w:spacing w:before="240" w:after="240"/>
              <w:jc w:val="left"/>
              <w:rPr>
                <w:szCs w:val="24"/>
              </w:rPr>
            </w:pPr>
            <w:r>
              <w:rPr>
                <w:szCs w:val="24"/>
              </w:rPr>
              <w:t>L’OEC a contribué directement  à la mise en œuvre des principes horizontaux visés à l’article 8 du règlement (UE) n° 1303/2013.</w:t>
            </w:r>
          </w:p>
          <w:p w:rsidR="0035701C" w:rsidRDefault="0035701C">
            <w:pPr>
              <w:pStyle w:val="Corpsdetexte"/>
            </w:pPr>
          </w:p>
        </w:tc>
      </w:tr>
    </w:tbl>
    <w:p w:rsidR="0035701C" w:rsidRDefault="00FB561B">
      <w:pPr>
        <w:pStyle w:val="Titre2"/>
        <w:rPr>
          <w:b w:val="0"/>
        </w:rPr>
      </w:pPr>
      <w:bookmarkStart w:id="208" w:name="_Toc256000207"/>
      <w:r>
        <w:rPr>
          <w:b w:val="0"/>
        </w:rPr>
        <w:t>7 - Participation des Départements de Haute Corse et de la D</w:t>
      </w:r>
      <w:r>
        <w:rPr>
          <w:b w:val="0"/>
        </w:rPr>
        <w:t>RAAF à l’élaboration de la stratégie DFCI</w:t>
      </w:r>
      <w:bookmarkEnd w:id="208"/>
    </w:p>
    <w:p w:rsidR="0035701C" w:rsidRDefault="00FB561B">
      <w:pPr>
        <w:pStyle w:val="Titre3"/>
        <w:jc w:val="left"/>
      </w:pPr>
      <w:bookmarkStart w:id="209" w:name="_Toc256000208"/>
      <w:r>
        <w:t>Objet de la consultation correspondante</w:t>
      </w:r>
      <w:bookmarkEnd w:id="20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Les Départements de Haute Corse et de Corse du Sud sont les principaux opérateurs de la protection incendie.</w:t>
            </w:r>
          </w:p>
          <w:p w:rsidR="0035701C" w:rsidRDefault="00FB561B">
            <w:pPr>
              <w:spacing w:before="240" w:after="240"/>
              <w:jc w:val="left"/>
              <w:rPr>
                <w:szCs w:val="24"/>
              </w:rPr>
            </w:pPr>
            <w:r>
              <w:rPr>
                <w:szCs w:val="24"/>
              </w:rPr>
              <w:t xml:space="preserve">Les services de la DRAAF (Direction régionale de l’alimentation, </w:t>
            </w:r>
            <w:r>
              <w:rPr>
                <w:szCs w:val="24"/>
              </w:rPr>
              <w:t>de l’agriculture et de la forêt) possède une expertise certaine concernant la mise en œuvre de la lutte incendie.</w:t>
            </w:r>
          </w:p>
          <w:p w:rsidR="0035701C" w:rsidRDefault="0035701C">
            <w:pPr>
              <w:pStyle w:val="Corpsdetexte"/>
            </w:pPr>
          </w:p>
        </w:tc>
      </w:tr>
    </w:tbl>
    <w:p w:rsidR="0035701C" w:rsidRDefault="00FB561B">
      <w:pPr>
        <w:pStyle w:val="Titre3"/>
        <w:jc w:val="left"/>
      </w:pPr>
      <w:bookmarkStart w:id="210" w:name="_Toc256000209"/>
      <w:r>
        <w:t>Résumé des résultats</w:t>
      </w:r>
      <w:bookmarkEnd w:id="21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Les départements et la DRAAF ont été associés et ont participé à la rédaction de la M8.3.  </w:t>
            </w:r>
          </w:p>
          <w:p w:rsidR="0035701C" w:rsidRDefault="00FB561B">
            <w:pPr>
              <w:spacing w:before="240" w:after="240"/>
              <w:jc w:val="left"/>
              <w:rPr>
                <w:szCs w:val="24"/>
              </w:rPr>
            </w:pPr>
            <w:r>
              <w:rPr>
                <w:szCs w:val="24"/>
              </w:rPr>
              <w:t>Concernant la prévention du</w:t>
            </w:r>
            <w:r>
              <w:rPr>
                <w:szCs w:val="24"/>
              </w:rPr>
              <w:t xml:space="preserve"> risque incendie, ces structures ont participé à l’analyse et l’identification des besoins;  à la définition et la sélection des priorités et des objectifs spécifiques qui s'y rattachent ; à l'attribution des crédits; à la définition des indicateurs spécif</w:t>
            </w:r>
            <w:r>
              <w:rPr>
                <w:szCs w:val="24"/>
              </w:rPr>
              <w:t>iques des programmes.</w:t>
            </w:r>
          </w:p>
          <w:p w:rsidR="0035701C" w:rsidRDefault="0035701C">
            <w:pPr>
              <w:pStyle w:val="Corpsdetexte"/>
            </w:pPr>
          </w:p>
        </w:tc>
      </w:tr>
    </w:tbl>
    <w:p w:rsidR="0035701C" w:rsidRDefault="00FB561B">
      <w:pPr>
        <w:pStyle w:val="Titre2"/>
        <w:rPr>
          <w:b w:val="0"/>
        </w:rPr>
      </w:pPr>
      <w:bookmarkStart w:id="211" w:name="_Toc256000210"/>
      <w:r>
        <w:rPr>
          <w:b w:val="0"/>
        </w:rPr>
        <w:t>Explications ou informations supplémentaires (facultatives) pour compléter la liste de mesures</w:t>
      </w:r>
      <w:bookmarkEnd w:id="2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b/>
                <w:bCs/>
                <w:szCs w:val="24"/>
                <w:u w:val="single"/>
              </w:rPr>
              <w:t>Prise en compte de l’expérience 2007 2013 pour la construction du PDRC 2014 2020.</w:t>
            </w:r>
          </w:p>
          <w:p w:rsidR="0035701C" w:rsidRDefault="00FB561B">
            <w:pPr>
              <w:spacing w:before="240" w:after="240"/>
              <w:jc w:val="left"/>
              <w:rPr>
                <w:szCs w:val="24"/>
              </w:rPr>
            </w:pPr>
            <w:r>
              <w:rPr>
                <w:szCs w:val="24"/>
              </w:rPr>
              <w:t xml:space="preserve">L’évaluation ex post n’a pas encore été réalisée pour </w:t>
            </w:r>
            <w:r>
              <w:rPr>
                <w:szCs w:val="24"/>
              </w:rPr>
              <w:t>le PDRC 2007 2013. Celle-ci est prévue pour 2016.</w:t>
            </w:r>
          </w:p>
          <w:p w:rsidR="0035701C" w:rsidRDefault="00FB561B">
            <w:pPr>
              <w:spacing w:before="240" w:after="240"/>
              <w:jc w:val="left"/>
              <w:rPr>
                <w:szCs w:val="24"/>
              </w:rPr>
            </w:pPr>
            <w:r>
              <w:rPr>
                <w:szCs w:val="24"/>
              </w:rPr>
              <w:t xml:space="preserve">Nous nous sommes appuyé sur les évaluations </w:t>
            </w:r>
            <w:r>
              <w:rPr>
                <w:i/>
                <w:iCs/>
                <w:szCs w:val="24"/>
              </w:rPr>
              <w:t>in itinere</w:t>
            </w:r>
            <w:r>
              <w:rPr>
                <w:szCs w:val="24"/>
              </w:rPr>
              <w:t xml:space="preserve"> qui ont été conduite en cours de programmation (et qui ont déjà donné lieu à différentes version du PDRC) et sur les différents RAE disponibles.</w:t>
            </w:r>
          </w:p>
          <w:p w:rsidR="0035701C" w:rsidRDefault="00FB561B">
            <w:pPr>
              <w:spacing w:before="240" w:after="240"/>
              <w:jc w:val="left"/>
              <w:rPr>
                <w:szCs w:val="24"/>
              </w:rPr>
            </w:pPr>
            <w:r>
              <w:rPr>
                <w:szCs w:val="24"/>
              </w:rPr>
              <w:t>Spécif</w:t>
            </w:r>
            <w:r>
              <w:rPr>
                <w:szCs w:val="24"/>
              </w:rPr>
              <w:t>iquement sur les MAEC, nous nous sommes également appuyés sur une évaluation présentée en 2012 par l’office de l’environnement.</w:t>
            </w:r>
          </w:p>
          <w:p w:rsidR="0035701C" w:rsidRDefault="00FB561B">
            <w:pPr>
              <w:spacing w:before="240" w:after="240"/>
              <w:jc w:val="left"/>
              <w:rPr>
                <w:szCs w:val="24"/>
              </w:rPr>
            </w:pPr>
            <w:r>
              <w:rPr>
                <w:szCs w:val="24"/>
              </w:rPr>
              <w:t xml:space="preserve">Un certain nombre de mesure n’ont pas ou peu été mobilisées sur la période de programmation précédente et n’ont donc pas été </w:t>
            </w:r>
            <w:r>
              <w:rPr>
                <w:szCs w:val="24"/>
              </w:rPr>
              <w:t>reconduite.</w:t>
            </w:r>
          </w:p>
          <w:p w:rsidR="0035701C" w:rsidRDefault="00FB561B">
            <w:pPr>
              <w:spacing w:before="240" w:after="240"/>
              <w:jc w:val="left"/>
              <w:rPr>
                <w:szCs w:val="24"/>
              </w:rPr>
            </w:pPr>
            <w:r>
              <w:rPr>
                <w:szCs w:val="24"/>
              </w:rPr>
              <w:t>Il s’agit par exemple des mesures : 113 Préretraite ; 225 Paiement Sylvo environnementaux ; 323 D Patrimoine immatériel ; 341 C Animation et stratégie de développement.</w:t>
            </w:r>
          </w:p>
          <w:p w:rsidR="0035701C" w:rsidRDefault="00FB561B">
            <w:pPr>
              <w:spacing w:before="240" w:after="240"/>
              <w:jc w:val="left"/>
              <w:rPr>
                <w:szCs w:val="24"/>
              </w:rPr>
            </w:pPr>
            <w:r>
              <w:rPr>
                <w:szCs w:val="24"/>
              </w:rPr>
              <w:t>La mesure 126 Reconstitution du potentiel de production endommagé par des c</w:t>
            </w:r>
            <w:r>
              <w:rPr>
                <w:szCs w:val="24"/>
              </w:rPr>
              <w:t>atastrophes naturelles a été maintenu (bien que n’ayant pas été mobilisé). Celle-ci a été centrée sur la problématique spécifique du Cynips.</w:t>
            </w:r>
          </w:p>
          <w:p w:rsidR="0035701C" w:rsidRDefault="00FB561B">
            <w:pPr>
              <w:spacing w:before="240" w:after="240"/>
              <w:jc w:val="left"/>
              <w:rPr>
                <w:szCs w:val="24"/>
              </w:rPr>
            </w:pPr>
            <w:r>
              <w:rPr>
                <w:szCs w:val="24"/>
              </w:rPr>
              <w:t>Concernant les MAEC, l’évaluation de l’OEC a permis de déterminer quelle sont les engagements unitaires à reconduir</w:t>
            </w:r>
            <w:r>
              <w:rPr>
                <w:szCs w:val="24"/>
              </w:rPr>
              <w:t>e en évaluant leur impact environnemental et leur niveau de mobilisation par les agriculteurs.</w:t>
            </w:r>
          </w:p>
          <w:p w:rsidR="0035701C" w:rsidRDefault="00FB561B">
            <w:pPr>
              <w:spacing w:before="240" w:after="240"/>
              <w:jc w:val="left"/>
              <w:rPr>
                <w:szCs w:val="24"/>
              </w:rPr>
            </w:pPr>
            <w:r>
              <w:rPr>
                <w:szCs w:val="24"/>
              </w:rPr>
              <w:t>Une évaluation sur la mise en œuvre de l’approche LEADER par la CTC a également été conduite courant 2014. Celle-ci nous a permis d’améliorer la rédaction des me</w:t>
            </w:r>
            <w:r>
              <w:rPr>
                <w:szCs w:val="24"/>
              </w:rPr>
              <w:t>sures concernées.</w:t>
            </w:r>
          </w:p>
          <w:p w:rsidR="0035701C" w:rsidRDefault="00FB561B">
            <w:pPr>
              <w:spacing w:before="240" w:after="240"/>
              <w:ind w:left="37"/>
              <w:jc w:val="left"/>
              <w:rPr>
                <w:szCs w:val="24"/>
              </w:rPr>
            </w:pPr>
            <w:r>
              <w:rPr>
                <w:szCs w:val="24"/>
              </w:rPr>
              <w:t>Les services ayant eu la charge des mesures sur la période de programmation précédente ont été mobilisés afin de capitaliser leur expérience.</w:t>
            </w:r>
          </w:p>
          <w:p w:rsidR="0035701C" w:rsidRDefault="00FB561B">
            <w:pPr>
              <w:spacing w:before="240" w:after="240"/>
              <w:ind w:left="37"/>
              <w:jc w:val="left"/>
              <w:rPr>
                <w:szCs w:val="24"/>
              </w:rPr>
            </w:pPr>
            <w:r>
              <w:rPr>
                <w:szCs w:val="24"/>
              </w:rPr>
              <w:t>Ainsi, les services de l’OEC ont été fortement mobilisé sur les MAEC et les mesures environnemen</w:t>
            </w:r>
            <w:r>
              <w:rPr>
                <w:szCs w:val="24"/>
              </w:rPr>
              <w:t>tales (M712 ; M761 ; M763 ; M764).</w:t>
            </w:r>
          </w:p>
          <w:p w:rsidR="0035701C" w:rsidRDefault="00FB561B">
            <w:pPr>
              <w:spacing w:before="240" w:after="240"/>
              <w:ind w:left="37"/>
              <w:jc w:val="left"/>
              <w:rPr>
                <w:szCs w:val="24"/>
              </w:rPr>
            </w:pPr>
            <w:r>
              <w:rPr>
                <w:szCs w:val="24"/>
              </w:rPr>
              <w:t>La direction du patrimoine de la CTC a également été mobilisée sur la M762.</w:t>
            </w:r>
          </w:p>
          <w:p w:rsidR="0035701C" w:rsidRDefault="00FB561B">
            <w:pPr>
              <w:spacing w:before="240" w:after="240"/>
              <w:ind w:left="37"/>
              <w:jc w:val="left"/>
              <w:rPr>
                <w:szCs w:val="24"/>
              </w:rPr>
            </w:pPr>
            <w:r>
              <w:rPr>
                <w:szCs w:val="24"/>
              </w:rPr>
              <w:t xml:space="preserve">Sur l’ensemble des mesures agricoles et forestière du PDRC, l’expertise et l’expérience de l’ODARC a été mobilisée tant pour la partie inhérente </w:t>
            </w:r>
            <w:r>
              <w:rPr>
                <w:szCs w:val="24"/>
              </w:rPr>
              <w:t>à la conception des dispositifs d’aide en lien avec les orientations stratégiques régionales que pour ce qui concerne l’organisme payeur.</w:t>
            </w:r>
          </w:p>
          <w:p w:rsidR="0035701C" w:rsidRDefault="00FB561B">
            <w:pPr>
              <w:spacing w:before="240" w:after="240"/>
              <w:ind w:left="37"/>
              <w:jc w:val="left"/>
              <w:rPr>
                <w:szCs w:val="24"/>
              </w:rPr>
            </w:pPr>
            <w:r>
              <w:rPr>
                <w:szCs w:val="24"/>
              </w:rPr>
              <w:t>Les conclusions des différents audits (CCCOP et Commission) ont également été utilisées pour la réalisation du PDRC. C</w:t>
            </w:r>
            <w:r>
              <w:rPr>
                <w:szCs w:val="24"/>
              </w:rPr>
              <w:t>es conclusions nous ont conduits, spécifiquement sur l’ICHN, à la suppression du taux de chargement.</w:t>
            </w:r>
          </w:p>
          <w:p w:rsidR="0035701C" w:rsidRDefault="00FB561B">
            <w:pPr>
              <w:spacing w:before="240" w:after="240"/>
              <w:ind w:left="37"/>
              <w:jc w:val="left"/>
              <w:rPr>
                <w:szCs w:val="24"/>
              </w:rPr>
            </w:pPr>
            <w:r>
              <w:rPr>
                <w:szCs w:val="24"/>
              </w:rPr>
              <w:t>Plus généralement pour l’ensemble des mesures, les audits ont été utilisé pour renforcer la partie Vérifiabilité et contrôlabilité.</w:t>
            </w:r>
          </w:p>
          <w:p w:rsidR="0035701C" w:rsidRDefault="00FB561B">
            <w:pPr>
              <w:spacing w:before="240" w:after="240"/>
              <w:ind w:left="37"/>
              <w:jc w:val="left"/>
              <w:rPr>
                <w:szCs w:val="24"/>
              </w:rPr>
            </w:pPr>
            <w:r>
              <w:rPr>
                <w:szCs w:val="24"/>
              </w:rPr>
              <w:t>La rédaction de la sect</w:t>
            </w:r>
            <w:r>
              <w:rPr>
                <w:szCs w:val="24"/>
              </w:rPr>
              <w:t>ion 5.2 (Combinaison et justification des mesures de développement rural pour chaque domaine prioritaire, y compris la justification des dotations financières en faveur des mesures et de l'adéquation des ressources financières par rapport aux objectifs) s’</w:t>
            </w:r>
            <w:r>
              <w:rPr>
                <w:szCs w:val="24"/>
              </w:rPr>
              <w:t>est fortement appuyer sur notre expérience 2007-2013 d’autorité de gestion.</w:t>
            </w:r>
          </w:p>
          <w:p w:rsidR="0035701C" w:rsidRDefault="0035701C">
            <w:pPr>
              <w:pStyle w:val="Corpsdetexte"/>
            </w:pPr>
          </w:p>
        </w:tc>
      </w:tr>
    </w:tbl>
    <w:p w:rsidR="0035701C" w:rsidRDefault="0035701C">
      <w:pPr>
        <w:sectPr w:rsidR="0035701C">
          <w:pgSz w:w="12240" w:h="15840"/>
          <w:pgMar w:top="900" w:right="900" w:bottom="900" w:left="900" w:header="720" w:footer="720" w:gutter="0"/>
          <w:cols w:space="720"/>
        </w:sectPr>
      </w:pPr>
    </w:p>
    <w:p w:rsidR="0035701C" w:rsidRDefault="00FB561B">
      <w:pPr>
        <w:pStyle w:val="Titre1"/>
      </w:pPr>
      <w:bookmarkStart w:id="212" w:name="_Toc256000211"/>
      <w:r>
        <w:t>Réseau rural national</w:t>
      </w:r>
      <w:bookmarkEnd w:id="212"/>
    </w:p>
    <w:p w:rsidR="0035701C" w:rsidRDefault="00FB561B">
      <w:pPr>
        <w:pStyle w:val="Titre2"/>
      </w:pPr>
      <w:bookmarkStart w:id="213" w:name="_Toc256000212"/>
      <w:r>
        <w:t>Procédure et calendrier de mise en place du réseau rural national (ci-après le «RRN»)</w:t>
      </w:r>
      <w:bookmarkEnd w:id="21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 xml:space="preserve">Le réseau rural national fait l’objet d’un programme </w:t>
            </w:r>
            <w:r>
              <w:rPr>
                <w:szCs w:val="24"/>
              </w:rPr>
              <w:t>national spécifique, dont l’autorité de gestion est le Ministère de l’Agriculture, de l’Agro-alimentaire et de la Forêt (MAAF). Ce programme, élaboré en association avec le Commissariat général à l’Egalité des Territoires (CGET) et les Régions a été adopté</w:t>
            </w:r>
            <w:r>
              <w:rPr>
                <w:szCs w:val="24"/>
              </w:rPr>
              <w:t xml:space="preserve"> le 13 février 2015. La procédure de mise en place du réseau national est donc décrite dans ce programme spécifique.</w:t>
            </w:r>
          </w:p>
          <w:p w:rsidR="0035701C" w:rsidRDefault="00FB561B">
            <w:pPr>
              <w:spacing w:before="240" w:after="240"/>
              <w:jc w:val="left"/>
              <w:rPr>
                <w:szCs w:val="24"/>
              </w:rPr>
            </w:pPr>
            <w:r>
              <w:rPr>
                <w:szCs w:val="24"/>
              </w:rPr>
              <w:t>La Corse met également en place un réseau rural régional dans le cadre de ce programme et veillera à articuler ses actions avec le réseau r</w:t>
            </w:r>
            <w:r>
              <w:rPr>
                <w:szCs w:val="24"/>
              </w:rPr>
              <w:t>ural national. Durant la précédente période, des bases ont été posées, et une dynamique engagée qu’il conviendra de poursuivre et de développer en faveur d’une mobilisation accrue de l’ensemble des acteurs au service du développement du monde rural.</w:t>
            </w:r>
          </w:p>
          <w:p w:rsidR="0035701C" w:rsidRDefault="00FB561B">
            <w:pPr>
              <w:spacing w:before="240" w:after="240"/>
              <w:jc w:val="left"/>
              <w:rPr>
                <w:szCs w:val="24"/>
              </w:rPr>
            </w:pPr>
            <w:r>
              <w:rPr>
                <w:szCs w:val="24"/>
              </w:rPr>
              <w:t>Les ac</w:t>
            </w:r>
            <w:r>
              <w:rPr>
                <w:szCs w:val="24"/>
              </w:rPr>
              <w:t>tions du réseau répondront aux objectifs de l’article 54 du règlement UE n°1305/2013 et pourra s’articuler notamment autour des 5 thématiques de travail suivantes :</w:t>
            </w:r>
          </w:p>
          <w:p w:rsidR="0035701C" w:rsidRDefault="00FB561B" w:rsidP="00FB561B">
            <w:pPr>
              <w:numPr>
                <w:ilvl w:val="0"/>
                <w:numId w:val="1024"/>
              </w:numPr>
              <w:spacing w:before="240" w:after="0"/>
              <w:ind w:hanging="210"/>
              <w:jc w:val="left"/>
              <w:rPr>
                <w:szCs w:val="24"/>
              </w:rPr>
            </w:pPr>
            <w:r>
              <w:rPr>
                <w:szCs w:val="24"/>
              </w:rPr>
              <w:t>appui aux territoires LEADER</w:t>
            </w:r>
          </w:p>
          <w:p w:rsidR="0035701C" w:rsidRDefault="00FB561B" w:rsidP="00FB561B">
            <w:pPr>
              <w:numPr>
                <w:ilvl w:val="0"/>
                <w:numId w:val="1024"/>
              </w:numPr>
              <w:spacing w:before="0" w:after="0"/>
              <w:ind w:hanging="210"/>
              <w:jc w:val="left"/>
              <w:rPr>
                <w:szCs w:val="24"/>
              </w:rPr>
            </w:pPr>
            <w:r>
              <w:rPr>
                <w:szCs w:val="24"/>
              </w:rPr>
              <w:t>approches territoriales intégrées / lien rural-urbain</w:t>
            </w:r>
          </w:p>
          <w:p w:rsidR="0035701C" w:rsidRDefault="00FB561B" w:rsidP="00FB561B">
            <w:pPr>
              <w:numPr>
                <w:ilvl w:val="0"/>
                <w:numId w:val="1024"/>
              </w:numPr>
              <w:spacing w:before="0" w:after="0"/>
              <w:ind w:hanging="210"/>
              <w:jc w:val="left"/>
              <w:rPr>
                <w:szCs w:val="24"/>
              </w:rPr>
            </w:pPr>
            <w:r>
              <w:rPr>
                <w:szCs w:val="24"/>
              </w:rPr>
              <w:t>coopérat</w:t>
            </w:r>
            <w:r>
              <w:rPr>
                <w:szCs w:val="24"/>
              </w:rPr>
              <w:t>ion des territoires ruraux / dynamiques partenariales</w:t>
            </w:r>
          </w:p>
          <w:p w:rsidR="0035701C" w:rsidRDefault="00FB561B" w:rsidP="00FB561B">
            <w:pPr>
              <w:numPr>
                <w:ilvl w:val="0"/>
                <w:numId w:val="1024"/>
              </w:numPr>
              <w:spacing w:before="0" w:after="0"/>
              <w:ind w:hanging="210"/>
              <w:jc w:val="left"/>
              <w:rPr>
                <w:szCs w:val="24"/>
              </w:rPr>
            </w:pPr>
            <w:r>
              <w:rPr>
                <w:szCs w:val="24"/>
              </w:rPr>
              <w:t>valorisation des circuits courts</w:t>
            </w:r>
          </w:p>
          <w:p w:rsidR="0035701C" w:rsidRDefault="00FB561B" w:rsidP="00FB561B">
            <w:pPr>
              <w:numPr>
                <w:ilvl w:val="0"/>
                <w:numId w:val="1024"/>
              </w:numPr>
              <w:spacing w:before="0" w:after="240"/>
              <w:ind w:hanging="210"/>
              <w:jc w:val="left"/>
              <w:rPr>
                <w:szCs w:val="24"/>
              </w:rPr>
            </w:pPr>
            <w:r>
              <w:rPr>
                <w:szCs w:val="24"/>
              </w:rPr>
              <w:t>évaluation des politiques publiques</w:t>
            </w:r>
          </w:p>
          <w:p w:rsidR="0035701C" w:rsidRDefault="00FB561B">
            <w:pPr>
              <w:spacing w:before="240" w:after="240"/>
              <w:jc w:val="left"/>
              <w:rPr>
                <w:szCs w:val="24"/>
              </w:rPr>
            </w:pPr>
            <w:r>
              <w:rPr>
                <w:szCs w:val="24"/>
              </w:rPr>
              <w:t xml:space="preserve">Le réseau rural régional sera externalisé et son animation sera confiée à un prestataire de service contracté par appel d’offres. Le </w:t>
            </w:r>
            <w:r>
              <w:rPr>
                <w:szCs w:val="24"/>
              </w:rPr>
              <w:t>marché vise un démarrage prévu au cours du dernier trimestre 2015.</w:t>
            </w:r>
          </w:p>
          <w:p w:rsidR="0035701C" w:rsidRDefault="00FB561B">
            <w:pPr>
              <w:spacing w:before="240" w:after="240"/>
              <w:jc w:val="left"/>
              <w:rPr>
                <w:szCs w:val="24"/>
              </w:rPr>
            </w:pPr>
            <w:r>
              <w:rPr>
                <w:szCs w:val="24"/>
              </w:rPr>
              <w:t>Le réseau doit être opérationnel au plus tard douze mois après l'approbation du PDRC (article 12 du règlement d'exécution (UE) n° 808/2014).</w:t>
            </w:r>
          </w:p>
          <w:p w:rsidR="0035701C" w:rsidRDefault="0035701C">
            <w:pPr>
              <w:pStyle w:val="Corpsdetexte"/>
            </w:pPr>
          </w:p>
        </w:tc>
      </w:tr>
    </w:tbl>
    <w:p w:rsidR="0035701C" w:rsidRDefault="00FB561B">
      <w:pPr>
        <w:pStyle w:val="Titre2"/>
      </w:pPr>
      <w:bookmarkStart w:id="214" w:name="_Toc256000213"/>
      <w:r>
        <w:t xml:space="preserve">Organisation prévue du réseau, à savoir la </w:t>
      </w:r>
      <w:r>
        <w:t>manière dont les organisations et les administrations concernées par le développement rural, et notamment les partenaires visés à l’article 54, paragraphe 1, du règlement (UE) nº 1305/2013, seront associés, et la manière dont les activités de mise en résea</w:t>
      </w:r>
      <w:r>
        <w:t>u seront facilitées</w:t>
      </w:r>
      <w:bookmarkEnd w:id="21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rsidP="00FB561B">
            <w:pPr>
              <w:numPr>
                <w:ilvl w:val="0"/>
                <w:numId w:val="1025"/>
              </w:numPr>
              <w:spacing w:before="0" w:after="0"/>
              <w:ind w:hanging="210"/>
              <w:jc w:val="left"/>
              <w:rPr>
                <w:szCs w:val="24"/>
              </w:rPr>
            </w:pPr>
            <w:r>
              <w:rPr>
                <w:szCs w:val="24"/>
              </w:rPr>
              <w:t>Une cellule d’animation confiée à un prestataire de service contracté par appel d’offres</w:t>
            </w:r>
          </w:p>
          <w:p w:rsidR="0035701C" w:rsidRDefault="00FB561B" w:rsidP="00FB561B">
            <w:pPr>
              <w:numPr>
                <w:ilvl w:val="0"/>
                <w:numId w:val="1025"/>
              </w:numPr>
              <w:spacing w:before="0" w:after="240"/>
              <w:ind w:hanging="210"/>
              <w:jc w:val="left"/>
              <w:rPr>
                <w:szCs w:val="24"/>
              </w:rPr>
            </w:pPr>
            <w:r>
              <w:rPr>
                <w:szCs w:val="24"/>
              </w:rPr>
              <w:t>Un comité de pilotage qui reflétera le partenariat tel que visé à l’article 5 du règlement UE n°1303/2013 et l’article 54.1 du règlement UE n° 1305</w:t>
            </w:r>
            <w:r>
              <w:rPr>
                <w:szCs w:val="24"/>
              </w:rPr>
              <w:t>/2013</w:t>
            </w:r>
          </w:p>
          <w:p w:rsidR="0035701C" w:rsidRDefault="0035701C">
            <w:pPr>
              <w:pStyle w:val="Corpsdetexte"/>
            </w:pPr>
          </w:p>
        </w:tc>
      </w:tr>
    </w:tbl>
    <w:p w:rsidR="0035701C" w:rsidRDefault="00FB561B">
      <w:pPr>
        <w:pStyle w:val="Titre2"/>
      </w:pPr>
      <w:bookmarkStart w:id="215" w:name="_Toc256000214"/>
      <w:r>
        <w:t>Description succincte des principales catégories d'activités à entreprendre par le RRN conformément aux objectifs du programme</w:t>
      </w:r>
      <w:bookmarkEnd w:id="21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Ce réseau régional concentrera ses actions sur l’accompagnement des acteurs impliqués dans la mise en œuvre du développem</w:t>
            </w:r>
            <w:r>
              <w:rPr>
                <w:szCs w:val="24"/>
              </w:rPr>
              <w:t>ent des zones rurales et consacrera un volet spécifique dédié à la démarche LEADER. Il visera à :</w:t>
            </w:r>
          </w:p>
          <w:p w:rsidR="0035701C" w:rsidRDefault="00FB561B" w:rsidP="00FB561B">
            <w:pPr>
              <w:numPr>
                <w:ilvl w:val="0"/>
                <w:numId w:val="1026"/>
              </w:numPr>
              <w:spacing w:before="240" w:after="0"/>
              <w:ind w:hanging="210"/>
              <w:jc w:val="left"/>
              <w:rPr>
                <w:szCs w:val="24"/>
              </w:rPr>
            </w:pPr>
            <w:r>
              <w:rPr>
                <w:b/>
                <w:bCs/>
                <w:szCs w:val="24"/>
              </w:rPr>
              <w:t>Professionnaliser</w:t>
            </w:r>
            <w:r>
              <w:rPr>
                <w:szCs w:val="24"/>
              </w:rPr>
              <w:t xml:space="preserve"> les acteurs du monde rural ainsi que les groupes d'action locale (GAL) LEADER, pour une conduite plus efficace de leurs programmes et des opérations de développement rural dans la phase de démarrage ainsi que tout au long de la nouvelle programmation (mis</w:t>
            </w:r>
            <w:r>
              <w:rPr>
                <w:szCs w:val="24"/>
              </w:rPr>
              <w:t>e en place de formations LEADER : gestion administrative / gestion de projet / méthodologie et conduite des démarches partenariales, méthodes d’évaluation, outils d’animation et de communication) ;</w:t>
            </w:r>
          </w:p>
          <w:p w:rsidR="0035701C" w:rsidRDefault="00FB561B" w:rsidP="00FB561B">
            <w:pPr>
              <w:numPr>
                <w:ilvl w:val="0"/>
                <w:numId w:val="1026"/>
              </w:numPr>
              <w:spacing w:before="0" w:after="0"/>
              <w:ind w:hanging="210"/>
              <w:jc w:val="left"/>
              <w:rPr>
                <w:szCs w:val="24"/>
              </w:rPr>
            </w:pPr>
            <w:r>
              <w:rPr>
                <w:b/>
                <w:bCs/>
                <w:szCs w:val="24"/>
              </w:rPr>
              <w:t>Renforcer l’ingénierie locale</w:t>
            </w:r>
            <w:r>
              <w:rPr>
                <w:szCs w:val="24"/>
              </w:rPr>
              <w:t> : articuler les démarches de</w:t>
            </w:r>
            <w:r>
              <w:rPr>
                <w:szCs w:val="24"/>
              </w:rPr>
              <w:t xml:space="preserve"> développement territorial (DLAL, ITI…), PO régionaux et interrégionaux (massifs), programmes de coopération : favoriser et améliorer la connaissance des dynamiques de projet en vue d’un accroissement des moyens et des leviers ; renforcer le lien entre les</w:t>
            </w:r>
            <w:r>
              <w:rPr>
                <w:szCs w:val="24"/>
              </w:rPr>
              <w:t xml:space="preserve"> différentes échelles de réseaux : Réseau Européen de Développement Rural/Réseau Rural National/Réseaux Ruraux régionaux</w:t>
            </w:r>
          </w:p>
          <w:p w:rsidR="0035701C" w:rsidRDefault="00FB561B" w:rsidP="00FB561B">
            <w:pPr>
              <w:numPr>
                <w:ilvl w:val="0"/>
                <w:numId w:val="1026"/>
              </w:numPr>
              <w:spacing w:before="0" w:after="0"/>
              <w:ind w:hanging="210"/>
              <w:jc w:val="left"/>
              <w:rPr>
                <w:szCs w:val="24"/>
              </w:rPr>
            </w:pPr>
            <w:r>
              <w:rPr>
                <w:szCs w:val="24"/>
              </w:rPr>
              <w:t>Susciter des projets nouveaux (nouveaux partenariats, nouveaux types de projets intégrés,…).</w:t>
            </w:r>
          </w:p>
          <w:p w:rsidR="0035701C" w:rsidRDefault="00FB561B" w:rsidP="00FB561B">
            <w:pPr>
              <w:numPr>
                <w:ilvl w:val="0"/>
                <w:numId w:val="1026"/>
              </w:numPr>
              <w:spacing w:before="0" w:after="0"/>
              <w:ind w:hanging="210"/>
              <w:jc w:val="left"/>
              <w:rPr>
                <w:szCs w:val="24"/>
              </w:rPr>
            </w:pPr>
            <w:r>
              <w:rPr>
                <w:szCs w:val="24"/>
              </w:rPr>
              <w:t xml:space="preserve">Favoriser les </w:t>
            </w:r>
            <w:r>
              <w:rPr>
                <w:b/>
                <w:bCs/>
                <w:szCs w:val="24"/>
              </w:rPr>
              <w:t>coopérations</w:t>
            </w:r>
            <w:r>
              <w:rPr>
                <w:szCs w:val="24"/>
              </w:rPr>
              <w:t xml:space="preserve"> entre territoires</w:t>
            </w:r>
          </w:p>
          <w:p w:rsidR="0035701C" w:rsidRDefault="00FB561B" w:rsidP="00FB561B">
            <w:pPr>
              <w:numPr>
                <w:ilvl w:val="0"/>
                <w:numId w:val="1026"/>
              </w:numPr>
              <w:spacing w:before="0" w:after="0"/>
              <w:ind w:hanging="210"/>
              <w:jc w:val="left"/>
              <w:rPr>
                <w:szCs w:val="24"/>
              </w:rPr>
            </w:pPr>
            <w:r>
              <w:rPr>
                <w:b/>
                <w:bCs/>
                <w:szCs w:val="24"/>
              </w:rPr>
              <w:t>Développer</w:t>
            </w:r>
            <w:r>
              <w:rPr>
                <w:szCs w:val="24"/>
              </w:rPr>
              <w:t xml:space="preserve"> et accélérer les </w:t>
            </w:r>
            <w:r>
              <w:rPr>
                <w:b/>
                <w:bCs/>
                <w:szCs w:val="24"/>
              </w:rPr>
              <w:t>échanges</w:t>
            </w:r>
            <w:r>
              <w:rPr>
                <w:szCs w:val="24"/>
              </w:rPr>
              <w:t xml:space="preserve"> entre acteurs et réseaux déjà existants du monde rural et à favoriser la mobilisation et le décloisonnement de nouveaux acteurs, les démarches multi acteurs : organiser un </w:t>
            </w:r>
            <w:r>
              <w:rPr>
                <w:b/>
                <w:bCs/>
                <w:szCs w:val="24"/>
              </w:rPr>
              <w:t>dialogue</w:t>
            </w:r>
            <w:r>
              <w:rPr>
                <w:szCs w:val="24"/>
              </w:rPr>
              <w:t xml:space="preserve"> à l’échelle régiona</w:t>
            </w:r>
            <w:r>
              <w:rPr>
                <w:szCs w:val="24"/>
              </w:rPr>
              <w:t>le entre territoires ruraux, urbains, périurbains : mise en réseau d’acteurs, développement d’une approche collective   </w:t>
            </w:r>
          </w:p>
          <w:p w:rsidR="0035701C" w:rsidRDefault="00FB561B" w:rsidP="00FB561B">
            <w:pPr>
              <w:numPr>
                <w:ilvl w:val="0"/>
                <w:numId w:val="1026"/>
              </w:numPr>
              <w:spacing w:before="0" w:after="240"/>
              <w:ind w:hanging="210"/>
              <w:jc w:val="left"/>
              <w:rPr>
                <w:szCs w:val="24"/>
              </w:rPr>
            </w:pPr>
            <w:r>
              <w:rPr>
                <w:b/>
                <w:bCs/>
                <w:szCs w:val="24"/>
              </w:rPr>
              <w:t>Valoriser et partager</w:t>
            </w:r>
            <w:r>
              <w:rPr>
                <w:szCs w:val="24"/>
              </w:rPr>
              <w:t xml:space="preserve"> les </w:t>
            </w:r>
            <w:r>
              <w:rPr>
                <w:b/>
                <w:bCs/>
                <w:szCs w:val="24"/>
              </w:rPr>
              <w:t>expériences</w:t>
            </w:r>
            <w:r>
              <w:rPr>
                <w:szCs w:val="24"/>
              </w:rPr>
              <w:t xml:space="preserve"> et les savoir-faire, l’analyse de pratiques, en particulier celles en lien avec les problématique</w:t>
            </w:r>
            <w:r>
              <w:rPr>
                <w:szCs w:val="24"/>
              </w:rPr>
              <w:t>s des territoires et des démarches LEADER ; Collecte et diffusion d’exemples pertinents, expériences et projets transférables ; faciliter les opérations d’appui, mutualisation, financement d’actions.</w:t>
            </w:r>
          </w:p>
          <w:p w:rsidR="0035701C" w:rsidRDefault="00FB561B">
            <w:pPr>
              <w:spacing w:before="240" w:after="240"/>
              <w:jc w:val="left"/>
              <w:rPr>
                <w:szCs w:val="24"/>
              </w:rPr>
            </w:pPr>
            <w:r>
              <w:rPr>
                <w:szCs w:val="24"/>
              </w:rPr>
              <w:t>Il articulera ses actions avec les niveaux national et e</w:t>
            </w:r>
            <w:r>
              <w:rPr>
                <w:szCs w:val="24"/>
              </w:rPr>
              <w:t>uropéen notamment par des interventions sur les aspects relatifs aux activités telles que citées dans l’article 54.3.b :</w:t>
            </w:r>
          </w:p>
          <w:p w:rsidR="0035701C" w:rsidRDefault="00FB561B" w:rsidP="00FB561B">
            <w:pPr>
              <w:numPr>
                <w:ilvl w:val="0"/>
                <w:numId w:val="1027"/>
              </w:numPr>
              <w:spacing w:before="240" w:after="0"/>
              <w:ind w:hanging="210"/>
              <w:jc w:val="left"/>
              <w:rPr>
                <w:szCs w:val="24"/>
              </w:rPr>
            </w:pPr>
            <w:r>
              <w:rPr>
                <w:szCs w:val="24"/>
              </w:rPr>
              <w:t>Travail sur des exemples de projets couvrant toutes les priorités du programme de développement rural. En complémentarité avec le résea</w:t>
            </w:r>
            <w:r>
              <w:rPr>
                <w:szCs w:val="24"/>
              </w:rPr>
              <w:t>u national, le réseau régional se concentra, quant à lui, sur les priorités du PDRC 2014-2020</w:t>
            </w:r>
          </w:p>
          <w:p w:rsidR="0035701C" w:rsidRDefault="00FB561B" w:rsidP="00FB561B">
            <w:pPr>
              <w:numPr>
                <w:ilvl w:val="0"/>
                <w:numId w:val="1027"/>
              </w:numPr>
              <w:spacing w:before="0" w:after="0"/>
              <w:ind w:hanging="210"/>
              <w:jc w:val="left"/>
              <w:rPr>
                <w:szCs w:val="24"/>
              </w:rPr>
            </w:pPr>
            <w:r>
              <w:rPr>
                <w:szCs w:val="24"/>
              </w:rPr>
              <w:t>La facilitation des échanges thématiques et analytiques entre les acteurs du développement rural, la mise en commun et la diffusion des données recueillies au moy</w:t>
            </w:r>
            <w:r>
              <w:rPr>
                <w:szCs w:val="24"/>
              </w:rPr>
              <w:t>en de groupes de travail thématiques tels que décrits plus haut.</w:t>
            </w:r>
          </w:p>
          <w:p w:rsidR="0035701C" w:rsidRDefault="00FB561B" w:rsidP="00FB561B">
            <w:pPr>
              <w:numPr>
                <w:ilvl w:val="0"/>
                <w:numId w:val="1027"/>
              </w:numPr>
              <w:spacing w:before="0" w:after="0"/>
              <w:ind w:hanging="210"/>
              <w:jc w:val="left"/>
              <w:rPr>
                <w:szCs w:val="24"/>
              </w:rPr>
            </w:pPr>
            <w:r>
              <w:rPr>
                <w:szCs w:val="24"/>
              </w:rPr>
              <w:t>Une offre de formations et de mise en réseau à destination des Groupes d’Action Locale et en particulier l’assistance technique pour la coopération interterritoriale et transnationale, les me</w:t>
            </w:r>
            <w:r>
              <w:rPr>
                <w:szCs w:val="24"/>
              </w:rPr>
              <w:t>sures en faveur de la coopération entre les groupes d’action locale et la recherche de partenaires pour les mesures visées à l’article 35. Le soutien du réseau rural régional consistera en un accompagnement thématique collectif en lien avec l’Autorité de g</w:t>
            </w:r>
            <w:r>
              <w:rPr>
                <w:szCs w:val="24"/>
              </w:rPr>
              <w:t>estion suivant les besoins des GAL ainsi que des accompagnements plus spécifiques notamment sur les activités de coopération interterritoriale et transnationale.</w:t>
            </w:r>
          </w:p>
          <w:p w:rsidR="0035701C" w:rsidRDefault="00FB561B" w:rsidP="00FB561B">
            <w:pPr>
              <w:numPr>
                <w:ilvl w:val="0"/>
                <w:numId w:val="1027"/>
              </w:numPr>
              <w:spacing w:before="0" w:after="0"/>
              <w:ind w:hanging="210"/>
              <w:jc w:val="left"/>
              <w:rPr>
                <w:szCs w:val="24"/>
              </w:rPr>
            </w:pPr>
            <w:r>
              <w:rPr>
                <w:szCs w:val="24"/>
              </w:rPr>
              <w:t>Une offre de mises en réseau pour les conseillers et de services de soutien à l’innovation</w:t>
            </w:r>
          </w:p>
          <w:p w:rsidR="0035701C" w:rsidRDefault="00FB561B" w:rsidP="00FB561B">
            <w:pPr>
              <w:numPr>
                <w:ilvl w:val="0"/>
                <w:numId w:val="1027"/>
              </w:numPr>
              <w:spacing w:before="0" w:after="0"/>
              <w:ind w:hanging="210"/>
              <w:jc w:val="left"/>
              <w:rPr>
                <w:szCs w:val="24"/>
              </w:rPr>
            </w:pPr>
            <w:r>
              <w:rPr>
                <w:szCs w:val="24"/>
              </w:rPr>
              <w:t xml:space="preserve">La </w:t>
            </w:r>
            <w:r>
              <w:rPr>
                <w:szCs w:val="24"/>
              </w:rPr>
              <w:t>mise en commun et la diffusion des données recueillies dans le cadre du suivi et de l’évaluation</w:t>
            </w:r>
          </w:p>
          <w:p w:rsidR="0035701C" w:rsidRDefault="00FB561B" w:rsidP="00FB561B">
            <w:pPr>
              <w:numPr>
                <w:ilvl w:val="0"/>
                <w:numId w:val="1027"/>
              </w:numPr>
              <w:spacing w:before="0" w:after="0"/>
              <w:ind w:hanging="210"/>
              <w:jc w:val="left"/>
              <w:rPr>
                <w:szCs w:val="24"/>
              </w:rPr>
            </w:pPr>
            <w:r>
              <w:rPr>
                <w:szCs w:val="24"/>
              </w:rPr>
              <w:t xml:space="preserve">Un plan de communication, incluant la publicité et les informations concernant le programme de développement rural en accord avec les autorités de gestion </w:t>
            </w:r>
            <w:r>
              <w:rPr>
                <w:szCs w:val="24"/>
              </w:rPr>
              <w:t>ainsi que les activités d’information et de communication visant un public plus large</w:t>
            </w:r>
          </w:p>
          <w:p w:rsidR="0035701C" w:rsidRDefault="00FB561B" w:rsidP="00FB561B">
            <w:pPr>
              <w:numPr>
                <w:ilvl w:val="0"/>
                <w:numId w:val="1027"/>
              </w:numPr>
              <w:spacing w:before="0" w:after="240"/>
              <w:ind w:hanging="210"/>
              <w:jc w:val="left"/>
              <w:rPr>
                <w:szCs w:val="24"/>
              </w:rPr>
            </w:pPr>
            <w:r>
              <w:rPr>
                <w:szCs w:val="24"/>
              </w:rPr>
              <w:t>La participation et la contribution aux activités du réseau européen de développement rural</w:t>
            </w:r>
          </w:p>
          <w:p w:rsidR="0035701C" w:rsidRDefault="00FB561B">
            <w:pPr>
              <w:spacing w:before="240" w:after="240"/>
              <w:jc w:val="left"/>
              <w:rPr>
                <w:szCs w:val="24"/>
              </w:rPr>
            </w:pPr>
            <w:r>
              <w:rPr>
                <w:szCs w:val="24"/>
              </w:rPr>
              <w:t>La mission d’animation s’attachera à mettre en œuvre des actions dans les 2 pr</w:t>
            </w:r>
            <w:r>
              <w:rPr>
                <w:szCs w:val="24"/>
              </w:rPr>
              <w:t>incipaux domaines du développement rural et de l’appui à la démarche LEADER à travers :</w:t>
            </w:r>
          </w:p>
          <w:p w:rsidR="0035701C" w:rsidRDefault="00FB561B" w:rsidP="00FB561B">
            <w:pPr>
              <w:numPr>
                <w:ilvl w:val="0"/>
                <w:numId w:val="1028"/>
              </w:numPr>
              <w:spacing w:before="240" w:after="0"/>
              <w:ind w:hanging="210"/>
              <w:jc w:val="left"/>
              <w:rPr>
                <w:szCs w:val="24"/>
              </w:rPr>
            </w:pPr>
            <w:r>
              <w:rPr>
                <w:szCs w:val="24"/>
              </w:rPr>
              <w:t>Animation et dynamisation du réseau rural corse : proposition d’un programme et d’une méthode de travail, actualisation et développement de la base de données des acteu</w:t>
            </w:r>
            <w:r>
              <w:rPr>
                <w:szCs w:val="24"/>
              </w:rPr>
              <w:t>rs de la ruralité, appui aux groupes de travail thématiques, rédaction d’une lettre électronique…</w:t>
            </w:r>
          </w:p>
          <w:p w:rsidR="0035701C" w:rsidRDefault="00FB561B" w:rsidP="00FB561B">
            <w:pPr>
              <w:numPr>
                <w:ilvl w:val="0"/>
                <w:numId w:val="1028"/>
              </w:numPr>
              <w:spacing w:before="0" w:after="240"/>
              <w:ind w:hanging="210"/>
              <w:jc w:val="left"/>
              <w:rPr>
                <w:szCs w:val="24"/>
              </w:rPr>
            </w:pPr>
            <w:r>
              <w:rPr>
                <w:szCs w:val="24"/>
              </w:rPr>
              <w:t>Appui à la démarche LEADER : appui méthodologique et technique, formations techniques spécifiques pour les GAL, organisation de réunions d’échanges entre GAL…</w:t>
            </w:r>
          </w:p>
          <w:p w:rsidR="0035701C" w:rsidRDefault="00FB561B">
            <w:pPr>
              <w:spacing w:before="240" w:after="240"/>
              <w:jc w:val="left"/>
              <w:rPr>
                <w:szCs w:val="24"/>
              </w:rPr>
            </w:pPr>
            <w:r>
              <w:rPr>
                <w:szCs w:val="24"/>
              </w:rPr>
              <w:t> </w:t>
            </w:r>
          </w:p>
          <w:p w:rsidR="0035701C" w:rsidRDefault="0035701C">
            <w:pPr>
              <w:pStyle w:val="Corpsdetexte"/>
            </w:pPr>
          </w:p>
        </w:tc>
      </w:tr>
    </w:tbl>
    <w:p w:rsidR="0035701C" w:rsidRDefault="00FB561B">
      <w:pPr>
        <w:pStyle w:val="Titre2"/>
      </w:pPr>
      <w:bookmarkStart w:id="216" w:name="_Toc256000215"/>
      <w:r>
        <w:t>Ressources disponibles pour la mise en place et le fonctionnement du RRN</w:t>
      </w:r>
      <w:bookmarkEnd w:id="2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La maquette prévisionnelle prévoit d’affecter 200 000€ à la mise en œuvre du Réseau rural régional Corse pour l’ensemble de la programmation 2014-2020.</w:t>
            </w:r>
          </w:p>
          <w:p w:rsidR="0035701C" w:rsidRDefault="0035701C">
            <w:pPr>
              <w:pStyle w:val="Corpsdetexte"/>
            </w:pPr>
          </w:p>
        </w:tc>
      </w:tr>
    </w:tbl>
    <w:p w:rsidR="0035701C" w:rsidRDefault="0035701C">
      <w:pPr>
        <w:sectPr w:rsidR="0035701C">
          <w:pgSz w:w="12240" w:h="15840"/>
          <w:pgMar w:top="900" w:right="900" w:bottom="900" w:left="900" w:header="720" w:footer="720" w:gutter="0"/>
          <w:cols w:space="720"/>
        </w:sectPr>
      </w:pPr>
    </w:p>
    <w:p w:rsidR="0035701C" w:rsidRDefault="00FB561B">
      <w:pPr>
        <w:pStyle w:val="Titre1"/>
      </w:pPr>
      <w:bookmarkStart w:id="217" w:name="_Toc256000216"/>
      <w:r>
        <w:t xml:space="preserve">Évaluation ex </w:t>
      </w:r>
      <w:r>
        <w:t>ante du caractère vérifiable et contrôlable et du risque d'erreur</w:t>
      </w:r>
      <w:bookmarkEnd w:id="217"/>
    </w:p>
    <w:p w:rsidR="0035701C" w:rsidRDefault="00FB561B">
      <w:pPr>
        <w:pStyle w:val="Titre2"/>
      </w:pPr>
      <w:bookmarkStart w:id="218" w:name="_Toc256000217"/>
      <w:r>
        <w:t>Déclaration de l'autorité de gestion et de l'organisme payeur sur le caractère vérifiable et contrôlable des mesures soutenues au titre du PDR</w:t>
      </w:r>
      <w:bookmarkEnd w:id="21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 </w:t>
            </w:r>
            <w:r>
              <w:rPr>
                <w:i/>
                <w:iCs/>
                <w:szCs w:val="24"/>
              </w:rPr>
              <w:t>Mise à jour sur V5.0 :</w:t>
            </w:r>
          </w:p>
          <w:p w:rsidR="0035701C" w:rsidRDefault="00FB561B">
            <w:pPr>
              <w:spacing w:before="240" w:after="240"/>
              <w:jc w:val="left"/>
              <w:rPr>
                <w:szCs w:val="24"/>
              </w:rPr>
            </w:pPr>
            <w:r>
              <w:rPr>
                <w:i/>
                <w:iCs/>
                <w:szCs w:val="24"/>
              </w:rPr>
              <w:t>Conformément aux engage</w:t>
            </w:r>
            <w:r>
              <w:rPr>
                <w:i/>
                <w:iCs/>
                <w:szCs w:val="24"/>
              </w:rPr>
              <w:t>ments pris sur le suivi  de contrôlabilité et de vérifiabilité des mesures du présent PDR, l’autorité de gestion et l’organisme payeur ont entrepris la vérification de la pertinence de leur démarche. Au vu de l’exécution du programme, de ses divers ajustem</w:t>
            </w:r>
            <w:r>
              <w:rPr>
                <w:i/>
                <w:iCs/>
                <w:szCs w:val="24"/>
              </w:rPr>
              <w:t>ents, et des résultats d’audits et de contrôle connus, cette revérification de l’ensemble des mesures, sous-mesures et types d’opérations génère sur la présente version la mise à jour des points 9.1 à 9.3 du chapitre 8 des mesures 4.1.1, 4.1.2 et 4.3.3.</w:t>
            </w:r>
          </w:p>
          <w:p w:rsidR="0035701C" w:rsidRDefault="00FB561B">
            <w:pPr>
              <w:spacing w:before="240" w:after="240"/>
              <w:jc w:val="left"/>
              <w:rPr>
                <w:szCs w:val="24"/>
              </w:rPr>
            </w:pPr>
            <w:r>
              <w:rPr>
                <w:i/>
                <w:iCs/>
                <w:szCs w:val="24"/>
              </w:rPr>
              <w:t>De</w:t>
            </w:r>
            <w:r>
              <w:rPr>
                <w:i/>
                <w:iCs/>
                <w:szCs w:val="24"/>
              </w:rPr>
              <w:t xml:space="preserve"> plus, l’organisme payeur a demandé que soit établi une version 5.1 du programme visant à rectifier les coquilles, omissions et maladresses rédactionnelles susceptibles de générer des oublis, des erreurs de compréhension dans la mise en œuvre du programme.</w:t>
            </w:r>
          </w:p>
          <w:p w:rsidR="0035701C" w:rsidRDefault="00FB561B">
            <w:pPr>
              <w:spacing w:before="240" w:after="240"/>
              <w:jc w:val="left"/>
              <w:rPr>
                <w:szCs w:val="24"/>
              </w:rPr>
            </w:pPr>
            <w:r>
              <w:rPr>
                <w:i/>
                <w:iCs/>
                <w:szCs w:val="24"/>
              </w:rPr>
              <w:t>Enfin, il est convenu entre les autorités que comme prévu, l’organisme payeur continue d’être associé à la rédaction des futures versions du programme.</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 </w:t>
            </w:r>
          </w:p>
          <w:p w:rsidR="0035701C" w:rsidRDefault="00FB561B">
            <w:pPr>
              <w:spacing w:before="240" w:after="240"/>
              <w:jc w:val="left"/>
              <w:rPr>
                <w:szCs w:val="24"/>
              </w:rPr>
            </w:pPr>
            <w:r>
              <w:rPr>
                <w:szCs w:val="24"/>
              </w:rPr>
              <w:t>L’obligation de contrôlabilité et de vérifiabilité des mesures du présent PDR au titre de l’article</w:t>
            </w:r>
            <w:r>
              <w:rPr>
                <w:szCs w:val="24"/>
              </w:rPr>
              <w:t xml:space="preserve"> 62 du R/UE 1305/2013 est mise en place conjointement par l’AG et l’OP du programme.</w:t>
            </w:r>
          </w:p>
          <w:p w:rsidR="0035701C" w:rsidRDefault="00FB561B">
            <w:pPr>
              <w:spacing w:before="240" w:after="240"/>
              <w:jc w:val="left"/>
              <w:rPr>
                <w:szCs w:val="24"/>
              </w:rPr>
            </w:pPr>
            <w:r>
              <w:rPr>
                <w:szCs w:val="24"/>
              </w:rPr>
              <w:t>Cette démarche s’appuie sur deux documents émanant de la CE :</w:t>
            </w:r>
          </w:p>
          <w:p w:rsidR="0035701C" w:rsidRDefault="00FB561B" w:rsidP="00FB561B">
            <w:pPr>
              <w:numPr>
                <w:ilvl w:val="0"/>
                <w:numId w:val="1029"/>
              </w:numPr>
              <w:spacing w:before="240" w:after="240"/>
              <w:ind w:hanging="210"/>
              <w:jc w:val="left"/>
              <w:rPr>
                <w:szCs w:val="24"/>
              </w:rPr>
            </w:pPr>
            <w:r>
              <w:rPr>
                <w:szCs w:val="24"/>
              </w:rPr>
              <w:t>Fiche d’orientation Vérifiabilité et contrôlabilité des mesures Evaluation des risques d’erreurs</w:t>
            </w:r>
          </w:p>
          <w:p w:rsidR="0035701C" w:rsidRDefault="00FB561B">
            <w:pPr>
              <w:spacing w:before="240" w:after="240"/>
              <w:ind w:left="709"/>
              <w:jc w:val="left"/>
              <w:rPr>
                <w:szCs w:val="24"/>
              </w:rPr>
            </w:pPr>
            <w:r>
              <w:rPr>
                <w:szCs w:val="24"/>
              </w:rPr>
              <w:t xml:space="preserve">Article 62 </w:t>
            </w:r>
            <w:r>
              <w:rPr>
                <w:szCs w:val="24"/>
              </w:rPr>
              <w:t>du R1305/2013,  et Pt_09_Measure_fiche_Art_62_Verifiability_and_controllability__Jan2014_cle868734-1.doc</w:t>
            </w:r>
          </w:p>
          <w:p w:rsidR="0035701C" w:rsidRDefault="00FB561B" w:rsidP="00FB561B">
            <w:pPr>
              <w:numPr>
                <w:ilvl w:val="0"/>
                <w:numId w:val="1030"/>
              </w:numPr>
              <w:spacing w:before="240" w:after="240"/>
              <w:ind w:hanging="210"/>
              <w:jc w:val="left"/>
              <w:rPr>
                <w:szCs w:val="24"/>
              </w:rPr>
            </w:pPr>
            <w:r>
              <w:rPr>
                <w:szCs w:val="24"/>
              </w:rPr>
              <w:t>Fiche Guide DG AGRI / H1 du 1er juillet 2014 relative aux marches publics (Guidance - Public Procurement and Rural development .doc)</w:t>
            </w:r>
          </w:p>
          <w:p w:rsidR="0035701C" w:rsidRDefault="00FB561B">
            <w:pPr>
              <w:spacing w:before="240" w:after="240"/>
              <w:jc w:val="left"/>
              <w:rPr>
                <w:szCs w:val="24"/>
              </w:rPr>
            </w:pPr>
            <w:r>
              <w:rPr>
                <w:szCs w:val="24"/>
              </w:rPr>
              <w:t>Cette démarche s’a</w:t>
            </w:r>
            <w:r>
              <w:rPr>
                <w:szCs w:val="24"/>
              </w:rPr>
              <w:t>ppuie également sur la gestion partenariale de la programmation 2007-2013, qui bien que non formalisée de façon précise, a conduit l’OP à émettre des avis et conseils sur la rédaction du PDRC passé. En effet, bien avant que cela soit une exigence règlement</w:t>
            </w:r>
            <w:r>
              <w:rPr>
                <w:szCs w:val="24"/>
              </w:rPr>
              <w:t>aire, l'OP a toujours été associé à la rédaction du PDRC.</w:t>
            </w:r>
          </w:p>
          <w:p w:rsidR="0035701C" w:rsidRDefault="00FB561B">
            <w:pPr>
              <w:spacing w:before="240" w:after="240"/>
              <w:jc w:val="left"/>
              <w:rPr>
                <w:szCs w:val="24"/>
              </w:rPr>
            </w:pPr>
            <w:r>
              <w:rPr>
                <w:szCs w:val="24"/>
              </w:rPr>
              <w:t xml:space="preserve">Le protocole mis en œuvre s’appuie également sur les résultats obtenus lors de la certification des comptes de l’OP, les résultats des contrôles opérés sur les mesures surfaciques et hors surfaces, </w:t>
            </w:r>
            <w:r>
              <w:rPr>
                <w:szCs w:val="24"/>
              </w:rPr>
              <w:t>ainsi que sur les recommandations et constats des différents corps de contrôle et d’audit relatifs à la programmation 2007-2013.</w:t>
            </w:r>
          </w:p>
          <w:p w:rsidR="0035701C" w:rsidRDefault="00FB561B">
            <w:pPr>
              <w:spacing w:before="240" w:after="240"/>
              <w:jc w:val="left"/>
              <w:rPr>
                <w:szCs w:val="24"/>
              </w:rPr>
            </w:pPr>
            <w:r>
              <w:rPr>
                <w:szCs w:val="24"/>
              </w:rPr>
              <w:t>Sont également pris en compte les « retours d’expérience » des services gestionnaires sur les difficultés rencontrées dans le c</w:t>
            </w:r>
            <w:r>
              <w:rPr>
                <w:szCs w:val="24"/>
              </w:rPr>
              <w:t>adre de l’instruction des dossiers tant sur les critères d’éligibilité du demandeur que de la demande, qui ont été tracés au moyen des questionnements remontés sur les services juridique, de contrôle, ou d’audit.</w:t>
            </w:r>
          </w:p>
          <w:p w:rsidR="0035701C" w:rsidRDefault="00FB561B">
            <w:pPr>
              <w:spacing w:before="240" w:after="240"/>
              <w:jc w:val="left"/>
              <w:rPr>
                <w:szCs w:val="24"/>
              </w:rPr>
            </w:pPr>
            <w:r>
              <w:rPr>
                <w:szCs w:val="24"/>
              </w:rPr>
              <w:t xml:space="preserve">On doit également noter que la spécificité </w:t>
            </w:r>
            <w:r>
              <w:rPr>
                <w:szCs w:val="24"/>
              </w:rPr>
              <w:t xml:space="preserve">institutionnelle de la Corse conduit  à une dichotomie des OP, puisque l’ASP gère le « 1er Pilier », et l’ODARC, le « 2nd  pilier » de la PAC. Un effort particulier a été réalisé pour mettre en cohérence les protocoles de gestion et conforter et sécuriser </w:t>
            </w:r>
            <w:r>
              <w:rPr>
                <w:szCs w:val="24"/>
              </w:rPr>
              <w:t>la piste d’audit, notamment en ce qui concerne les contrôles croisés des financements d’opération.</w:t>
            </w:r>
          </w:p>
          <w:p w:rsidR="0035701C" w:rsidRDefault="00FB561B">
            <w:pPr>
              <w:spacing w:before="240" w:after="240"/>
              <w:jc w:val="left"/>
              <w:rPr>
                <w:szCs w:val="24"/>
              </w:rPr>
            </w:pPr>
            <w:r>
              <w:rPr>
                <w:szCs w:val="24"/>
              </w:rPr>
              <w:t xml:space="preserve">Pour la programmation 2014-2020, en cohérence avec les risques identifiés par la Commission,  (R1 à R9 in « Fiche d’orientation Vérifiabilité et </w:t>
            </w:r>
            <w:r>
              <w:rPr>
                <w:szCs w:val="24"/>
              </w:rPr>
              <w:t>contrôlabilité »), les risques principaux possibles repérés à ce jour, sont indiqués dans le tableau joint (18.1- Vérifiabilité). Il convient de préciser que l’OP a créé deux risques relatifs à l’éligibilité des coûts, et à l’applicabilité du taux d’aide r</w:t>
            </w:r>
            <w:r>
              <w:rPr>
                <w:szCs w:val="24"/>
              </w:rPr>
              <w:t>espectivement  (R10 et R11) :</w:t>
            </w:r>
          </w:p>
          <w:p w:rsidR="0035701C" w:rsidRDefault="00FB561B">
            <w:pPr>
              <w:spacing w:before="240" w:after="240"/>
              <w:jc w:val="left"/>
              <w:rPr>
                <w:szCs w:val="24"/>
              </w:rPr>
            </w:pPr>
            <w:r>
              <w:rPr>
                <w:szCs w:val="24"/>
              </w:rPr>
              <w:t>Au-delà des principaux risques potentiels déclarés ci-dessus, une grille de contrôle élaborée à partir des procédures déjà mises en place par l’OP sur la programmation précédente est utilisée pour chaque mesure présente au PDR</w:t>
            </w:r>
            <w:r>
              <w:rPr>
                <w:szCs w:val="24"/>
              </w:rPr>
              <w:t>C (18.2 Grille Contrôlabilité). Cette grille permet pour chaque mesure de présenter les points 9.1 à 9.3.</w:t>
            </w:r>
          </w:p>
          <w:p w:rsidR="0035701C" w:rsidRDefault="00FB561B">
            <w:pPr>
              <w:spacing w:before="240" w:after="240"/>
              <w:jc w:val="left"/>
              <w:rPr>
                <w:szCs w:val="24"/>
              </w:rPr>
            </w:pPr>
            <w:r>
              <w:rPr>
                <w:szCs w:val="24"/>
              </w:rPr>
              <w:t>Le point 9.1 relatif aux Risques liés à la mise en œuvre des mesures est décliné en deux parties :</w:t>
            </w:r>
          </w:p>
          <w:p w:rsidR="0035701C" w:rsidRDefault="00FB561B" w:rsidP="00FB561B">
            <w:pPr>
              <w:numPr>
                <w:ilvl w:val="0"/>
                <w:numId w:val="1031"/>
              </w:numPr>
              <w:spacing w:before="240" w:after="0"/>
              <w:ind w:hanging="210"/>
              <w:jc w:val="left"/>
              <w:rPr>
                <w:szCs w:val="24"/>
              </w:rPr>
            </w:pPr>
            <w:r>
              <w:rPr>
                <w:szCs w:val="24"/>
              </w:rPr>
              <w:t>Dialogue AG/OP sur l’évolution du contenu de la mes</w:t>
            </w:r>
            <w:r>
              <w:rPr>
                <w:szCs w:val="24"/>
              </w:rPr>
              <w:t>ure</w:t>
            </w:r>
          </w:p>
          <w:p w:rsidR="0035701C" w:rsidRDefault="00FB561B" w:rsidP="00FB561B">
            <w:pPr>
              <w:numPr>
                <w:ilvl w:val="0"/>
                <w:numId w:val="1031"/>
              </w:numPr>
              <w:spacing w:before="0" w:after="240"/>
              <w:ind w:hanging="210"/>
              <w:jc w:val="left"/>
              <w:rPr>
                <w:szCs w:val="24"/>
              </w:rPr>
            </w:pPr>
            <w:r>
              <w:rPr>
                <w:szCs w:val="24"/>
              </w:rPr>
              <w:t>Risques identifiés selon la méthodologie présentée par l’OP</w:t>
            </w:r>
          </w:p>
          <w:p w:rsidR="0035701C" w:rsidRDefault="00FB561B">
            <w:pPr>
              <w:spacing w:before="240" w:after="240"/>
              <w:jc w:val="left"/>
              <w:rPr>
                <w:szCs w:val="24"/>
              </w:rPr>
            </w:pPr>
            <w:r>
              <w:rPr>
                <w:szCs w:val="24"/>
              </w:rPr>
              <w:t>Le point 9.2 Mesures d’atténuation, reprend pour chaque risque identifié les mesures spécifiques à mettre en place.</w:t>
            </w:r>
          </w:p>
          <w:p w:rsidR="0035701C" w:rsidRDefault="00FB561B">
            <w:pPr>
              <w:spacing w:before="240" w:after="240"/>
              <w:jc w:val="left"/>
              <w:rPr>
                <w:szCs w:val="24"/>
              </w:rPr>
            </w:pPr>
            <w:r>
              <w:rPr>
                <w:szCs w:val="24"/>
              </w:rPr>
              <w:t xml:space="preserve">Le point 9.3 Évaluation globale de la mesure est une valorisation </w:t>
            </w:r>
            <w:r>
              <w:rPr>
                <w:szCs w:val="24"/>
              </w:rPr>
              <w:t>matricielle des éléments précités (18.3 Notation globale)</w:t>
            </w:r>
          </w:p>
          <w:p w:rsidR="0035701C" w:rsidRDefault="00FB561B">
            <w:pPr>
              <w:spacing w:before="240" w:after="240"/>
              <w:jc w:val="left"/>
              <w:rPr>
                <w:szCs w:val="24"/>
              </w:rPr>
            </w:pPr>
            <w:r>
              <w:rPr>
                <w:szCs w:val="24"/>
              </w:rPr>
              <w:t>Ce travail sera conforté après validation du PDR par une grille de type analyse de risques, mesure par mesure, reprenant les éléments ci-dessus et d’éventuels points complémentaires, un programme de</w:t>
            </w:r>
            <w:r>
              <w:rPr>
                <w:szCs w:val="24"/>
              </w:rPr>
              <w:t xml:space="preserve"> révision de ces outils sera mis en place tout au long de la programmation 2014-2020, au vu de l’exécution du programme, des certifications de comptes et des résultats de contrôle et d’audit.</w:t>
            </w:r>
          </w:p>
          <w:p w:rsidR="0035701C" w:rsidRDefault="00FB561B">
            <w:pPr>
              <w:spacing w:before="240" w:after="240"/>
              <w:jc w:val="left"/>
              <w:rPr>
                <w:szCs w:val="24"/>
              </w:rPr>
            </w:pPr>
            <w:r>
              <w:rPr>
                <w:szCs w:val="24"/>
              </w:rPr>
              <w:t>Ainsi, pour assurer la vérifiabilité et la contrôlabilité des me</w:t>
            </w:r>
            <w:r>
              <w:rPr>
                <w:szCs w:val="24"/>
              </w:rPr>
              <w:t>sures du PDR conformément à l'article 62, paragraphe 1 du règlement (UE) 1305/2013, l’autorité de gestion et l’organisme payeur ont entrepris des démarches communes. Les entités (AG et OP ODARC) confirment la vérifiabilité et la contrôlabilité de toutes le</w:t>
            </w:r>
            <w:r>
              <w:rPr>
                <w:szCs w:val="24"/>
              </w:rPr>
              <w:t>s mesures du PDRC.</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5853875" cy="8280400"/>
                  <wp:effectExtent l="0" t="0" r="0" b="0"/>
                  <wp:docPr id="100324" name="Image 10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5" name=""/>
                          <pic:cNvPicPr>
                            <a:picLocks noChangeAspect="1"/>
                          </pic:cNvPicPr>
                        </pic:nvPicPr>
                        <pic:blipFill>
                          <a:blip r:embed="rId164"/>
                          <a:stretch>
                            <a:fillRect/>
                          </a:stretch>
                        </pic:blipFill>
                        <pic:spPr>
                          <a:xfrm>
                            <a:off x="0" y="0"/>
                            <a:ext cx="5853875" cy="8280400"/>
                          </a:xfrm>
                          <a:prstGeom prst="rect">
                            <a:avLst/>
                          </a:prstGeom>
                        </pic:spPr>
                      </pic:pic>
                    </a:graphicData>
                  </a:graphic>
                </wp:inline>
              </w:drawing>
            </w:r>
          </w:p>
          <w:p w:rsidR="0035701C" w:rsidRDefault="00FB561B">
            <w:pPr>
              <w:pStyle w:val="Pieddepage"/>
              <w:jc w:val="center"/>
            </w:pPr>
            <w:r>
              <w:t>18 1_Vérifiabilité</w:t>
            </w:r>
          </w:p>
          <w:p w:rsidR="0035701C" w:rsidRDefault="00FB561B">
            <w:pPr>
              <w:pStyle w:val="Pieddepage"/>
              <w:jc w:val="center"/>
            </w:pPr>
            <w:r>
              <w:rPr>
                <w:noProof/>
                <w:lang w:val="fr-FR" w:eastAsia="fr-FR"/>
              </w:rPr>
              <w:drawing>
                <wp:inline distT="0" distB="0" distL="0" distR="0">
                  <wp:extent cx="6105525" cy="5010150"/>
                  <wp:effectExtent l="0" t="0" r="0" b="0"/>
                  <wp:docPr id="100326" name="Image 100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7" name=""/>
                          <pic:cNvPicPr>
                            <a:picLocks noChangeAspect="1"/>
                          </pic:cNvPicPr>
                        </pic:nvPicPr>
                        <pic:blipFill>
                          <a:blip r:embed="rId165"/>
                          <a:stretch>
                            <a:fillRect/>
                          </a:stretch>
                        </pic:blipFill>
                        <pic:spPr>
                          <a:xfrm>
                            <a:off x="0" y="0"/>
                            <a:ext cx="6105525" cy="5010150"/>
                          </a:xfrm>
                          <a:prstGeom prst="rect">
                            <a:avLst/>
                          </a:prstGeom>
                        </pic:spPr>
                      </pic:pic>
                    </a:graphicData>
                  </a:graphic>
                </wp:inline>
              </w:drawing>
            </w:r>
          </w:p>
          <w:p w:rsidR="0035701C" w:rsidRDefault="00FB561B">
            <w:pPr>
              <w:pStyle w:val="Pieddepage"/>
              <w:jc w:val="center"/>
            </w:pPr>
            <w:r>
              <w:t>18 2_Grille controlabilité</w:t>
            </w:r>
          </w:p>
          <w:p w:rsidR="0035701C" w:rsidRDefault="00FB561B">
            <w:pPr>
              <w:pStyle w:val="Pieddepage"/>
              <w:jc w:val="center"/>
            </w:pPr>
            <w:r>
              <w:rPr>
                <w:noProof/>
                <w:lang w:val="fr-FR" w:eastAsia="fr-FR"/>
              </w:rPr>
              <w:drawing>
                <wp:inline distT="0" distB="0" distL="0" distR="0">
                  <wp:extent cx="5960460" cy="8280400"/>
                  <wp:effectExtent l="0" t="0" r="0" b="0"/>
                  <wp:docPr id="100328" name="Image 100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9" name=""/>
                          <pic:cNvPicPr>
                            <a:picLocks noChangeAspect="1"/>
                          </pic:cNvPicPr>
                        </pic:nvPicPr>
                        <pic:blipFill>
                          <a:blip r:embed="rId166"/>
                          <a:stretch>
                            <a:fillRect/>
                          </a:stretch>
                        </pic:blipFill>
                        <pic:spPr>
                          <a:xfrm>
                            <a:off x="0" y="0"/>
                            <a:ext cx="5960460" cy="8280400"/>
                          </a:xfrm>
                          <a:prstGeom prst="rect">
                            <a:avLst/>
                          </a:prstGeom>
                        </pic:spPr>
                      </pic:pic>
                    </a:graphicData>
                  </a:graphic>
                </wp:inline>
              </w:drawing>
            </w:r>
          </w:p>
          <w:p w:rsidR="0035701C" w:rsidRDefault="00FB561B">
            <w:pPr>
              <w:pStyle w:val="Pieddepage"/>
              <w:jc w:val="center"/>
            </w:pPr>
            <w:r>
              <w:t>18 3_Notation globale</w:t>
            </w:r>
          </w:p>
          <w:p w:rsidR="0035701C" w:rsidRDefault="0035701C">
            <w:pPr>
              <w:pStyle w:val="Pieddepage"/>
              <w:jc w:val="center"/>
            </w:pPr>
          </w:p>
        </w:tc>
      </w:tr>
    </w:tbl>
    <w:p w:rsidR="0035701C" w:rsidRDefault="00FB561B">
      <w:pPr>
        <w:pStyle w:val="Titre2"/>
      </w:pPr>
      <w:bookmarkStart w:id="219" w:name="_Toc256000218"/>
      <w:r>
        <w:t xml:space="preserve">Déclaration de l'organisme indépendant du point de vue fonctionnel des autorités responsables de la mise en œuvre du programme confirmant l'adéquation et </w:t>
      </w:r>
      <w:r>
        <w:t>l'exactitude des calculs des coûts standard, des coûts supplémentaires et des pertes de revenus</w:t>
      </w:r>
      <w:bookmarkEnd w:id="21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Conformément à l'article 62.2 du règlement (UE) 1305/2013, les aides octroyées sur la base de coûts standard ou de coûts supplémentaires et des pertes de revenu</w:t>
            </w:r>
            <w:r>
              <w:rPr>
                <w:szCs w:val="24"/>
              </w:rPr>
              <w:t>s ont fait l'objet d'une certification confiée par appel d'offre à un organisme indépendant et possédant l'expertise appropriée en la matière.</w:t>
            </w:r>
          </w:p>
          <w:p w:rsidR="0035701C" w:rsidRDefault="00FB561B">
            <w:pPr>
              <w:spacing w:before="240" w:after="240"/>
              <w:jc w:val="left"/>
              <w:rPr>
                <w:szCs w:val="24"/>
              </w:rPr>
            </w:pPr>
            <w:r>
              <w:rPr>
                <w:szCs w:val="24"/>
              </w:rPr>
              <w:t>Ainsi l'ensemble des calculs et/ou la méthodologie des différentes opérations a été certifié par l'organisme "Eco</w:t>
            </w:r>
            <w:r>
              <w:rPr>
                <w:szCs w:val="24"/>
              </w:rPr>
              <w:t xml:space="preserve"> Logique Conseil". Cette certification est jointe au présent programme.</w:t>
            </w:r>
          </w:p>
          <w:p w:rsidR="0035701C" w:rsidRDefault="00FB561B">
            <w:pPr>
              <w:spacing w:before="240" w:after="240"/>
              <w:jc w:val="left"/>
              <w:rPr>
                <w:szCs w:val="24"/>
              </w:rPr>
            </w:pPr>
            <w:r>
              <w:rPr>
                <w:szCs w:val="24"/>
              </w:rPr>
              <w:t>Concernant la certification des couts pour la M08.3 DFCI, la certification a été confié à l'ONF de Corse. Cette certification est jointe au présent programme.</w:t>
            </w:r>
          </w:p>
          <w:p w:rsidR="0035701C" w:rsidRDefault="0035701C">
            <w:pPr>
              <w:pStyle w:val="Corpsdetexte"/>
            </w:pPr>
          </w:p>
          <w:p w:rsidR="0035701C" w:rsidRDefault="00FB561B">
            <w:pPr>
              <w:pStyle w:val="Corpsdetexte3"/>
              <w:jc w:val="center"/>
            </w:pPr>
            <w:r>
              <w:rPr>
                <w:noProof/>
                <w:lang w:val="fr-FR" w:eastAsia="fr-FR"/>
              </w:rPr>
              <w:drawing>
                <wp:inline distT="0" distB="0" distL="0" distR="0">
                  <wp:extent cx="5850593" cy="8280400"/>
                  <wp:effectExtent l="0" t="0" r="0" b="0"/>
                  <wp:docPr id="100330" name="Image 100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1" name=""/>
                          <pic:cNvPicPr>
                            <a:picLocks noChangeAspect="1"/>
                          </pic:cNvPicPr>
                        </pic:nvPicPr>
                        <pic:blipFill>
                          <a:blip r:embed="rId167"/>
                          <a:stretch>
                            <a:fillRect/>
                          </a:stretch>
                        </pic:blipFill>
                        <pic:spPr>
                          <a:xfrm>
                            <a:off x="0" y="0"/>
                            <a:ext cx="5850593" cy="8280400"/>
                          </a:xfrm>
                          <a:prstGeom prst="rect">
                            <a:avLst/>
                          </a:prstGeom>
                        </pic:spPr>
                      </pic:pic>
                    </a:graphicData>
                  </a:graphic>
                </wp:inline>
              </w:drawing>
            </w:r>
          </w:p>
          <w:p w:rsidR="0035701C" w:rsidRDefault="00FB561B">
            <w:pPr>
              <w:pStyle w:val="Pieddepage"/>
              <w:jc w:val="center"/>
            </w:pPr>
            <w:r>
              <w:t>Fiche_canaux</w:t>
            </w:r>
          </w:p>
          <w:p w:rsidR="0035701C" w:rsidRDefault="00FB561B">
            <w:pPr>
              <w:pStyle w:val="Pieddepage"/>
              <w:jc w:val="center"/>
            </w:pPr>
            <w:r>
              <w:rPr>
                <w:noProof/>
                <w:lang w:val="fr-FR" w:eastAsia="fr-FR"/>
              </w:rPr>
              <w:drawing>
                <wp:inline distT="0" distB="0" distL="0" distR="0">
                  <wp:extent cx="5172075" cy="7315200"/>
                  <wp:effectExtent l="0" t="0" r="0" b="0"/>
                  <wp:docPr id="100332" name="Image 100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3" name=""/>
                          <pic:cNvPicPr>
                            <a:picLocks noChangeAspect="1"/>
                          </pic:cNvPicPr>
                        </pic:nvPicPr>
                        <pic:blipFill>
                          <a:blip r:embed="rId168"/>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fiche_e</w:t>
            </w:r>
            <w:r>
              <w:t>au2</w:t>
            </w:r>
          </w:p>
          <w:p w:rsidR="0035701C" w:rsidRDefault="00FB561B">
            <w:pPr>
              <w:pStyle w:val="Pieddepage"/>
              <w:jc w:val="center"/>
            </w:pPr>
            <w:r>
              <w:rPr>
                <w:noProof/>
                <w:lang w:val="fr-FR" w:eastAsia="fr-FR"/>
              </w:rPr>
              <w:drawing>
                <wp:inline distT="0" distB="0" distL="0" distR="0">
                  <wp:extent cx="5172075" cy="7315200"/>
                  <wp:effectExtent l="0" t="0" r="0" b="0"/>
                  <wp:docPr id="100334" name="Image 100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5" name=""/>
                          <pic:cNvPicPr>
                            <a:picLocks noChangeAspect="1"/>
                          </pic:cNvPicPr>
                        </pic:nvPicPr>
                        <pic:blipFill>
                          <a:blip r:embed="rId169"/>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fiche_eau3</w:t>
            </w:r>
          </w:p>
          <w:p w:rsidR="0035701C" w:rsidRDefault="00FB561B">
            <w:pPr>
              <w:pStyle w:val="Pieddepage"/>
              <w:jc w:val="center"/>
            </w:pPr>
            <w:r>
              <w:rPr>
                <w:noProof/>
                <w:lang w:val="fr-FR" w:eastAsia="fr-FR"/>
              </w:rPr>
              <w:drawing>
                <wp:inline distT="0" distB="0" distL="0" distR="0">
                  <wp:extent cx="5172075" cy="7315200"/>
                  <wp:effectExtent l="0" t="0" r="0" b="0"/>
                  <wp:docPr id="100336" name="Image 100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7" name=""/>
                          <pic:cNvPicPr>
                            <a:picLocks noChangeAspect="1"/>
                          </pic:cNvPicPr>
                        </pic:nvPicPr>
                        <pic:blipFill>
                          <a:blip r:embed="rId170"/>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fiche_eau4</w:t>
            </w:r>
          </w:p>
          <w:p w:rsidR="0035701C" w:rsidRDefault="00FB561B">
            <w:pPr>
              <w:pStyle w:val="Pieddepage"/>
              <w:jc w:val="center"/>
            </w:pPr>
            <w:r>
              <w:rPr>
                <w:noProof/>
                <w:lang w:val="fr-FR" w:eastAsia="fr-FR"/>
              </w:rPr>
              <w:drawing>
                <wp:inline distT="0" distB="0" distL="0" distR="0">
                  <wp:extent cx="5172075" cy="7315200"/>
                  <wp:effectExtent l="0" t="0" r="0" b="0"/>
                  <wp:docPr id="100338" name="Image 100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39" name=""/>
                          <pic:cNvPicPr>
                            <a:picLocks noChangeAspect="1"/>
                          </pic:cNvPicPr>
                        </pic:nvPicPr>
                        <pic:blipFill>
                          <a:blip r:embed="rId171"/>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fiche_eau5</w:t>
            </w:r>
          </w:p>
          <w:p w:rsidR="0035701C" w:rsidRDefault="00FB561B">
            <w:pPr>
              <w:pStyle w:val="Pieddepage"/>
              <w:jc w:val="center"/>
            </w:pPr>
            <w:r>
              <w:rPr>
                <w:noProof/>
                <w:lang w:val="fr-FR" w:eastAsia="fr-FR"/>
              </w:rPr>
              <w:drawing>
                <wp:inline distT="0" distB="0" distL="0" distR="0">
                  <wp:extent cx="5172075" cy="7315200"/>
                  <wp:effectExtent l="0" t="0" r="0" b="0"/>
                  <wp:docPr id="100340" name="Image 100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1" name=""/>
                          <pic:cNvPicPr>
                            <a:picLocks noChangeAspect="1"/>
                          </pic:cNvPicPr>
                        </pic:nvPicPr>
                        <pic:blipFill>
                          <a:blip r:embed="rId172"/>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fiche_eau6</w:t>
            </w:r>
          </w:p>
          <w:p w:rsidR="0035701C" w:rsidRDefault="00FB561B">
            <w:pPr>
              <w:pStyle w:val="Pieddepage"/>
              <w:jc w:val="center"/>
            </w:pPr>
            <w:r>
              <w:rPr>
                <w:noProof/>
                <w:lang w:val="fr-FR" w:eastAsia="fr-FR"/>
              </w:rPr>
              <w:drawing>
                <wp:inline distT="0" distB="0" distL="0" distR="0">
                  <wp:extent cx="5172075" cy="7315200"/>
                  <wp:effectExtent l="0" t="0" r="0" b="0"/>
                  <wp:docPr id="100342" name="Image 100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3" name=""/>
                          <pic:cNvPicPr>
                            <a:picLocks noChangeAspect="1"/>
                          </pic:cNvPicPr>
                        </pic:nvPicPr>
                        <pic:blipFill>
                          <a:blip r:embed="rId173"/>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fiche_eau7</w:t>
            </w:r>
          </w:p>
          <w:p w:rsidR="0035701C" w:rsidRDefault="00FB561B">
            <w:pPr>
              <w:pStyle w:val="Pieddepage"/>
              <w:jc w:val="center"/>
            </w:pPr>
            <w:r>
              <w:rPr>
                <w:noProof/>
                <w:lang w:val="fr-FR" w:eastAsia="fr-FR"/>
              </w:rPr>
              <w:drawing>
                <wp:inline distT="0" distB="0" distL="0" distR="0">
                  <wp:extent cx="5172075" cy="7315200"/>
                  <wp:effectExtent l="0" t="0" r="0" b="0"/>
                  <wp:docPr id="100344" name="Image 100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5" name=""/>
                          <pic:cNvPicPr>
                            <a:picLocks noChangeAspect="1"/>
                          </pic:cNvPicPr>
                        </pic:nvPicPr>
                        <pic:blipFill>
                          <a:blip r:embed="rId174"/>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fiche_eau8</w:t>
            </w:r>
          </w:p>
          <w:p w:rsidR="0035701C" w:rsidRDefault="00FB561B">
            <w:pPr>
              <w:pStyle w:val="Pieddepage"/>
              <w:jc w:val="center"/>
            </w:pPr>
            <w:r>
              <w:rPr>
                <w:noProof/>
                <w:lang w:val="fr-FR" w:eastAsia="fr-FR"/>
              </w:rPr>
              <w:drawing>
                <wp:inline distT="0" distB="0" distL="0" distR="0">
                  <wp:extent cx="5172075" cy="7315200"/>
                  <wp:effectExtent l="0" t="0" r="0" b="0"/>
                  <wp:docPr id="100346" name="Image 100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7" name=""/>
                          <pic:cNvPicPr>
                            <a:picLocks noChangeAspect="1"/>
                          </pic:cNvPicPr>
                        </pic:nvPicPr>
                        <pic:blipFill>
                          <a:blip r:embed="rId175"/>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fiche_eau9</w:t>
            </w:r>
          </w:p>
          <w:p w:rsidR="0035701C" w:rsidRDefault="00FB561B">
            <w:pPr>
              <w:pStyle w:val="Pieddepage"/>
              <w:jc w:val="center"/>
            </w:pPr>
            <w:r>
              <w:rPr>
                <w:noProof/>
                <w:lang w:val="fr-FR" w:eastAsia="fr-FR"/>
              </w:rPr>
              <w:drawing>
                <wp:inline distT="0" distB="0" distL="0" distR="0">
                  <wp:extent cx="5172075" cy="7315200"/>
                  <wp:effectExtent l="0" t="0" r="0" b="0"/>
                  <wp:docPr id="100348" name="Image 100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9" name=""/>
                          <pic:cNvPicPr>
                            <a:picLocks noChangeAspect="1"/>
                          </pic:cNvPicPr>
                        </pic:nvPicPr>
                        <pic:blipFill>
                          <a:blip r:embed="rId176"/>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fiche_eau10</w:t>
            </w:r>
          </w:p>
          <w:p w:rsidR="0035701C" w:rsidRDefault="00FB561B">
            <w:pPr>
              <w:pStyle w:val="Pieddepage"/>
              <w:jc w:val="center"/>
            </w:pPr>
            <w:r>
              <w:rPr>
                <w:noProof/>
                <w:lang w:val="fr-FR" w:eastAsia="fr-FR"/>
              </w:rPr>
              <w:drawing>
                <wp:inline distT="0" distB="0" distL="0" distR="0">
                  <wp:extent cx="5172075" cy="7315200"/>
                  <wp:effectExtent l="0" t="0" r="0" b="0"/>
                  <wp:docPr id="100350" name="Image 100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1" name=""/>
                          <pic:cNvPicPr>
                            <a:picLocks noChangeAspect="1"/>
                          </pic:cNvPicPr>
                        </pic:nvPicPr>
                        <pic:blipFill>
                          <a:blip r:embed="rId177"/>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fiche_eau12</w:t>
            </w:r>
          </w:p>
          <w:p w:rsidR="0035701C" w:rsidRDefault="00FB561B">
            <w:pPr>
              <w:pStyle w:val="Pieddepage"/>
              <w:jc w:val="center"/>
            </w:pPr>
            <w:r>
              <w:rPr>
                <w:noProof/>
                <w:lang w:val="fr-FR" w:eastAsia="fr-FR"/>
              </w:rPr>
              <w:drawing>
                <wp:inline distT="0" distB="0" distL="0" distR="0">
                  <wp:extent cx="5172075" cy="7315200"/>
                  <wp:effectExtent l="0" t="0" r="0" b="0"/>
                  <wp:docPr id="100352" name="Image 100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3" name=""/>
                          <pic:cNvPicPr>
                            <a:picLocks noChangeAspect="1"/>
                          </pic:cNvPicPr>
                        </pic:nvPicPr>
                        <pic:blipFill>
                          <a:blip r:embed="rId178"/>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fiche_eau13</w:t>
            </w:r>
          </w:p>
          <w:p w:rsidR="0035701C" w:rsidRDefault="00FB561B">
            <w:pPr>
              <w:pStyle w:val="Pieddepage"/>
              <w:jc w:val="center"/>
            </w:pPr>
            <w:r>
              <w:rPr>
                <w:noProof/>
                <w:lang w:val="fr-FR" w:eastAsia="fr-FR"/>
              </w:rPr>
              <w:drawing>
                <wp:inline distT="0" distB="0" distL="0" distR="0">
                  <wp:extent cx="5172075" cy="7315200"/>
                  <wp:effectExtent l="0" t="0" r="0" b="0"/>
                  <wp:docPr id="100354" name="Image 100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5" name=""/>
                          <pic:cNvPicPr>
                            <a:picLocks noChangeAspect="1"/>
                          </pic:cNvPicPr>
                        </pic:nvPicPr>
                        <pic:blipFill>
                          <a:blip r:embed="rId179"/>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fiche_eau11</w:t>
            </w:r>
          </w:p>
          <w:p w:rsidR="0035701C" w:rsidRDefault="00FB561B">
            <w:pPr>
              <w:pStyle w:val="Pieddepage"/>
              <w:jc w:val="center"/>
            </w:pPr>
            <w:r>
              <w:rPr>
                <w:noProof/>
                <w:lang w:val="fr-FR" w:eastAsia="fr-FR"/>
              </w:rPr>
              <w:drawing>
                <wp:inline distT="0" distB="0" distL="0" distR="0">
                  <wp:extent cx="5172075" cy="7315200"/>
                  <wp:effectExtent l="0" t="0" r="0" b="0"/>
                  <wp:docPr id="100356" name="Image 100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7" name=""/>
                          <pic:cNvPicPr>
                            <a:picLocks noChangeAspect="1"/>
                          </pic:cNvPicPr>
                        </pic:nvPicPr>
                        <pic:blipFill>
                          <a:blip r:embed="rId180"/>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fiche_M11-1</w:t>
            </w:r>
          </w:p>
          <w:p w:rsidR="0035701C" w:rsidRDefault="00FB561B">
            <w:pPr>
              <w:pStyle w:val="Pieddepage"/>
              <w:jc w:val="center"/>
            </w:pPr>
            <w:r>
              <w:rPr>
                <w:noProof/>
                <w:lang w:val="fr-FR" w:eastAsia="fr-FR"/>
              </w:rPr>
              <w:drawing>
                <wp:inline distT="0" distB="0" distL="0" distR="0">
                  <wp:extent cx="5172075" cy="7315200"/>
                  <wp:effectExtent l="0" t="0" r="0" b="0"/>
                  <wp:docPr id="100358" name="Image 100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9" name=""/>
                          <pic:cNvPicPr>
                            <a:picLocks noChangeAspect="1"/>
                          </pic:cNvPicPr>
                        </pic:nvPicPr>
                        <pic:blipFill>
                          <a:blip r:embed="rId181"/>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fiche_M11-2</w:t>
            </w:r>
          </w:p>
          <w:p w:rsidR="0035701C" w:rsidRDefault="00FB561B">
            <w:pPr>
              <w:pStyle w:val="Pieddepage"/>
              <w:jc w:val="center"/>
            </w:pPr>
            <w:r>
              <w:rPr>
                <w:noProof/>
                <w:lang w:val="fr-FR" w:eastAsia="fr-FR"/>
              </w:rPr>
              <w:drawing>
                <wp:inline distT="0" distB="0" distL="0" distR="0">
                  <wp:extent cx="5172075" cy="7315200"/>
                  <wp:effectExtent l="0" t="0" r="0" b="0"/>
                  <wp:docPr id="100360" name="Image 100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61" name=""/>
                          <pic:cNvPicPr>
                            <a:picLocks noChangeAspect="1"/>
                          </pic:cNvPicPr>
                        </pic:nvPicPr>
                        <pic:blipFill>
                          <a:blip r:embed="rId182"/>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fiche_M13-1</w:t>
            </w:r>
          </w:p>
          <w:p w:rsidR="0035701C" w:rsidRDefault="00FB561B">
            <w:pPr>
              <w:pStyle w:val="Pieddepage"/>
              <w:jc w:val="center"/>
            </w:pPr>
            <w:r>
              <w:rPr>
                <w:noProof/>
                <w:lang w:val="fr-FR" w:eastAsia="fr-FR"/>
              </w:rPr>
              <w:drawing>
                <wp:inline distT="0" distB="0" distL="0" distR="0">
                  <wp:extent cx="5172075" cy="7315200"/>
                  <wp:effectExtent l="0" t="0" r="0" b="0"/>
                  <wp:docPr id="100362" name="Image 100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63" name=""/>
                          <pic:cNvPicPr>
                            <a:picLocks noChangeAspect="1"/>
                          </pic:cNvPicPr>
                        </pic:nvPicPr>
                        <pic:blipFill>
                          <a:blip r:embed="rId183"/>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fiche_M13-2</w:t>
            </w:r>
          </w:p>
          <w:p w:rsidR="0035701C" w:rsidRDefault="00FB561B">
            <w:pPr>
              <w:pStyle w:val="Pieddepage"/>
              <w:jc w:val="center"/>
            </w:pPr>
            <w:r>
              <w:rPr>
                <w:noProof/>
                <w:lang w:val="fr-FR" w:eastAsia="fr-FR"/>
              </w:rPr>
              <w:drawing>
                <wp:inline distT="0" distB="0" distL="0" distR="0">
                  <wp:extent cx="5172075" cy="7315200"/>
                  <wp:effectExtent l="0" t="0" r="0" b="0"/>
                  <wp:docPr id="100364" name="Image 100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65" name=""/>
                          <pic:cNvPicPr>
                            <a:picLocks noChangeAspect="1"/>
                          </pic:cNvPicPr>
                        </pic:nvPicPr>
                        <pic:blipFill>
                          <a:blip r:embed="rId184"/>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fiche_parcours1</w:t>
            </w:r>
          </w:p>
          <w:p w:rsidR="0035701C" w:rsidRDefault="00FB561B">
            <w:pPr>
              <w:pStyle w:val="Pieddepage"/>
              <w:jc w:val="center"/>
            </w:pPr>
            <w:r>
              <w:rPr>
                <w:noProof/>
                <w:lang w:val="fr-FR" w:eastAsia="fr-FR"/>
              </w:rPr>
              <w:drawing>
                <wp:inline distT="0" distB="0" distL="0" distR="0">
                  <wp:extent cx="5172075" cy="7315200"/>
                  <wp:effectExtent l="0" t="0" r="0" b="0"/>
                  <wp:docPr id="100366" name="Image 100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67" name=""/>
                          <pic:cNvPicPr>
                            <a:picLocks noChangeAspect="1"/>
                          </pic:cNvPicPr>
                        </pic:nvPicPr>
                        <pic:blipFill>
                          <a:blip r:embed="rId185"/>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fiche_parcours2</w:t>
            </w:r>
          </w:p>
          <w:p w:rsidR="0035701C" w:rsidRDefault="00FB561B">
            <w:pPr>
              <w:pStyle w:val="Pieddepage"/>
              <w:jc w:val="center"/>
            </w:pPr>
            <w:r>
              <w:rPr>
                <w:noProof/>
                <w:lang w:val="fr-FR" w:eastAsia="fr-FR"/>
              </w:rPr>
              <w:drawing>
                <wp:inline distT="0" distB="0" distL="0" distR="0">
                  <wp:extent cx="5172075" cy="7315200"/>
                  <wp:effectExtent l="0" t="0" r="0" b="0"/>
                  <wp:docPr id="100368" name="Image 100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69" name=""/>
                          <pic:cNvPicPr>
                            <a:picLocks noChangeAspect="1"/>
                          </pic:cNvPicPr>
                        </pic:nvPicPr>
                        <pic:blipFill>
                          <a:blip r:embed="rId186"/>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fiche_parcours3</w:t>
            </w:r>
          </w:p>
          <w:p w:rsidR="0035701C" w:rsidRDefault="00FB561B">
            <w:pPr>
              <w:pStyle w:val="Pieddepage"/>
              <w:jc w:val="center"/>
            </w:pPr>
            <w:r>
              <w:rPr>
                <w:noProof/>
                <w:lang w:val="fr-FR" w:eastAsia="fr-FR"/>
              </w:rPr>
              <w:drawing>
                <wp:inline distT="0" distB="0" distL="0" distR="0">
                  <wp:extent cx="5172075" cy="7315200"/>
                  <wp:effectExtent l="0" t="0" r="0" b="0"/>
                  <wp:docPr id="100370" name="Image 100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1" name=""/>
                          <pic:cNvPicPr>
                            <a:picLocks noChangeAspect="1"/>
                          </pic:cNvPicPr>
                        </pic:nvPicPr>
                        <pic:blipFill>
                          <a:blip r:embed="rId187"/>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fiche_parcours4</w:t>
            </w:r>
          </w:p>
          <w:p w:rsidR="0035701C" w:rsidRDefault="00FB561B">
            <w:pPr>
              <w:pStyle w:val="Pieddepage"/>
              <w:jc w:val="center"/>
            </w:pPr>
            <w:r>
              <w:rPr>
                <w:noProof/>
                <w:lang w:val="fr-FR" w:eastAsia="fr-FR"/>
              </w:rPr>
              <w:drawing>
                <wp:inline distT="0" distB="0" distL="0" distR="0">
                  <wp:extent cx="5172075" cy="7315200"/>
                  <wp:effectExtent l="0" t="0" r="0" b="0"/>
                  <wp:docPr id="100372" name="Image 100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3" name=""/>
                          <pic:cNvPicPr>
                            <a:picLocks noChangeAspect="1"/>
                          </pic:cNvPicPr>
                        </pic:nvPicPr>
                        <pic:blipFill>
                          <a:blip r:embed="rId188"/>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fiche_parcours5</w:t>
            </w:r>
          </w:p>
          <w:p w:rsidR="0035701C" w:rsidRDefault="00FB561B">
            <w:pPr>
              <w:pStyle w:val="Pieddepage"/>
              <w:jc w:val="center"/>
            </w:pPr>
            <w:r>
              <w:rPr>
                <w:noProof/>
                <w:lang w:val="fr-FR" w:eastAsia="fr-FR"/>
              </w:rPr>
              <w:drawing>
                <wp:inline distT="0" distB="0" distL="0" distR="0">
                  <wp:extent cx="5172075" cy="7315200"/>
                  <wp:effectExtent l="0" t="0" r="0" b="0"/>
                  <wp:docPr id="100374" name="Image 100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5" name=""/>
                          <pic:cNvPicPr>
                            <a:picLocks noChangeAspect="1"/>
                          </pic:cNvPicPr>
                        </pic:nvPicPr>
                        <pic:blipFill>
                          <a:blip r:embed="rId189"/>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fiche_parcours6</w:t>
            </w:r>
          </w:p>
          <w:p w:rsidR="0035701C" w:rsidRDefault="00FB561B">
            <w:pPr>
              <w:pStyle w:val="Pieddepage"/>
              <w:jc w:val="center"/>
            </w:pPr>
            <w:r>
              <w:rPr>
                <w:noProof/>
                <w:lang w:val="fr-FR" w:eastAsia="fr-FR"/>
              </w:rPr>
              <w:drawing>
                <wp:inline distT="0" distB="0" distL="0" distR="0">
                  <wp:extent cx="5172075" cy="7315200"/>
                  <wp:effectExtent l="0" t="0" r="0" b="0"/>
                  <wp:docPr id="100376" name="Image 100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7" name=""/>
                          <pic:cNvPicPr>
                            <a:picLocks noChangeAspect="1"/>
                          </pic:cNvPicPr>
                        </pic:nvPicPr>
                        <pic:blipFill>
                          <a:blip r:embed="rId190"/>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fiche_parcours7</w:t>
            </w:r>
          </w:p>
          <w:p w:rsidR="0035701C" w:rsidRDefault="00FB561B">
            <w:pPr>
              <w:pStyle w:val="Pieddepage"/>
              <w:jc w:val="center"/>
            </w:pPr>
            <w:r>
              <w:rPr>
                <w:noProof/>
                <w:lang w:val="fr-FR" w:eastAsia="fr-FR"/>
              </w:rPr>
              <w:drawing>
                <wp:inline distT="0" distB="0" distL="0" distR="0">
                  <wp:extent cx="5172075" cy="7315200"/>
                  <wp:effectExtent l="0" t="0" r="0" b="0"/>
                  <wp:docPr id="100378" name="Image 100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79" name=""/>
                          <pic:cNvPicPr>
                            <a:picLocks noChangeAspect="1"/>
                          </pic:cNvPicPr>
                        </pic:nvPicPr>
                        <pic:blipFill>
                          <a:blip r:embed="rId191"/>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fiche_prairie1</w:t>
            </w:r>
          </w:p>
          <w:p w:rsidR="0035701C" w:rsidRDefault="00FB561B">
            <w:pPr>
              <w:pStyle w:val="Pieddepage"/>
              <w:jc w:val="center"/>
            </w:pPr>
            <w:r>
              <w:rPr>
                <w:noProof/>
                <w:lang w:val="fr-FR" w:eastAsia="fr-FR"/>
              </w:rPr>
              <w:drawing>
                <wp:inline distT="0" distB="0" distL="0" distR="0">
                  <wp:extent cx="5172075" cy="7315200"/>
                  <wp:effectExtent l="0" t="0" r="0" b="0"/>
                  <wp:docPr id="100380" name="Image 100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81" name=""/>
                          <pic:cNvPicPr>
                            <a:picLocks noChangeAspect="1"/>
                          </pic:cNvPicPr>
                        </pic:nvPicPr>
                        <pic:blipFill>
                          <a:blip r:embed="rId192"/>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fiche_prairie2</w:t>
            </w:r>
          </w:p>
          <w:p w:rsidR="0035701C" w:rsidRDefault="00FB561B">
            <w:pPr>
              <w:pStyle w:val="Pieddepage"/>
              <w:jc w:val="center"/>
            </w:pPr>
            <w:r>
              <w:rPr>
                <w:noProof/>
                <w:lang w:val="fr-FR" w:eastAsia="fr-FR"/>
              </w:rPr>
              <w:drawing>
                <wp:inline distT="0" distB="0" distL="0" distR="0">
                  <wp:extent cx="5172075" cy="7315200"/>
                  <wp:effectExtent l="0" t="0" r="0" b="0"/>
                  <wp:docPr id="100382" name="Image 100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83" name=""/>
                          <pic:cNvPicPr>
                            <a:picLocks noChangeAspect="1"/>
                          </pic:cNvPicPr>
                        </pic:nvPicPr>
                        <pic:blipFill>
                          <a:blip r:embed="rId193"/>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fiche_prairie3</w:t>
            </w:r>
          </w:p>
          <w:p w:rsidR="0035701C" w:rsidRDefault="00FB561B">
            <w:pPr>
              <w:pStyle w:val="Pieddepage"/>
              <w:jc w:val="center"/>
            </w:pPr>
            <w:r>
              <w:rPr>
                <w:noProof/>
                <w:lang w:val="fr-FR" w:eastAsia="fr-FR"/>
              </w:rPr>
              <w:drawing>
                <wp:inline distT="0" distB="0" distL="0" distR="0">
                  <wp:extent cx="5172075" cy="7315200"/>
                  <wp:effectExtent l="0" t="0" r="0" b="0"/>
                  <wp:docPr id="100384" name="Image 100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85" name=""/>
                          <pic:cNvPicPr>
                            <a:picLocks noChangeAspect="1"/>
                          </pic:cNvPicPr>
                        </pic:nvPicPr>
                        <pic:blipFill>
                          <a:blip r:embed="rId194"/>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fiche_prairie4</w:t>
            </w:r>
          </w:p>
          <w:p w:rsidR="0035701C" w:rsidRDefault="00FB561B">
            <w:pPr>
              <w:pStyle w:val="Pieddepage"/>
              <w:jc w:val="center"/>
            </w:pPr>
            <w:r>
              <w:rPr>
                <w:noProof/>
                <w:lang w:val="fr-FR" w:eastAsia="fr-FR"/>
              </w:rPr>
              <w:drawing>
                <wp:inline distT="0" distB="0" distL="0" distR="0">
                  <wp:extent cx="5172075" cy="7315200"/>
                  <wp:effectExtent l="0" t="0" r="0" b="0"/>
                  <wp:docPr id="100386" name="Image 100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87" name=""/>
                          <pic:cNvPicPr>
                            <a:picLocks noChangeAspect="1"/>
                          </pic:cNvPicPr>
                        </pic:nvPicPr>
                        <pic:blipFill>
                          <a:blip r:embed="rId195"/>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fiche_prairie5</w:t>
            </w:r>
          </w:p>
          <w:p w:rsidR="0035701C" w:rsidRDefault="00FB561B">
            <w:pPr>
              <w:pStyle w:val="Pieddepage"/>
              <w:jc w:val="center"/>
            </w:pPr>
            <w:r>
              <w:rPr>
                <w:noProof/>
                <w:lang w:val="fr-FR" w:eastAsia="fr-FR"/>
              </w:rPr>
              <w:drawing>
                <wp:inline distT="0" distB="0" distL="0" distR="0">
                  <wp:extent cx="5172075" cy="7315200"/>
                  <wp:effectExtent l="0" t="0" r="0" b="0"/>
                  <wp:docPr id="100388" name="Image 100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89" name=""/>
                          <pic:cNvPicPr>
                            <a:picLocks noChangeAspect="1"/>
                          </pic:cNvPicPr>
                        </pic:nvPicPr>
                        <pic:blipFill>
                          <a:blip r:embed="rId196"/>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fiche_prairie6</w:t>
            </w:r>
          </w:p>
          <w:p w:rsidR="0035701C" w:rsidRDefault="00FB561B">
            <w:pPr>
              <w:pStyle w:val="Pieddepage"/>
              <w:jc w:val="center"/>
            </w:pPr>
            <w:r>
              <w:rPr>
                <w:noProof/>
                <w:lang w:val="fr-FR" w:eastAsia="fr-FR"/>
              </w:rPr>
              <w:drawing>
                <wp:inline distT="0" distB="0" distL="0" distR="0">
                  <wp:extent cx="5172075" cy="7315200"/>
                  <wp:effectExtent l="0" t="0" r="0" b="0"/>
                  <wp:docPr id="100390" name="Image 100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91" name=""/>
                          <pic:cNvPicPr>
                            <a:picLocks noChangeAspect="1"/>
                          </pic:cNvPicPr>
                        </pic:nvPicPr>
                        <pic:blipFill>
                          <a:blip r:embed="rId197"/>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fiche_prairie8</w:t>
            </w:r>
          </w:p>
          <w:p w:rsidR="0035701C" w:rsidRDefault="00FB561B">
            <w:pPr>
              <w:pStyle w:val="Pieddepage"/>
              <w:jc w:val="center"/>
            </w:pPr>
            <w:r>
              <w:rPr>
                <w:noProof/>
                <w:lang w:val="fr-FR" w:eastAsia="fr-FR"/>
              </w:rPr>
              <w:drawing>
                <wp:inline distT="0" distB="0" distL="0" distR="0">
                  <wp:extent cx="5172075" cy="7315200"/>
                  <wp:effectExtent l="0" t="0" r="0" b="0"/>
                  <wp:docPr id="100392" name="Image 100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93" name=""/>
                          <pic:cNvPicPr>
                            <a:picLocks noChangeAspect="1"/>
                          </pic:cNvPicPr>
                        </pic:nvPicPr>
                        <pic:blipFill>
                          <a:blip r:embed="rId198"/>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fiche_prairie9</w:t>
            </w:r>
          </w:p>
          <w:p w:rsidR="0035701C" w:rsidRDefault="00FB561B">
            <w:pPr>
              <w:pStyle w:val="Pieddepage"/>
              <w:jc w:val="center"/>
            </w:pPr>
            <w:r>
              <w:rPr>
                <w:noProof/>
                <w:lang w:val="fr-FR" w:eastAsia="fr-FR"/>
              </w:rPr>
              <w:drawing>
                <wp:inline distT="0" distB="0" distL="0" distR="0">
                  <wp:extent cx="5172075" cy="7315200"/>
                  <wp:effectExtent l="0" t="0" r="0" b="0"/>
                  <wp:docPr id="100394" name="Image 100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95" name=""/>
                          <pic:cNvPicPr>
                            <a:picLocks noChangeAspect="1"/>
                          </pic:cNvPicPr>
                        </pic:nvPicPr>
                        <pic:blipFill>
                          <a:blip r:embed="rId199"/>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fiche_prairie7</w:t>
            </w:r>
          </w:p>
          <w:p w:rsidR="0035701C" w:rsidRDefault="00FB561B">
            <w:pPr>
              <w:pStyle w:val="Pieddepage"/>
              <w:jc w:val="center"/>
            </w:pPr>
            <w:r>
              <w:rPr>
                <w:noProof/>
                <w:lang w:val="fr-FR" w:eastAsia="fr-FR"/>
              </w:rPr>
              <w:drawing>
                <wp:inline distT="0" distB="0" distL="0" distR="0">
                  <wp:extent cx="5172075" cy="7315200"/>
                  <wp:effectExtent l="0" t="0" r="0" b="0"/>
                  <wp:docPr id="100396" name="Image 100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97" name=""/>
                          <pic:cNvPicPr>
                            <a:picLocks noChangeAspect="1"/>
                          </pic:cNvPicPr>
                        </pic:nvPicPr>
                        <pic:blipFill>
                          <a:blip r:embed="rId200"/>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fiche_prébois1</w:t>
            </w:r>
          </w:p>
          <w:p w:rsidR="0035701C" w:rsidRDefault="00FB561B">
            <w:pPr>
              <w:pStyle w:val="Pieddepage"/>
              <w:jc w:val="center"/>
            </w:pPr>
            <w:r>
              <w:rPr>
                <w:noProof/>
                <w:lang w:val="fr-FR" w:eastAsia="fr-FR"/>
              </w:rPr>
              <w:drawing>
                <wp:inline distT="0" distB="0" distL="0" distR="0">
                  <wp:extent cx="5172075" cy="7315200"/>
                  <wp:effectExtent l="0" t="0" r="0" b="0"/>
                  <wp:docPr id="100398" name="Image 100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99" name=""/>
                          <pic:cNvPicPr>
                            <a:picLocks noChangeAspect="1"/>
                          </pic:cNvPicPr>
                        </pic:nvPicPr>
                        <pic:blipFill>
                          <a:blip r:embed="rId201"/>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fiche_prébois2</w:t>
            </w:r>
          </w:p>
          <w:p w:rsidR="0035701C" w:rsidRDefault="00FB561B">
            <w:pPr>
              <w:pStyle w:val="Pieddepage"/>
              <w:jc w:val="center"/>
            </w:pPr>
            <w:r>
              <w:rPr>
                <w:noProof/>
                <w:lang w:val="fr-FR" w:eastAsia="fr-FR"/>
              </w:rPr>
              <w:drawing>
                <wp:inline distT="0" distB="0" distL="0" distR="0">
                  <wp:extent cx="5172075" cy="7315200"/>
                  <wp:effectExtent l="0" t="0" r="0" b="0"/>
                  <wp:docPr id="100400" name="Image 100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01" name=""/>
                          <pic:cNvPicPr>
                            <a:picLocks noChangeAspect="1"/>
                          </pic:cNvPicPr>
                        </pic:nvPicPr>
                        <pic:blipFill>
                          <a:blip r:embed="rId202"/>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fiche_prébois3</w:t>
            </w:r>
          </w:p>
          <w:p w:rsidR="0035701C" w:rsidRDefault="00FB561B">
            <w:pPr>
              <w:pStyle w:val="Pieddepage"/>
              <w:jc w:val="center"/>
            </w:pPr>
            <w:r>
              <w:rPr>
                <w:noProof/>
                <w:lang w:val="fr-FR" w:eastAsia="fr-FR"/>
              </w:rPr>
              <w:drawing>
                <wp:inline distT="0" distB="0" distL="0" distR="0">
                  <wp:extent cx="5172075" cy="7315200"/>
                  <wp:effectExtent l="0" t="0" r="0" b="0"/>
                  <wp:docPr id="100402" name="Image 100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03" name=""/>
                          <pic:cNvPicPr>
                            <a:picLocks noChangeAspect="1"/>
                          </pic:cNvPicPr>
                        </pic:nvPicPr>
                        <pic:blipFill>
                          <a:blip r:embed="rId203"/>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fiche_prébois4</w:t>
            </w:r>
          </w:p>
          <w:p w:rsidR="0035701C" w:rsidRDefault="00FB561B">
            <w:pPr>
              <w:pStyle w:val="Pieddepage"/>
              <w:jc w:val="center"/>
            </w:pPr>
            <w:r>
              <w:rPr>
                <w:noProof/>
                <w:lang w:val="fr-FR" w:eastAsia="fr-FR"/>
              </w:rPr>
              <w:drawing>
                <wp:inline distT="0" distB="0" distL="0" distR="0">
                  <wp:extent cx="5172075" cy="7315200"/>
                  <wp:effectExtent l="0" t="0" r="0" b="0"/>
                  <wp:docPr id="100404" name="Image 100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05" name=""/>
                          <pic:cNvPicPr>
                            <a:picLocks noChangeAspect="1"/>
                          </pic:cNvPicPr>
                        </pic:nvPicPr>
                        <pic:blipFill>
                          <a:blip r:embed="rId204"/>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fiche_prébois5</w:t>
            </w:r>
          </w:p>
          <w:p w:rsidR="0035701C" w:rsidRDefault="00FB561B">
            <w:pPr>
              <w:pStyle w:val="Pieddepage"/>
              <w:jc w:val="center"/>
            </w:pPr>
            <w:r>
              <w:rPr>
                <w:noProof/>
                <w:lang w:val="fr-FR" w:eastAsia="fr-FR"/>
              </w:rPr>
              <w:drawing>
                <wp:inline distT="0" distB="0" distL="0" distR="0">
                  <wp:extent cx="5172075" cy="7315200"/>
                  <wp:effectExtent l="0" t="0" r="0" b="0"/>
                  <wp:docPr id="100406" name="Image 100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07" name=""/>
                          <pic:cNvPicPr>
                            <a:picLocks noChangeAspect="1"/>
                          </pic:cNvPicPr>
                        </pic:nvPicPr>
                        <pic:blipFill>
                          <a:blip r:embed="rId205"/>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fiche_ripisylve</w:t>
            </w:r>
          </w:p>
          <w:p w:rsidR="0035701C" w:rsidRDefault="00FB561B">
            <w:pPr>
              <w:pStyle w:val="Pieddepage"/>
              <w:jc w:val="center"/>
            </w:pPr>
            <w:r>
              <w:rPr>
                <w:noProof/>
                <w:lang w:val="fr-FR" w:eastAsia="fr-FR"/>
              </w:rPr>
              <w:drawing>
                <wp:inline distT="0" distB="0" distL="0" distR="0">
                  <wp:extent cx="5172075" cy="7315200"/>
                  <wp:effectExtent l="0" t="0" r="0" b="0"/>
                  <wp:docPr id="100408" name="Image 100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09" name=""/>
                          <pic:cNvPicPr>
                            <a:picLocks noChangeAspect="1"/>
                          </pic:cNvPicPr>
                        </pic:nvPicPr>
                        <pic:blipFill>
                          <a:blip r:embed="rId206"/>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fiche_pollinisation</w:t>
            </w:r>
          </w:p>
          <w:p w:rsidR="0035701C" w:rsidRDefault="00FB561B">
            <w:pPr>
              <w:pStyle w:val="Pieddepage"/>
              <w:jc w:val="center"/>
            </w:pPr>
            <w:r>
              <w:rPr>
                <w:noProof/>
                <w:lang w:val="fr-FR" w:eastAsia="fr-FR"/>
              </w:rPr>
              <w:drawing>
                <wp:inline distT="0" distB="0" distL="0" distR="0">
                  <wp:extent cx="5172075" cy="7315200"/>
                  <wp:effectExtent l="0" t="0" r="0" b="0"/>
                  <wp:docPr id="100410" name="Image 100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11" name=""/>
                          <pic:cNvPicPr>
                            <a:picLocks noChangeAspect="1"/>
                          </pic:cNvPicPr>
                        </pic:nvPicPr>
                        <pic:blipFill>
                          <a:blip r:embed="rId207"/>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fiche_stage</w:t>
            </w:r>
          </w:p>
          <w:p w:rsidR="0035701C" w:rsidRDefault="00FB561B">
            <w:pPr>
              <w:pStyle w:val="Pieddepage"/>
              <w:jc w:val="center"/>
            </w:pPr>
            <w:r>
              <w:rPr>
                <w:noProof/>
                <w:lang w:val="fr-FR" w:eastAsia="fr-FR"/>
              </w:rPr>
              <w:drawing>
                <wp:inline distT="0" distB="0" distL="0" distR="0">
                  <wp:extent cx="5172075" cy="7315200"/>
                  <wp:effectExtent l="0" t="0" r="0" b="0"/>
                  <wp:docPr id="100412" name="Image 100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13" name=""/>
                          <pic:cNvPicPr>
                            <a:picLocks noChangeAspect="1"/>
                          </pic:cNvPicPr>
                        </pic:nvPicPr>
                        <pic:blipFill>
                          <a:blip r:embed="rId208"/>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fiche_zal</w:t>
            </w:r>
          </w:p>
          <w:p w:rsidR="0035701C" w:rsidRDefault="00FB561B">
            <w:pPr>
              <w:pStyle w:val="Pieddepage"/>
              <w:jc w:val="center"/>
            </w:pPr>
            <w:r>
              <w:rPr>
                <w:noProof/>
                <w:lang w:val="fr-FR" w:eastAsia="fr-FR"/>
              </w:rPr>
              <w:drawing>
                <wp:inline distT="0" distB="0" distL="0" distR="0">
                  <wp:extent cx="5172075" cy="7315200"/>
                  <wp:effectExtent l="0" t="0" r="0" b="0"/>
                  <wp:docPr id="100414" name="Image 100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15" name=""/>
                          <pic:cNvPicPr>
                            <a:picLocks noChangeAspect="1"/>
                          </pic:cNvPicPr>
                        </pic:nvPicPr>
                        <pic:blipFill>
                          <a:blip r:embed="rId209"/>
                          <a:stretch>
                            <a:fillRect/>
                          </a:stretch>
                        </pic:blipFill>
                        <pic:spPr>
                          <a:xfrm>
                            <a:off x="0" y="0"/>
                            <a:ext cx="5172075" cy="7315200"/>
                          </a:xfrm>
                          <a:prstGeom prst="rect">
                            <a:avLst/>
                          </a:prstGeom>
                        </pic:spPr>
                      </pic:pic>
                    </a:graphicData>
                  </a:graphic>
                </wp:inline>
              </w:drawing>
            </w:r>
          </w:p>
          <w:p w:rsidR="0035701C" w:rsidRDefault="00FB561B">
            <w:pPr>
              <w:pStyle w:val="Pieddepage"/>
              <w:jc w:val="center"/>
            </w:pPr>
            <w:r>
              <w:t>fiche_eau1</w:t>
            </w:r>
          </w:p>
          <w:p w:rsidR="0035701C" w:rsidRDefault="00FB561B">
            <w:pPr>
              <w:pStyle w:val="Pieddepage"/>
              <w:jc w:val="center"/>
            </w:pPr>
            <w:r>
              <w:rPr>
                <w:noProof/>
                <w:lang w:val="fr-FR" w:eastAsia="fr-FR"/>
              </w:rPr>
              <w:drawing>
                <wp:inline distT="0" distB="0" distL="0" distR="0">
                  <wp:extent cx="5853875" cy="8280400"/>
                  <wp:effectExtent l="0" t="0" r="0" b="0"/>
                  <wp:docPr id="100416" name="Image 100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17" name=""/>
                          <pic:cNvPicPr>
                            <a:picLocks noChangeAspect="1"/>
                          </pic:cNvPicPr>
                        </pic:nvPicPr>
                        <pic:blipFill>
                          <a:blip r:embed="rId210"/>
                          <a:stretch>
                            <a:fillRect/>
                          </a:stretch>
                        </pic:blipFill>
                        <pic:spPr>
                          <a:xfrm>
                            <a:off x="0" y="0"/>
                            <a:ext cx="5853875" cy="8280400"/>
                          </a:xfrm>
                          <a:prstGeom prst="rect">
                            <a:avLst/>
                          </a:prstGeom>
                        </pic:spPr>
                      </pic:pic>
                    </a:graphicData>
                  </a:graphic>
                </wp:inline>
              </w:drawing>
            </w:r>
          </w:p>
          <w:p w:rsidR="0035701C" w:rsidRDefault="00FB561B">
            <w:pPr>
              <w:pStyle w:val="Pieddepage"/>
              <w:jc w:val="center"/>
            </w:pPr>
            <w:r>
              <w:t>fiche_races menacées</w:t>
            </w:r>
          </w:p>
          <w:p w:rsidR="0035701C" w:rsidRDefault="00FB561B">
            <w:pPr>
              <w:pStyle w:val="Pieddepage"/>
              <w:jc w:val="center"/>
            </w:pPr>
            <w:r>
              <w:rPr>
                <w:noProof/>
                <w:lang w:val="fr-FR" w:eastAsia="fr-FR"/>
              </w:rPr>
              <w:drawing>
                <wp:inline distT="0" distB="0" distL="0" distR="0">
                  <wp:extent cx="5850593" cy="8280400"/>
                  <wp:effectExtent l="0" t="0" r="0" b="0"/>
                  <wp:docPr id="100418" name="Image 100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19" name=""/>
                          <pic:cNvPicPr>
                            <a:picLocks noChangeAspect="1"/>
                          </pic:cNvPicPr>
                        </pic:nvPicPr>
                        <pic:blipFill>
                          <a:blip r:embed="rId211"/>
                          <a:stretch>
                            <a:fillRect/>
                          </a:stretch>
                        </pic:blipFill>
                        <pic:spPr>
                          <a:xfrm>
                            <a:off x="0" y="0"/>
                            <a:ext cx="5850593" cy="8280400"/>
                          </a:xfrm>
                          <a:prstGeom prst="rect">
                            <a:avLst/>
                          </a:prstGeom>
                        </pic:spPr>
                      </pic:pic>
                    </a:graphicData>
                  </a:graphic>
                </wp:inline>
              </w:drawing>
            </w:r>
          </w:p>
          <w:p w:rsidR="0035701C" w:rsidRDefault="00FB561B">
            <w:pPr>
              <w:pStyle w:val="Pieddepage"/>
              <w:jc w:val="center"/>
            </w:pPr>
            <w:r>
              <w:t>TO 4.1.1 (méthode)</w:t>
            </w:r>
          </w:p>
          <w:p w:rsidR="0035701C" w:rsidRDefault="00FB561B">
            <w:pPr>
              <w:pStyle w:val="Pieddepage"/>
              <w:jc w:val="center"/>
            </w:pPr>
            <w:r>
              <w:rPr>
                <w:noProof/>
                <w:lang w:val="fr-FR" w:eastAsia="fr-FR"/>
              </w:rPr>
              <w:drawing>
                <wp:inline distT="0" distB="0" distL="0" distR="0">
                  <wp:extent cx="5850593" cy="8280400"/>
                  <wp:effectExtent l="0" t="0" r="0" b="0"/>
                  <wp:docPr id="100420" name="Image 100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21" name=""/>
                          <pic:cNvPicPr>
                            <a:picLocks noChangeAspect="1"/>
                          </pic:cNvPicPr>
                        </pic:nvPicPr>
                        <pic:blipFill>
                          <a:blip r:embed="rId212"/>
                          <a:stretch>
                            <a:fillRect/>
                          </a:stretch>
                        </pic:blipFill>
                        <pic:spPr>
                          <a:xfrm>
                            <a:off x="0" y="0"/>
                            <a:ext cx="5850593" cy="8280400"/>
                          </a:xfrm>
                          <a:prstGeom prst="rect">
                            <a:avLst/>
                          </a:prstGeom>
                        </pic:spPr>
                      </pic:pic>
                    </a:graphicData>
                  </a:graphic>
                </wp:inline>
              </w:drawing>
            </w:r>
          </w:p>
          <w:p w:rsidR="0035701C" w:rsidRDefault="00FB561B">
            <w:pPr>
              <w:pStyle w:val="Pieddepage"/>
              <w:jc w:val="center"/>
            </w:pPr>
            <w:r>
              <w:t>TO 5.2 (méthode)</w:t>
            </w:r>
          </w:p>
          <w:p w:rsidR="0035701C" w:rsidRDefault="00FB561B">
            <w:pPr>
              <w:pStyle w:val="Pieddepage"/>
              <w:jc w:val="center"/>
            </w:pPr>
            <w:r>
              <w:rPr>
                <w:noProof/>
                <w:lang w:val="fr-FR" w:eastAsia="fr-FR"/>
              </w:rPr>
              <w:drawing>
                <wp:inline distT="0" distB="0" distL="0" distR="0">
                  <wp:extent cx="5854502" cy="8280400"/>
                  <wp:effectExtent l="0" t="0" r="0" b="0"/>
                  <wp:docPr id="100422" name="Image 100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23" name=""/>
                          <pic:cNvPicPr>
                            <a:picLocks noChangeAspect="1"/>
                          </pic:cNvPicPr>
                        </pic:nvPicPr>
                        <pic:blipFill>
                          <a:blip r:embed="rId213"/>
                          <a:stretch>
                            <a:fillRect/>
                          </a:stretch>
                        </pic:blipFill>
                        <pic:spPr>
                          <a:xfrm>
                            <a:off x="0" y="0"/>
                            <a:ext cx="5854502" cy="8280400"/>
                          </a:xfrm>
                          <a:prstGeom prst="rect">
                            <a:avLst/>
                          </a:prstGeom>
                        </pic:spPr>
                      </pic:pic>
                    </a:graphicData>
                  </a:graphic>
                </wp:inline>
              </w:drawing>
            </w:r>
          </w:p>
          <w:p w:rsidR="0035701C" w:rsidRDefault="00FB561B">
            <w:pPr>
              <w:pStyle w:val="Pieddepage"/>
              <w:jc w:val="center"/>
            </w:pPr>
            <w:r>
              <w:t xml:space="preserve">DFCI 1 </w:t>
            </w:r>
          </w:p>
          <w:p w:rsidR="0035701C" w:rsidRDefault="00FB561B">
            <w:pPr>
              <w:pStyle w:val="Pieddepage"/>
              <w:jc w:val="center"/>
            </w:pPr>
            <w:r>
              <w:rPr>
                <w:noProof/>
                <w:lang w:val="fr-FR" w:eastAsia="fr-FR"/>
              </w:rPr>
              <w:drawing>
                <wp:inline distT="0" distB="0" distL="0" distR="0">
                  <wp:extent cx="5854502" cy="8280400"/>
                  <wp:effectExtent l="0" t="0" r="0" b="0"/>
                  <wp:docPr id="100424" name="Image 100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25" name=""/>
                          <pic:cNvPicPr>
                            <a:picLocks noChangeAspect="1"/>
                          </pic:cNvPicPr>
                        </pic:nvPicPr>
                        <pic:blipFill>
                          <a:blip r:embed="rId214"/>
                          <a:stretch>
                            <a:fillRect/>
                          </a:stretch>
                        </pic:blipFill>
                        <pic:spPr>
                          <a:xfrm>
                            <a:off x="0" y="0"/>
                            <a:ext cx="5854502" cy="8280400"/>
                          </a:xfrm>
                          <a:prstGeom prst="rect">
                            <a:avLst/>
                          </a:prstGeom>
                        </pic:spPr>
                      </pic:pic>
                    </a:graphicData>
                  </a:graphic>
                </wp:inline>
              </w:drawing>
            </w:r>
          </w:p>
          <w:p w:rsidR="0035701C" w:rsidRDefault="00FB561B">
            <w:pPr>
              <w:pStyle w:val="Pieddepage"/>
              <w:jc w:val="center"/>
            </w:pPr>
            <w:r>
              <w:t xml:space="preserve">DFCI 2 </w:t>
            </w:r>
          </w:p>
          <w:p w:rsidR="0035701C" w:rsidRDefault="00FB561B">
            <w:pPr>
              <w:pStyle w:val="Pieddepage"/>
              <w:jc w:val="center"/>
            </w:pPr>
            <w:r>
              <w:rPr>
                <w:noProof/>
                <w:lang w:val="fr-FR" w:eastAsia="fr-FR"/>
              </w:rPr>
              <w:drawing>
                <wp:inline distT="0" distB="0" distL="0" distR="0">
                  <wp:extent cx="5854502" cy="8280400"/>
                  <wp:effectExtent l="0" t="0" r="0" b="0"/>
                  <wp:docPr id="100426" name="Image 100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27" name=""/>
                          <pic:cNvPicPr>
                            <a:picLocks noChangeAspect="1"/>
                          </pic:cNvPicPr>
                        </pic:nvPicPr>
                        <pic:blipFill>
                          <a:blip r:embed="rId215"/>
                          <a:stretch>
                            <a:fillRect/>
                          </a:stretch>
                        </pic:blipFill>
                        <pic:spPr>
                          <a:xfrm>
                            <a:off x="0" y="0"/>
                            <a:ext cx="5854502" cy="8280400"/>
                          </a:xfrm>
                          <a:prstGeom prst="rect">
                            <a:avLst/>
                          </a:prstGeom>
                        </pic:spPr>
                      </pic:pic>
                    </a:graphicData>
                  </a:graphic>
                </wp:inline>
              </w:drawing>
            </w:r>
          </w:p>
          <w:p w:rsidR="0035701C" w:rsidRDefault="00FB561B">
            <w:pPr>
              <w:pStyle w:val="Pieddepage"/>
              <w:jc w:val="center"/>
            </w:pPr>
            <w:r>
              <w:t>DFCI 3</w:t>
            </w:r>
          </w:p>
          <w:p w:rsidR="0035701C" w:rsidRDefault="00FB561B">
            <w:pPr>
              <w:pStyle w:val="Pieddepage"/>
              <w:jc w:val="center"/>
            </w:pPr>
            <w:r>
              <w:rPr>
                <w:noProof/>
                <w:lang w:val="fr-FR" w:eastAsia="fr-FR"/>
              </w:rPr>
              <w:drawing>
                <wp:inline distT="0" distB="0" distL="0" distR="0">
                  <wp:extent cx="5854502" cy="8280400"/>
                  <wp:effectExtent l="0" t="0" r="0" b="0"/>
                  <wp:docPr id="100428" name="Image 100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29" name=""/>
                          <pic:cNvPicPr>
                            <a:picLocks noChangeAspect="1"/>
                          </pic:cNvPicPr>
                        </pic:nvPicPr>
                        <pic:blipFill>
                          <a:blip r:embed="rId216"/>
                          <a:stretch>
                            <a:fillRect/>
                          </a:stretch>
                        </pic:blipFill>
                        <pic:spPr>
                          <a:xfrm>
                            <a:off x="0" y="0"/>
                            <a:ext cx="5854502" cy="8280400"/>
                          </a:xfrm>
                          <a:prstGeom prst="rect">
                            <a:avLst/>
                          </a:prstGeom>
                        </pic:spPr>
                      </pic:pic>
                    </a:graphicData>
                  </a:graphic>
                </wp:inline>
              </w:drawing>
            </w:r>
          </w:p>
          <w:p w:rsidR="0035701C" w:rsidRDefault="00FB561B">
            <w:pPr>
              <w:pStyle w:val="Pieddepage"/>
              <w:jc w:val="center"/>
            </w:pPr>
            <w:r>
              <w:t>DFCI 4</w:t>
            </w:r>
          </w:p>
          <w:p w:rsidR="0035701C" w:rsidRDefault="0035701C">
            <w:pPr>
              <w:pStyle w:val="Pieddepage"/>
              <w:jc w:val="center"/>
            </w:pPr>
          </w:p>
        </w:tc>
      </w:tr>
    </w:tbl>
    <w:p w:rsidR="0035701C" w:rsidRDefault="0035701C">
      <w:pPr>
        <w:sectPr w:rsidR="0035701C">
          <w:pgSz w:w="12240" w:h="15840"/>
          <w:pgMar w:top="900" w:right="900" w:bottom="900" w:left="900" w:header="720" w:footer="720" w:gutter="0"/>
          <w:cols w:space="720"/>
        </w:sectPr>
      </w:pPr>
    </w:p>
    <w:p w:rsidR="0035701C" w:rsidRDefault="00FB561B">
      <w:pPr>
        <w:pStyle w:val="Titre1"/>
      </w:pPr>
      <w:bookmarkStart w:id="220" w:name="_Toc256000219"/>
      <w:r>
        <w:t>Dispositions transitoires</w:t>
      </w:r>
      <w:bookmarkEnd w:id="220"/>
    </w:p>
    <w:p w:rsidR="0035701C" w:rsidRDefault="00FB561B">
      <w:pPr>
        <w:pStyle w:val="Titre2"/>
      </w:pPr>
      <w:bookmarkStart w:id="221" w:name="_Toc256000220"/>
      <w:r>
        <w:t>Description des conditions transitoires par mesure</w:t>
      </w:r>
      <w:bookmarkEnd w:id="22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35701C">
        <w:tc>
          <w:tcPr>
            <w:tcW w:w="12000" w:type="dxa"/>
            <w:shd w:val="clear" w:color="auto" w:fill="auto"/>
            <w:tcMar>
              <w:top w:w="60" w:type="dxa"/>
            </w:tcMar>
          </w:tcPr>
          <w:p w:rsidR="0035701C" w:rsidRDefault="00FB561B">
            <w:pPr>
              <w:spacing w:before="0" w:after="240"/>
              <w:jc w:val="left"/>
              <w:rPr>
                <w:szCs w:val="24"/>
              </w:rPr>
            </w:pPr>
            <w:r>
              <w:rPr>
                <w:szCs w:val="24"/>
              </w:rPr>
              <w:t>Le règlement n°1310/2013 du parlement européen et du conseil permet la prolongation du PDRC 2007-2013 pour l’année 2014.</w:t>
            </w:r>
          </w:p>
          <w:p w:rsidR="0035701C" w:rsidRDefault="00FB561B">
            <w:pPr>
              <w:spacing w:before="240" w:after="240"/>
              <w:jc w:val="left"/>
              <w:rPr>
                <w:szCs w:val="24"/>
              </w:rPr>
            </w:pPr>
            <w:r>
              <w:rPr>
                <w:szCs w:val="24"/>
              </w:rPr>
              <w:t xml:space="preserve">En Corse, seule l'ICHN est concernée </w:t>
            </w:r>
            <w:r>
              <w:rPr>
                <w:szCs w:val="24"/>
              </w:rPr>
              <w:t>par la phase de transition.</w:t>
            </w:r>
          </w:p>
          <w:p w:rsidR="0035701C" w:rsidRDefault="00FB561B">
            <w:pPr>
              <w:spacing w:before="240" w:after="240"/>
              <w:jc w:val="left"/>
              <w:rPr>
                <w:szCs w:val="24"/>
              </w:rPr>
            </w:pPr>
            <w:r>
              <w:rPr>
                <w:szCs w:val="24"/>
              </w:rPr>
              <w:t>Les modalités d'instruction ne changent pas par rapport à 2013, la seule différence notable concerne les fonds utilisés pour l’ICHN. En effet, le volet 2 de la transition défini dans le règlement de transition nous permet d’util</w:t>
            </w:r>
            <w:r>
              <w:rPr>
                <w:szCs w:val="24"/>
              </w:rPr>
              <w:t>iser pour cette année de transition les enveloppes FEADER de la programmation 2014 2020.</w:t>
            </w:r>
          </w:p>
          <w:p w:rsidR="0035701C" w:rsidRDefault="0035701C">
            <w:pPr>
              <w:pStyle w:val="Corpsdetexte"/>
            </w:pPr>
          </w:p>
        </w:tc>
      </w:tr>
    </w:tbl>
    <w:p w:rsidR="0035701C" w:rsidRDefault="00FB561B">
      <w:pPr>
        <w:pStyle w:val="Titre2"/>
      </w:pPr>
      <w:bookmarkStart w:id="222" w:name="_Toc256000221"/>
      <w:r>
        <w:t>Tableau indicatif des reports</w:t>
      </w:r>
      <w:bookmarkEnd w:id="2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8"/>
        <w:gridCol w:w="5328"/>
      </w:tblGrid>
      <w:tr w:rsidR="0035701C">
        <w:tc>
          <w:tcPr>
            <w:tcW w:w="4000" w:type="pct"/>
            <w:shd w:val="clear" w:color="auto" w:fill="C0C0C0"/>
            <w:tcMar>
              <w:top w:w="60" w:type="dxa"/>
            </w:tcMar>
          </w:tcPr>
          <w:p w:rsidR="0035701C" w:rsidRDefault="00FB561B">
            <w:pPr>
              <w:jc w:val="center"/>
              <w:rPr>
                <w:b/>
                <w:sz w:val="20"/>
              </w:rPr>
            </w:pPr>
            <w:r>
              <w:rPr>
                <w:b/>
                <w:sz w:val="20"/>
              </w:rPr>
              <w:t>Mesures</w:t>
            </w:r>
          </w:p>
        </w:tc>
        <w:tc>
          <w:tcPr>
            <w:tcW w:w="1000" w:type="pct"/>
            <w:shd w:val="clear" w:color="auto" w:fill="C0C0C0"/>
            <w:tcMar>
              <w:top w:w="60" w:type="dxa"/>
            </w:tcMar>
          </w:tcPr>
          <w:p w:rsidR="0035701C" w:rsidRDefault="00FB561B">
            <w:pPr>
              <w:jc w:val="center"/>
              <w:rPr>
                <w:sz w:val="20"/>
              </w:rPr>
            </w:pPr>
            <w:r>
              <w:rPr>
                <w:b/>
                <w:sz w:val="20"/>
              </w:rPr>
              <w:t>Participation totale prévue de l’Union 2014-2022 (en euros)</w:t>
            </w:r>
          </w:p>
        </w:tc>
      </w:tr>
      <w:tr w:rsidR="0035701C">
        <w:tc>
          <w:tcPr>
            <w:tcW w:w="4000" w:type="pct"/>
            <w:shd w:val="clear" w:color="auto" w:fill="FFFFFF"/>
            <w:tcMar>
              <w:top w:w="60" w:type="dxa"/>
            </w:tcMar>
          </w:tcPr>
          <w:p w:rsidR="0035701C" w:rsidRDefault="00FB561B">
            <w:pPr>
              <w:jc w:val="left"/>
              <w:rPr>
                <w:sz w:val="16"/>
              </w:rPr>
            </w:pPr>
            <w:r>
              <w:rPr>
                <w:sz w:val="16"/>
              </w:rPr>
              <w:t>M01 - Transfert de connaissances et actions d'information (article</w:t>
            </w:r>
            <w:r>
              <w:rPr>
                <w:sz w:val="16"/>
              </w:rPr>
              <w:t xml:space="preserve"> 14)</w:t>
            </w:r>
          </w:p>
        </w:tc>
        <w:tc>
          <w:tcPr>
            <w:tcW w:w="1000" w:type="pct"/>
            <w:shd w:val="clear" w:color="auto" w:fill="FFFFFF"/>
            <w:tcMar>
              <w:top w:w="60" w:type="dxa"/>
            </w:tcMar>
          </w:tcPr>
          <w:p w:rsidR="0035701C" w:rsidRDefault="00FB561B">
            <w:pPr>
              <w:jc w:val="right"/>
              <w:rPr>
                <w:sz w:val="16"/>
              </w:rPr>
            </w:pPr>
            <w:r>
              <w:rPr>
                <w:sz w:val="16"/>
              </w:rPr>
              <w:t>0,00</w:t>
            </w:r>
          </w:p>
        </w:tc>
      </w:tr>
      <w:tr w:rsidR="0035701C">
        <w:tc>
          <w:tcPr>
            <w:tcW w:w="4000" w:type="pct"/>
            <w:shd w:val="clear" w:color="auto" w:fill="FFFFFF"/>
            <w:tcMar>
              <w:top w:w="60" w:type="dxa"/>
            </w:tcMar>
          </w:tcPr>
          <w:p w:rsidR="0035701C" w:rsidRDefault="00FB561B">
            <w:pPr>
              <w:jc w:val="left"/>
              <w:rPr>
                <w:sz w:val="16"/>
              </w:rPr>
            </w:pPr>
            <w:r>
              <w:rPr>
                <w:sz w:val="16"/>
              </w:rPr>
              <w:t>M04 - Investissements physiques (article 17)</w:t>
            </w:r>
          </w:p>
        </w:tc>
        <w:tc>
          <w:tcPr>
            <w:tcW w:w="1000" w:type="pct"/>
            <w:shd w:val="clear" w:color="auto" w:fill="FFFFFF"/>
            <w:tcMar>
              <w:top w:w="60" w:type="dxa"/>
            </w:tcMar>
          </w:tcPr>
          <w:p w:rsidR="0035701C" w:rsidRDefault="00FB561B">
            <w:pPr>
              <w:jc w:val="right"/>
              <w:rPr>
                <w:sz w:val="16"/>
              </w:rPr>
            </w:pPr>
            <w:r>
              <w:rPr>
                <w:sz w:val="16"/>
              </w:rPr>
              <w:t>0,00</w:t>
            </w:r>
          </w:p>
        </w:tc>
      </w:tr>
      <w:tr w:rsidR="0035701C">
        <w:tc>
          <w:tcPr>
            <w:tcW w:w="4000" w:type="pct"/>
            <w:shd w:val="clear" w:color="auto" w:fill="FFFFFF"/>
            <w:tcMar>
              <w:top w:w="60" w:type="dxa"/>
            </w:tcMar>
          </w:tcPr>
          <w:p w:rsidR="0035701C" w:rsidRDefault="00FB561B">
            <w:pPr>
              <w:jc w:val="left"/>
              <w:rPr>
                <w:sz w:val="16"/>
              </w:rPr>
            </w:pPr>
            <w:r>
              <w:rPr>
                <w:sz w:val="16"/>
              </w:rPr>
              <w:t xml:space="preserve">M05 - Reconstitution du potentiel de production agricole endommagé par des catastrophes naturelles et des événements catastrophiques et mise en place de mesures de prévention appropriées </w:t>
            </w:r>
            <w:r>
              <w:rPr>
                <w:sz w:val="16"/>
              </w:rPr>
              <w:t>(article 18)</w:t>
            </w:r>
          </w:p>
        </w:tc>
        <w:tc>
          <w:tcPr>
            <w:tcW w:w="1000" w:type="pct"/>
            <w:shd w:val="clear" w:color="auto" w:fill="FFFFFF"/>
            <w:tcMar>
              <w:top w:w="60" w:type="dxa"/>
            </w:tcMar>
          </w:tcPr>
          <w:p w:rsidR="0035701C" w:rsidRDefault="00FB561B">
            <w:pPr>
              <w:jc w:val="right"/>
              <w:rPr>
                <w:sz w:val="16"/>
              </w:rPr>
            </w:pPr>
            <w:r>
              <w:rPr>
                <w:sz w:val="16"/>
              </w:rPr>
              <w:t>0,00</w:t>
            </w:r>
          </w:p>
        </w:tc>
      </w:tr>
      <w:tr w:rsidR="0035701C">
        <w:tc>
          <w:tcPr>
            <w:tcW w:w="4000" w:type="pct"/>
            <w:shd w:val="clear" w:color="auto" w:fill="FFFFFF"/>
            <w:tcMar>
              <w:top w:w="60" w:type="dxa"/>
            </w:tcMar>
          </w:tcPr>
          <w:p w:rsidR="0035701C" w:rsidRDefault="00FB561B">
            <w:pPr>
              <w:jc w:val="left"/>
              <w:rPr>
                <w:sz w:val="16"/>
              </w:rPr>
            </w:pPr>
            <w:r>
              <w:rPr>
                <w:sz w:val="16"/>
              </w:rPr>
              <w:t>M06 - Développement des exploitations agricoles et des entreprises (article 19)</w:t>
            </w:r>
          </w:p>
        </w:tc>
        <w:tc>
          <w:tcPr>
            <w:tcW w:w="1000" w:type="pct"/>
            <w:shd w:val="clear" w:color="auto" w:fill="FFFFFF"/>
            <w:tcMar>
              <w:top w:w="60" w:type="dxa"/>
            </w:tcMar>
          </w:tcPr>
          <w:p w:rsidR="0035701C" w:rsidRDefault="00FB561B">
            <w:pPr>
              <w:jc w:val="right"/>
              <w:rPr>
                <w:sz w:val="16"/>
              </w:rPr>
            </w:pPr>
            <w:r>
              <w:rPr>
                <w:sz w:val="16"/>
              </w:rPr>
              <w:t>0,00</w:t>
            </w:r>
          </w:p>
        </w:tc>
      </w:tr>
      <w:tr w:rsidR="0035701C">
        <w:tc>
          <w:tcPr>
            <w:tcW w:w="4000" w:type="pct"/>
            <w:shd w:val="clear" w:color="auto" w:fill="FFFFFF"/>
            <w:tcMar>
              <w:top w:w="60" w:type="dxa"/>
            </w:tcMar>
          </w:tcPr>
          <w:p w:rsidR="0035701C" w:rsidRDefault="00FB561B">
            <w:pPr>
              <w:jc w:val="left"/>
              <w:rPr>
                <w:sz w:val="16"/>
              </w:rPr>
            </w:pPr>
            <w:r>
              <w:rPr>
                <w:sz w:val="16"/>
              </w:rPr>
              <w:t>M07 - Services de base et rénovation des villages dans les zones rurales (article 20)</w:t>
            </w:r>
          </w:p>
        </w:tc>
        <w:tc>
          <w:tcPr>
            <w:tcW w:w="1000" w:type="pct"/>
            <w:shd w:val="clear" w:color="auto" w:fill="FFFFFF"/>
            <w:tcMar>
              <w:top w:w="60" w:type="dxa"/>
            </w:tcMar>
          </w:tcPr>
          <w:p w:rsidR="0035701C" w:rsidRDefault="00FB561B">
            <w:pPr>
              <w:jc w:val="right"/>
              <w:rPr>
                <w:sz w:val="16"/>
              </w:rPr>
            </w:pPr>
            <w:r>
              <w:rPr>
                <w:sz w:val="16"/>
              </w:rPr>
              <w:t>0,00</w:t>
            </w:r>
          </w:p>
        </w:tc>
      </w:tr>
      <w:tr w:rsidR="0035701C">
        <w:tc>
          <w:tcPr>
            <w:tcW w:w="4000" w:type="pct"/>
            <w:shd w:val="clear" w:color="auto" w:fill="FFFFFF"/>
            <w:tcMar>
              <w:top w:w="60" w:type="dxa"/>
            </w:tcMar>
          </w:tcPr>
          <w:p w:rsidR="0035701C" w:rsidRDefault="00FB561B">
            <w:pPr>
              <w:jc w:val="left"/>
              <w:rPr>
                <w:sz w:val="16"/>
              </w:rPr>
            </w:pPr>
            <w:r>
              <w:rPr>
                <w:sz w:val="16"/>
              </w:rPr>
              <w:t xml:space="preserve">M08 - Investissements dans le développement des zones </w:t>
            </w:r>
            <w:r>
              <w:rPr>
                <w:sz w:val="16"/>
              </w:rPr>
              <w:t>forestières et amélioration de la viabilité des forêts (articles 21 à 26)</w:t>
            </w:r>
          </w:p>
        </w:tc>
        <w:tc>
          <w:tcPr>
            <w:tcW w:w="1000" w:type="pct"/>
            <w:shd w:val="clear" w:color="auto" w:fill="FFFFFF"/>
            <w:tcMar>
              <w:top w:w="60" w:type="dxa"/>
            </w:tcMar>
          </w:tcPr>
          <w:p w:rsidR="0035701C" w:rsidRDefault="00FB561B">
            <w:pPr>
              <w:jc w:val="right"/>
              <w:rPr>
                <w:sz w:val="16"/>
              </w:rPr>
            </w:pPr>
            <w:r>
              <w:rPr>
                <w:sz w:val="16"/>
              </w:rPr>
              <w:t>0,00</w:t>
            </w:r>
          </w:p>
        </w:tc>
      </w:tr>
      <w:tr w:rsidR="0035701C">
        <w:tc>
          <w:tcPr>
            <w:tcW w:w="4000" w:type="pct"/>
            <w:shd w:val="clear" w:color="auto" w:fill="FFFFFF"/>
            <w:tcMar>
              <w:top w:w="60" w:type="dxa"/>
            </w:tcMar>
          </w:tcPr>
          <w:p w:rsidR="0035701C" w:rsidRDefault="00FB561B">
            <w:pPr>
              <w:jc w:val="left"/>
              <w:rPr>
                <w:sz w:val="16"/>
              </w:rPr>
            </w:pPr>
            <w:r>
              <w:rPr>
                <w:sz w:val="16"/>
              </w:rPr>
              <w:t>M10 - Agroenvironnement - climat (article 28)</w:t>
            </w:r>
          </w:p>
        </w:tc>
        <w:tc>
          <w:tcPr>
            <w:tcW w:w="1000" w:type="pct"/>
            <w:shd w:val="clear" w:color="auto" w:fill="FFFFFF"/>
            <w:tcMar>
              <w:top w:w="60" w:type="dxa"/>
            </w:tcMar>
          </w:tcPr>
          <w:p w:rsidR="0035701C" w:rsidRDefault="00FB561B">
            <w:pPr>
              <w:jc w:val="right"/>
              <w:rPr>
                <w:sz w:val="16"/>
              </w:rPr>
            </w:pPr>
            <w:r>
              <w:rPr>
                <w:sz w:val="16"/>
              </w:rPr>
              <w:t>0,00</w:t>
            </w:r>
          </w:p>
        </w:tc>
      </w:tr>
      <w:tr w:rsidR="0035701C">
        <w:tc>
          <w:tcPr>
            <w:tcW w:w="4000" w:type="pct"/>
            <w:shd w:val="clear" w:color="auto" w:fill="FFFFFF"/>
            <w:tcMar>
              <w:top w:w="60" w:type="dxa"/>
            </w:tcMar>
          </w:tcPr>
          <w:p w:rsidR="0035701C" w:rsidRDefault="00FB561B">
            <w:pPr>
              <w:jc w:val="left"/>
              <w:rPr>
                <w:sz w:val="16"/>
              </w:rPr>
            </w:pPr>
            <w:r>
              <w:rPr>
                <w:sz w:val="16"/>
              </w:rPr>
              <w:t>M11 - Agriculture biologique (article 29)</w:t>
            </w:r>
          </w:p>
        </w:tc>
        <w:tc>
          <w:tcPr>
            <w:tcW w:w="1000" w:type="pct"/>
            <w:shd w:val="clear" w:color="auto" w:fill="FFFFFF"/>
            <w:tcMar>
              <w:top w:w="60" w:type="dxa"/>
            </w:tcMar>
          </w:tcPr>
          <w:p w:rsidR="0035701C" w:rsidRDefault="00FB561B">
            <w:pPr>
              <w:jc w:val="right"/>
              <w:rPr>
                <w:sz w:val="16"/>
              </w:rPr>
            </w:pPr>
            <w:r>
              <w:rPr>
                <w:sz w:val="16"/>
              </w:rPr>
              <w:t>0,00</w:t>
            </w:r>
          </w:p>
        </w:tc>
      </w:tr>
      <w:tr w:rsidR="0035701C">
        <w:tc>
          <w:tcPr>
            <w:tcW w:w="4000" w:type="pct"/>
            <w:shd w:val="clear" w:color="auto" w:fill="FFFFFF"/>
            <w:tcMar>
              <w:top w:w="60" w:type="dxa"/>
            </w:tcMar>
          </w:tcPr>
          <w:p w:rsidR="0035701C" w:rsidRDefault="00FB561B">
            <w:pPr>
              <w:jc w:val="left"/>
              <w:rPr>
                <w:sz w:val="16"/>
              </w:rPr>
            </w:pPr>
            <w:r>
              <w:rPr>
                <w:sz w:val="16"/>
              </w:rPr>
              <w:t>M13 - Paiements en faveur des zones soumises à des contraintes naturelles ou</w:t>
            </w:r>
            <w:r>
              <w:rPr>
                <w:sz w:val="16"/>
              </w:rPr>
              <w:t xml:space="preserve"> à d'autres contraintes spécifiques (article 31)</w:t>
            </w:r>
          </w:p>
        </w:tc>
        <w:tc>
          <w:tcPr>
            <w:tcW w:w="1000" w:type="pct"/>
            <w:shd w:val="clear" w:color="auto" w:fill="FFFFFF"/>
            <w:tcMar>
              <w:top w:w="60" w:type="dxa"/>
            </w:tcMar>
          </w:tcPr>
          <w:p w:rsidR="0035701C" w:rsidRDefault="00FB561B">
            <w:pPr>
              <w:jc w:val="right"/>
              <w:rPr>
                <w:sz w:val="16"/>
              </w:rPr>
            </w:pPr>
            <w:r>
              <w:rPr>
                <w:sz w:val="16"/>
              </w:rPr>
              <w:t>10 677 606,00</w:t>
            </w:r>
          </w:p>
        </w:tc>
      </w:tr>
      <w:tr w:rsidR="0035701C">
        <w:tc>
          <w:tcPr>
            <w:tcW w:w="4000" w:type="pct"/>
            <w:shd w:val="clear" w:color="auto" w:fill="FFFFFF"/>
            <w:tcMar>
              <w:top w:w="60" w:type="dxa"/>
            </w:tcMar>
          </w:tcPr>
          <w:p w:rsidR="0035701C" w:rsidRDefault="00FB561B">
            <w:pPr>
              <w:jc w:val="left"/>
              <w:rPr>
                <w:sz w:val="16"/>
              </w:rPr>
            </w:pPr>
            <w:r>
              <w:rPr>
                <w:sz w:val="16"/>
              </w:rPr>
              <w:t>M19 - Soutien au développement local Leader (CLLD - développement local mené par les acteurs locaux) (article 35 du règlement (UE) n° 1303/2013)</w:t>
            </w:r>
          </w:p>
        </w:tc>
        <w:tc>
          <w:tcPr>
            <w:tcW w:w="1000" w:type="pct"/>
            <w:shd w:val="clear" w:color="auto" w:fill="FFFFFF"/>
            <w:tcMar>
              <w:top w:w="60" w:type="dxa"/>
            </w:tcMar>
          </w:tcPr>
          <w:p w:rsidR="0035701C" w:rsidRDefault="00FB561B">
            <w:pPr>
              <w:jc w:val="right"/>
              <w:rPr>
                <w:sz w:val="16"/>
              </w:rPr>
            </w:pPr>
            <w:r>
              <w:rPr>
                <w:sz w:val="16"/>
              </w:rPr>
              <w:t>0,00</w:t>
            </w:r>
          </w:p>
        </w:tc>
      </w:tr>
      <w:tr w:rsidR="0035701C">
        <w:tc>
          <w:tcPr>
            <w:tcW w:w="4000" w:type="pct"/>
            <w:shd w:val="clear" w:color="auto" w:fill="FFFFFF"/>
            <w:tcMar>
              <w:top w:w="60" w:type="dxa"/>
            </w:tcMar>
          </w:tcPr>
          <w:p w:rsidR="0035701C" w:rsidRDefault="00FB561B">
            <w:pPr>
              <w:jc w:val="left"/>
              <w:rPr>
                <w:sz w:val="16"/>
              </w:rPr>
            </w:pPr>
            <w:r>
              <w:rPr>
                <w:sz w:val="16"/>
              </w:rPr>
              <w:t>M20 - Assistance technique demandée par l</w:t>
            </w:r>
            <w:r>
              <w:rPr>
                <w:sz w:val="16"/>
              </w:rPr>
              <w:t>es États membres (articles 51 à 54)</w:t>
            </w:r>
          </w:p>
        </w:tc>
        <w:tc>
          <w:tcPr>
            <w:tcW w:w="1000" w:type="pct"/>
            <w:shd w:val="clear" w:color="auto" w:fill="FFFFFF"/>
            <w:tcMar>
              <w:top w:w="60" w:type="dxa"/>
            </w:tcMar>
          </w:tcPr>
          <w:p w:rsidR="0035701C" w:rsidRDefault="00FB561B">
            <w:pPr>
              <w:jc w:val="right"/>
              <w:rPr>
                <w:sz w:val="16"/>
              </w:rPr>
            </w:pPr>
            <w:r>
              <w:rPr>
                <w:sz w:val="16"/>
              </w:rPr>
              <w:t>0,00</w:t>
            </w:r>
          </w:p>
        </w:tc>
      </w:tr>
      <w:tr w:rsidR="0035701C">
        <w:tc>
          <w:tcPr>
            <w:tcW w:w="4000" w:type="pct"/>
            <w:shd w:val="clear" w:color="auto" w:fill="C0C0C0"/>
            <w:tcMar>
              <w:top w:w="60" w:type="dxa"/>
            </w:tcMar>
          </w:tcPr>
          <w:p w:rsidR="0035701C" w:rsidRDefault="00FB561B">
            <w:pPr>
              <w:jc w:val="center"/>
              <w:rPr>
                <w:sz w:val="16"/>
              </w:rPr>
            </w:pPr>
            <w:r>
              <w:rPr>
                <w:sz w:val="16"/>
              </w:rPr>
              <w:t>Total</w:t>
            </w:r>
          </w:p>
        </w:tc>
        <w:tc>
          <w:tcPr>
            <w:tcW w:w="1000" w:type="pct"/>
            <w:shd w:val="clear" w:color="auto" w:fill="C0C0C0"/>
            <w:tcMar>
              <w:top w:w="60" w:type="dxa"/>
            </w:tcMar>
          </w:tcPr>
          <w:p w:rsidR="0035701C" w:rsidRDefault="00FB561B">
            <w:pPr>
              <w:jc w:val="right"/>
              <w:rPr>
                <w:sz w:val="16"/>
              </w:rPr>
            </w:pPr>
            <w:r>
              <w:rPr>
                <w:sz w:val="16"/>
              </w:rPr>
              <w:t>10 677 606,00</w:t>
            </w:r>
          </w:p>
        </w:tc>
      </w:tr>
    </w:tbl>
    <w:p w:rsidR="0035701C" w:rsidRDefault="0035701C">
      <w:pPr>
        <w:rPr>
          <w:b/>
        </w:rPr>
        <w:sectPr w:rsidR="0035701C">
          <w:pgSz w:w="12240" w:h="15840"/>
          <w:pgMar w:top="900" w:right="900" w:bottom="900" w:left="900" w:header="720" w:footer="720" w:gutter="0"/>
          <w:cols w:space="720"/>
        </w:sectPr>
      </w:pPr>
    </w:p>
    <w:p w:rsidR="0035701C" w:rsidRDefault="00FB561B">
      <w:pPr>
        <w:pStyle w:val="Titre1"/>
      </w:pPr>
      <w:bookmarkStart w:id="223" w:name="_Toc256000222"/>
      <w:r>
        <w:t>Sous-programmes thématiques</w:t>
      </w:r>
      <w:bookmarkEnd w:id="22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00"/>
      </w:tblGrid>
      <w:tr w:rsidR="0035701C">
        <w:trPr>
          <w:trHeight w:val="184"/>
        </w:trPr>
        <w:tc>
          <w:tcPr>
            <w:tcW w:w="1000" w:type="pct"/>
            <w:shd w:val="clear" w:color="auto" w:fill="C0C0C0"/>
            <w:tcMar>
              <w:top w:w="60" w:type="dxa"/>
            </w:tcMar>
          </w:tcPr>
          <w:p w:rsidR="0035701C" w:rsidRDefault="00FB561B">
            <w:pPr>
              <w:jc w:val="center"/>
              <w:rPr>
                <w:sz w:val="16"/>
              </w:rPr>
            </w:pPr>
            <w:r>
              <w:rPr>
                <w:sz w:val="20"/>
              </w:rPr>
              <w:t>Nom du sous-programme thématique</w:t>
            </w:r>
          </w:p>
        </w:tc>
      </w:tr>
    </w:tbl>
    <w:p w:rsidR="0035701C" w:rsidRDefault="0035701C">
      <w:pPr>
        <w:sectPr w:rsidR="0035701C">
          <w:pgSz w:w="15840" w:h="12240" w:orient="landscape"/>
          <w:pgMar w:top="900" w:right="900" w:bottom="900" w:left="900" w:header="720" w:footer="720" w:gutter="0"/>
          <w:cols w:space="720"/>
        </w:sectPr>
      </w:pPr>
    </w:p>
    <w:p w:rsidR="0035701C" w:rsidRDefault="00FB561B">
      <w:pPr>
        <w:pStyle w:val="Sous-titre"/>
      </w:pPr>
      <w:bookmarkStart w:id="224" w:name="_Toc256000223"/>
      <w:r>
        <w:t>Documents</w:t>
      </w:r>
      <w:bookmarkEnd w:id="2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4"/>
        <w:gridCol w:w="1584"/>
        <w:gridCol w:w="1584"/>
        <w:gridCol w:w="1584"/>
        <w:gridCol w:w="1584"/>
        <w:gridCol w:w="1584"/>
        <w:gridCol w:w="1584"/>
        <w:gridCol w:w="1584"/>
        <w:gridCol w:w="1584"/>
      </w:tblGrid>
      <w:tr w:rsidR="0035701C">
        <w:tc>
          <w:tcPr>
            <w:tcW w:w="1000" w:type="pct"/>
            <w:shd w:val="clear" w:color="auto" w:fill="C0C0C0"/>
            <w:tcMar>
              <w:top w:w="60" w:type="dxa"/>
            </w:tcMar>
          </w:tcPr>
          <w:p w:rsidR="0035701C" w:rsidRDefault="00FB561B">
            <w:pPr>
              <w:jc w:val="center"/>
              <w:rPr>
                <w:b/>
                <w:sz w:val="20"/>
              </w:rPr>
            </w:pPr>
            <w:r>
              <w:rPr>
                <w:b/>
                <w:sz w:val="20"/>
              </w:rPr>
              <w:t>Intitulé du document</w:t>
            </w:r>
          </w:p>
        </w:tc>
        <w:tc>
          <w:tcPr>
            <w:tcW w:w="1000" w:type="pct"/>
            <w:shd w:val="clear" w:color="auto" w:fill="C0C0C0"/>
            <w:tcMar>
              <w:top w:w="60" w:type="dxa"/>
            </w:tcMar>
          </w:tcPr>
          <w:p w:rsidR="0035701C" w:rsidRDefault="00FB561B">
            <w:pPr>
              <w:jc w:val="center"/>
              <w:rPr>
                <w:b/>
                <w:sz w:val="20"/>
              </w:rPr>
            </w:pPr>
            <w:r>
              <w:rPr>
                <w:b/>
                <w:sz w:val="20"/>
              </w:rPr>
              <w:t>Type de document</w:t>
            </w:r>
          </w:p>
        </w:tc>
        <w:tc>
          <w:tcPr>
            <w:tcW w:w="1000" w:type="pct"/>
            <w:shd w:val="clear" w:color="auto" w:fill="C0C0C0"/>
            <w:tcMar>
              <w:top w:w="60" w:type="dxa"/>
            </w:tcMar>
          </w:tcPr>
          <w:p w:rsidR="0035701C" w:rsidRDefault="00FB561B">
            <w:pPr>
              <w:jc w:val="center"/>
              <w:rPr>
                <w:b/>
                <w:sz w:val="20"/>
              </w:rPr>
            </w:pPr>
            <w:r>
              <w:rPr>
                <w:b/>
                <w:sz w:val="20"/>
              </w:rPr>
              <w:t>Date du document</w:t>
            </w:r>
          </w:p>
        </w:tc>
        <w:tc>
          <w:tcPr>
            <w:tcW w:w="1000" w:type="pct"/>
            <w:shd w:val="clear" w:color="auto" w:fill="C0C0C0"/>
            <w:tcMar>
              <w:top w:w="60" w:type="dxa"/>
            </w:tcMar>
          </w:tcPr>
          <w:p w:rsidR="0035701C" w:rsidRDefault="00FB561B">
            <w:pPr>
              <w:jc w:val="center"/>
              <w:rPr>
                <w:b/>
                <w:sz w:val="20"/>
              </w:rPr>
            </w:pPr>
            <w:r>
              <w:rPr>
                <w:b/>
                <w:sz w:val="20"/>
              </w:rPr>
              <w:t>Référence locale</w:t>
            </w:r>
          </w:p>
        </w:tc>
        <w:tc>
          <w:tcPr>
            <w:tcW w:w="1000" w:type="pct"/>
            <w:shd w:val="clear" w:color="auto" w:fill="C0C0C0"/>
            <w:tcMar>
              <w:top w:w="60" w:type="dxa"/>
            </w:tcMar>
          </w:tcPr>
          <w:p w:rsidR="0035701C" w:rsidRDefault="00FB561B">
            <w:pPr>
              <w:jc w:val="center"/>
              <w:rPr>
                <w:b/>
                <w:sz w:val="20"/>
              </w:rPr>
            </w:pPr>
            <w:r>
              <w:rPr>
                <w:b/>
                <w:sz w:val="20"/>
              </w:rPr>
              <w:t xml:space="preserve">Référence de la </w:t>
            </w:r>
            <w:r>
              <w:rPr>
                <w:b/>
                <w:sz w:val="20"/>
              </w:rPr>
              <w:t>Commission</w:t>
            </w:r>
          </w:p>
        </w:tc>
        <w:tc>
          <w:tcPr>
            <w:tcW w:w="1000" w:type="pct"/>
            <w:shd w:val="clear" w:color="auto" w:fill="C0C0C0"/>
            <w:tcMar>
              <w:top w:w="60" w:type="dxa"/>
            </w:tcMar>
          </w:tcPr>
          <w:p w:rsidR="0035701C" w:rsidRDefault="00FB561B">
            <w:pPr>
              <w:jc w:val="center"/>
              <w:rPr>
                <w:b/>
                <w:sz w:val="20"/>
              </w:rPr>
            </w:pPr>
            <w:r>
              <w:rPr>
                <w:b/>
                <w:sz w:val="20"/>
              </w:rPr>
              <w:t>Total de contrôle</w:t>
            </w:r>
          </w:p>
        </w:tc>
        <w:tc>
          <w:tcPr>
            <w:tcW w:w="1000" w:type="pct"/>
            <w:shd w:val="clear" w:color="auto" w:fill="C0C0C0"/>
            <w:tcMar>
              <w:top w:w="60" w:type="dxa"/>
            </w:tcMar>
          </w:tcPr>
          <w:p w:rsidR="0035701C" w:rsidRDefault="00FB561B">
            <w:pPr>
              <w:jc w:val="center"/>
              <w:rPr>
                <w:b/>
                <w:sz w:val="20"/>
              </w:rPr>
            </w:pPr>
            <w:r>
              <w:rPr>
                <w:b/>
                <w:sz w:val="20"/>
              </w:rPr>
              <w:t>Fichiers</w:t>
            </w:r>
          </w:p>
        </w:tc>
        <w:tc>
          <w:tcPr>
            <w:tcW w:w="1000" w:type="pct"/>
            <w:shd w:val="clear" w:color="auto" w:fill="C0C0C0"/>
            <w:tcMar>
              <w:top w:w="60" w:type="dxa"/>
            </w:tcMar>
          </w:tcPr>
          <w:p w:rsidR="0035701C" w:rsidRDefault="00FB561B">
            <w:pPr>
              <w:jc w:val="center"/>
              <w:rPr>
                <w:b/>
                <w:sz w:val="20"/>
              </w:rPr>
            </w:pPr>
            <w:r>
              <w:rPr>
                <w:b/>
                <w:sz w:val="20"/>
              </w:rPr>
              <w:t>Date d'envoi</w:t>
            </w:r>
          </w:p>
        </w:tc>
        <w:tc>
          <w:tcPr>
            <w:tcW w:w="1000" w:type="pct"/>
            <w:shd w:val="clear" w:color="auto" w:fill="C0C0C0"/>
            <w:tcMar>
              <w:top w:w="60" w:type="dxa"/>
            </w:tcMar>
          </w:tcPr>
          <w:p w:rsidR="0035701C" w:rsidRDefault="00FB561B">
            <w:pPr>
              <w:jc w:val="center"/>
              <w:rPr>
                <w:sz w:val="20"/>
              </w:rPr>
            </w:pPr>
            <w:r>
              <w:rPr>
                <w:b/>
                <w:sz w:val="20"/>
              </w:rPr>
              <w:t>Envoyé par</w:t>
            </w:r>
          </w:p>
        </w:tc>
      </w:tr>
      <w:tr w:rsidR="0035701C">
        <w:tc>
          <w:tcPr>
            <w:tcW w:w="1000" w:type="pct"/>
            <w:shd w:val="clear" w:color="auto" w:fill="FFFFFF"/>
            <w:tcMar>
              <w:top w:w="60" w:type="dxa"/>
            </w:tcMar>
          </w:tcPr>
          <w:p w:rsidR="0035701C" w:rsidRDefault="00FB561B">
            <w:pPr>
              <w:jc w:val="left"/>
              <w:rPr>
                <w:sz w:val="16"/>
              </w:rPr>
            </w:pPr>
            <w:r>
              <w:rPr>
                <w:sz w:val="16"/>
              </w:rPr>
              <w:t>ICHN - extrait zonage Cadre National relatif à la délimitation ZSCN et ZSCS en Corse</w:t>
            </w:r>
          </w:p>
        </w:tc>
        <w:tc>
          <w:tcPr>
            <w:tcW w:w="1000" w:type="pct"/>
            <w:shd w:val="clear" w:color="auto" w:fill="FFFFFF"/>
            <w:tcMar>
              <w:top w:w="60" w:type="dxa"/>
            </w:tcMar>
          </w:tcPr>
          <w:p w:rsidR="0035701C" w:rsidRDefault="00FB561B">
            <w:pPr>
              <w:jc w:val="left"/>
              <w:rPr>
                <w:sz w:val="16"/>
              </w:rPr>
            </w:pPr>
            <w:r>
              <w:rPr>
                <w:sz w:val="16"/>
              </w:rPr>
              <w:t xml:space="preserve">8.2 M13 - Paiements en faveur des zones soumises à des contraintes naturelles ou à d'autres contraintes </w:t>
            </w:r>
            <w:r>
              <w:rPr>
                <w:sz w:val="16"/>
              </w:rPr>
              <w:t>spécifiques (article 31) - annexe</w:t>
            </w:r>
          </w:p>
        </w:tc>
        <w:tc>
          <w:tcPr>
            <w:tcW w:w="1000" w:type="pct"/>
            <w:shd w:val="clear" w:color="auto" w:fill="FFFFFF"/>
            <w:tcMar>
              <w:top w:w="60" w:type="dxa"/>
            </w:tcMar>
          </w:tcPr>
          <w:p w:rsidR="0035701C" w:rsidRDefault="00FB561B">
            <w:pPr>
              <w:jc w:val="left"/>
              <w:rPr>
                <w:sz w:val="16"/>
              </w:rPr>
            </w:pPr>
            <w:r>
              <w:rPr>
                <w:sz w:val="16"/>
              </w:rPr>
              <w:t>07-03-2019</w:t>
            </w:r>
          </w:p>
        </w:tc>
        <w:tc>
          <w:tcPr>
            <w:tcW w:w="1000" w:type="pct"/>
            <w:shd w:val="clear" w:color="auto" w:fill="FFFFFF"/>
            <w:tcMar>
              <w:top w:w="60" w:type="dxa"/>
            </w:tcMar>
          </w:tcPr>
          <w:p w:rsidR="0035701C" w:rsidRDefault="0035701C">
            <w:pPr>
              <w:jc w:val="left"/>
              <w:rPr>
                <w:sz w:val="16"/>
              </w:rPr>
            </w:pPr>
          </w:p>
        </w:tc>
        <w:tc>
          <w:tcPr>
            <w:tcW w:w="1000" w:type="pct"/>
            <w:shd w:val="clear" w:color="auto" w:fill="FFFFFF"/>
            <w:tcMar>
              <w:top w:w="60" w:type="dxa"/>
            </w:tcMar>
          </w:tcPr>
          <w:p w:rsidR="0035701C" w:rsidRDefault="00FB561B">
            <w:pPr>
              <w:jc w:val="left"/>
              <w:rPr>
                <w:sz w:val="16"/>
              </w:rPr>
            </w:pPr>
            <w:r>
              <w:rPr>
                <w:sz w:val="16"/>
              </w:rPr>
              <w:t>Ares(2022)2135427</w:t>
            </w:r>
          </w:p>
        </w:tc>
        <w:tc>
          <w:tcPr>
            <w:tcW w:w="1000" w:type="pct"/>
            <w:shd w:val="clear" w:color="auto" w:fill="FFFFFF"/>
            <w:tcMar>
              <w:top w:w="60" w:type="dxa"/>
            </w:tcMar>
          </w:tcPr>
          <w:p w:rsidR="0035701C" w:rsidRDefault="00FB561B">
            <w:pPr>
              <w:jc w:val="left"/>
              <w:rPr>
                <w:sz w:val="16"/>
              </w:rPr>
            </w:pPr>
            <w:r>
              <w:rPr>
                <w:sz w:val="16"/>
              </w:rPr>
              <w:t>744585505</w:t>
            </w:r>
          </w:p>
        </w:tc>
        <w:tc>
          <w:tcPr>
            <w:tcW w:w="1000" w:type="pct"/>
            <w:shd w:val="clear" w:color="auto" w:fill="FFFFFF"/>
            <w:tcMar>
              <w:top w:w="60" w:type="dxa"/>
            </w:tcMar>
          </w:tcPr>
          <w:p w:rsidR="0035701C" w:rsidRDefault="00FB561B">
            <w:pPr>
              <w:jc w:val="left"/>
              <w:rPr>
                <w:sz w:val="16"/>
              </w:rPr>
            </w:pPr>
            <w:r>
              <w:rPr>
                <w:sz w:val="16"/>
              </w:rPr>
              <w:t>ICHN - extrait zonage Cadre National relatif à la délimitation ZSCN et ZSCS en Corse</w:t>
            </w:r>
          </w:p>
        </w:tc>
        <w:tc>
          <w:tcPr>
            <w:tcW w:w="1000" w:type="pct"/>
            <w:shd w:val="clear" w:color="auto" w:fill="FFFFFF"/>
            <w:tcMar>
              <w:top w:w="60" w:type="dxa"/>
            </w:tcMar>
          </w:tcPr>
          <w:p w:rsidR="0035701C" w:rsidRDefault="00FB561B">
            <w:pPr>
              <w:jc w:val="left"/>
              <w:rPr>
                <w:sz w:val="16"/>
              </w:rPr>
            </w:pPr>
            <w:r>
              <w:rPr>
                <w:sz w:val="16"/>
              </w:rPr>
              <w:t>23-03-2022</w:t>
            </w:r>
          </w:p>
        </w:tc>
        <w:tc>
          <w:tcPr>
            <w:tcW w:w="1000" w:type="pct"/>
            <w:shd w:val="clear" w:color="auto" w:fill="FFFFFF"/>
            <w:tcMar>
              <w:top w:w="60" w:type="dxa"/>
            </w:tcMar>
          </w:tcPr>
          <w:p w:rsidR="0035701C" w:rsidRDefault="00FB561B">
            <w:pPr>
              <w:jc w:val="left"/>
              <w:rPr>
                <w:sz w:val="16"/>
              </w:rPr>
            </w:pPr>
            <w:r>
              <w:rPr>
                <w:sz w:val="16"/>
              </w:rPr>
              <w:t>n006q71u</w:t>
            </w:r>
          </w:p>
        </w:tc>
      </w:tr>
      <w:tr w:rsidR="0035701C">
        <w:tc>
          <w:tcPr>
            <w:tcW w:w="1000" w:type="pct"/>
            <w:shd w:val="clear" w:color="auto" w:fill="FFFFFF"/>
            <w:tcMar>
              <w:top w:w="60" w:type="dxa"/>
            </w:tcMar>
          </w:tcPr>
          <w:p w:rsidR="0035701C" w:rsidRDefault="00FB561B">
            <w:pPr>
              <w:jc w:val="left"/>
              <w:rPr>
                <w:sz w:val="16"/>
              </w:rPr>
            </w:pPr>
            <w:r>
              <w:rPr>
                <w:sz w:val="16"/>
              </w:rPr>
              <w:t>Annexe M13</w:t>
            </w:r>
          </w:p>
        </w:tc>
        <w:tc>
          <w:tcPr>
            <w:tcW w:w="1000" w:type="pct"/>
            <w:shd w:val="clear" w:color="auto" w:fill="FFFFFF"/>
            <w:tcMar>
              <w:top w:w="60" w:type="dxa"/>
            </w:tcMar>
          </w:tcPr>
          <w:p w:rsidR="0035701C" w:rsidRDefault="00FB561B">
            <w:pPr>
              <w:jc w:val="left"/>
              <w:rPr>
                <w:sz w:val="16"/>
              </w:rPr>
            </w:pPr>
            <w:r>
              <w:rPr>
                <w:sz w:val="16"/>
              </w:rPr>
              <w:t xml:space="preserve">8.2 M13 - Paiements en faveur des zones soumises à des </w:t>
            </w:r>
            <w:r>
              <w:rPr>
                <w:sz w:val="16"/>
              </w:rPr>
              <w:t>contraintes naturelles ou à d'autres contraintes spécifiques (article 31) - annexe</w:t>
            </w:r>
          </w:p>
        </w:tc>
        <w:tc>
          <w:tcPr>
            <w:tcW w:w="1000" w:type="pct"/>
            <w:shd w:val="clear" w:color="auto" w:fill="FFFFFF"/>
            <w:tcMar>
              <w:top w:w="60" w:type="dxa"/>
            </w:tcMar>
          </w:tcPr>
          <w:p w:rsidR="0035701C" w:rsidRDefault="00FB561B">
            <w:pPr>
              <w:jc w:val="left"/>
              <w:rPr>
                <w:sz w:val="16"/>
              </w:rPr>
            </w:pPr>
            <w:r>
              <w:rPr>
                <w:sz w:val="16"/>
              </w:rPr>
              <w:t>08-09-2015</w:t>
            </w:r>
          </w:p>
        </w:tc>
        <w:tc>
          <w:tcPr>
            <w:tcW w:w="1000" w:type="pct"/>
            <w:shd w:val="clear" w:color="auto" w:fill="FFFFFF"/>
            <w:tcMar>
              <w:top w:w="60" w:type="dxa"/>
            </w:tcMar>
          </w:tcPr>
          <w:p w:rsidR="0035701C" w:rsidRDefault="0035701C">
            <w:pPr>
              <w:jc w:val="left"/>
              <w:rPr>
                <w:sz w:val="16"/>
              </w:rPr>
            </w:pPr>
          </w:p>
        </w:tc>
        <w:tc>
          <w:tcPr>
            <w:tcW w:w="1000" w:type="pct"/>
            <w:shd w:val="clear" w:color="auto" w:fill="FFFFFF"/>
            <w:tcMar>
              <w:top w:w="60" w:type="dxa"/>
            </w:tcMar>
          </w:tcPr>
          <w:p w:rsidR="0035701C" w:rsidRDefault="00FB561B">
            <w:pPr>
              <w:jc w:val="left"/>
              <w:rPr>
                <w:sz w:val="16"/>
              </w:rPr>
            </w:pPr>
            <w:r>
              <w:rPr>
                <w:sz w:val="16"/>
              </w:rPr>
              <w:t>Ares(2022)2135427</w:t>
            </w:r>
          </w:p>
        </w:tc>
        <w:tc>
          <w:tcPr>
            <w:tcW w:w="1000" w:type="pct"/>
            <w:shd w:val="clear" w:color="auto" w:fill="FFFFFF"/>
            <w:tcMar>
              <w:top w:w="60" w:type="dxa"/>
            </w:tcMar>
          </w:tcPr>
          <w:p w:rsidR="0035701C" w:rsidRDefault="00FB561B">
            <w:pPr>
              <w:jc w:val="left"/>
              <w:rPr>
                <w:sz w:val="16"/>
              </w:rPr>
            </w:pPr>
            <w:r>
              <w:rPr>
                <w:sz w:val="16"/>
              </w:rPr>
              <w:t>3428252827</w:t>
            </w:r>
          </w:p>
        </w:tc>
        <w:tc>
          <w:tcPr>
            <w:tcW w:w="1000" w:type="pct"/>
            <w:shd w:val="clear" w:color="auto" w:fill="FFFFFF"/>
            <w:tcMar>
              <w:top w:w="60" w:type="dxa"/>
            </w:tcMar>
          </w:tcPr>
          <w:p w:rsidR="0035701C" w:rsidRDefault="00FB561B">
            <w:pPr>
              <w:jc w:val="left"/>
              <w:rPr>
                <w:sz w:val="16"/>
              </w:rPr>
            </w:pPr>
            <w:r>
              <w:rPr>
                <w:sz w:val="16"/>
              </w:rPr>
              <w:t>Annexe M13</w:t>
            </w:r>
          </w:p>
        </w:tc>
        <w:tc>
          <w:tcPr>
            <w:tcW w:w="1000" w:type="pct"/>
            <w:shd w:val="clear" w:color="auto" w:fill="FFFFFF"/>
            <w:tcMar>
              <w:top w:w="60" w:type="dxa"/>
            </w:tcMar>
          </w:tcPr>
          <w:p w:rsidR="0035701C" w:rsidRDefault="00FB561B">
            <w:pPr>
              <w:jc w:val="left"/>
              <w:rPr>
                <w:sz w:val="16"/>
              </w:rPr>
            </w:pPr>
            <w:r>
              <w:rPr>
                <w:sz w:val="16"/>
              </w:rPr>
              <w:t>23-03-2022</w:t>
            </w:r>
          </w:p>
        </w:tc>
        <w:tc>
          <w:tcPr>
            <w:tcW w:w="1000" w:type="pct"/>
            <w:shd w:val="clear" w:color="auto" w:fill="FFFFFF"/>
            <w:tcMar>
              <w:top w:w="60" w:type="dxa"/>
            </w:tcMar>
          </w:tcPr>
          <w:p w:rsidR="0035701C" w:rsidRDefault="00FB561B">
            <w:pPr>
              <w:jc w:val="left"/>
              <w:rPr>
                <w:sz w:val="16"/>
              </w:rPr>
            </w:pPr>
            <w:r>
              <w:rPr>
                <w:sz w:val="16"/>
              </w:rPr>
              <w:t>n006q71u</w:t>
            </w:r>
          </w:p>
        </w:tc>
      </w:tr>
      <w:tr w:rsidR="0035701C">
        <w:tc>
          <w:tcPr>
            <w:tcW w:w="1000" w:type="pct"/>
            <w:shd w:val="clear" w:color="auto" w:fill="FFFFFF"/>
            <w:tcMar>
              <w:top w:w="60" w:type="dxa"/>
            </w:tcMar>
          </w:tcPr>
          <w:p w:rsidR="0035701C" w:rsidRDefault="00FB561B">
            <w:pPr>
              <w:jc w:val="left"/>
              <w:rPr>
                <w:sz w:val="16"/>
              </w:rPr>
            </w:pPr>
            <w:r>
              <w:rPr>
                <w:sz w:val="16"/>
              </w:rPr>
              <w:t>Annexe M05</w:t>
            </w:r>
          </w:p>
        </w:tc>
        <w:tc>
          <w:tcPr>
            <w:tcW w:w="1000" w:type="pct"/>
            <w:shd w:val="clear" w:color="auto" w:fill="FFFFFF"/>
            <w:tcMar>
              <w:top w:w="60" w:type="dxa"/>
            </w:tcMar>
          </w:tcPr>
          <w:p w:rsidR="0035701C" w:rsidRDefault="00FB561B">
            <w:pPr>
              <w:jc w:val="left"/>
              <w:rPr>
                <w:sz w:val="16"/>
              </w:rPr>
            </w:pPr>
            <w:r>
              <w:rPr>
                <w:sz w:val="16"/>
              </w:rPr>
              <w:t xml:space="preserve">8.2 M05 – Reconstitution du potentiel de production agricole endommagé par des </w:t>
            </w:r>
            <w:r>
              <w:rPr>
                <w:sz w:val="16"/>
              </w:rPr>
              <w:t>catastrophes naturelles et des événements catastrophiques et mise en place de mesures de prévention appropriées (article 18) – annexe</w:t>
            </w:r>
          </w:p>
        </w:tc>
        <w:tc>
          <w:tcPr>
            <w:tcW w:w="1000" w:type="pct"/>
            <w:shd w:val="clear" w:color="auto" w:fill="FFFFFF"/>
            <w:tcMar>
              <w:top w:w="60" w:type="dxa"/>
            </w:tcMar>
          </w:tcPr>
          <w:p w:rsidR="0035701C" w:rsidRDefault="00FB561B">
            <w:pPr>
              <w:jc w:val="left"/>
              <w:rPr>
                <w:sz w:val="16"/>
              </w:rPr>
            </w:pPr>
            <w:r>
              <w:rPr>
                <w:sz w:val="16"/>
              </w:rPr>
              <w:t>08-09-2015</w:t>
            </w:r>
          </w:p>
        </w:tc>
        <w:tc>
          <w:tcPr>
            <w:tcW w:w="1000" w:type="pct"/>
            <w:shd w:val="clear" w:color="auto" w:fill="FFFFFF"/>
            <w:tcMar>
              <w:top w:w="60" w:type="dxa"/>
            </w:tcMar>
          </w:tcPr>
          <w:p w:rsidR="0035701C" w:rsidRDefault="0035701C">
            <w:pPr>
              <w:jc w:val="left"/>
              <w:rPr>
                <w:sz w:val="16"/>
              </w:rPr>
            </w:pPr>
          </w:p>
        </w:tc>
        <w:tc>
          <w:tcPr>
            <w:tcW w:w="1000" w:type="pct"/>
            <w:shd w:val="clear" w:color="auto" w:fill="FFFFFF"/>
            <w:tcMar>
              <w:top w:w="60" w:type="dxa"/>
            </w:tcMar>
          </w:tcPr>
          <w:p w:rsidR="0035701C" w:rsidRDefault="00FB561B">
            <w:pPr>
              <w:jc w:val="left"/>
              <w:rPr>
                <w:sz w:val="16"/>
              </w:rPr>
            </w:pPr>
            <w:r>
              <w:rPr>
                <w:sz w:val="16"/>
              </w:rPr>
              <w:t>Ares(2022)2135427</w:t>
            </w:r>
          </w:p>
        </w:tc>
        <w:tc>
          <w:tcPr>
            <w:tcW w:w="1000" w:type="pct"/>
            <w:shd w:val="clear" w:color="auto" w:fill="FFFFFF"/>
            <w:tcMar>
              <w:top w:w="60" w:type="dxa"/>
            </w:tcMar>
          </w:tcPr>
          <w:p w:rsidR="0035701C" w:rsidRDefault="00FB561B">
            <w:pPr>
              <w:jc w:val="left"/>
              <w:rPr>
                <w:sz w:val="16"/>
              </w:rPr>
            </w:pPr>
            <w:r>
              <w:rPr>
                <w:sz w:val="16"/>
              </w:rPr>
              <w:t>2387841727</w:t>
            </w:r>
          </w:p>
        </w:tc>
        <w:tc>
          <w:tcPr>
            <w:tcW w:w="1000" w:type="pct"/>
            <w:shd w:val="clear" w:color="auto" w:fill="FFFFFF"/>
            <w:tcMar>
              <w:top w:w="60" w:type="dxa"/>
            </w:tcMar>
          </w:tcPr>
          <w:p w:rsidR="0035701C" w:rsidRDefault="00FB561B">
            <w:pPr>
              <w:jc w:val="left"/>
              <w:rPr>
                <w:sz w:val="16"/>
              </w:rPr>
            </w:pPr>
            <w:r>
              <w:rPr>
                <w:sz w:val="16"/>
              </w:rPr>
              <w:t>Annexe M05</w:t>
            </w:r>
          </w:p>
        </w:tc>
        <w:tc>
          <w:tcPr>
            <w:tcW w:w="1000" w:type="pct"/>
            <w:shd w:val="clear" w:color="auto" w:fill="FFFFFF"/>
            <w:tcMar>
              <w:top w:w="60" w:type="dxa"/>
            </w:tcMar>
          </w:tcPr>
          <w:p w:rsidR="0035701C" w:rsidRDefault="00FB561B">
            <w:pPr>
              <w:jc w:val="left"/>
              <w:rPr>
                <w:sz w:val="16"/>
              </w:rPr>
            </w:pPr>
            <w:r>
              <w:rPr>
                <w:sz w:val="16"/>
              </w:rPr>
              <w:t>23-03-2022</w:t>
            </w:r>
          </w:p>
        </w:tc>
        <w:tc>
          <w:tcPr>
            <w:tcW w:w="1000" w:type="pct"/>
            <w:shd w:val="clear" w:color="auto" w:fill="FFFFFF"/>
            <w:tcMar>
              <w:top w:w="60" w:type="dxa"/>
            </w:tcMar>
          </w:tcPr>
          <w:p w:rsidR="0035701C" w:rsidRDefault="00FB561B">
            <w:pPr>
              <w:jc w:val="left"/>
              <w:rPr>
                <w:sz w:val="16"/>
              </w:rPr>
            </w:pPr>
            <w:r>
              <w:rPr>
                <w:sz w:val="16"/>
              </w:rPr>
              <w:t>n006q71u</w:t>
            </w:r>
          </w:p>
        </w:tc>
      </w:tr>
      <w:tr w:rsidR="0035701C">
        <w:tc>
          <w:tcPr>
            <w:tcW w:w="1000" w:type="pct"/>
            <w:shd w:val="clear" w:color="auto" w:fill="FFFFFF"/>
            <w:tcMar>
              <w:top w:w="60" w:type="dxa"/>
            </w:tcMar>
          </w:tcPr>
          <w:p w:rsidR="0035701C" w:rsidRDefault="00FB561B">
            <w:pPr>
              <w:jc w:val="left"/>
              <w:rPr>
                <w:sz w:val="16"/>
              </w:rPr>
            </w:pPr>
            <w:r>
              <w:rPr>
                <w:sz w:val="16"/>
              </w:rPr>
              <w:t>EEA PDRC 2014 2020</w:t>
            </w:r>
          </w:p>
        </w:tc>
        <w:tc>
          <w:tcPr>
            <w:tcW w:w="1000" w:type="pct"/>
            <w:shd w:val="clear" w:color="auto" w:fill="FFFFFF"/>
            <w:tcMar>
              <w:top w:w="60" w:type="dxa"/>
            </w:tcMar>
          </w:tcPr>
          <w:p w:rsidR="0035701C" w:rsidRDefault="00FB561B">
            <w:pPr>
              <w:jc w:val="left"/>
              <w:rPr>
                <w:sz w:val="16"/>
              </w:rPr>
            </w:pPr>
            <w:r>
              <w:rPr>
                <w:sz w:val="16"/>
              </w:rPr>
              <w:t>3 Rapport d'évaluation ex ante</w:t>
            </w:r>
            <w:r>
              <w:rPr>
                <w:sz w:val="16"/>
              </w:rPr>
              <w:t xml:space="preserve"> - annexe</w:t>
            </w:r>
          </w:p>
        </w:tc>
        <w:tc>
          <w:tcPr>
            <w:tcW w:w="1000" w:type="pct"/>
            <w:shd w:val="clear" w:color="auto" w:fill="FFFFFF"/>
            <w:tcMar>
              <w:top w:w="60" w:type="dxa"/>
            </w:tcMar>
          </w:tcPr>
          <w:p w:rsidR="0035701C" w:rsidRDefault="00FB561B">
            <w:pPr>
              <w:jc w:val="left"/>
              <w:rPr>
                <w:sz w:val="16"/>
              </w:rPr>
            </w:pPr>
            <w:r>
              <w:rPr>
                <w:sz w:val="16"/>
              </w:rPr>
              <w:t>28-07-2015</w:t>
            </w:r>
          </w:p>
        </w:tc>
        <w:tc>
          <w:tcPr>
            <w:tcW w:w="1000" w:type="pct"/>
            <w:shd w:val="clear" w:color="auto" w:fill="FFFFFF"/>
            <w:tcMar>
              <w:top w:w="60" w:type="dxa"/>
            </w:tcMar>
          </w:tcPr>
          <w:p w:rsidR="0035701C" w:rsidRDefault="0035701C">
            <w:pPr>
              <w:jc w:val="left"/>
              <w:rPr>
                <w:sz w:val="16"/>
              </w:rPr>
            </w:pPr>
          </w:p>
        </w:tc>
        <w:tc>
          <w:tcPr>
            <w:tcW w:w="1000" w:type="pct"/>
            <w:shd w:val="clear" w:color="auto" w:fill="FFFFFF"/>
            <w:tcMar>
              <w:top w:w="60" w:type="dxa"/>
            </w:tcMar>
          </w:tcPr>
          <w:p w:rsidR="0035701C" w:rsidRDefault="00FB561B">
            <w:pPr>
              <w:jc w:val="left"/>
              <w:rPr>
                <w:sz w:val="16"/>
              </w:rPr>
            </w:pPr>
            <w:r>
              <w:rPr>
                <w:sz w:val="16"/>
              </w:rPr>
              <w:t>Ares(2022)2135427</w:t>
            </w:r>
          </w:p>
        </w:tc>
        <w:tc>
          <w:tcPr>
            <w:tcW w:w="1000" w:type="pct"/>
            <w:shd w:val="clear" w:color="auto" w:fill="FFFFFF"/>
            <w:tcMar>
              <w:top w:w="60" w:type="dxa"/>
            </w:tcMar>
          </w:tcPr>
          <w:p w:rsidR="0035701C" w:rsidRDefault="00FB561B">
            <w:pPr>
              <w:jc w:val="left"/>
              <w:rPr>
                <w:sz w:val="16"/>
              </w:rPr>
            </w:pPr>
            <w:r>
              <w:rPr>
                <w:sz w:val="16"/>
              </w:rPr>
              <w:t>1953471731</w:t>
            </w:r>
          </w:p>
        </w:tc>
        <w:tc>
          <w:tcPr>
            <w:tcW w:w="1000" w:type="pct"/>
            <w:shd w:val="clear" w:color="auto" w:fill="FFFFFF"/>
            <w:tcMar>
              <w:top w:w="60" w:type="dxa"/>
            </w:tcMar>
          </w:tcPr>
          <w:p w:rsidR="0035701C" w:rsidRDefault="00FB561B">
            <w:pPr>
              <w:jc w:val="left"/>
              <w:rPr>
                <w:sz w:val="16"/>
              </w:rPr>
            </w:pPr>
            <w:r>
              <w:rPr>
                <w:sz w:val="16"/>
              </w:rPr>
              <w:t>EEA PDRC 2014 2020</w:t>
            </w:r>
          </w:p>
        </w:tc>
        <w:tc>
          <w:tcPr>
            <w:tcW w:w="1000" w:type="pct"/>
            <w:shd w:val="clear" w:color="auto" w:fill="FFFFFF"/>
            <w:tcMar>
              <w:top w:w="60" w:type="dxa"/>
            </w:tcMar>
          </w:tcPr>
          <w:p w:rsidR="0035701C" w:rsidRDefault="00FB561B">
            <w:pPr>
              <w:jc w:val="left"/>
              <w:rPr>
                <w:sz w:val="16"/>
              </w:rPr>
            </w:pPr>
            <w:r>
              <w:rPr>
                <w:sz w:val="16"/>
              </w:rPr>
              <w:t>23-03-2022</w:t>
            </w:r>
          </w:p>
        </w:tc>
        <w:tc>
          <w:tcPr>
            <w:tcW w:w="1000" w:type="pct"/>
            <w:shd w:val="clear" w:color="auto" w:fill="FFFFFF"/>
            <w:tcMar>
              <w:top w:w="60" w:type="dxa"/>
            </w:tcMar>
          </w:tcPr>
          <w:p w:rsidR="0035701C" w:rsidRDefault="00FB561B">
            <w:pPr>
              <w:jc w:val="left"/>
              <w:rPr>
                <w:sz w:val="16"/>
              </w:rPr>
            </w:pPr>
            <w:r>
              <w:rPr>
                <w:sz w:val="16"/>
              </w:rPr>
              <w:t>n006q71u</w:t>
            </w:r>
          </w:p>
        </w:tc>
      </w:tr>
      <w:tr w:rsidR="0035701C">
        <w:tc>
          <w:tcPr>
            <w:tcW w:w="1000" w:type="pct"/>
            <w:shd w:val="clear" w:color="auto" w:fill="FFFFFF"/>
            <w:tcMar>
              <w:top w:w="60" w:type="dxa"/>
            </w:tcMar>
          </w:tcPr>
          <w:p w:rsidR="0035701C" w:rsidRDefault="00FB561B">
            <w:pPr>
              <w:jc w:val="left"/>
              <w:rPr>
                <w:sz w:val="16"/>
              </w:rPr>
            </w:pPr>
            <w:r>
              <w:rPr>
                <w:sz w:val="16"/>
              </w:rPr>
              <w:t>Acronymes PDRC</w:t>
            </w:r>
          </w:p>
        </w:tc>
        <w:tc>
          <w:tcPr>
            <w:tcW w:w="1000" w:type="pct"/>
            <w:shd w:val="clear" w:color="auto" w:fill="FFFFFF"/>
            <w:tcMar>
              <w:top w:w="60" w:type="dxa"/>
            </w:tcMar>
          </w:tcPr>
          <w:p w:rsidR="0035701C" w:rsidRDefault="00FB561B">
            <w:pPr>
              <w:jc w:val="left"/>
              <w:rPr>
                <w:sz w:val="16"/>
              </w:rPr>
            </w:pPr>
            <w:r>
              <w:rPr>
                <w:sz w:val="16"/>
              </w:rPr>
              <w:t>4 ANALYSE SWOT ET DÉTERMINATION DES BESOINS - annexe</w:t>
            </w:r>
          </w:p>
        </w:tc>
        <w:tc>
          <w:tcPr>
            <w:tcW w:w="1000" w:type="pct"/>
            <w:shd w:val="clear" w:color="auto" w:fill="FFFFFF"/>
            <w:tcMar>
              <w:top w:w="60" w:type="dxa"/>
            </w:tcMar>
          </w:tcPr>
          <w:p w:rsidR="0035701C" w:rsidRDefault="00FB561B">
            <w:pPr>
              <w:jc w:val="left"/>
              <w:rPr>
                <w:sz w:val="16"/>
              </w:rPr>
            </w:pPr>
            <w:r>
              <w:rPr>
                <w:sz w:val="16"/>
              </w:rPr>
              <w:t>01-07-2015</w:t>
            </w:r>
          </w:p>
        </w:tc>
        <w:tc>
          <w:tcPr>
            <w:tcW w:w="1000" w:type="pct"/>
            <w:shd w:val="clear" w:color="auto" w:fill="FFFFFF"/>
            <w:tcMar>
              <w:top w:w="60" w:type="dxa"/>
            </w:tcMar>
          </w:tcPr>
          <w:p w:rsidR="0035701C" w:rsidRDefault="0035701C">
            <w:pPr>
              <w:jc w:val="left"/>
              <w:rPr>
                <w:sz w:val="16"/>
              </w:rPr>
            </w:pPr>
          </w:p>
        </w:tc>
        <w:tc>
          <w:tcPr>
            <w:tcW w:w="1000" w:type="pct"/>
            <w:shd w:val="clear" w:color="auto" w:fill="FFFFFF"/>
            <w:tcMar>
              <w:top w:w="60" w:type="dxa"/>
            </w:tcMar>
          </w:tcPr>
          <w:p w:rsidR="0035701C" w:rsidRDefault="00FB561B">
            <w:pPr>
              <w:jc w:val="left"/>
              <w:rPr>
                <w:sz w:val="16"/>
              </w:rPr>
            </w:pPr>
            <w:r>
              <w:rPr>
                <w:sz w:val="16"/>
              </w:rPr>
              <w:t>Ares(2022)2135427</w:t>
            </w:r>
          </w:p>
        </w:tc>
        <w:tc>
          <w:tcPr>
            <w:tcW w:w="1000" w:type="pct"/>
            <w:shd w:val="clear" w:color="auto" w:fill="FFFFFF"/>
            <w:tcMar>
              <w:top w:w="60" w:type="dxa"/>
            </w:tcMar>
          </w:tcPr>
          <w:p w:rsidR="0035701C" w:rsidRDefault="00FB561B">
            <w:pPr>
              <w:jc w:val="left"/>
              <w:rPr>
                <w:sz w:val="16"/>
              </w:rPr>
            </w:pPr>
            <w:r>
              <w:rPr>
                <w:sz w:val="16"/>
              </w:rPr>
              <w:t>1732678298</w:t>
            </w:r>
          </w:p>
        </w:tc>
        <w:tc>
          <w:tcPr>
            <w:tcW w:w="1000" w:type="pct"/>
            <w:shd w:val="clear" w:color="auto" w:fill="FFFFFF"/>
            <w:tcMar>
              <w:top w:w="60" w:type="dxa"/>
            </w:tcMar>
          </w:tcPr>
          <w:p w:rsidR="0035701C" w:rsidRDefault="00FB561B">
            <w:pPr>
              <w:jc w:val="left"/>
              <w:rPr>
                <w:sz w:val="16"/>
              </w:rPr>
            </w:pPr>
            <w:r>
              <w:rPr>
                <w:sz w:val="16"/>
              </w:rPr>
              <w:t>Acronymes PDRC</w:t>
            </w:r>
          </w:p>
        </w:tc>
        <w:tc>
          <w:tcPr>
            <w:tcW w:w="1000" w:type="pct"/>
            <w:shd w:val="clear" w:color="auto" w:fill="FFFFFF"/>
            <w:tcMar>
              <w:top w:w="60" w:type="dxa"/>
            </w:tcMar>
          </w:tcPr>
          <w:p w:rsidR="0035701C" w:rsidRDefault="00FB561B">
            <w:pPr>
              <w:jc w:val="left"/>
              <w:rPr>
                <w:sz w:val="16"/>
              </w:rPr>
            </w:pPr>
            <w:r>
              <w:rPr>
                <w:sz w:val="16"/>
              </w:rPr>
              <w:t>23-03-2022</w:t>
            </w:r>
          </w:p>
        </w:tc>
        <w:tc>
          <w:tcPr>
            <w:tcW w:w="1000" w:type="pct"/>
            <w:shd w:val="clear" w:color="auto" w:fill="FFFFFF"/>
            <w:tcMar>
              <w:top w:w="60" w:type="dxa"/>
            </w:tcMar>
          </w:tcPr>
          <w:p w:rsidR="0035701C" w:rsidRDefault="00FB561B">
            <w:pPr>
              <w:jc w:val="left"/>
              <w:rPr>
                <w:sz w:val="16"/>
              </w:rPr>
            </w:pPr>
            <w:r>
              <w:rPr>
                <w:sz w:val="16"/>
              </w:rPr>
              <w:t>n006q71u</w:t>
            </w:r>
          </w:p>
        </w:tc>
      </w:tr>
      <w:tr w:rsidR="0035701C">
        <w:tc>
          <w:tcPr>
            <w:tcW w:w="1000" w:type="pct"/>
            <w:shd w:val="clear" w:color="auto" w:fill="FFFFFF"/>
            <w:tcMar>
              <w:top w:w="60" w:type="dxa"/>
            </w:tcMar>
          </w:tcPr>
          <w:p w:rsidR="0035701C" w:rsidRDefault="00FB561B">
            <w:pPr>
              <w:jc w:val="left"/>
              <w:rPr>
                <w:sz w:val="16"/>
              </w:rPr>
            </w:pPr>
            <w:r>
              <w:rPr>
                <w:sz w:val="16"/>
              </w:rPr>
              <w:t xml:space="preserve">Avis autorité </w:t>
            </w:r>
            <w:r>
              <w:rPr>
                <w:sz w:val="16"/>
              </w:rPr>
              <w:t>Environnementale</w:t>
            </w:r>
          </w:p>
        </w:tc>
        <w:tc>
          <w:tcPr>
            <w:tcW w:w="1000" w:type="pct"/>
            <w:shd w:val="clear" w:color="auto" w:fill="FFFFFF"/>
            <w:tcMar>
              <w:top w:w="60" w:type="dxa"/>
            </w:tcMar>
          </w:tcPr>
          <w:p w:rsidR="0035701C" w:rsidRDefault="00FB561B">
            <w:pPr>
              <w:jc w:val="left"/>
              <w:rPr>
                <w:sz w:val="16"/>
              </w:rPr>
            </w:pPr>
            <w:r>
              <w:rPr>
                <w:sz w:val="16"/>
              </w:rPr>
              <w:t>3 Rapport d'évaluation ex ante - annexe</w:t>
            </w:r>
          </w:p>
        </w:tc>
        <w:tc>
          <w:tcPr>
            <w:tcW w:w="1000" w:type="pct"/>
            <w:shd w:val="clear" w:color="auto" w:fill="FFFFFF"/>
            <w:tcMar>
              <w:top w:w="60" w:type="dxa"/>
            </w:tcMar>
          </w:tcPr>
          <w:p w:rsidR="0035701C" w:rsidRDefault="00FB561B">
            <w:pPr>
              <w:jc w:val="left"/>
              <w:rPr>
                <w:sz w:val="16"/>
              </w:rPr>
            </w:pPr>
            <w:r>
              <w:rPr>
                <w:sz w:val="16"/>
              </w:rPr>
              <w:t>05-11-2014</w:t>
            </w:r>
          </w:p>
        </w:tc>
        <w:tc>
          <w:tcPr>
            <w:tcW w:w="1000" w:type="pct"/>
            <w:shd w:val="clear" w:color="auto" w:fill="FFFFFF"/>
            <w:tcMar>
              <w:top w:w="60" w:type="dxa"/>
            </w:tcMar>
          </w:tcPr>
          <w:p w:rsidR="0035701C" w:rsidRDefault="0035701C">
            <w:pPr>
              <w:jc w:val="left"/>
              <w:rPr>
                <w:sz w:val="16"/>
              </w:rPr>
            </w:pPr>
          </w:p>
        </w:tc>
        <w:tc>
          <w:tcPr>
            <w:tcW w:w="1000" w:type="pct"/>
            <w:shd w:val="clear" w:color="auto" w:fill="FFFFFF"/>
            <w:tcMar>
              <w:top w:w="60" w:type="dxa"/>
            </w:tcMar>
          </w:tcPr>
          <w:p w:rsidR="0035701C" w:rsidRDefault="00FB561B">
            <w:pPr>
              <w:jc w:val="left"/>
              <w:rPr>
                <w:sz w:val="16"/>
              </w:rPr>
            </w:pPr>
            <w:r>
              <w:rPr>
                <w:sz w:val="16"/>
              </w:rPr>
              <w:t>Ares(2022)2135427</w:t>
            </w:r>
          </w:p>
        </w:tc>
        <w:tc>
          <w:tcPr>
            <w:tcW w:w="1000" w:type="pct"/>
            <w:shd w:val="clear" w:color="auto" w:fill="FFFFFF"/>
            <w:tcMar>
              <w:top w:w="60" w:type="dxa"/>
            </w:tcMar>
          </w:tcPr>
          <w:p w:rsidR="0035701C" w:rsidRDefault="00FB561B">
            <w:pPr>
              <w:jc w:val="left"/>
              <w:rPr>
                <w:sz w:val="16"/>
              </w:rPr>
            </w:pPr>
            <w:r>
              <w:rPr>
                <w:sz w:val="16"/>
              </w:rPr>
              <w:t>3894474699</w:t>
            </w:r>
          </w:p>
        </w:tc>
        <w:tc>
          <w:tcPr>
            <w:tcW w:w="1000" w:type="pct"/>
            <w:shd w:val="clear" w:color="auto" w:fill="FFFFFF"/>
            <w:tcMar>
              <w:top w:w="60" w:type="dxa"/>
            </w:tcMar>
          </w:tcPr>
          <w:p w:rsidR="0035701C" w:rsidRDefault="00FB561B">
            <w:pPr>
              <w:jc w:val="left"/>
              <w:rPr>
                <w:sz w:val="16"/>
              </w:rPr>
            </w:pPr>
            <w:r>
              <w:rPr>
                <w:sz w:val="16"/>
              </w:rPr>
              <w:t>Avis Autorité Environnementale</w:t>
            </w:r>
          </w:p>
        </w:tc>
        <w:tc>
          <w:tcPr>
            <w:tcW w:w="1000" w:type="pct"/>
            <w:shd w:val="clear" w:color="auto" w:fill="FFFFFF"/>
            <w:tcMar>
              <w:top w:w="60" w:type="dxa"/>
            </w:tcMar>
          </w:tcPr>
          <w:p w:rsidR="0035701C" w:rsidRDefault="00FB561B">
            <w:pPr>
              <w:jc w:val="left"/>
              <w:rPr>
                <w:sz w:val="16"/>
              </w:rPr>
            </w:pPr>
            <w:r>
              <w:rPr>
                <w:sz w:val="16"/>
              </w:rPr>
              <w:t>23-03-2022</w:t>
            </w:r>
          </w:p>
        </w:tc>
        <w:tc>
          <w:tcPr>
            <w:tcW w:w="1000" w:type="pct"/>
            <w:shd w:val="clear" w:color="auto" w:fill="FFFFFF"/>
            <w:tcMar>
              <w:top w:w="60" w:type="dxa"/>
            </w:tcMar>
          </w:tcPr>
          <w:p w:rsidR="0035701C" w:rsidRDefault="00FB561B">
            <w:pPr>
              <w:jc w:val="left"/>
              <w:rPr>
                <w:sz w:val="16"/>
              </w:rPr>
            </w:pPr>
            <w:r>
              <w:rPr>
                <w:sz w:val="16"/>
              </w:rPr>
              <w:t>n006q71u</w:t>
            </w:r>
          </w:p>
        </w:tc>
      </w:tr>
      <w:tr w:rsidR="0035701C">
        <w:tc>
          <w:tcPr>
            <w:tcW w:w="1000" w:type="pct"/>
            <w:shd w:val="clear" w:color="auto" w:fill="FFFFFF"/>
            <w:tcMar>
              <w:top w:w="60" w:type="dxa"/>
            </w:tcMar>
          </w:tcPr>
          <w:p w:rsidR="0035701C" w:rsidRDefault="00FB561B">
            <w:pPr>
              <w:jc w:val="left"/>
              <w:rPr>
                <w:sz w:val="16"/>
              </w:rPr>
            </w:pPr>
            <w:r>
              <w:rPr>
                <w:sz w:val="16"/>
              </w:rPr>
              <w:t>Annexe M04</w:t>
            </w:r>
          </w:p>
        </w:tc>
        <w:tc>
          <w:tcPr>
            <w:tcW w:w="1000" w:type="pct"/>
            <w:shd w:val="clear" w:color="auto" w:fill="FFFFFF"/>
            <w:tcMar>
              <w:top w:w="60" w:type="dxa"/>
            </w:tcMar>
          </w:tcPr>
          <w:p w:rsidR="0035701C" w:rsidRDefault="00FB561B">
            <w:pPr>
              <w:jc w:val="left"/>
              <w:rPr>
                <w:sz w:val="16"/>
              </w:rPr>
            </w:pPr>
            <w:r>
              <w:rPr>
                <w:sz w:val="16"/>
              </w:rPr>
              <w:t>8.2 M04 - Investissements physiques (article 17) - annexe</w:t>
            </w:r>
          </w:p>
        </w:tc>
        <w:tc>
          <w:tcPr>
            <w:tcW w:w="1000" w:type="pct"/>
            <w:shd w:val="clear" w:color="auto" w:fill="FFFFFF"/>
            <w:tcMar>
              <w:top w:w="60" w:type="dxa"/>
            </w:tcMar>
          </w:tcPr>
          <w:p w:rsidR="0035701C" w:rsidRDefault="00FB561B">
            <w:pPr>
              <w:jc w:val="left"/>
              <w:rPr>
                <w:sz w:val="16"/>
              </w:rPr>
            </w:pPr>
            <w:r>
              <w:rPr>
                <w:sz w:val="16"/>
              </w:rPr>
              <w:t>08-09-2015</w:t>
            </w:r>
          </w:p>
        </w:tc>
        <w:tc>
          <w:tcPr>
            <w:tcW w:w="1000" w:type="pct"/>
            <w:shd w:val="clear" w:color="auto" w:fill="FFFFFF"/>
            <w:tcMar>
              <w:top w:w="60" w:type="dxa"/>
            </w:tcMar>
          </w:tcPr>
          <w:p w:rsidR="0035701C" w:rsidRDefault="0035701C">
            <w:pPr>
              <w:jc w:val="left"/>
              <w:rPr>
                <w:sz w:val="16"/>
              </w:rPr>
            </w:pPr>
          </w:p>
        </w:tc>
        <w:tc>
          <w:tcPr>
            <w:tcW w:w="1000" w:type="pct"/>
            <w:shd w:val="clear" w:color="auto" w:fill="FFFFFF"/>
            <w:tcMar>
              <w:top w:w="60" w:type="dxa"/>
            </w:tcMar>
          </w:tcPr>
          <w:p w:rsidR="0035701C" w:rsidRDefault="00FB561B">
            <w:pPr>
              <w:jc w:val="left"/>
              <w:rPr>
                <w:sz w:val="16"/>
              </w:rPr>
            </w:pPr>
            <w:r>
              <w:rPr>
                <w:sz w:val="16"/>
              </w:rPr>
              <w:t>Ares(2022)2135427</w:t>
            </w:r>
          </w:p>
        </w:tc>
        <w:tc>
          <w:tcPr>
            <w:tcW w:w="1000" w:type="pct"/>
            <w:shd w:val="clear" w:color="auto" w:fill="FFFFFF"/>
            <w:tcMar>
              <w:top w:w="60" w:type="dxa"/>
            </w:tcMar>
          </w:tcPr>
          <w:p w:rsidR="0035701C" w:rsidRDefault="00FB561B">
            <w:pPr>
              <w:jc w:val="left"/>
              <w:rPr>
                <w:sz w:val="16"/>
              </w:rPr>
            </w:pPr>
            <w:r>
              <w:rPr>
                <w:sz w:val="16"/>
              </w:rPr>
              <w:t>953456599</w:t>
            </w:r>
          </w:p>
        </w:tc>
        <w:tc>
          <w:tcPr>
            <w:tcW w:w="1000" w:type="pct"/>
            <w:shd w:val="clear" w:color="auto" w:fill="FFFFFF"/>
            <w:tcMar>
              <w:top w:w="60" w:type="dxa"/>
            </w:tcMar>
          </w:tcPr>
          <w:p w:rsidR="0035701C" w:rsidRDefault="00FB561B">
            <w:pPr>
              <w:jc w:val="left"/>
              <w:rPr>
                <w:sz w:val="16"/>
              </w:rPr>
            </w:pPr>
            <w:r>
              <w:rPr>
                <w:sz w:val="16"/>
              </w:rPr>
              <w:t>Annexe M04</w:t>
            </w:r>
          </w:p>
        </w:tc>
        <w:tc>
          <w:tcPr>
            <w:tcW w:w="1000" w:type="pct"/>
            <w:shd w:val="clear" w:color="auto" w:fill="FFFFFF"/>
            <w:tcMar>
              <w:top w:w="60" w:type="dxa"/>
            </w:tcMar>
          </w:tcPr>
          <w:p w:rsidR="0035701C" w:rsidRDefault="00FB561B">
            <w:pPr>
              <w:jc w:val="left"/>
              <w:rPr>
                <w:sz w:val="16"/>
              </w:rPr>
            </w:pPr>
            <w:r>
              <w:rPr>
                <w:sz w:val="16"/>
              </w:rPr>
              <w:t>23-03-2022</w:t>
            </w:r>
          </w:p>
        </w:tc>
        <w:tc>
          <w:tcPr>
            <w:tcW w:w="1000" w:type="pct"/>
            <w:shd w:val="clear" w:color="auto" w:fill="FFFFFF"/>
            <w:tcMar>
              <w:top w:w="60" w:type="dxa"/>
            </w:tcMar>
          </w:tcPr>
          <w:p w:rsidR="0035701C" w:rsidRDefault="00FB561B">
            <w:pPr>
              <w:jc w:val="left"/>
              <w:rPr>
                <w:sz w:val="16"/>
              </w:rPr>
            </w:pPr>
            <w:r>
              <w:rPr>
                <w:sz w:val="16"/>
              </w:rPr>
              <w:t>n006q71u</w:t>
            </w:r>
          </w:p>
        </w:tc>
      </w:tr>
      <w:tr w:rsidR="0035701C">
        <w:tc>
          <w:tcPr>
            <w:tcW w:w="1000" w:type="pct"/>
            <w:shd w:val="clear" w:color="auto" w:fill="FFFFFF"/>
            <w:tcMar>
              <w:top w:w="60" w:type="dxa"/>
            </w:tcMar>
          </w:tcPr>
          <w:p w:rsidR="0035701C" w:rsidRDefault="00FB561B">
            <w:pPr>
              <w:jc w:val="left"/>
              <w:rPr>
                <w:sz w:val="16"/>
              </w:rPr>
            </w:pPr>
            <w:r>
              <w:rPr>
                <w:sz w:val="16"/>
              </w:rPr>
              <w:t>Chiffres clés de l'agriculture Corse 2015</w:t>
            </w:r>
          </w:p>
        </w:tc>
        <w:tc>
          <w:tcPr>
            <w:tcW w:w="1000" w:type="pct"/>
            <w:shd w:val="clear" w:color="auto" w:fill="FFFFFF"/>
            <w:tcMar>
              <w:top w:w="60" w:type="dxa"/>
            </w:tcMar>
          </w:tcPr>
          <w:p w:rsidR="0035701C" w:rsidRDefault="00FB561B">
            <w:pPr>
              <w:jc w:val="left"/>
              <w:rPr>
                <w:sz w:val="16"/>
              </w:rPr>
            </w:pPr>
            <w:r>
              <w:rPr>
                <w:sz w:val="16"/>
              </w:rPr>
              <w:t>4 ANALYSE SWOT ET DÉTERMINATION DES BESOINS - annexe</w:t>
            </w:r>
          </w:p>
        </w:tc>
        <w:tc>
          <w:tcPr>
            <w:tcW w:w="1000" w:type="pct"/>
            <w:shd w:val="clear" w:color="auto" w:fill="FFFFFF"/>
            <w:tcMar>
              <w:top w:w="60" w:type="dxa"/>
            </w:tcMar>
          </w:tcPr>
          <w:p w:rsidR="0035701C" w:rsidRDefault="00FB561B">
            <w:pPr>
              <w:jc w:val="left"/>
              <w:rPr>
                <w:sz w:val="16"/>
              </w:rPr>
            </w:pPr>
            <w:r>
              <w:rPr>
                <w:sz w:val="16"/>
              </w:rPr>
              <w:t>01-01-2015</w:t>
            </w:r>
          </w:p>
        </w:tc>
        <w:tc>
          <w:tcPr>
            <w:tcW w:w="1000" w:type="pct"/>
            <w:shd w:val="clear" w:color="auto" w:fill="FFFFFF"/>
            <w:tcMar>
              <w:top w:w="60" w:type="dxa"/>
            </w:tcMar>
          </w:tcPr>
          <w:p w:rsidR="0035701C" w:rsidRDefault="0035701C">
            <w:pPr>
              <w:jc w:val="left"/>
              <w:rPr>
                <w:sz w:val="16"/>
              </w:rPr>
            </w:pPr>
          </w:p>
        </w:tc>
        <w:tc>
          <w:tcPr>
            <w:tcW w:w="1000" w:type="pct"/>
            <w:shd w:val="clear" w:color="auto" w:fill="FFFFFF"/>
            <w:tcMar>
              <w:top w:w="60" w:type="dxa"/>
            </w:tcMar>
          </w:tcPr>
          <w:p w:rsidR="0035701C" w:rsidRDefault="00FB561B">
            <w:pPr>
              <w:jc w:val="left"/>
              <w:rPr>
                <w:sz w:val="16"/>
              </w:rPr>
            </w:pPr>
            <w:r>
              <w:rPr>
                <w:sz w:val="16"/>
              </w:rPr>
              <w:t>Ares(2022)2135427</w:t>
            </w:r>
          </w:p>
        </w:tc>
        <w:tc>
          <w:tcPr>
            <w:tcW w:w="1000" w:type="pct"/>
            <w:shd w:val="clear" w:color="auto" w:fill="FFFFFF"/>
            <w:tcMar>
              <w:top w:w="60" w:type="dxa"/>
            </w:tcMar>
          </w:tcPr>
          <w:p w:rsidR="0035701C" w:rsidRDefault="00FB561B">
            <w:pPr>
              <w:jc w:val="left"/>
              <w:rPr>
                <w:sz w:val="16"/>
              </w:rPr>
            </w:pPr>
            <w:r>
              <w:rPr>
                <w:sz w:val="16"/>
              </w:rPr>
              <w:t>4201524092</w:t>
            </w:r>
          </w:p>
        </w:tc>
        <w:tc>
          <w:tcPr>
            <w:tcW w:w="1000" w:type="pct"/>
            <w:shd w:val="clear" w:color="auto" w:fill="FFFFFF"/>
            <w:tcMar>
              <w:top w:w="60" w:type="dxa"/>
            </w:tcMar>
          </w:tcPr>
          <w:p w:rsidR="0035701C" w:rsidRDefault="00FB561B">
            <w:pPr>
              <w:jc w:val="left"/>
              <w:rPr>
                <w:sz w:val="16"/>
              </w:rPr>
            </w:pPr>
            <w:r>
              <w:rPr>
                <w:sz w:val="16"/>
              </w:rPr>
              <w:t>Chiffres clés de l'agriculture 2015</w:t>
            </w:r>
          </w:p>
        </w:tc>
        <w:tc>
          <w:tcPr>
            <w:tcW w:w="1000" w:type="pct"/>
            <w:shd w:val="clear" w:color="auto" w:fill="FFFFFF"/>
            <w:tcMar>
              <w:top w:w="60" w:type="dxa"/>
            </w:tcMar>
          </w:tcPr>
          <w:p w:rsidR="0035701C" w:rsidRDefault="00FB561B">
            <w:pPr>
              <w:jc w:val="left"/>
              <w:rPr>
                <w:sz w:val="16"/>
              </w:rPr>
            </w:pPr>
            <w:r>
              <w:rPr>
                <w:sz w:val="16"/>
              </w:rPr>
              <w:t>23-03-2022</w:t>
            </w:r>
          </w:p>
        </w:tc>
        <w:tc>
          <w:tcPr>
            <w:tcW w:w="1000" w:type="pct"/>
            <w:shd w:val="clear" w:color="auto" w:fill="FFFFFF"/>
            <w:tcMar>
              <w:top w:w="60" w:type="dxa"/>
            </w:tcMar>
          </w:tcPr>
          <w:p w:rsidR="0035701C" w:rsidRDefault="00FB561B">
            <w:pPr>
              <w:jc w:val="left"/>
              <w:rPr>
                <w:sz w:val="16"/>
              </w:rPr>
            </w:pPr>
            <w:r>
              <w:rPr>
                <w:sz w:val="16"/>
              </w:rPr>
              <w:t>n006q71u</w:t>
            </w:r>
          </w:p>
        </w:tc>
      </w:tr>
      <w:tr w:rsidR="0035701C">
        <w:tc>
          <w:tcPr>
            <w:tcW w:w="1000" w:type="pct"/>
            <w:shd w:val="clear" w:color="auto" w:fill="FFFFFF"/>
            <w:tcMar>
              <w:top w:w="60" w:type="dxa"/>
            </w:tcMar>
          </w:tcPr>
          <w:p w:rsidR="0035701C" w:rsidRDefault="00FB561B">
            <w:pPr>
              <w:jc w:val="left"/>
              <w:rPr>
                <w:sz w:val="16"/>
              </w:rPr>
            </w:pPr>
            <w:r>
              <w:rPr>
                <w:sz w:val="16"/>
              </w:rPr>
              <w:t>ESE PDRC 2014 2020</w:t>
            </w:r>
          </w:p>
        </w:tc>
        <w:tc>
          <w:tcPr>
            <w:tcW w:w="1000" w:type="pct"/>
            <w:shd w:val="clear" w:color="auto" w:fill="FFFFFF"/>
            <w:tcMar>
              <w:top w:w="60" w:type="dxa"/>
            </w:tcMar>
          </w:tcPr>
          <w:p w:rsidR="0035701C" w:rsidRDefault="00FB561B">
            <w:pPr>
              <w:jc w:val="left"/>
              <w:rPr>
                <w:sz w:val="16"/>
              </w:rPr>
            </w:pPr>
            <w:r>
              <w:rPr>
                <w:sz w:val="16"/>
              </w:rPr>
              <w:t xml:space="preserve">3 </w:t>
            </w:r>
            <w:r>
              <w:rPr>
                <w:sz w:val="16"/>
              </w:rPr>
              <w:t>Rapport d'évaluation ex ante - annexe</w:t>
            </w:r>
          </w:p>
        </w:tc>
        <w:tc>
          <w:tcPr>
            <w:tcW w:w="1000" w:type="pct"/>
            <w:shd w:val="clear" w:color="auto" w:fill="FFFFFF"/>
            <w:tcMar>
              <w:top w:w="60" w:type="dxa"/>
            </w:tcMar>
          </w:tcPr>
          <w:p w:rsidR="0035701C" w:rsidRDefault="00FB561B">
            <w:pPr>
              <w:jc w:val="left"/>
              <w:rPr>
                <w:sz w:val="16"/>
              </w:rPr>
            </w:pPr>
            <w:r>
              <w:rPr>
                <w:sz w:val="16"/>
              </w:rPr>
              <w:t>29-07-2015</w:t>
            </w:r>
          </w:p>
        </w:tc>
        <w:tc>
          <w:tcPr>
            <w:tcW w:w="1000" w:type="pct"/>
            <w:shd w:val="clear" w:color="auto" w:fill="FFFFFF"/>
            <w:tcMar>
              <w:top w:w="60" w:type="dxa"/>
            </w:tcMar>
          </w:tcPr>
          <w:p w:rsidR="0035701C" w:rsidRDefault="0035701C">
            <w:pPr>
              <w:jc w:val="left"/>
              <w:rPr>
                <w:sz w:val="16"/>
              </w:rPr>
            </w:pPr>
          </w:p>
        </w:tc>
        <w:tc>
          <w:tcPr>
            <w:tcW w:w="1000" w:type="pct"/>
            <w:shd w:val="clear" w:color="auto" w:fill="FFFFFF"/>
            <w:tcMar>
              <w:top w:w="60" w:type="dxa"/>
            </w:tcMar>
          </w:tcPr>
          <w:p w:rsidR="0035701C" w:rsidRDefault="00FB561B">
            <w:pPr>
              <w:jc w:val="left"/>
              <w:rPr>
                <w:sz w:val="16"/>
              </w:rPr>
            </w:pPr>
            <w:r>
              <w:rPr>
                <w:sz w:val="16"/>
              </w:rPr>
              <w:t>Ares(2022)2135427</w:t>
            </w:r>
          </w:p>
        </w:tc>
        <w:tc>
          <w:tcPr>
            <w:tcW w:w="1000" w:type="pct"/>
            <w:shd w:val="clear" w:color="auto" w:fill="FFFFFF"/>
            <w:tcMar>
              <w:top w:w="60" w:type="dxa"/>
            </w:tcMar>
          </w:tcPr>
          <w:p w:rsidR="0035701C" w:rsidRDefault="00FB561B">
            <w:pPr>
              <w:jc w:val="left"/>
              <w:rPr>
                <w:sz w:val="16"/>
              </w:rPr>
            </w:pPr>
            <w:r>
              <w:rPr>
                <w:sz w:val="16"/>
              </w:rPr>
              <w:t>13753546</w:t>
            </w:r>
          </w:p>
        </w:tc>
        <w:tc>
          <w:tcPr>
            <w:tcW w:w="1000" w:type="pct"/>
            <w:shd w:val="clear" w:color="auto" w:fill="FFFFFF"/>
            <w:tcMar>
              <w:top w:w="60" w:type="dxa"/>
            </w:tcMar>
          </w:tcPr>
          <w:p w:rsidR="0035701C" w:rsidRDefault="00FB561B">
            <w:pPr>
              <w:jc w:val="left"/>
              <w:rPr>
                <w:sz w:val="16"/>
              </w:rPr>
            </w:pPr>
            <w:r>
              <w:rPr>
                <w:sz w:val="16"/>
              </w:rPr>
              <w:t>ESE PDRC 2014 2020</w:t>
            </w:r>
          </w:p>
        </w:tc>
        <w:tc>
          <w:tcPr>
            <w:tcW w:w="1000" w:type="pct"/>
            <w:shd w:val="clear" w:color="auto" w:fill="FFFFFF"/>
            <w:tcMar>
              <w:top w:w="60" w:type="dxa"/>
            </w:tcMar>
          </w:tcPr>
          <w:p w:rsidR="0035701C" w:rsidRDefault="00FB561B">
            <w:pPr>
              <w:jc w:val="left"/>
              <w:rPr>
                <w:sz w:val="16"/>
              </w:rPr>
            </w:pPr>
            <w:r>
              <w:rPr>
                <w:sz w:val="16"/>
              </w:rPr>
              <w:t>23-03-2022</w:t>
            </w:r>
          </w:p>
        </w:tc>
        <w:tc>
          <w:tcPr>
            <w:tcW w:w="1000" w:type="pct"/>
            <w:shd w:val="clear" w:color="auto" w:fill="FFFFFF"/>
            <w:tcMar>
              <w:top w:w="60" w:type="dxa"/>
            </w:tcMar>
          </w:tcPr>
          <w:p w:rsidR="0035701C" w:rsidRDefault="00FB561B">
            <w:pPr>
              <w:jc w:val="left"/>
              <w:rPr>
                <w:sz w:val="16"/>
              </w:rPr>
            </w:pPr>
            <w:r>
              <w:rPr>
                <w:sz w:val="16"/>
              </w:rPr>
              <w:t>n006q71u</w:t>
            </w:r>
          </w:p>
        </w:tc>
      </w:tr>
      <w:tr w:rsidR="0035701C">
        <w:tc>
          <w:tcPr>
            <w:tcW w:w="1000" w:type="pct"/>
            <w:shd w:val="clear" w:color="auto" w:fill="FFFFFF"/>
            <w:tcMar>
              <w:top w:w="60" w:type="dxa"/>
            </w:tcMar>
          </w:tcPr>
          <w:p w:rsidR="0035701C" w:rsidRDefault="00FB561B">
            <w:pPr>
              <w:jc w:val="left"/>
              <w:rPr>
                <w:sz w:val="16"/>
              </w:rPr>
            </w:pPr>
            <w:r>
              <w:rPr>
                <w:sz w:val="16"/>
              </w:rPr>
              <w:t>ICHN - Extrait du cadre national V7.0 :  liste des communes ICHN en Corse</w:t>
            </w:r>
          </w:p>
        </w:tc>
        <w:tc>
          <w:tcPr>
            <w:tcW w:w="1000" w:type="pct"/>
            <w:shd w:val="clear" w:color="auto" w:fill="FFFFFF"/>
            <w:tcMar>
              <w:top w:w="60" w:type="dxa"/>
            </w:tcMar>
          </w:tcPr>
          <w:p w:rsidR="0035701C" w:rsidRDefault="00FB561B">
            <w:pPr>
              <w:jc w:val="left"/>
              <w:rPr>
                <w:sz w:val="16"/>
              </w:rPr>
            </w:pPr>
            <w:r>
              <w:rPr>
                <w:sz w:val="16"/>
              </w:rPr>
              <w:t>8.2 M13 - Paiements en faveur des zones soumises à des contrainte</w:t>
            </w:r>
            <w:r>
              <w:rPr>
                <w:sz w:val="16"/>
              </w:rPr>
              <w:t>s naturelles ou à d'autres contraintes spécifiques (article 31) - annexe</w:t>
            </w:r>
          </w:p>
        </w:tc>
        <w:tc>
          <w:tcPr>
            <w:tcW w:w="1000" w:type="pct"/>
            <w:shd w:val="clear" w:color="auto" w:fill="FFFFFF"/>
            <w:tcMar>
              <w:top w:w="60" w:type="dxa"/>
            </w:tcMar>
          </w:tcPr>
          <w:p w:rsidR="0035701C" w:rsidRDefault="00FB561B">
            <w:pPr>
              <w:jc w:val="left"/>
              <w:rPr>
                <w:sz w:val="16"/>
              </w:rPr>
            </w:pPr>
            <w:r>
              <w:rPr>
                <w:sz w:val="16"/>
              </w:rPr>
              <w:t>07-03-2019</w:t>
            </w:r>
          </w:p>
        </w:tc>
        <w:tc>
          <w:tcPr>
            <w:tcW w:w="1000" w:type="pct"/>
            <w:shd w:val="clear" w:color="auto" w:fill="FFFFFF"/>
            <w:tcMar>
              <w:top w:w="60" w:type="dxa"/>
            </w:tcMar>
          </w:tcPr>
          <w:p w:rsidR="0035701C" w:rsidRDefault="0035701C">
            <w:pPr>
              <w:jc w:val="left"/>
              <w:rPr>
                <w:sz w:val="16"/>
              </w:rPr>
            </w:pPr>
          </w:p>
        </w:tc>
        <w:tc>
          <w:tcPr>
            <w:tcW w:w="1000" w:type="pct"/>
            <w:shd w:val="clear" w:color="auto" w:fill="FFFFFF"/>
            <w:tcMar>
              <w:top w:w="60" w:type="dxa"/>
            </w:tcMar>
          </w:tcPr>
          <w:p w:rsidR="0035701C" w:rsidRDefault="00FB561B">
            <w:pPr>
              <w:jc w:val="left"/>
              <w:rPr>
                <w:sz w:val="16"/>
              </w:rPr>
            </w:pPr>
            <w:r>
              <w:rPr>
                <w:sz w:val="16"/>
              </w:rPr>
              <w:t>Ares(2022)2135427</w:t>
            </w:r>
          </w:p>
        </w:tc>
        <w:tc>
          <w:tcPr>
            <w:tcW w:w="1000" w:type="pct"/>
            <w:shd w:val="clear" w:color="auto" w:fill="FFFFFF"/>
            <w:tcMar>
              <w:top w:w="60" w:type="dxa"/>
            </w:tcMar>
          </w:tcPr>
          <w:p w:rsidR="0035701C" w:rsidRDefault="00FB561B">
            <w:pPr>
              <w:jc w:val="left"/>
              <w:rPr>
                <w:sz w:val="16"/>
              </w:rPr>
            </w:pPr>
            <w:r>
              <w:rPr>
                <w:sz w:val="16"/>
              </w:rPr>
              <w:t>2379792409</w:t>
            </w:r>
          </w:p>
        </w:tc>
        <w:tc>
          <w:tcPr>
            <w:tcW w:w="1000" w:type="pct"/>
            <w:shd w:val="clear" w:color="auto" w:fill="FFFFFF"/>
            <w:tcMar>
              <w:top w:w="60" w:type="dxa"/>
            </w:tcMar>
          </w:tcPr>
          <w:p w:rsidR="0035701C" w:rsidRDefault="00FB561B">
            <w:pPr>
              <w:jc w:val="left"/>
              <w:rPr>
                <w:sz w:val="16"/>
              </w:rPr>
            </w:pPr>
            <w:r>
              <w:rPr>
                <w:sz w:val="16"/>
              </w:rPr>
              <w:t>ICHN - Extrait  cadre national V7.0 : liste des communes ICHN en Corse</w:t>
            </w:r>
          </w:p>
        </w:tc>
        <w:tc>
          <w:tcPr>
            <w:tcW w:w="1000" w:type="pct"/>
            <w:shd w:val="clear" w:color="auto" w:fill="FFFFFF"/>
            <w:tcMar>
              <w:top w:w="60" w:type="dxa"/>
            </w:tcMar>
          </w:tcPr>
          <w:p w:rsidR="0035701C" w:rsidRDefault="00FB561B">
            <w:pPr>
              <w:jc w:val="left"/>
              <w:rPr>
                <w:sz w:val="16"/>
              </w:rPr>
            </w:pPr>
            <w:r>
              <w:rPr>
                <w:sz w:val="16"/>
              </w:rPr>
              <w:t>23-03-2022</w:t>
            </w:r>
          </w:p>
        </w:tc>
        <w:tc>
          <w:tcPr>
            <w:tcW w:w="1000" w:type="pct"/>
            <w:shd w:val="clear" w:color="auto" w:fill="FFFFFF"/>
            <w:tcMar>
              <w:top w:w="60" w:type="dxa"/>
            </w:tcMar>
          </w:tcPr>
          <w:p w:rsidR="0035701C" w:rsidRDefault="00FB561B">
            <w:pPr>
              <w:jc w:val="left"/>
              <w:rPr>
                <w:sz w:val="16"/>
              </w:rPr>
            </w:pPr>
            <w:r>
              <w:rPr>
                <w:sz w:val="16"/>
              </w:rPr>
              <w:t>n006q71u</w:t>
            </w:r>
          </w:p>
        </w:tc>
      </w:tr>
      <w:tr w:rsidR="0035701C">
        <w:tc>
          <w:tcPr>
            <w:tcW w:w="1000" w:type="pct"/>
            <w:shd w:val="clear" w:color="auto" w:fill="FFFFFF"/>
            <w:tcMar>
              <w:top w:w="60" w:type="dxa"/>
            </w:tcMar>
          </w:tcPr>
          <w:p w:rsidR="0035701C" w:rsidRDefault="00FB561B">
            <w:pPr>
              <w:jc w:val="left"/>
              <w:rPr>
                <w:sz w:val="16"/>
              </w:rPr>
            </w:pPr>
            <w:r>
              <w:rPr>
                <w:sz w:val="16"/>
              </w:rPr>
              <w:t>Annexe complémentaire 13.2/13.3 - ZSCN/S</w:t>
            </w:r>
          </w:p>
        </w:tc>
        <w:tc>
          <w:tcPr>
            <w:tcW w:w="1000" w:type="pct"/>
            <w:shd w:val="clear" w:color="auto" w:fill="FFFFFF"/>
            <w:tcMar>
              <w:top w:w="60" w:type="dxa"/>
            </w:tcMar>
          </w:tcPr>
          <w:p w:rsidR="0035701C" w:rsidRDefault="00FB561B">
            <w:pPr>
              <w:jc w:val="left"/>
              <w:rPr>
                <w:sz w:val="16"/>
              </w:rPr>
            </w:pPr>
            <w:r>
              <w:rPr>
                <w:sz w:val="16"/>
              </w:rPr>
              <w:t>8.2 M13 -</w:t>
            </w:r>
            <w:r>
              <w:rPr>
                <w:sz w:val="16"/>
              </w:rPr>
              <w:t xml:space="preserve"> Paiements en faveur des zones soumises à des contraintes naturelles ou à d'autres contraintes spécifiques (article 31) - annexe</w:t>
            </w:r>
          </w:p>
        </w:tc>
        <w:tc>
          <w:tcPr>
            <w:tcW w:w="1000" w:type="pct"/>
            <w:shd w:val="clear" w:color="auto" w:fill="FFFFFF"/>
            <w:tcMar>
              <w:top w:w="60" w:type="dxa"/>
            </w:tcMar>
          </w:tcPr>
          <w:p w:rsidR="0035701C" w:rsidRDefault="00FB561B">
            <w:pPr>
              <w:jc w:val="left"/>
              <w:rPr>
                <w:sz w:val="16"/>
              </w:rPr>
            </w:pPr>
            <w:r>
              <w:rPr>
                <w:sz w:val="16"/>
              </w:rPr>
              <w:t>17-03-2019</w:t>
            </w:r>
          </w:p>
        </w:tc>
        <w:tc>
          <w:tcPr>
            <w:tcW w:w="1000" w:type="pct"/>
            <w:shd w:val="clear" w:color="auto" w:fill="FFFFFF"/>
            <w:tcMar>
              <w:top w:w="60" w:type="dxa"/>
            </w:tcMar>
          </w:tcPr>
          <w:p w:rsidR="0035701C" w:rsidRDefault="0035701C">
            <w:pPr>
              <w:jc w:val="left"/>
              <w:rPr>
                <w:sz w:val="16"/>
              </w:rPr>
            </w:pPr>
          </w:p>
        </w:tc>
        <w:tc>
          <w:tcPr>
            <w:tcW w:w="1000" w:type="pct"/>
            <w:shd w:val="clear" w:color="auto" w:fill="FFFFFF"/>
            <w:tcMar>
              <w:top w:w="60" w:type="dxa"/>
            </w:tcMar>
          </w:tcPr>
          <w:p w:rsidR="0035701C" w:rsidRDefault="00FB561B">
            <w:pPr>
              <w:jc w:val="left"/>
              <w:rPr>
                <w:sz w:val="16"/>
              </w:rPr>
            </w:pPr>
            <w:r>
              <w:rPr>
                <w:sz w:val="16"/>
              </w:rPr>
              <w:t>Ares(2022)2135427</w:t>
            </w:r>
          </w:p>
        </w:tc>
        <w:tc>
          <w:tcPr>
            <w:tcW w:w="1000" w:type="pct"/>
            <w:shd w:val="clear" w:color="auto" w:fill="FFFFFF"/>
            <w:tcMar>
              <w:top w:w="60" w:type="dxa"/>
            </w:tcMar>
          </w:tcPr>
          <w:p w:rsidR="0035701C" w:rsidRDefault="00FB561B">
            <w:pPr>
              <w:jc w:val="left"/>
              <w:rPr>
                <w:sz w:val="16"/>
              </w:rPr>
            </w:pPr>
            <w:r>
              <w:rPr>
                <w:sz w:val="16"/>
              </w:rPr>
              <w:t>179285837</w:t>
            </w:r>
          </w:p>
        </w:tc>
        <w:tc>
          <w:tcPr>
            <w:tcW w:w="1000" w:type="pct"/>
            <w:shd w:val="clear" w:color="auto" w:fill="FFFFFF"/>
            <w:tcMar>
              <w:top w:w="60" w:type="dxa"/>
            </w:tcMar>
          </w:tcPr>
          <w:p w:rsidR="0035701C" w:rsidRDefault="00FB561B">
            <w:pPr>
              <w:jc w:val="left"/>
              <w:rPr>
                <w:sz w:val="16"/>
              </w:rPr>
            </w:pPr>
            <w:r>
              <w:rPr>
                <w:sz w:val="16"/>
              </w:rPr>
              <w:t>Annexe complémentaire 13.2/13.3 - ZSCN/S</w:t>
            </w:r>
          </w:p>
        </w:tc>
        <w:tc>
          <w:tcPr>
            <w:tcW w:w="1000" w:type="pct"/>
            <w:shd w:val="clear" w:color="auto" w:fill="FFFFFF"/>
            <w:tcMar>
              <w:top w:w="60" w:type="dxa"/>
            </w:tcMar>
          </w:tcPr>
          <w:p w:rsidR="0035701C" w:rsidRDefault="00FB561B">
            <w:pPr>
              <w:jc w:val="left"/>
              <w:rPr>
                <w:sz w:val="16"/>
              </w:rPr>
            </w:pPr>
            <w:r>
              <w:rPr>
                <w:sz w:val="16"/>
              </w:rPr>
              <w:t>23-03-2022</w:t>
            </w:r>
          </w:p>
        </w:tc>
        <w:tc>
          <w:tcPr>
            <w:tcW w:w="1000" w:type="pct"/>
            <w:shd w:val="clear" w:color="auto" w:fill="FFFFFF"/>
            <w:tcMar>
              <w:top w:w="60" w:type="dxa"/>
            </w:tcMar>
          </w:tcPr>
          <w:p w:rsidR="0035701C" w:rsidRDefault="00FB561B">
            <w:pPr>
              <w:jc w:val="left"/>
              <w:rPr>
                <w:sz w:val="16"/>
              </w:rPr>
            </w:pPr>
            <w:r>
              <w:rPr>
                <w:sz w:val="16"/>
              </w:rPr>
              <w:t>n006q71u</w:t>
            </w:r>
          </w:p>
        </w:tc>
      </w:tr>
    </w:tbl>
    <w:p w:rsidR="0035701C" w:rsidRDefault="0035701C">
      <w:pPr>
        <w:rPr>
          <w:b/>
        </w:rPr>
        <w:sectPr w:rsidR="0035701C">
          <w:pgSz w:w="15840" w:h="12240" w:orient="landscape"/>
          <w:pgMar w:top="900" w:right="900" w:bottom="900" w:left="900" w:header="720" w:footer="720" w:gutter="0"/>
          <w:cols w:space="720"/>
        </w:sectPr>
      </w:pPr>
    </w:p>
    <w:p w:rsidR="0035701C" w:rsidRDefault="0035701C">
      <w:pPr>
        <w:rPr>
          <w:b/>
        </w:rPr>
      </w:pPr>
    </w:p>
    <w:sectPr w:rsidR="0035701C">
      <w:pgSz w:w="15840" w:h="12240" w:orient="landscape"/>
      <w:pgMar w:top="900" w:right="900" w:bottom="900" w:left="9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B561B" w:rsidRDefault="00FB561B">
      <w:pPr>
        <w:spacing w:before="0" w:after="0"/>
      </w:pPr>
      <w:r>
        <w:separator/>
      </w:r>
    </w:p>
  </w:endnote>
  <w:endnote w:type="continuationSeparator" w:id="0">
    <w:p w:rsidR="00FB561B" w:rsidRDefault="00FB561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E0707D9F-C3A6-42F2-85D7-C64B81768531}"/>
  </w:font>
  <w:font w:name="Times New Roman">
    <w:panose1 w:val="02020603050405020304"/>
    <w:charset w:val="00"/>
    <w:family w:val="roman"/>
    <w:pitch w:val="variable"/>
    <w:sig w:usb0="E0002EFF" w:usb1="C000785B" w:usb2="00000009" w:usb3="00000000" w:csb0="000001FF" w:csb1="00000000"/>
    <w:embedRegular r:id="rId2" w:fontKey="{F1455E08-1B46-4F54-AFBE-DF744E2560A9}"/>
    <w:embedBold r:id="rId3" w:fontKey="{CA2C0D39-9DE9-4A4E-BE80-D8623F60328A}"/>
    <w:embedItalic r:id="rId4" w:fontKey="{27FA5428-4615-4DD4-8362-D24F6ADE730E}"/>
    <w:embedBoldItalic r:id="rId5" w:fontKey="{854CC615-54DA-4EE7-9F81-842F055334E4}"/>
  </w:font>
  <w:font w:name="Courier New">
    <w:panose1 w:val="02070309020205020404"/>
    <w:charset w:val="00"/>
    <w:family w:val="modern"/>
    <w:pitch w:val="fixed"/>
    <w:sig w:usb0="E0002EFF" w:usb1="C0007843" w:usb2="00000009" w:usb3="00000000" w:csb0="000001FF" w:csb1="00000000"/>
    <w:embedRegular r:id="rId6" w:fontKey="{82EB356E-E3F8-4988-A8D2-B254DAF1DF0D}"/>
  </w:font>
  <w:font w:name="Wingdings">
    <w:panose1 w:val="05000000000000000000"/>
    <w:charset w:val="02"/>
    <w:family w:val="auto"/>
    <w:pitch w:val="variable"/>
    <w:sig w:usb0="00000000" w:usb1="10000000" w:usb2="00000000" w:usb3="00000000" w:csb0="80000000" w:csb1="00000000"/>
    <w:embedRegular r:id="rId7" w:fontKey="{60F85FC0-E623-4CD5-9794-901A0D3EE2C7}"/>
  </w:font>
  <w:font w:name="Arial">
    <w:panose1 w:val="020B0604020202020204"/>
    <w:charset w:val="00"/>
    <w:family w:val="swiss"/>
    <w:pitch w:val="variable"/>
    <w:sig w:usb0="E0002EFF" w:usb1="C000785B" w:usb2="00000009" w:usb3="00000000" w:csb0="000001FF" w:csb1="00000000"/>
    <w:embedRegular r:id="rId8" w:fontKey="{3AC314F7-32B6-40E0-AA50-6632DED64F8E}"/>
    <w:embedBold r:id="rId9" w:fontKey="{9B79E3A9-B32B-42BE-AC72-85737BCD0CF4}"/>
    <w:embedItalic r:id="rId10" w:fontKey="{0C2B51E7-AC96-408D-9F2F-E55F61885D48}"/>
  </w:font>
  <w:font w:name="Calibri">
    <w:panose1 w:val="020F0502020204030204"/>
    <w:charset w:val="00"/>
    <w:family w:val="swiss"/>
    <w:pitch w:val="variable"/>
    <w:sig w:usb0="E4002EFF" w:usb1="C000247B" w:usb2="00000009" w:usb3="00000000" w:csb0="000001FF" w:csb1="00000000"/>
    <w:embedRegular r:id="rId11" w:fontKey="{F30E08DB-4560-481B-A106-10FAEDACAAEB}"/>
    <w:embedBold r:id="rId12" w:fontKey="{7E768104-AFD2-4616-AC06-B89826112651}"/>
  </w:font>
  <w:font w:name="Tahoma">
    <w:panose1 w:val="020B0604030504040204"/>
    <w:charset w:val="00"/>
    <w:family w:val="swiss"/>
    <w:pitch w:val="variable"/>
    <w:sig w:usb0="E1002EFF" w:usb1="C000605B" w:usb2="00000029" w:usb3="00000000" w:csb0="000101FF" w:csb1="00000000"/>
    <w:embedRegular r:id="rId13" w:fontKey="{A9C984FF-C500-4EFA-87F9-983C45821604}"/>
  </w:font>
  <w:font w:name="Cambria Math">
    <w:panose1 w:val="02040503050406030204"/>
    <w:charset w:val="00"/>
    <w:family w:val="roman"/>
    <w:pitch w:val="variable"/>
    <w:sig w:usb0="E00006FF" w:usb1="420024FF" w:usb2="02000000" w:usb3="00000000" w:csb0="0000019F" w:csb1="00000000"/>
    <w:embedRegular r:id="rId14" w:fontKey="{7BC53387-420A-4E98-8E22-7D822C42A00E}"/>
  </w:font>
  <w:font w:name="Calibri Light">
    <w:panose1 w:val="020F0302020204030204"/>
    <w:charset w:val="00"/>
    <w:family w:val="swiss"/>
    <w:pitch w:val="variable"/>
    <w:sig w:usb0="E4002EFF" w:usb1="C000247B" w:usb2="00000009" w:usb3="00000000" w:csb0="000001FF" w:csb1="00000000"/>
    <w:embedRegular r:id="rId15" w:fontKey="{1E8C6019-FC4F-49C2-B771-BC0229827B17}"/>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A4B21" w:rsidRDefault="00CA4B21">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21E0A" w:rsidRDefault="00FB561B">
    <w:pPr>
      <w:pStyle w:val="Pieddepage"/>
      <w:jc w:val="center"/>
    </w:pPr>
    <w:r>
      <w:fldChar w:fldCharType="begin"/>
    </w:r>
    <w:r>
      <w:instrText>PAGE</w:instrText>
    </w:r>
    <w:r>
      <w:fldChar w:fldCharType="separate"/>
    </w:r>
    <w:r w:rsidR="0091395A">
      <w:rPr>
        <w:noProof/>
      </w:rP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21E0A" w:rsidRDefault="00FB561B">
    <w:pPr>
      <w:pStyle w:val="Pieddepage"/>
      <w:jc w:val="center"/>
    </w:pPr>
    <w:r>
      <w:fldChar w:fldCharType="begin"/>
    </w:r>
    <w:r>
      <w:instrText xml:space="preserve"> PAGE   \* MERGEFORMAT </w:instrText>
    </w:r>
    <w:r>
      <w:fldChar w:fldCharType="separate"/>
    </w:r>
    <w:r w:rsidR="00CA4B21">
      <w:rPr>
        <w:noProof/>
      </w:rPr>
      <w:t>1</w:t>
    </w:r>
    <w:r>
      <w:rPr>
        <w:noProof/>
      </w:rPr>
      <w:fldChar w:fldCharType="end"/>
    </w:r>
  </w:p>
  <w:p w:rsidR="00B21E0A" w:rsidRDefault="00B21E0A">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B561B" w:rsidRDefault="00FB561B">
      <w:pPr>
        <w:spacing w:before="0" w:after="0"/>
      </w:pPr>
      <w:r>
        <w:separator/>
      </w:r>
    </w:p>
  </w:footnote>
  <w:footnote w:type="continuationSeparator" w:id="0">
    <w:p w:rsidR="00FB561B" w:rsidRDefault="00FB561B">
      <w:pPr>
        <w:spacing w:before="0"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A4B21" w:rsidRDefault="00CA4B21">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A4B21" w:rsidRDefault="00CA4B21">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21E0A" w:rsidRPr="004551CD" w:rsidRDefault="00B21E0A">
    <w:pPr>
      <w:pStyle w:val="En-tte"/>
      <w:spacing w:after="0"/>
      <w:rPr>
        <w:lang w:val="fr-BE"/>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EA58E78E"/>
    <w:lvl w:ilvl="0">
      <w:start w:val="1"/>
      <w:numFmt w:val="decimal"/>
      <w:pStyle w:val="Listenumros5"/>
      <w:lvlText w:val="%1."/>
      <w:lvlJc w:val="left"/>
      <w:pPr>
        <w:tabs>
          <w:tab w:val="num" w:pos="1492"/>
        </w:tabs>
        <w:ind w:left="1492" w:hanging="360"/>
      </w:pPr>
    </w:lvl>
  </w:abstractNum>
  <w:abstractNum w:abstractNumId="1" w15:restartNumberingAfterBreak="0">
    <w:nsid w:val="FFFFFF80"/>
    <w:multiLevelType w:val="singleLevel"/>
    <w:tmpl w:val="E7A64A6A"/>
    <w:lvl w:ilvl="0">
      <w:start w:val="1"/>
      <w:numFmt w:val="bullet"/>
      <w:pStyle w:val="Listepuces5"/>
      <w:lvlText w:val=""/>
      <w:lvlJc w:val="left"/>
      <w:pPr>
        <w:tabs>
          <w:tab w:val="num" w:pos="1492"/>
        </w:tabs>
        <w:ind w:left="1492" w:hanging="360"/>
      </w:pPr>
      <w:rPr>
        <w:rFonts w:ascii="Symbol" w:hAnsi="Symbol" w:hint="default"/>
      </w:rPr>
    </w:lvl>
  </w:abstractNum>
  <w:abstractNum w:abstractNumId="2" w15:restartNumberingAfterBreak="0">
    <w:nsid w:val="1B1530A4"/>
    <w:multiLevelType w:val="multilevel"/>
    <w:tmpl w:val="8CE23BCC"/>
    <w:lvl w:ilvl="0">
      <w:start w:val="1"/>
      <w:numFmt w:val="decimal"/>
      <w:pStyle w:val="Listenumros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15:restartNumberingAfterBreak="0">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15:restartNumberingAfterBreak="0">
    <w:nsid w:val="22DD3599"/>
    <w:multiLevelType w:val="multilevel"/>
    <w:tmpl w:val="4EAA5BA6"/>
    <w:lvl w:ilvl="0">
      <w:start w:val="1"/>
      <w:numFmt w:val="decimal"/>
      <w:pStyle w:val="Listenumros"/>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15:restartNumberingAfterBreak="0">
    <w:nsid w:val="2CAB4527"/>
    <w:multiLevelType w:val="multilevel"/>
    <w:tmpl w:val="26C24C12"/>
    <w:lvl w:ilvl="0">
      <w:start w:val="1"/>
      <w:numFmt w:val="decimal"/>
      <w:pStyle w:val="Listenumros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15:restartNumberingAfterBreak="0">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15:restartNumberingAfterBreak="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15:restartNumberingAfterBreak="0">
    <w:nsid w:val="3AFB6DC8"/>
    <w:multiLevelType w:val="singleLevel"/>
    <w:tmpl w:val="D97CFDF8"/>
    <w:lvl w:ilvl="0">
      <w:start w:val="1"/>
      <w:numFmt w:val="bullet"/>
      <w:pStyle w:val="Listepuces2"/>
      <w:lvlText w:val=""/>
      <w:lvlJc w:val="left"/>
      <w:pPr>
        <w:tabs>
          <w:tab w:val="num" w:pos="1485"/>
        </w:tabs>
        <w:ind w:left="1485" w:hanging="283"/>
      </w:pPr>
      <w:rPr>
        <w:rFonts w:ascii="Symbol" w:hAnsi="Symbol"/>
      </w:rPr>
    </w:lvl>
  </w:abstractNum>
  <w:abstractNum w:abstractNumId="12" w15:restartNumberingAfterBreak="0">
    <w:nsid w:val="3CF00E18"/>
    <w:multiLevelType w:val="singleLevel"/>
    <w:tmpl w:val="4E1A982C"/>
    <w:lvl w:ilvl="0">
      <w:start w:val="1"/>
      <w:numFmt w:val="bullet"/>
      <w:pStyle w:val="Listepuces"/>
      <w:lvlText w:val=""/>
      <w:lvlJc w:val="left"/>
      <w:pPr>
        <w:tabs>
          <w:tab w:val="num" w:pos="283"/>
        </w:tabs>
        <w:ind w:left="283" w:hanging="283"/>
      </w:pPr>
      <w:rPr>
        <w:rFonts w:ascii="Symbol" w:hAnsi="Symbol"/>
      </w:rPr>
    </w:lvl>
  </w:abstractNum>
  <w:abstractNum w:abstractNumId="13" w15:restartNumberingAfterBreak="0">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15:restartNumberingAfterBreak="0">
    <w:nsid w:val="53436603"/>
    <w:multiLevelType w:val="multilevel"/>
    <w:tmpl w:val="A09AD310"/>
    <w:numStyleLink w:val="Headings"/>
  </w:abstractNum>
  <w:abstractNum w:abstractNumId="15" w15:restartNumberingAfterBreak="0">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15:restartNumberingAfterBreak="0">
    <w:nsid w:val="57594894"/>
    <w:multiLevelType w:val="multilevel"/>
    <w:tmpl w:val="A09AD310"/>
    <w:styleLink w:val="Headings"/>
    <w:lvl w:ilvl="0">
      <w:start w:val="1"/>
      <w:numFmt w:val="decimal"/>
      <w:pStyle w:val="Titre1"/>
      <w:suff w:val="space"/>
      <w:lvlText w:val="%1."/>
      <w:lvlJc w:val="left"/>
      <w:pPr>
        <w:ind w:left="0" w:firstLine="0"/>
      </w:pPr>
      <w:rPr>
        <w:rFonts w:hint="default"/>
      </w:rPr>
    </w:lvl>
    <w:lvl w:ilvl="1">
      <w:start w:val="1"/>
      <w:numFmt w:val="decimal"/>
      <w:pStyle w:val="Titre2"/>
      <w:suff w:val="space"/>
      <w:lvlText w:val="%1.%2."/>
      <w:lvlJc w:val="left"/>
      <w:pPr>
        <w:ind w:left="0" w:firstLine="0"/>
      </w:pPr>
      <w:rPr>
        <w:rFonts w:hint="default"/>
      </w:rPr>
    </w:lvl>
    <w:lvl w:ilvl="2">
      <w:start w:val="1"/>
      <w:numFmt w:val="decimal"/>
      <w:pStyle w:val="Titre3"/>
      <w:suff w:val="space"/>
      <w:lvlText w:val="%1.%2.%3."/>
      <w:lvlJc w:val="left"/>
      <w:pPr>
        <w:ind w:left="0" w:firstLine="0"/>
      </w:pPr>
      <w:rPr>
        <w:rFonts w:hint="default"/>
        <w:color w:val="auto"/>
      </w:rPr>
    </w:lvl>
    <w:lvl w:ilvl="3">
      <w:start w:val="1"/>
      <w:numFmt w:val="decimal"/>
      <w:pStyle w:val="Titre4"/>
      <w:suff w:val="space"/>
      <w:lvlText w:val="%1.%2.%3.%4."/>
      <w:lvlJc w:val="left"/>
      <w:pPr>
        <w:ind w:left="0" w:firstLine="0"/>
      </w:pPr>
      <w:rPr>
        <w:rFonts w:hint="default"/>
      </w:rPr>
    </w:lvl>
    <w:lvl w:ilvl="4">
      <w:start w:val="1"/>
      <w:numFmt w:val="decimal"/>
      <w:pStyle w:val="Titre5"/>
      <w:suff w:val="space"/>
      <w:lvlText w:val="%1.%2.%3.%4.%5."/>
      <w:lvlJc w:val="left"/>
      <w:pPr>
        <w:ind w:left="0" w:firstLine="0"/>
      </w:pPr>
      <w:rPr>
        <w:rFonts w:hint="default"/>
      </w:rPr>
    </w:lvl>
    <w:lvl w:ilvl="5">
      <w:start w:val="1"/>
      <w:numFmt w:val="decimal"/>
      <w:pStyle w:val="Titre6"/>
      <w:suff w:val="space"/>
      <w:lvlText w:val="%1.%2.%3.%4.%5.%6."/>
      <w:lvlJc w:val="left"/>
      <w:pPr>
        <w:ind w:left="0" w:firstLine="0"/>
      </w:pPr>
      <w:rPr>
        <w:rFonts w:hint="default"/>
      </w:rPr>
    </w:lvl>
    <w:lvl w:ilvl="6">
      <w:start w:val="1"/>
      <w:numFmt w:val="decimal"/>
      <w:pStyle w:val="Titre7"/>
      <w:suff w:val="space"/>
      <w:lvlText w:val="%1.%2.%3.%4.%5.%6.%7."/>
      <w:lvlJc w:val="left"/>
      <w:pPr>
        <w:ind w:left="0" w:firstLine="0"/>
      </w:pPr>
      <w:rPr>
        <w:rFonts w:hint="default"/>
      </w:rPr>
    </w:lvl>
    <w:lvl w:ilvl="7">
      <w:start w:val="1"/>
      <w:numFmt w:val="decimal"/>
      <w:pStyle w:val="Titre8"/>
      <w:suff w:val="space"/>
      <w:lvlText w:val="%1.%2.%3.%4.%5.%6.%7.%8."/>
      <w:lvlJc w:val="left"/>
      <w:pPr>
        <w:ind w:left="0" w:firstLine="0"/>
      </w:pPr>
      <w:rPr>
        <w:rFonts w:hint="default"/>
      </w:rPr>
    </w:lvl>
    <w:lvl w:ilvl="8">
      <w:start w:val="1"/>
      <w:numFmt w:val="decimal"/>
      <w:pStyle w:val="Titre9"/>
      <w:suff w:val="space"/>
      <w:lvlText w:val="%1.%2.%3.%4.%5.%6.%7.%8.%9."/>
      <w:lvlJc w:val="left"/>
      <w:pPr>
        <w:ind w:left="0" w:firstLine="0"/>
      </w:pPr>
      <w:rPr>
        <w:rFonts w:hint="default"/>
      </w:rPr>
    </w:lvl>
  </w:abstractNum>
  <w:abstractNum w:abstractNumId="17" w15:restartNumberingAfterBreak="0">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8" w15:restartNumberingAfterBreak="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9" w15:restartNumberingAfterBreak="0">
    <w:nsid w:val="620F2440"/>
    <w:multiLevelType w:val="singleLevel"/>
    <w:tmpl w:val="6860A420"/>
    <w:lvl w:ilvl="0">
      <w:start w:val="1"/>
      <w:numFmt w:val="bullet"/>
      <w:pStyle w:val="Listepuces3"/>
      <w:lvlText w:val=""/>
      <w:lvlJc w:val="left"/>
      <w:pPr>
        <w:tabs>
          <w:tab w:val="num" w:pos="1485"/>
        </w:tabs>
        <w:ind w:left="1485" w:hanging="283"/>
      </w:pPr>
      <w:rPr>
        <w:rFonts w:ascii="Symbol" w:hAnsi="Symbol"/>
      </w:rPr>
    </w:lvl>
  </w:abstractNum>
  <w:abstractNum w:abstractNumId="20" w15:restartNumberingAfterBreak="0">
    <w:nsid w:val="6DF118C0"/>
    <w:multiLevelType w:val="singleLevel"/>
    <w:tmpl w:val="B90C8B88"/>
    <w:lvl w:ilvl="0">
      <w:start w:val="1"/>
      <w:numFmt w:val="bullet"/>
      <w:pStyle w:val="Listepuces4"/>
      <w:lvlText w:val=""/>
      <w:lvlJc w:val="left"/>
      <w:pPr>
        <w:tabs>
          <w:tab w:val="num" w:pos="1485"/>
        </w:tabs>
        <w:ind w:left="1485" w:hanging="283"/>
      </w:pPr>
      <w:rPr>
        <w:rFonts w:ascii="Symbol" w:hAnsi="Symbol"/>
      </w:rPr>
    </w:lvl>
  </w:abstractNum>
  <w:abstractNum w:abstractNumId="21" w15:restartNumberingAfterBreak="0">
    <w:nsid w:val="722304D7"/>
    <w:multiLevelType w:val="multilevel"/>
    <w:tmpl w:val="9DE2758E"/>
    <w:lvl w:ilvl="0">
      <w:start w:val="1"/>
      <w:numFmt w:val="decimal"/>
      <w:pStyle w:val="Listenumros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722304D8"/>
    <w:multiLevelType w:val="hybridMultilevel"/>
    <w:tmpl w:val="722304D8"/>
    <w:lvl w:ilvl="0" w:tplc="B2E80F68">
      <w:start w:val="1"/>
      <w:numFmt w:val="bullet"/>
      <w:lvlText w:val=""/>
      <w:lvlJc w:val="left"/>
      <w:pPr>
        <w:tabs>
          <w:tab w:val="num" w:pos="720"/>
        </w:tabs>
        <w:ind w:left="720" w:hanging="360"/>
      </w:pPr>
      <w:rPr>
        <w:rFonts w:ascii="Symbol" w:hAnsi="Symbol"/>
      </w:rPr>
    </w:lvl>
    <w:lvl w:ilvl="1" w:tplc="73F4D190">
      <w:start w:val="1"/>
      <w:numFmt w:val="bullet"/>
      <w:lvlText w:val="o"/>
      <w:lvlJc w:val="left"/>
      <w:pPr>
        <w:tabs>
          <w:tab w:val="num" w:pos="1440"/>
        </w:tabs>
        <w:ind w:left="1440" w:hanging="360"/>
      </w:pPr>
      <w:rPr>
        <w:rFonts w:ascii="Courier New" w:hAnsi="Courier New"/>
      </w:rPr>
    </w:lvl>
    <w:lvl w:ilvl="2" w:tplc="22E4DDD0">
      <w:start w:val="1"/>
      <w:numFmt w:val="bullet"/>
      <w:lvlText w:val=""/>
      <w:lvlJc w:val="left"/>
      <w:pPr>
        <w:tabs>
          <w:tab w:val="num" w:pos="2160"/>
        </w:tabs>
        <w:ind w:left="2160" w:hanging="360"/>
      </w:pPr>
      <w:rPr>
        <w:rFonts w:ascii="Wingdings" w:hAnsi="Wingdings"/>
      </w:rPr>
    </w:lvl>
    <w:lvl w:ilvl="3" w:tplc="FC04D56C">
      <w:start w:val="1"/>
      <w:numFmt w:val="bullet"/>
      <w:lvlText w:val=""/>
      <w:lvlJc w:val="left"/>
      <w:pPr>
        <w:tabs>
          <w:tab w:val="num" w:pos="2880"/>
        </w:tabs>
        <w:ind w:left="2880" w:hanging="360"/>
      </w:pPr>
      <w:rPr>
        <w:rFonts w:ascii="Symbol" w:hAnsi="Symbol"/>
      </w:rPr>
    </w:lvl>
    <w:lvl w:ilvl="4" w:tplc="3FBA4BA2">
      <w:start w:val="1"/>
      <w:numFmt w:val="bullet"/>
      <w:lvlText w:val="o"/>
      <w:lvlJc w:val="left"/>
      <w:pPr>
        <w:tabs>
          <w:tab w:val="num" w:pos="3600"/>
        </w:tabs>
        <w:ind w:left="3600" w:hanging="360"/>
      </w:pPr>
      <w:rPr>
        <w:rFonts w:ascii="Courier New" w:hAnsi="Courier New"/>
      </w:rPr>
    </w:lvl>
    <w:lvl w:ilvl="5" w:tplc="F40E49FE">
      <w:start w:val="1"/>
      <w:numFmt w:val="bullet"/>
      <w:lvlText w:val=""/>
      <w:lvlJc w:val="left"/>
      <w:pPr>
        <w:tabs>
          <w:tab w:val="num" w:pos="4320"/>
        </w:tabs>
        <w:ind w:left="4320" w:hanging="360"/>
      </w:pPr>
      <w:rPr>
        <w:rFonts w:ascii="Wingdings" w:hAnsi="Wingdings"/>
      </w:rPr>
    </w:lvl>
    <w:lvl w:ilvl="6" w:tplc="F4A022EE">
      <w:start w:val="1"/>
      <w:numFmt w:val="bullet"/>
      <w:lvlText w:val=""/>
      <w:lvlJc w:val="left"/>
      <w:pPr>
        <w:tabs>
          <w:tab w:val="num" w:pos="5040"/>
        </w:tabs>
        <w:ind w:left="5040" w:hanging="360"/>
      </w:pPr>
      <w:rPr>
        <w:rFonts w:ascii="Symbol" w:hAnsi="Symbol"/>
      </w:rPr>
    </w:lvl>
    <w:lvl w:ilvl="7" w:tplc="679ADF1C">
      <w:start w:val="1"/>
      <w:numFmt w:val="bullet"/>
      <w:lvlText w:val="o"/>
      <w:lvlJc w:val="left"/>
      <w:pPr>
        <w:tabs>
          <w:tab w:val="num" w:pos="5760"/>
        </w:tabs>
        <w:ind w:left="5760" w:hanging="360"/>
      </w:pPr>
      <w:rPr>
        <w:rFonts w:ascii="Courier New" w:hAnsi="Courier New"/>
      </w:rPr>
    </w:lvl>
    <w:lvl w:ilvl="8" w:tplc="F5A0C06E">
      <w:start w:val="1"/>
      <w:numFmt w:val="bullet"/>
      <w:lvlText w:val=""/>
      <w:lvlJc w:val="left"/>
      <w:pPr>
        <w:tabs>
          <w:tab w:val="num" w:pos="6480"/>
        </w:tabs>
        <w:ind w:left="6480" w:hanging="360"/>
      </w:pPr>
      <w:rPr>
        <w:rFonts w:ascii="Wingdings" w:hAnsi="Wingdings"/>
      </w:rPr>
    </w:lvl>
  </w:abstractNum>
  <w:abstractNum w:abstractNumId="23" w15:restartNumberingAfterBreak="0">
    <w:nsid w:val="722304D9"/>
    <w:multiLevelType w:val="hybridMultilevel"/>
    <w:tmpl w:val="722304D9"/>
    <w:lvl w:ilvl="0" w:tplc="D9424542">
      <w:start w:val="1"/>
      <w:numFmt w:val="bullet"/>
      <w:lvlText w:val=""/>
      <w:lvlJc w:val="left"/>
      <w:pPr>
        <w:ind w:left="720" w:hanging="360"/>
      </w:pPr>
      <w:rPr>
        <w:rFonts w:ascii="Symbol" w:hAnsi="Symbol"/>
      </w:rPr>
    </w:lvl>
    <w:lvl w:ilvl="1" w:tplc="776858BC">
      <w:start w:val="1"/>
      <w:numFmt w:val="bullet"/>
      <w:lvlText w:val="o"/>
      <w:lvlJc w:val="left"/>
      <w:pPr>
        <w:tabs>
          <w:tab w:val="num" w:pos="1440"/>
        </w:tabs>
        <w:ind w:left="1440" w:hanging="360"/>
      </w:pPr>
      <w:rPr>
        <w:rFonts w:ascii="Courier New" w:hAnsi="Courier New"/>
      </w:rPr>
    </w:lvl>
    <w:lvl w:ilvl="2" w:tplc="BDEA4FB6">
      <w:start w:val="1"/>
      <w:numFmt w:val="bullet"/>
      <w:lvlText w:val=""/>
      <w:lvlJc w:val="left"/>
      <w:pPr>
        <w:tabs>
          <w:tab w:val="num" w:pos="2160"/>
        </w:tabs>
        <w:ind w:left="2160" w:hanging="360"/>
      </w:pPr>
      <w:rPr>
        <w:rFonts w:ascii="Wingdings" w:hAnsi="Wingdings"/>
      </w:rPr>
    </w:lvl>
    <w:lvl w:ilvl="3" w:tplc="7AB27100">
      <w:start w:val="1"/>
      <w:numFmt w:val="bullet"/>
      <w:lvlText w:val=""/>
      <w:lvlJc w:val="left"/>
      <w:pPr>
        <w:tabs>
          <w:tab w:val="num" w:pos="2880"/>
        </w:tabs>
        <w:ind w:left="2880" w:hanging="360"/>
      </w:pPr>
      <w:rPr>
        <w:rFonts w:ascii="Symbol" w:hAnsi="Symbol"/>
      </w:rPr>
    </w:lvl>
    <w:lvl w:ilvl="4" w:tplc="AFCE10EE">
      <w:start w:val="1"/>
      <w:numFmt w:val="bullet"/>
      <w:lvlText w:val="o"/>
      <w:lvlJc w:val="left"/>
      <w:pPr>
        <w:tabs>
          <w:tab w:val="num" w:pos="3600"/>
        </w:tabs>
        <w:ind w:left="3600" w:hanging="360"/>
      </w:pPr>
      <w:rPr>
        <w:rFonts w:ascii="Courier New" w:hAnsi="Courier New"/>
      </w:rPr>
    </w:lvl>
    <w:lvl w:ilvl="5" w:tplc="D714C128">
      <w:start w:val="1"/>
      <w:numFmt w:val="bullet"/>
      <w:lvlText w:val=""/>
      <w:lvlJc w:val="left"/>
      <w:pPr>
        <w:tabs>
          <w:tab w:val="num" w:pos="4320"/>
        </w:tabs>
        <w:ind w:left="4320" w:hanging="360"/>
      </w:pPr>
      <w:rPr>
        <w:rFonts w:ascii="Wingdings" w:hAnsi="Wingdings"/>
      </w:rPr>
    </w:lvl>
    <w:lvl w:ilvl="6" w:tplc="BE763F0A">
      <w:start w:val="1"/>
      <w:numFmt w:val="bullet"/>
      <w:lvlText w:val=""/>
      <w:lvlJc w:val="left"/>
      <w:pPr>
        <w:tabs>
          <w:tab w:val="num" w:pos="5040"/>
        </w:tabs>
        <w:ind w:left="5040" w:hanging="360"/>
      </w:pPr>
      <w:rPr>
        <w:rFonts w:ascii="Symbol" w:hAnsi="Symbol"/>
      </w:rPr>
    </w:lvl>
    <w:lvl w:ilvl="7" w:tplc="C748D1E6">
      <w:start w:val="1"/>
      <w:numFmt w:val="bullet"/>
      <w:lvlText w:val="o"/>
      <w:lvlJc w:val="left"/>
      <w:pPr>
        <w:tabs>
          <w:tab w:val="num" w:pos="5760"/>
        </w:tabs>
        <w:ind w:left="5760" w:hanging="360"/>
      </w:pPr>
      <w:rPr>
        <w:rFonts w:ascii="Courier New" w:hAnsi="Courier New"/>
      </w:rPr>
    </w:lvl>
    <w:lvl w:ilvl="8" w:tplc="DC28A3E4">
      <w:start w:val="1"/>
      <w:numFmt w:val="bullet"/>
      <w:lvlText w:val=""/>
      <w:lvlJc w:val="left"/>
      <w:pPr>
        <w:tabs>
          <w:tab w:val="num" w:pos="6480"/>
        </w:tabs>
        <w:ind w:left="6480" w:hanging="360"/>
      </w:pPr>
      <w:rPr>
        <w:rFonts w:ascii="Wingdings" w:hAnsi="Wingdings"/>
      </w:rPr>
    </w:lvl>
  </w:abstractNum>
  <w:abstractNum w:abstractNumId="24" w15:restartNumberingAfterBreak="0">
    <w:nsid w:val="722304DA"/>
    <w:multiLevelType w:val="hybridMultilevel"/>
    <w:tmpl w:val="722304DA"/>
    <w:lvl w:ilvl="0" w:tplc="D46CBAB6">
      <w:start w:val="1"/>
      <w:numFmt w:val="bullet"/>
      <w:lvlText w:val=""/>
      <w:lvlJc w:val="left"/>
      <w:pPr>
        <w:ind w:left="720" w:hanging="360"/>
      </w:pPr>
      <w:rPr>
        <w:rFonts w:ascii="Symbol" w:hAnsi="Symbol"/>
      </w:rPr>
    </w:lvl>
    <w:lvl w:ilvl="1" w:tplc="8EF82FAE">
      <w:start w:val="1"/>
      <w:numFmt w:val="bullet"/>
      <w:lvlText w:val="o"/>
      <w:lvlJc w:val="left"/>
      <w:pPr>
        <w:tabs>
          <w:tab w:val="num" w:pos="1440"/>
        </w:tabs>
        <w:ind w:left="1440" w:hanging="360"/>
      </w:pPr>
      <w:rPr>
        <w:rFonts w:ascii="Courier New" w:hAnsi="Courier New"/>
      </w:rPr>
    </w:lvl>
    <w:lvl w:ilvl="2" w:tplc="85E28FB6">
      <w:start w:val="1"/>
      <w:numFmt w:val="bullet"/>
      <w:lvlText w:val=""/>
      <w:lvlJc w:val="left"/>
      <w:pPr>
        <w:tabs>
          <w:tab w:val="num" w:pos="2160"/>
        </w:tabs>
        <w:ind w:left="2160" w:hanging="360"/>
      </w:pPr>
      <w:rPr>
        <w:rFonts w:ascii="Wingdings" w:hAnsi="Wingdings"/>
      </w:rPr>
    </w:lvl>
    <w:lvl w:ilvl="3" w:tplc="BCBC0CA6">
      <w:start w:val="1"/>
      <w:numFmt w:val="bullet"/>
      <w:lvlText w:val=""/>
      <w:lvlJc w:val="left"/>
      <w:pPr>
        <w:tabs>
          <w:tab w:val="num" w:pos="2880"/>
        </w:tabs>
        <w:ind w:left="2880" w:hanging="360"/>
      </w:pPr>
      <w:rPr>
        <w:rFonts w:ascii="Symbol" w:hAnsi="Symbol"/>
      </w:rPr>
    </w:lvl>
    <w:lvl w:ilvl="4" w:tplc="88D012A4">
      <w:start w:val="1"/>
      <w:numFmt w:val="bullet"/>
      <w:lvlText w:val="o"/>
      <w:lvlJc w:val="left"/>
      <w:pPr>
        <w:tabs>
          <w:tab w:val="num" w:pos="3600"/>
        </w:tabs>
        <w:ind w:left="3600" w:hanging="360"/>
      </w:pPr>
      <w:rPr>
        <w:rFonts w:ascii="Courier New" w:hAnsi="Courier New"/>
      </w:rPr>
    </w:lvl>
    <w:lvl w:ilvl="5" w:tplc="88BC0F38">
      <w:start w:val="1"/>
      <w:numFmt w:val="bullet"/>
      <w:lvlText w:val=""/>
      <w:lvlJc w:val="left"/>
      <w:pPr>
        <w:tabs>
          <w:tab w:val="num" w:pos="4320"/>
        </w:tabs>
        <w:ind w:left="4320" w:hanging="360"/>
      </w:pPr>
      <w:rPr>
        <w:rFonts w:ascii="Wingdings" w:hAnsi="Wingdings"/>
      </w:rPr>
    </w:lvl>
    <w:lvl w:ilvl="6" w:tplc="3064B836">
      <w:start w:val="1"/>
      <w:numFmt w:val="bullet"/>
      <w:lvlText w:val=""/>
      <w:lvlJc w:val="left"/>
      <w:pPr>
        <w:tabs>
          <w:tab w:val="num" w:pos="5040"/>
        </w:tabs>
        <w:ind w:left="5040" w:hanging="360"/>
      </w:pPr>
      <w:rPr>
        <w:rFonts w:ascii="Symbol" w:hAnsi="Symbol"/>
      </w:rPr>
    </w:lvl>
    <w:lvl w:ilvl="7" w:tplc="7BB2E670">
      <w:start w:val="1"/>
      <w:numFmt w:val="bullet"/>
      <w:lvlText w:val="o"/>
      <w:lvlJc w:val="left"/>
      <w:pPr>
        <w:tabs>
          <w:tab w:val="num" w:pos="5760"/>
        </w:tabs>
        <w:ind w:left="5760" w:hanging="360"/>
      </w:pPr>
      <w:rPr>
        <w:rFonts w:ascii="Courier New" w:hAnsi="Courier New"/>
      </w:rPr>
    </w:lvl>
    <w:lvl w:ilvl="8" w:tplc="ED08EA60">
      <w:start w:val="1"/>
      <w:numFmt w:val="bullet"/>
      <w:lvlText w:val=""/>
      <w:lvlJc w:val="left"/>
      <w:pPr>
        <w:tabs>
          <w:tab w:val="num" w:pos="6480"/>
        </w:tabs>
        <w:ind w:left="6480" w:hanging="360"/>
      </w:pPr>
      <w:rPr>
        <w:rFonts w:ascii="Wingdings" w:hAnsi="Wingdings"/>
      </w:rPr>
    </w:lvl>
  </w:abstractNum>
  <w:abstractNum w:abstractNumId="25" w15:restartNumberingAfterBreak="0">
    <w:nsid w:val="722304DB"/>
    <w:multiLevelType w:val="hybridMultilevel"/>
    <w:tmpl w:val="722304DB"/>
    <w:lvl w:ilvl="0" w:tplc="356264DC">
      <w:start w:val="1"/>
      <w:numFmt w:val="bullet"/>
      <w:lvlText w:val=""/>
      <w:lvlJc w:val="left"/>
      <w:pPr>
        <w:ind w:left="720" w:hanging="360"/>
      </w:pPr>
      <w:rPr>
        <w:rFonts w:ascii="Symbol" w:hAnsi="Symbol"/>
      </w:rPr>
    </w:lvl>
    <w:lvl w:ilvl="1" w:tplc="ACB07C3C">
      <w:start w:val="1"/>
      <w:numFmt w:val="bullet"/>
      <w:lvlText w:val="o"/>
      <w:lvlJc w:val="left"/>
      <w:pPr>
        <w:tabs>
          <w:tab w:val="num" w:pos="1440"/>
        </w:tabs>
        <w:ind w:left="1440" w:hanging="360"/>
      </w:pPr>
      <w:rPr>
        <w:rFonts w:ascii="Courier New" w:hAnsi="Courier New"/>
      </w:rPr>
    </w:lvl>
    <w:lvl w:ilvl="2" w:tplc="87E4BBA2">
      <w:start w:val="1"/>
      <w:numFmt w:val="bullet"/>
      <w:lvlText w:val=""/>
      <w:lvlJc w:val="left"/>
      <w:pPr>
        <w:tabs>
          <w:tab w:val="num" w:pos="2160"/>
        </w:tabs>
        <w:ind w:left="2160" w:hanging="360"/>
      </w:pPr>
      <w:rPr>
        <w:rFonts w:ascii="Wingdings" w:hAnsi="Wingdings"/>
      </w:rPr>
    </w:lvl>
    <w:lvl w:ilvl="3" w:tplc="B0D8BAF2">
      <w:start w:val="1"/>
      <w:numFmt w:val="bullet"/>
      <w:lvlText w:val=""/>
      <w:lvlJc w:val="left"/>
      <w:pPr>
        <w:tabs>
          <w:tab w:val="num" w:pos="2880"/>
        </w:tabs>
        <w:ind w:left="2880" w:hanging="360"/>
      </w:pPr>
      <w:rPr>
        <w:rFonts w:ascii="Symbol" w:hAnsi="Symbol"/>
      </w:rPr>
    </w:lvl>
    <w:lvl w:ilvl="4" w:tplc="7A522E42">
      <w:start w:val="1"/>
      <w:numFmt w:val="bullet"/>
      <w:lvlText w:val="o"/>
      <w:lvlJc w:val="left"/>
      <w:pPr>
        <w:tabs>
          <w:tab w:val="num" w:pos="3600"/>
        </w:tabs>
        <w:ind w:left="3600" w:hanging="360"/>
      </w:pPr>
      <w:rPr>
        <w:rFonts w:ascii="Courier New" w:hAnsi="Courier New"/>
      </w:rPr>
    </w:lvl>
    <w:lvl w:ilvl="5" w:tplc="0FEADF40">
      <w:start w:val="1"/>
      <w:numFmt w:val="bullet"/>
      <w:lvlText w:val=""/>
      <w:lvlJc w:val="left"/>
      <w:pPr>
        <w:tabs>
          <w:tab w:val="num" w:pos="4320"/>
        </w:tabs>
        <w:ind w:left="4320" w:hanging="360"/>
      </w:pPr>
      <w:rPr>
        <w:rFonts w:ascii="Wingdings" w:hAnsi="Wingdings"/>
      </w:rPr>
    </w:lvl>
    <w:lvl w:ilvl="6" w:tplc="207CB25E">
      <w:start w:val="1"/>
      <w:numFmt w:val="bullet"/>
      <w:lvlText w:val=""/>
      <w:lvlJc w:val="left"/>
      <w:pPr>
        <w:tabs>
          <w:tab w:val="num" w:pos="5040"/>
        </w:tabs>
        <w:ind w:left="5040" w:hanging="360"/>
      </w:pPr>
      <w:rPr>
        <w:rFonts w:ascii="Symbol" w:hAnsi="Symbol"/>
      </w:rPr>
    </w:lvl>
    <w:lvl w:ilvl="7" w:tplc="712C0ED2">
      <w:start w:val="1"/>
      <w:numFmt w:val="bullet"/>
      <w:lvlText w:val="o"/>
      <w:lvlJc w:val="left"/>
      <w:pPr>
        <w:tabs>
          <w:tab w:val="num" w:pos="5760"/>
        </w:tabs>
        <w:ind w:left="5760" w:hanging="360"/>
      </w:pPr>
      <w:rPr>
        <w:rFonts w:ascii="Courier New" w:hAnsi="Courier New"/>
      </w:rPr>
    </w:lvl>
    <w:lvl w:ilvl="8" w:tplc="D89EC45A">
      <w:start w:val="1"/>
      <w:numFmt w:val="bullet"/>
      <w:lvlText w:val=""/>
      <w:lvlJc w:val="left"/>
      <w:pPr>
        <w:tabs>
          <w:tab w:val="num" w:pos="6480"/>
        </w:tabs>
        <w:ind w:left="6480" w:hanging="360"/>
      </w:pPr>
      <w:rPr>
        <w:rFonts w:ascii="Wingdings" w:hAnsi="Wingdings"/>
      </w:rPr>
    </w:lvl>
  </w:abstractNum>
  <w:abstractNum w:abstractNumId="26" w15:restartNumberingAfterBreak="0">
    <w:nsid w:val="722304DC"/>
    <w:multiLevelType w:val="hybridMultilevel"/>
    <w:tmpl w:val="722304DC"/>
    <w:lvl w:ilvl="0" w:tplc="3ADA127E">
      <w:start w:val="1"/>
      <w:numFmt w:val="bullet"/>
      <w:lvlText w:val=""/>
      <w:lvlJc w:val="left"/>
      <w:pPr>
        <w:ind w:left="720" w:hanging="360"/>
      </w:pPr>
      <w:rPr>
        <w:rFonts w:ascii="Symbol" w:hAnsi="Symbol"/>
      </w:rPr>
    </w:lvl>
    <w:lvl w:ilvl="1" w:tplc="B46C498C">
      <w:start w:val="1"/>
      <w:numFmt w:val="bullet"/>
      <w:lvlText w:val="o"/>
      <w:lvlJc w:val="left"/>
      <w:pPr>
        <w:tabs>
          <w:tab w:val="num" w:pos="1440"/>
        </w:tabs>
        <w:ind w:left="1440" w:hanging="360"/>
      </w:pPr>
      <w:rPr>
        <w:rFonts w:ascii="Courier New" w:hAnsi="Courier New"/>
      </w:rPr>
    </w:lvl>
    <w:lvl w:ilvl="2" w:tplc="ECDE924E">
      <w:start w:val="1"/>
      <w:numFmt w:val="bullet"/>
      <w:lvlText w:val=""/>
      <w:lvlJc w:val="left"/>
      <w:pPr>
        <w:tabs>
          <w:tab w:val="num" w:pos="2160"/>
        </w:tabs>
        <w:ind w:left="2160" w:hanging="360"/>
      </w:pPr>
      <w:rPr>
        <w:rFonts w:ascii="Wingdings" w:hAnsi="Wingdings"/>
      </w:rPr>
    </w:lvl>
    <w:lvl w:ilvl="3" w:tplc="6422EB06">
      <w:start w:val="1"/>
      <w:numFmt w:val="bullet"/>
      <w:lvlText w:val=""/>
      <w:lvlJc w:val="left"/>
      <w:pPr>
        <w:tabs>
          <w:tab w:val="num" w:pos="2880"/>
        </w:tabs>
        <w:ind w:left="2880" w:hanging="360"/>
      </w:pPr>
      <w:rPr>
        <w:rFonts w:ascii="Symbol" w:hAnsi="Symbol"/>
      </w:rPr>
    </w:lvl>
    <w:lvl w:ilvl="4" w:tplc="FEE41A84">
      <w:start w:val="1"/>
      <w:numFmt w:val="bullet"/>
      <w:lvlText w:val="o"/>
      <w:lvlJc w:val="left"/>
      <w:pPr>
        <w:tabs>
          <w:tab w:val="num" w:pos="3600"/>
        </w:tabs>
        <w:ind w:left="3600" w:hanging="360"/>
      </w:pPr>
      <w:rPr>
        <w:rFonts w:ascii="Courier New" w:hAnsi="Courier New"/>
      </w:rPr>
    </w:lvl>
    <w:lvl w:ilvl="5" w:tplc="A19AF8BE">
      <w:start w:val="1"/>
      <w:numFmt w:val="bullet"/>
      <w:lvlText w:val=""/>
      <w:lvlJc w:val="left"/>
      <w:pPr>
        <w:tabs>
          <w:tab w:val="num" w:pos="4320"/>
        </w:tabs>
        <w:ind w:left="4320" w:hanging="360"/>
      </w:pPr>
      <w:rPr>
        <w:rFonts w:ascii="Wingdings" w:hAnsi="Wingdings"/>
      </w:rPr>
    </w:lvl>
    <w:lvl w:ilvl="6" w:tplc="12824D6C">
      <w:start w:val="1"/>
      <w:numFmt w:val="bullet"/>
      <w:lvlText w:val=""/>
      <w:lvlJc w:val="left"/>
      <w:pPr>
        <w:tabs>
          <w:tab w:val="num" w:pos="5040"/>
        </w:tabs>
        <w:ind w:left="5040" w:hanging="360"/>
      </w:pPr>
      <w:rPr>
        <w:rFonts w:ascii="Symbol" w:hAnsi="Symbol"/>
      </w:rPr>
    </w:lvl>
    <w:lvl w:ilvl="7" w:tplc="8A9E6270">
      <w:start w:val="1"/>
      <w:numFmt w:val="bullet"/>
      <w:lvlText w:val="o"/>
      <w:lvlJc w:val="left"/>
      <w:pPr>
        <w:tabs>
          <w:tab w:val="num" w:pos="5760"/>
        </w:tabs>
        <w:ind w:left="5760" w:hanging="360"/>
      </w:pPr>
      <w:rPr>
        <w:rFonts w:ascii="Courier New" w:hAnsi="Courier New"/>
      </w:rPr>
    </w:lvl>
    <w:lvl w:ilvl="8" w:tplc="F54641D8">
      <w:start w:val="1"/>
      <w:numFmt w:val="bullet"/>
      <w:lvlText w:val=""/>
      <w:lvlJc w:val="left"/>
      <w:pPr>
        <w:tabs>
          <w:tab w:val="num" w:pos="6480"/>
        </w:tabs>
        <w:ind w:left="6480" w:hanging="360"/>
      </w:pPr>
      <w:rPr>
        <w:rFonts w:ascii="Wingdings" w:hAnsi="Wingdings"/>
      </w:rPr>
    </w:lvl>
  </w:abstractNum>
  <w:abstractNum w:abstractNumId="27" w15:restartNumberingAfterBreak="0">
    <w:nsid w:val="722304DD"/>
    <w:multiLevelType w:val="hybridMultilevel"/>
    <w:tmpl w:val="722304DD"/>
    <w:lvl w:ilvl="0" w:tplc="FBF4669A">
      <w:start w:val="1"/>
      <w:numFmt w:val="bullet"/>
      <w:lvlText w:val=""/>
      <w:lvlJc w:val="left"/>
      <w:pPr>
        <w:ind w:left="720" w:hanging="360"/>
      </w:pPr>
      <w:rPr>
        <w:rFonts w:ascii="Symbol" w:hAnsi="Symbol"/>
      </w:rPr>
    </w:lvl>
    <w:lvl w:ilvl="1" w:tplc="A4E803CC">
      <w:start w:val="1"/>
      <w:numFmt w:val="bullet"/>
      <w:lvlText w:val="o"/>
      <w:lvlJc w:val="left"/>
      <w:pPr>
        <w:tabs>
          <w:tab w:val="num" w:pos="1440"/>
        </w:tabs>
        <w:ind w:left="1440" w:hanging="360"/>
      </w:pPr>
      <w:rPr>
        <w:rFonts w:ascii="Courier New" w:hAnsi="Courier New"/>
      </w:rPr>
    </w:lvl>
    <w:lvl w:ilvl="2" w:tplc="E9260254">
      <w:start w:val="1"/>
      <w:numFmt w:val="bullet"/>
      <w:lvlText w:val=""/>
      <w:lvlJc w:val="left"/>
      <w:pPr>
        <w:tabs>
          <w:tab w:val="num" w:pos="2160"/>
        </w:tabs>
        <w:ind w:left="2160" w:hanging="360"/>
      </w:pPr>
      <w:rPr>
        <w:rFonts w:ascii="Wingdings" w:hAnsi="Wingdings"/>
      </w:rPr>
    </w:lvl>
    <w:lvl w:ilvl="3" w:tplc="C08EB5BE">
      <w:start w:val="1"/>
      <w:numFmt w:val="bullet"/>
      <w:lvlText w:val=""/>
      <w:lvlJc w:val="left"/>
      <w:pPr>
        <w:tabs>
          <w:tab w:val="num" w:pos="2880"/>
        </w:tabs>
        <w:ind w:left="2880" w:hanging="360"/>
      </w:pPr>
      <w:rPr>
        <w:rFonts w:ascii="Symbol" w:hAnsi="Symbol"/>
      </w:rPr>
    </w:lvl>
    <w:lvl w:ilvl="4" w:tplc="DDE4F24A">
      <w:start w:val="1"/>
      <w:numFmt w:val="bullet"/>
      <w:lvlText w:val="o"/>
      <w:lvlJc w:val="left"/>
      <w:pPr>
        <w:tabs>
          <w:tab w:val="num" w:pos="3600"/>
        </w:tabs>
        <w:ind w:left="3600" w:hanging="360"/>
      </w:pPr>
      <w:rPr>
        <w:rFonts w:ascii="Courier New" w:hAnsi="Courier New"/>
      </w:rPr>
    </w:lvl>
    <w:lvl w:ilvl="5" w:tplc="C6E27202">
      <w:start w:val="1"/>
      <w:numFmt w:val="bullet"/>
      <w:lvlText w:val=""/>
      <w:lvlJc w:val="left"/>
      <w:pPr>
        <w:tabs>
          <w:tab w:val="num" w:pos="4320"/>
        </w:tabs>
        <w:ind w:left="4320" w:hanging="360"/>
      </w:pPr>
      <w:rPr>
        <w:rFonts w:ascii="Wingdings" w:hAnsi="Wingdings"/>
      </w:rPr>
    </w:lvl>
    <w:lvl w:ilvl="6" w:tplc="259E96F6">
      <w:start w:val="1"/>
      <w:numFmt w:val="bullet"/>
      <w:lvlText w:val=""/>
      <w:lvlJc w:val="left"/>
      <w:pPr>
        <w:tabs>
          <w:tab w:val="num" w:pos="5040"/>
        </w:tabs>
        <w:ind w:left="5040" w:hanging="360"/>
      </w:pPr>
      <w:rPr>
        <w:rFonts w:ascii="Symbol" w:hAnsi="Symbol"/>
      </w:rPr>
    </w:lvl>
    <w:lvl w:ilvl="7" w:tplc="C9AEB282">
      <w:start w:val="1"/>
      <w:numFmt w:val="bullet"/>
      <w:lvlText w:val="o"/>
      <w:lvlJc w:val="left"/>
      <w:pPr>
        <w:tabs>
          <w:tab w:val="num" w:pos="5760"/>
        </w:tabs>
        <w:ind w:left="5760" w:hanging="360"/>
      </w:pPr>
      <w:rPr>
        <w:rFonts w:ascii="Courier New" w:hAnsi="Courier New"/>
      </w:rPr>
    </w:lvl>
    <w:lvl w:ilvl="8" w:tplc="CA6045C2">
      <w:start w:val="1"/>
      <w:numFmt w:val="bullet"/>
      <w:lvlText w:val=""/>
      <w:lvlJc w:val="left"/>
      <w:pPr>
        <w:tabs>
          <w:tab w:val="num" w:pos="6480"/>
        </w:tabs>
        <w:ind w:left="6480" w:hanging="360"/>
      </w:pPr>
      <w:rPr>
        <w:rFonts w:ascii="Wingdings" w:hAnsi="Wingdings"/>
      </w:rPr>
    </w:lvl>
  </w:abstractNum>
  <w:abstractNum w:abstractNumId="28" w15:restartNumberingAfterBreak="0">
    <w:nsid w:val="722304DE"/>
    <w:multiLevelType w:val="hybridMultilevel"/>
    <w:tmpl w:val="722304DE"/>
    <w:lvl w:ilvl="0" w:tplc="3F727BE8">
      <w:start w:val="1"/>
      <w:numFmt w:val="bullet"/>
      <w:lvlText w:val=""/>
      <w:lvlJc w:val="left"/>
      <w:pPr>
        <w:ind w:left="720" w:hanging="360"/>
      </w:pPr>
      <w:rPr>
        <w:rFonts w:ascii="Symbol" w:hAnsi="Symbol"/>
      </w:rPr>
    </w:lvl>
    <w:lvl w:ilvl="1" w:tplc="0782789C">
      <w:start w:val="1"/>
      <w:numFmt w:val="bullet"/>
      <w:lvlText w:val="o"/>
      <w:lvlJc w:val="left"/>
      <w:pPr>
        <w:tabs>
          <w:tab w:val="num" w:pos="1440"/>
        </w:tabs>
        <w:ind w:left="1440" w:hanging="360"/>
      </w:pPr>
      <w:rPr>
        <w:rFonts w:ascii="Courier New" w:hAnsi="Courier New"/>
      </w:rPr>
    </w:lvl>
    <w:lvl w:ilvl="2" w:tplc="82683BB4">
      <w:start w:val="1"/>
      <w:numFmt w:val="bullet"/>
      <w:lvlText w:val=""/>
      <w:lvlJc w:val="left"/>
      <w:pPr>
        <w:tabs>
          <w:tab w:val="num" w:pos="2160"/>
        </w:tabs>
        <w:ind w:left="2160" w:hanging="360"/>
      </w:pPr>
      <w:rPr>
        <w:rFonts w:ascii="Wingdings" w:hAnsi="Wingdings"/>
      </w:rPr>
    </w:lvl>
    <w:lvl w:ilvl="3" w:tplc="EAFE95DE">
      <w:start w:val="1"/>
      <w:numFmt w:val="bullet"/>
      <w:lvlText w:val=""/>
      <w:lvlJc w:val="left"/>
      <w:pPr>
        <w:tabs>
          <w:tab w:val="num" w:pos="2880"/>
        </w:tabs>
        <w:ind w:left="2880" w:hanging="360"/>
      </w:pPr>
      <w:rPr>
        <w:rFonts w:ascii="Symbol" w:hAnsi="Symbol"/>
      </w:rPr>
    </w:lvl>
    <w:lvl w:ilvl="4" w:tplc="EC2C1C56">
      <w:start w:val="1"/>
      <w:numFmt w:val="bullet"/>
      <w:lvlText w:val="o"/>
      <w:lvlJc w:val="left"/>
      <w:pPr>
        <w:tabs>
          <w:tab w:val="num" w:pos="3600"/>
        </w:tabs>
        <w:ind w:left="3600" w:hanging="360"/>
      </w:pPr>
      <w:rPr>
        <w:rFonts w:ascii="Courier New" w:hAnsi="Courier New"/>
      </w:rPr>
    </w:lvl>
    <w:lvl w:ilvl="5" w:tplc="79485054">
      <w:start w:val="1"/>
      <w:numFmt w:val="bullet"/>
      <w:lvlText w:val=""/>
      <w:lvlJc w:val="left"/>
      <w:pPr>
        <w:tabs>
          <w:tab w:val="num" w:pos="4320"/>
        </w:tabs>
        <w:ind w:left="4320" w:hanging="360"/>
      </w:pPr>
      <w:rPr>
        <w:rFonts w:ascii="Wingdings" w:hAnsi="Wingdings"/>
      </w:rPr>
    </w:lvl>
    <w:lvl w:ilvl="6" w:tplc="0E46FEB8">
      <w:start w:val="1"/>
      <w:numFmt w:val="bullet"/>
      <w:lvlText w:val=""/>
      <w:lvlJc w:val="left"/>
      <w:pPr>
        <w:tabs>
          <w:tab w:val="num" w:pos="5040"/>
        </w:tabs>
        <w:ind w:left="5040" w:hanging="360"/>
      </w:pPr>
      <w:rPr>
        <w:rFonts w:ascii="Symbol" w:hAnsi="Symbol"/>
      </w:rPr>
    </w:lvl>
    <w:lvl w:ilvl="7" w:tplc="6E146690">
      <w:start w:val="1"/>
      <w:numFmt w:val="bullet"/>
      <w:lvlText w:val="o"/>
      <w:lvlJc w:val="left"/>
      <w:pPr>
        <w:tabs>
          <w:tab w:val="num" w:pos="5760"/>
        </w:tabs>
        <w:ind w:left="5760" w:hanging="360"/>
      </w:pPr>
      <w:rPr>
        <w:rFonts w:ascii="Courier New" w:hAnsi="Courier New"/>
      </w:rPr>
    </w:lvl>
    <w:lvl w:ilvl="8" w:tplc="1896A62C">
      <w:start w:val="1"/>
      <w:numFmt w:val="bullet"/>
      <w:lvlText w:val=""/>
      <w:lvlJc w:val="left"/>
      <w:pPr>
        <w:tabs>
          <w:tab w:val="num" w:pos="6480"/>
        </w:tabs>
        <w:ind w:left="6480" w:hanging="360"/>
      </w:pPr>
      <w:rPr>
        <w:rFonts w:ascii="Wingdings" w:hAnsi="Wingdings"/>
      </w:rPr>
    </w:lvl>
  </w:abstractNum>
  <w:abstractNum w:abstractNumId="29" w15:restartNumberingAfterBreak="0">
    <w:nsid w:val="722304DF"/>
    <w:multiLevelType w:val="hybridMultilevel"/>
    <w:tmpl w:val="722304DF"/>
    <w:lvl w:ilvl="0" w:tplc="E89436A0">
      <w:start w:val="1"/>
      <w:numFmt w:val="bullet"/>
      <w:lvlText w:val=""/>
      <w:lvlJc w:val="left"/>
      <w:pPr>
        <w:ind w:left="720" w:hanging="360"/>
      </w:pPr>
      <w:rPr>
        <w:rFonts w:ascii="Symbol" w:hAnsi="Symbol"/>
      </w:rPr>
    </w:lvl>
    <w:lvl w:ilvl="1" w:tplc="E1089BF0">
      <w:start w:val="1"/>
      <w:numFmt w:val="bullet"/>
      <w:lvlText w:val="o"/>
      <w:lvlJc w:val="left"/>
      <w:pPr>
        <w:tabs>
          <w:tab w:val="num" w:pos="1440"/>
        </w:tabs>
        <w:ind w:left="1440" w:hanging="360"/>
      </w:pPr>
      <w:rPr>
        <w:rFonts w:ascii="Courier New" w:hAnsi="Courier New"/>
      </w:rPr>
    </w:lvl>
    <w:lvl w:ilvl="2" w:tplc="B4FE0F1A">
      <w:start w:val="1"/>
      <w:numFmt w:val="bullet"/>
      <w:lvlText w:val=""/>
      <w:lvlJc w:val="left"/>
      <w:pPr>
        <w:tabs>
          <w:tab w:val="num" w:pos="2160"/>
        </w:tabs>
        <w:ind w:left="2160" w:hanging="360"/>
      </w:pPr>
      <w:rPr>
        <w:rFonts w:ascii="Wingdings" w:hAnsi="Wingdings"/>
      </w:rPr>
    </w:lvl>
    <w:lvl w:ilvl="3" w:tplc="9424A0B8">
      <w:start w:val="1"/>
      <w:numFmt w:val="bullet"/>
      <w:lvlText w:val=""/>
      <w:lvlJc w:val="left"/>
      <w:pPr>
        <w:tabs>
          <w:tab w:val="num" w:pos="2880"/>
        </w:tabs>
        <w:ind w:left="2880" w:hanging="360"/>
      </w:pPr>
      <w:rPr>
        <w:rFonts w:ascii="Symbol" w:hAnsi="Symbol"/>
      </w:rPr>
    </w:lvl>
    <w:lvl w:ilvl="4" w:tplc="3B7A2776">
      <w:start w:val="1"/>
      <w:numFmt w:val="bullet"/>
      <w:lvlText w:val="o"/>
      <w:lvlJc w:val="left"/>
      <w:pPr>
        <w:tabs>
          <w:tab w:val="num" w:pos="3600"/>
        </w:tabs>
        <w:ind w:left="3600" w:hanging="360"/>
      </w:pPr>
      <w:rPr>
        <w:rFonts w:ascii="Courier New" w:hAnsi="Courier New"/>
      </w:rPr>
    </w:lvl>
    <w:lvl w:ilvl="5" w:tplc="2E18B5FC">
      <w:start w:val="1"/>
      <w:numFmt w:val="bullet"/>
      <w:lvlText w:val=""/>
      <w:lvlJc w:val="left"/>
      <w:pPr>
        <w:tabs>
          <w:tab w:val="num" w:pos="4320"/>
        </w:tabs>
        <w:ind w:left="4320" w:hanging="360"/>
      </w:pPr>
      <w:rPr>
        <w:rFonts w:ascii="Wingdings" w:hAnsi="Wingdings"/>
      </w:rPr>
    </w:lvl>
    <w:lvl w:ilvl="6" w:tplc="1FD46640">
      <w:start w:val="1"/>
      <w:numFmt w:val="bullet"/>
      <w:lvlText w:val=""/>
      <w:lvlJc w:val="left"/>
      <w:pPr>
        <w:tabs>
          <w:tab w:val="num" w:pos="5040"/>
        </w:tabs>
        <w:ind w:left="5040" w:hanging="360"/>
      </w:pPr>
      <w:rPr>
        <w:rFonts w:ascii="Symbol" w:hAnsi="Symbol"/>
      </w:rPr>
    </w:lvl>
    <w:lvl w:ilvl="7" w:tplc="4282D018">
      <w:start w:val="1"/>
      <w:numFmt w:val="bullet"/>
      <w:lvlText w:val="o"/>
      <w:lvlJc w:val="left"/>
      <w:pPr>
        <w:tabs>
          <w:tab w:val="num" w:pos="5760"/>
        </w:tabs>
        <w:ind w:left="5760" w:hanging="360"/>
      </w:pPr>
      <w:rPr>
        <w:rFonts w:ascii="Courier New" w:hAnsi="Courier New"/>
      </w:rPr>
    </w:lvl>
    <w:lvl w:ilvl="8" w:tplc="D166AF62">
      <w:start w:val="1"/>
      <w:numFmt w:val="bullet"/>
      <w:lvlText w:val=""/>
      <w:lvlJc w:val="left"/>
      <w:pPr>
        <w:tabs>
          <w:tab w:val="num" w:pos="6480"/>
        </w:tabs>
        <w:ind w:left="6480" w:hanging="360"/>
      </w:pPr>
      <w:rPr>
        <w:rFonts w:ascii="Wingdings" w:hAnsi="Wingdings"/>
      </w:rPr>
    </w:lvl>
  </w:abstractNum>
  <w:abstractNum w:abstractNumId="30" w15:restartNumberingAfterBreak="0">
    <w:nsid w:val="722304E0"/>
    <w:multiLevelType w:val="hybridMultilevel"/>
    <w:tmpl w:val="722304E0"/>
    <w:lvl w:ilvl="0" w:tplc="C9D80CC6">
      <w:start w:val="1"/>
      <w:numFmt w:val="bullet"/>
      <w:lvlText w:val=""/>
      <w:lvlJc w:val="left"/>
      <w:pPr>
        <w:ind w:left="720" w:hanging="360"/>
      </w:pPr>
      <w:rPr>
        <w:rFonts w:ascii="Symbol" w:hAnsi="Symbol"/>
      </w:rPr>
    </w:lvl>
    <w:lvl w:ilvl="1" w:tplc="43A443F2">
      <w:start w:val="1"/>
      <w:numFmt w:val="bullet"/>
      <w:lvlText w:val="o"/>
      <w:lvlJc w:val="left"/>
      <w:pPr>
        <w:tabs>
          <w:tab w:val="num" w:pos="1440"/>
        </w:tabs>
        <w:ind w:left="1440" w:hanging="360"/>
      </w:pPr>
      <w:rPr>
        <w:rFonts w:ascii="Courier New" w:hAnsi="Courier New"/>
      </w:rPr>
    </w:lvl>
    <w:lvl w:ilvl="2" w:tplc="052CC906">
      <w:start w:val="1"/>
      <w:numFmt w:val="bullet"/>
      <w:lvlText w:val=""/>
      <w:lvlJc w:val="left"/>
      <w:pPr>
        <w:tabs>
          <w:tab w:val="num" w:pos="2160"/>
        </w:tabs>
        <w:ind w:left="2160" w:hanging="360"/>
      </w:pPr>
      <w:rPr>
        <w:rFonts w:ascii="Wingdings" w:hAnsi="Wingdings"/>
      </w:rPr>
    </w:lvl>
    <w:lvl w:ilvl="3" w:tplc="5EA0A9D8">
      <w:start w:val="1"/>
      <w:numFmt w:val="bullet"/>
      <w:lvlText w:val=""/>
      <w:lvlJc w:val="left"/>
      <w:pPr>
        <w:tabs>
          <w:tab w:val="num" w:pos="2880"/>
        </w:tabs>
        <w:ind w:left="2880" w:hanging="360"/>
      </w:pPr>
      <w:rPr>
        <w:rFonts w:ascii="Symbol" w:hAnsi="Symbol"/>
      </w:rPr>
    </w:lvl>
    <w:lvl w:ilvl="4" w:tplc="41060A08">
      <w:start w:val="1"/>
      <w:numFmt w:val="bullet"/>
      <w:lvlText w:val="o"/>
      <w:lvlJc w:val="left"/>
      <w:pPr>
        <w:tabs>
          <w:tab w:val="num" w:pos="3600"/>
        </w:tabs>
        <w:ind w:left="3600" w:hanging="360"/>
      </w:pPr>
      <w:rPr>
        <w:rFonts w:ascii="Courier New" w:hAnsi="Courier New"/>
      </w:rPr>
    </w:lvl>
    <w:lvl w:ilvl="5" w:tplc="25569E22">
      <w:start w:val="1"/>
      <w:numFmt w:val="bullet"/>
      <w:lvlText w:val=""/>
      <w:lvlJc w:val="left"/>
      <w:pPr>
        <w:tabs>
          <w:tab w:val="num" w:pos="4320"/>
        </w:tabs>
        <w:ind w:left="4320" w:hanging="360"/>
      </w:pPr>
      <w:rPr>
        <w:rFonts w:ascii="Wingdings" w:hAnsi="Wingdings"/>
      </w:rPr>
    </w:lvl>
    <w:lvl w:ilvl="6" w:tplc="F2DA2298">
      <w:start w:val="1"/>
      <w:numFmt w:val="bullet"/>
      <w:lvlText w:val=""/>
      <w:lvlJc w:val="left"/>
      <w:pPr>
        <w:tabs>
          <w:tab w:val="num" w:pos="5040"/>
        </w:tabs>
        <w:ind w:left="5040" w:hanging="360"/>
      </w:pPr>
      <w:rPr>
        <w:rFonts w:ascii="Symbol" w:hAnsi="Symbol"/>
      </w:rPr>
    </w:lvl>
    <w:lvl w:ilvl="7" w:tplc="AD948B9A">
      <w:start w:val="1"/>
      <w:numFmt w:val="bullet"/>
      <w:lvlText w:val="o"/>
      <w:lvlJc w:val="left"/>
      <w:pPr>
        <w:tabs>
          <w:tab w:val="num" w:pos="5760"/>
        </w:tabs>
        <w:ind w:left="5760" w:hanging="360"/>
      </w:pPr>
      <w:rPr>
        <w:rFonts w:ascii="Courier New" w:hAnsi="Courier New"/>
      </w:rPr>
    </w:lvl>
    <w:lvl w:ilvl="8" w:tplc="F92C9582">
      <w:start w:val="1"/>
      <w:numFmt w:val="bullet"/>
      <w:lvlText w:val=""/>
      <w:lvlJc w:val="left"/>
      <w:pPr>
        <w:tabs>
          <w:tab w:val="num" w:pos="6480"/>
        </w:tabs>
        <w:ind w:left="6480" w:hanging="360"/>
      </w:pPr>
      <w:rPr>
        <w:rFonts w:ascii="Wingdings" w:hAnsi="Wingdings"/>
      </w:rPr>
    </w:lvl>
  </w:abstractNum>
  <w:abstractNum w:abstractNumId="31" w15:restartNumberingAfterBreak="0">
    <w:nsid w:val="722304E1"/>
    <w:multiLevelType w:val="hybridMultilevel"/>
    <w:tmpl w:val="722304E1"/>
    <w:lvl w:ilvl="0" w:tplc="C798ADCC">
      <w:start w:val="1"/>
      <w:numFmt w:val="bullet"/>
      <w:lvlText w:val=""/>
      <w:lvlJc w:val="left"/>
      <w:pPr>
        <w:ind w:left="720" w:hanging="360"/>
      </w:pPr>
      <w:rPr>
        <w:rFonts w:ascii="Symbol" w:hAnsi="Symbol"/>
      </w:rPr>
    </w:lvl>
    <w:lvl w:ilvl="1" w:tplc="1DC47348">
      <w:start w:val="1"/>
      <w:numFmt w:val="bullet"/>
      <w:lvlText w:val="o"/>
      <w:lvlJc w:val="left"/>
      <w:pPr>
        <w:tabs>
          <w:tab w:val="num" w:pos="1440"/>
        </w:tabs>
        <w:ind w:left="1440" w:hanging="360"/>
      </w:pPr>
      <w:rPr>
        <w:rFonts w:ascii="Courier New" w:hAnsi="Courier New"/>
      </w:rPr>
    </w:lvl>
    <w:lvl w:ilvl="2" w:tplc="16807058">
      <w:start w:val="1"/>
      <w:numFmt w:val="bullet"/>
      <w:lvlText w:val=""/>
      <w:lvlJc w:val="left"/>
      <w:pPr>
        <w:tabs>
          <w:tab w:val="num" w:pos="2160"/>
        </w:tabs>
        <w:ind w:left="2160" w:hanging="360"/>
      </w:pPr>
      <w:rPr>
        <w:rFonts w:ascii="Wingdings" w:hAnsi="Wingdings"/>
      </w:rPr>
    </w:lvl>
    <w:lvl w:ilvl="3" w:tplc="6EEAA3CA">
      <w:start w:val="1"/>
      <w:numFmt w:val="bullet"/>
      <w:lvlText w:val=""/>
      <w:lvlJc w:val="left"/>
      <w:pPr>
        <w:tabs>
          <w:tab w:val="num" w:pos="2880"/>
        </w:tabs>
        <w:ind w:left="2880" w:hanging="360"/>
      </w:pPr>
      <w:rPr>
        <w:rFonts w:ascii="Symbol" w:hAnsi="Symbol"/>
      </w:rPr>
    </w:lvl>
    <w:lvl w:ilvl="4" w:tplc="E50EDDAE">
      <w:start w:val="1"/>
      <w:numFmt w:val="bullet"/>
      <w:lvlText w:val="o"/>
      <w:lvlJc w:val="left"/>
      <w:pPr>
        <w:tabs>
          <w:tab w:val="num" w:pos="3600"/>
        </w:tabs>
        <w:ind w:left="3600" w:hanging="360"/>
      </w:pPr>
      <w:rPr>
        <w:rFonts w:ascii="Courier New" w:hAnsi="Courier New"/>
      </w:rPr>
    </w:lvl>
    <w:lvl w:ilvl="5" w:tplc="F3802D50">
      <w:start w:val="1"/>
      <w:numFmt w:val="bullet"/>
      <w:lvlText w:val=""/>
      <w:lvlJc w:val="left"/>
      <w:pPr>
        <w:tabs>
          <w:tab w:val="num" w:pos="4320"/>
        </w:tabs>
        <w:ind w:left="4320" w:hanging="360"/>
      </w:pPr>
      <w:rPr>
        <w:rFonts w:ascii="Wingdings" w:hAnsi="Wingdings"/>
      </w:rPr>
    </w:lvl>
    <w:lvl w:ilvl="6" w:tplc="DDBE5DFA">
      <w:start w:val="1"/>
      <w:numFmt w:val="bullet"/>
      <w:lvlText w:val=""/>
      <w:lvlJc w:val="left"/>
      <w:pPr>
        <w:tabs>
          <w:tab w:val="num" w:pos="5040"/>
        </w:tabs>
        <w:ind w:left="5040" w:hanging="360"/>
      </w:pPr>
      <w:rPr>
        <w:rFonts w:ascii="Symbol" w:hAnsi="Symbol"/>
      </w:rPr>
    </w:lvl>
    <w:lvl w:ilvl="7" w:tplc="D42AD732">
      <w:start w:val="1"/>
      <w:numFmt w:val="bullet"/>
      <w:lvlText w:val="o"/>
      <w:lvlJc w:val="left"/>
      <w:pPr>
        <w:tabs>
          <w:tab w:val="num" w:pos="5760"/>
        </w:tabs>
        <w:ind w:left="5760" w:hanging="360"/>
      </w:pPr>
      <w:rPr>
        <w:rFonts w:ascii="Courier New" w:hAnsi="Courier New"/>
      </w:rPr>
    </w:lvl>
    <w:lvl w:ilvl="8" w:tplc="49444748">
      <w:start w:val="1"/>
      <w:numFmt w:val="bullet"/>
      <w:lvlText w:val=""/>
      <w:lvlJc w:val="left"/>
      <w:pPr>
        <w:tabs>
          <w:tab w:val="num" w:pos="6480"/>
        </w:tabs>
        <w:ind w:left="6480" w:hanging="360"/>
      </w:pPr>
      <w:rPr>
        <w:rFonts w:ascii="Wingdings" w:hAnsi="Wingdings"/>
      </w:rPr>
    </w:lvl>
  </w:abstractNum>
  <w:abstractNum w:abstractNumId="32" w15:restartNumberingAfterBreak="0">
    <w:nsid w:val="722304E2"/>
    <w:multiLevelType w:val="hybridMultilevel"/>
    <w:tmpl w:val="722304E2"/>
    <w:lvl w:ilvl="0" w:tplc="B210B6AA">
      <w:start w:val="1"/>
      <w:numFmt w:val="bullet"/>
      <w:lvlText w:val=""/>
      <w:lvlJc w:val="left"/>
      <w:pPr>
        <w:ind w:left="720" w:hanging="360"/>
      </w:pPr>
      <w:rPr>
        <w:rFonts w:ascii="Symbol" w:hAnsi="Symbol"/>
      </w:rPr>
    </w:lvl>
    <w:lvl w:ilvl="1" w:tplc="503A3000">
      <w:start w:val="1"/>
      <w:numFmt w:val="bullet"/>
      <w:lvlText w:val="o"/>
      <w:lvlJc w:val="left"/>
      <w:pPr>
        <w:tabs>
          <w:tab w:val="num" w:pos="1440"/>
        </w:tabs>
        <w:ind w:left="1440" w:hanging="360"/>
      </w:pPr>
      <w:rPr>
        <w:rFonts w:ascii="Courier New" w:hAnsi="Courier New"/>
      </w:rPr>
    </w:lvl>
    <w:lvl w:ilvl="2" w:tplc="C4D49B06">
      <w:start w:val="1"/>
      <w:numFmt w:val="bullet"/>
      <w:lvlText w:val=""/>
      <w:lvlJc w:val="left"/>
      <w:pPr>
        <w:tabs>
          <w:tab w:val="num" w:pos="2160"/>
        </w:tabs>
        <w:ind w:left="2160" w:hanging="360"/>
      </w:pPr>
      <w:rPr>
        <w:rFonts w:ascii="Wingdings" w:hAnsi="Wingdings"/>
      </w:rPr>
    </w:lvl>
    <w:lvl w:ilvl="3" w:tplc="D286DF0A">
      <w:start w:val="1"/>
      <w:numFmt w:val="bullet"/>
      <w:lvlText w:val=""/>
      <w:lvlJc w:val="left"/>
      <w:pPr>
        <w:tabs>
          <w:tab w:val="num" w:pos="2880"/>
        </w:tabs>
        <w:ind w:left="2880" w:hanging="360"/>
      </w:pPr>
      <w:rPr>
        <w:rFonts w:ascii="Symbol" w:hAnsi="Symbol"/>
      </w:rPr>
    </w:lvl>
    <w:lvl w:ilvl="4" w:tplc="120CD0FA">
      <w:start w:val="1"/>
      <w:numFmt w:val="bullet"/>
      <w:lvlText w:val="o"/>
      <w:lvlJc w:val="left"/>
      <w:pPr>
        <w:tabs>
          <w:tab w:val="num" w:pos="3600"/>
        </w:tabs>
        <w:ind w:left="3600" w:hanging="360"/>
      </w:pPr>
      <w:rPr>
        <w:rFonts w:ascii="Courier New" w:hAnsi="Courier New"/>
      </w:rPr>
    </w:lvl>
    <w:lvl w:ilvl="5" w:tplc="AF7A88DC">
      <w:start w:val="1"/>
      <w:numFmt w:val="bullet"/>
      <w:lvlText w:val=""/>
      <w:lvlJc w:val="left"/>
      <w:pPr>
        <w:tabs>
          <w:tab w:val="num" w:pos="4320"/>
        </w:tabs>
        <w:ind w:left="4320" w:hanging="360"/>
      </w:pPr>
      <w:rPr>
        <w:rFonts w:ascii="Wingdings" w:hAnsi="Wingdings"/>
      </w:rPr>
    </w:lvl>
    <w:lvl w:ilvl="6" w:tplc="D1FC5988">
      <w:start w:val="1"/>
      <w:numFmt w:val="bullet"/>
      <w:lvlText w:val=""/>
      <w:lvlJc w:val="left"/>
      <w:pPr>
        <w:tabs>
          <w:tab w:val="num" w:pos="5040"/>
        </w:tabs>
        <w:ind w:left="5040" w:hanging="360"/>
      </w:pPr>
      <w:rPr>
        <w:rFonts w:ascii="Symbol" w:hAnsi="Symbol"/>
      </w:rPr>
    </w:lvl>
    <w:lvl w:ilvl="7" w:tplc="30BE376C">
      <w:start w:val="1"/>
      <w:numFmt w:val="bullet"/>
      <w:lvlText w:val="o"/>
      <w:lvlJc w:val="left"/>
      <w:pPr>
        <w:tabs>
          <w:tab w:val="num" w:pos="5760"/>
        </w:tabs>
        <w:ind w:left="5760" w:hanging="360"/>
      </w:pPr>
      <w:rPr>
        <w:rFonts w:ascii="Courier New" w:hAnsi="Courier New"/>
      </w:rPr>
    </w:lvl>
    <w:lvl w:ilvl="8" w:tplc="A1664CFE">
      <w:start w:val="1"/>
      <w:numFmt w:val="bullet"/>
      <w:lvlText w:val=""/>
      <w:lvlJc w:val="left"/>
      <w:pPr>
        <w:tabs>
          <w:tab w:val="num" w:pos="6480"/>
        </w:tabs>
        <w:ind w:left="6480" w:hanging="360"/>
      </w:pPr>
      <w:rPr>
        <w:rFonts w:ascii="Wingdings" w:hAnsi="Wingdings"/>
      </w:rPr>
    </w:lvl>
  </w:abstractNum>
  <w:abstractNum w:abstractNumId="33" w15:restartNumberingAfterBreak="0">
    <w:nsid w:val="722304E3"/>
    <w:multiLevelType w:val="hybridMultilevel"/>
    <w:tmpl w:val="722304E3"/>
    <w:lvl w:ilvl="0" w:tplc="83586D4A">
      <w:start w:val="1"/>
      <w:numFmt w:val="bullet"/>
      <w:lvlText w:val=""/>
      <w:lvlJc w:val="left"/>
      <w:pPr>
        <w:ind w:left="720" w:hanging="360"/>
      </w:pPr>
      <w:rPr>
        <w:rFonts w:ascii="Symbol" w:hAnsi="Symbol"/>
      </w:rPr>
    </w:lvl>
    <w:lvl w:ilvl="1" w:tplc="0C52065E">
      <w:start w:val="1"/>
      <w:numFmt w:val="bullet"/>
      <w:lvlText w:val="o"/>
      <w:lvlJc w:val="left"/>
      <w:pPr>
        <w:tabs>
          <w:tab w:val="num" w:pos="1440"/>
        </w:tabs>
        <w:ind w:left="1440" w:hanging="360"/>
      </w:pPr>
      <w:rPr>
        <w:rFonts w:ascii="Courier New" w:hAnsi="Courier New"/>
      </w:rPr>
    </w:lvl>
    <w:lvl w:ilvl="2" w:tplc="B9663702">
      <w:start w:val="1"/>
      <w:numFmt w:val="bullet"/>
      <w:lvlText w:val=""/>
      <w:lvlJc w:val="left"/>
      <w:pPr>
        <w:tabs>
          <w:tab w:val="num" w:pos="2160"/>
        </w:tabs>
        <w:ind w:left="2160" w:hanging="360"/>
      </w:pPr>
      <w:rPr>
        <w:rFonts w:ascii="Wingdings" w:hAnsi="Wingdings"/>
      </w:rPr>
    </w:lvl>
    <w:lvl w:ilvl="3" w:tplc="BD0CFEB0">
      <w:start w:val="1"/>
      <w:numFmt w:val="bullet"/>
      <w:lvlText w:val=""/>
      <w:lvlJc w:val="left"/>
      <w:pPr>
        <w:tabs>
          <w:tab w:val="num" w:pos="2880"/>
        </w:tabs>
        <w:ind w:left="2880" w:hanging="360"/>
      </w:pPr>
      <w:rPr>
        <w:rFonts w:ascii="Symbol" w:hAnsi="Symbol"/>
      </w:rPr>
    </w:lvl>
    <w:lvl w:ilvl="4" w:tplc="6140543C">
      <w:start w:val="1"/>
      <w:numFmt w:val="bullet"/>
      <w:lvlText w:val="o"/>
      <w:lvlJc w:val="left"/>
      <w:pPr>
        <w:tabs>
          <w:tab w:val="num" w:pos="3600"/>
        </w:tabs>
        <w:ind w:left="3600" w:hanging="360"/>
      </w:pPr>
      <w:rPr>
        <w:rFonts w:ascii="Courier New" w:hAnsi="Courier New"/>
      </w:rPr>
    </w:lvl>
    <w:lvl w:ilvl="5" w:tplc="DEA26FF4">
      <w:start w:val="1"/>
      <w:numFmt w:val="bullet"/>
      <w:lvlText w:val=""/>
      <w:lvlJc w:val="left"/>
      <w:pPr>
        <w:tabs>
          <w:tab w:val="num" w:pos="4320"/>
        </w:tabs>
        <w:ind w:left="4320" w:hanging="360"/>
      </w:pPr>
      <w:rPr>
        <w:rFonts w:ascii="Wingdings" w:hAnsi="Wingdings"/>
      </w:rPr>
    </w:lvl>
    <w:lvl w:ilvl="6" w:tplc="680E7298">
      <w:start w:val="1"/>
      <w:numFmt w:val="bullet"/>
      <w:lvlText w:val=""/>
      <w:lvlJc w:val="left"/>
      <w:pPr>
        <w:tabs>
          <w:tab w:val="num" w:pos="5040"/>
        </w:tabs>
        <w:ind w:left="5040" w:hanging="360"/>
      </w:pPr>
      <w:rPr>
        <w:rFonts w:ascii="Symbol" w:hAnsi="Symbol"/>
      </w:rPr>
    </w:lvl>
    <w:lvl w:ilvl="7" w:tplc="D4FC40D4">
      <w:start w:val="1"/>
      <w:numFmt w:val="bullet"/>
      <w:lvlText w:val="o"/>
      <w:lvlJc w:val="left"/>
      <w:pPr>
        <w:tabs>
          <w:tab w:val="num" w:pos="5760"/>
        </w:tabs>
        <w:ind w:left="5760" w:hanging="360"/>
      </w:pPr>
      <w:rPr>
        <w:rFonts w:ascii="Courier New" w:hAnsi="Courier New"/>
      </w:rPr>
    </w:lvl>
    <w:lvl w:ilvl="8" w:tplc="528AF186">
      <w:start w:val="1"/>
      <w:numFmt w:val="bullet"/>
      <w:lvlText w:val=""/>
      <w:lvlJc w:val="left"/>
      <w:pPr>
        <w:tabs>
          <w:tab w:val="num" w:pos="6480"/>
        </w:tabs>
        <w:ind w:left="6480" w:hanging="360"/>
      </w:pPr>
      <w:rPr>
        <w:rFonts w:ascii="Wingdings" w:hAnsi="Wingdings"/>
      </w:rPr>
    </w:lvl>
  </w:abstractNum>
  <w:abstractNum w:abstractNumId="34" w15:restartNumberingAfterBreak="0">
    <w:nsid w:val="722304E4"/>
    <w:multiLevelType w:val="hybridMultilevel"/>
    <w:tmpl w:val="722304E4"/>
    <w:lvl w:ilvl="0" w:tplc="39D4F06C">
      <w:start w:val="1"/>
      <w:numFmt w:val="bullet"/>
      <w:lvlText w:val=""/>
      <w:lvlJc w:val="left"/>
      <w:pPr>
        <w:ind w:left="720" w:hanging="360"/>
      </w:pPr>
      <w:rPr>
        <w:rFonts w:ascii="Symbol" w:hAnsi="Symbol"/>
      </w:rPr>
    </w:lvl>
    <w:lvl w:ilvl="1" w:tplc="0D5E3E6C">
      <w:start w:val="1"/>
      <w:numFmt w:val="bullet"/>
      <w:lvlText w:val="o"/>
      <w:lvlJc w:val="left"/>
      <w:pPr>
        <w:tabs>
          <w:tab w:val="num" w:pos="1440"/>
        </w:tabs>
        <w:ind w:left="1440" w:hanging="360"/>
      </w:pPr>
      <w:rPr>
        <w:rFonts w:ascii="Courier New" w:hAnsi="Courier New"/>
      </w:rPr>
    </w:lvl>
    <w:lvl w:ilvl="2" w:tplc="FF4CA2BE">
      <w:start w:val="1"/>
      <w:numFmt w:val="bullet"/>
      <w:lvlText w:val=""/>
      <w:lvlJc w:val="left"/>
      <w:pPr>
        <w:tabs>
          <w:tab w:val="num" w:pos="2160"/>
        </w:tabs>
        <w:ind w:left="2160" w:hanging="360"/>
      </w:pPr>
      <w:rPr>
        <w:rFonts w:ascii="Wingdings" w:hAnsi="Wingdings"/>
      </w:rPr>
    </w:lvl>
    <w:lvl w:ilvl="3" w:tplc="D7B8380C">
      <w:start w:val="1"/>
      <w:numFmt w:val="bullet"/>
      <w:lvlText w:val=""/>
      <w:lvlJc w:val="left"/>
      <w:pPr>
        <w:tabs>
          <w:tab w:val="num" w:pos="2880"/>
        </w:tabs>
        <w:ind w:left="2880" w:hanging="360"/>
      </w:pPr>
      <w:rPr>
        <w:rFonts w:ascii="Symbol" w:hAnsi="Symbol"/>
      </w:rPr>
    </w:lvl>
    <w:lvl w:ilvl="4" w:tplc="7D98CE7C">
      <w:start w:val="1"/>
      <w:numFmt w:val="bullet"/>
      <w:lvlText w:val="o"/>
      <w:lvlJc w:val="left"/>
      <w:pPr>
        <w:tabs>
          <w:tab w:val="num" w:pos="3600"/>
        </w:tabs>
        <w:ind w:left="3600" w:hanging="360"/>
      </w:pPr>
      <w:rPr>
        <w:rFonts w:ascii="Courier New" w:hAnsi="Courier New"/>
      </w:rPr>
    </w:lvl>
    <w:lvl w:ilvl="5" w:tplc="11D0DBFA">
      <w:start w:val="1"/>
      <w:numFmt w:val="bullet"/>
      <w:lvlText w:val=""/>
      <w:lvlJc w:val="left"/>
      <w:pPr>
        <w:tabs>
          <w:tab w:val="num" w:pos="4320"/>
        </w:tabs>
        <w:ind w:left="4320" w:hanging="360"/>
      </w:pPr>
      <w:rPr>
        <w:rFonts w:ascii="Wingdings" w:hAnsi="Wingdings"/>
      </w:rPr>
    </w:lvl>
    <w:lvl w:ilvl="6" w:tplc="8C1A2FE4">
      <w:start w:val="1"/>
      <w:numFmt w:val="bullet"/>
      <w:lvlText w:val=""/>
      <w:lvlJc w:val="left"/>
      <w:pPr>
        <w:tabs>
          <w:tab w:val="num" w:pos="5040"/>
        </w:tabs>
        <w:ind w:left="5040" w:hanging="360"/>
      </w:pPr>
      <w:rPr>
        <w:rFonts w:ascii="Symbol" w:hAnsi="Symbol"/>
      </w:rPr>
    </w:lvl>
    <w:lvl w:ilvl="7" w:tplc="BD3E7CE4">
      <w:start w:val="1"/>
      <w:numFmt w:val="bullet"/>
      <w:lvlText w:val="o"/>
      <w:lvlJc w:val="left"/>
      <w:pPr>
        <w:tabs>
          <w:tab w:val="num" w:pos="5760"/>
        </w:tabs>
        <w:ind w:left="5760" w:hanging="360"/>
      </w:pPr>
      <w:rPr>
        <w:rFonts w:ascii="Courier New" w:hAnsi="Courier New"/>
      </w:rPr>
    </w:lvl>
    <w:lvl w:ilvl="8" w:tplc="9CDABD5E">
      <w:start w:val="1"/>
      <w:numFmt w:val="bullet"/>
      <w:lvlText w:val=""/>
      <w:lvlJc w:val="left"/>
      <w:pPr>
        <w:tabs>
          <w:tab w:val="num" w:pos="6480"/>
        </w:tabs>
        <w:ind w:left="6480" w:hanging="360"/>
      </w:pPr>
      <w:rPr>
        <w:rFonts w:ascii="Wingdings" w:hAnsi="Wingdings"/>
      </w:rPr>
    </w:lvl>
  </w:abstractNum>
  <w:abstractNum w:abstractNumId="35" w15:restartNumberingAfterBreak="0">
    <w:nsid w:val="722304E5"/>
    <w:multiLevelType w:val="hybridMultilevel"/>
    <w:tmpl w:val="722304E5"/>
    <w:lvl w:ilvl="0" w:tplc="4BF44F1C">
      <w:start w:val="1"/>
      <w:numFmt w:val="bullet"/>
      <w:lvlText w:val=""/>
      <w:lvlJc w:val="left"/>
      <w:pPr>
        <w:ind w:left="720" w:hanging="360"/>
      </w:pPr>
      <w:rPr>
        <w:rFonts w:ascii="Symbol" w:hAnsi="Symbol"/>
      </w:rPr>
    </w:lvl>
    <w:lvl w:ilvl="1" w:tplc="4006A63C">
      <w:start w:val="1"/>
      <w:numFmt w:val="bullet"/>
      <w:lvlText w:val="o"/>
      <w:lvlJc w:val="left"/>
      <w:pPr>
        <w:tabs>
          <w:tab w:val="num" w:pos="1440"/>
        </w:tabs>
        <w:ind w:left="1440" w:hanging="360"/>
      </w:pPr>
      <w:rPr>
        <w:rFonts w:ascii="Courier New" w:hAnsi="Courier New"/>
      </w:rPr>
    </w:lvl>
    <w:lvl w:ilvl="2" w:tplc="F45E648E">
      <w:start w:val="1"/>
      <w:numFmt w:val="bullet"/>
      <w:lvlText w:val=""/>
      <w:lvlJc w:val="left"/>
      <w:pPr>
        <w:tabs>
          <w:tab w:val="num" w:pos="2160"/>
        </w:tabs>
        <w:ind w:left="2160" w:hanging="360"/>
      </w:pPr>
      <w:rPr>
        <w:rFonts w:ascii="Wingdings" w:hAnsi="Wingdings"/>
      </w:rPr>
    </w:lvl>
    <w:lvl w:ilvl="3" w:tplc="252A0CAC">
      <w:start w:val="1"/>
      <w:numFmt w:val="bullet"/>
      <w:lvlText w:val=""/>
      <w:lvlJc w:val="left"/>
      <w:pPr>
        <w:tabs>
          <w:tab w:val="num" w:pos="2880"/>
        </w:tabs>
        <w:ind w:left="2880" w:hanging="360"/>
      </w:pPr>
      <w:rPr>
        <w:rFonts w:ascii="Symbol" w:hAnsi="Symbol"/>
      </w:rPr>
    </w:lvl>
    <w:lvl w:ilvl="4" w:tplc="92F658BA">
      <w:start w:val="1"/>
      <w:numFmt w:val="bullet"/>
      <w:lvlText w:val="o"/>
      <w:lvlJc w:val="left"/>
      <w:pPr>
        <w:tabs>
          <w:tab w:val="num" w:pos="3600"/>
        </w:tabs>
        <w:ind w:left="3600" w:hanging="360"/>
      </w:pPr>
      <w:rPr>
        <w:rFonts w:ascii="Courier New" w:hAnsi="Courier New"/>
      </w:rPr>
    </w:lvl>
    <w:lvl w:ilvl="5" w:tplc="2BCEE4AE">
      <w:start w:val="1"/>
      <w:numFmt w:val="bullet"/>
      <w:lvlText w:val=""/>
      <w:lvlJc w:val="left"/>
      <w:pPr>
        <w:tabs>
          <w:tab w:val="num" w:pos="4320"/>
        </w:tabs>
        <w:ind w:left="4320" w:hanging="360"/>
      </w:pPr>
      <w:rPr>
        <w:rFonts w:ascii="Wingdings" w:hAnsi="Wingdings"/>
      </w:rPr>
    </w:lvl>
    <w:lvl w:ilvl="6" w:tplc="AB6A88A6">
      <w:start w:val="1"/>
      <w:numFmt w:val="bullet"/>
      <w:lvlText w:val=""/>
      <w:lvlJc w:val="left"/>
      <w:pPr>
        <w:tabs>
          <w:tab w:val="num" w:pos="5040"/>
        </w:tabs>
        <w:ind w:left="5040" w:hanging="360"/>
      </w:pPr>
      <w:rPr>
        <w:rFonts w:ascii="Symbol" w:hAnsi="Symbol"/>
      </w:rPr>
    </w:lvl>
    <w:lvl w:ilvl="7" w:tplc="C450B702">
      <w:start w:val="1"/>
      <w:numFmt w:val="bullet"/>
      <w:lvlText w:val="o"/>
      <w:lvlJc w:val="left"/>
      <w:pPr>
        <w:tabs>
          <w:tab w:val="num" w:pos="5760"/>
        </w:tabs>
        <w:ind w:left="5760" w:hanging="360"/>
      </w:pPr>
      <w:rPr>
        <w:rFonts w:ascii="Courier New" w:hAnsi="Courier New"/>
      </w:rPr>
    </w:lvl>
    <w:lvl w:ilvl="8" w:tplc="4970BC8A">
      <w:start w:val="1"/>
      <w:numFmt w:val="bullet"/>
      <w:lvlText w:val=""/>
      <w:lvlJc w:val="left"/>
      <w:pPr>
        <w:tabs>
          <w:tab w:val="num" w:pos="6480"/>
        </w:tabs>
        <w:ind w:left="6480" w:hanging="360"/>
      </w:pPr>
      <w:rPr>
        <w:rFonts w:ascii="Wingdings" w:hAnsi="Wingdings"/>
      </w:rPr>
    </w:lvl>
  </w:abstractNum>
  <w:abstractNum w:abstractNumId="36" w15:restartNumberingAfterBreak="0">
    <w:nsid w:val="722304E6"/>
    <w:multiLevelType w:val="hybridMultilevel"/>
    <w:tmpl w:val="722304E6"/>
    <w:lvl w:ilvl="0" w:tplc="F1EA4E70">
      <w:start w:val="1"/>
      <w:numFmt w:val="bullet"/>
      <w:lvlText w:val=""/>
      <w:lvlJc w:val="left"/>
      <w:pPr>
        <w:ind w:left="720" w:hanging="360"/>
      </w:pPr>
      <w:rPr>
        <w:rFonts w:ascii="Symbol" w:hAnsi="Symbol"/>
      </w:rPr>
    </w:lvl>
    <w:lvl w:ilvl="1" w:tplc="947AA5D2">
      <w:start w:val="1"/>
      <w:numFmt w:val="bullet"/>
      <w:lvlText w:val="o"/>
      <w:lvlJc w:val="left"/>
      <w:pPr>
        <w:tabs>
          <w:tab w:val="num" w:pos="1440"/>
        </w:tabs>
        <w:ind w:left="1440" w:hanging="360"/>
      </w:pPr>
      <w:rPr>
        <w:rFonts w:ascii="Courier New" w:hAnsi="Courier New"/>
      </w:rPr>
    </w:lvl>
    <w:lvl w:ilvl="2" w:tplc="041E466C">
      <w:start w:val="1"/>
      <w:numFmt w:val="bullet"/>
      <w:lvlText w:val=""/>
      <w:lvlJc w:val="left"/>
      <w:pPr>
        <w:tabs>
          <w:tab w:val="num" w:pos="2160"/>
        </w:tabs>
        <w:ind w:left="2160" w:hanging="360"/>
      </w:pPr>
      <w:rPr>
        <w:rFonts w:ascii="Wingdings" w:hAnsi="Wingdings"/>
      </w:rPr>
    </w:lvl>
    <w:lvl w:ilvl="3" w:tplc="08867B1E">
      <w:start w:val="1"/>
      <w:numFmt w:val="bullet"/>
      <w:lvlText w:val=""/>
      <w:lvlJc w:val="left"/>
      <w:pPr>
        <w:tabs>
          <w:tab w:val="num" w:pos="2880"/>
        </w:tabs>
        <w:ind w:left="2880" w:hanging="360"/>
      </w:pPr>
      <w:rPr>
        <w:rFonts w:ascii="Symbol" w:hAnsi="Symbol"/>
      </w:rPr>
    </w:lvl>
    <w:lvl w:ilvl="4" w:tplc="C3D68F54">
      <w:start w:val="1"/>
      <w:numFmt w:val="bullet"/>
      <w:lvlText w:val="o"/>
      <w:lvlJc w:val="left"/>
      <w:pPr>
        <w:tabs>
          <w:tab w:val="num" w:pos="3600"/>
        </w:tabs>
        <w:ind w:left="3600" w:hanging="360"/>
      </w:pPr>
      <w:rPr>
        <w:rFonts w:ascii="Courier New" w:hAnsi="Courier New"/>
      </w:rPr>
    </w:lvl>
    <w:lvl w:ilvl="5" w:tplc="066A8ADA">
      <w:start w:val="1"/>
      <w:numFmt w:val="bullet"/>
      <w:lvlText w:val=""/>
      <w:lvlJc w:val="left"/>
      <w:pPr>
        <w:tabs>
          <w:tab w:val="num" w:pos="4320"/>
        </w:tabs>
        <w:ind w:left="4320" w:hanging="360"/>
      </w:pPr>
      <w:rPr>
        <w:rFonts w:ascii="Wingdings" w:hAnsi="Wingdings"/>
      </w:rPr>
    </w:lvl>
    <w:lvl w:ilvl="6" w:tplc="7512B526">
      <w:start w:val="1"/>
      <w:numFmt w:val="bullet"/>
      <w:lvlText w:val=""/>
      <w:lvlJc w:val="left"/>
      <w:pPr>
        <w:tabs>
          <w:tab w:val="num" w:pos="5040"/>
        </w:tabs>
        <w:ind w:left="5040" w:hanging="360"/>
      </w:pPr>
      <w:rPr>
        <w:rFonts w:ascii="Symbol" w:hAnsi="Symbol"/>
      </w:rPr>
    </w:lvl>
    <w:lvl w:ilvl="7" w:tplc="18DCF740">
      <w:start w:val="1"/>
      <w:numFmt w:val="bullet"/>
      <w:lvlText w:val="o"/>
      <w:lvlJc w:val="left"/>
      <w:pPr>
        <w:tabs>
          <w:tab w:val="num" w:pos="5760"/>
        </w:tabs>
        <w:ind w:left="5760" w:hanging="360"/>
      </w:pPr>
      <w:rPr>
        <w:rFonts w:ascii="Courier New" w:hAnsi="Courier New"/>
      </w:rPr>
    </w:lvl>
    <w:lvl w:ilvl="8" w:tplc="0BB8EB76">
      <w:start w:val="1"/>
      <w:numFmt w:val="bullet"/>
      <w:lvlText w:val=""/>
      <w:lvlJc w:val="left"/>
      <w:pPr>
        <w:tabs>
          <w:tab w:val="num" w:pos="6480"/>
        </w:tabs>
        <w:ind w:left="6480" w:hanging="360"/>
      </w:pPr>
      <w:rPr>
        <w:rFonts w:ascii="Wingdings" w:hAnsi="Wingdings"/>
      </w:rPr>
    </w:lvl>
  </w:abstractNum>
  <w:abstractNum w:abstractNumId="37" w15:restartNumberingAfterBreak="0">
    <w:nsid w:val="722304E7"/>
    <w:multiLevelType w:val="hybridMultilevel"/>
    <w:tmpl w:val="722304E7"/>
    <w:lvl w:ilvl="0" w:tplc="DE166F12">
      <w:start w:val="1"/>
      <w:numFmt w:val="bullet"/>
      <w:lvlText w:val=""/>
      <w:lvlJc w:val="left"/>
      <w:pPr>
        <w:ind w:left="720" w:hanging="360"/>
      </w:pPr>
      <w:rPr>
        <w:rFonts w:ascii="Symbol" w:hAnsi="Symbol"/>
      </w:rPr>
    </w:lvl>
    <w:lvl w:ilvl="1" w:tplc="9FD8C626">
      <w:start w:val="1"/>
      <w:numFmt w:val="bullet"/>
      <w:lvlText w:val="o"/>
      <w:lvlJc w:val="left"/>
      <w:pPr>
        <w:tabs>
          <w:tab w:val="num" w:pos="1440"/>
        </w:tabs>
        <w:ind w:left="1440" w:hanging="360"/>
      </w:pPr>
      <w:rPr>
        <w:rFonts w:ascii="Courier New" w:hAnsi="Courier New"/>
      </w:rPr>
    </w:lvl>
    <w:lvl w:ilvl="2" w:tplc="5CE06A3E">
      <w:start w:val="1"/>
      <w:numFmt w:val="bullet"/>
      <w:lvlText w:val=""/>
      <w:lvlJc w:val="left"/>
      <w:pPr>
        <w:tabs>
          <w:tab w:val="num" w:pos="2160"/>
        </w:tabs>
        <w:ind w:left="2160" w:hanging="360"/>
      </w:pPr>
      <w:rPr>
        <w:rFonts w:ascii="Wingdings" w:hAnsi="Wingdings"/>
      </w:rPr>
    </w:lvl>
    <w:lvl w:ilvl="3" w:tplc="55EA7F56">
      <w:start w:val="1"/>
      <w:numFmt w:val="bullet"/>
      <w:lvlText w:val=""/>
      <w:lvlJc w:val="left"/>
      <w:pPr>
        <w:tabs>
          <w:tab w:val="num" w:pos="2880"/>
        </w:tabs>
        <w:ind w:left="2880" w:hanging="360"/>
      </w:pPr>
      <w:rPr>
        <w:rFonts w:ascii="Symbol" w:hAnsi="Symbol"/>
      </w:rPr>
    </w:lvl>
    <w:lvl w:ilvl="4" w:tplc="67A6E348">
      <w:start w:val="1"/>
      <w:numFmt w:val="bullet"/>
      <w:lvlText w:val="o"/>
      <w:lvlJc w:val="left"/>
      <w:pPr>
        <w:tabs>
          <w:tab w:val="num" w:pos="3600"/>
        </w:tabs>
        <w:ind w:left="3600" w:hanging="360"/>
      </w:pPr>
      <w:rPr>
        <w:rFonts w:ascii="Courier New" w:hAnsi="Courier New"/>
      </w:rPr>
    </w:lvl>
    <w:lvl w:ilvl="5" w:tplc="FB20A3F4">
      <w:start w:val="1"/>
      <w:numFmt w:val="bullet"/>
      <w:lvlText w:val=""/>
      <w:lvlJc w:val="left"/>
      <w:pPr>
        <w:tabs>
          <w:tab w:val="num" w:pos="4320"/>
        </w:tabs>
        <w:ind w:left="4320" w:hanging="360"/>
      </w:pPr>
      <w:rPr>
        <w:rFonts w:ascii="Wingdings" w:hAnsi="Wingdings"/>
      </w:rPr>
    </w:lvl>
    <w:lvl w:ilvl="6" w:tplc="5980E72C">
      <w:start w:val="1"/>
      <w:numFmt w:val="bullet"/>
      <w:lvlText w:val=""/>
      <w:lvlJc w:val="left"/>
      <w:pPr>
        <w:tabs>
          <w:tab w:val="num" w:pos="5040"/>
        </w:tabs>
        <w:ind w:left="5040" w:hanging="360"/>
      </w:pPr>
      <w:rPr>
        <w:rFonts w:ascii="Symbol" w:hAnsi="Symbol"/>
      </w:rPr>
    </w:lvl>
    <w:lvl w:ilvl="7" w:tplc="078ABB5A">
      <w:start w:val="1"/>
      <w:numFmt w:val="bullet"/>
      <w:lvlText w:val="o"/>
      <w:lvlJc w:val="left"/>
      <w:pPr>
        <w:tabs>
          <w:tab w:val="num" w:pos="5760"/>
        </w:tabs>
        <w:ind w:left="5760" w:hanging="360"/>
      </w:pPr>
      <w:rPr>
        <w:rFonts w:ascii="Courier New" w:hAnsi="Courier New"/>
      </w:rPr>
    </w:lvl>
    <w:lvl w:ilvl="8" w:tplc="117C09A4">
      <w:start w:val="1"/>
      <w:numFmt w:val="bullet"/>
      <w:lvlText w:val=""/>
      <w:lvlJc w:val="left"/>
      <w:pPr>
        <w:tabs>
          <w:tab w:val="num" w:pos="6480"/>
        </w:tabs>
        <w:ind w:left="6480" w:hanging="360"/>
      </w:pPr>
      <w:rPr>
        <w:rFonts w:ascii="Wingdings" w:hAnsi="Wingdings"/>
      </w:rPr>
    </w:lvl>
  </w:abstractNum>
  <w:abstractNum w:abstractNumId="38" w15:restartNumberingAfterBreak="0">
    <w:nsid w:val="722304E8"/>
    <w:multiLevelType w:val="hybridMultilevel"/>
    <w:tmpl w:val="722304E8"/>
    <w:lvl w:ilvl="0" w:tplc="AC84D44C">
      <w:start w:val="1"/>
      <w:numFmt w:val="bullet"/>
      <w:lvlText w:val=""/>
      <w:lvlJc w:val="left"/>
      <w:pPr>
        <w:ind w:left="720" w:hanging="360"/>
      </w:pPr>
      <w:rPr>
        <w:rFonts w:ascii="Symbol" w:hAnsi="Symbol"/>
      </w:rPr>
    </w:lvl>
    <w:lvl w:ilvl="1" w:tplc="11B831E2">
      <w:start w:val="1"/>
      <w:numFmt w:val="bullet"/>
      <w:lvlText w:val="o"/>
      <w:lvlJc w:val="left"/>
      <w:pPr>
        <w:tabs>
          <w:tab w:val="num" w:pos="1440"/>
        </w:tabs>
        <w:ind w:left="1440" w:hanging="360"/>
      </w:pPr>
      <w:rPr>
        <w:rFonts w:ascii="Courier New" w:hAnsi="Courier New"/>
      </w:rPr>
    </w:lvl>
    <w:lvl w:ilvl="2" w:tplc="FAE601F8">
      <w:start w:val="1"/>
      <w:numFmt w:val="bullet"/>
      <w:lvlText w:val=""/>
      <w:lvlJc w:val="left"/>
      <w:pPr>
        <w:tabs>
          <w:tab w:val="num" w:pos="2160"/>
        </w:tabs>
        <w:ind w:left="2160" w:hanging="360"/>
      </w:pPr>
      <w:rPr>
        <w:rFonts w:ascii="Wingdings" w:hAnsi="Wingdings"/>
      </w:rPr>
    </w:lvl>
    <w:lvl w:ilvl="3" w:tplc="0A827B60">
      <w:start w:val="1"/>
      <w:numFmt w:val="bullet"/>
      <w:lvlText w:val=""/>
      <w:lvlJc w:val="left"/>
      <w:pPr>
        <w:tabs>
          <w:tab w:val="num" w:pos="2880"/>
        </w:tabs>
        <w:ind w:left="2880" w:hanging="360"/>
      </w:pPr>
      <w:rPr>
        <w:rFonts w:ascii="Symbol" w:hAnsi="Symbol"/>
      </w:rPr>
    </w:lvl>
    <w:lvl w:ilvl="4" w:tplc="95A2DDEA">
      <w:start w:val="1"/>
      <w:numFmt w:val="bullet"/>
      <w:lvlText w:val="o"/>
      <w:lvlJc w:val="left"/>
      <w:pPr>
        <w:tabs>
          <w:tab w:val="num" w:pos="3600"/>
        </w:tabs>
        <w:ind w:left="3600" w:hanging="360"/>
      </w:pPr>
      <w:rPr>
        <w:rFonts w:ascii="Courier New" w:hAnsi="Courier New"/>
      </w:rPr>
    </w:lvl>
    <w:lvl w:ilvl="5" w:tplc="FC88AF84">
      <w:start w:val="1"/>
      <w:numFmt w:val="bullet"/>
      <w:lvlText w:val=""/>
      <w:lvlJc w:val="left"/>
      <w:pPr>
        <w:tabs>
          <w:tab w:val="num" w:pos="4320"/>
        </w:tabs>
        <w:ind w:left="4320" w:hanging="360"/>
      </w:pPr>
      <w:rPr>
        <w:rFonts w:ascii="Wingdings" w:hAnsi="Wingdings"/>
      </w:rPr>
    </w:lvl>
    <w:lvl w:ilvl="6" w:tplc="0BD8A9BA">
      <w:start w:val="1"/>
      <w:numFmt w:val="bullet"/>
      <w:lvlText w:val=""/>
      <w:lvlJc w:val="left"/>
      <w:pPr>
        <w:tabs>
          <w:tab w:val="num" w:pos="5040"/>
        </w:tabs>
        <w:ind w:left="5040" w:hanging="360"/>
      </w:pPr>
      <w:rPr>
        <w:rFonts w:ascii="Symbol" w:hAnsi="Symbol"/>
      </w:rPr>
    </w:lvl>
    <w:lvl w:ilvl="7" w:tplc="D2963AD6">
      <w:start w:val="1"/>
      <w:numFmt w:val="bullet"/>
      <w:lvlText w:val="o"/>
      <w:lvlJc w:val="left"/>
      <w:pPr>
        <w:tabs>
          <w:tab w:val="num" w:pos="5760"/>
        </w:tabs>
        <w:ind w:left="5760" w:hanging="360"/>
      </w:pPr>
      <w:rPr>
        <w:rFonts w:ascii="Courier New" w:hAnsi="Courier New"/>
      </w:rPr>
    </w:lvl>
    <w:lvl w:ilvl="8" w:tplc="96A00EF8">
      <w:start w:val="1"/>
      <w:numFmt w:val="bullet"/>
      <w:lvlText w:val=""/>
      <w:lvlJc w:val="left"/>
      <w:pPr>
        <w:tabs>
          <w:tab w:val="num" w:pos="6480"/>
        </w:tabs>
        <w:ind w:left="6480" w:hanging="360"/>
      </w:pPr>
      <w:rPr>
        <w:rFonts w:ascii="Wingdings" w:hAnsi="Wingdings"/>
      </w:rPr>
    </w:lvl>
  </w:abstractNum>
  <w:abstractNum w:abstractNumId="39" w15:restartNumberingAfterBreak="0">
    <w:nsid w:val="722304E9"/>
    <w:multiLevelType w:val="hybridMultilevel"/>
    <w:tmpl w:val="722304E9"/>
    <w:lvl w:ilvl="0" w:tplc="1D2446B4">
      <w:start w:val="1"/>
      <w:numFmt w:val="bullet"/>
      <w:lvlText w:val=""/>
      <w:lvlJc w:val="left"/>
      <w:pPr>
        <w:ind w:left="720" w:hanging="360"/>
      </w:pPr>
      <w:rPr>
        <w:rFonts w:ascii="Symbol" w:hAnsi="Symbol"/>
      </w:rPr>
    </w:lvl>
    <w:lvl w:ilvl="1" w:tplc="C9101A76">
      <w:start w:val="1"/>
      <w:numFmt w:val="bullet"/>
      <w:lvlText w:val="o"/>
      <w:lvlJc w:val="left"/>
      <w:pPr>
        <w:tabs>
          <w:tab w:val="num" w:pos="1440"/>
        </w:tabs>
        <w:ind w:left="1440" w:hanging="360"/>
      </w:pPr>
      <w:rPr>
        <w:rFonts w:ascii="Courier New" w:hAnsi="Courier New"/>
      </w:rPr>
    </w:lvl>
    <w:lvl w:ilvl="2" w:tplc="6A5A82CA">
      <w:start w:val="1"/>
      <w:numFmt w:val="bullet"/>
      <w:lvlText w:val=""/>
      <w:lvlJc w:val="left"/>
      <w:pPr>
        <w:tabs>
          <w:tab w:val="num" w:pos="2160"/>
        </w:tabs>
        <w:ind w:left="2160" w:hanging="360"/>
      </w:pPr>
      <w:rPr>
        <w:rFonts w:ascii="Wingdings" w:hAnsi="Wingdings"/>
      </w:rPr>
    </w:lvl>
    <w:lvl w:ilvl="3" w:tplc="E86AD236">
      <w:start w:val="1"/>
      <w:numFmt w:val="bullet"/>
      <w:lvlText w:val=""/>
      <w:lvlJc w:val="left"/>
      <w:pPr>
        <w:tabs>
          <w:tab w:val="num" w:pos="2880"/>
        </w:tabs>
        <w:ind w:left="2880" w:hanging="360"/>
      </w:pPr>
      <w:rPr>
        <w:rFonts w:ascii="Symbol" w:hAnsi="Symbol"/>
      </w:rPr>
    </w:lvl>
    <w:lvl w:ilvl="4" w:tplc="E7CAD8AE">
      <w:start w:val="1"/>
      <w:numFmt w:val="bullet"/>
      <w:lvlText w:val="o"/>
      <w:lvlJc w:val="left"/>
      <w:pPr>
        <w:tabs>
          <w:tab w:val="num" w:pos="3600"/>
        </w:tabs>
        <w:ind w:left="3600" w:hanging="360"/>
      </w:pPr>
      <w:rPr>
        <w:rFonts w:ascii="Courier New" w:hAnsi="Courier New"/>
      </w:rPr>
    </w:lvl>
    <w:lvl w:ilvl="5" w:tplc="4CC6B5D8">
      <w:start w:val="1"/>
      <w:numFmt w:val="bullet"/>
      <w:lvlText w:val=""/>
      <w:lvlJc w:val="left"/>
      <w:pPr>
        <w:tabs>
          <w:tab w:val="num" w:pos="4320"/>
        </w:tabs>
        <w:ind w:left="4320" w:hanging="360"/>
      </w:pPr>
      <w:rPr>
        <w:rFonts w:ascii="Wingdings" w:hAnsi="Wingdings"/>
      </w:rPr>
    </w:lvl>
    <w:lvl w:ilvl="6" w:tplc="D178A9F0">
      <w:start w:val="1"/>
      <w:numFmt w:val="bullet"/>
      <w:lvlText w:val=""/>
      <w:lvlJc w:val="left"/>
      <w:pPr>
        <w:tabs>
          <w:tab w:val="num" w:pos="5040"/>
        </w:tabs>
        <w:ind w:left="5040" w:hanging="360"/>
      </w:pPr>
      <w:rPr>
        <w:rFonts w:ascii="Symbol" w:hAnsi="Symbol"/>
      </w:rPr>
    </w:lvl>
    <w:lvl w:ilvl="7" w:tplc="E282496C">
      <w:start w:val="1"/>
      <w:numFmt w:val="bullet"/>
      <w:lvlText w:val="o"/>
      <w:lvlJc w:val="left"/>
      <w:pPr>
        <w:tabs>
          <w:tab w:val="num" w:pos="5760"/>
        </w:tabs>
        <w:ind w:left="5760" w:hanging="360"/>
      </w:pPr>
      <w:rPr>
        <w:rFonts w:ascii="Courier New" w:hAnsi="Courier New"/>
      </w:rPr>
    </w:lvl>
    <w:lvl w:ilvl="8" w:tplc="4120F2D4">
      <w:start w:val="1"/>
      <w:numFmt w:val="bullet"/>
      <w:lvlText w:val=""/>
      <w:lvlJc w:val="left"/>
      <w:pPr>
        <w:tabs>
          <w:tab w:val="num" w:pos="6480"/>
        </w:tabs>
        <w:ind w:left="6480" w:hanging="360"/>
      </w:pPr>
      <w:rPr>
        <w:rFonts w:ascii="Wingdings" w:hAnsi="Wingdings"/>
      </w:rPr>
    </w:lvl>
  </w:abstractNum>
  <w:abstractNum w:abstractNumId="40" w15:restartNumberingAfterBreak="0">
    <w:nsid w:val="722304EA"/>
    <w:multiLevelType w:val="hybridMultilevel"/>
    <w:tmpl w:val="722304EA"/>
    <w:lvl w:ilvl="0" w:tplc="E67E209A">
      <w:start w:val="1"/>
      <w:numFmt w:val="bullet"/>
      <w:lvlText w:val=""/>
      <w:lvlJc w:val="left"/>
      <w:pPr>
        <w:ind w:left="720" w:hanging="360"/>
      </w:pPr>
      <w:rPr>
        <w:rFonts w:ascii="Symbol" w:hAnsi="Symbol"/>
      </w:rPr>
    </w:lvl>
    <w:lvl w:ilvl="1" w:tplc="00249EA6">
      <w:start w:val="1"/>
      <w:numFmt w:val="bullet"/>
      <w:lvlText w:val="o"/>
      <w:lvlJc w:val="left"/>
      <w:pPr>
        <w:ind w:left="1440" w:hanging="360"/>
      </w:pPr>
      <w:rPr>
        <w:rFonts w:ascii="Courier New" w:hAnsi="Courier New"/>
      </w:rPr>
    </w:lvl>
    <w:lvl w:ilvl="2" w:tplc="D6286F70">
      <w:start w:val="1"/>
      <w:numFmt w:val="bullet"/>
      <w:lvlText w:val=""/>
      <w:lvlJc w:val="left"/>
      <w:pPr>
        <w:tabs>
          <w:tab w:val="num" w:pos="2160"/>
        </w:tabs>
        <w:ind w:left="2160" w:hanging="360"/>
      </w:pPr>
      <w:rPr>
        <w:rFonts w:ascii="Wingdings" w:hAnsi="Wingdings"/>
      </w:rPr>
    </w:lvl>
    <w:lvl w:ilvl="3" w:tplc="A80A1F58">
      <w:start w:val="1"/>
      <w:numFmt w:val="bullet"/>
      <w:lvlText w:val=""/>
      <w:lvlJc w:val="left"/>
      <w:pPr>
        <w:tabs>
          <w:tab w:val="num" w:pos="2880"/>
        </w:tabs>
        <w:ind w:left="2880" w:hanging="360"/>
      </w:pPr>
      <w:rPr>
        <w:rFonts w:ascii="Symbol" w:hAnsi="Symbol"/>
      </w:rPr>
    </w:lvl>
    <w:lvl w:ilvl="4" w:tplc="F050DA0A">
      <w:start w:val="1"/>
      <w:numFmt w:val="bullet"/>
      <w:lvlText w:val="o"/>
      <w:lvlJc w:val="left"/>
      <w:pPr>
        <w:tabs>
          <w:tab w:val="num" w:pos="3600"/>
        </w:tabs>
        <w:ind w:left="3600" w:hanging="360"/>
      </w:pPr>
      <w:rPr>
        <w:rFonts w:ascii="Courier New" w:hAnsi="Courier New"/>
      </w:rPr>
    </w:lvl>
    <w:lvl w:ilvl="5" w:tplc="74B0E5F0">
      <w:start w:val="1"/>
      <w:numFmt w:val="bullet"/>
      <w:lvlText w:val=""/>
      <w:lvlJc w:val="left"/>
      <w:pPr>
        <w:tabs>
          <w:tab w:val="num" w:pos="4320"/>
        </w:tabs>
        <w:ind w:left="4320" w:hanging="360"/>
      </w:pPr>
      <w:rPr>
        <w:rFonts w:ascii="Wingdings" w:hAnsi="Wingdings"/>
      </w:rPr>
    </w:lvl>
    <w:lvl w:ilvl="6" w:tplc="BBBA82BA">
      <w:start w:val="1"/>
      <w:numFmt w:val="bullet"/>
      <w:lvlText w:val=""/>
      <w:lvlJc w:val="left"/>
      <w:pPr>
        <w:tabs>
          <w:tab w:val="num" w:pos="5040"/>
        </w:tabs>
        <w:ind w:left="5040" w:hanging="360"/>
      </w:pPr>
      <w:rPr>
        <w:rFonts w:ascii="Symbol" w:hAnsi="Symbol"/>
      </w:rPr>
    </w:lvl>
    <w:lvl w:ilvl="7" w:tplc="9C4A423C">
      <w:start w:val="1"/>
      <w:numFmt w:val="bullet"/>
      <w:lvlText w:val="o"/>
      <w:lvlJc w:val="left"/>
      <w:pPr>
        <w:tabs>
          <w:tab w:val="num" w:pos="5760"/>
        </w:tabs>
        <w:ind w:left="5760" w:hanging="360"/>
      </w:pPr>
      <w:rPr>
        <w:rFonts w:ascii="Courier New" w:hAnsi="Courier New"/>
      </w:rPr>
    </w:lvl>
    <w:lvl w:ilvl="8" w:tplc="67BC2410">
      <w:start w:val="1"/>
      <w:numFmt w:val="bullet"/>
      <w:lvlText w:val=""/>
      <w:lvlJc w:val="left"/>
      <w:pPr>
        <w:tabs>
          <w:tab w:val="num" w:pos="6480"/>
        </w:tabs>
        <w:ind w:left="6480" w:hanging="360"/>
      </w:pPr>
      <w:rPr>
        <w:rFonts w:ascii="Wingdings" w:hAnsi="Wingdings"/>
      </w:rPr>
    </w:lvl>
  </w:abstractNum>
  <w:abstractNum w:abstractNumId="41" w15:restartNumberingAfterBreak="0">
    <w:nsid w:val="722304EB"/>
    <w:multiLevelType w:val="hybridMultilevel"/>
    <w:tmpl w:val="722304EB"/>
    <w:lvl w:ilvl="0" w:tplc="7C0E8DC4">
      <w:start w:val="1"/>
      <w:numFmt w:val="bullet"/>
      <w:lvlText w:val=""/>
      <w:lvlJc w:val="left"/>
      <w:pPr>
        <w:ind w:left="720" w:hanging="360"/>
      </w:pPr>
      <w:rPr>
        <w:rFonts w:ascii="Symbol" w:hAnsi="Symbol"/>
      </w:rPr>
    </w:lvl>
    <w:lvl w:ilvl="1" w:tplc="13DAE194">
      <w:start w:val="1"/>
      <w:numFmt w:val="bullet"/>
      <w:lvlText w:val="o"/>
      <w:lvlJc w:val="left"/>
      <w:pPr>
        <w:tabs>
          <w:tab w:val="num" w:pos="1440"/>
        </w:tabs>
        <w:ind w:left="1440" w:hanging="360"/>
      </w:pPr>
      <w:rPr>
        <w:rFonts w:ascii="Courier New" w:hAnsi="Courier New"/>
      </w:rPr>
    </w:lvl>
    <w:lvl w:ilvl="2" w:tplc="A5DED912">
      <w:start w:val="1"/>
      <w:numFmt w:val="bullet"/>
      <w:lvlText w:val=""/>
      <w:lvlJc w:val="left"/>
      <w:pPr>
        <w:tabs>
          <w:tab w:val="num" w:pos="2160"/>
        </w:tabs>
        <w:ind w:left="2160" w:hanging="360"/>
      </w:pPr>
      <w:rPr>
        <w:rFonts w:ascii="Wingdings" w:hAnsi="Wingdings"/>
      </w:rPr>
    </w:lvl>
    <w:lvl w:ilvl="3" w:tplc="0EEE2ADC">
      <w:start w:val="1"/>
      <w:numFmt w:val="bullet"/>
      <w:lvlText w:val=""/>
      <w:lvlJc w:val="left"/>
      <w:pPr>
        <w:tabs>
          <w:tab w:val="num" w:pos="2880"/>
        </w:tabs>
        <w:ind w:left="2880" w:hanging="360"/>
      </w:pPr>
      <w:rPr>
        <w:rFonts w:ascii="Symbol" w:hAnsi="Symbol"/>
      </w:rPr>
    </w:lvl>
    <w:lvl w:ilvl="4" w:tplc="AFB4050E">
      <w:start w:val="1"/>
      <w:numFmt w:val="bullet"/>
      <w:lvlText w:val="o"/>
      <w:lvlJc w:val="left"/>
      <w:pPr>
        <w:tabs>
          <w:tab w:val="num" w:pos="3600"/>
        </w:tabs>
        <w:ind w:left="3600" w:hanging="360"/>
      </w:pPr>
      <w:rPr>
        <w:rFonts w:ascii="Courier New" w:hAnsi="Courier New"/>
      </w:rPr>
    </w:lvl>
    <w:lvl w:ilvl="5" w:tplc="5240F7BE">
      <w:start w:val="1"/>
      <w:numFmt w:val="bullet"/>
      <w:lvlText w:val=""/>
      <w:lvlJc w:val="left"/>
      <w:pPr>
        <w:tabs>
          <w:tab w:val="num" w:pos="4320"/>
        </w:tabs>
        <w:ind w:left="4320" w:hanging="360"/>
      </w:pPr>
      <w:rPr>
        <w:rFonts w:ascii="Wingdings" w:hAnsi="Wingdings"/>
      </w:rPr>
    </w:lvl>
    <w:lvl w:ilvl="6" w:tplc="C1B01EA6">
      <w:start w:val="1"/>
      <w:numFmt w:val="bullet"/>
      <w:lvlText w:val=""/>
      <w:lvlJc w:val="left"/>
      <w:pPr>
        <w:tabs>
          <w:tab w:val="num" w:pos="5040"/>
        </w:tabs>
        <w:ind w:left="5040" w:hanging="360"/>
      </w:pPr>
      <w:rPr>
        <w:rFonts w:ascii="Symbol" w:hAnsi="Symbol"/>
      </w:rPr>
    </w:lvl>
    <w:lvl w:ilvl="7" w:tplc="21C27872">
      <w:start w:val="1"/>
      <w:numFmt w:val="bullet"/>
      <w:lvlText w:val="o"/>
      <w:lvlJc w:val="left"/>
      <w:pPr>
        <w:tabs>
          <w:tab w:val="num" w:pos="5760"/>
        </w:tabs>
        <w:ind w:left="5760" w:hanging="360"/>
      </w:pPr>
      <w:rPr>
        <w:rFonts w:ascii="Courier New" w:hAnsi="Courier New"/>
      </w:rPr>
    </w:lvl>
    <w:lvl w:ilvl="8" w:tplc="257C6FCC">
      <w:start w:val="1"/>
      <w:numFmt w:val="bullet"/>
      <w:lvlText w:val=""/>
      <w:lvlJc w:val="left"/>
      <w:pPr>
        <w:tabs>
          <w:tab w:val="num" w:pos="6480"/>
        </w:tabs>
        <w:ind w:left="6480" w:hanging="360"/>
      </w:pPr>
      <w:rPr>
        <w:rFonts w:ascii="Wingdings" w:hAnsi="Wingdings"/>
      </w:rPr>
    </w:lvl>
  </w:abstractNum>
  <w:abstractNum w:abstractNumId="42" w15:restartNumberingAfterBreak="0">
    <w:nsid w:val="722304EC"/>
    <w:multiLevelType w:val="hybridMultilevel"/>
    <w:tmpl w:val="722304EC"/>
    <w:lvl w:ilvl="0" w:tplc="F0BA8FCA">
      <w:start w:val="1"/>
      <w:numFmt w:val="bullet"/>
      <w:lvlText w:val=""/>
      <w:lvlJc w:val="left"/>
      <w:pPr>
        <w:ind w:left="720" w:hanging="360"/>
      </w:pPr>
      <w:rPr>
        <w:rFonts w:ascii="Symbol" w:hAnsi="Symbol"/>
      </w:rPr>
    </w:lvl>
    <w:lvl w:ilvl="1" w:tplc="AF167FE6">
      <w:start w:val="1"/>
      <w:numFmt w:val="bullet"/>
      <w:lvlText w:val="o"/>
      <w:lvlJc w:val="left"/>
      <w:pPr>
        <w:tabs>
          <w:tab w:val="num" w:pos="1440"/>
        </w:tabs>
        <w:ind w:left="1440" w:hanging="360"/>
      </w:pPr>
      <w:rPr>
        <w:rFonts w:ascii="Courier New" w:hAnsi="Courier New"/>
      </w:rPr>
    </w:lvl>
    <w:lvl w:ilvl="2" w:tplc="2D1840DC">
      <w:start w:val="1"/>
      <w:numFmt w:val="bullet"/>
      <w:lvlText w:val=""/>
      <w:lvlJc w:val="left"/>
      <w:pPr>
        <w:tabs>
          <w:tab w:val="num" w:pos="2160"/>
        </w:tabs>
        <w:ind w:left="2160" w:hanging="360"/>
      </w:pPr>
      <w:rPr>
        <w:rFonts w:ascii="Wingdings" w:hAnsi="Wingdings"/>
      </w:rPr>
    </w:lvl>
    <w:lvl w:ilvl="3" w:tplc="C054052A">
      <w:start w:val="1"/>
      <w:numFmt w:val="bullet"/>
      <w:lvlText w:val=""/>
      <w:lvlJc w:val="left"/>
      <w:pPr>
        <w:tabs>
          <w:tab w:val="num" w:pos="2880"/>
        </w:tabs>
        <w:ind w:left="2880" w:hanging="360"/>
      </w:pPr>
      <w:rPr>
        <w:rFonts w:ascii="Symbol" w:hAnsi="Symbol"/>
      </w:rPr>
    </w:lvl>
    <w:lvl w:ilvl="4" w:tplc="68A2AEBE">
      <w:start w:val="1"/>
      <w:numFmt w:val="bullet"/>
      <w:lvlText w:val="o"/>
      <w:lvlJc w:val="left"/>
      <w:pPr>
        <w:tabs>
          <w:tab w:val="num" w:pos="3600"/>
        </w:tabs>
        <w:ind w:left="3600" w:hanging="360"/>
      </w:pPr>
      <w:rPr>
        <w:rFonts w:ascii="Courier New" w:hAnsi="Courier New"/>
      </w:rPr>
    </w:lvl>
    <w:lvl w:ilvl="5" w:tplc="2BBC2A92">
      <w:start w:val="1"/>
      <w:numFmt w:val="bullet"/>
      <w:lvlText w:val=""/>
      <w:lvlJc w:val="left"/>
      <w:pPr>
        <w:tabs>
          <w:tab w:val="num" w:pos="4320"/>
        </w:tabs>
        <w:ind w:left="4320" w:hanging="360"/>
      </w:pPr>
      <w:rPr>
        <w:rFonts w:ascii="Wingdings" w:hAnsi="Wingdings"/>
      </w:rPr>
    </w:lvl>
    <w:lvl w:ilvl="6" w:tplc="A71422AC">
      <w:start w:val="1"/>
      <w:numFmt w:val="bullet"/>
      <w:lvlText w:val=""/>
      <w:lvlJc w:val="left"/>
      <w:pPr>
        <w:tabs>
          <w:tab w:val="num" w:pos="5040"/>
        </w:tabs>
        <w:ind w:left="5040" w:hanging="360"/>
      </w:pPr>
      <w:rPr>
        <w:rFonts w:ascii="Symbol" w:hAnsi="Symbol"/>
      </w:rPr>
    </w:lvl>
    <w:lvl w:ilvl="7" w:tplc="673CC2A6">
      <w:start w:val="1"/>
      <w:numFmt w:val="bullet"/>
      <w:lvlText w:val="o"/>
      <w:lvlJc w:val="left"/>
      <w:pPr>
        <w:tabs>
          <w:tab w:val="num" w:pos="5760"/>
        </w:tabs>
        <w:ind w:left="5760" w:hanging="360"/>
      </w:pPr>
      <w:rPr>
        <w:rFonts w:ascii="Courier New" w:hAnsi="Courier New"/>
      </w:rPr>
    </w:lvl>
    <w:lvl w:ilvl="8" w:tplc="E3D611CE">
      <w:start w:val="1"/>
      <w:numFmt w:val="bullet"/>
      <w:lvlText w:val=""/>
      <w:lvlJc w:val="left"/>
      <w:pPr>
        <w:tabs>
          <w:tab w:val="num" w:pos="6480"/>
        </w:tabs>
        <w:ind w:left="6480" w:hanging="360"/>
      </w:pPr>
      <w:rPr>
        <w:rFonts w:ascii="Wingdings" w:hAnsi="Wingdings"/>
      </w:rPr>
    </w:lvl>
  </w:abstractNum>
  <w:abstractNum w:abstractNumId="43" w15:restartNumberingAfterBreak="0">
    <w:nsid w:val="722304ED"/>
    <w:multiLevelType w:val="hybridMultilevel"/>
    <w:tmpl w:val="722304ED"/>
    <w:lvl w:ilvl="0" w:tplc="DB2A7180">
      <w:start w:val="1"/>
      <w:numFmt w:val="bullet"/>
      <w:lvlText w:val=""/>
      <w:lvlJc w:val="left"/>
      <w:pPr>
        <w:ind w:left="720" w:hanging="360"/>
      </w:pPr>
      <w:rPr>
        <w:rFonts w:ascii="Symbol" w:hAnsi="Symbol"/>
      </w:rPr>
    </w:lvl>
    <w:lvl w:ilvl="1" w:tplc="B050870A">
      <w:start w:val="1"/>
      <w:numFmt w:val="bullet"/>
      <w:lvlText w:val="o"/>
      <w:lvlJc w:val="left"/>
      <w:pPr>
        <w:tabs>
          <w:tab w:val="num" w:pos="1440"/>
        </w:tabs>
        <w:ind w:left="1440" w:hanging="360"/>
      </w:pPr>
      <w:rPr>
        <w:rFonts w:ascii="Courier New" w:hAnsi="Courier New"/>
      </w:rPr>
    </w:lvl>
    <w:lvl w:ilvl="2" w:tplc="FE3AB1EA">
      <w:start w:val="1"/>
      <w:numFmt w:val="bullet"/>
      <w:lvlText w:val=""/>
      <w:lvlJc w:val="left"/>
      <w:pPr>
        <w:tabs>
          <w:tab w:val="num" w:pos="2160"/>
        </w:tabs>
        <w:ind w:left="2160" w:hanging="360"/>
      </w:pPr>
      <w:rPr>
        <w:rFonts w:ascii="Wingdings" w:hAnsi="Wingdings"/>
      </w:rPr>
    </w:lvl>
    <w:lvl w:ilvl="3" w:tplc="E6004B0E">
      <w:start w:val="1"/>
      <w:numFmt w:val="bullet"/>
      <w:lvlText w:val=""/>
      <w:lvlJc w:val="left"/>
      <w:pPr>
        <w:tabs>
          <w:tab w:val="num" w:pos="2880"/>
        </w:tabs>
        <w:ind w:left="2880" w:hanging="360"/>
      </w:pPr>
      <w:rPr>
        <w:rFonts w:ascii="Symbol" w:hAnsi="Symbol"/>
      </w:rPr>
    </w:lvl>
    <w:lvl w:ilvl="4" w:tplc="E9C86084">
      <w:start w:val="1"/>
      <w:numFmt w:val="bullet"/>
      <w:lvlText w:val="o"/>
      <w:lvlJc w:val="left"/>
      <w:pPr>
        <w:tabs>
          <w:tab w:val="num" w:pos="3600"/>
        </w:tabs>
        <w:ind w:left="3600" w:hanging="360"/>
      </w:pPr>
      <w:rPr>
        <w:rFonts w:ascii="Courier New" w:hAnsi="Courier New"/>
      </w:rPr>
    </w:lvl>
    <w:lvl w:ilvl="5" w:tplc="215C2054">
      <w:start w:val="1"/>
      <w:numFmt w:val="bullet"/>
      <w:lvlText w:val=""/>
      <w:lvlJc w:val="left"/>
      <w:pPr>
        <w:tabs>
          <w:tab w:val="num" w:pos="4320"/>
        </w:tabs>
        <w:ind w:left="4320" w:hanging="360"/>
      </w:pPr>
      <w:rPr>
        <w:rFonts w:ascii="Wingdings" w:hAnsi="Wingdings"/>
      </w:rPr>
    </w:lvl>
    <w:lvl w:ilvl="6" w:tplc="AE6A9CF2">
      <w:start w:val="1"/>
      <w:numFmt w:val="bullet"/>
      <w:lvlText w:val=""/>
      <w:lvlJc w:val="left"/>
      <w:pPr>
        <w:tabs>
          <w:tab w:val="num" w:pos="5040"/>
        </w:tabs>
        <w:ind w:left="5040" w:hanging="360"/>
      </w:pPr>
      <w:rPr>
        <w:rFonts w:ascii="Symbol" w:hAnsi="Symbol"/>
      </w:rPr>
    </w:lvl>
    <w:lvl w:ilvl="7" w:tplc="60F03BE0">
      <w:start w:val="1"/>
      <w:numFmt w:val="bullet"/>
      <w:lvlText w:val="o"/>
      <w:lvlJc w:val="left"/>
      <w:pPr>
        <w:tabs>
          <w:tab w:val="num" w:pos="5760"/>
        </w:tabs>
        <w:ind w:left="5760" w:hanging="360"/>
      </w:pPr>
      <w:rPr>
        <w:rFonts w:ascii="Courier New" w:hAnsi="Courier New"/>
      </w:rPr>
    </w:lvl>
    <w:lvl w:ilvl="8" w:tplc="8B7CA764">
      <w:start w:val="1"/>
      <w:numFmt w:val="bullet"/>
      <w:lvlText w:val=""/>
      <w:lvlJc w:val="left"/>
      <w:pPr>
        <w:tabs>
          <w:tab w:val="num" w:pos="6480"/>
        </w:tabs>
        <w:ind w:left="6480" w:hanging="360"/>
      </w:pPr>
      <w:rPr>
        <w:rFonts w:ascii="Wingdings" w:hAnsi="Wingdings"/>
      </w:rPr>
    </w:lvl>
  </w:abstractNum>
  <w:abstractNum w:abstractNumId="44" w15:restartNumberingAfterBreak="0">
    <w:nsid w:val="722304EE"/>
    <w:multiLevelType w:val="hybridMultilevel"/>
    <w:tmpl w:val="722304EE"/>
    <w:lvl w:ilvl="0" w:tplc="10224E50">
      <w:start w:val="1"/>
      <w:numFmt w:val="bullet"/>
      <w:lvlText w:val=""/>
      <w:lvlJc w:val="left"/>
      <w:pPr>
        <w:ind w:left="720" w:hanging="360"/>
      </w:pPr>
      <w:rPr>
        <w:rFonts w:ascii="Symbol" w:hAnsi="Symbol"/>
      </w:rPr>
    </w:lvl>
    <w:lvl w:ilvl="1" w:tplc="D2966522">
      <w:start w:val="1"/>
      <w:numFmt w:val="bullet"/>
      <w:lvlText w:val="o"/>
      <w:lvlJc w:val="left"/>
      <w:pPr>
        <w:tabs>
          <w:tab w:val="num" w:pos="1440"/>
        </w:tabs>
        <w:ind w:left="1440" w:hanging="360"/>
      </w:pPr>
      <w:rPr>
        <w:rFonts w:ascii="Courier New" w:hAnsi="Courier New"/>
      </w:rPr>
    </w:lvl>
    <w:lvl w:ilvl="2" w:tplc="641E3520">
      <w:start w:val="1"/>
      <w:numFmt w:val="bullet"/>
      <w:lvlText w:val=""/>
      <w:lvlJc w:val="left"/>
      <w:pPr>
        <w:tabs>
          <w:tab w:val="num" w:pos="2160"/>
        </w:tabs>
        <w:ind w:left="2160" w:hanging="360"/>
      </w:pPr>
      <w:rPr>
        <w:rFonts w:ascii="Wingdings" w:hAnsi="Wingdings"/>
      </w:rPr>
    </w:lvl>
    <w:lvl w:ilvl="3" w:tplc="89587612">
      <w:start w:val="1"/>
      <w:numFmt w:val="bullet"/>
      <w:lvlText w:val=""/>
      <w:lvlJc w:val="left"/>
      <w:pPr>
        <w:tabs>
          <w:tab w:val="num" w:pos="2880"/>
        </w:tabs>
        <w:ind w:left="2880" w:hanging="360"/>
      </w:pPr>
      <w:rPr>
        <w:rFonts w:ascii="Symbol" w:hAnsi="Symbol"/>
      </w:rPr>
    </w:lvl>
    <w:lvl w:ilvl="4" w:tplc="1F2C1FC2">
      <w:start w:val="1"/>
      <w:numFmt w:val="bullet"/>
      <w:lvlText w:val="o"/>
      <w:lvlJc w:val="left"/>
      <w:pPr>
        <w:tabs>
          <w:tab w:val="num" w:pos="3600"/>
        </w:tabs>
        <w:ind w:left="3600" w:hanging="360"/>
      </w:pPr>
      <w:rPr>
        <w:rFonts w:ascii="Courier New" w:hAnsi="Courier New"/>
      </w:rPr>
    </w:lvl>
    <w:lvl w:ilvl="5" w:tplc="B6100F4A">
      <w:start w:val="1"/>
      <w:numFmt w:val="bullet"/>
      <w:lvlText w:val=""/>
      <w:lvlJc w:val="left"/>
      <w:pPr>
        <w:tabs>
          <w:tab w:val="num" w:pos="4320"/>
        </w:tabs>
        <w:ind w:left="4320" w:hanging="360"/>
      </w:pPr>
      <w:rPr>
        <w:rFonts w:ascii="Wingdings" w:hAnsi="Wingdings"/>
      </w:rPr>
    </w:lvl>
    <w:lvl w:ilvl="6" w:tplc="F7F63256">
      <w:start w:val="1"/>
      <w:numFmt w:val="bullet"/>
      <w:lvlText w:val=""/>
      <w:lvlJc w:val="left"/>
      <w:pPr>
        <w:tabs>
          <w:tab w:val="num" w:pos="5040"/>
        </w:tabs>
        <w:ind w:left="5040" w:hanging="360"/>
      </w:pPr>
      <w:rPr>
        <w:rFonts w:ascii="Symbol" w:hAnsi="Symbol"/>
      </w:rPr>
    </w:lvl>
    <w:lvl w:ilvl="7" w:tplc="5EF2EA54">
      <w:start w:val="1"/>
      <w:numFmt w:val="bullet"/>
      <w:lvlText w:val="o"/>
      <w:lvlJc w:val="left"/>
      <w:pPr>
        <w:tabs>
          <w:tab w:val="num" w:pos="5760"/>
        </w:tabs>
        <w:ind w:left="5760" w:hanging="360"/>
      </w:pPr>
      <w:rPr>
        <w:rFonts w:ascii="Courier New" w:hAnsi="Courier New"/>
      </w:rPr>
    </w:lvl>
    <w:lvl w:ilvl="8" w:tplc="41AA71DC">
      <w:start w:val="1"/>
      <w:numFmt w:val="bullet"/>
      <w:lvlText w:val=""/>
      <w:lvlJc w:val="left"/>
      <w:pPr>
        <w:tabs>
          <w:tab w:val="num" w:pos="6480"/>
        </w:tabs>
        <w:ind w:left="6480" w:hanging="360"/>
      </w:pPr>
      <w:rPr>
        <w:rFonts w:ascii="Wingdings" w:hAnsi="Wingdings"/>
      </w:rPr>
    </w:lvl>
  </w:abstractNum>
  <w:abstractNum w:abstractNumId="45" w15:restartNumberingAfterBreak="0">
    <w:nsid w:val="722304EF"/>
    <w:multiLevelType w:val="hybridMultilevel"/>
    <w:tmpl w:val="722304EF"/>
    <w:lvl w:ilvl="0" w:tplc="DEFC154C">
      <w:start w:val="1"/>
      <w:numFmt w:val="bullet"/>
      <w:lvlText w:val=""/>
      <w:lvlJc w:val="left"/>
      <w:pPr>
        <w:ind w:left="720" w:hanging="360"/>
      </w:pPr>
      <w:rPr>
        <w:rFonts w:ascii="Symbol" w:hAnsi="Symbol"/>
      </w:rPr>
    </w:lvl>
    <w:lvl w:ilvl="1" w:tplc="61DE1540">
      <w:start w:val="1"/>
      <w:numFmt w:val="bullet"/>
      <w:lvlText w:val="o"/>
      <w:lvlJc w:val="left"/>
      <w:pPr>
        <w:tabs>
          <w:tab w:val="num" w:pos="1440"/>
        </w:tabs>
        <w:ind w:left="1440" w:hanging="360"/>
      </w:pPr>
      <w:rPr>
        <w:rFonts w:ascii="Courier New" w:hAnsi="Courier New"/>
      </w:rPr>
    </w:lvl>
    <w:lvl w:ilvl="2" w:tplc="9A263CEA">
      <w:start w:val="1"/>
      <w:numFmt w:val="bullet"/>
      <w:lvlText w:val=""/>
      <w:lvlJc w:val="left"/>
      <w:pPr>
        <w:tabs>
          <w:tab w:val="num" w:pos="2160"/>
        </w:tabs>
        <w:ind w:left="2160" w:hanging="360"/>
      </w:pPr>
      <w:rPr>
        <w:rFonts w:ascii="Wingdings" w:hAnsi="Wingdings"/>
      </w:rPr>
    </w:lvl>
    <w:lvl w:ilvl="3" w:tplc="5C7094F4">
      <w:start w:val="1"/>
      <w:numFmt w:val="bullet"/>
      <w:lvlText w:val=""/>
      <w:lvlJc w:val="left"/>
      <w:pPr>
        <w:tabs>
          <w:tab w:val="num" w:pos="2880"/>
        </w:tabs>
        <w:ind w:left="2880" w:hanging="360"/>
      </w:pPr>
      <w:rPr>
        <w:rFonts w:ascii="Symbol" w:hAnsi="Symbol"/>
      </w:rPr>
    </w:lvl>
    <w:lvl w:ilvl="4" w:tplc="C226B20C">
      <w:start w:val="1"/>
      <w:numFmt w:val="bullet"/>
      <w:lvlText w:val="o"/>
      <w:lvlJc w:val="left"/>
      <w:pPr>
        <w:tabs>
          <w:tab w:val="num" w:pos="3600"/>
        </w:tabs>
        <w:ind w:left="3600" w:hanging="360"/>
      </w:pPr>
      <w:rPr>
        <w:rFonts w:ascii="Courier New" w:hAnsi="Courier New"/>
      </w:rPr>
    </w:lvl>
    <w:lvl w:ilvl="5" w:tplc="FD1A5DD4">
      <w:start w:val="1"/>
      <w:numFmt w:val="bullet"/>
      <w:lvlText w:val=""/>
      <w:lvlJc w:val="left"/>
      <w:pPr>
        <w:tabs>
          <w:tab w:val="num" w:pos="4320"/>
        </w:tabs>
        <w:ind w:left="4320" w:hanging="360"/>
      </w:pPr>
      <w:rPr>
        <w:rFonts w:ascii="Wingdings" w:hAnsi="Wingdings"/>
      </w:rPr>
    </w:lvl>
    <w:lvl w:ilvl="6" w:tplc="F4806692">
      <w:start w:val="1"/>
      <w:numFmt w:val="bullet"/>
      <w:lvlText w:val=""/>
      <w:lvlJc w:val="left"/>
      <w:pPr>
        <w:tabs>
          <w:tab w:val="num" w:pos="5040"/>
        </w:tabs>
        <w:ind w:left="5040" w:hanging="360"/>
      </w:pPr>
      <w:rPr>
        <w:rFonts w:ascii="Symbol" w:hAnsi="Symbol"/>
      </w:rPr>
    </w:lvl>
    <w:lvl w:ilvl="7" w:tplc="6AF240CA">
      <w:start w:val="1"/>
      <w:numFmt w:val="bullet"/>
      <w:lvlText w:val="o"/>
      <w:lvlJc w:val="left"/>
      <w:pPr>
        <w:tabs>
          <w:tab w:val="num" w:pos="5760"/>
        </w:tabs>
        <w:ind w:left="5760" w:hanging="360"/>
      </w:pPr>
      <w:rPr>
        <w:rFonts w:ascii="Courier New" w:hAnsi="Courier New"/>
      </w:rPr>
    </w:lvl>
    <w:lvl w:ilvl="8" w:tplc="D24EB992">
      <w:start w:val="1"/>
      <w:numFmt w:val="bullet"/>
      <w:lvlText w:val=""/>
      <w:lvlJc w:val="left"/>
      <w:pPr>
        <w:tabs>
          <w:tab w:val="num" w:pos="6480"/>
        </w:tabs>
        <w:ind w:left="6480" w:hanging="360"/>
      </w:pPr>
      <w:rPr>
        <w:rFonts w:ascii="Wingdings" w:hAnsi="Wingdings"/>
      </w:rPr>
    </w:lvl>
  </w:abstractNum>
  <w:abstractNum w:abstractNumId="46" w15:restartNumberingAfterBreak="0">
    <w:nsid w:val="722304F0"/>
    <w:multiLevelType w:val="hybridMultilevel"/>
    <w:tmpl w:val="722304F0"/>
    <w:lvl w:ilvl="0" w:tplc="CBE4A618">
      <w:start w:val="1"/>
      <w:numFmt w:val="bullet"/>
      <w:lvlText w:val=""/>
      <w:lvlJc w:val="left"/>
      <w:pPr>
        <w:ind w:left="720" w:hanging="360"/>
      </w:pPr>
      <w:rPr>
        <w:rFonts w:ascii="Symbol" w:hAnsi="Symbol"/>
      </w:rPr>
    </w:lvl>
    <w:lvl w:ilvl="1" w:tplc="4F6EA4DE">
      <w:start w:val="1"/>
      <w:numFmt w:val="bullet"/>
      <w:lvlText w:val="o"/>
      <w:lvlJc w:val="left"/>
      <w:pPr>
        <w:tabs>
          <w:tab w:val="num" w:pos="1440"/>
        </w:tabs>
        <w:ind w:left="1440" w:hanging="360"/>
      </w:pPr>
      <w:rPr>
        <w:rFonts w:ascii="Courier New" w:hAnsi="Courier New"/>
      </w:rPr>
    </w:lvl>
    <w:lvl w:ilvl="2" w:tplc="69428BA4">
      <w:start w:val="1"/>
      <w:numFmt w:val="bullet"/>
      <w:lvlText w:val=""/>
      <w:lvlJc w:val="left"/>
      <w:pPr>
        <w:tabs>
          <w:tab w:val="num" w:pos="2160"/>
        </w:tabs>
        <w:ind w:left="2160" w:hanging="360"/>
      </w:pPr>
      <w:rPr>
        <w:rFonts w:ascii="Wingdings" w:hAnsi="Wingdings"/>
      </w:rPr>
    </w:lvl>
    <w:lvl w:ilvl="3" w:tplc="9438D426">
      <w:start w:val="1"/>
      <w:numFmt w:val="bullet"/>
      <w:lvlText w:val=""/>
      <w:lvlJc w:val="left"/>
      <w:pPr>
        <w:tabs>
          <w:tab w:val="num" w:pos="2880"/>
        </w:tabs>
        <w:ind w:left="2880" w:hanging="360"/>
      </w:pPr>
      <w:rPr>
        <w:rFonts w:ascii="Symbol" w:hAnsi="Symbol"/>
      </w:rPr>
    </w:lvl>
    <w:lvl w:ilvl="4" w:tplc="773EF5C4">
      <w:start w:val="1"/>
      <w:numFmt w:val="bullet"/>
      <w:lvlText w:val="o"/>
      <w:lvlJc w:val="left"/>
      <w:pPr>
        <w:tabs>
          <w:tab w:val="num" w:pos="3600"/>
        </w:tabs>
        <w:ind w:left="3600" w:hanging="360"/>
      </w:pPr>
      <w:rPr>
        <w:rFonts w:ascii="Courier New" w:hAnsi="Courier New"/>
      </w:rPr>
    </w:lvl>
    <w:lvl w:ilvl="5" w:tplc="03E484A0">
      <w:start w:val="1"/>
      <w:numFmt w:val="bullet"/>
      <w:lvlText w:val=""/>
      <w:lvlJc w:val="left"/>
      <w:pPr>
        <w:tabs>
          <w:tab w:val="num" w:pos="4320"/>
        </w:tabs>
        <w:ind w:left="4320" w:hanging="360"/>
      </w:pPr>
      <w:rPr>
        <w:rFonts w:ascii="Wingdings" w:hAnsi="Wingdings"/>
      </w:rPr>
    </w:lvl>
    <w:lvl w:ilvl="6" w:tplc="60ECC0F0">
      <w:start w:val="1"/>
      <w:numFmt w:val="bullet"/>
      <w:lvlText w:val=""/>
      <w:lvlJc w:val="left"/>
      <w:pPr>
        <w:tabs>
          <w:tab w:val="num" w:pos="5040"/>
        </w:tabs>
        <w:ind w:left="5040" w:hanging="360"/>
      </w:pPr>
      <w:rPr>
        <w:rFonts w:ascii="Symbol" w:hAnsi="Symbol"/>
      </w:rPr>
    </w:lvl>
    <w:lvl w:ilvl="7" w:tplc="2D66E754">
      <w:start w:val="1"/>
      <w:numFmt w:val="bullet"/>
      <w:lvlText w:val="o"/>
      <w:lvlJc w:val="left"/>
      <w:pPr>
        <w:tabs>
          <w:tab w:val="num" w:pos="5760"/>
        </w:tabs>
        <w:ind w:left="5760" w:hanging="360"/>
      </w:pPr>
      <w:rPr>
        <w:rFonts w:ascii="Courier New" w:hAnsi="Courier New"/>
      </w:rPr>
    </w:lvl>
    <w:lvl w:ilvl="8" w:tplc="3E2C6D40">
      <w:start w:val="1"/>
      <w:numFmt w:val="bullet"/>
      <w:lvlText w:val=""/>
      <w:lvlJc w:val="left"/>
      <w:pPr>
        <w:tabs>
          <w:tab w:val="num" w:pos="6480"/>
        </w:tabs>
        <w:ind w:left="6480" w:hanging="360"/>
      </w:pPr>
      <w:rPr>
        <w:rFonts w:ascii="Wingdings" w:hAnsi="Wingdings"/>
      </w:rPr>
    </w:lvl>
  </w:abstractNum>
  <w:abstractNum w:abstractNumId="47" w15:restartNumberingAfterBreak="0">
    <w:nsid w:val="722304F1"/>
    <w:multiLevelType w:val="hybridMultilevel"/>
    <w:tmpl w:val="722304F1"/>
    <w:lvl w:ilvl="0" w:tplc="B9847534">
      <w:start w:val="1"/>
      <w:numFmt w:val="bullet"/>
      <w:lvlText w:val=""/>
      <w:lvlJc w:val="left"/>
      <w:pPr>
        <w:ind w:left="720" w:hanging="360"/>
      </w:pPr>
      <w:rPr>
        <w:rFonts w:ascii="Symbol" w:hAnsi="Symbol"/>
      </w:rPr>
    </w:lvl>
    <w:lvl w:ilvl="1" w:tplc="E16A32BC">
      <w:start w:val="1"/>
      <w:numFmt w:val="bullet"/>
      <w:lvlText w:val="o"/>
      <w:lvlJc w:val="left"/>
      <w:pPr>
        <w:tabs>
          <w:tab w:val="num" w:pos="1440"/>
        </w:tabs>
        <w:ind w:left="1440" w:hanging="360"/>
      </w:pPr>
      <w:rPr>
        <w:rFonts w:ascii="Courier New" w:hAnsi="Courier New"/>
      </w:rPr>
    </w:lvl>
    <w:lvl w:ilvl="2" w:tplc="B95C9374">
      <w:start w:val="1"/>
      <w:numFmt w:val="bullet"/>
      <w:lvlText w:val=""/>
      <w:lvlJc w:val="left"/>
      <w:pPr>
        <w:tabs>
          <w:tab w:val="num" w:pos="2160"/>
        </w:tabs>
        <w:ind w:left="2160" w:hanging="360"/>
      </w:pPr>
      <w:rPr>
        <w:rFonts w:ascii="Wingdings" w:hAnsi="Wingdings"/>
      </w:rPr>
    </w:lvl>
    <w:lvl w:ilvl="3" w:tplc="68AADB5E">
      <w:start w:val="1"/>
      <w:numFmt w:val="bullet"/>
      <w:lvlText w:val=""/>
      <w:lvlJc w:val="left"/>
      <w:pPr>
        <w:tabs>
          <w:tab w:val="num" w:pos="2880"/>
        </w:tabs>
        <w:ind w:left="2880" w:hanging="360"/>
      </w:pPr>
      <w:rPr>
        <w:rFonts w:ascii="Symbol" w:hAnsi="Symbol"/>
      </w:rPr>
    </w:lvl>
    <w:lvl w:ilvl="4" w:tplc="51AA358A">
      <w:start w:val="1"/>
      <w:numFmt w:val="bullet"/>
      <w:lvlText w:val="o"/>
      <w:lvlJc w:val="left"/>
      <w:pPr>
        <w:tabs>
          <w:tab w:val="num" w:pos="3600"/>
        </w:tabs>
        <w:ind w:left="3600" w:hanging="360"/>
      </w:pPr>
      <w:rPr>
        <w:rFonts w:ascii="Courier New" w:hAnsi="Courier New"/>
      </w:rPr>
    </w:lvl>
    <w:lvl w:ilvl="5" w:tplc="56DCBEAA">
      <w:start w:val="1"/>
      <w:numFmt w:val="bullet"/>
      <w:lvlText w:val=""/>
      <w:lvlJc w:val="left"/>
      <w:pPr>
        <w:tabs>
          <w:tab w:val="num" w:pos="4320"/>
        </w:tabs>
        <w:ind w:left="4320" w:hanging="360"/>
      </w:pPr>
      <w:rPr>
        <w:rFonts w:ascii="Wingdings" w:hAnsi="Wingdings"/>
      </w:rPr>
    </w:lvl>
    <w:lvl w:ilvl="6" w:tplc="F790E9A0">
      <w:start w:val="1"/>
      <w:numFmt w:val="bullet"/>
      <w:lvlText w:val=""/>
      <w:lvlJc w:val="left"/>
      <w:pPr>
        <w:tabs>
          <w:tab w:val="num" w:pos="5040"/>
        </w:tabs>
        <w:ind w:left="5040" w:hanging="360"/>
      </w:pPr>
      <w:rPr>
        <w:rFonts w:ascii="Symbol" w:hAnsi="Symbol"/>
      </w:rPr>
    </w:lvl>
    <w:lvl w:ilvl="7" w:tplc="2A9ACD4C">
      <w:start w:val="1"/>
      <w:numFmt w:val="bullet"/>
      <w:lvlText w:val="o"/>
      <w:lvlJc w:val="left"/>
      <w:pPr>
        <w:tabs>
          <w:tab w:val="num" w:pos="5760"/>
        </w:tabs>
        <w:ind w:left="5760" w:hanging="360"/>
      </w:pPr>
      <w:rPr>
        <w:rFonts w:ascii="Courier New" w:hAnsi="Courier New"/>
      </w:rPr>
    </w:lvl>
    <w:lvl w:ilvl="8" w:tplc="835CE848">
      <w:start w:val="1"/>
      <w:numFmt w:val="bullet"/>
      <w:lvlText w:val=""/>
      <w:lvlJc w:val="left"/>
      <w:pPr>
        <w:tabs>
          <w:tab w:val="num" w:pos="6480"/>
        </w:tabs>
        <w:ind w:left="6480" w:hanging="360"/>
      </w:pPr>
      <w:rPr>
        <w:rFonts w:ascii="Wingdings" w:hAnsi="Wingdings"/>
      </w:rPr>
    </w:lvl>
  </w:abstractNum>
  <w:abstractNum w:abstractNumId="48" w15:restartNumberingAfterBreak="0">
    <w:nsid w:val="722304F2"/>
    <w:multiLevelType w:val="hybridMultilevel"/>
    <w:tmpl w:val="722304F2"/>
    <w:lvl w:ilvl="0" w:tplc="CE6C9DD6">
      <w:start w:val="1"/>
      <w:numFmt w:val="bullet"/>
      <w:lvlText w:val=""/>
      <w:lvlJc w:val="left"/>
      <w:pPr>
        <w:tabs>
          <w:tab w:val="num" w:pos="720"/>
        </w:tabs>
        <w:ind w:left="720" w:hanging="360"/>
      </w:pPr>
      <w:rPr>
        <w:rFonts w:ascii="Symbol" w:hAnsi="Symbol"/>
      </w:rPr>
    </w:lvl>
    <w:lvl w:ilvl="1" w:tplc="A7BC4B7A">
      <w:start w:val="1"/>
      <w:numFmt w:val="bullet"/>
      <w:lvlText w:val="o"/>
      <w:lvlJc w:val="left"/>
      <w:pPr>
        <w:tabs>
          <w:tab w:val="num" w:pos="1440"/>
        </w:tabs>
        <w:ind w:left="1440" w:hanging="360"/>
      </w:pPr>
      <w:rPr>
        <w:rFonts w:ascii="Courier New" w:hAnsi="Courier New"/>
      </w:rPr>
    </w:lvl>
    <w:lvl w:ilvl="2" w:tplc="FC6EBF72">
      <w:start w:val="1"/>
      <w:numFmt w:val="bullet"/>
      <w:lvlText w:val=""/>
      <w:lvlJc w:val="left"/>
      <w:pPr>
        <w:tabs>
          <w:tab w:val="num" w:pos="2160"/>
        </w:tabs>
        <w:ind w:left="2160" w:hanging="360"/>
      </w:pPr>
      <w:rPr>
        <w:rFonts w:ascii="Wingdings" w:hAnsi="Wingdings"/>
      </w:rPr>
    </w:lvl>
    <w:lvl w:ilvl="3" w:tplc="1BD65F60">
      <w:start w:val="1"/>
      <w:numFmt w:val="bullet"/>
      <w:lvlText w:val=""/>
      <w:lvlJc w:val="left"/>
      <w:pPr>
        <w:tabs>
          <w:tab w:val="num" w:pos="2880"/>
        </w:tabs>
        <w:ind w:left="2880" w:hanging="360"/>
      </w:pPr>
      <w:rPr>
        <w:rFonts w:ascii="Symbol" w:hAnsi="Symbol"/>
      </w:rPr>
    </w:lvl>
    <w:lvl w:ilvl="4" w:tplc="4C361104">
      <w:start w:val="1"/>
      <w:numFmt w:val="bullet"/>
      <w:lvlText w:val="o"/>
      <w:lvlJc w:val="left"/>
      <w:pPr>
        <w:tabs>
          <w:tab w:val="num" w:pos="3600"/>
        </w:tabs>
        <w:ind w:left="3600" w:hanging="360"/>
      </w:pPr>
      <w:rPr>
        <w:rFonts w:ascii="Courier New" w:hAnsi="Courier New"/>
      </w:rPr>
    </w:lvl>
    <w:lvl w:ilvl="5" w:tplc="31027A20">
      <w:start w:val="1"/>
      <w:numFmt w:val="bullet"/>
      <w:lvlText w:val=""/>
      <w:lvlJc w:val="left"/>
      <w:pPr>
        <w:tabs>
          <w:tab w:val="num" w:pos="4320"/>
        </w:tabs>
        <w:ind w:left="4320" w:hanging="360"/>
      </w:pPr>
      <w:rPr>
        <w:rFonts w:ascii="Wingdings" w:hAnsi="Wingdings"/>
      </w:rPr>
    </w:lvl>
    <w:lvl w:ilvl="6" w:tplc="B9A80402">
      <w:start w:val="1"/>
      <w:numFmt w:val="bullet"/>
      <w:lvlText w:val=""/>
      <w:lvlJc w:val="left"/>
      <w:pPr>
        <w:tabs>
          <w:tab w:val="num" w:pos="5040"/>
        </w:tabs>
        <w:ind w:left="5040" w:hanging="360"/>
      </w:pPr>
      <w:rPr>
        <w:rFonts w:ascii="Symbol" w:hAnsi="Symbol"/>
      </w:rPr>
    </w:lvl>
    <w:lvl w:ilvl="7" w:tplc="39F85CDA">
      <w:start w:val="1"/>
      <w:numFmt w:val="bullet"/>
      <w:lvlText w:val="o"/>
      <w:lvlJc w:val="left"/>
      <w:pPr>
        <w:tabs>
          <w:tab w:val="num" w:pos="5760"/>
        </w:tabs>
        <w:ind w:left="5760" w:hanging="360"/>
      </w:pPr>
      <w:rPr>
        <w:rFonts w:ascii="Courier New" w:hAnsi="Courier New"/>
      </w:rPr>
    </w:lvl>
    <w:lvl w:ilvl="8" w:tplc="B0CE3F40">
      <w:start w:val="1"/>
      <w:numFmt w:val="bullet"/>
      <w:lvlText w:val=""/>
      <w:lvlJc w:val="left"/>
      <w:pPr>
        <w:tabs>
          <w:tab w:val="num" w:pos="6480"/>
        </w:tabs>
        <w:ind w:left="6480" w:hanging="360"/>
      </w:pPr>
      <w:rPr>
        <w:rFonts w:ascii="Wingdings" w:hAnsi="Wingdings"/>
      </w:rPr>
    </w:lvl>
  </w:abstractNum>
  <w:abstractNum w:abstractNumId="49" w15:restartNumberingAfterBreak="0">
    <w:nsid w:val="722304F3"/>
    <w:multiLevelType w:val="hybridMultilevel"/>
    <w:tmpl w:val="722304F3"/>
    <w:lvl w:ilvl="0" w:tplc="9FF62FC2">
      <w:start w:val="1"/>
      <w:numFmt w:val="bullet"/>
      <w:lvlText w:val=""/>
      <w:lvlJc w:val="left"/>
      <w:pPr>
        <w:tabs>
          <w:tab w:val="num" w:pos="720"/>
        </w:tabs>
        <w:ind w:left="720" w:hanging="360"/>
      </w:pPr>
      <w:rPr>
        <w:rFonts w:ascii="Symbol" w:hAnsi="Symbol"/>
      </w:rPr>
    </w:lvl>
    <w:lvl w:ilvl="1" w:tplc="8A7E6C46">
      <w:start w:val="1"/>
      <w:numFmt w:val="bullet"/>
      <w:lvlText w:val="o"/>
      <w:lvlJc w:val="left"/>
      <w:pPr>
        <w:tabs>
          <w:tab w:val="num" w:pos="1440"/>
        </w:tabs>
        <w:ind w:left="1440" w:hanging="360"/>
      </w:pPr>
      <w:rPr>
        <w:rFonts w:ascii="Courier New" w:hAnsi="Courier New"/>
      </w:rPr>
    </w:lvl>
    <w:lvl w:ilvl="2" w:tplc="3C6A1D30">
      <w:start w:val="1"/>
      <w:numFmt w:val="bullet"/>
      <w:lvlText w:val=""/>
      <w:lvlJc w:val="left"/>
      <w:pPr>
        <w:tabs>
          <w:tab w:val="num" w:pos="2160"/>
        </w:tabs>
        <w:ind w:left="2160" w:hanging="360"/>
      </w:pPr>
      <w:rPr>
        <w:rFonts w:ascii="Wingdings" w:hAnsi="Wingdings"/>
      </w:rPr>
    </w:lvl>
    <w:lvl w:ilvl="3" w:tplc="25DE25AE">
      <w:start w:val="1"/>
      <w:numFmt w:val="bullet"/>
      <w:lvlText w:val=""/>
      <w:lvlJc w:val="left"/>
      <w:pPr>
        <w:tabs>
          <w:tab w:val="num" w:pos="2880"/>
        </w:tabs>
        <w:ind w:left="2880" w:hanging="360"/>
      </w:pPr>
      <w:rPr>
        <w:rFonts w:ascii="Symbol" w:hAnsi="Symbol"/>
      </w:rPr>
    </w:lvl>
    <w:lvl w:ilvl="4" w:tplc="D09A5542">
      <w:start w:val="1"/>
      <w:numFmt w:val="bullet"/>
      <w:lvlText w:val="o"/>
      <w:lvlJc w:val="left"/>
      <w:pPr>
        <w:tabs>
          <w:tab w:val="num" w:pos="3600"/>
        </w:tabs>
        <w:ind w:left="3600" w:hanging="360"/>
      </w:pPr>
      <w:rPr>
        <w:rFonts w:ascii="Courier New" w:hAnsi="Courier New"/>
      </w:rPr>
    </w:lvl>
    <w:lvl w:ilvl="5" w:tplc="4412D9E8">
      <w:start w:val="1"/>
      <w:numFmt w:val="bullet"/>
      <w:lvlText w:val=""/>
      <w:lvlJc w:val="left"/>
      <w:pPr>
        <w:tabs>
          <w:tab w:val="num" w:pos="4320"/>
        </w:tabs>
        <w:ind w:left="4320" w:hanging="360"/>
      </w:pPr>
      <w:rPr>
        <w:rFonts w:ascii="Wingdings" w:hAnsi="Wingdings"/>
      </w:rPr>
    </w:lvl>
    <w:lvl w:ilvl="6" w:tplc="39A8757C">
      <w:start w:val="1"/>
      <w:numFmt w:val="bullet"/>
      <w:lvlText w:val=""/>
      <w:lvlJc w:val="left"/>
      <w:pPr>
        <w:tabs>
          <w:tab w:val="num" w:pos="5040"/>
        </w:tabs>
        <w:ind w:left="5040" w:hanging="360"/>
      </w:pPr>
      <w:rPr>
        <w:rFonts w:ascii="Symbol" w:hAnsi="Symbol"/>
      </w:rPr>
    </w:lvl>
    <w:lvl w:ilvl="7" w:tplc="7FD2FA3A">
      <w:start w:val="1"/>
      <w:numFmt w:val="bullet"/>
      <w:lvlText w:val="o"/>
      <w:lvlJc w:val="left"/>
      <w:pPr>
        <w:tabs>
          <w:tab w:val="num" w:pos="5760"/>
        </w:tabs>
        <w:ind w:left="5760" w:hanging="360"/>
      </w:pPr>
      <w:rPr>
        <w:rFonts w:ascii="Courier New" w:hAnsi="Courier New"/>
      </w:rPr>
    </w:lvl>
    <w:lvl w:ilvl="8" w:tplc="32DA4C5A">
      <w:start w:val="1"/>
      <w:numFmt w:val="bullet"/>
      <w:lvlText w:val=""/>
      <w:lvlJc w:val="left"/>
      <w:pPr>
        <w:tabs>
          <w:tab w:val="num" w:pos="6480"/>
        </w:tabs>
        <w:ind w:left="6480" w:hanging="360"/>
      </w:pPr>
      <w:rPr>
        <w:rFonts w:ascii="Wingdings" w:hAnsi="Wingdings"/>
      </w:rPr>
    </w:lvl>
  </w:abstractNum>
  <w:abstractNum w:abstractNumId="50" w15:restartNumberingAfterBreak="0">
    <w:nsid w:val="722304F4"/>
    <w:multiLevelType w:val="hybridMultilevel"/>
    <w:tmpl w:val="722304F4"/>
    <w:lvl w:ilvl="0" w:tplc="3236B094">
      <w:start w:val="1"/>
      <w:numFmt w:val="bullet"/>
      <w:lvlText w:val=""/>
      <w:lvlJc w:val="left"/>
      <w:pPr>
        <w:tabs>
          <w:tab w:val="num" w:pos="720"/>
        </w:tabs>
        <w:ind w:left="720" w:hanging="360"/>
      </w:pPr>
      <w:rPr>
        <w:rFonts w:ascii="Symbol" w:hAnsi="Symbol"/>
      </w:rPr>
    </w:lvl>
    <w:lvl w:ilvl="1" w:tplc="A0C8A246">
      <w:start w:val="1"/>
      <w:numFmt w:val="bullet"/>
      <w:lvlText w:val="o"/>
      <w:lvlJc w:val="left"/>
      <w:pPr>
        <w:tabs>
          <w:tab w:val="num" w:pos="1440"/>
        </w:tabs>
        <w:ind w:left="1440" w:hanging="360"/>
      </w:pPr>
      <w:rPr>
        <w:rFonts w:ascii="Courier New" w:hAnsi="Courier New"/>
      </w:rPr>
    </w:lvl>
    <w:lvl w:ilvl="2" w:tplc="D546566E">
      <w:start w:val="1"/>
      <w:numFmt w:val="bullet"/>
      <w:lvlText w:val=""/>
      <w:lvlJc w:val="left"/>
      <w:pPr>
        <w:tabs>
          <w:tab w:val="num" w:pos="2160"/>
        </w:tabs>
        <w:ind w:left="2160" w:hanging="360"/>
      </w:pPr>
      <w:rPr>
        <w:rFonts w:ascii="Wingdings" w:hAnsi="Wingdings"/>
      </w:rPr>
    </w:lvl>
    <w:lvl w:ilvl="3" w:tplc="2508E592">
      <w:start w:val="1"/>
      <w:numFmt w:val="bullet"/>
      <w:lvlText w:val=""/>
      <w:lvlJc w:val="left"/>
      <w:pPr>
        <w:tabs>
          <w:tab w:val="num" w:pos="2880"/>
        </w:tabs>
        <w:ind w:left="2880" w:hanging="360"/>
      </w:pPr>
      <w:rPr>
        <w:rFonts w:ascii="Symbol" w:hAnsi="Symbol"/>
      </w:rPr>
    </w:lvl>
    <w:lvl w:ilvl="4" w:tplc="A6744786">
      <w:start w:val="1"/>
      <w:numFmt w:val="bullet"/>
      <w:lvlText w:val="o"/>
      <w:lvlJc w:val="left"/>
      <w:pPr>
        <w:tabs>
          <w:tab w:val="num" w:pos="3600"/>
        </w:tabs>
        <w:ind w:left="3600" w:hanging="360"/>
      </w:pPr>
      <w:rPr>
        <w:rFonts w:ascii="Courier New" w:hAnsi="Courier New"/>
      </w:rPr>
    </w:lvl>
    <w:lvl w:ilvl="5" w:tplc="68F0270A">
      <w:start w:val="1"/>
      <w:numFmt w:val="bullet"/>
      <w:lvlText w:val=""/>
      <w:lvlJc w:val="left"/>
      <w:pPr>
        <w:tabs>
          <w:tab w:val="num" w:pos="4320"/>
        </w:tabs>
        <w:ind w:left="4320" w:hanging="360"/>
      </w:pPr>
      <w:rPr>
        <w:rFonts w:ascii="Wingdings" w:hAnsi="Wingdings"/>
      </w:rPr>
    </w:lvl>
    <w:lvl w:ilvl="6" w:tplc="10A6F1AA">
      <w:start w:val="1"/>
      <w:numFmt w:val="bullet"/>
      <w:lvlText w:val=""/>
      <w:lvlJc w:val="left"/>
      <w:pPr>
        <w:tabs>
          <w:tab w:val="num" w:pos="5040"/>
        </w:tabs>
        <w:ind w:left="5040" w:hanging="360"/>
      </w:pPr>
      <w:rPr>
        <w:rFonts w:ascii="Symbol" w:hAnsi="Symbol"/>
      </w:rPr>
    </w:lvl>
    <w:lvl w:ilvl="7" w:tplc="995257E8">
      <w:start w:val="1"/>
      <w:numFmt w:val="bullet"/>
      <w:lvlText w:val="o"/>
      <w:lvlJc w:val="left"/>
      <w:pPr>
        <w:tabs>
          <w:tab w:val="num" w:pos="5760"/>
        </w:tabs>
        <w:ind w:left="5760" w:hanging="360"/>
      </w:pPr>
      <w:rPr>
        <w:rFonts w:ascii="Courier New" w:hAnsi="Courier New"/>
      </w:rPr>
    </w:lvl>
    <w:lvl w:ilvl="8" w:tplc="E7F2BE98">
      <w:start w:val="1"/>
      <w:numFmt w:val="bullet"/>
      <w:lvlText w:val=""/>
      <w:lvlJc w:val="left"/>
      <w:pPr>
        <w:tabs>
          <w:tab w:val="num" w:pos="6480"/>
        </w:tabs>
        <w:ind w:left="6480" w:hanging="360"/>
      </w:pPr>
      <w:rPr>
        <w:rFonts w:ascii="Wingdings" w:hAnsi="Wingdings"/>
      </w:rPr>
    </w:lvl>
  </w:abstractNum>
  <w:abstractNum w:abstractNumId="51" w15:restartNumberingAfterBreak="0">
    <w:nsid w:val="722304F5"/>
    <w:multiLevelType w:val="hybridMultilevel"/>
    <w:tmpl w:val="722304F5"/>
    <w:lvl w:ilvl="0" w:tplc="419EC902">
      <w:start w:val="1"/>
      <w:numFmt w:val="bullet"/>
      <w:lvlText w:val=""/>
      <w:lvlJc w:val="left"/>
      <w:pPr>
        <w:tabs>
          <w:tab w:val="num" w:pos="720"/>
        </w:tabs>
        <w:ind w:left="720" w:hanging="360"/>
      </w:pPr>
      <w:rPr>
        <w:rFonts w:ascii="Symbol" w:hAnsi="Symbol"/>
      </w:rPr>
    </w:lvl>
    <w:lvl w:ilvl="1" w:tplc="FBF0D24C">
      <w:start w:val="1"/>
      <w:numFmt w:val="bullet"/>
      <w:lvlText w:val="o"/>
      <w:lvlJc w:val="left"/>
      <w:pPr>
        <w:tabs>
          <w:tab w:val="num" w:pos="1440"/>
        </w:tabs>
        <w:ind w:left="1440" w:hanging="360"/>
      </w:pPr>
      <w:rPr>
        <w:rFonts w:ascii="Courier New" w:hAnsi="Courier New"/>
      </w:rPr>
    </w:lvl>
    <w:lvl w:ilvl="2" w:tplc="4A921710">
      <w:start w:val="1"/>
      <w:numFmt w:val="bullet"/>
      <w:lvlText w:val=""/>
      <w:lvlJc w:val="left"/>
      <w:pPr>
        <w:tabs>
          <w:tab w:val="num" w:pos="2160"/>
        </w:tabs>
        <w:ind w:left="2160" w:hanging="360"/>
      </w:pPr>
      <w:rPr>
        <w:rFonts w:ascii="Wingdings" w:hAnsi="Wingdings"/>
      </w:rPr>
    </w:lvl>
    <w:lvl w:ilvl="3" w:tplc="08F89668">
      <w:start w:val="1"/>
      <w:numFmt w:val="bullet"/>
      <w:lvlText w:val=""/>
      <w:lvlJc w:val="left"/>
      <w:pPr>
        <w:tabs>
          <w:tab w:val="num" w:pos="2880"/>
        </w:tabs>
        <w:ind w:left="2880" w:hanging="360"/>
      </w:pPr>
      <w:rPr>
        <w:rFonts w:ascii="Symbol" w:hAnsi="Symbol"/>
      </w:rPr>
    </w:lvl>
    <w:lvl w:ilvl="4" w:tplc="C2F49338">
      <w:start w:val="1"/>
      <w:numFmt w:val="bullet"/>
      <w:lvlText w:val="o"/>
      <w:lvlJc w:val="left"/>
      <w:pPr>
        <w:tabs>
          <w:tab w:val="num" w:pos="3600"/>
        </w:tabs>
        <w:ind w:left="3600" w:hanging="360"/>
      </w:pPr>
      <w:rPr>
        <w:rFonts w:ascii="Courier New" w:hAnsi="Courier New"/>
      </w:rPr>
    </w:lvl>
    <w:lvl w:ilvl="5" w:tplc="61F44F40">
      <w:start w:val="1"/>
      <w:numFmt w:val="bullet"/>
      <w:lvlText w:val=""/>
      <w:lvlJc w:val="left"/>
      <w:pPr>
        <w:tabs>
          <w:tab w:val="num" w:pos="4320"/>
        </w:tabs>
        <w:ind w:left="4320" w:hanging="360"/>
      </w:pPr>
      <w:rPr>
        <w:rFonts w:ascii="Wingdings" w:hAnsi="Wingdings"/>
      </w:rPr>
    </w:lvl>
    <w:lvl w:ilvl="6" w:tplc="B59821B2">
      <w:start w:val="1"/>
      <w:numFmt w:val="bullet"/>
      <w:lvlText w:val=""/>
      <w:lvlJc w:val="left"/>
      <w:pPr>
        <w:tabs>
          <w:tab w:val="num" w:pos="5040"/>
        </w:tabs>
        <w:ind w:left="5040" w:hanging="360"/>
      </w:pPr>
      <w:rPr>
        <w:rFonts w:ascii="Symbol" w:hAnsi="Symbol"/>
      </w:rPr>
    </w:lvl>
    <w:lvl w:ilvl="7" w:tplc="03C4D402">
      <w:start w:val="1"/>
      <w:numFmt w:val="bullet"/>
      <w:lvlText w:val="o"/>
      <w:lvlJc w:val="left"/>
      <w:pPr>
        <w:tabs>
          <w:tab w:val="num" w:pos="5760"/>
        </w:tabs>
        <w:ind w:left="5760" w:hanging="360"/>
      </w:pPr>
      <w:rPr>
        <w:rFonts w:ascii="Courier New" w:hAnsi="Courier New"/>
      </w:rPr>
    </w:lvl>
    <w:lvl w:ilvl="8" w:tplc="C6C02696">
      <w:start w:val="1"/>
      <w:numFmt w:val="bullet"/>
      <w:lvlText w:val=""/>
      <w:lvlJc w:val="left"/>
      <w:pPr>
        <w:tabs>
          <w:tab w:val="num" w:pos="6480"/>
        </w:tabs>
        <w:ind w:left="6480" w:hanging="360"/>
      </w:pPr>
      <w:rPr>
        <w:rFonts w:ascii="Wingdings" w:hAnsi="Wingdings"/>
      </w:rPr>
    </w:lvl>
  </w:abstractNum>
  <w:abstractNum w:abstractNumId="52" w15:restartNumberingAfterBreak="0">
    <w:nsid w:val="722304F6"/>
    <w:multiLevelType w:val="hybridMultilevel"/>
    <w:tmpl w:val="722304F6"/>
    <w:lvl w:ilvl="0" w:tplc="5A140BCA">
      <w:start w:val="1"/>
      <w:numFmt w:val="bullet"/>
      <w:lvlText w:val=""/>
      <w:lvlJc w:val="left"/>
      <w:pPr>
        <w:ind w:left="720" w:hanging="360"/>
      </w:pPr>
      <w:rPr>
        <w:rFonts w:ascii="Symbol" w:hAnsi="Symbol"/>
      </w:rPr>
    </w:lvl>
    <w:lvl w:ilvl="1" w:tplc="A6661C8A">
      <w:start w:val="1"/>
      <w:numFmt w:val="bullet"/>
      <w:lvlText w:val="o"/>
      <w:lvlJc w:val="left"/>
      <w:pPr>
        <w:tabs>
          <w:tab w:val="num" w:pos="1440"/>
        </w:tabs>
        <w:ind w:left="1440" w:hanging="360"/>
      </w:pPr>
      <w:rPr>
        <w:rFonts w:ascii="Courier New" w:hAnsi="Courier New"/>
      </w:rPr>
    </w:lvl>
    <w:lvl w:ilvl="2" w:tplc="40C05D12">
      <w:start w:val="1"/>
      <w:numFmt w:val="bullet"/>
      <w:lvlText w:val=""/>
      <w:lvlJc w:val="left"/>
      <w:pPr>
        <w:tabs>
          <w:tab w:val="num" w:pos="2160"/>
        </w:tabs>
        <w:ind w:left="2160" w:hanging="360"/>
      </w:pPr>
      <w:rPr>
        <w:rFonts w:ascii="Wingdings" w:hAnsi="Wingdings"/>
      </w:rPr>
    </w:lvl>
    <w:lvl w:ilvl="3" w:tplc="EFBE0AF6">
      <w:start w:val="1"/>
      <w:numFmt w:val="bullet"/>
      <w:lvlText w:val=""/>
      <w:lvlJc w:val="left"/>
      <w:pPr>
        <w:tabs>
          <w:tab w:val="num" w:pos="2880"/>
        </w:tabs>
        <w:ind w:left="2880" w:hanging="360"/>
      </w:pPr>
      <w:rPr>
        <w:rFonts w:ascii="Symbol" w:hAnsi="Symbol"/>
      </w:rPr>
    </w:lvl>
    <w:lvl w:ilvl="4" w:tplc="ECEA8DCC">
      <w:start w:val="1"/>
      <w:numFmt w:val="bullet"/>
      <w:lvlText w:val="o"/>
      <w:lvlJc w:val="left"/>
      <w:pPr>
        <w:tabs>
          <w:tab w:val="num" w:pos="3600"/>
        </w:tabs>
        <w:ind w:left="3600" w:hanging="360"/>
      </w:pPr>
      <w:rPr>
        <w:rFonts w:ascii="Courier New" w:hAnsi="Courier New"/>
      </w:rPr>
    </w:lvl>
    <w:lvl w:ilvl="5" w:tplc="42BEDA96">
      <w:start w:val="1"/>
      <w:numFmt w:val="bullet"/>
      <w:lvlText w:val=""/>
      <w:lvlJc w:val="left"/>
      <w:pPr>
        <w:tabs>
          <w:tab w:val="num" w:pos="4320"/>
        </w:tabs>
        <w:ind w:left="4320" w:hanging="360"/>
      </w:pPr>
      <w:rPr>
        <w:rFonts w:ascii="Wingdings" w:hAnsi="Wingdings"/>
      </w:rPr>
    </w:lvl>
    <w:lvl w:ilvl="6" w:tplc="4A449F70">
      <w:start w:val="1"/>
      <w:numFmt w:val="bullet"/>
      <w:lvlText w:val=""/>
      <w:lvlJc w:val="left"/>
      <w:pPr>
        <w:tabs>
          <w:tab w:val="num" w:pos="5040"/>
        </w:tabs>
        <w:ind w:left="5040" w:hanging="360"/>
      </w:pPr>
      <w:rPr>
        <w:rFonts w:ascii="Symbol" w:hAnsi="Symbol"/>
      </w:rPr>
    </w:lvl>
    <w:lvl w:ilvl="7" w:tplc="0B2A8BE0">
      <w:start w:val="1"/>
      <w:numFmt w:val="bullet"/>
      <w:lvlText w:val="o"/>
      <w:lvlJc w:val="left"/>
      <w:pPr>
        <w:tabs>
          <w:tab w:val="num" w:pos="5760"/>
        </w:tabs>
        <w:ind w:left="5760" w:hanging="360"/>
      </w:pPr>
      <w:rPr>
        <w:rFonts w:ascii="Courier New" w:hAnsi="Courier New"/>
      </w:rPr>
    </w:lvl>
    <w:lvl w:ilvl="8" w:tplc="A10E15B0">
      <w:start w:val="1"/>
      <w:numFmt w:val="bullet"/>
      <w:lvlText w:val=""/>
      <w:lvlJc w:val="left"/>
      <w:pPr>
        <w:tabs>
          <w:tab w:val="num" w:pos="6480"/>
        </w:tabs>
        <w:ind w:left="6480" w:hanging="360"/>
      </w:pPr>
      <w:rPr>
        <w:rFonts w:ascii="Wingdings" w:hAnsi="Wingdings"/>
      </w:rPr>
    </w:lvl>
  </w:abstractNum>
  <w:abstractNum w:abstractNumId="53" w15:restartNumberingAfterBreak="0">
    <w:nsid w:val="722304F7"/>
    <w:multiLevelType w:val="hybridMultilevel"/>
    <w:tmpl w:val="722304F7"/>
    <w:lvl w:ilvl="0" w:tplc="0B8C7E34">
      <w:start w:val="1"/>
      <w:numFmt w:val="bullet"/>
      <w:lvlText w:val=""/>
      <w:lvlJc w:val="left"/>
      <w:pPr>
        <w:tabs>
          <w:tab w:val="num" w:pos="720"/>
        </w:tabs>
        <w:ind w:left="720" w:hanging="360"/>
      </w:pPr>
      <w:rPr>
        <w:rFonts w:ascii="Symbol" w:hAnsi="Symbol"/>
      </w:rPr>
    </w:lvl>
    <w:lvl w:ilvl="1" w:tplc="25DA76C8">
      <w:start w:val="1"/>
      <w:numFmt w:val="bullet"/>
      <w:lvlText w:val="o"/>
      <w:lvlJc w:val="left"/>
      <w:pPr>
        <w:tabs>
          <w:tab w:val="num" w:pos="1440"/>
        </w:tabs>
        <w:ind w:left="1440" w:hanging="360"/>
      </w:pPr>
      <w:rPr>
        <w:rFonts w:ascii="Courier New" w:hAnsi="Courier New"/>
      </w:rPr>
    </w:lvl>
    <w:lvl w:ilvl="2" w:tplc="77F695AA">
      <w:start w:val="1"/>
      <w:numFmt w:val="bullet"/>
      <w:lvlText w:val=""/>
      <w:lvlJc w:val="left"/>
      <w:pPr>
        <w:tabs>
          <w:tab w:val="num" w:pos="2160"/>
        </w:tabs>
        <w:ind w:left="2160" w:hanging="360"/>
      </w:pPr>
      <w:rPr>
        <w:rFonts w:ascii="Wingdings" w:hAnsi="Wingdings"/>
      </w:rPr>
    </w:lvl>
    <w:lvl w:ilvl="3" w:tplc="295ABE4A">
      <w:start w:val="1"/>
      <w:numFmt w:val="bullet"/>
      <w:lvlText w:val=""/>
      <w:lvlJc w:val="left"/>
      <w:pPr>
        <w:tabs>
          <w:tab w:val="num" w:pos="2880"/>
        </w:tabs>
        <w:ind w:left="2880" w:hanging="360"/>
      </w:pPr>
      <w:rPr>
        <w:rFonts w:ascii="Symbol" w:hAnsi="Symbol"/>
      </w:rPr>
    </w:lvl>
    <w:lvl w:ilvl="4" w:tplc="BE3A2E1A">
      <w:start w:val="1"/>
      <w:numFmt w:val="bullet"/>
      <w:lvlText w:val="o"/>
      <w:lvlJc w:val="left"/>
      <w:pPr>
        <w:tabs>
          <w:tab w:val="num" w:pos="3600"/>
        </w:tabs>
        <w:ind w:left="3600" w:hanging="360"/>
      </w:pPr>
      <w:rPr>
        <w:rFonts w:ascii="Courier New" w:hAnsi="Courier New"/>
      </w:rPr>
    </w:lvl>
    <w:lvl w:ilvl="5" w:tplc="2AE267EE">
      <w:start w:val="1"/>
      <w:numFmt w:val="bullet"/>
      <w:lvlText w:val=""/>
      <w:lvlJc w:val="left"/>
      <w:pPr>
        <w:tabs>
          <w:tab w:val="num" w:pos="4320"/>
        </w:tabs>
        <w:ind w:left="4320" w:hanging="360"/>
      </w:pPr>
      <w:rPr>
        <w:rFonts w:ascii="Wingdings" w:hAnsi="Wingdings"/>
      </w:rPr>
    </w:lvl>
    <w:lvl w:ilvl="6" w:tplc="95067ACC">
      <w:start w:val="1"/>
      <w:numFmt w:val="bullet"/>
      <w:lvlText w:val=""/>
      <w:lvlJc w:val="left"/>
      <w:pPr>
        <w:tabs>
          <w:tab w:val="num" w:pos="5040"/>
        </w:tabs>
        <w:ind w:left="5040" w:hanging="360"/>
      </w:pPr>
      <w:rPr>
        <w:rFonts w:ascii="Symbol" w:hAnsi="Symbol"/>
      </w:rPr>
    </w:lvl>
    <w:lvl w:ilvl="7" w:tplc="62B43296">
      <w:start w:val="1"/>
      <w:numFmt w:val="bullet"/>
      <w:lvlText w:val="o"/>
      <w:lvlJc w:val="left"/>
      <w:pPr>
        <w:tabs>
          <w:tab w:val="num" w:pos="5760"/>
        </w:tabs>
        <w:ind w:left="5760" w:hanging="360"/>
      </w:pPr>
      <w:rPr>
        <w:rFonts w:ascii="Courier New" w:hAnsi="Courier New"/>
      </w:rPr>
    </w:lvl>
    <w:lvl w:ilvl="8" w:tplc="1338C492">
      <w:start w:val="1"/>
      <w:numFmt w:val="bullet"/>
      <w:lvlText w:val=""/>
      <w:lvlJc w:val="left"/>
      <w:pPr>
        <w:tabs>
          <w:tab w:val="num" w:pos="6480"/>
        </w:tabs>
        <w:ind w:left="6480" w:hanging="360"/>
      </w:pPr>
      <w:rPr>
        <w:rFonts w:ascii="Wingdings" w:hAnsi="Wingdings"/>
      </w:rPr>
    </w:lvl>
  </w:abstractNum>
  <w:abstractNum w:abstractNumId="54" w15:restartNumberingAfterBreak="0">
    <w:nsid w:val="722304F8"/>
    <w:multiLevelType w:val="hybridMultilevel"/>
    <w:tmpl w:val="722304F8"/>
    <w:lvl w:ilvl="0" w:tplc="E74292B2">
      <w:start w:val="1"/>
      <w:numFmt w:val="bullet"/>
      <w:lvlText w:val=""/>
      <w:lvlJc w:val="left"/>
      <w:pPr>
        <w:tabs>
          <w:tab w:val="num" w:pos="720"/>
        </w:tabs>
        <w:ind w:left="720" w:hanging="360"/>
      </w:pPr>
      <w:rPr>
        <w:rFonts w:ascii="Symbol" w:hAnsi="Symbol"/>
      </w:rPr>
    </w:lvl>
    <w:lvl w:ilvl="1" w:tplc="3A66C10C">
      <w:start w:val="1"/>
      <w:numFmt w:val="bullet"/>
      <w:lvlText w:val="o"/>
      <w:lvlJc w:val="left"/>
      <w:pPr>
        <w:tabs>
          <w:tab w:val="num" w:pos="1440"/>
        </w:tabs>
        <w:ind w:left="1440" w:hanging="360"/>
      </w:pPr>
      <w:rPr>
        <w:rFonts w:ascii="Courier New" w:hAnsi="Courier New"/>
      </w:rPr>
    </w:lvl>
    <w:lvl w:ilvl="2" w:tplc="84BA385A">
      <w:start w:val="1"/>
      <w:numFmt w:val="bullet"/>
      <w:lvlText w:val=""/>
      <w:lvlJc w:val="left"/>
      <w:pPr>
        <w:tabs>
          <w:tab w:val="num" w:pos="2160"/>
        </w:tabs>
        <w:ind w:left="2160" w:hanging="360"/>
      </w:pPr>
      <w:rPr>
        <w:rFonts w:ascii="Wingdings" w:hAnsi="Wingdings"/>
      </w:rPr>
    </w:lvl>
    <w:lvl w:ilvl="3" w:tplc="548E288C">
      <w:start w:val="1"/>
      <w:numFmt w:val="bullet"/>
      <w:lvlText w:val=""/>
      <w:lvlJc w:val="left"/>
      <w:pPr>
        <w:tabs>
          <w:tab w:val="num" w:pos="2880"/>
        </w:tabs>
        <w:ind w:left="2880" w:hanging="360"/>
      </w:pPr>
      <w:rPr>
        <w:rFonts w:ascii="Symbol" w:hAnsi="Symbol"/>
      </w:rPr>
    </w:lvl>
    <w:lvl w:ilvl="4" w:tplc="0EA41620">
      <w:start w:val="1"/>
      <w:numFmt w:val="bullet"/>
      <w:lvlText w:val="o"/>
      <w:lvlJc w:val="left"/>
      <w:pPr>
        <w:tabs>
          <w:tab w:val="num" w:pos="3600"/>
        </w:tabs>
        <w:ind w:left="3600" w:hanging="360"/>
      </w:pPr>
      <w:rPr>
        <w:rFonts w:ascii="Courier New" w:hAnsi="Courier New"/>
      </w:rPr>
    </w:lvl>
    <w:lvl w:ilvl="5" w:tplc="3164452E">
      <w:start w:val="1"/>
      <w:numFmt w:val="bullet"/>
      <w:lvlText w:val=""/>
      <w:lvlJc w:val="left"/>
      <w:pPr>
        <w:tabs>
          <w:tab w:val="num" w:pos="4320"/>
        </w:tabs>
        <w:ind w:left="4320" w:hanging="360"/>
      </w:pPr>
      <w:rPr>
        <w:rFonts w:ascii="Wingdings" w:hAnsi="Wingdings"/>
      </w:rPr>
    </w:lvl>
    <w:lvl w:ilvl="6" w:tplc="7034FEB6">
      <w:start w:val="1"/>
      <w:numFmt w:val="bullet"/>
      <w:lvlText w:val=""/>
      <w:lvlJc w:val="left"/>
      <w:pPr>
        <w:tabs>
          <w:tab w:val="num" w:pos="5040"/>
        </w:tabs>
        <w:ind w:left="5040" w:hanging="360"/>
      </w:pPr>
      <w:rPr>
        <w:rFonts w:ascii="Symbol" w:hAnsi="Symbol"/>
      </w:rPr>
    </w:lvl>
    <w:lvl w:ilvl="7" w:tplc="223A713E">
      <w:start w:val="1"/>
      <w:numFmt w:val="bullet"/>
      <w:lvlText w:val="o"/>
      <w:lvlJc w:val="left"/>
      <w:pPr>
        <w:tabs>
          <w:tab w:val="num" w:pos="5760"/>
        </w:tabs>
        <w:ind w:left="5760" w:hanging="360"/>
      </w:pPr>
      <w:rPr>
        <w:rFonts w:ascii="Courier New" w:hAnsi="Courier New"/>
      </w:rPr>
    </w:lvl>
    <w:lvl w:ilvl="8" w:tplc="EF74D3CC">
      <w:start w:val="1"/>
      <w:numFmt w:val="bullet"/>
      <w:lvlText w:val=""/>
      <w:lvlJc w:val="left"/>
      <w:pPr>
        <w:tabs>
          <w:tab w:val="num" w:pos="6480"/>
        </w:tabs>
        <w:ind w:left="6480" w:hanging="360"/>
      </w:pPr>
      <w:rPr>
        <w:rFonts w:ascii="Wingdings" w:hAnsi="Wingdings"/>
      </w:rPr>
    </w:lvl>
  </w:abstractNum>
  <w:abstractNum w:abstractNumId="55" w15:restartNumberingAfterBreak="0">
    <w:nsid w:val="722304F9"/>
    <w:multiLevelType w:val="hybridMultilevel"/>
    <w:tmpl w:val="722304F9"/>
    <w:lvl w:ilvl="0" w:tplc="E122958E">
      <w:start w:val="1"/>
      <w:numFmt w:val="bullet"/>
      <w:lvlText w:val=""/>
      <w:lvlJc w:val="left"/>
      <w:pPr>
        <w:tabs>
          <w:tab w:val="num" w:pos="720"/>
        </w:tabs>
        <w:ind w:left="720" w:hanging="360"/>
      </w:pPr>
      <w:rPr>
        <w:rFonts w:ascii="Symbol" w:hAnsi="Symbol"/>
      </w:rPr>
    </w:lvl>
    <w:lvl w:ilvl="1" w:tplc="EDC2B164">
      <w:start w:val="1"/>
      <w:numFmt w:val="bullet"/>
      <w:lvlText w:val="o"/>
      <w:lvlJc w:val="left"/>
      <w:pPr>
        <w:tabs>
          <w:tab w:val="num" w:pos="1440"/>
        </w:tabs>
        <w:ind w:left="1440" w:hanging="360"/>
      </w:pPr>
      <w:rPr>
        <w:rFonts w:ascii="Courier New" w:hAnsi="Courier New"/>
      </w:rPr>
    </w:lvl>
    <w:lvl w:ilvl="2" w:tplc="F3F0DBCC">
      <w:start w:val="1"/>
      <w:numFmt w:val="bullet"/>
      <w:lvlText w:val=""/>
      <w:lvlJc w:val="left"/>
      <w:pPr>
        <w:tabs>
          <w:tab w:val="num" w:pos="2160"/>
        </w:tabs>
        <w:ind w:left="2160" w:hanging="360"/>
      </w:pPr>
      <w:rPr>
        <w:rFonts w:ascii="Wingdings" w:hAnsi="Wingdings"/>
      </w:rPr>
    </w:lvl>
    <w:lvl w:ilvl="3" w:tplc="CB864F96">
      <w:start w:val="1"/>
      <w:numFmt w:val="bullet"/>
      <w:lvlText w:val=""/>
      <w:lvlJc w:val="left"/>
      <w:pPr>
        <w:tabs>
          <w:tab w:val="num" w:pos="2880"/>
        </w:tabs>
        <w:ind w:left="2880" w:hanging="360"/>
      </w:pPr>
      <w:rPr>
        <w:rFonts w:ascii="Symbol" w:hAnsi="Symbol"/>
      </w:rPr>
    </w:lvl>
    <w:lvl w:ilvl="4" w:tplc="AA841FE4">
      <w:start w:val="1"/>
      <w:numFmt w:val="bullet"/>
      <w:lvlText w:val="o"/>
      <w:lvlJc w:val="left"/>
      <w:pPr>
        <w:tabs>
          <w:tab w:val="num" w:pos="3600"/>
        </w:tabs>
        <w:ind w:left="3600" w:hanging="360"/>
      </w:pPr>
      <w:rPr>
        <w:rFonts w:ascii="Courier New" w:hAnsi="Courier New"/>
      </w:rPr>
    </w:lvl>
    <w:lvl w:ilvl="5" w:tplc="CA0268E8">
      <w:start w:val="1"/>
      <w:numFmt w:val="bullet"/>
      <w:lvlText w:val=""/>
      <w:lvlJc w:val="left"/>
      <w:pPr>
        <w:tabs>
          <w:tab w:val="num" w:pos="4320"/>
        </w:tabs>
        <w:ind w:left="4320" w:hanging="360"/>
      </w:pPr>
      <w:rPr>
        <w:rFonts w:ascii="Wingdings" w:hAnsi="Wingdings"/>
      </w:rPr>
    </w:lvl>
    <w:lvl w:ilvl="6" w:tplc="E9ECAF7A">
      <w:start w:val="1"/>
      <w:numFmt w:val="bullet"/>
      <w:lvlText w:val=""/>
      <w:lvlJc w:val="left"/>
      <w:pPr>
        <w:tabs>
          <w:tab w:val="num" w:pos="5040"/>
        </w:tabs>
        <w:ind w:left="5040" w:hanging="360"/>
      </w:pPr>
      <w:rPr>
        <w:rFonts w:ascii="Symbol" w:hAnsi="Symbol"/>
      </w:rPr>
    </w:lvl>
    <w:lvl w:ilvl="7" w:tplc="4F4EC044">
      <w:start w:val="1"/>
      <w:numFmt w:val="bullet"/>
      <w:lvlText w:val="o"/>
      <w:lvlJc w:val="left"/>
      <w:pPr>
        <w:tabs>
          <w:tab w:val="num" w:pos="5760"/>
        </w:tabs>
        <w:ind w:left="5760" w:hanging="360"/>
      </w:pPr>
      <w:rPr>
        <w:rFonts w:ascii="Courier New" w:hAnsi="Courier New"/>
      </w:rPr>
    </w:lvl>
    <w:lvl w:ilvl="8" w:tplc="6A5849A2">
      <w:start w:val="1"/>
      <w:numFmt w:val="bullet"/>
      <w:lvlText w:val=""/>
      <w:lvlJc w:val="left"/>
      <w:pPr>
        <w:tabs>
          <w:tab w:val="num" w:pos="6480"/>
        </w:tabs>
        <w:ind w:left="6480" w:hanging="360"/>
      </w:pPr>
      <w:rPr>
        <w:rFonts w:ascii="Wingdings" w:hAnsi="Wingdings"/>
      </w:rPr>
    </w:lvl>
  </w:abstractNum>
  <w:abstractNum w:abstractNumId="56" w15:restartNumberingAfterBreak="0">
    <w:nsid w:val="722304FA"/>
    <w:multiLevelType w:val="hybridMultilevel"/>
    <w:tmpl w:val="722304FA"/>
    <w:lvl w:ilvl="0" w:tplc="21700A06">
      <w:start w:val="1"/>
      <w:numFmt w:val="bullet"/>
      <w:lvlText w:val=""/>
      <w:lvlJc w:val="left"/>
      <w:pPr>
        <w:tabs>
          <w:tab w:val="num" w:pos="720"/>
        </w:tabs>
        <w:ind w:left="720" w:hanging="360"/>
      </w:pPr>
      <w:rPr>
        <w:rFonts w:ascii="Symbol" w:hAnsi="Symbol"/>
      </w:rPr>
    </w:lvl>
    <w:lvl w:ilvl="1" w:tplc="0C72D4DA">
      <w:start w:val="1"/>
      <w:numFmt w:val="bullet"/>
      <w:lvlText w:val="o"/>
      <w:lvlJc w:val="left"/>
      <w:pPr>
        <w:tabs>
          <w:tab w:val="num" w:pos="1440"/>
        </w:tabs>
        <w:ind w:left="1440" w:hanging="360"/>
      </w:pPr>
      <w:rPr>
        <w:rFonts w:ascii="Courier New" w:hAnsi="Courier New"/>
      </w:rPr>
    </w:lvl>
    <w:lvl w:ilvl="2" w:tplc="3C5AC7F4">
      <w:start w:val="1"/>
      <w:numFmt w:val="bullet"/>
      <w:lvlText w:val=""/>
      <w:lvlJc w:val="left"/>
      <w:pPr>
        <w:tabs>
          <w:tab w:val="num" w:pos="2160"/>
        </w:tabs>
        <w:ind w:left="2160" w:hanging="360"/>
      </w:pPr>
      <w:rPr>
        <w:rFonts w:ascii="Wingdings" w:hAnsi="Wingdings"/>
      </w:rPr>
    </w:lvl>
    <w:lvl w:ilvl="3" w:tplc="6450B038">
      <w:start w:val="1"/>
      <w:numFmt w:val="bullet"/>
      <w:lvlText w:val=""/>
      <w:lvlJc w:val="left"/>
      <w:pPr>
        <w:tabs>
          <w:tab w:val="num" w:pos="2880"/>
        </w:tabs>
        <w:ind w:left="2880" w:hanging="360"/>
      </w:pPr>
      <w:rPr>
        <w:rFonts w:ascii="Symbol" w:hAnsi="Symbol"/>
      </w:rPr>
    </w:lvl>
    <w:lvl w:ilvl="4" w:tplc="EBDA9216">
      <w:start w:val="1"/>
      <w:numFmt w:val="bullet"/>
      <w:lvlText w:val="o"/>
      <w:lvlJc w:val="left"/>
      <w:pPr>
        <w:tabs>
          <w:tab w:val="num" w:pos="3600"/>
        </w:tabs>
        <w:ind w:left="3600" w:hanging="360"/>
      </w:pPr>
      <w:rPr>
        <w:rFonts w:ascii="Courier New" w:hAnsi="Courier New"/>
      </w:rPr>
    </w:lvl>
    <w:lvl w:ilvl="5" w:tplc="FA6EDF0C">
      <w:start w:val="1"/>
      <w:numFmt w:val="bullet"/>
      <w:lvlText w:val=""/>
      <w:lvlJc w:val="left"/>
      <w:pPr>
        <w:tabs>
          <w:tab w:val="num" w:pos="4320"/>
        </w:tabs>
        <w:ind w:left="4320" w:hanging="360"/>
      </w:pPr>
      <w:rPr>
        <w:rFonts w:ascii="Wingdings" w:hAnsi="Wingdings"/>
      </w:rPr>
    </w:lvl>
    <w:lvl w:ilvl="6" w:tplc="6BD08CF4">
      <w:start w:val="1"/>
      <w:numFmt w:val="bullet"/>
      <w:lvlText w:val=""/>
      <w:lvlJc w:val="left"/>
      <w:pPr>
        <w:tabs>
          <w:tab w:val="num" w:pos="5040"/>
        </w:tabs>
        <w:ind w:left="5040" w:hanging="360"/>
      </w:pPr>
      <w:rPr>
        <w:rFonts w:ascii="Symbol" w:hAnsi="Symbol"/>
      </w:rPr>
    </w:lvl>
    <w:lvl w:ilvl="7" w:tplc="F99A23E6">
      <w:start w:val="1"/>
      <w:numFmt w:val="bullet"/>
      <w:lvlText w:val="o"/>
      <w:lvlJc w:val="left"/>
      <w:pPr>
        <w:tabs>
          <w:tab w:val="num" w:pos="5760"/>
        </w:tabs>
        <w:ind w:left="5760" w:hanging="360"/>
      </w:pPr>
      <w:rPr>
        <w:rFonts w:ascii="Courier New" w:hAnsi="Courier New"/>
      </w:rPr>
    </w:lvl>
    <w:lvl w:ilvl="8" w:tplc="7FC0625E">
      <w:start w:val="1"/>
      <w:numFmt w:val="bullet"/>
      <w:lvlText w:val=""/>
      <w:lvlJc w:val="left"/>
      <w:pPr>
        <w:tabs>
          <w:tab w:val="num" w:pos="6480"/>
        </w:tabs>
        <w:ind w:left="6480" w:hanging="360"/>
      </w:pPr>
      <w:rPr>
        <w:rFonts w:ascii="Wingdings" w:hAnsi="Wingdings"/>
      </w:rPr>
    </w:lvl>
  </w:abstractNum>
  <w:abstractNum w:abstractNumId="57" w15:restartNumberingAfterBreak="0">
    <w:nsid w:val="722304FB"/>
    <w:multiLevelType w:val="hybridMultilevel"/>
    <w:tmpl w:val="722304FB"/>
    <w:lvl w:ilvl="0" w:tplc="34BC7EDA">
      <w:start w:val="1"/>
      <w:numFmt w:val="bullet"/>
      <w:lvlText w:val=""/>
      <w:lvlJc w:val="left"/>
      <w:pPr>
        <w:tabs>
          <w:tab w:val="num" w:pos="720"/>
        </w:tabs>
        <w:ind w:left="720" w:hanging="360"/>
      </w:pPr>
      <w:rPr>
        <w:rFonts w:ascii="Symbol" w:hAnsi="Symbol"/>
      </w:rPr>
    </w:lvl>
    <w:lvl w:ilvl="1" w:tplc="11F41DA8">
      <w:start w:val="1"/>
      <w:numFmt w:val="bullet"/>
      <w:lvlText w:val="o"/>
      <w:lvlJc w:val="left"/>
      <w:pPr>
        <w:tabs>
          <w:tab w:val="num" w:pos="1440"/>
        </w:tabs>
        <w:ind w:left="1440" w:hanging="360"/>
      </w:pPr>
      <w:rPr>
        <w:rFonts w:ascii="Courier New" w:hAnsi="Courier New"/>
      </w:rPr>
    </w:lvl>
    <w:lvl w:ilvl="2" w:tplc="2FCAA1BC">
      <w:start w:val="1"/>
      <w:numFmt w:val="bullet"/>
      <w:lvlText w:val=""/>
      <w:lvlJc w:val="left"/>
      <w:pPr>
        <w:tabs>
          <w:tab w:val="num" w:pos="2160"/>
        </w:tabs>
        <w:ind w:left="2160" w:hanging="360"/>
      </w:pPr>
      <w:rPr>
        <w:rFonts w:ascii="Wingdings" w:hAnsi="Wingdings"/>
      </w:rPr>
    </w:lvl>
    <w:lvl w:ilvl="3" w:tplc="43EC0788">
      <w:start w:val="1"/>
      <w:numFmt w:val="bullet"/>
      <w:lvlText w:val=""/>
      <w:lvlJc w:val="left"/>
      <w:pPr>
        <w:tabs>
          <w:tab w:val="num" w:pos="2880"/>
        </w:tabs>
        <w:ind w:left="2880" w:hanging="360"/>
      </w:pPr>
      <w:rPr>
        <w:rFonts w:ascii="Symbol" w:hAnsi="Symbol"/>
      </w:rPr>
    </w:lvl>
    <w:lvl w:ilvl="4" w:tplc="4F6E96A8">
      <w:start w:val="1"/>
      <w:numFmt w:val="bullet"/>
      <w:lvlText w:val="o"/>
      <w:lvlJc w:val="left"/>
      <w:pPr>
        <w:tabs>
          <w:tab w:val="num" w:pos="3600"/>
        </w:tabs>
        <w:ind w:left="3600" w:hanging="360"/>
      </w:pPr>
      <w:rPr>
        <w:rFonts w:ascii="Courier New" w:hAnsi="Courier New"/>
      </w:rPr>
    </w:lvl>
    <w:lvl w:ilvl="5" w:tplc="1C84795A">
      <w:start w:val="1"/>
      <w:numFmt w:val="bullet"/>
      <w:lvlText w:val=""/>
      <w:lvlJc w:val="left"/>
      <w:pPr>
        <w:tabs>
          <w:tab w:val="num" w:pos="4320"/>
        </w:tabs>
        <w:ind w:left="4320" w:hanging="360"/>
      </w:pPr>
      <w:rPr>
        <w:rFonts w:ascii="Wingdings" w:hAnsi="Wingdings"/>
      </w:rPr>
    </w:lvl>
    <w:lvl w:ilvl="6" w:tplc="F778408E">
      <w:start w:val="1"/>
      <w:numFmt w:val="bullet"/>
      <w:lvlText w:val=""/>
      <w:lvlJc w:val="left"/>
      <w:pPr>
        <w:tabs>
          <w:tab w:val="num" w:pos="5040"/>
        </w:tabs>
        <w:ind w:left="5040" w:hanging="360"/>
      </w:pPr>
      <w:rPr>
        <w:rFonts w:ascii="Symbol" w:hAnsi="Symbol"/>
      </w:rPr>
    </w:lvl>
    <w:lvl w:ilvl="7" w:tplc="D2DE1F18">
      <w:start w:val="1"/>
      <w:numFmt w:val="bullet"/>
      <w:lvlText w:val="o"/>
      <w:lvlJc w:val="left"/>
      <w:pPr>
        <w:tabs>
          <w:tab w:val="num" w:pos="5760"/>
        </w:tabs>
        <w:ind w:left="5760" w:hanging="360"/>
      </w:pPr>
      <w:rPr>
        <w:rFonts w:ascii="Courier New" w:hAnsi="Courier New"/>
      </w:rPr>
    </w:lvl>
    <w:lvl w:ilvl="8" w:tplc="310E7284">
      <w:start w:val="1"/>
      <w:numFmt w:val="bullet"/>
      <w:lvlText w:val=""/>
      <w:lvlJc w:val="left"/>
      <w:pPr>
        <w:tabs>
          <w:tab w:val="num" w:pos="6480"/>
        </w:tabs>
        <w:ind w:left="6480" w:hanging="360"/>
      </w:pPr>
      <w:rPr>
        <w:rFonts w:ascii="Wingdings" w:hAnsi="Wingdings"/>
      </w:rPr>
    </w:lvl>
  </w:abstractNum>
  <w:abstractNum w:abstractNumId="58" w15:restartNumberingAfterBreak="0">
    <w:nsid w:val="722304FC"/>
    <w:multiLevelType w:val="hybridMultilevel"/>
    <w:tmpl w:val="722304FC"/>
    <w:lvl w:ilvl="0" w:tplc="4E129936">
      <w:start w:val="1"/>
      <w:numFmt w:val="bullet"/>
      <w:lvlText w:val=""/>
      <w:lvlJc w:val="left"/>
      <w:pPr>
        <w:tabs>
          <w:tab w:val="num" w:pos="720"/>
        </w:tabs>
        <w:ind w:left="720" w:hanging="360"/>
      </w:pPr>
      <w:rPr>
        <w:rFonts w:ascii="Symbol" w:hAnsi="Symbol"/>
      </w:rPr>
    </w:lvl>
    <w:lvl w:ilvl="1" w:tplc="4EC6658C">
      <w:start w:val="1"/>
      <w:numFmt w:val="bullet"/>
      <w:lvlText w:val="o"/>
      <w:lvlJc w:val="left"/>
      <w:pPr>
        <w:tabs>
          <w:tab w:val="num" w:pos="1440"/>
        </w:tabs>
        <w:ind w:left="1440" w:hanging="360"/>
      </w:pPr>
      <w:rPr>
        <w:rFonts w:ascii="Courier New" w:hAnsi="Courier New"/>
      </w:rPr>
    </w:lvl>
    <w:lvl w:ilvl="2" w:tplc="49584BFE">
      <w:start w:val="1"/>
      <w:numFmt w:val="bullet"/>
      <w:lvlText w:val=""/>
      <w:lvlJc w:val="left"/>
      <w:pPr>
        <w:tabs>
          <w:tab w:val="num" w:pos="2160"/>
        </w:tabs>
        <w:ind w:left="2160" w:hanging="360"/>
      </w:pPr>
      <w:rPr>
        <w:rFonts w:ascii="Wingdings" w:hAnsi="Wingdings"/>
      </w:rPr>
    </w:lvl>
    <w:lvl w:ilvl="3" w:tplc="D8B8AD80">
      <w:start w:val="1"/>
      <w:numFmt w:val="bullet"/>
      <w:lvlText w:val=""/>
      <w:lvlJc w:val="left"/>
      <w:pPr>
        <w:tabs>
          <w:tab w:val="num" w:pos="2880"/>
        </w:tabs>
        <w:ind w:left="2880" w:hanging="360"/>
      </w:pPr>
      <w:rPr>
        <w:rFonts w:ascii="Symbol" w:hAnsi="Symbol"/>
      </w:rPr>
    </w:lvl>
    <w:lvl w:ilvl="4" w:tplc="775A2622">
      <w:start w:val="1"/>
      <w:numFmt w:val="bullet"/>
      <w:lvlText w:val="o"/>
      <w:lvlJc w:val="left"/>
      <w:pPr>
        <w:tabs>
          <w:tab w:val="num" w:pos="3600"/>
        </w:tabs>
        <w:ind w:left="3600" w:hanging="360"/>
      </w:pPr>
      <w:rPr>
        <w:rFonts w:ascii="Courier New" w:hAnsi="Courier New"/>
      </w:rPr>
    </w:lvl>
    <w:lvl w:ilvl="5" w:tplc="58EA76C4">
      <w:start w:val="1"/>
      <w:numFmt w:val="bullet"/>
      <w:lvlText w:val=""/>
      <w:lvlJc w:val="left"/>
      <w:pPr>
        <w:tabs>
          <w:tab w:val="num" w:pos="4320"/>
        </w:tabs>
        <w:ind w:left="4320" w:hanging="360"/>
      </w:pPr>
      <w:rPr>
        <w:rFonts w:ascii="Wingdings" w:hAnsi="Wingdings"/>
      </w:rPr>
    </w:lvl>
    <w:lvl w:ilvl="6" w:tplc="A3DEF726">
      <w:start w:val="1"/>
      <w:numFmt w:val="bullet"/>
      <w:lvlText w:val=""/>
      <w:lvlJc w:val="left"/>
      <w:pPr>
        <w:tabs>
          <w:tab w:val="num" w:pos="5040"/>
        </w:tabs>
        <w:ind w:left="5040" w:hanging="360"/>
      </w:pPr>
      <w:rPr>
        <w:rFonts w:ascii="Symbol" w:hAnsi="Symbol"/>
      </w:rPr>
    </w:lvl>
    <w:lvl w:ilvl="7" w:tplc="2A4AC2D6">
      <w:start w:val="1"/>
      <w:numFmt w:val="bullet"/>
      <w:lvlText w:val="o"/>
      <w:lvlJc w:val="left"/>
      <w:pPr>
        <w:tabs>
          <w:tab w:val="num" w:pos="5760"/>
        </w:tabs>
        <w:ind w:left="5760" w:hanging="360"/>
      </w:pPr>
      <w:rPr>
        <w:rFonts w:ascii="Courier New" w:hAnsi="Courier New"/>
      </w:rPr>
    </w:lvl>
    <w:lvl w:ilvl="8" w:tplc="08B8CAD6">
      <w:start w:val="1"/>
      <w:numFmt w:val="bullet"/>
      <w:lvlText w:val=""/>
      <w:lvlJc w:val="left"/>
      <w:pPr>
        <w:tabs>
          <w:tab w:val="num" w:pos="6480"/>
        </w:tabs>
        <w:ind w:left="6480" w:hanging="360"/>
      </w:pPr>
      <w:rPr>
        <w:rFonts w:ascii="Wingdings" w:hAnsi="Wingdings"/>
      </w:rPr>
    </w:lvl>
  </w:abstractNum>
  <w:abstractNum w:abstractNumId="59" w15:restartNumberingAfterBreak="0">
    <w:nsid w:val="722304FD"/>
    <w:multiLevelType w:val="hybridMultilevel"/>
    <w:tmpl w:val="722304FD"/>
    <w:lvl w:ilvl="0" w:tplc="CB785F1A">
      <w:start w:val="1"/>
      <w:numFmt w:val="bullet"/>
      <w:lvlText w:val=""/>
      <w:lvlJc w:val="left"/>
      <w:pPr>
        <w:tabs>
          <w:tab w:val="num" w:pos="720"/>
        </w:tabs>
        <w:ind w:left="720" w:hanging="360"/>
      </w:pPr>
      <w:rPr>
        <w:rFonts w:ascii="Symbol" w:hAnsi="Symbol"/>
      </w:rPr>
    </w:lvl>
    <w:lvl w:ilvl="1" w:tplc="024A1880">
      <w:start w:val="1"/>
      <w:numFmt w:val="bullet"/>
      <w:lvlText w:val="o"/>
      <w:lvlJc w:val="left"/>
      <w:pPr>
        <w:tabs>
          <w:tab w:val="num" w:pos="1440"/>
        </w:tabs>
        <w:ind w:left="1440" w:hanging="360"/>
      </w:pPr>
      <w:rPr>
        <w:rFonts w:ascii="Courier New" w:hAnsi="Courier New"/>
      </w:rPr>
    </w:lvl>
    <w:lvl w:ilvl="2" w:tplc="2AEAD49E">
      <w:start w:val="1"/>
      <w:numFmt w:val="bullet"/>
      <w:lvlText w:val=""/>
      <w:lvlJc w:val="left"/>
      <w:pPr>
        <w:tabs>
          <w:tab w:val="num" w:pos="2160"/>
        </w:tabs>
        <w:ind w:left="2160" w:hanging="360"/>
      </w:pPr>
      <w:rPr>
        <w:rFonts w:ascii="Wingdings" w:hAnsi="Wingdings"/>
      </w:rPr>
    </w:lvl>
    <w:lvl w:ilvl="3" w:tplc="55A4EA30">
      <w:start w:val="1"/>
      <w:numFmt w:val="bullet"/>
      <w:lvlText w:val=""/>
      <w:lvlJc w:val="left"/>
      <w:pPr>
        <w:tabs>
          <w:tab w:val="num" w:pos="2880"/>
        </w:tabs>
        <w:ind w:left="2880" w:hanging="360"/>
      </w:pPr>
      <w:rPr>
        <w:rFonts w:ascii="Symbol" w:hAnsi="Symbol"/>
      </w:rPr>
    </w:lvl>
    <w:lvl w:ilvl="4" w:tplc="D612278E">
      <w:start w:val="1"/>
      <w:numFmt w:val="bullet"/>
      <w:lvlText w:val="o"/>
      <w:lvlJc w:val="left"/>
      <w:pPr>
        <w:tabs>
          <w:tab w:val="num" w:pos="3600"/>
        </w:tabs>
        <w:ind w:left="3600" w:hanging="360"/>
      </w:pPr>
      <w:rPr>
        <w:rFonts w:ascii="Courier New" w:hAnsi="Courier New"/>
      </w:rPr>
    </w:lvl>
    <w:lvl w:ilvl="5" w:tplc="CA2693AE">
      <w:start w:val="1"/>
      <w:numFmt w:val="bullet"/>
      <w:lvlText w:val=""/>
      <w:lvlJc w:val="left"/>
      <w:pPr>
        <w:tabs>
          <w:tab w:val="num" w:pos="4320"/>
        </w:tabs>
        <w:ind w:left="4320" w:hanging="360"/>
      </w:pPr>
      <w:rPr>
        <w:rFonts w:ascii="Wingdings" w:hAnsi="Wingdings"/>
      </w:rPr>
    </w:lvl>
    <w:lvl w:ilvl="6" w:tplc="EB04A8CC">
      <w:start w:val="1"/>
      <w:numFmt w:val="bullet"/>
      <w:lvlText w:val=""/>
      <w:lvlJc w:val="left"/>
      <w:pPr>
        <w:tabs>
          <w:tab w:val="num" w:pos="5040"/>
        </w:tabs>
        <w:ind w:left="5040" w:hanging="360"/>
      </w:pPr>
      <w:rPr>
        <w:rFonts w:ascii="Symbol" w:hAnsi="Symbol"/>
      </w:rPr>
    </w:lvl>
    <w:lvl w:ilvl="7" w:tplc="08889844">
      <w:start w:val="1"/>
      <w:numFmt w:val="bullet"/>
      <w:lvlText w:val="o"/>
      <w:lvlJc w:val="left"/>
      <w:pPr>
        <w:tabs>
          <w:tab w:val="num" w:pos="5760"/>
        </w:tabs>
        <w:ind w:left="5760" w:hanging="360"/>
      </w:pPr>
      <w:rPr>
        <w:rFonts w:ascii="Courier New" w:hAnsi="Courier New"/>
      </w:rPr>
    </w:lvl>
    <w:lvl w:ilvl="8" w:tplc="E070D82A">
      <w:start w:val="1"/>
      <w:numFmt w:val="bullet"/>
      <w:lvlText w:val=""/>
      <w:lvlJc w:val="left"/>
      <w:pPr>
        <w:tabs>
          <w:tab w:val="num" w:pos="6480"/>
        </w:tabs>
        <w:ind w:left="6480" w:hanging="360"/>
      </w:pPr>
      <w:rPr>
        <w:rFonts w:ascii="Wingdings" w:hAnsi="Wingdings"/>
      </w:rPr>
    </w:lvl>
  </w:abstractNum>
  <w:abstractNum w:abstractNumId="60" w15:restartNumberingAfterBreak="0">
    <w:nsid w:val="722304FE"/>
    <w:multiLevelType w:val="hybridMultilevel"/>
    <w:tmpl w:val="722304FE"/>
    <w:lvl w:ilvl="0" w:tplc="AFB8CC6A">
      <w:start w:val="1"/>
      <w:numFmt w:val="bullet"/>
      <w:lvlText w:val=""/>
      <w:lvlJc w:val="left"/>
      <w:pPr>
        <w:tabs>
          <w:tab w:val="num" w:pos="720"/>
        </w:tabs>
        <w:ind w:left="720" w:hanging="360"/>
      </w:pPr>
      <w:rPr>
        <w:rFonts w:ascii="Symbol" w:hAnsi="Symbol"/>
      </w:rPr>
    </w:lvl>
    <w:lvl w:ilvl="1" w:tplc="9872DEAE">
      <w:start w:val="1"/>
      <w:numFmt w:val="bullet"/>
      <w:lvlText w:val="o"/>
      <w:lvlJc w:val="left"/>
      <w:pPr>
        <w:tabs>
          <w:tab w:val="num" w:pos="1440"/>
        </w:tabs>
        <w:ind w:left="1440" w:hanging="360"/>
      </w:pPr>
      <w:rPr>
        <w:rFonts w:ascii="Courier New" w:hAnsi="Courier New"/>
      </w:rPr>
    </w:lvl>
    <w:lvl w:ilvl="2" w:tplc="37A62BF8">
      <w:start w:val="1"/>
      <w:numFmt w:val="bullet"/>
      <w:lvlText w:val=""/>
      <w:lvlJc w:val="left"/>
      <w:pPr>
        <w:tabs>
          <w:tab w:val="num" w:pos="2160"/>
        </w:tabs>
        <w:ind w:left="2160" w:hanging="360"/>
      </w:pPr>
      <w:rPr>
        <w:rFonts w:ascii="Wingdings" w:hAnsi="Wingdings"/>
      </w:rPr>
    </w:lvl>
    <w:lvl w:ilvl="3" w:tplc="311430E8">
      <w:start w:val="1"/>
      <w:numFmt w:val="bullet"/>
      <w:lvlText w:val=""/>
      <w:lvlJc w:val="left"/>
      <w:pPr>
        <w:tabs>
          <w:tab w:val="num" w:pos="2880"/>
        </w:tabs>
        <w:ind w:left="2880" w:hanging="360"/>
      </w:pPr>
      <w:rPr>
        <w:rFonts w:ascii="Symbol" w:hAnsi="Symbol"/>
      </w:rPr>
    </w:lvl>
    <w:lvl w:ilvl="4" w:tplc="7A8E08D6">
      <w:start w:val="1"/>
      <w:numFmt w:val="bullet"/>
      <w:lvlText w:val="o"/>
      <w:lvlJc w:val="left"/>
      <w:pPr>
        <w:tabs>
          <w:tab w:val="num" w:pos="3600"/>
        </w:tabs>
        <w:ind w:left="3600" w:hanging="360"/>
      </w:pPr>
      <w:rPr>
        <w:rFonts w:ascii="Courier New" w:hAnsi="Courier New"/>
      </w:rPr>
    </w:lvl>
    <w:lvl w:ilvl="5" w:tplc="4DE855A4">
      <w:start w:val="1"/>
      <w:numFmt w:val="bullet"/>
      <w:lvlText w:val=""/>
      <w:lvlJc w:val="left"/>
      <w:pPr>
        <w:tabs>
          <w:tab w:val="num" w:pos="4320"/>
        </w:tabs>
        <w:ind w:left="4320" w:hanging="360"/>
      </w:pPr>
      <w:rPr>
        <w:rFonts w:ascii="Wingdings" w:hAnsi="Wingdings"/>
      </w:rPr>
    </w:lvl>
    <w:lvl w:ilvl="6" w:tplc="C92C130C">
      <w:start w:val="1"/>
      <w:numFmt w:val="bullet"/>
      <w:lvlText w:val=""/>
      <w:lvlJc w:val="left"/>
      <w:pPr>
        <w:tabs>
          <w:tab w:val="num" w:pos="5040"/>
        </w:tabs>
        <w:ind w:left="5040" w:hanging="360"/>
      </w:pPr>
      <w:rPr>
        <w:rFonts w:ascii="Symbol" w:hAnsi="Symbol"/>
      </w:rPr>
    </w:lvl>
    <w:lvl w:ilvl="7" w:tplc="355A281E">
      <w:start w:val="1"/>
      <w:numFmt w:val="bullet"/>
      <w:lvlText w:val="o"/>
      <w:lvlJc w:val="left"/>
      <w:pPr>
        <w:tabs>
          <w:tab w:val="num" w:pos="5760"/>
        </w:tabs>
        <w:ind w:left="5760" w:hanging="360"/>
      </w:pPr>
      <w:rPr>
        <w:rFonts w:ascii="Courier New" w:hAnsi="Courier New"/>
      </w:rPr>
    </w:lvl>
    <w:lvl w:ilvl="8" w:tplc="4F98D324">
      <w:start w:val="1"/>
      <w:numFmt w:val="bullet"/>
      <w:lvlText w:val=""/>
      <w:lvlJc w:val="left"/>
      <w:pPr>
        <w:tabs>
          <w:tab w:val="num" w:pos="6480"/>
        </w:tabs>
        <w:ind w:left="6480" w:hanging="360"/>
      </w:pPr>
      <w:rPr>
        <w:rFonts w:ascii="Wingdings" w:hAnsi="Wingdings"/>
      </w:rPr>
    </w:lvl>
  </w:abstractNum>
  <w:abstractNum w:abstractNumId="61" w15:restartNumberingAfterBreak="0">
    <w:nsid w:val="722304FF"/>
    <w:multiLevelType w:val="hybridMultilevel"/>
    <w:tmpl w:val="722304FF"/>
    <w:lvl w:ilvl="0" w:tplc="1AEAD6C0">
      <w:start w:val="1"/>
      <w:numFmt w:val="bullet"/>
      <w:lvlText w:val=""/>
      <w:lvlJc w:val="left"/>
      <w:pPr>
        <w:tabs>
          <w:tab w:val="num" w:pos="720"/>
        </w:tabs>
        <w:ind w:left="720" w:hanging="360"/>
      </w:pPr>
      <w:rPr>
        <w:rFonts w:ascii="Symbol" w:hAnsi="Symbol"/>
      </w:rPr>
    </w:lvl>
    <w:lvl w:ilvl="1" w:tplc="2C205356">
      <w:start w:val="1"/>
      <w:numFmt w:val="bullet"/>
      <w:lvlText w:val="o"/>
      <w:lvlJc w:val="left"/>
      <w:pPr>
        <w:tabs>
          <w:tab w:val="num" w:pos="1440"/>
        </w:tabs>
        <w:ind w:left="1440" w:hanging="360"/>
      </w:pPr>
      <w:rPr>
        <w:rFonts w:ascii="Courier New" w:hAnsi="Courier New"/>
      </w:rPr>
    </w:lvl>
    <w:lvl w:ilvl="2" w:tplc="74706E4C">
      <w:start w:val="1"/>
      <w:numFmt w:val="bullet"/>
      <w:lvlText w:val=""/>
      <w:lvlJc w:val="left"/>
      <w:pPr>
        <w:tabs>
          <w:tab w:val="num" w:pos="2160"/>
        </w:tabs>
        <w:ind w:left="2160" w:hanging="360"/>
      </w:pPr>
      <w:rPr>
        <w:rFonts w:ascii="Wingdings" w:hAnsi="Wingdings"/>
      </w:rPr>
    </w:lvl>
    <w:lvl w:ilvl="3" w:tplc="BDECB5EE">
      <w:start w:val="1"/>
      <w:numFmt w:val="bullet"/>
      <w:lvlText w:val=""/>
      <w:lvlJc w:val="left"/>
      <w:pPr>
        <w:tabs>
          <w:tab w:val="num" w:pos="2880"/>
        </w:tabs>
        <w:ind w:left="2880" w:hanging="360"/>
      </w:pPr>
      <w:rPr>
        <w:rFonts w:ascii="Symbol" w:hAnsi="Symbol"/>
      </w:rPr>
    </w:lvl>
    <w:lvl w:ilvl="4" w:tplc="EE62CB7E">
      <w:start w:val="1"/>
      <w:numFmt w:val="bullet"/>
      <w:lvlText w:val="o"/>
      <w:lvlJc w:val="left"/>
      <w:pPr>
        <w:tabs>
          <w:tab w:val="num" w:pos="3600"/>
        </w:tabs>
        <w:ind w:left="3600" w:hanging="360"/>
      </w:pPr>
      <w:rPr>
        <w:rFonts w:ascii="Courier New" w:hAnsi="Courier New"/>
      </w:rPr>
    </w:lvl>
    <w:lvl w:ilvl="5" w:tplc="4ACCF608">
      <w:start w:val="1"/>
      <w:numFmt w:val="bullet"/>
      <w:lvlText w:val=""/>
      <w:lvlJc w:val="left"/>
      <w:pPr>
        <w:tabs>
          <w:tab w:val="num" w:pos="4320"/>
        </w:tabs>
        <w:ind w:left="4320" w:hanging="360"/>
      </w:pPr>
      <w:rPr>
        <w:rFonts w:ascii="Wingdings" w:hAnsi="Wingdings"/>
      </w:rPr>
    </w:lvl>
    <w:lvl w:ilvl="6" w:tplc="2DB4CD00">
      <w:start w:val="1"/>
      <w:numFmt w:val="bullet"/>
      <w:lvlText w:val=""/>
      <w:lvlJc w:val="left"/>
      <w:pPr>
        <w:tabs>
          <w:tab w:val="num" w:pos="5040"/>
        </w:tabs>
        <w:ind w:left="5040" w:hanging="360"/>
      </w:pPr>
      <w:rPr>
        <w:rFonts w:ascii="Symbol" w:hAnsi="Symbol"/>
      </w:rPr>
    </w:lvl>
    <w:lvl w:ilvl="7" w:tplc="17B4D7BA">
      <w:start w:val="1"/>
      <w:numFmt w:val="bullet"/>
      <w:lvlText w:val="o"/>
      <w:lvlJc w:val="left"/>
      <w:pPr>
        <w:tabs>
          <w:tab w:val="num" w:pos="5760"/>
        </w:tabs>
        <w:ind w:left="5760" w:hanging="360"/>
      </w:pPr>
      <w:rPr>
        <w:rFonts w:ascii="Courier New" w:hAnsi="Courier New"/>
      </w:rPr>
    </w:lvl>
    <w:lvl w:ilvl="8" w:tplc="88D271B2">
      <w:start w:val="1"/>
      <w:numFmt w:val="bullet"/>
      <w:lvlText w:val=""/>
      <w:lvlJc w:val="left"/>
      <w:pPr>
        <w:tabs>
          <w:tab w:val="num" w:pos="6480"/>
        </w:tabs>
        <w:ind w:left="6480" w:hanging="360"/>
      </w:pPr>
      <w:rPr>
        <w:rFonts w:ascii="Wingdings" w:hAnsi="Wingdings"/>
      </w:rPr>
    </w:lvl>
  </w:abstractNum>
  <w:abstractNum w:abstractNumId="62" w15:restartNumberingAfterBreak="0">
    <w:nsid w:val="72230500"/>
    <w:multiLevelType w:val="hybridMultilevel"/>
    <w:tmpl w:val="72230500"/>
    <w:lvl w:ilvl="0" w:tplc="3558DC94">
      <w:start w:val="1"/>
      <w:numFmt w:val="bullet"/>
      <w:lvlText w:val=""/>
      <w:lvlJc w:val="left"/>
      <w:pPr>
        <w:ind w:left="720" w:hanging="360"/>
      </w:pPr>
      <w:rPr>
        <w:rFonts w:ascii="Symbol" w:hAnsi="Symbol"/>
      </w:rPr>
    </w:lvl>
    <w:lvl w:ilvl="1" w:tplc="A8DA4AA8">
      <w:start w:val="1"/>
      <w:numFmt w:val="bullet"/>
      <w:lvlText w:val="o"/>
      <w:lvlJc w:val="left"/>
      <w:pPr>
        <w:tabs>
          <w:tab w:val="num" w:pos="1440"/>
        </w:tabs>
        <w:ind w:left="1440" w:hanging="360"/>
      </w:pPr>
      <w:rPr>
        <w:rFonts w:ascii="Courier New" w:hAnsi="Courier New"/>
      </w:rPr>
    </w:lvl>
    <w:lvl w:ilvl="2" w:tplc="8EE69806">
      <w:start w:val="1"/>
      <w:numFmt w:val="bullet"/>
      <w:lvlText w:val=""/>
      <w:lvlJc w:val="left"/>
      <w:pPr>
        <w:tabs>
          <w:tab w:val="num" w:pos="2160"/>
        </w:tabs>
        <w:ind w:left="2160" w:hanging="360"/>
      </w:pPr>
      <w:rPr>
        <w:rFonts w:ascii="Wingdings" w:hAnsi="Wingdings"/>
      </w:rPr>
    </w:lvl>
    <w:lvl w:ilvl="3" w:tplc="A064A8E8">
      <w:start w:val="1"/>
      <w:numFmt w:val="bullet"/>
      <w:lvlText w:val=""/>
      <w:lvlJc w:val="left"/>
      <w:pPr>
        <w:tabs>
          <w:tab w:val="num" w:pos="2880"/>
        </w:tabs>
        <w:ind w:left="2880" w:hanging="360"/>
      </w:pPr>
      <w:rPr>
        <w:rFonts w:ascii="Symbol" w:hAnsi="Symbol"/>
      </w:rPr>
    </w:lvl>
    <w:lvl w:ilvl="4" w:tplc="47201B4E">
      <w:start w:val="1"/>
      <w:numFmt w:val="bullet"/>
      <w:lvlText w:val="o"/>
      <w:lvlJc w:val="left"/>
      <w:pPr>
        <w:tabs>
          <w:tab w:val="num" w:pos="3600"/>
        </w:tabs>
        <w:ind w:left="3600" w:hanging="360"/>
      </w:pPr>
      <w:rPr>
        <w:rFonts w:ascii="Courier New" w:hAnsi="Courier New"/>
      </w:rPr>
    </w:lvl>
    <w:lvl w:ilvl="5" w:tplc="D6FC2E58">
      <w:start w:val="1"/>
      <w:numFmt w:val="bullet"/>
      <w:lvlText w:val=""/>
      <w:lvlJc w:val="left"/>
      <w:pPr>
        <w:tabs>
          <w:tab w:val="num" w:pos="4320"/>
        </w:tabs>
        <w:ind w:left="4320" w:hanging="360"/>
      </w:pPr>
      <w:rPr>
        <w:rFonts w:ascii="Wingdings" w:hAnsi="Wingdings"/>
      </w:rPr>
    </w:lvl>
    <w:lvl w:ilvl="6" w:tplc="60A4D1DA">
      <w:start w:val="1"/>
      <w:numFmt w:val="bullet"/>
      <w:lvlText w:val=""/>
      <w:lvlJc w:val="left"/>
      <w:pPr>
        <w:tabs>
          <w:tab w:val="num" w:pos="5040"/>
        </w:tabs>
        <w:ind w:left="5040" w:hanging="360"/>
      </w:pPr>
      <w:rPr>
        <w:rFonts w:ascii="Symbol" w:hAnsi="Symbol"/>
      </w:rPr>
    </w:lvl>
    <w:lvl w:ilvl="7" w:tplc="4CBE6418">
      <w:start w:val="1"/>
      <w:numFmt w:val="bullet"/>
      <w:lvlText w:val="o"/>
      <w:lvlJc w:val="left"/>
      <w:pPr>
        <w:tabs>
          <w:tab w:val="num" w:pos="5760"/>
        </w:tabs>
        <w:ind w:left="5760" w:hanging="360"/>
      </w:pPr>
      <w:rPr>
        <w:rFonts w:ascii="Courier New" w:hAnsi="Courier New"/>
      </w:rPr>
    </w:lvl>
    <w:lvl w:ilvl="8" w:tplc="4E50C10A">
      <w:start w:val="1"/>
      <w:numFmt w:val="bullet"/>
      <w:lvlText w:val=""/>
      <w:lvlJc w:val="left"/>
      <w:pPr>
        <w:tabs>
          <w:tab w:val="num" w:pos="6480"/>
        </w:tabs>
        <w:ind w:left="6480" w:hanging="360"/>
      </w:pPr>
      <w:rPr>
        <w:rFonts w:ascii="Wingdings" w:hAnsi="Wingdings"/>
      </w:rPr>
    </w:lvl>
  </w:abstractNum>
  <w:abstractNum w:abstractNumId="63" w15:restartNumberingAfterBreak="0">
    <w:nsid w:val="72230501"/>
    <w:multiLevelType w:val="hybridMultilevel"/>
    <w:tmpl w:val="72230501"/>
    <w:lvl w:ilvl="0" w:tplc="E7B81128">
      <w:start w:val="1"/>
      <w:numFmt w:val="bullet"/>
      <w:lvlText w:val=""/>
      <w:lvlJc w:val="left"/>
      <w:pPr>
        <w:tabs>
          <w:tab w:val="num" w:pos="720"/>
        </w:tabs>
        <w:ind w:left="720" w:hanging="360"/>
      </w:pPr>
      <w:rPr>
        <w:rFonts w:ascii="Symbol" w:hAnsi="Symbol"/>
      </w:rPr>
    </w:lvl>
    <w:lvl w:ilvl="1" w:tplc="84308A68">
      <w:start w:val="1"/>
      <w:numFmt w:val="bullet"/>
      <w:lvlText w:val="o"/>
      <w:lvlJc w:val="left"/>
      <w:pPr>
        <w:tabs>
          <w:tab w:val="num" w:pos="1440"/>
        </w:tabs>
        <w:ind w:left="1440" w:hanging="360"/>
      </w:pPr>
      <w:rPr>
        <w:rFonts w:ascii="Courier New" w:hAnsi="Courier New"/>
      </w:rPr>
    </w:lvl>
    <w:lvl w:ilvl="2" w:tplc="392826E6">
      <w:start w:val="1"/>
      <w:numFmt w:val="bullet"/>
      <w:lvlText w:val=""/>
      <w:lvlJc w:val="left"/>
      <w:pPr>
        <w:tabs>
          <w:tab w:val="num" w:pos="2160"/>
        </w:tabs>
        <w:ind w:left="2160" w:hanging="360"/>
      </w:pPr>
      <w:rPr>
        <w:rFonts w:ascii="Wingdings" w:hAnsi="Wingdings"/>
      </w:rPr>
    </w:lvl>
    <w:lvl w:ilvl="3" w:tplc="A386E83E">
      <w:start w:val="1"/>
      <w:numFmt w:val="bullet"/>
      <w:lvlText w:val=""/>
      <w:lvlJc w:val="left"/>
      <w:pPr>
        <w:tabs>
          <w:tab w:val="num" w:pos="2880"/>
        </w:tabs>
        <w:ind w:left="2880" w:hanging="360"/>
      </w:pPr>
      <w:rPr>
        <w:rFonts w:ascii="Symbol" w:hAnsi="Symbol"/>
      </w:rPr>
    </w:lvl>
    <w:lvl w:ilvl="4" w:tplc="3FD2E7EA">
      <w:start w:val="1"/>
      <w:numFmt w:val="bullet"/>
      <w:lvlText w:val="o"/>
      <w:lvlJc w:val="left"/>
      <w:pPr>
        <w:tabs>
          <w:tab w:val="num" w:pos="3600"/>
        </w:tabs>
        <w:ind w:left="3600" w:hanging="360"/>
      </w:pPr>
      <w:rPr>
        <w:rFonts w:ascii="Courier New" w:hAnsi="Courier New"/>
      </w:rPr>
    </w:lvl>
    <w:lvl w:ilvl="5" w:tplc="77A0B056">
      <w:start w:val="1"/>
      <w:numFmt w:val="bullet"/>
      <w:lvlText w:val=""/>
      <w:lvlJc w:val="left"/>
      <w:pPr>
        <w:tabs>
          <w:tab w:val="num" w:pos="4320"/>
        </w:tabs>
        <w:ind w:left="4320" w:hanging="360"/>
      </w:pPr>
      <w:rPr>
        <w:rFonts w:ascii="Wingdings" w:hAnsi="Wingdings"/>
      </w:rPr>
    </w:lvl>
    <w:lvl w:ilvl="6" w:tplc="581EE1A2">
      <w:start w:val="1"/>
      <w:numFmt w:val="bullet"/>
      <w:lvlText w:val=""/>
      <w:lvlJc w:val="left"/>
      <w:pPr>
        <w:tabs>
          <w:tab w:val="num" w:pos="5040"/>
        </w:tabs>
        <w:ind w:left="5040" w:hanging="360"/>
      </w:pPr>
      <w:rPr>
        <w:rFonts w:ascii="Symbol" w:hAnsi="Symbol"/>
      </w:rPr>
    </w:lvl>
    <w:lvl w:ilvl="7" w:tplc="C756BCB4">
      <w:start w:val="1"/>
      <w:numFmt w:val="bullet"/>
      <w:lvlText w:val="o"/>
      <w:lvlJc w:val="left"/>
      <w:pPr>
        <w:tabs>
          <w:tab w:val="num" w:pos="5760"/>
        </w:tabs>
        <w:ind w:left="5760" w:hanging="360"/>
      </w:pPr>
      <w:rPr>
        <w:rFonts w:ascii="Courier New" w:hAnsi="Courier New"/>
      </w:rPr>
    </w:lvl>
    <w:lvl w:ilvl="8" w:tplc="FB0EDD04">
      <w:start w:val="1"/>
      <w:numFmt w:val="bullet"/>
      <w:lvlText w:val=""/>
      <w:lvlJc w:val="left"/>
      <w:pPr>
        <w:tabs>
          <w:tab w:val="num" w:pos="6480"/>
        </w:tabs>
        <w:ind w:left="6480" w:hanging="360"/>
      </w:pPr>
      <w:rPr>
        <w:rFonts w:ascii="Wingdings" w:hAnsi="Wingdings"/>
      </w:rPr>
    </w:lvl>
  </w:abstractNum>
  <w:abstractNum w:abstractNumId="64" w15:restartNumberingAfterBreak="0">
    <w:nsid w:val="72230502"/>
    <w:multiLevelType w:val="hybridMultilevel"/>
    <w:tmpl w:val="72230502"/>
    <w:lvl w:ilvl="0" w:tplc="BC1E4250">
      <w:start w:val="1"/>
      <w:numFmt w:val="bullet"/>
      <w:lvlText w:val=""/>
      <w:lvlJc w:val="left"/>
      <w:pPr>
        <w:tabs>
          <w:tab w:val="num" w:pos="720"/>
        </w:tabs>
        <w:ind w:left="720" w:hanging="360"/>
      </w:pPr>
      <w:rPr>
        <w:rFonts w:ascii="Symbol" w:hAnsi="Symbol"/>
      </w:rPr>
    </w:lvl>
    <w:lvl w:ilvl="1" w:tplc="7086365E">
      <w:start w:val="1"/>
      <w:numFmt w:val="bullet"/>
      <w:lvlText w:val="o"/>
      <w:lvlJc w:val="left"/>
      <w:pPr>
        <w:tabs>
          <w:tab w:val="num" w:pos="1440"/>
        </w:tabs>
        <w:ind w:left="1440" w:hanging="360"/>
      </w:pPr>
      <w:rPr>
        <w:rFonts w:ascii="Courier New" w:hAnsi="Courier New"/>
      </w:rPr>
    </w:lvl>
    <w:lvl w:ilvl="2" w:tplc="06508C86">
      <w:start w:val="1"/>
      <w:numFmt w:val="bullet"/>
      <w:lvlText w:val=""/>
      <w:lvlJc w:val="left"/>
      <w:pPr>
        <w:tabs>
          <w:tab w:val="num" w:pos="2160"/>
        </w:tabs>
        <w:ind w:left="2160" w:hanging="360"/>
      </w:pPr>
      <w:rPr>
        <w:rFonts w:ascii="Wingdings" w:hAnsi="Wingdings"/>
      </w:rPr>
    </w:lvl>
    <w:lvl w:ilvl="3" w:tplc="85B269C0">
      <w:start w:val="1"/>
      <w:numFmt w:val="bullet"/>
      <w:lvlText w:val=""/>
      <w:lvlJc w:val="left"/>
      <w:pPr>
        <w:tabs>
          <w:tab w:val="num" w:pos="2880"/>
        </w:tabs>
        <w:ind w:left="2880" w:hanging="360"/>
      </w:pPr>
      <w:rPr>
        <w:rFonts w:ascii="Symbol" w:hAnsi="Symbol"/>
      </w:rPr>
    </w:lvl>
    <w:lvl w:ilvl="4" w:tplc="46EA0220">
      <w:start w:val="1"/>
      <w:numFmt w:val="bullet"/>
      <w:lvlText w:val="o"/>
      <w:lvlJc w:val="left"/>
      <w:pPr>
        <w:tabs>
          <w:tab w:val="num" w:pos="3600"/>
        </w:tabs>
        <w:ind w:left="3600" w:hanging="360"/>
      </w:pPr>
      <w:rPr>
        <w:rFonts w:ascii="Courier New" w:hAnsi="Courier New"/>
      </w:rPr>
    </w:lvl>
    <w:lvl w:ilvl="5" w:tplc="FB7A4264">
      <w:start w:val="1"/>
      <w:numFmt w:val="bullet"/>
      <w:lvlText w:val=""/>
      <w:lvlJc w:val="left"/>
      <w:pPr>
        <w:tabs>
          <w:tab w:val="num" w:pos="4320"/>
        </w:tabs>
        <w:ind w:left="4320" w:hanging="360"/>
      </w:pPr>
      <w:rPr>
        <w:rFonts w:ascii="Wingdings" w:hAnsi="Wingdings"/>
      </w:rPr>
    </w:lvl>
    <w:lvl w:ilvl="6" w:tplc="70B2F03E">
      <w:start w:val="1"/>
      <w:numFmt w:val="bullet"/>
      <w:lvlText w:val=""/>
      <w:lvlJc w:val="left"/>
      <w:pPr>
        <w:tabs>
          <w:tab w:val="num" w:pos="5040"/>
        </w:tabs>
        <w:ind w:left="5040" w:hanging="360"/>
      </w:pPr>
      <w:rPr>
        <w:rFonts w:ascii="Symbol" w:hAnsi="Symbol"/>
      </w:rPr>
    </w:lvl>
    <w:lvl w:ilvl="7" w:tplc="FE546F20">
      <w:start w:val="1"/>
      <w:numFmt w:val="bullet"/>
      <w:lvlText w:val="o"/>
      <w:lvlJc w:val="left"/>
      <w:pPr>
        <w:tabs>
          <w:tab w:val="num" w:pos="5760"/>
        </w:tabs>
        <w:ind w:left="5760" w:hanging="360"/>
      </w:pPr>
      <w:rPr>
        <w:rFonts w:ascii="Courier New" w:hAnsi="Courier New"/>
      </w:rPr>
    </w:lvl>
    <w:lvl w:ilvl="8" w:tplc="90C44558">
      <w:start w:val="1"/>
      <w:numFmt w:val="bullet"/>
      <w:lvlText w:val=""/>
      <w:lvlJc w:val="left"/>
      <w:pPr>
        <w:tabs>
          <w:tab w:val="num" w:pos="6480"/>
        </w:tabs>
        <w:ind w:left="6480" w:hanging="360"/>
      </w:pPr>
      <w:rPr>
        <w:rFonts w:ascii="Wingdings" w:hAnsi="Wingdings"/>
      </w:rPr>
    </w:lvl>
  </w:abstractNum>
  <w:abstractNum w:abstractNumId="65" w15:restartNumberingAfterBreak="0">
    <w:nsid w:val="72230503"/>
    <w:multiLevelType w:val="hybridMultilevel"/>
    <w:tmpl w:val="72230503"/>
    <w:lvl w:ilvl="0" w:tplc="88267B22">
      <w:start w:val="1"/>
      <w:numFmt w:val="bullet"/>
      <w:lvlText w:val=""/>
      <w:lvlJc w:val="left"/>
      <w:pPr>
        <w:ind w:left="720" w:hanging="360"/>
      </w:pPr>
      <w:rPr>
        <w:rFonts w:ascii="Symbol" w:hAnsi="Symbol"/>
      </w:rPr>
    </w:lvl>
    <w:lvl w:ilvl="1" w:tplc="599C23FA">
      <w:start w:val="1"/>
      <w:numFmt w:val="bullet"/>
      <w:lvlText w:val="o"/>
      <w:lvlJc w:val="left"/>
      <w:pPr>
        <w:tabs>
          <w:tab w:val="num" w:pos="1440"/>
        </w:tabs>
        <w:ind w:left="1440" w:hanging="360"/>
      </w:pPr>
      <w:rPr>
        <w:rFonts w:ascii="Courier New" w:hAnsi="Courier New"/>
      </w:rPr>
    </w:lvl>
    <w:lvl w:ilvl="2" w:tplc="9E0CD18E">
      <w:start w:val="1"/>
      <w:numFmt w:val="bullet"/>
      <w:lvlText w:val=""/>
      <w:lvlJc w:val="left"/>
      <w:pPr>
        <w:tabs>
          <w:tab w:val="num" w:pos="2160"/>
        </w:tabs>
        <w:ind w:left="2160" w:hanging="360"/>
      </w:pPr>
      <w:rPr>
        <w:rFonts w:ascii="Wingdings" w:hAnsi="Wingdings"/>
      </w:rPr>
    </w:lvl>
    <w:lvl w:ilvl="3" w:tplc="AB66D352">
      <w:start w:val="1"/>
      <w:numFmt w:val="bullet"/>
      <w:lvlText w:val=""/>
      <w:lvlJc w:val="left"/>
      <w:pPr>
        <w:tabs>
          <w:tab w:val="num" w:pos="2880"/>
        </w:tabs>
        <w:ind w:left="2880" w:hanging="360"/>
      </w:pPr>
      <w:rPr>
        <w:rFonts w:ascii="Symbol" w:hAnsi="Symbol"/>
      </w:rPr>
    </w:lvl>
    <w:lvl w:ilvl="4" w:tplc="ACF4BB7A">
      <w:start w:val="1"/>
      <w:numFmt w:val="bullet"/>
      <w:lvlText w:val="o"/>
      <w:lvlJc w:val="left"/>
      <w:pPr>
        <w:tabs>
          <w:tab w:val="num" w:pos="3600"/>
        </w:tabs>
        <w:ind w:left="3600" w:hanging="360"/>
      </w:pPr>
      <w:rPr>
        <w:rFonts w:ascii="Courier New" w:hAnsi="Courier New"/>
      </w:rPr>
    </w:lvl>
    <w:lvl w:ilvl="5" w:tplc="D278C346">
      <w:start w:val="1"/>
      <w:numFmt w:val="bullet"/>
      <w:lvlText w:val=""/>
      <w:lvlJc w:val="left"/>
      <w:pPr>
        <w:tabs>
          <w:tab w:val="num" w:pos="4320"/>
        </w:tabs>
        <w:ind w:left="4320" w:hanging="360"/>
      </w:pPr>
      <w:rPr>
        <w:rFonts w:ascii="Wingdings" w:hAnsi="Wingdings"/>
      </w:rPr>
    </w:lvl>
    <w:lvl w:ilvl="6" w:tplc="E8D2804A">
      <w:start w:val="1"/>
      <w:numFmt w:val="bullet"/>
      <w:lvlText w:val=""/>
      <w:lvlJc w:val="left"/>
      <w:pPr>
        <w:tabs>
          <w:tab w:val="num" w:pos="5040"/>
        </w:tabs>
        <w:ind w:left="5040" w:hanging="360"/>
      </w:pPr>
      <w:rPr>
        <w:rFonts w:ascii="Symbol" w:hAnsi="Symbol"/>
      </w:rPr>
    </w:lvl>
    <w:lvl w:ilvl="7" w:tplc="3E001488">
      <w:start w:val="1"/>
      <w:numFmt w:val="bullet"/>
      <w:lvlText w:val="o"/>
      <w:lvlJc w:val="left"/>
      <w:pPr>
        <w:tabs>
          <w:tab w:val="num" w:pos="5760"/>
        </w:tabs>
        <w:ind w:left="5760" w:hanging="360"/>
      </w:pPr>
      <w:rPr>
        <w:rFonts w:ascii="Courier New" w:hAnsi="Courier New"/>
      </w:rPr>
    </w:lvl>
    <w:lvl w:ilvl="8" w:tplc="1EA87DC8">
      <w:start w:val="1"/>
      <w:numFmt w:val="bullet"/>
      <w:lvlText w:val=""/>
      <w:lvlJc w:val="left"/>
      <w:pPr>
        <w:tabs>
          <w:tab w:val="num" w:pos="6480"/>
        </w:tabs>
        <w:ind w:left="6480" w:hanging="360"/>
      </w:pPr>
      <w:rPr>
        <w:rFonts w:ascii="Wingdings" w:hAnsi="Wingdings"/>
      </w:rPr>
    </w:lvl>
  </w:abstractNum>
  <w:abstractNum w:abstractNumId="66" w15:restartNumberingAfterBreak="0">
    <w:nsid w:val="72230504"/>
    <w:multiLevelType w:val="hybridMultilevel"/>
    <w:tmpl w:val="72230504"/>
    <w:lvl w:ilvl="0" w:tplc="56F447E0">
      <w:start w:val="1"/>
      <w:numFmt w:val="bullet"/>
      <w:lvlText w:val=""/>
      <w:lvlJc w:val="left"/>
      <w:pPr>
        <w:tabs>
          <w:tab w:val="num" w:pos="720"/>
        </w:tabs>
        <w:ind w:left="720" w:hanging="360"/>
      </w:pPr>
      <w:rPr>
        <w:rFonts w:ascii="Symbol" w:hAnsi="Symbol"/>
      </w:rPr>
    </w:lvl>
    <w:lvl w:ilvl="1" w:tplc="ABD8F20A">
      <w:start w:val="1"/>
      <w:numFmt w:val="bullet"/>
      <w:lvlText w:val="o"/>
      <w:lvlJc w:val="left"/>
      <w:pPr>
        <w:tabs>
          <w:tab w:val="num" w:pos="1440"/>
        </w:tabs>
        <w:ind w:left="1440" w:hanging="360"/>
      </w:pPr>
      <w:rPr>
        <w:rFonts w:ascii="Courier New" w:hAnsi="Courier New"/>
      </w:rPr>
    </w:lvl>
    <w:lvl w:ilvl="2" w:tplc="27F6640A">
      <w:start w:val="1"/>
      <w:numFmt w:val="bullet"/>
      <w:lvlText w:val=""/>
      <w:lvlJc w:val="left"/>
      <w:pPr>
        <w:tabs>
          <w:tab w:val="num" w:pos="2160"/>
        </w:tabs>
        <w:ind w:left="2160" w:hanging="360"/>
      </w:pPr>
      <w:rPr>
        <w:rFonts w:ascii="Wingdings" w:hAnsi="Wingdings"/>
      </w:rPr>
    </w:lvl>
    <w:lvl w:ilvl="3" w:tplc="66C87316">
      <w:start w:val="1"/>
      <w:numFmt w:val="bullet"/>
      <w:lvlText w:val=""/>
      <w:lvlJc w:val="left"/>
      <w:pPr>
        <w:tabs>
          <w:tab w:val="num" w:pos="2880"/>
        </w:tabs>
        <w:ind w:left="2880" w:hanging="360"/>
      </w:pPr>
      <w:rPr>
        <w:rFonts w:ascii="Symbol" w:hAnsi="Symbol"/>
      </w:rPr>
    </w:lvl>
    <w:lvl w:ilvl="4" w:tplc="8F04F9AA">
      <w:start w:val="1"/>
      <w:numFmt w:val="bullet"/>
      <w:lvlText w:val="o"/>
      <w:lvlJc w:val="left"/>
      <w:pPr>
        <w:tabs>
          <w:tab w:val="num" w:pos="3600"/>
        </w:tabs>
        <w:ind w:left="3600" w:hanging="360"/>
      </w:pPr>
      <w:rPr>
        <w:rFonts w:ascii="Courier New" w:hAnsi="Courier New"/>
      </w:rPr>
    </w:lvl>
    <w:lvl w:ilvl="5" w:tplc="9ED6E362">
      <w:start w:val="1"/>
      <w:numFmt w:val="bullet"/>
      <w:lvlText w:val=""/>
      <w:lvlJc w:val="left"/>
      <w:pPr>
        <w:tabs>
          <w:tab w:val="num" w:pos="4320"/>
        </w:tabs>
        <w:ind w:left="4320" w:hanging="360"/>
      </w:pPr>
      <w:rPr>
        <w:rFonts w:ascii="Wingdings" w:hAnsi="Wingdings"/>
      </w:rPr>
    </w:lvl>
    <w:lvl w:ilvl="6" w:tplc="AEB84D58">
      <w:start w:val="1"/>
      <w:numFmt w:val="bullet"/>
      <w:lvlText w:val=""/>
      <w:lvlJc w:val="left"/>
      <w:pPr>
        <w:tabs>
          <w:tab w:val="num" w:pos="5040"/>
        </w:tabs>
        <w:ind w:left="5040" w:hanging="360"/>
      </w:pPr>
      <w:rPr>
        <w:rFonts w:ascii="Symbol" w:hAnsi="Symbol"/>
      </w:rPr>
    </w:lvl>
    <w:lvl w:ilvl="7" w:tplc="83946874">
      <w:start w:val="1"/>
      <w:numFmt w:val="bullet"/>
      <w:lvlText w:val="o"/>
      <w:lvlJc w:val="left"/>
      <w:pPr>
        <w:tabs>
          <w:tab w:val="num" w:pos="5760"/>
        </w:tabs>
        <w:ind w:left="5760" w:hanging="360"/>
      </w:pPr>
      <w:rPr>
        <w:rFonts w:ascii="Courier New" w:hAnsi="Courier New"/>
      </w:rPr>
    </w:lvl>
    <w:lvl w:ilvl="8" w:tplc="BC08EF70">
      <w:start w:val="1"/>
      <w:numFmt w:val="bullet"/>
      <w:lvlText w:val=""/>
      <w:lvlJc w:val="left"/>
      <w:pPr>
        <w:tabs>
          <w:tab w:val="num" w:pos="6480"/>
        </w:tabs>
        <w:ind w:left="6480" w:hanging="360"/>
      </w:pPr>
      <w:rPr>
        <w:rFonts w:ascii="Wingdings" w:hAnsi="Wingdings"/>
      </w:rPr>
    </w:lvl>
  </w:abstractNum>
  <w:abstractNum w:abstractNumId="67" w15:restartNumberingAfterBreak="0">
    <w:nsid w:val="72230505"/>
    <w:multiLevelType w:val="hybridMultilevel"/>
    <w:tmpl w:val="72230505"/>
    <w:lvl w:ilvl="0" w:tplc="5456F676">
      <w:start w:val="1"/>
      <w:numFmt w:val="bullet"/>
      <w:lvlText w:val=""/>
      <w:lvlJc w:val="left"/>
      <w:pPr>
        <w:tabs>
          <w:tab w:val="num" w:pos="720"/>
        </w:tabs>
        <w:ind w:left="720" w:hanging="360"/>
      </w:pPr>
      <w:rPr>
        <w:rFonts w:ascii="Symbol" w:hAnsi="Symbol"/>
      </w:rPr>
    </w:lvl>
    <w:lvl w:ilvl="1" w:tplc="A9A4AB4E">
      <w:start w:val="1"/>
      <w:numFmt w:val="bullet"/>
      <w:lvlText w:val="o"/>
      <w:lvlJc w:val="left"/>
      <w:pPr>
        <w:tabs>
          <w:tab w:val="num" w:pos="1440"/>
        </w:tabs>
        <w:ind w:left="1440" w:hanging="360"/>
      </w:pPr>
      <w:rPr>
        <w:rFonts w:ascii="Courier New" w:hAnsi="Courier New"/>
      </w:rPr>
    </w:lvl>
    <w:lvl w:ilvl="2" w:tplc="5DF4DFDA">
      <w:start w:val="1"/>
      <w:numFmt w:val="bullet"/>
      <w:lvlText w:val=""/>
      <w:lvlJc w:val="left"/>
      <w:pPr>
        <w:tabs>
          <w:tab w:val="num" w:pos="2160"/>
        </w:tabs>
        <w:ind w:left="2160" w:hanging="360"/>
      </w:pPr>
      <w:rPr>
        <w:rFonts w:ascii="Wingdings" w:hAnsi="Wingdings"/>
      </w:rPr>
    </w:lvl>
    <w:lvl w:ilvl="3" w:tplc="505EAEC6">
      <w:start w:val="1"/>
      <w:numFmt w:val="bullet"/>
      <w:lvlText w:val=""/>
      <w:lvlJc w:val="left"/>
      <w:pPr>
        <w:tabs>
          <w:tab w:val="num" w:pos="2880"/>
        </w:tabs>
        <w:ind w:left="2880" w:hanging="360"/>
      </w:pPr>
      <w:rPr>
        <w:rFonts w:ascii="Symbol" w:hAnsi="Symbol"/>
      </w:rPr>
    </w:lvl>
    <w:lvl w:ilvl="4" w:tplc="60007A3C">
      <w:start w:val="1"/>
      <w:numFmt w:val="bullet"/>
      <w:lvlText w:val="o"/>
      <w:lvlJc w:val="left"/>
      <w:pPr>
        <w:tabs>
          <w:tab w:val="num" w:pos="3600"/>
        </w:tabs>
        <w:ind w:left="3600" w:hanging="360"/>
      </w:pPr>
      <w:rPr>
        <w:rFonts w:ascii="Courier New" w:hAnsi="Courier New"/>
      </w:rPr>
    </w:lvl>
    <w:lvl w:ilvl="5" w:tplc="DB8ADB20">
      <w:start w:val="1"/>
      <w:numFmt w:val="bullet"/>
      <w:lvlText w:val=""/>
      <w:lvlJc w:val="left"/>
      <w:pPr>
        <w:tabs>
          <w:tab w:val="num" w:pos="4320"/>
        </w:tabs>
        <w:ind w:left="4320" w:hanging="360"/>
      </w:pPr>
      <w:rPr>
        <w:rFonts w:ascii="Wingdings" w:hAnsi="Wingdings"/>
      </w:rPr>
    </w:lvl>
    <w:lvl w:ilvl="6" w:tplc="F3B057E0">
      <w:start w:val="1"/>
      <w:numFmt w:val="bullet"/>
      <w:lvlText w:val=""/>
      <w:lvlJc w:val="left"/>
      <w:pPr>
        <w:tabs>
          <w:tab w:val="num" w:pos="5040"/>
        </w:tabs>
        <w:ind w:left="5040" w:hanging="360"/>
      </w:pPr>
      <w:rPr>
        <w:rFonts w:ascii="Symbol" w:hAnsi="Symbol"/>
      </w:rPr>
    </w:lvl>
    <w:lvl w:ilvl="7" w:tplc="95A8DB62">
      <w:start w:val="1"/>
      <w:numFmt w:val="bullet"/>
      <w:lvlText w:val="o"/>
      <w:lvlJc w:val="left"/>
      <w:pPr>
        <w:tabs>
          <w:tab w:val="num" w:pos="5760"/>
        </w:tabs>
        <w:ind w:left="5760" w:hanging="360"/>
      </w:pPr>
      <w:rPr>
        <w:rFonts w:ascii="Courier New" w:hAnsi="Courier New"/>
      </w:rPr>
    </w:lvl>
    <w:lvl w:ilvl="8" w:tplc="F3A48130">
      <w:start w:val="1"/>
      <w:numFmt w:val="bullet"/>
      <w:lvlText w:val=""/>
      <w:lvlJc w:val="left"/>
      <w:pPr>
        <w:tabs>
          <w:tab w:val="num" w:pos="6480"/>
        </w:tabs>
        <w:ind w:left="6480" w:hanging="360"/>
      </w:pPr>
      <w:rPr>
        <w:rFonts w:ascii="Wingdings" w:hAnsi="Wingdings"/>
      </w:rPr>
    </w:lvl>
  </w:abstractNum>
  <w:abstractNum w:abstractNumId="68" w15:restartNumberingAfterBreak="0">
    <w:nsid w:val="72230506"/>
    <w:multiLevelType w:val="hybridMultilevel"/>
    <w:tmpl w:val="72230506"/>
    <w:lvl w:ilvl="0" w:tplc="D23CF86A">
      <w:start w:val="1"/>
      <w:numFmt w:val="bullet"/>
      <w:lvlText w:val=""/>
      <w:lvlJc w:val="left"/>
      <w:pPr>
        <w:ind w:left="720" w:hanging="360"/>
      </w:pPr>
      <w:rPr>
        <w:rFonts w:ascii="Symbol" w:hAnsi="Symbol"/>
      </w:rPr>
    </w:lvl>
    <w:lvl w:ilvl="1" w:tplc="BC42DC0C">
      <w:start w:val="1"/>
      <w:numFmt w:val="bullet"/>
      <w:lvlText w:val="o"/>
      <w:lvlJc w:val="left"/>
      <w:pPr>
        <w:tabs>
          <w:tab w:val="num" w:pos="1440"/>
        </w:tabs>
        <w:ind w:left="1440" w:hanging="360"/>
      </w:pPr>
      <w:rPr>
        <w:rFonts w:ascii="Courier New" w:hAnsi="Courier New"/>
      </w:rPr>
    </w:lvl>
    <w:lvl w:ilvl="2" w:tplc="3E7A53B6">
      <w:start w:val="1"/>
      <w:numFmt w:val="bullet"/>
      <w:lvlText w:val=""/>
      <w:lvlJc w:val="left"/>
      <w:pPr>
        <w:tabs>
          <w:tab w:val="num" w:pos="2160"/>
        </w:tabs>
        <w:ind w:left="2160" w:hanging="360"/>
      </w:pPr>
      <w:rPr>
        <w:rFonts w:ascii="Wingdings" w:hAnsi="Wingdings"/>
      </w:rPr>
    </w:lvl>
    <w:lvl w:ilvl="3" w:tplc="CE308BC4">
      <w:start w:val="1"/>
      <w:numFmt w:val="bullet"/>
      <w:lvlText w:val=""/>
      <w:lvlJc w:val="left"/>
      <w:pPr>
        <w:tabs>
          <w:tab w:val="num" w:pos="2880"/>
        </w:tabs>
        <w:ind w:left="2880" w:hanging="360"/>
      </w:pPr>
      <w:rPr>
        <w:rFonts w:ascii="Symbol" w:hAnsi="Symbol"/>
      </w:rPr>
    </w:lvl>
    <w:lvl w:ilvl="4" w:tplc="6150A8E2">
      <w:start w:val="1"/>
      <w:numFmt w:val="bullet"/>
      <w:lvlText w:val="o"/>
      <w:lvlJc w:val="left"/>
      <w:pPr>
        <w:tabs>
          <w:tab w:val="num" w:pos="3600"/>
        </w:tabs>
        <w:ind w:left="3600" w:hanging="360"/>
      </w:pPr>
      <w:rPr>
        <w:rFonts w:ascii="Courier New" w:hAnsi="Courier New"/>
      </w:rPr>
    </w:lvl>
    <w:lvl w:ilvl="5" w:tplc="6EC040DC">
      <w:start w:val="1"/>
      <w:numFmt w:val="bullet"/>
      <w:lvlText w:val=""/>
      <w:lvlJc w:val="left"/>
      <w:pPr>
        <w:tabs>
          <w:tab w:val="num" w:pos="4320"/>
        </w:tabs>
        <w:ind w:left="4320" w:hanging="360"/>
      </w:pPr>
      <w:rPr>
        <w:rFonts w:ascii="Wingdings" w:hAnsi="Wingdings"/>
      </w:rPr>
    </w:lvl>
    <w:lvl w:ilvl="6" w:tplc="9B9666F2">
      <w:start w:val="1"/>
      <w:numFmt w:val="bullet"/>
      <w:lvlText w:val=""/>
      <w:lvlJc w:val="left"/>
      <w:pPr>
        <w:tabs>
          <w:tab w:val="num" w:pos="5040"/>
        </w:tabs>
        <w:ind w:left="5040" w:hanging="360"/>
      </w:pPr>
      <w:rPr>
        <w:rFonts w:ascii="Symbol" w:hAnsi="Symbol"/>
      </w:rPr>
    </w:lvl>
    <w:lvl w:ilvl="7" w:tplc="BA827F8A">
      <w:start w:val="1"/>
      <w:numFmt w:val="bullet"/>
      <w:lvlText w:val="o"/>
      <w:lvlJc w:val="left"/>
      <w:pPr>
        <w:tabs>
          <w:tab w:val="num" w:pos="5760"/>
        </w:tabs>
        <w:ind w:left="5760" w:hanging="360"/>
      </w:pPr>
      <w:rPr>
        <w:rFonts w:ascii="Courier New" w:hAnsi="Courier New"/>
      </w:rPr>
    </w:lvl>
    <w:lvl w:ilvl="8" w:tplc="691813B2">
      <w:start w:val="1"/>
      <w:numFmt w:val="bullet"/>
      <w:lvlText w:val=""/>
      <w:lvlJc w:val="left"/>
      <w:pPr>
        <w:tabs>
          <w:tab w:val="num" w:pos="6480"/>
        </w:tabs>
        <w:ind w:left="6480" w:hanging="360"/>
      </w:pPr>
      <w:rPr>
        <w:rFonts w:ascii="Wingdings" w:hAnsi="Wingdings"/>
      </w:rPr>
    </w:lvl>
  </w:abstractNum>
  <w:abstractNum w:abstractNumId="69" w15:restartNumberingAfterBreak="0">
    <w:nsid w:val="72230507"/>
    <w:multiLevelType w:val="hybridMultilevel"/>
    <w:tmpl w:val="72230507"/>
    <w:lvl w:ilvl="0" w:tplc="2B002116">
      <w:start w:val="1"/>
      <w:numFmt w:val="bullet"/>
      <w:lvlText w:val=""/>
      <w:lvlJc w:val="left"/>
      <w:pPr>
        <w:tabs>
          <w:tab w:val="num" w:pos="720"/>
        </w:tabs>
        <w:ind w:left="720" w:hanging="360"/>
      </w:pPr>
      <w:rPr>
        <w:rFonts w:ascii="Symbol" w:hAnsi="Symbol"/>
      </w:rPr>
    </w:lvl>
    <w:lvl w:ilvl="1" w:tplc="AF968FA8">
      <w:start w:val="1"/>
      <w:numFmt w:val="bullet"/>
      <w:lvlText w:val="o"/>
      <w:lvlJc w:val="left"/>
      <w:pPr>
        <w:tabs>
          <w:tab w:val="num" w:pos="1440"/>
        </w:tabs>
        <w:ind w:left="1440" w:hanging="360"/>
      </w:pPr>
      <w:rPr>
        <w:rFonts w:ascii="Courier New" w:hAnsi="Courier New"/>
      </w:rPr>
    </w:lvl>
    <w:lvl w:ilvl="2" w:tplc="917E23C8">
      <w:start w:val="1"/>
      <w:numFmt w:val="bullet"/>
      <w:lvlText w:val=""/>
      <w:lvlJc w:val="left"/>
      <w:pPr>
        <w:tabs>
          <w:tab w:val="num" w:pos="2160"/>
        </w:tabs>
        <w:ind w:left="2160" w:hanging="360"/>
      </w:pPr>
      <w:rPr>
        <w:rFonts w:ascii="Wingdings" w:hAnsi="Wingdings"/>
      </w:rPr>
    </w:lvl>
    <w:lvl w:ilvl="3" w:tplc="F83256E2">
      <w:start w:val="1"/>
      <w:numFmt w:val="bullet"/>
      <w:lvlText w:val=""/>
      <w:lvlJc w:val="left"/>
      <w:pPr>
        <w:tabs>
          <w:tab w:val="num" w:pos="2880"/>
        </w:tabs>
        <w:ind w:left="2880" w:hanging="360"/>
      </w:pPr>
      <w:rPr>
        <w:rFonts w:ascii="Symbol" w:hAnsi="Symbol"/>
      </w:rPr>
    </w:lvl>
    <w:lvl w:ilvl="4" w:tplc="8D52EE76">
      <w:start w:val="1"/>
      <w:numFmt w:val="bullet"/>
      <w:lvlText w:val="o"/>
      <w:lvlJc w:val="left"/>
      <w:pPr>
        <w:tabs>
          <w:tab w:val="num" w:pos="3600"/>
        </w:tabs>
        <w:ind w:left="3600" w:hanging="360"/>
      </w:pPr>
      <w:rPr>
        <w:rFonts w:ascii="Courier New" w:hAnsi="Courier New"/>
      </w:rPr>
    </w:lvl>
    <w:lvl w:ilvl="5" w:tplc="AB9ADDF6">
      <w:start w:val="1"/>
      <w:numFmt w:val="bullet"/>
      <w:lvlText w:val=""/>
      <w:lvlJc w:val="left"/>
      <w:pPr>
        <w:tabs>
          <w:tab w:val="num" w:pos="4320"/>
        </w:tabs>
        <w:ind w:left="4320" w:hanging="360"/>
      </w:pPr>
      <w:rPr>
        <w:rFonts w:ascii="Wingdings" w:hAnsi="Wingdings"/>
      </w:rPr>
    </w:lvl>
    <w:lvl w:ilvl="6" w:tplc="A810E85E">
      <w:start w:val="1"/>
      <w:numFmt w:val="bullet"/>
      <w:lvlText w:val=""/>
      <w:lvlJc w:val="left"/>
      <w:pPr>
        <w:tabs>
          <w:tab w:val="num" w:pos="5040"/>
        </w:tabs>
        <w:ind w:left="5040" w:hanging="360"/>
      </w:pPr>
      <w:rPr>
        <w:rFonts w:ascii="Symbol" w:hAnsi="Symbol"/>
      </w:rPr>
    </w:lvl>
    <w:lvl w:ilvl="7" w:tplc="04DA9B04">
      <w:start w:val="1"/>
      <w:numFmt w:val="bullet"/>
      <w:lvlText w:val="o"/>
      <w:lvlJc w:val="left"/>
      <w:pPr>
        <w:tabs>
          <w:tab w:val="num" w:pos="5760"/>
        </w:tabs>
        <w:ind w:left="5760" w:hanging="360"/>
      </w:pPr>
      <w:rPr>
        <w:rFonts w:ascii="Courier New" w:hAnsi="Courier New"/>
      </w:rPr>
    </w:lvl>
    <w:lvl w:ilvl="8" w:tplc="6390FD1C">
      <w:start w:val="1"/>
      <w:numFmt w:val="bullet"/>
      <w:lvlText w:val=""/>
      <w:lvlJc w:val="left"/>
      <w:pPr>
        <w:tabs>
          <w:tab w:val="num" w:pos="6480"/>
        </w:tabs>
        <w:ind w:left="6480" w:hanging="360"/>
      </w:pPr>
      <w:rPr>
        <w:rFonts w:ascii="Wingdings" w:hAnsi="Wingdings"/>
      </w:rPr>
    </w:lvl>
  </w:abstractNum>
  <w:abstractNum w:abstractNumId="70" w15:restartNumberingAfterBreak="0">
    <w:nsid w:val="72230508"/>
    <w:multiLevelType w:val="hybridMultilevel"/>
    <w:tmpl w:val="72230508"/>
    <w:lvl w:ilvl="0" w:tplc="DE969F32">
      <w:start w:val="1"/>
      <w:numFmt w:val="bullet"/>
      <w:lvlText w:val=""/>
      <w:lvlJc w:val="left"/>
      <w:pPr>
        <w:tabs>
          <w:tab w:val="num" w:pos="720"/>
        </w:tabs>
        <w:ind w:left="720" w:hanging="360"/>
      </w:pPr>
      <w:rPr>
        <w:rFonts w:ascii="Symbol" w:hAnsi="Symbol"/>
      </w:rPr>
    </w:lvl>
    <w:lvl w:ilvl="1" w:tplc="A88A5BE4">
      <w:start w:val="1"/>
      <w:numFmt w:val="bullet"/>
      <w:lvlText w:val="o"/>
      <w:lvlJc w:val="left"/>
      <w:pPr>
        <w:tabs>
          <w:tab w:val="num" w:pos="1440"/>
        </w:tabs>
        <w:ind w:left="1440" w:hanging="360"/>
      </w:pPr>
      <w:rPr>
        <w:rFonts w:ascii="Courier New" w:hAnsi="Courier New"/>
      </w:rPr>
    </w:lvl>
    <w:lvl w:ilvl="2" w:tplc="A95A8C7A">
      <w:start w:val="1"/>
      <w:numFmt w:val="bullet"/>
      <w:lvlText w:val=""/>
      <w:lvlJc w:val="left"/>
      <w:pPr>
        <w:tabs>
          <w:tab w:val="num" w:pos="2160"/>
        </w:tabs>
        <w:ind w:left="2160" w:hanging="360"/>
      </w:pPr>
      <w:rPr>
        <w:rFonts w:ascii="Wingdings" w:hAnsi="Wingdings"/>
      </w:rPr>
    </w:lvl>
    <w:lvl w:ilvl="3" w:tplc="B45EE7D2">
      <w:start w:val="1"/>
      <w:numFmt w:val="bullet"/>
      <w:lvlText w:val=""/>
      <w:lvlJc w:val="left"/>
      <w:pPr>
        <w:tabs>
          <w:tab w:val="num" w:pos="2880"/>
        </w:tabs>
        <w:ind w:left="2880" w:hanging="360"/>
      </w:pPr>
      <w:rPr>
        <w:rFonts w:ascii="Symbol" w:hAnsi="Symbol"/>
      </w:rPr>
    </w:lvl>
    <w:lvl w:ilvl="4" w:tplc="E4762F72">
      <w:start w:val="1"/>
      <w:numFmt w:val="bullet"/>
      <w:lvlText w:val="o"/>
      <w:lvlJc w:val="left"/>
      <w:pPr>
        <w:tabs>
          <w:tab w:val="num" w:pos="3600"/>
        </w:tabs>
        <w:ind w:left="3600" w:hanging="360"/>
      </w:pPr>
      <w:rPr>
        <w:rFonts w:ascii="Courier New" w:hAnsi="Courier New"/>
      </w:rPr>
    </w:lvl>
    <w:lvl w:ilvl="5" w:tplc="8D3A740C">
      <w:start w:val="1"/>
      <w:numFmt w:val="bullet"/>
      <w:lvlText w:val=""/>
      <w:lvlJc w:val="left"/>
      <w:pPr>
        <w:tabs>
          <w:tab w:val="num" w:pos="4320"/>
        </w:tabs>
        <w:ind w:left="4320" w:hanging="360"/>
      </w:pPr>
      <w:rPr>
        <w:rFonts w:ascii="Wingdings" w:hAnsi="Wingdings"/>
      </w:rPr>
    </w:lvl>
    <w:lvl w:ilvl="6" w:tplc="60003562">
      <w:start w:val="1"/>
      <w:numFmt w:val="bullet"/>
      <w:lvlText w:val=""/>
      <w:lvlJc w:val="left"/>
      <w:pPr>
        <w:tabs>
          <w:tab w:val="num" w:pos="5040"/>
        </w:tabs>
        <w:ind w:left="5040" w:hanging="360"/>
      </w:pPr>
      <w:rPr>
        <w:rFonts w:ascii="Symbol" w:hAnsi="Symbol"/>
      </w:rPr>
    </w:lvl>
    <w:lvl w:ilvl="7" w:tplc="49803BAC">
      <w:start w:val="1"/>
      <w:numFmt w:val="bullet"/>
      <w:lvlText w:val="o"/>
      <w:lvlJc w:val="left"/>
      <w:pPr>
        <w:tabs>
          <w:tab w:val="num" w:pos="5760"/>
        </w:tabs>
        <w:ind w:left="5760" w:hanging="360"/>
      </w:pPr>
      <w:rPr>
        <w:rFonts w:ascii="Courier New" w:hAnsi="Courier New"/>
      </w:rPr>
    </w:lvl>
    <w:lvl w:ilvl="8" w:tplc="8CD67CC2">
      <w:start w:val="1"/>
      <w:numFmt w:val="bullet"/>
      <w:lvlText w:val=""/>
      <w:lvlJc w:val="left"/>
      <w:pPr>
        <w:tabs>
          <w:tab w:val="num" w:pos="6480"/>
        </w:tabs>
        <w:ind w:left="6480" w:hanging="360"/>
      </w:pPr>
      <w:rPr>
        <w:rFonts w:ascii="Wingdings" w:hAnsi="Wingdings"/>
      </w:rPr>
    </w:lvl>
  </w:abstractNum>
  <w:abstractNum w:abstractNumId="71" w15:restartNumberingAfterBreak="0">
    <w:nsid w:val="72230509"/>
    <w:multiLevelType w:val="hybridMultilevel"/>
    <w:tmpl w:val="72230509"/>
    <w:lvl w:ilvl="0" w:tplc="AAECC724">
      <w:start w:val="1"/>
      <w:numFmt w:val="bullet"/>
      <w:lvlText w:val=""/>
      <w:lvlJc w:val="left"/>
      <w:pPr>
        <w:ind w:left="720" w:hanging="360"/>
      </w:pPr>
      <w:rPr>
        <w:rFonts w:ascii="Symbol" w:hAnsi="Symbol"/>
      </w:rPr>
    </w:lvl>
    <w:lvl w:ilvl="1" w:tplc="2E5E4F42">
      <w:start w:val="1"/>
      <w:numFmt w:val="bullet"/>
      <w:lvlText w:val="o"/>
      <w:lvlJc w:val="left"/>
      <w:pPr>
        <w:tabs>
          <w:tab w:val="num" w:pos="1440"/>
        </w:tabs>
        <w:ind w:left="1440" w:hanging="360"/>
      </w:pPr>
      <w:rPr>
        <w:rFonts w:ascii="Courier New" w:hAnsi="Courier New"/>
      </w:rPr>
    </w:lvl>
    <w:lvl w:ilvl="2" w:tplc="14B6F906">
      <w:start w:val="1"/>
      <w:numFmt w:val="bullet"/>
      <w:lvlText w:val=""/>
      <w:lvlJc w:val="left"/>
      <w:pPr>
        <w:tabs>
          <w:tab w:val="num" w:pos="2160"/>
        </w:tabs>
        <w:ind w:left="2160" w:hanging="360"/>
      </w:pPr>
      <w:rPr>
        <w:rFonts w:ascii="Wingdings" w:hAnsi="Wingdings"/>
      </w:rPr>
    </w:lvl>
    <w:lvl w:ilvl="3" w:tplc="12769E86">
      <w:start w:val="1"/>
      <w:numFmt w:val="bullet"/>
      <w:lvlText w:val=""/>
      <w:lvlJc w:val="left"/>
      <w:pPr>
        <w:tabs>
          <w:tab w:val="num" w:pos="2880"/>
        </w:tabs>
        <w:ind w:left="2880" w:hanging="360"/>
      </w:pPr>
      <w:rPr>
        <w:rFonts w:ascii="Symbol" w:hAnsi="Symbol"/>
      </w:rPr>
    </w:lvl>
    <w:lvl w:ilvl="4" w:tplc="FA7CEF54">
      <w:start w:val="1"/>
      <w:numFmt w:val="bullet"/>
      <w:lvlText w:val="o"/>
      <w:lvlJc w:val="left"/>
      <w:pPr>
        <w:tabs>
          <w:tab w:val="num" w:pos="3600"/>
        </w:tabs>
        <w:ind w:left="3600" w:hanging="360"/>
      </w:pPr>
      <w:rPr>
        <w:rFonts w:ascii="Courier New" w:hAnsi="Courier New"/>
      </w:rPr>
    </w:lvl>
    <w:lvl w:ilvl="5" w:tplc="1A50AD78">
      <w:start w:val="1"/>
      <w:numFmt w:val="bullet"/>
      <w:lvlText w:val=""/>
      <w:lvlJc w:val="left"/>
      <w:pPr>
        <w:tabs>
          <w:tab w:val="num" w:pos="4320"/>
        </w:tabs>
        <w:ind w:left="4320" w:hanging="360"/>
      </w:pPr>
      <w:rPr>
        <w:rFonts w:ascii="Wingdings" w:hAnsi="Wingdings"/>
      </w:rPr>
    </w:lvl>
    <w:lvl w:ilvl="6" w:tplc="647094D6">
      <w:start w:val="1"/>
      <w:numFmt w:val="bullet"/>
      <w:lvlText w:val=""/>
      <w:lvlJc w:val="left"/>
      <w:pPr>
        <w:tabs>
          <w:tab w:val="num" w:pos="5040"/>
        </w:tabs>
        <w:ind w:left="5040" w:hanging="360"/>
      </w:pPr>
      <w:rPr>
        <w:rFonts w:ascii="Symbol" w:hAnsi="Symbol"/>
      </w:rPr>
    </w:lvl>
    <w:lvl w:ilvl="7" w:tplc="6B4477D0">
      <w:start w:val="1"/>
      <w:numFmt w:val="bullet"/>
      <w:lvlText w:val="o"/>
      <w:lvlJc w:val="left"/>
      <w:pPr>
        <w:tabs>
          <w:tab w:val="num" w:pos="5760"/>
        </w:tabs>
        <w:ind w:left="5760" w:hanging="360"/>
      </w:pPr>
      <w:rPr>
        <w:rFonts w:ascii="Courier New" w:hAnsi="Courier New"/>
      </w:rPr>
    </w:lvl>
    <w:lvl w:ilvl="8" w:tplc="C7521BFE">
      <w:start w:val="1"/>
      <w:numFmt w:val="bullet"/>
      <w:lvlText w:val=""/>
      <w:lvlJc w:val="left"/>
      <w:pPr>
        <w:tabs>
          <w:tab w:val="num" w:pos="6480"/>
        </w:tabs>
        <w:ind w:left="6480" w:hanging="360"/>
      </w:pPr>
      <w:rPr>
        <w:rFonts w:ascii="Wingdings" w:hAnsi="Wingdings"/>
      </w:rPr>
    </w:lvl>
  </w:abstractNum>
  <w:abstractNum w:abstractNumId="72" w15:restartNumberingAfterBreak="0">
    <w:nsid w:val="7223050A"/>
    <w:multiLevelType w:val="hybridMultilevel"/>
    <w:tmpl w:val="7223050A"/>
    <w:lvl w:ilvl="0" w:tplc="A36E4E7E">
      <w:start w:val="1"/>
      <w:numFmt w:val="bullet"/>
      <w:lvlText w:val=""/>
      <w:lvlJc w:val="left"/>
      <w:pPr>
        <w:tabs>
          <w:tab w:val="num" w:pos="720"/>
        </w:tabs>
        <w:ind w:left="720" w:hanging="360"/>
      </w:pPr>
      <w:rPr>
        <w:rFonts w:ascii="Symbol" w:hAnsi="Symbol"/>
      </w:rPr>
    </w:lvl>
    <w:lvl w:ilvl="1" w:tplc="91502A76">
      <w:start w:val="1"/>
      <w:numFmt w:val="bullet"/>
      <w:lvlText w:val="o"/>
      <w:lvlJc w:val="left"/>
      <w:pPr>
        <w:tabs>
          <w:tab w:val="num" w:pos="1440"/>
        </w:tabs>
        <w:ind w:left="1440" w:hanging="360"/>
      </w:pPr>
      <w:rPr>
        <w:rFonts w:ascii="Courier New" w:hAnsi="Courier New"/>
      </w:rPr>
    </w:lvl>
    <w:lvl w:ilvl="2" w:tplc="367213A6">
      <w:start w:val="1"/>
      <w:numFmt w:val="bullet"/>
      <w:lvlText w:val=""/>
      <w:lvlJc w:val="left"/>
      <w:pPr>
        <w:tabs>
          <w:tab w:val="num" w:pos="2160"/>
        </w:tabs>
        <w:ind w:left="2160" w:hanging="360"/>
      </w:pPr>
      <w:rPr>
        <w:rFonts w:ascii="Wingdings" w:hAnsi="Wingdings"/>
      </w:rPr>
    </w:lvl>
    <w:lvl w:ilvl="3" w:tplc="2AECFFBA">
      <w:start w:val="1"/>
      <w:numFmt w:val="bullet"/>
      <w:lvlText w:val=""/>
      <w:lvlJc w:val="left"/>
      <w:pPr>
        <w:tabs>
          <w:tab w:val="num" w:pos="2880"/>
        </w:tabs>
        <w:ind w:left="2880" w:hanging="360"/>
      </w:pPr>
      <w:rPr>
        <w:rFonts w:ascii="Symbol" w:hAnsi="Symbol"/>
      </w:rPr>
    </w:lvl>
    <w:lvl w:ilvl="4" w:tplc="4A2E2736">
      <w:start w:val="1"/>
      <w:numFmt w:val="bullet"/>
      <w:lvlText w:val="o"/>
      <w:lvlJc w:val="left"/>
      <w:pPr>
        <w:tabs>
          <w:tab w:val="num" w:pos="3600"/>
        </w:tabs>
        <w:ind w:left="3600" w:hanging="360"/>
      </w:pPr>
      <w:rPr>
        <w:rFonts w:ascii="Courier New" w:hAnsi="Courier New"/>
      </w:rPr>
    </w:lvl>
    <w:lvl w:ilvl="5" w:tplc="A86CBEE4">
      <w:start w:val="1"/>
      <w:numFmt w:val="bullet"/>
      <w:lvlText w:val=""/>
      <w:lvlJc w:val="left"/>
      <w:pPr>
        <w:tabs>
          <w:tab w:val="num" w:pos="4320"/>
        </w:tabs>
        <w:ind w:left="4320" w:hanging="360"/>
      </w:pPr>
      <w:rPr>
        <w:rFonts w:ascii="Wingdings" w:hAnsi="Wingdings"/>
      </w:rPr>
    </w:lvl>
    <w:lvl w:ilvl="6" w:tplc="B1C8EFE4">
      <w:start w:val="1"/>
      <w:numFmt w:val="bullet"/>
      <w:lvlText w:val=""/>
      <w:lvlJc w:val="left"/>
      <w:pPr>
        <w:tabs>
          <w:tab w:val="num" w:pos="5040"/>
        </w:tabs>
        <w:ind w:left="5040" w:hanging="360"/>
      </w:pPr>
      <w:rPr>
        <w:rFonts w:ascii="Symbol" w:hAnsi="Symbol"/>
      </w:rPr>
    </w:lvl>
    <w:lvl w:ilvl="7" w:tplc="8968CBEA">
      <w:start w:val="1"/>
      <w:numFmt w:val="bullet"/>
      <w:lvlText w:val="o"/>
      <w:lvlJc w:val="left"/>
      <w:pPr>
        <w:tabs>
          <w:tab w:val="num" w:pos="5760"/>
        </w:tabs>
        <w:ind w:left="5760" w:hanging="360"/>
      </w:pPr>
      <w:rPr>
        <w:rFonts w:ascii="Courier New" w:hAnsi="Courier New"/>
      </w:rPr>
    </w:lvl>
    <w:lvl w:ilvl="8" w:tplc="8FDC8BEC">
      <w:start w:val="1"/>
      <w:numFmt w:val="bullet"/>
      <w:lvlText w:val=""/>
      <w:lvlJc w:val="left"/>
      <w:pPr>
        <w:tabs>
          <w:tab w:val="num" w:pos="6480"/>
        </w:tabs>
        <w:ind w:left="6480" w:hanging="360"/>
      </w:pPr>
      <w:rPr>
        <w:rFonts w:ascii="Wingdings" w:hAnsi="Wingdings"/>
      </w:rPr>
    </w:lvl>
  </w:abstractNum>
  <w:abstractNum w:abstractNumId="73" w15:restartNumberingAfterBreak="0">
    <w:nsid w:val="7223050B"/>
    <w:multiLevelType w:val="hybridMultilevel"/>
    <w:tmpl w:val="7223050B"/>
    <w:lvl w:ilvl="0" w:tplc="A45AB43C">
      <w:start w:val="1"/>
      <w:numFmt w:val="bullet"/>
      <w:lvlText w:val=""/>
      <w:lvlJc w:val="left"/>
      <w:pPr>
        <w:tabs>
          <w:tab w:val="num" w:pos="720"/>
        </w:tabs>
        <w:ind w:left="720" w:hanging="360"/>
      </w:pPr>
      <w:rPr>
        <w:rFonts w:ascii="Symbol" w:hAnsi="Symbol"/>
      </w:rPr>
    </w:lvl>
    <w:lvl w:ilvl="1" w:tplc="DF76357E">
      <w:start w:val="1"/>
      <w:numFmt w:val="bullet"/>
      <w:lvlText w:val="o"/>
      <w:lvlJc w:val="left"/>
      <w:pPr>
        <w:tabs>
          <w:tab w:val="num" w:pos="1440"/>
        </w:tabs>
        <w:ind w:left="1440" w:hanging="360"/>
      </w:pPr>
      <w:rPr>
        <w:rFonts w:ascii="Courier New" w:hAnsi="Courier New"/>
      </w:rPr>
    </w:lvl>
    <w:lvl w:ilvl="2" w:tplc="AF501BDE">
      <w:start w:val="1"/>
      <w:numFmt w:val="bullet"/>
      <w:lvlText w:val=""/>
      <w:lvlJc w:val="left"/>
      <w:pPr>
        <w:tabs>
          <w:tab w:val="num" w:pos="2160"/>
        </w:tabs>
        <w:ind w:left="2160" w:hanging="360"/>
      </w:pPr>
      <w:rPr>
        <w:rFonts w:ascii="Wingdings" w:hAnsi="Wingdings"/>
      </w:rPr>
    </w:lvl>
    <w:lvl w:ilvl="3" w:tplc="5EAC5080">
      <w:start w:val="1"/>
      <w:numFmt w:val="bullet"/>
      <w:lvlText w:val=""/>
      <w:lvlJc w:val="left"/>
      <w:pPr>
        <w:tabs>
          <w:tab w:val="num" w:pos="2880"/>
        </w:tabs>
        <w:ind w:left="2880" w:hanging="360"/>
      </w:pPr>
      <w:rPr>
        <w:rFonts w:ascii="Symbol" w:hAnsi="Symbol"/>
      </w:rPr>
    </w:lvl>
    <w:lvl w:ilvl="4" w:tplc="CA189B76">
      <w:start w:val="1"/>
      <w:numFmt w:val="bullet"/>
      <w:lvlText w:val="o"/>
      <w:lvlJc w:val="left"/>
      <w:pPr>
        <w:tabs>
          <w:tab w:val="num" w:pos="3600"/>
        </w:tabs>
        <w:ind w:left="3600" w:hanging="360"/>
      </w:pPr>
      <w:rPr>
        <w:rFonts w:ascii="Courier New" w:hAnsi="Courier New"/>
      </w:rPr>
    </w:lvl>
    <w:lvl w:ilvl="5" w:tplc="8BF825F0">
      <w:start w:val="1"/>
      <w:numFmt w:val="bullet"/>
      <w:lvlText w:val=""/>
      <w:lvlJc w:val="left"/>
      <w:pPr>
        <w:tabs>
          <w:tab w:val="num" w:pos="4320"/>
        </w:tabs>
        <w:ind w:left="4320" w:hanging="360"/>
      </w:pPr>
      <w:rPr>
        <w:rFonts w:ascii="Wingdings" w:hAnsi="Wingdings"/>
      </w:rPr>
    </w:lvl>
    <w:lvl w:ilvl="6" w:tplc="D0EEE0A4">
      <w:start w:val="1"/>
      <w:numFmt w:val="bullet"/>
      <w:lvlText w:val=""/>
      <w:lvlJc w:val="left"/>
      <w:pPr>
        <w:tabs>
          <w:tab w:val="num" w:pos="5040"/>
        </w:tabs>
        <w:ind w:left="5040" w:hanging="360"/>
      </w:pPr>
      <w:rPr>
        <w:rFonts w:ascii="Symbol" w:hAnsi="Symbol"/>
      </w:rPr>
    </w:lvl>
    <w:lvl w:ilvl="7" w:tplc="84F65872">
      <w:start w:val="1"/>
      <w:numFmt w:val="bullet"/>
      <w:lvlText w:val="o"/>
      <w:lvlJc w:val="left"/>
      <w:pPr>
        <w:tabs>
          <w:tab w:val="num" w:pos="5760"/>
        </w:tabs>
        <w:ind w:left="5760" w:hanging="360"/>
      </w:pPr>
      <w:rPr>
        <w:rFonts w:ascii="Courier New" w:hAnsi="Courier New"/>
      </w:rPr>
    </w:lvl>
    <w:lvl w:ilvl="8" w:tplc="912A8878">
      <w:start w:val="1"/>
      <w:numFmt w:val="bullet"/>
      <w:lvlText w:val=""/>
      <w:lvlJc w:val="left"/>
      <w:pPr>
        <w:tabs>
          <w:tab w:val="num" w:pos="6480"/>
        </w:tabs>
        <w:ind w:left="6480" w:hanging="360"/>
      </w:pPr>
      <w:rPr>
        <w:rFonts w:ascii="Wingdings" w:hAnsi="Wingdings"/>
      </w:rPr>
    </w:lvl>
  </w:abstractNum>
  <w:abstractNum w:abstractNumId="74" w15:restartNumberingAfterBreak="0">
    <w:nsid w:val="7223050C"/>
    <w:multiLevelType w:val="hybridMultilevel"/>
    <w:tmpl w:val="7223050C"/>
    <w:lvl w:ilvl="0" w:tplc="97D2B948">
      <w:start w:val="1"/>
      <w:numFmt w:val="bullet"/>
      <w:lvlText w:val=""/>
      <w:lvlJc w:val="left"/>
      <w:pPr>
        <w:tabs>
          <w:tab w:val="num" w:pos="720"/>
        </w:tabs>
        <w:ind w:left="720" w:hanging="360"/>
      </w:pPr>
      <w:rPr>
        <w:rFonts w:ascii="Symbol" w:hAnsi="Symbol"/>
      </w:rPr>
    </w:lvl>
    <w:lvl w:ilvl="1" w:tplc="8E70EB80">
      <w:start w:val="1"/>
      <w:numFmt w:val="bullet"/>
      <w:lvlText w:val="o"/>
      <w:lvlJc w:val="left"/>
      <w:pPr>
        <w:tabs>
          <w:tab w:val="num" w:pos="1440"/>
        </w:tabs>
        <w:ind w:left="1440" w:hanging="360"/>
      </w:pPr>
      <w:rPr>
        <w:rFonts w:ascii="Courier New" w:hAnsi="Courier New"/>
      </w:rPr>
    </w:lvl>
    <w:lvl w:ilvl="2" w:tplc="30F81980">
      <w:start w:val="1"/>
      <w:numFmt w:val="bullet"/>
      <w:lvlText w:val=""/>
      <w:lvlJc w:val="left"/>
      <w:pPr>
        <w:tabs>
          <w:tab w:val="num" w:pos="2160"/>
        </w:tabs>
        <w:ind w:left="2160" w:hanging="360"/>
      </w:pPr>
      <w:rPr>
        <w:rFonts w:ascii="Wingdings" w:hAnsi="Wingdings"/>
      </w:rPr>
    </w:lvl>
    <w:lvl w:ilvl="3" w:tplc="A0649D50">
      <w:start w:val="1"/>
      <w:numFmt w:val="bullet"/>
      <w:lvlText w:val=""/>
      <w:lvlJc w:val="left"/>
      <w:pPr>
        <w:tabs>
          <w:tab w:val="num" w:pos="2880"/>
        </w:tabs>
        <w:ind w:left="2880" w:hanging="360"/>
      </w:pPr>
      <w:rPr>
        <w:rFonts w:ascii="Symbol" w:hAnsi="Symbol"/>
      </w:rPr>
    </w:lvl>
    <w:lvl w:ilvl="4" w:tplc="9B06A9B6">
      <w:start w:val="1"/>
      <w:numFmt w:val="bullet"/>
      <w:lvlText w:val="o"/>
      <w:lvlJc w:val="left"/>
      <w:pPr>
        <w:tabs>
          <w:tab w:val="num" w:pos="3600"/>
        </w:tabs>
        <w:ind w:left="3600" w:hanging="360"/>
      </w:pPr>
      <w:rPr>
        <w:rFonts w:ascii="Courier New" w:hAnsi="Courier New"/>
      </w:rPr>
    </w:lvl>
    <w:lvl w:ilvl="5" w:tplc="1E76F5A8">
      <w:start w:val="1"/>
      <w:numFmt w:val="bullet"/>
      <w:lvlText w:val=""/>
      <w:lvlJc w:val="left"/>
      <w:pPr>
        <w:tabs>
          <w:tab w:val="num" w:pos="4320"/>
        </w:tabs>
        <w:ind w:left="4320" w:hanging="360"/>
      </w:pPr>
      <w:rPr>
        <w:rFonts w:ascii="Wingdings" w:hAnsi="Wingdings"/>
      </w:rPr>
    </w:lvl>
    <w:lvl w:ilvl="6" w:tplc="F9BC69D8">
      <w:start w:val="1"/>
      <w:numFmt w:val="bullet"/>
      <w:lvlText w:val=""/>
      <w:lvlJc w:val="left"/>
      <w:pPr>
        <w:tabs>
          <w:tab w:val="num" w:pos="5040"/>
        </w:tabs>
        <w:ind w:left="5040" w:hanging="360"/>
      </w:pPr>
      <w:rPr>
        <w:rFonts w:ascii="Symbol" w:hAnsi="Symbol"/>
      </w:rPr>
    </w:lvl>
    <w:lvl w:ilvl="7" w:tplc="21E2365C">
      <w:start w:val="1"/>
      <w:numFmt w:val="bullet"/>
      <w:lvlText w:val="o"/>
      <w:lvlJc w:val="left"/>
      <w:pPr>
        <w:tabs>
          <w:tab w:val="num" w:pos="5760"/>
        </w:tabs>
        <w:ind w:left="5760" w:hanging="360"/>
      </w:pPr>
      <w:rPr>
        <w:rFonts w:ascii="Courier New" w:hAnsi="Courier New"/>
      </w:rPr>
    </w:lvl>
    <w:lvl w:ilvl="8" w:tplc="D9EE2C1A">
      <w:start w:val="1"/>
      <w:numFmt w:val="bullet"/>
      <w:lvlText w:val=""/>
      <w:lvlJc w:val="left"/>
      <w:pPr>
        <w:tabs>
          <w:tab w:val="num" w:pos="6480"/>
        </w:tabs>
        <w:ind w:left="6480" w:hanging="360"/>
      </w:pPr>
      <w:rPr>
        <w:rFonts w:ascii="Wingdings" w:hAnsi="Wingdings"/>
      </w:rPr>
    </w:lvl>
  </w:abstractNum>
  <w:abstractNum w:abstractNumId="75" w15:restartNumberingAfterBreak="0">
    <w:nsid w:val="7223050D"/>
    <w:multiLevelType w:val="hybridMultilevel"/>
    <w:tmpl w:val="7223050D"/>
    <w:lvl w:ilvl="0" w:tplc="5232D292">
      <w:start w:val="1"/>
      <w:numFmt w:val="bullet"/>
      <w:lvlText w:val=""/>
      <w:lvlJc w:val="left"/>
      <w:pPr>
        <w:tabs>
          <w:tab w:val="num" w:pos="720"/>
        </w:tabs>
        <w:ind w:left="720" w:hanging="360"/>
      </w:pPr>
      <w:rPr>
        <w:rFonts w:ascii="Symbol" w:hAnsi="Symbol"/>
      </w:rPr>
    </w:lvl>
    <w:lvl w:ilvl="1" w:tplc="BC3E50CC">
      <w:start w:val="1"/>
      <w:numFmt w:val="bullet"/>
      <w:lvlText w:val="o"/>
      <w:lvlJc w:val="left"/>
      <w:pPr>
        <w:tabs>
          <w:tab w:val="num" w:pos="1440"/>
        </w:tabs>
        <w:ind w:left="1440" w:hanging="360"/>
      </w:pPr>
      <w:rPr>
        <w:rFonts w:ascii="Courier New" w:hAnsi="Courier New"/>
      </w:rPr>
    </w:lvl>
    <w:lvl w:ilvl="2" w:tplc="3C90EA26">
      <w:start w:val="1"/>
      <w:numFmt w:val="bullet"/>
      <w:lvlText w:val=""/>
      <w:lvlJc w:val="left"/>
      <w:pPr>
        <w:tabs>
          <w:tab w:val="num" w:pos="2160"/>
        </w:tabs>
        <w:ind w:left="2160" w:hanging="360"/>
      </w:pPr>
      <w:rPr>
        <w:rFonts w:ascii="Wingdings" w:hAnsi="Wingdings"/>
      </w:rPr>
    </w:lvl>
    <w:lvl w:ilvl="3" w:tplc="624C5ECE">
      <w:start w:val="1"/>
      <w:numFmt w:val="bullet"/>
      <w:lvlText w:val=""/>
      <w:lvlJc w:val="left"/>
      <w:pPr>
        <w:tabs>
          <w:tab w:val="num" w:pos="2880"/>
        </w:tabs>
        <w:ind w:left="2880" w:hanging="360"/>
      </w:pPr>
      <w:rPr>
        <w:rFonts w:ascii="Symbol" w:hAnsi="Symbol"/>
      </w:rPr>
    </w:lvl>
    <w:lvl w:ilvl="4" w:tplc="8BF0E206">
      <w:start w:val="1"/>
      <w:numFmt w:val="bullet"/>
      <w:lvlText w:val="o"/>
      <w:lvlJc w:val="left"/>
      <w:pPr>
        <w:tabs>
          <w:tab w:val="num" w:pos="3600"/>
        </w:tabs>
        <w:ind w:left="3600" w:hanging="360"/>
      </w:pPr>
      <w:rPr>
        <w:rFonts w:ascii="Courier New" w:hAnsi="Courier New"/>
      </w:rPr>
    </w:lvl>
    <w:lvl w:ilvl="5" w:tplc="A26A41F8">
      <w:start w:val="1"/>
      <w:numFmt w:val="bullet"/>
      <w:lvlText w:val=""/>
      <w:lvlJc w:val="left"/>
      <w:pPr>
        <w:tabs>
          <w:tab w:val="num" w:pos="4320"/>
        </w:tabs>
        <w:ind w:left="4320" w:hanging="360"/>
      </w:pPr>
      <w:rPr>
        <w:rFonts w:ascii="Wingdings" w:hAnsi="Wingdings"/>
      </w:rPr>
    </w:lvl>
    <w:lvl w:ilvl="6" w:tplc="595C97F6">
      <w:start w:val="1"/>
      <w:numFmt w:val="bullet"/>
      <w:lvlText w:val=""/>
      <w:lvlJc w:val="left"/>
      <w:pPr>
        <w:tabs>
          <w:tab w:val="num" w:pos="5040"/>
        </w:tabs>
        <w:ind w:left="5040" w:hanging="360"/>
      </w:pPr>
      <w:rPr>
        <w:rFonts w:ascii="Symbol" w:hAnsi="Symbol"/>
      </w:rPr>
    </w:lvl>
    <w:lvl w:ilvl="7" w:tplc="47002D92">
      <w:start w:val="1"/>
      <w:numFmt w:val="bullet"/>
      <w:lvlText w:val="o"/>
      <w:lvlJc w:val="left"/>
      <w:pPr>
        <w:tabs>
          <w:tab w:val="num" w:pos="5760"/>
        </w:tabs>
        <w:ind w:left="5760" w:hanging="360"/>
      </w:pPr>
      <w:rPr>
        <w:rFonts w:ascii="Courier New" w:hAnsi="Courier New"/>
      </w:rPr>
    </w:lvl>
    <w:lvl w:ilvl="8" w:tplc="BD82A794">
      <w:start w:val="1"/>
      <w:numFmt w:val="bullet"/>
      <w:lvlText w:val=""/>
      <w:lvlJc w:val="left"/>
      <w:pPr>
        <w:tabs>
          <w:tab w:val="num" w:pos="6480"/>
        </w:tabs>
        <w:ind w:left="6480" w:hanging="360"/>
      </w:pPr>
      <w:rPr>
        <w:rFonts w:ascii="Wingdings" w:hAnsi="Wingdings"/>
      </w:rPr>
    </w:lvl>
  </w:abstractNum>
  <w:abstractNum w:abstractNumId="76" w15:restartNumberingAfterBreak="0">
    <w:nsid w:val="7223050E"/>
    <w:multiLevelType w:val="hybridMultilevel"/>
    <w:tmpl w:val="7223050E"/>
    <w:lvl w:ilvl="0" w:tplc="83C6C73C">
      <w:start w:val="1"/>
      <w:numFmt w:val="bullet"/>
      <w:lvlText w:val=""/>
      <w:lvlJc w:val="left"/>
      <w:pPr>
        <w:ind w:left="720" w:hanging="360"/>
      </w:pPr>
      <w:rPr>
        <w:rFonts w:ascii="Symbol" w:hAnsi="Symbol"/>
      </w:rPr>
    </w:lvl>
    <w:lvl w:ilvl="1" w:tplc="C1128512">
      <w:start w:val="1"/>
      <w:numFmt w:val="bullet"/>
      <w:lvlText w:val="o"/>
      <w:lvlJc w:val="left"/>
      <w:pPr>
        <w:tabs>
          <w:tab w:val="num" w:pos="1440"/>
        </w:tabs>
        <w:ind w:left="1440" w:hanging="360"/>
      </w:pPr>
      <w:rPr>
        <w:rFonts w:ascii="Courier New" w:hAnsi="Courier New"/>
      </w:rPr>
    </w:lvl>
    <w:lvl w:ilvl="2" w:tplc="81D2C730">
      <w:start w:val="1"/>
      <w:numFmt w:val="bullet"/>
      <w:lvlText w:val=""/>
      <w:lvlJc w:val="left"/>
      <w:pPr>
        <w:tabs>
          <w:tab w:val="num" w:pos="2160"/>
        </w:tabs>
        <w:ind w:left="2160" w:hanging="360"/>
      </w:pPr>
      <w:rPr>
        <w:rFonts w:ascii="Wingdings" w:hAnsi="Wingdings"/>
      </w:rPr>
    </w:lvl>
    <w:lvl w:ilvl="3" w:tplc="F9420272">
      <w:start w:val="1"/>
      <w:numFmt w:val="bullet"/>
      <w:lvlText w:val=""/>
      <w:lvlJc w:val="left"/>
      <w:pPr>
        <w:tabs>
          <w:tab w:val="num" w:pos="2880"/>
        </w:tabs>
        <w:ind w:left="2880" w:hanging="360"/>
      </w:pPr>
      <w:rPr>
        <w:rFonts w:ascii="Symbol" w:hAnsi="Symbol"/>
      </w:rPr>
    </w:lvl>
    <w:lvl w:ilvl="4" w:tplc="138E8CEC">
      <w:start w:val="1"/>
      <w:numFmt w:val="bullet"/>
      <w:lvlText w:val="o"/>
      <w:lvlJc w:val="left"/>
      <w:pPr>
        <w:tabs>
          <w:tab w:val="num" w:pos="3600"/>
        </w:tabs>
        <w:ind w:left="3600" w:hanging="360"/>
      </w:pPr>
      <w:rPr>
        <w:rFonts w:ascii="Courier New" w:hAnsi="Courier New"/>
      </w:rPr>
    </w:lvl>
    <w:lvl w:ilvl="5" w:tplc="9D6A653C">
      <w:start w:val="1"/>
      <w:numFmt w:val="bullet"/>
      <w:lvlText w:val=""/>
      <w:lvlJc w:val="left"/>
      <w:pPr>
        <w:tabs>
          <w:tab w:val="num" w:pos="4320"/>
        </w:tabs>
        <w:ind w:left="4320" w:hanging="360"/>
      </w:pPr>
      <w:rPr>
        <w:rFonts w:ascii="Wingdings" w:hAnsi="Wingdings"/>
      </w:rPr>
    </w:lvl>
    <w:lvl w:ilvl="6" w:tplc="40C40B72">
      <w:start w:val="1"/>
      <w:numFmt w:val="bullet"/>
      <w:lvlText w:val=""/>
      <w:lvlJc w:val="left"/>
      <w:pPr>
        <w:tabs>
          <w:tab w:val="num" w:pos="5040"/>
        </w:tabs>
        <w:ind w:left="5040" w:hanging="360"/>
      </w:pPr>
      <w:rPr>
        <w:rFonts w:ascii="Symbol" w:hAnsi="Symbol"/>
      </w:rPr>
    </w:lvl>
    <w:lvl w:ilvl="7" w:tplc="90C8CC34">
      <w:start w:val="1"/>
      <w:numFmt w:val="bullet"/>
      <w:lvlText w:val="o"/>
      <w:lvlJc w:val="left"/>
      <w:pPr>
        <w:tabs>
          <w:tab w:val="num" w:pos="5760"/>
        </w:tabs>
        <w:ind w:left="5760" w:hanging="360"/>
      </w:pPr>
      <w:rPr>
        <w:rFonts w:ascii="Courier New" w:hAnsi="Courier New"/>
      </w:rPr>
    </w:lvl>
    <w:lvl w:ilvl="8" w:tplc="91806418">
      <w:start w:val="1"/>
      <w:numFmt w:val="bullet"/>
      <w:lvlText w:val=""/>
      <w:lvlJc w:val="left"/>
      <w:pPr>
        <w:tabs>
          <w:tab w:val="num" w:pos="6480"/>
        </w:tabs>
        <w:ind w:left="6480" w:hanging="360"/>
      </w:pPr>
      <w:rPr>
        <w:rFonts w:ascii="Wingdings" w:hAnsi="Wingdings"/>
      </w:rPr>
    </w:lvl>
  </w:abstractNum>
  <w:abstractNum w:abstractNumId="77" w15:restartNumberingAfterBreak="0">
    <w:nsid w:val="7223050F"/>
    <w:multiLevelType w:val="hybridMultilevel"/>
    <w:tmpl w:val="7223050F"/>
    <w:lvl w:ilvl="0" w:tplc="0BD068AC">
      <w:start w:val="1"/>
      <w:numFmt w:val="bullet"/>
      <w:lvlText w:val=""/>
      <w:lvlJc w:val="left"/>
      <w:pPr>
        <w:tabs>
          <w:tab w:val="num" w:pos="720"/>
        </w:tabs>
        <w:ind w:left="720" w:hanging="360"/>
      </w:pPr>
      <w:rPr>
        <w:rFonts w:ascii="Symbol" w:hAnsi="Symbol"/>
      </w:rPr>
    </w:lvl>
    <w:lvl w:ilvl="1" w:tplc="043CB43C">
      <w:start w:val="1"/>
      <w:numFmt w:val="bullet"/>
      <w:lvlText w:val="o"/>
      <w:lvlJc w:val="left"/>
      <w:pPr>
        <w:tabs>
          <w:tab w:val="num" w:pos="1440"/>
        </w:tabs>
        <w:ind w:left="1440" w:hanging="360"/>
      </w:pPr>
      <w:rPr>
        <w:rFonts w:ascii="Courier New" w:hAnsi="Courier New"/>
      </w:rPr>
    </w:lvl>
    <w:lvl w:ilvl="2" w:tplc="DD0CC51A">
      <w:start w:val="1"/>
      <w:numFmt w:val="bullet"/>
      <w:lvlText w:val=""/>
      <w:lvlJc w:val="left"/>
      <w:pPr>
        <w:tabs>
          <w:tab w:val="num" w:pos="2160"/>
        </w:tabs>
        <w:ind w:left="2160" w:hanging="360"/>
      </w:pPr>
      <w:rPr>
        <w:rFonts w:ascii="Wingdings" w:hAnsi="Wingdings"/>
      </w:rPr>
    </w:lvl>
    <w:lvl w:ilvl="3" w:tplc="0736DE96">
      <w:start w:val="1"/>
      <w:numFmt w:val="bullet"/>
      <w:lvlText w:val=""/>
      <w:lvlJc w:val="left"/>
      <w:pPr>
        <w:tabs>
          <w:tab w:val="num" w:pos="2880"/>
        </w:tabs>
        <w:ind w:left="2880" w:hanging="360"/>
      </w:pPr>
      <w:rPr>
        <w:rFonts w:ascii="Symbol" w:hAnsi="Symbol"/>
      </w:rPr>
    </w:lvl>
    <w:lvl w:ilvl="4" w:tplc="A78AD7AE">
      <w:start w:val="1"/>
      <w:numFmt w:val="bullet"/>
      <w:lvlText w:val="o"/>
      <w:lvlJc w:val="left"/>
      <w:pPr>
        <w:tabs>
          <w:tab w:val="num" w:pos="3600"/>
        </w:tabs>
        <w:ind w:left="3600" w:hanging="360"/>
      </w:pPr>
      <w:rPr>
        <w:rFonts w:ascii="Courier New" w:hAnsi="Courier New"/>
      </w:rPr>
    </w:lvl>
    <w:lvl w:ilvl="5" w:tplc="D33C24C6">
      <w:start w:val="1"/>
      <w:numFmt w:val="bullet"/>
      <w:lvlText w:val=""/>
      <w:lvlJc w:val="left"/>
      <w:pPr>
        <w:tabs>
          <w:tab w:val="num" w:pos="4320"/>
        </w:tabs>
        <w:ind w:left="4320" w:hanging="360"/>
      </w:pPr>
      <w:rPr>
        <w:rFonts w:ascii="Wingdings" w:hAnsi="Wingdings"/>
      </w:rPr>
    </w:lvl>
    <w:lvl w:ilvl="6" w:tplc="3AB21F74">
      <w:start w:val="1"/>
      <w:numFmt w:val="bullet"/>
      <w:lvlText w:val=""/>
      <w:lvlJc w:val="left"/>
      <w:pPr>
        <w:tabs>
          <w:tab w:val="num" w:pos="5040"/>
        </w:tabs>
        <w:ind w:left="5040" w:hanging="360"/>
      </w:pPr>
      <w:rPr>
        <w:rFonts w:ascii="Symbol" w:hAnsi="Symbol"/>
      </w:rPr>
    </w:lvl>
    <w:lvl w:ilvl="7" w:tplc="28521E2E">
      <w:start w:val="1"/>
      <w:numFmt w:val="bullet"/>
      <w:lvlText w:val="o"/>
      <w:lvlJc w:val="left"/>
      <w:pPr>
        <w:tabs>
          <w:tab w:val="num" w:pos="5760"/>
        </w:tabs>
        <w:ind w:left="5760" w:hanging="360"/>
      </w:pPr>
      <w:rPr>
        <w:rFonts w:ascii="Courier New" w:hAnsi="Courier New"/>
      </w:rPr>
    </w:lvl>
    <w:lvl w:ilvl="8" w:tplc="191A6E0E">
      <w:start w:val="1"/>
      <w:numFmt w:val="bullet"/>
      <w:lvlText w:val=""/>
      <w:lvlJc w:val="left"/>
      <w:pPr>
        <w:tabs>
          <w:tab w:val="num" w:pos="6480"/>
        </w:tabs>
        <w:ind w:left="6480" w:hanging="360"/>
      </w:pPr>
      <w:rPr>
        <w:rFonts w:ascii="Wingdings" w:hAnsi="Wingdings"/>
      </w:rPr>
    </w:lvl>
  </w:abstractNum>
  <w:abstractNum w:abstractNumId="78" w15:restartNumberingAfterBreak="0">
    <w:nsid w:val="72230510"/>
    <w:multiLevelType w:val="hybridMultilevel"/>
    <w:tmpl w:val="72230510"/>
    <w:lvl w:ilvl="0" w:tplc="68469B28">
      <w:start w:val="1"/>
      <w:numFmt w:val="bullet"/>
      <w:lvlText w:val=""/>
      <w:lvlJc w:val="left"/>
      <w:pPr>
        <w:tabs>
          <w:tab w:val="num" w:pos="720"/>
        </w:tabs>
        <w:ind w:left="720" w:hanging="360"/>
      </w:pPr>
      <w:rPr>
        <w:rFonts w:ascii="Symbol" w:hAnsi="Symbol"/>
      </w:rPr>
    </w:lvl>
    <w:lvl w:ilvl="1" w:tplc="D9EA7442">
      <w:start w:val="1"/>
      <w:numFmt w:val="bullet"/>
      <w:lvlText w:val="o"/>
      <w:lvlJc w:val="left"/>
      <w:pPr>
        <w:tabs>
          <w:tab w:val="num" w:pos="1440"/>
        </w:tabs>
        <w:ind w:left="1440" w:hanging="360"/>
      </w:pPr>
      <w:rPr>
        <w:rFonts w:ascii="Courier New" w:hAnsi="Courier New"/>
      </w:rPr>
    </w:lvl>
    <w:lvl w:ilvl="2" w:tplc="6D12D9EC">
      <w:start w:val="1"/>
      <w:numFmt w:val="bullet"/>
      <w:lvlText w:val=""/>
      <w:lvlJc w:val="left"/>
      <w:pPr>
        <w:tabs>
          <w:tab w:val="num" w:pos="2160"/>
        </w:tabs>
        <w:ind w:left="2160" w:hanging="360"/>
      </w:pPr>
      <w:rPr>
        <w:rFonts w:ascii="Wingdings" w:hAnsi="Wingdings"/>
      </w:rPr>
    </w:lvl>
    <w:lvl w:ilvl="3" w:tplc="C9E25728">
      <w:start w:val="1"/>
      <w:numFmt w:val="bullet"/>
      <w:lvlText w:val=""/>
      <w:lvlJc w:val="left"/>
      <w:pPr>
        <w:tabs>
          <w:tab w:val="num" w:pos="2880"/>
        </w:tabs>
        <w:ind w:left="2880" w:hanging="360"/>
      </w:pPr>
      <w:rPr>
        <w:rFonts w:ascii="Symbol" w:hAnsi="Symbol"/>
      </w:rPr>
    </w:lvl>
    <w:lvl w:ilvl="4" w:tplc="284AE64A">
      <w:start w:val="1"/>
      <w:numFmt w:val="bullet"/>
      <w:lvlText w:val="o"/>
      <w:lvlJc w:val="left"/>
      <w:pPr>
        <w:tabs>
          <w:tab w:val="num" w:pos="3600"/>
        </w:tabs>
        <w:ind w:left="3600" w:hanging="360"/>
      </w:pPr>
      <w:rPr>
        <w:rFonts w:ascii="Courier New" w:hAnsi="Courier New"/>
      </w:rPr>
    </w:lvl>
    <w:lvl w:ilvl="5" w:tplc="27FC3BBE">
      <w:start w:val="1"/>
      <w:numFmt w:val="bullet"/>
      <w:lvlText w:val=""/>
      <w:lvlJc w:val="left"/>
      <w:pPr>
        <w:tabs>
          <w:tab w:val="num" w:pos="4320"/>
        </w:tabs>
        <w:ind w:left="4320" w:hanging="360"/>
      </w:pPr>
      <w:rPr>
        <w:rFonts w:ascii="Wingdings" w:hAnsi="Wingdings"/>
      </w:rPr>
    </w:lvl>
    <w:lvl w:ilvl="6" w:tplc="5C302DA4">
      <w:start w:val="1"/>
      <w:numFmt w:val="bullet"/>
      <w:lvlText w:val=""/>
      <w:lvlJc w:val="left"/>
      <w:pPr>
        <w:tabs>
          <w:tab w:val="num" w:pos="5040"/>
        </w:tabs>
        <w:ind w:left="5040" w:hanging="360"/>
      </w:pPr>
      <w:rPr>
        <w:rFonts w:ascii="Symbol" w:hAnsi="Symbol"/>
      </w:rPr>
    </w:lvl>
    <w:lvl w:ilvl="7" w:tplc="680AC2AA">
      <w:start w:val="1"/>
      <w:numFmt w:val="bullet"/>
      <w:lvlText w:val="o"/>
      <w:lvlJc w:val="left"/>
      <w:pPr>
        <w:tabs>
          <w:tab w:val="num" w:pos="5760"/>
        </w:tabs>
        <w:ind w:left="5760" w:hanging="360"/>
      </w:pPr>
      <w:rPr>
        <w:rFonts w:ascii="Courier New" w:hAnsi="Courier New"/>
      </w:rPr>
    </w:lvl>
    <w:lvl w:ilvl="8" w:tplc="7A78C458">
      <w:start w:val="1"/>
      <w:numFmt w:val="bullet"/>
      <w:lvlText w:val=""/>
      <w:lvlJc w:val="left"/>
      <w:pPr>
        <w:tabs>
          <w:tab w:val="num" w:pos="6480"/>
        </w:tabs>
        <w:ind w:left="6480" w:hanging="360"/>
      </w:pPr>
      <w:rPr>
        <w:rFonts w:ascii="Wingdings" w:hAnsi="Wingdings"/>
      </w:rPr>
    </w:lvl>
  </w:abstractNum>
  <w:abstractNum w:abstractNumId="79" w15:restartNumberingAfterBreak="0">
    <w:nsid w:val="72230511"/>
    <w:multiLevelType w:val="hybridMultilevel"/>
    <w:tmpl w:val="72230511"/>
    <w:lvl w:ilvl="0" w:tplc="5A70FDC2">
      <w:start w:val="1"/>
      <w:numFmt w:val="bullet"/>
      <w:lvlText w:val=""/>
      <w:lvlJc w:val="left"/>
      <w:pPr>
        <w:tabs>
          <w:tab w:val="num" w:pos="720"/>
        </w:tabs>
        <w:ind w:left="720" w:hanging="360"/>
      </w:pPr>
      <w:rPr>
        <w:rFonts w:ascii="Symbol" w:hAnsi="Symbol"/>
      </w:rPr>
    </w:lvl>
    <w:lvl w:ilvl="1" w:tplc="8CE22DCE">
      <w:start w:val="1"/>
      <w:numFmt w:val="bullet"/>
      <w:lvlText w:val="o"/>
      <w:lvlJc w:val="left"/>
      <w:pPr>
        <w:tabs>
          <w:tab w:val="num" w:pos="1440"/>
        </w:tabs>
        <w:ind w:left="1440" w:hanging="360"/>
      </w:pPr>
      <w:rPr>
        <w:rFonts w:ascii="Courier New" w:hAnsi="Courier New"/>
      </w:rPr>
    </w:lvl>
    <w:lvl w:ilvl="2" w:tplc="B29461EA">
      <w:start w:val="1"/>
      <w:numFmt w:val="bullet"/>
      <w:lvlText w:val=""/>
      <w:lvlJc w:val="left"/>
      <w:pPr>
        <w:tabs>
          <w:tab w:val="num" w:pos="2160"/>
        </w:tabs>
        <w:ind w:left="2160" w:hanging="360"/>
      </w:pPr>
      <w:rPr>
        <w:rFonts w:ascii="Wingdings" w:hAnsi="Wingdings"/>
      </w:rPr>
    </w:lvl>
    <w:lvl w:ilvl="3" w:tplc="E42C10E2">
      <w:start w:val="1"/>
      <w:numFmt w:val="bullet"/>
      <w:lvlText w:val=""/>
      <w:lvlJc w:val="left"/>
      <w:pPr>
        <w:tabs>
          <w:tab w:val="num" w:pos="2880"/>
        </w:tabs>
        <w:ind w:left="2880" w:hanging="360"/>
      </w:pPr>
      <w:rPr>
        <w:rFonts w:ascii="Symbol" w:hAnsi="Symbol"/>
      </w:rPr>
    </w:lvl>
    <w:lvl w:ilvl="4" w:tplc="F03E1292">
      <w:start w:val="1"/>
      <w:numFmt w:val="bullet"/>
      <w:lvlText w:val="o"/>
      <w:lvlJc w:val="left"/>
      <w:pPr>
        <w:tabs>
          <w:tab w:val="num" w:pos="3600"/>
        </w:tabs>
        <w:ind w:left="3600" w:hanging="360"/>
      </w:pPr>
      <w:rPr>
        <w:rFonts w:ascii="Courier New" w:hAnsi="Courier New"/>
      </w:rPr>
    </w:lvl>
    <w:lvl w:ilvl="5" w:tplc="ACB4DF46">
      <w:start w:val="1"/>
      <w:numFmt w:val="bullet"/>
      <w:lvlText w:val=""/>
      <w:lvlJc w:val="left"/>
      <w:pPr>
        <w:tabs>
          <w:tab w:val="num" w:pos="4320"/>
        </w:tabs>
        <w:ind w:left="4320" w:hanging="360"/>
      </w:pPr>
      <w:rPr>
        <w:rFonts w:ascii="Wingdings" w:hAnsi="Wingdings"/>
      </w:rPr>
    </w:lvl>
    <w:lvl w:ilvl="6" w:tplc="01520F68">
      <w:start w:val="1"/>
      <w:numFmt w:val="bullet"/>
      <w:lvlText w:val=""/>
      <w:lvlJc w:val="left"/>
      <w:pPr>
        <w:tabs>
          <w:tab w:val="num" w:pos="5040"/>
        </w:tabs>
        <w:ind w:left="5040" w:hanging="360"/>
      </w:pPr>
      <w:rPr>
        <w:rFonts w:ascii="Symbol" w:hAnsi="Symbol"/>
      </w:rPr>
    </w:lvl>
    <w:lvl w:ilvl="7" w:tplc="53DEF684">
      <w:start w:val="1"/>
      <w:numFmt w:val="bullet"/>
      <w:lvlText w:val="o"/>
      <w:lvlJc w:val="left"/>
      <w:pPr>
        <w:tabs>
          <w:tab w:val="num" w:pos="5760"/>
        </w:tabs>
        <w:ind w:left="5760" w:hanging="360"/>
      </w:pPr>
      <w:rPr>
        <w:rFonts w:ascii="Courier New" w:hAnsi="Courier New"/>
      </w:rPr>
    </w:lvl>
    <w:lvl w:ilvl="8" w:tplc="D6FC0CDC">
      <w:start w:val="1"/>
      <w:numFmt w:val="bullet"/>
      <w:lvlText w:val=""/>
      <w:lvlJc w:val="left"/>
      <w:pPr>
        <w:tabs>
          <w:tab w:val="num" w:pos="6480"/>
        </w:tabs>
        <w:ind w:left="6480" w:hanging="360"/>
      </w:pPr>
      <w:rPr>
        <w:rFonts w:ascii="Wingdings" w:hAnsi="Wingdings"/>
      </w:rPr>
    </w:lvl>
  </w:abstractNum>
  <w:abstractNum w:abstractNumId="80" w15:restartNumberingAfterBreak="0">
    <w:nsid w:val="72230512"/>
    <w:multiLevelType w:val="hybridMultilevel"/>
    <w:tmpl w:val="72230512"/>
    <w:lvl w:ilvl="0" w:tplc="B54222BC">
      <w:start w:val="1"/>
      <w:numFmt w:val="bullet"/>
      <w:lvlText w:val=""/>
      <w:lvlJc w:val="left"/>
      <w:pPr>
        <w:tabs>
          <w:tab w:val="num" w:pos="720"/>
        </w:tabs>
        <w:ind w:left="720" w:hanging="360"/>
      </w:pPr>
      <w:rPr>
        <w:rFonts w:ascii="Symbol" w:hAnsi="Symbol"/>
      </w:rPr>
    </w:lvl>
    <w:lvl w:ilvl="1" w:tplc="EDA459AA">
      <w:start w:val="1"/>
      <w:numFmt w:val="bullet"/>
      <w:lvlText w:val="o"/>
      <w:lvlJc w:val="left"/>
      <w:pPr>
        <w:tabs>
          <w:tab w:val="num" w:pos="1440"/>
        </w:tabs>
        <w:ind w:left="1440" w:hanging="360"/>
      </w:pPr>
      <w:rPr>
        <w:rFonts w:ascii="Courier New" w:hAnsi="Courier New"/>
      </w:rPr>
    </w:lvl>
    <w:lvl w:ilvl="2" w:tplc="50A2BCE8">
      <w:start w:val="1"/>
      <w:numFmt w:val="bullet"/>
      <w:lvlText w:val=""/>
      <w:lvlJc w:val="left"/>
      <w:pPr>
        <w:tabs>
          <w:tab w:val="num" w:pos="2160"/>
        </w:tabs>
        <w:ind w:left="2160" w:hanging="360"/>
      </w:pPr>
      <w:rPr>
        <w:rFonts w:ascii="Wingdings" w:hAnsi="Wingdings"/>
      </w:rPr>
    </w:lvl>
    <w:lvl w:ilvl="3" w:tplc="C18C8BF0">
      <w:start w:val="1"/>
      <w:numFmt w:val="bullet"/>
      <w:lvlText w:val=""/>
      <w:lvlJc w:val="left"/>
      <w:pPr>
        <w:tabs>
          <w:tab w:val="num" w:pos="2880"/>
        </w:tabs>
        <w:ind w:left="2880" w:hanging="360"/>
      </w:pPr>
      <w:rPr>
        <w:rFonts w:ascii="Symbol" w:hAnsi="Symbol"/>
      </w:rPr>
    </w:lvl>
    <w:lvl w:ilvl="4" w:tplc="04B4B126">
      <w:start w:val="1"/>
      <w:numFmt w:val="bullet"/>
      <w:lvlText w:val="o"/>
      <w:lvlJc w:val="left"/>
      <w:pPr>
        <w:tabs>
          <w:tab w:val="num" w:pos="3600"/>
        </w:tabs>
        <w:ind w:left="3600" w:hanging="360"/>
      </w:pPr>
      <w:rPr>
        <w:rFonts w:ascii="Courier New" w:hAnsi="Courier New"/>
      </w:rPr>
    </w:lvl>
    <w:lvl w:ilvl="5" w:tplc="923C922C">
      <w:start w:val="1"/>
      <w:numFmt w:val="bullet"/>
      <w:lvlText w:val=""/>
      <w:lvlJc w:val="left"/>
      <w:pPr>
        <w:tabs>
          <w:tab w:val="num" w:pos="4320"/>
        </w:tabs>
        <w:ind w:left="4320" w:hanging="360"/>
      </w:pPr>
      <w:rPr>
        <w:rFonts w:ascii="Wingdings" w:hAnsi="Wingdings"/>
      </w:rPr>
    </w:lvl>
    <w:lvl w:ilvl="6" w:tplc="16C03E42">
      <w:start w:val="1"/>
      <w:numFmt w:val="bullet"/>
      <w:lvlText w:val=""/>
      <w:lvlJc w:val="left"/>
      <w:pPr>
        <w:tabs>
          <w:tab w:val="num" w:pos="5040"/>
        </w:tabs>
        <w:ind w:left="5040" w:hanging="360"/>
      </w:pPr>
      <w:rPr>
        <w:rFonts w:ascii="Symbol" w:hAnsi="Symbol"/>
      </w:rPr>
    </w:lvl>
    <w:lvl w:ilvl="7" w:tplc="C5B44304">
      <w:start w:val="1"/>
      <w:numFmt w:val="bullet"/>
      <w:lvlText w:val="o"/>
      <w:lvlJc w:val="left"/>
      <w:pPr>
        <w:tabs>
          <w:tab w:val="num" w:pos="5760"/>
        </w:tabs>
        <w:ind w:left="5760" w:hanging="360"/>
      </w:pPr>
      <w:rPr>
        <w:rFonts w:ascii="Courier New" w:hAnsi="Courier New"/>
      </w:rPr>
    </w:lvl>
    <w:lvl w:ilvl="8" w:tplc="590C92C6">
      <w:start w:val="1"/>
      <w:numFmt w:val="bullet"/>
      <w:lvlText w:val=""/>
      <w:lvlJc w:val="left"/>
      <w:pPr>
        <w:tabs>
          <w:tab w:val="num" w:pos="6480"/>
        </w:tabs>
        <w:ind w:left="6480" w:hanging="360"/>
      </w:pPr>
      <w:rPr>
        <w:rFonts w:ascii="Wingdings" w:hAnsi="Wingdings"/>
      </w:rPr>
    </w:lvl>
  </w:abstractNum>
  <w:abstractNum w:abstractNumId="81" w15:restartNumberingAfterBreak="0">
    <w:nsid w:val="72230513"/>
    <w:multiLevelType w:val="hybridMultilevel"/>
    <w:tmpl w:val="72230513"/>
    <w:lvl w:ilvl="0" w:tplc="F54E47BC">
      <w:start w:val="1"/>
      <w:numFmt w:val="bullet"/>
      <w:lvlText w:val="o"/>
      <w:lvlJc w:val="left"/>
      <w:pPr>
        <w:ind w:left="720" w:hanging="360"/>
      </w:pPr>
      <w:rPr>
        <w:rFonts w:ascii="Courier New" w:hAnsi="Courier New"/>
      </w:rPr>
    </w:lvl>
    <w:lvl w:ilvl="1" w:tplc="500AFCA0">
      <w:start w:val="1"/>
      <w:numFmt w:val="bullet"/>
      <w:lvlText w:val="o"/>
      <w:lvlJc w:val="left"/>
      <w:pPr>
        <w:tabs>
          <w:tab w:val="num" w:pos="1440"/>
        </w:tabs>
        <w:ind w:left="1440" w:hanging="360"/>
      </w:pPr>
      <w:rPr>
        <w:rFonts w:ascii="Courier New" w:hAnsi="Courier New"/>
      </w:rPr>
    </w:lvl>
    <w:lvl w:ilvl="2" w:tplc="2116D574">
      <w:start w:val="1"/>
      <w:numFmt w:val="bullet"/>
      <w:lvlText w:val=""/>
      <w:lvlJc w:val="left"/>
      <w:pPr>
        <w:tabs>
          <w:tab w:val="num" w:pos="2160"/>
        </w:tabs>
        <w:ind w:left="2160" w:hanging="360"/>
      </w:pPr>
      <w:rPr>
        <w:rFonts w:ascii="Wingdings" w:hAnsi="Wingdings"/>
      </w:rPr>
    </w:lvl>
    <w:lvl w:ilvl="3" w:tplc="84EE0028">
      <w:start w:val="1"/>
      <w:numFmt w:val="bullet"/>
      <w:lvlText w:val=""/>
      <w:lvlJc w:val="left"/>
      <w:pPr>
        <w:tabs>
          <w:tab w:val="num" w:pos="2880"/>
        </w:tabs>
        <w:ind w:left="2880" w:hanging="360"/>
      </w:pPr>
      <w:rPr>
        <w:rFonts w:ascii="Symbol" w:hAnsi="Symbol"/>
      </w:rPr>
    </w:lvl>
    <w:lvl w:ilvl="4" w:tplc="6B2AC68E">
      <w:start w:val="1"/>
      <w:numFmt w:val="bullet"/>
      <w:lvlText w:val="o"/>
      <w:lvlJc w:val="left"/>
      <w:pPr>
        <w:tabs>
          <w:tab w:val="num" w:pos="3600"/>
        </w:tabs>
        <w:ind w:left="3600" w:hanging="360"/>
      </w:pPr>
      <w:rPr>
        <w:rFonts w:ascii="Courier New" w:hAnsi="Courier New"/>
      </w:rPr>
    </w:lvl>
    <w:lvl w:ilvl="5" w:tplc="DE1C6276">
      <w:start w:val="1"/>
      <w:numFmt w:val="bullet"/>
      <w:lvlText w:val=""/>
      <w:lvlJc w:val="left"/>
      <w:pPr>
        <w:tabs>
          <w:tab w:val="num" w:pos="4320"/>
        </w:tabs>
        <w:ind w:left="4320" w:hanging="360"/>
      </w:pPr>
      <w:rPr>
        <w:rFonts w:ascii="Wingdings" w:hAnsi="Wingdings"/>
      </w:rPr>
    </w:lvl>
    <w:lvl w:ilvl="6" w:tplc="9EEC5F00">
      <w:start w:val="1"/>
      <w:numFmt w:val="bullet"/>
      <w:lvlText w:val=""/>
      <w:lvlJc w:val="left"/>
      <w:pPr>
        <w:tabs>
          <w:tab w:val="num" w:pos="5040"/>
        </w:tabs>
        <w:ind w:left="5040" w:hanging="360"/>
      </w:pPr>
      <w:rPr>
        <w:rFonts w:ascii="Symbol" w:hAnsi="Symbol"/>
      </w:rPr>
    </w:lvl>
    <w:lvl w:ilvl="7" w:tplc="1A3E107C">
      <w:start w:val="1"/>
      <w:numFmt w:val="bullet"/>
      <w:lvlText w:val="o"/>
      <w:lvlJc w:val="left"/>
      <w:pPr>
        <w:tabs>
          <w:tab w:val="num" w:pos="5760"/>
        </w:tabs>
        <w:ind w:left="5760" w:hanging="360"/>
      </w:pPr>
      <w:rPr>
        <w:rFonts w:ascii="Courier New" w:hAnsi="Courier New"/>
      </w:rPr>
    </w:lvl>
    <w:lvl w:ilvl="8" w:tplc="E15E4E9C">
      <w:start w:val="1"/>
      <w:numFmt w:val="bullet"/>
      <w:lvlText w:val=""/>
      <w:lvlJc w:val="left"/>
      <w:pPr>
        <w:tabs>
          <w:tab w:val="num" w:pos="6480"/>
        </w:tabs>
        <w:ind w:left="6480" w:hanging="360"/>
      </w:pPr>
      <w:rPr>
        <w:rFonts w:ascii="Wingdings" w:hAnsi="Wingdings"/>
      </w:rPr>
    </w:lvl>
  </w:abstractNum>
  <w:abstractNum w:abstractNumId="82" w15:restartNumberingAfterBreak="0">
    <w:nsid w:val="72230514"/>
    <w:multiLevelType w:val="hybridMultilevel"/>
    <w:tmpl w:val="72230514"/>
    <w:lvl w:ilvl="0" w:tplc="3CD889E2">
      <w:start w:val="1"/>
      <w:numFmt w:val="bullet"/>
      <w:lvlText w:val="o"/>
      <w:lvlJc w:val="left"/>
      <w:pPr>
        <w:ind w:left="720" w:hanging="360"/>
      </w:pPr>
      <w:rPr>
        <w:rFonts w:ascii="Courier New" w:hAnsi="Courier New"/>
      </w:rPr>
    </w:lvl>
    <w:lvl w:ilvl="1" w:tplc="2DEE6158">
      <w:start w:val="1"/>
      <w:numFmt w:val="bullet"/>
      <w:lvlText w:val="o"/>
      <w:lvlJc w:val="left"/>
      <w:pPr>
        <w:tabs>
          <w:tab w:val="num" w:pos="1440"/>
        </w:tabs>
        <w:ind w:left="1440" w:hanging="360"/>
      </w:pPr>
      <w:rPr>
        <w:rFonts w:ascii="Courier New" w:hAnsi="Courier New"/>
      </w:rPr>
    </w:lvl>
    <w:lvl w:ilvl="2" w:tplc="06B46F02">
      <w:start w:val="1"/>
      <w:numFmt w:val="bullet"/>
      <w:lvlText w:val=""/>
      <w:lvlJc w:val="left"/>
      <w:pPr>
        <w:tabs>
          <w:tab w:val="num" w:pos="2160"/>
        </w:tabs>
        <w:ind w:left="2160" w:hanging="360"/>
      </w:pPr>
      <w:rPr>
        <w:rFonts w:ascii="Wingdings" w:hAnsi="Wingdings"/>
      </w:rPr>
    </w:lvl>
    <w:lvl w:ilvl="3" w:tplc="3D6E25EA">
      <w:start w:val="1"/>
      <w:numFmt w:val="bullet"/>
      <w:lvlText w:val=""/>
      <w:lvlJc w:val="left"/>
      <w:pPr>
        <w:tabs>
          <w:tab w:val="num" w:pos="2880"/>
        </w:tabs>
        <w:ind w:left="2880" w:hanging="360"/>
      </w:pPr>
      <w:rPr>
        <w:rFonts w:ascii="Symbol" w:hAnsi="Symbol"/>
      </w:rPr>
    </w:lvl>
    <w:lvl w:ilvl="4" w:tplc="05387E04">
      <w:start w:val="1"/>
      <w:numFmt w:val="bullet"/>
      <w:lvlText w:val="o"/>
      <w:lvlJc w:val="left"/>
      <w:pPr>
        <w:tabs>
          <w:tab w:val="num" w:pos="3600"/>
        </w:tabs>
        <w:ind w:left="3600" w:hanging="360"/>
      </w:pPr>
      <w:rPr>
        <w:rFonts w:ascii="Courier New" w:hAnsi="Courier New"/>
      </w:rPr>
    </w:lvl>
    <w:lvl w:ilvl="5" w:tplc="D8640DA8">
      <w:start w:val="1"/>
      <w:numFmt w:val="bullet"/>
      <w:lvlText w:val=""/>
      <w:lvlJc w:val="left"/>
      <w:pPr>
        <w:tabs>
          <w:tab w:val="num" w:pos="4320"/>
        </w:tabs>
        <w:ind w:left="4320" w:hanging="360"/>
      </w:pPr>
      <w:rPr>
        <w:rFonts w:ascii="Wingdings" w:hAnsi="Wingdings"/>
      </w:rPr>
    </w:lvl>
    <w:lvl w:ilvl="6" w:tplc="48AC70E4">
      <w:start w:val="1"/>
      <w:numFmt w:val="bullet"/>
      <w:lvlText w:val=""/>
      <w:lvlJc w:val="left"/>
      <w:pPr>
        <w:tabs>
          <w:tab w:val="num" w:pos="5040"/>
        </w:tabs>
        <w:ind w:left="5040" w:hanging="360"/>
      </w:pPr>
      <w:rPr>
        <w:rFonts w:ascii="Symbol" w:hAnsi="Symbol"/>
      </w:rPr>
    </w:lvl>
    <w:lvl w:ilvl="7" w:tplc="4A3C5B22">
      <w:start w:val="1"/>
      <w:numFmt w:val="bullet"/>
      <w:lvlText w:val="o"/>
      <w:lvlJc w:val="left"/>
      <w:pPr>
        <w:tabs>
          <w:tab w:val="num" w:pos="5760"/>
        </w:tabs>
        <w:ind w:left="5760" w:hanging="360"/>
      </w:pPr>
      <w:rPr>
        <w:rFonts w:ascii="Courier New" w:hAnsi="Courier New"/>
      </w:rPr>
    </w:lvl>
    <w:lvl w:ilvl="8" w:tplc="7A941A86">
      <w:start w:val="1"/>
      <w:numFmt w:val="bullet"/>
      <w:lvlText w:val=""/>
      <w:lvlJc w:val="left"/>
      <w:pPr>
        <w:tabs>
          <w:tab w:val="num" w:pos="6480"/>
        </w:tabs>
        <w:ind w:left="6480" w:hanging="360"/>
      </w:pPr>
      <w:rPr>
        <w:rFonts w:ascii="Wingdings" w:hAnsi="Wingdings"/>
      </w:rPr>
    </w:lvl>
  </w:abstractNum>
  <w:abstractNum w:abstractNumId="83" w15:restartNumberingAfterBreak="0">
    <w:nsid w:val="72230515"/>
    <w:multiLevelType w:val="hybridMultilevel"/>
    <w:tmpl w:val="72230515"/>
    <w:lvl w:ilvl="0" w:tplc="EF787982">
      <w:start w:val="1"/>
      <w:numFmt w:val="bullet"/>
      <w:lvlText w:val=""/>
      <w:lvlJc w:val="left"/>
      <w:pPr>
        <w:tabs>
          <w:tab w:val="num" w:pos="720"/>
        </w:tabs>
        <w:ind w:left="720" w:hanging="360"/>
      </w:pPr>
      <w:rPr>
        <w:rFonts w:ascii="Symbol" w:hAnsi="Symbol"/>
      </w:rPr>
    </w:lvl>
    <w:lvl w:ilvl="1" w:tplc="15B2A27E">
      <w:start w:val="1"/>
      <w:numFmt w:val="bullet"/>
      <w:lvlText w:val="o"/>
      <w:lvlJc w:val="left"/>
      <w:pPr>
        <w:tabs>
          <w:tab w:val="num" w:pos="1440"/>
        </w:tabs>
        <w:ind w:left="1440" w:hanging="360"/>
      </w:pPr>
      <w:rPr>
        <w:rFonts w:ascii="Courier New" w:hAnsi="Courier New"/>
      </w:rPr>
    </w:lvl>
    <w:lvl w:ilvl="2" w:tplc="5A14383C">
      <w:start w:val="1"/>
      <w:numFmt w:val="bullet"/>
      <w:lvlText w:val=""/>
      <w:lvlJc w:val="left"/>
      <w:pPr>
        <w:tabs>
          <w:tab w:val="num" w:pos="2160"/>
        </w:tabs>
        <w:ind w:left="2160" w:hanging="360"/>
      </w:pPr>
      <w:rPr>
        <w:rFonts w:ascii="Wingdings" w:hAnsi="Wingdings"/>
      </w:rPr>
    </w:lvl>
    <w:lvl w:ilvl="3" w:tplc="C2FCE480">
      <w:start w:val="1"/>
      <w:numFmt w:val="bullet"/>
      <w:lvlText w:val=""/>
      <w:lvlJc w:val="left"/>
      <w:pPr>
        <w:tabs>
          <w:tab w:val="num" w:pos="2880"/>
        </w:tabs>
        <w:ind w:left="2880" w:hanging="360"/>
      </w:pPr>
      <w:rPr>
        <w:rFonts w:ascii="Symbol" w:hAnsi="Symbol"/>
      </w:rPr>
    </w:lvl>
    <w:lvl w:ilvl="4" w:tplc="8B8ACC50">
      <w:start w:val="1"/>
      <w:numFmt w:val="bullet"/>
      <w:lvlText w:val="o"/>
      <w:lvlJc w:val="left"/>
      <w:pPr>
        <w:tabs>
          <w:tab w:val="num" w:pos="3600"/>
        </w:tabs>
        <w:ind w:left="3600" w:hanging="360"/>
      </w:pPr>
      <w:rPr>
        <w:rFonts w:ascii="Courier New" w:hAnsi="Courier New"/>
      </w:rPr>
    </w:lvl>
    <w:lvl w:ilvl="5" w:tplc="8F12181C">
      <w:start w:val="1"/>
      <w:numFmt w:val="bullet"/>
      <w:lvlText w:val=""/>
      <w:lvlJc w:val="left"/>
      <w:pPr>
        <w:tabs>
          <w:tab w:val="num" w:pos="4320"/>
        </w:tabs>
        <w:ind w:left="4320" w:hanging="360"/>
      </w:pPr>
      <w:rPr>
        <w:rFonts w:ascii="Wingdings" w:hAnsi="Wingdings"/>
      </w:rPr>
    </w:lvl>
    <w:lvl w:ilvl="6" w:tplc="458C6DBC">
      <w:start w:val="1"/>
      <w:numFmt w:val="bullet"/>
      <w:lvlText w:val=""/>
      <w:lvlJc w:val="left"/>
      <w:pPr>
        <w:tabs>
          <w:tab w:val="num" w:pos="5040"/>
        </w:tabs>
        <w:ind w:left="5040" w:hanging="360"/>
      </w:pPr>
      <w:rPr>
        <w:rFonts w:ascii="Symbol" w:hAnsi="Symbol"/>
      </w:rPr>
    </w:lvl>
    <w:lvl w:ilvl="7" w:tplc="2404190E">
      <w:start w:val="1"/>
      <w:numFmt w:val="bullet"/>
      <w:lvlText w:val="o"/>
      <w:lvlJc w:val="left"/>
      <w:pPr>
        <w:tabs>
          <w:tab w:val="num" w:pos="5760"/>
        </w:tabs>
        <w:ind w:left="5760" w:hanging="360"/>
      </w:pPr>
      <w:rPr>
        <w:rFonts w:ascii="Courier New" w:hAnsi="Courier New"/>
      </w:rPr>
    </w:lvl>
    <w:lvl w:ilvl="8" w:tplc="7DDCDD8C">
      <w:start w:val="1"/>
      <w:numFmt w:val="bullet"/>
      <w:lvlText w:val=""/>
      <w:lvlJc w:val="left"/>
      <w:pPr>
        <w:tabs>
          <w:tab w:val="num" w:pos="6480"/>
        </w:tabs>
        <w:ind w:left="6480" w:hanging="360"/>
      </w:pPr>
      <w:rPr>
        <w:rFonts w:ascii="Wingdings" w:hAnsi="Wingdings"/>
      </w:rPr>
    </w:lvl>
  </w:abstractNum>
  <w:abstractNum w:abstractNumId="84" w15:restartNumberingAfterBreak="0">
    <w:nsid w:val="72230516"/>
    <w:multiLevelType w:val="hybridMultilevel"/>
    <w:tmpl w:val="72230516"/>
    <w:lvl w:ilvl="0" w:tplc="6BF4DB94">
      <w:start w:val="1"/>
      <w:numFmt w:val="bullet"/>
      <w:lvlText w:val=""/>
      <w:lvlJc w:val="left"/>
      <w:pPr>
        <w:tabs>
          <w:tab w:val="num" w:pos="720"/>
        </w:tabs>
        <w:ind w:left="720" w:hanging="360"/>
      </w:pPr>
      <w:rPr>
        <w:rFonts w:ascii="Symbol" w:hAnsi="Symbol"/>
      </w:rPr>
    </w:lvl>
    <w:lvl w:ilvl="1" w:tplc="5890F1B2">
      <w:start w:val="1"/>
      <w:numFmt w:val="bullet"/>
      <w:lvlText w:val="o"/>
      <w:lvlJc w:val="left"/>
      <w:pPr>
        <w:tabs>
          <w:tab w:val="num" w:pos="1440"/>
        </w:tabs>
        <w:ind w:left="1440" w:hanging="360"/>
      </w:pPr>
      <w:rPr>
        <w:rFonts w:ascii="Courier New" w:hAnsi="Courier New"/>
      </w:rPr>
    </w:lvl>
    <w:lvl w:ilvl="2" w:tplc="E440EF80">
      <w:start w:val="1"/>
      <w:numFmt w:val="bullet"/>
      <w:lvlText w:val=""/>
      <w:lvlJc w:val="left"/>
      <w:pPr>
        <w:tabs>
          <w:tab w:val="num" w:pos="2160"/>
        </w:tabs>
        <w:ind w:left="2160" w:hanging="360"/>
      </w:pPr>
      <w:rPr>
        <w:rFonts w:ascii="Wingdings" w:hAnsi="Wingdings"/>
      </w:rPr>
    </w:lvl>
    <w:lvl w:ilvl="3" w:tplc="B562FF1C">
      <w:start w:val="1"/>
      <w:numFmt w:val="bullet"/>
      <w:lvlText w:val=""/>
      <w:lvlJc w:val="left"/>
      <w:pPr>
        <w:tabs>
          <w:tab w:val="num" w:pos="2880"/>
        </w:tabs>
        <w:ind w:left="2880" w:hanging="360"/>
      </w:pPr>
      <w:rPr>
        <w:rFonts w:ascii="Symbol" w:hAnsi="Symbol"/>
      </w:rPr>
    </w:lvl>
    <w:lvl w:ilvl="4" w:tplc="5FA48E08">
      <w:start w:val="1"/>
      <w:numFmt w:val="bullet"/>
      <w:lvlText w:val="o"/>
      <w:lvlJc w:val="left"/>
      <w:pPr>
        <w:tabs>
          <w:tab w:val="num" w:pos="3600"/>
        </w:tabs>
        <w:ind w:left="3600" w:hanging="360"/>
      </w:pPr>
      <w:rPr>
        <w:rFonts w:ascii="Courier New" w:hAnsi="Courier New"/>
      </w:rPr>
    </w:lvl>
    <w:lvl w:ilvl="5" w:tplc="5E82FEBA">
      <w:start w:val="1"/>
      <w:numFmt w:val="bullet"/>
      <w:lvlText w:val=""/>
      <w:lvlJc w:val="left"/>
      <w:pPr>
        <w:tabs>
          <w:tab w:val="num" w:pos="4320"/>
        </w:tabs>
        <w:ind w:left="4320" w:hanging="360"/>
      </w:pPr>
      <w:rPr>
        <w:rFonts w:ascii="Wingdings" w:hAnsi="Wingdings"/>
      </w:rPr>
    </w:lvl>
    <w:lvl w:ilvl="6" w:tplc="E496D818">
      <w:start w:val="1"/>
      <w:numFmt w:val="bullet"/>
      <w:lvlText w:val=""/>
      <w:lvlJc w:val="left"/>
      <w:pPr>
        <w:tabs>
          <w:tab w:val="num" w:pos="5040"/>
        </w:tabs>
        <w:ind w:left="5040" w:hanging="360"/>
      </w:pPr>
      <w:rPr>
        <w:rFonts w:ascii="Symbol" w:hAnsi="Symbol"/>
      </w:rPr>
    </w:lvl>
    <w:lvl w:ilvl="7" w:tplc="96B88A48">
      <w:start w:val="1"/>
      <w:numFmt w:val="bullet"/>
      <w:lvlText w:val="o"/>
      <w:lvlJc w:val="left"/>
      <w:pPr>
        <w:tabs>
          <w:tab w:val="num" w:pos="5760"/>
        </w:tabs>
        <w:ind w:left="5760" w:hanging="360"/>
      </w:pPr>
      <w:rPr>
        <w:rFonts w:ascii="Courier New" w:hAnsi="Courier New"/>
      </w:rPr>
    </w:lvl>
    <w:lvl w:ilvl="8" w:tplc="8960CC68">
      <w:start w:val="1"/>
      <w:numFmt w:val="bullet"/>
      <w:lvlText w:val=""/>
      <w:lvlJc w:val="left"/>
      <w:pPr>
        <w:tabs>
          <w:tab w:val="num" w:pos="6480"/>
        </w:tabs>
        <w:ind w:left="6480" w:hanging="360"/>
      </w:pPr>
      <w:rPr>
        <w:rFonts w:ascii="Wingdings" w:hAnsi="Wingdings"/>
      </w:rPr>
    </w:lvl>
  </w:abstractNum>
  <w:abstractNum w:abstractNumId="85" w15:restartNumberingAfterBreak="0">
    <w:nsid w:val="72230517"/>
    <w:multiLevelType w:val="hybridMultilevel"/>
    <w:tmpl w:val="72230517"/>
    <w:lvl w:ilvl="0" w:tplc="481CA738">
      <w:start w:val="1"/>
      <w:numFmt w:val="bullet"/>
      <w:lvlText w:val=""/>
      <w:lvlJc w:val="left"/>
      <w:pPr>
        <w:tabs>
          <w:tab w:val="num" w:pos="720"/>
        </w:tabs>
        <w:ind w:left="720" w:hanging="360"/>
      </w:pPr>
      <w:rPr>
        <w:rFonts w:ascii="Symbol" w:hAnsi="Symbol"/>
      </w:rPr>
    </w:lvl>
    <w:lvl w:ilvl="1" w:tplc="A6D8296C">
      <w:start w:val="1"/>
      <w:numFmt w:val="bullet"/>
      <w:lvlText w:val="o"/>
      <w:lvlJc w:val="left"/>
      <w:pPr>
        <w:tabs>
          <w:tab w:val="num" w:pos="1440"/>
        </w:tabs>
        <w:ind w:left="1440" w:hanging="360"/>
      </w:pPr>
      <w:rPr>
        <w:rFonts w:ascii="Courier New" w:hAnsi="Courier New"/>
      </w:rPr>
    </w:lvl>
    <w:lvl w:ilvl="2" w:tplc="69D0EE78">
      <w:start w:val="1"/>
      <w:numFmt w:val="bullet"/>
      <w:lvlText w:val=""/>
      <w:lvlJc w:val="left"/>
      <w:pPr>
        <w:tabs>
          <w:tab w:val="num" w:pos="2160"/>
        </w:tabs>
        <w:ind w:left="2160" w:hanging="360"/>
      </w:pPr>
      <w:rPr>
        <w:rFonts w:ascii="Wingdings" w:hAnsi="Wingdings"/>
      </w:rPr>
    </w:lvl>
    <w:lvl w:ilvl="3" w:tplc="109C7658">
      <w:start w:val="1"/>
      <w:numFmt w:val="bullet"/>
      <w:lvlText w:val=""/>
      <w:lvlJc w:val="left"/>
      <w:pPr>
        <w:tabs>
          <w:tab w:val="num" w:pos="2880"/>
        </w:tabs>
        <w:ind w:left="2880" w:hanging="360"/>
      </w:pPr>
      <w:rPr>
        <w:rFonts w:ascii="Symbol" w:hAnsi="Symbol"/>
      </w:rPr>
    </w:lvl>
    <w:lvl w:ilvl="4" w:tplc="7D54A240">
      <w:start w:val="1"/>
      <w:numFmt w:val="bullet"/>
      <w:lvlText w:val="o"/>
      <w:lvlJc w:val="left"/>
      <w:pPr>
        <w:tabs>
          <w:tab w:val="num" w:pos="3600"/>
        </w:tabs>
        <w:ind w:left="3600" w:hanging="360"/>
      </w:pPr>
      <w:rPr>
        <w:rFonts w:ascii="Courier New" w:hAnsi="Courier New"/>
      </w:rPr>
    </w:lvl>
    <w:lvl w:ilvl="5" w:tplc="F2183C82">
      <w:start w:val="1"/>
      <w:numFmt w:val="bullet"/>
      <w:lvlText w:val=""/>
      <w:lvlJc w:val="left"/>
      <w:pPr>
        <w:tabs>
          <w:tab w:val="num" w:pos="4320"/>
        </w:tabs>
        <w:ind w:left="4320" w:hanging="360"/>
      </w:pPr>
      <w:rPr>
        <w:rFonts w:ascii="Wingdings" w:hAnsi="Wingdings"/>
      </w:rPr>
    </w:lvl>
    <w:lvl w:ilvl="6" w:tplc="9E2ECD4C">
      <w:start w:val="1"/>
      <w:numFmt w:val="bullet"/>
      <w:lvlText w:val=""/>
      <w:lvlJc w:val="left"/>
      <w:pPr>
        <w:tabs>
          <w:tab w:val="num" w:pos="5040"/>
        </w:tabs>
        <w:ind w:left="5040" w:hanging="360"/>
      </w:pPr>
      <w:rPr>
        <w:rFonts w:ascii="Symbol" w:hAnsi="Symbol"/>
      </w:rPr>
    </w:lvl>
    <w:lvl w:ilvl="7" w:tplc="65B67076">
      <w:start w:val="1"/>
      <w:numFmt w:val="bullet"/>
      <w:lvlText w:val="o"/>
      <w:lvlJc w:val="left"/>
      <w:pPr>
        <w:tabs>
          <w:tab w:val="num" w:pos="5760"/>
        </w:tabs>
        <w:ind w:left="5760" w:hanging="360"/>
      </w:pPr>
      <w:rPr>
        <w:rFonts w:ascii="Courier New" w:hAnsi="Courier New"/>
      </w:rPr>
    </w:lvl>
    <w:lvl w:ilvl="8" w:tplc="D8283962">
      <w:start w:val="1"/>
      <w:numFmt w:val="bullet"/>
      <w:lvlText w:val=""/>
      <w:lvlJc w:val="left"/>
      <w:pPr>
        <w:tabs>
          <w:tab w:val="num" w:pos="6480"/>
        </w:tabs>
        <w:ind w:left="6480" w:hanging="360"/>
      </w:pPr>
      <w:rPr>
        <w:rFonts w:ascii="Wingdings" w:hAnsi="Wingdings"/>
      </w:rPr>
    </w:lvl>
  </w:abstractNum>
  <w:abstractNum w:abstractNumId="86" w15:restartNumberingAfterBreak="0">
    <w:nsid w:val="72230518"/>
    <w:multiLevelType w:val="hybridMultilevel"/>
    <w:tmpl w:val="72230518"/>
    <w:lvl w:ilvl="0" w:tplc="B6F41D5A">
      <w:start w:val="1"/>
      <w:numFmt w:val="bullet"/>
      <w:lvlText w:val=""/>
      <w:lvlJc w:val="left"/>
      <w:pPr>
        <w:tabs>
          <w:tab w:val="num" w:pos="720"/>
        </w:tabs>
        <w:ind w:left="720" w:hanging="360"/>
      </w:pPr>
      <w:rPr>
        <w:rFonts w:ascii="Symbol" w:hAnsi="Symbol"/>
      </w:rPr>
    </w:lvl>
    <w:lvl w:ilvl="1" w:tplc="8440F4D0">
      <w:start w:val="1"/>
      <w:numFmt w:val="bullet"/>
      <w:lvlText w:val="o"/>
      <w:lvlJc w:val="left"/>
      <w:pPr>
        <w:tabs>
          <w:tab w:val="num" w:pos="1440"/>
        </w:tabs>
        <w:ind w:left="1440" w:hanging="360"/>
      </w:pPr>
      <w:rPr>
        <w:rFonts w:ascii="Courier New" w:hAnsi="Courier New"/>
      </w:rPr>
    </w:lvl>
    <w:lvl w:ilvl="2" w:tplc="74DEE9EE">
      <w:start w:val="1"/>
      <w:numFmt w:val="bullet"/>
      <w:lvlText w:val=""/>
      <w:lvlJc w:val="left"/>
      <w:pPr>
        <w:tabs>
          <w:tab w:val="num" w:pos="2160"/>
        </w:tabs>
        <w:ind w:left="2160" w:hanging="360"/>
      </w:pPr>
      <w:rPr>
        <w:rFonts w:ascii="Wingdings" w:hAnsi="Wingdings"/>
      </w:rPr>
    </w:lvl>
    <w:lvl w:ilvl="3" w:tplc="0A444BE8">
      <w:start w:val="1"/>
      <w:numFmt w:val="bullet"/>
      <w:lvlText w:val=""/>
      <w:lvlJc w:val="left"/>
      <w:pPr>
        <w:tabs>
          <w:tab w:val="num" w:pos="2880"/>
        </w:tabs>
        <w:ind w:left="2880" w:hanging="360"/>
      </w:pPr>
      <w:rPr>
        <w:rFonts w:ascii="Symbol" w:hAnsi="Symbol"/>
      </w:rPr>
    </w:lvl>
    <w:lvl w:ilvl="4" w:tplc="5DA0571A">
      <w:start w:val="1"/>
      <w:numFmt w:val="bullet"/>
      <w:lvlText w:val="o"/>
      <w:lvlJc w:val="left"/>
      <w:pPr>
        <w:tabs>
          <w:tab w:val="num" w:pos="3600"/>
        </w:tabs>
        <w:ind w:left="3600" w:hanging="360"/>
      </w:pPr>
      <w:rPr>
        <w:rFonts w:ascii="Courier New" w:hAnsi="Courier New"/>
      </w:rPr>
    </w:lvl>
    <w:lvl w:ilvl="5" w:tplc="153288F6">
      <w:start w:val="1"/>
      <w:numFmt w:val="bullet"/>
      <w:lvlText w:val=""/>
      <w:lvlJc w:val="left"/>
      <w:pPr>
        <w:tabs>
          <w:tab w:val="num" w:pos="4320"/>
        </w:tabs>
        <w:ind w:left="4320" w:hanging="360"/>
      </w:pPr>
      <w:rPr>
        <w:rFonts w:ascii="Wingdings" w:hAnsi="Wingdings"/>
      </w:rPr>
    </w:lvl>
    <w:lvl w:ilvl="6" w:tplc="E638B28E">
      <w:start w:val="1"/>
      <w:numFmt w:val="bullet"/>
      <w:lvlText w:val=""/>
      <w:lvlJc w:val="left"/>
      <w:pPr>
        <w:tabs>
          <w:tab w:val="num" w:pos="5040"/>
        </w:tabs>
        <w:ind w:left="5040" w:hanging="360"/>
      </w:pPr>
      <w:rPr>
        <w:rFonts w:ascii="Symbol" w:hAnsi="Symbol"/>
      </w:rPr>
    </w:lvl>
    <w:lvl w:ilvl="7" w:tplc="A4CEEE3C">
      <w:start w:val="1"/>
      <w:numFmt w:val="bullet"/>
      <w:lvlText w:val="o"/>
      <w:lvlJc w:val="left"/>
      <w:pPr>
        <w:tabs>
          <w:tab w:val="num" w:pos="5760"/>
        </w:tabs>
        <w:ind w:left="5760" w:hanging="360"/>
      </w:pPr>
      <w:rPr>
        <w:rFonts w:ascii="Courier New" w:hAnsi="Courier New"/>
      </w:rPr>
    </w:lvl>
    <w:lvl w:ilvl="8" w:tplc="F5C2CC34">
      <w:start w:val="1"/>
      <w:numFmt w:val="bullet"/>
      <w:lvlText w:val=""/>
      <w:lvlJc w:val="left"/>
      <w:pPr>
        <w:tabs>
          <w:tab w:val="num" w:pos="6480"/>
        </w:tabs>
        <w:ind w:left="6480" w:hanging="360"/>
      </w:pPr>
      <w:rPr>
        <w:rFonts w:ascii="Wingdings" w:hAnsi="Wingdings"/>
      </w:rPr>
    </w:lvl>
  </w:abstractNum>
  <w:abstractNum w:abstractNumId="87" w15:restartNumberingAfterBreak="0">
    <w:nsid w:val="72230519"/>
    <w:multiLevelType w:val="hybridMultilevel"/>
    <w:tmpl w:val="72230519"/>
    <w:lvl w:ilvl="0" w:tplc="7638ADC4">
      <w:start w:val="1"/>
      <w:numFmt w:val="bullet"/>
      <w:lvlText w:val=""/>
      <w:lvlJc w:val="left"/>
      <w:pPr>
        <w:ind w:left="720" w:hanging="360"/>
      </w:pPr>
      <w:rPr>
        <w:rFonts w:ascii="Symbol" w:hAnsi="Symbol"/>
      </w:rPr>
    </w:lvl>
    <w:lvl w:ilvl="1" w:tplc="AFBE9656">
      <w:start w:val="1"/>
      <w:numFmt w:val="bullet"/>
      <w:lvlText w:val="o"/>
      <w:lvlJc w:val="left"/>
      <w:pPr>
        <w:tabs>
          <w:tab w:val="num" w:pos="1440"/>
        </w:tabs>
        <w:ind w:left="1440" w:hanging="360"/>
      </w:pPr>
      <w:rPr>
        <w:rFonts w:ascii="Courier New" w:hAnsi="Courier New"/>
      </w:rPr>
    </w:lvl>
    <w:lvl w:ilvl="2" w:tplc="D34EF7B6">
      <w:start w:val="1"/>
      <w:numFmt w:val="bullet"/>
      <w:lvlText w:val=""/>
      <w:lvlJc w:val="left"/>
      <w:pPr>
        <w:tabs>
          <w:tab w:val="num" w:pos="2160"/>
        </w:tabs>
        <w:ind w:left="2160" w:hanging="360"/>
      </w:pPr>
      <w:rPr>
        <w:rFonts w:ascii="Wingdings" w:hAnsi="Wingdings"/>
      </w:rPr>
    </w:lvl>
    <w:lvl w:ilvl="3" w:tplc="CD6E6FAE">
      <w:start w:val="1"/>
      <w:numFmt w:val="bullet"/>
      <w:lvlText w:val=""/>
      <w:lvlJc w:val="left"/>
      <w:pPr>
        <w:tabs>
          <w:tab w:val="num" w:pos="2880"/>
        </w:tabs>
        <w:ind w:left="2880" w:hanging="360"/>
      </w:pPr>
      <w:rPr>
        <w:rFonts w:ascii="Symbol" w:hAnsi="Symbol"/>
      </w:rPr>
    </w:lvl>
    <w:lvl w:ilvl="4" w:tplc="DE18F878">
      <w:start w:val="1"/>
      <w:numFmt w:val="bullet"/>
      <w:lvlText w:val="o"/>
      <w:lvlJc w:val="left"/>
      <w:pPr>
        <w:tabs>
          <w:tab w:val="num" w:pos="3600"/>
        </w:tabs>
        <w:ind w:left="3600" w:hanging="360"/>
      </w:pPr>
      <w:rPr>
        <w:rFonts w:ascii="Courier New" w:hAnsi="Courier New"/>
      </w:rPr>
    </w:lvl>
    <w:lvl w:ilvl="5" w:tplc="B4C455EE">
      <w:start w:val="1"/>
      <w:numFmt w:val="bullet"/>
      <w:lvlText w:val=""/>
      <w:lvlJc w:val="left"/>
      <w:pPr>
        <w:tabs>
          <w:tab w:val="num" w:pos="4320"/>
        </w:tabs>
        <w:ind w:left="4320" w:hanging="360"/>
      </w:pPr>
      <w:rPr>
        <w:rFonts w:ascii="Wingdings" w:hAnsi="Wingdings"/>
      </w:rPr>
    </w:lvl>
    <w:lvl w:ilvl="6" w:tplc="0F544FF4">
      <w:start w:val="1"/>
      <w:numFmt w:val="bullet"/>
      <w:lvlText w:val=""/>
      <w:lvlJc w:val="left"/>
      <w:pPr>
        <w:tabs>
          <w:tab w:val="num" w:pos="5040"/>
        </w:tabs>
        <w:ind w:left="5040" w:hanging="360"/>
      </w:pPr>
      <w:rPr>
        <w:rFonts w:ascii="Symbol" w:hAnsi="Symbol"/>
      </w:rPr>
    </w:lvl>
    <w:lvl w:ilvl="7" w:tplc="CB481D08">
      <w:start w:val="1"/>
      <w:numFmt w:val="bullet"/>
      <w:lvlText w:val="o"/>
      <w:lvlJc w:val="left"/>
      <w:pPr>
        <w:tabs>
          <w:tab w:val="num" w:pos="5760"/>
        </w:tabs>
        <w:ind w:left="5760" w:hanging="360"/>
      </w:pPr>
      <w:rPr>
        <w:rFonts w:ascii="Courier New" w:hAnsi="Courier New"/>
      </w:rPr>
    </w:lvl>
    <w:lvl w:ilvl="8" w:tplc="11DCA99E">
      <w:start w:val="1"/>
      <w:numFmt w:val="bullet"/>
      <w:lvlText w:val=""/>
      <w:lvlJc w:val="left"/>
      <w:pPr>
        <w:tabs>
          <w:tab w:val="num" w:pos="6480"/>
        </w:tabs>
        <w:ind w:left="6480" w:hanging="360"/>
      </w:pPr>
      <w:rPr>
        <w:rFonts w:ascii="Wingdings" w:hAnsi="Wingdings"/>
      </w:rPr>
    </w:lvl>
  </w:abstractNum>
  <w:abstractNum w:abstractNumId="88" w15:restartNumberingAfterBreak="0">
    <w:nsid w:val="7223051A"/>
    <w:multiLevelType w:val="hybridMultilevel"/>
    <w:tmpl w:val="7223051A"/>
    <w:lvl w:ilvl="0" w:tplc="C3C01744">
      <w:start w:val="1"/>
      <w:numFmt w:val="bullet"/>
      <w:lvlText w:val=""/>
      <w:lvlJc w:val="left"/>
      <w:pPr>
        <w:tabs>
          <w:tab w:val="num" w:pos="720"/>
        </w:tabs>
        <w:ind w:left="720" w:hanging="360"/>
      </w:pPr>
      <w:rPr>
        <w:rFonts w:ascii="Symbol" w:hAnsi="Symbol"/>
      </w:rPr>
    </w:lvl>
    <w:lvl w:ilvl="1" w:tplc="F210F7EC">
      <w:start w:val="1"/>
      <w:numFmt w:val="bullet"/>
      <w:lvlText w:val="o"/>
      <w:lvlJc w:val="left"/>
      <w:pPr>
        <w:tabs>
          <w:tab w:val="num" w:pos="1440"/>
        </w:tabs>
        <w:ind w:left="1440" w:hanging="360"/>
      </w:pPr>
      <w:rPr>
        <w:rFonts w:ascii="Courier New" w:hAnsi="Courier New"/>
      </w:rPr>
    </w:lvl>
    <w:lvl w:ilvl="2" w:tplc="D1402BDE">
      <w:start w:val="1"/>
      <w:numFmt w:val="bullet"/>
      <w:lvlText w:val=""/>
      <w:lvlJc w:val="left"/>
      <w:pPr>
        <w:tabs>
          <w:tab w:val="num" w:pos="2160"/>
        </w:tabs>
        <w:ind w:left="2160" w:hanging="360"/>
      </w:pPr>
      <w:rPr>
        <w:rFonts w:ascii="Wingdings" w:hAnsi="Wingdings"/>
      </w:rPr>
    </w:lvl>
    <w:lvl w:ilvl="3" w:tplc="54CC8B50">
      <w:start w:val="1"/>
      <w:numFmt w:val="bullet"/>
      <w:lvlText w:val=""/>
      <w:lvlJc w:val="left"/>
      <w:pPr>
        <w:tabs>
          <w:tab w:val="num" w:pos="2880"/>
        </w:tabs>
        <w:ind w:left="2880" w:hanging="360"/>
      </w:pPr>
      <w:rPr>
        <w:rFonts w:ascii="Symbol" w:hAnsi="Symbol"/>
      </w:rPr>
    </w:lvl>
    <w:lvl w:ilvl="4" w:tplc="FE8CC600">
      <w:start w:val="1"/>
      <w:numFmt w:val="bullet"/>
      <w:lvlText w:val="o"/>
      <w:lvlJc w:val="left"/>
      <w:pPr>
        <w:tabs>
          <w:tab w:val="num" w:pos="3600"/>
        </w:tabs>
        <w:ind w:left="3600" w:hanging="360"/>
      </w:pPr>
      <w:rPr>
        <w:rFonts w:ascii="Courier New" w:hAnsi="Courier New"/>
      </w:rPr>
    </w:lvl>
    <w:lvl w:ilvl="5" w:tplc="8FC6254E">
      <w:start w:val="1"/>
      <w:numFmt w:val="bullet"/>
      <w:lvlText w:val=""/>
      <w:lvlJc w:val="left"/>
      <w:pPr>
        <w:tabs>
          <w:tab w:val="num" w:pos="4320"/>
        </w:tabs>
        <w:ind w:left="4320" w:hanging="360"/>
      </w:pPr>
      <w:rPr>
        <w:rFonts w:ascii="Wingdings" w:hAnsi="Wingdings"/>
      </w:rPr>
    </w:lvl>
    <w:lvl w:ilvl="6" w:tplc="75525E00">
      <w:start w:val="1"/>
      <w:numFmt w:val="bullet"/>
      <w:lvlText w:val=""/>
      <w:lvlJc w:val="left"/>
      <w:pPr>
        <w:tabs>
          <w:tab w:val="num" w:pos="5040"/>
        </w:tabs>
        <w:ind w:left="5040" w:hanging="360"/>
      </w:pPr>
      <w:rPr>
        <w:rFonts w:ascii="Symbol" w:hAnsi="Symbol"/>
      </w:rPr>
    </w:lvl>
    <w:lvl w:ilvl="7" w:tplc="8912EC16">
      <w:start w:val="1"/>
      <w:numFmt w:val="bullet"/>
      <w:lvlText w:val="o"/>
      <w:lvlJc w:val="left"/>
      <w:pPr>
        <w:tabs>
          <w:tab w:val="num" w:pos="5760"/>
        </w:tabs>
        <w:ind w:left="5760" w:hanging="360"/>
      </w:pPr>
      <w:rPr>
        <w:rFonts w:ascii="Courier New" w:hAnsi="Courier New"/>
      </w:rPr>
    </w:lvl>
    <w:lvl w:ilvl="8" w:tplc="94B44C66">
      <w:start w:val="1"/>
      <w:numFmt w:val="bullet"/>
      <w:lvlText w:val=""/>
      <w:lvlJc w:val="left"/>
      <w:pPr>
        <w:tabs>
          <w:tab w:val="num" w:pos="6480"/>
        </w:tabs>
        <w:ind w:left="6480" w:hanging="360"/>
      </w:pPr>
      <w:rPr>
        <w:rFonts w:ascii="Wingdings" w:hAnsi="Wingdings"/>
      </w:rPr>
    </w:lvl>
  </w:abstractNum>
  <w:abstractNum w:abstractNumId="89" w15:restartNumberingAfterBreak="0">
    <w:nsid w:val="7223051B"/>
    <w:multiLevelType w:val="hybridMultilevel"/>
    <w:tmpl w:val="7223051B"/>
    <w:lvl w:ilvl="0" w:tplc="3162C264">
      <w:start w:val="1"/>
      <w:numFmt w:val="bullet"/>
      <w:lvlText w:val=""/>
      <w:lvlJc w:val="left"/>
      <w:pPr>
        <w:tabs>
          <w:tab w:val="num" w:pos="720"/>
        </w:tabs>
        <w:ind w:left="720" w:hanging="360"/>
      </w:pPr>
      <w:rPr>
        <w:rFonts w:ascii="Symbol" w:hAnsi="Symbol"/>
      </w:rPr>
    </w:lvl>
    <w:lvl w:ilvl="1" w:tplc="F7B80044">
      <w:start w:val="1"/>
      <w:numFmt w:val="bullet"/>
      <w:lvlText w:val="o"/>
      <w:lvlJc w:val="left"/>
      <w:pPr>
        <w:tabs>
          <w:tab w:val="num" w:pos="1440"/>
        </w:tabs>
        <w:ind w:left="1440" w:hanging="360"/>
      </w:pPr>
      <w:rPr>
        <w:rFonts w:ascii="Courier New" w:hAnsi="Courier New"/>
      </w:rPr>
    </w:lvl>
    <w:lvl w:ilvl="2" w:tplc="8F066AF2">
      <w:start w:val="1"/>
      <w:numFmt w:val="bullet"/>
      <w:lvlText w:val=""/>
      <w:lvlJc w:val="left"/>
      <w:pPr>
        <w:tabs>
          <w:tab w:val="num" w:pos="2160"/>
        </w:tabs>
        <w:ind w:left="2160" w:hanging="360"/>
      </w:pPr>
      <w:rPr>
        <w:rFonts w:ascii="Wingdings" w:hAnsi="Wingdings"/>
      </w:rPr>
    </w:lvl>
    <w:lvl w:ilvl="3" w:tplc="3F4A50CA">
      <w:start w:val="1"/>
      <w:numFmt w:val="bullet"/>
      <w:lvlText w:val=""/>
      <w:lvlJc w:val="left"/>
      <w:pPr>
        <w:tabs>
          <w:tab w:val="num" w:pos="2880"/>
        </w:tabs>
        <w:ind w:left="2880" w:hanging="360"/>
      </w:pPr>
      <w:rPr>
        <w:rFonts w:ascii="Symbol" w:hAnsi="Symbol"/>
      </w:rPr>
    </w:lvl>
    <w:lvl w:ilvl="4" w:tplc="CB18CF38">
      <w:start w:val="1"/>
      <w:numFmt w:val="bullet"/>
      <w:lvlText w:val="o"/>
      <w:lvlJc w:val="left"/>
      <w:pPr>
        <w:tabs>
          <w:tab w:val="num" w:pos="3600"/>
        </w:tabs>
        <w:ind w:left="3600" w:hanging="360"/>
      </w:pPr>
      <w:rPr>
        <w:rFonts w:ascii="Courier New" w:hAnsi="Courier New"/>
      </w:rPr>
    </w:lvl>
    <w:lvl w:ilvl="5" w:tplc="34120F92">
      <w:start w:val="1"/>
      <w:numFmt w:val="bullet"/>
      <w:lvlText w:val=""/>
      <w:lvlJc w:val="left"/>
      <w:pPr>
        <w:tabs>
          <w:tab w:val="num" w:pos="4320"/>
        </w:tabs>
        <w:ind w:left="4320" w:hanging="360"/>
      </w:pPr>
      <w:rPr>
        <w:rFonts w:ascii="Wingdings" w:hAnsi="Wingdings"/>
      </w:rPr>
    </w:lvl>
    <w:lvl w:ilvl="6" w:tplc="AB567C8E">
      <w:start w:val="1"/>
      <w:numFmt w:val="bullet"/>
      <w:lvlText w:val=""/>
      <w:lvlJc w:val="left"/>
      <w:pPr>
        <w:tabs>
          <w:tab w:val="num" w:pos="5040"/>
        </w:tabs>
        <w:ind w:left="5040" w:hanging="360"/>
      </w:pPr>
      <w:rPr>
        <w:rFonts w:ascii="Symbol" w:hAnsi="Symbol"/>
      </w:rPr>
    </w:lvl>
    <w:lvl w:ilvl="7" w:tplc="DC182B82">
      <w:start w:val="1"/>
      <w:numFmt w:val="bullet"/>
      <w:lvlText w:val="o"/>
      <w:lvlJc w:val="left"/>
      <w:pPr>
        <w:tabs>
          <w:tab w:val="num" w:pos="5760"/>
        </w:tabs>
        <w:ind w:left="5760" w:hanging="360"/>
      </w:pPr>
      <w:rPr>
        <w:rFonts w:ascii="Courier New" w:hAnsi="Courier New"/>
      </w:rPr>
    </w:lvl>
    <w:lvl w:ilvl="8" w:tplc="8C1C7526">
      <w:start w:val="1"/>
      <w:numFmt w:val="bullet"/>
      <w:lvlText w:val=""/>
      <w:lvlJc w:val="left"/>
      <w:pPr>
        <w:tabs>
          <w:tab w:val="num" w:pos="6480"/>
        </w:tabs>
        <w:ind w:left="6480" w:hanging="360"/>
      </w:pPr>
      <w:rPr>
        <w:rFonts w:ascii="Wingdings" w:hAnsi="Wingdings"/>
      </w:rPr>
    </w:lvl>
  </w:abstractNum>
  <w:abstractNum w:abstractNumId="90" w15:restartNumberingAfterBreak="0">
    <w:nsid w:val="7223051C"/>
    <w:multiLevelType w:val="hybridMultilevel"/>
    <w:tmpl w:val="7223051C"/>
    <w:lvl w:ilvl="0" w:tplc="AC0616B6">
      <w:start w:val="1"/>
      <w:numFmt w:val="bullet"/>
      <w:lvlText w:val=""/>
      <w:lvlJc w:val="left"/>
      <w:pPr>
        <w:tabs>
          <w:tab w:val="num" w:pos="720"/>
        </w:tabs>
        <w:ind w:left="720" w:hanging="360"/>
      </w:pPr>
      <w:rPr>
        <w:rFonts w:ascii="Symbol" w:hAnsi="Symbol"/>
      </w:rPr>
    </w:lvl>
    <w:lvl w:ilvl="1" w:tplc="912A9CC8">
      <w:start w:val="1"/>
      <w:numFmt w:val="bullet"/>
      <w:lvlText w:val="o"/>
      <w:lvlJc w:val="left"/>
      <w:pPr>
        <w:tabs>
          <w:tab w:val="num" w:pos="1440"/>
        </w:tabs>
        <w:ind w:left="1440" w:hanging="360"/>
      </w:pPr>
      <w:rPr>
        <w:rFonts w:ascii="Courier New" w:hAnsi="Courier New"/>
      </w:rPr>
    </w:lvl>
    <w:lvl w:ilvl="2" w:tplc="317EFD56">
      <w:start w:val="1"/>
      <w:numFmt w:val="bullet"/>
      <w:lvlText w:val=""/>
      <w:lvlJc w:val="left"/>
      <w:pPr>
        <w:tabs>
          <w:tab w:val="num" w:pos="2160"/>
        </w:tabs>
        <w:ind w:left="2160" w:hanging="360"/>
      </w:pPr>
      <w:rPr>
        <w:rFonts w:ascii="Wingdings" w:hAnsi="Wingdings"/>
      </w:rPr>
    </w:lvl>
    <w:lvl w:ilvl="3" w:tplc="53DA6D04">
      <w:start w:val="1"/>
      <w:numFmt w:val="bullet"/>
      <w:lvlText w:val=""/>
      <w:lvlJc w:val="left"/>
      <w:pPr>
        <w:tabs>
          <w:tab w:val="num" w:pos="2880"/>
        </w:tabs>
        <w:ind w:left="2880" w:hanging="360"/>
      </w:pPr>
      <w:rPr>
        <w:rFonts w:ascii="Symbol" w:hAnsi="Symbol"/>
      </w:rPr>
    </w:lvl>
    <w:lvl w:ilvl="4" w:tplc="A50657C4">
      <w:start w:val="1"/>
      <w:numFmt w:val="bullet"/>
      <w:lvlText w:val="o"/>
      <w:lvlJc w:val="left"/>
      <w:pPr>
        <w:tabs>
          <w:tab w:val="num" w:pos="3600"/>
        </w:tabs>
        <w:ind w:left="3600" w:hanging="360"/>
      </w:pPr>
      <w:rPr>
        <w:rFonts w:ascii="Courier New" w:hAnsi="Courier New"/>
      </w:rPr>
    </w:lvl>
    <w:lvl w:ilvl="5" w:tplc="5EFC667C">
      <w:start w:val="1"/>
      <w:numFmt w:val="bullet"/>
      <w:lvlText w:val=""/>
      <w:lvlJc w:val="left"/>
      <w:pPr>
        <w:tabs>
          <w:tab w:val="num" w:pos="4320"/>
        </w:tabs>
        <w:ind w:left="4320" w:hanging="360"/>
      </w:pPr>
      <w:rPr>
        <w:rFonts w:ascii="Wingdings" w:hAnsi="Wingdings"/>
      </w:rPr>
    </w:lvl>
    <w:lvl w:ilvl="6" w:tplc="183C064C">
      <w:start w:val="1"/>
      <w:numFmt w:val="bullet"/>
      <w:lvlText w:val=""/>
      <w:lvlJc w:val="left"/>
      <w:pPr>
        <w:tabs>
          <w:tab w:val="num" w:pos="5040"/>
        </w:tabs>
        <w:ind w:left="5040" w:hanging="360"/>
      </w:pPr>
      <w:rPr>
        <w:rFonts w:ascii="Symbol" w:hAnsi="Symbol"/>
      </w:rPr>
    </w:lvl>
    <w:lvl w:ilvl="7" w:tplc="13086582">
      <w:start w:val="1"/>
      <w:numFmt w:val="bullet"/>
      <w:lvlText w:val="o"/>
      <w:lvlJc w:val="left"/>
      <w:pPr>
        <w:tabs>
          <w:tab w:val="num" w:pos="5760"/>
        </w:tabs>
        <w:ind w:left="5760" w:hanging="360"/>
      </w:pPr>
      <w:rPr>
        <w:rFonts w:ascii="Courier New" w:hAnsi="Courier New"/>
      </w:rPr>
    </w:lvl>
    <w:lvl w:ilvl="8" w:tplc="A9EC6476">
      <w:start w:val="1"/>
      <w:numFmt w:val="bullet"/>
      <w:lvlText w:val=""/>
      <w:lvlJc w:val="left"/>
      <w:pPr>
        <w:tabs>
          <w:tab w:val="num" w:pos="6480"/>
        </w:tabs>
        <w:ind w:left="6480" w:hanging="360"/>
      </w:pPr>
      <w:rPr>
        <w:rFonts w:ascii="Wingdings" w:hAnsi="Wingdings"/>
      </w:rPr>
    </w:lvl>
  </w:abstractNum>
  <w:abstractNum w:abstractNumId="91" w15:restartNumberingAfterBreak="0">
    <w:nsid w:val="7223051D"/>
    <w:multiLevelType w:val="hybridMultilevel"/>
    <w:tmpl w:val="7223051D"/>
    <w:lvl w:ilvl="0" w:tplc="72C0B1F0">
      <w:start w:val="1"/>
      <w:numFmt w:val="bullet"/>
      <w:lvlText w:val=""/>
      <w:lvlJc w:val="left"/>
      <w:pPr>
        <w:tabs>
          <w:tab w:val="num" w:pos="720"/>
        </w:tabs>
        <w:ind w:left="720" w:hanging="360"/>
      </w:pPr>
      <w:rPr>
        <w:rFonts w:ascii="Symbol" w:hAnsi="Symbol"/>
      </w:rPr>
    </w:lvl>
    <w:lvl w:ilvl="1" w:tplc="E662E3EA">
      <w:start w:val="1"/>
      <w:numFmt w:val="bullet"/>
      <w:lvlText w:val="o"/>
      <w:lvlJc w:val="left"/>
      <w:pPr>
        <w:tabs>
          <w:tab w:val="num" w:pos="1440"/>
        </w:tabs>
        <w:ind w:left="1440" w:hanging="360"/>
      </w:pPr>
      <w:rPr>
        <w:rFonts w:ascii="Courier New" w:hAnsi="Courier New"/>
      </w:rPr>
    </w:lvl>
    <w:lvl w:ilvl="2" w:tplc="3844036C">
      <w:start w:val="1"/>
      <w:numFmt w:val="bullet"/>
      <w:lvlText w:val=""/>
      <w:lvlJc w:val="left"/>
      <w:pPr>
        <w:tabs>
          <w:tab w:val="num" w:pos="2160"/>
        </w:tabs>
        <w:ind w:left="2160" w:hanging="360"/>
      </w:pPr>
      <w:rPr>
        <w:rFonts w:ascii="Wingdings" w:hAnsi="Wingdings"/>
      </w:rPr>
    </w:lvl>
    <w:lvl w:ilvl="3" w:tplc="9B8A7F7C">
      <w:start w:val="1"/>
      <w:numFmt w:val="bullet"/>
      <w:lvlText w:val=""/>
      <w:lvlJc w:val="left"/>
      <w:pPr>
        <w:tabs>
          <w:tab w:val="num" w:pos="2880"/>
        </w:tabs>
        <w:ind w:left="2880" w:hanging="360"/>
      </w:pPr>
      <w:rPr>
        <w:rFonts w:ascii="Symbol" w:hAnsi="Symbol"/>
      </w:rPr>
    </w:lvl>
    <w:lvl w:ilvl="4" w:tplc="5956ADCC">
      <w:start w:val="1"/>
      <w:numFmt w:val="bullet"/>
      <w:lvlText w:val="o"/>
      <w:lvlJc w:val="left"/>
      <w:pPr>
        <w:tabs>
          <w:tab w:val="num" w:pos="3600"/>
        </w:tabs>
        <w:ind w:left="3600" w:hanging="360"/>
      </w:pPr>
      <w:rPr>
        <w:rFonts w:ascii="Courier New" w:hAnsi="Courier New"/>
      </w:rPr>
    </w:lvl>
    <w:lvl w:ilvl="5" w:tplc="F03251BE">
      <w:start w:val="1"/>
      <w:numFmt w:val="bullet"/>
      <w:lvlText w:val=""/>
      <w:lvlJc w:val="left"/>
      <w:pPr>
        <w:tabs>
          <w:tab w:val="num" w:pos="4320"/>
        </w:tabs>
        <w:ind w:left="4320" w:hanging="360"/>
      </w:pPr>
      <w:rPr>
        <w:rFonts w:ascii="Wingdings" w:hAnsi="Wingdings"/>
      </w:rPr>
    </w:lvl>
    <w:lvl w:ilvl="6" w:tplc="4930410E">
      <w:start w:val="1"/>
      <w:numFmt w:val="bullet"/>
      <w:lvlText w:val=""/>
      <w:lvlJc w:val="left"/>
      <w:pPr>
        <w:tabs>
          <w:tab w:val="num" w:pos="5040"/>
        </w:tabs>
        <w:ind w:left="5040" w:hanging="360"/>
      </w:pPr>
      <w:rPr>
        <w:rFonts w:ascii="Symbol" w:hAnsi="Symbol"/>
      </w:rPr>
    </w:lvl>
    <w:lvl w:ilvl="7" w:tplc="45FE7614">
      <w:start w:val="1"/>
      <w:numFmt w:val="bullet"/>
      <w:lvlText w:val="o"/>
      <w:lvlJc w:val="left"/>
      <w:pPr>
        <w:tabs>
          <w:tab w:val="num" w:pos="5760"/>
        </w:tabs>
        <w:ind w:left="5760" w:hanging="360"/>
      </w:pPr>
      <w:rPr>
        <w:rFonts w:ascii="Courier New" w:hAnsi="Courier New"/>
      </w:rPr>
    </w:lvl>
    <w:lvl w:ilvl="8" w:tplc="7B6406BA">
      <w:start w:val="1"/>
      <w:numFmt w:val="bullet"/>
      <w:lvlText w:val=""/>
      <w:lvlJc w:val="left"/>
      <w:pPr>
        <w:tabs>
          <w:tab w:val="num" w:pos="6480"/>
        </w:tabs>
        <w:ind w:left="6480" w:hanging="360"/>
      </w:pPr>
      <w:rPr>
        <w:rFonts w:ascii="Wingdings" w:hAnsi="Wingdings"/>
      </w:rPr>
    </w:lvl>
  </w:abstractNum>
  <w:abstractNum w:abstractNumId="92" w15:restartNumberingAfterBreak="0">
    <w:nsid w:val="7223051E"/>
    <w:multiLevelType w:val="hybridMultilevel"/>
    <w:tmpl w:val="7223051E"/>
    <w:lvl w:ilvl="0" w:tplc="DFAC6B94">
      <w:start w:val="1"/>
      <w:numFmt w:val="bullet"/>
      <w:lvlText w:val=""/>
      <w:lvlJc w:val="left"/>
      <w:pPr>
        <w:tabs>
          <w:tab w:val="num" w:pos="720"/>
        </w:tabs>
        <w:ind w:left="720" w:hanging="360"/>
      </w:pPr>
      <w:rPr>
        <w:rFonts w:ascii="Symbol" w:hAnsi="Symbol"/>
      </w:rPr>
    </w:lvl>
    <w:lvl w:ilvl="1" w:tplc="9A9A7BD6">
      <w:start w:val="1"/>
      <w:numFmt w:val="bullet"/>
      <w:lvlText w:val="o"/>
      <w:lvlJc w:val="left"/>
      <w:pPr>
        <w:tabs>
          <w:tab w:val="num" w:pos="1440"/>
        </w:tabs>
        <w:ind w:left="1440" w:hanging="360"/>
      </w:pPr>
      <w:rPr>
        <w:rFonts w:ascii="Courier New" w:hAnsi="Courier New"/>
      </w:rPr>
    </w:lvl>
    <w:lvl w:ilvl="2" w:tplc="306ABD9E">
      <w:start w:val="1"/>
      <w:numFmt w:val="bullet"/>
      <w:lvlText w:val=""/>
      <w:lvlJc w:val="left"/>
      <w:pPr>
        <w:tabs>
          <w:tab w:val="num" w:pos="2160"/>
        </w:tabs>
        <w:ind w:left="2160" w:hanging="360"/>
      </w:pPr>
      <w:rPr>
        <w:rFonts w:ascii="Wingdings" w:hAnsi="Wingdings"/>
      </w:rPr>
    </w:lvl>
    <w:lvl w:ilvl="3" w:tplc="CAB4EE56">
      <w:start w:val="1"/>
      <w:numFmt w:val="bullet"/>
      <w:lvlText w:val=""/>
      <w:lvlJc w:val="left"/>
      <w:pPr>
        <w:tabs>
          <w:tab w:val="num" w:pos="2880"/>
        </w:tabs>
        <w:ind w:left="2880" w:hanging="360"/>
      </w:pPr>
      <w:rPr>
        <w:rFonts w:ascii="Symbol" w:hAnsi="Symbol"/>
      </w:rPr>
    </w:lvl>
    <w:lvl w:ilvl="4" w:tplc="E786AAD4">
      <w:start w:val="1"/>
      <w:numFmt w:val="bullet"/>
      <w:lvlText w:val="o"/>
      <w:lvlJc w:val="left"/>
      <w:pPr>
        <w:tabs>
          <w:tab w:val="num" w:pos="3600"/>
        </w:tabs>
        <w:ind w:left="3600" w:hanging="360"/>
      </w:pPr>
      <w:rPr>
        <w:rFonts w:ascii="Courier New" w:hAnsi="Courier New"/>
      </w:rPr>
    </w:lvl>
    <w:lvl w:ilvl="5" w:tplc="2A206DDA">
      <w:start w:val="1"/>
      <w:numFmt w:val="bullet"/>
      <w:lvlText w:val=""/>
      <w:lvlJc w:val="left"/>
      <w:pPr>
        <w:tabs>
          <w:tab w:val="num" w:pos="4320"/>
        </w:tabs>
        <w:ind w:left="4320" w:hanging="360"/>
      </w:pPr>
      <w:rPr>
        <w:rFonts w:ascii="Wingdings" w:hAnsi="Wingdings"/>
      </w:rPr>
    </w:lvl>
    <w:lvl w:ilvl="6" w:tplc="A8847006">
      <w:start w:val="1"/>
      <w:numFmt w:val="bullet"/>
      <w:lvlText w:val=""/>
      <w:lvlJc w:val="left"/>
      <w:pPr>
        <w:tabs>
          <w:tab w:val="num" w:pos="5040"/>
        </w:tabs>
        <w:ind w:left="5040" w:hanging="360"/>
      </w:pPr>
      <w:rPr>
        <w:rFonts w:ascii="Symbol" w:hAnsi="Symbol"/>
      </w:rPr>
    </w:lvl>
    <w:lvl w:ilvl="7" w:tplc="051C3DCC">
      <w:start w:val="1"/>
      <w:numFmt w:val="bullet"/>
      <w:lvlText w:val="o"/>
      <w:lvlJc w:val="left"/>
      <w:pPr>
        <w:tabs>
          <w:tab w:val="num" w:pos="5760"/>
        </w:tabs>
        <w:ind w:left="5760" w:hanging="360"/>
      </w:pPr>
      <w:rPr>
        <w:rFonts w:ascii="Courier New" w:hAnsi="Courier New"/>
      </w:rPr>
    </w:lvl>
    <w:lvl w:ilvl="8" w:tplc="340ACA4E">
      <w:start w:val="1"/>
      <w:numFmt w:val="bullet"/>
      <w:lvlText w:val=""/>
      <w:lvlJc w:val="left"/>
      <w:pPr>
        <w:tabs>
          <w:tab w:val="num" w:pos="6480"/>
        </w:tabs>
        <w:ind w:left="6480" w:hanging="360"/>
      </w:pPr>
      <w:rPr>
        <w:rFonts w:ascii="Wingdings" w:hAnsi="Wingdings"/>
      </w:rPr>
    </w:lvl>
  </w:abstractNum>
  <w:abstractNum w:abstractNumId="93" w15:restartNumberingAfterBreak="0">
    <w:nsid w:val="7223051F"/>
    <w:multiLevelType w:val="hybridMultilevel"/>
    <w:tmpl w:val="7223051F"/>
    <w:lvl w:ilvl="0" w:tplc="22905B9C">
      <w:start w:val="1"/>
      <w:numFmt w:val="bullet"/>
      <w:lvlText w:val=""/>
      <w:lvlJc w:val="left"/>
      <w:pPr>
        <w:tabs>
          <w:tab w:val="num" w:pos="720"/>
        </w:tabs>
        <w:ind w:left="720" w:hanging="360"/>
      </w:pPr>
      <w:rPr>
        <w:rFonts w:ascii="Symbol" w:hAnsi="Symbol"/>
      </w:rPr>
    </w:lvl>
    <w:lvl w:ilvl="1" w:tplc="D938BFE2">
      <w:start w:val="1"/>
      <w:numFmt w:val="bullet"/>
      <w:lvlText w:val="o"/>
      <w:lvlJc w:val="left"/>
      <w:pPr>
        <w:tabs>
          <w:tab w:val="num" w:pos="1440"/>
        </w:tabs>
        <w:ind w:left="1440" w:hanging="360"/>
      </w:pPr>
      <w:rPr>
        <w:rFonts w:ascii="Courier New" w:hAnsi="Courier New"/>
      </w:rPr>
    </w:lvl>
    <w:lvl w:ilvl="2" w:tplc="EA3483BE">
      <w:start w:val="1"/>
      <w:numFmt w:val="bullet"/>
      <w:lvlText w:val=""/>
      <w:lvlJc w:val="left"/>
      <w:pPr>
        <w:tabs>
          <w:tab w:val="num" w:pos="2160"/>
        </w:tabs>
        <w:ind w:left="2160" w:hanging="360"/>
      </w:pPr>
      <w:rPr>
        <w:rFonts w:ascii="Wingdings" w:hAnsi="Wingdings"/>
      </w:rPr>
    </w:lvl>
    <w:lvl w:ilvl="3" w:tplc="97DC5580">
      <w:start w:val="1"/>
      <w:numFmt w:val="bullet"/>
      <w:lvlText w:val=""/>
      <w:lvlJc w:val="left"/>
      <w:pPr>
        <w:tabs>
          <w:tab w:val="num" w:pos="2880"/>
        </w:tabs>
        <w:ind w:left="2880" w:hanging="360"/>
      </w:pPr>
      <w:rPr>
        <w:rFonts w:ascii="Symbol" w:hAnsi="Symbol"/>
      </w:rPr>
    </w:lvl>
    <w:lvl w:ilvl="4" w:tplc="949236AE">
      <w:start w:val="1"/>
      <w:numFmt w:val="bullet"/>
      <w:lvlText w:val="o"/>
      <w:lvlJc w:val="left"/>
      <w:pPr>
        <w:tabs>
          <w:tab w:val="num" w:pos="3600"/>
        </w:tabs>
        <w:ind w:left="3600" w:hanging="360"/>
      </w:pPr>
      <w:rPr>
        <w:rFonts w:ascii="Courier New" w:hAnsi="Courier New"/>
      </w:rPr>
    </w:lvl>
    <w:lvl w:ilvl="5" w:tplc="094CF0D4">
      <w:start w:val="1"/>
      <w:numFmt w:val="bullet"/>
      <w:lvlText w:val=""/>
      <w:lvlJc w:val="left"/>
      <w:pPr>
        <w:tabs>
          <w:tab w:val="num" w:pos="4320"/>
        </w:tabs>
        <w:ind w:left="4320" w:hanging="360"/>
      </w:pPr>
      <w:rPr>
        <w:rFonts w:ascii="Wingdings" w:hAnsi="Wingdings"/>
      </w:rPr>
    </w:lvl>
    <w:lvl w:ilvl="6" w:tplc="81784554">
      <w:start w:val="1"/>
      <w:numFmt w:val="bullet"/>
      <w:lvlText w:val=""/>
      <w:lvlJc w:val="left"/>
      <w:pPr>
        <w:tabs>
          <w:tab w:val="num" w:pos="5040"/>
        </w:tabs>
        <w:ind w:left="5040" w:hanging="360"/>
      </w:pPr>
      <w:rPr>
        <w:rFonts w:ascii="Symbol" w:hAnsi="Symbol"/>
      </w:rPr>
    </w:lvl>
    <w:lvl w:ilvl="7" w:tplc="13ECB4D4">
      <w:start w:val="1"/>
      <w:numFmt w:val="bullet"/>
      <w:lvlText w:val="o"/>
      <w:lvlJc w:val="left"/>
      <w:pPr>
        <w:tabs>
          <w:tab w:val="num" w:pos="5760"/>
        </w:tabs>
        <w:ind w:left="5760" w:hanging="360"/>
      </w:pPr>
      <w:rPr>
        <w:rFonts w:ascii="Courier New" w:hAnsi="Courier New"/>
      </w:rPr>
    </w:lvl>
    <w:lvl w:ilvl="8" w:tplc="9BB4D986">
      <w:start w:val="1"/>
      <w:numFmt w:val="bullet"/>
      <w:lvlText w:val=""/>
      <w:lvlJc w:val="left"/>
      <w:pPr>
        <w:tabs>
          <w:tab w:val="num" w:pos="6480"/>
        </w:tabs>
        <w:ind w:left="6480" w:hanging="360"/>
      </w:pPr>
      <w:rPr>
        <w:rFonts w:ascii="Wingdings" w:hAnsi="Wingdings"/>
      </w:rPr>
    </w:lvl>
  </w:abstractNum>
  <w:abstractNum w:abstractNumId="94" w15:restartNumberingAfterBreak="0">
    <w:nsid w:val="72230520"/>
    <w:multiLevelType w:val="hybridMultilevel"/>
    <w:tmpl w:val="72230520"/>
    <w:lvl w:ilvl="0" w:tplc="57FA661A">
      <w:start w:val="1"/>
      <w:numFmt w:val="bullet"/>
      <w:lvlText w:val=""/>
      <w:lvlJc w:val="left"/>
      <w:pPr>
        <w:ind w:left="720" w:hanging="360"/>
      </w:pPr>
      <w:rPr>
        <w:rFonts w:ascii="Symbol" w:hAnsi="Symbol"/>
      </w:rPr>
    </w:lvl>
    <w:lvl w:ilvl="1" w:tplc="5EC079C6">
      <w:start w:val="1"/>
      <w:numFmt w:val="bullet"/>
      <w:lvlText w:val="o"/>
      <w:lvlJc w:val="left"/>
      <w:pPr>
        <w:tabs>
          <w:tab w:val="num" w:pos="1440"/>
        </w:tabs>
        <w:ind w:left="1440" w:hanging="360"/>
      </w:pPr>
      <w:rPr>
        <w:rFonts w:ascii="Courier New" w:hAnsi="Courier New"/>
      </w:rPr>
    </w:lvl>
    <w:lvl w:ilvl="2" w:tplc="FBFEE314">
      <w:start w:val="1"/>
      <w:numFmt w:val="bullet"/>
      <w:lvlText w:val=""/>
      <w:lvlJc w:val="left"/>
      <w:pPr>
        <w:tabs>
          <w:tab w:val="num" w:pos="2160"/>
        </w:tabs>
        <w:ind w:left="2160" w:hanging="360"/>
      </w:pPr>
      <w:rPr>
        <w:rFonts w:ascii="Wingdings" w:hAnsi="Wingdings"/>
      </w:rPr>
    </w:lvl>
    <w:lvl w:ilvl="3" w:tplc="FFB08A8C">
      <w:start w:val="1"/>
      <w:numFmt w:val="bullet"/>
      <w:lvlText w:val=""/>
      <w:lvlJc w:val="left"/>
      <w:pPr>
        <w:tabs>
          <w:tab w:val="num" w:pos="2880"/>
        </w:tabs>
        <w:ind w:left="2880" w:hanging="360"/>
      </w:pPr>
      <w:rPr>
        <w:rFonts w:ascii="Symbol" w:hAnsi="Symbol"/>
      </w:rPr>
    </w:lvl>
    <w:lvl w:ilvl="4" w:tplc="B5E214C6">
      <w:start w:val="1"/>
      <w:numFmt w:val="bullet"/>
      <w:lvlText w:val="o"/>
      <w:lvlJc w:val="left"/>
      <w:pPr>
        <w:tabs>
          <w:tab w:val="num" w:pos="3600"/>
        </w:tabs>
        <w:ind w:left="3600" w:hanging="360"/>
      </w:pPr>
      <w:rPr>
        <w:rFonts w:ascii="Courier New" w:hAnsi="Courier New"/>
      </w:rPr>
    </w:lvl>
    <w:lvl w:ilvl="5" w:tplc="698C7FC8">
      <w:start w:val="1"/>
      <w:numFmt w:val="bullet"/>
      <w:lvlText w:val=""/>
      <w:lvlJc w:val="left"/>
      <w:pPr>
        <w:tabs>
          <w:tab w:val="num" w:pos="4320"/>
        </w:tabs>
        <w:ind w:left="4320" w:hanging="360"/>
      </w:pPr>
      <w:rPr>
        <w:rFonts w:ascii="Wingdings" w:hAnsi="Wingdings"/>
      </w:rPr>
    </w:lvl>
    <w:lvl w:ilvl="6" w:tplc="815C22A6">
      <w:start w:val="1"/>
      <w:numFmt w:val="bullet"/>
      <w:lvlText w:val=""/>
      <w:lvlJc w:val="left"/>
      <w:pPr>
        <w:tabs>
          <w:tab w:val="num" w:pos="5040"/>
        </w:tabs>
        <w:ind w:left="5040" w:hanging="360"/>
      </w:pPr>
      <w:rPr>
        <w:rFonts w:ascii="Symbol" w:hAnsi="Symbol"/>
      </w:rPr>
    </w:lvl>
    <w:lvl w:ilvl="7" w:tplc="871A6EEA">
      <w:start w:val="1"/>
      <w:numFmt w:val="bullet"/>
      <w:lvlText w:val="o"/>
      <w:lvlJc w:val="left"/>
      <w:pPr>
        <w:tabs>
          <w:tab w:val="num" w:pos="5760"/>
        </w:tabs>
        <w:ind w:left="5760" w:hanging="360"/>
      </w:pPr>
      <w:rPr>
        <w:rFonts w:ascii="Courier New" w:hAnsi="Courier New"/>
      </w:rPr>
    </w:lvl>
    <w:lvl w:ilvl="8" w:tplc="610C8ED6">
      <w:start w:val="1"/>
      <w:numFmt w:val="bullet"/>
      <w:lvlText w:val=""/>
      <w:lvlJc w:val="left"/>
      <w:pPr>
        <w:tabs>
          <w:tab w:val="num" w:pos="6480"/>
        </w:tabs>
        <w:ind w:left="6480" w:hanging="360"/>
      </w:pPr>
      <w:rPr>
        <w:rFonts w:ascii="Wingdings" w:hAnsi="Wingdings"/>
      </w:rPr>
    </w:lvl>
  </w:abstractNum>
  <w:abstractNum w:abstractNumId="95" w15:restartNumberingAfterBreak="0">
    <w:nsid w:val="72230521"/>
    <w:multiLevelType w:val="hybridMultilevel"/>
    <w:tmpl w:val="72230521"/>
    <w:lvl w:ilvl="0" w:tplc="54D01464">
      <w:start w:val="1"/>
      <w:numFmt w:val="bullet"/>
      <w:lvlText w:val=""/>
      <w:lvlJc w:val="left"/>
      <w:pPr>
        <w:tabs>
          <w:tab w:val="num" w:pos="720"/>
        </w:tabs>
        <w:ind w:left="720" w:hanging="360"/>
      </w:pPr>
      <w:rPr>
        <w:rFonts w:ascii="Symbol" w:hAnsi="Symbol"/>
      </w:rPr>
    </w:lvl>
    <w:lvl w:ilvl="1" w:tplc="8A0C83DA">
      <w:start w:val="1"/>
      <w:numFmt w:val="bullet"/>
      <w:lvlText w:val="o"/>
      <w:lvlJc w:val="left"/>
      <w:pPr>
        <w:tabs>
          <w:tab w:val="num" w:pos="1440"/>
        </w:tabs>
        <w:ind w:left="1440" w:hanging="360"/>
      </w:pPr>
      <w:rPr>
        <w:rFonts w:ascii="Courier New" w:hAnsi="Courier New"/>
      </w:rPr>
    </w:lvl>
    <w:lvl w:ilvl="2" w:tplc="E13698A2">
      <w:start w:val="1"/>
      <w:numFmt w:val="bullet"/>
      <w:lvlText w:val=""/>
      <w:lvlJc w:val="left"/>
      <w:pPr>
        <w:tabs>
          <w:tab w:val="num" w:pos="2160"/>
        </w:tabs>
        <w:ind w:left="2160" w:hanging="360"/>
      </w:pPr>
      <w:rPr>
        <w:rFonts w:ascii="Wingdings" w:hAnsi="Wingdings"/>
      </w:rPr>
    </w:lvl>
    <w:lvl w:ilvl="3" w:tplc="E724FB7C">
      <w:start w:val="1"/>
      <w:numFmt w:val="bullet"/>
      <w:lvlText w:val=""/>
      <w:lvlJc w:val="left"/>
      <w:pPr>
        <w:tabs>
          <w:tab w:val="num" w:pos="2880"/>
        </w:tabs>
        <w:ind w:left="2880" w:hanging="360"/>
      </w:pPr>
      <w:rPr>
        <w:rFonts w:ascii="Symbol" w:hAnsi="Symbol"/>
      </w:rPr>
    </w:lvl>
    <w:lvl w:ilvl="4" w:tplc="67DAA860">
      <w:start w:val="1"/>
      <w:numFmt w:val="bullet"/>
      <w:lvlText w:val="o"/>
      <w:lvlJc w:val="left"/>
      <w:pPr>
        <w:tabs>
          <w:tab w:val="num" w:pos="3600"/>
        </w:tabs>
        <w:ind w:left="3600" w:hanging="360"/>
      </w:pPr>
      <w:rPr>
        <w:rFonts w:ascii="Courier New" w:hAnsi="Courier New"/>
      </w:rPr>
    </w:lvl>
    <w:lvl w:ilvl="5" w:tplc="F68C0A40">
      <w:start w:val="1"/>
      <w:numFmt w:val="bullet"/>
      <w:lvlText w:val=""/>
      <w:lvlJc w:val="left"/>
      <w:pPr>
        <w:tabs>
          <w:tab w:val="num" w:pos="4320"/>
        </w:tabs>
        <w:ind w:left="4320" w:hanging="360"/>
      </w:pPr>
      <w:rPr>
        <w:rFonts w:ascii="Wingdings" w:hAnsi="Wingdings"/>
      </w:rPr>
    </w:lvl>
    <w:lvl w:ilvl="6" w:tplc="79EA714E">
      <w:start w:val="1"/>
      <w:numFmt w:val="bullet"/>
      <w:lvlText w:val=""/>
      <w:lvlJc w:val="left"/>
      <w:pPr>
        <w:tabs>
          <w:tab w:val="num" w:pos="5040"/>
        </w:tabs>
        <w:ind w:left="5040" w:hanging="360"/>
      </w:pPr>
      <w:rPr>
        <w:rFonts w:ascii="Symbol" w:hAnsi="Symbol"/>
      </w:rPr>
    </w:lvl>
    <w:lvl w:ilvl="7" w:tplc="230A9BE6">
      <w:start w:val="1"/>
      <w:numFmt w:val="bullet"/>
      <w:lvlText w:val="o"/>
      <w:lvlJc w:val="left"/>
      <w:pPr>
        <w:tabs>
          <w:tab w:val="num" w:pos="5760"/>
        </w:tabs>
        <w:ind w:left="5760" w:hanging="360"/>
      </w:pPr>
      <w:rPr>
        <w:rFonts w:ascii="Courier New" w:hAnsi="Courier New"/>
      </w:rPr>
    </w:lvl>
    <w:lvl w:ilvl="8" w:tplc="74823200">
      <w:start w:val="1"/>
      <w:numFmt w:val="bullet"/>
      <w:lvlText w:val=""/>
      <w:lvlJc w:val="left"/>
      <w:pPr>
        <w:tabs>
          <w:tab w:val="num" w:pos="6480"/>
        </w:tabs>
        <w:ind w:left="6480" w:hanging="360"/>
      </w:pPr>
      <w:rPr>
        <w:rFonts w:ascii="Wingdings" w:hAnsi="Wingdings"/>
      </w:rPr>
    </w:lvl>
  </w:abstractNum>
  <w:abstractNum w:abstractNumId="96" w15:restartNumberingAfterBreak="0">
    <w:nsid w:val="72230522"/>
    <w:multiLevelType w:val="hybridMultilevel"/>
    <w:tmpl w:val="72230522"/>
    <w:lvl w:ilvl="0" w:tplc="C1209F06">
      <w:start w:val="1"/>
      <w:numFmt w:val="bullet"/>
      <w:lvlText w:val=""/>
      <w:lvlJc w:val="left"/>
      <w:pPr>
        <w:tabs>
          <w:tab w:val="num" w:pos="720"/>
        </w:tabs>
        <w:ind w:left="720" w:hanging="360"/>
      </w:pPr>
      <w:rPr>
        <w:rFonts w:ascii="Symbol" w:hAnsi="Symbol"/>
      </w:rPr>
    </w:lvl>
    <w:lvl w:ilvl="1" w:tplc="4D88E3F0">
      <w:start w:val="1"/>
      <w:numFmt w:val="bullet"/>
      <w:lvlText w:val="o"/>
      <w:lvlJc w:val="left"/>
      <w:pPr>
        <w:tabs>
          <w:tab w:val="num" w:pos="1440"/>
        </w:tabs>
        <w:ind w:left="1440" w:hanging="360"/>
      </w:pPr>
      <w:rPr>
        <w:rFonts w:ascii="Courier New" w:hAnsi="Courier New"/>
      </w:rPr>
    </w:lvl>
    <w:lvl w:ilvl="2" w:tplc="0D04A3A2">
      <w:start w:val="1"/>
      <w:numFmt w:val="bullet"/>
      <w:lvlText w:val=""/>
      <w:lvlJc w:val="left"/>
      <w:pPr>
        <w:tabs>
          <w:tab w:val="num" w:pos="2160"/>
        </w:tabs>
        <w:ind w:left="2160" w:hanging="360"/>
      </w:pPr>
      <w:rPr>
        <w:rFonts w:ascii="Wingdings" w:hAnsi="Wingdings"/>
      </w:rPr>
    </w:lvl>
    <w:lvl w:ilvl="3" w:tplc="E6BC7090">
      <w:start w:val="1"/>
      <w:numFmt w:val="bullet"/>
      <w:lvlText w:val=""/>
      <w:lvlJc w:val="left"/>
      <w:pPr>
        <w:tabs>
          <w:tab w:val="num" w:pos="2880"/>
        </w:tabs>
        <w:ind w:left="2880" w:hanging="360"/>
      </w:pPr>
      <w:rPr>
        <w:rFonts w:ascii="Symbol" w:hAnsi="Symbol"/>
      </w:rPr>
    </w:lvl>
    <w:lvl w:ilvl="4" w:tplc="BE50A338">
      <w:start w:val="1"/>
      <w:numFmt w:val="bullet"/>
      <w:lvlText w:val="o"/>
      <w:lvlJc w:val="left"/>
      <w:pPr>
        <w:tabs>
          <w:tab w:val="num" w:pos="3600"/>
        </w:tabs>
        <w:ind w:left="3600" w:hanging="360"/>
      </w:pPr>
      <w:rPr>
        <w:rFonts w:ascii="Courier New" w:hAnsi="Courier New"/>
      </w:rPr>
    </w:lvl>
    <w:lvl w:ilvl="5" w:tplc="3926B182">
      <w:start w:val="1"/>
      <w:numFmt w:val="bullet"/>
      <w:lvlText w:val=""/>
      <w:lvlJc w:val="left"/>
      <w:pPr>
        <w:tabs>
          <w:tab w:val="num" w:pos="4320"/>
        </w:tabs>
        <w:ind w:left="4320" w:hanging="360"/>
      </w:pPr>
      <w:rPr>
        <w:rFonts w:ascii="Wingdings" w:hAnsi="Wingdings"/>
      </w:rPr>
    </w:lvl>
    <w:lvl w:ilvl="6" w:tplc="3ABE0868">
      <w:start w:val="1"/>
      <w:numFmt w:val="bullet"/>
      <w:lvlText w:val=""/>
      <w:lvlJc w:val="left"/>
      <w:pPr>
        <w:tabs>
          <w:tab w:val="num" w:pos="5040"/>
        </w:tabs>
        <w:ind w:left="5040" w:hanging="360"/>
      </w:pPr>
      <w:rPr>
        <w:rFonts w:ascii="Symbol" w:hAnsi="Symbol"/>
      </w:rPr>
    </w:lvl>
    <w:lvl w:ilvl="7" w:tplc="BE6E1970">
      <w:start w:val="1"/>
      <w:numFmt w:val="bullet"/>
      <w:lvlText w:val="o"/>
      <w:lvlJc w:val="left"/>
      <w:pPr>
        <w:tabs>
          <w:tab w:val="num" w:pos="5760"/>
        </w:tabs>
        <w:ind w:left="5760" w:hanging="360"/>
      </w:pPr>
      <w:rPr>
        <w:rFonts w:ascii="Courier New" w:hAnsi="Courier New"/>
      </w:rPr>
    </w:lvl>
    <w:lvl w:ilvl="8" w:tplc="2D00D176">
      <w:start w:val="1"/>
      <w:numFmt w:val="bullet"/>
      <w:lvlText w:val=""/>
      <w:lvlJc w:val="left"/>
      <w:pPr>
        <w:tabs>
          <w:tab w:val="num" w:pos="6480"/>
        </w:tabs>
        <w:ind w:left="6480" w:hanging="360"/>
      </w:pPr>
      <w:rPr>
        <w:rFonts w:ascii="Wingdings" w:hAnsi="Wingdings"/>
      </w:rPr>
    </w:lvl>
  </w:abstractNum>
  <w:abstractNum w:abstractNumId="97" w15:restartNumberingAfterBreak="0">
    <w:nsid w:val="72230523"/>
    <w:multiLevelType w:val="hybridMultilevel"/>
    <w:tmpl w:val="72230523"/>
    <w:lvl w:ilvl="0" w:tplc="A6520BAE">
      <w:start w:val="1"/>
      <w:numFmt w:val="bullet"/>
      <w:lvlText w:val=""/>
      <w:lvlJc w:val="left"/>
      <w:pPr>
        <w:ind w:left="720" w:hanging="360"/>
      </w:pPr>
      <w:rPr>
        <w:rFonts w:ascii="Symbol" w:hAnsi="Symbol"/>
      </w:rPr>
    </w:lvl>
    <w:lvl w:ilvl="1" w:tplc="6F1AA5A6">
      <w:start w:val="1"/>
      <w:numFmt w:val="bullet"/>
      <w:lvlText w:val="o"/>
      <w:lvlJc w:val="left"/>
      <w:pPr>
        <w:tabs>
          <w:tab w:val="num" w:pos="1440"/>
        </w:tabs>
        <w:ind w:left="1440" w:hanging="360"/>
      </w:pPr>
      <w:rPr>
        <w:rFonts w:ascii="Courier New" w:hAnsi="Courier New"/>
      </w:rPr>
    </w:lvl>
    <w:lvl w:ilvl="2" w:tplc="45483004">
      <w:start w:val="1"/>
      <w:numFmt w:val="bullet"/>
      <w:lvlText w:val=""/>
      <w:lvlJc w:val="left"/>
      <w:pPr>
        <w:tabs>
          <w:tab w:val="num" w:pos="2160"/>
        </w:tabs>
        <w:ind w:left="2160" w:hanging="360"/>
      </w:pPr>
      <w:rPr>
        <w:rFonts w:ascii="Wingdings" w:hAnsi="Wingdings"/>
      </w:rPr>
    </w:lvl>
    <w:lvl w:ilvl="3" w:tplc="7C00AC50">
      <w:start w:val="1"/>
      <w:numFmt w:val="bullet"/>
      <w:lvlText w:val=""/>
      <w:lvlJc w:val="left"/>
      <w:pPr>
        <w:tabs>
          <w:tab w:val="num" w:pos="2880"/>
        </w:tabs>
        <w:ind w:left="2880" w:hanging="360"/>
      </w:pPr>
      <w:rPr>
        <w:rFonts w:ascii="Symbol" w:hAnsi="Symbol"/>
      </w:rPr>
    </w:lvl>
    <w:lvl w:ilvl="4" w:tplc="E4B0E6E2">
      <w:start w:val="1"/>
      <w:numFmt w:val="bullet"/>
      <w:lvlText w:val="o"/>
      <w:lvlJc w:val="left"/>
      <w:pPr>
        <w:tabs>
          <w:tab w:val="num" w:pos="3600"/>
        </w:tabs>
        <w:ind w:left="3600" w:hanging="360"/>
      </w:pPr>
      <w:rPr>
        <w:rFonts w:ascii="Courier New" w:hAnsi="Courier New"/>
      </w:rPr>
    </w:lvl>
    <w:lvl w:ilvl="5" w:tplc="02E6AD44">
      <w:start w:val="1"/>
      <w:numFmt w:val="bullet"/>
      <w:lvlText w:val=""/>
      <w:lvlJc w:val="left"/>
      <w:pPr>
        <w:tabs>
          <w:tab w:val="num" w:pos="4320"/>
        </w:tabs>
        <w:ind w:left="4320" w:hanging="360"/>
      </w:pPr>
      <w:rPr>
        <w:rFonts w:ascii="Wingdings" w:hAnsi="Wingdings"/>
      </w:rPr>
    </w:lvl>
    <w:lvl w:ilvl="6" w:tplc="AB72BCD6">
      <w:start w:val="1"/>
      <w:numFmt w:val="bullet"/>
      <w:lvlText w:val=""/>
      <w:lvlJc w:val="left"/>
      <w:pPr>
        <w:tabs>
          <w:tab w:val="num" w:pos="5040"/>
        </w:tabs>
        <w:ind w:left="5040" w:hanging="360"/>
      </w:pPr>
      <w:rPr>
        <w:rFonts w:ascii="Symbol" w:hAnsi="Symbol"/>
      </w:rPr>
    </w:lvl>
    <w:lvl w:ilvl="7" w:tplc="ED62914C">
      <w:start w:val="1"/>
      <w:numFmt w:val="bullet"/>
      <w:lvlText w:val="o"/>
      <w:lvlJc w:val="left"/>
      <w:pPr>
        <w:tabs>
          <w:tab w:val="num" w:pos="5760"/>
        </w:tabs>
        <w:ind w:left="5760" w:hanging="360"/>
      </w:pPr>
      <w:rPr>
        <w:rFonts w:ascii="Courier New" w:hAnsi="Courier New"/>
      </w:rPr>
    </w:lvl>
    <w:lvl w:ilvl="8" w:tplc="8E4460B0">
      <w:start w:val="1"/>
      <w:numFmt w:val="bullet"/>
      <w:lvlText w:val=""/>
      <w:lvlJc w:val="left"/>
      <w:pPr>
        <w:tabs>
          <w:tab w:val="num" w:pos="6480"/>
        </w:tabs>
        <w:ind w:left="6480" w:hanging="360"/>
      </w:pPr>
      <w:rPr>
        <w:rFonts w:ascii="Wingdings" w:hAnsi="Wingdings"/>
      </w:rPr>
    </w:lvl>
  </w:abstractNum>
  <w:abstractNum w:abstractNumId="98" w15:restartNumberingAfterBreak="0">
    <w:nsid w:val="72230524"/>
    <w:multiLevelType w:val="hybridMultilevel"/>
    <w:tmpl w:val="72230524"/>
    <w:lvl w:ilvl="0" w:tplc="8BC4824A">
      <w:start w:val="1"/>
      <w:numFmt w:val="bullet"/>
      <w:lvlText w:val=""/>
      <w:lvlJc w:val="left"/>
      <w:pPr>
        <w:tabs>
          <w:tab w:val="num" w:pos="720"/>
        </w:tabs>
        <w:ind w:left="720" w:hanging="360"/>
      </w:pPr>
      <w:rPr>
        <w:rFonts w:ascii="Symbol" w:hAnsi="Symbol"/>
      </w:rPr>
    </w:lvl>
    <w:lvl w:ilvl="1" w:tplc="D8ACDB3C">
      <w:start w:val="1"/>
      <w:numFmt w:val="bullet"/>
      <w:lvlText w:val="o"/>
      <w:lvlJc w:val="left"/>
      <w:pPr>
        <w:tabs>
          <w:tab w:val="num" w:pos="1440"/>
        </w:tabs>
        <w:ind w:left="1440" w:hanging="360"/>
      </w:pPr>
      <w:rPr>
        <w:rFonts w:ascii="Courier New" w:hAnsi="Courier New"/>
      </w:rPr>
    </w:lvl>
    <w:lvl w:ilvl="2" w:tplc="398C3018">
      <w:start w:val="1"/>
      <w:numFmt w:val="bullet"/>
      <w:lvlText w:val=""/>
      <w:lvlJc w:val="left"/>
      <w:pPr>
        <w:tabs>
          <w:tab w:val="num" w:pos="2160"/>
        </w:tabs>
        <w:ind w:left="2160" w:hanging="360"/>
      </w:pPr>
      <w:rPr>
        <w:rFonts w:ascii="Wingdings" w:hAnsi="Wingdings"/>
      </w:rPr>
    </w:lvl>
    <w:lvl w:ilvl="3" w:tplc="525AB2CA">
      <w:start w:val="1"/>
      <w:numFmt w:val="bullet"/>
      <w:lvlText w:val=""/>
      <w:lvlJc w:val="left"/>
      <w:pPr>
        <w:tabs>
          <w:tab w:val="num" w:pos="2880"/>
        </w:tabs>
        <w:ind w:left="2880" w:hanging="360"/>
      </w:pPr>
      <w:rPr>
        <w:rFonts w:ascii="Symbol" w:hAnsi="Symbol"/>
      </w:rPr>
    </w:lvl>
    <w:lvl w:ilvl="4" w:tplc="9B3CC4E6">
      <w:start w:val="1"/>
      <w:numFmt w:val="bullet"/>
      <w:lvlText w:val="o"/>
      <w:lvlJc w:val="left"/>
      <w:pPr>
        <w:tabs>
          <w:tab w:val="num" w:pos="3600"/>
        </w:tabs>
        <w:ind w:left="3600" w:hanging="360"/>
      </w:pPr>
      <w:rPr>
        <w:rFonts w:ascii="Courier New" w:hAnsi="Courier New"/>
      </w:rPr>
    </w:lvl>
    <w:lvl w:ilvl="5" w:tplc="1F28C5F2">
      <w:start w:val="1"/>
      <w:numFmt w:val="bullet"/>
      <w:lvlText w:val=""/>
      <w:lvlJc w:val="left"/>
      <w:pPr>
        <w:tabs>
          <w:tab w:val="num" w:pos="4320"/>
        </w:tabs>
        <w:ind w:left="4320" w:hanging="360"/>
      </w:pPr>
      <w:rPr>
        <w:rFonts w:ascii="Wingdings" w:hAnsi="Wingdings"/>
      </w:rPr>
    </w:lvl>
    <w:lvl w:ilvl="6" w:tplc="7990E5B0">
      <w:start w:val="1"/>
      <w:numFmt w:val="bullet"/>
      <w:lvlText w:val=""/>
      <w:lvlJc w:val="left"/>
      <w:pPr>
        <w:tabs>
          <w:tab w:val="num" w:pos="5040"/>
        </w:tabs>
        <w:ind w:left="5040" w:hanging="360"/>
      </w:pPr>
      <w:rPr>
        <w:rFonts w:ascii="Symbol" w:hAnsi="Symbol"/>
      </w:rPr>
    </w:lvl>
    <w:lvl w:ilvl="7" w:tplc="2A3ED446">
      <w:start w:val="1"/>
      <w:numFmt w:val="bullet"/>
      <w:lvlText w:val="o"/>
      <w:lvlJc w:val="left"/>
      <w:pPr>
        <w:tabs>
          <w:tab w:val="num" w:pos="5760"/>
        </w:tabs>
        <w:ind w:left="5760" w:hanging="360"/>
      </w:pPr>
      <w:rPr>
        <w:rFonts w:ascii="Courier New" w:hAnsi="Courier New"/>
      </w:rPr>
    </w:lvl>
    <w:lvl w:ilvl="8" w:tplc="3654A328">
      <w:start w:val="1"/>
      <w:numFmt w:val="bullet"/>
      <w:lvlText w:val=""/>
      <w:lvlJc w:val="left"/>
      <w:pPr>
        <w:tabs>
          <w:tab w:val="num" w:pos="6480"/>
        </w:tabs>
        <w:ind w:left="6480" w:hanging="360"/>
      </w:pPr>
      <w:rPr>
        <w:rFonts w:ascii="Wingdings" w:hAnsi="Wingdings"/>
      </w:rPr>
    </w:lvl>
  </w:abstractNum>
  <w:abstractNum w:abstractNumId="99" w15:restartNumberingAfterBreak="0">
    <w:nsid w:val="72230525"/>
    <w:multiLevelType w:val="hybridMultilevel"/>
    <w:tmpl w:val="72230525"/>
    <w:lvl w:ilvl="0" w:tplc="1CD8CF58">
      <w:start w:val="1"/>
      <w:numFmt w:val="bullet"/>
      <w:lvlText w:val=""/>
      <w:lvlJc w:val="left"/>
      <w:pPr>
        <w:tabs>
          <w:tab w:val="num" w:pos="720"/>
        </w:tabs>
        <w:ind w:left="720" w:hanging="360"/>
      </w:pPr>
      <w:rPr>
        <w:rFonts w:ascii="Symbol" w:hAnsi="Symbol"/>
      </w:rPr>
    </w:lvl>
    <w:lvl w:ilvl="1" w:tplc="051E9EF0">
      <w:start w:val="1"/>
      <w:numFmt w:val="bullet"/>
      <w:lvlText w:val="o"/>
      <w:lvlJc w:val="left"/>
      <w:pPr>
        <w:tabs>
          <w:tab w:val="num" w:pos="1440"/>
        </w:tabs>
        <w:ind w:left="1440" w:hanging="360"/>
      </w:pPr>
      <w:rPr>
        <w:rFonts w:ascii="Courier New" w:hAnsi="Courier New"/>
      </w:rPr>
    </w:lvl>
    <w:lvl w:ilvl="2" w:tplc="EC66866E">
      <w:start w:val="1"/>
      <w:numFmt w:val="bullet"/>
      <w:lvlText w:val=""/>
      <w:lvlJc w:val="left"/>
      <w:pPr>
        <w:tabs>
          <w:tab w:val="num" w:pos="2160"/>
        </w:tabs>
        <w:ind w:left="2160" w:hanging="360"/>
      </w:pPr>
      <w:rPr>
        <w:rFonts w:ascii="Wingdings" w:hAnsi="Wingdings"/>
      </w:rPr>
    </w:lvl>
    <w:lvl w:ilvl="3" w:tplc="945E3E0A">
      <w:start w:val="1"/>
      <w:numFmt w:val="bullet"/>
      <w:lvlText w:val=""/>
      <w:lvlJc w:val="left"/>
      <w:pPr>
        <w:tabs>
          <w:tab w:val="num" w:pos="2880"/>
        </w:tabs>
        <w:ind w:left="2880" w:hanging="360"/>
      </w:pPr>
      <w:rPr>
        <w:rFonts w:ascii="Symbol" w:hAnsi="Symbol"/>
      </w:rPr>
    </w:lvl>
    <w:lvl w:ilvl="4" w:tplc="8BD4E3CA">
      <w:start w:val="1"/>
      <w:numFmt w:val="bullet"/>
      <w:lvlText w:val="o"/>
      <w:lvlJc w:val="left"/>
      <w:pPr>
        <w:tabs>
          <w:tab w:val="num" w:pos="3600"/>
        </w:tabs>
        <w:ind w:left="3600" w:hanging="360"/>
      </w:pPr>
      <w:rPr>
        <w:rFonts w:ascii="Courier New" w:hAnsi="Courier New"/>
      </w:rPr>
    </w:lvl>
    <w:lvl w:ilvl="5" w:tplc="45785A5A">
      <w:start w:val="1"/>
      <w:numFmt w:val="bullet"/>
      <w:lvlText w:val=""/>
      <w:lvlJc w:val="left"/>
      <w:pPr>
        <w:tabs>
          <w:tab w:val="num" w:pos="4320"/>
        </w:tabs>
        <w:ind w:left="4320" w:hanging="360"/>
      </w:pPr>
      <w:rPr>
        <w:rFonts w:ascii="Wingdings" w:hAnsi="Wingdings"/>
      </w:rPr>
    </w:lvl>
    <w:lvl w:ilvl="6" w:tplc="B60211C2">
      <w:start w:val="1"/>
      <w:numFmt w:val="bullet"/>
      <w:lvlText w:val=""/>
      <w:lvlJc w:val="left"/>
      <w:pPr>
        <w:tabs>
          <w:tab w:val="num" w:pos="5040"/>
        </w:tabs>
        <w:ind w:left="5040" w:hanging="360"/>
      </w:pPr>
      <w:rPr>
        <w:rFonts w:ascii="Symbol" w:hAnsi="Symbol"/>
      </w:rPr>
    </w:lvl>
    <w:lvl w:ilvl="7" w:tplc="C074C4E0">
      <w:start w:val="1"/>
      <w:numFmt w:val="bullet"/>
      <w:lvlText w:val="o"/>
      <w:lvlJc w:val="left"/>
      <w:pPr>
        <w:tabs>
          <w:tab w:val="num" w:pos="5760"/>
        </w:tabs>
        <w:ind w:left="5760" w:hanging="360"/>
      </w:pPr>
      <w:rPr>
        <w:rFonts w:ascii="Courier New" w:hAnsi="Courier New"/>
      </w:rPr>
    </w:lvl>
    <w:lvl w:ilvl="8" w:tplc="76984510">
      <w:start w:val="1"/>
      <w:numFmt w:val="bullet"/>
      <w:lvlText w:val=""/>
      <w:lvlJc w:val="left"/>
      <w:pPr>
        <w:tabs>
          <w:tab w:val="num" w:pos="6480"/>
        </w:tabs>
        <w:ind w:left="6480" w:hanging="360"/>
      </w:pPr>
      <w:rPr>
        <w:rFonts w:ascii="Wingdings" w:hAnsi="Wingdings"/>
      </w:rPr>
    </w:lvl>
  </w:abstractNum>
  <w:abstractNum w:abstractNumId="100" w15:restartNumberingAfterBreak="0">
    <w:nsid w:val="72230526"/>
    <w:multiLevelType w:val="hybridMultilevel"/>
    <w:tmpl w:val="72230526"/>
    <w:lvl w:ilvl="0" w:tplc="702604B0">
      <w:start w:val="1"/>
      <w:numFmt w:val="bullet"/>
      <w:lvlText w:val=""/>
      <w:lvlJc w:val="left"/>
      <w:pPr>
        <w:ind w:left="720" w:hanging="360"/>
      </w:pPr>
      <w:rPr>
        <w:rFonts w:ascii="Symbol" w:hAnsi="Symbol"/>
      </w:rPr>
    </w:lvl>
    <w:lvl w:ilvl="1" w:tplc="25DE239A">
      <w:start w:val="1"/>
      <w:numFmt w:val="bullet"/>
      <w:lvlText w:val="o"/>
      <w:lvlJc w:val="left"/>
      <w:pPr>
        <w:tabs>
          <w:tab w:val="num" w:pos="1440"/>
        </w:tabs>
        <w:ind w:left="1440" w:hanging="360"/>
      </w:pPr>
      <w:rPr>
        <w:rFonts w:ascii="Courier New" w:hAnsi="Courier New"/>
      </w:rPr>
    </w:lvl>
    <w:lvl w:ilvl="2" w:tplc="26563204">
      <w:start w:val="1"/>
      <w:numFmt w:val="bullet"/>
      <w:lvlText w:val=""/>
      <w:lvlJc w:val="left"/>
      <w:pPr>
        <w:tabs>
          <w:tab w:val="num" w:pos="2160"/>
        </w:tabs>
        <w:ind w:left="2160" w:hanging="360"/>
      </w:pPr>
      <w:rPr>
        <w:rFonts w:ascii="Wingdings" w:hAnsi="Wingdings"/>
      </w:rPr>
    </w:lvl>
    <w:lvl w:ilvl="3" w:tplc="0D4EB11A">
      <w:start w:val="1"/>
      <w:numFmt w:val="bullet"/>
      <w:lvlText w:val=""/>
      <w:lvlJc w:val="left"/>
      <w:pPr>
        <w:tabs>
          <w:tab w:val="num" w:pos="2880"/>
        </w:tabs>
        <w:ind w:left="2880" w:hanging="360"/>
      </w:pPr>
      <w:rPr>
        <w:rFonts w:ascii="Symbol" w:hAnsi="Symbol"/>
      </w:rPr>
    </w:lvl>
    <w:lvl w:ilvl="4" w:tplc="C0B68B2A">
      <w:start w:val="1"/>
      <w:numFmt w:val="bullet"/>
      <w:lvlText w:val="o"/>
      <w:lvlJc w:val="left"/>
      <w:pPr>
        <w:tabs>
          <w:tab w:val="num" w:pos="3600"/>
        </w:tabs>
        <w:ind w:left="3600" w:hanging="360"/>
      </w:pPr>
      <w:rPr>
        <w:rFonts w:ascii="Courier New" w:hAnsi="Courier New"/>
      </w:rPr>
    </w:lvl>
    <w:lvl w:ilvl="5" w:tplc="4B86A5BA">
      <w:start w:val="1"/>
      <w:numFmt w:val="bullet"/>
      <w:lvlText w:val=""/>
      <w:lvlJc w:val="left"/>
      <w:pPr>
        <w:tabs>
          <w:tab w:val="num" w:pos="4320"/>
        </w:tabs>
        <w:ind w:left="4320" w:hanging="360"/>
      </w:pPr>
      <w:rPr>
        <w:rFonts w:ascii="Wingdings" w:hAnsi="Wingdings"/>
      </w:rPr>
    </w:lvl>
    <w:lvl w:ilvl="6" w:tplc="4E44E28C">
      <w:start w:val="1"/>
      <w:numFmt w:val="bullet"/>
      <w:lvlText w:val=""/>
      <w:lvlJc w:val="left"/>
      <w:pPr>
        <w:tabs>
          <w:tab w:val="num" w:pos="5040"/>
        </w:tabs>
        <w:ind w:left="5040" w:hanging="360"/>
      </w:pPr>
      <w:rPr>
        <w:rFonts w:ascii="Symbol" w:hAnsi="Symbol"/>
      </w:rPr>
    </w:lvl>
    <w:lvl w:ilvl="7" w:tplc="AA4A737A">
      <w:start w:val="1"/>
      <w:numFmt w:val="bullet"/>
      <w:lvlText w:val="o"/>
      <w:lvlJc w:val="left"/>
      <w:pPr>
        <w:tabs>
          <w:tab w:val="num" w:pos="5760"/>
        </w:tabs>
        <w:ind w:left="5760" w:hanging="360"/>
      </w:pPr>
      <w:rPr>
        <w:rFonts w:ascii="Courier New" w:hAnsi="Courier New"/>
      </w:rPr>
    </w:lvl>
    <w:lvl w:ilvl="8" w:tplc="92B82AE0">
      <w:start w:val="1"/>
      <w:numFmt w:val="bullet"/>
      <w:lvlText w:val=""/>
      <w:lvlJc w:val="left"/>
      <w:pPr>
        <w:tabs>
          <w:tab w:val="num" w:pos="6480"/>
        </w:tabs>
        <w:ind w:left="6480" w:hanging="360"/>
      </w:pPr>
      <w:rPr>
        <w:rFonts w:ascii="Wingdings" w:hAnsi="Wingdings"/>
      </w:rPr>
    </w:lvl>
  </w:abstractNum>
  <w:abstractNum w:abstractNumId="101" w15:restartNumberingAfterBreak="0">
    <w:nsid w:val="72230527"/>
    <w:multiLevelType w:val="hybridMultilevel"/>
    <w:tmpl w:val="72230527"/>
    <w:lvl w:ilvl="0" w:tplc="EA14807C">
      <w:start w:val="1"/>
      <w:numFmt w:val="bullet"/>
      <w:lvlText w:val=""/>
      <w:lvlJc w:val="left"/>
      <w:pPr>
        <w:tabs>
          <w:tab w:val="num" w:pos="720"/>
        </w:tabs>
        <w:ind w:left="720" w:hanging="360"/>
      </w:pPr>
      <w:rPr>
        <w:rFonts w:ascii="Symbol" w:hAnsi="Symbol"/>
      </w:rPr>
    </w:lvl>
    <w:lvl w:ilvl="1" w:tplc="7D441482">
      <w:start w:val="1"/>
      <w:numFmt w:val="bullet"/>
      <w:lvlText w:val="o"/>
      <w:lvlJc w:val="left"/>
      <w:pPr>
        <w:tabs>
          <w:tab w:val="num" w:pos="1440"/>
        </w:tabs>
        <w:ind w:left="1440" w:hanging="360"/>
      </w:pPr>
      <w:rPr>
        <w:rFonts w:ascii="Courier New" w:hAnsi="Courier New"/>
      </w:rPr>
    </w:lvl>
    <w:lvl w:ilvl="2" w:tplc="0CE8941A">
      <w:start w:val="1"/>
      <w:numFmt w:val="bullet"/>
      <w:lvlText w:val=""/>
      <w:lvlJc w:val="left"/>
      <w:pPr>
        <w:tabs>
          <w:tab w:val="num" w:pos="2160"/>
        </w:tabs>
        <w:ind w:left="2160" w:hanging="360"/>
      </w:pPr>
      <w:rPr>
        <w:rFonts w:ascii="Wingdings" w:hAnsi="Wingdings"/>
      </w:rPr>
    </w:lvl>
    <w:lvl w:ilvl="3" w:tplc="4C861A70">
      <w:start w:val="1"/>
      <w:numFmt w:val="bullet"/>
      <w:lvlText w:val=""/>
      <w:lvlJc w:val="left"/>
      <w:pPr>
        <w:tabs>
          <w:tab w:val="num" w:pos="2880"/>
        </w:tabs>
        <w:ind w:left="2880" w:hanging="360"/>
      </w:pPr>
      <w:rPr>
        <w:rFonts w:ascii="Symbol" w:hAnsi="Symbol"/>
      </w:rPr>
    </w:lvl>
    <w:lvl w:ilvl="4" w:tplc="9A60D952">
      <w:start w:val="1"/>
      <w:numFmt w:val="bullet"/>
      <w:lvlText w:val="o"/>
      <w:lvlJc w:val="left"/>
      <w:pPr>
        <w:tabs>
          <w:tab w:val="num" w:pos="3600"/>
        </w:tabs>
        <w:ind w:left="3600" w:hanging="360"/>
      </w:pPr>
      <w:rPr>
        <w:rFonts w:ascii="Courier New" w:hAnsi="Courier New"/>
      </w:rPr>
    </w:lvl>
    <w:lvl w:ilvl="5" w:tplc="AB60F260">
      <w:start w:val="1"/>
      <w:numFmt w:val="bullet"/>
      <w:lvlText w:val=""/>
      <w:lvlJc w:val="left"/>
      <w:pPr>
        <w:tabs>
          <w:tab w:val="num" w:pos="4320"/>
        </w:tabs>
        <w:ind w:left="4320" w:hanging="360"/>
      </w:pPr>
      <w:rPr>
        <w:rFonts w:ascii="Wingdings" w:hAnsi="Wingdings"/>
      </w:rPr>
    </w:lvl>
    <w:lvl w:ilvl="6" w:tplc="D2161A34">
      <w:start w:val="1"/>
      <w:numFmt w:val="bullet"/>
      <w:lvlText w:val=""/>
      <w:lvlJc w:val="left"/>
      <w:pPr>
        <w:tabs>
          <w:tab w:val="num" w:pos="5040"/>
        </w:tabs>
        <w:ind w:left="5040" w:hanging="360"/>
      </w:pPr>
      <w:rPr>
        <w:rFonts w:ascii="Symbol" w:hAnsi="Symbol"/>
      </w:rPr>
    </w:lvl>
    <w:lvl w:ilvl="7" w:tplc="C3C00FD6">
      <w:start w:val="1"/>
      <w:numFmt w:val="bullet"/>
      <w:lvlText w:val="o"/>
      <w:lvlJc w:val="left"/>
      <w:pPr>
        <w:tabs>
          <w:tab w:val="num" w:pos="5760"/>
        </w:tabs>
        <w:ind w:left="5760" w:hanging="360"/>
      </w:pPr>
      <w:rPr>
        <w:rFonts w:ascii="Courier New" w:hAnsi="Courier New"/>
      </w:rPr>
    </w:lvl>
    <w:lvl w:ilvl="8" w:tplc="F48E908C">
      <w:start w:val="1"/>
      <w:numFmt w:val="bullet"/>
      <w:lvlText w:val=""/>
      <w:lvlJc w:val="left"/>
      <w:pPr>
        <w:tabs>
          <w:tab w:val="num" w:pos="6480"/>
        </w:tabs>
        <w:ind w:left="6480" w:hanging="360"/>
      </w:pPr>
      <w:rPr>
        <w:rFonts w:ascii="Wingdings" w:hAnsi="Wingdings"/>
      </w:rPr>
    </w:lvl>
  </w:abstractNum>
  <w:abstractNum w:abstractNumId="102" w15:restartNumberingAfterBreak="0">
    <w:nsid w:val="72230528"/>
    <w:multiLevelType w:val="hybridMultilevel"/>
    <w:tmpl w:val="72230528"/>
    <w:lvl w:ilvl="0" w:tplc="CEF64C06">
      <w:start w:val="1"/>
      <w:numFmt w:val="bullet"/>
      <w:lvlText w:val=""/>
      <w:lvlJc w:val="left"/>
      <w:pPr>
        <w:tabs>
          <w:tab w:val="num" w:pos="720"/>
        </w:tabs>
        <w:ind w:left="720" w:hanging="360"/>
      </w:pPr>
      <w:rPr>
        <w:rFonts w:ascii="Symbol" w:hAnsi="Symbol"/>
      </w:rPr>
    </w:lvl>
    <w:lvl w:ilvl="1" w:tplc="00D2CF00">
      <w:start w:val="1"/>
      <w:numFmt w:val="bullet"/>
      <w:lvlText w:val="o"/>
      <w:lvlJc w:val="left"/>
      <w:pPr>
        <w:tabs>
          <w:tab w:val="num" w:pos="1440"/>
        </w:tabs>
        <w:ind w:left="1440" w:hanging="360"/>
      </w:pPr>
      <w:rPr>
        <w:rFonts w:ascii="Courier New" w:hAnsi="Courier New"/>
      </w:rPr>
    </w:lvl>
    <w:lvl w:ilvl="2" w:tplc="B6CAF472">
      <w:start w:val="1"/>
      <w:numFmt w:val="bullet"/>
      <w:lvlText w:val=""/>
      <w:lvlJc w:val="left"/>
      <w:pPr>
        <w:tabs>
          <w:tab w:val="num" w:pos="2160"/>
        </w:tabs>
        <w:ind w:left="2160" w:hanging="360"/>
      </w:pPr>
      <w:rPr>
        <w:rFonts w:ascii="Wingdings" w:hAnsi="Wingdings"/>
      </w:rPr>
    </w:lvl>
    <w:lvl w:ilvl="3" w:tplc="4204E5D2">
      <w:start w:val="1"/>
      <w:numFmt w:val="bullet"/>
      <w:lvlText w:val=""/>
      <w:lvlJc w:val="left"/>
      <w:pPr>
        <w:tabs>
          <w:tab w:val="num" w:pos="2880"/>
        </w:tabs>
        <w:ind w:left="2880" w:hanging="360"/>
      </w:pPr>
      <w:rPr>
        <w:rFonts w:ascii="Symbol" w:hAnsi="Symbol"/>
      </w:rPr>
    </w:lvl>
    <w:lvl w:ilvl="4" w:tplc="298E7932">
      <w:start w:val="1"/>
      <w:numFmt w:val="bullet"/>
      <w:lvlText w:val="o"/>
      <w:lvlJc w:val="left"/>
      <w:pPr>
        <w:tabs>
          <w:tab w:val="num" w:pos="3600"/>
        </w:tabs>
        <w:ind w:left="3600" w:hanging="360"/>
      </w:pPr>
      <w:rPr>
        <w:rFonts w:ascii="Courier New" w:hAnsi="Courier New"/>
      </w:rPr>
    </w:lvl>
    <w:lvl w:ilvl="5" w:tplc="EB20B06A">
      <w:start w:val="1"/>
      <w:numFmt w:val="bullet"/>
      <w:lvlText w:val=""/>
      <w:lvlJc w:val="left"/>
      <w:pPr>
        <w:tabs>
          <w:tab w:val="num" w:pos="4320"/>
        </w:tabs>
        <w:ind w:left="4320" w:hanging="360"/>
      </w:pPr>
      <w:rPr>
        <w:rFonts w:ascii="Wingdings" w:hAnsi="Wingdings"/>
      </w:rPr>
    </w:lvl>
    <w:lvl w:ilvl="6" w:tplc="4658ECC8">
      <w:start w:val="1"/>
      <w:numFmt w:val="bullet"/>
      <w:lvlText w:val=""/>
      <w:lvlJc w:val="left"/>
      <w:pPr>
        <w:tabs>
          <w:tab w:val="num" w:pos="5040"/>
        </w:tabs>
        <w:ind w:left="5040" w:hanging="360"/>
      </w:pPr>
      <w:rPr>
        <w:rFonts w:ascii="Symbol" w:hAnsi="Symbol"/>
      </w:rPr>
    </w:lvl>
    <w:lvl w:ilvl="7" w:tplc="36DAC864">
      <w:start w:val="1"/>
      <w:numFmt w:val="bullet"/>
      <w:lvlText w:val="o"/>
      <w:lvlJc w:val="left"/>
      <w:pPr>
        <w:tabs>
          <w:tab w:val="num" w:pos="5760"/>
        </w:tabs>
        <w:ind w:left="5760" w:hanging="360"/>
      </w:pPr>
      <w:rPr>
        <w:rFonts w:ascii="Courier New" w:hAnsi="Courier New"/>
      </w:rPr>
    </w:lvl>
    <w:lvl w:ilvl="8" w:tplc="3C32CD14">
      <w:start w:val="1"/>
      <w:numFmt w:val="bullet"/>
      <w:lvlText w:val=""/>
      <w:lvlJc w:val="left"/>
      <w:pPr>
        <w:tabs>
          <w:tab w:val="num" w:pos="6480"/>
        </w:tabs>
        <w:ind w:left="6480" w:hanging="360"/>
      </w:pPr>
      <w:rPr>
        <w:rFonts w:ascii="Wingdings" w:hAnsi="Wingdings"/>
      </w:rPr>
    </w:lvl>
  </w:abstractNum>
  <w:abstractNum w:abstractNumId="103" w15:restartNumberingAfterBreak="0">
    <w:nsid w:val="72230529"/>
    <w:multiLevelType w:val="hybridMultilevel"/>
    <w:tmpl w:val="72230529"/>
    <w:lvl w:ilvl="0" w:tplc="41024A38">
      <w:start w:val="1"/>
      <w:numFmt w:val="bullet"/>
      <w:lvlText w:val=""/>
      <w:lvlJc w:val="left"/>
      <w:pPr>
        <w:ind w:left="720" w:hanging="360"/>
      </w:pPr>
      <w:rPr>
        <w:rFonts w:ascii="Symbol" w:hAnsi="Symbol"/>
      </w:rPr>
    </w:lvl>
    <w:lvl w:ilvl="1" w:tplc="995844E2">
      <w:start w:val="1"/>
      <w:numFmt w:val="bullet"/>
      <w:lvlText w:val="o"/>
      <w:lvlJc w:val="left"/>
      <w:pPr>
        <w:tabs>
          <w:tab w:val="num" w:pos="1440"/>
        </w:tabs>
        <w:ind w:left="1440" w:hanging="360"/>
      </w:pPr>
      <w:rPr>
        <w:rFonts w:ascii="Courier New" w:hAnsi="Courier New"/>
      </w:rPr>
    </w:lvl>
    <w:lvl w:ilvl="2" w:tplc="E4A2D8B2">
      <w:start w:val="1"/>
      <w:numFmt w:val="bullet"/>
      <w:lvlText w:val=""/>
      <w:lvlJc w:val="left"/>
      <w:pPr>
        <w:tabs>
          <w:tab w:val="num" w:pos="2160"/>
        </w:tabs>
        <w:ind w:left="2160" w:hanging="360"/>
      </w:pPr>
      <w:rPr>
        <w:rFonts w:ascii="Wingdings" w:hAnsi="Wingdings"/>
      </w:rPr>
    </w:lvl>
    <w:lvl w:ilvl="3" w:tplc="BD84F1B2">
      <w:start w:val="1"/>
      <w:numFmt w:val="bullet"/>
      <w:lvlText w:val=""/>
      <w:lvlJc w:val="left"/>
      <w:pPr>
        <w:tabs>
          <w:tab w:val="num" w:pos="2880"/>
        </w:tabs>
        <w:ind w:left="2880" w:hanging="360"/>
      </w:pPr>
      <w:rPr>
        <w:rFonts w:ascii="Symbol" w:hAnsi="Symbol"/>
      </w:rPr>
    </w:lvl>
    <w:lvl w:ilvl="4" w:tplc="EAC06C16">
      <w:start w:val="1"/>
      <w:numFmt w:val="bullet"/>
      <w:lvlText w:val="o"/>
      <w:lvlJc w:val="left"/>
      <w:pPr>
        <w:tabs>
          <w:tab w:val="num" w:pos="3600"/>
        </w:tabs>
        <w:ind w:left="3600" w:hanging="360"/>
      </w:pPr>
      <w:rPr>
        <w:rFonts w:ascii="Courier New" w:hAnsi="Courier New"/>
      </w:rPr>
    </w:lvl>
    <w:lvl w:ilvl="5" w:tplc="025AA8EA">
      <w:start w:val="1"/>
      <w:numFmt w:val="bullet"/>
      <w:lvlText w:val=""/>
      <w:lvlJc w:val="left"/>
      <w:pPr>
        <w:tabs>
          <w:tab w:val="num" w:pos="4320"/>
        </w:tabs>
        <w:ind w:left="4320" w:hanging="360"/>
      </w:pPr>
      <w:rPr>
        <w:rFonts w:ascii="Wingdings" w:hAnsi="Wingdings"/>
      </w:rPr>
    </w:lvl>
    <w:lvl w:ilvl="6" w:tplc="AE2EC8E2">
      <w:start w:val="1"/>
      <w:numFmt w:val="bullet"/>
      <w:lvlText w:val=""/>
      <w:lvlJc w:val="left"/>
      <w:pPr>
        <w:tabs>
          <w:tab w:val="num" w:pos="5040"/>
        </w:tabs>
        <w:ind w:left="5040" w:hanging="360"/>
      </w:pPr>
      <w:rPr>
        <w:rFonts w:ascii="Symbol" w:hAnsi="Symbol"/>
      </w:rPr>
    </w:lvl>
    <w:lvl w:ilvl="7" w:tplc="0E423F08">
      <w:start w:val="1"/>
      <w:numFmt w:val="bullet"/>
      <w:lvlText w:val="o"/>
      <w:lvlJc w:val="left"/>
      <w:pPr>
        <w:tabs>
          <w:tab w:val="num" w:pos="5760"/>
        </w:tabs>
        <w:ind w:left="5760" w:hanging="360"/>
      </w:pPr>
      <w:rPr>
        <w:rFonts w:ascii="Courier New" w:hAnsi="Courier New"/>
      </w:rPr>
    </w:lvl>
    <w:lvl w:ilvl="8" w:tplc="9A74ED70">
      <w:start w:val="1"/>
      <w:numFmt w:val="bullet"/>
      <w:lvlText w:val=""/>
      <w:lvlJc w:val="left"/>
      <w:pPr>
        <w:tabs>
          <w:tab w:val="num" w:pos="6480"/>
        </w:tabs>
        <w:ind w:left="6480" w:hanging="360"/>
      </w:pPr>
      <w:rPr>
        <w:rFonts w:ascii="Wingdings" w:hAnsi="Wingdings"/>
      </w:rPr>
    </w:lvl>
  </w:abstractNum>
  <w:abstractNum w:abstractNumId="104" w15:restartNumberingAfterBreak="0">
    <w:nsid w:val="7223052A"/>
    <w:multiLevelType w:val="hybridMultilevel"/>
    <w:tmpl w:val="7223052A"/>
    <w:lvl w:ilvl="0" w:tplc="60541264">
      <w:start w:val="1"/>
      <w:numFmt w:val="bullet"/>
      <w:lvlText w:val=""/>
      <w:lvlJc w:val="left"/>
      <w:pPr>
        <w:ind w:left="720" w:hanging="360"/>
      </w:pPr>
      <w:rPr>
        <w:rFonts w:ascii="Symbol" w:hAnsi="Symbol"/>
      </w:rPr>
    </w:lvl>
    <w:lvl w:ilvl="1" w:tplc="03868608">
      <w:start w:val="1"/>
      <w:numFmt w:val="bullet"/>
      <w:lvlText w:val="o"/>
      <w:lvlJc w:val="left"/>
      <w:pPr>
        <w:tabs>
          <w:tab w:val="num" w:pos="1440"/>
        </w:tabs>
        <w:ind w:left="1440" w:hanging="360"/>
      </w:pPr>
      <w:rPr>
        <w:rFonts w:ascii="Courier New" w:hAnsi="Courier New"/>
      </w:rPr>
    </w:lvl>
    <w:lvl w:ilvl="2" w:tplc="595CB490">
      <w:start w:val="1"/>
      <w:numFmt w:val="bullet"/>
      <w:lvlText w:val=""/>
      <w:lvlJc w:val="left"/>
      <w:pPr>
        <w:tabs>
          <w:tab w:val="num" w:pos="2160"/>
        </w:tabs>
        <w:ind w:left="2160" w:hanging="360"/>
      </w:pPr>
      <w:rPr>
        <w:rFonts w:ascii="Wingdings" w:hAnsi="Wingdings"/>
      </w:rPr>
    </w:lvl>
    <w:lvl w:ilvl="3" w:tplc="7E1EDD88">
      <w:start w:val="1"/>
      <w:numFmt w:val="bullet"/>
      <w:lvlText w:val=""/>
      <w:lvlJc w:val="left"/>
      <w:pPr>
        <w:tabs>
          <w:tab w:val="num" w:pos="2880"/>
        </w:tabs>
        <w:ind w:left="2880" w:hanging="360"/>
      </w:pPr>
      <w:rPr>
        <w:rFonts w:ascii="Symbol" w:hAnsi="Symbol"/>
      </w:rPr>
    </w:lvl>
    <w:lvl w:ilvl="4" w:tplc="307429BA">
      <w:start w:val="1"/>
      <w:numFmt w:val="bullet"/>
      <w:lvlText w:val="o"/>
      <w:lvlJc w:val="left"/>
      <w:pPr>
        <w:tabs>
          <w:tab w:val="num" w:pos="3600"/>
        </w:tabs>
        <w:ind w:left="3600" w:hanging="360"/>
      </w:pPr>
      <w:rPr>
        <w:rFonts w:ascii="Courier New" w:hAnsi="Courier New"/>
      </w:rPr>
    </w:lvl>
    <w:lvl w:ilvl="5" w:tplc="3430A7D4">
      <w:start w:val="1"/>
      <w:numFmt w:val="bullet"/>
      <w:lvlText w:val=""/>
      <w:lvlJc w:val="left"/>
      <w:pPr>
        <w:tabs>
          <w:tab w:val="num" w:pos="4320"/>
        </w:tabs>
        <w:ind w:left="4320" w:hanging="360"/>
      </w:pPr>
      <w:rPr>
        <w:rFonts w:ascii="Wingdings" w:hAnsi="Wingdings"/>
      </w:rPr>
    </w:lvl>
    <w:lvl w:ilvl="6" w:tplc="E9F27790">
      <w:start w:val="1"/>
      <w:numFmt w:val="bullet"/>
      <w:lvlText w:val=""/>
      <w:lvlJc w:val="left"/>
      <w:pPr>
        <w:tabs>
          <w:tab w:val="num" w:pos="5040"/>
        </w:tabs>
        <w:ind w:left="5040" w:hanging="360"/>
      </w:pPr>
      <w:rPr>
        <w:rFonts w:ascii="Symbol" w:hAnsi="Symbol"/>
      </w:rPr>
    </w:lvl>
    <w:lvl w:ilvl="7" w:tplc="712AC888">
      <w:start w:val="1"/>
      <w:numFmt w:val="bullet"/>
      <w:lvlText w:val="o"/>
      <w:lvlJc w:val="left"/>
      <w:pPr>
        <w:tabs>
          <w:tab w:val="num" w:pos="5760"/>
        </w:tabs>
        <w:ind w:left="5760" w:hanging="360"/>
      </w:pPr>
      <w:rPr>
        <w:rFonts w:ascii="Courier New" w:hAnsi="Courier New"/>
      </w:rPr>
    </w:lvl>
    <w:lvl w:ilvl="8" w:tplc="82C43F96">
      <w:start w:val="1"/>
      <w:numFmt w:val="bullet"/>
      <w:lvlText w:val=""/>
      <w:lvlJc w:val="left"/>
      <w:pPr>
        <w:tabs>
          <w:tab w:val="num" w:pos="6480"/>
        </w:tabs>
        <w:ind w:left="6480" w:hanging="360"/>
      </w:pPr>
      <w:rPr>
        <w:rFonts w:ascii="Wingdings" w:hAnsi="Wingdings"/>
      </w:rPr>
    </w:lvl>
  </w:abstractNum>
  <w:abstractNum w:abstractNumId="105" w15:restartNumberingAfterBreak="0">
    <w:nsid w:val="7223052B"/>
    <w:multiLevelType w:val="hybridMultilevel"/>
    <w:tmpl w:val="7223052B"/>
    <w:lvl w:ilvl="0" w:tplc="6CCAEBA0">
      <w:start w:val="1"/>
      <w:numFmt w:val="bullet"/>
      <w:lvlText w:val=""/>
      <w:lvlJc w:val="left"/>
      <w:pPr>
        <w:tabs>
          <w:tab w:val="num" w:pos="720"/>
        </w:tabs>
        <w:ind w:left="720" w:hanging="360"/>
      </w:pPr>
      <w:rPr>
        <w:rFonts w:ascii="Symbol" w:hAnsi="Symbol"/>
      </w:rPr>
    </w:lvl>
    <w:lvl w:ilvl="1" w:tplc="F1BC4DB0">
      <w:start w:val="1"/>
      <w:numFmt w:val="bullet"/>
      <w:lvlText w:val="o"/>
      <w:lvlJc w:val="left"/>
      <w:pPr>
        <w:tabs>
          <w:tab w:val="num" w:pos="1440"/>
        </w:tabs>
        <w:ind w:left="1440" w:hanging="360"/>
      </w:pPr>
      <w:rPr>
        <w:rFonts w:ascii="Courier New" w:hAnsi="Courier New"/>
      </w:rPr>
    </w:lvl>
    <w:lvl w:ilvl="2" w:tplc="C23621D2">
      <w:start w:val="1"/>
      <w:numFmt w:val="bullet"/>
      <w:lvlText w:val=""/>
      <w:lvlJc w:val="left"/>
      <w:pPr>
        <w:tabs>
          <w:tab w:val="num" w:pos="2160"/>
        </w:tabs>
        <w:ind w:left="2160" w:hanging="360"/>
      </w:pPr>
      <w:rPr>
        <w:rFonts w:ascii="Wingdings" w:hAnsi="Wingdings"/>
      </w:rPr>
    </w:lvl>
    <w:lvl w:ilvl="3" w:tplc="D6DA1A84">
      <w:start w:val="1"/>
      <w:numFmt w:val="bullet"/>
      <w:lvlText w:val=""/>
      <w:lvlJc w:val="left"/>
      <w:pPr>
        <w:tabs>
          <w:tab w:val="num" w:pos="2880"/>
        </w:tabs>
        <w:ind w:left="2880" w:hanging="360"/>
      </w:pPr>
      <w:rPr>
        <w:rFonts w:ascii="Symbol" w:hAnsi="Symbol"/>
      </w:rPr>
    </w:lvl>
    <w:lvl w:ilvl="4" w:tplc="79F4EB1E">
      <w:start w:val="1"/>
      <w:numFmt w:val="bullet"/>
      <w:lvlText w:val="o"/>
      <w:lvlJc w:val="left"/>
      <w:pPr>
        <w:tabs>
          <w:tab w:val="num" w:pos="3600"/>
        </w:tabs>
        <w:ind w:left="3600" w:hanging="360"/>
      </w:pPr>
      <w:rPr>
        <w:rFonts w:ascii="Courier New" w:hAnsi="Courier New"/>
      </w:rPr>
    </w:lvl>
    <w:lvl w:ilvl="5" w:tplc="70E6BAAA">
      <w:start w:val="1"/>
      <w:numFmt w:val="bullet"/>
      <w:lvlText w:val=""/>
      <w:lvlJc w:val="left"/>
      <w:pPr>
        <w:tabs>
          <w:tab w:val="num" w:pos="4320"/>
        </w:tabs>
        <w:ind w:left="4320" w:hanging="360"/>
      </w:pPr>
      <w:rPr>
        <w:rFonts w:ascii="Wingdings" w:hAnsi="Wingdings"/>
      </w:rPr>
    </w:lvl>
    <w:lvl w:ilvl="6" w:tplc="8B8CE808">
      <w:start w:val="1"/>
      <w:numFmt w:val="bullet"/>
      <w:lvlText w:val=""/>
      <w:lvlJc w:val="left"/>
      <w:pPr>
        <w:tabs>
          <w:tab w:val="num" w:pos="5040"/>
        </w:tabs>
        <w:ind w:left="5040" w:hanging="360"/>
      </w:pPr>
      <w:rPr>
        <w:rFonts w:ascii="Symbol" w:hAnsi="Symbol"/>
      </w:rPr>
    </w:lvl>
    <w:lvl w:ilvl="7" w:tplc="085C1BA6">
      <w:start w:val="1"/>
      <w:numFmt w:val="bullet"/>
      <w:lvlText w:val="o"/>
      <w:lvlJc w:val="left"/>
      <w:pPr>
        <w:tabs>
          <w:tab w:val="num" w:pos="5760"/>
        </w:tabs>
        <w:ind w:left="5760" w:hanging="360"/>
      </w:pPr>
      <w:rPr>
        <w:rFonts w:ascii="Courier New" w:hAnsi="Courier New"/>
      </w:rPr>
    </w:lvl>
    <w:lvl w:ilvl="8" w:tplc="F5AEB62A">
      <w:start w:val="1"/>
      <w:numFmt w:val="bullet"/>
      <w:lvlText w:val=""/>
      <w:lvlJc w:val="left"/>
      <w:pPr>
        <w:tabs>
          <w:tab w:val="num" w:pos="6480"/>
        </w:tabs>
        <w:ind w:left="6480" w:hanging="360"/>
      </w:pPr>
      <w:rPr>
        <w:rFonts w:ascii="Wingdings" w:hAnsi="Wingdings"/>
      </w:rPr>
    </w:lvl>
  </w:abstractNum>
  <w:abstractNum w:abstractNumId="106" w15:restartNumberingAfterBreak="0">
    <w:nsid w:val="7223052C"/>
    <w:multiLevelType w:val="hybridMultilevel"/>
    <w:tmpl w:val="7223052C"/>
    <w:lvl w:ilvl="0" w:tplc="70E22ED8">
      <w:start w:val="1"/>
      <w:numFmt w:val="bullet"/>
      <w:lvlText w:val=""/>
      <w:lvlJc w:val="left"/>
      <w:pPr>
        <w:tabs>
          <w:tab w:val="num" w:pos="720"/>
        </w:tabs>
        <w:ind w:left="720" w:hanging="360"/>
      </w:pPr>
      <w:rPr>
        <w:rFonts w:ascii="Symbol" w:hAnsi="Symbol"/>
      </w:rPr>
    </w:lvl>
    <w:lvl w:ilvl="1" w:tplc="80B40A52">
      <w:start w:val="1"/>
      <w:numFmt w:val="bullet"/>
      <w:lvlText w:val="o"/>
      <w:lvlJc w:val="left"/>
      <w:pPr>
        <w:tabs>
          <w:tab w:val="num" w:pos="1440"/>
        </w:tabs>
        <w:ind w:left="1440" w:hanging="360"/>
      </w:pPr>
      <w:rPr>
        <w:rFonts w:ascii="Courier New" w:hAnsi="Courier New"/>
      </w:rPr>
    </w:lvl>
    <w:lvl w:ilvl="2" w:tplc="66C88ABC">
      <w:start w:val="1"/>
      <w:numFmt w:val="bullet"/>
      <w:lvlText w:val=""/>
      <w:lvlJc w:val="left"/>
      <w:pPr>
        <w:tabs>
          <w:tab w:val="num" w:pos="2160"/>
        </w:tabs>
        <w:ind w:left="2160" w:hanging="360"/>
      </w:pPr>
      <w:rPr>
        <w:rFonts w:ascii="Wingdings" w:hAnsi="Wingdings"/>
      </w:rPr>
    </w:lvl>
    <w:lvl w:ilvl="3" w:tplc="F9EA508C">
      <w:start w:val="1"/>
      <w:numFmt w:val="bullet"/>
      <w:lvlText w:val=""/>
      <w:lvlJc w:val="left"/>
      <w:pPr>
        <w:tabs>
          <w:tab w:val="num" w:pos="2880"/>
        </w:tabs>
        <w:ind w:left="2880" w:hanging="360"/>
      </w:pPr>
      <w:rPr>
        <w:rFonts w:ascii="Symbol" w:hAnsi="Symbol"/>
      </w:rPr>
    </w:lvl>
    <w:lvl w:ilvl="4" w:tplc="9582061A">
      <w:start w:val="1"/>
      <w:numFmt w:val="bullet"/>
      <w:lvlText w:val="o"/>
      <w:lvlJc w:val="left"/>
      <w:pPr>
        <w:tabs>
          <w:tab w:val="num" w:pos="3600"/>
        </w:tabs>
        <w:ind w:left="3600" w:hanging="360"/>
      </w:pPr>
      <w:rPr>
        <w:rFonts w:ascii="Courier New" w:hAnsi="Courier New"/>
      </w:rPr>
    </w:lvl>
    <w:lvl w:ilvl="5" w:tplc="814E01C6">
      <w:start w:val="1"/>
      <w:numFmt w:val="bullet"/>
      <w:lvlText w:val=""/>
      <w:lvlJc w:val="left"/>
      <w:pPr>
        <w:tabs>
          <w:tab w:val="num" w:pos="4320"/>
        </w:tabs>
        <w:ind w:left="4320" w:hanging="360"/>
      </w:pPr>
      <w:rPr>
        <w:rFonts w:ascii="Wingdings" w:hAnsi="Wingdings"/>
      </w:rPr>
    </w:lvl>
    <w:lvl w:ilvl="6" w:tplc="67D8218E">
      <w:start w:val="1"/>
      <w:numFmt w:val="bullet"/>
      <w:lvlText w:val=""/>
      <w:lvlJc w:val="left"/>
      <w:pPr>
        <w:tabs>
          <w:tab w:val="num" w:pos="5040"/>
        </w:tabs>
        <w:ind w:left="5040" w:hanging="360"/>
      </w:pPr>
      <w:rPr>
        <w:rFonts w:ascii="Symbol" w:hAnsi="Symbol"/>
      </w:rPr>
    </w:lvl>
    <w:lvl w:ilvl="7" w:tplc="975C354A">
      <w:start w:val="1"/>
      <w:numFmt w:val="bullet"/>
      <w:lvlText w:val="o"/>
      <w:lvlJc w:val="left"/>
      <w:pPr>
        <w:tabs>
          <w:tab w:val="num" w:pos="5760"/>
        </w:tabs>
        <w:ind w:left="5760" w:hanging="360"/>
      </w:pPr>
      <w:rPr>
        <w:rFonts w:ascii="Courier New" w:hAnsi="Courier New"/>
      </w:rPr>
    </w:lvl>
    <w:lvl w:ilvl="8" w:tplc="A9443AE6">
      <w:start w:val="1"/>
      <w:numFmt w:val="bullet"/>
      <w:lvlText w:val=""/>
      <w:lvlJc w:val="left"/>
      <w:pPr>
        <w:tabs>
          <w:tab w:val="num" w:pos="6480"/>
        </w:tabs>
        <w:ind w:left="6480" w:hanging="360"/>
      </w:pPr>
      <w:rPr>
        <w:rFonts w:ascii="Wingdings" w:hAnsi="Wingdings"/>
      </w:rPr>
    </w:lvl>
  </w:abstractNum>
  <w:abstractNum w:abstractNumId="107" w15:restartNumberingAfterBreak="0">
    <w:nsid w:val="7223052D"/>
    <w:multiLevelType w:val="hybridMultilevel"/>
    <w:tmpl w:val="7223052D"/>
    <w:lvl w:ilvl="0" w:tplc="65C015EC">
      <w:start w:val="1"/>
      <w:numFmt w:val="bullet"/>
      <w:lvlText w:val=""/>
      <w:lvlJc w:val="left"/>
      <w:pPr>
        <w:ind w:left="720" w:hanging="360"/>
      </w:pPr>
      <w:rPr>
        <w:rFonts w:ascii="Symbol" w:hAnsi="Symbol"/>
      </w:rPr>
    </w:lvl>
    <w:lvl w:ilvl="1" w:tplc="816C7A42">
      <w:start w:val="1"/>
      <w:numFmt w:val="bullet"/>
      <w:lvlText w:val="o"/>
      <w:lvlJc w:val="left"/>
      <w:pPr>
        <w:tabs>
          <w:tab w:val="num" w:pos="1440"/>
        </w:tabs>
        <w:ind w:left="1440" w:hanging="360"/>
      </w:pPr>
      <w:rPr>
        <w:rFonts w:ascii="Courier New" w:hAnsi="Courier New"/>
      </w:rPr>
    </w:lvl>
    <w:lvl w:ilvl="2" w:tplc="A94669FA">
      <w:start w:val="1"/>
      <w:numFmt w:val="bullet"/>
      <w:lvlText w:val=""/>
      <w:lvlJc w:val="left"/>
      <w:pPr>
        <w:tabs>
          <w:tab w:val="num" w:pos="2160"/>
        </w:tabs>
        <w:ind w:left="2160" w:hanging="360"/>
      </w:pPr>
      <w:rPr>
        <w:rFonts w:ascii="Wingdings" w:hAnsi="Wingdings"/>
      </w:rPr>
    </w:lvl>
    <w:lvl w:ilvl="3" w:tplc="2CC84322">
      <w:start w:val="1"/>
      <w:numFmt w:val="bullet"/>
      <w:lvlText w:val=""/>
      <w:lvlJc w:val="left"/>
      <w:pPr>
        <w:tabs>
          <w:tab w:val="num" w:pos="2880"/>
        </w:tabs>
        <w:ind w:left="2880" w:hanging="360"/>
      </w:pPr>
      <w:rPr>
        <w:rFonts w:ascii="Symbol" w:hAnsi="Symbol"/>
      </w:rPr>
    </w:lvl>
    <w:lvl w:ilvl="4" w:tplc="D48CA40A">
      <w:start w:val="1"/>
      <w:numFmt w:val="bullet"/>
      <w:lvlText w:val="o"/>
      <w:lvlJc w:val="left"/>
      <w:pPr>
        <w:tabs>
          <w:tab w:val="num" w:pos="3600"/>
        </w:tabs>
        <w:ind w:left="3600" w:hanging="360"/>
      </w:pPr>
      <w:rPr>
        <w:rFonts w:ascii="Courier New" w:hAnsi="Courier New"/>
      </w:rPr>
    </w:lvl>
    <w:lvl w:ilvl="5" w:tplc="B824F3E2">
      <w:start w:val="1"/>
      <w:numFmt w:val="bullet"/>
      <w:lvlText w:val=""/>
      <w:lvlJc w:val="left"/>
      <w:pPr>
        <w:tabs>
          <w:tab w:val="num" w:pos="4320"/>
        </w:tabs>
        <w:ind w:left="4320" w:hanging="360"/>
      </w:pPr>
      <w:rPr>
        <w:rFonts w:ascii="Wingdings" w:hAnsi="Wingdings"/>
      </w:rPr>
    </w:lvl>
    <w:lvl w:ilvl="6" w:tplc="C0FCF534">
      <w:start w:val="1"/>
      <w:numFmt w:val="bullet"/>
      <w:lvlText w:val=""/>
      <w:lvlJc w:val="left"/>
      <w:pPr>
        <w:tabs>
          <w:tab w:val="num" w:pos="5040"/>
        </w:tabs>
        <w:ind w:left="5040" w:hanging="360"/>
      </w:pPr>
      <w:rPr>
        <w:rFonts w:ascii="Symbol" w:hAnsi="Symbol"/>
      </w:rPr>
    </w:lvl>
    <w:lvl w:ilvl="7" w:tplc="58D07828">
      <w:start w:val="1"/>
      <w:numFmt w:val="bullet"/>
      <w:lvlText w:val="o"/>
      <w:lvlJc w:val="left"/>
      <w:pPr>
        <w:tabs>
          <w:tab w:val="num" w:pos="5760"/>
        </w:tabs>
        <w:ind w:left="5760" w:hanging="360"/>
      </w:pPr>
      <w:rPr>
        <w:rFonts w:ascii="Courier New" w:hAnsi="Courier New"/>
      </w:rPr>
    </w:lvl>
    <w:lvl w:ilvl="8" w:tplc="F81612F6">
      <w:start w:val="1"/>
      <w:numFmt w:val="bullet"/>
      <w:lvlText w:val=""/>
      <w:lvlJc w:val="left"/>
      <w:pPr>
        <w:tabs>
          <w:tab w:val="num" w:pos="6480"/>
        </w:tabs>
        <w:ind w:left="6480" w:hanging="360"/>
      </w:pPr>
      <w:rPr>
        <w:rFonts w:ascii="Wingdings" w:hAnsi="Wingdings"/>
      </w:rPr>
    </w:lvl>
  </w:abstractNum>
  <w:abstractNum w:abstractNumId="108" w15:restartNumberingAfterBreak="0">
    <w:nsid w:val="7223052E"/>
    <w:multiLevelType w:val="hybridMultilevel"/>
    <w:tmpl w:val="7223052E"/>
    <w:lvl w:ilvl="0" w:tplc="5594757A">
      <w:start w:val="1"/>
      <w:numFmt w:val="bullet"/>
      <w:lvlText w:val=""/>
      <w:lvlJc w:val="left"/>
      <w:pPr>
        <w:tabs>
          <w:tab w:val="num" w:pos="720"/>
        </w:tabs>
        <w:ind w:left="720" w:hanging="360"/>
      </w:pPr>
      <w:rPr>
        <w:rFonts w:ascii="Symbol" w:hAnsi="Symbol"/>
      </w:rPr>
    </w:lvl>
    <w:lvl w:ilvl="1" w:tplc="6C849192">
      <w:start w:val="1"/>
      <w:numFmt w:val="bullet"/>
      <w:lvlText w:val="o"/>
      <w:lvlJc w:val="left"/>
      <w:pPr>
        <w:tabs>
          <w:tab w:val="num" w:pos="1440"/>
        </w:tabs>
        <w:ind w:left="1440" w:hanging="360"/>
      </w:pPr>
      <w:rPr>
        <w:rFonts w:ascii="Courier New" w:hAnsi="Courier New"/>
      </w:rPr>
    </w:lvl>
    <w:lvl w:ilvl="2" w:tplc="182E1F5C">
      <w:start w:val="1"/>
      <w:numFmt w:val="bullet"/>
      <w:lvlText w:val=""/>
      <w:lvlJc w:val="left"/>
      <w:pPr>
        <w:tabs>
          <w:tab w:val="num" w:pos="2160"/>
        </w:tabs>
        <w:ind w:left="2160" w:hanging="360"/>
      </w:pPr>
      <w:rPr>
        <w:rFonts w:ascii="Wingdings" w:hAnsi="Wingdings"/>
      </w:rPr>
    </w:lvl>
    <w:lvl w:ilvl="3" w:tplc="5E14C04E">
      <w:start w:val="1"/>
      <w:numFmt w:val="bullet"/>
      <w:lvlText w:val=""/>
      <w:lvlJc w:val="left"/>
      <w:pPr>
        <w:tabs>
          <w:tab w:val="num" w:pos="2880"/>
        </w:tabs>
        <w:ind w:left="2880" w:hanging="360"/>
      </w:pPr>
      <w:rPr>
        <w:rFonts w:ascii="Symbol" w:hAnsi="Symbol"/>
      </w:rPr>
    </w:lvl>
    <w:lvl w:ilvl="4" w:tplc="1A06B6CC">
      <w:start w:val="1"/>
      <w:numFmt w:val="bullet"/>
      <w:lvlText w:val="o"/>
      <w:lvlJc w:val="left"/>
      <w:pPr>
        <w:tabs>
          <w:tab w:val="num" w:pos="3600"/>
        </w:tabs>
        <w:ind w:left="3600" w:hanging="360"/>
      </w:pPr>
      <w:rPr>
        <w:rFonts w:ascii="Courier New" w:hAnsi="Courier New"/>
      </w:rPr>
    </w:lvl>
    <w:lvl w:ilvl="5" w:tplc="3AA667D2">
      <w:start w:val="1"/>
      <w:numFmt w:val="bullet"/>
      <w:lvlText w:val=""/>
      <w:lvlJc w:val="left"/>
      <w:pPr>
        <w:tabs>
          <w:tab w:val="num" w:pos="4320"/>
        </w:tabs>
        <w:ind w:left="4320" w:hanging="360"/>
      </w:pPr>
      <w:rPr>
        <w:rFonts w:ascii="Wingdings" w:hAnsi="Wingdings"/>
      </w:rPr>
    </w:lvl>
    <w:lvl w:ilvl="6" w:tplc="5CD01F88">
      <w:start w:val="1"/>
      <w:numFmt w:val="bullet"/>
      <w:lvlText w:val=""/>
      <w:lvlJc w:val="left"/>
      <w:pPr>
        <w:tabs>
          <w:tab w:val="num" w:pos="5040"/>
        </w:tabs>
        <w:ind w:left="5040" w:hanging="360"/>
      </w:pPr>
      <w:rPr>
        <w:rFonts w:ascii="Symbol" w:hAnsi="Symbol"/>
      </w:rPr>
    </w:lvl>
    <w:lvl w:ilvl="7" w:tplc="FB9C4EF4">
      <w:start w:val="1"/>
      <w:numFmt w:val="bullet"/>
      <w:lvlText w:val="o"/>
      <w:lvlJc w:val="left"/>
      <w:pPr>
        <w:tabs>
          <w:tab w:val="num" w:pos="5760"/>
        </w:tabs>
        <w:ind w:left="5760" w:hanging="360"/>
      </w:pPr>
      <w:rPr>
        <w:rFonts w:ascii="Courier New" w:hAnsi="Courier New"/>
      </w:rPr>
    </w:lvl>
    <w:lvl w:ilvl="8" w:tplc="7B76E8C2">
      <w:start w:val="1"/>
      <w:numFmt w:val="bullet"/>
      <w:lvlText w:val=""/>
      <w:lvlJc w:val="left"/>
      <w:pPr>
        <w:tabs>
          <w:tab w:val="num" w:pos="6480"/>
        </w:tabs>
        <w:ind w:left="6480" w:hanging="360"/>
      </w:pPr>
      <w:rPr>
        <w:rFonts w:ascii="Wingdings" w:hAnsi="Wingdings"/>
      </w:rPr>
    </w:lvl>
  </w:abstractNum>
  <w:abstractNum w:abstractNumId="109" w15:restartNumberingAfterBreak="0">
    <w:nsid w:val="7223052F"/>
    <w:multiLevelType w:val="hybridMultilevel"/>
    <w:tmpl w:val="7223052F"/>
    <w:lvl w:ilvl="0" w:tplc="D02E1E92">
      <w:start w:val="1"/>
      <w:numFmt w:val="bullet"/>
      <w:lvlText w:val=""/>
      <w:lvlJc w:val="left"/>
      <w:pPr>
        <w:tabs>
          <w:tab w:val="num" w:pos="720"/>
        </w:tabs>
        <w:ind w:left="720" w:hanging="360"/>
      </w:pPr>
      <w:rPr>
        <w:rFonts w:ascii="Symbol" w:hAnsi="Symbol"/>
      </w:rPr>
    </w:lvl>
    <w:lvl w:ilvl="1" w:tplc="490CBDBE">
      <w:start w:val="1"/>
      <w:numFmt w:val="bullet"/>
      <w:lvlText w:val="o"/>
      <w:lvlJc w:val="left"/>
      <w:pPr>
        <w:tabs>
          <w:tab w:val="num" w:pos="1440"/>
        </w:tabs>
        <w:ind w:left="1440" w:hanging="360"/>
      </w:pPr>
      <w:rPr>
        <w:rFonts w:ascii="Courier New" w:hAnsi="Courier New"/>
      </w:rPr>
    </w:lvl>
    <w:lvl w:ilvl="2" w:tplc="D47E79D2">
      <w:start w:val="1"/>
      <w:numFmt w:val="bullet"/>
      <w:lvlText w:val=""/>
      <w:lvlJc w:val="left"/>
      <w:pPr>
        <w:tabs>
          <w:tab w:val="num" w:pos="2160"/>
        </w:tabs>
        <w:ind w:left="2160" w:hanging="360"/>
      </w:pPr>
      <w:rPr>
        <w:rFonts w:ascii="Wingdings" w:hAnsi="Wingdings"/>
      </w:rPr>
    </w:lvl>
    <w:lvl w:ilvl="3" w:tplc="FA124FCA">
      <w:start w:val="1"/>
      <w:numFmt w:val="bullet"/>
      <w:lvlText w:val=""/>
      <w:lvlJc w:val="left"/>
      <w:pPr>
        <w:tabs>
          <w:tab w:val="num" w:pos="2880"/>
        </w:tabs>
        <w:ind w:left="2880" w:hanging="360"/>
      </w:pPr>
      <w:rPr>
        <w:rFonts w:ascii="Symbol" w:hAnsi="Symbol"/>
      </w:rPr>
    </w:lvl>
    <w:lvl w:ilvl="4" w:tplc="6EE4BBA6">
      <w:start w:val="1"/>
      <w:numFmt w:val="bullet"/>
      <w:lvlText w:val="o"/>
      <w:lvlJc w:val="left"/>
      <w:pPr>
        <w:tabs>
          <w:tab w:val="num" w:pos="3600"/>
        </w:tabs>
        <w:ind w:left="3600" w:hanging="360"/>
      </w:pPr>
      <w:rPr>
        <w:rFonts w:ascii="Courier New" w:hAnsi="Courier New"/>
      </w:rPr>
    </w:lvl>
    <w:lvl w:ilvl="5" w:tplc="64AA2F14">
      <w:start w:val="1"/>
      <w:numFmt w:val="bullet"/>
      <w:lvlText w:val=""/>
      <w:lvlJc w:val="left"/>
      <w:pPr>
        <w:tabs>
          <w:tab w:val="num" w:pos="4320"/>
        </w:tabs>
        <w:ind w:left="4320" w:hanging="360"/>
      </w:pPr>
      <w:rPr>
        <w:rFonts w:ascii="Wingdings" w:hAnsi="Wingdings"/>
      </w:rPr>
    </w:lvl>
    <w:lvl w:ilvl="6" w:tplc="61A8FD2A">
      <w:start w:val="1"/>
      <w:numFmt w:val="bullet"/>
      <w:lvlText w:val=""/>
      <w:lvlJc w:val="left"/>
      <w:pPr>
        <w:tabs>
          <w:tab w:val="num" w:pos="5040"/>
        </w:tabs>
        <w:ind w:left="5040" w:hanging="360"/>
      </w:pPr>
      <w:rPr>
        <w:rFonts w:ascii="Symbol" w:hAnsi="Symbol"/>
      </w:rPr>
    </w:lvl>
    <w:lvl w:ilvl="7" w:tplc="01BCCD3A">
      <w:start w:val="1"/>
      <w:numFmt w:val="bullet"/>
      <w:lvlText w:val="o"/>
      <w:lvlJc w:val="left"/>
      <w:pPr>
        <w:tabs>
          <w:tab w:val="num" w:pos="5760"/>
        </w:tabs>
        <w:ind w:left="5760" w:hanging="360"/>
      </w:pPr>
      <w:rPr>
        <w:rFonts w:ascii="Courier New" w:hAnsi="Courier New"/>
      </w:rPr>
    </w:lvl>
    <w:lvl w:ilvl="8" w:tplc="E0083A26">
      <w:start w:val="1"/>
      <w:numFmt w:val="bullet"/>
      <w:lvlText w:val=""/>
      <w:lvlJc w:val="left"/>
      <w:pPr>
        <w:tabs>
          <w:tab w:val="num" w:pos="6480"/>
        </w:tabs>
        <w:ind w:left="6480" w:hanging="360"/>
      </w:pPr>
      <w:rPr>
        <w:rFonts w:ascii="Wingdings" w:hAnsi="Wingdings"/>
      </w:rPr>
    </w:lvl>
  </w:abstractNum>
  <w:abstractNum w:abstractNumId="110" w15:restartNumberingAfterBreak="0">
    <w:nsid w:val="72230530"/>
    <w:multiLevelType w:val="hybridMultilevel"/>
    <w:tmpl w:val="72230530"/>
    <w:lvl w:ilvl="0" w:tplc="D2FEDFCA">
      <w:start w:val="1"/>
      <w:numFmt w:val="bullet"/>
      <w:lvlText w:val=""/>
      <w:lvlJc w:val="left"/>
      <w:pPr>
        <w:tabs>
          <w:tab w:val="num" w:pos="720"/>
        </w:tabs>
        <w:ind w:left="720" w:hanging="360"/>
      </w:pPr>
      <w:rPr>
        <w:rFonts w:ascii="Symbol" w:hAnsi="Symbol"/>
      </w:rPr>
    </w:lvl>
    <w:lvl w:ilvl="1" w:tplc="FB720EE8">
      <w:start w:val="1"/>
      <w:numFmt w:val="bullet"/>
      <w:lvlText w:val="o"/>
      <w:lvlJc w:val="left"/>
      <w:pPr>
        <w:tabs>
          <w:tab w:val="num" w:pos="1440"/>
        </w:tabs>
        <w:ind w:left="1440" w:hanging="360"/>
      </w:pPr>
      <w:rPr>
        <w:rFonts w:ascii="Courier New" w:hAnsi="Courier New"/>
      </w:rPr>
    </w:lvl>
    <w:lvl w:ilvl="2" w:tplc="5B8ECF32">
      <w:start w:val="1"/>
      <w:numFmt w:val="bullet"/>
      <w:lvlText w:val=""/>
      <w:lvlJc w:val="left"/>
      <w:pPr>
        <w:tabs>
          <w:tab w:val="num" w:pos="2160"/>
        </w:tabs>
        <w:ind w:left="2160" w:hanging="360"/>
      </w:pPr>
      <w:rPr>
        <w:rFonts w:ascii="Wingdings" w:hAnsi="Wingdings"/>
      </w:rPr>
    </w:lvl>
    <w:lvl w:ilvl="3" w:tplc="61382B8C">
      <w:start w:val="1"/>
      <w:numFmt w:val="bullet"/>
      <w:lvlText w:val=""/>
      <w:lvlJc w:val="left"/>
      <w:pPr>
        <w:tabs>
          <w:tab w:val="num" w:pos="2880"/>
        </w:tabs>
        <w:ind w:left="2880" w:hanging="360"/>
      </w:pPr>
      <w:rPr>
        <w:rFonts w:ascii="Symbol" w:hAnsi="Symbol"/>
      </w:rPr>
    </w:lvl>
    <w:lvl w:ilvl="4" w:tplc="047096AC">
      <w:start w:val="1"/>
      <w:numFmt w:val="bullet"/>
      <w:lvlText w:val="o"/>
      <w:lvlJc w:val="left"/>
      <w:pPr>
        <w:tabs>
          <w:tab w:val="num" w:pos="3600"/>
        </w:tabs>
        <w:ind w:left="3600" w:hanging="360"/>
      </w:pPr>
      <w:rPr>
        <w:rFonts w:ascii="Courier New" w:hAnsi="Courier New"/>
      </w:rPr>
    </w:lvl>
    <w:lvl w:ilvl="5" w:tplc="B794218E">
      <w:start w:val="1"/>
      <w:numFmt w:val="bullet"/>
      <w:lvlText w:val=""/>
      <w:lvlJc w:val="left"/>
      <w:pPr>
        <w:tabs>
          <w:tab w:val="num" w:pos="4320"/>
        </w:tabs>
        <w:ind w:left="4320" w:hanging="360"/>
      </w:pPr>
      <w:rPr>
        <w:rFonts w:ascii="Wingdings" w:hAnsi="Wingdings"/>
      </w:rPr>
    </w:lvl>
    <w:lvl w:ilvl="6" w:tplc="A942C96C">
      <w:start w:val="1"/>
      <w:numFmt w:val="bullet"/>
      <w:lvlText w:val=""/>
      <w:lvlJc w:val="left"/>
      <w:pPr>
        <w:tabs>
          <w:tab w:val="num" w:pos="5040"/>
        </w:tabs>
        <w:ind w:left="5040" w:hanging="360"/>
      </w:pPr>
      <w:rPr>
        <w:rFonts w:ascii="Symbol" w:hAnsi="Symbol"/>
      </w:rPr>
    </w:lvl>
    <w:lvl w:ilvl="7" w:tplc="D64C99E4">
      <w:start w:val="1"/>
      <w:numFmt w:val="bullet"/>
      <w:lvlText w:val="o"/>
      <w:lvlJc w:val="left"/>
      <w:pPr>
        <w:tabs>
          <w:tab w:val="num" w:pos="5760"/>
        </w:tabs>
        <w:ind w:left="5760" w:hanging="360"/>
      </w:pPr>
      <w:rPr>
        <w:rFonts w:ascii="Courier New" w:hAnsi="Courier New"/>
      </w:rPr>
    </w:lvl>
    <w:lvl w:ilvl="8" w:tplc="66AEB118">
      <w:start w:val="1"/>
      <w:numFmt w:val="bullet"/>
      <w:lvlText w:val=""/>
      <w:lvlJc w:val="left"/>
      <w:pPr>
        <w:tabs>
          <w:tab w:val="num" w:pos="6480"/>
        </w:tabs>
        <w:ind w:left="6480" w:hanging="360"/>
      </w:pPr>
      <w:rPr>
        <w:rFonts w:ascii="Wingdings" w:hAnsi="Wingdings"/>
      </w:rPr>
    </w:lvl>
  </w:abstractNum>
  <w:abstractNum w:abstractNumId="111" w15:restartNumberingAfterBreak="0">
    <w:nsid w:val="72230531"/>
    <w:multiLevelType w:val="hybridMultilevel"/>
    <w:tmpl w:val="72230531"/>
    <w:lvl w:ilvl="0" w:tplc="57AAA296">
      <w:start w:val="1"/>
      <w:numFmt w:val="bullet"/>
      <w:lvlText w:val=""/>
      <w:lvlJc w:val="left"/>
      <w:pPr>
        <w:tabs>
          <w:tab w:val="num" w:pos="720"/>
        </w:tabs>
        <w:ind w:left="720" w:hanging="360"/>
      </w:pPr>
      <w:rPr>
        <w:rFonts w:ascii="Symbol" w:hAnsi="Symbol"/>
      </w:rPr>
    </w:lvl>
    <w:lvl w:ilvl="1" w:tplc="C07E1716">
      <w:start w:val="1"/>
      <w:numFmt w:val="bullet"/>
      <w:lvlText w:val="o"/>
      <w:lvlJc w:val="left"/>
      <w:pPr>
        <w:tabs>
          <w:tab w:val="num" w:pos="1440"/>
        </w:tabs>
        <w:ind w:left="1440" w:hanging="360"/>
      </w:pPr>
      <w:rPr>
        <w:rFonts w:ascii="Courier New" w:hAnsi="Courier New"/>
      </w:rPr>
    </w:lvl>
    <w:lvl w:ilvl="2" w:tplc="F40AC878">
      <w:start w:val="1"/>
      <w:numFmt w:val="bullet"/>
      <w:lvlText w:val=""/>
      <w:lvlJc w:val="left"/>
      <w:pPr>
        <w:tabs>
          <w:tab w:val="num" w:pos="2160"/>
        </w:tabs>
        <w:ind w:left="2160" w:hanging="360"/>
      </w:pPr>
      <w:rPr>
        <w:rFonts w:ascii="Wingdings" w:hAnsi="Wingdings"/>
      </w:rPr>
    </w:lvl>
    <w:lvl w:ilvl="3" w:tplc="4310481A">
      <w:start w:val="1"/>
      <w:numFmt w:val="bullet"/>
      <w:lvlText w:val=""/>
      <w:lvlJc w:val="left"/>
      <w:pPr>
        <w:tabs>
          <w:tab w:val="num" w:pos="2880"/>
        </w:tabs>
        <w:ind w:left="2880" w:hanging="360"/>
      </w:pPr>
      <w:rPr>
        <w:rFonts w:ascii="Symbol" w:hAnsi="Symbol"/>
      </w:rPr>
    </w:lvl>
    <w:lvl w:ilvl="4" w:tplc="9F6C6EC4">
      <w:start w:val="1"/>
      <w:numFmt w:val="bullet"/>
      <w:lvlText w:val="o"/>
      <w:lvlJc w:val="left"/>
      <w:pPr>
        <w:tabs>
          <w:tab w:val="num" w:pos="3600"/>
        </w:tabs>
        <w:ind w:left="3600" w:hanging="360"/>
      </w:pPr>
      <w:rPr>
        <w:rFonts w:ascii="Courier New" w:hAnsi="Courier New"/>
      </w:rPr>
    </w:lvl>
    <w:lvl w:ilvl="5" w:tplc="DDA80EE8">
      <w:start w:val="1"/>
      <w:numFmt w:val="bullet"/>
      <w:lvlText w:val=""/>
      <w:lvlJc w:val="left"/>
      <w:pPr>
        <w:tabs>
          <w:tab w:val="num" w:pos="4320"/>
        </w:tabs>
        <w:ind w:left="4320" w:hanging="360"/>
      </w:pPr>
      <w:rPr>
        <w:rFonts w:ascii="Wingdings" w:hAnsi="Wingdings"/>
      </w:rPr>
    </w:lvl>
    <w:lvl w:ilvl="6" w:tplc="1DC0B8EE">
      <w:start w:val="1"/>
      <w:numFmt w:val="bullet"/>
      <w:lvlText w:val=""/>
      <w:lvlJc w:val="left"/>
      <w:pPr>
        <w:tabs>
          <w:tab w:val="num" w:pos="5040"/>
        </w:tabs>
        <w:ind w:left="5040" w:hanging="360"/>
      </w:pPr>
      <w:rPr>
        <w:rFonts w:ascii="Symbol" w:hAnsi="Symbol"/>
      </w:rPr>
    </w:lvl>
    <w:lvl w:ilvl="7" w:tplc="197ABF5E">
      <w:start w:val="1"/>
      <w:numFmt w:val="bullet"/>
      <w:lvlText w:val="o"/>
      <w:lvlJc w:val="left"/>
      <w:pPr>
        <w:tabs>
          <w:tab w:val="num" w:pos="5760"/>
        </w:tabs>
        <w:ind w:left="5760" w:hanging="360"/>
      </w:pPr>
      <w:rPr>
        <w:rFonts w:ascii="Courier New" w:hAnsi="Courier New"/>
      </w:rPr>
    </w:lvl>
    <w:lvl w:ilvl="8" w:tplc="1AD4ADE0">
      <w:start w:val="1"/>
      <w:numFmt w:val="bullet"/>
      <w:lvlText w:val=""/>
      <w:lvlJc w:val="left"/>
      <w:pPr>
        <w:tabs>
          <w:tab w:val="num" w:pos="6480"/>
        </w:tabs>
        <w:ind w:left="6480" w:hanging="360"/>
      </w:pPr>
      <w:rPr>
        <w:rFonts w:ascii="Wingdings" w:hAnsi="Wingdings"/>
      </w:rPr>
    </w:lvl>
  </w:abstractNum>
  <w:abstractNum w:abstractNumId="112" w15:restartNumberingAfterBreak="0">
    <w:nsid w:val="72230532"/>
    <w:multiLevelType w:val="hybridMultilevel"/>
    <w:tmpl w:val="72230532"/>
    <w:lvl w:ilvl="0" w:tplc="9296EB6C">
      <w:start w:val="1"/>
      <w:numFmt w:val="bullet"/>
      <w:lvlText w:val=""/>
      <w:lvlJc w:val="left"/>
      <w:pPr>
        <w:ind w:left="720" w:hanging="360"/>
      </w:pPr>
      <w:rPr>
        <w:rFonts w:ascii="Symbol" w:hAnsi="Symbol"/>
      </w:rPr>
    </w:lvl>
    <w:lvl w:ilvl="1" w:tplc="28E2C2F6">
      <w:start w:val="1"/>
      <w:numFmt w:val="bullet"/>
      <w:lvlText w:val="o"/>
      <w:lvlJc w:val="left"/>
      <w:pPr>
        <w:tabs>
          <w:tab w:val="num" w:pos="1440"/>
        </w:tabs>
        <w:ind w:left="1440" w:hanging="360"/>
      </w:pPr>
      <w:rPr>
        <w:rFonts w:ascii="Courier New" w:hAnsi="Courier New"/>
      </w:rPr>
    </w:lvl>
    <w:lvl w:ilvl="2" w:tplc="D4EC1204">
      <w:start w:val="1"/>
      <w:numFmt w:val="bullet"/>
      <w:lvlText w:val=""/>
      <w:lvlJc w:val="left"/>
      <w:pPr>
        <w:tabs>
          <w:tab w:val="num" w:pos="2160"/>
        </w:tabs>
        <w:ind w:left="2160" w:hanging="360"/>
      </w:pPr>
      <w:rPr>
        <w:rFonts w:ascii="Wingdings" w:hAnsi="Wingdings"/>
      </w:rPr>
    </w:lvl>
    <w:lvl w:ilvl="3" w:tplc="95DCBB9C">
      <w:start w:val="1"/>
      <w:numFmt w:val="bullet"/>
      <w:lvlText w:val=""/>
      <w:lvlJc w:val="left"/>
      <w:pPr>
        <w:tabs>
          <w:tab w:val="num" w:pos="2880"/>
        </w:tabs>
        <w:ind w:left="2880" w:hanging="360"/>
      </w:pPr>
      <w:rPr>
        <w:rFonts w:ascii="Symbol" w:hAnsi="Symbol"/>
      </w:rPr>
    </w:lvl>
    <w:lvl w:ilvl="4" w:tplc="C6008886">
      <w:start w:val="1"/>
      <w:numFmt w:val="bullet"/>
      <w:lvlText w:val="o"/>
      <w:lvlJc w:val="left"/>
      <w:pPr>
        <w:tabs>
          <w:tab w:val="num" w:pos="3600"/>
        </w:tabs>
        <w:ind w:left="3600" w:hanging="360"/>
      </w:pPr>
      <w:rPr>
        <w:rFonts w:ascii="Courier New" w:hAnsi="Courier New"/>
      </w:rPr>
    </w:lvl>
    <w:lvl w:ilvl="5" w:tplc="1824975E">
      <w:start w:val="1"/>
      <w:numFmt w:val="bullet"/>
      <w:lvlText w:val=""/>
      <w:lvlJc w:val="left"/>
      <w:pPr>
        <w:tabs>
          <w:tab w:val="num" w:pos="4320"/>
        </w:tabs>
        <w:ind w:left="4320" w:hanging="360"/>
      </w:pPr>
      <w:rPr>
        <w:rFonts w:ascii="Wingdings" w:hAnsi="Wingdings"/>
      </w:rPr>
    </w:lvl>
    <w:lvl w:ilvl="6" w:tplc="7EC02DD0">
      <w:start w:val="1"/>
      <w:numFmt w:val="bullet"/>
      <w:lvlText w:val=""/>
      <w:lvlJc w:val="left"/>
      <w:pPr>
        <w:tabs>
          <w:tab w:val="num" w:pos="5040"/>
        </w:tabs>
        <w:ind w:left="5040" w:hanging="360"/>
      </w:pPr>
      <w:rPr>
        <w:rFonts w:ascii="Symbol" w:hAnsi="Symbol"/>
      </w:rPr>
    </w:lvl>
    <w:lvl w:ilvl="7" w:tplc="009A7130">
      <w:start w:val="1"/>
      <w:numFmt w:val="bullet"/>
      <w:lvlText w:val="o"/>
      <w:lvlJc w:val="left"/>
      <w:pPr>
        <w:tabs>
          <w:tab w:val="num" w:pos="5760"/>
        </w:tabs>
        <w:ind w:left="5760" w:hanging="360"/>
      </w:pPr>
      <w:rPr>
        <w:rFonts w:ascii="Courier New" w:hAnsi="Courier New"/>
      </w:rPr>
    </w:lvl>
    <w:lvl w:ilvl="8" w:tplc="D438E928">
      <w:start w:val="1"/>
      <w:numFmt w:val="bullet"/>
      <w:lvlText w:val=""/>
      <w:lvlJc w:val="left"/>
      <w:pPr>
        <w:tabs>
          <w:tab w:val="num" w:pos="6480"/>
        </w:tabs>
        <w:ind w:left="6480" w:hanging="360"/>
      </w:pPr>
      <w:rPr>
        <w:rFonts w:ascii="Wingdings" w:hAnsi="Wingdings"/>
      </w:rPr>
    </w:lvl>
  </w:abstractNum>
  <w:abstractNum w:abstractNumId="113" w15:restartNumberingAfterBreak="0">
    <w:nsid w:val="72230533"/>
    <w:multiLevelType w:val="hybridMultilevel"/>
    <w:tmpl w:val="72230533"/>
    <w:lvl w:ilvl="0" w:tplc="DC94A7E8">
      <w:start w:val="1"/>
      <w:numFmt w:val="bullet"/>
      <w:lvlText w:val=""/>
      <w:lvlJc w:val="left"/>
      <w:pPr>
        <w:tabs>
          <w:tab w:val="num" w:pos="720"/>
        </w:tabs>
        <w:ind w:left="720" w:hanging="360"/>
      </w:pPr>
      <w:rPr>
        <w:rFonts w:ascii="Symbol" w:hAnsi="Symbol"/>
      </w:rPr>
    </w:lvl>
    <w:lvl w:ilvl="1" w:tplc="0BC4D31C">
      <w:start w:val="1"/>
      <w:numFmt w:val="bullet"/>
      <w:lvlText w:val="o"/>
      <w:lvlJc w:val="left"/>
      <w:pPr>
        <w:tabs>
          <w:tab w:val="num" w:pos="1440"/>
        </w:tabs>
        <w:ind w:left="1440" w:hanging="360"/>
      </w:pPr>
      <w:rPr>
        <w:rFonts w:ascii="Courier New" w:hAnsi="Courier New"/>
      </w:rPr>
    </w:lvl>
    <w:lvl w:ilvl="2" w:tplc="719270DE">
      <w:start w:val="1"/>
      <w:numFmt w:val="bullet"/>
      <w:lvlText w:val=""/>
      <w:lvlJc w:val="left"/>
      <w:pPr>
        <w:tabs>
          <w:tab w:val="num" w:pos="2160"/>
        </w:tabs>
        <w:ind w:left="2160" w:hanging="360"/>
      </w:pPr>
      <w:rPr>
        <w:rFonts w:ascii="Wingdings" w:hAnsi="Wingdings"/>
      </w:rPr>
    </w:lvl>
    <w:lvl w:ilvl="3" w:tplc="97341938">
      <w:start w:val="1"/>
      <w:numFmt w:val="bullet"/>
      <w:lvlText w:val=""/>
      <w:lvlJc w:val="left"/>
      <w:pPr>
        <w:tabs>
          <w:tab w:val="num" w:pos="2880"/>
        </w:tabs>
        <w:ind w:left="2880" w:hanging="360"/>
      </w:pPr>
      <w:rPr>
        <w:rFonts w:ascii="Symbol" w:hAnsi="Symbol"/>
      </w:rPr>
    </w:lvl>
    <w:lvl w:ilvl="4" w:tplc="E690AE88">
      <w:start w:val="1"/>
      <w:numFmt w:val="bullet"/>
      <w:lvlText w:val="o"/>
      <w:lvlJc w:val="left"/>
      <w:pPr>
        <w:tabs>
          <w:tab w:val="num" w:pos="3600"/>
        </w:tabs>
        <w:ind w:left="3600" w:hanging="360"/>
      </w:pPr>
      <w:rPr>
        <w:rFonts w:ascii="Courier New" w:hAnsi="Courier New"/>
      </w:rPr>
    </w:lvl>
    <w:lvl w:ilvl="5" w:tplc="2F985440">
      <w:start w:val="1"/>
      <w:numFmt w:val="bullet"/>
      <w:lvlText w:val=""/>
      <w:lvlJc w:val="left"/>
      <w:pPr>
        <w:tabs>
          <w:tab w:val="num" w:pos="4320"/>
        </w:tabs>
        <w:ind w:left="4320" w:hanging="360"/>
      </w:pPr>
      <w:rPr>
        <w:rFonts w:ascii="Wingdings" w:hAnsi="Wingdings"/>
      </w:rPr>
    </w:lvl>
    <w:lvl w:ilvl="6" w:tplc="AE70B0A4">
      <w:start w:val="1"/>
      <w:numFmt w:val="bullet"/>
      <w:lvlText w:val=""/>
      <w:lvlJc w:val="left"/>
      <w:pPr>
        <w:tabs>
          <w:tab w:val="num" w:pos="5040"/>
        </w:tabs>
        <w:ind w:left="5040" w:hanging="360"/>
      </w:pPr>
      <w:rPr>
        <w:rFonts w:ascii="Symbol" w:hAnsi="Symbol"/>
      </w:rPr>
    </w:lvl>
    <w:lvl w:ilvl="7" w:tplc="20ACC06C">
      <w:start w:val="1"/>
      <w:numFmt w:val="bullet"/>
      <w:lvlText w:val="o"/>
      <w:lvlJc w:val="left"/>
      <w:pPr>
        <w:tabs>
          <w:tab w:val="num" w:pos="5760"/>
        </w:tabs>
        <w:ind w:left="5760" w:hanging="360"/>
      </w:pPr>
      <w:rPr>
        <w:rFonts w:ascii="Courier New" w:hAnsi="Courier New"/>
      </w:rPr>
    </w:lvl>
    <w:lvl w:ilvl="8" w:tplc="9934E200">
      <w:start w:val="1"/>
      <w:numFmt w:val="bullet"/>
      <w:lvlText w:val=""/>
      <w:lvlJc w:val="left"/>
      <w:pPr>
        <w:tabs>
          <w:tab w:val="num" w:pos="6480"/>
        </w:tabs>
        <w:ind w:left="6480" w:hanging="360"/>
      </w:pPr>
      <w:rPr>
        <w:rFonts w:ascii="Wingdings" w:hAnsi="Wingdings"/>
      </w:rPr>
    </w:lvl>
  </w:abstractNum>
  <w:abstractNum w:abstractNumId="114" w15:restartNumberingAfterBreak="0">
    <w:nsid w:val="72230534"/>
    <w:multiLevelType w:val="hybridMultilevel"/>
    <w:tmpl w:val="72230534"/>
    <w:lvl w:ilvl="0" w:tplc="95E64678">
      <w:start w:val="1"/>
      <w:numFmt w:val="bullet"/>
      <w:lvlText w:val=""/>
      <w:lvlJc w:val="left"/>
      <w:pPr>
        <w:tabs>
          <w:tab w:val="num" w:pos="720"/>
        </w:tabs>
        <w:ind w:left="720" w:hanging="360"/>
      </w:pPr>
      <w:rPr>
        <w:rFonts w:ascii="Symbol" w:hAnsi="Symbol"/>
      </w:rPr>
    </w:lvl>
    <w:lvl w:ilvl="1" w:tplc="D684437C">
      <w:start w:val="1"/>
      <w:numFmt w:val="bullet"/>
      <w:lvlText w:val="o"/>
      <w:lvlJc w:val="left"/>
      <w:pPr>
        <w:tabs>
          <w:tab w:val="num" w:pos="1440"/>
        </w:tabs>
        <w:ind w:left="1440" w:hanging="360"/>
      </w:pPr>
      <w:rPr>
        <w:rFonts w:ascii="Courier New" w:hAnsi="Courier New"/>
      </w:rPr>
    </w:lvl>
    <w:lvl w:ilvl="2" w:tplc="790053CC">
      <w:start w:val="1"/>
      <w:numFmt w:val="bullet"/>
      <w:lvlText w:val=""/>
      <w:lvlJc w:val="left"/>
      <w:pPr>
        <w:tabs>
          <w:tab w:val="num" w:pos="2160"/>
        </w:tabs>
        <w:ind w:left="2160" w:hanging="360"/>
      </w:pPr>
      <w:rPr>
        <w:rFonts w:ascii="Wingdings" w:hAnsi="Wingdings"/>
      </w:rPr>
    </w:lvl>
    <w:lvl w:ilvl="3" w:tplc="5382138E">
      <w:start w:val="1"/>
      <w:numFmt w:val="bullet"/>
      <w:lvlText w:val=""/>
      <w:lvlJc w:val="left"/>
      <w:pPr>
        <w:tabs>
          <w:tab w:val="num" w:pos="2880"/>
        </w:tabs>
        <w:ind w:left="2880" w:hanging="360"/>
      </w:pPr>
      <w:rPr>
        <w:rFonts w:ascii="Symbol" w:hAnsi="Symbol"/>
      </w:rPr>
    </w:lvl>
    <w:lvl w:ilvl="4" w:tplc="743A7418">
      <w:start w:val="1"/>
      <w:numFmt w:val="bullet"/>
      <w:lvlText w:val="o"/>
      <w:lvlJc w:val="left"/>
      <w:pPr>
        <w:tabs>
          <w:tab w:val="num" w:pos="3600"/>
        </w:tabs>
        <w:ind w:left="3600" w:hanging="360"/>
      </w:pPr>
      <w:rPr>
        <w:rFonts w:ascii="Courier New" w:hAnsi="Courier New"/>
      </w:rPr>
    </w:lvl>
    <w:lvl w:ilvl="5" w:tplc="528C452A">
      <w:start w:val="1"/>
      <w:numFmt w:val="bullet"/>
      <w:lvlText w:val=""/>
      <w:lvlJc w:val="left"/>
      <w:pPr>
        <w:tabs>
          <w:tab w:val="num" w:pos="4320"/>
        </w:tabs>
        <w:ind w:left="4320" w:hanging="360"/>
      </w:pPr>
      <w:rPr>
        <w:rFonts w:ascii="Wingdings" w:hAnsi="Wingdings"/>
      </w:rPr>
    </w:lvl>
    <w:lvl w:ilvl="6" w:tplc="E4AA011E">
      <w:start w:val="1"/>
      <w:numFmt w:val="bullet"/>
      <w:lvlText w:val=""/>
      <w:lvlJc w:val="left"/>
      <w:pPr>
        <w:tabs>
          <w:tab w:val="num" w:pos="5040"/>
        </w:tabs>
        <w:ind w:left="5040" w:hanging="360"/>
      </w:pPr>
      <w:rPr>
        <w:rFonts w:ascii="Symbol" w:hAnsi="Symbol"/>
      </w:rPr>
    </w:lvl>
    <w:lvl w:ilvl="7" w:tplc="59AEFDAA">
      <w:start w:val="1"/>
      <w:numFmt w:val="bullet"/>
      <w:lvlText w:val="o"/>
      <w:lvlJc w:val="left"/>
      <w:pPr>
        <w:tabs>
          <w:tab w:val="num" w:pos="5760"/>
        </w:tabs>
        <w:ind w:left="5760" w:hanging="360"/>
      </w:pPr>
      <w:rPr>
        <w:rFonts w:ascii="Courier New" w:hAnsi="Courier New"/>
      </w:rPr>
    </w:lvl>
    <w:lvl w:ilvl="8" w:tplc="08ECC7B4">
      <w:start w:val="1"/>
      <w:numFmt w:val="bullet"/>
      <w:lvlText w:val=""/>
      <w:lvlJc w:val="left"/>
      <w:pPr>
        <w:tabs>
          <w:tab w:val="num" w:pos="6480"/>
        </w:tabs>
        <w:ind w:left="6480" w:hanging="360"/>
      </w:pPr>
      <w:rPr>
        <w:rFonts w:ascii="Wingdings" w:hAnsi="Wingdings"/>
      </w:rPr>
    </w:lvl>
  </w:abstractNum>
  <w:abstractNum w:abstractNumId="115" w15:restartNumberingAfterBreak="0">
    <w:nsid w:val="72230535"/>
    <w:multiLevelType w:val="hybridMultilevel"/>
    <w:tmpl w:val="72230535"/>
    <w:lvl w:ilvl="0" w:tplc="4D10D2C4">
      <w:start w:val="1"/>
      <w:numFmt w:val="bullet"/>
      <w:lvlText w:val=""/>
      <w:lvlJc w:val="left"/>
      <w:pPr>
        <w:ind w:left="720" w:hanging="360"/>
      </w:pPr>
      <w:rPr>
        <w:rFonts w:ascii="Symbol" w:hAnsi="Symbol"/>
      </w:rPr>
    </w:lvl>
    <w:lvl w:ilvl="1" w:tplc="3AAC3338">
      <w:start w:val="1"/>
      <w:numFmt w:val="bullet"/>
      <w:lvlText w:val="o"/>
      <w:lvlJc w:val="left"/>
      <w:pPr>
        <w:tabs>
          <w:tab w:val="num" w:pos="1440"/>
        </w:tabs>
        <w:ind w:left="1440" w:hanging="360"/>
      </w:pPr>
      <w:rPr>
        <w:rFonts w:ascii="Courier New" w:hAnsi="Courier New"/>
      </w:rPr>
    </w:lvl>
    <w:lvl w:ilvl="2" w:tplc="6FF6B572">
      <w:start w:val="1"/>
      <w:numFmt w:val="bullet"/>
      <w:lvlText w:val=""/>
      <w:lvlJc w:val="left"/>
      <w:pPr>
        <w:tabs>
          <w:tab w:val="num" w:pos="2160"/>
        </w:tabs>
        <w:ind w:left="2160" w:hanging="360"/>
      </w:pPr>
      <w:rPr>
        <w:rFonts w:ascii="Wingdings" w:hAnsi="Wingdings"/>
      </w:rPr>
    </w:lvl>
    <w:lvl w:ilvl="3" w:tplc="5F9EA278">
      <w:start w:val="1"/>
      <w:numFmt w:val="bullet"/>
      <w:lvlText w:val=""/>
      <w:lvlJc w:val="left"/>
      <w:pPr>
        <w:tabs>
          <w:tab w:val="num" w:pos="2880"/>
        </w:tabs>
        <w:ind w:left="2880" w:hanging="360"/>
      </w:pPr>
      <w:rPr>
        <w:rFonts w:ascii="Symbol" w:hAnsi="Symbol"/>
      </w:rPr>
    </w:lvl>
    <w:lvl w:ilvl="4" w:tplc="603421F2">
      <w:start w:val="1"/>
      <w:numFmt w:val="bullet"/>
      <w:lvlText w:val="o"/>
      <w:lvlJc w:val="left"/>
      <w:pPr>
        <w:tabs>
          <w:tab w:val="num" w:pos="3600"/>
        </w:tabs>
        <w:ind w:left="3600" w:hanging="360"/>
      </w:pPr>
      <w:rPr>
        <w:rFonts w:ascii="Courier New" w:hAnsi="Courier New"/>
      </w:rPr>
    </w:lvl>
    <w:lvl w:ilvl="5" w:tplc="C85ACC90">
      <w:start w:val="1"/>
      <w:numFmt w:val="bullet"/>
      <w:lvlText w:val=""/>
      <w:lvlJc w:val="left"/>
      <w:pPr>
        <w:tabs>
          <w:tab w:val="num" w:pos="4320"/>
        </w:tabs>
        <w:ind w:left="4320" w:hanging="360"/>
      </w:pPr>
      <w:rPr>
        <w:rFonts w:ascii="Wingdings" w:hAnsi="Wingdings"/>
      </w:rPr>
    </w:lvl>
    <w:lvl w:ilvl="6" w:tplc="56E85FC6">
      <w:start w:val="1"/>
      <w:numFmt w:val="bullet"/>
      <w:lvlText w:val=""/>
      <w:lvlJc w:val="left"/>
      <w:pPr>
        <w:tabs>
          <w:tab w:val="num" w:pos="5040"/>
        </w:tabs>
        <w:ind w:left="5040" w:hanging="360"/>
      </w:pPr>
      <w:rPr>
        <w:rFonts w:ascii="Symbol" w:hAnsi="Symbol"/>
      </w:rPr>
    </w:lvl>
    <w:lvl w:ilvl="7" w:tplc="949A6A0C">
      <w:start w:val="1"/>
      <w:numFmt w:val="bullet"/>
      <w:lvlText w:val="o"/>
      <w:lvlJc w:val="left"/>
      <w:pPr>
        <w:tabs>
          <w:tab w:val="num" w:pos="5760"/>
        </w:tabs>
        <w:ind w:left="5760" w:hanging="360"/>
      </w:pPr>
      <w:rPr>
        <w:rFonts w:ascii="Courier New" w:hAnsi="Courier New"/>
      </w:rPr>
    </w:lvl>
    <w:lvl w:ilvl="8" w:tplc="E11C7856">
      <w:start w:val="1"/>
      <w:numFmt w:val="bullet"/>
      <w:lvlText w:val=""/>
      <w:lvlJc w:val="left"/>
      <w:pPr>
        <w:tabs>
          <w:tab w:val="num" w:pos="6480"/>
        </w:tabs>
        <w:ind w:left="6480" w:hanging="360"/>
      </w:pPr>
      <w:rPr>
        <w:rFonts w:ascii="Wingdings" w:hAnsi="Wingdings"/>
      </w:rPr>
    </w:lvl>
  </w:abstractNum>
  <w:abstractNum w:abstractNumId="116" w15:restartNumberingAfterBreak="0">
    <w:nsid w:val="72230536"/>
    <w:multiLevelType w:val="hybridMultilevel"/>
    <w:tmpl w:val="72230536"/>
    <w:lvl w:ilvl="0" w:tplc="8A346C86">
      <w:start w:val="1"/>
      <w:numFmt w:val="bullet"/>
      <w:lvlText w:val=""/>
      <w:lvlJc w:val="left"/>
      <w:pPr>
        <w:tabs>
          <w:tab w:val="num" w:pos="720"/>
        </w:tabs>
        <w:ind w:left="720" w:hanging="360"/>
      </w:pPr>
      <w:rPr>
        <w:rFonts w:ascii="Symbol" w:hAnsi="Symbol"/>
      </w:rPr>
    </w:lvl>
    <w:lvl w:ilvl="1" w:tplc="E2FC714C">
      <w:start w:val="1"/>
      <w:numFmt w:val="bullet"/>
      <w:lvlText w:val="o"/>
      <w:lvlJc w:val="left"/>
      <w:pPr>
        <w:tabs>
          <w:tab w:val="num" w:pos="1440"/>
        </w:tabs>
        <w:ind w:left="1440" w:hanging="360"/>
      </w:pPr>
      <w:rPr>
        <w:rFonts w:ascii="Courier New" w:hAnsi="Courier New"/>
      </w:rPr>
    </w:lvl>
    <w:lvl w:ilvl="2" w:tplc="DB364A22">
      <w:start w:val="1"/>
      <w:numFmt w:val="bullet"/>
      <w:lvlText w:val=""/>
      <w:lvlJc w:val="left"/>
      <w:pPr>
        <w:tabs>
          <w:tab w:val="num" w:pos="2160"/>
        </w:tabs>
        <w:ind w:left="2160" w:hanging="360"/>
      </w:pPr>
      <w:rPr>
        <w:rFonts w:ascii="Wingdings" w:hAnsi="Wingdings"/>
      </w:rPr>
    </w:lvl>
    <w:lvl w:ilvl="3" w:tplc="53F8CA52">
      <w:start w:val="1"/>
      <w:numFmt w:val="bullet"/>
      <w:lvlText w:val=""/>
      <w:lvlJc w:val="left"/>
      <w:pPr>
        <w:tabs>
          <w:tab w:val="num" w:pos="2880"/>
        </w:tabs>
        <w:ind w:left="2880" w:hanging="360"/>
      </w:pPr>
      <w:rPr>
        <w:rFonts w:ascii="Symbol" w:hAnsi="Symbol"/>
      </w:rPr>
    </w:lvl>
    <w:lvl w:ilvl="4" w:tplc="401A9E08">
      <w:start w:val="1"/>
      <w:numFmt w:val="bullet"/>
      <w:lvlText w:val="o"/>
      <w:lvlJc w:val="left"/>
      <w:pPr>
        <w:tabs>
          <w:tab w:val="num" w:pos="3600"/>
        </w:tabs>
        <w:ind w:left="3600" w:hanging="360"/>
      </w:pPr>
      <w:rPr>
        <w:rFonts w:ascii="Courier New" w:hAnsi="Courier New"/>
      </w:rPr>
    </w:lvl>
    <w:lvl w:ilvl="5" w:tplc="48F663B0">
      <w:start w:val="1"/>
      <w:numFmt w:val="bullet"/>
      <w:lvlText w:val=""/>
      <w:lvlJc w:val="left"/>
      <w:pPr>
        <w:tabs>
          <w:tab w:val="num" w:pos="4320"/>
        </w:tabs>
        <w:ind w:left="4320" w:hanging="360"/>
      </w:pPr>
      <w:rPr>
        <w:rFonts w:ascii="Wingdings" w:hAnsi="Wingdings"/>
      </w:rPr>
    </w:lvl>
    <w:lvl w:ilvl="6" w:tplc="D3B4346A">
      <w:start w:val="1"/>
      <w:numFmt w:val="bullet"/>
      <w:lvlText w:val=""/>
      <w:lvlJc w:val="left"/>
      <w:pPr>
        <w:tabs>
          <w:tab w:val="num" w:pos="5040"/>
        </w:tabs>
        <w:ind w:left="5040" w:hanging="360"/>
      </w:pPr>
      <w:rPr>
        <w:rFonts w:ascii="Symbol" w:hAnsi="Symbol"/>
      </w:rPr>
    </w:lvl>
    <w:lvl w:ilvl="7" w:tplc="2C5AFB5C">
      <w:start w:val="1"/>
      <w:numFmt w:val="bullet"/>
      <w:lvlText w:val="o"/>
      <w:lvlJc w:val="left"/>
      <w:pPr>
        <w:tabs>
          <w:tab w:val="num" w:pos="5760"/>
        </w:tabs>
        <w:ind w:left="5760" w:hanging="360"/>
      </w:pPr>
      <w:rPr>
        <w:rFonts w:ascii="Courier New" w:hAnsi="Courier New"/>
      </w:rPr>
    </w:lvl>
    <w:lvl w:ilvl="8" w:tplc="BB2615D6">
      <w:start w:val="1"/>
      <w:numFmt w:val="bullet"/>
      <w:lvlText w:val=""/>
      <w:lvlJc w:val="left"/>
      <w:pPr>
        <w:tabs>
          <w:tab w:val="num" w:pos="6480"/>
        </w:tabs>
        <w:ind w:left="6480" w:hanging="360"/>
      </w:pPr>
      <w:rPr>
        <w:rFonts w:ascii="Wingdings" w:hAnsi="Wingdings"/>
      </w:rPr>
    </w:lvl>
  </w:abstractNum>
  <w:abstractNum w:abstractNumId="117" w15:restartNumberingAfterBreak="0">
    <w:nsid w:val="72230537"/>
    <w:multiLevelType w:val="hybridMultilevel"/>
    <w:tmpl w:val="72230537"/>
    <w:lvl w:ilvl="0" w:tplc="C3169CA8">
      <w:start w:val="1"/>
      <w:numFmt w:val="bullet"/>
      <w:lvlText w:val=""/>
      <w:lvlJc w:val="left"/>
      <w:pPr>
        <w:tabs>
          <w:tab w:val="num" w:pos="720"/>
        </w:tabs>
        <w:ind w:left="720" w:hanging="360"/>
      </w:pPr>
      <w:rPr>
        <w:rFonts w:ascii="Symbol" w:hAnsi="Symbol"/>
      </w:rPr>
    </w:lvl>
    <w:lvl w:ilvl="1" w:tplc="52B2F486">
      <w:start w:val="1"/>
      <w:numFmt w:val="bullet"/>
      <w:lvlText w:val="o"/>
      <w:lvlJc w:val="left"/>
      <w:pPr>
        <w:tabs>
          <w:tab w:val="num" w:pos="1440"/>
        </w:tabs>
        <w:ind w:left="1440" w:hanging="360"/>
      </w:pPr>
      <w:rPr>
        <w:rFonts w:ascii="Courier New" w:hAnsi="Courier New"/>
      </w:rPr>
    </w:lvl>
    <w:lvl w:ilvl="2" w:tplc="5F408EEE">
      <w:start w:val="1"/>
      <w:numFmt w:val="bullet"/>
      <w:lvlText w:val=""/>
      <w:lvlJc w:val="left"/>
      <w:pPr>
        <w:tabs>
          <w:tab w:val="num" w:pos="2160"/>
        </w:tabs>
        <w:ind w:left="2160" w:hanging="360"/>
      </w:pPr>
      <w:rPr>
        <w:rFonts w:ascii="Wingdings" w:hAnsi="Wingdings"/>
      </w:rPr>
    </w:lvl>
    <w:lvl w:ilvl="3" w:tplc="E21E3FD6">
      <w:start w:val="1"/>
      <w:numFmt w:val="bullet"/>
      <w:lvlText w:val=""/>
      <w:lvlJc w:val="left"/>
      <w:pPr>
        <w:tabs>
          <w:tab w:val="num" w:pos="2880"/>
        </w:tabs>
        <w:ind w:left="2880" w:hanging="360"/>
      </w:pPr>
      <w:rPr>
        <w:rFonts w:ascii="Symbol" w:hAnsi="Symbol"/>
      </w:rPr>
    </w:lvl>
    <w:lvl w:ilvl="4" w:tplc="4B380648">
      <w:start w:val="1"/>
      <w:numFmt w:val="bullet"/>
      <w:lvlText w:val="o"/>
      <w:lvlJc w:val="left"/>
      <w:pPr>
        <w:tabs>
          <w:tab w:val="num" w:pos="3600"/>
        </w:tabs>
        <w:ind w:left="3600" w:hanging="360"/>
      </w:pPr>
      <w:rPr>
        <w:rFonts w:ascii="Courier New" w:hAnsi="Courier New"/>
      </w:rPr>
    </w:lvl>
    <w:lvl w:ilvl="5" w:tplc="6DE698AA">
      <w:start w:val="1"/>
      <w:numFmt w:val="bullet"/>
      <w:lvlText w:val=""/>
      <w:lvlJc w:val="left"/>
      <w:pPr>
        <w:tabs>
          <w:tab w:val="num" w:pos="4320"/>
        </w:tabs>
        <w:ind w:left="4320" w:hanging="360"/>
      </w:pPr>
      <w:rPr>
        <w:rFonts w:ascii="Wingdings" w:hAnsi="Wingdings"/>
      </w:rPr>
    </w:lvl>
    <w:lvl w:ilvl="6" w:tplc="4C5E2528">
      <w:start w:val="1"/>
      <w:numFmt w:val="bullet"/>
      <w:lvlText w:val=""/>
      <w:lvlJc w:val="left"/>
      <w:pPr>
        <w:tabs>
          <w:tab w:val="num" w:pos="5040"/>
        </w:tabs>
        <w:ind w:left="5040" w:hanging="360"/>
      </w:pPr>
      <w:rPr>
        <w:rFonts w:ascii="Symbol" w:hAnsi="Symbol"/>
      </w:rPr>
    </w:lvl>
    <w:lvl w:ilvl="7" w:tplc="B40CD416">
      <w:start w:val="1"/>
      <w:numFmt w:val="bullet"/>
      <w:lvlText w:val="o"/>
      <w:lvlJc w:val="left"/>
      <w:pPr>
        <w:tabs>
          <w:tab w:val="num" w:pos="5760"/>
        </w:tabs>
        <w:ind w:left="5760" w:hanging="360"/>
      </w:pPr>
      <w:rPr>
        <w:rFonts w:ascii="Courier New" w:hAnsi="Courier New"/>
      </w:rPr>
    </w:lvl>
    <w:lvl w:ilvl="8" w:tplc="EA9E2D3E">
      <w:start w:val="1"/>
      <w:numFmt w:val="bullet"/>
      <w:lvlText w:val=""/>
      <w:lvlJc w:val="left"/>
      <w:pPr>
        <w:tabs>
          <w:tab w:val="num" w:pos="6480"/>
        </w:tabs>
        <w:ind w:left="6480" w:hanging="360"/>
      </w:pPr>
      <w:rPr>
        <w:rFonts w:ascii="Wingdings" w:hAnsi="Wingdings"/>
      </w:rPr>
    </w:lvl>
  </w:abstractNum>
  <w:abstractNum w:abstractNumId="118" w15:restartNumberingAfterBreak="0">
    <w:nsid w:val="72230538"/>
    <w:multiLevelType w:val="hybridMultilevel"/>
    <w:tmpl w:val="72230538"/>
    <w:lvl w:ilvl="0" w:tplc="F33CD642">
      <w:start w:val="1"/>
      <w:numFmt w:val="bullet"/>
      <w:lvlText w:val=""/>
      <w:lvlJc w:val="left"/>
      <w:pPr>
        <w:tabs>
          <w:tab w:val="num" w:pos="720"/>
        </w:tabs>
        <w:ind w:left="720" w:hanging="360"/>
      </w:pPr>
      <w:rPr>
        <w:rFonts w:ascii="Symbol" w:hAnsi="Symbol"/>
      </w:rPr>
    </w:lvl>
    <w:lvl w:ilvl="1" w:tplc="40E294B6">
      <w:start w:val="1"/>
      <w:numFmt w:val="bullet"/>
      <w:lvlText w:val="o"/>
      <w:lvlJc w:val="left"/>
      <w:pPr>
        <w:tabs>
          <w:tab w:val="num" w:pos="1440"/>
        </w:tabs>
        <w:ind w:left="1440" w:hanging="360"/>
      </w:pPr>
      <w:rPr>
        <w:rFonts w:ascii="Courier New" w:hAnsi="Courier New"/>
      </w:rPr>
    </w:lvl>
    <w:lvl w:ilvl="2" w:tplc="AE48B080">
      <w:start w:val="1"/>
      <w:numFmt w:val="bullet"/>
      <w:lvlText w:val=""/>
      <w:lvlJc w:val="left"/>
      <w:pPr>
        <w:tabs>
          <w:tab w:val="num" w:pos="2160"/>
        </w:tabs>
        <w:ind w:left="2160" w:hanging="360"/>
      </w:pPr>
      <w:rPr>
        <w:rFonts w:ascii="Wingdings" w:hAnsi="Wingdings"/>
      </w:rPr>
    </w:lvl>
    <w:lvl w:ilvl="3" w:tplc="D466C388">
      <w:start w:val="1"/>
      <w:numFmt w:val="bullet"/>
      <w:lvlText w:val=""/>
      <w:lvlJc w:val="left"/>
      <w:pPr>
        <w:tabs>
          <w:tab w:val="num" w:pos="2880"/>
        </w:tabs>
        <w:ind w:left="2880" w:hanging="360"/>
      </w:pPr>
      <w:rPr>
        <w:rFonts w:ascii="Symbol" w:hAnsi="Symbol"/>
      </w:rPr>
    </w:lvl>
    <w:lvl w:ilvl="4" w:tplc="F18E5498">
      <w:start w:val="1"/>
      <w:numFmt w:val="bullet"/>
      <w:lvlText w:val="o"/>
      <w:lvlJc w:val="left"/>
      <w:pPr>
        <w:tabs>
          <w:tab w:val="num" w:pos="3600"/>
        </w:tabs>
        <w:ind w:left="3600" w:hanging="360"/>
      </w:pPr>
      <w:rPr>
        <w:rFonts w:ascii="Courier New" w:hAnsi="Courier New"/>
      </w:rPr>
    </w:lvl>
    <w:lvl w:ilvl="5" w:tplc="DFA8F226">
      <w:start w:val="1"/>
      <w:numFmt w:val="bullet"/>
      <w:lvlText w:val=""/>
      <w:lvlJc w:val="left"/>
      <w:pPr>
        <w:tabs>
          <w:tab w:val="num" w:pos="4320"/>
        </w:tabs>
        <w:ind w:left="4320" w:hanging="360"/>
      </w:pPr>
      <w:rPr>
        <w:rFonts w:ascii="Wingdings" w:hAnsi="Wingdings"/>
      </w:rPr>
    </w:lvl>
    <w:lvl w:ilvl="6" w:tplc="5D805886">
      <w:start w:val="1"/>
      <w:numFmt w:val="bullet"/>
      <w:lvlText w:val=""/>
      <w:lvlJc w:val="left"/>
      <w:pPr>
        <w:tabs>
          <w:tab w:val="num" w:pos="5040"/>
        </w:tabs>
        <w:ind w:left="5040" w:hanging="360"/>
      </w:pPr>
      <w:rPr>
        <w:rFonts w:ascii="Symbol" w:hAnsi="Symbol"/>
      </w:rPr>
    </w:lvl>
    <w:lvl w:ilvl="7" w:tplc="9458830A">
      <w:start w:val="1"/>
      <w:numFmt w:val="bullet"/>
      <w:lvlText w:val="o"/>
      <w:lvlJc w:val="left"/>
      <w:pPr>
        <w:tabs>
          <w:tab w:val="num" w:pos="5760"/>
        </w:tabs>
        <w:ind w:left="5760" w:hanging="360"/>
      </w:pPr>
      <w:rPr>
        <w:rFonts w:ascii="Courier New" w:hAnsi="Courier New"/>
      </w:rPr>
    </w:lvl>
    <w:lvl w:ilvl="8" w:tplc="8D94FE40">
      <w:start w:val="1"/>
      <w:numFmt w:val="bullet"/>
      <w:lvlText w:val=""/>
      <w:lvlJc w:val="left"/>
      <w:pPr>
        <w:tabs>
          <w:tab w:val="num" w:pos="6480"/>
        </w:tabs>
        <w:ind w:left="6480" w:hanging="360"/>
      </w:pPr>
      <w:rPr>
        <w:rFonts w:ascii="Wingdings" w:hAnsi="Wingdings"/>
      </w:rPr>
    </w:lvl>
  </w:abstractNum>
  <w:abstractNum w:abstractNumId="119" w15:restartNumberingAfterBreak="0">
    <w:nsid w:val="72230539"/>
    <w:multiLevelType w:val="hybridMultilevel"/>
    <w:tmpl w:val="72230539"/>
    <w:lvl w:ilvl="0" w:tplc="D8BEA93C">
      <w:start w:val="1"/>
      <w:numFmt w:val="bullet"/>
      <w:lvlText w:val=""/>
      <w:lvlJc w:val="left"/>
      <w:pPr>
        <w:tabs>
          <w:tab w:val="num" w:pos="720"/>
        </w:tabs>
        <w:ind w:left="720" w:hanging="360"/>
      </w:pPr>
      <w:rPr>
        <w:rFonts w:ascii="Symbol" w:hAnsi="Symbol"/>
      </w:rPr>
    </w:lvl>
    <w:lvl w:ilvl="1" w:tplc="124EB5F0">
      <w:start w:val="1"/>
      <w:numFmt w:val="bullet"/>
      <w:lvlText w:val="o"/>
      <w:lvlJc w:val="left"/>
      <w:pPr>
        <w:tabs>
          <w:tab w:val="num" w:pos="1440"/>
        </w:tabs>
        <w:ind w:left="1440" w:hanging="360"/>
      </w:pPr>
      <w:rPr>
        <w:rFonts w:ascii="Courier New" w:hAnsi="Courier New"/>
      </w:rPr>
    </w:lvl>
    <w:lvl w:ilvl="2" w:tplc="547C8780">
      <w:start w:val="1"/>
      <w:numFmt w:val="bullet"/>
      <w:lvlText w:val=""/>
      <w:lvlJc w:val="left"/>
      <w:pPr>
        <w:tabs>
          <w:tab w:val="num" w:pos="2160"/>
        </w:tabs>
        <w:ind w:left="2160" w:hanging="360"/>
      </w:pPr>
      <w:rPr>
        <w:rFonts w:ascii="Wingdings" w:hAnsi="Wingdings"/>
      </w:rPr>
    </w:lvl>
    <w:lvl w:ilvl="3" w:tplc="9DA8E6AE">
      <w:start w:val="1"/>
      <w:numFmt w:val="bullet"/>
      <w:lvlText w:val=""/>
      <w:lvlJc w:val="left"/>
      <w:pPr>
        <w:tabs>
          <w:tab w:val="num" w:pos="2880"/>
        </w:tabs>
        <w:ind w:left="2880" w:hanging="360"/>
      </w:pPr>
      <w:rPr>
        <w:rFonts w:ascii="Symbol" w:hAnsi="Symbol"/>
      </w:rPr>
    </w:lvl>
    <w:lvl w:ilvl="4" w:tplc="66484C54">
      <w:start w:val="1"/>
      <w:numFmt w:val="bullet"/>
      <w:lvlText w:val="o"/>
      <w:lvlJc w:val="left"/>
      <w:pPr>
        <w:tabs>
          <w:tab w:val="num" w:pos="3600"/>
        </w:tabs>
        <w:ind w:left="3600" w:hanging="360"/>
      </w:pPr>
      <w:rPr>
        <w:rFonts w:ascii="Courier New" w:hAnsi="Courier New"/>
      </w:rPr>
    </w:lvl>
    <w:lvl w:ilvl="5" w:tplc="B5864CFC">
      <w:start w:val="1"/>
      <w:numFmt w:val="bullet"/>
      <w:lvlText w:val=""/>
      <w:lvlJc w:val="left"/>
      <w:pPr>
        <w:tabs>
          <w:tab w:val="num" w:pos="4320"/>
        </w:tabs>
        <w:ind w:left="4320" w:hanging="360"/>
      </w:pPr>
      <w:rPr>
        <w:rFonts w:ascii="Wingdings" w:hAnsi="Wingdings"/>
      </w:rPr>
    </w:lvl>
    <w:lvl w:ilvl="6" w:tplc="E7F8B312">
      <w:start w:val="1"/>
      <w:numFmt w:val="bullet"/>
      <w:lvlText w:val=""/>
      <w:lvlJc w:val="left"/>
      <w:pPr>
        <w:tabs>
          <w:tab w:val="num" w:pos="5040"/>
        </w:tabs>
        <w:ind w:left="5040" w:hanging="360"/>
      </w:pPr>
      <w:rPr>
        <w:rFonts w:ascii="Symbol" w:hAnsi="Symbol"/>
      </w:rPr>
    </w:lvl>
    <w:lvl w:ilvl="7" w:tplc="2FF66654">
      <w:start w:val="1"/>
      <w:numFmt w:val="bullet"/>
      <w:lvlText w:val="o"/>
      <w:lvlJc w:val="left"/>
      <w:pPr>
        <w:tabs>
          <w:tab w:val="num" w:pos="5760"/>
        </w:tabs>
        <w:ind w:left="5760" w:hanging="360"/>
      </w:pPr>
      <w:rPr>
        <w:rFonts w:ascii="Courier New" w:hAnsi="Courier New"/>
      </w:rPr>
    </w:lvl>
    <w:lvl w:ilvl="8" w:tplc="2BB08B9A">
      <w:start w:val="1"/>
      <w:numFmt w:val="bullet"/>
      <w:lvlText w:val=""/>
      <w:lvlJc w:val="left"/>
      <w:pPr>
        <w:tabs>
          <w:tab w:val="num" w:pos="6480"/>
        </w:tabs>
        <w:ind w:left="6480" w:hanging="360"/>
      </w:pPr>
      <w:rPr>
        <w:rFonts w:ascii="Wingdings" w:hAnsi="Wingdings"/>
      </w:rPr>
    </w:lvl>
  </w:abstractNum>
  <w:abstractNum w:abstractNumId="120" w15:restartNumberingAfterBreak="0">
    <w:nsid w:val="7223053A"/>
    <w:multiLevelType w:val="hybridMultilevel"/>
    <w:tmpl w:val="7223053A"/>
    <w:lvl w:ilvl="0" w:tplc="B7DE69F6">
      <w:start w:val="1"/>
      <w:numFmt w:val="bullet"/>
      <w:lvlText w:val=""/>
      <w:lvlJc w:val="left"/>
      <w:pPr>
        <w:tabs>
          <w:tab w:val="num" w:pos="720"/>
        </w:tabs>
        <w:ind w:left="720" w:hanging="360"/>
      </w:pPr>
      <w:rPr>
        <w:rFonts w:ascii="Symbol" w:hAnsi="Symbol"/>
      </w:rPr>
    </w:lvl>
    <w:lvl w:ilvl="1" w:tplc="6DBE8070">
      <w:start w:val="1"/>
      <w:numFmt w:val="bullet"/>
      <w:lvlText w:val="o"/>
      <w:lvlJc w:val="left"/>
      <w:pPr>
        <w:tabs>
          <w:tab w:val="num" w:pos="1440"/>
        </w:tabs>
        <w:ind w:left="1440" w:hanging="360"/>
      </w:pPr>
      <w:rPr>
        <w:rFonts w:ascii="Courier New" w:hAnsi="Courier New"/>
      </w:rPr>
    </w:lvl>
    <w:lvl w:ilvl="2" w:tplc="C4849752">
      <w:start w:val="1"/>
      <w:numFmt w:val="bullet"/>
      <w:lvlText w:val=""/>
      <w:lvlJc w:val="left"/>
      <w:pPr>
        <w:tabs>
          <w:tab w:val="num" w:pos="2160"/>
        </w:tabs>
        <w:ind w:left="2160" w:hanging="360"/>
      </w:pPr>
      <w:rPr>
        <w:rFonts w:ascii="Wingdings" w:hAnsi="Wingdings"/>
      </w:rPr>
    </w:lvl>
    <w:lvl w:ilvl="3" w:tplc="90B61CD4">
      <w:start w:val="1"/>
      <w:numFmt w:val="bullet"/>
      <w:lvlText w:val=""/>
      <w:lvlJc w:val="left"/>
      <w:pPr>
        <w:tabs>
          <w:tab w:val="num" w:pos="2880"/>
        </w:tabs>
        <w:ind w:left="2880" w:hanging="360"/>
      </w:pPr>
      <w:rPr>
        <w:rFonts w:ascii="Symbol" w:hAnsi="Symbol"/>
      </w:rPr>
    </w:lvl>
    <w:lvl w:ilvl="4" w:tplc="771CDC52">
      <w:start w:val="1"/>
      <w:numFmt w:val="bullet"/>
      <w:lvlText w:val="o"/>
      <w:lvlJc w:val="left"/>
      <w:pPr>
        <w:tabs>
          <w:tab w:val="num" w:pos="3600"/>
        </w:tabs>
        <w:ind w:left="3600" w:hanging="360"/>
      </w:pPr>
      <w:rPr>
        <w:rFonts w:ascii="Courier New" w:hAnsi="Courier New"/>
      </w:rPr>
    </w:lvl>
    <w:lvl w:ilvl="5" w:tplc="CAE449CA">
      <w:start w:val="1"/>
      <w:numFmt w:val="bullet"/>
      <w:lvlText w:val=""/>
      <w:lvlJc w:val="left"/>
      <w:pPr>
        <w:tabs>
          <w:tab w:val="num" w:pos="4320"/>
        </w:tabs>
        <w:ind w:left="4320" w:hanging="360"/>
      </w:pPr>
      <w:rPr>
        <w:rFonts w:ascii="Wingdings" w:hAnsi="Wingdings"/>
      </w:rPr>
    </w:lvl>
    <w:lvl w:ilvl="6" w:tplc="2EA4A1B0">
      <w:start w:val="1"/>
      <w:numFmt w:val="bullet"/>
      <w:lvlText w:val=""/>
      <w:lvlJc w:val="left"/>
      <w:pPr>
        <w:tabs>
          <w:tab w:val="num" w:pos="5040"/>
        </w:tabs>
        <w:ind w:left="5040" w:hanging="360"/>
      </w:pPr>
      <w:rPr>
        <w:rFonts w:ascii="Symbol" w:hAnsi="Symbol"/>
      </w:rPr>
    </w:lvl>
    <w:lvl w:ilvl="7" w:tplc="763088A6">
      <w:start w:val="1"/>
      <w:numFmt w:val="bullet"/>
      <w:lvlText w:val="o"/>
      <w:lvlJc w:val="left"/>
      <w:pPr>
        <w:tabs>
          <w:tab w:val="num" w:pos="5760"/>
        </w:tabs>
        <w:ind w:left="5760" w:hanging="360"/>
      </w:pPr>
      <w:rPr>
        <w:rFonts w:ascii="Courier New" w:hAnsi="Courier New"/>
      </w:rPr>
    </w:lvl>
    <w:lvl w:ilvl="8" w:tplc="C144E838">
      <w:start w:val="1"/>
      <w:numFmt w:val="bullet"/>
      <w:lvlText w:val=""/>
      <w:lvlJc w:val="left"/>
      <w:pPr>
        <w:tabs>
          <w:tab w:val="num" w:pos="6480"/>
        </w:tabs>
        <w:ind w:left="6480" w:hanging="360"/>
      </w:pPr>
      <w:rPr>
        <w:rFonts w:ascii="Wingdings" w:hAnsi="Wingdings"/>
      </w:rPr>
    </w:lvl>
  </w:abstractNum>
  <w:abstractNum w:abstractNumId="121" w15:restartNumberingAfterBreak="0">
    <w:nsid w:val="7223053B"/>
    <w:multiLevelType w:val="hybridMultilevel"/>
    <w:tmpl w:val="7223053B"/>
    <w:lvl w:ilvl="0" w:tplc="DB18AFD2">
      <w:start w:val="1"/>
      <w:numFmt w:val="bullet"/>
      <w:lvlText w:val=""/>
      <w:lvlJc w:val="left"/>
      <w:pPr>
        <w:tabs>
          <w:tab w:val="num" w:pos="720"/>
        </w:tabs>
        <w:ind w:left="720" w:hanging="360"/>
      </w:pPr>
      <w:rPr>
        <w:rFonts w:ascii="Symbol" w:hAnsi="Symbol"/>
      </w:rPr>
    </w:lvl>
    <w:lvl w:ilvl="1" w:tplc="B59A8D9E">
      <w:start w:val="1"/>
      <w:numFmt w:val="bullet"/>
      <w:lvlText w:val="o"/>
      <w:lvlJc w:val="left"/>
      <w:pPr>
        <w:tabs>
          <w:tab w:val="num" w:pos="1440"/>
        </w:tabs>
        <w:ind w:left="1440" w:hanging="360"/>
      </w:pPr>
      <w:rPr>
        <w:rFonts w:ascii="Courier New" w:hAnsi="Courier New"/>
      </w:rPr>
    </w:lvl>
    <w:lvl w:ilvl="2" w:tplc="55AC0ED6">
      <w:start w:val="1"/>
      <w:numFmt w:val="bullet"/>
      <w:lvlText w:val=""/>
      <w:lvlJc w:val="left"/>
      <w:pPr>
        <w:tabs>
          <w:tab w:val="num" w:pos="2160"/>
        </w:tabs>
        <w:ind w:left="2160" w:hanging="360"/>
      </w:pPr>
      <w:rPr>
        <w:rFonts w:ascii="Wingdings" w:hAnsi="Wingdings"/>
      </w:rPr>
    </w:lvl>
    <w:lvl w:ilvl="3" w:tplc="9154E568">
      <w:start w:val="1"/>
      <w:numFmt w:val="bullet"/>
      <w:lvlText w:val=""/>
      <w:lvlJc w:val="left"/>
      <w:pPr>
        <w:tabs>
          <w:tab w:val="num" w:pos="2880"/>
        </w:tabs>
        <w:ind w:left="2880" w:hanging="360"/>
      </w:pPr>
      <w:rPr>
        <w:rFonts w:ascii="Symbol" w:hAnsi="Symbol"/>
      </w:rPr>
    </w:lvl>
    <w:lvl w:ilvl="4" w:tplc="79D8B916">
      <w:start w:val="1"/>
      <w:numFmt w:val="bullet"/>
      <w:lvlText w:val="o"/>
      <w:lvlJc w:val="left"/>
      <w:pPr>
        <w:tabs>
          <w:tab w:val="num" w:pos="3600"/>
        </w:tabs>
        <w:ind w:left="3600" w:hanging="360"/>
      </w:pPr>
      <w:rPr>
        <w:rFonts w:ascii="Courier New" w:hAnsi="Courier New"/>
      </w:rPr>
    </w:lvl>
    <w:lvl w:ilvl="5" w:tplc="F08E390E">
      <w:start w:val="1"/>
      <w:numFmt w:val="bullet"/>
      <w:lvlText w:val=""/>
      <w:lvlJc w:val="left"/>
      <w:pPr>
        <w:tabs>
          <w:tab w:val="num" w:pos="4320"/>
        </w:tabs>
        <w:ind w:left="4320" w:hanging="360"/>
      </w:pPr>
      <w:rPr>
        <w:rFonts w:ascii="Wingdings" w:hAnsi="Wingdings"/>
      </w:rPr>
    </w:lvl>
    <w:lvl w:ilvl="6" w:tplc="236C4CAA">
      <w:start w:val="1"/>
      <w:numFmt w:val="bullet"/>
      <w:lvlText w:val=""/>
      <w:lvlJc w:val="left"/>
      <w:pPr>
        <w:tabs>
          <w:tab w:val="num" w:pos="5040"/>
        </w:tabs>
        <w:ind w:left="5040" w:hanging="360"/>
      </w:pPr>
      <w:rPr>
        <w:rFonts w:ascii="Symbol" w:hAnsi="Symbol"/>
      </w:rPr>
    </w:lvl>
    <w:lvl w:ilvl="7" w:tplc="AB78B6B8">
      <w:start w:val="1"/>
      <w:numFmt w:val="bullet"/>
      <w:lvlText w:val="o"/>
      <w:lvlJc w:val="left"/>
      <w:pPr>
        <w:tabs>
          <w:tab w:val="num" w:pos="5760"/>
        </w:tabs>
        <w:ind w:left="5760" w:hanging="360"/>
      </w:pPr>
      <w:rPr>
        <w:rFonts w:ascii="Courier New" w:hAnsi="Courier New"/>
      </w:rPr>
    </w:lvl>
    <w:lvl w:ilvl="8" w:tplc="60B2FA78">
      <w:start w:val="1"/>
      <w:numFmt w:val="bullet"/>
      <w:lvlText w:val=""/>
      <w:lvlJc w:val="left"/>
      <w:pPr>
        <w:tabs>
          <w:tab w:val="num" w:pos="6480"/>
        </w:tabs>
        <w:ind w:left="6480" w:hanging="360"/>
      </w:pPr>
      <w:rPr>
        <w:rFonts w:ascii="Wingdings" w:hAnsi="Wingdings"/>
      </w:rPr>
    </w:lvl>
  </w:abstractNum>
  <w:abstractNum w:abstractNumId="122" w15:restartNumberingAfterBreak="0">
    <w:nsid w:val="7223053C"/>
    <w:multiLevelType w:val="hybridMultilevel"/>
    <w:tmpl w:val="7223053C"/>
    <w:lvl w:ilvl="0" w:tplc="FA7E4EFA">
      <w:start w:val="1"/>
      <w:numFmt w:val="bullet"/>
      <w:lvlText w:val=""/>
      <w:lvlJc w:val="left"/>
      <w:pPr>
        <w:tabs>
          <w:tab w:val="num" w:pos="720"/>
        </w:tabs>
        <w:ind w:left="720" w:hanging="360"/>
      </w:pPr>
      <w:rPr>
        <w:rFonts w:ascii="Symbol" w:hAnsi="Symbol"/>
      </w:rPr>
    </w:lvl>
    <w:lvl w:ilvl="1" w:tplc="53204B84">
      <w:start w:val="1"/>
      <w:numFmt w:val="bullet"/>
      <w:lvlText w:val="o"/>
      <w:lvlJc w:val="left"/>
      <w:pPr>
        <w:tabs>
          <w:tab w:val="num" w:pos="1440"/>
        </w:tabs>
        <w:ind w:left="1440" w:hanging="360"/>
      </w:pPr>
      <w:rPr>
        <w:rFonts w:ascii="Courier New" w:hAnsi="Courier New"/>
      </w:rPr>
    </w:lvl>
    <w:lvl w:ilvl="2" w:tplc="8AB6E202">
      <w:start w:val="1"/>
      <w:numFmt w:val="bullet"/>
      <w:lvlText w:val=""/>
      <w:lvlJc w:val="left"/>
      <w:pPr>
        <w:tabs>
          <w:tab w:val="num" w:pos="2160"/>
        </w:tabs>
        <w:ind w:left="2160" w:hanging="360"/>
      </w:pPr>
      <w:rPr>
        <w:rFonts w:ascii="Wingdings" w:hAnsi="Wingdings"/>
      </w:rPr>
    </w:lvl>
    <w:lvl w:ilvl="3" w:tplc="1ED0890E">
      <w:start w:val="1"/>
      <w:numFmt w:val="bullet"/>
      <w:lvlText w:val=""/>
      <w:lvlJc w:val="left"/>
      <w:pPr>
        <w:tabs>
          <w:tab w:val="num" w:pos="2880"/>
        </w:tabs>
        <w:ind w:left="2880" w:hanging="360"/>
      </w:pPr>
      <w:rPr>
        <w:rFonts w:ascii="Symbol" w:hAnsi="Symbol"/>
      </w:rPr>
    </w:lvl>
    <w:lvl w:ilvl="4" w:tplc="502E7258">
      <w:start w:val="1"/>
      <w:numFmt w:val="bullet"/>
      <w:lvlText w:val="o"/>
      <w:lvlJc w:val="left"/>
      <w:pPr>
        <w:tabs>
          <w:tab w:val="num" w:pos="3600"/>
        </w:tabs>
        <w:ind w:left="3600" w:hanging="360"/>
      </w:pPr>
      <w:rPr>
        <w:rFonts w:ascii="Courier New" w:hAnsi="Courier New"/>
      </w:rPr>
    </w:lvl>
    <w:lvl w:ilvl="5" w:tplc="19C4E336">
      <w:start w:val="1"/>
      <w:numFmt w:val="bullet"/>
      <w:lvlText w:val=""/>
      <w:lvlJc w:val="left"/>
      <w:pPr>
        <w:tabs>
          <w:tab w:val="num" w:pos="4320"/>
        </w:tabs>
        <w:ind w:left="4320" w:hanging="360"/>
      </w:pPr>
      <w:rPr>
        <w:rFonts w:ascii="Wingdings" w:hAnsi="Wingdings"/>
      </w:rPr>
    </w:lvl>
    <w:lvl w:ilvl="6" w:tplc="42D411F8">
      <w:start w:val="1"/>
      <w:numFmt w:val="bullet"/>
      <w:lvlText w:val=""/>
      <w:lvlJc w:val="left"/>
      <w:pPr>
        <w:tabs>
          <w:tab w:val="num" w:pos="5040"/>
        </w:tabs>
        <w:ind w:left="5040" w:hanging="360"/>
      </w:pPr>
      <w:rPr>
        <w:rFonts w:ascii="Symbol" w:hAnsi="Symbol"/>
      </w:rPr>
    </w:lvl>
    <w:lvl w:ilvl="7" w:tplc="A5ECF484">
      <w:start w:val="1"/>
      <w:numFmt w:val="bullet"/>
      <w:lvlText w:val="o"/>
      <w:lvlJc w:val="left"/>
      <w:pPr>
        <w:tabs>
          <w:tab w:val="num" w:pos="5760"/>
        </w:tabs>
        <w:ind w:left="5760" w:hanging="360"/>
      </w:pPr>
      <w:rPr>
        <w:rFonts w:ascii="Courier New" w:hAnsi="Courier New"/>
      </w:rPr>
    </w:lvl>
    <w:lvl w:ilvl="8" w:tplc="1152C096">
      <w:start w:val="1"/>
      <w:numFmt w:val="bullet"/>
      <w:lvlText w:val=""/>
      <w:lvlJc w:val="left"/>
      <w:pPr>
        <w:tabs>
          <w:tab w:val="num" w:pos="6480"/>
        </w:tabs>
        <w:ind w:left="6480" w:hanging="360"/>
      </w:pPr>
      <w:rPr>
        <w:rFonts w:ascii="Wingdings" w:hAnsi="Wingdings"/>
      </w:rPr>
    </w:lvl>
  </w:abstractNum>
  <w:abstractNum w:abstractNumId="123" w15:restartNumberingAfterBreak="0">
    <w:nsid w:val="7223053D"/>
    <w:multiLevelType w:val="hybridMultilevel"/>
    <w:tmpl w:val="7223053D"/>
    <w:lvl w:ilvl="0" w:tplc="AAF032C4">
      <w:start w:val="1"/>
      <w:numFmt w:val="bullet"/>
      <w:lvlText w:val=""/>
      <w:lvlJc w:val="left"/>
      <w:pPr>
        <w:tabs>
          <w:tab w:val="num" w:pos="720"/>
        </w:tabs>
        <w:ind w:left="720" w:hanging="360"/>
      </w:pPr>
      <w:rPr>
        <w:rFonts w:ascii="Symbol" w:hAnsi="Symbol"/>
      </w:rPr>
    </w:lvl>
    <w:lvl w:ilvl="1" w:tplc="DB32B1A4">
      <w:start w:val="1"/>
      <w:numFmt w:val="bullet"/>
      <w:lvlText w:val="o"/>
      <w:lvlJc w:val="left"/>
      <w:pPr>
        <w:tabs>
          <w:tab w:val="num" w:pos="1440"/>
        </w:tabs>
        <w:ind w:left="1440" w:hanging="360"/>
      </w:pPr>
      <w:rPr>
        <w:rFonts w:ascii="Courier New" w:hAnsi="Courier New"/>
      </w:rPr>
    </w:lvl>
    <w:lvl w:ilvl="2" w:tplc="7C72AAEC">
      <w:start w:val="1"/>
      <w:numFmt w:val="bullet"/>
      <w:lvlText w:val=""/>
      <w:lvlJc w:val="left"/>
      <w:pPr>
        <w:tabs>
          <w:tab w:val="num" w:pos="2160"/>
        </w:tabs>
        <w:ind w:left="2160" w:hanging="360"/>
      </w:pPr>
      <w:rPr>
        <w:rFonts w:ascii="Wingdings" w:hAnsi="Wingdings"/>
      </w:rPr>
    </w:lvl>
    <w:lvl w:ilvl="3" w:tplc="C2E205C8">
      <w:start w:val="1"/>
      <w:numFmt w:val="bullet"/>
      <w:lvlText w:val=""/>
      <w:lvlJc w:val="left"/>
      <w:pPr>
        <w:tabs>
          <w:tab w:val="num" w:pos="2880"/>
        </w:tabs>
        <w:ind w:left="2880" w:hanging="360"/>
      </w:pPr>
      <w:rPr>
        <w:rFonts w:ascii="Symbol" w:hAnsi="Symbol"/>
      </w:rPr>
    </w:lvl>
    <w:lvl w:ilvl="4" w:tplc="37C634C0">
      <w:start w:val="1"/>
      <w:numFmt w:val="bullet"/>
      <w:lvlText w:val="o"/>
      <w:lvlJc w:val="left"/>
      <w:pPr>
        <w:tabs>
          <w:tab w:val="num" w:pos="3600"/>
        </w:tabs>
        <w:ind w:left="3600" w:hanging="360"/>
      </w:pPr>
      <w:rPr>
        <w:rFonts w:ascii="Courier New" w:hAnsi="Courier New"/>
      </w:rPr>
    </w:lvl>
    <w:lvl w:ilvl="5" w:tplc="F3441A66">
      <w:start w:val="1"/>
      <w:numFmt w:val="bullet"/>
      <w:lvlText w:val=""/>
      <w:lvlJc w:val="left"/>
      <w:pPr>
        <w:tabs>
          <w:tab w:val="num" w:pos="4320"/>
        </w:tabs>
        <w:ind w:left="4320" w:hanging="360"/>
      </w:pPr>
      <w:rPr>
        <w:rFonts w:ascii="Wingdings" w:hAnsi="Wingdings"/>
      </w:rPr>
    </w:lvl>
    <w:lvl w:ilvl="6" w:tplc="136A4CE8">
      <w:start w:val="1"/>
      <w:numFmt w:val="bullet"/>
      <w:lvlText w:val=""/>
      <w:lvlJc w:val="left"/>
      <w:pPr>
        <w:tabs>
          <w:tab w:val="num" w:pos="5040"/>
        </w:tabs>
        <w:ind w:left="5040" w:hanging="360"/>
      </w:pPr>
      <w:rPr>
        <w:rFonts w:ascii="Symbol" w:hAnsi="Symbol"/>
      </w:rPr>
    </w:lvl>
    <w:lvl w:ilvl="7" w:tplc="B3E0476E">
      <w:start w:val="1"/>
      <w:numFmt w:val="bullet"/>
      <w:lvlText w:val="o"/>
      <w:lvlJc w:val="left"/>
      <w:pPr>
        <w:tabs>
          <w:tab w:val="num" w:pos="5760"/>
        </w:tabs>
        <w:ind w:left="5760" w:hanging="360"/>
      </w:pPr>
      <w:rPr>
        <w:rFonts w:ascii="Courier New" w:hAnsi="Courier New"/>
      </w:rPr>
    </w:lvl>
    <w:lvl w:ilvl="8" w:tplc="CA827DAA">
      <w:start w:val="1"/>
      <w:numFmt w:val="bullet"/>
      <w:lvlText w:val=""/>
      <w:lvlJc w:val="left"/>
      <w:pPr>
        <w:tabs>
          <w:tab w:val="num" w:pos="6480"/>
        </w:tabs>
        <w:ind w:left="6480" w:hanging="360"/>
      </w:pPr>
      <w:rPr>
        <w:rFonts w:ascii="Wingdings" w:hAnsi="Wingdings"/>
      </w:rPr>
    </w:lvl>
  </w:abstractNum>
  <w:abstractNum w:abstractNumId="124" w15:restartNumberingAfterBreak="0">
    <w:nsid w:val="7223053E"/>
    <w:multiLevelType w:val="hybridMultilevel"/>
    <w:tmpl w:val="7223053E"/>
    <w:lvl w:ilvl="0" w:tplc="4FC4881C">
      <w:start w:val="1"/>
      <w:numFmt w:val="bullet"/>
      <w:lvlText w:val=""/>
      <w:lvlJc w:val="left"/>
      <w:pPr>
        <w:tabs>
          <w:tab w:val="num" w:pos="720"/>
        </w:tabs>
        <w:ind w:left="720" w:hanging="360"/>
      </w:pPr>
      <w:rPr>
        <w:rFonts w:ascii="Symbol" w:hAnsi="Symbol"/>
      </w:rPr>
    </w:lvl>
    <w:lvl w:ilvl="1" w:tplc="06DA4D26">
      <w:start w:val="1"/>
      <w:numFmt w:val="bullet"/>
      <w:lvlText w:val="o"/>
      <w:lvlJc w:val="left"/>
      <w:pPr>
        <w:tabs>
          <w:tab w:val="num" w:pos="1440"/>
        </w:tabs>
        <w:ind w:left="1440" w:hanging="360"/>
      </w:pPr>
      <w:rPr>
        <w:rFonts w:ascii="Courier New" w:hAnsi="Courier New"/>
      </w:rPr>
    </w:lvl>
    <w:lvl w:ilvl="2" w:tplc="3A867142">
      <w:start w:val="1"/>
      <w:numFmt w:val="bullet"/>
      <w:lvlText w:val=""/>
      <w:lvlJc w:val="left"/>
      <w:pPr>
        <w:tabs>
          <w:tab w:val="num" w:pos="2160"/>
        </w:tabs>
        <w:ind w:left="2160" w:hanging="360"/>
      </w:pPr>
      <w:rPr>
        <w:rFonts w:ascii="Wingdings" w:hAnsi="Wingdings"/>
      </w:rPr>
    </w:lvl>
    <w:lvl w:ilvl="3" w:tplc="61600372">
      <w:start w:val="1"/>
      <w:numFmt w:val="bullet"/>
      <w:lvlText w:val=""/>
      <w:lvlJc w:val="left"/>
      <w:pPr>
        <w:tabs>
          <w:tab w:val="num" w:pos="2880"/>
        </w:tabs>
        <w:ind w:left="2880" w:hanging="360"/>
      </w:pPr>
      <w:rPr>
        <w:rFonts w:ascii="Symbol" w:hAnsi="Symbol"/>
      </w:rPr>
    </w:lvl>
    <w:lvl w:ilvl="4" w:tplc="86063566">
      <w:start w:val="1"/>
      <w:numFmt w:val="bullet"/>
      <w:lvlText w:val="o"/>
      <w:lvlJc w:val="left"/>
      <w:pPr>
        <w:tabs>
          <w:tab w:val="num" w:pos="3600"/>
        </w:tabs>
        <w:ind w:left="3600" w:hanging="360"/>
      </w:pPr>
      <w:rPr>
        <w:rFonts w:ascii="Courier New" w:hAnsi="Courier New"/>
      </w:rPr>
    </w:lvl>
    <w:lvl w:ilvl="5" w:tplc="EAB0F7DC">
      <w:start w:val="1"/>
      <w:numFmt w:val="bullet"/>
      <w:lvlText w:val=""/>
      <w:lvlJc w:val="left"/>
      <w:pPr>
        <w:tabs>
          <w:tab w:val="num" w:pos="4320"/>
        </w:tabs>
        <w:ind w:left="4320" w:hanging="360"/>
      </w:pPr>
      <w:rPr>
        <w:rFonts w:ascii="Wingdings" w:hAnsi="Wingdings"/>
      </w:rPr>
    </w:lvl>
    <w:lvl w:ilvl="6" w:tplc="5D260A88">
      <w:start w:val="1"/>
      <w:numFmt w:val="bullet"/>
      <w:lvlText w:val=""/>
      <w:lvlJc w:val="left"/>
      <w:pPr>
        <w:tabs>
          <w:tab w:val="num" w:pos="5040"/>
        </w:tabs>
        <w:ind w:left="5040" w:hanging="360"/>
      </w:pPr>
      <w:rPr>
        <w:rFonts w:ascii="Symbol" w:hAnsi="Symbol"/>
      </w:rPr>
    </w:lvl>
    <w:lvl w:ilvl="7" w:tplc="586467CA">
      <w:start w:val="1"/>
      <w:numFmt w:val="bullet"/>
      <w:lvlText w:val="o"/>
      <w:lvlJc w:val="left"/>
      <w:pPr>
        <w:tabs>
          <w:tab w:val="num" w:pos="5760"/>
        </w:tabs>
        <w:ind w:left="5760" w:hanging="360"/>
      </w:pPr>
      <w:rPr>
        <w:rFonts w:ascii="Courier New" w:hAnsi="Courier New"/>
      </w:rPr>
    </w:lvl>
    <w:lvl w:ilvl="8" w:tplc="0CB04188">
      <w:start w:val="1"/>
      <w:numFmt w:val="bullet"/>
      <w:lvlText w:val=""/>
      <w:lvlJc w:val="left"/>
      <w:pPr>
        <w:tabs>
          <w:tab w:val="num" w:pos="6480"/>
        </w:tabs>
        <w:ind w:left="6480" w:hanging="360"/>
      </w:pPr>
      <w:rPr>
        <w:rFonts w:ascii="Wingdings" w:hAnsi="Wingdings"/>
      </w:rPr>
    </w:lvl>
  </w:abstractNum>
  <w:abstractNum w:abstractNumId="125" w15:restartNumberingAfterBreak="0">
    <w:nsid w:val="7223053F"/>
    <w:multiLevelType w:val="hybridMultilevel"/>
    <w:tmpl w:val="7223053F"/>
    <w:lvl w:ilvl="0" w:tplc="4C22303A">
      <w:start w:val="1"/>
      <w:numFmt w:val="bullet"/>
      <w:lvlText w:val=""/>
      <w:lvlJc w:val="left"/>
      <w:pPr>
        <w:tabs>
          <w:tab w:val="num" w:pos="720"/>
        </w:tabs>
        <w:ind w:left="720" w:hanging="360"/>
      </w:pPr>
      <w:rPr>
        <w:rFonts w:ascii="Symbol" w:hAnsi="Symbol"/>
      </w:rPr>
    </w:lvl>
    <w:lvl w:ilvl="1" w:tplc="A81E2A88">
      <w:start w:val="1"/>
      <w:numFmt w:val="bullet"/>
      <w:lvlText w:val="o"/>
      <w:lvlJc w:val="left"/>
      <w:pPr>
        <w:tabs>
          <w:tab w:val="num" w:pos="1440"/>
        </w:tabs>
        <w:ind w:left="1440" w:hanging="360"/>
      </w:pPr>
      <w:rPr>
        <w:rFonts w:ascii="Courier New" w:hAnsi="Courier New"/>
      </w:rPr>
    </w:lvl>
    <w:lvl w:ilvl="2" w:tplc="EBA47570">
      <w:start w:val="1"/>
      <w:numFmt w:val="bullet"/>
      <w:lvlText w:val=""/>
      <w:lvlJc w:val="left"/>
      <w:pPr>
        <w:tabs>
          <w:tab w:val="num" w:pos="2160"/>
        </w:tabs>
        <w:ind w:left="2160" w:hanging="360"/>
      </w:pPr>
      <w:rPr>
        <w:rFonts w:ascii="Wingdings" w:hAnsi="Wingdings"/>
      </w:rPr>
    </w:lvl>
    <w:lvl w:ilvl="3" w:tplc="B77A6926">
      <w:start w:val="1"/>
      <w:numFmt w:val="bullet"/>
      <w:lvlText w:val=""/>
      <w:lvlJc w:val="left"/>
      <w:pPr>
        <w:tabs>
          <w:tab w:val="num" w:pos="2880"/>
        </w:tabs>
        <w:ind w:left="2880" w:hanging="360"/>
      </w:pPr>
      <w:rPr>
        <w:rFonts w:ascii="Symbol" w:hAnsi="Symbol"/>
      </w:rPr>
    </w:lvl>
    <w:lvl w:ilvl="4" w:tplc="42FAF86C">
      <w:start w:val="1"/>
      <w:numFmt w:val="bullet"/>
      <w:lvlText w:val="o"/>
      <w:lvlJc w:val="left"/>
      <w:pPr>
        <w:tabs>
          <w:tab w:val="num" w:pos="3600"/>
        </w:tabs>
        <w:ind w:left="3600" w:hanging="360"/>
      </w:pPr>
      <w:rPr>
        <w:rFonts w:ascii="Courier New" w:hAnsi="Courier New"/>
      </w:rPr>
    </w:lvl>
    <w:lvl w:ilvl="5" w:tplc="E9F28F20">
      <w:start w:val="1"/>
      <w:numFmt w:val="bullet"/>
      <w:lvlText w:val=""/>
      <w:lvlJc w:val="left"/>
      <w:pPr>
        <w:tabs>
          <w:tab w:val="num" w:pos="4320"/>
        </w:tabs>
        <w:ind w:left="4320" w:hanging="360"/>
      </w:pPr>
      <w:rPr>
        <w:rFonts w:ascii="Wingdings" w:hAnsi="Wingdings"/>
      </w:rPr>
    </w:lvl>
    <w:lvl w:ilvl="6" w:tplc="58C86664">
      <w:start w:val="1"/>
      <w:numFmt w:val="bullet"/>
      <w:lvlText w:val=""/>
      <w:lvlJc w:val="left"/>
      <w:pPr>
        <w:tabs>
          <w:tab w:val="num" w:pos="5040"/>
        </w:tabs>
        <w:ind w:left="5040" w:hanging="360"/>
      </w:pPr>
      <w:rPr>
        <w:rFonts w:ascii="Symbol" w:hAnsi="Symbol"/>
      </w:rPr>
    </w:lvl>
    <w:lvl w:ilvl="7" w:tplc="A8B6B6DA">
      <w:start w:val="1"/>
      <w:numFmt w:val="bullet"/>
      <w:lvlText w:val="o"/>
      <w:lvlJc w:val="left"/>
      <w:pPr>
        <w:tabs>
          <w:tab w:val="num" w:pos="5760"/>
        </w:tabs>
        <w:ind w:left="5760" w:hanging="360"/>
      </w:pPr>
      <w:rPr>
        <w:rFonts w:ascii="Courier New" w:hAnsi="Courier New"/>
      </w:rPr>
    </w:lvl>
    <w:lvl w:ilvl="8" w:tplc="7CFA047C">
      <w:start w:val="1"/>
      <w:numFmt w:val="bullet"/>
      <w:lvlText w:val=""/>
      <w:lvlJc w:val="left"/>
      <w:pPr>
        <w:tabs>
          <w:tab w:val="num" w:pos="6480"/>
        </w:tabs>
        <w:ind w:left="6480" w:hanging="360"/>
      </w:pPr>
      <w:rPr>
        <w:rFonts w:ascii="Wingdings" w:hAnsi="Wingdings"/>
      </w:rPr>
    </w:lvl>
  </w:abstractNum>
  <w:abstractNum w:abstractNumId="126" w15:restartNumberingAfterBreak="0">
    <w:nsid w:val="72230540"/>
    <w:multiLevelType w:val="hybridMultilevel"/>
    <w:tmpl w:val="72230540"/>
    <w:lvl w:ilvl="0" w:tplc="5B80B164">
      <w:start w:val="1"/>
      <w:numFmt w:val="bullet"/>
      <w:lvlText w:val=""/>
      <w:lvlJc w:val="left"/>
      <w:pPr>
        <w:tabs>
          <w:tab w:val="num" w:pos="720"/>
        </w:tabs>
        <w:ind w:left="720" w:hanging="360"/>
      </w:pPr>
      <w:rPr>
        <w:rFonts w:ascii="Symbol" w:hAnsi="Symbol"/>
      </w:rPr>
    </w:lvl>
    <w:lvl w:ilvl="1" w:tplc="BEAC529C">
      <w:start w:val="1"/>
      <w:numFmt w:val="bullet"/>
      <w:lvlText w:val="o"/>
      <w:lvlJc w:val="left"/>
      <w:pPr>
        <w:tabs>
          <w:tab w:val="num" w:pos="1440"/>
        </w:tabs>
        <w:ind w:left="1440" w:hanging="360"/>
      </w:pPr>
      <w:rPr>
        <w:rFonts w:ascii="Courier New" w:hAnsi="Courier New"/>
      </w:rPr>
    </w:lvl>
    <w:lvl w:ilvl="2" w:tplc="C1161802">
      <w:start w:val="1"/>
      <w:numFmt w:val="bullet"/>
      <w:lvlText w:val=""/>
      <w:lvlJc w:val="left"/>
      <w:pPr>
        <w:tabs>
          <w:tab w:val="num" w:pos="2160"/>
        </w:tabs>
        <w:ind w:left="2160" w:hanging="360"/>
      </w:pPr>
      <w:rPr>
        <w:rFonts w:ascii="Wingdings" w:hAnsi="Wingdings"/>
      </w:rPr>
    </w:lvl>
    <w:lvl w:ilvl="3" w:tplc="8384E1A0">
      <w:start w:val="1"/>
      <w:numFmt w:val="bullet"/>
      <w:lvlText w:val=""/>
      <w:lvlJc w:val="left"/>
      <w:pPr>
        <w:tabs>
          <w:tab w:val="num" w:pos="2880"/>
        </w:tabs>
        <w:ind w:left="2880" w:hanging="360"/>
      </w:pPr>
      <w:rPr>
        <w:rFonts w:ascii="Symbol" w:hAnsi="Symbol"/>
      </w:rPr>
    </w:lvl>
    <w:lvl w:ilvl="4" w:tplc="41FCF4B2">
      <w:start w:val="1"/>
      <w:numFmt w:val="bullet"/>
      <w:lvlText w:val="o"/>
      <w:lvlJc w:val="left"/>
      <w:pPr>
        <w:tabs>
          <w:tab w:val="num" w:pos="3600"/>
        </w:tabs>
        <w:ind w:left="3600" w:hanging="360"/>
      </w:pPr>
      <w:rPr>
        <w:rFonts w:ascii="Courier New" w:hAnsi="Courier New"/>
      </w:rPr>
    </w:lvl>
    <w:lvl w:ilvl="5" w:tplc="10D2A2E0">
      <w:start w:val="1"/>
      <w:numFmt w:val="bullet"/>
      <w:lvlText w:val=""/>
      <w:lvlJc w:val="left"/>
      <w:pPr>
        <w:tabs>
          <w:tab w:val="num" w:pos="4320"/>
        </w:tabs>
        <w:ind w:left="4320" w:hanging="360"/>
      </w:pPr>
      <w:rPr>
        <w:rFonts w:ascii="Wingdings" w:hAnsi="Wingdings"/>
      </w:rPr>
    </w:lvl>
    <w:lvl w:ilvl="6" w:tplc="E304CC10">
      <w:start w:val="1"/>
      <w:numFmt w:val="bullet"/>
      <w:lvlText w:val=""/>
      <w:lvlJc w:val="left"/>
      <w:pPr>
        <w:tabs>
          <w:tab w:val="num" w:pos="5040"/>
        </w:tabs>
        <w:ind w:left="5040" w:hanging="360"/>
      </w:pPr>
      <w:rPr>
        <w:rFonts w:ascii="Symbol" w:hAnsi="Symbol"/>
      </w:rPr>
    </w:lvl>
    <w:lvl w:ilvl="7" w:tplc="F9DE56F8">
      <w:start w:val="1"/>
      <w:numFmt w:val="bullet"/>
      <w:lvlText w:val="o"/>
      <w:lvlJc w:val="left"/>
      <w:pPr>
        <w:tabs>
          <w:tab w:val="num" w:pos="5760"/>
        </w:tabs>
        <w:ind w:left="5760" w:hanging="360"/>
      </w:pPr>
      <w:rPr>
        <w:rFonts w:ascii="Courier New" w:hAnsi="Courier New"/>
      </w:rPr>
    </w:lvl>
    <w:lvl w:ilvl="8" w:tplc="D3004C52">
      <w:start w:val="1"/>
      <w:numFmt w:val="bullet"/>
      <w:lvlText w:val=""/>
      <w:lvlJc w:val="left"/>
      <w:pPr>
        <w:tabs>
          <w:tab w:val="num" w:pos="6480"/>
        </w:tabs>
        <w:ind w:left="6480" w:hanging="360"/>
      </w:pPr>
      <w:rPr>
        <w:rFonts w:ascii="Wingdings" w:hAnsi="Wingdings"/>
      </w:rPr>
    </w:lvl>
  </w:abstractNum>
  <w:abstractNum w:abstractNumId="127" w15:restartNumberingAfterBreak="0">
    <w:nsid w:val="72230541"/>
    <w:multiLevelType w:val="hybridMultilevel"/>
    <w:tmpl w:val="72230541"/>
    <w:lvl w:ilvl="0" w:tplc="A78AD49E">
      <w:start w:val="1"/>
      <w:numFmt w:val="bullet"/>
      <w:lvlText w:val=""/>
      <w:lvlJc w:val="left"/>
      <w:pPr>
        <w:ind w:left="720" w:hanging="360"/>
      </w:pPr>
      <w:rPr>
        <w:rFonts w:ascii="Symbol" w:hAnsi="Symbol"/>
      </w:rPr>
    </w:lvl>
    <w:lvl w:ilvl="1" w:tplc="67EC57C8">
      <w:start w:val="1"/>
      <w:numFmt w:val="bullet"/>
      <w:lvlText w:val="o"/>
      <w:lvlJc w:val="left"/>
      <w:pPr>
        <w:tabs>
          <w:tab w:val="num" w:pos="1440"/>
        </w:tabs>
        <w:ind w:left="1440" w:hanging="360"/>
      </w:pPr>
      <w:rPr>
        <w:rFonts w:ascii="Courier New" w:hAnsi="Courier New"/>
      </w:rPr>
    </w:lvl>
    <w:lvl w:ilvl="2" w:tplc="2F7AC0D2">
      <w:start w:val="1"/>
      <w:numFmt w:val="bullet"/>
      <w:lvlText w:val=""/>
      <w:lvlJc w:val="left"/>
      <w:pPr>
        <w:tabs>
          <w:tab w:val="num" w:pos="2160"/>
        </w:tabs>
        <w:ind w:left="2160" w:hanging="360"/>
      </w:pPr>
      <w:rPr>
        <w:rFonts w:ascii="Wingdings" w:hAnsi="Wingdings"/>
      </w:rPr>
    </w:lvl>
    <w:lvl w:ilvl="3" w:tplc="DE96A16A">
      <w:start w:val="1"/>
      <w:numFmt w:val="bullet"/>
      <w:lvlText w:val=""/>
      <w:lvlJc w:val="left"/>
      <w:pPr>
        <w:tabs>
          <w:tab w:val="num" w:pos="2880"/>
        </w:tabs>
        <w:ind w:left="2880" w:hanging="360"/>
      </w:pPr>
      <w:rPr>
        <w:rFonts w:ascii="Symbol" w:hAnsi="Symbol"/>
      </w:rPr>
    </w:lvl>
    <w:lvl w:ilvl="4" w:tplc="E514C3D2">
      <w:start w:val="1"/>
      <w:numFmt w:val="bullet"/>
      <w:lvlText w:val="o"/>
      <w:lvlJc w:val="left"/>
      <w:pPr>
        <w:tabs>
          <w:tab w:val="num" w:pos="3600"/>
        </w:tabs>
        <w:ind w:left="3600" w:hanging="360"/>
      </w:pPr>
      <w:rPr>
        <w:rFonts w:ascii="Courier New" w:hAnsi="Courier New"/>
      </w:rPr>
    </w:lvl>
    <w:lvl w:ilvl="5" w:tplc="F39069E6">
      <w:start w:val="1"/>
      <w:numFmt w:val="bullet"/>
      <w:lvlText w:val=""/>
      <w:lvlJc w:val="left"/>
      <w:pPr>
        <w:tabs>
          <w:tab w:val="num" w:pos="4320"/>
        </w:tabs>
        <w:ind w:left="4320" w:hanging="360"/>
      </w:pPr>
      <w:rPr>
        <w:rFonts w:ascii="Wingdings" w:hAnsi="Wingdings"/>
      </w:rPr>
    </w:lvl>
    <w:lvl w:ilvl="6" w:tplc="29D438AE">
      <w:start w:val="1"/>
      <w:numFmt w:val="bullet"/>
      <w:lvlText w:val=""/>
      <w:lvlJc w:val="left"/>
      <w:pPr>
        <w:tabs>
          <w:tab w:val="num" w:pos="5040"/>
        </w:tabs>
        <w:ind w:left="5040" w:hanging="360"/>
      </w:pPr>
      <w:rPr>
        <w:rFonts w:ascii="Symbol" w:hAnsi="Symbol"/>
      </w:rPr>
    </w:lvl>
    <w:lvl w:ilvl="7" w:tplc="EB52608A">
      <w:start w:val="1"/>
      <w:numFmt w:val="bullet"/>
      <w:lvlText w:val="o"/>
      <w:lvlJc w:val="left"/>
      <w:pPr>
        <w:tabs>
          <w:tab w:val="num" w:pos="5760"/>
        </w:tabs>
        <w:ind w:left="5760" w:hanging="360"/>
      </w:pPr>
      <w:rPr>
        <w:rFonts w:ascii="Courier New" w:hAnsi="Courier New"/>
      </w:rPr>
    </w:lvl>
    <w:lvl w:ilvl="8" w:tplc="18106402">
      <w:start w:val="1"/>
      <w:numFmt w:val="bullet"/>
      <w:lvlText w:val=""/>
      <w:lvlJc w:val="left"/>
      <w:pPr>
        <w:tabs>
          <w:tab w:val="num" w:pos="6480"/>
        </w:tabs>
        <w:ind w:left="6480" w:hanging="360"/>
      </w:pPr>
      <w:rPr>
        <w:rFonts w:ascii="Wingdings" w:hAnsi="Wingdings"/>
      </w:rPr>
    </w:lvl>
  </w:abstractNum>
  <w:abstractNum w:abstractNumId="128" w15:restartNumberingAfterBreak="0">
    <w:nsid w:val="72230542"/>
    <w:multiLevelType w:val="hybridMultilevel"/>
    <w:tmpl w:val="72230542"/>
    <w:lvl w:ilvl="0" w:tplc="829E63DA">
      <w:start w:val="1"/>
      <w:numFmt w:val="bullet"/>
      <w:lvlText w:val=""/>
      <w:lvlJc w:val="left"/>
      <w:pPr>
        <w:tabs>
          <w:tab w:val="num" w:pos="720"/>
        </w:tabs>
        <w:ind w:left="720" w:hanging="360"/>
      </w:pPr>
      <w:rPr>
        <w:rFonts w:ascii="Symbol" w:hAnsi="Symbol"/>
      </w:rPr>
    </w:lvl>
    <w:lvl w:ilvl="1" w:tplc="35E27EFE">
      <w:start w:val="1"/>
      <w:numFmt w:val="bullet"/>
      <w:lvlText w:val="o"/>
      <w:lvlJc w:val="left"/>
      <w:pPr>
        <w:tabs>
          <w:tab w:val="num" w:pos="1440"/>
        </w:tabs>
        <w:ind w:left="1440" w:hanging="360"/>
      </w:pPr>
      <w:rPr>
        <w:rFonts w:ascii="Courier New" w:hAnsi="Courier New"/>
      </w:rPr>
    </w:lvl>
    <w:lvl w:ilvl="2" w:tplc="43FC6E68">
      <w:start w:val="1"/>
      <w:numFmt w:val="bullet"/>
      <w:lvlText w:val=""/>
      <w:lvlJc w:val="left"/>
      <w:pPr>
        <w:tabs>
          <w:tab w:val="num" w:pos="2160"/>
        </w:tabs>
        <w:ind w:left="2160" w:hanging="360"/>
      </w:pPr>
      <w:rPr>
        <w:rFonts w:ascii="Wingdings" w:hAnsi="Wingdings"/>
      </w:rPr>
    </w:lvl>
    <w:lvl w:ilvl="3" w:tplc="FFEC858C">
      <w:start w:val="1"/>
      <w:numFmt w:val="bullet"/>
      <w:lvlText w:val=""/>
      <w:lvlJc w:val="left"/>
      <w:pPr>
        <w:tabs>
          <w:tab w:val="num" w:pos="2880"/>
        </w:tabs>
        <w:ind w:left="2880" w:hanging="360"/>
      </w:pPr>
      <w:rPr>
        <w:rFonts w:ascii="Symbol" w:hAnsi="Symbol"/>
      </w:rPr>
    </w:lvl>
    <w:lvl w:ilvl="4" w:tplc="CBDC5A28">
      <w:start w:val="1"/>
      <w:numFmt w:val="bullet"/>
      <w:lvlText w:val="o"/>
      <w:lvlJc w:val="left"/>
      <w:pPr>
        <w:tabs>
          <w:tab w:val="num" w:pos="3600"/>
        </w:tabs>
        <w:ind w:left="3600" w:hanging="360"/>
      </w:pPr>
      <w:rPr>
        <w:rFonts w:ascii="Courier New" w:hAnsi="Courier New"/>
      </w:rPr>
    </w:lvl>
    <w:lvl w:ilvl="5" w:tplc="30E67500">
      <w:start w:val="1"/>
      <w:numFmt w:val="bullet"/>
      <w:lvlText w:val=""/>
      <w:lvlJc w:val="left"/>
      <w:pPr>
        <w:tabs>
          <w:tab w:val="num" w:pos="4320"/>
        </w:tabs>
        <w:ind w:left="4320" w:hanging="360"/>
      </w:pPr>
      <w:rPr>
        <w:rFonts w:ascii="Wingdings" w:hAnsi="Wingdings"/>
      </w:rPr>
    </w:lvl>
    <w:lvl w:ilvl="6" w:tplc="0A745F76">
      <w:start w:val="1"/>
      <w:numFmt w:val="bullet"/>
      <w:lvlText w:val=""/>
      <w:lvlJc w:val="left"/>
      <w:pPr>
        <w:tabs>
          <w:tab w:val="num" w:pos="5040"/>
        </w:tabs>
        <w:ind w:left="5040" w:hanging="360"/>
      </w:pPr>
      <w:rPr>
        <w:rFonts w:ascii="Symbol" w:hAnsi="Symbol"/>
      </w:rPr>
    </w:lvl>
    <w:lvl w:ilvl="7" w:tplc="986A9DCE">
      <w:start w:val="1"/>
      <w:numFmt w:val="bullet"/>
      <w:lvlText w:val="o"/>
      <w:lvlJc w:val="left"/>
      <w:pPr>
        <w:tabs>
          <w:tab w:val="num" w:pos="5760"/>
        </w:tabs>
        <w:ind w:left="5760" w:hanging="360"/>
      </w:pPr>
      <w:rPr>
        <w:rFonts w:ascii="Courier New" w:hAnsi="Courier New"/>
      </w:rPr>
    </w:lvl>
    <w:lvl w:ilvl="8" w:tplc="7C3ECA80">
      <w:start w:val="1"/>
      <w:numFmt w:val="bullet"/>
      <w:lvlText w:val=""/>
      <w:lvlJc w:val="left"/>
      <w:pPr>
        <w:tabs>
          <w:tab w:val="num" w:pos="6480"/>
        </w:tabs>
        <w:ind w:left="6480" w:hanging="360"/>
      </w:pPr>
      <w:rPr>
        <w:rFonts w:ascii="Wingdings" w:hAnsi="Wingdings"/>
      </w:rPr>
    </w:lvl>
  </w:abstractNum>
  <w:abstractNum w:abstractNumId="129" w15:restartNumberingAfterBreak="0">
    <w:nsid w:val="72230543"/>
    <w:multiLevelType w:val="hybridMultilevel"/>
    <w:tmpl w:val="72230543"/>
    <w:lvl w:ilvl="0" w:tplc="22208A88">
      <w:start w:val="1"/>
      <w:numFmt w:val="bullet"/>
      <w:lvlText w:val=""/>
      <w:lvlJc w:val="left"/>
      <w:pPr>
        <w:ind w:left="720" w:hanging="360"/>
      </w:pPr>
      <w:rPr>
        <w:rFonts w:ascii="Symbol" w:hAnsi="Symbol"/>
      </w:rPr>
    </w:lvl>
    <w:lvl w:ilvl="1" w:tplc="1AD0DC2C">
      <w:start w:val="1"/>
      <w:numFmt w:val="bullet"/>
      <w:lvlText w:val="o"/>
      <w:lvlJc w:val="left"/>
      <w:pPr>
        <w:tabs>
          <w:tab w:val="num" w:pos="1440"/>
        </w:tabs>
        <w:ind w:left="1440" w:hanging="360"/>
      </w:pPr>
      <w:rPr>
        <w:rFonts w:ascii="Courier New" w:hAnsi="Courier New"/>
      </w:rPr>
    </w:lvl>
    <w:lvl w:ilvl="2" w:tplc="2578C63C">
      <w:start w:val="1"/>
      <w:numFmt w:val="bullet"/>
      <w:lvlText w:val=""/>
      <w:lvlJc w:val="left"/>
      <w:pPr>
        <w:tabs>
          <w:tab w:val="num" w:pos="2160"/>
        </w:tabs>
        <w:ind w:left="2160" w:hanging="360"/>
      </w:pPr>
      <w:rPr>
        <w:rFonts w:ascii="Wingdings" w:hAnsi="Wingdings"/>
      </w:rPr>
    </w:lvl>
    <w:lvl w:ilvl="3" w:tplc="6F3A791E">
      <w:start w:val="1"/>
      <w:numFmt w:val="bullet"/>
      <w:lvlText w:val=""/>
      <w:lvlJc w:val="left"/>
      <w:pPr>
        <w:tabs>
          <w:tab w:val="num" w:pos="2880"/>
        </w:tabs>
        <w:ind w:left="2880" w:hanging="360"/>
      </w:pPr>
      <w:rPr>
        <w:rFonts w:ascii="Symbol" w:hAnsi="Symbol"/>
      </w:rPr>
    </w:lvl>
    <w:lvl w:ilvl="4" w:tplc="16F2C9EC">
      <w:start w:val="1"/>
      <w:numFmt w:val="bullet"/>
      <w:lvlText w:val="o"/>
      <w:lvlJc w:val="left"/>
      <w:pPr>
        <w:tabs>
          <w:tab w:val="num" w:pos="3600"/>
        </w:tabs>
        <w:ind w:left="3600" w:hanging="360"/>
      </w:pPr>
      <w:rPr>
        <w:rFonts w:ascii="Courier New" w:hAnsi="Courier New"/>
      </w:rPr>
    </w:lvl>
    <w:lvl w:ilvl="5" w:tplc="16B20308">
      <w:start w:val="1"/>
      <w:numFmt w:val="bullet"/>
      <w:lvlText w:val=""/>
      <w:lvlJc w:val="left"/>
      <w:pPr>
        <w:tabs>
          <w:tab w:val="num" w:pos="4320"/>
        </w:tabs>
        <w:ind w:left="4320" w:hanging="360"/>
      </w:pPr>
      <w:rPr>
        <w:rFonts w:ascii="Wingdings" w:hAnsi="Wingdings"/>
      </w:rPr>
    </w:lvl>
    <w:lvl w:ilvl="6" w:tplc="B45CADE8">
      <w:start w:val="1"/>
      <w:numFmt w:val="bullet"/>
      <w:lvlText w:val=""/>
      <w:lvlJc w:val="left"/>
      <w:pPr>
        <w:tabs>
          <w:tab w:val="num" w:pos="5040"/>
        </w:tabs>
        <w:ind w:left="5040" w:hanging="360"/>
      </w:pPr>
      <w:rPr>
        <w:rFonts w:ascii="Symbol" w:hAnsi="Symbol"/>
      </w:rPr>
    </w:lvl>
    <w:lvl w:ilvl="7" w:tplc="405099F6">
      <w:start w:val="1"/>
      <w:numFmt w:val="bullet"/>
      <w:lvlText w:val="o"/>
      <w:lvlJc w:val="left"/>
      <w:pPr>
        <w:tabs>
          <w:tab w:val="num" w:pos="5760"/>
        </w:tabs>
        <w:ind w:left="5760" w:hanging="360"/>
      </w:pPr>
      <w:rPr>
        <w:rFonts w:ascii="Courier New" w:hAnsi="Courier New"/>
      </w:rPr>
    </w:lvl>
    <w:lvl w:ilvl="8" w:tplc="038ED96C">
      <w:start w:val="1"/>
      <w:numFmt w:val="bullet"/>
      <w:lvlText w:val=""/>
      <w:lvlJc w:val="left"/>
      <w:pPr>
        <w:tabs>
          <w:tab w:val="num" w:pos="6480"/>
        </w:tabs>
        <w:ind w:left="6480" w:hanging="360"/>
      </w:pPr>
      <w:rPr>
        <w:rFonts w:ascii="Wingdings" w:hAnsi="Wingdings"/>
      </w:rPr>
    </w:lvl>
  </w:abstractNum>
  <w:abstractNum w:abstractNumId="130" w15:restartNumberingAfterBreak="0">
    <w:nsid w:val="72230544"/>
    <w:multiLevelType w:val="hybridMultilevel"/>
    <w:tmpl w:val="72230544"/>
    <w:lvl w:ilvl="0" w:tplc="50CAD084">
      <w:start w:val="1"/>
      <w:numFmt w:val="bullet"/>
      <w:lvlText w:val=""/>
      <w:lvlJc w:val="left"/>
      <w:pPr>
        <w:ind w:left="720" w:hanging="360"/>
      </w:pPr>
      <w:rPr>
        <w:rFonts w:ascii="Symbol" w:hAnsi="Symbol"/>
      </w:rPr>
    </w:lvl>
    <w:lvl w:ilvl="1" w:tplc="D2721660">
      <w:start w:val="1"/>
      <w:numFmt w:val="bullet"/>
      <w:lvlText w:val="o"/>
      <w:lvlJc w:val="left"/>
      <w:pPr>
        <w:tabs>
          <w:tab w:val="num" w:pos="1440"/>
        </w:tabs>
        <w:ind w:left="1440" w:hanging="360"/>
      </w:pPr>
      <w:rPr>
        <w:rFonts w:ascii="Courier New" w:hAnsi="Courier New"/>
      </w:rPr>
    </w:lvl>
    <w:lvl w:ilvl="2" w:tplc="BB7E7800">
      <w:start w:val="1"/>
      <w:numFmt w:val="bullet"/>
      <w:lvlText w:val=""/>
      <w:lvlJc w:val="left"/>
      <w:pPr>
        <w:tabs>
          <w:tab w:val="num" w:pos="2160"/>
        </w:tabs>
        <w:ind w:left="2160" w:hanging="360"/>
      </w:pPr>
      <w:rPr>
        <w:rFonts w:ascii="Wingdings" w:hAnsi="Wingdings"/>
      </w:rPr>
    </w:lvl>
    <w:lvl w:ilvl="3" w:tplc="FF445DC8">
      <w:start w:val="1"/>
      <w:numFmt w:val="bullet"/>
      <w:lvlText w:val=""/>
      <w:lvlJc w:val="left"/>
      <w:pPr>
        <w:tabs>
          <w:tab w:val="num" w:pos="2880"/>
        </w:tabs>
        <w:ind w:left="2880" w:hanging="360"/>
      </w:pPr>
      <w:rPr>
        <w:rFonts w:ascii="Symbol" w:hAnsi="Symbol"/>
      </w:rPr>
    </w:lvl>
    <w:lvl w:ilvl="4" w:tplc="2A683440">
      <w:start w:val="1"/>
      <w:numFmt w:val="bullet"/>
      <w:lvlText w:val="o"/>
      <w:lvlJc w:val="left"/>
      <w:pPr>
        <w:tabs>
          <w:tab w:val="num" w:pos="3600"/>
        </w:tabs>
        <w:ind w:left="3600" w:hanging="360"/>
      </w:pPr>
      <w:rPr>
        <w:rFonts w:ascii="Courier New" w:hAnsi="Courier New"/>
      </w:rPr>
    </w:lvl>
    <w:lvl w:ilvl="5" w:tplc="CDE44BAE">
      <w:start w:val="1"/>
      <w:numFmt w:val="bullet"/>
      <w:lvlText w:val=""/>
      <w:lvlJc w:val="left"/>
      <w:pPr>
        <w:tabs>
          <w:tab w:val="num" w:pos="4320"/>
        </w:tabs>
        <w:ind w:left="4320" w:hanging="360"/>
      </w:pPr>
      <w:rPr>
        <w:rFonts w:ascii="Wingdings" w:hAnsi="Wingdings"/>
      </w:rPr>
    </w:lvl>
    <w:lvl w:ilvl="6" w:tplc="D47E6B10">
      <w:start w:val="1"/>
      <w:numFmt w:val="bullet"/>
      <w:lvlText w:val=""/>
      <w:lvlJc w:val="left"/>
      <w:pPr>
        <w:tabs>
          <w:tab w:val="num" w:pos="5040"/>
        </w:tabs>
        <w:ind w:left="5040" w:hanging="360"/>
      </w:pPr>
      <w:rPr>
        <w:rFonts w:ascii="Symbol" w:hAnsi="Symbol"/>
      </w:rPr>
    </w:lvl>
    <w:lvl w:ilvl="7" w:tplc="E66450C6">
      <w:start w:val="1"/>
      <w:numFmt w:val="bullet"/>
      <w:lvlText w:val="o"/>
      <w:lvlJc w:val="left"/>
      <w:pPr>
        <w:tabs>
          <w:tab w:val="num" w:pos="5760"/>
        </w:tabs>
        <w:ind w:left="5760" w:hanging="360"/>
      </w:pPr>
      <w:rPr>
        <w:rFonts w:ascii="Courier New" w:hAnsi="Courier New"/>
      </w:rPr>
    </w:lvl>
    <w:lvl w:ilvl="8" w:tplc="0CBE3CD8">
      <w:start w:val="1"/>
      <w:numFmt w:val="bullet"/>
      <w:lvlText w:val=""/>
      <w:lvlJc w:val="left"/>
      <w:pPr>
        <w:tabs>
          <w:tab w:val="num" w:pos="6480"/>
        </w:tabs>
        <w:ind w:left="6480" w:hanging="360"/>
      </w:pPr>
      <w:rPr>
        <w:rFonts w:ascii="Wingdings" w:hAnsi="Wingdings"/>
      </w:rPr>
    </w:lvl>
  </w:abstractNum>
  <w:abstractNum w:abstractNumId="131" w15:restartNumberingAfterBreak="0">
    <w:nsid w:val="72230545"/>
    <w:multiLevelType w:val="hybridMultilevel"/>
    <w:tmpl w:val="72230545"/>
    <w:lvl w:ilvl="0" w:tplc="F5101222">
      <w:start w:val="1"/>
      <w:numFmt w:val="bullet"/>
      <w:lvlText w:val=""/>
      <w:lvlJc w:val="left"/>
      <w:pPr>
        <w:ind w:left="720" w:hanging="360"/>
      </w:pPr>
      <w:rPr>
        <w:rFonts w:ascii="Symbol" w:hAnsi="Symbol"/>
      </w:rPr>
    </w:lvl>
    <w:lvl w:ilvl="1" w:tplc="E7C2AB48">
      <w:start w:val="1"/>
      <w:numFmt w:val="bullet"/>
      <w:lvlText w:val="o"/>
      <w:lvlJc w:val="left"/>
      <w:pPr>
        <w:tabs>
          <w:tab w:val="num" w:pos="1440"/>
        </w:tabs>
        <w:ind w:left="1440" w:hanging="360"/>
      </w:pPr>
      <w:rPr>
        <w:rFonts w:ascii="Courier New" w:hAnsi="Courier New"/>
      </w:rPr>
    </w:lvl>
    <w:lvl w:ilvl="2" w:tplc="54989B46">
      <w:start w:val="1"/>
      <w:numFmt w:val="bullet"/>
      <w:lvlText w:val=""/>
      <w:lvlJc w:val="left"/>
      <w:pPr>
        <w:tabs>
          <w:tab w:val="num" w:pos="2160"/>
        </w:tabs>
        <w:ind w:left="2160" w:hanging="360"/>
      </w:pPr>
      <w:rPr>
        <w:rFonts w:ascii="Wingdings" w:hAnsi="Wingdings"/>
      </w:rPr>
    </w:lvl>
    <w:lvl w:ilvl="3" w:tplc="5B705912">
      <w:start w:val="1"/>
      <w:numFmt w:val="bullet"/>
      <w:lvlText w:val=""/>
      <w:lvlJc w:val="left"/>
      <w:pPr>
        <w:tabs>
          <w:tab w:val="num" w:pos="2880"/>
        </w:tabs>
        <w:ind w:left="2880" w:hanging="360"/>
      </w:pPr>
      <w:rPr>
        <w:rFonts w:ascii="Symbol" w:hAnsi="Symbol"/>
      </w:rPr>
    </w:lvl>
    <w:lvl w:ilvl="4" w:tplc="A4A2827E">
      <w:start w:val="1"/>
      <w:numFmt w:val="bullet"/>
      <w:lvlText w:val="o"/>
      <w:lvlJc w:val="left"/>
      <w:pPr>
        <w:tabs>
          <w:tab w:val="num" w:pos="3600"/>
        </w:tabs>
        <w:ind w:left="3600" w:hanging="360"/>
      </w:pPr>
      <w:rPr>
        <w:rFonts w:ascii="Courier New" w:hAnsi="Courier New"/>
      </w:rPr>
    </w:lvl>
    <w:lvl w:ilvl="5" w:tplc="B2B8CCA6">
      <w:start w:val="1"/>
      <w:numFmt w:val="bullet"/>
      <w:lvlText w:val=""/>
      <w:lvlJc w:val="left"/>
      <w:pPr>
        <w:tabs>
          <w:tab w:val="num" w:pos="4320"/>
        </w:tabs>
        <w:ind w:left="4320" w:hanging="360"/>
      </w:pPr>
      <w:rPr>
        <w:rFonts w:ascii="Wingdings" w:hAnsi="Wingdings"/>
      </w:rPr>
    </w:lvl>
    <w:lvl w:ilvl="6" w:tplc="77FC5E6A">
      <w:start w:val="1"/>
      <w:numFmt w:val="bullet"/>
      <w:lvlText w:val=""/>
      <w:lvlJc w:val="left"/>
      <w:pPr>
        <w:tabs>
          <w:tab w:val="num" w:pos="5040"/>
        </w:tabs>
        <w:ind w:left="5040" w:hanging="360"/>
      </w:pPr>
      <w:rPr>
        <w:rFonts w:ascii="Symbol" w:hAnsi="Symbol"/>
      </w:rPr>
    </w:lvl>
    <w:lvl w:ilvl="7" w:tplc="61D226D4">
      <w:start w:val="1"/>
      <w:numFmt w:val="bullet"/>
      <w:lvlText w:val="o"/>
      <w:lvlJc w:val="left"/>
      <w:pPr>
        <w:tabs>
          <w:tab w:val="num" w:pos="5760"/>
        </w:tabs>
        <w:ind w:left="5760" w:hanging="360"/>
      </w:pPr>
      <w:rPr>
        <w:rFonts w:ascii="Courier New" w:hAnsi="Courier New"/>
      </w:rPr>
    </w:lvl>
    <w:lvl w:ilvl="8" w:tplc="ECC602C8">
      <w:start w:val="1"/>
      <w:numFmt w:val="bullet"/>
      <w:lvlText w:val=""/>
      <w:lvlJc w:val="left"/>
      <w:pPr>
        <w:tabs>
          <w:tab w:val="num" w:pos="6480"/>
        </w:tabs>
        <w:ind w:left="6480" w:hanging="360"/>
      </w:pPr>
      <w:rPr>
        <w:rFonts w:ascii="Wingdings" w:hAnsi="Wingdings"/>
      </w:rPr>
    </w:lvl>
  </w:abstractNum>
  <w:abstractNum w:abstractNumId="132" w15:restartNumberingAfterBreak="0">
    <w:nsid w:val="72230546"/>
    <w:multiLevelType w:val="hybridMultilevel"/>
    <w:tmpl w:val="72230546"/>
    <w:lvl w:ilvl="0" w:tplc="31E47A46">
      <w:start w:val="1"/>
      <w:numFmt w:val="bullet"/>
      <w:lvlText w:val=""/>
      <w:lvlJc w:val="left"/>
      <w:pPr>
        <w:ind w:left="720" w:hanging="360"/>
      </w:pPr>
      <w:rPr>
        <w:rFonts w:ascii="Symbol" w:hAnsi="Symbol"/>
      </w:rPr>
    </w:lvl>
    <w:lvl w:ilvl="1" w:tplc="51D00F88">
      <w:start w:val="1"/>
      <w:numFmt w:val="bullet"/>
      <w:lvlText w:val="o"/>
      <w:lvlJc w:val="left"/>
      <w:pPr>
        <w:tabs>
          <w:tab w:val="num" w:pos="1440"/>
        </w:tabs>
        <w:ind w:left="1440" w:hanging="360"/>
      </w:pPr>
      <w:rPr>
        <w:rFonts w:ascii="Courier New" w:hAnsi="Courier New"/>
      </w:rPr>
    </w:lvl>
    <w:lvl w:ilvl="2" w:tplc="59EE8334">
      <w:start w:val="1"/>
      <w:numFmt w:val="bullet"/>
      <w:lvlText w:val=""/>
      <w:lvlJc w:val="left"/>
      <w:pPr>
        <w:tabs>
          <w:tab w:val="num" w:pos="2160"/>
        </w:tabs>
        <w:ind w:left="2160" w:hanging="360"/>
      </w:pPr>
      <w:rPr>
        <w:rFonts w:ascii="Wingdings" w:hAnsi="Wingdings"/>
      </w:rPr>
    </w:lvl>
    <w:lvl w:ilvl="3" w:tplc="C9B008A0">
      <w:start w:val="1"/>
      <w:numFmt w:val="bullet"/>
      <w:lvlText w:val=""/>
      <w:lvlJc w:val="left"/>
      <w:pPr>
        <w:tabs>
          <w:tab w:val="num" w:pos="2880"/>
        </w:tabs>
        <w:ind w:left="2880" w:hanging="360"/>
      </w:pPr>
      <w:rPr>
        <w:rFonts w:ascii="Symbol" w:hAnsi="Symbol"/>
      </w:rPr>
    </w:lvl>
    <w:lvl w:ilvl="4" w:tplc="1F3EED54">
      <w:start w:val="1"/>
      <w:numFmt w:val="bullet"/>
      <w:lvlText w:val="o"/>
      <w:lvlJc w:val="left"/>
      <w:pPr>
        <w:tabs>
          <w:tab w:val="num" w:pos="3600"/>
        </w:tabs>
        <w:ind w:left="3600" w:hanging="360"/>
      </w:pPr>
      <w:rPr>
        <w:rFonts w:ascii="Courier New" w:hAnsi="Courier New"/>
      </w:rPr>
    </w:lvl>
    <w:lvl w:ilvl="5" w:tplc="5738877A">
      <w:start w:val="1"/>
      <w:numFmt w:val="bullet"/>
      <w:lvlText w:val=""/>
      <w:lvlJc w:val="left"/>
      <w:pPr>
        <w:tabs>
          <w:tab w:val="num" w:pos="4320"/>
        </w:tabs>
        <w:ind w:left="4320" w:hanging="360"/>
      </w:pPr>
      <w:rPr>
        <w:rFonts w:ascii="Wingdings" w:hAnsi="Wingdings"/>
      </w:rPr>
    </w:lvl>
    <w:lvl w:ilvl="6" w:tplc="B522903A">
      <w:start w:val="1"/>
      <w:numFmt w:val="bullet"/>
      <w:lvlText w:val=""/>
      <w:lvlJc w:val="left"/>
      <w:pPr>
        <w:tabs>
          <w:tab w:val="num" w:pos="5040"/>
        </w:tabs>
        <w:ind w:left="5040" w:hanging="360"/>
      </w:pPr>
      <w:rPr>
        <w:rFonts w:ascii="Symbol" w:hAnsi="Symbol"/>
      </w:rPr>
    </w:lvl>
    <w:lvl w:ilvl="7" w:tplc="A25AF5F6">
      <w:start w:val="1"/>
      <w:numFmt w:val="bullet"/>
      <w:lvlText w:val="o"/>
      <w:lvlJc w:val="left"/>
      <w:pPr>
        <w:tabs>
          <w:tab w:val="num" w:pos="5760"/>
        </w:tabs>
        <w:ind w:left="5760" w:hanging="360"/>
      </w:pPr>
      <w:rPr>
        <w:rFonts w:ascii="Courier New" w:hAnsi="Courier New"/>
      </w:rPr>
    </w:lvl>
    <w:lvl w:ilvl="8" w:tplc="964A4362">
      <w:start w:val="1"/>
      <w:numFmt w:val="bullet"/>
      <w:lvlText w:val=""/>
      <w:lvlJc w:val="left"/>
      <w:pPr>
        <w:tabs>
          <w:tab w:val="num" w:pos="6480"/>
        </w:tabs>
        <w:ind w:left="6480" w:hanging="360"/>
      </w:pPr>
      <w:rPr>
        <w:rFonts w:ascii="Wingdings" w:hAnsi="Wingdings"/>
      </w:rPr>
    </w:lvl>
  </w:abstractNum>
  <w:abstractNum w:abstractNumId="133" w15:restartNumberingAfterBreak="0">
    <w:nsid w:val="72230547"/>
    <w:multiLevelType w:val="hybridMultilevel"/>
    <w:tmpl w:val="72230547"/>
    <w:lvl w:ilvl="0" w:tplc="3E082F2A">
      <w:start w:val="1"/>
      <w:numFmt w:val="bullet"/>
      <w:lvlText w:val=""/>
      <w:lvlJc w:val="left"/>
      <w:pPr>
        <w:ind w:left="720" w:hanging="360"/>
      </w:pPr>
      <w:rPr>
        <w:rFonts w:ascii="Symbol" w:hAnsi="Symbol"/>
      </w:rPr>
    </w:lvl>
    <w:lvl w:ilvl="1" w:tplc="DE4A6BE6">
      <w:start w:val="1"/>
      <w:numFmt w:val="bullet"/>
      <w:lvlText w:val="o"/>
      <w:lvlJc w:val="left"/>
      <w:pPr>
        <w:tabs>
          <w:tab w:val="num" w:pos="1440"/>
        </w:tabs>
        <w:ind w:left="1440" w:hanging="360"/>
      </w:pPr>
      <w:rPr>
        <w:rFonts w:ascii="Courier New" w:hAnsi="Courier New"/>
      </w:rPr>
    </w:lvl>
    <w:lvl w:ilvl="2" w:tplc="D38C27A8">
      <w:start w:val="1"/>
      <w:numFmt w:val="bullet"/>
      <w:lvlText w:val=""/>
      <w:lvlJc w:val="left"/>
      <w:pPr>
        <w:tabs>
          <w:tab w:val="num" w:pos="2160"/>
        </w:tabs>
        <w:ind w:left="2160" w:hanging="360"/>
      </w:pPr>
      <w:rPr>
        <w:rFonts w:ascii="Wingdings" w:hAnsi="Wingdings"/>
      </w:rPr>
    </w:lvl>
    <w:lvl w:ilvl="3" w:tplc="D24A0FEA">
      <w:start w:val="1"/>
      <w:numFmt w:val="bullet"/>
      <w:lvlText w:val=""/>
      <w:lvlJc w:val="left"/>
      <w:pPr>
        <w:tabs>
          <w:tab w:val="num" w:pos="2880"/>
        </w:tabs>
        <w:ind w:left="2880" w:hanging="360"/>
      </w:pPr>
      <w:rPr>
        <w:rFonts w:ascii="Symbol" w:hAnsi="Symbol"/>
      </w:rPr>
    </w:lvl>
    <w:lvl w:ilvl="4" w:tplc="F830FEDE">
      <w:start w:val="1"/>
      <w:numFmt w:val="bullet"/>
      <w:lvlText w:val="o"/>
      <w:lvlJc w:val="left"/>
      <w:pPr>
        <w:tabs>
          <w:tab w:val="num" w:pos="3600"/>
        </w:tabs>
        <w:ind w:left="3600" w:hanging="360"/>
      </w:pPr>
      <w:rPr>
        <w:rFonts w:ascii="Courier New" w:hAnsi="Courier New"/>
      </w:rPr>
    </w:lvl>
    <w:lvl w:ilvl="5" w:tplc="1FDA76E6">
      <w:start w:val="1"/>
      <w:numFmt w:val="bullet"/>
      <w:lvlText w:val=""/>
      <w:lvlJc w:val="left"/>
      <w:pPr>
        <w:tabs>
          <w:tab w:val="num" w:pos="4320"/>
        </w:tabs>
        <w:ind w:left="4320" w:hanging="360"/>
      </w:pPr>
      <w:rPr>
        <w:rFonts w:ascii="Wingdings" w:hAnsi="Wingdings"/>
      </w:rPr>
    </w:lvl>
    <w:lvl w:ilvl="6" w:tplc="E8C8C8CC">
      <w:start w:val="1"/>
      <w:numFmt w:val="bullet"/>
      <w:lvlText w:val=""/>
      <w:lvlJc w:val="left"/>
      <w:pPr>
        <w:tabs>
          <w:tab w:val="num" w:pos="5040"/>
        </w:tabs>
        <w:ind w:left="5040" w:hanging="360"/>
      </w:pPr>
      <w:rPr>
        <w:rFonts w:ascii="Symbol" w:hAnsi="Symbol"/>
      </w:rPr>
    </w:lvl>
    <w:lvl w:ilvl="7" w:tplc="BF1404B2">
      <w:start w:val="1"/>
      <w:numFmt w:val="bullet"/>
      <w:lvlText w:val="o"/>
      <w:lvlJc w:val="left"/>
      <w:pPr>
        <w:tabs>
          <w:tab w:val="num" w:pos="5760"/>
        </w:tabs>
        <w:ind w:left="5760" w:hanging="360"/>
      </w:pPr>
      <w:rPr>
        <w:rFonts w:ascii="Courier New" w:hAnsi="Courier New"/>
      </w:rPr>
    </w:lvl>
    <w:lvl w:ilvl="8" w:tplc="A3B87B1E">
      <w:start w:val="1"/>
      <w:numFmt w:val="bullet"/>
      <w:lvlText w:val=""/>
      <w:lvlJc w:val="left"/>
      <w:pPr>
        <w:tabs>
          <w:tab w:val="num" w:pos="6480"/>
        </w:tabs>
        <w:ind w:left="6480" w:hanging="360"/>
      </w:pPr>
      <w:rPr>
        <w:rFonts w:ascii="Wingdings" w:hAnsi="Wingdings"/>
      </w:rPr>
    </w:lvl>
  </w:abstractNum>
  <w:abstractNum w:abstractNumId="134" w15:restartNumberingAfterBreak="0">
    <w:nsid w:val="72230548"/>
    <w:multiLevelType w:val="hybridMultilevel"/>
    <w:tmpl w:val="72230548"/>
    <w:lvl w:ilvl="0" w:tplc="9AD0C850">
      <w:start w:val="1"/>
      <w:numFmt w:val="bullet"/>
      <w:lvlText w:val=""/>
      <w:lvlJc w:val="left"/>
      <w:pPr>
        <w:ind w:left="720" w:hanging="360"/>
      </w:pPr>
      <w:rPr>
        <w:rFonts w:ascii="Symbol" w:hAnsi="Symbol"/>
      </w:rPr>
    </w:lvl>
    <w:lvl w:ilvl="1" w:tplc="5A607DFE">
      <w:start w:val="1"/>
      <w:numFmt w:val="bullet"/>
      <w:lvlText w:val="o"/>
      <w:lvlJc w:val="left"/>
      <w:pPr>
        <w:tabs>
          <w:tab w:val="num" w:pos="1440"/>
        </w:tabs>
        <w:ind w:left="1440" w:hanging="360"/>
      </w:pPr>
      <w:rPr>
        <w:rFonts w:ascii="Courier New" w:hAnsi="Courier New"/>
      </w:rPr>
    </w:lvl>
    <w:lvl w:ilvl="2" w:tplc="1F429E04">
      <w:start w:val="1"/>
      <w:numFmt w:val="bullet"/>
      <w:lvlText w:val=""/>
      <w:lvlJc w:val="left"/>
      <w:pPr>
        <w:tabs>
          <w:tab w:val="num" w:pos="2160"/>
        </w:tabs>
        <w:ind w:left="2160" w:hanging="360"/>
      </w:pPr>
      <w:rPr>
        <w:rFonts w:ascii="Wingdings" w:hAnsi="Wingdings"/>
      </w:rPr>
    </w:lvl>
    <w:lvl w:ilvl="3" w:tplc="99223BA6">
      <w:start w:val="1"/>
      <w:numFmt w:val="bullet"/>
      <w:lvlText w:val=""/>
      <w:lvlJc w:val="left"/>
      <w:pPr>
        <w:tabs>
          <w:tab w:val="num" w:pos="2880"/>
        </w:tabs>
        <w:ind w:left="2880" w:hanging="360"/>
      </w:pPr>
      <w:rPr>
        <w:rFonts w:ascii="Symbol" w:hAnsi="Symbol"/>
      </w:rPr>
    </w:lvl>
    <w:lvl w:ilvl="4" w:tplc="CFA0BDE8">
      <w:start w:val="1"/>
      <w:numFmt w:val="bullet"/>
      <w:lvlText w:val="o"/>
      <w:lvlJc w:val="left"/>
      <w:pPr>
        <w:tabs>
          <w:tab w:val="num" w:pos="3600"/>
        </w:tabs>
        <w:ind w:left="3600" w:hanging="360"/>
      </w:pPr>
      <w:rPr>
        <w:rFonts w:ascii="Courier New" w:hAnsi="Courier New"/>
      </w:rPr>
    </w:lvl>
    <w:lvl w:ilvl="5" w:tplc="02B2CA1C">
      <w:start w:val="1"/>
      <w:numFmt w:val="bullet"/>
      <w:lvlText w:val=""/>
      <w:lvlJc w:val="left"/>
      <w:pPr>
        <w:tabs>
          <w:tab w:val="num" w:pos="4320"/>
        </w:tabs>
        <w:ind w:left="4320" w:hanging="360"/>
      </w:pPr>
      <w:rPr>
        <w:rFonts w:ascii="Wingdings" w:hAnsi="Wingdings"/>
      </w:rPr>
    </w:lvl>
    <w:lvl w:ilvl="6" w:tplc="098E105C">
      <w:start w:val="1"/>
      <w:numFmt w:val="bullet"/>
      <w:lvlText w:val=""/>
      <w:lvlJc w:val="left"/>
      <w:pPr>
        <w:tabs>
          <w:tab w:val="num" w:pos="5040"/>
        </w:tabs>
        <w:ind w:left="5040" w:hanging="360"/>
      </w:pPr>
      <w:rPr>
        <w:rFonts w:ascii="Symbol" w:hAnsi="Symbol"/>
      </w:rPr>
    </w:lvl>
    <w:lvl w:ilvl="7" w:tplc="F3D494A2">
      <w:start w:val="1"/>
      <w:numFmt w:val="bullet"/>
      <w:lvlText w:val="o"/>
      <w:lvlJc w:val="left"/>
      <w:pPr>
        <w:tabs>
          <w:tab w:val="num" w:pos="5760"/>
        </w:tabs>
        <w:ind w:left="5760" w:hanging="360"/>
      </w:pPr>
      <w:rPr>
        <w:rFonts w:ascii="Courier New" w:hAnsi="Courier New"/>
      </w:rPr>
    </w:lvl>
    <w:lvl w:ilvl="8" w:tplc="A52AD3DC">
      <w:start w:val="1"/>
      <w:numFmt w:val="bullet"/>
      <w:lvlText w:val=""/>
      <w:lvlJc w:val="left"/>
      <w:pPr>
        <w:tabs>
          <w:tab w:val="num" w:pos="6480"/>
        </w:tabs>
        <w:ind w:left="6480" w:hanging="360"/>
      </w:pPr>
      <w:rPr>
        <w:rFonts w:ascii="Wingdings" w:hAnsi="Wingdings"/>
      </w:rPr>
    </w:lvl>
  </w:abstractNum>
  <w:abstractNum w:abstractNumId="135" w15:restartNumberingAfterBreak="0">
    <w:nsid w:val="72230549"/>
    <w:multiLevelType w:val="hybridMultilevel"/>
    <w:tmpl w:val="72230549"/>
    <w:lvl w:ilvl="0" w:tplc="9D5A2288">
      <w:start w:val="1"/>
      <w:numFmt w:val="bullet"/>
      <w:lvlText w:val=""/>
      <w:lvlJc w:val="left"/>
      <w:pPr>
        <w:ind w:left="720" w:hanging="360"/>
      </w:pPr>
      <w:rPr>
        <w:rFonts w:ascii="Symbol" w:hAnsi="Symbol"/>
      </w:rPr>
    </w:lvl>
    <w:lvl w:ilvl="1" w:tplc="03E6E9EA">
      <w:start w:val="1"/>
      <w:numFmt w:val="bullet"/>
      <w:lvlText w:val="o"/>
      <w:lvlJc w:val="left"/>
      <w:pPr>
        <w:tabs>
          <w:tab w:val="num" w:pos="1440"/>
        </w:tabs>
        <w:ind w:left="1440" w:hanging="360"/>
      </w:pPr>
      <w:rPr>
        <w:rFonts w:ascii="Courier New" w:hAnsi="Courier New"/>
      </w:rPr>
    </w:lvl>
    <w:lvl w:ilvl="2" w:tplc="3B42AA80">
      <w:start w:val="1"/>
      <w:numFmt w:val="bullet"/>
      <w:lvlText w:val=""/>
      <w:lvlJc w:val="left"/>
      <w:pPr>
        <w:tabs>
          <w:tab w:val="num" w:pos="2160"/>
        </w:tabs>
        <w:ind w:left="2160" w:hanging="360"/>
      </w:pPr>
      <w:rPr>
        <w:rFonts w:ascii="Wingdings" w:hAnsi="Wingdings"/>
      </w:rPr>
    </w:lvl>
    <w:lvl w:ilvl="3" w:tplc="6B0E55B2">
      <w:start w:val="1"/>
      <w:numFmt w:val="bullet"/>
      <w:lvlText w:val=""/>
      <w:lvlJc w:val="left"/>
      <w:pPr>
        <w:tabs>
          <w:tab w:val="num" w:pos="2880"/>
        </w:tabs>
        <w:ind w:left="2880" w:hanging="360"/>
      </w:pPr>
      <w:rPr>
        <w:rFonts w:ascii="Symbol" w:hAnsi="Symbol"/>
      </w:rPr>
    </w:lvl>
    <w:lvl w:ilvl="4" w:tplc="E49A9254">
      <w:start w:val="1"/>
      <w:numFmt w:val="bullet"/>
      <w:lvlText w:val="o"/>
      <w:lvlJc w:val="left"/>
      <w:pPr>
        <w:tabs>
          <w:tab w:val="num" w:pos="3600"/>
        </w:tabs>
        <w:ind w:left="3600" w:hanging="360"/>
      </w:pPr>
      <w:rPr>
        <w:rFonts w:ascii="Courier New" w:hAnsi="Courier New"/>
      </w:rPr>
    </w:lvl>
    <w:lvl w:ilvl="5" w:tplc="3790E950">
      <w:start w:val="1"/>
      <w:numFmt w:val="bullet"/>
      <w:lvlText w:val=""/>
      <w:lvlJc w:val="left"/>
      <w:pPr>
        <w:tabs>
          <w:tab w:val="num" w:pos="4320"/>
        </w:tabs>
        <w:ind w:left="4320" w:hanging="360"/>
      </w:pPr>
      <w:rPr>
        <w:rFonts w:ascii="Wingdings" w:hAnsi="Wingdings"/>
      </w:rPr>
    </w:lvl>
    <w:lvl w:ilvl="6" w:tplc="32A41A58">
      <w:start w:val="1"/>
      <w:numFmt w:val="bullet"/>
      <w:lvlText w:val=""/>
      <w:lvlJc w:val="left"/>
      <w:pPr>
        <w:tabs>
          <w:tab w:val="num" w:pos="5040"/>
        </w:tabs>
        <w:ind w:left="5040" w:hanging="360"/>
      </w:pPr>
      <w:rPr>
        <w:rFonts w:ascii="Symbol" w:hAnsi="Symbol"/>
      </w:rPr>
    </w:lvl>
    <w:lvl w:ilvl="7" w:tplc="2424D1C2">
      <w:start w:val="1"/>
      <w:numFmt w:val="bullet"/>
      <w:lvlText w:val="o"/>
      <w:lvlJc w:val="left"/>
      <w:pPr>
        <w:tabs>
          <w:tab w:val="num" w:pos="5760"/>
        </w:tabs>
        <w:ind w:left="5760" w:hanging="360"/>
      </w:pPr>
      <w:rPr>
        <w:rFonts w:ascii="Courier New" w:hAnsi="Courier New"/>
      </w:rPr>
    </w:lvl>
    <w:lvl w:ilvl="8" w:tplc="7DF6C796">
      <w:start w:val="1"/>
      <w:numFmt w:val="bullet"/>
      <w:lvlText w:val=""/>
      <w:lvlJc w:val="left"/>
      <w:pPr>
        <w:tabs>
          <w:tab w:val="num" w:pos="6480"/>
        </w:tabs>
        <w:ind w:left="6480" w:hanging="360"/>
      </w:pPr>
      <w:rPr>
        <w:rFonts w:ascii="Wingdings" w:hAnsi="Wingdings"/>
      </w:rPr>
    </w:lvl>
  </w:abstractNum>
  <w:abstractNum w:abstractNumId="136" w15:restartNumberingAfterBreak="0">
    <w:nsid w:val="7223054A"/>
    <w:multiLevelType w:val="hybridMultilevel"/>
    <w:tmpl w:val="7223054A"/>
    <w:lvl w:ilvl="0" w:tplc="AB520454">
      <w:start w:val="1"/>
      <w:numFmt w:val="bullet"/>
      <w:lvlText w:val=""/>
      <w:lvlJc w:val="left"/>
      <w:pPr>
        <w:ind w:left="720" w:hanging="360"/>
      </w:pPr>
      <w:rPr>
        <w:rFonts w:ascii="Symbol" w:hAnsi="Symbol"/>
      </w:rPr>
    </w:lvl>
    <w:lvl w:ilvl="1" w:tplc="66C88430">
      <w:start w:val="1"/>
      <w:numFmt w:val="bullet"/>
      <w:lvlText w:val="o"/>
      <w:lvlJc w:val="left"/>
      <w:pPr>
        <w:tabs>
          <w:tab w:val="num" w:pos="1440"/>
        </w:tabs>
        <w:ind w:left="1440" w:hanging="360"/>
      </w:pPr>
      <w:rPr>
        <w:rFonts w:ascii="Courier New" w:hAnsi="Courier New"/>
      </w:rPr>
    </w:lvl>
    <w:lvl w:ilvl="2" w:tplc="8CEE0E60">
      <w:start w:val="1"/>
      <w:numFmt w:val="bullet"/>
      <w:lvlText w:val=""/>
      <w:lvlJc w:val="left"/>
      <w:pPr>
        <w:tabs>
          <w:tab w:val="num" w:pos="2160"/>
        </w:tabs>
        <w:ind w:left="2160" w:hanging="360"/>
      </w:pPr>
      <w:rPr>
        <w:rFonts w:ascii="Wingdings" w:hAnsi="Wingdings"/>
      </w:rPr>
    </w:lvl>
    <w:lvl w:ilvl="3" w:tplc="D7A2F406">
      <w:start w:val="1"/>
      <w:numFmt w:val="bullet"/>
      <w:lvlText w:val=""/>
      <w:lvlJc w:val="left"/>
      <w:pPr>
        <w:tabs>
          <w:tab w:val="num" w:pos="2880"/>
        </w:tabs>
        <w:ind w:left="2880" w:hanging="360"/>
      </w:pPr>
      <w:rPr>
        <w:rFonts w:ascii="Symbol" w:hAnsi="Symbol"/>
      </w:rPr>
    </w:lvl>
    <w:lvl w:ilvl="4" w:tplc="439E6E8E">
      <w:start w:val="1"/>
      <w:numFmt w:val="bullet"/>
      <w:lvlText w:val="o"/>
      <w:lvlJc w:val="left"/>
      <w:pPr>
        <w:tabs>
          <w:tab w:val="num" w:pos="3600"/>
        </w:tabs>
        <w:ind w:left="3600" w:hanging="360"/>
      </w:pPr>
      <w:rPr>
        <w:rFonts w:ascii="Courier New" w:hAnsi="Courier New"/>
      </w:rPr>
    </w:lvl>
    <w:lvl w:ilvl="5" w:tplc="AC0E412C">
      <w:start w:val="1"/>
      <w:numFmt w:val="bullet"/>
      <w:lvlText w:val=""/>
      <w:lvlJc w:val="left"/>
      <w:pPr>
        <w:tabs>
          <w:tab w:val="num" w:pos="4320"/>
        </w:tabs>
        <w:ind w:left="4320" w:hanging="360"/>
      </w:pPr>
      <w:rPr>
        <w:rFonts w:ascii="Wingdings" w:hAnsi="Wingdings"/>
      </w:rPr>
    </w:lvl>
    <w:lvl w:ilvl="6" w:tplc="B9E8846A">
      <w:start w:val="1"/>
      <w:numFmt w:val="bullet"/>
      <w:lvlText w:val=""/>
      <w:lvlJc w:val="left"/>
      <w:pPr>
        <w:tabs>
          <w:tab w:val="num" w:pos="5040"/>
        </w:tabs>
        <w:ind w:left="5040" w:hanging="360"/>
      </w:pPr>
      <w:rPr>
        <w:rFonts w:ascii="Symbol" w:hAnsi="Symbol"/>
      </w:rPr>
    </w:lvl>
    <w:lvl w:ilvl="7" w:tplc="59F47330">
      <w:start w:val="1"/>
      <w:numFmt w:val="bullet"/>
      <w:lvlText w:val="o"/>
      <w:lvlJc w:val="left"/>
      <w:pPr>
        <w:tabs>
          <w:tab w:val="num" w:pos="5760"/>
        </w:tabs>
        <w:ind w:left="5760" w:hanging="360"/>
      </w:pPr>
      <w:rPr>
        <w:rFonts w:ascii="Courier New" w:hAnsi="Courier New"/>
      </w:rPr>
    </w:lvl>
    <w:lvl w:ilvl="8" w:tplc="74E4BBC0">
      <w:start w:val="1"/>
      <w:numFmt w:val="bullet"/>
      <w:lvlText w:val=""/>
      <w:lvlJc w:val="left"/>
      <w:pPr>
        <w:tabs>
          <w:tab w:val="num" w:pos="6480"/>
        </w:tabs>
        <w:ind w:left="6480" w:hanging="360"/>
      </w:pPr>
      <w:rPr>
        <w:rFonts w:ascii="Wingdings" w:hAnsi="Wingdings"/>
      </w:rPr>
    </w:lvl>
  </w:abstractNum>
  <w:abstractNum w:abstractNumId="137" w15:restartNumberingAfterBreak="0">
    <w:nsid w:val="7223054B"/>
    <w:multiLevelType w:val="hybridMultilevel"/>
    <w:tmpl w:val="7223054B"/>
    <w:lvl w:ilvl="0" w:tplc="FCB8DB40">
      <w:start w:val="1"/>
      <w:numFmt w:val="bullet"/>
      <w:lvlText w:val=""/>
      <w:lvlJc w:val="left"/>
      <w:pPr>
        <w:ind w:left="720" w:hanging="360"/>
      </w:pPr>
      <w:rPr>
        <w:rFonts w:ascii="Symbol" w:hAnsi="Symbol"/>
      </w:rPr>
    </w:lvl>
    <w:lvl w:ilvl="1" w:tplc="A3B62056">
      <w:start w:val="1"/>
      <w:numFmt w:val="bullet"/>
      <w:lvlText w:val="o"/>
      <w:lvlJc w:val="left"/>
      <w:pPr>
        <w:tabs>
          <w:tab w:val="num" w:pos="1440"/>
        </w:tabs>
        <w:ind w:left="1440" w:hanging="360"/>
      </w:pPr>
      <w:rPr>
        <w:rFonts w:ascii="Courier New" w:hAnsi="Courier New"/>
      </w:rPr>
    </w:lvl>
    <w:lvl w:ilvl="2" w:tplc="D95ACE14">
      <w:start w:val="1"/>
      <w:numFmt w:val="bullet"/>
      <w:lvlText w:val=""/>
      <w:lvlJc w:val="left"/>
      <w:pPr>
        <w:tabs>
          <w:tab w:val="num" w:pos="2160"/>
        </w:tabs>
        <w:ind w:left="2160" w:hanging="360"/>
      </w:pPr>
      <w:rPr>
        <w:rFonts w:ascii="Wingdings" w:hAnsi="Wingdings"/>
      </w:rPr>
    </w:lvl>
    <w:lvl w:ilvl="3" w:tplc="6B900146">
      <w:start w:val="1"/>
      <w:numFmt w:val="bullet"/>
      <w:lvlText w:val=""/>
      <w:lvlJc w:val="left"/>
      <w:pPr>
        <w:tabs>
          <w:tab w:val="num" w:pos="2880"/>
        </w:tabs>
        <w:ind w:left="2880" w:hanging="360"/>
      </w:pPr>
      <w:rPr>
        <w:rFonts w:ascii="Symbol" w:hAnsi="Symbol"/>
      </w:rPr>
    </w:lvl>
    <w:lvl w:ilvl="4" w:tplc="46B28876">
      <w:start w:val="1"/>
      <w:numFmt w:val="bullet"/>
      <w:lvlText w:val="o"/>
      <w:lvlJc w:val="left"/>
      <w:pPr>
        <w:tabs>
          <w:tab w:val="num" w:pos="3600"/>
        </w:tabs>
        <w:ind w:left="3600" w:hanging="360"/>
      </w:pPr>
      <w:rPr>
        <w:rFonts w:ascii="Courier New" w:hAnsi="Courier New"/>
      </w:rPr>
    </w:lvl>
    <w:lvl w:ilvl="5" w:tplc="9C526F2C">
      <w:start w:val="1"/>
      <w:numFmt w:val="bullet"/>
      <w:lvlText w:val=""/>
      <w:lvlJc w:val="left"/>
      <w:pPr>
        <w:tabs>
          <w:tab w:val="num" w:pos="4320"/>
        </w:tabs>
        <w:ind w:left="4320" w:hanging="360"/>
      </w:pPr>
      <w:rPr>
        <w:rFonts w:ascii="Wingdings" w:hAnsi="Wingdings"/>
      </w:rPr>
    </w:lvl>
    <w:lvl w:ilvl="6" w:tplc="7F404494">
      <w:start w:val="1"/>
      <w:numFmt w:val="bullet"/>
      <w:lvlText w:val=""/>
      <w:lvlJc w:val="left"/>
      <w:pPr>
        <w:tabs>
          <w:tab w:val="num" w:pos="5040"/>
        </w:tabs>
        <w:ind w:left="5040" w:hanging="360"/>
      </w:pPr>
      <w:rPr>
        <w:rFonts w:ascii="Symbol" w:hAnsi="Symbol"/>
      </w:rPr>
    </w:lvl>
    <w:lvl w:ilvl="7" w:tplc="2E9ED49C">
      <w:start w:val="1"/>
      <w:numFmt w:val="bullet"/>
      <w:lvlText w:val="o"/>
      <w:lvlJc w:val="left"/>
      <w:pPr>
        <w:tabs>
          <w:tab w:val="num" w:pos="5760"/>
        </w:tabs>
        <w:ind w:left="5760" w:hanging="360"/>
      </w:pPr>
      <w:rPr>
        <w:rFonts w:ascii="Courier New" w:hAnsi="Courier New"/>
      </w:rPr>
    </w:lvl>
    <w:lvl w:ilvl="8" w:tplc="E27A0B0E">
      <w:start w:val="1"/>
      <w:numFmt w:val="bullet"/>
      <w:lvlText w:val=""/>
      <w:lvlJc w:val="left"/>
      <w:pPr>
        <w:tabs>
          <w:tab w:val="num" w:pos="6480"/>
        </w:tabs>
        <w:ind w:left="6480" w:hanging="360"/>
      </w:pPr>
      <w:rPr>
        <w:rFonts w:ascii="Wingdings" w:hAnsi="Wingdings"/>
      </w:rPr>
    </w:lvl>
  </w:abstractNum>
  <w:abstractNum w:abstractNumId="138" w15:restartNumberingAfterBreak="0">
    <w:nsid w:val="7223054C"/>
    <w:multiLevelType w:val="hybridMultilevel"/>
    <w:tmpl w:val="7223054C"/>
    <w:lvl w:ilvl="0" w:tplc="E1E804E0">
      <w:start w:val="1"/>
      <w:numFmt w:val="bullet"/>
      <w:lvlText w:val=""/>
      <w:lvlJc w:val="left"/>
      <w:pPr>
        <w:ind w:left="720" w:hanging="360"/>
      </w:pPr>
      <w:rPr>
        <w:rFonts w:ascii="Symbol" w:hAnsi="Symbol"/>
      </w:rPr>
    </w:lvl>
    <w:lvl w:ilvl="1" w:tplc="46E64868">
      <w:start w:val="1"/>
      <w:numFmt w:val="bullet"/>
      <w:lvlText w:val="o"/>
      <w:lvlJc w:val="left"/>
      <w:pPr>
        <w:tabs>
          <w:tab w:val="num" w:pos="1440"/>
        </w:tabs>
        <w:ind w:left="1440" w:hanging="360"/>
      </w:pPr>
      <w:rPr>
        <w:rFonts w:ascii="Courier New" w:hAnsi="Courier New"/>
      </w:rPr>
    </w:lvl>
    <w:lvl w:ilvl="2" w:tplc="29A89DCE">
      <w:start w:val="1"/>
      <w:numFmt w:val="bullet"/>
      <w:lvlText w:val=""/>
      <w:lvlJc w:val="left"/>
      <w:pPr>
        <w:tabs>
          <w:tab w:val="num" w:pos="2160"/>
        </w:tabs>
        <w:ind w:left="2160" w:hanging="360"/>
      </w:pPr>
      <w:rPr>
        <w:rFonts w:ascii="Wingdings" w:hAnsi="Wingdings"/>
      </w:rPr>
    </w:lvl>
    <w:lvl w:ilvl="3" w:tplc="93AEE5F8">
      <w:start w:val="1"/>
      <w:numFmt w:val="bullet"/>
      <w:lvlText w:val=""/>
      <w:lvlJc w:val="left"/>
      <w:pPr>
        <w:tabs>
          <w:tab w:val="num" w:pos="2880"/>
        </w:tabs>
        <w:ind w:left="2880" w:hanging="360"/>
      </w:pPr>
      <w:rPr>
        <w:rFonts w:ascii="Symbol" w:hAnsi="Symbol"/>
      </w:rPr>
    </w:lvl>
    <w:lvl w:ilvl="4" w:tplc="08840FB2">
      <w:start w:val="1"/>
      <w:numFmt w:val="bullet"/>
      <w:lvlText w:val="o"/>
      <w:lvlJc w:val="left"/>
      <w:pPr>
        <w:tabs>
          <w:tab w:val="num" w:pos="3600"/>
        </w:tabs>
        <w:ind w:left="3600" w:hanging="360"/>
      </w:pPr>
      <w:rPr>
        <w:rFonts w:ascii="Courier New" w:hAnsi="Courier New"/>
      </w:rPr>
    </w:lvl>
    <w:lvl w:ilvl="5" w:tplc="9CB2D892">
      <w:start w:val="1"/>
      <w:numFmt w:val="bullet"/>
      <w:lvlText w:val=""/>
      <w:lvlJc w:val="left"/>
      <w:pPr>
        <w:tabs>
          <w:tab w:val="num" w:pos="4320"/>
        </w:tabs>
        <w:ind w:left="4320" w:hanging="360"/>
      </w:pPr>
      <w:rPr>
        <w:rFonts w:ascii="Wingdings" w:hAnsi="Wingdings"/>
      </w:rPr>
    </w:lvl>
    <w:lvl w:ilvl="6" w:tplc="16A0481A">
      <w:start w:val="1"/>
      <w:numFmt w:val="bullet"/>
      <w:lvlText w:val=""/>
      <w:lvlJc w:val="left"/>
      <w:pPr>
        <w:tabs>
          <w:tab w:val="num" w:pos="5040"/>
        </w:tabs>
        <w:ind w:left="5040" w:hanging="360"/>
      </w:pPr>
      <w:rPr>
        <w:rFonts w:ascii="Symbol" w:hAnsi="Symbol"/>
      </w:rPr>
    </w:lvl>
    <w:lvl w:ilvl="7" w:tplc="78DC0C60">
      <w:start w:val="1"/>
      <w:numFmt w:val="bullet"/>
      <w:lvlText w:val="o"/>
      <w:lvlJc w:val="left"/>
      <w:pPr>
        <w:tabs>
          <w:tab w:val="num" w:pos="5760"/>
        </w:tabs>
        <w:ind w:left="5760" w:hanging="360"/>
      </w:pPr>
      <w:rPr>
        <w:rFonts w:ascii="Courier New" w:hAnsi="Courier New"/>
      </w:rPr>
    </w:lvl>
    <w:lvl w:ilvl="8" w:tplc="1882B42C">
      <w:start w:val="1"/>
      <w:numFmt w:val="bullet"/>
      <w:lvlText w:val=""/>
      <w:lvlJc w:val="left"/>
      <w:pPr>
        <w:tabs>
          <w:tab w:val="num" w:pos="6480"/>
        </w:tabs>
        <w:ind w:left="6480" w:hanging="360"/>
      </w:pPr>
      <w:rPr>
        <w:rFonts w:ascii="Wingdings" w:hAnsi="Wingdings"/>
      </w:rPr>
    </w:lvl>
  </w:abstractNum>
  <w:abstractNum w:abstractNumId="139" w15:restartNumberingAfterBreak="0">
    <w:nsid w:val="7223054D"/>
    <w:multiLevelType w:val="hybridMultilevel"/>
    <w:tmpl w:val="7223054D"/>
    <w:lvl w:ilvl="0" w:tplc="4AC83192">
      <w:start w:val="1"/>
      <w:numFmt w:val="bullet"/>
      <w:lvlText w:val=""/>
      <w:lvlJc w:val="left"/>
      <w:pPr>
        <w:ind w:left="720" w:hanging="360"/>
      </w:pPr>
      <w:rPr>
        <w:rFonts w:ascii="Symbol" w:hAnsi="Symbol"/>
      </w:rPr>
    </w:lvl>
    <w:lvl w:ilvl="1" w:tplc="164A6256">
      <w:start w:val="1"/>
      <w:numFmt w:val="bullet"/>
      <w:lvlText w:val="o"/>
      <w:lvlJc w:val="left"/>
      <w:pPr>
        <w:tabs>
          <w:tab w:val="num" w:pos="1440"/>
        </w:tabs>
        <w:ind w:left="1440" w:hanging="360"/>
      </w:pPr>
      <w:rPr>
        <w:rFonts w:ascii="Courier New" w:hAnsi="Courier New"/>
      </w:rPr>
    </w:lvl>
    <w:lvl w:ilvl="2" w:tplc="DD6C1AFC">
      <w:start w:val="1"/>
      <w:numFmt w:val="bullet"/>
      <w:lvlText w:val=""/>
      <w:lvlJc w:val="left"/>
      <w:pPr>
        <w:tabs>
          <w:tab w:val="num" w:pos="2160"/>
        </w:tabs>
        <w:ind w:left="2160" w:hanging="360"/>
      </w:pPr>
      <w:rPr>
        <w:rFonts w:ascii="Wingdings" w:hAnsi="Wingdings"/>
      </w:rPr>
    </w:lvl>
    <w:lvl w:ilvl="3" w:tplc="85300E98">
      <w:start w:val="1"/>
      <w:numFmt w:val="bullet"/>
      <w:lvlText w:val=""/>
      <w:lvlJc w:val="left"/>
      <w:pPr>
        <w:tabs>
          <w:tab w:val="num" w:pos="2880"/>
        </w:tabs>
        <w:ind w:left="2880" w:hanging="360"/>
      </w:pPr>
      <w:rPr>
        <w:rFonts w:ascii="Symbol" w:hAnsi="Symbol"/>
      </w:rPr>
    </w:lvl>
    <w:lvl w:ilvl="4" w:tplc="31E0CB18">
      <w:start w:val="1"/>
      <w:numFmt w:val="bullet"/>
      <w:lvlText w:val="o"/>
      <w:lvlJc w:val="left"/>
      <w:pPr>
        <w:tabs>
          <w:tab w:val="num" w:pos="3600"/>
        </w:tabs>
        <w:ind w:left="3600" w:hanging="360"/>
      </w:pPr>
      <w:rPr>
        <w:rFonts w:ascii="Courier New" w:hAnsi="Courier New"/>
      </w:rPr>
    </w:lvl>
    <w:lvl w:ilvl="5" w:tplc="1556E12A">
      <w:start w:val="1"/>
      <w:numFmt w:val="bullet"/>
      <w:lvlText w:val=""/>
      <w:lvlJc w:val="left"/>
      <w:pPr>
        <w:tabs>
          <w:tab w:val="num" w:pos="4320"/>
        </w:tabs>
        <w:ind w:left="4320" w:hanging="360"/>
      </w:pPr>
      <w:rPr>
        <w:rFonts w:ascii="Wingdings" w:hAnsi="Wingdings"/>
      </w:rPr>
    </w:lvl>
    <w:lvl w:ilvl="6" w:tplc="94A4F368">
      <w:start w:val="1"/>
      <w:numFmt w:val="bullet"/>
      <w:lvlText w:val=""/>
      <w:lvlJc w:val="left"/>
      <w:pPr>
        <w:tabs>
          <w:tab w:val="num" w:pos="5040"/>
        </w:tabs>
        <w:ind w:left="5040" w:hanging="360"/>
      </w:pPr>
      <w:rPr>
        <w:rFonts w:ascii="Symbol" w:hAnsi="Symbol"/>
      </w:rPr>
    </w:lvl>
    <w:lvl w:ilvl="7" w:tplc="93F242CA">
      <w:start w:val="1"/>
      <w:numFmt w:val="bullet"/>
      <w:lvlText w:val="o"/>
      <w:lvlJc w:val="left"/>
      <w:pPr>
        <w:tabs>
          <w:tab w:val="num" w:pos="5760"/>
        </w:tabs>
        <w:ind w:left="5760" w:hanging="360"/>
      </w:pPr>
      <w:rPr>
        <w:rFonts w:ascii="Courier New" w:hAnsi="Courier New"/>
      </w:rPr>
    </w:lvl>
    <w:lvl w:ilvl="8" w:tplc="9002075C">
      <w:start w:val="1"/>
      <w:numFmt w:val="bullet"/>
      <w:lvlText w:val=""/>
      <w:lvlJc w:val="left"/>
      <w:pPr>
        <w:tabs>
          <w:tab w:val="num" w:pos="6480"/>
        </w:tabs>
        <w:ind w:left="6480" w:hanging="360"/>
      </w:pPr>
      <w:rPr>
        <w:rFonts w:ascii="Wingdings" w:hAnsi="Wingdings"/>
      </w:rPr>
    </w:lvl>
  </w:abstractNum>
  <w:abstractNum w:abstractNumId="140" w15:restartNumberingAfterBreak="0">
    <w:nsid w:val="7223054E"/>
    <w:multiLevelType w:val="hybridMultilevel"/>
    <w:tmpl w:val="7223054E"/>
    <w:lvl w:ilvl="0" w:tplc="4768E2CC">
      <w:start w:val="1"/>
      <w:numFmt w:val="bullet"/>
      <w:lvlText w:val=""/>
      <w:lvlJc w:val="left"/>
      <w:pPr>
        <w:ind w:left="720" w:hanging="360"/>
      </w:pPr>
      <w:rPr>
        <w:rFonts w:ascii="Symbol" w:hAnsi="Symbol"/>
      </w:rPr>
    </w:lvl>
    <w:lvl w:ilvl="1" w:tplc="4F5E584C">
      <w:start w:val="1"/>
      <w:numFmt w:val="bullet"/>
      <w:lvlText w:val="o"/>
      <w:lvlJc w:val="left"/>
      <w:pPr>
        <w:tabs>
          <w:tab w:val="num" w:pos="1440"/>
        </w:tabs>
        <w:ind w:left="1440" w:hanging="360"/>
      </w:pPr>
      <w:rPr>
        <w:rFonts w:ascii="Courier New" w:hAnsi="Courier New"/>
      </w:rPr>
    </w:lvl>
    <w:lvl w:ilvl="2" w:tplc="E84A1CD0">
      <w:start w:val="1"/>
      <w:numFmt w:val="bullet"/>
      <w:lvlText w:val=""/>
      <w:lvlJc w:val="left"/>
      <w:pPr>
        <w:tabs>
          <w:tab w:val="num" w:pos="2160"/>
        </w:tabs>
        <w:ind w:left="2160" w:hanging="360"/>
      </w:pPr>
      <w:rPr>
        <w:rFonts w:ascii="Wingdings" w:hAnsi="Wingdings"/>
      </w:rPr>
    </w:lvl>
    <w:lvl w:ilvl="3" w:tplc="C388BAF8">
      <w:start w:val="1"/>
      <w:numFmt w:val="bullet"/>
      <w:lvlText w:val=""/>
      <w:lvlJc w:val="left"/>
      <w:pPr>
        <w:tabs>
          <w:tab w:val="num" w:pos="2880"/>
        </w:tabs>
        <w:ind w:left="2880" w:hanging="360"/>
      </w:pPr>
      <w:rPr>
        <w:rFonts w:ascii="Symbol" w:hAnsi="Symbol"/>
      </w:rPr>
    </w:lvl>
    <w:lvl w:ilvl="4" w:tplc="5DFCFBF0">
      <w:start w:val="1"/>
      <w:numFmt w:val="bullet"/>
      <w:lvlText w:val="o"/>
      <w:lvlJc w:val="left"/>
      <w:pPr>
        <w:tabs>
          <w:tab w:val="num" w:pos="3600"/>
        </w:tabs>
        <w:ind w:left="3600" w:hanging="360"/>
      </w:pPr>
      <w:rPr>
        <w:rFonts w:ascii="Courier New" w:hAnsi="Courier New"/>
      </w:rPr>
    </w:lvl>
    <w:lvl w:ilvl="5" w:tplc="E3D04916">
      <w:start w:val="1"/>
      <w:numFmt w:val="bullet"/>
      <w:lvlText w:val=""/>
      <w:lvlJc w:val="left"/>
      <w:pPr>
        <w:tabs>
          <w:tab w:val="num" w:pos="4320"/>
        </w:tabs>
        <w:ind w:left="4320" w:hanging="360"/>
      </w:pPr>
      <w:rPr>
        <w:rFonts w:ascii="Wingdings" w:hAnsi="Wingdings"/>
      </w:rPr>
    </w:lvl>
    <w:lvl w:ilvl="6" w:tplc="534C1348">
      <w:start w:val="1"/>
      <w:numFmt w:val="bullet"/>
      <w:lvlText w:val=""/>
      <w:lvlJc w:val="left"/>
      <w:pPr>
        <w:tabs>
          <w:tab w:val="num" w:pos="5040"/>
        </w:tabs>
        <w:ind w:left="5040" w:hanging="360"/>
      </w:pPr>
      <w:rPr>
        <w:rFonts w:ascii="Symbol" w:hAnsi="Symbol"/>
      </w:rPr>
    </w:lvl>
    <w:lvl w:ilvl="7" w:tplc="F2880322">
      <w:start w:val="1"/>
      <w:numFmt w:val="bullet"/>
      <w:lvlText w:val="o"/>
      <w:lvlJc w:val="left"/>
      <w:pPr>
        <w:tabs>
          <w:tab w:val="num" w:pos="5760"/>
        </w:tabs>
        <w:ind w:left="5760" w:hanging="360"/>
      </w:pPr>
      <w:rPr>
        <w:rFonts w:ascii="Courier New" w:hAnsi="Courier New"/>
      </w:rPr>
    </w:lvl>
    <w:lvl w:ilvl="8" w:tplc="9260F0BA">
      <w:start w:val="1"/>
      <w:numFmt w:val="bullet"/>
      <w:lvlText w:val=""/>
      <w:lvlJc w:val="left"/>
      <w:pPr>
        <w:tabs>
          <w:tab w:val="num" w:pos="6480"/>
        </w:tabs>
        <w:ind w:left="6480" w:hanging="360"/>
      </w:pPr>
      <w:rPr>
        <w:rFonts w:ascii="Wingdings" w:hAnsi="Wingdings"/>
      </w:rPr>
    </w:lvl>
  </w:abstractNum>
  <w:abstractNum w:abstractNumId="141" w15:restartNumberingAfterBreak="0">
    <w:nsid w:val="7223054F"/>
    <w:multiLevelType w:val="hybridMultilevel"/>
    <w:tmpl w:val="7223054F"/>
    <w:lvl w:ilvl="0" w:tplc="BCFEE6BE">
      <w:start w:val="1"/>
      <w:numFmt w:val="bullet"/>
      <w:lvlText w:val=""/>
      <w:lvlJc w:val="left"/>
      <w:pPr>
        <w:ind w:left="720" w:hanging="360"/>
      </w:pPr>
      <w:rPr>
        <w:rFonts w:ascii="Symbol" w:hAnsi="Symbol"/>
      </w:rPr>
    </w:lvl>
    <w:lvl w:ilvl="1" w:tplc="C53E4D42">
      <w:start w:val="1"/>
      <w:numFmt w:val="bullet"/>
      <w:lvlText w:val="o"/>
      <w:lvlJc w:val="left"/>
      <w:pPr>
        <w:tabs>
          <w:tab w:val="num" w:pos="1440"/>
        </w:tabs>
        <w:ind w:left="1440" w:hanging="360"/>
      </w:pPr>
      <w:rPr>
        <w:rFonts w:ascii="Courier New" w:hAnsi="Courier New"/>
      </w:rPr>
    </w:lvl>
    <w:lvl w:ilvl="2" w:tplc="69C2C514">
      <w:start w:val="1"/>
      <w:numFmt w:val="bullet"/>
      <w:lvlText w:val=""/>
      <w:lvlJc w:val="left"/>
      <w:pPr>
        <w:tabs>
          <w:tab w:val="num" w:pos="2160"/>
        </w:tabs>
        <w:ind w:left="2160" w:hanging="360"/>
      </w:pPr>
      <w:rPr>
        <w:rFonts w:ascii="Wingdings" w:hAnsi="Wingdings"/>
      </w:rPr>
    </w:lvl>
    <w:lvl w:ilvl="3" w:tplc="2E0AAF7A">
      <w:start w:val="1"/>
      <w:numFmt w:val="bullet"/>
      <w:lvlText w:val=""/>
      <w:lvlJc w:val="left"/>
      <w:pPr>
        <w:tabs>
          <w:tab w:val="num" w:pos="2880"/>
        </w:tabs>
        <w:ind w:left="2880" w:hanging="360"/>
      </w:pPr>
      <w:rPr>
        <w:rFonts w:ascii="Symbol" w:hAnsi="Symbol"/>
      </w:rPr>
    </w:lvl>
    <w:lvl w:ilvl="4" w:tplc="84F426CC">
      <w:start w:val="1"/>
      <w:numFmt w:val="bullet"/>
      <w:lvlText w:val="o"/>
      <w:lvlJc w:val="left"/>
      <w:pPr>
        <w:tabs>
          <w:tab w:val="num" w:pos="3600"/>
        </w:tabs>
        <w:ind w:left="3600" w:hanging="360"/>
      </w:pPr>
      <w:rPr>
        <w:rFonts w:ascii="Courier New" w:hAnsi="Courier New"/>
      </w:rPr>
    </w:lvl>
    <w:lvl w:ilvl="5" w:tplc="AC549ED8">
      <w:start w:val="1"/>
      <w:numFmt w:val="bullet"/>
      <w:lvlText w:val=""/>
      <w:lvlJc w:val="left"/>
      <w:pPr>
        <w:tabs>
          <w:tab w:val="num" w:pos="4320"/>
        </w:tabs>
        <w:ind w:left="4320" w:hanging="360"/>
      </w:pPr>
      <w:rPr>
        <w:rFonts w:ascii="Wingdings" w:hAnsi="Wingdings"/>
      </w:rPr>
    </w:lvl>
    <w:lvl w:ilvl="6" w:tplc="5AE0AA46">
      <w:start w:val="1"/>
      <w:numFmt w:val="bullet"/>
      <w:lvlText w:val=""/>
      <w:lvlJc w:val="left"/>
      <w:pPr>
        <w:tabs>
          <w:tab w:val="num" w:pos="5040"/>
        </w:tabs>
        <w:ind w:left="5040" w:hanging="360"/>
      </w:pPr>
      <w:rPr>
        <w:rFonts w:ascii="Symbol" w:hAnsi="Symbol"/>
      </w:rPr>
    </w:lvl>
    <w:lvl w:ilvl="7" w:tplc="B2947B04">
      <w:start w:val="1"/>
      <w:numFmt w:val="bullet"/>
      <w:lvlText w:val="o"/>
      <w:lvlJc w:val="left"/>
      <w:pPr>
        <w:tabs>
          <w:tab w:val="num" w:pos="5760"/>
        </w:tabs>
        <w:ind w:left="5760" w:hanging="360"/>
      </w:pPr>
      <w:rPr>
        <w:rFonts w:ascii="Courier New" w:hAnsi="Courier New"/>
      </w:rPr>
    </w:lvl>
    <w:lvl w:ilvl="8" w:tplc="ACF83758">
      <w:start w:val="1"/>
      <w:numFmt w:val="bullet"/>
      <w:lvlText w:val=""/>
      <w:lvlJc w:val="left"/>
      <w:pPr>
        <w:tabs>
          <w:tab w:val="num" w:pos="6480"/>
        </w:tabs>
        <w:ind w:left="6480" w:hanging="360"/>
      </w:pPr>
      <w:rPr>
        <w:rFonts w:ascii="Wingdings" w:hAnsi="Wingdings"/>
      </w:rPr>
    </w:lvl>
  </w:abstractNum>
  <w:abstractNum w:abstractNumId="142" w15:restartNumberingAfterBreak="0">
    <w:nsid w:val="72230550"/>
    <w:multiLevelType w:val="hybridMultilevel"/>
    <w:tmpl w:val="72230550"/>
    <w:lvl w:ilvl="0" w:tplc="24BA639A">
      <w:start w:val="1"/>
      <w:numFmt w:val="bullet"/>
      <w:lvlText w:val=""/>
      <w:lvlJc w:val="left"/>
      <w:pPr>
        <w:ind w:left="720" w:hanging="360"/>
      </w:pPr>
      <w:rPr>
        <w:rFonts w:ascii="Symbol" w:hAnsi="Symbol"/>
      </w:rPr>
    </w:lvl>
    <w:lvl w:ilvl="1" w:tplc="A8E83D8C">
      <w:start w:val="1"/>
      <w:numFmt w:val="bullet"/>
      <w:lvlText w:val="o"/>
      <w:lvlJc w:val="left"/>
      <w:pPr>
        <w:tabs>
          <w:tab w:val="num" w:pos="1440"/>
        </w:tabs>
        <w:ind w:left="1440" w:hanging="360"/>
      </w:pPr>
      <w:rPr>
        <w:rFonts w:ascii="Courier New" w:hAnsi="Courier New"/>
      </w:rPr>
    </w:lvl>
    <w:lvl w:ilvl="2" w:tplc="6F126F74">
      <w:start w:val="1"/>
      <w:numFmt w:val="bullet"/>
      <w:lvlText w:val=""/>
      <w:lvlJc w:val="left"/>
      <w:pPr>
        <w:tabs>
          <w:tab w:val="num" w:pos="2160"/>
        </w:tabs>
        <w:ind w:left="2160" w:hanging="360"/>
      </w:pPr>
      <w:rPr>
        <w:rFonts w:ascii="Wingdings" w:hAnsi="Wingdings"/>
      </w:rPr>
    </w:lvl>
    <w:lvl w:ilvl="3" w:tplc="32D0AE54">
      <w:start w:val="1"/>
      <w:numFmt w:val="bullet"/>
      <w:lvlText w:val=""/>
      <w:lvlJc w:val="left"/>
      <w:pPr>
        <w:tabs>
          <w:tab w:val="num" w:pos="2880"/>
        </w:tabs>
        <w:ind w:left="2880" w:hanging="360"/>
      </w:pPr>
      <w:rPr>
        <w:rFonts w:ascii="Symbol" w:hAnsi="Symbol"/>
      </w:rPr>
    </w:lvl>
    <w:lvl w:ilvl="4" w:tplc="44F857A0">
      <w:start w:val="1"/>
      <w:numFmt w:val="bullet"/>
      <w:lvlText w:val="o"/>
      <w:lvlJc w:val="left"/>
      <w:pPr>
        <w:tabs>
          <w:tab w:val="num" w:pos="3600"/>
        </w:tabs>
        <w:ind w:left="3600" w:hanging="360"/>
      </w:pPr>
      <w:rPr>
        <w:rFonts w:ascii="Courier New" w:hAnsi="Courier New"/>
      </w:rPr>
    </w:lvl>
    <w:lvl w:ilvl="5" w:tplc="0BE00724">
      <w:start w:val="1"/>
      <w:numFmt w:val="bullet"/>
      <w:lvlText w:val=""/>
      <w:lvlJc w:val="left"/>
      <w:pPr>
        <w:tabs>
          <w:tab w:val="num" w:pos="4320"/>
        </w:tabs>
        <w:ind w:left="4320" w:hanging="360"/>
      </w:pPr>
      <w:rPr>
        <w:rFonts w:ascii="Wingdings" w:hAnsi="Wingdings"/>
      </w:rPr>
    </w:lvl>
    <w:lvl w:ilvl="6" w:tplc="6CE85990">
      <w:start w:val="1"/>
      <w:numFmt w:val="bullet"/>
      <w:lvlText w:val=""/>
      <w:lvlJc w:val="left"/>
      <w:pPr>
        <w:tabs>
          <w:tab w:val="num" w:pos="5040"/>
        </w:tabs>
        <w:ind w:left="5040" w:hanging="360"/>
      </w:pPr>
      <w:rPr>
        <w:rFonts w:ascii="Symbol" w:hAnsi="Symbol"/>
      </w:rPr>
    </w:lvl>
    <w:lvl w:ilvl="7" w:tplc="469AF748">
      <w:start w:val="1"/>
      <w:numFmt w:val="bullet"/>
      <w:lvlText w:val="o"/>
      <w:lvlJc w:val="left"/>
      <w:pPr>
        <w:tabs>
          <w:tab w:val="num" w:pos="5760"/>
        </w:tabs>
        <w:ind w:left="5760" w:hanging="360"/>
      </w:pPr>
      <w:rPr>
        <w:rFonts w:ascii="Courier New" w:hAnsi="Courier New"/>
      </w:rPr>
    </w:lvl>
    <w:lvl w:ilvl="8" w:tplc="2C3EBEFC">
      <w:start w:val="1"/>
      <w:numFmt w:val="bullet"/>
      <w:lvlText w:val=""/>
      <w:lvlJc w:val="left"/>
      <w:pPr>
        <w:tabs>
          <w:tab w:val="num" w:pos="6480"/>
        </w:tabs>
        <w:ind w:left="6480" w:hanging="360"/>
      </w:pPr>
      <w:rPr>
        <w:rFonts w:ascii="Wingdings" w:hAnsi="Wingdings"/>
      </w:rPr>
    </w:lvl>
  </w:abstractNum>
  <w:abstractNum w:abstractNumId="143" w15:restartNumberingAfterBreak="0">
    <w:nsid w:val="72230551"/>
    <w:multiLevelType w:val="hybridMultilevel"/>
    <w:tmpl w:val="72230551"/>
    <w:lvl w:ilvl="0" w:tplc="FC0029F8">
      <w:start w:val="1"/>
      <w:numFmt w:val="bullet"/>
      <w:lvlText w:val=""/>
      <w:lvlJc w:val="left"/>
      <w:pPr>
        <w:ind w:left="720" w:hanging="360"/>
      </w:pPr>
      <w:rPr>
        <w:rFonts w:ascii="Symbol" w:hAnsi="Symbol"/>
      </w:rPr>
    </w:lvl>
    <w:lvl w:ilvl="1" w:tplc="9094F1F8">
      <w:start w:val="1"/>
      <w:numFmt w:val="bullet"/>
      <w:lvlText w:val="o"/>
      <w:lvlJc w:val="left"/>
      <w:pPr>
        <w:tabs>
          <w:tab w:val="num" w:pos="1440"/>
        </w:tabs>
        <w:ind w:left="1440" w:hanging="360"/>
      </w:pPr>
      <w:rPr>
        <w:rFonts w:ascii="Courier New" w:hAnsi="Courier New"/>
      </w:rPr>
    </w:lvl>
    <w:lvl w:ilvl="2" w:tplc="66F08CCA">
      <w:start w:val="1"/>
      <w:numFmt w:val="bullet"/>
      <w:lvlText w:val=""/>
      <w:lvlJc w:val="left"/>
      <w:pPr>
        <w:tabs>
          <w:tab w:val="num" w:pos="2160"/>
        </w:tabs>
        <w:ind w:left="2160" w:hanging="360"/>
      </w:pPr>
      <w:rPr>
        <w:rFonts w:ascii="Wingdings" w:hAnsi="Wingdings"/>
      </w:rPr>
    </w:lvl>
    <w:lvl w:ilvl="3" w:tplc="98489DAC">
      <w:start w:val="1"/>
      <w:numFmt w:val="bullet"/>
      <w:lvlText w:val=""/>
      <w:lvlJc w:val="left"/>
      <w:pPr>
        <w:tabs>
          <w:tab w:val="num" w:pos="2880"/>
        </w:tabs>
        <w:ind w:left="2880" w:hanging="360"/>
      </w:pPr>
      <w:rPr>
        <w:rFonts w:ascii="Symbol" w:hAnsi="Symbol"/>
      </w:rPr>
    </w:lvl>
    <w:lvl w:ilvl="4" w:tplc="696A74FE">
      <w:start w:val="1"/>
      <w:numFmt w:val="bullet"/>
      <w:lvlText w:val="o"/>
      <w:lvlJc w:val="left"/>
      <w:pPr>
        <w:tabs>
          <w:tab w:val="num" w:pos="3600"/>
        </w:tabs>
        <w:ind w:left="3600" w:hanging="360"/>
      </w:pPr>
      <w:rPr>
        <w:rFonts w:ascii="Courier New" w:hAnsi="Courier New"/>
      </w:rPr>
    </w:lvl>
    <w:lvl w:ilvl="5" w:tplc="A1E679E6">
      <w:start w:val="1"/>
      <w:numFmt w:val="bullet"/>
      <w:lvlText w:val=""/>
      <w:lvlJc w:val="left"/>
      <w:pPr>
        <w:tabs>
          <w:tab w:val="num" w:pos="4320"/>
        </w:tabs>
        <w:ind w:left="4320" w:hanging="360"/>
      </w:pPr>
      <w:rPr>
        <w:rFonts w:ascii="Wingdings" w:hAnsi="Wingdings"/>
      </w:rPr>
    </w:lvl>
    <w:lvl w:ilvl="6" w:tplc="F3B4C4AC">
      <w:start w:val="1"/>
      <w:numFmt w:val="bullet"/>
      <w:lvlText w:val=""/>
      <w:lvlJc w:val="left"/>
      <w:pPr>
        <w:tabs>
          <w:tab w:val="num" w:pos="5040"/>
        </w:tabs>
        <w:ind w:left="5040" w:hanging="360"/>
      </w:pPr>
      <w:rPr>
        <w:rFonts w:ascii="Symbol" w:hAnsi="Symbol"/>
      </w:rPr>
    </w:lvl>
    <w:lvl w:ilvl="7" w:tplc="7D96474E">
      <w:start w:val="1"/>
      <w:numFmt w:val="bullet"/>
      <w:lvlText w:val="o"/>
      <w:lvlJc w:val="left"/>
      <w:pPr>
        <w:tabs>
          <w:tab w:val="num" w:pos="5760"/>
        </w:tabs>
        <w:ind w:left="5760" w:hanging="360"/>
      </w:pPr>
      <w:rPr>
        <w:rFonts w:ascii="Courier New" w:hAnsi="Courier New"/>
      </w:rPr>
    </w:lvl>
    <w:lvl w:ilvl="8" w:tplc="D20462EC">
      <w:start w:val="1"/>
      <w:numFmt w:val="bullet"/>
      <w:lvlText w:val=""/>
      <w:lvlJc w:val="left"/>
      <w:pPr>
        <w:tabs>
          <w:tab w:val="num" w:pos="6480"/>
        </w:tabs>
        <w:ind w:left="6480" w:hanging="360"/>
      </w:pPr>
      <w:rPr>
        <w:rFonts w:ascii="Wingdings" w:hAnsi="Wingdings"/>
      </w:rPr>
    </w:lvl>
  </w:abstractNum>
  <w:abstractNum w:abstractNumId="144" w15:restartNumberingAfterBreak="0">
    <w:nsid w:val="72230552"/>
    <w:multiLevelType w:val="hybridMultilevel"/>
    <w:tmpl w:val="72230552"/>
    <w:lvl w:ilvl="0" w:tplc="222AE8FA">
      <w:start w:val="1"/>
      <w:numFmt w:val="bullet"/>
      <w:lvlText w:val=""/>
      <w:lvlJc w:val="left"/>
      <w:pPr>
        <w:ind w:left="720" w:hanging="360"/>
      </w:pPr>
      <w:rPr>
        <w:rFonts w:ascii="Symbol" w:hAnsi="Symbol"/>
      </w:rPr>
    </w:lvl>
    <w:lvl w:ilvl="1" w:tplc="4ED01BD8">
      <w:start w:val="1"/>
      <w:numFmt w:val="bullet"/>
      <w:lvlText w:val="o"/>
      <w:lvlJc w:val="left"/>
      <w:pPr>
        <w:tabs>
          <w:tab w:val="num" w:pos="1440"/>
        </w:tabs>
        <w:ind w:left="1440" w:hanging="360"/>
      </w:pPr>
      <w:rPr>
        <w:rFonts w:ascii="Courier New" w:hAnsi="Courier New"/>
      </w:rPr>
    </w:lvl>
    <w:lvl w:ilvl="2" w:tplc="7B2601E2">
      <w:start w:val="1"/>
      <w:numFmt w:val="bullet"/>
      <w:lvlText w:val=""/>
      <w:lvlJc w:val="left"/>
      <w:pPr>
        <w:tabs>
          <w:tab w:val="num" w:pos="2160"/>
        </w:tabs>
        <w:ind w:left="2160" w:hanging="360"/>
      </w:pPr>
      <w:rPr>
        <w:rFonts w:ascii="Wingdings" w:hAnsi="Wingdings"/>
      </w:rPr>
    </w:lvl>
    <w:lvl w:ilvl="3" w:tplc="99AA9CFC">
      <w:start w:val="1"/>
      <w:numFmt w:val="bullet"/>
      <w:lvlText w:val=""/>
      <w:lvlJc w:val="left"/>
      <w:pPr>
        <w:tabs>
          <w:tab w:val="num" w:pos="2880"/>
        </w:tabs>
        <w:ind w:left="2880" w:hanging="360"/>
      </w:pPr>
      <w:rPr>
        <w:rFonts w:ascii="Symbol" w:hAnsi="Symbol"/>
      </w:rPr>
    </w:lvl>
    <w:lvl w:ilvl="4" w:tplc="E4FC2DFA">
      <w:start w:val="1"/>
      <w:numFmt w:val="bullet"/>
      <w:lvlText w:val="o"/>
      <w:lvlJc w:val="left"/>
      <w:pPr>
        <w:tabs>
          <w:tab w:val="num" w:pos="3600"/>
        </w:tabs>
        <w:ind w:left="3600" w:hanging="360"/>
      </w:pPr>
      <w:rPr>
        <w:rFonts w:ascii="Courier New" w:hAnsi="Courier New"/>
      </w:rPr>
    </w:lvl>
    <w:lvl w:ilvl="5" w:tplc="3042B172">
      <w:start w:val="1"/>
      <w:numFmt w:val="bullet"/>
      <w:lvlText w:val=""/>
      <w:lvlJc w:val="left"/>
      <w:pPr>
        <w:tabs>
          <w:tab w:val="num" w:pos="4320"/>
        </w:tabs>
        <w:ind w:left="4320" w:hanging="360"/>
      </w:pPr>
      <w:rPr>
        <w:rFonts w:ascii="Wingdings" w:hAnsi="Wingdings"/>
      </w:rPr>
    </w:lvl>
    <w:lvl w:ilvl="6" w:tplc="E9B8EA46">
      <w:start w:val="1"/>
      <w:numFmt w:val="bullet"/>
      <w:lvlText w:val=""/>
      <w:lvlJc w:val="left"/>
      <w:pPr>
        <w:tabs>
          <w:tab w:val="num" w:pos="5040"/>
        </w:tabs>
        <w:ind w:left="5040" w:hanging="360"/>
      </w:pPr>
      <w:rPr>
        <w:rFonts w:ascii="Symbol" w:hAnsi="Symbol"/>
      </w:rPr>
    </w:lvl>
    <w:lvl w:ilvl="7" w:tplc="07AC9322">
      <w:start w:val="1"/>
      <w:numFmt w:val="bullet"/>
      <w:lvlText w:val="o"/>
      <w:lvlJc w:val="left"/>
      <w:pPr>
        <w:tabs>
          <w:tab w:val="num" w:pos="5760"/>
        </w:tabs>
        <w:ind w:left="5760" w:hanging="360"/>
      </w:pPr>
      <w:rPr>
        <w:rFonts w:ascii="Courier New" w:hAnsi="Courier New"/>
      </w:rPr>
    </w:lvl>
    <w:lvl w:ilvl="8" w:tplc="1478BEE6">
      <w:start w:val="1"/>
      <w:numFmt w:val="bullet"/>
      <w:lvlText w:val=""/>
      <w:lvlJc w:val="left"/>
      <w:pPr>
        <w:tabs>
          <w:tab w:val="num" w:pos="6480"/>
        </w:tabs>
        <w:ind w:left="6480" w:hanging="360"/>
      </w:pPr>
      <w:rPr>
        <w:rFonts w:ascii="Wingdings" w:hAnsi="Wingdings"/>
      </w:rPr>
    </w:lvl>
  </w:abstractNum>
  <w:abstractNum w:abstractNumId="145" w15:restartNumberingAfterBreak="0">
    <w:nsid w:val="72230553"/>
    <w:multiLevelType w:val="hybridMultilevel"/>
    <w:tmpl w:val="72230553"/>
    <w:lvl w:ilvl="0" w:tplc="186E8A6C">
      <w:start w:val="1"/>
      <w:numFmt w:val="bullet"/>
      <w:lvlText w:val=""/>
      <w:lvlJc w:val="left"/>
      <w:pPr>
        <w:ind w:left="720" w:hanging="360"/>
      </w:pPr>
      <w:rPr>
        <w:rFonts w:ascii="Symbol" w:hAnsi="Symbol"/>
      </w:rPr>
    </w:lvl>
    <w:lvl w:ilvl="1" w:tplc="B574B958">
      <w:start w:val="1"/>
      <w:numFmt w:val="bullet"/>
      <w:lvlText w:val="o"/>
      <w:lvlJc w:val="left"/>
      <w:pPr>
        <w:tabs>
          <w:tab w:val="num" w:pos="1440"/>
        </w:tabs>
        <w:ind w:left="1440" w:hanging="360"/>
      </w:pPr>
      <w:rPr>
        <w:rFonts w:ascii="Courier New" w:hAnsi="Courier New"/>
      </w:rPr>
    </w:lvl>
    <w:lvl w:ilvl="2" w:tplc="FCEC8E8C">
      <w:start w:val="1"/>
      <w:numFmt w:val="bullet"/>
      <w:lvlText w:val=""/>
      <w:lvlJc w:val="left"/>
      <w:pPr>
        <w:tabs>
          <w:tab w:val="num" w:pos="2160"/>
        </w:tabs>
        <w:ind w:left="2160" w:hanging="360"/>
      </w:pPr>
      <w:rPr>
        <w:rFonts w:ascii="Wingdings" w:hAnsi="Wingdings"/>
      </w:rPr>
    </w:lvl>
    <w:lvl w:ilvl="3" w:tplc="1FA4492C">
      <w:start w:val="1"/>
      <w:numFmt w:val="bullet"/>
      <w:lvlText w:val=""/>
      <w:lvlJc w:val="left"/>
      <w:pPr>
        <w:tabs>
          <w:tab w:val="num" w:pos="2880"/>
        </w:tabs>
        <w:ind w:left="2880" w:hanging="360"/>
      </w:pPr>
      <w:rPr>
        <w:rFonts w:ascii="Symbol" w:hAnsi="Symbol"/>
      </w:rPr>
    </w:lvl>
    <w:lvl w:ilvl="4" w:tplc="B16057E6">
      <w:start w:val="1"/>
      <w:numFmt w:val="bullet"/>
      <w:lvlText w:val="o"/>
      <w:lvlJc w:val="left"/>
      <w:pPr>
        <w:tabs>
          <w:tab w:val="num" w:pos="3600"/>
        </w:tabs>
        <w:ind w:left="3600" w:hanging="360"/>
      </w:pPr>
      <w:rPr>
        <w:rFonts w:ascii="Courier New" w:hAnsi="Courier New"/>
      </w:rPr>
    </w:lvl>
    <w:lvl w:ilvl="5" w:tplc="6FFA6A86">
      <w:start w:val="1"/>
      <w:numFmt w:val="bullet"/>
      <w:lvlText w:val=""/>
      <w:lvlJc w:val="left"/>
      <w:pPr>
        <w:tabs>
          <w:tab w:val="num" w:pos="4320"/>
        </w:tabs>
        <w:ind w:left="4320" w:hanging="360"/>
      </w:pPr>
      <w:rPr>
        <w:rFonts w:ascii="Wingdings" w:hAnsi="Wingdings"/>
      </w:rPr>
    </w:lvl>
    <w:lvl w:ilvl="6" w:tplc="F5764ECE">
      <w:start w:val="1"/>
      <w:numFmt w:val="bullet"/>
      <w:lvlText w:val=""/>
      <w:lvlJc w:val="left"/>
      <w:pPr>
        <w:tabs>
          <w:tab w:val="num" w:pos="5040"/>
        </w:tabs>
        <w:ind w:left="5040" w:hanging="360"/>
      </w:pPr>
      <w:rPr>
        <w:rFonts w:ascii="Symbol" w:hAnsi="Symbol"/>
      </w:rPr>
    </w:lvl>
    <w:lvl w:ilvl="7" w:tplc="B768B148">
      <w:start w:val="1"/>
      <w:numFmt w:val="bullet"/>
      <w:lvlText w:val="o"/>
      <w:lvlJc w:val="left"/>
      <w:pPr>
        <w:tabs>
          <w:tab w:val="num" w:pos="5760"/>
        </w:tabs>
        <w:ind w:left="5760" w:hanging="360"/>
      </w:pPr>
      <w:rPr>
        <w:rFonts w:ascii="Courier New" w:hAnsi="Courier New"/>
      </w:rPr>
    </w:lvl>
    <w:lvl w:ilvl="8" w:tplc="CDEA3436">
      <w:start w:val="1"/>
      <w:numFmt w:val="bullet"/>
      <w:lvlText w:val=""/>
      <w:lvlJc w:val="left"/>
      <w:pPr>
        <w:tabs>
          <w:tab w:val="num" w:pos="6480"/>
        </w:tabs>
        <w:ind w:left="6480" w:hanging="360"/>
      </w:pPr>
      <w:rPr>
        <w:rFonts w:ascii="Wingdings" w:hAnsi="Wingdings"/>
      </w:rPr>
    </w:lvl>
  </w:abstractNum>
  <w:abstractNum w:abstractNumId="146" w15:restartNumberingAfterBreak="0">
    <w:nsid w:val="72230554"/>
    <w:multiLevelType w:val="hybridMultilevel"/>
    <w:tmpl w:val="72230554"/>
    <w:lvl w:ilvl="0" w:tplc="4F56234A">
      <w:start w:val="1"/>
      <w:numFmt w:val="bullet"/>
      <w:lvlText w:val=""/>
      <w:lvlJc w:val="left"/>
      <w:pPr>
        <w:tabs>
          <w:tab w:val="num" w:pos="720"/>
        </w:tabs>
        <w:ind w:left="720" w:hanging="360"/>
      </w:pPr>
      <w:rPr>
        <w:rFonts w:ascii="Symbol" w:hAnsi="Symbol"/>
      </w:rPr>
    </w:lvl>
    <w:lvl w:ilvl="1" w:tplc="1364692A">
      <w:start w:val="1"/>
      <w:numFmt w:val="bullet"/>
      <w:lvlText w:val="o"/>
      <w:lvlJc w:val="left"/>
      <w:pPr>
        <w:tabs>
          <w:tab w:val="num" w:pos="1440"/>
        </w:tabs>
        <w:ind w:left="1440" w:hanging="360"/>
      </w:pPr>
      <w:rPr>
        <w:rFonts w:ascii="Courier New" w:hAnsi="Courier New"/>
      </w:rPr>
    </w:lvl>
    <w:lvl w:ilvl="2" w:tplc="D8B6485E">
      <w:start w:val="1"/>
      <w:numFmt w:val="bullet"/>
      <w:lvlText w:val=""/>
      <w:lvlJc w:val="left"/>
      <w:pPr>
        <w:tabs>
          <w:tab w:val="num" w:pos="2160"/>
        </w:tabs>
        <w:ind w:left="2160" w:hanging="360"/>
      </w:pPr>
      <w:rPr>
        <w:rFonts w:ascii="Wingdings" w:hAnsi="Wingdings"/>
      </w:rPr>
    </w:lvl>
    <w:lvl w:ilvl="3" w:tplc="BB984768">
      <w:start w:val="1"/>
      <w:numFmt w:val="bullet"/>
      <w:lvlText w:val=""/>
      <w:lvlJc w:val="left"/>
      <w:pPr>
        <w:tabs>
          <w:tab w:val="num" w:pos="2880"/>
        </w:tabs>
        <w:ind w:left="2880" w:hanging="360"/>
      </w:pPr>
      <w:rPr>
        <w:rFonts w:ascii="Symbol" w:hAnsi="Symbol"/>
      </w:rPr>
    </w:lvl>
    <w:lvl w:ilvl="4" w:tplc="D24C5876">
      <w:start w:val="1"/>
      <w:numFmt w:val="bullet"/>
      <w:lvlText w:val="o"/>
      <w:lvlJc w:val="left"/>
      <w:pPr>
        <w:tabs>
          <w:tab w:val="num" w:pos="3600"/>
        </w:tabs>
        <w:ind w:left="3600" w:hanging="360"/>
      </w:pPr>
      <w:rPr>
        <w:rFonts w:ascii="Courier New" w:hAnsi="Courier New"/>
      </w:rPr>
    </w:lvl>
    <w:lvl w:ilvl="5" w:tplc="068EE764">
      <w:start w:val="1"/>
      <w:numFmt w:val="bullet"/>
      <w:lvlText w:val=""/>
      <w:lvlJc w:val="left"/>
      <w:pPr>
        <w:tabs>
          <w:tab w:val="num" w:pos="4320"/>
        </w:tabs>
        <w:ind w:left="4320" w:hanging="360"/>
      </w:pPr>
      <w:rPr>
        <w:rFonts w:ascii="Wingdings" w:hAnsi="Wingdings"/>
      </w:rPr>
    </w:lvl>
    <w:lvl w:ilvl="6" w:tplc="80E69C6E">
      <w:start w:val="1"/>
      <w:numFmt w:val="bullet"/>
      <w:lvlText w:val=""/>
      <w:lvlJc w:val="left"/>
      <w:pPr>
        <w:tabs>
          <w:tab w:val="num" w:pos="5040"/>
        </w:tabs>
        <w:ind w:left="5040" w:hanging="360"/>
      </w:pPr>
      <w:rPr>
        <w:rFonts w:ascii="Symbol" w:hAnsi="Symbol"/>
      </w:rPr>
    </w:lvl>
    <w:lvl w:ilvl="7" w:tplc="B18E3206">
      <w:start w:val="1"/>
      <w:numFmt w:val="bullet"/>
      <w:lvlText w:val="o"/>
      <w:lvlJc w:val="left"/>
      <w:pPr>
        <w:tabs>
          <w:tab w:val="num" w:pos="5760"/>
        </w:tabs>
        <w:ind w:left="5760" w:hanging="360"/>
      </w:pPr>
      <w:rPr>
        <w:rFonts w:ascii="Courier New" w:hAnsi="Courier New"/>
      </w:rPr>
    </w:lvl>
    <w:lvl w:ilvl="8" w:tplc="7C148760">
      <w:start w:val="1"/>
      <w:numFmt w:val="bullet"/>
      <w:lvlText w:val=""/>
      <w:lvlJc w:val="left"/>
      <w:pPr>
        <w:tabs>
          <w:tab w:val="num" w:pos="6480"/>
        </w:tabs>
        <w:ind w:left="6480" w:hanging="360"/>
      </w:pPr>
      <w:rPr>
        <w:rFonts w:ascii="Wingdings" w:hAnsi="Wingdings"/>
      </w:rPr>
    </w:lvl>
  </w:abstractNum>
  <w:abstractNum w:abstractNumId="147" w15:restartNumberingAfterBreak="0">
    <w:nsid w:val="72230555"/>
    <w:multiLevelType w:val="hybridMultilevel"/>
    <w:tmpl w:val="72230555"/>
    <w:lvl w:ilvl="0" w:tplc="FA900F68">
      <w:start w:val="1"/>
      <w:numFmt w:val="bullet"/>
      <w:lvlText w:val=""/>
      <w:lvlJc w:val="left"/>
      <w:pPr>
        <w:tabs>
          <w:tab w:val="num" w:pos="720"/>
        </w:tabs>
        <w:ind w:left="720" w:hanging="360"/>
      </w:pPr>
      <w:rPr>
        <w:rFonts w:ascii="Symbol" w:hAnsi="Symbol"/>
      </w:rPr>
    </w:lvl>
    <w:lvl w:ilvl="1" w:tplc="51B88D52">
      <w:start w:val="1"/>
      <w:numFmt w:val="bullet"/>
      <w:lvlText w:val="o"/>
      <w:lvlJc w:val="left"/>
      <w:pPr>
        <w:tabs>
          <w:tab w:val="num" w:pos="1440"/>
        </w:tabs>
        <w:ind w:left="1440" w:hanging="360"/>
      </w:pPr>
      <w:rPr>
        <w:rFonts w:ascii="Courier New" w:hAnsi="Courier New"/>
      </w:rPr>
    </w:lvl>
    <w:lvl w:ilvl="2" w:tplc="1A84972E">
      <w:start w:val="1"/>
      <w:numFmt w:val="bullet"/>
      <w:lvlText w:val=""/>
      <w:lvlJc w:val="left"/>
      <w:pPr>
        <w:tabs>
          <w:tab w:val="num" w:pos="2160"/>
        </w:tabs>
        <w:ind w:left="2160" w:hanging="360"/>
      </w:pPr>
      <w:rPr>
        <w:rFonts w:ascii="Wingdings" w:hAnsi="Wingdings"/>
      </w:rPr>
    </w:lvl>
    <w:lvl w:ilvl="3" w:tplc="64AED3B8">
      <w:start w:val="1"/>
      <w:numFmt w:val="bullet"/>
      <w:lvlText w:val=""/>
      <w:lvlJc w:val="left"/>
      <w:pPr>
        <w:tabs>
          <w:tab w:val="num" w:pos="2880"/>
        </w:tabs>
        <w:ind w:left="2880" w:hanging="360"/>
      </w:pPr>
      <w:rPr>
        <w:rFonts w:ascii="Symbol" w:hAnsi="Symbol"/>
      </w:rPr>
    </w:lvl>
    <w:lvl w:ilvl="4" w:tplc="D2DAAC4A">
      <w:start w:val="1"/>
      <w:numFmt w:val="bullet"/>
      <w:lvlText w:val="o"/>
      <w:lvlJc w:val="left"/>
      <w:pPr>
        <w:tabs>
          <w:tab w:val="num" w:pos="3600"/>
        </w:tabs>
        <w:ind w:left="3600" w:hanging="360"/>
      </w:pPr>
      <w:rPr>
        <w:rFonts w:ascii="Courier New" w:hAnsi="Courier New"/>
      </w:rPr>
    </w:lvl>
    <w:lvl w:ilvl="5" w:tplc="0AFEEF9A">
      <w:start w:val="1"/>
      <w:numFmt w:val="bullet"/>
      <w:lvlText w:val=""/>
      <w:lvlJc w:val="left"/>
      <w:pPr>
        <w:tabs>
          <w:tab w:val="num" w:pos="4320"/>
        </w:tabs>
        <w:ind w:left="4320" w:hanging="360"/>
      </w:pPr>
      <w:rPr>
        <w:rFonts w:ascii="Wingdings" w:hAnsi="Wingdings"/>
      </w:rPr>
    </w:lvl>
    <w:lvl w:ilvl="6" w:tplc="9154CC2E">
      <w:start w:val="1"/>
      <w:numFmt w:val="bullet"/>
      <w:lvlText w:val=""/>
      <w:lvlJc w:val="left"/>
      <w:pPr>
        <w:tabs>
          <w:tab w:val="num" w:pos="5040"/>
        </w:tabs>
        <w:ind w:left="5040" w:hanging="360"/>
      </w:pPr>
      <w:rPr>
        <w:rFonts w:ascii="Symbol" w:hAnsi="Symbol"/>
      </w:rPr>
    </w:lvl>
    <w:lvl w:ilvl="7" w:tplc="C03EB012">
      <w:start w:val="1"/>
      <w:numFmt w:val="bullet"/>
      <w:lvlText w:val="o"/>
      <w:lvlJc w:val="left"/>
      <w:pPr>
        <w:tabs>
          <w:tab w:val="num" w:pos="5760"/>
        </w:tabs>
        <w:ind w:left="5760" w:hanging="360"/>
      </w:pPr>
      <w:rPr>
        <w:rFonts w:ascii="Courier New" w:hAnsi="Courier New"/>
      </w:rPr>
    </w:lvl>
    <w:lvl w:ilvl="8" w:tplc="252437D0">
      <w:start w:val="1"/>
      <w:numFmt w:val="bullet"/>
      <w:lvlText w:val=""/>
      <w:lvlJc w:val="left"/>
      <w:pPr>
        <w:tabs>
          <w:tab w:val="num" w:pos="6480"/>
        </w:tabs>
        <w:ind w:left="6480" w:hanging="360"/>
      </w:pPr>
      <w:rPr>
        <w:rFonts w:ascii="Wingdings" w:hAnsi="Wingdings"/>
      </w:rPr>
    </w:lvl>
  </w:abstractNum>
  <w:abstractNum w:abstractNumId="148" w15:restartNumberingAfterBreak="0">
    <w:nsid w:val="72230556"/>
    <w:multiLevelType w:val="hybridMultilevel"/>
    <w:tmpl w:val="72230556"/>
    <w:lvl w:ilvl="0" w:tplc="48D81226">
      <w:start w:val="1"/>
      <w:numFmt w:val="bullet"/>
      <w:lvlText w:val=""/>
      <w:lvlJc w:val="left"/>
      <w:pPr>
        <w:tabs>
          <w:tab w:val="num" w:pos="720"/>
        </w:tabs>
        <w:ind w:left="720" w:hanging="360"/>
      </w:pPr>
      <w:rPr>
        <w:rFonts w:ascii="Symbol" w:hAnsi="Symbol"/>
      </w:rPr>
    </w:lvl>
    <w:lvl w:ilvl="1" w:tplc="82429C5C">
      <w:start w:val="1"/>
      <w:numFmt w:val="bullet"/>
      <w:lvlText w:val="o"/>
      <w:lvlJc w:val="left"/>
      <w:pPr>
        <w:tabs>
          <w:tab w:val="num" w:pos="1440"/>
        </w:tabs>
        <w:ind w:left="1440" w:hanging="360"/>
      </w:pPr>
      <w:rPr>
        <w:rFonts w:ascii="Courier New" w:hAnsi="Courier New"/>
      </w:rPr>
    </w:lvl>
    <w:lvl w:ilvl="2" w:tplc="135E4F7E">
      <w:start w:val="1"/>
      <w:numFmt w:val="bullet"/>
      <w:lvlText w:val=""/>
      <w:lvlJc w:val="left"/>
      <w:pPr>
        <w:tabs>
          <w:tab w:val="num" w:pos="2160"/>
        </w:tabs>
        <w:ind w:left="2160" w:hanging="360"/>
      </w:pPr>
      <w:rPr>
        <w:rFonts w:ascii="Wingdings" w:hAnsi="Wingdings"/>
      </w:rPr>
    </w:lvl>
    <w:lvl w:ilvl="3" w:tplc="FE7A490E">
      <w:start w:val="1"/>
      <w:numFmt w:val="bullet"/>
      <w:lvlText w:val=""/>
      <w:lvlJc w:val="left"/>
      <w:pPr>
        <w:tabs>
          <w:tab w:val="num" w:pos="2880"/>
        </w:tabs>
        <w:ind w:left="2880" w:hanging="360"/>
      </w:pPr>
      <w:rPr>
        <w:rFonts w:ascii="Symbol" w:hAnsi="Symbol"/>
      </w:rPr>
    </w:lvl>
    <w:lvl w:ilvl="4" w:tplc="11F41A30">
      <w:start w:val="1"/>
      <w:numFmt w:val="bullet"/>
      <w:lvlText w:val="o"/>
      <w:lvlJc w:val="left"/>
      <w:pPr>
        <w:tabs>
          <w:tab w:val="num" w:pos="3600"/>
        </w:tabs>
        <w:ind w:left="3600" w:hanging="360"/>
      </w:pPr>
      <w:rPr>
        <w:rFonts w:ascii="Courier New" w:hAnsi="Courier New"/>
      </w:rPr>
    </w:lvl>
    <w:lvl w:ilvl="5" w:tplc="287A46CC">
      <w:start w:val="1"/>
      <w:numFmt w:val="bullet"/>
      <w:lvlText w:val=""/>
      <w:lvlJc w:val="left"/>
      <w:pPr>
        <w:tabs>
          <w:tab w:val="num" w:pos="4320"/>
        </w:tabs>
        <w:ind w:left="4320" w:hanging="360"/>
      </w:pPr>
      <w:rPr>
        <w:rFonts w:ascii="Wingdings" w:hAnsi="Wingdings"/>
      </w:rPr>
    </w:lvl>
    <w:lvl w:ilvl="6" w:tplc="5958077C">
      <w:start w:val="1"/>
      <w:numFmt w:val="bullet"/>
      <w:lvlText w:val=""/>
      <w:lvlJc w:val="left"/>
      <w:pPr>
        <w:tabs>
          <w:tab w:val="num" w:pos="5040"/>
        </w:tabs>
        <w:ind w:left="5040" w:hanging="360"/>
      </w:pPr>
      <w:rPr>
        <w:rFonts w:ascii="Symbol" w:hAnsi="Symbol"/>
      </w:rPr>
    </w:lvl>
    <w:lvl w:ilvl="7" w:tplc="83A24DD4">
      <w:start w:val="1"/>
      <w:numFmt w:val="bullet"/>
      <w:lvlText w:val="o"/>
      <w:lvlJc w:val="left"/>
      <w:pPr>
        <w:tabs>
          <w:tab w:val="num" w:pos="5760"/>
        </w:tabs>
        <w:ind w:left="5760" w:hanging="360"/>
      </w:pPr>
      <w:rPr>
        <w:rFonts w:ascii="Courier New" w:hAnsi="Courier New"/>
      </w:rPr>
    </w:lvl>
    <w:lvl w:ilvl="8" w:tplc="32BA852E">
      <w:start w:val="1"/>
      <w:numFmt w:val="bullet"/>
      <w:lvlText w:val=""/>
      <w:lvlJc w:val="left"/>
      <w:pPr>
        <w:tabs>
          <w:tab w:val="num" w:pos="6480"/>
        </w:tabs>
        <w:ind w:left="6480" w:hanging="360"/>
      </w:pPr>
      <w:rPr>
        <w:rFonts w:ascii="Wingdings" w:hAnsi="Wingdings"/>
      </w:rPr>
    </w:lvl>
  </w:abstractNum>
  <w:abstractNum w:abstractNumId="149" w15:restartNumberingAfterBreak="0">
    <w:nsid w:val="72230557"/>
    <w:multiLevelType w:val="hybridMultilevel"/>
    <w:tmpl w:val="72230557"/>
    <w:lvl w:ilvl="0" w:tplc="88F6BA6E">
      <w:start w:val="1"/>
      <w:numFmt w:val="bullet"/>
      <w:lvlText w:val=""/>
      <w:lvlJc w:val="left"/>
      <w:pPr>
        <w:tabs>
          <w:tab w:val="num" w:pos="720"/>
        </w:tabs>
        <w:ind w:left="720" w:hanging="360"/>
      </w:pPr>
      <w:rPr>
        <w:rFonts w:ascii="Symbol" w:hAnsi="Symbol"/>
      </w:rPr>
    </w:lvl>
    <w:lvl w:ilvl="1" w:tplc="BD0ABC54">
      <w:start w:val="1"/>
      <w:numFmt w:val="bullet"/>
      <w:lvlText w:val="o"/>
      <w:lvlJc w:val="left"/>
      <w:pPr>
        <w:tabs>
          <w:tab w:val="num" w:pos="1440"/>
        </w:tabs>
        <w:ind w:left="1440" w:hanging="360"/>
      </w:pPr>
      <w:rPr>
        <w:rFonts w:ascii="Courier New" w:hAnsi="Courier New"/>
      </w:rPr>
    </w:lvl>
    <w:lvl w:ilvl="2" w:tplc="9C8E7DC2">
      <w:start w:val="1"/>
      <w:numFmt w:val="bullet"/>
      <w:lvlText w:val=""/>
      <w:lvlJc w:val="left"/>
      <w:pPr>
        <w:tabs>
          <w:tab w:val="num" w:pos="2160"/>
        </w:tabs>
        <w:ind w:left="2160" w:hanging="360"/>
      </w:pPr>
      <w:rPr>
        <w:rFonts w:ascii="Wingdings" w:hAnsi="Wingdings"/>
      </w:rPr>
    </w:lvl>
    <w:lvl w:ilvl="3" w:tplc="06F09EF2">
      <w:start w:val="1"/>
      <w:numFmt w:val="bullet"/>
      <w:lvlText w:val=""/>
      <w:lvlJc w:val="left"/>
      <w:pPr>
        <w:tabs>
          <w:tab w:val="num" w:pos="2880"/>
        </w:tabs>
        <w:ind w:left="2880" w:hanging="360"/>
      </w:pPr>
      <w:rPr>
        <w:rFonts w:ascii="Symbol" w:hAnsi="Symbol"/>
      </w:rPr>
    </w:lvl>
    <w:lvl w:ilvl="4" w:tplc="5BFC5B78">
      <w:start w:val="1"/>
      <w:numFmt w:val="bullet"/>
      <w:lvlText w:val="o"/>
      <w:lvlJc w:val="left"/>
      <w:pPr>
        <w:tabs>
          <w:tab w:val="num" w:pos="3600"/>
        </w:tabs>
        <w:ind w:left="3600" w:hanging="360"/>
      </w:pPr>
      <w:rPr>
        <w:rFonts w:ascii="Courier New" w:hAnsi="Courier New"/>
      </w:rPr>
    </w:lvl>
    <w:lvl w:ilvl="5" w:tplc="99609E7A">
      <w:start w:val="1"/>
      <w:numFmt w:val="bullet"/>
      <w:lvlText w:val=""/>
      <w:lvlJc w:val="left"/>
      <w:pPr>
        <w:tabs>
          <w:tab w:val="num" w:pos="4320"/>
        </w:tabs>
        <w:ind w:left="4320" w:hanging="360"/>
      </w:pPr>
      <w:rPr>
        <w:rFonts w:ascii="Wingdings" w:hAnsi="Wingdings"/>
      </w:rPr>
    </w:lvl>
    <w:lvl w:ilvl="6" w:tplc="5C0A455C">
      <w:start w:val="1"/>
      <w:numFmt w:val="bullet"/>
      <w:lvlText w:val=""/>
      <w:lvlJc w:val="left"/>
      <w:pPr>
        <w:tabs>
          <w:tab w:val="num" w:pos="5040"/>
        </w:tabs>
        <w:ind w:left="5040" w:hanging="360"/>
      </w:pPr>
      <w:rPr>
        <w:rFonts w:ascii="Symbol" w:hAnsi="Symbol"/>
      </w:rPr>
    </w:lvl>
    <w:lvl w:ilvl="7" w:tplc="64B027DC">
      <w:start w:val="1"/>
      <w:numFmt w:val="bullet"/>
      <w:lvlText w:val="o"/>
      <w:lvlJc w:val="left"/>
      <w:pPr>
        <w:tabs>
          <w:tab w:val="num" w:pos="5760"/>
        </w:tabs>
        <w:ind w:left="5760" w:hanging="360"/>
      </w:pPr>
      <w:rPr>
        <w:rFonts w:ascii="Courier New" w:hAnsi="Courier New"/>
      </w:rPr>
    </w:lvl>
    <w:lvl w:ilvl="8" w:tplc="984872DA">
      <w:start w:val="1"/>
      <w:numFmt w:val="bullet"/>
      <w:lvlText w:val=""/>
      <w:lvlJc w:val="left"/>
      <w:pPr>
        <w:tabs>
          <w:tab w:val="num" w:pos="6480"/>
        </w:tabs>
        <w:ind w:left="6480" w:hanging="360"/>
      </w:pPr>
      <w:rPr>
        <w:rFonts w:ascii="Wingdings" w:hAnsi="Wingdings"/>
      </w:rPr>
    </w:lvl>
  </w:abstractNum>
  <w:abstractNum w:abstractNumId="150" w15:restartNumberingAfterBreak="0">
    <w:nsid w:val="72230558"/>
    <w:multiLevelType w:val="hybridMultilevel"/>
    <w:tmpl w:val="72230558"/>
    <w:lvl w:ilvl="0" w:tplc="C0003C2E">
      <w:start w:val="1"/>
      <w:numFmt w:val="bullet"/>
      <w:lvlText w:val=""/>
      <w:lvlJc w:val="left"/>
      <w:pPr>
        <w:tabs>
          <w:tab w:val="num" w:pos="720"/>
        </w:tabs>
        <w:ind w:left="720" w:hanging="360"/>
      </w:pPr>
      <w:rPr>
        <w:rFonts w:ascii="Symbol" w:hAnsi="Symbol"/>
      </w:rPr>
    </w:lvl>
    <w:lvl w:ilvl="1" w:tplc="14E64024">
      <w:start w:val="1"/>
      <w:numFmt w:val="bullet"/>
      <w:lvlText w:val="o"/>
      <w:lvlJc w:val="left"/>
      <w:pPr>
        <w:tabs>
          <w:tab w:val="num" w:pos="1440"/>
        </w:tabs>
        <w:ind w:left="1440" w:hanging="360"/>
      </w:pPr>
      <w:rPr>
        <w:rFonts w:ascii="Courier New" w:hAnsi="Courier New"/>
      </w:rPr>
    </w:lvl>
    <w:lvl w:ilvl="2" w:tplc="24206248">
      <w:start w:val="1"/>
      <w:numFmt w:val="bullet"/>
      <w:lvlText w:val=""/>
      <w:lvlJc w:val="left"/>
      <w:pPr>
        <w:tabs>
          <w:tab w:val="num" w:pos="2160"/>
        </w:tabs>
        <w:ind w:left="2160" w:hanging="360"/>
      </w:pPr>
      <w:rPr>
        <w:rFonts w:ascii="Wingdings" w:hAnsi="Wingdings"/>
      </w:rPr>
    </w:lvl>
    <w:lvl w:ilvl="3" w:tplc="D5827BF4">
      <w:start w:val="1"/>
      <w:numFmt w:val="bullet"/>
      <w:lvlText w:val=""/>
      <w:lvlJc w:val="left"/>
      <w:pPr>
        <w:tabs>
          <w:tab w:val="num" w:pos="2880"/>
        </w:tabs>
        <w:ind w:left="2880" w:hanging="360"/>
      </w:pPr>
      <w:rPr>
        <w:rFonts w:ascii="Symbol" w:hAnsi="Symbol"/>
      </w:rPr>
    </w:lvl>
    <w:lvl w:ilvl="4" w:tplc="9F088092">
      <w:start w:val="1"/>
      <w:numFmt w:val="bullet"/>
      <w:lvlText w:val="o"/>
      <w:lvlJc w:val="left"/>
      <w:pPr>
        <w:tabs>
          <w:tab w:val="num" w:pos="3600"/>
        </w:tabs>
        <w:ind w:left="3600" w:hanging="360"/>
      </w:pPr>
      <w:rPr>
        <w:rFonts w:ascii="Courier New" w:hAnsi="Courier New"/>
      </w:rPr>
    </w:lvl>
    <w:lvl w:ilvl="5" w:tplc="D672875C">
      <w:start w:val="1"/>
      <w:numFmt w:val="bullet"/>
      <w:lvlText w:val=""/>
      <w:lvlJc w:val="left"/>
      <w:pPr>
        <w:tabs>
          <w:tab w:val="num" w:pos="4320"/>
        </w:tabs>
        <w:ind w:left="4320" w:hanging="360"/>
      </w:pPr>
      <w:rPr>
        <w:rFonts w:ascii="Wingdings" w:hAnsi="Wingdings"/>
      </w:rPr>
    </w:lvl>
    <w:lvl w:ilvl="6" w:tplc="474694AC">
      <w:start w:val="1"/>
      <w:numFmt w:val="bullet"/>
      <w:lvlText w:val=""/>
      <w:lvlJc w:val="left"/>
      <w:pPr>
        <w:tabs>
          <w:tab w:val="num" w:pos="5040"/>
        </w:tabs>
        <w:ind w:left="5040" w:hanging="360"/>
      </w:pPr>
      <w:rPr>
        <w:rFonts w:ascii="Symbol" w:hAnsi="Symbol"/>
      </w:rPr>
    </w:lvl>
    <w:lvl w:ilvl="7" w:tplc="226877B4">
      <w:start w:val="1"/>
      <w:numFmt w:val="bullet"/>
      <w:lvlText w:val="o"/>
      <w:lvlJc w:val="left"/>
      <w:pPr>
        <w:tabs>
          <w:tab w:val="num" w:pos="5760"/>
        </w:tabs>
        <w:ind w:left="5760" w:hanging="360"/>
      </w:pPr>
      <w:rPr>
        <w:rFonts w:ascii="Courier New" w:hAnsi="Courier New"/>
      </w:rPr>
    </w:lvl>
    <w:lvl w:ilvl="8" w:tplc="AA8ADBC8">
      <w:start w:val="1"/>
      <w:numFmt w:val="bullet"/>
      <w:lvlText w:val=""/>
      <w:lvlJc w:val="left"/>
      <w:pPr>
        <w:tabs>
          <w:tab w:val="num" w:pos="6480"/>
        </w:tabs>
        <w:ind w:left="6480" w:hanging="360"/>
      </w:pPr>
      <w:rPr>
        <w:rFonts w:ascii="Wingdings" w:hAnsi="Wingdings"/>
      </w:rPr>
    </w:lvl>
  </w:abstractNum>
  <w:abstractNum w:abstractNumId="151" w15:restartNumberingAfterBreak="0">
    <w:nsid w:val="72230559"/>
    <w:multiLevelType w:val="hybridMultilevel"/>
    <w:tmpl w:val="72230559"/>
    <w:lvl w:ilvl="0" w:tplc="EE8AD8E2">
      <w:start w:val="1"/>
      <w:numFmt w:val="bullet"/>
      <w:lvlText w:val=""/>
      <w:lvlJc w:val="left"/>
      <w:pPr>
        <w:tabs>
          <w:tab w:val="num" w:pos="720"/>
        </w:tabs>
        <w:ind w:left="720" w:hanging="360"/>
      </w:pPr>
      <w:rPr>
        <w:rFonts w:ascii="Symbol" w:hAnsi="Symbol"/>
      </w:rPr>
    </w:lvl>
    <w:lvl w:ilvl="1" w:tplc="E9947476">
      <w:start w:val="1"/>
      <w:numFmt w:val="bullet"/>
      <w:lvlText w:val="o"/>
      <w:lvlJc w:val="left"/>
      <w:pPr>
        <w:tabs>
          <w:tab w:val="num" w:pos="1440"/>
        </w:tabs>
        <w:ind w:left="1440" w:hanging="360"/>
      </w:pPr>
      <w:rPr>
        <w:rFonts w:ascii="Courier New" w:hAnsi="Courier New"/>
      </w:rPr>
    </w:lvl>
    <w:lvl w:ilvl="2" w:tplc="36BEA754">
      <w:start w:val="1"/>
      <w:numFmt w:val="bullet"/>
      <w:lvlText w:val=""/>
      <w:lvlJc w:val="left"/>
      <w:pPr>
        <w:tabs>
          <w:tab w:val="num" w:pos="2160"/>
        </w:tabs>
        <w:ind w:left="2160" w:hanging="360"/>
      </w:pPr>
      <w:rPr>
        <w:rFonts w:ascii="Wingdings" w:hAnsi="Wingdings"/>
      </w:rPr>
    </w:lvl>
    <w:lvl w:ilvl="3" w:tplc="E8EC6988">
      <w:start w:val="1"/>
      <w:numFmt w:val="bullet"/>
      <w:lvlText w:val=""/>
      <w:lvlJc w:val="left"/>
      <w:pPr>
        <w:tabs>
          <w:tab w:val="num" w:pos="2880"/>
        </w:tabs>
        <w:ind w:left="2880" w:hanging="360"/>
      </w:pPr>
      <w:rPr>
        <w:rFonts w:ascii="Symbol" w:hAnsi="Symbol"/>
      </w:rPr>
    </w:lvl>
    <w:lvl w:ilvl="4" w:tplc="E7DEBCD8">
      <w:start w:val="1"/>
      <w:numFmt w:val="bullet"/>
      <w:lvlText w:val="o"/>
      <w:lvlJc w:val="left"/>
      <w:pPr>
        <w:tabs>
          <w:tab w:val="num" w:pos="3600"/>
        </w:tabs>
        <w:ind w:left="3600" w:hanging="360"/>
      </w:pPr>
      <w:rPr>
        <w:rFonts w:ascii="Courier New" w:hAnsi="Courier New"/>
      </w:rPr>
    </w:lvl>
    <w:lvl w:ilvl="5" w:tplc="4A68D14E">
      <w:start w:val="1"/>
      <w:numFmt w:val="bullet"/>
      <w:lvlText w:val=""/>
      <w:lvlJc w:val="left"/>
      <w:pPr>
        <w:tabs>
          <w:tab w:val="num" w:pos="4320"/>
        </w:tabs>
        <w:ind w:left="4320" w:hanging="360"/>
      </w:pPr>
      <w:rPr>
        <w:rFonts w:ascii="Wingdings" w:hAnsi="Wingdings"/>
      </w:rPr>
    </w:lvl>
    <w:lvl w:ilvl="6" w:tplc="33E67A16">
      <w:start w:val="1"/>
      <w:numFmt w:val="bullet"/>
      <w:lvlText w:val=""/>
      <w:lvlJc w:val="left"/>
      <w:pPr>
        <w:tabs>
          <w:tab w:val="num" w:pos="5040"/>
        </w:tabs>
        <w:ind w:left="5040" w:hanging="360"/>
      </w:pPr>
      <w:rPr>
        <w:rFonts w:ascii="Symbol" w:hAnsi="Symbol"/>
      </w:rPr>
    </w:lvl>
    <w:lvl w:ilvl="7" w:tplc="425080A0">
      <w:start w:val="1"/>
      <w:numFmt w:val="bullet"/>
      <w:lvlText w:val="o"/>
      <w:lvlJc w:val="left"/>
      <w:pPr>
        <w:tabs>
          <w:tab w:val="num" w:pos="5760"/>
        </w:tabs>
        <w:ind w:left="5760" w:hanging="360"/>
      </w:pPr>
      <w:rPr>
        <w:rFonts w:ascii="Courier New" w:hAnsi="Courier New"/>
      </w:rPr>
    </w:lvl>
    <w:lvl w:ilvl="8" w:tplc="1B1ED2A6">
      <w:start w:val="1"/>
      <w:numFmt w:val="bullet"/>
      <w:lvlText w:val=""/>
      <w:lvlJc w:val="left"/>
      <w:pPr>
        <w:tabs>
          <w:tab w:val="num" w:pos="6480"/>
        </w:tabs>
        <w:ind w:left="6480" w:hanging="360"/>
      </w:pPr>
      <w:rPr>
        <w:rFonts w:ascii="Wingdings" w:hAnsi="Wingdings"/>
      </w:rPr>
    </w:lvl>
  </w:abstractNum>
  <w:abstractNum w:abstractNumId="152" w15:restartNumberingAfterBreak="0">
    <w:nsid w:val="7223055A"/>
    <w:multiLevelType w:val="hybridMultilevel"/>
    <w:tmpl w:val="7223055A"/>
    <w:lvl w:ilvl="0" w:tplc="BC266E44">
      <w:start w:val="1"/>
      <w:numFmt w:val="bullet"/>
      <w:lvlText w:val=""/>
      <w:lvlJc w:val="left"/>
      <w:pPr>
        <w:tabs>
          <w:tab w:val="num" w:pos="720"/>
        </w:tabs>
        <w:ind w:left="720" w:hanging="360"/>
      </w:pPr>
      <w:rPr>
        <w:rFonts w:ascii="Symbol" w:hAnsi="Symbol"/>
      </w:rPr>
    </w:lvl>
    <w:lvl w:ilvl="1" w:tplc="C4487578">
      <w:start w:val="1"/>
      <w:numFmt w:val="bullet"/>
      <w:lvlText w:val="o"/>
      <w:lvlJc w:val="left"/>
      <w:pPr>
        <w:tabs>
          <w:tab w:val="num" w:pos="1440"/>
        </w:tabs>
        <w:ind w:left="1440" w:hanging="360"/>
      </w:pPr>
      <w:rPr>
        <w:rFonts w:ascii="Courier New" w:hAnsi="Courier New"/>
      </w:rPr>
    </w:lvl>
    <w:lvl w:ilvl="2" w:tplc="E962D764">
      <w:start w:val="1"/>
      <w:numFmt w:val="bullet"/>
      <w:lvlText w:val=""/>
      <w:lvlJc w:val="left"/>
      <w:pPr>
        <w:tabs>
          <w:tab w:val="num" w:pos="2160"/>
        </w:tabs>
        <w:ind w:left="2160" w:hanging="360"/>
      </w:pPr>
      <w:rPr>
        <w:rFonts w:ascii="Wingdings" w:hAnsi="Wingdings"/>
      </w:rPr>
    </w:lvl>
    <w:lvl w:ilvl="3" w:tplc="9DA2BACC">
      <w:start w:val="1"/>
      <w:numFmt w:val="bullet"/>
      <w:lvlText w:val=""/>
      <w:lvlJc w:val="left"/>
      <w:pPr>
        <w:tabs>
          <w:tab w:val="num" w:pos="2880"/>
        </w:tabs>
        <w:ind w:left="2880" w:hanging="360"/>
      </w:pPr>
      <w:rPr>
        <w:rFonts w:ascii="Symbol" w:hAnsi="Symbol"/>
      </w:rPr>
    </w:lvl>
    <w:lvl w:ilvl="4" w:tplc="AF167A72">
      <w:start w:val="1"/>
      <w:numFmt w:val="bullet"/>
      <w:lvlText w:val="o"/>
      <w:lvlJc w:val="left"/>
      <w:pPr>
        <w:tabs>
          <w:tab w:val="num" w:pos="3600"/>
        </w:tabs>
        <w:ind w:left="3600" w:hanging="360"/>
      </w:pPr>
      <w:rPr>
        <w:rFonts w:ascii="Courier New" w:hAnsi="Courier New"/>
      </w:rPr>
    </w:lvl>
    <w:lvl w:ilvl="5" w:tplc="E9D2CAFC">
      <w:start w:val="1"/>
      <w:numFmt w:val="bullet"/>
      <w:lvlText w:val=""/>
      <w:lvlJc w:val="left"/>
      <w:pPr>
        <w:tabs>
          <w:tab w:val="num" w:pos="4320"/>
        </w:tabs>
        <w:ind w:left="4320" w:hanging="360"/>
      </w:pPr>
      <w:rPr>
        <w:rFonts w:ascii="Wingdings" w:hAnsi="Wingdings"/>
      </w:rPr>
    </w:lvl>
    <w:lvl w:ilvl="6" w:tplc="E1FC411C">
      <w:start w:val="1"/>
      <w:numFmt w:val="bullet"/>
      <w:lvlText w:val=""/>
      <w:lvlJc w:val="left"/>
      <w:pPr>
        <w:tabs>
          <w:tab w:val="num" w:pos="5040"/>
        </w:tabs>
        <w:ind w:left="5040" w:hanging="360"/>
      </w:pPr>
      <w:rPr>
        <w:rFonts w:ascii="Symbol" w:hAnsi="Symbol"/>
      </w:rPr>
    </w:lvl>
    <w:lvl w:ilvl="7" w:tplc="191EDB5E">
      <w:start w:val="1"/>
      <w:numFmt w:val="bullet"/>
      <w:lvlText w:val="o"/>
      <w:lvlJc w:val="left"/>
      <w:pPr>
        <w:tabs>
          <w:tab w:val="num" w:pos="5760"/>
        </w:tabs>
        <w:ind w:left="5760" w:hanging="360"/>
      </w:pPr>
      <w:rPr>
        <w:rFonts w:ascii="Courier New" w:hAnsi="Courier New"/>
      </w:rPr>
    </w:lvl>
    <w:lvl w:ilvl="8" w:tplc="36DA9582">
      <w:start w:val="1"/>
      <w:numFmt w:val="bullet"/>
      <w:lvlText w:val=""/>
      <w:lvlJc w:val="left"/>
      <w:pPr>
        <w:tabs>
          <w:tab w:val="num" w:pos="6480"/>
        </w:tabs>
        <w:ind w:left="6480" w:hanging="360"/>
      </w:pPr>
      <w:rPr>
        <w:rFonts w:ascii="Wingdings" w:hAnsi="Wingdings"/>
      </w:rPr>
    </w:lvl>
  </w:abstractNum>
  <w:abstractNum w:abstractNumId="153" w15:restartNumberingAfterBreak="0">
    <w:nsid w:val="7223055B"/>
    <w:multiLevelType w:val="hybridMultilevel"/>
    <w:tmpl w:val="7223055B"/>
    <w:lvl w:ilvl="0" w:tplc="EA3C853C">
      <w:start w:val="1"/>
      <w:numFmt w:val="bullet"/>
      <w:lvlText w:val=""/>
      <w:lvlJc w:val="left"/>
      <w:pPr>
        <w:tabs>
          <w:tab w:val="num" w:pos="720"/>
        </w:tabs>
        <w:ind w:left="720" w:hanging="360"/>
      </w:pPr>
      <w:rPr>
        <w:rFonts w:ascii="Symbol" w:hAnsi="Symbol"/>
      </w:rPr>
    </w:lvl>
    <w:lvl w:ilvl="1" w:tplc="EBEC719E">
      <w:start w:val="1"/>
      <w:numFmt w:val="bullet"/>
      <w:lvlText w:val="o"/>
      <w:lvlJc w:val="left"/>
      <w:pPr>
        <w:tabs>
          <w:tab w:val="num" w:pos="1440"/>
        </w:tabs>
        <w:ind w:left="1440" w:hanging="360"/>
      </w:pPr>
      <w:rPr>
        <w:rFonts w:ascii="Courier New" w:hAnsi="Courier New"/>
      </w:rPr>
    </w:lvl>
    <w:lvl w:ilvl="2" w:tplc="41DC1460">
      <w:start w:val="1"/>
      <w:numFmt w:val="bullet"/>
      <w:lvlText w:val=""/>
      <w:lvlJc w:val="left"/>
      <w:pPr>
        <w:tabs>
          <w:tab w:val="num" w:pos="2160"/>
        </w:tabs>
        <w:ind w:left="2160" w:hanging="360"/>
      </w:pPr>
      <w:rPr>
        <w:rFonts w:ascii="Wingdings" w:hAnsi="Wingdings"/>
      </w:rPr>
    </w:lvl>
    <w:lvl w:ilvl="3" w:tplc="25AA5910">
      <w:start w:val="1"/>
      <w:numFmt w:val="bullet"/>
      <w:lvlText w:val=""/>
      <w:lvlJc w:val="left"/>
      <w:pPr>
        <w:tabs>
          <w:tab w:val="num" w:pos="2880"/>
        </w:tabs>
        <w:ind w:left="2880" w:hanging="360"/>
      </w:pPr>
      <w:rPr>
        <w:rFonts w:ascii="Symbol" w:hAnsi="Symbol"/>
      </w:rPr>
    </w:lvl>
    <w:lvl w:ilvl="4" w:tplc="38E070B2">
      <w:start w:val="1"/>
      <w:numFmt w:val="bullet"/>
      <w:lvlText w:val="o"/>
      <w:lvlJc w:val="left"/>
      <w:pPr>
        <w:tabs>
          <w:tab w:val="num" w:pos="3600"/>
        </w:tabs>
        <w:ind w:left="3600" w:hanging="360"/>
      </w:pPr>
      <w:rPr>
        <w:rFonts w:ascii="Courier New" w:hAnsi="Courier New"/>
      </w:rPr>
    </w:lvl>
    <w:lvl w:ilvl="5" w:tplc="C414EA56">
      <w:start w:val="1"/>
      <w:numFmt w:val="bullet"/>
      <w:lvlText w:val=""/>
      <w:lvlJc w:val="left"/>
      <w:pPr>
        <w:tabs>
          <w:tab w:val="num" w:pos="4320"/>
        </w:tabs>
        <w:ind w:left="4320" w:hanging="360"/>
      </w:pPr>
      <w:rPr>
        <w:rFonts w:ascii="Wingdings" w:hAnsi="Wingdings"/>
      </w:rPr>
    </w:lvl>
    <w:lvl w:ilvl="6" w:tplc="66761E7E">
      <w:start w:val="1"/>
      <w:numFmt w:val="bullet"/>
      <w:lvlText w:val=""/>
      <w:lvlJc w:val="left"/>
      <w:pPr>
        <w:tabs>
          <w:tab w:val="num" w:pos="5040"/>
        </w:tabs>
        <w:ind w:left="5040" w:hanging="360"/>
      </w:pPr>
      <w:rPr>
        <w:rFonts w:ascii="Symbol" w:hAnsi="Symbol"/>
      </w:rPr>
    </w:lvl>
    <w:lvl w:ilvl="7" w:tplc="32BCD1BA">
      <w:start w:val="1"/>
      <w:numFmt w:val="bullet"/>
      <w:lvlText w:val="o"/>
      <w:lvlJc w:val="left"/>
      <w:pPr>
        <w:tabs>
          <w:tab w:val="num" w:pos="5760"/>
        </w:tabs>
        <w:ind w:left="5760" w:hanging="360"/>
      </w:pPr>
      <w:rPr>
        <w:rFonts w:ascii="Courier New" w:hAnsi="Courier New"/>
      </w:rPr>
    </w:lvl>
    <w:lvl w:ilvl="8" w:tplc="7CF2DCAE">
      <w:start w:val="1"/>
      <w:numFmt w:val="bullet"/>
      <w:lvlText w:val=""/>
      <w:lvlJc w:val="left"/>
      <w:pPr>
        <w:tabs>
          <w:tab w:val="num" w:pos="6480"/>
        </w:tabs>
        <w:ind w:left="6480" w:hanging="360"/>
      </w:pPr>
      <w:rPr>
        <w:rFonts w:ascii="Wingdings" w:hAnsi="Wingdings"/>
      </w:rPr>
    </w:lvl>
  </w:abstractNum>
  <w:abstractNum w:abstractNumId="154" w15:restartNumberingAfterBreak="0">
    <w:nsid w:val="7223055C"/>
    <w:multiLevelType w:val="hybridMultilevel"/>
    <w:tmpl w:val="7223055C"/>
    <w:lvl w:ilvl="0" w:tplc="B8B6CE12">
      <w:start w:val="1"/>
      <w:numFmt w:val="bullet"/>
      <w:lvlText w:val=""/>
      <w:lvlJc w:val="left"/>
      <w:pPr>
        <w:tabs>
          <w:tab w:val="num" w:pos="720"/>
        </w:tabs>
        <w:ind w:left="720" w:hanging="360"/>
      </w:pPr>
      <w:rPr>
        <w:rFonts w:ascii="Symbol" w:hAnsi="Symbol"/>
      </w:rPr>
    </w:lvl>
    <w:lvl w:ilvl="1" w:tplc="464C5186">
      <w:start w:val="1"/>
      <w:numFmt w:val="bullet"/>
      <w:lvlText w:val="o"/>
      <w:lvlJc w:val="left"/>
      <w:pPr>
        <w:tabs>
          <w:tab w:val="num" w:pos="1440"/>
        </w:tabs>
        <w:ind w:left="1440" w:hanging="360"/>
      </w:pPr>
      <w:rPr>
        <w:rFonts w:ascii="Courier New" w:hAnsi="Courier New"/>
      </w:rPr>
    </w:lvl>
    <w:lvl w:ilvl="2" w:tplc="0F98B7F2">
      <w:start w:val="1"/>
      <w:numFmt w:val="bullet"/>
      <w:lvlText w:val=""/>
      <w:lvlJc w:val="left"/>
      <w:pPr>
        <w:tabs>
          <w:tab w:val="num" w:pos="2160"/>
        </w:tabs>
        <w:ind w:left="2160" w:hanging="360"/>
      </w:pPr>
      <w:rPr>
        <w:rFonts w:ascii="Wingdings" w:hAnsi="Wingdings"/>
      </w:rPr>
    </w:lvl>
    <w:lvl w:ilvl="3" w:tplc="3D1229F2">
      <w:start w:val="1"/>
      <w:numFmt w:val="bullet"/>
      <w:lvlText w:val=""/>
      <w:lvlJc w:val="left"/>
      <w:pPr>
        <w:tabs>
          <w:tab w:val="num" w:pos="2880"/>
        </w:tabs>
        <w:ind w:left="2880" w:hanging="360"/>
      </w:pPr>
      <w:rPr>
        <w:rFonts w:ascii="Symbol" w:hAnsi="Symbol"/>
      </w:rPr>
    </w:lvl>
    <w:lvl w:ilvl="4" w:tplc="B2586996">
      <w:start w:val="1"/>
      <w:numFmt w:val="bullet"/>
      <w:lvlText w:val="o"/>
      <w:lvlJc w:val="left"/>
      <w:pPr>
        <w:tabs>
          <w:tab w:val="num" w:pos="3600"/>
        </w:tabs>
        <w:ind w:left="3600" w:hanging="360"/>
      </w:pPr>
      <w:rPr>
        <w:rFonts w:ascii="Courier New" w:hAnsi="Courier New"/>
      </w:rPr>
    </w:lvl>
    <w:lvl w:ilvl="5" w:tplc="0FC09CE6">
      <w:start w:val="1"/>
      <w:numFmt w:val="bullet"/>
      <w:lvlText w:val=""/>
      <w:lvlJc w:val="left"/>
      <w:pPr>
        <w:tabs>
          <w:tab w:val="num" w:pos="4320"/>
        </w:tabs>
        <w:ind w:left="4320" w:hanging="360"/>
      </w:pPr>
      <w:rPr>
        <w:rFonts w:ascii="Wingdings" w:hAnsi="Wingdings"/>
      </w:rPr>
    </w:lvl>
    <w:lvl w:ilvl="6" w:tplc="8AF8CDEA">
      <w:start w:val="1"/>
      <w:numFmt w:val="bullet"/>
      <w:lvlText w:val=""/>
      <w:lvlJc w:val="left"/>
      <w:pPr>
        <w:tabs>
          <w:tab w:val="num" w:pos="5040"/>
        </w:tabs>
        <w:ind w:left="5040" w:hanging="360"/>
      </w:pPr>
      <w:rPr>
        <w:rFonts w:ascii="Symbol" w:hAnsi="Symbol"/>
      </w:rPr>
    </w:lvl>
    <w:lvl w:ilvl="7" w:tplc="372C095C">
      <w:start w:val="1"/>
      <w:numFmt w:val="bullet"/>
      <w:lvlText w:val="o"/>
      <w:lvlJc w:val="left"/>
      <w:pPr>
        <w:tabs>
          <w:tab w:val="num" w:pos="5760"/>
        </w:tabs>
        <w:ind w:left="5760" w:hanging="360"/>
      </w:pPr>
      <w:rPr>
        <w:rFonts w:ascii="Courier New" w:hAnsi="Courier New"/>
      </w:rPr>
    </w:lvl>
    <w:lvl w:ilvl="8" w:tplc="87847008">
      <w:start w:val="1"/>
      <w:numFmt w:val="bullet"/>
      <w:lvlText w:val=""/>
      <w:lvlJc w:val="left"/>
      <w:pPr>
        <w:tabs>
          <w:tab w:val="num" w:pos="6480"/>
        </w:tabs>
        <w:ind w:left="6480" w:hanging="360"/>
      </w:pPr>
      <w:rPr>
        <w:rFonts w:ascii="Wingdings" w:hAnsi="Wingdings"/>
      </w:rPr>
    </w:lvl>
  </w:abstractNum>
  <w:abstractNum w:abstractNumId="155" w15:restartNumberingAfterBreak="0">
    <w:nsid w:val="7223055D"/>
    <w:multiLevelType w:val="hybridMultilevel"/>
    <w:tmpl w:val="7223055D"/>
    <w:lvl w:ilvl="0" w:tplc="4316FF5C">
      <w:start w:val="1"/>
      <w:numFmt w:val="bullet"/>
      <w:lvlText w:val=""/>
      <w:lvlJc w:val="left"/>
      <w:pPr>
        <w:tabs>
          <w:tab w:val="num" w:pos="720"/>
        </w:tabs>
        <w:ind w:left="720" w:hanging="360"/>
      </w:pPr>
      <w:rPr>
        <w:rFonts w:ascii="Symbol" w:hAnsi="Symbol"/>
      </w:rPr>
    </w:lvl>
    <w:lvl w:ilvl="1" w:tplc="00EE1F04">
      <w:start w:val="1"/>
      <w:numFmt w:val="bullet"/>
      <w:lvlText w:val="o"/>
      <w:lvlJc w:val="left"/>
      <w:pPr>
        <w:tabs>
          <w:tab w:val="num" w:pos="1440"/>
        </w:tabs>
        <w:ind w:left="1440" w:hanging="360"/>
      </w:pPr>
      <w:rPr>
        <w:rFonts w:ascii="Courier New" w:hAnsi="Courier New"/>
      </w:rPr>
    </w:lvl>
    <w:lvl w:ilvl="2" w:tplc="1E7CE9C0">
      <w:start w:val="1"/>
      <w:numFmt w:val="bullet"/>
      <w:lvlText w:val=""/>
      <w:lvlJc w:val="left"/>
      <w:pPr>
        <w:tabs>
          <w:tab w:val="num" w:pos="2160"/>
        </w:tabs>
        <w:ind w:left="2160" w:hanging="360"/>
      </w:pPr>
      <w:rPr>
        <w:rFonts w:ascii="Wingdings" w:hAnsi="Wingdings"/>
      </w:rPr>
    </w:lvl>
    <w:lvl w:ilvl="3" w:tplc="0D607082">
      <w:start w:val="1"/>
      <w:numFmt w:val="bullet"/>
      <w:lvlText w:val=""/>
      <w:lvlJc w:val="left"/>
      <w:pPr>
        <w:tabs>
          <w:tab w:val="num" w:pos="2880"/>
        </w:tabs>
        <w:ind w:left="2880" w:hanging="360"/>
      </w:pPr>
      <w:rPr>
        <w:rFonts w:ascii="Symbol" w:hAnsi="Symbol"/>
      </w:rPr>
    </w:lvl>
    <w:lvl w:ilvl="4" w:tplc="8C7E5018">
      <w:start w:val="1"/>
      <w:numFmt w:val="bullet"/>
      <w:lvlText w:val="o"/>
      <w:lvlJc w:val="left"/>
      <w:pPr>
        <w:tabs>
          <w:tab w:val="num" w:pos="3600"/>
        </w:tabs>
        <w:ind w:left="3600" w:hanging="360"/>
      </w:pPr>
      <w:rPr>
        <w:rFonts w:ascii="Courier New" w:hAnsi="Courier New"/>
      </w:rPr>
    </w:lvl>
    <w:lvl w:ilvl="5" w:tplc="1B5C2314">
      <w:start w:val="1"/>
      <w:numFmt w:val="bullet"/>
      <w:lvlText w:val=""/>
      <w:lvlJc w:val="left"/>
      <w:pPr>
        <w:tabs>
          <w:tab w:val="num" w:pos="4320"/>
        </w:tabs>
        <w:ind w:left="4320" w:hanging="360"/>
      </w:pPr>
      <w:rPr>
        <w:rFonts w:ascii="Wingdings" w:hAnsi="Wingdings"/>
      </w:rPr>
    </w:lvl>
    <w:lvl w:ilvl="6" w:tplc="409AB1FC">
      <w:start w:val="1"/>
      <w:numFmt w:val="bullet"/>
      <w:lvlText w:val=""/>
      <w:lvlJc w:val="left"/>
      <w:pPr>
        <w:tabs>
          <w:tab w:val="num" w:pos="5040"/>
        </w:tabs>
        <w:ind w:left="5040" w:hanging="360"/>
      </w:pPr>
      <w:rPr>
        <w:rFonts w:ascii="Symbol" w:hAnsi="Symbol"/>
      </w:rPr>
    </w:lvl>
    <w:lvl w:ilvl="7" w:tplc="8C4CAFDA">
      <w:start w:val="1"/>
      <w:numFmt w:val="bullet"/>
      <w:lvlText w:val="o"/>
      <w:lvlJc w:val="left"/>
      <w:pPr>
        <w:tabs>
          <w:tab w:val="num" w:pos="5760"/>
        </w:tabs>
        <w:ind w:left="5760" w:hanging="360"/>
      </w:pPr>
      <w:rPr>
        <w:rFonts w:ascii="Courier New" w:hAnsi="Courier New"/>
      </w:rPr>
    </w:lvl>
    <w:lvl w:ilvl="8" w:tplc="F54C15BE">
      <w:start w:val="1"/>
      <w:numFmt w:val="bullet"/>
      <w:lvlText w:val=""/>
      <w:lvlJc w:val="left"/>
      <w:pPr>
        <w:tabs>
          <w:tab w:val="num" w:pos="6480"/>
        </w:tabs>
        <w:ind w:left="6480" w:hanging="360"/>
      </w:pPr>
      <w:rPr>
        <w:rFonts w:ascii="Wingdings" w:hAnsi="Wingdings"/>
      </w:rPr>
    </w:lvl>
  </w:abstractNum>
  <w:abstractNum w:abstractNumId="156" w15:restartNumberingAfterBreak="0">
    <w:nsid w:val="7223055E"/>
    <w:multiLevelType w:val="hybridMultilevel"/>
    <w:tmpl w:val="7223055E"/>
    <w:lvl w:ilvl="0" w:tplc="ADE2322C">
      <w:start w:val="1"/>
      <w:numFmt w:val="bullet"/>
      <w:lvlText w:val=""/>
      <w:lvlJc w:val="left"/>
      <w:pPr>
        <w:tabs>
          <w:tab w:val="num" w:pos="720"/>
        </w:tabs>
        <w:ind w:left="720" w:hanging="360"/>
      </w:pPr>
      <w:rPr>
        <w:rFonts w:ascii="Symbol" w:hAnsi="Symbol"/>
      </w:rPr>
    </w:lvl>
    <w:lvl w:ilvl="1" w:tplc="1F545DBE">
      <w:start w:val="1"/>
      <w:numFmt w:val="bullet"/>
      <w:lvlText w:val="o"/>
      <w:lvlJc w:val="left"/>
      <w:pPr>
        <w:tabs>
          <w:tab w:val="num" w:pos="1440"/>
        </w:tabs>
        <w:ind w:left="1440" w:hanging="360"/>
      </w:pPr>
      <w:rPr>
        <w:rFonts w:ascii="Courier New" w:hAnsi="Courier New"/>
      </w:rPr>
    </w:lvl>
    <w:lvl w:ilvl="2" w:tplc="AC5AAA4A">
      <w:start w:val="1"/>
      <w:numFmt w:val="bullet"/>
      <w:lvlText w:val=""/>
      <w:lvlJc w:val="left"/>
      <w:pPr>
        <w:tabs>
          <w:tab w:val="num" w:pos="2160"/>
        </w:tabs>
        <w:ind w:left="2160" w:hanging="360"/>
      </w:pPr>
      <w:rPr>
        <w:rFonts w:ascii="Wingdings" w:hAnsi="Wingdings"/>
      </w:rPr>
    </w:lvl>
    <w:lvl w:ilvl="3" w:tplc="4CD2AD42">
      <w:start w:val="1"/>
      <w:numFmt w:val="bullet"/>
      <w:lvlText w:val=""/>
      <w:lvlJc w:val="left"/>
      <w:pPr>
        <w:tabs>
          <w:tab w:val="num" w:pos="2880"/>
        </w:tabs>
        <w:ind w:left="2880" w:hanging="360"/>
      </w:pPr>
      <w:rPr>
        <w:rFonts w:ascii="Symbol" w:hAnsi="Symbol"/>
      </w:rPr>
    </w:lvl>
    <w:lvl w:ilvl="4" w:tplc="4A366DA0">
      <w:start w:val="1"/>
      <w:numFmt w:val="bullet"/>
      <w:lvlText w:val="o"/>
      <w:lvlJc w:val="left"/>
      <w:pPr>
        <w:tabs>
          <w:tab w:val="num" w:pos="3600"/>
        </w:tabs>
        <w:ind w:left="3600" w:hanging="360"/>
      </w:pPr>
      <w:rPr>
        <w:rFonts w:ascii="Courier New" w:hAnsi="Courier New"/>
      </w:rPr>
    </w:lvl>
    <w:lvl w:ilvl="5" w:tplc="11AEA21E">
      <w:start w:val="1"/>
      <w:numFmt w:val="bullet"/>
      <w:lvlText w:val=""/>
      <w:lvlJc w:val="left"/>
      <w:pPr>
        <w:tabs>
          <w:tab w:val="num" w:pos="4320"/>
        </w:tabs>
        <w:ind w:left="4320" w:hanging="360"/>
      </w:pPr>
      <w:rPr>
        <w:rFonts w:ascii="Wingdings" w:hAnsi="Wingdings"/>
      </w:rPr>
    </w:lvl>
    <w:lvl w:ilvl="6" w:tplc="EEA4D3C8">
      <w:start w:val="1"/>
      <w:numFmt w:val="bullet"/>
      <w:lvlText w:val=""/>
      <w:lvlJc w:val="left"/>
      <w:pPr>
        <w:tabs>
          <w:tab w:val="num" w:pos="5040"/>
        </w:tabs>
        <w:ind w:left="5040" w:hanging="360"/>
      </w:pPr>
      <w:rPr>
        <w:rFonts w:ascii="Symbol" w:hAnsi="Symbol"/>
      </w:rPr>
    </w:lvl>
    <w:lvl w:ilvl="7" w:tplc="1A8A6936">
      <w:start w:val="1"/>
      <w:numFmt w:val="bullet"/>
      <w:lvlText w:val="o"/>
      <w:lvlJc w:val="left"/>
      <w:pPr>
        <w:tabs>
          <w:tab w:val="num" w:pos="5760"/>
        </w:tabs>
        <w:ind w:left="5760" w:hanging="360"/>
      </w:pPr>
      <w:rPr>
        <w:rFonts w:ascii="Courier New" w:hAnsi="Courier New"/>
      </w:rPr>
    </w:lvl>
    <w:lvl w:ilvl="8" w:tplc="9ADA17C2">
      <w:start w:val="1"/>
      <w:numFmt w:val="bullet"/>
      <w:lvlText w:val=""/>
      <w:lvlJc w:val="left"/>
      <w:pPr>
        <w:tabs>
          <w:tab w:val="num" w:pos="6480"/>
        </w:tabs>
        <w:ind w:left="6480" w:hanging="360"/>
      </w:pPr>
      <w:rPr>
        <w:rFonts w:ascii="Wingdings" w:hAnsi="Wingdings"/>
      </w:rPr>
    </w:lvl>
  </w:abstractNum>
  <w:abstractNum w:abstractNumId="157" w15:restartNumberingAfterBreak="0">
    <w:nsid w:val="7223055F"/>
    <w:multiLevelType w:val="hybridMultilevel"/>
    <w:tmpl w:val="7223055F"/>
    <w:lvl w:ilvl="0" w:tplc="95B4B96A">
      <w:start w:val="1"/>
      <w:numFmt w:val="bullet"/>
      <w:lvlText w:val=""/>
      <w:lvlJc w:val="left"/>
      <w:pPr>
        <w:tabs>
          <w:tab w:val="num" w:pos="720"/>
        </w:tabs>
        <w:ind w:left="720" w:hanging="360"/>
      </w:pPr>
      <w:rPr>
        <w:rFonts w:ascii="Symbol" w:hAnsi="Symbol"/>
      </w:rPr>
    </w:lvl>
    <w:lvl w:ilvl="1" w:tplc="88769D46">
      <w:start w:val="1"/>
      <w:numFmt w:val="bullet"/>
      <w:lvlText w:val="o"/>
      <w:lvlJc w:val="left"/>
      <w:pPr>
        <w:tabs>
          <w:tab w:val="num" w:pos="1440"/>
        </w:tabs>
        <w:ind w:left="1440" w:hanging="360"/>
      </w:pPr>
      <w:rPr>
        <w:rFonts w:ascii="Courier New" w:hAnsi="Courier New"/>
      </w:rPr>
    </w:lvl>
    <w:lvl w:ilvl="2" w:tplc="00528FC4">
      <w:start w:val="1"/>
      <w:numFmt w:val="bullet"/>
      <w:lvlText w:val=""/>
      <w:lvlJc w:val="left"/>
      <w:pPr>
        <w:tabs>
          <w:tab w:val="num" w:pos="2160"/>
        </w:tabs>
        <w:ind w:left="2160" w:hanging="360"/>
      </w:pPr>
      <w:rPr>
        <w:rFonts w:ascii="Wingdings" w:hAnsi="Wingdings"/>
      </w:rPr>
    </w:lvl>
    <w:lvl w:ilvl="3" w:tplc="FEC67C70">
      <w:start w:val="1"/>
      <w:numFmt w:val="bullet"/>
      <w:lvlText w:val=""/>
      <w:lvlJc w:val="left"/>
      <w:pPr>
        <w:tabs>
          <w:tab w:val="num" w:pos="2880"/>
        </w:tabs>
        <w:ind w:left="2880" w:hanging="360"/>
      </w:pPr>
      <w:rPr>
        <w:rFonts w:ascii="Symbol" w:hAnsi="Symbol"/>
      </w:rPr>
    </w:lvl>
    <w:lvl w:ilvl="4" w:tplc="6CC6619A">
      <w:start w:val="1"/>
      <w:numFmt w:val="bullet"/>
      <w:lvlText w:val="o"/>
      <w:lvlJc w:val="left"/>
      <w:pPr>
        <w:tabs>
          <w:tab w:val="num" w:pos="3600"/>
        </w:tabs>
        <w:ind w:left="3600" w:hanging="360"/>
      </w:pPr>
      <w:rPr>
        <w:rFonts w:ascii="Courier New" w:hAnsi="Courier New"/>
      </w:rPr>
    </w:lvl>
    <w:lvl w:ilvl="5" w:tplc="B9A448CC">
      <w:start w:val="1"/>
      <w:numFmt w:val="bullet"/>
      <w:lvlText w:val=""/>
      <w:lvlJc w:val="left"/>
      <w:pPr>
        <w:tabs>
          <w:tab w:val="num" w:pos="4320"/>
        </w:tabs>
        <w:ind w:left="4320" w:hanging="360"/>
      </w:pPr>
      <w:rPr>
        <w:rFonts w:ascii="Wingdings" w:hAnsi="Wingdings"/>
      </w:rPr>
    </w:lvl>
    <w:lvl w:ilvl="6" w:tplc="486CB29C">
      <w:start w:val="1"/>
      <w:numFmt w:val="bullet"/>
      <w:lvlText w:val=""/>
      <w:lvlJc w:val="left"/>
      <w:pPr>
        <w:tabs>
          <w:tab w:val="num" w:pos="5040"/>
        </w:tabs>
        <w:ind w:left="5040" w:hanging="360"/>
      </w:pPr>
      <w:rPr>
        <w:rFonts w:ascii="Symbol" w:hAnsi="Symbol"/>
      </w:rPr>
    </w:lvl>
    <w:lvl w:ilvl="7" w:tplc="922E7F8E">
      <w:start w:val="1"/>
      <w:numFmt w:val="bullet"/>
      <w:lvlText w:val="o"/>
      <w:lvlJc w:val="left"/>
      <w:pPr>
        <w:tabs>
          <w:tab w:val="num" w:pos="5760"/>
        </w:tabs>
        <w:ind w:left="5760" w:hanging="360"/>
      </w:pPr>
      <w:rPr>
        <w:rFonts w:ascii="Courier New" w:hAnsi="Courier New"/>
      </w:rPr>
    </w:lvl>
    <w:lvl w:ilvl="8" w:tplc="E996C1F0">
      <w:start w:val="1"/>
      <w:numFmt w:val="bullet"/>
      <w:lvlText w:val=""/>
      <w:lvlJc w:val="left"/>
      <w:pPr>
        <w:tabs>
          <w:tab w:val="num" w:pos="6480"/>
        </w:tabs>
        <w:ind w:left="6480" w:hanging="360"/>
      </w:pPr>
      <w:rPr>
        <w:rFonts w:ascii="Wingdings" w:hAnsi="Wingdings"/>
      </w:rPr>
    </w:lvl>
  </w:abstractNum>
  <w:abstractNum w:abstractNumId="158" w15:restartNumberingAfterBreak="0">
    <w:nsid w:val="72230560"/>
    <w:multiLevelType w:val="hybridMultilevel"/>
    <w:tmpl w:val="72230560"/>
    <w:lvl w:ilvl="0" w:tplc="A8D69096">
      <w:start w:val="1"/>
      <w:numFmt w:val="bullet"/>
      <w:lvlText w:val=""/>
      <w:lvlJc w:val="left"/>
      <w:pPr>
        <w:tabs>
          <w:tab w:val="num" w:pos="720"/>
        </w:tabs>
        <w:ind w:left="720" w:hanging="360"/>
      </w:pPr>
      <w:rPr>
        <w:rFonts w:ascii="Symbol" w:hAnsi="Symbol"/>
      </w:rPr>
    </w:lvl>
    <w:lvl w:ilvl="1" w:tplc="3CE0D180">
      <w:start w:val="1"/>
      <w:numFmt w:val="bullet"/>
      <w:lvlText w:val="o"/>
      <w:lvlJc w:val="left"/>
      <w:pPr>
        <w:tabs>
          <w:tab w:val="num" w:pos="1440"/>
        </w:tabs>
        <w:ind w:left="1440" w:hanging="360"/>
      </w:pPr>
      <w:rPr>
        <w:rFonts w:ascii="Courier New" w:hAnsi="Courier New"/>
      </w:rPr>
    </w:lvl>
    <w:lvl w:ilvl="2" w:tplc="BFE416C8">
      <w:start w:val="1"/>
      <w:numFmt w:val="bullet"/>
      <w:lvlText w:val=""/>
      <w:lvlJc w:val="left"/>
      <w:pPr>
        <w:tabs>
          <w:tab w:val="num" w:pos="2160"/>
        </w:tabs>
        <w:ind w:left="2160" w:hanging="360"/>
      </w:pPr>
      <w:rPr>
        <w:rFonts w:ascii="Wingdings" w:hAnsi="Wingdings"/>
      </w:rPr>
    </w:lvl>
    <w:lvl w:ilvl="3" w:tplc="5C906E94">
      <w:start w:val="1"/>
      <w:numFmt w:val="bullet"/>
      <w:lvlText w:val=""/>
      <w:lvlJc w:val="left"/>
      <w:pPr>
        <w:tabs>
          <w:tab w:val="num" w:pos="2880"/>
        </w:tabs>
        <w:ind w:left="2880" w:hanging="360"/>
      </w:pPr>
      <w:rPr>
        <w:rFonts w:ascii="Symbol" w:hAnsi="Symbol"/>
      </w:rPr>
    </w:lvl>
    <w:lvl w:ilvl="4" w:tplc="7F009080">
      <w:start w:val="1"/>
      <w:numFmt w:val="bullet"/>
      <w:lvlText w:val="o"/>
      <w:lvlJc w:val="left"/>
      <w:pPr>
        <w:tabs>
          <w:tab w:val="num" w:pos="3600"/>
        </w:tabs>
        <w:ind w:left="3600" w:hanging="360"/>
      </w:pPr>
      <w:rPr>
        <w:rFonts w:ascii="Courier New" w:hAnsi="Courier New"/>
      </w:rPr>
    </w:lvl>
    <w:lvl w:ilvl="5" w:tplc="FE4EB64A">
      <w:start w:val="1"/>
      <w:numFmt w:val="bullet"/>
      <w:lvlText w:val=""/>
      <w:lvlJc w:val="left"/>
      <w:pPr>
        <w:tabs>
          <w:tab w:val="num" w:pos="4320"/>
        </w:tabs>
        <w:ind w:left="4320" w:hanging="360"/>
      </w:pPr>
      <w:rPr>
        <w:rFonts w:ascii="Wingdings" w:hAnsi="Wingdings"/>
      </w:rPr>
    </w:lvl>
    <w:lvl w:ilvl="6" w:tplc="DBE6B092">
      <w:start w:val="1"/>
      <w:numFmt w:val="bullet"/>
      <w:lvlText w:val=""/>
      <w:lvlJc w:val="left"/>
      <w:pPr>
        <w:tabs>
          <w:tab w:val="num" w:pos="5040"/>
        </w:tabs>
        <w:ind w:left="5040" w:hanging="360"/>
      </w:pPr>
      <w:rPr>
        <w:rFonts w:ascii="Symbol" w:hAnsi="Symbol"/>
      </w:rPr>
    </w:lvl>
    <w:lvl w:ilvl="7" w:tplc="3C74ACDC">
      <w:start w:val="1"/>
      <w:numFmt w:val="bullet"/>
      <w:lvlText w:val="o"/>
      <w:lvlJc w:val="left"/>
      <w:pPr>
        <w:tabs>
          <w:tab w:val="num" w:pos="5760"/>
        </w:tabs>
        <w:ind w:left="5760" w:hanging="360"/>
      </w:pPr>
      <w:rPr>
        <w:rFonts w:ascii="Courier New" w:hAnsi="Courier New"/>
      </w:rPr>
    </w:lvl>
    <w:lvl w:ilvl="8" w:tplc="E668E05C">
      <w:start w:val="1"/>
      <w:numFmt w:val="bullet"/>
      <w:lvlText w:val=""/>
      <w:lvlJc w:val="left"/>
      <w:pPr>
        <w:tabs>
          <w:tab w:val="num" w:pos="6480"/>
        </w:tabs>
        <w:ind w:left="6480" w:hanging="360"/>
      </w:pPr>
      <w:rPr>
        <w:rFonts w:ascii="Wingdings" w:hAnsi="Wingdings"/>
      </w:rPr>
    </w:lvl>
  </w:abstractNum>
  <w:abstractNum w:abstractNumId="159" w15:restartNumberingAfterBreak="0">
    <w:nsid w:val="72230561"/>
    <w:multiLevelType w:val="hybridMultilevel"/>
    <w:tmpl w:val="72230561"/>
    <w:lvl w:ilvl="0" w:tplc="03063BF6">
      <w:start w:val="1"/>
      <w:numFmt w:val="bullet"/>
      <w:lvlText w:val=""/>
      <w:lvlJc w:val="left"/>
      <w:pPr>
        <w:ind w:left="720" w:hanging="360"/>
      </w:pPr>
      <w:rPr>
        <w:rFonts w:ascii="Symbol" w:hAnsi="Symbol"/>
      </w:rPr>
    </w:lvl>
    <w:lvl w:ilvl="1" w:tplc="98D23558">
      <w:start w:val="1"/>
      <w:numFmt w:val="bullet"/>
      <w:lvlText w:val="o"/>
      <w:lvlJc w:val="left"/>
      <w:pPr>
        <w:tabs>
          <w:tab w:val="num" w:pos="1440"/>
        </w:tabs>
        <w:ind w:left="1440" w:hanging="360"/>
      </w:pPr>
      <w:rPr>
        <w:rFonts w:ascii="Courier New" w:hAnsi="Courier New"/>
      </w:rPr>
    </w:lvl>
    <w:lvl w:ilvl="2" w:tplc="EEB8BDE8">
      <w:start w:val="1"/>
      <w:numFmt w:val="bullet"/>
      <w:lvlText w:val=""/>
      <w:lvlJc w:val="left"/>
      <w:pPr>
        <w:tabs>
          <w:tab w:val="num" w:pos="2160"/>
        </w:tabs>
        <w:ind w:left="2160" w:hanging="360"/>
      </w:pPr>
      <w:rPr>
        <w:rFonts w:ascii="Wingdings" w:hAnsi="Wingdings"/>
      </w:rPr>
    </w:lvl>
    <w:lvl w:ilvl="3" w:tplc="F24CDED8">
      <w:start w:val="1"/>
      <w:numFmt w:val="bullet"/>
      <w:lvlText w:val=""/>
      <w:lvlJc w:val="left"/>
      <w:pPr>
        <w:tabs>
          <w:tab w:val="num" w:pos="2880"/>
        </w:tabs>
        <w:ind w:left="2880" w:hanging="360"/>
      </w:pPr>
      <w:rPr>
        <w:rFonts w:ascii="Symbol" w:hAnsi="Symbol"/>
      </w:rPr>
    </w:lvl>
    <w:lvl w:ilvl="4" w:tplc="9D125464">
      <w:start w:val="1"/>
      <w:numFmt w:val="bullet"/>
      <w:lvlText w:val="o"/>
      <w:lvlJc w:val="left"/>
      <w:pPr>
        <w:tabs>
          <w:tab w:val="num" w:pos="3600"/>
        </w:tabs>
        <w:ind w:left="3600" w:hanging="360"/>
      </w:pPr>
      <w:rPr>
        <w:rFonts w:ascii="Courier New" w:hAnsi="Courier New"/>
      </w:rPr>
    </w:lvl>
    <w:lvl w:ilvl="5" w:tplc="E0104FF4">
      <w:start w:val="1"/>
      <w:numFmt w:val="bullet"/>
      <w:lvlText w:val=""/>
      <w:lvlJc w:val="left"/>
      <w:pPr>
        <w:tabs>
          <w:tab w:val="num" w:pos="4320"/>
        </w:tabs>
        <w:ind w:left="4320" w:hanging="360"/>
      </w:pPr>
      <w:rPr>
        <w:rFonts w:ascii="Wingdings" w:hAnsi="Wingdings"/>
      </w:rPr>
    </w:lvl>
    <w:lvl w:ilvl="6" w:tplc="A180297E">
      <w:start w:val="1"/>
      <w:numFmt w:val="bullet"/>
      <w:lvlText w:val=""/>
      <w:lvlJc w:val="left"/>
      <w:pPr>
        <w:tabs>
          <w:tab w:val="num" w:pos="5040"/>
        </w:tabs>
        <w:ind w:left="5040" w:hanging="360"/>
      </w:pPr>
      <w:rPr>
        <w:rFonts w:ascii="Symbol" w:hAnsi="Symbol"/>
      </w:rPr>
    </w:lvl>
    <w:lvl w:ilvl="7" w:tplc="2F288100">
      <w:start w:val="1"/>
      <w:numFmt w:val="bullet"/>
      <w:lvlText w:val="o"/>
      <w:lvlJc w:val="left"/>
      <w:pPr>
        <w:tabs>
          <w:tab w:val="num" w:pos="5760"/>
        </w:tabs>
        <w:ind w:left="5760" w:hanging="360"/>
      </w:pPr>
      <w:rPr>
        <w:rFonts w:ascii="Courier New" w:hAnsi="Courier New"/>
      </w:rPr>
    </w:lvl>
    <w:lvl w:ilvl="8" w:tplc="51BC103E">
      <w:start w:val="1"/>
      <w:numFmt w:val="bullet"/>
      <w:lvlText w:val=""/>
      <w:lvlJc w:val="left"/>
      <w:pPr>
        <w:tabs>
          <w:tab w:val="num" w:pos="6480"/>
        </w:tabs>
        <w:ind w:left="6480" w:hanging="360"/>
      </w:pPr>
      <w:rPr>
        <w:rFonts w:ascii="Wingdings" w:hAnsi="Wingdings"/>
      </w:rPr>
    </w:lvl>
  </w:abstractNum>
  <w:abstractNum w:abstractNumId="160" w15:restartNumberingAfterBreak="0">
    <w:nsid w:val="72230562"/>
    <w:multiLevelType w:val="hybridMultilevel"/>
    <w:tmpl w:val="72230562"/>
    <w:lvl w:ilvl="0" w:tplc="3B327074">
      <w:start w:val="1"/>
      <w:numFmt w:val="bullet"/>
      <w:lvlText w:val=""/>
      <w:lvlJc w:val="left"/>
      <w:pPr>
        <w:tabs>
          <w:tab w:val="num" w:pos="720"/>
        </w:tabs>
        <w:ind w:left="720" w:hanging="360"/>
      </w:pPr>
      <w:rPr>
        <w:rFonts w:ascii="Symbol" w:hAnsi="Symbol"/>
      </w:rPr>
    </w:lvl>
    <w:lvl w:ilvl="1" w:tplc="9B9AD4CC">
      <w:start w:val="1"/>
      <w:numFmt w:val="bullet"/>
      <w:lvlText w:val="o"/>
      <w:lvlJc w:val="left"/>
      <w:pPr>
        <w:tabs>
          <w:tab w:val="num" w:pos="1440"/>
        </w:tabs>
        <w:ind w:left="1440" w:hanging="360"/>
      </w:pPr>
      <w:rPr>
        <w:rFonts w:ascii="Courier New" w:hAnsi="Courier New"/>
      </w:rPr>
    </w:lvl>
    <w:lvl w:ilvl="2" w:tplc="112876B4">
      <w:start w:val="1"/>
      <w:numFmt w:val="bullet"/>
      <w:lvlText w:val=""/>
      <w:lvlJc w:val="left"/>
      <w:pPr>
        <w:tabs>
          <w:tab w:val="num" w:pos="2160"/>
        </w:tabs>
        <w:ind w:left="2160" w:hanging="360"/>
      </w:pPr>
      <w:rPr>
        <w:rFonts w:ascii="Wingdings" w:hAnsi="Wingdings"/>
      </w:rPr>
    </w:lvl>
    <w:lvl w:ilvl="3" w:tplc="58AEA40C">
      <w:start w:val="1"/>
      <w:numFmt w:val="bullet"/>
      <w:lvlText w:val=""/>
      <w:lvlJc w:val="left"/>
      <w:pPr>
        <w:tabs>
          <w:tab w:val="num" w:pos="2880"/>
        </w:tabs>
        <w:ind w:left="2880" w:hanging="360"/>
      </w:pPr>
      <w:rPr>
        <w:rFonts w:ascii="Symbol" w:hAnsi="Symbol"/>
      </w:rPr>
    </w:lvl>
    <w:lvl w:ilvl="4" w:tplc="DC7C0674">
      <w:start w:val="1"/>
      <w:numFmt w:val="bullet"/>
      <w:lvlText w:val="o"/>
      <w:lvlJc w:val="left"/>
      <w:pPr>
        <w:tabs>
          <w:tab w:val="num" w:pos="3600"/>
        </w:tabs>
        <w:ind w:left="3600" w:hanging="360"/>
      </w:pPr>
      <w:rPr>
        <w:rFonts w:ascii="Courier New" w:hAnsi="Courier New"/>
      </w:rPr>
    </w:lvl>
    <w:lvl w:ilvl="5" w:tplc="11A4070A">
      <w:start w:val="1"/>
      <w:numFmt w:val="bullet"/>
      <w:lvlText w:val=""/>
      <w:lvlJc w:val="left"/>
      <w:pPr>
        <w:tabs>
          <w:tab w:val="num" w:pos="4320"/>
        </w:tabs>
        <w:ind w:left="4320" w:hanging="360"/>
      </w:pPr>
      <w:rPr>
        <w:rFonts w:ascii="Wingdings" w:hAnsi="Wingdings"/>
      </w:rPr>
    </w:lvl>
    <w:lvl w:ilvl="6" w:tplc="73AC0C48">
      <w:start w:val="1"/>
      <w:numFmt w:val="bullet"/>
      <w:lvlText w:val=""/>
      <w:lvlJc w:val="left"/>
      <w:pPr>
        <w:tabs>
          <w:tab w:val="num" w:pos="5040"/>
        </w:tabs>
        <w:ind w:left="5040" w:hanging="360"/>
      </w:pPr>
      <w:rPr>
        <w:rFonts w:ascii="Symbol" w:hAnsi="Symbol"/>
      </w:rPr>
    </w:lvl>
    <w:lvl w:ilvl="7" w:tplc="82E4090E">
      <w:start w:val="1"/>
      <w:numFmt w:val="bullet"/>
      <w:lvlText w:val="o"/>
      <w:lvlJc w:val="left"/>
      <w:pPr>
        <w:tabs>
          <w:tab w:val="num" w:pos="5760"/>
        </w:tabs>
        <w:ind w:left="5760" w:hanging="360"/>
      </w:pPr>
      <w:rPr>
        <w:rFonts w:ascii="Courier New" w:hAnsi="Courier New"/>
      </w:rPr>
    </w:lvl>
    <w:lvl w:ilvl="8" w:tplc="AE2A190E">
      <w:start w:val="1"/>
      <w:numFmt w:val="bullet"/>
      <w:lvlText w:val=""/>
      <w:lvlJc w:val="left"/>
      <w:pPr>
        <w:tabs>
          <w:tab w:val="num" w:pos="6480"/>
        </w:tabs>
        <w:ind w:left="6480" w:hanging="360"/>
      </w:pPr>
      <w:rPr>
        <w:rFonts w:ascii="Wingdings" w:hAnsi="Wingdings"/>
      </w:rPr>
    </w:lvl>
  </w:abstractNum>
  <w:abstractNum w:abstractNumId="161" w15:restartNumberingAfterBreak="0">
    <w:nsid w:val="72230563"/>
    <w:multiLevelType w:val="hybridMultilevel"/>
    <w:tmpl w:val="72230563"/>
    <w:lvl w:ilvl="0" w:tplc="42EEF784">
      <w:start w:val="1"/>
      <w:numFmt w:val="bullet"/>
      <w:lvlText w:val=""/>
      <w:lvlJc w:val="left"/>
      <w:pPr>
        <w:ind w:left="720" w:hanging="360"/>
      </w:pPr>
      <w:rPr>
        <w:rFonts w:ascii="Symbol" w:hAnsi="Symbol"/>
      </w:rPr>
    </w:lvl>
    <w:lvl w:ilvl="1" w:tplc="17629356">
      <w:start w:val="1"/>
      <w:numFmt w:val="bullet"/>
      <w:lvlText w:val="o"/>
      <w:lvlJc w:val="left"/>
      <w:pPr>
        <w:tabs>
          <w:tab w:val="num" w:pos="1440"/>
        </w:tabs>
        <w:ind w:left="1440" w:hanging="360"/>
      </w:pPr>
      <w:rPr>
        <w:rFonts w:ascii="Courier New" w:hAnsi="Courier New"/>
      </w:rPr>
    </w:lvl>
    <w:lvl w:ilvl="2" w:tplc="E6E44B42">
      <w:start w:val="1"/>
      <w:numFmt w:val="bullet"/>
      <w:lvlText w:val=""/>
      <w:lvlJc w:val="left"/>
      <w:pPr>
        <w:tabs>
          <w:tab w:val="num" w:pos="2160"/>
        </w:tabs>
        <w:ind w:left="2160" w:hanging="360"/>
      </w:pPr>
      <w:rPr>
        <w:rFonts w:ascii="Wingdings" w:hAnsi="Wingdings"/>
      </w:rPr>
    </w:lvl>
    <w:lvl w:ilvl="3" w:tplc="7F2679AE">
      <w:start w:val="1"/>
      <w:numFmt w:val="bullet"/>
      <w:lvlText w:val=""/>
      <w:lvlJc w:val="left"/>
      <w:pPr>
        <w:tabs>
          <w:tab w:val="num" w:pos="2880"/>
        </w:tabs>
        <w:ind w:left="2880" w:hanging="360"/>
      </w:pPr>
      <w:rPr>
        <w:rFonts w:ascii="Symbol" w:hAnsi="Symbol"/>
      </w:rPr>
    </w:lvl>
    <w:lvl w:ilvl="4" w:tplc="A58C70D0">
      <w:start w:val="1"/>
      <w:numFmt w:val="bullet"/>
      <w:lvlText w:val="o"/>
      <w:lvlJc w:val="left"/>
      <w:pPr>
        <w:tabs>
          <w:tab w:val="num" w:pos="3600"/>
        </w:tabs>
        <w:ind w:left="3600" w:hanging="360"/>
      </w:pPr>
      <w:rPr>
        <w:rFonts w:ascii="Courier New" w:hAnsi="Courier New"/>
      </w:rPr>
    </w:lvl>
    <w:lvl w:ilvl="5" w:tplc="74626D26">
      <w:start w:val="1"/>
      <w:numFmt w:val="bullet"/>
      <w:lvlText w:val=""/>
      <w:lvlJc w:val="left"/>
      <w:pPr>
        <w:tabs>
          <w:tab w:val="num" w:pos="4320"/>
        </w:tabs>
        <w:ind w:left="4320" w:hanging="360"/>
      </w:pPr>
      <w:rPr>
        <w:rFonts w:ascii="Wingdings" w:hAnsi="Wingdings"/>
      </w:rPr>
    </w:lvl>
    <w:lvl w:ilvl="6" w:tplc="DCE02498">
      <w:start w:val="1"/>
      <w:numFmt w:val="bullet"/>
      <w:lvlText w:val=""/>
      <w:lvlJc w:val="left"/>
      <w:pPr>
        <w:tabs>
          <w:tab w:val="num" w:pos="5040"/>
        </w:tabs>
        <w:ind w:left="5040" w:hanging="360"/>
      </w:pPr>
      <w:rPr>
        <w:rFonts w:ascii="Symbol" w:hAnsi="Symbol"/>
      </w:rPr>
    </w:lvl>
    <w:lvl w:ilvl="7" w:tplc="56768292">
      <w:start w:val="1"/>
      <w:numFmt w:val="bullet"/>
      <w:lvlText w:val="o"/>
      <w:lvlJc w:val="left"/>
      <w:pPr>
        <w:tabs>
          <w:tab w:val="num" w:pos="5760"/>
        </w:tabs>
        <w:ind w:left="5760" w:hanging="360"/>
      </w:pPr>
      <w:rPr>
        <w:rFonts w:ascii="Courier New" w:hAnsi="Courier New"/>
      </w:rPr>
    </w:lvl>
    <w:lvl w:ilvl="8" w:tplc="BCD23898">
      <w:start w:val="1"/>
      <w:numFmt w:val="bullet"/>
      <w:lvlText w:val=""/>
      <w:lvlJc w:val="left"/>
      <w:pPr>
        <w:tabs>
          <w:tab w:val="num" w:pos="6480"/>
        </w:tabs>
        <w:ind w:left="6480" w:hanging="360"/>
      </w:pPr>
      <w:rPr>
        <w:rFonts w:ascii="Wingdings" w:hAnsi="Wingdings"/>
      </w:rPr>
    </w:lvl>
  </w:abstractNum>
  <w:abstractNum w:abstractNumId="162" w15:restartNumberingAfterBreak="0">
    <w:nsid w:val="72230564"/>
    <w:multiLevelType w:val="hybridMultilevel"/>
    <w:tmpl w:val="72230564"/>
    <w:lvl w:ilvl="0" w:tplc="96665D1E">
      <w:start w:val="1"/>
      <w:numFmt w:val="bullet"/>
      <w:lvlText w:val=""/>
      <w:lvlJc w:val="left"/>
      <w:pPr>
        <w:tabs>
          <w:tab w:val="num" w:pos="720"/>
        </w:tabs>
        <w:ind w:left="720" w:hanging="360"/>
      </w:pPr>
      <w:rPr>
        <w:rFonts w:ascii="Symbol" w:hAnsi="Symbol"/>
      </w:rPr>
    </w:lvl>
    <w:lvl w:ilvl="1" w:tplc="BA20CC18">
      <w:start w:val="1"/>
      <w:numFmt w:val="bullet"/>
      <w:lvlText w:val="o"/>
      <w:lvlJc w:val="left"/>
      <w:pPr>
        <w:tabs>
          <w:tab w:val="num" w:pos="1440"/>
        </w:tabs>
        <w:ind w:left="1440" w:hanging="360"/>
      </w:pPr>
      <w:rPr>
        <w:rFonts w:ascii="Courier New" w:hAnsi="Courier New"/>
      </w:rPr>
    </w:lvl>
    <w:lvl w:ilvl="2" w:tplc="3E0CA032">
      <w:start w:val="1"/>
      <w:numFmt w:val="bullet"/>
      <w:lvlText w:val=""/>
      <w:lvlJc w:val="left"/>
      <w:pPr>
        <w:tabs>
          <w:tab w:val="num" w:pos="2160"/>
        </w:tabs>
        <w:ind w:left="2160" w:hanging="360"/>
      </w:pPr>
      <w:rPr>
        <w:rFonts w:ascii="Wingdings" w:hAnsi="Wingdings"/>
      </w:rPr>
    </w:lvl>
    <w:lvl w:ilvl="3" w:tplc="11B25EF2">
      <w:start w:val="1"/>
      <w:numFmt w:val="bullet"/>
      <w:lvlText w:val=""/>
      <w:lvlJc w:val="left"/>
      <w:pPr>
        <w:tabs>
          <w:tab w:val="num" w:pos="2880"/>
        </w:tabs>
        <w:ind w:left="2880" w:hanging="360"/>
      </w:pPr>
      <w:rPr>
        <w:rFonts w:ascii="Symbol" w:hAnsi="Symbol"/>
      </w:rPr>
    </w:lvl>
    <w:lvl w:ilvl="4" w:tplc="DFB832EA">
      <w:start w:val="1"/>
      <w:numFmt w:val="bullet"/>
      <w:lvlText w:val="o"/>
      <w:lvlJc w:val="left"/>
      <w:pPr>
        <w:tabs>
          <w:tab w:val="num" w:pos="3600"/>
        </w:tabs>
        <w:ind w:left="3600" w:hanging="360"/>
      </w:pPr>
      <w:rPr>
        <w:rFonts w:ascii="Courier New" w:hAnsi="Courier New"/>
      </w:rPr>
    </w:lvl>
    <w:lvl w:ilvl="5" w:tplc="ACFE372C">
      <w:start w:val="1"/>
      <w:numFmt w:val="bullet"/>
      <w:lvlText w:val=""/>
      <w:lvlJc w:val="left"/>
      <w:pPr>
        <w:tabs>
          <w:tab w:val="num" w:pos="4320"/>
        </w:tabs>
        <w:ind w:left="4320" w:hanging="360"/>
      </w:pPr>
      <w:rPr>
        <w:rFonts w:ascii="Wingdings" w:hAnsi="Wingdings"/>
      </w:rPr>
    </w:lvl>
    <w:lvl w:ilvl="6" w:tplc="DAD489D8">
      <w:start w:val="1"/>
      <w:numFmt w:val="bullet"/>
      <w:lvlText w:val=""/>
      <w:lvlJc w:val="left"/>
      <w:pPr>
        <w:tabs>
          <w:tab w:val="num" w:pos="5040"/>
        </w:tabs>
        <w:ind w:left="5040" w:hanging="360"/>
      </w:pPr>
      <w:rPr>
        <w:rFonts w:ascii="Symbol" w:hAnsi="Symbol"/>
      </w:rPr>
    </w:lvl>
    <w:lvl w:ilvl="7" w:tplc="831C5C7A">
      <w:start w:val="1"/>
      <w:numFmt w:val="bullet"/>
      <w:lvlText w:val="o"/>
      <w:lvlJc w:val="left"/>
      <w:pPr>
        <w:tabs>
          <w:tab w:val="num" w:pos="5760"/>
        </w:tabs>
        <w:ind w:left="5760" w:hanging="360"/>
      </w:pPr>
      <w:rPr>
        <w:rFonts w:ascii="Courier New" w:hAnsi="Courier New"/>
      </w:rPr>
    </w:lvl>
    <w:lvl w:ilvl="8" w:tplc="2F6496EA">
      <w:start w:val="1"/>
      <w:numFmt w:val="bullet"/>
      <w:lvlText w:val=""/>
      <w:lvlJc w:val="left"/>
      <w:pPr>
        <w:tabs>
          <w:tab w:val="num" w:pos="6480"/>
        </w:tabs>
        <w:ind w:left="6480" w:hanging="360"/>
      </w:pPr>
      <w:rPr>
        <w:rFonts w:ascii="Wingdings" w:hAnsi="Wingdings"/>
      </w:rPr>
    </w:lvl>
  </w:abstractNum>
  <w:abstractNum w:abstractNumId="163" w15:restartNumberingAfterBreak="0">
    <w:nsid w:val="72230565"/>
    <w:multiLevelType w:val="hybridMultilevel"/>
    <w:tmpl w:val="72230565"/>
    <w:lvl w:ilvl="0" w:tplc="549EC86E">
      <w:start w:val="1"/>
      <w:numFmt w:val="bullet"/>
      <w:lvlText w:val=""/>
      <w:lvlJc w:val="left"/>
      <w:pPr>
        <w:tabs>
          <w:tab w:val="num" w:pos="720"/>
        </w:tabs>
        <w:ind w:left="720" w:hanging="360"/>
      </w:pPr>
      <w:rPr>
        <w:rFonts w:ascii="Symbol" w:hAnsi="Symbol"/>
      </w:rPr>
    </w:lvl>
    <w:lvl w:ilvl="1" w:tplc="9EB040B6">
      <w:start w:val="1"/>
      <w:numFmt w:val="bullet"/>
      <w:lvlText w:val="o"/>
      <w:lvlJc w:val="left"/>
      <w:pPr>
        <w:tabs>
          <w:tab w:val="num" w:pos="1440"/>
        </w:tabs>
        <w:ind w:left="1440" w:hanging="360"/>
      </w:pPr>
      <w:rPr>
        <w:rFonts w:ascii="Courier New" w:hAnsi="Courier New"/>
      </w:rPr>
    </w:lvl>
    <w:lvl w:ilvl="2" w:tplc="F998F748">
      <w:start w:val="1"/>
      <w:numFmt w:val="bullet"/>
      <w:lvlText w:val=""/>
      <w:lvlJc w:val="left"/>
      <w:pPr>
        <w:tabs>
          <w:tab w:val="num" w:pos="2160"/>
        </w:tabs>
        <w:ind w:left="2160" w:hanging="360"/>
      </w:pPr>
      <w:rPr>
        <w:rFonts w:ascii="Wingdings" w:hAnsi="Wingdings"/>
      </w:rPr>
    </w:lvl>
    <w:lvl w:ilvl="3" w:tplc="4776D5EE">
      <w:start w:val="1"/>
      <w:numFmt w:val="bullet"/>
      <w:lvlText w:val=""/>
      <w:lvlJc w:val="left"/>
      <w:pPr>
        <w:tabs>
          <w:tab w:val="num" w:pos="2880"/>
        </w:tabs>
        <w:ind w:left="2880" w:hanging="360"/>
      </w:pPr>
      <w:rPr>
        <w:rFonts w:ascii="Symbol" w:hAnsi="Symbol"/>
      </w:rPr>
    </w:lvl>
    <w:lvl w:ilvl="4" w:tplc="A5124DB8">
      <w:start w:val="1"/>
      <w:numFmt w:val="bullet"/>
      <w:lvlText w:val="o"/>
      <w:lvlJc w:val="left"/>
      <w:pPr>
        <w:tabs>
          <w:tab w:val="num" w:pos="3600"/>
        </w:tabs>
        <w:ind w:left="3600" w:hanging="360"/>
      </w:pPr>
      <w:rPr>
        <w:rFonts w:ascii="Courier New" w:hAnsi="Courier New"/>
      </w:rPr>
    </w:lvl>
    <w:lvl w:ilvl="5" w:tplc="DEA6395A">
      <w:start w:val="1"/>
      <w:numFmt w:val="bullet"/>
      <w:lvlText w:val=""/>
      <w:lvlJc w:val="left"/>
      <w:pPr>
        <w:tabs>
          <w:tab w:val="num" w:pos="4320"/>
        </w:tabs>
        <w:ind w:left="4320" w:hanging="360"/>
      </w:pPr>
      <w:rPr>
        <w:rFonts w:ascii="Wingdings" w:hAnsi="Wingdings"/>
      </w:rPr>
    </w:lvl>
    <w:lvl w:ilvl="6" w:tplc="9762098C">
      <w:start w:val="1"/>
      <w:numFmt w:val="bullet"/>
      <w:lvlText w:val=""/>
      <w:lvlJc w:val="left"/>
      <w:pPr>
        <w:tabs>
          <w:tab w:val="num" w:pos="5040"/>
        </w:tabs>
        <w:ind w:left="5040" w:hanging="360"/>
      </w:pPr>
      <w:rPr>
        <w:rFonts w:ascii="Symbol" w:hAnsi="Symbol"/>
      </w:rPr>
    </w:lvl>
    <w:lvl w:ilvl="7" w:tplc="AAA2BB6C">
      <w:start w:val="1"/>
      <w:numFmt w:val="bullet"/>
      <w:lvlText w:val="o"/>
      <w:lvlJc w:val="left"/>
      <w:pPr>
        <w:tabs>
          <w:tab w:val="num" w:pos="5760"/>
        </w:tabs>
        <w:ind w:left="5760" w:hanging="360"/>
      </w:pPr>
      <w:rPr>
        <w:rFonts w:ascii="Courier New" w:hAnsi="Courier New"/>
      </w:rPr>
    </w:lvl>
    <w:lvl w:ilvl="8" w:tplc="D318DBC4">
      <w:start w:val="1"/>
      <w:numFmt w:val="bullet"/>
      <w:lvlText w:val=""/>
      <w:lvlJc w:val="left"/>
      <w:pPr>
        <w:tabs>
          <w:tab w:val="num" w:pos="6480"/>
        </w:tabs>
        <w:ind w:left="6480" w:hanging="360"/>
      </w:pPr>
      <w:rPr>
        <w:rFonts w:ascii="Wingdings" w:hAnsi="Wingdings"/>
      </w:rPr>
    </w:lvl>
  </w:abstractNum>
  <w:abstractNum w:abstractNumId="164" w15:restartNumberingAfterBreak="0">
    <w:nsid w:val="72230566"/>
    <w:multiLevelType w:val="hybridMultilevel"/>
    <w:tmpl w:val="72230566"/>
    <w:lvl w:ilvl="0" w:tplc="19CE4E20">
      <w:start w:val="1"/>
      <w:numFmt w:val="bullet"/>
      <w:lvlText w:val=""/>
      <w:lvlJc w:val="left"/>
      <w:pPr>
        <w:ind w:left="720" w:hanging="360"/>
      </w:pPr>
      <w:rPr>
        <w:rFonts w:ascii="Symbol" w:hAnsi="Symbol"/>
      </w:rPr>
    </w:lvl>
    <w:lvl w:ilvl="1" w:tplc="843A18A8">
      <w:start w:val="1"/>
      <w:numFmt w:val="bullet"/>
      <w:lvlText w:val="o"/>
      <w:lvlJc w:val="left"/>
      <w:pPr>
        <w:tabs>
          <w:tab w:val="num" w:pos="1440"/>
        </w:tabs>
        <w:ind w:left="1440" w:hanging="360"/>
      </w:pPr>
      <w:rPr>
        <w:rFonts w:ascii="Courier New" w:hAnsi="Courier New"/>
      </w:rPr>
    </w:lvl>
    <w:lvl w:ilvl="2" w:tplc="480A18C4">
      <w:start w:val="1"/>
      <w:numFmt w:val="bullet"/>
      <w:lvlText w:val=""/>
      <w:lvlJc w:val="left"/>
      <w:pPr>
        <w:tabs>
          <w:tab w:val="num" w:pos="2160"/>
        </w:tabs>
        <w:ind w:left="2160" w:hanging="360"/>
      </w:pPr>
      <w:rPr>
        <w:rFonts w:ascii="Wingdings" w:hAnsi="Wingdings"/>
      </w:rPr>
    </w:lvl>
    <w:lvl w:ilvl="3" w:tplc="7E4E1710">
      <w:start w:val="1"/>
      <w:numFmt w:val="bullet"/>
      <w:lvlText w:val=""/>
      <w:lvlJc w:val="left"/>
      <w:pPr>
        <w:tabs>
          <w:tab w:val="num" w:pos="2880"/>
        </w:tabs>
        <w:ind w:left="2880" w:hanging="360"/>
      </w:pPr>
      <w:rPr>
        <w:rFonts w:ascii="Symbol" w:hAnsi="Symbol"/>
      </w:rPr>
    </w:lvl>
    <w:lvl w:ilvl="4" w:tplc="3BB29938">
      <w:start w:val="1"/>
      <w:numFmt w:val="bullet"/>
      <w:lvlText w:val="o"/>
      <w:lvlJc w:val="left"/>
      <w:pPr>
        <w:tabs>
          <w:tab w:val="num" w:pos="3600"/>
        </w:tabs>
        <w:ind w:left="3600" w:hanging="360"/>
      </w:pPr>
      <w:rPr>
        <w:rFonts w:ascii="Courier New" w:hAnsi="Courier New"/>
      </w:rPr>
    </w:lvl>
    <w:lvl w:ilvl="5" w:tplc="8CDC34DA">
      <w:start w:val="1"/>
      <w:numFmt w:val="bullet"/>
      <w:lvlText w:val=""/>
      <w:lvlJc w:val="left"/>
      <w:pPr>
        <w:tabs>
          <w:tab w:val="num" w:pos="4320"/>
        </w:tabs>
        <w:ind w:left="4320" w:hanging="360"/>
      </w:pPr>
      <w:rPr>
        <w:rFonts w:ascii="Wingdings" w:hAnsi="Wingdings"/>
      </w:rPr>
    </w:lvl>
    <w:lvl w:ilvl="6" w:tplc="EF5C4662">
      <w:start w:val="1"/>
      <w:numFmt w:val="bullet"/>
      <w:lvlText w:val=""/>
      <w:lvlJc w:val="left"/>
      <w:pPr>
        <w:tabs>
          <w:tab w:val="num" w:pos="5040"/>
        </w:tabs>
        <w:ind w:left="5040" w:hanging="360"/>
      </w:pPr>
      <w:rPr>
        <w:rFonts w:ascii="Symbol" w:hAnsi="Symbol"/>
      </w:rPr>
    </w:lvl>
    <w:lvl w:ilvl="7" w:tplc="837A3DEA">
      <w:start w:val="1"/>
      <w:numFmt w:val="bullet"/>
      <w:lvlText w:val="o"/>
      <w:lvlJc w:val="left"/>
      <w:pPr>
        <w:tabs>
          <w:tab w:val="num" w:pos="5760"/>
        </w:tabs>
        <w:ind w:left="5760" w:hanging="360"/>
      </w:pPr>
      <w:rPr>
        <w:rFonts w:ascii="Courier New" w:hAnsi="Courier New"/>
      </w:rPr>
    </w:lvl>
    <w:lvl w:ilvl="8" w:tplc="CF464772">
      <w:start w:val="1"/>
      <w:numFmt w:val="bullet"/>
      <w:lvlText w:val=""/>
      <w:lvlJc w:val="left"/>
      <w:pPr>
        <w:tabs>
          <w:tab w:val="num" w:pos="6480"/>
        </w:tabs>
        <w:ind w:left="6480" w:hanging="360"/>
      </w:pPr>
      <w:rPr>
        <w:rFonts w:ascii="Wingdings" w:hAnsi="Wingdings"/>
      </w:rPr>
    </w:lvl>
  </w:abstractNum>
  <w:abstractNum w:abstractNumId="165" w15:restartNumberingAfterBreak="0">
    <w:nsid w:val="72230567"/>
    <w:multiLevelType w:val="hybridMultilevel"/>
    <w:tmpl w:val="72230567"/>
    <w:lvl w:ilvl="0" w:tplc="48EE494C">
      <w:start w:val="1"/>
      <w:numFmt w:val="bullet"/>
      <w:lvlText w:val=""/>
      <w:lvlJc w:val="left"/>
      <w:pPr>
        <w:ind w:left="720" w:hanging="360"/>
      </w:pPr>
      <w:rPr>
        <w:rFonts w:ascii="Symbol" w:hAnsi="Symbol"/>
      </w:rPr>
    </w:lvl>
    <w:lvl w:ilvl="1" w:tplc="38B62ECC">
      <w:start w:val="1"/>
      <w:numFmt w:val="bullet"/>
      <w:lvlText w:val="o"/>
      <w:lvlJc w:val="left"/>
      <w:pPr>
        <w:tabs>
          <w:tab w:val="num" w:pos="1440"/>
        </w:tabs>
        <w:ind w:left="1440" w:hanging="360"/>
      </w:pPr>
      <w:rPr>
        <w:rFonts w:ascii="Courier New" w:hAnsi="Courier New"/>
      </w:rPr>
    </w:lvl>
    <w:lvl w:ilvl="2" w:tplc="BE7AF5C2">
      <w:start w:val="1"/>
      <w:numFmt w:val="bullet"/>
      <w:lvlText w:val=""/>
      <w:lvlJc w:val="left"/>
      <w:pPr>
        <w:tabs>
          <w:tab w:val="num" w:pos="2160"/>
        </w:tabs>
        <w:ind w:left="2160" w:hanging="360"/>
      </w:pPr>
      <w:rPr>
        <w:rFonts w:ascii="Wingdings" w:hAnsi="Wingdings"/>
      </w:rPr>
    </w:lvl>
    <w:lvl w:ilvl="3" w:tplc="A1DCED36">
      <w:start w:val="1"/>
      <w:numFmt w:val="bullet"/>
      <w:lvlText w:val=""/>
      <w:lvlJc w:val="left"/>
      <w:pPr>
        <w:tabs>
          <w:tab w:val="num" w:pos="2880"/>
        </w:tabs>
        <w:ind w:left="2880" w:hanging="360"/>
      </w:pPr>
      <w:rPr>
        <w:rFonts w:ascii="Symbol" w:hAnsi="Symbol"/>
      </w:rPr>
    </w:lvl>
    <w:lvl w:ilvl="4" w:tplc="C6C028C6">
      <w:start w:val="1"/>
      <w:numFmt w:val="bullet"/>
      <w:lvlText w:val="o"/>
      <w:lvlJc w:val="left"/>
      <w:pPr>
        <w:tabs>
          <w:tab w:val="num" w:pos="3600"/>
        </w:tabs>
        <w:ind w:left="3600" w:hanging="360"/>
      </w:pPr>
      <w:rPr>
        <w:rFonts w:ascii="Courier New" w:hAnsi="Courier New"/>
      </w:rPr>
    </w:lvl>
    <w:lvl w:ilvl="5" w:tplc="AE3009F6">
      <w:start w:val="1"/>
      <w:numFmt w:val="bullet"/>
      <w:lvlText w:val=""/>
      <w:lvlJc w:val="left"/>
      <w:pPr>
        <w:tabs>
          <w:tab w:val="num" w:pos="4320"/>
        </w:tabs>
        <w:ind w:left="4320" w:hanging="360"/>
      </w:pPr>
      <w:rPr>
        <w:rFonts w:ascii="Wingdings" w:hAnsi="Wingdings"/>
      </w:rPr>
    </w:lvl>
    <w:lvl w:ilvl="6" w:tplc="8F5EA048">
      <w:start w:val="1"/>
      <w:numFmt w:val="bullet"/>
      <w:lvlText w:val=""/>
      <w:lvlJc w:val="left"/>
      <w:pPr>
        <w:tabs>
          <w:tab w:val="num" w:pos="5040"/>
        </w:tabs>
        <w:ind w:left="5040" w:hanging="360"/>
      </w:pPr>
      <w:rPr>
        <w:rFonts w:ascii="Symbol" w:hAnsi="Symbol"/>
      </w:rPr>
    </w:lvl>
    <w:lvl w:ilvl="7" w:tplc="58B8E5D4">
      <w:start w:val="1"/>
      <w:numFmt w:val="bullet"/>
      <w:lvlText w:val="o"/>
      <w:lvlJc w:val="left"/>
      <w:pPr>
        <w:tabs>
          <w:tab w:val="num" w:pos="5760"/>
        </w:tabs>
        <w:ind w:left="5760" w:hanging="360"/>
      </w:pPr>
      <w:rPr>
        <w:rFonts w:ascii="Courier New" w:hAnsi="Courier New"/>
      </w:rPr>
    </w:lvl>
    <w:lvl w:ilvl="8" w:tplc="A9EC4DE8">
      <w:start w:val="1"/>
      <w:numFmt w:val="bullet"/>
      <w:lvlText w:val=""/>
      <w:lvlJc w:val="left"/>
      <w:pPr>
        <w:tabs>
          <w:tab w:val="num" w:pos="6480"/>
        </w:tabs>
        <w:ind w:left="6480" w:hanging="360"/>
      </w:pPr>
      <w:rPr>
        <w:rFonts w:ascii="Wingdings" w:hAnsi="Wingdings"/>
      </w:rPr>
    </w:lvl>
  </w:abstractNum>
  <w:abstractNum w:abstractNumId="166" w15:restartNumberingAfterBreak="0">
    <w:nsid w:val="72230568"/>
    <w:multiLevelType w:val="hybridMultilevel"/>
    <w:tmpl w:val="72230568"/>
    <w:lvl w:ilvl="0" w:tplc="2446DC70">
      <w:start w:val="1"/>
      <w:numFmt w:val="bullet"/>
      <w:lvlText w:val=""/>
      <w:lvlJc w:val="left"/>
      <w:pPr>
        <w:ind w:left="720" w:hanging="360"/>
      </w:pPr>
      <w:rPr>
        <w:rFonts w:ascii="Symbol" w:hAnsi="Symbol"/>
      </w:rPr>
    </w:lvl>
    <w:lvl w:ilvl="1" w:tplc="3B00F542">
      <w:start w:val="1"/>
      <w:numFmt w:val="bullet"/>
      <w:lvlText w:val="o"/>
      <w:lvlJc w:val="left"/>
      <w:pPr>
        <w:tabs>
          <w:tab w:val="num" w:pos="1440"/>
        </w:tabs>
        <w:ind w:left="1440" w:hanging="360"/>
      </w:pPr>
      <w:rPr>
        <w:rFonts w:ascii="Courier New" w:hAnsi="Courier New"/>
      </w:rPr>
    </w:lvl>
    <w:lvl w:ilvl="2" w:tplc="98FCA9FA">
      <w:start w:val="1"/>
      <w:numFmt w:val="bullet"/>
      <w:lvlText w:val=""/>
      <w:lvlJc w:val="left"/>
      <w:pPr>
        <w:tabs>
          <w:tab w:val="num" w:pos="2160"/>
        </w:tabs>
        <w:ind w:left="2160" w:hanging="360"/>
      </w:pPr>
      <w:rPr>
        <w:rFonts w:ascii="Wingdings" w:hAnsi="Wingdings"/>
      </w:rPr>
    </w:lvl>
    <w:lvl w:ilvl="3" w:tplc="564654E6">
      <w:start w:val="1"/>
      <w:numFmt w:val="bullet"/>
      <w:lvlText w:val=""/>
      <w:lvlJc w:val="left"/>
      <w:pPr>
        <w:tabs>
          <w:tab w:val="num" w:pos="2880"/>
        </w:tabs>
        <w:ind w:left="2880" w:hanging="360"/>
      </w:pPr>
      <w:rPr>
        <w:rFonts w:ascii="Symbol" w:hAnsi="Symbol"/>
      </w:rPr>
    </w:lvl>
    <w:lvl w:ilvl="4" w:tplc="930A7BAE">
      <w:start w:val="1"/>
      <w:numFmt w:val="bullet"/>
      <w:lvlText w:val="o"/>
      <w:lvlJc w:val="left"/>
      <w:pPr>
        <w:tabs>
          <w:tab w:val="num" w:pos="3600"/>
        </w:tabs>
        <w:ind w:left="3600" w:hanging="360"/>
      </w:pPr>
      <w:rPr>
        <w:rFonts w:ascii="Courier New" w:hAnsi="Courier New"/>
      </w:rPr>
    </w:lvl>
    <w:lvl w:ilvl="5" w:tplc="5D9A516E">
      <w:start w:val="1"/>
      <w:numFmt w:val="bullet"/>
      <w:lvlText w:val=""/>
      <w:lvlJc w:val="left"/>
      <w:pPr>
        <w:tabs>
          <w:tab w:val="num" w:pos="4320"/>
        </w:tabs>
        <w:ind w:left="4320" w:hanging="360"/>
      </w:pPr>
      <w:rPr>
        <w:rFonts w:ascii="Wingdings" w:hAnsi="Wingdings"/>
      </w:rPr>
    </w:lvl>
    <w:lvl w:ilvl="6" w:tplc="5CD6D292">
      <w:start w:val="1"/>
      <w:numFmt w:val="bullet"/>
      <w:lvlText w:val=""/>
      <w:lvlJc w:val="left"/>
      <w:pPr>
        <w:tabs>
          <w:tab w:val="num" w:pos="5040"/>
        </w:tabs>
        <w:ind w:left="5040" w:hanging="360"/>
      </w:pPr>
      <w:rPr>
        <w:rFonts w:ascii="Symbol" w:hAnsi="Symbol"/>
      </w:rPr>
    </w:lvl>
    <w:lvl w:ilvl="7" w:tplc="C8D4EB48">
      <w:start w:val="1"/>
      <w:numFmt w:val="bullet"/>
      <w:lvlText w:val="o"/>
      <w:lvlJc w:val="left"/>
      <w:pPr>
        <w:tabs>
          <w:tab w:val="num" w:pos="5760"/>
        </w:tabs>
        <w:ind w:left="5760" w:hanging="360"/>
      </w:pPr>
      <w:rPr>
        <w:rFonts w:ascii="Courier New" w:hAnsi="Courier New"/>
      </w:rPr>
    </w:lvl>
    <w:lvl w:ilvl="8" w:tplc="BBAAFFEC">
      <w:start w:val="1"/>
      <w:numFmt w:val="bullet"/>
      <w:lvlText w:val=""/>
      <w:lvlJc w:val="left"/>
      <w:pPr>
        <w:tabs>
          <w:tab w:val="num" w:pos="6480"/>
        </w:tabs>
        <w:ind w:left="6480" w:hanging="360"/>
      </w:pPr>
      <w:rPr>
        <w:rFonts w:ascii="Wingdings" w:hAnsi="Wingdings"/>
      </w:rPr>
    </w:lvl>
  </w:abstractNum>
  <w:abstractNum w:abstractNumId="167" w15:restartNumberingAfterBreak="0">
    <w:nsid w:val="72230569"/>
    <w:multiLevelType w:val="hybridMultilevel"/>
    <w:tmpl w:val="72230569"/>
    <w:lvl w:ilvl="0" w:tplc="2FEAB08A">
      <w:start w:val="1"/>
      <w:numFmt w:val="bullet"/>
      <w:lvlText w:val=""/>
      <w:lvlJc w:val="left"/>
      <w:pPr>
        <w:ind w:left="720" w:hanging="360"/>
      </w:pPr>
      <w:rPr>
        <w:rFonts w:ascii="Symbol" w:hAnsi="Symbol"/>
      </w:rPr>
    </w:lvl>
    <w:lvl w:ilvl="1" w:tplc="346A23F8">
      <w:start w:val="1"/>
      <w:numFmt w:val="bullet"/>
      <w:lvlText w:val="o"/>
      <w:lvlJc w:val="left"/>
      <w:pPr>
        <w:tabs>
          <w:tab w:val="num" w:pos="1440"/>
        </w:tabs>
        <w:ind w:left="1440" w:hanging="360"/>
      </w:pPr>
      <w:rPr>
        <w:rFonts w:ascii="Courier New" w:hAnsi="Courier New"/>
      </w:rPr>
    </w:lvl>
    <w:lvl w:ilvl="2" w:tplc="33E42D32">
      <w:start w:val="1"/>
      <w:numFmt w:val="bullet"/>
      <w:lvlText w:val=""/>
      <w:lvlJc w:val="left"/>
      <w:pPr>
        <w:tabs>
          <w:tab w:val="num" w:pos="2160"/>
        </w:tabs>
        <w:ind w:left="2160" w:hanging="360"/>
      </w:pPr>
      <w:rPr>
        <w:rFonts w:ascii="Wingdings" w:hAnsi="Wingdings"/>
      </w:rPr>
    </w:lvl>
    <w:lvl w:ilvl="3" w:tplc="3B34C896">
      <w:start w:val="1"/>
      <w:numFmt w:val="bullet"/>
      <w:lvlText w:val=""/>
      <w:lvlJc w:val="left"/>
      <w:pPr>
        <w:tabs>
          <w:tab w:val="num" w:pos="2880"/>
        </w:tabs>
        <w:ind w:left="2880" w:hanging="360"/>
      </w:pPr>
      <w:rPr>
        <w:rFonts w:ascii="Symbol" w:hAnsi="Symbol"/>
      </w:rPr>
    </w:lvl>
    <w:lvl w:ilvl="4" w:tplc="D696BAAA">
      <w:start w:val="1"/>
      <w:numFmt w:val="bullet"/>
      <w:lvlText w:val="o"/>
      <w:lvlJc w:val="left"/>
      <w:pPr>
        <w:tabs>
          <w:tab w:val="num" w:pos="3600"/>
        </w:tabs>
        <w:ind w:left="3600" w:hanging="360"/>
      </w:pPr>
      <w:rPr>
        <w:rFonts w:ascii="Courier New" w:hAnsi="Courier New"/>
      </w:rPr>
    </w:lvl>
    <w:lvl w:ilvl="5" w:tplc="AD448730">
      <w:start w:val="1"/>
      <w:numFmt w:val="bullet"/>
      <w:lvlText w:val=""/>
      <w:lvlJc w:val="left"/>
      <w:pPr>
        <w:tabs>
          <w:tab w:val="num" w:pos="4320"/>
        </w:tabs>
        <w:ind w:left="4320" w:hanging="360"/>
      </w:pPr>
      <w:rPr>
        <w:rFonts w:ascii="Wingdings" w:hAnsi="Wingdings"/>
      </w:rPr>
    </w:lvl>
    <w:lvl w:ilvl="6" w:tplc="D43A2E00">
      <w:start w:val="1"/>
      <w:numFmt w:val="bullet"/>
      <w:lvlText w:val=""/>
      <w:lvlJc w:val="left"/>
      <w:pPr>
        <w:tabs>
          <w:tab w:val="num" w:pos="5040"/>
        </w:tabs>
        <w:ind w:left="5040" w:hanging="360"/>
      </w:pPr>
      <w:rPr>
        <w:rFonts w:ascii="Symbol" w:hAnsi="Symbol"/>
      </w:rPr>
    </w:lvl>
    <w:lvl w:ilvl="7" w:tplc="005C2EF2">
      <w:start w:val="1"/>
      <w:numFmt w:val="bullet"/>
      <w:lvlText w:val="o"/>
      <w:lvlJc w:val="left"/>
      <w:pPr>
        <w:tabs>
          <w:tab w:val="num" w:pos="5760"/>
        </w:tabs>
        <w:ind w:left="5760" w:hanging="360"/>
      </w:pPr>
      <w:rPr>
        <w:rFonts w:ascii="Courier New" w:hAnsi="Courier New"/>
      </w:rPr>
    </w:lvl>
    <w:lvl w:ilvl="8" w:tplc="6CA2F8D2">
      <w:start w:val="1"/>
      <w:numFmt w:val="bullet"/>
      <w:lvlText w:val=""/>
      <w:lvlJc w:val="left"/>
      <w:pPr>
        <w:tabs>
          <w:tab w:val="num" w:pos="6480"/>
        </w:tabs>
        <w:ind w:left="6480" w:hanging="360"/>
      </w:pPr>
      <w:rPr>
        <w:rFonts w:ascii="Wingdings" w:hAnsi="Wingdings"/>
      </w:rPr>
    </w:lvl>
  </w:abstractNum>
  <w:abstractNum w:abstractNumId="168" w15:restartNumberingAfterBreak="0">
    <w:nsid w:val="7223056A"/>
    <w:multiLevelType w:val="hybridMultilevel"/>
    <w:tmpl w:val="7223056A"/>
    <w:lvl w:ilvl="0" w:tplc="66E00BD6">
      <w:start w:val="1"/>
      <w:numFmt w:val="bullet"/>
      <w:lvlText w:val=""/>
      <w:lvlJc w:val="left"/>
      <w:pPr>
        <w:ind w:left="720" w:hanging="360"/>
      </w:pPr>
      <w:rPr>
        <w:rFonts w:ascii="Symbol" w:hAnsi="Symbol"/>
      </w:rPr>
    </w:lvl>
    <w:lvl w:ilvl="1" w:tplc="745EB27A">
      <w:start w:val="1"/>
      <w:numFmt w:val="bullet"/>
      <w:lvlText w:val="o"/>
      <w:lvlJc w:val="left"/>
      <w:pPr>
        <w:tabs>
          <w:tab w:val="num" w:pos="1440"/>
        </w:tabs>
        <w:ind w:left="1440" w:hanging="360"/>
      </w:pPr>
      <w:rPr>
        <w:rFonts w:ascii="Courier New" w:hAnsi="Courier New"/>
      </w:rPr>
    </w:lvl>
    <w:lvl w:ilvl="2" w:tplc="7E98094A">
      <w:start w:val="1"/>
      <w:numFmt w:val="bullet"/>
      <w:lvlText w:val=""/>
      <w:lvlJc w:val="left"/>
      <w:pPr>
        <w:tabs>
          <w:tab w:val="num" w:pos="2160"/>
        </w:tabs>
        <w:ind w:left="2160" w:hanging="360"/>
      </w:pPr>
      <w:rPr>
        <w:rFonts w:ascii="Wingdings" w:hAnsi="Wingdings"/>
      </w:rPr>
    </w:lvl>
    <w:lvl w:ilvl="3" w:tplc="B3648D9A">
      <w:start w:val="1"/>
      <w:numFmt w:val="bullet"/>
      <w:lvlText w:val=""/>
      <w:lvlJc w:val="left"/>
      <w:pPr>
        <w:tabs>
          <w:tab w:val="num" w:pos="2880"/>
        </w:tabs>
        <w:ind w:left="2880" w:hanging="360"/>
      </w:pPr>
      <w:rPr>
        <w:rFonts w:ascii="Symbol" w:hAnsi="Symbol"/>
      </w:rPr>
    </w:lvl>
    <w:lvl w:ilvl="4" w:tplc="E20A4AA8">
      <w:start w:val="1"/>
      <w:numFmt w:val="bullet"/>
      <w:lvlText w:val="o"/>
      <w:lvlJc w:val="left"/>
      <w:pPr>
        <w:tabs>
          <w:tab w:val="num" w:pos="3600"/>
        </w:tabs>
        <w:ind w:left="3600" w:hanging="360"/>
      </w:pPr>
      <w:rPr>
        <w:rFonts w:ascii="Courier New" w:hAnsi="Courier New"/>
      </w:rPr>
    </w:lvl>
    <w:lvl w:ilvl="5" w:tplc="992EE29A">
      <w:start w:val="1"/>
      <w:numFmt w:val="bullet"/>
      <w:lvlText w:val=""/>
      <w:lvlJc w:val="left"/>
      <w:pPr>
        <w:tabs>
          <w:tab w:val="num" w:pos="4320"/>
        </w:tabs>
        <w:ind w:left="4320" w:hanging="360"/>
      </w:pPr>
      <w:rPr>
        <w:rFonts w:ascii="Wingdings" w:hAnsi="Wingdings"/>
      </w:rPr>
    </w:lvl>
    <w:lvl w:ilvl="6" w:tplc="D44032A4">
      <w:start w:val="1"/>
      <w:numFmt w:val="bullet"/>
      <w:lvlText w:val=""/>
      <w:lvlJc w:val="left"/>
      <w:pPr>
        <w:tabs>
          <w:tab w:val="num" w:pos="5040"/>
        </w:tabs>
        <w:ind w:left="5040" w:hanging="360"/>
      </w:pPr>
      <w:rPr>
        <w:rFonts w:ascii="Symbol" w:hAnsi="Symbol"/>
      </w:rPr>
    </w:lvl>
    <w:lvl w:ilvl="7" w:tplc="27D47C0A">
      <w:start w:val="1"/>
      <w:numFmt w:val="bullet"/>
      <w:lvlText w:val="o"/>
      <w:lvlJc w:val="left"/>
      <w:pPr>
        <w:tabs>
          <w:tab w:val="num" w:pos="5760"/>
        </w:tabs>
        <w:ind w:left="5760" w:hanging="360"/>
      </w:pPr>
      <w:rPr>
        <w:rFonts w:ascii="Courier New" w:hAnsi="Courier New"/>
      </w:rPr>
    </w:lvl>
    <w:lvl w:ilvl="8" w:tplc="FE0C95E8">
      <w:start w:val="1"/>
      <w:numFmt w:val="bullet"/>
      <w:lvlText w:val=""/>
      <w:lvlJc w:val="left"/>
      <w:pPr>
        <w:tabs>
          <w:tab w:val="num" w:pos="6480"/>
        </w:tabs>
        <w:ind w:left="6480" w:hanging="360"/>
      </w:pPr>
      <w:rPr>
        <w:rFonts w:ascii="Wingdings" w:hAnsi="Wingdings"/>
      </w:rPr>
    </w:lvl>
  </w:abstractNum>
  <w:abstractNum w:abstractNumId="169" w15:restartNumberingAfterBreak="0">
    <w:nsid w:val="7223056B"/>
    <w:multiLevelType w:val="hybridMultilevel"/>
    <w:tmpl w:val="7223056B"/>
    <w:lvl w:ilvl="0" w:tplc="A3160E5A">
      <w:start w:val="1"/>
      <w:numFmt w:val="bullet"/>
      <w:lvlText w:val=""/>
      <w:lvlJc w:val="left"/>
      <w:pPr>
        <w:ind w:left="720" w:hanging="360"/>
      </w:pPr>
      <w:rPr>
        <w:rFonts w:ascii="Symbol" w:hAnsi="Symbol"/>
      </w:rPr>
    </w:lvl>
    <w:lvl w:ilvl="1" w:tplc="1598E8FC">
      <w:start w:val="1"/>
      <w:numFmt w:val="bullet"/>
      <w:lvlText w:val="o"/>
      <w:lvlJc w:val="left"/>
      <w:pPr>
        <w:tabs>
          <w:tab w:val="num" w:pos="1440"/>
        </w:tabs>
        <w:ind w:left="1440" w:hanging="360"/>
      </w:pPr>
      <w:rPr>
        <w:rFonts w:ascii="Courier New" w:hAnsi="Courier New"/>
      </w:rPr>
    </w:lvl>
    <w:lvl w:ilvl="2" w:tplc="ACFCE7A4">
      <w:start w:val="1"/>
      <w:numFmt w:val="bullet"/>
      <w:lvlText w:val=""/>
      <w:lvlJc w:val="left"/>
      <w:pPr>
        <w:tabs>
          <w:tab w:val="num" w:pos="2160"/>
        </w:tabs>
        <w:ind w:left="2160" w:hanging="360"/>
      </w:pPr>
      <w:rPr>
        <w:rFonts w:ascii="Wingdings" w:hAnsi="Wingdings"/>
      </w:rPr>
    </w:lvl>
    <w:lvl w:ilvl="3" w:tplc="1C2E7000">
      <w:start w:val="1"/>
      <w:numFmt w:val="bullet"/>
      <w:lvlText w:val=""/>
      <w:lvlJc w:val="left"/>
      <w:pPr>
        <w:tabs>
          <w:tab w:val="num" w:pos="2880"/>
        </w:tabs>
        <w:ind w:left="2880" w:hanging="360"/>
      </w:pPr>
      <w:rPr>
        <w:rFonts w:ascii="Symbol" w:hAnsi="Symbol"/>
      </w:rPr>
    </w:lvl>
    <w:lvl w:ilvl="4" w:tplc="123E17DC">
      <w:start w:val="1"/>
      <w:numFmt w:val="bullet"/>
      <w:lvlText w:val="o"/>
      <w:lvlJc w:val="left"/>
      <w:pPr>
        <w:tabs>
          <w:tab w:val="num" w:pos="3600"/>
        </w:tabs>
        <w:ind w:left="3600" w:hanging="360"/>
      </w:pPr>
      <w:rPr>
        <w:rFonts w:ascii="Courier New" w:hAnsi="Courier New"/>
      </w:rPr>
    </w:lvl>
    <w:lvl w:ilvl="5" w:tplc="DAD6FB34">
      <w:start w:val="1"/>
      <w:numFmt w:val="bullet"/>
      <w:lvlText w:val=""/>
      <w:lvlJc w:val="left"/>
      <w:pPr>
        <w:tabs>
          <w:tab w:val="num" w:pos="4320"/>
        </w:tabs>
        <w:ind w:left="4320" w:hanging="360"/>
      </w:pPr>
      <w:rPr>
        <w:rFonts w:ascii="Wingdings" w:hAnsi="Wingdings"/>
      </w:rPr>
    </w:lvl>
    <w:lvl w:ilvl="6" w:tplc="9F9838EC">
      <w:start w:val="1"/>
      <w:numFmt w:val="bullet"/>
      <w:lvlText w:val=""/>
      <w:lvlJc w:val="left"/>
      <w:pPr>
        <w:tabs>
          <w:tab w:val="num" w:pos="5040"/>
        </w:tabs>
        <w:ind w:left="5040" w:hanging="360"/>
      </w:pPr>
      <w:rPr>
        <w:rFonts w:ascii="Symbol" w:hAnsi="Symbol"/>
      </w:rPr>
    </w:lvl>
    <w:lvl w:ilvl="7" w:tplc="3CECB426">
      <w:start w:val="1"/>
      <w:numFmt w:val="bullet"/>
      <w:lvlText w:val="o"/>
      <w:lvlJc w:val="left"/>
      <w:pPr>
        <w:tabs>
          <w:tab w:val="num" w:pos="5760"/>
        </w:tabs>
        <w:ind w:left="5760" w:hanging="360"/>
      </w:pPr>
      <w:rPr>
        <w:rFonts w:ascii="Courier New" w:hAnsi="Courier New"/>
      </w:rPr>
    </w:lvl>
    <w:lvl w:ilvl="8" w:tplc="845AD8C8">
      <w:start w:val="1"/>
      <w:numFmt w:val="bullet"/>
      <w:lvlText w:val=""/>
      <w:lvlJc w:val="left"/>
      <w:pPr>
        <w:tabs>
          <w:tab w:val="num" w:pos="6480"/>
        </w:tabs>
        <w:ind w:left="6480" w:hanging="360"/>
      </w:pPr>
      <w:rPr>
        <w:rFonts w:ascii="Wingdings" w:hAnsi="Wingdings"/>
      </w:rPr>
    </w:lvl>
  </w:abstractNum>
  <w:abstractNum w:abstractNumId="170" w15:restartNumberingAfterBreak="0">
    <w:nsid w:val="7223056C"/>
    <w:multiLevelType w:val="hybridMultilevel"/>
    <w:tmpl w:val="7223056C"/>
    <w:lvl w:ilvl="0" w:tplc="D6DEC4D2">
      <w:start w:val="1"/>
      <w:numFmt w:val="bullet"/>
      <w:lvlText w:val=""/>
      <w:lvlJc w:val="left"/>
      <w:pPr>
        <w:ind w:left="720" w:hanging="360"/>
      </w:pPr>
      <w:rPr>
        <w:rFonts w:ascii="Symbol" w:hAnsi="Symbol"/>
      </w:rPr>
    </w:lvl>
    <w:lvl w:ilvl="1" w:tplc="6002B2CE">
      <w:start w:val="1"/>
      <w:numFmt w:val="bullet"/>
      <w:lvlText w:val="o"/>
      <w:lvlJc w:val="left"/>
      <w:pPr>
        <w:tabs>
          <w:tab w:val="num" w:pos="1440"/>
        </w:tabs>
        <w:ind w:left="1440" w:hanging="360"/>
      </w:pPr>
      <w:rPr>
        <w:rFonts w:ascii="Courier New" w:hAnsi="Courier New"/>
      </w:rPr>
    </w:lvl>
    <w:lvl w:ilvl="2" w:tplc="0E567746">
      <w:start w:val="1"/>
      <w:numFmt w:val="bullet"/>
      <w:lvlText w:val=""/>
      <w:lvlJc w:val="left"/>
      <w:pPr>
        <w:tabs>
          <w:tab w:val="num" w:pos="2160"/>
        </w:tabs>
        <w:ind w:left="2160" w:hanging="360"/>
      </w:pPr>
      <w:rPr>
        <w:rFonts w:ascii="Wingdings" w:hAnsi="Wingdings"/>
      </w:rPr>
    </w:lvl>
    <w:lvl w:ilvl="3" w:tplc="37BED84E">
      <w:start w:val="1"/>
      <w:numFmt w:val="bullet"/>
      <w:lvlText w:val=""/>
      <w:lvlJc w:val="left"/>
      <w:pPr>
        <w:tabs>
          <w:tab w:val="num" w:pos="2880"/>
        </w:tabs>
        <w:ind w:left="2880" w:hanging="360"/>
      </w:pPr>
      <w:rPr>
        <w:rFonts w:ascii="Symbol" w:hAnsi="Symbol"/>
      </w:rPr>
    </w:lvl>
    <w:lvl w:ilvl="4" w:tplc="C0007758">
      <w:start w:val="1"/>
      <w:numFmt w:val="bullet"/>
      <w:lvlText w:val="o"/>
      <w:lvlJc w:val="left"/>
      <w:pPr>
        <w:tabs>
          <w:tab w:val="num" w:pos="3600"/>
        </w:tabs>
        <w:ind w:left="3600" w:hanging="360"/>
      </w:pPr>
      <w:rPr>
        <w:rFonts w:ascii="Courier New" w:hAnsi="Courier New"/>
      </w:rPr>
    </w:lvl>
    <w:lvl w:ilvl="5" w:tplc="FF226CAE">
      <w:start w:val="1"/>
      <w:numFmt w:val="bullet"/>
      <w:lvlText w:val=""/>
      <w:lvlJc w:val="left"/>
      <w:pPr>
        <w:tabs>
          <w:tab w:val="num" w:pos="4320"/>
        </w:tabs>
        <w:ind w:left="4320" w:hanging="360"/>
      </w:pPr>
      <w:rPr>
        <w:rFonts w:ascii="Wingdings" w:hAnsi="Wingdings"/>
      </w:rPr>
    </w:lvl>
    <w:lvl w:ilvl="6" w:tplc="BD7A8570">
      <w:start w:val="1"/>
      <w:numFmt w:val="bullet"/>
      <w:lvlText w:val=""/>
      <w:lvlJc w:val="left"/>
      <w:pPr>
        <w:tabs>
          <w:tab w:val="num" w:pos="5040"/>
        </w:tabs>
        <w:ind w:left="5040" w:hanging="360"/>
      </w:pPr>
      <w:rPr>
        <w:rFonts w:ascii="Symbol" w:hAnsi="Symbol"/>
      </w:rPr>
    </w:lvl>
    <w:lvl w:ilvl="7" w:tplc="8E827CF8">
      <w:start w:val="1"/>
      <w:numFmt w:val="bullet"/>
      <w:lvlText w:val="o"/>
      <w:lvlJc w:val="left"/>
      <w:pPr>
        <w:tabs>
          <w:tab w:val="num" w:pos="5760"/>
        </w:tabs>
        <w:ind w:left="5760" w:hanging="360"/>
      </w:pPr>
      <w:rPr>
        <w:rFonts w:ascii="Courier New" w:hAnsi="Courier New"/>
      </w:rPr>
    </w:lvl>
    <w:lvl w:ilvl="8" w:tplc="D4F6867C">
      <w:start w:val="1"/>
      <w:numFmt w:val="bullet"/>
      <w:lvlText w:val=""/>
      <w:lvlJc w:val="left"/>
      <w:pPr>
        <w:tabs>
          <w:tab w:val="num" w:pos="6480"/>
        </w:tabs>
        <w:ind w:left="6480" w:hanging="360"/>
      </w:pPr>
      <w:rPr>
        <w:rFonts w:ascii="Wingdings" w:hAnsi="Wingdings"/>
      </w:rPr>
    </w:lvl>
  </w:abstractNum>
  <w:abstractNum w:abstractNumId="171" w15:restartNumberingAfterBreak="0">
    <w:nsid w:val="7223056D"/>
    <w:multiLevelType w:val="hybridMultilevel"/>
    <w:tmpl w:val="7223056D"/>
    <w:lvl w:ilvl="0" w:tplc="6CA0C4B6">
      <w:start w:val="1"/>
      <w:numFmt w:val="bullet"/>
      <w:lvlText w:val=""/>
      <w:lvlJc w:val="left"/>
      <w:pPr>
        <w:ind w:left="720" w:hanging="360"/>
      </w:pPr>
      <w:rPr>
        <w:rFonts w:ascii="Symbol" w:hAnsi="Symbol"/>
      </w:rPr>
    </w:lvl>
    <w:lvl w:ilvl="1" w:tplc="1E088074">
      <w:start w:val="1"/>
      <w:numFmt w:val="bullet"/>
      <w:lvlText w:val="o"/>
      <w:lvlJc w:val="left"/>
      <w:pPr>
        <w:tabs>
          <w:tab w:val="num" w:pos="1440"/>
        </w:tabs>
        <w:ind w:left="1440" w:hanging="360"/>
      </w:pPr>
      <w:rPr>
        <w:rFonts w:ascii="Courier New" w:hAnsi="Courier New"/>
      </w:rPr>
    </w:lvl>
    <w:lvl w:ilvl="2" w:tplc="714259CA">
      <w:start w:val="1"/>
      <w:numFmt w:val="bullet"/>
      <w:lvlText w:val=""/>
      <w:lvlJc w:val="left"/>
      <w:pPr>
        <w:tabs>
          <w:tab w:val="num" w:pos="2160"/>
        </w:tabs>
        <w:ind w:left="2160" w:hanging="360"/>
      </w:pPr>
      <w:rPr>
        <w:rFonts w:ascii="Wingdings" w:hAnsi="Wingdings"/>
      </w:rPr>
    </w:lvl>
    <w:lvl w:ilvl="3" w:tplc="F56A6422">
      <w:start w:val="1"/>
      <w:numFmt w:val="bullet"/>
      <w:lvlText w:val=""/>
      <w:lvlJc w:val="left"/>
      <w:pPr>
        <w:tabs>
          <w:tab w:val="num" w:pos="2880"/>
        </w:tabs>
        <w:ind w:left="2880" w:hanging="360"/>
      </w:pPr>
      <w:rPr>
        <w:rFonts w:ascii="Symbol" w:hAnsi="Symbol"/>
      </w:rPr>
    </w:lvl>
    <w:lvl w:ilvl="4" w:tplc="E7FE89EA">
      <w:start w:val="1"/>
      <w:numFmt w:val="bullet"/>
      <w:lvlText w:val="o"/>
      <w:lvlJc w:val="left"/>
      <w:pPr>
        <w:tabs>
          <w:tab w:val="num" w:pos="3600"/>
        </w:tabs>
        <w:ind w:left="3600" w:hanging="360"/>
      </w:pPr>
      <w:rPr>
        <w:rFonts w:ascii="Courier New" w:hAnsi="Courier New"/>
      </w:rPr>
    </w:lvl>
    <w:lvl w:ilvl="5" w:tplc="5BA43824">
      <w:start w:val="1"/>
      <w:numFmt w:val="bullet"/>
      <w:lvlText w:val=""/>
      <w:lvlJc w:val="left"/>
      <w:pPr>
        <w:tabs>
          <w:tab w:val="num" w:pos="4320"/>
        </w:tabs>
        <w:ind w:left="4320" w:hanging="360"/>
      </w:pPr>
      <w:rPr>
        <w:rFonts w:ascii="Wingdings" w:hAnsi="Wingdings"/>
      </w:rPr>
    </w:lvl>
    <w:lvl w:ilvl="6" w:tplc="33164B54">
      <w:start w:val="1"/>
      <w:numFmt w:val="bullet"/>
      <w:lvlText w:val=""/>
      <w:lvlJc w:val="left"/>
      <w:pPr>
        <w:tabs>
          <w:tab w:val="num" w:pos="5040"/>
        </w:tabs>
        <w:ind w:left="5040" w:hanging="360"/>
      </w:pPr>
      <w:rPr>
        <w:rFonts w:ascii="Symbol" w:hAnsi="Symbol"/>
      </w:rPr>
    </w:lvl>
    <w:lvl w:ilvl="7" w:tplc="6A106108">
      <w:start w:val="1"/>
      <w:numFmt w:val="bullet"/>
      <w:lvlText w:val="o"/>
      <w:lvlJc w:val="left"/>
      <w:pPr>
        <w:tabs>
          <w:tab w:val="num" w:pos="5760"/>
        </w:tabs>
        <w:ind w:left="5760" w:hanging="360"/>
      </w:pPr>
      <w:rPr>
        <w:rFonts w:ascii="Courier New" w:hAnsi="Courier New"/>
      </w:rPr>
    </w:lvl>
    <w:lvl w:ilvl="8" w:tplc="F6363E14">
      <w:start w:val="1"/>
      <w:numFmt w:val="bullet"/>
      <w:lvlText w:val=""/>
      <w:lvlJc w:val="left"/>
      <w:pPr>
        <w:tabs>
          <w:tab w:val="num" w:pos="6480"/>
        </w:tabs>
        <w:ind w:left="6480" w:hanging="360"/>
      </w:pPr>
      <w:rPr>
        <w:rFonts w:ascii="Wingdings" w:hAnsi="Wingdings"/>
      </w:rPr>
    </w:lvl>
  </w:abstractNum>
  <w:abstractNum w:abstractNumId="172" w15:restartNumberingAfterBreak="0">
    <w:nsid w:val="7223056E"/>
    <w:multiLevelType w:val="hybridMultilevel"/>
    <w:tmpl w:val="7223056E"/>
    <w:lvl w:ilvl="0" w:tplc="606CAD7C">
      <w:start w:val="1"/>
      <w:numFmt w:val="bullet"/>
      <w:lvlText w:val=""/>
      <w:lvlJc w:val="left"/>
      <w:pPr>
        <w:ind w:left="720" w:hanging="360"/>
      </w:pPr>
      <w:rPr>
        <w:rFonts w:ascii="Symbol" w:hAnsi="Symbol"/>
      </w:rPr>
    </w:lvl>
    <w:lvl w:ilvl="1" w:tplc="EBC81E32">
      <w:start w:val="1"/>
      <w:numFmt w:val="bullet"/>
      <w:lvlText w:val="o"/>
      <w:lvlJc w:val="left"/>
      <w:pPr>
        <w:tabs>
          <w:tab w:val="num" w:pos="1440"/>
        </w:tabs>
        <w:ind w:left="1440" w:hanging="360"/>
      </w:pPr>
      <w:rPr>
        <w:rFonts w:ascii="Courier New" w:hAnsi="Courier New"/>
      </w:rPr>
    </w:lvl>
    <w:lvl w:ilvl="2" w:tplc="E41A6C3E">
      <w:start w:val="1"/>
      <w:numFmt w:val="bullet"/>
      <w:lvlText w:val=""/>
      <w:lvlJc w:val="left"/>
      <w:pPr>
        <w:tabs>
          <w:tab w:val="num" w:pos="2160"/>
        </w:tabs>
        <w:ind w:left="2160" w:hanging="360"/>
      </w:pPr>
      <w:rPr>
        <w:rFonts w:ascii="Wingdings" w:hAnsi="Wingdings"/>
      </w:rPr>
    </w:lvl>
    <w:lvl w:ilvl="3" w:tplc="DD4E73DE">
      <w:start w:val="1"/>
      <w:numFmt w:val="bullet"/>
      <w:lvlText w:val=""/>
      <w:lvlJc w:val="left"/>
      <w:pPr>
        <w:tabs>
          <w:tab w:val="num" w:pos="2880"/>
        </w:tabs>
        <w:ind w:left="2880" w:hanging="360"/>
      </w:pPr>
      <w:rPr>
        <w:rFonts w:ascii="Symbol" w:hAnsi="Symbol"/>
      </w:rPr>
    </w:lvl>
    <w:lvl w:ilvl="4" w:tplc="7A2211C4">
      <w:start w:val="1"/>
      <w:numFmt w:val="bullet"/>
      <w:lvlText w:val="o"/>
      <w:lvlJc w:val="left"/>
      <w:pPr>
        <w:tabs>
          <w:tab w:val="num" w:pos="3600"/>
        </w:tabs>
        <w:ind w:left="3600" w:hanging="360"/>
      </w:pPr>
      <w:rPr>
        <w:rFonts w:ascii="Courier New" w:hAnsi="Courier New"/>
      </w:rPr>
    </w:lvl>
    <w:lvl w:ilvl="5" w:tplc="ECECBE88">
      <w:start w:val="1"/>
      <w:numFmt w:val="bullet"/>
      <w:lvlText w:val=""/>
      <w:lvlJc w:val="left"/>
      <w:pPr>
        <w:tabs>
          <w:tab w:val="num" w:pos="4320"/>
        </w:tabs>
        <w:ind w:left="4320" w:hanging="360"/>
      </w:pPr>
      <w:rPr>
        <w:rFonts w:ascii="Wingdings" w:hAnsi="Wingdings"/>
      </w:rPr>
    </w:lvl>
    <w:lvl w:ilvl="6" w:tplc="15D034D4">
      <w:start w:val="1"/>
      <w:numFmt w:val="bullet"/>
      <w:lvlText w:val=""/>
      <w:lvlJc w:val="left"/>
      <w:pPr>
        <w:tabs>
          <w:tab w:val="num" w:pos="5040"/>
        </w:tabs>
        <w:ind w:left="5040" w:hanging="360"/>
      </w:pPr>
      <w:rPr>
        <w:rFonts w:ascii="Symbol" w:hAnsi="Symbol"/>
      </w:rPr>
    </w:lvl>
    <w:lvl w:ilvl="7" w:tplc="FC749464">
      <w:start w:val="1"/>
      <w:numFmt w:val="bullet"/>
      <w:lvlText w:val="o"/>
      <w:lvlJc w:val="left"/>
      <w:pPr>
        <w:tabs>
          <w:tab w:val="num" w:pos="5760"/>
        </w:tabs>
        <w:ind w:left="5760" w:hanging="360"/>
      </w:pPr>
      <w:rPr>
        <w:rFonts w:ascii="Courier New" w:hAnsi="Courier New"/>
      </w:rPr>
    </w:lvl>
    <w:lvl w:ilvl="8" w:tplc="549A0442">
      <w:start w:val="1"/>
      <w:numFmt w:val="bullet"/>
      <w:lvlText w:val=""/>
      <w:lvlJc w:val="left"/>
      <w:pPr>
        <w:tabs>
          <w:tab w:val="num" w:pos="6480"/>
        </w:tabs>
        <w:ind w:left="6480" w:hanging="360"/>
      </w:pPr>
      <w:rPr>
        <w:rFonts w:ascii="Wingdings" w:hAnsi="Wingdings"/>
      </w:rPr>
    </w:lvl>
  </w:abstractNum>
  <w:abstractNum w:abstractNumId="173" w15:restartNumberingAfterBreak="0">
    <w:nsid w:val="7223056F"/>
    <w:multiLevelType w:val="hybridMultilevel"/>
    <w:tmpl w:val="7223056F"/>
    <w:lvl w:ilvl="0" w:tplc="2D00B228">
      <w:start w:val="1"/>
      <w:numFmt w:val="bullet"/>
      <w:lvlText w:val=""/>
      <w:lvlJc w:val="left"/>
      <w:pPr>
        <w:ind w:left="720" w:hanging="360"/>
      </w:pPr>
      <w:rPr>
        <w:rFonts w:ascii="Symbol" w:hAnsi="Symbol"/>
      </w:rPr>
    </w:lvl>
    <w:lvl w:ilvl="1" w:tplc="4CA4A6AA">
      <w:start w:val="1"/>
      <w:numFmt w:val="bullet"/>
      <w:lvlText w:val="o"/>
      <w:lvlJc w:val="left"/>
      <w:pPr>
        <w:ind w:left="1440" w:hanging="360"/>
      </w:pPr>
      <w:rPr>
        <w:rFonts w:ascii="Courier New" w:hAnsi="Courier New"/>
      </w:rPr>
    </w:lvl>
    <w:lvl w:ilvl="2" w:tplc="6082BCA4">
      <w:start w:val="1"/>
      <w:numFmt w:val="bullet"/>
      <w:lvlText w:val=""/>
      <w:lvlJc w:val="left"/>
      <w:pPr>
        <w:tabs>
          <w:tab w:val="num" w:pos="2160"/>
        </w:tabs>
        <w:ind w:left="2160" w:hanging="360"/>
      </w:pPr>
      <w:rPr>
        <w:rFonts w:ascii="Wingdings" w:hAnsi="Wingdings"/>
      </w:rPr>
    </w:lvl>
    <w:lvl w:ilvl="3" w:tplc="6BA61C9A">
      <w:start w:val="1"/>
      <w:numFmt w:val="bullet"/>
      <w:lvlText w:val=""/>
      <w:lvlJc w:val="left"/>
      <w:pPr>
        <w:tabs>
          <w:tab w:val="num" w:pos="2880"/>
        </w:tabs>
        <w:ind w:left="2880" w:hanging="360"/>
      </w:pPr>
      <w:rPr>
        <w:rFonts w:ascii="Symbol" w:hAnsi="Symbol"/>
      </w:rPr>
    </w:lvl>
    <w:lvl w:ilvl="4" w:tplc="898091AE">
      <w:start w:val="1"/>
      <w:numFmt w:val="bullet"/>
      <w:lvlText w:val="o"/>
      <w:lvlJc w:val="left"/>
      <w:pPr>
        <w:tabs>
          <w:tab w:val="num" w:pos="3600"/>
        </w:tabs>
        <w:ind w:left="3600" w:hanging="360"/>
      </w:pPr>
      <w:rPr>
        <w:rFonts w:ascii="Courier New" w:hAnsi="Courier New"/>
      </w:rPr>
    </w:lvl>
    <w:lvl w:ilvl="5" w:tplc="299248DE">
      <w:start w:val="1"/>
      <w:numFmt w:val="bullet"/>
      <w:lvlText w:val=""/>
      <w:lvlJc w:val="left"/>
      <w:pPr>
        <w:tabs>
          <w:tab w:val="num" w:pos="4320"/>
        </w:tabs>
        <w:ind w:left="4320" w:hanging="360"/>
      </w:pPr>
      <w:rPr>
        <w:rFonts w:ascii="Wingdings" w:hAnsi="Wingdings"/>
      </w:rPr>
    </w:lvl>
    <w:lvl w:ilvl="6" w:tplc="C99AD470">
      <w:start w:val="1"/>
      <w:numFmt w:val="bullet"/>
      <w:lvlText w:val=""/>
      <w:lvlJc w:val="left"/>
      <w:pPr>
        <w:tabs>
          <w:tab w:val="num" w:pos="5040"/>
        </w:tabs>
        <w:ind w:left="5040" w:hanging="360"/>
      </w:pPr>
      <w:rPr>
        <w:rFonts w:ascii="Symbol" w:hAnsi="Symbol"/>
      </w:rPr>
    </w:lvl>
    <w:lvl w:ilvl="7" w:tplc="44F28C6A">
      <w:start w:val="1"/>
      <w:numFmt w:val="bullet"/>
      <w:lvlText w:val="o"/>
      <w:lvlJc w:val="left"/>
      <w:pPr>
        <w:tabs>
          <w:tab w:val="num" w:pos="5760"/>
        </w:tabs>
        <w:ind w:left="5760" w:hanging="360"/>
      </w:pPr>
      <w:rPr>
        <w:rFonts w:ascii="Courier New" w:hAnsi="Courier New"/>
      </w:rPr>
    </w:lvl>
    <w:lvl w:ilvl="8" w:tplc="4BC083D0">
      <w:start w:val="1"/>
      <w:numFmt w:val="bullet"/>
      <w:lvlText w:val=""/>
      <w:lvlJc w:val="left"/>
      <w:pPr>
        <w:tabs>
          <w:tab w:val="num" w:pos="6480"/>
        </w:tabs>
        <w:ind w:left="6480" w:hanging="360"/>
      </w:pPr>
      <w:rPr>
        <w:rFonts w:ascii="Wingdings" w:hAnsi="Wingdings"/>
      </w:rPr>
    </w:lvl>
  </w:abstractNum>
  <w:abstractNum w:abstractNumId="174" w15:restartNumberingAfterBreak="0">
    <w:nsid w:val="72230570"/>
    <w:multiLevelType w:val="hybridMultilevel"/>
    <w:tmpl w:val="72230570"/>
    <w:lvl w:ilvl="0" w:tplc="52A021A8">
      <w:start w:val="1"/>
      <w:numFmt w:val="bullet"/>
      <w:lvlText w:val=""/>
      <w:lvlJc w:val="left"/>
      <w:pPr>
        <w:ind w:left="720" w:hanging="360"/>
      </w:pPr>
      <w:rPr>
        <w:rFonts w:ascii="Symbol" w:hAnsi="Symbol"/>
      </w:rPr>
    </w:lvl>
    <w:lvl w:ilvl="1" w:tplc="8884CE14">
      <w:start w:val="1"/>
      <w:numFmt w:val="bullet"/>
      <w:lvlText w:val="o"/>
      <w:lvlJc w:val="left"/>
      <w:pPr>
        <w:tabs>
          <w:tab w:val="num" w:pos="1440"/>
        </w:tabs>
        <w:ind w:left="1440" w:hanging="360"/>
      </w:pPr>
      <w:rPr>
        <w:rFonts w:ascii="Courier New" w:hAnsi="Courier New"/>
      </w:rPr>
    </w:lvl>
    <w:lvl w:ilvl="2" w:tplc="5664AD9A">
      <w:start w:val="1"/>
      <w:numFmt w:val="bullet"/>
      <w:lvlText w:val=""/>
      <w:lvlJc w:val="left"/>
      <w:pPr>
        <w:tabs>
          <w:tab w:val="num" w:pos="2160"/>
        </w:tabs>
        <w:ind w:left="2160" w:hanging="360"/>
      </w:pPr>
      <w:rPr>
        <w:rFonts w:ascii="Wingdings" w:hAnsi="Wingdings"/>
      </w:rPr>
    </w:lvl>
    <w:lvl w:ilvl="3" w:tplc="9FFC3068">
      <w:start w:val="1"/>
      <w:numFmt w:val="bullet"/>
      <w:lvlText w:val=""/>
      <w:lvlJc w:val="left"/>
      <w:pPr>
        <w:tabs>
          <w:tab w:val="num" w:pos="2880"/>
        </w:tabs>
        <w:ind w:left="2880" w:hanging="360"/>
      </w:pPr>
      <w:rPr>
        <w:rFonts w:ascii="Symbol" w:hAnsi="Symbol"/>
      </w:rPr>
    </w:lvl>
    <w:lvl w:ilvl="4" w:tplc="76B21E24">
      <w:start w:val="1"/>
      <w:numFmt w:val="bullet"/>
      <w:lvlText w:val="o"/>
      <w:lvlJc w:val="left"/>
      <w:pPr>
        <w:tabs>
          <w:tab w:val="num" w:pos="3600"/>
        </w:tabs>
        <w:ind w:left="3600" w:hanging="360"/>
      </w:pPr>
      <w:rPr>
        <w:rFonts w:ascii="Courier New" w:hAnsi="Courier New"/>
      </w:rPr>
    </w:lvl>
    <w:lvl w:ilvl="5" w:tplc="C1F8BB48">
      <w:start w:val="1"/>
      <w:numFmt w:val="bullet"/>
      <w:lvlText w:val=""/>
      <w:lvlJc w:val="left"/>
      <w:pPr>
        <w:tabs>
          <w:tab w:val="num" w:pos="4320"/>
        </w:tabs>
        <w:ind w:left="4320" w:hanging="360"/>
      </w:pPr>
      <w:rPr>
        <w:rFonts w:ascii="Wingdings" w:hAnsi="Wingdings"/>
      </w:rPr>
    </w:lvl>
    <w:lvl w:ilvl="6" w:tplc="35382C52">
      <w:start w:val="1"/>
      <w:numFmt w:val="bullet"/>
      <w:lvlText w:val=""/>
      <w:lvlJc w:val="left"/>
      <w:pPr>
        <w:tabs>
          <w:tab w:val="num" w:pos="5040"/>
        </w:tabs>
        <w:ind w:left="5040" w:hanging="360"/>
      </w:pPr>
      <w:rPr>
        <w:rFonts w:ascii="Symbol" w:hAnsi="Symbol"/>
      </w:rPr>
    </w:lvl>
    <w:lvl w:ilvl="7" w:tplc="AC40AAE2">
      <w:start w:val="1"/>
      <w:numFmt w:val="bullet"/>
      <w:lvlText w:val="o"/>
      <w:lvlJc w:val="left"/>
      <w:pPr>
        <w:tabs>
          <w:tab w:val="num" w:pos="5760"/>
        </w:tabs>
        <w:ind w:left="5760" w:hanging="360"/>
      </w:pPr>
      <w:rPr>
        <w:rFonts w:ascii="Courier New" w:hAnsi="Courier New"/>
      </w:rPr>
    </w:lvl>
    <w:lvl w:ilvl="8" w:tplc="40488560">
      <w:start w:val="1"/>
      <w:numFmt w:val="bullet"/>
      <w:lvlText w:val=""/>
      <w:lvlJc w:val="left"/>
      <w:pPr>
        <w:tabs>
          <w:tab w:val="num" w:pos="6480"/>
        </w:tabs>
        <w:ind w:left="6480" w:hanging="360"/>
      </w:pPr>
      <w:rPr>
        <w:rFonts w:ascii="Wingdings" w:hAnsi="Wingdings"/>
      </w:rPr>
    </w:lvl>
  </w:abstractNum>
  <w:abstractNum w:abstractNumId="175" w15:restartNumberingAfterBreak="0">
    <w:nsid w:val="72230571"/>
    <w:multiLevelType w:val="hybridMultilevel"/>
    <w:tmpl w:val="72230571"/>
    <w:lvl w:ilvl="0" w:tplc="4C500742">
      <w:start w:val="1"/>
      <w:numFmt w:val="bullet"/>
      <w:lvlText w:val=""/>
      <w:lvlJc w:val="left"/>
      <w:pPr>
        <w:ind w:left="720" w:hanging="360"/>
      </w:pPr>
      <w:rPr>
        <w:rFonts w:ascii="Symbol" w:hAnsi="Symbol"/>
      </w:rPr>
    </w:lvl>
    <w:lvl w:ilvl="1" w:tplc="D76CD37C">
      <w:start w:val="1"/>
      <w:numFmt w:val="bullet"/>
      <w:lvlText w:val="o"/>
      <w:lvlJc w:val="left"/>
      <w:pPr>
        <w:tabs>
          <w:tab w:val="num" w:pos="1440"/>
        </w:tabs>
        <w:ind w:left="1440" w:hanging="360"/>
      </w:pPr>
      <w:rPr>
        <w:rFonts w:ascii="Courier New" w:hAnsi="Courier New"/>
      </w:rPr>
    </w:lvl>
    <w:lvl w:ilvl="2" w:tplc="D624D394">
      <w:start w:val="1"/>
      <w:numFmt w:val="bullet"/>
      <w:lvlText w:val=""/>
      <w:lvlJc w:val="left"/>
      <w:pPr>
        <w:tabs>
          <w:tab w:val="num" w:pos="2160"/>
        </w:tabs>
        <w:ind w:left="2160" w:hanging="360"/>
      </w:pPr>
      <w:rPr>
        <w:rFonts w:ascii="Wingdings" w:hAnsi="Wingdings"/>
      </w:rPr>
    </w:lvl>
    <w:lvl w:ilvl="3" w:tplc="7212B264">
      <w:start w:val="1"/>
      <w:numFmt w:val="bullet"/>
      <w:lvlText w:val=""/>
      <w:lvlJc w:val="left"/>
      <w:pPr>
        <w:tabs>
          <w:tab w:val="num" w:pos="2880"/>
        </w:tabs>
        <w:ind w:left="2880" w:hanging="360"/>
      </w:pPr>
      <w:rPr>
        <w:rFonts w:ascii="Symbol" w:hAnsi="Symbol"/>
      </w:rPr>
    </w:lvl>
    <w:lvl w:ilvl="4" w:tplc="2DCE9CA0">
      <w:start w:val="1"/>
      <w:numFmt w:val="bullet"/>
      <w:lvlText w:val="o"/>
      <w:lvlJc w:val="left"/>
      <w:pPr>
        <w:tabs>
          <w:tab w:val="num" w:pos="3600"/>
        </w:tabs>
        <w:ind w:left="3600" w:hanging="360"/>
      </w:pPr>
      <w:rPr>
        <w:rFonts w:ascii="Courier New" w:hAnsi="Courier New"/>
      </w:rPr>
    </w:lvl>
    <w:lvl w:ilvl="5" w:tplc="436E5ED8">
      <w:start w:val="1"/>
      <w:numFmt w:val="bullet"/>
      <w:lvlText w:val=""/>
      <w:lvlJc w:val="left"/>
      <w:pPr>
        <w:tabs>
          <w:tab w:val="num" w:pos="4320"/>
        </w:tabs>
        <w:ind w:left="4320" w:hanging="360"/>
      </w:pPr>
      <w:rPr>
        <w:rFonts w:ascii="Wingdings" w:hAnsi="Wingdings"/>
      </w:rPr>
    </w:lvl>
    <w:lvl w:ilvl="6" w:tplc="F6C822B8">
      <w:start w:val="1"/>
      <w:numFmt w:val="bullet"/>
      <w:lvlText w:val=""/>
      <w:lvlJc w:val="left"/>
      <w:pPr>
        <w:tabs>
          <w:tab w:val="num" w:pos="5040"/>
        </w:tabs>
        <w:ind w:left="5040" w:hanging="360"/>
      </w:pPr>
      <w:rPr>
        <w:rFonts w:ascii="Symbol" w:hAnsi="Symbol"/>
      </w:rPr>
    </w:lvl>
    <w:lvl w:ilvl="7" w:tplc="35A09E4C">
      <w:start w:val="1"/>
      <w:numFmt w:val="bullet"/>
      <w:lvlText w:val="o"/>
      <w:lvlJc w:val="left"/>
      <w:pPr>
        <w:tabs>
          <w:tab w:val="num" w:pos="5760"/>
        </w:tabs>
        <w:ind w:left="5760" w:hanging="360"/>
      </w:pPr>
      <w:rPr>
        <w:rFonts w:ascii="Courier New" w:hAnsi="Courier New"/>
      </w:rPr>
    </w:lvl>
    <w:lvl w:ilvl="8" w:tplc="38CC54E2">
      <w:start w:val="1"/>
      <w:numFmt w:val="bullet"/>
      <w:lvlText w:val=""/>
      <w:lvlJc w:val="left"/>
      <w:pPr>
        <w:tabs>
          <w:tab w:val="num" w:pos="6480"/>
        </w:tabs>
        <w:ind w:left="6480" w:hanging="360"/>
      </w:pPr>
      <w:rPr>
        <w:rFonts w:ascii="Wingdings" w:hAnsi="Wingdings"/>
      </w:rPr>
    </w:lvl>
  </w:abstractNum>
  <w:abstractNum w:abstractNumId="176" w15:restartNumberingAfterBreak="0">
    <w:nsid w:val="72230572"/>
    <w:multiLevelType w:val="hybridMultilevel"/>
    <w:tmpl w:val="72230572"/>
    <w:lvl w:ilvl="0" w:tplc="716A8AAA">
      <w:start w:val="1"/>
      <w:numFmt w:val="bullet"/>
      <w:lvlText w:val=""/>
      <w:lvlJc w:val="left"/>
      <w:pPr>
        <w:ind w:left="720" w:hanging="360"/>
      </w:pPr>
      <w:rPr>
        <w:rFonts w:ascii="Symbol" w:hAnsi="Symbol"/>
      </w:rPr>
    </w:lvl>
    <w:lvl w:ilvl="1" w:tplc="21FC2B46">
      <w:start w:val="1"/>
      <w:numFmt w:val="bullet"/>
      <w:lvlText w:val="o"/>
      <w:lvlJc w:val="left"/>
      <w:pPr>
        <w:tabs>
          <w:tab w:val="num" w:pos="1440"/>
        </w:tabs>
        <w:ind w:left="1440" w:hanging="360"/>
      </w:pPr>
      <w:rPr>
        <w:rFonts w:ascii="Courier New" w:hAnsi="Courier New"/>
      </w:rPr>
    </w:lvl>
    <w:lvl w:ilvl="2" w:tplc="6EFE8C64">
      <w:start w:val="1"/>
      <w:numFmt w:val="bullet"/>
      <w:lvlText w:val=""/>
      <w:lvlJc w:val="left"/>
      <w:pPr>
        <w:tabs>
          <w:tab w:val="num" w:pos="2160"/>
        </w:tabs>
        <w:ind w:left="2160" w:hanging="360"/>
      </w:pPr>
      <w:rPr>
        <w:rFonts w:ascii="Wingdings" w:hAnsi="Wingdings"/>
      </w:rPr>
    </w:lvl>
    <w:lvl w:ilvl="3" w:tplc="826877CA">
      <w:start w:val="1"/>
      <w:numFmt w:val="bullet"/>
      <w:lvlText w:val=""/>
      <w:lvlJc w:val="left"/>
      <w:pPr>
        <w:tabs>
          <w:tab w:val="num" w:pos="2880"/>
        </w:tabs>
        <w:ind w:left="2880" w:hanging="360"/>
      </w:pPr>
      <w:rPr>
        <w:rFonts w:ascii="Symbol" w:hAnsi="Symbol"/>
      </w:rPr>
    </w:lvl>
    <w:lvl w:ilvl="4" w:tplc="FB84C096">
      <w:start w:val="1"/>
      <w:numFmt w:val="bullet"/>
      <w:lvlText w:val="o"/>
      <w:lvlJc w:val="left"/>
      <w:pPr>
        <w:tabs>
          <w:tab w:val="num" w:pos="3600"/>
        </w:tabs>
        <w:ind w:left="3600" w:hanging="360"/>
      </w:pPr>
      <w:rPr>
        <w:rFonts w:ascii="Courier New" w:hAnsi="Courier New"/>
      </w:rPr>
    </w:lvl>
    <w:lvl w:ilvl="5" w:tplc="DBF25F8A">
      <w:start w:val="1"/>
      <w:numFmt w:val="bullet"/>
      <w:lvlText w:val=""/>
      <w:lvlJc w:val="left"/>
      <w:pPr>
        <w:tabs>
          <w:tab w:val="num" w:pos="4320"/>
        </w:tabs>
        <w:ind w:left="4320" w:hanging="360"/>
      </w:pPr>
      <w:rPr>
        <w:rFonts w:ascii="Wingdings" w:hAnsi="Wingdings"/>
      </w:rPr>
    </w:lvl>
    <w:lvl w:ilvl="6" w:tplc="C8421AE4">
      <w:start w:val="1"/>
      <w:numFmt w:val="bullet"/>
      <w:lvlText w:val=""/>
      <w:lvlJc w:val="left"/>
      <w:pPr>
        <w:tabs>
          <w:tab w:val="num" w:pos="5040"/>
        </w:tabs>
        <w:ind w:left="5040" w:hanging="360"/>
      </w:pPr>
      <w:rPr>
        <w:rFonts w:ascii="Symbol" w:hAnsi="Symbol"/>
      </w:rPr>
    </w:lvl>
    <w:lvl w:ilvl="7" w:tplc="F7AE67C2">
      <w:start w:val="1"/>
      <w:numFmt w:val="bullet"/>
      <w:lvlText w:val="o"/>
      <w:lvlJc w:val="left"/>
      <w:pPr>
        <w:tabs>
          <w:tab w:val="num" w:pos="5760"/>
        </w:tabs>
        <w:ind w:left="5760" w:hanging="360"/>
      </w:pPr>
      <w:rPr>
        <w:rFonts w:ascii="Courier New" w:hAnsi="Courier New"/>
      </w:rPr>
    </w:lvl>
    <w:lvl w:ilvl="8" w:tplc="03A67986">
      <w:start w:val="1"/>
      <w:numFmt w:val="bullet"/>
      <w:lvlText w:val=""/>
      <w:lvlJc w:val="left"/>
      <w:pPr>
        <w:tabs>
          <w:tab w:val="num" w:pos="6480"/>
        </w:tabs>
        <w:ind w:left="6480" w:hanging="360"/>
      </w:pPr>
      <w:rPr>
        <w:rFonts w:ascii="Wingdings" w:hAnsi="Wingdings"/>
      </w:rPr>
    </w:lvl>
  </w:abstractNum>
  <w:abstractNum w:abstractNumId="177" w15:restartNumberingAfterBreak="0">
    <w:nsid w:val="72230573"/>
    <w:multiLevelType w:val="hybridMultilevel"/>
    <w:tmpl w:val="72230573"/>
    <w:lvl w:ilvl="0" w:tplc="8EB64CCA">
      <w:start w:val="1"/>
      <w:numFmt w:val="bullet"/>
      <w:lvlText w:val=""/>
      <w:lvlJc w:val="left"/>
      <w:pPr>
        <w:ind w:left="720" w:hanging="360"/>
      </w:pPr>
      <w:rPr>
        <w:rFonts w:ascii="Symbol" w:hAnsi="Symbol"/>
      </w:rPr>
    </w:lvl>
    <w:lvl w:ilvl="1" w:tplc="4FFA9DAE">
      <w:start w:val="1"/>
      <w:numFmt w:val="bullet"/>
      <w:lvlText w:val="o"/>
      <w:lvlJc w:val="left"/>
      <w:pPr>
        <w:tabs>
          <w:tab w:val="num" w:pos="1440"/>
        </w:tabs>
        <w:ind w:left="1440" w:hanging="360"/>
      </w:pPr>
      <w:rPr>
        <w:rFonts w:ascii="Courier New" w:hAnsi="Courier New"/>
      </w:rPr>
    </w:lvl>
    <w:lvl w:ilvl="2" w:tplc="BFBC1E42">
      <w:start w:val="1"/>
      <w:numFmt w:val="bullet"/>
      <w:lvlText w:val=""/>
      <w:lvlJc w:val="left"/>
      <w:pPr>
        <w:tabs>
          <w:tab w:val="num" w:pos="2160"/>
        </w:tabs>
        <w:ind w:left="2160" w:hanging="360"/>
      </w:pPr>
      <w:rPr>
        <w:rFonts w:ascii="Wingdings" w:hAnsi="Wingdings"/>
      </w:rPr>
    </w:lvl>
    <w:lvl w:ilvl="3" w:tplc="48D6D024">
      <w:start w:val="1"/>
      <w:numFmt w:val="bullet"/>
      <w:lvlText w:val=""/>
      <w:lvlJc w:val="left"/>
      <w:pPr>
        <w:tabs>
          <w:tab w:val="num" w:pos="2880"/>
        </w:tabs>
        <w:ind w:left="2880" w:hanging="360"/>
      </w:pPr>
      <w:rPr>
        <w:rFonts w:ascii="Symbol" w:hAnsi="Symbol"/>
      </w:rPr>
    </w:lvl>
    <w:lvl w:ilvl="4" w:tplc="A802BF7C">
      <w:start w:val="1"/>
      <w:numFmt w:val="bullet"/>
      <w:lvlText w:val="o"/>
      <w:lvlJc w:val="left"/>
      <w:pPr>
        <w:tabs>
          <w:tab w:val="num" w:pos="3600"/>
        </w:tabs>
        <w:ind w:left="3600" w:hanging="360"/>
      </w:pPr>
      <w:rPr>
        <w:rFonts w:ascii="Courier New" w:hAnsi="Courier New"/>
      </w:rPr>
    </w:lvl>
    <w:lvl w:ilvl="5" w:tplc="A8E6FA2A">
      <w:start w:val="1"/>
      <w:numFmt w:val="bullet"/>
      <w:lvlText w:val=""/>
      <w:lvlJc w:val="left"/>
      <w:pPr>
        <w:tabs>
          <w:tab w:val="num" w:pos="4320"/>
        </w:tabs>
        <w:ind w:left="4320" w:hanging="360"/>
      </w:pPr>
      <w:rPr>
        <w:rFonts w:ascii="Wingdings" w:hAnsi="Wingdings"/>
      </w:rPr>
    </w:lvl>
    <w:lvl w:ilvl="6" w:tplc="A8601004">
      <w:start w:val="1"/>
      <w:numFmt w:val="bullet"/>
      <w:lvlText w:val=""/>
      <w:lvlJc w:val="left"/>
      <w:pPr>
        <w:tabs>
          <w:tab w:val="num" w:pos="5040"/>
        </w:tabs>
        <w:ind w:left="5040" w:hanging="360"/>
      </w:pPr>
      <w:rPr>
        <w:rFonts w:ascii="Symbol" w:hAnsi="Symbol"/>
      </w:rPr>
    </w:lvl>
    <w:lvl w:ilvl="7" w:tplc="C2CCC858">
      <w:start w:val="1"/>
      <w:numFmt w:val="bullet"/>
      <w:lvlText w:val="o"/>
      <w:lvlJc w:val="left"/>
      <w:pPr>
        <w:tabs>
          <w:tab w:val="num" w:pos="5760"/>
        </w:tabs>
        <w:ind w:left="5760" w:hanging="360"/>
      </w:pPr>
      <w:rPr>
        <w:rFonts w:ascii="Courier New" w:hAnsi="Courier New"/>
      </w:rPr>
    </w:lvl>
    <w:lvl w:ilvl="8" w:tplc="94BED0B0">
      <w:start w:val="1"/>
      <w:numFmt w:val="bullet"/>
      <w:lvlText w:val=""/>
      <w:lvlJc w:val="left"/>
      <w:pPr>
        <w:tabs>
          <w:tab w:val="num" w:pos="6480"/>
        </w:tabs>
        <w:ind w:left="6480" w:hanging="360"/>
      </w:pPr>
      <w:rPr>
        <w:rFonts w:ascii="Wingdings" w:hAnsi="Wingdings"/>
      </w:rPr>
    </w:lvl>
  </w:abstractNum>
  <w:abstractNum w:abstractNumId="178" w15:restartNumberingAfterBreak="0">
    <w:nsid w:val="72230574"/>
    <w:multiLevelType w:val="hybridMultilevel"/>
    <w:tmpl w:val="72230574"/>
    <w:lvl w:ilvl="0" w:tplc="893A0288">
      <w:start w:val="1"/>
      <w:numFmt w:val="bullet"/>
      <w:lvlText w:val=""/>
      <w:lvlJc w:val="left"/>
      <w:pPr>
        <w:ind w:left="720" w:hanging="360"/>
      </w:pPr>
      <w:rPr>
        <w:rFonts w:ascii="Symbol" w:hAnsi="Symbol"/>
      </w:rPr>
    </w:lvl>
    <w:lvl w:ilvl="1" w:tplc="7DEE934E">
      <w:start w:val="1"/>
      <w:numFmt w:val="bullet"/>
      <w:lvlText w:val="o"/>
      <w:lvlJc w:val="left"/>
      <w:pPr>
        <w:tabs>
          <w:tab w:val="num" w:pos="1440"/>
        </w:tabs>
        <w:ind w:left="1440" w:hanging="360"/>
      </w:pPr>
      <w:rPr>
        <w:rFonts w:ascii="Courier New" w:hAnsi="Courier New"/>
      </w:rPr>
    </w:lvl>
    <w:lvl w:ilvl="2" w:tplc="9F7CF8F0">
      <w:start w:val="1"/>
      <w:numFmt w:val="bullet"/>
      <w:lvlText w:val=""/>
      <w:lvlJc w:val="left"/>
      <w:pPr>
        <w:tabs>
          <w:tab w:val="num" w:pos="2160"/>
        </w:tabs>
        <w:ind w:left="2160" w:hanging="360"/>
      </w:pPr>
      <w:rPr>
        <w:rFonts w:ascii="Wingdings" w:hAnsi="Wingdings"/>
      </w:rPr>
    </w:lvl>
    <w:lvl w:ilvl="3" w:tplc="BCC8FADA">
      <w:start w:val="1"/>
      <w:numFmt w:val="bullet"/>
      <w:lvlText w:val=""/>
      <w:lvlJc w:val="left"/>
      <w:pPr>
        <w:tabs>
          <w:tab w:val="num" w:pos="2880"/>
        </w:tabs>
        <w:ind w:left="2880" w:hanging="360"/>
      </w:pPr>
      <w:rPr>
        <w:rFonts w:ascii="Symbol" w:hAnsi="Symbol"/>
      </w:rPr>
    </w:lvl>
    <w:lvl w:ilvl="4" w:tplc="0A3CE826">
      <w:start w:val="1"/>
      <w:numFmt w:val="bullet"/>
      <w:lvlText w:val="o"/>
      <w:lvlJc w:val="left"/>
      <w:pPr>
        <w:tabs>
          <w:tab w:val="num" w:pos="3600"/>
        </w:tabs>
        <w:ind w:left="3600" w:hanging="360"/>
      </w:pPr>
      <w:rPr>
        <w:rFonts w:ascii="Courier New" w:hAnsi="Courier New"/>
      </w:rPr>
    </w:lvl>
    <w:lvl w:ilvl="5" w:tplc="78F0EF16">
      <w:start w:val="1"/>
      <w:numFmt w:val="bullet"/>
      <w:lvlText w:val=""/>
      <w:lvlJc w:val="left"/>
      <w:pPr>
        <w:tabs>
          <w:tab w:val="num" w:pos="4320"/>
        </w:tabs>
        <w:ind w:left="4320" w:hanging="360"/>
      </w:pPr>
      <w:rPr>
        <w:rFonts w:ascii="Wingdings" w:hAnsi="Wingdings"/>
      </w:rPr>
    </w:lvl>
    <w:lvl w:ilvl="6" w:tplc="B0AEAAAA">
      <w:start w:val="1"/>
      <w:numFmt w:val="bullet"/>
      <w:lvlText w:val=""/>
      <w:lvlJc w:val="left"/>
      <w:pPr>
        <w:tabs>
          <w:tab w:val="num" w:pos="5040"/>
        </w:tabs>
        <w:ind w:left="5040" w:hanging="360"/>
      </w:pPr>
      <w:rPr>
        <w:rFonts w:ascii="Symbol" w:hAnsi="Symbol"/>
      </w:rPr>
    </w:lvl>
    <w:lvl w:ilvl="7" w:tplc="B2B68158">
      <w:start w:val="1"/>
      <w:numFmt w:val="bullet"/>
      <w:lvlText w:val="o"/>
      <w:lvlJc w:val="left"/>
      <w:pPr>
        <w:tabs>
          <w:tab w:val="num" w:pos="5760"/>
        </w:tabs>
        <w:ind w:left="5760" w:hanging="360"/>
      </w:pPr>
      <w:rPr>
        <w:rFonts w:ascii="Courier New" w:hAnsi="Courier New"/>
      </w:rPr>
    </w:lvl>
    <w:lvl w:ilvl="8" w:tplc="9F306678">
      <w:start w:val="1"/>
      <w:numFmt w:val="bullet"/>
      <w:lvlText w:val=""/>
      <w:lvlJc w:val="left"/>
      <w:pPr>
        <w:tabs>
          <w:tab w:val="num" w:pos="6480"/>
        </w:tabs>
        <w:ind w:left="6480" w:hanging="360"/>
      </w:pPr>
      <w:rPr>
        <w:rFonts w:ascii="Wingdings" w:hAnsi="Wingdings"/>
      </w:rPr>
    </w:lvl>
  </w:abstractNum>
  <w:abstractNum w:abstractNumId="179" w15:restartNumberingAfterBreak="0">
    <w:nsid w:val="72230575"/>
    <w:multiLevelType w:val="multilevel"/>
    <w:tmpl w:val="72230575"/>
    <w:lvl w:ilvl="0">
      <w:start w:val="1"/>
      <w:numFmt w:val="lowerLetter"/>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0" w15:restartNumberingAfterBreak="0">
    <w:nsid w:val="72230576"/>
    <w:multiLevelType w:val="hybridMultilevel"/>
    <w:tmpl w:val="72230576"/>
    <w:lvl w:ilvl="0" w:tplc="F4E6CDB4">
      <w:start w:val="1"/>
      <w:numFmt w:val="bullet"/>
      <w:lvlText w:val=""/>
      <w:lvlJc w:val="left"/>
      <w:pPr>
        <w:ind w:left="720" w:hanging="360"/>
      </w:pPr>
      <w:rPr>
        <w:rFonts w:ascii="Symbol" w:hAnsi="Symbol"/>
      </w:rPr>
    </w:lvl>
    <w:lvl w:ilvl="1" w:tplc="051C59F4">
      <w:start w:val="1"/>
      <w:numFmt w:val="bullet"/>
      <w:lvlText w:val="o"/>
      <w:lvlJc w:val="left"/>
      <w:pPr>
        <w:tabs>
          <w:tab w:val="num" w:pos="1440"/>
        </w:tabs>
        <w:ind w:left="1440" w:hanging="360"/>
      </w:pPr>
      <w:rPr>
        <w:rFonts w:ascii="Courier New" w:hAnsi="Courier New"/>
      </w:rPr>
    </w:lvl>
    <w:lvl w:ilvl="2" w:tplc="64DEF572">
      <w:start w:val="1"/>
      <w:numFmt w:val="bullet"/>
      <w:lvlText w:val=""/>
      <w:lvlJc w:val="left"/>
      <w:pPr>
        <w:tabs>
          <w:tab w:val="num" w:pos="2160"/>
        </w:tabs>
        <w:ind w:left="2160" w:hanging="360"/>
      </w:pPr>
      <w:rPr>
        <w:rFonts w:ascii="Wingdings" w:hAnsi="Wingdings"/>
      </w:rPr>
    </w:lvl>
    <w:lvl w:ilvl="3" w:tplc="9A7610DC">
      <w:start w:val="1"/>
      <w:numFmt w:val="bullet"/>
      <w:lvlText w:val=""/>
      <w:lvlJc w:val="left"/>
      <w:pPr>
        <w:tabs>
          <w:tab w:val="num" w:pos="2880"/>
        </w:tabs>
        <w:ind w:left="2880" w:hanging="360"/>
      </w:pPr>
      <w:rPr>
        <w:rFonts w:ascii="Symbol" w:hAnsi="Symbol"/>
      </w:rPr>
    </w:lvl>
    <w:lvl w:ilvl="4" w:tplc="1F08E528">
      <w:start w:val="1"/>
      <w:numFmt w:val="bullet"/>
      <w:lvlText w:val="o"/>
      <w:lvlJc w:val="left"/>
      <w:pPr>
        <w:tabs>
          <w:tab w:val="num" w:pos="3600"/>
        </w:tabs>
        <w:ind w:left="3600" w:hanging="360"/>
      </w:pPr>
      <w:rPr>
        <w:rFonts w:ascii="Courier New" w:hAnsi="Courier New"/>
      </w:rPr>
    </w:lvl>
    <w:lvl w:ilvl="5" w:tplc="BBB47FFC">
      <w:start w:val="1"/>
      <w:numFmt w:val="bullet"/>
      <w:lvlText w:val=""/>
      <w:lvlJc w:val="left"/>
      <w:pPr>
        <w:tabs>
          <w:tab w:val="num" w:pos="4320"/>
        </w:tabs>
        <w:ind w:left="4320" w:hanging="360"/>
      </w:pPr>
      <w:rPr>
        <w:rFonts w:ascii="Wingdings" w:hAnsi="Wingdings"/>
      </w:rPr>
    </w:lvl>
    <w:lvl w:ilvl="6" w:tplc="69B015E4">
      <w:start w:val="1"/>
      <w:numFmt w:val="bullet"/>
      <w:lvlText w:val=""/>
      <w:lvlJc w:val="left"/>
      <w:pPr>
        <w:tabs>
          <w:tab w:val="num" w:pos="5040"/>
        </w:tabs>
        <w:ind w:left="5040" w:hanging="360"/>
      </w:pPr>
      <w:rPr>
        <w:rFonts w:ascii="Symbol" w:hAnsi="Symbol"/>
      </w:rPr>
    </w:lvl>
    <w:lvl w:ilvl="7" w:tplc="0DC4746E">
      <w:start w:val="1"/>
      <w:numFmt w:val="bullet"/>
      <w:lvlText w:val="o"/>
      <w:lvlJc w:val="left"/>
      <w:pPr>
        <w:tabs>
          <w:tab w:val="num" w:pos="5760"/>
        </w:tabs>
        <w:ind w:left="5760" w:hanging="360"/>
      </w:pPr>
      <w:rPr>
        <w:rFonts w:ascii="Courier New" w:hAnsi="Courier New"/>
      </w:rPr>
    </w:lvl>
    <w:lvl w:ilvl="8" w:tplc="35BE44C4">
      <w:start w:val="1"/>
      <w:numFmt w:val="bullet"/>
      <w:lvlText w:val=""/>
      <w:lvlJc w:val="left"/>
      <w:pPr>
        <w:tabs>
          <w:tab w:val="num" w:pos="6480"/>
        </w:tabs>
        <w:ind w:left="6480" w:hanging="360"/>
      </w:pPr>
      <w:rPr>
        <w:rFonts w:ascii="Wingdings" w:hAnsi="Wingdings"/>
      </w:rPr>
    </w:lvl>
  </w:abstractNum>
  <w:abstractNum w:abstractNumId="181" w15:restartNumberingAfterBreak="0">
    <w:nsid w:val="72230577"/>
    <w:multiLevelType w:val="hybridMultilevel"/>
    <w:tmpl w:val="72230577"/>
    <w:lvl w:ilvl="0" w:tplc="55DEAFB8">
      <w:start w:val="1"/>
      <w:numFmt w:val="bullet"/>
      <w:lvlText w:val=""/>
      <w:lvlJc w:val="left"/>
      <w:pPr>
        <w:ind w:left="720" w:hanging="360"/>
      </w:pPr>
      <w:rPr>
        <w:rFonts w:ascii="Symbol" w:hAnsi="Symbol"/>
      </w:rPr>
    </w:lvl>
    <w:lvl w:ilvl="1" w:tplc="CEEAA592">
      <w:start w:val="1"/>
      <w:numFmt w:val="bullet"/>
      <w:lvlText w:val="o"/>
      <w:lvlJc w:val="left"/>
      <w:pPr>
        <w:tabs>
          <w:tab w:val="num" w:pos="1440"/>
        </w:tabs>
        <w:ind w:left="1440" w:hanging="360"/>
      </w:pPr>
      <w:rPr>
        <w:rFonts w:ascii="Courier New" w:hAnsi="Courier New"/>
      </w:rPr>
    </w:lvl>
    <w:lvl w:ilvl="2" w:tplc="61F8F406">
      <w:start w:val="1"/>
      <w:numFmt w:val="bullet"/>
      <w:lvlText w:val=""/>
      <w:lvlJc w:val="left"/>
      <w:pPr>
        <w:tabs>
          <w:tab w:val="num" w:pos="2160"/>
        </w:tabs>
        <w:ind w:left="2160" w:hanging="360"/>
      </w:pPr>
      <w:rPr>
        <w:rFonts w:ascii="Wingdings" w:hAnsi="Wingdings"/>
      </w:rPr>
    </w:lvl>
    <w:lvl w:ilvl="3" w:tplc="2346B16A">
      <w:start w:val="1"/>
      <w:numFmt w:val="bullet"/>
      <w:lvlText w:val=""/>
      <w:lvlJc w:val="left"/>
      <w:pPr>
        <w:tabs>
          <w:tab w:val="num" w:pos="2880"/>
        </w:tabs>
        <w:ind w:left="2880" w:hanging="360"/>
      </w:pPr>
      <w:rPr>
        <w:rFonts w:ascii="Symbol" w:hAnsi="Symbol"/>
      </w:rPr>
    </w:lvl>
    <w:lvl w:ilvl="4" w:tplc="A37C6338">
      <w:start w:val="1"/>
      <w:numFmt w:val="bullet"/>
      <w:lvlText w:val="o"/>
      <w:lvlJc w:val="left"/>
      <w:pPr>
        <w:tabs>
          <w:tab w:val="num" w:pos="3600"/>
        </w:tabs>
        <w:ind w:left="3600" w:hanging="360"/>
      </w:pPr>
      <w:rPr>
        <w:rFonts w:ascii="Courier New" w:hAnsi="Courier New"/>
      </w:rPr>
    </w:lvl>
    <w:lvl w:ilvl="5" w:tplc="EB4A39E6">
      <w:start w:val="1"/>
      <w:numFmt w:val="bullet"/>
      <w:lvlText w:val=""/>
      <w:lvlJc w:val="left"/>
      <w:pPr>
        <w:tabs>
          <w:tab w:val="num" w:pos="4320"/>
        </w:tabs>
        <w:ind w:left="4320" w:hanging="360"/>
      </w:pPr>
      <w:rPr>
        <w:rFonts w:ascii="Wingdings" w:hAnsi="Wingdings"/>
      </w:rPr>
    </w:lvl>
    <w:lvl w:ilvl="6" w:tplc="A3CE9440">
      <w:start w:val="1"/>
      <w:numFmt w:val="bullet"/>
      <w:lvlText w:val=""/>
      <w:lvlJc w:val="left"/>
      <w:pPr>
        <w:tabs>
          <w:tab w:val="num" w:pos="5040"/>
        </w:tabs>
        <w:ind w:left="5040" w:hanging="360"/>
      </w:pPr>
      <w:rPr>
        <w:rFonts w:ascii="Symbol" w:hAnsi="Symbol"/>
      </w:rPr>
    </w:lvl>
    <w:lvl w:ilvl="7" w:tplc="D74029C6">
      <w:start w:val="1"/>
      <w:numFmt w:val="bullet"/>
      <w:lvlText w:val="o"/>
      <w:lvlJc w:val="left"/>
      <w:pPr>
        <w:tabs>
          <w:tab w:val="num" w:pos="5760"/>
        </w:tabs>
        <w:ind w:left="5760" w:hanging="360"/>
      </w:pPr>
      <w:rPr>
        <w:rFonts w:ascii="Courier New" w:hAnsi="Courier New"/>
      </w:rPr>
    </w:lvl>
    <w:lvl w:ilvl="8" w:tplc="E68E954E">
      <w:start w:val="1"/>
      <w:numFmt w:val="bullet"/>
      <w:lvlText w:val=""/>
      <w:lvlJc w:val="left"/>
      <w:pPr>
        <w:tabs>
          <w:tab w:val="num" w:pos="6480"/>
        </w:tabs>
        <w:ind w:left="6480" w:hanging="360"/>
      </w:pPr>
      <w:rPr>
        <w:rFonts w:ascii="Wingdings" w:hAnsi="Wingdings"/>
      </w:rPr>
    </w:lvl>
  </w:abstractNum>
  <w:abstractNum w:abstractNumId="182" w15:restartNumberingAfterBreak="0">
    <w:nsid w:val="72230578"/>
    <w:multiLevelType w:val="hybridMultilevel"/>
    <w:tmpl w:val="72230578"/>
    <w:lvl w:ilvl="0" w:tplc="20A25466">
      <w:start w:val="1"/>
      <w:numFmt w:val="bullet"/>
      <w:lvlText w:val=""/>
      <w:lvlJc w:val="left"/>
      <w:pPr>
        <w:ind w:left="720" w:hanging="360"/>
      </w:pPr>
      <w:rPr>
        <w:rFonts w:ascii="Symbol" w:hAnsi="Symbol"/>
      </w:rPr>
    </w:lvl>
    <w:lvl w:ilvl="1" w:tplc="37587816">
      <w:start w:val="1"/>
      <w:numFmt w:val="bullet"/>
      <w:lvlText w:val="o"/>
      <w:lvlJc w:val="left"/>
      <w:pPr>
        <w:tabs>
          <w:tab w:val="num" w:pos="1440"/>
        </w:tabs>
        <w:ind w:left="1440" w:hanging="360"/>
      </w:pPr>
      <w:rPr>
        <w:rFonts w:ascii="Courier New" w:hAnsi="Courier New"/>
      </w:rPr>
    </w:lvl>
    <w:lvl w:ilvl="2" w:tplc="7F763230">
      <w:start w:val="1"/>
      <w:numFmt w:val="bullet"/>
      <w:lvlText w:val=""/>
      <w:lvlJc w:val="left"/>
      <w:pPr>
        <w:tabs>
          <w:tab w:val="num" w:pos="2160"/>
        </w:tabs>
        <w:ind w:left="2160" w:hanging="360"/>
      </w:pPr>
      <w:rPr>
        <w:rFonts w:ascii="Wingdings" w:hAnsi="Wingdings"/>
      </w:rPr>
    </w:lvl>
    <w:lvl w:ilvl="3" w:tplc="B7CEEDC8">
      <w:start w:val="1"/>
      <w:numFmt w:val="bullet"/>
      <w:lvlText w:val=""/>
      <w:lvlJc w:val="left"/>
      <w:pPr>
        <w:tabs>
          <w:tab w:val="num" w:pos="2880"/>
        </w:tabs>
        <w:ind w:left="2880" w:hanging="360"/>
      </w:pPr>
      <w:rPr>
        <w:rFonts w:ascii="Symbol" w:hAnsi="Symbol"/>
      </w:rPr>
    </w:lvl>
    <w:lvl w:ilvl="4" w:tplc="90C423CE">
      <w:start w:val="1"/>
      <w:numFmt w:val="bullet"/>
      <w:lvlText w:val="o"/>
      <w:lvlJc w:val="left"/>
      <w:pPr>
        <w:tabs>
          <w:tab w:val="num" w:pos="3600"/>
        </w:tabs>
        <w:ind w:left="3600" w:hanging="360"/>
      </w:pPr>
      <w:rPr>
        <w:rFonts w:ascii="Courier New" w:hAnsi="Courier New"/>
      </w:rPr>
    </w:lvl>
    <w:lvl w:ilvl="5" w:tplc="11761898">
      <w:start w:val="1"/>
      <w:numFmt w:val="bullet"/>
      <w:lvlText w:val=""/>
      <w:lvlJc w:val="left"/>
      <w:pPr>
        <w:tabs>
          <w:tab w:val="num" w:pos="4320"/>
        </w:tabs>
        <w:ind w:left="4320" w:hanging="360"/>
      </w:pPr>
      <w:rPr>
        <w:rFonts w:ascii="Wingdings" w:hAnsi="Wingdings"/>
      </w:rPr>
    </w:lvl>
    <w:lvl w:ilvl="6" w:tplc="D856D8C4">
      <w:start w:val="1"/>
      <w:numFmt w:val="bullet"/>
      <w:lvlText w:val=""/>
      <w:lvlJc w:val="left"/>
      <w:pPr>
        <w:tabs>
          <w:tab w:val="num" w:pos="5040"/>
        </w:tabs>
        <w:ind w:left="5040" w:hanging="360"/>
      </w:pPr>
      <w:rPr>
        <w:rFonts w:ascii="Symbol" w:hAnsi="Symbol"/>
      </w:rPr>
    </w:lvl>
    <w:lvl w:ilvl="7" w:tplc="7E167082">
      <w:start w:val="1"/>
      <w:numFmt w:val="bullet"/>
      <w:lvlText w:val="o"/>
      <w:lvlJc w:val="left"/>
      <w:pPr>
        <w:tabs>
          <w:tab w:val="num" w:pos="5760"/>
        </w:tabs>
        <w:ind w:left="5760" w:hanging="360"/>
      </w:pPr>
      <w:rPr>
        <w:rFonts w:ascii="Courier New" w:hAnsi="Courier New"/>
      </w:rPr>
    </w:lvl>
    <w:lvl w:ilvl="8" w:tplc="C01C9432">
      <w:start w:val="1"/>
      <w:numFmt w:val="bullet"/>
      <w:lvlText w:val=""/>
      <w:lvlJc w:val="left"/>
      <w:pPr>
        <w:tabs>
          <w:tab w:val="num" w:pos="6480"/>
        </w:tabs>
        <w:ind w:left="6480" w:hanging="360"/>
      </w:pPr>
      <w:rPr>
        <w:rFonts w:ascii="Wingdings" w:hAnsi="Wingdings"/>
      </w:rPr>
    </w:lvl>
  </w:abstractNum>
  <w:abstractNum w:abstractNumId="183" w15:restartNumberingAfterBreak="0">
    <w:nsid w:val="72230579"/>
    <w:multiLevelType w:val="hybridMultilevel"/>
    <w:tmpl w:val="72230579"/>
    <w:lvl w:ilvl="0" w:tplc="E4CA9C90">
      <w:start w:val="1"/>
      <w:numFmt w:val="bullet"/>
      <w:lvlText w:val=""/>
      <w:lvlJc w:val="left"/>
      <w:pPr>
        <w:ind w:left="720" w:hanging="360"/>
      </w:pPr>
      <w:rPr>
        <w:rFonts w:ascii="Symbol" w:hAnsi="Symbol"/>
      </w:rPr>
    </w:lvl>
    <w:lvl w:ilvl="1" w:tplc="DD221E50">
      <w:start w:val="1"/>
      <w:numFmt w:val="bullet"/>
      <w:lvlText w:val="o"/>
      <w:lvlJc w:val="left"/>
      <w:pPr>
        <w:tabs>
          <w:tab w:val="num" w:pos="1440"/>
        </w:tabs>
        <w:ind w:left="1440" w:hanging="360"/>
      </w:pPr>
      <w:rPr>
        <w:rFonts w:ascii="Courier New" w:hAnsi="Courier New"/>
      </w:rPr>
    </w:lvl>
    <w:lvl w:ilvl="2" w:tplc="27F2E072">
      <w:start w:val="1"/>
      <w:numFmt w:val="bullet"/>
      <w:lvlText w:val=""/>
      <w:lvlJc w:val="left"/>
      <w:pPr>
        <w:tabs>
          <w:tab w:val="num" w:pos="2160"/>
        </w:tabs>
        <w:ind w:left="2160" w:hanging="360"/>
      </w:pPr>
      <w:rPr>
        <w:rFonts w:ascii="Wingdings" w:hAnsi="Wingdings"/>
      </w:rPr>
    </w:lvl>
    <w:lvl w:ilvl="3" w:tplc="0706A9CE">
      <w:start w:val="1"/>
      <w:numFmt w:val="bullet"/>
      <w:lvlText w:val=""/>
      <w:lvlJc w:val="left"/>
      <w:pPr>
        <w:tabs>
          <w:tab w:val="num" w:pos="2880"/>
        </w:tabs>
        <w:ind w:left="2880" w:hanging="360"/>
      </w:pPr>
      <w:rPr>
        <w:rFonts w:ascii="Symbol" w:hAnsi="Symbol"/>
      </w:rPr>
    </w:lvl>
    <w:lvl w:ilvl="4" w:tplc="D7C436FC">
      <w:start w:val="1"/>
      <w:numFmt w:val="bullet"/>
      <w:lvlText w:val="o"/>
      <w:lvlJc w:val="left"/>
      <w:pPr>
        <w:tabs>
          <w:tab w:val="num" w:pos="3600"/>
        </w:tabs>
        <w:ind w:left="3600" w:hanging="360"/>
      </w:pPr>
      <w:rPr>
        <w:rFonts w:ascii="Courier New" w:hAnsi="Courier New"/>
      </w:rPr>
    </w:lvl>
    <w:lvl w:ilvl="5" w:tplc="D18454C6">
      <w:start w:val="1"/>
      <w:numFmt w:val="bullet"/>
      <w:lvlText w:val=""/>
      <w:lvlJc w:val="left"/>
      <w:pPr>
        <w:tabs>
          <w:tab w:val="num" w:pos="4320"/>
        </w:tabs>
        <w:ind w:left="4320" w:hanging="360"/>
      </w:pPr>
      <w:rPr>
        <w:rFonts w:ascii="Wingdings" w:hAnsi="Wingdings"/>
      </w:rPr>
    </w:lvl>
    <w:lvl w:ilvl="6" w:tplc="A26EC290">
      <w:start w:val="1"/>
      <w:numFmt w:val="bullet"/>
      <w:lvlText w:val=""/>
      <w:lvlJc w:val="left"/>
      <w:pPr>
        <w:tabs>
          <w:tab w:val="num" w:pos="5040"/>
        </w:tabs>
        <w:ind w:left="5040" w:hanging="360"/>
      </w:pPr>
      <w:rPr>
        <w:rFonts w:ascii="Symbol" w:hAnsi="Symbol"/>
      </w:rPr>
    </w:lvl>
    <w:lvl w:ilvl="7" w:tplc="B4F470C6">
      <w:start w:val="1"/>
      <w:numFmt w:val="bullet"/>
      <w:lvlText w:val="o"/>
      <w:lvlJc w:val="left"/>
      <w:pPr>
        <w:tabs>
          <w:tab w:val="num" w:pos="5760"/>
        </w:tabs>
        <w:ind w:left="5760" w:hanging="360"/>
      </w:pPr>
      <w:rPr>
        <w:rFonts w:ascii="Courier New" w:hAnsi="Courier New"/>
      </w:rPr>
    </w:lvl>
    <w:lvl w:ilvl="8" w:tplc="BE229B50">
      <w:start w:val="1"/>
      <w:numFmt w:val="bullet"/>
      <w:lvlText w:val=""/>
      <w:lvlJc w:val="left"/>
      <w:pPr>
        <w:tabs>
          <w:tab w:val="num" w:pos="6480"/>
        </w:tabs>
        <w:ind w:left="6480" w:hanging="360"/>
      </w:pPr>
      <w:rPr>
        <w:rFonts w:ascii="Wingdings" w:hAnsi="Wingdings"/>
      </w:rPr>
    </w:lvl>
  </w:abstractNum>
  <w:abstractNum w:abstractNumId="184" w15:restartNumberingAfterBreak="0">
    <w:nsid w:val="7223057A"/>
    <w:multiLevelType w:val="hybridMultilevel"/>
    <w:tmpl w:val="7223057A"/>
    <w:lvl w:ilvl="0" w:tplc="013E0E5E">
      <w:start w:val="1"/>
      <w:numFmt w:val="bullet"/>
      <w:lvlText w:val=""/>
      <w:lvlJc w:val="left"/>
      <w:pPr>
        <w:ind w:left="720" w:hanging="360"/>
      </w:pPr>
      <w:rPr>
        <w:rFonts w:ascii="Symbol" w:hAnsi="Symbol"/>
      </w:rPr>
    </w:lvl>
    <w:lvl w:ilvl="1" w:tplc="6B2E5DB4">
      <w:start w:val="1"/>
      <w:numFmt w:val="bullet"/>
      <w:lvlText w:val="o"/>
      <w:lvlJc w:val="left"/>
      <w:pPr>
        <w:tabs>
          <w:tab w:val="num" w:pos="1440"/>
        </w:tabs>
        <w:ind w:left="1440" w:hanging="360"/>
      </w:pPr>
      <w:rPr>
        <w:rFonts w:ascii="Courier New" w:hAnsi="Courier New"/>
      </w:rPr>
    </w:lvl>
    <w:lvl w:ilvl="2" w:tplc="4CBADE18">
      <w:start w:val="1"/>
      <w:numFmt w:val="bullet"/>
      <w:lvlText w:val=""/>
      <w:lvlJc w:val="left"/>
      <w:pPr>
        <w:tabs>
          <w:tab w:val="num" w:pos="2160"/>
        </w:tabs>
        <w:ind w:left="2160" w:hanging="360"/>
      </w:pPr>
      <w:rPr>
        <w:rFonts w:ascii="Wingdings" w:hAnsi="Wingdings"/>
      </w:rPr>
    </w:lvl>
    <w:lvl w:ilvl="3" w:tplc="FF7013BA">
      <w:start w:val="1"/>
      <w:numFmt w:val="bullet"/>
      <w:lvlText w:val=""/>
      <w:lvlJc w:val="left"/>
      <w:pPr>
        <w:tabs>
          <w:tab w:val="num" w:pos="2880"/>
        </w:tabs>
        <w:ind w:left="2880" w:hanging="360"/>
      </w:pPr>
      <w:rPr>
        <w:rFonts w:ascii="Symbol" w:hAnsi="Symbol"/>
      </w:rPr>
    </w:lvl>
    <w:lvl w:ilvl="4" w:tplc="16CAA844">
      <w:start w:val="1"/>
      <w:numFmt w:val="bullet"/>
      <w:lvlText w:val="o"/>
      <w:lvlJc w:val="left"/>
      <w:pPr>
        <w:tabs>
          <w:tab w:val="num" w:pos="3600"/>
        </w:tabs>
        <w:ind w:left="3600" w:hanging="360"/>
      </w:pPr>
      <w:rPr>
        <w:rFonts w:ascii="Courier New" w:hAnsi="Courier New"/>
      </w:rPr>
    </w:lvl>
    <w:lvl w:ilvl="5" w:tplc="E654BD82">
      <w:start w:val="1"/>
      <w:numFmt w:val="bullet"/>
      <w:lvlText w:val=""/>
      <w:lvlJc w:val="left"/>
      <w:pPr>
        <w:tabs>
          <w:tab w:val="num" w:pos="4320"/>
        </w:tabs>
        <w:ind w:left="4320" w:hanging="360"/>
      </w:pPr>
      <w:rPr>
        <w:rFonts w:ascii="Wingdings" w:hAnsi="Wingdings"/>
      </w:rPr>
    </w:lvl>
    <w:lvl w:ilvl="6" w:tplc="B1769BC2">
      <w:start w:val="1"/>
      <w:numFmt w:val="bullet"/>
      <w:lvlText w:val=""/>
      <w:lvlJc w:val="left"/>
      <w:pPr>
        <w:tabs>
          <w:tab w:val="num" w:pos="5040"/>
        </w:tabs>
        <w:ind w:left="5040" w:hanging="360"/>
      </w:pPr>
      <w:rPr>
        <w:rFonts w:ascii="Symbol" w:hAnsi="Symbol"/>
      </w:rPr>
    </w:lvl>
    <w:lvl w:ilvl="7" w:tplc="CDD6FF56">
      <w:start w:val="1"/>
      <w:numFmt w:val="bullet"/>
      <w:lvlText w:val="o"/>
      <w:lvlJc w:val="left"/>
      <w:pPr>
        <w:tabs>
          <w:tab w:val="num" w:pos="5760"/>
        </w:tabs>
        <w:ind w:left="5760" w:hanging="360"/>
      </w:pPr>
      <w:rPr>
        <w:rFonts w:ascii="Courier New" w:hAnsi="Courier New"/>
      </w:rPr>
    </w:lvl>
    <w:lvl w:ilvl="8" w:tplc="293EA31C">
      <w:start w:val="1"/>
      <w:numFmt w:val="bullet"/>
      <w:lvlText w:val=""/>
      <w:lvlJc w:val="left"/>
      <w:pPr>
        <w:tabs>
          <w:tab w:val="num" w:pos="6480"/>
        </w:tabs>
        <w:ind w:left="6480" w:hanging="360"/>
      </w:pPr>
      <w:rPr>
        <w:rFonts w:ascii="Wingdings" w:hAnsi="Wingdings"/>
      </w:rPr>
    </w:lvl>
  </w:abstractNum>
  <w:abstractNum w:abstractNumId="185" w15:restartNumberingAfterBreak="0">
    <w:nsid w:val="7223057B"/>
    <w:multiLevelType w:val="hybridMultilevel"/>
    <w:tmpl w:val="7223057B"/>
    <w:lvl w:ilvl="0" w:tplc="7AD6F69E">
      <w:start w:val="1"/>
      <w:numFmt w:val="bullet"/>
      <w:lvlText w:val=""/>
      <w:lvlJc w:val="left"/>
      <w:pPr>
        <w:ind w:left="720" w:hanging="360"/>
      </w:pPr>
      <w:rPr>
        <w:rFonts w:ascii="Symbol" w:hAnsi="Symbol"/>
      </w:rPr>
    </w:lvl>
    <w:lvl w:ilvl="1" w:tplc="D700A210">
      <w:start w:val="1"/>
      <w:numFmt w:val="bullet"/>
      <w:lvlText w:val="o"/>
      <w:lvlJc w:val="left"/>
      <w:pPr>
        <w:tabs>
          <w:tab w:val="num" w:pos="1440"/>
        </w:tabs>
        <w:ind w:left="1440" w:hanging="360"/>
      </w:pPr>
      <w:rPr>
        <w:rFonts w:ascii="Courier New" w:hAnsi="Courier New"/>
      </w:rPr>
    </w:lvl>
    <w:lvl w:ilvl="2" w:tplc="B10A65F8">
      <w:start w:val="1"/>
      <w:numFmt w:val="bullet"/>
      <w:lvlText w:val=""/>
      <w:lvlJc w:val="left"/>
      <w:pPr>
        <w:tabs>
          <w:tab w:val="num" w:pos="2160"/>
        </w:tabs>
        <w:ind w:left="2160" w:hanging="360"/>
      </w:pPr>
      <w:rPr>
        <w:rFonts w:ascii="Wingdings" w:hAnsi="Wingdings"/>
      </w:rPr>
    </w:lvl>
    <w:lvl w:ilvl="3" w:tplc="61962DCC">
      <w:start w:val="1"/>
      <w:numFmt w:val="bullet"/>
      <w:lvlText w:val=""/>
      <w:lvlJc w:val="left"/>
      <w:pPr>
        <w:tabs>
          <w:tab w:val="num" w:pos="2880"/>
        </w:tabs>
        <w:ind w:left="2880" w:hanging="360"/>
      </w:pPr>
      <w:rPr>
        <w:rFonts w:ascii="Symbol" w:hAnsi="Symbol"/>
      </w:rPr>
    </w:lvl>
    <w:lvl w:ilvl="4" w:tplc="41F2656A">
      <w:start w:val="1"/>
      <w:numFmt w:val="bullet"/>
      <w:lvlText w:val="o"/>
      <w:lvlJc w:val="left"/>
      <w:pPr>
        <w:tabs>
          <w:tab w:val="num" w:pos="3600"/>
        </w:tabs>
        <w:ind w:left="3600" w:hanging="360"/>
      </w:pPr>
      <w:rPr>
        <w:rFonts w:ascii="Courier New" w:hAnsi="Courier New"/>
      </w:rPr>
    </w:lvl>
    <w:lvl w:ilvl="5" w:tplc="EA80E404">
      <w:start w:val="1"/>
      <w:numFmt w:val="bullet"/>
      <w:lvlText w:val=""/>
      <w:lvlJc w:val="left"/>
      <w:pPr>
        <w:tabs>
          <w:tab w:val="num" w:pos="4320"/>
        </w:tabs>
        <w:ind w:left="4320" w:hanging="360"/>
      </w:pPr>
      <w:rPr>
        <w:rFonts w:ascii="Wingdings" w:hAnsi="Wingdings"/>
      </w:rPr>
    </w:lvl>
    <w:lvl w:ilvl="6" w:tplc="1E667DD4">
      <w:start w:val="1"/>
      <w:numFmt w:val="bullet"/>
      <w:lvlText w:val=""/>
      <w:lvlJc w:val="left"/>
      <w:pPr>
        <w:tabs>
          <w:tab w:val="num" w:pos="5040"/>
        </w:tabs>
        <w:ind w:left="5040" w:hanging="360"/>
      </w:pPr>
      <w:rPr>
        <w:rFonts w:ascii="Symbol" w:hAnsi="Symbol"/>
      </w:rPr>
    </w:lvl>
    <w:lvl w:ilvl="7" w:tplc="8B129152">
      <w:start w:val="1"/>
      <w:numFmt w:val="bullet"/>
      <w:lvlText w:val="o"/>
      <w:lvlJc w:val="left"/>
      <w:pPr>
        <w:tabs>
          <w:tab w:val="num" w:pos="5760"/>
        </w:tabs>
        <w:ind w:left="5760" w:hanging="360"/>
      </w:pPr>
      <w:rPr>
        <w:rFonts w:ascii="Courier New" w:hAnsi="Courier New"/>
      </w:rPr>
    </w:lvl>
    <w:lvl w:ilvl="8" w:tplc="78A6F916">
      <w:start w:val="1"/>
      <w:numFmt w:val="bullet"/>
      <w:lvlText w:val=""/>
      <w:lvlJc w:val="left"/>
      <w:pPr>
        <w:tabs>
          <w:tab w:val="num" w:pos="6480"/>
        </w:tabs>
        <w:ind w:left="6480" w:hanging="360"/>
      </w:pPr>
      <w:rPr>
        <w:rFonts w:ascii="Wingdings" w:hAnsi="Wingdings"/>
      </w:rPr>
    </w:lvl>
  </w:abstractNum>
  <w:abstractNum w:abstractNumId="186" w15:restartNumberingAfterBreak="0">
    <w:nsid w:val="7223057C"/>
    <w:multiLevelType w:val="hybridMultilevel"/>
    <w:tmpl w:val="7223057C"/>
    <w:lvl w:ilvl="0" w:tplc="B46E8D5E">
      <w:start w:val="1"/>
      <w:numFmt w:val="bullet"/>
      <w:lvlText w:val=""/>
      <w:lvlJc w:val="left"/>
      <w:pPr>
        <w:ind w:left="720" w:hanging="360"/>
      </w:pPr>
      <w:rPr>
        <w:rFonts w:ascii="Symbol" w:hAnsi="Symbol"/>
      </w:rPr>
    </w:lvl>
    <w:lvl w:ilvl="1" w:tplc="E3664846">
      <w:start w:val="1"/>
      <w:numFmt w:val="bullet"/>
      <w:lvlText w:val="o"/>
      <w:lvlJc w:val="left"/>
      <w:pPr>
        <w:tabs>
          <w:tab w:val="num" w:pos="1440"/>
        </w:tabs>
        <w:ind w:left="1440" w:hanging="360"/>
      </w:pPr>
      <w:rPr>
        <w:rFonts w:ascii="Courier New" w:hAnsi="Courier New"/>
      </w:rPr>
    </w:lvl>
    <w:lvl w:ilvl="2" w:tplc="0F021D98">
      <w:start w:val="1"/>
      <w:numFmt w:val="bullet"/>
      <w:lvlText w:val=""/>
      <w:lvlJc w:val="left"/>
      <w:pPr>
        <w:tabs>
          <w:tab w:val="num" w:pos="2160"/>
        </w:tabs>
        <w:ind w:left="2160" w:hanging="360"/>
      </w:pPr>
      <w:rPr>
        <w:rFonts w:ascii="Wingdings" w:hAnsi="Wingdings"/>
      </w:rPr>
    </w:lvl>
    <w:lvl w:ilvl="3" w:tplc="B70A966E">
      <w:start w:val="1"/>
      <w:numFmt w:val="bullet"/>
      <w:lvlText w:val=""/>
      <w:lvlJc w:val="left"/>
      <w:pPr>
        <w:tabs>
          <w:tab w:val="num" w:pos="2880"/>
        </w:tabs>
        <w:ind w:left="2880" w:hanging="360"/>
      </w:pPr>
      <w:rPr>
        <w:rFonts w:ascii="Symbol" w:hAnsi="Symbol"/>
      </w:rPr>
    </w:lvl>
    <w:lvl w:ilvl="4" w:tplc="915CFA9E">
      <w:start w:val="1"/>
      <w:numFmt w:val="bullet"/>
      <w:lvlText w:val="o"/>
      <w:lvlJc w:val="left"/>
      <w:pPr>
        <w:tabs>
          <w:tab w:val="num" w:pos="3600"/>
        </w:tabs>
        <w:ind w:left="3600" w:hanging="360"/>
      </w:pPr>
      <w:rPr>
        <w:rFonts w:ascii="Courier New" w:hAnsi="Courier New"/>
      </w:rPr>
    </w:lvl>
    <w:lvl w:ilvl="5" w:tplc="1A06D56A">
      <w:start w:val="1"/>
      <w:numFmt w:val="bullet"/>
      <w:lvlText w:val=""/>
      <w:lvlJc w:val="left"/>
      <w:pPr>
        <w:tabs>
          <w:tab w:val="num" w:pos="4320"/>
        </w:tabs>
        <w:ind w:left="4320" w:hanging="360"/>
      </w:pPr>
      <w:rPr>
        <w:rFonts w:ascii="Wingdings" w:hAnsi="Wingdings"/>
      </w:rPr>
    </w:lvl>
    <w:lvl w:ilvl="6" w:tplc="E390A486">
      <w:start w:val="1"/>
      <w:numFmt w:val="bullet"/>
      <w:lvlText w:val=""/>
      <w:lvlJc w:val="left"/>
      <w:pPr>
        <w:tabs>
          <w:tab w:val="num" w:pos="5040"/>
        </w:tabs>
        <w:ind w:left="5040" w:hanging="360"/>
      </w:pPr>
      <w:rPr>
        <w:rFonts w:ascii="Symbol" w:hAnsi="Symbol"/>
      </w:rPr>
    </w:lvl>
    <w:lvl w:ilvl="7" w:tplc="4344DAA6">
      <w:start w:val="1"/>
      <w:numFmt w:val="bullet"/>
      <w:lvlText w:val="o"/>
      <w:lvlJc w:val="left"/>
      <w:pPr>
        <w:tabs>
          <w:tab w:val="num" w:pos="5760"/>
        </w:tabs>
        <w:ind w:left="5760" w:hanging="360"/>
      </w:pPr>
      <w:rPr>
        <w:rFonts w:ascii="Courier New" w:hAnsi="Courier New"/>
      </w:rPr>
    </w:lvl>
    <w:lvl w:ilvl="8" w:tplc="CBC026E6">
      <w:start w:val="1"/>
      <w:numFmt w:val="bullet"/>
      <w:lvlText w:val=""/>
      <w:lvlJc w:val="left"/>
      <w:pPr>
        <w:tabs>
          <w:tab w:val="num" w:pos="6480"/>
        </w:tabs>
        <w:ind w:left="6480" w:hanging="360"/>
      </w:pPr>
      <w:rPr>
        <w:rFonts w:ascii="Wingdings" w:hAnsi="Wingdings"/>
      </w:rPr>
    </w:lvl>
  </w:abstractNum>
  <w:abstractNum w:abstractNumId="187" w15:restartNumberingAfterBreak="0">
    <w:nsid w:val="7223057D"/>
    <w:multiLevelType w:val="hybridMultilevel"/>
    <w:tmpl w:val="7223057D"/>
    <w:lvl w:ilvl="0" w:tplc="C660DBA2">
      <w:start w:val="1"/>
      <w:numFmt w:val="bullet"/>
      <w:lvlText w:val=""/>
      <w:lvlJc w:val="left"/>
      <w:pPr>
        <w:ind w:left="720" w:hanging="360"/>
      </w:pPr>
      <w:rPr>
        <w:rFonts w:ascii="Symbol" w:hAnsi="Symbol"/>
      </w:rPr>
    </w:lvl>
    <w:lvl w:ilvl="1" w:tplc="872C3594">
      <w:start w:val="1"/>
      <w:numFmt w:val="bullet"/>
      <w:lvlText w:val="o"/>
      <w:lvlJc w:val="left"/>
      <w:pPr>
        <w:tabs>
          <w:tab w:val="num" w:pos="1440"/>
        </w:tabs>
        <w:ind w:left="1440" w:hanging="360"/>
      </w:pPr>
      <w:rPr>
        <w:rFonts w:ascii="Courier New" w:hAnsi="Courier New"/>
      </w:rPr>
    </w:lvl>
    <w:lvl w:ilvl="2" w:tplc="F244DBE4">
      <w:start w:val="1"/>
      <w:numFmt w:val="bullet"/>
      <w:lvlText w:val=""/>
      <w:lvlJc w:val="left"/>
      <w:pPr>
        <w:tabs>
          <w:tab w:val="num" w:pos="2160"/>
        </w:tabs>
        <w:ind w:left="2160" w:hanging="360"/>
      </w:pPr>
      <w:rPr>
        <w:rFonts w:ascii="Wingdings" w:hAnsi="Wingdings"/>
      </w:rPr>
    </w:lvl>
    <w:lvl w:ilvl="3" w:tplc="704EC2FA">
      <w:start w:val="1"/>
      <w:numFmt w:val="bullet"/>
      <w:lvlText w:val=""/>
      <w:lvlJc w:val="left"/>
      <w:pPr>
        <w:tabs>
          <w:tab w:val="num" w:pos="2880"/>
        </w:tabs>
        <w:ind w:left="2880" w:hanging="360"/>
      </w:pPr>
      <w:rPr>
        <w:rFonts w:ascii="Symbol" w:hAnsi="Symbol"/>
      </w:rPr>
    </w:lvl>
    <w:lvl w:ilvl="4" w:tplc="8B1E90CA">
      <w:start w:val="1"/>
      <w:numFmt w:val="bullet"/>
      <w:lvlText w:val="o"/>
      <w:lvlJc w:val="left"/>
      <w:pPr>
        <w:tabs>
          <w:tab w:val="num" w:pos="3600"/>
        </w:tabs>
        <w:ind w:left="3600" w:hanging="360"/>
      </w:pPr>
      <w:rPr>
        <w:rFonts w:ascii="Courier New" w:hAnsi="Courier New"/>
      </w:rPr>
    </w:lvl>
    <w:lvl w:ilvl="5" w:tplc="1902CF40">
      <w:start w:val="1"/>
      <w:numFmt w:val="bullet"/>
      <w:lvlText w:val=""/>
      <w:lvlJc w:val="left"/>
      <w:pPr>
        <w:tabs>
          <w:tab w:val="num" w:pos="4320"/>
        </w:tabs>
        <w:ind w:left="4320" w:hanging="360"/>
      </w:pPr>
      <w:rPr>
        <w:rFonts w:ascii="Wingdings" w:hAnsi="Wingdings"/>
      </w:rPr>
    </w:lvl>
    <w:lvl w:ilvl="6" w:tplc="6EC87E5A">
      <w:start w:val="1"/>
      <w:numFmt w:val="bullet"/>
      <w:lvlText w:val=""/>
      <w:lvlJc w:val="left"/>
      <w:pPr>
        <w:tabs>
          <w:tab w:val="num" w:pos="5040"/>
        </w:tabs>
        <w:ind w:left="5040" w:hanging="360"/>
      </w:pPr>
      <w:rPr>
        <w:rFonts w:ascii="Symbol" w:hAnsi="Symbol"/>
      </w:rPr>
    </w:lvl>
    <w:lvl w:ilvl="7" w:tplc="A1582EBE">
      <w:start w:val="1"/>
      <w:numFmt w:val="bullet"/>
      <w:lvlText w:val="o"/>
      <w:lvlJc w:val="left"/>
      <w:pPr>
        <w:tabs>
          <w:tab w:val="num" w:pos="5760"/>
        </w:tabs>
        <w:ind w:left="5760" w:hanging="360"/>
      </w:pPr>
      <w:rPr>
        <w:rFonts w:ascii="Courier New" w:hAnsi="Courier New"/>
      </w:rPr>
    </w:lvl>
    <w:lvl w:ilvl="8" w:tplc="94AC2484">
      <w:start w:val="1"/>
      <w:numFmt w:val="bullet"/>
      <w:lvlText w:val=""/>
      <w:lvlJc w:val="left"/>
      <w:pPr>
        <w:tabs>
          <w:tab w:val="num" w:pos="6480"/>
        </w:tabs>
        <w:ind w:left="6480" w:hanging="360"/>
      </w:pPr>
      <w:rPr>
        <w:rFonts w:ascii="Wingdings" w:hAnsi="Wingdings"/>
      </w:rPr>
    </w:lvl>
  </w:abstractNum>
  <w:abstractNum w:abstractNumId="188" w15:restartNumberingAfterBreak="0">
    <w:nsid w:val="7223057E"/>
    <w:multiLevelType w:val="hybridMultilevel"/>
    <w:tmpl w:val="7223057E"/>
    <w:lvl w:ilvl="0" w:tplc="4612B622">
      <w:start w:val="1"/>
      <w:numFmt w:val="bullet"/>
      <w:lvlText w:val=""/>
      <w:lvlJc w:val="left"/>
      <w:pPr>
        <w:ind w:left="720" w:hanging="360"/>
      </w:pPr>
      <w:rPr>
        <w:rFonts w:ascii="Symbol" w:hAnsi="Symbol"/>
      </w:rPr>
    </w:lvl>
    <w:lvl w:ilvl="1" w:tplc="A9000746">
      <w:start w:val="1"/>
      <w:numFmt w:val="bullet"/>
      <w:lvlText w:val="o"/>
      <w:lvlJc w:val="left"/>
      <w:pPr>
        <w:tabs>
          <w:tab w:val="num" w:pos="1440"/>
        </w:tabs>
        <w:ind w:left="1440" w:hanging="360"/>
      </w:pPr>
      <w:rPr>
        <w:rFonts w:ascii="Courier New" w:hAnsi="Courier New"/>
      </w:rPr>
    </w:lvl>
    <w:lvl w:ilvl="2" w:tplc="58AC25F6">
      <w:start w:val="1"/>
      <w:numFmt w:val="bullet"/>
      <w:lvlText w:val=""/>
      <w:lvlJc w:val="left"/>
      <w:pPr>
        <w:tabs>
          <w:tab w:val="num" w:pos="2160"/>
        </w:tabs>
        <w:ind w:left="2160" w:hanging="360"/>
      </w:pPr>
      <w:rPr>
        <w:rFonts w:ascii="Wingdings" w:hAnsi="Wingdings"/>
      </w:rPr>
    </w:lvl>
    <w:lvl w:ilvl="3" w:tplc="B9EAF864">
      <w:start w:val="1"/>
      <w:numFmt w:val="bullet"/>
      <w:lvlText w:val=""/>
      <w:lvlJc w:val="left"/>
      <w:pPr>
        <w:tabs>
          <w:tab w:val="num" w:pos="2880"/>
        </w:tabs>
        <w:ind w:left="2880" w:hanging="360"/>
      </w:pPr>
      <w:rPr>
        <w:rFonts w:ascii="Symbol" w:hAnsi="Symbol"/>
      </w:rPr>
    </w:lvl>
    <w:lvl w:ilvl="4" w:tplc="B672CD32">
      <w:start w:val="1"/>
      <w:numFmt w:val="bullet"/>
      <w:lvlText w:val="o"/>
      <w:lvlJc w:val="left"/>
      <w:pPr>
        <w:tabs>
          <w:tab w:val="num" w:pos="3600"/>
        </w:tabs>
        <w:ind w:left="3600" w:hanging="360"/>
      </w:pPr>
      <w:rPr>
        <w:rFonts w:ascii="Courier New" w:hAnsi="Courier New"/>
      </w:rPr>
    </w:lvl>
    <w:lvl w:ilvl="5" w:tplc="AAA27DBC">
      <w:start w:val="1"/>
      <w:numFmt w:val="bullet"/>
      <w:lvlText w:val=""/>
      <w:lvlJc w:val="left"/>
      <w:pPr>
        <w:tabs>
          <w:tab w:val="num" w:pos="4320"/>
        </w:tabs>
        <w:ind w:left="4320" w:hanging="360"/>
      </w:pPr>
      <w:rPr>
        <w:rFonts w:ascii="Wingdings" w:hAnsi="Wingdings"/>
      </w:rPr>
    </w:lvl>
    <w:lvl w:ilvl="6" w:tplc="07222016">
      <w:start w:val="1"/>
      <w:numFmt w:val="bullet"/>
      <w:lvlText w:val=""/>
      <w:lvlJc w:val="left"/>
      <w:pPr>
        <w:tabs>
          <w:tab w:val="num" w:pos="5040"/>
        </w:tabs>
        <w:ind w:left="5040" w:hanging="360"/>
      </w:pPr>
      <w:rPr>
        <w:rFonts w:ascii="Symbol" w:hAnsi="Symbol"/>
      </w:rPr>
    </w:lvl>
    <w:lvl w:ilvl="7" w:tplc="43C08356">
      <w:start w:val="1"/>
      <w:numFmt w:val="bullet"/>
      <w:lvlText w:val="o"/>
      <w:lvlJc w:val="left"/>
      <w:pPr>
        <w:tabs>
          <w:tab w:val="num" w:pos="5760"/>
        </w:tabs>
        <w:ind w:left="5760" w:hanging="360"/>
      </w:pPr>
      <w:rPr>
        <w:rFonts w:ascii="Courier New" w:hAnsi="Courier New"/>
      </w:rPr>
    </w:lvl>
    <w:lvl w:ilvl="8" w:tplc="019C1ABA">
      <w:start w:val="1"/>
      <w:numFmt w:val="bullet"/>
      <w:lvlText w:val=""/>
      <w:lvlJc w:val="left"/>
      <w:pPr>
        <w:tabs>
          <w:tab w:val="num" w:pos="6480"/>
        </w:tabs>
        <w:ind w:left="6480" w:hanging="360"/>
      </w:pPr>
      <w:rPr>
        <w:rFonts w:ascii="Wingdings" w:hAnsi="Wingdings"/>
      </w:rPr>
    </w:lvl>
  </w:abstractNum>
  <w:abstractNum w:abstractNumId="189" w15:restartNumberingAfterBreak="0">
    <w:nsid w:val="7223057F"/>
    <w:multiLevelType w:val="hybridMultilevel"/>
    <w:tmpl w:val="7223057F"/>
    <w:lvl w:ilvl="0" w:tplc="5C627F62">
      <w:start w:val="1"/>
      <w:numFmt w:val="bullet"/>
      <w:lvlText w:val=""/>
      <w:lvlJc w:val="left"/>
      <w:pPr>
        <w:ind w:left="720" w:hanging="360"/>
      </w:pPr>
      <w:rPr>
        <w:rFonts w:ascii="Symbol" w:hAnsi="Symbol"/>
      </w:rPr>
    </w:lvl>
    <w:lvl w:ilvl="1" w:tplc="5218EAB0">
      <w:start w:val="1"/>
      <w:numFmt w:val="bullet"/>
      <w:lvlText w:val="o"/>
      <w:lvlJc w:val="left"/>
      <w:pPr>
        <w:tabs>
          <w:tab w:val="num" w:pos="1440"/>
        </w:tabs>
        <w:ind w:left="1440" w:hanging="360"/>
      </w:pPr>
      <w:rPr>
        <w:rFonts w:ascii="Courier New" w:hAnsi="Courier New"/>
      </w:rPr>
    </w:lvl>
    <w:lvl w:ilvl="2" w:tplc="032611F8">
      <w:start w:val="1"/>
      <w:numFmt w:val="bullet"/>
      <w:lvlText w:val=""/>
      <w:lvlJc w:val="left"/>
      <w:pPr>
        <w:tabs>
          <w:tab w:val="num" w:pos="2160"/>
        </w:tabs>
        <w:ind w:left="2160" w:hanging="360"/>
      </w:pPr>
      <w:rPr>
        <w:rFonts w:ascii="Wingdings" w:hAnsi="Wingdings"/>
      </w:rPr>
    </w:lvl>
    <w:lvl w:ilvl="3" w:tplc="99B67CD2">
      <w:start w:val="1"/>
      <w:numFmt w:val="bullet"/>
      <w:lvlText w:val=""/>
      <w:lvlJc w:val="left"/>
      <w:pPr>
        <w:tabs>
          <w:tab w:val="num" w:pos="2880"/>
        </w:tabs>
        <w:ind w:left="2880" w:hanging="360"/>
      </w:pPr>
      <w:rPr>
        <w:rFonts w:ascii="Symbol" w:hAnsi="Symbol"/>
      </w:rPr>
    </w:lvl>
    <w:lvl w:ilvl="4" w:tplc="1F7AFC56">
      <w:start w:val="1"/>
      <w:numFmt w:val="bullet"/>
      <w:lvlText w:val="o"/>
      <w:lvlJc w:val="left"/>
      <w:pPr>
        <w:tabs>
          <w:tab w:val="num" w:pos="3600"/>
        </w:tabs>
        <w:ind w:left="3600" w:hanging="360"/>
      </w:pPr>
      <w:rPr>
        <w:rFonts w:ascii="Courier New" w:hAnsi="Courier New"/>
      </w:rPr>
    </w:lvl>
    <w:lvl w:ilvl="5" w:tplc="F2C063BA">
      <w:start w:val="1"/>
      <w:numFmt w:val="bullet"/>
      <w:lvlText w:val=""/>
      <w:lvlJc w:val="left"/>
      <w:pPr>
        <w:tabs>
          <w:tab w:val="num" w:pos="4320"/>
        </w:tabs>
        <w:ind w:left="4320" w:hanging="360"/>
      </w:pPr>
      <w:rPr>
        <w:rFonts w:ascii="Wingdings" w:hAnsi="Wingdings"/>
      </w:rPr>
    </w:lvl>
    <w:lvl w:ilvl="6" w:tplc="45D6AC82">
      <w:start w:val="1"/>
      <w:numFmt w:val="bullet"/>
      <w:lvlText w:val=""/>
      <w:lvlJc w:val="left"/>
      <w:pPr>
        <w:tabs>
          <w:tab w:val="num" w:pos="5040"/>
        </w:tabs>
        <w:ind w:left="5040" w:hanging="360"/>
      </w:pPr>
      <w:rPr>
        <w:rFonts w:ascii="Symbol" w:hAnsi="Symbol"/>
      </w:rPr>
    </w:lvl>
    <w:lvl w:ilvl="7" w:tplc="837A6B08">
      <w:start w:val="1"/>
      <w:numFmt w:val="bullet"/>
      <w:lvlText w:val="o"/>
      <w:lvlJc w:val="left"/>
      <w:pPr>
        <w:tabs>
          <w:tab w:val="num" w:pos="5760"/>
        </w:tabs>
        <w:ind w:left="5760" w:hanging="360"/>
      </w:pPr>
      <w:rPr>
        <w:rFonts w:ascii="Courier New" w:hAnsi="Courier New"/>
      </w:rPr>
    </w:lvl>
    <w:lvl w:ilvl="8" w:tplc="B260C0A8">
      <w:start w:val="1"/>
      <w:numFmt w:val="bullet"/>
      <w:lvlText w:val=""/>
      <w:lvlJc w:val="left"/>
      <w:pPr>
        <w:tabs>
          <w:tab w:val="num" w:pos="6480"/>
        </w:tabs>
        <w:ind w:left="6480" w:hanging="360"/>
      </w:pPr>
      <w:rPr>
        <w:rFonts w:ascii="Wingdings" w:hAnsi="Wingdings"/>
      </w:rPr>
    </w:lvl>
  </w:abstractNum>
  <w:abstractNum w:abstractNumId="190" w15:restartNumberingAfterBreak="0">
    <w:nsid w:val="72230580"/>
    <w:multiLevelType w:val="hybridMultilevel"/>
    <w:tmpl w:val="72230580"/>
    <w:lvl w:ilvl="0" w:tplc="B128D9B4">
      <w:start w:val="1"/>
      <w:numFmt w:val="bullet"/>
      <w:lvlText w:val=""/>
      <w:lvlJc w:val="left"/>
      <w:pPr>
        <w:ind w:left="720" w:hanging="360"/>
      </w:pPr>
      <w:rPr>
        <w:rFonts w:ascii="Symbol" w:hAnsi="Symbol"/>
      </w:rPr>
    </w:lvl>
    <w:lvl w:ilvl="1" w:tplc="88661720">
      <w:start w:val="1"/>
      <w:numFmt w:val="bullet"/>
      <w:lvlText w:val="o"/>
      <w:lvlJc w:val="left"/>
      <w:pPr>
        <w:tabs>
          <w:tab w:val="num" w:pos="1440"/>
        </w:tabs>
        <w:ind w:left="1440" w:hanging="360"/>
      </w:pPr>
      <w:rPr>
        <w:rFonts w:ascii="Courier New" w:hAnsi="Courier New"/>
      </w:rPr>
    </w:lvl>
    <w:lvl w:ilvl="2" w:tplc="AF82888E">
      <w:start w:val="1"/>
      <w:numFmt w:val="bullet"/>
      <w:lvlText w:val=""/>
      <w:lvlJc w:val="left"/>
      <w:pPr>
        <w:tabs>
          <w:tab w:val="num" w:pos="2160"/>
        </w:tabs>
        <w:ind w:left="2160" w:hanging="360"/>
      </w:pPr>
      <w:rPr>
        <w:rFonts w:ascii="Wingdings" w:hAnsi="Wingdings"/>
      </w:rPr>
    </w:lvl>
    <w:lvl w:ilvl="3" w:tplc="2392FC72">
      <w:start w:val="1"/>
      <w:numFmt w:val="bullet"/>
      <w:lvlText w:val=""/>
      <w:lvlJc w:val="left"/>
      <w:pPr>
        <w:tabs>
          <w:tab w:val="num" w:pos="2880"/>
        </w:tabs>
        <w:ind w:left="2880" w:hanging="360"/>
      </w:pPr>
      <w:rPr>
        <w:rFonts w:ascii="Symbol" w:hAnsi="Symbol"/>
      </w:rPr>
    </w:lvl>
    <w:lvl w:ilvl="4" w:tplc="2AEC237E">
      <w:start w:val="1"/>
      <w:numFmt w:val="bullet"/>
      <w:lvlText w:val="o"/>
      <w:lvlJc w:val="left"/>
      <w:pPr>
        <w:tabs>
          <w:tab w:val="num" w:pos="3600"/>
        </w:tabs>
        <w:ind w:left="3600" w:hanging="360"/>
      </w:pPr>
      <w:rPr>
        <w:rFonts w:ascii="Courier New" w:hAnsi="Courier New"/>
      </w:rPr>
    </w:lvl>
    <w:lvl w:ilvl="5" w:tplc="1CBCB24A">
      <w:start w:val="1"/>
      <w:numFmt w:val="bullet"/>
      <w:lvlText w:val=""/>
      <w:lvlJc w:val="left"/>
      <w:pPr>
        <w:tabs>
          <w:tab w:val="num" w:pos="4320"/>
        </w:tabs>
        <w:ind w:left="4320" w:hanging="360"/>
      </w:pPr>
      <w:rPr>
        <w:rFonts w:ascii="Wingdings" w:hAnsi="Wingdings"/>
      </w:rPr>
    </w:lvl>
    <w:lvl w:ilvl="6" w:tplc="500EB662">
      <w:start w:val="1"/>
      <w:numFmt w:val="bullet"/>
      <w:lvlText w:val=""/>
      <w:lvlJc w:val="left"/>
      <w:pPr>
        <w:tabs>
          <w:tab w:val="num" w:pos="5040"/>
        </w:tabs>
        <w:ind w:left="5040" w:hanging="360"/>
      </w:pPr>
      <w:rPr>
        <w:rFonts w:ascii="Symbol" w:hAnsi="Symbol"/>
      </w:rPr>
    </w:lvl>
    <w:lvl w:ilvl="7" w:tplc="4CDE4754">
      <w:start w:val="1"/>
      <w:numFmt w:val="bullet"/>
      <w:lvlText w:val="o"/>
      <w:lvlJc w:val="left"/>
      <w:pPr>
        <w:tabs>
          <w:tab w:val="num" w:pos="5760"/>
        </w:tabs>
        <w:ind w:left="5760" w:hanging="360"/>
      </w:pPr>
      <w:rPr>
        <w:rFonts w:ascii="Courier New" w:hAnsi="Courier New"/>
      </w:rPr>
    </w:lvl>
    <w:lvl w:ilvl="8" w:tplc="CD3ACCF2">
      <w:start w:val="1"/>
      <w:numFmt w:val="bullet"/>
      <w:lvlText w:val=""/>
      <w:lvlJc w:val="left"/>
      <w:pPr>
        <w:tabs>
          <w:tab w:val="num" w:pos="6480"/>
        </w:tabs>
        <w:ind w:left="6480" w:hanging="360"/>
      </w:pPr>
      <w:rPr>
        <w:rFonts w:ascii="Wingdings" w:hAnsi="Wingdings"/>
      </w:rPr>
    </w:lvl>
  </w:abstractNum>
  <w:abstractNum w:abstractNumId="191" w15:restartNumberingAfterBreak="0">
    <w:nsid w:val="72230581"/>
    <w:multiLevelType w:val="hybridMultilevel"/>
    <w:tmpl w:val="72230581"/>
    <w:lvl w:ilvl="0" w:tplc="3830015E">
      <w:start w:val="1"/>
      <w:numFmt w:val="bullet"/>
      <w:lvlText w:val=""/>
      <w:lvlJc w:val="left"/>
      <w:pPr>
        <w:ind w:left="720" w:hanging="360"/>
      </w:pPr>
      <w:rPr>
        <w:rFonts w:ascii="Symbol" w:hAnsi="Symbol"/>
      </w:rPr>
    </w:lvl>
    <w:lvl w:ilvl="1" w:tplc="EDE4FCE4">
      <w:start w:val="1"/>
      <w:numFmt w:val="bullet"/>
      <w:lvlText w:val="o"/>
      <w:lvlJc w:val="left"/>
      <w:pPr>
        <w:tabs>
          <w:tab w:val="num" w:pos="1440"/>
        </w:tabs>
        <w:ind w:left="1440" w:hanging="360"/>
      </w:pPr>
      <w:rPr>
        <w:rFonts w:ascii="Courier New" w:hAnsi="Courier New"/>
      </w:rPr>
    </w:lvl>
    <w:lvl w:ilvl="2" w:tplc="3F2A905A">
      <w:start w:val="1"/>
      <w:numFmt w:val="bullet"/>
      <w:lvlText w:val=""/>
      <w:lvlJc w:val="left"/>
      <w:pPr>
        <w:tabs>
          <w:tab w:val="num" w:pos="2160"/>
        </w:tabs>
        <w:ind w:left="2160" w:hanging="360"/>
      </w:pPr>
      <w:rPr>
        <w:rFonts w:ascii="Wingdings" w:hAnsi="Wingdings"/>
      </w:rPr>
    </w:lvl>
    <w:lvl w:ilvl="3" w:tplc="664624E8">
      <w:start w:val="1"/>
      <w:numFmt w:val="bullet"/>
      <w:lvlText w:val=""/>
      <w:lvlJc w:val="left"/>
      <w:pPr>
        <w:tabs>
          <w:tab w:val="num" w:pos="2880"/>
        </w:tabs>
        <w:ind w:left="2880" w:hanging="360"/>
      </w:pPr>
      <w:rPr>
        <w:rFonts w:ascii="Symbol" w:hAnsi="Symbol"/>
      </w:rPr>
    </w:lvl>
    <w:lvl w:ilvl="4" w:tplc="53BA9450">
      <w:start w:val="1"/>
      <w:numFmt w:val="bullet"/>
      <w:lvlText w:val="o"/>
      <w:lvlJc w:val="left"/>
      <w:pPr>
        <w:tabs>
          <w:tab w:val="num" w:pos="3600"/>
        </w:tabs>
        <w:ind w:left="3600" w:hanging="360"/>
      </w:pPr>
      <w:rPr>
        <w:rFonts w:ascii="Courier New" w:hAnsi="Courier New"/>
      </w:rPr>
    </w:lvl>
    <w:lvl w:ilvl="5" w:tplc="4A2865AE">
      <w:start w:val="1"/>
      <w:numFmt w:val="bullet"/>
      <w:lvlText w:val=""/>
      <w:lvlJc w:val="left"/>
      <w:pPr>
        <w:tabs>
          <w:tab w:val="num" w:pos="4320"/>
        </w:tabs>
        <w:ind w:left="4320" w:hanging="360"/>
      </w:pPr>
      <w:rPr>
        <w:rFonts w:ascii="Wingdings" w:hAnsi="Wingdings"/>
      </w:rPr>
    </w:lvl>
    <w:lvl w:ilvl="6" w:tplc="30E2D208">
      <w:start w:val="1"/>
      <w:numFmt w:val="bullet"/>
      <w:lvlText w:val=""/>
      <w:lvlJc w:val="left"/>
      <w:pPr>
        <w:tabs>
          <w:tab w:val="num" w:pos="5040"/>
        </w:tabs>
        <w:ind w:left="5040" w:hanging="360"/>
      </w:pPr>
      <w:rPr>
        <w:rFonts w:ascii="Symbol" w:hAnsi="Symbol"/>
      </w:rPr>
    </w:lvl>
    <w:lvl w:ilvl="7" w:tplc="325660BC">
      <w:start w:val="1"/>
      <w:numFmt w:val="bullet"/>
      <w:lvlText w:val="o"/>
      <w:lvlJc w:val="left"/>
      <w:pPr>
        <w:tabs>
          <w:tab w:val="num" w:pos="5760"/>
        </w:tabs>
        <w:ind w:left="5760" w:hanging="360"/>
      </w:pPr>
      <w:rPr>
        <w:rFonts w:ascii="Courier New" w:hAnsi="Courier New"/>
      </w:rPr>
    </w:lvl>
    <w:lvl w:ilvl="8" w:tplc="A68245A2">
      <w:start w:val="1"/>
      <w:numFmt w:val="bullet"/>
      <w:lvlText w:val=""/>
      <w:lvlJc w:val="left"/>
      <w:pPr>
        <w:tabs>
          <w:tab w:val="num" w:pos="6480"/>
        </w:tabs>
        <w:ind w:left="6480" w:hanging="360"/>
      </w:pPr>
      <w:rPr>
        <w:rFonts w:ascii="Wingdings" w:hAnsi="Wingdings"/>
      </w:rPr>
    </w:lvl>
  </w:abstractNum>
  <w:abstractNum w:abstractNumId="192" w15:restartNumberingAfterBreak="0">
    <w:nsid w:val="72230582"/>
    <w:multiLevelType w:val="multilevel"/>
    <w:tmpl w:val="7223058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3" w15:restartNumberingAfterBreak="0">
    <w:nsid w:val="72230583"/>
    <w:multiLevelType w:val="hybridMultilevel"/>
    <w:tmpl w:val="72230583"/>
    <w:lvl w:ilvl="0" w:tplc="3140D096">
      <w:start w:val="1"/>
      <w:numFmt w:val="bullet"/>
      <w:lvlText w:val=""/>
      <w:lvlJc w:val="left"/>
      <w:pPr>
        <w:ind w:left="720" w:hanging="360"/>
      </w:pPr>
      <w:rPr>
        <w:rFonts w:ascii="Symbol" w:hAnsi="Symbol"/>
      </w:rPr>
    </w:lvl>
    <w:lvl w:ilvl="1" w:tplc="C61EE618">
      <w:start w:val="1"/>
      <w:numFmt w:val="bullet"/>
      <w:lvlText w:val="o"/>
      <w:lvlJc w:val="left"/>
      <w:pPr>
        <w:ind w:left="1440" w:hanging="360"/>
      </w:pPr>
      <w:rPr>
        <w:rFonts w:ascii="Courier New" w:hAnsi="Courier New"/>
      </w:rPr>
    </w:lvl>
    <w:lvl w:ilvl="2" w:tplc="C5BA08E0">
      <w:start w:val="1"/>
      <w:numFmt w:val="bullet"/>
      <w:lvlText w:val=""/>
      <w:lvlJc w:val="left"/>
      <w:pPr>
        <w:tabs>
          <w:tab w:val="num" w:pos="2160"/>
        </w:tabs>
        <w:ind w:left="2160" w:hanging="360"/>
      </w:pPr>
      <w:rPr>
        <w:rFonts w:ascii="Wingdings" w:hAnsi="Wingdings"/>
      </w:rPr>
    </w:lvl>
    <w:lvl w:ilvl="3" w:tplc="E828CF38">
      <w:start w:val="1"/>
      <w:numFmt w:val="bullet"/>
      <w:lvlText w:val=""/>
      <w:lvlJc w:val="left"/>
      <w:pPr>
        <w:tabs>
          <w:tab w:val="num" w:pos="2880"/>
        </w:tabs>
        <w:ind w:left="2880" w:hanging="360"/>
      </w:pPr>
      <w:rPr>
        <w:rFonts w:ascii="Symbol" w:hAnsi="Symbol"/>
      </w:rPr>
    </w:lvl>
    <w:lvl w:ilvl="4" w:tplc="564C3A86">
      <w:start w:val="1"/>
      <w:numFmt w:val="bullet"/>
      <w:lvlText w:val="o"/>
      <w:lvlJc w:val="left"/>
      <w:pPr>
        <w:tabs>
          <w:tab w:val="num" w:pos="3600"/>
        </w:tabs>
        <w:ind w:left="3600" w:hanging="360"/>
      </w:pPr>
      <w:rPr>
        <w:rFonts w:ascii="Courier New" w:hAnsi="Courier New"/>
      </w:rPr>
    </w:lvl>
    <w:lvl w:ilvl="5" w:tplc="A04ABFDE">
      <w:start w:val="1"/>
      <w:numFmt w:val="bullet"/>
      <w:lvlText w:val=""/>
      <w:lvlJc w:val="left"/>
      <w:pPr>
        <w:tabs>
          <w:tab w:val="num" w:pos="4320"/>
        </w:tabs>
        <w:ind w:left="4320" w:hanging="360"/>
      </w:pPr>
      <w:rPr>
        <w:rFonts w:ascii="Wingdings" w:hAnsi="Wingdings"/>
      </w:rPr>
    </w:lvl>
    <w:lvl w:ilvl="6" w:tplc="248A49A2">
      <w:start w:val="1"/>
      <w:numFmt w:val="bullet"/>
      <w:lvlText w:val=""/>
      <w:lvlJc w:val="left"/>
      <w:pPr>
        <w:tabs>
          <w:tab w:val="num" w:pos="5040"/>
        </w:tabs>
        <w:ind w:left="5040" w:hanging="360"/>
      </w:pPr>
      <w:rPr>
        <w:rFonts w:ascii="Symbol" w:hAnsi="Symbol"/>
      </w:rPr>
    </w:lvl>
    <w:lvl w:ilvl="7" w:tplc="3E6AE9FA">
      <w:start w:val="1"/>
      <w:numFmt w:val="bullet"/>
      <w:lvlText w:val="o"/>
      <w:lvlJc w:val="left"/>
      <w:pPr>
        <w:tabs>
          <w:tab w:val="num" w:pos="5760"/>
        </w:tabs>
        <w:ind w:left="5760" w:hanging="360"/>
      </w:pPr>
      <w:rPr>
        <w:rFonts w:ascii="Courier New" w:hAnsi="Courier New"/>
      </w:rPr>
    </w:lvl>
    <w:lvl w:ilvl="8" w:tplc="C05C121E">
      <w:start w:val="1"/>
      <w:numFmt w:val="bullet"/>
      <w:lvlText w:val=""/>
      <w:lvlJc w:val="left"/>
      <w:pPr>
        <w:tabs>
          <w:tab w:val="num" w:pos="6480"/>
        </w:tabs>
        <w:ind w:left="6480" w:hanging="360"/>
      </w:pPr>
      <w:rPr>
        <w:rFonts w:ascii="Wingdings" w:hAnsi="Wingdings"/>
      </w:rPr>
    </w:lvl>
  </w:abstractNum>
  <w:abstractNum w:abstractNumId="194" w15:restartNumberingAfterBreak="0">
    <w:nsid w:val="72230584"/>
    <w:multiLevelType w:val="hybridMultilevel"/>
    <w:tmpl w:val="72230584"/>
    <w:lvl w:ilvl="0" w:tplc="BB202E92">
      <w:start w:val="1"/>
      <w:numFmt w:val="bullet"/>
      <w:lvlText w:val=""/>
      <w:lvlJc w:val="left"/>
      <w:pPr>
        <w:ind w:left="720" w:hanging="360"/>
      </w:pPr>
      <w:rPr>
        <w:rFonts w:ascii="Symbol" w:hAnsi="Symbol"/>
      </w:rPr>
    </w:lvl>
    <w:lvl w:ilvl="1" w:tplc="00FABDA0">
      <w:start w:val="1"/>
      <w:numFmt w:val="bullet"/>
      <w:lvlText w:val="o"/>
      <w:lvlJc w:val="left"/>
      <w:pPr>
        <w:ind w:left="1440" w:hanging="360"/>
      </w:pPr>
      <w:rPr>
        <w:rFonts w:ascii="Courier New" w:hAnsi="Courier New"/>
      </w:rPr>
    </w:lvl>
    <w:lvl w:ilvl="2" w:tplc="568244FC">
      <w:start w:val="1"/>
      <w:numFmt w:val="bullet"/>
      <w:lvlText w:val=""/>
      <w:lvlJc w:val="left"/>
      <w:pPr>
        <w:tabs>
          <w:tab w:val="num" w:pos="2160"/>
        </w:tabs>
        <w:ind w:left="2160" w:hanging="360"/>
      </w:pPr>
      <w:rPr>
        <w:rFonts w:ascii="Wingdings" w:hAnsi="Wingdings"/>
      </w:rPr>
    </w:lvl>
    <w:lvl w:ilvl="3" w:tplc="EA9E5CB0">
      <w:start w:val="1"/>
      <w:numFmt w:val="bullet"/>
      <w:lvlText w:val=""/>
      <w:lvlJc w:val="left"/>
      <w:pPr>
        <w:tabs>
          <w:tab w:val="num" w:pos="2880"/>
        </w:tabs>
        <w:ind w:left="2880" w:hanging="360"/>
      </w:pPr>
      <w:rPr>
        <w:rFonts w:ascii="Symbol" w:hAnsi="Symbol"/>
      </w:rPr>
    </w:lvl>
    <w:lvl w:ilvl="4" w:tplc="297CEEBC">
      <w:start w:val="1"/>
      <w:numFmt w:val="bullet"/>
      <w:lvlText w:val="o"/>
      <w:lvlJc w:val="left"/>
      <w:pPr>
        <w:tabs>
          <w:tab w:val="num" w:pos="3600"/>
        </w:tabs>
        <w:ind w:left="3600" w:hanging="360"/>
      </w:pPr>
      <w:rPr>
        <w:rFonts w:ascii="Courier New" w:hAnsi="Courier New"/>
      </w:rPr>
    </w:lvl>
    <w:lvl w:ilvl="5" w:tplc="575488E8">
      <w:start w:val="1"/>
      <w:numFmt w:val="bullet"/>
      <w:lvlText w:val=""/>
      <w:lvlJc w:val="left"/>
      <w:pPr>
        <w:tabs>
          <w:tab w:val="num" w:pos="4320"/>
        </w:tabs>
        <w:ind w:left="4320" w:hanging="360"/>
      </w:pPr>
      <w:rPr>
        <w:rFonts w:ascii="Wingdings" w:hAnsi="Wingdings"/>
      </w:rPr>
    </w:lvl>
    <w:lvl w:ilvl="6" w:tplc="CB5AC13A">
      <w:start w:val="1"/>
      <w:numFmt w:val="bullet"/>
      <w:lvlText w:val=""/>
      <w:lvlJc w:val="left"/>
      <w:pPr>
        <w:tabs>
          <w:tab w:val="num" w:pos="5040"/>
        </w:tabs>
        <w:ind w:left="5040" w:hanging="360"/>
      </w:pPr>
      <w:rPr>
        <w:rFonts w:ascii="Symbol" w:hAnsi="Symbol"/>
      </w:rPr>
    </w:lvl>
    <w:lvl w:ilvl="7" w:tplc="625E49F0">
      <w:start w:val="1"/>
      <w:numFmt w:val="bullet"/>
      <w:lvlText w:val="o"/>
      <w:lvlJc w:val="left"/>
      <w:pPr>
        <w:tabs>
          <w:tab w:val="num" w:pos="5760"/>
        </w:tabs>
        <w:ind w:left="5760" w:hanging="360"/>
      </w:pPr>
      <w:rPr>
        <w:rFonts w:ascii="Courier New" w:hAnsi="Courier New"/>
      </w:rPr>
    </w:lvl>
    <w:lvl w:ilvl="8" w:tplc="E5AA5474">
      <w:start w:val="1"/>
      <w:numFmt w:val="bullet"/>
      <w:lvlText w:val=""/>
      <w:lvlJc w:val="left"/>
      <w:pPr>
        <w:tabs>
          <w:tab w:val="num" w:pos="6480"/>
        </w:tabs>
        <w:ind w:left="6480" w:hanging="360"/>
      </w:pPr>
      <w:rPr>
        <w:rFonts w:ascii="Wingdings" w:hAnsi="Wingdings"/>
      </w:rPr>
    </w:lvl>
  </w:abstractNum>
  <w:abstractNum w:abstractNumId="195" w15:restartNumberingAfterBreak="0">
    <w:nsid w:val="72230585"/>
    <w:multiLevelType w:val="hybridMultilevel"/>
    <w:tmpl w:val="72230585"/>
    <w:lvl w:ilvl="0" w:tplc="ABD0C812">
      <w:start w:val="1"/>
      <w:numFmt w:val="bullet"/>
      <w:lvlText w:val=""/>
      <w:lvlJc w:val="left"/>
      <w:pPr>
        <w:ind w:left="720" w:hanging="360"/>
      </w:pPr>
      <w:rPr>
        <w:rFonts w:ascii="Symbol" w:hAnsi="Symbol"/>
      </w:rPr>
    </w:lvl>
    <w:lvl w:ilvl="1" w:tplc="D93ED2DA">
      <w:start w:val="1"/>
      <w:numFmt w:val="bullet"/>
      <w:lvlText w:val="o"/>
      <w:lvlJc w:val="left"/>
      <w:pPr>
        <w:tabs>
          <w:tab w:val="num" w:pos="1440"/>
        </w:tabs>
        <w:ind w:left="1440" w:hanging="360"/>
      </w:pPr>
      <w:rPr>
        <w:rFonts w:ascii="Courier New" w:hAnsi="Courier New"/>
      </w:rPr>
    </w:lvl>
    <w:lvl w:ilvl="2" w:tplc="77BA96DA">
      <w:start w:val="1"/>
      <w:numFmt w:val="bullet"/>
      <w:lvlText w:val=""/>
      <w:lvlJc w:val="left"/>
      <w:pPr>
        <w:tabs>
          <w:tab w:val="num" w:pos="2160"/>
        </w:tabs>
        <w:ind w:left="2160" w:hanging="360"/>
      </w:pPr>
      <w:rPr>
        <w:rFonts w:ascii="Wingdings" w:hAnsi="Wingdings"/>
      </w:rPr>
    </w:lvl>
    <w:lvl w:ilvl="3" w:tplc="B55C1B80">
      <w:start w:val="1"/>
      <w:numFmt w:val="bullet"/>
      <w:lvlText w:val=""/>
      <w:lvlJc w:val="left"/>
      <w:pPr>
        <w:tabs>
          <w:tab w:val="num" w:pos="2880"/>
        </w:tabs>
        <w:ind w:left="2880" w:hanging="360"/>
      </w:pPr>
      <w:rPr>
        <w:rFonts w:ascii="Symbol" w:hAnsi="Symbol"/>
      </w:rPr>
    </w:lvl>
    <w:lvl w:ilvl="4" w:tplc="46EC421A">
      <w:start w:val="1"/>
      <w:numFmt w:val="bullet"/>
      <w:lvlText w:val="o"/>
      <w:lvlJc w:val="left"/>
      <w:pPr>
        <w:tabs>
          <w:tab w:val="num" w:pos="3600"/>
        </w:tabs>
        <w:ind w:left="3600" w:hanging="360"/>
      </w:pPr>
      <w:rPr>
        <w:rFonts w:ascii="Courier New" w:hAnsi="Courier New"/>
      </w:rPr>
    </w:lvl>
    <w:lvl w:ilvl="5" w:tplc="5170AD3A">
      <w:start w:val="1"/>
      <w:numFmt w:val="bullet"/>
      <w:lvlText w:val=""/>
      <w:lvlJc w:val="left"/>
      <w:pPr>
        <w:tabs>
          <w:tab w:val="num" w:pos="4320"/>
        </w:tabs>
        <w:ind w:left="4320" w:hanging="360"/>
      </w:pPr>
      <w:rPr>
        <w:rFonts w:ascii="Wingdings" w:hAnsi="Wingdings"/>
      </w:rPr>
    </w:lvl>
    <w:lvl w:ilvl="6" w:tplc="2C645DBC">
      <w:start w:val="1"/>
      <w:numFmt w:val="bullet"/>
      <w:lvlText w:val=""/>
      <w:lvlJc w:val="left"/>
      <w:pPr>
        <w:tabs>
          <w:tab w:val="num" w:pos="5040"/>
        </w:tabs>
        <w:ind w:left="5040" w:hanging="360"/>
      </w:pPr>
      <w:rPr>
        <w:rFonts w:ascii="Symbol" w:hAnsi="Symbol"/>
      </w:rPr>
    </w:lvl>
    <w:lvl w:ilvl="7" w:tplc="567AFEF0">
      <w:start w:val="1"/>
      <w:numFmt w:val="bullet"/>
      <w:lvlText w:val="o"/>
      <w:lvlJc w:val="left"/>
      <w:pPr>
        <w:tabs>
          <w:tab w:val="num" w:pos="5760"/>
        </w:tabs>
        <w:ind w:left="5760" w:hanging="360"/>
      </w:pPr>
      <w:rPr>
        <w:rFonts w:ascii="Courier New" w:hAnsi="Courier New"/>
      </w:rPr>
    </w:lvl>
    <w:lvl w:ilvl="8" w:tplc="D1844A7C">
      <w:start w:val="1"/>
      <w:numFmt w:val="bullet"/>
      <w:lvlText w:val=""/>
      <w:lvlJc w:val="left"/>
      <w:pPr>
        <w:tabs>
          <w:tab w:val="num" w:pos="6480"/>
        </w:tabs>
        <w:ind w:left="6480" w:hanging="360"/>
      </w:pPr>
      <w:rPr>
        <w:rFonts w:ascii="Wingdings" w:hAnsi="Wingdings"/>
      </w:rPr>
    </w:lvl>
  </w:abstractNum>
  <w:abstractNum w:abstractNumId="196" w15:restartNumberingAfterBreak="0">
    <w:nsid w:val="72230586"/>
    <w:multiLevelType w:val="hybridMultilevel"/>
    <w:tmpl w:val="72230586"/>
    <w:lvl w:ilvl="0" w:tplc="2E76BDE6">
      <w:start w:val="1"/>
      <w:numFmt w:val="bullet"/>
      <w:lvlText w:val="o"/>
      <w:lvlJc w:val="left"/>
      <w:pPr>
        <w:ind w:left="720" w:hanging="360"/>
      </w:pPr>
      <w:rPr>
        <w:rFonts w:ascii="Courier New" w:hAnsi="Courier New"/>
      </w:rPr>
    </w:lvl>
    <w:lvl w:ilvl="1" w:tplc="B0CC378E">
      <w:start w:val="1"/>
      <w:numFmt w:val="bullet"/>
      <w:lvlText w:val="o"/>
      <w:lvlJc w:val="left"/>
      <w:pPr>
        <w:tabs>
          <w:tab w:val="num" w:pos="1440"/>
        </w:tabs>
        <w:ind w:left="1440" w:hanging="360"/>
      </w:pPr>
      <w:rPr>
        <w:rFonts w:ascii="Courier New" w:hAnsi="Courier New"/>
      </w:rPr>
    </w:lvl>
    <w:lvl w:ilvl="2" w:tplc="B9102C48">
      <w:start w:val="1"/>
      <w:numFmt w:val="bullet"/>
      <w:lvlText w:val=""/>
      <w:lvlJc w:val="left"/>
      <w:pPr>
        <w:tabs>
          <w:tab w:val="num" w:pos="2160"/>
        </w:tabs>
        <w:ind w:left="2160" w:hanging="360"/>
      </w:pPr>
      <w:rPr>
        <w:rFonts w:ascii="Wingdings" w:hAnsi="Wingdings"/>
      </w:rPr>
    </w:lvl>
    <w:lvl w:ilvl="3" w:tplc="345863D6">
      <w:start w:val="1"/>
      <w:numFmt w:val="bullet"/>
      <w:lvlText w:val=""/>
      <w:lvlJc w:val="left"/>
      <w:pPr>
        <w:tabs>
          <w:tab w:val="num" w:pos="2880"/>
        </w:tabs>
        <w:ind w:left="2880" w:hanging="360"/>
      </w:pPr>
      <w:rPr>
        <w:rFonts w:ascii="Symbol" w:hAnsi="Symbol"/>
      </w:rPr>
    </w:lvl>
    <w:lvl w:ilvl="4" w:tplc="9DCC3C2C">
      <w:start w:val="1"/>
      <w:numFmt w:val="bullet"/>
      <w:lvlText w:val="o"/>
      <w:lvlJc w:val="left"/>
      <w:pPr>
        <w:tabs>
          <w:tab w:val="num" w:pos="3600"/>
        </w:tabs>
        <w:ind w:left="3600" w:hanging="360"/>
      </w:pPr>
      <w:rPr>
        <w:rFonts w:ascii="Courier New" w:hAnsi="Courier New"/>
      </w:rPr>
    </w:lvl>
    <w:lvl w:ilvl="5" w:tplc="B3C070D4">
      <w:start w:val="1"/>
      <w:numFmt w:val="bullet"/>
      <w:lvlText w:val=""/>
      <w:lvlJc w:val="left"/>
      <w:pPr>
        <w:tabs>
          <w:tab w:val="num" w:pos="4320"/>
        </w:tabs>
        <w:ind w:left="4320" w:hanging="360"/>
      </w:pPr>
      <w:rPr>
        <w:rFonts w:ascii="Wingdings" w:hAnsi="Wingdings"/>
      </w:rPr>
    </w:lvl>
    <w:lvl w:ilvl="6" w:tplc="EDCC2FFA">
      <w:start w:val="1"/>
      <w:numFmt w:val="bullet"/>
      <w:lvlText w:val=""/>
      <w:lvlJc w:val="left"/>
      <w:pPr>
        <w:tabs>
          <w:tab w:val="num" w:pos="5040"/>
        </w:tabs>
        <w:ind w:left="5040" w:hanging="360"/>
      </w:pPr>
      <w:rPr>
        <w:rFonts w:ascii="Symbol" w:hAnsi="Symbol"/>
      </w:rPr>
    </w:lvl>
    <w:lvl w:ilvl="7" w:tplc="00D2BB4E">
      <w:start w:val="1"/>
      <w:numFmt w:val="bullet"/>
      <w:lvlText w:val="o"/>
      <w:lvlJc w:val="left"/>
      <w:pPr>
        <w:tabs>
          <w:tab w:val="num" w:pos="5760"/>
        </w:tabs>
        <w:ind w:left="5760" w:hanging="360"/>
      </w:pPr>
      <w:rPr>
        <w:rFonts w:ascii="Courier New" w:hAnsi="Courier New"/>
      </w:rPr>
    </w:lvl>
    <w:lvl w:ilvl="8" w:tplc="46EAE446">
      <w:start w:val="1"/>
      <w:numFmt w:val="bullet"/>
      <w:lvlText w:val=""/>
      <w:lvlJc w:val="left"/>
      <w:pPr>
        <w:tabs>
          <w:tab w:val="num" w:pos="6480"/>
        </w:tabs>
        <w:ind w:left="6480" w:hanging="360"/>
      </w:pPr>
      <w:rPr>
        <w:rFonts w:ascii="Wingdings" w:hAnsi="Wingdings"/>
      </w:rPr>
    </w:lvl>
  </w:abstractNum>
  <w:abstractNum w:abstractNumId="197" w15:restartNumberingAfterBreak="0">
    <w:nsid w:val="72230587"/>
    <w:multiLevelType w:val="hybridMultilevel"/>
    <w:tmpl w:val="72230587"/>
    <w:lvl w:ilvl="0" w:tplc="ACB4E274">
      <w:start w:val="1"/>
      <w:numFmt w:val="bullet"/>
      <w:lvlText w:val=""/>
      <w:lvlJc w:val="left"/>
      <w:pPr>
        <w:ind w:left="720" w:hanging="360"/>
      </w:pPr>
      <w:rPr>
        <w:rFonts w:ascii="Symbol" w:hAnsi="Symbol"/>
      </w:rPr>
    </w:lvl>
    <w:lvl w:ilvl="1" w:tplc="F7CE59B6">
      <w:start w:val="1"/>
      <w:numFmt w:val="bullet"/>
      <w:lvlText w:val="o"/>
      <w:lvlJc w:val="left"/>
      <w:pPr>
        <w:ind w:left="1440" w:hanging="360"/>
      </w:pPr>
      <w:rPr>
        <w:rFonts w:ascii="Courier New" w:hAnsi="Courier New"/>
      </w:rPr>
    </w:lvl>
    <w:lvl w:ilvl="2" w:tplc="F7B0C980">
      <w:start w:val="1"/>
      <w:numFmt w:val="bullet"/>
      <w:lvlText w:val=""/>
      <w:lvlJc w:val="left"/>
      <w:pPr>
        <w:tabs>
          <w:tab w:val="num" w:pos="2160"/>
        </w:tabs>
        <w:ind w:left="2160" w:hanging="360"/>
      </w:pPr>
      <w:rPr>
        <w:rFonts w:ascii="Wingdings" w:hAnsi="Wingdings"/>
      </w:rPr>
    </w:lvl>
    <w:lvl w:ilvl="3" w:tplc="D152BC1E">
      <w:start w:val="1"/>
      <w:numFmt w:val="bullet"/>
      <w:lvlText w:val=""/>
      <w:lvlJc w:val="left"/>
      <w:pPr>
        <w:tabs>
          <w:tab w:val="num" w:pos="2880"/>
        </w:tabs>
        <w:ind w:left="2880" w:hanging="360"/>
      </w:pPr>
      <w:rPr>
        <w:rFonts w:ascii="Symbol" w:hAnsi="Symbol"/>
      </w:rPr>
    </w:lvl>
    <w:lvl w:ilvl="4" w:tplc="755A97AC">
      <w:start w:val="1"/>
      <w:numFmt w:val="bullet"/>
      <w:lvlText w:val="o"/>
      <w:lvlJc w:val="left"/>
      <w:pPr>
        <w:tabs>
          <w:tab w:val="num" w:pos="3600"/>
        </w:tabs>
        <w:ind w:left="3600" w:hanging="360"/>
      </w:pPr>
      <w:rPr>
        <w:rFonts w:ascii="Courier New" w:hAnsi="Courier New"/>
      </w:rPr>
    </w:lvl>
    <w:lvl w:ilvl="5" w:tplc="1A2A0F70">
      <w:start w:val="1"/>
      <w:numFmt w:val="bullet"/>
      <w:lvlText w:val=""/>
      <w:lvlJc w:val="left"/>
      <w:pPr>
        <w:tabs>
          <w:tab w:val="num" w:pos="4320"/>
        </w:tabs>
        <w:ind w:left="4320" w:hanging="360"/>
      </w:pPr>
      <w:rPr>
        <w:rFonts w:ascii="Wingdings" w:hAnsi="Wingdings"/>
      </w:rPr>
    </w:lvl>
    <w:lvl w:ilvl="6" w:tplc="9BE8C14C">
      <w:start w:val="1"/>
      <w:numFmt w:val="bullet"/>
      <w:lvlText w:val=""/>
      <w:lvlJc w:val="left"/>
      <w:pPr>
        <w:tabs>
          <w:tab w:val="num" w:pos="5040"/>
        </w:tabs>
        <w:ind w:left="5040" w:hanging="360"/>
      </w:pPr>
      <w:rPr>
        <w:rFonts w:ascii="Symbol" w:hAnsi="Symbol"/>
      </w:rPr>
    </w:lvl>
    <w:lvl w:ilvl="7" w:tplc="1C52F0EC">
      <w:start w:val="1"/>
      <w:numFmt w:val="bullet"/>
      <w:lvlText w:val="o"/>
      <w:lvlJc w:val="left"/>
      <w:pPr>
        <w:tabs>
          <w:tab w:val="num" w:pos="5760"/>
        </w:tabs>
        <w:ind w:left="5760" w:hanging="360"/>
      </w:pPr>
      <w:rPr>
        <w:rFonts w:ascii="Courier New" w:hAnsi="Courier New"/>
      </w:rPr>
    </w:lvl>
    <w:lvl w:ilvl="8" w:tplc="4B3A3D00">
      <w:start w:val="1"/>
      <w:numFmt w:val="bullet"/>
      <w:lvlText w:val=""/>
      <w:lvlJc w:val="left"/>
      <w:pPr>
        <w:tabs>
          <w:tab w:val="num" w:pos="6480"/>
        </w:tabs>
        <w:ind w:left="6480" w:hanging="360"/>
      </w:pPr>
      <w:rPr>
        <w:rFonts w:ascii="Wingdings" w:hAnsi="Wingdings"/>
      </w:rPr>
    </w:lvl>
  </w:abstractNum>
  <w:abstractNum w:abstractNumId="198" w15:restartNumberingAfterBreak="0">
    <w:nsid w:val="72230588"/>
    <w:multiLevelType w:val="hybridMultilevel"/>
    <w:tmpl w:val="72230588"/>
    <w:lvl w:ilvl="0" w:tplc="A55072C8">
      <w:start w:val="1"/>
      <w:numFmt w:val="bullet"/>
      <w:lvlText w:val=""/>
      <w:lvlJc w:val="left"/>
      <w:pPr>
        <w:ind w:left="720" w:hanging="360"/>
      </w:pPr>
      <w:rPr>
        <w:rFonts w:ascii="Symbol" w:hAnsi="Symbol"/>
      </w:rPr>
    </w:lvl>
    <w:lvl w:ilvl="1" w:tplc="C30A10BE">
      <w:start w:val="1"/>
      <w:numFmt w:val="bullet"/>
      <w:lvlText w:val="o"/>
      <w:lvlJc w:val="left"/>
      <w:pPr>
        <w:tabs>
          <w:tab w:val="num" w:pos="1440"/>
        </w:tabs>
        <w:ind w:left="1440" w:hanging="360"/>
      </w:pPr>
      <w:rPr>
        <w:rFonts w:ascii="Courier New" w:hAnsi="Courier New"/>
      </w:rPr>
    </w:lvl>
    <w:lvl w:ilvl="2" w:tplc="C696071C">
      <w:start w:val="1"/>
      <w:numFmt w:val="bullet"/>
      <w:lvlText w:val=""/>
      <w:lvlJc w:val="left"/>
      <w:pPr>
        <w:tabs>
          <w:tab w:val="num" w:pos="2160"/>
        </w:tabs>
        <w:ind w:left="2160" w:hanging="360"/>
      </w:pPr>
      <w:rPr>
        <w:rFonts w:ascii="Wingdings" w:hAnsi="Wingdings"/>
      </w:rPr>
    </w:lvl>
    <w:lvl w:ilvl="3" w:tplc="298E77E4">
      <w:start w:val="1"/>
      <w:numFmt w:val="bullet"/>
      <w:lvlText w:val=""/>
      <w:lvlJc w:val="left"/>
      <w:pPr>
        <w:tabs>
          <w:tab w:val="num" w:pos="2880"/>
        </w:tabs>
        <w:ind w:left="2880" w:hanging="360"/>
      </w:pPr>
      <w:rPr>
        <w:rFonts w:ascii="Symbol" w:hAnsi="Symbol"/>
      </w:rPr>
    </w:lvl>
    <w:lvl w:ilvl="4" w:tplc="D8F23636">
      <w:start w:val="1"/>
      <w:numFmt w:val="bullet"/>
      <w:lvlText w:val="o"/>
      <w:lvlJc w:val="left"/>
      <w:pPr>
        <w:tabs>
          <w:tab w:val="num" w:pos="3600"/>
        </w:tabs>
        <w:ind w:left="3600" w:hanging="360"/>
      </w:pPr>
      <w:rPr>
        <w:rFonts w:ascii="Courier New" w:hAnsi="Courier New"/>
      </w:rPr>
    </w:lvl>
    <w:lvl w:ilvl="5" w:tplc="1FE88840">
      <w:start w:val="1"/>
      <w:numFmt w:val="bullet"/>
      <w:lvlText w:val=""/>
      <w:lvlJc w:val="left"/>
      <w:pPr>
        <w:tabs>
          <w:tab w:val="num" w:pos="4320"/>
        </w:tabs>
        <w:ind w:left="4320" w:hanging="360"/>
      </w:pPr>
      <w:rPr>
        <w:rFonts w:ascii="Wingdings" w:hAnsi="Wingdings"/>
      </w:rPr>
    </w:lvl>
    <w:lvl w:ilvl="6" w:tplc="AAB6BB9E">
      <w:start w:val="1"/>
      <w:numFmt w:val="bullet"/>
      <w:lvlText w:val=""/>
      <w:lvlJc w:val="left"/>
      <w:pPr>
        <w:tabs>
          <w:tab w:val="num" w:pos="5040"/>
        </w:tabs>
        <w:ind w:left="5040" w:hanging="360"/>
      </w:pPr>
      <w:rPr>
        <w:rFonts w:ascii="Symbol" w:hAnsi="Symbol"/>
      </w:rPr>
    </w:lvl>
    <w:lvl w:ilvl="7" w:tplc="16CCFFCA">
      <w:start w:val="1"/>
      <w:numFmt w:val="bullet"/>
      <w:lvlText w:val="o"/>
      <w:lvlJc w:val="left"/>
      <w:pPr>
        <w:tabs>
          <w:tab w:val="num" w:pos="5760"/>
        </w:tabs>
        <w:ind w:left="5760" w:hanging="360"/>
      </w:pPr>
      <w:rPr>
        <w:rFonts w:ascii="Courier New" w:hAnsi="Courier New"/>
      </w:rPr>
    </w:lvl>
    <w:lvl w:ilvl="8" w:tplc="8B26B062">
      <w:start w:val="1"/>
      <w:numFmt w:val="bullet"/>
      <w:lvlText w:val=""/>
      <w:lvlJc w:val="left"/>
      <w:pPr>
        <w:tabs>
          <w:tab w:val="num" w:pos="6480"/>
        </w:tabs>
        <w:ind w:left="6480" w:hanging="360"/>
      </w:pPr>
      <w:rPr>
        <w:rFonts w:ascii="Wingdings" w:hAnsi="Wingdings"/>
      </w:rPr>
    </w:lvl>
  </w:abstractNum>
  <w:abstractNum w:abstractNumId="199" w15:restartNumberingAfterBreak="0">
    <w:nsid w:val="72230589"/>
    <w:multiLevelType w:val="hybridMultilevel"/>
    <w:tmpl w:val="72230589"/>
    <w:lvl w:ilvl="0" w:tplc="09124D34">
      <w:start w:val="1"/>
      <w:numFmt w:val="bullet"/>
      <w:lvlText w:val=""/>
      <w:lvlJc w:val="left"/>
      <w:pPr>
        <w:ind w:left="720" w:hanging="360"/>
      </w:pPr>
      <w:rPr>
        <w:rFonts w:ascii="Symbol" w:hAnsi="Symbol"/>
      </w:rPr>
    </w:lvl>
    <w:lvl w:ilvl="1" w:tplc="12B87C06">
      <w:start w:val="1"/>
      <w:numFmt w:val="bullet"/>
      <w:lvlText w:val="o"/>
      <w:lvlJc w:val="left"/>
      <w:pPr>
        <w:tabs>
          <w:tab w:val="num" w:pos="1440"/>
        </w:tabs>
        <w:ind w:left="1440" w:hanging="360"/>
      </w:pPr>
      <w:rPr>
        <w:rFonts w:ascii="Courier New" w:hAnsi="Courier New"/>
      </w:rPr>
    </w:lvl>
    <w:lvl w:ilvl="2" w:tplc="77F43E22">
      <w:start w:val="1"/>
      <w:numFmt w:val="bullet"/>
      <w:lvlText w:val=""/>
      <w:lvlJc w:val="left"/>
      <w:pPr>
        <w:tabs>
          <w:tab w:val="num" w:pos="2160"/>
        </w:tabs>
        <w:ind w:left="2160" w:hanging="360"/>
      </w:pPr>
      <w:rPr>
        <w:rFonts w:ascii="Wingdings" w:hAnsi="Wingdings"/>
      </w:rPr>
    </w:lvl>
    <w:lvl w:ilvl="3" w:tplc="F55C947C">
      <w:start w:val="1"/>
      <w:numFmt w:val="bullet"/>
      <w:lvlText w:val=""/>
      <w:lvlJc w:val="left"/>
      <w:pPr>
        <w:tabs>
          <w:tab w:val="num" w:pos="2880"/>
        </w:tabs>
        <w:ind w:left="2880" w:hanging="360"/>
      </w:pPr>
      <w:rPr>
        <w:rFonts w:ascii="Symbol" w:hAnsi="Symbol"/>
      </w:rPr>
    </w:lvl>
    <w:lvl w:ilvl="4" w:tplc="DD2C6278">
      <w:start w:val="1"/>
      <w:numFmt w:val="bullet"/>
      <w:lvlText w:val="o"/>
      <w:lvlJc w:val="left"/>
      <w:pPr>
        <w:tabs>
          <w:tab w:val="num" w:pos="3600"/>
        </w:tabs>
        <w:ind w:left="3600" w:hanging="360"/>
      </w:pPr>
      <w:rPr>
        <w:rFonts w:ascii="Courier New" w:hAnsi="Courier New"/>
      </w:rPr>
    </w:lvl>
    <w:lvl w:ilvl="5" w:tplc="FDB22A72">
      <w:start w:val="1"/>
      <w:numFmt w:val="bullet"/>
      <w:lvlText w:val=""/>
      <w:lvlJc w:val="left"/>
      <w:pPr>
        <w:tabs>
          <w:tab w:val="num" w:pos="4320"/>
        </w:tabs>
        <w:ind w:left="4320" w:hanging="360"/>
      </w:pPr>
      <w:rPr>
        <w:rFonts w:ascii="Wingdings" w:hAnsi="Wingdings"/>
      </w:rPr>
    </w:lvl>
    <w:lvl w:ilvl="6" w:tplc="E2E4C626">
      <w:start w:val="1"/>
      <w:numFmt w:val="bullet"/>
      <w:lvlText w:val=""/>
      <w:lvlJc w:val="left"/>
      <w:pPr>
        <w:tabs>
          <w:tab w:val="num" w:pos="5040"/>
        </w:tabs>
        <w:ind w:left="5040" w:hanging="360"/>
      </w:pPr>
      <w:rPr>
        <w:rFonts w:ascii="Symbol" w:hAnsi="Symbol"/>
      </w:rPr>
    </w:lvl>
    <w:lvl w:ilvl="7" w:tplc="5BB0E5F0">
      <w:start w:val="1"/>
      <w:numFmt w:val="bullet"/>
      <w:lvlText w:val="o"/>
      <w:lvlJc w:val="left"/>
      <w:pPr>
        <w:tabs>
          <w:tab w:val="num" w:pos="5760"/>
        </w:tabs>
        <w:ind w:left="5760" w:hanging="360"/>
      </w:pPr>
      <w:rPr>
        <w:rFonts w:ascii="Courier New" w:hAnsi="Courier New"/>
      </w:rPr>
    </w:lvl>
    <w:lvl w:ilvl="8" w:tplc="BB0A091A">
      <w:start w:val="1"/>
      <w:numFmt w:val="bullet"/>
      <w:lvlText w:val=""/>
      <w:lvlJc w:val="left"/>
      <w:pPr>
        <w:tabs>
          <w:tab w:val="num" w:pos="6480"/>
        </w:tabs>
        <w:ind w:left="6480" w:hanging="360"/>
      </w:pPr>
      <w:rPr>
        <w:rFonts w:ascii="Wingdings" w:hAnsi="Wingdings"/>
      </w:rPr>
    </w:lvl>
  </w:abstractNum>
  <w:abstractNum w:abstractNumId="200" w15:restartNumberingAfterBreak="0">
    <w:nsid w:val="7223058A"/>
    <w:multiLevelType w:val="hybridMultilevel"/>
    <w:tmpl w:val="7223058A"/>
    <w:lvl w:ilvl="0" w:tplc="DD42E9B6">
      <w:start w:val="1"/>
      <w:numFmt w:val="bullet"/>
      <w:lvlText w:val=""/>
      <w:lvlJc w:val="left"/>
      <w:pPr>
        <w:ind w:left="720" w:hanging="360"/>
      </w:pPr>
      <w:rPr>
        <w:rFonts w:ascii="Symbol" w:hAnsi="Symbol"/>
      </w:rPr>
    </w:lvl>
    <w:lvl w:ilvl="1" w:tplc="684A3684">
      <w:start w:val="1"/>
      <w:numFmt w:val="bullet"/>
      <w:lvlText w:val="o"/>
      <w:lvlJc w:val="left"/>
      <w:pPr>
        <w:tabs>
          <w:tab w:val="num" w:pos="1440"/>
        </w:tabs>
        <w:ind w:left="1440" w:hanging="360"/>
      </w:pPr>
      <w:rPr>
        <w:rFonts w:ascii="Courier New" w:hAnsi="Courier New"/>
      </w:rPr>
    </w:lvl>
    <w:lvl w:ilvl="2" w:tplc="C0D41FE6">
      <w:start w:val="1"/>
      <w:numFmt w:val="bullet"/>
      <w:lvlText w:val=""/>
      <w:lvlJc w:val="left"/>
      <w:pPr>
        <w:tabs>
          <w:tab w:val="num" w:pos="2160"/>
        </w:tabs>
        <w:ind w:left="2160" w:hanging="360"/>
      </w:pPr>
      <w:rPr>
        <w:rFonts w:ascii="Wingdings" w:hAnsi="Wingdings"/>
      </w:rPr>
    </w:lvl>
    <w:lvl w:ilvl="3" w:tplc="00D4075A">
      <w:start w:val="1"/>
      <w:numFmt w:val="bullet"/>
      <w:lvlText w:val=""/>
      <w:lvlJc w:val="left"/>
      <w:pPr>
        <w:tabs>
          <w:tab w:val="num" w:pos="2880"/>
        </w:tabs>
        <w:ind w:left="2880" w:hanging="360"/>
      </w:pPr>
      <w:rPr>
        <w:rFonts w:ascii="Symbol" w:hAnsi="Symbol"/>
      </w:rPr>
    </w:lvl>
    <w:lvl w:ilvl="4" w:tplc="5CA81C9C">
      <w:start w:val="1"/>
      <w:numFmt w:val="bullet"/>
      <w:lvlText w:val="o"/>
      <w:lvlJc w:val="left"/>
      <w:pPr>
        <w:tabs>
          <w:tab w:val="num" w:pos="3600"/>
        </w:tabs>
        <w:ind w:left="3600" w:hanging="360"/>
      </w:pPr>
      <w:rPr>
        <w:rFonts w:ascii="Courier New" w:hAnsi="Courier New"/>
      </w:rPr>
    </w:lvl>
    <w:lvl w:ilvl="5" w:tplc="04A0BCAC">
      <w:start w:val="1"/>
      <w:numFmt w:val="bullet"/>
      <w:lvlText w:val=""/>
      <w:lvlJc w:val="left"/>
      <w:pPr>
        <w:tabs>
          <w:tab w:val="num" w:pos="4320"/>
        </w:tabs>
        <w:ind w:left="4320" w:hanging="360"/>
      </w:pPr>
      <w:rPr>
        <w:rFonts w:ascii="Wingdings" w:hAnsi="Wingdings"/>
      </w:rPr>
    </w:lvl>
    <w:lvl w:ilvl="6" w:tplc="88B611C0">
      <w:start w:val="1"/>
      <w:numFmt w:val="bullet"/>
      <w:lvlText w:val=""/>
      <w:lvlJc w:val="left"/>
      <w:pPr>
        <w:tabs>
          <w:tab w:val="num" w:pos="5040"/>
        </w:tabs>
        <w:ind w:left="5040" w:hanging="360"/>
      </w:pPr>
      <w:rPr>
        <w:rFonts w:ascii="Symbol" w:hAnsi="Symbol"/>
      </w:rPr>
    </w:lvl>
    <w:lvl w:ilvl="7" w:tplc="341206EC">
      <w:start w:val="1"/>
      <w:numFmt w:val="bullet"/>
      <w:lvlText w:val="o"/>
      <w:lvlJc w:val="left"/>
      <w:pPr>
        <w:tabs>
          <w:tab w:val="num" w:pos="5760"/>
        </w:tabs>
        <w:ind w:left="5760" w:hanging="360"/>
      </w:pPr>
      <w:rPr>
        <w:rFonts w:ascii="Courier New" w:hAnsi="Courier New"/>
      </w:rPr>
    </w:lvl>
    <w:lvl w:ilvl="8" w:tplc="06B0E1DE">
      <w:start w:val="1"/>
      <w:numFmt w:val="bullet"/>
      <w:lvlText w:val=""/>
      <w:lvlJc w:val="left"/>
      <w:pPr>
        <w:tabs>
          <w:tab w:val="num" w:pos="6480"/>
        </w:tabs>
        <w:ind w:left="6480" w:hanging="360"/>
      </w:pPr>
      <w:rPr>
        <w:rFonts w:ascii="Wingdings" w:hAnsi="Wingdings"/>
      </w:rPr>
    </w:lvl>
  </w:abstractNum>
  <w:abstractNum w:abstractNumId="201" w15:restartNumberingAfterBreak="0">
    <w:nsid w:val="7223058B"/>
    <w:multiLevelType w:val="hybridMultilevel"/>
    <w:tmpl w:val="7223058B"/>
    <w:lvl w:ilvl="0" w:tplc="E4005978">
      <w:start w:val="1"/>
      <w:numFmt w:val="bullet"/>
      <w:lvlText w:val=""/>
      <w:lvlJc w:val="left"/>
      <w:pPr>
        <w:ind w:left="720" w:hanging="360"/>
      </w:pPr>
      <w:rPr>
        <w:rFonts w:ascii="Symbol" w:hAnsi="Symbol"/>
      </w:rPr>
    </w:lvl>
    <w:lvl w:ilvl="1" w:tplc="AE28E486">
      <w:start w:val="1"/>
      <w:numFmt w:val="bullet"/>
      <w:lvlText w:val="o"/>
      <w:lvlJc w:val="left"/>
      <w:pPr>
        <w:tabs>
          <w:tab w:val="num" w:pos="1440"/>
        </w:tabs>
        <w:ind w:left="1440" w:hanging="360"/>
      </w:pPr>
      <w:rPr>
        <w:rFonts w:ascii="Courier New" w:hAnsi="Courier New"/>
      </w:rPr>
    </w:lvl>
    <w:lvl w:ilvl="2" w:tplc="9AF07C92">
      <w:start w:val="1"/>
      <w:numFmt w:val="bullet"/>
      <w:lvlText w:val=""/>
      <w:lvlJc w:val="left"/>
      <w:pPr>
        <w:tabs>
          <w:tab w:val="num" w:pos="2160"/>
        </w:tabs>
        <w:ind w:left="2160" w:hanging="360"/>
      </w:pPr>
      <w:rPr>
        <w:rFonts w:ascii="Wingdings" w:hAnsi="Wingdings"/>
      </w:rPr>
    </w:lvl>
    <w:lvl w:ilvl="3" w:tplc="4948A1B2">
      <w:start w:val="1"/>
      <w:numFmt w:val="bullet"/>
      <w:lvlText w:val=""/>
      <w:lvlJc w:val="left"/>
      <w:pPr>
        <w:tabs>
          <w:tab w:val="num" w:pos="2880"/>
        </w:tabs>
        <w:ind w:left="2880" w:hanging="360"/>
      </w:pPr>
      <w:rPr>
        <w:rFonts w:ascii="Symbol" w:hAnsi="Symbol"/>
      </w:rPr>
    </w:lvl>
    <w:lvl w:ilvl="4" w:tplc="C2A4B7F2">
      <w:start w:val="1"/>
      <w:numFmt w:val="bullet"/>
      <w:lvlText w:val="o"/>
      <w:lvlJc w:val="left"/>
      <w:pPr>
        <w:tabs>
          <w:tab w:val="num" w:pos="3600"/>
        </w:tabs>
        <w:ind w:left="3600" w:hanging="360"/>
      </w:pPr>
      <w:rPr>
        <w:rFonts w:ascii="Courier New" w:hAnsi="Courier New"/>
      </w:rPr>
    </w:lvl>
    <w:lvl w:ilvl="5" w:tplc="4F34F306">
      <w:start w:val="1"/>
      <w:numFmt w:val="bullet"/>
      <w:lvlText w:val=""/>
      <w:lvlJc w:val="left"/>
      <w:pPr>
        <w:tabs>
          <w:tab w:val="num" w:pos="4320"/>
        </w:tabs>
        <w:ind w:left="4320" w:hanging="360"/>
      </w:pPr>
      <w:rPr>
        <w:rFonts w:ascii="Wingdings" w:hAnsi="Wingdings"/>
      </w:rPr>
    </w:lvl>
    <w:lvl w:ilvl="6" w:tplc="D0FA8E9E">
      <w:start w:val="1"/>
      <w:numFmt w:val="bullet"/>
      <w:lvlText w:val=""/>
      <w:lvlJc w:val="left"/>
      <w:pPr>
        <w:tabs>
          <w:tab w:val="num" w:pos="5040"/>
        </w:tabs>
        <w:ind w:left="5040" w:hanging="360"/>
      </w:pPr>
      <w:rPr>
        <w:rFonts w:ascii="Symbol" w:hAnsi="Symbol"/>
      </w:rPr>
    </w:lvl>
    <w:lvl w:ilvl="7" w:tplc="C25CD8B4">
      <w:start w:val="1"/>
      <w:numFmt w:val="bullet"/>
      <w:lvlText w:val="o"/>
      <w:lvlJc w:val="left"/>
      <w:pPr>
        <w:tabs>
          <w:tab w:val="num" w:pos="5760"/>
        </w:tabs>
        <w:ind w:left="5760" w:hanging="360"/>
      </w:pPr>
      <w:rPr>
        <w:rFonts w:ascii="Courier New" w:hAnsi="Courier New"/>
      </w:rPr>
    </w:lvl>
    <w:lvl w:ilvl="8" w:tplc="17D4A580">
      <w:start w:val="1"/>
      <w:numFmt w:val="bullet"/>
      <w:lvlText w:val=""/>
      <w:lvlJc w:val="left"/>
      <w:pPr>
        <w:tabs>
          <w:tab w:val="num" w:pos="6480"/>
        </w:tabs>
        <w:ind w:left="6480" w:hanging="360"/>
      </w:pPr>
      <w:rPr>
        <w:rFonts w:ascii="Wingdings" w:hAnsi="Wingdings"/>
      </w:rPr>
    </w:lvl>
  </w:abstractNum>
  <w:abstractNum w:abstractNumId="202" w15:restartNumberingAfterBreak="0">
    <w:nsid w:val="7223058C"/>
    <w:multiLevelType w:val="hybridMultilevel"/>
    <w:tmpl w:val="7223058C"/>
    <w:lvl w:ilvl="0" w:tplc="50484724">
      <w:start w:val="1"/>
      <w:numFmt w:val="bullet"/>
      <w:lvlText w:val=""/>
      <w:lvlJc w:val="left"/>
      <w:pPr>
        <w:ind w:left="720" w:hanging="360"/>
      </w:pPr>
      <w:rPr>
        <w:rFonts w:ascii="Symbol" w:hAnsi="Symbol"/>
      </w:rPr>
    </w:lvl>
    <w:lvl w:ilvl="1" w:tplc="A6E0654A">
      <w:start w:val="1"/>
      <w:numFmt w:val="bullet"/>
      <w:lvlText w:val="o"/>
      <w:lvlJc w:val="left"/>
      <w:pPr>
        <w:tabs>
          <w:tab w:val="num" w:pos="1440"/>
        </w:tabs>
        <w:ind w:left="1440" w:hanging="360"/>
      </w:pPr>
      <w:rPr>
        <w:rFonts w:ascii="Courier New" w:hAnsi="Courier New"/>
      </w:rPr>
    </w:lvl>
    <w:lvl w:ilvl="2" w:tplc="22709436">
      <w:start w:val="1"/>
      <w:numFmt w:val="bullet"/>
      <w:lvlText w:val=""/>
      <w:lvlJc w:val="left"/>
      <w:pPr>
        <w:tabs>
          <w:tab w:val="num" w:pos="2160"/>
        </w:tabs>
        <w:ind w:left="2160" w:hanging="360"/>
      </w:pPr>
      <w:rPr>
        <w:rFonts w:ascii="Wingdings" w:hAnsi="Wingdings"/>
      </w:rPr>
    </w:lvl>
    <w:lvl w:ilvl="3" w:tplc="6A780F72">
      <w:start w:val="1"/>
      <w:numFmt w:val="bullet"/>
      <w:lvlText w:val=""/>
      <w:lvlJc w:val="left"/>
      <w:pPr>
        <w:tabs>
          <w:tab w:val="num" w:pos="2880"/>
        </w:tabs>
        <w:ind w:left="2880" w:hanging="360"/>
      </w:pPr>
      <w:rPr>
        <w:rFonts w:ascii="Symbol" w:hAnsi="Symbol"/>
      </w:rPr>
    </w:lvl>
    <w:lvl w:ilvl="4" w:tplc="DAAC8612">
      <w:start w:val="1"/>
      <w:numFmt w:val="bullet"/>
      <w:lvlText w:val="o"/>
      <w:lvlJc w:val="left"/>
      <w:pPr>
        <w:tabs>
          <w:tab w:val="num" w:pos="3600"/>
        </w:tabs>
        <w:ind w:left="3600" w:hanging="360"/>
      </w:pPr>
      <w:rPr>
        <w:rFonts w:ascii="Courier New" w:hAnsi="Courier New"/>
      </w:rPr>
    </w:lvl>
    <w:lvl w:ilvl="5" w:tplc="E5DCB620">
      <w:start w:val="1"/>
      <w:numFmt w:val="bullet"/>
      <w:lvlText w:val=""/>
      <w:lvlJc w:val="left"/>
      <w:pPr>
        <w:tabs>
          <w:tab w:val="num" w:pos="4320"/>
        </w:tabs>
        <w:ind w:left="4320" w:hanging="360"/>
      </w:pPr>
      <w:rPr>
        <w:rFonts w:ascii="Wingdings" w:hAnsi="Wingdings"/>
      </w:rPr>
    </w:lvl>
    <w:lvl w:ilvl="6" w:tplc="97785380">
      <w:start w:val="1"/>
      <w:numFmt w:val="bullet"/>
      <w:lvlText w:val=""/>
      <w:lvlJc w:val="left"/>
      <w:pPr>
        <w:tabs>
          <w:tab w:val="num" w:pos="5040"/>
        </w:tabs>
        <w:ind w:left="5040" w:hanging="360"/>
      </w:pPr>
      <w:rPr>
        <w:rFonts w:ascii="Symbol" w:hAnsi="Symbol"/>
      </w:rPr>
    </w:lvl>
    <w:lvl w:ilvl="7" w:tplc="C08425C4">
      <w:start w:val="1"/>
      <w:numFmt w:val="bullet"/>
      <w:lvlText w:val="o"/>
      <w:lvlJc w:val="left"/>
      <w:pPr>
        <w:tabs>
          <w:tab w:val="num" w:pos="5760"/>
        </w:tabs>
        <w:ind w:left="5760" w:hanging="360"/>
      </w:pPr>
      <w:rPr>
        <w:rFonts w:ascii="Courier New" w:hAnsi="Courier New"/>
      </w:rPr>
    </w:lvl>
    <w:lvl w:ilvl="8" w:tplc="488C9EC2">
      <w:start w:val="1"/>
      <w:numFmt w:val="bullet"/>
      <w:lvlText w:val=""/>
      <w:lvlJc w:val="left"/>
      <w:pPr>
        <w:tabs>
          <w:tab w:val="num" w:pos="6480"/>
        </w:tabs>
        <w:ind w:left="6480" w:hanging="360"/>
      </w:pPr>
      <w:rPr>
        <w:rFonts w:ascii="Wingdings" w:hAnsi="Wingdings"/>
      </w:rPr>
    </w:lvl>
  </w:abstractNum>
  <w:abstractNum w:abstractNumId="203" w15:restartNumberingAfterBreak="0">
    <w:nsid w:val="7223058D"/>
    <w:multiLevelType w:val="hybridMultilevel"/>
    <w:tmpl w:val="7223058D"/>
    <w:lvl w:ilvl="0" w:tplc="C726A198">
      <w:start w:val="1"/>
      <w:numFmt w:val="bullet"/>
      <w:lvlText w:val=""/>
      <w:lvlJc w:val="left"/>
      <w:pPr>
        <w:ind w:left="720" w:hanging="360"/>
      </w:pPr>
      <w:rPr>
        <w:rFonts w:ascii="Symbol" w:hAnsi="Symbol"/>
      </w:rPr>
    </w:lvl>
    <w:lvl w:ilvl="1" w:tplc="BF969266">
      <w:start w:val="1"/>
      <w:numFmt w:val="bullet"/>
      <w:lvlText w:val="o"/>
      <w:lvlJc w:val="left"/>
      <w:pPr>
        <w:tabs>
          <w:tab w:val="num" w:pos="1440"/>
        </w:tabs>
        <w:ind w:left="1440" w:hanging="360"/>
      </w:pPr>
      <w:rPr>
        <w:rFonts w:ascii="Courier New" w:hAnsi="Courier New"/>
      </w:rPr>
    </w:lvl>
    <w:lvl w:ilvl="2" w:tplc="E60A9B72">
      <w:start w:val="1"/>
      <w:numFmt w:val="bullet"/>
      <w:lvlText w:val=""/>
      <w:lvlJc w:val="left"/>
      <w:pPr>
        <w:tabs>
          <w:tab w:val="num" w:pos="2160"/>
        </w:tabs>
        <w:ind w:left="2160" w:hanging="360"/>
      </w:pPr>
      <w:rPr>
        <w:rFonts w:ascii="Wingdings" w:hAnsi="Wingdings"/>
      </w:rPr>
    </w:lvl>
    <w:lvl w:ilvl="3" w:tplc="F33870C4">
      <w:start w:val="1"/>
      <w:numFmt w:val="bullet"/>
      <w:lvlText w:val=""/>
      <w:lvlJc w:val="left"/>
      <w:pPr>
        <w:tabs>
          <w:tab w:val="num" w:pos="2880"/>
        </w:tabs>
        <w:ind w:left="2880" w:hanging="360"/>
      </w:pPr>
      <w:rPr>
        <w:rFonts w:ascii="Symbol" w:hAnsi="Symbol"/>
      </w:rPr>
    </w:lvl>
    <w:lvl w:ilvl="4" w:tplc="8D428B84">
      <w:start w:val="1"/>
      <w:numFmt w:val="bullet"/>
      <w:lvlText w:val="o"/>
      <w:lvlJc w:val="left"/>
      <w:pPr>
        <w:tabs>
          <w:tab w:val="num" w:pos="3600"/>
        </w:tabs>
        <w:ind w:left="3600" w:hanging="360"/>
      </w:pPr>
      <w:rPr>
        <w:rFonts w:ascii="Courier New" w:hAnsi="Courier New"/>
      </w:rPr>
    </w:lvl>
    <w:lvl w:ilvl="5" w:tplc="C41E397A">
      <w:start w:val="1"/>
      <w:numFmt w:val="bullet"/>
      <w:lvlText w:val=""/>
      <w:lvlJc w:val="left"/>
      <w:pPr>
        <w:tabs>
          <w:tab w:val="num" w:pos="4320"/>
        </w:tabs>
        <w:ind w:left="4320" w:hanging="360"/>
      </w:pPr>
      <w:rPr>
        <w:rFonts w:ascii="Wingdings" w:hAnsi="Wingdings"/>
      </w:rPr>
    </w:lvl>
    <w:lvl w:ilvl="6" w:tplc="786413F8">
      <w:start w:val="1"/>
      <w:numFmt w:val="bullet"/>
      <w:lvlText w:val=""/>
      <w:lvlJc w:val="left"/>
      <w:pPr>
        <w:tabs>
          <w:tab w:val="num" w:pos="5040"/>
        </w:tabs>
        <w:ind w:left="5040" w:hanging="360"/>
      </w:pPr>
      <w:rPr>
        <w:rFonts w:ascii="Symbol" w:hAnsi="Symbol"/>
      </w:rPr>
    </w:lvl>
    <w:lvl w:ilvl="7" w:tplc="63B823D8">
      <w:start w:val="1"/>
      <w:numFmt w:val="bullet"/>
      <w:lvlText w:val="o"/>
      <w:lvlJc w:val="left"/>
      <w:pPr>
        <w:tabs>
          <w:tab w:val="num" w:pos="5760"/>
        </w:tabs>
        <w:ind w:left="5760" w:hanging="360"/>
      </w:pPr>
      <w:rPr>
        <w:rFonts w:ascii="Courier New" w:hAnsi="Courier New"/>
      </w:rPr>
    </w:lvl>
    <w:lvl w:ilvl="8" w:tplc="98CA229E">
      <w:start w:val="1"/>
      <w:numFmt w:val="bullet"/>
      <w:lvlText w:val=""/>
      <w:lvlJc w:val="left"/>
      <w:pPr>
        <w:tabs>
          <w:tab w:val="num" w:pos="6480"/>
        </w:tabs>
        <w:ind w:left="6480" w:hanging="360"/>
      </w:pPr>
      <w:rPr>
        <w:rFonts w:ascii="Wingdings" w:hAnsi="Wingdings"/>
      </w:rPr>
    </w:lvl>
  </w:abstractNum>
  <w:abstractNum w:abstractNumId="204" w15:restartNumberingAfterBreak="0">
    <w:nsid w:val="7223058E"/>
    <w:multiLevelType w:val="hybridMultilevel"/>
    <w:tmpl w:val="7223058E"/>
    <w:lvl w:ilvl="0" w:tplc="7B166326">
      <w:start w:val="1"/>
      <w:numFmt w:val="bullet"/>
      <w:lvlText w:val=""/>
      <w:lvlJc w:val="left"/>
      <w:pPr>
        <w:tabs>
          <w:tab w:val="num" w:pos="720"/>
        </w:tabs>
        <w:ind w:left="720" w:hanging="360"/>
      </w:pPr>
      <w:rPr>
        <w:rFonts w:ascii="Symbol" w:hAnsi="Symbol"/>
      </w:rPr>
    </w:lvl>
    <w:lvl w:ilvl="1" w:tplc="3DA697FA">
      <w:start w:val="1"/>
      <w:numFmt w:val="bullet"/>
      <w:lvlText w:val="o"/>
      <w:lvlJc w:val="left"/>
      <w:pPr>
        <w:tabs>
          <w:tab w:val="num" w:pos="1440"/>
        </w:tabs>
        <w:ind w:left="1440" w:hanging="360"/>
      </w:pPr>
      <w:rPr>
        <w:rFonts w:ascii="Courier New" w:hAnsi="Courier New"/>
      </w:rPr>
    </w:lvl>
    <w:lvl w:ilvl="2" w:tplc="BF8C10D2">
      <w:start w:val="1"/>
      <w:numFmt w:val="bullet"/>
      <w:lvlText w:val=""/>
      <w:lvlJc w:val="left"/>
      <w:pPr>
        <w:tabs>
          <w:tab w:val="num" w:pos="2160"/>
        </w:tabs>
        <w:ind w:left="2160" w:hanging="360"/>
      </w:pPr>
      <w:rPr>
        <w:rFonts w:ascii="Wingdings" w:hAnsi="Wingdings"/>
      </w:rPr>
    </w:lvl>
    <w:lvl w:ilvl="3" w:tplc="B56C7DFE">
      <w:start w:val="1"/>
      <w:numFmt w:val="bullet"/>
      <w:lvlText w:val=""/>
      <w:lvlJc w:val="left"/>
      <w:pPr>
        <w:tabs>
          <w:tab w:val="num" w:pos="2880"/>
        </w:tabs>
        <w:ind w:left="2880" w:hanging="360"/>
      </w:pPr>
      <w:rPr>
        <w:rFonts w:ascii="Symbol" w:hAnsi="Symbol"/>
      </w:rPr>
    </w:lvl>
    <w:lvl w:ilvl="4" w:tplc="20E8D52C">
      <w:start w:val="1"/>
      <w:numFmt w:val="bullet"/>
      <w:lvlText w:val="o"/>
      <w:lvlJc w:val="left"/>
      <w:pPr>
        <w:tabs>
          <w:tab w:val="num" w:pos="3600"/>
        </w:tabs>
        <w:ind w:left="3600" w:hanging="360"/>
      </w:pPr>
      <w:rPr>
        <w:rFonts w:ascii="Courier New" w:hAnsi="Courier New"/>
      </w:rPr>
    </w:lvl>
    <w:lvl w:ilvl="5" w:tplc="ABDA3EEE">
      <w:start w:val="1"/>
      <w:numFmt w:val="bullet"/>
      <w:lvlText w:val=""/>
      <w:lvlJc w:val="left"/>
      <w:pPr>
        <w:tabs>
          <w:tab w:val="num" w:pos="4320"/>
        </w:tabs>
        <w:ind w:left="4320" w:hanging="360"/>
      </w:pPr>
      <w:rPr>
        <w:rFonts w:ascii="Wingdings" w:hAnsi="Wingdings"/>
      </w:rPr>
    </w:lvl>
    <w:lvl w:ilvl="6" w:tplc="7E3E788A">
      <w:start w:val="1"/>
      <w:numFmt w:val="bullet"/>
      <w:lvlText w:val=""/>
      <w:lvlJc w:val="left"/>
      <w:pPr>
        <w:tabs>
          <w:tab w:val="num" w:pos="5040"/>
        </w:tabs>
        <w:ind w:left="5040" w:hanging="360"/>
      </w:pPr>
      <w:rPr>
        <w:rFonts w:ascii="Symbol" w:hAnsi="Symbol"/>
      </w:rPr>
    </w:lvl>
    <w:lvl w:ilvl="7" w:tplc="C8CE13B8">
      <w:start w:val="1"/>
      <w:numFmt w:val="bullet"/>
      <w:lvlText w:val="o"/>
      <w:lvlJc w:val="left"/>
      <w:pPr>
        <w:tabs>
          <w:tab w:val="num" w:pos="5760"/>
        </w:tabs>
        <w:ind w:left="5760" w:hanging="360"/>
      </w:pPr>
      <w:rPr>
        <w:rFonts w:ascii="Courier New" w:hAnsi="Courier New"/>
      </w:rPr>
    </w:lvl>
    <w:lvl w:ilvl="8" w:tplc="F754D654">
      <w:start w:val="1"/>
      <w:numFmt w:val="bullet"/>
      <w:lvlText w:val=""/>
      <w:lvlJc w:val="left"/>
      <w:pPr>
        <w:tabs>
          <w:tab w:val="num" w:pos="6480"/>
        </w:tabs>
        <w:ind w:left="6480" w:hanging="360"/>
      </w:pPr>
      <w:rPr>
        <w:rFonts w:ascii="Wingdings" w:hAnsi="Wingdings"/>
      </w:rPr>
    </w:lvl>
  </w:abstractNum>
  <w:abstractNum w:abstractNumId="205" w15:restartNumberingAfterBreak="0">
    <w:nsid w:val="7223058F"/>
    <w:multiLevelType w:val="hybridMultilevel"/>
    <w:tmpl w:val="7223058F"/>
    <w:lvl w:ilvl="0" w:tplc="2FA8A49E">
      <w:start w:val="1"/>
      <w:numFmt w:val="bullet"/>
      <w:lvlText w:val=""/>
      <w:lvlJc w:val="left"/>
      <w:pPr>
        <w:ind w:left="720" w:hanging="360"/>
      </w:pPr>
      <w:rPr>
        <w:rFonts w:ascii="Symbol" w:hAnsi="Symbol"/>
      </w:rPr>
    </w:lvl>
    <w:lvl w:ilvl="1" w:tplc="C6763F7A">
      <w:start w:val="1"/>
      <w:numFmt w:val="bullet"/>
      <w:lvlText w:val="o"/>
      <w:lvlJc w:val="left"/>
      <w:pPr>
        <w:tabs>
          <w:tab w:val="num" w:pos="1440"/>
        </w:tabs>
        <w:ind w:left="1440" w:hanging="360"/>
      </w:pPr>
      <w:rPr>
        <w:rFonts w:ascii="Courier New" w:hAnsi="Courier New"/>
      </w:rPr>
    </w:lvl>
    <w:lvl w:ilvl="2" w:tplc="810C09D8">
      <w:start w:val="1"/>
      <w:numFmt w:val="bullet"/>
      <w:lvlText w:val=""/>
      <w:lvlJc w:val="left"/>
      <w:pPr>
        <w:tabs>
          <w:tab w:val="num" w:pos="2160"/>
        </w:tabs>
        <w:ind w:left="2160" w:hanging="360"/>
      </w:pPr>
      <w:rPr>
        <w:rFonts w:ascii="Wingdings" w:hAnsi="Wingdings"/>
      </w:rPr>
    </w:lvl>
    <w:lvl w:ilvl="3" w:tplc="FC804156">
      <w:start w:val="1"/>
      <w:numFmt w:val="bullet"/>
      <w:lvlText w:val=""/>
      <w:lvlJc w:val="left"/>
      <w:pPr>
        <w:tabs>
          <w:tab w:val="num" w:pos="2880"/>
        </w:tabs>
        <w:ind w:left="2880" w:hanging="360"/>
      </w:pPr>
      <w:rPr>
        <w:rFonts w:ascii="Symbol" w:hAnsi="Symbol"/>
      </w:rPr>
    </w:lvl>
    <w:lvl w:ilvl="4" w:tplc="15FA764A">
      <w:start w:val="1"/>
      <w:numFmt w:val="bullet"/>
      <w:lvlText w:val="o"/>
      <w:lvlJc w:val="left"/>
      <w:pPr>
        <w:tabs>
          <w:tab w:val="num" w:pos="3600"/>
        </w:tabs>
        <w:ind w:left="3600" w:hanging="360"/>
      </w:pPr>
      <w:rPr>
        <w:rFonts w:ascii="Courier New" w:hAnsi="Courier New"/>
      </w:rPr>
    </w:lvl>
    <w:lvl w:ilvl="5" w:tplc="680E48C2">
      <w:start w:val="1"/>
      <w:numFmt w:val="bullet"/>
      <w:lvlText w:val=""/>
      <w:lvlJc w:val="left"/>
      <w:pPr>
        <w:tabs>
          <w:tab w:val="num" w:pos="4320"/>
        </w:tabs>
        <w:ind w:left="4320" w:hanging="360"/>
      </w:pPr>
      <w:rPr>
        <w:rFonts w:ascii="Wingdings" w:hAnsi="Wingdings"/>
      </w:rPr>
    </w:lvl>
    <w:lvl w:ilvl="6" w:tplc="C83421EC">
      <w:start w:val="1"/>
      <w:numFmt w:val="bullet"/>
      <w:lvlText w:val=""/>
      <w:lvlJc w:val="left"/>
      <w:pPr>
        <w:tabs>
          <w:tab w:val="num" w:pos="5040"/>
        </w:tabs>
        <w:ind w:left="5040" w:hanging="360"/>
      </w:pPr>
      <w:rPr>
        <w:rFonts w:ascii="Symbol" w:hAnsi="Symbol"/>
      </w:rPr>
    </w:lvl>
    <w:lvl w:ilvl="7" w:tplc="C116E992">
      <w:start w:val="1"/>
      <w:numFmt w:val="bullet"/>
      <w:lvlText w:val="o"/>
      <w:lvlJc w:val="left"/>
      <w:pPr>
        <w:tabs>
          <w:tab w:val="num" w:pos="5760"/>
        </w:tabs>
        <w:ind w:left="5760" w:hanging="360"/>
      </w:pPr>
      <w:rPr>
        <w:rFonts w:ascii="Courier New" w:hAnsi="Courier New"/>
      </w:rPr>
    </w:lvl>
    <w:lvl w:ilvl="8" w:tplc="2AA2127C">
      <w:start w:val="1"/>
      <w:numFmt w:val="bullet"/>
      <w:lvlText w:val=""/>
      <w:lvlJc w:val="left"/>
      <w:pPr>
        <w:tabs>
          <w:tab w:val="num" w:pos="6480"/>
        </w:tabs>
        <w:ind w:left="6480" w:hanging="360"/>
      </w:pPr>
      <w:rPr>
        <w:rFonts w:ascii="Wingdings" w:hAnsi="Wingdings"/>
      </w:rPr>
    </w:lvl>
  </w:abstractNum>
  <w:abstractNum w:abstractNumId="206" w15:restartNumberingAfterBreak="0">
    <w:nsid w:val="72230590"/>
    <w:multiLevelType w:val="hybridMultilevel"/>
    <w:tmpl w:val="72230590"/>
    <w:lvl w:ilvl="0" w:tplc="9BCEC8DC">
      <w:start w:val="1"/>
      <w:numFmt w:val="bullet"/>
      <w:lvlText w:val=""/>
      <w:lvlJc w:val="left"/>
      <w:pPr>
        <w:ind w:left="720" w:hanging="360"/>
      </w:pPr>
      <w:rPr>
        <w:rFonts w:ascii="Symbol" w:hAnsi="Symbol"/>
      </w:rPr>
    </w:lvl>
    <w:lvl w:ilvl="1" w:tplc="305E163C">
      <w:start w:val="1"/>
      <w:numFmt w:val="bullet"/>
      <w:lvlText w:val="o"/>
      <w:lvlJc w:val="left"/>
      <w:pPr>
        <w:tabs>
          <w:tab w:val="num" w:pos="1440"/>
        </w:tabs>
        <w:ind w:left="1440" w:hanging="360"/>
      </w:pPr>
      <w:rPr>
        <w:rFonts w:ascii="Courier New" w:hAnsi="Courier New"/>
      </w:rPr>
    </w:lvl>
    <w:lvl w:ilvl="2" w:tplc="6F8E1A78">
      <w:start w:val="1"/>
      <w:numFmt w:val="bullet"/>
      <w:lvlText w:val=""/>
      <w:lvlJc w:val="left"/>
      <w:pPr>
        <w:tabs>
          <w:tab w:val="num" w:pos="2160"/>
        </w:tabs>
        <w:ind w:left="2160" w:hanging="360"/>
      </w:pPr>
      <w:rPr>
        <w:rFonts w:ascii="Wingdings" w:hAnsi="Wingdings"/>
      </w:rPr>
    </w:lvl>
    <w:lvl w:ilvl="3" w:tplc="DEFE5DD8">
      <w:start w:val="1"/>
      <w:numFmt w:val="bullet"/>
      <w:lvlText w:val=""/>
      <w:lvlJc w:val="left"/>
      <w:pPr>
        <w:tabs>
          <w:tab w:val="num" w:pos="2880"/>
        </w:tabs>
        <w:ind w:left="2880" w:hanging="360"/>
      </w:pPr>
      <w:rPr>
        <w:rFonts w:ascii="Symbol" w:hAnsi="Symbol"/>
      </w:rPr>
    </w:lvl>
    <w:lvl w:ilvl="4" w:tplc="A12463E8">
      <w:start w:val="1"/>
      <w:numFmt w:val="bullet"/>
      <w:lvlText w:val="o"/>
      <w:lvlJc w:val="left"/>
      <w:pPr>
        <w:tabs>
          <w:tab w:val="num" w:pos="3600"/>
        </w:tabs>
        <w:ind w:left="3600" w:hanging="360"/>
      </w:pPr>
      <w:rPr>
        <w:rFonts w:ascii="Courier New" w:hAnsi="Courier New"/>
      </w:rPr>
    </w:lvl>
    <w:lvl w:ilvl="5" w:tplc="19B82B42">
      <w:start w:val="1"/>
      <w:numFmt w:val="bullet"/>
      <w:lvlText w:val=""/>
      <w:lvlJc w:val="left"/>
      <w:pPr>
        <w:tabs>
          <w:tab w:val="num" w:pos="4320"/>
        </w:tabs>
        <w:ind w:left="4320" w:hanging="360"/>
      </w:pPr>
      <w:rPr>
        <w:rFonts w:ascii="Wingdings" w:hAnsi="Wingdings"/>
      </w:rPr>
    </w:lvl>
    <w:lvl w:ilvl="6" w:tplc="0A62AAEC">
      <w:start w:val="1"/>
      <w:numFmt w:val="bullet"/>
      <w:lvlText w:val=""/>
      <w:lvlJc w:val="left"/>
      <w:pPr>
        <w:tabs>
          <w:tab w:val="num" w:pos="5040"/>
        </w:tabs>
        <w:ind w:left="5040" w:hanging="360"/>
      </w:pPr>
      <w:rPr>
        <w:rFonts w:ascii="Symbol" w:hAnsi="Symbol"/>
      </w:rPr>
    </w:lvl>
    <w:lvl w:ilvl="7" w:tplc="D370E8F2">
      <w:start w:val="1"/>
      <w:numFmt w:val="bullet"/>
      <w:lvlText w:val="o"/>
      <w:lvlJc w:val="left"/>
      <w:pPr>
        <w:tabs>
          <w:tab w:val="num" w:pos="5760"/>
        </w:tabs>
        <w:ind w:left="5760" w:hanging="360"/>
      </w:pPr>
      <w:rPr>
        <w:rFonts w:ascii="Courier New" w:hAnsi="Courier New"/>
      </w:rPr>
    </w:lvl>
    <w:lvl w:ilvl="8" w:tplc="23DC0242">
      <w:start w:val="1"/>
      <w:numFmt w:val="bullet"/>
      <w:lvlText w:val=""/>
      <w:lvlJc w:val="left"/>
      <w:pPr>
        <w:tabs>
          <w:tab w:val="num" w:pos="6480"/>
        </w:tabs>
        <w:ind w:left="6480" w:hanging="360"/>
      </w:pPr>
      <w:rPr>
        <w:rFonts w:ascii="Wingdings" w:hAnsi="Wingdings"/>
      </w:rPr>
    </w:lvl>
  </w:abstractNum>
  <w:abstractNum w:abstractNumId="207" w15:restartNumberingAfterBreak="0">
    <w:nsid w:val="72230591"/>
    <w:multiLevelType w:val="hybridMultilevel"/>
    <w:tmpl w:val="72230591"/>
    <w:lvl w:ilvl="0" w:tplc="34725BB4">
      <w:start w:val="1"/>
      <w:numFmt w:val="bullet"/>
      <w:lvlText w:val=""/>
      <w:lvlJc w:val="left"/>
      <w:pPr>
        <w:ind w:left="720" w:hanging="360"/>
      </w:pPr>
      <w:rPr>
        <w:rFonts w:ascii="Symbol" w:hAnsi="Symbol"/>
      </w:rPr>
    </w:lvl>
    <w:lvl w:ilvl="1" w:tplc="A6546162">
      <w:start w:val="1"/>
      <w:numFmt w:val="bullet"/>
      <w:lvlText w:val="o"/>
      <w:lvlJc w:val="left"/>
      <w:pPr>
        <w:tabs>
          <w:tab w:val="num" w:pos="1440"/>
        </w:tabs>
        <w:ind w:left="1440" w:hanging="360"/>
      </w:pPr>
      <w:rPr>
        <w:rFonts w:ascii="Courier New" w:hAnsi="Courier New"/>
      </w:rPr>
    </w:lvl>
    <w:lvl w:ilvl="2" w:tplc="6164A9E2">
      <w:start w:val="1"/>
      <w:numFmt w:val="bullet"/>
      <w:lvlText w:val=""/>
      <w:lvlJc w:val="left"/>
      <w:pPr>
        <w:tabs>
          <w:tab w:val="num" w:pos="2160"/>
        </w:tabs>
        <w:ind w:left="2160" w:hanging="360"/>
      </w:pPr>
      <w:rPr>
        <w:rFonts w:ascii="Wingdings" w:hAnsi="Wingdings"/>
      </w:rPr>
    </w:lvl>
    <w:lvl w:ilvl="3" w:tplc="F8A8D902">
      <w:start w:val="1"/>
      <w:numFmt w:val="bullet"/>
      <w:lvlText w:val=""/>
      <w:lvlJc w:val="left"/>
      <w:pPr>
        <w:tabs>
          <w:tab w:val="num" w:pos="2880"/>
        </w:tabs>
        <w:ind w:left="2880" w:hanging="360"/>
      </w:pPr>
      <w:rPr>
        <w:rFonts w:ascii="Symbol" w:hAnsi="Symbol"/>
      </w:rPr>
    </w:lvl>
    <w:lvl w:ilvl="4" w:tplc="AD3EBA12">
      <w:start w:val="1"/>
      <w:numFmt w:val="bullet"/>
      <w:lvlText w:val="o"/>
      <w:lvlJc w:val="left"/>
      <w:pPr>
        <w:tabs>
          <w:tab w:val="num" w:pos="3600"/>
        </w:tabs>
        <w:ind w:left="3600" w:hanging="360"/>
      </w:pPr>
      <w:rPr>
        <w:rFonts w:ascii="Courier New" w:hAnsi="Courier New"/>
      </w:rPr>
    </w:lvl>
    <w:lvl w:ilvl="5" w:tplc="D1D6BA42">
      <w:start w:val="1"/>
      <w:numFmt w:val="bullet"/>
      <w:lvlText w:val=""/>
      <w:lvlJc w:val="left"/>
      <w:pPr>
        <w:tabs>
          <w:tab w:val="num" w:pos="4320"/>
        </w:tabs>
        <w:ind w:left="4320" w:hanging="360"/>
      </w:pPr>
      <w:rPr>
        <w:rFonts w:ascii="Wingdings" w:hAnsi="Wingdings"/>
      </w:rPr>
    </w:lvl>
    <w:lvl w:ilvl="6" w:tplc="F1561818">
      <w:start w:val="1"/>
      <w:numFmt w:val="bullet"/>
      <w:lvlText w:val=""/>
      <w:lvlJc w:val="left"/>
      <w:pPr>
        <w:tabs>
          <w:tab w:val="num" w:pos="5040"/>
        </w:tabs>
        <w:ind w:left="5040" w:hanging="360"/>
      </w:pPr>
      <w:rPr>
        <w:rFonts w:ascii="Symbol" w:hAnsi="Symbol"/>
      </w:rPr>
    </w:lvl>
    <w:lvl w:ilvl="7" w:tplc="D20820AA">
      <w:start w:val="1"/>
      <w:numFmt w:val="bullet"/>
      <w:lvlText w:val="o"/>
      <w:lvlJc w:val="left"/>
      <w:pPr>
        <w:tabs>
          <w:tab w:val="num" w:pos="5760"/>
        </w:tabs>
        <w:ind w:left="5760" w:hanging="360"/>
      </w:pPr>
      <w:rPr>
        <w:rFonts w:ascii="Courier New" w:hAnsi="Courier New"/>
      </w:rPr>
    </w:lvl>
    <w:lvl w:ilvl="8" w:tplc="7562A5DE">
      <w:start w:val="1"/>
      <w:numFmt w:val="bullet"/>
      <w:lvlText w:val=""/>
      <w:lvlJc w:val="left"/>
      <w:pPr>
        <w:tabs>
          <w:tab w:val="num" w:pos="6480"/>
        </w:tabs>
        <w:ind w:left="6480" w:hanging="360"/>
      </w:pPr>
      <w:rPr>
        <w:rFonts w:ascii="Wingdings" w:hAnsi="Wingdings"/>
      </w:rPr>
    </w:lvl>
  </w:abstractNum>
  <w:abstractNum w:abstractNumId="208" w15:restartNumberingAfterBreak="0">
    <w:nsid w:val="72230592"/>
    <w:multiLevelType w:val="hybridMultilevel"/>
    <w:tmpl w:val="72230592"/>
    <w:lvl w:ilvl="0" w:tplc="F954A81A">
      <w:start w:val="1"/>
      <w:numFmt w:val="bullet"/>
      <w:lvlText w:val=""/>
      <w:lvlJc w:val="left"/>
      <w:pPr>
        <w:ind w:left="720" w:hanging="360"/>
      </w:pPr>
      <w:rPr>
        <w:rFonts w:ascii="Symbol" w:hAnsi="Symbol"/>
      </w:rPr>
    </w:lvl>
    <w:lvl w:ilvl="1" w:tplc="784C8FB6">
      <w:start w:val="1"/>
      <w:numFmt w:val="bullet"/>
      <w:lvlText w:val="o"/>
      <w:lvlJc w:val="left"/>
      <w:pPr>
        <w:tabs>
          <w:tab w:val="num" w:pos="1440"/>
        </w:tabs>
        <w:ind w:left="1440" w:hanging="360"/>
      </w:pPr>
      <w:rPr>
        <w:rFonts w:ascii="Courier New" w:hAnsi="Courier New"/>
      </w:rPr>
    </w:lvl>
    <w:lvl w:ilvl="2" w:tplc="B456F0F8">
      <w:start w:val="1"/>
      <w:numFmt w:val="bullet"/>
      <w:lvlText w:val=""/>
      <w:lvlJc w:val="left"/>
      <w:pPr>
        <w:tabs>
          <w:tab w:val="num" w:pos="2160"/>
        </w:tabs>
        <w:ind w:left="2160" w:hanging="360"/>
      </w:pPr>
      <w:rPr>
        <w:rFonts w:ascii="Wingdings" w:hAnsi="Wingdings"/>
      </w:rPr>
    </w:lvl>
    <w:lvl w:ilvl="3" w:tplc="20829EDE">
      <w:start w:val="1"/>
      <w:numFmt w:val="bullet"/>
      <w:lvlText w:val=""/>
      <w:lvlJc w:val="left"/>
      <w:pPr>
        <w:tabs>
          <w:tab w:val="num" w:pos="2880"/>
        </w:tabs>
        <w:ind w:left="2880" w:hanging="360"/>
      </w:pPr>
      <w:rPr>
        <w:rFonts w:ascii="Symbol" w:hAnsi="Symbol"/>
      </w:rPr>
    </w:lvl>
    <w:lvl w:ilvl="4" w:tplc="1CD8FAAC">
      <w:start w:val="1"/>
      <w:numFmt w:val="bullet"/>
      <w:lvlText w:val="o"/>
      <w:lvlJc w:val="left"/>
      <w:pPr>
        <w:tabs>
          <w:tab w:val="num" w:pos="3600"/>
        </w:tabs>
        <w:ind w:left="3600" w:hanging="360"/>
      </w:pPr>
      <w:rPr>
        <w:rFonts w:ascii="Courier New" w:hAnsi="Courier New"/>
      </w:rPr>
    </w:lvl>
    <w:lvl w:ilvl="5" w:tplc="47666A38">
      <w:start w:val="1"/>
      <w:numFmt w:val="bullet"/>
      <w:lvlText w:val=""/>
      <w:lvlJc w:val="left"/>
      <w:pPr>
        <w:tabs>
          <w:tab w:val="num" w:pos="4320"/>
        </w:tabs>
        <w:ind w:left="4320" w:hanging="360"/>
      </w:pPr>
      <w:rPr>
        <w:rFonts w:ascii="Wingdings" w:hAnsi="Wingdings"/>
      </w:rPr>
    </w:lvl>
    <w:lvl w:ilvl="6" w:tplc="40E29236">
      <w:start w:val="1"/>
      <w:numFmt w:val="bullet"/>
      <w:lvlText w:val=""/>
      <w:lvlJc w:val="left"/>
      <w:pPr>
        <w:tabs>
          <w:tab w:val="num" w:pos="5040"/>
        </w:tabs>
        <w:ind w:left="5040" w:hanging="360"/>
      </w:pPr>
      <w:rPr>
        <w:rFonts w:ascii="Symbol" w:hAnsi="Symbol"/>
      </w:rPr>
    </w:lvl>
    <w:lvl w:ilvl="7" w:tplc="BB80BE7C">
      <w:start w:val="1"/>
      <w:numFmt w:val="bullet"/>
      <w:lvlText w:val="o"/>
      <w:lvlJc w:val="left"/>
      <w:pPr>
        <w:tabs>
          <w:tab w:val="num" w:pos="5760"/>
        </w:tabs>
        <w:ind w:left="5760" w:hanging="360"/>
      </w:pPr>
      <w:rPr>
        <w:rFonts w:ascii="Courier New" w:hAnsi="Courier New"/>
      </w:rPr>
    </w:lvl>
    <w:lvl w:ilvl="8" w:tplc="515C8A30">
      <w:start w:val="1"/>
      <w:numFmt w:val="bullet"/>
      <w:lvlText w:val=""/>
      <w:lvlJc w:val="left"/>
      <w:pPr>
        <w:tabs>
          <w:tab w:val="num" w:pos="6480"/>
        </w:tabs>
        <w:ind w:left="6480" w:hanging="360"/>
      </w:pPr>
      <w:rPr>
        <w:rFonts w:ascii="Wingdings" w:hAnsi="Wingdings"/>
      </w:rPr>
    </w:lvl>
  </w:abstractNum>
  <w:abstractNum w:abstractNumId="209" w15:restartNumberingAfterBreak="0">
    <w:nsid w:val="72230593"/>
    <w:multiLevelType w:val="hybridMultilevel"/>
    <w:tmpl w:val="72230593"/>
    <w:lvl w:ilvl="0" w:tplc="C7743880">
      <w:start w:val="1"/>
      <w:numFmt w:val="bullet"/>
      <w:lvlText w:val=""/>
      <w:lvlJc w:val="left"/>
      <w:pPr>
        <w:ind w:left="720" w:hanging="360"/>
      </w:pPr>
      <w:rPr>
        <w:rFonts w:ascii="Symbol" w:hAnsi="Symbol"/>
      </w:rPr>
    </w:lvl>
    <w:lvl w:ilvl="1" w:tplc="EC285A96">
      <w:start w:val="1"/>
      <w:numFmt w:val="bullet"/>
      <w:lvlText w:val="o"/>
      <w:lvlJc w:val="left"/>
      <w:pPr>
        <w:tabs>
          <w:tab w:val="num" w:pos="1440"/>
        </w:tabs>
        <w:ind w:left="1440" w:hanging="360"/>
      </w:pPr>
      <w:rPr>
        <w:rFonts w:ascii="Courier New" w:hAnsi="Courier New"/>
      </w:rPr>
    </w:lvl>
    <w:lvl w:ilvl="2" w:tplc="A37A2E9C">
      <w:start w:val="1"/>
      <w:numFmt w:val="bullet"/>
      <w:lvlText w:val=""/>
      <w:lvlJc w:val="left"/>
      <w:pPr>
        <w:tabs>
          <w:tab w:val="num" w:pos="2160"/>
        </w:tabs>
        <w:ind w:left="2160" w:hanging="360"/>
      </w:pPr>
      <w:rPr>
        <w:rFonts w:ascii="Wingdings" w:hAnsi="Wingdings"/>
      </w:rPr>
    </w:lvl>
    <w:lvl w:ilvl="3" w:tplc="99249A16">
      <w:start w:val="1"/>
      <w:numFmt w:val="bullet"/>
      <w:lvlText w:val=""/>
      <w:lvlJc w:val="left"/>
      <w:pPr>
        <w:tabs>
          <w:tab w:val="num" w:pos="2880"/>
        </w:tabs>
        <w:ind w:left="2880" w:hanging="360"/>
      </w:pPr>
      <w:rPr>
        <w:rFonts w:ascii="Symbol" w:hAnsi="Symbol"/>
      </w:rPr>
    </w:lvl>
    <w:lvl w:ilvl="4" w:tplc="B74ECB8E">
      <w:start w:val="1"/>
      <w:numFmt w:val="bullet"/>
      <w:lvlText w:val="o"/>
      <w:lvlJc w:val="left"/>
      <w:pPr>
        <w:tabs>
          <w:tab w:val="num" w:pos="3600"/>
        </w:tabs>
        <w:ind w:left="3600" w:hanging="360"/>
      </w:pPr>
      <w:rPr>
        <w:rFonts w:ascii="Courier New" w:hAnsi="Courier New"/>
      </w:rPr>
    </w:lvl>
    <w:lvl w:ilvl="5" w:tplc="AED4A254">
      <w:start w:val="1"/>
      <w:numFmt w:val="bullet"/>
      <w:lvlText w:val=""/>
      <w:lvlJc w:val="left"/>
      <w:pPr>
        <w:tabs>
          <w:tab w:val="num" w:pos="4320"/>
        </w:tabs>
        <w:ind w:left="4320" w:hanging="360"/>
      </w:pPr>
      <w:rPr>
        <w:rFonts w:ascii="Wingdings" w:hAnsi="Wingdings"/>
      </w:rPr>
    </w:lvl>
    <w:lvl w:ilvl="6" w:tplc="F5348DC0">
      <w:start w:val="1"/>
      <w:numFmt w:val="bullet"/>
      <w:lvlText w:val=""/>
      <w:lvlJc w:val="left"/>
      <w:pPr>
        <w:tabs>
          <w:tab w:val="num" w:pos="5040"/>
        </w:tabs>
        <w:ind w:left="5040" w:hanging="360"/>
      </w:pPr>
      <w:rPr>
        <w:rFonts w:ascii="Symbol" w:hAnsi="Symbol"/>
      </w:rPr>
    </w:lvl>
    <w:lvl w:ilvl="7" w:tplc="8F86A6C2">
      <w:start w:val="1"/>
      <w:numFmt w:val="bullet"/>
      <w:lvlText w:val="o"/>
      <w:lvlJc w:val="left"/>
      <w:pPr>
        <w:tabs>
          <w:tab w:val="num" w:pos="5760"/>
        </w:tabs>
        <w:ind w:left="5760" w:hanging="360"/>
      </w:pPr>
      <w:rPr>
        <w:rFonts w:ascii="Courier New" w:hAnsi="Courier New"/>
      </w:rPr>
    </w:lvl>
    <w:lvl w:ilvl="8" w:tplc="FE1C3170">
      <w:start w:val="1"/>
      <w:numFmt w:val="bullet"/>
      <w:lvlText w:val=""/>
      <w:lvlJc w:val="left"/>
      <w:pPr>
        <w:tabs>
          <w:tab w:val="num" w:pos="6480"/>
        </w:tabs>
        <w:ind w:left="6480" w:hanging="360"/>
      </w:pPr>
      <w:rPr>
        <w:rFonts w:ascii="Wingdings" w:hAnsi="Wingdings"/>
      </w:rPr>
    </w:lvl>
  </w:abstractNum>
  <w:abstractNum w:abstractNumId="210" w15:restartNumberingAfterBreak="0">
    <w:nsid w:val="72230594"/>
    <w:multiLevelType w:val="hybridMultilevel"/>
    <w:tmpl w:val="72230594"/>
    <w:lvl w:ilvl="0" w:tplc="FD043C70">
      <w:start w:val="1"/>
      <w:numFmt w:val="bullet"/>
      <w:lvlText w:val=""/>
      <w:lvlJc w:val="left"/>
      <w:pPr>
        <w:ind w:left="720" w:hanging="360"/>
      </w:pPr>
      <w:rPr>
        <w:rFonts w:ascii="Symbol" w:hAnsi="Symbol"/>
      </w:rPr>
    </w:lvl>
    <w:lvl w:ilvl="1" w:tplc="1F348252">
      <w:start w:val="1"/>
      <w:numFmt w:val="bullet"/>
      <w:lvlText w:val="o"/>
      <w:lvlJc w:val="left"/>
      <w:pPr>
        <w:tabs>
          <w:tab w:val="num" w:pos="1440"/>
        </w:tabs>
        <w:ind w:left="1440" w:hanging="360"/>
      </w:pPr>
      <w:rPr>
        <w:rFonts w:ascii="Courier New" w:hAnsi="Courier New"/>
      </w:rPr>
    </w:lvl>
    <w:lvl w:ilvl="2" w:tplc="2006DEC6">
      <w:start w:val="1"/>
      <w:numFmt w:val="bullet"/>
      <w:lvlText w:val=""/>
      <w:lvlJc w:val="left"/>
      <w:pPr>
        <w:tabs>
          <w:tab w:val="num" w:pos="2160"/>
        </w:tabs>
        <w:ind w:left="2160" w:hanging="360"/>
      </w:pPr>
      <w:rPr>
        <w:rFonts w:ascii="Wingdings" w:hAnsi="Wingdings"/>
      </w:rPr>
    </w:lvl>
    <w:lvl w:ilvl="3" w:tplc="E042D8B8">
      <w:start w:val="1"/>
      <w:numFmt w:val="bullet"/>
      <w:lvlText w:val=""/>
      <w:lvlJc w:val="left"/>
      <w:pPr>
        <w:tabs>
          <w:tab w:val="num" w:pos="2880"/>
        </w:tabs>
        <w:ind w:left="2880" w:hanging="360"/>
      </w:pPr>
      <w:rPr>
        <w:rFonts w:ascii="Symbol" w:hAnsi="Symbol"/>
      </w:rPr>
    </w:lvl>
    <w:lvl w:ilvl="4" w:tplc="CC7C4856">
      <w:start w:val="1"/>
      <w:numFmt w:val="bullet"/>
      <w:lvlText w:val="o"/>
      <w:lvlJc w:val="left"/>
      <w:pPr>
        <w:tabs>
          <w:tab w:val="num" w:pos="3600"/>
        </w:tabs>
        <w:ind w:left="3600" w:hanging="360"/>
      </w:pPr>
      <w:rPr>
        <w:rFonts w:ascii="Courier New" w:hAnsi="Courier New"/>
      </w:rPr>
    </w:lvl>
    <w:lvl w:ilvl="5" w:tplc="61E883FC">
      <w:start w:val="1"/>
      <w:numFmt w:val="bullet"/>
      <w:lvlText w:val=""/>
      <w:lvlJc w:val="left"/>
      <w:pPr>
        <w:tabs>
          <w:tab w:val="num" w:pos="4320"/>
        </w:tabs>
        <w:ind w:left="4320" w:hanging="360"/>
      </w:pPr>
      <w:rPr>
        <w:rFonts w:ascii="Wingdings" w:hAnsi="Wingdings"/>
      </w:rPr>
    </w:lvl>
    <w:lvl w:ilvl="6" w:tplc="E26E49CC">
      <w:start w:val="1"/>
      <w:numFmt w:val="bullet"/>
      <w:lvlText w:val=""/>
      <w:lvlJc w:val="left"/>
      <w:pPr>
        <w:tabs>
          <w:tab w:val="num" w:pos="5040"/>
        </w:tabs>
        <w:ind w:left="5040" w:hanging="360"/>
      </w:pPr>
      <w:rPr>
        <w:rFonts w:ascii="Symbol" w:hAnsi="Symbol"/>
      </w:rPr>
    </w:lvl>
    <w:lvl w:ilvl="7" w:tplc="955A12D4">
      <w:start w:val="1"/>
      <w:numFmt w:val="bullet"/>
      <w:lvlText w:val="o"/>
      <w:lvlJc w:val="left"/>
      <w:pPr>
        <w:tabs>
          <w:tab w:val="num" w:pos="5760"/>
        </w:tabs>
        <w:ind w:left="5760" w:hanging="360"/>
      </w:pPr>
      <w:rPr>
        <w:rFonts w:ascii="Courier New" w:hAnsi="Courier New"/>
      </w:rPr>
    </w:lvl>
    <w:lvl w:ilvl="8" w:tplc="C6A4FF4C">
      <w:start w:val="1"/>
      <w:numFmt w:val="bullet"/>
      <w:lvlText w:val=""/>
      <w:lvlJc w:val="left"/>
      <w:pPr>
        <w:tabs>
          <w:tab w:val="num" w:pos="6480"/>
        </w:tabs>
        <w:ind w:left="6480" w:hanging="360"/>
      </w:pPr>
      <w:rPr>
        <w:rFonts w:ascii="Wingdings" w:hAnsi="Wingdings"/>
      </w:rPr>
    </w:lvl>
  </w:abstractNum>
  <w:abstractNum w:abstractNumId="211" w15:restartNumberingAfterBreak="0">
    <w:nsid w:val="72230595"/>
    <w:multiLevelType w:val="hybridMultilevel"/>
    <w:tmpl w:val="72230595"/>
    <w:lvl w:ilvl="0" w:tplc="3E18944A">
      <w:start w:val="1"/>
      <w:numFmt w:val="bullet"/>
      <w:lvlText w:val=""/>
      <w:lvlJc w:val="left"/>
      <w:pPr>
        <w:ind w:left="720" w:hanging="360"/>
      </w:pPr>
      <w:rPr>
        <w:rFonts w:ascii="Symbol" w:hAnsi="Symbol"/>
      </w:rPr>
    </w:lvl>
    <w:lvl w:ilvl="1" w:tplc="64D23B3C">
      <w:start w:val="1"/>
      <w:numFmt w:val="bullet"/>
      <w:lvlText w:val="o"/>
      <w:lvlJc w:val="left"/>
      <w:pPr>
        <w:tabs>
          <w:tab w:val="num" w:pos="1440"/>
        </w:tabs>
        <w:ind w:left="1440" w:hanging="360"/>
      </w:pPr>
      <w:rPr>
        <w:rFonts w:ascii="Courier New" w:hAnsi="Courier New"/>
      </w:rPr>
    </w:lvl>
    <w:lvl w:ilvl="2" w:tplc="BA2A863C">
      <w:start w:val="1"/>
      <w:numFmt w:val="bullet"/>
      <w:lvlText w:val=""/>
      <w:lvlJc w:val="left"/>
      <w:pPr>
        <w:tabs>
          <w:tab w:val="num" w:pos="2160"/>
        </w:tabs>
        <w:ind w:left="2160" w:hanging="360"/>
      </w:pPr>
      <w:rPr>
        <w:rFonts w:ascii="Wingdings" w:hAnsi="Wingdings"/>
      </w:rPr>
    </w:lvl>
    <w:lvl w:ilvl="3" w:tplc="4C8034BE">
      <w:start w:val="1"/>
      <w:numFmt w:val="bullet"/>
      <w:lvlText w:val=""/>
      <w:lvlJc w:val="left"/>
      <w:pPr>
        <w:tabs>
          <w:tab w:val="num" w:pos="2880"/>
        </w:tabs>
        <w:ind w:left="2880" w:hanging="360"/>
      </w:pPr>
      <w:rPr>
        <w:rFonts w:ascii="Symbol" w:hAnsi="Symbol"/>
      </w:rPr>
    </w:lvl>
    <w:lvl w:ilvl="4" w:tplc="AEA6955A">
      <w:start w:val="1"/>
      <w:numFmt w:val="bullet"/>
      <w:lvlText w:val="o"/>
      <w:lvlJc w:val="left"/>
      <w:pPr>
        <w:tabs>
          <w:tab w:val="num" w:pos="3600"/>
        </w:tabs>
        <w:ind w:left="3600" w:hanging="360"/>
      </w:pPr>
      <w:rPr>
        <w:rFonts w:ascii="Courier New" w:hAnsi="Courier New"/>
      </w:rPr>
    </w:lvl>
    <w:lvl w:ilvl="5" w:tplc="2D3258B6">
      <w:start w:val="1"/>
      <w:numFmt w:val="bullet"/>
      <w:lvlText w:val=""/>
      <w:lvlJc w:val="left"/>
      <w:pPr>
        <w:tabs>
          <w:tab w:val="num" w:pos="4320"/>
        </w:tabs>
        <w:ind w:left="4320" w:hanging="360"/>
      </w:pPr>
      <w:rPr>
        <w:rFonts w:ascii="Wingdings" w:hAnsi="Wingdings"/>
      </w:rPr>
    </w:lvl>
    <w:lvl w:ilvl="6" w:tplc="BF1A0426">
      <w:start w:val="1"/>
      <w:numFmt w:val="bullet"/>
      <w:lvlText w:val=""/>
      <w:lvlJc w:val="left"/>
      <w:pPr>
        <w:tabs>
          <w:tab w:val="num" w:pos="5040"/>
        </w:tabs>
        <w:ind w:left="5040" w:hanging="360"/>
      </w:pPr>
      <w:rPr>
        <w:rFonts w:ascii="Symbol" w:hAnsi="Symbol"/>
      </w:rPr>
    </w:lvl>
    <w:lvl w:ilvl="7" w:tplc="743E09D8">
      <w:start w:val="1"/>
      <w:numFmt w:val="bullet"/>
      <w:lvlText w:val="o"/>
      <w:lvlJc w:val="left"/>
      <w:pPr>
        <w:tabs>
          <w:tab w:val="num" w:pos="5760"/>
        </w:tabs>
        <w:ind w:left="5760" w:hanging="360"/>
      </w:pPr>
      <w:rPr>
        <w:rFonts w:ascii="Courier New" w:hAnsi="Courier New"/>
      </w:rPr>
    </w:lvl>
    <w:lvl w:ilvl="8" w:tplc="252C52C6">
      <w:start w:val="1"/>
      <w:numFmt w:val="bullet"/>
      <w:lvlText w:val=""/>
      <w:lvlJc w:val="left"/>
      <w:pPr>
        <w:tabs>
          <w:tab w:val="num" w:pos="6480"/>
        </w:tabs>
        <w:ind w:left="6480" w:hanging="360"/>
      </w:pPr>
      <w:rPr>
        <w:rFonts w:ascii="Wingdings" w:hAnsi="Wingdings"/>
      </w:rPr>
    </w:lvl>
  </w:abstractNum>
  <w:abstractNum w:abstractNumId="212" w15:restartNumberingAfterBreak="0">
    <w:nsid w:val="72230596"/>
    <w:multiLevelType w:val="hybridMultilevel"/>
    <w:tmpl w:val="72230596"/>
    <w:lvl w:ilvl="0" w:tplc="66FC453A">
      <w:start w:val="1"/>
      <w:numFmt w:val="bullet"/>
      <w:lvlText w:val=""/>
      <w:lvlJc w:val="left"/>
      <w:pPr>
        <w:ind w:left="720" w:hanging="360"/>
      </w:pPr>
      <w:rPr>
        <w:rFonts w:ascii="Symbol" w:hAnsi="Symbol"/>
      </w:rPr>
    </w:lvl>
    <w:lvl w:ilvl="1" w:tplc="229AEFDA">
      <w:start w:val="1"/>
      <w:numFmt w:val="bullet"/>
      <w:lvlText w:val="o"/>
      <w:lvlJc w:val="left"/>
      <w:pPr>
        <w:tabs>
          <w:tab w:val="num" w:pos="1440"/>
        </w:tabs>
        <w:ind w:left="1440" w:hanging="360"/>
      </w:pPr>
      <w:rPr>
        <w:rFonts w:ascii="Courier New" w:hAnsi="Courier New"/>
      </w:rPr>
    </w:lvl>
    <w:lvl w:ilvl="2" w:tplc="3C9EDCA8">
      <w:start w:val="1"/>
      <w:numFmt w:val="bullet"/>
      <w:lvlText w:val=""/>
      <w:lvlJc w:val="left"/>
      <w:pPr>
        <w:tabs>
          <w:tab w:val="num" w:pos="2160"/>
        </w:tabs>
        <w:ind w:left="2160" w:hanging="360"/>
      </w:pPr>
      <w:rPr>
        <w:rFonts w:ascii="Wingdings" w:hAnsi="Wingdings"/>
      </w:rPr>
    </w:lvl>
    <w:lvl w:ilvl="3" w:tplc="AB92985E">
      <w:start w:val="1"/>
      <w:numFmt w:val="bullet"/>
      <w:lvlText w:val=""/>
      <w:lvlJc w:val="left"/>
      <w:pPr>
        <w:tabs>
          <w:tab w:val="num" w:pos="2880"/>
        </w:tabs>
        <w:ind w:left="2880" w:hanging="360"/>
      </w:pPr>
      <w:rPr>
        <w:rFonts w:ascii="Symbol" w:hAnsi="Symbol"/>
      </w:rPr>
    </w:lvl>
    <w:lvl w:ilvl="4" w:tplc="D4F67FA6">
      <w:start w:val="1"/>
      <w:numFmt w:val="bullet"/>
      <w:lvlText w:val="o"/>
      <w:lvlJc w:val="left"/>
      <w:pPr>
        <w:tabs>
          <w:tab w:val="num" w:pos="3600"/>
        </w:tabs>
        <w:ind w:left="3600" w:hanging="360"/>
      </w:pPr>
      <w:rPr>
        <w:rFonts w:ascii="Courier New" w:hAnsi="Courier New"/>
      </w:rPr>
    </w:lvl>
    <w:lvl w:ilvl="5" w:tplc="909AD3DE">
      <w:start w:val="1"/>
      <w:numFmt w:val="bullet"/>
      <w:lvlText w:val=""/>
      <w:lvlJc w:val="left"/>
      <w:pPr>
        <w:tabs>
          <w:tab w:val="num" w:pos="4320"/>
        </w:tabs>
        <w:ind w:left="4320" w:hanging="360"/>
      </w:pPr>
      <w:rPr>
        <w:rFonts w:ascii="Wingdings" w:hAnsi="Wingdings"/>
      </w:rPr>
    </w:lvl>
    <w:lvl w:ilvl="6" w:tplc="89923720">
      <w:start w:val="1"/>
      <w:numFmt w:val="bullet"/>
      <w:lvlText w:val=""/>
      <w:lvlJc w:val="left"/>
      <w:pPr>
        <w:tabs>
          <w:tab w:val="num" w:pos="5040"/>
        </w:tabs>
        <w:ind w:left="5040" w:hanging="360"/>
      </w:pPr>
      <w:rPr>
        <w:rFonts w:ascii="Symbol" w:hAnsi="Symbol"/>
      </w:rPr>
    </w:lvl>
    <w:lvl w:ilvl="7" w:tplc="1E6ECAF0">
      <w:start w:val="1"/>
      <w:numFmt w:val="bullet"/>
      <w:lvlText w:val="o"/>
      <w:lvlJc w:val="left"/>
      <w:pPr>
        <w:tabs>
          <w:tab w:val="num" w:pos="5760"/>
        </w:tabs>
        <w:ind w:left="5760" w:hanging="360"/>
      </w:pPr>
      <w:rPr>
        <w:rFonts w:ascii="Courier New" w:hAnsi="Courier New"/>
      </w:rPr>
    </w:lvl>
    <w:lvl w:ilvl="8" w:tplc="D44CE122">
      <w:start w:val="1"/>
      <w:numFmt w:val="bullet"/>
      <w:lvlText w:val=""/>
      <w:lvlJc w:val="left"/>
      <w:pPr>
        <w:tabs>
          <w:tab w:val="num" w:pos="6480"/>
        </w:tabs>
        <w:ind w:left="6480" w:hanging="360"/>
      </w:pPr>
      <w:rPr>
        <w:rFonts w:ascii="Wingdings" w:hAnsi="Wingdings"/>
      </w:rPr>
    </w:lvl>
  </w:abstractNum>
  <w:abstractNum w:abstractNumId="213" w15:restartNumberingAfterBreak="0">
    <w:nsid w:val="72230597"/>
    <w:multiLevelType w:val="hybridMultilevel"/>
    <w:tmpl w:val="72230597"/>
    <w:lvl w:ilvl="0" w:tplc="7346DDBA">
      <w:start w:val="1"/>
      <w:numFmt w:val="bullet"/>
      <w:lvlText w:val=""/>
      <w:lvlJc w:val="left"/>
      <w:pPr>
        <w:ind w:left="720" w:hanging="360"/>
      </w:pPr>
      <w:rPr>
        <w:rFonts w:ascii="Symbol" w:hAnsi="Symbol"/>
      </w:rPr>
    </w:lvl>
    <w:lvl w:ilvl="1" w:tplc="AA4211C6">
      <w:start w:val="1"/>
      <w:numFmt w:val="bullet"/>
      <w:lvlText w:val="o"/>
      <w:lvlJc w:val="left"/>
      <w:pPr>
        <w:tabs>
          <w:tab w:val="num" w:pos="1440"/>
        </w:tabs>
        <w:ind w:left="1440" w:hanging="360"/>
      </w:pPr>
      <w:rPr>
        <w:rFonts w:ascii="Courier New" w:hAnsi="Courier New"/>
      </w:rPr>
    </w:lvl>
    <w:lvl w:ilvl="2" w:tplc="4A809406">
      <w:start w:val="1"/>
      <w:numFmt w:val="bullet"/>
      <w:lvlText w:val=""/>
      <w:lvlJc w:val="left"/>
      <w:pPr>
        <w:tabs>
          <w:tab w:val="num" w:pos="2160"/>
        </w:tabs>
        <w:ind w:left="2160" w:hanging="360"/>
      </w:pPr>
      <w:rPr>
        <w:rFonts w:ascii="Wingdings" w:hAnsi="Wingdings"/>
      </w:rPr>
    </w:lvl>
    <w:lvl w:ilvl="3" w:tplc="17800CDC">
      <w:start w:val="1"/>
      <w:numFmt w:val="bullet"/>
      <w:lvlText w:val=""/>
      <w:lvlJc w:val="left"/>
      <w:pPr>
        <w:tabs>
          <w:tab w:val="num" w:pos="2880"/>
        </w:tabs>
        <w:ind w:left="2880" w:hanging="360"/>
      </w:pPr>
      <w:rPr>
        <w:rFonts w:ascii="Symbol" w:hAnsi="Symbol"/>
      </w:rPr>
    </w:lvl>
    <w:lvl w:ilvl="4" w:tplc="A9DABB9A">
      <w:start w:val="1"/>
      <w:numFmt w:val="bullet"/>
      <w:lvlText w:val="o"/>
      <w:lvlJc w:val="left"/>
      <w:pPr>
        <w:tabs>
          <w:tab w:val="num" w:pos="3600"/>
        </w:tabs>
        <w:ind w:left="3600" w:hanging="360"/>
      </w:pPr>
      <w:rPr>
        <w:rFonts w:ascii="Courier New" w:hAnsi="Courier New"/>
      </w:rPr>
    </w:lvl>
    <w:lvl w:ilvl="5" w:tplc="7DA232B0">
      <w:start w:val="1"/>
      <w:numFmt w:val="bullet"/>
      <w:lvlText w:val=""/>
      <w:lvlJc w:val="left"/>
      <w:pPr>
        <w:tabs>
          <w:tab w:val="num" w:pos="4320"/>
        </w:tabs>
        <w:ind w:left="4320" w:hanging="360"/>
      </w:pPr>
      <w:rPr>
        <w:rFonts w:ascii="Wingdings" w:hAnsi="Wingdings"/>
      </w:rPr>
    </w:lvl>
    <w:lvl w:ilvl="6" w:tplc="F97A4768">
      <w:start w:val="1"/>
      <w:numFmt w:val="bullet"/>
      <w:lvlText w:val=""/>
      <w:lvlJc w:val="left"/>
      <w:pPr>
        <w:tabs>
          <w:tab w:val="num" w:pos="5040"/>
        </w:tabs>
        <w:ind w:left="5040" w:hanging="360"/>
      </w:pPr>
      <w:rPr>
        <w:rFonts w:ascii="Symbol" w:hAnsi="Symbol"/>
      </w:rPr>
    </w:lvl>
    <w:lvl w:ilvl="7" w:tplc="B046E424">
      <w:start w:val="1"/>
      <w:numFmt w:val="bullet"/>
      <w:lvlText w:val="o"/>
      <w:lvlJc w:val="left"/>
      <w:pPr>
        <w:tabs>
          <w:tab w:val="num" w:pos="5760"/>
        </w:tabs>
        <w:ind w:left="5760" w:hanging="360"/>
      </w:pPr>
      <w:rPr>
        <w:rFonts w:ascii="Courier New" w:hAnsi="Courier New"/>
      </w:rPr>
    </w:lvl>
    <w:lvl w:ilvl="8" w:tplc="DC7647BC">
      <w:start w:val="1"/>
      <w:numFmt w:val="bullet"/>
      <w:lvlText w:val=""/>
      <w:lvlJc w:val="left"/>
      <w:pPr>
        <w:tabs>
          <w:tab w:val="num" w:pos="6480"/>
        </w:tabs>
        <w:ind w:left="6480" w:hanging="360"/>
      </w:pPr>
      <w:rPr>
        <w:rFonts w:ascii="Wingdings" w:hAnsi="Wingdings"/>
      </w:rPr>
    </w:lvl>
  </w:abstractNum>
  <w:abstractNum w:abstractNumId="214" w15:restartNumberingAfterBreak="0">
    <w:nsid w:val="72230598"/>
    <w:multiLevelType w:val="hybridMultilevel"/>
    <w:tmpl w:val="72230598"/>
    <w:lvl w:ilvl="0" w:tplc="C632E070">
      <w:start w:val="1"/>
      <w:numFmt w:val="bullet"/>
      <w:lvlText w:val=""/>
      <w:lvlJc w:val="left"/>
      <w:pPr>
        <w:ind w:left="720" w:hanging="360"/>
      </w:pPr>
      <w:rPr>
        <w:rFonts w:ascii="Symbol" w:hAnsi="Symbol"/>
      </w:rPr>
    </w:lvl>
    <w:lvl w:ilvl="1" w:tplc="A4B67F00">
      <w:start w:val="1"/>
      <w:numFmt w:val="bullet"/>
      <w:lvlText w:val="o"/>
      <w:lvlJc w:val="left"/>
      <w:pPr>
        <w:tabs>
          <w:tab w:val="num" w:pos="1440"/>
        </w:tabs>
        <w:ind w:left="1440" w:hanging="360"/>
      </w:pPr>
      <w:rPr>
        <w:rFonts w:ascii="Courier New" w:hAnsi="Courier New"/>
      </w:rPr>
    </w:lvl>
    <w:lvl w:ilvl="2" w:tplc="C9541C64">
      <w:start w:val="1"/>
      <w:numFmt w:val="bullet"/>
      <w:lvlText w:val=""/>
      <w:lvlJc w:val="left"/>
      <w:pPr>
        <w:tabs>
          <w:tab w:val="num" w:pos="2160"/>
        </w:tabs>
        <w:ind w:left="2160" w:hanging="360"/>
      </w:pPr>
      <w:rPr>
        <w:rFonts w:ascii="Wingdings" w:hAnsi="Wingdings"/>
      </w:rPr>
    </w:lvl>
    <w:lvl w:ilvl="3" w:tplc="68A29BCC">
      <w:start w:val="1"/>
      <w:numFmt w:val="bullet"/>
      <w:lvlText w:val=""/>
      <w:lvlJc w:val="left"/>
      <w:pPr>
        <w:tabs>
          <w:tab w:val="num" w:pos="2880"/>
        </w:tabs>
        <w:ind w:left="2880" w:hanging="360"/>
      </w:pPr>
      <w:rPr>
        <w:rFonts w:ascii="Symbol" w:hAnsi="Symbol"/>
      </w:rPr>
    </w:lvl>
    <w:lvl w:ilvl="4" w:tplc="8168FA30">
      <w:start w:val="1"/>
      <w:numFmt w:val="bullet"/>
      <w:lvlText w:val="o"/>
      <w:lvlJc w:val="left"/>
      <w:pPr>
        <w:tabs>
          <w:tab w:val="num" w:pos="3600"/>
        </w:tabs>
        <w:ind w:left="3600" w:hanging="360"/>
      </w:pPr>
      <w:rPr>
        <w:rFonts w:ascii="Courier New" w:hAnsi="Courier New"/>
      </w:rPr>
    </w:lvl>
    <w:lvl w:ilvl="5" w:tplc="CF78DC1E">
      <w:start w:val="1"/>
      <w:numFmt w:val="bullet"/>
      <w:lvlText w:val=""/>
      <w:lvlJc w:val="left"/>
      <w:pPr>
        <w:tabs>
          <w:tab w:val="num" w:pos="4320"/>
        </w:tabs>
        <w:ind w:left="4320" w:hanging="360"/>
      </w:pPr>
      <w:rPr>
        <w:rFonts w:ascii="Wingdings" w:hAnsi="Wingdings"/>
      </w:rPr>
    </w:lvl>
    <w:lvl w:ilvl="6" w:tplc="255A4F9C">
      <w:start w:val="1"/>
      <w:numFmt w:val="bullet"/>
      <w:lvlText w:val=""/>
      <w:lvlJc w:val="left"/>
      <w:pPr>
        <w:tabs>
          <w:tab w:val="num" w:pos="5040"/>
        </w:tabs>
        <w:ind w:left="5040" w:hanging="360"/>
      </w:pPr>
      <w:rPr>
        <w:rFonts w:ascii="Symbol" w:hAnsi="Symbol"/>
      </w:rPr>
    </w:lvl>
    <w:lvl w:ilvl="7" w:tplc="7CE02672">
      <w:start w:val="1"/>
      <w:numFmt w:val="bullet"/>
      <w:lvlText w:val="o"/>
      <w:lvlJc w:val="left"/>
      <w:pPr>
        <w:tabs>
          <w:tab w:val="num" w:pos="5760"/>
        </w:tabs>
        <w:ind w:left="5760" w:hanging="360"/>
      </w:pPr>
      <w:rPr>
        <w:rFonts w:ascii="Courier New" w:hAnsi="Courier New"/>
      </w:rPr>
    </w:lvl>
    <w:lvl w:ilvl="8" w:tplc="4A4E241C">
      <w:start w:val="1"/>
      <w:numFmt w:val="bullet"/>
      <w:lvlText w:val=""/>
      <w:lvlJc w:val="left"/>
      <w:pPr>
        <w:tabs>
          <w:tab w:val="num" w:pos="6480"/>
        </w:tabs>
        <w:ind w:left="6480" w:hanging="360"/>
      </w:pPr>
      <w:rPr>
        <w:rFonts w:ascii="Wingdings" w:hAnsi="Wingdings"/>
      </w:rPr>
    </w:lvl>
  </w:abstractNum>
  <w:abstractNum w:abstractNumId="215" w15:restartNumberingAfterBreak="0">
    <w:nsid w:val="72230599"/>
    <w:multiLevelType w:val="hybridMultilevel"/>
    <w:tmpl w:val="72230599"/>
    <w:lvl w:ilvl="0" w:tplc="95C2D448">
      <w:start w:val="1"/>
      <w:numFmt w:val="bullet"/>
      <w:lvlText w:val=""/>
      <w:lvlJc w:val="left"/>
      <w:pPr>
        <w:ind w:left="720" w:hanging="360"/>
      </w:pPr>
      <w:rPr>
        <w:rFonts w:ascii="Symbol" w:hAnsi="Symbol"/>
      </w:rPr>
    </w:lvl>
    <w:lvl w:ilvl="1" w:tplc="5DF87220">
      <w:start w:val="1"/>
      <w:numFmt w:val="bullet"/>
      <w:lvlText w:val="o"/>
      <w:lvlJc w:val="left"/>
      <w:pPr>
        <w:tabs>
          <w:tab w:val="num" w:pos="1440"/>
        </w:tabs>
        <w:ind w:left="1440" w:hanging="360"/>
      </w:pPr>
      <w:rPr>
        <w:rFonts w:ascii="Courier New" w:hAnsi="Courier New"/>
      </w:rPr>
    </w:lvl>
    <w:lvl w:ilvl="2" w:tplc="B7E69A6C">
      <w:start w:val="1"/>
      <w:numFmt w:val="bullet"/>
      <w:lvlText w:val=""/>
      <w:lvlJc w:val="left"/>
      <w:pPr>
        <w:tabs>
          <w:tab w:val="num" w:pos="2160"/>
        </w:tabs>
        <w:ind w:left="2160" w:hanging="360"/>
      </w:pPr>
      <w:rPr>
        <w:rFonts w:ascii="Wingdings" w:hAnsi="Wingdings"/>
      </w:rPr>
    </w:lvl>
    <w:lvl w:ilvl="3" w:tplc="A21234C8">
      <w:start w:val="1"/>
      <w:numFmt w:val="bullet"/>
      <w:lvlText w:val=""/>
      <w:lvlJc w:val="left"/>
      <w:pPr>
        <w:tabs>
          <w:tab w:val="num" w:pos="2880"/>
        </w:tabs>
        <w:ind w:left="2880" w:hanging="360"/>
      </w:pPr>
      <w:rPr>
        <w:rFonts w:ascii="Symbol" w:hAnsi="Symbol"/>
      </w:rPr>
    </w:lvl>
    <w:lvl w:ilvl="4" w:tplc="29B2F25C">
      <w:start w:val="1"/>
      <w:numFmt w:val="bullet"/>
      <w:lvlText w:val="o"/>
      <w:lvlJc w:val="left"/>
      <w:pPr>
        <w:tabs>
          <w:tab w:val="num" w:pos="3600"/>
        </w:tabs>
        <w:ind w:left="3600" w:hanging="360"/>
      </w:pPr>
      <w:rPr>
        <w:rFonts w:ascii="Courier New" w:hAnsi="Courier New"/>
      </w:rPr>
    </w:lvl>
    <w:lvl w:ilvl="5" w:tplc="36CEEC4E">
      <w:start w:val="1"/>
      <w:numFmt w:val="bullet"/>
      <w:lvlText w:val=""/>
      <w:lvlJc w:val="left"/>
      <w:pPr>
        <w:tabs>
          <w:tab w:val="num" w:pos="4320"/>
        </w:tabs>
        <w:ind w:left="4320" w:hanging="360"/>
      </w:pPr>
      <w:rPr>
        <w:rFonts w:ascii="Wingdings" w:hAnsi="Wingdings"/>
      </w:rPr>
    </w:lvl>
    <w:lvl w:ilvl="6" w:tplc="0E02CF3E">
      <w:start w:val="1"/>
      <w:numFmt w:val="bullet"/>
      <w:lvlText w:val=""/>
      <w:lvlJc w:val="left"/>
      <w:pPr>
        <w:tabs>
          <w:tab w:val="num" w:pos="5040"/>
        </w:tabs>
        <w:ind w:left="5040" w:hanging="360"/>
      </w:pPr>
      <w:rPr>
        <w:rFonts w:ascii="Symbol" w:hAnsi="Symbol"/>
      </w:rPr>
    </w:lvl>
    <w:lvl w:ilvl="7" w:tplc="1630A5D6">
      <w:start w:val="1"/>
      <w:numFmt w:val="bullet"/>
      <w:lvlText w:val="o"/>
      <w:lvlJc w:val="left"/>
      <w:pPr>
        <w:tabs>
          <w:tab w:val="num" w:pos="5760"/>
        </w:tabs>
        <w:ind w:left="5760" w:hanging="360"/>
      </w:pPr>
      <w:rPr>
        <w:rFonts w:ascii="Courier New" w:hAnsi="Courier New"/>
      </w:rPr>
    </w:lvl>
    <w:lvl w:ilvl="8" w:tplc="B63A7FFA">
      <w:start w:val="1"/>
      <w:numFmt w:val="bullet"/>
      <w:lvlText w:val=""/>
      <w:lvlJc w:val="left"/>
      <w:pPr>
        <w:tabs>
          <w:tab w:val="num" w:pos="6480"/>
        </w:tabs>
        <w:ind w:left="6480" w:hanging="360"/>
      </w:pPr>
      <w:rPr>
        <w:rFonts w:ascii="Wingdings" w:hAnsi="Wingdings"/>
      </w:rPr>
    </w:lvl>
  </w:abstractNum>
  <w:abstractNum w:abstractNumId="216" w15:restartNumberingAfterBreak="0">
    <w:nsid w:val="7223059A"/>
    <w:multiLevelType w:val="hybridMultilevel"/>
    <w:tmpl w:val="7223059A"/>
    <w:lvl w:ilvl="0" w:tplc="848EB5DA">
      <w:start w:val="1"/>
      <w:numFmt w:val="bullet"/>
      <w:lvlText w:val=""/>
      <w:lvlJc w:val="left"/>
      <w:pPr>
        <w:ind w:left="720" w:hanging="360"/>
      </w:pPr>
      <w:rPr>
        <w:rFonts w:ascii="Symbol" w:hAnsi="Symbol"/>
      </w:rPr>
    </w:lvl>
    <w:lvl w:ilvl="1" w:tplc="141E3204">
      <w:start w:val="1"/>
      <w:numFmt w:val="bullet"/>
      <w:lvlText w:val="o"/>
      <w:lvlJc w:val="left"/>
      <w:pPr>
        <w:tabs>
          <w:tab w:val="num" w:pos="1440"/>
        </w:tabs>
        <w:ind w:left="1440" w:hanging="360"/>
      </w:pPr>
      <w:rPr>
        <w:rFonts w:ascii="Courier New" w:hAnsi="Courier New"/>
      </w:rPr>
    </w:lvl>
    <w:lvl w:ilvl="2" w:tplc="40DC9028">
      <w:start w:val="1"/>
      <w:numFmt w:val="bullet"/>
      <w:lvlText w:val=""/>
      <w:lvlJc w:val="left"/>
      <w:pPr>
        <w:tabs>
          <w:tab w:val="num" w:pos="2160"/>
        </w:tabs>
        <w:ind w:left="2160" w:hanging="360"/>
      </w:pPr>
      <w:rPr>
        <w:rFonts w:ascii="Wingdings" w:hAnsi="Wingdings"/>
      </w:rPr>
    </w:lvl>
    <w:lvl w:ilvl="3" w:tplc="D600602E">
      <w:start w:val="1"/>
      <w:numFmt w:val="bullet"/>
      <w:lvlText w:val=""/>
      <w:lvlJc w:val="left"/>
      <w:pPr>
        <w:tabs>
          <w:tab w:val="num" w:pos="2880"/>
        </w:tabs>
        <w:ind w:left="2880" w:hanging="360"/>
      </w:pPr>
      <w:rPr>
        <w:rFonts w:ascii="Symbol" w:hAnsi="Symbol"/>
      </w:rPr>
    </w:lvl>
    <w:lvl w:ilvl="4" w:tplc="4C8AAEAC">
      <w:start w:val="1"/>
      <w:numFmt w:val="bullet"/>
      <w:lvlText w:val="o"/>
      <w:lvlJc w:val="left"/>
      <w:pPr>
        <w:tabs>
          <w:tab w:val="num" w:pos="3600"/>
        </w:tabs>
        <w:ind w:left="3600" w:hanging="360"/>
      </w:pPr>
      <w:rPr>
        <w:rFonts w:ascii="Courier New" w:hAnsi="Courier New"/>
      </w:rPr>
    </w:lvl>
    <w:lvl w:ilvl="5" w:tplc="B38EBFCA">
      <w:start w:val="1"/>
      <w:numFmt w:val="bullet"/>
      <w:lvlText w:val=""/>
      <w:lvlJc w:val="left"/>
      <w:pPr>
        <w:tabs>
          <w:tab w:val="num" w:pos="4320"/>
        </w:tabs>
        <w:ind w:left="4320" w:hanging="360"/>
      </w:pPr>
      <w:rPr>
        <w:rFonts w:ascii="Wingdings" w:hAnsi="Wingdings"/>
      </w:rPr>
    </w:lvl>
    <w:lvl w:ilvl="6" w:tplc="2F3C81B8">
      <w:start w:val="1"/>
      <w:numFmt w:val="bullet"/>
      <w:lvlText w:val=""/>
      <w:lvlJc w:val="left"/>
      <w:pPr>
        <w:tabs>
          <w:tab w:val="num" w:pos="5040"/>
        </w:tabs>
        <w:ind w:left="5040" w:hanging="360"/>
      </w:pPr>
      <w:rPr>
        <w:rFonts w:ascii="Symbol" w:hAnsi="Symbol"/>
      </w:rPr>
    </w:lvl>
    <w:lvl w:ilvl="7" w:tplc="D7F69590">
      <w:start w:val="1"/>
      <w:numFmt w:val="bullet"/>
      <w:lvlText w:val="o"/>
      <w:lvlJc w:val="left"/>
      <w:pPr>
        <w:tabs>
          <w:tab w:val="num" w:pos="5760"/>
        </w:tabs>
        <w:ind w:left="5760" w:hanging="360"/>
      </w:pPr>
      <w:rPr>
        <w:rFonts w:ascii="Courier New" w:hAnsi="Courier New"/>
      </w:rPr>
    </w:lvl>
    <w:lvl w:ilvl="8" w:tplc="5C50C2CC">
      <w:start w:val="1"/>
      <w:numFmt w:val="bullet"/>
      <w:lvlText w:val=""/>
      <w:lvlJc w:val="left"/>
      <w:pPr>
        <w:tabs>
          <w:tab w:val="num" w:pos="6480"/>
        </w:tabs>
        <w:ind w:left="6480" w:hanging="360"/>
      </w:pPr>
      <w:rPr>
        <w:rFonts w:ascii="Wingdings" w:hAnsi="Wingdings"/>
      </w:rPr>
    </w:lvl>
  </w:abstractNum>
  <w:abstractNum w:abstractNumId="217" w15:restartNumberingAfterBreak="0">
    <w:nsid w:val="7223059B"/>
    <w:multiLevelType w:val="hybridMultilevel"/>
    <w:tmpl w:val="7223059B"/>
    <w:lvl w:ilvl="0" w:tplc="52B685E0">
      <w:start w:val="1"/>
      <w:numFmt w:val="bullet"/>
      <w:lvlText w:val=""/>
      <w:lvlJc w:val="left"/>
      <w:pPr>
        <w:ind w:left="720" w:hanging="360"/>
      </w:pPr>
      <w:rPr>
        <w:rFonts w:ascii="Symbol" w:hAnsi="Symbol"/>
      </w:rPr>
    </w:lvl>
    <w:lvl w:ilvl="1" w:tplc="7E66B156">
      <w:start w:val="1"/>
      <w:numFmt w:val="bullet"/>
      <w:lvlText w:val="o"/>
      <w:lvlJc w:val="left"/>
      <w:pPr>
        <w:tabs>
          <w:tab w:val="num" w:pos="1440"/>
        </w:tabs>
        <w:ind w:left="1440" w:hanging="360"/>
      </w:pPr>
      <w:rPr>
        <w:rFonts w:ascii="Courier New" w:hAnsi="Courier New"/>
      </w:rPr>
    </w:lvl>
    <w:lvl w:ilvl="2" w:tplc="B0B485BE">
      <w:start w:val="1"/>
      <w:numFmt w:val="bullet"/>
      <w:lvlText w:val=""/>
      <w:lvlJc w:val="left"/>
      <w:pPr>
        <w:tabs>
          <w:tab w:val="num" w:pos="2160"/>
        </w:tabs>
        <w:ind w:left="2160" w:hanging="360"/>
      </w:pPr>
      <w:rPr>
        <w:rFonts w:ascii="Wingdings" w:hAnsi="Wingdings"/>
      </w:rPr>
    </w:lvl>
    <w:lvl w:ilvl="3" w:tplc="59708F64">
      <w:start w:val="1"/>
      <w:numFmt w:val="bullet"/>
      <w:lvlText w:val=""/>
      <w:lvlJc w:val="left"/>
      <w:pPr>
        <w:tabs>
          <w:tab w:val="num" w:pos="2880"/>
        </w:tabs>
        <w:ind w:left="2880" w:hanging="360"/>
      </w:pPr>
      <w:rPr>
        <w:rFonts w:ascii="Symbol" w:hAnsi="Symbol"/>
      </w:rPr>
    </w:lvl>
    <w:lvl w:ilvl="4" w:tplc="8A94F692">
      <w:start w:val="1"/>
      <w:numFmt w:val="bullet"/>
      <w:lvlText w:val="o"/>
      <w:lvlJc w:val="left"/>
      <w:pPr>
        <w:tabs>
          <w:tab w:val="num" w:pos="3600"/>
        </w:tabs>
        <w:ind w:left="3600" w:hanging="360"/>
      </w:pPr>
      <w:rPr>
        <w:rFonts w:ascii="Courier New" w:hAnsi="Courier New"/>
      </w:rPr>
    </w:lvl>
    <w:lvl w:ilvl="5" w:tplc="C12C46B0">
      <w:start w:val="1"/>
      <w:numFmt w:val="bullet"/>
      <w:lvlText w:val=""/>
      <w:lvlJc w:val="left"/>
      <w:pPr>
        <w:tabs>
          <w:tab w:val="num" w:pos="4320"/>
        </w:tabs>
        <w:ind w:left="4320" w:hanging="360"/>
      </w:pPr>
      <w:rPr>
        <w:rFonts w:ascii="Wingdings" w:hAnsi="Wingdings"/>
      </w:rPr>
    </w:lvl>
    <w:lvl w:ilvl="6" w:tplc="1A64E2F0">
      <w:start w:val="1"/>
      <w:numFmt w:val="bullet"/>
      <w:lvlText w:val=""/>
      <w:lvlJc w:val="left"/>
      <w:pPr>
        <w:tabs>
          <w:tab w:val="num" w:pos="5040"/>
        </w:tabs>
        <w:ind w:left="5040" w:hanging="360"/>
      </w:pPr>
      <w:rPr>
        <w:rFonts w:ascii="Symbol" w:hAnsi="Symbol"/>
      </w:rPr>
    </w:lvl>
    <w:lvl w:ilvl="7" w:tplc="CE3A3AE4">
      <w:start w:val="1"/>
      <w:numFmt w:val="bullet"/>
      <w:lvlText w:val="o"/>
      <w:lvlJc w:val="left"/>
      <w:pPr>
        <w:tabs>
          <w:tab w:val="num" w:pos="5760"/>
        </w:tabs>
        <w:ind w:left="5760" w:hanging="360"/>
      </w:pPr>
      <w:rPr>
        <w:rFonts w:ascii="Courier New" w:hAnsi="Courier New"/>
      </w:rPr>
    </w:lvl>
    <w:lvl w:ilvl="8" w:tplc="ADE48C00">
      <w:start w:val="1"/>
      <w:numFmt w:val="bullet"/>
      <w:lvlText w:val=""/>
      <w:lvlJc w:val="left"/>
      <w:pPr>
        <w:tabs>
          <w:tab w:val="num" w:pos="6480"/>
        </w:tabs>
        <w:ind w:left="6480" w:hanging="360"/>
      </w:pPr>
      <w:rPr>
        <w:rFonts w:ascii="Wingdings" w:hAnsi="Wingdings"/>
      </w:rPr>
    </w:lvl>
  </w:abstractNum>
  <w:abstractNum w:abstractNumId="218" w15:restartNumberingAfterBreak="0">
    <w:nsid w:val="7223059C"/>
    <w:multiLevelType w:val="hybridMultilevel"/>
    <w:tmpl w:val="7223059C"/>
    <w:lvl w:ilvl="0" w:tplc="745EB642">
      <w:start w:val="1"/>
      <w:numFmt w:val="bullet"/>
      <w:lvlText w:val=""/>
      <w:lvlJc w:val="left"/>
      <w:pPr>
        <w:ind w:left="720" w:hanging="360"/>
      </w:pPr>
      <w:rPr>
        <w:rFonts w:ascii="Symbol" w:hAnsi="Symbol"/>
      </w:rPr>
    </w:lvl>
    <w:lvl w:ilvl="1" w:tplc="7E90D42A">
      <w:start w:val="1"/>
      <w:numFmt w:val="bullet"/>
      <w:lvlText w:val="o"/>
      <w:lvlJc w:val="left"/>
      <w:pPr>
        <w:tabs>
          <w:tab w:val="num" w:pos="1440"/>
        </w:tabs>
        <w:ind w:left="1440" w:hanging="360"/>
      </w:pPr>
      <w:rPr>
        <w:rFonts w:ascii="Courier New" w:hAnsi="Courier New"/>
      </w:rPr>
    </w:lvl>
    <w:lvl w:ilvl="2" w:tplc="E7DA5798">
      <w:start w:val="1"/>
      <w:numFmt w:val="bullet"/>
      <w:lvlText w:val=""/>
      <w:lvlJc w:val="left"/>
      <w:pPr>
        <w:tabs>
          <w:tab w:val="num" w:pos="2160"/>
        </w:tabs>
        <w:ind w:left="2160" w:hanging="360"/>
      </w:pPr>
      <w:rPr>
        <w:rFonts w:ascii="Wingdings" w:hAnsi="Wingdings"/>
      </w:rPr>
    </w:lvl>
    <w:lvl w:ilvl="3" w:tplc="D06C36E6">
      <w:start w:val="1"/>
      <w:numFmt w:val="bullet"/>
      <w:lvlText w:val=""/>
      <w:lvlJc w:val="left"/>
      <w:pPr>
        <w:tabs>
          <w:tab w:val="num" w:pos="2880"/>
        </w:tabs>
        <w:ind w:left="2880" w:hanging="360"/>
      </w:pPr>
      <w:rPr>
        <w:rFonts w:ascii="Symbol" w:hAnsi="Symbol"/>
      </w:rPr>
    </w:lvl>
    <w:lvl w:ilvl="4" w:tplc="600880C2">
      <w:start w:val="1"/>
      <w:numFmt w:val="bullet"/>
      <w:lvlText w:val="o"/>
      <w:lvlJc w:val="left"/>
      <w:pPr>
        <w:tabs>
          <w:tab w:val="num" w:pos="3600"/>
        </w:tabs>
        <w:ind w:left="3600" w:hanging="360"/>
      </w:pPr>
      <w:rPr>
        <w:rFonts w:ascii="Courier New" w:hAnsi="Courier New"/>
      </w:rPr>
    </w:lvl>
    <w:lvl w:ilvl="5" w:tplc="25A0D650">
      <w:start w:val="1"/>
      <w:numFmt w:val="bullet"/>
      <w:lvlText w:val=""/>
      <w:lvlJc w:val="left"/>
      <w:pPr>
        <w:tabs>
          <w:tab w:val="num" w:pos="4320"/>
        </w:tabs>
        <w:ind w:left="4320" w:hanging="360"/>
      </w:pPr>
      <w:rPr>
        <w:rFonts w:ascii="Wingdings" w:hAnsi="Wingdings"/>
      </w:rPr>
    </w:lvl>
    <w:lvl w:ilvl="6" w:tplc="7C5A091A">
      <w:start w:val="1"/>
      <w:numFmt w:val="bullet"/>
      <w:lvlText w:val=""/>
      <w:lvlJc w:val="left"/>
      <w:pPr>
        <w:tabs>
          <w:tab w:val="num" w:pos="5040"/>
        </w:tabs>
        <w:ind w:left="5040" w:hanging="360"/>
      </w:pPr>
      <w:rPr>
        <w:rFonts w:ascii="Symbol" w:hAnsi="Symbol"/>
      </w:rPr>
    </w:lvl>
    <w:lvl w:ilvl="7" w:tplc="7C16F1F6">
      <w:start w:val="1"/>
      <w:numFmt w:val="bullet"/>
      <w:lvlText w:val="o"/>
      <w:lvlJc w:val="left"/>
      <w:pPr>
        <w:tabs>
          <w:tab w:val="num" w:pos="5760"/>
        </w:tabs>
        <w:ind w:left="5760" w:hanging="360"/>
      </w:pPr>
      <w:rPr>
        <w:rFonts w:ascii="Courier New" w:hAnsi="Courier New"/>
      </w:rPr>
    </w:lvl>
    <w:lvl w:ilvl="8" w:tplc="F572B07A">
      <w:start w:val="1"/>
      <w:numFmt w:val="bullet"/>
      <w:lvlText w:val=""/>
      <w:lvlJc w:val="left"/>
      <w:pPr>
        <w:tabs>
          <w:tab w:val="num" w:pos="6480"/>
        </w:tabs>
        <w:ind w:left="6480" w:hanging="360"/>
      </w:pPr>
      <w:rPr>
        <w:rFonts w:ascii="Wingdings" w:hAnsi="Wingdings"/>
      </w:rPr>
    </w:lvl>
  </w:abstractNum>
  <w:abstractNum w:abstractNumId="219" w15:restartNumberingAfterBreak="0">
    <w:nsid w:val="7223059D"/>
    <w:multiLevelType w:val="hybridMultilevel"/>
    <w:tmpl w:val="7223059D"/>
    <w:lvl w:ilvl="0" w:tplc="83A27074">
      <w:start w:val="1"/>
      <w:numFmt w:val="bullet"/>
      <w:lvlText w:val=""/>
      <w:lvlJc w:val="left"/>
      <w:pPr>
        <w:tabs>
          <w:tab w:val="num" w:pos="720"/>
        </w:tabs>
        <w:ind w:left="720" w:hanging="360"/>
      </w:pPr>
      <w:rPr>
        <w:rFonts w:ascii="Symbol" w:hAnsi="Symbol"/>
      </w:rPr>
    </w:lvl>
    <w:lvl w:ilvl="1" w:tplc="6A46571C">
      <w:start w:val="1"/>
      <w:numFmt w:val="bullet"/>
      <w:lvlText w:val="o"/>
      <w:lvlJc w:val="left"/>
      <w:pPr>
        <w:tabs>
          <w:tab w:val="num" w:pos="1440"/>
        </w:tabs>
        <w:ind w:left="1440" w:hanging="360"/>
      </w:pPr>
      <w:rPr>
        <w:rFonts w:ascii="Courier New" w:hAnsi="Courier New"/>
      </w:rPr>
    </w:lvl>
    <w:lvl w:ilvl="2" w:tplc="49FE0A36">
      <w:start w:val="1"/>
      <w:numFmt w:val="bullet"/>
      <w:lvlText w:val=""/>
      <w:lvlJc w:val="left"/>
      <w:pPr>
        <w:tabs>
          <w:tab w:val="num" w:pos="2160"/>
        </w:tabs>
        <w:ind w:left="2160" w:hanging="360"/>
      </w:pPr>
      <w:rPr>
        <w:rFonts w:ascii="Wingdings" w:hAnsi="Wingdings"/>
      </w:rPr>
    </w:lvl>
    <w:lvl w:ilvl="3" w:tplc="2876BC10">
      <w:start w:val="1"/>
      <w:numFmt w:val="bullet"/>
      <w:lvlText w:val=""/>
      <w:lvlJc w:val="left"/>
      <w:pPr>
        <w:tabs>
          <w:tab w:val="num" w:pos="2880"/>
        </w:tabs>
        <w:ind w:left="2880" w:hanging="360"/>
      </w:pPr>
      <w:rPr>
        <w:rFonts w:ascii="Symbol" w:hAnsi="Symbol"/>
      </w:rPr>
    </w:lvl>
    <w:lvl w:ilvl="4" w:tplc="2F3A2C94">
      <w:start w:val="1"/>
      <w:numFmt w:val="bullet"/>
      <w:lvlText w:val="o"/>
      <w:lvlJc w:val="left"/>
      <w:pPr>
        <w:tabs>
          <w:tab w:val="num" w:pos="3600"/>
        </w:tabs>
        <w:ind w:left="3600" w:hanging="360"/>
      </w:pPr>
      <w:rPr>
        <w:rFonts w:ascii="Courier New" w:hAnsi="Courier New"/>
      </w:rPr>
    </w:lvl>
    <w:lvl w:ilvl="5" w:tplc="7A3A9AD4">
      <w:start w:val="1"/>
      <w:numFmt w:val="bullet"/>
      <w:lvlText w:val=""/>
      <w:lvlJc w:val="left"/>
      <w:pPr>
        <w:tabs>
          <w:tab w:val="num" w:pos="4320"/>
        </w:tabs>
        <w:ind w:left="4320" w:hanging="360"/>
      </w:pPr>
      <w:rPr>
        <w:rFonts w:ascii="Wingdings" w:hAnsi="Wingdings"/>
      </w:rPr>
    </w:lvl>
    <w:lvl w:ilvl="6" w:tplc="591E2624">
      <w:start w:val="1"/>
      <w:numFmt w:val="bullet"/>
      <w:lvlText w:val=""/>
      <w:lvlJc w:val="left"/>
      <w:pPr>
        <w:tabs>
          <w:tab w:val="num" w:pos="5040"/>
        </w:tabs>
        <w:ind w:left="5040" w:hanging="360"/>
      </w:pPr>
      <w:rPr>
        <w:rFonts w:ascii="Symbol" w:hAnsi="Symbol"/>
      </w:rPr>
    </w:lvl>
    <w:lvl w:ilvl="7" w:tplc="BB4C03DE">
      <w:start w:val="1"/>
      <w:numFmt w:val="bullet"/>
      <w:lvlText w:val="o"/>
      <w:lvlJc w:val="left"/>
      <w:pPr>
        <w:tabs>
          <w:tab w:val="num" w:pos="5760"/>
        </w:tabs>
        <w:ind w:left="5760" w:hanging="360"/>
      </w:pPr>
      <w:rPr>
        <w:rFonts w:ascii="Courier New" w:hAnsi="Courier New"/>
      </w:rPr>
    </w:lvl>
    <w:lvl w:ilvl="8" w:tplc="D73808AC">
      <w:start w:val="1"/>
      <w:numFmt w:val="bullet"/>
      <w:lvlText w:val=""/>
      <w:lvlJc w:val="left"/>
      <w:pPr>
        <w:tabs>
          <w:tab w:val="num" w:pos="6480"/>
        </w:tabs>
        <w:ind w:left="6480" w:hanging="360"/>
      </w:pPr>
      <w:rPr>
        <w:rFonts w:ascii="Wingdings" w:hAnsi="Wingdings"/>
      </w:rPr>
    </w:lvl>
  </w:abstractNum>
  <w:abstractNum w:abstractNumId="220" w15:restartNumberingAfterBreak="0">
    <w:nsid w:val="7223059E"/>
    <w:multiLevelType w:val="hybridMultilevel"/>
    <w:tmpl w:val="7223059E"/>
    <w:lvl w:ilvl="0" w:tplc="345033E4">
      <w:start w:val="1"/>
      <w:numFmt w:val="bullet"/>
      <w:lvlText w:val=""/>
      <w:lvlJc w:val="left"/>
      <w:pPr>
        <w:ind w:left="720" w:hanging="360"/>
      </w:pPr>
      <w:rPr>
        <w:rFonts w:ascii="Symbol" w:hAnsi="Symbol"/>
      </w:rPr>
    </w:lvl>
    <w:lvl w:ilvl="1" w:tplc="25C0B898">
      <w:start w:val="1"/>
      <w:numFmt w:val="bullet"/>
      <w:lvlText w:val="o"/>
      <w:lvlJc w:val="left"/>
      <w:pPr>
        <w:tabs>
          <w:tab w:val="num" w:pos="1440"/>
        </w:tabs>
        <w:ind w:left="1440" w:hanging="360"/>
      </w:pPr>
      <w:rPr>
        <w:rFonts w:ascii="Courier New" w:hAnsi="Courier New"/>
      </w:rPr>
    </w:lvl>
    <w:lvl w:ilvl="2" w:tplc="20BC2074">
      <w:start w:val="1"/>
      <w:numFmt w:val="bullet"/>
      <w:lvlText w:val=""/>
      <w:lvlJc w:val="left"/>
      <w:pPr>
        <w:tabs>
          <w:tab w:val="num" w:pos="2160"/>
        </w:tabs>
        <w:ind w:left="2160" w:hanging="360"/>
      </w:pPr>
      <w:rPr>
        <w:rFonts w:ascii="Wingdings" w:hAnsi="Wingdings"/>
      </w:rPr>
    </w:lvl>
    <w:lvl w:ilvl="3" w:tplc="60D2B846">
      <w:start w:val="1"/>
      <w:numFmt w:val="bullet"/>
      <w:lvlText w:val=""/>
      <w:lvlJc w:val="left"/>
      <w:pPr>
        <w:tabs>
          <w:tab w:val="num" w:pos="2880"/>
        </w:tabs>
        <w:ind w:left="2880" w:hanging="360"/>
      </w:pPr>
      <w:rPr>
        <w:rFonts w:ascii="Symbol" w:hAnsi="Symbol"/>
      </w:rPr>
    </w:lvl>
    <w:lvl w:ilvl="4" w:tplc="E99450B2">
      <w:start w:val="1"/>
      <w:numFmt w:val="bullet"/>
      <w:lvlText w:val="o"/>
      <w:lvlJc w:val="left"/>
      <w:pPr>
        <w:tabs>
          <w:tab w:val="num" w:pos="3600"/>
        </w:tabs>
        <w:ind w:left="3600" w:hanging="360"/>
      </w:pPr>
      <w:rPr>
        <w:rFonts w:ascii="Courier New" w:hAnsi="Courier New"/>
      </w:rPr>
    </w:lvl>
    <w:lvl w:ilvl="5" w:tplc="200E3F3A">
      <w:start w:val="1"/>
      <w:numFmt w:val="bullet"/>
      <w:lvlText w:val=""/>
      <w:lvlJc w:val="left"/>
      <w:pPr>
        <w:tabs>
          <w:tab w:val="num" w:pos="4320"/>
        </w:tabs>
        <w:ind w:left="4320" w:hanging="360"/>
      </w:pPr>
      <w:rPr>
        <w:rFonts w:ascii="Wingdings" w:hAnsi="Wingdings"/>
      </w:rPr>
    </w:lvl>
    <w:lvl w:ilvl="6" w:tplc="14649C7E">
      <w:start w:val="1"/>
      <w:numFmt w:val="bullet"/>
      <w:lvlText w:val=""/>
      <w:lvlJc w:val="left"/>
      <w:pPr>
        <w:tabs>
          <w:tab w:val="num" w:pos="5040"/>
        </w:tabs>
        <w:ind w:left="5040" w:hanging="360"/>
      </w:pPr>
      <w:rPr>
        <w:rFonts w:ascii="Symbol" w:hAnsi="Symbol"/>
      </w:rPr>
    </w:lvl>
    <w:lvl w:ilvl="7" w:tplc="27B0E30A">
      <w:start w:val="1"/>
      <w:numFmt w:val="bullet"/>
      <w:lvlText w:val="o"/>
      <w:lvlJc w:val="left"/>
      <w:pPr>
        <w:tabs>
          <w:tab w:val="num" w:pos="5760"/>
        </w:tabs>
        <w:ind w:left="5760" w:hanging="360"/>
      </w:pPr>
      <w:rPr>
        <w:rFonts w:ascii="Courier New" w:hAnsi="Courier New"/>
      </w:rPr>
    </w:lvl>
    <w:lvl w:ilvl="8" w:tplc="B56C69F2">
      <w:start w:val="1"/>
      <w:numFmt w:val="bullet"/>
      <w:lvlText w:val=""/>
      <w:lvlJc w:val="left"/>
      <w:pPr>
        <w:tabs>
          <w:tab w:val="num" w:pos="6480"/>
        </w:tabs>
        <w:ind w:left="6480" w:hanging="360"/>
      </w:pPr>
      <w:rPr>
        <w:rFonts w:ascii="Wingdings" w:hAnsi="Wingdings"/>
      </w:rPr>
    </w:lvl>
  </w:abstractNum>
  <w:abstractNum w:abstractNumId="221" w15:restartNumberingAfterBreak="0">
    <w:nsid w:val="7223059F"/>
    <w:multiLevelType w:val="hybridMultilevel"/>
    <w:tmpl w:val="7223059F"/>
    <w:lvl w:ilvl="0" w:tplc="655A873E">
      <w:start w:val="1"/>
      <w:numFmt w:val="bullet"/>
      <w:lvlText w:val=""/>
      <w:lvlJc w:val="left"/>
      <w:pPr>
        <w:ind w:left="720" w:hanging="360"/>
      </w:pPr>
      <w:rPr>
        <w:rFonts w:ascii="Symbol" w:hAnsi="Symbol"/>
      </w:rPr>
    </w:lvl>
    <w:lvl w:ilvl="1" w:tplc="BD4A44FC">
      <w:start w:val="1"/>
      <w:numFmt w:val="bullet"/>
      <w:lvlText w:val="o"/>
      <w:lvlJc w:val="left"/>
      <w:pPr>
        <w:tabs>
          <w:tab w:val="num" w:pos="1440"/>
        </w:tabs>
        <w:ind w:left="1440" w:hanging="360"/>
      </w:pPr>
      <w:rPr>
        <w:rFonts w:ascii="Courier New" w:hAnsi="Courier New"/>
      </w:rPr>
    </w:lvl>
    <w:lvl w:ilvl="2" w:tplc="087007D8">
      <w:start w:val="1"/>
      <w:numFmt w:val="bullet"/>
      <w:lvlText w:val=""/>
      <w:lvlJc w:val="left"/>
      <w:pPr>
        <w:tabs>
          <w:tab w:val="num" w:pos="2160"/>
        </w:tabs>
        <w:ind w:left="2160" w:hanging="360"/>
      </w:pPr>
      <w:rPr>
        <w:rFonts w:ascii="Wingdings" w:hAnsi="Wingdings"/>
      </w:rPr>
    </w:lvl>
    <w:lvl w:ilvl="3" w:tplc="38B6E654">
      <w:start w:val="1"/>
      <w:numFmt w:val="bullet"/>
      <w:lvlText w:val=""/>
      <w:lvlJc w:val="left"/>
      <w:pPr>
        <w:tabs>
          <w:tab w:val="num" w:pos="2880"/>
        </w:tabs>
        <w:ind w:left="2880" w:hanging="360"/>
      </w:pPr>
      <w:rPr>
        <w:rFonts w:ascii="Symbol" w:hAnsi="Symbol"/>
      </w:rPr>
    </w:lvl>
    <w:lvl w:ilvl="4" w:tplc="A3B00592">
      <w:start w:val="1"/>
      <w:numFmt w:val="bullet"/>
      <w:lvlText w:val="o"/>
      <w:lvlJc w:val="left"/>
      <w:pPr>
        <w:tabs>
          <w:tab w:val="num" w:pos="3600"/>
        </w:tabs>
        <w:ind w:left="3600" w:hanging="360"/>
      </w:pPr>
      <w:rPr>
        <w:rFonts w:ascii="Courier New" w:hAnsi="Courier New"/>
      </w:rPr>
    </w:lvl>
    <w:lvl w:ilvl="5" w:tplc="29E6E59E">
      <w:start w:val="1"/>
      <w:numFmt w:val="bullet"/>
      <w:lvlText w:val=""/>
      <w:lvlJc w:val="left"/>
      <w:pPr>
        <w:tabs>
          <w:tab w:val="num" w:pos="4320"/>
        </w:tabs>
        <w:ind w:left="4320" w:hanging="360"/>
      </w:pPr>
      <w:rPr>
        <w:rFonts w:ascii="Wingdings" w:hAnsi="Wingdings"/>
      </w:rPr>
    </w:lvl>
    <w:lvl w:ilvl="6" w:tplc="5B00805C">
      <w:start w:val="1"/>
      <w:numFmt w:val="bullet"/>
      <w:lvlText w:val=""/>
      <w:lvlJc w:val="left"/>
      <w:pPr>
        <w:tabs>
          <w:tab w:val="num" w:pos="5040"/>
        </w:tabs>
        <w:ind w:left="5040" w:hanging="360"/>
      </w:pPr>
      <w:rPr>
        <w:rFonts w:ascii="Symbol" w:hAnsi="Symbol"/>
      </w:rPr>
    </w:lvl>
    <w:lvl w:ilvl="7" w:tplc="D79C34B6">
      <w:start w:val="1"/>
      <w:numFmt w:val="bullet"/>
      <w:lvlText w:val="o"/>
      <w:lvlJc w:val="left"/>
      <w:pPr>
        <w:tabs>
          <w:tab w:val="num" w:pos="5760"/>
        </w:tabs>
        <w:ind w:left="5760" w:hanging="360"/>
      </w:pPr>
      <w:rPr>
        <w:rFonts w:ascii="Courier New" w:hAnsi="Courier New"/>
      </w:rPr>
    </w:lvl>
    <w:lvl w:ilvl="8" w:tplc="825EB924">
      <w:start w:val="1"/>
      <w:numFmt w:val="bullet"/>
      <w:lvlText w:val=""/>
      <w:lvlJc w:val="left"/>
      <w:pPr>
        <w:tabs>
          <w:tab w:val="num" w:pos="6480"/>
        </w:tabs>
        <w:ind w:left="6480" w:hanging="360"/>
      </w:pPr>
      <w:rPr>
        <w:rFonts w:ascii="Wingdings" w:hAnsi="Wingdings"/>
      </w:rPr>
    </w:lvl>
  </w:abstractNum>
  <w:abstractNum w:abstractNumId="222" w15:restartNumberingAfterBreak="0">
    <w:nsid w:val="722305A0"/>
    <w:multiLevelType w:val="hybridMultilevel"/>
    <w:tmpl w:val="722305A0"/>
    <w:lvl w:ilvl="0" w:tplc="18781E2A">
      <w:start w:val="1"/>
      <w:numFmt w:val="bullet"/>
      <w:lvlText w:val=""/>
      <w:lvlJc w:val="left"/>
      <w:pPr>
        <w:ind w:left="720" w:hanging="360"/>
      </w:pPr>
      <w:rPr>
        <w:rFonts w:ascii="Symbol" w:hAnsi="Symbol"/>
      </w:rPr>
    </w:lvl>
    <w:lvl w:ilvl="1" w:tplc="8FD0A4B2">
      <w:start w:val="1"/>
      <w:numFmt w:val="bullet"/>
      <w:lvlText w:val="o"/>
      <w:lvlJc w:val="left"/>
      <w:pPr>
        <w:tabs>
          <w:tab w:val="num" w:pos="1440"/>
        </w:tabs>
        <w:ind w:left="1440" w:hanging="360"/>
      </w:pPr>
      <w:rPr>
        <w:rFonts w:ascii="Courier New" w:hAnsi="Courier New"/>
      </w:rPr>
    </w:lvl>
    <w:lvl w:ilvl="2" w:tplc="B8A4E77A">
      <w:start w:val="1"/>
      <w:numFmt w:val="bullet"/>
      <w:lvlText w:val=""/>
      <w:lvlJc w:val="left"/>
      <w:pPr>
        <w:tabs>
          <w:tab w:val="num" w:pos="2160"/>
        </w:tabs>
        <w:ind w:left="2160" w:hanging="360"/>
      </w:pPr>
      <w:rPr>
        <w:rFonts w:ascii="Wingdings" w:hAnsi="Wingdings"/>
      </w:rPr>
    </w:lvl>
    <w:lvl w:ilvl="3" w:tplc="D8AAA9C0">
      <w:start w:val="1"/>
      <w:numFmt w:val="bullet"/>
      <w:lvlText w:val=""/>
      <w:lvlJc w:val="left"/>
      <w:pPr>
        <w:tabs>
          <w:tab w:val="num" w:pos="2880"/>
        </w:tabs>
        <w:ind w:left="2880" w:hanging="360"/>
      </w:pPr>
      <w:rPr>
        <w:rFonts w:ascii="Symbol" w:hAnsi="Symbol"/>
      </w:rPr>
    </w:lvl>
    <w:lvl w:ilvl="4" w:tplc="AD18E158">
      <w:start w:val="1"/>
      <w:numFmt w:val="bullet"/>
      <w:lvlText w:val="o"/>
      <w:lvlJc w:val="left"/>
      <w:pPr>
        <w:tabs>
          <w:tab w:val="num" w:pos="3600"/>
        </w:tabs>
        <w:ind w:left="3600" w:hanging="360"/>
      </w:pPr>
      <w:rPr>
        <w:rFonts w:ascii="Courier New" w:hAnsi="Courier New"/>
      </w:rPr>
    </w:lvl>
    <w:lvl w:ilvl="5" w:tplc="75F6C400">
      <w:start w:val="1"/>
      <w:numFmt w:val="bullet"/>
      <w:lvlText w:val=""/>
      <w:lvlJc w:val="left"/>
      <w:pPr>
        <w:tabs>
          <w:tab w:val="num" w:pos="4320"/>
        </w:tabs>
        <w:ind w:left="4320" w:hanging="360"/>
      </w:pPr>
      <w:rPr>
        <w:rFonts w:ascii="Wingdings" w:hAnsi="Wingdings"/>
      </w:rPr>
    </w:lvl>
    <w:lvl w:ilvl="6" w:tplc="C8BA32F2">
      <w:start w:val="1"/>
      <w:numFmt w:val="bullet"/>
      <w:lvlText w:val=""/>
      <w:lvlJc w:val="left"/>
      <w:pPr>
        <w:tabs>
          <w:tab w:val="num" w:pos="5040"/>
        </w:tabs>
        <w:ind w:left="5040" w:hanging="360"/>
      </w:pPr>
      <w:rPr>
        <w:rFonts w:ascii="Symbol" w:hAnsi="Symbol"/>
      </w:rPr>
    </w:lvl>
    <w:lvl w:ilvl="7" w:tplc="BE704634">
      <w:start w:val="1"/>
      <w:numFmt w:val="bullet"/>
      <w:lvlText w:val="o"/>
      <w:lvlJc w:val="left"/>
      <w:pPr>
        <w:tabs>
          <w:tab w:val="num" w:pos="5760"/>
        </w:tabs>
        <w:ind w:left="5760" w:hanging="360"/>
      </w:pPr>
      <w:rPr>
        <w:rFonts w:ascii="Courier New" w:hAnsi="Courier New"/>
      </w:rPr>
    </w:lvl>
    <w:lvl w:ilvl="8" w:tplc="CB0E709C">
      <w:start w:val="1"/>
      <w:numFmt w:val="bullet"/>
      <w:lvlText w:val=""/>
      <w:lvlJc w:val="left"/>
      <w:pPr>
        <w:tabs>
          <w:tab w:val="num" w:pos="6480"/>
        </w:tabs>
        <w:ind w:left="6480" w:hanging="360"/>
      </w:pPr>
      <w:rPr>
        <w:rFonts w:ascii="Wingdings" w:hAnsi="Wingdings"/>
      </w:rPr>
    </w:lvl>
  </w:abstractNum>
  <w:abstractNum w:abstractNumId="223" w15:restartNumberingAfterBreak="0">
    <w:nsid w:val="722305A1"/>
    <w:multiLevelType w:val="hybridMultilevel"/>
    <w:tmpl w:val="722305A1"/>
    <w:lvl w:ilvl="0" w:tplc="2B34C342">
      <w:start w:val="1"/>
      <w:numFmt w:val="bullet"/>
      <w:lvlText w:val=""/>
      <w:lvlJc w:val="left"/>
      <w:pPr>
        <w:ind w:left="720" w:hanging="360"/>
      </w:pPr>
      <w:rPr>
        <w:rFonts w:ascii="Symbol" w:hAnsi="Symbol"/>
      </w:rPr>
    </w:lvl>
    <w:lvl w:ilvl="1" w:tplc="33BE5A34">
      <w:start w:val="1"/>
      <w:numFmt w:val="bullet"/>
      <w:lvlText w:val="o"/>
      <w:lvlJc w:val="left"/>
      <w:pPr>
        <w:tabs>
          <w:tab w:val="num" w:pos="1440"/>
        </w:tabs>
        <w:ind w:left="1440" w:hanging="360"/>
      </w:pPr>
      <w:rPr>
        <w:rFonts w:ascii="Courier New" w:hAnsi="Courier New"/>
      </w:rPr>
    </w:lvl>
    <w:lvl w:ilvl="2" w:tplc="00563DE8">
      <w:start w:val="1"/>
      <w:numFmt w:val="bullet"/>
      <w:lvlText w:val=""/>
      <w:lvlJc w:val="left"/>
      <w:pPr>
        <w:tabs>
          <w:tab w:val="num" w:pos="2160"/>
        </w:tabs>
        <w:ind w:left="2160" w:hanging="360"/>
      </w:pPr>
      <w:rPr>
        <w:rFonts w:ascii="Wingdings" w:hAnsi="Wingdings"/>
      </w:rPr>
    </w:lvl>
    <w:lvl w:ilvl="3" w:tplc="3B4C28B0">
      <w:start w:val="1"/>
      <w:numFmt w:val="bullet"/>
      <w:lvlText w:val=""/>
      <w:lvlJc w:val="left"/>
      <w:pPr>
        <w:tabs>
          <w:tab w:val="num" w:pos="2880"/>
        </w:tabs>
        <w:ind w:left="2880" w:hanging="360"/>
      </w:pPr>
      <w:rPr>
        <w:rFonts w:ascii="Symbol" w:hAnsi="Symbol"/>
      </w:rPr>
    </w:lvl>
    <w:lvl w:ilvl="4" w:tplc="354AA824">
      <w:start w:val="1"/>
      <w:numFmt w:val="bullet"/>
      <w:lvlText w:val="o"/>
      <w:lvlJc w:val="left"/>
      <w:pPr>
        <w:tabs>
          <w:tab w:val="num" w:pos="3600"/>
        </w:tabs>
        <w:ind w:left="3600" w:hanging="360"/>
      </w:pPr>
      <w:rPr>
        <w:rFonts w:ascii="Courier New" w:hAnsi="Courier New"/>
      </w:rPr>
    </w:lvl>
    <w:lvl w:ilvl="5" w:tplc="E36ADF0A">
      <w:start w:val="1"/>
      <w:numFmt w:val="bullet"/>
      <w:lvlText w:val=""/>
      <w:lvlJc w:val="left"/>
      <w:pPr>
        <w:tabs>
          <w:tab w:val="num" w:pos="4320"/>
        </w:tabs>
        <w:ind w:left="4320" w:hanging="360"/>
      </w:pPr>
      <w:rPr>
        <w:rFonts w:ascii="Wingdings" w:hAnsi="Wingdings"/>
      </w:rPr>
    </w:lvl>
    <w:lvl w:ilvl="6" w:tplc="442A5E30">
      <w:start w:val="1"/>
      <w:numFmt w:val="bullet"/>
      <w:lvlText w:val=""/>
      <w:lvlJc w:val="left"/>
      <w:pPr>
        <w:tabs>
          <w:tab w:val="num" w:pos="5040"/>
        </w:tabs>
        <w:ind w:left="5040" w:hanging="360"/>
      </w:pPr>
      <w:rPr>
        <w:rFonts w:ascii="Symbol" w:hAnsi="Symbol"/>
      </w:rPr>
    </w:lvl>
    <w:lvl w:ilvl="7" w:tplc="BC0C8926">
      <w:start w:val="1"/>
      <w:numFmt w:val="bullet"/>
      <w:lvlText w:val="o"/>
      <w:lvlJc w:val="left"/>
      <w:pPr>
        <w:tabs>
          <w:tab w:val="num" w:pos="5760"/>
        </w:tabs>
        <w:ind w:left="5760" w:hanging="360"/>
      </w:pPr>
      <w:rPr>
        <w:rFonts w:ascii="Courier New" w:hAnsi="Courier New"/>
      </w:rPr>
    </w:lvl>
    <w:lvl w:ilvl="8" w:tplc="11FA0CBC">
      <w:start w:val="1"/>
      <w:numFmt w:val="bullet"/>
      <w:lvlText w:val=""/>
      <w:lvlJc w:val="left"/>
      <w:pPr>
        <w:tabs>
          <w:tab w:val="num" w:pos="6480"/>
        </w:tabs>
        <w:ind w:left="6480" w:hanging="360"/>
      </w:pPr>
      <w:rPr>
        <w:rFonts w:ascii="Wingdings" w:hAnsi="Wingdings"/>
      </w:rPr>
    </w:lvl>
  </w:abstractNum>
  <w:abstractNum w:abstractNumId="224" w15:restartNumberingAfterBreak="0">
    <w:nsid w:val="722305A2"/>
    <w:multiLevelType w:val="hybridMultilevel"/>
    <w:tmpl w:val="722305A2"/>
    <w:lvl w:ilvl="0" w:tplc="D7C6542E">
      <w:start w:val="1"/>
      <w:numFmt w:val="bullet"/>
      <w:lvlText w:val=""/>
      <w:lvlJc w:val="left"/>
      <w:pPr>
        <w:ind w:left="720" w:hanging="360"/>
      </w:pPr>
      <w:rPr>
        <w:rFonts w:ascii="Symbol" w:hAnsi="Symbol"/>
      </w:rPr>
    </w:lvl>
    <w:lvl w:ilvl="1" w:tplc="01D6EA7A">
      <w:start w:val="1"/>
      <w:numFmt w:val="bullet"/>
      <w:lvlText w:val="o"/>
      <w:lvlJc w:val="left"/>
      <w:pPr>
        <w:ind w:left="1440" w:hanging="360"/>
      </w:pPr>
      <w:rPr>
        <w:rFonts w:ascii="Courier New" w:hAnsi="Courier New"/>
      </w:rPr>
    </w:lvl>
    <w:lvl w:ilvl="2" w:tplc="F7C4B0B8">
      <w:start w:val="1"/>
      <w:numFmt w:val="bullet"/>
      <w:lvlText w:val=""/>
      <w:lvlJc w:val="left"/>
      <w:pPr>
        <w:tabs>
          <w:tab w:val="num" w:pos="2160"/>
        </w:tabs>
        <w:ind w:left="2160" w:hanging="360"/>
      </w:pPr>
      <w:rPr>
        <w:rFonts w:ascii="Wingdings" w:hAnsi="Wingdings"/>
      </w:rPr>
    </w:lvl>
    <w:lvl w:ilvl="3" w:tplc="27045126">
      <w:start w:val="1"/>
      <w:numFmt w:val="bullet"/>
      <w:lvlText w:val=""/>
      <w:lvlJc w:val="left"/>
      <w:pPr>
        <w:tabs>
          <w:tab w:val="num" w:pos="2880"/>
        </w:tabs>
        <w:ind w:left="2880" w:hanging="360"/>
      </w:pPr>
      <w:rPr>
        <w:rFonts w:ascii="Symbol" w:hAnsi="Symbol"/>
      </w:rPr>
    </w:lvl>
    <w:lvl w:ilvl="4" w:tplc="AA948F9E">
      <w:start w:val="1"/>
      <w:numFmt w:val="bullet"/>
      <w:lvlText w:val="o"/>
      <w:lvlJc w:val="left"/>
      <w:pPr>
        <w:tabs>
          <w:tab w:val="num" w:pos="3600"/>
        </w:tabs>
        <w:ind w:left="3600" w:hanging="360"/>
      </w:pPr>
      <w:rPr>
        <w:rFonts w:ascii="Courier New" w:hAnsi="Courier New"/>
      </w:rPr>
    </w:lvl>
    <w:lvl w:ilvl="5" w:tplc="0DAE3604">
      <w:start w:val="1"/>
      <w:numFmt w:val="bullet"/>
      <w:lvlText w:val=""/>
      <w:lvlJc w:val="left"/>
      <w:pPr>
        <w:tabs>
          <w:tab w:val="num" w:pos="4320"/>
        </w:tabs>
        <w:ind w:left="4320" w:hanging="360"/>
      </w:pPr>
      <w:rPr>
        <w:rFonts w:ascii="Wingdings" w:hAnsi="Wingdings"/>
      </w:rPr>
    </w:lvl>
    <w:lvl w:ilvl="6" w:tplc="8056CD60">
      <w:start w:val="1"/>
      <w:numFmt w:val="bullet"/>
      <w:lvlText w:val=""/>
      <w:lvlJc w:val="left"/>
      <w:pPr>
        <w:tabs>
          <w:tab w:val="num" w:pos="5040"/>
        </w:tabs>
        <w:ind w:left="5040" w:hanging="360"/>
      </w:pPr>
      <w:rPr>
        <w:rFonts w:ascii="Symbol" w:hAnsi="Symbol"/>
      </w:rPr>
    </w:lvl>
    <w:lvl w:ilvl="7" w:tplc="7D581778">
      <w:start w:val="1"/>
      <w:numFmt w:val="bullet"/>
      <w:lvlText w:val="o"/>
      <w:lvlJc w:val="left"/>
      <w:pPr>
        <w:tabs>
          <w:tab w:val="num" w:pos="5760"/>
        </w:tabs>
        <w:ind w:left="5760" w:hanging="360"/>
      </w:pPr>
      <w:rPr>
        <w:rFonts w:ascii="Courier New" w:hAnsi="Courier New"/>
      </w:rPr>
    </w:lvl>
    <w:lvl w:ilvl="8" w:tplc="BD10AC90">
      <w:start w:val="1"/>
      <w:numFmt w:val="bullet"/>
      <w:lvlText w:val=""/>
      <w:lvlJc w:val="left"/>
      <w:pPr>
        <w:tabs>
          <w:tab w:val="num" w:pos="6480"/>
        </w:tabs>
        <w:ind w:left="6480" w:hanging="360"/>
      </w:pPr>
      <w:rPr>
        <w:rFonts w:ascii="Wingdings" w:hAnsi="Wingdings"/>
      </w:rPr>
    </w:lvl>
  </w:abstractNum>
  <w:abstractNum w:abstractNumId="225" w15:restartNumberingAfterBreak="0">
    <w:nsid w:val="722305A3"/>
    <w:multiLevelType w:val="hybridMultilevel"/>
    <w:tmpl w:val="722305A3"/>
    <w:lvl w:ilvl="0" w:tplc="E176F2BA">
      <w:start w:val="1"/>
      <w:numFmt w:val="bullet"/>
      <w:lvlText w:val=""/>
      <w:lvlJc w:val="left"/>
      <w:pPr>
        <w:ind w:left="720" w:hanging="360"/>
      </w:pPr>
      <w:rPr>
        <w:rFonts w:ascii="Symbol" w:hAnsi="Symbol"/>
      </w:rPr>
    </w:lvl>
    <w:lvl w:ilvl="1" w:tplc="8C7E2080">
      <w:start w:val="1"/>
      <w:numFmt w:val="bullet"/>
      <w:lvlText w:val="o"/>
      <w:lvlJc w:val="left"/>
      <w:pPr>
        <w:tabs>
          <w:tab w:val="num" w:pos="1440"/>
        </w:tabs>
        <w:ind w:left="1440" w:hanging="360"/>
      </w:pPr>
      <w:rPr>
        <w:rFonts w:ascii="Courier New" w:hAnsi="Courier New"/>
      </w:rPr>
    </w:lvl>
    <w:lvl w:ilvl="2" w:tplc="417CBD24">
      <w:start w:val="1"/>
      <w:numFmt w:val="bullet"/>
      <w:lvlText w:val=""/>
      <w:lvlJc w:val="left"/>
      <w:pPr>
        <w:tabs>
          <w:tab w:val="num" w:pos="2160"/>
        </w:tabs>
        <w:ind w:left="2160" w:hanging="360"/>
      </w:pPr>
      <w:rPr>
        <w:rFonts w:ascii="Wingdings" w:hAnsi="Wingdings"/>
      </w:rPr>
    </w:lvl>
    <w:lvl w:ilvl="3" w:tplc="AF24A932">
      <w:start w:val="1"/>
      <w:numFmt w:val="bullet"/>
      <w:lvlText w:val=""/>
      <w:lvlJc w:val="left"/>
      <w:pPr>
        <w:tabs>
          <w:tab w:val="num" w:pos="2880"/>
        </w:tabs>
        <w:ind w:left="2880" w:hanging="360"/>
      </w:pPr>
      <w:rPr>
        <w:rFonts w:ascii="Symbol" w:hAnsi="Symbol"/>
      </w:rPr>
    </w:lvl>
    <w:lvl w:ilvl="4" w:tplc="82429F28">
      <w:start w:val="1"/>
      <w:numFmt w:val="bullet"/>
      <w:lvlText w:val="o"/>
      <w:lvlJc w:val="left"/>
      <w:pPr>
        <w:tabs>
          <w:tab w:val="num" w:pos="3600"/>
        </w:tabs>
        <w:ind w:left="3600" w:hanging="360"/>
      </w:pPr>
      <w:rPr>
        <w:rFonts w:ascii="Courier New" w:hAnsi="Courier New"/>
      </w:rPr>
    </w:lvl>
    <w:lvl w:ilvl="5" w:tplc="4FB087B6">
      <w:start w:val="1"/>
      <w:numFmt w:val="bullet"/>
      <w:lvlText w:val=""/>
      <w:lvlJc w:val="left"/>
      <w:pPr>
        <w:tabs>
          <w:tab w:val="num" w:pos="4320"/>
        </w:tabs>
        <w:ind w:left="4320" w:hanging="360"/>
      </w:pPr>
      <w:rPr>
        <w:rFonts w:ascii="Wingdings" w:hAnsi="Wingdings"/>
      </w:rPr>
    </w:lvl>
    <w:lvl w:ilvl="6" w:tplc="DE447D96">
      <w:start w:val="1"/>
      <w:numFmt w:val="bullet"/>
      <w:lvlText w:val=""/>
      <w:lvlJc w:val="left"/>
      <w:pPr>
        <w:tabs>
          <w:tab w:val="num" w:pos="5040"/>
        </w:tabs>
        <w:ind w:left="5040" w:hanging="360"/>
      </w:pPr>
      <w:rPr>
        <w:rFonts w:ascii="Symbol" w:hAnsi="Symbol"/>
      </w:rPr>
    </w:lvl>
    <w:lvl w:ilvl="7" w:tplc="85D4A8EE">
      <w:start w:val="1"/>
      <w:numFmt w:val="bullet"/>
      <w:lvlText w:val="o"/>
      <w:lvlJc w:val="left"/>
      <w:pPr>
        <w:tabs>
          <w:tab w:val="num" w:pos="5760"/>
        </w:tabs>
        <w:ind w:left="5760" w:hanging="360"/>
      </w:pPr>
      <w:rPr>
        <w:rFonts w:ascii="Courier New" w:hAnsi="Courier New"/>
      </w:rPr>
    </w:lvl>
    <w:lvl w:ilvl="8" w:tplc="6238685C">
      <w:start w:val="1"/>
      <w:numFmt w:val="bullet"/>
      <w:lvlText w:val=""/>
      <w:lvlJc w:val="left"/>
      <w:pPr>
        <w:tabs>
          <w:tab w:val="num" w:pos="6480"/>
        </w:tabs>
        <w:ind w:left="6480" w:hanging="360"/>
      </w:pPr>
      <w:rPr>
        <w:rFonts w:ascii="Wingdings" w:hAnsi="Wingdings"/>
      </w:rPr>
    </w:lvl>
  </w:abstractNum>
  <w:abstractNum w:abstractNumId="226" w15:restartNumberingAfterBreak="0">
    <w:nsid w:val="722305A4"/>
    <w:multiLevelType w:val="hybridMultilevel"/>
    <w:tmpl w:val="722305A4"/>
    <w:lvl w:ilvl="0" w:tplc="0BE47FE4">
      <w:start w:val="1"/>
      <w:numFmt w:val="bullet"/>
      <w:lvlText w:val=""/>
      <w:lvlJc w:val="left"/>
      <w:pPr>
        <w:ind w:left="720" w:hanging="360"/>
      </w:pPr>
      <w:rPr>
        <w:rFonts w:ascii="Symbol" w:hAnsi="Symbol"/>
      </w:rPr>
    </w:lvl>
    <w:lvl w:ilvl="1" w:tplc="E30A9092">
      <w:start w:val="1"/>
      <w:numFmt w:val="bullet"/>
      <w:lvlText w:val="o"/>
      <w:lvlJc w:val="left"/>
      <w:pPr>
        <w:tabs>
          <w:tab w:val="num" w:pos="1440"/>
        </w:tabs>
        <w:ind w:left="1440" w:hanging="360"/>
      </w:pPr>
      <w:rPr>
        <w:rFonts w:ascii="Courier New" w:hAnsi="Courier New"/>
      </w:rPr>
    </w:lvl>
    <w:lvl w:ilvl="2" w:tplc="BB867AAE">
      <w:start w:val="1"/>
      <w:numFmt w:val="bullet"/>
      <w:lvlText w:val=""/>
      <w:lvlJc w:val="left"/>
      <w:pPr>
        <w:tabs>
          <w:tab w:val="num" w:pos="2160"/>
        </w:tabs>
        <w:ind w:left="2160" w:hanging="360"/>
      </w:pPr>
      <w:rPr>
        <w:rFonts w:ascii="Wingdings" w:hAnsi="Wingdings"/>
      </w:rPr>
    </w:lvl>
    <w:lvl w:ilvl="3" w:tplc="F5A20CDE">
      <w:start w:val="1"/>
      <w:numFmt w:val="bullet"/>
      <w:lvlText w:val=""/>
      <w:lvlJc w:val="left"/>
      <w:pPr>
        <w:tabs>
          <w:tab w:val="num" w:pos="2880"/>
        </w:tabs>
        <w:ind w:left="2880" w:hanging="360"/>
      </w:pPr>
      <w:rPr>
        <w:rFonts w:ascii="Symbol" w:hAnsi="Symbol"/>
      </w:rPr>
    </w:lvl>
    <w:lvl w:ilvl="4" w:tplc="F6AA6520">
      <w:start w:val="1"/>
      <w:numFmt w:val="bullet"/>
      <w:lvlText w:val="o"/>
      <w:lvlJc w:val="left"/>
      <w:pPr>
        <w:tabs>
          <w:tab w:val="num" w:pos="3600"/>
        </w:tabs>
        <w:ind w:left="3600" w:hanging="360"/>
      </w:pPr>
      <w:rPr>
        <w:rFonts w:ascii="Courier New" w:hAnsi="Courier New"/>
      </w:rPr>
    </w:lvl>
    <w:lvl w:ilvl="5" w:tplc="FC48E98A">
      <w:start w:val="1"/>
      <w:numFmt w:val="bullet"/>
      <w:lvlText w:val=""/>
      <w:lvlJc w:val="left"/>
      <w:pPr>
        <w:tabs>
          <w:tab w:val="num" w:pos="4320"/>
        </w:tabs>
        <w:ind w:left="4320" w:hanging="360"/>
      </w:pPr>
      <w:rPr>
        <w:rFonts w:ascii="Wingdings" w:hAnsi="Wingdings"/>
      </w:rPr>
    </w:lvl>
    <w:lvl w:ilvl="6" w:tplc="10E8E192">
      <w:start w:val="1"/>
      <w:numFmt w:val="bullet"/>
      <w:lvlText w:val=""/>
      <w:lvlJc w:val="left"/>
      <w:pPr>
        <w:tabs>
          <w:tab w:val="num" w:pos="5040"/>
        </w:tabs>
        <w:ind w:left="5040" w:hanging="360"/>
      </w:pPr>
      <w:rPr>
        <w:rFonts w:ascii="Symbol" w:hAnsi="Symbol"/>
      </w:rPr>
    </w:lvl>
    <w:lvl w:ilvl="7" w:tplc="43E64574">
      <w:start w:val="1"/>
      <w:numFmt w:val="bullet"/>
      <w:lvlText w:val="o"/>
      <w:lvlJc w:val="left"/>
      <w:pPr>
        <w:tabs>
          <w:tab w:val="num" w:pos="5760"/>
        </w:tabs>
        <w:ind w:left="5760" w:hanging="360"/>
      </w:pPr>
      <w:rPr>
        <w:rFonts w:ascii="Courier New" w:hAnsi="Courier New"/>
      </w:rPr>
    </w:lvl>
    <w:lvl w:ilvl="8" w:tplc="EFA41944">
      <w:start w:val="1"/>
      <w:numFmt w:val="bullet"/>
      <w:lvlText w:val=""/>
      <w:lvlJc w:val="left"/>
      <w:pPr>
        <w:tabs>
          <w:tab w:val="num" w:pos="6480"/>
        </w:tabs>
        <w:ind w:left="6480" w:hanging="360"/>
      </w:pPr>
      <w:rPr>
        <w:rFonts w:ascii="Wingdings" w:hAnsi="Wingdings"/>
      </w:rPr>
    </w:lvl>
  </w:abstractNum>
  <w:abstractNum w:abstractNumId="227" w15:restartNumberingAfterBreak="0">
    <w:nsid w:val="722305A5"/>
    <w:multiLevelType w:val="hybridMultilevel"/>
    <w:tmpl w:val="722305A5"/>
    <w:lvl w:ilvl="0" w:tplc="D8E0B5B8">
      <w:start w:val="1"/>
      <w:numFmt w:val="bullet"/>
      <w:lvlText w:val=""/>
      <w:lvlJc w:val="left"/>
      <w:pPr>
        <w:ind w:left="720" w:hanging="360"/>
      </w:pPr>
      <w:rPr>
        <w:rFonts w:ascii="Symbol" w:hAnsi="Symbol"/>
      </w:rPr>
    </w:lvl>
    <w:lvl w:ilvl="1" w:tplc="C36A3CD2">
      <w:start w:val="1"/>
      <w:numFmt w:val="bullet"/>
      <w:lvlText w:val="o"/>
      <w:lvlJc w:val="left"/>
      <w:pPr>
        <w:tabs>
          <w:tab w:val="num" w:pos="1440"/>
        </w:tabs>
        <w:ind w:left="1440" w:hanging="360"/>
      </w:pPr>
      <w:rPr>
        <w:rFonts w:ascii="Courier New" w:hAnsi="Courier New"/>
      </w:rPr>
    </w:lvl>
    <w:lvl w:ilvl="2" w:tplc="C39A73D6">
      <w:start w:val="1"/>
      <w:numFmt w:val="bullet"/>
      <w:lvlText w:val=""/>
      <w:lvlJc w:val="left"/>
      <w:pPr>
        <w:tabs>
          <w:tab w:val="num" w:pos="2160"/>
        </w:tabs>
        <w:ind w:left="2160" w:hanging="360"/>
      </w:pPr>
      <w:rPr>
        <w:rFonts w:ascii="Wingdings" w:hAnsi="Wingdings"/>
      </w:rPr>
    </w:lvl>
    <w:lvl w:ilvl="3" w:tplc="446A1272">
      <w:start w:val="1"/>
      <w:numFmt w:val="bullet"/>
      <w:lvlText w:val=""/>
      <w:lvlJc w:val="left"/>
      <w:pPr>
        <w:tabs>
          <w:tab w:val="num" w:pos="2880"/>
        </w:tabs>
        <w:ind w:left="2880" w:hanging="360"/>
      </w:pPr>
      <w:rPr>
        <w:rFonts w:ascii="Symbol" w:hAnsi="Symbol"/>
      </w:rPr>
    </w:lvl>
    <w:lvl w:ilvl="4" w:tplc="19F09108">
      <w:start w:val="1"/>
      <w:numFmt w:val="bullet"/>
      <w:lvlText w:val="o"/>
      <w:lvlJc w:val="left"/>
      <w:pPr>
        <w:tabs>
          <w:tab w:val="num" w:pos="3600"/>
        </w:tabs>
        <w:ind w:left="3600" w:hanging="360"/>
      </w:pPr>
      <w:rPr>
        <w:rFonts w:ascii="Courier New" w:hAnsi="Courier New"/>
      </w:rPr>
    </w:lvl>
    <w:lvl w:ilvl="5" w:tplc="7B9CB0D2">
      <w:start w:val="1"/>
      <w:numFmt w:val="bullet"/>
      <w:lvlText w:val=""/>
      <w:lvlJc w:val="left"/>
      <w:pPr>
        <w:tabs>
          <w:tab w:val="num" w:pos="4320"/>
        </w:tabs>
        <w:ind w:left="4320" w:hanging="360"/>
      </w:pPr>
      <w:rPr>
        <w:rFonts w:ascii="Wingdings" w:hAnsi="Wingdings"/>
      </w:rPr>
    </w:lvl>
    <w:lvl w:ilvl="6" w:tplc="F5820DA4">
      <w:start w:val="1"/>
      <w:numFmt w:val="bullet"/>
      <w:lvlText w:val=""/>
      <w:lvlJc w:val="left"/>
      <w:pPr>
        <w:tabs>
          <w:tab w:val="num" w:pos="5040"/>
        </w:tabs>
        <w:ind w:left="5040" w:hanging="360"/>
      </w:pPr>
      <w:rPr>
        <w:rFonts w:ascii="Symbol" w:hAnsi="Symbol"/>
      </w:rPr>
    </w:lvl>
    <w:lvl w:ilvl="7" w:tplc="94B4254A">
      <w:start w:val="1"/>
      <w:numFmt w:val="bullet"/>
      <w:lvlText w:val="o"/>
      <w:lvlJc w:val="left"/>
      <w:pPr>
        <w:tabs>
          <w:tab w:val="num" w:pos="5760"/>
        </w:tabs>
        <w:ind w:left="5760" w:hanging="360"/>
      </w:pPr>
      <w:rPr>
        <w:rFonts w:ascii="Courier New" w:hAnsi="Courier New"/>
      </w:rPr>
    </w:lvl>
    <w:lvl w:ilvl="8" w:tplc="EDA6AFA0">
      <w:start w:val="1"/>
      <w:numFmt w:val="bullet"/>
      <w:lvlText w:val=""/>
      <w:lvlJc w:val="left"/>
      <w:pPr>
        <w:tabs>
          <w:tab w:val="num" w:pos="6480"/>
        </w:tabs>
        <w:ind w:left="6480" w:hanging="360"/>
      </w:pPr>
      <w:rPr>
        <w:rFonts w:ascii="Wingdings" w:hAnsi="Wingdings"/>
      </w:rPr>
    </w:lvl>
  </w:abstractNum>
  <w:abstractNum w:abstractNumId="228" w15:restartNumberingAfterBreak="0">
    <w:nsid w:val="722305A6"/>
    <w:multiLevelType w:val="hybridMultilevel"/>
    <w:tmpl w:val="722305A6"/>
    <w:lvl w:ilvl="0" w:tplc="6F0CB820">
      <w:start w:val="1"/>
      <w:numFmt w:val="bullet"/>
      <w:lvlText w:val=""/>
      <w:lvlJc w:val="left"/>
      <w:pPr>
        <w:ind w:left="720" w:hanging="360"/>
      </w:pPr>
      <w:rPr>
        <w:rFonts w:ascii="Symbol" w:hAnsi="Symbol"/>
      </w:rPr>
    </w:lvl>
    <w:lvl w:ilvl="1" w:tplc="34F051D0">
      <w:start w:val="1"/>
      <w:numFmt w:val="bullet"/>
      <w:lvlText w:val="o"/>
      <w:lvlJc w:val="left"/>
      <w:pPr>
        <w:tabs>
          <w:tab w:val="num" w:pos="1440"/>
        </w:tabs>
        <w:ind w:left="1440" w:hanging="360"/>
      </w:pPr>
      <w:rPr>
        <w:rFonts w:ascii="Courier New" w:hAnsi="Courier New"/>
      </w:rPr>
    </w:lvl>
    <w:lvl w:ilvl="2" w:tplc="281E4EAA">
      <w:start w:val="1"/>
      <w:numFmt w:val="bullet"/>
      <w:lvlText w:val=""/>
      <w:lvlJc w:val="left"/>
      <w:pPr>
        <w:tabs>
          <w:tab w:val="num" w:pos="2160"/>
        </w:tabs>
        <w:ind w:left="2160" w:hanging="360"/>
      </w:pPr>
      <w:rPr>
        <w:rFonts w:ascii="Wingdings" w:hAnsi="Wingdings"/>
      </w:rPr>
    </w:lvl>
    <w:lvl w:ilvl="3" w:tplc="1E564920">
      <w:start w:val="1"/>
      <w:numFmt w:val="bullet"/>
      <w:lvlText w:val=""/>
      <w:lvlJc w:val="left"/>
      <w:pPr>
        <w:tabs>
          <w:tab w:val="num" w:pos="2880"/>
        </w:tabs>
        <w:ind w:left="2880" w:hanging="360"/>
      </w:pPr>
      <w:rPr>
        <w:rFonts w:ascii="Symbol" w:hAnsi="Symbol"/>
      </w:rPr>
    </w:lvl>
    <w:lvl w:ilvl="4" w:tplc="CC845CA6">
      <w:start w:val="1"/>
      <w:numFmt w:val="bullet"/>
      <w:lvlText w:val="o"/>
      <w:lvlJc w:val="left"/>
      <w:pPr>
        <w:tabs>
          <w:tab w:val="num" w:pos="3600"/>
        </w:tabs>
        <w:ind w:left="3600" w:hanging="360"/>
      </w:pPr>
      <w:rPr>
        <w:rFonts w:ascii="Courier New" w:hAnsi="Courier New"/>
      </w:rPr>
    </w:lvl>
    <w:lvl w:ilvl="5" w:tplc="D2D841DC">
      <w:start w:val="1"/>
      <w:numFmt w:val="bullet"/>
      <w:lvlText w:val=""/>
      <w:lvlJc w:val="left"/>
      <w:pPr>
        <w:tabs>
          <w:tab w:val="num" w:pos="4320"/>
        </w:tabs>
        <w:ind w:left="4320" w:hanging="360"/>
      </w:pPr>
      <w:rPr>
        <w:rFonts w:ascii="Wingdings" w:hAnsi="Wingdings"/>
      </w:rPr>
    </w:lvl>
    <w:lvl w:ilvl="6" w:tplc="F3CA40C8">
      <w:start w:val="1"/>
      <w:numFmt w:val="bullet"/>
      <w:lvlText w:val=""/>
      <w:lvlJc w:val="left"/>
      <w:pPr>
        <w:tabs>
          <w:tab w:val="num" w:pos="5040"/>
        </w:tabs>
        <w:ind w:left="5040" w:hanging="360"/>
      </w:pPr>
      <w:rPr>
        <w:rFonts w:ascii="Symbol" w:hAnsi="Symbol"/>
      </w:rPr>
    </w:lvl>
    <w:lvl w:ilvl="7" w:tplc="841814B8">
      <w:start w:val="1"/>
      <w:numFmt w:val="bullet"/>
      <w:lvlText w:val="o"/>
      <w:lvlJc w:val="left"/>
      <w:pPr>
        <w:tabs>
          <w:tab w:val="num" w:pos="5760"/>
        </w:tabs>
        <w:ind w:left="5760" w:hanging="360"/>
      </w:pPr>
      <w:rPr>
        <w:rFonts w:ascii="Courier New" w:hAnsi="Courier New"/>
      </w:rPr>
    </w:lvl>
    <w:lvl w:ilvl="8" w:tplc="393AF312">
      <w:start w:val="1"/>
      <w:numFmt w:val="bullet"/>
      <w:lvlText w:val=""/>
      <w:lvlJc w:val="left"/>
      <w:pPr>
        <w:tabs>
          <w:tab w:val="num" w:pos="6480"/>
        </w:tabs>
        <w:ind w:left="6480" w:hanging="360"/>
      </w:pPr>
      <w:rPr>
        <w:rFonts w:ascii="Wingdings" w:hAnsi="Wingdings"/>
      </w:rPr>
    </w:lvl>
  </w:abstractNum>
  <w:abstractNum w:abstractNumId="229" w15:restartNumberingAfterBreak="0">
    <w:nsid w:val="722305A7"/>
    <w:multiLevelType w:val="hybridMultilevel"/>
    <w:tmpl w:val="722305A7"/>
    <w:lvl w:ilvl="0" w:tplc="B97A0474">
      <w:start w:val="1"/>
      <w:numFmt w:val="bullet"/>
      <w:lvlText w:val=""/>
      <w:lvlJc w:val="left"/>
      <w:pPr>
        <w:ind w:left="720" w:hanging="360"/>
      </w:pPr>
      <w:rPr>
        <w:rFonts w:ascii="Symbol" w:hAnsi="Symbol"/>
      </w:rPr>
    </w:lvl>
    <w:lvl w:ilvl="1" w:tplc="49A2251E">
      <w:start w:val="1"/>
      <w:numFmt w:val="bullet"/>
      <w:lvlText w:val="o"/>
      <w:lvlJc w:val="left"/>
      <w:pPr>
        <w:tabs>
          <w:tab w:val="num" w:pos="1440"/>
        </w:tabs>
        <w:ind w:left="1440" w:hanging="360"/>
      </w:pPr>
      <w:rPr>
        <w:rFonts w:ascii="Courier New" w:hAnsi="Courier New"/>
      </w:rPr>
    </w:lvl>
    <w:lvl w:ilvl="2" w:tplc="6556F64C">
      <w:start w:val="1"/>
      <w:numFmt w:val="bullet"/>
      <w:lvlText w:val=""/>
      <w:lvlJc w:val="left"/>
      <w:pPr>
        <w:tabs>
          <w:tab w:val="num" w:pos="2160"/>
        </w:tabs>
        <w:ind w:left="2160" w:hanging="360"/>
      </w:pPr>
      <w:rPr>
        <w:rFonts w:ascii="Wingdings" w:hAnsi="Wingdings"/>
      </w:rPr>
    </w:lvl>
    <w:lvl w:ilvl="3" w:tplc="56126CE0">
      <w:start w:val="1"/>
      <w:numFmt w:val="bullet"/>
      <w:lvlText w:val=""/>
      <w:lvlJc w:val="left"/>
      <w:pPr>
        <w:tabs>
          <w:tab w:val="num" w:pos="2880"/>
        </w:tabs>
        <w:ind w:left="2880" w:hanging="360"/>
      </w:pPr>
      <w:rPr>
        <w:rFonts w:ascii="Symbol" w:hAnsi="Symbol"/>
      </w:rPr>
    </w:lvl>
    <w:lvl w:ilvl="4" w:tplc="26E6AB12">
      <w:start w:val="1"/>
      <w:numFmt w:val="bullet"/>
      <w:lvlText w:val="o"/>
      <w:lvlJc w:val="left"/>
      <w:pPr>
        <w:tabs>
          <w:tab w:val="num" w:pos="3600"/>
        </w:tabs>
        <w:ind w:left="3600" w:hanging="360"/>
      </w:pPr>
      <w:rPr>
        <w:rFonts w:ascii="Courier New" w:hAnsi="Courier New"/>
      </w:rPr>
    </w:lvl>
    <w:lvl w:ilvl="5" w:tplc="55006830">
      <w:start w:val="1"/>
      <w:numFmt w:val="bullet"/>
      <w:lvlText w:val=""/>
      <w:lvlJc w:val="left"/>
      <w:pPr>
        <w:tabs>
          <w:tab w:val="num" w:pos="4320"/>
        </w:tabs>
        <w:ind w:left="4320" w:hanging="360"/>
      </w:pPr>
      <w:rPr>
        <w:rFonts w:ascii="Wingdings" w:hAnsi="Wingdings"/>
      </w:rPr>
    </w:lvl>
    <w:lvl w:ilvl="6" w:tplc="715EA800">
      <w:start w:val="1"/>
      <w:numFmt w:val="bullet"/>
      <w:lvlText w:val=""/>
      <w:lvlJc w:val="left"/>
      <w:pPr>
        <w:tabs>
          <w:tab w:val="num" w:pos="5040"/>
        </w:tabs>
        <w:ind w:left="5040" w:hanging="360"/>
      </w:pPr>
      <w:rPr>
        <w:rFonts w:ascii="Symbol" w:hAnsi="Symbol"/>
      </w:rPr>
    </w:lvl>
    <w:lvl w:ilvl="7" w:tplc="9C700774">
      <w:start w:val="1"/>
      <w:numFmt w:val="bullet"/>
      <w:lvlText w:val="o"/>
      <w:lvlJc w:val="left"/>
      <w:pPr>
        <w:tabs>
          <w:tab w:val="num" w:pos="5760"/>
        </w:tabs>
        <w:ind w:left="5760" w:hanging="360"/>
      </w:pPr>
      <w:rPr>
        <w:rFonts w:ascii="Courier New" w:hAnsi="Courier New"/>
      </w:rPr>
    </w:lvl>
    <w:lvl w:ilvl="8" w:tplc="4A5AF10C">
      <w:start w:val="1"/>
      <w:numFmt w:val="bullet"/>
      <w:lvlText w:val=""/>
      <w:lvlJc w:val="left"/>
      <w:pPr>
        <w:tabs>
          <w:tab w:val="num" w:pos="6480"/>
        </w:tabs>
        <w:ind w:left="6480" w:hanging="360"/>
      </w:pPr>
      <w:rPr>
        <w:rFonts w:ascii="Wingdings" w:hAnsi="Wingdings"/>
      </w:rPr>
    </w:lvl>
  </w:abstractNum>
  <w:abstractNum w:abstractNumId="230" w15:restartNumberingAfterBreak="0">
    <w:nsid w:val="722305A8"/>
    <w:multiLevelType w:val="hybridMultilevel"/>
    <w:tmpl w:val="722305A8"/>
    <w:lvl w:ilvl="0" w:tplc="829E6526">
      <w:start w:val="1"/>
      <w:numFmt w:val="bullet"/>
      <w:lvlText w:val=""/>
      <w:lvlJc w:val="left"/>
      <w:pPr>
        <w:ind w:left="720" w:hanging="360"/>
      </w:pPr>
      <w:rPr>
        <w:rFonts w:ascii="Symbol" w:hAnsi="Symbol"/>
      </w:rPr>
    </w:lvl>
    <w:lvl w:ilvl="1" w:tplc="BDBAFC88">
      <w:start w:val="1"/>
      <w:numFmt w:val="bullet"/>
      <w:lvlText w:val="o"/>
      <w:lvlJc w:val="left"/>
      <w:pPr>
        <w:tabs>
          <w:tab w:val="num" w:pos="1440"/>
        </w:tabs>
        <w:ind w:left="1440" w:hanging="360"/>
      </w:pPr>
      <w:rPr>
        <w:rFonts w:ascii="Courier New" w:hAnsi="Courier New"/>
      </w:rPr>
    </w:lvl>
    <w:lvl w:ilvl="2" w:tplc="B1D6D672">
      <w:start w:val="1"/>
      <w:numFmt w:val="bullet"/>
      <w:lvlText w:val=""/>
      <w:lvlJc w:val="left"/>
      <w:pPr>
        <w:tabs>
          <w:tab w:val="num" w:pos="2160"/>
        </w:tabs>
        <w:ind w:left="2160" w:hanging="360"/>
      </w:pPr>
      <w:rPr>
        <w:rFonts w:ascii="Wingdings" w:hAnsi="Wingdings"/>
      </w:rPr>
    </w:lvl>
    <w:lvl w:ilvl="3" w:tplc="52C02840">
      <w:start w:val="1"/>
      <w:numFmt w:val="bullet"/>
      <w:lvlText w:val=""/>
      <w:lvlJc w:val="left"/>
      <w:pPr>
        <w:tabs>
          <w:tab w:val="num" w:pos="2880"/>
        </w:tabs>
        <w:ind w:left="2880" w:hanging="360"/>
      </w:pPr>
      <w:rPr>
        <w:rFonts w:ascii="Symbol" w:hAnsi="Symbol"/>
      </w:rPr>
    </w:lvl>
    <w:lvl w:ilvl="4" w:tplc="A5809A8E">
      <w:start w:val="1"/>
      <w:numFmt w:val="bullet"/>
      <w:lvlText w:val="o"/>
      <w:lvlJc w:val="left"/>
      <w:pPr>
        <w:tabs>
          <w:tab w:val="num" w:pos="3600"/>
        </w:tabs>
        <w:ind w:left="3600" w:hanging="360"/>
      </w:pPr>
      <w:rPr>
        <w:rFonts w:ascii="Courier New" w:hAnsi="Courier New"/>
      </w:rPr>
    </w:lvl>
    <w:lvl w:ilvl="5" w:tplc="A5706452">
      <w:start w:val="1"/>
      <w:numFmt w:val="bullet"/>
      <w:lvlText w:val=""/>
      <w:lvlJc w:val="left"/>
      <w:pPr>
        <w:tabs>
          <w:tab w:val="num" w:pos="4320"/>
        </w:tabs>
        <w:ind w:left="4320" w:hanging="360"/>
      </w:pPr>
      <w:rPr>
        <w:rFonts w:ascii="Wingdings" w:hAnsi="Wingdings"/>
      </w:rPr>
    </w:lvl>
    <w:lvl w:ilvl="6" w:tplc="FBAC8D26">
      <w:start w:val="1"/>
      <w:numFmt w:val="bullet"/>
      <w:lvlText w:val=""/>
      <w:lvlJc w:val="left"/>
      <w:pPr>
        <w:tabs>
          <w:tab w:val="num" w:pos="5040"/>
        </w:tabs>
        <w:ind w:left="5040" w:hanging="360"/>
      </w:pPr>
      <w:rPr>
        <w:rFonts w:ascii="Symbol" w:hAnsi="Symbol"/>
      </w:rPr>
    </w:lvl>
    <w:lvl w:ilvl="7" w:tplc="5C5A823E">
      <w:start w:val="1"/>
      <w:numFmt w:val="bullet"/>
      <w:lvlText w:val="o"/>
      <w:lvlJc w:val="left"/>
      <w:pPr>
        <w:tabs>
          <w:tab w:val="num" w:pos="5760"/>
        </w:tabs>
        <w:ind w:left="5760" w:hanging="360"/>
      </w:pPr>
      <w:rPr>
        <w:rFonts w:ascii="Courier New" w:hAnsi="Courier New"/>
      </w:rPr>
    </w:lvl>
    <w:lvl w:ilvl="8" w:tplc="09709212">
      <w:start w:val="1"/>
      <w:numFmt w:val="bullet"/>
      <w:lvlText w:val=""/>
      <w:lvlJc w:val="left"/>
      <w:pPr>
        <w:tabs>
          <w:tab w:val="num" w:pos="6480"/>
        </w:tabs>
        <w:ind w:left="6480" w:hanging="360"/>
      </w:pPr>
      <w:rPr>
        <w:rFonts w:ascii="Wingdings" w:hAnsi="Wingdings"/>
      </w:rPr>
    </w:lvl>
  </w:abstractNum>
  <w:abstractNum w:abstractNumId="231" w15:restartNumberingAfterBreak="0">
    <w:nsid w:val="722305A9"/>
    <w:multiLevelType w:val="hybridMultilevel"/>
    <w:tmpl w:val="722305A9"/>
    <w:lvl w:ilvl="0" w:tplc="6FE04CF0">
      <w:start w:val="1"/>
      <w:numFmt w:val="bullet"/>
      <w:lvlText w:val=""/>
      <w:lvlJc w:val="left"/>
      <w:pPr>
        <w:ind w:left="720" w:hanging="360"/>
      </w:pPr>
      <w:rPr>
        <w:rFonts w:ascii="Symbol" w:hAnsi="Symbol"/>
      </w:rPr>
    </w:lvl>
    <w:lvl w:ilvl="1" w:tplc="00425742">
      <w:start w:val="1"/>
      <w:numFmt w:val="bullet"/>
      <w:lvlText w:val="o"/>
      <w:lvlJc w:val="left"/>
      <w:pPr>
        <w:tabs>
          <w:tab w:val="num" w:pos="1440"/>
        </w:tabs>
        <w:ind w:left="1440" w:hanging="360"/>
      </w:pPr>
      <w:rPr>
        <w:rFonts w:ascii="Courier New" w:hAnsi="Courier New"/>
      </w:rPr>
    </w:lvl>
    <w:lvl w:ilvl="2" w:tplc="F8DA54E2">
      <w:start w:val="1"/>
      <w:numFmt w:val="bullet"/>
      <w:lvlText w:val=""/>
      <w:lvlJc w:val="left"/>
      <w:pPr>
        <w:tabs>
          <w:tab w:val="num" w:pos="2160"/>
        </w:tabs>
        <w:ind w:left="2160" w:hanging="360"/>
      </w:pPr>
      <w:rPr>
        <w:rFonts w:ascii="Wingdings" w:hAnsi="Wingdings"/>
      </w:rPr>
    </w:lvl>
    <w:lvl w:ilvl="3" w:tplc="EC8AECCC">
      <w:start w:val="1"/>
      <w:numFmt w:val="bullet"/>
      <w:lvlText w:val=""/>
      <w:lvlJc w:val="left"/>
      <w:pPr>
        <w:tabs>
          <w:tab w:val="num" w:pos="2880"/>
        </w:tabs>
        <w:ind w:left="2880" w:hanging="360"/>
      </w:pPr>
      <w:rPr>
        <w:rFonts w:ascii="Symbol" w:hAnsi="Symbol"/>
      </w:rPr>
    </w:lvl>
    <w:lvl w:ilvl="4" w:tplc="0C14B230">
      <w:start w:val="1"/>
      <w:numFmt w:val="bullet"/>
      <w:lvlText w:val="o"/>
      <w:lvlJc w:val="left"/>
      <w:pPr>
        <w:tabs>
          <w:tab w:val="num" w:pos="3600"/>
        </w:tabs>
        <w:ind w:left="3600" w:hanging="360"/>
      </w:pPr>
      <w:rPr>
        <w:rFonts w:ascii="Courier New" w:hAnsi="Courier New"/>
      </w:rPr>
    </w:lvl>
    <w:lvl w:ilvl="5" w:tplc="8B886052">
      <w:start w:val="1"/>
      <w:numFmt w:val="bullet"/>
      <w:lvlText w:val=""/>
      <w:lvlJc w:val="left"/>
      <w:pPr>
        <w:tabs>
          <w:tab w:val="num" w:pos="4320"/>
        </w:tabs>
        <w:ind w:left="4320" w:hanging="360"/>
      </w:pPr>
      <w:rPr>
        <w:rFonts w:ascii="Wingdings" w:hAnsi="Wingdings"/>
      </w:rPr>
    </w:lvl>
    <w:lvl w:ilvl="6" w:tplc="B8EA77D2">
      <w:start w:val="1"/>
      <w:numFmt w:val="bullet"/>
      <w:lvlText w:val=""/>
      <w:lvlJc w:val="left"/>
      <w:pPr>
        <w:tabs>
          <w:tab w:val="num" w:pos="5040"/>
        </w:tabs>
        <w:ind w:left="5040" w:hanging="360"/>
      </w:pPr>
      <w:rPr>
        <w:rFonts w:ascii="Symbol" w:hAnsi="Symbol"/>
      </w:rPr>
    </w:lvl>
    <w:lvl w:ilvl="7" w:tplc="4B3E1E5A">
      <w:start w:val="1"/>
      <w:numFmt w:val="bullet"/>
      <w:lvlText w:val="o"/>
      <w:lvlJc w:val="left"/>
      <w:pPr>
        <w:tabs>
          <w:tab w:val="num" w:pos="5760"/>
        </w:tabs>
        <w:ind w:left="5760" w:hanging="360"/>
      </w:pPr>
      <w:rPr>
        <w:rFonts w:ascii="Courier New" w:hAnsi="Courier New"/>
      </w:rPr>
    </w:lvl>
    <w:lvl w:ilvl="8" w:tplc="C0588842">
      <w:start w:val="1"/>
      <w:numFmt w:val="bullet"/>
      <w:lvlText w:val=""/>
      <w:lvlJc w:val="left"/>
      <w:pPr>
        <w:tabs>
          <w:tab w:val="num" w:pos="6480"/>
        </w:tabs>
        <w:ind w:left="6480" w:hanging="360"/>
      </w:pPr>
      <w:rPr>
        <w:rFonts w:ascii="Wingdings" w:hAnsi="Wingdings"/>
      </w:rPr>
    </w:lvl>
  </w:abstractNum>
  <w:abstractNum w:abstractNumId="232" w15:restartNumberingAfterBreak="0">
    <w:nsid w:val="722305AA"/>
    <w:multiLevelType w:val="multilevel"/>
    <w:tmpl w:val="722305A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3" w15:restartNumberingAfterBreak="0">
    <w:nsid w:val="722305AB"/>
    <w:multiLevelType w:val="hybridMultilevel"/>
    <w:tmpl w:val="722305AB"/>
    <w:lvl w:ilvl="0" w:tplc="C8AE36B0">
      <w:start w:val="1"/>
      <w:numFmt w:val="bullet"/>
      <w:lvlText w:val=""/>
      <w:lvlJc w:val="left"/>
      <w:pPr>
        <w:ind w:left="720" w:hanging="360"/>
      </w:pPr>
      <w:rPr>
        <w:rFonts w:ascii="Symbol" w:hAnsi="Symbol"/>
      </w:rPr>
    </w:lvl>
    <w:lvl w:ilvl="1" w:tplc="82D81304">
      <w:start w:val="1"/>
      <w:numFmt w:val="bullet"/>
      <w:lvlText w:val="o"/>
      <w:lvlJc w:val="left"/>
      <w:pPr>
        <w:tabs>
          <w:tab w:val="num" w:pos="1440"/>
        </w:tabs>
        <w:ind w:left="1440" w:hanging="360"/>
      </w:pPr>
      <w:rPr>
        <w:rFonts w:ascii="Courier New" w:hAnsi="Courier New"/>
      </w:rPr>
    </w:lvl>
    <w:lvl w:ilvl="2" w:tplc="D020E58A">
      <w:start w:val="1"/>
      <w:numFmt w:val="bullet"/>
      <w:lvlText w:val=""/>
      <w:lvlJc w:val="left"/>
      <w:pPr>
        <w:tabs>
          <w:tab w:val="num" w:pos="2160"/>
        </w:tabs>
        <w:ind w:left="2160" w:hanging="360"/>
      </w:pPr>
      <w:rPr>
        <w:rFonts w:ascii="Wingdings" w:hAnsi="Wingdings"/>
      </w:rPr>
    </w:lvl>
    <w:lvl w:ilvl="3" w:tplc="95521440">
      <w:start w:val="1"/>
      <w:numFmt w:val="bullet"/>
      <w:lvlText w:val=""/>
      <w:lvlJc w:val="left"/>
      <w:pPr>
        <w:tabs>
          <w:tab w:val="num" w:pos="2880"/>
        </w:tabs>
        <w:ind w:left="2880" w:hanging="360"/>
      </w:pPr>
      <w:rPr>
        <w:rFonts w:ascii="Symbol" w:hAnsi="Symbol"/>
      </w:rPr>
    </w:lvl>
    <w:lvl w:ilvl="4" w:tplc="20AA60DA">
      <w:start w:val="1"/>
      <w:numFmt w:val="bullet"/>
      <w:lvlText w:val="o"/>
      <w:lvlJc w:val="left"/>
      <w:pPr>
        <w:tabs>
          <w:tab w:val="num" w:pos="3600"/>
        </w:tabs>
        <w:ind w:left="3600" w:hanging="360"/>
      </w:pPr>
      <w:rPr>
        <w:rFonts w:ascii="Courier New" w:hAnsi="Courier New"/>
      </w:rPr>
    </w:lvl>
    <w:lvl w:ilvl="5" w:tplc="06B497EC">
      <w:start w:val="1"/>
      <w:numFmt w:val="bullet"/>
      <w:lvlText w:val=""/>
      <w:lvlJc w:val="left"/>
      <w:pPr>
        <w:tabs>
          <w:tab w:val="num" w:pos="4320"/>
        </w:tabs>
        <w:ind w:left="4320" w:hanging="360"/>
      </w:pPr>
      <w:rPr>
        <w:rFonts w:ascii="Wingdings" w:hAnsi="Wingdings"/>
      </w:rPr>
    </w:lvl>
    <w:lvl w:ilvl="6" w:tplc="B6427476">
      <w:start w:val="1"/>
      <w:numFmt w:val="bullet"/>
      <w:lvlText w:val=""/>
      <w:lvlJc w:val="left"/>
      <w:pPr>
        <w:tabs>
          <w:tab w:val="num" w:pos="5040"/>
        </w:tabs>
        <w:ind w:left="5040" w:hanging="360"/>
      </w:pPr>
      <w:rPr>
        <w:rFonts w:ascii="Symbol" w:hAnsi="Symbol"/>
      </w:rPr>
    </w:lvl>
    <w:lvl w:ilvl="7" w:tplc="6F048A12">
      <w:start w:val="1"/>
      <w:numFmt w:val="bullet"/>
      <w:lvlText w:val="o"/>
      <w:lvlJc w:val="left"/>
      <w:pPr>
        <w:tabs>
          <w:tab w:val="num" w:pos="5760"/>
        </w:tabs>
        <w:ind w:left="5760" w:hanging="360"/>
      </w:pPr>
      <w:rPr>
        <w:rFonts w:ascii="Courier New" w:hAnsi="Courier New"/>
      </w:rPr>
    </w:lvl>
    <w:lvl w:ilvl="8" w:tplc="6756D7EE">
      <w:start w:val="1"/>
      <w:numFmt w:val="bullet"/>
      <w:lvlText w:val=""/>
      <w:lvlJc w:val="left"/>
      <w:pPr>
        <w:tabs>
          <w:tab w:val="num" w:pos="6480"/>
        </w:tabs>
        <w:ind w:left="6480" w:hanging="360"/>
      </w:pPr>
      <w:rPr>
        <w:rFonts w:ascii="Wingdings" w:hAnsi="Wingdings"/>
      </w:rPr>
    </w:lvl>
  </w:abstractNum>
  <w:abstractNum w:abstractNumId="234" w15:restartNumberingAfterBreak="0">
    <w:nsid w:val="722305AC"/>
    <w:multiLevelType w:val="hybridMultilevel"/>
    <w:tmpl w:val="722305AC"/>
    <w:lvl w:ilvl="0" w:tplc="9F4C9C16">
      <w:start w:val="1"/>
      <w:numFmt w:val="bullet"/>
      <w:lvlText w:val=""/>
      <w:lvlJc w:val="left"/>
      <w:pPr>
        <w:ind w:left="720" w:hanging="360"/>
      </w:pPr>
      <w:rPr>
        <w:rFonts w:ascii="Symbol" w:hAnsi="Symbol"/>
      </w:rPr>
    </w:lvl>
    <w:lvl w:ilvl="1" w:tplc="9402AA42">
      <w:start w:val="1"/>
      <w:numFmt w:val="bullet"/>
      <w:lvlText w:val="o"/>
      <w:lvlJc w:val="left"/>
      <w:pPr>
        <w:tabs>
          <w:tab w:val="num" w:pos="1440"/>
        </w:tabs>
        <w:ind w:left="1440" w:hanging="360"/>
      </w:pPr>
      <w:rPr>
        <w:rFonts w:ascii="Courier New" w:hAnsi="Courier New"/>
      </w:rPr>
    </w:lvl>
    <w:lvl w:ilvl="2" w:tplc="5A0E50B4">
      <w:start w:val="1"/>
      <w:numFmt w:val="bullet"/>
      <w:lvlText w:val=""/>
      <w:lvlJc w:val="left"/>
      <w:pPr>
        <w:tabs>
          <w:tab w:val="num" w:pos="2160"/>
        </w:tabs>
        <w:ind w:left="2160" w:hanging="360"/>
      </w:pPr>
      <w:rPr>
        <w:rFonts w:ascii="Wingdings" w:hAnsi="Wingdings"/>
      </w:rPr>
    </w:lvl>
    <w:lvl w:ilvl="3" w:tplc="7AEAD9FC">
      <w:start w:val="1"/>
      <w:numFmt w:val="bullet"/>
      <w:lvlText w:val=""/>
      <w:lvlJc w:val="left"/>
      <w:pPr>
        <w:tabs>
          <w:tab w:val="num" w:pos="2880"/>
        </w:tabs>
        <w:ind w:left="2880" w:hanging="360"/>
      </w:pPr>
      <w:rPr>
        <w:rFonts w:ascii="Symbol" w:hAnsi="Symbol"/>
      </w:rPr>
    </w:lvl>
    <w:lvl w:ilvl="4" w:tplc="4A02986E">
      <w:start w:val="1"/>
      <w:numFmt w:val="bullet"/>
      <w:lvlText w:val="o"/>
      <w:lvlJc w:val="left"/>
      <w:pPr>
        <w:tabs>
          <w:tab w:val="num" w:pos="3600"/>
        </w:tabs>
        <w:ind w:left="3600" w:hanging="360"/>
      </w:pPr>
      <w:rPr>
        <w:rFonts w:ascii="Courier New" w:hAnsi="Courier New"/>
      </w:rPr>
    </w:lvl>
    <w:lvl w:ilvl="5" w:tplc="3F56225C">
      <w:start w:val="1"/>
      <w:numFmt w:val="bullet"/>
      <w:lvlText w:val=""/>
      <w:lvlJc w:val="left"/>
      <w:pPr>
        <w:tabs>
          <w:tab w:val="num" w:pos="4320"/>
        </w:tabs>
        <w:ind w:left="4320" w:hanging="360"/>
      </w:pPr>
      <w:rPr>
        <w:rFonts w:ascii="Wingdings" w:hAnsi="Wingdings"/>
      </w:rPr>
    </w:lvl>
    <w:lvl w:ilvl="6" w:tplc="648EF204">
      <w:start w:val="1"/>
      <w:numFmt w:val="bullet"/>
      <w:lvlText w:val=""/>
      <w:lvlJc w:val="left"/>
      <w:pPr>
        <w:tabs>
          <w:tab w:val="num" w:pos="5040"/>
        </w:tabs>
        <w:ind w:left="5040" w:hanging="360"/>
      </w:pPr>
      <w:rPr>
        <w:rFonts w:ascii="Symbol" w:hAnsi="Symbol"/>
      </w:rPr>
    </w:lvl>
    <w:lvl w:ilvl="7" w:tplc="122CA104">
      <w:start w:val="1"/>
      <w:numFmt w:val="bullet"/>
      <w:lvlText w:val="o"/>
      <w:lvlJc w:val="left"/>
      <w:pPr>
        <w:tabs>
          <w:tab w:val="num" w:pos="5760"/>
        </w:tabs>
        <w:ind w:left="5760" w:hanging="360"/>
      </w:pPr>
      <w:rPr>
        <w:rFonts w:ascii="Courier New" w:hAnsi="Courier New"/>
      </w:rPr>
    </w:lvl>
    <w:lvl w:ilvl="8" w:tplc="A3768E64">
      <w:start w:val="1"/>
      <w:numFmt w:val="bullet"/>
      <w:lvlText w:val=""/>
      <w:lvlJc w:val="left"/>
      <w:pPr>
        <w:tabs>
          <w:tab w:val="num" w:pos="6480"/>
        </w:tabs>
        <w:ind w:left="6480" w:hanging="360"/>
      </w:pPr>
      <w:rPr>
        <w:rFonts w:ascii="Wingdings" w:hAnsi="Wingdings"/>
      </w:rPr>
    </w:lvl>
  </w:abstractNum>
  <w:abstractNum w:abstractNumId="235" w15:restartNumberingAfterBreak="0">
    <w:nsid w:val="722305AD"/>
    <w:multiLevelType w:val="hybridMultilevel"/>
    <w:tmpl w:val="722305AD"/>
    <w:lvl w:ilvl="0" w:tplc="60A86824">
      <w:start w:val="1"/>
      <w:numFmt w:val="bullet"/>
      <w:lvlText w:val=""/>
      <w:lvlJc w:val="left"/>
      <w:pPr>
        <w:ind w:left="720" w:hanging="360"/>
      </w:pPr>
      <w:rPr>
        <w:rFonts w:ascii="Symbol" w:hAnsi="Symbol"/>
      </w:rPr>
    </w:lvl>
    <w:lvl w:ilvl="1" w:tplc="969EA7C2">
      <w:start w:val="1"/>
      <w:numFmt w:val="bullet"/>
      <w:lvlText w:val="o"/>
      <w:lvlJc w:val="left"/>
      <w:pPr>
        <w:tabs>
          <w:tab w:val="num" w:pos="1440"/>
        </w:tabs>
        <w:ind w:left="1440" w:hanging="360"/>
      </w:pPr>
      <w:rPr>
        <w:rFonts w:ascii="Courier New" w:hAnsi="Courier New"/>
      </w:rPr>
    </w:lvl>
    <w:lvl w:ilvl="2" w:tplc="4FF4BF78">
      <w:start w:val="1"/>
      <w:numFmt w:val="bullet"/>
      <w:lvlText w:val=""/>
      <w:lvlJc w:val="left"/>
      <w:pPr>
        <w:tabs>
          <w:tab w:val="num" w:pos="2160"/>
        </w:tabs>
        <w:ind w:left="2160" w:hanging="360"/>
      </w:pPr>
      <w:rPr>
        <w:rFonts w:ascii="Wingdings" w:hAnsi="Wingdings"/>
      </w:rPr>
    </w:lvl>
    <w:lvl w:ilvl="3" w:tplc="CE481456">
      <w:start w:val="1"/>
      <w:numFmt w:val="bullet"/>
      <w:lvlText w:val=""/>
      <w:lvlJc w:val="left"/>
      <w:pPr>
        <w:tabs>
          <w:tab w:val="num" w:pos="2880"/>
        </w:tabs>
        <w:ind w:left="2880" w:hanging="360"/>
      </w:pPr>
      <w:rPr>
        <w:rFonts w:ascii="Symbol" w:hAnsi="Symbol"/>
      </w:rPr>
    </w:lvl>
    <w:lvl w:ilvl="4" w:tplc="85FECC46">
      <w:start w:val="1"/>
      <w:numFmt w:val="bullet"/>
      <w:lvlText w:val="o"/>
      <w:lvlJc w:val="left"/>
      <w:pPr>
        <w:tabs>
          <w:tab w:val="num" w:pos="3600"/>
        </w:tabs>
        <w:ind w:left="3600" w:hanging="360"/>
      </w:pPr>
      <w:rPr>
        <w:rFonts w:ascii="Courier New" w:hAnsi="Courier New"/>
      </w:rPr>
    </w:lvl>
    <w:lvl w:ilvl="5" w:tplc="3E524B6A">
      <w:start w:val="1"/>
      <w:numFmt w:val="bullet"/>
      <w:lvlText w:val=""/>
      <w:lvlJc w:val="left"/>
      <w:pPr>
        <w:tabs>
          <w:tab w:val="num" w:pos="4320"/>
        </w:tabs>
        <w:ind w:left="4320" w:hanging="360"/>
      </w:pPr>
      <w:rPr>
        <w:rFonts w:ascii="Wingdings" w:hAnsi="Wingdings"/>
      </w:rPr>
    </w:lvl>
    <w:lvl w:ilvl="6" w:tplc="979CAE70">
      <w:start w:val="1"/>
      <w:numFmt w:val="bullet"/>
      <w:lvlText w:val=""/>
      <w:lvlJc w:val="left"/>
      <w:pPr>
        <w:tabs>
          <w:tab w:val="num" w:pos="5040"/>
        </w:tabs>
        <w:ind w:left="5040" w:hanging="360"/>
      </w:pPr>
      <w:rPr>
        <w:rFonts w:ascii="Symbol" w:hAnsi="Symbol"/>
      </w:rPr>
    </w:lvl>
    <w:lvl w:ilvl="7" w:tplc="6FD248D4">
      <w:start w:val="1"/>
      <w:numFmt w:val="bullet"/>
      <w:lvlText w:val="o"/>
      <w:lvlJc w:val="left"/>
      <w:pPr>
        <w:tabs>
          <w:tab w:val="num" w:pos="5760"/>
        </w:tabs>
        <w:ind w:left="5760" w:hanging="360"/>
      </w:pPr>
      <w:rPr>
        <w:rFonts w:ascii="Courier New" w:hAnsi="Courier New"/>
      </w:rPr>
    </w:lvl>
    <w:lvl w:ilvl="8" w:tplc="709C9C92">
      <w:start w:val="1"/>
      <w:numFmt w:val="bullet"/>
      <w:lvlText w:val=""/>
      <w:lvlJc w:val="left"/>
      <w:pPr>
        <w:tabs>
          <w:tab w:val="num" w:pos="6480"/>
        </w:tabs>
        <w:ind w:left="6480" w:hanging="360"/>
      </w:pPr>
      <w:rPr>
        <w:rFonts w:ascii="Wingdings" w:hAnsi="Wingdings"/>
      </w:rPr>
    </w:lvl>
  </w:abstractNum>
  <w:abstractNum w:abstractNumId="236" w15:restartNumberingAfterBreak="0">
    <w:nsid w:val="722305AE"/>
    <w:multiLevelType w:val="hybridMultilevel"/>
    <w:tmpl w:val="722305AE"/>
    <w:lvl w:ilvl="0" w:tplc="B12A39DC">
      <w:start w:val="1"/>
      <w:numFmt w:val="bullet"/>
      <w:lvlText w:val=""/>
      <w:lvlJc w:val="left"/>
      <w:pPr>
        <w:ind w:left="720" w:hanging="360"/>
      </w:pPr>
      <w:rPr>
        <w:rFonts w:ascii="Symbol" w:hAnsi="Symbol"/>
      </w:rPr>
    </w:lvl>
    <w:lvl w:ilvl="1" w:tplc="FB3832C6">
      <w:start w:val="1"/>
      <w:numFmt w:val="bullet"/>
      <w:lvlText w:val="o"/>
      <w:lvlJc w:val="left"/>
      <w:pPr>
        <w:tabs>
          <w:tab w:val="num" w:pos="1440"/>
        </w:tabs>
        <w:ind w:left="1440" w:hanging="360"/>
      </w:pPr>
      <w:rPr>
        <w:rFonts w:ascii="Courier New" w:hAnsi="Courier New"/>
      </w:rPr>
    </w:lvl>
    <w:lvl w:ilvl="2" w:tplc="2F647B0A">
      <w:start w:val="1"/>
      <w:numFmt w:val="bullet"/>
      <w:lvlText w:val=""/>
      <w:lvlJc w:val="left"/>
      <w:pPr>
        <w:tabs>
          <w:tab w:val="num" w:pos="2160"/>
        </w:tabs>
        <w:ind w:left="2160" w:hanging="360"/>
      </w:pPr>
      <w:rPr>
        <w:rFonts w:ascii="Wingdings" w:hAnsi="Wingdings"/>
      </w:rPr>
    </w:lvl>
    <w:lvl w:ilvl="3" w:tplc="A24259A4">
      <w:start w:val="1"/>
      <w:numFmt w:val="bullet"/>
      <w:lvlText w:val=""/>
      <w:lvlJc w:val="left"/>
      <w:pPr>
        <w:tabs>
          <w:tab w:val="num" w:pos="2880"/>
        </w:tabs>
        <w:ind w:left="2880" w:hanging="360"/>
      </w:pPr>
      <w:rPr>
        <w:rFonts w:ascii="Symbol" w:hAnsi="Symbol"/>
      </w:rPr>
    </w:lvl>
    <w:lvl w:ilvl="4" w:tplc="7436DB2A">
      <w:start w:val="1"/>
      <w:numFmt w:val="bullet"/>
      <w:lvlText w:val="o"/>
      <w:lvlJc w:val="left"/>
      <w:pPr>
        <w:tabs>
          <w:tab w:val="num" w:pos="3600"/>
        </w:tabs>
        <w:ind w:left="3600" w:hanging="360"/>
      </w:pPr>
      <w:rPr>
        <w:rFonts w:ascii="Courier New" w:hAnsi="Courier New"/>
      </w:rPr>
    </w:lvl>
    <w:lvl w:ilvl="5" w:tplc="99FCE592">
      <w:start w:val="1"/>
      <w:numFmt w:val="bullet"/>
      <w:lvlText w:val=""/>
      <w:lvlJc w:val="left"/>
      <w:pPr>
        <w:tabs>
          <w:tab w:val="num" w:pos="4320"/>
        </w:tabs>
        <w:ind w:left="4320" w:hanging="360"/>
      </w:pPr>
      <w:rPr>
        <w:rFonts w:ascii="Wingdings" w:hAnsi="Wingdings"/>
      </w:rPr>
    </w:lvl>
    <w:lvl w:ilvl="6" w:tplc="96B66744">
      <w:start w:val="1"/>
      <w:numFmt w:val="bullet"/>
      <w:lvlText w:val=""/>
      <w:lvlJc w:val="left"/>
      <w:pPr>
        <w:tabs>
          <w:tab w:val="num" w:pos="5040"/>
        </w:tabs>
        <w:ind w:left="5040" w:hanging="360"/>
      </w:pPr>
      <w:rPr>
        <w:rFonts w:ascii="Symbol" w:hAnsi="Symbol"/>
      </w:rPr>
    </w:lvl>
    <w:lvl w:ilvl="7" w:tplc="F45AE804">
      <w:start w:val="1"/>
      <w:numFmt w:val="bullet"/>
      <w:lvlText w:val="o"/>
      <w:lvlJc w:val="left"/>
      <w:pPr>
        <w:tabs>
          <w:tab w:val="num" w:pos="5760"/>
        </w:tabs>
        <w:ind w:left="5760" w:hanging="360"/>
      </w:pPr>
      <w:rPr>
        <w:rFonts w:ascii="Courier New" w:hAnsi="Courier New"/>
      </w:rPr>
    </w:lvl>
    <w:lvl w:ilvl="8" w:tplc="6D7487EA">
      <w:start w:val="1"/>
      <w:numFmt w:val="bullet"/>
      <w:lvlText w:val=""/>
      <w:lvlJc w:val="left"/>
      <w:pPr>
        <w:tabs>
          <w:tab w:val="num" w:pos="6480"/>
        </w:tabs>
        <w:ind w:left="6480" w:hanging="360"/>
      </w:pPr>
      <w:rPr>
        <w:rFonts w:ascii="Wingdings" w:hAnsi="Wingdings"/>
      </w:rPr>
    </w:lvl>
  </w:abstractNum>
  <w:abstractNum w:abstractNumId="237" w15:restartNumberingAfterBreak="0">
    <w:nsid w:val="722305AF"/>
    <w:multiLevelType w:val="hybridMultilevel"/>
    <w:tmpl w:val="722305AF"/>
    <w:lvl w:ilvl="0" w:tplc="06180584">
      <w:start w:val="1"/>
      <w:numFmt w:val="bullet"/>
      <w:lvlText w:val=""/>
      <w:lvlJc w:val="left"/>
      <w:pPr>
        <w:ind w:left="720" w:hanging="360"/>
      </w:pPr>
      <w:rPr>
        <w:rFonts w:ascii="Symbol" w:hAnsi="Symbol"/>
      </w:rPr>
    </w:lvl>
    <w:lvl w:ilvl="1" w:tplc="F5240D34">
      <w:start w:val="1"/>
      <w:numFmt w:val="bullet"/>
      <w:lvlText w:val="o"/>
      <w:lvlJc w:val="left"/>
      <w:pPr>
        <w:tabs>
          <w:tab w:val="num" w:pos="1440"/>
        </w:tabs>
        <w:ind w:left="1440" w:hanging="360"/>
      </w:pPr>
      <w:rPr>
        <w:rFonts w:ascii="Courier New" w:hAnsi="Courier New"/>
      </w:rPr>
    </w:lvl>
    <w:lvl w:ilvl="2" w:tplc="D19E2148">
      <w:start w:val="1"/>
      <w:numFmt w:val="bullet"/>
      <w:lvlText w:val=""/>
      <w:lvlJc w:val="left"/>
      <w:pPr>
        <w:tabs>
          <w:tab w:val="num" w:pos="2160"/>
        </w:tabs>
        <w:ind w:left="2160" w:hanging="360"/>
      </w:pPr>
      <w:rPr>
        <w:rFonts w:ascii="Wingdings" w:hAnsi="Wingdings"/>
      </w:rPr>
    </w:lvl>
    <w:lvl w:ilvl="3" w:tplc="07ACD160">
      <w:start w:val="1"/>
      <w:numFmt w:val="bullet"/>
      <w:lvlText w:val=""/>
      <w:lvlJc w:val="left"/>
      <w:pPr>
        <w:tabs>
          <w:tab w:val="num" w:pos="2880"/>
        </w:tabs>
        <w:ind w:left="2880" w:hanging="360"/>
      </w:pPr>
      <w:rPr>
        <w:rFonts w:ascii="Symbol" w:hAnsi="Symbol"/>
      </w:rPr>
    </w:lvl>
    <w:lvl w:ilvl="4" w:tplc="087AA1FA">
      <w:start w:val="1"/>
      <w:numFmt w:val="bullet"/>
      <w:lvlText w:val="o"/>
      <w:lvlJc w:val="left"/>
      <w:pPr>
        <w:tabs>
          <w:tab w:val="num" w:pos="3600"/>
        </w:tabs>
        <w:ind w:left="3600" w:hanging="360"/>
      </w:pPr>
      <w:rPr>
        <w:rFonts w:ascii="Courier New" w:hAnsi="Courier New"/>
      </w:rPr>
    </w:lvl>
    <w:lvl w:ilvl="5" w:tplc="9CCA58B2">
      <w:start w:val="1"/>
      <w:numFmt w:val="bullet"/>
      <w:lvlText w:val=""/>
      <w:lvlJc w:val="left"/>
      <w:pPr>
        <w:tabs>
          <w:tab w:val="num" w:pos="4320"/>
        </w:tabs>
        <w:ind w:left="4320" w:hanging="360"/>
      </w:pPr>
      <w:rPr>
        <w:rFonts w:ascii="Wingdings" w:hAnsi="Wingdings"/>
      </w:rPr>
    </w:lvl>
    <w:lvl w:ilvl="6" w:tplc="3690BEF8">
      <w:start w:val="1"/>
      <w:numFmt w:val="bullet"/>
      <w:lvlText w:val=""/>
      <w:lvlJc w:val="left"/>
      <w:pPr>
        <w:tabs>
          <w:tab w:val="num" w:pos="5040"/>
        </w:tabs>
        <w:ind w:left="5040" w:hanging="360"/>
      </w:pPr>
      <w:rPr>
        <w:rFonts w:ascii="Symbol" w:hAnsi="Symbol"/>
      </w:rPr>
    </w:lvl>
    <w:lvl w:ilvl="7" w:tplc="B0AAED60">
      <w:start w:val="1"/>
      <w:numFmt w:val="bullet"/>
      <w:lvlText w:val="o"/>
      <w:lvlJc w:val="left"/>
      <w:pPr>
        <w:tabs>
          <w:tab w:val="num" w:pos="5760"/>
        </w:tabs>
        <w:ind w:left="5760" w:hanging="360"/>
      </w:pPr>
      <w:rPr>
        <w:rFonts w:ascii="Courier New" w:hAnsi="Courier New"/>
      </w:rPr>
    </w:lvl>
    <w:lvl w:ilvl="8" w:tplc="0CA2F58E">
      <w:start w:val="1"/>
      <w:numFmt w:val="bullet"/>
      <w:lvlText w:val=""/>
      <w:lvlJc w:val="left"/>
      <w:pPr>
        <w:tabs>
          <w:tab w:val="num" w:pos="6480"/>
        </w:tabs>
        <w:ind w:left="6480" w:hanging="360"/>
      </w:pPr>
      <w:rPr>
        <w:rFonts w:ascii="Wingdings" w:hAnsi="Wingdings"/>
      </w:rPr>
    </w:lvl>
  </w:abstractNum>
  <w:abstractNum w:abstractNumId="238" w15:restartNumberingAfterBreak="0">
    <w:nsid w:val="722305B0"/>
    <w:multiLevelType w:val="hybridMultilevel"/>
    <w:tmpl w:val="722305B0"/>
    <w:lvl w:ilvl="0" w:tplc="0DD063B8">
      <w:start w:val="1"/>
      <w:numFmt w:val="bullet"/>
      <w:lvlText w:val=""/>
      <w:lvlJc w:val="left"/>
      <w:pPr>
        <w:ind w:left="720" w:hanging="360"/>
      </w:pPr>
      <w:rPr>
        <w:rFonts w:ascii="Symbol" w:hAnsi="Symbol"/>
      </w:rPr>
    </w:lvl>
    <w:lvl w:ilvl="1" w:tplc="15C471C2">
      <w:start w:val="1"/>
      <w:numFmt w:val="bullet"/>
      <w:lvlText w:val="o"/>
      <w:lvlJc w:val="left"/>
      <w:pPr>
        <w:tabs>
          <w:tab w:val="num" w:pos="1440"/>
        </w:tabs>
        <w:ind w:left="1440" w:hanging="360"/>
      </w:pPr>
      <w:rPr>
        <w:rFonts w:ascii="Courier New" w:hAnsi="Courier New"/>
      </w:rPr>
    </w:lvl>
    <w:lvl w:ilvl="2" w:tplc="B2ECA29C">
      <w:start w:val="1"/>
      <w:numFmt w:val="bullet"/>
      <w:lvlText w:val=""/>
      <w:lvlJc w:val="left"/>
      <w:pPr>
        <w:tabs>
          <w:tab w:val="num" w:pos="2160"/>
        </w:tabs>
        <w:ind w:left="2160" w:hanging="360"/>
      </w:pPr>
      <w:rPr>
        <w:rFonts w:ascii="Wingdings" w:hAnsi="Wingdings"/>
      </w:rPr>
    </w:lvl>
    <w:lvl w:ilvl="3" w:tplc="B61CC4C0">
      <w:start w:val="1"/>
      <w:numFmt w:val="bullet"/>
      <w:lvlText w:val=""/>
      <w:lvlJc w:val="left"/>
      <w:pPr>
        <w:tabs>
          <w:tab w:val="num" w:pos="2880"/>
        </w:tabs>
        <w:ind w:left="2880" w:hanging="360"/>
      </w:pPr>
      <w:rPr>
        <w:rFonts w:ascii="Symbol" w:hAnsi="Symbol"/>
      </w:rPr>
    </w:lvl>
    <w:lvl w:ilvl="4" w:tplc="A2D68AAE">
      <w:start w:val="1"/>
      <w:numFmt w:val="bullet"/>
      <w:lvlText w:val="o"/>
      <w:lvlJc w:val="left"/>
      <w:pPr>
        <w:tabs>
          <w:tab w:val="num" w:pos="3600"/>
        </w:tabs>
        <w:ind w:left="3600" w:hanging="360"/>
      </w:pPr>
      <w:rPr>
        <w:rFonts w:ascii="Courier New" w:hAnsi="Courier New"/>
      </w:rPr>
    </w:lvl>
    <w:lvl w:ilvl="5" w:tplc="CF741FEE">
      <w:start w:val="1"/>
      <w:numFmt w:val="bullet"/>
      <w:lvlText w:val=""/>
      <w:lvlJc w:val="left"/>
      <w:pPr>
        <w:tabs>
          <w:tab w:val="num" w:pos="4320"/>
        </w:tabs>
        <w:ind w:left="4320" w:hanging="360"/>
      </w:pPr>
      <w:rPr>
        <w:rFonts w:ascii="Wingdings" w:hAnsi="Wingdings"/>
      </w:rPr>
    </w:lvl>
    <w:lvl w:ilvl="6" w:tplc="6896BD50">
      <w:start w:val="1"/>
      <w:numFmt w:val="bullet"/>
      <w:lvlText w:val=""/>
      <w:lvlJc w:val="left"/>
      <w:pPr>
        <w:tabs>
          <w:tab w:val="num" w:pos="5040"/>
        </w:tabs>
        <w:ind w:left="5040" w:hanging="360"/>
      </w:pPr>
      <w:rPr>
        <w:rFonts w:ascii="Symbol" w:hAnsi="Symbol"/>
      </w:rPr>
    </w:lvl>
    <w:lvl w:ilvl="7" w:tplc="5A9CAB9E">
      <w:start w:val="1"/>
      <w:numFmt w:val="bullet"/>
      <w:lvlText w:val="o"/>
      <w:lvlJc w:val="left"/>
      <w:pPr>
        <w:tabs>
          <w:tab w:val="num" w:pos="5760"/>
        </w:tabs>
        <w:ind w:left="5760" w:hanging="360"/>
      </w:pPr>
      <w:rPr>
        <w:rFonts w:ascii="Courier New" w:hAnsi="Courier New"/>
      </w:rPr>
    </w:lvl>
    <w:lvl w:ilvl="8" w:tplc="81783BDE">
      <w:start w:val="1"/>
      <w:numFmt w:val="bullet"/>
      <w:lvlText w:val=""/>
      <w:lvlJc w:val="left"/>
      <w:pPr>
        <w:tabs>
          <w:tab w:val="num" w:pos="6480"/>
        </w:tabs>
        <w:ind w:left="6480" w:hanging="360"/>
      </w:pPr>
      <w:rPr>
        <w:rFonts w:ascii="Wingdings" w:hAnsi="Wingdings"/>
      </w:rPr>
    </w:lvl>
  </w:abstractNum>
  <w:abstractNum w:abstractNumId="239" w15:restartNumberingAfterBreak="0">
    <w:nsid w:val="722305B1"/>
    <w:multiLevelType w:val="hybridMultilevel"/>
    <w:tmpl w:val="722305B1"/>
    <w:lvl w:ilvl="0" w:tplc="33C20546">
      <w:start w:val="1"/>
      <w:numFmt w:val="bullet"/>
      <w:lvlText w:val=""/>
      <w:lvlJc w:val="left"/>
      <w:pPr>
        <w:ind w:left="720" w:hanging="360"/>
      </w:pPr>
      <w:rPr>
        <w:rFonts w:ascii="Symbol" w:hAnsi="Symbol"/>
      </w:rPr>
    </w:lvl>
    <w:lvl w:ilvl="1" w:tplc="C090CD46">
      <w:start w:val="1"/>
      <w:numFmt w:val="bullet"/>
      <w:lvlText w:val="o"/>
      <w:lvlJc w:val="left"/>
      <w:pPr>
        <w:tabs>
          <w:tab w:val="num" w:pos="1440"/>
        </w:tabs>
        <w:ind w:left="1440" w:hanging="360"/>
      </w:pPr>
      <w:rPr>
        <w:rFonts w:ascii="Courier New" w:hAnsi="Courier New"/>
      </w:rPr>
    </w:lvl>
    <w:lvl w:ilvl="2" w:tplc="7DE8AAAA">
      <w:start w:val="1"/>
      <w:numFmt w:val="bullet"/>
      <w:lvlText w:val=""/>
      <w:lvlJc w:val="left"/>
      <w:pPr>
        <w:tabs>
          <w:tab w:val="num" w:pos="2160"/>
        </w:tabs>
        <w:ind w:left="2160" w:hanging="360"/>
      </w:pPr>
      <w:rPr>
        <w:rFonts w:ascii="Wingdings" w:hAnsi="Wingdings"/>
      </w:rPr>
    </w:lvl>
    <w:lvl w:ilvl="3" w:tplc="B8367630">
      <w:start w:val="1"/>
      <w:numFmt w:val="bullet"/>
      <w:lvlText w:val=""/>
      <w:lvlJc w:val="left"/>
      <w:pPr>
        <w:tabs>
          <w:tab w:val="num" w:pos="2880"/>
        </w:tabs>
        <w:ind w:left="2880" w:hanging="360"/>
      </w:pPr>
      <w:rPr>
        <w:rFonts w:ascii="Symbol" w:hAnsi="Symbol"/>
      </w:rPr>
    </w:lvl>
    <w:lvl w:ilvl="4" w:tplc="85F6BD98">
      <w:start w:val="1"/>
      <w:numFmt w:val="bullet"/>
      <w:lvlText w:val="o"/>
      <w:lvlJc w:val="left"/>
      <w:pPr>
        <w:tabs>
          <w:tab w:val="num" w:pos="3600"/>
        </w:tabs>
        <w:ind w:left="3600" w:hanging="360"/>
      </w:pPr>
      <w:rPr>
        <w:rFonts w:ascii="Courier New" w:hAnsi="Courier New"/>
      </w:rPr>
    </w:lvl>
    <w:lvl w:ilvl="5" w:tplc="13AE5688">
      <w:start w:val="1"/>
      <w:numFmt w:val="bullet"/>
      <w:lvlText w:val=""/>
      <w:lvlJc w:val="left"/>
      <w:pPr>
        <w:tabs>
          <w:tab w:val="num" w:pos="4320"/>
        </w:tabs>
        <w:ind w:left="4320" w:hanging="360"/>
      </w:pPr>
      <w:rPr>
        <w:rFonts w:ascii="Wingdings" w:hAnsi="Wingdings"/>
      </w:rPr>
    </w:lvl>
    <w:lvl w:ilvl="6" w:tplc="F3DAA3E4">
      <w:start w:val="1"/>
      <w:numFmt w:val="bullet"/>
      <w:lvlText w:val=""/>
      <w:lvlJc w:val="left"/>
      <w:pPr>
        <w:tabs>
          <w:tab w:val="num" w:pos="5040"/>
        </w:tabs>
        <w:ind w:left="5040" w:hanging="360"/>
      </w:pPr>
      <w:rPr>
        <w:rFonts w:ascii="Symbol" w:hAnsi="Symbol"/>
      </w:rPr>
    </w:lvl>
    <w:lvl w:ilvl="7" w:tplc="E02A6704">
      <w:start w:val="1"/>
      <w:numFmt w:val="bullet"/>
      <w:lvlText w:val="o"/>
      <w:lvlJc w:val="left"/>
      <w:pPr>
        <w:tabs>
          <w:tab w:val="num" w:pos="5760"/>
        </w:tabs>
        <w:ind w:left="5760" w:hanging="360"/>
      </w:pPr>
      <w:rPr>
        <w:rFonts w:ascii="Courier New" w:hAnsi="Courier New"/>
      </w:rPr>
    </w:lvl>
    <w:lvl w:ilvl="8" w:tplc="6504A37C">
      <w:start w:val="1"/>
      <w:numFmt w:val="bullet"/>
      <w:lvlText w:val=""/>
      <w:lvlJc w:val="left"/>
      <w:pPr>
        <w:tabs>
          <w:tab w:val="num" w:pos="6480"/>
        </w:tabs>
        <w:ind w:left="6480" w:hanging="360"/>
      </w:pPr>
      <w:rPr>
        <w:rFonts w:ascii="Wingdings" w:hAnsi="Wingdings"/>
      </w:rPr>
    </w:lvl>
  </w:abstractNum>
  <w:abstractNum w:abstractNumId="240" w15:restartNumberingAfterBreak="0">
    <w:nsid w:val="722305B2"/>
    <w:multiLevelType w:val="hybridMultilevel"/>
    <w:tmpl w:val="722305B2"/>
    <w:lvl w:ilvl="0" w:tplc="B8EA8084">
      <w:start w:val="1"/>
      <w:numFmt w:val="bullet"/>
      <w:lvlText w:val=""/>
      <w:lvlJc w:val="left"/>
      <w:pPr>
        <w:ind w:left="720" w:hanging="360"/>
      </w:pPr>
      <w:rPr>
        <w:rFonts w:ascii="Symbol" w:hAnsi="Symbol"/>
      </w:rPr>
    </w:lvl>
    <w:lvl w:ilvl="1" w:tplc="AE52F498">
      <w:start w:val="1"/>
      <w:numFmt w:val="bullet"/>
      <w:lvlText w:val="o"/>
      <w:lvlJc w:val="left"/>
      <w:pPr>
        <w:tabs>
          <w:tab w:val="num" w:pos="1440"/>
        </w:tabs>
        <w:ind w:left="1440" w:hanging="360"/>
      </w:pPr>
      <w:rPr>
        <w:rFonts w:ascii="Courier New" w:hAnsi="Courier New"/>
      </w:rPr>
    </w:lvl>
    <w:lvl w:ilvl="2" w:tplc="1E3A03FE">
      <w:start w:val="1"/>
      <w:numFmt w:val="bullet"/>
      <w:lvlText w:val=""/>
      <w:lvlJc w:val="left"/>
      <w:pPr>
        <w:tabs>
          <w:tab w:val="num" w:pos="2160"/>
        </w:tabs>
        <w:ind w:left="2160" w:hanging="360"/>
      </w:pPr>
      <w:rPr>
        <w:rFonts w:ascii="Wingdings" w:hAnsi="Wingdings"/>
      </w:rPr>
    </w:lvl>
    <w:lvl w:ilvl="3" w:tplc="86EA37CA">
      <w:start w:val="1"/>
      <w:numFmt w:val="bullet"/>
      <w:lvlText w:val=""/>
      <w:lvlJc w:val="left"/>
      <w:pPr>
        <w:tabs>
          <w:tab w:val="num" w:pos="2880"/>
        </w:tabs>
        <w:ind w:left="2880" w:hanging="360"/>
      </w:pPr>
      <w:rPr>
        <w:rFonts w:ascii="Symbol" w:hAnsi="Symbol"/>
      </w:rPr>
    </w:lvl>
    <w:lvl w:ilvl="4" w:tplc="CC7432BA">
      <w:start w:val="1"/>
      <w:numFmt w:val="bullet"/>
      <w:lvlText w:val="o"/>
      <w:lvlJc w:val="left"/>
      <w:pPr>
        <w:tabs>
          <w:tab w:val="num" w:pos="3600"/>
        </w:tabs>
        <w:ind w:left="3600" w:hanging="360"/>
      </w:pPr>
      <w:rPr>
        <w:rFonts w:ascii="Courier New" w:hAnsi="Courier New"/>
      </w:rPr>
    </w:lvl>
    <w:lvl w:ilvl="5" w:tplc="5F828D1E">
      <w:start w:val="1"/>
      <w:numFmt w:val="bullet"/>
      <w:lvlText w:val=""/>
      <w:lvlJc w:val="left"/>
      <w:pPr>
        <w:tabs>
          <w:tab w:val="num" w:pos="4320"/>
        </w:tabs>
        <w:ind w:left="4320" w:hanging="360"/>
      </w:pPr>
      <w:rPr>
        <w:rFonts w:ascii="Wingdings" w:hAnsi="Wingdings"/>
      </w:rPr>
    </w:lvl>
    <w:lvl w:ilvl="6" w:tplc="5C0CC0F6">
      <w:start w:val="1"/>
      <w:numFmt w:val="bullet"/>
      <w:lvlText w:val=""/>
      <w:lvlJc w:val="left"/>
      <w:pPr>
        <w:tabs>
          <w:tab w:val="num" w:pos="5040"/>
        </w:tabs>
        <w:ind w:left="5040" w:hanging="360"/>
      </w:pPr>
      <w:rPr>
        <w:rFonts w:ascii="Symbol" w:hAnsi="Symbol"/>
      </w:rPr>
    </w:lvl>
    <w:lvl w:ilvl="7" w:tplc="3DDEBD5A">
      <w:start w:val="1"/>
      <w:numFmt w:val="bullet"/>
      <w:lvlText w:val="o"/>
      <w:lvlJc w:val="left"/>
      <w:pPr>
        <w:tabs>
          <w:tab w:val="num" w:pos="5760"/>
        </w:tabs>
        <w:ind w:left="5760" w:hanging="360"/>
      </w:pPr>
      <w:rPr>
        <w:rFonts w:ascii="Courier New" w:hAnsi="Courier New"/>
      </w:rPr>
    </w:lvl>
    <w:lvl w:ilvl="8" w:tplc="CB8A0DAC">
      <w:start w:val="1"/>
      <w:numFmt w:val="bullet"/>
      <w:lvlText w:val=""/>
      <w:lvlJc w:val="left"/>
      <w:pPr>
        <w:tabs>
          <w:tab w:val="num" w:pos="6480"/>
        </w:tabs>
        <w:ind w:left="6480" w:hanging="360"/>
      </w:pPr>
      <w:rPr>
        <w:rFonts w:ascii="Wingdings" w:hAnsi="Wingdings"/>
      </w:rPr>
    </w:lvl>
  </w:abstractNum>
  <w:abstractNum w:abstractNumId="241" w15:restartNumberingAfterBreak="0">
    <w:nsid w:val="722305B3"/>
    <w:multiLevelType w:val="hybridMultilevel"/>
    <w:tmpl w:val="722305B3"/>
    <w:lvl w:ilvl="0" w:tplc="17FED5B4">
      <w:start w:val="1"/>
      <w:numFmt w:val="bullet"/>
      <w:lvlText w:val=""/>
      <w:lvlJc w:val="left"/>
      <w:pPr>
        <w:ind w:left="720" w:hanging="360"/>
      </w:pPr>
      <w:rPr>
        <w:rFonts w:ascii="Symbol" w:hAnsi="Symbol"/>
      </w:rPr>
    </w:lvl>
    <w:lvl w:ilvl="1" w:tplc="F0FED460">
      <w:start w:val="1"/>
      <w:numFmt w:val="bullet"/>
      <w:lvlText w:val="o"/>
      <w:lvlJc w:val="left"/>
      <w:pPr>
        <w:tabs>
          <w:tab w:val="num" w:pos="1440"/>
        </w:tabs>
        <w:ind w:left="1440" w:hanging="360"/>
      </w:pPr>
      <w:rPr>
        <w:rFonts w:ascii="Courier New" w:hAnsi="Courier New"/>
      </w:rPr>
    </w:lvl>
    <w:lvl w:ilvl="2" w:tplc="F3A2361C">
      <w:start w:val="1"/>
      <w:numFmt w:val="bullet"/>
      <w:lvlText w:val=""/>
      <w:lvlJc w:val="left"/>
      <w:pPr>
        <w:tabs>
          <w:tab w:val="num" w:pos="2160"/>
        </w:tabs>
        <w:ind w:left="2160" w:hanging="360"/>
      </w:pPr>
      <w:rPr>
        <w:rFonts w:ascii="Wingdings" w:hAnsi="Wingdings"/>
      </w:rPr>
    </w:lvl>
    <w:lvl w:ilvl="3" w:tplc="44028BAE">
      <w:start w:val="1"/>
      <w:numFmt w:val="bullet"/>
      <w:lvlText w:val=""/>
      <w:lvlJc w:val="left"/>
      <w:pPr>
        <w:tabs>
          <w:tab w:val="num" w:pos="2880"/>
        </w:tabs>
        <w:ind w:left="2880" w:hanging="360"/>
      </w:pPr>
      <w:rPr>
        <w:rFonts w:ascii="Symbol" w:hAnsi="Symbol"/>
      </w:rPr>
    </w:lvl>
    <w:lvl w:ilvl="4" w:tplc="0C848D54">
      <w:start w:val="1"/>
      <w:numFmt w:val="bullet"/>
      <w:lvlText w:val="o"/>
      <w:lvlJc w:val="left"/>
      <w:pPr>
        <w:tabs>
          <w:tab w:val="num" w:pos="3600"/>
        </w:tabs>
        <w:ind w:left="3600" w:hanging="360"/>
      </w:pPr>
      <w:rPr>
        <w:rFonts w:ascii="Courier New" w:hAnsi="Courier New"/>
      </w:rPr>
    </w:lvl>
    <w:lvl w:ilvl="5" w:tplc="67105A6A">
      <w:start w:val="1"/>
      <w:numFmt w:val="bullet"/>
      <w:lvlText w:val=""/>
      <w:lvlJc w:val="left"/>
      <w:pPr>
        <w:tabs>
          <w:tab w:val="num" w:pos="4320"/>
        </w:tabs>
        <w:ind w:left="4320" w:hanging="360"/>
      </w:pPr>
      <w:rPr>
        <w:rFonts w:ascii="Wingdings" w:hAnsi="Wingdings"/>
      </w:rPr>
    </w:lvl>
    <w:lvl w:ilvl="6" w:tplc="0F42C70A">
      <w:start w:val="1"/>
      <w:numFmt w:val="bullet"/>
      <w:lvlText w:val=""/>
      <w:lvlJc w:val="left"/>
      <w:pPr>
        <w:tabs>
          <w:tab w:val="num" w:pos="5040"/>
        </w:tabs>
        <w:ind w:left="5040" w:hanging="360"/>
      </w:pPr>
      <w:rPr>
        <w:rFonts w:ascii="Symbol" w:hAnsi="Symbol"/>
      </w:rPr>
    </w:lvl>
    <w:lvl w:ilvl="7" w:tplc="5FB65AAA">
      <w:start w:val="1"/>
      <w:numFmt w:val="bullet"/>
      <w:lvlText w:val="o"/>
      <w:lvlJc w:val="left"/>
      <w:pPr>
        <w:tabs>
          <w:tab w:val="num" w:pos="5760"/>
        </w:tabs>
        <w:ind w:left="5760" w:hanging="360"/>
      </w:pPr>
      <w:rPr>
        <w:rFonts w:ascii="Courier New" w:hAnsi="Courier New"/>
      </w:rPr>
    </w:lvl>
    <w:lvl w:ilvl="8" w:tplc="923CA754">
      <w:start w:val="1"/>
      <w:numFmt w:val="bullet"/>
      <w:lvlText w:val=""/>
      <w:lvlJc w:val="left"/>
      <w:pPr>
        <w:tabs>
          <w:tab w:val="num" w:pos="6480"/>
        </w:tabs>
        <w:ind w:left="6480" w:hanging="360"/>
      </w:pPr>
      <w:rPr>
        <w:rFonts w:ascii="Wingdings" w:hAnsi="Wingdings"/>
      </w:rPr>
    </w:lvl>
  </w:abstractNum>
  <w:abstractNum w:abstractNumId="242" w15:restartNumberingAfterBreak="0">
    <w:nsid w:val="722305B4"/>
    <w:multiLevelType w:val="hybridMultilevel"/>
    <w:tmpl w:val="722305B4"/>
    <w:lvl w:ilvl="0" w:tplc="D7BA8BAC">
      <w:start w:val="1"/>
      <w:numFmt w:val="bullet"/>
      <w:lvlText w:val=""/>
      <w:lvlJc w:val="left"/>
      <w:pPr>
        <w:ind w:left="720" w:hanging="360"/>
      </w:pPr>
      <w:rPr>
        <w:rFonts w:ascii="Symbol" w:hAnsi="Symbol"/>
      </w:rPr>
    </w:lvl>
    <w:lvl w:ilvl="1" w:tplc="DD70BC46">
      <w:start w:val="1"/>
      <w:numFmt w:val="bullet"/>
      <w:lvlText w:val="o"/>
      <w:lvlJc w:val="left"/>
      <w:pPr>
        <w:tabs>
          <w:tab w:val="num" w:pos="1440"/>
        </w:tabs>
        <w:ind w:left="1440" w:hanging="360"/>
      </w:pPr>
      <w:rPr>
        <w:rFonts w:ascii="Courier New" w:hAnsi="Courier New"/>
      </w:rPr>
    </w:lvl>
    <w:lvl w:ilvl="2" w:tplc="44A86B00">
      <w:start w:val="1"/>
      <w:numFmt w:val="bullet"/>
      <w:lvlText w:val=""/>
      <w:lvlJc w:val="left"/>
      <w:pPr>
        <w:tabs>
          <w:tab w:val="num" w:pos="2160"/>
        </w:tabs>
        <w:ind w:left="2160" w:hanging="360"/>
      </w:pPr>
      <w:rPr>
        <w:rFonts w:ascii="Wingdings" w:hAnsi="Wingdings"/>
      </w:rPr>
    </w:lvl>
    <w:lvl w:ilvl="3" w:tplc="44A28604">
      <w:start w:val="1"/>
      <w:numFmt w:val="bullet"/>
      <w:lvlText w:val=""/>
      <w:lvlJc w:val="left"/>
      <w:pPr>
        <w:tabs>
          <w:tab w:val="num" w:pos="2880"/>
        </w:tabs>
        <w:ind w:left="2880" w:hanging="360"/>
      </w:pPr>
      <w:rPr>
        <w:rFonts w:ascii="Symbol" w:hAnsi="Symbol"/>
      </w:rPr>
    </w:lvl>
    <w:lvl w:ilvl="4" w:tplc="C9CAD79E">
      <w:start w:val="1"/>
      <w:numFmt w:val="bullet"/>
      <w:lvlText w:val="o"/>
      <w:lvlJc w:val="left"/>
      <w:pPr>
        <w:tabs>
          <w:tab w:val="num" w:pos="3600"/>
        </w:tabs>
        <w:ind w:left="3600" w:hanging="360"/>
      </w:pPr>
      <w:rPr>
        <w:rFonts w:ascii="Courier New" w:hAnsi="Courier New"/>
      </w:rPr>
    </w:lvl>
    <w:lvl w:ilvl="5" w:tplc="692AE4B2">
      <w:start w:val="1"/>
      <w:numFmt w:val="bullet"/>
      <w:lvlText w:val=""/>
      <w:lvlJc w:val="left"/>
      <w:pPr>
        <w:tabs>
          <w:tab w:val="num" w:pos="4320"/>
        </w:tabs>
        <w:ind w:left="4320" w:hanging="360"/>
      </w:pPr>
      <w:rPr>
        <w:rFonts w:ascii="Wingdings" w:hAnsi="Wingdings"/>
      </w:rPr>
    </w:lvl>
    <w:lvl w:ilvl="6" w:tplc="FF644974">
      <w:start w:val="1"/>
      <w:numFmt w:val="bullet"/>
      <w:lvlText w:val=""/>
      <w:lvlJc w:val="left"/>
      <w:pPr>
        <w:tabs>
          <w:tab w:val="num" w:pos="5040"/>
        </w:tabs>
        <w:ind w:left="5040" w:hanging="360"/>
      </w:pPr>
      <w:rPr>
        <w:rFonts w:ascii="Symbol" w:hAnsi="Symbol"/>
      </w:rPr>
    </w:lvl>
    <w:lvl w:ilvl="7" w:tplc="6BE6E010">
      <w:start w:val="1"/>
      <w:numFmt w:val="bullet"/>
      <w:lvlText w:val="o"/>
      <w:lvlJc w:val="left"/>
      <w:pPr>
        <w:tabs>
          <w:tab w:val="num" w:pos="5760"/>
        </w:tabs>
        <w:ind w:left="5760" w:hanging="360"/>
      </w:pPr>
      <w:rPr>
        <w:rFonts w:ascii="Courier New" w:hAnsi="Courier New"/>
      </w:rPr>
    </w:lvl>
    <w:lvl w:ilvl="8" w:tplc="422A9C76">
      <w:start w:val="1"/>
      <w:numFmt w:val="bullet"/>
      <w:lvlText w:val=""/>
      <w:lvlJc w:val="left"/>
      <w:pPr>
        <w:tabs>
          <w:tab w:val="num" w:pos="6480"/>
        </w:tabs>
        <w:ind w:left="6480" w:hanging="360"/>
      </w:pPr>
      <w:rPr>
        <w:rFonts w:ascii="Wingdings" w:hAnsi="Wingdings"/>
      </w:rPr>
    </w:lvl>
  </w:abstractNum>
  <w:abstractNum w:abstractNumId="243" w15:restartNumberingAfterBreak="0">
    <w:nsid w:val="722305B5"/>
    <w:multiLevelType w:val="hybridMultilevel"/>
    <w:tmpl w:val="722305B5"/>
    <w:lvl w:ilvl="0" w:tplc="37AAF928">
      <w:start w:val="1"/>
      <w:numFmt w:val="bullet"/>
      <w:lvlText w:val=""/>
      <w:lvlJc w:val="left"/>
      <w:pPr>
        <w:tabs>
          <w:tab w:val="num" w:pos="720"/>
        </w:tabs>
        <w:ind w:left="720" w:hanging="360"/>
      </w:pPr>
      <w:rPr>
        <w:rFonts w:ascii="Symbol" w:hAnsi="Symbol"/>
      </w:rPr>
    </w:lvl>
    <w:lvl w:ilvl="1" w:tplc="28384620">
      <w:start w:val="1"/>
      <w:numFmt w:val="bullet"/>
      <w:lvlText w:val="o"/>
      <w:lvlJc w:val="left"/>
      <w:pPr>
        <w:tabs>
          <w:tab w:val="num" w:pos="1440"/>
        </w:tabs>
        <w:ind w:left="1440" w:hanging="360"/>
      </w:pPr>
      <w:rPr>
        <w:rFonts w:ascii="Courier New" w:hAnsi="Courier New"/>
      </w:rPr>
    </w:lvl>
    <w:lvl w:ilvl="2" w:tplc="D042FC36">
      <w:start w:val="1"/>
      <w:numFmt w:val="bullet"/>
      <w:lvlText w:val=""/>
      <w:lvlJc w:val="left"/>
      <w:pPr>
        <w:tabs>
          <w:tab w:val="num" w:pos="2160"/>
        </w:tabs>
        <w:ind w:left="2160" w:hanging="360"/>
      </w:pPr>
      <w:rPr>
        <w:rFonts w:ascii="Wingdings" w:hAnsi="Wingdings"/>
      </w:rPr>
    </w:lvl>
    <w:lvl w:ilvl="3" w:tplc="39003E00">
      <w:start w:val="1"/>
      <w:numFmt w:val="bullet"/>
      <w:lvlText w:val=""/>
      <w:lvlJc w:val="left"/>
      <w:pPr>
        <w:tabs>
          <w:tab w:val="num" w:pos="2880"/>
        </w:tabs>
        <w:ind w:left="2880" w:hanging="360"/>
      </w:pPr>
      <w:rPr>
        <w:rFonts w:ascii="Symbol" w:hAnsi="Symbol"/>
      </w:rPr>
    </w:lvl>
    <w:lvl w:ilvl="4" w:tplc="1326FE56">
      <w:start w:val="1"/>
      <w:numFmt w:val="bullet"/>
      <w:lvlText w:val="o"/>
      <w:lvlJc w:val="left"/>
      <w:pPr>
        <w:tabs>
          <w:tab w:val="num" w:pos="3600"/>
        </w:tabs>
        <w:ind w:left="3600" w:hanging="360"/>
      </w:pPr>
      <w:rPr>
        <w:rFonts w:ascii="Courier New" w:hAnsi="Courier New"/>
      </w:rPr>
    </w:lvl>
    <w:lvl w:ilvl="5" w:tplc="DC764664">
      <w:start w:val="1"/>
      <w:numFmt w:val="bullet"/>
      <w:lvlText w:val=""/>
      <w:lvlJc w:val="left"/>
      <w:pPr>
        <w:tabs>
          <w:tab w:val="num" w:pos="4320"/>
        </w:tabs>
        <w:ind w:left="4320" w:hanging="360"/>
      </w:pPr>
      <w:rPr>
        <w:rFonts w:ascii="Wingdings" w:hAnsi="Wingdings"/>
      </w:rPr>
    </w:lvl>
    <w:lvl w:ilvl="6" w:tplc="EF8C5A2A">
      <w:start w:val="1"/>
      <w:numFmt w:val="bullet"/>
      <w:lvlText w:val=""/>
      <w:lvlJc w:val="left"/>
      <w:pPr>
        <w:tabs>
          <w:tab w:val="num" w:pos="5040"/>
        </w:tabs>
        <w:ind w:left="5040" w:hanging="360"/>
      </w:pPr>
      <w:rPr>
        <w:rFonts w:ascii="Symbol" w:hAnsi="Symbol"/>
      </w:rPr>
    </w:lvl>
    <w:lvl w:ilvl="7" w:tplc="8188DBE2">
      <w:start w:val="1"/>
      <w:numFmt w:val="bullet"/>
      <w:lvlText w:val="o"/>
      <w:lvlJc w:val="left"/>
      <w:pPr>
        <w:tabs>
          <w:tab w:val="num" w:pos="5760"/>
        </w:tabs>
        <w:ind w:left="5760" w:hanging="360"/>
      </w:pPr>
      <w:rPr>
        <w:rFonts w:ascii="Courier New" w:hAnsi="Courier New"/>
      </w:rPr>
    </w:lvl>
    <w:lvl w:ilvl="8" w:tplc="EE3E5120">
      <w:start w:val="1"/>
      <w:numFmt w:val="bullet"/>
      <w:lvlText w:val=""/>
      <w:lvlJc w:val="left"/>
      <w:pPr>
        <w:tabs>
          <w:tab w:val="num" w:pos="6480"/>
        </w:tabs>
        <w:ind w:left="6480" w:hanging="360"/>
      </w:pPr>
      <w:rPr>
        <w:rFonts w:ascii="Wingdings" w:hAnsi="Wingdings"/>
      </w:rPr>
    </w:lvl>
  </w:abstractNum>
  <w:abstractNum w:abstractNumId="244" w15:restartNumberingAfterBreak="0">
    <w:nsid w:val="722305B6"/>
    <w:multiLevelType w:val="hybridMultilevel"/>
    <w:tmpl w:val="722305B6"/>
    <w:lvl w:ilvl="0" w:tplc="E0CC817E">
      <w:start w:val="1"/>
      <w:numFmt w:val="bullet"/>
      <w:lvlText w:val=""/>
      <w:lvlJc w:val="left"/>
      <w:pPr>
        <w:ind w:left="720" w:hanging="360"/>
      </w:pPr>
      <w:rPr>
        <w:rFonts w:ascii="Symbol" w:hAnsi="Symbol"/>
      </w:rPr>
    </w:lvl>
    <w:lvl w:ilvl="1" w:tplc="4D64741C">
      <w:start w:val="1"/>
      <w:numFmt w:val="bullet"/>
      <w:lvlText w:val="o"/>
      <w:lvlJc w:val="left"/>
      <w:pPr>
        <w:ind w:left="1440" w:hanging="360"/>
      </w:pPr>
      <w:rPr>
        <w:rFonts w:ascii="Courier New" w:hAnsi="Courier New"/>
      </w:rPr>
    </w:lvl>
    <w:lvl w:ilvl="2" w:tplc="D538549E">
      <w:start w:val="1"/>
      <w:numFmt w:val="bullet"/>
      <w:lvlText w:val=""/>
      <w:lvlJc w:val="left"/>
      <w:pPr>
        <w:ind w:left="2160" w:hanging="360"/>
      </w:pPr>
      <w:rPr>
        <w:rFonts w:ascii="Wingdings" w:hAnsi="Wingdings"/>
      </w:rPr>
    </w:lvl>
    <w:lvl w:ilvl="3" w:tplc="C6842C7C">
      <w:start w:val="1"/>
      <w:numFmt w:val="bullet"/>
      <w:lvlText w:val=""/>
      <w:lvlJc w:val="left"/>
      <w:pPr>
        <w:tabs>
          <w:tab w:val="num" w:pos="2880"/>
        </w:tabs>
        <w:ind w:left="2880" w:hanging="360"/>
      </w:pPr>
      <w:rPr>
        <w:rFonts w:ascii="Symbol" w:hAnsi="Symbol"/>
      </w:rPr>
    </w:lvl>
    <w:lvl w:ilvl="4" w:tplc="F5D0F4C6">
      <w:start w:val="1"/>
      <w:numFmt w:val="bullet"/>
      <w:lvlText w:val="o"/>
      <w:lvlJc w:val="left"/>
      <w:pPr>
        <w:tabs>
          <w:tab w:val="num" w:pos="3600"/>
        </w:tabs>
        <w:ind w:left="3600" w:hanging="360"/>
      </w:pPr>
      <w:rPr>
        <w:rFonts w:ascii="Courier New" w:hAnsi="Courier New"/>
      </w:rPr>
    </w:lvl>
    <w:lvl w:ilvl="5" w:tplc="08E80728">
      <w:start w:val="1"/>
      <w:numFmt w:val="bullet"/>
      <w:lvlText w:val=""/>
      <w:lvlJc w:val="left"/>
      <w:pPr>
        <w:tabs>
          <w:tab w:val="num" w:pos="4320"/>
        </w:tabs>
        <w:ind w:left="4320" w:hanging="360"/>
      </w:pPr>
      <w:rPr>
        <w:rFonts w:ascii="Wingdings" w:hAnsi="Wingdings"/>
      </w:rPr>
    </w:lvl>
    <w:lvl w:ilvl="6" w:tplc="DF429AFE">
      <w:start w:val="1"/>
      <w:numFmt w:val="bullet"/>
      <w:lvlText w:val=""/>
      <w:lvlJc w:val="left"/>
      <w:pPr>
        <w:tabs>
          <w:tab w:val="num" w:pos="5040"/>
        </w:tabs>
        <w:ind w:left="5040" w:hanging="360"/>
      </w:pPr>
      <w:rPr>
        <w:rFonts w:ascii="Symbol" w:hAnsi="Symbol"/>
      </w:rPr>
    </w:lvl>
    <w:lvl w:ilvl="7" w:tplc="B14C2246">
      <w:start w:val="1"/>
      <w:numFmt w:val="bullet"/>
      <w:lvlText w:val="o"/>
      <w:lvlJc w:val="left"/>
      <w:pPr>
        <w:tabs>
          <w:tab w:val="num" w:pos="5760"/>
        </w:tabs>
        <w:ind w:left="5760" w:hanging="360"/>
      </w:pPr>
      <w:rPr>
        <w:rFonts w:ascii="Courier New" w:hAnsi="Courier New"/>
      </w:rPr>
    </w:lvl>
    <w:lvl w:ilvl="8" w:tplc="391078D2">
      <w:start w:val="1"/>
      <w:numFmt w:val="bullet"/>
      <w:lvlText w:val=""/>
      <w:lvlJc w:val="left"/>
      <w:pPr>
        <w:tabs>
          <w:tab w:val="num" w:pos="6480"/>
        </w:tabs>
        <w:ind w:left="6480" w:hanging="360"/>
      </w:pPr>
      <w:rPr>
        <w:rFonts w:ascii="Wingdings" w:hAnsi="Wingdings"/>
      </w:rPr>
    </w:lvl>
  </w:abstractNum>
  <w:abstractNum w:abstractNumId="245" w15:restartNumberingAfterBreak="0">
    <w:nsid w:val="722305B7"/>
    <w:multiLevelType w:val="hybridMultilevel"/>
    <w:tmpl w:val="722305B7"/>
    <w:lvl w:ilvl="0" w:tplc="8CEA5B82">
      <w:start w:val="1"/>
      <w:numFmt w:val="bullet"/>
      <w:lvlText w:val=""/>
      <w:lvlJc w:val="left"/>
      <w:pPr>
        <w:ind w:left="720" w:hanging="360"/>
      </w:pPr>
      <w:rPr>
        <w:rFonts w:ascii="Symbol" w:hAnsi="Symbol"/>
      </w:rPr>
    </w:lvl>
    <w:lvl w:ilvl="1" w:tplc="2618C248">
      <w:start w:val="1"/>
      <w:numFmt w:val="bullet"/>
      <w:lvlText w:val="o"/>
      <w:lvlJc w:val="left"/>
      <w:pPr>
        <w:tabs>
          <w:tab w:val="num" w:pos="1440"/>
        </w:tabs>
        <w:ind w:left="1440" w:hanging="360"/>
      </w:pPr>
      <w:rPr>
        <w:rFonts w:ascii="Courier New" w:hAnsi="Courier New"/>
      </w:rPr>
    </w:lvl>
    <w:lvl w:ilvl="2" w:tplc="D6B44E34">
      <w:start w:val="1"/>
      <w:numFmt w:val="bullet"/>
      <w:lvlText w:val=""/>
      <w:lvlJc w:val="left"/>
      <w:pPr>
        <w:tabs>
          <w:tab w:val="num" w:pos="2160"/>
        </w:tabs>
        <w:ind w:left="2160" w:hanging="360"/>
      </w:pPr>
      <w:rPr>
        <w:rFonts w:ascii="Wingdings" w:hAnsi="Wingdings"/>
      </w:rPr>
    </w:lvl>
    <w:lvl w:ilvl="3" w:tplc="8F5AE8E2">
      <w:start w:val="1"/>
      <w:numFmt w:val="bullet"/>
      <w:lvlText w:val=""/>
      <w:lvlJc w:val="left"/>
      <w:pPr>
        <w:tabs>
          <w:tab w:val="num" w:pos="2880"/>
        </w:tabs>
        <w:ind w:left="2880" w:hanging="360"/>
      </w:pPr>
      <w:rPr>
        <w:rFonts w:ascii="Symbol" w:hAnsi="Symbol"/>
      </w:rPr>
    </w:lvl>
    <w:lvl w:ilvl="4" w:tplc="BDE476C0">
      <w:start w:val="1"/>
      <w:numFmt w:val="bullet"/>
      <w:lvlText w:val="o"/>
      <w:lvlJc w:val="left"/>
      <w:pPr>
        <w:tabs>
          <w:tab w:val="num" w:pos="3600"/>
        </w:tabs>
        <w:ind w:left="3600" w:hanging="360"/>
      </w:pPr>
      <w:rPr>
        <w:rFonts w:ascii="Courier New" w:hAnsi="Courier New"/>
      </w:rPr>
    </w:lvl>
    <w:lvl w:ilvl="5" w:tplc="058E9AB4">
      <w:start w:val="1"/>
      <w:numFmt w:val="bullet"/>
      <w:lvlText w:val=""/>
      <w:lvlJc w:val="left"/>
      <w:pPr>
        <w:tabs>
          <w:tab w:val="num" w:pos="4320"/>
        </w:tabs>
        <w:ind w:left="4320" w:hanging="360"/>
      </w:pPr>
      <w:rPr>
        <w:rFonts w:ascii="Wingdings" w:hAnsi="Wingdings"/>
      </w:rPr>
    </w:lvl>
    <w:lvl w:ilvl="6" w:tplc="72CEE670">
      <w:start w:val="1"/>
      <w:numFmt w:val="bullet"/>
      <w:lvlText w:val=""/>
      <w:lvlJc w:val="left"/>
      <w:pPr>
        <w:tabs>
          <w:tab w:val="num" w:pos="5040"/>
        </w:tabs>
        <w:ind w:left="5040" w:hanging="360"/>
      </w:pPr>
      <w:rPr>
        <w:rFonts w:ascii="Symbol" w:hAnsi="Symbol"/>
      </w:rPr>
    </w:lvl>
    <w:lvl w:ilvl="7" w:tplc="F3989F8C">
      <w:start w:val="1"/>
      <w:numFmt w:val="bullet"/>
      <w:lvlText w:val="o"/>
      <w:lvlJc w:val="left"/>
      <w:pPr>
        <w:tabs>
          <w:tab w:val="num" w:pos="5760"/>
        </w:tabs>
        <w:ind w:left="5760" w:hanging="360"/>
      </w:pPr>
      <w:rPr>
        <w:rFonts w:ascii="Courier New" w:hAnsi="Courier New"/>
      </w:rPr>
    </w:lvl>
    <w:lvl w:ilvl="8" w:tplc="4F247D54">
      <w:start w:val="1"/>
      <w:numFmt w:val="bullet"/>
      <w:lvlText w:val=""/>
      <w:lvlJc w:val="left"/>
      <w:pPr>
        <w:tabs>
          <w:tab w:val="num" w:pos="6480"/>
        </w:tabs>
        <w:ind w:left="6480" w:hanging="360"/>
      </w:pPr>
      <w:rPr>
        <w:rFonts w:ascii="Wingdings" w:hAnsi="Wingdings"/>
      </w:rPr>
    </w:lvl>
  </w:abstractNum>
  <w:abstractNum w:abstractNumId="246" w15:restartNumberingAfterBreak="0">
    <w:nsid w:val="722305B8"/>
    <w:multiLevelType w:val="hybridMultilevel"/>
    <w:tmpl w:val="722305B8"/>
    <w:lvl w:ilvl="0" w:tplc="EC681250">
      <w:start w:val="1"/>
      <w:numFmt w:val="bullet"/>
      <w:lvlText w:val=""/>
      <w:lvlJc w:val="left"/>
      <w:pPr>
        <w:ind w:left="720" w:hanging="360"/>
      </w:pPr>
      <w:rPr>
        <w:rFonts w:ascii="Symbol" w:hAnsi="Symbol"/>
      </w:rPr>
    </w:lvl>
    <w:lvl w:ilvl="1" w:tplc="07742F3A">
      <w:start w:val="1"/>
      <w:numFmt w:val="bullet"/>
      <w:lvlText w:val="o"/>
      <w:lvlJc w:val="left"/>
      <w:pPr>
        <w:ind w:left="1440" w:hanging="360"/>
      </w:pPr>
      <w:rPr>
        <w:rFonts w:ascii="Courier New" w:hAnsi="Courier New"/>
      </w:rPr>
    </w:lvl>
    <w:lvl w:ilvl="2" w:tplc="3BAA724E">
      <w:start w:val="1"/>
      <w:numFmt w:val="bullet"/>
      <w:lvlText w:val=""/>
      <w:lvlJc w:val="left"/>
      <w:pPr>
        <w:tabs>
          <w:tab w:val="num" w:pos="2160"/>
        </w:tabs>
        <w:ind w:left="2160" w:hanging="360"/>
      </w:pPr>
      <w:rPr>
        <w:rFonts w:ascii="Wingdings" w:hAnsi="Wingdings"/>
      </w:rPr>
    </w:lvl>
    <w:lvl w:ilvl="3" w:tplc="74427D72">
      <w:start w:val="1"/>
      <w:numFmt w:val="bullet"/>
      <w:lvlText w:val=""/>
      <w:lvlJc w:val="left"/>
      <w:pPr>
        <w:tabs>
          <w:tab w:val="num" w:pos="2880"/>
        </w:tabs>
        <w:ind w:left="2880" w:hanging="360"/>
      </w:pPr>
      <w:rPr>
        <w:rFonts w:ascii="Symbol" w:hAnsi="Symbol"/>
      </w:rPr>
    </w:lvl>
    <w:lvl w:ilvl="4" w:tplc="01241BF0">
      <w:start w:val="1"/>
      <w:numFmt w:val="bullet"/>
      <w:lvlText w:val="o"/>
      <w:lvlJc w:val="left"/>
      <w:pPr>
        <w:tabs>
          <w:tab w:val="num" w:pos="3600"/>
        </w:tabs>
        <w:ind w:left="3600" w:hanging="360"/>
      </w:pPr>
      <w:rPr>
        <w:rFonts w:ascii="Courier New" w:hAnsi="Courier New"/>
      </w:rPr>
    </w:lvl>
    <w:lvl w:ilvl="5" w:tplc="225EDFD4">
      <w:start w:val="1"/>
      <w:numFmt w:val="bullet"/>
      <w:lvlText w:val=""/>
      <w:lvlJc w:val="left"/>
      <w:pPr>
        <w:tabs>
          <w:tab w:val="num" w:pos="4320"/>
        </w:tabs>
        <w:ind w:left="4320" w:hanging="360"/>
      </w:pPr>
      <w:rPr>
        <w:rFonts w:ascii="Wingdings" w:hAnsi="Wingdings"/>
      </w:rPr>
    </w:lvl>
    <w:lvl w:ilvl="6" w:tplc="8CE81022">
      <w:start w:val="1"/>
      <w:numFmt w:val="bullet"/>
      <w:lvlText w:val=""/>
      <w:lvlJc w:val="left"/>
      <w:pPr>
        <w:tabs>
          <w:tab w:val="num" w:pos="5040"/>
        </w:tabs>
        <w:ind w:left="5040" w:hanging="360"/>
      </w:pPr>
      <w:rPr>
        <w:rFonts w:ascii="Symbol" w:hAnsi="Symbol"/>
      </w:rPr>
    </w:lvl>
    <w:lvl w:ilvl="7" w:tplc="26EA311E">
      <w:start w:val="1"/>
      <w:numFmt w:val="bullet"/>
      <w:lvlText w:val="o"/>
      <w:lvlJc w:val="left"/>
      <w:pPr>
        <w:tabs>
          <w:tab w:val="num" w:pos="5760"/>
        </w:tabs>
        <w:ind w:left="5760" w:hanging="360"/>
      </w:pPr>
      <w:rPr>
        <w:rFonts w:ascii="Courier New" w:hAnsi="Courier New"/>
      </w:rPr>
    </w:lvl>
    <w:lvl w:ilvl="8" w:tplc="C3927022">
      <w:start w:val="1"/>
      <w:numFmt w:val="bullet"/>
      <w:lvlText w:val=""/>
      <w:lvlJc w:val="left"/>
      <w:pPr>
        <w:tabs>
          <w:tab w:val="num" w:pos="6480"/>
        </w:tabs>
        <w:ind w:left="6480" w:hanging="360"/>
      </w:pPr>
      <w:rPr>
        <w:rFonts w:ascii="Wingdings" w:hAnsi="Wingdings"/>
      </w:rPr>
    </w:lvl>
  </w:abstractNum>
  <w:abstractNum w:abstractNumId="247" w15:restartNumberingAfterBreak="0">
    <w:nsid w:val="722305B9"/>
    <w:multiLevelType w:val="hybridMultilevel"/>
    <w:tmpl w:val="722305B9"/>
    <w:lvl w:ilvl="0" w:tplc="C6261326">
      <w:start w:val="1"/>
      <w:numFmt w:val="bullet"/>
      <w:lvlText w:val=""/>
      <w:lvlJc w:val="left"/>
      <w:pPr>
        <w:ind w:left="720" w:hanging="360"/>
      </w:pPr>
      <w:rPr>
        <w:rFonts w:ascii="Symbol" w:hAnsi="Symbol"/>
      </w:rPr>
    </w:lvl>
    <w:lvl w:ilvl="1" w:tplc="02EC903A">
      <w:start w:val="1"/>
      <w:numFmt w:val="bullet"/>
      <w:lvlText w:val="o"/>
      <w:lvlJc w:val="left"/>
      <w:pPr>
        <w:ind w:left="1440" w:hanging="360"/>
      </w:pPr>
      <w:rPr>
        <w:rFonts w:ascii="Courier New" w:hAnsi="Courier New"/>
      </w:rPr>
    </w:lvl>
    <w:lvl w:ilvl="2" w:tplc="62B43300">
      <w:start w:val="1"/>
      <w:numFmt w:val="bullet"/>
      <w:lvlText w:val=""/>
      <w:lvlJc w:val="left"/>
      <w:pPr>
        <w:tabs>
          <w:tab w:val="num" w:pos="2160"/>
        </w:tabs>
        <w:ind w:left="2160" w:hanging="360"/>
      </w:pPr>
      <w:rPr>
        <w:rFonts w:ascii="Wingdings" w:hAnsi="Wingdings"/>
      </w:rPr>
    </w:lvl>
    <w:lvl w:ilvl="3" w:tplc="032AB2D2">
      <w:start w:val="1"/>
      <w:numFmt w:val="bullet"/>
      <w:lvlText w:val=""/>
      <w:lvlJc w:val="left"/>
      <w:pPr>
        <w:tabs>
          <w:tab w:val="num" w:pos="2880"/>
        </w:tabs>
        <w:ind w:left="2880" w:hanging="360"/>
      </w:pPr>
      <w:rPr>
        <w:rFonts w:ascii="Symbol" w:hAnsi="Symbol"/>
      </w:rPr>
    </w:lvl>
    <w:lvl w:ilvl="4" w:tplc="BB78723C">
      <w:start w:val="1"/>
      <w:numFmt w:val="bullet"/>
      <w:lvlText w:val="o"/>
      <w:lvlJc w:val="left"/>
      <w:pPr>
        <w:tabs>
          <w:tab w:val="num" w:pos="3600"/>
        </w:tabs>
        <w:ind w:left="3600" w:hanging="360"/>
      </w:pPr>
      <w:rPr>
        <w:rFonts w:ascii="Courier New" w:hAnsi="Courier New"/>
      </w:rPr>
    </w:lvl>
    <w:lvl w:ilvl="5" w:tplc="C450A36C">
      <w:start w:val="1"/>
      <w:numFmt w:val="bullet"/>
      <w:lvlText w:val=""/>
      <w:lvlJc w:val="left"/>
      <w:pPr>
        <w:tabs>
          <w:tab w:val="num" w:pos="4320"/>
        </w:tabs>
        <w:ind w:left="4320" w:hanging="360"/>
      </w:pPr>
      <w:rPr>
        <w:rFonts w:ascii="Wingdings" w:hAnsi="Wingdings"/>
      </w:rPr>
    </w:lvl>
    <w:lvl w:ilvl="6" w:tplc="08C25C74">
      <w:start w:val="1"/>
      <w:numFmt w:val="bullet"/>
      <w:lvlText w:val=""/>
      <w:lvlJc w:val="left"/>
      <w:pPr>
        <w:tabs>
          <w:tab w:val="num" w:pos="5040"/>
        </w:tabs>
        <w:ind w:left="5040" w:hanging="360"/>
      </w:pPr>
      <w:rPr>
        <w:rFonts w:ascii="Symbol" w:hAnsi="Symbol"/>
      </w:rPr>
    </w:lvl>
    <w:lvl w:ilvl="7" w:tplc="485A0BF8">
      <w:start w:val="1"/>
      <w:numFmt w:val="bullet"/>
      <w:lvlText w:val="o"/>
      <w:lvlJc w:val="left"/>
      <w:pPr>
        <w:tabs>
          <w:tab w:val="num" w:pos="5760"/>
        </w:tabs>
        <w:ind w:left="5760" w:hanging="360"/>
      </w:pPr>
      <w:rPr>
        <w:rFonts w:ascii="Courier New" w:hAnsi="Courier New"/>
      </w:rPr>
    </w:lvl>
    <w:lvl w:ilvl="8" w:tplc="9168A484">
      <w:start w:val="1"/>
      <w:numFmt w:val="bullet"/>
      <w:lvlText w:val=""/>
      <w:lvlJc w:val="left"/>
      <w:pPr>
        <w:tabs>
          <w:tab w:val="num" w:pos="6480"/>
        </w:tabs>
        <w:ind w:left="6480" w:hanging="360"/>
      </w:pPr>
      <w:rPr>
        <w:rFonts w:ascii="Wingdings" w:hAnsi="Wingdings"/>
      </w:rPr>
    </w:lvl>
  </w:abstractNum>
  <w:abstractNum w:abstractNumId="248" w15:restartNumberingAfterBreak="0">
    <w:nsid w:val="722305BA"/>
    <w:multiLevelType w:val="hybridMultilevel"/>
    <w:tmpl w:val="722305BA"/>
    <w:lvl w:ilvl="0" w:tplc="C63220BE">
      <w:start w:val="1"/>
      <w:numFmt w:val="bullet"/>
      <w:lvlText w:val=""/>
      <w:lvlJc w:val="left"/>
      <w:pPr>
        <w:ind w:left="720" w:hanging="360"/>
      </w:pPr>
      <w:rPr>
        <w:rFonts w:ascii="Symbol" w:hAnsi="Symbol"/>
      </w:rPr>
    </w:lvl>
    <w:lvl w:ilvl="1" w:tplc="A330F1AA">
      <w:start w:val="1"/>
      <w:numFmt w:val="bullet"/>
      <w:lvlText w:val="o"/>
      <w:lvlJc w:val="left"/>
      <w:pPr>
        <w:ind w:left="1440" w:hanging="360"/>
      </w:pPr>
      <w:rPr>
        <w:rFonts w:ascii="Courier New" w:hAnsi="Courier New"/>
      </w:rPr>
    </w:lvl>
    <w:lvl w:ilvl="2" w:tplc="95B6FEF0">
      <w:start w:val="1"/>
      <w:numFmt w:val="bullet"/>
      <w:lvlText w:val=""/>
      <w:lvlJc w:val="left"/>
      <w:pPr>
        <w:tabs>
          <w:tab w:val="num" w:pos="2160"/>
        </w:tabs>
        <w:ind w:left="2160" w:hanging="360"/>
      </w:pPr>
      <w:rPr>
        <w:rFonts w:ascii="Wingdings" w:hAnsi="Wingdings"/>
      </w:rPr>
    </w:lvl>
    <w:lvl w:ilvl="3" w:tplc="E9CCC912">
      <w:start w:val="1"/>
      <w:numFmt w:val="bullet"/>
      <w:lvlText w:val=""/>
      <w:lvlJc w:val="left"/>
      <w:pPr>
        <w:tabs>
          <w:tab w:val="num" w:pos="2880"/>
        </w:tabs>
        <w:ind w:left="2880" w:hanging="360"/>
      </w:pPr>
      <w:rPr>
        <w:rFonts w:ascii="Symbol" w:hAnsi="Symbol"/>
      </w:rPr>
    </w:lvl>
    <w:lvl w:ilvl="4" w:tplc="6478E0C2">
      <w:start w:val="1"/>
      <w:numFmt w:val="bullet"/>
      <w:lvlText w:val="o"/>
      <w:lvlJc w:val="left"/>
      <w:pPr>
        <w:tabs>
          <w:tab w:val="num" w:pos="3600"/>
        </w:tabs>
        <w:ind w:left="3600" w:hanging="360"/>
      </w:pPr>
      <w:rPr>
        <w:rFonts w:ascii="Courier New" w:hAnsi="Courier New"/>
      </w:rPr>
    </w:lvl>
    <w:lvl w:ilvl="5" w:tplc="02C24FE4">
      <w:start w:val="1"/>
      <w:numFmt w:val="bullet"/>
      <w:lvlText w:val=""/>
      <w:lvlJc w:val="left"/>
      <w:pPr>
        <w:tabs>
          <w:tab w:val="num" w:pos="4320"/>
        </w:tabs>
        <w:ind w:left="4320" w:hanging="360"/>
      </w:pPr>
      <w:rPr>
        <w:rFonts w:ascii="Wingdings" w:hAnsi="Wingdings"/>
      </w:rPr>
    </w:lvl>
    <w:lvl w:ilvl="6" w:tplc="3738C4F4">
      <w:start w:val="1"/>
      <w:numFmt w:val="bullet"/>
      <w:lvlText w:val=""/>
      <w:lvlJc w:val="left"/>
      <w:pPr>
        <w:tabs>
          <w:tab w:val="num" w:pos="5040"/>
        </w:tabs>
        <w:ind w:left="5040" w:hanging="360"/>
      </w:pPr>
      <w:rPr>
        <w:rFonts w:ascii="Symbol" w:hAnsi="Symbol"/>
      </w:rPr>
    </w:lvl>
    <w:lvl w:ilvl="7" w:tplc="527022EE">
      <w:start w:val="1"/>
      <w:numFmt w:val="bullet"/>
      <w:lvlText w:val="o"/>
      <w:lvlJc w:val="left"/>
      <w:pPr>
        <w:tabs>
          <w:tab w:val="num" w:pos="5760"/>
        </w:tabs>
        <w:ind w:left="5760" w:hanging="360"/>
      </w:pPr>
      <w:rPr>
        <w:rFonts w:ascii="Courier New" w:hAnsi="Courier New"/>
      </w:rPr>
    </w:lvl>
    <w:lvl w:ilvl="8" w:tplc="855C7882">
      <w:start w:val="1"/>
      <w:numFmt w:val="bullet"/>
      <w:lvlText w:val=""/>
      <w:lvlJc w:val="left"/>
      <w:pPr>
        <w:tabs>
          <w:tab w:val="num" w:pos="6480"/>
        </w:tabs>
        <w:ind w:left="6480" w:hanging="360"/>
      </w:pPr>
      <w:rPr>
        <w:rFonts w:ascii="Wingdings" w:hAnsi="Wingdings"/>
      </w:rPr>
    </w:lvl>
  </w:abstractNum>
  <w:abstractNum w:abstractNumId="249" w15:restartNumberingAfterBreak="0">
    <w:nsid w:val="722305BB"/>
    <w:multiLevelType w:val="hybridMultilevel"/>
    <w:tmpl w:val="722305BB"/>
    <w:lvl w:ilvl="0" w:tplc="77DA4FC6">
      <w:start w:val="1"/>
      <w:numFmt w:val="bullet"/>
      <w:lvlText w:val=""/>
      <w:lvlJc w:val="left"/>
      <w:pPr>
        <w:ind w:left="720" w:hanging="360"/>
      </w:pPr>
      <w:rPr>
        <w:rFonts w:ascii="Symbol" w:hAnsi="Symbol"/>
      </w:rPr>
    </w:lvl>
    <w:lvl w:ilvl="1" w:tplc="E068A566">
      <w:start w:val="1"/>
      <w:numFmt w:val="bullet"/>
      <w:lvlText w:val="o"/>
      <w:lvlJc w:val="left"/>
      <w:pPr>
        <w:tabs>
          <w:tab w:val="num" w:pos="1440"/>
        </w:tabs>
        <w:ind w:left="1440" w:hanging="360"/>
      </w:pPr>
      <w:rPr>
        <w:rFonts w:ascii="Courier New" w:hAnsi="Courier New"/>
      </w:rPr>
    </w:lvl>
    <w:lvl w:ilvl="2" w:tplc="D7D46E52">
      <w:start w:val="1"/>
      <w:numFmt w:val="bullet"/>
      <w:lvlText w:val=""/>
      <w:lvlJc w:val="left"/>
      <w:pPr>
        <w:tabs>
          <w:tab w:val="num" w:pos="2160"/>
        </w:tabs>
        <w:ind w:left="2160" w:hanging="360"/>
      </w:pPr>
      <w:rPr>
        <w:rFonts w:ascii="Wingdings" w:hAnsi="Wingdings"/>
      </w:rPr>
    </w:lvl>
    <w:lvl w:ilvl="3" w:tplc="CFB4C0EA">
      <w:start w:val="1"/>
      <w:numFmt w:val="bullet"/>
      <w:lvlText w:val=""/>
      <w:lvlJc w:val="left"/>
      <w:pPr>
        <w:tabs>
          <w:tab w:val="num" w:pos="2880"/>
        </w:tabs>
        <w:ind w:left="2880" w:hanging="360"/>
      </w:pPr>
      <w:rPr>
        <w:rFonts w:ascii="Symbol" w:hAnsi="Symbol"/>
      </w:rPr>
    </w:lvl>
    <w:lvl w:ilvl="4" w:tplc="76147BDC">
      <w:start w:val="1"/>
      <w:numFmt w:val="bullet"/>
      <w:lvlText w:val="o"/>
      <w:lvlJc w:val="left"/>
      <w:pPr>
        <w:tabs>
          <w:tab w:val="num" w:pos="3600"/>
        </w:tabs>
        <w:ind w:left="3600" w:hanging="360"/>
      </w:pPr>
      <w:rPr>
        <w:rFonts w:ascii="Courier New" w:hAnsi="Courier New"/>
      </w:rPr>
    </w:lvl>
    <w:lvl w:ilvl="5" w:tplc="27CC4902">
      <w:start w:val="1"/>
      <w:numFmt w:val="bullet"/>
      <w:lvlText w:val=""/>
      <w:lvlJc w:val="left"/>
      <w:pPr>
        <w:tabs>
          <w:tab w:val="num" w:pos="4320"/>
        </w:tabs>
        <w:ind w:left="4320" w:hanging="360"/>
      </w:pPr>
      <w:rPr>
        <w:rFonts w:ascii="Wingdings" w:hAnsi="Wingdings"/>
      </w:rPr>
    </w:lvl>
    <w:lvl w:ilvl="6" w:tplc="3C1EB53C">
      <w:start w:val="1"/>
      <w:numFmt w:val="bullet"/>
      <w:lvlText w:val=""/>
      <w:lvlJc w:val="left"/>
      <w:pPr>
        <w:tabs>
          <w:tab w:val="num" w:pos="5040"/>
        </w:tabs>
        <w:ind w:left="5040" w:hanging="360"/>
      </w:pPr>
      <w:rPr>
        <w:rFonts w:ascii="Symbol" w:hAnsi="Symbol"/>
      </w:rPr>
    </w:lvl>
    <w:lvl w:ilvl="7" w:tplc="6FBA9FE8">
      <w:start w:val="1"/>
      <w:numFmt w:val="bullet"/>
      <w:lvlText w:val="o"/>
      <w:lvlJc w:val="left"/>
      <w:pPr>
        <w:tabs>
          <w:tab w:val="num" w:pos="5760"/>
        </w:tabs>
        <w:ind w:left="5760" w:hanging="360"/>
      </w:pPr>
      <w:rPr>
        <w:rFonts w:ascii="Courier New" w:hAnsi="Courier New"/>
      </w:rPr>
    </w:lvl>
    <w:lvl w:ilvl="8" w:tplc="1EF60D1A">
      <w:start w:val="1"/>
      <w:numFmt w:val="bullet"/>
      <w:lvlText w:val=""/>
      <w:lvlJc w:val="left"/>
      <w:pPr>
        <w:tabs>
          <w:tab w:val="num" w:pos="6480"/>
        </w:tabs>
        <w:ind w:left="6480" w:hanging="360"/>
      </w:pPr>
      <w:rPr>
        <w:rFonts w:ascii="Wingdings" w:hAnsi="Wingdings"/>
      </w:rPr>
    </w:lvl>
  </w:abstractNum>
  <w:abstractNum w:abstractNumId="250" w15:restartNumberingAfterBreak="0">
    <w:nsid w:val="722305BC"/>
    <w:multiLevelType w:val="hybridMultilevel"/>
    <w:tmpl w:val="722305BC"/>
    <w:lvl w:ilvl="0" w:tplc="AD482DBA">
      <w:start w:val="1"/>
      <w:numFmt w:val="bullet"/>
      <w:lvlText w:val=""/>
      <w:lvlJc w:val="left"/>
      <w:pPr>
        <w:ind w:left="720" w:hanging="360"/>
      </w:pPr>
      <w:rPr>
        <w:rFonts w:ascii="Symbol" w:hAnsi="Symbol"/>
      </w:rPr>
    </w:lvl>
    <w:lvl w:ilvl="1" w:tplc="BC56B44E">
      <w:start w:val="1"/>
      <w:numFmt w:val="bullet"/>
      <w:lvlText w:val="o"/>
      <w:lvlJc w:val="left"/>
      <w:pPr>
        <w:ind w:left="1440" w:hanging="360"/>
      </w:pPr>
      <w:rPr>
        <w:rFonts w:ascii="Courier New" w:hAnsi="Courier New"/>
      </w:rPr>
    </w:lvl>
    <w:lvl w:ilvl="2" w:tplc="BAFCCAA8">
      <w:start w:val="1"/>
      <w:numFmt w:val="bullet"/>
      <w:lvlText w:val=""/>
      <w:lvlJc w:val="left"/>
      <w:pPr>
        <w:tabs>
          <w:tab w:val="num" w:pos="2160"/>
        </w:tabs>
        <w:ind w:left="2160" w:hanging="360"/>
      </w:pPr>
      <w:rPr>
        <w:rFonts w:ascii="Wingdings" w:hAnsi="Wingdings"/>
      </w:rPr>
    </w:lvl>
    <w:lvl w:ilvl="3" w:tplc="12606408">
      <w:start w:val="1"/>
      <w:numFmt w:val="bullet"/>
      <w:lvlText w:val=""/>
      <w:lvlJc w:val="left"/>
      <w:pPr>
        <w:tabs>
          <w:tab w:val="num" w:pos="2880"/>
        </w:tabs>
        <w:ind w:left="2880" w:hanging="360"/>
      </w:pPr>
      <w:rPr>
        <w:rFonts w:ascii="Symbol" w:hAnsi="Symbol"/>
      </w:rPr>
    </w:lvl>
    <w:lvl w:ilvl="4" w:tplc="E21CE53E">
      <w:start w:val="1"/>
      <w:numFmt w:val="bullet"/>
      <w:lvlText w:val="o"/>
      <w:lvlJc w:val="left"/>
      <w:pPr>
        <w:tabs>
          <w:tab w:val="num" w:pos="3600"/>
        </w:tabs>
        <w:ind w:left="3600" w:hanging="360"/>
      </w:pPr>
      <w:rPr>
        <w:rFonts w:ascii="Courier New" w:hAnsi="Courier New"/>
      </w:rPr>
    </w:lvl>
    <w:lvl w:ilvl="5" w:tplc="2F08A306">
      <w:start w:val="1"/>
      <w:numFmt w:val="bullet"/>
      <w:lvlText w:val=""/>
      <w:lvlJc w:val="left"/>
      <w:pPr>
        <w:tabs>
          <w:tab w:val="num" w:pos="4320"/>
        </w:tabs>
        <w:ind w:left="4320" w:hanging="360"/>
      </w:pPr>
      <w:rPr>
        <w:rFonts w:ascii="Wingdings" w:hAnsi="Wingdings"/>
      </w:rPr>
    </w:lvl>
    <w:lvl w:ilvl="6" w:tplc="CAD85A80">
      <w:start w:val="1"/>
      <w:numFmt w:val="bullet"/>
      <w:lvlText w:val=""/>
      <w:lvlJc w:val="left"/>
      <w:pPr>
        <w:tabs>
          <w:tab w:val="num" w:pos="5040"/>
        </w:tabs>
        <w:ind w:left="5040" w:hanging="360"/>
      </w:pPr>
      <w:rPr>
        <w:rFonts w:ascii="Symbol" w:hAnsi="Symbol"/>
      </w:rPr>
    </w:lvl>
    <w:lvl w:ilvl="7" w:tplc="3208BC68">
      <w:start w:val="1"/>
      <w:numFmt w:val="bullet"/>
      <w:lvlText w:val="o"/>
      <w:lvlJc w:val="left"/>
      <w:pPr>
        <w:tabs>
          <w:tab w:val="num" w:pos="5760"/>
        </w:tabs>
        <w:ind w:left="5760" w:hanging="360"/>
      </w:pPr>
      <w:rPr>
        <w:rFonts w:ascii="Courier New" w:hAnsi="Courier New"/>
      </w:rPr>
    </w:lvl>
    <w:lvl w:ilvl="8" w:tplc="6B44A0EE">
      <w:start w:val="1"/>
      <w:numFmt w:val="bullet"/>
      <w:lvlText w:val=""/>
      <w:lvlJc w:val="left"/>
      <w:pPr>
        <w:tabs>
          <w:tab w:val="num" w:pos="6480"/>
        </w:tabs>
        <w:ind w:left="6480" w:hanging="360"/>
      </w:pPr>
      <w:rPr>
        <w:rFonts w:ascii="Wingdings" w:hAnsi="Wingdings"/>
      </w:rPr>
    </w:lvl>
  </w:abstractNum>
  <w:abstractNum w:abstractNumId="251" w15:restartNumberingAfterBreak="0">
    <w:nsid w:val="722305BD"/>
    <w:multiLevelType w:val="hybridMultilevel"/>
    <w:tmpl w:val="722305BD"/>
    <w:lvl w:ilvl="0" w:tplc="F8DE17DC">
      <w:start w:val="1"/>
      <w:numFmt w:val="bullet"/>
      <w:lvlText w:val=""/>
      <w:lvlJc w:val="left"/>
      <w:pPr>
        <w:ind w:left="720" w:hanging="360"/>
      </w:pPr>
      <w:rPr>
        <w:rFonts w:ascii="Symbol" w:hAnsi="Symbol"/>
      </w:rPr>
    </w:lvl>
    <w:lvl w:ilvl="1" w:tplc="CDA4A746">
      <w:start w:val="1"/>
      <w:numFmt w:val="bullet"/>
      <w:lvlText w:val="o"/>
      <w:lvlJc w:val="left"/>
      <w:pPr>
        <w:tabs>
          <w:tab w:val="num" w:pos="1440"/>
        </w:tabs>
        <w:ind w:left="1440" w:hanging="360"/>
      </w:pPr>
      <w:rPr>
        <w:rFonts w:ascii="Courier New" w:hAnsi="Courier New"/>
      </w:rPr>
    </w:lvl>
    <w:lvl w:ilvl="2" w:tplc="B948AAAE">
      <w:start w:val="1"/>
      <w:numFmt w:val="bullet"/>
      <w:lvlText w:val=""/>
      <w:lvlJc w:val="left"/>
      <w:pPr>
        <w:tabs>
          <w:tab w:val="num" w:pos="2160"/>
        </w:tabs>
        <w:ind w:left="2160" w:hanging="360"/>
      </w:pPr>
      <w:rPr>
        <w:rFonts w:ascii="Wingdings" w:hAnsi="Wingdings"/>
      </w:rPr>
    </w:lvl>
    <w:lvl w:ilvl="3" w:tplc="496E8DD0">
      <w:start w:val="1"/>
      <w:numFmt w:val="bullet"/>
      <w:lvlText w:val=""/>
      <w:lvlJc w:val="left"/>
      <w:pPr>
        <w:tabs>
          <w:tab w:val="num" w:pos="2880"/>
        </w:tabs>
        <w:ind w:left="2880" w:hanging="360"/>
      </w:pPr>
      <w:rPr>
        <w:rFonts w:ascii="Symbol" w:hAnsi="Symbol"/>
      </w:rPr>
    </w:lvl>
    <w:lvl w:ilvl="4" w:tplc="E91A486E">
      <w:start w:val="1"/>
      <w:numFmt w:val="bullet"/>
      <w:lvlText w:val="o"/>
      <w:lvlJc w:val="left"/>
      <w:pPr>
        <w:tabs>
          <w:tab w:val="num" w:pos="3600"/>
        </w:tabs>
        <w:ind w:left="3600" w:hanging="360"/>
      </w:pPr>
      <w:rPr>
        <w:rFonts w:ascii="Courier New" w:hAnsi="Courier New"/>
      </w:rPr>
    </w:lvl>
    <w:lvl w:ilvl="5" w:tplc="2B9EB5B0">
      <w:start w:val="1"/>
      <w:numFmt w:val="bullet"/>
      <w:lvlText w:val=""/>
      <w:lvlJc w:val="left"/>
      <w:pPr>
        <w:tabs>
          <w:tab w:val="num" w:pos="4320"/>
        </w:tabs>
        <w:ind w:left="4320" w:hanging="360"/>
      </w:pPr>
      <w:rPr>
        <w:rFonts w:ascii="Wingdings" w:hAnsi="Wingdings"/>
      </w:rPr>
    </w:lvl>
    <w:lvl w:ilvl="6" w:tplc="941ED0A4">
      <w:start w:val="1"/>
      <w:numFmt w:val="bullet"/>
      <w:lvlText w:val=""/>
      <w:lvlJc w:val="left"/>
      <w:pPr>
        <w:tabs>
          <w:tab w:val="num" w:pos="5040"/>
        </w:tabs>
        <w:ind w:left="5040" w:hanging="360"/>
      </w:pPr>
      <w:rPr>
        <w:rFonts w:ascii="Symbol" w:hAnsi="Symbol"/>
      </w:rPr>
    </w:lvl>
    <w:lvl w:ilvl="7" w:tplc="D158A5F4">
      <w:start w:val="1"/>
      <w:numFmt w:val="bullet"/>
      <w:lvlText w:val="o"/>
      <w:lvlJc w:val="left"/>
      <w:pPr>
        <w:tabs>
          <w:tab w:val="num" w:pos="5760"/>
        </w:tabs>
        <w:ind w:left="5760" w:hanging="360"/>
      </w:pPr>
      <w:rPr>
        <w:rFonts w:ascii="Courier New" w:hAnsi="Courier New"/>
      </w:rPr>
    </w:lvl>
    <w:lvl w:ilvl="8" w:tplc="121E6E9A">
      <w:start w:val="1"/>
      <w:numFmt w:val="bullet"/>
      <w:lvlText w:val=""/>
      <w:lvlJc w:val="left"/>
      <w:pPr>
        <w:tabs>
          <w:tab w:val="num" w:pos="6480"/>
        </w:tabs>
        <w:ind w:left="6480" w:hanging="360"/>
      </w:pPr>
      <w:rPr>
        <w:rFonts w:ascii="Wingdings" w:hAnsi="Wingdings"/>
      </w:rPr>
    </w:lvl>
  </w:abstractNum>
  <w:abstractNum w:abstractNumId="252" w15:restartNumberingAfterBreak="0">
    <w:nsid w:val="722305BE"/>
    <w:multiLevelType w:val="hybridMultilevel"/>
    <w:tmpl w:val="722305BE"/>
    <w:lvl w:ilvl="0" w:tplc="2362E7A0">
      <w:start w:val="1"/>
      <w:numFmt w:val="bullet"/>
      <w:lvlText w:val=""/>
      <w:lvlJc w:val="left"/>
      <w:pPr>
        <w:ind w:left="720" w:hanging="360"/>
      </w:pPr>
      <w:rPr>
        <w:rFonts w:ascii="Symbol" w:hAnsi="Symbol"/>
      </w:rPr>
    </w:lvl>
    <w:lvl w:ilvl="1" w:tplc="83A6147E">
      <w:start w:val="1"/>
      <w:numFmt w:val="bullet"/>
      <w:lvlText w:val="o"/>
      <w:lvlJc w:val="left"/>
      <w:pPr>
        <w:tabs>
          <w:tab w:val="num" w:pos="1440"/>
        </w:tabs>
        <w:ind w:left="1440" w:hanging="360"/>
      </w:pPr>
      <w:rPr>
        <w:rFonts w:ascii="Courier New" w:hAnsi="Courier New"/>
      </w:rPr>
    </w:lvl>
    <w:lvl w:ilvl="2" w:tplc="66AC4CB2">
      <w:start w:val="1"/>
      <w:numFmt w:val="bullet"/>
      <w:lvlText w:val=""/>
      <w:lvlJc w:val="left"/>
      <w:pPr>
        <w:tabs>
          <w:tab w:val="num" w:pos="2160"/>
        </w:tabs>
        <w:ind w:left="2160" w:hanging="360"/>
      </w:pPr>
      <w:rPr>
        <w:rFonts w:ascii="Wingdings" w:hAnsi="Wingdings"/>
      </w:rPr>
    </w:lvl>
    <w:lvl w:ilvl="3" w:tplc="9F60BC64">
      <w:start w:val="1"/>
      <w:numFmt w:val="bullet"/>
      <w:lvlText w:val=""/>
      <w:lvlJc w:val="left"/>
      <w:pPr>
        <w:tabs>
          <w:tab w:val="num" w:pos="2880"/>
        </w:tabs>
        <w:ind w:left="2880" w:hanging="360"/>
      </w:pPr>
      <w:rPr>
        <w:rFonts w:ascii="Symbol" w:hAnsi="Symbol"/>
      </w:rPr>
    </w:lvl>
    <w:lvl w:ilvl="4" w:tplc="F29CCCCC">
      <w:start w:val="1"/>
      <w:numFmt w:val="bullet"/>
      <w:lvlText w:val="o"/>
      <w:lvlJc w:val="left"/>
      <w:pPr>
        <w:tabs>
          <w:tab w:val="num" w:pos="3600"/>
        </w:tabs>
        <w:ind w:left="3600" w:hanging="360"/>
      </w:pPr>
      <w:rPr>
        <w:rFonts w:ascii="Courier New" w:hAnsi="Courier New"/>
      </w:rPr>
    </w:lvl>
    <w:lvl w:ilvl="5" w:tplc="6A8E5A40">
      <w:start w:val="1"/>
      <w:numFmt w:val="bullet"/>
      <w:lvlText w:val=""/>
      <w:lvlJc w:val="left"/>
      <w:pPr>
        <w:tabs>
          <w:tab w:val="num" w:pos="4320"/>
        </w:tabs>
        <w:ind w:left="4320" w:hanging="360"/>
      </w:pPr>
      <w:rPr>
        <w:rFonts w:ascii="Wingdings" w:hAnsi="Wingdings"/>
      </w:rPr>
    </w:lvl>
    <w:lvl w:ilvl="6" w:tplc="D4821BB4">
      <w:start w:val="1"/>
      <w:numFmt w:val="bullet"/>
      <w:lvlText w:val=""/>
      <w:lvlJc w:val="left"/>
      <w:pPr>
        <w:tabs>
          <w:tab w:val="num" w:pos="5040"/>
        </w:tabs>
        <w:ind w:left="5040" w:hanging="360"/>
      </w:pPr>
      <w:rPr>
        <w:rFonts w:ascii="Symbol" w:hAnsi="Symbol"/>
      </w:rPr>
    </w:lvl>
    <w:lvl w:ilvl="7" w:tplc="21DA04A4">
      <w:start w:val="1"/>
      <w:numFmt w:val="bullet"/>
      <w:lvlText w:val="o"/>
      <w:lvlJc w:val="left"/>
      <w:pPr>
        <w:tabs>
          <w:tab w:val="num" w:pos="5760"/>
        </w:tabs>
        <w:ind w:left="5760" w:hanging="360"/>
      </w:pPr>
      <w:rPr>
        <w:rFonts w:ascii="Courier New" w:hAnsi="Courier New"/>
      </w:rPr>
    </w:lvl>
    <w:lvl w:ilvl="8" w:tplc="48D6C088">
      <w:start w:val="1"/>
      <w:numFmt w:val="bullet"/>
      <w:lvlText w:val=""/>
      <w:lvlJc w:val="left"/>
      <w:pPr>
        <w:tabs>
          <w:tab w:val="num" w:pos="6480"/>
        </w:tabs>
        <w:ind w:left="6480" w:hanging="360"/>
      </w:pPr>
      <w:rPr>
        <w:rFonts w:ascii="Wingdings" w:hAnsi="Wingdings"/>
      </w:rPr>
    </w:lvl>
  </w:abstractNum>
  <w:abstractNum w:abstractNumId="253" w15:restartNumberingAfterBreak="0">
    <w:nsid w:val="722305BF"/>
    <w:multiLevelType w:val="hybridMultilevel"/>
    <w:tmpl w:val="722305BF"/>
    <w:lvl w:ilvl="0" w:tplc="C6265902">
      <w:start w:val="1"/>
      <w:numFmt w:val="bullet"/>
      <w:lvlText w:val=""/>
      <w:lvlJc w:val="left"/>
      <w:pPr>
        <w:ind w:left="720" w:hanging="360"/>
      </w:pPr>
      <w:rPr>
        <w:rFonts w:ascii="Symbol" w:hAnsi="Symbol"/>
      </w:rPr>
    </w:lvl>
    <w:lvl w:ilvl="1" w:tplc="1B2823EA">
      <w:start w:val="1"/>
      <w:numFmt w:val="bullet"/>
      <w:lvlText w:val="o"/>
      <w:lvlJc w:val="left"/>
      <w:pPr>
        <w:tabs>
          <w:tab w:val="num" w:pos="1440"/>
        </w:tabs>
        <w:ind w:left="1440" w:hanging="360"/>
      </w:pPr>
      <w:rPr>
        <w:rFonts w:ascii="Courier New" w:hAnsi="Courier New"/>
      </w:rPr>
    </w:lvl>
    <w:lvl w:ilvl="2" w:tplc="551A3D3C">
      <w:start w:val="1"/>
      <w:numFmt w:val="bullet"/>
      <w:lvlText w:val=""/>
      <w:lvlJc w:val="left"/>
      <w:pPr>
        <w:tabs>
          <w:tab w:val="num" w:pos="2160"/>
        </w:tabs>
        <w:ind w:left="2160" w:hanging="360"/>
      </w:pPr>
      <w:rPr>
        <w:rFonts w:ascii="Wingdings" w:hAnsi="Wingdings"/>
      </w:rPr>
    </w:lvl>
    <w:lvl w:ilvl="3" w:tplc="9C2CAFA6">
      <w:start w:val="1"/>
      <w:numFmt w:val="bullet"/>
      <w:lvlText w:val=""/>
      <w:lvlJc w:val="left"/>
      <w:pPr>
        <w:tabs>
          <w:tab w:val="num" w:pos="2880"/>
        </w:tabs>
        <w:ind w:left="2880" w:hanging="360"/>
      </w:pPr>
      <w:rPr>
        <w:rFonts w:ascii="Symbol" w:hAnsi="Symbol"/>
      </w:rPr>
    </w:lvl>
    <w:lvl w:ilvl="4" w:tplc="F20AF0AA">
      <w:start w:val="1"/>
      <w:numFmt w:val="bullet"/>
      <w:lvlText w:val="o"/>
      <w:lvlJc w:val="left"/>
      <w:pPr>
        <w:tabs>
          <w:tab w:val="num" w:pos="3600"/>
        </w:tabs>
        <w:ind w:left="3600" w:hanging="360"/>
      </w:pPr>
      <w:rPr>
        <w:rFonts w:ascii="Courier New" w:hAnsi="Courier New"/>
      </w:rPr>
    </w:lvl>
    <w:lvl w:ilvl="5" w:tplc="4690829E">
      <w:start w:val="1"/>
      <w:numFmt w:val="bullet"/>
      <w:lvlText w:val=""/>
      <w:lvlJc w:val="left"/>
      <w:pPr>
        <w:tabs>
          <w:tab w:val="num" w:pos="4320"/>
        </w:tabs>
        <w:ind w:left="4320" w:hanging="360"/>
      </w:pPr>
      <w:rPr>
        <w:rFonts w:ascii="Wingdings" w:hAnsi="Wingdings"/>
      </w:rPr>
    </w:lvl>
    <w:lvl w:ilvl="6" w:tplc="57C23408">
      <w:start w:val="1"/>
      <w:numFmt w:val="bullet"/>
      <w:lvlText w:val=""/>
      <w:lvlJc w:val="left"/>
      <w:pPr>
        <w:tabs>
          <w:tab w:val="num" w:pos="5040"/>
        </w:tabs>
        <w:ind w:left="5040" w:hanging="360"/>
      </w:pPr>
      <w:rPr>
        <w:rFonts w:ascii="Symbol" w:hAnsi="Symbol"/>
      </w:rPr>
    </w:lvl>
    <w:lvl w:ilvl="7" w:tplc="946C5F8A">
      <w:start w:val="1"/>
      <w:numFmt w:val="bullet"/>
      <w:lvlText w:val="o"/>
      <w:lvlJc w:val="left"/>
      <w:pPr>
        <w:tabs>
          <w:tab w:val="num" w:pos="5760"/>
        </w:tabs>
        <w:ind w:left="5760" w:hanging="360"/>
      </w:pPr>
      <w:rPr>
        <w:rFonts w:ascii="Courier New" w:hAnsi="Courier New"/>
      </w:rPr>
    </w:lvl>
    <w:lvl w:ilvl="8" w:tplc="9C921FC6">
      <w:start w:val="1"/>
      <w:numFmt w:val="bullet"/>
      <w:lvlText w:val=""/>
      <w:lvlJc w:val="left"/>
      <w:pPr>
        <w:tabs>
          <w:tab w:val="num" w:pos="6480"/>
        </w:tabs>
        <w:ind w:left="6480" w:hanging="360"/>
      </w:pPr>
      <w:rPr>
        <w:rFonts w:ascii="Wingdings" w:hAnsi="Wingdings"/>
      </w:rPr>
    </w:lvl>
  </w:abstractNum>
  <w:abstractNum w:abstractNumId="254" w15:restartNumberingAfterBreak="0">
    <w:nsid w:val="722305C0"/>
    <w:multiLevelType w:val="hybridMultilevel"/>
    <w:tmpl w:val="722305C0"/>
    <w:lvl w:ilvl="0" w:tplc="BC8010EE">
      <w:start w:val="1"/>
      <w:numFmt w:val="bullet"/>
      <w:lvlText w:val=""/>
      <w:lvlJc w:val="left"/>
      <w:pPr>
        <w:ind w:left="720" w:hanging="360"/>
      </w:pPr>
      <w:rPr>
        <w:rFonts w:ascii="Symbol" w:hAnsi="Symbol"/>
      </w:rPr>
    </w:lvl>
    <w:lvl w:ilvl="1" w:tplc="C172EBC0">
      <w:start w:val="1"/>
      <w:numFmt w:val="bullet"/>
      <w:lvlText w:val="o"/>
      <w:lvlJc w:val="left"/>
      <w:pPr>
        <w:tabs>
          <w:tab w:val="num" w:pos="1440"/>
        </w:tabs>
        <w:ind w:left="1440" w:hanging="360"/>
      </w:pPr>
      <w:rPr>
        <w:rFonts w:ascii="Courier New" w:hAnsi="Courier New"/>
      </w:rPr>
    </w:lvl>
    <w:lvl w:ilvl="2" w:tplc="C6FEB3C8">
      <w:start w:val="1"/>
      <w:numFmt w:val="bullet"/>
      <w:lvlText w:val=""/>
      <w:lvlJc w:val="left"/>
      <w:pPr>
        <w:tabs>
          <w:tab w:val="num" w:pos="2160"/>
        </w:tabs>
        <w:ind w:left="2160" w:hanging="360"/>
      </w:pPr>
      <w:rPr>
        <w:rFonts w:ascii="Wingdings" w:hAnsi="Wingdings"/>
      </w:rPr>
    </w:lvl>
    <w:lvl w:ilvl="3" w:tplc="7A62874A">
      <w:start w:val="1"/>
      <w:numFmt w:val="bullet"/>
      <w:lvlText w:val=""/>
      <w:lvlJc w:val="left"/>
      <w:pPr>
        <w:tabs>
          <w:tab w:val="num" w:pos="2880"/>
        </w:tabs>
        <w:ind w:left="2880" w:hanging="360"/>
      </w:pPr>
      <w:rPr>
        <w:rFonts w:ascii="Symbol" w:hAnsi="Symbol"/>
      </w:rPr>
    </w:lvl>
    <w:lvl w:ilvl="4" w:tplc="95B6D784">
      <w:start w:val="1"/>
      <w:numFmt w:val="bullet"/>
      <w:lvlText w:val="o"/>
      <w:lvlJc w:val="left"/>
      <w:pPr>
        <w:tabs>
          <w:tab w:val="num" w:pos="3600"/>
        </w:tabs>
        <w:ind w:left="3600" w:hanging="360"/>
      </w:pPr>
      <w:rPr>
        <w:rFonts w:ascii="Courier New" w:hAnsi="Courier New"/>
      </w:rPr>
    </w:lvl>
    <w:lvl w:ilvl="5" w:tplc="6C78D5F8">
      <w:start w:val="1"/>
      <w:numFmt w:val="bullet"/>
      <w:lvlText w:val=""/>
      <w:lvlJc w:val="left"/>
      <w:pPr>
        <w:tabs>
          <w:tab w:val="num" w:pos="4320"/>
        </w:tabs>
        <w:ind w:left="4320" w:hanging="360"/>
      </w:pPr>
      <w:rPr>
        <w:rFonts w:ascii="Wingdings" w:hAnsi="Wingdings"/>
      </w:rPr>
    </w:lvl>
    <w:lvl w:ilvl="6" w:tplc="2FB816CA">
      <w:start w:val="1"/>
      <w:numFmt w:val="bullet"/>
      <w:lvlText w:val=""/>
      <w:lvlJc w:val="left"/>
      <w:pPr>
        <w:tabs>
          <w:tab w:val="num" w:pos="5040"/>
        </w:tabs>
        <w:ind w:left="5040" w:hanging="360"/>
      </w:pPr>
      <w:rPr>
        <w:rFonts w:ascii="Symbol" w:hAnsi="Symbol"/>
      </w:rPr>
    </w:lvl>
    <w:lvl w:ilvl="7" w:tplc="B3B48B5E">
      <w:start w:val="1"/>
      <w:numFmt w:val="bullet"/>
      <w:lvlText w:val="o"/>
      <w:lvlJc w:val="left"/>
      <w:pPr>
        <w:tabs>
          <w:tab w:val="num" w:pos="5760"/>
        </w:tabs>
        <w:ind w:left="5760" w:hanging="360"/>
      </w:pPr>
      <w:rPr>
        <w:rFonts w:ascii="Courier New" w:hAnsi="Courier New"/>
      </w:rPr>
    </w:lvl>
    <w:lvl w:ilvl="8" w:tplc="282EF410">
      <w:start w:val="1"/>
      <w:numFmt w:val="bullet"/>
      <w:lvlText w:val=""/>
      <w:lvlJc w:val="left"/>
      <w:pPr>
        <w:tabs>
          <w:tab w:val="num" w:pos="6480"/>
        </w:tabs>
        <w:ind w:left="6480" w:hanging="360"/>
      </w:pPr>
      <w:rPr>
        <w:rFonts w:ascii="Wingdings" w:hAnsi="Wingdings"/>
      </w:rPr>
    </w:lvl>
  </w:abstractNum>
  <w:abstractNum w:abstractNumId="255" w15:restartNumberingAfterBreak="0">
    <w:nsid w:val="722305C1"/>
    <w:multiLevelType w:val="hybridMultilevel"/>
    <w:tmpl w:val="722305C1"/>
    <w:lvl w:ilvl="0" w:tplc="F43061E6">
      <w:start w:val="1"/>
      <w:numFmt w:val="bullet"/>
      <w:lvlText w:val=""/>
      <w:lvlJc w:val="left"/>
      <w:pPr>
        <w:ind w:left="720" w:hanging="360"/>
      </w:pPr>
      <w:rPr>
        <w:rFonts w:ascii="Symbol" w:hAnsi="Symbol"/>
      </w:rPr>
    </w:lvl>
    <w:lvl w:ilvl="1" w:tplc="43F22D40">
      <w:start w:val="1"/>
      <w:numFmt w:val="bullet"/>
      <w:lvlText w:val="o"/>
      <w:lvlJc w:val="left"/>
      <w:pPr>
        <w:ind w:left="1440" w:hanging="360"/>
      </w:pPr>
      <w:rPr>
        <w:rFonts w:ascii="Courier New" w:hAnsi="Courier New"/>
      </w:rPr>
    </w:lvl>
    <w:lvl w:ilvl="2" w:tplc="4414207A">
      <w:start w:val="1"/>
      <w:numFmt w:val="bullet"/>
      <w:lvlText w:val=""/>
      <w:lvlJc w:val="left"/>
      <w:pPr>
        <w:tabs>
          <w:tab w:val="num" w:pos="2160"/>
        </w:tabs>
        <w:ind w:left="2160" w:hanging="360"/>
      </w:pPr>
      <w:rPr>
        <w:rFonts w:ascii="Wingdings" w:hAnsi="Wingdings"/>
      </w:rPr>
    </w:lvl>
    <w:lvl w:ilvl="3" w:tplc="68248284">
      <w:start w:val="1"/>
      <w:numFmt w:val="bullet"/>
      <w:lvlText w:val=""/>
      <w:lvlJc w:val="left"/>
      <w:pPr>
        <w:tabs>
          <w:tab w:val="num" w:pos="2880"/>
        </w:tabs>
        <w:ind w:left="2880" w:hanging="360"/>
      </w:pPr>
      <w:rPr>
        <w:rFonts w:ascii="Symbol" w:hAnsi="Symbol"/>
      </w:rPr>
    </w:lvl>
    <w:lvl w:ilvl="4" w:tplc="9182ABAE">
      <w:start w:val="1"/>
      <w:numFmt w:val="bullet"/>
      <w:lvlText w:val="o"/>
      <w:lvlJc w:val="left"/>
      <w:pPr>
        <w:tabs>
          <w:tab w:val="num" w:pos="3600"/>
        </w:tabs>
        <w:ind w:left="3600" w:hanging="360"/>
      </w:pPr>
      <w:rPr>
        <w:rFonts w:ascii="Courier New" w:hAnsi="Courier New"/>
      </w:rPr>
    </w:lvl>
    <w:lvl w:ilvl="5" w:tplc="A008F4C4">
      <w:start w:val="1"/>
      <w:numFmt w:val="bullet"/>
      <w:lvlText w:val=""/>
      <w:lvlJc w:val="left"/>
      <w:pPr>
        <w:tabs>
          <w:tab w:val="num" w:pos="4320"/>
        </w:tabs>
        <w:ind w:left="4320" w:hanging="360"/>
      </w:pPr>
      <w:rPr>
        <w:rFonts w:ascii="Wingdings" w:hAnsi="Wingdings"/>
      </w:rPr>
    </w:lvl>
    <w:lvl w:ilvl="6" w:tplc="B720C9BE">
      <w:start w:val="1"/>
      <w:numFmt w:val="bullet"/>
      <w:lvlText w:val=""/>
      <w:lvlJc w:val="left"/>
      <w:pPr>
        <w:tabs>
          <w:tab w:val="num" w:pos="5040"/>
        </w:tabs>
        <w:ind w:left="5040" w:hanging="360"/>
      </w:pPr>
      <w:rPr>
        <w:rFonts w:ascii="Symbol" w:hAnsi="Symbol"/>
      </w:rPr>
    </w:lvl>
    <w:lvl w:ilvl="7" w:tplc="388A5120">
      <w:start w:val="1"/>
      <w:numFmt w:val="bullet"/>
      <w:lvlText w:val="o"/>
      <w:lvlJc w:val="left"/>
      <w:pPr>
        <w:tabs>
          <w:tab w:val="num" w:pos="5760"/>
        </w:tabs>
        <w:ind w:left="5760" w:hanging="360"/>
      </w:pPr>
      <w:rPr>
        <w:rFonts w:ascii="Courier New" w:hAnsi="Courier New"/>
      </w:rPr>
    </w:lvl>
    <w:lvl w:ilvl="8" w:tplc="8B5CC41E">
      <w:start w:val="1"/>
      <w:numFmt w:val="bullet"/>
      <w:lvlText w:val=""/>
      <w:lvlJc w:val="left"/>
      <w:pPr>
        <w:tabs>
          <w:tab w:val="num" w:pos="6480"/>
        </w:tabs>
        <w:ind w:left="6480" w:hanging="360"/>
      </w:pPr>
      <w:rPr>
        <w:rFonts w:ascii="Wingdings" w:hAnsi="Wingdings"/>
      </w:rPr>
    </w:lvl>
  </w:abstractNum>
  <w:abstractNum w:abstractNumId="256" w15:restartNumberingAfterBreak="0">
    <w:nsid w:val="722305C2"/>
    <w:multiLevelType w:val="hybridMultilevel"/>
    <w:tmpl w:val="722305C2"/>
    <w:lvl w:ilvl="0" w:tplc="659202C4">
      <w:start w:val="1"/>
      <w:numFmt w:val="bullet"/>
      <w:lvlText w:val=""/>
      <w:lvlJc w:val="left"/>
      <w:pPr>
        <w:ind w:left="720" w:hanging="360"/>
      </w:pPr>
      <w:rPr>
        <w:rFonts w:ascii="Symbol" w:hAnsi="Symbol"/>
      </w:rPr>
    </w:lvl>
    <w:lvl w:ilvl="1" w:tplc="88EAF7D4">
      <w:start w:val="1"/>
      <w:numFmt w:val="bullet"/>
      <w:lvlText w:val="o"/>
      <w:lvlJc w:val="left"/>
      <w:pPr>
        <w:tabs>
          <w:tab w:val="num" w:pos="1440"/>
        </w:tabs>
        <w:ind w:left="1440" w:hanging="360"/>
      </w:pPr>
      <w:rPr>
        <w:rFonts w:ascii="Courier New" w:hAnsi="Courier New"/>
      </w:rPr>
    </w:lvl>
    <w:lvl w:ilvl="2" w:tplc="31D2A662">
      <w:start w:val="1"/>
      <w:numFmt w:val="bullet"/>
      <w:lvlText w:val=""/>
      <w:lvlJc w:val="left"/>
      <w:pPr>
        <w:tabs>
          <w:tab w:val="num" w:pos="2160"/>
        </w:tabs>
        <w:ind w:left="2160" w:hanging="360"/>
      </w:pPr>
      <w:rPr>
        <w:rFonts w:ascii="Wingdings" w:hAnsi="Wingdings"/>
      </w:rPr>
    </w:lvl>
    <w:lvl w:ilvl="3" w:tplc="7F5A2330">
      <w:start w:val="1"/>
      <w:numFmt w:val="bullet"/>
      <w:lvlText w:val=""/>
      <w:lvlJc w:val="left"/>
      <w:pPr>
        <w:tabs>
          <w:tab w:val="num" w:pos="2880"/>
        </w:tabs>
        <w:ind w:left="2880" w:hanging="360"/>
      </w:pPr>
      <w:rPr>
        <w:rFonts w:ascii="Symbol" w:hAnsi="Symbol"/>
      </w:rPr>
    </w:lvl>
    <w:lvl w:ilvl="4" w:tplc="6634720A">
      <w:start w:val="1"/>
      <w:numFmt w:val="bullet"/>
      <w:lvlText w:val="o"/>
      <w:lvlJc w:val="left"/>
      <w:pPr>
        <w:tabs>
          <w:tab w:val="num" w:pos="3600"/>
        </w:tabs>
        <w:ind w:left="3600" w:hanging="360"/>
      </w:pPr>
      <w:rPr>
        <w:rFonts w:ascii="Courier New" w:hAnsi="Courier New"/>
      </w:rPr>
    </w:lvl>
    <w:lvl w:ilvl="5" w:tplc="429EFCE8">
      <w:start w:val="1"/>
      <w:numFmt w:val="bullet"/>
      <w:lvlText w:val=""/>
      <w:lvlJc w:val="left"/>
      <w:pPr>
        <w:tabs>
          <w:tab w:val="num" w:pos="4320"/>
        </w:tabs>
        <w:ind w:left="4320" w:hanging="360"/>
      </w:pPr>
      <w:rPr>
        <w:rFonts w:ascii="Wingdings" w:hAnsi="Wingdings"/>
      </w:rPr>
    </w:lvl>
    <w:lvl w:ilvl="6" w:tplc="09BCD9C8">
      <w:start w:val="1"/>
      <w:numFmt w:val="bullet"/>
      <w:lvlText w:val=""/>
      <w:lvlJc w:val="left"/>
      <w:pPr>
        <w:tabs>
          <w:tab w:val="num" w:pos="5040"/>
        </w:tabs>
        <w:ind w:left="5040" w:hanging="360"/>
      </w:pPr>
      <w:rPr>
        <w:rFonts w:ascii="Symbol" w:hAnsi="Symbol"/>
      </w:rPr>
    </w:lvl>
    <w:lvl w:ilvl="7" w:tplc="72AA73EE">
      <w:start w:val="1"/>
      <w:numFmt w:val="bullet"/>
      <w:lvlText w:val="o"/>
      <w:lvlJc w:val="left"/>
      <w:pPr>
        <w:tabs>
          <w:tab w:val="num" w:pos="5760"/>
        </w:tabs>
        <w:ind w:left="5760" w:hanging="360"/>
      </w:pPr>
      <w:rPr>
        <w:rFonts w:ascii="Courier New" w:hAnsi="Courier New"/>
      </w:rPr>
    </w:lvl>
    <w:lvl w:ilvl="8" w:tplc="F2F2D0B8">
      <w:start w:val="1"/>
      <w:numFmt w:val="bullet"/>
      <w:lvlText w:val=""/>
      <w:lvlJc w:val="left"/>
      <w:pPr>
        <w:tabs>
          <w:tab w:val="num" w:pos="6480"/>
        </w:tabs>
        <w:ind w:left="6480" w:hanging="360"/>
      </w:pPr>
      <w:rPr>
        <w:rFonts w:ascii="Wingdings" w:hAnsi="Wingdings"/>
      </w:rPr>
    </w:lvl>
  </w:abstractNum>
  <w:abstractNum w:abstractNumId="257" w15:restartNumberingAfterBreak="0">
    <w:nsid w:val="722305C3"/>
    <w:multiLevelType w:val="hybridMultilevel"/>
    <w:tmpl w:val="722305C3"/>
    <w:lvl w:ilvl="0" w:tplc="08F28A7E">
      <w:start w:val="1"/>
      <w:numFmt w:val="bullet"/>
      <w:lvlText w:val=""/>
      <w:lvlJc w:val="left"/>
      <w:pPr>
        <w:ind w:left="720" w:hanging="360"/>
      </w:pPr>
      <w:rPr>
        <w:rFonts w:ascii="Symbol" w:hAnsi="Symbol"/>
      </w:rPr>
    </w:lvl>
    <w:lvl w:ilvl="1" w:tplc="ADA4DC5A">
      <w:start w:val="1"/>
      <w:numFmt w:val="bullet"/>
      <w:lvlText w:val="o"/>
      <w:lvlJc w:val="left"/>
      <w:pPr>
        <w:tabs>
          <w:tab w:val="num" w:pos="1440"/>
        </w:tabs>
        <w:ind w:left="1440" w:hanging="360"/>
      </w:pPr>
      <w:rPr>
        <w:rFonts w:ascii="Courier New" w:hAnsi="Courier New"/>
      </w:rPr>
    </w:lvl>
    <w:lvl w:ilvl="2" w:tplc="26563EE8">
      <w:start w:val="1"/>
      <w:numFmt w:val="bullet"/>
      <w:lvlText w:val=""/>
      <w:lvlJc w:val="left"/>
      <w:pPr>
        <w:tabs>
          <w:tab w:val="num" w:pos="2160"/>
        </w:tabs>
        <w:ind w:left="2160" w:hanging="360"/>
      </w:pPr>
      <w:rPr>
        <w:rFonts w:ascii="Wingdings" w:hAnsi="Wingdings"/>
      </w:rPr>
    </w:lvl>
    <w:lvl w:ilvl="3" w:tplc="9B46799E">
      <w:start w:val="1"/>
      <w:numFmt w:val="bullet"/>
      <w:lvlText w:val=""/>
      <w:lvlJc w:val="left"/>
      <w:pPr>
        <w:tabs>
          <w:tab w:val="num" w:pos="2880"/>
        </w:tabs>
        <w:ind w:left="2880" w:hanging="360"/>
      </w:pPr>
      <w:rPr>
        <w:rFonts w:ascii="Symbol" w:hAnsi="Symbol"/>
      </w:rPr>
    </w:lvl>
    <w:lvl w:ilvl="4" w:tplc="3342C57C">
      <w:start w:val="1"/>
      <w:numFmt w:val="bullet"/>
      <w:lvlText w:val="o"/>
      <w:lvlJc w:val="left"/>
      <w:pPr>
        <w:tabs>
          <w:tab w:val="num" w:pos="3600"/>
        </w:tabs>
        <w:ind w:left="3600" w:hanging="360"/>
      </w:pPr>
      <w:rPr>
        <w:rFonts w:ascii="Courier New" w:hAnsi="Courier New"/>
      </w:rPr>
    </w:lvl>
    <w:lvl w:ilvl="5" w:tplc="9814C3C8">
      <w:start w:val="1"/>
      <w:numFmt w:val="bullet"/>
      <w:lvlText w:val=""/>
      <w:lvlJc w:val="left"/>
      <w:pPr>
        <w:tabs>
          <w:tab w:val="num" w:pos="4320"/>
        </w:tabs>
        <w:ind w:left="4320" w:hanging="360"/>
      </w:pPr>
      <w:rPr>
        <w:rFonts w:ascii="Wingdings" w:hAnsi="Wingdings"/>
      </w:rPr>
    </w:lvl>
    <w:lvl w:ilvl="6" w:tplc="60924A6E">
      <w:start w:val="1"/>
      <w:numFmt w:val="bullet"/>
      <w:lvlText w:val=""/>
      <w:lvlJc w:val="left"/>
      <w:pPr>
        <w:tabs>
          <w:tab w:val="num" w:pos="5040"/>
        </w:tabs>
        <w:ind w:left="5040" w:hanging="360"/>
      </w:pPr>
      <w:rPr>
        <w:rFonts w:ascii="Symbol" w:hAnsi="Symbol"/>
      </w:rPr>
    </w:lvl>
    <w:lvl w:ilvl="7" w:tplc="EBDE3D98">
      <w:start w:val="1"/>
      <w:numFmt w:val="bullet"/>
      <w:lvlText w:val="o"/>
      <w:lvlJc w:val="left"/>
      <w:pPr>
        <w:tabs>
          <w:tab w:val="num" w:pos="5760"/>
        </w:tabs>
        <w:ind w:left="5760" w:hanging="360"/>
      </w:pPr>
      <w:rPr>
        <w:rFonts w:ascii="Courier New" w:hAnsi="Courier New"/>
      </w:rPr>
    </w:lvl>
    <w:lvl w:ilvl="8" w:tplc="755E0F98">
      <w:start w:val="1"/>
      <w:numFmt w:val="bullet"/>
      <w:lvlText w:val=""/>
      <w:lvlJc w:val="left"/>
      <w:pPr>
        <w:tabs>
          <w:tab w:val="num" w:pos="6480"/>
        </w:tabs>
        <w:ind w:left="6480" w:hanging="360"/>
      </w:pPr>
      <w:rPr>
        <w:rFonts w:ascii="Wingdings" w:hAnsi="Wingdings"/>
      </w:rPr>
    </w:lvl>
  </w:abstractNum>
  <w:abstractNum w:abstractNumId="258" w15:restartNumberingAfterBreak="0">
    <w:nsid w:val="722305C4"/>
    <w:multiLevelType w:val="hybridMultilevel"/>
    <w:tmpl w:val="722305C4"/>
    <w:lvl w:ilvl="0" w:tplc="21E0CF14">
      <w:start w:val="1"/>
      <w:numFmt w:val="bullet"/>
      <w:lvlText w:val=""/>
      <w:lvlJc w:val="left"/>
      <w:pPr>
        <w:ind w:left="720" w:hanging="360"/>
      </w:pPr>
      <w:rPr>
        <w:rFonts w:ascii="Symbol" w:hAnsi="Symbol"/>
      </w:rPr>
    </w:lvl>
    <w:lvl w:ilvl="1" w:tplc="AAC49618">
      <w:start w:val="1"/>
      <w:numFmt w:val="bullet"/>
      <w:lvlText w:val="o"/>
      <w:lvlJc w:val="left"/>
      <w:pPr>
        <w:tabs>
          <w:tab w:val="num" w:pos="1440"/>
        </w:tabs>
        <w:ind w:left="1440" w:hanging="360"/>
      </w:pPr>
      <w:rPr>
        <w:rFonts w:ascii="Courier New" w:hAnsi="Courier New"/>
      </w:rPr>
    </w:lvl>
    <w:lvl w:ilvl="2" w:tplc="96F0E486">
      <w:start w:val="1"/>
      <w:numFmt w:val="bullet"/>
      <w:lvlText w:val=""/>
      <w:lvlJc w:val="left"/>
      <w:pPr>
        <w:tabs>
          <w:tab w:val="num" w:pos="2160"/>
        </w:tabs>
        <w:ind w:left="2160" w:hanging="360"/>
      </w:pPr>
      <w:rPr>
        <w:rFonts w:ascii="Wingdings" w:hAnsi="Wingdings"/>
      </w:rPr>
    </w:lvl>
    <w:lvl w:ilvl="3" w:tplc="9648B0BA">
      <w:start w:val="1"/>
      <w:numFmt w:val="bullet"/>
      <w:lvlText w:val=""/>
      <w:lvlJc w:val="left"/>
      <w:pPr>
        <w:tabs>
          <w:tab w:val="num" w:pos="2880"/>
        </w:tabs>
        <w:ind w:left="2880" w:hanging="360"/>
      </w:pPr>
      <w:rPr>
        <w:rFonts w:ascii="Symbol" w:hAnsi="Symbol"/>
      </w:rPr>
    </w:lvl>
    <w:lvl w:ilvl="4" w:tplc="5E288FC2">
      <w:start w:val="1"/>
      <w:numFmt w:val="bullet"/>
      <w:lvlText w:val="o"/>
      <w:lvlJc w:val="left"/>
      <w:pPr>
        <w:tabs>
          <w:tab w:val="num" w:pos="3600"/>
        </w:tabs>
        <w:ind w:left="3600" w:hanging="360"/>
      </w:pPr>
      <w:rPr>
        <w:rFonts w:ascii="Courier New" w:hAnsi="Courier New"/>
      </w:rPr>
    </w:lvl>
    <w:lvl w:ilvl="5" w:tplc="A87E77AE">
      <w:start w:val="1"/>
      <w:numFmt w:val="bullet"/>
      <w:lvlText w:val=""/>
      <w:lvlJc w:val="left"/>
      <w:pPr>
        <w:tabs>
          <w:tab w:val="num" w:pos="4320"/>
        </w:tabs>
        <w:ind w:left="4320" w:hanging="360"/>
      </w:pPr>
      <w:rPr>
        <w:rFonts w:ascii="Wingdings" w:hAnsi="Wingdings"/>
      </w:rPr>
    </w:lvl>
    <w:lvl w:ilvl="6" w:tplc="CA441B7E">
      <w:start w:val="1"/>
      <w:numFmt w:val="bullet"/>
      <w:lvlText w:val=""/>
      <w:lvlJc w:val="left"/>
      <w:pPr>
        <w:tabs>
          <w:tab w:val="num" w:pos="5040"/>
        </w:tabs>
        <w:ind w:left="5040" w:hanging="360"/>
      </w:pPr>
      <w:rPr>
        <w:rFonts w:ascii="Symbol" w:hAnsi="Symbol"/>
      </w:rPr>
    </w:lvl>
    <w:lvl w:ilvl="7" w:tplc="FF168F3E">
      <w:start w:val="1"/>
      <w:numFmt w:val="bullet"/>
      <w:lvlText w:val="o"/>
      <w:lvlJc w:val="left"/>
      <w:pPr>
        <w:tabs>
          <w:tab w:val="num" w:pos="5760"/>
        </w:tabs>
        <w:ind w:left="5760" w:hanging="360"/>
      </w:pPr>
      <w:rPr>
        <w:rFonts w:ascii="Courier New" w:hAnsi="Courier New"/>
      </w:rPr>
    </w:lvl>
    <w:lvl w:ilvl="8" w:tplc="D2C8E22C">
      <w:start w:val="1"/>
      <w:numFmt w:val="bullet"/>
      <w:lvlText w:val=""/>
      <w:lvlJc w:val="left"/>
      <w:pPr>
        <w:tabs>
          <w:tab w:val="num" w:pos="6480"/>
        </w:tabs>
        <w:ind w:left="6480" w:hanging="360"/>
      </w:pPr>
      <w:rPr>
        <w:rFonts w:ascii="Wingdings" w:hAnsi="Wingdings"/>
      </w:rPr>
    </w:lvl>
  </w:abstractNum>
  <w:abstractNum w:abstractNumId="259" w15:restartNumberingAfterBreak="0">
    <w:nsid w:val="722305C5"/>
    <w:multiLevelType w:val="hybridMultilevel"/>
    <w:tmpl w:val="722305C5"/>
    <w:lvl w:ilvl="0" w:tplc="F23EFBEE">
      <w:start w:val="1"/>
      <w:numFmt w:val="bullet"/>
      <w:lvlText w:val=""/>
      <w:lvlJc w:val="left"/>
      <w:pPr>
        <w:ind w:left="720" w:hanging="360"/>
      </w:pPr>
      <w:rPr>
        <w:rFonts w:ascii="Symbol" w:hAnsi="Symbol"/>
      </w:rPr>
    </w:lvl>
    <w:lvl w:ilvl="1" w:tplc="96ACDD4E">
      <w:start w:val="1"/>
      <w:numFmt w:val="bullet"/>
      <w:lvlText w:val="o"/>
      <w:lvlJc w:val="left"/>
      <w:pPr>
        <w:ind w:left="1440" w:hanging="360"/>
      </w:pPr>
      <w:rPr>
        <w:rFonts w:ascii="Courier New" w:hAnsi="Courier New"/>
      </w:rPr>
    </w:lvl>
    <w:lvl w:ilvl="2" w:tplc="7E68C47A">
      <w:start w:val="1"/>
      <w:numFmt w:val="bullet"/>
      <w:lvlText w:val=""/>
      <w:lvlJc w:val="left"/>
      <w:pPr>
        <w:tabs>
          <w:tab w:val="num" w:pos="2160"/>
        </w:tabs>
        <w:ind w:left="2160" w:hanging="360"/>
      </w:pPr>
      <w:rPr>
        <w:rFonts w:ascii="Wingdings" w:hAnsi="Wingdings"/>
      </w:rPr>
    </w:lvl>
    <w:lvl w:ilvl="3" w:tplc="1184723E">
      <w:start w:val="1"/>
      <w:numFmt w:val="bullet"/>
      <w:lvlText w:val=""/>
      <w:lvlJc w:val="left"/>
      <w:pPr>
        <w:tabs>
          <w:tab w:val="num" w:pos="2880"/>
        </w:tabs>
        <w:ind w:left="2880" w:hanging="360"/>
      </w:pPr>
      <w:rPr>
        <w:rFonts w:ascii="Symbol" w:hAnsi="Symbol"/>
      </w:rPr>
    </w:lvl>
    <w:lvl w:ilvl="4" w:tplc="29A4E288">
      <w:start w:val="1"/>
      <w:numFmt w:val="bullet"/>
      <w:lvlText w:val="o"/>
      <w:lvlJc w:val="left"/>
      <w:pPr>
        <w:tabs>
          <w:tab w:val="num" w:pos="3600"/>
        </w:tabs>
        <w:ind w:left="3600" w:hanging="360"/>
      </w:pPr>
      <w:rPr>
        <w:rFonts w:ascii="Courier New" w:hAnsi="Courier New"/>
      </w:rPr>
    </w:lvl>
    <w:lvl w:ilvl="5" w:tplc="F9DCF3E6">
      <w:start w:val="1"/>
      <w:numFmt w:val="bullet"/>
      <w:lvlText w:val=""/>
      <w:lvlJc w:val="left"/>
      <w:pPr>
        <w:tabs>
          <w:tab w:val="num" w:pos="4320"/>
        </w:tabs>
        <w:ind w:left="4320" w:hanging="360"/>
      </w:pPr>
      <w:rPr>
        <w:rFonts w:ascii="Wingdings" w:hAnsi="Wingdings"/>
      </w:rPr>
    </w:lvl>
    <w:lvl w:ilvl="6" w:tplc="65EC6FEC">
      <w:start w:val="1"/>
      <w:numFmt w:val="bullet"/>
      <w:lvlText w:val=""/>
      <w:lvlJc w:val="left"/>
      <w:pPr>
        <w:tabs>
          <w:tab w:val="num" w:pos="5040"/>
        </w:tabs>
        <w:ind w:left="5040" w:hanging="360"/>
      </w:pPr>
      <w:rPr>
        <w:rFonts w:ascii="Symbol" w:hAnsi="Symbol"/>
      </w:rPr>
    </w:lvl>
    <w:lvl w:ilvl="7" w:tplc="19C28BD8">
      <w:start w:val="1"/>
      <w:numFmt w:val="bullet"/>
      <w:lvlText w:val="o"/>
      <w:lvlJc w:val="left"/>
      <w:pPr>
        <w:tabs>
          <w:tab w:val="num" w:pos="5760"/>
        </w:tabs>
        <w:ind w:left="5760" w:hanging="360"/>
      </w:pPr>
      <w:rPr>
        <w:rFonts w:ascii="Courier New" w:hAnsi="Courier New"/>
      </w:rPr>
    </w:lvl>
    <w:lvl w:ilvl="8" w:tplc="6C86D4D6">
      <w:start w:val="1"/>
      <w:numFmt w:val="bullet"/>
      <w:lvlText w:val=""/>
      <w:lvlJc w:val="left"/>
      <w:pPr>
        <w:tabs>
          <w:tab w:val="num" w:pos="6480"/>
        </w:tabs>
        <w:ind w:left="6480" w:hanging="360"/>
      </w:pPr>
      <w:rPr>
        <w:rFonts w:ascii="Wingdings" w:hAnsi="Wingdings"/>
      </w:rPr>
    </w:lvl>
  </w:abstractNum>
  <w:abstractNum w:abstractNumId="260" w15:restartNumberingAfterBreak="0">
    <w:nsid w:val="722305C6"/>
    <w:multiLevelType w:val="hybridMultilevel"/>
    <w:tmpl w:val="722305C6"/>
    <w:lvl w:ilvl="0" w:tplc="902EB6F8">
      <w:start w:val="1"/>
      <w:numFmt w:val="bullet"/>
      <w:lvlText w:val=""/>
      <w:lvlJc w:val="left"/>
      <w:pPr>
        <w:ind w:left="720" w:hanging="360"/>
      </w:pPr>
      <w:rPr>
        <w:rFonts w:ascii="Symbol" w:hAnsi="Symbol"/>
      </w:rPr>
    </w:lvl>
    <w:lvl w:ilvl="1" w:tplc="BB3C81D2">
      <w:start w:val="1"/>
      <w:numFmt w:val="bullet"/>
      <w:lvlText w:val="o"/>
      <w:lvlJc w:val="left"/>
      <w:pPr>
        <w:tabs>
          <w:tab w:val="num" w:pos="1440"/>
        </w:tabs>
        <w:ind w:left="1440" w:hanging="360"/>
      </w:pPr>
      <w:rPr>
        <w:rFonts w:ascii="Courier New" w:hAnsi="Courier New"/>
      </w:rPr>
    </w:lvl>
    <w:lvl w:ilvl="2" w:tplc="D084D80E">
      <w:start w:val="1"/>
      <w:numFmt w:val="bullet"/>
      <w:lvlText w:val=""/>
      <w:lvlJc w:val="left"/>
      <w:pPr>
        <w:tabs>
          <w:tab w:val="num" w:pos="2160"/>
        </w:tabs>
        <w:ind w:left="2160" w:hanging="360"/>
      </w:pPr>
      <w:rPr>
        <w:rFonts w:ascii="Wingdings" w:hAnsi="Wingdings"/>
      </w:rPr>
    </w:lvl>
    <w:lvl w:ilvl="3" w:tplc="4AE0D194">
      <w:start w:val="1"/>
      <w:numFmt w:val="bullet"/>
      <w:lvlText w:val=""/>
      <w:lvlJc w:val="left"/>
      <w:pPr>
        <w:tabs>
          <w:tab w:val="num" w:pos="2880"/>
        </w:tabs>
        <w:ind w:left="2880" w:hanging="360"/>
      </w:pPr>
      <w:rPr>
        <w:rFonts w:ascii="Symbol" w:hAnsi="Symbol"/>
      </w:rPr>
    </w:lvl>
    <w:lvl w:ilvl="4" w:tplc="C0CE4CAC">
      <w:start w:val="1"/>
      <w:numFmt w:val="bullet"/>
      <w:lvlText w:val="o"/>
      <w:lvlJc w:val="left"/>
      <w:pPr>
        <w:tabs>
          <w:tab w:val="num" w:pos="3600"/>
        </w:tabs>
        <w:ind w:left="3600" w:hanging="360"/>
      </w:pPr>
      <w:rPr>
        <w:rFonts w:ascii="Courier New" w:hAnsi="Courier New"/>
      </w:rPr>
    </w:lvl>
    <w:lvl w:ilvl="5" w:tplc="BDACEC7E">
      <w:start w:val="1"/>
      <w:numFmt w:val="bullet"/>
      <w:lvlText w:val=""/>
      <w:lvlJc w:val="left"/>
      <w:pPr>
        <w:tabs>
          <w:tab w:val="num" w:pos="4320"/>
        </w:tabs>
        <w:ind w:left="4320" w:hanging="360"/>
      </w:pPr>
      <w:rPr>
        <w:rFonts w:ascii="Wingdings" w:hAnsi="Wingdings"/>
      </w:rPr>
    </w:lvl>
    <w:lvl w:ilvl="6" w:tplc="27B847D0">
      <w:start w:val="1"/>
      <w:numFmt w:val="bullet"/>
      <w:lvlText w:val=""/>
      <w:lvlJc w:val="left"/>
      <w:pPr>
        <w:tabs>
          <w:tab w:val="num" w:pos="5040"/>
        </w:tabs>
        <w:ind w:left="5040" w:hanging="360"/>
      </w:pPr>
      <w:rPr>
        <w:rFonts w:ascii="Symbol" w:hAnsi="Symbol"/>
      </w:rPr>
    </w:lvl>
    <w:lvl w:ilvl="7" w:tplc="50B8383A">
      <w:start w:val="1"/>
      <w:numFmt w:val="bullet"/>
      <w:lvlText w:val="o"/>
      <w:lvlJc w:val="left"/>
      <w:pPr>
        <w:tabs>
          <w:tab w:val="num" w:pos="5760"/>
        </w:tabs>
        <w:ind w:left="5760" w:hanging="360"/>
      </w:pPr>
      <w:rPr>
        <w:rFonts w:ascii="Courier New" w:hAnsi="Courier New"/>
      </w:rPr>
    </w:lvl>
    <w:lvl w:ilvl="8" w:tplc="6F325754">
      <w:start w:val="1"/>
      <w:numFmt w:val="bullet"/>
      <w:lvlText w:val=""/>
      <w:lvlJc w:val="left"/>
      <w:pPr>
        <w:tabs>
          <w:tab w:val="num" w:pos="6480"/>
        </w:tabs>
        <w:ind w:left="6480" w:hanging="360"/>
      </w:pPr>
      <w:rPr>
        <w:rFonts w:ascii="Wingdings" w:hAnsi="Wingdings"/>
      </w:rPr>
    </w:lvl>
  </w:abstractNum>
  <w:abstractNum w:abstractNumId="261" w15:restartNumberingAfterBreak="0">
    <w:nsid w:val="722305C7"/>
    <w:multiLevelType w:val="hybridMultilevel"/>
    <w:tmpl w:val="722305C7"/>
    <w:lvl w:ilvl="0" w:tplc="A3DA88DA">
      <w:start w:val="1"/>
      <w:numFmt w:val="bullet"/>
      <w:lvlText w:val=""/>
      <w:lvlJc w:val="left"/>
      <w:pPr>
        <w:ind w:left="720" w:hanging="360"/>
      </w:pPr>
      <w:rPr>
        <w:rFonts w:ascii="Symbol" w:hAnsi="Symbol"/>
      </w:rPr>
    </w:lvl>
    <w:lvl w:ilvl="1" w:tplc="8F64551C">
      <w:start w:val="1"/>
      <w:numFmt w:val="bullet"/>
      <w:lvlText w:val="o"/>
      <w:lvlJc w:val="left"/>
      <w:pPr>
        <w:tabs>
          <w:tab w:val="num" w:pos="1440"/>
        </w:tabs>
        <w:ind w:left="1440" w:hanging="360"/>
      </w:pPr>
      <w:rPr>
        <w:rFonts w:ascii="Courier New" w:hAnsi="Courier New"/>
      </w:rPr>
    </w:lvl>
    <w:lvl w:ilvl="2" w:tplc="7256B840">
      <w:start w:val="1"/>
      <w:numFmt w:val="bullet"/>
      <w:lvlText w:val=""/>
      <w:lvlJc w:val="left"/>
      <w:pPr>
        <w:tabs>
          <w:tab w:val="num" w:pos="2160"/>
        </w:tabs>
        <w:ind w:left="2160" w:hanging="360"/>
      </w:pPr>
      <w:rPr>
        <w:rFonts w:ascii="Wingdings" w:hAnsi="Wingdings"/>
      </w:rPr>
    </w:lvl>
    <w:lvl w:ilvl="3" w:tplc="EF7A9E86">
      <w:start w:val="1"/>
      <w:numFmt w:val="bullet"/>
      <w:lvlText w:val=""/>
      <w:lvlJc w:val="left"/>
      <w:pPr>
        <w:tabs>
          <w:tab w:val="num" w:pos="2880"/>
        </w:tabs>
        <w:ind w:left="2880" w:hanging="360"/>
      </w:pPr>
      <w:rPr>
        <w:rFonts w:ascii="Symbol" w:hAnsi="Symbol"/>
      </w:rPr>
    </w:lvl>
    <w:lvl w:ilvl="4" w:tplc="EB107DA8">
      <w:start w:val="1"/>
      <w:numFmt w:val="bullet"/>
      <w:lvlText w:val="o"/>
      <w:lvlJc w:val="left"/>
      <w:pPr>
        <w:tabs>
          <w:tab w:val="num" w:pos="3600"/>
        </w:tabs>
        <w:ind w:left="3600" w:hanging="360"/>
      </w:pPr>
      <w:rPr>
        <w:rFonts w:ascii="Courier New" w:hAnsi="Courier New"/>
      </w:rPr>
    </w:lvl>
    <w:lvl w:ilvl="5" w:tplc="F23A4BDC">
      <w:start w:val="1"/>
      <w:numFmt w:val="bullet"/>
      <w:lvlText w:val=""/>
      <w:lvlJc w:val="left"/>
      <w:pPr>
        <w:tabs>
          <w:tab w:val="num" w:pos="4320"/>
        </w:tabs>
        <w:ind w:left="4320" w:hanging="360"/>
      </w:pPr>
      <w:rPr>
        <w:rFonts w:ascii="Wingdings" w:hAnsi="Wingdings"/>
      </w:rPr>
    </w:lvl>
    <w:lvl w:ilvl="6" w:tplc="8BB06324">
      <w:start w:val="1"/>
      <w:numFmt w:val="bullet"/>
      <w:lvlText w:val=""/>
      <w:lvlJc w:val="left"/>
      <w:pPr>
        <w:tabs>
          <w:tab w:val="num" w:pos="5040"/>
        </w:tabs>
        <w:ind w:left="5040" w:hanging="360"/>
      </w:pPr>
      <w:rPr>
        <w:rFonts w:ascii="Symbol" w:hAnsi="Symbol"/>
      </w:rPr>
    </w:lvl>
    <w:lvl w:ilvl="7" w:tplc="F7C4AAA0">
      <w:start w:val="1"/>
      <w:numFmt w:val="bullet"/>
      <w:lvlText w:val="o"/>
      <w:lvlJc w:val="left"/>
      <w:pPr>
        <w:tabs>
          <w:tab w:val="num" w:pos="5760"/>
        </w:tabs>
        <w:ind w:left="5760" w:hanging="360"/>
      </w:pPr>
      <w:rPr>
        <w:rFonts w:ascii="Courier New" w:hAnsi="Courier New"/>
      </w:rPr>
    </w:lvl>
    <w:lvl w:ilvl="8" w:tplc="4F5A9882">
      <w:start w:val="1"/>
      <w:numFmt w:val="bullet"/>
      <w:lvlText w:val=""/>
      <w:lvlJc w:val="left"/>
      <w:pPr>
        <w:tabs>
          <w:tab w:val="num" w:pos="6480"/>
        </w:tabs>
        <w:ind w:left="6480" w:hanging="360"/>
      </w:pPr>
      <w:rPr>
        <w:rFonts w:ascii="Wingdings" w:hAnsi="Wingdings"/>
      </w:rPr>
    </w:lvl>
  </w:abstractNum>
  <w:abstractNum w:abstractNumId="262" w15:restartNumberingAfterBreak="0">
    <w:nsid w:val="722305C8"/>
    <w:multiLevelType w:val="hybridMultilevel"/>
    <w:tmpl w:val="722305C8"/>
    <w:lvl w:ilvl="0" w:tplc="05749732">
      <w:start w:val="1"/>
      <w:numFmt w:val="bullet"/>
      <w:lvlText w:val=""/>
      <w:lvlJc w:val="left"/>
      <w:pPr>
        <w:ind w:left="720" w:hanging="360"/>
      </w:pPr>
      <w:rPr>
        <w:rFonts w:ascii="Symbol" w:hAnsi="Symbol"/>
      </w:rPr>
    </w:lvl>
    <w:lvl w:ilvl="1" w:tplc="F9AA9AFC">
      <w:start w:val="1"/>
      <w:numFmt w:val="bullet"/>
      <w:lvlText w:val="o"/>
      <w:lvlJc w:val="left"/>
      <w:pPr>
        <w:tabs>
          <w:tab w:val="num" w:pos="1440"/>
        </w:tabs>
        <w:ind w:left="1440" w:hanging="360"/>
      </w:pPr>
      <w:rPr>
        <w:rFonts w:ascii="Courier New" w:hAnsi="Courier New"/>
      </w:rPr>
    </w:lvl>
    <w:lvl w:ilvl="2" w:tplc="5C0CBDE4">
      <w:start w:val="1"/>
      <w:numFmt w:val="bullet"/>
      <w:lvlText w:val=""/>
      <w:lvlJc w:val="left"/>
      <w:pPr>
        <w:tabs>
          <w:tab w:val="num" w:pos="2160"/>
        </w:tabs>
        <w:ind w:left="2160" w:hanging="360"/>
      </w:pPr>
      <w:rPr>
        <w:rFonts w:ascii="Wingdings" w:hAnsi="Wingdings"/>
      </w:rPr>
    </w:lvl>
    <w:lvl w:ilvl="3" w:tplc="77BCEFBC">
      <w:start w:val="1"/>
      <w:numFmt w:val="bullet"/>
      <w:lvlText w:val=""/>
      <w:lvlJc w:val="left"/>
      <w:pPr>
        <w:tabs>
          <w:tab w:val="num" w:pos="2880"/>
        </w:tabs>
        <w:ind w:left="2880" w:hanging="360"/>
      </w:pPr>
      <w:rPr>
        <w:rFonts w:ascii="Symbol" w:hAnsi="Symbol"/>
      </w:rPr>
    </w:lvl>
    <w:lvl w:ilvl="4" w:tplc="8D58FE8E">
      <w:start w:val="1"/>
      <w:numFmt w:val="bullet"/>
      <w:lvlText w:val="o"/>
      <w:lvlJc w:val="left"/>
      <w:pPr>
        <w:tabs>
          <w:tab w:val="num" w:pos="3600"/>
        </w:tabs>
        <w:ind w:left="3600" w:hanging="360"/>
      </w:pPr>
      <w:rPr>
        <w:rFonts w:ascii="Courier New" w:hAnsi="Courier New"/>
      </w:rPr>
    </w:lvl>
    <w:lvl w:ilvl="5" w:tplc="5832DEB0">
      <w:start w:val="1"/>
      <w:numFmt w:val="bullet"/>
      <w:lvlText w:val=""/>
      <w:lvlJc w:val="left"/>
      <w:pPr>
        <w:tabs>
          <w:tab w:val="num" w:pos="4320"/>
        </w:tabs>
        <w:ind w:left="4320" w:hanging="360"/>
      </w:pPr>
      <w:rPr>
        <w:rFonts w:ascii="Wingdings" w:hAnsi="Wingdings"/>
      </w:rPr>
    </w:lvl>
    <w:lvl w:ilvl="6" w:tplc="94F62728">
      <w:start w:val="1"/>
      <w:numFmt w:val="bullet"/>
      <w:lvlText w:val=""/>
      <w:lvlJc w:val="left"/>
      <w:pPr>
        <w:tabs>
          <w:tab w:val="num" w:pos="5040"/>
        </w:tabs>
        <w:ind w:left="5040" w:hanging="360"/>
      </w:pPr>
      <w:rPr>
        <w:rFonts w:ascii="Symbol" w:hAnsi="Symbol"/>
      </w:rPr>
    </w:lvl>
    <w:lvl w:ilvl="7" w:tplc="6C7407D0">
      <w:start w:val="1"/>
      <w:numFmt w:val="bullet"/>
      <w:lvlText w:val="o"/>
      <w:lvlJc w:val="left"/>
      <w:pPr>
        <w:tabs>
          <w:tab w:val="num" w:pos="5760"/>
        </w:tabs>
        <w:ind w:left="5760" w:hanging="360"/>
      </w:pPr>
      <w:rPr>
        <w:rFonts w:ascii="Courier New" w:hAnsi="Courier New"/>
      </w:rPr>
    </w:lvl>
    <w:lvl w:ilvl="8" w:tplc="FD7E5C1A">
      <w:start w:val="1"/>
      <w:numFmt w:val="bullet"/>
      <w:lvlText w:val=""/>
      <w:lvlJc w:val="left"/>
      <w:pPr>
        <w:tabs>
          <w:tab w:val="num" w:pos="6480"/>
        </w:tabs>
        <w:ind w:left="6480" w:hanging="360"/>
      </w:pPr>
      <w:rPr>
        <w:rFonts w:ascii="Wingdings" w:hAnsi="Wingdings"/>
      </w:rPr>
    </w:lvl>
  </w:abstractNum>
  <w:abstractNum w:abstractNumId="263" w15:restartNumberingAfterBreak="0">
    <w:nsid w:val="722305C9"/>
    <w:multiLevelType w:val="multilevel"/>
    <w:tmpl w:val="722305C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4" w15:restartNumberingAfterBreak="0">
    <w:nsid w:val="722305CA"/>
    <w:multiLevelType w:val="hybridMultilevel"/>
    <w:tmpl w:val="722305CA"/>
    <w:lvl w:ilvl="0" w:tplc="2F80A55A">
      <w:start w:val="1"/>
      <w:numFmt w:val="bullet"/>
      <w:lvlText w:val=""/>
      <w:lvlJc w:val="left"/>
      <w:pPr>
        <w:ind w:left="720" w:hanging="360"/>
      </w:pPr>
      <w:rPr>
        <w:rFonts w:ascii="Symbol" w:hAnsi="Symbol"/>
      </w:rPr>
    </w:lvl>
    <w:lvl w:ilvl="1" w:tplc="E45AE54E">
      <w:start w:val="1"/>
      <w:numFmt w:val="bullet"/>
      <w:lvlText w:val="o"/>
      <w:lvlJc w:val="left"/>
      <w:pPr>
        <w:tabs>
          <w:tab w:val="num" w:pos="1440"/>
        </w:tabs>
        <w:ind w:left="1440" w:hanging="360"/>
      </w:pPr>
      <w:rPr>
        <w:rFonts w:ascii="Courier New" w:hAnsi="Courier New"/>
      </w:rPr>
    </w:lvl>
    <w:lvl w:ilvl="2" w:tplc="9ACE7D46">
      <w:start w:val="1"/>
      <w:numFmt w:val="bullet"/>
      <w:lvlText w:val=""/>
      <w:lvlJc w:val="left"/>
      <w:pPr>
        <w:tabs>
          <w:tab w:val="num" w:pos="2160"/>
        </w:tabs>
        <w:ind w:left="2160" w:hanging="360"/>
      </w:pPr>
      <w:rPr>
        <w:rFonts w:ascii="Wingdings" w:hAnsi="Wingdings"/>
      </w:rPr>
    </w:lvl>
    <w:lvl w:ilvl="3" w:tplc="70226490">
      <w:start w:val="1"/>
      <w:numFmt w:val="bullet"/>
      <w:lvlText w:val=""/>
      <w:lvlJc w:val="left"/>
      <w:pPr>
        <w:tabs>
          <w:tab w:val="num" w:pos="2880"/>
        </w:tabs>
        <w:ind w:left="2880" w:hanging="360"/>
      </w:pPr>
      <w:rPr>
        <w:rFonts w:ascii="Symbol" w:hAnsi="Symbol"/>
      </w:rPr>
    </w:lvl>
    <w:lvl w:ilvl="4" w:tplc="834A10DA">
      <w:start w:val="1"/>
      <w:numFmt w:val="bullet"/>
      <w:lvlText w:val="o"/>
      <w:lvlJc w:val="left"/>
      <w:pPr>
        <w:tabs>
          <w:tab w:val="num" w:pos="3600"/>
        </w:tabs>
        <w:ind w:left="3600" w:hanging="360"/>
      </w:pPr>
      <w:rPr>
        <w:rFonts w:ascii="Courier New" w:hAnsi="Courier New"/>
      </w:rPr>
    </w:lvl>
    <w:lvl w:ilvl="5" w:tplc="BEDE0098">
      <w:start w:val="1"/>
      <w:numFmt w:val="bullet"/>
      <w:lvlText w:val=""/>
      <w:lvlJc w:val="left"/>
      <w:pPr>
        <w:tabs>
          <w:tab w:val="num" w:pos="4320"/>
        </w:tabs>
        <w:ind w:left="4320" w:hanging="360"/>
      </w:pPr>
      <w:rPr>
        <w:rFonts w:ascii="Wingdings" w:hAnsi="Wingdings"/>
      </w:rPr>
    </w:lvl>
    <w:lvl w:ilvl="6" w:tplc="01C67E58">
      <w:start w:val="1"/>
      <w:numFmt w:val="bullet"/>
      <w:lvlText w:val=""/>
      <w:lvlJc w:val="left"/>
      <w:pPr>
        <w:tabs>
          <w:tab w:val="num" w:pos="5040"/>
        </w:tabs>
        <w:ind w:left="5040" w:hanging="360"/>
      </w:pPr>
      <w:rPr>
        <w:rFonts w:ascii="Symbol" w:hAnsi="Symbol"/>
      </w:rPr>
    </w:lvl>
    <w:lvl w:ilvl="7" w:tplc="522492F0">
      <w:start w:val="1"/>
      <w:numFmt w:val="bullet"/>
      <w:lvlText w:val="o"/>
      <w:lvlJc w:val="left"/>
      <w:pPr>
        <w:tabs>
          <w:tab w:val="num" w:pos="5760"/>
        </w:tabs>
        <w:ind w:left="5760" w:hanging="360"/>
      </w:pPr>
      <w:rPr>
        <w:rFonts w:ascii="Courier New" w:hAnsi="Courier New"/>
      </w:rPr>
    </w:lvl>
    <w:lvl w:ilvl="8" w:tplc="92822734">
      <w:start w:val="1"/>
      <w:numFmt w:val="bullet"/>
      <w:lvlText w:val=""/>
      <w:lvlJc w:val="left"/>
      <w:pPr>
        <w:tabs>
          <w:tab w:val="num" w:pos="6480"/>
        </w:tabs>
        <w:ind w:left="6480" w:hanging="360"/>
      </w:pPr>
      <w:rPr>
        <w:rFonts w:ascii="Wingdings" w:hAnsi="Wingdings"/>
      </w:rPr>
    </w:lvl>
  </w:abstractNum>
  <w:abstractNum w:abstractNumId="265" w15:restartNumberingAfterBreak="0">
    <w:nsid w:val="722305CB"/>
    <w:multiLevelType w:val="hybridMultilevel"/>
    <w:tmpl w:val="722305CB"/>
    <w:lvl w:ilvl="0" w:tplc="53CA0740">
      <w:start w:val="1"/>
      <w:numFmt w:val="bullet"/>
      <w:lvlText w:val=""/>
      <w:lvlJc w:val="left"/>
      <w:pPr>
        <w:ind w:left="720" w:hanging="360"/>
      </w:pPr>
      <w:rPr>
        <w:rFonts w:ascii="Symbol" w:hAnsi="Symbol"/>
      </w:rPr>
    </w:lvl>
    <w:lvl w:ilvl="1" w:tplc="74660A48">
      <w:start w:val="1"/>
      <w:numFmt w:val="bullet"/>
      <w:lvlText w:val="o"/>
      <w:lvlJc w:val="left"/>
      <w:pPr>
        <w:ind w:left="1440" w:hanging="360"/>
      </w:pPr>
      <w:rPr>
        <w:rFonts w:ascii="Courier New" w:hAnsi="Courier New"/>
      </w:rPr>
    </w:lvl>
    <w:lvl w:ilvl="2" w:tplc="E31060EA">
      <w:start w:val="1"/>
      <w:numFmt w:val="bullet"/>
      <w:lvlText w:val=""/>
      <w:lvlJc w:val="left"/>
      <w:pPr>
        <w:tabs>
          <w:tab w:val="num" w:pos="2160"/>
        </w:tabs>
        <w:ind w:left="2160" w:hanging="360"/>
      </w:pPr>
      <w:rPr>
        <w:rFonts w:ascii="Wingdings" w:hAnsi="Wingdings"/>
      </w:rPr>
    </w:lvl>
    <w:lvl w:ilvl="3" w:tplc="8ED4C640">
      <w:start w:val="1"/>
      <w:numFmt w:val="bullet"/>
      <w:lvlText w:val=""/>
      <w:lvlJc w:val="left"/>
      <w:pPr>
        <w:tabs>
          <w:tab w:val="num" w:pos="2880"/>
        </w:tabs>
        <w:ind w:left="2880" w:hanging="360"/>
      </w:pPr>
      <w:rPr>
        <w:rFonts w:ascii="Symbol" w:hAnsi="Symbol"/>
      </w:rPr>
    </w:lvl>
    <w:lvl w:ilvl="4" w:tplc="2334EA6C">
      <w:start w:val="1"/>
      <w:numFmt w:val="bullet"/>
      <w:lvlText w:val="o"/>
      <w:lvlJc w:val="left"/>
      <w:pPr>
        <w:tabs>
          <w:tab w:val="num" w:pos="3600"/>
        </w:tabs>
        <w:ind w:left="3600" w:hanging="360"/>
      </w:pPr>
      <w:rPr>
        <w:rFonts w:ascii="Courier New" w:hAnsi="Courier New"/>
      </w:rPr>
    </w:lvl>
    <w:lvl w:ilvl="5" w:tplc="F326B872">
      <w:start w:val="1"/>
      <w:numFmt w:val="bullet"/>
      <w:lvlText w:val=""/>
      <w:lvlJc w:val="left"/>
      <w:pPr>
        <w:tabs>
          <w:tab w:val="num" w:pos="4320"/>
        </w:tabs>
        <w:ind w:left="4320" w:hanging="360"/>
      </w:pPr>
      <w:rPr>
        <w:rFonts w:ascii="Wingdings" w:hAnsi="Wingdings"/>
      </w:rPr>
    </w:lvl>
    <w:lvl w:ilvl="6" w:tplc="6540DD3A">
      <w:start w:val="1"/>
      <w:numFmt w:val="bullet"/>
      <w:lvlText w:val=""/>
      <w:lvlJc w:val="left"/>
      <w:pPr>
        <w:tabs>
          <w:tab w:val="num" w:pos="5040"/>
        </w:tabs>
        <w:ind w:left="5040" w:hanging="360"/>
      </w:pPr>
      <w:rPr>
        <w:rFonts w:ascii="Symbol" w:hAnsi="Symbol"/>
      </w:rPr>
    </w:lvl>
    <w:lvl w:ilvl="7" w:tplc="B2E235E6">
      <w:start w:val="1"/>
      <w:numFmt w:val="bullet"/>
      <w:lvlText w:val="o"/>
      <w:lvlJc w:val="left"/>
      <w:pPr>
        <w:tabs>
          <w:tab w:val="num" w:pos="5760"/>
        </w:tabs>
        <w:ind w:left="5760" w:hanging="360"/>
      </w:pPr>
      <w:rPr>
        <w:rFonts w:ascii="Courier New" w:hAnsi="Courier New"/>
      </w:rPr>
    </w:lvl>
    <w:lvl w:ilvl="8" w:tplc="2B7C7EE0">
      <w:start w:val="1"/>
      <w:numFmt w:val="bullet"/>
      <w:lvlText w:val=""/>
      <w:lvlJc w:val="left"/>
      <w:pPr>
        <w:tabs>
          <w:tab w:val="num" w:pos="6480"/>
        </w:tabs>
        <w:ind w:left="6480" w:hanging="360"/>
      </w:pPr>
      <w:rPr>
        <w:rFonts w:ascii="Wingdings" w:hAnsi="Wingdings"/>
      </w:rPr>
    </w:lvl>
  </w:abstractNum>
  <w:abstractNum w:abstractNumId="266" w15:restartNumberingAfterBreak="0">
    <w:nsid w:val="722305CC"/>
    <w:multiLevelType w:val="hybridMultilevel"/>
    <w:tmpl w:val="722305CC"/>
    <w:lvl w:ilvl="0" w:tplc="913064C0">
      <w:start w:val="1"/>
      <w:numFmt w:val="bullet"/>
      <w:lvlText w:val=""/>
      <w:lvlJc w:val="left"/>
      <w:pPr>
        <w:ind w:left="720" w:hanging="360"/>
      </w:pPr>
      <w:rPr>
        <w:rFonts w:ascii="Symbol" w:hAnsi="Symbol"/>
      </w:rPr>
    </w:lvl>
    <w:lvl w:ilvl="1" w:tplc="7684081A">
      <w:start w:val="1"/>
      <w:numFmt w:val="bullet"/>
      <w:lvlText w:val="o"/>
      <w:lvlJc w:val="left"/>
      <w:pPr>
        <w:tabs>
          <w:tab w:val="num" w:pos="1440"/>
        </w:tabs>
        <w:ind w:left="1440" w:hanging="360"/>
      </w:pPr>
      <w:rPr>
        <w:rFonts w:ascii="Courier New" w:hAnsi="Courier New"/>
      </w:rPr>
    </w:lvl>
    <w:lvl w:ilvl="2" w:tplc="23DAECA4">
      <w:start w:val="1"/>
      <w:numFmt w:val="bullet"/>
      <w:lvlText w:val=""/>
      <w:lvlJc w:val="left"/>
      <w:pPr>
        <w:tabs>
          <w:tab w:val="num" w:pos="2160"/>
        </w:tabs>
        <w:ind w:left="2160" w:hanging="360"/>
      </w:pPr>
      <w:rPr>
        <w:rFonts w:ascii="Wingdings" w:hAnsi="Wingdings"/>
      </w:rPr>
    </w:lvl>
    <w:lvl w:ilvl="3" w:tplc="E3A27C6A">
      <w:start w:val="1"/>
      <w:numFmt w:val="bullet"/>
      <w:lvlText w:val=""/>
      <w:lvlJc w:val="left"/>
      <w:pPr>
        <w:tabs>
          <w:tab w:val="num" w:pos="2880"/>
        </w:tabs>
        <w:ind w:left="2880" w:hanging="360"/>
      </w:pPr>
      <w:rPr>
        <w:rFonts w:ascii="Symbol" w:hAnsi="Symbol"/>
      </w:rPr>
    </w:lvl>
    <w:lvl w:ilvl="4" w:tplc="6F4E70DE">
      <w:start w:val="1"/>
      <w:numFmt w:val="bullet"/>
      <w:lvlText w:val="o"/>
      <w:lvlJc w:val="left"/>
      <w:pPr>
        <w:tabs>
          <w:tab w:val="num" w:pos="3600"/>
        </w:tabs>
        <w:ind w:left="3600" w:hanging="360"/>
      </w:pPr>
      <w:rPr>
        <w:rFonts w:ascii="Courier New" w:hAnsi="Courier New"/>
      </w:rPr>
    </w:lvl>
    <w:lvl w:ilvl="5" w:tplc="94341F6C">
      <w:start w:val="1"/>
      <w:numFmt w:val="bullet"/>
      <w:lvlText w:val=""/>
      <w:lvlJc w:val="left"/>
      <w:pPr>
        <w:tabs>
          <w:tab w:val="num" w:pos="4320"/>
        </w:tabs>
        <w:ind w:left="4320" w:hanging="360"/>
      </w:pPr>
      <w:rPr>
        <w:rFonts w:ascii="Wingdings" w:hAnsi="Wingdings"/>
      </w:rPr>
    </w:lvl>
    <w:lvl w:ilvl="6" w:tplc="FC3C55DA">
      <w:start w:val="1"/>
      <w:numFmt w:val="bullet"/>
      <w:lvlText w:val=""/>
      <w:lvlJc w:val="left"/>
      <w:pPr>
        <w:tabs>
          <w:tab w:val="num" w:pos="5040"/>
        </w:tabs>
        <w:ind w:left="5040" w:hanging="360"/>
      </w:pPr>
      <w:rPr>
        <w:rFonts w:ascii="Symbol" w:hAnsi="Symbol"/>
      </w:rPr>
    </w:lvl>
    <w:lvl w:ilvl="7" w:tplc="EAA2E4B2">
      <w:start w:val="1"/>
      <w:numFmt w:val="bullet"/>
      <w:lvlText w:val="o"/>
      <w:lvlJc w:val="left"/>
      <w:pPr>
        <w:tabs>
          <w:tab w:val="num" w:pos="5760"/>
        </w:tabs>
        <w:ind w:left="5760" w:hanging="360"/>
      </w:pPr>
      <w:rPr>
        <w:rFonts w:ascii="Courier New" w:hAnsi="Courier New"/>
      </w:rPr>
    </w:lvl>
    <w:lvl w:ilvl="8" w:tplc="2AA09834">
      <w:start w:val="1"/>
      <w:numFmt w:val="bullet"/>
      <w:lvlText w:val=""/>
      <w:lvlJc w:val="left"/>
      <w:pPr>
        <w:tabs>
          <w:tab w:val="num" w:pos="6480"/>
        </w:tabs>
        <w:ind w:left="6480" w:hanging="360"/>
      </w:pPr>
      <w:rPr>
        <w:rFonts w:ascii="Wingdings" w:hAnsi="Wingdings"/>
      </w:rPr>
    </w:lvl>
  </w:abstractNum>
  <w:abstractNum w:abstractNumId="267" w15:restartNumberingAfterBreak="0">
    <w:nsid w:val="722305CD"/>
    <w:multiLevelType w:val="hybridMultilevel"/>
    <w:tmpl w:val="722305CD"/>
    <w:lvl w:ilvl="0" w:tplc="FC328F8C">
      <w:start w:val="1"/>
      <w:numFmt w:val="bullet"/>
      <w:lvlText w:val=""/>
      <w:lvlJc w:val="left"/>
      <w:pPr>
        <w:ind w:left="720" w:hanging="360"/>
      </w:pPr>
      <w:rPr>
        <w:rFonts w:ascii="Symbol" w:hAnsi="Symbol"/>
      </w:rPr>
    </w:lvl>
    <w:lvl w:ilvl="1" w:tplc="541076A4">
      <w:start w:val="1"/>
      <w:numFmt w:val="bullet"/>
      <w:lvlText w:val="o"/>
      <w:lvlJc w:val="left"/>
      <w:pPr>
        <w:tabs>
          <w:tab w:val="num" w:pos="1440"/>
        </w:tabs>
        <w:ind w:left="1440" w:hanging="360"/>
      </w:pPr>
      <w:rPr>
        <w:rFonts w:ascii="Courier New" w:hAnsi="Courier New"/>
      </w:rPr>
    </w:lvl>
    <w:lvl w:ilvl="2" w:tplc="04685CE0">
      <w:start w:val="1"/>
      <w:numFmt w:val="bullet"/>
      <w:lvlText w:val=""/>
      <w:lvlJc w:val="left"/>
      <w:pPr>
        <w:tabs>
          <w:tab w:val="num" w:pos="2160"/>
        </w:tabs>
        <w:ind w:left="2160" w:hanging="360"/>
      </w:pPr>
      <w:rPr>
        <w:rFonts w:ascii="Wingdings" w:hAnsi="Wingdings"/>
      </w:rPr>
    </w:lvl>
    <w:lvl w:ilvl="3" w:tplc="5008ACEE">
      <w:start w:val="1"/>
      <w:numFmt w:val="bullet"/>
      <w:lvlText w:val=""/>
      <w:lvlJc w:val="left"/>
      <w:pPr>
        <w:tabs>
          <w:tab w:val="num" w:pos="2880"/>
        </w:tabs>
        <w:ind w:left="2880" w:hanging="360"/>
      </w:pPr>
      <w:rPr>
        <w:rFonts w:ascii="Symbol" w:hAnsi="Symbol"/>
      </w:rPr>
    </w:lvl>
    <w:lvl w:ilvl="4" w:tplc="AAF29310">
      <w:start w:val="1"/>
      <w:numFmt w:val="bullet"/>
      <w:lvlText w:val="o"/>
      <w:lvlJc w:val="left"/>
      <w:pPr>
        <w:tabs>
          <w:tab w:val="num" w:pos="3600"/>
        </w:tabs>
        <w:ind w:left="3600" w:hanging="360"/>
      </w:pPr>
      <w:rPr>
        <w:rFonts w:ascii="Courier New" w:hAnsi="Courier New"/>
      </w:rPr>
    </w:lvl>
    <w:lvl w:ilvl="5" w:tplc="3260E9BE">
      <w:start w:val="1"/>
      <w:numFmt w:val="bullet"/>
      <w:lvlText w:val=""/>
      <w:lvlJc w:val="left"/>
      <w:pPr>
        <w:tabs>
          <w:tab w:val="num" w:pos="4320"/>
        </w:tabs>
        <w:ind w:left="4320" w:hanging="360"/>
      </w:pPr>
      <w:rPr>
        <w:rFonts w:ascii="Wingdings" w:hAnsi="Wingdings"/>
      </w:rPr>
    </w:lvl>
    <w:lvl w:ilvl="6" w:tplc="9C8E90D8">
      <w:start w:val="1"/>
      <w:numFmt w:val="bullet"/>
      <w:lvlText w:val=""/>
      <w:lvlJc w:val="left"/>
      <w:pPr>
        <w:tabs>
          <w:tab w:val="num" w:pos="5040"/>
        </w:tabs>
        <w:ind w:left="5040" w:hanging="360"/>
      </w:pPr>
      <w:rPr>
        <w:rFonts w:ascii="Symbol" w:hAnsi="Symbol"/>
      </w:rPr>
    </w:lvl>
    <w:lvl w:ilvl="7" w:tplc="2E943900">
      <w:start w:val="1"/>
      <w:numFmt w:val="bullet"/>
      <w:lvlText w:val="o"/>
      <w:lvlJc w:val="left"/>
      <w:pPr>
        <w:tabs>
          <w:tab w:val="num" w:pos="5760"/>
        </w:tabs>
        <w:ind w:left="5760" w:hanging="360"/>
      </w:pPr>
      <w:rPr>
        <w:rFonts w:ascii="Courier New" w:hAnsi="Courier New"/>
      </w:rPr>
    </w:lvl>
    <w:lvl w:ilvl="8" w:tplc="1F903AC8">
      <w:start w:val="1"/>
      <w:numFmt w:val="bullet"/>
      <w:lvlText w:val=""/>
      <w:lvlJc w:val="left"/>
      <w:pPr>
        <w:tabs>
          <w:tab w:val="num" w:pos="6480"/>
        </w:tabs>
        <w:ind w:left="6480" w:hanging="360"/>
      </w:pPr>
      <w:rPr>
        <w:rFonts w:ascii="Wingdings" w:hAnsi="Wingdings"/>
      </w:rPr>
    </w:lvl>
  </w:abstractNum>
  <w:abstractNum w:abstractNumId="268" w15:restartNumberingAfterBreak="0">
    <w:nsid w:val="722305CE"/>
    <w:multiLevelType w:val="hybridMultilevel"/>
    <w:tmpl w:val="722305CE"/>
    <w:lvl w:ilvl="0" w:tplc="4ADEAB04">
      <w:start w:val="1"/>
      <w:numFmt w:val="bullet"/>
      <w:lvlText w:val=""/>
      <w:lvlJc w:val="left"/>
      <w:pPr>
        <w:ind w:left="720" w:hanging="360"/>
      </w:pPr>
      <w:rPr>
        <w:rFonts w:ascii="Symbol" w:hAnsi="Symbol"/>
      </w:rPr>
    </w:lvl>
    <w:lvl w:ilvl="1" w:tplc="327886F6">
      <w:start w:val="1"/>
      <w:numFmt w:val="bullet"/>
      <w:lvlText w:val="o"/>
      <w:lvlJc w:val="left"/>
      <w:pPr>
        <w:tabs>
          <w:tab w:val="num" w:pos="1440"/>
        </w:tabs>
        <w:ind w:left="1440" w:hanging="360"/>
      </w:pPr>
      <w:rPr>
        <w:rFonts w:ascii="Courier New" w:hAnsi="Courier New"/>
      </w:rPr>
    </w:lvl>
    <w:lvl w:ilvl="2" w:tplc="F6301B10">
      <w:start w:val="1"/>
      <w:numFmt w:val="bullet"/>
      <w:lvlText w:val=""/>
      <w:lvlJc w:val="left"/>
      <w:pPr>
        <w:tabs>
          <w:tab w:val="num" w:pos="2160"/>
        </w:tabs>
        <w:ind w:left="2160" w:hanging="360"/>
      </w:pPr>
      <w:rPr>
        <w:rFonts w:ascii="Wingdings" w:hAnsi="Wingdings"/>
      </w:rPr>
    </w:lvl>
    <w:lvl w:ilvl="3" w:tplc="94EA66FA">
      <w:start w:val="1"/>
      <w:numFmt w:val="bullet"/>
      <w:lvlText w:val=""/>
      <w:lvlJc w:val="left"/>
      <w:pPr>
        <w:tabs>
          <w:tab w:val="num" w:pos="2880"/>
        </w:tabs>
        <w:ind w:left="2880" w:hanging="360"/>
      </w:pPr>
      <w:rPr>
        <w:rFonts w:ascii="Symbol" w:hAnsi="Symbol"/>
      </w:rPr>
    </w:lvl>
    <w:lvl w:ilvl="4" w:tplc="0EF41F60">
      <w:start w:val="1"/>
      <w:numFmt w:val="bullet"/>
      <w:lvlText w:val="o"/>
      <w:lvlJc w:val="left"/>
      <w:pPr>
        <w:tabs>
          <w:tab w:val="num" w:pos="3600"/>
        </w:tabs>
        <w:ind w:left="3600" w:hanging="360"/>
      </w:pPr>
      <w:rPr>
        <w:rFonts w:ascii="Courier New" w:hAnsi="Courier New"/>
      </w:rPr>
    </w:lvl>
    <w:lvl w:ilvl="5" w:tplc="06CE6A16">
      <w:start w:val="1"/>
      <w:numFmt w:val="bullet"/>
      <w:lvlText w:val=""/>
      <w:lvlJc w:val="left"/>
      <w:pPr>
        <w:tabs>
          <w:tab w:val="num" w:pos="4320"/>
        </w:tabs>
        <w:ind w:left="4320" w:hanging="360"/>
      </w:pPr>
      <w:rPr>
        <w:rFonts w:ascii="Wingdings" w:hAnsi="Wingdings"/>
      </w:rPr>
    </w:lvl>
    <w:lvl w:ilvl="6" w:tplc="4372E3BA">
      <w:start w:val="1"/>
      <w:numFmt w:val="bullet"/>
      <w:lvlText w:val=""/>
      <w:lvlJc w:val="left"/>
      <w:pPr>
        <w:tabs>
          <w:tab w:val="num" w:pos="5040"/>
        </w:tabs>
        <w:ind w:left="5040" w:hanging="360"/>
      </w:pPr>
      <w:rPr>
        <w:rFonts w:ascii="Symbol" w:hAnsi="Symbol"/>
      </w:rPr>
    </w:lvl>
    <w:lvl w:ilvl="7" w:tplc="16BEF9C0">
      <w:start w:val="1"/>
      <w:numFmt w:val="bullet"/>
      <w:lvlText w:val="o"/>
      <w:lvlJc w:val="left"/>
      <w:pPr>
        <w:tabs>
          <w:tab w:val="num" w:pos="5760"/>
        </w:tabs>
        <w:ind w:left="5760" w:hanging="360"/>
      </w:pPr>
      <w:rPr>
        <w:rFonts w:ascii="Courier New" w:hAnsi="Courier New"/>
      </w:rPr>
    </w:lvl>
    <w:lvl w:ilvl="8" w:tplc="00A06EDC">
      <w:start w:val="1"/>
      <w:numFmt w:val="bullet"/>
      <w:lvlText w:val=""/>
      <w:lvlJc w:val="left"/>
      <w:pPr>
        <w:tabs>
          <w:tab w:val="num" w:pos="6480"/>
        </w:tabs>
        <w:ind w:left="6480" w:hanging="360"/>
      </w:pPr>
      <w:rPr>
        <w:rFonts w:ascii="Wingdings" w:hAnsi="Wingdings"/>
      </w:rPr>
    </w:lvl>
  </w:abstractNum>
  <w:abstractNum w:abstractNumId="269" w15:restartNumberingAfterBreak="0">
    <w:nsid w:val="722305CF"/>
    <w:multiLevelType w:val="hybridMultilevel"/>
    <w:tmpl w:val="722305CF"/>
    <w:lvl w:ilvl="0" w:tplc="3E686580">
      <w:start w:val="1"/>
      <w:numFmt w:val="bullet"/>
      <w:lvlText w:val=""/>
      <w:lvlJc w:val="left"/>
      <w:pPr>
        <w:ind w:left="720" w:hanging="360"/>
      </w:pPr>
      <w:rPr>
        <w:rFonts w:ascii="Symbol" w:hAnsi="Symbol"/>
      </w:rPr>
    </w:lvl>
    <w:lvl w:ilvl="1" w:tplc="3954C1AA">
      <w:start w:val="1"/>
      <w:numFmt w:val="bullet"/>
      <w:lvlText w:val="o"/>
      <w:lvlJc w:val="left"/>
      <w:pPr>
        <w:tabs>
          <w:tab w:val="num" w:pos="1440"/>
        </w:tabs>
        <w:ind w:left="1440" w:hanging="360"/>
      </w:pPr>
      <w:rPr>
        <w:rFonts w:ascii="Courier New" w:hAnsi="Courier New"/>
      </w:rPr>
    </w:lvl>
    <w:lvl w:ilvl="2" w:tplc="0BCE2624">
      <w:start w:val="1"/>
      <w:numFmt w:val="bullet"/>
      <w:lvlText w:val=""/>
      <w:lvlJc w:val="left"/>
      <w:pPr>
        <w:tabs>
          <w:tab w:val="num" w:pos="2160"/>
        </w:tabs>
        <w:ind w:left="2160" w:hanging="360"/>
      </w:pPr>
      <w:rPr>
        <w:rFonts w:ascii="Wingdings" w:hAnsi="Wingdings"/>
      </w:rPr>
    </w:lvl>
    <w:lvl w:ilvl="3" w:tplc="7B2254E6">
      <w:start w:val="1"/>
      <w:numFmt w:val="bullet"/>
      <w:lvlText w:val=""/>
      <w:lvlJc w:val="left"/>
      <w:pPr>
        <w:tabs>
          <w:tab w:val="num" w:pos="2880"/>
        </w:tabs>
        <w:ind w:left="2880" w:hanging="360"/>
      </w:pPr>
      <w:rPr>
        <w:rFonts w:ascii="Symbol" w:hAnsi="Symbol"/>
      </w:rPr>
    </w:lvl>
    <w:lvl w:ilvl="4" w:tplc="52E814E0">
      <w:start w:val="1"/>
      <w:numFmt w:val="bullet"/>
      <w:lvlText w:val="o"/>
      <w:lvlJc w:val="left"/>
      <w:pPr>
        <w:tabs>
          <w:tab w:val="num" w:pos="3600"/>
        </w:tabs>
        <w:ind w:left="3600" w:hanging="360"/>
      </w:pPr>
      <w:rPr>
        <w:rFonts w:ascii="Courier New" w:hAnsi="Courier New"/>
      </w:rPr>
    </w:lvl>
    <w:lvl w:ilvl="5" w:tplc="4BFEE3DC">
      <w:start w:val="1"/>
      <w:numFmt w:val="bullet"/>
      <w:lvlText w:val=""/>
      <w:lvlJc w:val="left"/>
      <w:pPr>
        <w:tabs>
          <w:tab w:val="num" w:pos="4320"/>
        </w:tabs>
        <w:ind w:left="4320" w:hanging="360"/>
      </w:pPr>
      <w:rPr>
        <w:rFonts w:ascii="Wingdings" w:hAnsi="Wingdings"/>
      </w:rPr>
    </w:lvl>
    <w:lvl w:ilvl="6" w:tplc="32684236">
      <w:start w:val="1"/>
      <w:numFmt w:val="bullet"/>
      <w:lvlText w:val=""/>
      <w:lvlJc w:val="left"/>
      <w:pPr>
        <w:tabs>
          <w:tab w:val="num" w:pos="5040"/>
        </w:tabs>
        <w:ind w:left="5040" w:hanging="360"/>
      </w:pPr>
      <w:rPr>
        <w:rFonts w:ascii="Symbol" w:hAnsi="Symbol"/>
      </w:rPr>
    </w:lvl>
    <w:lvl w:ilvl="7" w:tplc="8F5434D0">
      <w:start w:val="1"/>
      <w:numFmt w:val="bullet"/>
      <w:lvlText w:val="o"/>
      <w:lvlJc w:val="left"/>
      <w:pPr>
        <w:tabs>
          <w:tab w:val="num" w:pos="5760"/>
        </w:tabs>
        <w:ind w:left="5760" w:hanging="360"/>
      </w:pPr>
      <w:rPr>
        <w:rFonts w:ascii="Courier New" w:hAnsi="Courier New"/>
      </w:rPr>
    </w:lvl>
    <w:lvl w:ilvl="8" w:tplc="75DE51E0">
      <w:start w:val="1"/>
      <w:numFmt w:val="bullet"/>
      <w:lvlText w:val=""/>
      <w:lvlJc w:val="left"/>
      <w:pPr>
        <w:tabs>
          <w:tab w:val="num" w:pos="6480"/>
        </w:tabs>
        <w:ind w:left="6480" w:hanging="360"/>
      </w:pPr>
      <w:rPr>
        <w:rFonts w:ascii="Wingdings" w:hAnsi="Wingdings"/>
      </w:rPr>
    </w:lvl>
  </w:abstractNum>
  <w:abstractNum w:abstractNumId="270" w15:restartNumberingAfterBreak="0">
    <w:nsid w:val="722305D0"/>
    <w:multiLevelType w:val="hybridMultilevel"/>
    <w:tmpl w:val="722305D0"/>
    <w:lvl w:ilvl="0" w:tplc="DDFA67B0">
      <w:start w:val="1"/>
      <w:numFmt w:val="bullet"/>
      <w:lvlText w:val=""/>
      <w:lvlJc w:val="left"/>
      <w:pPr>
        <w:ind w:left="720" w:hanging="360"/>
      </w:pPr>
      <w:rPr>
        <w:rFonts w:ascii="Symbol" w:hAnsi="Symbol"/>
      </w:rPr>
    </w:lvl>
    <w:lvl w:ilvl="1" w:tplc="58B6D00C">
      <w:start w:val="1"/>
      <w:numFmt w:val="bullet"/>
      <w:lvlText w:val="o"/>
      <w:lvlJc w:val="left"/>
      <w:pPr>
        <w:tabs>
          <w:tab w:val="num" w:pos="1440"/>
        </w:tabs>
        <w:ind w:left="1440" w:hanging="360"/>
      </w:pPr>
      <w:rPr>
        <w:rFonts w:ascii="Courier New" w:hAnsi="Courier New"/>
      </w:rPr>
    </w:lvl>
    <w:lvl w:ilvl="2" w:tplc="FFFABD42">
      <w:start w:val="1"/>
      <w:numFmt w:val="bullet"/>
      <w:lvlText w:val=""/>
      <w:lvlJc w:val="left"/>
      <w:pPr>
        <w:tabs>
          <w:tab w:val="num" w:pos="2160"/>
        </w:tabs>
        <w:ind w:left="2160" w:hanging="360"/>
      </w:pPr>
      <w:rPr>
        <w:rFonts w:ascii="Wingdings" w:hAnsi="Wingdings"/>
      </w:rPr>
    </w:lvl>
    <w:lvl w:ilvl="3" w:tplc="0832A620">
      <w:start w:val="1"/>
      <w:numFmt w:val="bullet"/>
      <w:lvlText w:val=""/>
      <w:lvlJc w:val="left"/>
      <w:pPr>
        <w:tabs>
          <w:tab w:val="num" w:pos="2880"/>
        </w:tabs>
        <w:ind w:left="2880" w:hanging="360"/>
      </w:pPr>
      <w:rPr>
        <w:rFonts w:ascii="Symbol" w:hAnsi="Symbol"/>
      </w:rPr>
    </w:lvl>
    <w:lvl w:ilvl="4" w:tplc="9D3EC612">
      <w:start w:val="1"/>
      <w:numFmt w:val="bullet"/>
      <w:lvlText w:val="o"/>
      <w:lvlJc w:val="left"/>
      <w:pPr>
        <w:tabs>
          <w:tab w:val="num" w:pos="3600"/>
        </w:tabs>
        <w:ind w:left="3600" w:hanging="360"/>
      </w:pPr>
      <w:rPr>
        <w:rFonts w:ascii="Courier New" w:hAnsi="Courier New"/>
      </w:rPr>
    </w:lvl>
    <w:lvl w:ilvl="5" w:tplc="30FA3DE6">
      <w:start w:val="1"/>
      <w:numFmt w:val="bullet"/>
      <w:lvlText w:val=""/>
      <w:lvlJc w:val="left"/>
      <w:pPr>
        <w:tabs>
          <w:tab w:val="num" w:pos="4320"/>
        </w:tabs>
        <w:ind w:left="4320" w:hanging="360"/>
      </w:pPr>
      <w:rPr>
        <w:rFonts w:ascii="Wingdings" w:hAnsi="Wingdings"/>
      </w:rPr>
    </w:lvl>
    <w:lvl w:ilvl="6" w:tplc="31BA1D34">
      <w:start w:val="1"/>
      <w:numFmt w:val="bullet"/>
      <w:lvlText w:val=""/>
      <w:lvlJc w:val="left"/>
      <w:pPr>
        <w:tabs>
          <w:tab w:val="num" w:pos="5040"/>
        </w:tabs>
        <w:ind w:left="5040" w:hanging="360"/>
      </w:pPr>
      <w:rPr>
        <w:rFonts w:ascii="Symbol" w:hAnsi="Symbol"/>
      </w:rPr>
    </w:lvl>
    <w:lvl w:ilvl="7" w:tplc="931AB290">
      <w:start w:val="1"/>
      <w:numFmt w:val="bullet"/>
      <w:lvlText w:val="o"/>
      <w:lvlJc w:val="left"/>
      <w:pPr>
        <w:tabs>
          <w:tab w:val="num" w:pos="5760"/>
        </w:tabs>
        <w:ind w:left="5760" w:hanging="360"/>
      </w:pPr>
      <w:rPr>
        <w:rFonts w:ascii="Courier New" w:hAnsi="Courier New"/>
      </w:rPr>
    </w:lvl>
    <w:lvl w:ilvl="8" w:tplc="E92E1792">
      <w:start w:val="1"/>
      <w:numFmt w:val="bullet"/>
      <w:lvlText w:val=""/>
      <w:lvlJc w:val="left"/>
      <w:pPr>
        <w:tabs>
          <w:tab w:val="num" w:pos="6480"/>
        </w:tabs>
        <w:ind w:left="6480" w:hanging="360"/>
      </w:pPr>
      <w:rPr>
        <w:rFonts w:ascii="Wingdings" w:hAnsi="Wingdings"/>
      </w:rPr>
    </w:lvl>
  </w:abstractNum>
  <w:abstractNum w:abstractNumId="271" w15:restartNumberingAfterBreak="0">
    <w:nsid w:val="722305D1"/>
    <w:multiLevelType w:val="hybridMultilevel"/>
    <w:tmpl w:val="722305D1"/>
    <w:lvl w:ilvl="0" w:tplc="790E9EE0">
      <w:start w:val="1"/>
      <w:numFmt w:val="bullet"/>
      <w:lvlText w:val=""/>
      <w:lvlJc w:val="left"/>
      <w:pPr>
        <w:ind w:left="720" w:hanging="360"/>
      </w:pPr>
      <w:rPr>
        <w:rFonts w:ascii="Symbol" w:hAnsi="Symbol"/>
      </w:rPr>
    </w:lvl>
    <w:lvl w:ilvl="1" w:tplc="7DC680F2">
      <w:start w:val="1"/>
      <w:numFmt w:val="bullet"/>
      <w:lvlText w:val="o"/>
      <w:lvlJc w:val="left"/>
      <w:pPr>
        <w:tabs>
          <w:tab w:val="num" w:pos="1440"/>
        </w:tabs>
        <w:ind w:left="1440" w:hanging="360"/>
      </w:pPr>
      <w:rPr>
        <w:rFonts w:ascii="Courier New" w:hAnsi="Courier New"/>
      </w:rPr>
    </w:lvl>
    <w:lvl w:ilvl="2" w:tplc="6CB60042">
      <w:start w:val="1"/>
      <w:numFmt w:val="bullet"/>
      <w:lvlText w:val=""/>
      <w:lvlJc w:val="left"/>
      <w:pPr>
        <w:tabs>
          <w:tab w:val="num" w:pos="2160"/>
        </w:tabs>
        <w:ind w:left="2160" w:hanging="360"/>
      </w:pPr>
      <w:rPr>
        <w:rFonts w:ascii="Wingdings" w:hAnsi="Wingdings"/>
      </w:rPr>
    </w:lvl>
    <w:lvl w:ilvl="3" w:tplc="2F9001FC">
      <w:start w:val="1"/>
      <w:numFmt w:val="bullet"/>
      <w:lvlText w:val=""/>
      <w:lvlJc w:val="left"/>
      <w:pPr>
        <w:tabs>
          <w:tab w:val="num" w:pos="2880"/>
        </w:tabs>
        <w:ind w:left="2880" w:hanging="360"/>
      </w:pPr>
      <w:rPr>
        <w:rFonts w:ascii="Symbol" w:hAnsi="Symbol"/>
      </w:rPr>
    </w:lvl>
    <w:lvl w:ilvl="4" w:tplc="8AAA0106">
      <w:start w:val="1"/>
      <w:numFmt w:val="bullet"/>
      <w:lvlText w:val="o"/>
      <w:lvlJc w:val="left"/>
      <w:pPr>
        <w:tabs>
          <w:tab w:val="num" w:pos="3600"/>
        </w:tabs>
        <w:ind w:left="3600" w:hanging="360"/>
      </w:pPr>
      <w:rPr>
        <w:rFonts w:ascii="Courier New" w:hAnsi="Courier New"/>
      </w:rPr>
    </w:lvl>
    <w:lvl w:ilvl="5" w:tplc="8EDCFD28">
      <w:start w:val="1"/>
      <w:numFmt w:val="bullet"/>
      <w:lvlText w:val=""/>
      <w:lvlJc w:val="left"/>
      <w:pPr>
        <w:tabs>
          <w:tab w:val="num" w:pos="4320"/>
        </w:tabs>
        <w:ind w:left="4320" w:hanging="360"/>
      </w:pPr>
      <w:rPr>
        <w:rFonts w:ascii="Wingdings" w:hAnsi="Wingdings"/>
      </w:rPr>
    </w:lvl>
    <w:lvl w:ilvl="6" w:tplc="74347BCA">
      <w:start w:val="1"/>
      <w:numFmt w:val="bullet"/>
      <w:lvlText w:val=""/>
      <w:lvlJc w:val="left"/>
      <w:pPr>
        <w:tabs>
          <w:tab w:val="num" w:pos="5040"/>
        </w:tabs>
        <w:ind w:left="5040" w:hanging="360"/>
      </w:pPr>
      <w:rPr>
        <w:rFonts w:ascii="Symbol" w:hAnsi="Symbol"/>
      </w:rPr>
    </w:lvl>
    <w:lvl w:ilvl="7" w:tplc="534844F4">
      <w:start w:val="1"/>
      <w:numFmt w:val="bullet"/>
      <w:lvlText w:val="o"/>
      <w:lvlJc w:val="left"/>
      <w:pPr>
        <w:tabs>
          <w:tab w:val="num" w:pos="5760"/>
        </w:tabs>
        <w:ind w:left="5760" w:hanging="360"/>
      </w:pPr>
      <w:rPr>
        <w:rFonts w:ascii="Courier New" w:hAnsi="Courier New"/>
      </w:rPr>
    </w:lvl>
    <w:lvl w:ilvl="8" w:tplc="C17E6F6A">
      <w:start w:val="1"/>
      <w:numFmt w:val="bullet"/>
      <w:lvlText w:val=""/>
      <w:lvlJc w:val="left"/>
      <w:pPr>
        <w:tabs>
          <w:tab w:val="num" w:pos="6480"/>
        </w:tabs>
        <w:ind w:left="6480" w:hanging="360"/>
      </w:pPr>
      <w:rPr>
        <w:rFonts w:ascii="Wingdings" w:hAnsi="Wingdings"/>
      </w:rPr>
    </w:lvl>
  </w:abstractNum>
  <w:abstractNum w:abstractNumId="272" w15:restartNumberingAfterBreak="0">
    <w:nsid w:val="722305D2"/>
    <w:multiLevelType w:val="hybridMultilevel"/>
    <w:tmpl w:val="722305D2"/>
    <w:lvl w:ilvl="0" w:tplc="C882A412">
      <w:start w:val="1"/>
      <w:numFmt w:val="bullet"/>
      <w:lvlText w:val=""/>
      <w:lvlJc w:val="left"/>
      <w:pPr>
        <w:ind w:left="720" w:hanging="360"/>
      </w:pPr>
      <w:rPr>
        <w:rFonts w:ascii="Symbol" w:hAnsi="Symbol"/>
      </w:rPr>
    </w:lvl>
    <w:lvl w:ilvl="1" w:tplc="CF6E6AC8">
      <w:start w:val="1"/>
      <w:numFmt w:val="bullet"/>
      <w:lvlText w:val="o"/>
      <w:lvlJc w:val="left"/>
      <w:pPr>
        <w:tabs>
          <w:tab w:val="num" w:pos="1440"/>
        </w:tabs>
        <w:ind w:left="1440" w:hanging="360"/>
      </w:pPr>
      <w:rPr>
        <w:rFonts w:ascii="Courier New" w:hAnsi="Courier New"/>
      </w:rPr>
    </w:lvl>
    <w:lvl w:ilvl="2" w:tplc="FC1E99BC">
      <w:start w:val="1"/>
      <w:numFmt w:val="bullet"/>
      <w:lvlText w:val=""/>
      <w:lvlJc w:val="left"/>
      <w:pPr>
        <w:tabs>
          <w:tab w:val="num" w:pos="2160"/>
        </w:tabs>
        <w:ind w:left="2160" w:hanging="360"/>
      </w:pPr>
      <w:rPr>
        <w:rFonts w:ascii="Wingdings" w:hAnsi="Wingdings"/>
      </w:rPr>
    </w:lvl>
    <w:lvl w:ilvl="3" w:tplc="50D69AB6">
      <w:start w:val="1"/>
      <w:numFmt w:val="bullet"/>
      <w:lvlText w:val=""/>
      <w:lvlJc w:val="left"/>
      <w:pPr>
        <w:tabs>
          <w:tab w:val="num" w:pos="2880"/>
        </w:tabs>
        <w:ind w:left="2880" w:hanging="360"/>
      </w:pPr>
      <w:rPr>
        <w:rFonts w:ascii="Symbol" w:hAnsi="Symbol"/>
      </w:rPr>
    </w:lvl>
    <w:lvl w:ilvl="4" w:tplc="B45A5940">
      <w:start w:val="1"/>
      <w:numFmt w:val="bullet"/>
      <w:lvlText w:val="o"/>
      <w:lvlJc w:val="left"/>
      <w:pPr>
        <w:tabs>
          <w:tab w:val="num" w:pos="3600"/>
        </w:tabs>
        <w:ind w:left="3600" w:hanging="360"/>
      </w:pPr>
      <w:rPr>
        <w:rFonts w:ascii="Courier New" w:hAnsi="Courier New"/>
      </w:rPr>
    </w:lvl>
    <w:lvl w:ilvl="5" w:tplc="50FE8620">
      <w:start w:val="1"/>
      <w:numFmt w:val="bullet"/>
      <w:lvlText w:val=""/>
      <w:lvlJc w:val="left"/>
      <w:pPr>
        <w:tabs>
          <w:tab w:val="num" w:pos="4320"/>
        </w:tabs>
        <w:ind w:left="4320" w:hanging="360"/>
      </w:pPr>
      <w:rPr>
        <w:rFonts w:ascii="Wingdings" w:hAnsi="Wingdings"/>
      </w:rPr>
    </w:lvl>
    <w:lvl w:ilvl="6" w:tplc="F0AC78CC">
      <w:start w:val="1"/>
      <w:numFmt w:val="bullet"/>
      <w:lvlText w:val=""/>
      <w:lvlJc w:val="left"/>
      <w:pPr>
        <w:tabs>
          <w:tab w:val="num" w:pos="5040"/>
        </w:tabs>
        <w:ind w:left="5040" w:hanging="360"/>
      </w:pPr>
      <w:rPr>
        <w:rFonts w:ascii="Symbol" w:hAnsi="Symbol"/>
      </w:rPr>
    </w:lvl>
    <w:lvl w:ilvl="7" w:tplc="A90A5570">
      <w:start w:val="1"/>
      <w:numFmt w:val="bullet"/>
      <w:lvlText w:val="o"/>
      <w:lvlJc w:val="left"/>
      <w:pPr>
        <w:tabs>
          <w:tab w:val="num" w:pos="5760"/>
        </w:tabs>
        <w:ind w:left="5760" w:hanging="360"/>
      </w:pPr>
      <w:rPr>
        <w:rFonts w:ascii="Courier New" w:hAnsi="Courier New"/>
      </w:rPr>
    </w:lvl>
    <w:lvl w:ilvl="8" w:tplc="0B0E589A">
      <w:start w:val="1"/>
      <w:numFmt w:val="bullet"/>
      <w:lvlText w:val=""/>
      <w:lvlJc w:val="left"/>
      <w:pPr>
        <w:tabs>
          <w:tab w:val="num" w:pos="6480"/>
        </w:tabs>
        <w:ind w:left="6480" w:hanging="360"/>
      </w:pPr>
      <w:rPr>
        <w:rFonts w:ascii="Wingdings" w:hAnsi="Wingdings"/>
      </w:rPr>
    </w:lvl>
  </w:abstractNum>
  <w:abstractNum w:abstractNumId="273" w15:restartNumberingAfterBreak="0">
    <w:nsid w:val="722305D3"/>
    <w:multiLevelType w:val="hybridMultilevel"/>
    <w:tmpl w:val="722305D3"/>
    <w:lvl w:ilvl="0" w:tplc="572A7B76">
      <w:start w:val="1"/>
      <w:numFmt w:val="bullet"/>
      <w:lvlText w:val=""/>
      <w:lvlJc w:val="left"/>
      <w:pPr>
        <w:ind w:left="720" w:hanging="360"/>
      </w:pPr>
      <w:rPr>
        <w:rFonts w:ascii="Symbol" w:hAnsi="Symbol"/>
      </w:rPr>
    </w:lvl>
    <w:lvl w:ilvl="1" w:tplc="E5B268CA">
      <w:start w:val="1"/>
      <w:numFmt w:val="bullet"/>
      <w:lvlText w:val="o"/>
      <w:lvlJc w:val="left"/>
      <w:pPr>
        <w:tabs>
          <w:tab w:val="num" w:pos="1440"/>
        </w:tabs>
        <w:ind w:left="1440" w:hanging="360"/>
      </w:pPr>
      <w:rPr>
        <w:rFonts w:ascii="Courier New" w:hAnsi="Courier New"/>
      </w:rPr>
    </w:lvl>
    <w:lvl w:ilvl="2" w:tplc="950A41E2">
      <w:start w:val="1"/>
      <w:numFmt w:val="bullet"/>
      <w:lvlText w:val=""/>
      <w:lvlJc w:val="left"/>
      <w:pPr>
        <w:tabs>
          <w:tab w:val="num" w:pos="2160"/>
        </w:tabs>
        <w:ind w:left="2160" w:hanging="360"/>
      </w:pPr>
      <w:rPr>
        <w:rFonts w:ascii="Wingdings" w:hAnsi="Wingdings"/>
      </w:rPr>
    </w:lvl>
    <w:lvl w:ilvl="3" w:tplc="00C8757A">
      <w:start w:val="1"/>
      <w:numFmt w:val="bullet"/>
      <w:lvlText w:val=""/>
      <w:lvlJc w:val="left"/>
      <w:pPr>
        <w:tabs>
          <w:tab w:val="num" w:pos="2880"/>
        </w:tabs>
        <w:ind w:left="2880" w:hanging="360"/>
      </w:pPr>
      <w:rPr>
        <w:rFonts w:ascii="Symbol" w:hAnsi="Symbol"/>
      </w:rPr>
    </w:lvl>
    <w:lvl w:ilvl="4" w:tplc="61E615D8">
      <w:start w:val="1"/>
      <w:numFmt w:val="bullet"/>
      <w:lvlText w:val="o"/>
      <w:lvlJc w:val="left"/>
      <w:pPr>
        <w:tabs>
          <w:tab w:val="num" w:pos="3600"/>
        </w:tabs>
        <w:ind w:left="3600" w:hanging="360"/>
      </w:pPr>
      <w:rPr>
        <w:rFonts w:ascii="Courier New" w:hAnsi="Courier New"/>
      </w:rPr>
    </w:lvl>
    <w:lvl w:ilvl="5" w:tplc="5DF62B44">
      <w:start w:val="1"/>
      <w:numFmt w:val="bullet"/>
      <w:lvlText w:val=""/>
      <w:lvlJc w:val="left"/>
      <w:pPr>
        <w:tabs>
          <w:tab w:val="num" w:pos="4320"/>
        </w:tabs>
        <w:ind w:left="4320" w:hanging="360"/>
      </w:pPr>
      <w:rPr>
        <w:rFonts w:ascii="Wingdings" w:hAnsi="Wingdings"/>
      </w:rPr>
    </w:lvl>
    <w:lvl w:ilvl="6" w:tplc="14BA6DE0">
      <w:start w:val="1"/>
      <w:numFmt w:val="bullet"/>
      <w:lvlText w:val=""/>
      <w:lvlJc w:val="left"/>
      <w:pPr>
        <w:tabs>
          <w:tab w:val="num" w:pos="5040"/>
        </w:tabs>
        <w:ind w:left="5040" w:hanging="360"/>
      </w:pPr>
      <w:rPr>
        <w:rFonts w:ascii="Symbol" w:hAnsi="Symbol"/>
      </w:rPr>
    </w:lvl>
    <w:lvl w:ilvl="7" w:tplc="ADBE0104">
      <w:start w:val="1"/>
      <w:numFmt w:val="bullet"/>
      <w:lvlText w:val="o"/>
      <w:lvlJc w:val="left"/>
      <w:pPr>
        <w:tabs>
          <w:tab w:val="num" w:pos="5760"/>
        </w:tabs>
        <w:ind w:left="5760" w:hanging="360"/>
      </w:pPr>
      <w:rPr>
        <w:rFonts w:ascii="Courier New" w:hAnsi="Courier New"/>
      </w:rPr>
    </w:lvl>
    <w:lvl w:ilvl="8" w:tplc="305ED722">
      <w:start w:val="1"/>
      <w:numFmt w:val="bullet"/>
      <w:lvlText w:val=""/>
      <w:lvlJc w:val="left"/>
      <w:pPr>
        <w:tabs>
          <w:tab w:val="num" w:pos="6480"/>
        </w:tabs>
        <w:ind w:left="6480" w:hanging="360"/>
      </w:pPr>
      <w:rPr>
        <w:rFonts w:ascii="Wingdings" w:hAnsi="Wingdings"/>
      </w:rPr>
    </w:lvl>
  </w:abstractNum>
  <w:abstractNum w:abstractNumId="274" w15:restartNumberingAfterBreak="0">
    <w:nsid w:val="722305D4"/>
    <w:multiLevelType w:val="hybridMultilevel"/>
    <w:tmpl w:val="722305D4"/>
    <w:lvl w:ilvl="0" w:tplc="8C7AAE0C">
      <w:start w:val="1"/>
      <w:numFmt w:val="bullet"/>
      <w:lvlText w:val=""/>
      <w:lvlJc w:val="left"/>
      <w:pPr>
        <w:ind w:left="720" w:hanging="360"/>
      </w:pPr>
      <w:rPr>
        <w:rFonts w:ascii="Symbol" w:hAnsi="Symbol"/>
      </w:rPr>
    </w:lvl>
    <w:lvl w:ilvl="1" w:tplc="77EE5F2A">
      <w:start w:val="1"/>
      <w:numFmt w:val="bullet"/>
      <w:lvlText w:val="o"/>
      <w:lvlJc w:val="left"/>
      <w:pPr>
        <w:ind w:left="1440" w:hanging="360"/>
      </w:pPr>
      <w:rPr>
        <w:rFonts w:ascii="Courier New" w:hAnsi="Courier New"/>
      </w:rPr>
    </w:lvl>
    <w:lvl w:ilvl="2" w:tplc="2946AB52">
      <w:start w:val="1"/>
      <w:numFmt w:val="bullet"/>
      <w:lvlText w:val=""/>
      <w:lvlJc w:val="left"/>
      <w:pPr>
        <w:tabs>
          <w:tab w:val="num" w:pos="2160"/>
        </w:tabs>
        <w:ind w:left="2160" w:hanging="360"/>
      </w:pPr>
      <w:rPr>
        <w:rFonts w:ascii="Wingdings" w:hAnsi="Wingdings"/>
      </w:rPr>
    </w:lvl>
    <w:lvl w:ilvl="3" w:tplc="EAA089B6">
      <w:start w:val="1"/>
      <w:numFmt w:val="bullet"/>
      <w:lvlText w:val=""/>
      <w:lvlJc w:val="left"/>
      <w:pPr>
        <w:tabs>
          <w:tab w:val="num" w:pos="2880"/>
        </w:tabs>
        <w:ind w:left="2880" w:hanging="360"/>
      </w:pPr>
      <w:rPr>
        <w:rFonts w:ascii="Symbol" w:hAnsi="Symbol"/>
      </w:rPr>
    </w:lvl>
    <w:lvl w:ilvl="4" w:tplc="788CFC94">
      <w:start w:val="1"/>
      <w:numFmt w:val="bullet"/>
      <w:lvlText w:val="o"/>
      <w:lvlJc w:val="left"/>
      <w:pPr>
        <w:tabs>
          <w:tab w:val="num" w:pos="3600"/>
        </w:tabs>
        <w:ind w:left="3600" w:hanging="360"/>
      </w:pPr>
      <w:rPr>
        <w:rFonts w:ascii="Courier New" w:hAnsi="Courier New"/>
      </w:rPr>
    </w:lvl>
    <w:lvl w:ilvl="5" w:tplc="5F522F5A">
      <w:start w:val="1"/>
      <w:numFmt w:val="bullet"/>
      <w:lvlText w:val=""/>
      <w:lvlJc w:val="left"/>
      <w:pPr>
        <w:tabs>
          <w:tab w:val="num" w:pos="4320"/>
        </w:tabs>
        <w:ind w:left="4320" w:hanging="360"/>
      </w:pPr>
      <w:rPr>
        <w:rFonts w:ascii="Wingdings" w:hAnsi="Wingdings"/>
      </w:rPr>
    </w:lvl>
    <w:lvl w:ilvl="6" w:tplc="043A73A6">
      <w:start w:val="1"/>
      <w:numFmt w:val="bullet"/>
      <w:lvlText w:val=""/>
      <w:lvlJc w:val="left"/>
      <w:pPr>
        <w:tabs>
          <w:tab w:val="num" w:pos="5040"/>
        </w:tabs>
        <w:ind w:left="5040" w:hanging="360"/>
      </w:pPr>
      <w:rPr>
        <w:rFonts w:ascii="Symbol" w:hAnsi="Symbol"/>
      </w:rPr>
    </w:lvl>
    <w:lvl w:ilvl="7" w:tplc="2AC8B058">
      <w:start w:val="1"/>
      <w:numFmt w:val="bullet"/>
      <w:lvlText w:val="o"/>
      <w:lvlJc w:val="left"/>
      <w:pPr>
        <w:tabs>
          <w:tab w:val="num" w:pos="5760"/>
        </w:tabs>
        <w:ind w:left="5760" w:hanging="360"/>
      </w:pPr>
      <w:rPr>
        <w:rFonts w:ascii="Courier New" w:hAnsi="Courier New"/>
      </w:rPr>
    </w:lvl>
    <w:lvl w:ilvl="8" w:tplc="AD7E6F18">
      <w:start w:val="1"/>
      <w:numFmt w:val="bullet"/>
      <w:lvlText w:val=""/>
      <w:lvlJc w:val="left"/>
      <w:pPr>
        <w:tabs>
          <w:tab w:val="num" w:pos="6480"/>
        </w:tabs>
        <w:ind w:left="6480" w:hanging="360"/>
      </w:pPr>
      <w:rPr>
        <w:rFonts w:ascii="Wingdings" w:hAnsi="Wingdings"/>
      </w:rPr>
    </w:lvl>
  </w:abstractNum>
  <w:abstractNum w:abstractNumId="275" w15:restartNumberingAfterBreak="0">
    <w:nsid w:val="722305D5"/>
    <w:multiLevelType w:val="hybridMultilevel"/>
    <w:tmpl w:val="722305D5"/>
    <w:lvl w:ilvl="0" w:tplc="6934534C">
      <w:start w:val="1"/>
      <w:numFmt w:val="bullet"/>
      <w:lvlText w:val=""/>
      <w:lvlJc w:val="left"/>
      <w:pPr>
        <w:ind w:left="720" w:hanging="360"/>
      </w:pPr>
      <w:rPr>
        <w:rFonts w:ascii="Symbol" w:hAnsi="Symbol"/>
      </w:rPr>
    </w:lvl>
    <w:lvl w:ilvl="1" w:tplc="17209608">
      <w:start w:val="1"/>
      <w:numFmt w:val="bullet"/>
      <w:lvlText w:val="o"/>
      <w:lvlJc w:val="left"/>
      <w:pPr>
        <w:tabs>
          <w:tab w:val="num" w:pos="1440"/>
        </w:tabs>
        <w:ind w:left="1440" w:hanging="360"/>
      </w:pPr>
      <w:rPr>
        <w:rFonts w:ascii="Courier New" w:hAnsi="Courier New"/>
      </w:rPr>
    </w:lvl>
    <w:lvl w:ilvl="2" w:tplc="4DC4DB10">
      <w:start w:val="1"/>
      <w:numFmt w:val="bullet"/>
      <w:lvlText w:val=""/>
      <w:lvlJc w:val="left"/>
      <w:pPr>
        <w:tabs>
          <w:tab w:val="num" w:pos="2160"/>
        </w:tabs>
        <w:ind w:left="2160" w:hanging="360"/>
      </w:pPr>
      <w:rPr>
        <w:rFonts w:ascii="Wingdings" w:hAnsi="Wingdings"/>
      </w:rPr>
    </w:lvl>
    <w:lvl w:ilvl="3" w:tplc="6DA255DA">
      <w:start w:val="1"/>
      <w:numFmt w:val="bullet"/>
      <w:lvlText w:val=""/>
      <w:lvlJc w:val="left"/>
      <w:pPr>
        <w:tabs>
          <w:tab w:val="num" w:pos="2880"/>
        </w:tabs>
        <w:ind w:left="2880" w:hanging="360"/>
      </w:pPr>
      <w:rPr>
        <w:rFonts w:ascii="Symbol" w:hAnsi="Symbol"/>
      </w:rPr>
    </w:lvl>
    <w:lvl w:ilvl="4" w:tplc="095092FC">
      <w:start w:val="1"/>
      <w:numFmt w:val="bullet"/>
      <w:lvlText w:val="o"/>
      <w:lvlJc w:val="left"/>
      <w:pPr>
        <w:tabs>
          <w:tab w:val="num" w:pos="3600"/>
        </w:tabs>
        <w:ind w:left="3600" w:hanging="360"/>
      </w:pPr>
      <w:rPr>
        <w:rFonts w:ascii="Courier New" w:hAnsi="Courier New"/>
      </w:rPr>
    </w:lvl>
    <w:lvl w:ilvl="5" w:tplc="30B019D0">
      <w:start w:val="1"/>
      <w:numFmt w:val="bullet"/>
      <w:lvlText w:val=""/>
      <w:lvlJc w:val="left"/>
      <w:pPr>
        <w:tabs>
          <w:tab w:val="num" w:pos="4320"/>
        </w:tabs>
        <w:ind w:left="4320" w:hanging="360"/>
      </w:pPr>
      <w:rPr>
        <w:rFonts w:ascii="Wingdings" w:hAnsi="Wingdings"/>
      </w:rPr>
    </w:lvl>
    <w:lvl w:ilvl="6" w:tplc="97A647D6">
      <w:start w:val="1"/>
      <w:numFmt w:val="bullet"/>
      <w:lvlText w:val=""/>
      <w:lvlJc w:val="left"/>
      <w:pPr>
        <w:tabs>
          <w:tab w:val="num" w:pos="5040"/>
        </w:tabs>
        <w:ind w:left="5040" w:hanging="360"/>
      </w:pPr>
      <w:rPr>
        <w:rFonts w:ascii="Symbol" w:hAnsi="Symbol"/>
      </w:rPr>
    </w:lvl>
    <w:lvl w:ilvl="7" w:tplc="5738799A">
      <w:start w:val="1"/>
      <w:numFmt w:val="bullet"/>
      <w:lvlText w:val="o"/>
      <w:lvlJc w:val="left"/>
      <w:pPr>
        <w:tabs>
          <w:tab w:val="num" w:pos="5760"/>
        </w:tabs>
        <w:ind w:left="5760" w:hanging="360"/>
      </w:pPr>
      <w:rPr>
        <w:rFonts w:ascii="Courier New" w:hAnsi="Courier New"/>
      </w:rPr>
    </w:lvl>
    <w:lvl w:ilvl="8" w:tplc="A2482A9A">
      <w:start w:val="1"/>
      <w:numFmt w:val="bullet"/>
      <w:lvlText w:val=""/>
      <w:lvlJc w:val="left"/>
      <w:pPr>
        <w:tabs>
          <w:tab w:val="num" w:pos="6480"/>
        </w:tabs>
        <w:ind w:left="6480" w:hanging="360"/>
      </w:pPr>
      <w:rPr>
        <w:rFonts w:ascii="Wingdings" w:hAnsi="Wingdings"/>
      </w:rPr>
    </w:lvl>
  </w:abstractNum>
  <w:abstractNum w:abstractNumId="276" w15:restartNumberingAfterBreak="0">
    <w:nsid w:val="722305D6"/>
    <w:multiLevelType w:val="hybridMultilevel"/>
    <w:tmpl w:val="722305D6"/>
    <w:lvl w:ilvl="0" w:tplc="B8365EFE">
      <w:start w:val="1"/>
      <w:numFmt w:val="bullet"/>
      <w:lvlText w:val=""/>
      <w:lvlJc w:val="left"/>
      <w:pPr>
        <w:ind w:left="720" w:hanging="360"/>
      </w:pPr>
      <w:rPr>
        <w:rFonts w:ascii="Symbol" w:hAnsi="Symbol"/>
      </w:rPr>
    </w:lvl>
    <w:lvl w:ilvl="1" w:tplc="B81477DC">
      <w:start w:val="1"/>
      <w:numFmt w:val="bullet"/>
      <w:lvlText w:val="o"/>
      <w:lvlJc w:val="left"/>
      <w:pPr>
        <w:tabs>
          <w:tab w:val="num" w:pos="1440"/>
        </w:tabs>
        <w:ind w:left="1440" w:hanging="360"/>
      </w:pPr>
      <w:rPr>
        <w:rFonts w:ascii="Courier New" w:hAnsi="Courier New"/>
      </w:rPr>
    </w:lvl>
    <w:lvl w:ilvl="2" w:tplc="9E8A8CBA">
      <w:start w:val="1"/>
      <w:numFmt w:val="bullet"/>
      <w:lvlText w:val=""/>
      <w:lvlJc w:val="left"/>
      <w:pPr>
        <w:tabs>
          <w:tab w:val="num" w:pos="2160"/>
        </w:tabs>
        <w:ind w:left="2160" w:hanging="360"/>
      </w:pPr>
      <w:rPr>
        <w:rFonts w:ascii="Wingdings" w:hAnsi="Wingdings"/>
      </w:rPr>
    </w:lvl>
    <w:lvl w:ilvl="3" w:tplc="4BBE3270">
      <w:start w:val="1"/>
      <w:numFmt w:val="bullet"/>
      <w:lvlText w:val=""/>
      <w:lvlJc w:val="left"/>
      <w:pPr>
        <w:tabs>
          <w:tab w:val="num" w:pos="2880"/>
        </w:tabs>
        <w:ind w:left="2880" w:hanging="360"/>
      </w:pPr>
      <w:rPr>
        <w:rFonts w:ascii="Symbol" w:hAnsi="Symbol"/>
      </w:rPr>
    </w:lvl>
    <w:lvl w:ilvl="4" w:tplc="71C04B7A">
      <w:start w:val="1"/>
      <w:numFmt w:val="bullet"/>
      <w:lvlText w:val="o"/>
      <w:lvlJc w:val="left"/>
      <w:pPr>
        <w:tabs>
          <w:tab w:val="num" w:pos="3600"/>
        </w:tabs>
        <w:ind w:left="3600" w:hanging="360"/>
      </w:pPr>
      <w:rPr>
        <w:rFonts w:ascii="Courier New" w:hAnsi="Courier New"/>
      </w:rPr>
    </w:lvl>
    <w:lvl w:ilvl="5" w:tplc="F0B88C4C">
      <w:start w:val="1"/>
      <w:numFmt w:val="bullet"/>
      <w:lvlText w:val=""/>
      <w:lvlJc w:val="left"/>
      <w:pPr>
        <w:tabs>
          <w:tab w:val="num" w:pos="4320"/>
        </w:tabs>
        <w:ind w:left="4320" w:hanging="360"/>
      </w:pPr>
      <w:rPr>
        <w:rFonts w:ascii="Wingdings" w:hAnsi="Wingdings"/>
      </w:rPr>
    </w:lvl>
    <w:lvl w:ilvl="6" w:tplc="B226CBE4">
      <w:start w:val="1"/>
      <w:numFmt w:val="bullet"/>
      <w:lvlText w:val=""/>
      <w:lvlJc w:val="left"/>
      <w:pPr>
        <w:tabs>
          <w:tab w:val="num" w:pos="5040"/>
        </w:tabs>
        <w:ind w:left="5040" w:hanging="360"/>
      </w:pPr>
      <w:rPr>
        <w:rFonts w:ascii="Symbol" w:hAnsi="Symbol"/>
      </w:rPr>
    </w:lvl>
    <w:lvl w:ilvl="7" w:tplc="6D4ED86C">
      <w:start w:val="1"/>
      <w:numFmt w:val="bullet"/>
      <w:lvlText w:val="o"/>
      <w:lvlJc w:val="left"/>
      <w:pPr>
        <w:tabs>
          <w:tab w:val="num" w:pos="5760"/>
        </w:tabs>
        <w:ind w:left="5760" w:hanging="360"/>
      </w:pPr>
      <w:rPr>
        <w:rFonts w:ascii="Courier New" w:hAnsi="Courier New"/>
      </w:rPr>
    </w:lvl>
    <w:lvl w:ilvl="8" w:tplc="31FC1322">
      <w:start w:val="1"/>
      <w:numFmt w:val="bullet"/>
      <w:lvlText w:val=""/>
      <w:lvlJc w:val="left"/>
      <w:pPr>
        <w:tabs>
          <w:tab w:val="num" w:pos="6480"/>
        </w:tabs>
        <w:ind w:left="6480" w:hanging="360"/>
      </w:pPr>
      <w:rPr>
        <w:rFonts w:ascii="Wingdings" w:hAnsi="Wingdings"/>
      </w:rPr>
    </w:lvl>
  </w:abstractNum>
  <w:abstractNum w:abstractNumId="277" w15:restartNumberingAfterBreak="0">
    <w:nsid w:val="722305D7"/>
    <w:multiLevelType w:val="hybridMultilevel"/>
    <w:tmpl w:val="722305D7"/>
    <w:lvl w:ilvl="0" w:tplc="B2F6384A">
      <w:start w:val="1"/>
      <w:numFmt w:val="bullet"/>
      <w:lvlText w:val=""/>
      <w:lvlJc w:val="left"/>
      <w:pPr>
        <w:ind w:left="720" w:hanging="360"/>
      </w:pPr>
      <w:rPr>
        <w:rFonts w:ascii="Symbol" w:hAnsi="Symbol"/>
      </w:rPr>
    </w:lvl>
    <w:lvl w:ilvl="1" w:tplc="CB7000F2">
      <w:start w:val="1"/>
      <w:numFmt w:val="bullet"/>
      <w:lvlText w:val="o"/>
      <w:lvlJc w:val="left"/>
      <w:pPr>
        <w:tabs>
          <w:tab w:val="num" w:pos="1440"/>
        </w:tabs>
        <w:ind w:left="1440" w:hanging="360"/>
      </w:pPr>
      <w:rPr>
        <w:rFonts w:ascii="Courier New" w:hAnsi="Courier New"/>
      </w:rPr>
    </w:lvl>
    <w:lvl w:ilvl="2" w:tplc="BD60C3C2">
      <w:start w:val="1"/>
      <w:numFmt w:val="bullet"/>
      <w:lvlText w:val=""/>
      <w:lvlJc w:val="left"/>
      <w:pPr>
        <w:tabs>
          <w:tab w:val="num" w:pos="2160"/>
        </w:tabs>
        <w:ind w:left="2160" w:hanging="360"/>
      </w:pPr>
      <w:rPr>
        <w:rFonts w:ascii="Wingdings" w:hAnsi="Wingdings"/>
      </w:rPr>
    </w:lvl>
    <w:lvl w:ilvl="3" w:tplc="6F1CEBEE">
      <w:start w:val="1"/>
      <w:numFmt w:val="bullet"/>
      <w:lvlText w:val=""/>
      <w:lvlJc w:val="left"/>
      <w:pPr>
        <w:tabs>
          <w:tab w:val="num" w:pos="2880"/>
        </w:tabs>
        <w:ind w:left="2880" w:hanging="360"/>
      </w:pPr>
      <w:rPr>
        <w:rFonts w:ascii="Symbol" w:hAnsi="Symbol"/>
      </w:rPr>
    </w:lvl>
    <w:lvl w:ilvl="4" w:tplc="A9E2BA32">
      <w:start w:val="1"/>
      <w:numFmt w:val="bullet"/>
      <w:lvlText w:val="o"/>
      <w:lvlJc w:val="left"/>
      <w:pPr>
        <w:tabs>
          <w:tab w:val="num" w:pos="3600"/>
        </w:tabs>
        <w:ind w:left="3600" w:hanging="360"/>
      </w:pPr>
      <w:rPr>
        <w:rFonts w:ascii="Courier New" w:hAnsi="Courier New"/>
      </w:rPr>
    </w:lvl>
    <w:lvl w:ilvl="5" w:tplc="AC5AA2BC">
      <w:start w:val="1"/>
      <w:numFmt w:val="bullet"/>
      <w:lvlText w:val=""/>
      <w:lvlJc w:val="left"/>
      <w:pPr>
        <w:tabs>
          <w:tab w:val="num" w:pos="4320"/>
        </w:tabs>
        <w:ind w:left="4320" w:hanging="360"/>
      </w:pPr>
      <w:rPr>
        <w:rFonts w:ascii="Wingdings" w:hAnsi="Wingdings"/>
      </w:rPr>
    </w:lvl>
    <w:lvl w:ilvl="6" w:tplc="79B0D4F4">
      <w:start w:val="1"/>
      <w:numFmt w:val="bullet"/>
      <w:lvlText w:val=""/>
      <w:lvlJc w:val="left"/>
      <w:pPr>
        <w:tabs>
          <w:tab w:val="num" w:pos="5040"/>
        </w:tabs>
        <w:ind w:left="5040" w:hanging="360"/>
      </w:pPr>
      <w:rPr>
        <w:rFonts w:ascii="Symbol" w:hAnsi="Symbol"/>
      </w:rPr>
    </w:lvl>
    <w:lvl w:ilvl="7" w:tplc="48B22884">
      <w:start w:val="1"/>
      <w:numFmt w:val="bullet"/>
      <w:lvlText w:val="o"/>
      <w:lvlJc w:val="left"/>
      <w:pPr>
        <w:tabs>
          <w:tab w:val="num" w:pos="5760"/>
        </w:tabs>
        <w:ind w:left="5760" w:hanging="360"/>
      </w:pPr>
      <w:rPr>
        <w:rFonts w:ascii="Courier New" w:hAnsi="Courier New"/>
      </w:rPr>
    </w:lvl>
    <w:lvl w:ilvl="8" w:tplc="9EC21F1C">
      <w:start w:val="1"/>
      <w:numFmt w:val="bullet"/>
      <w:lvlText w:val=""/>
      <w:lvlJc w:val="left"/>
      <w:pPr>
        <w:tabs>
          <w:tab w:val="num" w:pos="6480"/>
        </w:tabs>
        <w:ind w:left="6480" w:hanging="360"/>
      </w:pPr>
      <w:rPr>
        <w:rFonts w:ascii="Wingdings" w:hAnsi="Wingdings"/>
      </w:rPr>
    </w:lvl>
  </w:abstractNum>
  <w:abstractNum w:abstractNumId="278" w15:restartNumberingAfterBreak="0">
    <w:nsid w:val="722305D8"/>
    <w:multiLevelType w:val="hybridMultilevel"/>
    <w:tmpl w:val="722305D8"/>
    <w:lvl w:ilvl="0" w:tplc="BCF8308E">
      <w:start w:val="1"/>
      <w:numFmt w:val="bullet"/>
      <w:lvlText w:val=""/>
      <w:lvlJc w:val="left"/>
      <w:pPr>
        <w:ind w:left="720" w:hanging="360"/>
      </w:pPr>
      <w:rPr>
        <w:rFonts w:ascii="Symbol" w:hAnsi="Symbol"/>
      </w:rPr>
    </w:lvl>
    <w:lvl w:ilvl="1" w:tplc="2D3A6FCC">
      <w:start w:val="1"/>
      <w:numFmt w:val="bullet"/>
      <w:lvlText w:val="o"/>
      <w:lvlJc w:val="left"/>
      <w:pPr>
        <w:tabs>
          <w:tab w:val="num" w:pos="1440"/>
        </w:tabs>
        <w:ind w:left="1440" w:hanging="360"/>
      </w:pPr>
      <w:rPr>
        <w:rFonts w:ascii="Courier New" w:hAnsi="Courier New"/>
      </w:rPr>
    </w:lvl>
    <w:lvl w:ilvl="2" w:tplc="5FFEE7E8">
      <w:start w:val="1"/>
      <w:numFmt w:val="bullet"/>
      <w:lvlText w:val=""/>
      <w:lvlJc w:val="left"/>
      <w:pPr>
        <w:tabs>
          <w:tab w:val="num" w:pos="2160"/>
        </w:tabs>
        <w:ind w:left="2160" w:hanging="360"/>
      </w:pPr>
      <w:rPr>
        <w:rFonts w:ascii="Wingdings" w:hAnsi="Wingdings"/>
      </w:rPr>
    </w:lvl>
    <w:lvl w:ilvl="3" w:tplc="763C5810">
      <w:start w:val="1"/>
      <w:numFmt w:val="bullet"/>
      <w:lvlText w:val=""/>
      <w:lvlJc w:val="left"/>
      <w:pPr>
        <w:tabs>
          <w:tab w:val="num" w:pos="2880"/>
        </w:tabs>
        <w:ind w:left="2880" w:hanging="360"/>
      </w:pPr>
      <w:rPr>
        <w:rFonts w:ascii="Symbol" w:hAnsi="Symbol"/>
      </w:rPr>
    </w:lvl>
    <w:lvl w:ilvl="4" w:tplc="CBEE211E">
      <w:start w:val="1"/>
      <w:numFmt w:val="bullet"/>
      <w:lvlText w:val="o"/>
      <w:lvlJc w:val="left"/>
      <w:pPr>
        <w:tabs>
          <w:tab w:val="num" w:pos="3600"/>
        </w:tabs>
        <w:ind w:left="3600" w:hanging="360"/>
      </w:pPr>
      <w:rPr>
        <w:rFonts w:ascii="Courier New" w:hAnsi="Courier New"/>
      </w:rPr>
    </w:lvl>
    <w:lvl w:ilvl="5" w:tplc="D3863900">
      <w:start w:val="1"/>
      <w:numFmt w:val="bullet"/>
      <w:lvlText w:val=""/>
      <w:lvlJc w:val="left"/>
      <w:pPr>
        <w:tabs>
          <w:tab w:val="num" w:pos="4320"/>
        </w:tabs>
        <w:ind w:left="4320" w:hanging="360"/>
      </w:pPr>
      <w:rPr>
        <w:rFonts w:ascii="Wingdings" w:hAnsi="Wingdings"/>
      </w:rPr>
    </w:lvl>
    <w:lvl w:ilvl="6" w:tplc="1C30AD42">
      <w:start w:val="1"/>
      <w:numFmt w:val="bullet"/>
      <w:lvlText w:val=""/>
      <w:lvlJc w:val="left"/>
      <w:pPr>
        <w:tabs>
          <w:tab w:val="num" w:pos="5040"/>
        </w:tabs>
        <w:ind w:left="5040" w:hanging="360"/>
      </w:pPr>
      <w:rPr>
        <w:rFonts w:ascii="Symbol" w:hAnsi="Symbol"/>
      </w:rPr>
    </w:lvl>
    <w:lvl w:ilvl="7" w:tplc="517C9900">
      <w:start w:val="1"/>
      <w:numFmt w:val="bullet"/>
      <w:lvlText w:val="o"/>
      <w:lvlJc w:val="left"/>
      <w:pPr>
        <w:tabs>
          <w:tab w:val="num" w:pos="5760"/>
        </w:tabs>
        <w:ind w:left="5760" w:hanging="360"/>
      </w:pPr>
      <w:rPr>
        <w:rFonts w:ascii="Courier New" w:hAnsi="Courier New"/>
      </w:rPr>
    </w:lvl>
    <w:lvl w:ilvl="8" w:tplc="0EBEE5E6">
      <w:start w:val="1"/>
      <w:numFmt w:val="bullet"/>
      <w:lvlText w:val=""/>
      <w:lvlJc w:val="left"/>
      <w:pPr>
        <w:tabs>
          <w:tab w:val="num" w:pos="6480"/>
        </w:tabs>
        <w:ind w:left="6480" w:hanging="360"/>
      </w:pPr>
      <w:rPr>
        <w:rFonts w:ascii="Wingdings" w:hAnsi="Wingdings"/>
      </w:rPr>
    </w:lvl>
  </w:abstractNum>
  <w:abstractNum w:abstractNumId="279" w15:restartNumberingAfterBreak="0">
    <w:nsid w:val="722305D9"/>
    <w:multiLevelType w:val="hybridMultilevel"/>
    <w:tmpl w:val="722305D9"/>
    <w:lvl w:ilvl="0" w:tplc="7632C032">
      <w:start w:val="1"/>
      <w:numFmt w:val="bullet"/>
      <w:lvlText w:val=""/>
      <w:lvlJc w:val="left"/>
      <w:pPr>
        <w:tabs>
          <w:tab w:val="num" w:pos="720"/>
        </w:tabs>
        <w:ind w:left="720" w:hanging="360"/>
      </w:pPr>
      <w:rPr>
        <w:rFonts w:ascii="Symbol" w:hAnsi="Symbol"/>
      </w:rPr>
    </w:lvl>
    <w:lvl w:ilvl="1" w:tplc="D69A569E">
      <w:start w:val="1"/>
      <w:numFmt w:val="bullet"/>
      <w:lvlText w:val="o"/>
      <w:lvlJc w:val="left"/>
      <w:pPr>
        <w:tabs>
          <w:tab w:val="num" w:pos="1440"/>
        </w:tabs>
        <w:ind w:left="1440" w:hanging="360"/>
      </w:pPr>
      <w:rPr>
        <w:rFonts w:ascii="Courier New" w:hAnsi="Courier New"/>
      </w:rPr>
    </w:lvl>
    <w:lvl w:ilvl="2" w:tplc="7736C9EE">
      <w:start w:val="1"/>
      <w:numFmt w:val="bullet"/>
      <w:lvlText w:val=""/>
      <w:lvlJc w:val="left"/>
      <w:pPr>
        <w:tabs>
          <w:tab w:val="num" w:pos="2160"/>
        </w:tabs>
        <w:ind w:left="2160" w:hanging="360"/>
      </w:pPr>
      <w:rPr>
        <w:rFonts w:ascii="Wingdings" w:hAnsi="Wingdings"/>
      </w:rPr>
    </w:lvl>
    <w:lvl w:ilvl="3" w:tplc="458C9DB0">
      <w:start w:val="1"/>
      <w:numFmt w:val="bullet"/>
      <w:lvlText w:val=""/>
      <w:lvlJc w:val="left"/>
      <w:pPr>
        <w:tabs>
          <w:tab w:val="num" w:pos="2880"/>
        </w:tabs>
        <w:ind w:left="2880" w:hanging="360"/>
      </w:pPr>
      <w:rPr>
        <w:rFonts w:ascii="Symbol" w:hAnsi="Symbol"/>
      </w:rPr>
    </w:lvl>
    <w:lvl w:ilvl="4" w:tplc="D65663F2">
      <w:start w:val="1"/>
      <w:numFmt w:val="bullet"/>
      <w:lvlText w:val="o"/>
      <w:lvlJc w:val="left"/>
      <w:pPr>
        <w:tabs>
          <w:tab w:val="num" w:pos="3600"/>
        </w:tabs>
        <w:ind w:left="3600" w:hanging="360"/>
      </w:pPr>
      <w:rPr>
        <w:rFonts w:ascii="Courier New" w:hAnsi="Courier New"/>
      </w:rPr>
    </w:lvl>
    <w:lvl w:ilvl="5" w:tplc="D8F60B00">
      <w:start w:val="1"/>
      <w:numFmt w:val="bullet"/>
      <w:lvlText w:val=""/>
      <w:lvlJc w:val="left"/>
      <w:pPr>
        <w:tabs>
          <w:tab w:val="num" w:pos="4320"/>
        </w:tabs>
        <w:ind w:left="4320" w:hanging="360"/>
      </w:pPr>
      <w:rPr>
        <w:rFonts w:ascii="Wingdings" w:hAnsi="Wingdings"/>
      </w:rPr>
    </w:lvl>
    <w:lvl w:ilvl="6" w:tplc="51F8EF0E">
      <w:start w:val="1"/>
      <w:numFmt w:val="bullet"/>
      <w:lvlText w:val=""/>
      <w:lvlJc w:val="left"/>
      <w:pPr>
        <w:tabs>
          <w:tab w:val="num" w:pos="5040"/>
        </w:tabs>
        <w:ind w:left="5040" w:hanging="360"/>
      </w:pPr>
      <w:rPr>
        <w:rFonts w:ascii="Symbol" w:hAnsi="Symbol"/>
      </w:rPr>
    </w:lvl>
    <w:lvl w:ilvl="7" w:tplc="AC26BDB4">
      <w:start w:val="1"/>
      <w:numFmt w:val="bullet"/>
      <w:lvlText w:val="o"/>
      <w:lvlJc w:val="left"/>
      <w:pPr>
        <w:tabs>
          <w:tab w:val="num" w:pos="5760"/>
        </w:tabs>
        <w:ind w:left="5760" w:hanging="360"/>
      </w:pPr>
      <w:rPr>
        <w:rFonts w:ascii="Courier New" w:hAnsi="Courier New"/>
      </w:rPr>
    </w:lvl>
    <w:lvl w:ilvl="8" w:tplc="4AEE1E7E">
      <w:start w:val="1"/>
      <w:numFmt w:val="bullet"/>
      <w:lvlText w:val=""/>
      <w:lvlJc w:val="left"/>
      <w:pPr>
        <w:tabs>
          <w:tab w:val="num" w:pos="6480"/>
        </w:tabs>
        <w:ind w:left="6480" w:hanging="360"/>
      </w:pPr>
      <w:rPr>
        <w:rFonts w:ascii="Wingdings" w:hAnsi="Wingdings"/>
      </w:rPr>
    </w:lvl>
  </w:abstractNum>
  <w:abstractNum w:abstractNumId="280" w15:restartNumberingAfterBreak="0">
    <w:nsid w:val="722305DA"/>
    <w:multiLevelType w:val="hybridMultilevel"/>
    <w:tmpl w:val="722305DA"/>
    <w:lvl w:ilvl="0" w:tplc="A78C133A">
      <w:start w:val="1"/>
      <w:numFmt w:val="bullet"/>
      <w:lvlText w:val=""/>
      <w:lvlJc w:val="left"/>
      <w:pPr>
        <w:ind w:left="720" w:hanging="360"/>
      </w:pPr>
      <w:rPr>
        <w:rFonts w:ascii="Symbol" w:hAnsi="Symbol"/>
      </w:rPr>
    </w:lvl>
    <w:lvl w:ilvl="1" w:tplc="FBE087C2">
      <w:start w:val="1"/>
      <w:numFmt w:val="bullet"/>
      <w:lvlText w:val="o"/>
      <w:lvlJc w:val="left"/>
      <w:pPr>
        <w:tabs>
          <w:tab w:val="num" w:pos="1440"/>
        </w:tabs>
        <w:ind w:left="1440" w:hanging="360"/>
      </w:pPr>
      <w:rPr>
        <w:rFonts w:ascii="Courier New" w:hAnsi="Courier New"/>
      </w:rPr>
    </w:lvl>
    <w:lvl w:ilvl="2" w:tplc="9864C6F6">
      <w:start w:val="1"/>
      <w:numFmt w:val="bullet"/>
      <w:lvlText w:val=""/>
      <w:lvlJc w:val="left"/>
      <w:pPr>
        <w:tabs>
          <w:tab w:val="num" w:pos="2160"/>
        </w:tabs>
        <w:ind w:left="2160" w:hanging="360"/>
      </w:pPr>
      <w:rPr>
        <w:rFonts w:ascii="Wingdings" w:hAnsi="Wingdings"/>
      </w:rPr>
    </w:lvl>
    <w:lvl w:ilvl="3" w:tplc="5EA425A4">
      <w:start w:val="1"/>
      <w:numFmt w:val="bullet"/>
      <w:lvlText w:val=""/>
      <w:lvlJc w:val="left"/>
      <w:pPr>
        <w:tabs>
          <w:tab w:val="num" w:pos="2880"/>
        </w:tabs>
        <w:ind w:left="2880" w:hanging="360"/>
      </w:pPr>
      <w:rPr>
        <w:rFonts w:ascii="Symbol" w:hAnsi="Symbol"/>
      </w:rPr>
    </w:lvl>
    <w:lvl w:ilvl="4" w:tplc="4866CBF0">
      <w:start w:val="1"/>
      <w:numFmt w:val="bullet"/>
      <w:lvlText w:val="o"/>
      <w:lvlJc w:val="left"/>
      <w:pPr>
        <w:tabs>
          <w:tab w:val="num" w:pos="3600"/>
        </w:tabs>
        <w:ind w:left="3600" w:hanging="360"/>
      </w:pPr>
      <w:rPr>
        <w:rFonts w:ascii="Courier New" w:hAnsi="Courier New"/>
      </w:rPr>
    </w:lvl>
    <w:lvl w:ilvl="5" w:tplc="6DC0E86E">
      <w:start w:val="1"/>
      <w:numFmt w:val="bullet"/>
      <w:lvlText w:val=""/>
      <w:lvlJc w:val="left"/>
      <w:pPr>
        <w:tabs>
          <w:tab w:val="num" w:pos="4320"/>
        </w:tabs>
        <w:ind w:left="4320" w:hanging="360"/>
      </w:pPr>
      <w:rPr>
        <w:rFonts w:ascii="Wingdings" w:hAnsi="Wingdings"/>
      </w:rPr>
    </w:lvl>
    <w:lvl w:ilvl="6" w:tplc="8168F53C">
      <w:start w:val="1"/>
      <w:numFmt w:val="bullet"/>
      <w:lvlText w:val=""/>
      <w:lvlJc w:val="left"/>
      <w:pPr>
        <w:tabs>
          <w:tab w:val="num" w:pos="5040"/>
        </w:tabs>
        <w:ind w:left="5040" w:hanging="360"/>
      </w:pPr>
      <w:rPr>
        <w:rFonts w:ascii="Symbol" w:hAnsi="Symbol"/>
      </w:rPr>
    </w:lvl>
    <w:lvl w:ilvl="7" w:tplc="81D0B03A">
      <w:start w:val="1"/>
      <w:numFmt w:val="bullet"/>
      <w:lvlText w:val="o"/>
      <w:lvlJc w:val="left"/>
      <w:pPr>
        <w:tabs>
          <w:tab w:val="num" w:pos="5760"/>
        </w:tabs>
        <w:ind w:left="5760" w:hanging="360"/>
      </w:pPr>
      <w:rPr>
        <w:rFonts w:ascii="Courier New" w:hAnsi="Courier New"/>
      </w:rPr>
    </w:lvl>
    <w:lvl w:ilvl="8" w:tplc="249A754C">
      <w:start w:val="1"/>
      <w:numFmt w:val="bullet"/>
      <w:lvlText w:val=""/>
      <w:lvlJc w:val="left"/>
      <w:pPr>
        <w:tabs>
          <w:tab w:val="num" w:pos="6480"/>
        </w:tabs>
        <w:ind w:left="6480" w:hanging="360"/>
      </w:pPr>
      <w:rPr>
        <w:rFonts w:ascii="Wingdings" w:hAnsi="Wingdings"/>
      </w:rPr>
    </w:lvl>
  </w:abstractNum>
  <w:abstractNum w:abstractNumId="281" w15:restartNumberingAfterBreak="0">
    <w:nsid w:val="722305DB"/>
    <w:multiLevelType w:val="hybridMultilevel"/>
    <w:tmpl w:val="722305DB"/>
    <w:lvl w:ilvl="0" w:tplc="B524D50A">
      <w:start w:val="1"/>
      <w:numFmt w:val="bullet"/>
      <w:lvlText w:val=""/>
      <w:lvlJc w:val="left"/>
      <w:pPr>
        <w:ind w:left="720" w:hanging="360"/>
      </w:pPr>
      <w:rPr>
        <w:rFonts w:ascii="Symbol" w:hAnsi="Symbol"/>
      </w:rPr>
    </w:lvl>
    <w:lvl w:ilvl="1" w:tplc="5A1656A0">
      <w:start w:val="1"/>
      <w:numFmt w:val="bullet"/>
      <w:lvlText w:val="o"/>
      <w:lvlJc w:val="left"/>
      <w:pPr>
        <w:tabs>
          <w:tab w:val="num" w:pos="1440"/>
        </w:tabs>
        <w:ind w:left="1440" w:hanging="360"/>
      </w:pPr>
      <w:rPr>
        <w:rFonts w:ascii="Courier New" w:hAnsi="Courier New"/>
      </w:rPr>
    </w:lvl>
    <w:lvl w:ilvl="2" w:tplc="C6DC6668">
      <w:start w:val="1"/>
      <w:numFmt w:val="bullet"/>
      <w:lvlText w:val=""/>
      <w:lvlJc w:val="left"/>
      <w:pPr>
        <w:tabs>
          <w:tab w:val="num" w:pos="2160"/>
        </w:tabs>
        <w:ind w:left="2160" w:hanging="360"/>
      </w:pPr>
      <w:rPr>
        <w:rFonts w:ascii="Wingdings" w:hAnsi="Wingdings"/>
      </w:rPr>
    </w:lvl>
    <w:lvl w:ilvl="3" w:tplc="451A7938">
      <w:start w:val="1"/>
      <w:numFmt w:val="bullet"/>
      <w:lvlText w:val=""/>
      <w:lvlJc w:val="left"/>
      <w:pPr>
        <w:tabs>
          <w:tab w:val="num" w:pos="2880"/>
        </w:tabs>
        <w:ind w:left="2880" w:hanging="360"/>
      </w:pPr>
      <w:rPr>
        <w:rFonts w:ascii="Symbol" w:hAnsi="Symbol"/>
      </w:rPr>
    </w:lvl>
    <w:lvl w:ilvl="4" w:tplc="D8921936">
      <w:start w:val="1"/>
      <w:numFmt w:val="bullet"/>
      <w:lvlText w:val="o"/>
      <w:lvlJc w:val="left"/>
      <w:pPr>
        <w:tabs>
          <w:tab w:val="num" w:pos="3600"/>
        </w:tabs>
        <w:ind w:left="3600" w:hanging="360"/>
      </w:pPr>
      <w:rPr>
        <w:rFonts w:ascii="Courier New" w:hAnsi="Courier New"/>
      </w:rPr>
    </w:lvl>
    <w:lvl w:ilvl="5" w:tplc="8E1E7AB0">
      <w:start w:val="1"/>
      <w:numFmt w:val="bullet"/>
      <w:lvlText w:val=""/>
      <w:lvlJc w:val="left"/>
      <w:pPr>
        <w:tabs>
          <w:tab w:val="num" w:pos="4320"/>
        </w:tabs>
        <w:ind w:left="4320" w:hanging="360"/>
      </w:pPr>
      <w:rPr>
        <w:rFonts w:ascii="Wingdings" w:hAnsi="Wingdings"/>
      </w:rPr>
    </w:lvl>
    <w:lvl w:ilvl="6" w:tplc="18D632D6">
      <w:start w:val="1"/>
      <w:numFmt w:val="bullet"/>
      <w:lvlText w:val=""/>
      <w:lvlJc w:val="left"/>
      <w:pPr>
        <w:tabs>
          <w:tab w:val="num" w:pos="5040"/>
        </w:tabs>
        <w:ind w:left="5040" w:hanging="360"/>
      </w:pPr>
      <w:rPr>
        <w:rFonts w:ascii="Symbol" w:hAnsi="Symbol"/>
      </w:rPr>
    </w:lvl>
    <w:lvl w:ilvl="7" w:tplc="A3A0CAB0">
      <w:start w:val="1"/>
      <w:numFmt w:val="bullet"/>
      <w:lvlText w:val="o"/>
      <w:lvlJc w:val="left"/>
      <w:pPr>
        <w:tabs>
          <w:tab w:val="num" w:pos="5760"/>
        </w:tabs>
        <w:ind w:left="5760" w:hanging="360"/>
      </w:pPr>
      <w:rPr>
        <w:rFonts w:ascii="Courier New" w:hAnsi="Courier New"/>
      </w:rPr>
    </w:lvl>
    <w:lvl w:ilvl="8" w:tplc="37F6409A">
      <w:start w:val="1"/>
      <w:numFmt w:val="bullet"/>
      <w:lvlText w:val=""/>
      <w:lvlJc w:val="left"/>
      <w:pPr>
        <w:tabs>
          <w:tab w:val="num" w:pos="6480"/>
        </w:tabs>
        <w:ind w:left="6480" w:hanging="360"/>
      </w:pPr>
      <w:rPr>
        <w:rFonts w:ascii="Wingdings" w:hAnsi="Wingdings"/>
      </w:rPr>
    </w:lvl>
  </w:abstractNum>
  <w:abstractNum w:abstractNumId="282" w15:restartNumberingAfterBreak="0">
    <w:nsid w:val="722305DC"/>
    <w:multiLevelType w:val="hybridMultilevel"/>
    <w:tmpl w:val="722305DC"/>
    <w:lvl w:ilvl="0" w:tplc="2708A3EC">
      <w:start w:val="1"/>
      <w:numFmt w:val="bullet"/>
      <w:lvlText w:val=""/>
      <w:lvlJc w:val="left"/>
      <w:pPr>
        <w:ind w:left="720" w:hanging="360"/>
      </w:pPr>
      <w:rPr>
        <w:rFonts w:ascii="Symbol" w:hAnsi="Symbol"/>
      </w:rPr>
    </w:lvl>
    <w:lvl w:ilvl="1" w:tplc="12EAEEF0">
      <w:start w:val="1"/>
      <w:numFmt w:val="bullet"/>
      <w:lvlText w:val="o"/>
      <w:lvlJc w:val="left"/>
      <w:pPr>
        <w:tabs>
          <w:tab w:val="num" w:pos="1440"/>
        </w:tabs>
        <w:ind w:left="1440" w:hanging="360"/>
      </w:pPr>
      <w:rPr>
        <w:rFonts w:ascii="Courier New" w:hAnsi="Courier New"/>
      </w:rPr>
    </w:lvl>
    <w:lvl w:ilvl="2" w:tplc="2C261860">
      <w:start w:val="1"/>
      <w:numFmt w:val="bullet"/>
      <w:lvlText w:val=""/>
      <w:lvlJc w:val="left"/>
      <w:pPr>
        <w:tabs>
          <w:tab w:val="num" w:pos="2160"/>
        </w:tabs>
        <w:ind w:left="2160" w:hanging="360"/>
      </w:pPr>
      <w:rPr>
        <w:rFonts w:ascii="Wingdings" w:hAnsi="Wingdings"/>
      </w:rPr>
    </w:lvl>
    <w:lvl w:ilvl="3" w:tplc="A33842D8">
      <w:start w:val="1"/>
      <w:numFmt w:val="bullet"/>
      <w:lvlText w:val=""/>
      <w:lvlJc w:val="left"/>
      <w:pPr>
        <w:tabs>
          <w:tab w:val="num" w:pos="2880"/>
        </w:tabs>
        <w:ind w:left="2880" w:hanging="360"/>
      </w:pPr>
      <w:rPr>
        <w:rFonts w:ascii="Symbol" w:hAnsi="Symbol"/>
      </w:rPr>
    </w:lvl>
    <w:lvl w:ilvl="4" w:tplc="BF38460C">
      <w:start w:val="1"/>
      <w:numFmt w:val="bullet"/>
      <w:lvlText w:val="o"/>
      <w:lvlJc w:val="left"/>
      <w:pPr>
        <w:tabs>
          <w:tab w:val="num" w:pos="3600"/>
        </w:tabs>
        <w:ind w:left="3600" w:hanging="360"/>
      </w:pPr>
      <w:rPr>
        <w:rFonts w:ascii="Courier New" w:hAnsi="Courier New"/>
      </w:rPr>
    </w:lvl>
    <w:lvl w:ilvl="5" w:tplc="C37274B8">
      <w:start w:val="1"/>
      <w:numFmt w:val="bullet"/>
      <w:lvlText w:val=""/>
      <w:lvlJc w:val="left"/>
      <w:pPr>
        <w:tabs>
          <w:tab w:val="num" w:pos="4320"/>
        </w:tabs>
        <w:ind w:left="4320" w:hanging="360"/>
      </w:pPr>
      <w:rPr>
        <w:rFonts w:ascii="Wingdings" w:hAnsi="Wingdings"/>
      </w:rPr>
    </w:lvl>
    <w:lvl w:ilvl="6" w:tplc="2F682762">
      <w:start w:val="1"/>
      <w:numFmt w:val="bullet"/>
      <w:lvlText w:val=""/>
      <w:lvlJc w:val="left"/>
      <w:pPr>
        <w:tabs>
          <w:tab w:val="num" w:pos="5040"/>
        </w:tabs>
        <w:ind w:left="5040" w:hanging="360"/>
      </w:pPr>
      <w:rPr>
        <w:rFonts w:ascii="Symbol" w:hAnsi="Symbol"/>
      </w:rPr>
    </w:lvl>
    <w:lvl w:ilvl="7" w:tplc="28DA82D8">
      <w:start w:val="1"/>
      <w:numFmt w:val="bullet"/>
      <w:lvlText w:val="o"/>
      <w:lvlJc w:val="left"/>
      <w:pPr>
        <w:tabs>
          <w:tab w:val="num" w:pos="5760"/>
        </w:tabs>
        <w:ind w:left="5760" w:hanging="360"/>
      </w:pPr>
      <w:rPr>
        <w:rFonts w:ascii="Courier New" w:hAnsi="Courier New"/>
      </w:rPr>
    </w:lvl>
    <w:lvl w:ilvl="8" w:tplc="23D893AC">
      <w:start w:val="1"/>
      <w:numFmt w:val="bullet"/>
      <w:lvlText w:val=""/>
      <w:lvlJc w:val="left"/>
      <w:pPr>
        <w:tabs>
          <w:tab w:val="num" w:pos="6480"/>
        </w:tabs>
        <w:ind w:left="6480" w:hanging="360"/>
      </w:pPr>
      <w:rPr>
        <w:rFonts w:ascii="Wingdings" w:hAnsi="Wingdings"/>
      </w:rPr>
    </w:lvl>
  </w:abstractNum>
  <w:abstractNum w:abstractNumId="283" w15:restartNumberingAfterBreak="0">
    <w:nsid w:val="722305DD"/>
    <w:multiLevelType w:val="hybridMultilevel"/>
    <w:tmpl w:val="722305DD"/>
    <w:lvl w:ilvl="0" w:tplc="89C84220">
      <w:start w:val="1"/>
      <w:numFmt w:val="bullet"/>
      <w:lvlText w:val=""/>
      <w:lvlJc w:val="left"/>
      <w:pPr>
        <w:ind w:left="720" w:hanging="360"/>
      </w:pPr>
      <w:rPr>
        <w:rFonts w:ascii="Symbol" w:hAnsi="Symbol"/>
      </w:rPr>
    </w:lvl>
    <w:lvl w:ilvl="1" w:tplc="3E34DFDA">
      <w:start w:val="1"/>
      <w:numFmt w:val="bullet"/>
      <w:lvlText w:val="o"/>
      <w:lvlJc w:val="left"/>
      <w:pPr>
        <w:tabs>
          <w:tab w:val="num" w:pos="1440"/>
        </w:tabs>
        <w:ind w:left="1440" w:hanging="360"/>
      </w:pPr>
      <w:rPr>
        <w:rFonts w:ascii="Courier New" w:hAnsi="Courier New"/>
      </w:rPr>
    </w:lvl>
    <w:lvl w:ilvl="2" w:tplc="43C8E532">
      <w:start w:val="1"/>
      <w:numFmt w:val="bullet"/>
      <w:lvlText w:val=""/>
      <w:lvlJc w:val="left"/>
      <w:pPr>
        <w:tabs>
          <w:tab w:val="num" w:pos="2160"/>
        </w:tabs>
        <w:ind w:left="2160" w:hanging="360"/>
      </w:pPr>
      <w:rPr>
        <w:rFonts w:ascii="Wingdings" w:hAnsi="Wingdings"/>
      </w:rPr>
    </w:lvl>
    <w:lvl w:ilvl="3" w:tplc="43545C3C">
      <w:start w:val="1"/>
      <w:numFmt w:val="bullet"/>
      <w:lvlText w:val=""/>
      <w:lvlJc w:val="left"/>
      <w:pPr>
        <w:tabs>
          <w:tab w:val="num" w:pos="2880"/>
        </w:tabs>
        <w:ind w:left="2880" w:hanging="360"/>
      </w:pPr>
      <w:rPr>
        <w:rFonts w:ascii="Symbol" w:hAnsi="Symbol"/>
      </w:rPr>
    </w:lvl>
    <w:lvl w:ilvl="4" w:tplc="EB2A372C">
      <w:start w:val="1"/>
      <w:numFmt w:val="bullet"/>
      <w:lvlText w:val="o"/>
      <w:lvlJc w:val="left"/>
      <w:pPr>
        <w:tabs>
          <w:tab w:val="num" w:pos="3600"/>
        </w:tabs>
        <w:ind w:left="3600" w:hanging="360"/>
      </w:pPr>
      <w:rPr>
        <w:rFonts w:ascii="Courier New" w:hAnsi="Courier New"/>
      </w:rPr>
    </w:lvl>
    <w:lvl w:ilvl="5" w:tplc="F2F8C99C">
      <w:start w:val="1"/>
      <w:numFmt w:val="bullet"/>
      <w:lvlText w:val=""/>
      <w:lvlJc w:val="left"/>
      <w:pPr>
        <w:tabs>
          <w:tab w:val="num" w:pos="4320"/>
        </w:tabs>
        <w:ind w:left="4320" w:hanging="360"/>
      </w:pPr>
      <w:rPr>
        <w:rFonts w:ascii="Wingdings" w:hAnsi="Wingdings"/>
      </w:rPr>
    </w:lvl>
    <w:lvl w:ilvl="6" w:tplc="09EA9F7A">
      <w:start w:val="1"/>
      <w:numFmt w:val="bullet"/>
      <w:lvlText w:val=""/>
      <w:lvlJc w:val="left"/>
      <w:pPr>
        <w:tabs>
          <w:tab w:val="num" w:pos="5040"/>
        </w:tabs>
        <w:ind w:left="5040" w:hanging="360"/>
      </w:pPr>
      <w:rPr>
        <w:rFonts w:ascii="Symbol" w:hAnsi="Symbol"/>
      </w:rPr>
    </w:lvl>
    <w:lvl w:ilvl="7" w:tplc="BBCAC9D0">
      <w:start w:val="1"/>
      <w:numFmt w:val="bullet"/>
      <w:lvlText w:val="o"/>
      <w:lvlJc w:val="left"/>
      <w:pPr>
        <w:tabs>
          <w:tab w:val="num" w:pos="5760"/>
        </w:tabs>
        <w:ind w:left="5760" w:hanging="360"/>
      </w:pPr>
      <w:rPr>
        <w:rFonts w:ascii="Courier New" w:hAnsi="Courier New"/>
      </w:rPr>
    </w:lvl>
    <w:lvl w:ilvl="8" w:tplc="D62E4304">
      <w:start w:val="1"/>
      <w:numFmt w:val="bullet"/>
      <w:lvlText w:val=""/>
      <w:lvlJc w:val="left"/>
      <w:pPr>
        <w:tabs>
          <w:tab w:val="num" w:pos="6480"/>
        </w:tabs>
        <w:ind w:left="6480" w:hanging="360"/>
      </w:pPr>
      <w:rPr>
        <w:rFonts w:ascii="Wingdings" w:hAnsi="Wingdings"/>
      </w:rPr>
    </w:lvl>
  </w:abstractNum>
  <w:abstractNum w:abstractNumId="284" w15:restartNumberingAfterBreak="0">
    <w:nsid w:val="722305DE"/>
    <w:multiLevelType w:val="hybridMultilevel"/>
    <w:tmpl w:val="722305DE"/>
    <w:lvl w:ilvl="0" w:tplc="AE0C7C28">
      <w:start w:val="1"/>
      <w:numFmt w:val="bullet"/>
      <w:lvlText w:val="o"/>
      <w:lvlJc w:val="left"/>
      <w:pPr>
        <w:ind w:left="720" w:hanging="360"/>
      </w:pPr>
      <w:rPr>
        <w:rFonts w:ascii="Courier New" w:hAnsi="Courier New"/>
      </w:rPr>
    </w:lvl>
    <w:lvl w:ilvl="1" w:tplc="82F4605E">
      <w:start w:val="1"/>
      <w:numFmt w:val="bullet"/>
      <w:lvlText w:val="o"/>
      <w:lvlJc w:val="left"/>
      <w:pPr>
        <w:tabs>
          <w:tab w:val="num" w:pos="1440"/>
        </w:tabs>
        <w:ind w:left="1440" w:hanging="360"/>
      </w:pPr>
      <w:rPr>
        <w:rFonts w:ascii="Courier New" w:hAnsi="Courier New"/>
      </w:rPr>
    </w:lvl>
    <w:lvl w:ilvl="2" w:tplc="51A493D0">
      <w:start w:val="1"/>
      <w:numFmt w:val="bullet"/>
      <w:lvlText w:val=""/>
      <w:lvlJc w:val="left"/>
      <w:pPr>
        <w:tabs>
          <w:tab w:val="num" w:pos="2160"/>
        </w:tabs>
        <w:ind w:left="2160" w:hanging="360"/>
      </w:pPr>
      <w:rPr>
        <w:rFonts w:ascii="Wingdings" w:hAnsi="Wingdings"/>
      </w:rPr>
    </w:lvl>
    <w:lvl w:ilvl="3" w:tplc="FAD8C7E8">
      <w:start w:val="1"/>
      <w:numFmt w:val="bullet"/>
      <w:lvlText w:val=""/>
      <w:lvlJc w:val="left"/>
      <w:pPr>
        <w:tabs>
          <w:tab w:val="num" w:pos="2880"/>
        </w:tabs>
        <w:ind w:left="2880" w:hanging="360"/>
      </w:pPr>
      <w:rPr>
        <w:rFonts w:ascii="Symbol" w:hAnsi="Symbol"/>
      </w:rPr>
    </w:lvl>
    <w:lvl w:ilvl="4" w:tplc="86FE47C0">
      <w:start w:val="1"/>
      <w:numFmt w:val="bullet"/>
      <w:lvlText w:val="o"/>
      <w:lvlJc w:val="left"/>
      <w:pPr>
        <w:tabs>
          <w:tab w:val="num" w:pos="3600"/>
        </w:tabs>
        <w:ind w:left="3600" w:hanging="360"/>
      </w:pPr>
      <w:rPr>
        <w:rFonts w:ascii="Courier New" w:hAnsi="Courier New"/>
      </w:rPr>
    </w:lvl>
    <w:lvl w:ilvl="5" w:tplc="066A923E">
      <w:start w:val="1"/>
      <w:numFmt w:val="bullet"/>
      <w:lvlText w:val=""/>
      <w:lvlJc w:val="left"/>
      <w:pPr>
        <w:tabs>
          <w:tab w:val="num" w:pos="4320"/>
        </w:tabs>
        <w:ind w:left="4320" w:hanging="360"/>
      </w:pPr>
      <w:rPr>
        <w:rFonts w:ascii="Wingdings" w:hAnsi="Wingdings"/>
      </w:rPr>
    </w:lvl>
    <w:lvl w:ilvl="6" w:tplc="D48A3238">
      <w:start w:val="1"/>
      <w:numFmt w:val="bullet"/>
      <w:lvlText w:val=""/>
      <w:lvlJc w:val="left"/>
      <w:pPr>
        <w:tabs>
          <w:tab w:val="num" w:pos="5040"/>
        </w:tabs>
        <w:ind w:left="5040" w:hanging="360"/>
      </w:pPr>
      <w:rPr>
        <w:rFonts w:ascii="Symbol" w:hAnsi="Symbol"/>
      </w:rPr>
    </w:lvl>
    <w:lvl w:ilvl="7" w:tplc="093CA9F8">
      <w:start w:val="1"/>
      <w:numFmt w:val="bullet"/>
      <w:lvlText w:val="o"/>
      <w:lvlJc w:val="left"/>
      <w:pPr>
        <w:tabs>
          <w:tab w:val="num" w:pos="5760"/>
        </w:tabs>
        <w:ind w:left="5760" w:hanging="360"/>
      </w:pPr>
      <w:rPr>
        <w:rFonts w:ascii="Courier New" w:hAnsi="Courier New"/>
      </w:rPr>
    </w:lvl>
    <w:lvl w:ilvl="8" w:tplc="37E6D34C">
      <w:start w:val="1"/>
      <w:numFmt w:val="bullet"/>
      <w:lvlText w:val=""/>
      <w:lvlJc w:val="left"/>
      <w:pPr>
        <w:tabs>
          <w:tab w:val="num" w:pos="6480"/>
        </w:tabs>
        <w:ind w:left="6480" w:hanging="360"/>
      </w:pPr>
      <w:rPr>
        <w:rFonts w:ascii="Wingdings" w:hAnsi="Wingdings"/>
      </w:rPr>
    </w:lvl>
  </w:abstractNum>
  <w:abstractNum w:abstractNumId="285" w15:restartNumberingAfterBreak="0">
    <w:nsid w:val="722305DF"/>
    <w:multiLevelType w:val="hybridMultilevel"/>
    <w:tmpl w:val="722305DF"/>
    <w:lvl w:ilvl="0" w:tplc="1612326A">
      <w:start w:val="1"/>
      <w:numFmt w:val="bullet"/>
      <w:lvlText w:val="o"/>
      <w:lvlJc w:val="left"/>
      <w:pPr>
        <w:ind w:left="720" w:hanging="360"/>
      </w:pPr>
      <w:rPr>
        <w:rFonts w:ascii="Courier New" w:hAnsi="Courier New"/>
      </w:rPr>
    </w:lvl>
    <w:lvl w:ilvl="1" w:tplc="919A4FD4">
      <w:start w:val="1"/>
      <w:numFmt w:val="bullet"/>
      <w:lvlText w:val="o"/>
      <w:lvlJc w:val="left"/>
      <w:pPr>
        <w:ind w:left="1440" w:hanging="360"/>
      </w:pPr>
      <w:rPr>
        <w:rFonts w:ascii="Courier New" w:hAnsi="Courier New"/>
      </w:rPr>
    </w:lvl>
    <w:lvl w:ilvl="2" w:tplc="D0CA6190">
      <w:start w:val="1"/>
      <w:numFmt w:val="bullet"/>
      <w:lvlText w:val=""/>
      <w:lvlJc w:val="left"/>
      <w:pPr>
        <w:tabs>
          <w:tab w:val="num" w:pos="2160"/>
        </w:tabs>
        <w:ind w:left="2160" w:hanging="360"/>
      </w:pPr>
      <w:rPr>
        <w:rFonts w:ascii="Wingdings" w:hAnsi="Wingdings"/>
      </w:rPr>
    </w:lvl>
    <w:lvl w:ilvl="3" w:tplc="476A02D0">
      <w:start w:val="1"/>
      <w:numFmt w:val="bullet"/>
      <w:lvlText w:val=""/>
      <w:lvlJc w:val="left"/>
      <w:pPr>
        <w:tabs>
          <w:tab w:val="num" w:pos="2880"/>
        </w:tabs>
        <w:ind w:left="2880" w:hanging="360"/>
      </w:pPr>
      <w:rPr>
        <w:rFonts w:ascii="Symbol" w:hAnsi="Symbol"/>
      </w:rPr>
    </w:lvl>
    <w:lvl w:ilvl="4" w:tplc="3CD4D9A4">
      <w:start w:val="1"/>
      <w:numFmt w:val="bullet"/>
      <w:lvlText w:val="o"/>
      <w:lvlJc w:val="left"/>
      <w:pPr>
        <w:tabs>
          <w:tab w:val="num" w:pos="3600"/>
        </w:tabs>
        <w:ind w:left="3600" w:hanging="360"/>
      </w:pPr>
      <w:rPr>
        <w:rFonts w:ascii="Courier New" w:hAnsi="Courier New"/>
      </w:rPr>
    </w:lvl>
    <w:lvl w:ilvl="5" w:tplc="E92A918C">
      <w:start w:val="1"/>
      <w:numFmt w:val="bullet"/>
      <w:lvlText w:val=""/>
      <w:lvlJc w:val="left"/>
      <w:pPr>
        <w:tabs>
          <w:tab w:val="num" w:pos="4320"/>
        </w:tabs>
        <w:ind w:left="4320" w:hanging="360"/>
      </w:pPr>
      <w:rPr>
        <w:rFonts w:ascii="Wingdings" w:hAnsi="Wingdings"/>
      </w:rPr>
    </w:lvl>
    <w:lvl w:ilvl="6" w:tplc="3DD8FAF8">
      <w:start w:val="1"/>
      <w:numFmt w:val="bullet"/>
      <w:lvlText w:val=""/>
      <w:lvlJc w:val="left"/>
      <w:pPr>
        <w:tabs>
          <w:tab w:val="num" w:pos="5040"/>
        </w:tabs>
        <w:ind w:left="5040" w:hanging="360"/>
      </w:pPr>
      <w:rPr>
        <w:rFonts w:ascii="Symbol" w:hAnsi="Symbol"/>
      </w:rPr>
    </w:lvl>
    <w:lvl w:ilvl="7" w:tplc="AC40B45C">
      <w:start w:val="1"/>
      <w:numFmt w:val="bullet"/>
      <w:lvlText w:val="o"/>
      <w:lvlJc w:val="left"/>
      <w:pPr>
        <w:tabs>
          <w:tab w:val="num" w:pos="5760"/>
        </w:tabs>
        <w:ind w:left="5760" w:hanging="360"/>
      </w:pPr>
      <w:rPr>
        <w:rFonts w:ascii="Courier New" w:hAnsi="Courier New"/>
      </w:rPr>
    </w:lvl>
    <w:lvl w:ilvl="8" w:tplc="C1F692B4">
      <w:start w:val="1"/>
      <w:numFmt w:val="bullet"/>
      <w:lvlText w:val=""/>
      <w:lvlJc w:val="left"/>
      <w:pPr>
        <w:tabs>
          <w:tab w:val="num" w:pos="6480"/>
        </w:tabs>
        <w:ind w:left="6480" w:hanging="360"/>
      </w:pPr>
      <w:rPr>
        <w:rFonts w:ascii="Wingdings" w:hAnsi="Wingdings"/>
      </w:rPr>
    </w:lvl>
  </w:abstractNum>
  <w:abstractNum w:abstractNumId="286" w15:restartNumberingAfterBreak="0">
    <w:nsid w:val="722305E0"/>
    <w:multiLevelType w:val="hybridMultilevel"/>
    <w:tmpl w:val="722305E0"/>
    <w:lvl w:ilvl="0" w:tplc="D2383E8A">
      <w:start w:val="1"/>
      <w:numFmt w:val="bullet"/>
      <w:lvlText w:val="o"/>
      <w:lvlJc w:val="left"/>
      <w:pPr>
        <w:ind w:left="720" w:hanging="360"/>
      </w:pPr>
      <w:rPr>
        <w:rFonts w:ascii="Courier New" w:hAnsi="Courier New"/>
      </w:rPr>
    </w:lvl>
    <w:lvl w:ilvl="1" w:tplc="82D478BE">
      <w:start w:val="1"/>
      <w:numFmt w:val="bullet"/>
      <w:lvlText w:val="o"/>
      <w:lvlJc w:val="left"/>
      <w:pPr>
        <w:tabs>
          <w:tab w:val="num" w:pos="1440"/>
        </w:tabs>
        <w:ind w:left="1440" w:hanging="360"/>
      </w:pPr>
      <w:rPr>
        <w:rFonts w:ascii="Courier New" w:hAnsi="Courier New"/>
      </w:rPr>
    </w:lvl>
    <w:lvl w:ilvl="2" w:tplc="A992C3B2">
      <w:start w:val="1"/>
      <w:numFmt w:val="bullet"/>
      <w:lvlText w:val=""/>
      <w:lvlJc w:val="left"/>
      <w:pPr>
        <w:tabs>
          <w:tab w:val="num" w:pos="2160"/>
        </w:tabs>
        <w:ind w:left="2160" w:hanging="360"/>
      </w:pPr>
      <w:rPr>
        <w:rFonts w:ascii="Wingdings" w:hAnsi="Wingdings"/>
      </w:rPr>
    </w:lvl>
    <w:lvl w:ilvl="3" w:tplc="0F023384">
      <w:start w:val="1"/>
      <w:numFmt w:val="bullet"/>
      <w:lvlText w:val=""/>
      <w:lvlJc w:val="left"/>
      <w:pPr>
        <w:tabs>
          <w:tab w:val="num" w:pos="2880"/>
        </w:tabs>
        <w:ind w:left="2880" w:hanging="360"/>
      </w:pPr>
      <w:rPr>
        <w:rFonts w:ascii="Symbol" w:hAnsi="Symbol"/>
      </w:rPr>
    </w:lvl>
    <w:lvl w:ilvl="4" w:tplc="D2EEA94A">
      <w:start w:val="1"/>
      <w:numFmt w:val="bullet"/>
      <w:lvlText w:val="o"/>
      <w:lvlJc w:val="left"/>
      <w:pPr>
        <w:tabs>
          <w:tab w:val="num" w:pos="3600"/>
        </w:tabs>
        <w:ind w:left="3600" w:hanging="360"/>
      </w:pPr>
      <w:rPr>
        <w:rFonts w:ascii="Courier New" w:hAnsi="Courier New"/>
      </w:rPr>
    </w:lvl>
    <w:lvl w:ilvl="5" w:tplc="F83A7EB8">
      <w:start w:val="1"/>
      <w:numFmt w:val="bullet"/>
      <w:lvlText w:val=""/>
      <w:lvlJc w:val="left"/>
      <w:pPr>
        <w:tabs>
          <w:tab w:val="num" w:pos="4320"/>
        </w:tabs>
        <w:ind w:left="4320" w:hanging="360"/>
      </w:pPr>
      <w:rPr>
        <w:rFonts w:ascii="Wingdings" w:hAnsi="Wingdings"/>
      </w:rPr>
    </w:lvl>
    <w:lvl w:ilvl="6" w:tplc="D76A8A8E">
      <w:start w:val="1"/>
      <w:numFmt w:val="bullet"/>
      <w:lvlText w:val=""/>
      <w:lvlJc w:val="left"/>
      <w:pPr>
        <w:tabs>
          <w:tab w:val="num" w:pos="5040"/>
        </w:tabs>
        <w:ind w:left="5040" w:hanging="360"/>
      </w:pPr>
      <w:rPr>
        <w:rFonts w:ascii="Symbol" w:hAnsi="Symbol"/>
      </w:rPr>
    </w:lvl>
    <w:lvl w:ilvl="7" w:tplc="CBC0FF7C">
      <w:start w:val="1"/>
      <w:numFmt w:val="bullet"/>
      <w:lvlText w:val="o"/>
      <w:lvlJc w:val="left"/>
      <w:pPr>
        <w:tabs>
          <w:tab w:val="num" w:pos="5760"/>
        </w:tabs>
        <w:ind w:left="5760" w:hanging="360"/>
      </w:pPr>
      <w:rPr>
        <w:rFonts w:ascii="Courier New" w:hAnsi="Courier New"/>
      </w:rPr>
    </w:lvl>
    <w:lvl w:ilvl="8" w:tplc="DDC80646">
      <w:start w:val="1"/>
      <w:numFmt w:val="bullet"/>
      <w:lvlText w:val=""/>
      <w:lvlJc w:val="left"/>
      <w:pPr>
        <w:tabs>
          <w:tab w:val="num" w:pos="6480"/>
        </w:tabs>
        <w:ind w:left="6480" w:hanging="360"/>
      </w:pPr>
      <w:rPr>
        <w:rFonts w:ascii="Wingdings" w:hAnsi="Wingdings"/>
      </w:rPr>
    </w:lvl>
  </w:abstractNum>
  <w:abstractNum w:abstractNumId="287" w15:restartNumberingAfterBreak="0">
    <w:nsid w:val="722305E1"/>
    <w:multiLevelType w:val="hybridMultilevel"/>
    <w:tmpl w:val="722305E1"/>
    <w:lvl w:ilvl="0" w:tplc="6E4AA30A">
      <w:start w:val="1"/>
      <w:numFmt w:val="bullet"/>
      <w:lvlText w:val=""/>
      <w:lvlJc w:val="left"/>
      <w:pPr>
        <w:ind w:left="720" w:hanging="360"/>
      </w:pPr>
      <w:rPr>
        <w:rFonts w:ascii="Symbol" w:hAnsi="Symbol"/>
      </w:rPr>
    </w:lvl>
    <w:lvl w:ilvl="1" w:tplc="53963C38">
      <w:start w:val="1"/>
      <w:numFmt w:val="bullet"/>
      <w:lvlText w:val="o"/>
      <w:lvlJc w:val="left"/>
      <w:pPr>
        <w:ind w:left="1440" w:hanging="360"/>
      </w:pPr>
      <w:rPr>
        <w:rFonts w:ascii="Courier New" w:hAnsi="Courier New"/>
      </w:rPr>
    </w:lvl>
    <w:lvl w:ilvl="2" w:tplc="A9408BC0">
      <w:start w:val="1"/>
      <w:numFmt w:val="bullet"/>
      <w:lvlText w:val=""/>
      <w:lvlJc w:val="left"/>
      <w:pPr>
        <w:tabs>
          <w:tab w:val="num" w:pos="2160"/>
        </w:tabs>
        <w:ind w:left="2160" w:hanging="360"/>
      </w:pPr>
      <w:rPr>
        <w:rFonts w:ascii="Wingdings" w:hAnsi="Wingdings"/>
      </w:rPr>
    </w:lvl>
    <w:lvl w:ilvl="3" w:tplc="AA16BFAA">
      <w:start w:val="1"/>
      <w:numFmt w:val="bullet"/>
      <w:lvlText w:val=""/>
      <w:lvlJc w:val="left"/>
      <w:pPr>
        <w:tabs>
          <w:tab w:val="num" w:pos="2880"/>
        </w:tabs>
        <w:ind w:left="2880" w:hanging="360"/>
      </w:pPr>
      <w:rPr>
        <w:rFonts w:ascii="Symbol" w:hAnsi="Symbol"/>
      </w:rPr>
    </w:lvl>
    <w:lvl w:ilvl="4" w:tplc="7018BDEA">
      <w:start w:val="1"/>
      <w:numFmt w:val="bullet"/>
      <w:lvlText w:val="o"/>
      <w:lvlJc w:val="left"/>
      <w:pPr>
        <w:tabs>
          <w:tab w:val="num" w:pos="3600"/>
        </w:tabs>
        <w:ind w:left="3600" w:hanging="360"/>
      </w:pPr>
      <w:rPr>
        <w:rFonts w:ascii="Courier New" w:hAnsi="Courier New"/>
      </w:rPr>
    </w:lvl>
    <w:lvl w:ilvl="5" w:tplc="6FDE056C">
      <w:start w:val="1"/>
      <w:numFmt w:val="bullet"/>
      <w:lvlText w:val=""/>
      <w:lvlJc w:val="left"/>
      <w:pPr>
        <w:tabs>
          <w:tab w:val="num" w:pos="4320"/>
        </w:tabs>
        <w:ind w:left="4320" w:hanging="360"/>
      </w:pPr>
      <w:rPr>
        <w:rFonts w:ascii="Wingdings" w:hAnsi="Wingdings"/>
      </w:rPr>
    </w:lvl>
    <w:lvl w:ilvl="6" w:tplc="55B8C3F6">
      <w:start w:val="1"/>
      <w:numFmt w:val="bullet"/>
      <w:lvlText w:val=""/>
      <w:lvlJc w:val="left"/>
      <w:pPr>
        <w:tabs>
          <w:tab w:val="num" w:pos="5040"/>
        </w:tabs>
        <w:ind w:left="5040" w:hanging="360"/>
      </w:pPr>
      <w:rPr>
        <w:rFonts w:ascii="Symbol" w:hAnsi="Symbol"/>
      </w:rPr>
    </w:lvl>
    <w:lvl w:ilvl="7" w:tplc="6D387280">
      <w:start w:val="1"/>
      <w:numFmt w:val="bullet"/>
      <w:lvlText w:val="o"/>
      <w:lvlJc w:val="left"/>
      <w:pPr>
        <w:tabs>
          <w:tab w:val="num" w:pos="5760"/>
        </w:tabs>
        <w:ind w:left="5760" w:hanging="360"/>
      </w:pPr>
      <w:rPr>
        <w:rFonts w:ascii="Courier New" w:hAnsi="Courier New"/>
      </w:rPr>
    </w:lvl>
    <w:lvl w:ilvl="8" w:tplc="333CD50A">
      <w:start w:val="1"/>
      <w:numFmt w:val="bullet"/>
      <w:lvlText w:val=""/>
      <w:lvlJc w:val="left"/>
      <w:pPr>
        <w:tabs>
          <w:tab w:val="num" w:pos="6480"/>
        </w:tabs>
        <w:ind w:left="6480" w:hanging="360"/>
      </w:pPr>
      <w:rPr>
        <w:rFonts w:ascii="Wingdings" w:hAnsi="Wingdings"/>
      </w:rPr>
    </w:lvl>
  </w:abstractNum>
  <w:abstractNum w:abstractNumId="288" w15:restartNumberingAfterBreak="0">
    <w:nsid w:val="722305E2"/>
    <w:multiLevelType w:val="hybridMultilevel"/>
    <w:tmpl w:val="722305E2"/>
    <w:lvl w:ilvl="0" w:tplc="605AF800">
      <w:start w:val="1"/>
      <w:numFmt w:val="bullet"/>
      <w:lvlText w:val=""/>
      <w:lvlJc w:val="left"/>
      <w:pPr>
        <w:ind w:left="720" w:hanging="360"/>
      </w:pPr>
      <w:rPr>
        <w:rFonts w:ascii="Symbol" w:hAnsi="Symbol"/>
      </w:rPr>
    </w:lvl>
    <w:lvl w:ilvl="1" w:tplc="C57819B6">
      <w:start w:val="1"/>
      <w:numFmt w:val="bullet"/>
      <w:lvlText w:val="o"/>
      <w:lvlJc w:val="left"/>
      <w:pPr>
        <w:tabs>
          <w:tab w:val="num" w:pos="1440"/>
        </w:tabs>
        <w:ind w:left="1440" w:hanging="360"/>
      </w:pPr>
      <w:rPr>
        <w:rFonts w:ascii="Courier New" w:hAnsi="Courier New"/>
      </w:rPr>
    </w:lvl>
    <w:lvl w:ilvl="2" w:tplc="BB400B7C">
      <w:start w:val="1"/>
      <w:numFmt w:val="bullet"/>
      <w:lvlText w:val=""/>
      <w:lvlJc w:val="left"/>
      <w:pPr>
        <w:tabs>
          <w:tab w:val="num" w:pos="2160"/>
        </w:tabs>
        <w:ind w:left="2160" w:hanging="360"/>
      </w:pPr>
      <w:rPr>
        <w:rFonts w:ascii="Wingdings" w:hAnsi="Wingdings"/>
      </w:rPr>
    </w:lvl>
    <w:lvl w:ilvl="3" w:tplc="D20A527E">
      <w:start w:val="1"/>
      <w:numFmt w:val="bullet"/>
      <w:lvlText w:val=""/>
      <w:lvlJc w:val="left"/>
      <w:pPr>
        <w:tabs>
          <w:tab w:val="num" w:pos="2880"/>
        </w:tabs>
        <w:ind w:left="2880" w:hanging="360"/>
      </w:pPr>
      <w:rPr>
        <w:rFonts w:ascii="Symbol" w:hAnsi="Symbol"/>
      </w:rPr>
    </w:lvl>
    <w:lvl w:ilvl="4" w:tplc="FE523950">
      <w:start w:val="1"/>
      <w:numFmt w:val="bullet"/>
      <w:lvlText w:val="o"/>
      <w:lvlJc w:val="left"/>
      <w:pPr>
        <w:tabs>
          <w:tab w:val="num" w:pos="3600"/>
        </w:tabs>
        <w:ind w:left="3600" w:hanging="360"/>
      </w:pPr>
      <w:rPr>
        <w:rFonts w:ascii="Courier New" w:hAnsi="Courier New"/>
      </w:rPr>
    </w:lvl>
    <w:lvl w:ilvl="5" w:tplc="FE989052">
      <w:start w:val="1"/>
      <w:numFmt w:val="bullet"/>
      <w:lvlText w:val=""/>
      <w:lvlJc w:val="left"/>
      <w:pPr>
        <w:tabs>
          <w:tab w:val="num" w:pos="4320"/>
        </w:tabs>
        <w:ind w:left="4320" w:hanging="360"/>
      </w:pPr>
      <w:rPr>
        <w:rFonts w:ascii="Wingdings" w:hAnsi="Wingdings"/>
      </w:rPr>
    </w:lvl>
    <w:lvl w:ilvl="6" w:tplc="0D1EA3C0">
      <w:start w:val="1"/>
      <w:numFmt w:val="bullet"/>
      <w:lvlText w:val=""/>
      <w:lvlJc w:val="left"/>
      <w:pPr>
        <w:tabs>
          <w:tab w:val="num" w:pos="5040"/>
        </w:tabs>
        <w:ind w:left="5040" w:hanging="360"/>
      </w:pPr>
      <w:rPr>
        <w:rFonts w:ascii="Symbol" w:hAnsi="Symbol"/>
      </w:rPr>
    </w:lvl>
    <w:lvl w:ilvl="7" w:tplc="6E9010B8">
      <w:start w:val="1"/>
      <w:numFmt w:val="bullet"/>
      <w:lvlText w:val="o"/>
      <w:lvlJc w:val="left"/>
      <w:pPr>
        <w:tabs>
          <w:tab w:val="num" w:pos="5760"/>
        </w:tabs>
        <w:ind w:left="5760" w:hanging="360"/>
      </w:pPr>
      <w:rPr>
        <w:rFonts w:ascii="Courier New" w:hAnsi="Courier New"/>
      </w:rPr>
    </w:lvl>
    <w:lvl w:ilvl="8" w:tplc="D454288A">
      <w:start w:val="1"/>
      <w:numFmt w:val="bullet"/>
      <w:lvlText w:val=""/>
      <w:lvlJc w:val="left"/>
      <w:pPr>
        <w:tabs>
          <w:tab w:val="num" w:pos="6480"/>
        </w:tabs>
        <w:ind w:left="6480" w:hanging="360"/>
      </w:pPr>
      <w:rPr>
        <w:rFonts w:ascii="Wingdings" w:hAnsi="Wingdings"/>
      </w:rPr>
    </w:lvl>
  </w:abstractNum>
  <w:abstractNum w:abstractNumId="289" w15:restartNumberingAfterBreak="0">
    <w:nsid w:val="722305E3"/>
    <w:multiLevelType w:val="hybridMultilevel"/>
    <w:tmpl w:val="722305E3"/>
    <w:lvl w:ilvl="0" w:tplc="76343D70">
      <w:start w:val="1"/>
      <w:numFmt w:val="bullet"/>
      <w:lvlText w:val=""/>
      <w:lvlJc w:val="left"/>
      <w:pPr>
        <w:ind w:left="720" w:hanging="360"/>
      </w:pPr>
      <w:rPr>
        <w:rFonts w:ascii="Symbol" w:hAnsi="Symbol"/>
      </w:rPr>
    </w:lvl>
    <w:lvl w:ilvl="1" w:tplc="629EE59A">
      <w:start w:val="1"/>
      <w:numFmt w:val="bullet"/>
      <w:lvlText w:val="o"/>
      <w:lvlJc w:val="left"/>
      <w:pPr>
        <w:tabs>
          <w:tab w:val="num" w:pos="1440"/>
        </w:tabs>
        <w:ind w:left="1440" w:hanging="360"/>
      </w:pPr>
      <w:rPr>
        <w:rFonts w:ascii="Courier New" w:hAnsi="Courier New"/>
      </w:rPr>
    </w:lvl>
    <w:lvl w:ilvl="2" w:tplc="DCF4F79C">
      <w:start w:val="1"/>
      <w:numFmt w:val="bullet"/>
      <w:lvlText w:val=""/>
      <w:lvlJc w:val="left"/>
      <w:pPr>
        <w:tabs>
          <w:tab w:val="num" w:pos="2160"/>
        </w:tabs>
        <w:ind w:left="2160" w:hanging="360"/>
      </w:pPr>
      <w:rPr>
        <w:rFonts w:ascii="Wingdings" w:hAnsi="Wingdings"/>
      </w:rPr>
    </w:lvl>
    <w:lvl w:ilvl="3" w:tplc="BC720F8E">
      <w:start w:val="1"/>
      <w:numFmt w:val="bullet"/>
      <w:lvlText w:val=""/>
      <w:lvlJc w:val="left"/>
      <w:pPr>
        <w:tabs>
          <w:tab w:val="num" w:pos="2880"/>
        </w:tabs>
        <w:ind w:left="2880" w:hanging="360"/>
      </w:pPr>
      <w:rPr>
        <w:rFonts w:ascii="Symbol" w:hAnsi="Symbol"/>
      </w:rPr>
    </w:lvl>
    <w:lvl w:ilvl="4" w:tplc="244CD6A8">
      <w:start w:val="1"/>
      <w:numFmt w:val="bullet"/>
      <w:lvlText w:val="o"/>
      <w:lvlJc w:val="left"/>
      <w:pPr>
        <w:tabs>
          <w:tab w:val="num" w:pos="3600"/>
        </w:tabs>
        <w:ind w:left="3600" w:hanging="360"/>
      </w:pPr>
      <w:rPr>
        <w:rFonts w:ascii="Courier New" w:hAnsi="Courier New"/>
      </w:rPr>
    </w:lvl>
    <w:lvl w:ilvl="5" w:tplc="8BE42E2A">
      <w:start w:val="1"/>
      <w:numFmt w:val="bullet"/>
      <w:lvlText w:val=""/>
      <w:lvlJc w:val="left"/>
      <w:pPr>
        <w:tabs>
          <w:tab w:val="num" w:pos="4320"/>
        </w:tabs>
        <w:ind w:left="4320" w:hanging="360"/>
      </w:pPr>
      <w:rPr>
        <w:rFonts w:ascii="Wingdings" w:hAnsi="Wingdings"/>
      </w:rPr>
    </w:lvl>
    <w:lvl w:ilvl="6" w:tplc="5DDC4DAE">
      <w:start w:val="1"/>
      <w:numFmt w:val="bullet"/>
      <w:lvlText w:val=""/>
      <w:lvlJc w:val="left"/>
      <w:pPr>
        <w:tabs>
          <w:tab w:val="num" w:pos="5040"/>
        </w:tabs>
        <w:ind w:left="5040" w:hanging="360"/>
      </w:pPr>
      <w:rPr>
        <w:rFonts w:ascii="Symbol" w:hAnsi="Symbol"/>
      </w:rPr>
    </w:lvl>
    <w:lvl w:ilvl="7" w:tplc="956E3330">
      <w:start w:val="1"/>
      <w:numFmt w:val="bullet"/>
      <w:lvlText w:val="o"/>
      <w:lvlJc w:val="left"/>
      <w:pPr>
        <w:tabs>
          <w:tab w:val="num" w:pos="5760"/>
        </w:tabs>
        <w:ind w:left="5760" w:hanging="360"/>
      </w:pPr>
      <w:rPr>
        <w:rFonts w:ascii="Courier New" w:hAnsi="Courier New"/>
      </w:rPr>
    </w:lvl>
    <w:lvl w:ilvl="8" w:tplc="11EE1AA2">
      <w:start w:val="1"/>
      <w:numFmt w:val="bullet"/>
      <w:lvlText w:val=""/>
      <w:lvlJc w:val="left"/>
      <w:pPr>
        <w:tabs>
          <w:tab w:val="num" w:pos="6480"/>
        </w:tabs>
        <w:ind w:left="6480" w:hanging="360"/>
      </w:pPr>
      <w:rPr>
        <w:rFonts w:ascii="Wingdings" w:hAnsi="Wingdings"/>
      </w:rPr>
    </w:lvl>
  </w:abstractNum>
  <w:abstractNum w:abstractNumId="290" w15:restartNumberingAfterBreak="0">
    <w:nsid w:val="722305E4"/>
    <w:multiLevelType w:val="hybridMultilevel"/>
    <w:tmpl w:val="722305E4"/>
    <w:lvl w:ilvl="0" w:tplc="E28CD97E">
      <w:start w:val="1"/>
      <w:numFmt w:val="bullet"/>
      <w:lvlText w:val=""/>
      <w:lvlJc w:val="left"/>
      <w:pPr>
        <w:ind w:left="720" w:hanging="360"/>
      </w:pPr>
      <w:rPr>
        <w:rFonts w:ascii="Symbol" w:hAnsi="Symbol"/>
      </w:rPr>
    </w:lvl>
    <w:lvl w:ilvl="1" w:tplc="6616F5F4">
      <w:start w:val="1"/>
      <w:numFmt w:val="bullet"/>
      <w:lvlText w:val="o"/>
      <w:lvlJc w:val="left"/>
      <w:pPr>
        <w:ind w:left="1440" w:hanging="360"/>
      </w:pPr>
      <w:rPr>
        <w:rFonts w:ascii="Courier New" w:hAnsi="Courier New"/>
      </w:rPr>
    </w:lvl>
    <w:lvl w:ilvl="2" w:tplc="3B26A2D4">
      <w:start w:val="1"/>
      <w:numFmt w:val="bullet"/>
      <w:lvlText w:val=""/>
      <w:lvlJc w:val="left"/>
      <w:pPr>
        <w:tabs>
          <w:tab w:val="num" w:pos="2160"/>
        </w:tabs>
        <w:ind w:left="2160" w:hanging="360"/>
      </w:pPr>
      <w:rPr>
        <w:rFonts w:ascii="Wingdings" w:hAnsi="Wingdings"/>
      </w:rPr>
    </w:lvl>
    <w:lvl w:ilvl="3" w:tplc="51FC9340">
      <w:start w:val="1"/>
      <w:numFmt w:val="bullet"/>
      <w:lvlText w:val=""/>
      <w:lvlJc w:val="left"/>
      <w:pPr>
        <w:tabs>
          <w:tab w:val="num" w:pos="2880"/>
        </w:tabs>
        <w:ind w:left="2880" w:hanging="360"/>
      </w:pPr>
      <w:rPr>
        <w:rFonts w:ascii="Symbol" w:hAnsi="Symbol"/>
      </w:rPr>
    </w:lvl>
    <w:lvl w:ilvl="4" w:tplc="6652B6A8">
      <w:start w:val="1"/>
      <w:numFmt w:val="bullet"/>
      <w:lvlText w:val="o"/>
      <w:lvlJc w:val="left"/>
      <w:pPr>
        <w:tabs>
          <w:tab w:val="num" w:pos="3600"/>
        </w:tabs>
        <w:ind w:left="3600" w:hanging="360"/>
      </w:pPr>
      <w:rPr>
        <w:rFonts w:ascii="Courier New" w:hAnsi="Courier New"/>
      </w:rPr>
    </w:lvl>
    <w:lvl w:ilvl="5" w:tplc="FC3C144A">
      <w:start w:val="1"/>
      <w:numFmt w:val="bullet"/>
      <w:lvlText w:val=""/>
      <w:lvlJc w:val="left"/>
      <w:pPr>
        <w:tabs>
          <w:tab w:val="num" w:pos="4320"/>
        </w:tabs>
        <w:ind w:left="4320" w:hanging="360"/>
      </w:pPr>
      <w:rPr>
        <w:rFonts w:ascii="Wingdings" w:hAnsi="Wingdings"/>
      </w:rPr>
    </w:lvl>
    <w:lvl w:ilvl="6" w:tplc="AA644810">
      <w:start w:val="1"/>
      <w:numFmt w:val="bullet"/>
      <w:lvlText w:val=""/>
      <w:lvlJc w:val="left"/>
      <w:pPr>
        <w:tabs>
          <w:tab w:val="num" w:pos="5040"/>
        </w:tabs>
        <w:ind w:left="5040" w:hanging="360"/>
      </w:pPr>
      <w:rPr>
        <w:rFonts w:ascii="Symbol" w:hAnsi="Symbol"/>
      </w:rPr>
    </w:lvl>
    <w:lvl w:ilvl="7" w:tplc="EDB25D0A">
      <w:start w:val="1"/>
      <w:numFmt w:val="bullet"/>
      <w:lvlText w:val="o"/>
      <w:lvlJc w:val="left"/>
      <w:pPr>
        <w:tabs>
          <w:tab w:val="num" w:pos="5760"/>
        </w:tabs>
        <w:ind w:left="5760" w:hanging="360"/>
      </w:pPr>
      <w:rPr>
        <w:rFonts w:ascii="Courier New" w:hAnsi="Courier New"/>
      </w:rPr>
    </w:lvl>
    <w:lvl w:ilvl="8" w:tplc="E29620DC">
      <w:start w:val="1"/>
      <w:numFmt w:val="bullet"/>
      <w:lvlText w:val=""/>
      <w:lvlJc w:val="left"/>
      <w:pPr>
        <w:tabs>
          <w:tab w:val="num" w:pos="6480"/>
        </w:tabs>
        <w:ind w:left="6480" w:hanging="360"/>
      </w:pPr>
      <w:rPr>
        <w:rFonts w:ascii="Wingdings" w:hAnsi="Wingdings"/>
      </w:rPr>
    </w:lvl>
  </w:abstractNum>
  <w:abstractNum w:abstractNumId="291" w15:restartNumberingAfterBreak="0">
    <w:nsid w:val="722305E5"/>
    <w:multiLevelType w:val="hybridMultilevel"/>
    <w:tmpl w:val="722305E5"/>
    <w:lvl w:ilvl="0" w:tplc="DA7A3974">
      <w:start w:val="1"/>
      <w:numFmt w:val="bullet"/>
      <w:lvlText w:val=""/>
      <w:lvlJc w:val="left"/>
      <w:pPr>
        <w:ind w:left="720" w:hanging="360"/>
      </w:pPr>
      <w:rPr>
        <w:rFonts w:ascii="Symbol" w:hAnsi="Symbol"/>
      </w:rPr>
    </w:lvl>
    <w:lvl w:ilvl="1" w:tplc="964689F8">
      <w:start w:val="1"/>
      <w:numFmt w:val="bullet"/>
      <w:lvlText w:val="o"/>
      <w:lvlJc w:val="left"/>
      <w:pPr>
        <w:tabs>
          <w:tab w:val="num" w:pos="1440"/>
        </w:tabs>
        <w:ind w:left="1440" w:hanging="360"/>
      </w:pPr>
      <w:rPr>
        <w:rFonts w:ascii="Courier New" w:hAnsi="Courier New"/>
      </w:rPr>
    </w:lvl>
    <w:lvl w:ilvl="2" w:tplc="99BC388C">
      <w:start w:val="1"/>
      <w:numFmt w:val="bullet"/>
      <w:lvlText w:val=""/>
      <w:lvlJc w:val="left"/>
      <w:pPr>
        <w:tabs>
          <w:tab w:val="num" w:pos="2160"/>
        </w:tabs>
        <w:ind w:left="2160" w:hanging="360"/>
      </w:pPr>
      <w:rPr>
        <w:rFonts w:ascii="Wingdings" w:hAnsi="Wingdings"/>
      </w:rPr>
    </w:lvl>
    <w:lvl w:ilvl="3" w:tplc="C096C9B2">
      <w:start w:val="1"/>
      <w:numFmt w:val="bullet"/>
      <w:lvlText w:val=""/>
      <w:lvlJc w:val="left"/>
      <w:pPr>
        <w:tabs>
          <w:tab w:val="num" w:pos="2880"/>
        </w:tabs>
        <w:ind w:left="2880" w:hanging="360"/>
      </w:pPr>
      <w:rPr>
        <w:rFonts w:ascii="Symbol" w:hAnsi="Symbol"/>
      </w:rPr>
    </w:lvl>
    <w:lvl w:ilvl="4" w:tplc="5C824E0C">
      <w:start w:val="1"/>
      <w:numFmt w:val="bullet"/>
      <w:lvlText w:val="o"/>
      <w:lvlJc w:val="left"/>
      <w:pPr>
        <w:tabs>
          <w:tab w:val="num" w:pos="3600"/>
        </w:tabs>
        <w:ind w:left="3600" w:hanging="360"/>
      </w:pPr>
      <w:rPr>
        <w:rFonts w:ascii="Courier New" w:hAnsi="Courier New"/>
      </w:rPr>
    </w:lvl>
    <w:lvl w:ilvl="5" w:tplc="8F9AAB8E">
      <w:start w:val="1"/>
      <w:numFmt w:val="bullet"/>
      <w:lvlText w:val=""/>
      <w:lvlJc w:val="left"/>
      <w:pPr>
        <w:tabs>
          <w:tab w:val="num" w:pos="4320"/>
        </w:tabs>
        <w:ind w:left="4320" w:hanging="360"/>
      </w:pPr>
      <w:rPr>
        <w:rFonts w:ascii="Wingdings" w:hAnsi="Wingdings"/>
      </w:rPr>
    </w:lvl>
    <w:lvl w:ilvl="6" w:tplc="13BED7C8">
      <w:start w:val="1"/>
      <w:numFmt w:val="bullet"/>
      <w:lvlText w:val=""/>
      <w:lvlJc w:val="left"/>
      <w:pPr>
        <w:tabs>
          <w:tab w:val="num" w:pos="5040"/>
        </w:tabs>
        <w:ind w:left="5040" w:hanging="360"/>
      </w:pPr>
      <w:rPr>
        <w:rFonts w:ascii="Symbol" w:hAnsi="Symbol"/>
      </w:rPr>
    </w:lvl>
    <w:lvl w:ilvl="7" w:tplc="921EECAC">
      <w:start w:val="1"/>
      <w:numFmt w:val="bullet"/>
      <w:lvlText w:val="o"/>
      <w:lvlJc w:val="left"/>
      <w:pPr>
        <w:tabs>
          <w:tab w:val="num" w:pos="5760"/>
        </w:tabs>
        <w:ind w:left="5760" w:hanging="360"/>
      </w:pPr>
      <w:rPr>
        <w:rFonts w:ascii="Courier New" w:hAnsi="Courier New"/>
      </w:rPr>
    </w:lvl>
    <w:lvl w:ilvl="8" w:tplc="254C30F8">
      <w:start w:val="1"/>
      <w:numFmt w:val="bullet"/>
      <w:lvlText w:val=""/>
      <w:lvlJc w:val="left"/>
      <w:pPr>
        <w:tabs>
          <w:tab w:val="num" w:pos="6480"/>
        </w:tabs>
        <w:ind w:left="6480" w:hanging="360"/>
      </w:pPr>
      <w:rPr>
        <w:rFonts w:ascii="Wingdings" w:hAnsi="Wingdings"/>
      </w:rPr>
    </w:lvl>
  </w:abstractNum>
  <w:abstractNum w:abstractNumId="292" w15:restartNumberingAfterBreak="0">
    <w:nsid w:val="722305E6"/>
    <w:multiLevelType w:val="hybridMultilevel"/>
    <w:tmpl w:val="722305E6"/>
    <w:lvl w:ilvl="0" w:tplc="A510E0D2">
      <w:start w:val="1"/>
      <w:numFmt w:val="bullet"/>
      <w:lvlText w:val=""/>
      <w:lvlJc w:val="left"/>
      <w:pPr>
        <w:ind w:left="720" w:hanging="360"/>
      </w:pPr>
      <w:rPr>
        <w:rFonts w:ascii="Symbol" w:hAnsi="Symbol"/>
      </w:rPr>
    </w:lvl>
    <w:lvl w:ilvl="1" w:tplc="527CCB26">
      <w:start w:val="1"/>
      <w:numFmt w:val="bullet"/>
      <w:lvlText w:val="o"/>
      <w:lvlJc w:val="left"/>
      <w:pPr>
        <w:ind w:left="1440" w:hanging="360"/>
      </w:pPr>
      <w:rPr>
        <w:rFonts w:ascii="Courier New" w:hAnsi="Courier New"/>
      </w:rPr>
    </w:lvl>
    <w:lvl w:ilvl="2" w:tplc="06AEBAB8">
      <w:start w:val="1"/>
      <w:numFmt w:val="bullet"/>
      <w:lvlText w:val=""/>
      <w:lvlJc w:val="left"/>
      <w:pPr>
        <w:tabs>
          <w:tab w:val="num" w:pos="2160"/>
        </w:tabs>
        <w:ind w:left="2160" w:hanging="360"/>
      </w:pPr>
      <w:rPr>
        <w:rFonts w:ascii="Wingdings" w:hAnsi="Wingdings"/>
      </w:rPr>
    </w:lvl>
    <w:lvl w:ilvl="3" w:tplc="BA721CF4">
      <w:start w:val="1"/>
      <w:numFmt w:val="bullet"/>
      <w:lvlText w:val=""/>
      <w:lvlJc w:val="left"/>
      <w:pPr>
        <w:tabs>
          <w:tab w:val="num" w:pos="2880"/>
        </w:tabs>
        <w:ind w:left="2880" w:hanging="360"/>
      </w:pPr>
      <w:rPr>
        <w:rFonts w:ascii="Symbol" w:hAnsi="Symbol"/>
      </w:rPr>
    </w:lvl>
    <w:lvl w:ilvl="4" w:tplc="18A4B5B6">
      <w:start w:val="1"/>
      <w:numFmt w:val="bullet"/>
      <w:lvlText w:val="o"/>
      <w:lvlJc w:val="left"/>
      <w:pPr>
        <w:tabs>
          <w:tab w:val="num" w:pos="3600"/>
        </w:tabs>
        <w:ind w:left="3600" w:hanging="360"/>
      </w:pPr>
      <w:rPr>
        <w:rFonts w:ascii="Courier New" w:hAnsi="Courier New"/>
      </w:rPr>
    </w:lvl>
    <w:lvl w:ilvl="5" w:tplc="9E301E4A">
      <w:start w:val="1"/>
      <w:numFmt w:val="bullet"/>
      <w:lvlText w:val=""/>
      <w:lvlJc w:val="left"/>
      <w:pPr>
        <w:tabs>
          <w:tab w:val="num" w:pos="4320"/>
        </w:tabs>
        <w:ind w:left="4320" w:hanging="360"/>
      </w:pPr>
      <w:rPr>
        <w:rFonts w:ascii="Wingdings" w:hAnsi="Wingdings"/>
      </w:rPr>
    </w:lvl>
    <w:lvl w:ilvl="6" w:tplc="88B4FAFA">
      <w:start w:val="1"/>
      <w:numFmt w:val="bullet"/>
      <w:lvlText w:val=""/>
      <w:lvlJc w:val="left"/>
      <w:pPr>
        <w:tabs>
          <w:tab w:val="num" w:pos="5040"/>
        </w:tabs>
        <w:ind w:left="5040" w:hanging="360"/>
      </w:pPr>
      <w:rPr>
        <w:rFonts w:ascii="Symbol" w:hAnsi="Symbol"/>
      </w:rPr>
    </w:lvl>
    <w:lvl w:ilvl="7" w:tplc="0F16321E">
      <w:start w:val="1"/>
      <w:numFmt w:val="bullet"/>
      <w:lvlText w:val="o"/>
      <w:lvlJc w:val="left"/>
      <w:pPr>
        <w:tabs>
          <w:tab w:val="num" w:pos="5760"/>
        </w:tabs>
        <w:ind w:left="5760" w:hanging="360"/>
      </w:pPr>
      <w:rPr>
        <w:rFonts w:ascii="Courier New" w:hAnsi="Courier New"/>
      </w:rPr>
    </w:lvl>
    <w:lvl w:ilvl="8" w:tplc="F7D080CA">
      <w:start w:val="1"/>
      <w:numFmt w:val="bullet"/>
      <w:lvlText w:val=""/>
      <w:lvlJc w:val="left"/>
      <w:pPr>
        <w:tabs>
          <w:tab w:val="num" w:pos="6480"/>
        </w:tabs>
        <w:ind w:left="6480" w:hanging="360"/>
      </w:pPr>
      <w:rPr>
        <w:rFonts w:ascii="Wingdings" w:hAnsi="Wingdings"/>
      </w:rPr>
    </w:lvl>
  </w:abstractNum>
  <w:abstractNum w:abstractNumId="293" w15:restartNumberingAfterBreak="0">
    <w:nsid w:val="722305E7"/>
    <w:multiLevelType w:val="hybridMultilevel"/>
    <w:tmpl w:val="722305E7"/>
    <w:lvl w:ilvl="0" w:tplc="E7D8D3FA">
      <w:start w:val="1"/>
      <w:numFmt w:val="bullet"/>
      <w:lvlText w:val=""/>
      <w:lvlJc w:val="left"/>
      <w:pPr>
        <w:ind w:left="720" w:hanging="360"/>
      </w:pPr>
      <w:rPr>
        <w:rFonts w:ascii="Symbol" w:hAnsi="Symbol"/>
      </w:rPr>
    </w:lvl>
    <w:lvl w:ilvl="1" w:tplc="968E4F00">
      <w:start w:val="1"/>
      <w:numFmt w:val="bullet"/>
      <w:lvlText w:val="o"/>
      <w:lvlJc w:val="left"/>
      <w:pPr>
        <w:tabs>
          <w:tab w:val="num" w:pos="1440"/>
        </w:tabs>
        <w:ind w:left="1440" w:hanging="360"/>
      </w:pPr>
      <w:rPr>
        <w:rFonts w:ascii="Courier New" w:hAnsi="Courier New"/>
      </w:rPr>
    </w:lvl>
    <w:lvl w:ilvl="2" w:tplc="470CFC48">
      <w:start w:val="1"/>
      <w:numFmt w:val="bullet"/>
      <w:lvlText w:val=""/>
      <w:lvlJc w:val="left"/>
      <w:pPr>
        <w:tabs>
          <w:tab w:val="num" w:pos="2160"/>
        </w:tabs>
        <w:ind w:left="2160" w:hanging="360"/>
      </w:pPr>
      <w:rPr>
        <w:rFonts w:ascii="Wingdings" w:hAnsi="Wingdings"/>
      </w:rPr>
    </w:lvl>
    <w:lvl w:ilvl="3" w:tplc="0FE404C8">
      <w:start w:val="1"/>
      <w:numFmt w:val="bullet"/>
      <w:lvlText w:val=""/>
      <w:lvlJc w:val="left"/>
      <w:pPr>
        <w:tabs>
          <w:tab w:val="num" w:pos="2880"/>
        </w:tabs>
        <w:ind w:left="2880" w:hanging="360"/>
      </w:pPr>
      <w:rPr>
        <w:rFonts w:ascii="Symbol" w:hAnsi="Symbol"/>
      </w:rPr>
    </w:lvl>
    <w:lvl w:ilvl="4" w:tplc="B39024BC">
      <w:start w:val="1"/>
      <w:numFmt w:val="bullet"/>
      <w:lvlText w:val="o"/>
      <w:lvlJc w:val="left"/>
      <w:pPr>
        <w:tabs>
          <w:tab w:val="num" w:pos="3600"/>
        </w:tabs>
        <w:ind w:left="3600" w:hanging="360"/>
      </w:pPr>
      <w:rPr>
        <w:rFonts w:ascii="Courier New" w:hAnsi="Courier New"/>
      </w:rPr>
    </w:lvl>
    <w:lvl w:ilvl="5" w:tplc="896433AE">
      <w:start w:val="1"/>
      <w:numFmt w:val="bullet"/>
      <w:lvlText w:val=""/>
      <w:lvlJc w:val="left"/>
      <w:pPr>
        <w:tabs>
          <w:tab w:val="num" w:pos="4320"/>
        </w:tabs>
        <w:ind w:left="4320" w:hanging="360"/>
      </w:pPr>
      <w:rPr>
        <w:rFonts w:ascii="Wingdings" w:hAnsi="Wingdings"/>
      </w:rPr>
    </w:lvl>
    <w:lvl w:ilvl="6" w:tplc="128257EE">
      <w:start w:val="1"/>
      <w:numFmt w:val="bullet"/>
      <w:lvlText w:val=""/>
      <w:lvlJc w:val="left"/>
      <w:pPr>
        <w:tabs>
          <w:tab w:val="num" w:pos="5040"/>
        </w:tabs>
        <w:ind w:left="5040" w:hanging="360"/>
      </w:pPr>
      <w:rPr>
        <w:rFonts w:ascii="Symbol" w:hAnsi="Symbol"/>
      </w:rPr>
    </w:lvl>
    <w:lvl w:ilvl="7" w:tplc="BD9EE36A">
      <w:start w:val="1"/>
      <w:numFmt w:val="bullet"/>
      <w:lvlText w:val="o"/>
      <w:lvlJc w:val="left"/>
      <w:pPr>
        <w:tabs>
          <w:tab w:val="num" w:pos="5760"/>
        </w:tabs>
        <w:ind w:left="5760" w:hanging="360"/>
      </w:pPr>
      <w:rPr>
        <w:rFonts w:ascii="Courier New" w:hAnsi="Courier New"/>
      </w:rPr>
    </w:lvl>
    <w:lvl w:ilvl="8" w:tplc="F87E8A70">
      <w:start w:val="1"/>
      <w:numFmt w:val="bullet"/>
      <w:lvlText w:val=""/>
      <w:lvlJc w:val="left"/>
      <w:pPr>
        <w:tabs>
          <w:tab w:val="num" w:pos="6480"/>
        </w:tabs>
        <w:ind w:left="6480" w:hanging="360"/>
      </w:pPr>
      <w:rPr>
        <w:rFonts w:ascii="Wingdings" w:hAnsi="Wingdings"/>
      </w:rPr>
    </w:lvl>
  </w:abstractNum>
  <w:abstractNum w:abstractNumId="294" w15:restartNumberingAfterBreak="0">
    <w:nsid w:val="722305E8"/>
    <w:multiLevelType w:val="hybridMultilevel"/>
    <w:tmpl w:val="722305E8"/>
    <w:lvl w:ilvl="0" w:tplc="8CA8B192">
      <w:start w:val="1"/>
      <w:numFmt w:val="bullet"/>
      <w:lvlText w:val=""/>
      <w:lvlJc w:val="left"/>
      <w:pPr>
        <w:ind w:left="720" w:hanging="360"/>
      </w:pPr>
      <w:rPr>
        <w:rFonts w:ascii="Symbol" w:hAnsi="Symbol"/>
      </w:rPr>
    </w:lvl>
    <w:lvl w:ilvl="1" w:tplc="DDEEA5BC">
      <w:start w:val="1"/>
      <w:numFmt w:val="bullet"/>
      <w:lvlText w:val="o"/>
      <w:lvlJc w:val="left"/>
      <w:pPr>
        <w:tabs>
          <w:tab w:val="num" w:pos="1440"/>
        </w:tabs>
        <w:ind w:left="1440" w:hanging="360"/>
      </w:pPr>
      <w:rPr>
        <w:rFonts w:ascii="Courier New" w:hAnsi="Courier New"/>
      </w:rPr>
    </w:lvl>
    <w:lvl w:ilvl="2" w:tplc="C8A84EAE">
      <w:start w:val="1"/>
      <w:numFmt w:val="bullet"/>
      <w:lvlText w:val=""/>
      <w:lvlJc w:val="left"/>
      <w:pPr>
        <w:tabs>
          <w:tab w:val="num" w:pos="2160"/>
        </w:tabs>
        <w:ind w:left="2160" w:hanging="360"/>
      </w:pPr>
      <w:rPr>
        <w:rFonts w:ascii="Wingdings" w:hAnsi="Wingdings"/>
      </w:rPr>
    </w:lvl>
    <w:lvl w:ilvl="3" w:tplc="CF9C2584">
      <w:start w:val="1"/>
      <w:numFmt w:val="bullet"/>
      <w:lvlText w:val=""/>
      <w:lvlJc w:val="left"/>
      <w:pPr>
        <w:tabs>
          <w:tab w:val="num" w:pos="2880"/>
        </w:tabs>
        <w:ind w:left="2880" w:hanging="360"/>
      </w:pPr>
      <w:rPr>
        <w:rFonts w:ascii="Symbol" w:hAnsi="Symbol"/>
      </w:rPr>
    </w:lvl>
    <w:lvl w:ilvl="4" w:tplc="7E16AACC">
      <w:start w:val="1"/>
      <w:numFmt w:val="bullet"/>
      <w:lvlText w:val="o"/>
      <w:lvlJc w:val="left"/>
      <w:pPr>
        <w:tabs>
          <w:tab w:val="num" w:pos="3600"/>
        </w:tabs>
        <w:ind w:left="3600" w:hanging="360"/>
      </w:pPr>
      <w:rPr>
        <w:rFonts w:ascii="Courier New" w:hAnsi="Courier New"/>
      </w:rPr>
    </w:lvl>
    <w:lvl w:ilvl="5" w:tplc="DCDC98E4">
      <w:start w:val="1"/>
      <w:numFmt w:val="bullet"/>
      <w:lvlText w:val=""/>
      <w:lvlJc w:val="left"/>
      <w:pPr>
        <w:tabs>
          <w:tab w:val="num" w:pos="4320"/>
        </w:tabs>
        <w:ind w:left="4320" w:hanging="360"/>
      </w:pPr>
      <w:rPr>
        <w:rFonts w:ascii="Wingdings" w:hAnsi="Wingdings"/>
      </w:rPr>
    </w:lvl>
    <w:lvl w:ilvl="6" w:tplc="CEF87632">
      <w:start w:val="1"/>
      <w:numFmt w:val="bullet"/>
      <w:lvlText w:val=""/>
      <w:lvlJc w:val="left"/>
      <w:pPr>
        <w:tabs>
          <w:tab w:val="num" w:pos="5040"/>
        </w:tabs>
        <w:ind w:left="5040" w:hanging="360"/>
      </w:pPr>
      <w:rPr>
        <w:rFonts w:ascii="Symbol" w:hAnsi="Symbol"/>
      </w:rPr>
    </w:lvl>
    <w:lvl w:ilvl="7" w:tplc="B5D2C292">
      <w:start w:val="1"/>
      <w:numFmt w:val="bullet"/>
      <w:lvlText w:val="o"/>
      <w:lvlJc w:val="left"/>
      <w:pPr>
        <w:tabs>
          <w:tab w:val="num" w:pos="5760"/>
        </w:tabs>
        <w:ind w:left="5760" w:hanging="360"/>
      </w:pPr>
      <w:rPr>
        <w:rFonts w:ascii="Courier New" w:hAnsi="Courier New"/>
      </w:rPr>
    </w:lvl>
    <w:lvl w:ilvl="8" w:tplc="03369E38">
      <w:start w:val="1"/>
      <w:numFmt w:val="bullet"/>
      <w:lvlText w:val=""/>
      <w:lvlJc w:val="left"/>
      <w:pPr>
        <w:tabs>
          <w:tab w:val="num" w:pos="6480"/>
        </w:tabs>
        <w:ind w:left="6480" w:hanging="360"/>
      </w:pPr>
      <w:rPr>
        <w:rFonts w:ascii="Wingdings" w:hAnsi="Wingdings"/>
      </w:rPr>
    </w:lvl>
  </w:abstractNum>
  <w:abstractNum w:abstractNumId="295" w15:restartNumberingAfterBreak="0">
    <w:nsid w:val="722305E9"/>
    <w:multiLevelType w:val="hybridMultilevel"/>
    <w:tmpl w:val="722305E9"/>
    <w:lvl w:ilvl="0" w:tplc="6DC24244">
      <w:start w:val="1"/>
      <w:numFmt w:val="bullet"/>
      <w:lvlText w:val=""/>
      <w:lvlJc w:val="left"/>
      <w:pPr>
        <w:ind w:left="720" w:hanging="360"/>
      </w:pPr>
      <w:rPr>
        <w:rFonts w:ascii="Symbol" w:hAnsi="Symbol"/>
      </w:rPr>
    </w:lvl>
    <w:lvl w:ilvl="1" w:tplc="B6823084">
      <w:start w:val="1"/>
      <w:numFmt w:val="bullet"/>
      <w:lvlText w:val="o"/>
      <w:lvlJc w:val="left"/>
      <w:pPr>
        <w:tabs>
          <w:tab w:val="num" w:pos="1440"/>
        </w:tabs>
        <w:ind w:left="1440" w:hanging="360"/>
      </w:pPr>
      <w:rPr>
        <w:rFonts w:ascii="Courier New" w:hAnsi="Courier New"/>
      </w:rPr>
    </w:lvl>
    <w:lvl w:ilvl="2" w:tplc="8B6E6FFC">
      <w:start w:val="1"/>
      <w:numFmt w:val="bullet"/>
      <w:lvlText w:val=""/>
      <w:lvlJc w:val="left"/>
      <w:pPr>
        <w:tabs>
          <w:tab w:val="num" w:pos="2160"/>
        </w:tabs>
        <w:ind w:left="2160" w:hanging="360"/>
      </w:pPr>
      <w:rPr>
        <w:rFonts w:ascii="Wingdings" w:hAnsi="Wingdings"/>
      </w:rPr>
    </w:lvl>
    <w:lvl w:ilvl="3" w:tplc="B2ACFEEA">
      <w:start w:val="1"/>
      <w:numFmt w:val="bullet"/>
      <w:lvlText w:val=""/>
      <w:lvlJc w:val="left"/>
      <w:pPr>
        <w:tabs>
          <w:tab w:val="num" w:pos="2880"/>
        </w:tabs>
        <w:ind w:left="2880" w:hanging="360"/>
      </w:pPr>
      <w:rPr>
        <w:rFonts w:ascii="Symbol" w:hAnsi="Symbol"/>
      </w:rPr>
    </w:lvl>
    <w:lvl w:ilvl="4" w:tplc="FE7C9446">
      <w:start w:val="1"/>
      <w:numFmt w:val="bullet"/>
      <w:lvlText w:val="o"/>
      <w:lvlJc w:val="left"/>
      <w:pPr>
        <w:tabs>
          <w:tab w:val="num" w:pos="3600"/>
        </w:tabs>
        <w:ind w:left="3600" w:hanging="360"/>
      </w:pPr>
      <w:rPr>
        <w:rFonts w:ascii="Courier New" w:hAnsi="Courier New"/>
      </w:rPr>
    </w:lvl>
    <w:lvl w:ilvl="5" w:tplc="E278C698">
      <w:start w:val="1"/>
      <w:numFmt w:val="bullet"/>
      <w:lvlText w:val=""/>
      <w:lvlJc w:val="left"/>
      <w:pPr>
        <w:tabs>
          <w:tab w:val="num" w:pos="4320"/>
        </w:tabs>
        <w:ind w:left="4320" w:hanging="360"/>
      </w:pPr>
      <w:rPr>
        <w:rFonts w:ascii="Wingdings" w:hAnsi="Wingdings"/>
      </w:rPr>
    </w:lvl>
    <w:lvl w:ilvl="6" w:tplc="5894B3F4">
      <w:start w:val="1"/>
      <w:numFmt w:val="bullet"/>
      <w:lvlText w:val=""/>
      <w:lvlJc w:val="left"/>
      <w:pPr>
        <w:tabs>
          <w:tab w:val="num" w:pos="5040"/>
        </w:tabs>
        <w:ind w:left="5040" w:hanging="360"/>
      </w:pPr>
      <w:rPr>
        <w:rFonts w:ascii="Symbol" w:hAnsi="Symbol"/>
      </w:rPr>
    </w:lvl>
    <w:lvl w:ilvl="7" w:tplc="211EC654">
      <w:start w:val="1"/>
      <w:numFmt w:val="bullet"/>
      <w:lvlText w:val="o"/>
      <w:lvlJc w:val="left"/>
      <w:pPr>
        <w:tabs>
          <w:tab w:val="num" w:pos="5760"/>
        </w:tabs>
        <w:ind w:left="5760" w:hanging="360"/>
      </w:pPr>
      <w:rPr>
        <w:rFonts w:ascii="Courier New" w:hAnsi="Courier New"/>
      </w:rPr>
    </w:lvl>
    <w:lvl w:ilvl="8" w:tplc="3418E9B0">
      <w:start w:val="1"/>
      <w:numFmt w:val="bullet"/>
      <w:lvlText w:val=""/>
      <w:lvlJc w:val="left"/>
      <w:pPr>
        <w:tabs>
          <w:tab w:val="num" w:pos="6480"/>
        </w:tabs>
        <w:ind w:left="6480" w:hanging="360"/>
      </w:pPr>
      <w:rPr>
        <w:rFonts w:ascii="Wingdings" w:hAnsi="Wingdings"/>
      </w:rPr>
    </w:lvl>
  </w:abstractNum>
  <w:abstractNum w:abstractNumId="296" w15:restartNumberingAfterBreak="0">
    <w:nsid w:val="722305EA"/>
    <w:multiLevelType w:val="hybridMultilevel"/>
    <w:tmpl w:val="722305EA"/>
    <w:lvl w:ilvl="0" w:tplc="C1382862">
      <w:start w:val="1"/>
      <w:numFmt w:val="bullet"/>
      <w:lvlText w:val=""/>
      <w:lvlJc w:val="left"/>
      <w:pPr>
        <w:ind w:left="720" w:hanging="360"/>
      </w:pPr>
      <w:rPr>
        <w:rFonts w:ascii="Symbol" w:hAnsi="Symbol"/>
      </w:rPr>
    </w:lvl>
    <w:lvl w:ilvl="1" w:tplc="9328D79E">
      <w:start w:val="1"/>
      <w:numFmt w:val="bullet"/>
      <w:lvlText w:val="o"/>
      <w:lvlJc w:val="left"/>
      <w:pPr>
        <w:ind w:left="1440" w:hanging="360"/>
      </w:pPr>
      <w:rPr>
        <w:rFonts w:ascii="Courier New" w:hAnsi="Courier New"/>
      </w:rPr>
    </w:lvl>
    <w:lvl w:ilvl="2" w:tplc="6F08ED0C">
      <w:start w:val="1"/>
      <w:numFmt w:val="bullet"/>
      <w:lvlText w:val=""/>
      <w:lvlJc w:val="left"/>
      <w:pPr>
        <w:tabs>
          <w:tab w:val="num" w:pos="2160"/>
        </w:tabs>
        <w:ind w:left="2160" w:hanging="360"/>
      </w:pPr>
      <w:rPr>
        <w:rFonts w:ascii="Wingdings" w:hAnsi="Wingdings"/>
      </w:rPr>
    </w:lvl>
    <w:lvl w:ilvl="3" w:tplc="99E451B0">
      <w:start w:val="1"/>
      <w:numFmt w:val="bullet"/>
      <w:lvlText w:val=""/>
      <w:lvlJc w:val="left"/>
      <w:pPr>
        <w:tabs>
          <w:tab w:val="num" w:pos="2880"/>
        </w:tabs>
        <w:ind w:left="2880" w:hanging="360"/>
      </w:pPr>
      <w:rPr>
        <w:rFonts w:ascii="Symbol" w:hAnsi="Symbol"/>
      </w:rPr>
    </w:lvl>
    <w:lvl w:ilvl="4" w:tplc="47785D3C">
      <w:start w:val="1"/>
      <w:numFmt w:val="bullet"/>
      <w:lvlText w:val="o"/>
      <w:lvlJc w:val="left"/>
      <w:pPr>
        <w:tabs>
          <w:tab w:val="num" w:pos="3600"/>
        </w:tabs>
        <w:ind w:left="3600" w:hanging="360"/>
      </w:pPr>
      <w:rPr>
        <w:rFonts w:ascii="Courier New" w:hAnsi="Courier New"/>
      </w:rPr>
    </w:lvl>
    <w:lvl w:ilvl="5" w:tplc="4F3AB7D6">
      <w:start w:val="1"/>
      <w:numFmt w:val="bullet"/>
      <w:lvlText w:val=""/>
      <w:lvlJc w:val="left"/>
      <w:pPr>
        <w:tabs>
          <w:tab w:val="num" w:pos="4320"/>
        </w:tabs>
        <w:ind w:left="4320" w:hanging="360"/>
      </w:pPr>
      <w:rPr>
        <w:rFonts w:ascii="Wingdings" w:hAnsi="Wingdings"/>
      </w:rPr>
    </w:lvl>
    <w:lvl w:ilvl="6" w:tplc="FED24D54">
      <w:start w:val="1"/>
      <w:numFmt w:val="bullet"/>
      <w:lvlText w:val=""/>
      <w:lvlJc w:val="left"/>
      <w:pPr>
        <w:tabs>
          <w:tab w:val="num" w:pos="5040"/>
        </w:tabs>
        <w:ind w:left="5040" w:hanging="360"/>
      </w:pPr>
      <w:rPr>
        <w:rFonts w:ascii="Symbol" w:hAnsi="Symbol"/>
      </w:rPr>
    </w:lvl>
    <w:lvl w:ilvl="7" w:tplc="272074C2">
      <w:start w:val="1"/>
      <w:numFmt w:val="bullet"/>
      <w:lvlText w:val="o"/>
      <w:lvlJc w:val="left"/>
      <w:pPr>
        <w:tabs>
          <w:tab w:val="num" w:pos="5760"/>
        </w:tabs>
        <w:ind w:left="5760" w:hanging="360"/>
      </w:pPr>
      <w:rPr>
        <w:rFonts w:ascii="Courier New" w:hAnsi="Courier New"/>
      </w:rPr>
    </w:lvl>
    <w:lvl w:ilvl="8" w:tplc="9A36A240">
      <w:start w:val="1"/>
      <w:numFmt w:val="bullet"/>
      <w:lvlText w:val=""/>
      <w:lvlJc w:val="left"/>
      <w:pPr>
        <w:tabs>
          <w:tab w:val="num" w:pos="6480"/>
        </w:tabs>
        <w:ind w:left="6480" w:hanging="360"/>
      </w:pPr>
      <w:rPr>
        <w:rFonts w:ascii="Wingdings" w:hAnsi="Wingdings"/>
      </w:rPr>
    </w:lvl>
  </w:abstractNum>
  <w:abstractNum w:abstractNumId="297" w15:restartNumberingAfterBreak="0">
    <w:nsid w:val="722305EB"/>
    <w:multiLevelType w:val="hybridMultilevel"/>
    <w:tmpl w:val="722305EB"/>
    <w:lvl w:ilvl="0" w:tplc="92764016">
      <w:start w:val="1"/>
      <w:numFmt w:val="bullet"/>
      <w:lvlText w:val=""/>
      <w:lvlJc w:val="left"/>
      <w:pPr>
        <w:ind w:left="720" w:hanging="360"/>
      </w:pPr>
      <w:rPr>
        <w:rFonts w:ascii="Symbol" w:hAnsi="Symbol"/>
      </w:rPr>
    </w:lvl>
    <w:lvl w:ilvl="1" w:tplc="DEECB30A">
      <w:start w:val="1"/>
      <w:numFmt w:val="bullet"/>
      <w:lvlText w:val="o"/>
      <w:lvlJc w:val="left"/>
      <w:pPr>
        <w:tabs>
          <w:tab w:val="num" w:pos="1440"/>
        </w:tabs>
        <w:ind w:left="1440" w:hanging="360"/>
      </w:pPr>
      <w:rPr>
        <w:rFonts w:ascii="Courier New" w:hAnsi="Courier New"/>
      </w:rPr>
    </w:lvl>
    <w:lvl w:ilvl="2" w:tplc="F378F86E">
      <w:start w:val="1"/>
      <w:numFmt w:val="bullet"/>
      <w:lvlText w:val=""/>
      <w:lvlJc w:val="left"/>
      <w:pPr>
        <w:tabs>
          <w:tab w:val="num" w:pos="2160"/>
        </w:tabs>
        <w:ind w:left="2160" w:hanging="360"/>
      </w:pPr>
      <w:rPr>
        <w:rFonts w:ascii="Wingdings" w:hAnsi="Wingdings"/>
      </w:rPr>
    </w:lvl>
    <w:lvl w:ilvl="3" w:tplc="5D10843A">
      <w:start w:val="1"/>
      <w:numFmt w:val="bullet"/>
      <w:lvlText w:val=""/>
      <w:lvlJc w:val="left"/>
      <w:pPr>
        <w:tabs>
          <w:tab w:val="num" w:pos="2880"/>
        </w:tabs>
        <w:ind w:left="2880" w:hanging="360"/>
      </w:pPr>
      <w:rPr>
        <w:rFonts w:ascii="Symbol" w:hAnsi="Symbol"/>
      </w:rPr>
    </w:lvl>
    <w:lvl w:ilvl="4" w:tplc="07BC060A">
      <w:start w:val="1"/>
      <w:numFmt w:val="bullet"/>
      <w:lvlText w:val="o"/>
      <w:lvlJc w:val="left"/>
      <w:pPr>
        <w:tabs>
          <w:tab w:val="num" w:pos="3600"/>
        </w:tabs>
        <w:ind w:left="3600" w:hanging="360"/>
      </w:pPr>
      <w:rPr>
        <w:rFonts w:ascii="Courier New" w:hAnsi="Courier New"/>
      </w:rPr>
    </w:lvl>
    <w:lvl w:ilvl="5" w:tplc="EBE0B780">
      <w:start w:val="1"/>
      <w:numFmt w:val="bullet"/>
      <w:lvlText w:val=""/>
      <w:lvlJc w:val="left"/>
      <w:pPr>
        <w:tabs>
          <w:tab w:val="num" w:pos="4320"/>
        </w:tabs>
        <w:ind w:left="4320" w:hanging="360"/>
      </w:pPr>
      <w:rPr>
        <w:rFonts w:ascii="Wingdings" w:hAnsi="Wingdings"/>
      </w:rPr>
    </w:lvl>
    <w:lvl w:ilvl="6" w:tplc="183E7444">
      <w:start w:val="1"/>
      <w:numFmt w:val="bullet"/>
      <w:lvlText w:val=""/>
      <w:lvlJc w:val="left"/>
      <w:pPr>
        <w:tabs>
          <w:tab w:val="num" w:pos="5040"/>
        </w:tabs>
        <w:ind w:left="5040" w:hanging="360"/>
      </w:pPr>
      <w:rPr>
        <w:rFonts w:ascii="Symbol" w:hAnsi="Symbol"/>
      </w:rPr>
    </w:lvl>
    <w:lvl w:ilvl="7" w:tplc="DBBEAAF8">
      <w:start w:val="1"/>
      <w:numFmt w:val="bullet"/>
      <w:lvlText w:val="o"/>
      <w:lvlJc w:val="left"/>
      <w:pPr>
        <w:tabs>
          <w:tab w:val="num" w:pos="5760"/>
        </w:tabs>
        <w:ind w:left="5760" w:hanging="360"/>
      </w:pPr>
      <w:rPr>
        <w:rFonts w:ascii="Courier New" w:hAnsi="Courier New"/>
      </w:rPr>
    </w:lvl>
    <w:lvl w:ilvl="8" w:tplc="639E368E">
      <w:start w:val="1"/>
      <w:numFmt w:val="bullet"/>
      <w:lvlText w:val=""/>
      <w:lvlJc w:val="left"/>
      <w:pPr>
        <w:tabs>
          <w:tab w:val="num" w:pos="6480"/>
        </w:tabs>
        <w:ind w:left="6480" w:hanging="360"/>
      </w:pPr>
      <w:rPr>
        <w:rFonts w:ascii="Wingdings" w:hAnsi="Wingdings"/>
      </w:rPr>
    </w:lvl>
  </w:abstractNum>
  <w:abstractNum w:abstractNumId="298" w15:restartNumberingAfterBreak="0">
    <w:nsid w:val="722305EC"/>
    <w:multiLevelType w:val="hybridMultilevel"/>
    <w:tmpl w:val="722305EC"/>
    <w:lvl w:ilvl="0" w:tplc="A2F4ED94">
      <w:start w:val="1"/>
      <w:numFmt w:val="bullet"/>
      <w:lvlText w:val=""/>
      <w:lvlJc w:val="left"/>
      <w:pPr>
        <w:ind w:left="720" w:hanging="360"/>
      </w:pPr>
      <w:rPr>
        <w:rFonts w:ascii="Symbol" w:hAnsi="Symbol"/>
      </w:rPr>
    </w:lvl>
    <w:lvl w:ilvl="1" w:tplc="DC32E790">
      <w:start w:val="1"/>
      <w:numFmt w:val="bullet"/>
      <w:lvlText w:val="o"/>
      <w:lvlJc w:val="left"/>
      <w:pPr>
        <w:tabs>
          <w:tab w:val="num" w:pos="1440"/>
        </w:tabs>
        <w:ind w:left="1440" w:hanging="360"/>
      </w:pPr>
      <w:rPr>
        <w:rFonts w:ascii="Courier New" w:hAnsi="Courier New"/>
      </w:rPr>
    </w:lvl>
    <w:lvl w:ilvl="2" w:tplc="0EBEE55E">
      <w:start w:val="1"/>
      <w:numFmt w:val="bullet"/>
      <w:lvlText w:val=""/>
      <w:lvlJc w:val="left"/>
      <w:pPr>
        <w:tabs>
          <w:tab w:val="num" w:pos="2160"/>
        </w:tabs>
        <w:ind w:left="2160" w:hanging="360"/>
      </w:pPr>
      <w:rPr>
        <w:rFonts w:ascii="Wingdings" w:hAnsi="Wingdings"/>
      </w:rPr>
    </w:lvl>
    <w:lvl w:ilvl="3" w:tplc="F88CDB36">
      <w:start w:val="1"/>
      <w:numFmt w:val="bullet"/>
      <w:lvlText w:val=""/>
      <w:lvlJc w:val="left"/>
      <w:pPr>
        <w:tabs>
          <w:tab w:val="num" w:pos="2880"/>
        </w:tabs>
        <w:ind w:left="2880" w:hanging="360"/>
      </w:pPr>
      <w:rPr>
        <w:rFonts w:ascii="Symbol" w:hAnsi="Symbol"/>
      </w:rPr>
    </w:lvl>
    <w:lvl w:ilvl="4" w:tplc="52D67764">
      <w:start w:val="1"/>
      <w:numFmt w:val="bullet"/>
      <w:lvlText w:val="o"/>
      <w:lvlJc w:val="left"/>
      <w:pPr>
        <w:tabs>
          <w:tab w:val="num" w:pos="3600"/>
        </w:tabs>
        <w:ind w:left="3600" w:hanging="360"/>
      </w:pPr>
      <w:rPr>
        <w:rFonts w:ascii="Courier New" w:hAnsi="Courier New"/>
      </w:rPr>
    </w:lvl>
    <w:lvl w:ilvl="5" w:tplc="943671DC">
      <w:start w:val="1"/>
      <w:numFmt w:val="bullet"/>
      <w:lvlText w:val=""/>
      <w:lvlJc w:val="left"/>
      <w:pPr>
        <w:tabs>
          <w:tab w:val="num" w:pos="4320"/>
        </w:tabs>
        <w:ind w:left="4320" w:hanging="360"/>
      </w:pPr>
      <w:rPr>
        <w:rFonts w:ascii="Wingdings" w:hAnsi="Wingdings"/>
      </w:rPr>
    </w:lvl>
    <w:lvl w:ilvl="6" w:tplc="99B6683E">
      <w:start w:val="1"/>
      <w:numFmt w:val="bullet"/>
      <w:lvlText w:val=""/>
      <w:lvlJc w:val="left"/>
      <w:pPr>
        <w:tabs>
          <w:tab w:val="num" w:pos="5040"/>
        </w:tabs>
        <w:ind w:left="5040" w:hanging="360"/>
      </w:pPr>
      <w:rPr>
        <w:rFonts w:ascii="Symbol" w:hAnsi="Symbol"/>
      </w:rPr>
    </w:lvl>
    <w:lvl w:ilvl="7" w:tplc="92CE4B9C">
      <w:start w:val="1"/>
      <w:numFmt w:val="bullet"/>
      <w:lvlText w:val="o"/>
      <w:lvlJc w:val="left"/>
      <w:pPr>
        <w:tabs>
          <w:tab w:val="num" w:pos="5760"/>
        </w:tabs>
        <w:ind w:left="5760" w:hanging="360"/>
      </w:pPr>
      <w:rPr>
        <w:rFonts w:ascii="Courier New" w:hAnsi="Courier New"/>
      </w:rPr>
    </w:lvl>
    <w:lvl w:ilvl="8" w:tplc="F50463C0">
      <w:start w:val="1"/>
      <w:numFmt w:val="bullet"/>
      <w:lvlText w:val=""/>
      <w:lvlJc w:val="left"/>
      <w:pPr>
        <w:tabs>
          <w:tab w:val="num" w:pos="6480"/>
        </w:tabs>
        <w:ind w:left="6480" w:hanging="360"/>
      </w:pPr>
      <w:rPr>
        <w:rFonts w:ascii="Wingdings" w:hAnsi="Wingdings"/>
      </w:rPr>
    </w:lvl>
  </w:abstractNum>
  <w:abstractNum w:abstractNumId="299" w15:restartNumberingAfterBreak="0">
    <w:nsid w:val="722305ED"/>
    <w:multiLevelType w:val="hybridMultilevel"/>
    <w:tmpl w:val="722305ED"/>
    <w:lvl w:ilvl="0" w:tplc="97D8C7AA">
      <w:start w:val="1"/>
      <w:numFmt w:val="bullet"/>
      <w:lvlText w:val=""/>
      <w:lvlJc w:val="left"/>
      <w:pPr>
        <w:ind w:left="720" w:hanging="360"/>
      </w:pPr>
      <w:rPr>
        <w:rFonts w:ascii="Symbol" w:hAnsi="Symbol"/>
      </w:rPr>
    </w:lvl>
    <w:lvl w:ilvl="1" w:tplc="4A224DB4">
      <w:start w:val="1"/>
      <w:numFmt w:val="bullet"/>
      <w:lvlText w:val="o"/>
      <w:lvlJc w:val="left"/>
      <w:pPr>
        <w:ind w:left="1440" w:hanging="360"/>
      </w:pPr>
      <w:rPr>
        <w:rFonts w:ascii="Courier New" w:hAnsi="Courier New"/>
      </w:rPr>
    </w:lvl>
    <w:lvl w:ilvl="2" w:tplc="8AB6E366">
      <w:start w:val="1"/>
      <w:numFmt w:val="bullet"/>
      <w:lvlText w:val=""/>
      <w:lvlJc w:val="left"/>
      <w:pPr>
        <w:tabs>
          <w:tab w:val="num" w:pos="2160"/>
        </w:tabs>
        <w:ind w:left="2160" w:hanging="360"/>
      </w:pPr>
      <w:rPr>
        <w:rFonts w:ascii="Wingdings" w:hAnsi="Wingdings"/>
      </w:rPr>
    </w:lvl>
    <w:lvl w:ilvl="3" w:tplc="7066594E">
      <w:start w:val="1"/>
      <w:numFmt w:val="bullet"/>
      <w:lvlText w:val=""/>
      <w:lvlJc w:val="left"/>
      <w:pPr>
        <w:tabs>
          <w:tab w:val="num" w:pos="2880"/>
        </w:tabs>
        <w:ind w:left="2880" w:hanging="360"/>
      </w:pPr>
      <w:rPr>
        <w:rFonts w:ascii="Symbol" w:hAnsi="Symbol"/>
      </w:rPr>
    </w:lvl>
    <w:lvl w:ilvl="4" w:tplc="630AF7B2">
      <w:start w:val="1"/>
      <w:numFmt w:val="bullet"/>
      <w:lvlText w:val="o"/>
      <w:lvlJc w:val="left"/>
      <w:pPr>
        <w:tabs>
          <w:tab w:val="num" w:pos="3600"/>
        </w:tabs>
        <w:ind w:left="3600" w:hanging="360"/>
      </w:pPr>
      <w:rPr>
        <w:rFonts w:ascii="Courier New" w:hAnsi="Courier New"/>
      </w:rPr>
    </w:lvl>
    <w:lvl w:ilvl="5" w:tplc="0F6635C8">
      <w:start w:val="1"/>
      <w:numFmt w:val="bullet"/>
      <w:lvlText w:val=""/>
      <w:lvlJc w:val="left"/>
      <w:pPr>
        <w:tabs>
          <w:tab w:val="num" w:pos="4320"/>
        </w:tabs>
        <w:ind w:left="4320" w:hanging="360"/>
      </w:pPr>
      <w:rPr>
        <w:rFonts w:ascii="Wingdings" w:hAnsi="Wingdings"/>
      </w:rPr>
    </w:lvl>
    <w:lvl w:ilvl="6" w:tplc="B21697E6">
      <w:start w:val="1"/>
      <w:numFmt w:val="bullet"/>
      <w:lvlText w:val=""/>
      <w:lvlJc w:val="left"/>
      <w:pPr>
        <w:tabs>
          <w:tab w:val="num" w:pos="5040"/>
        </w:tabs>
        <w:ind w:left="5040" w:hanging="360"/>
      </w:pPr>
      <w:rPr>
        <w:rFonts w:ascii="Symbol" w:hAnsi="Symbol"/>
      </w:rPr>
    </w:lvl>
    <w:lvl w:ilvl="7" w:tplc="B7A481C8">
      <w:start w:val="1"/>
      <w:numFmt w:val="bullet"/>
      <w:lvlText w:val="o"/>
      <w:lvlJc w:val="left"/>
      <w:pPr>
        <w:tabs>
          <w:tab w:val="num" w:pos="5760"/>
        </w:tabs>
        <w:ind w:left="5760" w:hanging="360"/>
      </w:pPr>
      <w:rPr>
        <w:rFonts w:ascii="Courier New" w:hAnsi="Courier New"/>
      </w:rPr>
    </w:lvl>
    <w:lvl w:ilvl="8" w:tplc="56BE3372">
      <w:start w:val="1"/>
      <w:numFmt w:val="bullet"/>
      <w:lvlText w:val=""/>
      <w:lvlJc w:val="left"/>
      <w:pPr>
        <w:tabs>
          <w:tab w:val="num" w:pos="6480"/>
        </w:tabs>
        <w:ind w:left="6480" w:hanging="360"/>
      </w:pPr>
      <w:rPr>
        <w:rFonts w:ascii="Wingdings" w:hAnsi="Wingdings"/>
      </w:rPr>
    </w:lvl>
  </w:abstractNum>
  <w:abstractNum w:abstractNumId="300" w15:restartNumberingAfterBreak="0">
    <w:nsid w:val="722305EE"/>
    <w:multiLevelType w:val="hybridMultilevel"/>
    <w:tmpl w:val="722305EE"/>
    <w:lvl w:ilvl="0" w:tplc="79BCA000">
      <w:start w:val="1"/>
      <w:numFmt w:val="bullet"/>
      <w:lvlText w:val=""/>
      <w:lvlJc w:val="left"/>
      <w:pPr>
        <w:ind w:left="720" w:hanging="360"/>
      </w:pPr>
      <w:rPr>
        <w:rFonts w:ascii="Symbol" w:hAnsi="Symbol"/>
      </w:rPr>
    </w:lvl>
    <w:lvl w:ilvl="1" w:tplc="C0DE93DC">
      <w:start w:val="1"/>
      <w:numFmt w:val="bullet"/>
      <w:lvlText w:val="o"/>
      <w:lvlJc w:val="left"/>
      <w:pPr>
        <w:tabs>
          <w:tab w:val="num" w:pos="1440"/>
        </w:tabs>
        <w:ind w:left="1440" w:hanging="360"/>
      </w:pPr>
      <w:rPr>
        <w:rFonts w:ascii="Courier New" w:hAnsi="Courier New"/>
      </w:rPr>
    </w:lvl>
    <w:lvl w:ilvl="2" w:tplc="DA8A9A4A">
      <w:start w:val="1"/>
      <w:numFmt w:val="bullet"/>
      <w:lvlText w:val=""/>
      <w:lvlJc w:val="left"/>
      <w:pPr>
        <w:tabs>
          <w:tab w:val="num" w:pos="2160"/>
        </w:tabs>
        <w:ind w:left="2160" w:hanging="360"/>
      </w:pPr>
      <w:rPr>
        <w:rFonts w:ascii="Wingdings" w:hAnsi="Wingdings"/>
      </w:rPr>
    </w:lvl>
    <w:lvl w:ilvl="3" w:tplc="9DCAD964">
      <w:start w:val="1"/>
      <w:numFmt w:val="bullet"/>
      <w:lvlText w:val=""/>
      <w:lvlJc w:val="left"/>
      <w:pPr>
        <w:tabs>
          <w:tab w:val="num" w:pos="2880"/>
        </w:tabs>
        <w:ind w:left="2880" w:hanging="360"/>
      </w:pPr>
      <w:rPr>
        <w:rFonts w:ascii="Symbol" w:hAnsi="Symbol"/>
      </w:rPr>
    </w:lvl>
    <w:lvl w:ilvl="4" w:tplc="8DA6A3E6">
      <w:start w:val="1"/>
      <w:numFmt w:val="bullet"/>
      <w:lvlText w:val="o"/>
      <w:lvlJc w:val="left"/>
      <w:pPr>
        <w:tabs>
          <w:tab w:val="num" w:pos="3600"/>
        </w:tabs>
        <w:ind w:left="3600" w:hanging="360"/>
      </w:pPr>
      <w:rPr>
        <w:rFonts w:ascii="Courier New" w:hAnsi="Courier New"/>
      </w:rPr>
    </w:lvl>
    <w:lvl w:ilvl="5" w:tplc="26DAE7A0">
      <w:start w:val="1"/>
      <w:numFmt w:val="bullet"/>
      <w:lvlText w:val=""/>
      <w:lvlJc w:val="left"/>
      <w:pPr>
        <w:tabs>
          <w:tab w:val="num" w:pos="4320"/>
        </w:tabs>
        <w:ind w:left="4320" w:hanging="360"/>
      </w:pPr>
      <w:rPr>
        <w:rFonts w:ascii="Wingdings" w:hAnsi="Wingdings"/>
      </w:rPr>
    </w:lvl>
    <w:lvl w:ilvl="6" w:tplc="AA18DB70">
      <w:start w:val="1"/>
      <w:numFmt w:val="bullet"/>
      <w:lvlText w:val=""/>
      <w:lvlJc w:val="left"/>
      <w:pPr>
        <w:tabs>
          <w:tab w:val="num" w:pos="5040"/>
        </w:tabs>
        <w:ind w:left="5040" w:hanging="360"/>
      </w:pPr>
      <w:rPr>
        <w:rFonts w:ascii="Symbol" w:hAnsi="Symbol"/>
      </w:rPr>
    </w:lvl>
    <w:lvl w:ilvl="7" w:tplc="F03E43AC">
      <w:start w:val="1"/>
      <w:numFmt w:val="bullet"/>
      <w:lvlText w:val="o"/>
      <w:lvlJc w:val="left"/>
      <w:pPr>
        <w:tabs>
          <w:tab w:val="num" w:pos="5760"/>
        </w:tabs>
        <w:ind w:left="5760" w:hanging="360"/>
      </w:pPr>
      <w:rPr>
        <w:rFonts w:ascii="Courier New" w:hAnsi="Courier New"/>
      </w:rPr>
    </w:lvl>
    <w:lvl w:ilvl="8" w:tplc="7526C2FC">
      <w:start w:val="1"/>
      <w:numFmt w:val="bullet"/>
      <w:lvlText w:val=""/>
      <w:lvlJc w:val="left"/>
      <w:pPr>
        <w:tabs>
          <w:tab w:val="num" w:pos="6480"/>
        </w:tabs>
        <w:ind w:left="6480" w:hanging="360"/>
      </w:pPr>
      <w:rPr>
        <w:rFonts w:ascii="Wingdings" w:hAnsi="Wingdings"/>
      </w:rPr>
    </w:lvl>
  </w:abstractNum>
  <w:abstractNum w:abstractNumId="301" w15:restartNumberingAfterBreak="0">
    <w:nsid w:val="722305EF"/>
    <w:multiLevelType w:val="hybridMultilevel"/>
    <w:tmpl w:val="722305EF"/>
    <w:lvl w:ilvl="0" w:tplc="B47EF7DA">
      <w:start w:val="1"/>
      <w:numFmt w:val="bullet"/>
      <w:lvlText w:val=""/>
      <w:lvlJc w:val="left"/>
      <w:pPr>
        <w:ind w:left="720" w:hanging="360"/>
      </w:pPr>
      <w:rPr>
        <w:rFonts w:ascii="Symbol" w:hAnsi="Symbol"/>
      </w:rPr>
    </w:lvl>
    <w:lvl w:ilvl="1" w:tplc="F1F4C624">
      <w:start w:val="1"/>
      <w:numFmt w:val="bullet"/>
      <w:lvlText w:val="o"/>
      <w:lvlJc w:val="left"/>
      <w:pPr>
        <w:tabs>
          <w:tab w:val="num" w:pos="1440"/>
        </w:tabs>
        <w:ind w:left="1440" w:hanging="360"/>
      </w:pPr>
      <w:rPr>
        <w:rFonts w:ascii="Courier New" w:hAnsi="Courier New"/>
      </w:rPr>
    </w:lvl>
    <w:lvl w:ilvl="2" w:tplc="D4207340">
      <w:start w:val="1"/>
      <w:numFmt w:val="bullet"/>
      <w:lvlText w:val=""/>
      <w:lvlJc w:val="left"/>
      <w:pPr>
        <w:tabs>
          <w:tab w:val="num" w:pos="2160"/>
        </w:tabs>
        <w:ind w:left="2160" w:hanging="360"/>
      </w:pPr>
      <w:rPr>
        <w:rFonts w:ascii="Wingdings" w:hAnsi="Wingdings"/>
      </w:rPr>
    </w:lvl>
    <w:lvl w:ilvl="3" w:tplc="01BE4966">
      <w:start w:val="1"/>
      <w:numFmt w:val="bullet"/>
      <w:lvlText w:val=""/>
      <w:lvlJc w:val="left"/>
      <w:pPr>
        <w:tabs>
          <w:tab w:val="num" w:pos="2880"/>
        </w:tabs>
        <w:ind w:left="2880" w:hanging="360"/>
      </w:pPr>
      <w:rPr>
        <w:rFonts w:ascii="Symbol" w:hAnsi="Symbol"/>
      </w:rPr>
    </w:lvl>
    <w:lvl w:ilvl="4" w:tplc="1EDC1FFC">
      <w:start w:val="1"/>
      <w:numFmt w:val="bullet"/>
      <w:lvlText w:val="o"/>
      <w:lvlJc w:val="left"/>
      <w:pPr>
        <w:tabs>
          <w:tab w:val="num" w:pos="3600"/>
        </w:tabs>
        <w:ind w:left="3600" w:hanging="360"/>
      </w:pPr>
      <w:rPr>
        <w:rFonts w:ascii="Courier New" w:hAnsi="Courier New"/>
      </w:rPr>
    </w:lvl>
    <w:lvl w:ilvl="5" w:tplc="4AF88D52">
      <w:start w:val="1"/>
      <w:numFmt w:val="bullet"/>
      <w:lvlText w:val=""/>
      <w:lvlJc w:val="left"/>
      <w:pPr>
        <w:tabs>
          <w:tab w:val="num" w:pos="4320"/>
        </w:tabs>
        <w:ind w:left="4320" w:hanging="360"/>
      </w:pPr>
      <w:rPr>
        <w:rFonts w:ascii="Wingdings" w:hAnsi="Wingdings"/>
      </w:rPr>
    </w:lvl>
    <w:lvl w:ilvl="6" w:tplc="17B4C3C2">
      <w:start w:val="1"/>
      <w:numFmt w:val="bullet"/>
      <w:lvlText w:val=""/>
      <w:lvlJc w:val="left"/>
      <w:pPr>
        <w:tabs>
          <w:tab w:val="num" w:pos="5040"/>
        </w:tabs>
        <w:ind w:left="5040" w:hanging="360"/>
      </w:pPr>
      <w:rPr>
        <w:rFonts w:ascii="Symbol" w:hAnsi="Symbol"/>
      </w:rPr>
    </w:lvl>
    <w:lvl w:ilvl="7" w:tplc="691483B2">
      <w:start w:val="1"/>
      <w:numFmt w:val="bullet"/>
      <w:lvlText w:val="o"/>
      <w:lvlJc w:val="left"/>
      <w:pPr>
        <w:tabs>
          <w:tab w:val="num" w:pos="5760"/>
        </w:tabs>
        <w:ind w:left="5760" w:hanging="360"/>
      </w:pPr>
      <w:rPr>
        <w:rFonts w:ascii="Courier New" w:hAnsi="Courier New"/>
      </w:rPr>
    </w:lvl>
    <w:lvl w:ilvl="8" w:tplc="B4C47786">
      <w:start w:val="1"/>
      <w:numFmt w:val="bullet"/>
      <w:lvlText w:val=""/>
      <w:lvlJc w:val="left"/>
      <w:pPr>
        <w:tabs>
          <w:tab w:val="num" w:pos="6480"/>
        </w:tabs>
        <w:ind w:left="6480" w:hanging="360"/>
      </w:pPr>
      <w:rPr>
        <w:rFonts w:ascii="Wingdings" w:hAnsi="Wingdings"/>
      </w:rPr>
    </w:lvl>
  </w:abstractNum>
  <w:abstractNum w:abstractNumId="302" w15:restartNumberingAfterBreak="0">
    <w:nsid w:val="722305F0"/>
    <w:multiLevelType w:val="multilevel"/>
    <w:tmpl w:val="722305F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3" w15:restartNumberingAfterBreak="0">
    <w:nsid w:val="722305F1"/>
    <w:multiLevelType w:val="hybridMultilevel"/>
    <w:tmpl w:val="722305F1"/>
    <w:lvl w:ilvl="0" w:tplc="FF8C3400">
      <w:start w:val="1"/>
      <w:numFmt w:val="bullet"/>
      <w:lvlText w:val=""/>
      <w:lvlJc w:val="left"/>
      <w:pPr>
        <w:ind w:left="720" w:hanging="360"/>
      </w:pPr>
      <w:rPr>
        <w:rFonts w:ascii="Symbol" w:hAnsi="Symbol"/>
      </w:rPr>
    </w:lvl>
    <w:lvl w:ilvl="1" w:tplc="6EE82D5E">
      <w:start w:val="1"/>
      <w:numFmt w:val="bullet"/>
      <w:lvlText w:val="o"/>
      <w:lvlJc w:val="left"/>
      <w:pPr>
        <w:tabs>
          <w:tab w:val="num" w:pos="1440"/>
        </w:tabs>
        <w:ind w:left="1440" w:hanging="360"/>
      </w:pPr>
      <w:rPr>
        <w:rFonts w:ascii="Courier New" w:hAnsi="Courier New"/>
      </w:rPr>
    </w:lvl>
    <w:lvl w:ilvl="2" w:tplc="E3860C00">
      <w:start w:val="1"/>
      <w:numFmt w:val="bullet"/>
      <w:lvlText w:val=""/>
      <w:lvlJc w:val="left"/>
      <w:pPr>
        <w:tabs>
          <w:tab w:val="num" w:pos="2160"/>
        </w:tabs>
        <w:ind w:left="2160" w:hanging="360"/>
      </w:pPr>
      <w:rPr>
        <w:rFonts w:ascii="Wingdings" w:hAnsi="Wingdings"/>
      </w:rPr>
    </w:lvl>
    <w:lvl w:ilvl="3" w:tplc="E17614DC">
      <w:start w:val="1"/>
      <w:numFmt w:val="bullet"/>
      <w:lvlText w:val=""/>
      <w:lvlJc w:val="left"/>
      <w:pPr>
        <w:tabs>
          <w:tab w:val="num" w:pos="2880"/>
        </w:tabs>
        <w:ind w:left="2880" w:hanging="360"/>
      </w:pPr>
      <w:rPr>
        <w:rFonts w:ascii="Symbol" w:hAnsi="Symbol"/>
      </w:rPr>
    </w:lvl>
    <w:lvl w:ilvl="4" w:tplc="B49AE7DA">
      <w:start w:val="1"/>
      <w:numFmt w:val="bullet"/>
      <w:lvlText w:val="o"/>
      <w:lvlJc w:val="left"/>
      <w:pPr>
        <w:tabs>
          <w:tab w:val="num" w:pos="3600"/>
        </w:tabs>
        <w:ind w:left="3600" w:hanging="360"/>
      </w:pPr>
      <w:rPr>
        <w:rFonts w:ascii="Courier New" w:hAnsi="Courier New"/>
      </w:rPr>
    </w:lvl>
    <w:lvl w:ilvl="5" w:tplc="363262DA">
      <w:start w:val="1"/>
      <w:numFmt w:val="bullet"/>
      <w:lvlText w:val=""/>
      <w:lvlJc w:val="left"/>
      <w:pPr>
        <w:tabs>
          <w:tab w:val="num" w:pos="4320"/>
        </w:tabs>
        <w:ind w:left="4320" w:hanging="360"/>
      </w:pPr>
      <w:rPr>
        <w:rFonts w:ascii="Wingdings" w:hAnsi="Wingdings"/>
      </w:rPr>
    </w:lvl>
    <w:lvl w:ilvl="6" w:tplc="D17AE8EE">
      <w:start w:val="1"/>
      <w:numFmt w:val="bullet"/>
      <w:lvlText w:val=""/>
      <w:lvlJc w:val="left"/>
      <w:pPr>
        <w:tabs>
          <w:tab w:val="num" w:pos="5040"/>
        </w:tabs>
        <w:ind w:left="5040" w:hanging="360"/>
      </w:pPr>
      <w:rPr>
        <w:rFonts w:ascii="Symbol" w:hAnsi="Symbol"/>
      </w:rPr>
    </w:lvl>
    <w:lvl w:ilvl="7" w:tplc="8564EF94">
      <w:start w:val="1"/>
      <w:numFmt w:val="bullet"/>
      <w:lvlText w:val="o"/>
      <w:lvlJc w:val="left"/>
      <w:pPr>
        <w:tabs>
          <w:tab w:val="num" w:pos="5760"/>
        </w:tabs>
        <w:ind w:left="5760" w:hanging="360"/>
      </w:pPr>
      <w:rPr>
        <w:rFonts w:ascii="Courier New" w:hAnsi="Courier New"/>
      </w:rPr>
    </w:lvl>
    <w:lvl w:ilvl="8" w:tplc="AC2CBEC0">
      <w:start w:val="1"/>
      <w:numFmt w:val="bullet"/>
      <w:lvlText w:val=""/>
      <w:lvlJc w:val="left"/>
      <w:pPr>
        <w:tabs>
          <w:tab w:val="num" w:pos="6480"/>
        </w:tabs>
        <w:ind w:left="6480" w:hanging="360"/>
      </w:pPr>
      <w:rPr>
        <w:rFonts w:ascii="Wingdings" w:hAnsi="Wingdings"/>
      </w:rPr>
    </w:lvl>
  </w:abstractNum>
  <w:abstractNum w:abstractNumId="304" w15:restartNumberingAfterBreak="0">
    <w:nsid w:val="722305F2"/>
    <w:multiLevelType w:val="hybridMultilevel"/>
    <w:tmpl w:val="722305F2"/>
    <w:lvl w:ilvl="0" w:tplc="581CB86E">
      <w:start w:val="1"/>
      <w:numFmt w:val="bullet"/>
      <w:lvlText w:val=""/>
      <w:lvlJc w:val="left"/>
      <w:pPr>
        <w:ind w:left="720" w:hanging="360"/>
      </w:pPr>
      <w:rPr>
        <w:rFonts w:ascii="Symbol" w:hAnsi="Symbol"/>
      </w:rPr>
    </w:lvl>
    <w:lvl w:ilvl="1" w:tplc="DD103A6A">
      <w:start w:val="1"/>
      <w:numFmt w:val="bullet"/>
      <w:lvlText w:val="o"/>
      <w:lvlJc w:val="left"/>
      <w:pPr>
        <w:ind w:left="1440" w:hanging="360"/>
      </w:pPr>
      <w:rPr>
        <w:rFonts w:ascii="Courier New" w:hAnsi="Courier New"/>
      </w:rPr>
    </w:lvl>
    <w:lvl w:ilvl="2" w:tplc="6B10D0DE">
      <w:start w:val="1"/>
      <w:numFmt w:val="bullet"/>
      <w:lvlText w:val=""/>
      <w:lvlJc w:val="left"/>
      <w:pPr>
        <w:tabs>
          <w:tab w:val="num" w:pos="2160"/>
        </w:tabs>
        <w:ind w:left="2160" w:hanging="360"/>
      </w:pPr>
      <w:rPr>
        <w:rFonts w:ascii="Wingdings" w:hAnsi="Wingdings"/>
      </w:rPr>
    </w:lvl>
    <w:lvl w:ilvl="3" w:tplc="55005D74">
      <w:start w:val="1"/>
      <w:numFmt w:val="bullet"/>
      <w:lvlText w:val=""/>
      <w:lvlJc w:val="left"/>
      <w:pPr>
        <w:tabs>
          <w:tab w:val="num" w:pos="2880"/>
        </w:tabs>
        <w:ind w:left="2880" w:hanging="360"/>
      </w:pPr>
      <w:rPr>
        <w:rFonts w:ascii="Symbol" w:hAnsi="Symbol"/>
      </w:rPr>
    </w:lvl>
    <w:lvl w:ilvl="4" w:tplc="94B2F2E6">
      <w:start w:val="1"/>
      <w:numFmt w:val="bullet"/>
      <w:lvlText w:val="o"/>
      <w:lvlJc w:val="left"/>
      <w:pPr>
        <w:tabs>
          <w:tab w:val="num" w:pos="3600"/>
        </w:tabs>
        <w:ind w:left="3600" w:hanging="360"/>
      </w:pPr>
      <w:rPr>
        <w:rFonts w:ascii="Courier New" w:hAnsi="Courier New"/>
      </w:rPr>
    </w:lvl>
    <w:lvl w:ilvl="5" w:tplc="1D8605CE">
      <w:start w:val="1"/>
      <w:numFmt w:val="bullet"/>
      <w:lvlText w:val=""/>
      <w:lvlJc w:val="left"/>
      <w:pPr>
        <w:tabs>
          <w:tab w:val="num" w:pos="4320"/>
        </w:tabs>
        <w:ind w:left="4320" w:hanging="360"/>
      </w:pPr>
      <w:rPr>
        <w:rFonts w:ascii="Wingdings" w:hAnsi="Wingdings"/>
      </w:rPr>
    </w:lvl>
    <w:lvl w:ilvl="6" w:tplc="10C0FA02">
      <w:start w:val="1"/>
      <w:numFmt w:val="bullet"/>
      <w:lvlText w:val=""/>
      <w:lvlJc w:val="left"/>
      <w:pPr>
        <w:tabs>
          <w:tab w:val="num" w:pos="5040"/>
        </w:tabs>
        <w:ind w:left="5040" w:hanging="360"/>
      </w:pPr>
      <w:rPr>
        <w:rFonts w:ascii="Symbol" w:hAnsi="Symbol"/>
      </w:rPr>
    </w:lvl>
    <w:lvl w:ilvl="7" w:tplc="B45846A0">
      <w:start w:val="1"/>
      <w:numFmt w:val="bullet"/>
      <w:lvlText w:val="o"/>
      <w:lvlJc w:val="left"/>
      <w:pPr>
        <w:tabs>
          <w:tab w:val="num" w:pos="5760"/>
        </w:tabs>
        <w:ind w:left="5760" w:hanging="360"/>
      </w:pPr>
      <w:rPr>
        <w:rFonts w:ascii="Courier New" w:hAnsi="Courier New"/>
      </w:rPr>
    </w:lvl>
    <w:lvl w:ilvl="8" w:tplc="E5CC42D0">
      <w:start w:val="1"/>
      <w:numFmt w:val="bullet"/>
      <w:lvlText w:val=""/>
      <w:lvlJc w:val="left"/>
      <w:pPr>
        <w:tabs>
          <w:tab w:val="num" w:pos="6480"/>
        </w:tabs>
        <w:ind w:left="6480" w:hanging="360"/>
      </w:pPr>
      <w:rPr>
        <w:rFonts w:ascii="Wingdings" w:hAnsi="Wingdings"/>
      </w:rPr>
    </w:lvl>
  </w:abstractNum>
  <w:abstractNum w:abstractNumId="305" w15:restartNumberingAfterBreak="0">
    <w:nsid w:val="722305F3"/>
    <w:multiLevelType w:val="hybridMultilevel"/>
    <w:tmpl w:val="722305F3"/>
    <w:lvl w:ilvl="0" w:tplc="370E9A5A">
      <w:start w:val="1"/>
      <w:numFmt w:val="bullet"/>
      <w:lvlText w:val=""/>
      <w:lvlJc w:val="left"/>
      <w:pPr>
        <w:ind w:left="720" w:hanging="360"/>
      </w:pPr>
      <w:rPr>
        <w:rFonts w:ascii="Symbol" w:hAnsi="Symbol"/>
      </w:rPr>
    </w:lvl>
    <w:lvl w:ilvl="1" w:tplc="11E03562">
      <w:start w:val="1"/>
      <w:numFmt w:val="bullet"/>
      <w:lvlText w:val="o"/>
      <w:lvlJc w:val="left"/>
      <w:pPr>
        <w:tabs>
          <w:tab w:val="num" w:pos="1440"/>
        </w:tabs>
        <w:ind w:left="1440" w:hanging="360"/>
      </w:pPr>
      <w:rPr>
        <w:rFonts w:ascii="Courier New" w:hAnsi="Courier New"/>
      </w:rPr>
    </w:lvl>
    <w:lvl w:ilvl="2" w:tplc="77B8580A">
      <w:start w:val="1"/>
      <w:numFmt w:val="bullet"/>
      <w:lvlText w:val=""/>
      <w:lvlJc w:val="left"/>
      <w:pPr>
        <w:tabs>
          <w:tab w:val="num" w:pos="2160"/>
        </w:tabs>
        <w:ind w:left="2160" w:hanging="360"/>
      </w:pPr>
      <w:rPr>
        <w:rFonts w:ascii="Wingdings" w:hAnsi="Wingdings"/>
      </w:rPr>
    </w:lvl>
    <w:lvl w:ilvl="3" w:tplc="05EEE2AC">
      <w:start w:val="1"/>
      <w:numFmt w:val="bullet"/>
      <w:lvlText w:val=""/>
      <w:lvlJc w:val="left"/>
      <w:pPr>
        <w:tabs>
          <w:tab w:val="num" w:pos="2880"/>
        </w:tabs>
        <w:ind w:left="2880" w:hanging="360"/>
      </w:pPr>
      <w:rPr>
        <w:rFonts w:ascii="Symbol" w:hAnsi="Symbol"/>
      </w:rPr>
    </w:lvl>
    <w:lvl w:ilvl="4" w:tplc="896C678E">
      <w:start w:val="1"/>
      <w:numFmt w:val="bullet"/>
      <w:lvlText w:val="o"/>
      <w:lvlJc w:val="left"/>
      <w:pPr>
        <w:tabs>
          <w:tab w:val="num" w:pos="3600"/>
        </w:tabs>
        <w:ind w:left="3600" w:hanging="360"/>
      </w:pPr>
      <w:rPr>
        <w:rFonts w:ascii="Courier New" w:hAnsi="Courier New"/>
      </w:rPr>
    </w:lvl>
    <w:lvl w:ilvl="5" w:tplc="08F04DE8">
      <w:start w:val="1"/>
      <w:numFmt w:val="bullet"/>
      <w:lvlText w:val=""/>
      <w:lvlJc w:val="left"/>
      <w:pPr>
        <w:tabs>
          <w:tab w:val="num" w:pos="4320"/>
        </w:tabs>
        <w:ind w:left="4320" w:hanging="360"/>
      </w:pPr>
      <w:rPr>
        <w:rFonts w:ascii="Wingdings" w:hAnsi="Wingdings"/>
      </w:rPr>
    </w:lvl>
    <w:lvl w:ilvl="6" w:tplc="312E0928">
      <w:start w:val="1"/>
      <w:numFmt w:val="bullet"/>
      <w:lvlText w:val=""/>
      <w:lvlJc w:val="left"/>
      <w:pPr>
        <w:tabs>
          <w:tab w:val="num" w:pos="5040"/>
        </w:tabs>
        <w:ind w:left="5040" w:hanging="360"/>
      </w:pPr>
      <w:rPr>
        <w:rFonts w:ascii="Symbol" w:hAnsi="Symbol"/>
      </w:rPr>
    </w:lvl>
    <w:lvl w:ilvl="7" w:tplc="959E3912">
      <w:start w:val="1"/>
      <w:numFmt w:val="bullet"/>
      <w:lvlText w:val="o"/>
      <w:lvlJc w:val="left"/>
      <w:pPr>
        <w:tabs>
          <w:tab w:val="num" w:pos="5760"/>
        </w:tabs>
        <w:ind w:left="5760" w:hanging="360"/>
      </w:pPr>
      <w:rPr>
        <w:rFonts w:ascii="Courier New" w:hAnsi="Courier New"/>
      </w:rPr>
    </w:lvl>
    <w:lvl w:ilvl="8" w:tplc="DA3E016A">
      <w:start w:val="1"/>
      <w:numFmt w:val="bullet"/>
      <w:lvlText w:val=""/>
      <w:lvlJc w:val="left"/>
      <w:pPr>
        <w:tabs>
          <w:tab w:val="num" w:pos="6480"/>
        </w:tabs>
        <w:ind w:left="6480" w:hanging="360"/>
      </w:pPr>
      <w:rPr>
        <w:rFonts w:ascii="Wingdings" w:hAnsi="Wingdings"/>
      </w:rPr>
    </w:lvl>
  </w:abstractNum>
  <w:abstractNum w:abstractNumId="306" w15:restartNumberingAfterBreak="0">
    <w:nsid w:val="722305F4"/>
    <w:multiLevelType w:val="hybridMultilevel"/>
    <w:tmpl w:val="722305F4"/>
    <w:lvl w:ilvl="0" w:tplc="C74059C6">
      <w:start w:val="1"/>
      <w:numFmt w:val="bullet"/>
      <w:lvlText w:val=""/>
      <w:lvlJc w:val="left"/>
      <w:pPr>
        <w:ind w:left="720" w:hanging="360"/>
      </w:pPr>
      <w:rPr>
        <w:rFonts w:ascii="Symbol" w:hAnsi="Symbol"/>
      </w:rPr>
    </w:lvl>
    <w:lvl w:ilvl="1" w:tplc="92A2D8D6">
      <w:start w:val="1"/>
      <w:numFmt w:val="bullet"/>
      <w:lvlText w:val="o"/>
      <w:lvlJc w:val="left"/>
      <w:pPr>
        <w:tabs>
          <w:tab w:val="num" w:pos="1440"/>
        </w:tabs>
        <w:ind w:left="1440" w:hanging="360"/>
      </w:pPr>
      <w:rPr>
        <w:rFonts w:ascii="Courier New" w:hAnsi="Courier New"/>
      </w:rPr>
    </w:lvl>
    <w:lvl w:ilvl="2" w:tplc="144AA87A">
      <w:start w:val="1"/>
      <w:numFmt w:val="bullet"/>
      <w:lvlText w:val=""/>
      <w:lvlJc w:val="left"/>
      <w:pPr>
        <w:tabs>
          <w:tab w:val="num" w:pos="2160"/>
        </w:tabs>
        <w:ind w:left="2160" w:hanging="360"/>
      </w:pPr>
      <w:rPr>
        <w:rFonts w:ascii="Wingdings" w:hAnsi="Wingdings"/>
      </w:rPr>
    </w:lvl>
    <w:lvl w:ilvl="3" w:tplc="E0A22ADC">
      <w:start w:val="1"/>
      <w:numFmt w:val="bullet"/>
      <w:lvlText w:val=""/>
      <w:lvlJc w:val="left"/>
      <w:pPr>
        <w:tabs>
          <w:tab w:val="num" w:pos="2880"/>
        </w:tabs>
        <w:ind w:left="2880" w:hanging="360"/>
      </w:pPr>
      <w:rPr>
        <w:rFonts w:ascii="Symbol" w:hAnsi="Symbol"/>
      </w:rPr>
    </w:lvl>
    <w:lvl w:ilvl="4" w:tplc="B664CF60">
      <w:start w:val="1"/>
      <w:numFmt w:val="bullet"/>
      <w:lvlText w:val="o"/>
      <w:lvlJc w:val="left"/>
      <w:pPr>
        <w:tabs>
          <w:tab w:val="num" w:pos="3600"/>
        </w:tabs>
        <w:ind w:left="3600" w:hanging="360"/>
      </w:pPr>
      <w:rPr>
        <w:rFonts w:ascii="Courier New" w:hAnsi="Courier New"/>
      </w:rPr>
    </w:lvl>
    <w:lvl w:ilvl="5" w:tplc="3C8AEA5C">
      <w:start w:val="1"/>
      <w:numFmt w:val="bullet"/>
      <w:lvlText w:val=""/>
      <w:lvlJc w:val="left"/>
      <w:pPr>
        <w:tabs>
          <w:tab w:val="num" w:pos="4320"/>
        </w:tabs>
        <w:ind w:left="4320" w:hanging="360"/>
      </w:pPr>
      <w:rPr>
        <w:rFonts w:ascii="Wingdings" w:hAnsi="Wingdings"/>
      </w:rPr>
    </w:lvl>
    <w:lvl w:ilvl="6" w:tplc="813A342C">
      <w:start w:val="1"/>
      <w:numFmt w:val="bullet"/>
      <w:lvlText w:val=""/>
      <w:lvlJc w:val="left"/>
      <w:pPr>
        <w:tabs>
          <w:tab w:val="num" w:pos="5040"/>
        </w:tabs>
        <w:ind w:left="5040" w:hanging="360"/>
      </w:pPr>
      <w:rPr>
        <w:rFonts w:ascii="Symbol" w:hAnsi="Symbol"/>
      </w:rPr>
    </w:lvl>
    <w:lvl w:ilvl="7" w:tplc="C3482C30">
      <w:start w:val="1"/>
      <w:numFmt w:val="bullet"/>
      <w:lvlText w:val="o"/>
      <w:lvlJc w:val="left"/>
      <w:pPr>
        <w:tabs>
          <w:tab w:val="num" w:pos="5760"/>
        </w:tabs>
        <w:ind w:left="5760" w:hanging="360"/>
      </w:pPr>
      <w:rPr>
        <w:rFonts w:ascii="Courier New" w:hAnsi="Courier New"/>
      </w:rPr>
    </w:lvl>
    <w:lvl w:ilvl="8" w:tplc="BCA6A0CA">
      <w:start w:val="1"/>
      <w:numFmt w:val="bullet"/>
      <w:lvlText w:val=""/>
      <w:lvlJc w:val="left"/>
      <w:pPr>
        <w:tabs>
          <w:tab w:val="num" w:pos="6480"/>
        </w:tabs>
        <w:ind w:left="6480" w:hanging="360"/>
      </w:pPr>
      <w:rPr>
        <w:rFonts w:ascii="Wingdings" w:hAnsi="Wingdings"/>
      </w:rPr>
    </w:lvl>
  </w:abstractNum>
  <w:abstractNum w:abstractNumId="307" w15:restartNumberingAfterBreak="0">
    <w:nsid w:val="722305F5"/>
    <w:multiLevelType w:val="hybridMultilevel"/>
    <w:tmpl w:val="722305F5"/>
    <w:lvl w:ilvl="0" w:tplc="F4AC1182">
      <w:start w:val="1"/>
      <w:numFmt w:val="bullet"/>
      <w:lvlText w:val=""/>
      <w:lvlJc w:val="left"/>
      <w:pPr>
        <w:ind w:left="720" w:hanging="360"/>
      </w:pPr>
      <w:rPr>
        <w:rFonts w:ascii="Symbol" w:hAnsi="Symbol"/>
      </w:rPr>
    </w:lvl>
    <w:lvl w:ilvl="1" w:tplc="EAE03FF6">
      <w:start w:val="1"/>
      <w:numFmt w:val="bullet"/>
      <w:lvlText w:val="o"/>
      <w:lvlJc w:val="left"/>
      <w:pPr>
        <w:tabs>
          <w:tab w:val="num" w:pos="1440"/>
        </w:tabs>
        <w:ind w:left="1440" w:hanging="360"/>
      </w:pPr>
      <w:rPr>
        <w:rFonts w:ascii="Courier New" w:hAnsi="Courier New"/>
      </w:rPr>
    </w:lvl>
    <w:lvl w:ilvl="2" w:tplc="56488256">
      <w:start w:val="1"/>
      <w:numFmt w:val="bullet"/>
      <w:lvlText w:val=""/>
      <w:lvlJc w:val="left"/>
      <w:pPr>
        <w:tabs>
          <w:tab w:val="num" w:pos="2160"/>
        </w:tabs>
        <w:ind w:left="2160" w:hanging="360"/>
      </w:pPr>
      <w:rPr>
        <w:rFonts w:ascii="Wingdings" w:hAnsi="Wingdings"/>
      </w:rPr>
    </w:lvl>
    <w:lvl w:ilvl="3" w:tplc="C47A1B7E">
      <w:start w:val="1"/>
      <w:numFmt w:val="bullet"/>
      <w:lvlText w:val=""/>
      <w:lvlJc w:val="left"/>
      <w:pPr>
        <w:tabs>
          <w:tab w:val="num" w:pos="2880"/>
        </w:tabs>
        <w:ind w:left="2880" w:hanging="360"/>
      </w:pPr>
      <w:rPr>
        <w:rFonts w:ascii="Symbol" w:hAnsi="Symbol"/>
      </w:rPr>
    </w:lvl>
    <w:lvl w:ilvl="4" w:tplc="28EE95E4">
      <w:start w:val="1"/>
      <w:numFmt w:val="bullet"/>
      <w:lvlText w:val="o"/>
      <w:lvlJc w:val="left"/>
      <w:pPr>
        <w:tabs>
          <w:tab w:val="num" w:pos="3600"/>
        </w:tabs>
        <w:ind w:left="3600" w:hanging="360"/>
      </w:pPr>
      <w:rPr>
        <w:rFonts w:ascii="Courier New" w:hAnsi="Courier New"/>
      </w:rPr>
    </w:lvl>
    <w:lvl w:ilvl="5" w:tplc="BF826AD8">
      <w:start w:val="1"/>
      <w:numFmt w:val="bullet"/>
      <w:lvlText w:val=""/>
      <w:lvlJc w:val="left"/>
      <w:pPr>
        <w:tabs>
          <w:tab w:val="num" w:pos="4320"/>
        </w:tabs>
        <w:ind w:left="4320" w:hanging="360"/>
      </w:pPr>
      <w:rPr>
        <w:rFonts w:ascii="Wingdings" w:hAnsi="Wingdings"/>
      </w:rPr>
    </w:lvl>
    <w:lvl w:ilvl="6" w:tplc="4640745C">
      <w:start w:val="1"/>
      <w:numFmt w:val="bullet"/>
      <w:lvlText w:val=""/>
      <w:lvlJc w:val="left"/>
      <w:pPr>
        <w:tabs>
          <w:tab w:val="num" w:pos="5040"/>
        </w:tabs>
        <w:ind w:left="5040" w:hanging="360"/>
      </w:pPr>
      <w:rPr>
        <w:rFonts w:ascii="Symbol" w:hAnsi="Symbol"/>
      </w:rPr>
    </w:lvl>
    <w:lvl w:ilvl="7" w:tplc="5018107C">
      <w:start w:val="1"/>
      <w:numFmt w:val="bullet"/>
      <w:lvlText w:val="o"/>
      <w:lvlJc w:val="left"/>
      <w:pPr>
        <w:tabs>
          <w:tab w:val="num" w:pos="5760"/>
        </w:tabs>
        <w:ind w:left="5760" w:hanging="360"/>
      </w:pPr>
      <w:rPr>
        <w:rFonts w:ascii="Courier New" w:hAnsi="Courier New"/>
      </w:rPr>
    </w:lvl>
    <w:lvl w:ilvl="8" w:tplc="BD1430A2">
      <w:start w:val="1"/>
      <w:numFmt w:val="bullet"/>
      <w:lvlText w:val=""/>
      <w:lvlJc w:val="left"/>
      <w:pPr>
        <w:tabs>
          <w:tab w:val="num" w:pos="6480"/>
        </w:tabs>
        <w:ind w:left="6480" w:hanging="360"/>
      </w:pPr>
      <w:rPr>
        <w:rFonts w:ascii="Wingdings" w:hAnsi="Wingdings"/>
      </w:rPr>
    </w:lvl>
  </w:abstractNum>
  <w:abstractNum w:abstractNumId="308" w15:restartNumberingAfterBreak="0">
    <w:nsid w:val="722305F6"/>
    <w:multiLevelType w:val="hybridMultilevel"/>
    <w:tmpl w:val="722305F6"/>
    <w:lvl w:ilvl="0" w:tplc="70308434">
      <w:start w:val="1"/>
      <w:numFmt w:val="bullet"/>
      <w:lvlText w:val=""/>
      <w:lvlJc w:val="left"/>
      <w:pPr>
        <w:ind w:left="720" w:hanging="360"/>
      </w:pPr>
      <w:rPr>
        <w:rFonts w:ascii="Symbol" w:hAnsi="Symbol"/>
      </w:rPr>
    </w:lvl>
    <w:lvl w:ilvl="1" w:tplc="5A56EA24">
      <w:start w:val="1"/>
      <w:numFmt w:val="bullet"/>
      <w:lvlText w:val="o"/>
      <w:lvlJc w:val="left"/>
      <w:pPr>
        <w:tabs>
          <w:tab w:val="num" w:pos="1440"/>
        </w:tabs>
        <w:ind w:left="1440" w:hanging="360"/>
      </w:pPr>
      <w:rPr>
        <w:rFonts w:ascii="Courier New" w:hAnsi="Courier New"/>
      </w:rPr>
    </w:lvl>
    <w:lvl w:ilvl="2" w:tplc="1E5AB260">
      <w:start w:val="1"/>
      <w:numFmt w:val="bullet"/>
      <w:lvlText w:val=""/>
      <w:lvlJc w:val="left"/>
      <w:pPr>
        <w:tabs>
          <w:tab w:val="num" w:pos="2160"/>
        </w:tabs>
        <w:ind w:left="2160" w:hanging="360"/>
      </w:pPr>
      <w:rPr>
        <w:rFonts w:ascii="Wingdings" w:hAnsi="Wingdings"/>
      </w:rPr>
    </w:lvl>
    <w:lvl w:ilvl="3" w:tplc="BA607916">
      <w:start w:val="1"/>
      <w:numFmt w:val="bullet"/>
      <w:lvlText w:val=""/>
      <w:lvlJc w:val="left"/>
      <w:pPr>
        <w:tabs>
          <w:tab w:val="num" w:pos="2880"/>
        </w:tabs>
        <w:ind w:left="2880" w:hanging="360"/>
      </w:pPr>
      <w:rPr>
        <w:rFonts w:ascii="Symbol" w:hAnsi="Symbol"/>
      </w:rPr>
    </w:lvl>
    <w:lvl w:ilvl="4" w:tplc="CB0ABF64">
      <w:start w:val="1"/>
      <w:numFmt w:val="bullet"/>
      <w:lvlText w:val="o"/>
      <w:lvlJc w:val="left"/>
      <w:pPr>
        <w:tabs>
          <w:tab w:val="num" w:pos="3600"/>
        </w:tabs>
        <w:ind w:left="3600" w:hanging="360"/>
      </w:pPr>
      <w:rPr>
        <w:rFonts w:ascii="Courier New" w:hAnsi="Courier New"/>
      </w:rPr>
    </w:lvl>
    <w:lvl w:ilvl="5" w:tplc="07A24F7E">
      <w:start w:val="1"/>
      <w:numFmt w:val="bullet"/>
      <w:lvlText w:val=""/>
      <w:lvlJc w:val="left"/>
      <w:pPr>
        <w:tabs>
          <w:tab w:val="num" w:pos="4320"/>
        </w:tabs>
        <w:ind w:left="4320" w:hanging="360"/>
      </w:pPr>
      <w:rPr>
        <w:rFonts w:ascii="Wingdings" w:hAnsi="Wingdings"/>
      </w:rPr>
    </w:lvl>
    <w:lvl w:ilvl="6" w:tplc="F3742CCA">
      <w:start w:val="1"/>
      <w:numFmt w:val="bullet"/>
      <w:lvlText w:val=""/>
      <w:lvlJc w:val="left"/>
      <w:pPr>
        <w:tabs>
          <w:tab w:val="num" w:pos="5040"/>
        </w:tabs>
        <w:ind w:left="5040" w:hanging="360"/>
      </w:pPr>
      <w:rPr>
        <w:rFonts w:ascii="Symbol" w:hAnsi="Symbol"/>
      </w:rPr>
    </w:lvl>
    <w:lvl w:ilvl="7" w:tplc="BE58A8A4">
      <w:start w:val="1"/>
      <w:numFmt w:val="bullet"/>
      <w:lvlText w:val="o"/>
      <w:lvlJc w:val="left"/>
      <w:pPr>
        <w:tabs>
          <w:tab w:val="num" w:pos="5760"/>
        </w:tabs>
        <w:ind w:left="5760" w:hanging="360"/>
      </w:pPr>
      <w:rPr>
        <w:rFonts w:ascii="Courier New" w:hAnsi="Courier New"/>
      </w:rPr>
    </w:lvl>
    <w:lvl w:ilvl="8" w:tplc="1C4E3276">
      <w:start w:val="1"/>
      <w:numFmt w:val="bullet"/>
      <w:lvlText w:val=""/>
      <w:lvlJc w:val="left"/>
      <w:pPr>
        <w:tabs>
          <w:tab w:val="num" w:pos="6480"/>
        </w:tabs>
        <w:ind w:left="6480" w:hanging="360"/>
      </w:pPr>
      <w:rPr>
        <w:rFonts w:ascii="Wingdings" w:hAnsi="Wingdings"/>
      </w:rPr>
    </w:lvl>
  </w:abstractNum>
  <w:abstractNum w:abstractNumId="309" w15:restartNumberingAfterBreak="0">
    <w:nsid w:val="722305F7"/>
    <w:multiLevelType w:val="hybridMultilevel"/>
    <w:tmpl w:val="722305F7"/>
    <w:lvl w:ilvl="0" w:tplc="38FC905A">
      <w:start w:val="1"/>
      <w:numFmt w:val="bullet"/>
      <w:lvlText w:val=""/>
      <w:lvlJc w:val="left"/>
      <w:pPr>
        <w:tabs>
          <w:tab w:val="num" w:pos="720"/>
        </w:tabs>
        <w:ind w:left="720" w:hanging="360"/>
      </w:pPr>
      <w:rPr>
        <w:rFonts w:ascii="Symbol" w:hAnsi="Symbol"/>
      </w:rPr>
    </w:lvl>
    <w:lvl w:ilvl="1" w:tplc="2F764FC8">
      <w:start w:val="1"/>
      <w:numFmt w:val="bullet"/>
      <w:lvlText w:val="o"/>
      <w:lvlJc w:val="left"/>
      <w:pPr>
        <w:tabs>
          <w:tab w:val="num" w:pos="1440"/>
        </w:tabs>
        <w:ind w:left="1440" w:hanging="360"/>
      </w:pPr>
      <w:rPr>
        <w:rFonts w:ascii="Courier New" w:hAnsi="Courier New"/>
      </w:rPr>
    </w:lvl>
    <w:lvl w:ilvl="2" w:tplc="117E6970">
      <w:start w:val="1"/>
      <w:numFmt w:val="bullet"/>
      <w:lvlText w:val=""/>
      <w:lvlJc w:val="left"/>
      <w:pPr>
        <w:tabs>
          <w:tab w:val="num" w:pos="2160"/>
        </w:tabs>
        <w:ind w:left="2160" w:hanging="360"/>
      </w:pPr>
      <w:rPr>
        <w:rFonts w:ascii="Wingdings" w:hAnsi="Wingdings"/>
      </w:rPr>
    </w:lvl>
    <w:lvl w:ilvl="3" w:tplc="8088508A">
      <w:start w:val="1"/>
      <w:numFmt w:val="bullet"/>
      <w:lvlText w:val=""/>
      <w:lvlJc w:val="left"/>
      <w:pPr>
        <w:tabs>
          <w:tab w:val="num" w:pos="2880"/>
        </w:tabs>
        <w:ind w:left="2880" w:hanging="360"/>
      </w:pPr>
      <w:rPr>
        <w:rFonts w:ascii="Symbol" w:hAnsi="Symbol"/>
      </w:rPr>
    </w:lvl>
    <w:lvl w:ilvl="4" w:tplc="43FA37F2">
      <w:start w:val="1"/>
      <w:numFmt w:val="bullet"/>
      <w:lvlText w:val="o"/>
      <w:lvlJc w:val="left"/>
      <w:pPr>
        <w:tabs>
          <w:tab w:val="num" w:pos="3600"/>
        </w:tabs>
        <w:ind w:left="3600" w:hanging="360"/>
      </w:pPr>
      <w:rPr>
        <w:rFonts w:ascii="Courier New" w:hAnsi="Courier New"/>
      </w:rPr>
    </w:lvl>
    <w:lvl w:ilvl="5" w:tplc="BE88E4F0">
      <w:start w:val="1"/>
      <w:numFmt w:val="bullet"/>
      <w:lvlText w:val=""/>
      <w:lvlJc w:val="left"/>
      <w:pPr>
        <w:tabs>
          <w:tab w:val="num" w:pos="4320"/>
        </w:tabs>
        <w:ind w:left="4320" w:hanging="360"/>
      </w:pPr>
      <w:rPr>
        <w:rFonts w:ascii="Wingdings" w:hAnsi="Wingdings"/>
      </w:rPr>
    </w:lvl>
    <w:lvl w:ilvl="6" w:tplc="92484008">
      <w:start w:val="1"/>
      <w:numFmt w:val="bullet"/>
      <w:lvlText w:val=""/>
      <w:lvlJc w:val="left"/>
      <w:pPr>
        <w:tabs>
          <w:tab w:val="num" w:pos="5040"/>
        </w:tabs>
        <w:ind w:left="5040" w:hanging="360"/>
      </w:pPr>
      <w:rPr>
        <w:rFonts w:ascii="Symbol" w:hAnsi="Symbol"/>
      </w:rPr>
    </w:lvl>
    <w:lvl w:ilvl="7" w:tplc="EE889586">
      <w:start w:val="1"/>
      <w:numFmt w:val="bullet"/>
      <w:lvlText w:val="o"/>
      <w:lvlJc w:val="left"/>
      <w:pPr>
        <w:tabs>
          <w:tab w:val="num" w:pos="5760"/>
        </w:tabs>
        <w:ind w:left="5760" w:hanging="360"/>
      </w:pPr>
      <w:rPr>
        <w:rFonts w:ascii="Courier New" w:hAnsi="Courier New"/>
      </w:rPr>
    </w:lvl>
    <w:lvl w:ilvl="8" w:tplc="CF2EB16E">
      <w:start w:val="1"/>
      <w:numFmt w:val="bullet"/>
      <w:lvlText w:val=""/>
      <w:lvlJc w:val="left"/>
      <w:pPr>
        <w:tabs>
          <w:tab w:val="num" w:pos="6480"/>
        </w:tabs>
        <w:ind w:left="6480" w:hanging="360"/>
      </w:pPr>
      <w:rPr>
        <w:rFonts w:ascii="Wingdings" w:hAnsi="Wingdings"/>
      </w:rPr>
    </w:lvl>
  </w:abstractNum>
  <w:abstractNum w:abstractNumId="310" w15:restartNumberingAfterBreak="0">
    <w:nsid w:val="722305F8"/>
    <w:multiLevelType w:val="hybridMultilevel"/>
    <w:tmpl w:val="722305F8"/>
    <w:lvl w:ilvl="0" w:tplc="B9A8DFF8">
      <w:start w:val="1"/>
      <w:numFmt w:val="bullet"/>
      <w:lvlText w:val=""/>
      <w:lvlJc w:val="left"/>
      <w:pPr>
        <w:ind w:left="720" w:hanging="360"/>
      </w:pPr>
      <w:rPr>
        <w:rFonts w:ascii="Symbol" w:hAnsi="Symbol"/>
      </w:rPr>
    </w:lvl>
    <w:lvl w:ilvl="1" w:tplc="BE7C29EE">
      <w:start w:val="1"/>
      <w:numFmt w:val="bullet"/>
      <w:lvlText w:val="o"/>
      <w:lvlJc w:val="left"/>
      <w:pPr>
        <w:tabs>
          <w:tab w:val="num" w:pos="1440"/>
        </w:tabs>
        <w:ind w:left="1440" w:hanging="360"/>
      </w:pPr>
      <w:rPr>
        <w:rFonts w:ascii="Courier New" w:hAnsi="Courier New"/>
      </w:rPr>
    </w:lvl>
    <w:lvl w:ilvl="2" w:tplc="F468C422">
      <w:start w:val="1"/>
      <w:numFmt w:val="bullet"/>
      <w:lvlText w:val=""/>
      <w:lvlJc w:val="left"/>
      <w:pPr>
        <w:tabs>
          <w:tab w:val="num" w:pos="2160"/>
        </w:tabs>
        <w:ind w:left="2160" w:hanging="360"/>
      </w:pPr>
      <w:rPr>
        <w:rFonts w:ascii="Wingdings" w:hAnsi="Wingdings"/>
      </w:rPr>
    </w:lvl>
    <w:lvl w:ilvl="3" w:tplc="D10E991E">
      <w:start w:val="1"/>
      <w:numFmt w:val="bullet"/>
      <w:lvlText w:val=""/>
      <w:lvlJc w:val="left"/>
      <w:pPr>
        <w:tabs>
          <w:tab w:val="num" w:pos="2880"/>
        </w:tabs>
        <w:ind w:left="2880" w:hanging="360"/>
      </w:pPr>
      <w:rPr>
        <w:rFonts w:ascii="Symbol" w:hAnsi="Symbol"/>
      </w:rPr>
    </w:lvl>
    <w:lvl w:ilvl="4" w:tplc="AC7478A4">
      <w:start w:val="1"/>
      <w:numFmt w:val="bullet"/>
      <w:lvlText w:val="o"/>
      <w:lvlJc w:val="left"/>
      <w:pPr>
        <w:tabs>
          <w:tab w:val="num" w:pos="3600"/>
        </w:tabs>
        <w:ind w:left="3600" w:hanging="360"/>
      </w:pPr>
      <w:rPr>
        <w:rFonts w:ascii="Courier New" w:hAnsi="Courier New"/>
      </w:rPr>
    </w:lvl>
    <w:lvl w:ilvl="5" w:tplc="B6EE629E">
      <w:start w:val="1"/>
      <w:numFmt w:val="bullet"/>
      <w:lvlText w:val=""/>
      <w:lvlJc w:val="left"/>
      <w:pPr>
        <w:tabs>
          <w:tab w:val="num" w:pos="4320"/>
        </w:tabs>
        <w:ind w:left="4320" w:hanging="360"/>
      </w:pPr>
      <w:rPr>
        <w:rFonts w:ascii="Wingdings" w:hAnsi="Wingdings"/>
      </w:rPr>
    </w:lvl>
    <w:lvl w:ilvl="6" w:tplc="BAF4CE5E">
      <w:start w:val="1"/>
      <w:numFmt w:val="bullet"/>
      <w:lvlText w:val=""/>
      <w:lvlJc w:val="left"/>
      <w:pPr>
        <w:tabs>
          <w:tab w:val="num" w:pos="5040"/>
        </w:tabs>
        <w:ind w:left="5040" w:hanging="360"/>
      </w:pPr>
      <w:rPr>
        <w:rFonts w:ascii="Symbol" w:hAnsi="Symbol"/>
      </w:rPr>
    </w:lvl>
    <w:lvl w:ilvl="7" w:tplc="983498CC">
      <w:start w:val="1"/>
      <w:numFmt w:val="bullet"/>
      <w:lvlText w:val="o"/>
      <w:lvlJc w:val="left"/>
      <w:pPr>
        <w:tabs>
          <w:tab w:val="num" w:pos="5760"/>
        </w:tabs>
        <w:ind w:left="5760" w:hanging="360"/>
      </w:pPr>
      <w:rPr>
        <w:rFonts w:ascii="Courier New" w:hAnsi="Courier New"/>
      </w:rPr>
    </w:lvl>
    <w:lvl w:ilvl="8" w:tplc="6A1AE85A">
      <w:start w:val="1"/>
      <w:numFmt w:val="bullet"/>
      <w:lvlText w:val=""/>
      <w:lvlJc w:val="left"/>
      <w:pPr>
        <w:tabs>
          <w:tab w:val="num" w:pos="6480"/>
        </w:tabs>
        <w:ind w:left="6480" w:hanging="360"/>
      </w:pPr>
      <w:rPr>
        <w:rFonts w:ascii="Wingdings" w:hAnsi="Wingdings"/>
      </w:rPr>
    </w:lvl>
  </w:abstractNum>
  <w:abstractNum w:abstractNumId="311" w15:restartNumberingAfterBreak="0">
    <w:nsid w:val="722305F9"/>
    <w:multiLevelType w:val="hybridMultilevel"/>
    <w:tmpl w:val="722305F9"/>
    <w:lvl w:ilvl="0" w:tplc="5B729434">
      <w:start w:val="1"/>
      <w:numFmt w:val="bullet"/>
      <w:lvlText w:val=""/>
      <w:lvlJc w:val="left"/>
      <w:pPr>
        <w:ind w:left="720" w:hanging="360"/>
      </w:pPr>
      <w:rPr>
        <w:rFonts w:ascii="Symbol" w:hAnsi="Symbol"/>
      </w:rPr>
    </w:lvl>
    <w:lvl w:ilvl="1" w:tplc="FE326008">
      <w:start w:val="1"/>
      <w:numFmt w:val="bullet"/>
      <w:lvlText w:val="o"/>
      <w:lvlJc w:val="left"/>
      <w:pPr>
        <w:tabs>
          <w:tab w:val="num" w:pos="1440"/>
        </w:tabs>
        <w:ind w:left="1440" w:hanging="360"/>
      </w:pPr>
      <w:rPr>
        <w:rFonts w:ascii="Courier New" w:hAnsi="Courier New"/>
      </w:rPr>
    </w:lvl>
    <w:lvl w:ilvl="2" w:tplc="92B8040A">
      <w:start w:val="1"/>
      <w:numFmt w:val="bullet"/>
      <w:lvlText w:val=""/>
      <w:lvlJc w:val="left"/>
      <w:pPr>
        <w:tabs>
          <w:tab w:val="num" w:pos="2160"/>
        </w:tabs>
        <w:ind w:left="2160" w:hanging="360"/>
      </w:pPr>
      <w:rPr>
        <w:rFonts w:ascii="Wingdings" w:hAnsi="Wingdings"/>
      </w:rPr>
    </w:lvl>
    <w:lvl w:ilvl="3" w:tplc="62B406FE">
      <w:start w:val="1"/>
      <w:numFmt w:val="bullet"/>
      <w:lvlText w:val=""/>
      <w:lvlJc w:val="left"/>
      <w:pPr>
        <w:tabs>
          <w:tab w:val="num" w:pos="2880"/>
        </w:tabs>
        <w:ind w:left="2880" w:hanging="360"/>
      </w:pPr>
      <w:rPr>
        <w:rFonts w:ascii="Symbol" w:hAnsi="Symbol"/>
      </w:rPr>
    </w:lvl>
    <w:lvl w:ilvl="4" w:tplc="C2BC3E94">
      <w:start w:val="1"/>
      <w:numFmt w:val="bullet"/>
      <w:lvlText w:val="o"/>
      <w:lvlJc w:val="left"/>
      <w:pPr>
        <w:tabs>
          <w:tab w:val="num" w:pos="3600"/>
        </w:tabs>
        <w:ind w:left="3600" w:hanging="360"/>
      </w:pPr>
      <w:rPr>
        <w:rFonts w:ascii="Courier New" w:hAnsi="Courier New"/>
      </w:rPr>
    </w:lvl>
    <w:lvl w:ilvl="5" w:tplc="26F28D7E">
      <w:start w:val="1"/>
      <w:numFmt w:val="bullet"/>
      <w:lvlText w:val=""/>
      <w:lvlJc w:val="left"/>
      <w:pPr>
        <w:tabs>
          <w:tab w:val="num" w:pos="4320"/>
        </w:tabs>
        <w:ind w:left="4320" w:hanging="360"/>
      </w:pPr>
      <w:rPr>
        <w:rFonts w:ascii="Wingdings" w:hAnsi="Wingdings"/>
      </w:rPr>
    </w:lvl>
    <w:lvl w:ilvl="6" w:tplc="A4C24BC6">
      <w:start w:val="1"/>
      <w:numFmt w:val="bullet"/>
      <w:lvlText w:val=""/>
      <w:lvlJc w:val="left"/>
      <w:pPr>
        <w:tabs>
          <w:tab w:val="num" w:pos="5040"/>
        </w:tabs>
        <w:ind w:left="5040" w:hanging="360"/>
      </w:pPr>
      <w:rPr>
        <w:rFonts w:ascii="Symbol" w:hAnsi="Symbol"/>
      </w:rPr>
    </w:lvl>
    <w:lvl w:ilvl="7" w:tplc="58A0768A">
      <w:start w:val="1"/>
      <w:numFmt w:val="bullet"/>
      <w:lvlText w:val="o"/>
      <w:lvlJc w:val="left"/>
      <w:pPr>
        <w:tabs>
          <w:tab w:val="num" w:pos="5760"/>
        </w:tabs>
        <w:ind w:left="5760" w:hanging="360"/>
      </w:pPr>
      <w:rPr>
        <w:rFonts w:ascii="Courier New" w:hAnsi="Courier New"/>
      </w:rPr>
    </w:lvl>
    <w:lvl w:ilvl="8" w:tplc="1248D1FC">
      <w:start w:val="1"/>
      <w:numFmt w:val="bullet"/>
      <w:lvlText w:val=""/>
      <w:lvlJc w:val="left"/>
      <w:pPr>
        <w:tabs>
          <w:tab w:val="num" w:pos="6480"/>
        </w:tabs>
        <w:ind w:left="6480" w:hanging="360"/>
      </w:pPr>
      <w:rPr>
        <w:rFonts w:ascii="Wingdings" w:hAnsi="Wingdings"/>
      </w:rPr>
    </w:lvl>
  </w:abstractNum>
  <w:abstractNum w:abstractNumId="312" w15:restartNumberingAfterBreak="0">
    <w:nsid w:val="722305FA"/>
    <w:multiLevelType w:val="hybridMultilevel"/>
    <w:tmpl w:val="722305FA"/>
    <w:lvl w:ilvl="0" w:tplc="3612D8C0">
      <w:start w:val="1"/>
      <w:numFmt w:val="bullet"/>
      <w:lvlText w:val=""/>
      <w:lvlJc w:val="left"/>
      <w:pPr>
        <w:ind w:left="720" w:hanging="360"/>
      </w:pPr>
      <w:rPr>
        <w:rFonts w:ascii="Symbol" w:hAnsi="Symbol"/>
      </w:rPr>
    </w:lvl>
    <w:lvl w:ilvl="1" w:tplc="BA1C5FA8">
      <w:start w:val="1"/>
      <w:numFmt w:val="bullet"/>
      <w:lvlText w:val="o"/>
      <w:lvlJc w:val="left"/>
      <w:pPr>
        <w:tabs>
          <w:tab w:val="num" w:pos="1440"/>
        </w:tabs>
        <w:ind w:left="1440" w:hanging="360"/>
      </w:pPr>
      <w:rPr>
        <w:rFonts w:ascii="Courier New" w:hAnsi="Courier New"/>
      </w:rPr>
    </w:lvl>
    <w:lvl w:ilvl="2" w:tplc="12C68836">
      <w:start w:val="1"/>
      <w:numFmt w:val="bullet"/>
      <w:lvlText w:val=""/>
      <w:lvlJc w:val="left"/>
      <w:pPr>
        <w:tabs>
          <w:tab w:val="num" w:pos="2160"/>
        </w:tabs>
        <w:ind w:left="2160" w:hanging="360"/>
      </w:pPr>
      <w:rPr>
        <w:rFonts w:ascii="Wingdings" w:hAnsi="Wingdings"/>
      </w:rPr>
    </w:lvl>
    <w:lvl w:ilvl="3" w:tplc="16E48630">
      <w:start w:val="1"/>
      <w:numFmt w:val="bullet"/>
      <w:lvlText w:val=""/>
      <w:lvlJc w:val="left"/>
      <w:pPr>
        <w:tabs>
          <w:tab w:val="num" w:pos="2880"/>
        </w:tabs>
        <w:ind w:left="2880" w:hanging="360"/>
      </w:pPr>
      <w:rPr>
        <w:rFonts w:ascii="Symbol" w:hAnsi="Symbol"/>
      </w:rPr>
    </w:lvl>
    <w:lvl w:ilvl="4" w:tplc="6FAC9922">
      <w:start w:val="1"/>
      <w:numFmt w:val="bullet"/>
      <w:lvlText w:val="o"/>
      <w:lvlJc w:val="left"/>
      <w:pPr>
        <w:tabs>
          <w:tab w:val="num" w:pos="3600"/>
        </w:tabs>
        <w:ind w:left="3600" w:hanging="360"/>
      </w:pPr>
      <w:rPr>
        <w:rFonts w:ascii="Courier New" w:hAnsi="Courier New"/>
      </w:rPr>
    </w:lvl>
    <w:lvl w:ilvl="5" w:tplc="454AB598">
      <w:start w:val="1"/>
      <w:numFmt w:val="bullet"/>
      <w:lvlText w:val=""/>
      <w:lvlJc w:val="left"/>
      <w:pPr>
        <w:tabs>
          <w:tab w:val="num" w:pos="4320"/>
        </w:tabs>
        <w:ind w:left="4320" w:hanging="360"/>
      </w:pPr>
      <w:rPr>
        <w:rFonts w:ascii="Wingdings" w:hAnsi="Wingdings"/>
      </w:rPr>
    </w:lvl>
    <w:lvl w:ilvl="6" w:tplc="01A6AFC2">
      <w:start w:val="1"/>
      <w:numFmt w:val="bullet"/>
      <w:lvlText w:val=""/>
      <w:lvlJc w:val="left"/>
      <w:pPr>
        <w:tabs>
          <w:tab w:val="num" w:pos="5040"/>
        </w:tabs>
        <w:ind w:left="5040" w:hanging="360"/>
      </w:pPr>
      <w:rPr>
        <w:rFonts w:ascii="Symbol" w:hAnsi="Symbol"/>
      </w:rPr>
    </w:lvl>
    <w:lvl w:ilvl="7" w:tplc="3BAA62F2">
      <w:start w:val="1"/>
      <w:numFmt w:val="bullet"/>
      <w:lvlText w:val="o"/>
      <w:lvlJc w:val="left"/>
      <w:pPr>
        <w:tabs>
          <w:tab w:val="num" w:pos="5760"/>
        </w:tabs>
        <w:ind w:left="5760" w:hanging="360"/>
      </w:pPr>
      <w:rPr>
        <w:rFonts w:ascii="Courier New" w:hAnsi="Courier New"/>
      </w:rPr>
    </w:lvl>
    <w:lvl w:ilvl="8" w:tplc="3930711C">
      <w:start w:val="1"/>
      <w:numFmt w:val="bullet"/>
      <w:lvlText w:val=""/>
      <w:lvlJc w:val="left"/>
      <w:pPr>
        <w:tabs>
          <w:tab w:val="num" w:pos="6480"/>
        </w:tabs>
        <w:ind w:left="6480" w:hanging="360"/>
      </w:pPr>
      <w:rPr>
        <w:rFonts w:ascii="Wingdings" w:hAnsi="Wingdings"/>
      </w:rPr>
    </w:lvl>
  </w:abstractNum>
  <w:abstractNum w:abstractNumId="313" w15:restartNumberingAfterBreak="0">
    <w:nsid w:val="722305FB"/>
    <w:multiLevelType w:val="hybridMultilevel"/>
    <w:tmpl w:val="722305FB"/>
    <w:lvl w:ilvl="0" w:tplc="01402B64">
      <w:start w:val="1"/>
      <w:numFmt w:val="bullet"/>
      <w:lvlText w:val=""/>
      <w:lvlJc w:val="left"/>
      <w:pPr>
        <w:ind w:left="720" w:hanging="360"/>
      </w:pPr>
      <w:rPr>
        <w:rFonts w:ascii="Symbol" w:hAnsi="Symbol"/>
      </w:rPr>
    </w:lvl>
    <w:lvl w:ilvl="1" w:tplc="290C1DE4">
      <w:start w:val="1"/>
      <w:numFmt w:val="bullet"/>
      <w:lvlText w:val="o"/>
      <w:lvlJc w:val="left"/>
      <w:pPr>
        <w:tabs>
          <w:tab w:val="num" w:pos="1440"/>
        </w:tabs>
        <w:ind w:left="1440" w:hanging="360"/>
      </w:pPr>
      <w:rPr>
        <w:rFonts w:ascii="Courier New" w:hAnsi="Courier New"/>
      </w:rPr>
    </w:lvl>
    <w:lvl w:ilvl="2" w:tplc="F51E05BA">
      <w:start w:val="1"/>
      <w:numFmt w:val="bullet"/>
      <w:lvlText w:val=""/>
      <w:lvlJc w:val="left"/>
      <w:pPr>
        <w:tabs>
          <w:tab w:val="num" w:pos="2160"/>
        </w:tabs>
        <w:ind w:left="2160" w:hanging="360"/>
      </w:pPr>
      <w:rPr>
        <w:rFonts w:ascii="Wingdings" w:hAnsi="Wingdings"/>
      </w:rPr>
    </w:lvl>
    <w:lvl w:ilvl="3" w:tplc="20B63FB6">
      <w:start w:val="1"/>
      <w:numFmt w:val="bullet"/>
      <w:lvlText w:val=""/>
      <w:lvlJc w:val="left"/>
      <w:pPr>
        <w:tabs>
          <w:tab w:val="num" w:pos="2880"/>
        </w:tabs>
        <w:ind w:left="2880" w:hanging="360"/>
      </w:pPr>
      <w:rPr>
        <w:rFonts w:ascii="Symbol" w:hAnsi="Symbol"/>
      </w:rPr>
    </w:lvl>
    <w:lvl w:ilvl="4" w:tplc="90B62D76">
      <w:start w:val="1"/>
      <w:numFmt w:val="bullet"/>
      <w:lvlText w:val="o"/>
      <w:lvlJc w:val="left"/>
      <w:pPr>
        <w:tabs>
          <w:tab w:val="num" w:pos="3600"/>
        </w:tabs>
        <w:ind w:left="3600" w:hanging="360"/>
      </w:pPr>
      <w:rPr>
        <w:rFonts w:ascii="Courier New" w:hAnsi="Courier New"/>
      </w:rPr>
    </w:lvl>
    <w:lvl w:ilvl="5" w:tplc="80B41ABC">
      <w:start w:val="1"/>
      <w:numFmt w:val="bullet"/>
      <w:lvlText w:val=""/>
      <w:lvlJc w:val="left"/>
      <w:pPr>
        <w:tabs>
          <w:tab w:val="num" w:pos="4320"/>
        </w:tabs>
        <w:ind w:left="4320" w:hanging="360"/>
      </w:pPr>
      <w:rPr>
        <w:rFonts w:ascii="Wingdings" w:hAnsi="Wingdings"/>
      </w:rPr>
    </w:lvl>
    <w:lvl w:ilvl="6" w:tplc="DDDCD02E">
      <w:start w:val="1"/>
      <w:numFmt w:val="bullet"/>
      <w:lvlText w:val=""/>
      <w:lvlJc w:val="left"/>
      <w:pPr>
        <w:tabs>
          <w:tab w:val="num" w:pos="5040"/>
        </w:tabs>
        <w:ind w:left="5040" w:hanging="360"/>
      </w:pPr>
      <w:rPr>
        <w:rFonts w:ascii="Symbol" w:hAnsi="Symbol"/>
      </w:rPr>
    </w:lvl>
    <w:lvl w:ilvl="7" w:tplc="21DC8172">
      <w:start w:val="1"/>
      <w:numFmt w:val="bullet"/>
      <w:lvlText w:val="o"/>
      <w:lvlJc w:val="left"/>
      <w:pPr>
        <w:tabs>
          <w:tab w:val="num" w:pos="5760"/>
        </w:tabs>
        <w:ind w:left="5760" w:hanging="360"/>
      </w:pPr>
      <w:rPr>
        <w:rFonts w:ascii="Courier New" w:hAnsi="Courier New"/>
      </w:rPr>
    </w:lvl>
    <w:lvl w:ilvl="8" w:tplc="5E60FD92">
      <w:start w:val="1"/>
      <w:numFmt w:val="bullet"/>
      <w:lvlText w:val=""/>
      <w:lvlJc w:val="left"/>
      <w:pPr>
        <w:tabs>
          <w:tab w:val="num" w:pos="6480"/>
        </w:tabs>
        <w:ind w:left="6480" w:hanging="360"/>
      </w:pPr>
      <w:rPr>
        <w:rFonts w:ascii="Wingdings" w:hAnsi="Wingdings"/>
      </w:rPr>
    </w:lvl>
  </w:abstractNum>
  <w:abstractNum w:abstractNumId="314" w15:restartNumberingAfterBreak="0">
    <w:nsid w:val="722305FC"/>
    <w:multiLevelType w:val="hybridMultilevel"/>
    <w:tmpl w:val="722305FC"/>
    <w:lvl w:ilvl="0" w:tplc="20CEE2A0">
      <w:start w:val="1"/>
      <w:numFmt w:val="bullet"/>
      <w:lvlText w:val=""/>
      <w:lvlJc w:val="left"/>
      <w:pPr>
        <w:ind w:left="720" w:hanging="360"/>
      </w:pPr>
      <w:rPr>
        <w:rFonts w:ascii="Symbol" w:hAnsi="Symbol"/>
      </w:rPr>
    </w:lvl>
    <w:lvl w:ilvl="1" w:tplc="9F30A3D2">
      <w:start w:val="1"/>
      <w:numFmt w:val="bullet"/>
      <w:lvlText w:val="o"/>
      <w:lvlJc w:val="left"/>
      <w:pPr>
        <w:ind w:left="1440" w:hanging="360"/>
      </w:pPr>
      <w:rPr>
        <w:rFonts w:ascii="Courier New" w:hAnsi="Courier New"/>
      </w:rPr>
    </w:lvl>
    <w:lvl w:ilvl="2" w:tplc="239C8FE4">
      <w:start w:val="1"/>
      <w:numFmt w:val="bullet"/>
      <w:lvlText w:val=""/>
      <w:lvlJc w:val="left"/>
      <w:pPr>
        <w:tabs>
          <w:tab w:val="num" w:pos="2160"/>
        </w:tabs>
        <w:ind w:left="2160" w:hanging="360"/>
      </w:pPr>
      <w:rPr>
        <w:rFonts w:ascii="Wingdings" w:hAnsi="Wingdings"/>
      </w:rPr>
    </w:lvl>
    <w:lvl w:ilvl="3" w:tplc="9ACCEDA0">
      <w:start w:val="1"/>
      <w:numFmt w:val="bullet"/>
      <w:lvlText w:val=""/>
      <w:lvlJc w:val="left"/>
      <w:pPr>
        <w:tabs>
          <w:tab w:val="num" w:pos="2880"/>
        </w:tabs>
        <w:ind w:left="2880" w:hanging="360"/>
      </w:pPr>
      <w:rPr>
        <w:rFonts w:ascii="Symbol" w:hAnsi="Symbol"/>
      </w:rPr>
    </w:lvl>
    <w:lvl w:ilvl="4" w:tplc="AF1418A6">
      <w:start w:val="1"/>
      <w:numFmt w:val="bullet"/>
      <w:lvlText w:val="o"/>
      <w:lvlJc w:val="left"/>
      <w:pPr>
        <w:tabs>
          <w:tab w:val="num" w:pos="3600"/>
        </w:tabs>
        <w:ind w:left="3600" w:hanging="360"/>
      </w:pPr>
      <w:rPr>
        <w:rFonts w:ascii="Courier New" w:hAnsi="Courier New"/>
      </w:rPr>
    </w:lvl>
    <w:lvl w:ilvl="5" w:tplc="D87EE10A">
      <w:start w:val="1"/>
      <w:numFmt w:val="bullet"/>
      <w:lvlText w:val=""/>
      <w:lvlJc w:val="left"/>
      <w:pPr>
        <w:tabs>
          <w:tab w:val="num" w:pos="4320"/>
        </w:tabs>
        <w:ind w:left="4320" w:hanging="360"/>
      </w:pPr>
      <w:rPr>
        <w:rFonts w:ascii="Wingdings" w:hAnsi="Wingdings"/>
      </w:rPr>
    </w:lvl>
    <w:lvl w:ilvl="6" w:tplc="CB1C74BC">
      <w:start w:val="1"/>
      <w:numFmt w:val="bullet"/>
      <w:lvlText w:val=""/>
      <w:lvlJc w:val="left"/>
      <w:pPr>
        <w:tabs>
          <w:tab w:val="num" w:pos="5040"/>
        </w:tabs>
        <w:ind w:left="5040" w:hanging="360"/>
      </w:pPr>
      <w:rPr>
        <w:rFonts w:ascii="Symbol" w:hAnsi="Symbol"/>
      </w:rPr>
    </w:lvl>
    <w:lvl w:ilvl="7" w:tplc="B92667E6">
      <w:start w:val="1"/>
      <w:numFmt w:val="bullet"/>
      <w:lvlText w:val="o"/>
      <w:lvlJc w:val="left"/>
      <w:pPr>
        <w:tabs>
          <w:tab w:val="num" w:pos="5760"/>
        </w:tabs>
        <w:ind w:left="5760" w:hanging="360"/>
      </w:pPr>
      <w:rPr>
        <w:rFonts w:ascii="Courier New" w:hAnsi="Courier New"/>
      </w:rPr>
    </w:lvl>
    <w:lvl w:ilvl="8" w:tplc="776AABFE">
      <w:start w:val="1"/>
      <w:numFmt w:val="bullet"/>
      <w:lvlText w:val=""/>
      <w:lvlJc w:val="left"/>
      <w:pPr>
        <w:tabs>
          <w:tab w:val="num" w:pos="6480"/>
        </w:tabs>
        <w:ind w:left="6480" w:hanging="360"/>
      </w:pPr>
      <w:rPr>
        <w:rFonts w:ascii="Wingdings" w:hAnsi="Wingdings"/>
      </w:rPr>
    </w:lvl>
  </w:abstractNum>
  <w:abstractNum w:abstractNumId="315" w15:restartNumberingAfterBreak="0">
    <w:nsid w:val="722305FD"/>
    <w:multiLevelType w:val="hybridMultilevel"/>
    <w:tmpl w:val="722305FD"/>
    <w:lvl w:ilvl="0" w:tplc="8748515A">
      <w:start w:val="1"/>
      <w:numFmt w:val="bullet"/>
      <w:lvlText w:val=""/>
      <w:lvlJc w:val="left"/>
      <w:pPr>
        <w:ind w:left="720" w:hanging="360"/>
      </w:pPr>
      <w:rPr>
        <w:rFonts w:ascii="Symbol" w:hAnsi="Symbol"/>
      </w:rPr>
    </w:lvl>
    <w:lvl w:ilvl="1" w:tplc="7D161BC0">
      <w:start w:val="1"/>
      <w:numFmt w:val="bullet"/>
      <w:lvlText w:val="o"/>
      <w:lvlJc w:val="left"/>
      <w:pPr>
        <w:ind w:left="1440" w:hanging="360"/>
      </w:pPr>
      <w:rPr>
        <w:rFonts w:ascii="Courier New" w:hAnsi="Courier New"/>
      </w:rPr>
    </w:lvl>
    <w:lvl w:ilvl="2" w:tplc="06F06F6A">
      <w:start w:val="1"/>
      <w:numFmt w:val="bullet"/>
      <w:lvlText w:val=""/>
      <w:lvlJc w:val="left"/>
      <w:pPr>
        <w:tabs>
          <w:tab w:val="num" w:pos="2160"/>
        </w:tabs>
        <w:ind w:left="2160" w:hanging="360"/>
      </w:pPr>
      <w:rPr>
        <w:rFonts w:ascii="Wingdings" w:hAnsi="Wingdings"/>
      </w:rPr>
    </w:lvl>
    <w:lvl w:ilvl="3" w:tplc="9DDCAF58">
      <w:start w:val="1"/>
      <w:numFmt w:val="bullet"/>
      <w:lvlText w:val=""/>
      <w:lvlJc w:val="left"/>
      <w:pPr>
        <w:tabs>
          <w:tab w:val="num" w:pos="2880"/>
        </w:tabs>
        <w:ind w:left="2880" w:hanging="360"/>
      </w:pPr>
      <w:rPr>
        <w:rFonts w:ascii="Symbol" w:hAnsi="Symbol"/>
      </w:rPr>
    </w:lvl>
    <w:lvl w:ilvl="4" w:tplc="538A336C">
      <w:start w:val="1"/>
      <w:numFmt w:val="bullet"/>
      <w:lvlText w:val="o"/>
      <w:lvlJc w:val="left"/>
      <w:pPr>
        <w:tabs>
          <w:tab w:val="num" w:pos="3600"/>
        </w:tabs>
        <w:ind w:left="3600" w:hanging="360"/>
      </w:pPr>
      <w:rPr>
        <w:rFonts w:ascii="Courier New" w:hAnsi="Courier New"/>
      </w:rPr>
    </w:lvl>
    <w:lvl w:ilvl="5" w:tplc="03F88F12">
      <w:start w:val="1"/>
      <w:numFmt w:val="bullet"/>
      <w:lvlText w:val=""/>
      <w:lvlJc w:val="left"/>
      <w:pPr>
        <w:tabs>
          <w:tab w:val="num" w:pos="4320"/>
        </w:tabs>
        <w:ind w:left="4320" w:hanging="360"/>
      </w:pPr>
      <w:rPr>
        <w:rFonts w:ascii="Wingdings" w:hAnsi="Wingdings"/>
      </w:rPr>
    </w:lvl>
    <w:lvl w:ilvl="6" w:tplc="40824D8C">
      <w:start w:val="1"/>
      <w:numFmt w:val="bullet"/>
      <w:lvlText w:val=""/>
      <w:lvlJc w:val="left"/>
      <w:pPr>
        <w:tabs>
          <w:tab w:val="num" w:pos="5040"/>
        </w:tabs>
        <w:ind w:left="5040" w:hanging="360"/>
      </w:pPr>
      <w:rPr>
        <w:rFonts w:ascii="Symbol" w:hAnsi="Symbol"/>
      </w:rPr>
    </w:lvl>
    <w:lvl w:ilvl="7" w:tplc="4AC4CBC6">
      <w:start w:val="1"/>
      <w:numFmt w:val="bullet"/>
      <w:lvlText w:val="o"/>
      <w:lvlJc w:val="left"/>
      <w:pPr>
        <w:tabs>
          <w:tab w:val="num" w:pos="5760"/>
        </w:tabs>
        <w:ind w:left="5760" w:hanging="360"/>
      </w:pPr>
      <w:rPr>
        <w:rFonts w:ascii="Courier New" w:hAnsi="Courier New"/>
      </w:rPr>
    </w:lvl>
    <w:lvl w:ilvl="8" w:tplc="019055D2">
      <w:start w:val="1"/>
      <w:numFmt w:val="bullet"/>
      <w:lvlText w:val=""/>
      <w:lvlJc w:val="left"/>
      <w:pPr>
        <w:tabs>
          <w:tab w:val="num" w:pos="6480"/>
        </w:tabs>
        <w:ind w:left="6480" w:hanging="360"/>
      </w:pPr>
      <w:rPr>
        <w:rFonts w:ascii="Wingdings" w:hAnsi="Wingdings"/>
      </w:rPr>
    </w:lvl>
  </w:abstractNum>
  <w:abstractNum w:abstractNumId="316" w15:restartNumberingAfterBreak="0">
    <w:nsid w:val="722305FE"/>
    <w:multiLevelType w:val="hybridMultilevel"/>
    <w:tmpl w:val="722305FE"/>
    <w:lvl w:ilvl="0" w:tplc="560689D4">
      <w:start w:val="1"/>
      <w:numFmt w:val="bullet"/>
      <w:lvlText w:val=""/>
      <w:lvlJc w:val="left"/>
      <w:pPr>
        <w:ind w:left="720" w:hanging="360"/>
      </w:pPr>
      <w:rPr>
        <w:rFonts w:ascii="Symbol" w:hAnsi="Symbol"/>
      </w:rPr>
    </w:lvl>
    <w:lvl w:ilvl="1" w:tplc="06C2C29E">
      <w:start w:val="1"/>
      <w:numFmt w:val="bullet"/>
      <w:lvlText w:val="o"/>
      <w:lvlJc w:val="left"/>
      <w:pPr>
        <w:tabs>
          <w:tab w:val="num" w:pos="1440"/>
        </w:tabs>
        <w:ind w:left="1440" w:hanging="360"/>
      </w:pPr>
      <w:rPr>
        <w:rFonts w:ascii="Courier New" w:hAnsi="Courier New"/>
      </w:rPr>
    </w:lvl>
    <w:lvl w:ilvl="2" w:tplc="A694FD28">
      <w:start w:val="1"/>
      <w:numFmt w:val="bullet"/>
      <w:lvlText w:val=""/>
      <w:lvlJc w:val="left"/>
      <w:pPr>
        <w:tabs>
          <w:tab w:val="num" w:pos="2160"/>
        </w:tabs>
        <w:ind w:left="2160" w:hanging="360"/>
      </w:pPr>
      <w:rPr>
        <w:rFonts w:ascii="Wingdings" w:hAnsi="Wingdings"/>
      </w:rPr>
    </w:lvl>
    <w:lvl w:ilvl="3" w:tplc="7A603684">
      <w:start w:val="1"/>
      <w:numFmt w:val="bullet"/>
      <w:lvlText w:val=""/>
      <w:lvlJc w:val="left"/>
      <w:pPr>
        <w:tabs>
          <w:tab w:val="num" w:pos="2880"/>
        </w:tabs>
        <w:ind w:left="2880" w:hanging="360"/>
      </w:pPr>
      <w:rPr>
        <w:rFonts w:ascii="Symbol" w:hAnsi="Symbol"/>
      </w:rPr>
    </w:lvl>
    <w:lvl w:ilvl="4" w:tplc="CBE0F0FA">
      <w:start w:val="1"/>
      <w:numFmt w:val="bullet"/>
      <w:lvlText w:val="o"/>
      <w:lvlJc w:val="left"/>
      <w:pPr>
        <w:tabs>
          <w:tab w:val="num" w:pos="3600"/>
        </w:tabs>
        <w:ind w:left="3600" w:hanging="360"/>
      </w:pPr>
      <w:rPr>
        <w:rFonts w:ascii="Courier New" w:hAnsi="Courier New"/>
      </w:rPr>
    </w:lvl>
    <w:lvl w:ilvl="5" w:tplc="51E4F17A">
      <w:start w:val="1"/>
      <w:numFmt w:val="bullet"/>
      <w:lvlText w:val=""/>
      <w:lvlJc w:val="left"/>
      <w:pPr>
        <w:tabs>
          <w:tab w:val="num" w:pos="4320"/>
        </w:tabs>
        <w:ind w:left="4320" w:hanging="360"/>
      </w:pPr>
      <w:rPr>
        <w:rFonts w:ascii="Wingdings" w:hAnsi="Wingdings"/>
      </w:rPr>
    </w:lvl>
    <w:lvl w:ilvl="6" w:tplc="5EC291D2">
      <w:start w:val="1"/>
      <w:numFmt w:val="bullet"/>
      <w:lvlText w:val=""/>
      <w:lvlJc w:val="left"/>
      <w:pPr>
        <w:tabs>
          <w:tab w:val="num" w:pos="5040"/>
        </w:tabs>
        <w:ind w:left="5040" w:hanging="360"/>
      </w:pPr>
      <w:rPr>
        <w:rFonts w:ascii="Symbol" w:hAnsi="Symbol"/>
      </w:rPr>
    </w:lvl>
    <w:lvl w:ilvl="7" w:tplc="BB8EB83A">
      <w:start w:val="1"/>
      <w:numFmt w:val="bullet"/>
      <w:lvlText w:val="o"/>
      <w:lvlJc w:val="left"/>
      <w:pPr>
        <w:tabs>
          <w:tab w:val="num" w:pos="5760"/>
        </w:tabs>
        <w:ind w:left="5760" w:hanging="360"/>
      </w:pPr>
      <w:rPr>
        <w:rFonts w:ascii="Courier New" w:hAnsi="Courier New"/>
      </w:rPr>
    </w:lvl>
    <w:lvl w:ilvl="8" w:tplc="F9A283A2">
      <w:start w:val="1"/>
      <w:numFmt w:val="bullet"/>
      <w:lvlText w:val=""/>
      <w:lvlJc w:val="left"/>
      <w:pPr>
        <w:tabs>
          <w:tab w:val="num" w:pos="6480"/>
        </w:tabs>
        <w:ind w:left="6480" w:hanging="360"/>
      </w:pPr>
      <w:rPr>
        <w:rFonts w:ascii="Wingdings" w:hAnsi="Wingdings"/>
      </w:rPr>
    </w:lvl>
  </w:abstractNum>
  <w:abstractNum w:abstractNumId="317" w15:restartNumberingAfterBreak="0">
    <w:nsid w:val="722305FF"/>
    <w:multiLevelType w:val="hybridMultilevel"/>
    <w:tmpl w:val="722305FF"/>
    <w:lvl w:ilvl="0" w:tplc="137CEC08">
      <w:start w:val="1"/>
      <w:numFmt w:val="bullet"/>
      <w:lvlText w:val=""/>
      <w:lvlJc w:val="left"/>
      <w:pPr>
        <w:ind w:left="720" w:hanging="360"/>
      </w:pPr>
      <w:rPr>
        <w:rFonts w:ascii="Symbol" w:hAnsi="Symbol"/>
      </w:rPr>
    </w:lvl>
    <w:lvl w:ilvl="1" w:tplc="8CBEEB64">
      <w:start w:val="1"/>
      <w:numFmt w:val="bullet"/>
      <w:lvlText w:val="o"/>
      <w:lvlJc w:val="left"/>
      <w:pPr>
        <w:tabs>
          <w:tab w:val="num" w:pos="1440"/>
        </w:tabs>
        <w:ind w:left="1440" w:hanging="360"/>
      </w:pPr>
      <w:rPr>
        <w:rFonts w:ascii="Courier New" w:hAnsi="Courier New"/>
      </w:rPr>
    </w:lvl>
    <w:lvl w:ilvl="2" w:tplc="1272FB94">
      <w:start w:val="1"/>
      <w:numFmt w:val="bullet"/>
      <w:lvlText w:val=""/>
      <w:lvlJc w:val="left"/>
      <w:pPr>
        <w:tabs>
          <w:tab w:val="num" w:pos="2160"/>
        </w:tabs>
        <w:ind w:left="2160" w:hanging="360"/>
      </w:pPr>
      <w:rPr>
        <w:rFonts w:ascii="Wingdings" w:hAnsi="Wingdings"/>
      </w:rPr>
    </w:lvl>
    <w:lvl w:ilvl="3" w:tplc="1C9CE672">
      <w:start w:val="1"/>
      <w:numFmt w:val="bullet"/>
      <w:lvlText w:val=""/>
      <w:lvlJc w:val="left"/>
      <w:pPr>
        <w:tabs>
          <w:tab w:val="num" w:pos="2880"/>
        </w:tabs>
        <w:ind w:left="2880" w:hanging="360"/>
      </w:pPr>
      <w:rPr>
        <w:rFonts w:ascii="Symbol" w:hAnsi="Symbol"/>
      </w:rPr>
    </w:lvl>
    <w:lvl w:ilvl="4" w:tplc="45E0145C">
      <w:start w:val="1"/>
      <w:numFmt w:val="bullet"/>
      <w:lvlText w:val="o"/>
      <w:lvlJc w:val="left"/>
      <w:pPr>
        <w:tabs>
          <w:tab w:val="num" w:pos="3600"/>
        </w:tabs>
        <w:ind w:left="3600" w:hanging="360"/>
      </w:pPr>
      <w:rPr>
        <w:rFonts w:ascii="Courier New" w:hAnsi="Courier New"/>
      </w:rPr>
    </w:lvl>
    <w:lvl w:ilvl="5" w:tplc="83AC0030">
      <w:start w:val="1"/>
      <w:numFmt w:val="bullet"/>
      <w:lvlText w:val=""/>
      <w:lvlJc w:val="left"/>
      <w:pPr>
        <w:tabs>
          <w:tab w:val="num" w:pos="4320"/>
        </w:tabs>
        <w:ind w:left="4320" w:hanging="360"/>
      </w:pPr>
      <w:rPr>
        <w:rFonts w:ascii="Wingdings" w:hAnsi="Wingdings"/>
      </w:rPr>
    </w:lvl>
    <w:lvl w:ilvl="6" w:tplc="99305772">
      <w:start w:val="1"/>
      <w:numFmt w:val="bullet"/>
      <w:lvlText w:val=""/>
      <w:lvlJc w:val="left"/>
      <w:pPr>
        <w:tabs>
          <w:tab w:val="num" w:pos="5040"/>
        </w:tabs>
        <w:ind w:left="5040" w:hanging="360"/>
      </w:pPr>
      <w:rPr>
        <w:rFonts w:ascii="Symbol" w:hAnsi="Symbol"/>
      </w:rPr>
    </w:lvl>
    <w:lvl w:ilvl="7" w:tplc="45D8BFAA">
      <w:start w:val="1"/>
      <w:numFmt w:val="bullet"/>
      <w:lvlText w:val="o"/>
      <w:lvlJc w:val="left"/>
      <w:pPr>
        <w:tabs>
          <w:tab w:val="num" w:pos="5760"/>
        </w:tabs>
        <w:ind w:left="5760" w:hanging="360"/>
      </w:pPr>
      <w:rPr>
        <w:rFonts w:ascii="Courier New" w:hAnsi="Courier New"/>
      </w:rPr>
    </w:lvl>
    <w:lvl w:ilvl="8" w:tplc="50B0EAE4">
      <w:start w:val="1"/>
      <w:numFmt w:val="bullet"/>
      <w:lvlText w:val=""/>
      <w:lvlJc w:val="left"/>
      <w:pPr>
        <w:tabs>
          <w:tab w:val="num" w:pos="6480"/>
        </w:tabs>
        <w:ind w:left="6480" w:hanging="360"/>
      </w:pPr>
      <w:rPr>
        <w:rFonts w:ascii="Wingdings" w:hAnsi="Wingdings"/>
      </w:rPr>
    </w:lvl>
  </w:abstractNum>
  <w:abstractNum w:abstractNumId="318" w15:restartNumberingAfterBreak="0">
    <w:nsid w:val="72230600"/>
    <w:multiLevelType w:val="hybridMultilevel"/>
    <w:tmpl w:val="72230600"/>
    <w:lvl w:ilvl="0" w:tplc="3B105344">
      <w:start w:val="1"/>
      <w:numFmt w:val="bullet"/>
      <w:lvlText w:val=""/>
      <w:lvlJc w:val="left"/>
      <w:pPr>
        <w:ind w:left="720" w:hanging="360"/>
      </w:pPr>
      <w:rPr>
        <w:rFonts w:ascii="Symbol" w:hAnsi="Symbol"/>
      </w:rPr>
    </w:lvl>
    <w:lvl w:ilvl="1" w:tplc="D38A0FAE">
      <w:start w:val="1"/>
      <w:numFmt w:val="bullet"/>
      <w:lvlText w:val="o"/>
      <w:lvlJc w:val="left"/>
      <w:pPr>
        <w:ind w:left="1440" w:hanging="360"/>
      </w:pPr>
      <w:rPr>
        <w:rFonts w:ascii="Courier New" w:hAnsi="Courier New"/>
      </w:rPr>
    </w:lvl>
    <w:lvl w:ilvl="2" w:tplc="EE1C56A4">
      <w:start w:val="1"/>
      <w:numFmt w:val="bullet"/>
      <w:lvlText w:val=""/>
      <w:lvlJc w:val="left"/>
      <w:pPr>
        <w:tabs>
          <w:tab w:val="num" w:pos="2160"/>
        </w:tabs>
        <w:ind w:left="2160" w:hanging="360"/>
      </w:pPr>
      <w:rPr>
        <w:rFonts w:ascii="Wingdings" w:hAnsi="Wingdings"/>
      </w:rPr>
    </w:lvl>
    <w:lvl w:ilvl="3" w:tplc="273481DE">
      <w:start w:val="1"/>
      <w:numFmt w:val="bullet"/>
      <w:lvlText w:val=""/>
      <w:lvlJc w:val="left"/>
      <w:pPr>
        <w:tabs>
          <w:tab w:val="num" w:pos="2880"/>
        </w:tabs>
        <w:ind w:left="2880" w:hanging="360"/>
      </w:pPr>
      <w:rPr>
        <w:rFonts w:ascii="Symbol" w:hAnsi="Symbol"/>
      </w:rPr>
    </w:lvl>
    <w:lvl w:ilvl="4" w:tplc="945888C0">
      <w:start w:val="1"/>
      <w:numFmt w:val="bullet"/>
      <w:lvlText w:val="o"/>
      <w:lvlJc w:val="left"/>
      <w:pPr>
        <w:tabs>
          <w:tab w:val="num" w:pos="3600"/>
        </w:tabs>
        <w:ind w:left="3600" w:hanging="360"/>
      </w:pPr>
      <w:rPr>
        <w:rFonts w:ascii="Courier New" w:hAnsi="Courier New"/>
      </w:rPr>
    </w:lvl>
    <w:lvl w:ilvl="5" w:tplc="A9E8D82E">
      <w:start w:val="1"/>
      <w:numFmt w:val="bullet"/>
      <w:lvlText w:val=""/>
      <w:lvlJc w:val="left"/>
      <w:pPr>
        <w:tabs>
          <w:tab w:val="num" w:pos="4320"/>
        </w:tabs>
        <w:ind w:left="4320" w:hanging="360"/>
      </w:pPr>
      <w:rPr>
        <w:rFonts w:ascii="Wingdings" w:hAnsi="Wingdings"/>
      </w:rPr>
    </w:lvl>
    <w:lvl w:ilvl="6" w:tplc="D780E766">
      <w:start w:val="1"/>
      <w:numFmt w:val="bullet"/>
      <w:lvlText w:val=""/>
      <w:lvlJc w:val="left"/>
      <w:pPr>
        <w:tabs>
          <w:tab w:val="num" w:pos="5040"/>
        </w:tabs>
        <w:ind w:left="5040" w:hanging="360"/>
      </w:pPr>
      <w:rPr>
        <w:rFonts w:ascii="Symbol" w:hAnsi="Symbol"/>
      </w:rPr>
    </w:lvl>
    <w:lvl w:ilvl="7" w:tplc="BCCC81EE">
      <w:start w:val="1"/>
      <w:numFmt w:val="bullet"/>
      <w:lvlText w:val="o"/>
      <w:lvlJc w:val="left"/>
      <w:pPr>
        <w:tabs>
          <w:tab w:val="num" w:pos="5760"/>
        </w:tabs>
        <w:ind w:left="5760" w:hanging="360"/>
      </w:pPr>
      <w:rPr>
        <w:rFonts w:ascii="Courier New" w:hAnsi="Courier New"/>
      </w:rPr>
    </w:lvl>
    <w:lvl w:ilvl="8" w:tplc="228E0E5E">
      <w:start w:val="1"/>
      <w:numFmt w:val="bullet"/>
      <w:lvlText w:val=""/>
      <w:lvlJc w:val="left"/>
      <w:pPr>
        <w:tabs>
          <w:tab w:val="num" w:pos="6480"/>
        </w:tabs>
        <w:ind w:left="6480" w:hanging="360"/>
      </w:pPr>
      <w:rPr>
        <w:rFonts w:ascii="Wingdings" w:hAnsi="Wingdings"/>
      </w:rPr>
    </w:lvl>
  </w:abstractNum>
  <w:abstractNum w:abstractNumId="319" w15:restartNumberingAfterBreak="0">
    <w:nsid w:val="72230601"/>
    <w:multiLevelType w:val="hybridMultilevel"/>
    <w:tmpl w:val="72230601"/>
    <w:lvl w:ilvl="0" w:tplc="B5006956">
      <w:start w:val="1"/>
      <w:numFmt w:val="bullet"/>
      <w:lvlText w:val=""/>
      <w:lvlJc w:val="left"/>
      <w:pPr>
        <w:ind w:left="720" w:hanging="360"/>
      </w:pPr>
      <w:rPr>
        <w:rFonts w:ascii="Symbol" w:hAnsi="Symbol"/>
      </w:rPr>
    </w:lvl>
    <w:lvl w:ilvl="1" w:tplc="7BE0D474">
      <w:start w:val="1"/>
      <w:numFmt w:val="bullet"/>
      <w:lvlText w:val="o"/>
      <w:lvlJc w:val="left"/>
      <w:pPr>
        <w:tabs>
          <w:tab w:val="num" w:pos="1440"/>
        </w:tabs>
        <w:ind w:left="1440" w:hanging="360"/>
      </w:pPr>
      <w:rPr>
        <w:rFonts w:ascii="Courier New" w:hAnsi="Courier New"/>
      </w:rPr>
    </w:lvl>
    <w:lvl w:ilvl="2" w:tplc="1D7A50EA">
      <w:start w:val="1"/>
      <w:numFmt w:val="bullet"/>
      <w:lvlText w:val=""/>
      <w:lvlJc w:val="left"/>
      <w:pPr>
        <w:tabs>
          <w:tab w:val="num" w:pos="2160"/>
        </w:tabs>
        <w:ind w:left="2160" w:hanging="360"/>
      </w:pPr>
      <w:rPr>
        <w:rFonts w:ascii="Wingdings" w:hAnsi="Wingdings"/>
      </w:rPr>
    </w:lvl>
    <w:lvl w:ilvl="3" w:tplc="775476DC">
      <w:start w:val="1"/>
      <w:numFmt w:val="bullet"/>
      <w:lvlText w:val=""/>
      <w:lvlJc w:val="left"/>
      <w:pPr>
        <w:tabs>
          <w:tab w:val="num" w:pos="2880"/>
        </w:tabs>
        <w:ind w:left="2880" w:hanging="360"/>
      </w:pPr>
      <w:rPr>
        <w:rFonts w:ascii="Symbol" w:hAnsi="Symbol"/>
      </w:rPr>
    </w:lvl>
    <w:lvl w:ilvl="4" w:tplc="44141B94">
      <w:start w:val="1"/>
      <w:numFmt w:val="bullet"/>
      <w:lvlText w:val="o"/>
      <w:lvlJc w:val="left"/>
      <w:pPr>
        <w:tabs>
          <w:tab w:val="num" w:pos="3600"/>
        </w:tabs>
        <w:ind w:left="3600" w:hanging="360"/>
      </w:pPr>
      <w:rPr>
        <w:rFonts w:ascii="Courier New" w:hAnsi="Courier New"/>
      </w:rPr>
    </w:lvl>
    <w:lvl w:ilvl="5" w:tplc="73749406">
      <w:start w:val="1"/>
      <w:numFmt w:val="bullet"/>
      <w:lvlText w:val=""/>
      <w:lvlJc w:val="left"/>
      <w:pPr>
        <w:tabs>
          <w:tab w:val="num" w:pos="4320"/>
        </w:tabs>
        <w:ind w:left="4320" w:hanging="360"/>
      </w:pPr>
      <w:rPr>
        <w:rFonts w:ascii="Wingdings" w:hAnsi="Wingdings"/>
      </w:rPr>
    </w:lvl>
    <w:lvl w:ilvl="6" w:tplc="199A9880">
      <w:start w:val="1"/>
      <w:numFmt w:val="bullet"/>
      <w:lvlText w:val=""/>
      <w:lvlJc w:val="left"/>
      <w:pPr>
        <w:tabs>
          <w:tab w:val="num" w:pos="5040"/>
        </w:tabs>
        <w:ind w:left="5040" w:hanging="360"/>
      </w:pPr>
      <w:rPr>
        <w:rFonts w:ascii="Symbol" w:hAnsi="Symbol"/>
      </w:rPr>
    </w:lvl>
    <w:lvl w:ilvl="7" w:tplc="14DE06B2">
      <w:start w:val="1"/>
      <w:numFmt w:val="bullet"/>
      <w:lvlText w:val="o"/>
      <w:lvlJc w:val="left"/>
      <w:pPr>
        <w:tabs>
          <w:tab w:val="num" w:pos="5760"/>
        </w:tabs>
        <w:ind w:left="5760" w:hanging="360"/>
      </w:pPr>
      <w:rPr>
        <w:rFonts w:ascii="Courier New" w:hAnsi="Courier New"/>
      </w:rPr>
    </w:lvl>
    <w:lvl w:ilvl="8" w:tplc="42702356">
      <w:start w:val="1"/>
      <w:numFmt w:val="bullet"/>
      <w:lvlText w:val=""/>
      <w:lvlJc w:val="left"/>
      <w:pPr>
        <w:tabs>
          <w:tab w:val="num" w:pos="6480"/>
        </w:tabs>
        <w:ind w:left="6480" w:hanging="360"/>
      </w:pPr>
      <w:rPr>
        <w:rFonts w:ascii="Wingdings" w:hAnsi="Wingdings"/>
      </w:rPr>
    </w:lvl>
  </w:abstractNum>
  <w:abstractNum w:abstractNumId="320" w15:restartNumberingAfterBreak="0">
    <w:nsid w:val="72230602"/>
    <w:multiLevelType w:val="hybridMultilevel"/>
    <w:tmpl w:val="72230602"/>
    <w:lvl w:ilvl="0" w:tplc="4022C122">
      <w:start w:val="1"/>
      <w:numFmt w:val="bullet"/>
      <w:lvlText w:val=""/>
      <w:lvlJc w:val="left"/>
      <w:pPr>
        <w:ind w:left="720" w:hanging="360"/>
      </w:pPr>
      <w:rPr>
        <w:rFonts w:ascii="Symbol" w:hAnsi="Symbol"/>
      </w:rPr>
    </w:lvl>
    <w:lvl w:ilvl="1" w:tplc="D9726240">
      <w:start w:val="1"/>
      <w:numFmt w:val="bullet"/>
      <w:lvlText w:val="o"/>
      <w:lvlJc w:val="left"/>
      <w:pPr>
        <w:tabs>
          <w:tab w:val="num" w:pos="1440"/>
        </w:tabs>
        <w:ind w:left="1440" w:hanging="360"/>
      </w:pPr>
      <w:rPr>
        <w:rFonts w:ascii="Courier New" w:hAnsi="Courier New"/>
      </w:rPr>
    </w:lvl>
    <w:lvl w:ilvl="2" w:tplc="9EAA56A0">
      <w:start w:val="1"/>
      <w:numFmt w:val="bullet"/>
      <w:lvlText w:val=""/>
      <w:lvlJc w:val="left"/>
      <w:pPr>
        <w:tabs>
          <w:tab w:val="num" w:pos="2160"/>
        </w:tabs>
        <w:ind w:left="2160" w:hanging="360"/>
      </w:pPr>
      <w:rPr>
        <w:rFonts w:ascii="Wingdings" w:hAnsi="Wingdings"/>
      </w:rPr>
    </w:lvl>
    <w:lvl w:ilvl="3" w:tplc="9CF280F8">
      <w:start w:val="1"/>
      <w:numFmt w:val="bullet"/>
      <w:lvlText w:val=""/>
      <w:lvlJc w:val="left"/>
      <w:pPr>
        <w:tabs>
          <w:tab w:val="num" w:pos="2880"/>
        </w:tabs>
        <w:ind w:left="2880" w:hanging="360"/>
      </w:pPr>
      <w:rPr>
        <w:rFonts w:ascii="Symbol" w:hAnsi="Symbol"/>
      </w:rPr>
    </w:lvl>
    <w:lvl w:ilvl="4" w:tplc="48E4DCF0">
      <w:start w:val="1"/>
      <w:numFmt w:val="bullet"/>
      <w:lvlText w:val="o"/>
      <w:lvlJc w:val="left"/>
      <w:pPr>
        <w:tabs>
          <w:tab w:val="num" w:pos="3600"/>
        </w:tabs>
        <w:ind w:left="3600" w:hanging="360"/>
      </w:pPr>
      <w:rPr>
        <w:rFonts w:ascii="Courier New" w:hAnsi="Courier New"/>
      </w:rPr>
    </w:lvl>
    <w:lvl w:ilvl="5" w:tplc="989E54B8">
      <w:start w:val="1"/>
      <w:numFmt w:val="bullet"/>
      <w:lvlText w:val=""/>
      <w:lvlJc w:val="left"/>
      <w:pPr>
        <w:tabs>
          <w:tab w:val="num" w:pos="4320"/>
        </w:tabs>
        <w:ind w:left="4320" w:hanging="360"/>
      </w:pPr>
      <w:rPr>
        <w:rFonts w:ascii="Wingdings" w:hAnsi="Wingdings"/>
      </w:rPr>
    </w:lvl>
    <w:lvl w:ilvl="6" w:tplc="8AA44E46">
      <w:start w:val="1"/>
      <w:numFmt w:val="bullet"/>
      <w:lvlText w:val=""/>
      <w:lvlJc w:val="left"/>
      <w:pPr>
        <w:tabs>
          <w:tab w:val="num" w:pos="5040"/>
        </w:tabs>
        <w:ind w:left="5040" w:hanging="360"/>
      </w:pPr>
      <w:rPr>
        <w:rFonts w:ascii="Symbol" w:hAnsi="Symbol"/>
      </w:rPr>
    </w:lvl>
    <w:lvl w:ilvl="7" w:tplc="5CC2E8B8">
      <w:start w:val="1"/>
      <w:numFmt w:val="bullet"/>
      <w:lvlText w:val="o"/>
      <w:lvlJc w:val="left"/>
      <w:pPr>
        <w:tabs>
          <w:tab w:val="num" w:pos="5760"/>
        </w:tabs>
        <w:ind w:left="5760" w:hanging="360"/>
      </w:pPr>
      <w:rPr>
        <w:rFonts w:ascii="Courier New" w:hAnsi="Courier New"/>
      </w:rPr>
    </w:lvl>
    <w:lvl w:ilvl="8" w:tplc="607AC0B0">
      <w:start w:val="1"/>
      <w:numFmt w:val="bullet"/>
      <w:lvlText w:val=""/>
      <w:lvlJc w:val="left"/>
      <w:pPr>
        <w:tabs>
          <w:tab w:val="num" w:pos="6480"/>
        </w:tabs>
        <w:ind w:left="6480" w:hanging="360"/>
      </w:pPr>
      <w:rPr>
        <w:rFonts w:ascii="Wingdings" w:hAnsi="Wingdings"/>
      </w:rPr>
    </w:lvl>
  </w:abstractNum>
  <w:abstractNum w:abstractNumId="321" w15:restartNumberingAfterBreak="0">
    <w:nsid w:val="72230603"/>
    <w:multiLevelType w:val="hybridMultilevel"/>
    <w:tmpl w:val="72230603"/>
    <w:lvl w:ilvl="0" w:tplc="EFD8B702">
      <w:start w:val="1"/>
      <w:numFmt w:val="bullet"/>
      <w:lvlText w:val=""/>
      <w:lvlJc w:val="left"/>
      <w:pPr>
        <w:ind w:left="720" w:hanging="360"/>
      </w:pPr>
      <w:rPr>
        <w:rFonts w:ascii="Symbol" w:hAnsi="Symbol"/>
      </w:rPr>
    </w:lvl>
    <w:lvl w:ilvl="1" w:tplc="8162FAF4">
      <w:start w:val="1"/>
      <w:numFmt w:val="bullet"/>
      <w:lvlText w:val="o"/>
      <w:lvlJc w:val="left"/>
      <w:pPr>
        <w:tabs>
          <w:tab w:val="num" w:pos="1440"/>
        </w:tabs>
        <w:ind w:left="1440" w:hanging="360"/>
      </w:pPr>
      <w:rPr>
        <w:rFonts w:ascii="Courier New" w:hAnsi="Courier New"/>
      </w:rPr>
    </w:lvl>
    <w:lvl w:ilvl="2" w:tplc="23C6BB16">
      <w:start w:val="1"/>
      <w:numFmt w:val="bullet"/>
      <w:lvlText w:val=""/>
      <w:lvlJc w:val="left"/>
      <w:pPr>
        <w:tabs>
          <w:tab w:val="num" w:pos="2160"/>
        </w:tabs>
        <w:ind w:left="2160" w:hanging="360"/>
      </w:pPr>
      <w:rPr>
        <w:rFonts w:ascii="Wingdings" w:hAnsi="Wingdings"/>
      </w:rPr>
    </w:lvl>
    <w:lvl w:ilvl="3" w:tplc="D39E0018">
      <w:start w:val="1"/>
      <w:numFmt w:val="bullet"/>
      <w:lvlText w:val=""/>
      <w:lvlJc w:val="left"/>
      <w:pPr>
        <w:tabs>
          <w:tab w:val="num" w:pos="2880"/>
        </w:tabs>
        <w:ind w:left="2880" w:hanging="360"/>
      </w:pPr>
      <w:rPr>
        <w:rFonts w:ascii="Symbol" w:hAnsi="Symbol"/>
      </w:rPr>
    </w:lvl>
    <w:lvl w:ilvl="4" w:tplc="0D62ED40">
      <w:start w:val="1"/>
      <w:numFmt w:val="bullet"/>
      <w:lvlText w:val="o"/>
      <w:lvlJc w:val="left"/>
      <w:pPr>
        <w:tabs>
          <w:tab w:val="num" w:pos="3600"/>
        </w:tabs>
        <w:ind w:left="3600" w:hanging="360"/>
      </w:pPr>
      <w:rPr>
        <w:rFonts w:ascii="Courier New" w:hAnsi="Courier New"/>
      </w:rPr>
    </w:lvl>
    <w:lvl w:ilvl="5" w:tplc="42702D8C">
      <w:start w:val="1"/>
      <w:numFmt w:val="bullet"/>
      <w:lvlText w:val=""/>
      <w:lvlJc w:val="left"/>
      <w:pPr>
        <w:tabs>
          <w:tab w:val="num" w:pos="4320"/>
        </w:tabs>
        <w:ind w:left="4320" w:hanging="360"/>
      </w:pPr>
      <w:rPr>
        <w:rFonts w:ascii="Wingdings" w:hAnsi="Wingdings"/>
      </w:rPr>
    </w:lvl>
    <w:lvl w:ilvl="6" w:tplc="D3D8B2D0">
      <w:start w:val="1"/>
      <w:numFmt w:val="bullet"/>
      <w:lvlText w:val=""/>
      <w:lvlJc w:val="left"/>
      <w:pPr>
        <w:tabs>
          <w:tab w:val="num" w:pos="5040"/>
        </w:tabs>
        <w:ind w:left="5040" w:hanging="360"/>
      </w:pPr>
      <w:rPr>
        <w:rFonts w:ascii="Symbol" w:hAnsi="Symbol"/>
      </w:rPr>
    </w:lvl>
    <w:lvl w:ilvl="7" w:tplc="5D92257A">
      <w:start w:val="1"/>
      <w:numFmt w:val="bullet"/>
      <w:lvlText w:val="o"/>
      <w:lvlJc w:val="left"/>
      <w:pPr>
        <w:tabs>
          <w:tab w:val="num" w:pos="5760"/>
        </w:tabs>
        <w:ind w:left="5760" w:hanging="360"/>
      </w:pPr>
      <w:rPr>
        <w:rFonts w:ascii="Courier New" w:hAnsi="Courier New"/>
      </w:rPr>
    </w:lvl>
    <w:lvl w:ilvl="8" w:tplc="09C06BF8">
      <w:start w:val="1"/>
      <w:numFmt w:val="bullet"/>
      <w:lvlText w:val=""/>
      <w:lvlJc w:val="left"/>
      <w:pPr>
        <w:tabs>
          <w:tab w:val="num" w:pos="6480"/>
        </w:tabs>
        <w:ind w:left="6480" w:hanging="360"/>
      </w:pPr>
      <w:rPr>
        <w:rFonts w:ascii="Wingdings" w:hAnsi="Wingdings"/>
      </w:rPr>
    </w:lvl>
  </w:abstractNum>
  <w:abstractNum w:abstractNumId="322" w15:restartNumberingAfterBreak="0">
    <w:nsid w:val="72230604"/>
    <w:multiLevelType w:val="hybridMultilevel"/>
    <w:tmpl w:val="72230604"/>
    <w:lvl w:ilvl="0" w:tplc="9BB287C2">
      <w:start w:val="1"/>
      <w:numFmt w:val="bullet"/>
      <w:lvlText w:val=""/>
      <w:lvlJc w:val="left"/>
      <w:pPr>
        <w:ind w:left="720" w:hanging="360"/>
      </w:pPr>
      <w:rPr>
        <w:rFonts w:ascii="Symbol" w:hAnsi="Symbol"/>
      </w:rPr>
    </w:lvl>
    <w:lvl w:ilvl="1" w:tplc="C0DC4440">
      <w:start w:val="1"/>
      <w:numFmt w:val="bullet"/>
      <w:lvlText w:val="o"/>
      <w:lvlJc w:val="left"/>
      <w:pPr>
        <w:ind w:left="1440" w:hanging="360"/>
      </w:pPr>
      <w:rPr>
        <w:rFonts w:ascii="Courier New" w:hAnsi="Courier New"/>
      </w:rPr>
    </w:lvl>
    <w:lvl w:ilvl="2" w:tplc="D3DC572A">
      <w:start w:val="1"/>
      <w:numFmt w:val="bullet"/>
      <w:lvlText w:val=""/>
      <w:lvlJc w:val="left"/>
      <w:pPr>
        <w:tabs>
          <w:tab w:val="num" w:pos="2160"/>
        </w:tabs>
        <w:ind w:left="2160" w:hanging="360"/>
      </w:pPr>
      <w:rPr>
        <w:rFonts w:ascii="Wingdings" w:hAnsi="Wingdings"/>
      </w:rPr>
    </w:lvl>
    <w:lvl w:ilvl="3" w:tplc="5B8C9162">
      <w:start w:val="1"/>
      <w:numFmt w:val="bullet"/>
      <w:lvlText w:val=""/>
      <w:lvlJc w:val="left"/>
      <w:pPr>
        <w:tabs>
          <w:tab w:val="num" w:pos="2880"/>
        </w:tabs>
        <w:ind w:left="2880" w:hanging="360"/>
      </w:pPr>
      <w:rPr>
        <w:rFonts w:ascii="Symbol" w:hAnsi="Symbol"/>
      </w:rPr>
    </w:lvl>
    <w:lvl w:ilvl="4" w:tplc="E3B676F6">
      <w:start w:val="1"/>
      <w:numFmt w:val="bullet"/>
      <w:lvlText w:val="o"/>
      <w:lvlJc w:val="left"/>
      <w:pPr>
        <w:tabs>
          <w:tab w:val="num" w:pos="3600"/>
        </w:tabs>
        <w:ind w:left="3600" w:hanging="360"/>
      </w:pPr>
      <w:rPr>
        <w:rFonts w:ascii="Courier New" w:hAnsi="Courier New"/>
      </w:rPr>
    </w:lvl>
    <w:lvl w:ilvl="5" w:tplc="258AA0A0">
      <w:start w:val="1"/>
      <w:numFmt w:val="bullet"/>
      <w:lvlText w:val=""/>
      <w:lvlJc w:val="left"/>
      <w:pPr>
        <w:tabs>
          <w:tab w:val="num" w:pos="4320"/>
        </w:tabs>
        <w:ind w:left="4320" w:hanging="360"/>
      </w:pPr>
      <w:rPr>
        <w:rFonts w:ascii="Wingdings" w:hAnsi="Wingdings"/>
      </w:rPr>
    </w:lvl>
    <w:lvl w:ilvl="6" w:tplc="82B6EF8C">
      <w:start w:val="1"/>
      <w:numFmt w:val="bullet"/>
      <w:lvlText w:val=""/>
      <w:lvlJc w:val="left"/>
      <w:pPr>
        <w:tabs>
          <w:tab w:val="num" w:pos="5040"/>
        </w:tabs>
        <w:ind w:left="5040" w:hanging="360"/>
      </w:pPr>
      <w:rPr>
        <w:rFonts w:ascii="Symbol" w:hAnsi="Symbol"/>
      </w:rPr>
    </w:lvl>
    <w:lvl w:ilvl="7" w:tplc="5F5CD53A">
      <w:start w:val="1"/>
      <w:numFmt w:val="bullet"/>
      <w:lvlText w:val="o"/>
      <w:lvlJc w:val="left"/>
      <w:pPr>
        <w:tabs>
          <w:tab w:val="num" w:pos="5760"/>
        </w:tabs>
        <w:ind w:left="5760" w:hanging="360"/>
      </w:pPr>
      <w:rPr>
        <w:rFonts w:ascii="Courier New" w:hAnsi="Courier New"/>
      </w:rPr>
    </w:lvl>
    <w:lvl w:ilvl="8" w:tplc="AE768850">
      <w:start w:val="1"/>
      <w:numFmt w:val="bullet"/>
      <w:lvlText w:val=""/>
      <w:lvlJc w:val="left"/>
      <w:pPr>
        <w:tabs>
          <w:tab w:val="num" w:pos="6480"/>
        </w:tabs>
        <w:ind w:left="6480" w:hanging="360"/>
      </w:pPr>
      <w:rPr>
        <w:rFonts w:ascii="Wingdings" w:hAnsi="Wingdings"/>
      </w:rPr>
    </w:lvl>
  </w:abstractNum>
  <w:abstractNum w:abstractNumId="323" w15:restartNumberingAfterBreak="0">
    <w:nsid w:val="72230605"/>
    <w:multiLevelType w:val="hybridMultilevel"/>
    <w:tmpl w:val="72230605"/>
    <w:lvl w:ilvl="0" w:tplc="FD843AD0">
      <w:start w:val="1"/>
      <w:numFmt w:val="bullet"/>
      <w:lvlText w:val=""/>
      <w:lvlJc w:val="left"/>
      <w:pPr>
        <w:ind w:left="720" w:hanging="360"/>
      </w:pPr>
      <w:rPr>
        <w:rFonts w:ascii="Symbol" w:hAnsi="Symbol"/>
      </w:rPr>
    </w:lvl>
    <w:lvl w:ilvl="1" w:tplc="B83AFC8E">
      <w:start w:val="1"/>
      <w:numFmt w:val="bullet"/>
      <w:lvlText w:val="o"/>
      <w:lvlJc w:val="left"/>
      <w:pPr>
        <w:tabs>
          <w:tab w:val="num" w:pos="1440"/>
        </w:tabs>
        <w:ind w:left="1440" w:hanging="360"/>
      </w:pPr>
      <w:rPr>
        <w:rFonts w:ascii="Courier New" w:hAnsi="Courier New"/>
      </w:rPr>
    </w:lvl>
    <w:lvl w:ilvl="2" w:tplc="9B382842">
      <w:start w:val="1"/>
      <w:numFmt w:val="bullet"/>
      <w:lvlText w:val=""/>
      <w:lvlJc w:val="left"/>
      <w:pPr>
        <w:tabs>
          <w:tab w:val="num" w:pos="2160"/>
        </w:tabs>
        <w:ind w:left="2160" w:hanging="360"/>
      </w:pPr>
      <w:rPr>
        <w:rFonts w:ascii="Wingdings" w:hAnsi="Wingdings"/>
      </w:rPr>
    </w:lvl>
    <w:lvl w:ilvl="3" w:tplc="F72C1E64">
      <w:start w:val="1"/>
      <w:numFmt w:val="bullet"/>
      <w:lvlText w:val=""/>
      <w:lvlJc w:val="left"/>
      <w:pPr>
        <w:tabs>
          <w:tab w:val="num" w:pos="2880"/>
        </w:tabs>
        <w:ind w:left="2880" w:hanging="360"/>
      </w:pPr>
      <w:rPr>
        <w:rFonts w:ascii="Symbol" w:hAnsi="Symbol"/>
      </w:rPr>
    </w:lvl>
    <w:lvl w:ilvl="4" w:tplc="458C967A">
      <w:start w:val="1"/>
      <w:numFmt w:val="bullet"/>
      <w:lvlText w:val="o"/>
      <w:lvlJc w:val="left"/>
      <w:pPr>
        <w:tabs>
          <w:tab w:val="num" w:pos="3600"/>
        </w:tabs>
        <w:ind w:left="3600" w:hanging="360"/>
      </w:pPr>
      <w:rPr>
        <w:rFonts w:ascii="Courier New" w:hAnsi="Courier New"/>
      </w:rPr>
    </w:lvl>
    <w:lvl w:ilvl="5" w:tplc="29948E44">
      <w:start w:val="1"/>
      <w:numFmt w:val="bullet"/>
      <w:lvlText w:val=""/>
      <w:lvlJc w:val="left"/>
      <w:pPr>
        <w:tabs>
          <w:tab w:val="num" w:pos="4320"/>
        </w:tabs>
        <w:ind w:left="4320" w:hanging="360"/>
      </w:pPr>
      <w:rPr>
        <w:rFonts w:ascii="Wingdings" w:hAnsi="Wingdings"/>
      </w:rPr>
    </w:lvl>
    <w:lvl w:ilvl="6" w:tplc="4D4245D4">
      <w:start w:val="1"/>
      <w:numFmt w:val="bullet"/>
      <w:lvlText w:val=""/>
      <w:lvlJc w:val="left"/>
      <w:pPr>
        <w:tabs>
          <w:tab w:val="num" w:pos="5040"/>
        </w:tabs>
        <w:ind w:left="5040" w:hanging="360"/>
      </w:pPr>
      <w:rPr>
        <w:rFonts w:ascii="Symbol" w:hAnsi="Symbol"/>
      </w:rPr>
    </w:lvl>
    <w:lvl w:ilvl="7" w:tplc="65FAB634">
      <w:start w:val="1"/>
      <w:numFmt w:val="bullet"/>
      <w:lvlText w:val="o"/>
      <w:lvlJc w:val="left"/>
      <w:pPr>
        <w:tabs>
          <w:tab w:val="num" w:pos="5760"/>
        </w:tabs>
        <w:ind w:left="5760" w:hanging="360"/>
      </w:pPr>
      <w:rPr>
        <w:rFonts w:ascii="Courier New" w:hAnsi="Courier New"/>
      </w:rPr>
    </w:lvl>
    <w:lvl w:ilvl="8" w:tplc="6A14E1AE">
      <w:start w:val="1"/>
      <w:numFmt w:val="bullet"/>
      <w:lvlText w:val=""/>
      <w:lvlJc w:val="left"/>
      <w:pPr>
        <w:tabs>
          <w:tab w:val="num" w:pos="6480"/>
        </w:tabs>
        <w:ind w:left="6480" w:hanging="360"/>
      </w:pPr>
      <w:rPr>
        <w:rFonts w:ascii="Wingdings" w:hAnsi="Wingdings"/>
      </w:rPr>
    </w:lvl>
  </w:abstractNum>
  <w:abstractNum w:abstractNumId="324" w15:restartNumberingAfterBreak="0">
    <w:nsid w:val="72230606"/>
    <w:multiLevelType w:val="hybridMultilevel"/>
    <w:tmpl w:val="72230606"/>
    <w:lvl w:ilvl="0" w:tplc="C2B8A384">
      <w:start w:val="1"/>
      <w:numFmt w:val="bullet"/>
      <w:lvlText w:val=""/>
      <w:lvlJc w:val="left"/>
      <w:pPr>
        <w:tabs>
          <w:tab w:val="num" w:pos="720"/>
        </w:tabs>
        <w:ind w:left="720" w:hanging="360"/>
      </w:pPr>
      <w:rPr>
        <w:rFonts w:ascii="Symbol" w:hAnsi="Symbol"/>
      </w:rPr>
    </w:lvl>
    <w:lvl w:ilvl="1" w:tplc="9814AF1E">
      <w:start w:val="1"/>
      <w:numFmt w:val="bullet"/>
      <w:lvlText w:val="o"/>
      <w:lvlJc w:val="left"/>
      <w:pPr>
        <w:tabs>
          <w:tab w:val="num" w:pos="1440"/>
        </w:tabs>
        <w:ind w:left="1440" w:hanging="360"/>
      </w:pPr>
      <w:rPr>
        <w:rFonts w:ascii="Courier New" w:hAnsi="Courier New"/>
      </w:rPr>
    </w:lvl>
    <w:lvl w:ilvl="2" w:tplc="A9489ACA">
      <w:start w:val="1"/>
      <w:numFmt w:val="bullet"/>
      <w:lvlText w:val=""/>
      <w:lvlJc w:val="left"/>
      <w:pPr>
        <w:tabs>
          <w:tab w:val="num" w:pos="2160"/>
        </w:tabs>
        <w:ind w:left="2160" w:hanging="360"/>
      </w:pPr>
      <w:rPr>
        <w:rFonts w:ascii="Wingdings" w:hAnsi="Wingdings"/>
      </w:rPr>
    </w:lvl>
    <w:lvl w:ilvl="3" w:tplc="C8C48D0C">
      <w:start w:val="1"/>
      <w:numFmt w:val="bullet"/>
      <w:lvlText w:val=""/>
      <w:lvlJc w:val="left"/>
      <w:pPr>
        <w:tabs>
          <w:tab w:val="num" w:pos="2880"/>
        </w:tabs>
        <w:ind w:left="2880" w:hanging="360"/>
      </w:pPr>
      <w:rPr>
        <w:rFonts w:ascii="Symbol" w:hAnsi="Symbol"/>
      </w:rPr>
    </w:lvl>
    <w:lvl w:ilvl="4" w:tplc="81A28426">
      <w:start w:val="1"/>
      <w:numFmt w:val="bullet"/>
      <w:lvlText w:val="o"/>
      <w:lvlJc w:val="left"/>
      <w:pPr>
        <w:tabs>
          <w:tab w:val="num" w:pos="3600"/>
        </w:tabs>
        <w:ind w:left="3600" w:hanging="360"/>
      </w:pPr>
      <w:rPr>
        <w:rFonts w:ascii="Courier New" w:hAnsi="Courier New"/>
      </w:rPr>
    </w:lvl>
    <w:lvl w:ilvl="5" w:tplc="34064F4A">
      <w:start w:val="1"/>
      <w:numFmt w:val="bullet"/>
      <w:lvlText w:val=""/>
      <w:lvlJc w:val="left"/>
      <w:pPr>
        <w:tabs>
          <w:tab w:val="num" w:pos="4320"/>
        </w:tabs>
        <w:ind w:left="4320" w:hanging="360"/>
      </w:pPr>
      <w:rPr>
        <w:rFonts w:ascii="Wingdings" w:hAnsi="Wingdings"/>
      </w:rPr>
    </w:lvl>
    <w:lvl w:ilvl="6" w:tplc="2338A442">
      <w:start w:val="1"/>
      <w:numFmt w:val="bullet"/>
      <w:lvlText w:val=""/>
      <w:lvlJc w:val="left"/>
      <w:pPr>
        <w:tabs>
          <w:tab w:val="num" w:pos="5040"/>
        </w:tabs>
        <w:ind w:left="5040" w:hanging="360"/>
      </w:pPr>
      <w:rPr>
        <w:rFonts w:ascii="Symbol" w:hAnsi="Symbol"/>
      </w:rPr>
    </w:lvl>
    <w:lvl w:ilvl="7" w:tplc="1868B752">
      <w:start w:val="1"/>
      <w:numFmt w:val="bullet"/>
      <w:lvlText w:val="o"/>
      <w:lvlJc w:val="left"/>
      <w:pPr>
        <w:tabs>
          <w:tab w:val="num" w:pos="5760"/>
        </w:tabs>
        <w:ind w:left="5760" w:hanging="360"/>
      </w:pPr>
      <w:rPr>
        <w:rFonts w:ascii="Courier New" w:hAnsi="Courier New"/>
      </w:rPr>
    </w:lvl>
    <w:lvl w:ilvl="8" w:tplc="5D6C89DE">
      <w:start w:val="1"/>
      <w:numFmt w:val="bullet"/>
      <w:lvlText w:val=""/>
      <w:lvlJc w:val="left"/>
      <w:pPr>
        <w:tabs>
          <w:tab w:val="num" w:pos="6480"/>
        </w:tabs>
        <w:ind w:left="6480" w:hanging="360"/>
      </w:pPr>
      <w:rPr>
        <w:rFonts w:ascii="Wingdings" w:hAnsi="Wingdings"/>
      </w:rPr>
    </w:lvl>
  </w:abstractNum>
  <w:abstractNum w:abstractNumId="325" w15:restartNumberingAfterBreak="0">
    <w:nsid w:val="72230607"/>
    <w:multiLevelType w:val="hybridMultilevel"/>
    <w:tmpl w:val="72230607"/>
    <w:lvl w:ilvl="0" w:tplc="A8CE95AC">
      <w:start w:val="1"/>
      <w:numFmt w:val="bullet"/>
      <w:lvlText w:val=""/>
      <w:lvlJc w:val="left"/>
      <w:pPr>
        <w:ind w:left="720" w:hanging="360"/>
      </w:pPr>
      <w:rPr>
        <w:rFonts w:ascii="Symbol" w:hAnsi="Symbol"/>
      </w:rPr>
    </w:lvl>
    <w:lvl w:ilvl="1" w:tplc="533A5142">
      <w:start w:val="1"/>
      <w:numFmt w:val="bullet"/>
      <w:lvlText w:val="o"/>
      <w:lvlJc w:val="left"/>
      <w:pPr>
        <w:tabs>
          <w:tab w:val="num" w:pos="1440"/>
        </w:tabs>
        <w:ind w:left="1440" w:hanging="360"/>
      </w:pPr>
      <w:rPr>
        <w:rFonts w:ascii="Courier New" w:hAnsi="Courier New"/>
      </w:rPr>
    </w:lvl>
    <w:lvl w:ilvl="2" w:tplc="D73A707E">
      <w:start w:val="1"/>
      <w:numFmt w:val="bullet"/>
      <w:lvlText w:val=""/>
      <w:lvlJc w:val="left"/>
      <w:pPr>
        <w:tabs>
          <w:tab w:val="num" w:pos="2160"/>
        </w:tabs>
        <w:ind w:left="2160" w:hanging="360"/>
      </w:pPr>
      <w:rPr>
        <w:rFonts w:ascii="Wingdings" w:hAnsi="Wingdings"/>
      </w:rPr>
    </w:lvl>
    <w:lvl w:ilvl="3" w:tplc="EFC6232C">
      <w:start w:val="1"/>
      <w:numFmt w:val="bullet"/>
      <w:lvlText w:val=""/>
      <w:lvlJc w:val="left"/>
      <w:pPr>
        <w:tabs>
          <w:tab w:val="num" w:pos="2880"/>
        </w:tabs>
        <w:ind w:left="2880" w:hanging="360"/>
      </w:pPr>
      <w:rPr>
        <w:rFonts w:ascii="Symbol" w:hAnsi="Symbol"/>
      </w:rPr>
    </w:lvl>
    <w:lvl w:ilvl="4" w:tplc="A9AE1498">
      <w:start w:val="1"/>
      <w:numFmt w:val="bullet"/>
      <w:lvlText w:val="o"/>
      <w:lvlJc w:val="left"/>
      <w:pPr>
        <w:tabs>
          <w:tab w:val="num" w:pos="3600"/>
        </w:tabs>
        <w:ind w:left="3600" w:hanging="360"/>
      </w:pPr>
      <w:rPr>
        <w:rFonts w:ascii="Courier New" w:hAnsi="Courier New"/>
      </w:rPr>
    </w:lvl>
    <w:lvl w:ilvl="5" w:tplc="547EC80C">
      <w:start w:val="1"/>
      <w:numFmt w:val="bullet"/>
      <w:lvlText w:val=""/>
      <w:lvlJc w:val="left"/>
      <w:pPr>
        <w:tabs>
          <w:tab w:val="num" w:pos="4320"/>
        </w:tabs>
        <w:ind w:left="4320" w:hanging="360"/>
      </w:pPr>
      <w:rPr>
        <w:rFonts w:ascii="Wingdings" w:hAnsi="Wingdings"/>
      </w:rPr>
    </w:lvl>
    <w:lvl w:ilvl="6" w:tplc="0C660210">
      <w:start w:val="1"/>
      <w:numFmt w:val="bullet"/>
      <w:lvlText w:val=""/>
      <w:lvlJc w:val="left"/>
      <w:pPr>
        <w:tabs>
          <w:tab w:val="num" w:pos="5040"/>
        </w:tabs>
        <w:ind w:left="5040" w:hanging="360"/>
      </w:pPr>
      <w:rPr>
        <w:rFonts w:ascii="Symbol" w:hAnsi="Symbol"/>
      </w:rPr>
    </w:lvl>
    <w:lvl w:ilvl="7" w:tplc="8892B05C">
      <w:start w:val="1"/>
      <w:numFmt w:val="bullet"/>
      <w:lvlText w:val="o"/>
      <w:lvlJc w:val="left"/>
      <w:pPr>
        <w:tabs>
          <w:tab w:val="num" w:pos="5760"/>
        </w:tabs>
        <w:ind w:left="5760" w:hanging="360"/>
      </w:pPr>
      <w:rPr>
        <w:rFonts w:ascii="Courier New" w:hAnsi="Courier New"/>
      </w:rPr>
    </w:lvl>
    <w:lvl w:ilvl="8" w:tplc="34B8E310">
      <w:start w:val="1"/>
      <w:numFmt w:val="bullet"/>
      <w:lvlText w:val=""/>
      <w:lvlJc w:val="left"/>
      <w:pPr>
        <w:tabs>
          <w:tab w:val="num" w:pos="6480"/>
        </w:tabs>
        <w:ind w:left="6480" w:hanging="360"/>
      </w:pPr>
      <w:rPr>
        <w:rFonts w:ascii="Wingdings" w:hAnsi="Wingdings"/>
      </w:rPr>
    </w:lvl>
  </w:abstractNum>
  <w:abstractNum w:abstractNumId="326" w15:restartNumberingAfterBreak="0">
    <w:nsid w:val="72230608"/>
    <w:multiLevelType w:val="hybridMultilevel"/>
    <w:tmpl w:val="72230608"/>
    <w:lvl w:ilvl="0" w:tplc="A4DAAAFE">
      <w:start w:val="1"/>
      <w:numFmt w:val="bullet"/>
      <w:lvlText w:val=""/>
      <w:lvlJc w:val="left"/>
      <w:pPr>
        <w:ind w:left="720" w:hanging="360"/>
      </w:pPr>
      <w:rPr>
        <w:rFonts w:ascii="Symbol" w:hAnsi="Symbol"/>
      </w:rPr>
    </w:lvl>
    <w:lvl w:ilvl="1" w:tplc="7E5E5A92">
      <w:start w:val="1"/>
      <w:numFmt w:val="bullet"/>
      <w:lvlText w:val="o"/>
      <w:lvlJc w:val="left"/>
      <w:pPr>
        <w:tabs>
          <w:tab w:val="num" w:pos="1440"/>
        </w:tabs>
        <w:ind w:left="1440" w:hanging="360"/>
      </w:pPr>
      <w:rPr>
        <w:rFonts w:ascii="Courier New" w:hAnsi="Courier New"/>
      </w:rPr>
    </w:lvl>
    <w:lvl w:ilvl="2" w:tplc="FB489E34">
      <w:start w:val="1"/>
      <w:numFmt w:val="bullet"/>
      <w:lvlText w:val=""/>
      <w:lvlJc w:val="left"/>
      <w:pPr>
        <w:tabs>
          <w:tab w:val="num" w:pos="2160"/>
        </w:tabs>
        <w:ind w:left="2160" w:hanging="360"/>
      </w:pPr>
      <w:rPr>
        <w:rFonts w:ascii="Wingdings" w:hAnsi="Wingdings"/>
      </w:rPr>
    </w:lvl>
    <w:lvl w:ilvl="3" w:tplc="A4AC0C90">
      <w:start w:val="1"/>
      <w:numFmt w:val="bullet"/>
      <w:lvlText w:val=""/>
      <w:lvlJc w:val="left"/>
      <w:pPr>
        <w:tabs>
          <w:tab w:val="num" w:pos="2880"/>
        </w:tabs>
        <w:ind w:left="2880" w:hanging="360"/>
      </w:pPr>
      <w:rPr>
        <w:rFonts w:ascii="Symbol" w:hAnsi="Symbol"/>
      </w:rPr>
    </w:lvl>
    <w:lvl w:ilvl="4" w:tplc="66ECD8D6">
      <w:start w:val="1"/>
      <w:numFmt w:val="bullet"/>
      <w:lvlText w:val="o"/>
      <w:lvlJc w:val="left"/>
      <w:pPr>
        <w:tabs>
          <w:tab w:val="num" w:pos="3600"/>
        </w:tabs>
        <w:ind w:left="3600" w:hanging="360"/>
      </w:pPr>
      <w:rPr>
        <w:rFonts w:ascii="Courier New" w:hAnsi="Courier New"/>
      </w:rPr>
    </w:lvl>
    <w:lvl w:ilvl="5" w:tplc="260CF192">
      <w:start w:val="1"/>
      <w:numFmt w:val="bullet"/>
      <w:lvlText w:val=""/>
      <w:lvlJc w:val="left"/>
      <w:pPr>
        <w:tabs>
          <w:tab w:val="num" w:pos="4320"/>
        </w:tabs>
        <w:ind w:left="4320" w:hanging="360"/>
      </w:pPr>
      <w:rPr>
        <w:rFonts w:ascii="Wingdings" w:hAnsi="Wingdings"/>
      </w:rPr>
    </w:lvl>
    <w:lvl w:ilvl="6" w:tplc="22882B28">
      <w:start w:val="1"/>
      <w:numFmt w:val="bullet"/>
      <w:lvlText w:val=""/>
      <w:lvlJc w:val="left"/>
      <w:pPr>
        <w:tabs>
          <w:tab w:val="num" w:pos="5040"/>
        </w:tabs>
        <w:ind w:left="5040" w:hanging="360"/>
      </w:pPr>
      <w:rPr>
        <w:rFonts w:ascii="Symbol" w:hAnsi="Symbol"/>
      </w:rPr>
    </w:lvl>
    <w:lvl w:ilvl="7" w:tplc="FCF6F110">
      <w:start w:val="1"/>
      <w:numFmt w:val="bullet"/>
      <w:lvlText w:val="o"/>
      <w:lvlJc w:val="left"/>
      <w:pPr>
        <w:tabs>
          <w:tab w:val="num" w:pos="5760"/>
        </w:tabs>
        <w:ind w:left="5760" w:hanging="360"/>
      </w:pPr>
      <w:rPr>
        <w:rFonts w:ascii="Courier New" w:hAnsi="Courier New"/>
      </w:rPr>
    </w:lvl>
    <w:lvl w:ilvl="8" w:tplc="935240FC">
      <w:start w:val="1"/>
      <w:numFmt w:val="bullet"/>
      <w:lvlText w:val=""/>
      <w:lvlJc w:val="left"/>
      <w:pPr>
        <w:tabs>
          <w:tab w:val="num" w:pos="6480"/>
        </w:tabs>
        <w:ind w:left="6480" w:hanging="360"/>
      </w:pPr>
      <w:rPr>
        <w:rFonts w:ascii="Wingdings" w:hAnsi="Wingdings"/>
      </w:rPr>
    </w:lvl>
  </w:abstractNum>
  <w:abstractNum w:abstractNumId="327" w15:restartNumberingAfterBreak="0">
    <w:nsid w:val="72230609"/>
    <w:multiLevelType w:val="hybridMultilevel"/>
    <w:tmpl w:val="72230609"/>
    <w:lvl w:ilvl="0" w:tplc="37867B5C">
      <w:start w:val="1"/>
      <w:numFmt w:val="bullet"/>
      <w:lvlText w:val=""/>
      <w:lvlJc w:val="left"/>
      <w:pPr>
        <w:ind w:left="720" w:hanging="360"/>
      </w:pPr>
      <w:rPr>
        <w:rFonts w:ascii="Symbol" w:hAnsi="Symbol"/>
      </w:rPr>
    </w:lvl>
    <w:lvl w:ilvl="1" w:tplc="FC4A5E48">
      <w:start w:val="1"/>
      <w:numFmt w:val="bullet"/>
      <w:lvlText w:val="o"/>
      <w:lvlJc w:val="left"/>
      <w:pPr>
        <w:tabs>
          <w:tab w:val="num" w:pos="1440"/>
        </w:tabs>
        <w:ind w:left="1440" w:hanging="360"/>
      </w:pPr>
      <w:rPr>
        <w:rFonts w:ascii="Courier New" w:hAnsi="Courier New"/>
      </w:rPr>
    </w:lvl>
    <w:lvl w:ilvl="2" w:tplc="47641EDA">
      <w:start w:val="1"/>
      <w:numFmt w:val="bullet"/>
      <w:lvlText w:val=""/>
      <w:lvlJc w:val="left"/>
      <w:pPr>
        <w:tabs>
          <w:tab w:val="num" w:pos="2160"/>
        </w:tabs>
        <w:ind w:left="2160" w:hanging="360"/>
      </w:pPr>
      <w:rPr>
        <w:rFonts w:ascii="Wingdings" w:hAnsi="Wingdings"/>
      </w:rPr>
    </w:lvl>
    <w:lvl w:ilvl="3" w:tplc="0D7A78B6">
      <w:start w:val="1"/>
      <w:numFmt w:val="bullet"/>
      <w:lvlText w:val=""/>
      <w:lvlJc w:val="left"/>
      <w:pPr>
        <w:tabs>
          <w:tab w:val="num" w:pos="2880"/>
        </w:tabs>
        <w:ind w:left="2880" w:hanging="360"/>
      </w:pPr>
      <w:rPr>
        <w:rFonts w:ascii="Symbol" w:hAnsi="Symbol"/>
      </w:rPr>
    </w:lvl>
    <w:lvl w:ilvl="4" w:tplc="7646C290">
      <w:start w:val="1"/>
      <w:numFmt w:val="bullet"/>
      <w:lvlText w:val="o"/>
      <w:lvlJc w:val="left"/>
      <w:pPr>
        <w:tabs>
          <w:tab w:val="num" w:pos="3600"/>
        </w:tabs>
        <w:ind w:left="3600" w:hanging="360"/>
      </w:pPr>
      <w:rPr>
        <w:rFonts w:ascii="Courier New" w:hAnsi="Courier New"/>
      </w:rPr>
    </w:lvl>
    <w:lvl w:ilvl="5" w:tplc="94667090">
      <w:start w:val="1"/>
      <w:numFmt w:val="bullet"/>
      <w:lvlText w:val=""/>
      <w:lvlJc w:val="left"/>
      <w:pPr>
        <w:tabs>
          <w:tab w:val="num" w:pos="4320"/>
        </w:tabs>
        <w:ind w:left="4320" w:hanging="360"/>
      </w:pPr>
      <w:rPr>
        <w:rFonts w:ascii="Wingdings" w:hAnsi="Wingdings"/>
      </w:rPr>
    </w:lvl>
    <w:lvl w:ilvl="6" w:tplc="CEE6D83A">
      <w:start w:val="1"/>
      <w:numFmt w:val="bullet"/>
      <w:lvlText w:val=""/>
      <w:lvlJc w:val="left"/>
      <w:pPr>
        <w:tabs>
          <w:tab w:val="num" w:pos="5040"/>
        </w:tabs>
        <w:ind w:left="5040" w:hanging="360"/>
      </w:pPr>
      <w:rPr>
        <w:rFonts w:ascii="Symbol" w:hAnsi="Symbol"/>
      </w:rPr>
    </w:lvl>
    <w:lvl w:ilvl="7" w:tplc="E9062036">
      <w:start w:val="1"/>
      <w:numFmt w:val="bullet"/>
      <w:lvlText w:val="o"/>
      <w:lvlJc w:val="left"/>
      <w:pPr>
        <w:tabs>
          <w:tab w:val="num" w:pos="5760"/>
        </w:tabs>
        <w:ind w:left="5760" w:hanging="360"/>
      </w:pPr>
      <w:rPr>
        <w:rFonts w:ascii="Courier New" w:hAnsi="Courier New"/>
      </w:rPr>
    </w:lvl>
    <w:lvl w:ilvl="8" w:tplc="3D869A0A">
      <w:start w:val="1"/>
      <w:numFmt w:val="bullet"/>
      <w:lvlText w:val=""/>
      <w:lvlJc w:val="left"/>
      <w:pPr>
        <w:tabs>
          <w:tab w:val="num" w:pos="6480"/>
        </w:tabs>
        <w:ind w:left="6480" w:hanging="360"/>
      </w:pPr>
      <w:rPr>
        <w:rFonts w:ascii="Wingdings" w:hAnsi="Wingdings"/>
      </w:rPr>
    </w:lvl>
  </w:abstractNum>
  <w:abstractNum w:abstractNumId="328" w15:restartNumberingAfterBreak="0">
    <w:nsid w:val="7223060A"/>
    <w:multiLevelType w:val="hybridMultilevel"/>
    <w:tmpl w:val="7223060A"/>
    <w:lvl w:ilvl="0" w:tplc="CC22AAE2">
      <w:start w:val="1"/>
      <w:numFmt w:val="bullet"/>
      <w:lvlText w:val=""/>
      <w:lvlJc w:val="left"/>
      <w:pPr>
        <w:ind w:left="720" w:hanging="360"/>
      </w:pPr>
      <w:rPr>
        <w:rFonts w:ascii="Symbol" w:hAnsi="Symbol"/>
      </w:rPr>
    </w:lvl>
    <w:lvl w:ilvl="1" w:tplc="37507C68">
      <w:start w:val="1"/>
      <w:numFmt w:val="bullet"/>
      <w:lvlText w:val="o"/>
      <w:lvlJc w:val="left"/>
      <w:pPr>
        <w:tabs>
          <w:tab w:val="num" w:pos="1440"/>
        </w:tabs>
        <w:ind w:left="1440" w:hanging="360"/>
      </w:pPr>
      <w:rPr>
        <w:rFonts w:ascii="Courier New" w:hAnsi="Courier New"/>
      </w:rPr>
    </w:lvl>
    <w:lvl w:ilvl="2" w:tplc="0FF690B0">
      <w:start w:val="1"/>
      <w:numFmt w:val="bullet"/>
      <w:lvlText w:val=""/>
      <w:lvlJc w:val="left"/>
      <w:pPr>
        <w:tabs>
          <w:tab w:val="num" w:pos="2160"/>
        </w:tabs>
        <w:ind w:left="2160" w:hanging="360"/>
      </w:pPr>
      <w:rPr>
        <w:rFonts w:ascii="Wingdings" w:hAnsi="Wingdings"/>
      </w:rPr>
    </w:lvl>
    <w:lvl w:ilvl="3" w:tplc="2E0AA684">
      <w:start w:val="1"/>
      <w:numFmt w:val="bullet"/>
      <w:lvlText w:val=""/>
      <w:lvlJc w:val="left"/>
      <w:pPr>
        <w:tabs>
          <w:tab w:val="num" w:pos="2880"/>
        </w:tabs>
        <w:ind w:left="2880" w:hanging="360"/>
      </w:pPr>
      <w:rPr>
        <w:rFonts w:ascii="Symbol" w:hAnsi="Symbol"/>
      </w:rPr>
    </w:lvl>
    <w:lvl w:ilvl="4" w:tplc="9A1E2134">
      <w:start w:val="1"/>
      <w:numFmt w:val="bullet"/>
      <w:lvlText w:val="o"/>
      <w:lvlJc w:val="left"/>
      <w:pPr>
        <w:tabs>
          <w:tab w:val="num" w:pos="3600"/>
        </w:tabs>
        <w:ind w:left="3600" w:hanging="360"/>
      </w:pPr>
      <w:rPr>
        <w:rFonts w:ascii="Courier New" w:hAnsi="Courier New"/>
      </w:rPr>
    </w:lvl>
    <w:lvl w:ilvl="5" w:tplc="484CFEE4">
      <w:start w:val="1"/>
      <w:numFmt w:val="bullet"/>
      <w:lvlText w:val=""/>
      <w:lvlJc w:val="left"/>
      <w:pPr>
        <w:tabs>
          <w:tab w:val="num" w:pos="4320"/>
        </w:tabs>
        <w:ind w:left="4320" w:hanging="360"/>
      </w:pPr>
      <w:rPr>
        <w:rFonts w:ascii="Wingdings" w:hAnsi="Wingdings"/>
      </w:rPr>
    </w:lvl>
    <w:lvl w:ilvl="6" w:tplc="0A48DA86">
      <w:start w:val="1"/>
      <w:numFmt w:val="bullet"/>
      <w:lvlText w:val=""/>
      <w:lvlJc w:val="left"/>
      <w:pPr>
        <w:tabs>
          <w:tab w:val="num" w:pos="5040"/>
        </w:tabs>
        <w:ind w:left="5040" w:hanging="360"/>
      </w:pPr>
      <w:rPr>
        <w:rFonts w:ascii="Symbol" w:hAnsi="Symbol"/>
      </w:rPr>
    </w:lvl>
    <w:lvl w:ilvl="7" w:tplc="F8AA37B0">
      <w:start w:val="1"/>
      <w:numFmt w:val="bullet"/>
      <w:lvlText w:val="o"/>
      <w:lvlJc w:val="left"/>
      <w:pPr>
        <w:tabs>
          <w:tab w:val="num" w:pos="5760"/>
        </w:tabs>
        <w:ind w:left="5760" w:hanging="360"/>
      </w:pPr>
      <w:rPr>
        <w:rFonts w:ascii="Courier New" w:hAnsi="Courier New"/>
      </w:rPr>
    </w:lvl>
    <w:lvl w:ilvl="8" w:tplc="D35AB7BA">
      <w:start w:val="1"/>
      <w:numFmt w:val="bullet"/>
      <w:lvlText w:val=""/>
      <w:lvlJc w:val="left"/>
      <w:pPr>
        <w:tabs>
          <w:tab w:val="num" w:pos="6480"/>
        </w:tabs>
        <w:ind w:left="6480" w:hanging="360"/>
      </w:pPr>
      <w:rPr>
        <w:rFonts w:ascii="Wingdings" w:hAnsi="Wingdings"/>
      </w:rPr>
    </w:lvl>
  </w:abstractNum>
  <w:abstractNum w:abstractNumId="329" w15:restartNumberingAfterBreak="0">
    <w:nsid w:val="7223060B"/>
    <w:multiLevelType w:val="hybridMultilevel"/>
    <w:tmpl w:val="7223060B"/>
    <w:lvl w:ilvl="0" w:tplc="A3CC725E">
      <w:start w:val="1"/>
      <w:numFmt w:val="bullet"/>
      <w:lvlText w:val=""/>
      <w:lvlJc w:val="left"/>
      <w:pPr>
        <w:ind w:left="720" w:hanging="360"/>
      </w:pPr>
      <w:rPr>
        <w:rFonts w:ascii="Symbol" w:hAnsi="Symbol"/>
      </w:rPr>
    </w:lvl>
    <w:lvl w:ilvl="1" w:tplc="130C3498">
      <w:start w:val="1"/>
      <w:numFmt w:val="bullet"/>
      <w:lvlText w:val="o"/>
      <w:lvlJc w:val="left"/>
      <w:pPr>
        <w:tabs>
          <w:tab w:val="num" w:pos="1440"/>
        </w:tabs>
        <w:ind w:left="1440" w:hanging="360"/>
      </w:pPr>
      <w:rPr>
        <w:rFonts w:ascii="Courier New" w:hAnsi="Courier New"/>
      </w:rPr>
    </w:lvl>
    <w:lvl w:ilvl="2" w:tplc="F85A4372">
      <w:start w:val="1"/>
      <w:numFmt w:val="bullet"/>
      <w:lvlText w:val=""/>
      <w:lvlJc w:val="left"/>
      <w:pPr>
        <w:tabs>
          <w:tab w:val="num" w:pos="2160"/>
        </w:tabs>
        <w:ind w:left="2160" w:hanging="360"/>
      </w:pPr>
      <w:rPr>
        <w:rFonts w:ascii="Wingdings" w:hAnsi="Wingdings"/>
      </w:rPr>
    </w:lvl>
    <w:lvl w:ilvl="3" w:tplc="FBDA6B0E">
      <w:start w:val="1"/>
      <w:numFmt w:val="bullet"/>
      <w:lvlText w:val=""/>
      <w:lvlJc w:val="left"/>
      <w:pPr>
        <w:tabs>
          <w:tab w:val="num" w:pos="2880"/>
        </w:tabs>
        <w:ind w:left="2880" w:hanging="360"/>
      </w:pPr>
      <w:rPr>
        <w:rFonts w:ascii="Symbol" w:hAnsi="Symbol"/>
      </w:rPr>
    </w:lvl>
    <w:lvl w:ilvl="4" w:tplc="6CB01A86">
      <w:start w:val="1"/>
      <w:numFmt w:val="bullet"/>
      <w:lvlText w:val="o"/>
      <w:lvlJc w:val="left"/>
      <w:pPr>
        <w:tabs>
          <w:tab w:val="num" w:pos="3600"/>
        </w:tabs>
        <w:ind w:left="3600" w:hanging="360"/>
      </w:pPr>
      <w:rPr>
        <w:rFonts w:ascii="Courier New" w:hAnsi="Courier New"/>
      </w:rPr>
    </w:lvl>
    <w:lvl w:ilvl="5" w:tplc="E4A63B74">
      <w:start w:val="1"/>
      <w:numFmt w:val="bullet"/>
      <w:lvlText w:val=""/>
      <w:lvlJc w:val="left"/>
      <w:pPr>
        <w:tabs>
          <w:tab w:val="num" w:pos="4320"/>
        </w:tabs>
        <w:ind w:left="4320" w:hanging="360"/>
      </w:pPr>
      <w:rPr>
        <w:rFonts w:ascii="Wingdings" w:hAnsi="Wingdings"/>
      </w:rPr>
    </w:lvl>
    <w:lvl w:ilvl="6" w:tplc="1D2698C4">
      <w:start w:val="1"/>
      <w:numFmt w:val="bullet"/>
      <w:lvlText w:val=""/>
      <w:lvlJc w:val="left"/>
      <w:pPr>
        <w:tabs>
          <w:tab w:val="num" w:pos="5040"/>
        </w:tabs>
        <w:ind w:left="5040" w:hanging="360"/>
      </w:pPr>
      <w:rPr>
        <w:rFonts w:ascii="Symbol" w:hAnsi="Symbol"/>
      </w:rPr>
    </w:lvl>
    <w:lvl w:ilvl="7" w:tplc="1BF60440">
      <w:start w:val="1"/>
      <w:numFmt w:val="bullet"/>
      <w:lvlText w:val="o"/>
      <w:lvlJc w:val="left"/>
      <w:pPr>
        <w:tabs>
          <w:tab w:val="num" w:pos="5760"/>
        </w:tabs>
        <w:ind w:left="5760" w:hanging="360"/>
      </w:pPr>
      <w:rPr>
        <w:rFonts w:ascii="Courier New" w:hAnsi="Courier New"/>
      </w:rPr>
    </w:lvl>
    <w:lvl w:ilvl="8" w:tplc="56FC9B2C">
      <w:start w:val="1"/>
      <w:numFmt w:val="bullet"/>
      <w:lvlText w:val=""/>
      <w:lvlJc w:val="left"/>
      <w:pPr>
        <w:tabs>
          <w:tab w:val="num" w:pos="6480"/>
        </w:tabs>
        <w:ind w:left="6480" w:hanging="360"/>
      </w:pPr>
      <w:rPr>
        <w:rFonts w:ascii="Wingdings" w:hAnsi="Wingdings"/>
      </w:rPr>
    </w:lvl>
  </w:abstractNum>
  <w:abstractNum w:abstractNumId="330" w15:restartNumberingAfterBreak="0">
    <w:nsid w:val="7223060C"/>
    <w:multiLevelType w:val="hybridMultilevel"/>
    <w:tmpl w:val="7223060C"/>
    <w:lvl w:ilvl="0" w:tplc="CD3E3B96">
      <w:start w:val="1"/>
      <w:numFmt w:val="bullet"/>
      <w:lvlText w:val=""/>
      <w:lvlJc w:val="left"/>
      <w:pPr>
        <w:ind w:left="720" w:hanging="360"/>
      </w:pPr>
      <w:rPr>
        <w:rFonts w:ascii="Symbol" w:hAnsi="Symbol"/>
      </w:rPr>
    </w:lvl>
    <w:lvl w:ilvl="1" w:tplc="36C4477C">
      <w:start w:val="1"/>
      <w:numFmt w:val="bullet"/>
      <w:lvlText w:val="o"/>
      <w:lvlJc w:val="left"/>
      <w:pPr>
        <w:tabs>
          <w:tab w:val="num" w:pos="1440"/>
        </w:tabs>
        <w:ind w:left="1440" w:hanging="360"/>
      </w:pPr>
      <w:rPr>
        <w:rFonts w:ascii="Courier New" w:hAnsi="Courier New"/>
      </w:rPr>
    </w:lvl>
    <w:lvl w:ilvl="2" w:tplc="F4A2A68A">
      <w:start w:val="1"/>
      <w:numFmt w:val="bullet"/>
      <w:lvlText w:val=""/>
      <w:lvlJc w:val="left"/>
      <w:pPr>
        <w:tabs>
          <w:tab w:val="num" w:pos="2160"/>
        </w:tabs>
        <w:ind w:left="2160" w:hanging="360"/>
      </w:pPr>
      <w:rPr>
        <w:rFonts w:ascii="Wingdings" w:hAnsi="Wingdings"/>
      </w:rPr>
    </w:lvl>
    <w:lvl w:ilvl="3" w:tplc="A8C8A258">
      <w:start w:val="1"/>
      <w:numFmt w:val="bullet"/>
      <w:lvlText w:val=""/>
      <w:lvlJc w:val="left"/>
      <w:pPr>
        <w:tabs>
          <w:tab w:val="num" w:pos="2880"/>
        </w:tabs>
        <w:ind w:left="2880" w:hanging="360"/>
      </w:pPr>
      <w:rPr>
        <w:rFonts w:ascii="Symbol" w:hAnsi="Symbol"/>
      </w:rPr>
    </w:lvl>
    <w:lvl w:ilvl="4" w:tplc="74FA268C">
      <w:start w:val="1"/>
      <w:numFmt w:val="bullet"/>
      <w:lvlText w:val="o"/>
      <w:lvlJc w:val="left"/>
      <w:pPr>
        <w:tabs>
          <w:tab w:val="num" w:pos="3600"/>
        </w:tabs>
        <w:ind w:left="3600" w:hanging="360"/>
      </w:pPr>
      <w:rPr>
        <w:rFonts w:ascii="Courier New" w:hAnsi="Courier New"/>
      </w:rPr>
    </w:lvl>
    <w:lvl w:ilvl="5" w:tplc="38381BF6">
      <w:start w:val="1"/>
      <w:numFmt w:val="bullet"/>
      <w:lvlText w:val=""/>
      <w:lvlJc w:val="left"/>
      <w:pPr>
        <w:tabs>
          <w:tab w:val="num" w:pos="4320"/>
        </w:tabs>
        <w:ind w:left="4320" w:hanging="360"/>
      </w:pPr>
      <w:rPr>
        <w:rFonts w:ascii="Wingdings" w:hAnsi="Wingdings"/>
      </w:rPr>
    </w:lvl>
    <w:lvl w:ilvl="6" w:tplc="EAD8FEEC">
      <w:start w:val="1"/>
      <w:numFmt w:val="bullet"/>
      <w:lvlText w:val=""/>
      <w:lvlJc w:val="left"/>
      <w:pPr>
        <w:tabs>
          <w:tab w:val="num" w:pos="5040"/>
        </w:tabs>
        <w:ind w:left="5040" w:hanging="360"/>
      </w:pPr>
      <w:rPr>
        <w:rFonts w:ascii="Symbol" w:hAnsi="Symbol"/>
      </w:rPr>
    </w:lvl>
    <w:lvl w:ilvl="7" w:tplc="266E9E70">
      <w:start w:val="1"/>
      <w:numFmt w:val="bullet"/>
      <w:lvlText w:val="o"/>
      <w:lvlJc w:val="left"/>
      <w:pPr>
        <w:tabs>
          <w:tab w:val="num" w:pos="5760"/>
        </w:tabs>
        <w:ind w:left="5760" w:hanging="360"/>
      </w:pPr>
      <w:rPr>
        <w:rFonts w:ascii="Courier New" w:hAnsi="Courier New"/>
      </w:rPr>
    </w:lvl>
    <w:lvl w:ilvl="8" w:tplc="9FFC3844">
      <w:start w:val="1"/>
      <w:numFmt w:val="bullet"/>
      <w:lvlText w:val=""/>
      <w:lvlJc w:val="left"/>
      <w:pPr>
        <w:tabs>
          <w:tab w:val="num" w:pos="6480"/>
        </w:tabs>
        <w:ind w:left="6480" w:hanging="360"/>
      </w:pPr>
      <w:rPr>
        <w:rFonts w:ascii="Wingdings" w:hAnsi="Wingdings"/>
      </w:rPr>
    </w:lvl>
  </w:abstractNum>
  <w:abstractNum w:abstractNumId="331" w15:restartNumberingAfterBreak="0">
    <w:nsid w:val="7223060D"/>
    <w:multiLevelType w:val="hybridMultilevel"/>
    <w:tmpl w:val="7223060D"/>
    <w:lvl w:ilvl="0" w:tplc="EDCE9452">
      <w:start w:val="1"/>
      <w:numFmt w:val="bullet"/>
      <w:lvlText w:val=""/>
      <w:lvlJc w:val="left"/>
      <w:pPr>
        <w:ind w:left="720" w:hanging="360"/>
      </w:pPr>
      <w:rPr>
        <w:rFonts w:ascii="Symbol" w:hAnsi="Symbol"/>
      </w:rPr>
    </w:lvl>
    <w:lvl w:ilvl="1" w:tplc="B5D42FB4">
      <w:start w:val="1"/>
      <w:numFmt w:val="bullet"/>
      <w:lvlText w:val="o"/>
      <w:lvlJc w:val="left"/>
      <w:pPr>
        <w:ind w:left="1440" w:hanging="360"/>
      </w:pPr>
      <w:rPr>
        <w:rFonts w:ascii="Courier New" w:hAnsi="Courier New"/>
      </w:rPr>
    </w:lvl>
    <w:lvl w:ilvl="2" w:tplc="704A2B8A">
      <w:start w:val="1"/>
      <w:numFmt w:val="bullet"/>
      <w:lvlText w:val=""/>
      <w:lvlJc w:val="left"/>
      <w:pPr>
        <w:ind w:left="2160" w:hanging="360"/>
      </w:pPr>
      <w:rPr>
        <w:rFonts w:ascii="Wingdings" w:hAnsi="Wingdings"/>
      </w:rPr>
    </w:lvl>
    <w:lvl w:ilvl="3" w:tplc="D2523D2A">
      <w:start w:val="1"/>
      <w:numFmt w:val="bullet"/>
      <w:lvlText w:val=""/>
      <w:lvlJc w:val="left"/>
      <w:pPr>
        <w:tabs>
          <w:tab w:val="num" w:pos="2880"/>
        </w:tabs>
        <w:ind w:left="2880" w:hanging="360"/>
      </w:pPr>
      <w:rPr>
        <w:rFonts w:ascii="Symbol" w:hAnsi="Symbol"/>
      </w:rPr>
    </w:lvl>
    <w:lvl w:ilvl="4" w:tplc="E55A71B4">
      <w:start w:val="1"/>
      <w:numFmt w:val="bullet"/>
      <w:lvlText w:val="o"/>
      <w:lvlJc w:val="left"/>
      <w:pPr>
        <w:tabs>
          <w:tab w:val="num" w:pos="3600"/>
        </w:tabs>
        <w:ind w:left="3600" w:hanging="360"/>
      </w:pPr>
      <w:rPr>
        <w:rFonts w:ascii="Courier New" w:hAnsi="Courier New"/>
      </w:rPr>
    </w:lvl>
    <w:lvl w:ilvl="5" w:tplc="9702A872">
      <w:start w:val="1"/>
      <w:numFmt w:val="bullet"/>
      <w:lvlText w:val=""/>
      <w:lvlJc w:val="left"/>
      <w:pPr>
        <w:tabs>
          <w:tab w:val="num" w:pos="4320"/>
        </w:tabs>
        <w:ind w:left="4320" w:hanging="360"/>
      </w:pPr>
      <w:rPr>
        <w:rFonts w:ascii="Wingdings" w:hAnsi="Wingdings"/>
      </w:rPr>
    </w:lvl>
    <w:lvl w:ilvl="6" w:tplc="A442F634">
      <w:start w:val="1"/>
      <w:numFmt w:val="bullet"/>
      <w:lvlText w:val=""/>
      <w:lvlJc w:val="left"/>
      <w:pPr>
        <w:tabs>
          <w:tab w:val="num" w:pos="5040"/>
        </w:tabs>
        <w:ind w:left="5040" w:hanging="360"/>
      </w:pPr>
      <w:rPr>
        <w:rFonts w:ascii="Symbol" w:hAnsi="Symbol"/>
      </w:rPr>
    </w:lvl>
    <w:lvl w:ilvl="7" w:tplc="B1BE5B10">
      <w:start w:val="1"/>
      <w:numFmt w:val="bullet"/>
      <w:lvlText w:val="o"/>
      <w:lvlJc w:val="left"/>
      <w:pPr>
        <w:tabs>
          <w:tab w:val="num" w:pos="5760"/>
        </w:tabs>
        <w:ind w:left="5760" w:hanging="360"/>
      </w:pPr>
      <w:rPr>
        <w:rFonts w:ascii="Courier New" w:hAnsi="Courier New"/>
      </w:rPr>
    </w:lvl>
    <w:lvl w:ilvl="8" w:tplc="E34C8792">
      <w:start w:val="1"/>
      <w:numFmt w:val="bullet"/>
      <w:lvlText w:val=""/>
      <w:lvlJc w:val="left"/>
      <w:pPr>
        <w:tabs>
          <w:tab w:val="num" w:pos="6480"/>
        </w:tabs>
        <w:ind w:left="6480" w:hanging="360"/>
      </w:pPr>
      <w:rPr>
        <w:rFonts w:ascii="Wingdings" w:hAnsi="Wingdings"/>
      </w:rPr>
    </w:lvl>
  </w:abstractNum>
  <w:abstractNum w:abstractNumId="332" w15:restartNumberingAfterBreak="0">
    <w:nsid w:val="7223060E"/>
    <w:multiLevelType w:val="hybridMultilevel"/>
    <w:tmpl w:val="7223060E"/>
    <w:lvl w:ilvl="0" w:tplc="7E0624A4">
      <w:start w:val="1"/>
      <w:numFmt w:val="bullet"/>
      <w:lvlText w:val=""/>
      <w:lvlJc w:val="left"/>
      <w:pPr>
        <w:ind w:left="720" w:hanging="360"/>
      </w:pPr>
      <w:rPr>
        <w:rFonts w:ascii="Symbol" w:hAnsi="Symbol"/>
      </w:rPr>
    </w:lvl>
    <w:lvl w:ilvl="1" w:tplc="F0E07070">
      <w:start w:val="1"/>
      <w:numFmt w:val="bullet"/>
      <w:lvlText w:val="o"/>
      <w:lvlJc w:val="left"/>
      <w:pPr>
        <w:tabs>
          <w:tab w:val="num" w:pos="1440"/>
        </w:tabs>
        <w:ind w:left="1440" w:hanging="360"/>
      </w:pPr>
      <w:rPr>
        <w:rFonts w:ascii="Courier New" w:hAnsi="Courier New"/>
      </w:rPr>
    </w:lvl>
    <w:lvl w:ilvl="2" w:tplc="E808234E">
      <w:start w:val="1"/>
      <w:numFmt w:val="bullet"/>
      <w:lvlText w:val=""/>
      <w:lvlJc w:val="left"/>
      <w:pPr>
        <w:tabs>
          <w:tab w:val="num" w:pos="2160"/>
        </w:tabs>
        <w:ind w:left="2160" w:hanging="360"/>
      </w:pPr>
      <w:rPr>
        <w:rFonts w:ascii="Wingdings" w:hAnsi="Wingdings"/>
      </w:rPr>
    </w:lvl>
    <w:lvl w:ilvl="3" w:tplc="E4508086">
      <w:start w:val="1"/>
      <w:numFmt w:val="bullet"/>
      <w:lvlText w:val=""/>
      <w:lvlJc w:val="left"/>
      <w:pPr>
        <w:tabs>
          <w:tab w:val="num" w:pos="2880"/>
        </w:tabs>
        <w:ind w:left="2880" w:hanging="360"/>
      </w:pPr>
      <w:rPr>
        <w:rFonts w:ascii="Symbol" w:hAnsi="Symbol"/>
      </w:rPr>
    </w:lvl>
    <w:lvl w:ilvl="4" w:tplc="FCE45FFE">
      <w:start w:val="1"/>
      <w:numFmt w:val="bullet"/>
      <w:lvlText w:val="o"/>
      <w:lvlJc w:val="left"/>
      <w:pPr>
        <w:tabs>
          <w:tab w:val="num" w:pos="3600"/>
        </w:tabs>
        <w:ind w:left="3600" w:hanging="360"/>
      </w:pPr>
      <w:rPr>
        <w:rFonts w:ascii="Courier New" w:hAnsi="Courier New"/>
      </w:rPr>
    </w:lvl>
    <w:lvl w:ilvl="5" w:tplc="155CCC40">
      <w:start w:val="1"/>
      <w:numFmt w:val="bullet"/>
      <w:lvlText w:val=""/>
      <w:lvlJc w:val="left"/>
      <w:pPr>
        <w:tabs>
          <w:tab w:val="num" w:pos="4320"/>
        </w:tabs>
        <w:ind w:left="4320" w:hanging="360"/>
      </w:pPr>
      <w:rPr>
        <w:rFonts w:ascii="Wingdings" w:hAnsi="Wingdings"/>
      </w:rPr>
    </w:lvl>
    <w:lvl w:ilvl="6" w:tplc="63FE9078">
      <w:start w:val="1"/>
      <w:numFmt w:val="bullet"/>
      <w:lvlText w:val=""/>
      <w:lvlJc w:val="left"/>
      <w:pPr>
        <w:tabs>
          <w:tab w:val="num" w:pos="5040"/>
        </w:tabs>
        <w:ind w:left="5040" w:hanging="360"/>
      </w:pPr>
      <w:rPr>
        <w:rFonts w:ascii="Symbol" w:hAnsi="Symbol"/>
      </w:rPr>
    </w:lvl>
    <w:lvl w:ilvl="7" w:tplc="C0889BA2">
      <w:start w:val="1"/>
      <w:numFmt w:val="bullet"/>
      <w:lvlText w:val="o"/>
      <w:lvlJc w:val="left"/>
      <w:pPr>
        <w:tabs>
          <w:tab w:val="num" w:pos="5760"/>
        </w:tabs>
        <w:ind w:left="5760" w:hanging="360"/>
      </w:pPr>
      <w:rPr>
        <w:rFonts w:ascii="Courier New" w:hAnsi="Courier New"/>
      </w:rPr>
    </w:lvl>
    <w:lvl w:ilvl="8" w:tplc="375ADF18">
      <w:start w:val="1"/>
      <w:numFmt w:val="bullet"/>
      <w:lvlText w:val=""/>
      <w:lvlJc w:val="left"/>
      <w:pPr>
        <w:tabs>
          <w:tab w:val="num" w:pos="6480"/>
        </w:tabs>
        <w:ind w:left="6480" w:hanging="360"/>
      </w:pPr>
      <w:rPr>
        <w:rFonts w:ascii="Wingdings" w:hAnsi="Wingdings"/>
      </w:rPr>
    </w:lvl>
  </w:abstractNum>
  <w:abstractNum w:abstractNumId="333" w15:restartNumberingAfterBreak="0">
    <w:nsid w:val="7223060F"/>
    <w:multiLevelType w:val="hybridMultilevel"/>
    <w:tmpl w:val="7223060F"/>
    <w:lvl w:ilvl="0" w:tplc="8D0EC87A">
      <w:start w:val="1"/>
      <w:numFmt w:val="bullet"/>
      <w:lvlText w:val=""/>
      <w:lvlJc w:val="left"/>
      <w:pPr>
        <w:ind w:left="720" w:hanging="360"/>
      </w:pPr>
      <w:rPr>
        <w:rFonts w:ascii="Symbol" w:hAnsi="Symbol"/>
      </w:rPr>
    </w:lvl>
    <w:lvl w:ilvl="1" w:tplc="86448734">
      <w:start w:val="1"/>
      <w:numFmt w:val="bullet"/>
      <w:lvlText w:val="o"/>
      <w:lvlJc w:val="left"/>
      <w:pPr>
        <w:tabs>
          <w:tab w:val="num" w:pos="1440"/>
        </w:tabs>
        <w:ind w:left="1440" w:hanging="360"/>
      </w:pPr>
      <w:rPr>
        <w:rFonts w:ascii="Courier New" w:hAnsi="Courier New"/>
      </w:rPr>
    </w:lvl>
    <w:lvl w:ilvl="2" w:tplc="77AEF2D8">
      <w:start w:val="1"/>
      <w:numFmt w:val="bullet"/>
      <w:lvlText w:val=""/>
      <w:lvlJc w:val="left"/>
      <w:pPr>
        <w:tabs>
          <w:tab w:val="num" w:pos="2160"/>
        </w:tabs>
        <w:ind w:left="2160" w:hanging="360"/>
      </w:pPr>
      <w:rPr>
        <w:rFonts w:ascii="Wingdings" w:hAnsi="Wingdings"/>
      </w:rPr>
    </w:lvl>
    <w:lvl w:ilvl="3" w:tplc="FBC2D0F0">
      <w:start w:val="1"/>
      <w:numFmt w:val="bullet"/>
      <w:lvlText w:val=""/>
      <w:lvlJc w:val="left"/>
      <w:pPr>
        <w:tabs>
          <w:tab w:val="num" w:pos="2880"/>
        </w:tabs>
        <w:ind w:left="2880" w:hanging="360"/>
      </w:pPr>
      <w:rPr>
        <w:rFonts w:ascii="Symbol" w:hAnsi="Symbol"/>
      </w:rPr>
    </w:lvl>
    <w:lvl w:ilvl="4" w:tplc="3A3C6220">
      <w:start w:val="1"/>
      <w:numFmt w:val="bullet"/>
      <w:lvlText w:val="o"/>
      <w:lvlJc w:val="left"/>
      <w:pPr>
        <w:tabs>
          <w:tab w:val="num" w:pos="3600"/>
        </w:tabs>
        <w:ind w:left="3600" w:hanging="360"/>
      </w:pPr>
      <w:rPr>
        <w:rFonts w:ascii="Courier New" w:hAnsi="Courier New"/>
      </w:rPr>
    </w:lvl>
    <w:lvl w:ilvl="5" w:tplc="F2C62C94">
      <w:start w:val="1"/>
      <w:numFmt w:val="bullet"/>
      <w:lvlText w:val=""/>
      <w:lvlJc w:val="left"/>
      <w:pPr>
        <w:tabs>
          <w:tab w:val="num" w:pos="4320"/>
        </w:tabs>
        <w:ind w:left="4320" w:hanging="360"/>
      </w:pPr>
      <w:rPr>
        <w:rFonts w:ascii="Wingdings" w:hAnsi="Wingdings"/>
      </w:rPr>
    </w:lvl>
    <w:lvl w:ilvl="6" w:tplc="B82CFE66">
      <w:start w:val="1"/>
      <w:numFmt w:val="bullet"/>
      <w:lvlText w:val=""/>
      <w:lvlJc w:val="left"/>
      <w:pPr>
        <w:tabs>
          <w:tab w:val="num" w:pos="5040"/>
        </w:tabs>
        <w:ind w:left="5040" w:hanging="360"/>
      </w:pPr>
      <w:rPr>
        <w:rFonts w:ascii="Symbol" w:hAnsi="Symbol"/>
      </w:rPr>
    </w:lvl>
    <w:lvl w:ilvl="7" w:tplc="214CE47E">
      <w:start w:val="1"/>
      <w:numFmt w:val="bullet"/>
      <w:lvlText w:val="o"/>
      <w:lvlJc w:val="left"/>
      <w:pPr>
        <w:tabs>
          <w:tab w:val="num" w:pos="5760"/>
        </w:tabs>
        <w:ind w:left="5760" w:hanging="360"/>
      </w:pPr>
      <w:rPr>
        <w:rFonts w:ascii="Courier New" w:hAnsi="Courier New"/>
      </w:rPr>
    </w:lvl>
    <w:lvl w:ilvl="8" w:tplc="702CE7BE">
      <w:start w:val="1"/>
      <w:numFmt w:val="bullet"/>
      <w:lvlText w:val=""/>
      <w:lvlJc w:val="left"/>
      <w:pPr>
        <w:tabs>
          <w:tab w:val="num" w:pos="6480"/>
        </w:tabs>
        <w:ind w:left="6480" w:hanging="360"/>
      </w:pPr>
      <w:rPr>
        <w:rFonts w:ascii="Wingdings" w:hAnsi="Wingdings"/>
      </w:rPr>
    </w:lvl>
  </w:abstractNum>
  <w:abstractNum w:abstractNumId="334" w15:restartNumberingAfterBreak="0">
    <w:nsid w:val="72230610"/>
    <w:multiLevelType w:val="hybridMultilevel"/>
    <w:tmpl w:val="72230610"/>
    <w:lvl w:ilvl="0" w:tplc="A672E964">
      <w:start w:val="1"/>
      <w:numFmt w:val="bullet"/>
      <w:lvlText w:val=""/>
      <w:lvlJc w:val="left"/>
      <w:pPr>
        <w:ind w:left="720" w:hanging="360"/>
      </w:pPr>
      <w:rPr>
        <w:rFonts w:ascii="Symbol" w:hAnsi="Symbol"/>
      </w:rPr>
    </w:lvl>
    <w:lvl w:ilvl="1" w:tplc="484E6E24">
      <w:start w:val="1"/>
      <w:numFmt w:val="bullet"/>
      <w:lvlText w:val="o"/>
      <w:lvlJc w:val="left"/>
      <w:pPr>
        <w:tabs>
          <w:tab w:val="num" w:pos="1440"/>
        </w:tabs>
        <w:ind w:left="1440" w:hanging="360"/>
      </w:pPr>
      <w:rPr>
        <w:rFonts w:ascii="Courier New" w:hAnsi="Courier New"/>
      </w:rPr>
    </w:lvl>
    <w:lvl w:ilvl="2" w:tplc="C3647F9E">
      <w:start w:val="1"/>
      <w:numFmt w:val="bullet"/>
      <w:lvlText w:val=""/>
      <w:lvlJc w:val="left"/>
      <w:pPr>
        <w:tabs>
          <w:tab w:val="num" w:pos="2160"/>
        </w:tabs>
        <w:ind w:left="2160" w:hanging="360"/>
      </w:pPr>
      <w:rPr>
        <w:rFonts w:ascii="Wingdings" w:hAnsi="Wingdings"/>
      </w:rPr>
    </w:lvl>
    <w:lvl w:ilvl="3" w:tplc="5B7061CA">
      <w:start w:val="1"/>
      <w:numFmt w:val="bullet"/>
      <w:lvlText w:val=""/>
      <w:lvlJc w:val="left"/>
      <w:pPr>
        <w:tabs>
          <w:tab w:val="num" w:pos="2880"/>
        </w:tabs>
        <w:ind w:left="2880" w:hanging="360"/>
      </w:pPr>
      <w:rPr>
        <w:rFonts w:ascii="Symbol" w:hAnsi="Symbol"/>
      </w:rPr>
    </w:lvl>
    <w:lvl w:ilvl="4" w:tplc="E4C05372">
      <w:start w:val="1"/>
      <w:numFmt w:val="bullet"/>
      <w:lvlText w:val="o"/>
      <w:lvlJc w:val="left"/>
      <w:pPr>
        <w:tabs>
          <w:tab w:val="num" w:pos="3600"/>
        </w:tabs>
        <w:ind w:left="3600" w:hanging="360"/>
      </w:pPr>
      <w:rPr>
        <w:rFonts w:ascii="Courier New" w:hAnsi="Courier New"/>
      </w:rPr>
    </w:lvl>
    <w:lvl w:ilvl="5" w:tplc="AEF8FCD6">
      <w:start w:val="1"/>
      <w:numFmt w:val="bullet"/>
      <w:lvlText w:val=""/>
      <w:lvlJc w:val="left"/>
      <w:pPr>
        <w:tabs>
          <w:tab w:val="num" w:pos="4320"/>
        </w:tabs>
        <w:ind w:left="4320" w:hanging="360"/>
      </w:pPr>
      <w:rPr>
        <w:rFonts w:ascii="Wingdings" w:hAnsi="Wingdings"/>
      </w:rPr>
    </w:lvl>
    <w:lvl w:ilvl="6" w:tplc="5E16081A">
      <w:start w:val="1"/>
      <w:numFmt w:val="bullet"/>
      <w:lvlText w:val=""/>
      <w:lvlJc w:val="left"/>
      <w:pPr>
        <w:tabs>
          <w:tab w:val="num" w:pos="5040"/>
        </w:tabs>
        <w:ind w:left="5040" w:hanging="360"/>
      </w:pPr>
      <w:rPr>
        <w:rFonts w:ascii="Symbol" w:hAnsi="Symbol"/>
      </w:rPr>
    </w:lvl>
    <w:lvl w:ilvl="7" w:tplc="4DAC2A70">
      <w:start w:val="1"/>
      <w:numFmt w:val="bullet"/>
      <w:lvlText w:val="o"/>
      <w:lvlJc w:val="left"/>
      <w:pPr>
        <w:tabs>
          <w:tab w:val="num" w:pos="5760"/>
        </w:tabs>
        <w:ind w:left="5760" w:hanging="360"/>
      </w:pPr>
      <w:rPr>
        <w:rFonts w:ascii="Courier New" w:hAnsi="Courier New"/>
      </w:rPr>
    </w:lvl>
    <w:lvl w:ilvl="8" w:tplc="583690B6">
      <w:start w:val="1"/>
      <w:numFmt w:val="bullet"/>
      <w:lvlText w:val=""/>
      <w:lvlJc w:val="left"/>
      <w:pPr>
        <w:tabs>
          <w:tab w:val="num" w:pos="6480"/>
        </w:tabs>
        <w:ind w:left="6480" w:hanging="360"/>
      </w:pPr>
      <w:rPr>
        <w:rFonts w:ascii="Wingdings" w:hAnsi="Wingdings"/>
      </w:rPr>
    </w:lvl>
  </w:abstractNum>
  <w:abstractNum w:abstractNumId="335" w15:restartNumberingAfterBreak="0">
    <w:nsid w:val="72230611"/>
    <w:multiLevelType w:val="hybridMultilevel"/>
    <w:tmpl w:val="72230611"/>
    <w:lvl w:ilvl="0" w:tplc="D23AA624">
      <w:start w:val="1"/>
      <w:numFmt w:val="bullet"/>
      <w:lvlText w:val=""/>
      <w:lvlJc w:val="left"/>
      <w:pPr>
        <w:ind w:left="720" w:hanging="360"/>
      </w:pPr>
      <w:rPr>
        <w:rFonts w:ascii="Symbol" w:hAnsi="Symbol"/>
      </w:rPr>
    </w:lvl>
    <w:lvl w:ilvl="1" w:tplc="2620272E">
      <w:start w:val="1"/>
      <w:numFmt w:val="bullet"/>
      <w:lvlText w:val="o"/>
      <w:lvlJc w:val="left"/>
      <w:pPr>
        <w:tabs>
          <w:tab w:val="num" w:pos="1440"/>
        </w:tabs>
        <w:ind w:left="1440" w:hanging="360"/>
      </w:pPr>
      <w:rPr>
        <w:rFonts w:ascii="Courier New" w:hAnsi="Courier New"/>
      </w:rPr>
    </w:lvl>
    <w:lvl w:ilvl="2" w:tplc="5B60D4F0">
      <w:start w:val="1"/>
      <w:numFmt w:val="bullet"/>
      <w:lvlText w:val=""/>
      <w:lvlJc w:val="left"/>
      <w:pPr>
        <w:tabs>
          <w:tab w:val="num" w:pos="2160"/>
        </w:tabs>
        <w:ind w:left="2160" w:hanging="360"/>
      </w:pPr>
      <w:rPr>
        <w:rFonts w:ascii="Wingdings" w:hAnsi="Wingdings"/>
      </w:rPr>
    </w:lvl>
    <w:lvl w:ilvl="3" w:tplc="B5F2B00C">
      <w:start w:val="1"/>
      <w:numFmt w:val="bullet"/>
      <w:lvlText w:val=""/>
      <w:lvlJc w:val="left"/>
      <w:pPr>
        <w:tabs>
          <w:tab w:val="num" w:pos="2880"/>
        </w:tabs>
        <w:ind w:left="2880" w:hanging="360"/>
      </w:pPr>
      <w:rPr>
        <w:rFonts w:ascii="Symbol" w:hAnsi="Symbol"/>
      </w:rPr>
    </w:lvl>
    <w:lvl w:ilvl="4" w:tplc="4EE06088">
      <w:start w:val="1"/>
      <w:numFmt w:val="bullet"/>
      <w:lvlText w:val="o"/>
      <w:lvlJc w:val="left"/>
      <w:pPr>
        <w:tabs>
          <w:tab w:val="num" w:pos="3600"/>
        </w:tabs>
        <w:ind w:left="3600" w:hanging="360"/>
      </w:pPr>
      <w:rPr>
        <w:rFonts w:ascii="Courier New" w:hAnsi="Courier New"/>
      </w:rPr>
    </w:lvl>
    <w:lvl w:ilvl="5" w:tplc="ABBCB8A4">
      <w:start w:val="1"/>
      <w:numFmt w:val="bullet"/>
      <w:lvlText w:val=""/>
      <w:lvlJc w:val="left"/>
      <w:pPr>
        <w:tabs>
          <w:tab w:val="num" w:pos="4320"/>
        </w:tabs>
        <w:ind w:left="4320" w:hanging="360"/>
      </w:pPr>
      <w:rPr>
        <w:rFonts w:ascii="Wingdings" w:hAnsi="Wingdings"/>
      </w:rPr>
    </w:lvl>
    <w:lvl w:ilvl="6" w:tplc="FEFEEC54">
      <w:start w:val="1"/>
      <w:numFmt w:val="bullet"/>
      <w:lvlText w:val=""/>
      <w:lvlJc w:val="left"/>
      <w:pPr>
        <w:tabs>
          <w:tab w:val="num" w:pos="5040"/>
        </w:tabs>
        <w:ind w:left="5040" w:hanging="360"/>
      </w:pPr>
      <w:rPr>
        <w:rFonts w:ascii="Symbol" w:hAnsi="Symbol"/>
      </w:rPr>
    </w:lvl>
    <w:lvl w:ilvl="7" w:tplc="D87EE776">
      <w:start w:val="1"/>
      <w:numFmt w:val="bullet"/>
      <w:lvlText w:val="o"/>
      <w:lvlJc w:val="left"/>
      <w:pPr>
        <w:tabs>
          <w:tab w:val="num" w:pos="5760"/>
        </w:tabs>
        <w:ind w:left="5760" w:hanging="360"/>
      </w:pPr>
      <w:rPr>
        <w:rFonts w:ascii="Courier New" w:hAnsi="Courier New"/>
      </w:rPr>
    </w:lvl>
    <w:lvl w:ilvl="8" w:tplc="48289828">
      <w:start w:val="1"/>
      <w:numFmt w:val="bullet"/>
      <w:lvlText w:val=""/>
      <w:lvlJc w:val="left"/>
      <w:pPr>
        <w:tabs>
          <w:tab w:val="num" w:pos="6480"/>
        </w:tabs>
        <w:ind w:left="6480" w:hanging="360"/>
      </w:pPr>
      <w:rPr>
        <w:rFonts w:ascii="Wingdings" w:hAnsi="Wingdings"/>
      </w:rPr>
    </w:lvl>
  </w:abstractNum>
  <w:abstractNum w:abstractNumId="336" w15:restartNumberingAfterBreak="0">
    <w:nsid w:val="72230612"/>
    <w:multiLevelType w:val="hybridMultilevel"/>
    <w:tmpl w:val="72230612"/>
    <w:lvl w:ilvl="0" w:tplc="C570CE36">
      <w:start w:val="1"/>
      <w:numFmt w:val="bullet"/>
      <w:lvlText w:val=""/>
      <w:lvlJc w:val="left"/>
      <w:pPr>
        <w:ind w:left="720" w:hanging="360"/>
      </w:pPr>
      <w:rPr>
        <w:rFonts w:ascii="Symbol" w:hAnsi="Symbol"/>
      </w:rPr>
    </w:lvl>
    <w:lvl w:ilvl="1" w:tplc="6EAC2A24">
      <w:start w:val="1"/>
      <w:numFmt w:val="bullet"/>
      <w:lvlText w:val="o"/>
      <w:lvlJc w:val="left"/>
      <w:pPr>
        <w:ind w:left="1440" w:hanging="360"/>
      </w:pPr>
      <w:rPr>
        <w:rFonts w:ascii="Courier New" w:hAnsi="Courier New"/>
      </w:rPr>
    </w:lvl>
    <w:lvl w:ilvl="2" w:tplc="F358380A">
      <w:start w:val="1"/>
      <w:numFmt w:val="bullet"/>
      <w:lvlText w:val=""/>
      <w:lvlJc w:val="left"/>
      <w:pPr>
        <w:tabs>
          <w:tab w:val="num" w:pos="2160"/>
        </w:tabs>
        <w:ind w:left="2160" w:hanging="360"/>
      </w:pPr>
      <w:rPr>
        <w:rFonts w:ascii="Wingdings" w:hAnsi="Wingdings"/>
      </w:rPr>
    </w:lvl>
    <w:lvl w:ilvl="3" w:tplc="446E8310">
      <w:start w:val="1"/>
      <w:numFmt w:val="bullet"/>
      <w:lvlText w:val=""/>
      <w:lvlJc w:val="left"/>
      <w:pPr>
        <w:tabs>
          <w:tab w:val="num" w:pos="2880"/>
        </w:tabs>
        <w:ind w:left="2880" w:hanging="360"/>
      </w:pPr>
      <w:rPr>
        <w:rFonts w:ascii="Symbol" w:hAnsi="Symbol"/>
      </w:rPr>
    </w:lvl>
    <w:lvl w:ilvl="4" w:tplc="6DC6A2DA">
      <w:start w:val="1"/>
      <w:numFmt w:val="bullet"/>
      <w:lvlText w:val="o"/>
      <w:lvlJc w:val="left"/>
      <w:pPr>
        <w:tabs>
          <w:tab w:val="num" w:pos="3600"/>
        </w:tabs>
        <w:ind w:left="3600" w:hanging="360"/>
      </w:pPr>
      <w:rPr>
        <w:rFonts w:ascii="Courier New" w:hAnsi="Courier New"/>
      </w:rPr>
    </w:lvl>
    <w:lvl w:ilvl="5" w:tplc="206E908E">
      <w:start w:val="1"/>
      <w:numFmt w:val="bullet"/>
      <w:lvlText w:val=""/>
      <w:lvlJc w:val="left"/>
      <w:pPr>
        <w:tabs>
          <w:tab w:val="num" w:pos="4320"/>
        </w:tabs>
        <w:ind w:left="4320" w:hanging="360"/>
      </w:pPr>
      <w:rPr>
        <w:rFonts w:ascii="Wingdings" w:hAnsi="Wingdings"/>
      </w:rPr>
    </w:lvl>
    <w:lvl w:ilvl="6" w:tplc="2990F71A">
      <w:start w:val="1"/>
      <w:numFmt w:val="bullet"/>
      <w:lvlText w:val=""/>
      <w:lvlJc w:val="left"/>
      <w:pPr>
        <w:tabs>
          <w:tab w:val="num" w:pos="5040"/>
        </w:tabs>
        <w:ind w:left="5040" w:hanging="360"/>
      </w:pPr>
      <w:rPr>
        <w:rFonts w:ascii="Symbol" w:hAnsi="Symbol"/>
      </w:rPr>
    </w:lvl>
    <w:lvl w:ilvl="7" w:tplc="26BC52FE">
      <w:start w:val="1"/>
      <w:numFmt w:val="bullet"/>
      <w:lvlText w:val="o"/>
      <w:lvlJc w:val="left"/>
      <w:pPr>
        <w:tabs>
          <w:tab w:val="num" w:pos="5760"/>
        </w:tabs>
        <w:ind w:left="5760" w:hanging="360"/>
      </w:pPr>
      <w:rPr>
        <w:rFonts w:ascii="Courier New" w:hAnsi="Courier New"/>
      </w:rPr>
    </w:lvl>
    <w:lvl w:ilvl="8" w:tplc="47889580">
      <w:start w:val="1"/>
      <w:numFmt w:val="bullet"/>
      <w:lvlText w:val=""/>
      <w:lvlJc w:val="left"/>
      <w:pPr>
        <w:tabs>
          <w:tab w:val="num" w:pos="6480"/>
        </w:tabs>
        <w:ind w:left="6480" w:hanging="360"/>
      </w:pPr>
      <w:rPr>
        <w:rFonts w:ascii="Wingdings" w:hAnsi="Wingdings"/>
      </w:rPr>
    </w:lvl>
  </w:abstractNum>
  <w:abstractNum w:abstractNumId="337" w15:restartNumberingAfterBreak="0">
    <w:nsid w:val="72230613"/>
    <w:multiLevelType w:val="hybridMultilevel"/>
    <w:tmpl w:val="72230613"/>
    <w:lvl w:ilvl="0" w:tplc="7A660634">
      <w:start w:val="1"/>
      <w:numFmt w:val="bullet"/>
      <w:lvlText w:val=""/>
      <w:lvlJc w:val="left"/>
      <w:pPr>
        <w:ind w:left="720" w:hanging="360"/>
      </w:pPr>
      <w:rPr>
        <w:rFonts w:ascii="Symbol" w:hAnsi="Symbol"/>
      </w:rPr>
    </w:lvl>
    <w:lvl w:ilvl="1" w:tplc="57CCA17A">
      <w:start w:val="1"/>
      <w:numFmt w:val="bullet"/>
      <w:lvlText w:val="o"/>
      <w:lvlJc w:val="left"/>
      <w:pPr>
        <w:tabs>
          <w:tab w:val="num" w:pos="1440"/>
        </w:tabs>
        <w:ind w:left="1440" w:hanging="360"/>
      </w:pPr>
      <w:rPr>
        <w:rFonts w:ascii="Courier New" w:hAnsi="Courier New"/>
      </w:rPr>
    </w:lvl>
    <w:lvl w:ilvl="2" w:tplc="4EEE848A">
      <w:start w:val="1"/>
      <w:numFmt w:val="bullet"/>
      <w:lvlText w:val=""/>
      <w:lvlJc w:val="left"/>
      <w:pPr>
        <w:tabs>
          <w:tab w:val="num" w:pos="2160"/>
        </w:tabs>
        <w:ind w:left="2160" w:hanging="360"/>
      </w:pPr>
      <w:rPr>
        <w:rFonts w:ascii="Wingdings" w:hAnsi="Wingdings"/>
      </w:rPr>
    </w:lvl>
    <w:lvl w:ilvl="3" w:tplc="172072E2">
      <w:start w:val="1"/>
      <w:numFmt w:val="bullet"/>
      <w:lvlText w:val=""/>
      <w:lvlJc w:val="left"/>
      <w:pPr>
        <w:tabs>
          <w:tab w:val="num" w:pos="2880"/>
        </w:tabs>
        <w:ind w:left="2880" w:hanging="360"/>
      </w:pPr>
      <w:rPr>
        <w:rFonts w:ascii="Symbol" w:hAnsi="Symbol"/>
      </w:rPr>
    </w:lvl>
    <w:lvl w:ilvl="4" w:tplc="B5FADC0A">
      <w:start w:val="1"/>
      <w:numFmt w:val="bullet"/>
      <w:lvlText w:val="o"/>
      <w:lvlJc w:val="left"/>
      <w:pPr>
        <w:tabs>
          <w:tab w:val="num" w:pos="3600"/>
        </w:tabs>
        <w:ind w:left="3600" w:hanging="360"/>
      </w:pPr>
      <w:rPr>
        <w:rFonts w:ascii="Courier New" w:hAnsi="Courier New"/>
      </w:rPr>
    </w:lvl>
    <w:lvl w:ilvl="5" w:tplc="E5404678">
      <w:start w:val="1"/>
      <w:numFmt w:val="bullet"/>
      <w:lvlText w:val=""/>
      <w:lvlJc w:val="left"/>
      <w:pPr>
        <w:tabs>
          <w:tab w:val="num" w:pos="4320"/>
        </w:tabs>
        <w:ind w:left="4320" w:hanging="360"/>
      </w:pPr>
      <w:rPr>
        <w:rFonts w:ascii="Wingdings" w:hAnsi="Wingdings"/>
      </w:rPr>
    </w:lvl>
    <w:lvl w:ilvl="6" w:tplc="B7C8EF72">
      <w:start w:val="1"/>
      <w:numFmt w:val="bullet"/>
      <w:lvlText w:val=""/>
      <w:lvlJc w:val="left"/>
      <w:pPr>
        <w:tabs>
          <w:tab w:val="num" w:pos="5040"/>
        </w:tabs>
        <w:ind w:left="5040" w:hanging="360"/>
      </w:pPr>
      <w:rPr>
        <w:rFonts w:ascii="Symbol" w:hAnsi="Symbol"/>
      </w:rPr>
    </w:lvl>
    <w:lvl w:ilvl="7" w:tplc="A8B830E4">
      <w:start w:val="1"/>
      <w:numFmt w:val="bullet"/>
      <w:lvlText w:val="o"/>
      <w:lvlJc w:val="left"/>
      <w:pPr>
        <w:tabs>
          <w:tab w:val="num" w:pos="5760"/>
        </w:tabs>
        <w:ind w:left="5760" w:hanging="360"/>
      </w:pPr>
      <w:rPr>
        <w:rFonts w:ascii="Courier New" w:hAnsi="Courier New"/>
      </w:rPr>
    </w:lvl>
    <w:lvl w:ilvl="8" w:tplc="EB98C128">
      <w:start w:val="1"/>
      <w:numFmt w:val="bullet"/>
      <w:lvlText w:val=""/>
      <w:lvlJc w:val="left"/>
      <w:pPr>
        <w:tabs>
          <w:tab w:val="num" w:pos="6480"/>
        </w:tabs>
        <w:ind w:left="6480" w:hanging="360"/>
      </w:pPr>
      <w:rPr>
        <w:rFonts w:ascii="Wingdings" w:hAnsi="Wingdings"/>
      </w:rPr>
    </w:lvl>
  </w:abstractNum>
  <w:abstractNum w:abstractNumId="338" w15:restartNumberingAfterBreak="0">
    <w:nsid w:val="72230614"/>
    <w:multiLevelType w:val="hybridMultilevel"/>
    <w:tmpl w:val="72230614"/>
    <w:lvl w:ilvl="0" w:tplc="AEDE0CFE">
      <w:start w:val="1"/>
      <w:numFmt w:val="bullet"/>
      <w:lvlText w:val=""/>
      <w:lvlJc w:val="left"/>
      <w:pPr>
        <w:ind w:left="720" w:hanging="360"/>
      </w:pPr>
      <w:rPr>
        <w:rFonts w:ascii="Symbol" w:hAnsi="Symbol"/>
      </w:rPr>
    </w:lvl>
    <w:lvl w:ilvl="1" w:tplc="E5463D3A">
      <w:start w:val="1"/>
      <w:numFmt w:val="bullet"/>
      <w:lvlText w:val="o"/>
      <w:lvlJc w:val="left"/>
      <w:pPr>
        <w:tabs>
          <w:tab w:val="num" w:pos="1440"/>
        </w:tabs>
        <w:ind w:left="1440" w:hanging="360"/>
      </w:pPr>
      <w:rPr>
        <w:rFonts w:ascii="Courier New" w:hAnsi="Courier New"/>
      </w:rPr>
    </w:lvl>
    <w:lvl w:ilvl="2" w:tplc="56BA7462">
      <w:start w:val="1"/>
      <w:numFmt w:val="bullet"/>
      <w:lvlText w:val=""/>
      <w:lvlJc w:val="left"/>
      <w:pPr>
        <w:tabs>
          <w:tab w:val="num" w:pos="2160"/>
        </w:tabs>
        <w:ind w:left="2160" w:hanging="360"/>
      </w:pPr>
      <w:rPr>
        <w:rFonts w:ascii="Wingdings" w:hAnsi="Wingdings"/>
      </w:rPr>
    </w:lvl>
    <w:lvl w:ilvl="3" w:tplc="4FC4687A">
      <w:start w:val="1"/>
      <w:numFmt w:val="bullet"/>
      <w:lvlText w:val=""/>
      <w:lvlJc w:val="left"/>
      <w:pPr>
        <w:tabs>
          <w:tab w:val="num" w:pos="2880"/>
        </w:tabs>
        <w:ind w:left="2880" w:hanging="360"/>
      </w:pPr>
      <w:rPr>
        <w:rFonts w:ascii="Symbol" w:hAnsi="Symbol"/>
      </w:rPr>
    </w:lvl>
    <w:lvl w:ilvl="4" w:tplc="661CCCAC">
      <w:start w:val="1"/>
      <w:numFmt w:val="bullet"/>
      <w:lvlText w:val="o"/>
      <w:lvlJc w:val="left"/>
      <w:pPr>
        <w:tabs>
          <w:tab w:val="num" w:pos="3600"/>
        </w:tabs>
        <w:ind w:left="3600" w:hanging="360"/>
      </w:pPr>
      <w:rPr>
        <w:rFonts w:ascii="Courier New" w:hAnsi="Courier New"/>
      </w:rPr>
    </w:lvl>
    <w:lvl w:ilvl="5" w:tplc="67C680C2">
      <w:start w:val="1"/>
      <w:numFmt w:val="bullet"/>
      <w:lvlText w:val=""/>
      <w:lvlJc w:val="left"/>
      <w:pPr>
        <w:tabs>
          <w:tab w:val="num" w:pos="4320"/>
        </w:tabs>
        <w:ind w:left="4320" w:hanging="360"/>
      </w:pPr>
      <w:rPr>
        <w:rFonts w:ascii="Wingdings" w:hAnsi="Wingdings"/>
      </w:rPr>
    </w:lvl>
    <w:lvl w:ilvl="6" w:tplc="EFC031F0">
      <w:start w:val="1"/>
      <w:numFmt w:val="bullet"/>
      <w:lvlText w:val=""/>
      <w:lvlJc w:val="left"/>
      <w:pPr>
        <w:tabs>
          <w:tab w:val="num" w:pos="5040"/>
        </w:tabs>
        <w:ind w:left="5040" w:hanging="360"/>
      </w:pPr>
      <w:rPr>
        <w:rFonts w:ascii="Symbol" w:hAnsi="Symbol"/>
      </w:rPr>
    </w:lvl>
    <w:lvl w:ilvl="7" w:tplc="3350EC90">
      <w:start w:val="1"/>
      <w:numFmt w:val="bullet"/>
      <w:lvlText w:val="o"/>
      <w:lvlJc w:val="left"/>
      <w:pPr>
        <w:tabs>
          <w:tab w:val="num" w:pos="5760"/>
        </w:tabs>
        <w:ind w:left="5760" w:hanging="360"/>
      </w:pPr>
      <w:rPr>
        <w:rFonts w:ascii="Courier New" w:hAnsi="Courier New"/>
      </w:rPr>
    </w:lvl>
    <w:lvl w:ilvl="8" w:tplc="F4D2BA98">
      <w:start w:val="1"/>
      <w:numFmt w:val="bullet"/>
      <w:lvlText w:val=""/>
      <w:lvlJc w:val="left"/>
      <w:pPr>
        <w:tabs>
          <w:tab w:val="num" w:pos="6480"/>
        </w:tabs>
        <w:ind w:left="6480" w:hanging="360"/>
      </w:pPr>
      <w:rPr>
        <w:rFonts w:ascii="Wingdings" w:hAnsi="Wingdings"/>
      </w:rPr>
    </w:lvl>
  </w:abstractNum>
  <w:abstractNum w:abstractNumId="339" w15:restartNumberingAfterBreak="0">
    <w:nsid w:val="72230615"/>
    <w:multiLevelType w:val="hybridMultilevel"/>
    <w:tmpl w:val="72230615"/>
    <w:lvl w:ilvl="0" w:tplc="490CB060">
      <w:start w:val="1"/>
      <w:numFmt w:val="bullet"/>
      <w:lvlText w:val=""/>
      <w:lvlJc w:val="left"/>
      <w:pPr>
        <w:tabs>
          <w:tab w:val="num" w:pos="720"/>
        </w:tabs>
        <w:ind w:left="720" w:hanging="360"/>
      </w:pPr>
      <w:rPr>
        <w:rFonts w:ascii="Symbol" w:hAnsi="Symbol"/>
      </w:rPr>
    </w:lvl>
    <w:lvl w:ilvl="1" w:tplc="C308AAF8">
      <w:start w:val="1"/>
      <w:numFmt w:val="bullet"/>
      <w:lvlText w:val="o"/>
      <w:lvlJc w:val="left"/>
      <w:pPr>
        <w:tabs>
          <w:tab w:val="num" w:pos="1440"/>
        </w:tabs>
        <w:ind w:left="1440" w:hanging="360"/>
      </w:pPr>
      <w:rPr>
        <w:rFonts w:ascii="Courier New" w:hAnsi="Courier New"/>
      </w:rPr>
    </w:lvl>
    <w:lvl w:ilvl="2" w:tplc="9BD2559A">
      <w:start w:val="1"/>
      <w:numFmt w:val="bullet"/>
      <w:lvlText w:val=""/>
      <w:lvlJc w:val="left"/>
      <w:pPr>
        <w:tabs>
          <w:tab w:val="num" w:pos="2160"/>
        </w:tabs>
        <w:ind w:left="2160" w:hanging="360"/>
      </w:pPr>
      <w:rPr>
        <w:rFonts w:ascii="Wingdings" w:hAnsi="Wingdings"/>
      </w:rPr>
    </w:lvl>
    <w:lvl w:ilvl="3" w:tplc="9156FDDA">
      <w:start w:val="1"/>
      <w:numFmt w:val="bullet"/>
      <w:lvlText w:val=""/>
      <w:lvlJc w:val="left"/>
      <w:pPr>
        <w:tabs>
          <w:tab w:val="num" w:pos="2880"/>
        </w:tabs>
        <w:ind w:left="2880" w:hanging="360"/>
      </w:pPr>
      <w:rPr>
        <w:rFonts w:ascii="Symbol" w:hAnsi="Symbol"/>
      </w:rPr>
    </w:lvl>
    <w:lvl w:ilvl="4" w:tplc="497217EC">
      <w:start w:val="1"/>
      <w:numFmt w:val="bullet"/>
      <w:lvlText w:val="o"/>
      <w:lvlJc w:val="left"/>
      <w:pPr>
        <w:tabs>
          <w:tab w:val="num" w:pos="3600"/>
        </w:tabs>
        <w:ind w:left="3600" w:hanging="360"/>
      </w:pPr>
      <w:rPr>
        <w:rFonts w:ascii="Courier New" w:hAnsi="Courier New"/>
      </w:rPr>
    </w:lvl>
    <w:lvl w:ilvl="5" w:tplc="366AD5B6">
      <w:start w:val="1"/>
      <w:numFmt w:val="bullet"/>
      <w:lvlText w:val=""/>
      <w:lvlJc w:val="left"/>
      <w:pPr>
        <w:tabs>
          <w:tab w:val="num" w:pos="4320"/>
        </w:tabs>
        <w:ind w:left="4320" w:hanging="360"/>
      </w:pPr>
      <w:rPr>
        <w:rFonts w:ascii="Wingdings" w:hAnsi="Wingdings"/>
      </w:rPr>
    </w:lvl>
    <w:lvl w:ilvl="6" w:tplc="27901C02">
      <w:start w:val="1"/>
      <w:numFmt w:val="bullet"/>
      <w:lvlText w:val=""/>
      <w:lvlJc w:val="left"/>
      <w:pPr>
        <w:tabs>
          <w:tab w:val="num" w:pos="5040"/>
        </w:tabs>
        <w:ind w:left="5040" w:hanging="360"/>
      </w:pPr>
      <w:rPr>
        <w:rFonts w:ascii="Symbol" w:hAnsi="Symbol"/>
      </w:rPr>
    </w:lvl>
    <w:lvl w:ilvl="7" w:tplc="D8E0C5BA">
      <w:start w:val="1"/>
      <w:numFmt w:val="bullet"/>
      <w:lvlText w:val="o"/>
      <w:lvlJc w:val="left"/>
      <w:pPr>
        <w:tabs>
          <w:tab w:val="num" w:pos="5760"/>
        </w:tabs>
        <w:ind w:left="5760" w:hanging="360"/>
      </w:pPr>
      <w:rPr>
        <w:rFonts w:ascii="Courier New" w:hAnsi="Courier New"/>
      </w:rPr>
    </w:lvl>
    <w:lvl w:ilvl="8" w:tplc="12EA180C">
      <w:start w:val="1"/>
      <w:numFmt w:val="bullet"/>
      <w:lvlText w:val=""/>
      <w:lvlJc w:val="left"/>
      <w:pPr>
        <w:tabs>
          <w:tab w:val="num" w:pos="6480"/>
        </w:tabs>
        <w:ind w:left="6480" w:hanging="360"/>
      </w:pPr>
      <w:rPr>
        <w:rFonts w:ascii="Wingdings" w:hAnsi="Wingdings"/>
      </w:rPr>
    </w:lvl>
  </w:abstractNum>
  <w:abstractNum w:abstractNumId="340" w15:restartNumberingAfterBreak="0">
    <w:nsid w:val="72230616"/>
    <w:multiLevelType w:val="hybridMultilevel"/>
    <w:tmpl w:val="72230616"/>
    <w:lvl w:ilvl="0" w:tplc="C1CC5458">
      <w:start w:val="1"/>
      <w:numFmt w:val="bullet"/>
      <w:lvlText w:val=""/>
      <w:lvlJc w:val="left"/>
      <w:pPr>
        <w:ind w:left="720" w:hanging="360"/>
      </w:pPr>
      <w:rPr>
        <w:rFonts w:ascii="Symbol" w:hAnsi="Symbol"/>
      </w:rPr>
    </w:lvl>
    <w:lvl w:ilvl="1" w:tplc="3ABA4598">
      <w:start w:val="1"/>
      <w:numFmt w:val="bullet"/>
      <w:lvlText w:val="o"/>
      <w:lvlJc w:val="left"/>
      <w:pPr>
        <w:tabs>
          <w:tab w:val="num" w:pos="1440"/>
        </w:tabs>
        <w:ind w:left="1440" w:hanging="360"/>
      </w:pPr>
      <w:rPr>
        <w:rFonts w:ascii="Courier New" w:hAnsi="Courier New"/>
      </w:rPr>
    </w:lvl>
    <w:lvl w:ilvl="2" w:tplc="48F070B0">
      <w:start w:val="1"/>
      <w:numFmt w:val="bullet"/>
      <w:lvlText w:val=""/>
      <w:lvlJc w:val="left"/>
      <w:pPr>
        <w:tabs>
          <w:tab w:val="num" w:pos="2160"/>
        </w:tabs>
        <w:ind w:left="2160" w:hanging="360"/>
      </w:pPr>
      <w:rPr>
        <w:rFonts w:ascii="Wingdings" w:hAnsi="Wingdings"/>
      </w:rPr>
    </w:lvl>
    <w:lvl w:ilvl="3" w:tplc="7458CD9E">
      <w:start w:val="1"/>
      <w:numFmt w:val="bullet"/>
      <w:lvlText w:val=""/>
      <w:lvlJc w:val="left"/>
      <w:pPr>
        <w:tabs>
          <w:tab w:val="num" w:pos="2880"/>
        </w:tabs>
        <w:ind w:left="2880" w:hanging="360"/>
      </w:pPr>
      <w:rPr>
        <w:rFonts w:ascii="Symbol" w:hAnsi="Symbol"/>
      </w:rPr>
    </w:lvl>
    <w:lvl w:ilvl="4" w:tplc="D8B4F34E">
      <w:start w:val="1"/>
      <w:numFmt w:val="bullet"/>
      <w:lvlText w:val="o"/>
      <w:lvlJc w:val="left"/>
      <w:pPr>
        <w:tabs>
          <w:tab w:val="num" w:pos="3600"/>
        </w:tabs>
        <w:ind w:left="3600" w:hanging="360"/>
      </w:pPr>
      <w:rPr>
        <w:rFonts w:ascii="Courier New" w:hAnsi="Courier New"/>
      </w:rPr>
    </w:lvl>
    <w:lvl w:ilvl="5" w:tplc="8FECE3F2">
      <w:start w:val="1"/>
      <w:numFmt w:val="bullet"/>
      <w:lvlText w:val=""/>
      <w:lvlJc w:val="left"/>
      <w:pPr>
        <w:tabs>
          <w:tab w:val="num" w:pos="4320"/>
        </w:tabs>
        <w:ind w:left="4320" w:hanging="360"/>
      </w:pPr>
      <w:rPr>
        <w:rFonts w:ascii="Wingdings" w:hAnsi="Wingdings"/>
      </w:rPr>
    </w:lvl>
    <w:lvl w:ilvl="6" w:tplc="6D6AF6D2">
      <w:start w:val="1"/>
      <w:numFmt w:val="bullet"/>
      <w:lvlText w:val=""/>
      <w:lvlJc w:val="left"/>
      <w:pPr>
        <w:tabs>
          <w:tab w:val="num" w:pos="5040"/>
        </w:tabs>
        <w:ind w:left="5040" w:hanging="360"/>
      </w:pPr>
      <w:rPr>
        <w:rFonts w:ascii="Symbol" w:hAnsi="Symbol"/>
      </w:rPr>
    </w:lvl>
    <w:lvl w:ilvl="7" w:tplc="653AE690">
      <w:start w:val="1"/>
      <w:numFmt w:val="bullet"/>
      <w:lvlText w:val="o"/>
      <w:lvlJc w:val="left"/>
      <w:pPr>
        <w:tabs>
          <w:tab w:val="num" w:pos="5760"/>
        </w:tabs>
        <w:ind w:left="5760" w:hanging="360"/>
      </w:pPr>
      <w:rPr>
        <w:rFonts w:ascii="Courier New" w:hAnsi="Courier New"/>
      </w:rPr>
    </w:lvl>
    <w:lvl w:ilvl="8" w:tplc="B31A90B0">
      <w:start w:val="1"/>
      <w:numFmt w:val="bullet"/>
      <w:lvlText w:val=""/>
      <w:lvlJc w:val="left"/>
      <w:pPr>
        <w:tabs>
          <w:tab w:val="num" w:pos="6480"/>
        </w:tabs>
        <w:ind w:left="6480" w:hanging="360"/>
      </w:pPr>
      <w:rPr>
        <w:rFonts w:ascii="Wingdings" w:hAnsi="Wingdings"/>
      </w:rPr>
    </w:lvl>
  </w:abstractNum>
  <w:abstractNum w:abstractNumId="341" w15:restartNumberingAfterBreak="0">
    <w:nsid w:val="72230617"/>
    <w:multiLevelType w:val="hybridMultilevel"/>
    <w:tmpl w:val="72230617"/>
    <w:lvl w:ilvl="0" w:tplc="B8C85188">
      <w:start w:val="1"/>
      <w:numFmt w:val="bullet"/>
      <w:lvlText w:val=""/>
      <w:lvlJc w:val="left"/>
      <w:pPr>
        <w:ind w:left="720" w:hanging="360"/>
      </w:pPr>
      <w:rPr>
        <w:rFonts w:ascii="Symbol" w:hAnsi="Symbol"/>
      </w:rPr>
    </w:lvl>
    <w:lvl w:ilvl="1" w:tplc="2AB25E80">
      <w:start w:val="1"/>
      <w:numFmt w:val="bullet"/>
      <w:lvlText w:val="o"/>
      <w:lvlJc w:val="left"/>
      <w:pPr>
        <w:ind w:left="1440" w:hanging="360"/>
      </w:pPr>
      <w:rPr>
        <w:rFonts w:ascii="Courier New" w:hAnsi="Courier New"/>
      </w:rPr>
    </w:lvl>
    <w:lvl w:ilvl="2" w:tplc="C5F85E46">
      <w:start w:val="1"/>
      <w:numFmt w:val="bullet"/>
      <w:lvlText w:val=""/>
      <w:lvlJc w:val="left"/>
      <w:pPr>
        <w:tabs>
          <w:tab w:val="num" w:pos="2160"/>
        </w:tabs>
        <w:ind w:left="2160" w:hanging="360"/>
      </w:pPr>
      <w:rPr>
        <w:rFonts w:ascii="Wingdings" w:hAnsi="Wingdings"/>
      </w:rPr>
    </w:lvl>
    <w:lvl w:ilvl="3" w:tplc="35406AA2">
      <w:start w:val="1"/>
      <w:numFmt w:val="bullet"/>
      <w:lvlText w:val=""/>
      <w:lvlJc w:val="left"/>
      <w:pPr>
        <w:tabs>
          <w:tab w:val="num" w:pos="2880"/>
        </w:tabs>
        <w:ind w:left="2880" w:hanging="360"/>
      </w:pPr>
      <w:rPr>
        <w:rFonts w:ascii="Symbol" w:hAnsi="Symbol"/>
      </w:rPr>
    </w:lvl>
    <w:lvl w:ilvl="4" w:tplc="49E4438C">
      <w:start w:val="1"/>
      <w:numFmt w:val="bullet"/>
      <w:lvlText w:val="o"/>
      <w:lvlJc w:val="left"/>
      <w:pPr>
        <w:tabs>
          <w:tab w:val="num" w:pos="3600"/>
        </w:tabs>
        <w:ind w:left="3600" w:hanging="360"/>
      </w:pPr>
      <w:rPr>
        <w:rFonts w:ascii="Courier New" w:hAnsi="Courier New"/>
      </w:rPr>
    </w:lvl>
    <w:lvl w:ilvl="5" w:tplc="DF02FCF2">
      <w:start w:val="1"/>
      <w:numFmt w:val="bullet"/>
      <w:lvlText w:val=""/>
      <w:lvlJc w:val="left"/>
      <w:pPr>
        <w:tabs>
          <w:tab w:val="num" w:pos="4320"/>
        </w:tabs>
        <w:ind w:left="4320" w:hanging="360"/>
      </w:pPr>
      <w:rPr>
        <w:rFonts w:ascii="Wingdings" w:hAnsi="Wingdings"/>
      </w:rPr>
    </w:lvl>
    <w:lvl w:ilvl="6" w:tplc="542460C6">
      <w:start w:val="1"/>
      <w:numFmt w:val="bullet"/>
      <w:lvlText w:val=""/>
      <w:lvlJc w:val="left"/>
      <w:pPr>
        <w:tabs>
          <w:tab w:val="num" w:pos="5040"/>
        </w:tabs>
        <w:ind w:left="5040" w:hanging="360"/>
      </w:pPr>
      <w:rPr>
        <w:rFonts w:ascii="Symbol" w:hAnsi="Symbol"/>
      </w:rPr>
    </w:lvl>
    <w:lvl w:ilvl="7" w:tplc="09B6FE1A">
      <w:start w:val="1"/>
      <w:numFmt w:val="bullet"/>
      <w:lvlText w:val="o"/>
      <w:lvlJc w:val="left"/>
      <w:pPr>
        <w:tabs>
          <w:tab w:val="num" w:pos="5760"/>
        </w:tabs>
        <w:ind w:left="5760" w:hanging="360"/>
      </w:pPr>
      <w:rPr>
        <w:rFonts w:ascii="Courier New" w:hAnsi="Courier New"/>
      </w:rPr>
    </w:lvl>
    <w:lvl w:ilvl="8" w:tplc="B6CAE740">
      <w:start w:val="1"/>
      <w:numFmt w:val="bullet"/>
      <w:lvlText w:val=""/>
      <w:lvlJc w:val="left"/>
      <w:pPr>
        <w:tabs>
          <w:tab w:val="num" w:pos="6480"/>
        </w:tabs>
        <w:ind w:left="6480" w:hanging="360"/>
      </w:pPr>
      <w:rPr>
        <w:rFonts w:ascii="Wingdings" w:hAnsi="Wingdings"/>
      </w:rPr>
    </w:lvl>
  </w:abstractNum>
  <w:abstractNum w:abstractNumId="342" w15:restartNumberingAfterBreak="0">
    <w:nsid w:val="72230618"/>
    <w:multiLevelType w:val="hybridMultilevel"/>
    <w:tmpl w:val="72230618"/>
    <w:lvl w:ilvl="0" w:tplc="8B748284">
      <w:start w:val="1"/>
      <w:numFmt w:val="bullet"/>
      <w:lvlText w:val=""/>
      <w:lvlJc w:val="left"/>
      <w:pPr>
        <w:ind w:left="720" w:hanging="360"/>
      </w:pPr>
      <w:rPr>
        <w:rFonts w:ascii="Symbol" w:hAnsi="Symbol"/>
      </w:rPr>
    </w:lvl>
    <w:lvl w:ilvl="1" w:tplc="64D0EC74">
      <w:start w:val="1"/>
      <w:numFmt w:val="bullet"/>
      <w:lvlText w:val="o"/>
      <w:lvlJc w:val="left"/>
      <w:pPr>
        <w:ind w:left="1440" w:hanging="360"/>
      </w:pPr>
      <w:rPr>
        <w:rFonts w:ascii="Courier New" w:hAnsi="Courier New"/>
      </w:rPr>
    </w:lvl>
    <w:lvl w:ilvl="2" w:tplc="C97888D2">
      <w:start w:val="1"/>
      <w:numFmt w:val="bullet"/>
      <w:lvlText w:val=""/>
      <w:lvlJc w:val="left"/>
      <w:pPr>
        <w:tabs>
          <w:tab w:val="num" w:pos="2160"/>
        </w:tabs>
        <w:ind w:left="2160" w:hanging="360"/>
      </w:pPr>
      <w:rPr>
        <w:rFonts w:ascii="Wingdings" w:hAnsi="Wingdings"/>
      </w:rPr>
    </w:lvl>
    <w:lvl w:ilvl="3" w:tplc="7C843C20">
      <w:start w:val="1"/>
      <w:numFmt w:val="bullet"/>
      <w:lvlText w:val=""/>
      <w:lvlJc w:val="left"/>
      <w:pPr>
        <w:tabs>
          <w:tab w:val="num" w:pos="2880"/>
        </w:tabs>
        <w:ind w:left="2880" w:hanging="360"/>
      </w:pPr>
      <w:rPr>
        <w:rFonts w:ascii="Symbol" w:hAnsi="Symbol"/>
      </w:rPr>
    </w:lvl>
    <w:lvl w:ilvl="4" w:tplc="12D27DC8">
      <w:start w:val="1"/>
      <w:numFmt w:val="bullet"/>
      <w:lvlText w:val="o"/>
      <w:lvlJc w:val="left"/>
      <w:pPr>
        <w:tabs>
          <w:tab w:val="num" w:pos="3600"/>
        </w:tabs>
        <w:ind w:left="3600" w:hanging="360"/>
      </w:pPr>
      <w:rPr>
        <w:rFonts w:ascii="Courier New" w:hAnsi="Courier New"/>
      </w:rPr>
    </w:lvl>
    <w:lvl w:ilvl="5" w:tplc="CF50DECE">
      <w:start w:val="1"/>
      <w:numFmt w:val="bullet"/>
      <w:lvlText w:val=""/>
      <w:lvlJc w:val="left"/>
      <w:pPr>
        <w:tabs>
          <w:tab w:val="num" w:pos="4320"/>
        </w:tabs>
        <w:ind w:left="4320" w:hanging="360"/>
      </w:pPr>
      <w:rPr>
        <w:rFonts w:ascii="Wingdings" w:hAnsi="Wingdings"/>
      </w:rPr>
    </w:lvl>
    <w:lvl w:ilvl="6" w:tplc="2BCEDA9C">
      <w:start w:val="1"/>
      <w:numFmt w:val="bullet"/>
      <w:lvlText w:val=""/>
      <w:lvlJc w:val="left"/>
      <w:pPr>
        <w:tabs>
          <w:tab w:val="num" w:pos="5040"/>
        </w:tabs>
        <w:ind w:left="5040" w:hanging="360"/>
      </w:pPr>
      <w:rPr>
        <w:rFonts w:ascii="Symbol" w:hAnsi="Symbol"/>
      </w:rPr>
    </w:lvl>
    <w:lvl w:ilvl="7" w:tplc="22080A36">
      <w:start w:val="1"/>
      <w:numFmt w:val="bullet"/>
      <w:lvlText w:val="o"/>
      <w:lvlJc w:val="left"/>
      <w:pPr>
        <w:tabs>
          <w:tab w:val="num" w:pos="5760"/>
        </w:tabs>
        <w:ind w:left="5760" w:hanging="360"/>
      </w:pPr>
      <w:rPr>
        <w:rFonts w:ascii="Courier New" w:hAnsi="Courier New"/>
      </w:rPr>
    </w:lvl>
    <w:lvl w:ilvl="8" w:tplc="FA785BE4">
      <w:start w:val="1"/>
      <w:numFmt w:val="bullet"/>
      <w:lvlText w:val=""/>
      <w:lvlJc w:val="left"/>
      <w:pPr>
        <w:tabs>
          <w:tab w:val="num" w:pos="6480"/>
        </w:tabs>
        <w:ind w:left="6480" w:hanging="360"/>
      </w:pPr>
      <w:rPr>
        <w:rFonts w:ascii="Wingdings" w:hAnsi="Wingdings"/>
      </w:rPr>
    </w:lvl>
  </w:abstractNum>
  <w:abstractNum w:abstractNumId="343" w15:restartNumberingAfterBreak="0">
    <w:nsid w:val="72230619"/>
    <w:multiLevelType w:val="hybridMultilevel"/>
    <w:tmpl w:val="72230619"/>
    <w:lvl w:ilvl="0" w:tplc="CF3CAAB4">
      <w:start w:val="1"/>
      <w:numFmt w:val="bullet"/>
      <w:lvlText w:val=""/>
      <w:lvlJc w:val="left"/>
      <w:pPr>
        <w:ind w:left="720" w:hanging="360"/>
      </w:pPr>
      <w:rPr>
        <w:rFonts w:ascii="Symbol" w:hAnsi="Symbol"/>
      </w:rPr>
    </w:lvl>
    <w:lvl w:ilvl="1" w:tplc="641635BA">
      <w:start w:val="1"/>
      <w:numFmt w:val="bullet"/>
      <w:lvlText w:val="o"/>
      <w:lvlJc w:val="left"/>
      <w:pPr>
        <w:tabs>
          <w:tab w:val="num" w:pos="1440"/>
        </w:tabs>
        <w:ind w:left="1440" w:hanging="360"/>
      </w:pPr>
      <w:rPr>
        <w:rFonts w:ascii="Courier New" w:hAnsi="Courier New"/>
      </w:rPr>
    </w:lvl>
    <w:lvl w:ilvl="2" w:tplc="94FACB40">
      <w:start w:val="1"/>
      <w:numFmt w:val="bullet"/>
      <w:lvlText w:val=""/>
      <w:lvlJc w:val="left"/>
      <w:pPr>
        <w:tabs>
          <w:tab w:val="num" w:pos="2160"/>
        </w:tabs>
        <w:ind w:left="2160" w:hanging="360"/>
      </w:pPr>
      <w:rPr>
        <w:rFonts w:ascii="Wingdings" w:hAnsi="Wingdings"/>
      </w:rPr>
    </w:lvl>
    <w:lvl w:ilvl="3" w:tplc="14008BA0">
      <w:start w:val="1"/>
      <w:numFmt w:val="bullet"/>
      <w:lvlText w:val=""/>
      <w:lvlJc w:val="left"/>
      <w:pPr>
        <w:tabs>
          <w:tab w:val="num" w:pos="2880"/>
        </w:tabs>
        <w:ind w:left="2880" w:hanging="360"/>
      </w:pPr>
      <w:rPr>
        <w:rFonts w:ascii="Symbol" w:hAnsi="Symbol"/>
      </w:rPr>
    </w:lvl>
    <w:lvl w:ilvl="4" w:tplc="23364F3A">
      <w:start w:val="1"/>
      <w:numFmt w:val="bullet"/>
      <w:lvlText w:val="o"/>
      <w:lvlJc w:val="left"/>
      <w:pPr>
        <w:tabs>
          <w:tab w:val="num" w:pos="3600"/>
        </w:tabs>
        <w:ind w:left="3600" w:hanging="360"/>
      </w:pPr>
      <w:rPr>
        <w:rFonts w:ascii="Courier New" w:hAnsi="Courier New"/>
      </w:rPr>
    </w:lvl>
    <w:lvl w:ilvl="5" w:tplc="B1F81774">
      <w:start w:val="1"/>
      <w:numFmt w:val="bullet"/>
      <w:lvlText w:val=""/>
      <w:lvlJc w:val="left"/>
      <w:pPr>
        <w:tabs>
          <w:tab w:val="num" w:pos="4320"/>
        </w:tabs>
        <w:ind w:left="4320" w:hanging="360"/>
      </w:pPr>
      <w:rPr>
        <w:rFonts w:ascii="Wingdings" w:hAnsi="Wingdings"/>
      </w:rPr>
    </w:lvl>
    <w:lvl w:ilvl="6" w:tplc="46EC1C28">
      <w:start w:val="1"/>
      <w:numFmt w:val="bullet"/>
      <w:lvlText w:val=""/>
      <w:lvlJc w:val="left"/>
      <w:pPr>
        <w:tabs>
          <w:tab w:val="num" w:pos="5040"/>
        </w:tabs>
        <w:ind w:left="5040" w:hanging="360"/>
      </w:pPr>
      <w:rPr>
        <w:rFonts w:ascii="Symbol" w:hAnsi="Symbol"/>
      </w:rPr>
    </w:lvl>
    <w:lvl w:ilvl="7" w:tplc="A484D1EA">
      <w:start w:val="1"/>
      <w:numFmt w:val="bullet"/>
      <w:lvlText w:val="o"/>
      <w:lvlJc w:val="left"/>
      <w:pPr>
        <w:tabs>
          <w:tab w:val="num" w:pos="5760"/>
        </w:tabs>
        <w:ind w:left="5760" w:hanging="360"/>
      </w:pPr>
      <w:rPr>
        <w:rFonts w:ascii="Courier New" w:hAnsi="Courier New"/>
      </w:rPr>
    </w:lvl>
    <w:lvl w:ilvl="8" w:tplc="BA947686">
      <w:start w:val="1"/>
      <w:numFmt w:val="bullet"/>
      <w:lvlText w:val=""/>
      <w:lvlJc w:val="left"/>
      <w:pPr>
        <w:tabs>
          <w:tab w:val="num" w:pos="6480"/>
        </w:tabs>
        <w:ind w:left="6480" w:hanging="360"/>
      </w:pPr>
      <w:rPr>
        <w:rFonts w:ascii="Wingdings" w:hAnsi="Wingdings"/>
      </w:rPr>
    </w:lvl>
  </w:abstractNum>
  <w:abstractNum w:abstractNumId="344" w15:restartNumberingAfterBreak="0">
    <w:nsid w:val="7223061A"/>
    <w:multiLevelType w:val="hybridMultilevel"/>
    <w:tmpl w:val="7223061A"/>
    <w:lvl w:ilvl="0" w:tplc="8590691E">
      <w:start w:val="1"/>
      <w:numFmt w:val="bullet"/>
      <w:lvlText w:val=""/>
      <w:lvlJc w:val="left"/>
      <w:pPr>
        <w:ind w:left="720" w:hanging="360"/>
      </w:pPr>
      <w:rPr>
        <w:rFonts w:ascii="Symbol" w:hAnsi="Symbol"/>
      </w:rPr>
    </w:lvl>
    <w:lvl w:ilvl="1" w:tplc="0360DAC0">
      <w:start w:val="1"/>
      <w:numFmt w:val="bullet"/>
      <w:lvlText w:val="o"/>
      <w:lvlJc w:val="left"/>
      <w:pPr>
        <w:ind w:left="1440" w:hanging="360"/>
      </w:pPr>
      <w:rPr>
        <w:rFonts w:ascii="Courier New" w:hAnsi="Courier New"/>
      </w:rPr>
    </w:lvl>
    <w:lvl w:ilvl="2" w:tplc="A32C7A04">
      <w:start w:val="1"/>
      <w:numFmt w:val="bullet"/>
      <w:lvlText w:val=""/>
      <w:lvlJc w:val="left"/>
      <w:pPr>
        <w:ind w:left="2160" w:hanging="360"/>
      </w:pPr>
      <w:rPr>
        <w:rFonts w:ascii="Wingdings" w:hAnsi="Wingdings"/>
      </w:rPr>
    </w:lvl>
    <w:lvl w:ilvl="3" w:tplc="85547590">
      <w:start w:val="1"/>
      <w:numFmt w:val="bullet"/>
      <w:lvlText w:val=""/>
      <w:lvlJc w:val="left"/>
      <w:pPr>
        <w:tabs>
          <w:tab w:val="num" w:pos="2880"/>
        </w:tabs>
        <w:ind w:left="2880" w:hanging="360"/>
      </w:pPr>
      <w:rPr>
        <w:rFonts w:ascii="Symbol" w:hAnsi="Symbol"/>
      </w:rPr>
    </w:lvl>
    <w:lvl w:ilvl="4" w:tplc="B0ECE790">
      <w:start w:val="1"/>
      <w:numFmt w:val="bullet"/>
      <w:lvlText w:val="o"/>
      <w:lvlJc w:val="left"/>
      <w:pPr>
        <w:tabs>
          <w:tab w:val="num" w:pos="3600"/>
        </w:tabs>
        <w:ind w:left="3600" w:hanging="360"/>
      </w:pPr>
      <w:rPr>
        <w:rFonts w:ascii="Courier New" w:hAnsi="Courier New"/>
      </w:rPr>
    </w:lvl>
    <w:lvl w:ilvl="5" w:tplc="33048CCC">
      <w:start w:val="1"/>
      <w:numFmt w:val="bullet"/>
      <w:lvlText w:val=""/>
      <w:lvlJc w:val="left"/>
      <w:pPr>
        <w:tabs>
          <w:tab w:val="num" w:pos="4320"/>
        </w:tabs>
        <w:ind w:left="4320" w:hanging="360"/>
      </w:pPr>
      <w:rPr>
        <w:rFonts w:ascii="Wingdings" w:hAnsi="Wingdings"/>
      </w:rPr>
    </w:lvl>
    <w:lvl w:ilvl="6" w:tplc="12C0AF54">
      <w:start w:val="1"/>
      <w:numFmt w:val="bullet"/>
      <w:lvlText w:val=""/>
      <w:lvlJc w:val="left"/>
      <w:pPr>
        <w:tabs>
          <w:tab w:val="num" w:pos="5040"/>
        </w:tabs>
        <w:ind w:left="5040" w:hanging="360"/>
      </w:pPr>
      <w:rPr>
        <w:rFonts w:ascii="Symbol" w:hAnsi="Symbol"/>
      </w:rPr>
    </w:lvl>
    <w:lvl w:ilvl="7" w:tplc="BB72864E">
      <w:start w:val="1"/>
      <w:numFmt w:val="bullet"/>
      <w:lvlText w:val="o"/>
      <w:lvlJc w:val="left"/>
      <w:pPr>
        <w:tabs>
          <w:tab w:val="num" w:pos="5760"/>
        </w:tabs>
        <w:ind w:left="5760" w:hanging="360"/>
      </w:pPr>
      <w:rPr>
        <w:rFonts w:ascii="Courier New" w:hAnsi="Courier New"/>
      </w:rPr>
    </w:lvl>
    <w:lvl w:ilvl="8" w:tplc="DC149DB0">
      <w:start w:val="1"/>
      <w:numFmt w:val="bullet"/>
      <w:lvlText w:val=""/>
      <w:lvlJc w:val="left"/>
      <w:pPr>
        <w:tabs>
          <w:tab w:val="num" w:pos="6480"/>
        </w:tabs>
        <w:ind w:left="6480" w:hanging="360"/>
      </w:pPr>
      <w:rPr>
        <w:rFonts w:ascii="Wingdings" w:hAnsi="Wingdings"/>
      </w:rPr>
    </w:lvl>
  </w:abstractNum>
  <w:abstractNum w:abstractNumId="345" w15:restartNumberingAfterBreak="0">
    <w:nsid w:val="7223061B"/>
    <w:multiLevelType w:val="hybridMultilevel"/>
    <w:tmpl w:val="7223061B"/>
    <w:lvl w:ilvl="0" w:tplc="381634FE">
      <w:start w:val="1"/>
      <w:numFmt w:val="bullet"/>
      <w:lvlText w:val=""/>
      <w:lvlJc w:val="left"/>
      <w:pPr>
        <w:ind w:left="720" w:hanging="360"/>
      </w:pPr>
      <w:rPr>
        <w:rFonts w:ascii="Symbol" w:hAnsi="Symbol"/>
      </w:rPr>
    </w:lvl>
    <w:lvl w:ilvl="1" w:tplc="843C58AE">
      <w:start w:val="1"/>
      <w:numFmt w:val="bullet"/>
      <w:lvlText w:val="o"/>
      <w:lvlJc w:val="left"/>
      <w:pPr>
        <w:tabs>
          <w:tab w:val="num" w:pos="1440"/>
        </w:tabs>
        <w:ind w:left="1440" w:hanging="360"/>
      </w:pPr>
      <w:rPr>
        <w:rFonts w:ascii="Courier New" w:hAnsi="Courier New"/>
      </w:rPr>
    </w:lvl>
    <w:lvl w:ilvl="2" w:tplc="7A42B642">
      <w:start w:val="1"/>
      <w:numFmt w:val="bullet"/>
      <w:lvlText w:val=""/>
      <w:lvlJc w:val="left"/>
      <w:pPr>
        <w:tabs>
          <w:tab w:val="num" w:pos="2160"/>
        </w:tabs>
        <w:ind w:left="2160" w:hanging="360"/>
      </w:pPr>
      <w:rPr>
        <w:rFonts w:ascii="Wingdings" w:hAnsi="Wingdings"/>
      </w:rPr>
    </w:lvl>
    <w:lvl w:ilvl="3" w:tplc="AE28C166">
      <w:start w:val="1"/>
      <w:numFmt w:val="bullet"/>
      <w:lvlText w:val=""/>
      <w:lvlJc w:val="left"/>
      <w:pPr>
        <w:tabs>
          <w:tab w:val="num" w:pos="2880"/>
        </w:tabs>
        <w:ind w:left="2880" w:hanging="360"/>
      </w:pPr>
      <w:rPr>
        <w:rFonts w:ascii="Symbol" w:hAnsi="Symbol"/>
      </w:rPr>
    </w:lvl>
    <w:lvl w:ilvl="4" w:tplc="EFFC1EF8">
      <w:start w:val="1"/>
      <w:numFmt w:val="bullet"/>
      <w:lvlText w:val="o"/>
      <w:lvlJc w:val="left"/>
      <w:pPr>
        <w:tabs>
          <w:tab w:val="num" w:pos="3600"/>
        </w:tabs>
        <w:ind w:left="3600" w:hanging="360"/>
      </w:pPr>
      <w:rPr>
        <w:rFonts w:ascii="Courier New" w:hAnsi="Courier New"/>
      </w:rPr>
    </w:lvl>
    <w:lvl w:ilvl="5" w:tplc="7C60D198">
      <w:start w:val="1"/>
      <w:numFmt w:val="bullet"/>
      <w:lvlText w:val=""/>
      <w:lvlJc w:val="left"/>
      <w:pPr>
        <w:tabs>
          <w:tab w:val="num" w:pos="4320"/>
        </w:tabs>
        <w:ind w:left="4320" w:hanging="360"/>
      </w:pPr>
      <w:rPr>
        <w:rFonts w:ascii="Wingdings" w:hAnsi="Wingdings"/>
      </w:rPr>
    </w:lvl>
    <w:lvl w:ilvl="6" w:tplc="5078A3F0">
      <w:start w:val="1"/>
      <w:numFmt w:val="bullet"/>
      <w:lvlText w:val=""/>
      <w:lvlJc w:val="left"/>
      <w:pPr>
        <w:tabs>
          <w:tab w:val="num" w:pos="5040"/>
        </w:tabs>
        <w:ind w:left="5040" w:hanging="360"/>
      </w:pPr>
      <w:rPr>
        <w:rFonts w:ascii="Symbol" w:hAnsi="Symbol"/>
      </w:rPr>
    </w:lvl>
    <w:lvl w:ilvl="7" w:tplc="C542F14C">
      <w:start w:val="1"/>
      <w:numFmt w:val="bullet"/>
      <w:lvlText w:val="o"/>
      <w:lvlJc w:val="left"/>
      <w:pPr>
        <w:tabs>
          <w:tab w:val="num" w:pos="5760"/>
        </w:tabs>
        <w:ind w:left="5760" w:hanging="360"/>
      </w:pPr>
      <w:rPr>
        <w:rFonts w:ascii="Courier New" w:hAnsi="Courier New"/>
      </w:rPr>
    </w:lvl>
    <w:lvl w:ilvl="8" w:tplc="71D6B8B8">
      <w:start w:val="1"/>
      <w:numFmt w:val="bullet"/>
      <w:lvlText w:val=""/>
      <w:lvlJc w:val="left"/>
      <w:pPr>
        <w:tabs>
          <w:tab w:val="num" w:pos="6480"/>
        </w:tabs>
        <w:ind w:left="6480" w:hanging="360"/>
      </w:pPr>
      <w:rPr>
        <w:rFonts w:ascii="Wingdings" w:hAnsi="Wingdings"/>
      </w:rPr>
    </w:lvl>
  </w:abstractNum>
  <w:abstractNum w:abstractNumId="346" w15:restartNumberingAfterBreak="0">
    <w:nsid w:val="7223061C"/>
    <w:multiLevelType w:val="hybridMultilevel"/>
    <w:tmpl w:val="7223061C"/>
    <w:lvl w:ilvl="0" w:tplc="7524491C">
      <w:start w:val="1"/>
      <w:numFmt w:val="bullet"/>
      <w:lvlText w:val=""/>
      <w:lvlJc w:val="left"/>
      <w:pPr>
        <w:ind w:left="720" w:hanging="360"/>
      </w:pPr>
      <w:rPr>
        <w:rFonts w:ascii="Symbol" w:hAnsi="Symbol"/>
      </w:rPr>
    </w:lvl>
    <w:lvl w:ilvl="1" w:tplc="44B2C2A8">
      <w:start w:val="1"/>
      <w:numFmt w:val="bullet"/>
      <w:lvlText w:val="o"/>
      <w:lvlJc w:val="left"/>
      <w:pPr>
        <w:ind w:left="1440" w:hanging="360"/>
      </w:pPr>
      <w:rPr>
        <w:rFonts w:ascii="Courier New" w:hAnsi="Courier New"/>
      </w:rPr>
    </w:lvl>
    <w:lvl w:ilvl="2" w:tplc="28EA26AC">
      <w:start w:val="1"/>
      <w:numFmt w:val="bullet"/>
      <w:lvlText w:val=""/>
      <w:lvlJc w:val="left"/>
      <w:pPr>
        <w:tabs>
          <w:tab w:val="num" w:pos="2160"/>
        </w:tabs>
        <w:ind w:left="2160" w:hanging="360"/>
      </w:pPr>
      <w:rPr>
        <w:rFonts w:ascii="Wingdings" w:hAnsi="Wingdings"/>
      </w:rPr>
    </w:lvl>
    <w:lvl w:ilvl="3" w:tplc="F00EED9C">
      <w:start w:val="1"/>
      <w:numFmt w:val="bullet"/>
      <w:lvlText w:val=""/>
      <w:lvlJc w:val="left"/>
      <w:pPr>
        <w:tabs>
          <w:tab w:val="num" w:pos="2880"/>
        </w:tabs>
        <w:ind w:left="2880" w:hanging="360"/>
      </w:pPr>
      <w:rPr>
        <w:rFonts w:ascii="Symbol" w:hAnsi="Symbol"/>
      </w:rPr>
    </w:lvl>
    <w:lvl w:ilvl="4" w:tplc="FCE43C58">
      <w:start w:val="1"/>
      <w:numFmt w:val="bullet"/>
      <w:lvlText w:val="o"/>
      <w:lvlJc w:val="left"/>
      <w:pPr>
        <w:tabs>
          <w:tab w:val="num" w:pos="3600"/>
        </w:tabs>
        <w:ind w:left="3600" w:hanging="360"/>
      </w:pPr>
      <w:rPr>
        <w:rFonts w:ascii="Courier New" w:hAnsi="Courier New"/>
      </w:rPr>
    </w:lvl>
    <w:lvl w:ilvl="5" w:tplc="80D868DA">
      <w:start w:val="1"/>
      <w:numFmt w:val="bullet"/>
      <w:lvlText w:val=""/>
      <w:lvlJc w:val="left"/>
      <w:pPr>
        <w:tabs>
          <w:tab w:val="num" w:pos="4320"/>
        </w:tabs>
        <w:ind w:left="4320" w:hanging="360"/>
      </w:pPr>
      <w:rPr>
        <w:rFonts w:ascii="Wingdings" w:hAnsi="Wingdings"/>
      </w:rPr>
    </w:lvl>
    <w:lvl w:ilvl="6" w:tplc="F67A2662">
      <w:start w:val="1"/>
      <w:numFmt w:val="bullet"/>
      <w:lvlText w:val=""/>
      <w:lvlJc w:val="left"/>
      <w:pPr>
        <w:tabs>
          <w:tab w:val="num" w:pos="5040"/>
        </w:tabs>
        <w:ind w:left="5040" w:hanging="360"/>
      </w:pPr>
      <w:rPr>
        <w:rFonts w:ascii="Symbol" w:hAnsi="Symbol"/>
      </w:rPr>
    </w:lvl>
    <w:lvl w:ilvl="7" w:tplc="076C1EE4">
      <w:start w:val="1"/>
      <w:numFmt w:val="bullet"/>
      <w:lvlText w:val="o"/>
      <w:lvlJc w:val="left"/>
      <w:pPr>
        <w:tabs>
          <w:tab w:val="num" w:pos="5760"/>
        </w:tabs>
        <w:ind w:left="5760" w:hanging="360"/>
      </w:pPr>
      <w:rPr>
        <w:rFonts w:ascii="Courier New" w:hAnsi="Courier New"/>
      </w:rPr>
    </w:lvl>
    <w:lvl w:ilvl="8" w:tplc="8448263E">
      <w:start w:val="1"/>
      <w:numFmt w:val="bullet"/>
      <w:lvlText w:val=""/>
      <w:lvlJc w:val="left"/>
      <w:pPr>
        <w:tabs>
          <w:tab w:val="num" w:pos="6480"/>
        </w:tabs>
        <w:ind w:left="6480" w:hanging="360"/>
      </w:pPr>
      <w:rPr>
        <w:rFonts w:ascii="Wingdings" w:hAnsi="Wingdings"/>
      </w:rPr>
    </w:lvl>
  </w:abstractNum>
  <w:abstractNum w:abstractNumId="347" w15:restartNumberingAfterBreak="0">
    <w:nsid w:val="7223061D"/>
    <w:multiLevelType w:val="hybridMultilevel"/>
    <w:tmpl w:val="7223061D"/>
    <w:lvl w:ilvl="0" w:tplc="2230E82A">
      <w:start w:val="1"/>
      <w:numFmt w:val="bullet"/>
      <w:lvlText w:val=""/>
      <w:lvlJc w:val="left"/>
      <w:pPr>
        <w:ind w:left="720" w:hanging="360"/>
      </w:pPr>
      <w:rPr>
        <w:rFonts w:ascii="Symbol" w:hAnsi="Symbol"/>
      </w:rPr>
    </w:lvl>
    <w:lvl w:ilvl="1" w:tplc="1BE69474">
      <w:start w:val="1"/>
      <w:numFmt w:val="bullet"/>
      <w:lvlText w:val="o"/>
      <w:lvlJc w:val="left"/>
      <w:pPr>
        <w:tabs>
          <w:tab w:val="num" w:pos="1440"/>
        </w:tabs>
        <w:ind w:left="1440" w:hanging="360"/>
      </w:pPr>
      <w:rPr>
        <w:rFonts w:ascii="Courier New" w:hAnsi="Courier New"/>
      </w:rPr>
    </w:lvl>
    <w:lvl w:ilvl="2" w:tplc="A424849C">
      <w:start w:val="1"/>
      <w:numFmt w:val="bullet"/>
      <w:lvlText w:val=""/>
      <w:lvlJc w:val="left"/>
      <w:pPr>
        <w:tabs>
          <w:tab w:val="num" w:pos="2160"/>
        </w:tabs>
        <w:ind w:left="2160" w:hanging="360"/>
      </w:pPr>
      <w:rPr>
        <w:rFonts w:ascii="Wingdings" w:hAnsi="Wingdings"/>
      </w:rPr>
    </w:lvl>
    <w:lvl w:ilvl="3" w:tplc="FC643532">
      <w:start w:val="1"/>
      <w:numFmt w:val="bullet"/>
      <w:lvlText w:val=""/>
      <w:lvlJc w:val="left"/>
      <w:pPr>
        <w:tabs>
          <w:tab w:val="num" w:pos="2880"/>
        </w:tabs>
        <w:ind w:left="2880" w:hanging="360"/>
      </w:pPr>
      <w:rPr>
        <w:rFonts w:ascii="Symbol" w:hAnsi="Symbol"/>
      </w:rPr>
    </w:lvl>
    <w:lvl w:ilvl="4" w:tplc="286064AE">
      <w:start w:val="1"/>
      <w:numFmt w:val="bullet"/>
      <w:lvlText w:val="o"/>
      <w:lvlJc w:val="left"/>
      <w:pPr>
        <w:tabs>
          <w:tab w:val="num" w:pos="3600"/>
        </w:tabs>
        <w:ind w:left="3600" w:hanging="360"/>
      </w:pPr>
      <w:rPr>
        <w:rFonts w:ascii="Courier New" w:hAnsi="Courier New"/>
      </w:rPr>
    </w:lvl>
    <w:lvl w:ilvl="5" w:tplc="F3E0735E">
      <w:start w:val="1"/>
      <w:numFmt w:val="bullet"/>
      <w:lvlText w:val=""/>
      <w:lvlJc w:val="left"/>
      <w:pPr>
        <w:tabs>
          <w:tab w:val="num" w:pos="4320"/>
        </w:tabs>
        <w:ind w:left="4320" w:hanging="360"/>
      </w:pPr>
      <w:rPr>
        <w:rFonts w:ascii="Wingdings" w:hAnsi="Wingdings"/>
      </w:rPr>
    </w:lvl>
    <w:lvl w:ilvl="6" w:tplc="3E9A1D76">
      <w:start w:val="1"/>
      <w:numFmt w:val="bullet"/>
      <w:lvlText w:val=""/>
      <w:lvlJc w:val="left"/>
      <w:pPr>
        <w:tabs>
          <w:tab w:val="num" w:pos="5040"/>
        </w:tabs>
        <w:ind w:left="5040" w:hanging="360"/>
      </w:pPr>
      <w:rPr>
        <w:rFonts w:ascii="Symbol" w:hAnsi="Symbol"/>
      </w:rPr>
    </w:lvl>
    <w:lvl w:ilvl="7" w:tplc="86C6CCCE">
      <w:start w:val="1"/>
      <w:numFmt w:val="bullet"/>
      <w:lvlText w:val="o"/>
      <w:lvlJc w:val="left"/>
      <w:pPr>
        <w:tabs>
          <w:tab w:val="num" w:pos="5760"/>
        </w:tabs>
        <w:ind w:left="5760" w:hanging="360"/>
      </w:pPr>
      <w:rPr>
        <w:rFonts w:ascii="Courier New" w:hAnsi="Courier New"/>
      </w:rPr>
    </w:lvl>
    <w:lvl w:ilvl="8" w:tplc="7AA0C090">
      <w:start w:val="1"/>
      <w:numFmt w:val="bullet"/>
      <w:lvlText w:val=""/>
      <w:lvlJc w:val="left"/>
      <w:pPr>
        <w:tabs>
          <w:tab w:val="num" w:pos="6480"/>
        </w:tabs>
        <w:ind w:left="6480" w:hanging="360"/>
      </w:pPr>
      <w:rPr>
        <w:rFonts w:ascii="Wingdings" w:hAnsi="Wingdings"/>
      </w:rPr>
    </w:lvl>
  </w:abstractNum>
  <w:abstractNum w:abstractNumId="348" w15:restartNumberingAfterBreak="0">
    <w:nsid w:val="7223061E"/>
    <w:multiLevelType w:val="hybridMultilevel"/>
    <w:tmpl w:val="7223061E"/>
    <w:lvl w:ilvl="0" w:tplc="A38CD17A">
      <w:start w:val="1"/>
      <w:numFmt w:val="bullet"/>
      <w:lvlText w:val=""/>
      <w:lvlJc w:val="left"/>
      <w:pPr>
        <w:ind w:left="720" w:hanging="360"/>
      </w:pPr>
      <w:rPr>
        <w:rFonts w:ascii="Symbol" w:hAnsi="Symbol"/>
      </w:rPr>
    </w:lvl>
    <w:lvl w:ilvl="1" w:tplc="EA4855FA">
      <w:start w:val="1"/>
      <w:numFmt w:val="bullet"/>
      <w:lvlText w:val="o"/>
      <w:lvlJc w:val="left"/>
      <w:pPr>
        <w:tabs>
          <w:tab w:val="num" w:pos="1440"/>
        </w:tabs>
        <w:ind w:left="1440" w:hanging="360"/>
      </w:pPr>
      <w:rPr>
        <w:rFonts w:ascii="Courier New" w:hAnsi="Courier New"/>
      </w:rPr>
    </w:lvl>
    <w:lvl w:ilvl="2" w:tplc="C8CE01C8">
      <w:start w:val="1"/>
      <w:numFmt w:val="bullet"/>
      <w:lvlText w:val=""/>
      <w:lvlJc w:val="left"/>
      <w:pPr>
        <w:tabs>
          <w:tab w:val="num" w:pos="2160"/>
        </w:tabs>
        <w:ind w:left="2160" w:hanging="360"/>
      </w:pPr>
      <w:rPr>
        <w:rFonts w:ascii="Wingdings" w:hAnsi="Wingdings"/>
      </w:rPr>
    </w:lvl>
    <w:lvl w:ilvl="3" w:tplc="C4544CE8">
      <w:start w:val="1"/>
      <w:numFmt w:val="bullet"/>
      <w:lvlText w:val=""/>
      <w:lvlJc w:val="left"/>
      <w:pPr>
        <w:tabs>
          <w:tab w:val="num" w:pos="2880"/>
        </w:tabs>
        <w:ind w:left="2880" w:hanging="360"/>
      </w:pPr>
      <w:rPr>
        <w:rFonts w:ascii="Symbol" w:hAnsi="Symbol"/>
      </w:rPr>
    </w:lvl>
    <w:lvl w:ilvl="4" w:tplc="F38E187E">
      <w:start w:val="1"/>
      <w:numFmt w:val="bullet"/>
      <w:lvlText w:val="o"/>
      <w:lvlJc w:val="left"/>
      <w:pPr>
        <w:tabs>
          <w:tab w:val="num" w:pos="3600"/>
        </w:tabs>
        <w:ind w:left="3600" w:hanging="360"/>
      </w:pPr>
      <w:rPr>
        <w:rFonts w:ascii="Courier New" w:hAnsi="Courier New"/>
      </w:rPr>
    </w:lvl>
    <w:lvl w:ilvl="5" w:tplc="ED36C2E2">
      <w:start w:val="1"/>
      <w:numFmt w:val="bullet"/>
      <w:lvlText w:val=""/>
      <w:lvlJc w:val="left"/>
      <w:pPr>
        <w:tabs>
          <w:tab w:val="num" w:pos="4320"/>
        </w:tabs>
        <w:ind w:left="4320" w:hanging="360"/>
      </w:pPr>
      <w:rPr>
        <w:rFonts w:ascii="Wingdings" w:hAnsi="Wingdings"/>
      </w:rPr>
    </w:lvl>
    <w:lvl w:ilvl="6" w:tplc="D5525978">
      <w:start w:val="1"/>
      <w:numFmt w:val="bullet"/>
      <w:lvlText w:val=""/>
      <w:lvlJc w:val="left"/>
      <w:pPr>
        <w:tabs>
          <w:tab w:val="num" w:pos="5040"/>
        </w:tabs>
        <w:ind w:left="5040" w:hanging="360"/>
      </w:pPr>
      <w:rPr>
        <w:rFonts w:ascii="Symbol" w:hAnsi="Symbol"/>
      </w:rPr>
    </w:lvl>
    <w:lvl w:ilvl="7" w:tplc="E010592E">
      <w:start w:val="1"/>
      <w:numFmt w:val="bullet"/>
      <w:lvlText w:val="o"/>
      <w:lvlJc w:val="left"/>
      <w:pPr>
        <w:tabs>
          <w:tab w:val="num" w:pos="5760"/>
        </w:tabs>
        <w:ind w:left="5760" w:hanging="360"/>
      </w:pPr>
      <w:rPr>
        <w:rFonts w:ascii="Courier New" w:hAnsi="Courier New"/>
      </w:rPr>
    </w:lvl>
    <w:lvl w:ilvl="8" w:tplc="9E2C81C8">
      <w:start w:val="1"/>
      <w:numFmt w:val="bullet"/>
      <w:lvlText w:val=""/>
      <w:lvlJc w:val="left"/>
      <w:pPr>
        <w:tabs>
          <w:tab w:val="num" w:pos="6480"/>
        </w:tabs>
        <w:ind w:left="6480" w:hanging="360"/>
      </w:pPr>
      <w:rPr>
        <w:rFonts w:ascii="Wingdings" w:hAnsi="Wingdings"/>
      </w:rPr>
    </w:lvl>
  </w:abstractNum>
  <w:abstractNum w:abstractNumId="349" w15:restartNumberingAfterBreak="0">
    <w:nsid w:val="7223061F"/>
    <w:multiLevelType w:val="hybridMultilevel"/>
    <w:tmpl w:val="7223061F"/>
    <w:lvl w:ilvl="0" w:tplc="30BC0444">
      <w:start w:val="1"/>
      <w:numFmt w:val="bullet"/>
      <w:lvlText w:val=""/>
      <w:lvlJc w:val="left"/>
      <w:pPr>
        <w:ind w:left="720" w:hanging="360"/>
      </w:pPr>
      <w:rPr>
        <w:rFonts w:ascii="Symbol" w:hAnsi="Symbol"/>
      </w:rPr>
    </w:lvl>
    <w:lvl w:ilvl="1" w:tplc="F01E69BC">
      <w:start w:val="1"/>
      <w:numFmt w:val="bullet"/>
      <w:lvlText w:val="o"/>
      <w:lvlJc w:val="left"/>
      <w:pPr>
        <w:tabs>
          <w:tab w:val="num" w:pos="1440"/>
        </w:tabs>
        <w:ind w:left="1440" w:hanging="360"/>
      </w:pPr>
      <w:rPr>
        <w:rFonts w:ascii="Courier New" w:hAnsi="Courier New"/>
      </w:rPr>
    </w:lvl>
    <w:lvl w:ilvl="2" w:tplc="C980B0FC">
      <w:start w:val="1"/>
      <w:numFmt w:val="bullet"/>
      <w:lvlText w:val=""/>
      <w:lvlJc w:val="left"/>
      <w:pPr>
        <w:tabs>
          <w:tab w:val="num" w:pos="2160"/>
        </w:tabs>
        <w:ind w:left="2160" w:hanging="360"/>
      </w:pPr>
      <w:rPr>
        <w:rFonts w:ascii="Wingdings" w:hAnsi="Wingdings"/>
      </w:rPr>
    </w:lvl>
    <w:lvl w:ilvl="3" w:tplc="5208571A">
      <w:start w:val="1"/>
      <w:numFmt w:val="bullet"/>
      <w:lvlText w:val=""/>
      <w:lvlJc w:val="left"/>
      <w:pPr>
        <w:tabs>
          <w:tab w:val="num" w:pos="2880"/>
        </w:tabs>
        <w:ind w:left="2880" w:hanging="360"/>
      </w:pPr>
      <w:rPr>
        <w:rFonts w:ascii="Symbol" w:hAnsi="Symbol"/>
      </w:rPr>
    </w:lvl>
    <w:lvl w:ilvl="4" w:tplc="DF02D0F2">
      <w:start w:val="1"/>
      <w:numFmt w:val="bullet"/>
      <w:lvlText w:val="o"/>
      <w:lvlJc w:val="left"/>
      <w:pPr>
        <w:tabs>
          <w:tab w:val="num" w:pos="3600"/>
        </w:tabs>
        <w:ind w:left="3600" w:hanging="360"/>
      </w:pPr>
      <w:rPr>
        <w:rFonts w:ascii="Courier New" w:hAnsi="Courier New"/>
      </w:rPr>
    </w:lvl>
    <w:lvl w:ilvl="5" w:tplc="7C925A1A">
      <w:start w:val="1"/>
      <w:numFmt w:val="bullet"/>
      <w:lvlText w:val=""/>
      <w:lvlJc w:val="left"/>
      <w:pPr>
        <w:tabs>
          <w:tab w:val="num" w:pos="4320"/>
        </w:tabs>
        <w:ind w:left="4320" w:hanging="360"/>
      </w:pPr>
      <w:rPr>
        <w:rFonts w:ascii="Wingdings" w:hAnsi="Wingdings"/>
      </w:rPr>
    </w:lvl>
    <w:lvl w:ilvl="6" w:tplc="227A2152">
      <w:start w:val="1"/>
      <w:numFmt w:val="bullet"/>
      <w:lvlText w:val=""/>
      <w:lvlJc w:val="left"/>
      <w:pPr>
        <w:tabs>
          <w:tab w:val="num" w:pos="5040"/>
        </w:tabs>
        <w:ind w:left="5040" w:hanging="360"/>
      </w:pPr>
      <w:rPr>
        <w:rFonts w:ascii="Symbol" w:hAnsi="Symbol"/>
      </w:rPr>
    </w:lvl>
    <w:lvl w:ilvl="7" w:tplc="9DB6D0F2">
      <w:start w:val="1"/>
      <w:numFmt w:val="bullet"/>
      <w:lvlText w:val="o"/>
      <w:lvlJc w:val="left"/>
      <w:pPr>
        <w:tabs>
          <w:tab w:val="num" w:pos="5760"/>
        </w:tabs>
        <w:ind w:left="5760" w:hanging="360"/>
      </w:pPr>
      <w:rPr>
        <w:rFonts w:ascii="Courier New" w:hAnsi="Courier New"/>
      </w:rPr>
    </w:lvl>
    <w:lvl w:ilvl="8" w:tplc="7D50EE5C">
      <w:start w:val="1"/>
      <w:numFmt w:val="bullet"/>
      <w:lvlText w:val=""/>
      <w:lvlJc w:val="left"/>
      <w:pPr>
        <w:tabs>
          <w:tab w:val="num" w:pos="6480"/>
        </w:tabs>
        <w:ind w:left="6480" w:hanging="360"/>
      </w:pPr>
      <w:rPr>
        <w:rFonts w:ascii="Wingdings" w:hAnsi="Wingdings"/>
      </w:rPr>
    </w:lvl>
  </w:abstractNum>
  <w:abstractNum w:abstractNumId="350" w15:restartNumberingAfterBreak="0">
    <w:nsid w:val="72230620"/>
    <w:multiLevelType w:val="hybridMultilevel"/>
    <w:tmpl w:val="72230620"/>
    <w:lvl w:ilvl="0" w:tplc="288044A2">
      <w:start w:val="1"/>
      <w:numFmt w:val="bullet"/>
      <w:lvlText w:val=""/>
      <w:lvlJc w:val="left"/>
      <w:pPr>
        <w:ind w:left="720" w:hanging="360"/>
      </w:pPr>
      <w:rPr>
        <w:rFonts w:ascii="Symbol" w:hAnsi="Symbol"/>
      </w:rPr>
    </w:lvl>
    <w:lvl w:ilvl="1" w:tplc="839C6FFE">
      <w:start w:val="1"/>
      <w:numFmt w:val="bullet"/>
      <w:lvlText w:val="o"/>
      <w:lvlJc w:val="left"/>
      <w:pPr>
        <w:tabs>
          <w:tab w:val="num" w:pos="1440"/>
        </w:tabs>
        <w:ind w:left="1440" w:hanging="360"/>
      </w:pPr>
      <w:rPr>
        <w:rFonts w:ascii="Courier New" w:hAnsi="Courier New"/>
      </w:rPr>
    </w:lvl>
    <w:lvl w:ilvl="2" w:tplc="DA069AC8">
      <w:start w:val="1"/>
      <w:numFmt w:val="bullet"/>
      <w:lvlText w:val=""/>
      <w:lvlJc w:val="left"/>
      <w:pPr>
        <w:tabs>
          <w:tab w:val="num" w:pos="2160"/>
        </w:tabs>
        <w:ind w:left="2160" w:hanging="360"/>
      </w:pPr>
      <w:rPr>
        <w:rFonts w:ascii="Wingdings" w:hAnsi="Wingdings"/>
      </w:rPr>
    </w:lvl>
    <w:lvl w:ilvl="3" w:tplc="5CA6A48A">
      <w:start w:val="1"/>
      <w:numFmt w:val="bullet"/>
      <w:lvlText w:val=""/>
      <w:lvlJc w:val="left"/>
      <w:pPr>
        <w:tabs>
          <w:tab w:val="num" w:pos="2880"/>
        </w:tabs>
        <w:ind w:left="2880" w:hanging="360"/>
      </w:pPr>
      <w:rPr>
        <w:rFonts w:ascii="Symbol" w:hAnsi="Symbol"/>
      </w:rPr>
    </w:lvl>
    <w:lvl w:ilvl="4" w:tplc="E0F0DAAE">
      <w:start w:val="1"/>
      <w:numFmt w:val="bullet"/>
      <w:lvlText w:val="o"/>
      <w:lvlJc w:val="left"/>
      <w:pPr>
        <w:tabs>
          <w:tab w:val="num" w:pos="3600"/>
        </w:tabs>
        <w:ind w:left="3600" w:hanging="360"/>
      </w:pPr>
      <w:rPr>
        <w:rFonts w:ascii="Courier New" w:hAnsi="Courier New"/>
      </w:rPr>
    </w:lvl>
    <w:lvl w:ilvl="5" w:tplc="07E88E3E">
      <w:start w:val="1"/>
      <w:numFmt w:val="bullet"/>
      <w:lvlText w:val=""/>
      <w:lvlJc w:val="left"/>
      <w:pPr>
        <w:tabs>
          <w:tab w:val="num" w:pos="4320"/>
        </w:tabs>
        <w:ind w:left="4320" w:hanging="360"/>
      </w:pPr>
      <w:rPr>
        <w:rFonts w:ascii="Wingdings" w:hAnsi="Wingdings"/>
      </w:rPr>
    </w:lvl>
    <w:lvl w:ilvl="6" w:tplc="5BD445C0">
      <w:start w:val="1"/>
      <w:numFmt w:val="bullet"/>
      <w:lvlText w:val=""/>
      <w:lvlJc w:val="left"/>
      <w:pPr>
        <w:tabs>
          <w:tab w:val="num" w:pos="5040"/>
        </w:tabs>
        <w:ind w:left="5040" w:hanging="360"/>
      </w:pPr>
      <w:rPr>
        <w:rFonts w:ascii="Symbol" w:hAnsi="Symbol"/>
      </w:rPr>
    </w:lvl>
    <w:lvl w:ilvl="7" w:tplc="5BDA41E0">
      <w:start w:val="1"/>
      <w:numFmt w:val="bullet"/>
      <w:lvlText w:val="o"/>
      <w:lvlJc w:val="left"/>
      <w:pPr>
        <w:tabs>
          <w:tab w:val="num" w:pos="5760"/>
        </w:tabs>
        <w:ind w:left="5760" w:hanging="360"/>
      </w:pPr>
      <w:rPr>
        <w:rFonts w:ascii="Courier New" w:hAnsi="Courier New"/>
      </w:rPr>
    </w:lvl>
    <w:lvl w:ilvl="8" w:tplc="A89A8A9A">
      <w:start w:val="1"/>
      <w:numFmt w:val="bullet"/>
      <w:lvlText w:val=""/>
      <w:lvlJc w:val="left"/>
      <w:pPr>
        <w:tabs>
          <w:tab w:val="num" w:pos="6480"/>
        </w:tabs>
        <w:ind w:left="6480" w:hanging="360"/>
      </w:pPr>
      <w:rPr>
        <w:rFonts w:ascii="Wingdings" w:hAnsi="Wingdings"/>
      </w:rPr>
    </w:lvl>
  </w:abstractNum>
  <w:abstractNum w:abstractNumId="351" w15:restartNumberingAfterBreak="0">
    <w:nsid w:val="72230621"/>
    <w:multiLevelType w:val="hybridMultilevel"/>
    <w:tmpl w:val="72230621"/>
    <w:lvl w:ilvl="0" w:tplc="62C81DE2">
      <w:start w:val="1"/>
      <w:numFmt w:val="bullet"/>
      <w:lvlText w:val=""/>
      <w:lvlJc w:val="left"/>
      <w:pPr>
        <w:tabs>
          <w:tab w:val="num" w:pos="720"/>
        </w:tabs>
        <w:ind w:left="720" w:hanging="360"/>
      </w:pPr>
      <w:rPr>
        <w:rFonts w:ascii="Symbol" w:hAnsi="Symbol"/>
      </w:rPr>
    </w:lvl>
    <w:lvl w:ilvl="1" w:tplc="B12A2BDC">
      <w:start w:val="1"/>
      <w:numFmt w:val="bullet"/>
      <w:lvlText w:val="o"/>
      <w:lvlJc w:val="left"/>
      <w:pPr>
        <w:tabs>
          <w:tab w:val="num" w:pos="1440"/>
        </w:tabs>
        <w:ind w:left="1440" w:hanging="360"/>
      </w:pPr>
      <w:rPr>
        <w:rFonts w:ascii="Courier New" w:hAnsi="Courier New"/>
      </w:rPr>
    </w:lvl>
    <w:lvl w:ilvl="2" w:tplc="03FC56CE">
      <w:start w:val="1"/>
      <w:numFmt w:val="bullet"/>
      <w:lvlText w:val=""/>
      <w:lvlJc w:val="left"/>
      <w:pPr>
        <w:tabs>
          <w:tab w:val="num" w:pos="2160"/>
        </w:tabs>
        <w:ind w:left="2160" w:hanging="360"/>
      </w:pPr>
      <w:rPr>
        <w:rFonts w:ascii="Wingdings" w:hAnsi="Wingdings"/>
      </w:rPr>
    </w:lvl>
    <w:lvl w:ilvl="3" w:tplc="7BCA8AD4">
      <w:start w:val="1"/>
      <w:numFmt w:val="bullet"/>
      <w:lvlText w:val=""/>
      <w:lvlJc w:val="left"/>
      <w:pPr>
        <w:tabs>
          <w:tab w:val="num" w:pos="2880"/>
        </w:tabs>
        <w:ind w:left="2880" w:hanging="360"/>
      </w:pPr>
      <w:rPr>
        <w:rFonts w:ascii="Symbol" w:hAnsi="Symbol"/>
      </w:rPr>
    </w:lvl>
    <w:lvl w:ilvl="4" w:tplc="64880ABE">
      <w:start w:val="1"/>
      <w:numFmt w:val="bullet"/>
      <w:lvlText w:val="o"/>
      <w:lvlJc w:val="left"/>
      <w:pPr>
        <w:tabs>
          <w:tab w:val="num" w:pos="3600"/>
        </w:tabs>
        <w:ind w:left="3600" w:hanging="360"/>
      </w:pPr>
      <w:rPr>
        <w:rFonts w:ascii="Courier New" w:hAnsi="Courier New"/>
      </w:rPr>
    </w:lvl>
    <w:lvl w:ilvl="5" w:tplc="57CCB468">
      <w:start w:val="1"/>
      <w:numFmt w:val="bullet"/>
      <w:lvlText w:val=""/>
      <w:lvlJc w:val="left"/>
      <w:pPr>
        <w:tabs>
          <w:tab w:val="num" w:pos="4320"/>
        </w:tabs>
        <w:ind w:left="4320" w:hanging="360"/>
      </w:pPr>
      <w:rPr>
        <w:rFonts w:ascii="Wingdings" w:hAnsi="Wingdings"/>
      </w:rPr>
    </w:lvl>
    <w:lvl w:ilvl="6" w:tplc="7F6029B2">
      <w:start w:val="1"/>
      <w:numFmt w:val="bullet"/>
      <w:lvlText w:val=""/>
      <w:lvlJc w:val="left"/>
      <w:pPr>
        <w:tabs>
          <w:tab w:val="num" w:pos="5040"/>
        </w:tabs>
        <w:ind w:left="5040" w:hanging="360"/>
      </w:pPr>
      <w:rPr>
        <w:rFonts w:ascii="Symbol" w:hAnsi="Symbol"/>
      </w:rPr>
    </w:lvl>
    <w:lvl w:ilvl="7" w:tplc="1F66DFF0">
      <w:start w:val="1"/>
      <w:numFmt w:val="bullet"/>
      <w:lvlText w:val="o"/>
      <w:lvlJc w:val="left"/>
      <w:pPr>
        <w:tabs>
          <w:tab w:val="num" w:pos="5760"/>
        </w:tabs>
        <w:ind w:left="5760" w:hanging="360"/>
      </w:pPr>
      <w:rPr>
        <w:rFonts w:ascii="Courier New" w:hAnsi="Courier New"/>
      </w:rPr>
    </w:lvl>
    <w:lvl w:ilvl="8" w:tplc="8C9A92C0">
      <w:start w:val="1"/>
      <w:numFmt w:val="bullet"/>
      <w:lvlText w:val=""/>
      <w:lvlJc w:val="left"/>
      <w:pPr>
        <w:tabs>
          <w:tab w:val="num" w:pos="6480"/>
        </w:tabs>
        <w:ind w:left="6480" w:hanging="360"/>
      </w:pPr>
      <w:rPr>
        <w:rFonts w:ascii="Wingdings" w:hAnsi="Wingdings"/>
      </w:rPr>
    </w:lvl>
  </w:abstractNum>
  <w:abstractNum w:abstractNumId="352" w15:restartNumberingAfterBreak="0">
    <w:nsid w:val="72230622"/>
    <w:multiLevelType w:val="hybridMultilevel"/>
    <w:tmpl w:val="72230622"/>
    <w:lvl w:ilvl="0" w:tplc="D6AE8426">
      <w:start w:val="1"/>
      <w:numFmt w:val="bullet"/>
      <w:lvlText w:val=""/>
      <w:lvlJc w:val="left"/>
      <w:pPr>
        <w:ind w:left="720" w:hanging="360"/>
      </w:pPr>
      <w:rPr>
        <w:rFonts w:ascii="Symbol" w:hAnsi="Symbol"/>
      </w:rPr>
    </w:lvl>
    <w:lvl w:ilvl="1" w:tplc="4942E9CC">
      <w:start w:val="1"/>
      <w:numFmt w:val="bullet"/>
      <w:lvlText w:val="o"/>
      <w:lvlJc w:val="left"/>
      <w:pPr>
        <w:tabs>
          <w:tab w:val="num" w:pos="1440"/>
        </w:tabs>
        <w:ind w:left="1440" w:hanging="360"/>
      </w:pPr>
      <w:rPr>
        <w:rFonts w:ascii="Courier New" w:hAnsi="Courier New"/>
      </w:rPr>
    </w:lvl>
    <w:lvl w:ilvl="2" w:tplc="C764BA08">
      <w:start w:val="1"/>
      <w:numFmt w:val="bullet"/>
      <w:lvlText w:val=""/>
      <w:lvlJc w:val="left"/>
      <w:pPr>
        <w:tabs>
          <w:tab w:val="num" w:pos="2160"/>
        </w:tabs>
        <w:ind w:left="2160" w:hanging="360"/>
      </w:pPr>
      <w:rPr>
        <w:rFonts w:ascii="Wingdings" w:hAnsi="Wingdings"/>
      </w:rPr>
    </w:lvl>
    <w:lvl w:ilvl="3" w:tplc="3B22008E">
      <w:start w:val="1"/>
      <w:numFmt w:val="bullet"/>
      <w:lvlText w:val=""/>
      <w:lvlJc w:val="left"/>
      <w:pPr>
        <w:tabs>
          <w:tab w:val="num" w:pos="2880"/>
        </w:tabs>
        <w:ind w:left="2880" w:hanging="360"/>
      </w:pPr>
      <w:rPr>
        <w:rFonts w:ascii="Symbol" w:hAnsi="Symbol"/>
      </w:rPr>
    </w:lvl>
    <w:lvl w:ilvl="4" w:tplc="7E5C1412">
      <w:start w:val="1"/>
      <w:numFmt w:val="bullet"/>
      <w:lvlText w:val="o"/>
      <w:lvlJc w:val="left"/>
      <w:pPr>
        <w:tabs>
          <w:tab w:val="num" w:pos="3600"/>
        </w:tabs>
        <w:ind w:left="3600" w:hanging="360"/>
      </w:pPr>
      <w:rPr>
        <w:rFonts w:ascii="Courier New" w:hAnsi="Courier New"/>
      </w:rPr>
    </w:lvl>
    <w:lvl w:ilvl="5" w:tplc="7C0ECC62">
      <w:start w:val="1"/>
      <w:numFmt w:val="bullet"/>
      <w:lvlText w:val=""/>
      <w:lvlJc w:val="left"/>
      <w:pPr>
        <w:tabs>
          <w:tab w:val="num" w:pos="4320"/>
        </w:tabs>
        <w:ind w:left="4320" w:hanging="360"/>
      </w:pPr>
      <w:rPr>
        <w:rFonts w:ascii="Wingdings" w:hAnsi="Wingdings"/>
      </w:rPr>
    </w:lvl>
    <w:lvl w:ilvl="6" w:tplc="840A0874">
      <w:start w:val="1"/>
      <w:numFmt w:val="bullet"/>
      <w:lvlText w:val=""/>
      <w:lvlJc w:val="left"/>
      <w:pPr>
        <w:tabs>
          <w:tab w:val="num" w:pos="5040"/>
        </w:tabs>
        <w:ind w:left="5040" w:hanging="360"/>
      </w:pPr>
      <w:rPr>
        <w:rFonts w:ascii="Symbol" w:hAnsi="Symbol"/>
      </w:rPr>
    </w:lvl>
    <w:lvl w:ilvl="7" w:tplc="BFB2B664">
      <w:start w:val="1"/>
      <w:numFmt w:val="bullet"/>
      <w:lvlText w:val="o"/>
      <w:lvlJc w:val="left"/>
      <w:pPr>
        <w:tabs>
          <w:tab w:val="num" w:pos="5760"/>
        </w:tabs>
        <w:ind w:left="5760" w:hanging="360"/>
      </w:pPr>
      <w:rPr>
        <w:rFonts w:ascii="Courier New" w:hAnsi="Courier New"/>
      </w:rPr>
    </w:lvl>
    <w:lvl w:ilvl="8" w:tplc="BD62EBC8">
      <w:start w:val="1"/>
      <w:numFmt w:val="bullet"/>
      <w:lvlText w:val=""/>
      <w:lvlJc w:val="left"/>
      <w:pPr>
        <w:tabs>
          <w:tab w:val="num" w:pos="6480"/>
        </w:tabs>
        <w:ind w:left="6480" w:hanging="360"/>
      </w:pPr>
      <w:rPr>
        <w:rFonts w:ascii="Wingdings" w:hAnsi="Wingdings"/>
      </w:rPr>
    </w:lvl>
  </w:abstractNum>
  <w:abstractNum w:abstractNumId="353" w15:restartNumberingAfterBreak="0">
    <w:nsid w:val="72230623"/>
    <w:multiLevelType w:val="hybridMultilevel"/>
    <w:tmpl w:val="72230623"/>
    <w:lvl w:ilvl="0" w:tplc="846460BA">
      <w:start w:val="1"/>
      <w:numFmt w:val="bullet"/>
      <w:lvlText w:val=""/>
      <w:lvlJc w:val="left"/>
      <w:pPr>
        <w:ind w:left="720" w:hanging="360"/>
      </w:pPr>
      <w:rPr>
        <w:rFonts w:ascii="Symbol" w:hAnsi="Symbol"/>
      </w:rPr>
    </w:lvl>
    <w:lvl w:ilvl="1" w:tplc="541E717A">
      <w:start w:val="1"/>
      <w:numFmt w:val="bullet"/>
      <w:lvlText w:val="o"/>
      <w:lvlJc w:val="left"/>
      <w:pPr>
        <w:ind w:left="1440" w:hanging="360"/>
      </w:pPr>
      <w:rPr>
        <w:rFonts w:ascii="Courier New" w:hAnsi="Courier New"/>
      </w:rPr>
    </w:lvl>
    <w:lvl w:ilvl="2" w:tplc="B47689C0">
      <w:start w:val="1"/>
      <w:numFmt w:val="bullet"/>
      <w:lvlText w:val=""/>
      <w:lvlJc w:val="left"/>
      <w:pPr>
        <w:tabs>
          <w:tab w:val="num" w:pos="2160"/>
        </w:tabs>
        <w:ind w:left="2160" w:hanging="360"/>
      </w:pPr>
      <w:rPr>
        <w:rFonts w:ascii="Wingdings" w:hAnsi="Wingdings"/>
      </w:rPr>
    </w:lvl>
    <w:lvl w:ilvl="3" w:tplc="0DBC1FA2">
      <w:start w:val="1"/>
      <w:numFmt w:val="bullet"/>
      <w:lvlText w:val=""/>
      <w:lvlJc w:val="left"/>
      <w:pPr>
        <w:tabs>
          <w:tab w:val="num" w:pos="2880"/>
        </w:tabs>
        <w:ind w:left="2880" w:hanging="360"/>
      </w:pPr>
      <w:rPr>
        <w:rFonts w:ascii="Symbol" w:hAnsi="Symbol"/>
      </w:rPr>
    </w:lvl>
    <w:lvl w:ilvl="4" w:tplc="D2F23C8A">
      <w:start w:val="1"/>
      <w:numFmt w:val="bullet"/>
      <w:lvlText w:val="o"/>
      <w:lvlJc w:val="left"/>
      <w:pPr>
        <w:tabs>
          <w:tab w:val="num" w:pos="3600"/>
        </w:tabs>
        <w:ind w:left="3600" w:hanging="360"/>
      </w:pPr>
      <w:rPr>
        <w:rFonts w:ascii="Courier New" w:hAnsi="Courier New"/>
      </w:rPr>
    </w:lvl>
    <w:lvl w:ilvl="5" w:tplc="FD7ADFE4">
      <w:start w:val="1"/>
      <w:numFmt w:val="bullet"/>
      <w:lvlText w:val=""/>
      <w:lvlJc w:val="left"/>
      <w:pPr>
        <w:tabs>
          <w:tab w:val="num" w:pos="4320"/>
        </w:tabs>
        <w:ind w:left="4320" w:hanging="360"/>
      </w:pPr>
      <w:rPr>
        <w:rFonts w:ascii="Wingdings" w:hAnsi="Wingdings"/>
      </w:rPr>
    </w:lvl>
    <w:lvl w:ilvl="6" w:tplc="E930642C">
      <w:start w:val="1"/>
      <w:numFmt w:val="bullet"/>
      <w:lvlText w:val=""/>
      <w:lvlJc w:val="left"/>
      <w:pPr>
        <w:tabs>
          <w:tab w:val="num" w:pos="5040"/>
        </w:tabs>
        <w:ind w:left="5040" w:hanging="360"/>
      </w:pPr>
      <w:rPr>
        <w:rFonts w:ascii="Symbol" w:hAnsi="Symbol"/>
      </w:rPr>
    </w:lvl>
    <w:lvl w:ilvl="7" w:tplc="6280325A">
      <w:start w:val="1"/>
      <w:numFmt w:val="bullet"/>
      <w:lvlText w:val="o"/>
      <w:lvlJc w:val="left"/>
      <w:pPr>
        <w:tabs>
          <w:tab w:val="num" w:pos="5760"/>
        </w:tabs>
        <w:ind w:left="5760" w:hanging="360"/>
      </w:pPr>
      <w:rPr>
        <w:rFonts w:ascii="Courier New" w:hAnsi="Courier New"/>
      </w:rPr>
    </w:lvl>
    <w:lvl w:ilvl="8" w:tplc="328219FC">
      <w:start w:val="1"/>
      <w:numFmt w:val="bullet"/>
      <w:lvlText w:val=""/>
      <w:lvlJc w:val="left"/>
      <w:pPr>
        <w:tabs>
          <w:tab w:val="num" w:pos="6480"/>
        </w:tabs>
        <w:ind w:left="6480" w:hanging="360"/>
      </w:pPr>
      <w:rPr>
        <w:rFonts w:ascii="Wingdings" w:hAnsi="Wingdings"/>
      </w:rPr>
    </w:lvl>
  </w:abstractNum>
  <w:abstractNum w:abstractNumId="354" w15:restartNumberingAfterBreak="0">
    <w:nsid w:val="72230624"/>
    <w:multiLevelType w:val="hybridMultilevel"/>
    <w:tmpl w:val="72230624"/>
    <w:lvl w:ilvl="0" w:tplc="6C241E3C">
      <w:start w:val="1"/>
      <w:numFmt w:val="bullet"/>
      <w:lvlText w:val=""/>
      <w:lvlJc w:val="left"/>
      <w:pPr>
        <w:ind w:left="720" w:hanging="360"/>
      </w:pPr>
      <w:rPr>
        <w:rFonts w:ascii="Symbol" w:hAnsi="Symbol"/>
      </w:rPr>
    </w:lvl>
    <w:lvl w:ilvl="1" w:tplc="44E8023A">
      <w:start w:val="1"/>
      <w:numFmt w:val="bullet"/>
      <w:lvlText w:val="o"/>
      <w:lvlJc w:val="left"/>
      <w:pPr>
        <w:ind w:left="1440" w:hanging="360"/>
      </w:pPr>
      <w:rPr>
        <w:rFonts w:ascii="Courier New" w:hAnsi="Courier New"/>
      </w:rPr>
    </w:lvl>
    <w:lvl w:ilvl="2" w:tplc="D0EC862C">
      <w:start w:val="1"/>
      <w:numFmt w:val="bullet"/>
      <w:lvlText w:val=""/>
      <w:lvlJc w:val="left"/>
      <w:pPr>
        <w:tabs>
          <w:tab w:val="num" w:pos="2160"/>
        </w:tabs>
        <w:ind w:left="2160" w:hanging="360"/>
      </w:pPr>
      <w:rPr>
        <w:rFonts w:ascii="Wingdings" w:hAnsi="Wingdings"/>
      </w:rPr>
    </w:lvl>
    <w:lvl w:ilvl="3" w:tplc="E4FAD300">
      <w:start w:val="1"/>
      <w:numFmt w:val="bullet"/>
      <w:lvlText w:val=""/>
      <w:lvlJc w:val="left"/>
      <w:pPr>
        <w:tabs>
          <w:tab w:val="num" w:pos="2880"/>
        </w:tabs>
        <w:ind w:left="2880" w:hanging="360"/>
      </w:pPr>
      <w:rPr>
        <w:rFonts w:ascii="Symbol" w:hAnsi="Symbol"/>
      </w:rPr>
    </w:lvl>
    <w:lvl w:ilvl="4" w:tplc="4AAC1F24">
      <w:start w:val="1"/>
      <w:numFmt w:val="bullet"/>
      <w:lvlText w:val="o"/>
      <w:lvlJc w:val="left"/>
      <w:pPr>
        <w:tabs>
          <w:tab w:val="num" w:pos="3600"/>
        </w:tabs>
        <w:ind w:left="3600" w:hanging="360"/>
      </w:pPr>
      <w:rPr>
        <w:rFonts w:ascii="Courier New" w:hAnsi="Courier New"/>
      </w:rPr>
    </w:lvl>
    <w:lvl w:ilvl="5" w:tplc="0A64152C">
      <w:start w:val="1"/>
      <w:numFmt w:val="bullet"/>
      <w:lvlText w:val=""/>
      <w:lvlJc w:val="left"/>
      <w:pPr>
        <w:tabs>
          <w:tab w:val="num" w:pos="4320"/>
        </w:tabs>
        <w:ind w:left="4320" w:hanging="360"/>
      </w:pPr>
      <w:rPr>
        <w:rFonts w:ascii="Wingdings" w:hAnsi="Wingdings"/>
      </w:rPr>
    </w:lvl>
    <w:lvl w:ilvl="6" w:tplc="BBB6D9C0">
      <w:start w:val="1"/>
      <w:numFmt w:val="bullet"/>
      <w:lvlText w:val=""/>
      <w:lvlJc w:val="left"/>
      <w:pPr>
        <w:tabs>
          <w:tab w:val="num" w:pos="5040"/>
        </w:tabs>
        <w:ind w:left="5040" w:hanging="360"/>
      </w:pPr>
      <w:rPr>
        <w:rFonts w:ascii="Symbol" w:hAnsi="Symbol"/>
      </w:rPr>
    </w:lvl>
    <w:lvl w:ilvl="7" w:tplc="48DA6206">
      <w:start w:val="1"/>
      <w:numFmt w:val="bullet"/>
      <w:lvlText w:val="o"/>
      <w:lvlJc w:val="left"/>
      <w:pPr>
        <w:tabs>
          <w:tab w:val="num" w:pos="5760"/>
        </w:tabs>
        <w:ind w:left="5760" w:hanging="360"/>
      </w:pPr>
      <w:rPr>
        <w:rFonts w:ascii="Courier New" w:hAnsi="Courier New"/>
      </w:rPr>
    </w:lvl>
    <w:lvl w:ilvl="8" w:tplc="091023CC">
      <w:start w:val="1"/>
      <w:numFmt w:val="bullet"/>
      <w:lvlText w:val=""/>
      <w:lvlJc w:val="left"/>
      <w:pPr>
        <w:tabs>
          <w:tab w:val="num" w:pos="6480"/>
        </w:tabs>
        <w:ind w:left="6480" w:hanging="360"/>
      </w:pPr>
      <w:rPr>
        <w:rFonts w:ascii="Wingdings" w:hAnsi="Wingdings"/>
      </w:rPr>
    </w:lvl>
  </w:abstractNum>
  <w:abstractNum w:abstractNumId="355" w15:restartNumberingAfterBreak="0">
    <w:nsid w:val="72230625"/>
    <w:multiLevelType w:val="hybridMultilevel"/>
    <w:tmpl w:val="72230625"/>
    <w:lvl w:ilvl="0" w:tplc="4E766404">
      <w:start w:val="1"/>
      <w:numFmt w:val="bullet"/>
      <w:lvlText w:val=""/>
      <w:lvlJc w:val="left"/>
      <w:pPr>
        <w:ind w:left="720" w:hanging="360"/>
      </w:pPr>
      <w:rPr>
        <w:rFonts w:ascii="Symbol" w:hAnsi="Symbol"/>
      </w:rPr>
    </w:lvl>
    <w:lvl w:ilvl="1" w:tplc="89DEAD96">
      <w:start w:val="1"/>
      <w:numFmt w:val="bullet"/>
      <w:lvlText w:val="o"/>
      <w:lvlJc w:val="left"/>
      <w:pPr>
        <w:tabs>
          <w:tab w:val="num" w:pos="1440"/>
        </w:tabs>
        <w:ind w:left="1440" w:hanging="360"/>
      </w:pPr>
      <w:rPr>
        <w:rFonts w:ascii="Courier New" w:hAnsi="Courier New"/>
      </w:rPr>
    </w:lvl>
    <w:lvl w:ilvl="2" w:tplc="06D2F1B0">
      <w:start w:val="1"/>
      <w:numFmt w:val="bullet"/>
      <w:lvlText w:val=""/>
      <w:lvlJc w:val="left"/>
      <w:pPr>
        <w:tabs>
          <w:tab w:val="num" w:pos="2160"/>
        </w:tabs>
        <w:ind w:left="2160" w:hanging="360"/>
      </w:pPr>
      <w:rPr>
        <w:rFonts w:ascii="Wingdings" w:hAnsi="Wingdings"/>
      </w:rPr>
    </w:lvl>
    <w:lvl w:ilvl="3" w:tplc="720A5AFE">
      <w:start w:val="1"/>
      <w:numFmt w:val="bullet"/>
      <w:lvlText w:val=""/>
      <w:lvlJc w:val="left"/>
      <w:pPr>
        <w:tabs>
          <w:tab w:val="num" w:pos="2880"/>
        </w:tabs>
        <w:ind w:left="2880" w:hanging="360"/>
      </w:pPr>
      <w:rPr>
        <w:rFonts w:ascii="Symbol" w:hAnsi="Symbol"/>
      </w:rPr>
    </w:lvl>
    <w:lvl w:ilvl="4" w:tplc="29889604">
      <w:start w:val="1"/>
      <w:numFmt w:val="bullet"/>
      <w:lvlText w:val="o"/>
      <w:lvlJc w:val="left"/>
      <w:pPr>
        <w:tabs>
          <w:tab w:val="num" w:pos="3600"/>
        </w:tabs>
        <w:ind w:left="3600" w:hanging="360"/>
      </w:pPr>
      <w:rPr>
        <w:rFonts w:ascii="Courier New" w:hAnsi="Courier New"/>
      </w:rPr>
    </w:lvl>
    <w:lvl w:ilvl="5" w:tplc="A9B89A7A">
      <w:start w:val="1"/>
      <w:numFmt w:val="bullet"/>
      <w:lvlText w:val=""/>
      <w:lvlJc w:val="left"/>
      <w:pPr>
        <w:tabs>
          <w:tab w:val="num" w:pos="4320"/>
        </w:tabs>
        <w:ind w:left="4320" w:hanging="360"/>
      </w:pPr>
      <w:rPr>
        <w:rFonts w:ascii="Wingdings" w:hAnsi="Wingdings"/>
      </w:rPr>
    </w:lvl>
    <w:lvl w:ilvl="6" w:tplc="E1ECC668">
      <w:start w:val="1"/>
      <w:numFmt w:val="bullet"/>
      <w:lvlText w:val=""/>
      <w:lvlJc w:val="left"/>
      <w:pPr>
        <w:tabs>
          <w:tab w:val="num" w:pos="5040"/>
        </w:tabs>
        <w:ind w:left="5040" w:hanging="360"/>
      </w:pPr>
      <w:rPr>
        <w:rFonts w:ascii="Symbol" w:hAnsi="Symbol"/>
      </w:rPr>
    </w:lvl>
    <w:lvl w:ilvl="7" w:tplc="2026B2CA">
      <w:start w:val="1"/>
      <w:numFmt w:val="bullet"/>
      <w:lvlText w:val="o"/>
      <w:lvlJc w:val="left"/>
      <w:pPr>
        <w:tabs>
          <w:tab w:val="num" w:pos="5760"/>
        </w:tabs>
        <w:ind w:left="5760" w:hanging="360"/>
      </w:pPr>
      <w:rPr>
        <w:rFonts w:ascii="Courier New" w:hAnsi="Courier New"/>
      </w:rPr>
    </w:lvl>
    <w:lvl w:ilvl="8" w:tplc="A1B87C04">
      <w:start w:val="1"/>
      <w:numFmt w:val="bullet"/>
      <w:lvlText w:val=""/>
      <w:lvlJc w:val="left"/>
      <w:pPr>
        <w:tabs>
          <w:tab w:val="num" w:pos="6480"/>
        </w:tabs>
        <w:ind w:left="6480" w:hanging="360"/>
      </w:pPr>
      <w:rPr>
        <w:rFonts w:ascii="Wingdings" w:hAnsi="Wingdings"/>
      </w:rPr>
    </w:lvl>
  </w:abstractNum>
  <w:abstractNum w:abstractNumId="356" w15:restartNumberingAfterBreak="0">
    <w:nsid w:val="72230626"/>
    <w:multiLevelType w:val="hybridMultilevel"/>
    <w:tmpl w:val="72230626"/>
    <w:lvl w:ilvl="0" w:tplc="73167C36">
      <w:start w:val="1"/>
      <w:numFmt w:val="bullet"/>
      <w:lvlText w:val=""/>
      <w:lvlJc w:val="left"/>
      <w:pPr>
        <w:ind w:left="720" w:hanging="360"/>
      </w:pPr>
      <w:rPr>
        <w:rFonts w:ascii="Symbol" w:hAnsi="Symbol"/>
      </w:rPr>
    </w:lvl>
    <w:lvl w:ilvl="1" w:tplc="C5BE8C7C">
      <w:start w:val="1"/>
      <w:numFmt w:val="bullet"/>
      <w:lvlText w:val="o"/>
      <w:lvlJc w:val="left"/>
      <w:pPr>
        <w:tabs>
          <w:tab w:val="num" w:pos="1440"/>
        </w:tabs>
        <w:ind w:left="1440" w:hanging="360"/>
      </w:pPr>
      <w:rPr>
        <w:rFonts w:ascii="Courier New" w:hAnsi="Courier New"/>
      </w:rPr>
    </w:lvl>
    <w:lvl w:ilvl="2" w:tplc="01E4DFEE">
      <w:start w:val="1"/>
      <w:numFmt w:val="bullet"/>
      <w:lvlText w:val=""/>
      <w:lvlJc w:val="left"/>
      <w:pPr>
        <w:tabs>
          <w:tab w:val="num" w:pos="2160"/>
        </w:tabs>
        <w:ind w:left="2160" w:hanging="360"/>
      </w:pPr>
      <w:rPr>
        <w:rFonts w:ascii="Wingdings" w:hAnsi="Wingdings"/>
      </w:rPr>
    </w:lvl>
    <w:lvl w:ilvl="3" w:tplc="6CAEAB6A">
      <w:start w:val="1"/>
      <w:numFmt w:val="bullet"/>
      <w:lvlText w:val=""/>
      <w:lvlJc w:val="left"/>
      <w:pPr>
        <w:tabs>
          <w:tab w:val="num" w:pos="2880"/>
        </w:tabs>
        <w:ind w:left="2880" w:hanging="360"/>
      </w:pPr>
      <w:rPr>
        <w:rFonts w:ascii="Symbol" w:hAnsi="Symbol"/>
      </w:rPr>
    </w:lvl>
    <w:lvl w:ilvl="4" w:tplc="82F0C658">
      <w:start w:val="1"/>
      <w:numFmt w:val="bullet"/>
      <w:lvlText w:val="o"/>
      <w:lvlJc w:val="left"/>
      <w:pPr>
        <w:tabs>
          <w:tab w:val="num" w:pos="3600"/>
        </w:tabs>
        <w:ind w:left="3600" w:hanging="360"/>
      </w:pPr>
      <w:rPr>
        <w:rFonts w:ascii="Courier New" w:hAnsi="Courier New"/>
      </w:rPr>
    </w:lvl>
    <w:lvl w:ilvl="5" w:tplc="A4D2AAD2">
      <w:start w:val="1"/>
      <w:numFmt w:val="bullet"/>
      <w:lvlText w:val=""/>
      <w:lvlJc w:val="left"/>
      <w:pPr>
        <w:tabs>
          <w:tab w:val="num" w:pos="4320"/>
        </w:tabs>
        <w:ind w:left="4320" w:hanging="360"/>
      </w:pPr>
      <w:rPr>
        <w:rFonts w:ascii="Wingdings" w:hAnsi="Wingdings"/>
      </w:rPr>
    </w:lvl>
    <w:lvl w:ilvl="6" w:tplc="AA006660">
      <w:start w:val="1"/>
      <w:numFmt w:val="bullet"/>
      <w:lvlText w:val=""/>
      <w:lvlJc w:val="left"/>
      <w:pPr>
        <w:tabs>
          <w:tab w:val="num" w:pos="5040"/>
        </w:tabs>
        <w:ind w:left="5040" w:hanging="360"/>
      </w:pPr>
      <w:rPr>
        <w:rFonts w:ascii="Symbol" w:hAnsi="Symbol"/>
      </w:rPr>
    </w:lvl>
    <w:lvl w:ilvl="7" w:tplc="E1DE8D38">
      <w:start w:val="1"/>
      <w:numFmt w:val="bullet"/>
      <w:lvlText w:val="o"/>
      <w:lvlJc w:val="left"/>
      <w:pPr>
        <w:tabs>
          <w:tab w:val="num" w:pos="5760"/>
        </w:tabs>
        <w:ind w:left="5760" w:hanging="360"/>
      </w:pPr>
      <w:rPr>
        <w:rFonts w:ascii="Courier New" w:hAnsi="Courier New"/>
      </w:rPr>
    </w:lvl>
    <w:lvl w:ilvl="8" w:tplc="211ED698">
      <w:start w:val="1"/>
      <w:numFmt w:val="bullet"/>
      <w:lvlText w:val=""/>
      <w:lvlJc w:val="left"/>
      <w:pPr>
        <w:tabs>
          <w:tab w:val="num" w:pos="6480"/>
        </w:tabs>
        <w:ind w:left="6480" w:hanging="360"/>
      </w:pPr>
      <w:rPr>
        <w:rFonts w:ascii="Wingdings" w:hAnsi="Wingdings"/>
      </w:rPr>
    </w:lvl>
  </w:abstractNum>
  <w:abstractNum w:abstractNumId="357" w15:restartNumberingAfterBreak="0">
    <w:nsid w:val="72230627"/>
    <w:multiLevelType w:val="hybridMultilevel"/>
    <w:tmpl w:val="72230627"/>
    <w:lvl w:ilvl="0" w:tplc="3C9A5A3A">
      <w:start w:val="1"/>
      <w:numFmt w:val="bullet"/>
      <w:lvlText w:val=""/>
      <w:lvlJc w:val="left"/>
      <w:pPr>
        <w:ind w:left="720" w:hanging="360"/>
      </w:pPr>
      <w:rPr>
        <w:rFonts w:ascii="Symbol" w:hAnsi="Symbol"/>
      </w:rPr>
    </w:lvl>
    <w:lvl w:ilvl="1" w:tplc="D414881E">
      <w:start w:val="1"/>
      <w:numFmt w:val="bullet"/>
      <w:lvlText w:val="o"/>
      <w:lvlJc w:val="left"/>
      <w:pPr>
        <w:ind w:left="1440" w:hanging="360"/>
      </w:pPr>
      <w:rPr>
        <w:rFonts w:ascii="Courier New" w:hAnsi="Courier New"/>
      </w:rPr>
    </w:lvl>
    <w:lvl w:ilvl="2" w:tplc="66C4FD1A">
      <w:start w:val="1"/>
      <w:numFmt w:val="bullet"/>
      <w:lvlText w:val=""/>
      <w:lvlJc w:val="left"/>
      <w:pPr>
        <w:tabs>
          <w:tab w:val="num" w:pos="2160"/>
        </w:tabs>
        <w:ind w:left="2160" w:hanging="360"/>
      </w:pPr>
      <w:rPr>
        <w:rFonts w:ascii="Wingdings" w:hAnsi="Wingdings"/>
      </w:rPr>
    </w:lvl>
    <w:lvl w:ilvl="3" w:tplc="80D28C86">
      <w:start w:val="1"/>
      <w:numFmt w:val="bullet"/>
      <w:lvlText w:val=""/>
      <w:lvlJc w:val="left"/>
      <w:pPr>
        <w:tabs>
          <w:tab w:val="num" w:pos="2880"/>
        </w:tabs>
        <w:ind w:left="2880" w:hanging="360"/>
      </w:pPr>
      <w:rPr>
        <w:rFonts w:ascii="Symbol" w:hAnsi="Symbol"/>
      </w:rPr>
    </w:lvl>
    <w:lvl w:ilvl="4" w:tplc="5D809642">
      <w:start w:val="1"/>
      <w:numFmt w:val="bullet"/>
      <w:lvlText w:val="o"/>
      <w:lvlJc w:val="left"/>
      <w:pPr>
        <w:tabs>
          <w:tab w:val="num" w:pos="3600"/>
        </w:tabs>
        <w:ind w:left="3600" w:hanging="360"/>
      </w:pPr>
      <w:rPr>
        <w:rFonts w:ascii="Courier New" w:hAnsi="Courier New"/>
      </w:rPr>
    </w:lvl>
    <w:lvl w:ilvl="5" w:tplc="0C1869B4">
      <w:start w:val="1"/>
      <w:numFmt w:val="bullet"/>
      <w:lvlText w:val=""/>
      <w:lvlJc w:val="left"/>
      <w:pPr>
        <w:tabs>
          <w:tab w:val="num" w:pos="4320"/>
        </w:tabs>
        <w:ind w:left="4320" w:hanging="360"/>
      </w:pPr>
      <w:rPr>
        <w:rFonts w:ascii="Wingdings" w:hAnsi="Wingdings"/>
      </w:rPr>
    </w:lvl>
    <w:lvl w:ilvl="6" w:tplc="A47CC11C">
      <w:start w:val="1"/>
      <w:numFmt w:val="bullet"/>
      <w:lvlText w:val=""/>
      <w:lvlJc w:val="left"/>
      <w:pPr>
        <w:tabs>
          <w:tab w:val="num" w:pos="5040"/>
        </w:tabs>
        <w:ind w:left="5040" w:hanging="360"/>
      </w:pPr>
      <w:rPr>
        <w:rFonts w:ascii="Symbol" w:hAnsi="Symbol"/>
      </w:rPr>
    </w:lvl>
    <w:lvl w:ilvl="7" w:tplc="FD901EF0">
      <w:start w:val="1"/>
      <w:numFmt w:val="bullet"/>
      <w:lvlText w:val="o"/>
      <w:lvlJc w:val="left"/>
      <w:pPr>
        <w:tabs>
          <w:tab w:val="num" w:pos="5760"/>
        </w:tabs>
        <w:ind w:left="5760" w:hanging="360"/>
      </w:pPr>
      <w:rPr>
        <w:rFonts w:ascii="Courier New" w:hAnsi="Courier New"/>
      </w:rPr>
    </w:lvl>
    <w:lvl w:ilvl="8" w:tplc="3372FA1C">
      <w:start w:val="1"/>
      <w:numFmt w:val="bullet"/>
      <w:lvlText w:val=""/>
      <w:lvlJc w:val="left"/>
      <w:pPr>
        <w:tabs>
          <w:tab w:val="num" w:pos="6480"/>
        </w:tabs>
        <w:ind w:left="6480" w:hanging="360"/>
      </w:pPr>
      <w:rPr>
        <w:rFonts w:ascii="Wingdings" w:hAnsi="Wingdings"/>
      </w:rPr>
    </w:lvl>
  </w:abstractNum>
  <w:abstractNum w:abstractNumId="358" w15:restartNumberingAfterBreak="0">
    <w:nsid w:val="72230628"/>
    <w:multiLevelType w:val="hybridMultilevel"/>
    <w:tmpl w:val="72230628"/>
    <w:lvl w:ilvl="0" w:tplc="00ACFDD0">
      <w:start w:val="1"/>
      <w:numFmt w:val="bullet"/>
      <w:lvlText w:val=""/>
      <w:lvlJc w:val="left"/>
      <w:pPr>
        <w:ind w:left="720" w:hanging="360"/>
      </w:pPr>
      <w:rPr>
        <w:rFonts w:ascii="Symbol" w:hAnsi="Symbol"/>
      </w:rPr>
    </w:lvl>
    <w:lvl w:ilvl="1" w:tplc="DA7A1B8C">
      <w:start w:val="1"/>
      <w:numFmt w:val="bullet"/>
      <w:lvlText w:val="o"/>
      <w:lvlJc w:val="left"/>
      <w:pPr>
        <w:tabs>
          <w:tab w:val="num" w:pos="1440"/>
        </w:tabs>
        <w:ind w:left="1440" w:hanging="360"/>
      </w:pPr>
      <w:rPr>
        <w:rFonts w:ascii="Courier New" w:hAnsi="Courier New"/>
      </w:rPr>
    </w:lvl>
    <w:lvl w:ilvl="2" w:tplc="3A72B98C">
      <w:start w:val="1"/>
      <w:numFmt w:val="bullet"/>
      <w:lvlText w:val=""/>
      <w:lvlJc w:val="left"/>
      <w:pPr>
        <w:tabs>
          <w:tab w:val="num" w:pos="2160"/>
        </w:tabs>
        <w:ind w:left="2160" w:hanging="360"/>
      </w:pPr>
      <w:rPr>
        <w:rFonts w:ascii="Wingdings" w:hAnsi="Wingdings"/>
      </w:rPr>
    </w:lvl>
    <w:lvl w:ilvl="3" w:tplc="B2063D56">
      <w:start w:val="1"/>
      <w:numFmt w:val="bullet"/>
      <w:lvlText w:val=""/>
      <w:lvlJc w:val="left"/>
      <w:pPr>
        <w:tabs>
          <w:tab w:val="num" w:pos="2880"/>
        </w:tabs>
        <w:ind w:left="2880" w:hanging="360"/>
      </w:pPr>
      <w:rPr>
        <w:rFonts w:ascii="Symbol" w:hAnsi="Symbol"/>
      </w:rPr>
    </w:lvl>
    <w:lvl w:ilvl="4" w:tplc="73C490BA">
      <w:start w:val="1"/>
      <w:numFmt w:val="bullet"/>
      <w:lvlText w:val="o"/>
      <w:lvlJc w:val="left"/>
      <w:pPr>
        <w:tabs>
          <w:tab w:val="num" w:pos="3600"/>
        </w:tabs>
        <w:ind w:left="3600" w:hanging="360"/>
      </w:pPr>
      <w:rPr>
        <w:rFonts w:ascii="Courier New" w:hAnsi="Courier New"/>
      </w:rPr>
    </w:lvl>
    <w:lvl w:ilvl="5" w:tplc="DB98D1DC">
      <w:start w:val="1"/>
      <w:numFmt w:val="bullet"/>
      <w:lvlText w:val=""/>
      <w:lvlJc w:val="left"/>
      <w:pPr>
        <w:tabs>
          <w:tab w:val="num" w:pos="4320"/>
        </w:tabs>
        <w:ind w:left="4320" w:hanging="360"/>
      </w:pPr>
      <w:rPr>
        <w:rFonts w:ascii="Wingdings" w:hAnsi="Wingdings"/>
      </w:rPr>
    </w:lvl>
    <w:lvl w:ilvl="6" w:tplc="84845452">
      <w:start w:val="1"/>
      <w:numFmt w:val="bullet"/>
      <w:lvlText w:val=""/>
      <w:lvlJc w:val="left"/>
      <w:pPr>
        <w:tabs>
          <w:tab w:val="num" w:pos="5040"/>
        </w:tabs>
        <w:ind w:left="5040" w:hanging="360"/>
      </w:pPr>
      <w:rPr>
        <w:rFonts w:ascii="Symbol" w:hAnsi="Symbol"/>
      </w:rPr>
    </w:lvl>
    <w:lvl w:ilvl="7" w:tplc="66AAE020">
      <w:start w:val="1"/>
      <w:numFmt w:val="bullet"/>
      <w:lvlText w:val="o"/>
      <w:lvlJc w:val="left"/>
      <w:pPr>
        <w:tabs>
          <w:tab w:val="num" w:pos="5760"/>
        </w:tabs>
        <w:ind w:left="5760" w:hanging="360"/>
      </w:pPr>
      <w:rPr>
        <w:rFonts w:ascii="Courier New" w:hAnsi="Courier New"/>
      </w:rPr>
    </w:lvl>
    <w:lvl w:ilvl="8" w:tplc="EE5AA438">
      <w:start w:val="1"/>
      <w:numFmt w:val="bullet"/>
      <w:lvlText w:val=""/>
      <w:lvlJc w:val="left"/>
      <w:pPr>
        <w:tabs>
          <w:tab w:val="num" w:pos="6480"/>
        </w:tabs>
        <w:ind w:left="6480" w:hanging="360"/>
      </w:pPr>
      <w:rPr>
        <w:rFonts w:ascii="Wingdings" w:hAnsi="Wingdings"/>
      </w:rPr>
    </w:lvl>
  </w:abstractNum>
  <w:abstractNum w:abstractNumId="359" w15:restartNumberingAfterBreak="0">
    <w:nsid w:val="72230629"/>
    <w:multiLevelType w:val="hybridMultilevel"/>
    <w:tmpl w:val="72230629"/>
    <w:lvl w:ilvl="0" w:tplc="DA4A02AE">
      <w:start w:val="1"/>
      <w:numFmt w:val="bullet"/>
      <w:lvlText w:val=""/>
      <w:lvlJc w:val="left"/>
      <w:pPr>
        <w:ind w:left="720" w:hanging="360"/>
      </w:pPr>
      <w:rPr>
        <w:rFonts w:ascii="Symbol" w:hAnsi="Symbol"/>
      </w:rPr>
    </w:lvl>
    <w:lvl w:ilvl="1" w:tplc="18C49282">
      <w:start w:val="1"/>
      <w:numFmt w:val="bullet"/>
      <w:lvlText w:val="o"/>
      <w:lvlJc w:val="left"/>
      <w:pPr>
        <w:tabs>
          <w:tab w:val="num" w:pos="1440"/>
        </w:tabs>
        <w:ind w:left="1440" w:hanging="360"/>
      </w:pPr>
      <w:rPr>
        <w:rFonts w:ascii="Courier New" w:hAnsi="Courier New"/>
      </w:rPr>
    </w:lvl>
    <w:lvl w:ilvl="2" w:tplc="2C52BEF8">
      <w:start w:val="1"/>
      <w:numFmt w:val="bullet"/>
      <w:lvlText w:val=""/>
      <w:lvlJc w:val="left"/>
      <w:pPr>
        <w:tabs>
          <w:tab w:val="num" w:pos="2160"/>
        </w:tabs>
        <w:ind w:left="2160" w:hanging="360"/>
      </w:pPr>
      <w:rPr>
        <w:rFonts w:ascii="Wingdings" w:hAnsi="Wingdings"/>
      </w:rPr>
    </w:lvl>
    <w:lvl w:ilvl="3" w:tplc="BA4A3B10">
      <w:start w:val="1"/>
      <w:numFmt w:val="bullet"/>
      <w:lvlText w:val=""/>
      <w:lvlJc w:val="left"/>
      <w:pPr>
        <w:tabs>
          <w:tab w:val="num" w:pos="2880"/>
        </w:tabs>
        <w:ind w:left="2880" w:hanging="360"/>
      </w:pPr>
      <w:rPr>
        <w:rFonts w:ascii="Symbol" w:hAnsi="Symbol"/>
      </w:rPr>
    </w:lvl>
    <w:lvl w:ilvl="4" w:tplc="5218E9D0">
      <w:start w:val="1"/>
      <w:numFmt w:val="bullet"/>
      <w:lvlText w:val="o"/>
      <w:lvlJc w:val="left"/>
      <w:pPr>
        <w:tabs>
          <w:tab w:val="num" w:pos="3600"/>
        </w:tabs>
        <w:ind w:left="3600" w:hanging="360"/>
      </w:pPr>
      <w:rPr>
        <w:rFonts w:ascii="Courier New" w:hAnsi="Courier New"/>
      </w:rPr>
    </w:lvl>
    <w:lvl w:ilvl="5" w:tplc="5330D180">
      <w:start w:val="1"/>
      <w:numFmt w:val="bullet"/>
      <w:lvlText w:val=""/>
      <w:lvlJc w:val="left"/>
      <w:pPr>
        <w:tabs>
          <w:tab w:val="num" w:pos="4320"/>
        </w:tabs>
        <w:ind w:left="4320" w:hanging="360"/>
      </w:pPr>
      <w:rPr>
        <w:rFonts w:ascii="Wingdings" w:hAnsi="Wingdings"/>
      </w:rPr>
    </w:lvl>
    <w:lvl w:ilvl="6" w:tplc="C3566722">
      <w:start w:val="1"/>
      <w:numFmt w:val="bullet"/>
      <w:lvlText w:val=""/>
      <w:lvlJc w:val="left"/>
      <w:pPr>
        <w:tabs>
          <w:tab w:val="num" w:pos="5040"/>
        </w:tabs>
        <w:ind w:left="5040" w:hanging="360"/>
      </w:pPr>
      <w:rPr>
        <w:rFonts w:ascii="Symbol" w:hAnsi="Symbol"/>
      </w:rPr>
    </w:lvl>
    <w:lvl w:ilvl="7" w:tplc="E1C86DEE">
      <w:start w:val="1"/>
      <w:numFmt w:val="bullet"/>
      <w:lvlText w:val="o"/>
      <w:lvlJc w:val="left"/>
      <w:pPr>
        <w:tabs>
          <w:tab w:val="num" w:pos="5760"/>
        </w:tabs>
        <w:ind w:left="5760" w:hanging="360"/>
      </w:pPr>
      <w:rPr>
        <w:rFonts w:ascii="Courier New" w:hAnsi="Courier New"/>
      </w:rPr>
    </w:lvl>
    <w:lvl w:ilvl="8" w:tplc="9DC03F8C">
      <w:start w:val="1"/>
      <w:numFmt w:val="bullet"/>
      <w:lvlText w:val=""/>
      <w:lvlJc w:val="left"/>
      <w:pPr>
        <w:tabs>
          <w:tab w:val="num" w:pos="6480"/>
        </w:tabs>
        <w:ind w:left="6480" w:hanging="360"/>
      </w:pPr>
      <w:rPr>
        <w:rFonts w:ascii="Wingdings" w:hAnsi="Wingdings"/>
      </w:rPr>
    </w:lvl>
  </w:abstractNum>
  <w:abstractNum w:abstractNumId="360" w15:restartNumberingAfterBreak="0">
    <w:nsid w:val="7223062A"/>
    <w:multiLevelType w:val="hybridMultilevel"/>
    <w:tmpl w:val="7223062A"/>
    <w:lvl w:ilvl="0" w:tplc="348C2E5A">
      <w:start w:val="1"/>
      <w:numFmt w:val="bullet"/>
      <w:lvlText w:val=""/>
      <w:lvlJc w:val="left"/>
      <w:pPr>
        <w:ind w:left="720" w:hanging="360"/>
      </w:pPr>
      <w:rPr>
        <w:rFonts w:ascii="Symbol" w:hAnsi="Symbol"/>
      </w:rPr>
    </w:lvl>
    <w:lvl w:ilvl="1" w:tplc="9424C138">
      <w:start w:val="1"/>
      <w:numFmt w:val="bullet"/>
      <w:lvlText w:val="o"/>
      <w:lvlJc w:val="left"/>
      <w:pPr>
        <w:tabs>
          <w:tab w:val="num" w:pos="1440"/>
        </w:tabs>
        <w:ind w:left="1440" w:hanging="360"/>
      </w:pPr>
      <w:rPr>
        <w:rFonts w:ascii="Courier New" w:hAnsi="Courier New"/>
      </w:rPr>
    </w:lvl>
    <w:lvl w:ilvl="2" w:tplc="F7867B3C">
      <w:start w:val="1"/>
      <w:numFmt w:val="bullet"/>
      <w:lvlText w:val=""/>
      <w:lvlJc w:val="left"/>
      <w:pPr>
        <w:tabs>
          <w:tab w:val="num" w:pos="2160"/>
        </w:tabs>
        <w:ind w:left="2160" w:hanging="360"/>
      </w:pPr>
      <w:rPr>
        <w:rFonts w:ascii="Wingdings" w:hAnsi="Wingdings"/>
      </w:rPr>
    </w:lvl>
    <w:lvl w:ilvl="3" w:tplc="4B00D786">
      <w:start w:val="1"/>
      <w:numFmt w:val="bullet"/>
      <w:lvlText w:val=""/>
      <w:lvlJc w:val="left"/>
      <w:pPr>
        <w:tabs>
          <w:tab w:val="num" w:pos="2880"/>
        </w:tabs>
        <w:ind w:left="2880" w:hanging="360"/>
      </w:pPr>
      <w:rPr>
        <w:rFonts w:ascii="Symbol" w:hAnsi="Symbol"/>
      </w:rPr>
    </w:lvl>
    <w:lvl w:ilvl="4" w:tplc="B35AFF20">
      <w:start w:val="1"/>
      <w:numFmt w:val="bullet"/>
      <w:lvlText w:val="o"/>
      <w:lvlJc w:val="left"/>
      <w:pPr>
        <w:tabs>
          <w:tab w:val="num" w:pos="3600"/>
        </w:tabs>
        <w:ind w:left="3600" w:hanging="360"/>
      </w:pPr>
      <w:rPr>
        <w:rFonts w:ascii="Courier New" w:hAnsi="Courier New"/>
      </w:rPr>
    </w:lvl>
    <w:lvl w:ilvl="5" w:tplc="362EE77A">
      <w:start w:val="1"/>
      <w:numFmt w:val="bullet"/>
      <w:lvlText w:val=""/>
      <w:lvlJc w:val="left"/>
      <w:pPr>
        <w:tabs>
          <w:tab w:val="num" w:pos="4320"/>
        </w:tabs>
        <w:ind w:left="4320" w:hanging="360"/>
      </w:pPr>
      <w:rPr>
        <w:rFonts w:ascii="Wingdings" w:hAnsi="Wingdings"/>
      </w:rPr>
    </w:lvl>
    <w:lvl w:ilvl="6" w:tplc="D18A3CAE">
      <w:start w:val="1"/>
      <w:numFmt w:val="bullet"/>
      <w:lvlText w:val=""/>
      <w:lvlJc w:val="left"/>
      <w:pPr>
        <w:tabs>
          <w:tab w:val="num" w:pos="5040"/>
        </w:tabs>
        <w:ind w:left="5040" w:hanging="360"/>
      </w:pPr>
      <w:rPr>
        <w:rFonts w:ascii="Symbol" w:hAnsi="Symbol"/>
      </w:rPr>
    </w:lvl>
    <w:lvl w:ilvl="7" w:tplc="60A07456">
      <w:start w:val="1"/>
      <w:numFmt w:val="bullet"/>
      <w:lvlText w:val="o"/>
      <w:lvlJc w:val="left"/>
      <w:pPr>
        <w:tabs>
          <w:tab w:val="num" w:pos="5760"/>
        </w:tabs>
        <w:ind w:left="5760" w:hanging="360"/>
      </w:pPr>
      <w:rPr>
        <w:rFonts w:ascii="Courier New" w:hAnsi="Courier New"/>
      </w:rPr>
    </w:lvl>
    <w:lvl w:ilvl="8" w:tplc="A80C5BAA">
      <w:start w:val="1"/>
      <w:numFmt w:val="bullet"/>
      <w:lvlText w:val=""/>
      <w:lvlJc w:val="left"/>
      <w:pPr>
        <w:tabs>
          <w:tab w:val="num" w:pos="6480"/>
        </w:tabs>
        <w:ind w:left="6480" w:hanging="360"/>
      </w:pPr>
      <w:rPr>
        <w:rFonts w:ascii="Wingdings" w:hAnsi="Wingdings"/>
      </w:rPr>
    </w:lvl>
  </w:abstractNum>
  <w:abstractNum w:abstractNumId="361" w15:restartNumberingAfterBreak="0">
    <w:nsid w:val="7223062B"/>
    <w:multiLevelType w:val="hybridMultilevel"/>
    <w:tmpl w:val="7223062B"/>
    <w:lvl w:ilvl="0" w:tplc="B9323FC4">
      <w:start w:val="1"/>
      <w:numFmt w:val="bullet"/>
      <w:lvlText w:val=""/>
      <w:lvlJc w:val="left"/>
      <w:pPr>
        <w:ind w:left="720" w:hanging="360"/>
      </w:pPr>
      <w:rPr>
        <w:rFonts w:ascii="Symbol" w:hAnsi="Symbol"/>
      </w:rPr>
    </w:lvl>
    <w:lvl w:ilvl="1" w:tplc="9006CAF4">
      <w:start w:val="1"/>
      <w:numFmt w:val="bullet"/>
      <w:lvlText w:val="o"/>
      <w:lvlJc w:val="left"/>
      <w:pPr>
        <w:ind w:left="1440" w:hanging="360"/>
      </w:pPr>
      <w:rPr>
        <w:rFonts w:ascii="Courier New" w:hAnsi="Courier New"/>
      </w:rPr>
    </w:lvl>
    <w:lvl w:ilvl="2" w:tplc="6AD2617E">
      <w:start w:val="1"/>
      <w:numFmt w:val="bullet"/>
      <w:lvlText w:val=""/>
      <w:lvlJc w:val="left"/>
      <w:pPr>
        <w:tabs>
          <w:tab w:val="num" w:pos="2160"/>
        </w:tabs>
        <w:ind w:left="2160" w:hanging="360"/>
      </w:pPr>
      <w:rPr>
        <w:rFonts w:ascii="Wingdings" w:hAnsi="Wingdings"/>
      </w:rPr>
    </w:lvl>
    <w:lvl w:ilvl="3" w:tplc="B7D2935C">
      <w:start w:val="1"/>
      <w:numFmt w:val="bullet"/>
      <w:lvlText w:val=""/>
      <w:lvlJc w:val="left"/>
      <w:pPr>
        <w:tabs>
          <w:tab w:val="num" w:pos="2880"/>
        </w:tabs>
        <w:ind w:left="2880" w:hanging="360"/>
      </w:pPr>
      <w:rPr>
        <w:rFonts w:ascii="Symbol" w:hAnsi="Symbol"/>
      </w:rPr>
    </w:lvl>
    <w:lvl w:ilvl="4" w:tplc="D9761A00">
      <w:start w:val="1"/>
      <w:numFmt w:val="bullet"/>
      <w:lvlText w:val="o"/>
      <w:lvlJc w:val="left"/>
      <w:pPr>
        <w:tabs>
          <w:tab w:val="num" w:pos="3600"/>
        </w:tabs>
        <w:ind w:left="3600" w:hanging="360"/>
      </w:pPr>
      <w:rPr>
        <w:rFonts w:ascii="Courier New" w:hAnsi="Courier New"/>
      </w:rPr>
    </w:lvl>
    <w:lvl w:ilvl="5" w:tplc="C3AC4188">
      <w:start w:val="1"/>
      <w:numFmt w:val="bullet"/>
      <w:lvlText w:val=""/>
      <w:lvlJc w:val="left"/>
      <w:pPr>
        <w:tabs>
          <w:tab w:val="num" w:pos="4320"/>
        </w:tabs>
        <w:ind w:left="4320" w:hanging="360"/>
      </w:pPr>
      <w:rPr>
        <w:rFonts w:ascii="Wingdings" w:hAnsi="Wingdings"/>
      </w:rPr>
    </w:lvl>
    <w:lvl w:ilvl="6" w:tplc="62B2B794">
      <w:start w:val="1"/>
      <w:numFmt w:val="bullet"/>
      <w:lvlText w:val=""/>
      <w:lvlJc w:val="left"/>
      <w:pPr>
        <w:tabs>
          <w:tab w:val="num" w:pos="5040"/>
        </w:tabs>
        <w:ind w:left="5040" w:hanging="360"/>
      </w:pPr>
      <w:rPr>
        <w:rFonts w:ascii="Symbol" w:hAnsi="Symbol"/>
      </w:rPr>
    </w:lvl>
    <w:lvl w:ilvl="7" w:tplc="4E86D532">
      <w:start w:val="1"/>
      <w:numFmt w:val="bullet"/>
      <w:lvlText w:val="o"/>
      <w:lvlJc w:val="left"/>
      <w:pPr>
        <w:tabs>
          <w:tab w:val="num" w:pos="5760"/>
        </w:tabs>
        <w:ind w:left="5760" w:hanging="360"/>
      </w:pPr>
      <w:rPr>
        <w:rFonts w:ascii="Courier New" w:hAnsi="Courier New"/>
      </w:rPr>
    </w:lvl>
    <w:lvl w:ilvl="8" w:tplc="89004294">
      <w:start w:val="1"/>
      <w:numFmt w:val="bullet"/>
      <w:lvlText w:val=""/>
      <w:lvlJc w:val="left"/>
      <w:pPr>
        <w:tabs>
          <w:tab w:val="num" w:pos="6480"/>
        </w:tabs>
        <w:ind w:left="6480" w:hanging="360"/>
      </w:pPr>
      <w:rPr>
        <w:rFonts w:ascii="Wingdings" w:hAnsi="Wingdings"/>
      </w:rPr>
    </w:lvl>
  </w:abstractNum>
  <w:abstractNum w:abstractNumId="362" w15:restartNumberingAfterBreak="0">
    <w:nsid w:val="7223062C"/>
    <w:multiLevelType w:val="hybridMultilevel"/>
    <w:tmpl w:val="7223062C"/>
    <w:lvl w:ilvl="0" w:tplc="131EAD2E">
      <w:start w:val="1"/>
      <w:numFmt w:val="bullet"/>
      <w:lvlText w:val=""/>
      <w:lvlJc w:val="left"/>
      <w:pPr>
        <w:ind w:left="720" w:hanging="360"/>
      </w:pPr>
      <w:rPr>
        <w:rFonts w:ascii="Symbol" w:hAnsi="Symbol"/>
      </w:rPr>
    </w:lvl>
    <w:lvl w:ilvl="1" w:tplc="6D82AD04">
      <w:start w:val="1"/>
      <w:numFmt w:val="bullet"/>
      <w:lvlText w:val="o"/>
      <w:lvlJc w:val="left"/>
      <w:pPr>
        <w:tabs>
          <w:tab w:val="num" w:pos="1440"/>
        </w:tabs>
        <w:ind w:left="1440" w:hanging="360"/>
      </w:pPr>
      <w:rPr>
        <w:rFonts w:ascii="Courier New" w:hAnsi="Courier New"/>
      </w:rPr>
    </w:lvl>
    <w:lvl w:ilvl="2" w:tplc="2084D8D8">
      <w:start w:val="1"/>
      <w:numFmt w:val="bullet"/>
      <w:lvlText w:val=""/>
      <w:lvlJc w:val="left"/>
      <w:pPr>
        <w:tabs>
          <w:tab w:val="num" w:pos="2160"/>
        </w:tabs>
        <w:ind w:left="2160" w:hanging="360"/>
      </w:pPr>
      <w:rPr>
        <w:rFonts w:ascii="Wingdings" w:hAnsi="Wingdings"/>
      </w:rPr>
    </w:lvl>
    <w:lvl w:ilvl="3" w:tplc="769C9A2E">
      <w:start w:val="1"/>
      <w:numFmt w:val="bullet"/>
      <w:lvlText w:val=""/>
      <w:lvlJc w:val="left"/>
      <w:pPr>
        <w:tabs>
          <w:tab w:val="num" w:pos="2880"/>
        </w:tabs>
        <w:ind w:left="2880" w:hanging="360"/>
      </w:pPr>
      <w:rPr>
        <w:rFonts w:ascii="Symbol" w:hAnsi="Symbol"/>
      </w:rPr>
    </w:lvl>
    <w:lvl w:ilvl="4" w:tplc="73645888">
      <w:start w:val="1"/>
      <w:numFmt w:val="bullet"/>
      <w:lvlText w:val="o"/>
      <w:lvlJc w:val="left"/>
      <w:pPr>
        <w:tabs>
          <w:tab w:val="num" w:pos="3600"/>
        </w:tabs>
        <w:ind w:left="3600" w:hanging="360"/>
      </w:pPr>
      <w:rPr>
        <w:rFonts w:ascii="Courier New" w:hAnsi="Courier New"/>
      </w:rPr>
    </w:lvl>
    <w:lvl w:ilvl="5" w:tplc="CB564992">
      <w:start w:val="1"/>
      <w:numFmt w:val="bullet"/>
      <w:lvlText w:val=""/>
      <w:lvlJc w:val="left"/>
      <w:pPr>
        <w:tabs>
          <w:tab w:val="num" w:pos="4320"/>
        </w:tabs>
        <w:ind w:left="4320" w:hanging="360"/>
      </w:pPr>
      <w:rPr>
        <w:rFonts w:ascii="Wingdings" w:hAnsi="Wingdings"/>
      </w:rPr>
    </w:lvl>
    <w:lvl w:ilvl="6" w:tplc="D71A7E60">
      <w:start w:val="1"/>
      <w:numFmt w:val="bullet"/>
      <w:lvlText w:val=""/>
      <w:lvlJc w:val="left"/>
      <w:pPr>
        <w:tabs>
          <w:tab w:val="num" w:pos="5040"/>
        </w:tabs>
        <w:ind w:left="5040" w:hanging="360"/>
      </w:pPr>
      <w:rPr>
        <w:rFonts w:ascii="Symbol" w:hAnsi="Symbol"/>
      </w:rPr>
    </w:lvl>
    <w:lvl w:ilvl="7" w:tplc="AE661702">
      <w:start w:val="1"/>
      <w:numFmt w:val="bullet"/>
      <w:lvlText w:val="o"/>
      <w:lvlJc w:val="left"/>
      <w:pPr>
        <w:tabs>
          <w:tab w:val="num" w:pos="5760"/>
        </w:tabs>
        <w:ind w:left="5760" w:hanging="360"/>
      </w:pPr>
      <w:rPr>
        <w:rFonts w:ascii="Courier New" w:hAnsi="Courier New"/>
      </w:rPr>
    </w:lvl>
    <w:lvl w:ilvl="8" w:tplc="13029F8A">
      <w:start w:val="1"/>
      <w:numFmt w:val="bullet"/>
      <w:lvlText w:val=""/>
      <w:lvlJc w:val="left"/>
      <w:pPr>
        <w:tabs>
          <w:tab w:val="num" w:pos="6480"/>
        </w:tabs>
        <w:ind w:left="6480" w:hanging="360"/>
      </w:pPr>
      <w:rPr>
        <w:rFonts w:ascii="Wingdings" w:hAnsi="Wingdings"/>
      </w:rPr>
    </w:lvl>
  </w:abstractNum>
  <w:abstractNum w:abstractNumId="363" w15:restartNumberingAfterBreak="0">
    <w:nsid w:val="7223062D"/>
    <w:multiLevelType w:val="hybridMultilevel"/>
    <w:tmpl w:val="7223062D"/>
    <w:lvl w:ilvl="0" w:tplc="80D8438A">
      <w:start w:val="1"/>
      <w:numFmt w:val="bullet"/>
      <w:lvlText w:val=""/>
      <w:lvlJc w:val="left"/>
      <w:pPr>
        <w:tabs>
          <w:tab w:val="num" w:pos="720"/>
        </w:tabs>
        <w:ind w:left="720" w:hanging="360"/>
      </w:pPr>
      <w:rPr>
        <w:rFonts w:ascii="Symbol" w:hAnsi="Symbol"/>
      </w:rPr>
    </w:lvl>
    <w:lvl w:ilvl="1" w:tplc="61C653BC">
      <w:start w:val="1"/>
      <w:numFmt w:val="bullet"/>
      <w:lvlText w:val="o"/>
      <w:lvlJc w:val="left"/>
      <w:pPr>
        <w:tabs>
          <w:tab w:val="num" w:pos="1440"/>
        </w:tabs>
        <w:ind w:left="1440" w:hanging="360"/>
      </w:pPr>
      <w:rPr>
        <w:rFonts w:ascii="Courier New" w:hAnsi="Courier New"/>
      </w:rPr>
    </w:lvl>
    <w:lvl w:ilvl="2" w:tplc="CA047BF4">
      <w:start w:val="1"/>
      <w:numFmt w:val="bullet"/>
      <w:lvlText w:val=""/>
      <w:lvlJc w:val="left"/>
      <w:pPr>
        <w:tabs>
          <w:tab w:val="num" w:pos="2160"/>
        </w:tabs>
        <w:ind w:left="2160" w:hanging="360"/>
      </w:pPr>
      <w:rPr>
        <w:rFonts w:ascii="Wingdings" w:hAnsi="Wingdings"/>
      </w:rPr>
    </w:lvl>
    <w:lvl w:ilvl="3" w:tplc="ADE478F0">
      <w:start w:val="1"/>
      <w:numFmt w:val="bullet"/>
      <w:lvlText w:val=""/>
      <w:lvlJc w:val="left"/>
      <w:pPr>
        <w:tabs>
          <w:tab w:val="num" w:pos="2880"/>
        </w:tabs>
        <w:ind w:left="2880" w:hanging="360"/>
      </w:pPr>
      <w:rPr>
        <w:rFonts w:ascii="Symbol" w:hAnsi="Symbol"/>
      </w:rPr>
    </w:lvl>
    <w:lvl w:ilvl="4" w:tplc="FC4C79F4">
      <w:start w:val="1"/>
      <w:numFmt w:val="bullet"/>
      <w:lvlText w:val="o"/>
      <w:lvlJc w:val="left"/>
      <w:pPr>
        <w:tabs>
          <w:tab w:val="num" w:pos="3600"/>
        </w:tabs>
        <w:ind w:left="3600" w:hanging="360"/>
      </w:pPr>
      <w:rPr>
        <w:rFonts w:ascii="Courier New" w:hAnsi="Courier New"/>
      </w:rPr>
    </w:lvl>
    <w:lvl w:ilvl="5" w:tplc="074AE210">
      <w:start w:val="1"/>
      <w:numFmt w:val="bullet"/>
      <w:lvlText w:val=""/>
      <w:lvlJc w:val="left"/>
      <w:pPr>
        <w:tabs>
          <w:tab w:val="num" w:pos="4320"/>
        </w:tabs>
        <w:ind w:left="4320" w:hanging="360"/>
      </w:pPr>
      <w:rPr>
        <w:rFonts w:ascii="Wingdings" w:hAnsi="Wingdings"/>
      </w:rPr>
    </w:lvl>
    <w:lvl w:ilvl="6" w:tplc="29DC40B8">
      <w:start w:val="1"/>
      <w:numFmt w:val="bullet"/>
      <w:lvlText w:val=""/>
      <w:lvlJc w:val="left"/>
      <w:pPr>
        <w:tabs>
          <w:tab w:val="num" w:pos="5040"/>
        </w:tabs>
        <w:ind w:left="5040" w:hanging="360"/>
      </w:pPr>
      <w:rPr>
        <w:rFonts w:ascii="Symbol" w:hAnsi="Symbol"/>
      </w:rPr>
    </w:lvl>
    <w:lvl w:ilvl="7" w:tplc="22EE5BAE">
      <w:start w:val="1"/>
      <w:numFmt w:val="bullet"/>
      <w:lvlText w:val="o"/>
      <w:lvlJc w:val="left"/>
      <w:pPr>
        <w:tabs>
          <w:tab w:val="num" w:pos="5760"/>
        </w:tabs>
        <w:ind w:left="5760" w:hanging="360"/>
      </w:pPr>
      <w:rPr>
        <w:rFonts w:ascii="Courier New" w:hAnsi="Courier New"/>
      </w:rPr>
    </w:lvl>
    <w:lvl w:ilvl="8" w:tplc="84FE6972">
      <w:start w:val="1"/>
      <w:numFmt w:val="bullet"/>
      <w:lvlText w:val=""/>
      <w:lvlJc w:val="left"/>
      <w:pPr>
        <w:tabs>
          <w:tab w:val="num" w:pos="6480"/>
        </w:tabs>
        <w:ind w:left="6480" w:hanging="360"/>
      </w:pPr>
      <w:rPr>
        <w:rFonts w:ascii="Wingdings" w:hAnsi="Wingdings"/>
      </w:rPr>
    </w:lvl>
  </w:abstractNum>
  <w:abstractNum w:abstractNumId="364" w15:restartNumberingAfterBreak="0">
    <w:nsid w:val="7223062E"/>
    <w:multiLevelType w:val="hybridMultilevel"/>
    <w:tmpl w:val="7223062E"/>
    <w:lvl w:ilvl="0" w:tplc="54084582">
      <w:start w:val="1"/>
      <w:numFmt w:val="bullet"/>
      <w:lvlText w:val=""/>
      <w:lvlJc w:val="left"/>
      <w:pPr>
        <w:ind w:left="720" w:hanging="360"/>
      </w:pPr>
      <w:rPr>
        <w:rFonts w:ascii="Symbol" w:hAnsi="Symbol"/>
      </w:rPr>
    </w:lvl>
    <w:lvl w:ilvl="1" w:tplc="FD82306E">
      <w:start w:val="1"/>
      <w:numFmt w:val="bullet"/>
      <w:lvlText w:val="o"/>
      <w:lvlJc w:val="left"/>
      <w:pPr>
        <w:tabs>
          <w:tab w:val="num" w:pos="1440"/>
        </w:tabs>
        <w:ind w:left="1440" w:hanging="360"/>
      </w:pPr>
      <w:rPr>
        <w:rFonts w:ascii="Courier New" w:hAnsi="Courier New"/>
      </w:rPr>
    </w:lvl>
    <w:lvl w:ilvl="2" w:tplc="312812F0">
      <w:start w:val="1"/>
      <w:numFmt w:val="bullet"/>
      <w:lvlText w:val=""/>
      <w:lvlJc w:val="left"/>
      <w:pPr>
        <w:tabs>
          <w:tab w:val="num" w:pos="2160"/>
        </w:tabs>
        <w:ind w:left="2160" w:hanging="360"/>
      </w:pPr>
      <w:rPr>
        <w:rFonts w:ascii="Wingdings" w:hAnsi="Wingdings"/>
      </w:rPr>
    </w:lvl>
    <w:lvl w:ilvl="3" w:tplc="E55C8694">
      <w:start w:val="1"/>
      <w:numFmt w:val="bullet"/>
      <w:lvlText w:val=""/>
      <w:lvlJc w:val="left"/>
      <w:pPr>
        <w:tabs>
          <w:tab w:val="num" w:pos="2880"/>
        </w:tabs>
        <w:ind w:left="2880" w:hanging="360"/>
      </w:pPr>
      <w:rPr>
        <w:rFonts w:ascii="Symbol" w:hAnsi="Symbol"/>
      </w:rPr>
    </w:lvl>
    <w:lvl w:ilvl="4" w:tplc="706C63C4">
      <w:start w:val="1"/>
      <w:numFmt w:val="bullet"/>
      <w:lvlText w:val="o"/>
      <w:lvlJc w:val="left"/>
      <w:pPr>
        <w:tabs>
          <w:tab w:val="num" w:pos="3600"/>
        </w:tabs>
        <w:ind w:left="3600" w:hanging="360"/>
      </w:pPr>
      <w:rPr>
        <w:rFonts w:ascii="Courier New" w:hAnsi="Courier New"/>
      </w:rPr>
    </w:lvl>
    <w:lvl w:ilvl="5" w:tplc="BC6ACF20">
      <w:start w:val="1"/>
      <w:numFmt w:val="bullet"/>
      <w:lvlText w:val=""/>
      <w:lvlJc w:val="left"/>
      <w:pPr>
        <w:tabs>
          <w:tab w:val="num" w:pos="4320"/>
        </w:tabs>
        <w:ind w:left="4320" w:hanging="360"/>
      </w:pPr>
      <w:rPr>
        <w:rFonts w:ascii="Wingdings" w:hAnsi="Wingdings"/>
      </w:rPr>
    </w:lvl>
    <w:lvl w:ilvl="6" w:tplc="BDDAE50C">
      <w:start w:val="1"/>
      <w:numFmt w:val="bullet"/>
      <w:lvlText w:val=""/>
      <w:lvlJc w:val="left"/>
      <w:pPr>
        <w:tabs>
          <w:tab w:val="num" w:pos="5040"/>
        </w:tabs>
        <w:ind w:left="5040" w:hanging="360"/>
      </w:pPr>
      <w:rPr>
        <w:rFonts w:ascii="Symbol" w:hAnsi="Symbol"/>
      </w:rPr>
    </w:lvl>
    <w:lvl w:ilvl="7" w:tplc="78A0F024">
      <w:start w:val="1"/>
      <w:numFmt w:val="bullet"/>
      <w:lvlText w:val="o"/>
      <w:lvlJc w:val="left"/>
      <w:pPr>
        <w:tabs>
          <w:tab w:val="num" w:pos="5760"/>
        </w:tabs>
        <w:ind w:left="5760" w:hanging="360"/>
      </w:pPr>
      <w:rPr>
        <w:rFonts w:ascii="Courier New" w:hAnsi="Courier New"/>
      </w:rPr>
    </w:lvl>
    <w:lvl w:ilvl="8" w:tplc="2970144E">
      <w:start w:val="1"/>
      <w:numFmt w:val="bullet"/>
      <w:lvlText w:val=""/>
      <w:lvlJc w:val="left"/>
      <w:pPr>
        <w:tabs>
          <w:tab w:val="num" w:pos="6480"/>
        </w:tabs>
        <w:ind w:left="6480" w:hanging="360"/>
      </w:pPr>
      <w:rPr>
        <w:rFonts w:ascii="Wingdings" w:hAnsi="Wingdings"/>
      </w:rPr>
    </w:lvl>
  </w:abstractNum>
  <w:abstractNum w:abstractNumId="365" w15:restartNumberingAfterBreak="0">
    <w:nsid w:val="7223062F"/>
    <w:multiLevelType w:val="hybridMultilevel"/>
    <w:tmpl w:val="7223062F"/>
    <w:lvl w:ilvl="0" w:tplc="2458AFC8">
      <w:start w:val="1"/>
      <w:numFmt w:val="bullet"/>
      <w:lvlText w:val=""/>
      <w:lvlJc w:val="left"/>
      <w:pPr>
        <w:ind w:left="720" w:hanging="360"/>
      </w:pPr>
      <w:rPr>
        <w:rFonts w:ascii="Symbol" w:hAnsi="Symbol"/>
      </w:rPr>
    </w:lvl>
    <w:lvl w:ilvl="1" w:tplc="1012C2DE">
      <w:start w:val="1"/>
      <w:numFmt w:val="bullet"/>
      <w:lvlText w:val="o"/>
      <w:lvlJc w:val="left"/>
      <w:pPr>
        <w:tabs>
          <w:tab w:val="num" w:pos="1440"/>
        </w:tabs>
        <w:ind w:left="1440" w:hanging="360"/>
      </w:pPr>
      <w:rPr>
        <w:rFonts w:ascii="Courier New" w:hAnsi="Courier New"/>
      </w:rPr>
    </w:lvl>
    <w:lvl w:ilvl="2" w:tplc="4B7E83A6">
      <w:start w:val="1"/>
      <w:numFmt w:val="bullet"/>
      <w:lvlText w:val=""/>
      <w:lvlJc w:val="left"/>
      <w:pPr>
        <w:tabs>
          <w:tab w:val="num" w:pos="2160"/>
        </w:tabs>
        <w:ind w:left="2160" w:hanging="360"/>
      </w:pPr>
      <w:rPr>
        <w:rFonts w:ascii="Wingdings" w:hAnsi="Wingdings"/>
      </w:rPr>
    </w:lvl>
    <w:lvl w:ilvl="3" w:tplc="E74AB524">
      <w:start w:val="1"/>
      <w:numFmt w:val="bullet"/>
      <w:lvlText w:val=""/>
      <w:lvlJc w:val="left"/>
      <w:pPr>
        <w:tabs>
          <w:tab w:val="num" w:pos="2880"/>
        </w:tabs>
        <w:ind w:left="2880" w:hanging="360"/>
      </w:pPr>
      <w:rPr>
        <w:rFonts w:ascii="Symbol" w:hAnsi="Symbol"/>
      </w:rPr>
    </w:lvl>
    <w:lvl w:ilvl="4" w:tplc="D1041F82">
      <w:start w:val="1"/>
      <w:numFmt w:val="bullet"/>
      <w:lvlText w:val="o"/>
      <w:lvlJc w:val="left"/>
      <w:pPr>
        <w:tabs>
          <w:tab w:val="num" w:pos="3600"/>
        </w:tabs>
        <w:ind w:left="3600" w:hanging="360"/>
      </w:pPr>
      <w:rPr>
        <w:rFonts w:ascii="Courier New" w:hAnsi="Courier New"/>
      </w:rPr>
    </w:lvl>
    <w:lvl w:ilvl="5" w:tplc="113ECAD4">
      <w:start w:val="1"/>
      <w:numFmt w:val="bullet"/>
      <w:lvlText w:val=""/>
      <w:lvlJc w:val="left"/>
      <w:pPr>
        <w:tabs>
          <w:tab w:val="num" w:pos="4320"/>
        </w:tabs>
        <w:ind w:left="4320" w:hanging="360"/>
      </w:pPr>
      <w:rPr>
        <w:rFonts w:ascii="Wingdings" w:hAnsi="Wingdings"/>
      </w:rPr>
    </w:lvl>
    <w:lvl w:ilvl="6" w:tplc="AD72A3E2">
      <w:start w:val="1"/>
      <w:numFmt w:val="bullet"/>
      <w:lvlText w:val=""/>
      <w:lvlJc w:val="left"/>
      <w:pPr>
        <w:tabs>
          <w:tab w:val="num" w:pos="5040"/>
        </w:tabs>
        <w:ind w:left="5040" w:hanging="360"/>
      </w:pPr>
      <w:rPr>
        <w:rFonts w:ascii="Symbol" w:hAnsi="Symbol"/>
      </w:rPr>
    </w:lvl>
    <w:lvl w:ilvl="7" w:tplc="89A27642">
      <w:start w:val="1"/>
      <w:numFmt w:val="bullet"/>
      <w:lvlText w:val="o"/>
      <w:lvlJc w:val="left"/>
      <w:pPr>
        <w:tabs>
          <w:tab w:val="num" w:pos="5760"/>
        </w:tabs>
        <w:ind w:left="5760" w:hanging="360"/>
      </w:pPr>
      <w:rPr>
        <w:rFonts w:ascii="Courier New" w:hAnsi="Courier New"/>
      </w:rPr>
    </w:lvl>
    <w:lvl w:ilvl="8" w:tplc="1F067810">
      <w:start w:val="1"/>
      <w:numFmt w:val="bullet"/>
      <w:lvlText w:val=""/>
      <w:lvlJc w:val="left"/>
      <w:pPr>
        <w:tabs>
          <w:tab w:val="num" w:pos="6480"/>
        </w:tabs>
        <w:ind w:left="6480" w:hanging="360"/>
      </w:pPr>
      <w:rPr>
        <w:rFonts w:ascii="Wingdings" w:hAnsi="Wingdings"/>
      </w:rPr>
    </w:lvl>
  </w:abstractNum>
  <w:abstractNum w:abstractNumId="366" w15:restartNumberingAfterBreak="0">
    <w:nsid w:val="72230630"/>
    <w:multiLevelType w:val="hybridMultilevel"/>
    <w:tmpl w:val="72230630"/>
    <w:lvl w:ilvl="0" w:tplc="66C2BDCE">
      <w:start w:val="1"/>
      <w:numFmt w:val="bullet"/>
      <w:lvlText w:val=""/>
      <w:lvlJc w:val="left"/>
      <w:pPr>
        <w:ind w:left="720" w:hanging="360"/>
      </w:pPr>
      <w:rPr>
        <w:rFonts w:ascii="Symbol" w:hAnsi="Symbol"/>
      </w:rPr>
    </w:lvl>
    <w:lvl w:ilvl="1" w:tplc="3D901CE6">
      <w:start w:val="1"/>
      <w:numFmt w:val="bullet"/>
      <w:lvlText w:val="o"/>
      <w:lvlJc w:val="left"/>
      <w:pPr>
        <w:tabs>
          <w:tab w:val="num" w:pos="1440"/>
        </w:tabs>
        <w:ind w:left="1440" w:hanging="360"/>
      </w:pPr>
      <w:rPr>
        <w:rFonts w:ascii="Courier New" w:hAnsi="Courier New"/>
      </w:rPr>
    </w:lvl>
    <w:lvl w:ilvl="2" w:tplc="F2368FF6">
      <w:start w:val="1"/>
      <w:numFmt w:val="bullet"/>
      <w:lvlText w:val=""/>
      <w:lvlJc w:val="left"/>
      <w:pPr>
        <w:tabs>
          <w:tab w:val="num" w:pos="2160"/>
        </w:tabs>
        <w:ind w:left="2160" w:hanging="360"/>
      </w:pPr>
      <w:rPr>
        <w:rFonts w:ascii="Wingdings" w:hAnsi="Wingdings"/>
      </w:rPr>
    </w:lvl>
    <w:lvl w:ilvl="3" w:tplc="58E6CD44">
      <w:start w:val="1"/>
      <w:numFmt w:val="bullet"/>
      <w:lvlText w:val=""/>
      <w:lvlJc w:val="left"/>
      <w:pPr>
        <w:tabs>
          <w:tab w:val="num" w:pos="2880"/>
        </w:tabs>
        <w:ind w:left="2880" w:hanging="360"/>
      </w:pPr>
      <w:rPr>
        <w:rFonts w:ascii="Symbol" w:hAnsi="Symbol"/>
      </w:rPr>
    </w:lvl>
    <w:lvl w:ilvl="4" w:tplc="65B06802">
      <w:start w:val="1"/>
      <w:numFmt w:val="bullet"/>
      <w:lvlText w:val="o"/>
      <w:lvlJc w:val="left"/>
      <w:pPr>
        <w:tabs>
          <w:tab w:val="num" w:pos="3600"/>
        </w:tabs>
        <w:ind w:left="3600" w:hanging="360"/>
      </w:pPr>
      <w:rPr>
        <w:rFonts w:ascii="Courier New" w:hAnsi="Courier New"/>
      </w:rPr>
    </w:lvl>
    <w:lvl w:ilvl="5" w:tplc="A9E8B782">
      <w:start w:val="1"/>
      <w:numFmt w:val="bullet"/>
      <w:lvlText w:val=""/>
      <w:lvlJc w:val="left"/>
      <w:pPr>
        <w:tabs>
          <w:tab w:val="num" w:pos="4320"/>
        </w:tabs>
        <w:ind w:left="4320" w:hanging="360"/>
      </w:pPr>
      <w:rPr>
        <w:rFonts w:ascii="Wingdings" w:hAnsi="Wingdings"/>
      </w:rPr>
    </w:lvl>
    <w:lvl w:ilvl="6" w:tplc="67327A46">
      <w:start w:val="1"/>
      <w:numFmt w:val="bullet"/>
      <w:lvlText w:val=""/>
      <w:lvlJc w:val="left"/>
      <w:pPr>
        <w:tabs>
          <w:tab w:val="num" w:pos="5040"/>
        </w:tabs>
        <w:ind w:left="5040" w:hanging="360"/>
      </w:pPr>
      <w:rPr>
        <w:rFonts w:ascii="Symbol" w:hAnsi="Symbol"/>
      </w:rPr>
    </w:lvl>
    <w:lvl w:ilvl="7" w:tplc="74100392">
      <w:start w:val="1"/>
      <w:numFmt w:val="bullet"/>
      <w:lvlText w:val="o"/>
      <w:lvlJc w:val="left"/>
      <w:pPr>
        <w:tabs>
          <w:tab w:val="num" w:pos="5760"/>
        </w:tabs>
        <w:ind w:left="5760" w:hanging="360"/>
      </w:pPr>
      <w:rPr>
        <w:rFonts w:ascii="Courier New" w:hAnsi="Courier New"/>
      </w:rPr>
    </w:lvl>
    <w:lvl w:ilvl="8" w:tplc="648A7CDE">
      <w:start w:val="1"/>
      <w:numFmt w:val="bullet"/>
      <w:lvlText w:val=""/>
      <w:lvlJc w:val="left"/>
      <w:pPr>
        <w:tabs>
          <w:tab w:val="num" w:pos="6480"/>
        </w:tabs>
        <w:ind w:left="6480" w:hanging="360"/>
      </w:pPr>
      <w:rPr>
        <w:rFonts w:ascii="Wingdings" w:hAnsi="Wingdings"/>
      </w:rPr>
    </w:lvl>
  </w:abstractNum>
  <w:abstractNum w:abstractNumId="367" w15:restartNumberingAfterBreak="0">
    <w:nsid w:val="72230631"/>
    <w:multiLevelType w:val="hybridMultilevel"/>
    <w:tmpl w:val="72230631"/>
    <w:lvl w:ilvl="0" w:tplc="36000FCA">
      <w:start w:val="1"/>
      <w:numFmt w:val="bullet"/>
      <w:lvlText w:val=""/>
      <w:lvlJc w:val="left"/>
      <w:pPr>
        <w:ind w:left="720" w:hanging="360"/>
      </w:pPr>
      <w:rPr>
        <w:rFonts w:ascii="Symbol" w:hAnsi="Symbol"/>
      </w:rPr>
    </w:lvl>
    <w:lvl w:ilvl="1" w:tplc="34306D56">
      <w:start w:val="1"/>
      <w:numFmt w:val="bullet"/>
      <w:lvlText w:val="o"/>
      <w:lvlJc w:val="left"/>
      <w:pPr>
        <w:tabs>
          <w:tab w:val="num" w:pos="1440"/>
        </w:tabs>
        <w:ind w:left="1440" w:hanging="360"/>
      </w:pPr>
      <w:rPr>
        <w:rFonts w:ascii="Courier New" w:hAnsi="Courier New"/>
      </w:rPr>
    </w:lvl>
    <w:lvl w:ilvl="2" w:tplc="0A5CD94C">
      <w:start w:val="1"/>
      <w:numFmt w:val="bullet"/>
      <w:lvlText w:val=""/>
      <w:lvlJc w:val="left"/>
      <w:pPr>
        <w:tabs>
          <w:tab w:val="num" w:pos="2160"/>
        </w:tabs>
        <w:ind w:left="2160" w:hanging="360"/>
      </w:pPr>
      <w:rPr>
        <w:rFonts w:ascii="Wingdings" w:hAnsi="Wingdings"/>
      </w:rPr>
    </w:lvl>
    <w:lvl w:ilvl="3" w:tplc="EED03F46">
      <w:start w:val="1"/>
      <w:numFmt w:val="bullet"/>
      <w:lvlText w:val=""/>
      <w:lvlJc w:val="left"/>
      <w:pPr>
        <w:tabs>
          <w:tab w:val="num" w:pos="2880"/>
        </w:tabs>
        <w:ind w:left="2880" w:hanging="360"/>
      </w:pPr>
      <w:rPr>
        <w:rFonts w:ascii="Symbol" w:hAnsi="Symbol"/>
      </w:rPr>
    </w:lvl>
    <w:lvl w:ilvl="4" w:tplc="AAAABF5C">
      <w:start w:val="1"/>
      <w:numFmt w:val="bullet"/>
      <w:lvlText w:val="o"/>
      <w:lvlJc w:val="left"/>
      <w:pPr>
        <w:tabs>
          <w:tab w:val="num" w:pos="3600"/>
        </w:tabs>
        <w:ind w:left="3600" w:hanging="360"/>
      </w:pPr>
      <w:rPr>
        <w:rFonts w:ascii="Courier New" w:hAnsi="Courier New"/>
      </w:rPr>
    </w:lvl>
    <w:lvl w:ilvl="5" w:tplc="D4043824">
      <w:start w:val="1"/>
      <w:numFmt w:val="bullet"/>
      <w:lvlText w:val=""/>
      <w:lvlJc w:val="left"/>
      <w:pPr>
        <w:tabs>
          <w:tab w:val="num" w:pos="4320"/>
        </w:tabs>
        <w:ind w:left="4320" w:hanging="360"/>
      </w:pPr>
      <w:rPr>
        <w:rFonts w:ascii="Wingdings" w:hAnsi="Wingdings"/>
      </w:rPr>
    </w:lvl>
    <w:lvl w:ilvl="6" w:tplc="44F8375A">
      <w:start w:val="1"/>
      <w:numFmt w:val="bullet"/>
      <w:lvlText w:val=""/>
      <w:lvlJc w:val="left"/>
      <w:pPr>
        <w:tabs>
          <w:tab w:val="num" w:pos="5040"/>
        </w:tabs>
        <w:ind w:left="5040" w:hanging="360"/>
      </w:pPr>
      <w:rPr>
        <w:rFonts w:ascii="Symbol" w:hAnsi="Symbol"/>
      </w:rPr>
    </w:lvl>
    <w:lvl w:ilvl="7" w:tplc="CAB6599C">
      <w:start w:val="1"/>
      <w:numFmt w:val="bullet"/>
      <w:lvlText w:val="o"/>
      <w:lvlJc w:val="left"/>
      <w:pPr>
        <w:tabs>
          <w:tab w:val="num" w:pos="5760"/>
        </w:tabs>
        <w:ind w:left="5760" w:hanging="360"/>
      </w:pPr>
      <w:rPr>
        <w:rFonts w:ascii="Courier New" w:hAnsi="Courier New"/>
      </w:rPr>
    </w:lvl>
    <w:lvl w:ilvl="8" w:tplc="1FD213AE">
      <w:start w:val="1"/>
      <w:numFmt w:val="bullet"/>
      <w:lvlText w:val=""/>
      <w:lvlJc w:val="left"/>
      <w:pPr>
        <w:tabs>
          <w:tab w:val="num" w:pos="6480"/>
        </w:tabs>
        <w:ind w:left="6480" w:hanging="360"/>
      </w:pPr>
      <w:rPr>
        <w:rFonts w:ascii="Wingdings" w:hAnsi="Wingdings"/>
      </w:rPr>
    </w:lvl>
  </w:abstractNum>
  <w:abstractNum w:abstractNumId="368" w15:restartNumberingAfterBreak="0">
    <w:nsid w:val="72230632"/>
    <w:multiLevelType w:val="hybridMultilevel"/>
    <w:tmpl w:val="72230632"/>
    <w:lvl w:ilvl="0" w:tplc="8FA42488">
      <w:start w:val="1"/>
      <w:numFmt w:val="bullet"/>
      <w:lvlText w:val=""/>
      <w:lvlJc w:val="left"/>
      <w:pPr>
        <w:ind w:left="720" w:hanging="360"/>
      </w:pPr>
      <w:rPr>
        <w:rFonts w:ascii="Symbol" w:hAnsi="Symbol"/>
      </w:rPr>
    </w:lvl>
    <w:lvl w:ilvl="1" w:tplc="B9B85ECA">
      <w:start w:val="1"/>
      <w:numFmt w:val="bullet"/>
      <w:lvlText w:val="o"/>
      <w:lvlJc w:val="left"/>
      <w:pPr>
        <w:ind w:left="1440" w:hanging="360"/>
      </w:pPr>
      <w:rPr>
        <w:rFonts w:ascii="Courier New" w:hAnsi="Courier New"/>
      </w:rPr>
    </w:lvl>
    <w:lvl w:ilvl="2" w:tplc="CF6ABFF4">
      <w:start w:val="1"/>
      <w:numFmt w:val="bullet"/>
      <w:lvlText w:val=""/>
      <w:lvlJc w:val="left"/>
      <w:pPr>
        <w:tabs>
          <w:tab w:val="num" w:pos="2160"/>
        </w:tabs>
        <w:ind w:left="2160" w:hanging="360"/>
      </w:pPr>
      <w:rPr>
        <w:rFonts w:ascii="Wingdings" w:hAnsi="Wingdings"/>
      </w:rPr>
    </w:lvl>
    <w:lvl w:ilvl="3" w:tplc="92C62D74">
      <w:start w:val="1"/>
      <w:numFmt w:val="bullet"/>
      <w:lvlText w:val=""/>
      <w:lvlJc w:val="left"/>
      <w:pPr>
        <w:tabs>
          <w:tab w:val="num" w:pos="2880"/>
        </w:tabs>
        <w:ind w:left="2880" w:hanging="360"/>
      </w:pPr>
      <w:rPr>
        <w:rFonts w:ascii="Symbol" w:hAnsi="Symbol"/>
      </w:rPr>
    </w:lvl>
    <w:lvl w:ilvl="4" w:tplc="46664094">
      <w:start w:val="1"/>
      <w:numFmt w:val="bullet"/>
      <w:lvlText w:val="o"/>
      <w:lvlJc w:val="left"/>
      <w:pPr>
        <w:tabs>
          <w:tab w:val="num" w:pos="3600"/>
        </w:tabs>
        <w:ind w:left="3600" w:hanging="360"/>
      </w:pPr>
      <w:rPr>
        <w:rFonts w:ascii="Courier New" w:hAnsi="Courier New"/>
      </w:rPr>
    </w:lvl>
    <w:lvl w:ilvl="5" w:tplc="C1929EE6">
      <w:start w:val="1"/>
      <w:numFmt w:val="bullet"/>
      <w:lvlText w:val=""/>
      <w:lvlJc w:val="left"/>
      <w:pPr>
        <w:tabs>
          <w:tab w:val="num" w:pos="4320"/>
        </w:tabs>
        <w:ind w:left="4320" w:hanging="360"/>
      </w:pPr>
      <w:rPr>
        <w:rFonts w:ascii="Wingdings" w:hAnsi="Wingdings"/>
      </w:rPr>
    </w:lvl>
    <w:lvl w:ilvl="6" w:tplc="4B6E3E54">
      <w:start w:val="1"/>
      <w:numFmt w:val="bullet"/>
      <w:lvlText w:val=""/>
      <w:lvlJc w:val="left"/>
      <w:pPr>
        <w:tabs>
          <w:tab w:val="num" w:pos="5040"/>
        </w:tabs>
        <w:ind w:left="5040" w:hanging="360"/>
      </w:pPr>
      <w:rPr>
        <w:rFonts w:ascii="Symbol" w:hAnsi="Symbol"/>
      </w:rPr>
    </w:lvl>
    <w:lvl w:ilvl="7" w:tplc="78861F7E">
      <w:start w:val="1"/>
      <w:numFmt w:val="bullet"/>
      <w:lvlText w:val="o"/>
      <w:lvlJc w:val="left"/>
      <w:pPr>
        <w:tabs>
          <w:tab w:val="num" w:pos="5760"/>
        </w:tabs>
        <w:ind w:left="5760" w:hanging="360"/>
      </w:pPr>
      <w:rPr>
        <w:rFonts w:ascii="Courier New" w:hAnsi="Courier New"/>
      </w:rPr>
    </w:lvl>
    <w:lvl w:ilvl="8" w:tplc="A51EFB00">
      <w:start w:val="1"/>
      <w:numFmt w:val="bullet"/>
      <w:lvlText w:val=""/>
      <w:lvlJc w:val="left"/>
      <w:pPr>
        <w:tabs>
          <w:tab w:val="num" w:pos="6480"/>
        </w:tabs>
        <w:ind w:left="6480" w:hanging="360"/>
      </w:pPr>
      <w:rPr>
        <w:rFonts w:ascii="Wingdings" w:hAnsi="Wingdings"/>
      </w:rPr>
    </w:lvl>
  </w:abstractNum>
  <w:abstractNum w:abstractNumId="369" w15:restartNumberingAfterBreak="0">
    <w:nsid w:val="72230633"/>
    <w:multiLevelType w:val="hybridMultilevel"/>
    <w:tmpl w:val="72230633"/>
    <w:lvl w:ilvl="0" w:tplc="46802FCC">
      <w:start w:val="1"/>
      <w:numFmt w:val="bullet"/>
      <w:lvlText w:val=""/>
      <w:lvlJc w:val="left"/>
      <w:pPr>
        <w:ind w:left="720" w:hanging="360"/>
      </w:pPr>
      <w:rPr>
        <w:rFonts w:ascii="Symbol" w:hAnsi="Symbol"/>
      </w:rPr>
    </w:lvl>
    <w:lvl w:ilvl="1" w:tplc="FEE8C972">
      <w:start w:val="1"/>
      <w:numFmt w:val="bullet"/>
      <w:lvlText w:val="o"/>
      <w:lvlJc w:val="left"/>
      <w:pPr>
        <w:tabs>
          <w:tab w:val="num" w:pos="1440"/>
        </w:tabs>
        <w:ind w:left="1440" w:hanging="360"/>
      </w:pPr>
      <w:rPr>
        <w:rFonts w:ascii="Courier New" w:hAnsi="Courier New"/>
      </w:rPr>
    </w:lvl>
    <w:lvl w:ilvl="2" w:tplc="99EC86D4">
      <w:start w:val="1"/>
      <w:numFmt w:val="bullet"/>
      <w:lvlText w:val=""/>
      <w:lvlJc w:val="left"/>
      <w:pPr>
        <w:tabs>
          <w:tab w:val="num" w:pos="2160"/>
        </w:tabs>
        <w:ind w:left="2160" w:hanging="360"/>
      </w:pPr>
      <w:rPr>
        <w:rFonts w:ascii="Wingdings" w:hAnsi="Wingdings"/>
      </w:rPr>
    </w:lvl>
    <w:lvl w:ilvl="3" w:tplc="F964F2CA">
      <w:start w:val="1"/>
      <w:numFmt w:val="bullet"/>
      <w:lvlText w:val=""/>
      <w:lvlJc w:val="left"/>
      <w:pPr>
        <w:tabs>
          <w:tab w:val="num" w:pos="2880"/>
        </w:tabs>
        <w:ind w:left="2880" w:hanging="360"/>
      </w:pPr>
      <w:rPr>
        <w:rFonts w:ascii="Symbol" w:hAnsi="Symbol"/>
      </w:rPr>
    </w:lvl>
    <w:lvl w:ilvl="4" w:tplc="B73C0ACE">
      <w:start w:val="1"/>
      <w:numFmt w:val="bullet"/>
      <w:lvlText w:val="o"/>
      <w:lvlJc w:val="left"/>
      <w:pPr>
        <w:tabs>
          <w:tab w:val="num" w:pos="3600"/>
        </w:tabs>
        <w:ind w:left="3600" w:hanging="360"/>
      </w:pPr>
      <w:rPr>
        <w:rFonts w:ascii="Courier New" w:hAnsi="Courier New"/>
      </w:rPr>
    </w:lvl>
    <w:lvl w:ilvl="5" w:tplc="C8A0536E">
      <w:start w:val="1"/>
      <w:numFmt w:val="bullet"/>
      <w:lvlText w:val=""/>
      <w:lvlJc w:val="left"/>
      <w:pPr>
        <w:tabs>
          <w:tab w:val="num" w:pos="4320"/>
        </w:tabs>
        <w:ind w:left="4320" w:hanging="360"/>
      </w:pPr>
      <w:rPr>
        <w:rFonts w:ascii="Wingdings" w:hAnsi="Wingdings"/>
      </w:rPr>
    </w:lvl>
    <w:lvl w:ilvl="6" w:tplc="176C0E1E">
      <w:start w:val="1"/>
      <w:numFmt w:val="bullet"/>
      <w:lvlText w:val=""/>
      <w:lvlJc w:val="left"/>
      <w:pPr>
        <w:tabs>
          <w:tab w:val="num" w:pos="5040"/>
        </w:tabs>
        <w:ind w:left="5040" w:hanging="360"/>
      </w:pPr>
      <w:rPr>
        <w:rFonts w:ascii="Symbol" w:hAnsi="Symbol"/>
      </w:rPr>
    </w:lvl>
    <w:lvl w:ilvl="7" w:tplc="E5580AFA">
      <w:start w:val="1"/>
      <w:numFmt w:val="bullet"/>
      <w:lvlText w:val="o"/>
      <w:lvlJc w:val="left"/>
      <w:pPr>
        <w:tabs>
          <w:tab w:val="num" w:pos="5760"/>
        </w:tabs>
        <w:ind w:left="5760" w:hanging="360"/>
      </w:pPr>
      <w:rPr>
        <w:rFonts w:ascii="Courier New" w:hAnsi="Courier New"/>
      </w:rPr>
    </w:lvl>
    <w:lvl w:ilvl="8" w:tplc="549EAA1E">
      <w:start w:val="1"/>
      <w:numFmt w:val="bullet"/>
      <w:lvlText w:val=""/>
      <w:lvlJc w:val="left"/>
      <w:pPr>
        <w:tabs>
          <w:tab w:val="num" w:pos="6480"/>
        </w:tabs>
        <w:ind w:left="6480" w:hanging="360"/>
      </w:pPr>
      <w:rPr>
        <w:rFonts w:ascii="Wingdings" w:hAnsi="Wingdings"/>
      </w:rPr>
    </w:lvl>
  </w:abstractNum>
  <w:abstractNum w:abstractNumId="370" w15:restartNumberingAfterBreak="0">
    <w:nsid w:val="72230634"/>
    <w:multiLevelType w:val="hybridMultilevel"/>
    <w:tmpl w:val="72230634"/>
    <w:lvl w:ilvl="0" w:tplc="5CB611F2">
      <w:start w:val="1"/>
      <w:numFmt w:val="bullet"/>
      <w:lvlText w:val=""/>
      <w:lvlJc w:val="left"/>
      <w:pPr>
        <w:ind w:left="720" w:hanging="360"/>
      </w:pPr>
      <w:rPr>
        <w:rFonts w:ascii="Symbol" w:hAnsi="Symbol"/>
      </w:rPr>
    </w:lvl>
    <w:lvl w:ilvl="1" w:tplc="EA8A4098">
      <w:start w:val="1"/>
      <w:numFmt w:val="bullet"/>
      <w:lvlText w:val="o"/>
      <w:lvlJc w:val="left"/>
      <w:pPr>
        <w:tabs>
          <w:tab w:val="num" w:pos="1440"/>
        </w:tabs>
        <w:ind w:left="1440" w:hanging="360"/>
      </w:pPr>
      <w:rPr>
        <w:rFonts w:ascii="Courier New" w:hAnsi="Courier New"/>
      </w:rPr>
    </w:lvl>
    <w:lvl w:ilvl="2" w:tplc="67B64128">
      <w:start w:val="1"/>
      <w:numFmt w:val="bullet"/>
      <w:lvlText w:val=""/>
      <w:lvlJc w:val="left"/>
      <w:pPr>
        <w:tabs>
          <w:tab w:val="num" w:pos="2160"/>
        </w:tabs>
        <w:ind w:left="2160" w:hanging="360"/>
      </w:pPr>
      <w:rPr>
        <w:rFonts w:ascii="Wingdings" w:hAnsi="Wingdings"/>
      </w:rPr>
    </w:lvl>
    <w:lvl w:ilvl="3" w:tplc="1200F090">
      <w:start w:val="1"/>
      <w:numFmt w:val="bullet"/>
      <w:lvlText w:val=""/>
      <w:lvlJc w:val="left"/>
      <w:pPr>
        <w:tabs>
          <w:tab w:val="num" w:pos="2880"/>
        </w:tabs>
        <w:ind w:left="2880" w:hanging="360"/>
      </w:pPr>
      <w:rPr>
        <w:rFonts w:ascii="Symbol" w:hAnsi="Symbol"/>
      </w:rPr>
    </w:lvl>
    <w:lvl w:ilvl="4" w:tplc="5DEEEE9E">
      <w:start w:val="1"/>
      <w:numFmt w:val="bullet"/>
      <w:lvlText w:val="o"/>
      <w:lvlJc w:val="left"/>
      <w:pPr>
        <w:tabs>
          <w:tab w:val="num" w:pos="3600"/>
        </w:tabs>
        <w:ind w:left="3600" w:hanging="360"/>
      </w:pPr>
      <w:rPr>
        <w:rFonts w:ascii="Courier New" w:hAnsi="Courier New"/>
      </w:rPr>
    </w:lvl>
    <w:lvl w:ilvl="5" w:tplc="BFA018EE">
      <w:start w:val="1"/>
      <w:numFmt w:val="bullet"/>
      <w:lvlText w:val=""/>
      <w:lvlJc w:val="left"/>
      <w:pPr>
        <w:tabs>
          <w:tab w:val="num" w:pos="4320"/>
        </w:tabs>
        <w:ind w:left="4320" w:hanging="360"/>
      </w:pPr>
      <w:rPr>
        <w:rFonts w:ascii="Wingdings" w:hAnsi="Wingdings"/>
      </w:rPr>
    </w:lvl>
    <w:lvl w:ilvl="6" w:tplc="C0725AAA">
      <w:start w:val="1"/>
      <w:numFmt w:val="bullet"/>
      <w:lvlText w:val=""/>
      <w:lvlJc w:val="left"/>
      <w:pPr>
        <w:tabs>
          <w:tab w:val="num" w:pos="5040"/>
        </w:tabs>
        <w:ind w:left="5040" w:hanging="360"/>
      </w:pPr>
      <w:rPr>
        <w:rFonts w:ascii="Symbol" w:hAnsi="Symbol"/>
      </w:rPr>
    </w:lvl>
    <w:lvl w:ilvl="7" w:tplc="C1D8096A">
      <w:start w:val="1"/>
      <w:numFmt w:val="bullet"/>
      <w:lvlText w:val="o"/>
      <w:lvlJc w:val="left"/>
      <w:pPr>
        <w:tabs>
          <w:tab w:val="num" w:pos="5760"/>
        </w:tabs>
        <w:ind w:left="5760" w:hanging="360"/>
      </w:pPr>
      <w:rPr>
        <w:rFonts w:ascii="Courier New" w:hAnsi="Courier New"/>
      </w:rPr>
    </w:lvl>
    <w:lvl w:ilvl="8" w:tplc="7ED8BC4A">
      <w:start w:val="1"/>
      <w:numFmt w:val="bullet"/>
      <w:lvlText w:val=""/>
      <w:lvlJc w:val="left"/>
      <w:pPr>
        <w:tabs>
          <w:tab w:val="num" w:pos="6480"/>
        </w:tabs>
        <w:ind w:left="6480" w:hanging="360"/>
      </w:pPr>
      <w:rPr>
        <w:rFonts w:ascii="Wingdings" w:hAnsi="Wingdings"/>
      </w:rPr>
    </w:lvl>
  </w:abstractNum>
  <w:abstractNum w:abstractNumId="371" w15:restartNumberingAfterBreak="0">
    <w:nsid w:val="72230635"/>
    <w:multiLevelType w:val="hybridMultilevel"/>
    <w:tmpl w:val="72230635"/>
    <w:lvl w:ilvl="0" w:tplc="223E14E6">
      <w:start w:val="1"/>
      <w:numFmt w:val="bullet"/>
      <w:lvlText w:val="o"/>
      <w:lvlJc w:val="left"/>
      <w:pPr>
        <w:ind w:left="720" w:hanging="360"/>
      </w:pPr>
      <w:rPr>
        <w:rFonts w:ascii="Courier New" w:hAnsi="Courier New"/>
      </w:rPr>
    </w:lvl>
    <w:lvl w:ilvl="1" w:tplc="1354EF8C">
      <w:start w:val="1"/>
      <w:numFmt w:val="bullet"/>
      <w:lvlText w:val="o"/>
      <w:lvlJc w:val="left"/>
      <w:pPr>
        <w:tabs>
          <w:tab w:val="num" w:pos="1440"/>
        </w:tabs>
        <w:ind w:left="1440" w:hanging="360"/>
      </w:pPr>
      <w:rPr>
        <w:rFonts w:ascii="Courier New" w:hAnsi="Courier New"/>
      </w:rPr>
    </w:lvl>
    <w:lvl w:ilvl="2" w:tplc="751ADC6A">
      <w:start w:val="1"/>
      <w:numFmt w:val="bullet"/>
      <w:lvlText w:val=""/>
      <w:lvlJc w:val="left"/>
      <w:pPr>
        <w:tabs>
          <w:tab w:val="num" w:pos="2160"/>
        </w:tabs>
        <w:ind w:left="2160" w:hanging="360"/>
      </w:pPr>
      <w:rPr>
        <w:rFonts w:ascii="Wingdings" w:hAnsi="Wingdings"/>
      </w:rPr>
    </w:lvl>
    <w:lvl w:ilvl="3" w:tplc="694618B6">
      <w:start w:val="1"/>
      <w:numFmt w:val="bullet"/>
      <w:lvlText w:val=""/>
      <w:lvlJc w:val="left"/>
      <w:pPr>
        <w:tabs>
          <w:tab w:val="num" w:pos="2880"/>
        </w:tabs>
        <w:ind w:left="2880" w:hanging="360"/>
      </w:pPr>
      <w:rPr>
        <w:rFonts w:ascii="Symbol" w:hAnsi="Symbol"/>
      </w:rPr>
    </w:lvl>
    <w:lvl w:ilvl="4" w:tplc="750A8B5C">
      <w:start w:val="1"/>
      <w:numFmt w:val="bullet"/>
      <w:lvlText w:val="o"/>
      <w:lvlJc w:val="left"/>
      <w:pPr>
        <w:tabs>
          <w:tab w:val="num" w:pos="3600"/>
        </w:tabs>
        <w:ind w:left="3600" w:hanging="360"/>
      </w:pPr>
      <w:rPr>
        <w:rFonts w:ascii="Courier New" w:hAnsi="Courier New"/>
      </w:rPr>
    </w:lvl>
    <w:lvl w:ilvl="5" w:tplc="B82279BC">
      <w:start w:val="1"/>
      <w:numFmt w:val="bullet"/>
      <w:lvlText w:val=""/>
      <w:lvlJc w:val="left"/>
      <w:pPr>
        <w:tabs>
          <w:tab w:val="num" w:pos="4320"/>
        </w:tabs>
        <w:ind w:left="4320" w:hanging="360"/>
      </w:pPr>
      <w:rPr>
        <w:rFonts w:ascii="Wingdings" w:hAnsi="Wingdings"/>
      </w:rPr>
    </w:lvl>
    <w:lvl w:ilvl="6" w:tplc="87566B42">
      <w:start w:val="1"/>
      <w:numFmt w:val="bullet"/>
      <w:lvlText w:val=""/>
      <w:lvlJc w:val="left"/>
      <w:pPr>
        <w:tabs>
          <w:tab w:val="num" w:pos="5040"/>
        </w:tabs>
        <w:ind w:left="5040" w:hanging="360"/>
      </w:pPr>
      <w:rPr>
        <w:rFonts w:ascii="Symbol" w:hAnsi="Symbol"/>
      </w:rPr>
    </w:lvl>
    <w:lvl w:ilvl="7" w:tplc="1A7A03C2">
      <w:start w:val="1"/>
      <w:numFmt w:val="bullet"/>
      <w:lvlText w:val="o"/>
      <w:lvlJc w:val="left"/>
      <w:pPr>
        <w:tabs>
          <w:tab w:val="num" w:pos="5760"/>
        </w:tabs>
        <w:ind w:left="5760" w:hanging="360"/>
      </w:pPr>
      <w:rPr>
        <w:rFonts w:ascii="Courier New" w:hAnsi="Courier New"/>
      </w:rPr>
    </w:lvl>
    <w:lvl w:ilvl="8" w:tplc="80049FB2">
      <w:start w:val="1"/>
      <w:numFmt w:val="bullet"/>
      <w:lvlText w:val=""/>
      <w:lvlJc w:val="left"/>
      <w:pPr>
        <w:tabs>
          <w:tab w:val="num" w:pos="6480"/>
        </w:tabs>
        <w:ind w:left="6480" w:hanging="360"/>
      </w:pPr>
      <w:rPr>
        <w:rFonts w:ascii="Wingdings" w:hAnsi="Wingdings"/>
      </w:rPr>
    </w:lvl>
  </w:abstractNum>
  <w:abstractNum w:abstractNumId="372" w15:restartNumberingAfterBreak="0">
    <w:nsid w:val="72230636"/>
    <w:multiLevelType w:val="hybridMultilevel"/>
    <w:tmpl w:val="72230636"/>
    <w:lvl w:ilvl="0" w:tplc="47F62E12">
      <w:start w:val="1"/>
      <w:numFmt w:val="bullet"/>
      <w:lvlText w:val=""/>
      <w:lvlJc w:val="left"/>
      <w:pPr>
        <w:ind w:left="720" w:hanging="360"/>
      </w:pPr>
      <w:rPr>
        <w:rFonts w:ascii="Symbol" w:hAnsi="Symbol"/>
      </w:rPr>
    </w:lvl>
    <w:lvl w:ilvl="1" w:tplc="F04C4EC8">
      <w:start w:val="1"/>
      <w:numFmt w:val="bullet"/>
      <w:lvlText w:val="o"/>
      <w:lvlJc w:val="left"/>
      <w:pPr>
        <w:tabs>
          <w:tab w:val="num" w:pos="1440"/>
        </w:tabs>
        <w:ind w:left="1440" w:hanging="360"/>
      </w:pPr>
      <w:rPr>
        <w:rFonts w:ascii="Courier New" w:hAnsi="Courier New"/>
      </w:rPr>
    </w:lvl>
    <w:lvl w:ilvl="2" w:tplc="BF8AA9FC">
      <w:start w:val="1"/>
      <w:numFmt w:val="bullet"/>
      <w:lvlText w:val=""/>
      <w:lvlJc w:val="left"/>
      <w:pPr>
        <w:tabs>
          <w:tab w:val="num" w:pos="2160"/>
        </w:tabs>
        <w:ind w:left="2160" w:hanging="360"/>
      </w:pPr>
      <w:rPr>
        <w:rFonts w:ascii="Wingdings" w:hAnsi="Wingdings"/>
      </w:rPr>
    </w:lvl>
    <w:lvl w:ilvl="3" w:tplc="AB903084">
      <w:start w:val="1"/>
      <w:numFmt w:val="bullet"/>
      <w:lvlText w:val=""/>
      <w:lvlJc w:val="left"/>
      <w:pPr>
        <w:tabs>
          <w:tab w:val="num" w:pos="2880"/>
        </w:tabs>
        <w:ind w:left="2880" w:hanging="360"/>
      </w:pPr>
      <w:rPr>
        <w:rFonts w:ascii="Symbol" w:hAnsi="Symbol"/>
      </w:rPr>
    </w:lvl>
    <w:lvl w:ilvl="4" w:tplc="88188CA2">
      <w:start w:val="1"/>
      <w:numFmt w:val="bullet"/>
      <w:lvlText w:val="o"/>
      <w:lvlJc w:val="left"/>
      <w:pPr>
        <w:tabs>
          <w:tab w:val="num" w:pos="3600"/>
        </w:tabs>
        <w:ind w:left="3600" w:hanging="360"/>
      </w:pPr>
      <w:rPr>
        <w:rFonts w:ascii="Courier New" w:hAnsi="Courier New"/>
      </w:rPr>
    </w:lvl>
    <w:lvl w:ilvl="5" w:tplc="C76CF6EC">
      <w:start w:val="1"/>
      <w:numFmt w:val="bullet"/>
      <w:lvlText w:val=""/>
      <w:lvlJc w:val="left"/>
      <w:pPr>
        <w:tabs>
          <w:tab w:val="num" w:pos="4320"/>
        </w:tabs>
        <w:ind w:left="4320" w:hanging="360"/>
      </w:pPr>
      <w:rPr>
        <w:rFonts w:ascii="Wingdings" w:hAnsi="Wingdings"/>
      </w:rPr>
    </w:lvl>
    <w:lvl w:ilvl="6" w:tplc="74569834">
      <w:start w:val="1"/>
      <w:numFmt w:val="bullet"/>
      <w:lvlText w:val=""/>
      <w:lvlJc w:val="left"/>
      <w:pPr>
        <w:tabs>
          <w:tab w:val="num" w:pos="5040"/>
        </w:tabs>
        <w:ind w:left="5040" w:hanging="360"/>
      </w:pPr>
      <w:rPr>
        <w:rFonts w:ascii="Symbol" w:hAnsi="Symbol"/>
      </w:rPr>
    </w:lvl>
    <w:lvl w:ilvl="7" w:tplc="AF641BA6">
      <w:start w:val="1"/>
      <w:numFmt w:val="bullet"/>
      <w:lvlText w:val="o"/>
      <w:lvlJc w:val="left"/>
      <w:pPr>
        <w:tabs>
          <w:tab w:val="num" w:pos="5760"/>
        </w:tabs>
        <w:ind w:left="5760" w:hanging="360"/>
      </w:pPr>
      <w:rPr>
        <w:rFonts w:ascii="Courier New" w:hAnsi="Courier New"/>
      </w:rPr>
    </w:lvl>
    <w:lvl w:ilvl="8" w:tplc="FF6EB096">
      <w:start w:val="1"/>
      <w:numFmt w:val="bullet"/>
      <w:lvlText w:val=""/>
      <w:lvlJc w:val="left"/>
      <w:pPr>
        <w:tabs>
          <w:tab w:val="num" w:pos="6480"/>
        </w:tabs>
        <w:ind w:left="6480" w:hanging="360"/>
      </w:pPr>
      <w:rPr>
        <w:rFonts w:ascii="Wingdings" w:hAnsi="Wingdings"/>
      </w:rPr>
    </w:lvl>
  </w:abstractNum>
  <w:abstractNum w:abstractNumId="373" w15:restartNumberingAfterBreak="0">
    <w:nsid w:val="72230637"/>
    <w:multiLevelType w:val="hybridMultilevel"/>
    <w:tmpl w:val="72230637"/>
    <w:lvl w:ilvl="0" w:tplc="4860FD18">
      <w:start w:val="1"/>
      <w:numFmt w:val="bullet"/>
      <w:lvlText w:val=""/>
      <w:lvlJc w:val="left"/>
      <w:pPr>
        <w:ind w:left="720" w:hanging="360"/>
      </w:pPr>
      <w:rPr>
        <w:rFonts w:ascii="Symbol" w:hAnsi="Symbol"/>
      </w:rPr>
    </w:lvl>
    <w:lvl w:ilvl="1" w:tplc="10F865C6">
      <w:start w:val="1"/>
      <w:numFmt w:val="bullet"/>
      <w:lvlText w:val="o"/>
      <w:lvlJc w:val="left"/>
      <w:pPr>
        <w:ind w:left="1440" w:hanging="360"/>
      </w:pPr>
      <w:rPr>
        <w:rFonts w:ascii="Courier New" w:hAnsi="Courier New"/>
      </w:rPr>
    </w:lvl>
    <w:lvl w:ilvl="2" w:tplc="D256DB3C">
      <w:start w:val="1"/>
      <w:numFmt w:val="bullet"/>
      <w:lvlText w:val=""/>
      <w:lvlJc w:val="left"/>
      <w:pPr>
        <w:tabs>
          <w:tab w:val="num" w:pos="2160"/>
        </w:tabs>
        <w:ind w:left="2160" w:hanging="360"/>
      </w:pPr>
      <w:rPr>
        <w:rFonts w:ascii="Wingdings" w:hAnsi="Wingdings"/>
      </w:rPr>
    </w:lvl>
    <w:lvl w:ilvl="3" w:tplc="1382CC22">
      <w:start w:val="1"/>
      <w:numFmt w:val="bullet"/>
      <w:lvlText w:val=""/>
      <w:lvlJc w:val="left"/>
      <w:pPr>
        <w:tabs>
          <w:tab w:val="num" w:pos="2880"/>
        </w:tabs>
        <w:ind w:left="2880" w:hanging="360"/>
      </w:pPr>
      <w:rPr>
        <w:rFonts w:ascii="Symbol" w:hAnsi="Symbol"/>
      </w:rPr>
    </w:lvl>
    <w:lvl w:ilvl="4" w:tplc="CA9AEF2A">
      <w:start w:val="1"/>
      <w:numFmt w:val="bullet"/>
      <w:lvlText w:val="o"/>
      <w:lvlJc w:val="left"/>
      <w:pPr>
        <w:tabs>
          <w:tab w:val="num" w:pos="3600"/>
        </w:tabs>
        <w:ind w:left="3600" w:hanging="360"/>
      </w:pPr>
      <w:rPr>
        <w:rFonts w:ascii="Courier New" w:hAnsi="Courier New"/>
      </w:rPr>
    </w:lvl>
    <w:lvl w:ilvl="5" w:tplc="C008958C">
      <w:start w:val="1"/>
      <w:numFmt w:val="bullet"/>
      <w:lvlText w:val=""/>
      <w:lvlJc w:val="left"/>
      <w:pPr>
        <w:tabs>
          <w:tab w:val="num" w:pos="4320"/>
        </w:tabs>
        <w:ind w:left="4320" w:hanging="360"/>
      </w:pPr>
      <w:rPr>
        <w:rFonts w:ascii="Wingdings" w:hAnsi="Wingdings"/>
      </w:rPr>
    </w:lvl>
    <w:lvl w:ilvl="6" w:tplc="BBBA4FE6">
      <w:start w:val="1"/>
      <w:numFmt w:val="bullet"/>
      <w:lvlText w:val=""/>
      <w:lvlJc w:val="left"/>
      <w:pPr>
        <w:tabs>
          <w:tab w:val="num" w:pos="5040"/>
        </w:tabs>
        <w:ind w:left="5040" w:hanging="360"/>
      </w:pPr>
      <w:rPr>
        <w:rFonts w:ascii="Symbol" w:hAnsi="Symbol"/>
      </w:rPr>
    </w:lvl>
    <w:lvl w:ilvl="7" w:tplc="AEFA2F06">
      <w:start w:val="1"/>
      <w:numFmt w:val="bullet"/>
      <w:lvlText w:val="o"/>
      <w:lvlJc w:val="left"/>
      <w:pPr>
        <w:tabs>
          <w:tab w:val="num" w:pos="5760"/>
        </w:tabs>
        <w:ind w:left="5760" w:hanging="360"/>
      </w:pPr>
      <w:rPr>
        <w:rFonts w:ascii="Courier New" w:hAnsi="Courier New"/>
      </w:rPr>
    </w:lvl>
    <w:lvl w:ilvl="8" w:tplc="8940EBFE">
      <w:start w:val="1"/>
      <w:numFmt w:val="bullet"/>
      <w:lvlText w:val=""/>
      <w:lvlJc w:val="left"/>
      <w:pPr>
        <w:tabs>
          <w:tab w:val="num" w:pos="6480"/>
        </w:tabs>
        <w:ind w:left="6480" w:hanging="360"/>
      </w:pPr>
      <w:rPr>
        <w:rFonts w:ascii="Wingdings" w:hAnsi="Wingdings"/>
      </w:rPr>
    </w:lvl>
  </w:abstractNum>
  <w:abstractNum w:abstractNumId="374" w15:restartNumberingAfterBreak="0">
    <w:nsid w:val="72230638"/>
    <w:multiLevelType w:val="hybridMultilevel"/>
    <w:tmpl w:val="72230638"/>
    <w:lvl w:ilvl="0" w:tplc="2EE8E004">
      <w:start w:val="1"/>
      <w:numFmt w:val="bullet"/>
      <w:lvlText w:val=""/>
      <w:lvlJc w:val="left"/>
      <w:pPr>
        <w:ind w:left="720" w:hanging="360"/>
      </w:pPr>
      <w:rPr>
        <w:rFonts w:ascii="Symbol" w:hAnsi="Symbol"/>
      </w:rPr>
    </w:lvl>
    <w:lvl w:ilvl="1" w:tplc="B07ADD36">
      <w:start w:val="1"/>
      <w:numFmt w:val="bullet"/>
      <w:lvlText w:val="o"/>
      <w:lvlJc w:val="left"/>
      <w:pPr>
        <w:ind w:left="1440" w:hanging="360"/>
      </w:pPr>
      <w:rPr>
        <w:rFonts w:ascii="Courier New" w:hAnsi="Courier New"/>
      </w:rPr>
    </w:lvl>
    <w:lvl w:ilvl="2" w:tplc="E3222982">
      <w:start w:val="1"/>
      <w:numFmt w:val="bullet"/>
      <w:lvlText w:val=""/>
      <w:lvlJc w:val="left"/>
      <w:pPr>
        <w:tabs>
          <w:tab w:val="num" w:pos="2160"/>
        </w:tabs>
        <w:ind w:left="2160" w:hanging="360"/>
      </w:pPr>
      <w:rPr>
        <w:rFonts w:ascii="Wingdings" w:hAnsi="Wingdings"/>
      </w:rPr>
    </w:lvl>
    <w:lvl w:ilvl="3" w:tplc="D1ECC9C0">
      <w:start w:val="1"/>
      <w:numFmt w:val="bullet"/>
      <w:lvlText w:val=""/>
      <w:lvlJc w:val="left"/>
      <w:pPr>
        <w:tabs>
          <w:tab w:val="num" w:pos="2880"/>
        </w:tabs>
        <w:ind w:left="2880" w:hanging="360"/>
      </w:pPr>
      <w:rPr>
        <w:rFonts w:ascii="Symbol" w:hAnsi="Symbol"/>
      </w:rPr>
    </w:lvl>
    <w:lvl w:ilvl="4" w:tplc="53BA6F3E">
      <w:start w:val="1"/>
      <w:numFmt w:val="bullet"/>
      <w:lvlText w:val="o"/>
      <w:lvlJc w:val="left"/>
      <w:pPr>
        <w:tabs>
          <w:tab w:val="num" w:pos="3600"/>
        </w:tabs>
        <w:ind w:left="3600" w:hanging="360"/>
      </w:pPr>
      <w:rPr>
        <w:rFonts w:ascii="Courier New" w:hAnsi="Courier New"/>
      </w:rPr>
    </w:lvl>
    <w:lvl w:ilvl="5" w:tplc="162255F8">
      <w:start w:val="1"/>
      <w:numFmt w:val="bullet"/>
      <w:lvlText w:val=""/>
      <w:lvlJc w:val="left"/>
      <w:pPr>
        <w:tabs>
          <w:tab w:val="num" w:pos="4320"/>
        </w:tabs>
        <w:ind w:left="4320" w:hanging="360"/>
      </w:pPr>
      <w:rPr>
        <w:rFonts w:ascii="Wingdings" w:hAnsi="Wingdings"/>
      </w:rPr>
    </w:lvl>
    <w:lvl w:ilvl="6" w:tplc="679AE3F4">
      <w:start w:val="1"/>
      <w:numFmt w:val="bullet"/>
      <w:lvlText w:val=""/>
      <w:lvlJc w:val="left"/>
      <w:pPr>
        <w:tabs>
          <w:tab w:val="num" w:pos="5040"/>
        </w:tabs>
        <w:ind w:left="5040" w:hanging="360"/>
      </w:pPr>
      <w:rPr>
        <w:rFonts w:ascii="Symbol" w:hAnsi="Symbol"/>
      </w:rPr>
    </w:lvl>
    <w:lvl w:ilvl="7" w:tplc="C8F29396">
      <w:start w:val="1"/>
      <w:numFmt w:val="bullet"/>
      <w:lvlText w:val="o"/>
      <w:lvlJc w:val="left"/>
      <w:pPr>
        <w:tabs>
          <w:tab w:val="num" w:pos="5760"/>
        </w:tabs>
        <w:ind w:left="5760" w:hanging="360"/>
      </w:pPr>
      <w:rPr>
        <w:rFonts w:ascii="Courier New" w:hAnsi="Courier New"/>
      </w:rPr>
    </w:lvl>
    <w:lvl w:ilvl="8" w:tplc="794E316C">
      <w:start w:val="1"/>
      <w:numFmt w:val="bullet"/>
      <w:lvlText w:val=""/>
      <w:lvlJc w:val="left"/>
      <w:pPr>
        <w:tabs>
          <w:tab w:val="num" w:pos="6480"/>
        </w:tabs>
        <w:ind w:left="6480" w:hanging="360"/>
      </w:pPr>
      <w:rPr>
        <w:rFonts w:ascii="Wingdings" w:hAnsi="Wingdings"/>
      </w:rPr>
    </w:lvl>
  </w:abstractNum>
  <w:abstractNum w:abstractNumId="375" w15:restartNumberingAfterBreak="0">
    <w:nsid w:val="72230639"/>
    <w:multiLevelType w:val="hybridMultilevel"/>
    <w:tmpl w:val="72230639"/>
    <w:lvl w:ilvl="0" w:tplc="C2C8252A">
      <w:start w:val="1"/>
      <w:numFmt w:val="bullet"/>
      <w:lvlText w:val=""/>
      <w:lvlJc w:val="left"/>
      <w:pPr>
        <w:ind w:left="720" w:hanging="360"/>
      </w:pPr>
      <w:rPr>
        <w:rFonts w:ascii="Symbol" w:hAnsi="Symbol"/>
      </w:rPr>
    </w:lvl>
    <w:lvl w:ilvl="1" w:tplc="1778C86C">
      <w:start w:val="1"/>
      <w:numFmt w:val="bullet"/>
      <w:lvlText w:val="o"/>
      <w:lvlJc w:val="left"/>
      <w:pPr>
        <w:ind w:left="1440" w:hanging="360"/>
      </w:pPr>
      <w:rPr>
        <w:rFonts w:ascii="Courier New" w:hAnsi="Courier New"/>
      </w:rPr>
    </w:lvl>
    <w:lvl w:ilvl="2" w:tplc="66D2FECA">
      <w:start w:val="1"/>
      <w:numFmt w:val="bullet"/>
      <w:lvlText w:val=""/>
      <w:lvlJc w:val="left"/>
      <w:pPr>
        <w:tabs>
          <w:tab w:val="num" w:pos="2160"/>
        </w:tabs>
        <w:ind w:left="2160" w:hanging="360"/>
      </w:pPr>
      <w:rPr>
        <w:rFonts w:ascii="Wingdings" w:hAnsi="Wingdings"/>
      </w:rPr>
    </w:lvl>
    <w:lvl w:ilvl="3" w:tplc="436CF276">
      <w:start w:val="1"/>
      <w:numFmt w:val="bullet"/>
      <w:lvlText w:val=""/>
      <w:lvlJc w:val="left"/>
      <w:pPr>
        <w:tabs>
          <w:tab w:val="num" w:pos="2880"/>
        </w:tabs>
        <w:ind w:left="2880" w:hanging="360"/>
      </w:pPr>
      <w:rPr>
        <w:rFonts w:ascii="Symbol" w:hAnsi="Symbol"/>
      </w:rPr>
    </w:lvl>
    <w:lvl w:ilvl="4" w:tplc="43486E54">
      <w:start w:val="1"/>
      <w:numFmt w:val="bullet"/>
      <w:lvlText w:val="o"/>
      <w:lvlJc w:val="left"/>
      <w:pPr>
        <w:tabs>
          <w:tab w:val="num" w:pos="3600"/>
        </w:tabs>
        <w:ind w:left="3600" w:hanging="360"/>
      </w:pPr>
      <w:rPr>
        <w:rFonts w:ascii="Courier New" w:hAnsi="Courier New"/>
      </w:rPr>
    </w:lvl>
    <w:lvl w:ilvl="5" w:tplc="1718448A">
      <w:start w:val="1"/>
      <w:numFmt w:val="bullet"/>
      <w:lvlText w:val=""/>
      <w:lvlJc w:val="left"/>
      <w:pPr>
        <w:tabs>
          <w:tab w:val="num" w:pos="4320"/>
        </w:tabs>
        <w:ind w:left="4320" w:hanging="360"/>
      </w:pPr>
      <w:rPr>
        <w:rFonts w:ascii="Wingdings" w:hAnsi="Wingdings"/>
      </w:rPr>
    </w:lvl>
    <w:lvl w:ilvl="6" w:tplc="E110BE36">
      <w:start w:val="1"/>
      <w:numFmt w:val="bullet"/>
      <w:lvlText w:val=""/>
      <w:lvlJc w:val="left"/>
      <w:pPr>
        <w:tabs>
          <w:tab w:val="num" w:pos="5040"/>
        </w:tabs>
        <w:ind w:left="5040" w:hanging="360"/>
      </w:pPr>
      <w:rPr>
        <w:rFonts w:ascii="Symbol" w:hAnsi="Symbol"/>
      </w:rPr>
    </w:lvl>
    <w:lvl w:ilvl="7" w:tplc="C55001BA">
      <w:start w:val="1"/>
      <w:numFmt w:val="bullet"/>
      <w:lvlText w:val="o"/>
      <w:lvlJc w:val="left"/>
      <w:pPr>
        <w:tabs>
          <w:tab w:val="num" w:pos="5760"/>
        </w:tabs>
        <w:ind w:left="5760" w:hanging="360"/>
      </w:pPr>
      <w:rPr>
        <w:rFonts w:ascii="Courier New" w:hAnsi="Courier New"/>
      </w:rPr>
    </w:lvl>
    <w:lvl w:ilvl="8" w:tplc="ACAAA5D8">
      <w:start w:val="1"/>
      <w:numFmt w:val="bullet"/>
      <w:lvlText w:val=""/>
      <w:lvlJc w:val="left"/>
      <w:pPr>
        <w:tabs>
          <w:tab w:val="num" w:pos="6480"/>
        </w:tabs>
        <w:ind w:left="6480" w:hanging="360"/>
      </w:pPr>
      <w:rPr>
        <w:rFonts w:ascii="Wingdings" w:hAnsi="Wingdings"/>
      </w:rPr>
    </w:lvl>
  </w:abstractNum>
  <w:abstractNum w:abstractNumId="376" w15:restartNumberingAfterBreak="0">
    <w:nsid w:val="7223063A"/>
    <w:multiLevelType w:val="hybridMultilevel"/>
    <w:tmpl w:val="7223063A"/>
    <w:lvl w:ilvl="0" w:tplc="08924A92">
      <w:start w:val="1"/>
      <w:numFmt w:val="bullet"/>
      <w:lvlText w:val=""/>
      <w:lvlJc w:val="left"/>
      <w:pPr>
        <w:ind w:left="720" w:hanging="360"/>
      </w:pPr>
      <w:rPr>
        <w:rFonts w:ascii="Symbol" w:hAnsi="Symbol"/>
      </w:rPr>
    </w:lvl>
    <w:lvl w:ilvl="1" w:tplc="320C6D82">
      <w:start w:val="1"/>
      <w:numFmt w:val="bullet"/>
      <w:lvlText w:val="o"/>
      <w:lvlJc w:val="left"/>
      <w:pPr>
        <w:tabs>
          <w:tab w:val="num" w:pos="1440"/>
        </w:tabs>
        <w:ind w:left="1440" w:hanging="360"/>
      </w:pPr>
      <w:rPr>
        <w:rFonts w:ascii="Courier New" w:hAnsi="Courier New"/>
      </w:rPr>
    </w:lvl>
    <w:lvl w:ilvl="2" w:tplc="7A40510C">
      <w:start w:val="1"/>
      <w:numFmt w:val="bullet"/>
      <w:lvlText w:val=""/>
      <w:lvlJc w:val="left"/>
      <w:pPr>
        <w:tabs>
          <w:tab w:val="num" w:pos="2160"/>
        </w:tabs>
        <w:ind w:left="2160" w:hanging="360"/>
      </w:pPr>
      <w:rPr>
        <w:rFonts w:ascii="Wingdings" w:hAnsi="Wingdings"/>
      </w:rPr>
    </w:lvl>
    <w:lvl w:ilvl="3" w:tplc="9E9C492E">
      <w:start w:val="1"/>
      <w:numFmt w:val="bullet"/>
      <w:lvlText w:val=""/>
      <w:lvlJc w:val="left"/>
      <w:pPr>
        <w:tabs>
          <w:tab w:val="num" w:pos="2880"/>
        </w:tabs>
        <w:ind w:left="2880" w:hanging="360"/>
      </w:pPr>
      <w:rPr>
        <w:rFonts w:ascii="Symbol" w:hAnsi="Symbol"/>
      </w:rPr>
    </w:lvl>
    <w:lvl w:ilvl="4" w:tplc="D0B2E80E">
      <w:start w:val="1"/>
      <w:numFmt w:val="bullet"/>
      <w:lvlText w:val="o"/>
      <w:lvlJc w:val="left"/>
      <w:pPr>
        <w:tabs>
          <w:tab w:val="num" w:pos="3600"/>
        </w:tabs>
        <w:ind w:left="3600" w:hanging="360"/>
      </w:pPr>
      <w:rPr>
        <w:rFonts w:ascii="Courier New" w:hAnsi="Courier New"/>
      </w:rPr>
    </w:lvl>
    <w:lvl w:ilvl="5" w:tplc="FAA8826C">
      <w:start w:val="1"/>
      <w:numFmt w:val="bullet"/>
      <w:lvlText w:val=""/>
      <w:lvlJc w:val="left"/>
      <w:pPr>
        <w:tabs>
          <w:tab w:val="num" w:pos="4320"/>
        </w:tabs>
        <w:ind w:left="4320" w:hanging="360"/>
      </w:pPr>
      <w:rPr>
        <w:rFonts w:ascii="Wingdings" w:hAnsi="Wingdings"/>
      </w:rPr>
    </w:lvl>
    <w:lvl w:ilvl="6" w:tplc="F5D0F41E">
      <w:start w:val="1"/>
      <w:numFmt w:val="bullet"/>
      <w:lvlText w:val=""/>
      <w:lvlJc w:val="left"/>
      <w:pPr>
        <w:tabs>
          <w:tab w:val="num" w:pos="5040"/>
        </w:tabs>
        <w:ind w:left="5040" w:hanging="360"/>
      </w:pPr>
      <w:rPr>
        <w:rFonts w:ascii="Symbol" w:hAnsi="Symbol"/>
      </w:rPr>
    </w:lvl>
    <w:lvl w:ilvl="7" w:tplc="BC9E9C2C">
      <w:start w:val="1"/>
      <w:numFmt w:val="bullet"/>
      <w:lvlText w:val="o"/>
      <w:lvlJc w:val="left"/>
      <w:pPr>
        <w:tabs>
          <w:tab w:val="num" w:pos="5760"/>
        </w:tabs>
        <w:ind w:left="5760" w:hanging="360"/>
      </w:pPr>
      <w:rPr>
        <w:rFonts w:ascii="Courier New" w:hAnsi="Courier New"/>
      </w:rPr>
    </w:lvl>
    <w:lvl w:ilvl="8" w:tplc="ED520644">
      <w:start w:val="1"/>
      <w:numFmt w:val="bullet"/>
      <w:lvlText w:val=""/>
      <w:lvlJc w:val="left"/>
      <w:pPr>
        <w:tabs>
          <w:tab w:val="num" w:pos="6480"/>
        </w:tabs>
        <w:ind w:left="6480" w:hanging="360"/>
      </w:pPr>
      <w:rPr>
        <w:rFonts w:ascii="Wingdings" w:hAnsi="Wingdings"/>
      </w:rPr>
    </w:lvl>
  </w:abstractNum>
  <w:abstractNum w:abstractNumId="377" w15:restartNumberingAfterBreak="0">
    <w:nsid w:val="7223063B"/>
    <w:multiLevelType w:val="hybridMultilevel"/>
    <w:tmpl w:val="7223063B"/>
    <w:lvl w:ilvl="0" w:tplc="0448B81C">
      <w:start w:val="1"/>
      <w:numFmt w:val="bullet"/>
      <w:lvlText w:val=""/>
      <w:lvlJc w:val="left"/>
      <w:pPr>
        <w:ind w:left="720" w:hanging="360"/>
      </w:pPr>
      <w:rPr>
        <w:rFonts w:ascii="Symbol" w:hAnsi="Symbol"/>
      </w:rPr>
    </w:lvl>
    <w:lvl w:ilvl="1" w:tplc="9F74A44C">
      <w:start w:val="1"/>
      <w:numFmt w:val="bullet"/>
      <w:lvlText w:val="o"/>
      <w:lvlJc w:val="left"/>
      <w:pPr>
        <w:tabs>
          <w:tab w:val="num" w:pos="1440"/>
        </w:tabs>
        <w:ind w:left="1440" w:hanging="360"/>
      </w:pPr>
      <w:rPr>
        <w:rFonts w:ascii="Courier New" w:hAnsi="Courier New"/>
      </w:rPr>
    </w:lvl>
    <w:lvl w:ilvl="2" w:tplc="AB02F90C">
      <w:start w:val="1"/>
      <w:numFmt w:val="bullet"/>
      <w:lvlText w:val=""/>
      <w:lvlJc w:val="left"/>
      <w:pPr>
        <w:tabs>
          <w:tab w:val="num" w:pos="2160"/>
        </w:tabs>
        <w:ind w:left="2160" w:hanging="360"/>
      </w:pPr>
      <w:rPr>
        <w:rFonts w:ascii="Wingdings" w:hAnsi="Wingdings"/>
      </w:rPr>
    </w:lvl>
    <w:lvl w:ilvl="3" w:tplc="E1EEF07C">
      <w:start w:val="1"/>
      <w:numFmt w:val="bullet"/>
      <w:lvlText w:val=""/>
      <w:lvlJc w:val="left"/>
      <w:pPr>
        <w:tabs>
          <w:tab w:val="num" w:pos="2880"/>
        </w:tabs>
        <w:ind w:left="2880" w:hanging="360"/>
      </w:pPr>
      <w:rPr>
        <w:rFonts w:ascii="Symbol" w:hAnsi="Symbol"/>
      </w:rPr>
    </w:lvl>
    <w:lvl w:ilvl="4" w:tplc="8BA4A0C6">
      <w:start w:val="1"/>
      <w:numFmt w:val="bullet"/>
      <w:lvlText w:val="o"/>
      <w:lvlJc w:val="left"/>
      <w:pPr>
        <w:tabs>
          <w:tab w:val="num" w:pos="3600"/>
        </w:tabs>
        <w:ind w:left="3600" w:hanging="360"/>
      </w:pPr>
      <w:rPr>
        <w:rFonts w:ascii="Courier New" w:hAnsi="Courier New"/>
      </w:rPr>
    </w:lvl>
    <w:lvl w:ilvl="5" w:tplc="6972940E">
      <w:start w:val="1"/>
      <w:numFmt w:val="bullet"/>
      <w:lvlText w:val=""/>
      <w:lvlJc w:val="left"/>
      <w:pPr>
        <w:tabs>
          <w:tab w:val="num" w:pos="4320"/>
        </w:tabs>
        <w:ind w:left="4320" w:hanging="360"/>
      </w:pPr>
      <w:rPr>
        <w:rFonts w:ascii="Wingdings" w:hAnsi="Wingdings"/>
      </w:rPr>
    </w:lvl>
    <w:lvl w:ilvl="6" w:tplc="5B2C1214">
      <w:start w:val="1"/>
      <w:numFmt w:val="bullet"/>
      <w:lvlText w:val=""/>
      <w:lvlJc w:val="left"/>
      <w:pPr>
        <w:tabs>
          <w:tab w:val="num" w:pos="5040"/>
        </w:tabs>
        <w:ind w:left="5040" w:hanging="360"/>
      </w:pPr>
      <w:rPr>
        <w:rFonts w:ascii="Symbol" w:hAnsi="Symbol"/>
      </w:rPr>
    </w:lvl>
    <w:lvl w:ilvl="7" w:tplc="0A28FD4E">
      <w:start w:val="1"/>
      <w:numFmt w:val="bullet"/>
      <w:lvlText w:val="o"/>
      <w:lvlJc w:val="left"/>
      <w:pPr>
        <w:tabs>
          <w:tab w:val="num" w:pos="5760"/>
        </w:tabs>
        <w:ind w:left="5760" w:hanging="360"/>
      </w:pPr>
      <w:rPr>
        <w:rFonts w:ascii="Courier New" w:hAnsi="Courier New"/>
      </w:rPr>
    </w:lvl>
    <w:lvl w:ilvl="8" w:tplc="3BF8E1F4">
      <w:start w:val="1"/>
      <w:numFmt w:val="bullet"/>
      <w:lvlText w:val=""/>
      <w:lvlJc w:val="left"/>
      <w:pPr>
        <w:tabs>
          <w:tab w:val="num" w:pos="6480"/>
        </w:tabs>
        <w:ind w:left="6480" w:hanging="360"/>
      </w:pPr>
      <w:rPr>
        <w:rFonts w:ascii="Wingdings" w:hAnsi="Wingdings"/>
      </w:rPr>
    </w:lvl>
  </w:abstractNum>
  <w:abstractNum w:abstractNumId="378" w15:restartNumberingAfterBreak="0">
    <w:nsid w:val="7223063C"/>
    <w:multiLevelType w:val="hybridMultilevel"/>
    <w:tmpl w:val="7223063C"/>
    <w:lvl w:ilvl="0" w:tplc="C3342D4A">
      <w:start w:val="1"/>
      <w:numFmt w:val="bullet"/>
      <w:lvlText w:val=""/>
      <w:lvlJc w:val="left"/>
      <w:pPr>
        <w:ind w:left="720" w:hanging="360"/>
      </w:pPr>
      <w:rPr>
        <w:rFonts w:ascii="Symbol" w:hAnsi="Symbol"/>
      </w:rPr>
    </w:lvl>
    <w:lvl w:ilvl="1" w:tplc="C9F42664">
      <w:start w:val="1"/>
      <w:numFmt w:val="bullet"/>
      <w:lvlText w:val="o"/>
      <w:lvlJc w:val="left"/>
      <w:pPr>
        <w:tabs>
          <w:tab w:val="num" w:pos="1440"/>
        </w:tabs>
        <w:ind w:left="1440" w:hanging="360"/>
      </w:pPr>
      <w:rPr>
        <w:rFonts w:ascii="Courier New" w:hAnsi="Courier New"/>
      </w:rPr>
    </w:lvl>
    <w:lvl w:ilvl="2" w:tplc="1A9C1638">
      <w:start w:val="1"/>
      <w:numFmt w:val="bullet"/>
      <w:lvlText w:val=""/>
      <w:lvlJc w:val="left"/>
      <w:pPr>
        <w:tabs>
          <w:tab w:val="num" w:pos="2160"/>
        </w:tabs>
        <w:ind w:left="2160" w:hanging="360"/>
      </w:pPr>
      <w:rPr>
        <w:rFonts w:ascii="Wingdings" w:hAnsi="Wingdings"/>
      </w:rPr>
    </w:lvl>
    <w:lvl w:ilvl="3" w:tplc="BECE62D0">
      <w:start w:val="1"/>
      <w:numFmt w:val="bullet"/>
      <w:lvlText w:val=""/>
      <w:lvlJc w:val="left"/>
      <w:pPr>
        <w:tabs>
          <w:tab w:val="num" w:pos="2880"/>
        </w:tabs>
        <w:ind w:left="2880" w:hanging="360"/>
      </w:pPr>
      <w:rPr>
        <w:rFonts w:ascii="Symbol" w:hAnsi="Symbol"/>
      </w:rPr>
    </w:lvl>
    <w:lvl w:ilvl="4" w:tplc="50BCB8C2">
      <w:start w:val="1"/>
      <w:numFmt w:val="bullet"/>
      <w:lvlText w:val="o"/>
      <w:lvlJc w:val="left"/>
      <w:pPr>
        <w:tabs>
          <w:tab w:val="num" w:pos="3600"/>
        </w:tabs>
        <w:ind w:left="3600" w:hanging="360"/>
      </w:pPr>
      <w:rPr>
        <w:rFonts w:ascii="Courier New" w:hAnsi="Courier New"/>
      </w:rPr>
    </w:lvl>
    <w:lvl w:ilvl="5" w:tplc="7A1AD9B8">
      <w:start w:val="1"/>
      <w:numFmt w:val="bullet"/>
      <w:lvlText w:val=""/>
      <w:lvlJc w:val="left"/>
      <w:pPr>
        <w:tabs>
          <w:tab w:val="num" w:pos="4320"/>
        </w:tabs>
        <w:ind w:left="4320" w:hanging="360"/>
      </w:pPr>
      <w:rPr>
        <w:rFonts w:ascii="Wingdings" w:hAnsi="Wingdings"/>
      </w:rPr>
    </w:lvl>
    <w:lvl w:ilvl="6" w:tplc="FDC4DA72">
      <w:start w:val="1"/>
      <w:numFmt w:val="bullet"/>
      <w:lvlText w:val=""/>
      <w:lvlJc w:val="left"/>
      <w:pPr>
        <w:tabs>
          <w:tab w:val="num" w:pos="5040"/>
        </w:tabs>
        <w:ind w:left="5040" w:hanging="360"/>
      </w:pPr>
      <w:rPr>
        <w:rFonts w:ascii="Symbol" w:hAnsi="Symbol"/>
      </w:rPr>
    </w:lvl>
    <w:lvl w:ilvl="7" w:tplc="DA2A3130">
      <w:start w:val="1"/>
      <w:numFmt w:val="bullet"/>
      <w:lvlText w:val="o"/>
      <w:lvlJc w:val="left"/>
      <w:pPr>
        <w:tabs>
          <w:tab w:val="num" w:pos="5760"/>
        </w:tabs>
        <w:ind w:left="5760" w:hanging="360"/>
      </w:pPr>
      <w:rPr>
        <w:rFonts w:ascii="Courier New" w:hAnsi="Courier New"/>
      </w:rPr>
    </w:lvl>
    <w:lvl w:ilvl="8" w:tplc="4432ABCC">
      <w:start w:val="1"/>
      <w:numFmt w:val="bullet"/>
      <w:lvlText w:val=""/>
      <w:lvlJc w:val="left"/>
      <w:pPr>
        <w:tabs>
          <w:tab w:val="num" w:pos="6480"/>
        </w:tabs>
        <w:ind w:left="6480" w:hanging="360"/>
      </w:pPr>
      <w:rPr>
        <w:rFonts w:ascii="Wingdings" w:hAnsi="Wingdings"/>
      </w:rPr>
    </w:lvl>
  </w:abstractNum>
  <w:abstractNum w:abstractNumId="379" w15:restartNumberingAfterBreak="0">
    <w:nsid w:val="7223063D"/>
    <w:multiLevelType w:val="hybridMultilevel"/>
    <w:tmpl w:val="7223063D"/>
    <w:lvl w:ilvl="0" w:tplc="ED88436E">
      <w:start w:val="1"/>
      <w:numFmt w:val="bullet"/>
      <w:lvlText w:val=""/>
      <w:lvlJc w:val="left"/>
      <w:pPr>
        <w:ind w:left="720" w:hanging="360"/>
      </w:pPr>
      <w:rPr>
        <w:rFonts w:ascii="Symbol" w:hAnsi="Symbol"/>
      </w:rPr>
    </w:lvl>
    <w:lvl w:ilvl="1" w:tplc="4C3C28D8">
      <w:start w:val="1"/>
      <w:numFmt w:val="bullet"/>
      <w:lvlText w:val="o"/>
      <w:lvlJc w:val="left"/>
      <w:pPr>
        <w:tabs>
          <w:tab w:val="num" w:pos="1440"/>
        </w:tabs>
        <w:ind w:left="1440" w:hanging="360"/>
      </w:pPr>
      <w:rPr>
        <w:rFonts w:ascii="Courier New" w:hAnsi="Courier New"/>
      </w:rPr>
    </w:lvl>
    <w:lvl w:ilvl="2" w:tplc="43406A3C">
      <w:start w:val="1"/>
      <w:numFmt w:val="bullet"/>
      <w:lvlText w:val=""/>
      <w:lvlJc w:val="left"/>
      <w:pPr>
        <w:tabs>
          <w:tab w:val="num" w:pos="2160"/>
        </w:tabs>
        <w:ind w:left="2160" w:hanging="360"/>
      </w:pPr>
      <w:rPr>
        <w:rFonts w:ascii="Wingdings" w:hAnsi="Wingdings"/>
      </w:rPr>
    </w:lvl>
    <w:lvl w:ilvl="3" w:tplc="20606448">
      <w:start w:val="1"/>
      <w:numFmt w:val="bullet"/>
      <w:lvlText w:val=""/>
      <w:lvlJc w:val="left"/>
      <w:pPr>
        <w:tabs>
          <w:tab w:val="num" w:pos="2880"/>
        </w:tabs>
        <w:ind w:left="2880" w:hanging="360"/>
      </w:pPr>
      <w:rPr>
        <w:rFonts w:ascii="Symbol" w:hAnsi="Symbol"/>
      </w:rPr>
    </w:lvl>
    <w:lvl w:ilvl="4" w:tplc="7E560D50">
      <w:start w:val="1"/>
      <w:numFmt w:val="bullet"/>
      <w:lvlText w:val="o"/>
      <w:lvlJc w:val="left"/>
      <w:pPr>
        <w:tabs>
          <w:tab w:val="num" w:pos="3600"/>
        </w:tabs>
        <w:ind w:left="3600" w:hanging="360"/>
      </w:pPr>
      <w:rPr>
        <w:rFonts w:ascii="Courier New" w:hAnsi="Courier New"/>
      </w:rPr>
    </w:lvl>
    <w:lvl w:ilvl="5" w:tplc="1B921928">
      <w:start w:val="1"/>
      <w:numFmt w:val="bullet"/>
      <w:lvlText w:val=""/>
      <w:lvlJc w:val="left"/>
      <w:pPr>
        <w:tabs>
          <w:tab w:val="num" w:pos="4320"/>
        </w:tabs>
        <w:ind w:left="4320" w:hanging="360"/>
      </w:pPr>
      <w:rPr>
        <w:rFonts w:ascii="Wingdings" w:hAnsi="Wingdings"/>
      </w:rPr>
    </w:lvl>
    <w:lvl w:ilvl="6" w:tplc="5344EF5C">
      <w:start w:val="1"/>
      <w:numFmt w:val="bullet"/>
      <w:lvlText w:val=""/>
      <w:lvlJc w:val="left"/>
      <w:pPr>
        <w:tabs>
          <w:tab w:val="num" w:pos="5040"/>
        </w:tabs>
        <w:ind w:left="5040" w:hanging="360"/>
      </w:pPr>
      <w:rPr>
        <w:rFonts w:ascii="Symbol" w:hAnsi="Symbol"/>
      </w:rPr>
    </w:lvl>
    <w:lvl w:ilvl="7" w:tplc="207809C4">
      <w:start w:val="1"/>
      <w:numFmt w:val="bullet"/>
      <w:lvlText w:val="o"/>
      <w:lvlJc w:val="left"/>
      <w:pPr>
        <w:tabs>
          <w:tab w:val="num" w:pos="5760"/>
        </w:tabs>
        <w:ind w:left="5760" w:hanging="360"/>
      </w:pPr>
      <w:rPr>
        <w:rFonts w:ascii="Courier New" w:hAnsi="Courier New"/>
      </w:rPr>
    </w:lvl>
    <w:lvl w:ilvl="8" w:tplc="0812D974">
      <w:start w:val="1"/>
      <w:numFmt w:val="bullet"/>
      <w:lvlText w:val=""/>
      <w:lvlJc w:val="left"/>
      <w:pPr>
        <w:tabs>
          <w:tab w:val="num" w:pos="6480"/>
        </w:tabs>
        <w:ind w:left="6480" w:hanging="360"/>
      </w:pPr>
      <w:rPr>
        <w:rFonts w:ascii="Wingdings" w:hAnsi="Wingdings"/>
      </w:rPr>
    </w:lvl>
  </w:abstractNum>
  <w:abstractNum w:abstractNumId="380" w15:restartNumberingAfterBreak="0">
    <w:nsid w:val="7223063E"/>
    <w:multiLevelType w:val="hybridMultilevel"/>
    <w:tmpl w:val="7223063E"/>
    <w:lvl w:ilvl="0" w:tplc="CD8C284C">
      <w:start w:val="1"/>
      <w:numFmt w:val="bullet"/>
      <w:lvlText w:val=""/>
      <w:lvlJc w:val="left"/>
      <w:pPr>
        <w:tabs>
          <w:tab w:val="num" w:pos="720"/>
        </w:tabs>
        <w:ind w:left="720" w:hanging="360"/>
      </w:pPr>
      <w:rPr>
        <w:rFonts w:ascii="Symbol" w:hAnsi="Symbol"/>
      </w:rPr>
    </w:lvl>
    <w:lvl w:ilvl="1" w:tplc="305C930A">
      <w:start w:val="1"/>
      <w:numFmt w:val="bullet"/>
      <w:lvlText w:val="o"/>
      <w:lvlJc w:val="left"/>
      <w:pPr>
        <w:tabs>
          <w:tab w:val="num" w:pos="1440"/>
        </w:tabs>
        <w:ind w:left="1440" w:hanging="360"/>
      </w:pPr>
      <w:rPr>
        <w:rFonts w:ascii="Courier New" w:hAnsi="Courier New"/>
      </w:rPr>
    </w:lvl>
    <w:lvl w:ilvl="2" w:tplc="8BCA333E">
      <w:start w:val="1"/>
      <w:numFmt w:val="bullet"/>
      <w:lvlText w:val=""/>
      <w:lvlJc w:val="left"/>
      <w:pPr>
        <w:tabs>
          <w:tab w:val="num" w:pos="2160"/>
        </w:tabs>
        <w:ind w:left="2160" w:hanging="360"/>
      </w:pPr>
      <w:rPr>
        <w:rFonts w:ascii="Wingdings" w:hAnsi="Wingdings"/>
      </w:rPr>
    </w:lvl>
    <w:lvl w:ilvl="3" w:tplc="4F8E4E82">
      <w:start w:val="1"/>
      <w:numFmt w:val="bullet"/>
      <w:lvlText w:val=""/>
      <w:lvlJc w:val="left"/>
      <w:pPr>
        <w:tabs>
          <w:tab w:val="num" w:pos="2880"/>
        </w:tabs>
        <w:ind w:left="2880" w:hanging="360"/>
      </w:pPr>
      <w:rPr>
        <w:rFonts w:ascii="Symbol" w:hAnsi="Symbol"/>
      </w:rPr>
    </w:lvl>
    <w:lvl w:ilvl="4" w:tplc="5A08718E">
      <w:start w:val="1"/>
      <w:numFmt w:val="bullet"/>
      <w:lvlText w:val="o"/>
      <w:lvlJc w:val="left"/>
      <w:pPr>
        <w:tabs>
          <w:tab w:val="num" w:pos="3600"/>
        </w:tabs>
        <w:ind w:left="3600" w:hanging="360"/>
      </w:pPr>
      <w:rPr>
        <w:rFonts w:ascii="Courier New" w:hAnsi="Courier New"/>
      </w:rPr>
    </w:lvl>
    <w:lvl w:ilvl="5" w:tplc="F66C5244">
      <w:start w:val="1"/>
      <w:numFmt w:val="bullet"/>
      <w:lvlText w:val=""/>
      <w:lvlJc w:val="left"/>
      <w:pPr>
        <w:tabs>
          <w:tab w:val="num" w:pos="4320"/>
        </w:tabs>
        <w:ind w:left="4320" w:hanging="360"/>
      </w:pPr>
      <w:rPr>
        <w:rFonts w:ascii="Wingdings" w:hAnsi="Wingdings"/>
      </w:rPr>
    </w:lvl>
    <w:lvl w:ilvl="6" w:tplc="6DF4B836">
      <w:start w:val="1"/>
      <w:numFmt w:val="bullet"/>
      <w:lvlText w:val=""/>
      <w:lvlJc w:val="left"/>
      <w:pPr>
        <w:tabs>
          <w:tab w:val="num" w:pos="5040"/>
        </w:tabs>
        <w:ind w:left="5040" w:hanging="360"/>
      </w:pPr>
      <w:rPr>
        <w:rFonts w:ascii="Symbol" w:hAnsi="Symbol"/>
      </w:rPr>
    </w:lvl>
    <w:lvl w:ilvl="7" w:tplc="5FD04552">
      <w:start w:val="1"/>
      <w:numFmt w:val="bullet"/>
      <w:lvlText w:val="o"/>
      <w:lvlJc w:val="left"/>
      <w:pPr>
        <w:tabs>
          <w:tab w:val="num" w:pos="5760"/>
        </w:tabs>
        <w:ind w:left="5760" w:hanging="360"/>
      </w:pPr>
      <w:rPr>
        <w:rFonts w:ascii="Courier New" w:hAnsi="Courier New"/>
      </w:rPr>
    </w:lvl>
    <w:lvl w:ilvl="8" w:tplc="EBF82C82">
      <w:start w:val="1"/>
      <w:numFmt w:val="bullet"/>
      <w:lvlText w:val=""/>
      <w:lvlJc w:val="left"/>
      <w:pPr>
        <w:tabs>
          <w:tab w:val="num" w:pos="6480"/>
        </w:tabs>
        <w:ind w:left="6480" w:hanging="360"/>
      </w:pPr>
      <w:rPr>
        <w:rFonts w:ascii="Wingdings" w:hAnsi="Wingdings"/>
      </w:rPr>
    </w:lvl>
  </w:abstractNum>
  <w:abstractNum w:abstractNumId="381" w15:restartNumberingAfterBreak="0">
    <w:nsid w:val="7223063F"/>
    <w:multiLevelType w:val="hybridMultilevel"/>
    <w:tmpl w:val="7223063F"/>
    <w:lvl w:ilvl="0" w:tplc="D814368E">
      <w:start w:val="1"/>
      <w:numFmt w:val="bullet"/>
      <w:lvlText w:val=""/>
      <w:lvlJc w:val="left"/>
      <w:pPr>
        <w:ind w:left="720" w:hanging="360"/>
      </w:pPr>
      <w:rPr>
        <w:rFonts w:ascii="Symbol" w:hAnsi="Symbol"/>
      </w:rPr>
    </w:lvl>
    <w:lvl w:ilvl="1" w:tplc="557A95E4">
      <w:start w:val="1"/>
      <w:numFmt w:val="bullet"/>
      <w:lvlText w:val="o"/>
      <w:lvlJc w:val="left"/>
      <w:pPr>
        <w:tabs>
          <w:tab w:val="num" w:pos="1440"/>
        </w:tabs>
        <w:ind w:left="1440" w:hanging="360"/>
      </w:pPr>
      <w:rPr>
        <w:rFonts w:ascii="Courier New" w:hAnsi="Courier New"/>
      </w:rPr>
    </w:lvl>
    <w:lvl w:ilvl="2" w:tplc="DDFE048E">
      <w:start w:val="1"/>
      <w:numFmt w:val="bullet"/>
      <w:lvlText w:val=""/>
      <w:lvlJc w:val="left"/>
      <w:pPr>
        <w:tabs>
          <w:tab w:val="num" w:pos="2160"/>
        </w:tabs>
        <w:ind w:left="2160" w:hanging="360"/>
      </w:pPr>
      <w:rPr>
        <w:rFonts w:ascii="Wingdings" w:hAnsi="Wingdings"/>
      </w:rPr>
    </w:lvl>
    <w:lvl w:ilvl="3" w:tplc="1F90471C">
      <w:start w:val="1"/>
      <w:numFmt w:val="bullet"/>
      <w:lvlText w:val=""/>
      <w:lvlJc w:val="left"/>
      <w:pPr>
        <w:tabs>
          <w:tab w:val="num" w:pos="2880"/>
        </w:tabs>
        <w:ind w:left="2880" w:hanging="360"/>
      </w:pPr>
      <w:rPr>
        <w:rFonts w:ascii="Symbol" w:hAnsi="Symbol"/>
      </w:rPr>
    </w:lvl>
    <w:lvl w:ilvl="4" w:tplc="6E60DD6E">
      <w:start w:val="1"/>
      <w:numFmt w:val="bullet"/>
      <w:lvlText w:val="o"/>
      <w:lvlJc w:val="left"/>
      <w:pPr>
        <w:tabs>
          <w:tab w:val="num" w:pos="3600"/>
        </w:tabs>
        <w:ind w:left="3600" w:hanging="360"/>
      </w:pPr>
      <w:rPr>
        <w:rFonts w:ascii="Courier New" w:hAnsi="Courier New"/>
      </w:rPr>
    </w:lvl>
    <w:lvl w:ilvl="5" w:tplc="7362D014">
      <w:start w:val="1"/>
      <w:numFmt w:val="bullet"/>
      <w:lvlText w:val=""/>
      <w:lvlJc w:val="left"/>
      <w:pPr>
        <w:tabs>
          <w:tab w:val="num" w:pos="4320"/>
        </w:tabs>
        <w:ind w:left="4320" w:hanging="360"/>
      </w:pPr>
      <w:rPr>
        <w:rFonts w:ascii="Wingdings" w:hAnsi="Wingdings"/>
      </w:rPr>
    </w:lvl>
    <w:lvl w:ilvl="6" w:tplc="2FE82CCA">
      <w:start w:val="1"/>
      <w:numFmt w:val="bullet"/>
      <w:lvlText w:val=""/>
      <w:lvlJc w:val="left"/>
      <w:pPr>
        <w:tabs>
          <w:tab w:val="num" w:pos="5040"/>
        </w:tabs>
        <w:ind w:left="5040" w:hanging="360"/>
      </w:pPr>
      <w:rPr>
        <w:rFonts w:ascii="Symbol" w:hAnsi="Symbol"/>
      </w:rPr>
    </w:lvl>
    <w:lvl w:ilvl="7" w:tplc="A80EB88A">
      <w:start w:val="1"/>
      <w:numFmt w:val="bullet"/>
      <w:lvlText w:val="o"/>
      <w:lvlJc w:val="left"/>
      <w:pPr>
        <w:tabs>
          <w:tab w:val="num" w:pos="5760"/>
        </w:tabs>
        <w:ind w:left="5760" w:hanging="360"/>
      </w:pPr>
      <w:rPr>
        <w:rFonts w:ascii="Courier New" w:hAnsi="Courier New"/>
      </w:rPr>
    </w:lvl>
    <w:lvl w:ilvl="8" w:tplc="F872E09C">
      <w:start w:val="1"/>
      <w:numFmt w:val="bullet"/>
      <w:lvlText w:val=""/>
      <w:lvlJc w:val="left"/>
      <w:pPr>
        <w:tabs>
          <w:tab w:val="num" w:pos="6480"/>
        </w:tabs>
        <w:ind w:left="6480" w:hanging="360"/>
      </w:pPr>
      <w:rPr>
        <w:rFonts w:ascii="Wingdings" w:hAnsi="Wingdings"/>
      </w:rPr>
    </w:lvl>
  </w:abstractNum>
  <w:abstractNum w:abstractNumId="382" w15:restartNumberingAfterBreak="0">
    <w:nsid w:val="72230640"/>
    <w:multiLevelType w:val="hybridMultilevel"/>
    <w:tmpl w:val="72230640"/>
    <w:lvl w:ilvl="0" w:tplc="84227604">
      <w:start w:val="1"/>
      <w:numFmt w:val="bullet"/>
      <w:lvlText w:val=""/>
      <w:lvlJc w:val="left"/>
      <w:pPr>
        <w:ind w:left="720" w:hanging="360"/>
      </w:pPr>
      <w:rPr>
        <w:rFonts w:ascii="Symbol" w:hAnsi="Symbol"/>
      </w:rPr>
    </w:lvl>
    <w:lvl w:ilvl="1" w:tplc="E63C233A">
      <w:start w:val="1"/>
      <w:numFmt w:val="bullet"/>
      <w:lvlText w:val="o"/>
      <w:lvlJc w:val="left"/>
      <w:pPr>
        <w:tabs>
          <w:tab w:val="num" w:pos="1440"/>
        </w:tabs>
        <w:ind w:left="1440" w:hanging="360"/>
      </w:pPr>
      <w:rPr>
        <w:rFonts w:ascii="Courier New" w:hAnsi="Courier New"/>
      </w:rPr>
    </w:lvl>
    <w:lvl w:ilvl="2" w:tplc="C0DEB804">
      <w:start w:val="1"/>
      <w:numFmt w:val="bullet"/>
      <w:lvlText w:val=""/>
      <w:lvlJc w:val="left"/>
      <w:pPr>
        <w:tabs>
          <w:tab w:val="num" w:pos="2160"/>
        </w:tabs>
        <w:ind w:left="2160" w:hanging="360"/>
      </w:pPr>
      <w:rPr>
        <w:rFonts w:ascii="Wingdings" w:hAnsi="Wingdings"/>
      </w:rPr>
    </w:lvl>
    <w:lvl w:ilvl="3" w:tplc="12EEB478">
      <w:start w:val="1"/>
      <w:numFmt w:val="bullet"/>
      <w:lvlText w:val=""/>
      <w:lvlJc w:val="left"/>
      <w:pPr>
        <w:tabs>
          <w:tab w:val="num" w:pos="2880"/>
        </w:tabs>
        <w:ind w:left="2880" w:hanging="360"/>
      </w:pPr>
      <w:rPr>
        <w:rFonts w:ascii="Symbol" w:hAnsi="Symbol"/>
      </w:rPr>
    </w:lvl>
    <w:lvl w:ilvl="4" w:tplc="FED6FD9A">
      <w:start w:val="1"/>
      <w:numFmt w:val="bullet"/>
      <w:lvlText w:val="o"/>
      <w:lvlJc w:val="left"/>
      <w:pPr>
        <w:tabs>
          <w:tab w:val="num" w:pos="3600"/>
        </w:tabs>
        <w:ind w:left="3600" w:hanging="360"/>
      </w:pPr>
      <w:rPr>
        <w:rFonts w:ascii="Courier New" w:hAnsi="Courier New"/>
      </w:rPr>
    </w:lvl>
    <w:lvl w:ilvl="5" w:tplc="C518A036">
      <w:start w:val="1"/>
      <w:numFmt w:val="bullet"/>
      <w:lvlText w:val=""/>
      <w:lvlJc w:val="left"/>
      <w:pPr>
        <w:tabs>
          <w:tab w:val="num" w:pos="4320"/>
        </w:tabs>
        <w:ind w:left="4320" w:hanging="360"/>
      </w:pPr>
      <w:rPr>
        <w:rFonts w:ascii="Wingdings" w:hAnsi="Wingdings"/>
      </w:rPr>
    </w:lvl>
    <w:lvl w:ilvl="6" w:tplc="D9BED316">
      <w:start w:val="1"/>
      <w:numFmt w:val="bullet"/>
      <w:lvlText w:val=""/>
      <w:lvlJc w:val="left"/>
      <w:pPr>
        <w:tabs>
          <w:tab w:val="num" w:pos="5040"/>
        </w:tabs>
        <w:ind w:left="5040" w:hanging="360"/>
      </w:pPr>
      <w:rPr>
        <w:rFonts w:ascii="Symbol" w:hAnsi="Symbol"/>
      </w:rPr>
    </w:lvl>
    <w:lvl w:ilvl="7" w:tplc="A5B2411E">
      <w:start w:val="1"/>
      <w:numFmt w:val="bullet"/>
      <w:lvlText w:val="o"/>
      <w:lvlJc w:val="left"/>
      <w:pPr>
        <w:tabs>
          <w:tab w:val="num" w:pos="5760"/>
        </w:tabs>
        <w:ind w:left="5760" w:hanging="360"/>
      </w:pPr>
      <w:rPr>
        <w:rFonts w:ascii="Courier New" w:hAnsi="Courier New"/>
      </w:rPr>
    </w:lvl>
    <w:lvl w:ilvl="8" w:tplc="9EFCD2AE">
      <w:start w:val="1"/>
      <w:numFmt w:val="bullet"/>
      <w:lvlText w:val=""/>
      <w:lvlJc w:val="left"/>
      <w:pPr>
        <w:tabs>
          <w:tab w:val="num" w:pos="6480"/>
        </w:tabs>
        <w:ind w:left="6480" w:hanging="360"/>
      </w:pPr>
      <w:rPr>
        <w:rFonts w:ascii="Wingdings" w:hAnsi="Wingdings"/>
      </w:rPr>
    </w:lvl>
  </w:abstractNum>
  <w:abstractNum w:abstractNumId="383" w15:restartNumberingAfterBreak="0">
    <w:nsid w:val="72230641"/>
    <w:multiLevelType w:val="hybridMultilevel"/>
    <w:tmpl w:val="72230641"/>
    <w:lvl w:ilvl="0" w:tplc="4B5C8A9E">
      <w:start w:val="1"/>
      <w:numFmt w:val="bullet"/>
      <w:lvlText w:val="o"/>
      <w:lvlJc w:val="left"/>
      <w:pPr>
        <w:ind w:left="720" w:hanging="360"/>
      </w:pPr>
      <w:rPr>
        <w:rFonts w:ascii="Courier New" w:hAnsi="Courier New"/>
      </w:rPr>
    </w:lvl>
    <w:lvl w:ilvl="1" w:tplc="7A3AA5EC">
      <w:start w:val="1"/>
      <w:numFmt w:val="bullet"/>
      <w:lvlText w:val="o"/>
      <w:lvlJc w:val="left"/>
      <w:pPr>
        <w:tabs>
          <w:tab w:val="num" w:pos="1440"/>
        </w:tabs>
        <w:ind w:left="1440" w:hanging="360"/>
      </w:pPr>
      <w:rPr>
        <w:rFonts w:ascii="Courier New" w:hAnsi="Courier New"/>
      </w:rPr>
    </w:lvl>
    <w:lvl w:ilvl="2" w:tplc="C3C4F00C">
      <w:start w:val="1"/>
      <w:numFmt w:val="bullet"/>
      <w:lvlText w:val=""/>
      <w:lvlJc w:val="left"/>
      <w:pPr>
        <w:tabs>
          <w:tab w:val="num" w:pos="2160"/>
        </w:tabs>
        <w:ind w:left="2160" w:hanging="360"/>
      </w:pPr>
      <w:rPr>
        <w:rFonts w:ascii="Wingdings" w:hAnsi="Wingdings"/>
      </w:rPr>
    </w:lvl>
    <w:lvl w:ilvl="3" w:tplc="92E27356">
      <w:start w:val="1"/>
      <w:numFmt w:val="bullet"/>
      <w:lvlText w:val=""/>
      <w:lvlJc w:val="left"/>
      <w:pPr>
        <w:tabs>
          <w:tab w:val="num" w:pos="2880"/>
        </w:tabs>
        <w:ind w:left="2880" w:hanging="360"/>
      </w:pPr>
      <w:rPr>
        <w:rFonts w:ascii="Symbol" w:hAnsi="Symbol"/>
      </w:rPr>
    </w:lvl>
    <w:lvl w:ilvl="4" w:tplc="171AC032">
      <w:start w:val="1"/>
      <w:numFmt w:val="bullet"/>
      <w:lvlText w:val="o"/>
      <w:lvlJc w:val="left"/>
      <w:pPr>
        <w:tabs>
          <w:tab w:val="num" w:pos="3600"/>
        </w:tabs>
        <w:ind w:left="3600" w:hanging="360"/>
      </w:pPr>
      <w:rPr>
        <w:rFonts w:ascii="Courier New" w:hAnsi="Courier New"/>
      </w:rPr>
    </w:lvl>
    <w:lvl w:ilvl="5" w:tplc="B3EE1F04">
      <w:start w:val="1"/>
      <w:numFmt w:val="bullet"/>
      <w:lvlText w:val=""/>
      <w:lvlJc w:val="left"/>
      <w:pPr>
        <w:tabs>
          <w:tab w:val="num" w:pos="4320"/>
        </w:tabs>
        <w:ind w:left="4320" w:hanging="360"/>
      </w:pPr>
      <w:rPr>
        <w:rFonts w:ascii="Wingdings" w:hAnsi="Wingdings"/>
      </w:rPr>
    </w:lvl>
    <w:lvl w:ilvl="6" w:tplc="2DC0AC04">
      <w:start w:val="1"/>
      <w:numFmt w:val="bullet"/>
      <w:lvlText w:val=""/>
      <w:lvlJc w:val="left"/>
      <w:pPr>
        <w:tabs>
          <w:tab w:val="num" w:pos="5040"/>
        </w:tabs>
        <w:ind w:left="5040" w:hanging="360"/>
      </w:pPr>
      <w:rPr>
        <w:rFonts w:ascii="Symbol" w:hAnsi="Symbol"/>
      </w:rPr>
    </w:lvl>
    <w:lvl w:ilvl="7" w:tplc="B224AEB0">
      <w:start w:val="1"/>
      <w:numFmt w:val="bullet"/>
      <w:lvlText w:val="o"/>
      <w:lvlJc w:val="left"/>
      <w:pPr>
        <w:tabs>
          <w:tab w:val="num" w:pos="5760"/>
        </w:tabs>
        <w:ind w:left="5760" w:hanging="360"/>
      </w:pPr>
      <w:rPr>
        <w:rFonts w:ascii="Courier New" w:hAnsi="Courier New"/>
      </w:rPr>
    </w:lvl>
    <w:lvl w:ilvl="8" w:tplc="0AF0EC86">
      <w:start w:val="1"/>
      <w:numFmt w:val="bullet"/>
      <w:lvlText w:val=""/>
      <w:lvlJc w:val="left"/>
      <w:pPr>
        <w:tabs>
          <w:tab w:val="num" w:pos="6480"/>
        </w:tabs>
        <w:ind w:left="6480" w:hanging="360"/>
      </w:pPr>
      <w:rPr>
        <w:rFonts w:ascii="Wingdings" w:hAnsi="Wingdings"/>
      </w:rPr>
    </w:lvl>
  </w:abstractNum>
  <w:abstractNum w:abstractNumId="384" w15:restartNumberingAfterBreak="0">
    <w:nsid w:val="72230642"/>
    <w:multiLevelType w:val="hybridMultilevel"/>
    <w:tmpl w:val="72230642"/>
    <w:lvl w:ilvl="0" w:tplc="1402E2D4">
      <w:start w:val="1"/>
      <w:numFmt w:val="bullet"/>
      <w:lvlText w:val="o"/>
      <w:lvlJc w:val="left"/>
      <w:pPr>
        <w:ind w:left="720" w:hanging="360"/>
      </w:pPr>
      <w:rPr>
        <w:rFonts w:ascii="Courier New" w:hAnsi="Courier New"/>
      </w:rPr>
    </w:lvl>
    <w:lvl w:ilvl="1" w:tplc="891A1CE2">
      <w:start w:val="1"/>
      <w:numFmt w:val="bullet"/>
      <w:lvlText w:val="o"/>
      <w:lvlJc w:val="left"/>
      <w:pPr>
        <w:tabs>
          <w:tab w:val="num" w:pos="1440"/>
        </w:tabs>
        <w:ind w:left="1440" w:hanging="360"/>
      </w:pPr>
      <w:rPr>
        <w:rFonts w:ascii="Courier New" w:hAnsi="Courier New"/>
      </w:rPr>
    </w:lvl>
    <w:lvl w:ilvl="2" w:tplc="66DEF2B4">
      <w:start w:val="1"/>
      <w:numFmt w:val="bullet"/>
      <w:lvlText w:val=""/>
      <w:lvlJc w:val="left"/>
      <w:pPr>
        <w:tabs>
          <w:tab w:val="num" w:pos="2160"/>
        </w:tabs>
        <w:ind w:left="2160" w:hanging="360"/>
      </w:pPr>
      <w:rPr>
        <w:rFonts w:ascii="Wingdings" w:hAnsi="Wingdings"/>
      </w:rPr>
    </w:lvl>
    <w:lvl w:ilvl="3" w:tplc="8528F81E">
      <w:start w:val="1"/>
      <w:numFmt w:val="bullet"/>
      <w:lvlText w:val=""/>
      <w:lvlJc w:val="left"/>
      <w:pPr>
        <w:tabs>
          <w:tab w:val="num" w:pos="2880"/>
        </w:tabs>
        <w:ind w:left="2880" w:hanging="360"/>
      </w:pPr>
      <w:rPr>
        <w:rFonts w:ascii="Symbol" w:hAnsi="Symbol"/>
      </w:rPr>
    </w:lvl>
    <w:lvl w:ilvl="4" w:tplc="177E825A">
      <w:start w:val="1"/>
      <w:numFmt w:val="bullet"/>
      <w:lvlText w:val="o"/>
      <w:lvlJc w:val="left"/>
      <w:pPr>
        <w:tabs>
          <w:tab w:val="num" w:pos="3600"/>
        </w:tabs>
        <w:ind w:left="3600" w:hanging="360"/>
      </w:pPr>
      <w:rPr>
        <w:rFonts w:ascii="Courier New" w:hAnsi="Courier New"/>
      </w:rPr>
    </w:lvl>
    <w:lvl w:ilvl="5" w:tplc="15108A6A">
      <w:start w:val="1"/>
      <w:numFmt w:val="bullet"/>
      <w:lvlText w:val=""/>
      <w:lvlJc w:val="left"/>
      <w:pPr>
        <w:tabs>
          <w:tab w:val="num" w:pos="4320"/>
        </w:tabs>
        <w:ind w:left="4320" w:hanging="360"/>
      </w:pPr>
      <w:rPr>
        <w:rFonts w:ascii="Wingdings" w:hAnsi="Wingdings"/>
      </w:rPr>
    </w:lvl>
    <w:lvl w:ilvl="6" w:tplc="97C84E4A">
      <w:start w:val="1"/>
      <w:numFmt w:val="bullet"/>
      <w:lvlText w:val=""/>
      <w:lvlJc w:val="left"/>
      <w:pPr>
        <w:tabs>
          <w:tab w:val="num" w:pos="5040"/>
        </w:tabs>
        <w:ind w:left="5040" w:hanging="360"/>
      </w:pPr>
      <w:rPr>
        <w:rFonts w:ascii="Symbol" w:hAnsi="Symbol"/>
      </w:rPr>
    </w:lvl>
    <w:lvl w:ilvl="7" w:tplc="DAAEC294">
      <w:start w:val="1"/>
      <w:numFmt w:val="bullet"/>
      <w:lvlText w:val="o"/>
      <w:lvlJc w:val="left"/>
      <w:pPr>
        <w:tabs>
          <w:tab w:val="num" w:pos="5760"/>
        </w:tabs>
        <w:ind w:left="5760" w:hanging="360"/>
      </w:pPr>
      <w:rPr>
        <w:rFonts w:ascii="Courier New" w:hAnsi="Courier New"/>
      </w:rPr>
    </w:lvl>
    <w:lvl w:ilvl="8" w:tplc="2BA85548">
      <w:start w:val="1"/>
      <w:numFmt w:val="bullet"/>
      <w:lvlText w:val=""/>
      <w:lvlJc w:val="left"/>
      <w:pPr>
        <w:tabs>
          <w:tab w:val="num" w:pos="6480"/>
        </w:tabs>
        <w:ind w:left="6480" w:hanging="360"/>
      </w:pPr>
      <w:rPr>
        <w:rFonts w:ascii="Wingdings" w:hAnsi="Wingdings"/>
      </w:rPr>
    </w:lvl>
  </w:abstractNum>
  <w:abstractNum w:abstractNumId="385" w15:restartNumberingAfterBreak="0">
    <w:nsid w:val="72230643"/>
    <w:multiLevelType w:val="hybridMultilevel"/>
    <w:tmpl w:val="72230643"/>
    <w:lvl w:ilvl="0" w:tplc="65B67B80">
      <w:start w:val="1"/>
      <w:numFmt w:val="bullet"/>
      <w:lvlText w:val=""/>
      <w:lvlJc w:val="left"/>
      <w:pPr>
        <w:ind w:left="720" w:hanging="360"/>
      </w:pPr>
      <w:rPr>
        <w:rFonts w:ascii="Symbol" w:hAnsi="Symbol"/>
      </w:rPr>
    </w:lvl>
    <w:lvl w:ilvl="1" w:tplc="724687C8">
      <w:start w:val="1"/>
      <w:numFmt w:val="bullet"/>
      <w:lvlText w:val="o"/>
      <w:lvlJc w:val="left"/>
      <w:pPr>
        <w:tabs>
          <w:tab w:val="num" w:pos="1440"/>
        </w:tabs>
        <w:ind w:left="1440" w:hanging="360"/>
      </w:pPr>
      <w:rPr>
        <w:rFonts w:ascii="Courier New" w:hAnsi="Courier New"/>
      </w:rPr>
    </w:lvl>
    <w:lvl w:ilvl="2" w:tplc="8F042506">
      <w:start w:val="1"/>
      <w:numFmt w:val="bullet"/>
      <w:lvlText w:val=""/>
      <w:lvlJc w:val="left"/>
      <w:pPr>
        <w:tabs>
          <w:tab w:val="num" w:pos="2160"/>
        </w:tabs>
        <w:ind w:left="2160" w:hanging="360"/>
      </w:pPr>
      <w:rPr>
        <w:rFonts w:ascii="Wingdings" w:hAnsi="Wingdings"/>
      </w:rPr>
    </w:lvl>
    <w:lvl w:ilvl="3" w:tplc="CF50DDA2">
      <w:start w:val="1"/>
      <w:numFmt w:val="bullet"/>
      <w:lvlText w:val=""/>
      <w:lvlJc w:val="left"/>
      <w:pPr>
        <w:tabs>
          <w:tab w:val="num" w:pos="2880"/>
        </w:tabs>
        <w:ind w:left="2880" w:hanging="360"/>
      </w:pPr>
      <w:rPr>
        <w:rFonts w:ascii="Symbol" w:hAnsi="Symbol"/>
      </w:rPr>
    </w:lvl>
    <w:lvl w:ilvl="4" w:tplc="5106E47C">
      <w:start w:val="1"/>
      <w:numFmt w:val="bullet"/>
      <w:lvlText w:val="o"/>
      <w:lvlJc w:val="left"/>
      <w:pPr>
        <w:tabs>
          <w:tab w:val="num" w:pos="3600"/>
        </w:tabs>
        <w:ind w:left="3600" w:hanging="360"/>
      </w:pPr>
      <w:rPr>
        <w:rFonts w:ascii="Courier New" w:hAnsi="Courier New"/>
      </w:rPr>
    </w:lvl>
    <w:lvl w:ilvl="5" w:tplc="2E84D050">
      <w:start w:val="1"/>
      <w:numFmt w:val="bullet"/>
      <w:lvlText w:val=""/>
      <w:lvlJc w:val="left"/>
      <w:pPr>
        <w:tabs>
          <w:tab w:val="num" w:pos="4320"/>
        </w:tabs>
        <w:ind w:left="4320" w:hanging="360"/>
      </w:pPr>
      <w:rPr>
        <w:rFonts w:ascii="Wingdings" w:hAnsi="Wingdings"/>
      </w:rPr>
    </w:lvl>
    <w:lvl w:ilvl="6" w:tplc="187A7162">
      <w:start w:val="1"/>
      <w:numFmt w:val="bullet"/>
      <w:lvlText w:val=""/>
      <w:lvlJc w:val="left"/>
      <w:pPr>
        <w:tabs>
          <w:tab w:val="num" w:pos="5040"/>
        </w:tabs>
        <w:ind w:left="5040" w:hanging="360"/>
      </w:pPr>
      <w:rPr>
        <w:rFonts w:ascii="Symbol" w:hAnsi="Symbol"/>
      </w:rPr>
    </w:lvl>
    <w:lvl w:ilvl="7" w:tplc="42B0B49E">
      <w:start w:val="1"/>
      <w:numFmt w:val="bullet"/>
      <w:lvlText w:val="o"/>
      <w:lvlJc w:val="left"/>
      <w:pPr>
        <w:tabs>
          <w:tab w:val="num" w:pos="5760"/>
        </w:tabs>
        <w:ind w:left="5760" w:hanging="360"/>
      </w:pPr>
      <w:rPr>
        <w:rFonts w:ascii="Courier New" w:hAnsi="Courier New"/>
      </w:rPr>
    </w:lvl>
    <w:lvl w:ilvl="8" w:tplc="B4CEEF5E">
      <w:start w:val="1"/>
      <w:numFmt w:val="bullet"/>
      <w:lvlText w:val=""/>
      <w:lvlJc w:val="left"/>
      <w:pPr>
        <w:tabs>
          <w:tab w:val="num" w:pos="6480"/>
        </w:tabs>
        <w:ind w:left="6480" w:hanging="360"/>
      </w:pPr>
      <w:rPr>
        <w:rFonts w:ascii="Wingdings" w:hAnsi="Wingdings"/>
      </w:rPr>
    </w:lvl>
  </w:abstractNum>
  <w:abstractNum w:abstractNumId="386" w15:restartNumberingAfterBreak="0">
    <w:nsid w:val="72230644"/>
    <w:multiLevelType w:val="hybridMultilevel"/>
    <w:tmpl w:val="72230644"/>
    <w:lvl w:ilvl="0" w:tplc="7D04696A">
      <w:start w:val="1"/>
      <w:numFmt w:val="bullet"/>
      <w:lvlText w:val=""/>
      <w:lvlJc w:val="left"/>
      <w:pPr>
        <w:ind w:left="720" w:hanging="360"/>
      </w:pPr>
      <w:rPr>
        <w:rFonts w:ascii="Symbol" w:hAnsi="Symbol"/>
      </w:rPr>
    </w:lvl>
    <w:lvl w:ilvl="1" w:tplc="73E8FC32">
      <w:start w:val="1"/>
      <w:numFmt w:val="bullet"/>
      <w:lvlText w:val="o"/>
      <w:lvlJc w:val="left"/>
      <w:pPr>
        <w:tabs>
          <w:tab w:val="num" w:pos="1440"/>
        </w:tabs>
        <w:ind w:left="1440" w:hanging="360"/>
      </w:pPr>
      <w:rPr>
        <w:rFonts w:ascii="Courier New" w:hAnsi="Courier New"/>
      </w:rPr>
    </w:lvl>
    <w:lvl w:ilvl="2" w:tplc="8CC61258">
      <w:start w:val="1"/>
      <w:numFmt w:val="bullet"/>
      <w:lvlText w:val=""/>
      <w:lvlJc w:val="left"/>
      <w:pPr>
        <w:tabs>
          <w:tab w:val="num" w:pos="2160"/>
        </w:tabs>
        <w:ind w:left="2160" w:hanging="360"/>
      </w:pPr>
      <w:rPr>
        <w:rFonts w:ascii="Wingdings" w:hAnsi="Wingdings"/>
      </w:rPr>
    </w:lvl>
    <w:lvl w:ilvl="3" w:tplc="FD148822">
      <w:start w:val="1"/>
      <w:numFmt w:val="bullet"/>
      <w:lvlText w:val=""/>
      <w:lvlJc w:val="left"/>
      <w:pPr>
        <w:tabs>
          <w:tab w:val="num" w:pos="2880"/>
        </w:tabs>
        <w:ind w:left="2880" w:hanging="360"/>
      </w:pPr>
      <w:rPr>
        <w:rFonts w:ascii="Symbol" w:hAnsi="Symbol"/>
      </w:rPr>
    </w:lvl>
    <w:lvl w:ilvl="4" w:tplc="0906AC8A">
      <w:start w:val="1"/>
      <w:numFmt w:val="bullet"/>
      <w:lvlText w:val="o"/>
      <w:lvlJc w:val="left"/>
      <w:pPr>
        <w:tabs>
          <w:tab w:val="num" w:pos="3600"/>
        </w:tabs>
        <w:ind w:left="3600" w:hanging="360"/>
      </w:pPr>
      <w:rPr>
        <w:rFonts w:ascii="Courier New" w:hAnsi="Courier New"/>
      </w:rPr>
    </w:lvl>
    <w:lvl w:ilvl="5" w:tplc="B69037A8">
      <w:start w:val="1"/>
      <w:numFmt w:val="bullet"/>
      <w:lvlText w:val=""/>
      <w:lvlJc w:val="left"/>
      <w:pPr>
        <w:tabs>
          <w:tab w:val="num" w:pos="4320"/>
        </w:tabs>
        <w:ind w:left="4320" w:hanging="360"/>
      </w:pPr>
      <w:rPr>
        <w:rFonts w:ascii="Wingdings" w:hAnsi="Wingdings"/>
      </w:rPr>
    </w:lvl>
    <w:lvl w:ilvl="6" w:tplc="8AC67446">
      <w:start w:val="1"/>
      <w:numFmt w:val="bullet"/>
      <w:lvlText w:val=""/>
      <w:lvlJc w:val="left"/>
      <w:pPr>
        <w:tabs>
          <w:tab w:val="num" w:pos="5040"/>
        </w:tabs>
        <w:ind w:left="5040" w:hanging="360"/>
      </w:pPr>
      <w:rPr>
        <w:rFonts w:ascii="Symbol" w:hAnsi="Symbol"/>
      </w:rPr>
    </w:lvl>
    <w:lvl w:ilvl="7" w:tplc="FDEE4FC2">
      <w:start w:val="1"/>
      <w:numFmt w:val="bullet"/>
      <w:lvlText w:val="o"/>
      <w:lvlJc w:val="left"/>
      <w:pPr>
        <w:tabs>
          <w:tab w:val="num" w:pos="5760"/>
        </w:tabs>
        <w:ind w:left="5760" w:hanging="360"/>
      </w:pPr>
      <w:rPr>
        <w:rFonts w:ascii="Courier New" w:hAnsi="Courier New"/>
      </w:rPr>
    </w:lvl>
    <w:lvl w:ilvl="8" w:tplc="3B06CF86">
      <w:start w:val="1"/>
      <w:numFmt w:val="bullet"/>
      <w:lvlText w:val=""/>
      <w:lvlJc w:val="left"/>
      <w:pPr>
        <w:tabs>
          <w:tab w:val="num" w:pos="6480"/>
        </w:tabs>
        <w:ind w:left="6480" w:hanging="360"/>
      </w:pPr>
      <w:rPr>
        <w:rFonts w:ascii="Wingdings" w:hAnsi="Wingdings"/>
      </w:rPr>
    </w:lvl>
  </w:abstractNum>
  <w:abstractNum w:abstractNumId="387" w15:restartNumberingAfterBreak="0">
    <w:nsid w:val="72230645"/>
    <w:multiLevelType w:val="hybridMultilevel"/>
    <w:tmpl w:val="72230645"/>
    <w:lvl w:ilvl="0" w:tplc="00B2FEC0">
      <w:start w:val="1"/>
      <w:numFmt w:val="bullet"/>
      <w:lvlText w:val=""/>
      <w:lvlJc w:val="left"/>
      <w:pPr>
        <w:ind w:left="720" w:hanging="360"/>
      </w:pPr>
      <w:rPr>
        <w:rFonts w:ascii="Symbol" w:hAnsi="Symbol"/>
      </w:rPr>
    </w:lvl>
    <w:lvl w:ilvl="1" w:tplc="AF827E50">
      <w:start w:val="1"/>
      <w:numFmt w:val="bullet"/>
      <w:lvlText w:val="o"/>
      <w:lvlJc w:val="left"/>
      <w:pPr>
        <w:tabs>
          <w:tab w:val="num" w:pos="1440"/>
        </w:tabs>
        <w:ind w:left="1440" w:hanging="360"/>
      </w:pPr>
      <w:rPr>
        <w:rFonts w:ascii="Courier New" w:hAnsi="Courier New"/>
      </w:rPr>
    </w:lvl>
    <w:lvl w:ilvl="2" w:tplc="22F2274E">
      <w:start w:val="1"/>
      <w:numFmt w:val="bullet"/>
      <w:lvlText w:val=""/>
      <w:lvlJc w:val="left"/>
      <w:pPr>
        <w:tabs>
          <w:tab w:val="num" w:pos="2160"/>
        </w:tabs>
        <w:ind w:left="2160" w:hanging="360"/>
      </w:pPr>
      <w:rPr>
        <w:rFonts w:ascii="Wingdings" w:hAnsi="Wingdings"/>
      </w:rPr>
    </w:lvl>
    <w:lvl w:ilvl="3" w:tplc="37201DA2">
      <w:start w:val="1"/>
      <w:numFmt w:val="bullet"/>
      <w:lvlText w:val=""/>
      <w:lvlJc w:val="left"/>
      <w:pPr>
        <w:tabs>
          <w:tab w:val="num" w:pos="2880"/>
        </w:tabs>
        <w:ind w:left="2880" w:hanging="360"/>
      </w:pPr>
      <w:rPr>
        <w:rFonts w:ascii="Symbol" w:hAnsi="Symbol"/>
      </w:rPr>
    </w:lvl>
    <w:lvl w:ilvl="4" w:tplc="4308EDC4">
      <w:start w:val="1"/>
      <w:numFmt w:val="bullet"/>
      <w:lvlText w:val="o"/>
      <w:lvlJc w:val="left"/>
      <w:pPr>
        <w:tabs>
          <w:tab w:val="num" w:pos="3600"/>
        </w:tabs>
        <w:ind w:left="3600" w:hanging="360"/>
      </w:pPr>
      <w:rPr>
        <w:rFonts w:ascii="Courier New" w:hAnsi="Courier New"/>
      </w:rPr>
    </w:lvl>
    <w:lvl w:ilvl="5" w:tplc="2B20D29E">
      <w:start w:val="1"/>
      <w:numFmt w:val="bullet"/>
      <w:lvlText w:val=""/>
      <w:lvlJc w:val="left"/>
      <w:pPr>
        <w:tabs>
          <w:tab w:val="num" w:pos="4320"/>
        </w:tabs>
        <w:ind w:left="4320" w:hanging="360"/>
      </w:pPr>
      <w:rPr>
        <w:rFonts w:ascii="Wingdings" w:hAnsi="Wingdings"/>
      </w:rPr>
    </w:lvl>
    <w:lvl w:ilvl="6" w:tplc="71B00C5A">
      <w:start w:val="1"/>
      <w:numFmt w:val="bullet"/>
      <w:lvlText w:val=""/>
      <w:lvlJc w:val="left"/>
      <w:pPr>
        <w:tabs>
          <w:tab w:val="num" w:pos="5040"/>
        </w:tabs>
        <w:ind w:left="5040" w:hanging="360"/>
      </w:pPr>
      <w:rPr>
        <w:rFonts w:ascii="Symbol" w:hAnsi="Symbol"/>
      </w:rPr>
    </w:lvl>
    <w:lvl w:ilvl="7" w:tplc="526EC2FC">
      <w:start w:val="1"/>
      <w:numFmt w:val="bullet"/>
      <w:lvlText w:val="o"/>
      <w:lvlJc w:val="left"/>
      <w:pPr>
        <w:tabs>
          <w:tab w:val="num" w:pos="5760"/>
        </w:tabs>
        <w:ind w:left="5760" w:hanging="360"/>
      </w:pPr>
      <w:rPr>
        <w:rFonts w:ascii="Courier New" w:hAnsi="Courier New"/>
      </w:rPr>
    </w:lvl>
    <w:lvl w:ilvl="8" w:tplc="BC98B3AC">
      <w:start w:val="1"/>
      <w:numFmt w:val="bullet"/>
      <w:lvlText w:val=""/>
      <w:lvlJc w:val="left"/>
      <w:pPr>
        <w:tabs>
          <w:tab w:val="num" w:pos="6480"/>
        </w:tabs>
        <w:ind w:left="6480" w:hanging="360"/>
      </w:pPr>
      <w:rPr>
        <w:rFonts w:ascii="Wingdings" w:hAnsi="Wingdings"/>
      </w:rPr>
    </w:lvl>
  </w:abstractNum>
  <w:abstractNum w:abstractNumId="388" w15:restartNumberingAfterBreak="0">
    <w:nsid w:val="72230646"/>
    <w:multiLevelType w:val="hybridMultilevel"/>
    <w:tmpl w:val="72230646"/>
    <w:lvl w:ilvl="0" w:tplc="187A5BD4">
      <w:start w:val="1"/>
      <w:numFmt w:val="bullet"/>
      <w:lvlText w:val=""/>
      <w:lvlJc w:val="left"/>
      <w:pPr>
        <w:ind w:left="720" w:hanging="360"/>
      </w:pPr>
      <w:rPr>
        <w:rFonts w:ascii="Symbol" w:hAnsi="Symbol"/>
      </w:rPr>
    </w:lvl>
    <w:lvl w:ilvl="1" w:tplc="3B4C3DB6">
      <w:start w:val="1"/>
      <w:numFmt w:val="bullet"/>
      <w:lvlText w:val="o"/>
      <w:lvlJc w:val="left"/>
      <w:pPr>
        <w:ind w:left="1440" w:hanging="360"/>
      </w:pPr>
      <w:rPr>
        <w:rFonts w:ascii="Courier New" w:hAnsi="Courier New"/>
      </w:rPr>
    </w:lvl>
    <w:lvl w:ilvl="2" w:tplc="FDD207F8">
      <w:start w:val="1"/>
      <w:numFmt w:val="bullet"/>
      <w:lvlText w:val=""/>
      <w:lvlJc w:val="left"/>
      <w:pPr>
        <w:tabs>
          <w:tab w:val="num" w:pos="2160"/>
        </w:tabs>
        <w:ind w:left="2160" w:hanging="360"/>
      </w:pPr>
      <w:rPr>
        <w:rFonts w:ascii="Wingdings" w:hAnsi="Wingdings"/>
      </w:rPr>
    </w:lvl>
    <w:lvl w:ilvl="3" w:tplc="F9F4AA1A">
      <w:start w:val="1"/>
      <w:numFmt w:val="bullet"/>
      <w:lvlText w:val=""/>
      <w:lvlJc w:val="left"/>
      <w:pPr>
        <w:tabs>
          <w:tab w:val="num" w:pos="2880"/>
        </w:tabs>
        <w:ind w:left="2880" w:hanging="360"/>
      </w:pPr>
      <w:rPr>
        <w:rFonts w:ascii="Symbol" w:hAnsi="Symbol"/>
      </w:rPr>
    </w:lvl>
    <w:lvl w:ilvl="4" w:tplc="285A591E">
      <w:start w:val="1"/>
      <w:numFmt w:val="bullet"/>
      <w:lvlText w:val="o"/>
      <w:lvlJc w:val="left"/>
      <w:pPr>
        <w:tabs>
          <w:tab w:val="num" w:pos="3600"/>
        </w:tabs>
        <w:ind w:left="3600" w:hanging="360"/>
      </w:pPr>
      <w:rPr>
        <w:rFonts w:ascii="Courier New" w:hAnsi="Courier New"/>
      </w:rPr>
    </w:lvl>
    <w:lvl w:ilvl="5" w:tplc="3252E2E2">
      <w:start w:val="1"/>
      <w:numFmt w:val="bullet"/>
      <w:lvlText w:val=""/>
      <w:lvlJc w:val="left"/>
      <w:pPr>
        <w:tabs>
          <w:tab w:val="num" w:pos="4320"/>
        </w:tabs>
        <w:ind w:left="4320" w:hanging="360"/>
      </w:pPr>
      <w:rPr>
        <w:rFonts w:ascii="Wingdings" w:hAnsi="Wingdings"/>
      </w:rPr>
    </w:lvl>
    <w:lvl w:ilvl="6" w:tplc="8BB634A4">
      <w:start w:val="1"/>
      <w:numFmt w:val="bullet"/>
      <w:lvlText w:val=""/>
      <w:lvlJc w:val="left"/>
      <w:pPr>
        <w:tabs>
          <w:tab w:val="num" w:pos="5040"/>
        </w:tabs>
        <w:ind w:left="5040" w:hanging="360"/>
      </w:pPr>
      <w:rPr>
        <w:rFonts w:ascii="Symbol" w:hAnsi="Symbol"/>
      </w:rPr>
    </w:lvl>
    <w:lvl w:ilvl="7" w:tplc="CB18D1C0">
      <w:start w:val="1"/>
      <w:numFmt w:val="bullet"/>
      <w:lvlText w:val="o"/>
      <w:lvlJc w:val="left"/>
      <w:pPr>
        <w:tabs>
          <w:tab w:val="num" w:pos="5760"/>
        </w:tabs>
        <w:ind w:left="5760" w:hanging="360"/>
      </w:pPr>
      <w:rPr>
        <w:rFonts w:ascii="Courier New" w:hAnsi="Courier New"/>
      </w:rPr>
    </w:lvl>
    <w:lvl w:ilvl="8" w:tplc="4F7226D8">
      <w:start w:val="1"/>
      <w:numFmt w:val="bullet"/>
      <w:lvlText w:val=""/>
      <w:lvlJc w:val="left"/>
      <w:pPr>
        <w:tabs>
          <w:tab w:val="num" w:pos="6480"/>
        </w:tabs>
        <w:ind w:left="6480" w:hanging="360"/>
      </w:pPr>
      <w:rPr>
        <w:rFonts w:ascii="Wingdings" w:hAnsi="Wingdings"/>
      </w:rPr>
    </w:lvl>
  </w:abstractNum>
  <w:abstractNum w:abstractNumId="389" w15:restartNumberingAfterBreak="0">
    <w:nsid w:val="72230647"/>
    <w:multiLevelType w:val="hybridMultilevel"/>
    <w:tmpl w:val="72230647"/>
    <w:lvl w:ilvl="0" w:tplc="0AA6E212">
      <w:start w:val="1"/>
      <w:numFmt w:val="bullet"/>
      <w:lvlText w:val=""/>
      <w:lvlJc w:val="left"/>
      <w:pPr>
        <w:ind w:left="720" w:hanging="360"/>
      </w:pPr>
      <w:rPr>
        <w:rFonts w:ascii="Symbol" w:hAnsi="Symbol"/>
      </w:rPr>
    </w:lvl>
    <w:lvl w:ilvl="1" w:tplc="6FB4EFE8">
      <w:start w:val="1"/>
      <w:numFmt w:val="bullet"/>
      <w:lvlText w:val="o"/>
      <w:lvlJc w:val="left"/>
      <w:pPr>
        <w:tabs>
          <w:tab w:val="num" w:pos="1440"/>
        </w:tabs>
        <w:ind w:left="1440" w:hanging="360"/>
      </w:pPr>
      <w:rPr>
        <w:rFonts w:ascii="Courier New" w:hAnsi="Courier New"/>
      </w:rPr>
    </w:lvl>
    <w:lvl w:ilvl="2" w:tplc="5DCAA834">
      <w:start w:val="1"/>
      <w:numFmt w:val="bullet"/>
      <w:lvlText w:val=""/>
      <w:lvlJc w:val="left"/>
      <w:pPr>
        <w:tabs>
          <w:tab w:val="num" w:pos="2160"/>
        </w:tabs>
        <w:ind w:left="2160" w:hanging="360"/>
      </w:pPr>
      <w:rPr>
        <w:rFonts w:ascii="Wingdings" w:hAnsi="Wingdings"/>
      </w:rPr>
    </w:lvl>
    <w:lvl w:ilvl="3" w:tplc="64E063B6">
      <w:start w:val="1"/>
      <w:numFmt w:val="bullet"/>
      <w:lvlText w:val=""/>
      <w:lvlJc w:val="left"/>
      <w:pPr>
        <w:tabs>
          <w:tab w:val="num" w:pos="2880"/>
        </w:tabs>
        <w:ind w:left="2880" w:hanging="360"/>
      </w:pPr>
      <w:rPr>
        <w:rFonts w:ascii="Symbol" w:hAnsi="Symbol"/>
      </w:rPr>
    </w:lvl>
    <w:lvl w:ilvl="4" w:tplc="CDE21508">
      <w:start w:val="1"/>
      <w:numFmt w:val="bullet"/>
      <w:lvlText w:val="o"/>
      <w:lvlJc w:val="left"/>
      <w:pPr>
        <w:tabs>
          <w:tab w:val="num" w:pos="3600"/>
        </w:tabs>
        <w:ind w:left="3600" w:hanging="360"/>
      </w:pPr>
      <w:rPr>
        <w:rFonts w:ascii="Courier New" w:hAnsi="Courier New"/>
      </w:rPr>
    </w:lvl>
    <w:lvl w:ilvl="5" w:tplc="440E353E">
      <w:start w:val="1"/>
      <w:numFmt w:val="bullet"/>
      <w:lvlText w:val=""/>
      <w:lvlJc w:val="left"/>
      <w:pPr>
        <w:tabs>
          <w:tab w:val="num" w:pos="4320"/>
        </w:tabs>
        <w:ind w:left="4320" w:hanging="360"/>
      </w:pPr>
      <w:rPr>
        <w:rFonts w:ascii="Wingdings" w:hAnsi="Wingdings"/>
      </w:rPr>
    </w:lvl>
    <w:lvl w:ilvl="6" w:tplc="E56AC4CA">
      <w:start w:val="1"/>
      <w:numFmt w:val="bullet"/>
      <w:lvlText w:val=""/>
      <w:lvlJc w:val="left"/>
      <w:pPr>
        <w:tabs>
          <w:tab w:val="num" w:pos="5040"/>
        </w:tabs>
        <w:ind w:left="5040" w:hanging="360"/>
      </w:pPr>
      <w:rPr>
        <w:rFonts w:ascii="Symbol" w:hAnsi="Symbol"/>
      </w:rPr>
    </w:lvl>
    <w:lvl w:ilvl="7" w:tplc="F7004FEE">
      <w:start w:val="1"/>
      <w:numFmt w:val="bullet"/>
      <w:lvlText w:val="o"/>
      <w:lvlJc w:val="left"/>
      <w:pPr>
        <w:tabs>
          <w:tab w:val="num" w:pos="5760"/>
        </w:tabs>
        <w:ind w:left="5760" w:hanging="360"/>
      </w:pPr>
      <w:rPr>
        <w:rFonts w:ascii="Courier New" w:hAnsi="Courier New"/>
      </w:rPr>
    </w:lvl>
    <w:lvl w:ilvl="8" w:tplc="F108696E">
      <w:start w:val="1"/>
      <w:numFmt w:val="bullet"/>
      <w:lvlText w:val=""/>
      <w:lvlJc w:val="left"/>
      <w:pPr>
        <w:tabs>
          <w:tab w:val="num" w:pos="6480"/>
        </w:tabs>
        <w:ind w:left="6480" w:hanging="360"/>
      </w:pPr>
      <w:rPr>
        <w:rFonts w:ascii="Wingdings" w:hAnsi="Wingdings"/>
      </w:rPr>
    </w:lvl>
  </w:abstractNum>
  <w:abstractNum w:abstractNumId="390" w15:restartNumberingAfterBreak="0">
    <w:nsid w:val="72230648"/>
    <w:multiLevelType w:val="hybridMultilevel"/>
    <w:tmpl w:val="72230648"/>
    <w:lvl w:ilvl="0" w:tplc="E9C00CA8">
      <w:start w:val="1"/>
      <w:numFmt w:val="bullet"/>
      <w:lvlText w:val=""/>
      <w:lvlJc w:val="left"/>
      <w:pPr>
        <w:ind w:left="720" w:hanging="360"/>
      </w:pPr>
      <w:rPr>
        <w:rFonts w:ascii="Symbol" w:hAnsi="Symbol"/>
      </w:rPr>
    </w:lvl>
    <w:lvl w:ilvl="1" w:tplc="E36675B4">
      <w:start w:val="1"/>
      <w:numFmt w:val="bullet"/>
      <w:lvlText w:val="o"/>
      <w:lvlJc w:val="left"/>
      <w:pPr>
        <w:tabs>
          <w:tab w:val="num" w:pos="1440"/>
        </w:tabs>
        <w:ind w:left="1440" w:hanging="360"/>
      </w:pPr>
      <w:rPr>
        <w:rFonts w:ascii="Courier New" w:hAnsi="Courier New"/>
      </w:rPr>
    </w:lvl>
    <w:lvl w:ilvl="2" w:tplc="E424E07C">
      <w:start w:val="1"/>
      <w:numFmt w:val="bullet"/>
      <w:lvlText w:val=""/>
      <w:lvlJc w:val="left"/>
      <w:pPr>
        <w:tabs>
          <w:tab w:val="num" w:pos="2160"/>
        </w:tabs>
        <w:ind w:left="2160" w:hanging="360"/>
      </w:pPr>
      <w:rPr>
        <w:rFonts w:ascii="Wingdings" w:hAnsi="Wingdings"/>
      </w:rPr>
    </w:lvl>
    <w:lvl w:ilvl="3" w:tplc="788C0D06">
      <w:start w:val="1"/>
      <w:numFmt w:val="bullet"/>
      <w:lvlText w:val=""/>
      <w:lvlJc w:val="left"/>
      <w:pPr>
        <w:tabs>
          <w:tab w:val="num" w:pos="2880"/>
        </w:tabs>
        <w:ind w:left="2880" w:hanging="360"/>
      </w:pPr>
      <w:rPr>
        <w:rFonts w:ascii="Symbol" w:hAnsi="Symbol"/>
      </w:rPr>
    </w:lvl>
    <w:lvl w:ilvl="4" w:tplc="06E0FF22">
      <w:start w:val="1"/>
      <w:numFmt w:val="bullet"/>
      <w:lvlText w:val="o"/>
      <w:lvlJc w:val="left"/>
      <w:pPr>
        <w:tabs>
          <w:tab w:val="num" w:pos="3600"/>
        </w:tabs>
        <w:ind w:left="3600" w:hanging="360"/>
      </w:pPr>
      <w:rPr>
        <w:rFonts w:ascii="Courier New" w:hAnsi="Courier New"/>
      </w:rPr>
    </w:lvl>
    <w:lvl w:ilvl="5" w:tplc="8362DC94">
      <w:start w:val="1"/>
      <w:numFmt w:val="bullet"/>
      <w:lvlText w:val=""/>
      <w:lvlJc w:val="left"/>
      <w:pPr>
        <w:tabs>
          <w:tab w:val="num" w:pos="4320"/>
        </w:tabs>
        <w:ind w:left="4320" w:hanging="360"/>
      </w:pPr>
      <w:rPr>
        <w:rFonts w:ascii="Wingdings" w:hAnsi="Wingdings"/>
      </w:rPr>
    </w:lvl>
    <w:lvl w:ilvl="6" w:tplc="C0368DE8">
      <w:start w:val="1"/>
      <w:numFmt w:val="bullet"/>
      <w:lvlText w:val=""/>
      <w:lvlJc w:val="left"/>
      <w:pPr>
        <w:tabs>
          <w:tab w:val="num" w:pos="5040"/>
        </w:tabs>
        <w:ind w:left="5040" w:hanging="360"/>
      </w:pPr>
      <w:rPr>
        <w:rFonts w:ascii="Symbol" w:hAnsi="Symbol"/>
      </w:rPr>
    </w:lvl>
    <w:lvl w:ilvl="7" w:tplc="A9AE139E">
      <w:start w:val="1"/>
      <w:numFmt w:val="bullet"/>
      <w:lvlText w:val="o"/>
      <w:lvlJc w:val="left"/>
      <w:pPr>
        <w:tabs>
          <w:tab w:val="num" w:pos="5760"/>
        </w:tabs>
        <w:ind w:left="5760" w:hanging="360"/>
      </w:pPr>
      <w:rPr>
        <w:rFonts w:ascii="Courier New" w:hAnsi="Courier New"/>
      </w:rPr>
    </w:lvl>
    <w:lvl w:ilvl="8" w:tplc="EC169478">
      <w:start w:val="1"/>
      <w:numFmt w:val="bullet"/>
      <w:lvlText w:val=""/>
      <w:lvlJc w:val="left"/>
      <w:pPr>
        <w:tabs>
          <w:tab w:val="num" w:pos="6480"/>
        </w:tabs>
        <w:ind w:left="6480" w:hanging="360"/>
      </w:pPr>
      <w:rPr>
        <w:rFonts w:ascii="Wingdings" w:hAnsi="Wingdings"/>
      </w:rPr>
    </w:lvl>
  </w:abstractNum>
  <w:abstractNum w:abstractNumId="391" w15:restartNumberingAfterBreak="0">
    <w:nsid w:val="72230649"/>
    <w:multiLevelType w:val="hybridMultilevel"/>
    <w:tmpl w:val="72230649"/>
    <w:lvl w:ilvl="0" w:tplc="08A03628">
      <w:start w:val="1"/>
      <w:numFmt w:val="bullet"/>
      <w:lvlText w:val=""/>
      <w:lvlJc w:val="left"/>
      <w:pPr>
        <w:ind w:left="720" w:hanging="360"/>
      </w:pPr>
      <w:rPr>
        <w:rFonts w:ascii="Symbol" w:hAnsi="Symbol"/>
      </w:rPr>
    </w:lvl>
    <w:lvl w:ilvl="1" w:tplc="2CFC4F32">
      <w:start w:val="1"/>
      <w:numFmt w:val="bullet"/>
      <w:lvlText w:val="o"/>
      <w:lvlJc w:val="left"/>
      <w:pPr>
        <w:tabs>
          <w:tab w:val="num" w:pos="1440"/>
        </w:tabs>
        <w:ind w:left="1440" w:hanging="360"/>
      </w:pPr>
      <w:rPr>
        <w:rFonts w:ascii="Courier New" w:hAnsi="Courier New"/>
      </w:rPr>
    </w:lvl>
    <w:lvl w:ilvl="2" w:tplc="8AC070CC">
      <w:start w:val="1"/>
      <w:numFmt w:val="bullet"/>
      <w:lvlText w:val=""/>
      <w:lvlJc w:val="left"/>
      <w:pPr>
        <w:tabs>
          <w:tab w:val="num" w:pos="2160"/>
        </w:tabs>
        <w:ind w:left="2160" w:hanging="360"/>
      </w:pPr>
      <w:rPr>
        <w:rFonts w:ascii="Wingdings" w:hAnsi="Wingdings"/>
      </w:rPr>
    </w:lvl>
    <w:lvl w:ilvl="3" w:tplc="C6EE3430">
      <w:start w:val="1"/>
      <w:numFmt w:val="bullet"/>
      <w:lvlText w:val=""/>
      <w:lvlJc w:val="left"/>
      <w:pPr>
        <w:tabs>
          <w:tab w:val="num" w:pos="2880"/>
        </w:tabs>
        <w:ind w:left="2880" w:hanging="360"/>
      </w:pPr>
      <w:rPr>
        <w:rFonts w:ascii="Symbol" w:hAnsi="Symbol"/>
      </w:rPr>
    </w:lvl>
    <w:lvl w:ilvl="4" w:tplc="81144EB0">
      <w:start w:val="1"/>
      <w:numFmt w:val="bullet"/>
      <w:lvlText w:val="o"/>
      <w:lvlJc w:val="left"/>
      <w:pPr>
        <w:tabs>
          <w:tab w:val="num" w:pos="3600"/>
        </w:tabs>
        <w:ind w:left="3600" w:hanging="360"/>
      </w:pPr>
      <w:rPr>
        <w:rFonts w:ascii="Courier New" w:hAnsi="Courier New"/>
      </w:rPr>
    </w:lvl>
    <w:lvl w:ilvl="5" w:tplc="4CB2C416">
      <w:start w:val="1"/>
      <w:numFmt w:val="bullet"/>
      <w:lvlText w:val=""/>
      <w:lvlJc w:val="left"/>
      <w:pPr>
        <w:tabs>
          <w:tab w:val="num" w:pos="4320"/>
        </w:tabs>
        <w:ind w:left="4320" w:hanging="360"/>
      </w:pPr>
      <w:rPr>
        <w:rFonts w:ascii="Wingdings" w:hAnsi="Wingdings"/>
      </w:rPr>
    </w:lvl>
    <w:lvl w:ilvl="6" w:tplc="05D400E0">
      <w:start w:val="1"/>
      <w:numFmt w:val="bullet"/>
      <w:lvlText w:val=""/>
      <w:lvlJc w:val="left"/>
      <w:pPr>
        <w:tabs>
          <w:tab w:val="num" w:pos="5040"/>
        </w:tabs>
        <w:ind w:left="5040" w:hanging="360"/>
      </w:pPr>
      <w:rPr>
        <w:rFonts w:ascii="Symbol" w:hAnsi="Symbol"/>
      </w:rPr>
    </w:lvl>
    <w:lvl w:ilvl="7" w:tplc="FAB45CB6">
      <w:start w:val="1"/>
      <w:numFmt w:val="bullet"/>
      <w:lvlText w:val="o"/>
      <w:lvlJc w:val="left"/>
      <w:pPr>
        <w:tabs>
          <w:tab w:val="num" w:pos="5760"/>
        </w:tabs>
        <w:ind w:left="5760" w:hanging="360"/>
      </w:pPr>
      <w:rPr>
        <w:rFonts w:ascii="Courier New" w:hAnsi="Courier New"/>
      </w:rPr>
    </w:lvl>
    <w:lvl w:ilvl="8" w:tplc="258AA4D4">
      <w:start w:val="1"/>
      <w:numFmt w:val="bullet"/>
      <w:lvlText w:val=""/>
      <w:lvlJc w:val="left"/>
      <w:pPr>
        <w:tabs>
          <w:tab w:val="num" w:pos="6480"/>
        </w:tabs>
        <w:ind w:left="6480" w:hanging="360"/>
      </w:pPr>
      <w:rPr>
        <w:rFonts w:ascii="Wingdings" w:hAnsi="Wingdings"/>
      </w:rPr>
    </w:lvl>
  </w:abstractNum>
  <w:abstractNum w:abstractNumId="392" w15:restartNumberingAfterBreak="0">
    <w:nsid w:val="7223064A"/>
    <w:multiLevelType w:val="hybridMultilevel"/>
    <w:tmpl w:val="7223064A"/>
    <w:lvl w:ilvl="0" w:tplc="297248A6">
      <w:start w:val="1"/>
      <w:numFmt w:val="bullet"/>
      <w:lvlText w:val=""/>
      <w:lvlJc w:val="left"/>
      <w:pPr>
        <w:ind w:left="720" w:hanging="360"/>
      </w:pPr>
      <w:rPr>
        <w:rFonts w:ascii="Symbol" w:hAnsi="Symbol"/>
      </w:rPr>
    </w:lvl>
    <w:lvl w:ilvl="1" w:tplc="82569554">
      <w:start w:val="1"/>
      <w:numFmt w:val="bullet"/>
      <w:lvlText w:val="o"/>
      <w:lvlJc w:val="left"/>
      <w:pPr>
        <w:tabs>
          <w:tab w:val="num" w:pos="1440"/>
        </w:tabs>
        <w:ind w:left="1440" w:hanging="360"/>
      </w:pPr>
      <w:rPr>
        <w:rFonts w:ascii="Courier New" w:hAnsi="Courier New"/>
      </w:rPr>
    </w:lvl>
    <w:lvl w:ilvl="2" w:tplc="41F01D7E">
      <w:start w:val="1"/>
      <w:numFmt w:val="bullet"/>
      <w:lvlText w:val=""/>
      <w:lvlJc w:val="left"/>
      <w:pPr>
        <w:tabs>
          <w:tab w:val="num" w:pos="2160"/>
        </w:tabs>
        <w:ind w:left="2160" w:hanging="360"/>
      </w:pPr>
      <w:rPr>
        <w:rFonts w:ascii="Wingdings" w:hAnsi="Wingdings"/>
      </w:rPr>
    </w:lvl>
    <w:lvl w:ilvl="3" w:tplc="B9B4B746">
      <w:start w:val="1"/>
      <w:numFmt w:val="bullet"/>
      <w:lvlText w:val=""/>
      <w:lvlJc w:val="left"/>
      <w:pPr>
        <w:tabs>
          <w:tab w:val="num" w:pos="2880"/>
        </w:tabs>
        <w:ind w:left="2880" w:hanging="360"/>
      </w:pPr>
      <w:rPr>
        <w:rFonts w:ascii="Symbol" w:hAnsi="Symbol"/>
      </w:rPr>
    </w:lvl>
    <w:lvl w:ilvl="4" w:tplc="A47A5A66">
      <w:start w:val="1"/>
      <w:numFmt w:val="bullet"/>
      <w:lvlText w:val="o"/>
      <w:lvlJc w:val="left"/>
      <w:pPr>
        <w:tabs>
          <w:tab w:val="num" w:pos="3600"/>
        </w:tabs>
        <w:ind w:left="3600" w:hanging="360"/>
      </w:pPr>
      <w:rPr>
        <w:rFonts w:ascii="Courier New" w:hAnsi="Courier New"/>
      </w:rPr>
    </w:lvl>
    <w:lvl w:ilvl="5" w:tplc="4F4203FE">
      <w:start w:val="1"/>
      <w:numFmt w:val="bullet"/>
      <w:lvlText w:val=""/>
      <w:lvlJc w:val="left"/>
      <w:pPr>
        <w:tabs>
          <w:tab w:val="num" w:pos="4320"/>
        </w:tabs>
        <w:ind w:left="4320" w:hanging="360"/>
      </w:pPr>
      <w:rPr>
        <w:rFonts w:ascii="Wingdings" w:hAnsi="Wingdings"/>
      </w:rPr>
    </w:lvl>
    <w:lvl w:ilvl="6" w:tplc="8CC009CC">
      <w:start w:val="1"/>
      <w:numFmt w:val="bullet"/>
      <w:lvlText w:val=""/>
      <w:lvlJc w:val="left"/>
      <w:pPr>
        <w:tabs>
          <w:tab w:val="num" w:pos="5040"/>
        </w:tabs>
        <w:ind w:left="5040" w:hanging="360"/>
      </w:pPr>
      <w:rPr>
        <w:rFonts w:ascii="Symbol" w:hAnsi="Symbol"/>
      </w:rPr>
    </w:lvl>
    <w:lvl w:ilvl="7" w:tplc="2482000E">
      <w:start w:val="1"/>
      <w:numFmt w:val="bullet"/>
      <w:lvlText w:val="o"/>
      <w:lvlJc w:val="left"/>
      <w:pPr>
        <w:tabs>
          <w:tab w:val="num" w:pos="5760"/>
        </w:tabs>
        <w:ind w:left="5760" w:hanging="360"/>
      </w:pPr>
      <w:rPr>
        <w:rFonts w:ascii="Courier New" w:hAnsi="Courier New"/>
      </w:rPr>
    </w:lvl>
    <w:lvl w:ilvl="8" w:tplc="9BCC7D72">
      <w:start w:val="1"/>
      <w:numFmt w:val="bullet"/>
      <w:lvlText w:val=""/>
      <w:lvlJc w:val="left"/>
      <w:pPr>
        <w:tabs>
          <w:tab w:val="num" w:pos="6480"/>
        </w:tabs>
        <w:ind w:left="6480" w:hanging="360"/>
      </w:pPr>
      <w:rPr>
        <w:rFonts w:ascii="Wingdings" w:hAnsi="Wingdings"/>
      </w:rPr>
    </w:lvl>
  </w:abstractNum>
  <w:abstractNum w:abstractNumId="393" w15:restartNumberingAfterBreak="0">
    <w:nsid w:val="7223064B"/>
    <w:multiLevelType w:val="hybridMultilevel"/>
    <w:tmpl w:val="7223064B"/>
    <w:lvl w:ilvl="0" w:tplc="414C5D3E">
      <w:start w:val="1"/>
      <w:numFmt w:val="bullet"/>
      <w:lvlText w:val=""/>
      <w:lvlJc w:val="left"/>
      <w:pPr>
        <w:ind w:left="720" w:hanging="360"/>
      </w:pPr>
      <w:rPr>
        <w:rFonts w:ascii="Symbol" w:hAnsi="Symbol"/>
      </w:rPr>
    </w:lvl>
    <w:lvl w:ilvl="1" w:tplc="AC887F36">
      <w:start w:val="1"/>
      <w:numFmt w:val="bullet"/>
      <w:lvlText w:val="o"/>
      <w:lvlJc w:val="left"/>
      <w:pPr>
        <w:tabs>
          <w:tab w:val="num" w:pos="1440"/>
        </w:tabs>
        <w:ind w:left="1440" w:hanging="360"/>
      </w:pPr>
      <w:rPr>
        <w:rFonts w:ascii="Courier New" w:hAnsi="Courier New"/>
      </w:rPr>
    </w:lvl>
    <w:lvl w:ilvl="2" w:tplc="B11AB2CE">
      <w:start w:val="1"/>
      <w:numFmt w:val="bullet"/>
      <w:lvlText w:val=""/>
      <w:lvlJc w:val="left"/>
      <w:pPr>
        <w:tabs>
          <w:tab w:val="num" w:pos="2160"/>
        </w:tabs>
        <w:ind w:left="2160" w:hanging="360"/>
      </w:pPr>
      <w:rPr>
        <w:rFonts w:ascii="Wingdings" w:hAnsi="Wingdings"/>
      </w:rPr>
    </w:lvl>
    <w:lvl w:ilvl="3" w:tplc="3328E4E6">
      <w:start w:val="1"/>
      <w:numFmt w:val="bullet"/>
      <w:lvlText w:val=""/>
      <w:lvlJc w:val="left"/>
      <w:pPr>
        <w:tabs>
          <w:tab w:val="num" w:pos="2880"/>
        </w:tabs>
        <w:ind w:left="2880" w:hanging="360"/>
      </w:pPr>
      <w:rPr>
        <w:rFonts w:ascii="Symbol" w:hAnsi="Symbol"/>
      </w:rPr>
    </w:lvl>
    <w:lvl w:ilvl="4" w:tplc="D08874B2">
      <w:start w:val="1"/>
      <w:numFmt w:val="bullet"/>
      <w:lvlText w:val="o"/>
      <w:lvlJc w:val="left"/>
      <w:pPr>
        <w:tabs>
          <w:tab w:val="num" w:pos="3600"/>
        </w:tabs>
        <w:ind w:left="3600" w:hanging="360"/>
      </w:pPr>
      <w:rPr>
        <w:rFonts w:ascii="Courier New" w:hAnsi="Courier New"/>
      </w:rPr>
    </w:lvl>
    <w:lvl w:ilvl="5" w:tplc="64F80D2E">
      <w:start w:val="1"/>
      <w:numFmt w:val="bullet"/>
      <w:lvlText w:val=""/>
      <w:lvlJc w:val="left"/>
      <w:pPr>
        <w:tabs>
          <w:tab w:val="num" w:pos="4320"/>
        </w:tabs>
        <w:ind w:left="4320" w:hanging="360"/>
      </w:pPr>
      <w:rPr>
        <w:rFonts w:ascii="Wingdings" w:hAnsi="Wingdings"/>
      </w:rPr>
    </w:lvl>
    <w:lvl w:ilvl="6" w:tplc="0854E23E">
      <w:start w:val="1"/>
      <w:numFmt w:val="bullet"/>
      <w:lvlText w:val=""/>
      <w:lvlJc w:val="left"/>
      <w:pPr>
        <w:tabs>
          <w:tab w:val="num" w:pos="5040"/>
        </w:tabs>
        <w:ind w:left="5040" w:hanging="360"/>
      </w:pPr>
      <w:rPr>
        <w:rFonts w:ascii="Symbol" w:hAnsi="Symbol"/>
      </w:rPr>
    </w:lvl>
    <w:lvl w:ilvl="7" w:tplc="FFF4DE66">
      <w:start w:val="1"/>
      <w:numFmt w:val="bullet"/>
      <w:lvlText w:val="o"/>
      <w:lvlJc w:val="left"/>
      <w:pPr>
        <w:tabs>
          <w:tab w:val="num" w:pos="5760"/>
        </w:tabs>
        <w:ind w:left="5760" w:hanging="360"/>
      </w:pPr>
      <w:rPr>
        <w:rFonts w:ascii="Courier New" w:hAnsi="Courier New"/>
      </w:rPr>
    </w:lvl>
    <w:lvl w:ilvl="8" w:tplc="94C4A91C">
      <w:start w:val="1"/>
      <w:numFmt w:val="bullet"/>
      <w:lvlText w:val=""/>
      <w:lvlJc w:val="left"/>
      <w:pPr>
        <w:tabs>
          <w:tab w:val="num" w:pos="6480"/>
        </w:tabs>
        <w:ind w:left="6480" w:hanging="360"/>
      </w:pPr>
      <w:rPr>
        <w:rFonts w:ascii="Wingdings" w:hAnsi="Wingdings"/>
      </w:rPr>
    </w:lvl>
  </w:abstractNum>
  <w:abstractNum w:abstractNumId="394" w15:restartNumberingAfterBreak="0">
    <w:nsid w:val="7223064C"/>
    <w:multiLevelType w:val="hybridMultilevel"/>
    <w:tmpl w:val="7223064C"/>
    <w:lvl w:ilvl="0" w:tplc="6C28A6EE">
      <w:start w:val="1"/>
      <w:numFmt w:val="bullet"/>
      <w:lvlText w:val=""/>
      <w:lvlJc w:val="left"/>
      <w:pPr>
        <w:ind w:left="720" w:hanging="360"/>
      </w:pPr>
      <w:rPr>
        <w:rFonts w:ascii="Symbol" w:hAnsi="Symbol"/>
      </w:rPr>
    </w:lvl>
    <w:lvl w:ilvl="1" w:tplc="8B94244C">
      <w:start w:val="1"/>
      <w:numFmt w:val="bullet"/>
      <w:lvlText w:val="o"/>
      <w:lvlJc w:val="left"/>
      <w:pPr>
        <w:tabs>
          <w:tab w:val="num" w:pos="1440"/>
        </w:tabs>
        <w:ind w:left="1440" w:hanging="360"/>
      </w:pPr>
      <w:rPr>
        <w:rFonts w:ascii="Courier New" w:hAnsi="Courier New"/>
      </w:rPr>
    </w:lvl>
    <w:lvl w:ilvl="2" w:tplc="FF76ECB0">
      <w:start w:val="1"/>
      <w:numFmt w:val="bullet"/>
      <w:lvlText w:val=""/>
      <w:lvlJc w:val="left"/>
      <w:pPr>
        <w:tabs>
          <w:tab w:val="num" w:pos="2160"/>
        </w:tabs>
        <w:ind w:left="2160" w:hanging="360"/>
      </w:pPr>
      <w:rPr>
        <w:rFonts w:ascii="Wingdings" w:hAnsi="Wingdings"/>
      </w:rPr>
    </w:lvl>
    <w:lvl w:ilvl="3" w:tplc="E4565058">
      <w:start w:val="1"/>
      <w:numFmt w:val="bullet"/>
      <w:lvlText w:val=""/>
      <w:lvlJc w:val="left"/>
      <w:pPr>
        <w:tabs>
          <w:tab w:val="num" w:pos="2880"/>
        </w:tabs>
        <w:ind w:left="2880" w:hanging="360"/>
      </w:pPr>
      <w:rPr>
        <w:rFonts w:ascii="Symbol" w:hAnsi="Symbol"/>
      </w:rPr>
    </w:lvl>
    <w:lvl w:ilvl="4" w:tplc="9496A3B2">
      <w:start w:val="1"/>
      <w:numFmt w:val="bullet"/>
      <w:lvlText w:val="o"/>
      <w:lvlJc w:val="left"/>
      <w:pPr>
        <w:tabs>
          <w:tab w:val="num" w:pos="3600"/>
        </w:tabs>
        <w:ind w:left="3600" w:hanging="360"/>
      </w:pPr>
      <w:rPr>
        <w:rFonts w:ascii="Courier New" w:hAnsi="Courier New"/>
      </w:rPr>
    </w:lvl>
    <w:lvl w:ilvl="5" w:tplc="5854025A">
      <w:start w:val="1"/>
      <w:numFmt w:val="bullet"/>
      <w:lvlText w:val=""/>
      <w:lvlJc w:val="left"/>
      <w:pPr>
        <w:tabs>
          <w:tab w:val="num" w:pos="4320"/>
        </w:tabs>
        <w:ind w:left="4320" w:hanging="360"/>
      </w:pPr>
      <w:rPr>
        <w:rFonts w:ascii="Wingdings" w:hAnsi="Wingdings"/>
      </w:rPr>
    </w:lvl>
    <w:lvl w:ilvl="6" w:tplc="7C6A63A2">
      <w:start w:val="1"/>
      <w:numFmt w:val="bullet"/>
      <w:lvlText w:val=""/>
      <w:lvlJc w:val="left"/>
      <w:pPr>
        <w:tabs>
          <w:tab w:val="num" w:pos="5040"/>
        </w:tabs>
        <w:ind w:left="5040" w:hanging="360"/>
      </w:pPr>
      <w:rPr>
        <w:rFonts w:ascii="Symbol" w:hAnsi="Symbol"/>
      </w:rPr>
    </w:lvl>
    <w:lvl w:ilvl="7" w:tplc="94F89254">
      <w:start w:val="1"/>
      <w:numFmt w:val="bullet"/>
      <w:lvlText w:val="o"/>
      <w:lvlJc w:val="left"/>
      <w:pPr>
        <w:tabs>
          <w:tab w:val="num" w:pos="5760"/>
        </w:tabs>
        <w:ind w:left="5760" w:hanging="360"/>
      </w:pPr>
      <w:rPr>
        <w:rFonts w:ascii="Courier New" w:hAnsi="Courier New"/>
      </w:rPr>
    </w:lvl>
    <w:lvl w:ilvl="8" w:tplc="32FE9146">
      <w:start w:val="1"/>
      <w:numFmt w:val="bullet"/>
      <w:lvlText w:val=""/>
      <w:lvlJc w:val="left"/>
      <w:pPr>
        <w:tabs>
          <w:tab w:val="num" w:pos="6480"/>
        </w:tabs>
        <w:ind w:left="6480" w:hanging="360"/>
      </w:pPr>
      <w:rPr>
        <w:rFonts w:ascii="Wingdings" w:hAnsi="Wingdings"/>
      </w:rPr>
    </w:lvl>
  </w:abstractNum>
  <w:abstractNum w:abstractNumId="395" w15:restartNumberingAfterBreak="0">
    <w:nsid w:val="7223064D"/>
    <w:multiLevelType w:val="hybridMultilevel"/>
    <w:tmpl w:val="7223064D"/>
    <w:lvl w:ilvl="0" w:tplc="FA60B650">
      <w:start w:val="1"/>
      <w:numFmt w:val="bullet"/>
      <w:lvlText w:val=""/>
      <w:lvlJc w:val="left"/>
      <w:pPr>
        <w:ind w:left="720" w:hanging="360"/>
      </w:pPr>
      <w:rPr>
        <w:rFonts w:ascii="Symbol" w:hAnsi="Symbol"/>
      </w:rPr>
    </w:lvl>
    <w:lvl w:ilvl="1" w:tplc="906E486A">
      <w:start w:val="1"/>
      <w:numFmt w:val="bullet"/>
      <w:lvlText w:val="o"/>
      <w:lvlJc w:val="left"/>
      <w:pPr>
        <w:tabs>
          <w:tab w:val="num" w:pos="1440"/>
        </w:tabs>
        <w:ind w:left="1440" w:hanging="360"/>
      </w:pPr>
      <w:rPr>
        <w:rFonts w:ascii="Courier New" w:hAnsi="Courier New"/>
      </w:rPr>
    </w:lvl>
    <w:lvl w:ilvl="2" w:tplc="873210C0">
      <w:start w:val="1"/>
      <w:numFmt w:val="bullet"/>
      <w:lvlText w:val=""/>
      <w:lvlJc w:val="left"/>
      <w:pPr>
        <w:tabs>
          <w:tab w:val="num" w:pos="2160"/>
        </w:tabs>
        <w:ind w:left="2160" w:hanging="360"/>
      </w:pPr>
      <w:rPr>
        <w:rFonts w:ascii="Wingdings" w:hAnsi="Wingdings"/>
      </w:rPr>
    </w:lvl>
    <w:lvl w:ilvl="3" w:tplc="D848F13C">
      <w:start w:val="1"/>
      <w:numFmt w:val="bullet"/>
      <w:lvlText w:val=""/>
      <w:lvlJc w:val="left"/>
      <w:pPr>
        <w:tabs>
          <w:tab w:val="num" w:pos="2880"/>
        </w:tabs>
        <w:ind w:left="2880" w:hanging="360"/>
      </w:pPr>
      <w:rPr>
        <w:rFonts w:ascii="Symbol" w:hAnsi="Symbol"/>
      </w:rPr>
    </w:lvl>
    <w:lvl w:ilvl="4" w:tplc="272631A6">
      <w:start w:val="1"/>
      <w:numFmt w:val="bullet"/>
      <w:lvlText w:val="o"/>
      <w:lvlJc w:val="left"/>
      <w:pPr>
        <w:tabs>
          <w:tab w:val="num" w:pos="3600"/>
        </w:tabs>
        <w:ind w:left="3600" w:hanging="360"/>
      </w:pPr>
      <w:rPr>
        <w:rFonts w:ascii="Courier New" w:hAnsi="Courier New"/>
      </w:rPr>
    </w:lvl>
    <w:lvl w:ilvl="5" w:tplc="37669B48">
      <w:start w:val="1"/>
      <w:numFmt w:val="bullet"/>
      <w:lvlText w:val=""/>
      <w:lvlJc w:val="left"/>
      <w:pPr>
        <w:tabs>
          <w:tab w:val="num" w:pos="4320"/>
        </w:tabs>
        <w:ind w:left="4320" w:hanging="360"/>
      </w:pPr>
      <w:rPr>
        <w:rFonts w:ascii="Wingdings" w:hAnsi="Wingdings"/>
      </w:rPr>
    </w:lvl>
    <w:lvl w:ilvl="6" w:tplc="8DEE7822">
      <w:start w:val="1"/>
      <w:numFmt w:val="bullet"/>
      <w:lvlText w:val=""/>
      <w:lvlJc w:val="left"/>
      <w:pPr>
        <w:tabs>
          <w:tab w:val="num" w:pos="5040"/>
        </w:tabs>
        <w:ind w:left="5040" w:hanging="360"/>
      </w:pPr>
      <w:rPr>
        <w:rFonts w:ascii="Symbol" w:hAnsi="Symbol"/>
      </w:rPr>
    </w:lvl>
    <w:lvl w:ilvl="7" w:tplc="53D806A8">
      <w:start w:val="1"/>
      <w:numFmt w:val="bullet"/>
      <w:lvlText w:val="o"/>
      <w:lvlJc w:val="left"/>
      <w:pPr>
        <w:tabs>
          <w:tab w:val="num" w:pos="5760"/>
        </w:tabs>
        <w:ind w:left="5760" w:hanging="360"/>
      </w:pPr>
      <w:rPr>
        <w:rFonts w:ascii="Courier New" w:hAnsi="Courier New"/>
      </w:rPr>
    </w:lvl>
    <w:lvl w:ilvl="8" w:tplc="9D94E324">
      <w:start w:val="1"/>
      <w:numFmt w:val="bullet"/>
      <w:lvlText w:val=""/>
      <w:lvlJc w:val="left"/>
      <w:pPr>
        <w:tabs>
          <w:tab w:val="num" w:pos="6480"/>
        </w:tabs>
        <w:ind w:left="6480" w:hanging="360"/>
      </w:pPr>
      <w:rPr>
        <w:rFonts w:ascii="Wingdings" w:hAnsi="Wingdings"/>
      </w:rPr>
    </w:lvl>
  </w:abstractNum>
  <w:abstractNum w:abstractNumId="396" w15:restartNumberingAfterBreak="0">
    <w:nsid w:val="7223064E"/>
    <w:multiLevelType w:val="hybridMultilevel"/>
    <w:tmpl w:val="7223064E"/>
    <w:lvl w:ilvl="0" w:tplc="A254FDE6">
      <w:start w:val="1"/>
      <w:numFmt w:val="bullet"/>
      <w:lvlText w:val=""/>
      <w:lvlJc w:val="left"/>
      <w:pPr>
        <w:ind w:left="720" w:hanging="360"/>
      </w:pPr>
      <w:rPr>
        <w:rFonts w:ascii="Symbol" w:hAnsi="Symbol"/>
      </w:rPr>
    </w:lvl>
    <w:lvl w:ilvl="1" w:tplc="237EFED0">
      <w:start w:val="1"/>
      <w:numFmt w:val="bullet"/>
      <w:lvlText w:val="o"/>
      <w:lvlJc w:val="left"/>
      <w:pPr>
        <w:tabs>
          <w:tab w:val="num" w:pos="1440"/>
        </w:tabs>
        <w:ind w:left="1440" w:hanging="360"/>
      </w:pPr>
      <w:rPr>
        <w:rFonts w:ascii="Courier New" w:hAnsi="Courier New"/>
      </w:rPr>
    </w:lvl>
    <w:lvl w:ilvl="2" w:tplc="25AA4CAC">
      <w:start w:val="1"/>
      <w:numFmt w:val="bullet"/>
      <w:lvlText w:val=""/>
      <w:lvlJc w:val="left"/>
      <w:pPr>
        <w:tabs>
          <w:tab w:val="num" w:pos="2160"/>
        </w:tabs>
        <w:ind w:left="2160" w:hanging="360"/>
      </w:pPr>
      <w:rPr>
        <w:rFonts w:ascii="Wingdings" w:hAnsi="Wingdings"/>
      </w:rPr>
    </w:lvl>
    <w:lvl w:ilvl="3" w:tplc="DDA6E016">
      <w:start w:val="1"/>
      <w:numFmt w:val="bullet"/>
      <w:lvlText w:val=""/>
      <w:lvlJc w:val="left"/>
      <w:pPr>
        <w:tabs>
          <w:tab w:val="num" w:pos="2880"/>
        </w:tabs>
        <w:ind w:left="2880" w:hanging="360"/>
      </w:pPr>
      <w:rPr>
        <w:rFonts w:ascii="Symbol" w:hAnsi="Symbol"/>
      </w:rPr>
    </w:lvl>
    <w:lvl w:ilvl="4" w:tplc="58949B74">
      <w:start w:val="1"/>
      <w:numFmt w:val="bullet"/>
      <w:lvlText w:val="o"/>
      <w:lvlJc w:val="left"/>
      <w:pPr>
        <w:tabs>
          <w:tab w:val="num" w:pos="3600"/>
        </w:tabs>
        <w:ind w:left="3600" w:hanging="360"/>
      </w:pPr>
      <w:rPr>
        <w:rFonts w:ascii="Courier New" w:hAnsi="Courier New"/>
      </w:rPr>
    </w:lvl>
    <w:lvl w:ilvl="5" w:tplc="33049292">
      <w:start w:val="1"/>
      <w:numFmt w:val="bullet"/>
      <w:lvlText w:val=""/>
      <w:lvlJc w:val="left"/>
      <w:pPr>
        <w:tabs>
          <w:tab w:val="num" w:pos="4320"/>
        </w:tabs>
        <w:ind w:left="4320" w:hanging="360"/>
      </w:pPr>
      <w:rPr>
        <w:rFonts w:ascii="Wingdings" w:hAnsi="Wingdings"/>
      </w:rPr>
    </w:lvl>
    <w:lvl w:ilvl="6" w:tplc="7DE65E04">
      <w:start w:val="1"/>
      <w:numFmt w:val="bullet"/>
      <w:lvlText w:val=""/>
      <w:lvlJc w:val="left"/>
      <w:pPr>
        <w:tabs>
          <w:tab w:val="num" w:pos="5040"/>
        </w:tabs>
        <w:ind w:left="5040" w:hanging="360"/>
      </w:pPr>
      <w:rPr>
        <w:rFonts w:ascii="Symbol" w:hAnsi="Symbol"/>
      </w:rPr>
    </w:lvl>
    <w:lvl w:ilvl="7" w:tplc="137CFAE4">
      <w:start w:val="1"/>
      <w:numFmt w:val="bullet"/>
      <w:lvlText w:val="o"/>
      <w:lvlJc w:val="left"/>
      <w:pPr>
        <w:tabs>
          <w:tab w:val="num" w:pos="5760"/>
        </w:tabs>
        <w:ind w:left="5760" w:hanging="360"/>
      </w:pPr>
      <w:rPr>
        <w:rFonts w:ascii="Courier New" w:hAnsi="Courier New"/>
      </w:rPr>
    </w:lvl>
    <w:lvl w:ilvl="8" w:tplc="AADC49FA">
      <w:start w:val="1"/>
      <w:numFmt w:val="bullet"/>
      <w:lvlText w:val=""/>
      <w:lvlJc w:val="left"/>
      <w:pPr>
        <w:tabs>
          <w:tab w:val="num" w:pos="6480"/>
        </w:tabs>
        <w:ind w:left="6480" w:hanging="360"/>
      </w:pPr>
      <w:rPr>
        <w:rFonts w:ascii="Wingdings" w:hAnsi="Wingdings"/>
      </w:rPr>
    </w:lvl>
  </w:abstractNum>
  <w:abstractNum w:abstractNumId="397" w15:restartNumberingAfterBreak="0">
    <w:nsid w:val="7223064F"/>
    <w:multiLevelType w:val="hybridMultilevel"/>
    <w:tmpl w:val="7223064F"/>
    <w:lvl w:ilvl="0" w:tplc="3F7CEF76">
      <w:start w:val="1"/>
      <w:numFmt w:val="bullet"/>
      <w:lvlText w:val=""/>
      <w:lvlJc w:val="left"/>
      <w:pPr>
        <w:ind w:left="720" w:hanging="360"/>
      </w:pPr>
      <w:rPr>
        <w:rFonts w:ascii="Symbol" w:hAnsi="Symbol"/>
      </w:rPr>
    </w:lvl>
    <w:lvl w:ilvl="1" w:tplc="491E88C4">
      <w:start w:val="1"/>
      <w:numFmt w:val="bullet"/>
      <w:lvlText w:val="o"/>
      <w:lvlJc w:val="left"/>
      <w:pPr>
        <w:ind w:left="1440" w:hanging="360"/>
      </w:pPr>
      <w:rPr>
        <w:rFonts w:ascii="Courier New" w:hAnsi="Courier New"/>
      </w:rPr>
    </w:lvl>
    <w:lvl w:ilvl="2" w:tplc="59544C6A">
      <w:start w:val="1"/>
      <w:numFmt w:val="bullet"/>
      <w:lvlText w:val=""/>
      <w:lvlJc w:val="left"/>
      <w:pPr>
        <w:tabs>
          <w:tab w:val="num" w:pos="2160"/>
        </w:tabs>
        <w:ind w:left="2160" w:hanging="360"/>
      </w:pPr>
      <w:rPr>
        <w:rFonts w:ascii="Wingdings" w:hAnsi="Wingdings"/>
      </w:rPr>
    </w:lvl>
    <w:lvl w:ilvl="3" w:tplc="16842E88">
      <w:start w:val="1"/>
      <w:numFmt w:val="bullet"/>
      <w:lvlText w:val=""/>
      <w:lvlJc w:val="left"/>
      <w:pPr>
        <w:tabs>
          <w:tab w:val="num" w:pos="2880"/>
        </w:tabs>
        <w:ind w:left="2880" w:hanging="360"/>
      </w:pPr>
      <w:rPr>
        <w:rFonts w:ascii="Symbol" w:hAnsi="Symbol"/>
      </w:rPr>
    </w:lvl>
    <w:lvl w:ilvl="4" w:tplc="A7F4B882">
      <w:start w:val="1"/>
      <w:numFmt w:val="bullet"/>
      <w:lvlText w:val="o"/>
      <w:lvlJc w:val="left"/>
      <w:pPr>
        <w:tabs>
          <w:tab w:val="num" w:pos="3600"/>
        </w:tabs>
        <w:ind w:left="3600" w:hanging="360"/>
      </w:pPr>
      <w:rPr>
        <w:rFonts w:ascii="Courier New" w:hAnsi="Courier New"/>
      </w:rPr>
    </w:lvl>
    <w:lvl w:ilvl="5" w:tplc="C68EB242">
      <w:start w:val="1"/>
      <w:numFmt w:val="bullet"/>
      <w:lvlText w:val=""/>
      <w:lvlJc w:val="left"/>
      <w:pPr>
        <w:tabs>
          <w:tab w:val="num" w:pos="4320"/>
        </w:tabs>
        <w:ind w:left="4320" w:hanging="360"/>
      </w:pPr>
      <w:rPr>
        <w:rFonts w:ascii="Wingdings" w:hAnsi="Wingdings"/>
      </w:rPr>
    </w:lvl>
    <w:lvl w:ilvl="6" w:tplc="FF867C74">
      <w:start w:val="1"/>
      <w:numFmt w:val="bullet"/>
      <w:lvlText w:val=""/>
      <w:lvlJc w:val="left"/>
      <w:pPr>
        <w:tabs>
          <w:tab w:val="num" w:pos="5040"/>
        </w:tabs>
        <w:ind w:left="5040" w:hanging="360"/>
      </w:pPr>
      <w:rPr>
        <w:rFonts w:ascii="Symbol" w:hAnsi="Symbol"/>
      </w:rPr>
    </w:lvl>
    <w:lvl w:ilvl="7" w:tplc="11F2BBA2">
      <w:start w:val="1"/>
      <w:numFmt w:val="bullet"/>
      <w:lvlText w:val="o"/>
      <w:lvlJc w:val="left"/>
      <w:pPr>
        <w:tabs>
          <w:tab w:val="num" w:pos="5760"/>
        </w:tabs>
        <w:ind w:left="5760" w:hanging="360"/>
      </w:pPr>
      <w:rPr>
        <w:rFonts w:ascii="Courier New" w:hAnsi="Courier New"/>
      </w:rPr>
    </w:lvl>
    <w:lvl w:ilvl="8" w:tplc="DCEE4310">
      <w:start w:val="1"/>
      <w:numFmt w:val="bullet"/>
      <w:lvlText w:val=""/>
      <w:lvlJc w:val="left"/>
      <w:pPr>
        <w:tabs>
          <w:tab w:val="num" w:pos="6480"/>
        </w:tabs>
        <w:ind w:left="6480" w:hanging="360"/>
      </w:pPr>
      <w:rPr>
        <w:rFonts w:ascii="Wingdings" w:hAnsi="Wingdings"/>
      </w:rPr>
    </w:lvl>
  </w:abstractNum>
  <w:abstractNum w:abstractNumId="398" w15:restartNumberingAfterBreak="0">
    <w:nsid w:val="72230650"/>
    <w:multiLevelType w:val="hybridMultilevel"/>
    <w:tmpl w:val="72230650"/>
    <w:lvl w:ilvl="0" w:tplc="D3480EA0">
      <w:start w:val="1"/>
      <w:numFmt w:val="bullet"/>
      <w:lvlText w:val=""/>
      <w:lvlJc w:val="left"/>
      <w:pPr>
        <w:tabs>
          <w:tab w:val="num" w:pos="720"/>
        </w:tabs>
        <w:ind w:left="720" w:hanging="360"/>
      </w:pPr>
      <w:rPr>
        <w:rFonts w:ascii="Symbol" w:hAnsi="Symbol"/>
      </w:rPr>
    </w:lvl>
    <w:lvl w:ilvl="1" w:tplc="7F5C73BA">
      <w:start w:val="1"/>
      <w:numFmt w:val="bullet"/>
      <w:lvlText w:val="o"/>
      <w:lvlJc w:val="left"/>
      <w:pPr>
        <w:tabs>
          <w:tab w:val="num" w:pos="1440"/>
        </w:tabs>
        <w:ind w:left="1440" w:hanging="360"/>
      </w:pPr>
      <w:rPr>
        <w:rFonts w:ascii="Courier New" w:hAnsi="Courier New"/>
      </w:rPr>
    </w:lvl>
    <w:lvl w:ilvl="2" w:tplc="2FB48596">
      <w:start w:val="1"/>
      <w:numFmt w:val="bullet"/>
      <w:lvlText w:val=""/>
      <w:lvlJc w:val="left"/>
      <w:pPr>
        <w:tabs>
          <w:tab w:val="num" w:pos="2160"/>
        </w:tabs>
        <w:ind w:left="2160" w:hanging="360"/>
      </w:pPr>
      <w:rPr>
        <w:rFonts w:ascii="Wingdings" w:hAnsi="Wingdings"/>
      </w:rPr>
    </w:lvl>
    <w:lvl w:ilvl="3" w:tplc="72C4533E">
      <w:start w:val="1"/>
      <w:numFmt w:val="bullet"/>
      <w:lvlText w:val=""/>
      <w:lvlJc w:val="left"/>
      <w:pPr>
        <w:tabs>
          <w:tab w:val="num" w:pos="2880"/>
        </w:tabs>
        <w:ind w:left="2880" w:hanging="360"/>
      </w:pPr>
      <w:rPr>
        <w:rFonts w:ascii="Symbol" w:hAnsi="Symbol"/>
      </w:rPr>
    </w:lvl>
    <w:lvl w:ilvl="4" w:tplc="F0FEE8F6">
      <w:start w:val="1"/>
      <w:numFmt w:val="bullet"/>
      <w:lvlText w:val="o"/>
      <w:lvlJc w:val="left"/>
      <w:pPr>
        <w:tabs>
          <w:tab w:val="num" w:pos="3600"/>
        </w:tabs>
        <w:ind w:left="3600" w:hanging="360"/>
      </w:pPr>
      <w:rPr>
        <w:rFonts w:ascii="Courier New" w:hAnsi="Courier New"/>
      </w:rPr>
    </w:lvl>
    <w:lvl w:ilvl="5" w:tplc="A55AFC34">
      <w:start w:val="1"/>
      <w:numFmt w:val="bullet"/>
      <w:lvlText w:val=""/>
      <w:lvlJc w:val="left"/>
      <w:pPr>
        <w:tabs>
          <w:tab w:val="num" w:pos="4320"/>
        </w:tabs>
        <w:ind w:left="4320" w:hanging="360"/>
      </w:pPr>
      <w:rPr>
        <w:rFonts w:ascii="Wingdings" w:hAnsi="Wingdings"/>
      </w:rPr>
    </w:lvl>
    <w:lvl w:ilvl="6" w:tplc="F75C48FC">
      <w:start w:val="1"/>
      <w:numFmt w:val="bullet"/>
      <w:lvlText w:val=""/>
      <w:lvlJc w:val="left"/>
      <w:pPr>
        <w:tabs>
          <w:tab w:val="num" w:pos="5040"/>
        </w:tabs>
        <w:ind w:left="5040" w:hanging="360"/>
      </w:pPr>
      <w:rPr>
        <w:rFonts w:ascii="Symbol" w:hAnsi="Symbol"/>
      </w:rPr>
    </w:lvl>
    <w:lvl w:ilvl="7" w:tplc="504006CC">
      <w:start w:val="1"/>
      <w:numFmt w:val="bullet"/>
      <w:lvlText w:val="o"/>
      <w:lvlJc w:val="left"/>
      <w:pPr>
        <w:tabs>
          <w:tab w:val="num" w:pos="5760"/>
        </w:tabs>
        <w:ind w:left="5760" w:hanging="360"/>
      </w:pPr>
      <w:rPr>
        <w:rFonts w:ascii="Courier New" w:hAnsi="Courier New"/>
      </w:rPr>
    </w:lvl>
    <w:lvl w:ilvl="8" w:tplc="FF4A6CE8">
      <w:start w:val="1"/>
      <w:numFmt w:val="bullet"/>
      <w:lvlText w:val=""/>
      <w:lvlJc w:val="left"/>
      <w:pPr>
        <w:tabs>
          <w:tab w:val="num" w:pos="6480"/>
        </w:tabs>
        <w:ind w:left="6480" w:hanging="360"/>
      </w:pPr>
      <w:rPr>
        <w:rFonts w:ascii="Wingdings" w:hAnsi="Wingdings"/>
      </w:rPr>
    </w:lvl>
  </w:abstractNum>
  <w:abstractNum w:abstractNumId="399" w15:restartNumberingAfterBreak="0">
    <w:nsid w:val="72230651"/>
    <w:multiLevelType w:val="hybridMultilevel"/>
    <w:tmpl w:val="72230651"/>
    <w:lvl w:ilvl="0" w:tplc="0286375C">
      <w:start w:val="1"/>
      <w:numFmt w:val="bullet"/>
      <w:lvlText w:val=""/>
      <w:lvlJc w:val="left"/>
      <w:pPr>
        <w:ind w:left="720" w:hanging="360"/>
      </w:pPr>
      <w:rPr>
        <w:rFonts w:ascii="Symbol" w:hAnsi="Symbol"/>
      </w:rPr>
    </w:lvl>
    <w:lvl w:ilvl="1" w:tplc="2228B530">
      <w:start w:val="1"/>
      <w:numFmt w:val="bullet"/>
      <w:lvlText w:val="o"/>
      <w:lvlJc w:val="left"/>
      <w:pPr>
        <w:tabs>
          <w:tab w:val="num" w:pos="1440"/>
        </w:tabs>
        <w:ind w:left="1440" w:hanging="360"/>
      </w:pPr>
      <w:rPr>
        <w:rFonts w:ascii="Courier New" w:hAnsi="Courier New"/>
      </w:rPr>
    </w:lvl>
    <w:lvl w:ilvl="2" w:tplc="6726BADA">
      <w:start w:val="1"/>
      <w:numFmt w:val="bullet"/>
      <w:lvlText w:val=""/>
      <w:lvlJc w:val="left"/>
      <w:pPr>
        <w:tabs>
          <w:tab w:val="num" w:pos="2160"/>
        </w:tabs>
        <w:ind w:left="2160" w:hanging="360"/>
      </w:pPr>
      <w:rPr>
        <w:rFonts w:ascii="Wingdings" w:hAnsi="Wingdings"/>
      </w:rPr>
    </w:lvl>
    <w:lvl w:ilvl="3" w:tplc="BCFEEF60">
      <w:start w:val="1"/>
      <w:numFmt w:val="bullet"/>
      <w:lvlText w:val=""/>
      <w:lvlJc w:val="left"/>
      <w:pPr>
        <w:tabs>
          <w:tab w:val="num" w:pos="2880"/>
        </w:tabs>
        <w:ind w:left="2880" w:hanging="360"/>
      </w:pPr>
      <w:rPr>
        <w:rFonts w:ascii="Symbol" w:hAnsi="Symbol"/>
      </w:rPr>
    </w:lvl>
    <w:lvl w:ilvl="4" w:tplc="B562FA2E">
      <w:start w:val="1"/>
      <w:numFmt w:val="bullet"/>
      <w:lvlText w:val="o"/>
      <w:lvlJc w:val="left"/>
      <w:pPr>
        <w:tabs>
          <w:tab w:val="num" w:pos="3600"/>
        </w:tabs>
        <w:ind w:left="3600" w:hanging="360"/>
      </w:pPr>
      <w:rPr>
        <w:rFonts w:ascii="Courier New" w:hAnsi="Courier New"/>
      </w:rPr>
    </w:lvl>
    <w:lvl w:ilvl="5" w:tplc="759C79A0">
      <w:start w:val="1"/>
      <w:numFmt w:val="bullet"/>
      <w:lvlText w:val=""/>
      <w:lvlJc w:val="left"/>
      <w:pPr>
        <w:tabs>
          <w:tab w:val="num" w:pos="4320"/>
        </w:tabs>
        <w:ind w:left="4320" w:hanging="360"/>
      </w:pPr>
      <w:rPr>
        <w:rFonts w:ascii="Wingdings" w:hAnsi="Wingdings"/>
      </w:rPr>
    </w:lvl>
    <w:lvl w:ilvl="6" w:tplc="67242F82">
      <w:start w:val="1"/>
      <w:numFmt w:val="bullet"/>
      <w:lvlText w:val=""/>
      <w:lvlJc w:val="left"/>
      <w:pPr>
        <w:tabs>
          <w:tab w:val="num" w:pos="5040"/>
        </w:tabs>
        <w:ind w:left="5040" w:hanging="360"/>
      </w:pPr>
      <w:rPr>
        <w:rFonts w:ascii="Symbol" w:hAnsi="Symbol"/>
      </w:rPr>
    </w:lvl>
    <w:lvl w:ilvl="7" w:tplc="F140C0EA">
      <w:start w:val="1"/>
      <w:numFmt w:val="bullet"/>
      <w:lvlText w:val="o"/>
      <w:lvlJc w:val="left"/>
      <w:pPr>
        <w:tabs>
          <w:tab w:val="num" w:pos="5760"/>
        </w:tabs>
        <w:ind w:left="5760" w:hanging="360"/>
      </w:pPr>
      <w:rPr>
        <w:rFonts w:ascii="Courier New" w:hAnsi="Courier New"/>
      </w:rPr>
    </w:lvl>
    <w:lvl w:ilvl="8" w:tplc="8A1A7AE8">
      <w:start w:val="1"/>
      <w:numFmt w:val="bullet"/>
      <w:lvlText w:val=""/>
      <w:lvlJc w:val="left"/>
      <w:pPr>
        <w:tabs>
          <w:tab w:val="num" w:pos="6480"/>
        </w:tabs>
        <w:ind w:left="6480" w:hanging="360"/>
      </w:pPr>
      <w:rPr>
        <w:rFonts w:ascii="Wingdings" w:hAnsi="Wingdings"/>
      </w:rPr>
    </w:lvl>
  </w:abstractNum>
  <w:abstractNum w:abstractNumId="400" w15:restartNumberingAfterBreak="0">
    <w:nsid w:val="72230652"/>
    <w:multiLevelType w:val="hybridMultilevel"/>
    <w:tmpl w:val="72230652"/>
    <w:lvl w:ilvl="0" w:tplc="A6101F04">
      <w:start w:val="1"/>
      <w:numFmt w:val="bullet"/>
      <w:lvlText w:val=""/>
      <w:lvlJc w:val="left"/>
      <w:pPr>
        <w:ind w:left="720" w:hanging="360"/>
      </w:pPr>
      <w:rPr>
        <w:rFonts w:ascii="Symbol" w:hAnsi="Symbol"/>
      </w:rPr>
    </w:lvl>
    <w:lvl w:ilvl="1" w:tplc="1C5E9900">
      <w:start w:val="1"/>
      <w:numFmt w:val="bullet"/>
      <w:lvlText w:val="o"/>
      <w:lvlJc w:val="left"/>
      <w:pPr>
        <w:tabs>
          <w:tab w:val="num" w:pos="1440"/>
        </w:tabs>
        <w:ind w:left="1440" w:hanging="360"/>
      </w:pPr>
      <w:rPr>
        <w:rFonts w:ascii="Courier New" w:hAnsi="Courier New"/>
      </w:rPr>
    </w:lvl>
    <w:lvl w:ilvl="2" w:tplc="06A2C024">
      <w:start w:val="1"/>
      <w:numFmt w:val="bullet"/>
      <w:lvlText w:val=""/>
      <w:lvlJc w:val="left"/>
      <w:pPr>
        <w:tabs>
          <w:tab w:val="num" w:pos="2160"/>
        </w:tabs>
        <w:ind w:left="2160" w:hanging="360"/>
      </w:pPr>
      <w:rPr>
        <w:rFonts w:ascii="Wingdings" w:hAnsi="Wingdings"/>
      </w:rPr>
    </w:lvl>
    <w:lvl w:ilvl="3" w:tplc="D23A8A32">
      <w:start w:val="1"/>
      <w:numFmt w:val="bullet"/>
      <w:lvlText w:val=""/>
      <w:lvlJc w:val="left"/>
      <w:pPr>
        <w:tabs>
          <w:tab w:val="num" w:pos="2880"/>
        </w:tabs>
        <w:ind w:left="2880" w:hanging="360"/>
      </w:pPr>
      <w:rPr>
        <w:rFonts w:ascii="Symbol" w:hAnsi="Symbol"/>
      </w:rPr>
    </w:lvl>
    <w:lvl w:ilvl="4" w:tplc="34E45974">
      <w:start w:val="1"/>
      <w:numFmt w:val="bullet"/>
      <w:lvlText w:val="o"/>
      <w:lvlJc w:val="left"/>
      <w:pPr>
        <w:tabs>
          <w:tab w:val="num" w:pos="3600"/>
        </w:tabs>
        <w:ind w:left="3600" w:hanging="360"/>
      </w:pPr>
      <w:rPr>
        <w:rFonts w:ascii="Courier New" w:hAnsi="Courier New"/>
      </w:rPr>
    </w:lvl>
    <w:lvl w:ilvl="5" w:tplc="3B8E329C">
      <w:start w:val="1"/>
      <w:numFmt w:val="bullet"/>
      <w:lvlText w:val=""/>
      <w:lvlJc w:val="left"/>
      <w:pPr>
        <w:tabs>
          <w:tab w:val="num" w:pos="4320"/>
        </w:tabs>
        <w:ind w:left="4320" w:hanging="360"/>
      </w:pPr>
      <w:rPr>
        <w:rFonts w:ascii="Wingdings" w:hAnsi="Wingdings"/>
      </w:rPr>
    </w:lvl>
    <w:lvl w:ilvl="6" w:tplc="EA08B9C2">
      <w:start w:val="1"/>
      <w:numFmt w:val="bullet"/>
      <w:lvlText w:val=""/>
      <w:lvlJc w:val="left"/>
      <w:pPr>
        <w:tabs>
          <w:tab w:val="num" w:pos="5040"/>
        </w:tabs>
        <w:ind w:left="5040" w:hanging="360"/>
      </w:pPr>
      <w:rPr>
        <w:rFonts w:ascii="Symbol" w:hAnsi="Symbol"/>
      </w:rPr>
    </w:lvl>
    <w:lvl w:ilvl="7" w:tplc="EF7E727C">
      <w:start w:val="1"/>
      <w:numFmt w:val="bullet"/>
      <w:lvlText w:val="o"/>
      <w:lvlJc w:val="left"/>
      <w:pPr>
        <w:tabs>
          <w:tab w:val="num" w:pos="5760"/>
        </w:tabs>
        <w:ind w:left="5760" w:hanging="360"/>
      </w:pPr>
      <w:rPr>
        <w:rFonts w:ascii="Courier New" w:hAnsi="Courier New"/>
      </w:rPr>
    </w:lvl>
    <w:lvl w:ilvl="8" w:tplc="8794ACC2">
      <w:start w:val="1"/>
      <w:numFmt w:val="bullet"/>
      <w:lvlText w:val=""/>
      <w:lvlJc w:val="left"/>
      <w:pPr>
        <w:tabs>
          <w:tab w:val="num" w:pos="6480"/>
        </w:tabs>
        <w:ind w:left="6480" w:hanging="360"/>
      </w:pPr>
      <w:rPr>
        <w:rFonts w:ascii="Wingdings" w:hAnsi="Wingdings"/>
      </w:rPr>
    </w:lvl>
  </w:abstractNum>
  <w:abstractNum w:abstractNumId="401" w15:restartNumberingAfterBreak="0">
    <w:nsid w:val="72230653"/>
    <w:multiLevelType w:val="hybridMultilevel"/>
    <w:tmpl w:val="72230653"/>
    <w:lvl w:ilvl="0" w:tplc="267CCF1E">
      <w:start w:val="1"/>
      <w:numFmt w:val="bullet"/>
      <w:lvlText w:val=""/>
      <w:lvlJc w:val="left"/>
      <w:pPr>
        <w:ind w:left="720" w:hanging="360"/>
      </w:pPr>
      <w:rPr>
        <w:rFonts w:ascii="Symbol" w:hAnsi="Symbol"/>
      </w:rPr>
    </w:lvl>
    <w:lvl w:ilvl="1" w:tplc="3702BA08">
      <w:start w:val="1"/>
      <w:numFmt w:val="bullet"/>
      <w:lvlText w:val="o"/>
      <w:lvlJc w:val="left"/>
      <w:pPr>
        <w:tabs>
          <w:tab w:val="num" w:pos="1440"/>
        </w:tabs>
        <w:ind w:left="1440" w:hanging="360"/>
      </w:pPr>
      <w:rPr>
        <w:rFonts w:ascii="Courier New" w:hAnsi="Courier New"/>
      </w:rPr>
    </w:lvl>
    <w:lvl w:ilvl="2" w:tplc="6F7205FA">
      <w:start w:val="1"/>
      <w:numFmt w:val="bullet"/>
      <w:lvlText w:val=""/>
      <w:lvlJc w:val="left"/>
      <w:pPr>
        <w:tabs>
          <w:tab w:val="num" w:pos="2160"/>
        </w:tabs>
        <w:ind w:left="2160" w:hanging="360"/>
      </w:pPr>
      <w:rPr>
        <w:rFonts w:ascii="Wingdings" w:hAnsi="Wingdings"/>
      </w:rPr>
    </w:lvl>
    <w:lvl w:ilvl="3" w:tplc="81DAFB28">
      <w:start w:val="1"/>
      <w:numFmt w:val="bullet"/>
      <w:lvlText w:val=""/>
      <w:lvlJc w:val="left"/>
      <w:pPr>
        <w:tabs>
          <w:tab w:val="num" w:pos="2880"/>
        </w:tabs>
        <w:ind w:left="2880" w:hanging="360"/>
      </w:pPr>
      <w:rPr>
        <w:rFonts w:ascii="Symbol" w:hAnsi="Symbol"/>
      </w:rPr>
    </w:lvl>
    <w:lvl w:ilvl="4" w:tplc="EF1A5CC4">
      <w:start w:val="1"/>
      <w:numFmt w:val="bullet"/>
      <w:lvlText w:val="o"/>
      <w:lvlJc w:val="left"/>
      <w:pPr>
        <w:tabs>
          <w:tab w:val="num" w:pos="3600"/>
        </w:tabs>
        <w:ind w:left="3600" w:hanging="360"/>
      </w:pPr>
      <w:rPr>
        <w:rFonts w:ascii="Courier New" w:hAnsi="Courier New"/>
      </w:rPr>
    </w:lvl>
    <w:lvl w:ilvl="5" w:tplc="3DF43550">
      <w:start w:val="1"/>
      <w:numFmt w:val="bullet"/>
      <w:lvlText w:val=""/>
      <w:lvlJc w:val="left"/>
      <w:pPr>
        <w:tabs>
          <w:tab w:val="num" w:pos="4320"/>
        </w:tabs>
        <w:ind w:left="4320" w:hanging="360"/>
      </w:pPr>
      <w:rPr>
        <w:rFonts w:ascii="Wingdings" w:hAnsi="Wingdings"/>
      </w:rPr>
    </w:lvl>
    <w:lvl w:ilvl="6" w:tplc="A5BA8410">
      <w:start w:val="1"/>
      <w:numFmt w:val="bullet"/>
      <w:lvlText w:val=""/>
      <w:lvlJc w:val="left"/>
      <w:pPr>
        <w:tabs>
          <w:tab w:val="num" w:pos="5040"/>
        </w:tabs>
        <w:ind w:left="5040" w:hanging="360"/>
      </w:pPr>
      <w:rPr>
        <w:rFonts w:ascii="Symbol" w:hAnsi="Symbol"/>
      </w:rPr>
    </w:lvl>
    <w:lvl w:ilvl="7" w:tplc="F5C62D92">
      <w:start w:val="1"/>
      <w:numFmt w:val="bullet"/>
      <w:lvlText w:val="o"/>
      <w:lvlJc w:val="left"/>
      <w:pPr>
        <w:tabs>
          <w:tab w:val="num" w:pos="5760"/>
        </w:tabs>
        <w:ind w:left="5760" w:hanging="360"/>
      </w:pPr>
      <w:rPr>
        <w:rFonts w:ascii="Courier New" w:hAnsi="Courier New"/>
      </w:rPr>
    </w:lvl>
    <w:lvl w:ilvl="8" w:tplc="8F867C00">
      <w:start w:val="1"/>
      <w:numFmt w:val="bullet"/>
      <w:lvlText w:val=""/>
      <w:lvlJc w:val="left"/>
      <w:pPr>
        <w:tabs>
          <w:tab w:val="num" w:pos="6480"/>
        </w:tabs>
        <w:ind w:left="6480" w:hanging="360"/>
      </w:pPr>
      <w:rPr>
        <w:rFonts w:ascii="Wingdings" w:hAnsi="Wingdings"/>
      </w:rPr>
    </w:lvl>
  </w:abstractNum>
  <w:abstractNum w:abstractNumId="402" w15:restartNumberingAfterBreak="0">
    <w:nsid w:val="72230654"/>
    <w:multiLevelType w:val="hybridMultilevel"/>
    <w:tmpl w:val="72230654"/>
    <w:lvl w:ilvl="0" w:tplc="43207F94">
      <w:start w:val="1"/>
      <w:numFmt w:val="bullet"/>
      <w:lvlText w:val=""/>
      <w:lvlJc w:val="left"/>
      <w:pPr>
        <w:ind w:left="720" w:hanging="360"/>
      </w:pPr>
      <w:rPr>
        <w:rFonts w:ascii="Symbol" w:hAnsi="Symbol"/>
      </w:rPr>
    </w:lvl>
    <w:lvl w:ilvl="1" w:tplc="BE766D90">
      <w:start w:val="1"/>
      <w:numFmt w:val="bullet"/>
      <w:lvlText w:val="o"/>
      <w:lvlJc w:val="left"/>
      <w:pPr>
        <w:ind w:left="1440" w:hanging="360"/>
      </w:pPr>
      <w:rPr>
        <w:rFonts w:ascii="Courier New" w:hAnsi="Courier New"/>
      </w:rPr>
    </w:lvl>
    <w:lvl w:ilvl="2" w:tplc="A5F4FB1C">
      <w:start w:val="1"/>
      <w:numFmt w:val="bullet"/>
      <w:lvlText w:val=""/>
      <w:lvlJc w:val="left"/>
      <w:pPr>
        <w:tabs>
          <w:tab w:val="num" w:pos="2160"/>
        </w:tabs>
        <w:ind w:left="2160" w:hanging="360"/>
      </w:pPr>
      <w:rPr>
        <w:rFonts w:ascii="Wingdings" w:hAnsi="Wingdings"/>
      </w:rPr>
    </w:lvl>
    <w:lvl w:ilvl="3" w:tplc="2A9608F2">
      <w:start w:val="1"/>
      <w:numFmt w:val="bullet"/>
      <w:lvlText w:val=""/>
      <w:lvlJc w:val="left"/>
      <w:pPr>
        <w:tabs>
          <w:tab w:val="num" w:pos="2880"/>
        </w:tabs>
        <w:ind w:left="2880" w:hanging="360"/>
      </w:pPr>
      <w:rPr>
        <w:rFonts w:ascii="Symbol" w:hAnsi="Symbol"/>
      </w:rPr>
    </w:lvl>
    <w:lvl w:ilvl="4" w:tplc="915E6A68">
      <w:start w:val="1"/>
      <w:numFmt w:val="bullet"/>
      <w:lvlText w:val="o"/>
      <w:lvlJc w:val="left"/>
      <w:pPr>
        <w:tabs>
          <w:tab w:val="num" w:pos="3600"/>
        </w:tabs>
        <w:ind w:left="3600" w:hanging="360"/>
      </w:pPr>
      <w:rPr>
        <w:rFonts w:ascii="Courier New" w:hAnsi="Courier New"/>
      </w:rPr>
    </w:lvl>
    <w:lvl w:ilvl="5" w:tplc="6F3A9DA2">
      <w:start w:val="1"/>
      <w:numFmt w:val="bullet"/>
      <w:lvlText w:val=""/>
      <w:lvlJc w:val="left"/>
      <w:pPr>
        <w:tabs>
          <w:tab w:val="num" w:pos="4320"/>
        </w:tabs>
        <w:ind w:left="4320" w:hanging="360"/>
      </w:pPr>
      <w:rPr>
        <w:rFonts w:ascii="Wingdings" w:hAnsi="Wingdings"/>
      </w:rPr>
    </w:lvl>
    <w:lvl w:ilvl="6" w:tplc="E230EC4A">
      <w:start w:val="1"/>
      <w:numFmt w:val="bullet"/>
      <w:lvlText w:val=""/>
      <w:lvlJc w:val="left"/>
      <w:pPr>
        <w:tabs>
          <w:tab w:val="num" w:pos="5040"/>
        </w:tabs>
        <w:ind w:left="5040" w:hanging="360"/>
      </w:pPr>
      <w:rPr>
        <w:rFonts w:ascii="Symbol" w:hAnsi="Symbol"/>
      </w:rPr>
    </w:lvl>
    <w:lvl w:ilvl="7" w:tplc="67C8D1CE">
      <w:start w:val="1"/>
      <w:numFmt w:val="bullet"/>
      <w:lvlText w:val="o"/>
      <w:lvlJc w:val="left"/>
      <w:pPr>
        <w:tabs>
          <w:tab w:val="num" w:pos="5760"/>
        </w:tabs>
        <w:ind w:left="5760" w:hanging="360"/>
      </w:pPr>
      <w:rPr>
        <w:rFonts w:ascii="Courier New" w:hAnsi="Courier New"/>
      </w:rPr>
    </w:lvl>
    <w:lvl w:ilvl="8" w:tplc="45124B20">
      <w:start w:val="1"/>
      <w:numFmt w:val="bullet"/>
      <w:lvlText w:val=""/>
      <w:lvlJc w:val="left"/>
      <w:pPr>
        <w:tabs>
          <w:tab w:val="num" w:pos="6480"/>
        </w:tabs>
        <w:ind w:left="6480" w:hanging="360"/>
      </w:pPr>
      <w:rPr>
        <w:rFonts w:ascii="Wingdings" w:hAnsi="Wingdings"/>
      </w:rPr>
    </w:lvl>
  </w:abstractNum>
  <w:abstractNum w:abstractNumId="403" w15:restartNumberingAfterBreak="0">
    <w:nsid w:val="72230655"/>
    <w:multiLevelType w:val="hybridMultilevel"/>
    <w:tmpl w:val="72230655"/>
    <w:lvl w:ilvl="0" w:tplc="A0080286">
      <w:start w:val="1"/>
      <w:numFmt w:val="bullet"/>
      <w:lvlText w:val=""/>
      <w:lvlJc w:val="left"/>
      <w:pPr>
        <w:ind w:left="720" w:hanging="360"/>
      </w:pPr>
      <w:rPr>
        <w:rFonts w:ascii="Symbol" w:hAnsi="Symbol"/>
      </w:rPr>
    </w:lvl>
    <w:lvl w:ilvl="1" w:tplc="0AFE28F6">
      <w:start w:val="1"/>
      <w:numFmt w:val="bullet"/>
      <w:lvlText w:val="o"/>
      <w:lvlJc w:val="left"/>
      <w:pPr>
        <w:ind w:left="1440" w:hanging="360"/>
      </w:pPr>
      <w:rPr>
        <w:rFonts w:ascii="Courier New" w:hAnsi="Courier New"/>
      </w:rPr>
    </w:lvl>
    <w:lvl w:ilvl="2" w:tplc="F148E752">
      <w:start w:val="1"/>
      <w:numFmt w:val="bullet"/>
      <w:lvlText w:val=""/>
      <w:lvlJc w:val="left"/>
      <w:pPr>
        <w:tabs>
          <w:tab w:val="num" w:pos="2160"/>
        </w:tabs>
        <w:ind w:left="2160" w:hanging="360"/>
      </w:pPr>
      <w:rPr>
        <w:rFonts w:ascii="Wingdings" w:hAnsi="Wingdings"/>
      </w:rPr>
    </w:lvl>
    <w:lvl w:ilvl="3" w:tplc="CBB47050">
      <w:start w:val="1"/>
      <w:numFmt w:val="bullet"/>
      <w:lvlText w:val=""/>
      <w:lvlJc w:val="left"/>
      <w:pPr>
        <w:tabs>
          <w:tab w:val="num" w:pos="2880"/>
        </w:tabs>
        <w:ind w:left="2880" w:hanging="360"/>
      </w:pPr>
      <w:rPr>
        <w:rFonts w:ascii="Symbol" w:hAnsi="Symbol"/>
      </w:rPr>
    </w:lvl>
    <w:lvl w:ilvl="4" w:tplc="28E2BD36">
      <w:start w:val="1"/>
      <w:numFmt w:val="bullet"/>
      <w:lvlText w:val="o"/>
      <w:lvlJc w:val="left"/>
      <w:pPr>
        <w:tabs>
          <w:tab w:val="num" w:pos="3600"/>
        </w:tabs>
        <w:ind w:left="3600" w:hanging="360"/>
      </w:pPr>
      <w:rPr>
        <w:rFonts w:ascii="Courier New" w:hAnsi="Courier New"/>
      </w:rPr>
    </w:lvl>
    <w:lvl w:ilvl="5" w:tplc="409AB9A6">
      <w:start w:val="1"/>
      <w:numFmt w:val="bullet"/>
      <w:lvlText w:val=""/>
      <w:lvlJc w:val="left"/>
      <w:pPr>
        <w:tabs>
          <w:tab w:val="num" w:pos="4320"/>
        </w:tabs>
        <w:ind w:left="4320" w:hanging="360"/>
      </w:pPr>
      <w:rPr>
        <w:rFonts w:ascii="Wingdings" w:hAnsi="Wingdings"/>
      </w:rPr>
    </w:lvl>
    <w:lvl w:ilvl="6" w:tplc="B90CA364">
      <w:start w:val="1"/>
      <w:numFmt w:val="bullet"/>
      <w:lvlText w:val=""/>
      <w:lvlJc w:val="left"/>
      <w:pPr>
        <w:tabs>
          <w:tab w:val="num" w:pos="5040"/>
        </w:tabs>
        <w:ind w:left="5040" w:hanging="360"/>
      </w:pPr>
      <w:rPr>
        <w:rFonts w:ascii="Symbol" w:hAnsi="Symbol"/>
      </w:rPr>
    </w:lvl>
    <w:lvl w:ilvl="7" w:tplc="B1AA3F08">
      <w:start w:val="1"/>
      <w:numFmt w:val="bullet"/>
      <w:lvlText w:val="o"/>
      <w:lvlJc w:val="left"/>
      <w:pPr>
        <w:tabs>
          <w:tab w:val="num" w:pos="5760"/>
        </w:tabs>
        <w:ind w:left="5760" w:hanging="360"/>
      </w:pPr>
      <w:rPr>
        <w:rFonts w:ascii="Courier New" w:hAnsi="Courier New"/>
      </w:rPr>
    </w:lvl>
    <w:lvl w:ilvl="8" w:tplc="81704D5E">
      <w:start w:val="1"/>
      <w:numFmt w:val="bullet"/>
      <w:lvlText w:val=""/>
      <w:lvlJc w:val="left"/>
      <w:pPr>
        <w:tabs>
          <w:tab w:val="num" w:pos="6480"/>
        </w:tabs>
        <w:ind w:left="6480" w:hanging="360"/>
      </w:pPr>
      <w:rPr>
        <w:rFonts w:ascii="Wingdings" w:hAnsi="Wingdings"/>
      </w:rPr>
    </w:lvl>
  </w:abstractNum>
  <w:abstractNum w:abstractNumId="404" w15:restartNumberingAfterBreak="0">
    <w:nsid w:val="72230656"/>
    <w:multiLevelType w:val="hybridMultilevel"/>
    <w:tmpl w:val="72230656"/>
    <w:lvl w:ilvl="0" w:tplc="8EC0E068">
      <w:start w:val="1"/>
      <w:numFmt w:val="bullet"/>
      <w:lvlText w:val=""/>
      <w:lvlJc w:val="left"/>
      <w:pPr>
        <w:ind w:left="720" w:hanging="360"/>
      </w:pPr>
      <w:rPr>
        <w:rFonts w:ascii="Symbol" w:hAnsi="Symbol"/>
      </w:rPr>
    </w:lvl>
    <w:lvl w:ilvl="1" w:tplc="8E8E6130">
      <w:start w:val="1"/>
      <w:numFmt w:val="bullet"/>
      <w:lvlText w:val="o"/>
      <w:lvlJc w:val="left"/>
      <w:pPr>
        <w:tabs>
          <w:tab w:val="num" w:pos="1440"/>
        </w:tabs>
        <w:ind w:left="1440" w:hanging="360"/>
      </w:pPr>
      <w:rPr>
        <w:rFonts w:ascii="Courier New" w:hAnsi="Courier New"/>
      </w:rPr>
    </w:lvl>
    <w:lvl w:ilvl="2" w:tplc="D840BE40">
      <w:start w:val="1"/>
      <w:numFmt w:val="bullet"/>
      <w:lvlText w:val=""/>
      <w:lvlJc w:val="left"/>
      <w:pPr>
        <w:tabs>
          <w:tab w:val="num" w:pos="2160"/>
        </w:tabs>
        <w:ind w:left="2160" w:hanging="360"/>
      </w:pPr>
      <w:rPr>
        <w:rFonts w:ascii="Wingdings" w:hAnsi="Wingdings"/>
      </w:rPr>
    </w:lvl>
    <w:lvl w:ilvl="3" w:tplc="2BF82C9E">
      <w:start w:val="1"/>
      <w:numFmt w:val="bullet"/>
      <w:lvlText w:val=""/>
      <w:lvlJc w:val="left"/>
      <w:pPr>
        <w:tabs>
          <w:tab w:val="num" w:pos="2880"/>
        </w:tabs>
        <w:ind w:left="2880" w:hanging="360"/>
      </w:pPr>
      <w:rPr>
        <w:rFonts w:ascii="Symbol" w:hAnsi="Symbol"/>
      </w:rPr>
    </w:lvl>
    <w:lvl w:ilvl="4" w:tplc="22B625EE">
      <w:start w:val="1"/>
      <w:numFmt w:val="bullet"/>
      <w:lvlText w:val="o"/>
      <w:lvlJc w:val="left"/>
      <w:pPr>
        <w:tabs>
          <w:tab w:val="num" w:pos="3600"/>
        </w:tabs>
        <w:ind w:left="3600" w:hanging="360"/>
      </w:pPr>
      <w:rPr>
        <w:rFonts w:ascii="Courier New" w:hAnsi="Courier New"/>
      </w:rPr>
    </w:lvl>
    <w:lvl w:ilvl="5" w:tplc="A490AE3A">
      <w:start w:val="1"/>
      <w:numFmt w:val="bullet"/>
      <w:lvlText w:val=""/>
      <w:lvlJc w:val="left"/>
      <w:pPr>
        <w:tabs>
          <w:tab w:val="num" w:pos="4320"/>
        </w:tabs>
        <w:ind w:left="4320" w:hanging="360"/>
      </w:pPr>
      <w:rPr>
        <w:rFonts w:ascii="Wingdings" w:hAnsi="Wingdings"/>
      </w:rPr>
    </w:lvl>
    <w:lvl w:ilvl="6" w:tplc="97623182">
      <w:start w:val="1"/>
      <w:numFmt w:val="bullet"/>
      <w:lvlText w:val=""/>
      <w:lvlJc w:val="left"/>
      <w:pPr>
        <w:tabs>
          <w:tab w:val="num" w:pos="5040"/>
        </w:tabs>
        <w:ind w:left="5040" w:hanging="360"/>
      </w:pPr>
      <w:rPr>
        <w:rFonts w:ascii="Symbol" w:hAnsi="Symbol"/>
      </w:rPr>
    </w:lvl>
    <w:lvl w:ilvl="7" w:tplc="BE08EE3A">
      <w:start w:val="1"/>
      <w:numFmt w:val="bullet"/>
      <w:lvlText w:val="o"/>
      <w:lvlJc w:val="left"/>
      <w:pPr>
        <w:tabs>
          <w:tab w:val="num" w:pos="5760"/>
        </w:tabs>
        <w:ind w:left="5760" w:hanging="360"/>
      </w:pPr>
      <w:rPr>
        <w:rFonts w:ascii="Courier New" w:hAnsi="Courier New"/>
      </w:rPr>
    </w:lvl>
    <w:lvl w:ilvl="8" w:tplc="BBECE29E">
      <w:start w:val="1"/>
      <w:numFmt w:val="bullet"/>
      <w:lvlText w:val=""/>
      <w:lvlJc w:val="left"/>
      <w:pPr>
        <w:tabs>
          <w:tab w:val="num" w:pos="6480"/>
        </w:tabs>
        <w:ind w:left="6480" w:hanging="360"/>
      </w:pPr>
      <w:rPr>
        <w:rFonts w:ascii="Wingdings" w:hAnsi="Wingdings"/>
      </w:rPr>
    </w:lvl>
  </w:abstractNum>
  <w:abstractNum w:abstractNumId="405" w15:restartNumberingAfterBreak="0">
    <w:nsid w:val="72230657"/>
    <w:multiLevelType w:val="hybridMultilevel"/>
    <w:tmpl w:val="72230657"/>
    <w:lvl w:ilvl="0" w:tplc="BEA663A8">
      <w:start w:val="1"/>
      <w:numFmt w:val="bullet"/>
      <w:lvlText w:val=""/>
      <w:lvlJc w:val="left"/>
      <w:pPr>
        <w:ind w:left="720" w:hanging="360"/>
      </w:pPr>
      <w:rPr>
        <w:rFonts w:ascii="Symbol" w:hAnsi="Symbol"/>
      </w:rPr>
    </w:lvl>
    <w:lvl w:ilvl="1" w:tplc="AD844334">
      <w:start w:val="1"/>
      <w:numFmt w:val="bullet"/>
      <w:lvlText w:val="o"/>
      <w:lvlJc w:val="left"/>
      <w:pPr>
        <w:tabs>
          <w:tab w:val="num" w:pos="1440"/>
        </w:tabs>
        <w:ind w:left="1440" w:hanging="360"/>
      </w:pPr>
      <w:rPr>
        <w:rFonts w:ascii="Courier New" w:hAnsi="Courier New"/>
      </w:rPr>
    </w:lvl>
    <w:lvl w:ilvl="2" w:tplc="A53C91FC">
      <w:start w:val="1"/>
      <w:numFmt w:val="bullet"/>
      <w:lvlText w:val=""/>
      <w:lvlJc w:val="left"/>
      <w:pPr>
        <w:tabs>
          <w:tab w:val="num" w:pos="2160"/>
        </w:tabs>
        <w:ind w:left="2160" w:hanging="360"/>
      </w:pPr>
      <w:rPr>
        <w:rFonts w:ascii="Wingdings" w:hAnsi="Wingdings"/>
      </w:rPr>
    </w:lvl>
    <w:lvl w:ilvl="3" w:tplc="0F9C2AB0">
      <w:start w:val="1"/>
      <w:numFmt w:val="bullet"/>
      <w:lvlText w:val=""/>
      <w:lvlJc w:val="left"/>
      <w:pPr>
        <w:tabs>
          <w:tab w:val="num" w:pos="2880"/>
        </w:tabs>
        <w:ind w:left="2880" w:hanging="360"/>
      </w:pPr>
      <w:rPr>
        <w:rFonts w:ascii="Symbol" w:hAnsi="Symbol"/>
      </w:rPr>
    </w:lvl>
    <w:lvl w:ilvl="4" w:tplc="24C85754">
      <w:start w:val="1"/>
      <w:numFmt w:val="bullet"/>
      <w:lvlText w:val="o"/>
      <w:lvlJc w:val="left"/>
      <w:pPr>
        <w:tabs>
          <w:tab w:val="num" w:pos="3600"/>
        </w:tabs>
        <w:ind w:left="3600" w:hanging="360"/>
      </w:pPr>
      <w:rPr>
        <w:rFonts w:ascii="Courier New" w:hAnsi="Courier New"/>
      </w:rPr>
    </w:lvl>
    <w:lvl w:ilvl="5" w:tplc="CD1C56F4">
      <w:start w:val="1"/>
      <w:numFmt w:val="bullet"/>
      <w:lvlText w:val=""/>
      <w:lvlJc w:val="left"/>
      <w:pPr>
        <w:tabs>
          <w:tab w:val="num" w:pos="4320"/>
        </w:tabs>
        <w:ind w:left="4320" w:hanging="360"/>
      </w:pPr>
      <w:rPr>
        <w:rFonts w:ascii="Wingdings" w:hAnsi="Wingdings"/>
      </w:rPr>
    </w:lvl>
    <w:lvl w:ilvl="6" w:tplc="4C80405C">
      <w:start w:val="1"/>
      <w:numFmt w:val="bullet"/>
      <w:lvlText w:val=""/>
      <w:lvlJc w:val="left"/>
      <w:pPr>
        <w:tabs>
          <w:tab w:val="num" w:pos="5040"/>
        </w:tabs>
        <w:ind w:left="5040" w:hanging="360"/>
      </w:pPr>
      <w:rPr>
        <w:rFonts w:ascii="Symbol" w:hAnsi="Symbol"/>
      </w:rPr>
    </w:lvl>
    <w:lvl w:ilvl="7" w:tplc="8F0A06D0">
      <w:start w:val="1"/>
      <w:numFmt w:val="bullet"/>
      <w:lvlText w:val="o"/>
      <w:lvlJc w:val="left"/>
      <w:pPr>
        <w:tabs>
          <w:tab w:val="num" w:pos="5760"/>
        </w:tabs>
        <w:ind w:left="5760" w:hanging="360"/>
      </w:pPr>
      <w:rPr>
        <w:rFonts w:ascii="Courier New" w:hAnsi="Courier New"/>
      </w:rPr>
    </w:lvl>
    <w:lvl w:ilvl="8" w:tplc="9E54739E">
      <w:start w:val="1"/>
      <w:numFmt w:val="bullet"/>
      <w:lvlText w:val=""/>
      <w:lvlJc w:val="left"/>
      <w:pPr>
        <w:tabs>
          <w:tab w:val="num" w:pos="6480"/>
        </w:tabs>
        <w:ind w:left="6480" w:hanging="360"/>
      </w:pPr>
      <w:rPr>
        <w:rFonts w:ascii="Wingdings" w:hAnsi="Wingdings"/>
      </w:rPr>
    </w:lvl>
  </w:abstractNum>
  <w:abstractNum w:abstractNumId="406" w15:restartNumberingAfterBreak="0">
    <w:nsid w:val="72230658"/>
    <w:multiLevelType w:val="hybridMultilevel"/>
    <w:tmpl w:val="72230658"/>
    <w:lvl w:ilvl="0" w:tplc="13CCD566">
      <w:start w:val="1"/>
      <w:numFmt w:val="bullet"/>
      <w:lvlText w:val=""/>
      <w:lvlJc w:val="left"/>
      <w:pPr>
        <w:ind w:left="720" w:hanging="360"/>
      </w:pPr>
      <w:rPr>
        <w:rFonts w:ascii="Symbol" w:hAnsi="Symbol"/>
      </w:rPr>
    </w:lvl>
    <w:lvl w:ilvl="1" w:tplc="28049752">
      <w:start w:val="1"/>
      <w:numFmt w:val="bullet"/>
      <w:lvlText w:val="o"/>
      <w:lvlJc w:val="left"/>
      <w:pPr>
        <w:ind w:left="1440" w:hanging="360"/>
      </w:pPr>
      <w:rPr>
        <w:rFonts w:ascii="Courier New" w:hAnsi="Courier New"/>
      </w:rPr>
    </w:lvl>
    <w:lvl w:ilvl="2" w:tplc="88CC9096">
      <w:start w:val="1"/>
      <w:numFmt w:val="bullet"/>
      <w:lvlText w:val=""/>
      <w:lvlJc w:val="left"/>
      <w:pPr>
        <w:tabs>
          <w:tab w:val="num" w:pos="2160"/>
        </w:tabs>
        <w:ind w:left="2160" w:hanging="360"/>
      </w:pPr>
      <w:rPr>
        <w:rFonts w:ascii="Wingdings" w:hAnsi="Wingdings"/>
      </w:rPr>
    </w:lvl>
    <w:lvl w:ilvl="3" w:tplc="69CA0972">
      <w:start w:val="1"/>
      <w:numFmt w:val="bullet"/>
      <w:lvlText w:val=""/>
      <w:lvlJc w:val="left"/>
      <w:pPr>
        <w:tabs>
          <w:tab w:val="num" w:pos="2880"/>
        </w:tabs>
        <w:ind w:left="2880" w:hanging="360"/>
      </w:pPr>
      <w:rPr>
        <w:rFonts w:ascii="Symbol" w:hAnsi="Symbol"/>
      </w:rPr>
    </w:lvl>
    <w:lvl w:ilvl="4" w:tplc="AB58D2B8">
      <w:start w:val="1"/>
      <w:numFmt w:val="bullet"/>
      <w:lvlText w:val="o"/>
      <w:lvlJc w:val="left"/>
      <w:pPr>
        <w:tabs>
          <w:tab w:val="num" w:pos="3600"/>
        </w:tabs>
        <w:ind w:left="3600" w:hanging="360"/>
      </w:pPr>
      <w:rPr>
        <w:rFonts w:ascii="Courier New" w:hAnsi="Courier New"/>
      </w:rPr>
    </w:lvl>
    <w:lvl w:ilvl="5" w:tplc="6CF0D64A">
      <w:start w:val="1"/>
      <w:numFmt w:val="bullet"/>
      <w:lvlText w:val=""/>
      <w:lvlJc w:val="left"/>
      <w:pPr>
        <w:tabs>
          <w:tab w:val="num" w:pos="4320"/>
        </w:tabs>
        <w:ind w:left="4320" w:hanging="360"/>
      </w:pPr>
      <w:rPr>
        <w:rFonts w:ascii="Wingdings" w:hAnsi="Wingdings"/>
      </w:rPr>
    </w:lvl>
    <w:lvl w:ilvl="6" w:tplc="8190FC76">
      <w:start w:val="1"/>
      <w:numFmt w:val="bullet"/>
      <w:lvlText w:val=""/>
      <w:lvlJc w:val="left"/>
      <w:pPr>
        <w:tabs>
          <w:tab w:val="num" w:pos="5040"/>
        </w:tabs>
        <w:ind w:left="5040" w:hanging="360"/>
      </w:pPr>
      <w:rPr>
        <w:rFonts w:ascii="Symbol" w:hAnsi="Symbol"/>
      </w:rPr>
    </w:lvl>
    <w:lvl w:ilvl="7" w:tplc="DDBAA9F2">
      <w:start w:val="1"/>
      <w:numFmt w:val="bullet"/>
      <w:lvlText w:val="o"/>
      <w:lvlJc w:val="left"/>
      <w:pPr>
        <w:tabs>
          <w:tab w:val="num" w:pos="5760"/>
        </w:tabs>
        <w:ind w:left="5760" w:hanging="360"/>
      </w:pPr>
      <w:rPr>
        <w:rFonts w:ascii="Courier New" w:hAnsi="Courier New"/>
      </w:rPr>
    </w:lvl>
    <w:lvl w:ilvl="8" w:tplc="28FEF382">
      <w:start w:val="1"/>
      <w:numFmt w:val="bullet"/>
      <w:lvlText w:val=""/>
      <w:lvlJc w:val="left"/>
      <w:pPr>
        <w:tabs>
          <w:tab w:val="num" w:pos="6480"/>
        </w:tabs>
        <w:ind w:left="6480" w:hanging="360"/>
      </w:pPr>
      <w:rPr>
        <w:rFonts w:ascii="Wingdings" w:hAnsi="Wingdings"/>
      </w:rPr>
    </w:lvl>
  </w:abstractNum>
  <w:abstractNum w:abstractNumId="407" w15:restartNumberingAfterBreak="0">
    <w:nsid w:val="72230659"/>
    <w:multiLevelType w:val="hybridMultilevel"/>
    <w:tmpl w:val="72230659"/>
    <w:lvl w:ilvl="0" w:tplc="DC624870">
      <w:start w:val="1"/>
      <w:numFmt w:val="bullet"/>
      <w:lvlText w:val=""/>
      <w:lvlJc w:val="left"/>
      <w:pPr>
        <w:ind w:left="720" w:hanging="360"/>
      </w:pPr>
      <w:rPr>
        <w:rFonts w:ascii="Symbol" w:hAnsi="Symbol"/>
      </w:rPr>
    </w:lvl>
    <w:lvl w:ilvl="1" w:tplc="506E0EBE">
      <w:start w:val="1"/>
      <w:numFmt w:val="bullet"/>
      <w:lvlText w:val="o"/>
      <w:lvlJc w:val="left"/>
      <w:pPr>
        <w:tabs>
          <w:tab w:val="num" w:pos="1440"/>
        </w:tabs>
        <w:ind w:left="1440" w:hanging="360"/>
      </w:pPr>
      <w:rPr>
        <w:rFonts w:ascii="Courier New" w:hAnsi="Courier New"/>
      </w:rPr>
    </w:lvl>
    <w:lvl w:ilvl="2" w:tplc="0504D2EA">
      <w:start w:val="1"/>
      <w:numFmt w:val="bullet"/>
      <w:lvlText w:val=""/>
      <w:lvlJc w:val="left"/>
      <w:pPr>
        <w:tabs>
          <w:tab w:val="num" w:pos="2160"/>
        </w:tabs>
        <w:ind w:left="2160" w:hanging="360"/>
      </w:pPr>
      <w:rPr>
        <w:rFonts w:ascii="Wingdings" w:hAnsi="Wingdings"/>
      </w:rPr>
    </w:lvl>
    <w:lvl w:ilvl="3" w:tplc="0746436E">
      <w:start w:val="1"/>
      <w:numFmt w:val="bullet"/>
      <w:lvlText w:val=""/>
      <w:lvlJc w:val="left"/>
      <w:pPr>
        <w:tabs>
          <w:tab w:val="num" w:pos="2880"/>
        </w:tabs>
        <w:ind w:left="2880" w:hanging="360"/>
      </w:pPr>
      <w:rPr>
        <w:rFonts w:ascii="Symbol" w:hAnsi="Symbol"/>
      </w:rPr>
    </w:lvl>
    <w:lvl w:ilvl="4" w:tplc="4F20082A">
      <w:start w:val="1"/>
      <w:numFmt w:val="bullet"/>
      <w:lvlText w:val="o"/>
      <w:lvlJc w:val="left"/>
      <w:pPr>
        <w:tabs>
          <w:tab w:val="num" w:pos="3600"/>
        </w:tabs>
        <w:ind w:left="3600" w:hanging="360"/>
      </w:pPr>
      <w:rPr>
        <w:rFonts w:ascii="Courier New" w:hAnsi="Courier New"/>
      </w:rPr>
    </w:lvl>
    <w:lvl w:ilvl="5" w:tplc="AD3C7C96">
      <w:start w:val="1"/>
      <w:numFmt w:val="bullet"/>
      <w:lvlText w:val=""/>
      <w:lvlJc w:val="left"/>
      <w:pPr>
        <w:tabs>
          <w:tab w:val="num" w:pos="4320"/>
        </w:tabs>
        <w:ind w:left="4320" w:hanging="360"/>
      </w:pPr>
      <w:rPr>
        <w:rFonts w:ascii="Wingdings" w:hAnsi="Wingdings"/>
      </w:rPr>
    </w:lvl>
    <w:lvl w:ilvl="6" w:tplc="1EA4C8DA">
      <w:start w:val="1"/>
      <w:numFmt w:val="bullet"/>
      <w:lvlText w:val=""/>
      <w:lvlJc w:val="left"/>
      <w:pPr>
        <w:tabs>
          <w:tab w:val="num" w:pos="5040"/>
        </w:tabs>
        <w:ind w:left="5040" w:hanging="360"/>
      </w:pPr>
      <w:rPr>
        <w:rFonts w:ascii="Symbol" w:hAnsi="Symbol"/>
      </w:rPr>
    </w:lvl>
    <w:lvl w:ilvl="7" w:tplc="E3D85212">
      <w:start w:val="1"/>
      <w:numFmt w:val="bullet"/>
      <w:lvlText w:val="o"/>
      <w:lvlJc w:val="left"/>
      <w:pPr>
        <w:tabs>
          <w:tab w:val="num" w:pos="5760"/>
        </w:tabs>
        <w:ind w:left="5760" w:hanging="360"/>
      </w:pPr>
      <w:rPr>
        <w:rFonts w:ascii="Courier New" w:hAnsi="Courier New"/>
      </w:rPr>
    </w:lvl>
    <w:lvl w:ilvl="8" w:tplc="F516CEC8">
      <w:start w:val="1"/>
      <w:numFmt w:val="bullet"/>
      <w:lvlText w:val=""/>
      <w:lvlJc w:val="left"/>
      <w:pPr>
        <w:tabs>
          <w:tab w:val="num" w:pos="6480"/>
        </w:tabs>
        <w:ind w:left="6480" w:hanging="360"/>
      </w:pPr>
      <w:rPr>
        <w:rFonts w:ascii="Wingdings" w:hAnsi="Wingdings"/>
      </w:rPr>
    </w:lvl>
  </w:abstractNum>
  <w:abstractNum w:abstractNumId="408" w15:restartNumberingAfterBreak="0">
    <w:nsid w:val="7223065A"/>
    <w:multiLevelType w:val="hybridMultilevel"/>
    <w:tmpl w:val="7223065A"/>
    <w:lvl w:ilvl="0" w:tplc="AC70BFE8">
      <w:start w:val="1"/>
      <w:numFmt w:val="bullet"/>
      <w:lvlText w:val=""/>
      <w:lvlJc w:val="left"/>
      <w:pPr>
        <w:ind w:left="720" w:hanging="360"/>
      </w:pPr>
      <w:rPr>
        <w:rFonts w:ascii="Symbol" w:hAnsi="Symbol"/>
      </w:rPr>
    </w:lvl>
    <w:lvl w:ilvl="1" w:tplc="A35C85C6">
      <w:start w:val="1"/>
      <w:numFmt w:val="bullet"/>
      <w:lvlText w:val="o"/>
      <w:lvlJc w:val="left"/>
      <w:pPr>
        <w:ind w:left="1440" w:hanging="360"/>
      </w:pPr>
      <w:rPr>
        <w:rFonts w:ascii="Courier New" w:hAnsi="Courier New"/>
      </w:rPr>
    </w:lvl>
    <w:lvl w:ilvl="2" w:tplc="86A60668">
      <w:start w:val="1"/>
      <w:numFmt w:val="bullet"/>
      <w:lvlText w:val=""/>
      <w:lvlJc w:val="left"/>
      <w:pPr>
        <w:tabs>
          <w:tab w:val="num" w:pos="2160"/>
        </w:tabs>
        <w:ind w:left="2160" w:hanging="360"/>
      </w:pPr>
      <w:rPr>
        <w:rFonts w:ascii="Wingdings" w:hAnsi="Wingdings"/>
      </w:rPr>
    </w:lvl>
    <w:lvl w:ilvl="3" w:tplc="2418227A">
      <w:start w:val="1"/>
      <w:numFmt w:val="bullet"/>
      <w:lvlText w:val=""/>
      <w:lvlJc w:val="left"/>
      <w:pPr>
        <w:tabs>
          <w:tab w:val="num" w:pos="2880"/>
        </w:tabs>
        <w:ind w:left="2880" w:hanging="360"/>
      </w:pPr>
      <w:rPr>
        <w:rFonts w:ascii="Symbol" w:hAnsi="Symbol"/>
      </w:rPr>
    </w:lvl>
    <w:lvl w:ilvl="4" w:tplc="2EF83A52">
      <w:start w:val="1"/>
      <w:numFmt w:val="bullet"/>
      <w:lvlText w:val="o"/>
      <w:lvlJc w:val="left"/>
      <w:pPr>
        <w:tabs>
          <w:tab w:val="num" w:pos="3600"/>
        </w:tabs>
        <w:ind w:left="3600" w:hanging="360"/>
      </w:pPr>
      <w:rPr>
        <w:rFonts w:ascii="Courier New" w:hAnsi="Courier New"/>
      </w:rPr>
    </w:lvl>
    <w:lvl w:ilvl="5" w:tplc="E632C5C0">
      <w:start w:val="1"/>
      <w:numFmt w:val="bullet"/>
      <w:lvlText w:val=""/>
      <w:lvlJc w:val="left"/>
      <w:pPr>
        <w:tabs>
          <w:tab w:val="num" w:pos="4320"/>
        </w:tabs>
        <w:ind w:left="4320" w:hanging="360"/>
      </w:pPr>
      <w:rPr>
        <w:rFonts w:ascii="Wingdings" w:hAnsi="Wingdings"/>
      </w:rPr>
    </w:lvl>
    <w:lvl w:ilvl="6" w:tplc="DE84F2AC">
      <w:start w:val="1"/>
      <w:numFmt w:val="bullet"/>
      <w:lvlText w:val=""/>
      <w:lvlJc w:val="left"/>
      <w:pPr>
        <w:tabs>
          <w:tab w:val="num" w:pos="5040"/>
        </w:tabs>
        <w:ind w:left="5040" w:hanging="360"/>
      </w:pPr>
      <w:rPr>
        <w:rFonts w:ascii="Symbol" w:hAnsi="Symbol"/>
      </w:rPr>
    </w:lvl>
    <w:lvl w:ilvl="7" w:tplc="47A61078">
      <w:start w:val="1"/>
      <w:numFmt w:val="bullet"/>
      <w:lvlText w:val="o"/>
      <w:lvlJc w:val="left"/>
      <w:pPr>
        <w:tabs>
          <w:tab w:val="num" w:pos="5760"/>
        </w:tabs>
        <w:ind w:left="5760" w:hanging="360"/>
      </w:pPr>
      <w:rPr>
        <w:rFonts w:ascii="Courier New" w:hAnsi="Courier New"/>
      </w:rPr>
    </w:lvl>
    <w:lvl w:ilvl="8" w:tplc="3E325594">
      <w:start w:val="1"/>
      <w:numFmt w:val="bullet"/>
      <w:lvlText w:val=""/>
      <w:lvlJc w:val="left"/>
      <w:pPr>
        <w:tabs>
          <w:tab w:val="num" w:pos="6480"/>
        </w:tabs>
        <w:ind w:left="6480" w:hanging="360"/>
      </w:pPr>
      <w:rPr>
        <w:rFonts w:ascii="Wingdings" w:hAnsi="Wingdings"/>
      </w:rPr>
    </w:lvl>
  </w:abstractNum>
  <w:abstractNum w:abstractNumId="409" w15:restartNumberingAfterBreak="0">
    <w:nsid w:val="7223065B"/>
    <w:multiLevelType w:val="hybridMultilevel"/>
    <w:tmpl w:val="7223065B"/>
    <w:lvl w:ilvl="0" w:tplc="882434E6">
      <w:start w:val="1"/>
      <w:numFmt w:val="bullet"/>
      <w:lvlText w:val=""/>
      <w:lvlJc w:val="left"/>
      <w:pPr>
        <w:ind w:left="720" w:hanging="360"/>
      </w:pPr>
      <w:rPr>
        <w:rFonts w:ascii="Symbol" w:hAnsi="Symbol"/>
      </w:rPr>
    </w:lvl>
    <w:lvl w:ilvl="1" w:tplc="CE8C8DE2">
      <w:start w:val="1"/>
      <w:numFmt w:val="bullet"/>
      <w:lvlText w:val="o"/>
      <w:lvlJc w:val="left"/>
      <w:pPr>
        <w:tabs>
          <w:tab w:val="num" w:pos="1440"/>
        </w:tabs>
        <w:ind w:left="1440" w:hanging="360"/>
      </w:pPr>
      <w:rPr>
        <w:rFonts w:ascii="Courier New" w:hAnsi="Courier New"/>
      </w:rPr>
    </w:lvl>
    <w:lvl w:ilvl="2" w:tplc="C3BCAD06">
      <w:start w:val="1"/>
      <w:numFmt w:val="bullet"/>
      <w:lvlText w:val=""/>
      <w:lvlJc w:val="left"/>
      <w:pPr>
        <w:tabs>
          <w:tab w:val="num" w:pos="2160"/>
        </w:tabs>
        <w:ind w:left="2160" w:hanging="360"/>
      </w:pPr>
      <w:rPr>
        <w:rFonts w:ascii="Wingdings" w:hAnsi="Wingdings"/>
      </w:rPr>
    </w:lvl>
    <w:lvl w:ilvl="3" w:tplc="5BC29702">
      <w:start w:val="1"/>
      <w:numFmt w:val="bullet"/>
      <w:lvlText w:val=""/>
      <w:lvlJc w:val="left"/>
      <w:pPr>
        <w:tabs>
          <w:tab w:val="num" w:pos="2880"/>
        </w:tabs>
        <w:ind w:left="2880" w:hanging="360"/>
      </w:pPr>
      <w:rPr>
        <w:rFonts w:ascii="Symbol" w:hAnsi="Symbol"/>
      </w:rPr>
    </w:lvl>
    <w:lvl w:ilvl="4" w:tplc="B860CE90">
      <w:start w:val="1"/>
      <w:numFmt w:val="bullet"/>
      <w:lvlText w:val="o"/>
      <w:lvlJc w:val="left"/>
      <w:pPr>
        <w:tabs>
          <w:tab w:val="num" w:pos="3600"/>
        </w:tabs>
        <w:ind w:left="3600" w:hanging="360"/>
      </w:pPr>
      <w:rPr>
        <w:rFonts w:ascii="Courier New" w:hAnsi="Courier New"/>
      </w:rPr>
    </w:lvl>
    <w:lvl w:ilvl="5" w:tplc="E160B24E">
      <w:start w:val="1"/>
      <w:numFmt w:val="bullet"/>
      <w:lvlText w:val=""/>
      <w:lvlJc w:val="left"/>
      <w:pPr>
        <w:tabs>
          <w:tab w:val="num" w:pos="4320"/>
        </w:tabs>
        <w:ind w:left="4320" w:hanging="360"/>
      </w:pPr>
      <w:rPr>
        <w:rFonts w:ascii="Wingdings" w:hAnsi="Wingdings"/>
      </w:rPr>
    </w:lvl>
    <w:lvl w:ilvl="6" w:tplc="F11418CA">
      <w:start w:val="1"/>
      <w:numFmt w:val="bullet"/>
      <w:lvlText w:val=""/>
      <w:lvlJc w:val="left"/>
      <w:pPr>
        <w:tabs>
          <w:tab w:val="num" w:pos="5040"/>
        </w:tabs>
        <w:ind w:left="5040" w:hanging="360"/>
      </w:pPr>
      <w:rPr>
        <w:rFonts w:ascii="Symbol" w:hAnsi="Symbol"/>
      </w:rPr>
    </w:lvl>
    <w:lvl w:ilvl="7" w:tplc="3BAA72CC">
      <w:start w:val="1"/>
      <w:numFmt w:val="bullet"/>
      <w:lvlText w:val="o"/>
      <w:lvlJc w:val="left"/>
      <w:pPr>
        <w:tabs>
          <w:tab w:val="num" w:pos="5760"/>
        </w:tabs>
        <w:ind w:left="5760" w:hanging="360"/>
      </w:pPr>
      <w:rPr>
        <w:rFonts w:ascii="Courier New" w:hAnsi="Courier New"/>
      </w:rPr>
    </w:lvl>
    <w:lvl w:ilvl="8" w:tplc="872C1150">
      <w:start w:val="1"/>
      <w:numFmt w:val="bullet"/>
      <w:lvlText w:val=""/>
      <w:lvlJc w:val="left"/>
      <w:pPr>
        <w:tabs>
          <w:tab w:val="num" w:pos="6480"/>
        </w:tabs>
        <w:ind w:left="6480" w:hanging="360"/>
      </w:pPr>
      <w:rPr>
        <w:rFonts w:ascii="Wingdings" w:hAnsi="Wingdings"/>
      </w:rPr>
    </w:lvl>
  </w:abstractNum>
  <w:abstractNum w:abstractNumId="410" w15:restartNumberingAfterBreak="0">
    <w:nsid w:val="7223065C"/>
    <w:multiLevelType w:val="hybridMultilevel"/>
    <w:tmpl w:val="7223065C"/>
    <w:lvl w:ilvl="0" w:tplc="520C0CF4">
      <w:start w:val="1"/>
      <w:numFmt w:val="bullet"/>
      <w:lvlText w:val=""/>
      <w:lvlJc w:val="left"/>
      <w:pPr>
        <w:ind w:left="720" w:hanging="360"/>
      </w:pPr>
      <w:rPr>
        <w:rFonts w:ascii="Symbol" w:hAnsi="Symbol"/>
      </w:rPr>
    </w:lvl>
    <w:lvl w:ilvl="1" w:tplc="49721F36">
      <w:start w:val="1"/>
      <w:numFmt w:val="bullet"/>
      <w:lvlText w:val="o"/>
      <w:lvlJc w:val="left"/>
      <w:pPr>
        <w:tabs>
          <w:tab w:val="num" w:pos="1440"/>
        </w:tabs>
        <w:ind w:left="1440" w:hanging="360"/>
      </w:pPr>
      <w:rPr>
        <w:rFonts w:ascii="Courier New" w:hAnsi="Courier New"/>
      </w:rPr>
    </w:lvl>
    <w:lvl w:ilvl="2" w:tplc="CB2617E0">
      <w:start w:val="1"/>
      <w:numFmt w:val="bullet"/>
      <w:lvlText w:val=""/>
      <w:lvlJc w:val="left"/>
      <w:pPr>
        <w:tabs>
          <w:tab w:val="num" w:pos="2160"/>
        </w:tabs>
        <w:ind w:left="2160" w:hanging="360"/>
      </w:pPr>
      <w:rPr>
        <w:rFonts w:ascii="Wingdings" w:hAnsi="Wingdings"/>
      </w:rPr>
    </w:lvl>
    <w:lvl w:ilvl="3" w:tplc="50B46A1E">
      <w:start w:val="1"/>
      <w:numFmt w:val="bullet"/>
      <w:lvlText w:val=""/>
      <w:lvlJc w:val="left"/>
      <w:pPr>
        <w:tabs>
          <w:tab w:val="num" w:pos="2880"/>
        </w:tabs>
        <w:ind w:left="2880" w:hanging="360"/>
      </w:pPr>
      <w:rPr>
        <w:rFonts w:ascii="Symbol" w:hAnsi="Symbol"/>
      </w:rPr>
    </w:lvl>
    <w:lvl w:ilvl="4" w:tplc="7F16D206">
      <w:start w:val="1"/>
      <w:numFmt w:val="bullet"/>
      <w:lvlText w:val="o"/>
      <w:lvlJc w:val="left"/>
      <w:pPr>
        <w:tabs>
          <w:tab w:val="num" w:pos="3600"/>
        </w:tabs>
        <w:ind w:left="3600" w:hanging="360"/>
      </w:pPr>
      <w:rPr>
        <w:rFonts w:ascii="Courier New" w:hAnsi="Courier New"/>
      </w:rPr>
    </w:lvl>
    <w:lvl w:ilvl="5" w:tplc="E082610C">
      <w:start w:val="1"/>
      <w:numFmt w:val="bullet"/>
      <w:lvlText w:val=""/>
      <w:lvlJc w:val="left"/>
      <w:pPr>
        <w:tabs>
          <w:tab w:val="num" w:pos="4320"/>
        </w:tabs>
        <w:ind w:left="4320" w:hanging="360"/>
      </w:pPr>
      <w:rPr>
        <w:rFonts w:ascii="Wingdings" w:hAnsi="Wingdings"/>
      </w:rPr>
    </w:lvl>
    <w:lvl w:ilvl="6" w:tplc="95985770">
      <w:start w:val="1"/>
      <w:numFmt w:val="bullet"/>
      <w:lvlText w:val=""/>
      <w:lvlJc w:val="left"/>
      <w:pPr>
        <w:tabs>
          <w:tab w:val="num" w:pos="5040"/>
        </w:tabs>
        <w:ind w:left="5040" w:hanging="360"/>
      </w:pPr>
      <w:rPr>
        <w:rFonts w:ascii="Symbol" w:hAnsi="Symbol"/>
      </w:rPr>
    </w:lvl>
    <w:lvl w:ilvl="7" w:tplc="F81CE8EE">
      <w:start w:val="1"/>
      <w:numFmt w:val="bullet"/>
      <w:lvlText w:val="o"/>
      <w:lvlJc w:val="left"/>
      <w:pPr>
        <w:tabs>
          <w:tab w:val="num" w:pos="5760"/>
        </w:tabs>
        <w:ind w:left="5760" w:hanging="360"/>
      </w:pPr>
      <w:rPr>
        <w:rFonts w:ascii="Courier New" w:hAnsi="Courier New"/>
      </w:rPr>
    </w:lvl>
    <w:lvl w:ilvl="8" w:tplc="7A6CEE08">
      <w:start w:val="1"/>
      <w:numFmt w:val="bullet"/>
      <w:lvlText w:val=""/>
      <w:lvlJc w:val="left"/>
      <w:pPr>
        <w:tabs>
          <w:tab w:val="num" w:pos="6480"/>
        </w:tabs>
        <w:ind w:left="6480" w:hanging="360"/>
      </w:pPr>
      <w:rPr>
        <w:rFonts w:ascii="Wingdings" w:hAnsi="Wingdings"/>
      </w:rPr>
    </w:lvl>
  </w:abstractNum>
  <w:abstractNum w:abstractNumId="411" w15:restartNumberingAfterBreak="0">
    <w:nsid w:val="7223065D"/>
    <w:multiLevelType w:val="hybridMultilevel"/>
    <w:tmpl w:val="7223065D"/>
    <w:lvl w:ilvl="0" w:tplc="8E4A2B84">
      <w:start w:val="1"/>
      <w:numFmt w:val="bullet"/>
      <w:lvlText w:val=""/>
      <w:lvlJc w:val="left"/>
      <w:pPr>
        <w:ind w:left="720" w:hanging="360"/>
      </w:pPr>
      <w:rPr>
        <w:rFonts w:ascii="Symbol" w:hAnsi="Symbol"/>
      </w:rPr>
    </w:lvl>
    <w:lvl w:ilvl="1" w:tplc="BD46A90E">
      <w:start w:val="1"/>
      <w:numFmt w:val="bullet"/>
      <w:lvlText w:val="o"/>
      <w:lvlJc w:val="left"/>
      <w:pPr>
        <w:tabs>
          <w:tab w:val="num" w:pos="1440"/>
        </w:tabs>
        <w:ind w:left="1440" w:hanging="360"/>
      </w:pPr>
      <w:rPr>
        <w:rFonts w:ascii="Courier New" w:hAnsi="Courier New"/>
      </w:rPr>
    </w:lvl>
    <w:lvl w:ilvl="2" w:tplc="EE9EB394">
      <w:start w:val="1"/>
      <w:numFmt w:val="bullet"/>
      <w:lvlText w:val=""/>
      <w:lvlJc w:val="left"/>
      <w:pPr>
        <w:tabs>
          <w:tab w:val="num" w:pos="2160"/>
        </w:tabs>
        <w:ind w:left="2160" w:hanging="360"/>
      </w:pPr>
      <w:rPr>
        <w:rFonts w:ascii="Wingdings" w:hAnsi="Wingdings"/>
      </w:rPr>
    </w:lvl>
    <w:lvl w:ilvl="3" w:tplc="DD5C99F4">
      <w:start w:val="1"/>
      <w:numFmt w:val="bullet"/>
      <w:lvlText w:val=""/>
      <w:lvlJc w:val="left"/>
      <w:pPr>
        <w:tabs>
          <w:tab w:val="num" w:pos="2880"/>
        </w:tabs>
        <w:ind w:left="2880" w:hanging="360"/>
      </w:pPr>
      <w:rPr>
        <w:rFonts w:ascii="Symbol" w:hAnsi="Symbol"/>
      </w:rPr>
    </w:lvl>
    <w:lvl w:ilvl="4" w:tplc="D42670A0">
      <w:start w:val="1"/>
      <w:numFmt w:val="bullet"/>
      <w:lvlText w:val="o"/>
      <w:lvlJc w:val="left"/>
      <w:pPr>
        <w:tabs>
          <w:tab w:val="num" w:pos="3600"/>
        </w:tabs>
        <w:ind w:left="3600" w:hanging="360"/>
      </w:pPr>
      <w:rPr>
        <w:rFonts w:ascii="Courier New" w:hAnsi="Courier New"/>
      </w:rPr>
    </w:lvl>
    <w:lvl w:ilvl="5" w:tplc="0D4A53E6">
      <w:start w:val="1"/>
      <w:numFmt w:val="bullet"/>
      <w:lvlText w:val=""/>
      <w:lvlJc w:val="left"/>
      <w:pPr>
        <w:tabs>
          <w:tab w:val="num" w:pos="4320"/>
        </w:tabs>
        <w:ind w:left="4320" w:hanging="360"/>
      </w:pPr>
      <w:rPr>
        <w:rFonts w:ascii="Wingdings" w:hAnsi="Wingdings"/>
      </w:rPr>
    </w:lvl>
    <w:lvl w:ilvl="6" w:tplc="26AC0750">
      <w:start w:val="1"/>
      <w:numFmt w:val="bullet"/>
      <w:lvlText w:val=""/>
      <w:lvlJc w:val="left"/>
      <w:pPr>
        <w:tabs>
          <w:tab w:val="num" w:pos="5040"/>
        </w:tabs>
        <w:ind w:left="5040" w:hanging="360"/>
      </w:pPr>
      <w:rPr>
        <w:rFonts w:ascii="Symbol" w:hAnsi="Symbol"/>
      </w:rPr>
    </w:lvl>
    <w:lvl w:ilvl="7" w:tplc="D12E5FEA">
      <w:start w:val="1"/>
      <w:numFmt w:val="bullet"/>
      <w:lvlText w:val="o"/>
      <w:lvlJc w:val="left"/>
      <w:pPr>
        <w:tabs>
          <w:tab w:val="num" w:pos="5760"/>
        </w:tabs>
        <w:ind w:left="5760" w:hanging="360"/>
      </w:pPr>
      <w:rPr>
        <w:rFonts w:ascii="Courier New" w:hAnsi="Courier New"/>
      </w:rPr>
    </w:lvl>
    <w:lvl w:ilvl="8" w:tplc="0820ED10">
      <w:start w:val="1"/>
      <w:numFmt w:val="bullet"/>
      <w:lvlText w:val=""/>
      <w:lvlJc w:val="left"/>
      <w:pPr>
        <w:tabs>
          <w:tab w:val="num" w:pos="6480"/>
        </w:tabs>
        <w:ind w:left="6480" w:hanging="360"/>
      </w:pPr>
      <w:rPr>
        <w:rFonts w:ascii="Wingdings" w:hAnsi="Wingdings"/>
      </w:rPr>
    </w:lvl>
  </w:abstractNum>
  <w:abstractNum w:abstractNumId="412" w15:restartNumberingAfterBreak="0">
    <w:nsid w:val="7223065E"/>
    <w:multiLevelType w:val="hybridMultilevel"/>
    <w:tmpl w:val="7223065E"/>
    <w:lvl w:ilvl="0" w:tplc="AD58B12E">
      <w:start w:val="1"/>
      <w:numFmt w:val="bullet"/>
      <w:lvlText w:val=""/>
      <w:lvlJc w:val="left"/>
      <w:pPr>
        <w:ind w:left="720" w:hanging="360"/>
      </w:pPr>
      <w:rPr>
        <w:rFonts w:ascii="Symbol" w:hAnsi="Symbol"/>
      </w:rPr>
    </w:lvl>
    <w:lvl w:ilvl="1" w:tplc="DCFC3938">
      <w:start w:val="1"/>
      <w:numFmt w:val="bullet"/>
      <w:lvlText w:val="o"/>
      <w:lvlJc w:val="left"/>
      <w:pPr>
        <w:tabs>
          <w:tab w:val="num" w:pos="1440"/>
        </w:tabs>
        <w:ind w:left="1440" w:hanging="360"/>
      </w:pPr>
      <w:rPr>
        <w:rFonts w:ascii="Courier New" w:hAnsi="Courier New"/>
      </w:rPr>
    </w:lvl>
    <w:lvl w:ilvl="2" w:tplc="92F66064">
      <w:start w:val="1"/>
      <w:numFmt w:val="bullet"/>
      <w:lvlText w:val=""/>
      <w:lvlJc w:val="left"/>
      <w:pPr>
        <w:tabs>
          <w:tab w:val="num" w:pos="2160"/>
        </w:tabs>
        <w:ind w:left="2160" w:hanging="360"/>
      </w:pPr>
      <w:rPr>
        <w:rFonts w:ascii="Wingdings" w:hAnsi="Wingdings"/>
      </w:rPr>
    </w:lvl>
    <w:lvl w:ilvl="3" w:tplc="769A9042">
      <w:start w:val="1"/>
      <w:numFmt w:val="bullet"/>
      <w:lvlText w:val=""/>
      <w:lvlJc w:val="left"/>
      <w:pPr>
        <w:tabs>
          <w:tab w:val="num" w:pos="2880"/>
        </w:tabs>
        <w:ind w:left="2880" w:hanging="360"/>
      </w:pPr>
      <w:rPr>
        <w:rFonts w:ascii="Symbol" w:hAnsi="Symbol"/>
      </w:rPr>
    </w:lvl>
    <w:lvl w:ilvl="4" w:tplc="E17CFB3A">
      <w:start w:val="1"/>
      <w:numFmt w:val="bullet"/>
      <w:lvlText w:val="o"/>
      <w:lvlJc w:val="left"/>
      <w:pPr>
        <w:tabs>
          <w:tab w:val="num" w:pos="3600"/>
        </w:tabs>
        <w:ind w:left="3600" w:hanging="360"/>
      </w:pPr>
      <w:rPr>
        <w:rFonts w:ascii="Courier New" w:hAnsi="Courier New"/>
      </w:rPr>
    </w:lvl>
    <w:lvl w:ilvl="5" w:tplc="95A44774">
      <w:start w:val="1"/>
      <w:numFmt w:val="bullet"/>
      <w:lvlText w:val=""/>
      <w:lvlJc w:val="left"/>
      <w:pPr>
        <w:tabs>
          <w:tab w:val="num" w:pos="4320"/>
        </w:tabs>
        <w:ind w:left="4320" w:hanging="360"/>
      </w:pPr>
      <w:rPr>
        <w:rFonts w:ascii="Wingdings" w:hAnsi="Wingdings"/>
      </w:rPr>
    </w:lvl>
    <w:lvl w:ilvl="6" w:tplc="97E83406">
      <w:start w:val="1"/>
      <w:numFmt w:val="bullet"/>
      <w:lvlText w:val=""/>
      <w:lvlJc w:val="left"/>
      <w:pPr>
        <w:tabs>
          <w:tab w:val="num" w:pos="5040"/>
        </w:tabs>
        <w:ind w:left="5040" w:hanging="360"/>
      </w:pPr>
      <w:rPr>
        <w:rFonts w:ascii="Symbol" w:hAnsi="Symbol"/>
      </w:rPr>
    </w:lvl>
    <w:lvl w:ilvl="7" w:tplc="5A607B38">
      <w:start w:val="1"/>
      <w:numFmt w:val="bullet"/>
      <w:lvlText w:val="o"/>
      <w:lvlJc w:val="left"/>
      <w:pPr>
        <w:tabs>
          <w:tab w:val="num" w:pos="5760"/>
        </w:tabs>
        <w:ind w:left="5760" w:hanging="360"/>
      </w:pPr>
      <w:rPr>
        <w:rFonts w:ascii="Courier New" w:hAnsi="Courier New"/>
      </w:rPr>
    </w:lvl>
    <w:lvl w:ilvl="8" w:tplc="8108868C">
      <w:start w:val="1"/>
      <w:numFmt w:val="bullet"/>
      <w:lvlText w:val=""/>
      <w:lvlJc w:val="left"/>
      <w:pPr>
        <w:tabs>
          <w:tab w:val="num" w:pos="6480"/>
        </w:tabs>
        <w:ind w:left="6480" w:hanging="360"/>
      </w:pPr>
      <w:rPr>
        <w:rFonts w:ascii="Wingdings" w:hAnsi="Wingdings"/>
      </w:rPr>
    </w:lvl>
  </w:abstractNum>
  <w:abstractNum w:abstractNumId="413" w15:restartNumberingAfterBreak="0">
    <w:nsid w:val="7223065F"/>
    <w:multiLevelType w:val="hybridMultilevel"/>
    <w:tmpl w:val="7223065F"/>
    <w:lvl w:ilvl="0" w:tplc="5420A472">
      <w:start w:val="1"/>
      <w:numFmt w:val="bullet"/>
      <w:lvlText w:val=""/>
      <w:lvlJc w:val="left"/>
      <w:pPr>
        <w:ind w:left="720" w:hanging="360"/>
      </w:pPr>
      <w:rPr>
        <w:rFonts w:ascii="Symbol" w:hAnsi="Symbol"/>
      </w:rPr>
    </w:lvl>
    <w:lvl w:ilvl="1" w:tplc="271A9DEA">
      <w:start w:val="1"/>
      <w:numFmt w:val="bullet"/>
      <w:lvlText w:val="o"/>
      <w:lvlJc w:val="left"/>
      <w:pPr>
        <w:tabs>
          <w:tab w:val="num" w:pos="1440"/>
        </w:tabs>
        <w:ind w:left="1440" w:hanging="360"/>
      </w:pPr>
      <w:rPr>
        <w:rFonts w:ascii="Courier New" w:hAnsi="Courier New"/>
      </w:rPr>
    </w:lvl>
    <w:lvl w:ilvl="2" w:tplc="87E85616">
      <w:start w:val="1"/>
      <w:numFmt w:val="bullet"/>
      <w:lvlText w:val=""/>
      <w:lvlJc w:val="left"/>
      <w:pPr>
        <w:tabs>
          <w:tab w:val="num" w:pos="2160"/>
        </w:tabs>
        <w:ind w:left="2160" w:hanging="360"/>
      </w:pPr>
      <w:rPr>
        <w:rFonts w:ascii="Wingdings" w:hAnsi="Wingdings"/>
      </w:rPr>
    </w:lvl>
    <w:lvl w:ilvl="3" w:tplc="025CFA00">
      <w:start w:val="1"/>
      <w:numFmt w:val="bullet"/>
      <w:lvlText w:val=""/>
      <w:lvlJc w:val="left"/>
      <w:pPr>
        <w:tabs>
          <w:tab w:val="num" w:pos="2880"/>
        </w:tabs>
        <w:ind w:left="2880" w:hanging="360"/>
      </w:pPr>
      <w:rPr>
        <w:rFonts w:ascii="Symbol" w:hAnsi="Symbol"/>
      </w:rPr>
    </w:lvl>
    <w:lvl w:ilvl="4" w:tplc="5FF24988">
      <w:start w:val="1"/>
      <w:numFmt w:val="bullet"/>
      <w:lvlText w:val="o"/>
      <w:lvlJc w:val="left"/>
      <w:pPr>
        <w:tabs>
          <w:tab w:val="num" w:pos="3600"/>
        </w:tabs>
        <w:ind w:left="3600" w:hanging="360"/>
      </w:pPr>
      <w:rPr>
        <w:rFonts w:ascii="Courier New" w:hAnsi="Courier New"/>
      </w:rPr>
    </w:lvl>
    <w:lvl w:ilvl="5" w:tplc="409635E0">
      <w:start w:val="1"/>
      <w:numFmt w:val="bullet"/>
      <w:lvlText w:val=""/>
      <w:lvlJc w:val="left"/>
      <w:pPr>
        <w:tabs>
          <w:tab w:val="num" w:pos="4320"/>
        </w:tabs>
        <w:ind w:left="4320" w:hanging="360"/>
      </w:pPr>
      <w:rPr>
        <w:rFonts w:ascii="Wingdings" w:hAnsi="Wingdings"/>
      </w:rPr>
    </w:lvl>
    <w:lvl w:ilvl="6" w:tplc="315C0B2C">
      <w:start w:val="1"/>
      <w:numFmt w:val="bullet"/>
      <w:lvlText w:val=""/>
      <w:lvlJc w:val="left"/>
      <w:pPr>
        <w:tabs>
          <w:tab w:val="num" w:pos="5040"/>
        </w:tabs>
        <w:ind w:left="5040" w:hanging="360"/>
      </w:pPr>
      <w:rPr>
        <w:rFonts w:ascii="Symbol" w:hAnsi="Symbol"/>
      </w:rPr>
    </w:lvl>
    <w:lvl w:ilvl="7" w:tplc="159662E4">
      <w:start w:val="1"/>
      <w:numFmt w:val="bullet"/>
      <w:lvlText w:val="o"/>
      <w:lvlJc w:val="left"/>
      <w:pPr>
        <w:tabs>
          <w:tab w:val="num" w:pos="5760"/>
        </w:tabs>
        <w:ind w:left="5760" w:hanging="360"/>
      </w:pPr>
      <w:rPr>
        <w:rFonts w:ascii="Courier New" w:hAnsi="Courier New"/>
      </w:rPr>
    </w:lvl>
    <w:lvl w:ilvl="8" w:tplc="29E48F04">
      <w:start w:val="1"/>
      <w:numFmt w:val="bullet"/>
      <w:lvlText w:val=""/>
      <w:lvlJc w:val="left"/>
      <w:pPr>
        <w:tabs>
          <w:tab w:val="num" w:pos="6480"/>
        </w:tabs>
        <w:ind w:left="6480" w:hanging="360"/>
      </w:pPr>
      <w:rPr>
        <w:rFonts w:ascii="Wingdings" w:hAnsi="Wingdings"/>
      </w:rPr>
    </w:lvl>
  </w:abstractNum>
  <w:abstractNum w:abstractNumId="414" w15:restartNumberingAfterBreak="0">
    <w:nsid w:val="72230660"/>
    <w:multiLevelType w:val="hybridMultilevel"/>
    <w:tmpl w:val="72230660"/>
    <w:lvl w:ilvl="0" w:tplc="513844B2">
      <w:start w:val="1"/>
      <w:numFmt w:val="bullet"/>
      <w:lvlText w:val=""/>
      <w:lvlJc w:val="left"/>
      <w:pPr>
        <w:ind w:left="720" w:hanging="360"/>
      </w:pPr>
      <w:rPr>
        <w:rFonts w:ascii="Symbol" w:hAnsi="Symbol"/>
      </w:rPr>
    </w:lvl>
    <w:lvl w:ilvl="1" w:tplc="E378FBDA">
      <w:start w:val="1"/>
      <w:numFmt w:val="bullet"/>
      <w:lvlText w:val="o"/>
      <w:lvlJc w:val="left"/>
      <w:pPr>
        <w:tabs>
          <w:tab w:val="num" w:pos="1440"/>
        </w:tabs>
        <w:ind w:left="1440" w:hanging="360"/>
      </w:pPr>
      <w:rPr>
        <w:rFonts w:ascii="Courier New" w:hAnsi="Courier New"/>
      </w:rPr>
    </w:lvl>
    <w:lvl w:ilvl="2" w:tplc="86D4055E">
      <w:start w:val="1"/>
      <w:numFmt w:val="bullet"/>
      <w:lvlText w:val=""/>
      <w:lvlJc w:val="left"/>
      <w:pPr>
        <w:tabs>
          <w:tab w:val="num" w:pos="2160"/>
        </w:tabs>
        <w:ind w:left="2160" w:hanging="360"/>
      </w:pPr>
      <w:rPr>
        <w:rFonts w:ascii="Wingdings" w:hAnsi="Wingdings"/>
      </w:rPr>
    </w:lvl>
    <w:lvl w:ilvl="3" w:tplc="68F63064">
      <w:start w:val="1"/>
      <w:numFmt w:val="bullet"/>
      <w:lvlText w:val=""/>
      <w:lvlJc w:val="left"/>
      <w:pPr>
        <w:tabs>
          <w:tab w:val="num" w:pos="2880"/>
        </w:tabs>
        <w:ind w:left="2880" w:hanging="360"/>
      </w:pPr>
      <w:rPr>
        <w:rFonts w:ascii="Symbol" w:hAnsi="Symbol"/>
      </w:rPr>
    </w:lvl>
    <w:lvl w:ilvl="4" w:tplc="C57A5042">
      <w:start w:val="1"/>
      <w:numFmt w:val="bullet"/>
      <w:lvlText w:val="o"/>
      <w:lvlJc w:val="left"/>
      <w:pPr>
        <w:tabs>
          <w:tab w:val="num" w:pos="3600"/>
        </w:tabs>
        <w:ind w:left="3600" w:hanging="360"/>
      </w:pPr>
      <w:rPr>
        <w:rFonts w:ascii="Courier New" w:hAnsi="Courier New"/>
      </w:rPr>
    </w:lvl>
    <w:lvl w:ilvl="5" w:tplc="7DA484FC">
      <w:start w:val="1"/>
      <w:numFmt w:val="bullet"/>
      <w:lvlText w:val=""/>
      <w:lvlJc w:val="left"/>
      <w:pPr>
        <w:tabs>
          <w:tab w:val="num" w:pos="4320"/>
        </w:tabs>
        <w:ind w:left="4320" w:hanging="360"/>
      </w:pPr>
      <w:rPr>
        <w:rFonts w:ascii="Wingdings" w:hAnsi="Wingdings"/>
      </w:rPr>
    </w:lvl>
    <w:lvl w:ilvl="6" w:tplc="3B8CCFE4">
      <w:start w:val="1"/>
      <w:numFmt w:val="bullet"/>
      <w:lvlText w:val=""/>
      <w:lvlJc w:val="left"/>
      <w:pPr>
        <w:tabs>
          <w:tab w:val="num" w:pos="5040"/>
        </w:tabs>
        <w:ind w:left="5040" w:hanging="360"/>
      </w:pPr>
      <w:rPr>
        <w:rFonts w:ascii="Symbol" w:hAnsi="Symbol"/>
      </w:rPr>
    </w:lvl>
    <w:lvl w:ilvl="7" w:tplc="D7D8FAA6">
      <w:start w:val="1"/>
      <w:numFmt w:val="bullet"/>
      <w:lvlText w:val="o"/>
      <w:lvlJc w:val="left"/>
      <w:pPr>
        <w:tabs>
          <w:tab w:val="num" w:pos="5760"/>
        </w:tabs>
        <w:ind w:left="5760" w:hanging="360"/>
      </w:pPr>
      <w:rPr>
        <w:rFonts w:ascii="Courier New" w:hAnsi="Courier New"/>
      </w:rPr>
    </w:lvl>
    <w:lvl w:ilvl="8" w:tplc="7610D8CA">
      <w:start w:val="1"/>
      <w:numFmt w:val="bullet"/>
      <w:lvlText w:val=""/>
      <w:lvlJc w:val="left"/>
      <w:pPr>
        <w:tabs>
          <w:tab w:val="num" w:pos="6480"/>
        </w:tabs>
        <w:ind w:left="6480" w:hanging="360"/>
      </w:pPr>
      <w:rPr>
        <w:rFonts w:ascii="Wingdings" w:hAnsi="Wingdings"/>
      </w:rPr>
    </w:lvl>
  </w:abstractNum>
  <w:abstractNum w:abstractNumId="415" w15:restartNumberingAfterBreak="0">
    <w:nsid w:val="72230661"/>
    <w:multiLevelType w:val="hybridMultilevel"/>
    <w:tmpl w:val="72230661"/>
    <w:lvl w:ilvl="0" w:tplc="05A62524">
      <w:start w:val="1"/>
      <w:numFmt w:val="bullet"/>
      <w:lvlText w:val=""/>
      <w:lvlJc w:val="left"/>
      <w:pPr>
        <w:ind w:left="720" w:hanging="360"/>
      </w:pPr>
      <w:rPr>
        <w:rFonts w:ascii="Symbol" w:hAnsi="Symbol"/>
      </w:rPr>
    </w:lvl>
    <w:lvl w:ilvl="1" w:tplc="39A4CD52">
      <w:start w:val="1"/>
      <w:numFmt w:val="bullet"/>
      <w:lvlText w:val="o"/>
      <w:lvlJc w:val="left"/>
      <w:pPr>
        <w:tabs>
          <w:tab w:val="num" w:pos="1440"/>
        </w:tabs>
        <w:ind w:left="1440" w:hanging="360"/>
      </w:pPr>
      <w:rPr>
        <w:rFonts w:ascii="Courier New" w:hAnsi="Courier New"/>
      </w:rPr>
    </w:lvl>
    <w:lvl w:ilvl="2" w:tplc="58288AAC">
      <w:start w:val="1"/>
      <w:numFmt w:val="bullet"/>
      <w:lvlText w:val=""/>
      <w:lvlJc w:val="left"/>
      <w:pPr>
        <w:tabs>
          <w:tab w:val="num" w:pos="2160"/>
        </w:tabs>
        <w:ind w:left="2160" w:hanging="360"/>
      </w:pPr>
      <w:rPr>
        <w:rFonts w:ascii="Wingdings" w:hAnsi="Wingdings"/>
      </w:rPr>
    </w:lvl>
    <w:lvl w:ilvl="3" w:tplc="8EA0F8FE">
      <w:start w:val="1"/>
      <w:numFmt w:val="bullet"/>
      <w:lvlText w:val=""/>
      <w:lvlJc w:val="left"/>
      <w:pPr>
        <w:tabs>
          <w:tab w:val="num" w:pos="2880"/>
        </w:tabs>
        <w:ind w:left="2880" w:hanging="360"/>
      </w:pPr>
      <w:rPr>
        <w:rFonts w:ascii="Symbol" w:hAnsi="Symbol"/>
      </w:rPr>
    </w:lvl>
    <w:lvl w:ilvl="4" w:tplc="CF4A00E2">
      <w:start w:val="1"/>
      <w:numFmt w:val="bullet"/>
      <w:lvlText w:val="o"/>
      <w:lvlJc w:val="left"/>
      <w:pPr>
        <w:tabs>
          <w:tab w:val="num" w:pos="3600"/>
        </w:tabs>
        <w:ind w:left="3600" w:hanging="360"/>
      </w:pPr>
      <w:rPr>
        <w:rFonts w:ascii="Courier New" w:hAnsi="Courier New"/>
      </w:rPr>
    </w:lvl>
    <w:lvl w:ilvl="5" w:tplc="1FF44EEC">
      <w:start w:val="1"/>
      <w:numFmt w:val="bullet"/>
      <w:lvlText w:val=""/>
      <w:lvlJc w:val="left"/>
      <w:pPr>
        <w:tabs>
          <w:tab w:val="num" w:pos="4320"/>
        </w:tabs>
        <w:ind w:left="4320" w:hanging="360"/>
      </w:pPr>
      <w:rPr>
        <w:rFonts w:ascii="Wingdings" w:hAnsi="Wingdings"/>
      </w:rPr>
    </w:lvl>
    <w:lvl w:ilvl="6" w:tplc="12DA953A">
      <w:start w:val="1"/>
      <w:numFmt w:val="bullet"/>
      <w:lvlText w:val=""/>
      <w:lvlJc w:val="left"/>
      <w:pPr>
        <w:tabs>
          <w:tab w:val="num" w:pos="5040"/>
        </w:tabs>
        <w:ind w:left="5040" w:hanging="360"/>
      </w:pPr>
      <w:rPr>
        <w:rFonts w:ascii="Symbol" w:hAnsi="Symbol"/>
      </w:rPr>
    </w:lvl>
    <w:lvl w:ilvl="7" w:tplc="38A2F50A">
      <w:start w:val="1"/>
      <w:numFmt w:val="bullet"/>
      <w:lvlText w:val="o"/>
      <w:lvlJc w:val="left"/>
      <w:pPr>
        <w:tabs>
          <w:tab w:val="num" w:pos="5760"/>
        </w:tabs>
        <w:ind w:left="5760" w:hanging="360"/>
      </w:pPr>
      <w:rPr>
        <w:rFonts w:ascii="Courier New" w:hAnsi="Courier New"/>
      </w:rPr>
    </w:lvl>
    <w:lvl w:ilvl="8" w:tplc="150CEC9A">
      <w:start w:val="1"/>
      <w:numFmt w:val="bullet"/>
      <w:lvlText w:val=""/>
      <w:lvlJc w:val="left"/>
      <w:pPr>
        <w:tabs>
          <w:tab w:val="num" w:pos="6480"/>
        </w:tabs>
        <w:ind w:left="6480" w:hanging="360"/>
      </w:pPr>
      <w:rPr>
        <w:rFonts w:ascii="Wingdings" w:hAnsi="Wingdings"/>
      </w:rPr>
    </w:lvl>
  </w:abstractNum>
  <w:abstractNum w:abstractNumId="416" w15:restartNumberingAfterBreak="0">
    <w:nsid w:val="72230662"/>
    <w:multiLevelType w:val="hybridMultilevel"/>
    <w:tmpl w:val="72230662"/>
    <w:lvl w:ilvl="0" w:tplc="DE84F6CE">
      <w:start w:val="1"/>
      <w:numFmt w:val="bullet"/>
      <w:lvlText w:val=""/>
      <w:lvlJc w:val="left"/>
      <w:pPr>
        <w:ind w:left="720" w:hanging="360"/>
      </w:pPr>
      <w:rPr>
        <w:rFonts w:ascii="Symbol" w:hAnsi="Symbol"/>
      </w:rPr>
    </w:lvl>
    <w:lvl w:ilvl="1" w:tplc="C6B0E2E8">
      <w:start w:val="1"/>
      <w:numFmt w:val="bullet"/>
      <w:lvlText w:val="o"/>
      <w:lvlJc w:val="left"/>
      <w:pPr>
        <w:tabs>
          <w:tab w:val="num" w:pos="1440"/>
        </w:tabs>
        <w:ind w:left="1440" w:hanging="360"/>
      </w:pPr>
      <w:rPr>
        <w:rFonts w:ascii="Courier New" w:hAnsi="Courier New"/>
      </w:rPr>
    </w:lvl>
    <w:lvl w:ilvl="2" w:tplc="8BFE319E">
      <w:start w:val="1"/>
      <w:numFmt w:val="bullet"/>
      <w:lvlText w:val=""/>
      <w:lvlJc w:val="left"/>
      <w:pPr>
        <w:tabs>
          <w:tab w:val="num" w:pos="2160"/>
        </w:tabs>
        <w:ind w:left="2160" w:hanging="360"/>
      </w:pPr>
      <w:rPr>
        <w:rFonts w:ascii="Wingdings" w:hAnsi="Wingdings"/>
      </w:rPr>
    </w:lvl>
    <w:lvl w:ilvl="3" w:tplc="022C908E">
      <w:start w:val="1"/>
      <w:numFmt w:val="bullet"/>
      <w:lvlText w:val=""/>
      <w:lvlJc w:val="left"/>
      <w:pPr>
        <w:tabs>
          <w:tab w:val="num" w:pos="2880"/>
        </w:tabs>
        <w:ind w:left="2880" w:hanging="360"/>
      </w:pPr>
      <w:rPr>
        <w:rFonts w:ascii="Symbol" w:hAnsi="Symbol"/>
      </w:rPr>
    </w:lvl>
    <w:lvl w:ilvl="4" w:tplc="402AFF64">
      <w:start w:val="1"/>
      <w:numFmt w:val="bullet"/>
      <w:lvlText w:val="o"/>
      <w:lvlJc w:val="left"/>
      <w:pPr>
        <w:tabs>
          <w:tab w:val="num" w:pos="3600"/>
        </w:tabs>
        <w:ind w:left="3600" w:hanging="360"/>
      </w:pPr>
      <w:rPr>
        <w:rFonts w:ascii="Courier New" w:hAnsi="Courier New"/>
      </w:rPr>
    </w:lvl>
    <w:lvl w:ilvl="5" w:tplc="524EEBF4">
      <w:start w:val="1"/>
      <w:numFmt w:val="bullet"/>
      <w:lvlText w:val=""/>
      <w:lvlJc w:val="left"/>
      <w:pPr>
        <w:tabs>
          <w:tab w:val="num" w:pos="4320"/>
        </w:tabs>
        <w:ind w:left="4320" w:hanging="360"/>
      </w:pPr>
      <w:rPr>
        <w:rFonts w:ascii="Wingdings" w:hAnsi="Wingdings"/>
      </w:rPr>
    </w:lvl>
    <w:lvl w:ilvl="6" w:tplc="96223BDC">
      <w:start w:val="1"/>
      <w:numFmt w:val="bullet"/>
      <w:lvlText w:val=""/>
      <w:lvlJc w:val="left"/>
      <w:pPr>
        <w:tabs>
          <w:tab w:val="num" w:pos="5040"/>
        </w:tabs>
        <w:ind w:left="5040" w:hanging="360"/>
      </w:pPr>
      <w:rPr>
        <w:rFonts w:ascii="Symbol" w:hAnsi="Symbol"/>
      </w:rPr>
    </w:lvl>
    <w:lvl w:ilvl="7" w:tplc="C8423116">
      <w:start w:val="1"/>
      <w:numFmt w:val="bullet"/>
      <w:lvlText w:val="o"/>
      <w:lvlJc w:val="left"/>
      <w:pPr>
        <w:tabs>
          <w:tab w:val="num" w:pos="5760"/>
        </w:tabs>
        <w:ind w:left="5760" w:hanging="360"/>
      </w:pPr>
      <w:rPr>
        <w:rFonts w:ascii="Courier New" w:hAnsi="Courier New"/>
      </w:rPr>
    </w:lvl>
    <w:lvl w:ilvl="8" w:tplc="7BC8390E">
      <w:start w:val="1"/>
      <w:numFmt w:val="bullet"/>
      <w:lvlText w:val=""/>
      <w:lvlJc w:val="left"/>
      <w:pPr>
        <w:tabs>
          <w:tab w:val="num" w:pos="6480"/>
        </w:tabs>
        <w:ind w:left="6480" w:hanging="360"/>
      </w:pPr>
      <w:rPr>
        <w:rFonts w:ascii="Wingdings" w:hAnsi="Wingdings"/>
      </w:rPr>
    </w:lvl>
  </w:abstractNum>
  <w:abstractNum w:abstractNumId="417" w15:restartNumberingAfterBreak="0">
    <w:nsid w:val="72230663"/>
    <w:multiLevelType w:val="hybridMultilevel"/>
    <w:tmpl w:val="72230663"/>
    <w:lvl w:ilvl="0" w:tplc="2D380BA2">
      <w:start w:val="1"/>
      <w:numFmt w:val="bullet"/>
      <w:lvlText w:val=""/>
      <w:lvlJc w:val="left"/>
      <w:pPr>
        <w:ind w:left="720" w:hanging="360"/>
      </w:pPr>
      <w:rPr>
        <w:rFonts w:ascii="Symbol" w:hAnsi="Symbol"/>
      </w:rPr>
    </w:lvl>
    <w:lvl w:ilvl="1" w:tplc="9C32966C">
      <w:start w:val="1"/>
      <w:numFmt w:val="bullet"/>
      <w:lvlText w:val="o"/>
      <w:lvlJc w:val="left"/>
      <w:pPr>
        <w:tabs>
          <w:tab w:val="num" w:pos="1440"/>
        </w:tabs>
        <w:ind w:left="1440" w:hanging="360"/>
      </w:pPr>
      <w:rPr>
        <w:rFonts w:ascii="Courier New" w:hAnsi="Courier New"/>
      </w:rPr>
    </w:lvl>
    <w:lvl w:ilvl="2" w:tplc="49E42F4A">
      <w:start w:val="1"/>
      <w:numFmt w:val="bullet"/>
      <w:lvlText w:val=""/>
      <w:lvlJc w:val="left"/>
      <w:pPr>
        <w:tabs>
          <w:tab w:val="num" w:pos="2160"/>
        </w:tabs>
        <w:ind w:left="2160" w:hanging="360"/>
      </w:pPr>
      <w:rPr>
        <w:rFonts w:ascii="Wingdings" w:hAnsi="Wingdings"/>
      </w:rPr>
    </w:lvl>
    <w:lvl w:ilvl="3" w:tplc="95741E0C">
      <w:start w:val="1"/>
      <w:numFmt w:val="bullet"/>
      <w:lvlText w:val=""/>
      <w:lvlJc w:val="left"/>
      <w:pPr>
        <w:tabs>
          <w:tab w:val="num" w:pos="2880"/>
        </w:tabs>
        <w:ind w:left="2880" w:hanging="360"/>
      </w:pPr>
      <w:rPr>
        <w:rFonts w:ascii="Symbol" w:hAnsi="Symbol"/>
      </w:rPr>
    </w:lvl>
    <w:lvl w:ilvl="4" w:tplc="FC445E2E">
      <w:start w:val="1"/>
      <w:numFmt w:val="bullet"/>
      <w:lvlText w:val="o"/>
      <w:lvlJc w:val="left"/>
      <w:pPr>
        <w:tabs>
          <w:tab w:val="num" w:pos="3600"/>
        </w:tabs>
        <w:ind w:left="3600" w:hanging="360"/>
      </w:pPr>
      <w:rPr>
        <w:rFonts w:ascii="Courier New" w:hAnsi="Courier New"/>
      </w:rPr>
    </w:lvl>
    <w:lvl w:ilvl="5" w:tplc="9AE4A030">
      <w:start w:val="1"/>
      <w:numFmt w:val="bullet"/>
      <w:lvlText w:val=""/>
      <w:lvlJc w:val="left"/>
      <w:pPr>
        <w:tabs>
          <w:tab w:val="num" w:pos="4320"/>
        </w:tabs>
        <w:ind w:left="4320" w:hanging="360"/>
      </w:pPr>
      <w:rPr>
        <w:rFonts w:ascii="Wingdings" w:hAnsi="Wingdings"/>
      </w:rPr>
    </w:lvl>
    <w:lvl w:ilvl="6" w:tplc="DFAC43AC">
      <w:start w:val="1"/>
      <w:numFmt w:val="bullet"/>
      <w:lvlText w:val=""/>
      <w:lvlJc w:val="left"/>
      <w:pPr>
        <w:tabs>
          <w:tab w:val="num" w:pos="5040"/>
        </w:tabs>
        <w:ind w:left="5040" w:hanging="360"/>
      </w:pPr>
      <w:rPr>
        <w:rFonts w:ascii="Symbol" w:hAnsi="Symbol"/>
      </w:rPr>
    </w:lvl>
    <w:lvl w:ilvl="7" w:tplc="96F0187E">
      <w:start w:val="1"/>
      <w:numFmt w:val="bullet"/>
      <w:lvlText w:val="o"/>
      <w:lvlJc w:val="left"/>
      <w:pPr>
        <w:tabs>
          <w:tab w:val="num" w:pos="5760"/>
        </w:tabs>
        <w:ind w:left="5760" w:hanging="360"/>
      </w:pPr>
      <w:rPr>
        <w:rFonts w:ascii="Courier New" w:hAnsi="Courier New"/>
      </w:rPr>
    </w:lvl>
    <w:lvl w:ilvl="8" w:tplc="11229306">
      <w:start w:val="1"/>
      <w:numFmt w:val="bullet"/>
      <w:lvlText w:val=""/>
      <w:lvlJc w:val="left"/>
      <w:pPr>
        <w:tabs>
          <w:tab w:val="num" w:pos="6480"/>
        </w:tabs>
        <w:ind w:left="6480" w:hanging="360"/>
      </w:pPr>
      <w:rPr>
        <w:rFonts w:ascii="Wingdings" w:hAnsi="Wingdings"/>
      </w:rPr>
    </w:lvl>
  </w:abstractNum>
  <w:abstractNum w:abstractNumId="418" w15:restartNumberingAfterBreak="0">
    <w:nsid w:val="72230664"/>
    <w:multiLevelType w:val="hybridMultilevel"/>
    <w:tmpl w:val="72230664"/>
    <w:lvl w:ilvl="0" w:tplc="22E63256">
      <w:start w:val="1"/>
      <w:numFmt w:val="bullet"/>
      <w:lvlText w:val="o"/>
      <w:lvlJc w:val="left"/>
      <w:pPr>
        <w:ind w:left="720" w:hanging="360"/>
      </w:pPr>
      <w:rPr>
        <w:rFonts w:ascii="Courier New" w:hAnsi="Courier New"/>
      </w:rPr>
    </w:lvl>
    <w:lvl w:ilvl="1" w:tplc="597A29EC">
      <w:start w:val="1"/>
      <w:numFmt w:val="bullet"/>
      <w:lvlText w:val="o"/>
      <w:lvlJc w:val="left"/>
      <w:pPr>
        <w:tabs>
          <w:tab w:val="num" w:pos="1440"/>
        </w:tabs>
        <w:ind w:left="1440" w:hanging="360"/>
      </w:pPr>
      <w:rPr>
        <w:rFonts w:ascii="Courier New" w:hAnsi="Courier New"/>
      </w:rPr>
    </w:lvl>
    <w:lvl w:ilvl="2" w:tplc="860CFAE8">
      <w:start w:val="1"/>
      <w:numFmt w:val="bullet"/>
      <w:lvlText w:val=""/>
      <w:lvlJc w:val="left"/>
      <w:pPr>
        <w:tabs>
          <w:tab w:val="num" w:pos="2160"/>
        </w:tabs>
        <w:ind w:left="2160" w:hanging="360"/>
      </w:pPr>
      <w:rPr>
        <w:rFonts w:ascii="Wingdings" w:hAnsi="Wingdings"/>
      </w:rPr>
    </w:lvl>
    <w:lvl w:ilvl="3" w:tplc="2E946814">
      <w:start w:val="1"/>
      <w:numFmt w:val="bullet"/>
      <w:lvlText w:val=""/>
      <w:lvlJc w:val="left"/>
      <w:pPr>
        <w:tabs>
          <w:tab w:val="num" w:pos="2880"/>
        </w:tabs>
        <w:ind w:left="2880" w:hanging="360"/>
      </w:pPr>
      <w:rPr>
        <w:rFonts w:ascii="Symbol" w:hAnsi="Symbol"/>
      </w:rPr>
    </w:lvl>
    <w:lvl w:ilvl="4" w:tplc="28FCC9F2">
      <w:start w:val="1"/>
      <w:numFmt w:val="bullet"/>
      <w:lvlText w:val="o"/>
      <w:lvlJc w:val="left"/>
      <w:pPr>
        <w:tabs>
          <w:tab w:val="num" w:pos="3600"/>
        </w:tabs>
        <w:ind w:left="3600" w:hanging="360"/>
      </w:pPr>
      <w:rPr>
        <w:rFonts w:ascii="Courier New" w:hAnsi="Courier New"/>
      </w:rPr>
    </w:lvl>
    <w:lvl w:ilvl="5" w:tplc="FC0616C2">
      <w:start w:val="1"/>
      <w:numFmt w:val="bullet"/>
      <w:lvlText w:val=""/>
      <w:lvlJc w:val="left"/>
      <w:pPr>
        <w:tabs>
          <w:tab w:val="num" w:pos="4320"/>
        </w:tabs>
        <w:ind w:left="4320" w:hanging="360"/>
      </w:pPr>
      <w:rPr>
        <w:rFonts w:ascii="Wingdings" w:hAnsi="Wingdings"/>
      </w:rPr>
    </w:lvl>
    <w:lvl w:ilvl="6" w:tplc="4E5EE660">
      <w:start w:val="1"/>
      <w:numFmt w:val="bullet"/>
      <w:lvlText w:val=""/>
      <w:lvlJc w:val="left"/>
      <w:pPr>
        <w:tabs>
          <w:tab w:val="num" w:pos="5040"/>
        </w:tabs>
        <w:ind w:left="5040" w:hanging="360"/>
      </w:pPr>
      <w:rPr>
        <w:rFonts w:ascii="Symbol" w:hAnsi="Symbol"/>
      </w:rPr>
    </w:lvl>
    <w:lvl w:ilvl="7" w:tplc="9B0A609E">
      <w:start w:val="1"/>
      <w:numFmt w:val="bullet"/>
      <w:lvlText w:val="o"/>
      <w:lvlJc w:val="left"/>
      <w:pPr>
        <w:tabs>
          <w:tab w:val="num" w:pos="5760"/>
        </w:tabs>
        <w:ind w:left="5760" w:hanging="360"/>
      </w:pPr>
      <w:rPr>
        <w:rFonts w:ascii="Courier New" w:hAnsi="Courier New"/>
      </w:rPr>
    </w:lvl>
    <w:lvl w:ilvl="8" w:tplc="1C7891E6">
      <w:start w:val="1"/>
      <w:numFmt w:val="bullet"/>
      <w:lvlText w:val=""/>
      <w:lvlJc w:val="left"/>
      <w:pPr>
        <w:tabs>
          <w:tab w:val="num" w:pos="6480"/>
        </w:tabs>
        <w:ind w:left="6480" w:hanging="360"/>
      </w:pPr>
      <w:rPr>
        <w:rFonts w:ascii="Wingdings" w:hAnsi="Wingdings"/>
      </w:rPr>
    </w:lvl>
  </w:abstractNum>
  <w:abstractNum w:abstractNumId="419" w15:restartNumberingAfterBreak="0">
    <w:nsid w:val="72230665"/>
    <w:multiLevelType w:val="hybridMultilevel"/>
    <w:tmpl w:val="72230665"/>
    <w:lvl w:ilvl="0" w:tplc="2F5439C0">
      <w:start w:val="1"/>
      <w:numFmt w:val="bullet"/>
      <w:lvlText w:val="o"/>
      <w:lvlJc w:val="left"/>
      <w:pPr>
        <w:ind w:left="720" w:hanging="360"/>
      </w:pPr>
      <w:rPr>
        <w:rFonts w:ascii="Courier New" w:hAnsi="Courier New"/>
      </w:rPr>
    </w:lvl>
    <w:lvl w:ilvl="1" w:tplc="EE9C6630">
      <w:start w:val="1"/>
      <w:numFmt w:val="bullet"/>
      <w:lvlText w:val="o"/>
      <w:lvlJc w:val="left"/>
      <w:pPr>
        <w:tabs>
          <w:tab w:val="num" w:pos="1440"/>
        </w:tabs>
        <w:ind w:left="1440" w:hanging="360"/>
      </w:pPr>
      <w:rPr>
        <w:rFonts w:ascii="Courier New" w:hAnsi="Courier New"/>
      </w:rPr>
    </w:lvl>
    <w:lvl w:ilvl="2" w:tplc="C0FAD84C">
      <w:start w:val="1"/>
      <w:numFmt w:val="bullet"/>
      <w:lvlText w:val=""/>
      <w:lvlJc w:val="left"/>
      <w:pPr>
        <w:tabs>
          <w:tab w:val="num" w:pos="2160"/>
        </w:tabs>
        <w:ind w:left="2160" w:hanging="360"/>
      </w:pPr>
      <w:rPr>
        <w:rFonts w:ascii="Wingdings" w:hAnsi="Wingdings"/>
      </w:rPr>
    </w:lvl>
    <w:lvl w:ilvl="3" w:tplc="5D666B1A">
      <w:start w:val="1"/>
      <w:numFmt w:val="bullet"/>
      <w:lvlText w:val=""/>
      <w:lvlJc w:val="left"/>
      <w:pPr>
        <w:tabs>
          <w:tab w:val="num" w:pos="2880"/>
        </w:tabs>
        <w:ind w:left="2880" w:hanging="360"/>
      </w:pPr>
      <w:rPr>
        <w:rFonts w:ascii="Symbol" w:hAnsi="Symbol"/>
      </w:rPr>
    </w:lvl>
    <w:lvl w:ilvl="4" w:tplc="5192ACA8">
      <w:start w:val="1"/>
      <w:numFmt w:val="bullet"/>
      <w:lvlText w:val="o"/>
      <w:lvlJc w:val="left"/>
      <w:pPr>
        <w:tabs>
          <w:tab w:val="num" w:pos="3600"/>
        </w:tabs>
        <w:ind w:left="3600" w:hanging="360"/>
      </w:pPr>
      <w:rPr>
        <w:rFonts w:ascii="Courier New" w:hAnsi="Courier New"/>
      </w:rPr>
    </w:lvl>
    <w:lvl w:ilvl="5" w:tplc="15F483F6">
      <w:start w:val="1"/>
      <w:numFmt w:val="bullet"/>
      <w:lvlText w:val=""/>
      <w:lvlJc w:val="left"/>
      <w:pPr>
        <w:tabs>
          <w:tab w:val="num" w:pos="4320"/>
        </w:tabs>
        <w:ind w:left="4320" w:hanging="360"/>
      </w:pPr>
      <w:rPr>
        <w:rFonts w:ascii="Wingdings" w:hAnsi="Wingdings"/>
      </w:rPr>
    </w:lvl>
    <w:lvl w:ilvl="6" w:tplc="0DBA0EB8">
      <w:start w:val="1"/>
      <w:numFmt w:val="bullet"/>
      <w:lvlText w:val=""/>
      <w:lvlJc w:val="left"/>
      <w:pPr>
        <w:tabs>
          <w:tab w:val="num" w:pos="5040"/>
        </w:tabs>
        <w:ind w:left="5040" w:hanging="360"/>
      </w:pPr>
      <w:rPr>
        <w:rFonts w:ascii="Symbol" w:hAnsi="Symbol"/>
      </w:rPr>
    </w:lvl>
    <w:lvl w:ilvl="7" w:tplc="1A84C19C">
      <w:start w:val="1"/>
      <w:numFmt w:val="bullet"/>
      <w:lvlText w:val="o"/>
      <w:lvlJc w:val="left"/>
      <w:pPr>
        <w:tabs>
          <w:tab w:val="num" w:pos="5760"/>
        </w:tabs>
        <w:ind w:left="5760" w:hanging="360"/>
      </w:pPr>
      <w:rPr>
        <w:rFonts w:ascii="Courier New" w:hAnsi="Courier New"/>
      </w:rPr>
    </w:lvl>
    <w:lvl w:ilvl="8" w:tplc="0EFC1AD8">
      <w:start w:val="1"/>
      <w:numFmt w:val="bullet"/>
      <w:lvlText w:val=""/>
      <w:lvlJc w:val="left"/>
      <w:pPr>
        <w:tabs>
          <w:tab w:val="num" w:pos="6480"/>
        </w:tabs>
        <w:ind w:left="6480" w:hanging="360"/>
      </w:pPr>
      <w:rPr>
        <w:rFonts w:ascii="Wingdings" w:hAnsi="Wingdings"/>
      </w:rPr>
    </w:lvl>
  </w:abstractNum>
  <w:abstractNum w:abstractNumId="420" w15:restartNumberingAfterBreak="0">
    <w:nsid w:val="72230666"/>
    <w:multiLevelType w:val="hybridMultilevel"/>
    <w:tmpl w:val="72230666"/>
    <w:lvl w:ilvl="0" w:tplc="F9C49CCE">
      <w:start w:val="1"/>
      <w:numFmt w:val="bullet"/>
      <w:lvlText w:val=""/>
      <w:lvlJc w:val="left"/>
      <w:pPr>
        <w:ind w:left="720" w:hanging="360"/>
      </w:pPr>
      <w:rPr>
        <w:rFonts w:ascii="Symbol" w:hAnsi="Symbol"/>
      </w:rPr>
    </w:lvl>
    <w:lvl w:ilvl="1" w:tplc="1CAC36CE">
      <w:start w:val="1"/>
      <w:numFmt w:val="bullet"/>
      <w:lvlText w:val="o"/>
      <w:lvlJc w:val="left"/>
      <w:pPr>
        <w:tabs>
          <w:tab w:val="num" w:pos="1440"/>
        </w:tabs>
        <w:ind w:left="1440" w:hanging="360"/>
      </w:pPr>
      <w:rPr>
        <w:rFonts w:ascii="Courier New" w:hAnsi="Courier New"/>
      </w:rPr>
    </w:lvl>
    <w:lvl w:ilvl="2" w:tplc="E5408804">
      <w:start w:val="1"/>
      <w:numFmt w:val="bullet"/>
      <w:lvlText w:val=""/>
      <w:lvlJc w:val="left"/>
      <w:pPr>
        <w:tabs>
          <w:tab w:val="num" w:pos="2160"/>
        </w:tabs>
        <w:ind w:left="2160" w:hanging="360"/>
      </w:pPr>
      <w:rPr>
        <w:rFonts w:ascii="Wingdings" w:hAnsi="Wingdings"/>
      </w:rPr>
    </w:lvl>
    <w:lvl w:ilvl="3" w:tplc="793C6230">
      <w:start w:val="1"/>
      <w:numFmt w:val="bullet"/>
      <w:lvlText w:val=""/>
      <w:lvlJc w:val="left"/>
      <w:pPr>
        <w:tabs>
          <w:tab w:val="num" w:pos="2880"/>
        </w:tabs>
        <w:ind w:left="2880" w:hanging="360"/>
      </w:pPr>
      <w:rPr>
        <w:rFonts w:ascii="Symbol" w:hAnsi="Symbol"/>
      </w:rPr>
    </w:lvl>
    <w:lvl w:ilvl="4" w:tplc="6B840D66">
      <w:start w:val="1"/>
      <w:numFmt w:val="bullet"/>
      <w:lvlText w:val="o"/>
      <w:lvlJc w:val="left"/>
      <w:pPr>
        <w:tabs>
          <w:tab w:val="num" w:pos="3600"/>
        </w:tabs>
        <w:ind w:left="3600" w:hanging="360"/>
      </w:pPr>
      <w:rPr>
        <w:rFonts w:ascii="Courier New" w:hAnsi="Courier New"/>
      </w:rPr>
    </w:lvl>
    <w:lvl w:ilvl="5" w:tplc="69EE4B4E">
      <w:start w:val="1"/>
      <w:numFmt w:val="bullet"/>
      <w:lvlText w:val=""/>
      <w:lvlJc w:val="left"/>
      <w:pPr>
        <w:tabs>
          <w:tab w:val="num" w:pos="4320"/>
        </w:tabs>
        <w:ind w:left="4320" w:hanging="360"/>
      </w:pPr>
      <w:rPr>
        <w:rFonts w:ascii="Wingdings" w:hAnsi="Wingdings"/>
      </w:rPr>
    </w:lvl>
    <w:lvl w:ilvl="6" w:tplc="5D447E30">
      <w:start w:val="1"/>
      <w:numFmt w:val="bullet"/>
      <w:lvlText w:val=""/>
      <w:lvlJc w:val="left"/>
      <w:pPr>
        <w:tabs>
          <w:tab w:val="num" w:pos="5040"/>
        </w:tabs>
        <w:ind w:left="5040" w:hanging="360"/>
      </w:pPr>
      <w:rPr>
        <w:rFonts w:ascii="Symbol" w:hAnsi="Symbol"/>
      </w:rPr>
    </w:lvl>
    <w:lvl w:ilvl="7" w:tplc="5E683CE0">
      <w:start w:val="1"/>
      <w:numFmt w:val="bullet"/>
      <w:lvlText w:val="o"/>
      <w:lvlJc w:val="left"/>
      <w:pPr>
        <w:tabs>
          <w:tab w:val="num" w:pos="5760"/>
        </w:tabs>
        <w:ind w:left="5760" w:hanging="360"/>
      </w:pPr>
      <w:rPr>
        <w:rFonts w:ascii="Courier New" w:hAnsi="Courier New"/>
      </w:rPr>
    </w:lvl>
    <w:lvl w:ilvl="8" w:tplc="AC6AFC00">
      <w:start w:val="1"/>
      <w:numFmt w:val="bullet"/>
      <w:lvlText w:val=""/>
      <w:lvlJc w:val="left"/>
      <w:pPr>
        <w:tabs>
          <w:tab w:val="num" w:pos="6480"/>
        </w:tabs>
        <w:ind w:left="6480" w:hanging="360"/>
      </w:pPr>
      <w:rPr>
        <w:rFonts w:ascii="Wingdings" w:hAnsi="Wingdings"/>
      </w:rPr>
    </w:lvl>
  </w:abstractNum>
  <w:abstractNum w:abstractNumId="421" w15:restartNumberingAfterBreak="0">
    <w:nsid w:val="72230667"/>
    <w:multiLevelType w:val="hybridMultilevel"/>
    <w:tmpl w:val="72230667"/>
    <w:lvl w:ilvl="0" w:tplc="C6EA944E">
      <w:start w:val="1"/>
      <w:numFmt w:val="bullet"/>
      <w:lvlText w:val=""/>
      <w:lvlJc w:val="left"/>
      <w:pPr>
        <w:tabs>
          <w:tab w:val="num" w:pos="720"/>
        </w:tabs>
        <w:ind w:left="720" w:hanging="360"/>
      </w:pPr>
      <w:rPr>
        <w:rFonts w:ascii="Symbol" w:hAnsi="Symbol"/>
      </w:rPr>
    </w:lvl>
    <w:lvl w:ilvl="1" w:tplc="F77049D6">
      <w:start w:val="1"/>
      <w:numFmt w:val="bullet"/>
      <w:lvlText w:val="o"/>
      <w:lvlJc w:val="left"/>
      <w:pPr>
        <w:tabs>
          <w:tab w:val="num" w:pos="1440"/>
        </w:tabs>
        <w:ind w:left="1440" w:hanging="360"/>
      </w:pPr>
      <w:rPr>
        <w:rFonts w:ascii="Courier New" w:hAnsi="Courier New"/>
      </w:rPr>
    </w:lvl>
    <w:lvl w:ilvl="2" w:tplc="0D1AE8F2">
      <w:start w:val="1"/>
      <w:numFmt w:val="bullet"/>
      <w:lvlText w:val=""/>
      <w:lvlJc w:val="left"/>
      <w:pPr>
        <w:tabs>
          <w:tab w:val="num" w:pos="2160"/>
        </w:tabs>
        <w:ind w:left="2160" w:hanging="360"/>
      </w:pPr>
      <w:rPr>
        <w:rFonts w:ascii="Wingdings" w:hAnsi="Wingdings"/>
      </w:rPr>
    </w:lvl>
    <w:lvl w:ilvl="3" w:tplc="29005C1A">
      <w:start w:val="1"/>
      <w:numFmt w:val="bullet"/>
      <w:lvlText w:val=""/>
      <w:lvlJc w:val="left"/>
      <w:pPr>
        <w:tabs>
          <w:tab w:val="num" w:pos="2880"/>
        </w:tabs>
        <w:ind w:left="2880" w:hanging="360"/>
      </w:pPr>
      <w:rPr>
        <w:rFonts w:ascii="Symbol" w:hAnsi="Symbol"/>
      </w:rPr>
    </w:lvl>
    <w:lvl w:ilvl="4" w:tplc="ED9E857C">
      <w:start w:val="1"/>
      <w:numFmt w:val="bullet"/>
      <w:lvlText w:val="o"/>
      <w:lvlJc w:val="left"/>
      <w:pPr>
        <w:tabs>
          <w:tab w:val="num" w:pos="3600"/>
        </w:tabs>
        <w:ind w:left="3600" w:hanging="360"/>
      </w:pPr>
      <w:rPr>
        <w:rFonts w:ascii="Courier New" w:hAnsi="Courier New"/>
      </w:rPr>
    </w:lvl>
    <w:lvl w:ilvl="5" w:tplc="57CA7034">
      <w:start w:val="1"/>
      <w:numFmt w:val="bullet"/>
      <w:lvlText w:val=""/>
      <w:lvlJc w:val="left"/>
      <w:pPr>
        <w:tabs>
          <w:tab w:val="num" w:pos="4320"/>
        </w:tabs>
        <w:ind w:left="4320" w:hanging="360"/>
      </w:pPr>
      <w:rPr>
        <w:rFonts w:ascii="Wingdings" w:hAnsi="Wingdings"/>
      </w:rPr>
    </w:lvl>
    <w:lvl w:ilvl="6" w:tplc="1846985A">
      <w:start w:val="1"/>
      <w:numFmt w:val="bullet"/>
      <w:lvlText w:val=""/>
      <w:lvlJc w:val="left"/>
      <w:pPr>
        <w:tabs>
          <w:tab w:val="num" w:pos="5040"/>
        </w:tabs>
        <w:ind w:left="5040" w:hanging="360"/>
      </w:pPr>
      <w:rPr>
        <w:rFonts w:ascii="Symbol" w:hAnsi="Symbol"/>
      </w:rPr>
    </w:lvl>
    <w:lvl w:ilvl="7" w:tplc="203AC0C2">
      <w:start w:val="1"/>
      <w:numFmt w:val="bullet"/>
      <w:lvlText w:val="o"/>
      <w:lvlJc w:val="left"/>
      <w:pPr>
        <w:tabs>
          <w:tab w:val="num" w:pos="5760"/>
        </w:tabs>
        <w:ind w:left="5760" w:hanging="360"/>
      </w:pPr>
      <w:rPr>
        <w:rFonts w:ascii="Courier New" w:hAnsi="Courier New"/>
      </w:rPr>
    </w:lvl>
    <w:lvl w:ilvl="8" w:tplc="8DB4D650">
      <w:start w:val="1"/>
      <w:numFmt w:val="bullet"/>
      <w:lvlText w:val=""/>
      <w:lvlJc w:val="left"/>
      <w:pPr>
        <w:tabs>
          <w:tab w:val="num" w:pos="6480"/>
        </w:tabs>
        <w:ind w:left="6480" w:hanging="360"/>
      </w:pPr>
      <w:rPr>
        <w:rFonts w:ascii="Wingdings" w:hAnsi="Wingdings"/>
      </w:rPr>
    </w:lvl>
  </w:abstractNum>
  <w:abstractNum w:abstractNumId="422" w15:restartNumberingAfterBreak="0">
    <w:nsid w:val="72230668"/>
    <w:multiLevelType w:val="hybridMultilevel"/>
    <w:tmpl w:val="72230668"/>
    <w:lvl w:ilvl="0" w:tplc="FE26AB00">
      <w:start w:val="1"/>
      <w:numFmt w:val="bullet"/>
      <w:lvlText w:val=""/>
      <w:lvlJc w:val="left"/>
      <w:pPr>
        <w:ind w:left="720" w:hanging="360"/>
      </w:pPr>
      <w:rPr>
        <w:rFonts w:ascii="Symbol" w:hAnsi="Symbol"/>
      </w:rPr>
    </w:lvl>
    <w:lvl w:ilvl="1" w:tplc="AA842424">
      <w:start w:val="1"/>
      <w:numFmt w:val="bullet"/>
      <w:lvlText w:val="o"/>
      <w:lvlJc w:val="left"/>
      <w:pPr>
        <w:tabs>
          <w:tab w:val="num" w:pos="1440"/>
        </w:tabs>
        <w:ind w:left="1440" w:hanging="360"/>
      </w:pPr>
      <w:rPr>
        <w:rFonts w:ascii="Courier New" w:hAnsi="Courier New"/>
      </w:rPr>
    </w:lvl>
    <w:lvl w:ilvl="2" w:tplc="ECE4ACA8">
      <w:start w:val="1"/>
      <w:numFmt w:val="bullet"/>
      <w:lvlText w:val=""/>
      <w:lvlJc w:val="left"/>
      <w:pPr>
        <w:tabs>
          <w:tab w:val="num" w:pos="2160"/>
        </w:tabs>
        <w:ind w:left="2160" w:hanging="360"/>
      </w:pPr>
      <w:rPr>
        <w:rFonts w:ascii="Wingdings" w:hAnsi="Wingdings"/>
      </w:rPr>
    </w:lvl>
    <w:lvl w:ilvl="3" w:tplc="3E768E1C">
      <w:start w:val="1"/>
      <w:numFmt w:val="bullet"/>
      <w:lvlText w:val=""/>
      <w:lvlJc w:val="left"/>
      <w:pPr>
        <w:tabs>
          <w:tab w:val="num" w:pos="2880"/>
        </w:tabs>
        <w:ind w:left="2880" w:hanging="360"/>
      </w:pPr>
      <w:rPr>
        <w:rFonts w:ascii="Symbol" w:hAnsi="Symbol"/>
      </w:rPr>
    </w:lvl>
    <w:lvl w:ilvl="4" w:tplc="5C709840">
      <w:start w:val="1"/>
      <w:numFmt w:val="bullet"/>
      <w:lvlText w:val="o"/>
      <w:lvlJc w:val="left"/>
      <w:pPr>
        <w:tabs>
          <w:tab w:val="num" w:pos="3600"/>
        </w:tabs>
        <w:ind w:left="3600" w:hanging="360"/>
      </w:pPr>
      <w:rPr>
        <w:rFonts w:ascii="Courier New" w:hAnsi="Courier New"/>
      </w:rPr>
    </w:lvl>
    <w:lvl w:ilvl="5" w:tplc="4BD22D84">
      <w:start w:val="1"/>
      <w:numFmt w:val="bullet"/>
      <w:lvlText w:val=""/>
      <w:lvlJc w:val="left"/>
      <w:pPr>
        <w:tabs>
          <w:tab w:val="num" w:pos="4320"/>
        </w:tabs>
        <w:ind w:left="4320" w:hanging="360"/>
      </w:pPr>
      <w:rPr>
        <w:rFonts w:ascii="Wingdings" w:hAnsi="Wingdings"/>
      </w:rPr>
    </w:lvl>
    <w:lvl w:ilvl="6" w:tplc="65D4CD8E">
      <w:start w:val="1"/>
      <w:numFmt w:val="bullet"/>
      <w:lvlText w:val=""/>
      <w:lvlJc w:val="left"/>
      <w:pPr>
        <w:tabs>
          <w:tab w:val="num" w:pos="5040"/>
        </w:tabs>
        <w:ind w:left="5040" w:hanging="360"/>
      </w:pPr>
      <w:rPr>
        <w:rFonts w:ascii="Symbol" w:hAnsi="Symbol"/>
      </w:rPr>
    </w:lvl>
    <w:lvl w:ilvl="7" w:tplc="56D82442">
      <w:start w:val="1"/>
      <w:numFmt w:val="bullet"/>
      <w:lvlText w:val="o"/>
      <w:lvlJc w:val="left"/>
      <w:pPr>
        <w:tabs>
          <w:tab w:val="num" w:pos="5760"/>
        </w:tabs>
        <w:ind w:left="5760" w:hanging="360"/>
      </w:pPr>
      <w:rPr>
        <w:rFonts w:ascii="Courier New" w:hAnsi="Courier New"/>
      </w:rPr>
    </w:lvl>
    <w:lvl w:ilvl="8" w:tplc="3F54F042">
      <w:start w:val="1"/>
      <w:numFmt w:val="bullet"/>
      <w:lvlText w:val=""/>
      <w:lvlJc w:val="left"/>
      <w:pPr>
        <w:tabs>
          <w:tab w:val="num" w:pos="6480"/>
        </w:tabs>
        <w:ind w:left="6480" w:hanging="360"/>
      </w:pPr>
      <w:rPr>
        <w:rFonts w:ascii="Wingdings" w:hAnsi="Wingdings"/>
      </w:rPr>
    </w:lvl>
  </w:abstractNum>
  <w:abstractNum w:abstractNumId="423" w15:restartNumberingAfterBreak="0">
    <w:nsid w:val="72230669"/>
    <w:multiLevelType w:val="hybridMultilevel"/>
    <w:tmpl w:val="72230669"/>
    <w:lvl w:ilvl="0" w:tplc="E9DAD856">
      <w:start w:val="1"/>
      <w:numFmt w:val="bullet"/>
      <w:lvlText w:val=""/>
      <w:lvlJc w:val="left"/>
      <w:pPr>
        <w:ind w:left="720" w:hanging="360"/>
      </w:pPr>
      <w:rPr>
        <w:rFonts w:ascii="Symbol" w:hAnsi="Symbol"/>
      </w:rPr>
    </w:lvl>
    <w:lvl w:ilvl="1" w:tplc="F45AE384">
      <w:start w:val="1"/>
      <w:numFmt w:val="bullet"/>
      <w:lvlText w:val="o"/>
      <w:lvlJc w:val="left"/>
      <w:pPr>
        <w:tabs>
          <w:tab w:val="num" w:pos="1440"/>
        </w:tabs>
        <w:ind w:left="1440" w:hanging="360"/>
      </w:pPr>
      <w:rPr>
        <w:rFonts w:ascii="Courier New" w:hAnsi="Courier New"/>
      </w:rPr>
    </w:lvl>
    <w:lvl w:ilvl="2" w:tplc="BAC8071A">
      <w:start w:val="1"/>
      <w:numFmt w:val="bullet"/>
      <w:lvlText w:val=""/>
      <w:lvlJc w:val="left"/>
      <w:pPr>
        <w:tabs>
          <w:tab w:val="num" w:pos="2160"/>
        </w:tabs>
        <w:ind w:left="2160" w:hanging="360"/>
      </w:pPr>
      <w:rPr>
        <w:rFonts w:ascii="Wingdings" w:hAnsi="Wingdings"/>
      </w:rPr>
    </w:lvl>
    <w:lvl w:ilvl="3" w:tplc="CEA06DBE">
      <w:start w:val="1"/>
      <w:numFmt w:val="bullet"/>
      <w:lvlText w:val=""/>
      <w:lvlJc w:val="left"/>
      <w:pPr>
        <w:tabs>
          <w:tab w:val="num" w:pos="2880"/>
        </w:tabs>
        <w:ind w:left="2880" w:hanging="360"/>
      </w:pPr>
      <w:rPr>
        <w:rFonts w:ascii="Symbol" w:hAnsi="Symbol"/>
      </w:rPr>
    </w:lvl>
    <w:lvl w:ilvl="4" w:tplc="98ECFA6C">
      <w:start w:val="1"/>
      <w:numFmt w:val="bullet"/>
      <w:lvlText w:val="o"/>
      <w:lvlJc w:val="left"/>
      <w:pPr>
        <w:tabs>
          <w:tab w:val="num" w:pos="3600"/>
        </w:tabs>
        <w:ind w:left="3600" w:hanging="360"/>
      </w:pPr>
      <w:rPr>
        <w:rFonts w:ascii="Courier New" w:hAnsi="Courier New"/>
      </w:rPr>
    </w:lvl>
    <w:lvl w:ilvl="5" w:tplc="931AF0E4">
      <w:start w:val="1"/>
      <w:numFmt w:val="bullet"/>
      <w:lvlText w:val=""/>
      <w:lvlJc w:val="left"/>
      <w:pPr>
        <w:tabs>
          <w:tab w:val="num" w:pos="4320"/>
        </w:tabs>
        <w:ind w:left="4320" w:hanging="360"/>
      </w:pPr>
      <w:rPr>
        <w:rFonts w:ascii="Wingdings" w:hAnsi="Wingdings"/>
      </w:rPr>
    </w:lvl>
    <w:lvl w:ilvl="6" w:tplc="EE26AF10">
      <w:start w:val="1"/>
      <w:numFmt w:val="bullet"/>
      <w:lvlText w:val=""/>
      <w:lvlJc w:val="left"/>
      <w:pPr>
        <w:tabs>
          <w:tab w:val="num" w:pos="5040"/>
        </w:tabs>
        <w:ind w:left="5040" w:hanging="360"/>
      </w:pPr>
      <w:rPr>
        <w:rFonts w:ascii="Symbol" w:hAnsi="Symbol"/>
      </w:rPr>
    </w:lvl>
    <w:lvl w:ilvl="7" w:tplc="9574EC6A">
      <w:start w:val="1"/>
      <w:numFmt w:val="bullet"/>
      <w:lvlText w:val="o"/>
      <w:lvlJc w:val="left"/>
      <w:pPr>
        <w:tabs>
          <w:tab w:val="num" w:pos="5760"/>
        </w:tabs>
        <w:ind w:left="5760" w:hanging="360"/>
      </w:pPr>
      <w:rPr>
        <w:rFonts w:ascii="Courier New" w:hAnsi="Courier New"/>
      </w:rPr>
    </w:lvl>
    <w:lvl w:ilvl="8" w:tplc="3648B312">
      <w:start w:val="1"/>
      <w:numFmt w:val="bullet"/>
      <w:lvlText w:val=""/>
      <w:lvlJc w:val="left"/>
      <w:pPr>
        <w:tabs>
          <w:tab w:val="num" w:pos="6480"/>
        </w:tabs>
        <w:ind w:left="6480" w:hanging="360"/>
      </w:pPr>
      <w:rPr>
        <w:rFonts w:ascii="Wingdings" w:hAnsi="Wingdings"/>
      </w:rPr>
    </w:lvl>
  </w:abstractNum>
  <w:abstractNum w:abstractNumId="424" w15:restartNumberingAfterBreak="0">
    <w:nsid w:val="7223066A"/>
    <w:multiLevelType w:val="hybridMultilevel"/>
    <w:tmpl w:val="7223066A"/>
    <w:lvl w:ilvl="0" w:tplc="D10C30C4">
      <w:start w:val="1"/>
      <w:numFmt w:val="bullet"/>
      <w:lvlText w:val=""/>
      <w:lvlJc w:val="left"/>
      <w:pPr>
        <w:ind w:left="720" w:hanging="360"/>
      </w:pPr>
      <w:rPr>
        <w:rFonts w:ascii="Symbol" w:hAnsi="Symbol"/>
      </w:rPr>
    </w:lvl>
    <w:lvl w:ilvl="1" w:tplc="5FCEF674">
      <w:start w:val="1"/>
      <w:numFmt w:val="bullet"/>
      <w:lvlText w:val="o"/>
      <w:lvlJc w:val="left"/>
      <w:pPr>
        <w:tabs>
          <w:tab w:val="num" w:pos="1440"/>
        </w:tabs>
        <w:ind w:left="1440" w:hanging="360"/>
      </w:pPr>
      <w:rPr>
        <w:rFonts w:ascii="Courier New" w:hAnsi="Courier New"/>
      </w:rPr>
    </w:lvl>
    <w:lvl w:ilvl="2" w:tplc="641626AE">
      <w:start w:val="1"/>
      <w:numFmt w:val="bullet"/>
      <w:lvlText w:val=""/>
      <w:lvlJc w:val="left"/>
      <w:pPr>
        <w:tabs>
          <w:tab w:val="num" w:pos="2160"/>
        </w:tabs>
        <w:ind w:left="2160" w:hanging="360"/>
      </w:pPr>
      <w:rPr>
        <w:rFonts w:ascii="Wingdings" w:hAnsi="Wingdings"/>
      </w:rPr>
    </w:lvl>
    <w:lvl w:ilvl="3" w:tplc="5EC4FD90">
      <w:start w:val="1"/>
      <w:numFmt w:val="bullet"/>
      <w:lvlText w:val=""/>
      <w:lvlJc w:val="left"/>
      <w:pPr>
        <w:tabs>
          <w:tab w:val="num" w:pos="2880"/>
        </w:tabs>
        <w:ind w:left="2880" w:hanging="360"/>
      </w:pPr>
      <w:rPr>
        <w:rFonts w:ascii="Symbol" w:hAnsi="Symbol"/>
      </w:rPr>
    </w:lvl>
    <w:lvl w:ilvl="4" w:tplc="16B2044C">
      <w:start w:val="1"/>
      <w:numFmt w:val="bullet"/>
      <w:lvlText w:val="o"/>
      <w:lvlJc w:val="left"/>
      <w:pPr>
        <w:tabs>
          <w:tab w:val="num" w:pos="3600"/>
        </w:tabs>
        <w:ind w:left="3600" w:hanging="360"/>
      </w:pPr>
      <w:rPr>
        <w:rFonts w:ascii="Courier New" w:hAnsi="Courier New"/>
      </w:rPr>
    </w:lvl>
    <w:lvl w:ilvl="5" w:tplc="467C6032">
      <w:start w:val="1"/>
      <w:numFmt w:val="bullet"/>
      <w:lvlText w:val=""/>
      <w:lvlJc w:val="left"/>
      <w:pPr>
        <w:tabs>
          <w:tab w:val="num" w:pos="4320"/>
        </w:tabs>
        <w:ind w:left="4320" w:hanging="360"/>
      </w:pPr>
      <w:rPr>
        <w:rFonts w:ascii="Wingdings" w:hAnsi="Wingdings"/>
      </w:rPr>
    </w:lvl>
    <w:lvl w:ilvl="6" w:tplc="BE92680C">
      <w:start w:val="1"/>
      <w:numFmt w:val="bullet"/>
      <w:lvlText w:val=""/>
      <w:lvlJc w:val="left"/>
      <w:pPr>
        <w:tabs>
          <w:tab w:val="num" w:pos="5040"/>
        </w:tabs>
        <w:ind w:left="5040" w:hanging="360"/>
      </w:pPr>
      <w:rPr>
        <w:rFonts w:ascii="Symbol" w:hAnsi="Symbol"/>
      </w:rPr>
    </w:lvl>
    <w:lvl w:ilvl="7" w:tplc="FD54158C">
      <w:start w:val="1"/>
      <w:numFmt w:val="bullet"/>
      <w:lvlText w:val="o"/>
      <w:lvlJc w:val="left"/>
      <w:pPr>
        <w:tabs>
          <w:tab w:val="num" w:pos="5760"/>
        </w:tabs>
        <w:ind w:left="5760" w:hanging="360"/>
      </w:pPr>
      <w:rPr>
        <w:rFonts w:ascii="Courier New" w:hAnsi="Courier New"/>
      </w:rPr>
    </w:lvl>
    <w:lvl w:ilvl="8" w:tplc="E5160480">
      <w:start w:val="1"/>
      <w:numFmt w:val="bullet"/>
      <w:lvlText w:val=""/>
      <w:lvlJc w:val="left"/>
      <w:pPr>
        <w:tabs>
          <w:tab w:val="num" w:pos="6480"/>
        </w:tabs>
        <w:ind w:left="6480" w:hanging="360"/>
      </w:pPr>
      <w:rPr>
        <w:rFonts w:ascii="Wingdings" w:hAnsi="Wingdings"/>
      </w:rPr>
    </w:lvl>
  </w:abstractNum>
  <w:abstractNum w:abstractNumId="425" w15:restartNumberingAfterBreak="0">
    <w:nsid w:val="7223066B"/>
    <w:multiLevelType w:val="hybridMultilevel"/>
    <w:tmpl w:val="7223066B"/>
    <w:lvl w:ilvl="0" w:tplc="9F38AF1A">
      <w:start w:val="1"/>
      <w:numFmt w:val="bullet"/>
      <w:lvlText w:val=""/>
      <w:lvlJc w:val="left"/>
      <w:pPr>
        <w:ind w:left="720" w:hanging="360"/>
      </w:pPr>
      <w:rPr>
        <w:rFonts w:ascii="Symbol" w:hAnsi="Symbol"/>
      </w:rPr>
    </w:lvl>
    <w:lvl w:ilvl="1" w:tplc="1E202AD6">
      <w:start w:val="1"/>
      <w:numFmt w:val="bullet"/>
      <w:lvlText w:val="o"/>
      <w:lvlJc w:val="left"/>
      <w:pPr>
        <w:tabs>
          <w:tab w:val="num" w:pos="1440"/>
        </w:tabs>
        <w:ind w:left="1440" w:hanging="360"/>
      </w:pPr>
      <w:rPr>
        <w:rFonts w:ascii="Courier New" w:hAnsi="Courier New"/>
      </w:rPr>
    </w:lvl>
    <w:lvl w:ilvl="2" w:tplc="AB72C534">
      <w:start w:val="1"/>
      <w:numFmt w:val="bullet"/>
      <w:lvlText w:val=""/>
      <w:lvlJc w:val="left"/>
      <w:pPr>
        <w:tabs>
          <w:tab w:val="num" w:pos="2160"/>
        </w:tabs>
        <w:ind w:left="2160" w:hanging="360"/>
      </w:pPr>
      <w:rPr>
        <w:rFonts w:ascii="Wingdings" w:hAnsi="Wingdings"/>
      </w:rPr>
    </w:lvl>
    <w:lvl w:ilvl="3" w:tplc="D0A85112">
      <w:start w:val="1"/>
      <w:numFmt w:val="bullet"/>
      <w:lvlText w:val=""/>
      <w:lvlJc w:val="left"/>
      <w:pPr>
        <w:tabs>
          <w:tab w:val="num" w:pos="2880"/>
        </w:tabs>
        <w:ind w:left="2880" w:hanging="360"/>
      </w:pPr>
      <w:rPr>
        <w:rFonts w:ascii="Symbol" w:hAnsi="Symbol"/>
      </w:rPr>
    </w:lvl>
    <w:lvl w:ilvl="4" w:tplc="9256706C">
      <w:start w:val="1"/>
      <w:numFmt w:val="bullet"/>
      <w:lvlText w:val="o"/>
      <w:lvlJc w:val="left"/>
      <w:pPr>
        <w:tabs>
          <w:tab w:val="num" w:pos="3600"/>
        </w:tabs>
        <w:ind w:left="3600" w:hanging="360"/>
      </w:pPr>
      <w:rPr>
        <w:rFonts w:ascii="Courier New" w:hAnsi="Courier New"/>
      </w:rPr>
    </w:lvl>
    <w:lvl w:ilvl="5" w:tplc="582C2AEE">
      <w:start w:val="1"/>
      <w:numFmt w:val="bullet"/>
      <w:lvlText w:val=""/>
      <w:lvlJc w:val="left"/>
      <w:pPr>
        <w:tabs>
          <w:tab w:val="num" w:pos="4320"/>
        </w:tabs>
        <w:ind w:left="4320" w:hanging="360"/>
      </w:pPr>
      <w:rPr>
        <w:rFonts w:ascii="Wingdings" w:hAnsi="Wingdings"/>
      </w:rPr>
    </w:lvl>
    <w:lvl w:ilvl="6" w:tplc="456C8DD0">
      <w:start w:val="1"/>
      <w:numFmt w:val="bullet"/>
      <w:lvlText w:val=""/>
      <w:lvlJc w:val="left"/>
      <w:pPr>
        <w:tabs>
          <w:tab w:val="num" w:pos="5040"/>
        </w:tabs>
        <w:ind w:left="5040" w:hanging="360"/>
      </w:pPr>
      <w:rPr>
        <w:rFonts w:ascii="Symbol" w:hAnsi="Symbol"/>
      </w:rPr>
    </w:lvl>
    <w:lvl w:ilvl="7" w:tplc="09685472">
      <w:start w:val="1"/>
      <w:numFmt w:val="bullet"/>
      <w:lvlText w:val="o"/>
      <w:lvlJc w:val="left"/>
      <w:pPr>
        <w:tabs>
          <w:tab w:val="num" w:pos="5760"/>
        </w:tabs>
        <w:ind w:left="5760" w:hanging="360"/>
      </w:pPr>
      <w:rPr>
        <w:rFonts w:ascii="Courier New" w:hAnsi="Courier New"/>
      </w:rPr>
    </w:lvl>
    <w:lvl w:ilvl="8" w:tplc="FE42C22E">
      <w:start w:val="1"/>
      <w:numFmt w:val="bullet"/>
      <w:lvlText w:val=""/>
      <w:lvlJc w:val="left"/>
      <w:pPr>
        <w:tabs>
          <w:tab w:val="num" w:pos="6480"/>
        </w:tabs>
        <w:ind w:left="6480" w:hanging="360"/>
      </w:pPr>
      <w:rPr>
        <w:rFonts w:ascii="Wingdings" w:hAnsi="Wingdings"/>
      </w:rPr>
    </w:lvl>
  </w:abstractNum>
  <w:abstractNum w:abstractNumId="426" w15:restartNumberingAfterBreak="0">
    <w:nsid w:val="7223066C"/>
    <w:multiLevelType w:val="hybridMultilevel"/>
    <w:tmpl w:val="7223066C"/>
    <w:lvl w:ilvl="0" w:tplc="0B7E393A">
      <w:start w:val="1"/>
      <w:numFmt w:val="bullet"/>
      <w:lvlText w:val=""/>
      <w:lvlJc w:val="left"/>
      <w:pPr>
        <w:ind w:left="720" w:hanging="360"/>
      </w:pPr>
      <w:rPr>
        <w:rFonts w:ascii="Symbol" w:hAnsi="Symbol"/>
      </w:rPr>
    </w:lvl>
    <w:lvl w:ilvl="1" w:tplc="C5306ABE">
      <w:start w:val="1"/>
      <w:numFmt w:val="bullet"/>
      <w:lvlText w:val="o"/>
      <w:lvlJc w:val="left"/>
      <w:pPr>
        <w:tabs>
          <w:tab w:val="num" w:pos="1440"/>
        </w:tabs>
        <w:ind w:left="1440" w:hanging="360"/>
      </w:pPr>
      <w:rPr>
        <w:rFonts w:ascii="Courier New" w:hAnsi="Courier New"/>
      </w:rPr>
    </w:lvl>
    <w:lvl w:ilvl="2" w:tplc="8CAC0E96">
      <w:start w:val="1"/>
      <w:numFmt w:val="bullet"/>
      <w:lvlText w:val=""/>
      <w:lvlJc w:val="left"/>
      <w:pPr>
        <w:tabs>
          <w:tab w:val="num" w:pos="2160"/>
        </w:tabs>
        <w:ind w:left="2160" w:hanging="360"/>
      </w:pPr>
      <w:rPr>
        <w:rFonts w:ascii="Wingdings" w:hAnsi="Wingdings"/>
      </w:rPr>
    </w:lvl>
    <w:lvl w:ilvl="3" w:tplc="F18C0FD0">
      <w:start w:val="1"/>
      <w:numFmt w:val="bullet"/>
      <w:lvlText w:val=""/>
      <w:lvlJc w:val="left"/>
      <w:pPr>
        <w:tabs>
          <w:tab w:val="num" w:pos="2880"/>
        </w:tabs>
        <w:ind w:left="2880" w:hanging="360"/>
      </w:pPr>
      <w:rPr>
        <w:rFonts w:ascii="Symbol" w:hAnsi="Symbol"/>
      </w:rPr>
    </w:lvl>
    <w:lvl w:ilvl="4" w:tplc="F1606FF4">
      <w:start w:val="1"/>
      <w:numFmt w:val="bullet"/>
      <w:lvlText w:val="o"/>
      <w:lvlJc w:val="left"/>
      <w:pPr>
        <w:tabs>
          <w:tab w:val="num" w:pos="3600"/>
        </w:tabs>
        <w:ind w:left="3600" w:hanging="360"/>
      </w:pPr>
      <w:rPr>
        <w:rFonts w:ascii="Courier New" w:hAnsi="Courier New"/>
      </w:rPr>
    </w:lvl>
    <w:lvl w:ilvl="5" w:tplc="4CD4B4F4">
      <w:start w:val="1"/>
      <w:numFmt w:val="bullet"/>
      <w:lvlText w:val=""/>
      <w:lvlJc w:val="left"/>
      <w:pPr>
        <w:tabs>
          <w:tab w:val="num" w:pos="4320"/>
        </w:tabs>
        <w:ind w:left="4320" w:hanging="360"/>
      </w:pPr>
      <w:rPr>
        <w:rFonts w:ascii="Wingdings" w:hAnsi="Wingdings"/>
      </w:rPr>
    </w:lvl>
    <w:lvl w:ilvl="6" w:tplc="8398ED88">
      <w:start w:val="1"/>
      <w:numFmt w:val="bullet"/>
      <w:lvlText w:val=""/>
      <w:lvlJc w:val="left"/>
      <w:pPr>
        <w:tabs>
          <w:tab w:val="num" w:pos="5040"/>
        </w:tabs>
        <w:ind w:left="5040" w:hanging="360"/>
      </w:pPr>
      <w:rPr>
        <w:rFonts w:ascii="Symbol" w:hAnsi="Symbol"/>
      </w:rPr>
    </w:lvl>
    <w:lvl w:ilvl="7" w:tplc="05C23A88">
      <w:start w:val="1"/>
      <w:numFmt w:val="bullet"/>
      <w:lvlText w:val="o"/>
      <w:lvlJc w:val="left"/>
      <w:pPr>
        <w:tabs>
          <w:tab w:val="num" w:pos="5760"/>
        </w:tabs>
        <w:ind w:left="5760" w:hanging="360"/>
      </w:pPr>
      <w:rPr>
        <w:rFonts w:ascii="Courier New" w:hAnsi="Courier New"/>
      </w:rPr>
    </w:lvl>
    <w:lvl w:ilvl="8" w:tplc="E7B6D7A0">
      <w:start w:val="1"/>
      <w:numFmt w:val="bullet"/>
      <w:lvlText w:val=""/>
      <w:lvlJc w:val="left"/>
      <w:pPr>
        <w:tabs>
          <w:tab w:val="num" w:pos="6480"/>
        </w:tabs>
        <w:ind w:left="6480" w:hanging="360"/>
      </w:pPr>
      <w:rPr>
        <w:rFonts w:ascii="Wingdings" w:hAnsi="Wingdings"/>
      </w:rPr>
    </w:lvl>
  </w:abstractNum>
  <w:abstractNum w:abstractNumId="427" w15:restartNumberingAfterBreak="0">
    <w:nsid w:val="7223066D"/>
    <w:multiLevelType w:val="hybridMultilevel"/>
    <w:tmpl w:val="7223066D"/>
    <w:lvl w:ilvl="0" w:tplc="AA424E4E">
      <w:start w:val="1"/>
      <w:numFmt w:val="bullet"/>
      <w:lvlText w:val=""/>
      <w:lvlJc w:val="left"/>
      <w:pPr>
        <w:ind w:left="720" w:hanging="360"/>
      </w:pPr>
      <w:rPr>
        <w:rFonts w:ascii="Symbol" w:hAnsi="Symbol"/>
      </w:rPr>
    </w:lvl>
    <w:lvl w:ilvl="1" w:tplc="6DA26106">
      <w:start w:val="1"/>
      <w:numFmt w:val="bullet"/>
      <w:lvlText w:val="o"/>
      <w:lvlJc w:val="left"/>
      <w:pPr>
        <w:tabs>
          <w:tab w:val="num" w:pos="1440"/>
        </w:tabs>
        <w:ind w:left="1440" w:hanging="360"/>
      </w:pPr>
      <w:rPr>
        <w:rFonts w:ascii="Courier New" w:hAnsi="Courier New"/>
      </w:rPr>
    </w:lvl>
    <w:lvl w:ilvl="2" w:tplc="B5D67772">
      <w:start w:val="1"/>
      <w:numFmt w:val="bullet"/>
      <w:lvlText w:val=""/>
      <w:lvlJc w:val="left"/>
      <w:pPr>
        <w:tabs>
          <w:tab w:val="num" w:pos="2160"/>
        </w:tabs>
        <w:ind w:left="2160" w:hanging="360"/>
      </w:pPr>
      <w:rPr>
        <w:rFonts w:ascii="Wingdings" w:hAnsi="Wingdings"/>
      </w:rPr>
    </w:lvl>
    <w:lvl w:ilvl="3" w:tplc="CA465C54">
      <w:start w:val="1"/>
      <w:numFmt w:val="bullet"/>
      <w:lvlText w:val=""/>
      <w:lvlJc w:val="left"/>
      <w:pPr>
        <w:tabs>
          <w:tab w:val="num" w:pos="2880"/>
        </w:tabs>
        <w:ind w:left="2880" w:hanging="360"/>
      </w:pPr>
      <w:rPr>
        <w:rFonts w:ascii="Symbol" w:hAnsi="Symbol"/>
      </w:rPr>
    </w:lvl>
    <w:lvl w:ilvl="4" w:tplc="78E42E6E">
      <w:start w:val="1"/>
      <w:numFmt w:val="bullet"/>
      <w:lvlText w:val="o"/>
      <w:lvlJc w:val="left"/>
      <w:pPr>
        <w:tabs>
          <w:tab w:val="num" w:pos="3600"/>
        </w:tabs>
        <w:ind w:left="3600" w:hanging="360"/>
      </w:pPr>
      <w:rPr>
        <w:rFonts w:ascii="Courier New" w:hAnsi="Courier New"/>
      </w:rPr>
    </w:lvl>
    <w:lvl w:ilvl="5" w:tplc="A3323196">
      <w:start w:val="1"/>
      <w:numFmt w:val="bullet"/>
      <w:lvlText w:val=""/>
      <w:lvlJc w:val="left"/>
      <w:pPr>
        <w:tabs>
          <w:tab w:val="num" w:pos="4320"/>
        </w:tabs>
        <w:ind w:left="4320" w:hanging="360"/>
      </w:pPr>
      <w:rPr>
        <w:rFonts w:ascii="Wingdings" w:hAnsi="Wingdings"/>
      </w:rPr>
    </w:lvl>
    <w:lvl w:ilvl="6" w:tplc="BE9873D6">
      <w:start w:val="1"/>
      <w:numFmt w:val="bullet"/>
      <w:lvlText w:val=""/>
      <w:lvlJc w:val="left"/>
      <w:pPr>
        <w:tabs>
          <w:tab w:val="num" w:pos="5040"/>
        </w:tabs>
        <w:ind w:left="5040" w:hanging="360"/>
      </w:pPr>
      <w:rPr>
        <w:rFonts w:ascii="Symbol" w:hAnsi="Symbol"/>
      </w:rPr>
    </w:lvl>
    <w:lvl w:ilvl="7" w:tplc="7C36AF7C">
      <w:start w:val="1"/>
      <w:numFmt w:val="bullet"/>
      <w:lvlText w:val="o"/>
      <w:lvlJc w:val="left"/>
      <w:pPr>
        <w:tabs>
          <w:tab w:val="num" w:pos="5760"/>
        </w:tabs>
        <w:ind w:left="5760" w:hanging="360"/>
      </w:pPr>
      <w:rPr>
        <w:rFonts w:ascii="Courier New" w:hAnsi="Courier New"/>
      </w:rPr>
    </w:lvl>
    <w:lvl w:ilvl="8" w:tplc="9F5CF5DC">
      <w:start w:val="1"/>
      <w:numFmt w:val="bullet"/>
      <w:lvlText w:val=""/>
      <w:lvlJc w:val="left"/>
      <w:pPr>
        <w:tabs>
          <w:tab w:val="num" w:pos="6480"/>
        </w:tabs>
        <w:ind w:left="6480" w:hanging="360"/>
      </w:pPr>
      <w:rPr>
        <w:rFonts w:ascii="Wingdings" w:hAnsi="Wingdings"/>
      </w:rPr>
    </w:lvl>
  </w:abstractNum>
  <w:abstractNum w:abstractNumId="428" w15:restartNumberingAfterBreak="0">
    <w:nsid w:val="7223066E"/>
    <w:multiLevelType w:val="hybridMultilevel"/>
    <w:tmpl w:val="7223066E"/>
    <w:lvl w:ilvl="0" w:tplc="F2AEC38E">
      <w:start w:val="1"/>
      <w:numFmt w:val="bullet"/>
      <w:lvlText w:val=""/>
      <w:lvlJc w:val="left"/>
      <w:pPr>
        <w:ind w:left="720" w:hanging="360"/>
      </w:pPr>
      <w:rPr>
        <w:rFonts w:ascii="Symbol" w:hAnsi="Symbol"/>
      </w:rPr>
    </w:lvl>
    <w:lvl w:ilvl="1" w:tplc="A8684174">
      <w:start w:val="1"/>
      <w:numFmt w:val="bullet"/>
      <w:lvlText w:val="o"/>
      <w:lvlJc w:val="left"/>
      <w:pPr>
        <w:ind w:left="1440" w:hanging="360"/>
      </w:pPr>
      <w:rPr>
        <w:rFonts w:ascii="Courier New" w:hAnsi="Courier New"/>
      </w:rPr>
    </w:lvl>
    <w:lvl w:ilvl="2" w:tplc="65BC7818">
      <w:start w:val="1"/>
      <w:numFmt w:val="bullet"/>
      <w:lvlText w:val=""/>
      <w:lvlJc w:val="left"/>
      <w:pPr>
        <w:tabs>
          <w:tab w:val="num" w:pos="2160"/>
        </w:tabs>
        <w:ind w:left="2160" w:hanging="360"/>
      </w:pPr>
      <w:rPr>
        <w:rFonts w:ascii="Wingdings" w:hAnsi="Wingdings"/>
      </w:rPr>
    </w:lvl>
    <w:lvl w:ilvl="3" w:tplc="BACCA68C">
      <w:start w:val="1"/>
      <w:numFmt w:val="bullet"/>
      <w:lvlText w:val=""/>
      <w:lvlJc w:val="left"/>
      <w:pPr>
        <w:tabs>
          <w:tab w:val="num" w:pos="2880"/>
        </w:tabs>
        <w:ind w:left="2880" w:hanging="360"/>
      </w:pPr>
      <w:rPr>
        <w:rFonts w:ascii="Symbol" w:hAnsi="Symbol"/>
      </w:rPr>
    </w:lvl>
    <w:lvl w:ilvl="4" w:tplc="C5AE5C7A">
      <w:start w:val="1"/>
      <w:numFmt w:val="bullet"/>
      <w:lvlText w:val="o"/>
      <w:lvlJc w:val="left"/>
      <w:pPr>
        <w:tabs>
          <w:tab w:val="num" w:pos="3600"/>
        </w:tabs>
        <w:ind w:left="3600" w:hanging="360"/>
      </w:pPr>
      <w:rPr>
        <w:rFonts w:ascii="Courier New" w:hAnsi="Courier New"/>
      </w:rPr>
    </w:lvl>
    <w:lvl w:ilvl="5" w:tplc="0EE0E5E6">
      <w:start w:val="1"/>
      <w:numFmt w:val="bullet"/>
      <w:lvlText w:val=""/>
      <w:lvlJc w:val="left"/>
      <w:pPr>
        <w:tabs>
          <w:tab w:val="num" w:pos="4320"/>
        </w:tabs>
        <w:ind w:left="4320" w:hanging="360"/>
      </w:pPr>
      <w:rPr>
        <w:rFonts w:ascii="Wingdings" w:hAnsi="Wingdings"/>
      </w:rPr>
    </w:lvl>
    <w:lvl w:ilvl="6" w:tplc="391EA9AA">
      <w:start w:val="1"/>
      <w:numFmt w:val="bullet"/>
      <w:lvlText w:val=""/>
      <w:lvlJc w:val="left"/>
      <w:pPr>
        <w:tabs>
          <w:tab w:val="num" w:pos="5040"/>
        </w:tabs>
        <w:ind w:left="5040" w:hanging="360"/>
      </w:pPr>
      <w:rPr>
        <w:rFonts w:ascii="Symbol" w:hAnsi="Symbol"/>
      </w:rPr>
    </w:lvl>
    <w:lvl w:ilvl="7" w:tplc="5876FFF6">
      <w:start w:val="1"/>
      <w:numFmt w:val="bullet"/>
      <w:lvlText w:val="o"/>
      <w:lvlJc w:val="left"/>
      <w:pPr>
        <w:tabs>
          <w:tab w:val="num" w:pos="5760"/>
        </w:tabs>
        <w:ind w:left="5760" w:hanging="360"/>
      </w:pPr>
      <w:rPr>
        <w:rFonts w:ascii="Courier New" w:hAnsi="Courier New"/>
      </w:rPr>
    </w:lvl>
    <w:lvl w:ilvl="8" w:tplc="493CF86E">
      <w:start w:val="1"/>
      <w:numFmt w:val="bullet"/>
      <w:lvlText w:val=""/>
      <w:lvlJc w:val="left"/>
      <w:pPr>
        <w:tabs>
          <w:tab w:val="num" w:pos="6480"/>
        </w:tabs>
        <w:ind w:left="6480" w:hanging="360"/>
      </w:pPr>
      <w:rPr>
        <w:rFonts w:ascii="Wingdings" w:hAnsi="Wingdings"/>
      </w:rPr>
    </w:lvl>
  </w:abstractNum>
  <w:abstractNum w:abstractNumId="429" w15:restartNumberingAfterBreak="0">
    <w:nsid w:val="7223066F"/>
    <w:multiLevelType w:val="hybridMultilevel"/>
    <w:tmpl w:val="7223066F"/>
    <w:lvl w:ilvl="0" w:tplc="59404AB2">
      <w:start w:val="1"/>
      <w:numFmt w:val="bullet"/>
      <w:lvlText w:val=""/>
      <w:lvlJc w:val="left"/>
      <w:pPr>
        <w:ind w:left="720" w:hanging="360"/>
      </w:pPr>
      <w:rPr>
        <w:rFonts w:ascii="Symbol" w:hAnsi="Symbol"/>
      </w:rPr>
    </w:lvl>
    <w:lvl w:ilvl="1" w:tplc="F10C1FBE">
      <w:start w:val="1"/>
      <w:numFmt w:val="bullet"/>
      <w:lvlText w:val="o"/>
      <w:lvlJc w:val="left"/>
      <w:pPr>
        <w:ind w:left="1440" w:hanging="360"/>
      </w:pPr>
      <w:rPr>
        <w:rFonts w:ascii="Courier New" w:hAnsi="Courier New"/>
      </w:rPr>
    </w:lvl>
    <w:lvl w:ilvl="2" w:tplc="093218EC">
      <w:start w:val="1"/>
      <w:numFmt w:val="bullet"/>
      <w:lvlText w:val=""/>
      <w:lvlJc w:val="left"/>
      <w:pPr>
        <w:tabs>
          <w:tab w:val="num" w:pos="2160"/>
        </w:tabs>
        <w:ind w:left="2160" w:hanging="360"/>
      </w:pPr>
      <w:rPr>
        <w:rFonts w:ascii="Wingdings" w:hAnsi="Wingdings"/>
      </w:rPr>
    </w:lvl>
    <w:lvl w:ilvl="3" w:tplc="74FEBD24">
      <w:start w:val="1"/>
      <w:numFmt w:val="bullet"/>
      <w:lvlText w:val=""/>
      <w:lvlJc w:val="left"/>
      <w:pPr>
        <w:tabs>
          <w:tab w:val="num" w:pos="2880"/>
        </w:tabs>
        <w:ind w:left="2880" w:hanging="360"/>
      </w:pPr>
      <w:rPr>
        <w:rFonts w:ascii="Symbol" w:hAnsi="Symbol"/>
      </w:rPr>
    </w:lvl>
    <w:lvl w:ilvl="4" w:tplc="B400D5C8">
      <w:start w:val="1"/>
      <w:numFmt w:val="bullet"/>
      <w:lvlText w:val="o"/>
      <w:lvlJc w:val="left"/>
      <w:pPr>
        <w:tabs>
          <w:tab w:val="num" w:pos="3600"/>
        </w:tabs>
        <w:ind w:left="3600" w:hanging="360"/>
      </w:pPr>
      <w:rPr>
        <w:rFonts w:ascii="Courier New" w:hAnsi="Courier New"/>
      </w:rPr>
    </w:lvl>
    <w:lvl w:ilvl="5" w:tplc="E416C64A">
      <w:start w:val="1"/>
      <w:numFmt w:val="bullet"/>
      <w:lvlText w:val=""/>
      <w:lvlJc w:val="left"/>
      <w:pPr>
        <w:tabs>
          <w:tab w:val="num" w:pos="4320"/>
        </w:tabs>
        <w:ind w:left="4320" w:hanging="360"/>
      </w:pPr>
      <w:rPr>
        <w:rFonts w:ascii="Wingdings" w:hAnsi="Wingdings"/>
      </w:rPr>
    </w:lvl>
    <w:lvl w:ilvl="6" w:tplc="A9E42D74">
      <w:start w:val="1"/>
      <w:numFmt w:val="bullet"/>
      <w:lvlText w:val=""/>
      <w:lvlJc w:val="left"/>
      <w:pPr>
        <w:tabs>
          <w:tab w:val="num" w:pos="5040"/>
        </w:tabs>
        <w:ind w:left="5040" w:hanging="360"/>
      </w:pPr>
      <w:rPr>
        <w:rFonts w:ascii="Symbol" w:hAnsi="Symbol"/>
      </w:rPr>
    </w:lvl>
    <w:lvl w:ilvl="7" w:tplc="2EF6EAE0">
      <w:start w:val="1"/>
      <w:numFmt w:val="bullet"/>
      <w:lvlText w:val="o"/>
      <w:lvlJc w:val="left"/>
      <w:pPr>
        <w:tabs>
          <w:tab w:val="num" w:pos="5760"/>
        </w:tabs>
        <w:ind w:left="5760" w:hanging="360"/>
      </w:pPr>
      <w:rPr>
        <w:rFonts w:ascii="Courier New" w:hAnsi="Courier New"/>
      </w:rPr>
    </w:lvl>
    <w:lvl w:ilvl="8" w:tplc="1610CC76">
      <w:start w:val="1"/>
      <w:numFmt w:val="bullet"/>
      <w:lvlText w:val=""/>
      <w:lvlJc w:val="left"/>
      <w:pPr>
        <w:tabs>
          <w:tab w:val="num" w:pos="6480"/>
        </w:tabs>
        <w:ind w:left="6480" w:hanging="360"/>
      </w:pPr>
      <w:rPr>
        <w:rFonts w:ascii="Wingdings" w:hAnsi="Wingdings"/>
      </w:rPr>
    </w:lvl>
  </w:abstractNum>
  <w:abstractNum w:abstractNumId="430" w15:restartNumberingAfterBreak="0">
    <w:nsid w:val="72230670"/>
    <w:multiLevelType w:val="hybridMultilevel"/>
    <w:tmpl w:val="72230670"/>
    <w:lvl w:ilvl="0" w:tplc="28F22D46">
      <w:start w:val="1"/>
      <w:numFmt w:val="bullet"/>
      <w:lvlText w:val=""/>
      <w:lvlJc w:val="left"/>
      <w:pPr>
        <w:ind w:left="720" w:hanging="360"/>
      </w:pPr>
      <w:rPr>
        <w:rFonts w:ascii="Symbol" w:hAnsi="Symbol"/>
      </w:rPr>
    </w:lvl>
    <w:lvl w:ilvl="1" w:tplc="589E4064">
      <w:start w:val="1"/>
      <w:numFmt w:val="bullet"/>
      <w:lvlText w:val="o"/>
      <w:lvlJc w:val="left"/>
      <w:pPr>
        <w:tabs>
          <w:tab w:val="num" w:pos="1440"/>
        </w:tabs>
        <w:ind w:left="1440" w:hanging="360"/>
      </w:pPr>
      <w:rPr>
        <w:rFonts w:ascii="Courier New" w:hAnsi="Courier New"/>
      </w:rPr>
    </w:lvl>
    <w:lvl w:ilvl="2" w:tplc="ABF4244A">
      <w:start w:val="1"/>
      <w:numFmt w:val="bullet"/>
      <w:lvlText w:val=""/>
      <w:lvlJc w:val="left"/>
      <w:pPr>
        <w:tabs>
          <w:tab w:val="num" w:pos="2160"/>
        </w:tabs>
        <w:ind w:left="2160" w:hanging="360"/>
      </w:pPr>
      <w:rPr>
        <w:rFonts w:ascii="Wingdings" w:hAnsi="Wingdings"/>
      </w:rPr>
    </w:lvl>
    <w:lvl w:ilvl="3" w:tplc="7A18459A">
      <w:start w:val="1"/>
      <w:numFmt w:val="bullet"/>
      <w:lvlText w:val=""/>
      <w:lvlJc w:val="left"/>
      <w:pPr>
        <w:tabs>
          <w:tab w:val="num" w:pos="2880"/>
        </w:tabs>
        <w:ind w:left="2880" w:hanging="360"/>
      </w:pPr>
      <w:rPr>
        <w:rFonts w:ascii="Symbol" w:hAnsi="Symbol"/>
      </w:rPr>
    </w:lvl>
    <w:lvl w:ilvl="4" w:tplc="994C6672">
      <w:start w:val="1"/>
      <w:numFmt w:val="bullet"/>
      <w:lvlText w:val="o"/>
      <w:lvlJc w:val="left"/>
      <w:pPr>
        <w:tabs>
          <w:tab w:val="num" w:pos="3600"/>
        </w:tabs>
        <w:ind w:left="3600" w:hanging="360"/>
      </w:pPr>
      <w:rPr>
        <w:rFonts w:ascii="Courier New" w:hAnsi="Courier New"/>
      </w:rPr>
    </w:lvl>
    <w:lvl w:ilvl="5" w:tplc="934EB21A">
      <w:start w:val="1"/>
      <w:numFmt w:val="bullet"/>
      <w:lvlText w:val=""/>
      <w:lvlJc w:val="left"/>
      <w:pPr>
        <w:tabs>
          <w:tab w:val="num" w:pos="4320"/>
        </w:tabs>
        <w:ind w:left="4320" w:hanging="360"/>
      </w:pPr>
      <w:rPr>
        <w:rFonts w:ascii="Wingdings" w:hAnsi="Wingdings"/>
      </w:rPr>
    </w:lvl>
    <w:lvl w:ilvl="6" w:tplc="1506DA12">
      <w:start w:val="1"/>
      <w:numFmt w:val="bullet"/>
      <w:lvlText w:val=""/>
      <w:lvlJc w:val="left"/>
      <w:pPr>
        <w:tabs>
          <w:tab w:val="num" w:pos="5040"/>
        </w:tabs>
        <w:ind w:left="5040" w:hanging="360"/>
      </w:pPr>
      <w:rPr>
        <w:rFonts w:ascii="Symbol" w:hAnsi="Symbol"/>
      </w:rPr>
    </w:lvl>
    <w:lvl w:ilvl="7" w:tplc="6A68AFBE">
      <w:start w:val="1"/>
      <w:numFmt w:val="bullet"/>
      <w:lvlText w:val="o"/>
      <w:lvlJc w:val="left"/>
      <w:pPr>
        <w:tabs>
          <w:tab w:val="num" w:pos="5760"/>
        </w:tabs>
        <w:ind w:left="5760" w:hanging="360"/>
      </w:pPr>
      <w:rPr>
        <w:rFonts w:ascii="Courier New" w:hAnsi="Courier New"/>
      </w:rPr>
    </w:lvl>
    <w:lvl w:ilvl="8" w:tplc="AB8C96D6">
      <w:start w:val="1"/>
      <w:numFmt w:val="bullet"/>
      <w:lvlText w:val=""/>
      <w:lvlJc w:val="left"/>
      <w:pPr>
        <w:tabs>
          <w:tab w:val="num" w:pos="6480"/>
        </w:tabs>
        <w:ind w:left="6480" w:hanging="360"/>
      </w:pPr>
      <w:rPr>
        <w:rFonts w:ascii="Wingdings" w:hAnsi="Wingdings"/>
      </w:rPr>
    </w:lvl>
  </w:abstractNum>
  <w:abstractNum w:abstractNumId="431" w15:restartNumberingAfterBreak="0">
    <w:nsid w:val="72230671"/>
    <w:multiLevelType w:val="hybridMultilevel"/>
    <w:tmpl w:val="72230671"/>
    <w:lvl w:ilvl="0" w:tplc="D9369AB8">
      <w:start w:val="1"/>
      <w:numFmt w:val="bullet"/>
      <w:lvlText w:val=""/>
      <w:lvlJc w:val="left"/>
      <w:pPr>
        <w:ind w:left="720" w:hanging="360"/>
      </w:pPr>
      <w:rPr>
        <w:rFonts w:ascii="Symbol" w:hAnsi="Symbol"/>
      </w:rPr>
    </w:lvl>
    <w:lvl w:ilvl="1" w:tplc="185868CA">
      <w:start w:val="1"/>
      <w:numFmt w:val="bullet"/>
      <w:lvlText w:val="o"/>
      <w:lvlJc w:val="left"/>
      <w:pPr>
        <w:tabs>
          <w:tab w:val="num" w:pos="1440"/>
        </w:tabs>
        <w:ind w:left="1440" w:hanging="360"/>
      </w:pPr>
      <w:rPr>
        <w:rFonts w:ascii="Courier New" w:hAnsi="Courier New"/>
      </w:rPr>
    </w:lvl>
    <w:lvl w:ilvl="2" w:tplc="892286AA">
      <w:start w:val="1"/>
      <w:numFmt w:val="bullet"/>
      <w:lvlText w:val=""/>
      <w:lvlJc w:val="left"/>
      <w:pPr>
        <w:tabs>
          <w:tab w:val="num" w:pos="2160"/>
        </w:tabs>
        <w:ind w:left="2160" w:hanging="360"/>
      </w:pPr>
      <w:rPr>
        <w:rFonts w:ascii="Wingdings" w:hAnsi="Wingdings"/>
      </w:rPr>
    </w:lvl>
    <w:lvl w:ilvl="3" w:tplc="9926AEDA">
      <w:start w:val="1"/>
      <w:numFmt w:val="bullet"/>
      <w:lvlText w:val=""/>
      <w:lvlJc w:val="left"/>
      <w:pPr>
        <w:tabs>
          <w:tab w:val="num" w:pos="2880"/>
        </w:tabs>
        <w:ind w:left="2880" w:hanging="360"/>
      </w:pPr>
      <w:rPr>
        <w:rFonts w:ascii="Symbol" w:hAnsi="Symbol"/>
      </w:rPr>
    </w:lvl>
    <w:lvl w:ilvl="4" w:tplc="96B4ED72">
      <w:start w:val="1"/>
      <w:numFmt w:val="bullet"/>
      <w:lvlText w:val="o"/>
      <w:lvlJc w:val="left"/>
      <w:pPr>
        <w:tabs>
          <w:tab w:val="num" w:pos="3600"/>
        </w:tabs>
        <w:ind w:left="3600" w:hanging="360"/>
      </w:pPr>
      <w:rPr>
        <w:rFonts w:ascii="Courier New" w:hAnsi="Courier New"/>
      </w:rPr>
    </w:lvl>
    <w:lvl w:ilvl="5" w:tplc="BC2A0850">
      <w:start w:val="1"/>
      <w:numFmt w:val="bullet"/>
      <w:lvlText w:val=""/>
      <w:lvlJc w:val="left"/>
      <w:pPr>
        <w:tabs>
          <w:tab w:val="num" w:pos="4320"/>
        </w:tabs>
        <w:ind w:left="4320" w:hanging="360"/>
      </w:pPr>
      <w:rPr>
        <w:rFonts w:ascii="Wingdings" w:hAnsi="Wingdings"/>
      </w:rPr>
    </w:lvl>
    <w:lvl w:ilvl="6" w:tplc="48D80756">
      <w:start w:val="1"/>
      <w:numFmt w:val="bullet"/>
      <w:lvlText w:val=""/>
      <w:lvlJc w:val="left"/>
      <w:pPr>
        <w:tabs>
          <w:tab w:val="num" w:pos="5040"/>
        </w:tabs>
        <w:ind w:left="5040" w:hanging="360"/>
      </w:pPr>
      <w:rPr>
        <w:rFonts w:ascii="Symbol" w:hAnsi="Symbol"/>
      </w:rPr>
    </w:lvl>
    <w:lvl w:ilvl="7" w:tplc="C3E4B4D0">
      <w:start w:val="1"/>
      <w:numFmt w:val="bullet"/>
      <w:lvlText w:val="o"/>
      <w:lvlJc w:val="left"/>
      <w:pPr>
        <w:tabs>
          <w:tab w:val="num" w:pos="5760"/>
        </w:tabs>
        <w:ind w:left="5760" w:hanging="360"/>
      </w:pPr>
      <w:rPr>
        <w:rFonts w:ascii="Courier New" w:hAnsi="Courier New"/>
      </w:rPr>
    </w:lvl>
    <w:lvl w:ilvl="8" w:tplc="2DF444B2">
      <w:start w:val="1"/>
      <w:numFmt w:val="bullet"/>
      <w:lvlText w:val=""/>
      <w:lvlJc w:val="left"/>
      <w:pPr>
        <w:tabs>
          <w:tab w:val="num" w:pos="6480"/>
        </w:tabs>
        <w:ind w:left="6480" w:hanging="360"/>
      </w:pPr>
      <w:rPr>
        <w:rFonts w:ascii="Wingdings" w:hAnsi="Wingdings"/>
      </w:rPr>
    </w:lvl>
  </w:abstractNum>
  <w:abstractNum w:abstractNumId="432" w15:restartNumberingAfterBreak="0">
    <w:nsid w:val="72230672"/>
    <w:multiLevelType w:val="hybridMultilevel"/>
    <w:tmpl w:val="72230672"/>
    <w:lvl w:ilvl="0" w:tplc="9D5E9554">
      <w:start w:val="1"/>
      <w:numFmt w:val="bullet"/>
      <w:lvlText w:val=""/>
      <w:lvlJc w:val="left"/>
      <w:pPr>
        <w:ind w:left="720" w:hanging="360"/>
      </w:pPr>
      <w:rPr>
        <w:rFonts w:ascii="Symbol" w:hAnsi="Symbol"/>
      </w:rPr>
    </w:lvl>
    <w:lvl w:ilvl="1" w:tplc="3F6A2E2E">
      <w:start w:val="1"/>
      <w:numFmt w:val="bullet"/>
      <w:lvlText w:val="o"/>
      <w:lvlJc w:val="left"/>
      <w:pPr>
        <w:tabs>
          <w:tab w:val="num" w:pos="1440"/>
        </w:tabs>
        <w:ind w:left="1440" w:hanging="360"/>
      </w:pPr>
      <w:rPr>
        <w:rFonts w:ascii="Courier New" w:hAnsi="Courier New"/>
      </w:rPr>
    </w:lvl>
    <w:lvl w:ilvl="2" w:tplc="F1BC75FE">
      <w:start w:val="1"/>
      <w:numFmt w:val="bullet"/>
      <w:lvlText w:val=""/>
      <w:lvlJc w:val="left"/>
      <w:pPr>
        <w:tabs>
          <w:tab w:val="num" w:pos="2160"/>
        </w:tabs>
        <w:ind w:left="2160" w:hanging="360"/>
      </w:pPr>
      <w:rPr>
        <w:rFonts w:ascii="Wingdings" w:hAnsi="Wingdings"/>
      </w:rPr>
    </w:lvl>
    <w:lvl w:ilvl="3" w:tplc="1CFAEB58">
      <w:start w:val="1"/>
      <w:numFmt w:val="bullet"/>
      <w:lvlText w:val=""/>
      <w:lvlJc w:val="left"/>
      <w:pPr>
        <w:tabs>
          <w:tab w:val="num" w:pos="2880"/>
        </w:tabs>
        <w:ind w:left="2880" w:hanging="360"/>
      </w:pPr>
      <w:rPr>
        <w:rFonts w:ascii="Symbol" w:hAnsi="Symbol"/>
      </w:rPr>
    </w:lvl>
    <w:lvl w:ilvl="4" w:tplc="0F50B342">
      <w:start w:val="1"/>
      <w:numFmt w:val="bullet"/>
      <w:lvlText w:val="o"/>
      <w:lvlJc w:val="left"/>
      <w:pPr>
        <w:tabs>
          <w:tab w:val="num" w:pos="3600"/>
        </w:tabs>
        <w:ind w:left="3600" w:hanging="360"/>
      </w:pPr>
      <w:rPr>
        <w:rFonts w:ascii="Courier New" w:hAnsi="Courier New"/>
      </w:rPr>
    </w:lvl>
    <w:lvl w:ilvl="5" w:tplc="8F2ACA24">
      <w:start w:val="1"/>
      <w:numFmt w:val="bullet"/>
      <w:lvlText w:val=""/>
      <w:lvlJc w:val="left"/>
      <w:pPr>
        <w:tabs>
          <w:tab w:val="num" w:pos="4320"/>
        </w:tabs>
        <w:ind w:left="4320" w:hanging="360"/>
      </w:pPr>
      <w:rPr>
        <w:rFonts w:ascii="Wingdings" w:hAnsi="Wingdings"/>
      </w:rPr>
    </w:lvl>
    <w:lvl w:ilvl="6" w:tplc="4E5A4AA2">
      <w:start w:val="1"/>
      <w:numFmt w:val="bullet"/>
      <w:lvlText w:val=""/>
      <w:lvlJc w:val="left"/>
      <w:pPr>
        <w:tabs>
          <w:tab w:val="num" w:pos="5040"/>
        </w:tabs>
        <w:ind w:left="5040" w:hanging="360"/>
      </w:pPr>
      <w:rPr>
        <w:rFonts w:ascii="Symbol" w:hAnsi="Symbol"/>
      </w:rPr>
    </w:lvl>
    <w:lvl w:ilvl="7" w:tplc="B85C1BBA">
      <w:start w:val="1"/>
      <w:numFmt w:val="bullet"/>
      <w:lvlText w:val="o"/>
      <w:lvlJc w:val="left"/>
      <w:pPr>
        <w:tabs>
          <w:tab w:val="num" w:pos="5760"/>
        </w:tabs>
        <w:ind w:left="5760" w:hanging="360"/>
      </w:pPr>
      <w:rPr>
        <w:rFonts w:ascii="Courier New" w:hAnsi="Courier New"/>
      </w:rPr>
    </w:lvl>
    <w:lvl w:ilvl="8" w:tplc="178CB48E">
      <w:start w:val="1"/>
      <w:numFmt w:val="bullet"/>
      <w:lvlText w:val=""/>
      <w:lvlJc w:val="left"/>
      <w:pPr>
        <w:tabs>
          <w:tab w:val="num" w:pos="6480"/>
        </w:tabs>
        <w:ind w:left="6480" w:hanging="360"/>
      </w:pPr>
      <w:rPr>
        <w:rFonts w:ascii="Wingdings" w:hAnsi="Wingdings"/>
      </w:rPr>
    </w:lvl>
  </w:abstractNum>
  <w:abstractNum w:abstractNumId="433" w15:restartNumberingAfterBreak="0">
    <w:nsid w:val="72230673"/>
    <w:multiLevelType w:val="hybridMultilevel"/>
    <w:tmpl w:val="72230673"/>
    <w:lvl w:ilvl="0" w:tplc="55A86D12">
      <w:start w:val="1"/>
      <w:numFmt w:val="bullet"/>
      <w:lvlText w:val=""/>
      <w:lvlJc w:val="left"/>
      <w:pPr>
        <w:ind w:left="720" w:hanging="360"/>
      </w:pPr>
      <w:rPr>
        <w:rFonts w:ascii="Symbol" w:hAnsi="Symbol"/>
      </w:rPr>
    </w:lvl>
    <w:lvl w:ilvl="1" w:tplc="B5E24622">
      <w:start w:val="1"/>
      <w:numFmt w:val="bullet"/>
      <w:lvlText w:val="o"/>
      <w:lvlJc w:val="left"/>
      <w:pPr>
        <w:tabs>
          <w:tab w:val="num" w:pos="1440"/>
        </w:tabs>
        <w:ind w:left="1440" w:hanging="360"/>
      </w:pPr>
      <w:rPr>
        <w:rFonts w:ascii="Courier New" w:hAnsi="Courier New"/>
      </w:rPr>
    </w:lvl>
    <w:lvl w:ilvl="2" w:tplc="19CCF070">
      <w:start w:val="1"/>
      <w:numFmt w:val="bullet"/>
      <w:lvlText w:val=""/>
      <w:lvlJc w:val="left"/>
      <w:pPr>
        <w:tabs>
          <w:tab w:val="num" w:pos="2160"/>
        </w:tabs>
        <w:ind w:left="2160" w:hanging="360"/>
      </w:pPr>
      <w:rPr>
        <w:rFonts w:ascii="Wingdings" w:hAnsi="Wingdings"/>
      </w:rPr>
    </w:lvl>
    <w:lvl w:ilvl="3" w:tplc="AA8C3856">
      <w:start w:val="1"/>
      <w:numFmt w:val="bullet"/>
      <w:lvlText w:val=""/>
      <w:lvlJc w:val="left"/>
      <w:pPr>
        <w:tabs>
          <w:tab w:val="num" w:pos="2880"/>
        </w:tabs>
        <w:ind w:left="2880" w:hanging="360"/>
      </w:pPr>
      <w:rPr>
        <w:rFonts w:ascii="Symbol" w:hAnsi="Symbol"/>
      </w:rPr>
    </w:lvl>
    <w:lvl w:ilvl="4" w:tplc="B9188330">
      <w:start w:val="1"/>
      <w:numFmt w:val="bullet"/>
      <w:lvlText w:val="o"/>
      <w:lvlJc w:val="left"/>
      <w:pPr>
        <w:tabs>
          <w:tab w:val="num" w:pos="3600"/>
        </w:tabs>
        <w:ind w:left="3600" w:hanging="360"/>
      </w:pPr>
      <w:rPr>
        <w:rFonts w:ascii="Courier New" w:hAnsi="Courier New"/>
      </w:rPr>
    </w:lvl>
    <w:lvl w:ilvl="5" w:tplc="64B269A2">
      <w:start w:val="1"/>
      <w:numFmt w:val="bullet"/>
      <w:lvlText w:val=""/>
      <w:lvlJc w:val="left"/>
      <w:pPr>
        <w:tabs>
          <w:tab w:val="num" w:pos="4320"/>
        </w:tabs>
        <w:ind w:left="4320" w:hanging="360"/>
      </w:pPr>
      <w:rPr>
        <w:rFonts w:ascii="Wingdings" w:hAnsi="Wingdings"/>
      </w:rPr>
    </w:lvl>
    <w:lvl w:ilvl="6" w:tplc="0038C39E">
      <w:start w:val="1"/>
      <w:numFmt w:val="bullet"/>
      <w:lvlText w:val=""/>
      <w:lvlJc w:val="left"/>
      <w:pPr>
        <w:tabs>
          <w:tab w:val="num" w:pos="5040"/>
        </w:tabs>
        <w:ind w:left="5040" w:hanging="360"/>
      </w:pPr>
      <w:rPr>
        <w:rFonts w:ascii="Symbol" w:hAnsi="Symbol"/>
      </w:rPr>
    </w:lvl>
    <w:lvl w:ilvl="7" w:tplc="29E6D4BE">
      <w:start w:val="1"/>
      <w:numFmt w:val="bullet"/>
      <w:lvlText w:val="o"/>
      <w:lvlJc w:val="left"/>
      <w:pPr>
        <w:tabs>
          <w:tab w:val="num" w:pos="5760"/>
        </w:tabs>
        <w:ind w:left="5760" w:hanging="360"/>
      </w:pPr>
      <w:rPr>
        <w:rFonts w:ascii="Courier New" w:hAnsi="Courier New"/>
      </w:rPr>
    </w:lvl>
    <w:lvl w:ilvl="8" w:tplc="2D1C1B5C">
      <w:start w:val="1"/>
      <w:numFmt w:val="bullet"/>
      <w:lvlText w:val=""/>
      <w:lvlJc w:val="left"/>
      <w:pPr>
        <w:tabs>
          <w:tab w:val="num" w:pos="6480"/>
        </w:tabs>
        <w:ind w:left="6480" w:hanging="360"/>
      </w:pPr>
      <w:rPr>
        <w:rFonts w:ascii="Wingdings" w:hAnsi="Wingdings"/>
      </w:rPr>
    </w:lvl>
  </w:abstractNum>
  <w:abstractNum w:abstractNumId="434" w15:restartNumberingAfterBreak="0">
    <w:nsid w:val="72230674"/>
    <w:multiLevelType w:val="hybridMultilevel"/>
    <w:tmpl w:val="72230674"/>
    <w:lvl w:ilvl="0" w:tplc="2A043788">
      <w:start w:val="1"/>
      <w:numFmt w:val="bullet"/>
      <w:lvlText w:val=""/>
      <w:lvlJc w:val="left"/>
      <w:pPr>
        <w:ind w:left="720" w:hanging="360"/>
      </w:pPr>
      <w:rPr>
        <w:rFonts w:ascii="Symbol" w:hAnsi="Symbol"/>
      </w:rPr>
    </w:lvl>
    <w:lvl w:ilvl="1" w:tplc="DB9471E4">
      <w:start w:val="1"/>
      <w:numFmt w:val="bullet"/>
      <w:lvlText w:val="o"/>
      <w:lvlJc w:val="left"/>
      <w:pPr>
        <w:ind w:left="1440" w:hanging="360"/>
      </w:pPr>
      <w:rPr>
        <w:rFonts w:ascii="Courier New" w:hAnsi="Courier New"/>
      </w:rPr>
    </w:lvl>
    <w:lvl w:ilvl="2" w:tplc="B2AC2202">
      <w:start w:val="1"/>
      <w:numFmt w:val="bullet"/>
      <w:lvlText w:val=""/>
      <w:lvlJc w:val="left"/>
      <w:pPr>
        <w:tabs>
          <w:tab w:val="num" w:pos="2160"/>
        </w:tabs>
        <w:ind w:left="2160" w:hanging="360"/>
      </w:pPr>
      <w:rPr>
        <w:rFonts w:ascii="Wingdings" w:hAnsi="Wingdings"/>
      </w:rPr>
    </w:lvl>
    <w:lvl w:ilvl="3" w:tplc="1A7A1CB0">
      <w:start w:val="1"/>
      <w:numFmt w:val="bullet"/>
      <w:lvlText w:val=""/>
      <w:lvlJc w:val="left"/>
      <w:pPr>
        <w:tabs>
          <w:tab w:val="num" w:pos="2880"/>
        </w:tabs>
        <w:ind w:left="2880" w:hanging="360"/>
      </w:pPr>
      <w:rPr>
        <w:rFonts w:ascii="Symbol" w:hAnsi="Symbol"/>
      </w:rPr>
    </w:lvl>
    <w:lvl w:ilvl="4" w:tplc="EB4EBDE0">
      <w:start w:val="1"/>
      <w:numFmt w:val="bullet"/>
      <w:lvlText w:val="o"/>
      <w:lvlJc w:val="left"/>
      <w:pPr>
        <w:tabs>
          <w:tab w:val="num" w:pos="3600"/>
        </w:tabs>
        <w:ind w:left="3600" w:hanging="360"/>
      </w:pPr>
      <w:rPr>
        <w:rFonts w:ascii="Courier New" w:hAnsi="Courier New"/>
      </w:rPr>
    </w:lvl>
    <w:lvl w:ilvl="5" w:tplc="F2987696">
      <w:start w:val="1"/>
      <w:numFmt w:val="bullet"/>
      <w:lvlText w:val=""/>
      <w:lvlJc w:val="left"/>
      <w:pPr>
        <w:tabs>
          <w:tab w:val="num" w:pos="4320"/>
        </w:tabs>
        <w:ind w:left="4320" w:hanging="360"/>
      </w:pPr>
      <w:rPr>
        <w:rFonts w:ascii="Wingdings" w:hAnsi="Wingdings"/>
      </w:rPr>
    </w:lvl>
    <w:lvl w:ilvl="6" w:tplc="D68C540C">
      <w:start w:val="1"/>
      <w:numFmt w:val="bullet"/>
      <w:lvlText w:val=""/>
      <w:lvlJc w:val="left"/>
      <w:pPr>
        <w:tabs>
          <w:tab w:val="num" w:pos="5040"/>
        </w:tabs>
        <w:ind w:left="5040" w:hanging="360"/>
      </w:pPr>
      <w:rPr>
        <w:rFonts w:ascii="Symbol" w:hAnsi="Symbol"/>
      </w:rPr>
    </w:lvl>
    <w:lvl w:ilvl="7" w:tplc="A6D4B134">
      <w:start w:val="1"/>
      <w:numFmt w:val="bullet"/>
      <w:lvlText w:val="o"/>
      <w:lvlJc w:val="left"/>
      <w:pPr>
        <w:tabs>
          <w:tab w:val="num" w:pos="5760"/>
        </w:tabs>
        <w:ind w:left="5760" w:hanging="360"/>
      </w:pPr>
      <w:rPr>
        <w:rFonts w:ascii="Courier New" w:hAnsi="Courier New"/>
      </w:rPr>
    </w:lvl>
    <w:lvl w:ilvl="8" w:tplc="BEF8C6E8">
      <w:start w:val="1"/>
      <w:numFmt w:val="bullet"/>
      <w:lvlText w:val=""/>
      <w:lvlJc w:val="left"/>
      <w:pPr>
        <w:tabs>
          <w:tab w:val="num" w:pos="6480"/>
        </w:tabs>
        <w:ind w:left="6480" w:hanging="360"/>
      </w:pPr>
      <w:rPr>
        <w:rFonts w:ascii="Wingdings" w:hAnsi="Wingdings"/>
      </w:rPr>
    </w:lvl>
  </w:abstractNum>
  <w:abstractNum w:abstractNumId="435" w15:restartNumberingAfterBreak="0">
    <w:nsid w:val="72230675"/>
    <w:multiLevelType w:val="hybridMultilevel"/>
    <w:tmpl w:val="72230675"/>
    <w:lvl w:ilvl="0" w:tplc="6F7AF5BC">
      <w:start w:val="1"/>
      <w:numFmt w:val="bullet"/>
      <w:lvlText w:val=""/>
      <w:lvlJc w:val="left"/>
      <w:pPr>
        <w:ind w:left="720" w:hanging="360"/>
      </w:pPr>
      <w:rPr>
        <w:rFonts w:ascii="Symbol" w:hAnsi="Symbol"/>
      </w:rPr>
    </w:lvl>
    <w:lvl w:ilvl="1" w:tplc="DE98FCB4">
      <w:start w:val="1"/>
      <w:numFmt w:val="bullet"/>
      <w:lvlText w:val="o"/>
      <w:lvlJc w:val="left"/>
      <w:pPr>
        <w:tabs>
          <w:tab w:val="num" w:pos="1440"/>
        </w:tabs>
        <w:ind w:left="1440" w:hanging="360"/>
      </w:pPr>
      <w:rPr>
        <w:rFonts w:ascii="Courier New" w:hAnsi="Courier New"/>
      </w:rPr>
    </w:lvl>
    <w:lvl w:ilvl="2" w:tplc="4246F7D8">
      <w:start w:val="1"/>
      <w:numFmt w:val="bullet"/>
      <w:lvlText w:val=""/>
      <w:lvlJc w:val="left"/>
      <w:pPr>
        <w:tabs>
          <w:tab w:val="num" w:pos="2160"/>
        </w:tabs>
        <w:ind w:left="2160" w:hanging="360"/>
      </w:pPr>
      <w:rPr>
        <w:rFonts w:ascii="Wingdings" w:hAnsi="Wingdings"/>
      </w:rPr>
    </w:lvl>
    <w:lvl w:ilvl="3" w:tplc="A1AAA77E">
      <w:start w:val="1"/>
      <w:numFmt w:val="bullet"/>
      <w:lvlText w:val=""/>
      <w:lvlJc w:val="left"/>
      <w:pPr>
        <w:tabs>
          <w:tab w:val="num" w:pos="2880"/>
        </w:tabs>
        <w:ind w:left="2880" w:hanging="360"/>
      </w:pPr>
      <w:rPr>
        <w:rFonts w:ascii="Symbol" w:hAnsi="Symbol"/>
      </w:rPr>
    </w:lvl>
    <w:lvl w:ilvl="4" w:tplc="208AAEFC">
      <w:start w:val="1"/>
      <w:numFmt w:val="bullet"/>
      <w:lvlText w:val="o"/>
      <w:lvlJc w:val="left"/>
      <w:pPr>
        <w:tabs>
          <w:tab w:val="num" w:pos="3600"/>
        </w:tabs>
        <w:ind w:left="3600" w:hanging="360"/>
      </w:pPr>
      <w:rPr>
        <w:rFonts w:ascii="Courier New" w:hAnsi="Courier New"/>
      </w:rPr>
    </w:lvl>
    <w:lvl w:ilvl="5" w:tplc="94C614A0">
      <w:start w:val="1"/>
      <w:numFmt w:val="bullet"/>
      <w:lvlText w:val=""/>
      <w:lvlJc w:val="left"/>
      <w:pPr>
        <w:tabs>
          <w:tab w:val="num" w:pos="4320"/>
        </w:tabs>
        <w:ind w:left="4320" w:hanging="360"/>
      </w:pPr>
      <w:rPr>
        <w:rFonts w:ascii="Wingdings" w:hAnsi="Wingdings"/>
      </w:rPr>
    </w:lvl>
    <w:lvl w:ilvl="6" w:tplc="84D8B2B4">
      <w:start w:val="1"/>
      <w:numFmt w:val="bullet"/>
      <w:lvlText w:val=""/>
      <w:lvlJc w:val="left"/>
      <w:pPr>
        <w:tabs>
          <w:tab w:val="num" w:pos="5040"/>
        </w:tabs>
        <w:ind w:left="5040" w:hanging="360"/>
      </w:pPr>
      <w:rPr>
        <w:rFonts w:ascii="Symbol" w:hAnsi="Symbol"/>
      </w:rPr>
    </w:lvl>
    <w:lvl w:ilvl="7" w:tplc="5414F7B0">
      <w:start w:val="1"/>
      <w:numFmt w:val="bullet"/>
      <w:lvlText w:val="o"/>
      <w:lvlJc w:val="left"/>
      <w:pPr>
        <w:tabs>
          <w:tab w:val="num" w:pos="5760"/>
        </w:tabs>
        <w:ind w:left="5760" w:hanging="360"/>
      </w:pPr>
      <w:rPr>
        <w:rFonts w:ascii="Courier New" w:hAnsi="Courier New"/>
      </w:rPr>
    </w:lvl>
    <w:lvl w:ilvl="8" w:tplc="C39A5C32">
      <w:start w:val="1"/>
      <w:numFmt w:val="bullet"/>
      <w:lvlText w:val=""/>
      <w:lvlJc w:val="left"/>
      <w:pPr>
        <w:tabs>
          <w:tab w:val="num" w:pos="6480"/>
        </w:tabs>
        <w:ind w:left="6480" w:hanging="360"/>
      </w:pPr>
      <w:rPr>
        <w:rFonts w:ascii="Wingdings" w:hAnsi="Wingdings"/>
      </w:rPr>
    </w:lvl>
  </w:abstractNum>
  <w:abstractNum w:abstractNumId="436" w15:restartNumberingAfterBreak="0">
    <w:nsid w:val="72230676"/>
    <w:multiLevelType w:val="hybridMultilevel"/>
    <w:tmpl w:val="72230676"/>
    <w:lvl w:ilvl="0" w:tplc="A43C0284">
      <w:start w:val="1"/>
      <w:numFmt w:val="bullet"/>
      <w:lvlText w:val=""/>
      <w:lvlJc w:val="left"/>
      <w:pPr>
        <w:ind w:left="720" w:hanging="360"/>
      </w:pPr>
      <w:rPr>
        <w:rFonts w:ascii="Symbol" w:hAnsi="Symbol"/>
      </w:rPr>
    </w:lvl>
    <w:lvl w:ilvl="1" w:tplc="F898636C">
      <w:start w:val="1"/>
      <w:numFmt w:val="bullet"/>
      <w:lvlText w:val="o"/>
      <w:lvlJc w:val="left"/>
      <w:pPr>
        <w:tabs>
          <w:tab w:val="num" w:pos="1440"/>
        </w:tabs>
        <w:ind w:left="1440" w:hanging="360"/>
      </w:pPr>
      <w:rPr>
        <w:rFonts w:ascii="Courier New" w:hAnsi="Courier New"/>
      </w:rPr>
    </w:lvl>
    <w:lvl w:ilvl="2" w:tplc="ABA09062">
      <w:start w:val="1"/>
      <w:numFmt w:val="bullet"/>
      <w:lvlText w:val=""/>
      <w:lvlJc w:val="left"/>
      <w:pPr>
        <w:tabs>
          <w:tab w:val="num" w:pos="2160"/>
        </w:tabs>
        <w:ind w:left="2160" w:hanging="360"/>
      </w:pPr>
      <w:rPr>
        <w:rFonts w:ascii="Wingdings" w:hAnsi="Wingdings"/>
      </w:rPr>
    </w:lvl>
    <w:lvl w:ilvl="3" w:tplc="84005DEC">
      <w:start w:val="1"/>
      <w:numFmt w:val="bullet"/>
      <w:lvlText w:val=""/>
      <w:lvlJc w:val="left"/>
      <w:pPr>
        <w:tabs>
          <w:tab w:val="num" w:pos="2880"/>
        </w:tabs>
        <w:ind w:left="2880" w:hanging="360"/>
      </w:pPr>
      <w:rPr>
        <w:rFonts w:ascii="Symbol" w:hAnsi="Symbol"/>
      </w:rPr>
    </w:lvl>
    <w:lvl w:ilvl="4" w:tplc="BE6A7FB6">
      <w:start w:val="1"/>
      <w:numFmt w:val="bullet"/>
      <w:lvlText w:val="o"/>
      <w:lvlJc w:val="left"/>
      <w:pPr>
        <w:tabs>
          <w:tab w:val="num" w:pos="3600"/>
        </w:tabs>
        <w:ind w:left="3600" w:hanging="360"/>
      </w:pPr>
      <w:rPr>
        <w:rFonts w:ascii="Courier New" w:hAnsi="Courier New"/>
      </w:rPr>
    </w:lvl>
    <w:lvl w:ilvl="5" w:tplc="FEE068C8">
      <w:start w:val="1"/>
      <w:numFmt w:val="bullet"/>
      <w:lvlText w:val=""/>
      <w:lvlJc w:val="left"/>
      <w:pPr>
        <w:tabs>
          <w:tab w:val="num" w:pos="4320"/>
        </w:tabs>
        <w:ind w:left="4320" w:hanging="360"/>
      </w:pPr>
      <w:rPr>
        <w:rFonts w:ascii="Wingdings" w:hAnsi="Wingdings"/>
      </w:rPr>
    </w:lvl>
    <w:lvl w:ilvl="6" w:tplc="2E2A6056">
      <w:start w:val="1"/>
      <w:numFmt w:val="bullet"/>
      <w:lvlText w:val=""/>
      <w:lvlJc w:val="left"/>
      <w:pPr>
        <w:tabs>
          <w:tab w:val="num" w:pos="5040"/>
        </w:tabs>
        <w:ind w:left="5040" w:hanging="360"/>
      </w:pPr>
      <w:rPr>
        <w:rFonts w:ascii="Symbol" w:hAnsi="Symbol"/>
      </w:rPr>
    </w:lvl>
    <w:lvl w:ilvl="7" w:tplc="40DCAA22">
      <w:start w:val="1"/>
      <w:numFmt w:val="bullet"/>
      <w:lvlText w:val="o"/>
      <w:lvlJc w:val="left"/>
      <w:pPr>
        <w:tabs>
          <w:tab w:val="num" w:pos="5760"/>
        </w:tabs>
        <w:ind w:left="5760" w:hanging="360"/>
      </w:pPr>
      <w:rPr>
        <w:rFonts w:ascii="Courier New" w:hAnsi="Courier New"/>
      </w:rPr>
    </w:lvl>
    <w:lvl w:ilvl="8" w:tplc="704EE4F6">
      <w:start w:val="1"/>
      <w:numFmt w:val="bullet"/>
      <w:lvlText w:val=""/>
      <w:lvlJc w:val="left"/>
      <w:pPr>
        <w:tabs>
          <w:tab w:val="num" w:pos="6480"/>
        </w:tabs>
        <w:ind w:left="6480" w:hanging="360"/>
      </w:pPr>
      <w:rPr>
        <w:rFonts w:ascii="Wingdings" w:hAnsi="Wingdings"/>
      </w:rPr>
    </w:lvl>
  </w:abstractNum>
  <w:abstractNum w:abstractNumId="437" w15:restartNumberingAfterBreak="0">
    <w:nsid w:val="72230677"/>
    <w:multiLevelType w:val="hybridMultilevel"/>
    <w:tmpl w:val="72230677"/>
    <w:lvl w:ilvl="0" w:tplc="76041422">
      <w:start w:val="1"/>
      <w:numFmt w:val="bullet"/>
      <w:lvlText w:val=""/>
      <w:lvlJc w:val="left"/>
      <w:pPr>
        <w:ind w:left="720" w:hanging="360"/>
      </w:pPr>
      <w:rPr>
        <w:rFonts w:ascii="Symbol" w:hAnsi="Symbol"/>
      </w:rPr>
    </w:lvl>
    <w:lvl w:ilvl="1" w:tplc="B47ECAC8">
      <w:start w:val="1"/>
      <w:numFmt w:val="bullet"/>
      <w:lvlText w:val="o"/>
      <w:lvlJc w:val="left"/>
      <w:pPr>
        <w:tabs>
          <w:tab w:val="num" w:pos="1440"/>
        </w:tabs>
        <w:ind w:left="1440" w:hanging="360"/>
      </w:pPr>
      <w:rPr>
        <w:rFonts w:ascii="Courier New" w:hAnsi="Courier New"/>
      </w:rPr>
    </w:lvl>
    <w:lvl w:ilvl="2" w:tplc="CE38B798">
      <w:start w:val="1"/>
      <w:numFmt w:val="bullet"/>
      <w:lvlText w:val=""/>
      <w:lvlJc w:val="left"/>
      <w:pPr>
        <w:tabs>
          <w:tab w:val="num" w:pos="2160"/>
        </w:tabs>
        <w:ind w:left="2160" w:hanging="360"/>
      </w:pPr>
      <w:rPr>
        <w:rFonts w:ascii="Wingdings" w:hAnsi="Wingdings"/>
      </w:rPr>
    </w:lvl>
    <w:lvl w:ilvl="3" w:tplc="EA043E2C">
      <w:start w:val="1"/>
      <w:numFmt w:val="bullet"/>
      <w:lvlText w:val=""/>
      <w:lvlJc w:val="left"/>
      <w:pPr>
        <w:tabs>
          <w:tab w:val="num" w:pos="2880"/>
        </w:tabs>
        <w:ind w:left="2880" w:hanging="360"/>
      </w:pPr>
      <w:rPr>
        <w:rFonts w:ascii="Symbol" w:hAnsi="Symbol"/>
      </w:rPr>
    </w:lvl>
    <w:lvl w:ilvl="4" w:tplc="719618A0">
      <w:start w:val="1"/>
      <w:numFmt w:val="bullet"/>
      <w:lvlText w:val="o"/>
      <w:lvlJc w:val="left"/>
      <w:pPr>
        <w:tabs>
          <w:tab w:val="num" w:pos="3600"/>
        </w:tabs>
        <w:ind w:left="3600" w:hanging="360"/>
      </w:pPr>
      <w:rPr>
        <w:rFonts w:ascii="Courier New" w:hAnsi="Courier New"/>
      </w:rPr>
    </w:lvl>
    <w:lvl w:ilvl="5" w:tplc="0B4484A8">
      <w:start w:val="1"/>
      <w:numFmt w:val="bullet"/>
      <w:lvlText w:val=""/>
      <w:lvlJc w:val="left"/>
      <w:pPr>
        <w:tabs>
          <w:tab w:val="num" w:pos="4320"/>
        </w:tabs>
        <w:ind w:left="4320" w:hanging="360"/>
      </w:pPr>
      <w:rPr>
        <w:rFonts w:ascii="Wingdings" w:hAnsi="Wingdings"/>
      </w:rPr>
    </w:lvl>
    <w:lvl w:ilvl="6" w:tplc="96CA3AB8">
      <w:start w:val="1"/>
      <w:numFmt w:val="bullet"/>
      <w:lvlText w:val=""/>
      <w:lvlJc w:val="left"/>
      <w:pPr>
        <w:tabs>
          <w:tab w:val="num" w:pos="5040"/>
        </w:tabs>
        <w:ind w:left="5040" w:hanging="360"/>
      </w:pPr>
      <w:rPr>
        <w:rFonts w:ascii="Symbol" w:hAnsi="Symbol"/>
      </w:rPr>
    </w:lvl>
    <w:lvl w:ilvl="7" w:tplc="0032BB16">
      <w:start w:val="1"/>
      <w:numFmt w:val="bullet"/>
      <w:lvlText w:val="o"/>
      <w:lvlJc w:val="left"/>
      <w:pPr>
        <w:tabs>
          <w:tab w:val="num" w:pos="5760"/>
        </w:tabs>
        <w:ind w:left="5760" w:hanging="360"/>
      </w:pPr>
      <w:rPr>
        <w:rFonts w:ascii="Courier New" w:hAnsi="Courier New"/>
      </w:rPr>
    </w:lvl>
    <w:lvl w:ilvl="8" w:tplc="DD8AA0A4">
      <w:start w:val="1"/>
      <w:numFmt w:val="bullet"/>
      <w:lvlText w:val=""/>
      <w:lvlJc w:val="left"/>
      <w:pPr>
        <w:tabs>
          <w:tab w:val="num" w:pos="6480"/>
        </w:tabs>
        <w:ind w:left="6480" w:hanging="360"/>
      </w:pPr>
      <w:rPr>
        <w:rFonts w:ascii="Wingdings" w:hAnsi="Wingdings"/>
      </w:rPr>
    </w:lvl>
  </w:abstractNum>
  <w:abstractNum w:abstractNumId="438" w15:restartNumberingAfterBreak="0">
    <w:nsid w:val="72230678"/>
    <w:multiLevelType w:val="hybridMultilevel"/>
    <w:tmpl w:val="72230678"/>
    <w:lvl w:ilvl="0" w:tplc="7172AB74">
      <w:start w:val="1"/>
      <w:numFmt w:val="bullet"/>
      <w:lvlText w:val=""/>
      <w:lvlJc w:val="left"/>
      <w:pPr>
        <w:tabs>
          <w:tab w:val="num" w:pos="720"/>
        </w:tabs>
        <w:ind w:left="720" w:hanging="360"/>
      </w:pPr>
      <w:rPr>
        <w:rFonts w:ascii="Symbol" w:hAnsi="Symbol"/>
      </w:rPr>
    </w:lvl>
    <w:lvl w:ilvl="1" w:tplc="F516F0D0">
      <w:start w:val="1"/>
      <w:numFmt w:val="bullet"/>
      <w:lvlText w:val="o"/>
      <w:lvlJc w:val="left"/>
      <w:pPr>
        <w:tabs>
          <w:tab w:val="num" w:pos="1440"/>
        </w:tabs>
        <w:ind w:left="1440" w:hanging="360"/>
      </w:pPr>
      <w:rPr>
        <w:rFonts w:ascii="Courier New" w:hAnsi="Courier New"/>
      </w:rPr>
    </w:lvl>
    <w:lvl w:ilvl="2" w:tplc="1172C420">
      <w:start w:val="1"/>
      <w:numFmt w:val="bullet"/>
      <w:lvlText w:val=""/>
      <w:lvlJc w:val="left"/>
      <w:pPr>
        <w:tabs>
          <w:tab w:val="num" w:pos="2160"/>
        </w:tabs>
        <w:ind w:left="2160" w:hanging="360"/>
      </w:pPr>
      <w:rPr>
        <w:rFonts w:ascii="Wingdings" w:hAnsi="Wingdings"/>
      </w:rPr>
    </w:lvl>
    <w:lvl w:ilvl="3" w:tplc="AB50B4BC">
      <w:start w:val="1"/>
      <w:numFmt w:val="bullet"/>
      <w:lvlText w:val=""/>
      <w:lvlJc w:val="left"/>
      <w:pPr>
        <w:tabs>
          <w:tab w:val="num" w:pos="2880"/>
        </w:tabs>
        <w:ind w:left="2880" w:hanging="360"/>
      </w:pPr>
      <w:rPr>
        <w:rFonts w:ascii="Symbol" w:hAnsi="Symbol"/>
      </w:rPr>
    </w:lvl>
    <w:lvl w:ilvl="4" w:tplc="3E7433AA">
      <w:start w:val="1"/>
      <w:numFmt w:val="bullet"/>
      <w:lvlText w:val="o"/>
      <w:lvlJc w:val="left"/>
      <w:pPr>
        <w:tabs>
          <w:tab w:val="num" w:pos="3600"/>
        </w:tabs>
        <w:ind w:left="3600" w:hanging="360"/>
      </w:pPr>
      <w:rPr>
        <w:rFonts w:ascii="Courier New" w:hAnsi="Courier New"/>
      </w:rPr>
    </w:lvl>
    <w:lvl w:ilvl="5" w:tplc="67A474D6">
      <w:start w:val="1"/>
      <w:numFmt w:val="bullet"/>
      <w:lvlText w:val=""/>
      <w:lvlJc w:val="left"/>
      <w:pPr>
        <w:tabs>
          <w:tab w:val="num" w:pos="4320"/>
        </w:tabs>
        <w:ind w:left="4320" w:hanging="360"/>
      </w:pPr>
      <w:rPr>
        <w:rFonts w:ascii="Wingdings" w:hAnsi="Wingdings"/>
      </w:rPr>
    </w:lvl>
    <w:lvl w:ilvl="6" w:tplc="9FFE6E58">
      <w:start w:val="1"/>
      <w:numFmt w:val="bullet"/>
      <w:lvlText w:val=""/>
      <w:lvlJc w:val="left"/>
      <w:pPr>
        <w:tabs>
          <w:tab w:val="num" w:pos="5040"/>
        </w:tabs>
        <w:ind w:left="5040" w:hanging="360"/>
      </w:pPr>
      <w:rPr>
        <w:rFonts w:ascii="Symbol" w:hAnsi="Symbol"/>
      </w:rPr>
    </w:lvl>
    <w:lvl w:ilvl="7" w:tplc="9198022E">
      <w:start w:val="1"/>
      <w:numFmt w:val="bullet"/>
      <w:lvlText w:val="o"/>
      <w:lvlJc w:val="left"/>
      <w:pPr>
        <w:tabs>
          <w:tab w:val="num" w:pos="5760"/>
        </w:tabs>
        <w:ind w:left="5760" w:hanging="360"/>
      </w:pPr>
      <w:rPr>
        <w:rFonts w:ascii="Courier New" w:hAnsi="Courier New"/>
      </w:rPr>
    </w:lvl>
    <w:lvl w:ilvl="8" w:tplc="1F08DDDC">
      <w:start w:val="1"/>
      <w:numFmt w:val="bullet"/>
      <w:lvlText w:val=""/>
      <w:lvlJc w:val="left"/>
      <w:pPr>
        <w:tabs>
          <w:tab w:val="num" w:pos="6480"/>
        </w:tabs>
        <w:ind w:left="6480" w:hanging="360"/>
      </w:pPr>
      <w:rPr>
        <w:rFonts w:ascii="Wingdings" w:hAnsi="Wingdings"/>
      </w:rPr>
    </w:lvl>
  </w:abstractNum>
  <w:abstractNum w:abstractNumId="439" w15:restartNumberingAfterBreak="0">
    <w:nsid w:val="72230679"/>
    <w:multiLevelType w:val="hybridMultilevel"/>
    <w:tmpl w:val="72230679"/>
    <w:lvl w:ilvl="0" w:tplc="CF768A04">
      <w:start w:val="1"/>
      <w:numFmt w:val="bullet"/>
      <w:lvlText w:val=""/>
      <w:lvlJc w:val="left"/>
      <w:pPr>
        <w:ind w:left="720" w:hanging="360"/>
      </w:pPr>
      <w:rPr>
        <w:rFonts w:ascii="Symbol" w:hAnsi="Symbol"/>
      </w:rPr>
    </w:lvl>
    <w:lvl w:ilvl="1" w:tplc="61902538">
      <w:start w:val="1"/>
      <w:numFmt w:val="bullet"/>
      <w:lvlText w:val="o"/>
      <w:lvlJc w:val="left"/>
      <w:pPr>
        <w:tabs>
          <w:tab w:val="num" w:pos="1440"/>
        </w:tabs>
        <w:ind w:left="1440" w:hanging="360"/>
      </w:pPr>
      <w:rPr>
        <w:rFonts w:ascii="Courier New" w:hAnsi="Courier New"/>
      </w:rPr>
    </w:lvl>
    <w:lvl w:ilvl="2" w:tplc="4C76AF3C">
      <w:start w:val="1"/>
      <w:numFmt w:val="bullet"/>
      <w:lvlText w:val=""/>
      <w:lvlJc w:val="left"/>
      <w:pPr>
        <w:tabs>
          <w:tab w:val="num" w:pos="2160"/>
        </w:tabs>
        <w:ind w:left="2160" w:hanging="360"/>
      </w:pPr>
      <w:rPr>
        <w:rFonts w:ascii="Wingdings" w:hAnsi="Wingdings"/>
      </w:rPr>
    </w:lvl>
    <w:lvl w:ilvl="3" w:tplc="1A72D1C6">
      <w:start w:val="1"/>
      <w:numFmt w:val="bullet"/>
      <w:lvlText w:val=""/>
      <w:lvlJc w:val="left"/>
      <w:pPr>
        <w:tabs>
          <w:tab w:val="num" w:pos="2880"/>
        </w:tabs>
        <w:ind w:left="2880" w:hanging="360"/>
      </w:pPr>
      <w:rPr>
        <w:rFonts w:ascii="Symbol" w:hAnsi="Symbol"/>
      </w:rPr>
    </w:lvl>
    <w:lvl w:ilvl="4" w:tplc="379CAEE0">
      <w:start w:val="1"/>
      <w:numFmt w:val="bullet"/>
      <w:lvlText w:val="o"/>
      <w:lvlJc w:val="left"/>
      <w:pPr>
        <w:tabs>
          <w:tab w:val="num" w:pos="3600"/>
        </w:tabs>
        <w:ind w:left="3600" w:hanging="360"/>
      </w:pPr>
      <w:rPr>
        <w:rFonts w:ascii="Courier New" w:hAnsi="Courier New"/>
      </w:rPr>
    </w:lvl>
    <w:lvl w:ilvl="5" w:tplc="7338AEAA">
      <w:start w:val="1"/>
      <w:numFmt w:val="bullet"/>
      <w:lvlText w:val=""/>
      <w:lvlJc w:val="left"/>
      <w:pPr>
        <w:tabs>
          <w:tab w:val="num" w:pos="4320"/>
        </w:tabs>
        <w:ind w:left="4320" w:hanging="360"/>
      </w:pPr>
      <w:rPr>
        <w:rFonts w:ascii="Wingdings" w:hAnsi="Wingdings"/>
      </w:rPr>
    </w:lvl>
    <w:lvl w:ilvl="6" w:tplc="2AEE44CE">
      <w:start w:val="1"/>
      <w:numFmt w:val="bullet"/>
      <w:lvlText w:val=""/>
      <w:lvlJc w:val="left"/>
      <w:pPr>
        <w:tabs>
          <w:tab w:val="num" w:pos="5040"/>
        </w:tabs>
        <w:ind w:left="5040" w:hanging="360"/>
      </w:pPr>
      <w:rPr>
        <w:rFonts w:ascii="Symbol" w:hAnsi="Symbol"/>
      </w:rPr>
    </w:lvl>
    <w:lvl w:ilvl="7" w:tplc="F4807966">
      <w:start w:val="1"/>
      <w:numFmt w:val="bullet"/>
      <w:lvlText w:val="o"/>
      <w:lvlJc w:val="left"/>
      <w:pPr>
        <w:tabs>
          <w:tab w:val="num" w:pos="5760"/>
        </w:tabs>
        <w:ind w:left="5760" w:hanging="360"/>
      </w:pPr>
      <w:rPr>
        <w:rFonts w:ascii="Courier New" w:hAnsi="Courier New"/>
      </w:rPr>
    </w:lvl>
    <w:lvl w:ilvl="8" w:tplc="BB265AEE">
      <w:start w:val="1"/>
      <w:numFmt w:val="bullet"/>
      <w:lvlText w:val=""/>
      <w:lvlJc w:val="left"/>
      <w:pPr>
        <w:tabs>
          <w:tab w:val="num" w:pos="6480"/>
        </w:tabs>
        <w:ind w:left="6480" w:hanging="360"/>
      </w:pPr>
      <w:rPr>
        <w:rFonts w:ascii="Wingdings" w:hAnsi="Wingdings"/>
      </w:rPr>
    </w:lvl>
  </w:abstractNum>
  <w:abstractNum w:abstractNumId="440" w15:restartNumberingAfterBreak="0">
    <w:nsid w:val="7223067A"/>
    <w:multiLevelType w:val="hybridMultilevel"/>
    <w:tmpl w:val="7223067A"/>
    <w:lvl w:ilvl="0" w:tplc="2370D288">
      <w:start w:val="1"/>
      <w:numFmt w:val="bullet"/>
      <w:lvlText w:val=""/>
      <w:lvlJc w:val="left"/>
      <w:pPr>
        <w:ind w:left="720" w:hanging="360"/>
      </w:pPr>
      <w:rPr>
        <w:rFonts w:ascii="Symbol" w:hAnsi="Symbol"/>
      </w:rPr>
    </w:lvl>
    <w:lvl w:ilvl="1" w:tplc="518A8D22">
      <w:start w:val="1"/>
      <w:numFmt w:val="bullet"/>
      <w:lvlText w:val="o"/>
      <w:lvlJc w:val="left"/>
      <w:pPr>
        <w:tabs>
          <w:tab w:val="num" w:pos="1440"/>
        </w:tabs>
        <w:ind w:left="1440" w:hanging="360"/>
      </w:pPr>
      <w:rPr>
        <w:rFonts w:ascii="Courier New" w:hAnsi="Courier New"/>
      </w:rPr>
    </w:lvl>
    <w:lvl w:ilvl="2" w:tplc="E6C4A0EE">
      <w:start w:val="1"/>
      <w:numFmt w:val="bullet"/>
      <w:lvlText w:val=""/>
      <w:lvlJc w:val="left"/>
      <w:pPr>
        <w:tabs>
          <w:tab w:val="num" w:pos="2160"/>
        </w:tabs>
        <w:ind w:left="2160" w:hanging="360"/>
      </w:pPr>
      <w:rPr>
        <w:rFonts w:ascii="Wingdings" w:hAnsi="Wingdings"/>
      </w:rPr>
    </w:lvl>
    <w:lvl w:ilvl="3" w:tplc="5852B228">
      <w:start w:val="1"/>
      <w:numFmt w:val="bullet"/>
      <w:lvlText w:val=""/>
      <w:lvlJc w:val="left"/>
      <w:pPr>
        <w:tabs>
          <w:tab w:val="num" w:pos="2880"/>
        </w:tabs>
        <w:ind w:left="2880" w:hanging="360"/>
      </w:pPr>
      <w:rPr>
        <w:rFonts w:ascii="Symbol" w:hAnsi="Symbol"/>
      </w:rPr>
    </w:lvl>
    <w:lvl w:ilvl="4" w:tplc="3A704674">
      <w:start w:val="1"/>
      <w:numFmt w:val="bullet"/>
      <w:lvlText w:val="o"/>
      <w:lvlJc w:val="left"/>
      <w:pPr>
        <w:tabs>
          <w:tab w:val="num" w:pos="3600"/>
        </w:tabs>
        <w:ind w:left="3600" w:hanging="360"/>
      </w:pPr>
      <w:rPr>
        <w:rFonts w:ascii="Courier New" w:hAnsi="Courier New"/>
      </w:rPr>
    </w:lvl>
    <w:lvl w:ilvl="5" w:tplc="51C8BC7C">
      <w:start w:val="1"/>
      <w:numFmt w:val="bullet"/>
      <w:lvlText w:val=""/>
      <w:lvlJc w:val="left"/>
      <w:pPr>
        <w:tabs>
          <w:tab w:val="num" w:pos="4320"/>
        </w:tabs>
        <w:ind w:left="4320" w:hanging="360"/>
      </w:pPr>
      <w:rPr>
        <w:rFonts w:ascii="Wingdings" w:hAnsi="Wingdings"/>
      </w:rPr>
    </w:lvl>
    <w:lvl w:ilvl="6" w:tplc="9BB2A992">
      <w:start w:val="1"/>
      <w:numFmt w:val="bullet"/>
      <w:lvlText w:val=""/>
      <w:lvlJc w:val="left"/>
      <w:pPr>
        <w:tabs>
          <w:tab w:val="num" w:pos="5040"/>
        </w:tabs>
        <w:ind w:left="5040" w:hanging="360"/>
      </w:pPr>
      <w:rPr>
        <w:rFonts w:ascii="Symbol" w:hAnsi="Symbol"/>
      </w:rPr>
    </w:lvl>
    <w:lvl w:ilvl="7" w:tplc="C39273D6">
      <w:start w:val="1"/>
      <w:numFmt w:val="bullet"/>
      <w:lvlText w:val="o"/>
      <w:lvlJc w:val="left"/>
      <w:pPr>
        <w:tabs>
          <w:tab w:val="num" w:pos="5760"/>
        </w:tabs>
        <w:ind w:left="5760" w:hanging="360"/>
      </w:pPr>
      <w:rPr>
        <w:rFonts w:ascii="Courier New" w:hAnsi="Courier New"/>
      </w:rPr>
    </w:lvl>
    <w:lvl w:ilvl="8" w:tplc="4E86E1CA">
      <w:start w:val="1"/>
      <w:numFmt w:val="bullet"/>
      <w:lvlText w:val=""/>
      <w:lvlJc w:val="left"/>
      <w:pPr>
        <w:tabs>
          <w:tab w:val="num" w:pos="6480"/>
        </w:tabs>
        <w:ind w:left="6480" w:hanging="360"/>
      </w:pPr>
      <w:rPr>
        <w:rFonts w:ascii="Wingdings" w:hAnsi="Wingdings"/>
      </w:rPr>
    </w:lvl>
  </w:abstractNum>
  <w:abstractNum w:abstractNumId="441" w15:restartNumberingAfterBreak="0">
    <w:nsid w:val="7223067B"/>
    <w:multiLevelType w:val="hybridMultilevel"/>
    <w:tmpl w:val="7223067B"/>
    <w:lvl w:ilvl="0" w:tplc="56742D98">
      <w:start w:val="1"/>
      <w:numFmt w:val="bullet"/>
      <w:lvlText w:val=""/>
      <w:lvlJc w:val="left"/>
      <w:pPr>
        <w:ind w:left="720" w:hanging="360"/>
      </w:pPr>
      <w:rPr>
        <w:rFonts w:ascii="Symbol" w:hAnsi="Symbol"/>
      </w:rPr>
    </w:lvl>
    <w:lvl w:ilvl="1" w:tplc="74C41EE6">
      <w:start w:val="1"/>
      <w:numFmt w:val="bullet"/>
      <w:lvlText w:val="o"/>
      <w:lvlJc w:val="left"/>
      <w:pPr>
        <w:tabs>
          <w:tab w:val="num" w:pos="1440"/>
        </w:tabs>
        <w:ind w:left="1440" w:hanging="360"/>
      </w:pPr>
      <w:rPr>
        <w:rFonts w:ascii="Courier New" w:hAnsi="Courier New"/>
      </w:rPr>
    </w:lvl>
    <w:lvl w:ilvl="2" w:tplc="B9E89B7E">
      <w:start w:val="1"/>
      <w:numFmt w:val="bullet"/>
      <w:lvlText w:val=""/>
      <w:lvlJc w:val="left"/>
      <w:pPr>
        <w:tabs>
          <w:tab w:val="num" w:pos="2160"/>
        </w:tabs>
        <w:ind w:left="2160" w:hanging="360"/>
      </w:pPr>
      <w:rPr>
        <w:rFonts w:ascii="Wingdings" w:hAnsi="Wingdings"/>
      </w:rPr>
    </w:lvl>
    <w:lvl w:ilvl="3" w:tplc="A6C2EB28">
      <w:start w:val="1"/>
      <w:numFmt w:val="bullet"/>
      <w:lvlText w:val=""/>
      <w:lvlJc w:val="left"/>
      <w:pPr>
        <w:tabs>
          <w:tab w:val="num" w:pos="2880"/>
        </w:tabs>
        <w:ind w:left="2880" w:hanging="360"/>
      </w:pPr>
      <w:rPr>
        <w:rFonts w:ascii="Symbol" w:hAnsi="Symbol"/>
      </w:rPr>
    </w:lvl>
    <w:lvl w:ilvl="4" w:tplc="E9AAA594">
      <w:start w:val="1"/>
      <w:numFmt w:val="bullet"/>
      <w:lvlText w:val="o"/>
      <w:lvlJc w:val="left"/>
      <w:pPr>
        <w:tabs>
          <w:tab w:val="num" w:pos="3600"/>
        </w:tabs>
        <w:ind w:left="3600" w:hanging="360"/>
      </w:pPr>
      <w:rPr>
        <w:rFonts w:ascii="Courier New" w:hAnsi="Courier New"/>
      </w:rPr>
    </w:lvl>
    <w:lvl w:ilvl="5" w:tplc="8F564ACE">
      <w:start w:val="1"/>
      <w:numFmt w:val="bullet"/>
      <w:lvlText w:val=""/>
      <w:lvlJc w:val="left"/>
      <w:pPr>
        <w:tabs>
          <w:tab w:val="num" w:pos="4320"/>
        </w:tabs>
        <w:ind w:left="4320" w:hanging="360"/>
      </w:pPr>
      <w:rPr>
        <w:rFonts w:ascii="Wingdings" w:hAnsi="Wingdings"/>
      </w:rPr>
    </w:lvl>
    <w:lvl w:ilvl="6" w:tplc="38D226DC">
      <w:start w:val="1"/>
      <w:numFmt w:val="bullet"/>
      <w:lvlText w:val=""/>
      <w:lvlJc w:val="left"/>
      <w:pPr>
        <w:tabs>
          <w:tab w:val="num" w:pos="5040"/>
        </w:tabs>
        <w:ind w:left="5040" w:hanging="360"/>
      </w:pPr>
      <w:rPr>
        <w:rFonts w:ascii="Symbol" w:hAnsi="Symbol"/>
      </w:rPr>
    </w:lvl>
    <w:lvl w:ilvl="7" w:tplc="141CBC56">
      <w:start w:val="1"/>
      <w:numFmt w:val="bullet"/>
      <w:lvlText w:val="o"/>
      <w:lvlJc w:val="left"/>
      <w:pPr>
        <w:tabs>
          <w:tab w:val="num" w:pos="5760"/>
        </w:tabs>
        <w:ind w:left="5760" w:hanging="360"/>
      </w:pPr>
      <w:rPr>
        <w:rFonts w:ascii="Courier New" w:hAnsi="Courier New"/>
      </w:rPr>
    </w:lvl>
    <w:lvl w:ilvl="8" w:tplc="D90416D0">
      <w:start w:val="1"/>
      <w:numFmt w:val="bullet"/>
      <w:lvlText w:val=""/>
      <w:lvlJc w:val="left"/>
      <w:pPr>
        <w:tabs>
          <w:tab w:val="num" w:pos="6480"/>
        </w:tabs>
        <w:ind w:left="6480" w:hanging="360"/>
      </w:pPr>
      <w:rPr>
        <w:rFonts w:ascii="Wingdings" w:hAnsi="Wingdings"/>
      </w:rPr>
    </w:lvl>
  </w:abstractNum>
  <w:abstractNum w:abstractNumId="442" w15:restartNumberingAfterBreak="0">
    <w:nsid w:val="7223067C"/>
    <w:multiLevelType w:val="hybridMultilevel"/>
    <w:tmpl w:val="7223067C"/>
    <w:lvl w:ilvl="0" w:tplc="BF50E4D8">
      <w:start w:val="1"/>
      <w:numFmt w:val="bullet"/>
      <w:lvlText w:val=""/>
      <w:lvlJc w:val="left"/>
      <w:pPr>
        <w:ind w:left="720" w:hanging="360"/>
      </w:pPr>
      <w:rPr>
        <w:rFonts w:ascii="Symbol" w:hAnsi="Symbol"/>
      </w:rPr>
    </w:lvl>
    <w:lvl w:ilvl="1" w:tplc="AD3A08A2">
      <w:start w:val="1"/>
      <w:numFmt w:val="bullet"/>
      <w:lvlText w:val="o"/>
      <w:lvlJc w:val="left"/>
      <w:pPr>
        <w:tabs>
          <w:tab w:val="num" w:pos="1440"/>
        </w:tabs>
        <w:ind w:left="1440" w:hanging="360"/>
      </w:pPr>
      <w:rPr>
        <w:rFonts w:ascii="Courier New" w:hAnsi="Courier New"/>
      </w:rPr>
    </w:lvl>
    <w:lvl w:ilvl="2" w:tplc="866A26C6">
      <w:start w:val="1"/>
      <w:numFmt w:val="bullet"/>
      <w:lvlText w:val=""/>
      <w:lvlJc w:val="left"/>
      <w:pPr>
        <w:tabs>
          <w:tab w:val="num" w:pos="2160"/>
        </w:tabs>
        <w:ind w:left="2160" w:hanging="360"/>
      </w:pPr>
      <w:rPr>
        <w:rFonts w:ascii="Wingdings" w:hAnsi="Wingdings"/>
      </w:rPr>
    </w:lvl>
    <w:lvl w:ilvl="3" w:tplc="E0DE2688">
      <w:start w:val="1"/>
      <w:numFmt w:val="bullet"/>
      <w:lvlText w:val=""/>
      <w:lvlJc w:val="left"/>
      <w:pPr>
        <w:tabs>
          <w:tab w:val="num" w:pos="2880"/>
        </w:tabs>
        <w:ind w:left="2880" w:hanging="360"/>
      </w:pPr>
      <w:rPr>
        <w:rFonts w:ascii="Symbol" w:hAnsi="Symbol"/>
      </w:rPr>
    </w:lvl>
    <w:lvl w:ilvl="4" w:tplc="B8D8BFB6">
      <w:start w:val="1"/>
      <w:numFmt w:val="bullet"/>
      <w:lvlText w:val="o"/>
      <w:lvlJc w:val="left"/>
      <w:pPr>
        <w:tabs>
          <w:tab w:val="num" w:pos="3600"/>
        </w:tabs>
        <w:ind w:left="3600" w:hanging="360"/>
      </w:pPr>
      <w:rPr>
        <w:rFonts w:ascii="Courier New" w:hAnsi="Courier New"/>
      </w:rPr>
    </w:lvl>
    <w:lvl w:ilvl="5" w:tplc="562AE73E">
      <w:start w:val="1"/>
      <w:numFmt w:val="bullet"/>
      <w:lvlText w:val=""/>
      <w:lvlJc w:val="left"/>
      <w:pPr>
        <w:tabs>
          <w:tab w:val="num" w:pos="4320"/>
        </w:tabs>
        <w:ind w:left="4320" w:hanging="360"/>
      </w:pPr>
      <w:rPr>
        <w:rFonts w:ascii="Wingdings" w:hAnsi="Wingdings"/>
      </w:rPr>
    </w:lvl>
    <w:lvl w:ilvl="6" w:tplc="C6AC6F92">
      <w:start w:val="1"/>
      <w:numFmt w:val="bullet"/>
      <w:lvlText w:val=""/>
      <w:lvlJc w:val="left"/>
      <w:pPr>
        <w:tabs>
          <w:tab w:val="num" w:pos="5040"/>
        </w:tabs>
        <w:ind w:left="5040" w:hanging="360"/>
      </w:pPr>
      <w:rPr>
        <w:rFonts w:ascii="Symbol" w:hAnsi="Symbol"/>
      </w:rPr>
    </w:lvl>
    <w:lvl w:ilvl="7" w:tplc="D3668DEE">
      <w:start w:val="1"/>
      <w:numFmt w:val="bullet"/>
      <w:lvlText w:val="o"/>
      <w:lvlJc w:val="left"/>
      <w:pPr>
        <w:tabs>
          <w:tab w:val="num" w:pos="5760"/>
        </w:tabs>
        <w:ind w:left="5760" w:hanging="360"/>
      </w:pPr>
      <w:rPr>
        <w:rFonts w:ascii="Courier New" w:hAnsi="Courier New"/>
      </w:rPr>
    </w:lvl>
    <w:lvl w:ilvl="8" w:tplc="452C2ABA">
      <w:start w:val="1"/>
      <w:numFmt w:val="bullet"/>
      <w:lvlText w:val=""/>
      <w:lvlJc w:val="left"/>
      <w:pPr>
        <w:tabs>
          <w:tab w:val="num" w:pos="6480"/>
        </w:tabs>
        <w:ind w:left="6480" w:hanging="360"/>
      </w:pPr>
      <w:rPr>
        <w:rFonts w:ascii="Wingdings" w:hAnsi="Wingdings"/>
      </w:rPr>
    </w:lvl>
  </w:abstractNum>
  <w:abstractNum w:abstractNumId="443" w15:restartNumberingAfterBreak="0">
    <w:nsid w:val="7223067D"/>
    <w:multiLevelType w:val="hybridMultilevel"/>
    <w:tmpl w:val="7223067D"/>
    <w:lvl w:ilvl="0" w:tplc="36B645CA">
      <w:start w:val="1"/>
      <w:numFmt w:val="bullet"/>
      <w:lvlText w:val=""/>
      <w:lvlJc w:val="left"/>
      <w:pPr>
        <w:ind w:left="720" w:hanging="360"/>
      </w:pPr>
      <w:rPr>
        <w:rFonts w:ascii="Symbol" w:hAnsi="Symbol"/>
      </w:rPr>
    </w:lvl>
    <w:lvl w:ilvl="1" w:tplc="B596AFE8">
      <w:start w:val="1"/>
      <w:numFmt w:val="bullet"/>
      <w:lvlText w:val="o"/>
      <w:lvlJc w:val="left"/>
      <w:pPr>
        <w:tabs>
          <w:tab w:val="num" w:pos="1440"/>
        </w:tabs>
        <w:ind w:left="1440" w:hanging="360"/>
      </w:pPr>
      <w:rPr>
        <w:rFonts w:ascii="Courier New" w:hAnsi="Courier New"/>
      </w:rPr>
    </w:lvl>
    <w:lvl w:ilvl="2" w:tplc="F6D6153A">
      <w:start w:val="1"/>
      <w:numFmt w:val="bullet"/>
      <w:lvlText w:val=""/>
      <w:lvlJc w:val="left"/>
      <w:pPr>
        <w:tabs>
          <w:tab w:val="num" w:pos="2160"/>
        </w:tabs>
        <w:ind w:left="2160" w:hanging="360"/>
      </w:pPr>
      <w:rPr>
        <w:rFonts w:ascii="Wingdings" w:hAnsi="Wingdings"/>
      </w:rPr>
    </w:lvl>
    <w:lvl w:ilvl="3" w:tplc="D4B0DD48">
      <w:start w:val="1"/>
      <w:numFmt w:val="bullet"/>
      <w:lvlText w:val=""/>
      <w:lvlJc w:val="left"/>
      <w:pPr>
        <w:tabs>
          <w:tab w:val="num" w:pos="2880"/>
        </w:tabs>
        <w:ind w:left="2880" w:hanging="360"/>
      </w:pPr>
      <w:rPr>
        <w:rFonts w:ascii="Symbol" w:hAnsi="Symbol"/>
      </w:rPr>
    </w:lvl>
    <w:lvl w:ilvl="4" w:tplc="CBD2ECA8">
      <w:start w:val="1"/>
      <w:numFmt w:val="bullet"/>
      <w:lvlText w:val="o"/>
      <w:lvlJc w:val="left"/>
      <w:pPr>
        <w:tabs>
          <w:tab w:val="num" w:pos="3600"/>
        </w:tabs>
        <w:ind w:left="3600" w:hanging="360"/>
      </w:pPr>
      <w:rPr>
        <w:rFonts w:ascii="Courier New" w:hAnsi="Courier New"/>
      </w:rPr>
    </w:lvl>
    <w:lvl w:ilvl="5" w:tplc="9EF83B10">
      <w:start w:val="1"/>
      <w:numFmt w:val="bullet"/>
      <w:lvlText w:val=""/>
      <w:lvlJc w:val="left"/>
      <w:pPr>
        <w:tabs>
          <w:tab w:val="num" w:pos="4320"/>
        </w:tabs>
        <w:ind w:left="4320" w:hanging="360"/>
      </w:pPr>
      <w:rPr>
        <w:rFonts w:ascii="Wingdings" w:hAnsi="Wingdings"/>
      </w:rPr>
    </w:lvl>
    <w:lvl w:ilvl="6" w:tplc="2968EB68">
      <w:start w:val="1"/>
      <w:numFmt w:val="bullet"/>
      <w:lvlText w:val=""/>
      <w:lvlJc w:val="left"/>
      <w:pPr>
        <w:tabs>
          <w:tab w:val="num" w:pos="5040"/>
        </w:tabs>
        <w:ind w:left="5040" w:hanging="360"/>
      </w:pPr>
      <w:rPr>
        <w:rFonts w:ascii="Symbol" w:hAnsi="Symbol"/>
      </w:rPr>
    </w:lvl>
    <w:lvl w:ilvl="7" w:tplc="9356AD00">
      <w:start w:val="1"/>
      <w:numFmt w:val="bullet"/>
      <w:lvlText w:val="o"/>
      <w:lvlJc w:val="left"/>
      <w:pPr>
        <w:tabs>
          <w:tab w:val="num" w:pos="5760"/>
        </w:tabs>
        <w:ind w:left="5760" w:hanging="360"/>
      </w:pPr>
      <w:rPr>
        <w:rFonts w:ascii="Courier New" w:hAnsi="Courier New"/>
      </w:rPr>
    </w:lvl>
    <w:lvl w:ilvl="8" w:tplc="7C7C195A">
      <w:start w:val="1"/>
      <w:numFmt w:val="bullet"/>
      <w:lvlText w:val=""/>
      <w:lvlJc w:val="left"/>
      <w:pPr>
        <w:tabs>
          <w:tab w:val="num" w:pos="6480"/>
        </w:tabs>
        <w:ind w:left="6480" w:hanging="360"/>
      </w:pPr>
      <w:rPr>
        <w:rFonts w:ascii="Wingdings" w:hAnsi="Wingdings"/>
      </w:rPr>
    </w:lvl>
  </w:abstractNum>
  <w:abstractNum w:abstractNumId="444" w15:restartNumberingAfterBreak="0">
    <w:nsid w:val="7223067E"/>
    <w:multiLevelType w:val="hybridMultilevel"/>
    <w:tmpl w:val="7223067E"/>
    <w:lvl w:ilvl="0" w:tplc="3102A884">
      <w:start w:val="1"/>
      <w:numFmt w:val="bullet"/>
      <w:lvlText w:val=""/>
      <w:lvlJc w:val="left"/>
      <w:pPr>
        <w:ind w:left="720" w:hanging="360"/>
      </w:pPr>
      <w:rPr>
        <w:rFonts w:ascii="Symbol" w:hAnsi="Symbol"/>
      </w:rPr>
    </w:lvl>
    <w:lvl w:ilvl="1" w:tplc="583663B4">
      <w:start w:val="1"/>
      <w:numFmt w:val="bullet"/>
      <w:lvlText w:val="o"/>
      <w:lvlJc w:val="left"/>
      <w:pPr>
        <w:tabs>
          <w:tab w:val="num" w:pos="1440"/>
        </w:tabs>
        <w:ind w:left="1440" w:hanging="360"/>
      </w:pPr>
      <w:rPr>
        <w:rFonts w:ascii="Courier New" w:hAnsi="Courier New"/>
      </w:rPr>
    </w:lvl>
    <w:lvl w:ilvl="2" w:tplc="562C5C44">
      <w:start w:val="1"/>
      <w:numFmt w:val="bullet"/>
      <w:lvlText w:val=""/>
      <w:lvlJc w:val="left"/>
      <w:pPr>
        <w:tabs>
          <w:tab w:val="num" w:pos="2160"/>
        </w:tabs>
        <w:ind w:left="2160" w:hanging="360"/>
      </w:pPr>
      <w:rPr>
        <w:rFonts w:ascii="Wingdings" w:hAnsi="Wingdings"/>
      </w:rPr>
    </w:lvl>
    <w:lvl w:ilvl="3" w:tplc="241A575E">
      <w:start w:val="1"/>
      <w:numFmt w:val="bullet"/>
      <w:lvlText w:val=""/>
      <w:lvlJc w:val="left"/>
      <w:pPr>
        <w:tabs>
          <w:tab w:val="num" w:pos="2880"/>
        </w:tabs>
        <w:ind w:left="2880" w:hanging="360"/>
      </w:pPr>
      <w:rPr>
        <w:rFonts w:ascii="Symbol" w:hAnsi="Symbol"/>
      </w:rPr>
    </w:lvl>
    <w:lvl w:ilvl="4" w:tplc="218AF698">
      <w:start w:val="1"/>
      <w:numFmt w:val="bullet"/>
      <w:lvlText w:val="o"/>
      <w:lvlJc w:val="left"/>
      <w:pPr>
        <w:tabs>
          <w:tab w:val="num" w:pos="3600"/>
        </w:tabs>
        <w:ind w:left="3600" w:hanging="360"/>
      </w:pPr>
      <w:rPr>
        <w:rFonts w:ascii="Courier New" w:hAnsi="Courier New"/>
      </w:rPr>
    </w:lvl>
    <w:lvl w:ilvl="5" w:tplc="A698A554">
      <w:start w:val="1"/>
      <w:numFmt w:val="bullet"/>
      <w:lvlText w:val=""/>
      <w:lvlJc w:val="left"/>
      <w:pPr>
        <w:tabs>
          <w:tab w:val="num" w:pos="4320"/>
        </w:tabs>
        <w:ind w:left="4320" w:hanging="360"/>
      </w:pPr>
      <w:rPr>
        <w:rFonts w:ascii="Wingdings" w:hAnsi="Wingdings"/>
      </w:rPr>
    </w:lvl>
    <w:lvl w:ilvl="6" w:tplc="00A0631E">
      <w:start w:val="1"/>
      <w:numFmt w:val="bullet"/>
      <w:lvlText w:val=""/>
      <w:lvlJc w:val="left"/>
      <w:pPr>
        <w:tabs>
          <w:tab w:val="num" w:pos="5040"/>
        </w:tabs>
        <w:ind w:left="5040" w:hanging="360"/>
      </w:pPr>
      <w:rPr>
        <w:rFonts w:ascii="Symbol" w:hAnsi="Symbol"/>
      </w:rPr>
    </w:lvl>
    <w:lvl w:ilvl="7" w:tplc="F7448478">
      <w:start w:val="1"/>
      <w:numFmt w:val="bullet"/>
      <w:lvlText w:val="o"/>
      <w:lvlJc w:val="left"/>
      <w:pPr>
        <w:tabs>
          <w:tab w:val="num" w:pos="5760"/>
        </w:tabs>
        <w:ind w:left="5760" w:hanging="360"/>
      </w:pPr>
      <w:rPr>
        <w:rFonts w:ascii="Courier New" w:hAnsi="Courier New"/>
      </w:rPr>
    </w:lvl>
    <w:lvl w:ilvl="8" w:tplc="8C285A88">
      <w:start w:val="1"/>
      <w:numFmt w:val="bullet"/>
      <w:lvlText w:val=""/>
      <w:lvlJc w:val="left"/>
      <w:pPr>
        <w:tabs>
          <w:tab w:val="num" w:pos="6480"/>
        </w:tabs>
        <w:ind w:left="6480" w:hanging="360"/>
      </w:pPr>
      <w:rPr>
        <w:rFonts w:ascii="Wingdings" w:hAnsi="Wingdings"/>
      </w:rPr>
    </w:lvl>
  </w:abstractNum>
  <w:abstractNum w:abstractNumId="445" w15:restartNumberingAfterBreak="0">
    <w:nsid w:val="7223067F"/>
    <w:multiLevelType w:val="hybridMultilevel"/>
    <w:tmpl w:val="7223067F"/>
    <w:lvl w:ilvl="0" w:tplc="59520DBE">
      <w:start w:val="1"/>
      <w:numFmt w:val="bullet"/>
      <w:lvlText w:val=""/>
      <w:lvlJc w:val="left"/>
      <w:pPr>
        <w:ind w:left="720" w:hanging="360"/>
      </w:pPr>
      <w:rPr>
        <w:rFonts w:ascii="Symbol" w:hAnsi="Symbol"/>
      </w:rPr>
    </w:lvl>
    <w:lvl w:ilvl="1" w:tplc="794011BA">
      <w:start w:val="1"/>
      <w:numFmt w:val="bullet"/>
      <w:lvlText w:val="o"/>
      <w:lvlJc w:val="left"/>
      <w:pPr>
        <w:ind w:left="1440" w:hanging="360"/>
      </w:pPr>
      <w:rPr>
        <w:rFonts w:ascii="Courier New" w:hAnsi="Courier New"/>
      </w:rPr>
    </w:lvl>
    <w:lvl w:ilvl="2" w:tplc="64D850A6">
      <w:start w:val="1"/>
      <w:numFmt w:val="bullet"/>
      <w:lvlText w:val=""/>
      <w:lvlJc w:val="left"/>
      <w:pPr>
        <w:tabs>
          <w:tab w:val="num" w:pos="2160"/>
        </w:tabs>
        <w:ind w:left="2160" w:hanging="360"/>
      </w:pPr>
      <w:rPr>
        <w:rFonts w:ascii="Wingdings" w:hAnsi="Wingdings"/>
      </w:rPr>
    </w:lvl>
    <w:lvl w:ilvl="3" w:tplc="4E265B60">
      <w:start w:val="1"/>
      <w:numFmt w:val="bullet"/>
      <w:lvlText w:val=""/>
      <w:lvlJc w:val="left"/>
      <w:pPr>
        <w:tabs>
          <w:tab w:val="num" w:pos="2880"/>
        </w:tabs>
        <w:ind w:left="2880" w:hanging="360"/>
      </w:pPr>
      <w:rPr>
        <w:rFonts w:ascii="Symbol" w:hAnsi="Symbol"/>
      </w:rPr>
    </w:lvl>
    <w:lvl w:ilvl="4" w:tplc="0C9AF448">
      <w:start w:val="1"/>
      <w:numFmt w:val="bullet"/>
      <w:lvlText w:val="o"/>
      <w:lvlJc w:val="left"/>
      <w:pPr>
        <w:tabs>
          <w:tab w:val="num" w:pos="3600"/>
        </w:tabs>
        <w:ind w:left="3600" w:hanging="360"/>
      </w:pPr>
      <w:rPr>
        <w:rFonts w:ascii="Courier New" w:hAnsi="Courier New"/>
      </w:rPr>
    </w:lvl>
    <w:lvl w:ilvl="5" w:tplc="06B46978">
      <w:start w:val="1"/>
      <w:numFmt w:val="bullet"/>
      <w:lvlText w:val=""/>
      <w:lvlJc w:val="left"/>
      <w:pPr>
        <w:tabs>
          <w:tab w:val="num" w:pos="4320"/>
        </w:tabs>
        <w:ind w:left="4320" w:hanging="360"/>
      </w:pPr>
      <w:rPr>
        <w:rFonts w:ascii="Wingdings" w:hAnsi="Wingdings"/>
      </w:rPr>
    </w:lvl>
    <w:lvl w:ilvl="6" w:tplc="A94A1606">
      <w:start w:val="1"/>
      <w:numFmt w:val="bullet"/>
      <w:lvlText w:val=""/>
      <w:lvlJc w:val="left"/>
      <w:pPr>
        <w:tabs>
          <w:tab w:val="num" w:pos="5040"/>
        </w:tabs>
        <w:ind w:left="5040" w:hanging="360"/>
      </w:pPr>
      <w:rPr>
        <w:rFonts w:ascii="Symbol" w:hAnsi="Symbol"/>
      </w:rPr>
    </w:lvl>
    <w:lvl w:ilvl="7" w:tplc="2E9A4F80">
      <w:start w:val="1"/>
      <w:numFmt w:val="bullet"/>
      <w:lvlText w:val="o"/>
      <w:lvlJc w:val="left"/>
      <w:pPr>
        <w:tabs>
          <w:tab w:val="num" w:pos="5760"/>
        </w:tabs>
        <w:ind w:left="5760" w:hanging="360"/>
      </w:pPr>
      <w:rPr>
        <w:rFonts w:ascii="Courier New" w:hAnsi="Courier New"/>
      </w:rPr>
    </w:lvl>
    <w:lvl w:ilvl="8" w:tplc="3544D3C4">
      <w:start w:val="1"/>
      <w:numFmt w:val="bullet"/>
      <w:lvlText w:val=""/>
      <w:lvlJc w:val="left"/>
      <w:pPr>
        <w:tabs>
          <w:tab w:val="num" w:pos="6480"/>
        </w:tabs>
        <w:ind w:left="6480" w:hanging="360"/>
      </w:pPr>
      <w:rPr>
        <w:rFonts w:ascii="Wingdings" w:hAnsi="Wingdings"/>
      </w:rPr>
    </w:lvl>
  </w:abstractNum>
  <w:abstractNum w:abstractNumId="446" w15:restartNumberingAfterBreak="0">
    <w:nsid w:val="72230680"/>
    <w:multiLevelType w:val="hybridMultilevel"/>
    <w:tmpl w:val="72230680"/>
    <w:lvl w:ilvl="0" w:tplc="319A5AE0">
      <w:start w:val="1"/>
      <w:numFmt w:val="bullet"/>
      <w:lvlText w:val=""/>
      <w:lvlJc w:val="left"/>
      <w:pPr>
        <w:ind w:left="720" w:hanging="360"/>
      </w:pPr>
      <w:rPr>
        <w:rFonts w:ascii="Symbol" w:hAnsi="Symbol"/>
      </w:rPr>
    </w:lvl>
    <w:lvl w:ilvl="1" w:tplc="A1D020F4">
      <w:start w:val="1"/>
      <w:numFmt w:val="bullet"/>
      <w:lvlText w:val="o"/>
      <w:lvlJc w:val="left"/>
      <w:pPr>
        <w:ind w:left="1440" w:hanging="360"/>
      </w:pPr>
      <w:rPr>
        <w:rFonts w:ascii="Courier New" w:hAnsi="Courier New"/>
      </w:rPr>
    </w:lvl>
    <w:lvl w:ilvl="2" w:tplc="9B1E6CAA">
      <w:start w:val="1"/>
      <w:numFmt w:val="bullet"/>
      <w:lvlText w:val=""/>
      <w:lvlJc w:val="left"/>
      <w:pPr>
        <w:tabs>
          <w:tab w:val="num" w:pos="2160"/>
        </w:tabs>
        <w:ind w:left="2160" w:hanging="360"/>
      </w:pPr>
      <w:rPr>
        <w:rFonts w:ascii="Wingdings" w:hAnsi="Wingdings"/>
      </w:rPr>
    </w:lvl>
    <w:lvl w:ilvl="3" w:tplc="2A0ECEE6">
      <w:start w:val="1"/>
      <w:numFmt w:val="bullet"/>
      <w:lvlText w:val=""/>
      <w:lvlJc w:val="left"/>
      <w:pPr>
        <w:tabs>
          <w:tab w:val="num" w:pos="2880"/>
        </w:tabs>
        <w:ind w:left="2880" w:hanging="360"/>
      </w:pPr>
      <w:rPr>
        <w:rFonts w:ascii="Symbol" w:hAnsi="Symbol"/>
      </w:rPr>
    </w:lvl>
    <w:lvl w:ilvl="4" w:tplc="CC9AA618">
      <w:start w:val="1"/>
      <w:numFmt w:val="bullet"/>
      <w:lvlText w:val="o"/>
      <w:lvlJc w:val="left"/>
      <w:pPr>
        <w:tabs>
          <w:tab w:val="num" w:pos="3600"/>
        </w:tabs>
        <w:ind w:left="3600" w:hanging="360"/>
      </w:pPr>
      <w:rPr>
        <w:rFonts w:ascii="Courier New" w:hAnsi="Courier New"/>
      </w:rPr>
    </w:lvl>
    <w:lvl w:ilvl="5" w:tplc="50E4BC40">
      <w:start w:val="1"/>
      <w:numFmt w:val="bullet"/>
      <w:lvlText w:val=""/>
      <w:lvlJc w:val="left"/>
      <w:pPr>
        <w:tabs>
          <w:tab w:val="num" w:pos="4320"/>
        </w:tabs>
        <w:ind w:left="4320" w:hanging="360"/>
      </w:pPr>
      <w:rPr>
        <w:rFonts w:ascii="Wingdings" w:hAnsi="Wingdings"/>
      </w:rPr>
    </w:lvl>
    <w:lvl w:ilvl="6" w:tplc="68BA0486">
      <w:start w:val="1"/>
      <w:numFmt w:val="bullet"/>
      <w:lvlText w:val=""/>
      <w:lvlJc w:val="left"/>
      <w:pPr>
        <w:tabs>
          <w:tab w:val="num" w:pos="5040"/>
        </w:tabs>
        <w:ind w:left="5040" w:hanging="360"/>
      </w:pPr>
      <w:rPr>
        <w:rFonts w:ascii="Symbol" w:hAnsi="Symbol"/>
      </w:rPr>
    </w:lvl>
    <w:lvl w:ilvl="7" w:tplc="D2105D28">
      <w:start w:val="1"/>
      <w:numFmt w:val="bullet"/>
      <w:lvlText w:val="o"/>
      <w:lvlJc w:val="left"/>
      <w:pPr>
        <w:tabs>
          <w:tab w:val="num" w:pos="5760"/>
        </w:tabs>
        <w:ind w:left="5760" w:hanging="360"/>
      </w:pPr>
      <w:rPr>
        <w:rFonts w:ascii="Courier New" w:hAnsi="Courier New"/>
      </w:rPr>
    </w:lvl>
    <w:lvl w:ilvl="8" w:tplc="27C044AC">
      <w:start w:val="1"/>
      <w:numFmt w:val="bullet"/>
      <w:lvlText w:val=""/>
      <w:lvlJc w:val="left"/>
      <w:pPr>
        <w:tabs>
          <w:tab w:val="num" w:pos="6480"/>
        </w:tabs>
        <w:ind w:left="6480" w:hanging="360"/>
      </w:pPr>
      <w:rPr>
        <w:rFonts w:ascii="Wingdings" w:hAnsi="Wingdings"/>
      </w:rPr>
    </w:lvl>
  </w:abstractNum>
  <w:abstractNum w:abstractNumId="447" w15:restartNumberingAfterBreak="0">
    <w:nsid w:val="72230681"/>
    <w:multiLevelType w:val="hybridMultilevel"/>
    <w:tmpl w:val="72230681"/>
    <w:lvl w:ilvl="0" w:tplc="9D320EC2">
      <w:start w:val="1"/>
      <w:numFmt w:val="bullet"/>
      <w:lvlText w:val=""/>
      <w:lvlJc w:val="left"/>
      <w:pPr>
        <w:ind w:left="720" w:hanging="360"/>
      </w:pPr>
      <w:rPr>
        <w:rFonts w:ascii="Symbol" w:hAnsi="Symbol"/>
      </w:rPr>
    </w:lvl>
    <w:lvl w:ilvl="1" w:tplc="88C6B7D8">
      <w:start w:val="1"/>
      <w:numFmt w:val="bullet"/>
      <w:lvlText w:val="o"/>
      <w:lvlJc w:val="left"/>
      <w:pPr>
        <w:tabs>
          <w:tab w:val="num" w:pos="1440"/>
        </w:tabs>
        <w:ind w:left="1440" w:hanging="360"/>
      </w:pPr>
      <w:rPr>
        <w:rFonts w:ascii="Courier New" w:hAnsi="Courier New"/>
      </w:rPr>
    </w:lvl>
    <w:lvl w:ilvl="2" w:tplc="4C501E46">
      <w:start w:val="1"/>
      <w:numFmt w:val="bullet"/>
      <w:lvlText w:val=""/>
      <w:lvlJc w:val="left"/>
      <w:pPr>
        <w:tabs>
          <w:tab w:val="num" w:pos="2160"/>
        </w:tabs>
        <w:ind w:left="2160" w:hanging="360"/>
      </w:pPr>
      <w:rPr>
        <w:rFonts w:ascii="Wingdings" w:hAnsi="Wingdings"/>
      </w:rPr>
    </w:lvl>
    <w:lvl w:ilvl="3" w:tplc="D0BC4448">
      <w:start w:val="1"/>
      <w:numFmt w:val="bullet"/>
      <w:lvlText w:val=""/>
      <w:lvlJc w:val="left"/>
      <w:pPr>
        <w:tabs>
          <w:tab w:val="num" w:pos="2880"/>
        </w:tabs>
        <w:ind w:left="2880" w:hanging="360"/>
      </w:pPr>
      <w:rPr>
        <w:rFonts w:ascii="Symbol" w:hAnsi="Symbol"/>
      </w:rPr>
    </w:lvl>
    <w:lvl w:ilvl="4" w:tplc="0B8E98DA">
      <w:start w:val="1"/>
      <w:numFmt w:val="bullet"/>
      <w:lvlText w:val="o"/>
      <w:lvlJc w:val="left"/>
      <w:pPr>
        <w:tabs>
          <w:tab w:val="num" w:pos="3600"/>
        </w:tabs>
        <w:ind w:left="3600" w:hanging="360"/>
      </w:pPr>
      <w:rPr>
        <w:rFonts w:ascii="Courier New" w:hAnsi="Courier New"/>
      </w:rPr>
    </w:lvl>
    <w:lvl w:ilvl="5" w:tplc="4F945484">
      <w:start w:val="1"/>
      <w:numFmt w:val="bullet"/>
      <w:lvlText w:val=""/>
      <w:lvlJc w:val="left"/>
      <w:pPr>
        <w:tabs>
          <w:tab w:val="num" w:pos="4320"/>
        </w:tabs>
        <w:ind w:left="4320" w:hanging="360"/>
      </w:pPr>
      <w:rPr>
        <w:rFonts w:ascii="Wingdings" w:hAnsi="Wingdings"/>
      </w:rPr>
    </w:lvl>
    <w:lvl w:ilvl="6" w:tplc="BC660C14">
      <w:start w:val="1"/>
      <w:numFmt w:val="bullet"/>
      <w:lvlText w:val=""/>
      <w:lvlJc w:val="left"/>
      <w:pPr>
        <w:tabs>
          <w:tab w:val="num" w:pos="5040"/>
        </w:tabs>
        <w:ind w:left="5040" w:hanging="360"/>
      </w:pPr>
      <w:rPr>
        <w:rFonts w:ascii="Symbol" w:hAnsi="Symbol"/>
      </w:rPr>
    </w:lvl>
    <w:lvl w:ilvl="7" w:tplc="D7E4D2A2">
      <w:start w:val="1"/>
      <w:numFmt w:val="bullet"/>
      <w:lvlText w:val="o"/>
      <w:lvlJc w:val="left"/>
      <w:pPr>
        <w:tabs>
          <w:tab w:val="num" w:pos="5760"/>
        </w:tabs>
        <w:ind w:left="5760" w:hanging="360"/>
      </w:pPr>
      <w:rPr>
        <w:rFonts w:ascii="Courier New" w:hAnsi="Courier New"/>
      </w:rPr>
    </w:lvl>
    <w:lvl w:ilvl="8" w:tplc="2EB8D012">
      <w:start w:val="1"/>
      <w:numFmt w:val="bullet"/>
      <w:lvlText w:val=""/>
      <w:lvlJc w:val="left"/>
      <w:pPr>
        <w:tabs>
          <w:tab w:val="num" w:pos="6480"/>
        </w:tabs>
        <w:ind w:left="6480" w:hanging="360"/>
      </w:pPr>
      <w:rPr>
        <w:rFonts w:ascii="Wingdings" w:hAnsi="Wingdings"/>
      </w:rPr>
    </w:lvl>
  </w:abstractNum>
  <w:abstractNum w:abstractNumId="448" w15:restartNumberingAfterBreak="0">
    <w:nsid w:val="72230682"/>
    <w:multiLevelType w:val="hybridMultilevel"/>
    <w:tmpl w:val="72230682"/>
    <w:lvl w:ilvl="0" w:tplc="6FEC50A8">
      <w:start w:val="1"/>
      <w:numFmt w:val="bullet"/>
      <w:lvlText w:val=""/>
      <w:lvlJc w:val="left"/>
      <w:pPr>
        <w:ind w:left="720" w:hanging="360"/>
      </w:pPr>
      <w:rPr>
        <w:rFonts w:ascii="Symbol" w:hAnsi="Symbol"/>
      </w:rPr>
    </w:lvl>
    <w:lvl w:ilvl="1" w:tplc="D2A8F87E">
      <w:start w:val="1"/>
      <w:numFmt w:val="bullet"/>
      <w:lvlText w:val="o"/>
      <w:lvlJc w:val="left"/>
      <w:pPr>
        <w:ind w:left="1440" w:hanging="360"/>
      </w:pPr>
      <w:rPr>
        <w:rFonts w:ascii="Courier New" w:hAnsi="Courier New"/>
      </w:rPr>
    </w:lvl>
    <w:lvl w:ilvl="2" w:tplc="9D067842">
      <w:start w:val="1"/>
      <w:numFmt w:val="bullet"/>
      <w:lvlText w:val=""/>
      <w:lvlJc w:val="left"/>
      <w:pPr>
        <w:tabs>
          <w:tab w:val="num" w:pos="2160"/>
        </w:tabs>
        <w:ind w:left="2160" w:hanging="360"/>
      </w:pPr>
      <w:rPr>
        <w:rFonts w:ascii="Wingdings" w:hAnsi="Wingdings"/>
      </w:rPr>
    </w:lvl>
    <w:lvl w:ilvl="3" w:tplc="F4809466">
      <w:start w:val="1"/>
      <w:numFmt w:val="bullet"/>
      <w:lvlText w:val=""/>
      <w:lvlJc w:val="left"/>
      <w:pPr>
        <w:tabs>
          <w:tab w:val="num" w:pos="2880"/>
        </w:tabs>
        <w:ind w:left="2880" w:hanging="360"/>
      </w:pPr>
      <w:rPr>
        <w:rFonts w:ascii="Symbol" w:hAnsi="Symbol"/>
      </w:rPr>
    </w:lvl>
    <w:lvl w:ilvl="4" w:tplc="9DBEFA7C">
      <w:start w:val="1"/>
      <w:numFmt w:val="bullet"/>
      <w:lvlText w:val="o"/>
      <w:lvlJc w:val="left"/>
      <w:pPr>
        <w:tabs>
          <w:tab w:val="num" w:pos="3600"/>
        </w:tabs>
        <w:ind w:left="3600" w:hanging="360"/>
      </w:pPr>
      <w:rPr>
        <w:rFonts w:ascii="Courier New" w:hAnsi="Courier New"/>
      </w:rPr>
    </w:lvl>
    <w:lvl w:ilvl="5" w:tplc="3312BD32">
      <w:start w:val="1"/>
      <w:numFmt w:val="bullet"/>
      <w:lvlText w:val=""/>
      <w:lvlJc w:val="left"/>
      <w:pPr>
        <w:tabs>
          <w:tab w:val="num" w:pos="4320"/>
        </w:tabs>
        <w:ind w:left="4320" w:hanging="360"/>
      </w:pPr>
      <w:rPr>
        <w:rFonts w:ascii="Wingdings" w:hAnsi="Wingdings"/>
      </w:rPr>
    </w:lvl>
    <w:lvl w:ilvl="6" w:tplc="D1BEEBAE">
      <w:start w:val="1"/>
      <w:numFmt w:val="bullet"/>
      <w:lvlText w:val=""/>
      <w:lvlJc w:val="left"/>
      <w:pPr>
        <w:tabs>
          <w:tab w:val="num" w:pos="5040"/>
        </w:tabs>
        <w:ind w:left="5040" w:hanging="360"/>
      </w:pPr>
      <w:rPr>
        <w:rFonts w:ascii="Symbol" w:hAnsi="Symbol"/>
      </w:rPr>
    </w:lvl>
    <w:lvl w:ilvl="7" w:tplc="21D436F2">
      <w:start w:val="1"/>
      <w:numFmt w:val="bullet"/>
      <w:lvlText w:val="o"/>
      <w:lvlJc w:val="left"/>
      <w:pPr>
        <w:tabs>
          <w:tab w:val="num" w:pos="5760"/>
        </w:tabs>
        <w:ind w:left="5760" w:hanging="360"/>
      </w:pPr>
      <w:rPr>
        <w:rFonts w:ascii="Courier New" w:hAnsi="Courier New"/>
      </w:rPr>
    </w:lvl>
    <w:lvl w:ilvl="8" w:tplc="3A0672D2">
      <w:start w:val="1"/>
      <w:numFmt w:val="bullet"/>
      <w:lvlText w:val=""/>
      <w:lvlJc w:val="left"/>
      <w:pPr>
        <w:tabs>
          <w:tab w:val="num" w:pos="6480"/>
        </w:tabs>
        <w:ind w:left="6480" w:hanging="360"/>
      </w:pPr>
      <w:rPr>
        <w:rFonts w:ascii="Wingdings" w:hAnsi="Wingdings"/>
      </w:rPr>
    </w:lvl>
  </w:abstractNum>
  <w:abstractNum w:abstractNumId="449" w15:restartNumberingAfterBreak="0">
    <w:nsid w:val="72230683"/>
    <w:multiLevelType w:val="hybridMultilevel"/>
    <w:tmpl w:val="72230683"/>
    <w:lvl w:ilvl="0" w:tplc="4BBA8D62">
      <w:start w:val="1"/>
      <w:numFmt w:val="bullet"/>
      <w:lvlText w:val=""/>
      <w:lvlJc w:val="left"/>
      <w:pPr>
        <w:ind w:left="720" w:hanging="360"/>
      </w:pPr>
      <w:rPr>
        <w:rFonts w:ascii="Symbol" w:hAnsi="Symbol"/>
      </w:rPr>
    </w:lvl>
    <w:lvl w:ilvl="1" w:tplc="6A4E9B3A">
      <w:start w:val="1"/>
      <w:numFmt w:val="bullet"/>
      <w:lvlText w:val="o"/>
      <w:lvlJc w:val="left"/>
      <w:pPr>
        <w:tabs>
          <w:tab w:val="num" w:pos="1440"/>
        </w:tabs>
        <w:ind w:left="1440" w:hanging="360"/>
      </w:pPr>
      <w:rPr>
        <w:rFonts w:ascii="Courier New" w:hAnsi="Courier New"/>
      </w:rPr>
    </w:lvl>
    <w:lvl w:ilvl="2" w:tplc="A0B25116">
      <w:start w:val="1"/>
      <w:numFmt w:val="bullet"/>
      <w:lvlText w:val=""/>
      <w:lvlJc w:val="left"/>
      <w:pPr>
        <w:tabs>
          <w:tab w:val="num" w:pos="2160"/>
        </w:tabs>
        <w:ind w:left="2160" w:hanging="360"/>
      </w:pPr>
      <w:rPr>
        <w:rFonts w:ascii="Wingdings" w:hAnsi="Wingdings"/>
      </w:rPr>
    </w:lvl>
    <w:lvl w:ilvl="3" w:tplc="3E18A032">
      <w:start w:val="1"/>
      <w:numFmt w:val="bullet"/>
      <w:lvlText w:val=""/>
      <w:lvlJc w:val="left"/>
      <w:pPr>
        <w:tabs>
          <w:tab w:val="num" w:pos="2880"/>
        </w:tabs>
        <w:ind w:left="2880" w:hanging="360"/>
      </w:pPr>
      <w:rPr>
        <w:rFonts w:ascii="Symbol" w:hAnsi="Symbol"/>
      </w:rPr>
    </w:lvl>
    <w:lvl w:ilvl="4" w:tplc="49744944">
      <w:start w:val="1"/>
      <w:numFmt w:val="bullet"/>
      <w:lvlText w:val="o"/>
      <w:lvlJc w:val="left"/>
      <w:pPr>
        <w:tabs>
          <w:tab w:val="num" w:pos="3600"/>
        </w:tabs>
        <w:ind w:left="3600" w:hanging="360"/>
      </w:pPr>
      <w:rPr>
        <w:rFonts w:ascii="Courier New" w:hAnsi="Courier New"/>
      </w:rPr>
    </w:lvl>
    <w:lvl w:ilvl="5" w:tplc="042ECE8C">
      <w:start w:val="1"/>
      <w:numFmt w:val="bullet"/>
      <w:lvlText w:val=""/>
      <w:lvlJc w:val="left"/>
      <w:pPr>
        <w:tabs>
          <w:tab w:val="num" w:pos="4320"/>
        </w:tabs>
        <w:ind w:left="4320" w:hanging="360"/>
      </w:pPr>
      <w:rPr>
        <w:rFonts w:ascii="Wingdings" w:hAnsi="Wingdings"/>
      </w:rPr>
    </w:lvl>
    <w:lvl w:ilvl="6" w:tplc="7618F528">
      <w:start w:val="1"/>
      <w:numFmt w:val="bullet"/>
      <w:lvlText w:val=""/>
      <w:lvlJc w:val="left"/>
      <w:pPr>
        <w:tabs>
          <w:tab w:val="num" w:pos="5040"/>
        </w:tabs>
        <w:ind w:left="5040" w:hanging="360"/>
      </w:pPr>
      <w:rPr>
        <w:rFonts w:ascii="Symbol" w:hAnsi="Symbol"/>
      </w:rPr>
    </w:lvl>
    <w:lvl w:ilvl="7" w:tplc="C8B2E5F8">
      <w:start w:val="1"/>
      <w:numFmt w:val="bullet"/>
      <w:lvlText w:val="o"/>
      <w:lvlJc w:val="left"/>
      <w:pPr>
        <w:tabs>
          <w:tab w:val="num" w:pos="5760"/>
        </w:tabs>
        <w:ind w:left="5760" w:hanging="360"/>
      </w:pPr>
      <w:rPr>
        <w:rFonts w:ascii="Courier New" w:hAnsi="Courier New"/>
      </w:rPr>
    </w:lvl>
    <w:lvl w:ilvl="8" w:tplc="FE8E2DD0">
      <w:start w:val="1"/>
      <w:numFmt w:val="bullet"/>
      <w:lvlText w:val=""/>
      <w:lvlJc w:val="left"/>
      <w:pPr>
        <w:tabs>
          <w:tab w:val="num" w:pos="6480"/>
        </w:tabs>
        <w:ind w:left="6480" w:hanging="360"/>
      </w:pPr>
      <w:rPr>
        <w:rFonts w:ascii="Wingdings" w:hAnsi="Wingdings"/>
      </w:rPr>
    </w:lvl>
  </w:abstractNum>
  <w:abstractNum w:abstractNumId="450" w15:restartNumberingAfterBreak="0">
    <w:nsid w:val="72230684"/>
    <w:multiLevelType w:val="hybridMultilevel"/>
    <w:tmpl w:val="72230684"/>
    <w:lvl w:ilvl="0" w:tplc="42AAE970">
      <w:start w:val="1"/>
      <w:numFmt w:val="bullet"/>
      <w:lvlText w:val=""/>
      <w:lvlJc w:val="left"/>
      <w:pPr>
        <w:ind w:left="720" w:hanging="360"/>
      </w:pPr>
      <w:rPr>
        <w:rFonts w:ascii="Symbol" w:hAnsi="Symbol"/>
      </w:rPr>
    </w:lvl>
    <w:lvl w:ilvl="1" w:tplc="2A8CBA6A">
      <w:start w:val="1"/>
      <w:numFmt w:val="bullet"/>
      <w:lvlText w:val="o"/>
      <w:lvlJc w:val="left"/>
      <w:pPr>
        <w:tabs>
          <w:tab w:val="num" w:pos="1440"/>
        </w:tabs>
        <w:ind w:left="1440" w:hanging="360"/>
      </w:pPr>
      <w:rPr>
        <w:rFonts w:ascii="Courier New" w:hAnsi="Courier New"/>
      </w:rPr>
    </w:lvl>
    <w:lvl w:ilvl="2" w:tplc="18EA0CCA">
      <w:start w:val="1"/>
      <w:numFmt w:val="bullet"/>
      <w:lvlText w:val=""/>
      <w:lvlJc w:val="left"/>
      <w:pPr>
        <w:tabs>
          <w:tab w:val="num" w:pos="2160"/>
        </w:tabs>
        <w:ind w:left="2160" w:hanging="360"/>
      </w:pPr>
      <w:rPr>
        <w:rFonts w:ascii="Wingdings" w:hAnsi="Wingdings"/>
      </w:rPr>
    </w:lvl>
    <w:lvl w:ilvl="3" w:tplc="05B06F24">
      <w:start w:val="1"/>
      <w:numFmt w:val="bullet"/>
      <w:lvlText w:val=""/>
      <w:lvlJc w:val="left"/>
      <w:pPr>
        <w:tabs>
          <w:tab w:val="num" w:pos="2880"/>
        </w:tabs>
        <w:ind w:left="2880" w:hanging="360"/>
      </w:pPr>
      <w:rPr>
        <w:rFonts w:ascii="Symbol" w:hAnsi="Symbol"/>
      </w:rPr>
    </w:lvl>
    <w:lvl w:ilvl="4" w:tplc="4F8C35B0">
      <w:start w:val="1"/>
      <w:numFmt w:val="bullet"/>
      <w:lvlText w:val="o"/>
      <w:lvlJc w:val="left"/>
      <w:pPr>
        <w:tabs>
          <w:tab w:val="num" w:pos="3600"/>
        </w:tabs>
        <w:ind w:left="3600" w:hanging="360"/>
      </w:pPr>
      <w:rPr>
        <w:rFonts w:ascii="Courier New" w:hAnsi="Courier New"/>
      </w:rPr>
    </w:lvl>
    <w:lvl w:ilvl="5" w:tplc="1CD2EFF2">
      <w:start w:val="1"/>
      <w:numFmt w:val="bullet"/>
      <w:lvlText w:val=""/>
      <w:lvlJc w:val="left"/>
      <w:pPr>
        <w:tabs>
          <w:tab w:val="num" w:pos="4320"/>
        </w:tabs>
        <w:ind w:left="4320" w:hanging="360"/>
      </w:pPr>
      <w:rPr>
        <w:rFonts w:ascii="Wingdings" w:hAnsi="Wingdings"/>
      </w:rPr>
    </w:lvl>
    <w:lvl w:ilvl="6" w:tplc="C2FA9ED6">
      <w:start w:val="1"/>
      <w:numFmt w:val="bullet"/>
      <w:lvlText w:val=""/>
      <w:lvlJc w:val="left"/>
      <w:pPr>
        <w:tabs>
          <w:tab w:val="num" w:pos="5040"/>
        </w:tabs>
        <w:ind w:left="5040" w:hanging="360"/>
      </w:pPr>
      <w:rPr>
        <w:rFonts w:ascii="Symbol" w:hAnsi="Symbol"/>
      </w:rPr>
    </w:lvl>
    <w:lvl w:ilvl="7" w:tplc="EFFE6BAA">
      <w:start w:val="1"/>
      <w:numFmt w:val="bullet"/>
      <w:lvlText w:val="o"/>
      <w:lvlJc w:val="left"/>
      <w:pPr>
        <w:tabs>
          <w:tab w:val="num" w:pos="5760"/>
        </w:tabs>
        <w:ind w:left="5760" w:hanging="360"/>
      </w:pPr>
      <w:rPr>
        <w:rFonts w:ascii="Courier New" w:hAnsi="Courier New"/>
      </w:rPr>
    </w:lvl>
    <w:lvl w:ilvl="8" w:tplc="BF84DC8C">
      <w:start w:val="1"/>
      <w:numFmt w:val="bullet"/>
      <w:lvlText w:val=""/>
      <w:lvlJc w:val="left"/>
      <w:pPr>
        <w:tabs>
          <w:tab w:val="num" w:pos="6480"/>
        </w:tabs>
        <w:ind w:left="6480" w:hanging="360"/>
      </w:pPr>
      <w:rPr>
        <w:rFonts w:ascii="Wingdings" w:hAnsi="Wingdings"/>
      </w:rPr>
    </w:lvl>
  </w:abstractNum>
  <w:abstractNum w:abstractNumId="451" w15:restartNumberingAfterBreak="0">
    <w:nsid w:val="72230685"/>
    <w:multiLevelType w:val="hybridMultilevel"/>
    <w:tmpl w:val="72230685"/>
    <w:lvl w:ilvl="0" w:tplc="7AF20CAE">
      <w:start w:val="1"/>
      <w:numFmt w:val="bullet"/>
      <w:lvlText w:val=""/>
      <w:lvlJc w:val="left"/>
      <w:pPr>
        <w:ind w:left="720" w:hanging="360"/>
      </w:pPr>
      <w:rPr>
        <w:rFonts w:ascii="Symbol" w:hAnsi="Symbol"/>
      </w:rPr>
    </w:lvl>
    <w:lvl w:ilvl="1" w:tplc="F1F60624">
      <w:start w:val="1"/>
      <w:numFmt w:val="bullet"/>
      <w:lvlText w:val="o"/>
      <w:lvlJc w:val="left"/>
      <w:pPr>
        <w:tabs>
          <w:tab w:val="num" w:pos="1440"/>
        </w:tabs>
        <w:ind w:left="1440" w:hanging="360"/>
      </w:pPr>
      <w:rPr>
        <w:rFonts w:ascii="Courier New" w:hAnsi="Courier New"/>
      </w:rPr>
    </w:lvl>
    <w:lvl w:ilvl="2" w:tplc="FFB0AEB4">
      <w:start w:val="1"/>
      <w:numFmt w:val="bullet"/>
      <w:lvlText w:val=""/>
      <w:lvlJc w:val="left"/>
      <w:pPr>
        <w:tabs>
          <w:tab w:val="num" w:pos="2160"/>
        </w:tabs>
        <w:ind w:left="2160" w:hanging="360"/>
      </w:pPr>
      <w:rPr>
        <w:rFonts w:ascii="Wingdings" w:hAnsi="Wingdings"/>
      </w:rPr>
    </w:lvl>
    <w:lvl w:ilvl="3" w:tplc="D47651C6">
      <w:start w:val="1"/>
      <w:numFmt w:val="bullet"/>
      <w:lvlText w:val=""/>
      <w:lvlJc w:val="left"/>
      <w:pPr>
        <w:tabs>
          <w:tab w:val="num" w:pos="2880"/>
        </w:tabs>
        <w:ind w:left="2880" w:hanging="360"/>
      </w:pPr>
      <w:rPr>
        <w:rFonts w:ascii="Symbol" w:hAnsi="Symbol"/>
      </w:rPr>
    </w:lvl>
    <w:lvl w:ilvl="4" w:tplc="AC720D46">
      <w:start w:val="1"/>
      <w:numFmt w:val="bullet"/>
      <w:lvlText w:val="o"/>
      <w:lvlJc w:val="left"/>
      <w:pPr>
        <w:tabs>
          <w:tab w:val="num" w:pos="3600"/>
        </w:tabs>
        <w:ind w:left="3600" w:hanging="360"/>
      </w:pPr>
      <w:rPr>
        <w:rFonts w:ascii="Courier New" w:hAnsi="Courier New"/>
      </w:rPr>
    </w:lvl>
    <w:lvl w:ilvl="5" w:tplc="71B8F926">
      <w:start w:val="1"/>
      <w:numFmt w:val="bullet"/>
      <w:lvlText w:val=""/>
      <w:lvlJc w:val="left"/>
      <w:pPr>
        <w:tabs>
          <w:tab w:val="num" w:pos="4320"/>
        </w:tabs>
        <w:ind w:left="4320" w:hanging="360"/>
      </w:pPr>
      <w:rPr>
        <w:rFonts w:ascii="Wingdings" w:hAnsi="Wingdings"/>
      </w:rPr>
    </w:lvl>
    <w:lvl w:ilvl="6" w:tplc="BD90D1A8">
      <w:start w:val="1"/>
      <w:numFmt w:val="bullet"/>
      <w:lvlText w:val=""/>
      <w:lvlJc w:val="left"/>
      <w:pPr>
        <w:tabs>
          <w:tab w:val="num" w:pos="5040"/>
        </w:tabs>
        <w:ind w:left="5040" w:hanging="360"/>
      </w:pPr>
      <w:rPr>
        <w:rFonts w:ascii="Symbol" w:hAnsi="Symbol"/>
      </w:rPr>
    </w:lvl>
    <w:lvl w:ilvl="7" w:tplc="D4C41B8A">
      <w:start w:val="1"/>
      <w:numFmt w:val="bullet"/>
      <w:lvlText w:val="o"/>
      <w:lvlJc w:val="left"/>
      <w:pPr>
        <w:tabs>
          <w:tab w:val="num" w:pos="5760"/>
        </w:tabs>
        <w:ind w:left="5760" w:hanging="360"/>
      </w:pPr>
      <w:rPr>
        <w:rFonts w:ascii="Courier New" w:hAnsi="Courier New"/>
      </w:rPr>
    </w:lvl>
    <w:lvl w:ilvl="8" w:tplc="F356C648">
      <w:start w:val="1"/>
      <w:numFmt w:val="bullet"/>
      <w:lvlText w:val=""/>
      <w:lvlJc w:val="left"/>
      <w:pPr>
        <w:tabs>
          <w:tab w:val="num" w:pos="6480"/>
        </w:tabs>
        <w:ind w:left="6480" w:hanging="360"/>
      </w:pPr>
      <w:rPr>
        <w:rFonts w:ascii="Wingdings" w:hAnsi="Wingdings"/>
      </w:rPr>
    </w:lvl>
  </w:abstractNum>
  <w:abstractNum w:abstractNumId="452" w15:restartNumberingAfterBreak="0">
    <w:nsid w:val="72230686"/>
    <w:multiLevelType w:val="hybridMultilevel"/>
    <w:tmpl w:val="72230686"/>
    <w:lvl w:ilvl="0" w:tplc="AC4A2F64">
      <w:start w:val="1"/>
      <w:numFmt w:val="bullet"/>
      <w:lvlText w:val=""/>
      <w:lvlJc w:val="left"/>
      <w:pPr>
        <w:ind w:left="720" w:hanging="360"/>
      </w:pPr>
      <w:rPr>
        <w:rFonts w:ascii="Symbol" w:hAnsi="Symbol"/>
      </w:rPr>
    </w:lvl>
    <w:lvl w:ilvl="1" w:tplc="874CE0E4">
      <w:start w:val="1"/>
      <w:numFmt w:val="bullet"/>
      <w:lvlText w:val="o"/>
      <w:lvlJc w:val="left"/>
      <w:pPr>
        <w:tabs>
          <w:tab w:val="num" w:pos="1440"/>
        </w:tabs>
        <w:ind w:left="1440" w:hanging="360"/>
      </w:pPr>
      <w:rPr>
        <w:rFonts w:ascii="Courier New" w:hAnsi="Courier New"/>
      </w:rPr>
    </w:lvl>
    <w:lvl w:ilvl="2" w:tplc="0EFE70B0">
      <w:start w:val="1"/>
      <w:numFmt w:val="bullet"/>
      <w:lvlText w:val=""/>
      <w:lvlJc w:val="left"/>
      <w:pPr>
        <w:tabs>
          <w:tab w:val="num" w:pos="2160"/>
        </w:tabs>
        <w:ind w:left="2160" w:hanging="360"/>
      </w:pPr>
      <w:rPr>
        <w:rFonts w:ascii="Wingdings" w:hAnsi="Wingdings"/>
      </w:rPr>
    </w:lvl>
    <w:lvl w:ilvl="3" w:tplc="B0566052">
      <w:start w:val="1"/>
      <w:numFmt w:val="bullet"/>
      <w:lvlText w:val=""/>
      <w:lvlJc w:val="left"/>
      <w:pPr>
        <w:tabs>
          <w:tab w:val="num" w:pos="2880"/>
        </w:tabs>
        <w:ind w:left="2880" w:hanging="360"/>
      </w:pPr>
      <w:rPr>
        <w:rFonts w:ascii="Symbol" w:hAnsi="Symbol"/>
      </w:rPr>
    </w:lvl>
    <w:lvl w:ilvl="4" w:tplc="A4165538">
      <w:start w:val="1"/>
      <w:numFmt w:val="bullet"/>
      <w:lvlText w:val="o"/>
      <w:lvlJc w:val="left"/>
      <w:pPr>
        <w:tabs>
          <w:tab w:val="num" w:pos="3600"/>
        </w:tabs>
        <w:ind w:left="3600" w:hanging="360"/>
      </w:pPr>
      <w:rPr>
        <w:rFonts w:ascii="Courier New" w:hAnsi="Courier New"/>
      </w:rPr>
    </w:lvl>
    <w:lvl w:ilvl="5" w:tplc="BD027FE4">
      <w:start w:val="1"/>
      <w:numFmt w:val="bullet"/>
      <w:lvlText w:val=""/>
      <w:lvlJc w:val="left"/>
      <w:pPr>
        <w:tabs>
          <w:tab w:val="num" w:pos="4320"/>
        </w:tabs>
        <w:ind w:left="4320" w:hanging="360"/>
      </w:pPr>
      <w:rPr>
        <w:rFonts w:ascii="Wingdings" w:hAnsi="Wingdings"/>
      </w:rPr>
    </w:lvl>
    <w:lvl w:ilvl="6" w:tplc="C0D8B6FC">
      <w:start w:val="1"/>
      <w:numFmt w:val="bullet"/>
      <w:lvlText w:val=""/>
      <w:lvlJc w:val="left"/>
      <w:pPr>
        <w:tabs>
          <w:tab w:val="num" w:pos="5040"/>
        </w:tabs>
        <w:ind w:left="5040" w:hanging="360"/>
      </w:pPr>
      <w:rPr>
        <w:rFonts w:ascii="Symbol" w:hAnsi="Symbol"/>
      </w:rPr>
    </w:lvl>
    <w:lvl w:ilvl="7" w:tplc="72D24E00">
      <w:start w:val="1"/>
      <w:numFmt w:val="bullet"/>
      <w:lvlText w:val="o"/>
      <w:lvlJc w:val="left"/>
      <w:pPr>
        <w:tabs>
          <w:tab w:val="num" w:pos="5760"/>
        </w:tabs>
        <w:ind w:left="5760" w:hanging="360"/>
      </w:pPr>
      <w:rPr>
        <w:rFonts w:ascii="Courier New" w:hAnsi="Courier New"/>
      </w:rPr>
    </w:lvl>
    <w:lvl w:ilvl="8" w:tplc="E59633AC">
      <w:start w:val="1"/>
      <w:numFmt w:val="bullet"/>
      <w:lvlText w:val=""/>
      <w:lvlJc w:val="left"/>
      <w:pPr>
        <w:tabs>
          <w:tab w:val="num" w:pos="6480"/>
        </w:tabs>
        <w:ind w:left="6480" w:hanging="360"/>
      </w:pPr>
      <w:rPr>
        <w:rFonts w:ascii="Wingdings" w:hAnsi="Wingdings"/>
      </w:rPr>
    </w:lvl>
  </w:abstractNum>
  <w:abstractNum w:abstractNumId="453" w15:restartNumberingAfterBreak="0">
    <w:nsid w:val="72230687"/>
    <w:multiLevelType w:val="hybridMultilevel"/>
    <w:tmpl w:val="72230687"/>
    <w:lvl w:ilvl="0" w:tplc="9EEE8E12">
      <w:start w:val="1"/>
      <w:numFmt w:val="bullet"/>
      <w:lvlText w:val=""/>
      <w:lvlJc w:val="left"/>
      <w:pPr>
        <w:ind w:left="720" w:hanging="360"/>
      </w:pPr>
      <w:rPr>
        <w:rFonts w:ascii="Symbol" w:hAnsi="Symbol"/>
      </w:rPr>
    </w:lvl>
    <w:lvl w:ilvl="1" w:tplc="ABB25CFE">
      <w:start w:val="1"/>
      <w:numFmt w:val="bullet"/>
      <w:lvlText w:val="o"/>
      <w:lvlJc w:val="left"/>
      <w:pPr>
        <w:tabs>
          <w:tab w:val="num" w:pos="1440"/>
        </w:tabs>
        <w:ind w:left="1440" w:hanging="360"/>
      </w:pPr>
      <w:rPr>
        <w:rFonts w:ascii="Courier New" w:hAnsi="Courier New"/>
      </w:rPr>
    </w:lvl>
    <w:lvl w:ilvl="2" w:tplc="D8642BB8">
      <w:start w:val="1"/>
      <w:numFmt w:val="bullet"/>
      <w:lvlText w:val=""/>
      <w:lvlJc w:val="left"/>
      <w:pPr>
        <w:tabs>
          <w:tab w:val="num" w:pos="2160"/>
        </w:tabs>
        <w:ind w:left="2160" w:hanging="360"/>
      </w:pPr>
      <w:rPr>
        <w:rFonts w:ascii="Wingdings" w:hAnsi="Wingdings"/>
      </w:rPr>
    </w:lvl>
    <w:lvl w:ilvl="3" w:tplc="8F288FF2">
      <w:start w:val="1"/>
      <w:numFmt w:val="bullet"/>
      <w:lvlText w:val=""/>
      <w:lvlJc w:val="left"/>
      <w:pPr>
        <w:tabs>
          <w:tab w:val="num" w:pos="2880"/>
        </w:tabs>
        <w:ind w:left="2880" w:hanging="360"/>
      </w:pPr>
      <w:rPr>
        <w:rFonts w:ascii="Symbol" w:hAnsi="Symbol"/>
      </w:rPr>
    </w:lvl>
    <w:lvl w:ilvl="4" w:tplc="DFC2A51E">
      <w:start w:val="1"/>
      <w:numFmt w:val="bullet"/>
      <w:lvlText w:val="o"/>
      <w:lvlJc w:val="left"/>
      <w:pPr>
        <w:tabs>
          <w:tab w:val="num" w:pos="3600"/>
        </w:tabs>
        <w:ind w:left="3600" w:hanging="360"/>
      </w:pPr>
      <w:rPr>
        <w:rFonts w:ascii="Courier New" w:hAnsi="Courier New"/>
      </w:rPr>
    </w:lvl>
    <w:lvl w:ilvl="5" w:tplc="D8468978">
      <w:start w:val="1"/>
      <w:numFmt w:val="bullet"/>
      <w:lvlText w:val=""/>
      <w:lvlJc w:val="left"/>
      <w:pPr>
        <w:tabs>
          <w:tab w:val="num" w:pos="4320"/>
        </w:tabs>
        <w:ind w:left="4320" w:hanging="360"/>
      </w:pPr>
      <w:rPr>
        <w:rFonts w:ascii="Wingdings" w:hAnsi="Wingdings"/>
      </w:rPr>
    </w:lvl>
    <w:lvl w:ilvl="6" w:tplc="54444BE8">
      <w:start w:val="1"/>
      <w:numFmt w:val="bullet"/>
      <w:lvlText w:val=""/>
      <w:lvlJc w:val="left"/>
      <w:pPr>
        <w:tabs>
          <w:tab w:val="num" w:pos="5040"/>
        </w:tabs>
        <w:ind w:left="5040" w:hanging="360"/>
      </w:pPr>
      <w:rPr>
        <w:rFonts w:ascii="Symbol" w:hAnsi="Symbol"/>
      </w:rPr>
    </w:lvl>
    <w:lvl w:ilvl="7" w:tplc="941A1D04">
      <w:start w:val="1"/>
      <w:numFmt w:val="bullet"/>
      <w:lvlText w:val="o"/>
      <w:lvlJc w:val="left"/>
      <w:pPr>
        <w:tabs>
          <w:tab w:val="num" w:pos="5760"/>
        </w:tabs>
        <w:ind w:left="5760" w:hanging="360"/>
      </w:pPr>
      <w:rPr>
        <w:rFonts w:ascii="Courier New" w:hAnsi="Courier New"/>
      </w:rPr>
    </w:lvl>
    <w:lvl w:ilvl="8" w:tplc="8FFACEB6">
      <w:start w:val="1"/>
      <w:numFmt w:val="bullet"/>
      <w:lvlText w:val=""/>
      <w:lvlJc w:val="left"/>
      <w:pPr>
        <w:tabs>
          <w:tab w:val="num" w:pos="6480"/>
        </w:tabs>
        <w:ind w:left="6480" w:hanging="360"/>
      </w:pPr>
      <w:rPr>
        <w:rFonts w:ascii="Wingdings" w:hAnsi="Wingdings"/>
      </w:rPr>
    </w:lvl>
  </w:abstractNum>
  <w:abstractNum w:abstractNumId="454" w15:restartNumberingAfterBreak="0">
    <w:nsid w:val="72230688"/>
    <w:multiLevelType w:val="hybridMultilevel"/>
    <w:tmpl w:val="72230688"/>
    <w:lvl w:ilvl="0" w:tplc="9B76A0BC">
      <w:start w:val="1"/>
      <w:numFmt w:val="bullet"/>
      <w:lvlText w:val=""/>
      <w:lvlJc w:val="left"/>
      <w:pPr>
        <w:ind w:left="720" w:hanging="360"/>
      </w:pPr>
      <w:rPr>
        <w:rFonts w:ascii="Symbol" w:hAnsi="Symbol"/>
      </w:rPr>
    </w:lvl>
    <w:lvl w:ilvl="1" w:tplc="FF3E79BE">
      <w:start w:val="1"/>
      <w:numFmt w:val="bullet"/>
      <w:lvlText w:val="o"/>
      <w:lvlJc w:val="left"/>
      <w:pPr>
        <w:tabs>
          <w:tab w:val="num" w:pos="1440"/>
        </w:tabs>
        <w:ind w:left="1440" w:hanging="360"/>
      </w:pPr>
      <w:rPr>
        <w:rFonts w:ascii="Courier New" w:hAnsi="Courier New"/>
      </w:rPr>
    </w:lvl>
    <w:lvl w:ilvl="2" w:tplc="F266E268">
      <w:start w:val="1"/>
      <w:numFmt w:val="bullet"/>
      <w:lvlText w:val=""/>
      <w:lvlJc w:val="left"/>
      <w:pPr>
        <w:tabs>
          <w:tab w:val="num" w:pos="2160"/>
        </w:tabs>
        <w:ind w:left="2160" w:hanging="360"/>
      </w:pPr>
      <w:rPr>
        <w:rFonts w:ascii="Wingdings" w:hAnsi="Wingdings"/>
      </w:rPr>
    </w:lvl>
    <w:lvl w:ilvl="3" w:tplc="638E9848">
      <w:start w:val="1"/>
      <w:numFmt w:val="bullet"/>
      <w:lvlText w:val=""/>
      <w:lvlJc w:val="left"/>
      <w:pPr>
        <w:tabs>
          <w:tab w:val="num" w:pos="2880"/>
        </w:tabs>
        <w:ind w:left="2880" w:hanging="360"/>
      </w:pPr>
      <w:rPr>
        <w:rFonts w:ascii="Symbol" w:hAnsi="Symbol"/>
      </w:rPr>
    </w:lvl>
    <w:lvl w:ilvl="4" w:tplc="A7A025DC">
      <w:start w:val="1"/>
      <w:numFmt w:val="bullet"/>
      <w:lvlText w:val="o"/>
      <w:lvlJc w:val="left"/>
      <w:pPr>
        <w:tabs>
          <w:tab w:val="num" w:pos="3600"/>
        </w:tabs>
        <w:ind w:left="3600" w:hanging="360"/>
      </w:pPr>
      <w:rPr>
        <w:rFonts w:ascii="Courier New" w:hAnsi="Courier New"/>
      </w:rPr>
    </w:lvl>
    <w:lvl w:ilvl="5" w:tplc="EB666172">
      <w:start w:val="1"/>
      <w:numFmt w:val="bullet"/>
      <w:lvlText w:val=""/>
      <w:lvlJc w:val="left"/>
      <w:pPr>
        <w:tabs>
          <w:tab w:val="num" w:pos="4320"/>
        </w:tabs>
        <w:ind w:left="4320" w:hanging="360"/>
      </w:pPr>
      <w:rPr>
        <w:rFonts w:ascii="Wingdings" w:hAnsi="Wingdings"/>
      </w:rPr>
    </w:lvl>
    <w:lvl w:ilvl="6" w:tplc="E4E48FBE">
      <w:start w:val="1"/>
      <w:numFmt w:val="bullet"/>
      <w:lvlText w:val=""/>
      <w:lvlJc w:val="left"/>
      <w:pPr>
        <w:tabs>
          <w:tab w:val="num" w:pos="5040"/>
        </w:tabs>
        <w:ind w:left="5040" w:hanging="360"/>
      </w:pPr>
      <w:rPr>
        <w:rFonts w:ascii="Symbol" w:hAnsi="Symbol"/>
      </w:rPr>
    </w:lvl>
    <w:lvl w:ilvl="7" w:tplc="E744AEE4">
      <w:start w:val="1"/>
      <w:numFmt w:val="bullet"/>
      <w:lvlText w:val="o"/>
      <w:lvlJc w:val="left"/>
      <w:pPr>
        <w:tabs>
          <w:tab w:val="num" w:pos="5760"/>
        </w:tabs>
        <w:ind w:left="5760" w:hanging="360"/>
      </w:pPr>
      <w:rPr>
        <w:rFonts w:ascii="Courier New" w:hAnsi="Courier New"/>
      </w:rPr>
    </w:lvl>
    <w:lvl w:ilvl="8" w:tplc="06F419E4">
      <w:start w:val="1"/>
      <w:numFmt w:val="bullet"/>
      <w:lvlText w:val=""/>
      <w:lvlJc w:val="left"/>
      <w:pPr>
        <w:tabs>
          <w:tab w:val="num" w:pos="6480"/>
        </w:tabs>
        <w:ind w:left="6480" w:hanging="360"/>
      </w:pPr>
      <w:rPr>
        <w:rFonts w:ascii="Wingdings" w:hAnsi="Wingdings"/>
      </w:rPr>
    </w:lvl>
  </w:abstractNum>
  <w:abstractNum w:abstractNumId="455" w15:restartNumberingAfterBreak="0">
    <w:nsid w:val="72230689"/>
    <w:multiLevelType w:val="hybridMultilevel"/>
    <w:tmpl w:val="72230689"/>
    <w:lvl w:ilvl="0" w:tplc="82E043E6">
      <w:start w:val="1"/>
      <w:numFmt w:val="bullet"/>
      <w:lvlText w:val=""/>
      <w:lvlJc w:val="left"/>
      <w:pPr>
        <w:ind w:left="720" w:hanging="360"/>
      </w:pPr>
      <w:rPr>
        <w:rFonts w:ascii="Symbol" w:hAnsi="Symbol"/>
      </w:rPr>
    </w:lvl>
    <w:lvl w:ilvl="1" w:tplc="36B89C9A">
      <w:start w:val="1"/>
      <w:numFmt w:val="bullet"/>
      <w:lvlText w:val="o"/>
      <w:lvlJc w:val="left"/>
      <w:pPr>
        <w:tabs>
          <w:tab w:val="num" w:pos="1440"/>
        </w:tabs>
        <w:ind w:left="1440" w:hanging="360"/>
      </w:pPr>
      <w:rPr>
        <w:rFonts w:ascii="Courier New" w:hAnsi="Courier New"/>
      </w:rPr>
    </w:lvl>
    <w:lvl w:ilvl="2" w:tplc="410E4588">
      <w:start w:val="1"/>
      <w:numFmt w:val="bullet"/>
      <w:lvlText w:val=""/>
      <w:lvlJc w:val="left"/>
      <w:pPr>
        <w:tabs>
          <w:tab w:val="num" w:pos="2160"/>
        </w:tabs>
        <w:ind w:left="2160" w:hanging="360"/>
      </w:pPr>
      <w:rPr>
        <w:rFonts w:ascii="Wingdings" w:hAnsi="Wingdings"/>
      </w:rPr>
    </w:lvl>
    <w:lvl w:ilvl="3" w:tplc="E78EF59C">
      <w:start w:val="1"/>
      <w:numFmt w:val="bullet"/>
      <w:lvlText w:val=""/>
      <w:lvlJc w:val="left"/>
      <w:pPr>
        <w:tabs>
          <w:tab w:val="num" w:pos="2880"/>
        </w:tabs>
        <w:ind w:left="2880" w:hanging="360"/>
      </w:pPr>
      <w:rPr>
        <w:rFonts w:ascii="Symbol" w:hAnsi="Symbol"/>
      </w:rPr>
    </w:lvl>
    <w:lvl w:ilvl="4" w:tplc="2A569012">
      <w:start w:val="1"/>
      <w:numFmt w:val="bullet"/>
      <w:lvlText w:val="o"/>
      <w:lvlJc w:val="left"/>
      <w:pPr>
        <w:tabs>
          <w:tab w:val="num" w:pos="3600"/>
        </w:tabs>
        <w:ind w:left="3600" w:hanging="360"/>
      </w:pPr>
      <w:rPr>
        <w:rFonts w:ascii="Courier New" w:hAnsi="Courier New"/>
      </w:rPr>
    </w:lvl>
    <w:lvl w:ilvl="5" w:tplc="728CECDE">
      <w:start w:val="1"/>
      <w:numFmt w:val="bullet"/>
      <w:lvlText w:val=""/>
      <w:lvlJc w:val="left"/>
      <w:pPr>
        <w:tabs>
          <w:tab w:val="num" w:pos="4320"/>
        </w:tabs>
        <w:ind w:left="4320" w:hanging="360"/>
      </w:pPr>
      <w:rPr>
        <w:rFonts w:ascii="Wingdings" w:hAnsi="Wingdings"/>
      </w:rPr>
    </w:lvl>
    <w:lvl w:ilvl="6" w:tplc="C2363268">
      <w:start w:val="1"/>
      <w:numFmt w:val="bullet"/>
      <w:lvlText w:val=""/>
      <w:lvlJc w:val="left"/>
      <w:pPr>
        <w:tabs>
          <w:tab w:val="num" w:pos="5040"/>
        </w:tabs>
        <w:ind w:left="5040" w:hanging="360"/>
      </w:pPr>
      <w:rPr>
        <w:rFonts w:ascii="Symbol" w:hAnsi="Symbol"/>
      </w:rPr>
    </w:lvl>
    <w:lvl w:ilvl="7" w:tplc="1062F4F6">
      <w:start w:val="1"/>
      <w:numFmt w:val="bullet"/>
      <w:lvlText w:val="o"/>
      <w:lvlJc w:val="left"/>
      <w:pPr>
        <w:tabs>
          <w:tab w:val="num" w:pos="5760"/>
        </w:tabs>
        <w:ind w:left="5760" w:hanging="360"/>
      </w:pPr>
      <w:rPr>
        <w:rFonts w:ascii="Courier New" w:hAnsi="Courier New"/>
      </w:rPr>
    </w:lvl>
    <w:lvl w:ilvl="8" w:tplc="167E5666">
      <w:start w:val="1"/>
      <w:numFmt w:val="bullet"/>
      <w:lvlText w:val=""/>
      <w:lvlJc w:val="left"/>
      <w:pPr>
        <w:tabs>
          <w:tab w:val="num" w:pos="6480"/>
        </w:tabs>
        <w:ind w:left="6480" w:hanging="360"/>
      </w:pPr>
      <w:rPr>
        <w:rFonts w:ascii="Wingdings" w:hAnsi="Wingdings"/>
      </w:rPr>
    </w:lvl>
  </w:abstractNum>
  <w:abstractNum w:abstractNumId="456" w15:restartNumberingAfterBreak="0">
    <w:nsid w:val="7223068A"/>
    <w:multiLevelType w:val="hybridMultilevel"/>
    <w:tmpl w:val="7223068A"/>
    <w:lvl w:ilvl="0" w:tplc="411C2CD8">
      <w:start w:val="1"/>
      <w:numFmt w:val="bullet"/>
      <w:lvlText w:val=""/>
      <w:lvlJc w:val="left"/>
      <w:pPr>
        <w:ind w:left="720" w:hanging="360"/>
      </w:pPr>
      <w:rPr>
        <w:rFonts w:ascii="Symbol" w:hAnsi="Symbol"/>
      </w:rPr>
    </w:lvl>
    <w:lvl w:ilvl="1" w:tplc="B70CF6BE">
      <w:start w:val="1"/>
      <w:numFmt w:val="bullet"/>
      <w:lvlText w:val="o"/>
      <w:lvlJc w:val="left"/>
      <w:pPr>
        <w:tabs>
          <w:tab w:val="num" w:pos="1440"/>
        </w:tabs>
        <w:ind w:left="1440" w:hanging="360"/>
      </w:pPr>
      <w:rPr>
        <w:rFonts w:ascii="Courier New" w:hAnsi="Courier New"/>
      </w:rPr>
    </w:lvl>
    <w:lvl w:ilvl="2" w:tplc="5880C18C">
      <w:start w:val="1"/>
      <w:numFmt w:val="bullet"/>
      <w:lvlText w:val=""/>
      <w:lvlJc w:val="left"/>
      <w:pPr>
        <w:tabs>
          <w:tab w:val="num" w:pos="2160"/>
        </w:tabs>
        <w:ind w:left="2160" w:hanging="360"/>
      </w:pPr>
      <w:rPr>
        <w:rFonts w:ascii="Wingdings" w:hAnsi="Wingdings"/>
      </w:rPr>
    </w:lvl>
    <w:lvl w:ilvl="3" w:tplc="B2C6ECA6">
      <w:start w:val="1"/>
      <w:numFmt w:val="bullet"/>
      <w:lvlText w:val=""/>
      <w:lvlJc w:val="left"/>
      <w:pPr>
        <w:tabs>
          <w:tab w:val="num" w:pos="2880"/>
        </w:tabs>
        <w:ind w:left="2880" w:hanging="360"/>
      </w:pPr>
      <w:rPr>
        <w:rFonts w:ascii="Symbol" w:hAnsi="Symbol"/>
      </w:rPr>
    </w:lvl>
    <w:lvl w:ilvl="4" w:tplc="37BA6CB0">
      <w:start w:val="1"/>
      <w:numFmt w:val="bullet"/>
      <w:lvlText w:val="o"/>
      <w:lvlJc w:val="left"/>
      <w:pPr>
        <w:tabs>
          <w:tab w:val="num" w:pos="3600"/>
        </w:tabs>
        <w:ind w:left="3600" w:hanging="360"/>
      </w:pPr>
      <w:rPr>
        <w:rFonts w:ascii="Courier New" w:hAnsi="Courier New"/>
      </w:rPr>
    </w:lvl>
    <w:lvl w:ilvl="5" w:tplc="1D94F7A8">
      <w:start w:val="1"/>
      <w:numFmt w:val="bullet"/>
      <w:lvlText w:val=""/>
      <w:lvlJc w:val="left"/>
      <w:pPr>
        <w:tabs>
          <w:tab w:val="num" w:pos="4320"/>
        </w:tabs>
        <w:ind w:left="4320" w:hanging="360"/>
      </w:pPr>
      <w:rPr>
        <w:rFonts w:ascii="Wingdings" w:hAnsi="Wingdings"/>
      </w:rPr>
    </w:lvl>
    <w:lvl w:ilvl="6" w:tplc="856AD812">
      <w:start w:val="1"/>
      <w:numFmt w:val="bullet"/>
      <w:lvlText w:val=""/>
      <w:lvlJc w:val="left"/>
      <w:pPr>
        <w:tabs>
          <w:tab w:val="num" w:pos="5040"/>
        </w:tabs>
        <w:ind w:left="5040" w:hanging="360"/>
      </w:pPr>
      <w:rPr>
        <w:rFonts w:ascii="Symbol" w:hAnsi="Symbol"/>
      </w:rPr>
    </w:lvl>
    <w:lvl w:ilvl="7" w:tplc="A1745328">
      <w:start w:val="1"/>
      <w:numFmt w:val="bullet"/>
      <w:lvlText w:val="o"/>
      <w:lvlJc w:val="left"/>
      <w:pPr>
        <w:tabs>
          <w:tab w:val="num" w:pos="5760"/>
        </w:tabs>
        <w:ind w:left="5760" w:hanging="360"/>
      </w:pPr>
      <w:rPr>
        <w:rFonts w:ascii="Courier New" w:hAnsi="Courier New"/>
      </w:rPr>
    </w:lvl>
    <w:lvl w:ilvl="8" w:tplc="811A58FA">
      <w:start w:val="1"/>
      <w:numFmt w:val="bullet"/>
      <w:lvlText w:val=""/>
      <w:lvlJc w:val="left"/>
      <w:pPr>
        <w:tabs>
          <w:tab w:val="num" w:pos="6480"/>
        </w:tabs>
        <w:ind w:left="6480" w:hanging="360"/>
      </w:pPr>
      <w:rPr>
        <w:rFonts w:ascii="Wingdings" w:hAnsi="Wingdings"/>
      </w:rPr>
    </w:lvl>
  </w:abstractNum>
  <w:abstractNum w:abstractNumId="457" w15:restartNumberingAfterBreak="0">
    <w:nsid w:val="7223068B"/>
    <w:multiLevelType w:val="hybridMultilevel"/>
    <w:tmpl w:val="7223068B"/>
    <w:lvl w:ilvl="0" w:tplc="7CC642AA">
      <w:start w:val="1"/>
      <w:numFmt w:val="bullet"/>
      <w:lvlText w:val=""/>
      <w:lvlJc w:val="left"/>
      <w:pPr>
        <w:ind w:left="720" w:hanging="360"/>
      </w:pPr>
      <w:rPr>
        <w:rFonts w:ascii="Symbol" w:hAnsi="Symbol"/>
      </w:rPr>
    </w:lvl>
    <w:lvl w:ilvl="1" w:tplc="F2D0BFD6">
      <w:start w:val="1"/>
      <w:numFmt w:val="bullet"/>
      <w:lvlText w:val="o"/>
      <w:lvlJc w:val="left"/>
      <w:pPr>
        <w:tabs>
          <w:tab w:val="num" w:pos="1440"/>
        </w:tabs>
        <w:ind w:left="1440" w:hanging="360"/>
      </w:pPr>
      <w:rPr>
        <w:rFonts w:ascii="Courier New" w:hAnsi="Courier New"/>
      </w:rPr>
    </w:lvl>
    <w:lvl w:ilvl="2" w:tplc="203CF444">
      <w:start w:val="1"/>
      <w:numFmt w:val="bullet"/>
      <w:lvlText w:val=""/>
      <w:lvlJc w:val="left"/>
      <w:pPr>
        <w:tabs>
          <w:tab w:val="num" w:pos="2160"/>
        </w:tabs>
        <w:ind w:left="2160" w:hanging="360"/>
      </w:pPr>
      <w:rPr>
        <w:rFonts w:ascii="Wingdings" w:hAnsi="Wingdings"/>
      </w:rPr>
    </w:lvl>
    <w:lvl w:ilvl="3" w:tplc="83F02172">
      <w:start w:val="1"/>
      <w:numFmt w:val="bullet"/>
      <w:lvlText w:val=""/>
      <w:lvlJc w:val="left"/>
      <w:pPr>
        <w:tabs>
          <w:tab w:val="num" w:pos="2880"/>
        </w:tabs>
        <w:ind w:left="2880" w:hanging="360"/>
      </w:pPr>
      <w:rPr>
        <w:rFonts w:ascii="Symbol" w:hAnsi="Symbol"/>
      </w:rPr>
    </w:lvl>
    <w:lvl w:ilvl="4" w:tplc="58A2D378">
      <w:start w:val="1"/>
      <w:numFmt w:val="bullet"/>
      <w:lvlText w:val="o"/>
      <w:lvlJc w:val="left"/>
      <w:pPr>
        <w:tabs>
          <w:tab w:val="num" w:pos="3600"/>
        </w:tabs>
        <w:ind w:left="3600" w:hanging="360"/>
      </w:pPr>
      <w:rPr>
        <w:rFonts w:ascii="Courier New" w:hAnsi="Courier New"/>
      </w:rPr>
    </w:lvl>
    <w:lvl w:ilvl="5" w:tplc="2FA2E1B6">
      <w:start w:val="1"/>
      <w:numFmt w:val="bullet"/>
      <w:lvlText w:val=""/>
      <w:lvlJc w:val="left"/>
      <w:pPr>
        <w:tabs>
          <w:tab w:val="num" w:pos="4320"/>
        </w:tabs>
        <w:ind w:left="4320" w:hanging="360"/>
      </w:pPr>
      <w:rPr>
        <w:rFonts w:ascii="Wingdings" w:hAnsi="Wingdings"/>
      </w:rPr>
    </w:lvl>
    <w:lvl w:ilvl="6" w:tplc="87AE7F06">
      <w:start w:val="1"/>
      <w:numFmt w:val="bullet"/>
      <w:lvlText w:val=""/>
      <w:lvlJc w:val="left"/>
      <w:pPr>
        <w:tabs>
          <w:tab w:val="num" w:pos="5040"/>
        </w:tabs>
        <w:ind w:left="5040" w:hanging="360"/>
      </w:pPr>
      <w:rPr>
        <w:rFonts w:ascii="Symbol" w:hAnsi="Symbol"/>
      </w:rPr>
    </w:lvl>
    <w:lvl w:ilvl="7" w:tplc="A74EF1D0">
      <w:start w:val="1"/>
      <w:numFmt w:val="bullet"/>
      <w:lvlText w:val="o"/>
      <w:lvlJc w:val="left"/>
      <w:pPr>
        <w:tabs>
          <w:tab w:val="num" w:pos="5760"/>
        </w:tabs>
        <w:ind w:left="5760" w:hanging="360"/>
      </w:pPr>
      <w:rPr>
        <w:rFonts w:ascii="Courier New" w:hAnsi="Courier New"/>
      </w:rPr>
    </w:lvl>
    <w:lvl w:ilvl="8" w:tplc="5D4CAF1A">
      <w:start w:val="1"/>
      <w:numFmt w:val="bullet"/>
      <w:lvlText w:val=""/>
      <w:lvlJc w:val="left"/>
      <w:pPr>
        <w:tabs>
          <w:tab w:val="num" w:pos="6480"/>
        </w:tabs>
        <w:ind w:left="6480" w:hanging="360"/>
      </w:pPr>
      <w:rPr>
        <w:rFonts w:ascii="Wingdings" w:hAnsi="Wingdings"/>
      </w:rPr>
    </w:lvl>
  </w:abstractNum>
  <w:abstractNum w:abstractNumId="458" w15:restartNumberingAfterBreak="0">
    <w:nsid w:val="7223068C"/>
    <w:multiLevelType w:val="hybridMultilevel"/>
    <w:tmpl w:val="7223068C"/>
    <w:lvl w:ilvl="0" w:tplc="E8F82832">
      <w:start w:val="1"/>
      <w:numFmt w:val="bullet"/>
      <w:lvlText w:val=""/>
      <w:lvlJc w:val="left"/>
      <w:pPr>
        <w:ind w:left="720" w:hanging="360"/>
      </w:pPr>
      <w:rPr>
        <w:rFonts w:ascii="Symbol" w:hAnsi="Symbol"/>
      </w:rPr>
    </w:lvl>
    <w:lvl w:ilvl="1" w:tplc="4AF6219A">
      <w:start w:val="1"/>
      <w:numFmt w:val="bullet"/>
      <w:lvlText w:val="o"/>
      <w:lvlJc w:val="left"/>
      <w:pPr>
        <w:tabs>
          <w:tab w:val="num" w:pos="1440"/>
        </w:tabs>
        <w:ind w:left="1440" w:hanging="360"/>
      </w:pPr>
      <w:rPr>
        <w:rFonts w:ascii="Courier New" w:hAnsi="Courier New"/>
      </w:rPr>
    </w:lvl>
    <w:lvl w:ilvl="2" w:tplc="6F28BC68">
      <w:start w:val="1"/>
      <w:numFmt w:val="bullet"/>
      <w:lvlText w:val=""/>
      <w:lvlJc w:val="left"/>
      <w:pPr>
        <w:tabs>
          <w:tab w:val="num" w:pos="2160"/>
        </w:tabs>
        <w:ind w:left="2160" w:hanging="360"/>
      </w:pPr>
      <w:rPr>
        <w:rFonts w:ascii="Wingdings" w:hAnsi="Wingdings"/>
      </w:rPr>
    </w:lvl>
    <w:lvl w:ilvl="3" w:tplc="847C07C0">
      <w:start w:val="1"/>
      <w:numFmt w:val="bullet"/>
      <w:lvlText w:val=""/>
      <w:lvlJc w:val="left"/>
      <w:pPr>
        <w:tabs>
          <w:tab w:val="num" w:pos="2880"/>
        </w:tabs>
        <w:ind w:left="2880" w:hanging="360"/>
      </w:pPr>
      <w:rPr>
        <w:rFonts w:ascii="Symbol" w:hAnsi="Symbol"/>
      </w:rPr>
    </w:lvl>
    <w:lvl w:ilvl="4" w:tplc="CD5490A2">
      <w:start w:val="1"/>
      <w:numFmt w:val="bullet"/>
      <w:lvlText w:val="o"/>
      <w:lvlJc w:val="left"/>
      <w:pPr>
        <w:tabs>
          <w:tab w:val="num" w:pos="3600"/>
        </w:tabs>
        <w:ind w:left="3600" w:hanging="360"/>
      </w:pPr>
      <w:rPr>
        <w:rFonts w:ascii="Courier New" w:hAnsi="Courier New"/>
      </w:rPr>
    </w:lvl>
    <w:lvl w:ilvl="5" w:tplc="3DD8DF6A">
      <w:start w:val="1"/>
      <w:numFmt w:val="bullet"/>
      <w:lvlText w:val=""/>
      <w:lvlJc w:val="left"/>
      <w:pPr>
        <w:tabs>
          <w:tab w:val="num" w:pos="4320"/>
        </w:tabs>
        <w:ind w:left="4320" w:hanging="360"/>
      </w:pPr>
      <w:rPr>
        <w:rFonts w:ascii="Wingdings" w:hAnsi="Wingdings"/>
      </w:rPr>
    </w:lvl>
    <w:lvl w:ilvl="6" w:tplc="9F7E1520">
      <w:start w:val="1"/>
      <w:numFmt w:val="bullet"/>
      <w:lvlText w:val=""/>
      <w:lvlJc w:val="left"/>
      <w:pPr>
        <w:tabs>
          <w:tab w:val="num" w:pos="5040"/>
        </w:tabs>
        <w:ind w:left="5040" w:hanging="360"/>
      </w:pPr>
      <w:rPr>
        <w:rFonts w:ascii="Symbol" w:hAnsi="Symbol"/>
      </w:rPr>
    </w:lvl>
    <w:lvl w:ilvl="7" w:tplc="F16A1E2C">
      <w:start w:val="1"/>
      <w:numFmt w:val="bullet"/>
      <w:lvlText w:val="o"/>
      <w:lvlJc w:val="left"/>
      <w:pPr>
        <w:tabs>
          <w:tab w:val="num" w:pos="5760"/>
        </w:tabs>
        <w:ind w:left="5760" w:hanging="360"/>
      </w:pPr>
      <w:rPr>
        <w:rFonts w:ascii="Courier New" w:hAnsi="Courier New"/>
      </w:rPr>
    </w:lvl>
    <w:lvl w:ilvl="8" w:tplc="04B4DC3E">
      <w:start w:val="1"/>
      <w:numFmt w:val="bullet"/>
      <w:lvlText w:val=""/>
      <w:lvlJc w:val="left"/>
      <w:pPr>
        <w:tabs>
          <w:tab w:val="num" w:pos="6480"/>
        </w:tabs>
        <w:ind w:left="6480" w:hanging="360"/>
      </w:pPr>
      <w:rPr>
        <w:rFonts w:ascii="Wingdings" w:hAnsi="Wingdings"/>
      </w:rPr>
    </w:lvl>
  </w:abstractNum>
  <w:abstractNum w:abstractNumId="459" w15:restartNumberingAfterBreak="0">
    <w:nsid w:val="7223068D"/>
    <w:multiLevelType w:val="hybridMultilevel"/>
    <w:tmpl w:val="7223068D"/>
    <w:lvl w:ilvl="0" w:tplc="4814AB0A">
      <w:start w:val="1"/>
      <w:numFmt w:val="bullet"/>
      <w:lvlText w:val=""/>
      <w:lvlJc w:val="left"/>
      <w:pPr>
        <w:ind w:left="720" w:hanging="360"/>
      </w:pPr>
      <w:rPr>
        <w:rFonts w:ascii="Symbol" w:hAnsi="Symbol"/>
      </w:rPr>
    </w:lvl>
    <w:lvl w:ilvl="1" w:tplc="2902B448">
      <w:start w:val="1"/>
      <w:numFmt w:val="bullet"/>
      <w:lvlText w:val="o"/>
      <w:lvlJc w:val="left"/>
      <w:pPr>
        <w:tabs>
          <w:tab w:val="num" w:pos="1440"/>
        </w:tabs>
        <w:ind w:left="1440" w:hanging="360"/>
      </w:pPr>
      <w:rPr>
        <w:rFonts w:ascii="Courier New" w:hAnsi="Courier New"/>
      </w:rPr>
    </w:lvl>
    <w:lvl w:ilvl="2" w:tplc="A40AB9F4">
      <w:start w:val="1"/>
      <w:numFmt w:val="bullet"/>
      <w:lvlText w:val=""/>
      <w:lvlJc w:val="left"/>
      <w:pPr>
        <w:tabs>
          <w:tab w:val="num" w:pos="2160"/>
        </w:tabs>
        <w:ind w:left="2160" w:hanging="360"/>
      </w:pPr>
      <w:rPr>
        <w:rFonts w:ascii="Wingdings" w:hAnsi="Wingdings"/>
      </w:rPr>
    </w:lvl>
    <w:lvl w:ilvl="3" w:tplc="4D426FB2">
      <w:start w:val="1"/>
      <w:numFmt w:val="bullet"/>
      <w:lvlText w:val=""/>
      <w:lvlJc w:val="left"/>
      <w:pPr>
        <w:tabs>
          <w:tab w:val="num" w:pos="2880"/>
        </w:tabs>
        <w:ind w:left="2880" w:hanging="360"/>
      </w:pPr>
      <w:rPr>
        <w:rFonts w:ascii="Symbol" w:hAnsi="Symbol"/>
      </w:rPr>
    </w:lvl>
    <w:lvl w:ilvl="4" w:tplc="9536C82E">
      <w:start w:val="1"/>
      <w:numFmt w:val="bullet"/>
      <w:lvlText w:val="o"/>
      <w:lvlJc w:val="left"/>
      <w:pPr>
        <w:tabs>
          <w:tab w:val="num" w:pos="3600"/>
        </w:tabs>
        <w:ind w:left="3600" w:hanging="360"/>
      </w:pPr>
      <w:rPr>
        <w:rFonts w:ascii="Courier New" w:hAnsi="Courier New"/>
      </w:rPr>
    </w:lvl>
    <w:lvl w:ilvl="5" w:tplc="3EC0AE24">
      <w:start w:val="1"/>
      <w:numFmt w:val="bullet"/>
      <w:lvlText w:val=""/>
      <w:lvlJc w:val="left"/>
      <w:pPr>
        <w:tabs>
          <w:tab w:val="num" w:pos="4320"/>
        </w:tabs>
        <w:ind w:left="4320" w:hanging="360"/>
      </w:pPr>
      <w:rPr>
        <w:rFonts w:ascii="Wingdings" w:hAnsi="Wingdings"/>
      </w:rPr>
    </w:lvl>
    <w:lvl w:ilvl="6" w:tplc="51D015C2">
      <w:start w:val="1"/>
      <w:numFmt w:val="bullet"/>
      <w:lvlText w:val=""/>
      <w:lvlJc w:val="left"/>
      <w:pPr>
        <w:tabs>
          <w:tab w:val="num" w:pos="5040"/>
        </w:tabs>
        <w:ind w:left="5040" w:hanging="360"/>
      </w:pPr>
      <w:rPr>
        <w:rFonts w:ascii="Symbol" w:hAnsi="Symbol"/>
      </w:rPr>
    </w:lvl>
    <w:lvl w:ilvl="7" w:tplc="0FFCAB48">
      <w:start w:val="1"/>
      <w:numFmt w:val="bullet"/>
      <w:lvlText w:val="o"/>
      <w:lvlJc w:val="left"/>
      <w:pPr>
        <w:tabs>
          <w:tab w:val="num" w:pos="5760"/>
        </w:tabs>
        <w:ind w:left="5760" w:hanging="360"/>
      </w:pPr>
      <w:rPr>
        <w:rFonts w:ascii="Courier New" w:hAnsi="Courier New"/>
      </w:rPr>
    </w:lvl>
    <w:lvl w:ilvl="8" w:tplc="68F876D8">
      <w:start w:val="1"/>
      <w:numFmt w:val="bullet"/>
      <w:lvlText w:val=""/>
      <w:lvlJc w:val="left"/>
      <w:pPr>
        <w:tabs>
          <w:tab w:val="num" w:pos="6480"/>
        </w:tabs>
        <w:ind w:left="6480" w:hanging="360"/>
      </w:pPr>
      <w:rPr>
        <w:rFonts w:ascii="Wingdings" w:hAnsi="Wingdings"/>
      </w:rPr>
    </w:lvl>
  </w:abstractNum>
  <w:abstractNum w:abstractNumId="460" w15:restartNumberingAfterBreak="0">
    <w:nsid w:val="7223068E"/>
    <w:multiLevelType w:val="hybridMultilevel"/>
    <w:tmpl w:val="7223068E"/>
    <w:lvl w:ilvl="0" w:tplc="92A2EC4E">
      <w:start w:val="1"/>
      <w:numFmt w:val="bullet"/>
      <w:lvlText w:val=""/>
      <w:lvlJc w:val="left"/>
      <w:pPr>
        <w:ind w:left="720" w:hanging="360"/>
      </w:pPr>
      <w:rPr>
        <w:rFonts w:ascii="Symbol" w:hAnsi="Symbol"/>
      </w:rPr>
    </w:lvl>
    <w:lvl w:ilvl="1" w:tplc="03A8B0E0">
      <w:start w:val="1"/>
      <w:numFmt w:val="bullet"/>
      <w:lvlText w:val="o"/>
      <w:lvlJc w:val="left"/>
      <w:pPr>
        <w:tabs>
          <w:tab w:val="num" w:pos="1440"/>
        </w:tabs>
        <w:ind w:left="1440" w:hanging="360"/>
      </w:pPr>
      <w:rPr>
        <w:rFonts w:ascii="Courier New" w:hAnsi="Courier New"/>
      </w:rPr>
    </w:lvl>
    <w:lvl w:ilvl="2" w:tplc="F85ECC1C">
      <w:start w:val="1"/>
      <w:numFmt w:val="bullet"/>
      <w:lvlText w:val=""/>
      <w:lvlJc w:val="left"/>
      <w:pPr>
        <w:tabs>
          <w:tab w:val="num" w:pos="2160"/>
        </w:tabs>
        <w:ind w:left="2160" w:hanging="360"/>
      </w:pPr>
      <w:rPr>
        <w:rFonts w:ascii="Wingdings" w:hAnsi="Wingdings"/>
      </w:rPr>
    </w:lvl>
    <w:lvl w:ilvl="3" w:tplc="DA84765E">
      <w:start w:val="1"/>
      <w:numFmt w:val="bullet"/>
      <w:lvlText w:val=""/>
      <w:lvlJc w:val="left"/>
      <w:pPr>
        <w:tabs>
          <w:tab w:val="num" w:pos="2880"/>
        </w:tabs>
        <w:ind w:left="2880" w:hanging="360"/>
      </w:pPr>
      <w:rPr>
        <w:rFonts w:ascii="Symbol" w:hAnsi="Symbol"/>
      </w:rPr>
    </w:lvl>
    <w:lvl w:ilvl="4" w:tplc="8B965CEE">
      <w:start w:val="1"/>
      <w:numFmt w:val="bullet"/>
      <w:lvlText w:val="o"/>
      <w:lvlJc w:val="left"/>
      <w:pPr>
        <w:tabs>
          <w:tab w:val="num" w:pos="3600"/>
        </w:tabs>
        <w:ind w:left="3600" w:hanging="360"/>
      </w:pPr>
      <w:rPr>
        <w:rFonts w:ascii="Courier New" w:hAnsi="Courier New"/>
      </w:rPr>
    </w:lvl>
    <w:lvl w:ilvl="5" w:tplc="6C94CB58">
      <w:start w:val="1"/>
      <w:numFmt w:val="bullet"/>
      <w:lvlText w:val=""/>
      <w:lvlJc w:val="left"/>
      <w:pPr>
        <w:tabs>
          <w:tab w:val="num" w:pos="4320"/>
        </w:tabs>
        <w:ind w:left="4320" w:hanging="360"/>
      </w:pPr>
      <w:rPr>
        <w:rFonts w:ascii="Wingdings" w:hAnsi="Wingdings"/>
      </w:rPr>
    </w:lvl>
    <w:lvl w:ilvl="6" w:tplc="856CE8B0">
      <w:start w:val="1"/>
      <w:numFmt w:val="bullet"/>
      <w:lvlText w:val=""/>
      <w:lvlJc w:val="left"/>
      <w:pPr>
        <w:tabs>
          <w:tab w:val="num" w:pos="5040"/>
        </w:tabs>
        <w:ind w:left="5040" w:hanging="360"/>
      </w:pPr>
      <w:rPr>
        <w:rFonts w:ascii="Symbol" w:hAnsi="Symbol"/>
      </w:rPr>
    </w:lvl>
    <w:lvl w:ilvl="7" w:tplc="403A4CB4">
      <w:start w:val="1"/>
      <w:numFmt w:val="bullet"/>
      <w:lvlText w:val="o"/>
      <w:lvlJc w:val="left"/>
      <w:pPr>
        <w:tabs>
          <w:tab w:val="num" w:pos="5760"/>
        </w:tabs>
        <w:ind w:left="5760" w:hanging="360"/>
      </w:pPr>
      <w:rPr>
        <w:rFonts w:ascii="Courier New" w:hAnsi="Courier New"/>
      </w:rPr>
    </w:lvl>
    <w:lvl w:ilvl="8" w:tplc="01F0AD50">
      <w:start w:val="1"/>
      <w:numFmt w:val="bullet"/>
      <w:lvlText w:val=""/>
      <w:lvlJc w:val="left"/>
      <w:pPr>
        <w:tabs>
          <w:tab w:val="num" w:pos="6480"/>
        </w:tabs>
        <w:ind w:left="6480" w:hanging="360"/>
      </w:pPr>
      <w:rPr>
        <w:rFonts w:ascii="Wingdings" w:hAnsi="Wingdings"/>
      </w:rPr>
    </w:lvl>
  </w:abstractNum>
  <w:abstractNum w:abstractNumId="461" w15:restartNumberingAfterBreak="0">
    <w:nsid w:val="7223068F"/>
    <w:multiLevelType w:val="hybridMultilevel"/>
    <w:tmpl w:val="7223068F"/>
    <w:lvl w:ilvl="0" w:tplc="73AE3910">
      <w:start w:val="1"/>
      <w:numFmt w:val="bullet"/>
      <w:lvlText w:val=""/>
      <w:lvlJc w:val="left"/>
      <w:pPr>
        <w:ind w:left="720" w:hanging="360"/>
      </w:pPr>
      <w:rPr>
        <w:rFonts w:ascii="Symbol" w:hAnsi="Symbol"/>
      </w:rPr>
    </w:lvl>
    <w:lvl w:ilvl="1" w:tplc="78140BE8">
      <w:start w:val="1"/>
      <w:numFmt w:val="bullet"/>
      <w:lvlText w:val="o"/>
      <w:lvlJc w:val="left"/>
      <w:pPr>
        <w:tabs>
          <w:tab w:val="num" w:pos="1440"/>
        </w:tabs>
        <w:ind w:left="1440" w:hanging="360"/>
      </w:pPr>
      <w:rPr>
        <w:rFonts w:ascii="Courier New" w:hAnsi="Courier New"/>
      </w:rPr>
    </w:lvl>
    <w:lvl w:ilvl="2" w:tplc="361ACEFA">
      <w:start w:val="1"/>
      <w:numFmt w:val="bullet"/>
      <w:lvlText w:val=""/>
      <w:lvlJc w:val="left"/>
      <w:pPr>
        <w:tabs>
          <w:tab w:val="num" w:pos="2160"/>
        </w:tabs>
        <w:ind w:left="2160" w:hanging="360"/>
      </w:pPr>
      <w:rPr>
        <w:rFonts w:ascii="Wingdings" w:hAnsi="Wingdings"/>
      </w:rPr>
    </w:lvl>
    <w:lvl w:ilvl="3" w:tplc="F1C80F4A">
      <w:start w:val="1"/>
      <w:numFmt w:val="bullet"/>
      <w:lvlText w:val=""/>
      <w:lvlJc w:val="left"/>
      <w:pPr>
        <w:tabs>
          <w:tab w:val="num" w:pos="2880"/>
        </w:tabs>
        <w:ind w:left="2880" w:hanging="360"/>
      </w:pPr>
      <w:rPr>
        <w:rFonts w:ascii="Symbol" w:hAnsi="Symbol"/>
      </w:rPr>
    </w:lvl>
    <w:lvl w:ilvl="4" w:tplc="DB9CADF0">
      <w:start w:val="1"/>
      <w:numFmt w:val="bullet"/>
      <w:lvlText w:val="o"/>
      <w:lvlJc w:val="left"/>
      <w:pPr>
        <w:tabs>
          <w:tab w:val="num" w:pos="3600"/>
        </w:tabs>
        <w:ind w:left="3600" w:hanging="360"/>
      </w:pPr>
      <w:rPr>
        <w:rFonts w:ascii="Courier New" w:hAnsi="Courier New"/>
      </w:rPr>
    </w:lvl>
    <w:lvl w:ilvl="5" w:tplc="74021210">
      <w:start w:val="1"/>
      <w:numFmt w:val="bullet"/>
      <w:lvlText w:val=""/>
      <w:lvlJc w:val="left"/>
      <w:pPr>
        <w:tabs>
          <w:tab w:val="num" w:pos="4320"/>
        </w:tabs>
        <w:ind w:left="4320" w:hanging="360"/>
      </w:pPr>
      <w:rPr>
        <w:rFonts w:ascii="Wingdings" w:hAnsi="Wingdings"/>
      </w:rPr>
    </w:lvl>
    <w:lvl w:ilvl="6" w:tplc="64FEFEA4">
      <w:start w:val="1"/>
      <w:numFmt w:val="bullet"/>
      <w:lvlText w:val=""/>
      <w:lvlJc w:val="left"/>
      <w:pPr>
        <w:tabs>
          <w:tab w:val="num" w:pos="5040"/>
        </w:tabs>
        <w:ind w:left="5040" w:hanging="360"/>
      </w:pPr>
      <w:rPr>
        <w:rFonts w:ascii="Symbol" w:hAnsi="Symbol"/>
      </w:rPr>
    </w:lvl>
    <w:lvl w:ilvl="7" w:tplc="A30EBF9E">
      <w:start w:val="1"/>
      <w:numFmt w:val="bullet"/>
      <w:lvlText w:val="o"/>
      <w:lvlJc w:val="left"/>
      <w:pPr>
        <w:tabs>
          <w:tab w:val="num" w:pos="5760"/>
        </w:tabs>
        <w:ind w:left="5760" w:hanging="360"/>
      </w:pPr>
      <w:rPr>
        <w:rFonts w:ascii="Courier New" w:hAnsi="Courier New"/>
      </w:rPr>
    </w:lvl>
    <w:lvl w:ilvl="8" w:tplc="9E60661E">
      <w:start w:val="1"/>
      <w:numFmt w:val="bullet"/>
      <w:lvlText w:val=""/>
      <w:lvlJc w:val="left"/>
      <w:pPr>
        <w:tabs>
          <w:tab w:val="num" w:pos="6480"/>
        </w:tabs>
        <w:ind w:left="6480" w:hanging="360"/>
      </w:pPr>
      <w:rPr>
        <w:rFonts w:ascii="Wingdings" w:hAnsi="Wingdings"/>
      </w:rPr>
    </w:lvl>
  </w:abstractNum>
  <w:abstractNum w:abstractNumId="462" w15:restartNumberingAfterBreak="0">
    <w:nsid w:val="72230690"/>
    <w:multiLevelType w:val="hybridMultilevel"/>
    <w:tmpl w:val="72230690"/>
    <w:lvl w:ilvl="0" w:tplc="4B7057A0">
      <w:start w:val="1"/>
      <w:numFmt w:val="bullet"/>
      <w:lvlText w:val=""/>
      <w:lvlJc w:val="left"/>
      <w:pPr>
        <w:ind w:left="720" w:hanging="360"/>
      </w:pPr>
      <w:rPr>
        <w:rFonts w:ascii="Symbol" w:hAnsi="Symbol"/>
      </w:rPr>
    </w:lvl>
    <w:lvl w:ilvl="1" w:tplc="0EC85FBC">
      <w:start w:val="1"/>
      <w:numFmt w:val="bullet"/>
      <w:lvlText w:val="o"/>
      <w:lvlJc w:val="left"/>
      <w:pPr>
        <w:tabs>
          <w:tab w:val="num" w:pos="1440"/>
        </w:tabs>
        <w:ind w:left="1440" w:hanging="360"/>
      </w:pPr>
      <w:rPr>
        <w:rFonts w:ascii="Courier New" w:hAnsi="Courier New"/>
      </w:rPr>
    </w:lvl>
    <w:lvl w:ilvl="2" w:tplc="11788F60">
      <w:start w:val="1"/>
      <w:numFmt w:val="bullet"/>
      <w:lvlText w:val=""/>
      <w:lvlJc w:val="left"/>
      <w:pPr>
        <w:tabs>
          <w:tab w:val="num" w:pos="2160"/>
        </w:tabs>
        <w:ind w:left="2160" w:hanging="360"/>
      </w:pPr>
      <w:rPr>
        <w:rFonts w:ascii="Wingdings" w:hAnsi="Wingdings"/>
      </w:rPr>
    </w:lvl>
    <w:lvl w:ilvl="3" w:tplc="E65AB602">
      <w:start w:val="1"/>
      <w:numFmt w:val="bullet"/>
      <w:lvlText w:val=""/>
      <w:lvlJc w:val="left"/>
      <w:pPr>
        <w:tabs>
          <w:tab w:val="num" w:pos="2880"/>
        </w:tabs>
        <w:ind w:left="2880" w:hanging="360"/>
      </w:pPr>
      <w:rPr>
        <w:rFonts w:ascii="Symbol" w:hAnsi="Symbol"/>
      </w:rPr>
    </w:lvl>
    <w:lvl w:ilvl="4" w:tplc="0D2CA90E">
      <w:start w:val="1"/>
      <w:numFmt w:val="bullet"/>
      <w:lvlText w:val="o"/>
      <w:lvlJc w:val="left"/>
      <w:pPr>
        <w:tabs>
          <w:tab w:val="num" w:pos="3600"/>
        </w:tabs>
        <w:ind w:left="3600" w:hanging="360"/>
      </w:pPr>
      <w:rPr>
        <w:rFonts w:ascii="Courier New" w:hAnsi="Courier New"/>
      </w:rPr>
    </w:lvl>
    <w:lvl w:ilvl="5" w:tplc="13BEDFD0">
      <w:start w:val="1"/>
      <w:numFmt w:val="bullet"/>
      <w:lvlText w:val=""/>
      <w:lvlJc w:val="left"/>
      <w:pPr>
        <w:tabs>
          <w:tab w:val="num" w:pos="4320"/>
        </w:tabs>
        <w:ind w:left="4320" w:hanging="360"/>
      </w:pPr>
      <w:rPr>
        <w:rFonts w:ascii="Wingdings" w:hAnsi="Wingdings"/>
      </w:rPr>
    </w:lvl>
    <w:lvl w:ilvl="6" w:tplc="DC10E50C">
      <w:start w:val="1"/>
      <w:numFmt w:val="bullet"/>
      <w:lvlText w:val=""/>
      <w:lvlJc w:val="left"/>
      <w:pPr>
        <w:tabs>
          <w:tab w:val="num" w:pos="5040"/>
        </w:tabs>
        <w:ind w:left="5040" w:hanging="360"/>
      </w:pPr>
      <w:rPr>
        <w:rFonts w:ascii="Symbol" w:hAnsi="Symbol"/>
      </w:rPr>
    </w:lvl>
    <w:lvl w:ilvl="7" w:tplc="8A460144">
      <w:start w:val="1"/>
      <w:numFmt w:val="bullet"/>
      <w:lvlText w:val="o"/>
      <w:lvlJc w:val="left"/>
      <w:pPr>
        <w:tabs>
          <w:tab w:val="num" w:pos="5760"/>
        </w:tabs>
        <w:ind w:left="5760" w:hanging="360"/>
      </w:pPr>
      <w:rPr>
        <w:rFonts w:ascii="Courier New" w:hAnsi="Courier New"/>
      </w:rPr>
    </w:lvl>
    <w:lvl w:ilvl="8" w:tplc="E022164E">
      <w:start w:val="1"/>
      <w:numFmt w:val="bullet"/>
      <w:lvlText w:val=""/>
      <w:lvlJc w:val="left"/>
      <w:pPr>
        <w:tabs>
          <w:tab w:val="num" w:pos="6480"/>
        </w:tabs>
        <w:ind w:left="6480" w:hanging="360"/>
      </w:pPr>
      <w:rPr>
        <w:rFonts w:ascii="Wingdings" w:hAnsi="Wingdings"/>
      </w:rPr>
    </w:lvl>
  </w:abstractNum>
  <w:abstractNum w:abstractNumId="463" w15:restartNumberingAfterBreak="0">
    <w:nsid w:val="72230691"/>
    <w:multiLevelType w:val="hybridMultilevel"/>
    <w:tmpl w:val="72230691"/>
    <w:lvl w:ilvl="0" w:tplc="69EAC1C4">
      <w:start w:val="1"/>
      <w:numFmt w:val="bullet"/>
      <w:lvlText w:val=""/>
      <w:lvlJc w:val="left"/>
      <w:pPr>
        <w:ind w:left="720" w:hanging="360"/>
      </w:pPr>
      <w:rPr>
        <w:rFonts w:ascii="Symbol" w:hAnsi="Symbol"/>
      </w:rPr>
    </w:lvl>
    <w:lvl w:ilvl="1" w:tplc="18A6EB02">
      <w:start w:val="1"/>
      <w:numFmt w:val="bullet"/>
      <w:lvlText w:val="o"/>
      <w:lvlJc w:val="left"/>
      <w:pPr>
        <w:ind w:left="1440" w:hanging="360"/>
      </w:pPr>
      <w:rPr>
        <w:rFonts w:ascii="Courier New" w:hAnsi="Courier New"/>
      </w:rPr>
    </w:lvl>
    <w:lvl w:ilvl="2" w:tplc="4F96A8A0">
      <w:start w:val="1"/>
      <w:numFmt w:val="bullet"/>
      <w:lvlText w:val=""/>
      <w:lvlJc w:val="left"/>
      <w:pPr>
        <w:ind w:left="2160" w:hanging="360"/>
      </w:pPr>
      <w:rPr>
        <w:rFonts w:ascii="Wingdings" w:hAnsi="Wingdings"/>
      </w:rPr>
    </w:lvl>
    <w:lvl w:ilvl="3" w:tplc="9C1C4B9C">
      <w:start w:val="1"/>
      <w:numFmt w:val="bullet"/>
      <w:lvlText w:val=""/>
      <w:lvlJc w:val="left"/>
      <w:pPr>
        <w:tabs>
          <w:tab w:val="num" w:pos="2880"/>
        </w:tabs>
        <w:ind w:left="2880" w:hanging="360"/>
      </w:pPr>
      <w:rPr>
        <w:rFonts w:ascii="Symbol" w:hAnsi="Symbol"/>
      </w:rPr>
    </w:lvl>
    <w:lvl w:ilvl="4" w:tplc="F3E8C492">
      <w:start w:val="1"/>
      <w:numFmt w:val="bullet"/>
      <w:lvlText w:val="o"/>
      <w:lvlJc w:val="left"/>
      <w:pPr>
        <w:tabs>
          <w:tab w:val="num" w:pos="3600"/>
        </w:tabs>
        <w:ind w:left="3600" w:hanging="360"/>
      </w:pPr>
      <w:rPr>
        <w:rFonts w:ascii="Courier New" w:hAnsi="Courier New"/>
      </w:rPr>
    </w:lvl>
    <w:lvl w:ilvl="5" w:tplc="A14457D2">
      <w:start w:val="1"/>
      <w:numFmt w:val="bullet"/>
      <w:lvlText w:val=""/>
      <w:lvlJc w:val="left"/>
      <w:pPr>
        <w:tabs>
          <w:tab w:val="num" w:pos="4320"/>
        </w:tabs>
        <w:ind w:left="4320" w:hanging="360"/>
      </w:pPr>
      <w:rPr>
        <w:rFonts w:ascii="Wingdings" w:hAnsi="Wingdings"/>
      </w:rPr>
    </w:lvl>
    <w:lvl w:ilvl="6" w:tplc="8CF29DF2">
      <w:start w:val="1"/>
      <w:numFmt w:val="bullet"/>
      <w:lvlText w:val=""/>
      <w:lvlJc w:val="left"/>
      <w:pPr>
        <w:tabs>
          <w:tab w:val="num" w:pos="5040"/>
        </w:tabs>
        <w:ind w:left="5040" w:hanging="360"/>
      </w:pPr>
      <w:rPr>
        <w:rFonts w:ascii="Symbol" w:hAnsi="Symbol"/>
      </w:rPr>
    </w:lvl>
    <w:lvl w:ilvl="7" w:tplc="E7C06BC8">
      <w:start w:val="1"/>
      <w:numFmt w:val="bullet"/>
      <w:lvlText w:val="o"/>
      <w:lvlJc w:val="left"/>
      <w:pPr>
        <w:tabs>
          <w:tab w:val="num" w:pos="5760"/>
        </w:tabs>
        <w:ind w:left="5760" w:hanging="360"/>
      </w:pPr>
      <w:rPr>
        <w:rFonts w:ascii="Courier New" w:hAnsi="Courier New"/>
      </w:rPr>
    </w:lvl>
    <w:lvl w:ilvl="8" w:tplc="784EBA52">
      <w:start w:val="1"/>
      <w:numFmt w:val="bullet"/>
      <w:lvlText w:val=""/>
      <w:lvlJc w:val="left"/>
      <w:pPr>
        <w:tabs>
          <w:tab w:val="num" w:pos="6480"/>
        </w:tabs>
        <w:ind w:left="6480" w:hanging="360"/>
      </w:pPr>
      <w:rPr>
        <w:rFonts w:ascii="Wingdings" w:hAnsi="Wingdings"/>
      </w:rPr>
    </w:lvl>
  </w:abstractNum>
  <w:abstractNum w:abstractNumId="464" w15:restartNumberingAfterBreak="0">
    <w:nsid w:val="72230692"/>
    <w:multiLevelType w:val="hybridMultilevel"/>
    <w:tmpl w:val="72230692"/>
    <w:lvl w:ilvl="0" w:tplc="E922441E">
      <w:start w:val="1"/>
      <w:numFmt w:val="bullet"/>
      <w:lvlText w:val=""/>
      <w:lvlJc w:val="left"/>
      <w:pPr>
        <w:ind w:left="720" w:hanging="360"/>
      </w:pPr>
      <w:rPr>
        <w:rFonts w:ascii="Symbol" w:hAnsi="Symbol"/>
      </w:rPr>
    </w:lvl>
    <w:lvl w:ilvl="1" w:tplc="986CF524">
      <w:start w:val="1"/>
      <w:numFmt w:val="bullet"/>
      <w:lvlText w:val="o"/>
      <w:lvlJc w:val="left"/>
      <w:pPr>
        <w:tabs>
          <w:tab w:val="num" w:pos="1440"/>
        </w:tabs>
        <w:ind w:left="1440" w:hanging="360"/>
      </w:pPr>
      <w:rPr>
        <w:rFonts w:ascii="Courier New" w:hAnsi="Courier New"/>
      </w:rPr>
    </w:lvl>
    <w:lvl w:ilvl="2" w:tplc="29CCDA86">
      <w:start w:val="1"/>
      <w:numFmt w:val="bullet"/>
      <w:lvlText w:val=""/>
      <w:lvlJc w:val="left"/>
      <w:pPr>
        <w:tabs>
          <w:tab w:val="num" w:pos="2160"/>
        </w:tabs>
        <w:ind w:left="2160" w:hanging="360"/>
      </w:pPr>
      <w:rPr>
        <w:rFonts w:ascii="Wingdings" w:hAnsi="Wingdings"/>
      </w:rPr>
    </w:lvl>
    <w:lvl w:ilvl="3" w:tplc="DAE290DA">
      <w:start w:val="1"/>
      <w:numFmt w:val="bullet"/>
      <w:lvlText w:val=""/>
      <w:lvlJc w:val="left"/>
      <w:pPr>
        <w:tabs>
          <w:tab w:val="num" w:pos="2880"/>
        </w:tabs>
        <w:ind w:left="2880" w:hanging="360"/>
      </w:pPr>
      <w:rPr>
        <w:rFonts w:ascii="Symbol" w:hAnsi="Symbol"/>
      </w:rPr>
    </w:lvl>
    <w:lvl w:ilvl="4" w:tplc="8CF86F42">
      <w:start w:val="1"/>
      <w:numFmt w:val="bullet"/>
      <w:lvlText w:val="o"/>
      <w:lvlJc w:val="left"/>
      <w:pPr>
        <w:tabs>
          <w:tab w:val="num" w:pos="3600"/>
        </w:tabs>
        <w:ind w:left="3600" w:hanging="360"/>
      </w:pPr>
      <w:rPr>
        <w:rFonts w:ascii="Courier New" w:hAnsi="Courier New"/>
      </w:rPr>
    </w:lvl>
    <w:lvl w:ilvl="5" w:tplc="C4269C4E">
      <w:start w:val="1"/>
      <w:numFmt w:val="bullet"/>
      <w:lvlText w:val=""/>
      <w:lvlJc w:val="left"/>
      <w:pPr>
        <w:tabs>
          <w:tab w:val="num" w:pos="4320"/>
        </w:tabs>
        <w:ind w:left="4320" w:hanging="360"/>
      </w:pPr>
      <w:rPr>
        <w:rFonts w:ascii="Wingdings" w:hAnsi="Wingdings"/>
      </w:rPr>
    </w:lvl>
    <w:lvl w:ilvl="6" w:tplc="CC7A0998">
      <w:start w:val="1"/>
      <w:numFmt w:val="bullet"/>
      <w:lvlText w:val=""/>
      <w:lvlJc w:val="left"/>
      <w:pPr>
        <w:tabs>
          <w:tab w:val="num" w:pos="5040"/>
        </w:tabs>
        <w:ind w:left="5040" w:hanging="360"/>
      </w:pPr>
      <w:rPr>
        <w:rFonts w:ascii="Symbol" w:hAnsi="Symbol"/>
      </w:rPr>
    </w:lvl>
    <w:lvl w:ilvl="7" w:tplc="77767694">
      <w:start w:val="1"/>
      <w:numFmt w:val="bullet"/>
      <w:lvlText w:val="o"/>
      <w:lvlJc w:val="left"/>
      <w:pPr>
        <w:tabs>
          <w:tab w:val="num" w:pos="5760"/>
        </w:tabs>
        <w:ind w:left="5760" w:hanging="360"/>
      </w:pPr>
      <w:rPr>
        <w:rFonts w:ascii="Courier New" w:hAnsi="Courier New"/>
      </w:rPr>
    </w:lvl>
    <w:lvl w:ilvl="8" w:tplc="9D7C4A80">
      <w:start w:val="1"/>
      <w:numFmt w:val="bullet"/>
      <w:lvlText w:val=""/>
      <w:lvlJc w:val="left"/>
      <w:pPr>
        <w:tabs>
          <w:tab w:val="num" w:pos="6480"/>
        </w:tabs>
        <w:ind w:left="6480" w:hanging="360"/>
      </w:pPr>
      <w:rPr>
        <w:rFonts w:ascii="Wingdings" w:hAnsi="Wingdings"/>
      </w:rPr>
    </w:lvl>
  </w:abstractNum>
  <w:abstractNum w:abstractNumId="465" w15:restartNumberingAfterBreak="0">
    <w:nsid w:val="72230693"/>
    <w:multiLevelType w:val="hybridMultilevel"/>
    <w:tmpl w:val="72230693"/>
    <w:lvl w:ilvl="0" w:tplc="C22ECF6A">
      <w:start w:val="1"/>
      <w:numFmt w:val="bullet"/>
      <w:lvlText w:val=""/>
      <w:lvlJc w:val="left"/>
      <w:pPr>
        <w:tabs>
          <w:tab w:val="num" w:pos="720"/>
        </w:tabs>
        <w:ind w:left="720" w:hanging="360"/>
      </w:pPr>
      <w:rPr>
        <w:rFonts w:ascii="Symbol" w:hAnsi="Symbol"/>
      </w:rPr>
    </w:lvl>
    <w:lvl w:ilvl="1" w:tplc="A650EB24">
      <w:start w:val="1"/>
      <w:numFmt w:val="bullet"/>
      <w:lvlText w:val="o"/>
      <w:lvlJc w:val="left"/>
      <w:pPr>
        <w:tabs>
          <w:tab w:val="num" w:pos="1440"/>
        </w:tabs>
        <w:ind w:left="1440" w:hanging="360"/>
      </w:pPr>
      <w:rPr>
        <w:rFonts w:ascii="Courier New" w:hAnsi="Courier New"/>
      </w:rPr>
    </w:lvl>
    <w:lvl w:ilvl="2" w:tplc="70F27BB0">
      <w:start w:val="1"/>
      <w:numFmt w:val="bullet"/>
      <w:lvlText w:val=""/>
      <w:lvlJc w:val="left"/>
      <w:pPr>
        <w:tabs>
          <w:tab w:val="num" w:pos="2160"/>
        </w:tabs>
        <w:ind w:left="2160" w:hanging="360"/>
      </w:pPr>
      <w:rPr>
        <w:rFonts w:ascii="Wingdings" w:hAnsi="Wingdings"/>
      </w:rPr>
    </w:lvl>
    <w:lvl w:ilvl="3" w:tplc="971A5380">
      <w:start w:val="1"/>
      <w:numFmt w:val="bullet"/>
      <w:lvlText w:val=""/>
      <w:lvlJc w:val="left"/>
      <w:pPr>
        <w:tabs>
          <w:tab w:val="num" w:pos="2880"/>
        </w:tabs>
        <w:ind w:left="2880" w:hanging="360"/>
      </w:pPr>
      <w:rPr>
        <w:rFonts w:ascii="Symbol" w:hAnsi="Symbol"/>
      </w:rPr>
    </w:lvl>
    <w:lvl w:ilvl="4" w:tplc="EEB6516C">
      <w:start w:val="1"/>
      <w:numFmt w:val="bullet"/>
      <w:lvlText w:val="o"/>
      <w:lvlJc w:val="left"/>
      <w:pPr>
        <w:tabs>
          <w:tab w:val="num" w:pos="3600"/>
        </w:tabs>
        <w:ind w:left="3600" w:hanging="360"/>
      </w:pPr>
      <w:rPr>
        <w:rFonts w:ascii="Courier New" w:hAnsi="Courier New"/>
      </w:rPr>
    </w:lvl>
    <w:lvl w:ilvl="5" w:tplc="150CD40E">
      <w:start w:val="1"/>
      <w:numFmt w:val="bullet"/>
      <w:lvlText w:val=""/>
      <w:lvlJc w:val="left"/>
      <w:pPr>
        <w:tabs>
          <w:tab w:val="num" w:pos="4320"/>
        </w:tabs>
        <w:ind w:left="4320" w:hanging="360"/>
      </w:pPr>
      <w:rPr>
        <w:rFonts w:ascii="Wingdings" w:hAnsi="Wingdings"/>
      </w:rPr>
    </w:lvl>
    <w:lvl w:ilvl="6" w:tplc="B2BEC452">
      <w:start w:val="1"/>
      <w:numFmt w:val="bullet"/>
      <w:lvlText w:val=""/>
      <w:lvlJc w:val="left"/>
      <w:pPr>
        <w:tabs>
          <w:tab w:val="num" w:pos="5040"/>
        </w:tabs>
        <w:ind w:left="5040" w:hanging="360"/>
      </w:pPr>
      <w:rPr>
        <w:rFonts w:ascii="Symbol" w:hAnsi="Symbol"/>
      </w:rPr>
    </w:lvl>
    <w:lvl w:ilvl="7" w:tplc="17D47194">
      <w:start w:val="1"/>
      <w:numFmt w:val="bullet"/>
      <w:lvlText w:val="o"/>
      <w:lvlJc w:val="left"/>
      <w:pPr>
        <w:tabs>
          <w:tab w:val="num" w:pos="5760"/>
        </w:tabs>
        <w:ind w:left="5760" w:hanging="360"/>
      </w:pPr>
      <w:rPr>
        <w:rFonts w:ascii="Courier New" w:hAnsi="Courier New"/>
      </w:rPr>
    </w:lvl>
    <w:lvl w:ilvl="8" w:tplc="9C0E3FAC">
      <w:start w:val="1"/>
      <w:numFmt w:val="bullet"/>
      <w:lvlText w:val=""/>
      <w:lvlJc w:val="left"/>
      <w:pPr>
        <w:tabs>
          <w:tab w:val="num" w:pos="6480"/>
        </w:tabs>
        <w:ind w:left="6480" w:hanging="360"/>
      </w:pPr>
      <w:rPr>
        <w:rFonts w:ascii="Wingdings" w:hAnsi="Wingdings"/>
      </w:rPr>
    </w:lvl>
  </w:abstractNum>
  <w:abstractNum w:abstractNumId="466" w15:restartNumberingAfterBreak="0">
    <w:nsid w:val="72230694"/>
    <w:multiLevelType w:val="hybridMultilevel"/>
    <w:tmpl w:val="72230694"/>
    <w:lvl w:ilvl="0" w:tplc="81EE2D30">
      <w:start w:val="1"/>
      <w:numFmt w:val="bullet"/>
      <w:lvlText w:val=""/>
      <w:lvlJc w:val="left"/>
      <w:pPr>
        <w:ind w:left="720" w:hanging="360"/>
      </w:pPr>
      <w:rPr>
        <w:rFonts w:ascii="Symbol" w:hAnsi="Symbol"/>
      </w:rPr>
    </w:lvl>
    <w:lvl w:ilvl="1" w:tplc="E91677FE">
      <w:start w:val="1"/>
      <w:numFmt w:val="bullet"/>
      <w:lvlText w:val="o"/>
      <w:lvlJc w:val="left"/>
      <w:pPr>
        <w:ind w:left="1440" w:hanging="360"/>
      </w:pPr>
      <w:rPr>
        <w:rFonts w:ascii="Courier New" w:hAnsi="Courier New"/>
      </w:rPr>
    </w:lvl>
    <w:lvl w:ilvl="2" w:tplc="EB06FC2E">
      <w:start w:val="1"/>
      <w:numFmt w:val="bullet"/>
      <w:lvlText w:val=""/>
      <w:lvlJc w:val="left"/>
      <w:pPr>
        <w:tabs>
          <w:tab w:val="num" w:pos="2160"/>
        </w:tabs>
        <w:ind w:left="2160" w:hanging="360"/>
      </w:pPr>
      <w:rPr>
        <w:rFonts w:ascii="Wingdings" w:hAnsi="Wingdings"/>
      </w:rPr>
    </w:lvl>
    <w:lvl w:ilvl="3" w:tplc="F98C0086">
      <w:start w:val="1"/>
      <w:numFmt w:val="bullet"/>
      <w:lvlText w:val=""/>
      <w:lvlJc w:val="left"/>
      <w:pPr>
        <w:tabs>
          <w:tab w:val="num" w:pos="2880"/>
        </w:tabs>
        <w:ind w:left="2880" w:hanging="360"/>
      </w:pPr>
      <w:rPr>
        <w:rFonts w:ascii="Symbol" w:hAnsi="Symbol"/>
      </w:rPr>
    </w:lvl>
    <w:lvl w:ilvl="4" w:tplc="8708E89C">
      <w:start w:val="1"/>
      <w:numFmt w:val="bullet"/>
      <w:lvlText w:val="o"/>
      <w:lvlJc w:val="left"/>
      <w:pPr>
        <w:tabs>
          <w:tab w:val="num" w:pos="3600"/>
        </w:tabs>
        <w:ind w:left="3600" w:hanging="360"/>
      </w:pPr>
      <w:rPr>
        <w:rFonts w:ascii="Courier New" w:hAnsi="Courier New"/>
      </w:rPr>
    </w:lvl>
    <w:lvl w:ilvl="5" w:tplc="5A968B26">
      <w:start w:val="1"/>
      <w:numFmt w:val="bullet"/>
      <w:lvlText w:val=""/>
      <w:lvlJc w:val="left"/>
      <w:pPr>
        <w:tabs>
          <w:tab w:val="num" w:pos="4320"/>
        </w:tabs>
        <w:ind w:left="4320" w:hanging="360"/>
      </w:pPr>
      <w:rPr>
        <w:rFonts w:ascii="Wingdings" w:hAnsi="Wingdings"/>
      </w:rPr>
    </w:lvl>
    <w:lvl w:ilvl="6" w:tplc="D08ADB66">
      <w:start w:val="1"/>
      <w:numFmt w:val="bullet"/>
      <w:lvlText w:val=""/>
      <w:lvlJc w:val="left"/>
      <w:pPr>
        <w:tabs>
          <w:tab w:val="num" w:pos="5040"/>
        </w:tabs>
        <w:ind w:left="5040" w:hanging="360"/>
      </w:pPr>
      <w:rPr>
        <w:rFonts w:ascii="Symbol" w:hAnsi="Symbol"/>
      </w:rPr>
    </w:lvl>
    <w:lvl w:ilvl="7" w:tplc="80082514">
      <w:start w:val="1"/>
      <w:numFmt w:val="bullet"/>
      <w:lvlText w:val="o"/>
      <w:lvlJc w:val="left"/>
      <w:pPr>
        <w:tabs>
          <w:tab w:val="num" w:pos="5760"/>
        </w:tabs>
        <w:ind w:left="5760" w:hanging="360"/>
      </w:pPr>
      <w:rPr>
        <w:rFonts w:ascii="Courier New" w:hAnsi="Courier New"/>
      </w:rPr>
    </w:lvl>
    <w:lvl w:ilvl="8" w:tplc="BBCC004E">
      <w:start w:val="1"/>
      <w:numFmt w:val="bullet"/>
      <w:lvlText w:val=""/>
      <w:lvlJc w:val="left"/>
      <w:pPr>
        <w:tabs>
          <w:tab w:val="num" w:pos="6480"/>
        </w:tabs>
        <w:ind w:left="6480" w:hanging="360"/>
      </w:pPr>
      <w:rPr>
        <w:rFonts w:ascii="Wingdings" w:hAnsi="Wingdings"/>
      </w:rPr>
    </w:lvl>
  </w:abstractNum>
  <w:abstractNum w:abstractNumId="467" w15:restartNumberingAfterBreak="0">
    <w:nsid w:val="72230695"/>
    <w:multiLevelType w:val="hybridMultilevel"/>
    <w:tmpl w:val="72230695"/>
    <w:lvl w:ilvl="0" w:tplc="69CAD5E0">
      <w:start w:val="1"/>
      <w:numFmt w:val="bullet"/>
      <w:lvlText w:val=""/>
      <w:lvlJc w:val="left"/>
      <w:pPr>
        <w:ind w:left="720" w:hanging="360"/>
      </w:pPr>
      <w:rPr>
        <w:rFonts w:ascii="Symbol" w:hAnsi="Symbol"/>
      </w:rPr>
    </w:lvl>
    <w:lvl w:ilvl="1" w:tplc="AED46BB0">
      <w:start w:val="1"/>
      <w:numFmt w:val="bullet"/>
      <w:lvlText w:val="o"/>
      <w:lvlJc w:val="left"/>
      <w:pPr>
        <w:tabs>
          <w:tab w:val="num" w:pos="1440"/>
        </w:tabs>
        <w:ind w:left="1440" w:hanging="360"/>
      </w:pPr>
      <w:rPr>
        <w:rFonts w:ascii="Courier New" w:hAnsi="Courier New"/>
      </w:rPr>
    </w:lvl>
    <w:lvl w:ilvl="2" w:tplc="C9BCC134">
      <w:start w:val="1"/>
      <w:numFmt w:val="bullet"/>
      <w:lvlText w:val=""/>
      <w:lvlJc w:val="left"/>
      <w:pPr>
        <w:tabs>
          <w:tab w:val="num" w:pos="2160"/>
        </w:tabs>
        <w:ind w:left="2160" w:hanging="360"/>
      </w:pPr>
      <w:rPr>
        <w:rFonts w:ascii="Wingdings" w:hAnsi="Wingdings"/>
      </w:rPr>
    </w:lvl>
    <w:lvl w:ilvl="3" w:tplc="670EEC48">
      <w:start w:val="1"/>
      <w:numFmt w:val="bullet"/>
      <w:lvlText w:val=""/>
      <w:lvlJc w:val="left"/>
      <w:pPr>
        <w:tabs>
          <w:tab w:val="num" w:pos="2880"/>
        </w:tabs>
        <w:ind w:left="2880" w:hanging="360"/>
      </w:pPr>
      <w:rPr>
        <w:rFonts w:ascii="Symbol" w:hAnsi="Symbol"/>
      </w:rPr>
    </w:lvl>
    <w:lvl w:ilvl="4" w:tplc="37367038">
      <w:start w:val="1"/>
      <w:numFmt w:val="bullet"/>
      <w:lvlText w:val="o"/>
      <w:lvlJc w:val="left"/>
      <w:pPr>
        <w:tabs>
          <w:tab w:val="num" w:pos="3600"/>
        </w:tabs>
        <w:ind w:left="3600" w:hanging="360"/>
      </w:pPr>
      <w:rPr>
        <w:rFonts w:ascii="Courier New" w:hAnsi="Courier New"/>
      </w:rPr>
    </w:lvl>
    <w:lvl w:ilvl="5" w:tplc="B4B04DB2">
      <w:start w:val="1"/>
      <w:numFmt w:val="bullet"/>
      <w:lvlText w:val=""/>
      <w:lvlJc w:val="left"/>
      <w:pPr>
        <w:tabs>
          <w:tab w:val="num" w:pos="4320"/>
        </w:tabs>
        <w:ind w:left="4320" w:hanging="360"/>
      </w:pPr>
      <w:rPr>
        <w:rFonts w:ascii="Wingdings" w:hAnsi="Wingdings"/>
      </w:rPr>
    </w:lvl>
    <w:lvl w:ilvl="6" w:tplc="2BFAA05A">
      <w:start w:val="1"/>
      <w:numFmt w:val="bullet"/>
      <w:lvlText w:val=""/>
      <w:lvlJc w:val="left"/>
      <w:pPr>
        <w:tabs>
          <w:tab w:val="num" w:pos="5040"/>
        </w:tabs>
        <w:ind w:left="5040" w:hanging="360"/>
      </w:pPr>
      <w:rPr>
        <w:rFonts w:ascii="Symbol" w:hAnsi="Symbol"/>
      </w:rPr>
    </w:lvl>
    <w:lvl w:ilvl="7" w:tplc="0FC2DB08">
      <w:start w:val="1"/>
      <w:numFmt w:val="bullet"/>
      <w:lvlText w:val="o"/>
      <w:lvlJc w:val="left"/>
      <w:pPr>
        <w:tabs>
          <w:tab w:val="num" w:pos="5760"/>
        </w:tabs>
        <w:ind w:left="5760" w:hanging="360"/>
      </w:pPr>
      <w:rPr>
        <w:rFonts w:ascii="Courier New" w:hAnsi="Courier New"/>
      </w:rPr>
    </w:lvl>
    <w:lvl w:ilvl="8" w:tplc="71E4A886">
      <w:start w:val="1"/>
      <w:numFmt w:val="bullet"/>
      <w:lvlText w:val=""/>
      <w:lvlJc w:val="left"/>
      <w:pPr>
        <w:tabs>
          <w:tab w:val="num" w:pos="6480"/>
        </w:tabs>
        <w:ind w:left="6480" w:hanging="360"/>
      </w:pPr>
      <w:rPr>
        <w:rFonts w:ascii="Wingdings" w:hAnsi="Wingdings"/>
      </w:rPr>
    </w:lvl>
  </w:abstractNum>
  <w:abstractNum w:abstractNumId="468" w15:restartNumberingAfterBreak="0">
    <w:nsid w:val="72230696"/>
    <w:multiLevelType w:val="hybridMultilevel"/>
    <w:tmpl w:val="72230696"/>
    <w:lvl w:ilvl="0" w:tplc="B6E057FC">
      <w:start w:val="1"/>
      <w:numFmt w:val="bullet"/>
      <w:lvlText w:val=""/>
      <w:lvlJc w:val="left"/>
      <w:pPr>
        <w:ind w:left="720" w:hanging="360"/>
      </w:pPr>
      <w:rPr>
        <w:rFonts w:ascii="Symbol" w:hAnsi="Symbol"/>
      </w:rPr>
    </w:lvl>
    <w:lvl w:ilvl="1" w:tplc="F5E86F58">
      <w:start w:val="1"/>
      <w:numFmt w:val="bullet"/>
      <w:lvlText w:val="o"/>
      <w:lvlJc w:val="left"/>
      <w:pPr>
        <w:tabs>
          <w:tab w:val="num" w:pos="1440"/>
        </w:tabs>
        <w:ind w:left="1440" w:hanging="360"/>
      </w:pPr>
      <w:rPr>
        <w:rFonts w:ascii="Courier New" w:hAnsi="Courier New"/>
      </w:rPr>
    </w:lvl>
    <w:lvl w:ilvl="2" w:tplc="EFCE42B8">
      <w:start w:val="1"/>
      <w:numFmt w:val="bullet"/>
      <w:lvlText w:val=""/>
      <w:lvlJc w:val="left"/>
      <w:pPr>
        <w:tabs>
          <w:tab w:val="num" w:pos="2160"/>
        </w:tabs>
        <w:ind w:left="2160" w:hanging="360"/>
      </w:pPr>
      <w:rPr>
        <w:rFonts w:ascii="Wingdings" w:hAnsi="Wingdings"/>
      </w:rPr>
    </w:lvl>
    <w:lvl w:ilvl="3" w:tplc="E91A3884">
      <w:start w:val="1"/>
      <w:numFmt w:val="bullet"/>
      <w:lvlText w:val=""/>
      <w:lvlJc w:val="left"/>
      <w:pPr>
        <w:tabs>
          <w:tab w:val="num" w:pos="2880"/>
        </w:tabs>
        <w:ind w:left="2880" w:hanging="360"/>
      </w:pPr>
      <w:rPr>
        <w:rFonts w:ascii="Symbol" w:hAnsi="Symbol"/>
      </w:rPr>
    </w:lvl>
    <w:lvl w:ilvl="4" w:tplc="AE80DCEE">
      <w:start w:val="1"/>
      <w:numFmt w:val="bullet"/>
      <w:lvlText w:val="o"/>
      <w:lvlJc w:val="left"/>
      <w:pPr>
        <w:tabs>
          <w:tab w:val="num" w:pos="3600"/>
        </w:tabs>
        <w:ind w:left="3600" w:hanging="360"/>
      </w:pPr>
      <w:rPr>
        <w:rFonts w:ascii="Courier New" w:hAnsi="Courier New"/>
      </w:rPr>
    </w:lvl>
    <w:lvl w:ilvl="5" w:tplc="496E9550">
      <w:start w:val="1"/>
      <w:numFmt w:val="bullet"/>
      <w:lvlText w:val=""/>
      <w:lvlJc w:val="left"/>
      <w:pPr>
        <w:tabs>
          <w:tab w:val="num" w:pos="4320"/>
        </w:tabs>
        <w:ind w:left="4320" w:hanging="360"/>
      </w:pPr>
      <w:rPr>
        <w:rFonts w:ascii="Wingdings" w:hAnsi="Wingdings"/>
      </w:rPr>
    </w:lvl>
    <w:lvl w:ilvl="6" w:tplc="AD2270A2">
      <w:start w:val="1"/>
      <w:numFmt w:val="bullet"/>
      <w:lvlText w:val=""/>
      <w:lvlJc w:val="left"/>
      <w:pPr>
        <w:tabs>
          <w:tab w:val="num" w:pos="5040"/>
        </w:tabs>
        <w:ind w:left="5040" w:hanging="360"/>
      </w:pPr>
      <w:rPr>
        <w:rFonts w:ascii="Symbol" w:hAnsi="Symbol"/>
      </w:rPr>
    </w:lvl>
    <w:lvl w:ilvl="7" w:tplc="6330847C">
      <w:start w:val="1"/>
      <w:numFmt w:val="bullet"/>
      <w:lvlText w:val="o"/>
      <w:lvlJc w:val="left"/>
      <w:pPr>
        <w:tabs>
          <w:tab w:val="num" w:pos="5760"/>
        </w:tabs>
        <w:ind w:left="5760" w:hanging="360"/>
      </w:pPr>
      <w:rPr>
        <w:rFonts w:ascii="Courier New" w:hAnsi="Courier New"/>
      </w:rPr>
    </w:lvl>
    <w:lvl w:ilvl="8" w:tplc="0DC24952">
      <w:start w:val="1"/>
      <w:numFmt w:val="bullet"/>
      <w:lvlText w:val=""/>
      <w:lvlJc w:val="left"/>
      <w:pPr>
        <w:tabs>
          <w:tab w:val="num" w:pos="6480"/>
        </w:tabs>
        <w:ind w:left="6480" w:hanging="360"/>
      </w:pPr>
      <w:rPr>
        <w:rFonts w:ascii="Wingdings" w:hAnsi="Wingdings"/>
      </w:rPr>
    </w:lvl>
  </w:abstractNum>
  <w:abstractNum w:abstractNumId="469" w15:restartNumberingAfterBreak="0">
    <w:nsid w:val="72230697"/>
    <w:multiLevelType w:val="hybridMultilevel"/>
    <w:tmpl w:val="72230697"/>
    <w:lvl w:ilvl="0" w:tplc="F1C01322">
      <w:start w:val="1"/>
      <w:numFmt w:val="bullet"/>
      <w:lvlText w:val=""/>
      <w:lvlJc w:val="left"/>
      <w:pPr>
        <w:ind w:left="720" w:hanging="360"/>
      </w:pPr>
      <w:rPr>
        <w:rFonts w:ascii="Symbol" w:hAnsi="Symbol"/>
      </w:rPr>
    </w:lvl>
    <w:lvl w:ilvl="1" w:tplc="3F40EBD8">
      <w:start w:val="1"/>
      <w:numFmt w:val="bullet"/>
      <w:lvlText w:val="o"/>
      <w:lvlJc w:val="left"/>
      <w:pPr>
        <w:tabs>
          <w:tab w:val="num" w:pos="1440"/>
        </w:tabs>
        <w:ind w:left="1440" w:hanging="360"/>
      </w:pPr>
      <w:rPr>
        <w:rFonts w:ascii="Courier New" w:hAnsi="Courier New"/>
      </w:rPr>
    </w:lvl>
    <w:lvl w:ilvl="2" w:tplc="8384BEE4">
      <w:start w:val="1"/>
      <w:numFmt w:val="bullet"/>
      <w:lvlText w:val=""/>
      <w:lvlJc w:val="left"/>
      <w:pPr>
        <w:tabs>
          <w:tab w:val="num" w:pos="2160"/>
        </w:tabs>
        <w:ind w:left="2160" w:hanging="360"/>
      </w:pPr>
      <w:rPr>
        <w:rFonts w:ascii="Wingdings" w:hAnsi="Wingdings"/>
      </w:rPr>
    </w:lvl>
    <w:lvl w:ilvl="3" w:tplc="B0706230">
      <w:start w:val="1"/>
      <w:numFmt w:val="bullet"/>
      <w:lvlText w:val=""/>
      <w:lvlJc w:val="left"/>
      <w:pPr>
        <w:tabs>
          <w:tab w:val="num" w:pos="2880"/>
        </w:tabs>
        <w:ind w:left="2880" w:hanging="360"/>
      </w:pPr>
      <w:rPr>
        <w:rFonts w:ascii="Symbol" w:hAnsi="Symbol"/>
      </w:rPr>
    </w:lvl>
    <w:lvl w:ilvl="4" w:tplc="4E6631C0">
      <w:start w:val="1"/>
      <w:numFmt w:val="bullet"/>
      <w:lvlText w:val="o"/>
      <w:lvlJc w:val="left"/>
      <w:pPr>
        <w:tabs>
          <w:tab w:val="num" w:pos="3600"/>
        </w:tabs>
        <w:ind w:left="3600" w:hanging="360"/>
      </w:pPr>
      <w:rPr>
        <w:rFonts w:ascii="Courier New" w:hAnsi="Courier New"/>
      </w:rPr>
    </w:lvl>
    <w:lvl w:ilvl="5" w:tplc="073848FE">
      <w:start w:val="1"/>
      <w:numFmt w:val="bullet"/>
      <w:lvlText w:val=""/>
      <w:lvlJc w:val="left"/>
      <w:pPr>
        <w:tabs>
          <w:tab w:val="num" w:pos="4320"/>
        </w:tabs>
        <w:ind w:left="4320" w:hanging="360"/>
      </w:pPr>
      <w:rPr>
        <w:rFonts w:ascii="Wingdings" w:hAnsi="Wingdings"/>
      </w:rPr>
    </w:lvl>
    <w:lvl w:ilvl="6" w:tplc="99EA1DAE">
      <w:start w:val="1"/>
      <w:numFmt w:val="bullet"/>
      <w:lvlText w:val=""/>
      <w:lvlJc w:val="left"/>
      <w:pPr>
        <w:tabs>
          <w:tab w:val="num" w:pos="5040"/>
        </w:tabs>
        <w:ind w:left="5040" w:hanging="360"/>
      </w:pPr>
      <w:rPr>
        <w:rFonts w:ascii="Symbol" w:hAnsi="Symbol"/>
      </w:rPr>
    </w:lvl>
    <w:lvl w:ilvl="7" w:tplc="E8A0CB3E">
      <w:start w:val="1"/>
      <w:numFmt w:val="bullet"/>
      <w:lvlText w:val="o"/>
      <w:lvlJc w:val="left"/>
      <w:pPr>
        <w:tabs>
          <w:tab w:val="num" w:pos="5760"/>
        </w:tabs>
        <w:ind w:left="5760" w:hanging="360"/>
      </w:pPr>
      <w:rPr>
        <w:rFonts w:ascii="Courier New" w:hAnsi="Courier New"/>
      </w:rPr>
    </w:lvl>
    <w:lvl w:ilvl="8" w:tplc="99F84DC4">
      <w:start w:val="1"/>
      <w:numFmt w:val="bullet"/>
      <w:lvlText w:val=""/>
      <w:lvlJc w:val="left"/>
      <w:pPr>
        <w:tabs>
          <w:tab w:val="num" w:pos="6480"/>
        </w:tabs>
        <w:ind w:left="6480" w:hanging="360"/>
      </w:pPr>
      <w:rPr>
        <w:rFonts w:ascii="Wingdings" w:hAnsi="Wingdings"/>
      </w:rPr>
    </w:lvl>
  </w:abstractNum>
  <w:abstractNum w:abstractNumId="470" w15:restartNumberingAfterBreak="0">
    <w:nsid w:val="72230698"/>
    <w:multiLevelType w:val="hybridMultilevel"/>
    <w:tmpl w:val="72230698"/>
    <w:lvl w:ilvl="0" w:tplc="C88E9714">
      <w:start w:val="1"/>
      <w:numFmt w:val="bullet"/>
      <w:lvlText w:val=""/>
      <w:lvlJc w:val="left"/>
      <w:pPr>
        <w:ind w:left="720" w:hanging="360"/>
      </w:pPr>
      <w:rPr>
        <w:rFonts w:ascii="Symbol" w:hAnsi="Symbol"/>
      </w:rPr>
    </w:lvl>
    <w:lvl w:ilvl="1" w:tplc="7CFE7E5A">
      <w:start w:val="1"/>
      <w:numFmt w:val="bullet"/>
      <w:lvlText w:val="o"/>
      <w:lvlJc w:val="left"/>
      <w:pPr>
        <w:tabs>
          <w:tab w:val="num" w:pos="1440"/>
        </w:tabs>
        <w:ind w:left="1440" w:hanging="360"/>
      </w:pPr>
      <w:rPr>
        <w:rFonts w:ascii="Courier New" w:hAnsi="Courier New"/>
      </w:rPr>
    </w:lvl>
    <w:lvl w:ilvl="2" w:tplc="9FE48BEE">
      <w:start w:val="1"/>
      <w:numFmt w:val="bullet"/>
      <w:lvlText w:val=""/>
      <w:lvlJc w:val="left"/>
      <w:pPr>
        <w:tabs>
          <w:tab w:val="num" w:pos="2160"/>
        </w:tabs>
        <w:ind w:left="2160" w:hanging="360"/>
      </w:pPr>
      <w:rPr>
        <w:rFonts w:ascii="Wingdings" w:hAnsi="Wingdings"/>
      </w:rPr>
    </w:lvl>
    <w:lvl w:ilvl="3" w:tplc="C0D06C7E">
      <w:start w:val="1"/>
      <w:numFmt w:val="bullet"/>
      <w:lvlText w:val=""/>
      <w:lvlJc w:val="left"/>
      <w:pPr>
        <w:tabs>
          <w:tab w:val="num" w:pos="2880"/>
        </w:tabs>
        <w:ind w:left="2880" w:hanging="360"/>
      </w:pPr>
      <w:rPr>
        <w:rFonts w:ascii="Symbol" w:hAnsi="Symbol"/>
      </w:rPr>
    </w:lvl>
    <w:lvl w:ilvl="4" w:tplc="BC92D06A">
      <w:start w:val="1"/>
      <w:numFmt w:val="bullet"/>
      <w:lvlText w:val="o"/>
      <w:lvlJc w:val="left"/>
      <w:pPr>
        <w:tabs>
          <w:tab w:val="num" w:pos="3600"/>
        </w:tabs>
        <w:ind w:left="3600" w:hanging="360"/>
      </w:pPr>
      <w:rPr>
        <w:rFonts w:ascii="Courier New" w:hAnsi="Courier New"/>
      </w:rPr>
    </w:lvl>
    <w:lvl w:ilvl="5" w:tplc="191A83D6">
      <w:start w:val="1"/>
      <w:numFmt w:val="bullet"/>
      <w:lvlText w:val=""/>
      <w:lvlJc w:val="left"/>
      <w:pPr>
        <w:tabs>
          <w:tab w:val="num" w:pos="4320"/>
        </w:tabs>
        <w:ind w:left="4320" w:hanging="360"/>
      </w:pPr>
      <w:rPr>
        <w:rFonts w:ascii="Wingdings" w:hAnsi="Wingdings"/>
      </w:rPr>
    </w:lvl>
    <w:lvl w:ilvl="6" w:tplc="3F52A498">
      <w:start w:val="1"/>
      <w:numFmt w:val="bullet"/>
      <w:lvlText w:val=""/>
      <w:lvlJc w:val="left"/>
      <w:pPr>
        <w:tabs>
          <w:tab w:val="num" w:pos="5040"/>
        </w:tabs>
        <w:ind w:left="5040" w:hanging="360"/>
      </w:pPr>
      <w:rPr>
        <w:rFonts w:ascii="Symbol" w:hAnsi="Symbol"/>
      </w:rPr>
    </w:lvl>
    <w:lvl w:ilvl="7" w:tplc="C688C282">
      <w:start w:val="1"/>
      <w:numFmt w:val="bullet"/>
      <w:lvlText w:val="o"/>
      <w:lvlJc w:val="left"/>
      <w:pPr>
        <w:tabs>
          <w:tab w:val="num" w:pos="5760"/>
        </w:tabs>
        <w:ind w:left="5760" w:hanging="360"/>
      </w:pPr>
      <w:rPr>
        <w:rFonts w:ascii="Courier New" w:hAnsi="Courier New"/>
      </w:rPr>
    </w:lvl>
    <w:lvl w:ilvl="8" w:tplc="8098C050">
      <w:start w:val="1"/>
      <w:numFmt w:val="bullet"/>
      <w:lvlText w:val=""/>
      <w:lvlJc w:val="left"/>
      <w:pPr>
        <w:tabs>
          <w:tab w:val="num" w:pos="6480"/>
        </w:tabs>
        <w:ind w:left="6480" w:hanging="360"/>
      </w:pPr>
      <w:rPr>
        <w:rFonts w:ascii="Wingdings" w:hAnsi="Wingdings"/>
      </w:rPr>
    </w:lvl>
  </w:abstractNum>
  <w:abstractNum w:abstractNumId="471" w15:restartNumberingAfterBreak="0">
    <w:nsid w:val="72230699"/>
    <w:multiLevelType w:val="hybridMultilevel"/>
    <w:tmpl w:val="72230699"/>
    <w:lvl w:ilvl="0" w:tplc="9F367A7A">
      <w:start w:val="1"/>
      <w:numFmt w:val="bullet"/>
      <w:lvlText w:val=""/>
      <w:lvlJc w:val="left"/>
      <w:pPr>
        <w:ind w:left="720" w:hanging="360"/>
      </w:pPr>
      <w:rPr>
        <w:rFonts w:ascii="Symbol" w:hAnsi="Symbol"/>
      </w:rPr>
    </w:lvl>
    <w:lvl w:ilvl="1" w:tplc="F6667382">
      <w:start w:val="1"/>
      <w:numFmt w:val="bullet"/>
      <w:lvlText w:val="o"/>
      <w:lvlJc w:val="left"/>
      <w:pPr>
        <w:tabs>
          <w:tab w:val="num" w:pos="1440"/>
        </w:tabs>
        <w:ind w:left="1440" w:hanging="360"/>
      </w:pPr>
      <w:rPr>
        <w:rFonts w:ascii="Courier New" w:hAnsi="Courier New"/>
      </w:rPr>
    </w:lvl>
    <w:lvl w:ilvl="2" w:tplc="B51C868C">
      <w:start w:val="1"/>
      <w:numFmt w:val="bullet"/>
      <w:lvlText w:val=""/>
      <w:lvlJc w:val="left"/>
      <w:pPr>
        <w:tabs>
          <w:tab w:val="num" w:pos="2160"/>
        </w:tabs>
        <w:ind w:left="2160" w:hanging="360"/>
      </w:pPr>
      <w:rPr>
        <w:rFonts w:ascii="Wingdings" w:hAnsi="Wingdings"/>
      </w:rPr>
    </w:lvl>
    <w:lvl w:ilvl="3" w:tplc="53A44D1E">
      <w:start w:val="1"/>
      <w:numFmt w:val="bullet"/>
      <w:lvlText w:val=""/>
      <w:lvlJc w:val="left"/>
      <w:pPr>
        <w:tabs>
          <w:tab w:val="num" w:pos="2880"/>
        </w:tabs>
        <w:ind w:left="2880" w:hanging="360"/>
      </w:pPr>
      <w:rPr>
        <w:rFonts w:ascii="Symbol" w:hAnsi="Symbol"/>
      </w:rPr>
    </w:lvl>
    <w:lvl w:ilvl="4" w:tplc="EADA7476">
      <w:start w:val="1"/>
      <w:numFmt w:val="bullet"/>
      <w:lvlText w:val="o"/>
      <w:lvlJc w:val="left"/>
      <w:pPr>
        <w:tabs>
          <w:tab w:val="num" w:pos="3600"/>
        </w:tabs>
        <w:ind w:left="3600" w:hanging="360"/>
      </w:pPr>
      <w:rPr>
        <w:rFonts w:ascii="Courier New" w:hAnsi="Courier New"/>
      </w:rPr>
    </w:lvl>
    <w:lvl w:ilvl="5" w:tplc="6E368FC4">
      <w:start w:val="1"/>
      <w:numFmt w:val="bullet"/>
      <w:lvlText w:val=""/>
      <w:lvlJc w:val="left"/>
      <w:pPr>
        <w:tabs>
          <w:tab w:val="num" w:pos="4320"/>
        </w:tabs>
        <w:ind w:left="4320" w:hanging="360"/>
      </w:pPr>
      <w:rPr>
        <w:rFonts w:ascii="Wingdings" w:hAnsi="Wingdings"/>
      </w:rPr>
    </w:lvl>
    <w:lvl w:ilvl="6" w:tplc="E690E0E2">
      <w:start w:val="1"/>
      <w:numFmt w:val="bullet"/>
      <w:lvlText w:val=""/>
      <w:lvlJc w:val="left"/>
      <w:pPr>
        <w:tabs>
          <w:tab w:val="num" w:pos="5040"/>
        </w:tabs>
        <w:ind w:left="5040" w:hanging="360"/>
      </w:pPr>
      <w:rPr>
        <w:rFonts w:ascii="Symbol" w:hAnsi="Symbol"/>
      </w:rPr>
    </w:lvl>
    <w:lvl w:ilvl="7" w:tplc="F37EF38E">
      <w:start w:val="1"/>
      <w:numFmt w:val="bullet"/>
      <w:lvlText w:val="o"/>
      <w:lvlJc w:val="left"/>
      <w:pPr>
        <w:tabs>
          <w:tab w:val="num" w:pos="5760"/>
        </w:tabs>
        <w:ind w:left="5760" w:hanging="360"/>
      </w:pPr>
      <w:rPr>
        <w:rFonts w:ascii="Courier New" w:hAnsi="Courier New"/>
      </w:rPr>
    </w:lvl>
    <w:lvl w:ilvl="8" w:tplc="417CAC56">
      <w:start w:val="1"/>
      <w:numFmt w:val="bullet"/>
      <w:lvlText w:val=""/>
      <w:lvlJc w:val="left"/>
      <w:pPr>
        <w:tabs>
          <w:tab w:val="num" w:pos="6480"/>
        </w:tabs>
        <w:ind w:left="6480" w:hanging="360"/>
      </w:pPr>
      <w:rPr>
        <w:rFonts w:ascii="Wingdings" w:hAnsi="Wingdings"/>
      </w:rPr>
    </w:lvl>
  </w:abstractNum>
  <w:abstractNum w:abstractNumId="472" w15:restartNumberingAfterBreak="0">
    <w:nsid w:val="7223069A"/>
    <w:multiLevelType w:val="hybridMultilevel"/>
    <w:tmpl w:val="7223069A"/>
    <w:lvl w:ilvl="0" w:tplc="6C14C4B2">
      <w:start w:val="1"/>
      <w:numFmt w:val="bullet"/>
      <w:lvlText w:val=""/>
      <w:lvlJc w:val="left"/>
      <w:pPr>
        <w:ind w:left="720" w:hanging="360"/>
      </w:pPr>
      <w:rPr>
        <w:rFonts w:ascii="Symbol" w:hAnsi="Symbol"/>
      </w:rPr>
    </w:lvl>
    <w:lvl w:ilvl="1" w:tplc="6C6002B2">
      <w:start w:val="1"/>
      <w:numFmt w:val="bullet"/>
      <w:lvlText w:val="o"/>
      <w:lvlJc w:val="left"/>
      <w:pPr>
        <w:tabs>
          <w:tab w:val="num" w:pos="1440"/>
        </w:tabs>
        <w:ind w:left="1440" w:hanging="360"/>
      </w:pPr>
      <w:rPr>
        <w:rFonts w:ascii="Courier New" w:hAnsi="Courier New"/>
      </w:rPr>
    </w:lvl>
    <w:lvl w:ilvl="2" w:tplc="CCEAB9CC">
      <w:start w:val="1"/>
      <w:numFmt w:val="bullet"/>
      <w:lvlText w:val=""/>
      <w:lvlJc w:val="left"/>
      <w:pPr>
        <w:tabs>
          <w:tab w:val="num" w:pos="2160"/>
        </w:tabs>
        <w:ind w:left="2160" w:hanging="360"/>
      </w:pPr>
      <w:rPr>
        <w:rFonts w:ascii="Wingdings" w:hAnsi="Wingdings"/>
      </w:rPr>
    </w:lvl>
    <w:lvl w:ilvl="3" w:tplc="783AD530">
      <w:start w:val="1"/>
      <w:numFmt w:val="bullet"/>
      <w:lvlText w:val=""/>
      <w:lvlJc w:val="left"/>
      <w:pPr>
        <w:tabs>
          <w:tab w:val="num" w:pos="2880"/>
        </w:tabs>
        <w:ind w:left="2880" w:hanging="360"/>
      </w:pPr>
      <w:rPr>
        <w:rFonts w:ascii="Symbol" w:hAnsi="Symbol"/>
      </w:rPr>
    </w:lvl>
    <w:lvl w:ilvl="4" w:tplc="179AD50E">
      <w:start w:val="1"/>
      <w:numFmt w:val="bullet"/>
      <w:lvlText w:val="o"/>
      <w:lvlJc w:val="left"/>
      <w:pPr>
        <w:tabs>
          <w:tab w:val="num" w:pos="3600"/>
        </w:tabs>
        <w:ind w:left="3600" w:hanging="360"/>
      </w:pPr>
      <w:rPr>
        <w:rFonts w:ascii="Courier New" w:hAnsi="Courier New"/>
      </w:rPr>
    </w:lvl>
    <w:lvl w:ilvl="5" w:tplc="03727598">
      <w:start w:val="1"/>
      <w:numFmt w:val="bullet"/>
      <w:lvlText w:val=""/>
      <w:lvlJc w:val="left"/>
      <w:pPr>
        <w:tabs>
          <w:tab w:val="num" w:pos="4320"/>
        </w:tabs>
        <w:ind w:left="4320" w:hanging="360"/>
      </w:pPr>
      <w:rPr>
        <w:rFonts w:ascii="Wingdings" w:hAnsi="Wingdings"/>
      </w:rPr>
    </w:lvl>
    <w:lvl w:ilvl="6" w:tplc="AE627402">
      <w:start w:val="1"/>
      <w:numFmt w:val="bullet"/>
      <w:lvlText w:val=""/>
      <w:lvlJc w:val="left"/>
      <w:pPr>
        <w:tabs>
          <w:tab w:val="num" w:pos="5040"/>
        </w:tabs>
        <w:ind w:left="5040" w:hanging="360"/>
      </w:pPr>
      <w:rPr>
        <w:rFonts w:ascii="Symbol" w:hAnsi="Symbol"/>
      </w:rPr>
    </w:lvl>
    <w:lvl w:ilvl="7" w:tplc="CE902072">
      <w:start w:val="1"/>
      <w:numFmt w:val="bullet"/>
      <w:lvlText w:val="o"/>
      <w:lvlJc w:val="left"/>
      <w:pPr>
        <w:tabs>
          <w:tab w:val="num" w:pos="5760"/>
        </w:tabs>
        <w:ind w:left="5760" w:hanging="360"/>
      </w:pPr>
      <w:rPr>
        <w:rFonts w:ascii="Courier New" w:hAnsi="Courier New"/>
      </w:rPr>
    </w:lvl>
    <w:lvl w:ilvl="8" w:tplc="041CE1E4">
      <w:start w:val="1"/>
      <w:numFmt w:val="bullet"/>
      <w:lvlText w:val=""/>
      <w:lvlJc w:val="left"/>
      <w:pPr>
        <w:tabs>
          <w:tab w:val="num" w:pos="6480"/>
        </w:tabs>
        <w:ind w:left="6480" w:hanging="360"/>
      </w:pPr>
      <w:rPr>
        <w:rFonts w:ascii="Wingdings" w:hAnsi="Wingdings"/>
      </w:rPr>
    </w:lvl>
  </w:abstractNum>
  <w:abstractNum w:abstractNumId="473" w15:restartNumberingAfterBreak="0">
    <w:nsid w:val="7223069B"/>
    <w:multiLevelType w:val="hybridMultilevel"/>
    <w:tmpl w:val="7223069B"/>
    <w:lvl w:ilvl="0" w:tplc="A048923E">
      <w:start w:val="1"/>
      <w:numFmt w:val="bullet"/>
      <w:lvlText w:val=""/>
      <w:lvlJc w:val="left"/>
      <w:pPr>
        <w:ind w:left="720" w:hanging="360"/>
      </w:pPr>
      <w:rPr>
        <w:rFonts w:ascii="Symbol" w:hAnsi="Symbol"/>
      </w:rPr>
    </w:lvl>
    <w:lvl w:ilvl="1" w:tplc="F66649D6">
      <w:start w:val="1"/>
      <w:numFmt w:val="bullet"/>
      <w:lvlText w:val="o"/>
      <w:lvlJc w:val="left"/>
      <w:pPr>
        <w:tabs>
          <w:tab w:val="num" w:pos="1440"/>
        </w:tabs>
        <w:ind w:left="1440" w:hanging="360"/>
      </w:pPr>
      <w:rPr>
        <w:rFonts w:ascii="Courier New" w:hAnsi="Courier New"/>
      </w:rPr>
    </w:lvl>
    <w:lvl w:ilvl="2" w:tplc="27F4178A">
      <w:start w:val="1"/>
      <w:numFmt w:val="bullet"/>
      <w:lvlText w:val=""/>
      <w:lvlJc w:val="left"/>
      <w:pPr>
        <w:tabs>
          <w:tab w:val="num" w:pos="2160"/>
        </w:tabs>
        <w:ind w:left="2160" w:hanging="360"/>
      </w:pPr>
      <w:rPr>
        <w:rFonts w:ascii="Wingdings" w:hAnsi="Wingdings"/>
      </w:rPr>
    </w:lvl>
    <w:lvl w:ilvl="3" w:tplc="8882640E">
      <w:start w:val="1"/>
      <w:numFmt w:val="bullet"/>
      <w:lvlText w:val=""/>
      <w:lvlJc w:val="left"/>
      <w:pPr>
        <w:tabs>
          <w:tab w:val="num" w:pos="2880"/>
        </w:tabs>
        <w:ind w:left="2880" w:hanging="360"/>
      </w:pPr>
      <w:rPr>
        <w:rFonts w:ascii="Symbol" w:hAnsi="Symbol"/>
      </w:rPr>
    </w:lvl>
    <w:lvl w:ilvl="4" w:tplc="0896B07E">
      <w:start w:val="1"/>
      <w:numFmt w:val="bullet"/>
      <w:lvlText w:val="o"/>
      <w:lvlJc w:val="left"/>
      <w:pPr>
        <w:tabs>
          <w:tab w:val="num" w:pos="3600"/>
        </w:tabs>
        <w:ind w:left="3600" w:hanging="360"/>
      </w:pPr>
      <w:rPr>
        <w:rFonts w:ascii="Courier New" w:hAnsi="Courier New"/>
      </w:rPr>
    </w:lvl>
    <w:lvl w:ilvl="5" w:tplc="85127AFC">
      <w:start w:val="1"/>
      <w:numFmt w:val="bullet"/>
      <w:lvlText w:val=""/>
      <w:lvlJc w:val="left"/>
      <w:pPr>
        <w:tabs>
          <w:tab w:val="num" w:pos="4320"/>
        </w:tabs>
        <w:ind w:left="4320" w:hanging="360"/>
      </w:pPr>
      <w:rPr>
        <w:rFonts w:ascii="Wingdings" w:hAnsi="Wingdings"/>
      </w:rPr>
    </w:lvl>
    <w:lvl w:ilvl="6" w:tplc="9D9279E8">
      <w:start w:val="1"/>
      <w:numFmt w:val="bullet"/>
      <w:lvlText w:val=""/>
      <w:lvlJc w:val="left"/>
      <w:pPr>
        <w:tabs>
          <w:tab w:val="num" w:pos="5040"/>
        </w:tabs>
        <w:ind w:left="5040" w:hanging="360"/>
      </w:pPr>
      <w:rPr>
        <w:rFonts w:ascii="Symbol" w:hAnsi="Symbol"/>
      </w:rPr>
    </w:lvl>
    <w:lvl w:ilvl="7" w:tplc="1A160E42">
      <w:start w:val="1"/>
      <w:numFmt w:val="bullet"/>
      <w:lvlText w:val="o"/>
      <w:lvlJc w:val="left"/>
      <w:pPr>
        <w:tabs>
          <w:tab w:val="num" w:pos="5760"/>
        </w:tabs>
        <w:ind w:left="5760" w:hanging="360"/>
      </w:pPr>
      <w:rPr>
        <w:rFonts w:ascii="Courier New" w:hAnsi="Courier New"/>
      </w:rPr>
    </w:lvl>
    <w:lvl w:ilvl="8" w:tplc="4204146E">
      <w:start w:val="1"/>
      <w:numFmt w:val="bullet"/>
      <w:lvlText w:val=""/>
      <w:lvlJc w:val="left"/>
      <w:pPr>
        <w:tabs>
          <w:tab w:val="num" w:pos="6480"/>
        </w:tabs>
        <w:ind w:left="6480" w:hanging="360"/>
      </w:pPr>
      <w:rPr>
        <w:rFonts w:ascii="Wingdings" w:hAnsi="Wingdings"/>
      </w:rPr>
    </w:lvl>
  </w:abstractNum>
  <w:abstractNum w:abstractNumId="474" w15:restartNumberingAfterBreak="0">
    <w:nsid w:val="7223069C"/>
    <w:multiLevelType w:val="hybridMultilevel"/>
    <w:tmpl w:val="7223069C"/>
    <w:lvl w:ilvl="0" w:tplc="61EE4C68">
      <w:start w:val="1"/>
      <w:numFmt w:val="bullet"/>
      <w:lvlText w:val=""/>
      <w:lvlJc w:val="left"/>
      <w:pPr>
        <w:tabs>
          <w:tab w:val="num" w:pos="720"/>
        </w:tabs>
        <w:ind w:left="720" w:hanging="360"/>
      </w:pPr>
      <w:rPr>
        <w:rFonts w:ascii="Symbol" w:hAnsi="Symbol"/>
      </w:rPr>
    </w:lvl>
    <w:lvl w:ilvl="1" w:tplc="9A5C2DB2">
      <w:start w:val="1"/>
      <w:numFmt w:val="bullet"/>
      <w:lvlText w:val="o"/>
      <w:lvlJc w:val="left"/>
      <w:pPr>
        <w:tabs>
          <w:tab w:val="num" w:pos="1440"/>
        </w:tabs>
        <w:ind w:left="1440" w:hanging="360"/>
      </w:pPr>
      <w:rPr>
        <w:rFonts w:ascii="Courier New" w:hAnsi="Courier New"/>
      </w:rPr>
    </w:lvl>
    <w:lvl w:ilvl="2" w:tplc="906AC604">
      <w:start w:val="1"/>
      <w:numFmt w:val="bullet"/>
      <w:lvlText w:val=""/>
      <w:lvlJc w:val="left"/>
      <w:pPr>
        <w:tabs>
          <w:tab w:val="num" w:pos="2160"/>
        </w:tabs>
        <w:ind w:left="2160" w:hanging="360"/>
      </w:pPr>
      <w:rPr>
        <w:rFonts w:ascii="Wingdings" w:hAnsi="Wingdings"/>
      </w:rPr>
    </w:lvl>
    <w:lvl w:ilvl="3" w:tplc="387A0DDC">
      <w:start w:val="1"/>
      <w:numFmt w:val="bullet"/>
      <w:lvlText w:val=""/>
      <w:lvlJc w:val="left"/>
      <w:pPr>
        <w:tabs>
          <w:tab w:val="num" w:pos="2880"/>
        </w:tabs>
        <w:ind w:left="2880" w:hanging="360"/>
      </w:pPr>
      <w:rPr>
        <w:rFonts w:ascii="Symbol" w:hAnsi="Symbol"/>
      </w:rPr>
    </w:lvl>
    <w:lvl w:ilvl="4" w:tplc="11A2D93E">
      <w:start w:val="1"/>
      <w:numFmt w:val="bullet"/>
      <w:lvlText w:val="o"/>
      <w:lvlJc w:val="left"/>
      <w:pPr>
        <w:tabs>
          <w:tab w:val="num" w:pos="3600"/>
        </w:tabs>
        <w:ind w:left="3600" w:hanging="360"/>
      </w:pPr>
      <w:rPr>
        <w:rFonts w:ascii="Courier New" w:hAnsi="Courier New"/>
      </w:rPr>
    </w:lvl>
    <w:lvl w:ilvl="5" w:tplc="D99CE424">
      <w:start w:val="1"/>
      <w:numFmt w:val="bullet"/>
      <w:lvlText w:val=""/>
      <w:lvlJc w:val="left"/>
      <w:pPr>
        <w:tabs>
          <w:tab w:val="num" w:pos="4320"/>
        </w:tabs>
        <w:ind w:left="4320" w:hanging="360"/>
      </w:pPr>
      <w:rPr>
        <w:rFonts w:ascii="Wingdings" w:hAnsi="Wingdings"/>
      </w:rPr>
    </w:lvl>
    <w:lvl w:ilvl="6" w:tplc="DDAE1612">
      <w:start w:val="1"/>
      <w:numFmt w:val="bullet"/>
      <w:lvlText w:val=""/>
      <w:lvlJc w:val="left"/>
      <w:pPr>
        <w:tabs>
          <w:tab w:val="num" w:pos="5040"/>
        </w:tabs>
        <w:ind w:left="5040" w:hanging="360"/>
      </w:pPr>
      <w:rPr>
        <w:rFonts w:ascii="Symbol" w:hAnsi="Symbol"/>
      </w:rPr>
    </w:lvl>
    <w:lvl w:ilvl="7" w:tplc="1A268398">
      <w:start w:val="1"/>
      <w:numFmt w:val="bullet"/>
      <w:lvlText w:val="o"/>
      <w:lvlJc w:val="left"/>
      <w:pPr>
        <w:tabs>
          <w:tab w:val="num" w:pos="5760"/>
        </w:tabs>
        <w:ind w:left="5760" w:hanging="360"/>
      </w:pPr>
      <w:rPr>
        <w:rFonts w:ascii="Courier New" w:hAnsi="Courier New"/>
      </w:rPr>
    </w:lvl>
    <w:lvl w:ilvl="8" w:tplc="C91604E4">
      <w:start w:val="1"/>
      <w:numFmt w:val="bullet"/>
      <w:lvlText w:val=""/>
      <w:lvlJc w:val="left"/>
      <w:pPr>
        <w:tabs>
          <w:tab w:val="num" w:pos="6480"/>
        </w:tabs>
        <w:ind w:left="6480" w:hanging="360"/>
      </w:pPr>
      <w:rPr>
        <w:rFonts w:ascii="Wingdings" w:hAnsi="Wingdings"/>
      </w:rPr>
    </w:lvl>
  </w:abstractNum>
  <w:abstractNum w:abstractNumId="475" w15:restartNumberingAfterBreak="0">
    <w:nsid w:val="7223069D"/>
    <w:multiLevelType w:val="hybridMultilevel"/>
    <w:tmpl w:val="7223069D"/>
    <w:lvl w:ilvl="0" w:tplc="7526CDBC">
      <w:start w:val="1"/>
      <w:numFmt w:val="bullet"/>
      <w:lvlText w:val=""/>
      <w:lvlJc w:val="left"/>
      <w:pPr>
        <w:ind w:left="720" w:hanging="360"/>
      </w:pPr>
      <w:rPr>
        <w:rFonts w:ascii="Symbol" w:hAnsi="Symbol"/>
      </w:rPr>
    </w:lvl>
    <w:lvl w:ilvl="1" w:tplc="5E2AC70A">
      <w:start w:val="1"/>
      <w:numFmt w:val="bullet"/>
      <w:lvlText w:val="o"/>
      <w:lvlJc w:val="left"/>
      <w:pPr>
        <w:tabs>
          <w:tab w:val="num" w:pos="1440"/>
        </w:tabs>
        <w:ind w:left="1440" w:hanging="360"/>
      </w:pPr>
      <w:rPr>
        <w:rFonts w:ascii="Courier New" w:hAnsi="Courier New"/>
      </w:rPr>
    </w:lvl>
    <w:lvl w:ilvl="2" w:tplc="527A8AA0">
      <w:start w:val="1"/>
      <w:numFmt w:val="bullet"/>
      <w:lvlText w:val=""/>
      <w:lvlJc w:val="left"/>
      <w:pPr>
        <w:tabs>
          <w:tab w:val="num" w:pos="2160"/>
        </w:tabs>
        <w:ind w:left="2160" w:hanging="360"/>
      </w:pPr>
      <w:rPr>
        <w:rFonts w:ascii="Wingdings" w:hAnsi="Wingdings"/>
      </w:rPr>
    </w:lvl>
    <w:lvl w:ilvl="3" w:tplc="84D2F9DE">
      <w:start w:val="1"/>
      <w:numFmt w:val="bullet"/>
      <w:lvlText w:val=""/>
      <w:lvlJc w:val="left"/>
      <w:pPr>
        <w:tabs>
          <w:tab w:val="num" w:pos="2880"/>
        </w:tabs>
        <w:ind w:left="2880" w:hanging="360"/>
      </w:pPr>
      <w:rPr>
        <w:rFonts w:ascii="Symbol" w:hAnsi="Symbol"/>
      </w:rPr>
    </w:lvl>
    <w:lvl w:ilvl="4" w:tplc="60DAEF3E">
      <w:start w:val="1"/>
      <w:numFmt w:val="bullet"/>
      <w:lvlText w:val="o"/>
      <w:lvlJc w:val="left"/>
      <w:pPr>
        <w:tabs>
          <w:tab w:val="num" w:pos="3600"/>
        </w:tabs>
        <w:ind w:left="3600" w:hanging="360"/>
      </w:pPr>
      <w:rPr>
        <w:rFonts w:ascii="Courier New" w:hAnsi="Courier New"/>
      </w:rPr>
    </w:lvl>
    <w:lvl w:ilvl="5" w:tplc="C470A598">
      <w:start w:val="1"/>
      <w:numFmt w:val="bullet"/>
      <w:lvlText w:val=""/>
      <w:lvlJc w:val="left"/>
      <w:pPr>
        <w:tabs>
          <w:tab w:val="num" w:pos="4320"/>
        </w:tabs>
        <w:ind w:left="4320" w:hanging="360"/>
      </w:pPr>
      <w:rPr>
        <w:rFonts w:ascii="Wingdings" w:hAnsi="Wingdings"/>
      </w:rPr>
    </w:lvl>
    <w:lvl w:ilvl="6" w:tplc="50C85D30">
      <w:start w:val="1"/>
      <w:numFmt w:val="bullet"/>
      <w:lvlText w:val=""/>
      <w:lvlJc w:val="left"/>
      <w:pPr>
        <w:tabs>
          <w:tab w:val="num" w:pos="5040"/>
        </w:tabs>
        <w:ind w:left="5040" w:hanging="360"/>
      </w:pPr>
      <w:rPr>
        <w:rFonts w:ascii="Symbol" w:hAnsi="Symbol"/>
      </w:rPr>
    </w:lvl>
    <w:lvl w:ilvl="7" w:tplc="96E669AC">
      <w:start w:val="1"/>
      <w:numFmt w:val="bullet"/>
      <w:lvlText w:val="o"/>
      <w:lvlJc w:val="left"/>
      <w:pPr>
        <w:tabs>
          <w:tab w:val="num" w:pos="5760"/>
        </w:tabs>
        <w:ind w:left="5760" w:hanging="360"/>
      </w:pPr>
      <w:rPr>
        <w:rFonts w:ascii="Courier New" w:hAnsi="Courier New"/>
      </w:rPr>
    </w:lvl>
    <w:lvl w:ilvl="8" w:tplc="762266C2">
      <w:start w:val="1"/>
      <w:numFmt w:val="bullet"/>
      <w:lvlText w:val=""/>
      <w:lvlJc w:val="left"/>
      <w:pPr>
        <w:tabs>
          <w:tab w:val="num" w:pos="6480"/>
        </w:tabs>
        <w:ind w:left="6480" w:hanging="360"/>
      </w:pPr>
      <w:rPr>
        <w:rFonts w:ascii="Wingdings" w:hAnsi="Wingdings"/>
      </w:rPr>
    </w:lvl>
  </w:abstractNum>
  <w:abstractNum w:abstractNumId="476" w15:restartNumberingAfterBreak="0">
    <w:nsid w:val="7223069E"/>
    <w:multiLevelType w:val="hybridMultilevel"/>
    <w:tmpl w:val="7223069E"/>
    <w:lvl w:ilvl="0" w:tplc="3C202744">
      <w:start w:val="1"/>
      <w:numFmt w:val="bullet"/>
      <w:lvlText w:val=""/>
      <w:lvlJc w:val="left"/>
      <w:pPr>
        <w:ind w:left="720" w:hanging="360"/>
      </w:pPr>
      <w:rPr>
        <w:rFonts w:ascii="Symbol" w:hAnsi="Symbol"/>
      </w:rPr>
    </w:lvl>
    <w:lvl w:ilvl="1" w:tplc="DB5274AA">
      <w:start w:val="1"/>
      <w:numFmt w:val="bullet"/>
      <w:lvlText w:val="o"/>
      <w:lvlJc w:val="left"/>
      <w:pPr>
        <w:tabs>
          <w:tab w:val="num" w:pos="1440"/>
        </w:tabs>
        <w:ind w:left="1440" w:hanging="360"/>
      </w:pPr>
      <w:rPr>
        <w:rFonts w:ascii="Courier New" w:hAnsi="Courier New"/>
      </w:rPr>
    </w:lvl>
    <w:lvl w:ilvl="2" w:tplc="3A146F76">
      <w:start w:val="1"/>
      <w:numFmt w:val="bullet"/>
      <w:lvlText w:val=""/>
      <w:lvlJc w:val="left"/>
      <w:pPr>
        <w:tabs>
          <w:tab w:val="num" w:pos="2160"/>
        </w:tabs>
        <w:ind w:left="2160" w:hanging="360"/>
      </w:pPr>
      <w:rPr>
        <w:rFonts w:ascii="Wingdings" w:hAnsi="Wingdings"/>
      </w:rPr>
    </w:lvl>
    <w:lvl w:ilvl="3" w:tplc="879CE5EA">
      <w:start w:val="1"/>
      <w:numFmt w:val="bullet"/>
      <w:lvlText w:val=""/>
      <w:lvlJc w:val="left"/>
      <w:pPr>
        <w:tabs>
          <w:tab w:val="num" w:pos="2880"/>
        </w:tabs>
        <w:ind w:left="2880" w:hanging="360"/>
      </w:pPr>
      <w:rPr>
        <w:rFonts w:ascii="Symbol" w:hAnsi="Symbol"/>
      </w:rPr>
    </w:lvl>
    <w:lvl w:ilvl="4" w:tplc="DA9626FA">
      <w:start w:val="1"/>
      <w:numFmt w:val="bullet"/>
      <w:lvlText w:val="o"/>
      <w:lvlJc w:val="left"/>
      <w:pPr>
        <w:tabs>
          <w:tab w:val="num" w:pos="3600"/>
        </w:tabs>
        <w:ind w:left="3600" w:hanging="360"/>
      </w:pPr>
      <w:rPr>
        <w:rFonts w:ascii="Courier New" w:hAnsi="Courier New"/>
      </w:rPr>
    </w:lvl>
    <w:lvl w:ilvl="5" w:tplc="AD146296">
      <w:start w:val="1"/>
      <w:numFmt w:val="bullet"/>
      <w:lvlText w:val=""/>
      <w:lvlJc w:val="left"/>
      <w:pPr>
        <w:tabs>
          <w:tab w:val="num" w:pos="4320"/>
        </w:tabs>
        <w:ind w:left="4320" w:hanging="360"/>
      </w:pPr>
      <w:rPr>
        <w:rFonts w:ascii="Wingdings" w:hAnsi="Wingdings"/>
      </w:rPr>
    </w:lvl>
    <w:lvl w:ilvl="6" w:tplc="76F62BCA">
      <w:start w:val="1"/>
      <w:numFmt w:val="bullet"/>
      <w:lvlText w:val=""/>
      <w:lvlJc w:val="left"/>
      <w:pPr>
        <w:tabs>
          <w:tab w:val="num" w:pos="5040"/>
        </w:tabs>
        <w:ind w:left="5040" w:hanging="360"/>
      </w:pPr>
      <w:rPr>
        <w:rFonts w:ascii="Symbol" w:hAnsi="Symbol"/>
      </w:rPr>
    </w:lvl>
    <w:lvl w:ilvl="7" w:tplc="5D7E14B0">
      <w:start w:val="1"/>
      <w:numFmt w:val="bullet"/>
      <w:lvlText w:val="o"/>
      <w:lvlJc w:val="left"/>
      <w:pPr>
        <w:tabs>
          <w:tab w:val="num" w:pos="5760"/>
        </w:tabs>
        <w:ind w:left="5760" w:hanging="360"/>
      </w:pPr>
      <w:rPr>
        <w:rFonts w:ascii="Courier New" w:hAnsi="Courier New"/>
      </w:rPr>
    </w:lvl>
    <w:lvl w:ilvl="8" w:tplc="1A22D340">
      <w:start w:val="1"/>
      <w:numFmt w:val="bullet"/>
      <w:lvlText w:val=""/>
      <w:lvlJc w:val="left"/>
      <w:pPr>
        <w:tabs>
          <w:tab w:val="num" w:pos="6480"/>
        </w:tabs>
        <w:ind w:left="6480" w:hanging="360"/>
      </w:pPr>
      <w:rPr>
        <w:rFonts w:ascii="Wingdings" w:hAnsi="Wingdings"/>
      </w:rPr>
    </w:lvl>
  </w:abstractNum>
  <w:abstractNum w:abstractNumId="477" w15:restartNumberingAfterBreak="0">
    <w:nsid w:val="7223069F"/>
    <w:multiLevelType w:val="hybridMultilevel"/>
    <w:tmpl w:val="7223069F"/>
    <w:lvl w:ilvl="0" w:tplc="BA62B604">
      <w:start w:val="1"/>
      <w:numFmt w:val="bullet"/>
      <w:lvlText w:val=""/>
      <w:lvlJc w:val="left"/>
      <w:pPr>
        <w:ind w:left="720" w:hanging="360"/>
      </w:pPr>
      <w:rPr>
        <w:rFonts w:ascii="Symbol" w:hAnsi="Symbol"/>
      </w:rPr>
    </w:lvl>
    <w:lvl w:ilvl="1" w:tplc="380C829E">
      <w:start w:val="1"/>
      <w:numFmt w:val="bullet"/>
      <w:lvlText w:val="o"/>
      <w:lvlJc w:val="left"/>
      <w:pPr>
        <w:tabs>
          <w:tab w:val="num" w:pos="1440"/>
        </w:tabs>
        <w:ind w:left="1440" w:hanging="360"/>
      </w:pPr>
      <w:rPr>
        <w:rFonts w:ascii="Courier New" w:hAnsi="Courier New"/>
      </w:rPr>
    </w:lvl>
    <w:lvl w:ilvl="2" w:tplc="4B14B54E">
      <w:start w:val="1"/>
      <w:numFmt w:val="bullet"/>
      <w:lvlText w:val=""/>
      <w:lvlJc w:val="left"/>
      <w:pPr>
        <w:tabs>
          <w:tab w:val="num" w:pos="2160"/>
        </w:tabs>
        <w:ind w:left="2160" w:hanging="360"/>
      </w:pPr>
      <w:rPr>
        <w:rFonts w:ascii="Wingdings" w:hAnsi="Wingdings"/>
      </w:rPr>
    </w:lvl>
    <w:lvl w:ilvl="3" w:tplc="297E3D40">
      <w:start w:val="1"/>
      <w:numFmt w:val="bullet"/>
      <w:lvlText w:val=""/>
      <w:lvlJc w:val="left"/>
      <w:pPr>
        <w:tabs>
          <w:tab w:val="num" w:pos="2880"/>
        </w:tabs>
        <w:ind w:left="2880" w:hanging="360"/>
      </w:pPr>
      <w:rPr>
        <w:rFonts w:ascii="Symbol" w:hAnsi="Symbol"/>
      </w:rPr>
    </w:lvl>
    <w:lvl w:ilvl="4" w:tplc="0B1ECC7E">
      <w:start w:val="1"/>
      <w:numFmt w:val="bullet"/>
      <w:lvlText w:val="o"/>
      <w:lvlJc w:val="left"/>
      <w:pPr>
        <w:tabs>
          <w:tab w:val="num" w:pos="3600"/>
        </w:tabs>
        <w:ind w:left="3600" w:hanging="360"/>
      </w:pPr>
      <w:rPr>
        <w:rFonts w:ascii="Courier New" w:hAnsi="Courier New"/>
      </w:rPr>
    </w:lvl>
    <w:lvl w:ilvl="5" w:tplc="76540A54">
      <w:start w:val="1"/>
      <w:numFmt w:val="bullet"/>
      <w:lvlText w:val=""/>
      <w:lvlJc w:val="left"/>
      <w:pPr>
        <w:tabs>
          <w:tab w:val="num" w:pos="4320"/>
        </w:tabs>
        <w:ind w:left="4320" w:hanging="360"/>
      </w:pPr>
      <w:rPr>
        <w:rFonts w:ascii="Wingdings" w:hAnsi="Wingdings"/>
      </w:rPr>
    </w:lvl>
    <w:lvl w:ilvl="6" w:tplc="8CD06EC2">
      <w:start w:val="1"/>
      <w:numFmt w:val="bullet"/>
      <w:lvlText w:val=""/>
      <w:lvlJc w:val="left"/>
      <w:pPr>
        <w:tabs>
          <w:tab w:val="num" w:pos="5040"/>
        </w:tabs>
        <w:ind w:left="5040" w:hanging="360"/>
      </w:pPr>
      <w:rPr>
        <w:rFonts w:ascii="Symbol" w:hAnsi="Symbol"/>
      </w:rPr>
    </w:lvl>
    <w:lvl w:ilvl="7" w:tplc="67BC2630">
      <w:start w:val="1"/>
      <w:numFmt w:val="bullet"/>
      <w:lvlText w:val="o"/>
      <w:lvlJc w:val="left"/>
      <w:pPr>
        <w:tabs>
          <w:tab w:val="num" w:pos="5760"/>
        </w:tabs>
        <w:ind w:left="5760" w:hanging="360"/>
      </w:pPr>
      <w:rPr>
        <w:rFonts w:ascii="Courier New" w:hAnsi="Courier New"/>
      </w:rPr>
    </w:lvl>
    <w:lvl w:ilvl="8" w:tplc="749CEB46">
      <w:start w:val="1"/>
      <w:numFmt w:val="bullet"/>
      <w:lvlText w:val=""/>
      <w:lvlJc w:val="left"/>
      <w:pPr>
        <w:tabs>
          <w:tab w:val="num" w:pos="6480"/>
        </w:tabs>
        <w:ind w:left="6480" w:hanging="360"/>
      </w:pPr>
      <w:rPr>
        <w:rFonts w:ascii="Wingdings" w:hAnsi="Wingdings"/>
      </w:rPr>
    </w:lvl>
  </w:abstractNum>
  <w:abstractNum w:abstractNumId="478" w15:restartNumberingAfterBreak="0">
    <w:nsid w:val="722306A0"/>
    <w:multiLevelType w:val="hybridMultilevel"/>
    <w:tmpl w:val="722306A0"/>
    <w:lvl w:ilvl="0" w:tplc="71E6E1D6">
      <w:start w:val="1"/>
      <w:numFmt w:val="bullet"/>
      <w:lvlText w:val=""/>
      <w:lvlJc w:val="left"/>
      <w:pPr>
        <w:ind w:left="720" w:hanging="360"/>
      </w:pPr>
      <w:rPr>
        <w:rFonts w:ascii="Symbol" w:hAnsi="Symbol"/>
      </w:rPr>
    </w:lvl>
    <w:lvl w:ilvl="1" w:tplc="4E684F42">
      <w:start w:val="1"/>
      <w:numFmt w:val="bullet"/>
      <w:lvlText w:val="o"/>
      <w:lvlJc w:val="left"/>
      <w:pPr>
        <w:tabs>
          <w:tab w:val="num" w:pos="1440"/>
        </w:tabs>
        <w:ind w:left="1440" w:hanging="360"/>
      </w:pPr>
      <w:rPr>
        <w:rFonts w:ascii="Courier New" w:hAnsi="Courier New"/>
      </w:rPr>
    </w:lvl>
    <w:lvl w:ilvl="2" w:tplc="064AB422">
      <w:start w:val="1"/>
      <w:numFmt w:val="bullet"/>
      <w:lvlText w:val=""/>
      <w:lvlJc w:val="left"/>
      <w:pPr>
        <w:tabs>
          <w:tab w:val="num" w:pos="2160"/>
        </w:tabs>
        <w:ind w:left="2160" w:hanging="360"/>
      </w:pPr>
      <w:rPr>
        <w:rFonts w:ascii="Wingdings" w:hAnsi="Wingdings"/>
      </w:rPr>
    </w:lvl>
    <w:lvl w:ilvl="3" w:tplc="24A43502">
      <w:start w:val="1"/>
      <w:numFmt w:val="bullet"/>
      <w:lvlText w:val=""/>
      <w:lvlJc w:val="left"/>
      <w:pPr>
        <w:tabs>
          <w:tab w:val="num" w:pos="2880"/>
        </w:tabs>
        <w:ind w:left="2880" w:hanging="360"/>
      </w:pPr>
      <w:rPr>
        <w:rFonts w:ascii="Symbol" w:hAnsi="Symbol"/>
      </w:rPr>
    </w:lvl>
    <w:lvl w:ilvl="4" w:tplc="0DE8F818">
      <w:start w:val="1"/>
      <w:numFmt w:val="bullet"/>
      <w:lvlText w:val="o"/>
      <w:lvlJc w:val="left"/>
      <w:pPr>
        <w:tabs>
          <w:tab w:val="num" w:pos="3600"/>
        </w:tabs>
        <w:ind w:left="3600" w:hanging="360"/>
      </w:pPr>
      <w:rPr>
        <w:rFonts w:ascii="Courier New" w:hAnsi="Courier New"/>
      </w:rPr>
    </w:lvl>
    <w:lvl w:ilvl="5" w:tplc="547C9394">
      <w:start w:val="1"/>
      <w:numFmt w:val="bullet"/>
      <w:lvlText w:val=""/>
      <w:lvlJc w:val="left"/>
      <w:pPr>
        <w:tabs>
          <w:tab w:val="num" w:pos="4320"/>
        </w:tabs>
        <w:ind w:left="4320" w:hanging="360"/>
      </w:pPr>
      <w:rPr>
        <w:rFonts w:ascii="Wingdings" w:hAnsi="Wingdings"/>
      </w:rPr>
    </w:lvl>
    <w:lvl w:ilvl="6" w:tplc="2CDEBCF6">
      <w:start w:val="1"/>
      <w:numFmt w:val="bullet"/>
      <w:lvlText w:val=""/>
      <w:lvlJc w:val="left"/>
      <w:pPr>
        <w:tabs>
          <w:tab w:val="num" w:pos="5040"/>
        </w:tabs>
        <w:ind w:left="5040" w:hanging="360"/>
      </w:pPr>
      <w:rPr>
        <w:rFonts w:ascii="Symbol" w:hAnsi="Symbol"/>
      </w:rPr>
    </w:lvl>
    <w:lvl w:ilvl="7" w:tplc="C122C35C">
      <w:start w:val="1"/>
      <w:numFmt w:val="bullet"/>
      <w:lvlText w:val="o"/>
      <w:lvlJc w:val="left"/>
      <w:pPr>
        <w:tabs>
          <w:tab w:val="num" w:pos="5760"/>
        </w:tabs>
        <w:ind w:left="5760" w:hanging="360"/>
      </w:pPr>
      <w:rPr>
        <w:rFonts w:ascii="Courier New" w:hAnsi="Courier New"/>
      </w:rPr>
    </w:lvl>
    <w:lvl w:ilvl="8" w:tplc="1730D664">
      <w:start w:val="1"/>
      <w:numFmt w:val="bullet"/>
      <w:lvlText w:val=""/>
      <w:lvlJc w:val="left"/>
      <w:pPr>
        <w:tabs>
          <w:tab w:val="num" w:pos="6480"/>
        </w:tabs>
        <w:ind w:left="6480" w:hanging="360"/>
      </w:pPr>
      <w:rPr>
        <w:rFonts w:ascii="Wingdings" w:hAnsi="Wingdings"/>
      </w:rPr>
    </w:lvl>
  </w:abstractNum>
  <w:abstractNum w:abstractNumId="479" w15:restartNumberingAfterBreak="0">
    <w:nsid w:val="722306A1"/>
    <w:multiLevelType w:val="hybridMultilevel"/>
    <w:tmpl w:val="722306A1"/>
    <w:lvl w:ilvl="0" w:tplc="9AF2B5CE">
      <w:start w:val="1"/>
      <w:numFmt w:val="bullet"/>
      <w:lvlText w:val=""/>
      <w:lvlJc w:val="left"/>
      <w:pPr>
        <w:ind w:left="720" w:hanging="360"/>
      </w:pPr>
      <w:rPr>
        <w:rFonts w:ascii="Symbol" w:hAnsi="Symbol"/>
      </w:rPr>
    </w:lvl>
    <w:lvl w:ilvl="1" w:tplc="1AFA34B6">
      <w:start w:val="1"/>
      <w:numFmt w:val="bullet"/>
      <w:lvlText w:val="o"/>
      <w:lvlJc w:val="left"/>
      <w:pPr>
        <w:tabs>
          <w:tab w:val="num" w:pos="1440"/>
        </w:tabs>
        <w:ind w:left="1440" w:hanging="360"/>
      </w:pPr>
      <w:rPr>
        <w:rFonts w:ascii="Courier New" w:hAnsi="Courier New"/>
      </w:rPr>
    </w:lvl>
    <w:lvl w:ilvl="2" w:tplc="7D245D44">
      <w:start w:val="1"/>
      <w:numFmt w:val="bullet"/>
      <w:lvlText w:val=""/>
      <w:lvlJc w:val="left"/>
      <w:pPr>
        <w:tabs>
          <w:tab w:val="num" w:pos="2160"/>
        </w:tabs>
        <w:ind w:left="2160" w:hanging="360"/>
      </w:pPr>
      <w:rPr>
        <w:rFonts w:ascii="Wingdings" w:hAnsi="Wingdings"/>
      </w:rPr>
    </w:lvl>
    <w:lvl w:ilvl="3" w:tplc="5DC49C00">
      <w:start w:val="1"/>
      <w:numFmt w:val="bullet"/>
      <w:lvlText w:val=""/>
      <w:lvlJc w:val="left"/>
      <w:pPr>
        <w:tabs>
          <w:tab w:val="num" w:pos="2880"/>
        </w:tabs>
        <w:ind w:left="2880" w:hanging="360"/>
      </w:pPr>
      <w:rPr>
        <w:rFonts w:ascii="Symbol" w:hAnsi="Symbol"/>
      </w:rPr>
    </w:lvl>
    <w:lvl w:ilvl="4" w:tplc="5A807424">
      <w:start w:val="1"/>
      <w:numFmt w:val="bullet"/>
      <w:lvlText w:val="o"/>
      <w:lvlJc w:val="left"/>
      <w:pPr>
        <w:tabs>
          <w:tab w:val="num" w:pos="3600"/>
        </w:tabs>
        <w:ind w:left="3600" w:hanging="360"/>
      </w:pPr>
      <w:rPr>
        <w:rFonts w:ascii="Courier New" w:hAnsi="Courier New"/>
      </w:rPr>
    </w:lvl>
    <w:lvl w:ilvl="5" w:tplc="246ED8B8">
      <w:start w:val="1"/>
      <w:numFmt w:val="bullet"/>
      <w:lvlText w:val=""/>
      <w:lvlJc w:val="left"/>
      <w:pPr>
        <w:tabs>
          <w:tab w:val="num" w:pos="4320"/>
        </w:tabs>
        <w:ind w:left="4320" w:hanging="360"/>
      </w:pPr>
      <w:rPr>
        <w:rFonts w:ascii="Wingdings" w:hAnsi="Wingdings"/>
      </w:rPr>
    </w:lvl>
    <w:lvl w:ilvl="6" w:tplc="9A9CCF44">
      <w:start w:val="1"/>
      <w:numFmt w:val="bullet"/>
      <w:lvlText w:val=""/>
      <w:lvlJc w:val="left"/>
      <w:pPr>
        <w:tabs>
          <w:tab w:val="num" w:pos="5040"/>
        </w:tabs>
        <w:ind w:left="5040" w:hanging="360"/>
      </w:pPr>
      <w:rPr>
        <w:rFonts w:ascii="Symbol" w:hAnsi="Symbol"/>
      </w:rPr>
    </w:lvl>
    <w:lvl w:ilvl="7" w:tplc="058C0486">
      <w:start w:val="1"/>
      <w:numFmt w:val="bullet"/>
      <w:lvlText w:val="o"/>
      <w:lvlJc w:val="left"/>
      <w:pPr>
        <w:tabs>
          <w:tab w:val="num" w:pos="5760"/>
        </w:tabs>
        <w:ind w:left="5760" w:hanging="360"/>
      </w:pPr>
      <w:rPr>
        <w:rFonts w:ascii="Courier New" w:hAnsi="Courier New"/>
      </w:rPr>
    </w:lvl>
    <w:lvl w:ilvl="8" w:tplc="E3826E26">
      <w:start w:val="1"/>
      <w:numFmt w:val="bullet"/>
      <w:lvlText w:val=""/>
      <w:lvlJc w:val="left"/>
      <w:pPr>
        <w:tabs>
          <w:tab w:val="num" w:pos="6480"/>
        </w:tabs>
        <w:ind w:left="6480" w:hanging="360"/>
      </w:pPr>
      <w:rPr>
        <w:rFonts w:ascii="Wingdings" w:hAnsi="Wingdings"/>
      </w:rPr>
    </w:lvl>
  </w:abstractNum>
  <w:abstractNum w:abstractNumId="480" w15:restartNumberingAfterBreak="0">
    <w:nsid w:val="722306A2"/>
    <w:multiLevelType w:val="hybridMultilevel"/>
    <w:tmpl w:val="722306A2"/>
    <w:lvl w:ilvl="0" w:tplc="49965500">
      <w:start w:val="1"/>
      <w:numFmt w:val="bullet"/>
      <w:lvlText w:val=""/>
      <w:lvlJc w:val="left"/>
      <w:pPr>
        <w:ind w:left="720" w:hanging="360"/>
      </w:pPr>
      <w:rPr>
        <w:rFonts w:ascii="Symbol" w:hAnsi="Symbol"/>
      </w:rPr>
    </w:lvl>
    <w:lvl w:ilvl="1" w:tplc="3ADA3AD4">
      <w:start w:val="1"/>
      <w:numFmt w:val="bullet"/>
      <w:lvlText w:val="o"/>
      <w:lvlJc w:val="left"/>
      <w:pPr>
        <w:tabs>
          <w:tab w:val="num" w:pos="1440"/>
        </w:tabs>
        <w:ind w:left="1440" w:hanging="360"/>
      </w:pPr>
      <w:rPr>
        <w:rFonts w:ascii="Courier New" w:hAnsi="Courier New"/>
      </w:rPr>
    </w:lvl>
    <w:lvl w:ilvl="2" w:tplc="3B14DD30">
      <w:start w:val="1"/>
      <w:numFmt w:val="bullet"/>
      <w:lvlText w:val=""/>
      <w:lvlJc w:val="left"/>
      <w:pPr>
        <w:tabs>
          <w:tab w:val="num" w:pos="2160"/>
        </w:tabs>
        <w:ind w:left="2160" w:hanging="360"/>
      </w:pPr>
      <w:rPr>
        <w:rFonts w:ascii="Wingdings" w:hAnsi="Wingdings"/>
      </w:rPr>
    </w:lvl>
    <w:lvl w:ilvl="3" w:tplc="3AF2AF54">
      <w:start w:val="1"/>
      <w:numFmt w:val="bullet"/>
      <w:lvlText w:val=""/>
      <w:lvlJc w:val="left"/>
      <w:pPr>
        <w:tabs>
          <w:tab w:val="num" w:pos="2880"/>
        </w:tabs>
        <w:ind w:left="2880" w:hanging="360"/>
      </w:pPr>
      <w:rPr>
        <w:rFonts w:ascii="Symbol" w:hAnsi="Symbol"/>
      </w:rPr>
    </w:lvl>
    <w:lvl w:ilvl="4" w:tplc="C6149AF8">
      <w:start w:val="1"/>
      <w:numFmt w:val="bullet"/>
      <w:lvlText w:val="o"/>
      <w:lvlJc w:val="left"/>
      <w:pPr>
        <w:tabs>
          <w:tab w:val="num" w:pos="3600"/>
        </w:tabs>
        <w:ind w:left="3600" w:hanging="360"/>
      </w:pPr>
      <w:rPr>
        <w:rFonts w:ascii="Courier New" w:hAnsi="Courier New"/>
      </w:rPr>
    </w:lvl>
    <w:lvl w:ilvl="5" w:tplc="94D67384">
      <w:start w:val="1"/>
      <w:numFmt w:val="bullet"/>
      <w:lvlText w:val=""/>
      <w:lvlJc w:val="left"/>
      <w:pPr>
        <w:tabs>
          <w:tab w:val="num" w:pos="4320"/>
        </w:tabs>
        <w:ind w:left="4320" w:hanging="360"/>
      </w:pPr>
      <w:rPr>
        <w:rFonts w:ascii="Wingdings" w:hAnsi="Wingdings"/>
      </w:rPr>
    </w:lvl>
    <w:lvl w:ilvl="6" w:tplc="F81C0706">
      <w:start w:val="1"/>
      <w:numFmt w:val="bullet"/>
      <w:lvlText w:val=""/>
      <w:lvlJc w:val="left"/>
      <w:pPr>
        <w:tabs>
          <w:tab w:val="num" w:pos="5040"/>
        </w:tabs>
        <w:ind w:left="5040" w:hanging="360"/>
      </w:pPr>
      <w:rPr>
        <w:rFonts w:ascii="Symbol" w:hAnsi="Symbol"/>
      </w:rPr>
    </w:lvl>
    <w:lvl w:ilvl="7" w:tplc="AD320152">
      <w:start w:val="1"/>
      <w:numFmt w:val="bullet"/>
      <w:lvlText w:val="o"/>
      <w:lvlJc w:val="left"/>
      <w:pPr>
        <w:tabs>
          <w:tab w:val="num" w:pos="5760"/>
        </w:tabs>
        <w:ind w:left="5760" w:hanging="360"/>
      </w:pPr>
      <w:rPr>
        <w:rFonts w:ascii="Courier New" w:hAnsi="Courier New"/>
      </w:rPr>
    </w:lvl>
    <w:lvl w:ilvl="8" w:tplc="23C0D7EE">
      <w:start w:val="1"/>
      <w:numFmt w:val="bullet"/>
      <w:lvlText w:val=""/>
      <w:lvlJc w:val="left"/>
      <w:pPr>
        <w:tabs>
          <w:tab w:val="num" w:pos="6480"/>
        </w:tabs>
        <w:ind w:left="6480" w:hanging="360"/>
      </w:pPr>
      <w:rPr>
        <w:rFonts w:ascii="Wingdings" w:hAnsi="Wingdings"/>
      </w:rPr>
    </w:lvl>
  </w:abstractNum>
  <w:abstractNum w:abstractNumId="481" w15:restartNumberingAfterBreak="0">
    <w:nsid w:val="722306A3"/>
    <w:multiLevelType w:val="hybridMultilevel"/>
    <w:tmpl w:val="722306A3"/>
    <w:lvl w:ilvl="0" w:tplc="E65AC36A">
      <w:start w:val="1"/>
      <w:numFmt w:val="bullet"/>
      <w:lvlText w:val=""/>
      <w:lvlJc w:val="left"/>
      <w:pPr>
        <w:tabs>
          <w:tab w:val="num" w:pos="720"/>
        </w:tabs>
        <w:ind w:left="720" w:hanging="360"/>
      </w:pPr>
      <w:rPr>
        <w:rFonts w:ascii="Symbol" w:hAnsi="Symbol"/>
      </w:rPr>
    </w:lvl>
    <w:lvl w:ilvl="1" w:tplc="4F587C52">
      <w:start w:val="1"/>
      <w:numFmt w:val="bullet"/>
      <w:lvlText w:val="o"/>
      <w:lvlJc w:val="left"/>
      <w:pPr>
        <w:tabs>
          <w:tab w:val="num" w:pos="1440"/>
        </w:tabs>
        <w:ind w:left="1440" w:hanging="360"/>
      </w:pPr>
      <w:rPr>
        <w:rFonts w:ascii="Courier New" w:hAnsi="Courier New"/>
      </w:rPr>
    </w:lvl>
    <w:lvl w:ilvl="2" w:tplc="EE5A8708">
      <w:start w:val="1"/>
      <w:numFmt w:val="bullet"/>
      <w:lvlText w:val=""/>
      <w:lvlJc w:val="left"/>
      <w:pPr>
        <w:tabs>
          <w:tab w:val="num" w:pos="2160"/>
        </w:tabs>
        <w:ind w:left="2160" w:hanging="360"/>
      </w:pPr>
      <w:rPr>
        <w:rFonts w:ascii="Wingdings" w:hAnsi="Wingdings"/>
      </w:rPr>
    </w:lvl>
    <w:lvl w:ilvl="3" w:tplc="AF62C15E">
      <w:start w:val="1"/>
      <w:numFmt w:val="bullet"/>
      <w:lvlText w:val=""/>
      <w:lvlJc w:val="left"/>
      <w:pPr>
        <w:tabs>
          <w:tab w:val="num" w:pos="2880"/>
        </w:tabs>
        <w:ind w:left="2880" w:hanging="360"/>
      </w:pPr>
      <w:rPr>
        <w:rFonts w:ascii="Symbol" w:hAnsi="Symbol"/>
      </w:rPr>
    </w:lvl>
    <w:lvl w:ilvl="4" w:tplc="AF5879D6">
      <w:start w:val="1"/>
      <w:numFmt w:val="bullet"/>
      <w:lvlText w:val="o"/>
      <w:lvlJc w:val="left"/>
      <w:pPr>
        <w:tabs>
          <w:tab w:val="num" w:pos="3600"/>
        </w:tabs>
        <w:ind w:left="3600" w:hanging="360"/>
      </w:pPr>
      <w:rPr>
        <w:rFonts w:ascii="Courier New" w:hAnsi="Courier New"/>
      </w:rPr>
    </w:lvl>
    <w:lvl w:ilvl="5" w:tplc="A35802E4">
      <w:start w:val="1"/>
      <w:numFmt w:val="bullet"/>
      <w:lvlText w:val=""/>
      <w:lvlJc w:val="left"/>
      <w:pPr>
        <w:tabs>
          <w:tab w:val="num" w:pos="4320"/>
        </w:tabs>
        <w:ind w:left="4320" w:hanging="360"/>
      </w:pPr>
      <w:rPr>
        <w:rFonts w:ascii="Wingdings" w:hAnsi="Wingdings"/>
      </w:rPr>
    </w:lvl>
    <w:lvl w:ilvl="6" w:tplc="2F2AD84C">
      <w:start w:val="1"/>
      <w:numFmt w:val="bullet"/>
      <w:lvlText w:val=""/>
      <w:lvlJc w:val="left"/>
      <w:pPr>
        <w:tabs>
          <w:tab w:val="num" w:pos="5040"/>
        </w:tabs>
        <w:ind w:left="5040" w:hanging="360"/>
      </w:pPr>
      <w:rPr>
        <w:rFonts w:ascii="Symbol" w:hAnsi="Symbol"/>
      </w:rPr>
    </w:lvl>
    <w:lvl w:ilvl="7" w:tplc="854AF850">
      <w:start w:val="1"/>
      <w:numFmt w:val="bullet"/>
      <w:lvlText w:val="o"/>
      <w:lvlJc w:val="left"/>
      <w:pPr>
        <w:tabs>
          <w:tab w:val="num" w:pos="5760"/>
        </w:tabs>
        <w:ind w:left="5760" w:hanging="360"/>
      </w:pPr>
      <w:rPr>
        <w:rFonts w:ascii="Courier New" w:hAnsi="Courier New"/>
      </w:rPr>
    </w:lvl>
    <w:lvl w:ilvl="8" w:tplc="99561978">
      <w:start w:val="1"/>
      <w:numFmt w:val="bullet"/>
      <w:lvlText w:val=""/>
      <w:lvlJc w:val="left"/>
      <w:pPr>
        <w:tabs>
          <w:tab w:val="num" w:pos="6480"/>
        </w:tabs>
        <w:ind w:left="6480" w:hanging="360"/>
      </w:pPr>
      <w:rPr>
        <w:rFonts w:ascii="Wingdings" w:hAnsi="Wingdings"/>
      </w:rPr>
    </w:lvl>
  </w:abstractNum>
  <w:abstractNum w:abstractNumId="482" w15:restartNumberingAfterBreak="0">
    <w:nsid w:val="722306A4"/>
    <w:multiLevelType w:val="hybridMultilevel"/>
    <w:tmpl w:val="722306A4"/>
    <w:lvl w:ilvl="0" w:tplc="CA8CEFAE">
      <w:start w:val="1"/>
      <w:numFmt w:val="bullet"/>
      <w:lvlText w:val=""/>
      <w:lvlJc w:val="left"/>
      <w:pPr>
        <w:ind w:left="720" w:hanging="360"/>
      </w:pPr>
      <w:rPr>
        <w:rFonts w:ascii="Symbol" w:hAnsi="Symbol"/>
      </w:rPr>
    </w:lvl>
    <w:lvl w:ilvl="1" w:tplc="6770CE50">
      <w:start w:val="1"/>
      <w:numFmt w:val="bullet"/>
      <w:lvlText w:val="o"/>
      <w:lvlJc w:val="left"/>
      <w:pPr>
        <w:tabs>
          <w:tab w:val="num" w:pos="1440"/>
        </w:tabs>
        <w:ind w:left="1440" w:hanging="360"/>
      </w:pPr>
      <w:rPr>
        <w:rFonts w:ascii="Courier New" w:hAnsi="Courier New"/>
      </w:rPr>
    </w:lvl>
    <w:lvl w:ilvl="2" w:tplc="6D5CE37A">
      <w:start w:val="1"/>
      <w:numFmt w:val="bullet"/>
      <w:lvlText w:val=""/>
      <w:lvlJc w:val="left"/>
      <w:pPr>
        <w:tabs>
          <w:tab w:val="num" w:pos="2160"/>
        </w:tabs>
        <w:ind w:left="2160" w:hanging="360"/>
      </w:pPr>
      <w:rPr>
        <w:rFonts w:ascii="Wingdings" w:hAnsi="Wingdings"/>
      </w:rPr>
    </w:lvl>
    <w:lvl w:ilvl="3" w:tplc="74E63516">
      <w:start w:val="1"/>
      <w:numFmt w:val="bullet"/>
      <w:lvlText w:val=""/>
      <w:lvlJc w:val="left"/>
      <w:pPr>
        <w:tabs>
          <w:tab w:val="num" w:pos="2880"/>
        </w:tabs>
        <w:ind w:left="2880" w:hanging="360"/>
      </w:pPr>
      <w:rPr>
        <w:rFonts w:ascii="Symbol" w:hAnsi="Symbol"/>
      </w:rPr>
    </w:lvl>
    <w:lvl w:ilvl="4" w:tplc="F7AE5F68">
      <w:start w:val="1"/>
      <w:numFmt w:val="bullet"/>
      <w:lvlText w:val="o"/>
      <w:lvlJc w:val="left"/>
      <w:pPr>
        <w:tabs>
          <w:tab w:val="num" w:pos="3600"/>
        </w:tabs>
        <w:ind w:left="3600" w:hanging="360"/>
      </w:pPr>
      <w:rPr>
        <w:rFonts w:ascii="Courier New" w:hAnsi="Courier New"/>
      </w:rPr>
    </w:lvl>
    <w:lvl w:ilvl="5" w:tplc="9CAE429C">
      <w:start w:val="1"/>
      <w:numFmt w:val="bullet"/>
      <w:lvlText w:val=""/>
      <w:lvlJc w:val="left"/>
      <w:pPr>
        <w:tabs>
          <w:tab w:val="num" w:pos="4320"/>
        </w:tabs>
        <w:ind w:left="4320" w:hanging="360"/>
      </w:pPr>
      <w:rPr>
        <w:rFonts w:ascii="Wingdings" w:hAnsi="Wingdings"/>
      </w:rPr>
    </w:lvl>
    <w:lvl w:ilvl="6" w:tplc="E9F603F2">
      <w:start w:val="1"/>
      <w:numFmt w:val="bullet"/>
      <w:lvlText w:val=""/>
      <w:lvlJc w:val="left"/>
      <w:pPr>
        <w:tabs>
          <w:tab w:val="num" w:pos="5040"/>
        </w:tabs>
        <w:ind w:left="5040" w:hanging="360"/>
      </w:pPr>
      <w:rPr>
        <w:rFonts w:ascii="Symbol" w:hAnsi="Symbol"/>
      </w:rPr>
    </w:lvl>
    <w:lvl w:ilvl="7" w:tplc="B3B825A2">
      <w:start w:val="1"/>
      <w:numFmt w:val="bullet"/>
      <w:lvlText w:val="o"/>
      <w:lvlJc w:val="left"/>
      <w:pPr>
        <w:tabs>
          <w:tab w:val="num" w:pos="5760"/>
        </w:tabs>
        <w:ind w:left="5760" w:hanging="360"/>
      </w:pPr>
      <w:rPr>
        <w:rFonts w:ascii="Courier New" w:hAnsi="Courier New"/>
      </w:rPr>
    </w:lvl>
    <w:lvl w:ilvl="8" w:tplc="2C68D7B2">
      <w:start w:val="1"/>
      <w:numFmt w:val="bullet"/>
      <w:lvlText w:val=""/>
      <w:lvlJc w:val="left"/>
      <w:pPr>
        <w:tabs>
          <w:tab w:val="num" w:pos="6480"/>
        </w:tabs>
        <w:ind w:left="6480" w:hanging="360"/>
      </w:pPr>
      <w:rPr>
        <w:rFonts w:ascii="Wingdings" w:hAnsi="Wingdings"/>
      </w:rPr>
    </w:lvl>
  </w:abstractNum>
  <w:abstractNum w:abstractNumId="483" w15:restartNumberingAfterBreak="0">
    <w:nsid w:val="722306A5"/>
    <w:multiLevelType w:val="hybridMultilevel"/>
    <w:tmpl w:val="722306A5"/>
    <w:lvl w:ilvl="0" w:tplc="522480DC">
      <w:start w:val="1"/>
      <w:numFmt w:val="bullet"/>
      <w:lvlText w:val=""/>
      <w:lvlJc w:val="left"/>
      <w:pPr>
        <w:ind w:left="720" w:hanging="360"/>
      </w:pPr>
      <w:rPr>
        <w:rFonts w:ascii="Symbol" w:hAnsi="Symbol"/>
      </w:rPr>
    </w:lvl>
    <w:lvl w:ilvl="1" w:tplc="E4FA0170">
      <w:start w:val="1"/>
      <w:numFmt w:val="bullet"/>
      <w:lvlText w:val="o"/>
      <w:lvlJc w:val="left"/>
      <w:pPr>
        <w:tabs>
          <w:tab w:val="num" w:pos="1440"/>
        </w:tabs>
        <w:ind w:left="1440" w:hanging="360"/>
      </w:pPr>
      <w:rPr>
        <w:rFonts w:ascii="Courier New" w:hAnsi="Courier New"/>
      </w:rPr>
    </w:lvl>
    <w:lvl w:ilvl="2" w:tplc="6ACEDC28">
      <w:start w:val="1"/>
      <w:numFmt w:val="bullet"/>
      <w:lvlText w:val=""/>
      <w:lvlJc w:val="left"/>
      <w:pPr>
        <w:tabs>
          <w:tab w:val="num" w:pos="2160"/>
        </w:tabs>
        <w:ind w:left="2160" w:hanging="360"/>
      </w:pPr>
      <w:rPr>
        <w:rFonts w:ascii="Wingdings" w:hAnsi="Wingdings"/>
      </w:rPr>
    </w:lvl>
    <w:lvl w:ilvl="3" w:tplc="8F4E3760">
      <w:start w:val="1"/>
      <w:numFmt w:val="bullet"/>
      <w:lvlText w:val=""/>
      <w:lvlJc w:val="left"/>
      <w:pPr>
        <w:tabs>
          <w:tab w:val="num" w:pos="2880"/>
        </w:tabs>
        <w:ind w:left="2880" w:hanging="360"/>
      </w:pPr>
      <w:rPr>
        <w:rFonts w:ascii="Symbol" w:hAnsi="Symbol"/>
      </w:rPr>
    </w:lvl>
    <w:lvl w:ilvl="4" w:tplc="B494157C">
      <w:start w:val="1"/>
      <w:numFmt w:val="bullet"/>
      <w:lvlText w:val="o"/>
      <w:lvlJc w:val="left"/>
      <w:pPr>
        <w:tabs>
          <w:tab w:val="num" w:pos="3600"/>
        </w:tabs>
        <w:ind w:left="3600" w:hanging="360"/>
      </w:pPr>
      <w:rPr>
        <w:rFonts w:ascii="Courier New" w:hAnsi="Courier New"/>
      </w:rPr>
    </w:lvl>
    <w:lvl w:ilvl="5" w:tplc="8BDACAA2">
      <w:start w:val="1"/>
      <w:numFmt w:val="bullet"/>
      <w:lvlText w:val=""/>
      <w:lvlJc w:val="left"/>
      <w:pPr>
        <w:tabs>
          <w:tab w:val="num" w:pos="4320"/>
        </w:tabs>
        <w:ind w:left="4320" w:hanging="360"/>
      </w:pPr>
      <w:rPr>
        <w:rFonts w:ascii="Wingdings" w:hAnsi="Wingdings"/>
      </w:rPr>
    </w:lvl>
    <w:lvl w:ilvl="6" w:tplc="2C307EA0">
      <w:start w:val="1"/>
      <w:numFmt w:val="bullet"/>
      <w:lvlText w:val=""/>
      <w:lvlJc w:val="left"/>
      <w:pPr>
        <w:tabs>
          <w:tab w:val="num" w:pos="5040"/>
        </w:tabs>
        <w:ind w:left="5040" w:hanging="360"/>
      </w:pPr>
      <w:rPr>
        <w:rFonts w:ascii="Symbol" w:hAnsi="Symbol"/>
      </w:rPr>
    </w:lvl>
    <w:lvl w:ilvl="7" w:tplc="649ADF90">
      <w:start w:val="1"/>
      <w:numFmt w:val="bullet"/>
      <w:lvlText w:val="o"/>
      <w:lvlJc w:val="left"/>
      <w:pPr>
        <w:tabs>
          <w:tab w:val="num" w:pos="5760"/>
        </w:tabs>
        <w:ind w:left="5760" w:hanging="360"/>
      </w:pPr>
      <w:rPr>
        <w:rFonts w:ascii="Courier New" w:hAnsi="Courier New"/>
      </w:rPr>
    </w:lvl>
    <w:lvl w:ilvl="8" w:tplc="4C282254">
      <w:start w:val="1"/>
      <w:numFmt w:val="bullet"/>
      <w:lvlText w:val=""/>
      <w:lvlJc w:val="left"/>
      <w:pPr>
        <w:tabs>
          <w:tab w:val="num" w:pos="6480"/>
        </w:tabs>
        <w:ind w:left="6480" w:hanging="360"/>
      </w:pPr>
      <w:rPr>
        <w:rFonts w:ascii="Wingdings" w:hAnsi="Wingdings"/>
      </w:rPr>
    </w:lvl>
  </w:abstractNum>
  <w:abstractNum w:abstractNumId="484" w15:restartNumberingAfterBreak="0">
    <w:nsid w:val="722306A6"/>
    <w:multiLevelType w:val="hybridMultilevel"/>
    <w:tmpl w:val="722306A6"/>
    <w:lvl w:ilvl="0" w:tplc="80B63FFC">
      <w:start w:val="1"/>
      <w:numFmt w:val="bullet"/>
      <w:lvlText w:val=""/>
      <w:lvlJc w:val="left"/>
      <w:pPr>
        <w:ind w:left="720" w:hanging="360"/>
      </w:pPr>
      <w:rPr>
        <w:rFonts w:ascii="Symbol" w:hAnsi="Symbol"/>
      </w:rPr>
    </w:lvl>
    <w:lvl w:ilvl="1" w:tplc="F22E6C00">
      <w:start w:val="1"/>
      <w:numFmt w:val="bullet"/>
      <w:lvlText w:val="o"/>
      <w:lvlJc w:val="left"/>
      <w:pPr>
        <w:tabs>
          <w:tab w:val="num" w:pos="1440"/>
        </w:tabs>
        <w:ind w:left="1440" w:hanging="360"/>
      </w:pPr>
      <w:rPr>
        <w:rFonts w:ascii="Courier New" w:hAnsi="Courier New"/>
      </w:rPr>
    </w:lvl>
    <w:lvl w:ilvl="2" w:tplc="9E187BF6">
      <w:start w:val="1"/>
      <w:numFmt w:val="bullet"/>
      <w:lvlText w:val=""/>
      <w:lvlJc w:val="left"/>
      <w:pPr>
        <w:tabs>
          <w:tab w:val="num" w:pos="2160"/>
        </w:tabs>
        <w:ind w:left="2160" w:hanging="360"/>
      </w:pPr>
      <w:rPr>
        <w:rFonts w:ascii="Wingdings" w:hAnsi="Wingdings"/>
      </w:rPr>
    </w:lvl>
    <w:lvl w:ilvl="3" w:tplc="F6D8840A">
      <w:start w:val="1"/>
      <w:numFmt w:val="bullet"/>
      <w:lvlText w:val=""/>
      <w:lvlJc w:val="left"/>
      <w:pPr>
        <w:tabs>
          <w:tab w:val="num" w:pos="2880"/>
        </w:tabs>
        <w:ind w:left="2880" w:hanging="360"/>
      </w:pPr>
      <w:rPr>
        <w:rFonts w:ascii="Symbol" w:hAnsi="Symbol"/>
      </w:rPr>
    </w:lvl>
    <w:lvl w:ilvl="4" w:tplc="E4A2BADE">
      <w:start w:val="1"/>
      <w:numFmt w:val="bullet"/>
      <w:lvlText w:val="o"/>
      <w:lvlJc w:val="left"/>
      <w:pPr>
        <w:tabs>
          <w:tab w:val="num" w:pos="3600"/>
        </w:tabs>
        <w:ind w:left="3600" w:hanging="360"/>
      </w:pPr>
      <w:rPr>
        <w:rFonts w:ascii="Courier New" w:hAnsi="Courier New"/>
      </w:rPr>
    </w:lvl>
    <w:lvl w:ilvl="5" w:tplc="55BEF226">
      <w:start w:val="1"/>
      <w:numFmt w:val="bullet"/>
      <w:lvlText w:val=""/>
      <w:lvlJc w:val="left"/>
      <w:pPr>
        <w:tabs>
          <w:tab w:val="num" w:pos="4320"/>
        </w:tabs>
        <w:ind w:left="4320" w:hanging="360"/>
      </w:pPr>
      <w:rPr>
        <w:rFonts w:ascii="Wingdings" w:hAnsi="Wingdings"/>
      </w:rPr>
    </w:lvl>
    <w:lvl w:ilvl="6" w:tplc="663A5BD2">
      <w:start w:val="1"/>
      <w:numFmt w:val="bullet"/>
      <w:lvlText w:val=""/>
      <w:lvlJc w:val="left"/>
      <w:pPr>
        <w:tabs>
          <w:tab w:val="num" w:pos="5040"/>
        </w:tabs>
        <w:ind w:left="5040" w:hanging="360"/>
      </w:pPr>
      <w:rPr>
        <w:rFonts w:ascii="Symbol" w:hAnsi="Symbol"/>
      </w:rPr>
    </w:lvl>
    <w:lvl w:ilvl="7" w:tplc="E6446ED8">
      <w:start w:val="1"/>
      <w:numFmt w:val="bullet"/>
      <w:lvlText w:val="o"/>
      <w:lvlJc w:val="left"/>
      <w:pPr>
        <w:tabs>
          <w:tab w:val="num" w:pos="5760"/>
        </w:tabs>
        <w:ind w:left="5760" w:hanging="360"/>
      </w:pPr>
      <w:rPr>
        <w:rFonts w:ascii="Courier New" w:hAnsi="Courier New"/>
      </w:rPr>
    </w:lvl>
    <w:lvl w:ilvl="8" w:tplc="CAA0D736">
      <w:start w:val="1"/>
      <w:numFmt w:val="bullet"/>
      <w:lvlText w:val=""/>
      <w:lvlJc w:val="left"/>
      <w:pPr>
        <w:tabs>
          <w:tab w:val="num" w:pos="6480"/>
        </w:tabs>
        <w:ind w:left="6480" w:hanging="360"/>
      </w:pPr>
      <w:rPr>
        <w:rFonts w:ascii="Wingdings" w:hAnsi="Wingdings"/>
      </w:rPr>
    </w:lvl>
  </w:abstractNum>
  <w:abstractNum w:abstractNumId="485" w15:restartNumberingAfterBreak="0">
    <w:nsid w:val="722306A7"/>
    <w:multiLevelType w:val="hybridMultilevel"/>
    <w:tmpl w:val="722306A7"/>
    <w:lvl w:ilvl="0" w:tplc="AFD88A2E">
      <w:start w:val="1"/>
      <w:numFmt w:val="bullet"/>
      <w:lvlText w:val=""/>
      <w:lvlJc w:val="left"/>
      <w:pPr>
        <w:tabs>
          <w:tab w:val="num" w:pos="720"/>
        </w:tabs>
        <w:ind w:left="720" w:hanging="360"/>
      </w:pPr>
      <w:rPr>
        <w:rFonts w:ascii="Symbol" w:hAnsi="Symbol"/>
      </w:rPr>
    </w:lvl>
    <w:lvl w:ilvl="1" w:tplc="7166EF44">
      <w:start w:val="1"/>
      <w:numFmt w:val="bullet"/>
      <w:lvlText w:val="o"/>
      <w:lvlJc w:val="left"/>
      <w:pPr>
        <w:tabs>
          <w:tab w:val="num" w:pos="1440"/>
        </w:tabs>
        <w:ind w:left="1440" w:hanging="360"/>
      </w:pPr>
      <w:rPr>
        <w:rFonts w:ascii="Courier New" w:hAnsi="Courier New"/>
      </w:rPr>
    </w:lvl>
    <w:lvl w:ilvl="2" w:tplc="968A9606">
      <w:start w:val="1"/>
      <w:numFmt w:val="bullet"/>
      <w:lvlText w:val=""/>
      <w:lvlJc w:val="left"/>
      <w:pPr>
        <w:tabs>
          <w:tab w:val="num" w:pos="2160"/>
        </w:tabs>
        <w:ind w:left="2160" w:hanging="360"/>
      </w:pPr>
      <w:rPr>
        <w:rFonts w:ascii="Wingdings" w:hAnsi="Wingdings"/>
      </w:rPr>
    </w:lvl>
    <w:lvl w:ilvl="3" w:tplc="F13E9674">
      <w:start w:val="1"/>
      <w:numFmt w:val="bullet"/>
      <w:lvlText w:val=""/>
      <w:lvlJc w:val="left"/>
      <w:pPr>
        <w:tabs>
          <w:tab w:val="num" w:pos="2880"/>
        </w:tabs>
        <w:ind w:left="2880" w:hanging="360"/>
      </w:pPr>
      <w:rPr>
        <w:rFonts w:ascii="Symbol" w:hAnsi="Symbol"/>
      </w:rPr>
    </w:lvl>
    <w:lvl w:ilvl="4" w:tplc="57E8BFE0">
      <w:start w:val="1"/>
      <w:numFmt w:val="bullet"/>
      <w:lvlText w:val="o"/>
      <w:lvlJc w:val="left"/>
      <w:pPr>
        <w:tabs>
          <w:tab w:val="num" w:pos="3600"/>
        </w:tabs>
        <w:ind w:left="3600" w:hanging="360"/>
      </w:pPr>
      <w:rPr>
        <w:rFonts w:ascii="Courier New" w:hAnsi="Courier New"/>
      </w:rPr>
    </w:lvl>
    <w:lvl w:ilvl="5" w:tplc="AA4EDC1E">
      <w:start w:val="1"/>
      <w:numFmt w:val="bullet"/>
      <w:lvlText w:val=""/>
      <w:lvlJc w:val="left"/>
      <w:pPr>
        <w:tabs>
          <w:tab w:val="num" w:pos="4320"/>
        </w:tabs>
        <w:ind w:left="4320" w:hanging="360"/>
      </w:pPr>
      <w:rPr>
        <w:rFonts w:ascii="Wingdings" w:hAnsi="Wingdings"/>
      </w:rPr>
    </w:lvl>
    <w:lvl w:ilvl="6" w:tplc="116012C2">
      <w:start w:val="1"/>
      <w:numFmt w:val="bullet"/>
      <w:lvlText w:val=""/>
      <w:lvlJc w:val="left"/>
      <w:pPr>
        <w:tabs>
          <w:tab w:val="num" w:pos="5040"/>
        </w:tabs>
        <w:ind w:left="5040" w:hanging="360"/>
      </w:pPr>
      <w:rPr>
        <w:rFonts w:ascii="Symbol" w:hAnsi="Symbol"/>
      </w:rPr>
    </w:lvl>
    <w:lvl w:ilvl="7" w:tplc="05EC81AA">
      <w:start w:val="1"/>
      <w:numFmt w:val="bullet"/>
      <w:lvlText w:val="o"/>
      <w:lvlJc w:val="left"/>
      <w:pPr>
        <w:tabs>
          <w:tab w:val="num" w:pos="5760"/>
        </w:tabs>
        <w:ind w:left="5760" w:hanging="360"/>
      </w:pPr>
      <w:rPr>
        <w:rFonts w:ascii="Courier New" w:hAnsi="Courier New"/>
      </w:rPr>
    </w:lvl>
    <w:lvl w:ilvl="8" w:tplc="F446ACF8">
      <w:start w:val="1"/>
      <w:numFmt w:val="bullet"/>
      <w:lvlText w:val=""/>
      <w:lvlJc w:val="left"/>
      <w:pPr>
        <w:tabs>
          <w:tab w:val="num" w:pos="6480"/>
        </w:tabs>
        <w:ind w:left="6480" w:hanging="360"/>
      </w:pPr>
      <w:rPr>
        <w:rFonts w:ascii="Wingdings" w:hAnsi="Wingdings"/>
      </w:rPr>
    </w:lvl>
  </w:abstractNum>
  <w:abstractNum w:abstractNumId="486" w15:restartNumberingAfterBreak="0">
    <w:nsid w:val="722306A8"/>
    <w:multiLevelType w:val="hybridMultilevel"/>
    <w:tmpl w:val="722306A8"/>
    <w:lvl w:ilvl="0" w:tplc="5F78F5BA">
      <w:start w:val="1"/>
      <w:numFmt w:val="bullet"/>
      <w:lvlText w:val=""/>
      <w:lvlJc w:val="left"/>
      <w:pPr>
        <w:ind w:left="720" w:hanging="360"/>
      </w:pPr>
      <w:rPr>
        <w:rFonts w:ascii="Symbol" w:hAnsi="Symbol"/>
      </w:rPr>
    </w:lvl>
    <w:lvl w:ilvl="1" w:tplc="66AA0AD4">
      <w:start w:val="1"/>
      <w:numFmt w:val="bullet"/>
      <w:lvlText w:val="o"/>
      <w:lvlJc w:val="left"/>
      <w:pPr>
        <w:tabs>
          <w:tab w:val="num" w:pos="1440"/>
        </w:tabs>
        <w:ind w:left="1440" w:hanging="360"/>
      </w:pPr>
      <w:rPr>
        <w:rFonts w:ascii="Courier New" w:hAnsi="Courier New"/>
      </w:rPr>
    </w:lvl>
    <w:lvl w:ilvl="2" w:tplc="E35A9EF0">
      <w:start w:val="1"/>
      <w:numFmt w:val="bullet"/>
      <w:lvlText w:val=""/>
      <w:lvlJc w:val="left"/>
      <w:pPr>
        <w:tabs>
          <w:tab w:val="num" w:pos="2160"/>
        </w:tabs>
        <w:ind w:left="2160" w:hanging="360"/>
      </w:pPr>
      <w:rPr>
        <w:rFonts w:ascii="Wingdings" w:hAnsi="Wingdings"/>
      </w:rPr>
    </w:lvl>
    <w:lvl w:ilvl="3" w:tplc="D8B2B8F8">
      <w:start w:val="1"/>
      <w:numFmt w:val="bullet"/>
      <w:lvlText w:val=""/>
      <w:lvlJc w:val="left"/>
      <w:pPr>
        <w:tabs>
          <w:tab w:val="num" w:pos="2880"/>
        </w:tabs>
        <w:ind w:left="2880" w:hanging="360"/>
      </w:pPr>
      <w:rPr>
        <w:rFonts w:ascii="Symbol" w:hAnsi="Symbol"/>
      </w:rPr>
    </w:lvl>
    <w:lvl w:ilvl="4" w:tplc="85020A2C">
      <w:start w:val="1"/>
      <w:numFmt w:val="bullet"/>
      <w:lvlText w:val="o"/>
      <w:lvlJc w:val="left"/>
      <w:pPr>
        <w:tabs>
          <w:tab w:val="num" w:pos="3600"/>
        </w:tabs>
        <w:ind w:left="3600" w:hanging="360"/>
      </w:pPr>
      <w:rPr>
        <w:rFonts w:ascii="Courier New" w:hAnsi="Courier New"/>
      </w:rPr>
    </w:lvl>
    <w:lvl w:ilvl="5" w:tplc="8F1A82E6">
      <w:start w:val="1"/>
      <w:numFmt w:val="bullet"/>
      <w:lvlText w:val=""/>
      <w:lvlJc w:val="left"/>
      <w:pPr>
        <w:tabs>
          <w:tab w:val="num" w:pos="4320"/>
        </w:tabs>
        <w:ind w:left="4320" w:hanging="360"/>
      </w:pPr>
      <w:rPr>
        <w:rFonts w:ascii="Wingdings" w:hAnsi="Wingdings"/>
      </w:rPr>
    </w:lvl>
    <w:lvl w:ilvl="6" w:tplc="11649CDA">
      <w:start w:val="1"/>
      <w:numFmt w:val="bullet"/>
      <w:lvlText w:val=""/>
      <w:lvlJc w:val="left"/>
      <w:pPr>
        <w:tabs>
          <w:tab w:val="num" w:pos="5040"/>
        </w:tabs>
        <w:ind w:left="5040" w:hanging="360"/>
      </w:pPr>
      <w:rPr>
        <w:rFonts w:ascii="Symbol" w:hAnsi="Symbol"/>
      </w:rPr>
    </w:lvl>
    <w:lvl w:ilvl="7" w:tplc="FD9CEDF0">
      <w:start w:val="1"/>
      <w:numFmt w:val="bullet"/>
      <w:lvlText w:val="o"/>
      <w:lvlJc w:val="left"/>
      <w:pPr>
        <w:tabs>
          <w:tab w:val="num" w:pos="5760"/>
        </w:tabs>
        <w:ind w:left="5760" w:hanging="360"/>
      </w:pPr>
      <w:rPr>
        <w:rFonts w:ascii="Courier New" w:hAnsi="Courier New"/>
      </w:rPr>
    </w:lvl>
    <w:lvl w:ilvl="8" w:tplc="B782AD46">
      <w:start w:val="1"/>
      <w:numFmt w:val="bullet"/>
      <w:lvlText w:val=""/>
      <w:lvlJc w:val="left"/>
      <w:pPr>
        <w:tabs>
          <w:tab w:val="num" w:pos="6480"/>
        </w:tabs>
        <w:ind w:left="6480" w:hanging="360"/>
      </w:pPr>
      <w:rPr>
        <w:rFonts w:ascii="Wingdings" w:hAnsi="Wingdings"/>
      </w:rPr>
    </w:lvl>
  </w:abstractNum>
  <w:abstractNum w:abstractNumId="487" w15:restartNumberingAfterBreak="0">
    <w:nsid w:val="722306A9"/>
    <w:multiLevelType w:val="hybridMultilevel"/>
    <w:tmpl w:val="722306A9"/>
    <w:lvl w:ilvl="0" w:tplc="B52E1514">
      <w:start w:val="1"/>
      <w:numFmt w:val="bullet"/>
      <w:lvlText w:val=""/>
      <w:lvlJc w:val="left"/>
      <w:pPr>
        <w:ind w:left="720" w:hanging="360"/>
      </w:pPr>
      <w:rPr>
        <w:rFonts w:ascii="Symbol" w:hAnsi="Symbol"/>
      </w:rPr>
    </w:lvl>
    <w:lvl w:ilvl="1" w:tplc="14A4163C">
      <w:start w:val="1"/>
      <w:numFmt w:val="bullet"/>
      <w:lvlText w:val="o"/>
      <w:lvlJc w:val="left"/>
      <w:pPr>
        <w:tabs>
          <w:tab w:val="num" w:pos="1440"/>
        </w:tabs>
        <w:ind w:left="1440" w:hanging="360"/>
      </w:pPr>
      <w:rPr>
        <w:rFonts w:ascii="Courier New" w:hAnsi="Courier New"/>
      </w:rPr>
    </w:lvl>
    <w:lvl w:ilvl="2" w:tplc="7F82231E">
      <w:start w:val="1"/>
      <w:numFmt w:val="bullet"/>
      <w:lvlText w:val=""/>
      <w:lvlJc w:val="left"/>
      <w:pPr>
        <w:tabs>
          <w:tab w:val="num" w:pos="2160"/>
        </w:tabs>
        <w:ind w:left="2160" w:hanging="360"/>
      </w:pPr>
      <w:rPr>
        <w:rFonts w:ascii="Wingdings" w:hAnsi="Wingdings"/>
      </w:rPr>
    </w:lvl>
    <w:lvl w:ilvl="3" w:tplc="BCC67B5C">
      <w:start w:val="1"/>
      <w:numFmt w:val="bullet"/>
      <w:lvlText w:val=""/>
      <w:lvlJc w:val="left"/>
      <w:pPr>
        <w:tabs>
          <w:tab w:val="num" w:pos="2880"/>
        </w:tabs>
        <w:ind w:left="2880" w:hanging="360"/>
      </w:pPr>
      <w:rPr>
        <w:rFonts w:ascii="Symbol" w:hAnsi="Symbol"/>
      </w:rPr>
    </w:lvl>
    <w:lvl w:ilvl="4" w:tplc="EC7CCF70">
      <w:start w:val="1"/>
      <w:numFmt w:val="bullet"/>
      <w:lvlText w:val="o"/>
      <w:lvlJc w:val="left"/>
      <w:pPr>
        <w:tabs>
          <w:tab w:val="num" w:pos="3600"/>
        </w:tabs>
        <w:ind w:left="3600" w:hanging="360"/>
      </w:pPr>
      <w:rPr>
        <w:rFonts w:ascii="Courier New" w:hAnsi="Courier New"/>
      </w:rPr>
    </w:lvl>
    <w:lvl w:ilvl="5" w:tplc="745C652A">
      <w:start w:val="1"/>
      <w:numFmt w:val="bullet"/>
      <w:lvlText w:val=""/>
      <w:lvlJc w:val="left"/>
      <w:pPr>
        <w:tabs>
          <w:tab w:val="num" w:pos="4320"/>
        </w:tabs>
        <w:ind w:left="4320" w:hanging="360"/>
      </w:pPr>
      <w:rPr>
        <w:rFonts w:ascii="Wingdings" w:hAnsi="Wingdings"/>
      </w:rPr>
    </w:lvl>
    <w:lvl w:ilvl="6" w:tplc="535A348C">
      <w:start w:val="1"/>
      <w:numFmt w:val="bullet"/>
      <w:lvlText w:val=""/>
      <w:lvlJc w:val="left"/>
      <w:pPr>
        <w:tabs>
          <w:tab w:val="num" w:pos="5040"/>
        </w:tabs>
        <w:ind w:left="5040" w:hanging="360"/>
      </w:pPr>
      <w:rPr>
        <w:rFonts w:ascii="Symbol" w:hAnsi="Symbol"/>
      </w:rPr>
    </w:lvl>
    <w:lvl w:ilvl="7" w:tplc="5D5031C2">
      <w:start w:val="1"/>
      <w:numFmt w:val="bullet"/>
      <w:lvlText w:val="o"/>
      <w:lvlJc w:val="left"/>
      <w:pPr>
        <w:tabs>
          <w:tab w:val="num" w:pos="5760"/>
        </w:tabs>
        <w:ind w:left="5760" w:hanging="360"/>
      </w:pPr>
      <w:rPr>
        <w:rFonts w:ascii="Courier New" w:hAnsi="Courier New"/>
      </w:rPr>
    </w:lvl>
    <w:lvl w:ilvl="8" w:tplc="5F92F9AE">
      <w:start w:val="1"/>
      <w:numFmt w:val="bullet"/>
      <w:lvlText w:val=""/>
      <w:lvlJc w:val="left"/>
      <w:pPr>
        <w:tabs>
          <w:tab w:val="num" w:pos="6480"/>
        </w:tabs>
        <w:ind w:left="6480" w:hanging="360"/>
      </w:pPr>
      <w:rPr>
        <w:rFonts w:ascii="Wingdings" w:hAnsi="Wingdings"/>
      </w:rPr>
    </w:lvl>
  </w:abstractNum>
  <w:abstractNum w:abstractNumId="488" w15:restartNumberingAfterBreak="0">
    <w:nsid w:val="722306AA"/>
    <w:multiLevelType w:val="hybridMultilevel"/>
    <w:tmpl w:val="722306AA"/>
    <w:lvl w:ilvl="0" w:tplc="DE749CBA">
      <w:start w:val="1"/>
      <w:numFmt w:val="bullet"/>
      <w:lvlText w:val=""/>
      <w:lvlJc w:val="left"/>
      <w:pPr>
        <w:ind w:left="720" w:hanging="360"/>
      </w:pPr>
      <w:rPr>
        <w:rFonts w:ascii="Symbol" w:hAnsi="Symbol"/>
      </w:rPr>
    </w:lvl>
    <w:lvl w:ilvl="1" w:tplc="19E237E4">
      <w:start w:val="1"/>
      <w:numFmt w:val="bullet"/>
      <w:lvlText w:val="o"/>
      <w:lvlJc w:val="left"/>
      <w:pPr>
        <w:tabs>
          <w:tab w:val="num" w:pos="1440"/>
        </w:tabs>
        <w:ind w:left="1440" w:hanging="360"/>
      </w:pPr>
      <w:rPr>
        <w:rFonts w:ascii="Courier New" w:hAnsi="Courier New"/>
      </w:rPr>
    </w:lvl>
    <w:lvl w:ilvl="2" w:tplc="746CDB14">
      <w:start w:val="1"/>
      <w:numFmt w:val="bullet"/>
      <w:lvlText w:val=""/>
      <w:lvlJc w:val="left"/>
      <w:pPr>
        <w:tabs>
          <w:tab w:val="num" w:pos="2160"/>
        </w:tabs>
        <w:ind w:left="2160" w:hanging="360"/>
      </w:pPr>
      <w:rPr>
        <w:rFonts w:ascii="Wingdings" w:hAnsi="Wingdings"/>
      </w:rPr>
    </w:lvl>
    <w:lvl w:ilvl="3" w:tplc="4CD05078">
      <w:start w:val="1"/>
      <w:numFmt w:val="bullet"/>
      <w:lvlText w:val=""/>
      <w:lvlJc w:val="left"/>
      <w:pPr>
        <w:tabs>
          <w:tab w:val="num" w:pos="2880"/>
        </w:tabs>
        <w:ind w:left="2880" w:hanging="360"/>
      </w:pPr>
      <w:rPr>
        <w:rFonts w:ascii="Symbol" w:hAnsi="Symbol"/>
      </w:rPr>
    </w:lvl>
    <w:lvl w:ilvl="4" w:tplc="8DCEB3AE">
      <w:start w:val="1"/>
      <w:numFmt w:val="bullet"/>
      <w:lvlText w:val="o"/>
      <w:lvlJc w:val="left"/>
      <w:pPr>
        <w:tabs>
          <w:tab w:val="num" w:pos="3600"/>
        </w:tabs>
        <w:ind w:left="3600" w:hanging="360"/>
      </w:pPr>
      <w:rPr>
        <w:rFonts w:ascii="Courier New" w:hAnsi="Courier New"/>
      </w:rPr>
    </w:lvl>
    <w:lvl w:ilvl="5" w:tplc="C76C13CA">
      <w:start w:val="1"/>
      <w:numFmt w:val="bullet"/>
      <w:lvlText w:val=""/>
      <w:lvlJc w:val="left"/>
      <w:pPr>
        <w:tabs>
          <w:tab w:val="num" w:pos="4320"/>
        </w:tabs>
        <w:ind w:left="4320" w:hanging="360"/>
      </w:pPr>
      <w:rPr>
        <w:rFonts w:ascii="Wingdings" w:hAnsi="Wingdings"/>
      </w:rPr>
    </w:lvl>
    <w:lvl w:ilvl="6" w:tplc="870070BE">
      <w:start w:val="1"/>
      <w:numFmt w:val="bullet"/>
      <w:lvlText w:val=""/>
      <w:lvlJc w:val="left"/>
      <w:pPr>
        <w:tabs>
          <w:tab w:val="num" w:pos="5040"/>
        </w:tabs>
        <w:ind w:left="5040" w:hanging="360"/>
      </w:pPr>
      <w:rPr>
        <w:rFonts w:ascii="Symbol" w:hAnsi="Symbol"/>
      </w:rPr>
    </w:lvl>
    <w:lvl w:ilvl="7" w:tplc="8E3AC4CE">
      <w:start w:val="1"/>
      <w:numFmt w:val="bullet"/>
      <w:lvlText w:val="o"/>
      <w:lvlJc w:val="left"/>
      <w:pPr>
        <w:tabs>
          <w:tab w:val="num" w:pos="5760"/>
        </w:tabs>
        <w:ind w:left="5760" w:hanging="360"/>
      </w:pPr>
      <w:rPr>
        <w:rFonts w:ascii="Courier New" w:hAnsi="Courier New"/>
      </w:rPr>
    </w:lvl>
    <w:lvl w:ilvl="8" w:tplc="9D5EB9EE">
      <w:start w:val="1"/>
      <w:numFmt w:val="bullet"/>
      <w:lvlText w:val=""/>
      <w:lvlJc w:val="left"/>
      <w:pPr>
        <w:tabs>
          <w:tab w:val="num" w:pos="6480"/>
        </w:tabs>
        <w:ind w:left="6480" w:hanging="360"/>
      </w:pPr>
      <w:rPr>
        <w:rFonts w:ascii="Wingdings" w:hAnsi="Wingdings"/>
      </w:rPr>
    </w:lvl>
  </w:abstractNum>
  <w:abstractNum w:abstractNumId="489" w15:restartNumberingAfterBreak="0">
    <w:nsid w:val="722306AB"/>
    <w:multiLevelType w:val="hybridMultilevel"/>
    <w:tmpl w:val="722306AB"/>
    <w:lvl w:ilvl="0" w:tplc="6FAC8174">
      <w:start w:val="1"/>
      <w:numFmt w:val="bullet"/>
      <w:lvlText w:val=""/>
      <w:lvlJc w:val="left"/>
      <w:pPr>
        <w:ind w:left="720" w:hanging="360"/>
      </w:pPr>
      <w:rPr>
        <w:rFonts w:ascii="Symbol" w:hAnsi="Symbol"/>
      </w:rPr>
    </w:lvl>
    <w:lvl w:ilvl="1" w:tplc="C4CA12DA">
      <w:start w:val="1"/>
      <w:numFmt w:val="bullet"/>
      <w:lvlText w:val="o"/>
      <w:lvlJc w:val="left"/>
      <w:pPr>
        <w:tabs>
          <w:tab w:val="num" w:pos="1440"/>
        </w:tabs>
        <w:ind w:left="1440" w:hanging="360"/>
      </w:pPr>
      <w:rPr>
        <w:rFonts w:ascii="Courier New" w:hAnsi="Courier New"/>
      </w:rPr>
    </w:lvl>
    <w:lvl w:ilvl="2" w:tplc="8B60748E">
      <w:start w:val="1"/>
      <w:numFmt w:val="bullet"/>
      <w:lvlText w:val=""/>
      <w:lvlJc w:val="left"/>
      <w:pPr>
        <w:tabs>
          <w:tab w:val="num" w:pos="2160"/>
        </w:tabs>
        <w:ind w:left="2160" w:hanging="360"/>
      </w:pPr>
      <w:rPr>
        <w:rFonts w:ascii="Wingdings" w:hAnsi="Wingdings"/>
      </w:rPr>
    </w:lvl>
    <w:lvl w:ilvl="3" w:tplc="C59EFB84">
      <w:start w:val="1"/>
      <w:numFmt w:val="bullet"/>
      <w:lvlText w:val=""/>
      <w:lvlJc w:val="left"/>
      <w:pPr>
        <w:tabs>
          <w:tab w:val="num" w:pos="2880"/>
        </w:tabs>
        <w:ind w:left="2880" w:hanging="360"/>
      </w:pPr>
      <w:rPr>
        <w:rFonts w:ascii="Symbol" w:hAnsi="Symbol"/>
      </w:rPr>
    </w:lvl>
    <w:lvl w:ilvl="4" w:tplc="94785FFA">
      <w:start w:val="1"/>
      <w:numFmt w:val="bullet"/>
      <w:lvlText w:val="o"/>
      <w:lvlJc w:val="left"/>
      <w:pPr>
        <w:tabs>
          <w:tab w:val="num" w:pos="3600"/>
        </w:tabs>
        <w:ind w:left="3600" w:hanging="360"/>
      </w:pPr>
      <w:rPr>
        <w:rFonts w:ascii="Courier New" w:hAnsi="Courier New"/>
      </w:rPr>
    </w:lvl>
    <w:lvl w:ilvl="5" w:tplc="5DB8C338">
      <w:start w:val="1"/>
      <w:numFmt w:val="bullet"/>
      <w:lvlText w:val=""/>
      <w:lvlJc w:val="left"/>
      <w:pPr>
        <w:tabs>
          <w:tab w:val="num" w:pos="4320"/>
        </w:tabs>
        <w:ind w:left="4320" w:hanging="360"/>
      </w:pPr>
      <w:rPr>
        <w:rFonts w:ascii="Wingdings" w:hAnsi="Wingdings"/>
      </w:rPr>
    </w:lvl>
    <w:lvl w:ilvl="6" w:tplc="B240EE72">
      <w:start w:val="1"/>
      <w:numFmt w:val="bullet"/>
      <w:lvlText w:val=""/>
      <w:lvlJc w:val="left"/>
      <w:pPr>
        <w:tabs>
          <w:tab w:val="num" w:pos="5040"/>
        </w:tabs>
        <w:ind w:left="5040" w:hanging="360"/>
      </w:pPr>
      <w:rPr>
        <w:rFonts w:ascii="Symbol" w:hAnsi="Symbol"/>
      </w:rPr>
    </w:lvl>
    <w:lvl w:ilvl="7" w:tplc="42367936">
      <w:start w:val="1"/>
      <w:numFmt w:val="bullet"/>
      <w:lvlText w:val="o"/>
      <w:lvlJc w:val="left"/>
      <w:pPr>
        <w:tabs>
          <w:tab w:val="num" w:pos="5760"/>
        </w:tabs>
        <w:ind w:left="5760" w:hanging="360"/>
      </w:pPr>
      <w:rPr>
        <w:rFonts w:ascii="Courier New" w:hAnsi="Courier New"/>
      </w:rPr>
    </w:lvl>
    <w:lvl w:ilvl="8" w:tplc="806AC262">
      <w:start w:val="1"/>
      <w:numFmt w:val="bullet"/>
      <w:lvlText w:val=""/>
      <w:lvlJc w:val="left"/>
      <w:pPr>
        <w:tabs>
          <w:tab w:val="num" w:pos="6480"/>
        </w:tabs>
        <w:ind w:left="6480" w:hanging="360"/>
      </w:pPr>
      <w:rPr>
        <w:rFonts w:ascii="Wingdings" w:hAnsi="Wingdings"/>
      </w:rPr>
    </w:lvl>
  </w:abstractNum>
  <w:abstractNum w:abstractNumId="490" w15:restartNumberingAfterBreak="0">
    <w:nsid w:val="722306AC"/>
    <w:multiLevelType w:val="hybridMultilevel"/>
    <w:tmpl w:val="722306AC"/>
    <w:lvl w:ilvl="0" w:tplc="AE00ABC2">
      <w:start w:val="1"/>
      <w:numFmt w:val="bullet"/>
      <w:lvlText w:val=""/>
      <w:lvlJc w:val="left"/>
      <w:pPr>
        <w:ind w:left="720" w:hanging="360"/>
      </w:pPr>
      <w:rPr>
        <w:rFonts w:ascii="Symbol" w:hAnsi="Symbol"/>
      </w:rPr>
    </w:lvl>
    <w:lvl w:ilvl="1" w:tplc="A49C740A">
      <w:start w:val="1"/>
      <w:numFmt w:val="bullet"/>
      <w:lvlText w:val="o"/>
      <w:lvlJc w:val="left"/>
      <w:pPr>
        <w:tabs>
          <w:tab w:val="num" w:pos="1440"/>
        </w:tabs>
        <w:ind w:left="1440" w:hanging="360"/>
      </w:pPr>
      <w:rPr>
        <w:rFonts w:ascii="Courier New" w:hAnsi="Courier New"/>
      </w:rPr>
    </w:lvl>
    <w:lvl w:ilvl="2" w:tplc="1272150A">
      <w:start w:val="1"/>
      <w:numFmt w:val="bullet"/>
      <w:lvlText w:val=""/>
      <w:lvlJc w:val="left"/>
      <w:pPr>
        <w:tabs>
          <w:tab w:val="num" w:pos="2160"/>
        </w:tabs>
        <w:ind w:left="2160" w:hanging="360"/>
      </w:pPr>
      <w:rPr>
        <w:rFonts w:ascii="Wingdings" w:hAnsi="Wingdings"/>
      </w:rPr>
    </w:lvl>
    <w:lvl w:ilvl="3" w:tplc="64D6DD40">
      <w:start w:val="1"/>
      <w:numFmt w:val="bullet"/>
      <w:lvlText w:val=""/>
      <w:lvlJc w:val="left"/>
      <w:pPr>
        <w:tabs>
          <w:tab w:val="num" w:pos="2880"/>
        </w:tabs>
        <w:ind w:left="2880" w:hanging="360"/>
      </w:pPr>
      <w:rPr>
        <w:rFonts w:ascii="Symbol" w:hAnsi="Symbol"/>
      </w:rPr>
    </w:lvl>
    <w:lvl w:ilvl="4" w:tplc="871CE016">
      <w:start w:val="1"/>
      <w:numFmt w:val="bullet"/>
      <w:lvlText w:val="o"/>
      <w:lvlJc w:val="left"/>
      <w:pPr>
        <w:tabs>
          <w:tab w:val="num" w:pos="3600"/>
        </w:tabs>
        <w:ind w:left="3600" w:hanging="360"/>
      </w:pPr>
      <w:rPr>
        <w:rFonts w:ascii="Courier New" w:hAnsi="Courier New"/>
      </w:rPr>
    </w:lvl>
    <w:lvl w:ilvl="5" w:tplc="4B92826E">
      <w:start w:val="1"/>
      <w:numFmt w:val="bullet"/>
      <w:lvlText w:val=""/>
      <w:lvlJc w:val="left"/>
      <w:pPr>
        <w:tabs>
          <w:tab w:val="num" w:pos="4320"/>
        </w:tabs>
        <w:ind w:left="4320" w:hanging="360"/>
      </w:pPr>
      <w:rPr>
        <w:rFonts w:ascii="Wingdings" w:hAnsi="Wingdings"/>
      </w:rPr>
    </w:lvl>
    <w:lvl w:ilvl="6" w:tplc="18828B82">
      <w:start w:val="1"/>
      <w:numFmt w:val="bullet"/>
      <w:lvlText w:val=""/>
      <w:lvlJc w:val="left"/>
      <w:pPr>
        <w:tabs>
          <w:tab w:val="num" w:pos="5040"/>
        </w:tabs>
        <w:ind w:left="5040" w:hanging="360"/>
      </w:pPr>
      <w:rPr>
        <w:rFonts w:ascii="Symbol" w:hAnsi="Symbol"/>
      </w:rPr>
    </w:lvl>
    <w:lvl w:ilvl="7" w:tplc="6C489ECE">
      <w:start w:val="1"/>
      <w:numFmt w:val="bullet"/>
      <w:lvlText w:val="o"/>
      <w:lvlJc w:val="left"/>
      <w:pPr>
        <w:tabs>
          <w:tab w:val="num" w:pos="5760"/>
        </w:tabs>
        <w:ind w:left="5760" w:hanging="360"/>
      </w:pPr>
      <w:rPr>
        <w:rFonts w:ascii="Courier New" w:hAnsi="Courier New"/>
      </w:rPr>
    </w:lvl>
    <w:lvl w:ilvl="8" w:tplc="C656644E">
      <w:start w:val="1"/>
      <w:numFmt w:val="bullet"/>
      <w:lvlText w:val=""/>
      <w:lvlJc w:val="left"/>
      <w:pPr>
        <w:tabs>
          <w:tab w:val="num" w:pos="6480"/>
        </w:tabs>
        <w:ind w:left="6480" w:hanging="360"/>
      </w:pPr>
      <w:rPr>
        <w:rFonts w:ascii="Wingdings" w:hAnsi="Wingdings"/>
      </w:rPr>
    </w:lvl>
  </w:abstractNum>
  <w:abstractNum w:abstractNumId="491" w15:restartNumberingAfterBreak="0">
    <w:nsid w:val="722306AD"/>
    <w:multiLevelType w:val="hybridMultilevel"/>
    <w:tmpl w:val="722306AD"/>
    <w:lvl w:ilvl="0" w:tplc="E71016BC">
      <w:start w:val="1"/>
      <w:numFmt w:val="bullet"/>
      <w:lvlText w:val=""/>
      <w:lvlJc w:val="left"/>
      <w:pPr>
        <w:ind w:left="720" w:hanging="360"/>
      </w:pPr>
      <w:rPr>
        <w:rFonts w:ascii="Symbol" w:hAnsi="Symbol"/>
      </w:rPr>
    </w:lvl>
    <w:lvl w:ilvl="1" w:tplc="9ED6296A">
      <w:start w:val="1"/>
      <w:numFmt w:val="bullet"/>
      <w:lvlText w:val="o"/>
      <w:lvlJc w:val="left"/>
      <w:pPr>
        <w:tabs>
          <w:tab w:val="num" w:pos="1440"/>
        </w:tabs>
        <w:ind w:left="1440" w:hanging="360"/>
      </w:pPr>
      <w:rPr>
        <w:rFonts w:ascii="Courier New" w:hAnsi="Courier New"/>
      </w:rPr>
    </w:lvl>
    <w:lvl w:ilvl="2" w:tplc="1E7CBEFC">
      <w:start w:val="1"/>
      <w:numFmt w:val="bullet"/>
      <w:lvlText w:val=""/>
      <w:lvlJc w:val="left"/>
      <w:pPr>
        <w:tabs>
          <w:tab w:val="num" w:pos="2160"/>
        </w:tabs>
        <w:ind w:left="2160" w:hanging="360"/>
      </w:pPr>
      <w:rPr>
        <w:rFonts w:ascii="Wingdings" w:hAnsi="Wingdings"/>
      </w:rPr>
    </w:lvl>
    <w:lvl w:ilvl="3" w:tplc="3E0A6980">
      <w:start w:val="1"/>
      <w:numFmt w:val="bullet"/>
      <w:lvlText w:val=""/>
      <w:lvlJc w:val="left"/>
      <w:pPr>
        <w:tabs>
          <w:tab w:val="num" w:pos="2880"/>
        </w:tabs>
        <w:ind w:left="2880" w:hanging="360"/>
      </w:pPr>
      <w:rPr>
        <w:rFonts w:ascii="Symbol" w:hAnsi="Symbol"/>
      </w:rPr>
    </w:lvl>
    <w:lvl w:ilvl="4" w:tplc="D8F863F4">
      <w:start w:val="1"/>
      <w:numFmt w:val="bullet"/>
      <w:lvlText w:val="o"/>
      <w:lvlJc w:val="left"/>
      <w:pPr>
        <w:tabs>
          <w:tab w:val="num" w:pos="3600"/>
        </w:tabs>
        <w:ind w:left="3600" w:hanging="360"/>
      </w:pPr>
      <w:rPr>
        <w:rFonts w:ascii="Courier New" w:hAnsi="Courier New"/>
      </w:rPr>
    </w:lvl>
    <w:lvl w:ilvl="5" w:tplc="10C84E8E">
      <w:start w:val="1"/>
      <w:numFmt w:val="bullet"/>
      <w:lvlText w:val=""/>
      <w:lvlJc w:val="left"/>
      <w:pPr>
        <w:tabs>
          <w:tab w:val="num" w:pos="4320"/>
        </w:tabs>
        <w:ind w:left="4320" w:hanging="360"/>
      </w:pPr>
      <w:rPr>
        <w:rFonts w:ascii="Wingdings" w:hAnsi="Wingdings"/>
      </w:rPr>
    </w:lvl>
    <w:lvl w:ilvl="6" w:tplc="0A6E62A8">
      <w:start w:val="1"/>
      <w:numFmt w:val="bullet"/>
      <w:lvlText w:val=""/>
      <w:lvlJc w:val="left"/>
      <w:pPr>
        <w:tabs>
          <w:tab w:val="num" w:pos="5040"/>
        </w:tabs>
        <w:ind w:left="5040" w:hanging="360"/>
      </w:pPr>
      <w:rPr>
        <w:rFonts w:ascii="Symbol" w:hAnsi="Symbol"/>
      </w:rPr>
    </w:lvl>
    <w:lvl w:ilvl="7" w:tplc="225ECBE8">
      <w:start w:val="1"/>
      <w:numFmt w:val="bullet"/>
      <w:lvlText w:val="o"/>
      <w:lvlJc w:val="left"/>
      <w:pPr>
        <w:tabs>
          <w:tab w:val="num" w:pos="5760"/>
        </w:tabs>
        <w:ind w:left="5760" w:hanging="360"/>
      </w:pPr>
      <w:rPr>
        <w:rFonts w:ascii="Courier New" w:hAnsi="Courier New"/>
      </w:rPr>
    </w:lvl>
    <w:lvl w:ilvl="8" w:tplc="39A61C58">
      <w:start w:val="1"/>
      <w:numFmt w:val="bullet"/>
      <w:lvlText w:val=""/>
      <w:lvlJc w:val="left"/>
      <w:pPr>
        <w:tabs>
          <w:tab w:val="num" w:pos="6480"/>
        </w:tabs>
        <w:ind w:left="6480" w:hanging="360"/>
      </w:pPr>
      <w:rPr>
        <w:rFonts w:ascii="Wingdings" w:hAnsi="Wingdings"/>
      </w:rPr>
    </w:lvl>
  </w:abstractNum>
  <w:abstractNum w:abstractNumId="492" w15:restartNumberingAfterBreak="0">
    <w:nsid w:val="722306AE"/>
    <w:multiLevelType w:val="hybridMultilevel"/>
    <w:tmpl w:val="722306AE"/>
    <w:lvl w:ilvl="0" w:tplc="3162FAD6">
      <w:start w:val="1"/>
      <w:numFmt w:val="bullet"/>
      <w:lvlText w:val=""/>
      <w:lvlJc w:val="left"/>
      <w:pPr>
        <w:ind w:left="720" w:hanging="360"/>
      </w:pPr>
      <w:rPr>
        <w:rFonts w:ascii="Symbol" w:hAnsi="Symbol"/>
      </w:rPr>
    </w:lvl>
    <w:lvl w:ilvl="1" w:tplc="AEB2675E">
      <w:start w:val="1"/>
      <w:numFmt w:val="bullet"/>
      <w:lvlText w:val="o"/>
      <w:lvlJc w:val="left"/>
      <w:pPr>
        <w:tabs>
          <w:tab w:val="num" w:pos="1440"/>
        </w:tabs>
        <w:ind w:left="1440" w:hanging="360"/>
      </w:pPr>
      <w:rPr>
        <w:rFonts w:ascii="Courier New" w:hAnsi="Courier New"/>
      </w:rPr>
    </w:lvl>
    <w:lvl w:ilvl="2" w:tplc="DA3E0600">
      <w:start w:val="1"/>
      <w:numFmt w:val="bullet"/>
      <w:lvlText w:val=""/>
      <w:lvlJc w:val="left"/>
      <w:pPr>
        <w:tabs>
          <w:tab w:val="num" w:pos="2160"/>
        </w:tabs>
        <w:ind w:left="2160" w:hanging="360"/>
      </w:pPr>
      <w:rPr>
        <w:rFonts w:ascii="Wingdings" w:hAnsi="Wingdings"/>
      </w:rPr>
    </w:lvl>
    <w:lvl w:ilvl="3" w:tplc="6E040450">
      <w:start w:val="1"/>
      <w:numFmt w:val="bullet"/>
      <w:lvlText w:val=""/>
      <w:lvlJc w:val="left"/>
      <w:pPr>
        <w:tabs>
          <w:tab w:val="num" w:pos="2880"/>
        </w:tabs>
        <w:ind w:left="2880" w:hanging="360"/>
      </w:pPr>
      <w:rPr>
        <w:rFonts w:ascii="Symbol" w:hAnsi="Symbol"/>
      </w:rPr>
    </w:lvl>
    <w:lvl w:ilvl="4" w:tplc="DA069C02">
      <w:start w:val="1"/>
      <w:numFmt w:val="bullet"/>
      <w:lvlText w:val="o"/>
      <w:lvlJc w:val="left"/>
      <w:pPr>
        <w:tabs>
          <w:tab w:val="num" w:pos="3600"/>
        </w:tabs>
        <w:ind w:left="3600" w:hanging="360"/>
      </w:pPr>
      <w:rPr>
        <w:rFonts w:ascii="Courier New" w:hAnsi="Courier New"/>
      </w:rPr>
    </w:lvl>
    <w:lvl w:ilvl="5" w:tplc="691E10C8">
      <w:start w:val="1"/>
      <w:numFmt w:val="bullet"/>
      <w:lvlText w:val=""/>
      <w:lvlJc w:val="left"/>
      <w:pPr>
        <w:tabs>
          <w:tab w:val="num" w:pos="4320"/>
        </w:tabs>
        <w:ind w:left="4320" w:hanging="360"/>
      </w:pPr>
      <w:rPr>
        <w:rFonts w:ascii="Wingdings" w:hAnsi="Wingdings"/>
      </w:rPr>
    </w:lvl>
    <w:lvl w:ilvl="6" w:tplc="105C025E">
      <w:start w:val="1"/>
      <w:numFmt w:val="bullet"/>
      <w:lvlText w:val=""/>
      <w:lvlJc w:val="left"/>
      <w:pPr>
        <w:tabs>
          <w:tab w:val="num" w:pos="5040"/>
        </w:tabs>
        <w:ind w:left="5040" w:hanging="360"/>
      </w:pPr>
      <w:rPr>
        <w:rFonts w:ascii="Symbol" w:hAnsi="Symbol"/>
      </w:rPr>
    </w:lvl>
    <w:lvl w:ilvl="7" w:tplc="0A361F60">
      <w:start w:val="1"/>
      <w:numFmt w:val="bullet"/>
      <w:lvlText w:val="o"/>
      <w:lvlJc w:val="left"/>
      <w:pPr>
        <w:tabs>
          <w:tab w:val="num" w:pos="5760"/>
        </w:tabs>
        <w:ind w:left="5760" w:hanging="360"/>
      </w:pPr>
      <w:rPr>
        <w:rFonts w:ascii="Courier New" w:hAnsi="Courier New"/>
      </w:rPr>
    </w:lvl>
    <w:lvl w:ilvl="8" w:tplc="FF589C06">
      <w:start w:val="1"/>
      <w:numFmt w:val="bullet"/>
      <w:lvlText w:val=""/>
      <w:lvlJc w:val="left"/>
      <w:pPr>
        <w:tabs>
          <w:tab w:val="num" w:pos="6480"/>
        </w:tabs>
        <w:ind w:left="6480" w:hanging="360"/>
      </w:pPr>
      <w:rPr>
        <w:rFonts w:ascii="Wingdings" w:hAnsi="Wingdings"/>
      </w:rPr>
    </w:lvl>
  </w:abstractNum>
  <w:abstractNum w:abstractNumId="493" w15:restartNumberingAfterBreak="0">
    <w:nsid w:val="722306AF"/>
    <w:multiLevelType w:val="hybridMultilevel"/>
    <w:tmpl w:val="722306AF"/>
    <w:lvl w:ilvl="0" w:tplc="48B6D0D4">
      <w:start w:val="1"/>
      <w:numFmt w:val="bullet"/>
      <w:lvlText w:val=""/>
      <w:lvlJc w:val="left"/>
      <w:pPr>
        <w:ind w:left="720" w:hanging="360"/>
      </w:pPr>
      <w:rPr>
        <w:rFonts w:ascii="Symbol" w:hAnsi="Symbol"/>
      </w:rPr>
    </w:lvl>
    <w:lvl w:ilvl="1" w:tplc="E7A065EA">
      <w:start w:val="1"/>
      <w:numFmt w:val="bullet"/>
      <w:lvlText w:val="o"/>
      <w:lvlJc w:val="left"/>
      <w:pPr>
        <w:tabs>
          <w:tab w:val="num" w:pos="1440"/>
        </w:tabs>
        <w:ind w:left="1440" w:hanging="360"/>
      </w:pPr>
      <w:rPr>
        <w:rFonts w:ascii="Courier New" w:hAnsi="Courier New"/>
      </w:rPr>
    </w:lvl>
    <w:lvl w:ilvl="2" w:tplc="187E1C30">
      <w:start w:val="1"/>
      <w:numFmt w:val="bullet"/>
      <w:lvlText w:val=""/>
      <w:lvlJc w:val="left"/>
      <w:pPr>
        <w:tabs>
          <w:tab w:val="num" w:pos="2160"/>
        </w:tabs>
        <w:ind w:left="2160" w:hanging="360"/>
      </w:pPr>
      <w:rPr>
        <w:rFonts w:ascii="Wingdings" w:hAnsi="Wingdings"/>
      </w:rPr>
    </w:lvl>
    <w:lvl w:ilvl="3" w:tplc="9EB4DF78">
      <w:start w:val="1"/>
      <w:numFmt w:val="bullet"/>
      <w:lvlText w:val=""/>
      <w:lvlJc w:val="left"/>
      <w:pPr>
        <w:tabs>
          <w:tab w:val="num" w:pos="2880"/>
        </w:tabs>
        <w:ind w:left="2880" w:hanging="360"/>
      </w:pPr>
      <w:rPr>
        <w:rFonts w:ascii="Symbol" w:hAnsi="Symbol"/>
      </w:rPr>
    </w:lvl>
    <w:lvl w:ilvl="4" w:tplc="BB0C3F64">
      <w:start w:val="1"/>
      <w:numFmt w:val="bullet"/>
      <w:lvlText w:val="o"/>
      <w:lvlJc w:val="left"/>
      <w:pPr>
        <w:tabs>
          <w:tab w:val="num" w:pos="3600"/>
        </w:tabs>
        <w:ind w:left="3600" w:hanging="360"/>
      </w:pPr>
      <w:rPr>
        <w:rFonts w:ascii="Courier New" w:hAnsi="Courier New"/>
      </w:rPr>
    </w:lvl>
    <w:lvl w:ilvl="5" w:tplc="5BE6F438">
      <w:start w:val="1"/>
      <w:numFmt w:val="bullet"/>
      <w:lvlText w:val=""/>
      <w:lvlJc w:val="left"/>
      <w:pPr>
        <w:tabs>
          <w:tab w:val="num" w:pos="4320"/>
        </w:tabs>
        <w:ind w:left="4320" w:hanging="360"/>
      </w:pPr>
      <w:rPr>
        <w:rFonts w:ascii="Wingdings" w:hAnsi="Wingdings"/>
      </w:rPr>
    </w:lvl>
    <w:lvl w:ilvl="6" w:tplc="8BF0ECCA">
      <w:start w:val="1"/>
      <w:numFmt w:val="bullet"/>
      <w:lvlText w:val=""/>
      <w:lvlJc w:val="left"/>
      <w:pPr>
        <w:tabs>
          <w:tab w:val="num" w:pos="5040"/>
        </w:tabs>
        <w:ind w:left="5040" w:hanging="360"/>
      </w:pPr>
      <w:rPr>
        <w:rFonts w:ascii="Symbol" w:hAnsi="Symbol"/>
      </w:rPr>
    </w:lvl>
    <w:lvl w:ilvl="7" w:tplc="C86A3662">
      <w:start w:val="1"/>
      <w:numFmt w:val="bullet"/>
      <w:lvlText w:val="o"/>
      <w:lvlJc w:val="left"/>
      <w:pPr>
        <w:tabs>
          <w:tab w:val="num" w:pos="5760"/>
        </w:tabs>
        <w:ind w:left="5760" w:hanging="360"/>
      </w:pPr>
      <w:rPr>
        <w:rFonts w:ascii="Courier New" w:hAnsi="Courier New"/>
      </w:rPr>
    </w:lvl>
    <w:lvl w:ilvl="8" w:tplc="B58EBA58">
      <w:start w:val="1"/>
      <w:numFmt w:val="bullet"/>
      <w:lvlText w:val=""/>
      <w:lvlJc w:val="left"/>
      <w:pPr>
        <w:tabs>
          <w:tab w:val="num" w:pos="6480"/>
        </w:tabs>
        <w:ind w:left="6480" w:hanging="360"/>
      </w:pPr>
      <w:rPr>
        <w:rFonts w:ascii="Wingdings" w:hAnsi="Wingdings"/>
      </w:rPr>
    </w:lvl>
  </w:abstractNum>
  <w:abstractNum w:abstractNumId="494" w15:restartNumberingAfterBreak="0">
    <w:nsid w:val="722306B0"/>
    <w:multiLevelType w:val="hybridMultilevel"/>
    <w:tmpl w:val="722306B0"/>
    <w:lvl w:ilvl="0" w:tplc="F0CA0B7A">
      <w:start w:val="1"/>
      <w:numFmt w:val="bullet"/>
      <w:lvlText w:val=""/>
      <w:lvlJc w:val="left"/>
      <w:pPr>
        <w:ind w:left="720" w:hanging="360"/>
      </w:pPr>
      <w:rPr>
        <w:rFonts w:ascii="Symbol" w:hAnsi="Symbol"/>
      </w:rPr>
    </w:lvl>
    <w:lvl w:ilvl="1" w:tplc="8F1EDAAC">
      <w:start w:val="1"/>
      <w:numFmt w:val="bullet"/>
      <w:lvlText w:val="o"/>
      <w:lvlJc w:val="left"/>
      <w:pPr>
        <w:tabs>
          <w:tab w:val="num" w:pos="1440"/>
        </w:tabs>
        <w:ind w:left="1440" w:hanging="360"/>
      </w:pPr>
      <w:rPr>
        <w:rFonts w:ascii="Courier New" w:hAnsi="Courier New"/>
      </w:rPr>
    </w:lvl>
    <w:lvl w:ilvl="2" w:tplc="95A6A006">
      <w:start w:val="1"/>
      <w:numFmt w:val="bullet"/>
      <w:lvlText w:val=""/>
      <w:lvlJc w:val="left"/>
      <w:pPr>
        <w:tabs>
          <w:tab w:val="num" w:pos="2160"/>
        </w:tabs>
        <w:ind w:left="2160" w:hanging="360"/>
      </w:pPr>
      <w:rPr>
        <w:rFonts w:ascii="Wingdings" w:hAnsi="Wingdings"/>
      </w:rPr>
    </w:lvl>
    <w:lvl w:ilvl="3" w:tplc="83967DB6">
      <w:start w:val="1"/>
      <w:numFmt w:val="bullet"/>
      <w:lvlText w:val=""/>
      <w:lvlJc w:val="left"/>
      <w:pPr>
        <w:tabs>
          <w:tab w:val="num" w:pos="2880"/>
        </w:tabs>
        <w:ind w:left="2880" w:hanging="360"/>
      </w:pPr>
      <w:rPr>
        <w:rFonts w:ascii="Symbol" w:hAnsi="Symbol"/>
      </w:rPr>
    </w:lvl>
    <w:lvl w:ilvl="4" w:tplc="4DA4EC6C">
      <w:start w:val="1"/>
      <w:numFmt w:val="bullet"/>
      <w:lvlText w:val="o"/>
      <w:lvlJc w:val="left"/>
      <w:pPr>
        <w:tabs>
          <w:tab w:val="num" w:pos="3600"/>
        </w:tabs>
        <w:ind w:left="3600" w:hanging="360"/>
      </w:pPr>
      <w:rPr>
        <w:rFonts w:ascii="Courier New" w:hAnsi="Courier New"/>
      </w:rPr>
    </w:lvl>
    <w:lvl w:ilvl="5" w:tplc="B2BC73E2">
      <w:start w:val="1"/>
      <w:numFmt w:val="bullet"/>
      <w:lvlText w:val=""/>
      <w:lvlJc w:val="left"/>
      <w:pPr>
        <w:tabs>
          <w:tab w:val="num" w:pos="4320"/>
        </w:tabs>
        <w:ind w:left="4320" w:hanging="360"/>
      </w:pPr>
      <w:rPr>
        <w:rFonts w:ascii="Wingdings" w:hAnsi="Wingdings"/>
      </w:rPr>
    </w:lvl>
    <w:lvl w:ilvl="6" w:tplc="477E3A8C">
      <w:start w:val="1"/>
      <w:numFmt w:val="bullet"/>
      <w:lvlText w:val=""/>
      <w:lvlJc w:val="left"/>
      <w:pPr>
        <w:tabs>
          <w:tab w:val="num" w:pos="5040"/>
        </w:tabs>
        <w:ind w:left="5040" w:hanging="360"/>
      </w:pPr>
      <w:rPr>
        <w:rFonts w:ascii="Symbol" w:hAnsi="Symbol"/>
      </w:rPr>
    </w:lvl>
    <w:lvl w:ilvl="7" w:tplc="7C12648A">
      <w:start w:val="1"/>
      <w:numFmt w:val="bullet"/>
      <w:lvlText w:val="o"/>
      <w:lvlJc w:val="left"/>
      <w:pPr>
        <w:tabs>
          <w:tab w:val="num" w:pos="5760"/>
        </w:tabs>
        <w:ind w:left="5760" w:hanging="360"/>
      </w:pPr>
      <w:rPr>
        <w:rFonts w:ascii="Courier New" w:hAnsi="Courier New"/>
      </w:rPr>
    </w:lvl>
    <w:lvl w:ilvl="8" w:tplc="80B8733E">
      <w:start w:val="1"/>
      <w:numFmt w:val="bullet"/>
      <w:lvlText w:val=""/>
      <w:lvlJc w:val="left"/>
      <w:pPr>
        <w:tabs>
          <w:tab w:val="num" w:pos="6480"/>
        </w:tabs>
        <w:ind w:left="6480" w:hanging="360"/>
      </w:pPr>
      <w:rPr>
        <w:rFonts w:ascii="Wingdings" w:hAnsi="Wingdings"/>
      </w:rPr>
    </w:lvl>
  </w:abstractNum>
  <w:abstractNum w:abstractNumId="495" w15:restartNumberingAfterBreak="0">
    <w:nsid w:val="722306B1"/>
    <w:multiLevelType w:val="hybridMultilevel"/>
    <w:tmpl w:val="722306B1"/>
    <w:lvl w:ilvl="0" w:tplc="BD4C8688">
      <w:start w:val="1"/>
      <w:numFmt w:val="bullet"/>
      <w:lvlText w:val=""/>
      <w:lvlJc w:val="left"/>
      <w:pPr>
        <w:ind w:left="720" w:hanging="360"/>
      </w:pPr>
      <w:rPr>
        <w:rFonts w:ascii="Symbol" w:hAnsi="Symbol"/>
      </w:rPr>
    </w:lvl>
    <w:lvl w:ilvl="1" w:tplc="78AE356A">
      <w:start w:val="1"/>
      <w:numFmt w:val="bullet"/>
      <w:lvlText w:val="o"/>
      <w:lvlJc w:val="left"/>
      <w:pPr>
        <w:tabs>
          <w:tab w:val="num" w:pos="1440"/>
        </w:tabs>
        <w:ind w:left="1440" w:hanging="360"/>
      </w:pPr>
      <w:rPr>
        <w:rFonts w:ascii="Courier New" w:hAnsi="Courier New"/>
      </w:rPr>
    </w:lvl>
    <w:lvl w:ilvl="2" w:tplc="AC3289AA">
      <w:start w:val="1"/>
      <w:numFmt w:val="bullet"/>
      <w:lvlText w:val=""/>
      <w:lvlJc w:val="left"/>
      <w:pPr>
        <w:tabs>
          <w:tab w:val="num" w:pos="2160"/>
        </w:tabs>
        <w:ind w:left="2160" w:hanging="360"/>
      </w:pPr>
      <w:rPr>
        <w:rFonts w:ascii="Wingdings" w:hAnsi="Wingdings"/>
      </w:rPr>
    </w:lvl>
    <w:lvl w:ilvl="3" w:tplc="E66AF2DA">
      <w:start w:val="1"/>
      <w:numFmt w:val="bullet"/>
      <w:lvlText w:val=""/>
      <w:lvlJc w:val="left"/>
      <w:pPr>
        <w:tabs>
          <w:tab w:val="num" w:pos="2880"/>
        </w:tabs>
        <w:ind w:left="2880" w:hanging="360"/>
      </w:pPr>
      <w:rPr>
        <w:rFonts w:ascii="Symbol" w:hAnsi="Symbol"/>
      </w:rPr>
    </w:lvl>
    <w:lvl w:ilvl="4" w:tplc="4C3C1AA4">
      <w:start w:val="1"/>
      <w:numFmt w:val="bullet"/>
      <w:lvlText w:val="o"/>
      <w:lvlJc w:val="left"/>
      <w:pPr>
        <w:tabs>
          <w:tab w:val="num" w:pos="3600"/>
        </w:tabs>
        <w:ind w:left="3600" w:hanging="360"/>
      </w:pPr>
      <w:rPr>
        <w:rFonts w:ascii="Courier New" w:hAnsi="Courier New"/>
      </w:rPr>
    </w:lvl>
    <w:lvl w:ilvl="5" w:tplc="7D465924">
      <w:start w:val="1"/>
      <w:numFmt w:val="bullet"/>
      <w:lvlText w:val=""/>
      <w:lvlJc w:val="left"/>
      <w:pPr>
        <w:tabs>
          <w:tab w:val="num" w:pos="4320"/>
        </w:tabs>
        <w:ind w:left="4320" w:hanging="360"/>
      </w:pPr>
      <w:rPr>
        <w:rFonts w:ascii="Wingdings" w:hAnsi="Wingdings"/>
      </w:rPr>
    </w:lvl>
    <w:lvl w:ilvl="6" w:tplc="2368915C">
      <w:start w:val="1"/>
      <w:numFmt w:val="bullet"/>
      <w:lvlText w:val=""/>
      <w:lvlJc w:val="left"/>
      <w:pPr>
        <w:tabs>
          <w:tab w:val="num" w:pos="5040"/>
        </w:tabs>
        <w:ind w:left="5040" w:hanging="360"/>
      </w:pPr>
      <w:rPr>
        <w:rFonts w:ascii="Symbol" w:hAnsi="Symbol"/>
      </w:rPr>
    </w:lvl>
    <w:lvl w:ilvl="7" w:tplc="2444997A">
      <w:start w:val="1"/>
      <w:numFmt w:val="bullet"/>
      <w:lvlText w:val="o"/>
      <w:lvlJc w:val="left"/>
      <w:pPr>
        <w:tabs>
          <w:tab w:val="num" w:pos="5760"/>
        </w:tabs>
        <w:ind w:left="5760" w:hanging="360"/>
      </w:pPr>
      <w:rPr>
        <w:rFonts w:ascii="Courier New" w:hAnsi="Courier New"/>
      </w:rPr>
    </w:lvl>
    <w:lvl w:ilvl="8" w:tplc="5DA63A58">
      <w:start w:val="1"/>
      <w:numFmt w:val="bullet"/>
      <w:lvlText w:val=""/>
      <w:lvlJc w:val="left"/>
      <w:pPr>
        <w:tabs>
          <w:tab w:val="num" w:pos="6480"/>
        </w:tabs>
        <w:ind w:left="6480" w:hanging="360"/>
      </w:pPr>
      <w:rPr>
        <w:rFonts w:ascii="Wingdings" w:hAnsi="Wingdings"/>
      </w:rPr>
    </w:lvl>
  </w:abstractNum>
  <w:abstractNum w:abstractNumId="496" w15:restartNumberingAfterBreak="0">
    <w:nsid w:val="722306B2"/>
    <w:multiLevelType w:val="hybridMultilevel"/>
    <w:tmpl w:val="722306B2"/>
    <w:lvl w:ilvl="0" w:tplc="1A5A6CBE">
      <w:start w:val="1"/>
      <w:numFmt w:val="bullet"/>
      <w:lvlText w:val=""/>
      <w:lvlJc w:val="left"/>
      <w:pPr>
        <w:ind w:left="720" w:hanging="360"/>
      </w:pPr>
      <w:rPr>
        <w:rFonts w:ascii="Symbol" w:hAnsi="Symbol"/>
      </w:rPr>
    </w:lvl>
    <w:lvl w:ilvl="1" w:tplc="5284E97E">
      <w:start w:val="1"/>
      <w:numFmt w:val="bullet"/>
      <w:lvlText w:val="o"/>
      <w:lvlJc w:val="left"/>
      <w:pPr>
        <w:tabs>
          <w:tab w:val="num" w:pos="1440"/>
        </w:tabs>
        <w:ind w:left="1440" w:hanging="360"/>
      </w:pPr>
      <w:rPr>
        <w:rFonts w:ascii="Courier New" w:hAnsi="Courier New"/>
      </w:rPr>
    </w:lvl>
    <w:lvl w:ilvl="2" w:tplc="3DB0EB8A">
      <w:start w:val="1"/>
      <w:numFmt w:val="bullet"/>
      <w:lvlText w:val=""/>
      <w:lvlJc w:val="left"/>
      <w:pPr>
        <w:tabs>
          <w:tab w:val="num" w:pos="2160"/>
        </w:tabs>
        <w:ind w:left="2160" w:hanging="360"/>
      </w:pPr>
      <w:rPr>
        <w:rFonts w:ascii="Wingdings" w:hAnsi="Wingdings"/>
      </w:rPr>
    </w:lvl>
    <w:lvl w:ilvl="3" w:tplc="C1E876D0">
      <w:start w:val="1"/>
      <w:numFmt w:val="bullet"/>
      <w:lvlText w:val=""/>
      <w:lvlJc w:val="left"/>
      <w:pPr>
        <w:tabs>
          <w:tab w:val="num" w:pos="2880"/>
        </w:tabs>
        <w:ind w:left="2880" w:hanging="360"/>
      </w:pPr>
      <w:rPr>
        <w:rFonts w:ascii="Symbol" w:hAnsi="Symbol"/>
      </w:rPr>
    </w:lvl>
    <w:lvl w:ilvl="4" w:tplc="6A165A74">
      <w:start w:val="1"/>
      <w:numFmt w:val="bullet"/>
      <w:lvlText w:val="o"/>
      <w:lvlJc w:val="left"/>
      <w:pPr>
        <w:tabs>
          <w:tab w:val="num" w:pos="3600"/>
        </w:tabs>
        <w:ind w:left="3600" w:hanging="360"/>
      </w:pPr>
      <w:rPr>
        <w:rFonts w:ascii="Courier New" w:hAnsi="Courier New"/>
      </w:rPr>
    </w:lvl>
    <w:lvl w:ilvl="5" w:tplc="7B62C320">
      <w:start w:val="1"/>
      <w:numFmt w:val="bullet"/>
      <w:lvlText w:val=""/>
      <w:lvlJc w:val="left"/>
      <w:pPr>
        <w:tabs>
          <w:tab w:val="num" w:pos="4320"/>
        </w:tabs>
        <w:ind w:left="4320" w:hanging="360"/>
      </w:pPr>
      <w:rPr>
        <w:rFonts w:ascii="Wingdings" w:hAnsi="Wingdings"/>
      </w:rPr>
    </w:lvl>
    <w:lvl w:ilvl="6" w:tplc="204E910E">
      <w:start w:val="1"/>
      <w:numFmt w:val="bullet"/>
      <w:lvlText w:val=""/>
      <w:lvlJc w:val="left"/>
      <w:pPr>
        <w:tabs>
          <w:tab w:val="num" w:pos="5040"/>
        </w:tabs>
        <w:ind w:left="5040" w:hanging="360"/>
      </w:pPr>
      <w:rPr>
        <w:rFonts w:ascii="Symbol" w:hAnsi="Symbol"/>
      </w:rPr>
    </w:lvl>
    <w:lvl w:ilvl="7" w:tplc="69E04DBA">
      <w:start w:val="1"/>
      <w:numFmt w:val="bullet"/>
      <w:lvlText w:val="o"/>
      <w:lvlJc w:val="left"/>
      <w:pPr>
        <w:tabs>
          <w:tab w:val="num" w:pos="5760"/>
        </w:tabs>
        <w:ind w:left="5760" w:hanging="360"/>
      </w:pPr>
      <w:rPr>
        <w:rFonts w:ascii="Courier New" w:hAnsi="Courier New"/>
      </w:rPr>
    </w:lvl>
    <w:lvl w:ilvl="8" w:tplc="4E08E532">
      <w:start w:val="1"/>
      <w:numFmt w:val="bullet"/>
      <w:lvlText w:val=""/>
      <w:lvlJc w:val="left"/>
      <w:pPr>
        <w:tabs>
          <w:tab w:val="num" w:pos="6480"/>
        </w:tabs>
        <w:ind w:left="6480" w:hanging="360"/>
      </w:pPr>
      <w:rPr>
        <w:rFonts w:ascii="Wingdings" w:hAnsi="Wingdings"/>
      </w:rPr>
    </w:lvl>
  </w:abstractNum>
  <w:abstractNum w:abstractNumId="497" w15:restartNumberingAfterBreak="0">
    <w:nsid w:val="722306B3"/>
    <w:multiLevelType w:val="hybridMultilevel"/>
    <w:tmpl w:val="722306B3"/>
    <w:lvl w:ilvl="0" w:tplc="C838C554">
      <w:start w:val="1"/>
      <w:numFmt w:val="bullet"/>
      <w:lvlText w:val=""/>
      <w:lvlJc w:val="left"/>
      <w:pPr>
        <w:ind w:left="720" w:hanging="360"/>
      </w:pPr>
      <w:rPr>
        <w:rFonts w:ascii="Symbol" w:hAnsi="Symbol"/>
      </w:rPr>
    </w:lvl>
    <w:lvl w:ilvl="1" w:tplc="C13492D4">
      <w:start w:val="1"/>
      <w:numFmt w:val="bullet"/>
      <w:lvlText w:val="o"/>
      <w:lvlJc w:val="left"/>
      <w:pPr>
        <w:tabs>
          <w:tab w:val="num" w:pos="1440"/>
        </w:tabs>
        <w:ind w:left="1440" w:hanging="360"/>
      </w:pPr>
      <w:rPr>
        <w:rFonts w:ascii="Courier New" w:hAnsi="Courier New"/>
      </w:rPr>
    </w:lvl>
    <w:lvl w:ilvl="2" w:tplc="594AEB94">
      <w:start w:val="1"/>
      <w:numFmt w:val="bullet"/>
      <w:lvlText w:val=""/>
      <w:lvlJc w:val="left"/>
      <w:pPr>
        <w:tabs>
          <w:tab w:val="num" w:pos="2160"/>
        </w:tabs>
        <w:ind w:left="2160" w:hanging="360"/>
      </w:pPr>
      <w:rPr>
        <w:rFonts w:ascii="Wingdings" w:hAnsi="Wingdings"/>
      </w:rPr>
    </w:lvl>
    <w:lvl w:ilvl="3" w:tplc="1F988570">
      <w:start w:val="1"/>
      <w:numFmt w:val="bullet"/>
      <w:lvlText w:val=""/>
      <w:lvlJc w:val="left"/>
      <w:pPr>
        <w:tabs>
          <w:tab w:val="num" w:pos="2880"/>
        </w:tabs>
        <w:ind w:left="2880" w:hanging="360"/>
      </w:pPr>
      <w:rPr>
        <w:rFonts w:ascii="Symbol" w:hAnsi="Symbol"/>
      </w:rPr>
    </w:lvl>
    <w:lvl w:ilvl="4" w:tplc="A3C2C046">
      <w:start w:val="1"/>
      <w:numFmt w:val="bullet"/>
      <w:lvlText w:val="o"/>
      <w:lvlJc w:val="left"/>
      <w:pPr>
        <w:tabs>
          <w:tab w:val="num" w:pos="3600"/>
        </w:tabs>
        <w:ind w:left="3600" w:hanging="360"/>
      </w:pPr>
      <w:rPr>
        <w:rFonts w:ascii="Courier New" w:hAnsi="Courier New"/>
      </w:rPr>
    </w:lvl>
    <w:lvl w:ilvl="5" w:tplc="AFBC4548">
      <w:start w:val="1"/>
      <w:numFmt w:val="bullet"/>
      <w:lvlText w:val=""/>
      <w:lvlJc w:val="left"/>
      <w:pPr>
        <w:tabs>
          <w:tab w:val="num" w:pos="4320"/>
        </w:tabs>
        <w:ind w:left="4320" w:hanging="360"/>
      </w:pPr>
      <w:rPr>
        <w:rFonts w:ascii="Wingdings" w:hAnsi="Wingdings"/>
      </w:rPr>
    </w:lvl>
    <w:lvl w:ilvl="6" w:tplc="44BAFBC0">
      <w:start w:val="1"/>
      <w:numFmt w:val="bullet"/>
      <w:lvlText w:val=""/>
      <w:lvlJc w:val="left"/>
      <w:pPr>
        <w:tabs>
          <w:tab w:val="num" w:pos="5040"/>
        </w:tabs>
        <w:ind w:left="5040" w:hanging="360"/>
      </w:pPr>
      <w:rPr>
        <w:rFonts w:ascii="Symbol" w:hAnsi="Symbol"/>
      </w:rPr>
    </w:lvl>
    <w:lvl w:ilvl="7" w:tplc="B16AC21C">
      <w:start w:val="1"/>
      <w:numFmt w:val="bullet"/>
      <w:lvlText w:val="o"/>
      <w:lvlJc w:val="left"/>
      <w:pPr>
        <w:tabs>
          <w:tab w:val="num" w:pos="5760"/>
        </w:tabs>
        <w:ind w:left="5760" w:hanging="360"/>
      </w:pPr>
      <w:rPr>
        <w:rFonts w:ascii="Courier New" w:hAnsi="Courier New"/>
      </w:rPr>
    </w:lvl>
    <w:lvl w:ilvl="8" w:tplc="2488C56A">
      <w:start w:val="1"/>
      <w:numFmt w:val="bullet"/>
      <w:lvlText w:val=""/>
      <w:lvlJc w:val="left"/>
      <w:pPr>
        <w:tabs>
          <w:tab w:val="num" w:pos="6480"/>
        </w:tabs>
        <w:ind w:left="6480" w:hanging="360"/>
      </w:pPr>
      <w:rPr>
        <w:rFonts w:ascii="Wingdings" w:hAnsi="Wingdings"/>
      </w:rPr>
    </w:lvl>
  </w:abstractNum>
  <w:abstractNum w:abstractNumId="498" w15:restartNumberingAfterBreak="0">
    <w:nsid w:val="722306B4"/>
    <w:multiLevelType w:val="hybridMultilevel"/>
    <w:tmpl w:val="722306B4"/>
    <w:lvl w:ilvl="0" w:tplc="CB70101A">
      <w:start w:val="1"/>
      <w:numFmt w:val="bullet"/>
      <w:lvlText w:val=""/>
      <w:lvlJc w:val="left"/>
      <w:pPr>
        <w:ind w:left="720" w:hanging="360"/>
      </w:pPr>
      <w:rPr>
        <w:rFonts w:ascii="Symbol" w:hAnsi="Symbol"/>
      </w:rPr>
    </w:lvl>
    <w:lvl w:ilvl="1" w:tplc="3BBE68B4">
      <w:start w:val="1"/>
      <w:numFmt w:val="bullet"/>
      <w:lvlText w:val="o"/>
      <w:lvlJc w:val="left"/>
      <w:pPr>
        <w:tabs>
          <w:tab w:val="num" w:pos="1440"/>
        </w:tabs>
        <w:ind w:left="1440" w:hanging="360"/>
      </w:pPr>
      <w:rPr>
        <w:rFonts w:ascii="Courier New" w:hAnsi="Courier New"/>
      </w:rPr>
    </w:lvl>
    <w:lvl w:ilvl="2" w:tplc="1B6A0A66">
      <w:start w:val="1"/>
      <w:numFmt w:val="bullet"/>
      <w:lvlText w:val=""/>
      <w:lvlJc w:val="left"/>
      <w:pPr>
        <w:tabs>
          <w:tab w:val="num" w:pos="2160"/>
        </w:tabs>
        <w:ind w:left="2160" w:hanging="360"/>
      </w:pPr>
      <w:rPr>
        <w:rFonts w:ascii="Wingdings" w:hAnsi="Wingdings"/>
      </w:rPr>
    </w:lvl>
    <w:lvl w:ilvl="3" w:tplc="3A60F2F4">
      <w:start w:val="1"/>
      <w:numFmt w:val="bullet"/>
      <w:lvlText w:val=""/>
      <w:lvlJc w:val="left"/>
      <w:pPr>
        <w:tabs>
          <w:tab w:val="num" w:pos="2880"/>
        </w:tabs>
        <w:ind w:left="2880" w:hanging="360"/>
      </w:pPr>
      <w:rPr>
        <w:rFonts w:ascii="Symbol" w:hAnsi="Symbol"/>
      </w:rPr>
    </w:lvl>
    <w:lvl w:ilvl="4" w:tplc="3F1C6376">
      <w:start w:val="1"/>
      <w:numFmt w:val="bullet"/>
      <w:lvlText w:val="o"/>
      <w:lvlJc w:val="left"/>
      <w:pPr>
        <w:tabs>
          <w:tab w:val="num" w:pos="3600"/>
        </w:tabs>
        <w:ind w:left="3600" w:hanging="360"/>
      </w:pPr>
      <w:rPr>
        <w:rFonts w:ascii="Courier New" w:hAnsi="Courier New"/>
      </w:rPr>
    </w:lvl>
    <w:lvl w:ilvl="5" w:tplc="45F64E6E">
      <w:start w:val="1"/>
      <w:numFmt w:val="bullet"/>
      <w:lvlText w:val=""/>
      <w:lvlJc w:val="left"/>
      <w:pPr>
        <w:tabs>
          <w:tab w:val="num" w:pos="4320"/>
        </w:tabs>
        <w:ind w:left="4320" w:hanging="360"/>
      </w:pPr>
      <w:rPr>
        <w:rFonts w:ascii="Wingdings" w:hAnsi="Wingdings"/>
      </w:rPr>
    </w:lvl>
    <w:lvl w:ilvl="6" w:tplc="3EF23DF4">
      <w:start w:val="1"/>
      <w:numFmt w:val="bullet"/>
      <w:lvlText w:val=""/>
      <w:lvlJc w:val="left"/>
      <w:pPr>
        <w:tabs>
          <w:tab w:val="num" w:pos="5040"/>
        </w:tabs>
        <w:ind w:left="5040" w:hanging="360"/>
      </w:pPr>
      <w:rPr>
        <w:rFonts w:ascii="Symbol" w:hAnsi="Symbol"/>
      </w:rPr>
    </w:lvl>
    <w:lvl w:ilvl="7" w:tplc="145EBE20">
      <w:start w:val="1"/>
      <w:numFmt w:val="bullet"/>
      <w:lvlText w:val="o"/>
      <w:lvlJc w:val="left"/>
      <w:pPr>
        <w:tabs>
          <w:tab w:val="num" w:pos="5760"/>
        </w:tabs>
        <w:ind w:left="5760" w:hanging="360"/>
      </w:pPr>
      <w:rPr>
        <w:rFonts w:ascii="Courier New" w:hAnsi="Courier New"/>
      </w:rPr>
    </w:lvl>
    <w:lvl w:ilvl="8" w:tplc="66D689EA">
      <w:start w:val="1"/>
      <w:numFmt w:val="bullet"/>
      <w:lvlText w:val=""/>
      <w:lvlJc w:val="left"/>
      <w:pPr>
        <w:tabs>
          <w:tab w:val="num" w:pos="6480"/>
        </w:tabs>
        <w:ind w:left="6480" w:hanging="360"/>
      </w:pPr>
      <w:rPr>
        <w:rFonts w:ascii="Wingdings" w:hAnsi="Wingdings"/>
      </w:rPr>
    </w:lvl>
  </w:abstractNum>
  <w:abstractNum w:abstractNumId="499" w15:restartNumberingAfterBreak="0">
    <w:nsid w:val="722306B5"/>
    <w:multiLevelType w:val="hybridMultilevel"/>
    <w:tmpl w:val="722306B5"/>
    <w:lvl w:ilvl="0" w:tplc="C55AC03C">
      <w:start w:val="1"/>
      <w:numFmt w:val="bullet"/>
      <w:lvlText w:val=""/>
      <w:lvlJc w:val="left"/>
      <w:pPr>
        <w:ind w:left="720" w:hanging="360"/>
      </w:pPr>
      <w:rPr>
        <w:rFonts w:ascii="Symbol" w:hAnsi="Symbol"/>
      </w:rPr>
    </w:lvl>
    <w:lvl w:ilvl="1" w:tplc="3842B8C6">
      <w:start w:val="1"/>
      <w:numFmt w:val="bullet"/>
      <w:lvlText w:val="o"/>
      <w:lvlJc w:val="left"/>
      <w:pPr>
        <w:tabs>
          <w:tab w:val="num" w:pos="1440"/>
        </w:tabs>
        <w:ind w:left="1440" w:hanging="360"/>
      </w:pPr>
      <w:rPr>
        <w:rFonts w:ascii="Courier New" w:hAnsi="Courier New"/>
      </w:rPr>
    </w:lvl>
    <w:lvl w:ilvl="2" w:tplc="3B90596E">
      <w:start w:val="1"/>
      <w:numFmt w:val="bullet"/>
      <w:lvlText w:val=""/>
      <w:lvlJc w:val="left"/>
      <w:pPr>
        <w:tabs>
          <w:tab w:val="num" w:pos="2160"/>
        </w:tabs>
        <w:ind w:left="2160" w:hanging="360"/>
      </w:pPr>
      <w:rPr>
        <w:rFonts w:ascii="Wingdings" w:hAnsi="Wingdings"/>
      </w:rPr>
    </w:lvl>
    <w:lvl w:ilvl="3" w:tplc="41C48B8E">
      <w:start w:val="1"/>
      <w:numFmt w:val="bullet"/>
      <w:lvlText w:val=""/>
      <w:lvlJc w:val="left"/>
      <w:pPr>
        <w:tabs>
          <w:tab w:val="num" w:pos="2880"/>
        </w:tabs>
        <w:ind w:left="2880" w:hanging="360"/>
      </w:pPr>
      <w:rPr>
        <w:rFonts w:ascii="Symbol" w:hAnsi="Symbol"/>
      </w:rPr>
    </w:lvl>
    <w:lvl w:ilvl="4" w:tplc="512C7028">
      <w:start w:val="1"/>
      <w:numFmt w:val="bullet"/>
      <w:lvlText w:val="o"/>
      <w:lvlJc w:val="left"/>
      <w:pPr>
        <w:tabs>
          <w:tab w:val="num" w:pos="3600"/>
        </w:tabs>
        <w:ind w:left="3600" w:hanging="360"/>
      </w:pPr>
      <w:rPr>
        <w:rFonts w:ascii="Courier New" w:hAnsi="Courier New"/>
      </w:rPr>
    </w:lvl>
    <w:lvl w:ilvl="5" w:tplc="2830351E">
      <w:start w:val="1"/>
      <w:numFmt w:val="bullet"/>
      <w:lvlText w:val=""/>
      <w:lvlJc w:val="left"/>
      <w:pPr>
        <w:tabs>
          <w:tab w:val="num" w:pos="4320"/>
        </w:tabs>
        <w:ind w:left="4320" w:hanging="360"/>
      </w:pPr>
      <w:rPr>
        <w:rFonts w:ascii="Wingdings" w:hAnsi="Wingdings"/>
      </w:rPr>
    </w:lvl>
    <w:lvl w:ilvl="6" w:tplc="1BAE2F66">
      <w:start w:val="1"/>
      <w:numFmt w:val="bullet"/>
      <w:lvlText w:val=""/>
      <w:lvlJc w:val="left"/>
      <w:pPr>
        <w:tabs>
          <w:tab w:val="num" w:pos="5040"/>
        </w:tabs>
        <w:ind w:left="5040" w:hanging="360"/>
      </w:pPr>
      <w:rPr>
        <w:rFonts w:ascii="Symbol" w:hAnsi="Symbol"/>
      </w:rPr>
    </w:lvl>
    <w:lvl w:ilvl="7" w:tplc="B7FA96D6">
      <w:start w:val="1"/>
      <w:numFmt w:val="bullet"/>
      <w:lvlText w:val="o"/>
      <w:lvlJc w:val="left"/>
      <w:pPr>
        <w:tabs>
          <w:tab w:val="num" w:pos="5760"/>
        </w:tabs>
        <w:ind w:left="5760" w:hanging="360"/>
      </w:pPr>
      <w:rPr>
        <w:rFonts w:ascii="Courier New" w:hAnsi="Courier New"/>
      </w:rPr>
    </w:lvl>
    <w:lvl w:ilvl="8" w:tplc="21DC44E8">
      <w:start w:val="1"/>
      <w:numFmt w:val="bullet"/>
      <w:lvlText w:val=""/>
      <w:lvlJc w:val="left"/>
      <w:pPr>
        <w:tabs>
          <w:tab w:val="num" w:pos="6480"/>
        </w:tabs>
        <w:ind w:left="6480" w:hanging="360"/>
      </w:pPr>
      <w:rPr>
        <w:rFonts w:ascii="Wingdings" w:hAnsi="Wingdings"/>
      </w:rPr>
    </w:lvl>
  </w:abstractNum>
  <w:abstractNum w:abstractNumId="500" w15:restartNumberingAfterBreak="0">
    <w:nsid w:val="722306B6"/>
    <w:multiLevelType w:val="hybridMultilevel"/>
    <w:tmpl w:val="722306B6"/>
    <w:lvl w:ilvl="0" w:tplc="F6B414CE">
      <w:start w:val="1"/>
      <w:numFmt w:val="bullet"/>
      <w:lvlText w:val=""/>
      <w:lvlJc w:val="left"/>
      <w:pPr>
        <w:ind w:left="720" w:hanging="360"/>
      </w:pPr>
      <w:rPr>
        <w:rFonts w:ascii="Symbol" w:hAnsi="Symbol"/>
      </w:rPr>
    </w:lvl>
    <w:lvl w:ilvl="1" w:tplc="9890677E">
      <w:start w:val="1"/>
      <w:numFmt w:val="bullet"/>
      <w:lvlText w:val="o"/>
      <w:lvlJc w:val="left"/>
      <w:pPr>
        <w:tabs>
          <w:tab w:val="num" w:pos="1440"/>
        </w:tabs>
        <w:ind w:left="1440" w:hanging="360"/>
      </w:pPr>
      <w:rPr>
        <w:rFonts w:ascii="Courier New" w:hAnsi="Courier New"/>
      </w:rPr>
    </w:lvl>
    <w:lvl w:ilvl="2" w:tplc="E924B402">
      <w:start w:val="1"/>
      <w:numFmt w:val="bullet"/>
      <w:lvlText w:val=""/>
      <w:lvlJc w:val="left"/>
      <w:pPr>
        <w:tabs>
          <w:tab w:val="num" w:pos="2160"/>
        </w:tabs>
        <w:ind w:left="2160" w:hanging="360"/>
      </w:pPr>
      <w:rPr>
        <w:rFonts w:ascii="Wingdings" w:hAnsi="Wingdings"/>
      </w:rPr>
    </w:lvl>
    <w:lvl w:ilvl="3" w:tplc="31E4896C">
      <w:start w:val="1"/>
      <w:numFmt w:val="bullet"/>
      <w:lvlText w:val=""/>
      <w:lvlJc w:val="left"/>
      <w:pPr>
        <w:tabs>
          <w:tab w:val="num" w:pos="2880"/>
        </w:tabs>
        <w:ind w:left="2880" w:hanging="360"/>
      </w:pPr>
      <w:rPr>
        <w:rFonts w:ascii="Symbol" w:hAnsi="Symbol"/>
      </w:rPr>
    </w:lvl>
    <w:lvl w:ilvl="4" w:tplc="85C09D6C">
      <w:start w:val="1"/>
      <w:numFmt w:val="bullet"/>
      <w:lvlText w:val="o"/>
      <w:lvlJc w:val="left"/>
      <w:pPr>
        <w:tabs>
          <w:tab w:val="num" w:pos="3600"/>
        </w:tabs>
        <w:ind w:left="3600" w:hanging="360"/>
      </w:pPr>
      <w:rPr>
        <w:rFonts w:ascii="Courier New" w:hAnsi="Courier New"/>
      </w:rPr>
    </w:lvl>
    <w:lvl w:ilvl="5" w:tplc="A26E08D2">
      <w:start w:val="1"/>
      <w:numFmt w:val="bullet"/>
      <w:lvlText w:val=""/>
      <w:lvlJc w:val="left"/>
      <w:pPr>
        <w:tabs>
          <w:tab w:val="num" w:pos="4320"/>
        </w:tabs>
        <w:ind w:left="4320" w:hanging="360"/>
      </w:pPr>
      <w:rPr>
        <w:rFonts w:ascii="Wingdings" w:hAnsi="Wingdings"/>
      </w:rPr>
    </w:lvl>
    <w:lvl w:ilvl="6" w:tplc="B2BC8D5A">
      <w:start w:val="1"/>
      <w:numFmt w:val="bullet"/>
      <w:lvlText w:val=""/>
      <w:lvlJc w:val="left"/>
      <w:pPr>
        <w:tabs>
          <w:tab w:val="num" w:pos="5040"/>
        </w:tabs>
        <w:ind w:left="5040" w:hanging="360"/>
      </w:pPr>
      <w:rPr>
        <w:rFonts w:ascii="Symbol" w:hAnsi="Symbol"/>
      </w:rPr>
    </w:lvl>
    <w:lvl w:ilvl="7" w:tplc="3C6C4FAC">
      <w:start w:val="1"/>
      <w:numFmt w:val="bullet"/>
      <w:lvlText w:val="o"/>
      <w:lvlJc w:val="left"/>
      <w:pPr>
        <w:tabs>
          <w:tab w:val="num" w:pos="5760"/>
        </w:tabs>
        <w:ind w:left="5760" w:hanging="360"/>
      </w:pPr>
      <w:rPr>
        <w:rFonts w:ascii="Courier New" w:hAnsi="Courier New"/>
      </w:rPr>
    </w:lvl>
    <w:lvl w:ilvl="8" w:tplc="E21E206A">
      <w:start w:val="1"/>
      <w:numFmt w:val="bullet"/>
      <w:lvlText w:val=""/>
      <w:lvlJc w:val="left"/>
      <w:pPr>
        <w:tabs>
          <w:tab w:val="num" w:pos="6480"/>
        </w:tabs>
        <w:ind w:left="6480" w:hanging="360"/>
      </w:pPr>
      <w:rPr>
        <w:rFonts w:ascii="Wingdings" w:hAnsi="Wingdings"/>
      </w:rPr>
    </w:lvl>
  </w:abstractNum>
  <w:abstractNum w:abstractNumId="501" w15:restartNumberingAfterBreak="0">
    <w:nsid w:val="722306B7"/>
    <w:multiLevelType w:val="hybridMultilevel"/>
    <w:tmpl w:val="722306B7"/>
    <w:lvl w:ilvl="0" w:tplc="9F561636">
      <w:start w:val="1"/>
      <w:numFmt w:val="bullet"/>
      <w:lvlText w:val=""/>
      <w:lvlJc w:val="left"/>
      <w:pPr>
        <w:ind w:left="720" w:hanging="360"/>
      </w:pPr>
      <w:rPr>
        <w:rFonts w:ascii="Symbol" w:hAnsi="Symbol"/>
      </w:rPr>
    </w:lvl>
    <w:lvl w:ilvl="1" w:tplc="9DCACCEC">
      <w:start w:val="1"/>
      <w:numFmt w:val="bullet"/>
      <w:lvlText w:val="o"/>
      <w:lvlJc w:val="left"/>
      <w:pPr>
        <w:tabs>
          <w:tab w:val="num" w:pos="1440"/>
        </w:tabs>
        <w:ind w:left="1440" w:hanging="360"/>
      </w:pPr>
      <w:rPr>
        <w:rFonts w:ascii="Courier New" w:hAnsi="Courier New"/>
      </w:rPr>
    </w:lvl>
    <w:lvl w:ilvl="2" w:tplc="0840E11A">
      <w:start w:val="1"/>
      <w:numFmt w:val="bullet"/>
      <w:lvlText w:val=""/>
      <w:lvlJc w:val="left"/>
      <w:pPr>
        <w:tabs>
          <w:tab w:val="num" w:pos="2160"/>
        </w:tabs>
        <w:ind w:left="2160" w:hanging="360"/>
      </w:pPr>
      <w:rPr>
        <w:rFonts w:ascii="Wingdings" w:hAnsi="Wingdings"/>
      </w:rPr>
    </w:lvl>
    <w:lvl w:ilvl="3" w:tplc="284E8ACE">
      <w:start w:val="1"/>
      <w:numFmt w:val="bullet"/>
      <w:lvlText w:val=""/>
      <w:lvlJc w:val="left"/>
      <w:pPr>
        <w:tabs>
          <w:tab w:val="num" w:pos="2880"/>
        </w:tabs>
        <w:ind w:left="2880" w:hanging="360"/>
      </w:pPr>
      <w:rPr>
        <w:rFonts w:ascii="Symbol" w:hAnsi="Symbol"/>
      </w:rPr>
    </w:lvl>
    <w:lvl w:ilvl="4" w:tplc="ACFAA514">
      <w:start w:val="1"/>
      <w:numFmt w:val="bullet"/>
      <w:lvlText w:val="o"/>
      <w:lvlJc w:val="left"/>
      <w:pPr>
        <w:tabs>
          <w:tab w:val="num" w:pos="3600"/>
        </w:tabs>
        <w:ind w:left="3600" w:hanging="360"/>
      </w:pPr>
      <w:rPr>
        <w:rFonts w:ascii="Courier New" w:hAnsi="Courier New"/>
      </w:rPr>
    </w:lvl>
    <w:lvl w:ilvl="5" w:tplc="7D2EB516">
      <w:start w:val="1"/>
      <w:numFmt w:val="bullet"/>
      <w:lvlText w:val=""/>
      <w:lvlJc w:val="left"/>
      <w:pPr>
        <w:tabs>
          <w:tab w:val="num" w:pos="4320"/>
        </w:tabs>
        <w:ind w:left="4320" w:hanging="360"/>
      </w:pPr>
      <w:rPr>
        <w:rFonts w:ascii="Wingdings" w:hAnsi="Wingdings"/>
      </w:rPr>
    </w:lvl>
    <w:lvl w:ilvl="6" w:tplc="AC24958C">
      <w:start w:val="1"/>
      <w:numFmt w:val="bullet"/>
      <w:lvlText w:val=""/>
      <w:lvlJc w:val="left"/>
      <w:pPr>
        <w:tabs>
          <w:tab w:val="num" w:pos="5040"/>
        </w:tabs>
        <w:ind w:left="5040" w:hanging="360"/>
      </w:pPr>
      <w:rPr>
        <w:rFonts w:ascii="Symbol" w:hAnsi="Symbol"/>
      </w:rPr>
    </w:lvl>
    <w:lvl w:ilvl="7" w:tplc="97EE0D3C">
      <w:start w:val="1"/>
      <w:numFmt w:val="bullet"/>
      <w:lvlText w:val="o"/>
      <w:lvlJc w:val="left"/>
      <w:pPr>
        <w:tabs>
          <w:tab w:val="num" w:pos="5760"/>
        </w:tabs>
        <w:ind w:left="5760" w:hanging="360"/>
      </w:pPr>
      <w:rPr>
        <w:rFonts w:ascii="Courier New" w:hAnsi="Courier New"/>
      </w:rPr>
    </w:lvl>
    <w:lvl w:ilvl="8" w:tplc="0A8E2A7A">
      <w:start w:val="1"/>
      <w:numFmt w:val="bullet"/>
      <w:lvlText w:val=""/>
      <w:lvlJc w:val="left"/>
      <w:pPr>
        <w:tabs>
          <w:tab w:val="num" w:pos="6480"/>
        </w:tabs>
        <w:ind w:left="6480" w:hanging="360"/>
      </w:pPr>
      <w:rPr>
        <w:rFonts w:ascii="Wingdings" w:hAnsi="Wingdings"/>
      </w:rPr>
    </w:lvl>
  </w:abstractNum>
  <w:abstractNum w:abstractNumId="502" w15:restartNumberingAfterBreak="0">
    <w:nsid w:val="722306B8"/>
    <w:multiLevelType w:val="hybridMultilevel"/>
    <w:tmpl w:val="722306B8"/>
    <w:lvl w:ilvl="0" w:tplc="7AFC7C56">
      <w:start w:val="1"/>
      <w:numFmt w:val="bullet"/>
      <w:lvlText w:val=""/>
      <w:lvlJc w:val="left"/>
      <w:pPr>
        <w:ind w:left="720" w:hanging="360"/>
      </w:pPr>
      <w:rPr>
        <w:rFonts w:ascii="Symbol" w:hAnsi="Symbol"/>
      </w:rPr>
    </w:lvl>
    <w:lvl w:ilvl="1" w:tplc="4C48F902">
      <w:start w:val="1"/>
      <w:numFmt w:val="bullet"/>
      <w:lvlText w:val="o"/>
      <w:lvlJc w:val="left"/>
      <w:pPr>
        <w:tabs>
          <w:tab w:val="num" w:pos="1440"/>
        </w:tabs>
        <w:ind w:left="1440" w:hanging="360"/>
      </w:pPr>
      <w:rPr>
        <w:rFonts w:ascii="Courier New" w:hAnsi="Courier New"/>
      </w:rPr>
    </w:lvl>
    <w:lvl w:ilvl="2" w:tplc="51409728">
      <w:start w:val="1"/>
      <w:numFmt w:val="bullet"/>
      <w:lvlText w:val=""/>
      <w:lvlJc w:val="left"/>
      <w:pPr>
        <w:tabs>
          <w:tab w:val="num" w:pos="2160"/>
        </w:tabs>
        <w:ind w:left="2160" w:hanging="360"/>
      </w:pPr>
      <w:rPr>
        <w:rFonts w:ascii="Wingdings" w:hAnsi="Wingdings"/>
      </w:rPr>
    </w:lvl>
    <w:lvl w:ilvl="3" w:tplc="853CDABC">
      <w:start w:val="1"/>
      <w:numFmt w:val="bullet"/>
      <w:lvlText w:val=""/>
      <w:lvlJc w:val="left"/>
      <w:pPr>
        <w:tabs>
          <w:tab w:val="num" w:pos="2880"/>
        </w:tabs>
        <w:ind w:left="2880" w:hanging="360"/>
      </w:pPr>
      <w:rPr>
        <w:rFonts w:ascii="Symbol" w:hAnsi="Symbol"/>
      </w:rPr>
    </w:lvl>
    <w:lvl w:ilvl="4" w:tplc="EC9228F8">
      <w:start w:val="1"/>
      <w:numFmt w:val="bullet"/>
      <w:lvlText w:val="o"/>
      <w:lvlJc w:val="left"/>
      <w:pPr>
        <w:tabs>
          <w:tab w:val="num" w:pos="3600"/>
        </w:tabs>
        <w:ind w:left="3600" w:hanging="360"/>
      </w:pPr>
      <w:rPr>
        <w:rFonts w:ascii="Courier New" w:hAnsi="Courier New"/>
      </w:rPr>
    </w:lvl>
    <w:lvl w:ilvl="5" w:tplc="1FC677C0">
      <w:start w:val="1"/>
      <w:numFmt w:val="bullet"/>
      <w:lvlText w:val=""/>
      <w:lvlJc w:val="left"/>
      <w:pPr>
        <w:tabs>
          <w:tab w:val="num" w:pos="4320"/>
        </w:tabs>
        <w:ind w:left="4320" w:hanging="360"/>
      </w:pPr>
      <w:rPr>
        <w:rFonts w:ascii="Wingdings" w:hAnsi="Wingdings"/>
      </w:rPr>
    </w:lvl>
    <w:lvl w:ilvl="6" w:tplc="853482D8">
      <w:start w:val="1"/>
      <w:numFmt w:val="bullet"/>
      <w:lvlText w:val=""/>
      <w:lvlJc w:val="left"/>
      <w:pPr>
        <w:tabs>
          <w:tab w:val="num" w:pos="5040"/>
        </w:tabs>
        <w:ind w:left="5040" w:hanging="360"/>
      </w:pPr>
      <w:rPr>
        <w:rFonts w:ascii="Symbol" w:hAnsi="Symbol"/>
      </w:rPr>
    </w:lvl>
    <w:lvl w:ilvl="7" w:tplc="2EFC096C">
      <w:start w:val="1"/>
      <w:numFmt w:val="bullet"/>
      <w:lvlText w:val="o"/>
      <w:lvlJc w:val="left"/>
      <w:pPr>
        <w:tabs>
          <w:tab w:val="num" w:pos="5760"/>
        </w:tabs>
        <w:ind w:left="5760" w:hanging="360"/>
      </w:pPr>
      <w:rPr>
        <w:rFonts w:ascii="Courier New" w:hAnsi="Courier New"/>
      </w:rPr>
    </w:lvl>
    <w:lvl w:ilvl="8" w:tplc="D7381A66">
      <w:start w:val="1"/>
      <w:numFmt w:val="bullet"/>
      <w:lvlText w:val=""/>
      <w:lvlJc w:val="left"/>
      <w:pPr>
        <w:tabs>
          <w:tab w:val="num" w:pos="6480"/>
        </w:tabs>
        <w:ind w:left="6480" w:hanging="360"/>
      </w:pPr>
      <w:rPr>
        <w:rFonts w:ascii="Wingdings" w:hAnsi="Wingdings"/>
      </w:rPr>
    </w:lvl>
  </w:abstractNum>
  <w:abstractNum w:abstractNumId="503" w15:restartNumberingAfterBreak="0">
    <w:nsid w:val="722306B9"/>
    <w:multiLevelType w:val="hybridMultilevel"/>
    <w:tmpl w:val="722306B9"/>
    <w:lvl w:ilvl="0" w:tplc="F74CC30A">
      <w:start w:val="1"/>
      <w:numFmt w:val="bullet"/>
      <w:lvlText w:val=""/>
      <w:lvlJc w:val="left"/>
      <w:pPr>
        <w:ind w:left="720" w:hanging="360"/>
      </w:pPr>
      <w:rPr>
        <w:rFonts w:ascii="Symbol" w:hAnsi="Symbol"/>
      </w:rPr>
    </w:lvl>
    <w:lvl w:ilvl="1" w:tplc="EFEE137E">
      <w:start w:val="1"/>
      <w:numFmt w:val="bullet"/>
      <w:lvlText w:val="o"/>
      <w:lvlJc w:val="left"/>
      <w:pPr>
        <w:tabs>
          <w:tab w:val="num" w:pos="1440"/>
        </w:tabs>
        <w:ind w:left="1440" w:hanging="360"/>
      </w:pPr>
      <w:rPr>
        <w:rFonts w:ascii="Courier New" w:hAnsi="Courier New"/>
      </w:rPr>
    </w:lvl>
    <w:lvl w:ilvl="2" w:tplc="4B009DB6">
      <w:start w:val="1"/>
      <w:numFmt w:val="bullet"/>
      <w:lvlText w:val=""/>
      <w:lvlJc w:val="left"/>
      <w:pPr>
        <w:tabs>
          <w:tab w:val="num" w:pos="2160"/>
        </w:tabs>
        <w:ind w:left="2160" w:hanging="360"/>
      </w:pPr>
      <w:rPr>
        <w:rFonts w:ascii="Wingdings" w:hAnsi="Wingdings"/>
      </w:rPr>
    </w:lvl>
    <w:lvl w:ilvl="3" w:tplc="0008A2A6">
      <w:start w:val="1"/>
      <w:numFmt w:val="bullet"/>
      <w:lvlText w:val=""/>
      <w:lvlJc w:val="left"/>
      <w:pPr>
        <w:tabs>
          <w:tab w:val="num" w:pos="2880"/>
        </w:tabs>
        <w:ind w:left="2880" w:hanging="360"/>
      </w:pPr>
      <w:rPr>
        <w:rFonts w:ascii="Symbol" w:hAnsi="Symbol"/>
      </w:rPr>
    </w:lvl>
    <w:lvl w:ilvl="4" w:tplc="5D52A0AC">
      <w:start w:val="1"/>
      <w:numFmt w:val="bullet"/>
      <w:lvlText w:val="o"/>
      <w:lvlJc w:val="left"/>
      <w:pPr>
        <w:tabs>
          <w:tab w:val="num" w:pos="3600"/>
        </w:tabs>
        <w:ind w:left="3600" w:hanging="360"/>
      </w:pPr>
      <w:rPr>
        <w:rFonts w:ascii="Courier New" w:hAnsi="Courier New"/>
      </w:rPr>
    </w:lvl>
    <w:lvl w:ilvl="5" w:tplc="70549ECC">
      <w:start w:val="1"/>
      <w:numFmt w:val="bullet"/>
      <w:lvlText w:val=""/>
      <w:lvlJc w:val="left"/>
      <w:pPr>
        <w:tabs>
          <w:tab w:val="num" w:pos="4320"/>
        </w:tabs>
        <w:ind w:left="4320" w:hanging="360"/>
      </w:pPr>
      <w:rPr>
        <w:rFonts w:ascii="Wingdings" w:hAnsi="Wingdings"/>
      </w:rPr>
    </w:lvl>
    <w:lvl w:ilvl="6" w:tplc="A334AB2C">
      <w:start w:val="1"/>
      <w:numFmt w:val="bullet"/>
      <w:lvlText w:val=""/>
      <w:lvlJc w:val="left"/>
      <w:pPr>
        <w:tabs>
          <w:tab w:val="num" w:pos="5040"/>
        </w:tabs>
        <w:ind w:left="5040" w:hanging="360"/>
      </w:pPr>
      <w:rPr>
        <w:rFonts w:ascii="Symbol" w:hAnsi="Symbol"/>
      </w:rPr>
    </w:lvl>
    <w:lvl w:ilvl="7" w:tplc="69207168">
      <w:start w:val="1"/>
      <w:numFmt w:val="bullet"/>
      <w:lvlText w:val="o"/>
      <w:lvlJc w:val="left"/>
      <w:pPr>
        <w:tabs>
          <w:tab w:val="num" w:pos="5760"/>
        </w:tabs>
        <w:ind w:left="5760" w:hanging="360"/>
      </w:pPr>
      <w:rPr>
        <w:rFonts w:ascii="Courier New" w:hAnsi="Courier New"/>
      </w:rPr>
    </w:lvl>
    <w:lvl w:ilvl="8" w:tplc="469AE67C">
      <w:start w:val="1"/>
      <w:numFmt w:val="bullet"/>
      <w:lvlText w:val=""/>
      <w:lvlJc w:val="left"/>
      <w:pPr>
        <w:tabs>
          <w:tab w:val="num" w:pos="6480"/>
        </w:tabs>
        <w:ind w:left="6480" w:hanging="360"/>
      </w:pPr>
      <w:rPr>
        <w:rFonts w:ascii="Wingdings" w:hAnsi="Wingdings"/>
      </w:rPr>
    </w:lvl>
  </w:abstractNum>
  <w:abstractNum w:abstractNumId="504" w15:restartNumberingAfterBreak="0">
    <w:nsid w:val="722306BA"/>
    <w:multiLevelType w:val="hybridMultilevel"/>
    <w:tmpl w:val="722306BA"/>
    <w:lvl w:ilvl="0" w:tplc="8BA6ECC4">
      <w:start w:val="1"/>
      <w:numFmt w:val="bullet"/>
      <w:lvlText w:val=""/>
      <w:lvlJc w:val="left"/>
      <w:pPr>
        <w:ind w:left="720" w:hanging="360"/>
      </w:pPr>
      <w:rPr>
        <w:rFonts w:ascii="Symbol" w:hAnsi="Symbol"/>
      </w:rPr>
    </w:lvl>
    <w:lvl w:ilvl="1" w:tplc="C38C6508">
      <w:start w:val="1"/>
      <w:numFmt w:val="bullet"/>
      <w:lvlText w:val="o"/>
      <w:lvlJc w:val="left"/>
      <w:pPr>
        <w:tabs>
          <w:tab w:val="num" w:pos="1440"/>
        </w:tabs>
        <w:ind w:left="1440" w:hanging="360"/>
      </w:pPr>
      <w:rPr>
        <w:rFonts w:ascii="Courier New" w:hAnsi="Courier New"/>
      </w:rPr>
    </w:lvl>
    <w:lvl w:ilvl="2" w:tplc="735AB8C2">
      <w:start w:val="1"/>
      <w:numFmt w:val="bullet"/>
      <w:lvlText w:val=""/>
      <w:lvlJc w:val="left"/>
      <w:pPr>
        <w:tabs>
          <w:tab w:val="num" w:pos="2160"/>
        </w:tabs>
        <w:ind w:left="2160" w:hanging="360"/>
      </w:pPr>
      <w:rPr>
        <w:rFonts w:ascii="Wingdings" w:hAnsi="Wingdings"/>
      </w:rPr>
    </w:lvl>
    <w:lvl w:ilvl="3" w:tplc="874C050E">
      <w:start w:val="1"/>
      <w:numFmt w:val="bullet"/>
      <w:lvlText w:val=""/>
      <w:lvlJc w:val="left"/>
      <w:pPr>
        <w:tabs>
          <w:tab w:val="num" w:pos="2880"/>
        </w:tabs>
        <w:ind w:left="2880" w:hanging="360"/>
      </w:pPr>
      <w:rPr>
        <w:rFonts w:ascii="Symbol" w:hAnsi="Symbol"/>
      </w:rPr>
    </w:lvl>
    <w:lvl w:ilvl="4" w:tplc="417ED2BE">
      <w:start w:val="1"/>
      <w:numFmt w:val="bullet"/>
      <w:lvlText w:val="o"/>
      <w:lvlJc w:val="left"/>
      <w:pPr>
        <w:tabs>
          <w:tab w:val="num" w:pos="3600"/>
        </w:tabs>
        <w:ind w:left="3600" w:hanging="360"/>
      </w:pPr>
      <w:rPr>
        <w:rFonts w:ascii="Courier New" w:hAnsi="Courier New"/>
      </w:rPr>
    </w:lvl>
    <w:lvl w:ilvl="5" w:tplc="5130FA3E">
      <w:start w:val="1"/>
      <w:numFmt w:val="bullet"/>
      <w:lvlText w:val=""/>
      <w:lvlJc w:val="left"/>
      <w:pPr>
        <w:tabs>
          <w:tab w:val="num" w:pos="4320"/>
        </w:tabs>
        <w:ind w:left="4320" w:hanging="360"/>
      </w:pPr>
      <w:rPr>
        <w:rFonts w:ascii="Wingdings" w:hAnsi="Wingdings"/>
      </w:rPr>
    </w:lvl>
    <w:lvl w:ilvl="6" w:tplc="E032594A">
      <w:start w:val="1"/>
      <w:numFmt w:val="bullet"/>
      <w:lvlText w:val=""/>
      <w:lvlJc w:val="left"/>
      <w:pPr>
        <w:tabs>
          <w:tab w:val="num" w:pos="5040"/>
        </w:tabs>
        <w:ind w:left="5040" w:hanging="360"/>
      </w:pPr>
      <w:rPr>
        <w:rFonts w:ascii="Symbol" w:hAnsi="Symbol"/>
      </w:rPr>
    </w:lvl>
    <w:lvl w:ilvl="7" w:tplc="CC1E30A4">
      <w:start w:val="1"/>
      <w:numFmt w:val="bullet"/>
      <w:lvlText w:val="o"/>
      <w:lvlJc w:val="left"/>
      <w:pPr>
        <w:tabs>
          <w:tab w:val="num" w:pos="5760"/>
        </w:tabs>
        <w:ind w:left="5760" w:hanging="360"/>
      </w:pPr>
      <w:rPr>
        <w:rFonts w:ascii="Courier New" w:hAnsi="Courier New"/>
      </w:rPr>
    </w:lvl>
    <w:lvl w:ilvl="8" w:tplc="59CA273C">
      <w:start w:val="1"/>
      <w:numFmt w:val="bullet"/>
      <w:lvlText w:val=""/>
      <w:lvlJc w:val="left"/>
      <w:pPr>
        <w:tabs>
          <w:tab w:val="num" w:pos="6480"/>
        </w:tabs>
        <w:ind w:left="6480" w:hanging="360"/>
      </w:pPr>
      <w:rPr>
        <w:rFonts w:ascii="Wingdings" w:hAnsi="Wingdings"/>
      </w:rPr>
    </w:lvl>
  </w:abstractNum>
  <w:abstractNum w:abstractNumId="505" w15:restartNumberingAfterBreak="0">
    <w:nsid w:val="722306BB"/>
    <w:multiLevelType w:val="hybridMultilevel"/>
    <w:tmpl w:val="722306BB"/>
    <w:lvl w:ilvl="0" w:tplc="C358AFC6">
      <w:start w:val="1"/>
      <w:numFmt w:val="bullet"/>
      <w:lvlText w:val=""/>
      <w:lvlJc w:val="left"/>
      <w:pPr>
        <w:ind w:left="720" w:hanging="360"/>
      </w:pPr>
      <w:rPr>
        <w:rFonts w:ascii="Symbol" w:hAnsi="Symbol"/>
      </w:rPr>
    </w:lvl>
    <w:lvl w:ilvl="1" w:tplc="ECC00A0A">
      <w:start w:val="1"/>
      <w:numFmt w:val="bullet"/>
      <w:lvlText w:val="o"/>
      <w:lvlJc w:val="left"/>
      <w:pPr>
        <w:tabs>
          <w:tab w:val="num" w:pos="1440"/>
        </w:tabs>
        <w:ind w:left="1440" w:hanging="360"/>
      </w:pPr>
      <w:rPr>
        <w:rFonts w:ascii="Courier New" w:hAnsi="Courier New"/>
      </w:rPr>
    </w:lvl>
    <w:lvl w:ilvl="2" w:tplc="7D12B58E">
      <w:start w:val="1"/>
      <w:numFmt w:val="bullet"/>
      <w:lvlText w:val=""/>
      <w:lvlJc w:val="left"/>
      <w:pPr>
        <w:tabs>
          <w:tab w:val="num" w:pos="2160"/>
        </w:tabs>
        <w:ind w:left="2160" w:hanging="360"/>
      </w:pPr>
      <w:rPr>
        <w:rFonts w:ascii="Wingdings" w:hAnsi="Wingdings"/>
      </w:rPr>
    </w:lvl>
    <w:lvl w:ilvl="3" w:tplc="A4FE0EB8">
      <w:start w:val="1"/>
      <w:numFmt w:val="bullet"/>
      <w:lvlText w:val=""/>
      <w:lvlJc w:val="left"/>
      <w:pPr>
        <w:tabs>
          <w:tab w:val="num" w:pos="2880"/>
        </w:tabs>
        <w:ind w:left="2880" w:hanging="360"/>
      </w:pPr>
      <w:rPr>
        <w:rFonts w:ascii="Symbol" w:hAnsi="Symbol"/>
      </w:rPr>
    </w:lvl>
    <w:lvl w:ilvl="4" w:tplc="1A8607E2">
      <w:start w:val="1"/>
      <w:numFmt w:val="bullet"/>
      <w:lvlText w:val="o"/>
      <w:lvlJc w:val="left"/>
      <w:pPr>
        <w:tabs>
          <w:tab w:val="num" w:pos="3600"/>
        </w:tabs>
        <w:ind w:left="3600" w:hanging="360"/>
      </w:pPr>
      <w:rPr>
        <w:rFonts w:ascii="Courier New" w:hAnsi="Courier New"/>
      </w:rPr>
    </w:lvl>
    <w:lvl w:ilvl="5" w:tplc="C442BA56">
      <w:start w:val="1"/>
      <w:numFmt w:val="bullet"/>
      <w:lvlText w:val=""/>
      <w:lvlJc w:val="left"/>
      <w:pPr>
        <w:tabs>
          <w:tab w:val="num" w:pos="4320"/>
        </w:tabs>
        <w:ind w:left="4320" w:hanging="360"/>
      </w:pPr>
      <w:rPr>
        <w:rFonts w:ascii="Wingdings" w:hAnsi="Wingdings"/>
      </w:rPr>
    </w:lvl>
    <w:lvl w:ilvl="6" w:tplc="20DA92BC">
      <w:start w:val="1"/>
      <w:numFmt w:val="bullet"/>
      <w:lvlText w:val=""/>
      <w:lvlJc w:val="left"/>
      <w:pPr>
        <w:tabs>
          <w:tab w:val="num" w:pos="5040"/>
        </w:tabs>
        <w:ind w:left="5040" w:hanging="360"/>
      </w:pPr>
      <w:rPr>
        <w:rFonts w:ascii="Symbol" w:hAnsi="Symbol"/>
      </w:rPr>
    </w:lvl>
    <w:lvl w:ilvl="7" w:tplc="BB068200">
      <w:start w:val="1"/>
      <w:numFmt w:val="bullet"/>
      <w:lvlText w:val="o"/>
      <w:lvlJc w:val="left"/>
      <w:pPr>
        <w:tabs>
          <w:tab w:val="num" w:pos="5760"/>
        </w:tabs>
        <w:ind w:left="5760" w:hanging="360"/>
      </w:pPr>
      <w:rPr>
        <w:rFonts w:ascii="Courier New" w:hAnsi="Courier New"/>
      </w:rPr>
    </w:lvl>
    <w:lvl w:ilvl="8" w:tplc="AB94C9D4">
      <w:start w:val="1"/>
      <w:numFmt w:val="bullet"/>
      <w:lvlText w:val=""/>
      <w:lvlJc w:val="left"/>
      <w:pPr>
        <w:tabs>
          <w:tab w:val="num" w:pos="6480"/>
        </w:tabs>
        <w:ind w:left="6480" w:hanging="360"/>
      </w:pPr>
      <w:rPr>
        <w:rFonts w:ascii="Wingdings" w:hAnsi="Wingdings"/>
      </w:rPr>
    </w:lvl>
  </w:abstractNum>
  <w:abstractNum w:abstractNumId="506" w15:restartNumberingAfterBreak="0">
    <w:nsid w:val="722306BC"/>
    <w:multiLevelType w:val="hybridMultilevel"/>
    <w:tmpl w:val="722306BC"/>
    <w:lvl w:ilvl="0" w:tplc="2F5EA514">
      <w:start w:val="1"/>
      <w:numFmt w:val="bullet"/>
      <w:lvlText w:val=""/>
      <w:lvlJc w:val="left"/>
      <w:pPr>
        <w:tabs>
          <w:tab w:val="num" w:pos="720"/>
        </w:tabs>
        <w:ind w:left="720" w:hanging="360"/>
      </w:pPr>
      <w:rPr>
        <w:rFonts w:ascii="Symbol" w:hAnsi="Symbol"/>
      </w:rPr>
    </w:lvl>
    <w:lvl w:ilvl="1" w:tplc="59A69C5A">
      <w:start w:val="1"/>
      <w:numFmt w:val="bullet"/>
      <w:lvlText w:val="o"/>
      <w:lvlJc w:val="left"/>
      <w:pPr>
        <w:tabs>
          <w:tab w:val="num" w:pos="1440"/>
        </w:tabs>
        <w:ind w:left="1440" w:hanging="360"/>
      </w:pPr>
      <w:rPr>
        <w:rFonts w:ascii="Courier New" w:hAnsi="Courier New"/>
      </w:rPr>
    </w:lvl>
    <w:lvl w:ilvl="2" w:tplc="C4B6F03C">
      <w:start w:val="1"/>
      <w:numFmt w:val="bullet"/>
      <w:lvlText w:val=""/>
      <w:lvlJc w:val="left"/>
      <w:pPr>
        <w:tabs>
          <w:tab w:val="num" w:pos="2160"/>
        </w:tabs>
        <w:ind w:left="2160" w:hanging="360"/>
      </w:pPr>
      <w:rPr>
        <w:rFonts w:ascii="Wingdings" w:hAnsi="Wingdings"/>
      </w:rPr>
    </w:lvl>
    <w:lvl w:ilvl="3" w:tplc="DBDC4204">
      <w:start w:val="1"/>
      <w:numFmt w:val="bullet"/>
      <w:lvlText w:val=""/>
      <w:lvlJc w:val="left"/>
      <w:pPr>
        <w:tabs>
          <w:tab w:val="num" w:pos="2880"/>
        </w:tabs>
        <w:ind w:left="2880" w:hanging="360"/>
      </w:pPr>
      <w:rPr>
        <w:rFonts w:ascii="Symbol" w:hAnsi="Symbol"/>
      </w:rPr>
    </w:lvl>
    <w:lvl w:ilvl="4" w:tplc="00480150">
      <w:start w:val="1"/>
      <w:numFmt w:val="bullet"/>
      <w:lvlText w:val="o"/>
      <w:lvlJc w:val="left"/>
      <w:pPr>
        <w:tabs>
          <w:tab w:val="num" w:pos="3600"/>
        </w:tabs>
        <w:ind w:left="3600" w:hanging="360"/>
      </w:pPr>
      <w:rPr>
        <w:rFonts w:ascii="Courier New" w:hAnsi="Courier New"/>
      </w:rPr>
    </w:lvl>
    <w:lvl w:ilvl="5" w:tplc="C9126FEC">
      <w:start w:val="1"/>
      <w:numFmt w:val="bullet"/>
      <w:lvlText w:val=""/>
      <w:lvlJc w:val="left"/>
      <w:pPr>
        <w:tabs>
          <w:tab w:val="num" w:pos="4320"/>
        </w:tabs>
        <w:ind w:left="4320" w:hanging="360"/>
      </w:pPr>
      <w:rPr>
        <w:rFonts w:ascii="Wingdings" w:hAnsi="Wingdings"/>
      </w:rPr>
    </w:lvl>
    <w:lvl w:ilvl="6" w:tplc="3A5411D4">
      <w:start w:val="1"/>
      <w:numFmt w:val="bullet"/>
      <w:lvlText w:val=""/>
      <w:lvlJc w:val="left"/>
      <w:pPr>
        <w:tabs>
          <w:tab w:val="num" w:pos="5040"/>
        </w:tabs>
        <w:ind w:left="5040" w:hanging="360"/>
      </w:pPr>
      <w:rPr>
        <w:rFonts w:ascii="Symbol" w:hAnsi="Symbol"/>
      </w:rPr>
    </w:lvl>
    <w:lvl w:ilvl="7" w:tplc="74BE1578">
      <w:start w:val="1"/>
      <w:numFmt w:val="bullet"/>
      <w:lvlText w:val="o"/>
      <w:lvlJc w:val="left"/>
      <w:pPr>
        <w:tabs>
          <w:tab w:val="num" w:pos="5760"/>
        </w:tabs>
        <w:ind w:left="5760" w:hanging="360"/>
      </w:pPr>
      <w:rPr>
        <w:rFonts w:ascii="Courier New" w:hAnsi="Courier New"/>
      </w:rPr>
    </w:lvl>
    <w:lvl w:ilvl="8" w:tplc="FD8689DC">
      <w:start w:val="1"/>
      <w:numFmt w:val="bullet"/>
      <w:lvlText w:val=""/>
      <w:lvlJc w:val="left"/>
      <w:pPr>
        <w:tabs>
          <w:tab w:val="num" w:pos="6480"/>
        </w:tabs>
        <w:ind w:left="6480" w:hanging="360"/>
      </w:pPr>
      <w:rPr>
        <w:rFonts w:ascii="Wingdings" w:hAnsi="Wingdings"/>
      </w:rPr>
    </w:lvl>
  </w:abstractNum>
  <w:abstractNum w:abstractNumId="507" w15:restartNumberingAfterBreak="0">
    <w:nsid w:val="722306BD"/>
    <w:multiLevelType w:val="hybridMultilevel"/>
    <w:tmpl w:val="722306BD"/>
    <w:lvl w:ilvl="0" w:tplc="C532A7D6">
      <w:start w:val="1"/>
      <w:numFmt w:val="bullet"/>
      <w:lvlText w:val=""/>
      <w:lvlJc w:val="left"/>
      <w:pPr>
        <w:ind w:left="720" w:hanging="360"/>
      </w:pPr>
      <w:rPr>
        <w:rFonts w:ascii="Symbol" w:hAnsi="Symbol"/>
      </w:rPr>
    </w:lvl>
    <w:lvl w:ilvl="1" w:tplc="4764335C">
      <w:start w:val="1"/>
      <w:numFmt w:val="bullet"/>
      <w:lvlText w:val="o"/>
      <w:lvlJc w:val="left"/>
      <w:pPr>
        <w:tabs>
          <w:tab w:val="num" w:pos="1440"/>
        </w:tabs>
        <w:ind w:left="1440" w:hanging="360"/>
      </w:pPr>
      <w:rPr>
        <w:rFonts w:ascii="Courier New" w:hAnsi="Courier New"/>
      </w:rPr>
    </w:lvl>
    <w:lvl w:ilvl="2" w:tplc="BA8E846C">
      <w:start w:val="1"/>
      <w:numFmt w:val="bullet"/>
      <w:lvlText w:val=""/>
      <w:lvlJc w:val="left"/>
      <w:pPr>
        <w:tabs>
          <w:tab w:val="num" w:pos="2160"/>
        </w:tabs>
        <w:ind w:left="2160" w:hanging="360"/>
      </w:pPr>
      <w:rPr>
        <w:rFonts w:ascii="Wingdings" w:hAnsi="Wingdings"/>
      </w:rPr>
    </w:lvl>
    <w:lvl w:ilvl="3" w:tplc="87FA0D94">
      <w:start w:val="1"/>
      <w:numFmt w:val="bullet"/>
      <w:lvlText w:val=""/>
      <w:lvlJc w:val="left"/>
      <w:pPr>
        <w:tabs>
          <w:tab w:val="num" w:pos="2880"/>
        </w:tabs>
        <w:ind w:left="2880" w:hanging="360"/>
      </w:pPr>
      <w:rPr>
        <w:rFonts w:ascii="Symbol" w:hAnsi="Symbol"/>
      </w:rPr>
    </w:lvl>
    <w:lvl w:ilvl="4" w:tplc="691CEA18">
      <w:start w:val="1"/>
      <w:numFmt w:val="bullet"/>
      <w:lvlText w:val="o"/>
      <w:lvlJc w:val="left"/>
      <w:pPr>
        <w:tabs>
          <w:tab w:val="num" w:pos="3600"/>
        </w:tabs>
        <w:ind w:left="3600" w:hanging="360"/>
      </w:pPr>
      <w:rPr>
        <w:rFonts w:ascii="Courier New" w:hAnsi="Courier New"/>
      </w:rPr>
    </w:lvl>
    <w:lvl w:ilvl="5" w:tplc="59DE114E">
      <w:start w:val="1"/>
      <w:numFmt w:val="bullet"/>
      <w:lvlText w:val=""/>
      <w:lvlJc w:val="left"/>
      <w:pPr>
        <w:tabs>
          <w:tab w:val="num" w:pos="4320"/>
        </w:tabs>
        <w:ind w:left="4320" w:hanging="360"/>
      </w:pPr>
      <w:rPr>
        <w:rFonts w:ascii="Wingdings" w:hAnsi="Wingdings"/>
      </w:rPr>
    </w:lvl>
    <w:lvl w:ilvl="6" w:tplc="4B545A8A">
      <w:start w:val="1"/>
      <w:numFmt w:val="bullet"/>
      <w:lvlText w:val=""/>
      <w:lvlJc w:val="left"/>
      <w:pPr>
        <w:tabs>
          <w:tab w:val="num" w:pos="5040"/>
        </w:tabs>
        <w:ind w:left="5040" w:hanging="360"/>
      </w:pPr>
      <w:rPr>
        <w:rFonts w:ascii="Symbol" w:hAnsi="Symbol"/>
      </w:rPr>
    </w:lvl>
    <w:lvl w:ilvl="7" w:tplc="F1AAC70C">
      <w:start w:val="1"/>
      <w:numFmt w:val="bullet"/>
      <w:lvlText w:val="o"/>
      <w:lvlJc w:val="left"/>
      <w:pPr>
        <w:tabs>
          <w:tab w:val="num" w:pos="5760"/>
        </w:tabs>
        <w:ind w:left="5760" w:hanging="360"/>
      </w:pPr>
      <w:rPr>
        <w:rFonts w:ascii="Courier New" w:hAnsi="Courier New"/>
      </w:rPr>
    </w:lvl>
    <w:lvl w:ilvl="8" w:tplc="9E7801FE">
      <w:start w:val="1"/>
      <w:numFmt w:val="bullet"/>
      <w:lvlText w:val=""/>
      <w:lvlJc w:val="left"/>
      <w:pPr>
        <w:tabs>
          <w:tab w:val="num" w:pos="6480"/>
        </w:tabs>
        <w:ind w:left="6480" w:hanging="360"/>
      </w:pPr>
      <w:rPr>
        <w:rFonts w:ascii="Wingdings" w:hAnsi="Wingdings"/>
      </w:rPr>
    </w:lvl>
  </w:abstractNum>
  <w:abstractNum w:abstractNumId="508" w15:restartNumberingAfterBreak="0">
    <w:nsid w:val="722306BE"/>
    <w:multiLevelType w:val="hybridMultilevel"/>
    <w:tmpl w:val="722306BE"/>
    <w:lvl w:ilvl="0" w:tplc="80D870D6">
      <w:start w:val="1"/>
      <w:numFmt w:val="bullet"/>
      <w:lvlText w:val=""/>
      <w:lvlJc w:val="left"/>
      <w:pPr>
        <w:ind w:left="720" w:hanging="360"/>
      </w:pPr>
      <w:rPr>
        <w:rFonts w:ascii="Symbol" w:hAnsi="Symbol"/>
      </w:rPr>
    </w:lvl>
    <w:lvl w:ilvl="1" w:tplc="66180368">
      <w:start w:val="1"/>
      <w:numFmt w:val="bullet"/>
      <w:lvlText w:val="o"/>
      <w:lvlJc w:val="left"/>
      <w:pPr>
        <w:tabs>
          <w:tab w:val="num" w:pos="1440"/>
        </w:tabs>
        <w:ind w:left="1440" w:hanging="360"/>
      </w:pPr>
      <w:rPr>
        <w:rFonts w:ascii="Courier New" w:hAnsi="Courier New"/>
      </w:rPr>
    </w:lvl>
    <w:lvl w:ilvl="2" w:tplc="2F8429D6">
      <w:start w:val="1"/>
      <w:numFmt w:val="bullet"/>
      <w:lvlText w:val=""/>
      <w:lvlJc w:val="left"/>
      <w:pPr>
        <w:tabs>
          <w:tab w:val="num" w:pos="2160"/>
        </w:tabs>
        <w:ind w:left="2160" w:hanging="360"/>
      </w:pPr>
      <w:rPr>
        <w:rFonts w:ascii="Wingdings" w:hAnsi="Wingdings"/>
      </w:rPr>
    </w:lvl>
    <w:lvl w:ilvl="3" w:tplc="7AE2B03A">
      <w:start w:val="1"/>
      <w:numFmt w:val="bullet"/>
      <w:lvlText w:val=""/>
      <w:lvlJc w:val="left"/>
      <w:pPr>
        <w:tabs>
          <w:tab w:val="num" w:pos="2880"/>
        </w:tabs>
        <w:ind w:left="2880" w:hanging="360"/>
      </w:pPr>
      <w:rPr>
        <w:rFonts w:ascii="Symbol" w:hAnsi="Symbol"/>
      </w:rPr>
    </w:lvl>
    <w:lvl w:ilvl="4" w:tplc="5254D2F8">
      <w:start w:val="1"/>
      <w:numFmt w:val="bullet"/>
      <w:lvlText w:val="o"/>
      <w:lvlJc w:val="left"/>
      <w:pPr>
        <w:tabs>
          <w:tab w:val="num" w:pos="3600"/>
        </w:tabs>
        <w:ind w:left="3600" w:hanging="360"/>
      </w:pPr>
      <w:rPr>
        <w:rFonts w:ascii="Courier New" w:hAnsi="Courier New"/>
      </w:rPr>
    </w:lvl>
    <w:lvl w:ilvl="5" w:tplc="F9FA6EF6">
      <w:start w:val="1"/>
      <w:numFmt w:val="bullet"/>
      <w:lvlText w:val=""/>
      <w:lvlJc w:val="left"/>
      <w:pPr>
        <w:tabs>
          <w:tab w:val="num" w:pos="4320"/>
        </w:tabs>
        <w:ind w:left="4320" w:hanging="360"/>
      </w:pPr>
      <w:rPr>
        <w:rFonts w:ascii="Wingdings" w:hAnsi="Wingdings"/>
      </w:rPr>
    </w:lvl>
    <w:lvl w:ilvl="6" w:tplc="60F881C8">
      <w:start w:val="1"/>
      <w:numFmt w:val="bullet"/>
      <w:lvlText w:val=""/>
      <w:lvlJc w:val="left"/>
      <w:pPr>
        <w:tabs>
          <w:tab w:val="num" w:pos="5040"/>
        </w:tabs>
        <w:ind w:left="5040" w:hanging="360"/>
      </w:pPr>
      <w:rPr>
        <w:rFonts w:ascii="Symbol" w:hAnsi="Symbol"/>
      </w:rPr>
    </w:lvl>
    <w:lvl w:ilvl="7" w:tplc="4484FD42">
      <w:start w:val="1"/>
      <w:numFmt w:val="bullet"/>
      <w:lvlText w:val="o"/>
      <w:lvlJc w:val="left"/>
      <w:pPr>
        <w:tabs>
          <w:tab w:val="num" w:pos="5760"/>
        </w:tabs>
        <w:ind w:left="5760" w:hanging="360"/>
      </w:pPr>
      <w:rPr>
        <w:rFonts w:ascii="Courier New" w:hAnsi="Courier New"/>
      </w:rPr>
    </w:lvl>
    <w:lvl w:ilvl="8" w:tplc="54CA2372">
      <w:start w:val="1"/>
      <w:numFmt w:val="bullet"/>
      <w:lvlText w:val=""/>
      <w:lvlJc w:val="left"/>
      <w:pPr>
        <w:tabs>
          <w:tab w:val="num" w:pos="6480"/>
        </w:tabs>
        <w:ind w:left="6480" w:hanging="360"/>
      </w:pPr>
      <w:rPr>
        <w:rFonts w:ascii="Wingdings" w:hAnsi="Wingdings"/>
      </w:rPr>
    </w:lvl>
  </w:abstractNum>
  <w:abstractNum w:abstractNumId="509" w15:restartNumberingAfterBreak="0">
    <w:nsid w:val="722306BF"/>
    <w:multiLevelType w:val="hybridMultilevel"/>
    <w:tmpl w:val="722306BF"/>
    <w:lvl w:ilvl="0" w:tplc="4C5E1DD6">
      <w:start w:val="1"/>
      <w:numFmt w:val="bullet"/>
      <w:lvlText w:val=""/>
      <w:lvlJc w:val="left"/>
      <w:pPr>
        <w:ind w:left="720" w:hanging="360"/>
      </w:pPr>
      <w:rPr>
        <w:rFonts w:ascii="Symbol" w:hAnsi="Symbol"/>
      </w:rPr>
    </w:lvl>
    <w:lvl w:ilvl="1" w:tplc="FFF85F50">
      <w:start w:val="1"/>
      <w:numFmt w:val="bullet"/>
      <w:lvlText w:val="o"/>
      <w:lvlJc w:val="left"/>
      <w:pPr>
        <w:tabs>
          <w:tab w:val="num" w:pos="1440"/>
        </w:tabs>
        <w:ind w:left="1440" w:hanging="360"/>
      </w:pPr>
      <w:rPr>
        <w:rFonts w:ascii="Courier New" w:hAnsi="Courier New"/>
      </w:rPr>
    </w:lvl>
    <w:lvl w:ilvl="2" w:tplc="13224D4E">
      <w:start w:val="1"/>
      <w:numFmt w:val="bullet"/>
      <w:lvlText w:val=""/>
      <w:lvlJc w:val="left"/>
      <w:pPr>
        <w:tabs>
          <w:tab w:val="num" w:pos="2160"/>
        </w:tabs>
        <w:ind w:left="2160" w:hanging="360"/>
      </w:pPr>
      <w:rPr>
        <w:rFonts w:ascii="Wingdings" w:hAnsi="Wingdings"/>
      </w:rPr>
    </w:lvl>
    <w:lvl w:ilvl="3" w:tplc="3DF2FB16">
      <w:start w:val="1"/>
      <w:numFmt w:val="bullet"/>
      <w:lvlText w:val=""/>
      <w:lvlJc w:val="left"/>
      <w:pPr>
        <w:tabs>
          <w:tab w:val="num" w:pos="2880"/>
        </w:tabs>
        <w:ind w:left="2880" w:hanging="360"/>
      </w:pPr>
      <w:rPr>
        <w:rFonts w:ascii="Symbol" w:hAnsi="Symbol"/>
      </w:rPr>
    </w:lvl>
    <w:lvl w:ilvl="4" w:tplc="256AC14C">
      <w:start w:val="1"/>
      <w:numFmt w:val="bullet"/>
      <w:lvlText w:val="o"/>
      <w:lvlJc w:val="left"/>
      <w:pPr>
        <w:tabs>
          <w:tab w:val="num" w:pos="3600"/>
        </w:tabs>
        <w:ind w:left="3600" w:hanging="360"/>
      </w:pPr>
      <w:rPr>
        <w:rFonts w:ascii="Courier New" w:hAnsi="Courier New"/>
      </w:rPr>
    </w:lvl>
    <w:lvl w:ilvl="5" w:tplc="04AA4780">
      <w:start w:val="1"/>
      <w:numFmt w:val="bullet"/>
      <w:lvlText w:val=""/>
      <w:lvlJc w:val="left"/>
      <w:pPr>
        <w:tabs>
          <w:tab w:val="num" w:pos="4320"/>
        </w:tabs>
        <w:ind w:left="4320" w:hanging="360"/>
      </w:pPr>
      <w:rPr>
        <w:rFonts w:ascii="Wingdings" w:hAnsi="Wingdings"/>
      </w:rPr>
    </w:lvl>
    <w:lvl w:ilvl="6" w:tplc="78D88A82">
      <w:start w:val="1"/>
      <w:numFmt w:val="bullet"/>
      <w:lvlText w:val=""/>
      <w:lvlJc w:val="left"/>
      <w:pPr>
        <w:tabs>
          <w:tab w:val="num" w:pos="5040"/>
        </w:tabs>
        <w:ind w:left="5040" w:hanging="360"/>
      </w:pPr>
      <w:rPr>
        <w:rFonts w:ascii="Symbol" w:hAnsi="Symbol"/>
      </w:rPr>
    </w:lvl>
    <w:lvl w:ilvl="7" w:tplc="33DE3754">
      <w:start w:val="1"/>
      <w:numFmt w:val="bullet"/>
      <w:lvlText w:val="o"/>
      <w:lvlJc w:val="left"/>
      <w:pPr>
        <w:tabs>
          <w:tab w:val="num" w:pos="5760"/>
        </w:tabs>
        <w:ind w:left="5760" w:hanging="360"/>
      </w:pPr>
      <w:rPr>
        <w:rFonts w:ascii="Courier New" w:hAnsi="Courier New"/>
      </w:rPr>
    </w:lvl>
    <w:lvl w:ilvl="8" w:tplc="16E6C4DA">
      <w:start w:val="1"/>
      <w:numFmt w:val="bullet"/>
      <w:lvlText w:val=""/>
      <w:lvlJc w:val="left"/>
      <w:pPr>
        <w:tabs>
          <w:tab w:val="num" w:pos="6480"/>
        </w:tabs>
        <w:ind w:left="6480" w:hanging="360"/>
      </w:pPr>
      <w:rPr>
        <w:rFonts w:ascii="Wingdings" w:hAnsi="Wingdings"/>
      </w:rPr>
    </w:lvl>
  </w:abstractNum>
  <w:abstractNum w:abstractNumId="510" w15:restartNumberingAfterBreak="0">
    <w:nsid w:val="722306C0"/>
    <w:multiLevelType w:val="hybridMultilevel"/>
    <w:tmpl w:val="722306C0"/>
    <w:lvl w:ilvl="0" w:tplc="3B0CBA32">
      <w:start w:val="1"/>
      <w:numFmt w:val="bullet"/>
      <w:lvlText w:val=""/>
      <w:lvlJc w:val="left"/>
      <w:pPr>
        <w:ind w:left="720" w:hanging="360"/>
      </w:pPr>
      <w:rPr>
        <w:rFonts w:ascii="Symbol" w:hAnsi="Symbol"/>
      </w:rPr>
    </w:lvl>
    <w:lvl w:ilvl="1" w:tplc="A690695C">
      <w:start w:val="1"/>
      <w:numFmt w:val="bullet"/>
      <w:lvlText w:val="o"/>
      <w:lvlJc w:val="left"/>
      <w:pPr>
        <w:tabs>
          <w:tab w:val="num" w:pos="1440"/>
        </w:tabs>
        <w:ind w:left="1440" w:hanging="360"/>
      </w:pPr>
      <w:rPr>
        <w:rFonts w:ascii="Courier New" w:hAnsi="Courier New"/>
      </w:rPr>
    </w:lvl>
    <w:lvl w:ilvl="2" w:tplc="6B60E008">
      <w:start w:val="1"/>
      <w:numFmt w:val="bullet"/>
      <w:lvlText w:val=""/>
      <w:lvlJc w:val="left"/>
      <w:pPr>
        <w:tabs>
          <w:tab w:val="num" w:pos="2160"/>
        </w:tabs>
        <w:ind w:left="2160" w:hanging="360"/>
      </w:pPr>
      <w:rPr>
        <w:rFonts w:ascii="Wingdings" w:hAnsi="Wingdings"/>
      </w:rPr>
    </w:lvl>
    <w:lvl w:ilvl="3" w:tplc="4CFE4148">
      <w:start w:val="1"/>
      <w:numFmt w:val="bullet"/>
      <w:lvlText w:val=""/>
      <w:lvlJc w:val="left"/>
      <w:pPr>
        <w:tabs>
          <w:tab w:val="num" w:pos="2880"/>
        </w:tabs>
        <w:ind w:left="2880" w:hanging="360"/>
      </w:pPr>
      <w:rPr>
        <w:rFonts w:ascii="Symbol" w:hAnsi="Symbol"/>
      </w:rPr>
    </w:lvl>
    <w:lvl w:ilvl="4" w:tplc="D7CEAEDE">
      <w:start w:val="1"/>
      <w:numFmt w:val="bullet"/>
      <w:lvlText w:val="o"/>
      <w:lvlJc w:val="left"/>
      <w:pPr>
        <w:tabs>
          <w:tab w:val="num" w:pos="3600"/>
        </w:tabs>
        <w:ind w:left="3600" w:hanging="360"/>
      </w:pPr>
      <w:rPr>
        <w:rFonts w:ascii="Courier New" w:hAnsi="Courier New"/>
      </w:rPr>
    </w:lvl>
    <w:lvl w:ilvl="5" w:tplc="25A20034">
      <w:start w:val="1"/>
      <w:numFmt w:val="bullet"/>
      <w:lvlText w:val=""/>
      <w:lvlJc w:val="left"/>
      <w:pPr>
        <w:tabs>
          <w:tab w:val="num" w:pos="4320"/>
        </w:tabs>
        <w:ind w:left="4320" w:hanging="360"/>
      </w:pPr>
      <w:rPr>
        <w:rFonts w:ascii="Wingdings" w:hAnsi="Wingdings"/>
      </w:rPr>
    </w:lvl>
    <w:lvl w:ilvl="6" w:tplc="2DFA1D00">
      <w:start w:val="1"/>
      <w:numFmt w:val="bullet"/>
      <w:lvlText w:val=""/>
      <w:lvlJc w:val="left"/>
      <w:pPr>
        <w:tabs>
          <w:tab w:val="num" w:pos="5040"/>
        </w:tabs>
        <w:ind w:left="5040" w:hanging="360"/>
      </w:pPr>
      <w:rPr>
        <w:rFonts w:ascii="Symbol" w:hAnsi="Symbol"/>
      </w:rPr>
    </w:lvl>
    <w:lvl w:ilvl="7" w:tplc="EA428DD6">
      <w:start w:val="1"/>
      <w:numFmt w:val="bullet"/>
      <w:lvlText w:val="o"/>
      <w:lvlJc w:val="left"/>
      <w:pPr>
        <w:tabs>
          <w:tab w:val="num" w:pos="5760"/>
        </w:tabs>
        <w:ind w:left="5760" w:hanging="360"/>
      </w:pPr>
      <w:rPr>
        <w:rFonts w:ascii="Courier New" w:hAnsi="Courier New"/>
      </w:rPr>
    </w:lvl>
    <w:lvl w:ilvl="8" w:tplc="EF121772">
      <w:start w:val="1"/>
      <w:numFmt w:val="bullet"/>
      <w:lvlText w:val=""/>
      <w:lvlJc w:val="left"/>
      <w:pPr>
        <w:tabs>
          <w:tab w:val="num" w:pos="6480"/>
        </w:tabs>
        <w:ind w:left="6480" w:hanging="360"/>
      </w:pPr>
      <w:rPr>
        <w:rFonts w:ascii="Wingdings" w:hAnsi="Wingdings"/>
      </w:rPr>
    </w:lvl>
  </w:abstractNum>
  <w:abstractNum w:abstractNumId="511" w15:restartNumberingAfterBreak="0">
    <w:nsid w:val="722306C1"/>
    <w:multiLevelType w:val="hybridMultilevel"/>
    <w:tmpl w:val="722306C1"/>
    <w:lvl w:ilvl="0" w:tplc="FF30741C">
      <w:start w:val="1"/>
      <w:numFmt w:val="bullet"/>
      <w:lvlText w:val=""/>
      <w:lvlJc w:val="left"/>
      <w:pPr>
        <w:ind w:left="720" w:hanging="360"/>
      </w:pPr>
      <w:rPr>
        <w:rFonts w:ascii="Symbol" w:hAnsi="Symbol"/>
      </w:rPr>
    </w:lvl>
    <w:lvl w:ilvl="1" w:tplc="DC9860C0">
      <w:start w:val="1"/>
      <w:numFmt w:val="bullet"/>
      <w:lvlText w:val="o"/>
      <w:lvlJc w:val="left"/>
      <w:pPr>
        <w:tabs>
          <w:tab w:val="num" w:pos="1440"/>
        </w:tabs>
        <w:ind w:left="1440" w:hanging="360"/>
      </w:pPr>
      <w:rPr>
        <w:rFonts w:ascii="Courier New" w:hAnsi="Courier New"/>
      </w:rPr>
    </w:lvl>
    <w:lvl w:ilvl="2" w:tplc="26247E6A">
      <w:start w:val="1"/>
      <w:numFmt w:val="bullet"/>
      <w:lvlText w:val=""/>
      <w:lvlJc w:val="left"/>
      <w:pPr>
        <w:tabs>
          <w:tab w:val="num" w:pos="2160"/>
        </w:tabs>
        <w:ind w:left="2160" w:hanging="360"/>
      </w:pPr>
      <w:rPr>
        <w:rFonts w:ascii="Wingdings" w:hAnsi="Wingdings"/>
      </w:rPr>
    </w:lvl>
    <w:lvl w:ilvl="3" w:tplc="36802960">
      <w:start w:val="1"/>
      <w:numFmt w:val="bullet"/>
      <w:lvlText w:val=""/>
      <w:lvlJc w:val="left"/>
      <w:pPr>
        <w:tabs>
          <w:tab w:val="num" w:pos="2880"/>
        </w:tabs>
        <w:ind w:left="2880" w:hanging="360"/>
      </w:pPr>
      <w:rPr>
        <w:rFonts w:ascii="Symbol" w:hAnsi="Symbol"/>
      </w:rPr>
    </w:lvl>
    <w:lvl w:ilvl="4" w:tplc="A7A62F8A">
      <w:start w:val="1"/>
      <w:numFmt w:val="bullet"/>
      <w:lvlText w:val="o"/>
      <w:lvlJc w:val="left"/>
      <w:pPr>
        <w:tabs>
          <w:tab w:val="num" w:pos="3600"/>
        </w:tabs>
        <w:ind w:left="3600" w:hanging="360"/>
      </w:pPr>
      <w:rPr>
        <w:rFonts w:ascii="Courier New" w:hAnsi="Courier New"/>
      </w:rPr>
    </w:lvl>
    <w:lvl w:ilvl="5" w:tplc="2B1E8AD4">
      <w:start w:val="1"/>
      <w:numFmt w:val="bullet"/>
      <w:lvlText w:val=""/>
      <w:lvlJc w:val="left"/>
      <w:pPr>
        <w:tabs>
          <w:tab w:val="num" w:pos="4320"/>
        </w:tabs>
        <w:ind w:left="4320" w:hanging="360"/>
      </w:pPr>
      <w:rPr>
        <w:rFonts w:ascii="Wingdings" w:hAnsi="Wingdings"/>
      </w:rPr>
    </w:lvl>
    <w:lvl w:ilvl="6" w:tplc="5A12C740">
      <w:start w:val="1"/>
      <w:numFmt w:val="bullet"/>
      <w:lvlText w:val=""/>
      <w:lvlJc w:val="left"/>
      <w:pPr>
        <w:tabs>
          <w:tab w:val="num" w:pos="5040"/>
        </w:tabs>
        <w:ind w:left="5040" w:hanging="360"/>
      </w:pPr>
      <w:rPr>
        <w:rFonts w:ascii="Symbol" w:hAnsi="Symbol"/>
      </w:rPr>
    </w:lvl>
    <w:lvl w:ilvl="7" w:tplc="5CEC3A4C">
      <w:start w:val="1"/>
      <w:numFmt w:val="bullet"/>
      <w:lvlText w:val="o"/>
      <w:lvlJc w:val="left"/>
      <w:pPr>
        <w:tabs>
          <w:tab w:val="num" w:pos="5760"/>
        </w:tabs>
        <w:ind w:left="5760" w:hanging="360"/>
      </w:pPr>
      <w:rPr>
        <w:rFonts w:ascii="Courier New" w:hAnsi="Courier New"/>
      </w:rPr>
    </w:lvl>
    <w:lvl w:ilvl="8" w:tplc="D10E8ACE">
      <w:start w:val="1"/>
      <w:numFmt w:val="bullet"/>
      <w:lvlText w:val=""/>
      <w:lvlJc w:val="left"/>
      <w:pPr>
        <w:tabs>
          <w:tab w:val="num" w:pos="6480"/>
        </w:tabs>
        <w:ind w:left="6480" w:hanging="360"/>
      </w:pPr>
      <w:rPr>
        <w:rFonts w:ascii="Wingdings" w:hAnsi="Wingdings"/>
      </w:rPr>
    </w:lvl>
  </w:abstractNum>
  <w:abstractNum w:abstractNumId="512" w15:restartNumberingAfterBreak="0">
    <w:nsid w:val="722306C2"/>
    <w:multiLevelType w:val="hybridMultilevel"/>
    <w:tmpl w:val="722306C2"/>
    <w:lvl w:ilvl="0" w:tplc="0CDA520E">
      <w:start w:val="1"/>
      <w:numFmt w:val="bullet"/>
      <w:lvlText w:val=""/>
      <w:lvlJc w:val="left"/>
      <w:pPr>
        <w:ind w:left="720" w:hanging="360"/>
      </w:pPr>
      <w:rPr>
        <w:rFonts w:ascii="Symbol" w:hAnsi="Symbol"/>
      </w:rPr>
    </w:lvl>
    <w:lvl w:ilvl="1" w:tplc="3FC60A18">
      <w:start w:val="1"/>
      <w:numFmt w:val="bullet"/>
      <w:lvlText w:val="o"/>
      <w:lvlJc w:val="left"/>
      <w:pPr>
        <w:tabs>
          <w:tab w:val="num" w:pos="1440"/>
        </w:tabs>
        <w:ind w:left="1440" w:hanging="360"/>
      </w:pPr>
      <w:rPr>
        <w:rFonts w:ascii="Courier New" w:hAnsi="Courier New"/>
      </w:rPr>
    </w:lvl>
    <w:lvl w:ilvl="2" w:tplc="A04069CC">
      <w:start w:val="1"/>
      <w:numFmt w:val="bullet"/>
      <w:lvlText w:val=""/>
      <w:lvlJc w:val="left"/>
      <w:pPr>
        <w:tabs>
          <w:tab w:val="num" w:pos="2160"/>
        </w:tabs>
        <w:ind w:left="2160" w:hanging="360"/>
      </w:pPr>
      <w:rPr>
        <w:rFonts w:ascii="Wingdings" w:hAnsi="Wingdings"/>
      </w:rPr>
    </w:lvl>
    <w:lvl w:ilvl="3" w:tplc="509E233C">
      <w:start w:val="1"/>
      <w:numFmt w:val="bullet"/>
      <w:lvlText w:val=""/>
      <w:lvlJc w:val="left"/>
      <w:pPr>
        <w:tabs>
          <w:tab w:val="num" w:pos="2880"/>
        </w:tabs>
        <w:ind w:left="2880" w:hanging="360"/>
      </w:pPr>
      <w:rPr>
        <w:rFonts w:ascii="Symbol" w:hAnsi="Symbol"/>
      </w:rPr>
    </w:lvl>
    <w:lvl w:ilvl="4" w:tplc="227C6AA6">
      <w:start w:val="1"/>
      <w:numFmt w:val="bullet"/>
      <w:lvlText w:val="o"/>
      <w:lvlJc w:val="left"/>
      <w:pPr>
        <w:tabs>
          <w:tab w:val="num" w:pos="3600"/>
        </w:tabs>
        <w:ind w:left="3600" w:hanging="360"/>
      </w:pPr>
      <w:rPr>
        <w:rFonts w:ascii="Courier New" w:hAnsi="Courier New"/>
      </w:rPr>
    </w:lvl>
    <w:lvl w:ilvl="5" w:tplc="EC3A0E6A">
      <w:start w:val="1"/>
      <w:numFmt w:val="bullet"/>
      <w:lvlText w:val=""/>
      <w:lvlJc w:val="left"/>
      <w:pPr>
        <w:tabs>
          <w:tab w:val="num" w:pos="4320"/>
        </w:tabs>
        <w:ind w:left="4320" w:hanging="360"/>
      </w:pPr>
      <w:rPr>
        <w:rFonts w:ascii="Wingdings" w:hAnsi="Wingdings"/>
      </w:rPr>
    </w:lvl>
    <w:lvl w:ilvl="6" w:tplc="41884D66">
      <w:start w:val="1"/>
      <w:numFmt w:val="bullet"/>
      <w:lvlText w:val=""/>
      <w:lvlJc w:val="left"/>
      <w:pPr>
        <w:tabs>
          <w:tab w:val="num" w:pos="5040"/>
        </w:tabs>
        <w:ind w:left="5040" w:hanging="360"/>
      </w:pPr>
      <w:rPr>
        <w:rFonts w:ascii="Symbol" w:hAnsi="Symbol"/>
      </w:rPr>
    </w:lvl>
    <w:lvl w:ilvl="7" w:tplc="AD42417E">
      <w:start w:val="1"/>
      <w:numFmt w:val="bullet"/>
      <w:lvlText w:val="o"/>
      <w:lvlJc w:val="left"/>
      <w:pPr>
        <w:tabs>
          <w:tab w:val="num" w:pos="5760"/>
        </w:tabs>
        <w:ind w:left="5760" w:hanging="360"/>
      </w:pPr>
      <w:rPr>
        <w:rFonts w:ascii="Courier New" w:hAnsi="Courier New"/>
      </w:rPr>
    </w:lvl>
    <w:lvl w:ilvl="8" w:tplc="0242F538">
      <w:start w:val="1"/>
      <w:numFmt w:val="bullet"/>
      <w:lvlText w:val=""/>
      <w:lvlJc w:val="left"/>
      <w:pPr>
        <w:tabs>
          <w:tab w:val="num" w:pos="6480"/>
        </w:tabs>
        <w:ind w:left="6480" w:hanging="360"/>
      </w:pPr>
      <w:rPr>
        <w:rFonts w:ascii="Wingdings" w:hAnsi="Wingdings"/>
      </w:rPr>
    </w:lvl>
  </w:abstractNum>
  <w:abstractNum w:abstractNumId="513" w15:restartNumberingAfterBreak="0">
    <w:nsid w:val="722306C3"/>
    <w:multiLevelType w:val="hybridMultilevel"/>
    <w:tmpl w:val="722306C3"/>
    <w:lvl w:ilvl="0" w:tplc="6AFE047A">
      <w:start w:val="1"/>
      <w:numFmt w:val="bullet"/>
      <w:lvlText w:val=""/>
      <w:lvlJc w:val="left"/>
      <w:pPr>
        <w:ind w:left="720" w:hanging="360"/>
      </w:pPr>
      <w:rPr>
        <w:rFonts w:ascii="Symbol" w:hAnsi="Symbol"/>
      </w:rPr>
    </w:lvl>
    <w:lvl w:ilvl="1" w:tplc="2014E132">
      <w:start w:val="1"/>
      <w:numFmt w:val="bullet"/>
      <w:lvlText w:val="o"/>
      <w:lvlJc w:val="left"/>
      <w:pPr>
        <w:tabs>
          <w:tab w:val="num" w:pos="1440"/>
        </w:tabs>
        <w:ind w:left="1440" w:hanging="360"/>
      </w:pPr>
      <w:rPr>
        <w:rFonts w:ascii="Courier New" w:hAnsi="Courier New"/>
      </w:rPr>
    </w:lvl>
    <w:lvl w:ilvl="2" w:tplc="E4BA326E">
      <w:start w:val="1"/>
      <w:numFmt w:val="bullet"/>
      <w:lvlText w:val=""/>
      <w:lvlJc w:val="left"/>
      <w:pPr>
        <w:tabs>
          <w:tab w:val="num" w:pos="2160"/>
        </w:tabs>
        <w:ind w:left="2160" w:hanging="360"/>
      </w:pPr>
      <w:rPr>
        <w:rFonts w:ascii="Wingdings" w:hAnsi="Wingdings"/>
      </w:rPr>
    </w:lvl>
    <w:lvl w:ilvl="3" w:tplc="14F44EF0">
      <w:start w:val="1"/>
      <w:numFmt w:val="bullet"/>
      <w:lvlText w:val=""/>
      <w:lvlJc w:val="left"/>
      <w:pPr>
        <w:tabs>
          <w:tab w:val="num" w:pos="2880"/>
        </w:tabs>
        <w:ind w:left="2880" w:hanging="360"/>
      </w:pPr>
      <w:rPr>
        <w:rFonts w:ascii="Symbol" w:hAnsi="Symbol"/>
      </w:rPr>
    </w:lvl>
    <w:lvl w:ilvl="4" w:tplc="B3AEAB4E">
      <w:start w:val="1"/>
      <w:numFmt w:val="bullet"/>
      <w:lvlText w:val="o"/>
      <w:lvlJc w:val="left"/>
      <w:pPr>
        <w:tabs>
          <w:tab w:val="num" w:pos="3600"/>
        </w:tabs>
        <w:ind w:left="3600" w:hanging="360"/>
      </w:pPr>
      <w:rPr>
        <w:rFonts w:ascii="Courier New" w:hAnsi="Courier New"/>
      </w:rPr>
    </w:lvl>
    <w:lvl w:ilvl="5" w:tplc="3F0CFA82">
      <w:start w:val="1"/>
      <w:numFmt w:val="bullet"/>
      <w:lvlText w:val=""/>
      <w:lvlJc w:val="left"/>
      <w:pPr>
        <w:tabs>
          <w:tab w:val="num" w:pos="4320"/>
        </w:tabs>
        <w:ind w:left="4320" w:hanging="360"/>
      </w:pPr>
      <w:rPr>
        <w:rFonts w:ascii="Wingdings" w:hAnsi="Wingdings"/>
      </w:rPr>
    </w:lvl>
    <w:lvl w:ilvl="6" w:tplc="EEB677C2">
      <w:start w:val="1"/>
      <w:numFmt w:val="bullet"/>
      <w:lvlText w:val=""/>
      <w:lvlJc w:val="left"/>
      <w:pPr>
        <w:tabs>
          <w:tab w:val="num" w:pos="5040"/>
        </w:tabs>
        <w:ind w:left="5040" w:hanging="360"/>
      </w:pPr>
      <w:rPr>
        <w:rFonts w:ascii="Symbol" w:hAnsi="Symbol"/>
      </w:rPr>
    </w:lvl>
    <w:lvl w:ilvl="7" w:tplc="E792492A">
      <w:start w:val="1"/>
      <w:numFmt w:val="bullet"/>
      <w:lvlText w:val="o"/>
      <w:lvlJc w:val="left"/>
      <w:pPr>
        <w:tabs>
          <w:tab w:val="num" w:pos="5760"/>
        </w:tabs>
        <w:ind w:left="5760" w:hanging="360"/>
      </w:pPr>
      <w:rPr>
        <w:rFonts w:ascii="Courier New" w:hAnsi="Courier New"/>
      </w:rPr>
    </w:lvl>
    <w:lvl w:ilvl="8" w:tplc="2CCC0572">
      <w:start w:val="1"/>
      <w:numFmt w:val="bullet"/>
      <w:lvlText w:val=""/>
      <w:lvlJc w:val="left"/>
      <w:pPr>
        <w:tabs>
          <w:tab w:val="num" w:pos="6480"/>
        </w:tabs>
        <w:ind w:left="6480" w:hanging="360"/>
      </w:pPr>
      <w:rPr>
        <w:rFonts w:ascii="Wingdings" w:hAnsi="Wingdings"/>
      </w:rPr>
    </w:lvl>
  </w:abstractNum>
  <w:abstractNum w:abstractNumId="514" w15:restartNumberingAfterBreak="0">
    <w:nsid w:val="722306C4"/>
    <w:multiLevelType w:val="hybridMultilevel"/>
    <w:tmpl w:val="722306C4"/>
    <w:lvl w:ilvl="0" w:tplc="44420D90">
      <w:start w:val="1"/>
      <w:numFmt w:val="bullet"/>
      <w:lvlText w:val=""/>
      <w:lvlJc w:val="left"/>
      <w:pPr>
        <w:tabs>
          <w:tab w:val="num" w:pos="720"/>
        </w:tabs>
        <w:ind w:left="720" w:hanging="360"/>
      </w:pPr>
      <w:rPr>
        <w:rFonts w:ascii="Symbol" w:hAnsi="Symbol"/>
      </w:rPr>
    </w:lvl>
    <w:lvl w:ilvl="1" w:tplc="BD4EE58E">
      <w:start w:val="1"/>
      <w:numFmt w:val="bullet"/>
      <w:lvlText w:val="o"/>
      <w:lvlJc w:val="left"/>
      <w:pPr>
        <w:tabs>
          <w:tab w:val="num" w:pos="1440"/>
        </w:tabs>
        <w:ind w:left="1440" w:hanging="360"/>
      </w:pPr>
      <w:rPr>
        <w:rFonts w:ascii="Courier New" w:hAnsi="Courier New"/>
      </w:rPr>
    </w:lvl>
    <w:lvl w:ilvl="2" w:tplc="F5AA19F2">
      <w:start w:val="1"/>
      <w:numFmt w:val="bullet"/>
      <w:lvlText w:val=""/>
      <w:lvlJc w:val="left"/>
      <w:pPr>
        <w:tabs>
          <w:tab w:val="num" w:pos="2160"/>
        </w:tabs>
        <w:ind w:left="2160" w:hanging="360"/>
      </w:pPr>
      <w:rPr>
        <w:rFonts w:ascii="Wingdings" w:hAnsi="Wingdings"/>
      </w:rPr>
    </w:lvl>
    <w:lvl w:ilvl="3" w:tplc="9EE431CA">
      <w:start w:val="1"/>
      <w:numFmt w:val="bullet"/>
      <w:lvlText w:val=""/>
      <w:lvlJc w:val="left"/>
      <w:pPr>
        <w:tabs>
          <w:tab w:val="num" w:pos="2880"/>
        </w:tabs>
        <w:ind w:left="2880" w:hanging="360"/>
      </w:pPr>
      <w:rPr>
        <w:rFonts w:ascii="Symbol" w:hAnsi="Symbol"/>
      </w:rPr>
    </w:lvl>
    <w:lvl w:ilvl="4" w:tplc="942861DA">
      <w:start w:val="1"/>
      <w:numFmt w:val="bullet"/>
      <w:lvlText w:val="o"/>
      <w:lvlJc w:val="left"/>
      <w:pPr>
        <w:tabs>
          <w:tab w:val="num" w:pos="3600"/>
        </w:tabs>
        <w:ind w:left="3600" w:hanging="360"/>
      </w:pPr>
      <w:rPr>
        <w:rFonts w:ascii="Courier New" w:hAnsi="Courier New"/>
      </w:rPr>
    </w:lvl>
    <w:lvl w:ilvl="5" w:tplc="6B6A21A8">
      <w:start w:val="1"/>
      <w:numFmt w:val="bullet"/>
      <w:lvlText w:val=""/>
      <w:lvlJc w:val="left"/>
      <w:pPr>
        <w:tabs>
          <w:tab w:val="num" w:pos="4320"/>
        </w:tabs>
        <w:ind w:left="4320" w:hanging="360"/>
      </w:pPr>
      <w:rPr>
        <w:rFonts w:ascii="Wingdings" w:hAnsi="Wingdings"/>
      </w:rPr>
    </w:lvl>
    <w:lvl w:ilvl="6" w:tplc="A2A884D2">
      <w:start w:val="1"/>
      <w:numFmt w:val="bullet"/>
      <w:lvlText w:val=""/>
      <w:lvlJc w:val="left"/>
      <w:pPr>
        <w:tabs>
          <w:tab w:val="num" w:pos="5040"/>
        </w:tabs>
        <w:ind w:left="5040" w:hanging="360"/>
      </w:pPr>
      <w:rPr>
        <w:rFonts w:ascii="Symbol" w:hAnsi="Symbol"/>
      </w:rPr>
    </w:lvl>
    <w:lvl w:ilvl="7" w:tplc="0DCC9B30">
      <w:start w:val="1"/>
      <w:numFmt w:val="bullet"/>
      <w:lvlText w:val="o"/>
      <w:lvlJc w:val="left"/>
      <w:pPr>
        <w:tabs>
          <w:tab w:val="num" w:pos="5760"/>
        </w:tabs>
        <w:ind w:left="5760" w:hanging="360"/>
      </w:pPr>
      <w:rPr>
        <w:rFonts w:ascii="Courier New" w:hAnsi="Courier New"/>
      </w:rPr>
    </w:lvl>
    <w:lvl w:ilvl="8" w:tplc="06B23724">
      <w:start w:val="1"/>
      <w:numFmt w:val="bullet"/>
      <w:lvlText w:val=""/>
      <w:lvlJc w:val="left"/>
      <w:pPr>
        <w:tabs>
          <w:tab w:val="num" w:pos="6480"/>
        </w:tabs>
        <w:ind w:left="6480" w:hanging="360"/>
      </w:pPr>
      <w:rPr>
        <w:rFonts w:ascii="Wingdings" w:hAnsi="Wingdings"/>
      </w:rPr>
    </w:lvl>
  </w:abstractNum>
  <w:abstractNum w:abstractNumId="515" w15:restartNumberingAfterBreak="0">
    <w:nsid w:val="722306C5"/>
    <w:multiLevelType w:val="hybridMultilevel"/>
    <w:tmpl w:val="722306C5"/>
    <w:lvl w:ilvl="0" w:tplc="0E20205C">
      <w:start w:val="1"/>
      <w:numFmt w:val="bullet"/>
      <w:lvlText w:val=""/>
      <w:lvlJc w:val="left"/>
      <w:pPr>
        <w:ind w:left="720" w:hanging="360"/>
      </w:pPr>
      <w:rPr>
        <w:rFonts w:ascii="Symbol" w:hAnsi="Symbol"/>
      </w:rPr>
    </w:lvl>
    <w:lvl w:ilvl="1" w:tplc="E12E60D2">
      <w:start w:val="1"/>
      <w:numFmt w:val="bullet"/>
      <w:lvlText w:val="o"/>
      <w:lvlJc w:val="left"/>
      <w:pPr>
        <w:tabs>
          <w:tab w:val="num" w:pos="1440"/>
        </w:tabs>
        <w:ind w:left="1440" w:hanging="360"/>
      </w:pPr>
      <w:rPr>
        <w:rFonts w:ascii="Courier New" w:hAnsi="Courier New"/>
      </w:rPr>
    </w:lvl>
    <w:lvl w:ilvl="2" w:tplc="EF8432C4">
      <w:start w:val="1"/>
      <w:numFmt w:val="bullet"/>
      <w:lvlText w:val=""/>
      <w:lvlJc w:val="left"/>
      <w:pPr>
        <w:tabs>
          <w:tab w:val="num" w:pos="2160"/>
        </w:tabs>
        <w:ind w:left="2160" w:hanging="360"/>
      </w:pPr>
      <w:rPr>
        <w:rFonts w:ascii="Wingdings" w:hAnsi="Wingdings"/>
      </w:rPr>
    </w:lvl>
    <w:lvl w:ilvl="3" w:tplc="D9761064">
      <w:start w:val="1"/>
      <w:numFmt w:val="bullet"/>
      <w:lvlText w:val=""/>
      <w:lvlJc w:val="left"/>
      <w:pPr>
        <w:tabs>
          <w:tab w:val="num" w:pos="2880"/>
        </w:tabs>
        <w:ind w:left="2880" w:hanging="360"/>
      </w:pPr>
      <w:rPr>
        <w:rFonts w:ascii="Symbol" w:hAnsi="Symbol"/>
      </w:rPr>
    </w:lvl>
    <w:lvl w:ilvl="4" w:tplc="51F0BFDA">
      <w:start w:val="1"/>
      <w:numFmt w:val="bullet"/>
      <w:lvlText w:val="o"/>
      <w:lvlJc w:val="left"/>
      <w:pPr>
        <w:tabs>
          <w:tab w:val="num" w:pos="3600"/>
        </w:tabs>
        <w:ind w:left="3600" w:hanging="360"/>
      </w:pPr>
      <w:rPr>
        <w:rFonts w:ascii="Courier New" w:hAnsi="Courier New"/>
      </w:rPr>
    </w:lvl>
    <w:lvl w:ilvl="5" w:tplc="82B4A2E8">
      <w:start w:val="1"/>
      <w:numFmt w:val="bullet"/>
      <w:lvlText w:val=""/>
      <w:lvlJc w:val="left"/>
      <w:pPr>
        <w:tabs>
          <w:tab w:val="num" w:pos="4320"/>
        </w:tabs>
        <w:ind w:left="4320" w:hanging="360"/>
      </w:pPr>
      <w:rPr>
        <w:rFonts w:ascii="Wingdings" w:hAnsi="Wingdings"/>
      </w:rPr>
    </w:lvl>
    <w:lvl w:ilvl="6" w:tplc="39B2DA70">
      <w:start w:val="1"/>
      <w:numFmt w:val="bullet"/>
      <w:lvlText w:val=""/>
      <w:lvlJc w:val="left"/>
      <w:pPr>
        <w:tabs>
          <w:tab w:val="num" w:pos="5040"/>
        </w:tabs>
        <w:ind w:left="5040" w:hanging="360"/>
      </w:pPr>
      <w:rPr>
        <w:rFonts w:ascii="Symbol" w:hAnsi="Symbol"/>
      </w:rPr>
    </w:lvl>
    <w:lvl w:ilvl="7" w:tplc="9CA035D4">
      <w:start w:val="1"/>
      <w:numFmt w:val="bullet"/>
      <w:lvlText w:val="o"/>
      <w:lvlJc w:val="left"/>
      <w:pPr>
        <w:tabs>
          <w:tab w:val="num" w:pos="5760"/>
        </w:tabs>
        <w:ind w:left="5760" w:hanging="360"/>
      </w:pPr>
      <w:rPr>
        <w:rFonts w:ascii="Courier New" w:hAnsi="Courier New"/>
      </w:rPr>
    </w:lvl>
    <w:lvl w:ilvl="8" w:tplc="5D6C61FE">
      <w:start w:val="1"/>
      <w:numFmt w:val="bullet"/>
      <w:lvlText w:val=""/>
      <w:lvlJc w:val="left"/>
      <w:pPr>
        <w:tabs>
          <w:tab w:val="num" w:pos="6480"/>
        </w:tabs>
        <w:ind w:left="6480" w:hanging="360"/>
      </w:pPr>
      <w:rPr>
        <w:rFonts w:ascii="Wingdings" w:hAnsi="Wingdings"/>
      </w:rPr>
    </w:lvl>
  </w:abstractNum>
  <w:abstractNum w:abstractNumId="516" w15:restartNumberingAfterBreak="0">
    <w:nsid w:val="722306C6"/>
    <w:multiLevelType w:val="hybridMultilevel"/>
    <w:tmpl w:val="722306C6"/>
    <w:lvl w:ilvl="0" w:tplc="2D7EBA8A">
      <w:start w:val="1"/>
      <w:numFmt w:val="bullet"/>
      <w:lvlText w:val=""/>
      <w:lvlJc w:val="left"/>
      <w:pPr>
        <w:ind w:left="720" w:hanging="360"/>
      </w:pPr>
      <w:rPr>
        <w:rFonts w:ascii="Symbol" w:hAnsi="Symbol"/>
      </w:rPr>
    </w:lvl>
    <w:lvl w:ilvl="1" w:tplc="B9D23E1C">
      <w:start w:val="1"/>
      <w:numFmt w:val="bullet"/>
      <w:lvlText w:val="o"/>
      <w:lvlJc w:val="left"/>
      <w:pPr>
        <w:tabs>
          <w:tab w:val="num" w:pos="1440"/>
        </w:tabs>
        <w:ind w:left="1440" w:hanging="360"/>
      </w:pPr>
      <w:rPr>
        <w:rFonts w:ascii="Courier New" w:hAnsi="Courier New"/>
      </w:rPr>
    </w:lvl>
    <w:lvl w:ilvl="2" w:tplc="438CBCA8">
      <w:start w:val="1"/>
      <w:numFmt w:val="bullet"/>
      <w:lvlText w:val=""/>
      <w:lvlJc w:val="left"/>
      <w:pPr>
        <w:tabs>
          <w:tab w:val="num" w:pos="2160"/>
        </w:tabs>
        <w:ind w:left="2160" w:hanging="360"/>
      </w:pPr>
      <w:rPr>
        <w:rFonts w:ascii="Wingdings" w:hAnsi="Wingdings"/>
      </w:rPr>
    </w:lvl>
    <w:lvl w:ilvl="3" w:tplc="00B810FC">
      <w:start w:val="1"/>
      <w:numFmt w:val="bullet"/>
      <w:lvlText w:val=""/>
      <w:lvlJc w:val="left"/>
      <w:pPr>
        <w:tabs>
          <w:tab w:val="num" w:pos="2880"/>
        </w:tabs>
        <w:ind w:left="2880" w:hanging="360"/>
      </w:pPr>
      <w:rPr>
        <w:rFonts w:ascii="Symbol" w:hAnsi="Symbol"/>
      </w:rPr>
    </w:lvl>
    <w:lvl w:ilvl="4" w:tplc="1A101982">
      <w:start w:val="1"/>
      <w:numFmt w:val="bullet"/>
      <w:lvlText w:val="o"/>
      <w:lvlJc w:val="left"/>
      <w:pPr>
        <w:tabs>
          <w:tab w:val="num" w:pos="3600"/>
        </w:tabs>
        <w:ind w:left="3600" w:hanging="360"/>
      </w:pPr>
      <w:rPr>
        <w:rFonts w:ascii="Courier New" w:hAnsi="Courier New"/>
      </w:rPr>
    </w:lvl>
    <w:lvl w:ilvl="5" w:tplc="CF06A9DC">
      <w:start w:val="1"/>
      <w:numFmt w:val="bullet"/>
      <w:lvlText w:val=""/>
      <w:lvlJc w:val="left"/>
      <w:pPr>
        <w:tabs>
          <w:tab w:val="num" w:pos="4320"/>
        </w:tabs>
        <w:ind w:left="4320" w:hanging="360"/>
      </w:pPr>
      <w:rPr>
        <w:rFonts w:ascii="Wingdings" w:hAnsi="Wingdings"/>
      </w:rPr>
    </w:lvl>
    <w:lvl w:ilvl="6" w:tplc="F292640C">
      <w:start w:val="1"/>
      <w:numFmt w:val="bullet"/>
      <w:lvlText w:val=""/>
      <w:lvlJc w:val="left"/>
      <w:pPr>
        <w:tabs>
          <w:tab w:val="num" w:pos="5040"/>
        </w:tabs>
        <w:ind w:left="5040" w:hanging="360"/>
      </w:pPr>
      <w:rPr>
        <w:rFonts w:ascii="Symbol" w:hAnsi="Symbol"/>
      </w:rPr>
    </w:lvl>
    <w:lvl w:ilvl="7" w:tplc="7A245398">
      <w:start w:val="1"/>
      <w:numFmt w:val="bullet"/>
      <w:lvlText w:val="o"/>
      <w:lvlJc w:val="left"/>
      <w:pPr>
        <w:tabs>
          <w:tab w:val="num" w:pos="5760"/>
        </w:tabs>
        <w:ind w:left="5760" w:hanging="360"/>
      </w:pPr>
      <w:rPr>
        <w:rFonts w:ascii="Courier New" w:hAnsi="Courier New"/>
      </w:rPr>
    </w:lvl>
    <w:lvl w:ilvl="8" w:tplc="7F7C1D4A">
      <w:start w:val="1"/>
      <w:numFmt w:val="bullet"/>
      <w:lvlText w:val=""/>
      <w:lvlJc w:val="left"/>
      <w:pPr>
        <w:tabs>
          <w:tab w:val="num" w:pos="6480"/>
        </w:tabs>
        <w:ind w:left="6480" w:hanging="360"/>
      </w:pPr>
      <w:rPr>
        <w:rFonts w:ascii="Wingdings" w:hAnsi="Wingdings"/>
      </w:rPr>
    </w:lvl>
  </w:abstractNum>
  <w:abstractNum w:abstractNumId="517" w15:restartNumberingAfterBreak="0">
    <w:nsid w:val="722306C7"/>
    <w:multiLevelType w:val="hybridMultilevel"/>
    <w:tmpl w:val="722306C7"/>
    <w:lvl w:ilvl="0" w:tplc="881AF3BA">
      <w:start w:val="1"/>
      <w:numFmt w:val="bullet"/>
      <w:lvlText w:val=""/>
      <w:lvlJc w:val="left"/>
      <w:pPr>
        <w:ind w:left="720" w:hanging="360"/>
      </w:pPr>
      <w:rPr>
        <w:rFonts w:ascii="Symbol" w:hAnsi="Symbol"/>
      </w:rPr>
    </w:lvl>
    <w:lvl w:ilvl="1" w:tplc="D9A40700">
      <w:start w:val="1"/>
      <w:numFmt w:val="bullet"/>
      <w:lvlText w:val="o"/>
      <w:lvlJc w:val="left"/>
      <w:pPr>
        <w:tabs>
          <w:tab w:val="num" w:pos="1440"/>
        </w:tabs>
        <w:ind w:left="1440" w:hanging="360"/>
      </w:pPr>
      <w:rPr>
        <w:rFonts w:ascii="Courier New" w:hAnsi="Courier New"/>
      </w:rPr>
    </w:lvl>
    <w:lvl w:ilvl="2" w:tplc="E7181D04">
      <w:start w:val="1"/>
      <w:numFmt w:val="bullet"/>
      <w:lvlText w:val=""/>
      <w:lvlJc w:val="left"/>
      <w:pPr>
        <w:tabs>
          <w:tab w:val="num" w:pos="2160"/>
        </w:tabs>
        <w:ind w:left="2160" w:hanging="360"/>
      </w:pPr>
      <w:rPr>
        <w:rFonts w:ascii="Wingdings" w:hAnsi="Wingdings"/>
      </w:rPr>
    </w:lvl>
    <w:lvl w:ilvl="3" w:tplc="6176879C">
      <w:start w:val="1"/>
      <w:numFmt w:val="bullet"/>
      <w:lvlText w:val=""/>
      <w:lvlJc w:val="left"/>
      <w:pPr>
        <w:tabs>
          <w:tab w:val="num" w:pos="2880"/>
        </w:tabs>
        <w:ind w:left="2880" w:hanging="360"/>
      </w:pPr>
      <w:rPr>
        <w:rFonts w:ascii="Symbol" w:hAnsi="Symbol"/>
      </w:rPr>
    </w:lvl>
    <w:lvl w:ilvl="4" w:tplc="D6D646AC">
      <w:start w:val="1"/>
      <w:numFmt w:val="bullet"/>
      <w:lvlText w:val="o"/>
      <w:lvlJc w:val="left"/>
      <w:pPr>
        <w:tabs>
          <w:tab w:val="num" w:pos="3600"/>
        </w:tabs>
        <w:ind w:left="3600" w:hanging="360"/>
      </w:pPr>
      <w:rPr>
        <w:rFonts w:ascii="Courier New" w:hAnsi="Courier New"/>
      </w:rPr>
    </w:lvl>
    <w:lvl w:ilvl="5" w:tplc="B30673C4">
      <w:start w:val="1"/>
      <w:numFmt w:val="bullet"/>
      <w:lvlText w:val=""/>
      <w:lvlJc w:val="left"/>
      <w:pPr>
        <w:tabs>
          <w:tab w:val="num" w:pos="4320"/>
        </w:tabs>
        <w:ind w:left="4320" w:hanging="360"/>
      </w:pPr>
      <w:rPr>
        <w:rFonts w:ascii="Wingdings" w:hAnsi="Wingdings"/>
      </w:rPr>
    </w:lvl>
    <w:lvl w:ilvl="6" w:tplc="9F54DE58">
      <w:start w:val="1"/>
      <w:numFmt w:val="bullet"/>
      <w:lvlText w:val=""/>
      <w:lvlJc w:val="left"/>
      <w:pPr>
        <w:tabs>
          <w:tab w:val="num" w:pos="5040"/>
        </w:tabs>
        <w:ind w:left="5040" w:hanging="360"/>
      </w:pPr>
      <w:rPr>
        <w:rFonts w:ascii="Symbol" w:hAnsi="Symbol"/>
      </w:rPr>
    </w:lvl>
    <w:lvl w:ilvl="7" w:tplc="94762104">
      <w:start w:val="1"/>
      <w:numFmt w:val="bullet"/>
      <w:lvlText w:val="o"/>
      <w:lvlJc w:val="left"/>
      <w:pPr>
        <w:tabs>
          <w:tab w:val="num" w:pos="5760"/>
        </w:tabs>
        <w:ind w:left="5760" w:hanging="360"/>
      </w:pPr>
      <w:rPr>
        <w:rFonts w:ascii="Courier New" w:hAnsi="Courier New"/>
      </w:rPr>
    </w:lvl>
    <w:lvl w:ilvl="8" w:tplc="F1DC380A">
      <w:start w:val="1"/>
      <w:numFmt w:val="bullet"/>
      <w:lvlText w:val=""/>
      <w:lvlJc w:val="left"/>
      <w:pPr>
        <w:tabs>
          <w:tab w:val="num" w:pos="6480"/>
        </w:tabs>
        <w:ind w:left="6480" w:hanging="360"/>
      </w:pPr>
      <w:rPr>
        <w:rFonts w:ascii="Wingdings" w:hAnsi="Wingdings"/>
      </w:rPr>
    </w:lvl>
  </w:abstractNum>
  <w:abstractNum w:abstractNumId="518" w15:restartNumberingAfterBreak="0">
    <w:nsid w:val="722306C8"/>
    <w:multiLevelType w:val="hybridMultilevel"/>
    <w:tmpl w:val="722306C8"/>
    <w:lvl w:ilvl="0" w:tplc="FFCA7348">
      <w:start w:val="1"/>
      <w:numFmt w:val="bullet"/>
      <w:lvlText w:val=""/>
      <w:lvlJc w:val="left"/>
      <w:pPr>
        <w:ind w:left="720" w:hanging="360"/>
      </w:pPr>
      <w:rPr>
        <w:rFonts w:ascii="Symbol" w:hAnsi="Symbol"/>
      </w:rPr>
    </w:lvl>
    <w:lvl w:ilvl="1" w:tplc="19A8BF9A">
      <w:start w:val="1"/>
      <w:numFmt w:val="bullet"/>
      <w:lvlText w:val="o"/>
      <w:lvlJc w:val="left"/>
      <w:pPr>
        <w:tabs>
          <w:tab w:val="num" w:pos="1440"/>
        </w:tabs>
        <w:ind w:left="1440" w:hanging="360"/>
      </w:pPr>
      <w:rPr>
        <w:rFonts w:ascii="Courier New" w:hAnsi="Courier New"/>
      </w:rPr>
    </w:lvl>
    <w:lvl w:ilvl="2" w:tplc="F49465BA">
      <w:start w:val="1"/>
      <w:numFmt w:val="bullet"/>
      <w:lvlText w:val=""/>
      <w:lvlJc w:val="left"/>
      <w:pPr>
        <w:tabs>
          <w:tab w:val="num" w:pos="2160"/>
        </w:tabs>
        <w:ind w:left="2160" w:hanging="360"/>
      </w:pPr>
      <w:rPr>
        <w:rFonts w:ascii="Wingdings" w:hAnsi="Wingdings"/>
      </w:rPr>
    </w:lvl>
    <w:lvl w:ilvl="3" w:tplc="1654D160">
      <w:start w:val="1"/>
      <w:numFmt w:val="bullet"/>
      <w:lvlText w:val=""/>
      <w:lvlJc w:val="left"/>
      <w:pPr>
        <w:tabs>
          <w:tab w:val="num" w:pos="2880"/>
        </w:tabs>
        <w:ind w:left="2880" w:hanging="360"/>
      </w:pPr>
      <w:rPr>
        <w:rFonts w:ascii="Symbol" w:hAnsi="Symbol"/>
      </w:rPr>
    </w:lvl>
    <w:lvl w:ilvl="4" w:tplc="095A34E6">
      <w:start w:val="1"/>
      <w:numFmt w:val="bullet"/>
      <w:lvlText w:val="o"/>
      <w:lvlJc w:val="left"/>
      <w:pPr>
        <w:tabs>
          <w:tab w:val="num" w:pos="3600"/>
        </w:tabs>
        <w:ind w:left="3600" w:hanging="360"/>
      </w:pPr>
      <w:rPr>
        <w:rFonts w:ascii="Courier New" w:hAnsi="Courier New"/>
      </w:rPr>
    </w:lvl>
    <w:lvl w:ilvl="5" w:tplc="E9F4DE34">
      <w:start w:val="1"/>
      <w:numFmt w:val="bullet"/>
      <w:lvlText w:val=""/>
      <w:lvlJc w:val="left"/>
      <w:pPr>
        <w:tabs>
          <w:tab w:val="num" w:pos="4320"/>
        </w:tabs>
        <w:ind w:left="4320" w:hanging="360"/>
      </w:pPr>
      <w:rPr>
        <w:rFonts w:ascii="Wingdings" w:hAnsi="Wingdings"/>
      </w:rPr>
    </w:lvl>
    <w:lvl w:ilvl="6" w:tplc="3410A6DA">
      <w:start w:val="1"/>
      <w:numFmt w:val="bullet"/>
      <w:lvlText w:val=""/>
      <w:lvlJc w:val="left"/>
      <w:pPr>
        <w:tabs>
          <w:tab w:val="num" w:pos="5040"/>
        </w:tabs>
        <w:ind w:left="5040" w:hanging="360"/>
      </w:pPr>
      <w:rPr>
        <w:rFonts w:ascii="Symbol" w:hAnsi="Symbol"/>
      </w:rPr>
    </w:lvl>
    <w:lvl w:ilvl="7" w:tplc="77649DCA">
      <w:start w:val="1"/>
      <w:numFmt w:val="bullet"/>
      <w:lvlText w:val="o"/>
      <w:lvlJc w:val="left"/>
      <w:pPr>
        <w:tabs>
          <w:tab w:val="num" w:pos="5760"/>
        </w:tabs>
        <w:ind w:left="5760" w:hanging="360"/>
      </w:pPr>
      <w:rPr>
        <w:rFonts w:ascii="Courier New" w:hAnsi="Courier New"/>
      </w:rPr>
    </w:lvl>
    <w:lvl w:ilvl="8" w:tplc="B782905C">
      <w:start w:val="1"/>
      <w:numFmt w:val="bullet"/>
      <w:lvlText w:val=""/>
      <w:lvlJc w:val="left"/>
      <w:pPr>
        <w:tabs>
          <w:tab w:val="num" w:pos="6480"/>
        </w:tabs>
        <w:ind w:left="6480" w:hanging="360"/>
      </w:pPr>
      <w:rPr>
        <w:rFonts w:ascii="Wingdings" w:hAnsi="Wingdings"/>
      </w:rPr>
    </w:lvl>
  </w:abstractNum>
  <w:abstractNum w:abstractNumId="519" w15:restartNumberingAfterBreak="0">
    <w:nsid w:val="722306C9"/>
    <w:multiLevelType w:val="hybridMultilevel"/>
    <w:tmpl w:val="722306C9"/>
    <w:lvl w:ilvl="0" w:tplc="1706990C">
      <w:start w:val="1"/>
      <w:numFmt w:val="bullet"/>
      <w:lvlText w:val=""/>
      <w:lvlJc w:val="left"/>
      <w:pPr>
        <w:ind w:left="720" w:hanging="360"/>
      </w:pPr>
      <w:rPr>
        <w:rFonts w:ascii="Symbol" w:hAnsi="Symbol"/>
      </w:rPr>
    </w:lvl>
    <w:lvl w:ilvl="1" w:tplc="F5F2002A">
      <w:start w:val="1"/>
      <w:numFmt w:val="bullet"/>
      <w:lvlText w:val="o"/>
      <w:lvlJc w:val="left"/>
      <w:pPr>
        <w:tabs>
          <w:tab w:val="num" w:pos="1440"/>
        </w:tabs>
        <w:ind w:left="1440" w:hanging="360"/>
      </w:pPr>
      <w:rPr>
        <w:rFonts w:ascii="Courier New" w:hAnsi="Courier New"/>
      </w:rPr>
    </w:lvl>
    <w:lvl w:ilvl="2" w:tplc="8598A4FA">
      <w:start w:val="1"/>
      <w:numFmt w:val="bullet"/>
      <w:lvlText w:val=""/>
      <w:lvlJc w:val="left"/>
      <w:pPr>
        <w:tabs>
          <w:tab w:val="num" w:pos="2160"/>
        </w:tabs>
        <w:ind w:left="2160" w:hanging="360"/>
      </w:pPr>
      <w:rPr>
        <w:rFonts w:ascii="Wingdings" w:hAnsi="Wingdings"/>
      </w:rPr>
    </w:lvl>
    <w:lvl w:ilvl="3" w:tplc="AE28D1B6">
      <w:start w:val="1"/>
      <w:numFmt w:val="bullet"/>
      <w:lvlText w:val=""/>
      <w:lvlJc w:val="left"/>
      <w:pPr>
        <w:tabs>
          <w:tab w:val="num" w:pos="2880"/>
        </w:tabs>
        <w:ind w:left="2880" w:hanging="360"/>
      </w:pPr>
      <w:rPr>
        <w:rFonts w:ascii="Symbol" w:hAnsi="Symbol"/>
      </w:rPr>
    </w:lvl>
    <w:lvl w:ilvl="4" w:tplc="E9E6DD92">
      <w:start w:val="1"/>
      <w:numFmt w:val="bullet"/>
      <w:lvlText w:val="o"/>
      <w:lvlJc w:val="left"/>
      <w:pPr>
        <w:tabs>
          <w:tab w:val="num" w:pos="3600"/>
        </w:tabs>
        <w:ind w:left="3600" w:hanging="360"/>
      </w:pPr>
      <w:rPr>
        <w:rFonts w:ascii="Courier New" w:hAnsi="Courier New"/>
      </w:rPr>
    </w:lvl>
    <w:lvl w:ilvl="5" w:tplc="DC567A16">
      <w:start w:val="1"/>
      <w:numFmt w:val="bullet"/>
      <w:lvlText w:val=""/>
      <w:lvlJc w:val="left"/>
      <w:pPr>
        <w:tabs>
          <w:tab w:val="num" w:pos="4320"/>
        </w:tabs>
        <w:ind w:left="4320" w:hanging="360"/>
      </w:pPr>
      <w:rPr>
        <w:rFonts w:ascii="Wingdings" w:hAnsi="Wingdings"/>
      </w:rPr>
    </w:lvl>
    <w:lvl w:ilvl="6" w:tplc="3AD8E062">
      <w:start w:val="1"/>
      <w:numFmt w:val="bullet"/>
      <w:lvlText w:val=""/>
      <w:lvlJc w:val="left"/>
      <w:pPr>
        <w:tabs>
          <w:tab w:val="num" w:pos="5040"/>
        </w:tabs>
        <w:ind w:left="5040" w:hanging="360"/>
      </w:pPr>
      <w:rPr>
        <w:rFonts w:ascii="Symbol" w:hAnsi="Symbol"/>
      </w:rPr>
    </w:lvl>
    <w:lvl w:ilvl="7" w:tplc="BA74637A">
      <w:start w:val="1"/>
      <w:numFmt w:val="bullet"/>
      <w:lvlText w:val="o"/>
      <w:lvlJc w:val="left"/>
      <w:pPr>
        <w:tabs>
          <w:tab w:val="num" w:pos="5760"/>
        </w:tabs>
        <w:ind w:left="5760" w:hanging="360"/>
      </w:pPr>
      <w:rPr>
        <w:rFonts w:ascii="Courier New" w:hAnsi="Courier New"/>
      </w:rPr>
    </w:lvl>
    <w:lvl w:ilvl="8" w:tplc="D944ACF6">
      <w:start w:val="1"/>
      <w:numFmt w:val="bullet"/>
      <w:lvlText w:val=""/>
      <w:lvlJc w:val="left"/>
      <w:pPr>
        <w:tabs>
          <w:tab w:val="num" w:pos="6480"/>
        </w:tabs>
        <w:ind w:left="6480" w:hanging="360"/>
      </w:pPr>
      <w:rPr>
        <w:rFonts w:ascii="Wingdings" w:hAnsi="Wingdings"/>
      </w:rPr>
    </w:lvl>
  </w:abstractNum>
  <w:abstractNum w:abstractNumId="520" w15:restartNumberingAfterBreak="0">
    <w:nsid w:val="722306CA"/>
    <w:multiLevelType w:val="hybridMultilevel"/>
    <w:tmpl w:val="722306CA"/>
    <w:lvl w:ilvl="0" w:tplc="4B4AB70A">
      <w:start w:val="1"/>
      <w:numFmt w:val="bullet"/>
      <w:lvlText w:val=""/>
      <w:lvlJc w:val="left"/>
      <w:pPr>
        <w:ind w:left="720" w:hanging="360"/>
      </w:pPr>
      <w:rPr>
        <w:rFonts w:ascii="Symbol" w:hAnsi="Symbol"/>
      </w:rPr>
    </w:lvl>
    <w:lvl w:ilvl="1" w:tplc="98AEEFBA">
      <w:start w:val="1"/>
      <w:numFmt w:val="bullet"/>
      <w:lvlText w:val="o"/>
      <w:lvlJc w:val="left"/>
      <w:pPr>
        <w:tabs>
          <w:tab w:val="num" w:pos="1440"/>
        </w:tabs>
        <w:ind w:left="1440" w:hanging="360"/>
      </w:pPr>
      <w:rPr>
        <w:rFonts w:ascii="Courier New" w:hAnsi="Courier New"/>
      </w:rPr>
    </w:lvl>
    <w:lvl w:ilvl="2" w:tplc="3642CB4E">
      <w:start w:val="1"/>
      <w:numFmt w:val="bullet"/>
      <w:lvlText w:val=""/>
      <w:lvlJc w:val="left"/>
      <w:pPr>
        <w:tabs>
          <w:tab w:val="num" w:pos="2160"/>
        </w:tabs>
        <w:ind w:left="2160" w:hanging="360"/>
      </w:pPr>
      <w:rPr>
        <w:rFonts w:ascii="Wingdings" w:hAnsi="Wingdings"/>
      </w:rPr>
    </w:lvl>
    <w:lvl w:ilvl="3" w:tplc="0ACA29A2">
      <w:start w:val="1"/>
      <w:numFmt w:val="bullet"/>
      <w:lvlText w:val=""/>
      <w:lvlJc w:val="left"/>
      <w:pPr>
        <w:tabs>
          <w:tab w:val="num" w:pos="2880"/>
        </w:tabs>
        <w:ind w:left="2880" w:hanging="360"/>
      </w:pPr>
      <w:rPr>
        <w:rFonts w:ascii="Symbol" w:hAnsi="Symbol"/>
      </w:rPr>
    </w:lvl>
    <w:lvl w:ilvl="4" w:tplc="B86ED65E">
      <w:start w:val="1"/>
      <w:numFmt w:val="bullet"/>
      <w:lvlText w:val="o"/>
      <w:lvlJc w:val="left"/>
      <w:pPr>
        <w:tabs>
          <w:tab w:val="num" w:pos="3600"/>
        </w:tabs>
        <w:ind w:left="3600" w:hanging="360"/>
      </w:pPr>
      <w:rPr>
        <w:rFonts w:ascii="Courier New" w:hAnsi="Courier New"/>
      </w:rPr>
    </w:lvl>
    <w:lvl w:ilvl="5" w:tplc="8EE68386">
      <w:start w:val="1"/>
      <w:numFmt w:val="bullet"/>
      <w:lvlText w:val=""/>
      <w:lvlJc w:val="left"/>
      <w:pPr>
        <w:tabs>
          <w:tab w:val="num" w:pos="4320"/>
        </w:tabs>
        <w:ind w:left="4320" w:hanging="360"/>
      </w:pPr>
      <w:rPr>
        <w:rFonts w:ascii="Wingdings" w:hAnsi="Wingdings"/>
      </w:rPr>
    </w:lvl>
    <w:lvl w:ilvl="6" w:tplc="38407E06">
      <w:start w:val="1"/>
      <w:numFmt w:val="bullet"/>
      <w:lvlText w:val=""/>
      <w:lvlJc w:val="left"/>
      <w:pPr>
        <w:tabs>
          <w:tab w:val="num" w:pos="5040"/>
        </w:tabs>
        <w:ind w:left="5040" w:hanging="360"/>
      </w:pPr>
      <w:rPr>
        <w:rFonts w:ascii="Symbol" w:hAnsi="Symbol"/>
      </w:rPr>
    </w:lvl>
    <w:lvl w:ilvl="7" w:tplc="4FC0C9F6">
      <w:start w:val="1"/>
      <w:numFmt w:val="bullet"/>
      <w:lvlText w:val="o"/>
      <w:lvlJc w:val="left"/>
      <w:pPr>
        <w:tabs>
          <w:tab w:val="num" w:pos="5760"/>
        </w:tabs>
        <w:ind w:left="5760" w:hanging="360"/>
      </w:pPr>
      <w:rPr>
        <w:rFonts w:ascii="Courier New" w:hAnsi="Courier New"/>
      </w:rPr>
    </w:lvl>
    <w:lvl w:ilvl="8" w:tplc="76F2BA7E">
      <w:start w:val="1"/>
      <w:numFmt w:val="bullet"/>
      <w:lvlText w:val=""/>
      <w:lvlJc w:val="left"/>
      <w:pPr>
        <w:tabs>
          <w:tab w:val="num" w:pos="6480"/>
        </w:tabs>
        <w:ind w:left="6480" w:hanging="360"/>
      </w:pPr>
      <w:rPr>
        <w:rFonts w:ascii="Wingdings" w:hAnsi="Wingdings"/>
      </w:rPr>
    </w:lvl>
  </w:abstractNum>
  <w:abstractNum w:abstractNumId="521" w15:restartNumberingAfterBreak="0">
    <w:nsid w:val="722306CB"/>
    <w:multiLevelType w:val="hybridMultilevel"/>
    <w:tmpl w:val="722306CB"/>
    <w:lvl w:ilvl="0" w:tplc="19A63342">
      <w:start w:val="1"/>
      <w:numFmt w:val="bullet"/>
      <w:lvlText w:val=""/>
      <w:lvlJc w:val="left"/>
      <w:pPr>
        <w:ind w:left="720" w:hanging="360"/>
      </w:pPr>
      <w:rPr>
        <w:rFonts w:ascii="Symbol" w:hAnsi="Symbol"/>
      </w:rPr>
    </w:lvl>
    <w:lvl w:ilvl="1" w:tplc="E5AEE91A">
      <w:start w:val="1"/>
      <w:numFmt w:val="bullet"/>
      <w:lvlText w:val="o"/>
      <w:lvlJc w:val="left"/>
      <w:pPr>
        <w:tabs>
          <w:tab w:val="num" w:pos="1440"/>
        </w:tabs>
        <w:ind w:left="1440" w:hanging="360"/>
      </w:pPr>
      <w:rPr>
        <w:rFonts w:ascii="Courier New" w:hAnsi="Courier New"/>
      </w:rPr>
    </w:lvl>
    <w:lvl w:ilvl="2" w:tplc="4926B5D4">
      <w:start w:val="1"/>
      <w:numFmt w:val="bullet"/>
      <w:lvlText w:val=""/>
      <w:lvlJc w:val="left"/>
      <w:pPr>
        <w:tabs>
          <w:tab w:val="num" w:pos="2160"/>
        </w:tabs>
        <w:ind w:left="2160" w:hanging="360"/>
      </w:pPr>
      <w:rPr>
        <w:rFonts w:ascii="Wingdings" w:hAnsi="Wingdings"/>
      </w:rPr>
    </w:lvl>
    <w:lvl w:ilvl="3" w:tplc="17C2E5A0">
      <w:start w:val="1"/>
      <w:numFmt w:val="bullet"/>
      <w:lvlText w:val=""/>
      <w:lvlJc w:val="left"/>
      <w:pPr>
        <w:tabs>
          <w:tab w:val="num" w:pos="2880"/>
        </w:tabs>
        <w:ind w:left="2880" w:hanging="360"/>
      </w:pPr>
      <w:rPr>
        <w:rFonts w:ascii="Symbol" w:hAnsi="Symbol"/>
      </w:rPr>
    </w:lvl>
    <w:lvl w:ilvl="4" w:tplc="DA32726E">
      <w:start w:val="1"/>
      <w:numFmt w:val="bullet"/>
      <w:lvlText w:val="o"/>
      <w:lvlJc w:val="left"/>
      <w:pPr>
        <w:tabs>
          <w:tab w:val="num" w:pos="3600"/>
        </w:tabs>
        <w:ind w:left="3600" w:hanging="360"/>
      </w:pPr>
      <w:rPr>
        <w:rFonts w:ascii="Courier New" w:hAnsi="Courier New"/>
      </w:rPr>
    </w:lvl>
    <w:lvl w:ilvl="5" w:tplc="7DC8FE02">
      <w:start w:val="1"/>
      <w:numFmt w:val="bullet"/>
      <w:lvlText w:val=""/>
      <w:lvlJc w:val="left"/>
      <w:pPr>
        <w:tabs>
          <w:tab w:val="num" w:pos="4320"/>
        </w:tabs>
        <w:ind w:left="4320" w:hanging="360"/>
      </w:pPr>
      <w:rPr>
        <w:rFonts w:ascii="Wingdings" w:hAnsi="Wingdings"/>
      </w:rPr>
    </w:lvl>
    <w:lvl w:ilvl="6" w:tplc="1A64F6FE">
      <w:start w:val="1"/>
      <w:numFmt w:val="bullet"/>
      <w:lvlText w:val=""/>
      <w:lvlJc w:val="left"/>
      <w:pPr>
        <w:tabs>
          <w:tab w:val="num" w:pos="5040"/>
        </w:tabs>
        <w:ind w:left="5040" w:hanging="360"/>
      </w:pPr>
      <w:rPr>
        <w:rFonts w:ascii="Symbol" w:hAnsi="Symbol"/>
      </w:rPr>
    </w:lvl>
    <w:lvl w:ilvl="7" w:tplc="2040811E">
      <w:start w:val="1"/>
      <w:numFmt w:val="bullet"/>
      <w:lvlText w:val="o"/>
      <w:lvlJc w:val="left"/>
      <w:pPr>
        <w:tabs>
          <w:tab w:val="num" w:pos="5760"/>
        </w:tabs>
        <w:ind w:left="5760" w:hanging="360"/>
      </w:pPr>
      <w:rPr>
        <w:rFonts w:ascii="Courier New" w:hAnsi="Courier New"/>
      </w:rPr>
    </w:lvl>
    <w:lvl w:ilvl="8" w:tplc="EB1894A6">
      <w:start w:val="1"/>
      <w:numFmt w:val="bullet"/>
      <w:lvlText w:val=""/>
      <w:lvlJc w:val="left"/>
      <w:pPr>
        <w:tabs>
          <w:tab w:val="num" w:pos="6480"/>
        </w:tabs>
        <w:ind w:left="6480" w:hanging="360"/>
      </w:pPr>
      <w:rPr>
        <w:rFonts w:ascii="Wingdings" w:hAnsi="Wingdings"/>
      </w:rPr>
    </w:lvl>
  </w:abstractNum>
  <w:abstractNum w:abstractNumId="522" w15:restartNumberingAfterBreak="0">
    <w:nsid w:val="722306CC"/>
    <w:multiLevelType w:val="hybridMultilevel"/>
    <w:tmpl w:val="722306CC"/>
    <w:lvl w:ilvl="0" w:tplc="A67C8F30">
      <w:start w:val="1"/>
      <w:numFmt w:val="bullet"/>
      <w:lvlText w:val=""/>
      <w:lvlJc w:val="left"/>
      <w:pPr>
        <w:ind w:left="720" w:hanging="360"/>
      </w:pPr>
      <w:rPr>
        <w:rFonts w:ascii="Symbol" w:hAnsi="Symbol"/>
      </w:rPr>
    </w:lvl>
    <w:lvl w:ilvl="1" w:tplc="C1E6322E">
      <w:start w:val="1"/>
      <w:numFmt w:val="bullet"/>
      <w:lvlText w:val="o"/>
      <w:lvlJc w:val="left"/>
      <w:pPr>
        <w:tabs>
          <w:tab w:val="num" w:pos="1440"/>
        </w:tabs>
        <w:ind w:left="1440" w:hanging="360"/>
      </w:pPr>
      <w:rPr>
        <w:rFonts w:ascii="Courier New" w:hAnsi="Courier New"/>
      </w:rPr>
    </w:lvl>
    <w:lvl w:ilvl="2" w:tplc="741020A6">
      <w:start w:val="1"/>
      <w:numFmt w:val="bullet"/>
      <w:lvlText w:val=""/>
      <w:lvlJc w:val="left"/>
      <w:pPr>
        <w:tabs>
          <w:tab w:val="num" w:pos="2160"/>
        </w:tabs>
        <w:ind w:left="2160" w:hanging="360"/>
      </w:pPr>
      <w:rPr>
        <w:rFonts w:ascii="Wingdings" w:hAnsi="Wingdings"/>
      </w:rPr>
    </w:lvl>
    <w:lvl w:ilvl="3" w:tplc="E5BE2516">
      <w:start w:val="1"/>
      <w:numFmt w:val="bullet"/>
      <w:lvlText w:val=""/>
      <w:lvlJc w:val="left"/>
      <w:pPr>
        <w:tabs>
          <w:tab w:val="num" w:pos="2880"/>
        </w:tabs>
        <w:ind w:left="2880" w:hanging="360"/>
      </w:pPr>
      <w:rPr>
        <w:rFonts w:ascii="Symbol" w:hAnsi="Symbol"/>
      </w:rPr>
    </w:lvl>
    <w:lvl w:ilvl="4" w:tplc="40429E74">
      <w:start w:val="1"/>
      <w:numFmt w:val="bullet"/>
      <w:lvlText w:val="o"/>
      <w:lvlJc w:val="left"/>
      <w:pPr>
        <w:tabs>
          <w:tab w:val="num" w:pos="3600"/>
        </w:tabs>
        <w:ind w:left="3600" w:hanging="360"/>
      </w:pPr>
      <w:rPr>
        <w:rFonts w:ascii="Courier New" w:hAnsi="Courier New"/>
      </w:rPr>
    </w:lvl>
    <w:lvl w:ilvl="5" w:tplc="44BC759A">
      <w:start w:val="1"/>
      <w:numFmt w:val="bullet"/>
      <w:lvlText w:val=""/>
      <w:lvlJc w:val="left"/>
      <w:pPr>
        <w:tabs>
          <w:tab w:val="num" w:pos="4320"/>
        </w:tabs>
        <w:ind w:left="4320" w:hanging="360"/>
      </w:pPr>
      <w:rPr>
        <w:rFonts w:ascii="Wingdings" w:hAnsi="Wingdings"/>
      </w:rPr>
    </w:lvl>
    <w:lvl w:ilvl="6" w:tplc="1CC88E2C">
      <w:start w:val="1"/>
      <w:numFmt w:val="bullet"/>
      <w:lvlText w:val=""/>
      <w:lvlJc w:val="left"/>
      <w:pPr>
        <w:tabs>
          <w:tab w:val="num" w:pos="5040"/>
        </w:tabs>
        <w:ind w:left="5040" w:hanging="360"/>
      </w:pPr>
      <w:rPr>
        <w:rFonts w:ascii="Symbol" w:hAnsi="Symbol"/>
      </w:rPr>
    </w:lvl>
    <w:lvl w:ilvl="7" w:tplc="B7F26DEE">
      <w:start w:val="1"/>
      <w:numFmt w:val="bullet"/>
      <w:lvlText w:val="o"/>
      <w:lvlJc w:val="left"/>
      <w:pPr>
        <w:tabs>
          <w:tab w:val="num" w:pos="5760"/>
        </w:tabs>
        <w:ind w:left="5760" w:hanging="360"/>
      </w:pPr>
      <w:rPr>
        <w:rFonts w:ascii="Courier New" w:hAnsi="Courier New"/>
      </w:rPr>
    </w:lvl>
    <w:lvl w:ilvl="8" w:tplc="B7A013BA">
      <w:start w:val="1"/>
      <w:numFmt w:val="bullet"/>
      <w:lvlText w:val=""/>
      <w:lvlJc w:val="left"/>
      <w:pPr>
        <w:tabs>
          <w:tab w:val="num" w:pos="6480"/>
        </w:tabs>
        <w:ind w:left="6480" w:hanging="360"/>
      </w:pPr>
      <w:rPr>
        <w:rFonts w:ascii="Wingdings" w:hAnsi="Wingdings"/>
      </w:rPr>
    </w:lvl>
  </w:abstractNum>
  <w:abstractNum w:abstractNumId="523" w15:restartNumberingAfterBreak="0">
    <w:nsid w:val="722306CD"/>
    <w:multiLevelType w:val="hybridMultilevel"/>
    <w:tmpl w:val="722306CD"/>
    <w:lvl w:ilvl="0" w:tplc="625E3B24">
      <w:start w:val="1"/>
      <w:numFmt w:val="bullet"/>
      <w:lvlText w:val=""/>
      <w:lvlJc w:val="left"/>
      <w:pPr>
        <w:ind w:left="720" w:hanging="360"/>
      </w:pPr>
      <w:rPr>
        <w:rFonts w:ascii="Symbol" w:hAnsi="Symbol"/>
      </w:rPr>
    </w:lvl>
    <w:lvl w:ilvl="1" w:tplc="56381A96">
      <w:start w:val="1"/>
      <w:numFmt w:val="bullet"/>
      <w:lvlText w:val="o"/>
      <w:lvlJc w:val="left"/>
      <w:pPr>
        <w:tabs>
          <w:tab w:val="num" w:pos="1440"/>
        </w:tabs>
        <w:ind w:left="1440" w:hanging="360"/>
      </w:pPr>
      <w:rPr>
        <w:rFonts w:ascii="Courier New" w:hAnsi="Courier New"/>
      </w:rPr>
    </w:lvl>
    <w:lvl w:ilvl="2" w:tplc="5D18B628">
      <w:start w:val="1"/>
      <w:numFmt w:val="bullet"/>
      <w:lvlText w:val=""/>
      <w:lvlJc w:val="left"/>
      <w:pPr>
        <w:tabs>
          <w:tab w:val="num" w:pos="2160"/>
        </w:tabs>
        <w:ind w:left="2160" w:hanging="360"/>
      </w:pPr>
      <w:rPr>
        <w:rFonts w:ascii="Wingdings" w:hAnsi="Wingdings"/>
      </w:rPr>
    </w:lvl>
    <w:lvl w:ilvl="3" w:tplc="ACF4C28E">
      <w:start w:val="1"/>
      <w:numFmt w:val="bullet"/>
      <w:lvlText w:val=""/>
      <w:lvlJc w:val="left"/>
      <w:pPr>
        <w:tabs>
          <w:tab w:val="num" w:pos="2880"/>
        </w:tabs>
        <w:ind w:left="2880" w:hanging="360"/>
      </w:pPr>
      <w:rPr>
        <w:rFonts w:ascii="Symbol" w:hAnsi="Symbol"/>
      </w:rPr>
    </w:lvl>
    <w:lvl w:ilvl="4" w:tplc="7E60B914">
      <w:start w:val="1"/>
      <w:numFmt w:val="bullet"/>
      <w:lvlText w:val="o"/>
      <w:lvlJc w:val="left"/>
      <w:pPr>
        <w:tabs>
          <w:tab w:val="num" w:pos="3600"/>
        </w:tabs>
        <w:ind w:left="3600" w:hanging="360"/>
      </w:pPr>
      <w:rPr>
        <w:rFonts w:ascii="Courier New" w:hAnsi="Courier New"/>
      </w:rPr>
    </w:lvl>
    <w:lvl w:ilvl="5" w:tplc="D7D0BF8A">
      <w:start w:val="1"/>
      <w:numFmt w:val="bullet"/>
      <w:lvlText w:val=""/>
      <w:lvlJc w:val="left"/>
      <w:pPr>
        <w:tabs>
          <w:tab w:val="num" w:pos="4320"/>
        </w:tabs>
        <w:ind w:left="4320" w:hanging="360"/>
      </w:pPr>
      <w:rPr>
        <w:rFonts w:ascii="Wingdings" w:hAnsi="Wingdings"/>
      </w:rPr>
    </w:lvl>
    <w:lvl w:ilvl="6" w:tplc="B1DE19C6">
      <w:start w:val="1"/>
      <w:numFmt w:val="bullet"/>
      <w:lvlText w:val=""/>
      <w:lvlJc w:val="left"/>
      <w:pPr>
        <w:tabs>
          <w:tab w:val="num" w:pos="5040"/>
        </w:tabs>
        <w:ind w:left="5040" w:hanging="360"/>
      </w:pPr>
      <w:rPr>
        <w:rFonts w:ascii="Symbol" w:hAnsi="Symbol"/>
      </w:rPr>
    </w:lvl>
    <w:lvl w:ilvl="7" w:tplc="03202B36">
      <w:start w:val="1"/>
      <w:numFmt w:val="bullet"/>
      <w:lvlText w:val="o"/>
      <w:lvlJc w:val="left"/>
      <w:pPr>
        <w:tabs>
          <w:tab w:val="num" w:pos="5760"/>
        </w:tabs>
        <w:ind w:left="5760" w:hanging="360"/>
      </w:pPr>
      <w:rPr>
        <w:rFonts w:ascii="Courier New" w:hAnsi="Courier New"/>
      </w:rPr>
    </w:lvl>
    <w:lvl w:ilvl="8" w:tplc="1B3AEEAE">
      <w:start w:val="1"/>
      <w:numFmt w:val="bullet"/>
      <w:lvlText w:val=""/>
      <w:lvlJc w:val="left"/>
      <w:pPr>
        <w:tabs>
          <w:tab w:val="num" w:pos="6480"/>
        </w:tabs>
        <w:ind w:left="6480" w:hanging="360"/>
      </w:pPr>
      <w:rPr>
        <w:rFonts w:ascii="Wingdings" w:hAnsi="Wingdings"/>
      </w:rPr>
    </w:lvl>
  </w:abstractNum>
  <w:abstractNum w:abstractNumId="524" w15:restartNumberingAfterBreak="0">
    <w:nsid w:val="722306CE"/>
    <w:multiLevelType w:val="hybridMultilevel"/>
    <w:tmpl w:val="722306CE"/>
    <w:lvl w:ilvl="0" w:tplc="A8262910">
      <w:start w:val="1"/>
      <w:numFmt w:val="bullet"/>
      <w:lvlText w:val=""/>
      <w:lvlJc w:val="left"/>
      <w:pPr>
        <w:ind w:left="720" w:hanging="360"/>
      </w:pPr>
      <w:rPr>
        <w:rFonts w:ascii="Symbol" w:hAnsi="Symbol"/>
      </w:rPr>
    </w:lvl>
    <w:lvl w:ilvl="1" w:tplc="9A1220DA">
      <w:start w:val="1"/>
      <w:numFmt w:val="bullet"/>
      <w:lvlText w:val="o"/>
      <w:lvlJc w:val="left"/>
      <w:pPr>
        <w:tabs>
          <w:tab w:val="num" w:pos="1440"/>
        </w:tabs>
        <w:ind w:left="1440" w:hanging="360"/>
      </w:pPr>
      <w:rPr>
        <w:rFonts w:ascii="Courier New" w:hAnsi="Courier New"/>
      </w:rPr>
    </w:lvl>
    <w:lvl w:ilvl="2" w:tplc="90E88348">
      <w:start w:val="1"/>
      <w:numFmt w:val="bullet"/>
      <w:lvlText w:val=""/>
      <w:lvlJc w:val="left"/>
      <w:pPr>
        <w:tabs>
          <w:tab w:val="num" w:pos="2160"/>
        </w:tabs>
        <w:ind w:left="2160" w:hanging="360"/>
      </w:pPr>
      <w:rPr>
        <w:rFonts w:ascii="Wingdings" w:hAnsi="Wingdings"/>
      </w:rPr>
    </w:lvl>
    <w:lvl w:ilvl="3" w:tplc="0422E804">
      <w:start w:val="1"/>
      <w:numFmt w:val="bullet"/>
      <w:lvlText w:val=""/>
      <w:lvlJc w:val="left"/>
      <w:pPr>
        <w:tabs>
          <w:tab w:val="num" w:pos="2880"/>
        </w:tabs>
        <w:ind w:left="2880" w:hanging="360"/>
      </w:pPr>
      <w:rPr>
        <w:rFonts w:ascii="Symbol" w:hAnsi="Symbol"/>
      </w:rPr>
    </w:lvl>
    <w:lvl w:ilvl="4" w:tplc="97D4075A">
      <w:start w:val="1"/>
      <w:numFmt w:val="bullet"/>
      <w:lvlText w:val="o"/>
      <w:lvlJc w:val="left"/>
      <w:pPr>
        <w:tabs>
          <w:tab w:val="num" w:pos="3600"/>
        </w:tabs>
        <w:ind w:left="3600" w:hanging="360"/>
      </w:pPr>
      <w:rPr>
        <w:rFonts w:ascii="Courier New" w:hAnsi="Courier New"/>
      </w:rPr>
    </w:lvl>
    <w:lvl w:ilvl="5" w:tplc="6C14C5B0">
      <w:start w:val="1"/>
      <w:numFmt w:val="bullet"/>
      <w:lvlText w:val=""/>
      <w:lvlJc w:val="left"/>
      <w:pPr>
        <w:tabs>
          <w:tab w:val="num" w:pos="4320"/>
        </w:tabs>
        <w:ind w:left="4320" w:hanging="360"/>
      </w:pPr>
      <w:rPr>
        <w:rFonts w:ascii="Wingdings" w:hAnsi="Wingdings"/>
      </w:rPr>
    </w:lvl>
    <w:lvl w:ilvl="6" w:tplc="8A5C7E6E">
      <w:start w:val="1"/>
      <w:numFmt w:val="bullet"/>
      <w:lvlText w:val=""/>
      <w:lvlJc w:val="left"/>
      <w:pPr>
        <w:tabs>
          <w:tab w:val="num" w:pos="5040"/>
        </w:tabs>
        <w:ind w:left="5040" w:hanging="360"/>
      </w:pPr>
      <w:rPr>
        <w:rFonts w:ascii="Symbol" w:hAnsi="Symbol"/>
      </w:rPr>
    </w:lvl>
    <w:lvl w:ilvl="7" w:tplc="CA18A272">
      <w:start w:val="1"/>
      <w:numFmt w:val="bullet"/>
      <w:lvlText w:val="o"/>
      <w:lvlJc w:val="left"/>
      <w:pPr>
        <w:tabs>
          <w:tab w:val="num" w:pos="5760"/>
        </w:tabs>
        <w:ind w:left="5760" w:hanging="360"/>
      </w:pPr>
      <w:rPr>
        <w:rFonts w:ascii="Courier New" w:hAnsi="Courier New"/>
      </w:rPr>
    </w:lvl>
    <w:lvl w:ilvl="8" w:tplc="70C49568">
      <w:start w:val="1"/>
      <w:numFmt w:val="bullet"/>
      <w:lvlText w:val=""/>
      <w:lvlJc w:val="left"/>
      <w:pPr>
        <w:tabs>
          <w:tab w:val="num" w:pos="6480"/>
        </w:tabs>
        <w:ind w:left="6480" w:hanging="360"/>
      </w:pPr>
      <w:rPr>
        <w:rFonts w:ascii="Wingdings" w:hAnsi="Wingdings"/>
      </w:rPr>
    </w:lvl>
  </w:abstractNum>
  <w:abstractNum w:abstractNumId="525" w15:restartNumberingAfterBreak="0">
    <w:nsid w:val="722306CF"/>
    <w:multiLevelType w:val="hybridMultilevel"/>
    <w:tmpl w:val="722306CF"/>
    <w:lvl w:ilvl="0" w:tplc="837A5248">
      <w:start w:val="1"/>
      <w:numFmt w:val="bullet"/>
      <w:lvlText w:val=""/>
      <w:lvlJc w:val="left"/>
      <w:pPr>
        <w:ind w:left="720" w:hanging="360"/>
      </w:pPr>
      <w:rPr>
        <w:rFonts w:ascii="Symbol" w:hAnsi="Symbol"/>
      </w:rPr>
    </w:lvl>
    <w:lvl w:ilvl="1" w:tplc="2EC49F90">
      <w:start w:val="1"/>
      <w:numFmt w:val="bullet"/>
      <w:lvlText w:val="o"/>
      <w:lvlJc w:val="left"/>
      <w:pPr>
        <w:tabs>
          <w:tab w:val="num" w:pos="1440"/>
        </w:tabs>
        <w:ind w:left="1440" w:hanging="360"/>
      </w:pPr>
      <w:rPr>
        <w:rFonts w:ascii="Courier New" w:hAnsi="Courier New"/>
      </w:rPr>
    </w:lvl>
    <w:lvl w:ilvl="2" w:tplc="C03EBC20">
      <w:start w:val="1"/>
      <w:numFmt w:val="bullet"/>
      <w:lvlText w:val=""/>
      <w:lvlJc w:val="left"/>
      <w:pPr>
        <w:tabs>
          <w:tab w:val="num" w:pos="2160"/>
        </w:tabs>
        <w:ind w:left="2160" w:hanging="360"/>
      </w:pPr>
      <w:rPr>
        <w:rFonts w:ascii="Wingdings" w:hAnsi="Wingdings"/>
      </w:rPr>
    </w:lvl>
    <w:lvl w:ilvl="3" w:tplc="A4BAEC8A">
      <w:start w:val="1"/>
      <w:numFmt w:val="bullet"/>
      <w:lvlText w:val=""/>
      <w:lvlJc w:val="left"/>
      <w:pPr>
        <w:tabs>
          <w:tab w:val="num" w:pos="2880"/>
        </w:tabs>
        <w:ind w:left="2880" w:hanging="360"/>
      </w:pPr>
      <w:rPr>
        <w:rFonts w:ascii="Symbol" w:hAnsi="Symbol"/>
      </w:rPr>
    </w:lvl>
    <w:lvl w:ilvl="4" w:tplc="2A4E38C6">
      <w:start w:val="1"/>
      <w:numFmt w:val="bullet"/>
      <w:lvlText w:val="o"/>
      <w:lvlJc w:val="left"/>
      <w:pPr>
        <w:tabs>
          <w:tab w:val="num" w:pos="3600"/>
        </w:tabs>
        <w:ind w:left="3600" w:hanging="360"/>
      </w:pPr>
      <w:rPr>
        <w:rFonts w:ascii="Courier New" w:hAnsi="Courier New"/>
      </w:rPr>
    </w:lvl>
    <w:lvl w:ilvl="5" w:tplc="7BACFE6E">
      <w:start w:val="1"/>
      <w:numFmt w:val="bullet"/>
      <w:lvlText w:val=""/>
      <w:lvlJc w:val="left"/>
      <w:pPr>
        <w:tabs>
          <w:tab w:val="num" w:pos="4320"/>
        </w:tabs>
        <w:ind w:left="4320" w:hanging="360"/>
      </w:pPr>
      <w:rPr>
        <w:rFonts w:ascii="Wingdings" w:hAnsi="Wingdings"/>
      </w:rPr>
    </w:lvl>
    <w:lvl w:ilvl="6" w:tplc="6FDA9168">
      <w:start w:val="1"/>
      <w:numFmt w:val="bullet"/>
      <w:lvlText w:val=""/>
      <w:lvlJc w:val="left"/>
      <w:pPr>
        <w:tabs>
          <w:tab w:val="num" w:pos="5040"/>
        </w:tabs>
        <w:ind w:left="5040" w:hanging="360"/>
      </w:pPr>
      <w:rPr>
        <w:rFonts w:ascii="Symbol" w:hAnsi="Symbol"/>
      </w:rPr>
    </w:lvl>
    <w:lvl w:ilvl="7" w:tplc="D57A5B86">
      <w:start w:val="1"/>
      <w:numFmt w:val="bullet"/>
      <w:lvlText w:val="o"/>
      <w:lvlJc w:val="left"/>
      <w:pPr>
        <w:tabs>
          <w:tab w:val="num" w:pos="5760"/>
        </w:tabs>
        <w:ind w:left="5760" w:hanging="360"/>
      </w:pPr>
      <w:rPr>
        <w:rFonts w:ascii="Courier New" w:hAnsi="Courier New"/>
      </w:rPr>
    </w:lvl>
    <w:lvl w:ilvl="8" w:tplc="7C46F17E">
      <w:start w:val="1"/>
      <w:numFmt w:val="bullet"/>
      <w:lvlText w:val=""/>
      <w:lvlJc w:val="left"/>
      <w:pPr>
        <w:tabs>
          <w:tab w:val="num" w:pos="6480"/>
        </w:tabs>
        <w:ind w:left="6480" w:hanging="360"/>
      </w:pPr>
      <w:rPr>
        <w:rFonts w:ascii="Wingdings" w:hAnsi="Wingdings"/>
      </w:rPr>
    </w:lvl>
  </w:abstractNum>
  <w:abstractNum w:abstractNumId="526" w15:restartNumberingAfterBreak="0">
    <w:nsid w:val="722306D0"/>
    <w:multiLevelType w:val="hybridMultilevel"/>
    <w:tmpl w:val="722306D0"/>
    <w:lvl w:ilvl="0" w:tplc="441C3602">
      <w:start w:val="1"/>
      <w:numFmt w:val="bullet"/>
      <w:lvlText w:val=""/>
      <w:lvlJc w:val="left"/>
      <w:pPr>
        <w:ind w:left="720" w:hanging="360"/>
      </w:pPr>
      <w:rPr>
        <w:rFonts w:ascii="Symbol" w:hAnsi="Symbol"/>
      </w:rPr>
    </w:lvl>
    <w:lvl w:ilvl="1" w:tplc="5A9C6644">
      <w:start w:val="1"/>
      <w:numFmt w:val="bullet"/>
      <w:lvlText w:val="o"/>
      <w:lvlJc w:val="left"/>
      <w:pPr>
        <w:tabs>
          <w:tab w:val="num" w:pos="1440"/>
        </w:tabs>
        <w:ind w:left="1440" w:hanging="360"/>
      </w:pPr>
      <w:rPr>
        <w:rFonts w:ascii="Courier New" w:hAnsi="Courier New"/>
      </w:rPr>
    </w:lvl>
    <w:lvl w:ilvl="2" w:tplc="A3D48C14">
      <w:start w:val="1"/>
      <w:numFmt w:val="bullet"/>
      <w:lvlText w:val=""/>
      <w:lvlJc w:val="left"/>
      <w:pPr>
        <w:tabs>
          <w:tab w:val="num" w:pos="2160"/>
        </w:tabs>
        <w:ind w:left="2160" w:hanging="360"/>
      </w:pPr>
      <w:rPr>
        <w:rFonts w:ascii="Wingdings" w:hAnsi="Wingdings"/>
      </w:rPr>
    </w:lvl>
    <w:lvl w:ilvl="3" w:tplc="46F0C724">
      <w:start w:val="1"/>
      <w:numFmt w:val="bullet"/>
      <w:lvlText w:val=""/>
      <w:lvlJc w:val="left"/>
      <w:pPr>
        <w:tabs>
          <w:tab w:val="num" w:pos="2880"/>
        </w:tabs>
        <w:ind w:left="2880" w:hanging="360"/>
      </w:pPr>
      <w:rPr>
        <w:rFonts w:ascii="Symbol" w:hAnsi="Symbol"/>
      </w:rPr>
    </w:lvl>
    <w:lvl w:ilvl="4" w:tplc="3AAE7DDA">
      <w:start w:val="1"/>
      <w:numFmt w:val="bullet"/>
      <w:lvlText w:val="o"/>
      <w:lvlJc w:val="left"/>
      <w:pPr>
        <w:tabs>
          <w:tab w:val="num" w:pos="3600"/>
        </w:tabs>
        <w:ind w:left="3600" w:hanging="360"/>
      </w:pPr>
      <w:rPr>
        <w:rFonts w:ascii="Courier New" w:hAnsi="Courier New"/>
      </w:rPr>
    </w:lvl>
    <w:lvl w:ilvl="5" w:tplc="8B280288">
      <w:start w:val="1"/>
      <w:numFmt w:val="bullet"/>
      <w:lvlText w:val=""/>
      <w:lvlJc w:val="left"/>
      <w:pPr>
        <w:tabs>
          <w:tab w:val="num" w:pos="4320"/>
        </w:tabs>
        <w:ind w:left="4320" w:hanging="360"/>
      </w:pPr>
      <w:rPr>
        <w:rFonts w:ascii="Wingdings" w:hAnsi="Wingdings"/>
      </w:rPr>
    </w:lvl>
    <w:lvl w:ilvl="6" w:tplc="8B0820F0">
      <w:start w:val="1"/>
      <w:numFmt w:val="bullet"/>
      <w:lvlText w:val=""/>
      <w:lvlJc w:val="left"/>
      <w:pPr>
        <w:tabs>
          <w:tab w:val="num" w:pos="5040"/>
        </w:tabs>
        <w:ind w:left="5040" w:hanging="360"/>
      </w:pPr>
      <w:rPr>
        <w:rFonts w:ascii="Symbol" w:hAnsi="Symbol"/>
      </w:rPr>
    </w:lvl>
    <w:lvl w:ilvl="7" w:tplc="0346D360">
      <w:start w:val="1"/>
      <w:numFmt w:val="bullet"/>
      <w:lvlText w:val="o"/>
      <w:lvlJc w:val="left"/>
      <w:pPr>
        <w:tabs>
          <w:tab w:val="num" w:pos="5760"/>
        </w:tabs>
        <w:ind w:left="5760" w:hanging="360"/>
      </w:pPr>
      <w:rPr>
        <w:rFonts w:ascii="Courier New" w:hAnsi="Courier New"/>
      </w:rPr>
    </w:lvl>
    <w:lvl w:ilvl="8" w:tplc="A2A62574">
      <w:start w:val="1"/>
      <w:numFmt w:val="bullet"/>
      <w:lvlText w:val=""/>
      <w:lvlJc w:val="left"/>
      <w:pPr>
        <w:tabs>
          <w:tab w:val="num" w:pos="6480"/>
        </w:tabs>
        <w:ind w:left="6480" w:hanging="360"/>
      </w:pPr>
      <w:rPr>
        <w:rFonts w:ascii="Wingdings" w:hAnsi="Wingdings"/>
      </w:rPr>
    </w:lvl>
  </w:abstractNum>
  <w:abstractNum w:abstractNumId="527" w15:restartNumberingAfterBreak="0">
    <w:nsid w:val="722306D1"/>
    <w:multiLevelType w:val="hybridMultilevel"/>
    <w:tmpl w:val="722306D1"/>
    <w:lvl w:ilvl="0" w:tplc="BB2E428A">
      <w:start w:val="1"/>
      <w:numFmt w:val="bullet"/>
      <w:lvlText w:val=""/>
      <w:lvlJc w:val="left"/>
      <w:pPr>
        <w:ind w:left="720" w:hanging="360"/>
      </w:pPr>
      <w:rPr>
        <w:rFonts w:ascii="Symbol" w:hAnsi="Symbol"/>
      </w:rPr>
    </w:lvl>
    <w:lvl w:ilvl="1" w:tplc="FEA47D84">
      <w:start w:val="1"/>
      <w:numFmt w:val="bullet"/>
      <w:lvlText w:val="o"/>
      <w:lvlJc w:val="left"/>
      <w:pPr>
        <w:tabs>
          <w:tab w:val="num" w:pos="1440"/>
        </w:tabs>
        <w:ind w:left="1440" w:hanging="360"/>
      </w:pPr>
      <w:rPr>
        <w:rFonts w:ascii="Courier New" w:hAnsi="Courier New"/>
      </w:rPr>
    </w:lvl>
    <w:lvl w:ilvl="2" w:tplc="CDBAF144">
      <w:start w:val="1"/>
      <w:numFmt w:val="bullet"/>
      <w:lvlText w:val=""/>
      <w:lvlJc w:val="left"/>
      <w:pPr>
        <w:tabs>
          <w:tab w:val="num" w:pos="2160"/>
        </w:tabs>
        <w:ind w:left="2160" w:hanging="360"/>
      </w:pPr>
      <w:rPr>
        <w:rFonts w:ascii="Wingdings" w:hAnsi="Wingdings"/>
      </w:rPr>
    </w:lvl>
    <w:lvl w:ilvl="3" w:tplc="6FA8E74A">
      <w:start w:val="1"/>
      <w:numFmt w:val="bullet"/>
      <w:lvlText w:val=""/>
      <w:lvlJc w:val="left"/>
      <w:pPr>
        <w:tabs>
          <w:tab w:val="num" w:pos="2880"/>
        </w:tabs>
        <w:ind w:left="2880" w:hanging="360"/>
      </w:pPr>
      <w:rPr>
        <w:rFonts w:ascii="Symbol" w:hAnsi="Symbol"/>
      </w:rPr>
    </w:lvl>
    <w:lvl w:ilvl="4" w:tplc="9BFC8DBE">
      <w:start w:val="1"/>
      <w:numFmt w:val="bullet"/>
      <w:lvlText w:val="o"/>
      <w:lvlJc w:val="left"/>
      <w:pPr>
        <w:tabs>
          <w:tab w:val="num" w:pos="3600"/>
        </w:tabs>
        <w:ind w:left="3600" w:hanging="360"/>
      </w:pPr>
      <w:rPr>
        <w:rFonts w:ascii="Courier New" w:hAnsi="Courier New"/>
      </w:rPr>
    </w:lvl>
    <w:lvl w:ilvl="5" w:tplc="56E85876">
      <w:start w:val="1"/>
      <w:numFmt w:val="bullet"/>
      <w:lvlText w:val=""/>
      <w:lvlJc w:val="left"/>
      <w:pPr>
        <w:tabs>
          <w:tab w:val="num" w:pos="4320"/>
        </w:tabs>
        <w:ind w:left="4320" w:hanging="360"/>
      </w:pPr>
      <w:rPr>
        <w:rFonts w:ascii="Wingdings" w:hAnsi="Wingdings"/>
      </w:rPr>
    </w:lvl>
    <w:lvl w:ilvl="6" w:tplc="2236EA56">
      <w:start w:val="1"/>
      <w:numFmt w:val="bullet"/>
      <w:lvlText w:val=""/>
      <w:lvlJc w:val="left"/>
      <w:pPr>
        <w:tabs>
          <w:tab w:val="num" w:pos="5040"/>
        </w:tabs>
        <w:ind w:left="5040" w:hanging="360"/>
      </w:pPr>
      <w:rPr>
        <w:rFonts w:ascii="Symbol" w:hAnsi="Symbol"/>
      </w:rPr>
    </w:lvl>
    <w:lvl w:ilvl="7" w:tplc="67800FDC">
      <w:start w:val="1"/>
      <w:numFmt w:val="bullet"/>
      <w:lvlText w:val="o"/>
      <w:lvlJc w:val="left"/>
      <w:pPr>
        <w:tabs>
          <w:tab w:val="num" w:pos="5760"/>
        </w:tabs>
        <w:ind w:left="5760" w:hanging="360"/>
      </w:pPr>
      <w:rPr>
        <w:rFonts w:ascii="Courier New" w:hAnsi="Courier New"/>
      </w:rPr>
    </w:lvl>
    <w:lvl w:ilvl="8" w:tplc="B750EB86">
      <w:start w:val="1"/>
      <w:numFmt w:val="bullet"/>
      <w:lvlText w:val=""/>
      <w:lvlJc w:val="left"/>
      <w:pPr>
        <w:tabs>
          <w:tab w:val="num" w:pos="6480"/>
        </w:tabs>
        <w:ind w:left="6480" w:hanging="360"/>
      </w:pPr>
      <w:rPr>
        <w:rFonts w:ascii="Wingdings" w:hAnsi="Wingdings"/>
      </w:rPr>
    </w:lvl>
  </w:abstractNum>
  <w:abstractNum w:abstractNumId="528" w15:restartNumberingAfterBreak="0">
    <w:nsid w:val="722306D2"/>
    <w:multiLevelType w:val="hybridMultilevel"/>
    <w:tmpl w:val="722306D2"/>
    <w:lvl w:ilvl="0" w:tplc="31A6FBC0">
      <w:start w:val="1"/>
      <w:numFmt w:val="bullet"/>
      <w:lvlText w:val=""/>
      <w:lvlJc w:val="left"/>
      <w:pPr>
        <w:tabs>
          <w:tab w:val="num" w:pos="720"/>
        </w:tabs>
        <w:ind w:left="720" w:hanging="360"/>
      </w:pPr>
      <w:rPr>
        <w:rFonts w:ascii="Symbol" w:hAnsi="Symbol"/>
      </w:rPr>
    </w:lvl>
    <w:lvl w:ilvl="1" w:tplc="BD2013E6">
      <w:start w:val="1"/>
      <w:numFmt w:val="bullet"/>
      <w:lvlText w:val="o"/>
      <w:lvlJc w:val="left"/>
      <w:pPr>
        <w:tabs>
          <w:tab w:val="num" w:pos="1440"/>
        </w:tabs>
        <w:ind w:left="1440" w:hanging="360"/>
      </w:pPr>
      <w:rPr>
        <w:rFonts w:ascii="Courier New" w:hAnsi="Courier New"/>
      </w:rPr>
    </w:lvl>
    <w:lvl w:ilvl="2" w:tplc="AC907E1C">
      <w:start w:val="1"/>
      <w:numFmt w:val="bullet"/>
      <w:lvlText w:val=""/>
      <w:lvlJc w:val="left"/>
      <w:pPr>
        <w:tabs>
          <w:tab w:val="num" w:pos="2160"/>
        </w:tabs>
        <w:ind w:left="2160" w:hanging="360"/>
      </w:pPr>
      <w:rPr>
        <w:rFonts w:ascii="Wingdings" w:hAnsi="Wingdings"/>
      </w:rPr>
    </w:lvl>
    <w:lvl w:ilvl="3" w:tplc="9CAE55DC">
      <w:start w:val="1"/>
      <w:numFmt w:val="bullet"/>
      <w:lvlText w:val=""/>
      <w:lvlJc w:val="left"/>
      <w:pPr>
        <w:tabs>
          <w:tab w:val="num" w:pos="2880"/>
        </w:tabs>
        <w:ind w:left="2880" w:hanging="360"/>
      </w:pPr>
      <w:rPr>
        <w:rFonts w:ascii="Symbol" w:hAnsi="Symbol"/>
      </w:rPr>
    </w:lvl>
    <w:lvl w:ilvl="4" w:tplc="5F965626">
      <w:start w:val="1"/>
      <w:numFmt w:val="bullet"/>
      <w:lvlText w:val="o"/>
      <w:lvlJc w:val="left"/>
      <w:pPr>
        <w:tabs>
          <w:tab w:val="num" w:pos="3600"/>
        </w:tabs>
        <w:ind w:left="3600" w:hanging="360"/>
      </w:pPr>
      <w:rPr>
        <w:rFonts w:ascii="Courier New" w:hAnsi="Courier New"/>
      </w:rPr>
    </w:lvl>
    <w:lvl w:ilvl="5" w:tplc="4C04B2C2">
      <w:start w:val="1"/>
      <w:numFmt w:val="bullet"/>
      <w:lvlText w:val=""/>
      <w:lvlJc w:val="left"/>
      <w:pPr>
        <w:tabs>
          <w:tab w:val="num" w:pos="4320"/>
        </w:tabs>
        <w:ind w:left="4320" w:hanging="360"/>
      </w:pPr>
      <w:rPr>
        <w:rFonts w:ascii="Wingdings" w:hAnsi="Wingdings"/>
      </w:rPr>
    </w:lvl>
    <w:lvl w:ilvl="6" w:tplc="642ED54C">
      <w:start w:val="1"/>
      <w:numFmt w:val="bullet"/>
      <w:lvlText w:val=""/>
      <w:lvlJc w:val="left"/>
      <w:pPr>
        <w:tabs>
          <w:tab w:val="num" w:pos="5040"/>
        </w:tabs>
        <w:ind w:left="5040" w:hanging="360"/>
      </w:pPr>
      <w:rPr>
        <w:rFonts w:ascii="Symbol" w:hAnsi="Symbol"/>
      </w:rPr>
    </w:lvl>
    <w:lvl w:ilvl="7" w:tplc="596A9D9E">
      <w:start w:val="1"/>
      <w:numFmt w:val="bullet"/>
      <w:lvlText w:val="o"/>
      <w:lvlJc w:val="left"/>
      <w:pPr>
        <w:tabs>
          <w:tab w:val="num" w:pos="5760"/>
        </w:tabs>
        <w:ind w:left="5760" w:hanging="360"/>
      </w:pPr>
      <w:rPr>
        <w:rFonts w:ascii="Courier New" w:hAnsi="Courier New"/>
      </w:rPr>
    </w:lvl>
    <w:lvl w:ilvl="8" w:tplc="5756D844">
      <w:start w:val="1"/>
      <w:numFmt w:val="bullet"/>
      <w:lvlText w:val=""/>
      <w:lvlJc w:val="left"/>
      <w:pPr>
        <w:tabs>
          <w:tab w:val="num" w:pos="6480"/>
        </w:tabs>
        <w:ind w:left="6480" w:hanging="360"/>
      </w:pPr>
      <w:rPr>
        <w:rFonts w:ascii="Wingdings" w:hAnsi="Wingdings"/>
      </w:rPr>
    </w:lvl>
  </w:abstractNum>
  <w:abstractNum w:abstractNumId="529" w15:restartNumberingAfterBreak="0">
    <w:nsid w:val="722306D3"/>
    <w:multiLevelType w:val="hybridMultilevel"/>
    <w:tmpl w:val="722306D3"/>
    <w:lvl w:ilvl="0" w:tplc="1BDADFD6">
      <w:start w:val="1"/>
      <w:numFmt w:val="bullet"/>
      <w:lvlText w:val=""/>
      <w:lvlJc w:val="left"/>
      <w:pPr>
        <w:ind w:left="720" w:hanging="360"/>
      </w:pPr>
      <w:rPr>
        <w:rFonts w:ascii="Symbol" w:hAnsi="Symbol"/>
      </w:rPr>
    </w:lvl>
    <w:lvl w:ilvl="1" w:tplc="BB7878BE">
      <w:start w:val="1"/>
      <w:numFmt w:val="bullet"/>
      <w:lvlText w:val="o"/>
      <w:lvlJc w:val="left"/>
      <w:pPr>
        <w:tabs>
          <w:tab w:val="num" w:pos="1440"/>
        </w:tabs>
        <w:ind w:left="1440" w:hanging="360"/>
      </w:pPr>
      <w:rPr>
        <w:rFonts w:ascii="Courier New" w:hAnsi="Courier New"/>
      </w:rPr>
    </w:lvl>
    <w:lvl w:ilvl="2" w:tplc="9856B682">
      <w:start w:val="1"/>
      <w:numFmt w:val="bullet"/>
      <w:lvlText w:val=""/>
      <w:lvlJc w:val="left"/>
      <w:pPr>
        <w:tabs>
          <w:tab w:val="num" w:pos="2160"/>
        </w:tabs>
        <w:ind w:left="2160" w:hanging="360"/>
      </w:pPr>
      <w:rPr>
        <w:rFonts w:ascii="Wingdings" w:hAnsi="Wingdings"/>
      </w:rPr>
    </w:lvl>
    <w:lvl w:ilvl="3" w:tplc="0828501E">
      <w:start w:val="1"/>
      <w:numFmt w:val="bullet"/>
      <w:lvlText w:val=""/>
      <w:lvlJc w:val="left"/>
      <w:pPr>
        <w:tabs>
          <w:tab w:val="num" w:pos="2880"/>
        </w:tabs>
        <w:ind w:left="2880" w:hanging="360"/>
      </w:pPr>
      <w:rPr>
        <w:rFonts w:ascii="Symbol" w:hAnsi="Symbol"/>
      </w:rPr>
    </w:lvl>
    <w:lvl w:ilvl="4" w:tplc="E6BA1A32">
      <w:start w:val="1"/>
      <w:numFmt w:val="bullet"/>
      <w:lvlText w:val="o"/>
      <w:lvlJc w:val="left"/>
      <w:pPr>
        <w:tabs>
          <w:tab w:val="num" w:pos="3600"/>
        </w:tabs>
        <w:ind w:left="3600" w:hanging="360"/>
      </w:pPr>
      <w:rPr>
        <w:rFonts w:ascii="Courier New" w:hAnsi="Courier New"/>
      </w:rPr>
    </w:lvl>
    <w:lvl w:ilvl="5" w:tplc="48C6314E">
      <w:start w:val="1"/>
      <w:numFmt w:val="bullet"/>
      <w:lvlText w:val=""/>
      <w:lvlJc w:val="left"/>
      <w:pPr>
        <w:tabs>
          <w:tab w:val="num" w:pos="4320"/>
        </w:tabs>
        <w:ind w:left="4320" w:hanging="360"/>
      </w:pPr>
      <w:rPr>
        <w:rFonts w:ascii="Wingdings" w:hAnsi="Wingdings"/>
      </w:rPr>
    </w:lvl>
    <w:lvl w:ilvl="6" w:tplc="C73AA27E">
      <w:start w:val="1"/>
      <w:numFmt w:val="bullet"/>
      <w:lvlText w:val=""/>
      <w:lvlJc w:val="left"/>
      <w:pPr>
        <w:tabs>
          <w:tab w:val="num" w:pos="5040"/>
        </w:tabs>
        <w:ind w:left="5040" w:hanging="360"/>
      </w:pPr>
      <w:rPr>
        <w:rFonts w:ascii="Symbol" w:hAnsi="Symbol"/>
      </w:rPr>
    </w:lvl>
    <w:lvl w:ilvl="7" w:tplc="49548264">
      <w:start w:val="1"/>
      <w:numFmt w:val="bullet"/>
      <w:lvlText w:val="o"/>
      <w:lvlJc w:val="left"/>
      <w:pPr>
        <w:tabs>
          <w:tab w:val="num" w:pos="5760"/>
        </w:tabs>
        <w:ind w:left="5760" w:hanging="360"/>
      </w:pPr>
      <w:rPr>
        <w:rFonts w:ascii="Courier New" w:hAnsi="Courier New"/>
      </w:rPr>
    </w:lvl>
    <w:lvl w:ilvl="8" w:tplc="DD824B48">
      <w:start w:val="1"/>
      <w:numFmt w:val="bullet"/>
      <w:lvlText w:val=""/>
      <w:lvlJc w:val="left"/>
      <w:pPr>
        <w:tabs>
          <w:tab w:val="num" w:pos="6480"/>
        </w:tabs>
        <w:ind w:left="6480" w:hanging="360"/>
      </w:pPr>
      <w:rPr>
        <w:rFonts w:ascii="Wingdings" w:hAnsi="Wingdings"/>
      </w:rPr>
    </w:lvl>
  </w:abstractNum>
  <w:abstractNum w:abstractNumId="530" w15:restartNumberingAfterBreak="0">
    <w:nsid w:val="722306D4"/>
    <w:multiLevelType w:val="hybridMultilevel"/>
    <w:tmpl w:val="722306D4"/>
    <w:lvl w:ilvl="0" w:tplc="BBD2FC78">
      <w:start w:val="1"/>
      <w:numFmt w:val="bullet"/>
      <w:lvlText w:val=""/>
      <w:lvlJc w:val="left"/>
      <w:pPr>
        <w:tabs>
          <w:tab w:val="num" w:pos="720"/>
        </w:tabs>
        <w:ind w:left="720" w:hanging="360"/>
      </w:pPr>
      <w:rPr>
        <w:rFonts w:ascii="Symbol" w:hAnsi="Symbol"/>
      </w:rPr>
    </w:lvl>
    <w:lvl w:ilvl="1" w:tplc="0CAEE65C">
      <w:start w:val="1"/>
      <w:numFmt w:val="bullet"/>
      <w:lvlText w:val="o"/>
      <w:lvlJc w:val="left"/>
      <w:pPr>
        <w:tabs>
          <w:tab w:val="num" w:pos="1440"/>
        </w:tabs>
        <w:ind w:left="1440" w:hanging="360"/>
      </w:pPr>
      <w:rPr>
        <w:rFonts w:ascii="Courier New" w:hAnsi="Courier New"/>
      </w:rPr>
    </w:lvl>
    <w:lvl w:ilvl="2" w:tplc="1A7694C0">
      <w:start w:val="1"/>
      <w:numFmt w:val="bullet"/>
      <w:lvlText w:val=""/>
      <w:lvlJc w:val="left"/>
      <w:pPr>
        <w:tabs>
          <w:tab w:val="num" w:pos="2160"/>
        </w:tabs>
        <w:ind w:left="2160" w:hanging="360"/>
      </w:pPr>
      <w:rPr>
        <w:rFonts w:ascii="Wingdings" w:hAnsi="Wingdings"/>
      </w:rPr>
    </w:lvl>
    <w:lvl w:ilvl="3" w:tplc="045EDEFA">
      <w:start w:val="1"/>
      <w:numFmt w:val="bullet"/>
      <w:lvlText w:val=""/>
      <w:lvlJc w:val="left"/>
      <w:pPr>
        <w:tabs>
          <w:tab w:val="num" w:pos="2880"/>
        </w:tabs>
        <w:ind w:left="2880" w:hanging="360"/>
      </w:pPr>
      <w:rPr>
        <w:rFonts w:ascii="Symbol" w:hAnsi="Symbol"/>
      </w:rPr>
    </w:lvl>
    <w:lvl w:ilvl="4" w:tplc="A4D4C356">
      <w:start w:val="1"/>
      <w:numFmt w:val="bullet"/>
      <w:lvlText w:val="o"/>
      <w:lvlJc w:val="left"/>
      <w:pPr>
        <w:tabs>
          <w:tab w:val="num" w:pos="3600"/>
        </w:tabs>
        <w:ind w:left="3600" w:hanging="360"/>
      </w:pPr>
      <w:rPr>
        <w:rFonts w:ascii="Courier New" w:hAnsi="Courier New"/>
      </w:rPr>
    </w:lvl>
    <w:lvl w:ilvl="5" w:tplc="424E1764">
      <w:start w:val="1"/>
      <w:numFmt w:val="bullet"/>
      <w:lvlText w:val=""/>
      <w:lvlJc w:val="left"/>
      <w:pPr>
        <w:tabs>
          <w:tab w:val="num" w:pos="4320"/>
        </w:tabs>
        <w:ind w:left="4320" w:hanging="360"/>
      </w:pPr>
      <w:rPr>
        <w:rFonts w:ascii="Wingdings" w:hAnsi="Wingdings"/>
      </w:rPr>
    </w:lvl>
    <w:lvl w:ilvl="6" w:tplc="E0A49078">
      <w:start w:val="1"/>
      <w:numFmt w:val="bullet"/>
      <w:lvlText w:val=""/>
      <w:lvlJc w:val="left"/>
      <w:pPr>
        <w:tabs>
          <w:tab w:val="num" w:pos="5040"/>
        </w:tabs>
        <w:ind w:left="5040" w:hanging="360"/>
      </w:pPr>
      <w:rPr>
        <w:rFonts w:ascii="Symbol" w:hAnsi="Symbol"/>
      </w:rPr>
    </w:lvl>
    <w:lvl w:ilvl="7" w:tplc="AFAC0ED0">
      <w:start w:val="1"/>
      <w:numFmt w:val="bullet"/>
      <w:lvlText w:val="o"/>
      <w:lvlJc w:val="left"/>
      <w:pPr>
        <w:tabs>
          <w:tab w:val="num" w:pos="5760"/>
        </w:tabs>
        <w:ind w:left="5760" w:hanging="360"/>
      </w:pPr>
      <w:rPr>
        <w:rFonts w:ascii="Courier New" w:hAnsi="Courier New"/>
      </w:rPr>
    </w:lvl>
    <w:lvl w:ilvl="8" w:tplc="B29A6D1E">
      <w:start w:val="1"/>
      <w:numFmt w:val="bullet"/>
      <w:lvlText w:val=""/>
      <w:lvlJc w:val="left"/>
      <w:pPr>
        <w:tabs>
          <w:tab w:val="num" w:pos="6480"/>
        </w:tabs>
        <w:ind w:left="6480" w:hanging="360"/>
      </w:pPr>
      <w:rPr>
        <w:rFonts w:ascii="Wingdings" w:hAnsi="Wingdings"/>
      </w:rPr>
    </w:lvl>
  </w:abstractNum>
  <w:abstractNum w:abstractNumId="531" w15:restartNumberingAfterBreak="0">
    <w:nsid w:val="722306D5"/>
    <w:multiLevelType w:val="hybridMultilevel"/>
    <w:tmpl w:val="722306D5"/>
    <w:lvl w:ilvl="0" w:tplc="20A60720">
      <w:start w:val="1"/>
      <w:numFmt w:val="bullet"/>
      <w:lvlText w:val=""/>
      <w:lvlJc w:val="left"/>
      <w:pPr>
        <w:ind w:left="720" w:hanging="360"/>
      </w:pPr>
      <w:rPr>
        <w:rFonts w:ascii="Symbol" w:hAnsi="Symbol"/>
      </w:rPr>
    </w:lvl>
    <w:lvl w:ilvl="1" w:tplc="DACC59F2">
      <w:start w:val="1"/>
      <w:numFmt w:val="bullet"/>
      <w:lvlText w:val="o"/>
      <w:lvlJc w:val="left"/>
      <w:pPr>
        <w:tabs>
          <w:tab w:val="num" w:pos="1440"/>
        </w:tabs>
        <w:ind w:left="1440" w:hanging="360"/>
      </w:pPr>
      <w:rPr>
        <w:rFonts w:ascii="Courier New" w:hAnsi="Courier New"/>
      </w:rPr>
    </w:lvl>
    <w:lvl w:ilvl="2" w:tplc="227C4C96">
      <w:start w:val="1"/>
      <w:numFmt w:val="bullet"/>
      <w:lvlText w:val=""/>
      <w:lvlJc w:val="left"/>
      <w:pPr>
        <w:tabs>
          <w:tab w:val="num" w:pos="2160"/>
        </w:tabs>
        <w:ind w:left="2160" w:hanging="360"/>
      </w:pPr>
      <w:rPr>
        <w:rFonts w:ascii="Wingdings" w:hAnsi="Wingdings"/>
      </w:rPr>
    </w:lvl>
    <w:lvl w:ilvl="3" w:tplc="A802F2EE">
      <w:start w:val="1"/>
      <w:numFmt w:val="bullet"/>
      <w:lvlText w:val=""/>
      <w:lvlJc w:val="left"/>
      <w:pPr>
        <w:tabs>
          <w:tab w:val="num" w:pos="2880"/>
        </w:tabs>
        <w:ind w:left="2880" w:hanging="360"/>
      </w:pPr>
      <w:rPr>
        <w:rFonts w:ascii="Symbol" w:hAnsi="Symbol"/>
      </w:rPr>
    </w:lvl>
    <w:lvl w:ilvl="4" w:tplc="22C444EC">
      <w:start w:val="1"/>
      <w:numFmt w:val="bullet"/>
      <w:lvlText w:val="o"/>
      <w:lvlJc w:val="left"/>
      <w:pPr>
        <w:tabs>
          <w:tab w:val="num" w:pos="3600"/>
        </w:tabs>
        <w:ind w:left="3600" w:hanging="360"/>
      </w:pPr>
      <w:rPr>
        <w:rFonts w:ascii="Courier New" w:hAnsi="Courier New"/>
      </w:rPr>
    </w:lvl>
    <w:lvl w:ilvl="5" w:tplc="7D885E44">
      <w:start w:val="1"/>
      <w:numFmt w:val="bullet"/>
      <w:lvlText w:val=""/>
      <w:lvlJc w:val="left"/>
      <w:pPr>
        <w:tabs>
          <w:tab w:val="num" w:pos="4320"/>
        </w:tabs>
        <w:ind w:left="4320" w:hanging="360"/>
      </w:pPr>
      <w:rPr>
        <w:rFonts w:ascii="Wingdings" w:hAnsi="Wingdings"/>
      </w:rPr>
    </w:lvl>
    <w:lvl w:ilvl="6" w:tplc="F55A1AB0">
      <w:start w:val="1"/>
      <w:numFmt w:val="bullet"/>
      <w:lvlText w:val=""/>
      <w:lvlJc w:val="left"/>
      <w:pPr>
        <w:tabs>
          <w:tab w:val="num" w:pos="5040"/>
        </w:tabs>
        <w:ind w:left="5040" w:hanging="360"/>
      </w:pPr>
      <w:rPr>
        <w:rFonts w:ascii="Symbol" w:hAnsi="Symbol"/>
      </w:rPr>
    </w:lvl>
    <w:lvl w:ilvl="7" w:tplc="2706986C">
      <w:start w:val="1"/>
      <w:numFmt w:val="bullet"/>
      <w:lvlText w:val="o"/>
      <w:lvlJc w:val="left"/>
      <w:pPr>
        <w:tabs>
          <w:tab w:val="num" w:pos="5760"/>
        </w:tabs>
        <w:ind w:left="5760" w:hanging="360"/>
      </w:pPr>
      <w:rPr>
        <w:rFonts w:ascii="Courier New" w:hAnsi="Courier New"/>
      </w:rPr>
    </w:lvl>
    <w:lvl w:ilvl="8" w:tplc="0FA6AE26">
      <w:start w:val="1"/>
      <w:numFmt w:val="bullet"/>
      <w:lvlText w:val=""/>
      <w:lvlJc w:val="left"/>
      <w:pPr>
        <w:tabs>
          <w:tab w:val="num" w:pos="6480"/>
        </w:tabs>
        <w:ind w:left="6480" w:hanging="360"/>
      </w:pPr>
      <w:rPr>
        <w:rFonts w:ascii="Wingdings" w:hAnsi="Wingdings"/>
      </w:rPr>
    </w:lvl>
  </w:abstractNum>
  <w:abstractNum w:abstractNumId="532" w15:restartNumberingAfterBreak="0">
    <w:nsid w:val="722306D6"/>
    <w:multiLevelType w:val="hybridMultilevel"/>
    <w:tmpl w:val="722306D6"/>
    <w:lvl w:ilvl="0" w:tplc="3CB2FAAA">
      <w:start w:val="1"/>
      <w:numFmt w:val="bullet"/>
      <w:lvlText w:val=""/>
      <w:lvlJc w:val="left"/>
      <w:pPr>
        <w:ind w:left="720" w:hanging="360"/>
      </w:pPr>
      <w:rPr>
        <w:rFonts w:ascii="Symbol" w:hAnsi="Symbol"/>
      </w:rPr>
    </w:lvl>
    <w:lvl w:ilvl="1" w:tplc="E6887FEC">
      <w:start w:val="1"/>
      <w:numFmt w:val="bullet"/>
      <w:lvlText w:val="o"/>
      <w:lvlJc w:val="left"/>
      <w:pPr>
        <w:tabs>
          <w:tab w:val="num" w:pos="1440"/>
        </w:tabs>
        <w:ind w:left="1440" w:hanging="360"/>
      </w:pPr>
      <w:rPr>
        <w:rFonts w:ascii="Courier New" w:hAnsi="Courier New"/>
      </w:rPr>
    </w:lvl>
    <w:lvl w:ilvl="2" w:tplc="228244A6">
      <w:start w:val="1"/>
      <w:numFmt w:val="bullet"/>
      <w:lvlText w:val=""/>
      <w:lvlJc w:val="left"/>
      <w:pPr>
        <w:tabs>
          <w:tab w:val="num" w:pos="2160"/>
        </w:tabs>
        <w:ind w:left="2160" w:hanging="360"/>
      </w:pPr>
      <w:rPr>
        <w:rFonts w:ascii="Wingdings" w:hAnsi="Wingdings"/>
      </w:rPr>
    </w:lvl>
    <w:lvl w:ilvl="3" w:tplc="FCB8C65A">
      <w:start w:val="1"/>
      <w:numFmt w:val="bullet"/>
      <w:lvlText w:val=""/>
      <w:lvlJc w:val="left"/>
      <w:pPr>
        <w:tabs>
          <w:tab w:val="num" w:pos="2880"/>
        </w:tabs>
        <w:ind w:left="2880" w:hanging="360"/>
      </w:pPr>
      <w:rPr>
        <w:rFonts w:ascii="Symbol" w:hAnsi="Symbol"/>
      </w:rPr>
    </w:lvl>
    <w:lvl w:ilvl="4" w:tplc="0C56C3A4">
      <w:start w:val="1"/>
      <w:numFmt w:val="bullet"/>
      <w:lvlText w:val="o"/>
      <w:lvlJc w:val="left"/>
      <w:pPr>
        <w:tabs>
          <w:tab w:val="num" w:pos="3600"/>
        </w:tabs>
        <w:ind w:left="3600" w:hanging="360"/>
      </w:pPr>
      <w:rPr>
        <w:rFonts w:ascii="Courier New" w:hAnsi="Courier New"/>
      </w:rPr>
    </w:lvl>
    <w:lvl w:ilvl="5" w:tplc="EF6208AA">
      <w:start w:val="1"/>
      <w:numFmt w:val="bullet"/>
      <w:lvlText w:val=""/>
      <w:lvlJc w:val="left"/>
      <w:pPr>
        <w:tabs>
          <w:tab w:val="num" w:pos="4320"/>
        </w:tabs>
        <w:ind w:left="4320" w:hanging="360"/>
      </w:pPr>
      <w:rPr>
        <w:rFonts w:ascii="Wingdings" w:hAnsi="Wingdings"/>
      </w:rPr>
    </w:lvl>
    <w:lvl w:ilvl="6" w:tplc="B590EBE2">
      <w:start w:val="1"/>
      <w:numFmt w:val="bullet"/>
      <w:lvlText w:val=""/>
      <w:lvlJc w:val="left"/>
      <w:pPr>
        <w:tabs>
          <w:tab w:val="num" w:pos="5040"/>
        </w:tabs>
        <w:ind w:left="5040" w:hanging="360"/>
      </w:pPr>
      <w:rPr>
        <w:rFonts w:ascii="Symbol" w:hAnsi="Symbol"/>
      </w:rPr>
    </w:lvl>
    <w:lvl w:ilvl="7" w:tplc="CFE8A53A">
      <w:start w:val="1"/>
      <w:numFmt w:val="bullet"/>
      <w:lvlText w:val="o"/>
      <w:lvlJc w:val="left"/>
      <w:pPr>
        <w:tabs>
          <w:tab w:val="num" w:pos="5760"/>
        </w:tabs>
        <w:ind w:left="5760" w:hanging="360"/>
      </w:pPr>
      <w:rPr>
        <w:rFonts w:ascii="Courier New" w:hAnsi="Courier New"/>
      </w:rPr>
    </w:lvl>
    <w:lvl w:ilvl="8" w:tplc="2568584A">
      <w:start w:val="1"/>
      <w:numFmt w:val="bullet"/>
      <w:lvlText w:val=""/>
      <w:lvlJc w:val="left"/>
      <w:pPr>
        <w:tabs>
          <w:tab w:val="num" w:pos="6480"/>
        </w:tabs>
        <w:ind w:left="6480" w:hanging="360"/>
      </w:pPr>
      <w:rPr>
        <w:rFonts w:ascii="Wingdings" w:hAnsi="Wingdings"/>
      </w:rPr>
    </w:lvl>
  </w:abstractNum>
  <w:abstractNum w:abstractNumId="533" w15:restartNumberingAfterBreak="0">
    <w:nsid w:val="722306D7"/>
    <w:multiLevelType w:val="hybridMultilevel"/>
    <w:tmpl w:val="722306D7"/>
    <w:lvl w:ilvl="0" w:tplc="0478E65A">
      <w:start w:val="1"/>
      <w:numFmt w:val="bullet"/>
      <w:lvlText w:val=""/>
      <w:lvlJc w:val="left"/>
      <w:pPr>
        <w:ind w:left="720" w:hanging="360"/>
      </w:pPr>
      <w:rPr>
        <w:rFonts w:ascii="Symbol" w:hAnsi="Symbol"/>
      </w:rPr>
    </w:lvl>
    <w:lvl w:ilvl="1" w:tplc="C60E78DC">
      <w:start w:val="1"/>
      <w:numFmt w:val="bullet"/>
      <w:lvlText w:val="o"/>
      <w:lvlJc w:val="left"/>
      <w:pPr>
        <w:tabs>
          <w:tab w:val="num" w:pos="1440"/>
        </w:tabs>
        <w:ind w:left="1440" w:hanging="360"/>
      </w:pPr>
      <w:rPr>
        <w:rFonts w:ascii="Courier New" w:hAnsi="Courier New"/>
      </w:rPr>
    </w:lvl>
    <w:lvl w:ilvl="2" w:tplc="20D25B48">
      <w:start w:val="1"/>
      <w:numFmt w:val="bullet"/>
      <w:lvlText w:val=""/>
      <w:lvlJc w:val="left"/>
      <w:pPr>
        <w:tabs>
          <w:tab w:val="num" w:pos="2160"/>
        </w:tabs>
        <w:ind w:left="2160" w:hanging="360"/>
      </w:pPr>
      <w:rPr>
        <w:rFonts w:ascii="Wingdings" w:hAnsi="Wingdings"/>
      </w:rPr>
    </w:lvl>
    <w:lvl w:ilvl="3" w:tplc="69CC4806">
      <w:start w:val="1"/>
      <w:numFmt w:val="bullet"/>
      <w:lvlText w:val=""/>
      <w:lvlJc w:val="left"/>
      <w:pPr>
        <w:tabs>
          <w:tab w:val="num" w:pos="2880"/>
        </w:tabs>
        <w:ind w:left="2880" w:hanging="360"/>
      </w:pPr>
      <w:rPr>
        <w:rFonts w:ascii="Symbol" w:hAnsi="Symbol"/>
      </w:rPr>
    </w:lvl>
    <w:lvl w:ilvl="4" w:tplc="9B5EE2EA">
      <w:start w:val="1"/>
      <w:numFmt w:val="bullet"/>
      <w:lvlText w:val="o"/>
      <w:lvlJc w:val="left"/>
      <w:pPr>
        <w:tabs>
          <w:tab w:val="num" w:pos="3600"/>
        </w:tabs>
        <w:ind w:left="3600" w:hanging="360"/>
      </w:pPr>
      <w:rPr>
        <w:rFonts w:ascii="Courier New" w:hAnsi="Courier New"/>
      </w:rPr>
    </w:lvl>
    <w:lvl w:ilvl="5" w:tplc="BD9ED76E">
      <w:start w:val="1"/>
      <w:numFmt w:val="bullet"/>
      <w:lvlText w:val=""/>
      <w:lvlJc w:val="left"/>
      <w:pPr>
        <w:tabs>
          <w:tab w:val="num" w:pos="4320"/>
        </w:tabs>
        <w:ind w:left="4320" w:hanging="360"/>
      </w:pPr>
      <w:rPr>
        <w:rFonts w:ascii="Wingdings" w:hAnsi="Wingdings"/>
      </w:rPr>
    </w:lvl>
    <w:lvl w:ilvl="6" w:tplc="1D06BBC0">
      <w:start w:val="1"/>
      <w:numFmt w:val="bullet"/>
      <w:lvlText w:val=""/>
      <w:lvlJc w:val="left"/>
      <w:pPr>
        <w:tabs>
          <w:tab w:val="num" w:pos="5040"/>
        </w:tabs>
        <w:ind w:left="5040" w:hanging="360"/>
      </w:pPr>
      <w:rPr>
        <w:rFonts w:ascii="Symbol" w:hAnsi="Symbol"/>
      </w:rPr>
    </w:lvl>
    <w:lvl w:ilvl="7" w:tplc="6B0882D4">
      <w:start w:val="1"/>
      <w:numFmt w:val="bullet"/>
      <w:lvlText w:val="o"/>
      <w:lvlJc w:val="left"/>
      <w:pPr>
        <w:tabs>
          <w:tab w:val="num" w:pos="5760"/>
        </w:tabs>
        <w:ind w:left="5760" w:hanging="360"/>
      </w:pPr>
      <w:rPr>
        <w:rFonts w:ascii="Courier New" w:hAnsi="Courier New"/>
      </w:rPr>
    </w:lvl>
    <w:lvl w:ilvl="8" w:tplc="A8EA87D0">
      <w:start w:val="1"/>
      <w:numFmt w:val="bullet"/>
      <w:lvlText w:val=""/>
      <w:lvlJc w:val="left"/>
      <w:pPr>
        <w:tabs>
          <w:tab w:val="num" w:pos="6480"/>
        </w:tabs>
        <w:ind w:left="6480" w:hanging="360"/>
      </w:pPr>
      <w:rPr>
        <w:rFonts w:ascii="Wingdings" w:hAnsi="Wingdings"/>
      </w:rPr>
    </w:lvl>
  </w:abstractNum>
  <w:abstractNum w:abstractNumId="534" w15:restartNumberingAfterBreak="0">
    <w:nsid w:val="722306D8"/>
    <w:multiLevelType w:val="hybridMultilevel"/>
    <w:tmpl w:val="722306D8"/>
    <w:lvl w:ilvl="0" w:tplc="1D2A311C">
      <w:start w:val="1"/>
      <w:numFmt w:val="bullet"/>
      <w:lvlText w:val=""/>
      <w:lvlJc w:val="left"/>
      <w:pPr>
        <w:ind w:left="720" w:hanging="360"/>
      </w:pPr>
      <w:rPr>
        <w:rFonts w:ascii="Symbol" w:hAnsi="Symbol"/>
      </w:rPr>
    </w:lvl>
    <w:lvl w:ilvl="1" w:tplc="903234A6">
      <w:start w:val="1"/>
      <w:numFmt w:val="bullet"/>
      <w:lvlText w:val="o"/>
      <w:lvlJc w:val="left"/>
      <w:pPr>
        <w:tabs>
          <w:tab w:val="num" w:pos="1440"/>
        </w:tabs>
        <w:ind w:left="1440" w:hanging="360"/>
      </w:pPr>
      <w:rPr>
        <w:rFonts w:ascii="Courier New" w:hAnsi="Courier New"/>
      </w:rPr>
    </w:lvl>
    <w:lvl w:ilvl="2" w:tplc="4858B600">
      <w:start w:val="1"/>
      <w:numFmt w:val="bullet"/>
      <w:lvlText w:val=""/>
      <w:lvlJc w:val="left"/>
      <w:pPr>
        <w:tabs>
          <w:tab w:val="num" w:pos="2160"/>
        </w:tabs>
        <w:ind w:left="2160" w:hanging="360"/>
      </w:pPr>
      <w:rPr>
        <w:rFonts w:ascii="Wingdings" w:hAnsi="Wingdings"/>
      </w:rPr>
    </w:lvl>
    <w:lvl w:ilvl="3" w:tplc="CBCCC90A">
      <w:start w:val="1"/>
      <w:numFmt w:val="bullet"/>
      <w:lvlText w:val=""/>
      <w:lvlJc w:val="left"/>
      <w:pPr>
        <w:tabs>
          <w:tab w:val="num" w:pos="2880"/>
        </w:tabs>
        <w:ind w:left="2880" w:hanging="360"/>
      </w:pPr>
      <w:rPr>
        <w:rFonts w:ascii="Symbol" w:hAnsi="Symbol"/>
      </w:rPr>
    </w:lvl>
    <w:lvl w:ilvl="4" w:tplc="1D2443D4">
      <w:start w:val="1"/>
      <w:numFmt w:val="bullet"/>
      <w:lvlText w:val="o"/>
      <w:lvlJc w:val="left"/>
      <w:pPr>
        <w:tabs>
          <w:tab w:val="num" w:pos="3600"/>
        </w:tabs>
        <w:ind w:left="3600" w:hanging="360"/>
      </w:pPr>
      <w:rPr>
        <w:rFonts w:ascii="Courier New" w:hAnsi="Courier New"/>
      </w:rPr>
    </w:lvl>
    <w:lvl w:ilvl="5" w:tplc="A97A6146">
      <w:start w:val="1"/>
      <w:numFmt w:val="bullet"/>
      <w:lvlText w:val=""/>
      <w:lvlJc w:val="left"/>
      <w:pPr>
        <w:tabs>
          <w:tab w:val="num" w:pos="4320"/>
        </w:tabs>
        <w:ind w:left="4320" w:hanging="360"/>
      </w:pPr>
      <w:rPr>
        <w:rFonts w:ascii="Wingdings" w:hAnsi="Wingdings"/>
      </w:rPr>
    </w:lvl>
    <w:lvl w:ilvl="6" w:tplc="5656A524">
      <w:start w:val="1"/>
      <w:numFmt w:val="bullet"/>
      <w:lvlText w:val=""/>
      <w:lvlJc w:val="left"/>
      <w:pPr>
        <w:tabs>
          <w:tab w:val="num" w:pos="5040"/>
        </w:tabs>
        <w:ind w:left="5040" w:hanging="360"/>
      </w:pPr>
      <w:rPr>
        <w:rFonts w:ascii="Symbol" w:hAnsi="Symbol"/>
      </w:rPr>
    </w:lvl>
    <w:lvl w:ilvl="7" w:tplc="C8FE50D6">
      <w:start w:val="1"/>
      <w:numFmt w:val="bullet"/>
      <w:lvlText w:val="o"/>
      <w:lvlJc w:val="left"/>
      <w:pPr>
        <w:tabs>
          <w:tab w:val="num" w:pos="5760"/>
        </w:tabs>
        <w:ind w:left="5760" w:hanging="360"/>
      </w:pPr>
      <w:rPr>
        <w:rFonts w:ascii="Courier New" w:hAnsi="Courier New"/>
      </w:rPr>
    </w:lvl>
    <w:lvl w:ilvl="8" w:tplc="74A413BC">
      <w:start w:val="1"/>
      <w:numFmt w:val="bullet"/>
      <w:lvlText w:val=""/>
      <w:lvlJc w:val="left"/>
      <w:pPr>
        <w:tabs>
          <w:tab w:val="num" w:pos="6480"/>
        </w:tabs>
        <w:ind w:left="6480" w:hanging="360"/>
      </w:pPr>
      <w:rPr>
        <w:rFonts w:ascii="Wingdings" w:hAnsi="Wingdings"/>
      </w:rPr>
    </w:lvl>
  </w:abstractNum>
  <w:abstractNum w:abstractNumId="535" w15:restartNumberingAfterBreak="0">
    <w:nsid w:val="722306D9"/>
    <w:multiLevelType w:val="hybridMultilevel"/>
    <w:tmpl w:val="722306D9"/>
    <w:lvl w:ilvl="0" w:tplc="7166E28A">
      <w:start w:val="1"/>
      <w:numFmt w:val="bullet"/>
      <w:lvlText w:val=""/>
      <w:lvlJc w:val="left"/>
      <w:pPr>
        <w:ind w:left="720" w:hanging="360"/>
      </w:pPr>
      <w:rPr>
        <w:rFonts w:ascii="Symbol" w:hAnsi="Symbol"/>
      </w:rPr>
    </w:lvl>
    <w:lvl w:ilvl="1" w:tplc="68982FF4">
      <w:start w:val="1"/>
      <w:numFmt w:val="bullet"/>
      <w:lvlText w:val="o"/>
      <w:lvlJc w:val="left"/>
      <w:pPr>
        <w:tabs>
          <w:tab w:val="num" w:pos="1440"/>
        </w:tabs>
        <w:ind w:left="1440" w:hanging="360"/>
      </w:pPr>
      <w:rPr>
        <w:rFonts w:ascii="Courier New" w:hAnsi="Courier New"/>
      </w:rPr>
    </w:lvl>
    <w:lvl w:ilvl="2" w:tplc="0ACC88D6">
      <w:start w:val="1"/>
      <w:numFmt w:val="bullet"/>
      <w:lvlText w:val=""/>
      <w:lvlJc w:val="left"/>
      <w:pPr>
        <w:tabs>
          <w:tab w:val="num" w:pos="2160"/>
        </w:tabs>
        <w:ind w:left="2160" w:hanging="360"/>
      </w:pPr>
      <w:rPr>
        <w:rFonts w:ascii="Wingdings" w:hAnsi="Wingdings"/>
      </w:rPr>
    </w:lvl>
    <w:lvl w:ilvl="3" w:tplc="FE6AE088">
      <w:start w:val="1"/>
      <w:numFmt w:val="bullet"/>
      <w:lvlText w:val=""/>
      <w:lvlJc w:val="left"/>
      <w:pPr>
        <w:tabs>
          <w:tab w:val="num" w:pos="2880"/>
        </w:tabs>
        <w:ind w:left="2880" w:hanging="360"/>
      </w:pPr>
      <w:rPr>
        <w:rFonts w:ascii="Symbol" w:hAnsi="Symbol"/>
      </w:rPr>
    </w:lvl>
    <w:lvl w:ilvl="4" w:tplc="7C3ECBEA">
      <w:start w:val="1"/>
      <w:numFmt w:val="bullet"/>
      <w:lvlText w:val="o"/>
      <w:lvlJc w:val="left"/>
      <w:pPr>
        <w:tabs>
          <w:tab w:val="num" w:pos="3600"/>
        </w:tabs>
        <w:ind w:left="3600" w:hanging="360"/>
      </w:pPr>
      <w:rPr>
        <w:rFonts w:ascii="Courier New" w:hAnsi="Courier New"/>
      </w:rPr>
    </w:lvl>
    <w:lvl w:ilvl="5" w:tplc="7B668928">
      <w:start w:val="1"/>
      <w:numFmt w:val="bullet"/>
      <w:lvlText w:val=""/>
      <w:lvlJc w:val="left"/>
      <w:pPr>
        <w:tabs>
          <w:tab w:val="num" w:pos="4320"/>
        </w:tabs>
        <w:ind w:left="4320" w:hanging="360"/>
      </w:pPr>
      <w:rPr>
        <w:rFonts w:ascii="Wingdings" w:hAnsi="Wingdings"/>
      </w:rPr>
    </w:lvl>
    <w:lvl w:ilvl="6" w:tplc="5F20DFBA">
      <w:start w:val="1"/>
      <w:numFmt w:val="bullet"/>
      <w:lvlText w:val=""/>
      <w:lvlJc w:val="left"/>
      <w:pPr>
        <w:tabs>
          <w:tab w:val="num" w:pos="5040"/>
        </w:tabs>
        <w:ind w:left="5040" w:hanging="360"/>
      </w:pPr>
      <w:rPr>
        <w:rFonts w:ascii="Symbol" w:hAnsi="Symbol"/>
      </w:rPr>
    </w:lvl>
    <w:lvl w:ilvl="7" w:tplc="681E9E28">
      <w:start w:val="1"/>
      <w:numFmt w:val="bullet"/>
      <w:lvlText w:val="o"/>
      <w:lvlJc w:val="left"/>
      <w:pPr>
        <w:tabs>
          <w:tab w:val="num" w:pos="5760"/>
        </w:tabs>
        <w:ind w:left="5760" w:hanging="360"/>
      </w:pPr>
      <w:rPr>
        <w:rFonts w:ascii="Courier New" w:hAnsi="Courier New"/>
      </w:rPr>
    </w:lvl>
    <w:lvl w:ilvl="8" w:tplc="DB8AE87E">
      <w:start w:val="1"/>
      <w:numFmt w:val="bullet"/>
      <w:lvlText w:val=""/>
      <w:lvlJc w:val="left"/>
      <w:pPr>
        <w:tabs>
          <w:tab w:val="num" w:pos="6480"/>
        </w:tabs>
        <w:ind w:left="6480" w:hanging="360"/>
      </w:pPr>
      <w:rPr>
        <w:rFonts w:ascii="Wingdings" w:hAnsi="Wingdings"/>
      </w:rPr>
    </w:lvl>
  </w:abstractNum>
  <w:abstractNum w:abstractNumId="536" w15:restartNumberingAfterBreak="0">
    <w:nsid w:val="722306DA"/>
    <w:multiLevelType w:val="hybridMultilevel"/>
    <w:tmpl w:val="722306DA"/>
    <w:lvl w:ilvl="0" w:tplc="1204890C">
      <w:start w:val="1"/>
      <w:numFmt w:val="bullet"/>
      <w:lvlText w:val=""/>
      <w:lvlJc w:val="left"/>
      <w:pPr>
        <w:tabs>
          <w:tab w:val="num" w:pos="720"/>
        </w:tabs>
        <w:ind w:left="720" w:hanging="360"/>
      </w:pPr>
      <w:rPr>
        <w:rFonts w:ascii="Symbol" w:hAnsi="Symbol"/>
      </w:rPr>
    </w:lvl>
    <w:lvl w:ilvl="1" w:tplc="2EF6130A">
      <w:start w:val="1"/>
      <w:numFmt w:val="bullet"/>
      <w:lvlText w:val="o"/>
      <w:lvlJc w:val="left"/>
      <w:pPr>
        <w:tabs>
          <w:tab w:val="num" w:pos="1440"/>
        </w:tabs>
        <w:ind w:left="1440" w:hanging="360"/>
      </w:pPr>
      <w:rPr>
        <w:rFonts w:ascii="Courier New" w:hAnsi="Courier New"/>
      </w:rPr>
    </w:lvl>
    <w:lvl w:ilvl="2" w:tplc="CA84DD7A">
      <w:start w:val="1"/>
      <w:numFmt w:val="bullet"/>
      <w:lvlText w:val=""/>
      <w:lvlJc w:val="left"/>
      <w:pPr>
        <w:tabs>
          <w:tab w:val="num" w:pos="2160"/>
        </w:tabs>
        <w:ind w:left="2160" w:hanging="360"/>
      </w:pPr>
      <w:rPr>
        <w:rFonts w:ascii="Wingdings" w:hAnsi="Wingdings"/>
      </w:rPr>
    </w:lvl>
    <w:lvl w:ilvl="3" w:tplc="541ADE66">
      <w:start w:val="1"/>
      <w:numFmt w:val="bullet"/>
      <w:lvlText w:val=""/>
      <w:lvlJc w:val="left"/>
      <w:pPr>
        <w:tabs>
          <w:tab w:val="num" w:pos="2880"/>
        </w:tabs>
        <w:ind w:left="2880" w:hanging="360"/>
      </w:pPr>
      <w:rPr>
        <w:rFonts w:ascii="Symbol" w:hAnsi="Symbol"/>
      </w:rPr>
    </w:lvl>
    <w:lvl w:ilvl="4" w:tplc="8AF2D100">
      <w:start w:val="1"/>
      <w:numFmt w:val="bullet"/>
      <w:lvlText w:val="o"/>
      <w:lvlJc w:val="left"/>
      <w:pPr>
        <w:tabs>
          <w:tab w:val="num" w:pos="3600"/>
        </w:tabs>
        <w:ind w:left="3600" w:hanging="360"/>
      </w:pPr>
      <w:rPr>
        <w:rFonts w:ascii="Courier New" w:hAnsi="Courier New"/>
      </w:rPr>
    </w:lvl>
    <w:lvl w:ilvl="5" w:tplc="73EC8870">
      <w:start w:val="1"/>
      <w:numFmt w:val="bullet"/>
      <w:lvlText w:val=""/>
      <w:lvlJc w:val="left"/>
      <w:pPr>
        <w:tabs>
          <w:tab w:val="num" w:pos="4320"/>
        </w:tabs>
        <w:ind w:left="4320" w:hanging="360"/>
      </w:pPr>
      <w:rPr>
        <w:rFonts w:ascii="Wingdings" w:hAnsi="Wingdings"/>
      </w:rPr>
    </w:lvl>
    <w:lvl w:ilvl="6" w:tplc="C9C88092">
      <w:start w:val="1"/>
      <w:numFmt w:val="bullet"/>
      <w:lvlText w:val=""/>
      <w:lvlJc w:val="left"/>
      <w:pPr>
        <w:tabs>
          <w:tab w:val="num" w:pos="5040"/>
        </w:tabs>
        <w:ind w:left="5040" w:hanging="360"/>
      </w:pPr>
      <w:rPr>
        <w:rFonts w:ascii="Symbol" w:hAnsi="Symbol"/>
      </w:rPr>
    </w:lvl>
    <w:lvl w:ilvl="7" w:tplc="CAC80128">
      <w:start w:val="1"/>
      <w:numFmt w:val="bullet"/>
      <w:lvlText w:val="o"/>
      <w:lvlJc w:val="left"/>
      <w:pPr>
        <w:tabs>
          <w:tab w:val="num" w:pos="5760"/>
        </w:tabs>
        <w:ind w:left="5760" w:hanging="360"/>
      </w:pPr>
      <w:rPr>
        <w:rFonts w:ascii="Courier New" w:hAnsi="Courier New"/>
      </w:rPr>
    </w:lvl>
    <w:lvl w:ilvl="8" w:tplc="D52A2B2A">
      <w:start w:val="1"/>
      <w:numFmt w:val="bullet"/>
      <w:lvlText w:val=""/>
      <w:lvlJc w:val="left"/>
      <w:pPr>
        <w:tabs>
          <w:tab w:val="num" w:pos="6480"/>
        </w:tabs>
        <w:ind w:left="6480" w:hanging="360"/>
      </w:pPr>
      <w:rPr>
        <w:rFonts w:ascii="Wingdings" w:hAnsi="Wingdings"/>
      </w:rPr>
    </w:lvl>
  </w:abstractNum>
  <w:abstractNum w:abstractNumId="537" w15:restartNumberingAfterBreak="0">
    <w:nsid w:val="722306DB"/>
    <w:multiLevelType w:val="hybridMultilevel"/>
    <w:tmpl w:val="722306DB"/>
    <w:lvl w:ilvl="0" w:tplc="723A8734">
      <w:start w:val="1"/>
      <w:numFmt w:val="bullet"/>
      <w:lvlText w:val=""/>
      <w:lvlJc w:val="left"/>
      <w:pPr>
        <w:ind w:left="720" w:hanging="360"/>
      </w:pPr>
      <w:rPr>
        <w:rFonts w:ascii="Symbol" w:hAnsi="Symbol"/>
      </w:rPr>
    </w:lvl>
    <w:lvl w:ilvl="1" w:tplc="50CAAE82">
      <w:start w:val="1"/>
      <w:numFmt w:val="bullet"/>
      <w:lvlText w:val="o"/>
      <w:lvlJc w:val="left"/>
      <w:pPr>
        <w:tabs>
          <w:tab w:val="num" w:pos="1440"/>
        </w:tabs>
        <w:ind w:left="1440" w:hanging="360"/>
      </w:pPr>
      <w:rPr>
        <w:rFonts w:ascii="Courier New" w:hAnsi="Courier New"/>
      </w:rPr>
    </w:lvl>
    <w:lvl w:ilvl="2" w:tplc="442A8306">
      <w:start w:val="1"/>
      <w:numFmt w:val="bullet"/>
      <w:lvlText w:val=""/>
      <w:lvlJc w:val="left"/>
      <w:pPr>
        <w:tabs>
          <w:tab w:val="num" w:pos="2160"/>
        </w:tabs>
        <w:ind w:left="2160" w:hanging="360"/>
      </w:pPr>
      <w:rPr>
        <w:rFonts w:ascii="Wingdings" w:hAnsi="Wingdings"/>
      </w:rPr>
    </w:lvl>
    <w:lvl w:ilvl="3" w:tplc="08B2ED0C">
      <w:start w:val="1"/>
      <w:numFmt w:val="bullet"/>
      <w:lvlText w:val=""/>
      <w:lvlJc w:val="left"/>
      <w:pPr>
        <w:tabs>
          <w:tab w:val="num" w:pos="2880"/>
        </w:tabs>
        <w:ind w:left="2880" w:hanging="360"/>
      </w:pPr>
      <w:rPr>
        <w:rFonts w:ascii="Symbol" w:hAnsi="Symbol"/>
      </w:rPr>
    </w:lvl>
    <w:lvl w:ilvl="4" w:tplc="9134F4B2">
      <w:start w:val="1"/>
      <w:numFmt w:val="bullet"/>
      <w:lvlText w:val="o"/>
      <w:lvlJc w:val="left"/>
      <w:pPr>
        <w:tabs>
          <w:tab w:val="num" w:pos="3600"/>
        </w:tabs>
        <w:ind w:left="3600" w:hanging="360"/>
      </w:pPr>
      <w:rPr>
        <w:rFonts w:ascii="Courier New" w:hAnsi="Courier New"/>
      </w:rPr>
    </w:lvl>
    <w:lvl w:ilvl="5" w:tplc="EA461E62">
      <w:start w:val="1"/>
      <w:numFmt w:val="bullet"/>
      <w:lvlText w:val=""/>
      <w:lvlJc w:val="left"/>
      <w:pPr>
        <w:tabs>
          <w:tab w:val="num" w:pos="4320"/>
        </w:tabs>
        <w:ind w:left="4320" w:hanging="360"/>
      </w:pPr>
      <w:rPr>
        <w:rFonts w:ascii="Wingdings" w:hAnsi="Wingdings"/>
      </w:rPr>
    </w:lvl>
    <w:lvl w:ilvl="6" w:tplc="D56C514A">
      <w:start w:val="1"/>
      <w:numFmt w:val="bullet"/>
      <w:lvlText w:val=""/>
      <w:lvlJc w:val="left"/>
      <w:pPr>
        <w:tabs>
          <w:tab w:val="num" w:pos="5040"/>
        </w:tabs>
        <w:ind w:left="5040" w:hanging="360"/>
      </w:pPr>
      <w:rPr>
        <w:rFonts w:ascii="Symbol" w:hAnsi="Symbol"/>
      </w:rPr>
    </w:lvl>
    <w:lvl w:ilvl="7" w:tplc="FB1881CC">
      <w:start w:val="1"/>
      <w:numFmt w:val="bullet"/>
      <w:lvlText w:val="o"/>
      <w:lvlJc w:val="left"/>
      <w:pPr>
        <w:tabs>
          <w:tab w:val="num" w:pos="5760"/>
        </w:tabs>
        <w:ind w:left="5760" w:hanging="360"/>
      </w:pPr>
      <w:rPr>
        <w:rFonts w:ascii="Courier New" w:hAnsi="Courier New"/>
      </w:rPr>
    </w:lvl>
    <w:lvl w:ilvl="8" w:tplc="145EC9AA">
      <w:start w:val="1"/>
      <w:numFmt w:val="bullet"/>
      <w:lvlText w:val=""/>
      <w:lvlJc w:val="left"/>
      <w:pPr>
        <w:tabs>
          <w:tab w:val="num" w:pos="6480"/>
        </w:tabs>
        <w:ind w:left="6480" w:hanging="360"/>
      </w:pPr>
      <w:rPr>
        <w:rFonts w:ascii="Wingdings" w:hAnsi="Wingdings"/>
      </w:rPr>
    </w:lvl>
  </w:abstractNum>
  <w:abstractNum w:abstractNumId="538" w15:restartNumberingAfterBreak="0">
    <w:nsid w:val="722306DC"/>
    <w:multiLevelType w:val="hybridMultilevel"/>
    <w:tmpl w:val="722306DC"/>
    <w:lvl w:ilvl="0" w:tplc="6000665C">
      <w:start w:val="1"/>
      <w:numFmt w:val="bullet"/>
      <w:lvlText w:val=""/>
      <w:lvlJc w:val="left"/>
      <w:pPr>
        <w:ind w:left="720" w:hanging="360"/>
      </w:pPr>
      <w:rPr>
        <w:rFonts w:ascii="Symbol" w:hAnsi="Symbol"/>
      </w:rPr>
    </w:lvl>
    <w:lvl w:ilvl="1" w:tplc="6D826B38">
      <w:start w:val="1"/>
      <w:numFmt w:val="bullet"/>
      <w:lvlText w:val="o"/>
      <w:lvlJc w:val="left"/>
      <w:pPr>
        <w:tabs>
          <w:tab w:val="num" w:pos="1440"/>
        </w:tabs>
        <w:ind w:left="1440" w:hanging="360"/>
      </w:pPr>
      <w:rPr>
        <w:rFonts w:ascii="Courier New" w:hAnsi="Courier New"/>
      </w:rPr>
    </w:lvl>
    <w:lvl w:ilvl="2" w:tplc="A336D9B6">
      <w:start w:val="1"/>
      <w:numFmt w:val="bullet"/>
      <w:lvlText w:val=""/>
      <w:lvlJc w:val="left"/>
      <w:pPr>
        <w:tabs>
          <w:tab w:val="num" w:pos="2160"/>
        </w:tabs>
        <w:ind w:left="2160" w:hanging="360"/>
      </w:pPr>
      <w:rPr>
        <w:rFonts w:ascii="Wingdings" w:hAnsi="Wingdings"/>
      </w:rPr>
    </w:lvl>
    <w:lvl w:ilvl="3" w:tplc="C694C488">
      <w:start w:val="1"/>
      <w:numFmt w:val="bullet"/>
      <w:lvlText w:val=""/>
      <w:lvlJc w:val="left"/>
      <w:pPr>
        <w:tabs>
          <w:tab w:val="num" w:pos="2880"/>
        </w:tabs>
        <w:ind w:left="2880" w:hanging="360"/>
      </w:pPr>
      <w:rPr>
        <w:rFonts w:ascii="Symbol" w:hAnsi="Symbol"/>
      </w:rPr>
    </w:lvl>
    <w:lvl w:ilvl="4" w:tplc="0F2C86B2">
      <w:start w:val="1"/>
      <w:numFmt w:val="bullet"/>
      <w:lvlText w:val="o"/>
      <w:lvlJc w:val="left"/>
      <w:pPr>
        <w:tabs>
          <w:tab w:val="num" w:pos="3600"/>
        </w:tabs>
        <w:ind w:left="3600" w:hanging="360"/>
      </w:pPr>
      <w:rPr>
        <w:rFonts w:ascii="Courier New" w:hAnsi="Courier New"/>
      </w:rPr>
    </w:lvl>
    <w:lvl w:ilvl="5" w:tplc="E358344A">
      <w:start w:val="1"/>
      <w:numFmt w:val="bullet"/>
      <w:lvlText w:val=""/>
      <w:lvlJc w:val="left"/>
      <w:pPr>
        <w:tabs>
          <w:tab w:val="num" w:pos="4320"/>
        </w:tabs>
        <w:ind w:left="4320" w:hanging="360"/>
      </w:pPr>
      <w:rPr>
        <w:rFonts w:ascii="Wingdings" w:hAnsi="Wingdings"/>
      </w:rPr>
    </w:lvl>
    <w:lvl w:ilvl="6" w:tplc="57C0BB9E">
      <w:start w:val="1"/>
      <w:numFmt w:val="bullet"/>
      <w:lvlText w:val=""/>
      <w:lvlJc w:val="left"/>
      <w:pPr>
        <w:tabs>
          <w:tab w:val="num" w:pos="5040"/>
        </w:tabs>
        <w:ind w:left="5040" w:hanging="360"/>
      </w:pPr>
      <w:rPr>
        <w:rFonts w:ascii="Symbol" w:hAnsi="Symbol"/>
      </w:rPr>
    </w:lvl>
    <w:lvl w:ilvl="7" w:tplc="50D8F9D8">
      <w:start w:val="1"/>
      <w:numFmt w:val="bullet"/>
      <w:lvlText w:val="o"/>
      <w:lvlJc w:val="left"/>
      <w:pPr>
        <w:tabs>
          <w:tab w:val="num" w:pos="5760"/>
        </w:tabs>
        <w:ind w:left="5760" w:hanging="360"/>
      </w:pPr>
      <w:rPr>
        <w:rFonts w:ascii="Courier New" w:hAnsi="Courier New"/>
      </w:rPr>
    </w:lvl>
    <w:lvl w:ilvl="8" w:tplc="9B323ABC">
      <w:start w:val="1"/>
      <w:numFmt w:val="bullet"/>
      <w:lvlText w:val=""/>
      <w:lvlJc w:val="left"/>
      <w:pPr>
        <w:tabs>
          <w:tab w:val="num" w:pos="6480"/>
        </w:tabs>
        <w:ind w:left="6480" w:hanging="360"/>
      </w:pPr>
      <w:rPr>
        <w:rFonts w:ascii="Wingdings" w:hAnsi="Wingdings"/>
      </w:rPr>
    </w:lvl>
  </w:abstractNum>
  <w:abstractNum w:abstractNumId="539" w15:restartNumberingAfterBreak="0">
    <w:nsid w:val="722306DD"/>
    <w:multiLevelType w:val="hybridMultilevel"/>
    <w:tmpl w:val="722306DD"/>
    <w:lvl w:ilvl="0" w:tplc="3E60603A">
      <w:start w:val="1"/>
      <w:numFmt w:val="bullet"/>
      <w:lvlText w:val=""/>
      <w:lvlJc w:val="left"/>
      <w:pPr>
        <w:ind w:left="720" w:hanging="360"/>
      </w:pPr>
      <w:rPr>
        <w:rFonts w:ascii="Symbol" w:hAnsi="Symbol"/>
      </w:rPr>
    </w:lvl>
    <w:lvl w:ilvl="1" w:tplc="EB9AF816">
      <w:start w:val="1"/>
      <w:numFmt w:val="bullet"/>
      <w:lvlText w:val="o"/>
      <w:lvlJc w:val="left"/>
      <w:pPr>
        <w:tabs>
          <w:tab w:val="num" w:pos="1440"/>
        </w:tabs>
        <w:ind w:left="1440" w:hanging="360"/>
      </w:pPr>
      <w:rPr>
        <w:rFonts w:ascii="Courier New" w:hAnsi="Courier New"/>
      </w:rPr>
    </w:lvl>
    <w:lvl w:ilvl="2" w:tplc="2B5CE772">
      <w:start w:val="1"/>
      <w:numFmt w:val="bullet"/>
      <w:lvlText w:val=""/>
      <w:lvlJc w:val="left"/>
      <w:pPr>
        <w:tabs>
          <w:tab w:val="num" w:pos="2160"/>
        </w:tabs>
        <w:ind w:left="2160" w:hanging="360"/>
      </w:pPr>
      <w:rPr>
        <w:rFonts w:ascii="Wingdings" w:hAnsi="Wingdings"/>
      </w:rPr>
    </w:lvl>
    <w:lvl w:ilvl="3" w:tplc="C1CEA802">
      <w:start w:val="1"/>
      <w:numFmt w:val="bullet"/>
      <w:lvlText w:val=""/>
      <w:lvlJc w:val="left"/>
      <w:pPr>
        <w:tabs>
          <w:tab w:val="num" w:pos="2880"/>
        </w:tabs>
        <w:ind w:left="2880" w:hanging="360"/>
      </w:pPr>
      <w:rPr>
        <w:rFonts w:ascii="Symbol" w:hAnsi="Symbol"/>
      </w:rPr>
    </w:lvl>
    <w:lvl w:ilvl="4" w:tplc="EF7621FA">
      <w:start w:val="1"/>
      <w:numFmt w:val="bullet"/>
      <w:lvlText w:val="o"/>
      <w:lvlJc w:val="left"/>
      <w:pPr>
        <w:tabs>
          <w:tab w:val="num" w:pos="3600"/>
        </w:tabs>
        <w:ind w:left="3600" w:hanging="360"/>
      </w:pPr>
      <w:rPr>
        <w:rFonts w:ascii="Courier New" w:hAnsi="Courier New"/>
      </w:rPr>
    </w:lvl>
    <w:lvl w:ilvl="5" w:tplc="C1820BDC">
      <w:start w:val="1"/>
      <w:numFmt w:val="bullet"/>
      <w:lvlText w:val=""/>
      <w:lvlJc w:val="left"/>
      <w:pPr>
        <w:tabs>
          <w:tab w:val="num" w:pos="4320"/>
        </w:tabs>
        <w:ind w:left="4320" w:hanging="360"/>
      </w:pPr>
      <w:rPr>
        <w:rFonts w:ascii="Wingdings" w:hAnsi="Wingdings"/>
      </w:rPr>
    </w:lvl>
    <w:lvl w:ilvl="6" w:tplc="62A03140">
      <w:start w:val="1"/>
      <w:numFmt w:val="bullet"/>
      <w:lvlText w:val=""/>
      <w:lvlJc w:val="left"/>
      <w:pPr>
        <w:tabs>
          <w:tab w:val="num" w:pos="5040"/>
        </w:tabs>
        <w:ind w:left="5040" w:hanging="360"/>
      </w:pPr>
      <w:rPr>
        <w:rFonts w:ascii="Symbol" w:hAnsi="Symbol"/>
      </w:rPr>
    </w:lvl>
    <w:lvl w:ilvl="7" w:tplc="ACDE4CC0">
      <w:start w:val="1"/>
      <w:numFmt w:val="bullet"/>
      <w:lvlText w:val="o"/>
      <w:lvlJc w:val="left"/>
      <w:pPr>
        <w:tabs>
          <w:tab w:val="num" w:pos="5760"/>
        </w:tabs>
        <w:ind w:left="5760" w:hanging="360"/>
      </w:pPr>
      <w:rPr>
        <w:rFonts w:ascii="Courier New" w:hAnsi="Courier New"/>
      </w:rPr>
    </w:lvl>
    <w:lvl w:ilvl="8" w:tplc="D6B22C34">
      <w:start w:val="1"/>
      <w:numFmt w:val="bullet"/>
      <w:lvlText w:val=""/>
      <w:lvlJc w:val="left"/>
      <w:pPr>
        <w:tabs>
          <w:tab w:val="num" w:pos="6480"/>
        </w:tabs>
        <w:ind w:left="6480" w:hanging="360"/>
      </w:pPr>
      <w:rPr>
        <w:rFonts w:ascii="Wingdings" w:hAnsi="Wingdings"/>
      </w:rPr>
    </w:lvl>
  </w:abstractNum>
  <w:abstractNum w:abstractNumId="540" w15:restartNumberingAfterBreak="0">
    <w:nsid w:val="722306DE"/>
    <w:multiLevelType w:val="hybridMultilevel"/>
    <w:tmpl w:val="722306DE"/>
    <w:lvl w:ilvl="0" w:tplc="87AEC3E0">
      <w:start w:val="1"/>
      <w:numFmt w:val="bullet"/>
      <w:lvlText w:val=""/>
      <w:lvlJc w:val="left"/>
      <w:pPr>
        <w:ind w:left="720" w:hanging="360"/>
      </w:pPr>
      <w:rPr>
        <w:rFonts w:ascii="Symbol" w:hAnsi="Symbol"/>
      </w:rPr>
    </w:lvl>
    <w:lvl w:ilvl="1" w:tplc="FE1ADE18">
      <w:start w:val="1"/>
      <w:numFmt w:val="bullet"/>
      <w:lvlText w:val="o"/>
      <w:lvlJc w:val="left"/>
      <w:pPr>
        <w:tabs>
          <w:tab w:val="num" w:pos="1440"/>
        </w:tabs>
        <w:ind w:left="1440" w:hanging="360"/>
      </w:pPr>
      <w:rPr>
        <w:rFonts w:ascii="Courier New" w:hAnsi="Courier New"/>
      </w:rPr>
    </w:lvl>
    <w:lvl w:ilvl="2" w:tplc="CB62EF66">
      <w:start w:val="1"/>
      <w:numFmt w:val="bullet"/>
      <w:lvlText w:val=""/>
      <w:lvlJc w:val="left"/>
      <w:pPr>
        <w:tabs>
          <w:tab w:val="num" w:pos="2160"/>
        </w:tabs>
        <w:ind w:left="2160" w:hanging="360"/>
      </w:pPr>
      <w:rPr>
        <w:rFonts w:ascii="Wingdings" w:hAnsi="Wingdings"/>
      </w:rPr>
    </w:lvl>
    <w:lvl w:ilvl="3" w:tplc="E444B460">
      <w:start w:val="1"/>
      <w:numFmt w:val="bullet"/>
      <w:lvlText w:val=""/>
      <w:lvlJc w:val="left"/>
      <w:pPr>
        <w:tabs>
          <w:tab w:val="num" w:pos="2880"/>
        </w:tabs>
        <w:ind w:left="2880" w:hanging="360"/>
      </w:pPr>
      <w:rPr>
        <w:rFonts w:ascii="Symbol" w:hAnsi="Symbol"/>
      </w:rPr>
    </w:lvl>
    <w:lvl w:ilvl="4" w:tplc="6B620B00">
      <w:start w:val="1"/>
      <w:numFmt w:val="bullet"/>
      <w:lvlText w:val="o"/>
      <w:lvlJc w:val="left"/>
      <w:pPr>
        <w:tabs>
          <w:tab w:val="num" w:pos="3600"/>
        </w:tabs>
        <w:ind w:left="3600" w:hanging="360"/>
      </w:pPr>
      <w:rPr>
        <w:rFonts w:ascii="Courier New" w:hAnsi="Courier New"/>
      </w:rPr>
    </w:lvl>
    <w:lvl w:ilvl="5" w:tplc="6FD6E0B4">
      <w:start w:val="1"/>
      <w:numFmt w:val="bullet"/>
      <w:lvlText w:val=""/>
      <w:lvlJc w:val="left"/>
      <w:pPr>
        <w:tabs>
          <w:tab w:val="num" w:pos="4320"/>
        </w:tabs>
        <w:ind w:left="4320" w:hanging="360"/>
      </w:pPr>
      <w:rPr>
        <w:rFonts w:ascii="Wingdings" w:hAnsi="Wingdings"/>
      </w:rPr>
    </w:lvl>
    <w:lvl w:ilvl="6" w:tplc="F0080978">
      <w:start w:val="1"/>
      <w:numFmt w:val="bullet"/>
      <w:lvlText w:val=""/>
      <w:lvlJc w:val="left"/>
      <w:pPr>
        <w:tabs>
          <w:tab w:val="num" w:pos="5040"/>
        </w:tabs>
        <w:ind w:left="5040" w:hanging="360"/>
      </w:pPr>
      <w:rPr>
        <w:rFonts w:ascii="Symbol" w:hAnsi="Symbol"/>
      </w:rPr>
    </w:lvl>
    <w:lvl w:ilvl="7" w:tplc="C046AD7A">
      <w:start w:val="1"/>
      <w:numFmt w:val="bullet"/>
      <w:lvlText w:val="o"/>
      <w:lvlJc w:val="left"/>
      <w:pPr>
        <w:tabs>
          <w:tab w:val="num" w:pos="5760"/>
        </w:tabs>
        <w:ind w:left="5760" w:hanging="360"/>
      </w:pPr>
      <w:rPr>
        <w:rFonts w:ascii="Courier New" w:hAnsi="Courier New"/>
      </w:rPr>
    </w:lvl>
    <w:lvl w:ilvl="8" w:tplc="9B5801FC">
      <w:start w:val="1"/>
      <w:numFmt w:val="bullet"/>
      <w:lvlText w:val=""/>
      <w:lvlJc w:val="left"/>
      <w:pPr>
        <w:tabs>
          <w:tab w:val="num" w:pos="6480"/>
        </w:tabs>
        <w:ind w:left="6480" w:hanging="360"/>
      </w:pPr>
      <w:rPr>
        <w:rFonts w:ascii="Wingdings" w:hAnsi="Wingdings"/>
      </w:rPr>
    </w:lvl>
  </w:abstractNum>
  <w:abstractNum w:abstractNumId="541" w15:restartNumberingAfterBreak="0">
    <w:nsid w:val="722306DF"/>
    <w:multiLevelType w:val="hybridMultilevel"/>
    <w:tmpl w:val="722306DF"/>
    <w:lvl w:ilvl="0" w:tplc="08388E98">
      <w:start w:val="1"/>
      <w:numFmt w:val="bullet"/>
      <w:lvlText w:val=""/>
      <w:lvlJc w:val="left"/>
      <w:pPr>
        <w:ind w:left="720" w:hanging="360"/>
      </w:pPr>
      <w:rPr>
        <w:rFonts w:ascii="Symbol" w:hAnsi="Symbol"/>
      </w:rPr>
    </w:lvl>
    <w:lvl w:ilvl="1" w:tplc="BF0A621E">
      <w:start w:val="1"/>
      <w:numFmt w:val="bullet"/>
      <w:lvlText w:val="o"/>
      <w:lvlJc w:val="left"/>
      <w:pPr>
        <w:tabs>
          <w:tab w:val="num" w:pos="1440"/>
        </w:tabs>
        <w:ind w:left="1440" w:hanging="360"/>
      </w:pPr>
      <w:rPr>
        <w:rFonts w:ascii="Courier New" w:hAnsi="Courier New"/>
      </w:rPr>
    </w:lvl>
    <w:lvl w:ilvl="2" w:tplc="A88A51D8">
      <w:start w:val="1"/>
      <w:numFmt w:val="bullet"/>
      <w:lvlText w:val=""/>
      <w:lvlJc w:val="left"/>
      <w:pPr>
        <w:tabs>
          <w:tab w:val="num" w:pos="2160"/>
        </w:tabs>
        <w:ind w:left="2160" w:hanging="360"/>
      </w:pPr>
      <w:rPr>
        <w:rFonts w:ascii="Wingdings" w:hAnsi="Wingdings"/>
      </w:rPr>
    </w:lvl>
    <w:lvl w:ilvl="3" w:tplc="66D0AC48">
      <w:start w:val="1"/>
      <w:numFmt w:val="bullet"/>
      <w:lvlText w:val=""/>
      <w:lvlJc w:val="left"/>
      <w:pPr>
        <w:tabs>
          <w:tab w:val="num" w:pos="2880"/>
        </w:tabs>
        <w:ind w:left="2880" w:hanging="360"/>
      </w:pPr>
      <w:rPr>
        <w:rFonts w:ascii="Symbol" w:hAnsi="Symbol"/>
      </w:rPr>
    </w:lvl>
    <w:lvl w:ilvl="4" w:tplc="EB8E5850">
      <w:start w:val="1"/>
      <w:numFmt w:val="bullet"/>
      <w:lvlText w:val="o"/>
      <w:lvlJc w:val="left"/>
      <w:pPr>
        <w:tabs>
          <w:tab w:val="num" w:pos="3600"/>
        </w:tabs>
        <w:ind w:left="3600" w:hanging="360"/>
      </w:pPr>
      <w:rPr>
        <w:rFonts w:ascii="Courier New" w:hAnsi="Courier New"/>
      </w:rPr>
    </w:lvl>
    <w:lvl w:ilvl="5" w:tplc="4BF69D4C">
      <w:start w:val="1"/>
      <w:numFmt w:val="bullet"/>
      <w:lvlText w:val=""/>
      <w:lvlJc w:val="left"/>
      <w:pPr>
        <w:tabs>
          <w:tab w:val="num" w:pos="4320"/>
        </w:tabs>
        <w:ind w:left="4320" w:hanging="360"/>
      </w:pPr>
      <w:rPr>
        <w:rFonts w:ascii="Wingdings" w:hAnsi="Wingdings"/>
      </w:rPr>
    </w:lvl>
    <w:lvl w:ilvl="6" w:tplc="EBACE2DC">
      <w:start w:val="1"/>
      <w:numFmt w:val="bullet"/>
      <w:lvlText w:val=""/>
      <w:lvlJc w:val="left"/>
      <w:pPr>
        <w:tabs>
          <w:tab w:val="num" w:pos="5040"/>
        </w:tabs>
        <w:ind w:left="5040" w:hanging="360"/>
      </w:pPr>
      <w:rPr>
        <w:rFonts w:ascii="Symbol" w:hAnsi="Symbol"/>
      </w:rPr>
    </w:lvl>
    <w:lvl w:ilvl="7" w:tplc="94B21288">
      <w:start w:val="1"/>
      <w:numFmt w:val="bullet"/>
      <w:lvlText w:val="o"/>
      <w:lvlJc w:val="left"/>
      <w:pPr>
        <w:tabs>
          <w:tab w:val="num" w:pos="5760"/>
        </w:tabs>
        <w:ind w:left="5760" w:hanging="360"/>
      </w:pPr>
      <w:rPr>
        <w:rFonts w:ascii="Courier New" w:hAnsi="Courier New"/>
      </w:rPr>
    </w:lvl>
    <w:lvl w:ilvl="8" w:tplc="364AFF62">
      <w:start w:val="1"/>
      <w:numFmt w:val="bullet"/>
      <w:lvlText w:val=""/>
      <w:lvlJc w:val="left"/>
      <w:pPr>
        <w:tabs>
          <w:tab w:val="num" w:pos="6480"/>
        </w:tabs>
        <w:ind w:left="6480" w:hanging="360"/>
      </w:pPr>
      <w:rPr>
        <w:rFonts w:ascii="Wingdings" w:hAnsi="Wingdings"/>
      </w:rPr>
    </w:lvl>
  </w:abstractNum>
  <w:abstractNum w:abstractNumId="542" w15:restartNumberingAfterBreak="0">
    <w:nsid w:val="722306E0"/>
    <w:multiLevelType w:val="hybridMultilevel"/>
    <w:tmpl w:val="722306E0"/>
    <w:lvl w:ilvl="0" w:tplc="49EEB466">
      <w:start w:val="1"/>
      <w:numFmt w:val="bullet"/>
      <w:lvlText w:val=""/>
      <w:lvlJc w:val="left"/>
      <w:pPr>
        <w:ind w:left="720" w:hanging="360"/>
      </w:pPr>
      <w:rPr>
        <w:rFonts w:ascii="Symbol" w:hAnsi="Symbol"/>
      </w:rPr>
    </w:lvl>
    <w:lvl w:ilvl="1" w:tplc="636A4F94">
      <w:start w:val="1"/>
      <w:numFmt w:val="bullet"/>
      <w:lvlText w:val="o"/>
      <w:lvlJc w:val="left"/>
      <w:pPr>
        <w:tabs>
          <w:tab w:val="num" w:pos="1440"/>
        </w:tabs>
        <w:ind w:left="1440" w:hanging="360"/>
      </w:pPr>
      <w:rPr>
        <w:rFonts w:ascii="Courier New" w:hAnsi="Courier New"/>
      </w:rPr>
    </w:lvl>
    <w:lvl w:ilvl="2" w:tplc="51128D8E">
      <w:start w:val="1"/>
      <w:numFmt w:val="bullet"/>
      <w:lvlText w:val=""/>
      <w:lvlJc w:val="left"/>
      <w:pPr>
        <w:tabs>
          <w:tab w:val="num" w:pos="2160"/>
        </w:tabs>
        <w:ind w:left="2160" w:hanging="360"/>
      </w:pPr>
      <w:rPr>
        <w:rFonts w:ascii="Wingdings" w:hAnsi="Wingdings"/>
      </w:rPr>
    </w:lvl>
    <w:lvl w:ilvl="3" w:tplc="EB9C4A12">
      <w:start w:val="1"/>
      <w:numFmt w:val="bullet"/>
      <w:lvlText w:val=""/>
      <w:lvlJc w:val="left"/>
      <w:pPr>
        <w:tabs>
          <w:tab w:val="num" w:pos="2880"/>
        </w:tabs>
        <w:ind w:left="2880" w:hanging="360"/>
      </w:pPr>
      <w:rPr>
        <w:rFonts w:ascii="Symbol" w:hAnsi="Symbol"/>
      </w:rPr>
    </w:lvl>
    <w:lvl w:ilvl="4" w:tplc="F6B067AE">
      <w:start w:val="1"/>
      <w:numFmt w:val="bullet"/>
      <w:lvlText w:val="o"/>
      <w:lvlJc w:val="left"/>
      <w:pPr>
        <w:tabs>
          <w:tab w:val="num" w:pos="3600"/>
        </w:tabs>
        <w:ind w:left="3600" w:hanging="360"/>
      </w:pPr>
      <w:rPr>
        <w:rFonts w:ascii="Courier New" w:hAnsi="Courier New"/>
      </w:rPr>
    </w:lvl>
    <w:lvl w:ilvl="5" w:tplc="1BDE5B1A">
      <w:start w:val="1"/>
      <w:numFmt w:val="bullet"/>
      <w:lvlText w:val=""/>
      <w:lvlJc w:val="left"/>
      <w:pPr>
        <w:tabs>
          <w:tab w:val="num" w:pos="4320"/>
        </w:tabs>
        <w:ind w:left="4320" w:hanging="360"/>
      </w:pPr>
      <w:rPr>
        <w:rFonts w:ascii="Wingdings" w:hAnsi="Wingdings"/>
      </w:rPr>
    </w:lvl>
    <w:lvl w:ilvl="6" w:tplc="831E8A1E">
      <w:start w:val="1"/>
      <w:numFmt w:val="bullet"/>
      <w:lvlText w:val=""/>
      <w:lvlJc w:val="left"/>
      <w:pPr>
        <w:tabs>
          <w:tab w:val="num" w:pos="5040"/>
        </w:tabs>
        <w:ind w:left="5040" w:hanging="360"/>
      </w:pPr>
      <w:rPr>
        <w:rFonts w:ascii="Symbol" w:hAnsi="Symbol"/>
      </w:rPr>
    </w:lvl>
    <w:lvl w:ilvl="7" w:tplc="3F12DF6C">
      <w:start w:val="1"/>
      <w:numFmt w:val="bullet"/>
      <w:lvlText w:val="o"/>
      <w:lvlJc w:val="left"/>
      <w:pPr>
        <w:tabs>
          <w:tab w:val="num" w:pos="5760"/>
        </w:tabs>
        <w:ind w:left="5760" w:hanging="360"/>
      </w:pPr>
      <w:rPr>
        <w:rFonts w:ascii="Courier New" w:hAnsi="Courier New"/>
      </w:rPr>
    </w:lvl>
    <w:lvl w:ilvl="8" w:tplc="E988B81E">
      <w:start w:val="1"/>
      <w:numFmt w:val="bullet"/>
      <w:lvlText w:val=""/>
      <w:lvlJc w:val="left"/>
      <w:pPr>
        <w:tabs>
          <w:tab w:val="num" w:pos="6480"/>
        </w:tabs>
        <w:ind w:left="6480" w:hanging="360"/>
      </w:pPr>
      <w:rPr>
        <w:rFonts w:ascii="Wingdings" w:hAnsi="Wingdings"/>
      </w:rPr>
    </w:lvl>
  </w:abstractNum>
  <w:abstractNum w:abstractNumId="543" w15:restartNumberingAfterBreak="0">
    <w:nsid w:val="722306E1"/>
    <w:multiLevelType w:val="hybridMultilevel"/>
    <w:tmpl w:val="722306E1"/>
    <w:lvl w:ilvl="0" w:tplc="6576B8EE">
      <w:start w:val="1"/>
      <w:numFmt w:val="bullet"/>
      <w:lvlText w:val=""/>
      <w:lvlJc w:val="left"/>
      <w:pPr>
        <w:ind w:left="720" w:hanging="360"/>
      </w:pPr>
      <w:rPr>
        <w:rFonts w:ascii="Symbol" w:hAnsi="Symbol"/>
      </w:rPr>
    </w:lvl>
    <w:lvl w:ilvl="1" w:tplc="364C643A">
      <w:start w:val="1"/>
      <w:numFmt w:val="bullet"/>
      <w:lvlText w:val="o"/>
      <w:lvlJc w:val="left"/>
      <w:pPr>
        <w:tabs>
          <w:tab w:val="num" w:pos="1440"/>
        </w:tabs>
        <w:ind w:left="1440" w:hanging="360"/>
      </w:pPr>
      <w:rPr>
        <w:rFonts w:ascii="Courier New" w:hAnsi="Courier New"/>
      </w:rPr>
    </w:lvl>
    <w:lvl w:ilvl="2" w:tplc="96ACD744">
      <w:start w:val="1"/>
      <w:numFmt w:val="bullet"/>
      <w:lvlText w:val=""/>
      <w:lvlJc w:val="left"/>
      <w:pPr>
        <w:tabs>
          <w:tab w:val="num" w:pos="2160"/>
        </w:tabs>
        <w:ind w:left="2160" w:hanging="360"/>
      </w:pPr>
      <w:rPr>
        <w:rFonts w:ascii="Wingdings" w:hAnsi="Wingdings"/>
      </w:rPr>
    </w:lvl>
    <w:lvl w:ilvl="3" w:tplc="DB9ED13C">
      <w:start w:val="1"/>
      <w:numFmt w:val="bullet"/>
      <w:lvlText w:val=""/>
      <w:lvlJc w:val="left"/>
      <w:pPr>
        <w:tabs>
          <w:tab w:val="num" w:pos="2880"/>
        </w:tabs>
        <w:ind w:left="2880" w:hanging="360"/>
      </w:pPr>
      <w:rPr>
        <w:rFonts w:ascii="Symbol" w:hAnsi="Symbol"/>
      </w:rPr>
    </w:lvl>
    <w:lvl w:ilvl="4" w:tplc="A288C058">
      <w:start w:val="1"/>
      <w:numFmt w:val="bullet"/>
      <w:lvlText w:val="o"/>
      <w:lvlJc w:val="left"/>
      <w:pPr>
        <w:tabs>
          <w:tab w:val="num" w:pos="3600"/>
        </w:tabs>
        <w:ind w:left="3600" w:hanging="360"/>
      </w:pPr>
      <w:rPr>
        <w:rFonts w:ascii="Courier New" w:hAnsi="Courier New"/>
      </w:rPr>
    </w:lvl>
    <w:lvl w:ilvl="5" w:tplc="A49227AE">
      <w:start w:val="1"/>
      <w:numFmt w:val="bullet"/>
      <w:lvlText w:val=""/>
      <w:lvlJc w:val="left"/>
      <w:pPr>
        <w:tabs>
          <w:tab w:val="num" w:pos="4320"/>
        </w:tabs>
        <w:ind w:left="4320" w:hanging="360"/>
      </w:pPr>
      <w:rPr>
        <w:rFonts w:ascii="Wingdings" w:hAnsi="Wingdings"/>
      </w:rPr>
    </w:lvl>
    <w:lvl w:ilvl="6" w:tplc="9A4AA21C">
      <w:start w:val="1"/>
      <w:numFmt w:val="bullet"/>
      <w:lvlText w:val=""/>
      <w:lvlJc w:val="left"/>
      <w:pPr>
        <w:tabs>
          <w:tab w:val="num" w:pos="5040"/>
        </w:tabs>
        <w:ind w:left="5040" w:hanging="360"/>
      </w:pPr>
      <w:rPr>
        <w:rFonts w:ascii="Symbol" w:hAnsi="Symbol"/>
      </w:rPr>
    </w:lvl>
    <w:lvl w:ilvl="7" w:tplc="9456140E">
      <w:start w:val="1"/>
      <w:numFmt w:val="bullet"/>
      <w:lvlText w:val="o"/>
      <w:lvlJc w:val="left"/>
      <w:pPr>
        <w:tabs>
          <w:tab w:val="num" w:pos="5760"/>
        </w:tabs>
        <w:ind w:left="5760" w:hanging="360"/>
      </w:pPr>
      <w:rPr>
        <w:rFonts w:ascii="Courier New" w:hAnsi="Courier New"/>
      </w:rPr>
    </w:lvl>
    <w:lvl w:ilvl="8" w:tplc="E1FC4246">
      <w:start w:val="1"/>
      <w:numFmt w:val="bullet"/>
      <w:lvlText w:val=""/>
      <w:lvlJc w:val="left"/>
      <w:pPr>
        <w:tabs>
          <w:tab w:val="num" w:pos="6480"/>
        </w:tabs>
        <w:ind w:left="6480" w:hanging="360"/>
      </w:pPr>
      <w:rPr>
        <w:rFonts w:ascii="Wingdings" w:hAnsi="Wingdings"/>
      </w:rPr>
    </w:lvl>
  </w:abstractNum>
  <w:abstractNum w:abstractNumId="544" w15:restartNumberingAfterBreak="0">
    <w:nsid w:val="722306E2"/>
    <w:multiLevelType w:val="hybridMultilevel"/>
    <w:tmpl w:val="722306E2"/>
    <w:lvl w:ilvl="0" w:tplc="C2F85D18">
      <w:start w:val="1"/>
      <w:numFmt w:val="bullet"/>
      <w:lvlText w:val=""/>
      <w:lvlJc w:val="left"/>
      <w:pPr>
        <w:ind w:left="720" w:hanging="360"/>
      </w:pPr>
      <w:rPr>
        <w:rFonts w:ascii="Symbol" w:hAnsi="Symbol"/>
      </w:rPr>
    </w:lvl>
    <w:lvl w:ilvl="1" w:tplc="C95410B8">
      <w:start w:val="1"/>
      <w:numFmt w:val="bullet"/>
      <w:lvlText w:val="o"/>
      <w:lvlJc w:val="left"/>
      <w:pPr>
        <w:tabs>
          <w:tab w:val="num" w:pos="1440"/>
        </w:tabs>
        <w:ind w:left="1440" w:hanging="360"/>
      </w:pPr>
      <w:rPr>
        <w:rFonts w:ascii="Courier New" w:hAnsi="Courier New"/>
      </w:rPr>
    </w:lvl>
    <w:lvl w:ilvl="2" w:tplc="EA566B56">
      <w:start w:val="1"/>
      <w:numFmt w:val="bullet"/>
      <w:lvlText w:val=""/>
      <w:lvlJc w:val="left"/>
      <w:pPr>
        <w:tabs>
          <w:tab w:val="num" w:pos="2160"/>
        </w:tabs>
        <w:ind w:left="2160" w:hanging="360"/>
      </w:pPr>
      <w:rPr>
        <w:rFonts w:ascii="Wingdings" w:hAnsi="Wingdings"/>
      </w:rPr>
    </w:lvl>
    <w:lvl w:ilvl="3" w:tplc="29C27366">
      <w:start w:val="1"/>
      <w:numFmt w:val="bullet"/>
      <w:lvlText w:val=""/>
      <w:lvlJc w:val="left"/>
      <w:pPr>
        <w:tabs>
          <w:tab w:val="num" w:pos="2880"/>
        </w:tabs>
        <w:ind w:left="2880" w:hanging="360"/>
      </w:pPr>
      <w:rPr>
        <w:rFonts w:ascii="Symbol" w:hAnsi="Symbol"/>
      </w:rPr>
    </w:lvl>
    <w:lvl w:ilvl="4" w:tplc="9C364CB6">
      <w:start w:val="1"/>
      <w:numFmt w:val="bullet"/>
      <w:lvlText w:val="o"/>
      <w:lvlJc w:val="left"/>
      <w:pPr>
        <w:tabs>
          <w:tab w:val="num" w:pos="3600"/>
        </w:tabs>
        <w:ind w:left="3600" w:hanging="360"/>
      </w:pPr>
      <w:rPr>
        <w:rFonts w:ascii="Courier New" w:hAnsi="Courier New"/>
      </w:rPr>
    </w:lvl>
    <w:lvl w:ilvl="5" w:tplc="4AA8738A">
      <w:start w:val="1"/>
      <w:numFmt w:val="bullet"/>
      <w:lvlText w:val=""/>
      <w:lvlJc w:val="left"/>
      <w:pPr>
        <w:tabs>
          <w:tab w:val="num" w:pos="4320"/>
        </w:tabs>
        <w:ind w:left="4320" w:hanging="360"/>
      </w:pPr>
      <w:rPr>
        <w:rFonts w:ascii="Wingdings" w:hAnsi="Wingdings"/>
      </w:rPr>
    </w:lvl>
    <w:lvl w:ilvl="6" w:tplc="FB407164">
      <w:start w:val="1"/>
      <w:numFmt w:val="bullet"/>
      <w:lvlText w:val=""/>
      <w:lvlJc w:val="left"/>
      <w:pPr>
        <w:tabs>
          <w:tab w:val="num" w:pos="5040"/>
        </w:tabs>
        <w:ind w:left="5040" w:hanging="360"/>
      </w:pPr>
      <w:rPr>
        <w:rFonts w:ascii="Symbol" w:hAnsi="Symbol"/>
      </w:rPr>
    </w:lvl>
    <w:lvl w:ilvl="7" w:tplc="6C603BD8">
      <w:start w:val="1"/>
      <w:numFmt w:val="bullet"/>
      <w:lvlText w:val="o"/>
      <w:lvlJc w:val="left"/>
      <w:pPr>
        <w:tabs>
          <w:tab w:val="num" w:pos="5760"/>
        </w:tabs>
        <w:ind w:left="5760" w:hanging="360"/>
      </w:pPr>
      <w:rPr>
        <w:rFonts w:ascii="Courier New" w:hAnsi="Courier New"/>
      </w:rPr>
    </w:lvl>
    <w:lvl w:ilvl="8" w:tplc="3542A32A">
      <w:start w:val="1"/>
      <w:numFmt w:val="bullet"/>
      <w:lvlText w:val=""/>
      <w:lvlJc w:val="left"/>
      <w:pPr>
        <w:tabs>
          <w:tab w:val="num" w:pos="6480"/>
        </w:tabs>
        <w:ind w:left="6480" w:hanging="360"/>
      </w:pPr>
      <w:rPr>
        <w:rFonts w:ascii="Wingdings" w:hAnsi="Wingdings"/>
      </w:rPr>
    </w:lvl>
  </w:abstractNum>
  <w:abstractNum w:abstractNumId="545" w15:restartNumberingAfterBreak="0">
    <w:nsid w:val="722306E3"/>
    <w:multiLevelType w:val="hybridMultilevel"/>
    <w:tmpl w:val="722306E3"/>
    <w:lvl w:ilvl="0" w:tplc="581E1034">
      <w:start w:val="1"/>
      <w:numFmt w:val="bullet"/>
      <w:lvlText w:val=""/>
      <w:lvlJc w:val="left"/>
      <w:pPr>
        <w:ind w:left="720" w:hanging="360"/>
      </w:pPr>
      <w:rPr>
        <w:rFonts w:ascii="Symbol" w:hAnsi="Symbol"/>
      </w:rPr>
    </w:lvl>
    <w:lvl w:ilvl="1" w:tplc="EA0EAFF6">
      <w:start w:val="1"/>
      <w:numFmt w:val="bullet"/>
      <w:lvlText w:val="o"/>
      <w:lvlJc w:val="left"/>
      <w:pPr>
        <w:tabs>
          <w:tab w:val="num" w:pos="1440"/>
        </w:tabs>
        <w:ind w:left="1440" w:hanging="360"/>
      </w:pPr>
      <w:rPr>
        <w:rFonts w:ascii="Courier New" w:hAnsi="Courier New"/>
      </w:rPr>
    </w:lvl>
    <w:lvl w:ilvl="2" w:tplc="189C7E74">
      <w:start w:val="1"/>
      <w:numFmt w:val="bullet"/>
      <w:lvlText w:val=""/>
      <w:lvlJc w:val="left"/>
      <w:pPr>
        <w:tabs>
          <w:tab w:val="num" w:pos="2160"/>
        </w:tabs>
        <w:ind w:left="2160" w:hanging="360"/>
      </w:pPr>
      <w:rPr>
        <w:rFonts w:ascii="Wingdings" w:hAnsi="Wingdings"/>
      </w:rPr>
    </w:lvl>
    <w:lvl w:ilvl="3" w:tplc="BE08AEF4">
      <w:start w:val="1"/>
      <w:numFmt w:val="bullet"/>
      <w:lvlText w:val=""/>
      <w:lvlJc w:val="left"/>
      <w:pPr>
        <w:tabs>
          <w:tab w:val="num" w:pos="2880"/>
        </w:tabs>
        <w:ind w:left="2880" w:hanging="360"/>
      </w:pPr>
      <w:rPr>
        <w:rFonts w:ascii="Symbol" w:hAnsi="Symbol"/>
      </w:rPr>
    </w:lvl>
    <w:lvl w:ilvl="4" w:tplc="4922F9A0">
      <w:start w:val="1"/>
      <w:numFmt w:val="bullet"/>
      <w:lvlText w:val="o"/>
      <w:lvlJc w:val="left"/>
      <w:pPr>
        <w:tabs>
          <w:tab w:val="num" w:pos="3600"/>
        </w:tabs>
        <w:ind w:left="3600" w:hanging="360"/>
      </w:pPr>
      <w:rPr>
        <w:rFonts w:ascii="Courier New" w:hAnsi="Courier New"/>
      </w:rPr>
    </w:lvl>
    <w:lvl w:ilvl="5" w:tplc="3C80604C">
      <w:start w:val="1"/>
      <w:numFmt w:val="bullet"/>
      <w:lvlText w:val=""/>
      <w:lvlJc w:val="left"/>
      <w:pPr>
        <w:tabs>
          <w:tab w:val="num" w:pos="4320"/>
        </w:tabs>
        <w:ind w:left="4320" w:hanging="360"/>
      </w:pPr>
      <w:rPr>
        <w:rFonts w:ascii="Wingdings" w:hAnsi="Wingdings"/>
      </w:rPr>
    </w:lvl>
    <w:lvl w:ilvl="6" w:tplc="BA5E3AD6">
      <w:start w:val="1"/>
      <w:numFmt w:val="bullet"/>
      <w:lvlText w:val=""/>
      <w:lvlJc w:val="left"/>
      <w:pPr>
        <w:tabs>
          <w:tab w:val="num" w:pos="5040"/>
        </w:tabs>
        <w:ind w:left="5040" w:hanging="360"/>
      </w:pPr>
      <w:rPr>
        <w:rFonts w:ascii="Symbol" w:hAnsi="Symbol"/>
      </w:rPr>
    </w:lvl>
    <w:lvl w:ilvl="7" w:tplc="ABC2B442">
      <w:start w:val="1"/>
      <w:numFmt w:val="bullet"/>
      <w:lvlText w:val="o"/>
      <w:lvlJc w:val="left"/>
      <w:pPr>
        <w:tabs>
          <w:tab w:val="num" w:pos="5760"/>
        </w:tabs>
        <w:ind w:left="5760" w:hanging="360"/>
      </w:pPr>
      <w:rPr>
        <w:rFonts w:ascii="Courier New" w:hAnsi="Courier New"/>
      </w:rPr>
    </w:lvl>
    <w:lvl w:ilvl="8" w:tplc="ED765B0A">
      <w:start w:val="1"/>
      <w:numFmt w:val="bullet"/>
      <w:lvlText w:val=""/>
      <w:lvlJc w:val="left"/>
      <w:pPr>
        <w:tabs>
          <w:tab w:val="num" w:pos="6480"/>
        </w:tabs>
        <w:ind w:left="6480" w:hanging="360"/>
      </w:pPr>
      <w:rPr>
        <w:rFonts w:ascii="Wingdings" w:hAnsi="Wingdings"/>
      </w:rPr>
    </w:lvl>
  </w:abstractNum>
  <w:abstractNum w:abstractNumId="546" w15:restartNumberingAfterBreak="0">
    <w:nsid w:val="722306E4"/>
    <w:multiLevelType w:val="hybridMultilevel"/>
    <w:tmpl w:val="722306E4"/>
    <w:lvl w:ilvl="0" w:tplc="99B2B4AE">
      <w:start w:val="1"/>
      <w:numFmt w:val="bullet"/>
      <w:lvlText w:val=""/>
      <w:lvlJc w:val="left"/>
      <w:pPr>
        <w:ind w:left="720" w:hanging="360"/>
      </w:pPr>
      <w:rPr>
        <w:rFonts w:ascii="Symbol" w:hAnsi="Symbol"/>
      </w:rPr>
    </w:lvl>
    <w:lvl w:ilvl="1" w:tplc="1F6842B6">
      <w:start w:val="1"/>
      <w:numFmt w:val="bullet"/>
      <w:lvlText w:val="o"/>
      <w:lvlJc w:val="left"/>
      <w:pPr>
        <w:tabs>
          <w:tab w:val="num" w:pos="1440"/>
        </w:tabs>
        <w:ind w:left="1440" w:hanging="360"/>
      </w:pPr>
      <w:rPr>
        <w:rFonts w:ascii="Courier New" w:hAnsi="Courier New"/>
      </w:rPr>
    </w:lvl>
    <w:lvl w:ilvl="2" w:tplc="BA361F6C">
      <w:start w:val="1"/>
      <w:numFmt w:val="bullet"/>
      <w:lvlText w:val=""/>
      <w:lvlJc w:val="left"/>
      <w:pPr>
        <w:tabs>
          <w:tab w:val="num" w:pos="2160"/>
        </w:tabs>
        <w:ind w:left="2160" w:hanging="360"/>
      </w:pPr>
      <w:rPr>
        <w:rFonts w:ascii="Wingdings" w:hAnsi="Wingdings"/>
      </w:rPr>
    </w:lvl>
    <w:lvl w:ilvl="3" w:tplc="CC32599C">
      <w:start w:val="1"/>
      <w:numFmt w:val="bullet"/>
      <w:lvlText w:val=""/>
      <w:lvlJc w:val="left"/>
      <w:pPr>
        <w:tabs>
          <w:tab w:val="num" w:pos="2880"/>
        </w:tabs>
        <w:ind w:left="2880" w:hanging="360"/>
      </w:pPr>
      <w:rPr>
        <w:rFonts w:ascii="Symbol" w:hAnsi="Symbol"/>
      </w:rPr>
    </w:lvl>
    <w:lvl w:ilvl="4" w:tplc="18408E24">
      <w:start w:val="1"/>
      <w:numFmt w:val="bullet"/>
      <w:lvlText w:val="o"/>
      <w:lvlJc w:val="left"/>
      <w:pPr>
        <w:tabs>
          <w:tab w:val="num" w:pos="3600"/>
        </w:tabs>
        <w:ind w:left="3600" w:hanging="360"/>
      </w:pPr>
      <w:rPr>
        <w:rFonts w:ascii="Courier New" w:hAnsi="Courier New"/>
      </w:rPr>
    </w:lvl>
    <w:lvl w:ilvl="5" w:tplc="A050CF4A">
      <w:start w:val="1"/>
      <w:numFmt w:val="bullet"/>
      <w:lvlText w:val=""/>
      <w:lvlJc w:val="left"/>
      <w:pPr>
        <w:tabs>
          <w:tab w:val="num" w:pos="4320"/>
        </w:tabs>
        <w:ind w:left="4320" w:hanging="360"/>
      </w:pPr>
      <w:rPr>
        <w:rFonts w:ascii="Wingdings" w:hAnsi="Wingdings"/>
      </w:rPr>
    </w:lvl>
    <w:lvl w:ilvl="6" w:tplc="EC506704">
      <w:start w:val="1"/>
      <w:numFmt w:val="bullet"/>
      <w:lvlText w:val=""/>
      <w:lvlJc w:val="left"/>
      <w:pPr>
        <w:tabs>
          <w:tab w:val="num" w:pos="5040"/>
        </w:tabs>
        <w:ind w:left="5040" w:hanging="360"/>
      </w:pPr>
      <w:rPr>
        <w:rFonts w:ascii="Symbol" w:hAnsi="Symbol"/>
      </w:rPr>
    </w:lvl>
    <w:lvl w:ilvl="7" w:tplc="7EE0F3A8">
      <w:start w:val="1"/>
      <w:numFmt w:val="bullet"/>
      <w:lvlText w:val="o"/>
      <w:lvlJc w:val="left"/>
      <w:pPr>
        <w:tabs>
          <w:tab w:val="num" w:pos="5760"/>
        </w:tabs>
        <w:ind w:left="5760" w:hanging="360"/>
      </w:pPr>
      <w:rPr>
        <w:rFonts w:ascii="Courier New" w:hAnsi="Courier New"/>
      </w:rPr>
    </w:lvl>
    <w:lvl w:ilvl="8" w:tplc="2F40EFBC">
      <w:start w:val="1"/>
      <w:numFmt w:val="bullet"/>
      <w:lvlText w:val=""/>
      <w:lvlJc w:val="left"/>
      <w:pPr>
        <w:tabs>
          <w:tab w:val="num" w:pos="6480"/>
        </w:tabs>
        <w:ind w:left="6480" w:hanging="360"/>
      </w:pPr>
      <w:rPr>
        <w:rFonts w:ascii="Wingdings" w:hAnsi="Wingdings"/>
      </w:rPr>
    </w:lvl>
  </w:abstractNum>
  <w:abstractNum w:abstractNumId="547" w15:restartNumberingAfterBreak="0">
    <w:nsid w:val="722306E5"/>
    <w:multiLevelType w:val="hybridMultilevel"/>
    <w:tmpl w:val="722306E5"/>
    <w:lvl w:ilvl="0" w:tplc="5A1C43EE">
      <w:start w:val="1"/>
      <w:numFmt w:val="bullet"/>
      <w:lvlText w:val=""/>
      <w:lvlJc w:val="left"/>
      <w:pPr>
        <w:ind w:left="720" w:hanging="360"/>
      </w:pPr>
      <w:rPr>
        <w:rFonts w:ascii="Symbol" w:hAnsi="Symbol"/>
      </w:rPr>
    </w:lvl>
    <w:lvl w:ilvl="1" w:tplc="512690C2">
      <w:start w:val="1"/>
      <w:numFmt w:val="bullet"/>
      <w:lvlText w:val="o"/>
      <w:lvlJc w:val="left"/>
      <w:pPr>
        <w:tabs>
          <w:tab w:val="num" w:pos="1440"/>
        </w:tabs>
        <w:ind w:left="1440" w:hanging="360"/>
      </w:pPr>
      <w:rPr>
        <w:rFonts w:ascii="Courier New" w:hAnsi="Courier New"/>
      </w:rPr>
    </w:lvl>
    <w:lvl w:ilvl="2" w:tplc="E5CEBAF4">
      <w:start w:val="1"/>
      <w:numFmt w:val="bullet"/>
      <w:lvlText w:val=""/>
      <w:lvlJc w:val="left"/>
      <w:pPr>
        <w:tabs>
          <w:tab w:val="num" w:pos="2160"/>
        </w:tabs>
        <w:ind w:left="2160" w:hanging="360"/>
      </w:pPr>
      <w:rPr>
        <w:rFonts w:ascii="Wingdings" w:hAnsi="Wingdings"/>
      </w:rPr>
    </w:lvl>
    <w:lvl w:ilvl="3" w:tplc="D6B0A648">
      <w:start w:val="1"/>
      <w:numFmt w:val="bullet"/>
      <w:lvlText w:val=""/>
      <w:lvlJc w:val="left"/>
      <w:pPr>
        <w:tabs>
          <w:tab w:val="num" w:pos="2880"/>
        </w:tabs>
        <w:ind w:left="2880" w:hanging="360"/>
      </w:pPr>
      <w:rPr>
        <w:rFonts w:ascii="Symbol" w:hAnsi="Symbol"/>
      </w:rPr>
    </w:lvl>
    <w:lvl w:ilvl="4" w:tplc="873217D0">
      <w:start w:val="1"/>
      <w:numFmt w:val="bullet"/>
      <w:lvlText w:val="o"/>
      <w:lvlJc w:val="left"/>
      <w:pPr>
        <w:tabs>
          <w:tab w:val="num" w:pos="3600"/>
        </w:tabs>
        <w:ind w:left="3600" w:hanging="360"/>
      </w:pPr>
      <w:rPr>
        <w:rFonts w:ascii="Courier New" w:hAnsi="Courier New"/>
      </w:rPr>
    </w:lvl>
    <w:lvl w:ilvl="5" w:tplc="0E86847C">
      <w:start w:val="1"/>
      <w:numFmt w:val="bullet"/>
      <w:lvlText w:val=""/>
      <w:lvlJc w:val="left"/>
      <w:pPr>
        <w:tabs>
          <w:tab w:val="num" w:pos="4320"/>
        </w:tabs>
        <w:ind w:left="4320" w:hanging="360"/>
      </w:pPr>
      <w:rPr>
        <w:rFonts w:ascii="Wingdings" w:hAnsi="Wingdings"/>
      </w:rPr>
    </w:lvl>
    <w:lvl w:ilvl="6" w:tplc="120E186A">
      <w:start w:val="1"/>
      <w:numFmt w:val="bullet"/>
      <w:lvlText w:val=""/>
      <w:lvlJc w:val="left"/>
      <w:pPr>
        <w:tabs>
          <w:tab w:val="num" w:pos="5040"/>
        </w:tabs>
        <w:ind w:left="5040" w:hanging="360"/>
      </w:pPr>
      <w:rPr>
        <w:rFonts w:ascii="Symbol" w:hAnsi="Symbol"/>
      </w:rPr>
    </w:lvl>
    <w:lvl w:ilvl="7" w:tplc="17D21558">
      <w:start w:val="1"/>
      <w:numFmt w:val="bullet"/>
      <w:lvlText w:val="o"/>
      <w:lvlJc w:val="left"/>
      <w:pPr>
        <w:tabs>
          <w:tab w:val="num" w:pos="5760"/>
        </w:tabs>
        <w:ind w:left="5760" w:hanging="360"/>
      </w:pPr>
      <w:rPr>
        <w:rFonts w:ascii="Courier New" w:hAnsi="Courier New"/>
      </w:rPr>
    </w:lvl>
    <w:lvl w:ilvl="8" w:tplc="38ACA8E8">
      <w:start w:val="1"/>
      <w:numFmt w:val="bullet"/>
      <w:lvlText w:val=""/>
      <w:lvlJc w:val="left"/>
      <w:pPr>
        <w:tabs>
          <w:tab w:val="num" w:pos="6480"/>
        </w:tabs>
        <w:ind w:left="6480" w:hanging="360"/>
      </w:pPr>
      <w:rPr>
        <w:rFonts w:ascii="Wingdings" w:hAnsi="Wingdings"/>
      </w:rPr>
    </w:lvl>
  </w:abstractNum>
  <w:abstractNum w:abstractNumId="548" w15:restartNumberingAfterBreak="0">
    <w:nsid w:val="722306E6"/>
    <w:multiLevelType w:val="hybridMultilevel"/>
    <w:tmpl w:val="722306E6"/>
    <w:lvl w:ilvl="0" w:tplc="BEB0D76A">
      <w:start w:val="1"/>
      <w:numFmt w:val="bullet"/>
      <w:lvlText w:val=""/>
      <w:lvlJc w:val="left"/>
      <w:pPr>
        <w:ind w:left="720" w:hanging="360"/>
      </w:pPr>
      <w:rPr>
        <w:rFonts w:ascii="Symbol" w:hAnsi="Symbol"/>
      </w:rPr>
    </w:lvl>
    <w:lvl w:ilvl="1" w:tplc="992CCD9E">
      <w:start w:val="1"/>
      <w:numFmt w:val="bullet"/>
      <w:lvlText w:val="o"/>
      <w:lvlJc w:val="left"/>
      <w:pPr>
        <w:tabs>
          <w:tab w:val="num" w:pos="1440"/>
        </w:tabs>
        <w:ind w:left="1440" w:hanging="360"/>
      </w:pPr>
      <w:rPr>
        <w:rFonts w:ascii="Courier New" w:hAnsi="Courier New"/>
      </w:rPr>
    </w:lvl>
    <w:lvl w:ilvl="2" w:tplc="AB520BA4">
      <w:start w:val="1"/>
      <w:numFmt w:val="bullet"/>
      <w:lvlText w:val=""/>
      <w:lvlJc w:val="left"/>
      <w:pPr>
        <w:tabs>
          <w:tab w:val="num" w:pos="2160"/>
        </w:tabs>
        <w:ind w:left="2160" w:hanging="360"/>
      </w:pPr>
      <w:rPr>
        <w:rFonts w:ascii="Wingdings" w:hAnsi="Wingdings"/>
      </w:rPr>
    </w:lvl>
    <w:lvl w:ilvl="3" w:tplc="ED182FD8">
      <w:start w:val="1"/>
      <w:numFmt w:val="bullet"/>
      <w:lvlText w:val=""/>
      <w:lvlJc w:val="left"/>
      <w:pPr>
        <w:tabs>
          <w:tab w:val="num" w:pos="2880"/>
        </w:tabs>
        <w:ind w:left="2880" w:hanging="360"/>
      </w:pPr>
      <w:rPr>
        <w:rFonts w:ascii="Symbol" w:hAnsi="Symbol"/>
      </w:rPr>
    </w:lvl>
    <w:lvl w:ilvl="4" w:tplc="E15E5E90">
      <w:start w:val="1"/>
      <w:numFmt w:val="bullet"/>
      <w:lvlText w:val="o"/>
      <w:lvlJc w:val="left"/>
      <w:pPr>
        <w:tabs>
          <w:tab w:val="num" w:pos="3600"/>
        </w:tabs>
        <w:ind w:left="3600" w:hanging="360"/>
      </w:pPr>
      <w:rPr>
        <w:rFonts w:ascii="Courier New" w:hAnsi="Courier New"/>
      </w:rPr>
    </w:lvl>
    <w:lvl w:ilvl="5" w:tplc="3F74BBC0">
      <w:start w:val="1"/>
      <w:numFmt w:val="bullet"/>
      <w:lvlText w:val=""/>
      <w:lvlJc w:val="left"/>
      <w:pPr>
        <w:tabs>
          <w:tab w:val="num" w:pos="4320"/>
        </w:tabs>
        <w:ind w:left="4320" w:hanging="360"/>
      </w:pPr>
      <w:rPr>
        <w:rFonts w:ascii="Wingdings" w:hAnsi="Wingdings"/>
      </w:rPr>
    </w:lvl>
    <w:lvl w:ilvl="6" w:tplc="4C0E1226">
      <w:start w:val="1"/>
      <w:numFmt w:val="bullet"/>
      <w:lvlText w:val=""/>
      <w:lvlJc w:val="left"/>
      <w:pPr>
        <w:tabs>
          <w:tab w:val="num" w:pos="5040"/>
        </w:tabs>
        <w:ind w:left="5040" w:hanging="360"/>
      </w:pPr>
      <w:rPr>
        <w:rFonts w:ascii="Symbol" w:hAnsi="Symbol"/>
      </w:rPr>
    </w:lvl>
    <w:lvl w:ilvl="7" w:tplc="A3F8FCAE">
      <w:start w:val="1"/>
      <w:numFmt w:val="bullet"/>
      <w:lvlText w:val="o"/>
      <w:lvlJc w:val="left"/>
      <w:pPr>
        <w:tabs>
          <w:tab w:val="num" w:pos="5760"/>
        </w:tabs>
        <w:ind w:left="5760" w:hanging="360"/>
      </w:pPr>
      <w:rPr>
        <w:rFonts w:ascii="Courier New" w:hAnsi="Courier New"/>
      </w:rPr>
    </w:lvl>
    <w:lvl w:ilvl="8" w:tplc="540849AE">
      <w:start w:val="1"/>
      <w:numFmt w:val="bullet"/>
      <w:lvlText w:val=""/>
      <w:lvlJc w:val="left"/>
      <w:pPr>
        <w:tabs>
          <w:tab w:val="num" w:pos="6480"/>
        </w:tabs>
        <w:ind w:left="6480" w:hanging="360"/>
      </w:pPr>
      <w:rPr>
        <w:rFonts w:ascii="Wingdings" w:hAnsi="Wingdings"/>
      </w:rPr>
    </w:lvl>
  </w:abstractNum>
  <w:abstractNum w:abstractNumId="549" w15:restartNumberingAfterBreak="0">
    <w:nsid w:val="722306E7"/>
    <w:multiLevelType w:val="hybridMultilevel"/>
    <w:tmpl w:val="722306E7"/>
    <w:lvl w:ilvl="0" w:tplc="017C646C">
      <w:start w:val="1"/>
      <w:numFmt w:val="bullet"/>
      <w:lvlText w:val=""/>
      <w:lvlJc w:val="left"/>
      <w:pPr>
        <w:ind w:left="720" w:hanging="360"/>
      </w:pPr>
      <w:rPr>
        <w:rFonts w:ascii="Symbol" w:hAnsi="Symbol"/>
      </w:rPr>
    </w:lvl>
    <w:lvl w:ilvl="1" w:tplc="22741454">
      <w:start w:val="1"/>
      <w:numFmt w:val="bullet"/>
      <w:lvlText w:val="o"/>
      <w:lvlJc w:val="left"/>
      <w:pPr>
        <w:tabs>
          <w:tab w:val="num" w:pos="1440"/>
        </w:tabs>
        <w:ind w:left="1440" w:hanging="360"/>
      </w:pPr>
      <w:rPr>
        <w:rFonts w:ascii="Courier New" w:hAnsi="Courier New"/>
      </w:rPr>
    </w:lvl>
    <w:lvl w:ilvl="2" w:tplc="36E67596">
      <w:start w:val="1"/>
      <w:numFmt w:val="bullet"/>
      <w:lvlText w:val=""/>
      <w:lvlJc w:val="left"/>
      <w:pPr>
        <w:tabs>
          <w:tab w:val="num" w:pos="2160"/>
        </w:tabs>
        <w:ind w:left="2160" w:hanging="360"/>
      </w:pPr>
      <w:rPr>
        <w:rFonts w:ascii="Wingdings" w:hAnsi="Wingdings"/>
      </w:rPr>
    </w:lvl>
    <w:lvl w:ilvl="3" w:tplc="7CC63FE8">
      <w:start w:val="1"/>
      <w:numFmt w:val="bullet"/>
      <w:lvlText w:val=""/>
      <w:lvlJc w:val="left"/>
      <w:pPr>
        <w:tabs>
          <w:tab w:val="num" w:pos="2880"/>
        </w:tabs>
        <w:ind w:left="2880" w:hanging="360"/>
      </w:pPr>
      <w:rPr>
        <w:rFonts w:ascii="Symbol" w:hAnsi="Symbol"/>
      </w:rPr>
    </w:lvl>
    <w:lvl w:ilvl="4" w:tplc="0052BB08">
      <w:start w:val="1"/>
      <w:numFmt w:val="bullet"/>
      <w:lvlText w:val="o"/>
      <w:lvlJc w:val="left"/>
      <w:pPr>
        <w:tabs>
          <w:tab w:val="num" w:pos="3600"/>
        </w:tabs>
        <w:ind w:left="3600" w:hanging="360"/>
      </w:pPr>
      <w:rPr>
        <w:rFonts w:ascii="Courier New" w:hAnsi="Courier New"/>
      </w:rPr>
    </w:lvl>
    <w:lvl w:ilvl="5" w:tplc="AECC4AFE">
      <w:start w:val="1"/>
      <w:numFmt w:val="bullet"/>
      <w:lvlText w:val=""/>
      <w:lvlJc w:val="left"/>
      <w:pPr>
        <w:tabs>
          <w:tab w:val="num" w:pos="4320"/>
        </w:tabs>
        <w:ind w:left="4320" w:hanging="360"/>
      </w:pPr>
      <w:rPr>
        <w:rFonts w:ascii="Wingdings" w:hAnsi="Wingdings"/>
      </w:rPr>
    </w:lvl>
    <w:lvl w:ilvl="6" w:tplc="7D848CB0">
      <w:start w:val="1"/>
      <w:numFmt w:val="bullet"/>
      <w:lvlText w:val=""/>
      <w:lvlJc w:val="left"/>
      <w:pPr>
        <w:tabs>
          <w:tab w:val="num" w:pos="5040"/>
        </w:tabs>
        <w:ind w:left="5040" w:hanging="360"/>
      </w:pPr>
      <w:rPr>
        <w:rFonts w:ascii="Symbol" w:hAnsi="Symbol"/>
      </w:rPr>
    </w:lvl>
    <w:lvl w:ilvl="7" w:tplc="B4B8A918">
      <w:start w:val="1"/>
      <w:numFmt w:val="bullet"/>
      <w:lvlText w:val="o"/>
      <w:lvlJc w:val="left"/>
      <w:pPr>
        <w:tabs>
          <w:tab w:val="num" w:pos="5760"/>
        </w:tabs>
        <w:ind w:left="5760" w:hanging="360"/>
      </w:pPr>
      <w:rPr>
        <w:rFonts w:ascii="Courier New" w:hAnsi="Courier New"/>
      </w:rPr>
    </w:lvl>
    <w:lvl w:ilvl="8" w:tplc="8FE010D0">
      <w:start w:val="1"/>
      <w:numFmt w:val="bullet"/>
      <w:lvlText w:val=""/>
      <w:lvlJc w:val="left"/>
      <w:pPr>
        <w:tabs>
          <w:tab w:val="num" w:pos="6480"/>
        </w:tabs>
        <w:ind w:left="6480" w:hanging="360"/>
      </w:pPr>
      <w:rPr>
        <w:rFonts w:ascii="Wingdings" w:hAnsi="Wingdings"/>
      </w:rPr>
    </w:lvl>
  </w:abstractNum>
  <w:abstractNum w:abstractNumId="550" w15:restartNumberingAfterBreak="0">
    <w:nsid w:val="722306E8"/>
    <w:multiLevelType w:val="hybridMultilevel"/>
    <w:tmpl w:val="722306E8"/>
    <w:lvl w:ilvl="0" w:tplc="5A88A3CE">
      <w:start w:val="1"/>
      <w:numFmt w:val="bullet"/>
      <w:lvlText w:val=""/>
      <w:lvlJc w:val="left"/>
      <w:pPr>
        <w:ind w:left="720" w:hanging="360"/>
      </w:pPr>
      <w:rPr>
        <w:rFonts w:ascii="Symbol" w:hAnsi="Symbol"/>
      </w:rPr>
    </w:lvl>
    <w:lvl w:ilvl="1" w:tplc="A93CEC24">
      <w:start w:val="1"/>
      <w:numFmt w:val="bullet"/>
      <w:lvlText w:val="o"/>
      <w:lvlJc w:val="left"/>
      <w:pPr>
        <w:tabs>
          <w:tab w:val="num" w:pos="1440"/>
        </w:tabs>
        <w:ind w:left="1440" w:hanging="360"/>
      </w:pPr>
      <w:rPr>
        <w:rFonts w:ascii="Courier New" w:hAnsi="Courier New"/>
      </w:rPr>
    </w:lvl>
    <w:lvl w:ilvl="2" w:tplc="D6122578">
      <w:start w:val="1"/>
      <w:numFmt w:val="bullet"/>
      <w:lvlText w:val=""/>
      <w:lvlJc w:val="left"/>
      <w:pPr>
        <w:tabs>
          <w:tab w:val="num" w:pos="2160"/>
        </w:tabs>
        <w:ind w:left="2160" w:hanging="360"/>
      </w:pPr>
      <w:rPr>
        <w:rFonts w:ascii="Wingdings" w:hAnsi="Wingdings"/>
      </w:rPr>
    </w:lvl>
    <w:lvl w:ilvl="3" w:tplc="D41AA17A">
      <w:start w:val="1"/>
      <w:numFmt w:val="bullet"/>
      <w:lvlText w:val=""/>
      <w:lvlJc w:val="left"/>
      <w:pPr>
        <w:tabs>
          <w:tab w:val="num" w:pos="2880"/>
        </w:tabs>
        <w:ind w:left="2880" w:hanging="360"/>
      </w:pPr>
      <w:rPr>
        <w:rFonts w:ascii="Symbol" w:hAnsi="Symbol"/>
      </w:rPr>
    </w:lvl>
    <w:lvl w:ilvl="4" w:tplc="47CCDF46">
      <w:start w:val="1"/>
      <w:numFmt w:val="bullet"/>
      <w:lvlText w:val="o"/>
      <w:lvlJc w:val="left"/>
      <w:pPr>
        <w:tabs>
          <w:tab w:val="num" w:pos="3600"/>
        </w:tabs>
        <w:ind w:left="3600" w:hanging="360"/>
      </w:pPr>
      <w:rPr>
        <w:rFonts w:ascii="Courier New" w:hAnsi="Courier New"/>
      </w:rPr>
    </w:lvl>
    <w:lvl w:ilvl="5" w:tplc="4244B1A8">
      <w:start w:val="1"/>
      <w:numFmt w:val="bullet"/>
      <w:lvlText w:val=""/>
      <w:lvlJc w:val="left"/>
      <w:pPr>
        <w:tabs>
          <w:tab w:val="num" w:pos="4320"/>
        </w:tabs>
        <w:ind w:left="4320" w:hanging="360"/>
      </w:pPr>
      <w:rPr>
        <w:rFonts w:ascii="Wingdings" w:hAnsi="Wingdings"/>
      </w:rPr>
    </w:lvl>
    <w:lvl w:ilvl="6" w:tplc="2E1A1AB4">
      <w:start w:val="1"/>
      <w:numFmt w:val="bullet"/>
      <w:lvlText w:val=""/>
      <w:lvlJc w:val="left"/>
      <w:pPr>
        <w:tabs>
          <w:tab w:val="num" w:pos="5040"/>
        </w:tabs>
        <w:ind w:left="5040" w:hanging="360"/>
      </w:pPr>
      <w:rPr>
        <w:rFonts w:ascii="Symbol" w:hAnsi="Symbol"/>
      </w:rPr>
    </w:lvl>
    <w:lvl w:ilvl="7" w:tplc="AC829854">
      <w:start w:val="1"/>
      <w:numFmt w:val="bullet"/>
      <w:lvlText w:val="o"/>
      <w:lvlJc w:val="left"/>
      <w:pPr>
        <w:tabs>
          <w:tab w:val="num" w:pos="5760"/>
        </w:tabs>
        <w:ind w:left="5760" w:hanging="360"/>
      </w:pPr>
      <w:rPr>
        <w:rFonts w:ascii="Courier New" w:hAnsi="Courier New"/>
      </w:rPr>
    </w:lvl>
    <w:lvl w:ilvl="8" w:tplc="721E6566">
      <w:start w:val="1"/>
      <w:numFmt w:val="bullet"/>
      <w:lvlText w:val=""/>
      <w:lvlJc w:val="left"/>
      <w:pPr>
        <w:tabs>
          <w:tab w:val="num" w:pos="6480"/>
        </w:tabs>
        <w:ind w:left="6480" w:hanging="360"/>
      </w:pPr>
      <w:rPr>
        <w:rFonts w:ascii="Wingdings" w:hAnsi="Wingdings"/>
      </w:rPr>
    </w:lvl>
  </w:abstractNum>
  <w:abstractNum w:abstractNumId="551" w15:restartNumberingAfterBreak="0">
    <w:nsid w:val="722306E9"/>
    <w:multiLevelType w:val="hybridMultilevel"/>
    <w:tmpl w:val="722306E9"/>
    <w:lvl w:ilvl="0" w:tplc="46D828CA">
      <w:start w:val="1"/>
      <w:numFmt w:val="bullet"/>
      <w:lvlText w:val=""/>
      <w:lvlJc w:val="left"/>
      <w:pPr>
        <w:ind w:left="720" w:hanging="360"/>
      </w:pPr>
      <w:rPr>
        <w:rFonts w:ascii="Symbol" w:hAnsi="Symbol"/>
      </w:rPr>
    </w:lvl>
    <w:lvl w:ilvl="1" w:tplc="100C2008">
      <w:start w:val="1"/>
      <w:numFmt w:val="bullet"/>
      <w:lvlText w:val="o"/>
      <w:lvlJc w:val="left"/>
      <w:pPr>
        <w:tabs>
          <w:tab w:val="num" w:pos="1440"/>
        </w:tabs>
        <w:ind w:left="1440" w:hanging="360"/>
      </w:pPr>
      <w:rPr>
        <w:rFonts w:ascii="Courier New" w:hAnsi="Courier New"/>
      </w:rPr>
    </w:lvl>
    <w:lvl w:ilvl="2" w:tplc="234699AA">
      <w:start w:val="1"/>
      <w:numFmt w:val="bullet"/>
      <w:lvlText w:val=""/>
      <w:lvlJc w:val="left"/>
      <w:pPr>
        <w:tabs>
          <w:tab w:val="num" w:pos="2160"/>
        </w:tabs>
        <w:ind w:left="2160" w:hanging="360"/>
      </w:pPr>
      <w:rPr>
        <w:rFonts w:ascii="Wingdings" w:hAnsi="Wingdings"/>
      </w:rPr>
    </w:lvl>
    <w:lvl w:ilvl="3" w:tplc="AED234E6">
      <w:start w:val="1"/>
      <w:numFmt w:val="bullet"/>
      <w:lvlText w:val=""/>
      <w:lvlJc w:val="left"/>
      <w:pPr>
        <w:tabs>
          <w:tab w:val="num" w:pos="2880"/>
        </w:tabs>
        <w:ind w:left="2880" w:hanging="360"/>
      </w:pPr>
      <w:rPr>
        <w:rFonts w:ascii="Symbol" w:hAnsi="Symbol"/>
      </w:rPr>
    </w:lvl>
    <w:lvl w:ilvl="4" w:tplc="B83081D8">
      <w:start w:val="1"/>
      <w:numFmt w:val="bullet"/>
      <w:lvlText w:val="o"/>
      <w:lvlJc w:val="left"/>
      <w:pPr>
        <w:tabs>
          <w:tab w:val="num" w:pos="3600"/>
        </w:tabs>
        <w:ind w:left="3600" w:hanging="360"/>
      </w:pPr>
      <w:rPr>
        <w:rFonts w:ascii="Courier New" w:hAnsi="Courier New"/>
      </w:rPr>
    </w:lvl>
    <w:lvl w:ilvl="5" w:tplc="A2761E26">
      <w:start w:val="1"/>
      <w:numFmt w:val="bullet"/>
      <w:lvlText w:val=""/>
      <w:lvlJc w:val="left"/>
      <w:pPr>
        <w:tabs>
          <w:tab w:val="num" w:pos="4320"/>
        </w:tabs>
        <w:ind w:left="4320" w:hanging="360"/>
      </w:pPr>
      <w:rPr>
        <w:rFonts w:ascii="Wingdings" w:hAnsi="Wingdings"/>
      </w:rPr>
    </w:lvl>
    <w:lvl w:ilvl="6" w:tplc="1FD6D52A">
      <w:start w:val="1"/>
      <w:numFmt w:val="bullet"/>
      <w:lvlText w:val=""/>
      <w:lvlJc w:val="left"/>
      <w:pPr>
        <w:tabs>
          <w:tab w:val="num" w:pos="5040"/>
        </w:tabs>
        <w:ind w:left="5040" w:hanging="360"/>
      </w:pPr>
      <w:rPr>
        <w:rFonts w:ascii="Symbol" w:hAnsi="Symbol"/>
      </w:rPr>
    </w:lvl>
    <w:lvl w:ilvl="7" w:tplc="33247A90">
      <w:start w:val="1"/>
      <w:numFmt w:val="bullet"/>
      <w:lvlText w:val="o"/>
      <w:lvlJc w:val="left"/>
      <w:pPr>
        <w:tabs>
          <w:tab w:val="num" w:pos="5760"/>
        </w:tabs>
        <w:ind w:left="5760" w:hanging="360"/>
      </w:pPr>
      <w:rPr>
        <w:rFonts w:ascii="Courier New" w:hAnsi="Courier New"/>
      </w:rPr>
    </w:lvl>
    <w:lvl w:ilvl="8" w:tplc="7916B7C4">
      <w:start w:val="1"/>
      <w:numFmt w:val="bullet"/>
      <w:lvlText w:val=""/>
      <w:lvlJc w:val="left"/>
      <w:pPr>
        <w:tabs>
          <w:tab w:val="num" w:pos="6480"/>
        </w:tabs>
        <w:ind w:left="6480" w:hanging="360"/>
      </w:pPr>
      <w:rPr>
        <w:rFonts w:ascii="Wingdings" w:hAnsi="Wingdings"/>
      </w:rPr>
    </w:lvl>
  </w:abstractNum>
  <w:abstractNum w:abstractNumId="552" w15:restartNumberingAfterBreak="0">
    <w:nsid w:val="722306EA"/>
    <w:multiLevelType w:val="hybridMultilevel"/>
    <w:tmpl w:val="722306EA"/>
    <w:lvl w:ilvl="0" w:tplc="6A0A9ACE">
      <w:start w:val="1"/>
      <w:numFmt w:val="bullet"/>
      <w:lvlText w:val=""/>
      <w:lvlJc w:val="left"/>
      <w:pPr>
        <w:ind w:left="720" w:hanging="360"/>
      </w:pPr>
      <w:rPr>
        <w:rFonts w:ascii="Symbol" w:hAnsi="Symbol"/>
      </w:rPr>
    </w:lvl>
    <w:lvl w:ilvl="1" w:tplc="722EB320">
      <w:start w:val="1"/>
      <w:numFmt w:val="bullet"/>
      <w:lvlText w:val="o"/>
      <w:lvlJc w:val="left"/>
      <w:pPr>
        <w:tabs>
          <w:tab w:val="num" w:pos="1440"/>
        </w:tabs>
        <w:ind w:left="1440" w:hanging="360"/>
      </w:pPr>
      <w:rPr>
        <w:rFonts w:ascii="Courier New" w:hAnsi="Courier New"/>
      </w:rPr>
    </w:lvl>
    <w:lvl w:ilvl="2" w:tplc="656A2F74">
      <w:start w:val="1"/>
      <w:numFmt w:val="bullet"/>
      <w:lvlText w:val=""/>
      <w:lvlJc w:val="left"/>
      <w:pPr>
        <w:tabs>
          <w:tab w:val="num" w:pos="2160"/>
        </w:tabs>
        <w:ind w:left="2160" w:hanging="360"/>
      </w:pPr>
      <w:rPr>
        <w:rFonts w:ascii="Wingdings" w:hAnsi="Wingdings"/>
      </w:rPr>
    </w:lvl>
    <w:lvl w:ilvl="3" w:tplc="BD865D62">
      <w:start w:val="1"/>
      <w:numFmt w:val="bullet"/>
      <w:lvlText w:val=""/>
      <w:lvlJc w:val="left"/>
      <w:pPr>
        <w:tabs>
          <w:tab w:val="num" w:pos="2880"/>
        </w:tabs>
        <w:ind w:left="2880" w:hanging="360"/>
      </w:pPr>
      <w:rPr>
        <w:rFonts w:ascii="Symbol" w:hAnsi="Symbol"/>
      </w:rPr>
    </w:lvl>
    <w:lvl w:ilvl="4" w:tplc="11261E14">
      <w:start w:val="1"/>
      <w:numFmt w:val="bullet"/>
      <w:lvlText w:val="o"/>
      <w:lvlJc w:val="left"/>
      <w:pPr>
        <w:tabs>
          <w:tab w:val="num" w:pos="3600"/>
        </w:tabs>
        <w:ind w:left="3600" w:hanging="360"/>
      </w:pPr>
      <w:rPr>
        <w:rFonts w:ascii="Courier New" w:hAnsi="Courier New"/>
      </w:rPr>
    </w:lvl>
    <w:lvl w:ilvl="5" w:tplc="5604452C">
      <w:start w:val="1"/>
      <w:numFmt w:val="bullet"/>
      <w:lvlText w:val=""/>
      <w:lvlJc w:val="left"/>
      <w:pPr>
        <w:tabs>
          <w:tab w:val="num" w:pos="4320"/>
        </w:tabs>
        <w:ind w:left="4320" w:hanging="360"/>
      </w:pPr>
      <w:rPr>
        <w:rFonts w:ascii="Wingdings" w:hAnsi="Wingdings"/>
      </w:rPr>
    </w:lvl>
    <w:lvl w:ilvl="6" w:tplc="1402F1E8">
      <w:start w:val="1"/>
      <w:numFmt w:val="bullet"/>
      <w:lvlText w:val=""/>
      <w:lvlJc w:val="left"/>
      <w:pPr>
        <w:tabs>
          <w:tab w:val="num" w:pos="5040"/>
        </w:tabs>
        <w:ind w:left="5040" w:hanging="360"/>
      </w:pPr>
      <w:rPr>
        <w:rFonts w:ascii="Symbol" w:hAnsi="Symbol"/>
      </w:rPr>
    </w:lvl>
    <w:lvl w:ilvl="7" w:tplc="175699A6">
      <w:start w:val="1"/>
      <w:numFmt w:val="bullet"/>
      <w:lvlText w:val="o"/>
      <w:lvlJc w:val="left"/>
      <w:pPr>
        <w:tabs>
          <w:tab w:val="num" w:pos="5760"/>
        </w:tabs>
        <w:ind w:left="5760" w:hanging="360"/>
      </w:pPr>
      <w:rPr>
        <w:rFonts w:ascii="Courier New" w:hAnsi="Courier New"/>
      </w:rPr>
    </w:lvl>
    <w:lvl w:ilvl="8" w:tplc="1B54BF7A">
      <w:start w:val="1"/>
      <w:numFmt w:val="bullet"/>
      <w:lvlText w:val=""/>
      <w:lvlJc w:val="left"/>
      <w:pPr>
        <w:tabs>
          <w:tab w:val="num" w:pos="6480"/>
        </w:tabs>
        <w:ind w:left="6480" w:hanging="360"/>
      </w:pPr>
      <w:rPr>
        <w:rFonts w:ascii="Wingdings" w:hAnsi="Wingdings"/>
      </w:rPr>
    </w:lvl>
  </w:abstractNum>
  <w:abstractNum w:abstractNumId="553" w15:restartNumberingAfterBreak="0">
    <w:nsid w:val="722306EB"/>
    <w:multiLevelType w:val="hybridMultilevel"/>
    <w:tmpl w:val="722306EB"/>
    <w:lvl w:ilvl="0" w:tplc="58EEF69C">
      <w:start w:val="1"/>
      <w:numFmt w:val="bullet"/>
      <w:lvlText w:val=""/>
      <w:lvlJc w:val="left"/>
      <w:pPr>
        <w:ind w:left="720" w:hanging="360"/>
      </w:pPr>
      <w:rPr>
        <w:rFonts w:ascii="Symbol" w:hAnsi="Symbol"/>
      </w:rPr>
    </w:lvl>
    <w:lvl w:ilvl="1" w:tplc="66EE443E">
      <w:start w:val="1"/>
      <w:numFmt w:val="bullet"/>
      <w:lvlText w:val="o"/>
      <w:lvlJc w:val="left"/>
      <w:pPr>
        <w:tabs>
          <w:tab w:val="num" w:pos="1440"/>
        </w:tabs>
        <w:ind w:left="1440" w:hanging="360"/>
      </w:pPr>
      <w:rPr>
        <w:rFonts w:ascii="Courier New" w:hAnsi="Courier New"/>
      </w:rPr>
    </w:lvl>
    <w:lvl w:ilvl="2" w:tplc="4CEECF10">
      <w:start w:val="1"/>
      <w:numFmt w:val="bullet"/>
      <w:lvlText w:val=""/>
      <w:lvlJc w:val="left"/>
      <w:pPr>
        <w:tabs>
          <w:tab w:val="num" w:pos="2160"/>
        </w:tabs>
        <w:ind w:left="2160" w:hanging="360"/>
      </w:pPr>
      <w:rPr>
        <w:rFonts w:ascii="Wingdings" w:hAnsi="Wingdings"/>
      </w:rPr>
    </w:lvl>
    <w:lvl w:ilvl="3" w:tplc="0D18AA9C">
      <w:start w:val="1"/>
      <w:numFmt w:val="bullet"/>
      <w:lvlText w:val=""/>
      <w:lvlJc w:val="left"/>
      <w:pPr>
        <w:tabs>
          <w:tab w:val="num" w:pos="2880"/>
        </w:tabs>
        <w:ind w:left="2880" w:hanging="360"/>
      </w:pPr>
      <w:rPr>
        <w:rFonts w:ascii="Symbol" w:hAnsi="Symbol"/>
      </w:rPr>
    </w:lvl>
    <w:lvl w:ilvl="4" w:tplc="A62210B6">
      <w:start w:val="1"/>
      <w:numFmt w:val="bullet"/>
      <w:lvlText w:val="o"/>
      <w:lvlJc w:val="left"/>
      <w:pPr>
        <w:tabs>
          <w:tab w:val="num" w:pos="3600"/>
        </w:tabs>
        <w:ind w:left="3600" w:hanging="360"/>
      </w:pPr>
      <w:rPr>
        <w:rFonts w:ascii="Courier New" w:hAnsi="Courier New"/>
      </w:rPr>
    </w:lvl>
    <w:lvl w:ilvl="5" w:tplc="64882750">
      <w:start w:val="1"/>
      <w:numFmt w:val="bullet"/>
      <w:lvlText w:val=""/>
      <w:lvlJc w:val="left"/>
      <w:pPr>
        <w:tabs>
          <w:tab w:val="num" w:pos="4320"/>
        </w:tabs>
        <w:ind w:left="4320" w:hanging="360"/>
      </w:pPr>
      <w:rPr>
        <w:rFonts w:ascii="Wingdings" w:hAnsi="Wingdings"/>
      </w:rPr>
    </w:lvl>
    <w:lvl w:ilvl="6" w:tplc="9EFEDF06">
      <w:start w:val="1"/>
      <w:numFmt w:val="bullet"/>
      <w:lvlText w:val=""/>
      <w:lvlJc w:val="left"/>
      <w:pPr>
        <w:tabs>
          <w:tab w:val="num" w:pos="5040"/>
        </w:tabs>
        <w:ind w:left="5040" w:hanging="360"/>
      </w:pPr>
      <w:rPr>
        <w:rFonts w:ascii="Symbol" w:hAnsi="Symbol"/>
      </w:rPr>
    </w:lvl>
    <w:lvl w:ilvl="7" w:tplc="A88A6A9E">
      <w:start w:val="1"/>
      <w:numFmt w:val="bullet"/>
      <w:lvlText w:val="o"/>
      <w:lvlJc w:val="left"/>
      <w:pPr>
        <w:tabs>
          <w:tab w:val="num" w:pos="5760"/>
        </w:tabs>
        <w:ind w:left="5760" w:hanging="360"/>
      </w:pPr>
      <w:rPr>
        <w:rFonts w:ascii="Courier New" w:hAnsi="Courier New"/>
      </w:rPr>
    </w:lvl>
    <w:lvl w:ilvl="8" w:tplc="BC6AE96E">
      <w:start w:val="1"/>
      <w:numFmt w:val="bullet"/>
      <w:lvlText w:val=""/>
      <w:lvlJc w:val="left"/>
      <w:pPr>
        <w:tabs>
          <w:tab w:val="num" w:pos="6480"/>
        </w:tabs>
        <w:ind w:left="6480" w:hanging="360"/>
      </w:pPr>
      <w:rPr>
        <w:rFonts w:ascii="Wingdings" w:hAnsi="Wingdings"/>
      </w:rPr>
    </w:lvl>
  </w:abstractNum>
  <w:abstractNum w:abstractNumId="554" w15:restartNumberingAfterBreak="0">
    <w:nsid w:val="722306EC"/>
    <w:multiLevelType w:val="hybridMultilevel"/>
    <w:tmpl w:val="722306EC"/>
    <w:lvl w:ilvl="0" w:tplc="7710305E">
      <w:start w:val="1"/>
      <w:numFmt w:val="bullet"/>
      <w:lvlText w:val=""/>
      <w:lvlJc w:val="left"/>
      <w:pPr>
        <w:ind w:left="720" w:hanging="360"/>
      </w:pPr>
      <w:rPr>
        <w:rFonts w:ascii="Symbol" w:hAnsi="Symbol"/>
      </w:rPr>
    </w:lvl>
    <w:lvl w:ilvl="1" w:tplc="00668D3A">
      <w:start w:val="1"/>
      <w:numFmt w:val="bullet"/>
      <w:lvlText w:val="o"/>
      <w:lvlJc w:val="left"/>
      <w:pPr>
        <w:tabs>
          <w:tab w:val="num" w:pos="1440"/>
        </w:tabs>
        <w:ind w:left="1440" w:hanging="360"/>
      </w:pPr>
      <w:rPr>
        <w:rFonts w:ascii="Courier New" w:hAnsi="Courier New"/>
      </w:rPr>
    </w:lvl>
    <w:lvl w:ilvl="2" w:tplc="5EA0B18A">
      <w:start w:val="1"/>
      <w:numFmt w:val="bullet"/>
      <w:lvlText w:val=""/>
      <w:lvlJc w:val="left"/>
      <w:pPr>
        <w:tabs>
          <w:tab w:val="num" w:pos="2160"/>
        </w:tabs>
        <w:ind w:left="2160" w:hanging="360"/>
      </w:pPr>
      <w:rPr>
        <w:rFonts w:ascii="Wingdings" w:hAnsi="Wingdings"/>
      </w:rPr>
    </w:lvl>
    <w:lvl w:ilvl="3" w:tplc="882CA726">
      <w:start w:val="1"/>
      <w:numFmt w:val="bullet"/>
      <w:lvlText w:val=""/>
      <w:lvlJc w:val="left"/>
      <w:pPr>
        <w:tabs>
          <w:tab w:val="num" w:pos="2880"/>
        </w:tabs>
        <w:ind w:left="2880" w:hanging="360"/>
      </w:pPr>
      <w:rPr>
        <w:rFonts w:ascii="Symbol" w:hAnsi="Symbol"/>
      </w:rPr>
    </w:lvl>
    <w:lvl w:ilvl="4" w:tplc="E4E0F4D2">
      <w:start w:val="1"/>
      <w:numFmt w:val="bullet"/>
      <w:lvlText w:val="o"/>
      <w:lvlJc w:val="left"/>
      <w:pPr>
        <w:tabs>
          <w:tab w:val="num" w:pos="3600"/>
        </w:tabs>
        <w:ind w:left="3600" w:hanging="360"/>
      </w:pPr>
      <w:rPr>
        <w:rFonts w:ascii="Courier New" w:hAnsi="Courier New"/>
      </w:rPr>
    </w:lvl>
    <w:lvl w:ilvl="5" w:tplc="A5A2BB48">
      <w:start w:val="1"/>
      <w:numFmt w:val="bullet"/>
      <w:lvlText w:val=""/>
      <w:lvlJc w:val="left"/>
      <w:pPr>
        <w:tabs>
          <w:tab w:val="num" w:pos="4320"/>
        </w:tabs>
        <w:ind w:left="4320" w:hanging="360"/>
      </w:pPr>
      <w:rPr>
        <w:rFonts w:ascii="Wingdings" w:hAnsi="Wingdings"/>
      </w:rPr>
    </w:lvl>
    <w:lvl w:ilvl="6" w:tplc="6D56E248">
      <w:start w:val="1"/>
      <w:numFmt w:val="bullet"/>
      <w:lvlText w:val=""/>
      <w:lvlJc w:val="left"/>
      <w:pPr>
        <w:tabs>
          <w:tab w:val="num" w:pos="5040"/>
        </w:tabs>
        <w:ind w:left="5040" w:hanging="360"/>
      </w:pPr>
      <w:rPr>
        <w:rFonts w:ascii="Symbol" w:hAnsi="Symbol"/>
      </w:rPr>
    </w:lvl>
    <w:lvl w:ilvl="7" w:tplc="A41C6058">
      <w:start w:val="1"/>
      <w:numFmt w:val="bullet"/>
      <w:lvlText w:val="o"/>
      <w:lvlJc w:val="left"/>
      <w:pPr>
        <w:tabs>
          <w:tab w:val="num" w:pos="5760"/>
        </w:tabs>
        <w:ind w:left="5760" w:hanging="360"/>
      </w:pPr>
      <w:rPr>
        <w:rFonts w:ascii="Courier New" w:hAnsi="Courier New"/>
      </w:rPr>
    </w:lvl>
    <w:lvl w:ilvl="8" w:tplc="A9CA3488">
      <w:start w:val="1"/>
      <w:numFmt w:val="bullet"/>
      <w:lvlText w:val=""/>
      <w:lvlJc w:val="left"/>
      <w:pPr>
        <w:tabs>
          <w:tab w:val="num" w:pos="6480"/>
        </w:tabs>
        <w:ind w:left="6480" w:hanging="360"/>
      </w:pPr>
      <w:rPr>
        <w:rFonts w:ascii="Wingdings" w:hAnsi="Wingdings"/>
      </w:rPr>
    </w:lvl>
  </w:abstractNum>
  <w:abstractNum w:abstractNumId="555" w15:restartNumberingAfterBreak="0">
    <w:nsid w:val="722306ED"/>
    <w:multiLevelType w:val="hybridMultilevel"/>
    <w:tmpl w:val="722306ED"/>
    <w:lvl w:ilvl="0" w:tplc="A7F27D18">
      <w:start w:val="1"/>
      <w:numFmt w:val="bullet"/>
      <w:lvlText w:val="o"/>
      <w:lvlJc w:val="left"/>
      <w:pPr>
        <w:ind w:left="720" w:hanging="360"/>
      </w:pPr>
      <w:rPr>
        <w:rFonts w:ascii="Courier New" w:hAnsi="Courier New"/>
      </w:rPr>
    </w:lvl>
    <w:lvl w:ilvl="1" w:tplc="A64EA7FC">
      <w:start w:val="1"/>
      <w:numFmt w:val="bullet"/>
      <w:lvlText w:val="o"/>
      <w:lvlJc w:val="left"/>
      <w:pPr>
        <w:tabs>
          <w:tab w:val="num" w:pos="1440"/>
        </w:tabs>
        <w:ind w:left="1440" w:hanging="360"/>
      </w:pPr>
      <w:rPr>
        <w:rFonts w:ascii="Courier New" w:hAnsi="Courier New"/>
      </w:rPr>
    </w:lvl>
    <w:lvl w:ilvl="2" w:tplc="E6D407F4">
      <w:start w:val="1"/>
      <w:numFmt w:val="bullet"/>
      <w:lvlText w:val=""/>
      <w:lvlJc w:val="left"/>
      <w:pPr>
        <w:tabs>
          <w:tab w:val="num" w:pos="2160"/>
        </w:tabs>
        <w:ind w:left="2160" w:hanging="360"/>
      </w:pPr>
      <w:rPr>
        <w:rFonts w:ascii="Wingdings" w:hAnsi="Wingdings"/>
      </w:rPr>
    </w:lvl>
    <w:lvl w:ilvl="3" w:tplc="766EDD10">
      <w:start w:val="1"/>
      <w:numFmt w:val="bullet"/>
      <w:lvlText w:val=""/>
      <w:lvlJc w:val="left"/>
      <w:pPr>
        <w:tabs>
          <w:tab w:val="num" w:pos="2880"/>
        </w:tabs>
        <w:ind w:left="2880" w:hanging="360"/>
      </w:pPr>
      <w:rPr>
        <w:rFonts w:ascii="Symbol" w:hAnsi="Symbol"/>
      </w:rPr>
    </w:lvl>
    <w:lvl w:ilvl="4" w:tplc="7358701E">
      <w:start w:val="1"/>
      <w:numFmt w:val="bullet"/>
      <w:lvlText w:val="o"/>
      <w:lvlJc w:val="left"/>
      <w:pPr>
        <w:tabs>
          <w:tab w:val="num" w:pos="3600"/>
        </w:tabs>
        <w:ind w:left="3600" w:hanging="360"/>
      </w:pPr>
      <w:rPr>
        <w:rFonts w:ascii="Courier New" w:hAnsi="Courier New"/>
      </w:rPr>
    </w:lvl>
    <w:lvl w:ilvl="5" w:tplc="8A264628">
      <w:start w:val="1"/>
      <w:numFmt w:val="bullet"/>
      <w:lvlText w:val=""/>
      <w:lvlJc w:val="left"/>
      <w:pPr>
        <w:tabs>
          <w:tab w:val="num" w:pos="4320"/>
        </w:tabs>
        <w:ind w:left="4320" w:hanging="360"/>
      </w:pPr>
      <w:rPr>
        <w:rFonts w:ascii="Wingdings" w:hAnsi="Wingdings"/>
      </w:rPr>
    </w:lvl>
    <w:lvl w:ilvl="6" w:tplc="B7B41E8E">
      <w:start w:val="1"/>
      <w:numFmt w:val="bullet"/>
      <w:lvlText w:val=""/>
      <w:lvlJc w:val="left"/>
      <w:pPr>
        <w:tabs>
          <w:tab w:val="num" w:pos="5040"/>
        </w:tabs>
        <w:ind w:left="5040" w:hanging="360"/>
      </w:pPr>
      <w:rPr>
        <w:rFonts w:ascii="Symbol" w:hAnsi="Symbol"/>
      </w:rPr>
    </w:lvl>
    <w:lvl w:ilvl="7" w:tplc="A63E0692">
      <w:start w:val="1"/>
      <w:numFmt w:val="bullet"/>
      <w:lvlText w:val="o"/>
      <w:lvlJc w:val="left"/>
      <w:pPr>
        <w:tabs>
          <w:tab w:val="num" w:pos="5760"/>
        </w:tabs>
        <w:ind w:left="5760" w:hanging="360"/>
      </w:pPr>
      <w:rPr>
        <w:rFonts w:ascii="Courier New" w:hAnsi="Courier New"/>
      </w:rPr>
    </w:lvl>
    <w:lvl w:ilvl="8" w:tplc="566AACAA">
      <w:start w:val="1"/>
      <w:numFmt w:val="bullet"/>
      <w:lvlText w:val=""/>
      <w:lvlJc w:val="left"/>
      <w:pPr>
        <w:tabs>
          <w:tab w:val="num" w:pos="6480"/>
        </w:tabs>
        <w:ind w:left="6480" w:hanging="360"/>
      </w:pPr>
      <w:rPr>
        <w:rFonts w:ascii="Wingdings" w:hAnsi="Wingdings"/>
      </w:rPr>
    </w:lvl>
  </w:abstractNum>
  <w:abstractNum w:abstractNumId="556" w15:restartNumberingAfterBreak="0">
    <w:nsid w:val="722306EE"/>
    <w:multiLevelType w:val="hybridMultilevel"/>
    <w:tmpl w:val="722306EE"/>
    <w:lvl w:ilvl="0" w:tplc="CC28A4E0">
      <w:start w:val="1"/>
      <w:numFmt w:val="bullet"/>
      <w:lvlText w:val=""/>
      <w:lvlJc w:val="left"/>
      <w:pPr>
        <w:ind w:left="720" w:hanging="360"/>
      </w:pPr>
      <w:rPr>
        <w:rFonts w:ascii="Symbol" w:hAnsi="Symbol"/>
      </w:rPr>
    </w:lvl>
    <w:lvl w:ilvl="1" w:tplc="B1B4E72A">
      <w:start w:val="1"/>
      <w:numFmt w:val="bullet"/>
      <w:lvlText w:val="o"/>
      <w:lvlJc w:val="left"/>
      <w:pPr>
        <w:tabs>
          <w:tab w:val="num" w:pos="1440"/>
        </w:tabs>
        <w:ind w:left="1440" w:hanging="360"/>
      </w:pPr>
      <w:rPr>
        <w:rFonts w:ascii="Courier New" w:hAnsi="Courier New"/>
      </w:rPr>
    </w:lvl>
    <w:lvl w:ilvl="2" w:tplc="EB26D852">
      <w:start w:val="1"/>
      <w:numFmt w:val="bullet"/>
      <w:lvlText w:val=""/>
      <w:lvlJc w:val="left"/>
      <w:pPr>
        <w:tabs>
          <w:tab w:val="num" w:pos="2160"/>
        </w:tabs>
        <w:ind w:left="2160" w:hanging="360"/>
      </w:pPr>
      <w:rPr>
        <w:rFonts w:ascii="Wingdings" w:hAnsi="Wingdings"/>
      </w:rPr>
    </w:lvl>
    <w:lvl w:ilvl="3" w:tplc="512EE050">
      <w:start w:val="1"/>
      <w:numFmt w:val="bullet"/>
      <w:lvlText w:val=""/>
      <w:lvlJc w:val="left"/>
      <w:pPr>
        <w:tabs>
          <w:tab w:val="num" w:pos="2880"/>
        </w:tabs>
        <w:ind w:left="2880" w:hanging="360"/>
      </w:pPr>
      <w:rPr>
        <w:rFonts w:ascii="Symbol" w:hAnsi="Symbol"/>
      </w:rPr>
    </w:lvl>
    <w:lvl w:ilvl="4" w:tplc="F0E2D83A">
      <w:start w:val="1"/>
      <w:numFmt w:val="bullet"/>
      <w:lvlText w:val="o"/>
      <w:lvlJc w:val="left"/>
      <w:pPr>
        <w:tabs>
          <w:tab w:val="num" w:pos="3600"/>
        </w:tabs>
        <w:ind w:left="3600" w:hanging="360"/>
      </w:pPr>
      <w:rPr>
        <w:rFonts w:ascii="Courier New" w:hAnsi="Courier New"/>
      </w:rPr>
    </w:lvl>
    <w:lvl w:ilvl="5" w:tplc="C82CB4D2">
      <w:start w:val="1"/>
      <w:numFmt w:val="bullet"/>
      <w:lvlText w:val=""/>
      <w:lvlJc w:val="left"/>
      <w:pPr>
        <w:tabs>
          <w:tab w:val="num" w:pos="4320"/>
        </w:tabs>
        <w:ind w:left="4320" w:hanging="360"/>
      </w:pPr>
      <w:rPr>
        <w:rFonts w:ascii="Wingdings" w:hAnsi="Wingdings"/>
      </w:rPr>
    </w:lvl>
    <w:lvl w:ilvl="6" w:tplc="7806E116">
      <w:start w:val="1"/>
      <w:numFmt w:val="bullet"/>
      <w:lvlText w:val=""/>
      <w:lvlJc w:val="left"/>
      <w:pPr>
        <w:tabs>
          <w:tab w:val="num" w:pos="5040"/>
        </w:tabs>
        <w:ind w:left="5040" w:hanging="360"/>
      </w:pPr>
      <w:rPr>
        <w:rFonts w:ascii="Symbol" w:hAnsi="Symbol"/>
      </w:rPr>
    </w:lvl>
    <w:lvl w:ilvl="7" w:tplc="C5DC4520">
      <w:start w:val="1"/>
      <w:numFmt w:val="bullet"/>
      <w:lvlText w:val="o"/>
      <w:lvlJc w:val="left"/>
      <w:pPr>
        <w:tabs>
          <w:tab w:val="num" w:pos="5760"/>
        </w:tabs>
        <w:ind w:left="5760" w:hanging="360"/>
      </w:pPr>
      <w:rPr>
        <w:rFonts w:ascii="Courier New" w:hAnsi="Courier New"/>
      </w:rPr>
    </w:lvl>
    <w:lvl w:ilvl="8" w:tplc="3D123436">
      <w:start w:val="1"/>
      <w:numFmt w:val="bullet"/>
      <w:lvlText w:val=""/>
      <w:lvlJc w:val="left"/>
      <w:pPr>
        <w:tabs>
          <w:tab w:val="num" w:pos="6480"/>
        </w:tabs>
        <w:ind w:left="6480" w:hanging="360"/>
      </w:pPr>
      <w:rPr>
        <w:rFonts w:ascii="Wingdings" w:hAnsi="Wingdings"/>
      </w:rPr>
    </w:lvl>
  </w:abstractNum>
  <w:abstractNum w:abstractNumId="557" w15:restartNumberingAfterBreak="0">
    <w:nsid w:val="722306EF"/>
    <w:multiLevelType w:val="hybridMultilevel"/>
    <w:tmpl w:val="722306EF"/>
    <w:lvl w:ilvl="0" w:tplc="3AA664C6">
      <w:start w:val="1"/>
      <w:numFmt w:val="bullet"/>
      <w:lvlText w:val=""/>
      <w:lvlJc w:val="left"/>
      <w:pPr>
        <w:ind w:left="720" w:hanging="360"/>
      </w:pPr>
      <w:rPr>
        <w:rFonts w:ascii="Symbol" w:hAnsi="Symbol"/>
      </w:rPr>
    </w:lvl>
    <w:lvl w:ilvl="1" w:tplc="9DD0CB80">
      <w:start w:val="1"/>
      <w:numFmt w:val="bullet"/>
      <w:lvlText w:val="o"/>
      <w:lvlJc w:val="left"/>
      <w:pPr>
        <w:tabs>
          <w:tab w:val="num" w:pos="1440"/>
        </w:tabs>
        <w:ind w:left="1440" w:hanging="360"/>
      </w:pPr>
      <w:rPr>
        <w:rFonts w:ascii="Courier New" w:hAnsi="Courier New"/>
      </w:rPr>
    </w:lvl>
    <w:lvl w:ilvl="2" w:tplc="A510FF1A">
      <w:start w:val="1"/>
      <w:numFmt w:val="bullet"/>
      <w:lvlText w:val=""/>
      <w:lvlJc w:val="left"/>
      <w:pPr>
        <w:tabs>
          <w:tab w:val="num" w:pos="2160"/>
        </w:tabs>
        <w:ind w:left="2160" w:hanging="360"/>
      </w:pPr>
      <w:rPr>
        <w:rFonts w:ascii="Wingdings" w:hAnsi="Wingdings"/>
      </w:rPr>
    </w:lvl>
    <w:lvl w:ilvl="3" w:tplc="4104A86A">
      <w:start w:val="1"/>
      <w:numFmt w:val="bullet"/>
      <w:lvlText w:val=""/>
      <w:lvlJc w:val="left"/>
      <w:pPr>
        <w:tabs>
          <w:tab w:val="num" w:pos="2880"/>
        </w:tabs>
        <w:ind w:left="2880" w:hanging="360"/>
      </w:pPr>
      <w:rPr>
        <w:rFonts w:ascii="Symbol" w:hAnsi="Symbol"/>
      </w:rPr>
    </w:lvl>
    <w:lvl w:ilvl="4" w:tplc="6ED0B9AA">
      <w:start w:val="1"/>
      <w:numFmt w:val="bullet"/>
      <w:lvlText w:val="o"/>
      <w:lvlJc w:val="left"/>
      <w:pPr>
        <w:tabs>
          <w:tab w:val="num" w:pos="3600"/>
        </w:tabs>
        <w:ind w:left="3600" w:hanging="360"/>
      </w:pPr>
      <w:rPr>
        <w:rFonts w:ascii="Courier New" w:hAnsi="Courier New"/>
      </w:rPr>
    </w:lvl>
    <w:lvl w:ilvl="5" w:tplc="23C6EA84">
      <w:start w:val="1"/>
      <w:numFmt w:val="bullet"/>
      <w:lvlText w:val=""/>
      <w:lvlJc w:val="left"/>
      <w:pPr>
        <w:tabs>
          <w:tab w:val="num" w:pos="4320"/>
        </w:tabs>
        <w:ind w:left="4320" w:hanging="360"/>
      </w:pPr>
      <w:rPr>
        <w:rFonts w:ascii="Wingdings" w:hAnsi="Wingdings"/>
      </w:rPr>
    </w:lvl>
    <w:lvl w:ilvl="6" w:tplc="83944958">
      <w:start w:val="1"/>
      <w:numFmt w:val="bullet"/>
      <w:lvlText w:val=""/>
      <w:lvlJc w:val="left"/>
      <w:pPr>
        <w:tabs>
          <w:tab w:val="num" w:pos="5040"/>
        </w:tabs>
        <w:ind w:left="5040" w:hanging="360"/>
      </w:pPr>
      <w:rPr>
        <w:rFonts w:ascii="Symbol" w:hAnsi="Symbol"/>
      </w:rPr>
    </w:lvl>
    <w:lvl w:ilvl="7" w:tplc="2BA82B54">
      <w:start w:val="1"/>
      <w:numFmt w:val="bullet"/>
      <w:lvlText w:val="o"/>
      <w:lvlJc w:val="left"/>
      <w:pPr>
        <w:tabs>
          <w:tab w:val="num" w:pos="5760"/>
        </w:tabs>
        <w:ind w:left="5760" w:hanging="360"/>
      </w:pPr>
      <w:rPr>
        <w:rFonts w:ascii="Courier New" w:hAnsi="Courier New"/>
      </w:rPr>
    </w:lvl>
    <w:lvl w:ilvl="8" w:tplc="929285E2">
      <w:start w:val="1"/>
      <w:numFmt w:val="bullet"/>
      <w:lvlText w:val=""/>
      <w:lvlJc w:val="left"/>
      <w:pPr>
        <w:tabs>
          <w:tab w:val="num" w:pos="6480"/>
        </w:tabs>
        <w:ind w:left="6480" w:hanging="360"/>
      </w:pPr>
      <w:rPr>
        <w:rFonts w:ascii="Wingdings" w:hAnsi="Wingdings"/>
      </w:rPr>
    </w:lvl>
  </w:abstractNum>
  <w:abstractNum w:abstractNumId="558" w15:restartNumberingAfterBreak="0">
    <w:nsid w:val="722306F0"/>
    <w:multiLevelType w:val="hybridMultilevel"/>
    <w:tmpl w:val="722306F0"/>
    <w:lvl w:ilvl="0" w:tplc="53DCB466">
      <w:start w:val="1"/>
      <w:numFmt w:val="bullet"/>
      <w:lvlText w:val=""/>
      <w:lvlJc w:val="left"/>
      <w:pPr>
        <w:ind w:left="720" w:hanging="360"/>
      </w:pPr>
      <w:rPr>
        <w:rFonts w:ascii="Symbol" w:hAnsi="Symbol"/>
      </w:rPr>
    </w:lvl>
    <w:lvl w:ilvl="1" w:tplc="5E4037DA">
      <w:start w:val="1"/>
      <w:numFmt w:val="bullet"/>
      <w:lvlText w:val="o"/>
      <w:lvlJc w:val="left"/>
      <w:pPr>
        <w:tabs>
          <w:tab w:val="num" w:pos="1440"/>
        </w:tabs>
        <w:ind w:left="1440" w:hanging="360"/>
      </w:pPr>
      <w:rPr>
        <w:rFonts w:ascii="Courier New" w:hAnsi="Courier New"/>
      </w:rPr>
    </w:lvl>
    <w:lvl w:ilvl="2" w:tplc="22789F70">
      <w:start w:val="1"/>
      <w:numFmt w:val="bullet"/>
      <w:lvlText w:val=""/>
      <w:lvlJc w:val="left"/>
      <w:pPr>
        <w:tabs>
          <w:tab w:val="num" w:pos="2160"/>
        </w:tabs>
        <w:ind w:left="2160" w:hanging="360"/>
      </w:pPr>
      <w:rPr>
        <w:rFonts w:ascii="Wingdings" w:hAnsi="Wingdings"/>
      </w:rPr>
    </w:lvl>
    <w:lvl w:ilvl="3" w:tplc="F3F0DF44">
      <w:start w:val="1"/>
      <w:numFmt w:val="bullet"/>
      <w:lvlText w:val=""/>
      <w:lvlJc w:val="left"/>
      <w:pPr>
        <w:tabs>
          <w:tab w:val="num" w:pos="2880"/>
        </w:tabs>
        <w:ind w:left="2880" w:hanging="360"/>
      </w:pPr>
      <w:rPr>
        <w:rFonts w:ascii="Symbol" w:hAnsi="Symbol"/>
      </w:rPr>
    </w:lvl>
    <w:lvl w:ilvl="4" w:tplc="C35C137C">
      <w:start w:val="1"/>
      <w:numFmt w:val="bullet"/>
      <w:lvlText w:val="o"/>
      <w:lvlJc w:val="left"/>
      <w:pPr>
        <w:tabs>
          <w:tab w:val="num" w:pos="3600"/>
        </w:tabs>
        <w:ind w:left="3600" w:hanging="360"/>
      </w:pPr>
      <w:rPr>
        <w:rFonts w:ascii="Courier New" w:hAnsi="Courier New"/>
      </w:rPr>
    </w:lvl>
    <w:lvl w:ilvl="5" w:tplc="F7C26B90">
      <w:start w:val="1"/>
      <w:numFmt w:val="bullet"/>
      <w:lvlText w:val=""/>
      <w:lvlJc w:val="left"/>
      <w:pPr>
        <w:tabs>
          <w:tab w:val="num" w:pos="4320"/>
        </w:tabs>
        <w:ind w:left="4320" w:hanging="360"/>
      </w:pPr>
      <w:rPr>
        <w:rFonts w:ascii="Wingdings" w:hAnsi="Wingdings"/>
      </w:rPr>
    </w:lvl>
    <w:lvl w:ilvl="6" w:tplc="D2189B42">
      <w:start w:val="1"/>
      <w:numFmt w:val="bullet"/>
      <w:lvlText w:val=""/>
      <w:lvlJc w:val="left"/>
      <w:pPr>
        <w:tabs>
          <w:tab w:val="num" w:pos="5040"/>
        </w:tabs>
        <w:ind w:left="5040" w:hanging="360"/>
      </w:pPr>
      <w:rPr>
        <w:rFonts w:ascii="Symbol" w:hAnsi="Symbol"/>
      </w:rPr>
    </w:lvl>
    <w:lvl w:ilvl="7" w:tplc="AFBAF012">
      <w:start w:val="1"/>
      <w:numFmt w:val="bullet"/>
      <w:lvlText w:val="o"/>
      <w:lvlJc w:val="left"/>
      <w:pPr>
        <w:tabs>
          <w:tab w:val="num" w:pos="5760"/>
        </w:tabs>
        <w:ind w:left="5760" w:hanging="360"/>
      </w:pPr>
      <w:rPr>
        <w:rFonts w:ascii="Courier New" w:hAnsi="Courier New"/>
      </w:rPr>
    </w:lvl>
    <w:lvl w:ilvl="8" w:tplc="6B922FC2">
      <w:start w:val="1"/>
      <w:numFmt w:val="bullet"/>
      <w:lvlText w:val=""/>
      <w:lvlJc w:val="left"/>
      <w:pPr>
        <w:tabs>
          <w:tab w:val="num" w:pos="6480"/>
        </w:tabs>
        <w:ind w:left="6480" w:hanging="360"/>
      </w:pPr>
      <w:rPr>
        <w:rFonts w:ascii="Wingdings" w:hAnsi="Wingdings"/>
      </w:rPr>
    </w:lvl>
  </w:abstractNum>
  <w:abstractNum w:abstractNumId="559" w15:restartNumberingAfterBreak="0">
    <w:nsid w:val="722306F1"/>
    <w:multiLevelType w:val="hybridMultilevel"/>
    <w:tmpl w:val="722306F1"/>
    <w:lvl w:ilvl="0" w:tplc="D6DC4CFA">
      <w:start w:val="1"/>
      <w:numFmt w:val="bullet"/>
      <w:lvlText w:val=""/>
      <w:lvlJc w:val="left"/>
      <w:pPr>
        <w:ind w:left="720" w:hanging="360"/>
      </w:pPr>
      <w:rPr>
        <w:rFonts w:ascii="Symbol" w:hAnsi="Symbol"/>
      </w:rPr>
    </w:lvl>
    <w:lvl w:ilvl="1" w:tplc="A880AEAA">
      <w:start w:val="1"/>
      <w:numFmt w:val="bullet"/>
      <w:lvlText w:val="o"/>
      <w:lvlJc w:val="left"/>
      <w:pPr>
        <w:tabs>
          <w:tab w:val="num" w:pos="1440"/>
        </w:tabs>
        <w:ind w:left="1440" w:hanging="360"/>
      </w:pPr>
      <w:rPr>
        <w:rFonts w:ascii="Courier New" w:hAnsi="Courier New"/>
      </w:rPr>
    </w:lvl>
    <w:lvl w:ilvl="2" w:tplc="233C050A">
      <w:start w:val="1"/>
      <w:numFmt w:val="bullet"/>
      <w:lvlText w:val=""/>
      <w:lvlJc w:val="left"/>
      <w:pPr>
        <w:tabs>
          <w:tab w:val="num" w:pos="2160"/>
        </w:tabs>
        <w:ind w:left="2160" w:hanging="360"/>
      </w:pPr>
      <w:rPr>
        <w:rFonts w:ascii="Wingdings" w:hAnsi="Wingdings"/>
      </w:rPr>
    </w:lvl>
    <w:lvl w:ilvl="3" w:tplc="C85E3400">
      <w:start w:val="1"/>
      <w:numFmt w:val="bullet"/>
      <w:lvlText w:val=""/>
      <w:lvlJc w:val="left"/>
      <w:pPr>
        <w:tabs>
          <w:tab w:val="num" w:pos="2880"/>
        </w:tabs>
        <w:ind w:left="2880" w:hanging="360"/>
      </w:pPr>
      <w:rPr>
        <w:rFonts w:ascii="Symbol" w:hAnsi="Symbol"/>
      </w:rPr>
    </w:lvl>
    <w:lvl w:ilvl="4" w:tplc="6DE0C5D8">
      <w:start w:val="1"/>
      <w:numFmt w:val="bullet"/>
      <w:lvlText w:val="o"/>
      <w:lvlJc w:val="left"/>
      <w:pPr>
        <w:tabs>
          <w:tab w:val="num" w:pos="3600"/>
        </w:tabs>
        <w:ind w:left="3600" w:hanging="360"/>
      </w:pPr>
      <w:rPr>
        <w:rFonts w:ascii="Courier New" w:hAnsi="Courier New"/>
      </w:rPr>
    </w:lvl>
    <w:lvl w:ilvl="5" w:tplc="6786F636">
      <w:start w:val="1"/>
      <w:numFmt w:val="bullet"/>
      <w:lvlText w:val=""/>
      <w:lvlJc w:val="left"/>
      <w:pPr>
        <w:tabs>
          <w:tab w:val="num" w:pos="4320"/>
        </w:tabs>
        <w:ind w:left="4320" w:hanging="360"/>
      </w:pPr>
      <w:rPr>
        <w:rFonts w:ascii="Wingdings" w:hAnsi="Wingdings"/>
      </w:rPr>
    </w:lvl>
    <w:lvl w:ilvl="6" w:tplc="19E230F8">
      <w:start w:val="1"/>
      <w:numFmt w:val="bullet"/>
      <w:lvlText w:val=""/>
      <w:lvlJc w:val="left"/>
      <w:pPr>
        <w:tabs>
          <w:tab w:val="num" w:pos="5040"/>
        </w:tabs>
        <w:ind w:left="5040" w:hanging="360"/>
      </w:pPr>
      <w:rPr>
        <w:rFonts w:ascii="Symbol" w:hAnsi="Symbol"/>
      </w:rPr>
    </w:lvl>
    <w:lvl w:ilvl="7" w:tplc="20FEF254">
      <w:start w:val="1"/>
      <w:numFmt w:val="bullet"/>
      <w:lvlText w:val="o"/>
      <w:lvlJc w:val="left"/>
      <w:pPr>
        <w:tabs>
          <w:tab w:val="num" w:pos="5760"/>
        </w:tabs>
        <w:ind w:left="5760" w:hanging="360"/>
      </w:pPr>
      <w:rPr>
        <w:rFonts w:ascii="Courier New" w:hAnsi="Courier New"/>
      </w:rPr>
    </w:lvl>
    <w:lvl w:ilvl="8" w:tplc="3AFAEDE8">
      <w:start w:val="1"/>
      <w:numFmt w:val="bullet"/>
      <w:lvlText w:val=""/>
      <w:lvlJc w:val="left"/>
      <w:pPr>
        <w:tabs>
          <w:tab w:val="num" w:pos="6480"/>
        </w:tabs>
        <w:ind w:left="6480" w:hanging="360"/>
      </w:pPr>
      <w:rPr>
        <w:rFonts w:ascii="Wingdings" w:hAnsi="Wingdings"/>
      </w:rPr>
    </w:lvl>
  </w:abstractNum>
  <w:abstractNum w:abstractNumId="560" w15:restartNumberingAfterBreak="0">
    <w:nsid w:val="722306F2"/>
    <w:multiLevelType w:val="hybridMultilevel"/>
    <w:tmpl w:val="722306F2"/>
    <w:lvl w:ilvl="0" w:tplc="B4084884">
      <w:start w:val="1"/>
      <w:numFmt w:val="bullet"/>
      <w:lvlText w:val=""/>
      <w:lvlJc w:val="left"/>
      <w:pPr>
        <w:tabs>
          <w:tab w:val="num" w:pos="720"/>
        </w:tabs>
        <w:ind w:left="720" w:hanging="360"/>
      </w:pPr>
      <w:rPr>
        <w:rFonts w:ascii="Symbol" w:hAnsi="Symbol"/>
      </w:rPr>
    </w:lvl>
    <w:lvl w:ilvl="1" w:tplc="7C5E9E26">
      <w:start w:val="1"/>
      <w:numFmt w:val="bullet"/>
      <w:lvlText w:val="o"/>
      <w:lvlJc w:val="left"/>
      <w:pPr>
        <w:tabs>
          <w:tab w:val="num" w:pos="1440"/>
        </w:tabs>
        <w:ind w:left="1440" w:hanging="360"/>
      </w:pPr>
      <w:rPr>
        <w:rFonts w:ascii="Courier New" w:hAnsi="Courier New"/>
      </w:rPr>
    </w:lvl>
    <w:lvl w:ilvl="2" w:tplc="B6F09988">
      <w:start w:val="1"/>
      <w:numFmt w:val="bullet"/>
      <w:lvlText w:val=""/>
      <w:lvlJc w:val="left"/>
      <w:pPr>
        <w:tabs>
          <w:tab w:val="num" w:pos="2160"/>
        </w:tabs>
        <w:ind w:left="2160" w:hanging="360"/>
      </w:pPr>
      <w:rPr>
        <w:rFonts w:ascii="Wingdings" w:hAnsi="Wingdings"/>
      </w:rPr>
    </w:lvl>
    <w:lvl w:ilvl="3" w:tplc="9B7C7BD2">
      <w:start w:val="1"/>
      <w:numFmt w:val="bullet"/>
      <w:lvlText w:val=""/>
      <w:lvlJc w:val="left"/>
      <w:pPr>
        <w:tabs>
          <w:tab w:val="num" w:pos="2880"/>
        </w:tabs>
        <w:ind w:left="2880" w:hanging="360"/>
      </w:pPr>
      <w:rPr>
        <w:rFonts w:ascii="Symbol" w:hAnsi="Symbol"/>
      </w:rPr>
    </w:lvl>
    <w:lvl w:ilvl="4" w:tplc="BF5EE9F6">
      <w:start w:val="1"/>
      <w:numFmt w:val="bullet"/>
      <w:lvlText w:val="o"/>
      <w:lvlJc w:val="left"/>
      <w:pPr>
        <w:tabs>
          <w:tab w:val="num" w:pos="3600"/>
        </w:tabs>
        <w:ind w:left="3600" w:hanging="360"/>
      </w:pPr>
      <w:rPr>
        <w:rFonts w:ascii="Courier New" w:hAnsi="Courier New"/>
      </w:rPr>
    </w:lvl>
    <w:lvl w:ilvl="5" w:tplc="021A03B4">
      <w:start w:val="1"/>
      <w:numFmt w:val="bullet"/>
      <w:lvlText w:val=""/>
      <w:lvlJc w:val="left"/>
      <w:pPr>
        <w:tabs>
          <w:tab w:val="num" w:pos="4320"/>
        </w:tabs>
        <w:ind w:left="4320" w:hanging="360"/>
      </w:pPr>
      <w:rPr>
        <w:rFonts w:ascii="Wingdings" w:hAnsi="Wingdings"/>
      </w:rPr>
    </w:lvl>
    <w:lvl w:ilvl="6" w:tplc="5564679C">
      <w:start w:val="1"/>
      <w:numFmt w:val="bullet"/>
      <w:lvlText w:val=""/>
      <w:lvlJc w:val="left"/>
      <w:pPr>
        <w:tabs>
          <w:tab w:val="num" w:pos="5040"/>
        </w:tabs>
        <w:ind w:left="5040" w:hanging="360"/>
      </w:pPr>
      <w:rPr>
        <w:rFonts w:ascii="Symbol" w:hAnsi="Symbol"/>
      </w:rPr>
    </w:lvl>
    <w:lvl w:ilvl="7" w:tplc="480C498A">
      <w:start w:val="1"/>
      <w:numFmt w:val="bullet"/>
      <w:lvlText w:val="o"/>
      <w:lvlJc w:val="left"/>
      <w:pPr>
        <w:tabs>
          <w:tab w:val="num" w:pos="5760"/>
        </w:tabs>
        <w:ind w:left="5760" w:hanging="360"/>
      </w:pPr>
      <w:rPr>
        <w:rFonts w:ascii="Courier New" w:hAnsi="Courier New"/>
      </w:rPr>
    </w:lvl>
    <w:lvl w:ilvl="8" w:tplc="87CADB24">
      <w:start w:val="1"/>
      <w:numFmt w:val="bullet"/>
      <w:lvlText w:val=""/>
      <w:lvlJc w:val="left"/>
      <w:pPr>
        <w:tabs>
          <w:tab w:val="num" w:pos="6480"/>
        </w:tabs>
        <w:ind w:left="6480" w:hanging="360"/>
      </w:pPr>
      <w:rPr>
        <w:rFonts w:ascii="Wingdings" w:hAnsi="Wingdings"/>
      </w:rPr>
    </w:lvl>
  </w:abstractNum>
  <w:abstractNum w:abstractNumId="561" w15:restartNumberingAfterBreak="0">
    <w:nsid w:val="722306F3"/>
    <w:multiLevelType w:val="hybridMultilevel"/>
    <w:tmpl w:val="722306F3"/>
    <w:lvl w:ilvl="0" w:tplc="B312564C">
      <w:start w:val="1"/>
      <w:numFmt w:val="bullet"/>
      <w:lvlText w:val=""/>
      <w:lvlJc w:val="left"/>
      <w:pPr>
        <w:ind w:left="720" w:hanging="360"/>
      </w:pPr>
      <w:rPr>
        <w:rFonts w:ascii="Symbol" w:hAnsi="Symbol"/>
      </w:rPr>
    </w:lvl>
    <w:lvl w:ilvl="1" w:tplc="2AFA34D4">
      <w:start w:val="1"/>
      <w:numFmt w:val="bullet"/>
      <w:lvlText w:val="o"/>
      <w:lvlJc w:val="left"/>
      <w:pPr>
        <w:tabs>
          <w:tab w:val="num" w:pos="1440"/>
        </w:tabs>
        <w:ind w:left="1440" w:hanging="360"/>
      </w:pPr>
      <w:rPr>
        <w:rFonts w:ascii="Courier New" w:hAnsi="Courier New"/>
      </w:rPr>
    </w:lvl>
    <w:lvl w:ilvl="2" w:tplc="19344406">
      <w:start w:val="1"/>
      <w:numFmt w:val="bullet"/>
      <w:lvlText w:val=""/>
      <w:lvlJc w:val="left"/>
      <w:pPr>
        <w:tabs>
          <w:tab w:val="num" w:pos="2160"/>
        </w:tabs>
        <w:ind w:left="2160" w:hanging="360"/>
      </w:pPr>
      <w:rPr>
        <w:rFonts w:ascii="Wingdings" w:hAnsi="Wingdings"/>
      </w:rPr>
    </w:lvl>
    <w:lvl w:ilvl="3" w:tplc="17685C76">
      <w:start w:val="1"/>
      <w:numFmt w:val="bullet"/>
      <w:lvlText w:val=""/>
      <w:lvlJc w:val="left"/>
      <w:pPr>
        <w:tabs>
          <w:tab w:val="num" w:pos="2880"/>
        </w:tabs>
        <w:ind w:left="2880" w:hanging="360"/>
      </w:pPr>
      <w:rPr>
        <w:rFonts w:ascii="Symbol" w:hAnsi="Symbol"/>
      </w:rPr>
    </w:lvl>
    <w:lvl w:ilvl="4" w:tplc="8FF66BB8">
      <w:start w:val="1"/>
      <w:numFmt w:val="bullet"/>
      <w:lvlText w:val="o"/>
      <w:lvlJc w:val="left"/>
      <w:pPr>
        <w:tabs>
          <w:tab w:val="num" w:pos="3600"/>
        </w:tabs>
        <w:ind w:left="3600" w:hanging="360"/>
      </w:pPr>
      <w:rPr>
        <w:rFonts w:ascii="Courier New" w:hAnsi="Courier New"/>
      </w:rPr>
    </w:lvl>
    <w:lvl w:ilvl="5" w:tplc="089A483C">
      <w:start w:val="1"/>
      <w:numFmt w:val="bullet"/>
      <w:lvlText w:val=""/>
      <w:lvlJc w:val="left"/>
      <w:pPr>
        <w:tabs>
          <w:tab w:val="num" w:pos="4320"/>
        </w:tabs>
        <w:ind w:left="4320" w:hanging="360"/>
      </w:pPr>
      <w:rPr>
        <w:rFonts w:ascii="Wingdings" w:hAnsi="Wingdings"/>
      </w:rPr>
    </w:lvl>
    <w:lvl w:ilvl="6" w:tplc="804ED6FC">
      <w:start w:val="1"/>
      <w:numFmt w:val="bullet"/>
      <w:lvlText w:val=""/>
      <w:lvlJc w:val="left"/>
      <w:pPr>
        <w:tabs>
          <w:tab w:val="num" w:pos="5040"/>
        </w:tabs>
        <w:ind w:left="5040" w:hanging="360"/>
      </w:pPr>
      <w:rPr>
        <w:rFonts w:ascii="Symbol" w:hAnsi="Symbol"/>
      </w:rPr>
    </w:lvl>
    <w:lvl w:ilvl="7" w:tplc="09927590">
      <w:start w:val="1"/>
      <w:numFmt w:val="bullet"/>
      <w:lvlText w:val="o"/>
      <w:lvlJc w:val="left"/>
      <w:pPr>
        <w:tabs>
          <w:tab w:val="num" w:pos="5760"/>
        </w:tabs>
        <w:ind w:left="5760" w:hanging="360"/>
      </w:pPr>
      <w:rPr>
        <w:rFonts w:ascii="Courier New" w:hAnsi="Courier New"/>
      </w:rPr>
    </w:lvl>
    <w:lvl w:ilvl="8" w:tplc="A2065826">
      <w:start w:val="1"/>
      <w:numFmt w:val="bullet"/>
      <w:lvlText w:val=""/>
      <w:lvlJc w:val="left"/>
      <w:pPr>
        <w:tabs>
          <w:tab w:val="num" w:pos="6480"/>
        </w:tabs>
        <w:ind w:left="6480" w:hanging="360"/>
      </w:pPr>
      <w:rPr>
        <w:rFonts w:ascii="Wingdings" w:hAnsi="Wingdings"/>
      </w:rPr>
    </w:lvl>
  </w:abstractNum>
  <w:abstractNum w:abstractNumId="562" w15:restartNumberingAfterBreak="0">
    <w:nsid w:val="722306F4"/>
    <w:multiLevelType w:val="hybridMultilevel"/>
    <w:tmpl w:val="722306F4"/>
    <w:lvl w:ilvl="0" w:tplc="B218F0D0">
      <w:start w:val="1"/>
      <w:numFmt w:val="bullet"/>
      <w:lvlText w:val=""/>
      <w:lvlJc w:val="left"/>
      <w:pPr>
        <w:ind w:left="720" w:hanging="360"/>
      </w:pPr>
      <w:rPr>
        <w:rFonts w:ascii="Symbol" w:hAnsi="Symbol"/>
      </w:rPr>
    </w:lvl>
    <w:lvl w:ilvl="1" w:tplc="FE9C6AB0">
      <w:start w:val="1"/>
      <w:numFmt w:val="bullet"/>
      <w:lvlText w:val="o"/>
      <w:lvlJc w:val="left"/>
      <w:pPr>
        <w:tabs>
          <w:tab w:val="num" w:pos="1440"/>
        </w:tabs>
        <w:ind w:left="1440" w:hanging="360"/>
      </w:pPr>
      <w:rPr>
        <w:rFonts w:ascii="Courier New" w:hAnsi="Courier New"/>
      </w:rPr>
    </w:lvl>
    <w:lvl w:ilvl="2" w:tplc="7B0E326A">
      <w:start w:val="1"/>
      <w:numFmt w:val="bullet"/>
      <w:lvlText w:val=""/>
      <w:lvlJc w:val="left"/>
      <w:pPr>
        <w:tabs>
          <w:tab w:val="num" w:pos="2160"/>
        </w:tabs>
        <w:ind w:left="2160" w:hanging="360"/>
      </w:pPr>
      <w:rPr>
        <w:rFonts w:ascii="Wingdings" w:hAnsi="Wingdings"/>
      </w:rPr>
    </w:lvl>
    <w:lvl w:ilvl="3" w:tplc="76425B98">
      <w:start w:val="1"/>
      <w:numFmt w:val="bullet"/>
      <w:lvlText w:val=""/>
      <w:lvlJc w:val="left"/>
      <w:pPr>
        <w:tabs>
          <w:tab w:val="num" w:pos="2880"/>
        </w:tabs>
        <w:ind w:left="2880" w:hanging="360"/>
      </w:pPr>
      <w:rPr>
        <w:rFonts w:ascii="Symbol" w:hAnsi="Symbol"/>
      </w:rPr>
    </w:lvl>
    <w:lvl w:ilvl="4" w:tplc="5E568580">
      <w:start w:val="1"/>
      <w:numFmt w:val="bullet"/>
      <w:lvlText w:val="o"/>
      <w:lvlJc w:val="left"/>
      <w:pPr>
        <w:tabs>
          <w:tab w:val="num" w:pos="3600"/>
        </w:tabs>
        <w:ind w:left="3600" w:hanging="360"/>
      </w:pPr>
      <w:rPr>
        <w:rFonts w:ascii="Courier New" w:hAnsi="Courier New"/>
      </w:rPr>
    </w:lvl>
    <w:lvl w:ilvl="5" w:tplc="DEB418A4">
      <w:start w:val="1"/>
      <w:numFmt w:val="bullet"/>
      <w:lvlText w:val=""/>
      <w:lvlJc w:val="left"/>
      <w:pPr>
        <w:tabs>
          <w:tab w:val="num" w:pos="4320"/>
        </w:tabs>
        <w:ind w:left="4320" w:hanging="360"/>
      </w:pPr>
      <w:rPr>
        <w:rFonts w:ascii="Wingdings" w:hAnsi="Wingdings"/>
      </w:rPr>
    </w:lvl>
    <w:lvl w:ilvl="6" w:tplc="9FAADCFE">
      <w:start w:val="1"/>
      <w:numFmt w:val="bullet"/>
      <w:lvlText w:val=""/>
      <w:lvlJc w:val="left"/>
      <w:pPr>
        <w:tabs>
          <w:tab w:val="num" w:pos="5040"/>
        </w:tabs>
        <w:ind w:left="5040" w:hanging="360"/>
      </w:pPr>
      <w:rPr>
        <w:rFonts w:ascii="Symbol" w:hAnsi="Symbol"/>
      </w:rPr>
    </w:lvl>
    <w:lvl w:ilvl="7" w:tplc="9A5891CE">
      <w:start w:val="1"/>
      <w:numFmt w:val="bullet"/>
      <w:lvlText w:val="o"/>
      <w:lvlJc w:val="left"/>
      <w:pPr>
        <w:tabs>
          <w:tab w:val="num" w:pos="5760"/>
        </w:tabs>
        <w:ind w:left="5760" w:hanging="360"/>
      </w:pPr>
      <w:rPr>
        <w:rFonts w:ascii="Courier New" w:hAnsi="Courier New"/>
      </w:rPr>
    </w:lvl>
    <w:lvl w:ilvl="8" w:tplc="10167868">
      <w:start w:val="1"/>
      <w:numFmt w:val="bullet"/>
      <w:lvlText w:val=""/>
      <w:lvlJc w:val="left"/>
      <w:pPr>
        <w:tabs>
          <w:tab w:val="num" w:pos="6480"/>
        </w:tabs>
        <w:ind w:left="6480" w:hanging="360"/>
      </w:pPr>
      <w:rPr>
        <w:rFonts w:ascii="Wingdings" w:hAnsi="Wingdings"/>
      </w:rPr>
    </w:lvl>
  </w:abstractNum>
  <w:abstractNum w:abstractNumId="563" w15:restartNumberingAfterBreak="0">
    <w:nsid w:val="722306F5"/>
    <w:multiLevelType w:val="multilevel"/>
    <w:tmpl w:val="722306F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4" w15:restartNumberingAfterBreak="0">
    <w:nsid w:val="722306F6"/>
    <w:multiLevelType w:val="multilevel"/>
    <w:tmpl w:val="722306F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5" w15:restartNumberingAfterBreak="0">
    <w:nsid w:val="722306F7"/>
    <w:multiLevelType w:val="multilevel"/>
    <w:tmpl w:val="722306F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6" w15:restartNumberingAfterBreak="0">
    <w:nsid w:val="722306F8"/>
    <w:multiLevelType w:val="multilevel"/>
    <w:tmpl w:val="722306F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7" w15:restartNumberingAfterBreak="0">
    <w:nsid w:val="722306F9"/>
    <w:multiLevelType w:val="hybridMultilevel"/>
    <w:tmpl w:val="722306F9"/>
    <w:lvl w:ilvl="0" w:tplc="21D404DE">
      <w:start w:val="1"/>
      <w:numFmt w:val="bullet"/>
      <w:lvlText w:val=""/>
      <w:lvlJc w:val="left"/>
      <w:pPr>
        <w:tabs>
          <w:tab w:val="num" w:pos="720"/>
        </w:tabs>
        <w:ind w:left="720" w:hanging="360"/>
      </w:pPr>
      <w:rPr>
        <w:rFonts w:ascii="Symbol" w:hAnsi="Symbol"/>
      </w:rPr>
    </w:lvl>
    <w:lvl w:ilvl="1" w:tplc="342E2CF6">
      <w:start w:val="1"/>
      <w:numFmt w:val="bullet"/>
      <w:lvlText w:val="o"/>
      <w:lvlJc w:val="left"/>
      <w:pPr>
        <w:tabs>
          <w:tab w:val="num" w:pos="1440"/>
        </w:tabs>
        <w:ind w:left="1440" w:hanging="360"/>
      </w:pPr>
      <w:rPr>
        <w:rFonts w:ascii="Courier New" w:hAnsi="Courier New"/>
      </w:rPr>
    </w:lvl>
    <w:lvl w:ilvl="2" w:tplc="68040188">
      <w:start w:val="1"/>
      <w:numFmt w:val="bullet"/>
      <w:lvlText w:val=""/>
      <w:lvlJc w:val="left"/>
      <w:pPr>
        <w:tabs>
          <w:tab w:val="num" w:pos="2160"/>
        </w:tabs>
        <w:ind w:left="2160" w:hanging="360"/>
      </w:pPr>
      <w:rPr>
        <w:rFonts w:ascii="Wingdings" w:hAnsi="Wingdings"/>
      </w:rPr>
    </w:lvl>
    <w:lvl w:ilvl="3" w:tplc="2822EF62">
      <w:start w:val="1"/>
      <w:numFmt w:val="bullet"/>
      <w:lvlText w:val=""/>
      <w:lvlJc w:val="left"/>
      <w:pPr>
        <w:tabs>
          <w:tab w:val="num" w:pos="2880"/>
        </w:tabs>
        <w:ind w:left="2880" w:hanging="360"/>
      </w:pPr>
      <w:rPr>
        <w:rFonts w:ascii="Symbol" w:hAnsi="Symbol"/>
      </w:rPr>
    </w:lvl>
    <w:lvl w:ilvl="4" w:tplc="1C6E0572">
      <w:start w:val="1"/>
      <w:numFmt w:val="bullet"/>
      <w:lvlText w:val="o"/>
      <w:lvlJc w:val="left"/>
      <w:pPr>
        <w:tabs>
          <w:tab w:val="num" w:pos="3600"/>
        </w:tabs>
        <w:ind w:left="3600" w:hanging="360"/>
      </w:pPr>
      <w:rPr>
        <w:rFonts w:ascii="Courier New" w:hAnsi="Courier New"/>
      </w:rPr>
    </w:lvl>
    <w:lvl w:ilvl="5" w:tplc="22FC8B42">
      <w:start w:val="1"/>
      <w:numFmt w:val="bullet"/>
      <w:lvlText w:val=""/>
      <w:lvlJc w:val="left"/>
      <w:pPr>
        <w:tabs>
          <w:tab w:val="num" w:pos="4320"/>
        </w:tabs>
        <w:ind w:left="4320" w:hanging="360"/>
      </w:pPr>
      <w:rPr>
        <w:rFonts w:ascii="Wingdings" w:hAnsi="Wingdings"/>
      </w:rPr>
    </w:lvl>
    <w:lvl w:ilvl="6" w:tplc="DB420F0E">
      <w:start w:val="1"/>
      <w:numFmt w:val="bullet"/>
      <w:lvlText w:val=""/>
      <w:lvlJc w:val="left"/>
      <w:pPr>
        <w:tabs>
          <w:tab w:val="num" w:pos="5040"/>
        </w:tabs>
        <w:ind w:left="5040" w:hanging="360"/>
      </w:pPr>
      <w:rPr>
        <w:rFonts w:ascii="Symbol" w:hAnsi="Symbol"/>
      </w:rPr>
    </w:lvl>
    <w:lvl w:ilvl="7" w:tplc="E1D40D40">
      <w:start w:val="1"/>
      <w:numFmt w:val="bullet"/>
      <w:lvlText w:val="o"/>
      <w:lvlJc w:val="left"/>
      <w:pPr>
        <w:tabs>
          <w:tab w:val="num" w:pos="5760"/>
        </w:tabs>
        <w:ind w:left="5760" w:hanging="360"/>
      </w:pPr>
      <w:rPr>
        <w:rFonts w:ascii="Courier New" w:hAnsi="Courier New"/>
      </w:rPr>
    </w:lvl>
    <w:lvl w:ilvl="8" w:tplc="CCAC6430">
      <w:start w:val="1"/>
      <w:numFmt w:val="bullet"/>
      <w:lvlText w:val=""/>
      <w:lvlJc w:val="left"/>
      <w:pPr>
        <w:tabs>
          <w:tab w:val="num" w:pos="6480"/>
        </w:tabs>
        <w:ind w:left="6480" w:hanging="360"/>
      </w:pPr>
      <w:rPr>
        <w:rFonts w:ascii="Wingdings" w:hAnsi="Wingdings"/>
      </w:rPr>
    </w:lvl>
  </w:abstractNum>
  <w:abstractNum w:abstractNumId="568" w15:restartNumberingAfterBreak="0">
    <w:nsid w:val="722306FA"/>
    <w:multiLevelType w:val="hybridMultilevel"/>
    <w:tmpl w:val="722306FA"/>
    <w:lvl w:ilvl="0" w:tplc="978C53D0">
      <w:start w:val="1"/>
      <w:numFmt w:val="bullet"/>
      <w:lvlText w:val=""/>
      <w:lvlJc w:val="left"/>
      <w:pPr>
        <w:ind w:left="720" w:hanging="360"/>
      </w:pPr>
      <w:rPr>
        <w:rFonts w:ascii="Symbol" w:hAnsi="Symbol"/>
      </w:rPr>
    </w:lvl>
    <w:lvl w:ilvl="1" w:tplc="D78EDA98">
      <w:start w:val="1"/>
      <w:numFmt w:val="bullet"/>
      <w:lvlText w:val="o"/>
      <w:lvlJc w:val="left"/>
      <w:pPr>
        <w:ind w:left="1440" w:hanging="360"/>
      </w:pPr>
      <w:rPr>
        <w:rFonts w:ascii="Courier New" w:hAnsi="Courier New"/>
      </w:rPr>
    </w:lvl>
    <w:lvl w:ilvl="2" w:tplc="AE3E0438">
      <w:start w:val="1"/>
      <w:numFmt w:val="bullet"/>
      <w:lvlText w:val=""/>
      <w:lvlJc w:val="left"/>
      <w:pPr>
        <w:tabs>
          <w:tab w:val="num" w:pos="2160"/>
        </w:tabs>
        <w:ind w:left="2160" w:hanging="360"/>
      </w:pPr>
      <w:rPr>
        <w:rFonts w:ascii="Wingdings" w:hAnsi="Wingdings"/>
      </w:rPr>
    </w:lvl>
    <w:lvl w:ilvl="3" w:tplc="3C4C9EEE">
      <w:start w:val="1"/>
      <w:numFmt w:val="bullet"/>
      <w:lvlText w:val=""/>
      <w:lvlJc w:val="left"/>
      <w:pPr>
        <w:tabs>
          <w:tab w:val="num" w:pos="2880"/>
        </w:tabs>
        <w:ind w:left="2880" w:hanging="360"/>
      </w:pPr>
      <w:rPr>
        <w:rFonts w:ascii="Symbol" w:hAnsi="Symbol"/>
      </w:rPr>
    </w:lvl>
    <w:lvl w:ilvl="4" w:tplc="868E57AE">
      <w:start w:val="1"/>
      <w:numFmt w:val="bullet"/>
      <w:lvlText w:val="o"/>
      <w:lvlJc w:val="left"/>
      <w:pPr>
        <w:tabs>
          <w:tab w:val="num" w:pos="3600"/>
        </w:tabs>
        <w:ind w:left="3600" w:hanging="360"/>
      </w:pPr>
      <w:rPr>
        <w:rFonts w:ascii="Courier New" w:hAnsi="Courier New"/>
      </w:rPr>
    </w:lvl>
    <w:lvl w:ilvl="5" w:tplc="1D826A02">
      <w:start w:val="1"/>
      <w:numFmt w:val="bullet"/>
      <w:lvlText w:val=""/>
      <w:lvlJc w:val="left"/>
      <w:pPr>
        <w:tabs>
          <w:tab w:val="num" w:pos="4320"/>
        </w:tabs>
        <w:ind w:left="4320" w:hanging="360"/>
      </w:pPr>
      <w:rPr>
        <w:rFonts w:ascii="Wingdings" w:hAnsi="Wingdings"/>
      </w:rPr>
    </w:lvl>
    <w:lvl w:ilvl="6" w:tplc="53BA99C4">
      <w:start w:val="1"/>
      <w:numFmt w:val="bullet"/>
      <w:lvlText w:val=""/>
      <w:lvlJc w:val="left"/>
      <w:pPr>
        <w:tabs>
          <w:tab w:val="num" w:pos="5040"/>
        </w:tabs>
        <w:ind w:left="5040" w:hanging="360"/>
      </w:pPr>
      <w:rPr>
        <w:rFonts w:ascii="Symbol" w:hAnsi="Symbol"/>
      </w:rPr>
    </w:lvl>
    <w:lvl w:ilvl="7" w:tplc="7290799E">
      <w:start w:val="1"/>
      <w:numFmt w:val="bullet"/>
      <w:lvlText w:val="o"/>
      <w:lvlJc w:val="left"/>
      <w:pPr>
        <w:tabs>
          <w:tab w:val="num" w:pos="5760"/>
        </w:tabs>
        <w:ind w:left="5760" w:hanging="360"/>
      </w:pPr>
      <w:rPr>
        <w:rFonts w:ascii="Courier New" w:hAnsi="Courier New"/>
      </w:rPr>
    </w:lvl>
    <w:lvl w:ilvl="8" w:tplc="3E2CA740">
      <w:start w:val="1"/>
      <w:numFmt w:val="bullet"/>
      <w:lvlText w:val=""/>
      <w:lvlJc w:val="left"/>
      <w:pPr>
        <w:tabs>
          <w:tab w:val="num" w:pos="6480"/>
        </w:tabs>
        <w:ind w:left="6480" w:hanging="360"/>
      </w:pPr>
      <w:rPr>
        <w:rFonts w:ascii="Wingdings" w:hAnsi="Wingdings"/>
      </w:rPr>
    </w:lvl>
  </w:abstractNum>
  <w:abstractNum w:abstractNumId="569" w15:restartNumberingAfterBreak="0">
    <w:nsid w:val="722306FB"/>
    <w:multiLevelType w:val="hybridMultilevel"/>
    <w:tmpl w:val="722306FB"/>
    <w:lvl w:ilvl="0" w:tplc="4E2EC0A0">
      <w:start w:val="1"/>
      <w:numFmt w:val="bullet"/>
      <w:lvlText w:val=""/>
      <w:lvlJc w:val="left"/>
      <w:pPr>
        <w:ind w:left="720" w:hanging="360"/>
      </w:pPr>
      <w:rPr>
        <w:rFonts w:ascii="Symbol" w:hAnsi="Symbol"/>
      </w:rPr>
    </w:lvl>
    <w:lvl w:ilvl="1" w:tplc="3594EAA4">
      <w:start w:val="1"/>
      <w:numFmt w:val="bullet"/>
      <w:lvlText w:val="o"/>
      <w:lvlJc w:val="left"/>
      <w:pPr>
        <w:ind w:left="1440" w:hanging="360"/>
      </w:pPr>
      <w:rPr>
        <w:rFonts w:ascii="Courier New" w:hAnsi="Courier New"/>
      </w:rPr>
    </w:lvl>
    <w:lvl w:ilvl="2" w:tplc="22961788">
      <w:start w:val="1"/>
      <w:numFmt w:val="bullet"/>
      <w:lvlText w:val=""/>
      <w:lvlJc w:val="left"/>
      <w:pPr>
        <w:tabs>
          <w:tab w:val="num" w:pos="2160"/>
        </w:tabs>
        <w:ind w:left="2160" w:hanging="360"/>
      </w:pPr>
      <w:rPr>
        <w:rFonts w:ascii="Wingdings" w:hAnsi="Wingdings"/>
      </w:rPr>
    </w:lvl>
    <w:lvl w:ilvl="3" w:tplc="33BAE184">
      <w:start w:val="1"/>
      <w:numFmt w:val="bullet"/>
      <w:lvlText w:val=""/>
      <w:lvlJc w:val="left"/>
      <w:pPr>
        <w:tabs>
          <w:tab w:val="num" w:pos="2880"/>
        </w:tabs>
        <w:ind w:left="2880" w:hanging="360"/>
      </w:pPr>
      <w:rPr>
        <w:rFonts w:ascii="Symbol" w:hAnsi="Symbol"/>
      </w:rPr>
    </w:lvl>
    <w:lvl w:ilvl="4" w:tplc="0DEC9BB0">
      <w:start w:val="1"/>
      <w:numFmt w:val="bullet"/>
      <w:lvlText w:val="o"/>
      <w:lvlJc w:val="left"/>
      <w:pPr>
        <w:tabs>
          <w:tab w:val="num" w:pos="3600"/>
        </w:tabs>
        <w:ind w:left="3600" w:hanging="360"/>
      </w:pPr>
      <w:rPr>
        <w:rFonts w:ascii="Courier New" w:hAnsi="Courier New"/>
      </w:rPr>
    </w:lvl>
    <w:lvl w:ilvl="5" w:tplc="5E6004FC">
      <w:start w:val="1"/>
      <w:numFmt w:val="bullet"/>
      <w:lvlText w:val=""/>
      <w:lvlJc w:val="left"/>
      <w:pPr>
        <w:tabs>
          <w:tab w:val="num" w:pos="4320"/>
        </w:tabs>
        <w:ind w:left="4320" w:hanging="360"/>
      </w:pPr>
      <w:rPr>
        <w:rFonts w:ascii="Wingdings" w:hAnsi="Wingdings"/>
      </w:rPr>
    </w:lvl>
    <w:lvl w:ilvl="6" w:tplc="A5A06AD6">
      <w:start w:val="1"/>
      <w:numFmt w:val="bullet"/>
      <w:lvlText w:val=""/>
      <w:lvlJc w:val="left"/>
      <w:pPr>
        <w:tabs>
          <w:tab w:val="num" w:pos="5040"/>
        </w:tabs>
        <w:ind w:left="5040" w:hanging="360"/>
      </w:pPr>
      <w:rPr>
        <w:rFonts w:ascii="Symbol" w:hAnsi="Symbol"/>
      </w:rPr>
    </w:lvl>
    <w:lvl w:ilvl="7" w:tplc="1C5A0698">
      <w:start w:val="1"/>
      <w:numFmt w:val="bullet"/>
      <w:lvlText w:val="o"/>
      <w:lvlJc w:val="left"/>
      <w:pPr>
        <w:tabs>
          <w:tab w:val="num" w:pos="5760"/>
        </w:tabs>
        <w:ind w:left="5760" w:hanging="360"/>
      </w:pPr>
      <w:rPr>
        <w:rFonts w:ascii="Courier New" w:hAnsi="Courier New"/>
      </w:rPr>
    </w:lvl>
    <w:lvl w:ilvl="8" w:tplc="6366C356">
      <w:start w:val="1"/>
      <w:numFmt w:val="bullet"/>
      <w:lvlText w:val=""/>
      <w:lvlJc w:val="left"/>
      <w:pPr>
        <w:tabs>
          <w:tab w:val="num" w:pos="6480"/>
        </w:tabs>
        <w:ind w:left="6480" w:hanging="360"/>
      </w:pPr>
      <w:rPr>
        <w:rFonts w:ascii="Wingdings" w:hAnsi="Wingdings"/>
      </w:rPr>
    </w:lvl>
  </w:abstractNum>
  <w:abstractNum w:abstractNumId="570" w15:restartNumberingAfterBreak="0">
    <w:nsid w:val="722306FC"/>
    <w:multiLevelType w:val="hybridMultilevel"/>
    <w:tmpl w:val="722306FC"/>
    <w:lvl w:ilvl="0" w:tplc="B08A374C">
      <w:start w:val="1"/>
      <w:numFmt w:val="bullet"/>
      <w:lvlText w:val=""/>
      <w:lvlJc w:val="left"/>
      <w:pPr>
        <w:ind w:left="720" w:hanging="360"/>
      </w:pPr>
      <w:rPr>
        <w:rFonts w:ascii="Symbol" w:hAnsi="Symbol"/>
      </w:rPr>
    </w:lvl>
    <w:lvl w:ilvl="1" w:tplc="BB6CBD8A">
      <w:start w:val="1"/>
      <w:numFmt w:val="bullet"/>
      <w:lvlText w:val="o"/>
      <w:lvlJc w:val="left"/>
      <w:pPr>
        <w:tabs>
          <w:tab w:val="num" w:pos="1440"/>
        </w:tabs>
        <w:ind w:left="1440" w:hanging="360"/>
      </w:pPr>
      <w:rPr>
        <w:rFonts w:ascii="Courier New" w:hAnsi="Courier New"/>
      </w:rPr>
    </w:lvl>
    <w:lvl w:ilvl="2" w:tplc="CBB68470">
      <w:start w:val="1"/>
      <w:numFmt w:val="bullet"/>
      <w:lvlText w:val=""/>
      <w:lvlJc w:val="left"/>
      <w:pPr>
        <w:tabs>
          <w:tab w:val="num" w:pos="2160"/>
        </w:tabs>
        <w:ind w:left="2160" w:hanging="360"/>
      </w:pPr>
      <w:rPr>
        <w:rFonts w:ascii="Wingdings" w:hAnsi="Wingdings"/>
      </w:rPr>
    </w:lvl>
    <w:lvl w:ilvl="3" w:tplc="30A23556">
      <w:start w:val="1"/>
      <w:numFmt w:val="bullet"/>
      <w:lvlText w:val=""/>
      <w:lvlJc w:val="left"/>
      <w:pPr>
        <w:tabs>
          <w:tab w:val="num" w:pos="2880"/>
        </w:tabs>
        <w:ind w:left="2880" w:hanging="360"/>
      </w:pPr>
      <w:rPr>
        <w:rFonts w:ascii="Symbol" w:hAnsi="Symbol"/>
      </w:rPr>
    </w:lvl>
    <w:lvl w:ilvl="4" w:tplc="778A7458">
      <w:start w:val="1"/>
      <w:numFmt w:val="bullet"/>
      <w:lvlText w:val="o"/>
      <w:lvlJc w:val="left"/>
      <w:pPr>
        <w:tabs>
          <w:tab w:val="num" w:pos="3600"/>
        </w:tabs>
        <w:ind w:left="3600" w:hanging="360"/>
      </w:pPr>
      <w:rPr>
        <w:rFonts w:ascii="Courier New" w:hAnsi="Courier New"/>
      </w:rPr>
    </w:lvl>
    <w:lvl w:ilvl="5" w:tplc="C5CE1B02">
      <w:start w:val="1"/>
      <w:numFmt w:val="bullet"/>
      <w:lvlText w:val=""/>
      <w:lvlJc w:val="left"/>
      <w:pPr>
        <w:tabs>
          <w:tab w:val="num" w:pos="4320"/>
        </w:tabs>
        <w:ind w:left="4320" w:hanging="360"/>
      </w:pPr>
      <w:rPr>
        <w:rFonts w:ascii="Wingdings" w:hAnsi="Wingdings"/>
      </w:rPr>
    </w:lvl>
    <w:lvl w:ilvl="6" w:tplc="966AE5A2">
      <w:start w:val="1"/>
      <w:numFmt w:val="bullet"/>
      <w:lvlText w:val=""/>
      <w:lvlJc w:val="left"/>
      <w:pPr>
        <w:tabs>
          <w:tab w:val="num" w:pos="5040"/>
        </w:tabs>
        <w:ind w:left="5040" w:hanging="360"/>
      </w:pPr>
      <w:rPr>
        <w:rFonts w:ascii="Symbol" w:hAnsi="Symbol"/>
      </w:rPr>
    </w:lvl>
    <w:lvl w:ilvl="7" w:tplc="F69EA41E">
      <w:start w:val="1"/>
      <w:numFmt w:val="bullet"/>
      <w:lvlText w:val="o"/>
      <w:lvlJc w:val="left"/>
      <w:pPr>
        <w:tabs>
          <w:tab w:val="num" w:pos="5760"/>
        </w:tabs>
        <w:ind w:left="5760" w:hanging="360"/>
      </w:pPr>
      <w:rPr>
        <w:rFonts w:ascii="Courier New" w:hAnsi="Courier New"/>
      </w:rPr>
    </w:lvl>
    <w:lvl w:ilvl="8" w:tplc="ABB866CA">
      <w:start w:val="1"/>
      <w:numFmt w:val="bullet"/>
      <w:lvlText w:val=""/>
      <w:lvlJc w:val="left"/>
      <w:pPr>
        <w:tabs>
          <w:tab w:val="num" w:pos="6480"/>
        </w:tabs>
        <w:ind w:left="6480" w:hanging="360"/>
      </w:pPr>
      <w:rPr>
        <w:rFonts w:ascii="Wingdings" w:hAnsi="Wingdings"/>
      </w:rPr>
    </w:lvl>
  </w:abstractNum>
  <w:abstractNum w:abstractNumId="571" w15:restartNumberingAfterBreak="0">
    <w:nsid w:val="722306FD"/>
    <w:multiLevelType w:val="hybridMultilevel"/>
    <w:tmpl w:val="722306FD"/>
    <w:lvl w:ilvl="0" w:tplc="4AB2F3DE">
      <w:start w:val="1"/>
      <w:numFmt w:val="bullet"/>
      <w:lvlText w:val=""/>
      <w:lvlJc w:val="left"/>
      <w:pPr>
        <w:ind w:left="720" w:hanging="360"/>
      </w:pPr>
      <w:rPr>
        <w:rFonts w:ascii="Symbol" w:hAnsi="Symbol"/>
      </w:rPr>
    </w:lvl>
    <w:lvl w:ilvl="1" w:tplc="2206969A">
      <w:start w:val="1"/>
      <w:numFmt w:val="bullet"/>
      <w:lvlText w:val="o"/>
      <w:lvlJc w:val="left"/>
      <w:pPr>
        <w:tabs>
          <w:tab w:val="num" w:pos="1440"/>
        </w:tabs>
        <w:ind w:left="1440" w:hanging="360"/>
      </w:pPr>
      <w:rPr>
        <w:rFonts w:ascii="Courier New" w:hAnsi="Courier New"/>
      </w:rPr>
    </w:lvl>
    <w:lvl w:ilvl="2" w:tplc="1A36FEC4">
      <w:start w:val="1"/>
      <w:numFmt w:val="bullet"/>
      <w:lvlText w:val=""/>
      <w:lvlJc w:val="left"/>
      <w:pPr>
        <w:tabs>
          <w:tab w:val="num" w:pos="2160"/>
        </w:tabs>
        <w:ind w:left="2160" w:hanging="360"/>
      </w:pPr>
      <w:rPr>
        <w:rFonts w:ascii="Wingdings" w:hAnsi="Wingdings"/>
      </w:rPr>
    </w:lvl>
    <w:lvl w:ilvl="3" w:tplc="2A148F0A">
      <w:start w:val="1"/>
      <w:numFmt w:val="bullet"/>
      <w:lvlText w:val=""/>
      <w:lvlJc w:val="left"/>
      <w:pPr>
        <w:tabs>
          <w:tab w:val="num" w:pos="2880"/>
        </w:tabs>
        <w:ind w:left="2880" w:hanging="360"/>
      </w:pPr>
      <w:rPr>
        <w:rFonts w:ascii="Symbol" w:hAnsi="Symbol"/>
      </w:rPr>
    </w:lvl>
    <w:lvl w:ilvl="4" w:tplc="E1D8C96A">
      <w:start w:val="1"/>
      <w:numFmt w:val="bullet"/>
      <w:lvlText w:val="o"/>
      <w:lvlJc w:val="left"/>
      <w:pPr>
        <w:tabs>
          <w:tab w:val="num" w:pos="3600"/>
        </w:tabs>
        <w:ind w:left="3600" w:hanging="360"/>
      </w:pPr>
      <w:rPr>
        <w:rFonts w:ascii="Courier New" w:hAnsi="Courier New"/>
      </w:rPr>
    </w:lvl>
    <w:lvl w:ilvl="5" w:tplc="91EA3F30">
      <w:start w:val="1"/>
      <w:numFmt w:val="bullet"/>
      <w:lvlText w:val=""/>
      <w:lvlJc w:val="left"/>
      <w:pPr>
        <w:tabs>
          <w:tab w:val="num" w:pos="4320"/>
        </w:tabs>
        <w:ind w:left="4320" w:hanging="360"/>
      </w:pPr>
      <w:rPr>
        <w:rFonts w:ascii="Wingdings" w:hAnsi="Wingdings"/>
      </w:rPr>
    </w:lvl>
    <w:lvl w:ilvl="6" w:tplc="6024D63A">
      <w:start w:val="1"/>
      <w:numFmt w:val="bullet"/>
      <w:lvlText w:val=""/>
      <w:lvlJc w:val="left"/>
      <w:pPr>
        <w:tabs>
          <w:tab w:val="num" w:pos="5040"/>
        </w:tabs>
        <w:ind w:left="5040" w:hanging="360"/>
      </w:pPr>
      <w:rPr>
        <w:rFonts w:ascii="Symbol" w:hAnsi="Symbol"/>
      </w:rPr>
    </w:lvl>
    <w:lvl w:ilvl="7" w:tplc="004821EC">
      <w:start w:val="1"/>
      <w:numFmt w:val="bullet"/>
      <w:lvlText w:val="o"/>
      <w:lvlJc w:val="left"/>
      <w:pPr>
        <w:tabs>
          <w:tab w:val="num" w:pos="5760"/>
        </w:tabs>
        <w:ind w:left="5760" w:hanging="360"/>
      </w:pPr>
      <w:rPr>
        <w:rFonts w:ascii="Courier New" w:hAnsi="Courier New"/>
      </w:rPr>
    </w:lvl>
    <w:lvl w:ilvl="8" w:tplc="E1425C8C">
      <w:start w:val="1"/>
      <w:numFmt w:val="bullet"/>
      <w:lvlText w:val=""/>
      <w:lvlJc w:val="left"/>
      <w:pPr>
        <w:tabs>
          <w:tab w:val="num" w:pos="6480"/>
        </w:tabs>
        <w:ind w:left="6480" w:hanging="360"/>
      </w:pPr>
      <w:rPr>
        <w:rFonts w:ascii="Wingdings" w:hAnsi="Wingdings"/>
      </w:rPr>
    </w:lvl>
  </w:abstractNum>
  <w:abstractNum w:abstractNumId="572" w15:restartNumberingAfterBreak="0">
    <w:nsid w:val="722306FE"/>
    <w:multiLevelType w:val="hybridMultilevel"/>
    <w:tmpl w:val="722306FE"/>
    <w:lvl w:ilvl="0" w:tplc="7034E524">
      <w:start w:val="1"/>
      <w:numFmt w:val="bullet"/>
      <w:lvlText w:val=""/>
      <w:lvlJc w:val="left"/>
      <w:pPr>
        <w:ind w:left="720" w:hanging="360"/>
      </w:pPr>
      <w:rPr>
        <w:rFonts w:ascii="Symbol" w:hAnsi="Symbol"/>
      </w:rPr>
    </w:lvl>
    <w:lvl w:ilvl="1" w:tplc="4C98B2A8">
      <w:start w:val="1"/>
      <w:numFmt w:val="bullet"/>
      <w:lvlText w:val="o"/>
      <w:lvlJc w:val="left"/>
      <w:pPr>
        <w:ind w:left="1440" w:hanging="360"/>
      </w:pPr>
      <w:rPr>
        <w:rFonts w:ascii="Courier New" w:hAnsi="Courier New"/>
      </w:rPr>
    </w:lvl>
    <w:lvl w:ilvl="2" w:tplc="88800124">
      <w:start w:val="1"/>
      <w:numFmt w:val="bullet"/>
      <w:lvlText w:val=""/>
      <w:lvlJc w:val="left"/>
      <w:pPr>
        <w:tabs>
          <w:tab w:val="num" w:pos="2160"/>
        </w:tabs>
        <w:ind w:left="2160" w:hanging="360"/>
      </w:pPr>
      <w:rPr>
        <w:rFonts w:ascii="Wingdings" w:hAnsi="Wingdings"/>
      </w:rPr>
    </w:lvl>
    <w:lvl w:ilvl="3" w:tplc="00EC9B54">
      <w:start w:val="1"/>
      <w:numFmt w:val="bullet"/>
      <w:lvlText w:val=""/>
      <w:lvlJc w:val="left"/>
      <w:pPr>
        <w:tabs>
          <w:tab w:val="num" w:pos="2880"/>
        </w:tabs>
        <w:ind w:left="2880" w:hanging="360"/>
      </w:pPr>
      <w:rPr>
        <w:rFonts w:ascii="Symbol" w:hAnsi="Symbol"/>
      </w:rPr>
    </w:lvl>
    <w:lvl w:ilvl="4" w:tplc="4FD2AE66">
      <w:start w:val="1"/>
      <w:numFmt w:val="bullet"/>
      <w:lvlText w:val="o"/>
      <w:lvlJc w:val="left"/>
      <w:pPr>
        <w:tabs>
          <w:tab w:val="num" w:pos="3600"/>
        </w:tabs>
        <w:ind w:left="3600" w:hanging="360"/>
      </w:pPr>
      <w:rPr>
        <w:rFonts w:ascii="Courier New" w:hAnsi="Courier New"/>
      </w:rPr>
    </w:lvl>
    <w:lvl w:ilvl="5" w:tplc="1ED65242">
      <w:start w:val="1"/>
      <w:numFmt w:val="bullet"/>
      <w:lvlText w:val=""/>
      <w:lvlJc w:val="left"/>
      <w:pPr>
        <w:tabs>
          <w:tab w:val="num" w:pos="4320"/>
        </w:tabs>
        <w:ind w:left="4320" w:hanging="360"/>
      </w:pPr>
      <w:rPr>
        <w:rFonts w:ascii="Wingdings" w:hAnsi="Wingdings"/>
      </w:rPr>
    </w:lvl>
    <w:lvl w:ilvl="6" w:tplc="1E0047E2">
      <w:start w:val="1"/>
      <w:numFmt w:val="bullet"/>
      <w:lvlText w:val=""/>
      <w:lvlJc w:val="left"/>
      <w:pPr>
        <w:tabs>
          <w:tab w:val="num" w:pos="5040"/>
        </w:tabs>
        <w:ind w:left="5040" w:hanging="360"/>
      </w:pPr>
      <w:rPr>
        <w:rFonts w:ascii="Symbol" w:hAnsi="Symbol"/>
      </w:rPr>
    </w:lvl>
    <w:lvl w:ilvl="7" w:tplc="F9F25B10">
      <w:start w:val="1"/>
      <w:numFmt w:val="bullet"/>
      <w:lvlText w:val="o"/>
      <w:lvlJc w:val="left"/>
      <w:pPr>
        <w:tabs>
          <w:tab w:val="num" w:pos="5760"/>
        </w:tabs>
        <w:ind w:left="5760" w:hanging="360"/>
      </w:pPr>
      <w:rPr>
        <w:rFonts w:ascii="Courier New" w:hAnsi="Courier New"/>
      </w:rPr>
    </w:lvl>
    <w:lvl w:ilvl="8" w:tplc="FF506222">
      <w:start w:val="1"/>
      <w:numFmt w:val="bullet"/>
      <w:lvlText w:val=""/>
      <w:lvlJc w:val="left"/>
      <w:pPr>
        <w:tabs>
          <w:tab w:val="num" w:pos="6480"/>
        </w:tabs>
        <w:ind w:left="6480" w:hanging="360"/>
      </w:pPr>
      <w:rPr>
        <w:rFonts w:ascii="Wingdings" w:hAnsi="Wingdings"/>
      </w:rPr>
    </w:lvl>
  </w:abstractNum>
  <w:abstractNum w:abstractNumId="573" w15:restartNumberingAfterBreak="0">
    <w:nsid w:val="722306FF"/>
    <w:multiLevelType w:val="hybridMultilevel"/>
    <w:tmpl w:val="722306FF"/>
    <w:lvl w:ilvl="0" w:tplc="A14C5A66">
      <w:start w:val="1"/>
      <w:numFmt w:val="bullet"/>
      <w:lvlText w:val=""/>
      <w:lvlJc w:val="left"/>
      <w:pPr>
        <w:ind w:left="720" w:hanging="360"/>
      </w:pPr>
      <w:rPr>
        <w:rFonts w:ascii="Symbol" w:hAnsi="Symbol"/>
      </w:rPr>
    </w:lvl>
    <w:lvl w:ilvl="1" w:tplc="86CE128C">
      <w:start w:val="1"/>
      <w:numFmt w:val="bullet"/>
      <w:lvlText w:val="o"/>
      <w:lvlJc w:val="left"/>
      <w:pPr>
        <w:ind w:left="1440" w:hanging="360"/>
      </w:pPr>
      <w:rPr>
        <w:rFonts w:ascii="Courier New" w:hAnsi="Courier New"/>
      </w:rPr>
    </w:lvl>
    <w:lvl w:ilvl="2" w:tplc="CD026A42">
      <w:start w:val="1"/>
      <w:numFmt w:val="bullet"/>
      <w:lvlText w:val=""/>
      <w:lvlJc w:val="left"/>
      <w:pPr>
        <w:tabs>
          <w:tab w:val="num" w:pos="2160"/>
        </w:tabs>
        <w:ind w:left="2160" w:hanging="360"/>
      </w:pPr>
      <w:rPr>
        <w:rFonts w:ascii="Wingdings" w:hAnsi="Wingdings"/>
      </w:rPr>
    </w:lvl>
    <w:lvl w:ilvl="3" w:tplc="0212B5CA">
      <w:start w:val="1"/>
      <w:numFmt w:val="bullet"/>
      <w:lvlText w:val=""/>
      <w:lvlJc w:val="left"/>
      <w:pPr>
        <w:tabs>
          <w:tab w:val="num" w:pos="2880"/>
        </w:tabs>
        <w:ind w:left="2880" w:hanging="360"/>
      </w:pPr>
      <w:rPr>
        <w:rFonts w:ascii="Symbol" w:hAnsi="Symbol"/>
      </w:rPr>
    </w:lvl>
    <w:lvl w:ilvl="4" w:tplc="A1388EE8">
      <w:start w:val="1"/>
      <w:numFmt w:val="bullet"/>
      <w:lvlText w:val="o"/>
      <w:lvlJc w:val="left"/>
      <w:pPr>
        <w:tabs>
          <w:tab w:val="num" w:pos="3600"/>
        </w:tabs>
        <w:ind w:left="3600" w:hanging="360"/>
      </w:pPr>
      <w:rPr>
        <w:rFonts w:ascii="Courier New" w:hAnsi="Courier New"/>
      </w:rPr>
    </w:lvl>
    <w:lvl w:ilvl="5" w:tplc="C8E4741E">
      <w:start w:val="1"/>
      <w:numFmt w:val="bullet"/>
      <w:lvlText w:val=""/>
      <w:lvlJc w:val="left"/>
      <w:pPr>
        <w:tabs>
          <w:tab w:val="num" w:pos="4320"/>
        </w:tabs>
        <w:ind w:left="4320" w:hanging="360"/>
      </w:pPr>
      <w:rPr>
        <w:rFonts w:ascii="Wingdings" w:hAnsi="Wingdings"/>
      </w:rPr>
    </w:lvl>
    <w:lvl w:ilvl="6" w:tplc="22125AAE">
      <w:start w:val="1"/>
      <w:numFmt w:val="bullet"/>
      <w:lvlText w:val=""/>
      <w:lvlJc w:val="left"/>
      <w:pPr>
        <w:tabs>
          <w:tab w:val="num" w:pos="5040"/>
        </w:tabs>
        <w:ind w:left="5040" w:hanging="360"/>
      </w:pPr>
      <w:rPr>
        <w:rFonts w:ascii="Symbol" w:hAnsi="Symbol"/>
      </w:rPr>
    </w:lvl>
    <w:lvl w:ilvl="7" w:tplc="1ED2C848">
      <w:start w:val="1"/>
      <w:numFmt w:val="bullet"/>
      <w:lvlText w:val="o"/>
      <w:lvlJc w:val="left"/>
      <w:pPr>
        <w:tabs>
          <w:tab w:val="num" w:pos="5760"/>
        </w:tabs>
        <w:ind w:left="5760" w:hanging="360"/>
      </w:pPr>
      <w:rPr>
        <w:rFonts w:ascii="Courier New" w:hAnsi="Courier New"/>
      </w:rPr>
    </w:lvl>
    <w:lvl w:ilvl="8" w:tplc="0228F0E6">
      <w:start w:val="1"/>
      <w:numFmt w:val="bullet"/>
      <w:lvlText w:val=""/>
      <w:lvlJc w:val="left"/>
      <w:pPr>
        <w:tabs>
          <w:tab w:val="num" w:pos="6480"/>
        </w:tabs>
        <w:ind w:left="6480" w:hanging="360"/>
      </w:pPr>
      <w:rPr>
        <w:rFonts w:ascii="Wingdings" w:hAnsi="Wingdings"/>
      </w:rPr>
    </w:lvl>
  </w:abstractNum>
  <w:abstractNum w:abstractNumId="574" w15:restartNumberingAfterBreak="0">
    <w:nsid w:val="72230700"/>
    <w:multiLevelType w:val="hybridMultilevel"/>
    <w:tmpl w:val="72230700"/>
    <w:lvl w:ilvl="0" w:tplc="C4CA09B0">
      <w:start w:val="1"/>
      <w:numFmt w:val="bullet"/>
      <w:lvlText w:val=""/>
      <w:lvlJc w:val="left"/>
      <w:pPr>
        <w:ind w:left="720" w:hanging="360"/>
      </w:pPr>
      <w:rPr>
        <w:rFonts w:ascii="Symbol" w:hAnsi="Symbol"/>
      </w:rPr>
    </w:lvl>
    <w:lvl w:ilvl="1" w:tplc="EC867076">
      <w:start w:val="1"/>
      <w:numFmt w:val="bullet"/>
      <w:lvlText w:val="o"/>
      <w:lvlJc w:val="left"/>
      <w:pPr>
        <w:tabs>
          <w:tab w:val="num" w:pos="1440"/>
        </w:tabs>
        <w:ind w:left="1440" w:hanging="360"/>
      </w:pPr>
      <w:rPr>
        <w:rFonts w:ascii="Courier New" w:hAnsi="Courier New"/>
      </w:rPr>
    </w:lvl>
    <w:lvl w:ilvl="2" w:tplc="C1B01830">
      <w:start w:val="1"/>
      <w:numFmt w:val="bullet"/>
      <w:lvlText w:val=""/>
      <w:lvlJc w:val="left"/>
      <w:pPr>
        <w:tabs>
          <w:tab w:val="num" w:pos="2160"/>
        </w:tabs>
        <w:ind w:left="2160" w:hanging="360"/>
      </w:pPr>
      <w:rPr>
        <w:rFonts w:ascii="Wingdings" w:hAnsi="Wingdings"/>
      </w:rPr>
    </w:lvl>
    <w:lvl w:ilvl="3" w:tplc="45262D1A">
      <w:start w:val="1"/>
      <w:numFmt w:val="bullet"/>
      <w:lvlText w:val=""/>
      <w:lvlJc w:val="left"/>
      <w:pPr>
        <w:tabs>
          <w:tab w:val="num" w:pos="2880"/>
        </w:tabs>
        <w:ind w:left="2880" w:hanging="360"/>
      </w:pPr>
      <w:rPr>
        <w:rFonts w:ascii="Symbol" w:hAnsi="Symbol"/>
      </w:rPr>
    </w:lvl>
    <w:lvl w:ilvl="4" w:tplc="C10A50BA">
      <w:start w:val="1"/>
      <w:numFmt w:val="bullet"/>
      <w:lvlText w:val="o"/>
      <w:lvlJc w:val="left"/>
      <w:pPr>
        <w:tabs>
          <w:tab w:val="num" w:pos="3600"/>
        </w:tabs>
        <w:ind w:left="3600" w:hanging="360"/>
      </w:pPr>
      <w:rPr>
        <w:rFonts w:ascii="Courier New" w:hAnsi="Courier New"/>
      </w:rPr>
    </w:lvl>
    <w:lvl w:ilvl="5" w:tplc="63B0D72A">
      <w:start w:val="1"/>
      <w:numFmt w:val="bullet"/>
      <w:lvlText w:val=""/>
      <w:lvlJc w:val="left"/>
      <w:pPr>
        <w:tabs>
          <w:tab w:val="num" w:pos="4320"/>
        </w:tabs>
        <w:ind w:left="4320" w:hanging="360"/>
      </w:pPr>
      <w:rPr>
        <w:rFonts w:ascii="Wingdings" w:hAnsi="Wingdings"/>
      </w:rPr>
    </w:lvl>
    <w:lvl w:ilvl="6" w:tplc="E8A6C074">
      <w:start w:val="1"/>
      <w:numFmt w:val="bullet"/>
      <w:lvlText w:val=""/>
      <w:lvlJc w:val="left"/>
      <w:pPr>
        <w:tabs>
          <w:tab w:val="num" w:pos="5040"/>
        </w:tabs>
        <w:ind w:left="5040" w:hanging="360"/>
      </w:pPr>
      <w:rPr>
        <w:rFonts w:ascii="Symbol" w:hAnsi="Symbol"/>
      </w:rPr>
    </w:lvl>
    <w:lvl w:ilvl="7" w:tplc="96A00BB6">
      <w:start w:val="1"/>
      <w:numFmt w:val="bullet"/>
      <w:lvlText w:val="o"/>
      <w:lvlJc w:val="left"/>
      <w:pPr>
        <w:tabs>
          <w:tab w:val="num" w:pos="5760"/>
        </w:tabs>
        <w:ind w:left="5760" w:hanging="360"/>
      </w:pPr>
      <w:rPr>
        <w:rFonts w:ascii="Courier New" w:hAnsi="Courier New"/>
      </w:rPr>
    </w:lvl>
    <w:lvl w:ilvl="8" w:tplc="899494A2">
      <w:start w:val="1"/>
      <w:numFmt w:val="bullet"/>
      <w:lvlText w:val=""/>
      <w:lvlJc w:val="left"/>
      <w:pPr>
        <w:tabs>
          <w:tab w:val="num" w:pos="6480"/>
        </w:tabs>
        <w:ind w:left="6480" w:hanging="360"/>
      </w:pPr>
      <w:rPr>
        <w:rFonts w:ascii="Wingdings" w:hAnsi="Wingdings"/>
      </w:rPr>
    </w:lvl>
  </w:abstractNum>
  <w:abstractNum w:abstractNumId="575" w15:restartNumberingAfterBreak="0">
    <w:nsid w:val="72230701"/>
    <w:multiLevelType w:val="hybridMultilevel"/>
    <w:tmpl w:val="72230701"/>
    <w:lvl w:ilvl="0" w:tplc="1EB8DBB4">
      <w:start w:val="1"/>
      <w:numFmt w:val="bullet"/>
      <w:lvlText w:val="o"/>
      <w:lvlJc w:val="left"/>
      <w:pPr>
        <w:ind w:left="720" w:hanging="360"/>
      </w:pPr>
      <w:rPr>
        <w:rFonts w:ascii="Courier New" w:hAnsi="Courier New"/>
      </w:rPr>
    </w:lvl>
    <w:lvl w:ilvl="1" w:tplc="15C239F0">
      <w:start w:val="1"/>
      <w:numFmt w:val="bullet"/>
      <w:lvlText w:val="o"/>
      <w:lvlJc w:val="left"/>
      <w:pPr>
        <w:tabs>
          <w:tab w:val="num" w:pos="1440"/>
        </w:tabs>
        <w:ind w:left="1440" w:hanging="360"/>
      </w:pPr>
      <w:rPr>
        <w:rFonts w:ascii="Courier New" w:hAnsi="Courier New"/>
      </w:rPr>
    </w:lvl>
    <w:lvl w:ilvl="2" w:tplc="3D66062A">
      <w:start w:val="1"/>
      <w:numFmt w:val="bullet"/>
      <w:lvlText w:val=""/>
      <w:lvlJc w:val="left"/>
      <w:pPr>
        <w:tabs>
          <w:tab w:val="num" w:pos="2160"/>
        </w:tabs>
        <w:ind w:left="2160" w:hanging="360"/>
      </w:pPr>
      <w:rPr>
        <w:rFonts w:ascii="Wingdings" w:hAnsi="Wingdings"/>
      </w:rPr>
    </w:lvl>
    <w:lvl w:ilvl="3" w:tplc="EDEE5D92">
      <w:start w:val="1"/>
      <w:numFmt w:val="bullet"/>
      <w:lvlText w:val=""/>
      <w:lvlJc w:val="left"/>
      <w:pPr>
        <w:tabs>
          <w:tab w:val="num" w:pos="2880"/>
        </w:tabs>
        <w:ind w:left="2880" w:hanging="360"/>
      </w:pPr>
      <w:rPr>
        <w:rFonts w:ascii="Symbol" w:hAnsi="Symbol"/>
      </w:rPr>
    </w:lvl>
    <w:lvl w:ilvl="4" w:tplc="05DC09A0">
      <w:start w:val="1"/>
      <w:numFmt w:val="bullet"/>
      <w:lvlText w:val="o"/>
      <w:lvlJc w:val="left"/>
      <w:pPr>
        <w:tabs>
          <w:tab w:val="num" w:pos="3600"/>
        </w:tabs>
        <w:ind w:left="3600" w:hanging="360"/>
      </w:pPr>
      <w:rPr>
        <w:rFonts w:ascii="Courier New" w:hAnsi="Courier New"/>
      </w:rPr>
    </w:lvl>
    <w:lvl w:ilvl="5" w:tplc="89DC20E6">
      <w:start w:val="1"/>
      <w:numFmt w:val="bullet"/>
      <w:lvlText w:val=""/>
      <w:lvlJc w:val="left"/>
      <w:pPr>
        <w:tabs>
          <w:tab w:val="num" w:pos="4320"/>
        </w:tabs>
        <w:ind w:left="4320" w:hanging="360"/>
      </w:pPr>
      <w:rPr>
        <w:rFonts w:ascii="Wingdings" w:hAnsi="Wingdings"/>
      </w:rPr>
    </w:lvl>
    <w:lvl w:ilvl="6" w:tplc="9F82DD3C">
      <w:start w:val="1"/>
      <w:numFmt w:val="bullet"/>
      <w:lvlText w:val=""/>
      <w:lvlJc w:val="left"/>
      <w:pPr>
        <w:tabs>
          <w:tab w:val="num" w:pos="5040"/>
        </w:tabs>
        <w:ind w:left="5040" w:hanging="360"/>
      </w:pPr>
      <w:rPr>
        <w:rFonts w:ascii="Symbol" w:hAnsi="Symbol"/>
      </w:rPr>
    </w:lvl>
    <w:lvl w:ilvl="7" w:tplc="D332BBA6">
      <w:start w:val="1"/>
      <w:numFmt w:val="bullet"/>
      <w:lvlText w:val="o"/>
      <w:lvlJc w:val="left"/>
      <w:pPr>
        <w:tabs>
          <w:tab w:val="num" w:pos="5760"/>
        </w:tabs>
        <w:ind w:left="5760" w:hanging="360"/>
      </w:pPr>
      <w:rPr>
        <w:rFonts w:ascii="Courier New" w:hAnsi="Courier New"/>
      </w:rPr>
    </w:lvl>
    <w:lvl w:ilvl="8" w:tplc="503C5CDA">
      <w:start w:val="1"/>
      <w:numFmt w:val="bullet"/>
      <w:lvlText w:val=""/>
      <w:lvlJc w:val="left"/>
      <w:pPr>
        <w:tabs>
          <w:tab w:val="num" w:pos="6480"/>
        </w:tabs>
        <w:ind w:left="6480" w:hanging="360"/>
      </w:pPr>
      <w:rPr>
        <w:rFonts w:ascii="Wingdings" w:hAnsi="Wingdings"/>
      </w:rPr>
    </w:lvl>
  </w:abstractNum>
  <w:abstractNum w:abstractNumId="576" w15:restartNumberingAfterBreak="0">
    <w:nsid w:val="72230702"/>
    <w:multiLevelType w:val="hybridMultilevel"/>
    <w:tmpl w:val="72230702"/>
    <w:lvl w:ilvl="0" w:tplc="01DE1944">
      <w:start w:val="1"/>
      <w:numFmt w:val="bullet"/>
      <w:lvlText w:val=""/>
      <w:lvlJc w:val="left"/>
      <w:pPr>
        <w:ind w:left="720" w:hanging="360"/>
      </w:pPr>
      <w:rPr>
        <w:rFonts w:ascii="Symbol" w:hAnsi="Symbol"/>
      </w:rPr>
    </w:lvl>
    <w:lvl w:ilvl="1" w:tplc="B87ABA3E">
      <w:start w:val="1"/>
      <w:numFmt w:val="bullet"/>
      <w:lvlText w:val="o"/>
      <w:lvlJc w:val="left"/>
      <w:pPr>
        <w:tabs>
          <w:tab w:val="num" w:pos="1440"/>
        </w:tabs>
        <w:ind w:left="1440" w:hanging="360"/>
      </w:pPr>
      <w:rPr>
        <w:rFonts w:ascii="Courier New" w:hAnsi="Courier New"/>
      </w:rPr>
    </w:lvl>
    <w:lvl w:ilvl="2" w:tplc="6F44F71E">
      <w:start w:val="1"/>
      <w:numFmt w:val="bullet"/>
      <w:lvlText w:val=""/>
      <w:lvlJc w:val="left"/>
      <w:pPr>
        <w:tabs>
          <w:tab w:val="num" w:pos="2160"/>
        </w:tabs>
        <w:ind w:left="2160" w:hanging="360"/>
      </w:pPr>
      <w:rPr>
        <w:rFonts w:ascii="Wingdings" w:hAnsi="Wingdings"/>
      </w:rPr>
    </w:lvl>
    <w:lvl w:ilvl="3" w:tplc="E3888D4A">
      <w:start w:val="1"/>
      <w:numFmt w:val="bullet"/>
      <w:lvlText w:val=""/>
      <w:lvlJc w:val="left"/>
      <w:pPr>
        <w:tabs>
          <w:tab w:val="num" w:pos="2880"/>
        </w:tabs>
        <w:ind w:left="2880" w:hanging="360"/>
      </w:pPr>
      <w:rPr>
        <w:rFonts w:ascii="Symbol" w:hAnsi="Symbol"/>
      </w:rPr>
    </w:lvl>
    <w:lvl w:ilvl="4" w:tplc="B55294FC">
      <w:start w:val="1"/>
      <w:numFmt w:val="bullet"/>
      <w:lvlText w:val="o"/>
      <w:lvlJc w:val="left"/>
      <w:pPr>
        <w:tabs>
          <w:tab w:val="num" w:pos="3600"/>
        </w:tabs>
        <w:ind w:left="3600" w:hanging="360"/>
      </w:pPr>
      <w:rPr>
        <w:rFonts w:ascii="Courier New" w:hAnsi="Courier New"/>
      </w:rPr>
    </w:lvl>
    <w:lvl w:ilvl="5" w:tplc="2A3CAA2E">
      <w:start w:val="1"/>
      <w:numFmt w:val="bullet"/>
      <w:lvlText w:val=""/>
      <w:lvlJc w:val="left"/>
      <w:pPr>
        <w:tabs>
          <w:tab w:val="num" w:pos="4320"/>
        </w:tabs>
        <w:ind w:left="4320" w:hanging="360"/>
      </w:pPr>
      <w:rPr>
        <w:rFonts w:ascii="Wingdings" w:hAnsi="Wingdings"/>
      </w:rPr>
    </w:lvl>
    <w:lvl w:ilvl="6" w:tplc="2F808C16">
      <w:start w:val="1"/>
      <w:numFmt w:val="bullet"/>
      <w:lvlText w:val=""/>
      <w:lvlJc w:val="left"/>
      <w:pPr>
        <w:tabs>
          <w:tab w:val="num" w:pos="5040"/>
        </w:tabs>
        <w:ind w:left="5040" w:hanging="360"/>
      </w:pPr>
      <w:rPr>
        <w:rFonts w:ascii="Symbol" w:hAnsi="Symbol"/>
      </w:rPr>
    </w:lvl>
    <w:lvl w:ilvl="7" w:tplc="BB7E7FDA">
      <w:start w:val="1"/>
      <w:numFmt w:val="bullet"/>
      <w:lvlText w:val="o"/>
      <w:lvlJc w:val="left"/>
      <w:pPr>
        <w:tabs>
          <w:tab w:val="num" w:pos="5760"/>
        </w:tabs>
        <w:ind w:left="5760" w:hanging="360"/>
      </w:pPr>
      <w:rPr>
        <w:rFonts w:ascii="Courier New" w:hAnsi="Courier New"/>
      </w:rPr>
    </w:lvl>
    <w:lvl w:ilvl="8" w:tplc="6D327A92">
      <w:start w:val="1"/>
      <w:numFmt w:val="bullet"/>
      <w:lvlText w:val=""/>
      <w:lvlJc w:val="left"/>
      <w:pPr>
        <w:tabs>
          <w:tab w:val="num" w:pos="6480"/>
        </w:tabs>
        <w:ind w:left="6480" w:hanging="360"/>
      </w:pPr>
      <w:rPr>
        <w:rFonts w:ascii="Wingdings" w:hAnsi="Wingdings"/>
      </w:rPr>
    </w:lvl>
  </w:abstractNum>
  <w:abstractNum w:abstractNumId="577" w15:restartNumberingAfterBreak="0">
    <w:nsid w:val="72230703"/>
    <w:multiLevelType w:val="hybridMultilevel"/>
    <w:tmpl w:val="72230703"/>
    <w:lvl w:ilvl="0" w:tplc="3B5E0DD8">
      <w:start w:val="1"/>
      <w:numFmt w:val="bullet"/>
      <w:lvlText w:val=""/>
      <w:lvlJc w:val="left"/>
      <w:pPr>
        <w:ind w:left="720" w:hanging="360"/>
      </w:pPr>
      <w:rPr>
        <w:rFonts w:ascii="Symbol" w:hAnsi="Symbol"/>
      </w:rPr>
    </w:lvl>
    <w:lvl w:ilvl="1" w:tplc="7E225B40">
      <w:start w:val="1"/>
      <w:numFmt w:val="bullet"/>
      <w:lvlText w:val="o"/>
      <w:lvlJc w:val="left"/>
      <w:pPr>
        <w:ind w:left="1440" w:hanging="360"/>
      </w:pPr>
      <w:rPr>
        <w:rFonts w:ascii="Courier New" w:hAnsi="Courier New"/>
      </w:rPr>
    </w:lvl>
    <w:lvl w:ilvl="2" w:tplc="27CABF20">
      <w:start w:val="1"/>
      <w:numFmt w:val="bullet"/>
      <w:lvlText w:val=""/>
      <w:lvlJc w:val="left"/>
      <w:pPr>
        <w:tabs>
          <w:tab w:val="num" w:pos="2160"/>
        </w:tabs>
        <w:ind w:left="2160" w:hanging="360"/>
      </w:pPr>
      <w:rPr>
        <w:rFonts w:ascii="Wingdings" w:hAnsi="Wingdings"/>
      </w:rPr>
    </w:lvl>
    <w:lvl w:ilvl="3" w:tplc="CC1C00C6">
      <w:start w:val="1"/>
      <w:numFmt w:val="bullet"/>
      <w:lvlText w:val=""/>
      <w:lvlJc w:val="left"/>
      <w:pPr>
        <w:tabs>
          <w:tab w:val="num" w:pos="2880"/>
        </w:tabs>
        <w:ind w:left="2880" w:hanging="360"/>
      </w:pPr>
      <w:rPr>
        <w:rFonts w:ascii="Symbol" w:hAnsi="Symbol"/>
      </w:rPr>
    </w:lvl>
    <w:lvl w:ilvl="4" w:tplc="2C26FF74">
      <w:start w:val="1"/>
      <w:numFmt w:val="bullet"/>
      <w:lvlText w:val="o"/>
      <w:lvlJc w:val="left"/>
      <w:pPr>
        <w:tabs>
          <w:tab w:val="num" w:pos="3600"/>
        </w:tabs>
        <w:ind w:left="3600" w:hanging="360"/>
      </w:pPr>
      <w:rPr>
        <w:rFonts w:ascii="Courier New" w:hAnsi="Courier New"/>
      </w:rPr>
    </w:lvl>
    <w:lvl w:ilvl="5" w:tplc="AC70BEEA">
      <w:start w:val="1"/>
      <w:numFmt w:val="bullet"/>
      <w:lvlText w:val=""/>
      <w:lvlJc w:val="left"/>
      <w:pPr>
        <w:tabs>
          <w:tab w:val="num" w:pos="4320"/>
        </w:tabs>
        <w:ind w:left="4320" w:hanging="360"/>
      </w:pPr>
      <w:rPr>
        <w:rFonts w:ascii="Wingdings" w:hAnsi="Wingdings"/>
      </w:rPr>
    </w:lvl>
    <w:lvl w:ilvl="6" w:tplc="A684A5FE">
      <w:start w:val="1"/>
      <w:numFmt w:val="bullet"/>
      <w:lvlText w:val=""/>
      <w:lvlJc w:val="left"/>
      <w:pPr>
        <w:tabs>
          <w:tab w:val="num" w:pos="5040"/>
        </w:tabs>
        <w:ind w:left="5040" w:hanging="360"/>
      </w:pPr>
      <w:rPr>
        <w:rFonts w:ascii="Symbol" w:hAnsi="Symbol"/>
      </w:rPr>
    </w:lvl>
    <w:lvl w:ilvl="7" w:tplc="91748C76">
      <w:start w:val="1"/>
      <w:numFmt w:val="bullet"/>
      <w:lvlText w:val="o"/>
      <w:lvlJc w:val="left"/>
      <w:pPr>
        <w:tabs>
          <w:tab w:val="num" w:pos="5760"/>
        </w:tabs>
        <w:ind w:left="5760" w:hanging="360"/>
      </w:pPr>
      <w:rPr>
        <w:rFonts w:ascii="Courier New" w:hAnsi="Courier New"/>
      </w:rPr>
    </w:lvl>
    <w:lvl w:ilvl="8" w:tplc="06C2A61A">
      <w:start w:val="1"/>
      <w:numFmt w:val="bullet"/>
      <w:lvlText w:val=""/>
      <w:lvlJc w:val="left"/>
      <w:pPr>
        <w:tabs>
          <w:tab w:val="num" w:pos="6480"/>
        </w:tabs>
        <w:ind w:left="6480" w:hanging="360"/>
      </w:pPr>
      <w:rPr>
        <w:rFonts w:ascii="Wingdings" w:hAnsi="Wingdings"/>
      </w:rPr>
    </w:lvl>
  </w:abstractNum>
  <w:abstractNum w:abstractNumId="578" w15:restartNumberingAfterBreak="0">
    <w:nsid w:val="72230704"/>
    <w:multiLevelType w:val="hybridMultilevel"/>
    <w:tmpl w:val="72230704"/>
    <w:lvl w:ilvl="0" w:tplc="7B947DEA">
      <w:start w:val="1"/>
      <w:numFmt w:val="bullet"/>
      <w:lvlText w:val=""/>
      <w:lvlJc w:val="left"/>
      <w:pPr>
        <w:ind w:left="720" w:hanging="360"/>
      </w:pPr>
      <w:rPr>
        <w:rFonts w:ascii="Symbol" w:hAnsi="Symbol"/>
      </w:rPr>
    </w:lvl>
    <w:lvl w:ilvl="1" w:tplc="111802FA">
      <w:start w:val="1"/>
      <w:numFmt w:val="bullet"/>
      <w:lvlText w:val="o"/>
      <w:lvlJc w:val="left"/>
      <w:pPr>
        <w:tabs>
          <w:tab w:val="num" w:pos="1440"/>
        </w:tabs>
        <w:ind w:left="1440" w:hanging="360"/>
      </w:pPr>
      <w:rPr>
        <w:rFonts w:ascii="Courier New" w:hAnsi="Courier New"/>
      </w:rPr>
    </w:lvl>
    <w:lvl w:ilvl="2" w:tplc="A5E6F982">
      <w:start w:val="1"/>
      <w:numFmt w:val="bullet"/>
      <w:lvlText w:val=""/>
      <w:lvlJc w:val="left"/>
      <w:pPr>
        <w:tabs>
          <w:tab w:val="num" w:pos="2160"/>
        </w:tabs>
        <w:ind w:left="2160" w:hanging="360"/>
      </w:pPr>
      <w:rPr>
        <w:rFonts w:ascii="Wingdings" w:hAnsi="Wingdings"/>
      </w:rPr>
    </w:lvl>
    <w:lvl w:ilvl="3" w:tplc="BB985B94">
      <w:start w:val="1"/>
      <w:numFmt w:val="bullet"/>
      <w:lvlText w:val=""/>
      <w:lvlJc w:val="left"/>
      <w:pPr>
        <w:tabs>
          <w:tab w:val="num" w:pos="2880"/>
        </w:tabs>
        <w:ind w:left="2880" w:hanging="360"/>
      </w:pPr>
      <w:rPr>
        <w:rFonts w:ascii="Symbol" w:hAnsi="Symbol"/>
      </w:rPr>
    </w:lvl>
    <w:lvl w:ilvl="4" w:tplc="98C062C0">
      <w:start w:val="1"/>
      <w:numFmt w:val="bullet"/>
      <w:lvlText w:val="o"/>
      <w:lvlJc w:val="left"/>
      <w:pPr>
        <w:tabs>
          <w:tab w:val="num" w:pos="3600"/>
        </w:tabs>
        <w:ind w:left="3600" w:hanging="360"/>
      </w:pPr>
      <w:rPr>
        <w:rFonts w:ascii="Courier New" w:hAnsi="Courier New"/>
      </w:rPr>
    </w:lvl>
    <w:lvl w:ilvl="5" w:tplc="C276A890">
      <w:start w:val="1"/>
      <w:numFmt w:val="bullet"/>
      <w:lvlText w:val=""/>
      <w:lvlJc w:val="left"/>
      <w:pPr>
        <w:tabs>
          <w:tab w:val="num" w:pos="4320"/>
        </w:tabs>
        <w:ind w:left="4320" w:hanging="360"/>
      </w:pPr>
      <w:rPr>
        <w:rFonts w:ascii="Wingdings" w:hAnsi="Wingdings"/>
      </w:rPr>
    </w:lvl>
    <w:lvl w:ilvl="6" w:tplc="50EAAEA8">
      <w:start w:val="1"/>
      <w:numFmt w:val="bullet"/>
      <w:lvlText w:val=""/>
      <w:lvlJc w:val="left"/>
      <w:pPr>
        <w:tabs>
          <w:tab w:val="num" w:pos="5040"/>
        </w:tabs>
        <w:ind w:left="5040" w:hanging="360"/>
      </w:pPr>
      <w:rPr>
        <w:rFonts w:ascii="Symbol" w:hAnsi="Symbol"/>
      </w:rPr>
    </w:lvl>
    <w:lvl w:ilvl="7" w:tplc="F55C4FE4">
      <w:start w:val="1"/>
      <w:numFmt w:val="bullet"/>
      <w:lvlText w:val="o"/>
      <w:lvlJc w:val="left"/>
      <w:pPr>
        <w:tabs>
          <w:tab w:val="num" w:pos="5760"/>
        </w:tabs>
        <w:ind w:left="5760" w:hanging="360"/>
      </w:pPr>
      <w:rPr>
        <w:rFonts w:ascii="Courier New" w:hAnsi="Courier New"/>
      </w:rPr>
    </w:lvl>
    <w:lvl w:ilvl="8" w:tplc="669AADBA">
      <w:start w:val="1"/>
      <w:numFmt w:val="bullet"/>
      <w:lvlText w:val=""/>
      <w:lvlJc w:val="left"/>
      <w:pPr>
        <w:tabs>
          <w:tab w:val="num" w:pos="6480"/>
        </w:tabs>
        <w:ind w:left="6480" w:hanging="360"/>
      </w:pPr>
      <w:rPr>
        <w:rFonts w:ascii="Wingdings" w:hAnsi="Wingdings"/>
      </w:rPr>
    </w:lvl>
  </w:abstractNum>
  <w:abstractNum w:abstractNumId="579" w15:restartNumberingAfterBreak="0">
    <w:nsid w:val="72230705"/>
    <w:multiLevelType w:val="hybridMultilevel"/>
    <w:tmpl w:val="72230705"/>
    <w:lvl w:ilvl="0" w:tplc="FC5AA59A">
      <w:start w:val="1"/>
      <w:numFmt w:val="bullet"/>
      <w:lvlText w:val=""/>
      <w:lvlJc w:val="left"/>
      <w:pPr>
        <w:ind w:left="720" w:hanging="360"/>
      </w:pPr>
      <w:rPr>
        <w:rFonts w:ascii="Symbol" w:hAnsi="Symbol"/>
      </w:rPr>
    </w:lvl>
    <w:lvl w:ilvl="1" w:tplc="8A88F8FA">
      <w:start w:val="1"/>
      <w:numFmt w:val="bullet"/>
      <w:lvlText w:val="o"/>
      <w:lvlJc w:val="left"/>
      <w:pPr>
        <w:ind w:left="1440" w:hanging="360"/>
      </w:pPr>
      <w:rPr>
        <w:rFonts w:ascii="Courier New" w:hAnsi="Courier New"/>
      </w:rPr>
    </w:lvl>
    <w:lvl w:ilvl="2" w:tplc="30FECEFA">
      <w:start w:val="1"/>
      <w:numFmt w:val="bullet"/>
      <w:lvlText w:val=""/>
      <w:lvlJc w:val="left"/>
      <w:pPr>
        <w:tabs>
          <w:tab w:val="num" w:pos="2160"/>
        </w:tabs>
        <w:ind w:left="2160" w:hanging="360"/>
      </w:pPr>
      <w:rPr>
        <w:rFonts w:ascii="Wingdings" w:hAnsi="Wingdings"/>
      </w:rPr>
    </w:lvl>
    <w:lvl w:ilvl="3" w:tplc="FEEC4652">
      <w:start w:val="1"/>
      <w:numFmt w:val="bullet"/>
      <w:lvlText w:val=""/>
      <w:lvlJc w:val="left"/>
      <w:pPr>
        <w:tabs>
          <w:tab w:val="num" w:pos="2880"/>
        </w:tabs>
        <w:ind w:left="2880" w:hanging="360"/>
      </w:pPr>
      <w:rPr>
        <w:rFonts w:ascii="Symbol" w:hAnsi="Symbol"/>
      </w:rPr>
    </w:lvl>
    <w:lvl w:ilvl="4" w:tplc="1810A020">
      <w:start w:val="1"/>
      <w:numFmt w:val="bullet"/>
      <w:lvlText w:val="o"/>
      <w:lvlJc w:val="left"/>
      <w:pPr>
        <w:tabs>
          <w:tab w:val="num" w:pos="3600"/>
        </w:tabs>
        <w:ind w:left="3600" w:hanging="360"/>
      </w:pPr>
      <w:rPr>
        <w:rFonts w:ascii="Courier New" w:hAnsi="Courier New"/>
      </w:rPr>
    </w:lvl>
    <w:lvl w:ilvl="5" w:tplc="6C94C3E6">
      <w:start w:val="1"/>
      <w:numFmt w:val="bullet"/>
      <w:lvlText w:val=""/>
      <w:lvlJc w:val="left"/>
      <w:pPr>
        <w:tabs>
          <w:tab w:val="num" w:pos="4320"/>
        </w:tabs>
        <w:ind w:left="4320" w:hanging="360"/>
      </w:pPr>
      <w:rPr>
        <w:rFonts w:ascii="Wingdings" w:hAnsi="Wingdings"/>
      </w:rPr>
    </w:lvl>
    <w:lvl w:ilvl="6" w:tplc="C158E944">
      <w:start w:val="1"/>
      <w:numFmt w:val="bullet"/>
      <w:lvlText w:val=""/>
      <w:lvlJc w:val="left"/>
      <w:pPr>
        <w:tabs>
          <w:tab w:val="num" w:pos="5040"/>
        </w:tabs>
        <w:ind w:left="5040" w:hanging="360"/>
      </w:pPr>
      <w:rPr>
        <w:rFonts w:ascii="Symbol" w:hAnsi="Symbol"/>
      </w:rPr>
    </w:lvl>
    <w:lvl w:ilvl="7" w:tplc="6E2CFFF0">
      <w:start w:val="1"/>
      <w:numFmt w:val="bullet"/>
      <w:lvlText w:val="o"/>
      <w:lvlJc w:val="left"/>
      <w:pPr>
        <w:tabs>
          <w:tab w:val="num" w:pos="5760"/>
        </w:tabs>
        <w:ind w:left="5760" w:hanging="360"/>
      </w:pPr>
      <w:rPr>
        <w:rFonts w:ascii="Courier New" w:hAnsi="Courier New"/>
      </w:rPr>
    </w:lvl>
    <w:lvl w:ilvl="8" w:tplc="441A152A">
      <w:start w:val="1"/>
      <w:numFmt w:val="bullet"/>
      <w:lvlText w:val=""/>
      <w:lvlJc w:val="left"/>
      <w:pPr>
        <w:tabs>
          <w:tab w:val="num" w:pos="6480"/>
        </w:tabs>
        <w:ind w:left="6480" w:hanging="360"/>
      </w:pPr>
      <w:rPr>
        <w:rFonts w:ascii="Wingdings" w:hAnsi="Wingdings"/>
      </w:rPr>
    </w:lvl>
  </w:abstractNum>
  <w:abstractNum w:abstractNumId="580" w15:restartNumberingAfterBreak="0">
    <w:nsid w:val="72230706"/>
    <w:multiLevelType w:val="hybridMultilevel"/>
    <w:tmpl w:val="72230706"/>
    <w:lvl w:ilvl="0" w:tplc="1CC6473A">
      <w:start w:val="1"/>
      <w:numFmt w:val="bullet"/>
      <w:lvlText w:val=""/>
      <w:lvlJc w:val="left"/>
      <w:pPr>
        <w:ind w:left="720" w:hanging="360"/>
      </w:pPr>
      <w:rPr>
        <w:rFonts w:ascii="Symbol" w:hAnsi="Symbol"/>
      </w:rPr>
    </w:lvl>
    <w:lvl w:ilvl="1" w:tplc="C86EAE7A">
      <w:start w:val="1"/>
      <w:numFmt w:val="bullet"/>
      <w:lvlText w:val="o"/>
      <w:lvlJc w:val="left"/>
      <w:pPr>
        <w:tabs>
          <w:tab w:val="num" w:pos="1440"/>
        </w:tabs>
        <w:ind w:left="1440" w:hanging="360"/>
      </w:pPr>
      <w:rPr>
        <w:rFonts w:ascii="Courier New" w:hAnsi="Courier New"/>
      </w:rPr>
    </w:lvl>
    <w:lvl w:ilvl="2" w:tplc="FF76EB56">
      <w:start w:val="1"/>
      <w:numFmt w:val="bullet"/>
      <w:lvlText w:val=""/>
      <w:lvlJc w:val="left"/>
      <w:pPr>
        <w:tabs>
          <w:tab w:val="num" w:pos="2160"/>
        </w:tabs>
        <w:ind w:left="2160" w:hanging="360"/>
      </w:pPr>
      <w:rPr>
        <w:rFonts w:ascii="Wingdings" w:hAnsi="Wingdings"/>
      </w:rPr>
    </w:lvl>
    <w:lvl w:ilvl="3" w:tplc="F09651A6">
      <w:start w:val="1"/>
      <w:numFmt w:val="bullet"/>
      <w:lvlText w:val=""/>
      <w:lvlJc w:val="left"/>
      <w:pPr>
        <w:tabs>
          <w:tab w:val="num" w:pos="2880"/>
        </w:tabs>
        <w:ind w:left="2880" w:hanging="360"/>
      </w:pPr>
      <w:rPr>
        <w:rFonts w:ascii="Symbol" w:hAnsi="Symbol"/>
      </w:rPr>
    </w:lvl>
    <w:lvl w:ilvl="4" w:tplc="E54ACD3A">
      <w:start w:val="1"/>
      <w:numFmt w:val="bullet"/>
      <w:lvlText w:val="o"/>
      <w:lvlJc w:val="left"/>
      <w:pPr>
        <w:tabs>
          <w:tab w:val="num" w:pos="3600"/>
        </w:tabs>
        <w:ind w:left="3600" w:hanging="360"/>
      </w:pPr>
      <w:rPr>
        <w:rFonts w:ascii="Courier New" w:hAnsi="Courier New"/>
      </w:rPr>
    </w:lvl>
    <w:lvl w:ilvl="5" w:tplc="A038093E">
      <w:start w:val="1"/>
      <w:numFmt w:val="bullet"/>
      <w:lvlText w:val=""/>
      <w:lvlJc w:val="left"/>
      <w:pPr>
        <w:tabs>
          <w:tab w:val="num" w:pos="4320"/>
        </w:tabs>
        <w:ind w:left="4320" w:hanging="360"/>
      </w:pPr>
      <w:rPr>
        <w:rFonts w:ascii="Wingdings" w:hAnsi="Wingdings"/>
      </w:rPr>
    </w:lvl>
    <w:lvl w:ilvl="6" w:tplc="F600F4D2">
      <w:start w:val="1"/>
      <w:numFmt w:val="bullet"/>
      <w:lvlText w:val=""/>
      <w:lvlJc w:val="left"/>
      <w:pPr>
        <w:tabs>
          <w:tab w:val="num" w:pos="5040"/>
        </w:tabs>
        <w:ind w:left="5040" w:hanging="360"/>
      </w:pPr>
      <w:rPr>
        <w:rFonts w:ascii="Symbol" w:hAnsi="Symbol"/>
      </w:rPr>
    </w:lvl>
    <w:lvl w:ilvl="7" w:tplc="B7F6F866">
      <w:start w:val="1"/>
      <w:numFmt w:val="bullet"/>
      <w:lvlText w:val="o"/>
      <w:lvlJc w:val="left"/>
      <w:pPr>
        <w:tabs>
          <w:tab w:val="num" w:pos="5760"/>
        </w:tabs>
        <w:ind w:left="5760" w:hanging="360"/>
      </w:pPr>
      <w:rPr>
        <w:rFonts w:ascii="Courier New" w:hAnsi="Courier New"/>
      </w:rPr>
    </w:lvl>
    <w:lvl w:ilvl="8" w:tplc="0F383EA8">
      <w:start w:val="1"/>
      <w:numFmt w:val="bullet"/>
      <w:lvlText w:val=""/>
      <w:lvlJc w:val="left"/>
      <w:pPr>
        <w:tabs>
          <w:tab w:val="num" w:pos="6480"/>
        </w:tabs>
        <w:ind w:left="6480" w:hanging="360"/>
      </w:pPr>
      <w:rPr>
        <w:rFonts w:ascii="Wingdings" w:hAnsi="Wingdings"/>
      </w:rPr>
    </w:lvl>
  </w:abstractNum>
  <w:abstractNum w:abstractNumId="581" w15:restartNumberingAfterBreak="0">
    <w:nsid w:val="72230707"/>
    <w:multiLevelType w:val="hybridMultilevel"/>
    <w:tmpl w:val="72230707"/>
    <w:lvl w:ilvl="0" w:tplc="29AAAA9E">
      <w:start w:val="1"/>
      <w:numFmt w:val="bullet"/>
      <w:lvlText w:val=""/>
      <w:lvlJc w:val="left"/>
      <w:pPr>
        <w:ind w:left="720" w:hanging="360"/>
      </w:pPr>
      <w:rPr>
        <w:rFonts w:ascii="Symbol" w:hAnsi="Symbol"/>
      </w:rPr>
    </w:lvl>
    <w:lvl w:ilvl="1" w:tplc="DC9E1A60">
      <w:start w:val="1"/>
      <w:numFmt w:val="bullet"/>
      <w:lvlText w:val="o"/>
      <w:lvlJc w:val="left"/>
      <w:pPr>
        <w:tabs>
          <w:tab w:val="num" w:pos="1440"/>
        </w:tabs>
        <w:ind w:left="1440" w:hanging="360"/>
      </w:pPr>
      <w:rPr>
        <w:rFonts w:ascii="Courier New" w:hAnsi="Courier New"/>
      </w:rPr>
    </w:lvl>
    <w:lvl w:ilvl="2" w:tplc="16FC29D0">
      <w:start w:val="1"/>
      <w:numFmt w:val="bullet"/>
      <w:lvlText w:val=""/>
      <w:lvlJc w:val="left"/>
      <w:pPr>
        <w:tabs>
          <w:tab w:val="num" w:pos="2160"/>
        </w:tabs>
        <w:ind w:left="2160" w:hanging="360"/>
      </w:pPr>
      <w:rPr>
        <w:rFonts w:ascii="Wingdings" w:hAnsi="Wingdings"/>
      </w:rPr>
    </w:lvl>
    <w:lvl w:ilvl="3" w:tplc="63C85CC0">
      <w:start w:val="1"/>
      <w:numFmt w:val="bullet"/>
      <w:lvlText w:val=""/>
      <w:lvlJc w:val="left"/>
      <w:pPr>
        <w:tabs>
          <w:tab w:val="num" w:pos="2880"/>
        </w:tabs>
        <w:ind w:left="2880" w:hanging="360"/>
      </w:pPr>
      <w:rPr>
        <w:rFonts w:ascii="Symbol" w:hAnsi="Symbol"/>
      </w:rPr>
    </w:lvl>
    <w:lvl w:ilvl="4" w:tplc="BB8EE56A">
      <w:start w:val="1"/>
      <w:numFmt w:val="bullet"/>
      <w:lvlText w:val="o"/>
      <w:lvlJc w:val="left"/>
      <w:pPr>
        <w:tabs>
          <w:tab w:val="num" w:pos="3600"/>
        </w:tabs>
        <w:ind w:left="3600" w:hanging="360"/>
      </w:pPr>
      <w:rPr>
        <w:rFonts w:ascii="Courier New" w:hAnsi="Courier New"/>
      </w:rPr>
    </w:lvl>
    <w:lvl w:ilvl="5" w:tplc="D63C6668">
      <w:start w:val="1"/>
      <w:numFmt w:val="bullet"/>
      <w:lvlText w:val=""/>
      <w:lvlJc w:val="left"/>
      <w:pPr>
        <w:tabs>
          <w:tab w:val="num" w:pos="4320"/>
        </w:tabs>
        <w:ind w:left="4320" w:hanging="360"/>
      </w:pPr>
      <w:rPr>
        <w:rFonts w:ascii="Wingdings" w:hAnsi="Wingdings"/>
      </w:rPr>
    </w:lvl>
    <w:lvl w:ilvl="6" w:tplc="2C785310">
      <w:start w:val="1"/>
      <w:numFmt w:val="bullet"/>
      <w:lvlText w:val=""/>
      <w:lvlJc w:val="left"/>
      <w:pPr>
        <w:tabs>
          <w:tab w:val="num" w:pos="5040"/>
        </w:tabs>
        <w:ind w:left="5040" w:hanging="360"/>
      </w:pPr>
      <w:rPr>
        <w:rFonts w:ascii="Symbol" w:hAnsi="Symbol"/>
      </w:rPr>
    </w:lvl>
    <w:lvl w:ilvl="7" w:tplc="24C870D6">
      <w:start w:val="1"/>
      <w:numFmt w:val="bullet"/>
      <w:lvlText w:val="o"/>
      <w:lvlJc w:val="left"/>
      <w:pPr>
        <w:tabs>
          <w:tab w:val="num" w:pos="5760"/>
        </w:tabs>
        <w:ind w:left="5760" w:hanging="360"/>
      </w:pPr>
      <w:rPr>
        <w:rFonts w:ascii="Courier New" w:hAnsi="Courier New"/>
      </w:rPr>
    </w:lvl>
    <w:lvl w:ilvl="8" w:tplc="33E8B854">
      <w:start w:val="1"/>
      <w:numFmt w:val="bullet"/>
      <w:lvlText w:val=""/>
      <w:lvlJc w:val="left"/>
      <w:pPr>
        <w:tabs>
          <w:tab w:val="num" w:pos="6480"/>
        </w:tabs>
        <w:ind w:left="6480" w:hanging="360"/>
      </w:pPr>
      <w:rPr>
        <w:rFonts w:ascii="Wingdings" w:hAnsi="Wingdings"/>
      </w:rPr>
    </w:lvl>
  </w:abstractNum>
  <w:abstractNum w:abstractNumId="582" w15:restartNumberingAfterBreak="0">
    <w:nsid w:val="72230708"/>
    <w:multiLevelType w:val="hybridMultilevel"/>
    <w:tmpl w:val="72230708"/>
    <w:lvl w:ilvl="0" w:tplc="C9FA0CCA">
      <w:start w:val="1"/>
      <w:numFmt w:val="bullet"/>
      <w:lvlText w:val=""/>
      <w:lvlJc w:val="left"/>
      <w:pPr>
        <w:ind w:left="720" w:hanging="360"/>
      </w:pPr>
      <w:rPr>
        <w:rFonts w:ascii="Symbol" w:hAnsi="Symbol"/>
      </w:rPr>
    </w:lvl>
    <w:lvl w:ilvl="1" w:tplc="14904324">
      <w:start w:val="1"/>
      <w:numFmt w:val="bullet"/>
      <w:lvlText w:val="o"/>
      <w:lvlJc w:val="left"/>
      <w:pPr>
        <w:tabs>
          <w:tab w:val="num" w:pos="1440"/>
        </w:tabs>
        <w:ind w:left="1440" w:hanging="360"/>
      </w:pPr>
      <w:rPr>
        <w:rFonts w:ascii="Courier New" w:hAnsi="Courier New"/>
      </w:rPr>
    </w:lvl>
    <w:lvl w:ilvl="2" w:tplc="29702718">
      <w:start w:val="1"/>
      <w:numFmt w:val="bullet"/>
      <w:lvlText w:val=""/>
      <w:lvlJc w:val="left"/>
      <w:pPr>
        <w:tabs>
          <w:tab w:val="num" w:pos="2160"/>
        </w:tabs>
        <w:ind w:left="2160" w:hanging="360"/>
      </w:pPr>
      <w:rPr>
        <w:rFonts w:ascii="Wingdings" w:hAnsi="Wingdings"/>
      </w:rPr>
    </w:lvl>
    <w:lvl w:ilvl="3" w:tplc="473885D2">
      <w:start w:val="1"/>
      <w:numFmt w:val="bullet"/>
      <w:lvlText w:val=""/>
      <w:lvlJc w:val="left"/>
      <w:pPr>
        <w:tabs>
          <w:tab w:val="num" w:pos="2880"/>
        </w:tabs>
        <w:ind w:left="2880" w:hanging="360"/>
      </w:pPr>
      <w:rPr>
        <w:rFonts w:ascii="Symbol" w:hAnsi="Symbol"/>
      </w:rPr>
    </w:lvl>
    <w:lvl w:ilvl="4" w:tplc="51C69A98">
      <w:start w:val="1"/>
      <w:numFmt w:val="bullet"/>
      <w:lvlText w:val="o"/>
      <w:lvlJc w:val="left"/>
      <w:pPr>
        <w:tabs>
          <w:tab w:val="num" w:pos="3600"/>
        </w:tabs>
        <w:ind w:left="3600" w:hanging="360"/>
      </w:pPr>
      <w:rPr>
        <w:rFonts w:ascii="Courier New" w:hAnsi="Courier New"/>
      </w:rPr>
    </w:lvl>
    <w:lvl w:ilvl="5" w:tplc="2284AF14">
      <w:start w:val="1"/>
      <w:numFmt w:val="bullet"/>
      <w:lvlText w:val=""/>
      <w:lvlJc w:val="left"/>
      <w:pPr>
        <w:tabs>
          <w:tab w:val="num" w:pos="4320"/>
        </w:tabs>
        <w:ind w:left="4320" w:hanging="360"/>
      </w:pPr>
      <w:rPr>
        <w:rFonts w:ascii="Wingdings" w:hAnsi="Wingdings"/>
      </w:rPr>
    </w:lvl>
    <w:lvl w:ilvl="6" w:tplc="2E9ECF42">
      <w:start w:val="1"/>
      <w:numFmt w:val="bullet"/>
      <w:lvlText w:val=""/>
      <w:lvlJc w:val="left"/>
      <w:pPr>
        <w:tabs>
          <w:tab w:val="num" w:pos="5040"/>
        </w:tabs>
        <w:ind w:left="5040" w:hanging="360"/>
      </w:pPr>
      <w:rPr>
        <w:rFonts w:ascii="Symbol" w:hAnsi="Symbol"/>
      </w:rPr>
    </w:lvl>
    <w:lvl w:ilvl="7" w:tplc="BC720D2E">
      <w:start w:val="1"/>
      <w:numFmt w:val="bullet"/>
      <w:lvlText w:val="o"/>
      <w:lvlJc w:val="left"/>
      <w:pPr>
        <w:tabs>
          <w:tab w:val="num" w:pos="5760"/>
        </w:tabs>
        <w:ind w:left="5760" w:hanging="360"/>
      </w:pPr>
      <w:rPr>
        <w:rFonts w:ascii="Courier New" w:hAnsi="Courier New"/>
      </w:rPr>
    </w:lvl>
    <w:lvl w:ilvl="8" w:tplc="FC4A37DE">
      <w:start w:val="1"/>
      <w:numFmt w:val="bullet"/>
      <w:lvlText w:val=""/>
      <w:lvlJc w:val="left"/>
      <w:pPr>
        <w:tabs>
          <w:tab w:val="num" w:pos="6480"/>
        </w:tabs>
        <w:ind w:left="6480" w:hanging="360"/>
      </w:pPr>
      <w:rPr>
        <w:rFonts w:ascii="Wingdings" w:hAnsi="Wingdings"/>
      </w:rPr>
    </w:lvl>
  </w:abstractNum>
  <w:abstractNum w:abstractNumId="583" w15:restartNumberingAfterBreak="0">
    <w:nsid w:val="72230709"/>
    <w:multiLevelType w:val="hybridMultilevel"/>
    <w:tmpl w:val="72230709"/>
    <w:lvl w:ilvl="0" w:tplc="EE62C4B8">
      <w:start w:val="1"/>
      <w:numFmt w:val="bullet"/>
      <w:lvlText w:val=""/>
      <w:lvlJc w:val="left"/>
      <w:pPr>
        <w:tabs>
          <w:tab w:val="num" w:pos="720"/>
        </w:tabs>
        <w:ind w:left="720" w:hanging="360"/>
      </w:pPr>
      <w:rPr>
        <w:rFonts w:ascii="Symbol" w:hAnsi="Symbol"/>
      </w:rPr>
    </w:lvl>
    <w:lvl w:ilvl="1" w:tplc="447CA94C">
      <w:start w:val="1"/>
      <w:numFmt w:val="bullet"/>
      <w:lvlText w:val="o"/>
      <w:lvlJc w:val="left"/>
      <w:pPr>
        <w:tabs>
          <w:tab w:val="num" w:pos="1440"/>
        </w:tabs>
        <w:ind w:left="1440" w:hanging="360"/>
      </w:pPr>
      <w:rPr>
        <w:rFonts w:ascii="Courier New" w:hAnsi="Courier New"/>
      </w:rPr>
    </w:lvl>
    <w:lvl w:ilvl="2" w:tplc="5CBAC508">
      <w:start w:val="1"/>
      <w:numFmt w:val="bullet"/>
      <w:lvlText w:val=""/>
      <w:lvlJc w:val="left"/>
      <w:pPr>
        <w:tabs>
          <w:tab w:val="num" w:pos="2160"/>
        </w:tabs>
        <w:ind w:left="2160" w:hanging="360"/>
      </w:pPr>
      <w:rPr>
        <w:rFonts w:ascii="Wingdings" w:hAnsi="Wingdings"/>
      </w:rPr>
    </w:lvl>
    <w:lvl w:ilvl="3" w:tplc="7DF22ED4">
      <w:start w:val="1"/>
      <w:numFmt w:val="bullet"/>
      <w:lvlText w:val=""/>
      <w:lvlJc w:val="left"/>
      <w:pPr>
        <w:tabs>
          <w:tab w:val="num" w:pos="2880"/>
        </w:tabs>
        <w:ind w:left="2880" w:hanging="360"/>
      </w:pPr>
      <w:rPr>
        <w:rFonts w:ascii="Symbol" w:hAnsi="Symbol"/>
      </w:rPr>
    </w:lvl>
    <w:lvl w:ilvl="4" w:tplc="C802AA80">
      <w:start w:val="1"/>
      <w:numFmt w:val="bullet"/>
      <w:lvlText w:val="o"/>
      <w:lvlJc w:val="left"/>
      <w:pPr>
        <w:tabs>
          <w:tab w:val="num" w:pos="3600"/>
        </w:tabs>
        <w:ind w:left="3600" w:hanging="360"/>
      </w:pPr>
      <w:rPr>
        <w:rFonts w:ascii="Courier New" w:hAnsi="Courier New"/>
      </w:rPr>
    </w:lvl>
    <w:lvl w:ilvl="5" w:tplc="8C344F0C">
      <w:start w:val="1"/>
      <w:numFmt w:val="bullet"/>
      <w:lvlText w:val=""/>
      <w:lvlJc w:val="left"/>
      <w:pPr>
        <w:tabs>
          <w:tab w:val="num" w:pos="4320"/>
        </w:tabs>
        <w:ind w:left="4320" w:hanging="360"/>
      </w:pPr>
      <w:rPr>
        <w:rFonts w:ascii="Wingdings" w:hAnsi="Wingdings"/>
      </w:rPr>
    </w:lvl>
    <w:lvl w:ilvl="6" w:tplc="007E2A9E">
      <w:start w:val="1"/>
      <w:numFmt w:val="bullet"/>
      <w:lvlText w:val=""/>
      <w:lvlJc w:val="left"/>
      <w:pPr>
        <w:tabs>
          <w:tab w:val="num" w:pos="5040"/>
        </w:tabs>
        <w:ind w:left="5040" w:hanging="360"/>
      </w:pPr>
      <w:rPr>
        <w:rFonts w:ascii="Symbol" w:hAnsi="Symbol"/>
      </w:rPr>
    </w:lvl>
    <w:lvl w:ilvl="7" w:tplc="70D89B44">
      <w:start w:val="1"/>
      <w:numFmt w:val="bullet"/>
      <w:lvlText w:val="o"/>
      <w:lvlJc w:val="left"/>
      <w:pPr>
        <w:tabs>
          <w:tab w:val="num" w:pos="5760"/>
        </w:tabs>
        <w:ind w:left="5760" w:hanging="360"/>
      </w:pPr>
      <w:rPr>
        <w:rFonts w:ascii="Courier New" w:hAnsi="Courier New"/>
      </w:rPr>
    </w:lvl>
    <w:lvl w:ilvl="8" w:tplc="13621CCC">
      <w:start w:val="1"/>
      <w:numFmt w:val="bullet"/>
      <w:lvlText w:val=""/>
      <w:lvlJc w:val="left"/>
      <w:pPr>
        <w:tabs>
          <w:tab w:val="num" w:pos="6480"/>
        </w:tabs>
        <w:ind w:left="6480" w:hanging="360"/>
      </w:pPr>
      <w:rPr>
        <w:rFonts w:ascii="Wingdings" w:hAnsi="Wingdings"/>
      </w:rPr>
    </w:lvl>
  </w:abstractNum>
  <w:abstractNum w:abstractNumId="584" w15:restartNumberingAfterBreak="0">
    <w:nsid w:val="7223070A"/>
    <w:multiLevelType w:val="hybridMultilevel"/>
    <w:tmpl w:val="7223070A"/>
    <w:lvl w:ilvl="0" w:tplc="8B1047F4">
      <w:start w:val="1"/>
      <w:numFmt w:val="bullet"/>
      <w:lvlText w:val=""/>
      <w:lvlJc w:val="left"/>
      <w:pPr>
        <w:ind w:left="720" w:hanging="360"/>
      </w:pPr>
      <w:rPr>
        <w:rFonts w:ascii="Symbol" w:hAnsi="Symbol"/>
      </w:rPr>
    </w:lvl>
    <w:lvl w:ilvl="1" w:tplc="CE2E4848">
      <w:start w:val="1"/>
      <w:numFmt w:val="bullet"/>
      <w:lvlText w:val="o"/>
      <w:lvlJc w:val="left"/>
      <w:pPr>
        <w:tabs>
          <w:tab w:val="num" w:pos="1440"/>
        </w:tabs>
        <w:ind w:left="1440" w:hanging="360"/>
      </w:pPr>
      <w:rPr>
        <w:rFonts w:ascii="Courier New" w:hAnsi="Courier New"/>
      </w:rPr>
    </w:lvl>
    <w:lvl w:ilvl="2" w:tplc="85E07962">
      <w:start w:val="1"/>
      <w:numFmt w:val="bullet"/>
      <w:lvlText w:val=""/>
      <w:lvlJc w:val="left"/>
      <w:pPr>
        <w:tabs>
          <w:tab w:val="num" w:pos="2160"/>
        </w:tabs>
        <w:ind w:left="2160" w:hanging="360"/>
      </w:pPr>
      <w:rPr>
        <w:rFonts w:ascii="Wingdings" w:hAnsi="Wingdings"/>
      </w:rPr>
    </w:lvl>
    <w:lvl w:ilvl="3" w:tplc="4A668F82">
      <w:start w:val="1"/>
      <w:numFmt w:val="bullet"/>
      <w:lvlText w:val=""/>
      <w:lvlJc w:val="left"/>
      <w:pPr>
        <w:tabs>
          <w:tab w:val="num" w:pos="2880"/>
        </w:tabs>
        <w:ind w:left="2880" w:hanging="360"/>
      </w:pPr>
      <w:rPr>
        <w:rFonts w:ascii="Symbol" w:hAnsi="Symbol"/>
      </w:rPr>
    </w:lvl>
    <w:lvl w:ilvl="4" w:tplc="0EF893A0">
      <w:start w:val="1"/>
      <w:numFmt w:val="bullet"/>
      <w:lvlText w:val="o"/>
      <w:lvlJc w:val="left"/>
      <w:pPr>
        <w:tabs>
          <w:tab w:val="num" w:pos="3600"/>
        </w:tabs>
        <w:ind w:left="3600" w:hanging="360"/>
      </w:pPr>
      <w:rPr>
        <w:rFonts w:ascii="Courier New" w:hAnsi="Courier New"/>
      </w:rPr>
    </w:lvl>
    <w:lvl w:ilvl="5" w:tplc="F6526F96">
      <w:start w:val="1"/>
      <w:numFmt w:val="bullet"/>
      <w:lvlText w:val=""/>
      <w:lvlJc w:val="left"/>
      <w:pPr>
        <w:tabs>
          <w:tab w:val="num" w:pos="4320"/>
        </w:tabs>
        <w:ind w:left="4320" w:hanging="360"/>
      </w:pPr>
      <w:rPr>
        <w:rFonts w:ascii="Wingdings" w:hAnsi="Wingdings"/>
      </w:rPr>
    </w:lvl>
    <w:lvl w:ilvl="6" w:tplc="6EA2C8C2">
      <w:start w:val="1"/>
      <w:numFmt w:val="bullet"/>
      <w:lvlText w:val=""/>
      <w:lvlJc w:val="left"/>
      <w:pPr>
        <w:tabs>
          <w:tab w:val="num" w:pos="5040"/>
        </w:tabs>
        <w:ind w:left="5040" w:hanging="360"/>
      </w:pPr>
      <w:rPr>
        <w:rFonts w:ascii="Symbol" w:hAnsi="Symbol"/>
      </w:rPr>
    </w:lvl>
    <w:lvl w:ilvl="7" w:tplc="55E6D004">
      <w:start w:val="1"/>
      <w:numFmt w:val="bullet"/>
      <w:lvlText w:val="o"/>
      <w:lvlJc w:val="left"/>
      <w:pPr>
        <w:tabs>
          <w:tab w:val="num" w:pos="5760"/>
        </w:tabs>
        <w:ind w:left="5760" w:hanging="360"/>
      </w:pPr>
      <w:rPr>
        <w:rFonts w:ascii="Courier New" w:hAnsi="Courier New"/>
      </w:rPr>
    </w:lvl>
    <w:lvl w:ilvl="8" w:tplc="A92458D6">
      <w:start w:val="1"/>
      <w:numFmt w:val="bullet"/>
      <w:lvlText w:val=""/>
      <w:lvlJc w:val="left"/>
      <w:pPr>
        <w:tabs>
          <w:tab w:val="num" w:pos="6480"/>
        </w:tabs>
        <w:ind w:left="6480" w:hanging="360"/>
      </w:pPr>
      <w:rPr>
        <w:rFonts w:ascii="Wingdings" w:hAnsi="Wingdings"/>
      </w:rPr>
    </w:lvl>
  </w:abstractNum>
  <w:abstractNum w:abstractNumId="585" w15:restartNumberingAfterBreak="0">
    <w:nsid w:val="7223070B"/>
    <w:multiLevelType w:val="hybridMultilevel"/>
    <w:tmpl w:val="7223070B"/>
    <w:lvl w:ilvl="0" w:tplc="F1504D66">
      <w:start w:val="1"/>
      <w:numFmt w:val="bullet"/>
      <w:lvlText w:val=""/>
      <w:lvlJc w:val="left"/>
      <w:pPr>
        <w:ind w:left="720" w:hanging="360"/>
      </w:pPr>
      <w:rPr>
        <w:rFonts w:ascii="Symbol" w:hAnsi="Symbol"/>
      </w:rPr>
    </w:lvl>
    <w:lvl w:ilvl="1" w:tplc="AD40F31E">
      <w:start w:val="1"/>
      <w:numFmt w:val="bullet"/>
      <w:lvlText w:val="o"/>
      <w:lvlJc w:val="left"/>
      <w:pPr>
        <w:tabs>
          <w:tab w:val="num" w:pos="1440"/>
        </w:tabs>
        <w:ind w:left="1440" w:hanging="360"/>
      </w:pPr>
      <w:rPr>
        <w:rFonts w:ascii="Courier New" w:hAnsi="Courier New"/>
      </w:rPr>
    </w:lvl>
    <w:lvl w:ilvl="2" w:tplc="4A62087E">
      <w:start w:val="1"/>
      <w:numFmt w:val="bullet"/>
      <w:lvlText w:val=""/>
      <w:lvlJc w:val="left"/>
      <w:pPr>
        <w:tabs>
          <w:tab w:val="num" w:pos="2160"/>
        </w:tabs>
        <w:ind w:left="2160" w:hanging="360"/>
      </w:pPr>
      <w:rPr>
        <w:rFonts w:ascii="Wingdings" w:hAnsi="Wingdings"/>
      </w:rPr>
    </w:lvl>
    <w:lvl w:ilvl="3" w:tplc="4C2EDAA6">
      <w:start w:val="1"/>
      <w:numFmt w:val="bullet"/>
      <w:lvlText w:val=""/>
      <w:lvlJc w:val="left"/>
      <w:pPr>
        <w:tabs>
          <w:tab w:val="num" w:pos="2880"/>
        </w:tabs>
        <w:ind w:left="2880" w:hanging="360"/>
      </w:pPr>
      <w:rPr>
        <w:rFonts w:ascii="Symbol" w:hAnsi="Symbol"/>
      </w:rPr>
    </w:lvl>
    <w:lvl w:ilvl="4" w:tplc="8C54F10E">
      <w:start w:val="1"/>
      <w:numFmt w:val="bullet"/>
      <w:lvlText w:val="o"/>
      <w:lvlJc w:val="left"/>
      <w:pPr>
        <w:tabs>
          <w:tab w:val="num" w:pos="3600"/>
        </w:tabs>
        <w:ind w:left="3600" w:hanging="360"/>
      </w:pPr>
      <w:rPr>
        <w:rFonts w:ascii="Courier New" w:hAnsi="Courier New"/>
      </w:rPr>
    </w:lvl>
    <w:lvl w:ilvl="5" w:tplc="66B46916">
      <w:start w:val="1"/>
      <w:numFmt w:val="bullet"/>
      <w:lvlText w:val=""/>
      <w:lvlJc w:val="left"/>
      <w:pPr>
        <w:tabs>
          <w:tab w:val="num" w:pos="4320"/>
        </w:tabs>
        <w:ind w:left="4320" w:hanging="360"/>
      </w:pPr>
      <w:rPr>
        <w:rFonts w:ascii="Wingdings" w:hAnsi="Wingdings"/>
      </w:rPr>
    </w:lvl>
    <w:lvl w:ilvl="6" w:tplc="E920F914">
      <w:start w:val="1"/>
      <w:numFmt w:val="bullet"/>
      <w:lvlText w:val=""/>
      <w:lvlJc w:val="left"/>
      <w:pPr>
        <w:tabs>
          <w:tab w:val="num" w:pos="5040"/>
        </w:tabs>
        <w:ind w:left="5040" w:hanging="360"/>
      </w:pPr>
      <w:rPr>
        <w:rFonts w:ascii="Symbol" w:hAnsi="Symbol"/>
      </w:rPr>
    </w:lvl>
    <w:lvl w:ilvl="7" w:tplc="0C044E10">
      <w:start w:val="1"/>
      <w:numFmt w:val="bullet"/>
      <w:lvlText w:val="o"/>
      <w:lvlJc w:val="left"/>
      <w:pPr>
        <w:tabs>
          <w:tab w:val="num" w:pos="5760"/>
        </w:tabs>
        <w:ind w:left="5760" w:hanging="360"/>
      </w:pPr>
      <w:rPr>
        <w:rFonts w:ascii="Courier New" w:hAnsi="Courier New"/>
      </w:rPr>
    </w:lvl>
    <w:lvl w:ilvl="8" w:tplc="34C283DC">
      <w:start w:val="1"/>
      <w:numFmt w:val="bullet"/>
      <w:lvlText w:val=""/>
      <w:lvlJc w:val="left"/>
      <w:pPr>
        <w:tabs>
          <w:tab w:val="num" w:pos="6480"/>
        </w:tabs>
        <w:ind w:left="6480" w:hanging="360"/>
      </w:pPr>
      <w:rPr>
        <w:rFonts w:ascii="Wingdings" w:hAnsi="Wingdings"/>
      </w:rPr>
    </w:lvl>
  </w:abstractNum>
  <w:abstractNum w:abstractNumId="586" w15:restartNumberingAfterBreak="0">
    <w:nsid w:val="7223070C"/>
    <w:multiLevelType w:val="hybridMultilevel"/>
    <w:tmpl w:val="7223070C"/>
    <w:lvl w:ilvl="0" w:tplc="54FA50D0">
      <w:start w:val="1"/>
      <w:numFmt w:val="bullet"/>
      <w:lvlText w:val=""/>
      <w:lvlJc w:val="left"/>
      <w:pPr>
        <w:ind w:left="720" w:hanging="360"/>
      </w:pPr>
      <w:rPr>
        <w:rFonts w:ascii="Symbol" w:hAnsi="Symbol"/>
      </w:rPr>
    </w:lvl>
    <w:lvl w:ilvl="1" w:tplc="AEBE1CD2">
      <w:start w:val="1"/>
      <w:numFmt w:val="bullet"/>
      <w:lvlText w:val="o"/>
      <w:lvlJc w:val="left"/>
      <w:pPr>
        <w:tabs>
          <w:tab w:val="num" w:pos="1440"/>
        </w:tabs>
        <w:ind w:left="1440" w:hanging="360"/>
      </w:pPr>
      <w:rPr>
        <w:rFonts w:ascii="Courier New" w:hAnsi="Courier New"/>
      </w:rPr>
    </w:lvl>
    <w:lvl w:ilvl="2" w:tplc="E62A80B0">
      <w:start w:val="1"/>
      <w:numFmt w:val="bullet"/>
      <w:lvlText w:val=""/>
      <w:lvlJc w:val="left"/>
      <w:pPr>
        <w:tabs>
          <w:tab w:val="num" w:pos="2160"/>
        </w:tabs>
        <w:ind w:left="2160" w:hanging="360"/>
      </w:pPr>
      <w:rPr>
        <w:rFonts w:ascii="Wingdings" w:hAnsi="Wingdings"/>
      </w:rPr>
    </w:lvl>
    <w:lvl w:ilvl="3" w:tplc="7EA2B3E2">
      <w:start w:val="1"/>
      <w:numFmt w:val="bullet"/>
      <w:lvlText w:val=""/>
      <w:lvlJc w:val="left"/>
      <w:pPr>
        <w:tabs>
          <w:tab w:val="num" w:pos="2880"/>
        </w:tabs>
        <w:ind w:left="2880" w:hanging="360"/>
      </w:pPr>
      <w:rPr>
        <w:rFonts w:ascii="Symbol" w:hAnsi="Symbol"/>
      </w:rPr>
    </w:lvl>
    <w:lvl w:ilvl="4" w:tplc="8A36E120">
      <w:start w:val="1"/>
      <w:numFmt w:val="bullet"/>
      <w:lvlText w:val="o"/>
      <w:lvlJc w:val="left"/>
      <w:pPr>
        <w:tabs>
          <w:tab w:val="num" w:pos="3600"/>
        </w:tabs>
        <w:ind w:left="3600" w:hanging="360"/>
      </w:pPr>
      <w:rPr>
        <w:rFonts w:ascii="Courier New" w:hAnsi="Courier New"/>
      </w:rPr>
    </w:lvl>
    <w:lvl w:ilvl="5" w:tplc="1682D302">
      <w:start w:val="1"/>
      <w:numFmt w:val="bullet"/>
      <w:lvlText w:val=""/>
      <w:lvlJc w:val="left"/>
      <w:pPr>
        <w:tabs>
          <w:tab w:val="num" w:pos="4320"/>
        </w:tabs>
        <w:ind w:left="4320" w:hanging="360"/>
      </w:pPr>
      <w:rPr>
        <w:rFonts w:ascii="Wingdings" w:hAnsi="Wingdings"/>
      </w:rPr>
    </w:lvl>
    <w:lvl w:ilvl="6" w:tplc="789ED912">
      <w:start w:val="1"/>
      <w:numFmt w:val="bullet"/>
      <w:lvlText w:val=""/>
      <w:lvlJc w:val="left"/>
      <w:pPr>
        <w:tabs>
          <w:tab w:val="num" w:pos="5040"/>
        </w:tabs>
        <w:ind w:left="5040" w:hanging="360"/>
      </w:pPr>
      <w:rPr>
        <w:rFonts w:ascii="Symbol" w:hAnsi="Symbol"/>
      </w:rPr>
    </w:lvl>
    <w:lvl w:ilvl="7" w:tplc="2E6C47D2">
      <w:start w:val="1"/>
      <w:numFmt w:val="bullet"/>
      <w:lvlText w:val="o"/>
      <w:lvlJc w:val="left"/>
      <w:pPr>
        <w:tabs>
          <w:tab w:val="num" w:pos="5760"/>
        </w:tabs>
        <w:ind w:left="5760" w:hanging="360"/>
      </w:pPr>
      <w:rPr>
        <w:rFonts w:ascii="Courier New" w:hAnsi="Courier New"/>
      </w:rPr>
    </w:lvl>
    <w:lvl w:ilvl="8" w:tplc="A12E033E">
      <w:start w:val="1"/>
      <w:numFmt w:val="bullet"/>
      <w:lvlText w:val=""/>
      <w:lvlJc w:val="left"/>
      <w:pPr>
        <w:tabs>
          <w:tab w:val="num" w:pos="6480"/>
        </w:tabs>
        <w:ind w:left="6480" w:hanging="360"/>
      </w:pPr>
      <w:rPr>
        <w:rFonts w:ascii="Wingdings" w:hAnsi="Wingdings"/>
      </w:rPr>
    </w:lvl>
  </w:abstractNum>
  <w:abstractNum w:abstractNumId="587" w15:restartNumberingAfterBreak="0">
    <w:nsid w:val="7223070D"/>
    <w:multiLevelType w:val="hybridMultilevel"/>
    <w:tmpl w:val="7223070D"/>
    <w:lvl w:ilvl="0" w:tplc="77BCCF14">
      <w:start w:val="1"/>
      <w:numFmt w:val="bullet"/>
      <w:lvlText w:val=""/>
      <w:lvlJc w:val="left"/>
      <w:pPr>
        <w:ind w:left="720" w:hanging="360"/>
      </w:pPr>
      <w:rPr>
        <w:rFonts w:ascii="Symbol" w:hAnsi="Symbol"/>
      </w:rPr>
    </w:lvl>
    <w:lvl w:ilvl="1" w:tplc="DD2EC426">
      <w:start w:val="1"/>
      <w:numFmt w:val="bullet"/>
      <w:lvlText w:val="o"/>
      <w:lvlJc w:val="left"/>
      <w:pPr>
        <w:tabs>
          <w:tab w:val="num" w:pos="1440"/>
        </w:tabs>
        <w:ind w:left="1440" w:hanging="360"/>
      </w:pPr>
      <w:rPr>
        <w:rFonts w:ascii="Courier New" w:hAnsi="Courier New"/>
      </w:rPr>
    </w:lvl>
    <w:lvl w:ilvl="2" w:tplc="84866FA0">
      <w:start w:val="1"/>
      <w:numFmt w:val="bullet"/>
      <w:lvlText w:val=""/>
      <w:lvlJc w:val="left"/>
      <w:pPr>
        <w:tabs>
          <w:tab w:val="num" w:pos="2160"/>
        </w:tabs>
        <w:ind w:left="2160" w:hanging="360"/>
      </w:pPr>
      <w:rPr>
        <w:rFonts w:ascii="Wingdings" w:hAnsi="Wingdings"/>
      </w:rPr>
    </w:lvl>
    <w:lvl w:ilvl="3" w:tplc="E01AFFF0">
      <w:start w:val="1"/>
      <w:numFmt w:val="bullet"/>
      <w:lvlText w:val=""/>
      <w:lvlJc w:val="left"/>
      <w:pPr>
        <w:tabs>
          <w:tab w:val="num" w:pos="2880"/>
        </w:tabs>
        <w:ind w:left="2880" w:hanging="360"/>
      </w:pPr>
      <w:rPr>
        <w:rFonts w:ascii="Symbol" w:hAnsi="Symbol"/>
      </w:rPr>
    </w:lvl>
    <w:lvl w:ilvl="4" w:tplc="305C9E52">
      <w:start w:val="1"/>
      <w:numFmt w:val="bullet"/>
      <w:lvlText w:val="o"/>
      <w:lvlJc w:val="left"/>
      <w:pPr>
        <w:tabs>
          <w:tab w:val="num" w:pos="3600"/>
        </w:tabs>
        <w:ind w:left="3600" w:hanging="360"/>
      </w:pPr>
      <w:rPr>
        <w:rFonts w:ascii="Courier New" w:hAnsi="Courier New"/>
      </w:rPr>
    </w:lvl>
    <w:lvl w:ilvl="5" w:tplc="324CF808">
      <w:start w:val="1"/>
      <w:numFmt w:val="bullet"/>
      <w:lvlText w:val=""/>
      <w:lvlJc w:val="left"/>
      <w:pPr>
        <w:tabs>
          <w:tab w:val="num" w:pos="4320"/>
        </w:tabs>
        <w:ind w:left="4320" w:hanging="360"/>
      </w:pPr>
      <w:rPr>
        <w:rFonts w:ascii="Wingdings" w:hAnsi="Wingdings"/>
      </w:rPr>
    </w:lvl>
    <w:lvl w:ilvl="6" w:tplc="E6C6E976">
      <w:start w:val="1"/>
      <w:numFmt w:val="bullet"/>
      <w:lvlText w:val=""/>
      <w:lvlJc w:val="left"/>
      <w:pPr>
        <w:tabs>
          <w:tab w:val="num" w:pos="5040"/>
        </w:tabs>
        <w:ind w:left="5040" w:hanging="360"/>
      </w:pPr>
      <w:rPr>
        <w:rFonts w:ascii="Symbol" w:hAnsi="Symbol"/>
      </w:rPr>
    </w:lvl>
    <w:lvl w:ilvl="7" w:tplc="D22C58CE">
      <w:start w:val="1"/>
      <w:numFmt w:val="bullet"/>
      <w:lvlText w:val="o"/>
      <w:lvlJc w:val="left"/>
      <w:pPr>
        <w:tabs>
          <w:tab w:val="num" w:pos="5760"/>
        </w:tabs>
        <w:ind w:left="5760" w:hanging="360"/>
      </w:pPr>
      <w:rPr>
        <w:rFonts w:ascii="Courier New" w:hAnsi="Courier New"/>
      </w:rPr>
    </w:lvl>
    <w:lvl w:ilvl="8" w:tplc="5A4ED038">
      <w:start w:val="1"/>
      <w:numFmt w:val="bullet"/>
      <w:lvlText w:val=""/>
      <w:lvlJc w:val="left"/>
      <w:pPr>
        <w:tabs>
          <w:tab w:val="num" w:pos="6480"/>
        </w:tabs>
        <w:ind w:left="6480" w:hanging="360"/>
      </w:pPr>
      <w:rPr>
        <w:rFonts w:ascii="Wingdings" w:hAnsi="Wingdings"/>
      </w:rPr>
    </w:lvl>
  </w:abstractNum>
  <w:abstractNum w:abstractNumId="588" w15:restartNumberingAfterBreak="0">
    <w:nsid w:val="7223070E"/>
    <w:multiLevelType w:val="hybridMultilevel"/>
    <w:tmpl w:val="7223070E"/>
    <w:lvl w:ilvl="0" w:tplc="190A0454">
      <w:start w:val="1"/>
      <w:numFmt w:val="bullet"/>
      <w:lvlText w:val=""/>
      <w:lvlJc w:val="left"/>
      <w:pPr>
        <w:ind w:left="720" w:hanging="360"/>
      </w:pPr>
      <w:rPr>
        <w:rFonts w:ascii="Symbol" w:hAnsi="Symbol"/>
      </w:rPr>
    </w:lvl>
    <w:lvl w:ilvl="1" w:tplc="8E04B8BA">
      <w:start w:val="1"/>
      <w:numFmt w:val="bullet"/>
      <w:lvlText w:val="o"/>
      <w:lvlJc w:val="left"/>
      <w:pPr>
        <w:tabs>
          <w:tab w:val="num" w:pos="1440"/>
        </w:tabs>
        <w:ind w:left="1440" w:hanging="360"/>
      </w:pPr>
      <w:rPr>
        <w:rFonts w:ascii="Courier New" w:hAnsi="Courier New"/>
      </w:rPr>
    </w:lvl>
    <w:lvl w:ilvl="2" w:tplc="484AAC12">
      <w:start w:val="1"/>
      <w:numFmt w:val="bullet"/>
      <w:lvlText w:val=""/>
      <w:lvlJc w:val="left"/>
      <w:pPr>
        <w:tabs>
          <w:tab w:val="num" w:pos="2160"/>
        </w:tabs>
        <w:ind w:left="2160" w:hanging="360"/>
      </w:pPr>
      <w:rPr>
        <w:rFonts w:ascii="Wingdings" w:hAnsi="Wingdings"/>
      </w:rPr>
    </w:lvl>
    <w:lvl w:ilvl="3" w:tplc="A2506220">
      <w:start w:val="1"/>
      <w:numFmt w:val="bullet"/>
      <w:lvlText w:val=""/>
      <w:lvlJc w:val="left"/>
      <w:pPr>
        <w:tabs>
          <w:tab w:val="num" w:pos="2880"/>
        </w:tabs>
        <w:ind w:left="2880" w:hanging="360"/>
      </w:pPr>
      <w:rPr>
        <w:rFonts w:ascii="Symbol" w:hAnsi="Symbol"/>
      </w:rPr>
    </w:lvl>
    <w:lvl w:ilvl="4" w:tplc="D102B046">
      <w:start w:val="1"/>
      <w:numFmt w:val="bullet"/>
      <w:lvlText w:val="o"/>
      <w:lvlJc w:val="left"/>
      <w:pPr>
        <w:tabs>
          <w:tab w:val="num" w:pos="3600"/>
        </w:tabs>
        <w:ind w:left="3600" w:hanging="360"/>
      </w:pPr>
      <w:rPr>
        <w:rFonts w:ascii="Courier New" w:hAnsi="Courier New"/>
      </w:rPr>
    </w:lvl>
    <w:lvl w:ilvl="5" w:tplc="203276A4">
      <w:start w:val="1"/>
      <w:numFmt w:val="bullet"/>
      <w:lvlText w:val=""/>
      <w:lvlJc w:val="left"/>
      <w:pPr>
        <w:tabs>
          <w:tab w:val="num" w:pos="4320"/>
        </w:tabs>
        <w:ind w:left="4320" w:hanging="360"/>
      </w:pPr>
      <w:rPr>
        <w:rFonts w:ascii="Wingdings" w:hAnsi="Wingdings"/>
      </w:rPr>
    </w:lvl>
    <w:lvl w:ilvl="6" w:tplc="D82EF408">
      <w:start w:val="1"/>
      <w:numFmt w:val="bullet"/>
      <w:lvlText w:val=""/>
      <w:lvlJc w:val="left"/>
      <w:pPr>
        <w:tabs>
          <w:tab w:val="num" w:pos="5040"/>
        </w:tabs>
        <w:ind w:left="5040" w:hanging="360"/>
      </w:pPr>
      <w:rPr>
        <w:rFonts w:ascii="Symbol" w:hAnsi="Symbol"/>
      </w:rPr>
    </w:lvl>
    <w:lvl w:ilvl="7" w:tplc="8F2E6F88">
      <w:start w:val="1"/>
      <w:numFmt w:val="bullet"/>
      <w:lvlText w:val="o"/>
      <w:lvlJc w:val="left"/>
      <w:pPr>
        <w:tabs>
          <w:tab w:val="num" w:pos="5760"/>
        </w:tabs>
        <w:ind w:left="5760" w:hanging="360"/>
      </w:pPr>
      <w:rPr>
        <w:rFonts w:ascii="Courier New" w:hAnsi="Courier New"/>
      </w:rPr>
    </w:lvl>
    <w:lvl w:ilvl="8" w:tplc="2E1678C6">
      <w:start w:val="1"/>
      <w:numFmt w:val="bullet"/>
      <w:lvlText w:val=""/>
      <w:lvlJc w:val="left"/>
      <w:pPr>
        <w:tabs>
          <w:tab w:val="num" w:pos="6480"/>
        </w:tabs>
        <w:ind w:left="6480" w:hanging="360"/>
      </w:pPr>
      <w:rPr>
        <w:rFonts w:ascii="Wingdings" w:hAnsi="Wingdings"/>
      </w:rPr>
    </w:lvl>
  </w:abstractNum>
  <w:abstractNum w:abstractNumId="589" w15:restartNumberingAfterBreak="0">
    <w:nsid w:val="7223070F"/>
    <w:multiLevelType w:val="hybridMultilevel"/>
    <w:tmpl w:val="7223070F"/>
    <w:lvl w:ilvl="0" w:tplc="21CCD5F8">
      <w:start w:val="1"/>
      <w:numFmt w:val="bullet"/>
      <w:lvlText w:val=""/>
      <w:lvlJc w:val="left"/>
      <w:pPr>
        <w:ind w:left="720" w:hanging="360"/>
      </w:pPr>
      <w:rPr>
        <w:rFonts w:ascii="Symbol" w:hAnsi="Symbol"/>
      </w:rPr>
    </w:lvl>
    <w:lvl w:ilvl="1" w:tplc="0B9CD370">
      <w:start w:val="1"/>
      <w:numFmt w:val="bullet"/>
      <w:lvlText w:val="o"/>
      <w:lvlJc w:val="left"/>
      <w:pPr>
        <w:ind w:left="1440" w:hanging="360"/>
      </w:pPr>
      <w:rPr>
        <w:rFonts w:ascii="Courier New" w:hAnsi="Courier New"/>
      </w:rPr>
    </w:lvl>
    <w:lvl w:ilvl="2" w:tplc="0EEE2D8A">
      <w:start w:val="1"/>
      <w:numFmt w:val="bullet"/>
      <w:lvlText w:val=""/>
      <w:lvlJc w:val="left"/>
      <w:pPr>
        <w:tabs>
          <w:tab w:val="num" w:pos="2160"/>
        </w:tabs>
        <w:ind w:left="2160" w:hanging="360"/>
      </w:pPr>
      <w:rPr>
        <w:rFonts w:ascii="Wingdings" w:hAnsi="Wingdings"/>
      </w:rPr>
    </w:lvl>
    <w:lvl w:ilvl="3" w:tplc="54B886E6">
      <w:start w:val="1"/>
      <w:numFmt w:val="bullet"/>
      <w:lvlText w:val=""/>
      <w:lvlJc w:val="left"/>
      <w:pPr>
        <w:tabs>
          <w:tab w:val="num" w:pos="2880"/>
        </w:tabs>
        <w:ind w:left="2880" w:hanging="360"/>
      </w:pPr>
      <w:rPr>
        <w:rFonts w:ascii="Symbol" w:hAnsi="Symbol"/>
      </w:rPr>
    </w:lvl>
    <w:lvl w:ilvl="4" w:tplc="AF70084E">
      <w:start w:val="1"/>
      <w:numFmt w:val="bullet"/>
      <w:lvlText w:val="o"/>
      <w:lvlJc w:val="left"/>
      <w:pPr>
        <w:tabs>
          <w:tab w:val="num" w:pos="3600"/>
        </w:tabs>
        <w:ind w:left="3600" w:hanging="360"/>
      </w:pPr>
      <w:rPr>
        <w:rFonts w:ascii="Courier New" w:hAnsi="Courier New"/>
      </w:rPr>
    </w:lvl>
    <w:lvl w:ilvl="5" w:tplc="E174E218">
      <w:start w:val="1"/>
      <w:numFmt w:val="bullet"/>
      <w:lvlText w:val=""/>
      <w:lvlJc w:val="left"/>
      <w:pPr>
        <w:tabs>
          <w:tab w:val="num" w:pos="4320"/>
        </w:tabs>
        <w:ind w:left="4320" w:hanging="360"/>
      </w:pPr>
      <w:rPr>
        <w:rFonts w:ascii="Wingdings" w:hAnsi="Wingdings"/>
      </w:rPr>
    </w:lvl>
    <w:lvl w:ilvl="6" w:tplc="354874EC">
      <w:start w:val="1"/>
      <w:numFmt w:val="bullet"/>
      <w:lvlText w:val=""/>
      <w:lvlJc w:val="left"/>
      <w:pPr>
        <w:tabs>
          <w:tab w:val="num" w:pos="5040"/>
        </w:tabs>
        <w:ind w:left="5040" w:hanging="360"/>
      </w:pPr>
      <w:rPr>
        <w:rFonts w:ascii="Symbol" w:hAnsi="Symbol"/>
      </w:rPr>
    </w:lvl>
    <w:lvl w:ilvl="7" w:tplc="22104008">
      <w:start w:val="1"/>
      <w:numFmt w:val="bullet"/>
      <w:lvlText w:val="o"/>
      <w:lvlJc w:val="left"/>
      <w:pPr>
        <w:tabs>
          <w:tab w:val="num" w:pos="5760"/>
        </w:tabs>
        <w:ind w:left="5760" w:hanging="360"/>
      </w:pPr>
      <w:rPr>
        <w:rFonts w:ascii="Courier New" w:hAnsi="Courier New"/>
      </w:rPr>
    </w:lvl>
    <w:lvl w:ilvl="8" w:tplc="F2D0E01A">
      <w:start w:val="1"/>
      <w:numFmt w:val="bullet"/>
      <w:lvlText w:val=""/>
      <w:lvlJc w:val="left"/>
      <w:pPr>
        <w:tabs>
          <w:tab w:val="num" w:pos="6480"/>
        </w:tabs>
        <w:ind w:left="6480" w:hanging="360"/>
      </w:pPr>
      <w:rPr>
        <w:rFonts w:ascii="Wingdings" w:hAnsi="Wingdings"/>
      </w:rPr>
    </w:lvl>
  </w:abstractNum>
  <w:abstractNum w:abstractNumId="590" w15:restartNumberingAfterBreak="0">
    <w:nsid w:val="72230710"/>
    <w:multiLevelType w:val="hybridMultilevel"/>
    <w:tmpl w:val="72230710"/>
    <w:lvl w:ilvl="0" w:tplc="289C2C08">
      <w:start w:val="1"/>
      <w:numFmt w:val="bullet"/>
      <w:lvlText w:val=""/>
      <w:lvlJc w:val="left"/>
      <w:pPr>
        <w:ind w:left="720" w:hanging="360"/>
      </w:pPr>
      <w:rPr>
        <w:rFonts w:ascii="Symbol" w:hAnsi="Symbol"/>
      </w:rPr>
    </w:lvl>
    <w:lvl w:ilvl="1" w:tplc="8BA0E73A">
      <w:start w:val="1"/>
      <w:numFmt w:val="bullet"/>
      <w:lvlText w:val="o"/>
      <w:lvlJc w:val="left"/>
      <w:pPr>
        <w:ind w:left="1440" w:hanging="360"/>
      </w:pPr>
      <w:rPr>
        <w:rFonts w:ascii="Courier New" w:hAnsi="Courier New"/>
      </w:rPr>
    </w:lvl>
    <w:lvl w:ilvl="2" w:tplc="3C481C26">
      <w:start w:val="1"/>
      <w:numFmt w:val="bullet"/>
      <w:lvlText w:val=""/>
      <w:lvlJc w:val="left"/>
      <w:pPr>
        <w:ind w:left="2160" w:hanging="360"/>
      </w:pPr>
      <w:rPr>
        <w:rFonts w:ascii="Wingdings" w:hAnsi="Wingdings"/>
      </w:rPr>
    </w:lvl>
    <w:lvl w:ilvl="3" w:tplc="4B50B278">
      <w:start w:val="1"/>
      <w:numFmt w:val="bullet"/>
      <w:lvlText w:val=""/>
      <w:lvlJc w:val="left"/>
      <w:pPr>
        <w:tabs>
          <w:tab w:val="num" w:pos="2880"/>
        </w:tabs>
        <w:ind w:left="2880" w:hanging="360"/>
      </w:pPr>
      <w:rPr>
        <w:rFonts w:ascii="Symbol" w:hAnsi="Symbol"/>
      </w:rPr>
    </w:lvl>
    <w:lvl w:ilvl="4" w:tplc="5142B154">
      <w:start w:val="1"/>
      <w:numFmt w:val="bullet"/>
      <w:lvlText w:val="o"/>
      <w:lvlJc w:val="left"/>
      <w:pPr>
        <w:tabs>
          <w:tab w:val="num" w:pos="3600"/>
        </w:tabs>
        <w:ind w:left="3600" w:hanging="360"/>
      </w:pPr>
      <w:rPr>
        <w:rFonts w:ascii="Courier New" w:hAnsi="Courier New"/>
      </w:rPr>
    </w:lvl>
    <w:lvl w:ilvl="5" w:tplc="53E87738">
      <w:start w:val="1"/>
      <w:numFmt w:val="bullet"/>
      <w:lvlText w:val=""/>
      <w:lvlJc w:val="left"/>
      <w:pPr>
        <w:tabs>
          <w:tab w:val="num" w:pos="4320"/>
        </w:tabs>
        <w:ind w:left="4320" w:hanging="360"/>
      </w:pPr>
      <w:rPr>
        <w:rFonts w:ascii="Wingdings" w:hAnsi="Wingdings"/>
      </w:rPr>
    </w:lvl>
    <w:lvl w:ilvl="6" w:tplc="07C20ADA">
      <w:start w:val="1"/>
      <w:numFmt w:val="bullet"/>
      <w:lvlText w:val=""/>
      <w:lvlJc w:val="left"/>
      <w:pPr>
        <w:tabs>
          <w:tab w:val="num" w:pos="5040"/>
        </w:tabs>
        <w:ind w:left="5040" w:hanging="360"/>
      </w:pPr>
      <w:rPr>
        <w:rFonts w:ascii="Symbol" w:hAnsi="Symbol"/>
      </w:rPr>
    </w:lvl>
    <w:lvl w:ilvl="7" w:tplc="9CF61548">
      <w:start w:val="1"/>
      <w:numFmt w:val="bullet"/>
      <w:lvlText w:val="o"/>
      <w:lvlJc w:val="left"/>
      <w:pPr>
        <w:tabs>
          <w:tab w:val="num" w:pos="5760"/>
        </w:tabs>
        <w:ind w:left="5760" w:hanging="360"/>
      </w:pPr>
      <w:rPr>
        <w:rFonts w:ascii="Courier New" w:hAnsi="Courier New"/>
      </w:rPr>
    </w:lvl>
    <w:lvl w:ilvl="8" w:tplc="E7483486">
      <w:start w:val="1"/>
      <w:numFmt w:val="bullet"/>
      <w:lvlText w:val=""/>
      <w:lvlJc w:val="left"/>
      <w:pPr>
        <w:tabs>
          <w:tab w:val="num" w:pos="6480"/>
        </w:tabs>
        <w:ind w:left="6480" w:hanging="360"/>
      </w:pPr>
      <w:rPr>
        <w:rFonts w:ascii="Wingdings" w:hAnsi="Wingdings"/>
      </w:rPr>
    </w:lvl>
  </w:abstractNum>
  <w:abstractNum w:abstractNumId="591" w15:restartNumberingAfterBreak="0">
    <w:nsid w:val="72230711"/>
    <w:multiLevelType w:val="hybridMultilevel"/>
    <w:tmpl w:val="72230711"/>
    <w:lvl w:ilvl="0" w:tplc="46C0B3EE">
      <w:start w:val="1"/>
      <w:numFmt w:val="bullet"/>
      <w:lvlText w:val=""/>
      <w:lvlJc w:val="left"/>
      <w:pPr>
        <w:ind w:left="720" w:hanging="360"/>
      </w:pPr>
      <w:rPr>
        <w:rFonts w:ascii="Symbol" w:hAnsi="Symbol"/>
      </w:rPr>
    </w:lvl>
    <w:lvl w:ilvl="1" w:tplc="5326696E">
      <w:start w:val="1"/>
      <w:numFmt w:val="bullet"/>
      <w:lvlText w:val="o"/>
      <w:lvlJc w:val="left"/>
      <w:pPr>
        <w:tabs>
          <w:tab w:val="num" w:pos="1440"/>
        </w:tabs>
        <w:ind w:left="1440" w:hanging="360"/>
      </w:pPr>
      <w:rPr>
        <w:rFonts w:ascii="Courier New" w:hAnsi="Courier New"/>
      </w:rPr>
    </w:lvl>
    <w:lvl w:ilvl="2" w:tplc="1BB8C4DE">
      <w:start w:val="1"/>
      <w:numFmt w:val="bullet"/>
      <w:lvlText w:val=""/>
      <w:lvlJc w:val="left"/>
      <w:pPr>
        <w:tabs>
          <w:tab w:val="num" w:pos="2160"/>
        </w:tabs>
        <w:ind w:left="2160" w:hanging="360"/>
      </w:pPr>
      <w:rPr>
        <w:rFonts w:ascii="Wingdings" w:hAnsi="Wingdings"/>
      </w:rPr>
    </w:lvl>
    <w:lvl w:ilvl="3" w:tplc="12E64BBE">
      <w:start w:val="1"/>
      <w:numFmt w:val="bullet"/>
      <w:lvlText w:val=""/>
      <w:lvlJc w:val="left"/>
      <w:pPr>
        <w:tabs>
          <w:tab w:val="num" w:pos="2880"/>
        </w:tabs>
        <w:ind w:left="2880" w:hanging="360"/>
      </w:pPr>
      <w:rPr>
        <w:rFonts w:ascii="Symbol" w:hAnsi="Symbol"/>
      </w:rPr>
    </w:lvl>
    <w:lvl w:ilvl="4" w:tplc="44947874">
      <w:start w:val="1"/>
      <w:numFmt w:val="bullet"/>
      <w:lvlText w:val="o"/>
      <w:lvlJc w:val="left"/>
      <w:pPr>
        <w:tabs>
          <w:tab w:val="num" w:pos="3600"/>
        </w:tabs>
        <w:ind w:left="3600" w:hanging="360"/>
      </w:pPr>
      <w:rPr>
        <w:rFonts w:ascii="Courier New" w:hAnsi="Courier New"/>
      </w:rPr>
    </w:lvl>
    <w:lvl w:ilvl="5" w:tplc="6F9AC9B8">
      <w:start w:val="1"/>
      <w:numFmt w:val="bullet"/>
      <w:lvlText w:val=""/>
      <w:lvlJc w:val="left"/>
      <w:pPr>
        <w:tabs>
          <w:tab w:val="num" w:pos="4320"/>
        </w:tabs>
        <w:ind w:left="4320" w:hanging="360"/>
      </w:pPr>
      <w:rPr>
        <w:rFonts w:ascii="Wingdings" w:hAnsi="Wingdings"/>
      </w:rPr>
    </w:lvl>
    <w:lvl w:ilvl="6" w:tplc="56F2FE2E">
      <w:start w:val="1"/>
      <w:numFmt w:val="bullet"/>
      <w:lvlText w:val=""/>
      <w:lvlJc w:val="left"/>
      <w:pPr>
        <w:tabs>
          <w:tab w:val="num" w:pos="5040"/>
        </w:tabs>
        <w:ind w:left="5040" w:hanging="360"/>
      </w:pPr>
      <w:rPr>
        <w:rFonts w:ascii="Symbol" w:hAnsi="Symbol"/>
      </w:rPr>
    </w:lvl>
    <w:lvl w:ilvl="7" w:tplc="E5908862">
      <w:start w:val="1"/>
      <w:numFmt w:val="bullet"/>
      <w:lvlText w:val="o"/>
      <w:lvlJc w:val="left"/>
      <w:pPr>
        <w:tabs>
          <w:tab w:val="num" w:pos="5760"/>
        </w:tabs>
        <w:ind w:left="5760" w:hanging="360"/>
      </w:pPr>
      <w:rPr>
        <w:rFonts w:ascii="Courier New" w:hAnsi="Courier New"/>
      </w:rPr>
    </w:lvl>
    <w:lvl w:ilvl="8" w:tplc="8D56B7C4">
      <w:start w:val="1"/>
      <w:numFmt w:val="bullet"/>
      <w:lvlText w:val=""/>
      <w:lvlJc w:val="left"/>
      <w:pPr>
        <w:tabs>
          <w:tab w:val="num" w:pos="6480"/>
        </w:tabs>
        <w:ind w:left="6480" w:hanging="360"/>
      </w:pPr>
      <w:rPr>
        <w:rFonts w:ascii="Wingdings" w:hAnsi="Wingdings"/>
      </w:rPr>
    </w:lvl>
  </w:abstractNum>
  <w:abstractNum w:abstractNumId="592" w15:restartNumberingAfterBreak="0">
    <w:nsid w:val="72230712"/>
    <w:multiLevelType w:val="hybridMultilevel"/>
    <w:tmpl w:val="72230712"/>
    <w:lvl w:ilvl="0" w:tplc="9A7648C2">
      <w:start w:val="1"/>
      <w:numFmt w:val="bullet"/>
      <w:lvlText w:val=""/>
      <w:lvlJc w:val="left"/>
      <w:pPr>
        <w:ind w:left="720" w:hanging="360"/>
      </w:pPr>
      <w:rPr>
        <w:rFonts w:ascii="Symbol" w:hAnsi="Symbol"/>
      </w:rPr>
    </w:lvl>
    <w:lvl w:ilvl="1" w:tplc="C944C1CC">
      <w:start w:val="1"/>
      <w:numFmt w:val="bullet"/>
      <w:lvlText w:val="o"/>
      <w:lvlJc w:val="left"/>
      <w:pPr>
        <w:tabs>
          <w:tab w:val="num" w:pos="1440"/>
        </w:tabs>
        <w:ind w:left="1440" w:hanging="360"/>
      </w:pPr>
      <w:rPr>
        <w:rFonts w:ascii="Courier New" w:hAnsi="Courier New"/>
      </w:rPr>
    </w:lvl>
    <w:lvl w:ilvl="2" w:tplc="2C8661E0">
      <w:start w:val="1"/>
      <w:numFmt w:val="bullet"/>
      <w:lvlText w:val=""/>
      <w:lvlJc w:val="left"/>
      <w:pPr>
        <w:tabs>
          <w:tab w:val="num" w:pos="2160"/>
        </w:tabs>
        <w:ind w:left="2160" w:hanging="360"/>
      </w:pPr>
      <w:rPr>
        <w:rFonts w:ascii="Wingdings" w:hAnsi="Wingdings"/>
      </w:rPr>
    </w:lvl>
    <w:lvl w:ilvl="3" w:tplc="33E42E78">
      <w:start w:val="1"/>
      <w:numFmt w:val="bullet"/>
      <w:lvlText w:val=""/>
      <w:lvlJc w:val="left"/>
      <w:pPr>
        <w:tabs>
          <w:tab w:val="num" w:pos="2880"/>
        </w:tabs>
        <w:ind w:left="2880" w:hanging="360"/>
      </w:pPr>
      <w:rPr>
        <w:rFonts w:ascii="Symbol" w:hAnsi="Symbol"/>
      </w:rPr>
    </w:lvl>
    <w:lvl w:ilvl="4" w:tplc="F7D6583A">
      <w:start w:val="1"/>
      <w:numFmt w:val="bullet"/>
      <w:lvlText w:val="o"/>
      <w:lvlJc w:val="left"/>
      <w:pPr>
        <w:tabs>
          <w:tab w:val="num" w:pos="3600"/>
        </w:tabs>
        <w:ind w:left="3600" w:hanging="360"/>
      </w:pPr>
      <w:rPr>
        <w:rFonts w:ascii="Courier New" w:hAnsi="Courier New"/>
      </w:rPr>
    </w:lvl>
    <w:lvl w:ilvl="5" w:tplc="1B748C06">
      <w:start w:val="1"/>
      <w:numFmt w:val="bullet"/>
      <w:lvlText w:val=""/>
      <w:lvlJc w:val="left"/>
      <w:pPr>
        <w:tabs>
          <w:tab w:val="num" w:pos="4320"/>
        </w:tabs>
        <w:ind w:left="4320" w:hanging="360"/>
      </w:pPr>
      <w:rPr>
        <w:rFonts w:ascii="Wingdings" w:hAnsi="Wingdings"/>
      </w:rPr>
    </w:lvl>
    <w:lvl w:ilvl="6" w:tplc="6BC6198C">
      <w:start w:val="1"/>
      <w:numFmt w:val="bullet"/>
      <w:lvlText w:val=""/>
      <w:lvlJc w:val="left"/>
      <w:pPr>
        <w:tabs>
          <w:tab w:val="num" w:pos="5040"/>
        </w:tabs>
        <w:ind w:left="5040" w:hanging="360"/>
      </w:pPr>
      <w:rPr>
        <w:rFonts w:ascii="Symbol" w:hAnsi="Symbol"/>
      </w:rPr>
    </w:lvl>
    <w:lvl w:ilvl="7" w:tplc="6B006B9C">
      <w:start w:val="1"/>
      <w:numFmt w:val="bullet"/>
      <w:lvlText w:val="o"/>
      <w:lvlJc w:val="left"/>
      <w:pPr>
        <w:tabs>
          <w:tab w:val="num" w:pos="5760"/>
        </w:tabs>
        <w:ind w:left="5760" w:hanging="360"/>
      </w:pPr>
      <w:rPr>
        <w:rFonts w:ascii="Courier New" w:hAnsi="Courier New"/>
      </w:rPr>
    </w:lvl>
    <w:lvl w:ilvl="8" w:tplc="AD3C5CFE">
      <w:start w:val="1"/>
      <w:numFmt w:val="bullet"/>
      <w:lvlText w:val=""/>
      <w:lvlJc w:val="left"/>
      <w:pPr>
        <w:tabs>
          <w:tab w:val="num" w:pos="6480"/>
        </w:tabs>
        <w:ind w:left="6480" w:hanging="360"/>
      </w:pPr>
      <w:rPr>
        <w:rFonts w:ascii="Wingdings" w:hAnsi="Wingdings"/>
      </w:rPr>
    </w:lvl>
  </w:abstractNum>
  <w:abstractNum w:abstractNumId="593" w15:restartNumberingAfterBreak="0">
    <w:nsid w:val="72230713"/>
    <w:multiLevelType w:val="hybridMultilevel"/>
    <w:tmpl w:val="72230713"/>
    <w:lvl w:ilvl="0" w:tplc="67B61E52">
      <w:start w:val="1"/>
      <w:numFmt w:val="bullet"/>
      <w:lvlText w:val=""/>
      <w:lvlJc w:val="left"/>
      <w:pPr>
        <w:ind w:left="720" w:hanging="360"/>
      </w:pPr>
      <w:rPr>
        <w:rFonts w:ascii="Symbol" w:hAnsi="Symbol"/>
      </w:rPr>
    </w:lvl>
    <w:lvl w:ilvl="1" w:tplc="98A09A36">
      <w:start w:val="1"/>
      <w:numFmt w:val="bullet"/>
      <w:lvlText w:val="o"/>
      <w:lvlJc w:val="left"/>
      <w:pPr>
        <w:tabs>
          <w:tab w:val="num" w:pos="1440"/>
        </w:tabs>
        <w:ind w:left="1440" w:hanging="360"/>
      </w:pPr>
      <w:rPr>
        <w:rFonts w:ascii="Courier New" w:hAnsi="Courier New"/>
      </w:rPr>
    </w:lvl>
    <w:lvl w:ilvl="2" w:tplc="6FA6B578">
      <w:start w:val="1"/>
      <w:numFmt w:val="bullet"/>
      <w:lvlText w:val=""/>
      <w:lvlJc w:val="left"/>
      <w:pPr>
        <w:tabs>
          <w:tab w:val="num" w:pos="2160"/>
        </w:tabs>
        <w:ind w:left="2160" w:hanging="360"/>
      </w:pPr>
      <w:rPr>
        <w:rFonts w:ascii="Wingdings" w:hAnsi="Wingdings"/>
      </w:rPr>
    </w:lvl>
    <w:lvl w:ilvl="3" w:tplc="5FAA7F46">
      <w:start w:val="1"/>
      <w:numFmt w:val="bullet"/>
      <w:lvlText w:val=""/>
      <w:lvlJc w:val="left"/>
      <w:pPr>
        <w:tabs>
          <w:tab w:val="num" w:pos="2880"/>
        </w:tabs>
        <w:ind w:left="2880" w:hanging="360"/>
      </w:pPr>
      <w:rPr>
        <w:rFonts w:ascii="Symbol" w:hAnsi="Symbol"/>
      </w:rPr>
    </w:lvl>
    <w:lvl w:ilvl="4" w:tplc="20444976">
      <w:start w:val="1"/>
      <w:numFmt w:val="bullet"/>
      <w:lvlText w:val="o"/>
      <w:lvlJc w:val="left"/>
      <w:pPr>
        <w:tabs>
          <w:tab w:val="num" w:pos="3600"/>
        </w:tabs>
        <w:ind w:left="3600" w:hanging="360"/>
      </w:pPr>
      <w:rPr>
        <w:rFonts w:ascii="Courier New" w:hAnsi="Courier New"/>
      </w:rPr>
    </w:lvl>
    <w:lvl w:ilvl="5" w:tplc="C3B0BBDC">
      <w:start w:val="1"/>
      <w:numFmt w:val="bullet"/>
      <w:lvlText w:val=""/>
      <w:lvlJc w:val="left"/>
      <w:pPr>
        <w:tabs>
          <w:tab w:val="num" w:pos="4320"/>
        </w:tabs>
        <w:ind w:left="4320" w:hanging="360"/>
      </w:pPr>
      <w:rPr>
        <w:rFonts w:ascii="Wingdings" w:hAnsi="Wingdings"/>
      </w:rPr>
    </w:lvl>
    <w:lvl w:ilvl="6" w:tplc="7DA49264">
      <w:start w:val="1"/>
      <w:numFmt w:val="bullet"/>
      <w:lvlText w:val=""/>
      <w:lvlJc w:val="left"/>
      <w:pPr>
        <w:tabs>
          <w:tab w:val="num" w:pos="5040"/>
        </w:tabs>
        <w:ind w:left="5040" w:hanging="360"/>
      </w:pPr>
      <w:rPr>
        <w:rFonts w:ascii="Symbol" w:hAnsi="Symbol"/>
      </w:rPr>
    </w:lvl>
    <w:lvl w:ilvl="7" w:tplc="6898F17A">
      <w:start w:val="1"/>
      <w:numFmt w:val="bullet"/>
      <w:lvlText w:val="o"/>
      <w:lvlJc w:val="left"/>
      <w:pPr>
        <w:tabs>
          <w:tab w:val="num" w:pos="5760"/>
        </w:tabs>
        <w:ind w:left="5760" w:hanging="360"/>
      </w:pPr>
      <w:rPr>
        <w:rFonts w:ascii="Courier New" w:hAnsi="Courier New"/>
      </w:rPr>
    </w:lvl>
    <w:lvl w:ilvl="8" w:tplc="96E2E0D6">
      <w:start w:val="1"/>
      <w:numFmt w:val="bullet"/>
      <w:lvlText w:val=""/>
      <w:lvlJc w:val="left"/>
      <w:pPr>
        <w:tabs>
          <w:tab w:val="num" w:pos="6480"/>
        </w:tabs>
        <w:ind w:left="6480" w:hanging="360"/>
      </w:pPr>
      <w:rPr>
        <w:rFonts w:ascii="Wingdings" w:hAnsi="Wingdings"/>
      </w:rPr>
    </w:lvl>
  </w:abstractNum>
  <w:abstractNum w:abstractNumId="594" w15:restartNumberingAfterBreak="0">
    <w:nsid w:val="72230714"/>
    <w:multiLevelType w:val="hybridMultilevel"/>
    <w:tmpl w:val="72230714"/>
    <w:lvl w:ilvl="0" w:tplc="4418DA2A">
      <w:start w:val="1"/>
      <w:numFmt w:val="bullet"/>
      <w:lvlText w:val=""/>
      <w:lvlJc w:val="left"/>
      <w:pPr>
        <w:ind w:left="720" w:hanging="360"/>
      </w:pPr>
      <w:rPr>
        <w:rFonts w:ascii="Symbol" w:hAnsi="Symbol"/>
      </w:rPr>
    </w:lvl>
    <w:lvl w:ilvl="1" w:tplc="1C5098A2">
      <w:start w:val="1"/>
      <w:numFmt w:val="bullet"/>
      <w:lvlText w:val="o"/>
      <w:lvlJc w:val="left"/>
      <w:pPr>
        <w:tabs>
          <w:tab w:val="num" w:pos="1440"/>
        </w:tabs>
        <w:ind w:left="1440" w:hanging="360"/>
      </w:pPr>
      <w:rPr>
        <w:rFonts w:ascii="Courier New" w:hAnsi="Courier New"/>
      </w:rPr>
    </w:lvl>
    <w:lvl w:ilvl="2" w:tplc="2BCEC878">
      <w:start w:val="1"/>
      <w:numFmt w:val="bullet"/>
      <w:lvlText w:val=""/>
      <w:lvlJc w:val="left"/>
      <w:pPr>
        <w:tabs>
          <w:tab w:val="num" w:pos="2160"/>
        </w:tabs>
        <w:ind w:left="2160" w:hanging="360"/>
      </w:pPr>
      <w:rPr>
        <w:rFonts w:ascii="Wingdings" w:hAnsi="Wingdings"/>
      </w:rPr>
    </w:lvl>
    <w:lvl w:ilvl="3" w:tplc="2348E0D0">
      <w:start w:val="1"/>
      <w:numFmt w:val="bullet"/>
      <w:lvlText w:val=""/>
      <w:lvlJc w:val="left"/>
      <w:pPr>
        <w:tabs>
          <w:tab w:val="num" w:pos="2880"/>
        </w:tabs>
        <w:ind w:left="2880" w:hanging="360"/>
      </w:pPr>
      <w:rPr>
        <w:rFonts w:ascii="Symbol" w:hAnsi="Symbol"/>
      </w:rPr>
    </w:lvl>
    <w:lvl w:ilvl="4" w:tplc="407C2CF8">
      <w:start w:val="1"/>
      <w:numFmt w:val="bullet"/>
      <w:lvlText w:val="o"/>
      <w:lvlJc w:val="left"/>
      <w:pPr>
        <w:tabs>
          <w:tab w:val="num" w:pos="3600"/>
        </w:tabs>
        <w:ind w:left="3600" w:hanging="360"/>
      </w:pPr>
      <w:rPr>
        <w:rFonts w:ascii="Courier New" w:hAnsi="Courier New"/>
      </w:rPr>
    </w:lvl>
    <w:lvl w:ilvl="5" w:tplc="8DAEB564">
      <w:start w:val="1"/>
      <w:numFmt w:val="bullet"/>
      <w:lvlText w:val=""/>
      <w:lvlJc w:val="left"/>
      <w:pPr>
        <w:tabs>
          <w:tab w:val="num" w:pos="4320"/>
        </w:tabs>
        <w:ind w:left="4320" w:hanging="360"/>
      </w:pPr>
      <w:rPr>
        <w:rFonts w:ascii="Wingdings" w:hAnsi="Wingdings"/>
      </w:rPr>
    </w:lvl>
    <w:lvl w:ilvl="6" w:tplc="70D05D38">
      <w:start w:val="1"/>
      <w:numFmt w:val="bullet"/>
      <w:lvlText w:val=""/>
      <w:lvlJc w:val="left"/>
      <w:pPr>
        <w:tabs>
          <w:tab w:val="num" w:pos="5040"/>
        </w:tabs>
        <w:ind w:left="5040" w:hanging="360"/>
      </w:pPr>
      <w:rPr>
        <w:rFonts w:ascii="Symbol" w:hAnsi="Symbol"/>
      </w:rPr>
    </w:lvl>
    <w:lvl w:ilvl="7" w:tplc="A00087F4">
      <w:start w:val="1"/>
      <w:numFmt w:val="bullet"/>
      <w:lvlText w:val="o"/>
      <w:lvlJc w:val="left"/>
      <w:pPr>
        <w:tabs>
          <w:tab w:val="num" w:pos="5760"/>
        </w:tabs>
        <w:ind w:left="5760" w:hanging="360"/>
      </w:pPr>
      <w:rPr>
        <w:rFonts w:ascii="Courier New" w:hAnsi="Courier New"/>
      </w:rPr>
    </w:lvl>
    <w:lvl w:ilvl="8" w:tplc="3F3089CE">
      <w:start w:val="1"/>
      <w:numFmt w:val="bullet"/>
      <w:lvlText w:val=""/>
      <w:lvlJc w:val="left"/>
      <w:pPr>
        <w:tabs>
          <w:tab w:val="num" w:pos="6480"/>
        </w:tabs>
        <w:ind w:left="6480" w:hanging="360"/>
      </w:pPr>
      <w:rPr>
        <w:rFonts w:ascii="Wingdings" w:hAnsi="Wingdings"/>
      </w:rPr>
    </w:lvl>
  </w:abstractNum>
  <w:abstractNum w:abstractNumId="595" w15:restartNumberingAfterBreak="0">
    <w:nsid w:val="72230715"/>
    <w:multiLevelType w:val="hybridMultilevel"/>
    <w:tmpl w:val="72230715"/>
    <w:lvl w:ilvl="0" w:tplc="B2304E76">
      <w:start w:val="1"/>
      <w:numFmt w:val="bullet"/>
      <w:lvlText w:val=""/>
      <w:lvlJc w:val="left"/>
      <w:pPr>
        <w:ind w:left="720" w:hanging="360"/>
      </w:pPr>
      <w:rPr>
        <w:rFonts w:ascii="Symbol" w:hAnsi="Symbol"/>
      </w:rPr>
    </w:lvl>
    <w:lvl w:ilvl="1" w:tplc="63809FD8">
      <w:start w:val="1"/>
      <w:numFmt w:val="bullet"/>
      <w:lvlText w:val="o"/>
      <w:lvlJc w:val="left"/>
      <w:pPr>
        <w:tabs>
          <w:tab w:val="num" w:pos="1440"/>
        </w:tabs>
        <w:ind w:left="1440" w:hanging="360"/>
      </w:pPr>
      <w:rPr>
        <w:rFonts w:ascii="Courier New" w:hAnsi="Courier New"/>
      </w:rPr>
    </w:lvl>
    <w:lvl w:ilvl="2" w:tplc="9042B836">
      <w:start w:val="1"/>
      <w:numFmt w:val="bullet"/>
      <w:lvlText w:val=""/>
      <w:lvlJc w:val="left"/>
      <w:pPr>
        <w:tabs>
          <w:tab w:val="num" w:pos="2160"/>
        </w:tabs>
        <w:ind w:left="2160" w:hanging="360"/>
      </w:pPr>
      <w:rPr>
        <w:rFonts w:ascii="Wingdings" w:hAnsi="Wingdings"/>
      </w:rPr>
    </w:lvl>
    <w:lvl w:ilvl="3" w:tplc="6B622D8A">
      <w:start w:val="1"/>
      <w:numFmt w:val="bullet"/>
      <w:lvlText w:val=""/>
      <w:lvlJc w:val="left"/>
      <w:pPr>
        <w:tabs>
          <w:tab w:val="num" w:pos="2880"/>
        </w:tabs>
        <w:ind w:left="2880" w:hanging="360"/>
      </w:pPr>
      <w:rPr>
        <w:rFonts w:ascii="Symbol" w:hAnsi="Symbol"/>
      </w:rPr>
    </w:lvl>
    <w:lvl w:ilvl="4" w:tplc="4AFC2268">
      <w:start w:val="1"/>
      <w:numFmt w:val="bullet"/>
      <w:lvlText w:val="o"/>
      <w:lvlJc w:val="left"/>
      <w:pPr>
        <w:tabs>
          <w:tab w:val="num" w:pos="3600"/>
        </w:tabs>
        <w:ind w:left="3600" w:hanging="360"/>
      </w:pPr>
      <w:rPr>
        <w:rFonts w:ascii="Courier New" w:hAnsi="Courier New"/>
      </w:rPr>
    </w:lvl>
    <w:lvl w:ilvl="5" w:tplc="575000E6">
      <w:start w:val="1"/>
      <w:numFmt w:val="bullet"/>
      <w:lvlText w:val=""/>
      <w:lvlJc w:val="left"/>
      <w:pPr>
        <w:tabs>
          <w:tab w:val="num" w:pos="4320"/>
        </w:tabs>
        <w:ind w:left="4320" w:hanging="360"/>
      </w:pPr>
      <w:rPr>
        <w:rFonts w:ascii="Wingdings" w:hAnsi="Wingdings"/>
      </w:rPr>
    </w:lvl>
    <w:lvl w:ilvl="6" w:tplc="BEDA2974">
      <w:start w:val="1"/>
      <w:numFmt w:val="bullet"/>
      <w:lvlText w:val=""/>
      <w:lvlJc w:val="left"/>
      <w:pPr>
        <w:tabs>
          <w:tab w:val="num" w:pos="5040"/>
        </w:tabs>
        <w:ind w:left="5040" w:hanging="360"/>
      </w:pPr>
      <w:rPr>
        <w:rFonts w:ascii="Symbol" w:hAnsi="Symbol"/>
      </w:rPr>
    </w:lvl>
    <w:lvl w:ilvl="7" w:tplc="D06413A8">
      <w:start w:val="1"/>
      <w:numFmt w:val="bullet"/>
      <w:lvlText w:val="o"/>
      <w:lvlJc w:val="left"/>
      <w:pPr>
        <w:tabs>
          <w:tab w:val="num" w:pos="5760"/>
        </w:tabs>
        <w:ind w:left="5760" w:hanging="360"/>
      </w:pPr>
      <w:rPr>
        <w:rFonts w:ascii="Courier New" w:hAnsi="Courier New"/>
      </w:rPr>
    </w:lvl>
    <w:lvl w:ilvl="8" w:tplc="71D43BA2">
      <w:start w:val="1"/>
      <w:numFmt w:val="bullet"/>
      <w:lvlText w:val=""/>
      <w:lvlJc w:val="left"/>
      <w:pPr>
        <w:tabs>
          <w:tab w:val="num" w:pos="6480"/>
        </w:tabs>
        <w:ind w:left="6480" w:hanging="360"/>
      </w:pPr>
      <w:rPr>
        <w:rFonts w:ascii="Wingdings" w:hAnsi="Wingdings"/>
      </w:rPr>
    </w:lvl>
  </w:abstractNum>
  <w:abstractNum w:abstractNumId="596" w15:restartNumberingAfterBreak="0">
    <w:nsid w:val="72230716"/>
    <w:multiLevelType w:val="hybridMultilevel"/>
    <w:tmpl w:val="72230716"/>
    <w:lvl w:ilvl="0" w:tplc="51C44B68">
      <w:start w:val="1"/>
      <w:numFmt w:val="bullet"/>
      <w:lvlText w:val=""/>
      <w:lvlJc w:val="left"/>
      <w:pPr>
        <w:ind w:left="720" w:hanging="360"/>
      </w:pPr>
      <w:rPr>
        <w:rFonts w:ascii="Symbol" w:hAnsi="Symbol"/>
      </w:rPr>
    </w:lvl>
    <w:lvl w:ilvl="1" w:tplc="564AE374">
      <w:start w:val="1"/>
      <w:numFmt w:val="bullet"/>
      <w:lvlText w:val="o"/>
      <w:lvlJc w:val="left"/>
      <w:pPr>
        <w:tabs>
          <w:tab w:val="num" w:pos="1440"/>
        </w:tabs>
        <w:ind w:left="1440" w:hanging="360"/>
      </w:pPr>
      <w:rPr>
        <w:rFonts w:ascii="Courier New" w:hAnsi="Courier New"/>
      </w:rPr>
    </w:lvl>
    <w:lvl w:ilvl="2" w:tplc="9A8A4430">
      <w:start w:val="1"/>
      <w:numFmt w:val="bullet"/>
      <w:lvlText w:val=""/>
      <w:lvlJc w:val="left"/>
      <w:pPr>
        <w:tabs>
          <w:tab w:val="num" w:pos="2160"/>
        </w:tabs>
        <w:ind w:left="2160" w:hanging="360"/>
      </w:pPr>
      <w:rPr>
        <w:rFonts w:ascii="Wingdings" w:hAnsi="Wingdings"/>
      </w:rPr>
    </w:lvl>
    <w:lvl w:ilvl="3" w:tplc="600E8870">
      <w:start w:val="1"/>
      <w:numFmt w:val="bullet"/>
      <w:lvlText w:val=""/>
      <w:lvlJc w:val="left"/>
      <w:pPr>
        <w:tabs>
          <w:tab w:val="num" w:pos="2880"/>
        </w:tabs>
        <w:ind w:left="2880" w:hanging="360"/>
      </w:pPr>
      <w:rPr>
        <w:rFonts w:ascii="Symbol" w:hAnsi="Symbol"/>
      </w:rPr>
    </w:lvl>
    <w:lvl w:ilvl="4" w:tplc="B3963378">
      <w:start w:val="1"/>
      <w:numFmt w:val="bullet"/>
      <w:lvlText w:val="o"/>
      <w:lvlJc w:val="left"/>
      <w:pPr>
        <w:tabs>
          <w:tab w:val="num" w:pos="3600"/>
        </w:tabs>
        <w:ind w:left="3600" w:hanging="360"/>
      </w:pPr>
      <w:rPr>
        <w:rFonts w:ascii="Courier New" w:hAnsi="Courier New"/>
      </w:rPr>
    </w:lvl>
    <w:lvl w:ilvl="5" w:tplc="D8B2E1DE">
      <w:start w:val="1"/>
      <w:numFmt w:val="bullet"/>
      <w:lvlText w:val=""/>
      <w:lvlJc w:val="left"/>
      <w:pPr>
        <w:tabs>
          <w:tab w:val="num" w:pos="4320"/>
        </w:tabs>
        <w:ind w:left="4320" w:hanging="360"/>
      </w:pPr>
      <w:rPr>
        <w:rFonts w:ascii="Wingdings" w:hAnsi="Wingdings"/>
      </w:rPr>
    </w:lvl>
    <w:lvl w:ilvl="6" w:tplc="BFACA60C">
      <w:start w:val="1"/>
      <w:numFmt w:val="bullet"/>
      <w:lvlText w:val=""/>
      <w:lvlJc w:val="left"/>
      <w:pPr>
        <w:tabs>
          <w:tab w:val="num" w:pos="5040"/>
        </w:tabs>
        <w:ind w:left="5040" w:hanging="360"/>
      </w:pPr>
      <w:rPr>
        <w:rFonts w:ascii="Symbol" w:hAnsi="Symbol"/>
      </w:rPr>
    </w:lvl>
    <w:lvl w:ilvl="7" w:tplc="83361BE8">
      <w:start w:val="1"/>
      <w:numFmt w:val="bullet"/>
      <w:lvlText w:val="o"/>
      <w:lvlJc w:val="left"/>
      <w:pPr>
        <w:tabs>
          <w:tab w:val="num" w:pos="5760"/>
        </w:tabs>
        <w:ind w:left="5760" w:hanging="360"/>
      </w:pPr>
      <w:rPr>
        <w:rFonts w:ascii="Courier New" w:hAnsi="Courier New"/>
      </w:rPr>
    </w:lvl>
    <w:lvl w:ilvl="8" w:tplc="10CA6476">
      <w:start w:val="1"/>
      <w:numFmt w:val="bullet"/>
      <w:lvlText w:val=""/>
      <w:lvlJc w:val="left"/>
      <w:pPr>
        <w:tabs>
          <w:tab w:val="num" w:pos="6480"/>
        </w:tabs>
        <w:ind w:left="6480" w:hanging="360"/>
      </w:pPr>
      <w:rPr>
        <w:rFonts w:ascii="Wingdings" w:hAnsi="Wingdings"/>
      </w:rPr>
    </w:lvl>
  </w:abstractNum>
  <w:abstractNum w:abstractNumId="597" w15:restartNumberingAfterBreak="0">
    <w:nsid w:val="72230717"/>
    <w:multiLevelType w:val="hybridMultilevel"/>
    <w:tmpl w:val="72230717"/>
    <w:lvl w:ilvl="0" w:tplc="27DC9CA6">
      <w:start w:val="1"/>
      <w:numFmt w:val="bullet"/>
      <w:lvlText w:val=""/>
      <w:lvlJc w:val="left"/>
      <w:pPr>
        <w:ind w:left="720" w:hanging="360"/>
      </w:pPr>
      <w:rPr>
        <w:rFonts w:ascii="Symbol" w:hAnsi="Symbol"/>
      </w:rPr>
    </w:lvl>
    <w:lvl w:ilvl="1" w:tplc="31062F04">
      <w:start w:val="1"/>
      <w:numFmt w:val="bullet"/>
      <w:lvlText w:val="o"/>
      <w:lvlJc w:val="left"/>
      <w:pPr>
        <w:tabs>
          <w:tab w:val="num" w:pos="1440"/>
        </w:tabs>
        <w:ind w:left="1440" w:hanging="360"/>
      </w:pPr>
      <w:rPr>
        <w:rFonts w:ascii="Courier New" w:hAnsi="Courier New"/>
      </w:rPr>
    </w:lvl>
    <w:lvl w:ilvl="2" w:tplc="F9ACECFC">
      <w:start w:val="1"/>
      <w:numFmt w:val="bullet"/>
      <w:lvlText w:val=""/>
      <w:lvlJc w:val="left"/>
      <w:pPr>
        <w:tabs>
          <w:tab w:val="num" w:pos="2160"/>
        </w:tabs>
        <w:ind w:left="2160" w:hanging="360"/>
      </w:pPr>
      <w:rPr>
        <w:rFonts w:ascii="Wingdings" w:hAnsi="Wingdings"/>
      </w:rPr>
    </w:lvl>
    <w:lvl w:ilvl="3" w:tplc="01BCD6D4">
      <w:start w:val="1"/>
      <w:numFmt w:val="bullet"/>
      <w:lvlText w:val=""/>
      <w:lvlJc w:val="left"/>
      <w:pPr>
        <w:tabs>
          <w:tab w:val="num" w:pos="2880"/>
        </w:tabs>
        <w:ind w:left="2880" w:hanging="360"/>
      </w:pPr>
      <w:rPr>
        <w:rFonts w:ascii="Symbol" w:hAnsi="Symbol"/>
      </w:rPr>
    </w:lvl>
    <w:lvl w:ilvl="4" w:tplc="3536E022">
      <w:start w:val="1"/>
      <w:numFmt w:val="bullet"/>
      <w:lvlText w:val="o"/>
      <w:lvlJc w:val="left"/>
      <w:pPr>
        <w:tabs>
          <w:tab w:val="num" w:pos="3600"/>
        </w:tabs>
        <w:ind w:left="3600" w:hanging="360"/>
      </w:pPr>
      <w:rPr>
        <w:rFonts w:ascii="Courier New" w:hAnsi="Courier New"/>
      </w:rPr>
    </w:lvl>
    <w:lvl w:ilvl="5" w:tplc="0DB8C4E2">
      <w:start w:val="1"/>
      <w:numFmt w:val="bullet"/>
      <w:lvlText w:val=""/>
      <w:lvlJc w:val="left"/>
      <w:pPr>
        <w:tabs>
          <w:tab w:val="num" w:pos="4320"/>
        </w:tabs>
        <w:ind w:left="4320" w:hanging="360"/>
      </w:pPr>
      <w:rPr>
        <w:rFonts w:ascii="Wingdings" w:hAnsi="Wingdings"/>
      </w:rPr>
    </w:lvl>
    <w:lvl w:ilvl="6" w:tplc="90C0A44C">
      <w:start w:val="1"/>
      <w:numFmt w:val="bullet"/>
      <w:lvlText w:val=""/>
      <w:lvlJc w:val="left"/>
      <w:pPr>
        <w:tabs>
          <w:tab w:val="num" w:pos="5040"/>
        </w:tabs>
        <w:ind w:left="5040" w:hanging="360"/>
      </w:pPr>
      <w:rPr>
        <w:rFonts w:ascii="Symbol" w:hAnsi="Symbol"/>
      </w:rPr>
    </w:lvl>
    <w:lvl w:ilvl="7" w:tplc="865E3D6A">
      <w:start w:val="1"/>
      <w:numFmt w:val="bullet"/>
      <w:lvlText w:val="o"/>
      <w:lvlJc w:val="left"/>
      <w:pPr>
        <w:tabs>
          <w:tab w:val="num" w:pos="5760"/>
        </w:tabs>
        <w:ind w:left="5760" w:hanging="360"/>
      </w:pPr>
      <w:rPr>
        <w:rFonts w:ascii="Courier New" w:hAnsi="Courier New"/>
      </w:rPr>
    </w:lvl>
    <w:lvl w:ilvl="8" w:tplc="5EECE5B0">
      <w:start w:val="1"/>
      <w:numFmt w:val="bullet"/>
      <w:lvlText w:val=""/>
      <w:lvlJc w:val="left"/>
      <w:pPr>
        <w:tabs>
          <w:tab w:val="num" w:pos="6480"/>
        </w:tabs>
        <w:ind w:left="6480" w:hanging="360"/>
      </w:pPr>
      <w:rPr>
        <w:rFonts w:ascii="Wingdings" w:hAnsi="Wingdings"/>
      </w:rPr>
    </w:lvl>
  </w:abstractNum>
  <w:abstractNum w:abstractNumId="598" w15:restartNumberingAfterBreak="0">
    <w:nsid w:val="72230718"/>
    <w:multiLevelType w:val="hybridMultilevel"/>
    <w:tmpl w:val="72230718"/>
    <w:lvl w:ilvl="0" w:tplc="7AB263AA">
      <w:start w:val="1"/>
      <w:numFmt w:val="bullet"/>
      <w:lvlText w:val=""/>
      <w:lvlJc w:val="left"/>
      <w:pPr>
        <w:ind w:left="720" w:hanging="360"/>
      </w:pPr>
      <w:rPr>
        <w:rFonts w:ascii="Symbol" w:hAnsi="Symbol"/>
      </w:rPr>
    </w:lvl>
    <w:lvl w:ilvl="1" w:tplc="EEAE4D06">
      <w:start w:val="1"/>
      <w:numFmt w:val="bullet"/>
      <w:lvlText w:val="o"/>
      <w:lvlJc w:val="left"/>
      <w:pPr>
        <w:tabs>
          <w:tab w:val="num" w:pos="1440"/>
        </w:tabs>
        <w:ind w:left="1440" w:hanging="360"/>
      </w:pPr>
      <w:rPr>
        <w:rFonts w:ascii="Courier New" w:hAnsi="Courier New"/>
      </w:rPr>
    </w:lvl>
    <w:lvl w:ilvl="2" w:tplc="601456B0">
      <w:start w:val="1"/>
      <w:numFmt w:val="bullet"/>
      <w:lvlText w:val=""/>
      <w:lvlJc w:val="left"/>
      <w:pPr>
        <w:tabs>
          <w:tab w:val="num" w:pos="2160"/>
        </w:tabs>
        <w:ind w:left="2160" w:hanging="360"/>
      </w:pPr>
      <w:rPr>
        <w:rFonts w:ascii="Wingdings" w:hAnsi="Wingdings"/>
      </w:rPr>
    </w:lvl>
    <w:lvl w:ilvl="3" w:tplc="0AD6F9D2">
      <w:start w:val="1"/>
      <w:numFmt w:val="bullet"/>
      <w:lvlText w:val=""/>
      <w:lvlJc w:val="left"/>
      <w:pPr>
        <w:tabs>
          <w:tab w:val="num" w:pos="2880"/>
        </w:tabs>
        <w:ind w:left="2880" w:hanging="360"/>
      </w:pPr>
      <w:rPr>
        <w:rFonts w:ascii="Symbol" w:hAnsi="Symbol"/>
      </w:rPr>
    </w:lvl>
    <w:lvl w:ilvl="4" w:tplc="797CF14A">
      <w:start w:val="1"/>
      <w:numFmt w:val="bullet"/>
      <w:lvlText w:val="o"/>
      <w:lvlJc w:val="left"/>
      <w:pPr>
        <w:tabs>
          <w:tab w:val="num" w:pos="3600"/>
        </w:tabs>
        <w:ind w:left="3600" w:hanging="360"/>
      </w:pPr>
      <w:rPr>
        <w:rFonts w:ascii="Courier New" w:hAnsi="Courier New"/>
      </w:rPr>
    </w:lvl>
    <w:lvl w:ilvl="5" w:tplc="633ED8A2">
      <w:start w:val="1"/>
      <w:numFmt w:val="bullet"/>
      <w:lvlText w:val=""/>
      <w:lvlJc w:val="left"/>
      <w:pPr>
        <w:tabs>
          <w:tab w:val="num" w:pos="4320"/>
        </w:tabs>
        <w:ind w:left="4320" w:hanging="360"/>
      </w:pPr>
      <w:rPr>
        <w:rFonts w:ascii="Wingdings" w:hAnsi="Wingdings"/>
      </w:rPr>
    </w:lvl>
    <w:lvl w:ilvl="6" w:tplc="58367B1E">
      <w:start w:val="1"/>
      <w:numFmt w:val="bullet"/>
      <w:lvlText w:val=""/>
      <w:lvlJc w:val="left"/>
      <w:pPr>
        <w:tabs>
          <w:tab w:val="num" w:pos="5040"/>
        </w:tabs>
        <w:ind w:left="5040" w:hanging="360"/>
      </w:pPr>
      <w:rPr>
        <w:rFonts w:ascii="Symbol" w:hAnsi="Symbol"/>
      </w:rPr>
    </w:lvl>
    <w:lvl w:ilvl="7" w:tplc="C52A9888">
      <w:start w:val="1"/>
      <w:numFmt w:val="bullet"/>
      <w:lvlText w:val="o"/>
      <w:lvlJc w:val="left"/>
      <w:pPr>
        <w:tabs>
          <w:tab w:val="num" w:pos="5760"/>
        </w:tabs>
        <w:ind w:left="5760" w:hanging="360"/>
      </w:pPr>
      <w:rPr>
        <w:rFonts w:ascii="Courier New" w:hAnsi="Courier New"/>
      </w:rPr>
    </w:lvl>
    <w:lvl w:ilvl="8" w:tplc="43CA1F76">
      <w:start w:val="1"/>
      <w:numFmt w:val="bullet"/>
      <w:lvlText w:val=""/>
      <w:lvlJc w:val="left"/>
      <w:pPr>
        <w:tabs>
          <w:tab w:val="num" w:pos="6480"/>
        </w:tabs>
        <w:ind w:left="6480" w:hanging="360"/>
      </w:pPr>
      <w:rPr>
        <w:rFonts w:ascii="Wingdings" w:hAnsi="Wingdings"/>
      </w:rPr>
    </w:lvl>
  </w:abstractNum>
  <w:abstractNum w:abstractNumId="599" w15:restartNumberingAfterBreak="0">
    <w:nsid w:val="72230719"/>
    <w:multiLevelType w:val="hybridMultilevel"/>
    <w:tmpl w:val="72230719"/>
    <w:lvl w:ilvl="0" w:tplc="65FE32DE">
      <w:start w:val="1"/>
      <w:numFmt w:val="bullet"/>
      <w:lvlText w:val=""/>
      <w:lvlJc w:val="left"/>
      <w:pPr>
        <w:ind w:left="720" w:hanging="360"/>
      </w:pPr>
      <w:rPr>
        <w:rFonts w:ascii="Symbol" w:hAnsi="Symbol"/>
      </w:rPr>
    </w:lvl>
    <w:lvl w:ilvl="1" w:tplc="C2D02704">
      <w:start w:val="1"/>
      <w:numFmt w:val="bullet"/>
      <w:lvlText w:val="o"/>
      <w:lvlJc w:val="left"/>
      <w:pPr>
        <w:tabs>
          <w:tab w:val="num" w:pos="1440"/>
        </w:tabs>
        <w:ind w:left="1440" w:hanging="360"/>
      </w:pPr>
      <w:rPr>
        <w:rFonts w:ascii="Courier New" w:hAnsi="Courier New"/>
      </w:rPr>
    </w:lvl>
    <w:lvl w:ilvl="2" w:tplc="1A385376">
      <w:start w:val="1"/>
      <w:numFmt w:val="bullet"/>
      <w:lvlText w:val=""/>
      <w:lvlJc w:val="left"/>
      <w:pPr>
        <w:tabs>
          <w:tab w:val="num" w:pos="2160"/>
        </w:tabs>
        <w:ind w:left="2160" w:hanging="360"/>
      </w:pPr>
      <w:rPr>
        <w:rFonts w:ascii="Wingdings" w:hAnsi="Wingdings"/>
      </w:rPr>
    </w:lvl>
    <w:lvl w:ilvl="3" w:tplc="2D0ED3FE">
      <w:start w:val="1"/>
      <w:numFmt w:val="bullet"/>
      <w:lvlText w:val=""/>
      <w:lvlJc w:val="left"/>
      <w:pPr>
        <w:tabs>
          <w:tab w:val="num" w:pos="2880"/>
        </w:tabs>
        <w:ind w:left="2880" w:hanging="360"/>
      </w:pPr>
      <w:rPr>
        <w:rFonts w:ascii="Symbol" w:hAnsi="Symbol"/>
      </w:rPr>
    </w:lvl>
    <w:lvl w:ilvl="4" w:tplc="6CE4DD40">
      <w:start w:val="1"/>
      <w:numFmt w:val="bullet"/>
      <w:lvlText w:val="o"/>
      <w:lvlJc w:val="left"/>
      <w:pPr>
        <w:tabs>
          <w:tab w:val="num" w:pos="3600"/>
        </w:tabs>
        <w:ind w:left="3600" w:hanging="360"/>
      </w:pPr>
      <w:rPr>
        <w:rFonts w:ascii="Courier New" w:hAnsi="Courier New"/>
      </w:rPr>
    </w:lvl>
    <w:lvl w:ilvl="5" w:tplc="A3EABC28">
      <w:start w:val="1"/>
      <w:numFmt w:val="bullet"/>
      <w:lvlText w:val=""/>
      <w:lvlJc w:val="left"/>
      <w:pPr>
        <w:tabs>
          <w:tab w:val="num" w:pos="4320"/>
        </w:tabs>
        <w:ind w:left="4320" w:hanging="360"/>
      </w:pPr>
      <w:rPr>
        <w:rFonts w:ascii="Wingdings" w:hAnsi="Wingdings"/>
      </w:rPr>
    </w:lvl>
    <w:lvl w:ilvl="6" w:tplc="E4EE27C6">
      <w:start w:val="1"/>
      <w:numFmt w:val="bullet"/>
      <w:lvlText w:val=""/>
      <w:lvlJc w:val="left"/>
      <w:pPr>
        <w:tabs>
          <w:tab w:val="num" w:pos="5040"/>
        </w:tabs>
        <w:ind w:left="5040" w:hanging="360"/>
      </w:pPr>
      <w:rPr>
        <w:rFonts w:ascii="Symbol" w:hAnsi="Symbol"/>
      </w:rPr>
    </w:lvl>
    <w:lvl w:ilvl="7" w:tplc="2572E78C">
      <w:start w:val="1"/>
      <w:numFmt w:val="bullet"/>
      <w:lvlText w:val="o"/>
      <w:lvlJc w:val="left"/>
      <w:pPr>
        <w:tabs>
          <w:tab w:val="num" w:pos="5760"/>
        </w:tabs>
        <w:ind w:left="5760" w:hanging="360"/>
      </w:pPr>
      <w:rPr>
        <w:rFonts w:ascii="Courier New" w:hAnsi="Courier New"/>
      </w:rPr>
    </w:lvl>
    <w:lvl w:ilvl="8" w:tplc="74E85472">
      <w:start w:val="1"/>
      <w:numFmt w:val="bullet"/>
      <w:lvlText w:val=""/>
      <w:lvlJc w:val="left"/>
      <w:pPr>
        <w:tabs>
          <w:tab w:val="num" w:pos="6480"/>
        </w:tabs>
        <w:ind w:left="6480" w:hanging="360"/>
      </w:pPr>
      <w:rPr>
        <w:rFonts w:ascii="Wingdings" w:hAnsi="Wingdings"/>
      </w:rPr>
    </w:lvl>
  </w:abstractNum>
  <w:abstractNum w:abstractNumId="600" w15:restartNumberingAfterBreak="0">
    <w:nsid w:val="7223071A"/>
    <w:multiLevelType w:val="hybridMultilevel"/>
    <w:tmpl w:val="7223071A"/>
    <w:lvl w:ilvl="0" w:tplc="6CB029AA">
      <w:start w:val="1"/>
      <w:numFmt w:val="bullet"/>
      <w:lvlText w:val=""/>
      <w:lvlJc w:val="left"/>
      <w:pPr>
        <w:ind w:left="720" w:hanging="360"/>
      </w:pPr>
      <w:rPr>
        <w:rFonts w:ascii="Symbol" w:hAnsi="Symbol"/>
      </w:rPr>
    </w:lvl>
    <w:lvl w:ilvl="1" w:tplc="B8B8F0EE">
      <w:start w:val="1"/>
      <w:numFmt w:val="bullet"/>
      <w:lvlText w:val="o"/>
      <w:lvlJc w:val="left"/>
      <w:pPr>
        <w:tabs>
          <w:tab w:val="num" w:pos="1440"/>
        </w:tabs>
        <w:ind w:left="1440" w:hanging="360"/>
      </w:pPr>
      <w:rPr>
        <w:rFonts w:ascii="Courier New" w:hAnsi="Courier New"/>
      </w:rPr>
    </w:lvl>
    <w:lvl w:ilvl="2" w:tplc="667C0E14">
      <w:start w:val="1"/>
      <w:numFmt w:val="bullet"/>
      <w:lvlText w:val=""/>
      <w:lvlJc w:val="left"/>
      <w:pPr>
        <w:tabs>
          <w:tab w:val="num" w:pos="2160"/>
        </w:tabs>
        <w:ind w:left="2160" w:hanging="360"/>
      </w:pPr>
      <w:rPr>
        <w:rFonts w:ascii="Wingdings" w:hAnsi="Wingdings"/>
      </w:rPr>
    </w:lvl>
    <w:lvl w:ilvl="3" w:tplc="626E96EA">
      <w:start w:val="1"/>
      <w:numFmt w:val="bullet"/>
      <w:lvlText w:val=""/>
      <w:lvlJc w:val="left"/>
      <w:pPr>
        <w:tabs>
          <w:tab w:val="num" w:pos="2880"/>
        </w:tabs>
        <w:ind w:left="2880" w:hanging="360"/>
      </w:pPr>
      <w:rPr>
        <w:rFonts w:ascii="Symbol" w:hAnsi="Symbol"/>
      </w:rPr>
    </w:lvl>
    <w:lvl w:ilvl="4" w:tplc="0B5E733C">
      <w:start w:val="1"/>
      <w:numFmt w:val="bullet"/>
      <w:lvlText w:val="o"/>
      <w:lvlJc w:val="left"/>
      <w:pPr>
        <w:tabs>
          <w:tab w:val="num" w:pos="3600"/>
        </w:tabs>
        <w:ind w:left="3600" w:hanging="360"/>
      </w:pPr>
      <w:rPr>
        <w:rFonts w:ascii="Courier New" w:hAnsi="Courier New"/>
      </w:rPr>
    </w:lvl>
    <w:lvl w:ilvl="5" w:tplc="318E8366">
      <w:start w:val="1"/>
      <w:numFmt w:val="bullet"/>
      <w:lvlText w:val=""/>
      <w:lvlJc w:val="left"/>
      <w:pPr>
        <w:tabs>
          <w:tab w:val="num" w:pos="4320"/>
        </w:tabs>
        <w:ind w:left="4320" w:hanging="360"/>
      </w:pPr>
      <w:rPr>
        <w:rFonts w:ascii="Wingdings" w:hAnsi="Wingdings"/>
      </w:rPr>
    </w:lvl>
    <w:lvl w:ilvl="6" w:tplc="5B1CB58A">
      <w:start w:val="1"/>
      <w:numFmt w:val="bullet"/>
      <w:lvlText w:val=""/>
      <w:lvlJc w:val="left"/>
      <w:pPr>
        <w:tabs>
          <w:tab w:val="num" w:pos="5040"/>
        </w:tabs>
        <w:ind w:left="5040" w:hanging="360"/>
      </w:pPr>
      <w:rPr>
        <w:rFonts w:ascii="Symbol" w:hAnsi="Symbol"/>
      </w:rPr>
    </w:lvl>
    <w:lvl w:ilvl="7" w:tplc="EE4C7268">
      <w:start w:val="1"/>
      <w:numFmt w:val="bullet"/>
      <w:lvlText w:val="o"/>
      <w:lvlJc w:val="left"/>
      <w:pPr>
        <w:tabs>
          <w:tab w:val="num" w:pos="5760"/>
        </w:tabs>
        <w:ind w:left="5760" w:hanging="360"/>
      </w:pPr>
      <w:rPr>
        <w:rFonts w:ascii="Courier New" w:hAnsi="Courier New"/>
      </w:rPr>
    </w:lvl>
    <w:lvl w:ilvl="8" w:tplc="835246A0">
      <w:start w:val="1"/>
      <w:numFmt w:val="bullet"/>
      <w:lvlText w:val=""/>
      <w:lvlJc w:val="left"/>
      <w:pPr>
        <w:tabs>
          <w:tab w:val="num" w:pos="6480"/>
        </w:tabs>
        <w:ind w:left="6480" w:hanging="360"/>
      </w:pPr>
      <w:rPr>
        <w:rFonts w:ascii="Wingdings" w:hAnsi="Wingdings"/>
      </w:rPr>
    </w:lvl>
  </w:abstractNum>
  <w:abstractNum w:abstractNumId="601" w15:restartNumberingAfterBreak="0">
    <w:nsid w:val="7223071B"/>
    <w:multiLevelType w:val="hybridMultilevel"/>
    <w:tmpl w:val="7223071B"/>
    <w:lvl w:ilvl="0" w:tplc="A51A6C4C">
      <w:start w:val="1"/>
      <w:numFmt w:val="bullet"/>
      <w:lvlText w:val=""/>
      <w:lvlJc w:val="left"/>
      <w:pPr>
        <w:ind w:left="720" w:hanging="360"/>
      </w:pPr>
      <w:rPr>
        <w:rFonts w:ascii="Symbol" w:hAnsi="Symbol"/>
      </w:rPr>
    </w:lvl>
    <w:lvl w:ilvl="1" w:tplc="FF8E9398">
      <w:start w:val="1"/>
      <w:numFmt w:val="bullet"/>
      <w:lvlText w:val="o"/>
      <w:lvlJc w:val="left"/>
      <w:pPr>
        <w:tabs>
          <w:tab w:val="num" w:pos="1440"/>
        </w:tabs>
        <w:ind w:left="1440" w:hanging="360"/>
      </w:pPr>
      <w:rPr>
        <w:rFonts w:ascii="Courier New" w:hAnsi="Courier New"/>
      </w:rPr>
    </w:lvl>
    <w:lvl w:ilvl="2" w:tplc="CBA659AE">
      <w:start w:val="1"/>
      <w:numFmt w:val="bullet"/>
      <w:lvlText w:val=""/>
      <w:lvlJc w:val="left"/>
      <w:pPr>
        <w:tabs>
          <w:tab w:val="num" w:pos="2160"/>
        </w:tabs>
        <w:ind w:left="2160" w:hanging="360"/>
      </w:pPr>
      <w:rPr>
        <w:rFonts w:ascii="Wingdings" w:hAnsi="Wingdings"/>
      </w:rPr>
    </w:lvl>
    <w:lvl w:ilvl="3" w:tplc="F47A6D0C">
      <w:start w:val="1"/>
      <w:numFmt w:val="bullet"/>
      <w:lvlText w:val=""/>
      <w:lvlJc w:val="left"/>
      <w:pPr>
        <w:tabs>
          <w:tab w:val="num" w:pos="2880"/>
        </w:tabs>
        <w:ind w:left="2880" w:hanging="360"/>
      </w:pPr>
      <w:rPr>
        <w:rFonts w:ascii="Symbol" w:hAnsi="Symbol"/>
      </w:rPr>
    </w:lvl>
    <w:lvl w:ilvl="4" w:tplc="F61C4BDC">
      <w:start w:val="1"/>
      <w:numFmt w:val="bullet"/>
      <w:lvlText w:val="o"/>
      <w:lvlJc w:val="left"/>
      <w:pPr>
        <w:tabs>
          <w:tab w:val="num" w:pos="3600"/>
        </w:tabs>
        <w:ind w:left="3600" w:hanging="360"/>
      </w:pPr>
      <w:rPr>
        <w:rFonts w:ascii="Courier New" w:hAnsi="Courier New"/>
      </w:rPr>
    </w:lvl>
    <w:lvl w:ilvl="5" w:tplc="B0D8CB0E">
      <w:start w:val="1"/>
      <w:numFmt w:val="bullet"/>
      <w:lvlText w:val=""/>
      <w:lvlJc w:val="left"/>
      <w:pPr>
        <w:tabs>
          <w:tab w:val="num" w:pos="4320"/>
        </w:tabs>
        <w:ind w:left="4320" w:hanging="360"/>
      </w:pPr>
      <w:rPr>
        <w:rFonts w:ascii="Wingdings" w:hAnsi="Wingdings"/>
      </w:rPr>
    </w:lvl>
    <w:lvl w:ilvl="6" w:tplc="6752287E">
      <w:start w:val="1"/>
      <w:numFmt w:val="bullet"/>
      <w:lvlText w:val=""/>
      <w:lvlJc w:val="left"/>
      <w:pPr>
        <w:tabs>
          <w:tab w:val="num" w:pos="5040"/>
        </w:tabs>
        <w:ind w:left="5040" w:hanging="360"/>
      </w:pPr>
      <w:rPr>
        <w:rFonts w:ascii="Symbol" w:hAnsi="Symbol"/>
      </w:rPr>
    </w:lvl>
    <w:lvl w:ilvl="7" w:tplc="CDA2418C">
      <w:start w:val="1"/>
      <w:numFmt w:val="bullet"/>
      <w:lvlText w:val="o"/>
      <w:lvlJc w:val="left"/>
      <w:pPr>
        <w:tabs>
          <w:tab w:val="num" w:pos="5760"/>
        </w:tabs>
        <w:ind w:left="5760" w:hanging="360"/>
      </w:pPr>
      <w:rPr>
        <w:rFonts w:ascii="Courier New" w:hAnsi="Courier New"/>
      </w:rPr>
    </w:lvl>
    <w:lvl w:ilvl="8" w:tplc="0818C61E">
      <w:start w:val="1"/>
      <w:numFmt w:val="bullet"/>
      <w:lvlText w:val=""/>
      <w:lvlJc w:val="left"/>
      <w:pPr>
        <w:tabs>
          <w:tab w:val="num" w:pos="6480"/>
        </w:tabs>
        <w:ind w:left="6480" w:hanging="360"/>
      </w:pPr>
      <w:rPr>
        <w:rFonts w:ascii="Wingdings" w:hAnsi="Wingdings"/>
      </w:rPr>
    </w:lvl>
  </w:abstractNum>
  <w:abstractNum w:abstractNumId="602" w15:restartNumberingAfterBreak="0">
    <w:nsid w:val="7223071C"/>
    <w:multiLevelType w:val="hybridMultilevel"/>
    <w:tmpl w:val="7223071C"/>
    <w:lvl w:ilvl="0" w:tplc="21CC0DD0">
      <w:start w:val="1"/>
      <w:numFmt w:val="bullet"/>
      <w:lvlText w:val=""/>
      <w:lvlJc w:val="left"/>
      <w:pPr>
        <w:ind w:left="720" w:hanging="360"/>
      </w:pPr>
      <w:rPr>
        <w:rFonts w:ascii="Symbol" w:hAnsi="Symbol"/>
      </w:rPr>
    </w:lvl>
    <w:lvl w:ilvl="1" w:tplc="64324E04">
      <w:start w:val="1"/>
      <w:numFmt w:val="bullet"/>
      <w:lvlText w:val="o"/>
      <w:lvlJc w:val="left"/>
      <w:pPr>
        <w:tabs>
          <w:tab w:val="num" w:pos="1440"/>
        </w:tabs>
        <w:ind w:left="1440" w:hanging="360"/>
      </w:pPr>
      <w:rPr>
        <w:rFonts w:ascii="Courier New" w:hAnsi="Courier New"/>
      </w:rPr>
    </w:lvl>
    <w:lvl w:ilvl="2" w:tplc="5D3C4D60">
      <w:start w:val="1"/>
      <w:numFmt w:val="bullet"/>
      <w:lvlText w:val=""/>
      <w:lvlJc w:val="left"/>
      <w:pPr>
        <w:tabs>
          <w:tab w:val="num" w:pos="2160"/>
        </w:tabs>
        <w:ind w:left="2160" w:hanging="360"/>
      </w:pPr>
      <w:rPr>
        <w:rFonts w:ascii="Wingdings" w:hAnsi="Wingdings"/>
      </w:rPr>
    </w:lvl>
    <w:lvl w:ilvl="3" w:tplc="E8F472BC">
      <w:start w:val="1"/>
      <w:numFmt w:val="bullet"/>
      <w:lvlText w:val=""/>
      <w:lvlJc w:val="left"/>
      <w:pPr>
        <w:tabs>
          <w:tab w:val="num" w:pos="2880"/>
        </w:tabs>
        <w:ind w:left="2880" w:hanging="360"/>
      </w:pPr>
      <w:rPr>
        <w:rFonts w:ascii="Symbol" w:hAnsi="Symbol"/>
      </w:rPr>
    </w:lvl>
    <w:lvl w:ilvl="4" w:tplc="215E7464">
      <w:start w:val="1"/>
      <w:numFmt w:val="bullet"/>
      <w:lvlText w:val="o"/>
      <w:lvlJc w:val="left"/>
      <w:pPr>
        <w:tabs>
          <w:tab w:val="num" w:pos="3600"/>
        </w:tabs>
        <w:ind w:left="3600" w:hanging="360"/>
      </w:pPr>
      <w:rPr>
        <w:rFonts w:ascii="Courier New" w:hAnsi="Courier New"/>
      </w:rPr>
    </w:lvl>
    <w:lvl w:ilvl="5" w:tplc="8D742218">
      <w:start w:val="1"/>
      <w:numFmt w:val="bullet"/>
      <w:lvlText w:val=""/>
      <w:lvlJc w:val="left"/>
      <w:pPr>
        <w:tabs>
          <w:tab w:val="num" w:pos="4320"/>
        </w:tabs>
        <w:ind w:left="4320" w:hanging="360"/>
      </w:pPr>
      <w:rPr>
        <w:rFonts w:ascii="Wingdings" w:hAnsi="Wingdings"/>
      </w:rPr>
    </w:lvl>
    <w:lvl w:ilvl="6" w:tplc="445C0386">
      <w:start w:val="1"/>
      <w:numFmt w:val="bullet"/>
      <w:lvlText w:val=""/>
      <w:lvlJc w:val="left"/>
      <w:pPr>
        <w:tabs>
          <w:tab w:val="num" w:pos="5040"/>
        </w:tabs>
        <w:ind w:left="5040" w:hanging="360"/>
      </w:pPr>
      <w:rPr>
        <w:rFonts w:ascii="Symbol" w:hAnsi="Symbol"/>
      </w:rPr>
    </w:lvl>
    <w:lvl w:ilvl="7" w:tplc="6F907C36">
      <w:start w:val="1"/>
      <w:numFmt w:val="bullet"/>
      <w:lvlText w:val="o"/>
      <w:lvlJc w:val="left"/>
      <w:pPr>
        <w:tabs>
          <w:tab w:val="num" w:pos="5760"/>
        </w:tabs>
        <w:ind w:left="5760" w:hanging="360"/>
      </w:pPr>
      <w:rPr>
        <w:rFonts w:ascii="Courier New" w:hAnsi="Courier New"/>
      </w:rPr>
    </w:lvl>
    <w:lvl w:ilvl="8" w:tplc="AC26D6AE">
      <w:start w:val="1"/>
      <w:numFmt w:val="bullet"/>
      <w:lvlText w:val=""/>
      <w:lvlJc w:val="left"/>
      <w:pPr>
        <w:tabs>
          <w:tab w:val="num" w:pos="6480"/>
        </w:tabs>
        <w:ind w:left="6480" w:hanging="360"/>
      </w:pPr>
      <w:rPr>
        <w:rFonts w:ascii="Wingdings" w:hAnsi="Wingdings"/>
      </w:rPr>
    </w:lvl>
  </w:abstractNum>
  <w:abstractNum w:abstractNumId="603" w15:restartNumberingAfterBreak="0">
    <w:nsid w:val="7223071D"/>
    <w:multiLevelType w:val="hybridMultilevel"/>
    <w:tmpl w:val="7223071D"/>
    <w:lvl w:ilvl="0" w:tplc="B2E8EBBA">
      <w:start w:val="1"/>
      <w:numFmt w:val="bullet"/>
      <w:lvlText w:val=""/>
      <w:lvlJc w:val="left"/>
      <w:pPr>
        <w:ind w:left="720" w:hanging="360"/>
      </w:pPr>
      <w:rPr>
        <w:rFonts w:ascii="Symbol" w:hAnsi="Symbol"/>
      </w:rPr>
    </w:lvl>
    <w:lvl w:ilvl="1" w:tplc="E90ACA6A">
      <w:start w:val="1"/>
      <w:numFmt w:val="bullet"/>
      <w:lvlText w:val="o"/>
      <w:lvlJc w:val="left"/>
      <w:pPr>
        <w:tabs>
          <w:tab w:val="num" w:pos="1440"/>
        </w:tabs>
        <w:ind w:left="1440" w:hanging="360"/>
      </w:pPr>
      <w:rPr>
        <w:rFonts w:ascii="Courier New" w:hAnsi="Courier New"/>
      </w:rPr>
    </w:lvl>
    <w:lvl w:ilvl="2" w:tplc="DC704F3C">
      <w:start w:val="1"/>
      <w:numFmt w:val="bullet"/>
      <w:lvlText w:val=""/>
      <w:lvlJc w:val="left"/>
      <w:pPr>
        <w:tabs>
          <w:tab w:val="num" w:pos="2160"/>
        </w:tabs>
        <w:ind w:left="2160" w:hanging="360"/>
      </w:pPr>
      <w:rPr>
        <w:rFonts w:ascii="Wingdings" w:hAnsi="Wingdings"/>
      </w:rPr>
    </w:lvl>
    <w:lvl w:ilvl="3" w:tplc="2F009568">
      <w:start w:val="1"/>
      <w:numFmt w:val="bullet"/>
      <w:lvlText w:val=""/>
      <w:lvlJc w:val="left"/>
      <w:pPr>
        <w:tabs>
          <w:tab w:val="num" w:pos="2880"/>
        </w:tabs>
        <w:ind w:left="2880" w:hanging="360"/>
      </w:pPr>
      <w:rPr>
        <w:rFonts w:ascii="Symbol" w:hAnsi="Symbol"/>
      </w:rPr>
    </w:lvl>
    <w:lvl w:ilvl="4" w:tplc="217A8F3E">
      <w:start w:val="1"/>
      <w:numFmt w:val="bullet"/>
      <w:lvlText w:val="o"/>
      <w:lvlJc w:val="left"/>
      <w:pPr>
        <w:tabs>
          <w:tab w:val="num" w:pos="3600"/>
        </w:tabs>
        <w:ind w:left="3600" w:hanging="360"/>
      </w:pPr>
      <w:rPr>
        <w:rFonts w:ascii="Courier New" w:hAnsi="Courier New"/>
      </w:rPr>
    </w:lvl>
    <w:lvl w:ilvl="5" w:tplc="E7F4266A">
      <w:start w:val="1"/>
      <w:numFmt w:val="bullet"/>
      <w:lvlText w:val=""/>
      <w:lvlJc w:val="left"/>
      <w:pPr>
        <w:tabs>
          <w:tab w:val="num" w:pos="4320"/>
        </w:tabs>
        <w:ind w:left="4320" w:hanging="360"/>
      </w:pPr>
      <w:rPr>
        <w:rFonts w:ascii="Wingdings" w:hAnsi="Wingdings"/>
      </w:rPr>
    </w:lvl>
    <w:lvl w:ilvl="6" w:tplc="06AC7788">
      <w:start w:val="1"/>
      <w:numFmt w:val="bullet"/>
      <w:lvlText w:val=""/>
      <w:lvlJc w:val="left"/>
      <w:pPr>
        <w:tabs>
          <w:tab w:val="num" w:pos="5040"/>
        </w:tabs>
        <w:ind w:left="5040" w:hanging="360"/>
      </w:pPr>
      <w:rPr>
        <w:rFonts w:ascii="Symbol" w:hAnsi="Symbol"/>
      </w:rPr>
    </w:lvl>
    <w:lvl w:ilvl="7" w:tplc="3DB0E54E">
      <w:start w:val="1"/>
      <w:numFmt w:val="bullet"/>
      <w:lvlText w:val="o"/>
      <w:lvlJc w:val="left"/>
      <w:pPr>
        <w:tabs>
          <w:tab w:val="num" w:pos="5760"/>
        </w:tabs>
        <w:ind w:left="5760" w:hanging="360"/>
      </w:pPr>
      <w:rPr>
        <w:rFonts w:ascii="Courier New" w:hAnsi="Courier New"/>
      </w:rPr>
    </w:lvl>
    <w:lvl w:ilvl="8" w:tplc="900CB9FE">
      <w:start w:val="1"/>
      <w:numFmt w:val="bullet"/>
      <w:lvlText w:val=""/>
      <w:lvlJc w:val="left"/>
      <w:pPr>
        <w:tabs>
          <w:tab w:val="num" w:pos="6480"/>
        </w:tabs>
        <w:ind w:left="6480" w:hanging="360"/>
      </w:pPr>
      <w:rPr>
        <w:rFonts w:ascii="Wingdings" w:hAnsi="Wingdings"/>
      </w:rPr>
    </w:lvl>
  </w:abstractNum>
  <w:abstractNum w:abstractNumId="604" w15:restartNumberingAfterBreak="0">
    <w:nsid w:val="7223071E"/>
    <w:multiLevelType w:val="hybridMultilevel"/>
    <w:tmpl w:val="7223071E"/>
    <w:lvl w:ilvl="0" w:tplc="BDE47B24">
      <w:start w:val="1"/>
      <w:numFmt w:val="bullet"/>
      <w:lvlText w:val=""/>
      <w:lvlJc w:val="left"/>
      <w:pPr>
        <w:ind w:left="720" w:hanging="360"/>
      </w:pPr>
      <w:rPr>
        <w:rFonts w:ascii="Symbol" w:hAnsi="Symbol"/>
      </w:rPr>
    </w:lvl>
    <w:lvl w:ilvl="1" w:tplc="8C88D140">
      <w:start w:val="1"/>
      <w:numFmt w:val="bullet"/>
      <w:lvlText w:val="o"/>
      <w:lvlJc w:val="left"/>
      <w:pPr>
        <w:tabs>
          <w:tab w:val="num" w:pos="1440"/>
        </w:tabs>
        <w:ind w:left="1440" w:hanging="360"/>
      </w:pPr>
      <w:rPr>
        <w:rFonts w:ascii="Courier New" w:hAnsi="Courier New"/>
      </w:rPr>
    </w:lvl>
    <w:lvl w:ilvl="2" w:tplc="40AA1FB2">
      <w:start w:val="1"/>
      <w:numFmt w:val="bullet"/>
      <w:lvlText w:val=""/>
      <w:lvlJc w:val="left"/>
      <w:pPr>
        <w:tabs>
          <w:tab w:val="num" w:pos="2160"/>
        </w:tabs>
        <w:ind w:left="2160" w:hanging="360"/>
      </w:pPr>
      <w:rPr>
        <w:rFonts w:ascii="Wingdings" w:hAnsi="Wingdings"/>
      </w:rPr>
    </w:lvl>
    <w:lvl w:ilvl="3" w:tplc="7A2A4234">
      <w:start w:val="1"/>
      <w:numFmt w:val="bullet"/>
      <w:lvlText w:val=""/>
      <w:lvlJc w:val="left"/>
      <w:pPr>
        <w:tabs>
          <w:tab w:val="num" w:pos="2880"/>
        </w:tabs>
        <w:ind w:left="2880" w:hanging="360"/>
      </w:pPr>
      <w:rPr>
        <w:rFonts w:ascii="Symbol" w:hAnsi="Symbol"/>
      </w:rPr>
    </w:lvl>
    <w:lvl w:ilvl="4" w:tplc="39AA8DA0">
      <w:start w:val="1"/>
      <w:numFmt w:val="bullet"/>
      <w:lvlText w:val="o"/>
      <w:lvlJc w:val="left"/>
      <w:pPr>
        <w:tabs>
          <w:tab w:val="num" w:pos="3600"/>
        </w:tabs>
        <w:ind w:left="3600" w:hanging="360"/>
      </w:pPr>
      <w:rPr>
        <w:rFonts w:ascii="Courier New" w:hAnsi="Courier New"/>
      </w:rPr>
    </w:lvl>
    <w:lvl w:ilvl="5" w:tplc="C06684D4">
      <w:start w:val="1"/>
      <w:numFmt w:val="bullet"/>
      <w:lvlText w:val=""/>
      <w:lvlJc w:val="left"/>
      <w:pPr>
        <w:tabs>
          <w:tab w:val="num" w:pos="4320"/>
        </w:tabs>
        <w:ind w:left="4320" w:hanging="360"/>
      </w:pPr>
      <w:rPr>
        <w:rFonts w:ascii="Wingdings" w:hAnsi="Wingdings"/>
      </w:rPr>
    </w:lvl>
    <w:lvl w:ilvl="6" w:tplc="6352B5FC">
      <w:start w:val="1"/>
      <w:numFmt w:val="bullet"/>
      <w:lvlText w:val=""/>
      <w:lvlJc w:val="left"/>
      <w:pPr>
        <w:tabs>
          <w:tab w:val="num" w:pos="5040"/>
        </w:tabs>
        <w:ind w:left="5040" w:hanging="360"/>
      </w:pPr>
      <w:rPr>
        <w:rFonts w:ascii="Symbol" w:hAnsi="Symbol"/>
      </w:rPr>
    </w:lvl>
    <w:lvl w:ilvl="7" w:tplc="367A5148">
      <w:start w:val="1"/>
      <w:numFmt w:val="bullet"/>
      <w:lvlText w:val="o"/>
      <w:lvlJc w:val="left"/>
      <w:pPr>
        <w:tabs>
          <w:tab w:val="num" w:pos="5760"/>
        </w:tabs>
        <w:ind w:left="5760" w:hanging="360"/>
      </w:pPr>
      <w:rPr>
        <w:rFonts w:ascii="Courier New" w:hAnsi="Courier New"/>
      </w:rPr>
    </w:lvl>
    <w:lvl w:ilvl="8" w:tplc="BBBA78C4">
      <w:start w:val="1"/>
      <w:numFmt w:val="bullet"/>
      <w:lvlText w:val=""/>
      <w:lvlJc w:val="left"/>
      <w:pPr>
        <w:tabs>
          <w:tab w:val="num" w:pos="6480"/>
        </w:tabs>
        <w:ind w:left="6480" w:hanging="360"/>
      </w:pPr>
      <w:rPr>
        <w:rFonts w:ascii="Wingdings" w:hAnsi="Wingdings"/>
      </w:rPr>
    </w:lvl>
  </w:abstractNum>
  <w:abstractNum w:abstractNumId="605" w15:restartNumberingAfterBreak="0">
    <w:nsid w:val="7223071F"/>
    <w:multiLevelType w:val="hybridMultilevel"/>
    <w:tmpl w:val="7223071F"/>
    <w:lvl w:ilvl="0" w:tplc="FE64D052">
      <w:start w:val="1"/>
      <w:numFmt w:val="bullet"/>
      <w:lvlText w:val=""/>
      <w:lvlJc w:val="left"/>
      <w:pPr>
        <w:ind w:left="720" w:hanging="360"/>
      </w:pPr>
      <w:rPr>
        <w:rFonts w:ascii="Symbol" w:hAnsi="Symbol"/>
      </w:rPr>
    </w:lvl>
    <w:lvl w:ilvl="1" w:tplc="764E0690">
      <w:start w:val="1"/>
      <w:numFmt w:val="bullet"/>
      <w:lvlText w:val="o"/>
      <w:lvlJc w:val="left"/>
      <w:pPr>
        <w:tabs>
          <w:tab w:val="num" w:pos="1440"/>
        </w:tabs>
        <w:ind w:left="1440" w:hanging="360"/>
      </w:pPr>
      <w:rPr>
        <w:rFonts w:ascii="Courier New" w:hAnsi="Courier New"/>
      </w:rPr>
    </w:lvl>
    <w:lvl w:ilvl="2" w:tplc="22D0054A">
      <w:start w:val="1"/>
      <w:numFmt w:val="bullet"/>
      <w:lvlText w:val=""/>
      <w:lvlJc w:val="left"/>
      <w:pPr>
        <w:tabs>
          <w:tab w:val="num" w:pos="2160"/>
        </w:tabs>
        <w:ind w:left="2160" w:hanging="360"/>
      </w:pPr>
      <w:rPr>
        <w:rFonts w:ascii="Wingdings" w:hAnsi="Wingdings"/>
      </w:rPr>
    </w:lvl>
    <w:lvl w:ilvl="3" w:tplc="2FA2AEB2">
      <w:start w:val="1"/>
      <w:numFmt w:val="bullet"/>
      <w:lvlText w:val=""/>
      <w:lvlJc w:val="left"/>
      <w:pPr>
        <w:tabs>
          <w:tab w:val="num" w:pos="2880"/>
        </w:tabs>
        <w:ind w:left="2880" w:hanging="360"/>
      </w:pPr>
      <w:rPr>
        <w:rFonts w:ascii="Symbol" w:hAnsi="Symbol"/>
      </w:rPr>
    </w:lvl>
    <w:lvl w:ilvl="4" w:tplc="8D9638DA">
      <w:start w:val="1"/>
      <w:numFmt w:val="bullet"/>
      <w:lvlText w:val="o"/>
      <w:lvlJc w:val="left"/>
      <w:pPr>
        <w:tabs>
          <w:tab w:val="num" w:pos="3600"/>
        </w:tabs>
        <w:ind w:left="3600" w:hanging="360"/>
      </w:pPr>
      <w:rPr>
        <w:rFonts w:ascii="Courier New" w:hAnsi="Courier New"/>
      </w:rPr>
    </w:lvl>
    <w:lvl w:ilvl="5" w:tplc="87B00114">
      <w:start w:val="1"/>
      <w:numFmt w:val="bullet"/>
      <w:lvlText w:val=""/>
      <w:lvlJc w:val="left"/>
      <w:pPr>
        <w:tabs>
          <w:tab w:val="num" w:pos="4320"/>
        </w:tabs>
        <w:ind w:left="4320" w:hanging="360"/>
      </w:pPr>
      <w:rPr>
        <w:rFonts w:ascii="Wingdings" w:hAnsi="Wingdings"/>
      </w:rPr>
    </w:lvl>
    <w:lvl w:ilvl="6" w:tplc="BDBC731A">
      <w:start w:val="1"/>
      <w:numFmt w:val="bullet"/>
      <w:lvlText w:val=""/>
      <w:lvlJc w:val="left"/>
      <w:pPr>
        <w:tabs>
          <w:tab w:val="num" w:pos="5040"/>
        </w:tabs>
        <w:ind w:left="5040" w:hanging="360"/>
      </w:pPr>
      <w:rPr>
        <w:rFonts w:ascii="Symbol" w:hAnsi="Symbol"/>
      </w:rPr>
    </w:lvl>
    <w:lvl w:ilvl="7" w:tplc="1E62F7CA">
      <w:start w:val="1"/>
      <w:numFmt w:val="bullet"/>
      <w:lvlText w:val="o"/>
      <w:lvlJc w:val="left"/>
      <w:pPr>
        <w:tabs>
          <w:tab w:val="num" w:pos="5760"/>
        </w:tabs>
        <w:ind w:left="5760" w:hanging="360"/>
      </w:pPr>
      <w:rPr>
        <w:rFonts w:ascii="Courier New" w:hAnsi="Courier New"/>
      </w:rPr>
    </w:lvl>
    <w:lvl w:ilvl="8" w:tplc="9DE4A316">
      <w:start w:val="1"/>
      <w:numFmt w:val="bullet"/>
      <w:lvlText w:val=""/>
      <w:lvlJc w:val="left"/>
      <w:pPr>
        <w:tabs>
          <w:tab w:val="num" w:pos="6480"/>
        </w:tabs>
        <w:ind w:left="6480" w:hanging="360"/>
      </w:pPr>
      <w:rPr>
        <w:rFonts w:ascii="Wingdings" w:hAnsi="Wingdings"/>
      </w:rPr>
    </w:lvl>
  </w:abstractNum>
  <w:abstractNum w:abstractNumId="606" w15:restartNumberingAfterBreak="0">
    <w:nsid w:val="72230720"/>
    <w:multiLevelType w:val="hybridMultilevel"/>
    <w:tmpl w:val="72230720"/>
    <w:lvl w:ilvl="0" w:tplc="753AB428">
      <w:start w:val="1"/>
      <w:numFmt w:val="bullet"/>
      <w:lvlText w:val=""/>
      <w:lvlJc w:val="left"/>
      <w:pPr>
        <w:ind w:left="720" w:hanging="360"/>
      </w:pPr>
      <w:rPr>
        <w:rFonts w:ascii="Symbol" w:hAnsi="Symbol"/>
      </w:rPr>
    </w:lvl>
    <w:lvl w:ilvl="1" w:tplc="EDC65490">
      <w:start w:val="1"/>
      <w:numFmt w:val="bullet"/>
      <w:lvlText w:val="o"/>
      <w:lvlJc w:val="left"/>
      <w:pPr>
        <w:tabs>
          <w:tab w:val="num" w:pos="1440"/>
        </w:tabs>
        <w:ind w:left="1440" w:hanging="360"/>
      </w:pPr>
      <w:rPr>
        <w:rFonts w:ascii="Courier New" w:hAnsi="Courier New"/>
      </w:rPr>
    </w:lvl>
    <w:lvl w:ilvl="2" w:tplc="8DD6F638">
      <w:start w:val="1"/>
      <w:numFmt w:val="bullet"/>
      <w:lvlText w:val=""/>
      <w:lvlJc w:val="left"/>
      <w:pPr>
        <w:tabs>
          <w:tab w:val="num" w:pos="2160"/>
        </w:tabs>
        <w:ind w:left="2160" w:hanging="360"/>
      </w:pPr>
      <w:rPr>
        <w:rFonts w:ascii="Wingdings" w:hAnsi="Wingdings"/>
      </w:rPr>
    </w:lvl>
    <w:lvl w:ilvl="3" w:tplc="4C40A2CE">
      <w:start w:val="1"/>
      <w:numFmt w:val="bullet"/>
      <w:lvlText w:val=""/>
      <w:lvlJc w:val="left"/>
      <w:pPr>
        <w:tabs>
          <w:tab w:val="num" w:pos="2880"/>
        </w:tabs>
        <w:ind w:left="2880" w:hanging="360"/>
      </w:pPr>
      <w:rPr>
        <w:rFonts w:ascii="Symbol" w:hAnsi="Symbol"/>
      </w:rPr>
    </w:lvl>
    <w:lvl w:ilvl="4" w:tplc="40F0AA8E">
      <w:start w:val="1"/>
      <w:numFmt w:val="bullet"/>
      <w:lvlText w:val="o"/>
      <w:lvlJc w:val="left"/>
      <w:pPr>
        <w:tabs>
          <w:tab w:val="num" w:pos="3600"/>
        </w:tabs>
        <w:ind w:left="3600" w:hanging="360"/>
      </w:pPr>
      <w:rPr>
        <w:rFonts w:ascii="Courier New" w:hAnsi="Courier New"/>
      </w:rPr>
    </w:lvl>
    <w:lvl w:ilvl="5" w:tplc="7E0AB1CE">
      <w:start w:val="1"/>
      <w:numFmt w:val="bullet"/>
      <w:lvlText w:val=""/>
      <w:lvlJc w:val="left"/>
      <w:pPr>
        <w:tabs>
          <w:tab w:val="num" w:pos="4320"/>
        </w:tabs>
        <w:ind w:left="4320" w:hanging="360"/>
      </w:pPr>
      <w:rPr>
        <w:rFonts w:ascii="Wingdings" w:hAnsi="Wingdings"/>
      </w:rPr>
    </w:lvl>
    <w:lvl w:ilvl="6" w:tplc="DCE4D1E6">
      <w:start w:val="1"/>
      <w:numFmt w:val="bullet"/>
      <w:lvlText w:val=""/>
      <w:lvlJc w:val="left"/>
      <w:pPr>
        <w:tabs>
          <w:tab w:val="num" w:pos="5040"/>
        </w:tabs>
        <w:ind w:left="5040" w:hanging="360"/>
      </w:pPr>
      <w:rPr>
        <w:rFonts w:ascii="Symbol" w:hAnsi="Symbol"/>
      </w:rPr>
    </w:lvl>
    <w:lvl w:ilvl="7" w:tplc="E9D8B77E">
      <w:start w:val="1"/>
      <w:numFmt w:val="bullet"/>
      <w:lvlText w:val="o"/>
      <w:lvlJc w:val="left"/>
      <w:pPr>
        <w:tabs>
          <w:tab w:val="num" w:pos="5760"/>
        </w:tabs>
        <w:ind w:left="5760" w:hanging="360"/>
      </w:pPr>
      <w:rPr>
        <w:rFonts w:ascii="Courier New" w:hAnsi="Courier New"/>
      </w:rPr>
    </w:lvl>
    <w:lvl w:ilvl="8" w:tplc="D370EE1E">
      <w:start w:val="1"/>
      <w:numFmt w:val="bullet"/>
      <w:lvlText w:val=""/>
      <w:lvlJc w:val="left"/>
      <w:pPr>
        <w:tabs>
          <w:tab w:val="num" w:pos="6480"/>
        </w:tabs>
        <w:ind w:left="6480" w:hanging="360"/>
      </w:pPr>
      <w:rPr>
        <w:rFonts w:ascii="Wingdings" w:hAnsi="Wingdings"/>
      </w:rPr>
    </w:lvl>
  </w:abstractNum>
  <w:abstractNum w:abstractNumId="607" w15:restartNumberingAfterBreak="0">
    <w:nsid w:val="72230721"/>
    <w:multiLevelType w:val="hybridMultilevel"/>
    <w:tmpl w:val="72230721"/>
    <w:lvl w:ilvl="0" w:tplc="9720480E">
      <w:start w:val="1"/>
      <w:numFmt w:val="bullet"/>
      <w:lvlText w:val=""/>
      <w:lvlJc w:val="left"/>
      <w:pPr>
        <w:ind w:left="720" w:hanging="360"/>
      </w:pPr>
      <w:rPr>
        <w:rFonts w:ascii="Symbol" w:hAnsi="Symbol"/>
      </w:rPr>
    </w:lvl>
    <w:lvl w:ilvl="1" w:tplc="B6C2B026">
      <w:start w:val="1"/>
      <w:numFmt w:val="bullet"/>
      <w:lvlText w:val="o"/>
      <w:lvlJc w:val="left"/>
      <w:pPr>
        <w:tabs>
          <w:tab w:val="num" w:pos="1440"/>
        </w:tabs>
        <w:ind w:left="1440" w:hanging="360"/>
      </w:pPr>
      <w:rPr>
        <w:rFonts w:ascii="Courier New" w:hAnsi="Courier New"/>
      </w:rPr>
    </w:lvl>
    <w:lvl w:ilvl="2" w:tplc="572A8042">
      <w:start w:val="1"/>
      <w:numFmt w:val="bullet"/>
      <w:lvlText w:val=""/>
      <w:lvlJc w:val="left"/>
      <w:pPr>
        <w:tabs>
          <w:tab w:val="num" w:pos="2160"/>
        </w:tabs>
        <w:ind w:left="2160" w:hanging="360"/>
      </w:pPr>
      <w:rPr>
        <w:rFonts w:ascii="Wingdings" w:hAnsi="Wingdings"/>
      </w:rPr>
    </w:lvl>
    <w:lvl w:ilvl="3" w:tplc="C0A6451C">
      <w:start w:val="1"/>
      <w:numFmt w:val="bullet"/>
      <w:lvlText w:val=""/>
      <w:lvlJc w:val="left"/>
      <w:pPr>
        <w:tabs>
          <w:tab w:val="num" w:pos="2880"/>
        </w:tabs>
        <w:ind w:left="2880" w:hanging="360"/>
      </w:pPr>
      <w:rPr>
        <w:rFonts w:ascii="Symbol" w:hAnsi="Symbol"/>
      </w:rPr>
    </w:lvl>
    <w:lvl w:ilvl="4" w:tplc="A04AC3C8">
      <w:start w:val="1"/>
      <w:numFmt w:val="bullet"/>
      <w:lvlText w:val="o"/>
      <w:lvlJc w:val="left"/>
      <w:pPr>
        <w:tabs>
          <w:tab w:val="num" w:pos="3600"/>
        </w:tabs>
        <w:ind w:left="3600" w:hanging="360"/>
      </w:pPr>
      <w:rPr>
        <w:rFonts w:ascii="Courier New" w:hAnsi="Courier New"/>
      </w:rPr>
    </w:lvl>
    <w:lvl w:ilvl="5" w:tplc="7248AC80">
      <w:start w:val="1"/>
      <w:numFmt w:val="bullet"/>
      <w:lvlText w:val=""/>
      <w:lvlJc w:val="left"/>
      <w:pPr>
        <w:tabs>
          <w:tab w:val="num" w:pos="4320"/>
        </w:tabs>
        <w:ind w:left="4320" w:hanging="360"/>
      </w:pPr>
      <w:rPr>
        <w:rFonts w:ascii="Wingdings" w:hAnsi="Wingdings"/>
      </w:rPr>
    </w:lvl>
    <w:lvl w:ilvl="6" w:tplc="4F96959A">
      <w:start w:val="1"/>
      <w:numFmt w:val="bullet"/>
      <w:lvlText w:val=""/>
      <w:lvlJc w:val="left"/>
      <w:pPr>
        <w:tabs>
          <w:tab w:val="num" w:pos="5040"/>
        </w:tabs>
        <w:ind w:left="5040" w:hanging="360"/>
      </w:pPr>
      <w:rPr>
        <w:rFonts w:ascii="Symbol" w:hAnsi="Symbol"/>
      </w:rPr>
    </w:lvl>
    <w:lvl w:ilvl="7" w:tplc="AE0C85E8">
      <w:start w:val="1"/>
      <w:numFmt w:val="bullet"/>
      <w:lvlText w:val="o"/>
      <w:lvlJc w:val="left"/>
      <w:pPr>
        <w:tabs>
          <w:tab w:val="num" w:pos="5760"/>
        </w:tabs>
        <w:ind w:left="5760" w:hanging="360"/>
      </w:pPr>
      <w:rPr>
        <w:rFonts w:ascii="Courier New" w:hAnsi="Courier New"/>
      </w:rPr>
    </w:lvl>
    <w:lvl w:ilvl="8" w:tplc="B3B247B8">
      <w:start w:val="1"/>
      <w:numFmt w:val="bullet"/>
      <w:lvlText w:val=""/>
      <w:lvlJc w:val="left"/>
      <w:pPr>
        <w:tabs>
          <w:tab w:val="num" w:pos="6480"/>
        </w:tabs>
        <w:ind w:left="6480" w:hanging="360"/>
      </w:pPr>
      <w:rPr>
        <w:rFonts w:ascii="Wingdings" w:hAnsi="Wingdings"/>
      </w:rPr>
    </w:lvl>
  </w:abstractNum>
  <w:abstractNum w:abstractNumId="608" w15:restartNumberingAfterBreak="0">
    <w:nsid w:val="72230722"/>
    <w:multiLevelType w:val="hybridMultilevel"/>
    <w:tmpl w:val="72230722"/>
    <w:lvl w:ilvl="0" w:tplc="05A4A938">
      <w:start w:val="1"/>
      <w:numFmt w:val="bullet"/>
      <w:lvlText w:val=""/>
      <w:lvlJc w:val="left"/>
      <w:pPr>
        <w:ind w:left="720" w:hanging="360"/>
      </w:pPr>
      <w:rPr>
        <w:rFonts w:ascii="Symbol" w:hAnsi="Symbol"/>
      </w:rPr>
    </w:lvl>
    <w:lvl w:ilvl="1" w:tplc="5F80045A">
      <w:start w:val="1"/>
      <w:numFmt w:val="bullet"/>
      <w:lvlText w:val="o"/>
      <w:lvlJc w:val="left"/>
      <w:pPr>
        <w:tabs>
          <w:tab w:val="num" w:pos="1440"/>
        </w:tabs>
        <w:ind w:left="1440" w:hanging="360"/>
      </w:pPr>
      <w:rPr>
        <w:rFonts w:ascii="Courier New" w:hAnsi="Courier New"/>
      </w:rPr>
    </w:lvl>
    <w:lvl w:ilvl="2" w:tplc="526AFCFC">
      <w:start w:val="1"/>
      <w:numFmt w:val="bullet"/>
      <w:lvlText w:val=""/>
      <w:lvlJc w:val="left"/>
      <w:pPr>
        <w:tabs>
          <w:tab w:val="num" w:pos="2160"/>
        </w:tabs>
        <w:ind w:left="2160" w:hanging="360"/>
      </w:pPr>
      <w:rPr>
        <w:rFonts w:ascii="Wingdings" w:hAnsi="Wingdings"/>
      </w:rPr>
    </w:lvl>
    <w:lvl w:ilvl="3" w:tplc="E86C2B92">
      <w:start w:val="1"/>
      <w:numFmt w:val="bullet"/>
      <w:lvlText w:val=""/>
      <w:lvlJc w:val="left"/>
      <w:pPr>
        <w:tabs>
          <w:tab w:val="num" w:pos="2880"/>
        </w:tabs>
        <w:ind w:left="2880" w:hanging="360"/>
      </w:pPr>
      <w:rPr>
        <w:rFonts w:ascii="Symbol" w:hAnsi="Symbol"/>
      </w:rPr>
    </w:lvl>
    <w:lvl w:ilvl="4" w:tplc="FA5C4076">
      <w:start w:val="1"/>
      <w:numFmt w:val="bullet"/>
      <w:lvlText w:val="o"/>
      <w:lvlJc w:val="left"/>
      <w:pPr>
        <w:tabs>
          <w:tab w:val="num" w:pos="3600"/>
        </w:tabs>
        <w:ind w:left="3600" w:hanging="360"/>
      </w:pPr>
      <w:rPr>
        <w:rFonts w:ascii="Courier New" w:hAnsi="Courier New"/>
      </w:rPr>
    </w:lvl>
    <w:lvl w:ilvl="5" w:tplc="83062584">
      <w:start w:val="1"/>
      <w:numFmt w:val="bullet"/>
      <w:lvlText w:val=""/>
      <w:lvlJc w:val="left"/>
      <w:pPr>
        <w:tabs>
          <w:tab w:val="num" w:pos="4320"/>
        </w:tabs>
        <w:ind w:left="4320" w:hanging="360"/>
      </w:pPr>
      <w:rPr>
        <w:rFonts w:ascii="Wingdings" w:hAnsi="Wingdings"/>
      </w:rPr>
    </w:lvl>
    <w:lvl w:ilvl="6" w:tplc="AB4E6F38">
      <w:start w:val="1"/>
      <w:numFmt w:val="bullet"/>
      <w:lvlText w:val=""/>
      <w:lvlJc w:val="left"/>
      <w:pPr>
        <w:tabs>
          <w:tab w:val="num" w:pos="5040"/>
        </w:tabs>
        <w:ind w:left="5040" w:hanging="360"/>
      </w:pPr>
      <w:rPr>
        <w:rFonts w:ascii="Symbol" w:hAnsi="Symbol"/>
      </w:rPr>
    </w:lvl>
    <w:lvl w:ilvl="7" w:tplc="426480D6">
      <w:start w:val="1"/>
      <w:numFmt w:val="bullet"/>
      <w:lvlText w:val="o"/>
      <w:lvlJc w:val="left"/>
      <w:pPr>
        <w:tabs>
          <w:tab w:val="num" w:pos="5760"/>
        </w:tabs>
        <w:ind w:left="5760" w:hanging="360"/>
      </w:pPr>
      <w:rPr>
        <w:rFonts w:ascii="Courier New" w:hAnsi="Courier New"/>
      </w:rPr>
    </w:lvl>
    <w:lvl w:ilvl="8" w:tplc="3862681C">
      <w:start w:val="1"/>
      <w:numFmt w:val="bullet"/>
      <w:lvlText w:val=""/>
      <w:lvlJc w:val="left"/>
      <w:pPr>
        <w:tabs>
          <w:tab w:val="num" w:pos="6480"/>
        </w:tabs>
        <w:ind w:left="6480" w:hanging="360"/>
      </w:pPr>
      <w:rPr>
        <w:rFonts w:ascii="Wingdings" w:hAnsi="Wingdings"/>
      </w:rPr>
    </w:lvl>
  </w:abstractNum>
  <w:abstractNum w:abstractNumId="609" w15:restartNumberingAfterBreak="0">
    <w:nsid w:val="72230723"/>
    <w:multiLevelType w:val="hybridMultilevel"/>
    <w:tmpl w:val="72230723"/>
    <w:lvl w:ilvl="0" w:tplc="AE08F804">
      <w:start w:val="1"/>
      <w:numFmt w:val="bullet"/>
      <w:lvlText w:val=""/>
      <w:lvlJc w:val="left"/>
      <w:pPr>
        <w:ind w:left="720" w:hanging="360"/>
      </w:pPr>
      <w:rPr>
        <w:rFonts w:ascii="Symbol" w:hAnsi="Symbol"/>
      </w:rPr>
    </w:lvl>
    <w:lvl w:ilvl="1" w:tplc="7B947DC0">
      <w:start w:val="1"/>
      <w:numFmt w:val="bullet"/>
      <w:lvlText w:val="o"/>
      <w:lvlJc w:val="left"/>
      <w:pPr>
        <w:ind w:left="1440" w:hanging="360"/>
      </w:pPr>
      <w:rPr>
        <w:rFonts w:ascii="Courier New" w:hAnsi="Courier New"/>
      </w:rPr>
    </w:lvl>
    <w:lvl w:ilvl="2" w:tplc="C6B222D6">
      <w:start w:val="1"/>
      <w:numFmt w:val="bullet"/>
      <w:lvlText w:val=""/>
      <w:lvlJc w:val="left"/>
      <w:pPr>
        <w:tabs>
          <w:tab w:val="num" w:pos="2160"/>
        </w:tabs>
        <w:ind w:left="2160" w:hanging="360"/>
      </w:pPr>
      <w:rPr>
        <w:rFonts w:ascii="Wingdings" w:hAnsi="Wingdings"/>
      </w:rPr>
    </w:lvl>
    <w:lvl w:ilvl="3" w:tplc="F09294B2">
      <w:start w:val="1"/>
      <w:numFmt w:val="bullet"/>
      <w:lvlText w:val=""/>
      <w:lvlJc w:val="left"/>
      <w:pPr>
        <w:tabs>
          <w:tab w:val="num" w:pos="2880"/>
        </w:tabs>
        <w:ind w:left="2880" w:hanging="360"/>
      </w:pPr>
      <w:rPr>
        <w:rFonts w:ascii="Symbol" w:hAnsi="Symbol"/>
      </w:rPr>
    </w:lvl>
    <w:lvl w:ilvl="4" w:tplc="11461AF6">
      <w:start w:val="1"/>
      <w:numFmt w:val="bullet"/>
      <w:lvlText w:val="o"/>
      <w:lvlJc w:val="left"/>
      <w:pPr>
        <w:tabs>
          <w:tab w:val="num" w:pos="3600"/>
        </w:tabs>
        <w:ind w:left="3600" w:hanging="360"/>
      </w:pPr>
      <w:rPr>
        <w:rFonts w:ascii="Courier New" w:hAnsi="Courier New"/>
      </w:rPr>
    </w:lvl>
    <w:lvl w:ilvl="5" w:tplc="C32AAF1E">
      <w:start w:val="1"/>
      <w:numFmt w:val="bullet"/>
      <w:lvlText w:val=""/>
      <w:lvlJc w:val="left"/>
      <w:pPr>
        <w:tabs>
          <w:tab w:val="num" w:pos="4320"/>
        </w:tabs>
        <w:ind w:left="4320" w:hanging="360"/>
      </w:pPr>
      <w:rPr>
        <w:rFonts w:ascii="Wingdings" w:hAnsi="Wingdings"/>
      </w:rPr>
    </w:lvl>
    <w:lvl w:ilvl="6" w:tplc="A6101F24">
      <w:start w:val="1"/>
      <w:numFmt w:val="bullet"/>
      <w:lvlText w:val=""/>
      <w:lvlJc w:val="left"/>
      <w:pPr>
        <w:tabs>
          <w:tab w:val="num" w:pos="5040"/>
        </w:tabs>
        <w:ind w:left="5040" w:hanging="360"/>
      </w:pPr>
      <w:rPr>
        <w:rFonts w:ascii="Symbol" w:hAnsi="Symbol"/>
      </w:rPr>
    </w:lvl>
    <w:lvl w:ilvl="7" w:tplc="25AA67B8">
      <w:start w:val="1"/>
      <w:numFmt w:val="bullet"/>
      <w:lvlText w:val="o"/>
      <w:lvlJc w:val="left"/>
      <w:pPr>
        <w:tabs>
          <w:tab w:val="num" w:pos="5760"/>
        </w:tabs>
        <w:ind w:left="5760" w:hanging="360"/>
      </w:pPr>
      <w:rPr>
        <w:rFonts w:ascii="Courier New" w:hAnsi="Courier New"/>
      </w:rPr>
    </w:lvl>
    <w:lvl w:ilvl="8" w:tplc="5386BE7C">
      <w:start w:val="1"/>
      <w:numFmt w:val="bullet"/>
      <w:lvlText w:val=""/>
      <w:lvlJc w:val="left"/>
      <w:pPr>
        <w:tabs>
          <w:tab w:val="num" w:pos="6480"/>
        </w:tabs>
        <w:ind w:left="6480" w:hanging="360"/>
      </w:pPr>
      <w:rPr>
        <w:rFonts w:ascii="Wingdings" w:hAnsi="Wingdings"/>
      </w:rPr>
    </w:lvl>
  </w:abstractNum>
  <w:abstractNum w:abstractNumId="610" w15:restartNumberingAfterBreak="0">
    <w:nsid w:val="72230724"/>
    <w:multiLevelType w:val="hybridMultilevel"/>
    <w:tmpl w:val="72230724"/>
    <w:lvl w:ilvl="0" w:tplc="7CF06012">
      <w:start w:val="1"/>
      <w:numFmt w:val="bullet"/>
      <w:lvlText w:val=""/>
      <w:lvlJc w:val="left"/>
      <w:pPr>
        <w:ind w:left="720" w:hanging="360"/>
      </w:pPr>
      <w:rPr>
        <w:rFonts w:ascii="Symbol" w:hAnsi="Symbol"/>
      </w:rPr>
    </w:lvl>
    <w:lvl w:ilvl="1" w:tplc="0520FBE0">
      <w:start w:val="1"/>
      <w:numFmt w:val="bullet"/>
      <w:lvlText w:val="o"/>
      <w:lvlJc w:val="left"/>
      <w:pPr>
        <w:tabs>
          <w:tab w:val="num" w:pos="1440"/>
        </w:tabs>
        <w:ind w:left="1440" w:hanging="360"/>
      </w:pPr>
      <w:rPr>
        <w:rFonts w:ascii="Courier New" w:hAnsi="Courier New"/>
      </w:rPr>
    </w:lvl>
    <w:lvl w:ilvl="2" w:tplc="58C849FA">
      <w:start w:val="1"/>
      <w:numFmt w:val="bullet"/>
      <w:lvlText w:val=""/>
      <w:lvlJc w:val="left"/>
      <w:pPr>
        <w:tabs>
          <w:tab w:val="num" w:pos="2160"/>
        </w:tabs>
        <w:ind w:left="2160" w:hanging="360"/>
      </w:pPr>
      <w:rPr>
        <w:rFonts w:ascii="Wingdings" w:hAnsi="Wingdings"/>
      </w:rPr>
    </w:lvl>
    <w:lvl w:ilvl="3" w:tplc="687E20F4">
      <w:start w:val="1"/>
      <w:numFmt w:val="bullet"/>
      <w:lvlText w:val=""/>
      <w:lvlJc w:val="left"/>
      <w:pPr>
        <w:tabs>
          <w:tab w:val="num" w:pos="2880"/>
        </w:tabs>
        <w:ind w:left="2880" w:hanging="360"/>
      </w:pPr>
      <w:rPr>
        <w:rFonts w:ascii="Symbol" w:hAnsi="Symbol"/>
      </w:rPr>
    </w:lvl>
    <w:lvl w:ilvl="4" w:tplc="AF5AB424">
      <w:start w:val="1"/>
      <w:numFmt w:val="bullet"/>
      <w:lvlText w:val="o"/>
      <w:lvlJc w:val="left"/>
      <w:pPr>
        <w:tabs>
          <w:tab w:val="num" w:pos="3600"/>
        </w:tabs>
        <w:ind w:left="3600" w:hanging="360"/>
      </w:pPr>
      <w:rPr>
        <w:rFonts w:ascii="Courier New" w:hAnsi="Courier New"/>
      </w:rPr>
    </w:lvl>
    <w:lvl w:ilvl="5" w:tplc="67220B46">
      <w:start w:val="1"/>
      <w:numFmt w:val="bullet"/>
      <w:lvlText w:val=""/>
      <w:lvlJc w:val="left"/>
      <w:pPr>
        <w:tabs>
          <w:tab w:val="num" w:pos="4320"/>
        </w:tabs>
        <w:ind w:left="4320" w:hanging="360"/>
      </w:pPr>
      <w:rPr>
        <w:rFonts w:ascii="Wingdings" w:hAnsi="Wingdings"/>
      </w:rPr>
    </w:lvl>
    <w:lvl w:ilvl="6" w:tplc="B6A21B30">
      <w:start w:val="1"/>
      <w:numFmt w:val="bullet"/>
      <w:lvlText w:val=""/>
      <w:lvlJc w:val="left"/>
      <w:pPr>
        <w:tabs>
          <w:tab w:val="num" w:pos="5040"/>
        </w:tabs>
        <w:ind w:left="5040" w:hanging="360"/>
      </w:pPr>
      <w:rPr>
        <w:rFonts w:ascii="Symbol" w:hAnsi="Symbol"/>
      </w:rPr>
    </w:lvl>
    <w:lvl w:ilvl="7" w:tplc="6CAA44B4">
      <w:start w:val="1"/>
      <w:numFmt w:val="bullet"/>
      <w:lvlText w:val="o"/>
      <w:lvlJc w:val="left"/>
      <w:pPr>
        <w:tabs>
          <w:tab w:val="num" w:pos="5760"/>
        </w:tabs>
        <w:ind w:left="5760" w:hanging="360"/>
      </w:pPr>
      <w:rPr>
        <w:rFonts w:ascii="Courier New" w:hAnsi="Courier New"/>
      </w:rPr>
    </w:lvl>
    <w:lvl w:ilvl="8" w:tplc="206296E8">
      <w:start w:val="1"/>
      <w:numFmt w:val="bullet"/>
      <w:lvlText w:val=""/>
      <w:lvlJc w:val="left"/>
      <w:pPr>
        <w:tabs>
          <w:tab w:val="num" w:pos="6480"/>
        </w:tabs>
        <w:ind w:left="6480" w:hanging="360"/>
      </w:pPr>
      <w:rPr>
        <w:rFonts w:ascii="Wingdings" w:hAnsi="Wingdings"/>
      </w:rPr>
    </w:lvl>
  </w:abstractNum>
  <w:abstractNum w:abstractNumId="611" w15:restartNumberingAfterBreak="0">
    <w:nsid w:val="72230725"/>
    <w:multiLevelType w:val="hybridMultilevel"/>
    <w:tmpl w:val="72230725"/>
    <w:lvl w:ilvl="0" w:tplc="D282863A">
      <w:start w:val="1"/>
      <w:numFmt w:val="bullet"/>
      <w:lvlText w:val=""/>
      <w:lvlJc w:val="left"/>
      <w:pPr>
        <w:ind w:left="720" w:hanging="360"/>
      </w:pPr>
      <w:rPr>
        <w:rFonts w:ascii="Symbol" w:hAnsi="Symbol"/>
      </w:rPr>
    </w:lvl>
    <w:lvl w:ilvl="1" w:tplc="E50697C0">
      <w:start w:val="1"/>
      <w:numFmt w:val="bullet"/>
      <w:lvlText w:val="o"/>
      <w:lvlJc w:val="left"/>
      <w:pPr>
        <w:tabs>
          <w:tab w:val="num" w:pos="1440"/>
        </w:tabs>
        <w:ind w:left="1440" w:hanging="360"/>
      </w:pPr>
      <w:rPr>
        <w:rFonts w:ascii="Courier New" w:hAnsi="Courier New"/>
      </w:rPr>
    </w:lvl>
    <w:lvl w:ilvl="2" w:tplc="39C6C326">
      <w:start w:val="1"/>
      <w:numFmt w:val="bullet"/>
      <w:lvlText w:val=""/>
      <w:lvlJc w:val="left"/>
      <w:pPr>
        <w:tabs>
          <w:tab w:val="num" w:pos="2160"/>
        </w:tabs>
        <w:ind w:left="2160" w:hanging="360"/>
      </w:pPr>
      <w:rPr>
        <w:rFonts w:ascii="Wingdings" w:hAnsi="Wingdings"/>
      </w:rPr>
    </w:lvl>
    <w:lvl w:ilvl="3" w:tplc="372CE2EC">
      <w:start w:val="1"/>
      <w:numFmt w:val="bullet"/>
      <w:lvlText w:val=""/>
      <w:lvlJc w:val="left"/>
      <w:pPr>
        <w:tabs>
          <w:tab w:val="num" w:pos="2880"/>
        </w:tabs>
        <w:ind w:left="2880" w:hanging="360"/>
      </w:pPr>
      <w:rPr>
        <w:rFonts w:ascii="Symbol" w:hAnsi="Symbol"/>
      </w:rPr>
    </w:lvl>
    <w:lvl w:ilvl="4" w:tplc="1250D8DC">
      <w:start w:val="1"/>
      <w:numFmt w:val="bullet"/>
      <w:lvlText w:val="o"/>
      <w:lvlJc w:val="left"/>
      <w:pPr>
        <w:tabs>
          <w:tab w:val="num" w:pos="3600"/>
        </w:tabs>
        <w:ind w:left="3600" w:hanging="360"/>
      </w:pPr>
      <w:rPr>
        <w:rFonts w:ascii="Courier New" w:hAnsi="Courier New"/>
      </w:rPr>
    </w:lvl>
    <w:lvl w:ilvl="5" w:tplc="EFFEA31C">
      <w:start w:val="1"/>
      <w:numFmt w:val="bullet"/>
      <w:lvlText w:val=""/>
      <w:lvlJc w:val="left"/>
      <w:pPr>
        <w:tabs>
          <w:tab w:val="num" w:pos="4320"/>
        </w:tabs>
        <w:ind w:left="4320" w:hanging="360"/>
      </w:pPr>
      <w:rPr>
        <w:rFonts w:ascii="Wingdings" w:hAnsi="Wingdings"/>
      </w:rPr>
    </w:lvl>
    <w:lvl w:ilvl="6" w:tplc="E5908078">
      <w:start w:val="1"/>
      <w:numFmt w:val="bullet"/>
      <w:lvlText w:val=""/>
      <w:lvlJc w:val="left"/>
      <w:pPr>
        <w:tabs>
          <w:tab w:val="num" w:pos="5040"/>
        </w:tabs>
        <w:ind w:left="5040" w:hanging="360"/>
      </w:pPr>
      <w:rPr>
        <w:rFonts w:ascii="Symbol" w:hAnsi="Symbol"/>
      </w:rPr>
    </w:lvl>
    <w:lvl w:ilvl="7" w:tplc="187A8324">
      <w:start w:val="1"/>
      <w:numFmt w:val="bullet"/>
      <w:lvlText w:val="o"/>
      <w:lvlJc w:val="left"/>
      <w:pPr>
        <w:tabs>
          <w:tab w:val="num" w:pos="5760"/>
        </w:tabs>
        <w:ind w:left="5760" w:hanging="360"/>
      </w:pPr>
      <w:rPr>
        <w:rFonts w:ascii="Courier New" w:hAnsi="Courier New"/>
      </w:rPr>
    </w:lvl>
    <w:lvl w:ilvl="8" w:tplc="6750D91E">
      <w:start w:val="1"/>
      <w:numFmt w:val="bullet"/>
      <w:lvlText w:val=""/>
      <w:lvlJc w:val="left"/>
      <w:pPr>
        <w:tabs>
          <w:tab w:val="num" w:pos="6480"/>
        </w:tabs>
        <w:ind w:left="6480" w:hanging="360"/>
      </w:pPr>
      <w:rPr>
        <w:rFonts w:ascii="Wingdings" w:hAnsi="Wingdings"/>
      </w:rPr>
    </w:lvl>
  </w:abstractNum>
  <w:abstractNum w:abstractNumId="612" w15:restartNumberingAfterBreak="0">
    <w:nsid w:val="72230726"/>
    <w:multiLevelType w:val="hybridMultilevel"/>
    <w:tmpl w:val="72230726"/>
    <w:lvl w:ilvl="0" w:tplc="22A4708E">
      <w:start w:val="1"/>
      <w:numFmt w:val="bullet"/>
      <w:lvlText w:val=""/>
      <w:lvlJc w:val="left"/>
      <w:pPr>
        <w:ind w:left="720" w:hanging="360"/>
      </w:pPr>
      <w:rPr>
        <w:rFonts w:ascii="Symbol" w:hAnsi="Symbol"/>
      </w:rPr>
    </w:lvl>
    <w:lvl w:ilvl="1" w:tplc="98101290">
      <w:start w:val="1"/>
      <w:numFmt w:val="bullet"/>
      <w:lvlText w:val="o"/>
      <w:lvlJc w:val="left"/>
      <w:pPr>
        <w:tabs>
          <w:tab w:val="num" w:pos="1440"/>
        </w:tabs>
        <w:ind w:left="1440" w:hanging="360"/>
      </w:pPr>
      <w:rPr>
        <w:rFonts w:ascii="Courier New" w:hAnsi="Courier New"/>
      </w:rPr>
    </w:lvl>
    <w:lvl w:ilvl="2" w:tplc="7054E470">
      <w:start w:val="1"/>
      <w:numFmt w:val="bullet"/>
      <w:lvlText w:val=""/>
      <w:lvlJc w:val="left"/>
      <w:pPr>
        <w:tabs>
          <w:tab w:val="num" w:pos="2160"/>
        </w:tabs>
        <w:ind w:left="2160" w:hanging="360"/>
      </w:pPr>
      <w:rPr>
        <w:rFonts w:ascii="Wingdings" w:hAnsi="Wingdings"/>
      </w:rPr>
    </w:lvl>
    <w:lvl w:ilvl="3" w:tplc="4964095E">
      <w:start w:val="1"/>
      <w:numFmt w:val="bullet"/>
      <w:lvlText w:val=""/>
      <w:lvlJc w:val="left"/>
      <w:pPr>
        <w:tabs>
          <w:tab w:val="num" w:pos="2880"/>
        </w:tabs>
        <w:ind w:left="2880" w:hanging="360"/>
      </w:pPr>
      <w:rPr>
        <w:rFonts w:ascii="Symbol" w:hAnsi="Symbol"/>
      </w:rPr>
    </w:lvl>
    <w:lvl w:ilvl="4" w:tplc="B29EE3AC">
      <w:start w:val="1"/>
      <w:numFmt w:val="bullet"/>
      <w:lvlText w:val="o"/>
      <w:lvlJc w:val="left"/>
      <w:pPr>
        <w:tabs>
          <w:tab w:val="num" w:pos="3600"/>
        </w:tabs>
        <w:ind w:left="3600" w:hanging="360"/>
      </w:pPr>
      <w:rPr>
        <w:rFonts w:ascii="Courier New" w:hAnsi="Courier New"/>
      </w:rPr>
    </w:lvl>
    <w:lvl w:ilvl="5" w:tplc="C5EC8734">
      <w:start w:val="1"/>
      <w:numFmt w:val="bullet"/>
      <w:lvlText w:val=""/>
      <w:lvlJc w:val="left"/>
      <w:pPr>
        <w:tabs>
          <w:tab w:val="num" w:pos="4320"/>
        </w:tabs>
        <w:ind w:left="4320" w:hanging="360"/>
      </w:pPr>
      <w:rPr>
        <w:rFonts w:ascii="Wingdings" w:hAnsi="Wingdings"/>
      </w:rPr>
    </w:lvl>
    <w:lvl w:ilvl="6" w:tplc="5980FBBE">
      <w:start w:val="1"/>
      <w:numFmt w:val="bullet"/>
      <w:lvlText w:val=""/>
      <w:lvlJc w:val="left"/>
      <w:pPr>
        <w:tabs>
          <w:tab w:val="num" w:pos="5040"/>
        </w:tabs>
        <w:ind w:left="5040" w:hanging="360"/>
      </w:pPr>
      <w:rPr>
        <w:rFonts w:ascii="Symbol" w:hAnsi="Symbol"/>
      </w:rPr>
    </w:lvl>
    <w:lvl w:ilvl="7" w:tplc="36608B74">
      <w:start w:val="1"/>
      <w:numFmt w:val="bullet"/>
      <w:lvlText w:val="o"/>
      <w:lvlJc w:val="left"/>
      <w:pPr>
        <w:tabs>
          <w:tab w:val="num" w:pos="5760"/>
        </w:tabs>
        <w:ind w:left="5760" w:hanging="360"/>
      </w:pPr>
      <w:rPr>
        <w:rFonts w:ascii="Courier New" w:hAnsi="Courier New"/>
      </w:rPr>
    </w:lvl>
    <w:lvl w:ilvl="8" w:tplc="76B4492E">
      <w:start w:val="1"/>
      <w:numFmt w:val="bullet"/>
      <w:lvlText w:val=""/>
      <w:lvlJc w:val="left"/>
      <w:pPr>
        <w:tabs>
          <w:tab w:val="num" w:pos="6480"/>
        </w:tabs>
        <w:ind w:left="6480" w:hanging="360"/>
      </w:pPr>
      <w:rPr>
        <w:rFonts w:ascii="Wingdings" w:hAnsi="Wingdings"/>
      </w:rPr>
    </w:lvl>
  </w:abstractNum>
  <w:abstractNum w:abstractNumId="613" w15:restartNumberingAfterBreak="0">
    <w:nsid w:val="72230727"/>
    <w:multiLevelType w:val="hybridMultilevel"/>
    <w:tmpl w:val="72230727"/>
    <w:lvl w:ilvl="0" w:tplc="A85C4B56">
      <w:start w:val="1"/>
      <w:numFmt w:val="bullet"/>
      <w:lvlText w:val=""/>
      <w:lvlJc w:val="left"/>
      <w:pPr>
        <w:ind w:left="720" w:hanging="360"/>
      </w:pPr>
      <w:rPr>
        <w:rFonts w:ascii="Symbol" w:hAnsi="Symbol"/>
      </w:rPr>
    </w:lvl>
    <w:lvl w:ilvl="1" w:tplc="93A834B4">
      <w:start w:val="1"/>
      <w:numFmt w:val="bullet"/>
      <w:lvlText w:val="o"/>
      <w:lvlJc w:val="left"/>
      <w:pPr>
        <w:tabs>
          <w:tab w:val="num" w:pos="1440"/>
        </w:tabs>
        <w:ind w:left="1440" w:hanging="360"/>
      </w:pPr>
      <w:rPr>
        <w:rFonts w:ascii="Courier New" w:hAnsi="Courier New"/>
      </w:rPr>
    </w:lvl>
    <w:lvl w:ilvl="2" w:tplc="537AC1E8">
      <w:start w:val="1"/>
      <w:numFmt w:val="bullet"/>
      <w:lvlText w:val=""/>
      <w:lvlJc w:val="left"/>
      <w:pPr>
        <w:tabs>
          <w:tab w:val="num" w:pos="2160"/>
        </w:tabs>
        <w:ind w:left="2160" w:hanging="360"/>
      </w:pPr>
      <w:rPr>
        <w:rFonts w:ascii="Wingdings" w:hAnsi="Wingdings"/>
      </w:rPr>
    </w:lvl>
    <w:lvl w:ilvl="3" w:tplc="73168812">
      <w:start w:val="1"/>
      <w:numFmt w:val="bullet"/>
      <w:lvlText w:val=""/>
      <w:lvlJc w:val="left"/>
      <w:pPr>
        <w:tabs>
          <w:tab w:val="num" w:pos="2880"/>
        </w:tabs>
        <w:ind w:left="2880" w:hanging="360"/>
      </w:pPr>
      <w:rPr>
        <w:rFonts w:ascii="Symbol" w:hAnsi="Symbol"/>
      </w:rPr>
    </w:lvl>
    <w:lvl w:ilvl="4" w:tplc="B74A18F4">
      <w:start w:val="1"/>
      <w:numFmt w:val="bullet"/>
      <w:lvlText w:val="o"/>
      <w:lvlJc w:val="left"/>
      <w:pPr>
        <w:tabs>
          <w:tab w:val="num" w:pos="3600"/>
        </w:tabs>
        <w:ind w:left="3600" w:hanging="360"/>
      </w:pPr>
      <w:rPr>
        <w:rFonts w:ascii="Courier New" w:hAnsi="Courier New"/>
      </w:rPr>
    </w:lvl>
    <w:lvl w:ilvl="5" w:tplc="AA00522E">
      <w:start w:val="1"/>
      <w:numFmt w:val="bullet"/>
      <w:lvlText w:val=""/>
      <w:lvlJc w:val="left"/>
      <w:pPr>
        <w:tabs>
          <w:tab w:val="num" w:pos="4320"/>
        </w:tabs>
        <w:ind w:left="4320" w:hanging="360"/>
      </w:pPr>
      <w:rPr>
        <w:rFonts w:ascii="Wingdings" w:hAnsi="Wingdings"/>
      </w:rPr>
    </w:lvl>
    <w:lvl w:ilvl="6" w:tplc="3B267904">
      <w:start w:val="1"/>
      <w:numFmt w:val="bullet"/>
      <w:lvlText w:val=""/>
      <w:lvlJc w:val="left"/>
      <w:pPr>
        <w:tabs>
          <w:tab w:val="num" w:pos="5040"/>
        </w:tabs>
        <w:ind w:left="5040" w:hanging="360"/>
      </w:pPr>
      <w:rPr>
        <w:rFonts w:ascii="Symbol" w:hAnsi="Symbol"/>
      </w:rPr>
    </w:lvl>
    <w:lvl w:ilvl="7" w:tplc="10FCEC02">
      <w:start w:val="1"/>
      <w:numFmt w:val="bullet"/>
      <w:lvlText w:val="o"/>
      <w:lvlJc w:val="left"/>
      <w:pPr>
        <w:tabs>
          <w:tab w:val="num" w:pos="5760"/>
        </w:tabs>
        <w:ind w:left="5760" w:hanging="360"/>
      </w:pPr>
      <w:rPr>
        <w:rFonts w:ascii="Courier New" w:hAnsi="Courier New"/>
      </w:rPr>
    </w:lvl>
    <w:lvl w:ilvl="8" w:tplc="A2C290D8">
      <w:start w:val="1"/>
      <w:numFmt w:val="bullet"/>
      <w:lvlText w:val=""/>
      <w:lvlJc w:val="left"/>
      <w:pPr>
        <w:tabs>
          <w:tab w:val="num" w:pos="6480"/>
        </w:tabs>
        <w:ind w:left="6480" w:hanging="360"/>
      </w:pPr>
      <w:rPr>
        <w:rFonts w:ascii="Wingdings" w:hAnsi="Wingdings"/>
      </w:rPr>
    </w:lvl>
  </w:abstractNum>
  <w:abstractNum w:abstractNumId="614" w15:restartNumberingAfterBreak="0">
    <w:nsid w:val="72230728"/>
    <w:multiLevelType w:val="hybridMultilevel"/>
    <w:tmpl w:val="72230728"/>
    <w:lvl w:ilvl="0" w:tplc="418262D4">
      <w:start w:val="1"/>
      <w:numFmt w:val="bullet"/>
      <w:lvlText w:val=""/>
      <w:lvlJc w:val="left"/>
      <w:pPr>
        <w:ind w:left="720" w:hanging="360"/>
      </w:pPr>
      <w:rPr>
        <w:rFonts w:ascii="Symbol" w:hAnsi="Symbol"/>
      </w:rPr>
    </w:lvl>
    <w:lvl w:ilvl="1" w:tplc="CAE67A62">
      <w:start w:val="1"/>
      <w:numFmt w:val="bullet"/>
      <w:lvlText w:val="o"/>
      <w:lvlJc w:val="left"/>
      <w:pPr>
        <w:tabs>
          <w:tab w:val="num" w:pos="1440"/>
        </w:tabs>
        <w:ind w:left="1440" w:hanging="360"/>
      </w:pPr>
      <w:rPr>
        <w:rFonts w:ascii="Courier New" w:hAnsi="Courier New"/>
      </w:rPr>
    </w:lvl>
    <w:lvl w:ilvl="2" w:tplc="8AF41BFE">
      <w:start w:val="1"/>
      <w:numFmt w:val="bullet"/>
      <w:lvlText w:val=""/>
      <w:lvlJc w:val="left"/>
      <w:pPr>
        <w:tabs>
          <w:tab w:val="num" w:pos="2160"/>
        </w:tabs>
        <w:ind w:left="2160" w:hanging="360"/>
      </w:pPr>
      <w:rPr>
        <w:rFonts w:ascii="Wingdings" w:hAnsi="Wingdings"/>
      </w:rPr>
    </w:lvl>
    <w:lvl w:ilvl="3" w:tplc="459E1ABA">
      <w:start w:val="1"/>
      <w:numFmt w:val="bullet"/>
      <w:lvlText w:val=""/>
      <w:lvlJc w:val="left"/>
      <w:pPr>
        <w:tabs>
          <w:tab w:val="num" w:pos="2880"/>
        </w:tabs>
        <w:ind w:left="2880" w:hanging="360"/>
      </w:pPr>
      <w:rPr>
        <w:rFonts w:ascii="Symbol" w:hAnsi="Symbol"/>
      </w:rPr>
    </w:lvl>
    <w:lvl w:ilvl="4" w:tplc="C966D7B4">
      <w:start w:val="1"/>
      <w:numFmt w:val="bullet"/>
      <w:lvlText w:val="o"/>
      <w:lvlJc w:val="left"/>
      <w:pPr>
        <w:tabs>
          <w:tab w:val="num" w:pos="3600"/>
        </w:tabs>
        <w:ind w:left="3600" w:hanging="360"/>
      </w:pPr>
      <w:rPr>
        <w:rFonts w:ascii="Courier New" w:hAnsi="Courier New"/>
      </w:rPr>
    </w:lvl>
    <w:lvl w:ilvl="5" w:tplc="D55262FC">
      <w:start w:val="1"/>
      <w:numFmt w:val="bullet"/>
      <w:lvlText w:val=""/>
      <w:lvlJc w:val="left"/>
      <w:pPr>
        <w:tabs>
          <w:tab w:val="num" w:pos="4320"/>
        </w:tabs>
        <w:ind w:left="4320" w:hanging="360"/>
      </w:pPr>
      <w:rPr>
        <w:rFonts w:ascii="Wingdings" w:hAnsi="Wingdings"/>
      </w:rPr>
    </w:lvl>
    <w:lvl w:ilvl="6" w:tplc="FD22A7E8">
      <w:start w:val="1"/>
      <w:numFmt w:val="bullet"/>
      <w:lvlText w:val=""/>
      <w:lvlJc w:val="left"/>
      <w:pPr>
        <w:tabs>
          <w:tab w:val="num" w:pos="5040"/>
        </w:tabs>
        <w:ind w:left="5040" w:hanging="360"/>
      </w:pPr>
      <w:rPr>
        <w:rFonts w:ascii="Symbol" w:hAnsi="Symbol"/>
      </w:rPr>
    </w:lvl>
    <w:lvl w:ilvl="7" w:tplc="E43C78DE">
      <w:start w:val="1"/>
      <w:numFmt w:val="bullet"/>
      <w:lvlText w:val="o"/>
      <w:lvlJc w:val="left"/>
      <w:pPr>
        <w:tabs>
          <w:tab w:val="num" w:pos="5760"/>
        </w:tabs>
        <w:ind w:left="5760" w:hanging="360"/>
      </w:pPr>
      <w:rPr>
        <w:rFonts w:ascii="Courier New" w:hAnsi="Courier New"/>
      </w:rPr>
    </w:lvl>
    <w:lvl w:ilvl="8" w:tplc="6DFA95F6">
      <w:start w:val="1"/>
      <w:numFmt w:val="bullet"/>
      <w:lvlText w:val=""/>
      <w:lvlJc w:val="left"/>
      <w:pPr>
        <w:tabs>
          <w:tab w:val="num" w:pos="6480"/>
        </w:tabs>
        <w:ind w:left="6480" w:hanging="360"/>
      </w:pPr>
      <w:rPr>
        <w:rFonts w:ascii="Wingdings" w:hAnsi="Wingdings"/>
      </w:rPr>
    </w:lvl>
  </w:abstractNum>
  <w:abstractNum w:abstractNumId="615" w15:restartNumberingAfterBreak="0">
    <w:nsid w:val="72230729"/>
    <w:multiLevelType w:val="hybridMultilevel"/>
    <w:tmpl w:val="72230729"/>
    <w:lvl w:ilvl="0" w:tplc="B4B036BC">
      <w:start w:val="1"/>
      <w:numFmt w:val="bullet"/>
      <w:lvlText w:val=""/>
      <w:lvlJc w:val="left"/>
      <w:pPr>
        <w:ind w:left="720" w:hanging="360"/>
      </w:pPr>
      <w:rPr>
        <w:rFonts w:ascii="Symbol" w:hAnsi="Symbol"/>
      </w:rPr>
    </w:lvl>
    <w:lvl w:ilvl="1" w:tplc="19E0F21C">
      <w:start w:val="1"/>
      <w:numFmt w:val="bullet"/>
      <w:lvlText w:val="o"/>
      <w:lvlJc w:val="left"/>
      <w:pPr>
        <w:tabs>
          <w:tab w:val="num" w:pos="1440"/>
        </w:tabs>
        <w:ind w:left="1440" w:hanging="360"/>
      </w:pPr>
      <w:rPr>
        <w:rFonts w:ascii="Courier New" w:hAnsi="Courier New"/>
      </w:rPr>
    </w:lvl>
    <w:lvl w:ilvl="2" w:tplc="DADA8716">
      <w:start w:val="1"/>
      <w:numFmt w:val="bullet"/>
      <w:lvlText w:val=""/>
      <w:lvlJc w:val="left"/>
      <w:pPr>
        <w:tabs>
          <w:tab w:val="num" w:pos="2160"/>
        </w:tabs>
        <w:ind w:left="2160" w:hanging="360"/>
      </w:pPr>
      <w:rPr>
        <w:rFonts w:ascii="Wingdings" w:hAnsi="Wingdings"/>
      </w:rPr>
    </w:lvl>
    <w:lvl w:ilvl="3" w:tplc="DC5446DA">
      <w:start w:val="1"/>
      <w:numFmt w:val="bullet"/>
      <w:lvlText w:val=""/>
      <w:lvlJc w:val="left"/>
      <w:pPr>
        <w:tabs>
          <w:tab w:val="num" w:pos="2880"/>
        </w:tabs>
        <w:ind w:left="2880" w:hanging="360"/>
      </w:pPr>
      <w:rPr>
        <w:rFonts w:ascii="Symbol" w:hAnsi="Symbol"/>
      </w:rPr>
    </w:lvl>
    <w:lvl w:ilvl="4" w:tplc="91F01540">
      <w:start w:val="1"/>
      <w:numFmt w:val="bullet"/>
      <w:lvlText w:val="o"/>
      <w:lvlJc w:val="left"/>
      <w:pPr>
        <w:tabs>
          <w:tab w:val="num" w:pos="3600"/>
        </w:tabs>
        <w:ind w:left="3600" w:hanging="360"/>
      </w:pPr>
      <w:rPr>
        <w:rFonts w:ascii="Courier New" w:hAnsi="Courier New"/>
      </w:rPr>
    </w:lvl>
    <w:lvl w:ilvl="5" w:tplc="9844FB7E">
      <w:start w:val="1"/>
      <w:numFmt w:val="bullet"/>
      <w:lvlText w:val=""/>
      <w:lvlJc w:val="left"/>
      <w:pPr>
        <w:tabs>
          <w:tab w:val="num" w:pos="4320"/>
        </w:tabs>
        <w:ind w:left="4320" w:hanging="360"/>
      </w:pPr>
      <w:rPr>
        <w:rFonts w:ascii="Wingdings" w:hAnsi="Wingdings"/>
      </w:rPr>
    </w:lvl>
    <w:lvl w:ilvl="6" w:tplc="AB9643BA">
      <w:start w:val="1"/>
      <w:numFmt w:val="bullet"/>
      <w:lvlText w:val=""/>
      <w:lvlJc w:val="left"/>
      <w:pPr>
        <w:tabs>
          <w:tab w:val="num" w:pos="5040"/>
        </w:tabs>
        <w:ind w:left="5040" w:hanging="360"/>
      </w:pPr>
      <w:rPr>
        <w:rFonts w:ascii="Symbol" w:hAnsi="Symbol"/>
      </w:rPr>
    </w:lvl>
    <w:lvl w:ilvl="7" w:tplc="A1FCE930">
      <w:start w:val="1"/>
      <w:numFmt w:val="bullet"/>
      <w:lvlText w:val="o"/>
      <w:lvlJc w:val="left"/>
      <w:pPr>
        <w:tabs>
          <w:tab w:val="num" w:pos="5760"/>
        </w:tabs>
        <w:ind w:left="5760" w:hanging="360"/>
      </w:pPr>
      <w:rPr>
        <w:rFonts w:ascii="Courier New" w:hAnsi="Courier New"/>
      </w:rPr>
    </w:lvl>
    <w:lvl w:ilvl="8" w:tplc="7D3E371E">
      <w:start w:val="1"/>
      <w:numFmt w:val="bullet"/>
      <w:lvlText w:val=""/>
      <w:lvlJc w:val="left"/>
      <w:pPr>
        <w:tabs>
          <w:tab w:val="num" w:pos="6480"/>
        </w:tabs>
        <w:ind w:left="6480" w:hanging="360"/>
      </w:pPr>
      <w:rPr>
        <w:rFonts w:ascii="Wingdings" w:hAnsi="Wingdings"/>
      </w:rPr>
    </w:lvl>
  </w:abstractNum>
  <w:abstractNum w:abstractNumId="616" w15:restartNumberingAfterBreak="0">
    <w:nsid w:val="7223072A"/>
    <w:multiLevelType w:val="hybridMultilevel"/>
    <w:tmpl w:val="7223072A"/>
    <w:lvl w:ilvl="0" w:tplc="ADF0823A">
      <w:start w:val="1"/>
      <w:numFmt w:val="bullet"/>
      <w:lvlText w:val=""/>
      <w:lvlJc w:val="left"/>
      <w:pPr>
        <w:ind w:left="720" w:hanging="360"/>
      </w:pPr>
      <w:rPr>
        <w:rFonts w:ascii="Symbol" w:hAnsi="Symbol"/>
      </w:rPr>
    </w:lvl>
    <w:lvl w:ilvl="1" w:tplc="6442D0F4">
      <w:start w:val="1"/>
      <w:numFmt w:val="bullet"/>
      <w:lvlText w:val="o"/>
      <w:lvlJc w:val="left"/>
      <w:pPr>
        <w:tabs>
          <w:tab w:val="num" w:pos="1440"/>
        </w:tabs>
        <w:ind w:left="1440" w:hanging="360"/>
      </w:pPr>
      <w:rPr>
        <w:rFonts w:ascii="Courier New" w:hAnsi="Courier New"/>
      </w:rPr>
    </w:lvl>
    <w:lvl w:ilvl="2" w:tplc="DE46CC00">
      <w:start w:val="1"/>
      <w:numFmt w:val="bullet"/>
      <w:lvlText w:val=""/>
      <w:lvlJc w:val="left"/>
      <w:pPr>
        <w:tabs>
          <w:tab w:val="num" w:pos="2160"/>
        </w:tabs>
        <w:ind w:left="2160" w:hanging="360"/>
      </w:pPr>
      <w:rPr>
        <w:rFonts w:ascii="Wingdings" w:hAnsi="Wingdings"/>
      </w:rPr>
    </w:lvl>
    <w:lvl w:ilvl="3" w:tplc="D6201E6E">
      <w:start w:val="1"/>
      <w:numFmt w:val="bullet"/>
      <w:lvlText w:val=""/>
      <w:lvlJc w:val="left"/>
      <w:pPr>
        <w:tabs>
          <w:tab w:val="num" w:pos="2880"/>
        </w:tabs>
        <w:ind w:left="2880" w:hanging="360"/>
      </w:pPr>
      <w:rPr>
        <w:rFonts w:ascii="Symbol" w:hAnsi="Symbol"/>
      </w:rPr>
    </w:lvl>
    <w:lvl w:ilvl="4" w:tplc="DC262F50">
      <w:start w:val="1"/>
      <w:numFmt w:val="bullet"/>
      <w:lvlText w:val="o"/>
      <w:lvlJc w:val="left"/>
      <w:pPr>
        <w:tabs>
          <w:tab w:val="num" w:pos="3600"/>
        </w:tabs>
        <w:ind w:left="3600" w:hanging="360"/>
      </w:pPr>
      <w:rPr>
        <w:rFonts w:ascii="Courier New" w:hAnsi="Courier New"/>
      </w:rPr>
    </w:lvl>
    <w:lvl w:ilvl="5" w:tplc="9372F414">
      <w:start w:val="1"/>
      <w:numFmt w:val="bullet"/>
      <w:lvlText w:val=""/>
      <w:lvlJc w:val="left"/>
      <w:pPr>
        <w:tabs>
          <w:tab w:val="num" w:pos="4320"/>
        </w:tabs>
        <w:ind w:left="4320" w:hanging="360"/>
      </w:pPr>
      <w:rPr>
        <w:rFonts w:ascii="Wingdings" w:hAnsi="Wingdings"/>
      </w:rPr>
    </w:lvl>
    <w:lvl w:ilvl="6" w:tplc="53846CF6">
      <w:start w:val="1"/>
      <w:numFmt w:val="bullet"/>
      <w:lvlText w:val=""/>
      <w:lvlJc w:val="left"/>
      <w:pPr>
        <w:tabs>
          <w:tab w:val="num" w:pos="5040"/>
        </w:tabs>
        <w:ind w:left="5040" w:hanging="360"/>
      </w:pPr>
      <w:rPr>
        <w:rFonts w:ascii="Symbol" w:hAnsi="Symbol"/>
      </w:rPr>
    </w:lvl>
    <w:lvl w:ilvl="7" w:tplc="8D825636">
      <w:start w:val="1"/>
      <w:numFmt w:val="bullet"/>
      <w:lvlText w:val="o"/>
      <w:lvlJc w:val="left"/>
      <w:pPr>
        <w:tabs>
          <w:tab w:val="num" w:pos="5760"/>
        </w:tabs>
        <w:ind w:left="5760" w:hanging="360"/>
      </w:pPr>
      <w:rPr>
        <w:rFonts w:ascii="Courier New" w:hAnsi="Courier New"/>
      </w:rPr>
    </w:lvl>
    <w:lvl w:ilvl="8" w:tplc="D338C68C">
      <w:start w:val="1"/>
      <w:numFmt w:val="bullet"/>
      <w:lvlText w:val=""/>
      <w:lvlJc w:val="left"/>
      <w:pPr>
        <w:tabs>
          <w:tab w:val="num" w:pos="6480"/>
        </w:tabs>
        <w:ind w:left="6480" w:hanging="360"/>
      </w:pPr>
      <w:rPr>
        <w:rFonts w:ascii="Wingdings" w:hAnsi="Wingdings"/>
      </w:rPr>
    </w:lvl>
  </w:abstractNum>
  <w:abstractNum w:abstractNumId="617" w15:restartNumberingAfterBreak="0">
    <w:nsid w:val="7223072B"/>
    <w:multiLevelType w:val="hybridMultilevel"/>
    <w:tmpl w:val="7223072B"/>
    <w:lvl w:ilvl="0" w:tplc="D2AE07DA">
      <w:start w:val="1"/>
      <w:numFmt w:val="bullet"/>
      <w:lvlText w:val=""/>
      <w:lvlJc w:val="left"/>
      <w:pPr>
        <w:ind w:left="720" w:hanging="360"/>
      </w:pPr>
      <w:rPr>
        <w:rFonts w:ascii="Symbol" w:hAnsi="Symbol"/>
      </w:rPr>
    </w:lvl>
    <w:lvl w:ilvl="1" w:tplc="7284B8AA">
      <w:start w:val="1"/>
      <w:numFmt w:val="bullet"/>
      <w:lvlText w:val="o"/>
      <w:lvlJc w:val="left"/>
      <w:pPr>
        <w:tabs>
          <w:tab w:val="num" w:pos="1440"/>
        </w:tabs>
        <w:ind w:left="1440" w:hanging="360"/>
      </w:pPr>
      <w:rPr>
        <w:rFonts w:ascii="Courier New" w:hAnsi="Courier New"/>
      </w:rPr>
    </w:lvl>
    <w:lvl w:ilvl="2" w:tplc="C3DC73C0">
      <w:start w:val="1"/>
      <w:numFmt w:val="bullet"/>
      <w:lvlText w:val=""/>
      <w:lvlJc w:val="left"/>
      <w:pPr>
        <w:tabs>
          <w:tab w:val="num" w:pos="2160"/>
        </w:tabs>
        <w:ind w:left="2160" w:hanging="360"/>
      </w:pPr>
      <w:rPr>
        <w:rFonts w:ascii="Wingdings" w:hAnsi="Wingdings"/>
      </w:rPr>
    </w:lvl>
    <w:lvl w:ilvl="3" w:tplc="17768726">
      <w:start w:val="1"/>
      <w:numFmt w:val="bullet"/>
      <w:lvlText w:val=""/>
      <w:lvlJc w:val="left"/>
      <w:pPr>
        <w:tabs>
          <w:tab w:val="num" w:pos="2880"/>
        </w:tabs>
        <w:ind w:left="2880" w:hanging="360"/>
      </w:pPr>
      <w:rPr>
        <w:rFonts w:ascii="Symbol" w:hAnsi="Symbol"/>
      </w:rPr>
    </w:lvl>
    <w:lvl w:ilvl="4" w:tplc="34AC3436">
      <w:start w:val="1"/>
      <w:numFmt w:val="bullet"/>
      <w:lvlText w:val="o"/>
      <w:lvlJc w:val="left"/>
      <w:pPr>
        <w:tabs>
          <w:tab w:val="num" w:pos="3600"/>
        </w:tabs>
        <w:ind w:left="3600" w:hanging="360"/>
      </w:pPr>
      <w:rPr>
        <w:rFonts w:ascii="Courier New" w:hAnsi="Courier New"/>
      </w:rPr>
    </w:lvl>
    <w:lvl w:ilvl="5" w:tplc="528E99CA">
      <w:start w:val="1"/>
      <w:numFmt w:val="bullet"/>
      <w:lvlText w:val=""/>
      <w:lvlJc w:val="left"/>
      <w:pPr>
        <w:tabs>
          <w:tab w:val="num" w:pos="4320"/>
        </w:tabs>
        <w:ind w:left="4320" w:hanging="360"/>
      </w:pPr>
      <w:rPr>
        <w:rFonts w:ascii="Wingdings" w:hAnsi="Wingdings"/>
      </w:rPr>
    </w:lvl>
    <w:lvl w:ilvl="6" w:tplc="72E077A6">
      <w:start w:val="1"/>
      <w:numFmt w:val="bullet"/>
      <w:lvlText w:val=""/>
      <w:lvlJc w:val="left"/>
      <w:pPr>
        <w:tabs>
          <w:tab w:val="num" w:pos="5040"/>
        </w:tabs>
        <w:ind w:left="5040" w:hanging="360"/>
      </w:pPr>
      <w:rPr>
        <w:rFonts w:ascii="Symbol" w:hAnsi="Symbol"/>
      </w:rPr>
    </w:lvl>
    <w:lvl w:ilvl="7" w:tplc="75CA2EB0">
      <w:start w:val="1"/>
      <w:numFmt w:val="bullet"/>
      <w:lvlText w:val="o"/>
      <w:lvlJc w:val="left"/>
      <w:pPr>
        <w:tabs>
          <w:tab w:val="num" w:pos="5760"/>
        </w:tabs>
        <w:ind w:left="5760" w:hanging="360"/>
      </w:pPr>
      <w:rPr>
        <w:rFonts w:ascii="Courier New" w:hAnsi="Courier New"/>
      </w:rPr>
    </w:lvl>
    <w:lvl w:ilvl="8" w:tplc="90F22F0A">
      <w:start w:val="1"/>
      <w:numFmt w:val="bullet"/>
      <w:lvlText w:val=""/>
      <w:lvlJc w:val="left"/>
      <w:pPr>
        <w:tabs>
          <w:tab w:val="num" w:pos="6480"/>
        </w:tabs>
        <w:ind w:left="6480" w:hanging="360"/>
      </w:pPr>
      <w:rPr>
        <w:rFonts w:ascii="Wingdings" w:hAnsi="Wingdings"/>
      </w:rPr>
    </w:lvl>
  </w:abstractNum>
  <w:abstractNum w:abstractNumId="618" w15:restartNumberingAfterBreak="0">
    <w:nsid w:val="7223072C"/>
    <w:multiLevelType w:val="hybridMultilevel"/>
    <w:tmpl w:val="7223072C"/>
    <w:lvl w:ilvl="0" w:tplc="3FF029FE">
      <w:start w:val="1"/>
      <w:numFmt w:val="bullet"/>
      <w:lvlText w:val=""/>
      <w:lvlJc w:val="left"/>
      <w:pPr>
        <w:ind w:left="720" w:hanging="360"/>
      </w:pPr>
      <w:rPr>
        <w:rFonts w:ascii="Symbol" w:hAnsi="Symbol"/>
      </w:rPr>
    </w:lvl>
    <w:lvl w:ilvl="1" w:tplc="579EDBEE">
      <w:start w:val="1"/>
      <w:numFmt w:val="bullet"/>
      <w:lvlText w:val="o"/>
      <w:lvlJc w:val="left"/>
      <w:pPr>
        <w:tabs>
          <w:tab w:val="num" w:pos="1440"/>
        </w:tabs>
        <w:ind w:left="1440" w:hanging="360"/>
      </w:pPr>
      <w:rPr>
        <w:rFonts w:ascii="Courier New" w:hAnsi="Courier New"/>
      </w:rPr>
    </w:lvl>
    <w:lvl w:ilvl="2" w:tplc="DEC2794E">
      <w:start w:val="1"/>
      <w:numFmt w:val="bullet"/>
      <w:lvlText w:val=""/>
      <w:lvlJc w:val="left"/>
      <w:pPr>
        <w:tabs>
          <w:tab w:val="num" w:pos="2160"/>
        </w:tabs>
        <w:ind w:left="2160" w:hanging="360"/>
      </w:pPr>
      <w:rPr>
        <w:rFonts w:ascii="Wingdings" w:hAnsi="Wingdings"/>
      </w:rPr>
    </w:lvl>
    <w:lvl w:ilvl="3" w:tplc="46EA10E6">
      <w:start w:val="1"/>
      <w:numFmt w:val="bullet"/>
      <w:lvlText w:val=""/>
      <w:lvlJc w:val="left"/>
      <w:pPr>
        <w:tabs>
          <w:tab w:val="num" w:pos="2880"/>
        </w:tabs>
        <w:ind w:left="2880" w:hanging="360"/>
      </w:pPr>
      <w:rPr>
        <w:rFonts w:ascii="Symbol" w:hAnsi="Symbol"/>
      </w:rPr>
    </w:lvl>
    <w:lvl w:ilvl="4" w:tplc="CCB2844E">
      <w:start w:val="1"/>
      <w:numFmt w:val="bullet"/>
      <w:lvlText w:val="o"/>
      <w:lvlJc w:val="left"/>
      <w:pPr>
        <w:tabs>
          <w:tab w:val="num" w:pos="3600"/>
        </w:tabs>
        <w:ind w:left="3600" w:hanging="360"/>
      </w:pPr>
      <w:rPr>
        <w:rFonts w:ascii="Courier New" w:hAnsi="Courier New"/>
      </w:rPr>
    </w:lvl>
    <w:lvl w:ilvl="5" w:tplc="4AC27912">
      <w:start w:val="1"/>
      <w:numFmt w:val="bullet"/>
      <w:lvlText w:val=""/>
      <w:lvlJc w:val="left"/>
      <w:pPr>
        <w:tabs>
          <w:tab w:val="num" w:pos="4320"/>
        </w:tabs>
        <w:ind w:left="4320" w:hanging="360"/>
      </w:pPr>
      <w:rPr>
        <w:rFonts w:ascii="Wingdings" w:hAnsi="Wingdings"/>
      </w:rPr>
    </w:lvl>
    <w:lvl w:ilvl="6" w:tplc="144CFEF4">
      <w:start w:val="1"/>
      <w:numFmt w:val="bullet"/>
      <w:lvlText w:val=""/>
      <w:lvlJc w:val="left"/>
      <w:pPr>
        <w:tabs>
          <w:tab w:val="num" w:pos="5040"/>
        </w:tabs>
        <w:ind w:left="5040" w:hanging="360"/>
      </w:pPr>
      <w:rPr>
        <w:rFonts w:ascii="Symbol" w:hAnsi="Symbol"/>
      </w:rPr>
    </w:lvl>
    <w:lvl w:ilvl="7" w:tplc="5D6EA638">
      <w:start w:val="1"/>
      <w:numFmt w:val="bullet"/>
      <w:lvlText w:val="o"/>
      <w:lvlJc w:val="left"/>
      <w:pPr>
        <w:tabs>
          <w:tab w:val="num" w:pos="5760"/>
        </w:tabs>
        <w:ind w:left="5760" w:hanging="360"/>
      </w:pPr>
      <w:rPr>
        <w:rFonts w:ascii="Courier New" w:hAnsi="Courier New"/>
      </w:rPr>
    </w:lvl>
    <w:lvl w:ilvl="8" w:tplc="6052ADFC">
      <w:start w:val="1"/>
      <w:numFmt w:val="bullet"/>
      <w:lvlText w:val=""/>
      <w:lvlJc w:val="left"/>
      <w:pPr>
        <w:tabs>
          <w:tab w:val="num" w:pos="6480"/>
        </w:tabs>
        <w:ind w:left="6480" w:hanging="360"/>
      </w:pPr>
      <w:rPr>
        <w:rFonts w:ascii="Wingdings" w:hAnsi="Wingdings"/>
      </w:rPr>
    </w:lvl>
  </w:abstractNum>
  <w:abstractNum w:abstractNumId="619" w15:restartNumberingAfterBreak="0">
    <w:nsid w:val="7223072D"/>
    <w:multiLevelType w:val="hybridMultilevel"/>
    <w:tmpl w:val="7223072D"/>
    <w:lvl w:ilvl="0" w:tplc="B366C76E">
      <w:start w:val="1"/>
      <w:numFmt w:val="bullet"/>
      <w:lvlText w:val=""/>
      <w:lvlJc w:val="left"/>
      <w:pPr>
        <w:ind w:left="720" w:hanging="360"/>
      </w:pPr>
      <w:rPr>
        <w:rFonts w:ascii="Symbol" w:hAnsi="Symbol"/>
      </w:rPr>
    </w:lvl>
    <w:lvl w:ilvl="1" w:tplc="7EB2E2BE">
      <w:start w:val="1"/>
      <w:numFmt w:val="bullet"/>
      <w:lvlText w:val="o"/>
      <w:lvlJc w:val="left"/>
      <w:pPr>
        <w:tabs>
          <w:tab w:val="num" w:pos="1440"/>
        </w:tabs>
        <w:ind w:left="1440" w:hanging="360"/>
      </w:pPr>
      <w:rPr>
        <w:rFonts w:ascii="Courier New" w:hAnsi="Courier New"/>
      </w:rPr>
    </w:lvl>
    <w:lvl w:ilvl="2" w:tplc="288254A2">
      <w:start w:val="1"/>
      <w:numFmt w:val="bullet"/>
      <w:lvlText w:val=""/>
      <w:lvlJc w:val="left"/>
      <w:pPr>
        <w:tabs>
          <w:tab w:val="num" w:pos="2160"/>
        </w:tabs>
        <w:ind w:left="2160" w:hanging="360"/>
      </w:pPr>
      <w:rPr>
        <w:rFonts w:ascii="Wingdings" w:hAnsi="Wingdings"/>
      </w:rPr>
    </w:lvl>
    <w:lvl w:ilvl="3" w:tplc="23468FE6">
      <w:start w:val="1"/>
      <w:numFmt w:val="bullet"/>
      <w:lvlText w:val=""/>
      <w:lvlJc w:val="left"/>
      <w:pPr>
        <w:tabs>
          <w:tab w:val="num" w:pos="2880"/>
        </w:tabs>
        <w:ind w:left="2880" w:hanging="360"/>
      </w:pPr>
      <w:rPr>
        <w:rFonts w:ascii="Symbol" w:hAnsi="Symbol"/>
      </w:rPr>
    </w:lvl>
    <w:lvl w:ilvl="4" w:tplc="F5066C3E">
      <w:start w:val="1"/>
      <w:numFmt w:val="bullet"/>
      <w:lvlText w:val="o"/>
      <w:lvlJc w:val="left"/>
      <w:pPr>
        <w:tabs>
          <w:tab w:val="num" w:pos="3600"/>
        </w:tabs>
        <w:ind w:left="3600" w:hanging="360"/>
      </w:pPr>
      <w:rPr>
        <w:rFonts w:ascii="Courier New" w:hAnsi="Courier New"/>
      </w:rPr>
    </w:lvl>
    <w:lvl w:ilvl="5" w:tplc="17C65DDE">
      <w:start w:val="1"/>
      <w:numFmt w:val="bullet"/>
      <w:lvlText w:val=""/>
      <w:lvlJc w:val="left"/>
      <w:pPr>
        <w:tabs>
          <w:tab w:val="num" w:pos="4320"/>
        </w:tabs>
        <w:ind w:left="4320" w:hanging="360"/>
      </w:pPr>
      <w:rPr>
        <w:rFonts w:ascii="Wingdings" w:hAnsi="Wingdings"/>
      </w:rPr>
    </w:lvl>
    <w:lvl w:ilvl="6" w:tplc="7870CC0C">
      <w:start w:val="1"/>
      <w:numFmt w:val="bullet"/>
      <w:lvlText w:val=""/>
      <w:lvlJc w:val="left"/>
      <w:pPr>
        <w:tabs>
          <w:tab w:val="num" w:pos="5040"/>
        </w:tabs>
        <w:ind w:left="5040" w:hanging="360"/>
      </w:pPr>
      <w:rPr>
        <w:rFonts w:ascii="Symbol" w:hAnsi="Symbol"/>
      </w:rPr>
    </w:lvl>
    <w:lvl w:ilvl="7" w:tplc="6F300BFE">
      <w:start w:val="1"/>
      <w:numFmt w:val="bullet"/>
      <w:lvlText w:val="o"/>
      <w:lvlJc w:val="left"/>
      <w:pPr>
        <w:tabs>
          <w:tab w:val="num" w:pos="5760"/>
        </w:tabs>
        <w:ind w:left="5760" w:hanging="360"/>
      </w:pPr>
      <w:rPr>
        <w:rFonts w:ascii="Courier New" w:hAnsi="Courier New"/>
      </w:rPr>
    </w:lvl>
    <w:lvl w:ilvl="8" w:tplc="712C0366">
      <w:start w:val="1"/>
      <w:numFmt w:val="bullet"/>
      <w:lvlText w:val=""/>
      <w:lvlJc w:val="left"/>
      <w:pPr>
        <w:tabs>
          <w:tab w:val="num" w:pos="6480"/>
        </w:tabs>
        <w:ind w:left="6480" w:hanging="360"/>
      </w:pPr>
      <w:rPr>
        <w:rFonts w:ascii="Wingdings" w:hAnsi="Wingdings"/>
      </w:rPr>
    </w:lvl>
  </w:abstractNum>
  <w:abstractNum w:abstractNumId="620" w15:restartNumberingAfterBreak="0">
    <w:nsid w:val="7223072E"/>
    <w:multiLevelType w:val="hybridMultilevel"/>
    <w:tmpl w:val="7223072E"/>
    <w:lvl w:ilvl="0" w:tplc="5B5EA920">
      <w:start w:val="1"/>
      <w:numFmt w:val="bullet"/>
      <w:lvlText w:val=""/>
      <w:lvlJc w:val="left"/>
      <w:pPr>
        <w:ind w:left="720" w:hanging="360"/>
      </w:pPr>
      <w:rPr>
        <w:rFonts w:ascii="Symbol" w:hAnsi="Symbol"/>
      </w:rPr>
    </w:lvl>
    <w:lvl w:ilvl="1" w:tplc="CDCEE03A">
      <w:start w:val="1"/>
      <w:numFmt w:val="bullet"/>
      <w:lvlText w:val="o"/>
      <w:lvlJc w:val="left"/>
      <w:pPr>
        <w:tabs>
          <w:tab w:val="num" w:pos="1440"/>
        </w:tabs>
        <w:ind w:left="1440" w:hanging="360"/>
      </w:pPr>
      <w:rPr>
        <w:rFonts w:ascii="Courier New" w:hAnsi="Courier New"/>
      </w:rPr>
    </w:lvl>
    <w:lvl w:ilvl="2" w:tplc="9BE64D10">
      <w:start w:val="1"/>
      <w:numFmt w:val="bullet"/>
      <w:lvlText w:val=""/>
      <w:lvlJc w:val="left"/>
      <w:pPr>
        <w:tabs>
          <w:tab w:val="num" w:pos="2160"/>
        </w:tabs>
        <w:ind w:left="2160" w:hanging="360"/>
      </w:pPr>
      <w:rPr>
        <w:rFonts w:ascii="Wingdings" w:hAnsi="Wingdings"/>
      </w:rPr>
    </w:lvl>
    <w:lvl w:ilvl="3" w:tplc="F58EF160">
      <w:start w:val="1"/>
      <w:numFmt w:val="bullet"/>
      <w:lvlText w:val=""/>
      <w:lvlJc w:val="left"/>
      <w:pPr>
        <w:tabs>
          <w:tab w:val="num" w:pos="2880"/>
        </w:tabs>
        <w:ind w:left="2880" w:hanging="360"/>
      </w:pPr>
      <w:rPr>
        <w:rFonts w:ascii="Symbol" w:hAnsi="Symbol"/>
      </w:rPr>
    </w:lvl>
    <w:lvl w:ilvl="4" w:tplc="7A0A49C6">
      <w:start w:val="1"/>
      <w:numFmt w:val="bullet"/>
      <w:lvlText w:val="o"/>
      <w:lvlJc w:val="left"/>
      <w:pPr>
        <w:tabs>
          <w:tab w:val="num" w:pos="3600"/>
        </w:tabs>
        <w:ind w:left="3600" w:hanging="360"/>
      </w:pPr>
      <w:rPr>
        <w:rFonts w:ascii="Courier New" w:hAnsi="Courier New"/>
      </w:rPr>
    </w:lvl>
    <w:lvl w:ilvl="5" w:tplc="9A44C20A">
      <w:start w:val="1"/>
      <w:numFmt w:val="bullet"/>
      <w:lvlText w:val=""/>
      <w:lvlJc w:val="left"/>
      <w:pPr>
        <w:tabs>
          <w:tab w:val="num" w:pos="4320"/>
        </w:tabs>
        <w:ind w:left="4320" w:hanging="360"/>
      </w:pPr>
      <w:rPr>
        <w:rFonts w:ascii="Wingdings" w:hAnsi="Wingdings"/>
      </w:rPr>
    </w:lvl>
    <w:lvl w:ilvl="6" w:tplc="A61E662E">
      <w:start w:val="1"/>
      <w:numFmt w:val="bullet"/>
      <w:lvlText w:val=""/>
      <w:lvlJc w:val="left"/>
      <w:pPr>
        <w:tabs>
          <w:tab w:val="num" w:pos="5040"/>
        </w:tabs>
        <w:ind w:left="5040" w:hanging="360"/>
      </w:pPr>
      <w:rPr>
        <w:rFonts w:ascii="Symbol" w:hAnsi="Symbol"/>
      </w:rPr>
    </w:lvl>
    <w:lvl w:ilvl="7" w:tplc="4F26C07C">
      <w:start w:val="1"/>
      <w:numFmt w:val="bullet"/>
      <w:lvlText w:val="o"/>
      <w:lvlJc w:val="left"/>
      <w:pPr>
        <w:tabs>
          <w:tab w:val="num" w:pos="5760"/>
        </w:tabs>
        <w:ind w:left="5760" w:hanging="360"/>
      </w:pPr>
      <w:rPr>
        <w:rFonts w:ascii="Courier New" w:hAnsi="Courier New"/>
      </w:rPr>
    </w:lvl>
    <w:lvl w:ilvl="8" w:tplc="E5EE872C">
      <w:start w:val="1"/>
      <w:numFmt w:val="bullet"/>
      <w:lvlText w:val=""/>
      <w:lvlJc w:val="left"/>
      <w:pPr>
        <w:tabs>
          <w:tab w:val="num" w:pos="6480"/>
        </w:tabs>
        <w:ind w:left="6480" w:hanging="360"/>
      </w:pPr>
      <w:rPr>
        <w:rFonts w:ascii="Wingdings" w:hAnsi="Wingdings"/>
      </w:rPr>
    </w:lvl>
  </w:abstractNum>
  <w:abstractNum w:abstractNumId="621" w15:restartNumberingAfterBreak="0">
    <w:nsid w:val="7223072F"/>
    <w:multiLevelType w:val="hybridMultilevel"/>
    <w:tmpl w:val="7223072F"/>
    <w:lvl w:ilvl="0" w:tplc="E846827C">
      <w:start w:val="1"/>
      <w:numFmt w:val="bullet"/>
      <w:lvlText w:val=""/>
      <w:lvlJc w:val="left"/>
      <w:pPr>
        <w:ind w:left="720" w:hanging="360"/>
      </w:pPr>
      <w:rPr>
        <w:rFonts w:ascii="Symbol" w:hAnsi="Symbol"/>
      </w:rPr>
    </w:lvl>
    <w:lvl w:ilvl="1" w:tplc="6F36EE26">
      <w:start w:val="1"/>
      <w:numFmt w:val="bullet"/>
      <w:lvlText w:val="o"/>
      <w:lvlJc w:val="left"/>
      <w:pPr>
        <w:tabs>
          <w:tab w:val="num" w:pos="1440"/>
        </w:tabs>
        <w:ind w:left="1440" w:hanging="360"/>
      </w:pPr>
      <w:rPr>
        <w:rFonts w:ascii="Courier New" w:hAnsi="Courier New"/>
      </w:rPr>
    </w:lvl>
    <w:lvl w:ilvl="2" w:tplc="BE74FC50">
      <w:start w:val="1"/>
      <w:numFmt w:val="bullet"/>
      <w:lvlText w:val=""/>
      <w:lvlJc w:val="left"/>
      <w:pPr>
        <w:tabs>
          <w:tab w:val="num" w:pos="2160"/>
        </w:tabs>
        <w:ind w:left="2160" w:hanging="360"/>
      </w:pPr>
      <w:rPr>
        <w:rFonts w:ascii="Wingdings" w:hAnsi="Wingdings"/>
      </w:rPr>
    </w:lvl>
    <w:lvl w:ilvl="3" w:tplc="50AE7672">
      <w:start w:val="1"/>
      <w:numFmt w:val="bullet"/>
      <w:lvlText w:val=""/>
      <w:lvlJc w:val="left"/>
      <w:pPr>
        <w:tabs>
          <w:tab w:val="num" w:pos="2880"/>
        </w:tabs>
        <w:ind w:left="2880" w:hanging="360"/>
      </w:pPr>
      <w:rPr>
        <w:rFonts w:ascii="Symbol" w:hAnsi="Symbol"/>
      </w:rPr>
    </w:lvl>
    <w:lvl w:ilvl="4" w:tplc="71E8671C">
      <w:start w:val="1"/>
      <w:numFmt w:val="bullet"/>
      <w:lvlText w:val="o"/>
      <w:lvlJc w:val="left"/>
      <w:pPr>
        <w:tabs>
          <w:tab w:val="num" w:pos="3600"/>
        </w:tabs>
        <w:ind w:left="3600" w:hanging="360"/>
      </w:pPr>
      <w:rPr>
        <w:rFonts w:ascii="Courier New" w:hAnsi="Courier New"/>
      </w:rPr>
    </w:lvl>
    <w:lvl w:ilvl="5" w:tplc="FA88D1C4">
      <w:start w:val="1"/>
      <w:numFmt w:val="bullet"/>
      <w:lvlText w:val=""/>
      <w:lvlJc w:val="left"/>
      <w:pPr>
        <w:tabs>
          <w:tab w:val="num" w:pos="4320"/>
        </w:tabs>
        <w:ind w:left="4320" w:hanging="360"/>
      </w:pPr>
      <w:rPr>
        <w:rFonts w:ascii="Wingdings" w:hAnsi="Wingdings"/>
      </w:rPr>
    </w:lvl>
    <w:lvl w:ilvl="6" w:tplc="D03E800A">
      <w:start w:val="1"/>
      <w:numFmt w:val="bullet"/>
      <w:lvlText w:val=""/>
      <w:lvlJc w:val="left"/>
      <w:pPr>
        <w:tabs>
          <w:tab w:val="num" w:pos="5040"/>
        </w:tabs>
        <w:ind w:left="5040" w:hanging="360"/>
      </w:pPr>
      <w:rPr>
        <w:rFonts w:ascii="Symbol" w:hAnsi="Symbol"/>
      </w:rPr>
    </w:lvl>
    <w:lvl w:ilvl="7" w:tplc="885E243C">
      <w:start w:val="1"/>
      <w:numFmt w:val="bullet"/>
      <w:lvlText w:val="o"/>
      <w:lvlJc w:val="left"/>
      <w:pPr>
        <w:tabs>
          <w:tab w:val="num" w:pos="5760"/>
        </w:tabs>
        <w:ind w:left="5760" w:hanging="360"/>
      </w:pPr>
      <w:rPr>
        <w:rFonts w:ascii="Courier New" w:hAnsi="Courier New"/>
      </w:rPr>
    </w:lvl>
    <w:lvl w:ilvl="8" w:tplc="6D945AB6">
      <w:start w:val="1"/>
      <w:numFmt w:val="bullet"/>
      <w:lvlText w:val=""/>
      <w:lvlJc w:val="left"/>
      <w:pPr>
        <w:tabs>
          <w:tab w:val="num" w:pos="6480"/>
        </w:tabs>
        <w:ind w:left="6480" w:hanging="360"/>
      </w:pPr>
      <w:rPr>
        <w:rFonts w:ascii="Wingdings" w:hAnsi="Wingdings"/>
      </w:rPr>
    </w:lvl>
  </w:abstractNum>
  <w:abstractNum w:abstractNumId="622" w15:restartNumberingAfterBreak="0">
    <w:nsid w:val="72230730"/>
    <w:multiLevelType w:val="hybridMultilevel"/>
    <w:tmpl w:val="72230730"/>
    <w:lvl w:ilvl="0" w:tplc="B4164438">
      <w:start w:val="1"/>
      <w:numFmt w:val="bullet"/>
      <w:lvlText w:val=""/>
      <w:lvlJc w:val="left"/>
      <w:pPr>
        <w:ind w:left="720" w:hanging="360"/>
      </w:pPr>
      <w:rPr>
        <w:rFonts w:ascii="Symbol" w:hAnsi="Symbol"/>
      </w:rPr>
    </w:lvl>
    <w:lvl w:ilvl="1" w:tplc="A734F4D6">
      <w:start w:val="1"/>
      <w:numFmt w:val="bullet"/>
      <w:lvlText w:val="o"/>
      <w:lvlJc w:val="left"/>
      <w:pPr>
        <w:tabs>
          <w:tab w:val="num" w:pos="1440"/>
        </w:tabs>
        <w:ind w:left="1440" w:hanging="360"/>
      </w:pPr>
      <w:rPr>
        <w:rFonts w:ascii="Courier New" w:hAnsi="Courier New"/>
      </w:rPr>
    </w:lvl>
    <w:lvl w:ilvl="2" w:tplc="473C5EEA">
      <w:start w:val="1"/>
      <w:numFmt w:val="bullet"/>
      <w:lvlText w:val=""/>
      <w:lvlJc w:val="left"/>
      <w:pPr>
        <w:tabs>
          <w:tab w:val="num" w:pos="2160"/>
        </w:tabs>
        <w:ind w:left="2160" w:hanging="360"/>
      </w:pPr>
      <w:rPr>
        <w:rFonts w:ascii="Wingdings" w:hAnsi="Wingdings"/>
      </w:rPr>
    </w:lvl>
    <w:lvl w:ilvl="3" w:tplc="A768DC10">
      <w:start w:val="1"/>
      <w:numFmt w:val="bullet"/>
      <w:lvlText w:val=""/>
      <w:lvlJc w:val="left"/>
      <w:pPr>
        <w:tabs>
          <w:tab w:val="num" w:pos="2880"/>
        </w:tabs>
        <w:ind w:left="2880" w:hanging="360"/>
      </w:pPr>
      <w:rPr>
        <w:rFonts w:ascii="Symbol" w:hAnsi="Symbol"/>
      </w:rPr>
    </w:lvl>
    <w:lvl w:ilvl="4" w:tplc="DB1EC0B8">
      <w:start w:val="1"/>
      <w:numFmt w:val="bullet"/>
      <w:lvlText w:val="o"/>
      <w:lvlJc w:val="left"/>
      <w:pPr>
        <w:tabs>
          <w:tab w:val="num" w:pos="3600"/>
        </w:tabs>
        <w:ind w:left="3600" w:hanging="360"/>
      </w:pPr>
      <w:rPr>
        <w:rFonts w:ascii="Courier New" w:hAnsi="Courier New"/>
      </w:rPr>
    </w:lvl>
    <w:lvl w:ilvl="5" w:tplc="C8C6F482">
      <w:start w:val="1"/>
      <w:numFmt w:val="bullet"/>
      <w:lvlText w:val=""/>
      <w:lvlJc w:val="left"/>
      <w:pPr>
        <w:tabs>
          <w:tab w:val="num" w:pos="4320"/>
        </w:tabs>
        <w:ind w:left="4320" w:hanging="360"/>
      </w:pPr>
      <w:rPr>
        <w:rFonts w:ascii="Wingdings" w:hAnsi="Wingdings"/>
      </w:rPr>
    </w:lvl>
    <w:lvl w:ilvl="6" w:tplc="BBCE4490">
      <w:start w:val="1"/>
      <w:numFmt w:val="bullet"/>
      <w:lvlText w:val=""/>
      <w:lvlJc w:val="left"/>
      <w:pPr>
        <w:tabs>
          <w:tab w:val="num" w:pos="5040"/>
        </w:tabs>
        <w:ind w:left="5040" w:hanging="360"/>
      </w:pPr>
      <w:rPr>
        <w:rFonts w:ascii="Symbol" w:hAnsi="Symbol"/>
      </w:rPr>
    </w:lvl>
    <w:lvl w:ilvl="7" w:tplc="A6FA48F2">
      <w:start w:val="1"/>
      <w:numFmt w:val="bullet"/>
      <w:lvlText w:val="o"/>
      <w:lvlJc w:val="left"/>
      <w:pPr>
        <w:tabs>
          <w:tab w:val="num" w:pos="5760"/>
        </w:tabs>
        <w:ind w:left="5760" w:hanging="360"/>
      </w:pPr>
      <w:rPr>
        <w:rFonts w:ascii="Courier New" w:hAnsi="Courier New"/>
      </w:rPr>
    </w:lvl>
    <w:lvl w:ilvl="8" w:tplc="E45E7504">
      <w:start w:val="1"/>
      <w:numFmt w:val="bullet"/>
      <w:lvlText w:val=""/>
      <w:lvlJc w:val="left"/>
      <w:pPr>
        <w:tabs>
          <w:tab w:val="num" w:pos="6480"/>
        </w:tabs>
        <w:ind w:left="6480" w:hanging="360"/>
      </w:pPr>
      <w:rPr>
        <w:rFonts w:ascii="Wingdings" w:hAnsi="Wingdings"/>
      </w:rPr>
    </w:lvl>
  </w:abstractNum>
  <w:abstractNum w:abstractNumId="623" w15:restartNumberingAfterBreak="0">
    <w:nsid w:val="72230731"/>
    <w:multiLevelType w:val="hybridMultilevel"/>
    <w:tmpl w:val="72230731"/>
    <w:lvl w:ilvl="0" w:tplc="6FCC825A">
      <w:start w:val="1"/>
      <w:numFmt w:val="bullet"/>
      <w:lvlText w:val=""/>
      <w:lvlJc w:val="left"/>
      <w:pPr>
        <w:ind w:left="720" w:hanging="360"/>
      </w:pPr>
      <w:rPr>
        <w:rFonts w:ascii="Symbol" w:hAnsi="Symbol"/>
      </w:rPr>
    </w:lvl>
    <w:lvl w:ilvl="1" w:tplc="19FACBFE">
      <w:start w:val="1"/>
      <w:numFmt w:val="bullet"/>
      <w:lvlText w:val="o"/>
      <w:lvlJc w:val="left"/>
      <w:pPr>
        <w:ind w:left="1440" w:hanging="360"/>
      </w:pPr>
      <w:rPr>
        <w:rFonts w:ascii="Courier New" w:hAnsi="Courier New"/>
      </w:rPr>
    </w:lvl>
    <w:lvl w:ilvl="2" w:tplc="61D8FF92">
      <w:start w:val="1"/>
      <w:numFmt w:val="bullet"/>
      <w:lvlText w:val=""/>
      <w:lvlJc w:val="left"/>
      <w:pPr>
        <w:tabs>
          <w:tab w:val="num" w:pos="2160"/>
        </w:tabs>
        <w:ind w:left="2160" w:hanging="360"/>
      </w:pPr>
      <w:rPr>
        <w:rFonts w:ascii="Wingdings" w:hAnsi="Wingdings"/>
      </w:rPr>
    </w:lvl>
    <w:lvl w:ilvl="3" w:tplc="3C5CFD3C">
      <w:start w:val="1"/>
      <w:numFmt w:val="bullet"/>
      <w:lvlText w:val=""/>
      <w:lvlJc w:val="left"/>
      <w:pPr>
        <w:tabs>
          <w:tab w:val="num" w:pos="2880"/>
        </w:tabs>
        <w:ind w:left="2880" w:hanging="360"/>
      </w:pPr>
      <w:rPr>
        <w:rFonts w:ascii="Symbol" w:hAnsi="Symbol"/>
      </w:rPr>
    </w:lvl>
    <w:lvl w:ilvl="4" w:tplc="84D689D2">
      <w:start w:val="1"/>
      <w:numFmt w:val="bullet"/>
      <w:lvlText w:val="o"/>
      <w:lvlJc w:val="left"/>
      <w:pPr>
        <w:tabs>
          <w:tab w:val="num" w:pos="3600"/>
        </w:tabs>
        <w:ind w:left="3600" w:hanging="360"/>
      </w:pPr>
      <w:rPr>
        <w:rFonts w:ascii="Courier New" w:hAnsi="Courier New"/>
      </w:rPr>
    </w:lvl>
    <w:lvl w:ilvl="5" w:tplc="C728F802">
      <w:start w:val="1"/>
      <w:numFmt w:val="bullet"/>
      <w:lvlText w:val=""/>
      <w:lvlJc w:val="left"/>
      <w:pPr>
        <w:tabs>
          <w:tab w:val="num" w:pos="4320"/>
        </w:tabs>
        <w:ind w:left="4320" w:hanging="360"/>
      </w:pPr>
      <w:rPr>
        <w:rFonts w:ascii="Wingdings" w:hAnsi="Wingdings"/>
      </w:rPr>
    </w:lvl>
    <w:lvl w:ilvl="6" w:tplc="06DA4C6E">
      <w:start w:val="1"/>
      <w:numFmt w:val="bullet"/>
      <w:lvlText w:val=""/>
      <w:lvlJc w:val="left"/>
      <w:pPr>
        <w:tabs>
          <w:tab w:val="num" w:pos="5040"/>
        </w:tabs>
        <w:ind w:left="5040" w:hanging="360"/>
      </w:pPr>
      <w:rPr>
        <w:rFonts w:ascii="Symbol" w:hAnsi="Symbol"/>
      </w:rPr>
    </w:lvl>
    <w:lvl w:ilvl="7" w:tplc="AFE68D42">
      <w:start w:val="1"/>
      <w:numFmt w:val="bullet"/>
      <w:lvlText w:val="o"/>
      <w:lvlJc w:val="left"/>
      <w:pPr>
        <w:tabs>
          <w:tab w:val="num" w:pos="5760"/>
        </w:tabs>
        <w:ind w:left="5760" w:hanging="360"/>
      </w:pPr>
      <w:rPr>
        <w:rFonts w:ascii="Courier New" w:hAnsi="Courier New"/>
      </w:rPr>
    </w:lvl>
    <w:lvl w:ilvl="8" w:tplc="BC9404AC">
      <w:start w:val="1"/>
      <w:numFmt w:val="bullet"/>
      <w:lvlText w:val=""/>
      <w:lvlJc w:val="left"/>
      <w:pPr>
        <w:tabs>
          <w:tab w:val="num" w:pos="6480"/>
        </w:tabs>
        <w:ind w:left="6480" w:hanging="360"/>
      </w:pPr>
      <w:rPr>
        <w:rFonts w:ascii="Wingdings" w:hAnsi="Wingdings"/>
      </w:rPr>
    </w:lvl>
  </w:abstractNum>
  <w:abstractNum w:abstractNumId="624" w15:restartNumberingAfterBreak="0">
    <w:nsid w:val="72230732"/>
    <w:multiLevelType w:val="hybridMultilevel"/>
    <w:tmpl w:val="72230732"/>
    <w:lvl w:ilvl="0" w:tplc="338E32A0">
      <w:start w:val="1"/>
      <w:numFmt w:val="bullet"/>
      <w:lvlText w:val=""/>
      <w:lvlJc w:val="left"/>
      <w:pPr>
        <w:ind w:left="720" w:hanging="360"/>
      </w:pPr>
      <w:rPr>
        <w:rFonts w:ascii="Symbol" w:hAnsi="Symbol"/>
      </w:rPr>
    </w:lvl>
    <w:lvl w:ilvl="1" w:tplc="B05A11E0">
      <w:start w:val="1"/>
      <w:numFmt w:val="bullet"/>
      <w:lvlText w:val="o"/>
      <w:lvlJc w:val="left"/>
      <w:pPr>
        <w:tabs>
          <w:tab w:val="num" w:pos="1440"/>
        </w:tabs>
        <w:ind w:left="1440" w:hanging="360"/>
      </w:pPr>
      <w:rPr>
        <w:rFonts w:ascii="Courier New" w:hAnsi="Courier New"/>
      </w:rPr>
    </w:lvl>
    <w:lvl w:ilvl="2" w:tplc="1A326E36">
      <w:start w:val="1"/>
      <w:numFmt w:val="bullet"/>
      <w:lvlText w:val=""/>
      <w:lvlJc w:val="left"/>
      <w:pPr>
        <w:tabs>
          <w:tab w:val="num" w:pos="2160"/>
        </w:tabs>
        <w:ind w:left="2160" w:hanging="360"/>
      </w:pPr>
      <w:rPr>
        <w:rFonts w:ascii="Wingdings" w:hAnsi="Wingdings"/>
      </w:rPr>
    </w:lvl>
    <w:lvl w:ilvl="3" w:tplc="AE441B64">
      <w:start w:val="1"/>
      <w:numFmt w:val="bullet"/>
      <w:lvlText w:val=""/>
      <w:lvlJc w:val="left"/>
      <w:pPr>
        <w:tabs>
          <w:tab w:val="num" w:pos="2880"/>
        </w:tabs>
        <w:ind w:left="2880" w:hanging="360"/>
      </w:pPr>
      <w:rPr>
        <w:rFonts w:ascii="Symbol" w:hAnsi="Symbol"/>
      </w:rPr>
    </w:lvl>
    <w:lvl w:ilvl="4" w:tplc="45CABE30">
      <w:start w:val="1"/>
      <w:numFmt w:val="bullet"/>
      <w:lvlText w:val="o"/>
      <w:lvlJc w:val="left"/>
      <w:pPr>
        <w:tabs>
          <w:tab w:val="num" w:pos="3600"/>
        </w:tabs>
        <w:ind w:left="3600" w:hanging="360"/>
      </w:pPr>
      <w:rPr>
        <w:rFonts w:ascii="Courier New" w:hAnsi="Courier New"/>
      </w:rPr>
    </w:lvl>
    <w:lvl w:ilvl="5" w:tplc="BCFCC5A4">
      <w:start w:val="1"/>
      <w:numFmt w:val="bullet"/>
      <w:lvlText w:val=""/>
      <w:lvlJc w:val="left"/>
      <w:pPr>
        <w:tabs>
          <w:tab w:val="num" w:pos="4320"/>
        </w:tabs>
        <w:ind w:left="4320" w:hanging="360"/>
      </w:pPr>
      <w:rPr>
        <w:rFonts w:ascii="Wingdings" w:hAnsi="Wingdings"/>
      </w:rPr>
    </w:lvl>
    <w:lvl w:ilvl="6" w:tplc="9AE6177A">
      <w:start w:val="1"/>
      <w:numFmt w:val="bullet"/>
      <w:lvlText w:val=""/>
      <w:lvlJc w:val="left"/>
      <w:pPr>
        <w:tabs>
          <w:tab w:val="num" w:pos="5040"/>
        </w:tabs>
        <w:ind w:left="5040" w:hanging="360"/>
      </w:pPr>
      <w:rPr>
        <w:rFonts w:ascii="Symbol" w:hAnsi="Symbol"/>
      </w:rPr>
    </w:lvl>
    <w:lvl w:ilvl="7" w:tplc="11E037D0">
      <w:start w:val="1"/>
      <w:numFmt w:val="bullet"/>
      <w:lvlText w:val="o"/>
      <w:lvlJc w:val="left"/>
      <w:pPr>
        <w:tabs>
          <w:tab w:val="num" w:pos="5760"/>
        </w:tabs>
        <w:ind w:left="5760" w:hanging="360"/>
      </w:pPr>
      <w:rPr>
        <w:rFonts w:ascii="Courier New" w:hAnsi="Courier New"/>
      </w:rPr>
    </w:lvl>
    <w:lvl w:ilvl="8" w:tplc="7422A0F6">
      <w:start w:val="1"/>
      <w:numFmt w:val="bullet"/>
      <w:lvlText w:val=""/>
      <w:lvlJc w:val="left"/>
      <w:pPr>
        <w:tabs>
          <w:tab w:val="num" w:pos="6480"/>
        </w:tabs>
        <w:ind w:left="6480" w:hanging="360"/>
      </w:pPr>
      <w:rPr>
        <w:rFonts w:ascii="Wingdings" w:hAnsi="Wingdings"/>
      </w:rPr>
    </w:lvl>
  </w:abstractNum>
  <w:abstractNum w:abstractNumId="625" w15:restartNumberingAfterBreak="0">
    <w:nsid w:val="72230733"/>
    <w:multiLevelType w:val="hybridMultilevel"/>
    <w:tmpl w:val="72230733"/>
    <w:lvl w:ilvl="0" w:tplc="8D40687C">
      <w:start w:val="1"/>
      <w:numFmt w:val="bullet"/>
      <w:lvlText w:val=""/>
      <w:lvlJc w:val="left"/>
      <w:pPr>
        <w:ind w:left="720" w:hanging="360"/>
      </w:pPr>
      <w:rPr>
        <w:rFonts w:ascii="Symbol" w:hAnsi="Symbol"/>
      </w:rPr>
    </w:lvl>
    <w:lvl w:ilvl="1" w:tplc="D69EEDAA">
      <w:start w:val="1"/>
      <w:numFmt w:val="bullet"/>
      <w:lvlText w:val="o"/>
      <w:lvlJc w:val="left"/>
      <w:pPr>
        <w:tabs>
          <w:tab w:val="num" w:pos="1440"/>
        </w:tabs>
        <w:ind w:left="1440" w:hanging="360"/>
      </w:pPr>
      <w:rPr>
        <w:rFonts w:ascii="Courier New" w:hAnsi="Courier New"/>
      </w:rPr>
    </w:lvl>
    <w:lvl w:ilvl="2" w:tplc="3866EA5C">
      <w:start w:val="1"/>
      <w:numFmt w:val="bullet"/>
      <w:lvlText w:val=""/>
      <w:lvlJc w:val="left"/>
      <w:pPr>
        <w:tabs>
          <w:tab w:val="num" w:pos="2160"/>
        </w:tabs>
        <w:ind w:left="2160" w:hanging="360"/>
      </w:pPr>
      <w:rPr>
        <w:rFonts w:ascii="Wingdings" w:hAnsi="Wingdings"/>
      </w:rPr>
    </w:lvl>
    <w:lvl w:ilvl="3" w:tplc="597084C8">
      <w:start w:val="1"/>
      <w:numFmt w:val="bullet"/>
      <w:lvlText w:val=""/>
      <w:lvlJc w:val="left"/>
      <w:pPr>
        <w:tabs>
          <w:tab w:val="num" w:pos="2880"/>
        </w:tabs>
        <w:ind w:left="2880" w:hanging="360"/>
      </w:pPr>
      <w:rPr>
        <w:rFonts w:ascii="Symbol" w:hAnsi="Symbol"/>
      </w:rPr>
    </w:lvl>
    <w:lvl w:ilvl="4" w:tplc="70503B82">
      <w:start w:val="1"/>
      <w:numFmt w:val="bullet"/>
      <w:lvlText w:val="o"/>
      <w:lvlJc w:val="left"/>
      <w:pPr>
        <w:tabs>
          <w:tab w:val="num" w:pos="3600"/>
        </w:tabs>
        <w:ind w:left="3600" w:hanging="360"/>
      </w:pPr>
      <w:rPr>
        <w:rFonts w:ascii="Courier New" w:hAnsi="Courier New"/>
      </w:rPr>
    </w:lvl>
    <w:lvl w:ilvl="5" w:tplc="36F6C860">
      <w:start w:val="1"/>
      <w:numFmt w:val="bullet"/>
      <w:lvlText w:val=""/>
      <w:lvlJc w:val="left"/>
      <w:pPr>
        <w:tabs>
          <w:tab w:val="num" w:pos="4320"/>
        </w:tabs>
        <w:ind w:left="4320" w:hanging="360"/>
      </w:pPr>
      <w:rPr>
        <w:rFonts w:ascii="Wingdings" w:hAnsi="Wingdings"/>
      </w:rPr>
    </w:lvl>
    <w:lvl w:ilvl="6" w:tplc="A1F25BC2">
      <w:start w:val="1"/>
      <w:numFmt w:val="bullet"/>
      <w:lvlText w:val=""/>
      <w:lvlJc w:val="left"/>
      <w:pPr>
        <w:tabs>
          <w:tab w:val="num" w:pos="5040"/>
        </w:tabs>
        <w:ind w:left="5040" w:hanging="360"/>
      </w:pPr>
      <w:rPr>
        <w:rFonts w:ascii="Symbol" w:hAnsi="Symbol"/>
      </w:rPr>
    </w:lvl>
    <w:lvl w:ilvl="7" w:tplc="779E8C64">
      <w:start w:val="1"/>
      <w:numFmt w:val="bullet"/>
      <w:lvlText w:val="o"/>
      <w:lvlJc w:val="left"/>
      <w:pPr>
        <w:tabs>
          <w:tab w:val="num" w:pos="5760"/>
        </w:tabs>
        <w:ind w:left="5760" w:hanging="360"/>
      </w:pPr>
      <w:rPr>
        <w:rFonts w:ascii="Courier New" w:hAnsi="Courier New"/>
      </w:rPr>
    </w:lvl>
    <w:lvl w:ilvl="8" w:tplc="44D28BC0">
      <w:start w:val="1"/>
      <w:numFmt w:val="bullet"/>
      <w:lvlText w:val=""/>
      <w:lvlJc w:val="left"/>
      <w:pPr>
        <w:tabs>
          <w:tab w:val="num" w:pos="6480"/>
        </w:tabs>
        <w:ind w:left="6480" w:hanging="360"/>
      </w:pPr>
      <w:rPr>
        <w:rFonts w:ascii="Wingdings" w:hAnsi="Wingdings"/>
      </w:rPr>
    </w:lvl>
  </w:abstractNum>
  <w:abstractNum w:abstractNumId="626" w15:restartNumberingAfterBreak="0">
    <w:nsid w:val="72230734"/>
    <w:multiLevelType w:val="hybridMultilevel"/>
    <w:tmpl w:val="72230734"/>
    <w:lvl w:ilvl="0" w:tplc="CC58BF7A">
      <w:start w:val="1"/>
      <w:numFmt w:val="bullet"/>
      <w:lvlText w:val="o"/>
      <w:lvlJc w:val="left"/>
      <w:pPr>
        <w:ind w:left="720" w:hanging="360"/>
      </w:pPr>
      <w:rPr>
        <w:rFonts w:ascii="Courier New" w:hAnsi="Courier New"/>
      </w:rPr>
    </w:lvl>
    <w:lvl w:ilvl="1" w:tplc="4CE45302">
      <w:start w:val="1"/>
      <w:numFmt w:val="bullet"/>
      <w:lvlText w:val="o"/>
      <w:lvlJc w:val="left"/>
      <w:pPr>
        <w:tabs>
          <w:tab w:val="num" w:pos="1440"/>
        </w:tabs>
        <w:ind w:left="1440" w:hanging="360"/>
      </w:pPr>
      <w:rPr>
        <w:rFonts w:ascii="Courier New" w:hAnsi="Courier New"/>
      </w:rPr>
    </w:lvl>
    <w:lvl w:ilvl="2" w:tplc="E41EEB96">
      <w:start w:val="1"/>
      <w:numFmt w:val="bullet"/>
      <w:lvlText w:val=""/>
      <w:lvlJc w:val="left"/>
      <w:pPr>
        <w:tabs>
          <w:tab w:val="num" w:pos="2160"/>
        </w:tabs>
        <w:ind w:left="2160" w:hanging="360"/>
      </w:pPr>
      <w:rPr>
        <w:rFonts w:ascii="Wingdings" w:hAnsi="Wingdings"/>
      </w:rPr>
    </w:lvl>
    <w:lvl w:ilvl="3" w:tplc="789EAE90">
      <w:start w:val="1"/>
      <w:numFmt w:val="bullet"/>
      <w:lvlText w:val=""/>
      <w:lvlJc w:val="left"/>
      <w:pPr>
        <w:tabs>
          <w:tab w:val="num" w:pos="2880"/>
        </w:tabs>
        <w:ind w:left="2880" w:hanging="360"/>
      </w:pPr>
      <w:rPr>
        <w:rFonts w:ascii="Symbol" w:hAnsi="Symbol"/>
      </w:rPr>
    </w:lvl>
    <w:lvl w:ilvl="4" w:tplc="595A6834">
      <w:start w:val="1"/>
      <w:numFmt w:val="bullet"/>
      <w:lvlText w:val="o"/>
      <w:lvlJc w:val="left"/>
      <w:pPr>
        <w:tabs>
          <w:tab w:val="num" w:pos="3600"/>
        </w:tabs>
        <w:ind w:left="3600" w:hanging="360"/>
      </w:pPr>
      <w:rPr>
        <w:rFonts w:ascii="Courier New" w:hAnsi="Courier New"/>
      </w:rPr>
    </w:lvl>
    <w:lvl w:ilvl="5" w:tplc="1C7E6692">
      <w:start w:val="1"/>
      <w:numFmt w:val="bullet"/>
      <w:lvlText w:val=""/>
      <w:lvlJc w:val="left"/>
      <w:pPr>
        <w:tabs>
          <w:tab w:val="num" w:pos="4320"/>
        </w:tabs>
        <w:ind w:left="4320" w:hanging="360"/>
      </w:pPr>
      <w:rPr>
        <w:rFonts w:ascii="Wingdings" w:hAnsi="Wingdings"/>
      </w:rPr>
    </w:lvl>
    <w:lvl w:ilvl="6" w:tplc="4CFCD4A6">
      <w:start w:val="1"/>
      <w:numFmt w:val="bullet"/>
      <w:lvlText w:val=""/>
      <w:lvlJc w:val="left"/>
      <w:pPr>
        <w:tabs>
          <w:tab w:val="num" w:pos="5040"/>
        </w:tabs>
        <w:ind w:left="5040" w:hanging="360"/>
      </w:pPr>
      <w:rPr>
        <w:rFonts w:ascii="Symbol" w:hAnsi="Symbol"/>
      </w:rPr>
    </w:lvl>
    <w:lvl w:ilvl="7" w:tplc="8D0EB6CA">
      <w:start w:val="1"/>
      <w:numFmt w:val="bullet"/>
      <w:lvlText w:val="o"/>
      <w:lvlJc w:val="left"/>
      <w:pPr>
        <w:tabs>
          <w:tab w:val="num" w:pos="5760"/>
        </w:tabs>
        <w:ind w:left="5760" w:hanging="360"/>
      </w:pPr>
      <w:rPr>
        <w:rFonts w:ascii="Courier New" w:hAnsi="Courier New"/>
      </w:rPr>
    </w:lvl>
    <w:lvl w:ilvl="8" w:tplc="F62A62FE">
      <w:start w:val="1"/>
      <w:numFmt w:val="bullet"/>
      <w:lvlText w:val=""/>
      <w:lvlJc w:val="left"/>
      <w:pPr>
        <w:tabs>
          <w:tab w:val="num" w:pos="6480"/>
        </w:tabs>
        <w:ind w:left="6480" w:hanging="360"/>
      </w:pPr>
      <w:rPr>
        <w:rFonts w:ascii="Wingdings" w:hAnsi="Wingdings"/>
      </w:rPr>
    </w:lvl>
  </w:abstractNum>
  <w:abstractNum w:abstractNumId="627" w15:restartNumberingAfterBreak="0">
    <w:nsid w:val="72230735"/>
    <w:multiLevelType w:val="hybridMultilevel"/>
    <w:tmpl w:val="72230735"/>
    <w:lvl w:ilvl="0" w:tplc="EFD67A8A">
      <w:start w:val="1"/>
      <w:numFmt w:val="bullet"/>
      <w:lvlText w:val=""/>
      <w:lvlJc w:val="left"/>
      <w:pPr>
        <w:ind w:left="720" w:hanging="360"/>
      </w:pPr>
      <w:rPr>
        <w:rFonts w:ascii="Symbol" w:hAnsi="Symbol"/>
      </w:rPr>
    </w:lvl>
    <w:lvl w:ilvl="1" w:tplc="776CD480">
      <w:start w:val="1"/>
      <w:numFmt w:val="bullet"/>
      <w:lvlText w:val="o"/>
      <w:lvlJc w:val="left"/>
      <w:pPr>
        <w:tabs>
          <w:tab w:val="num" w:pos="1440"/>
        </w:tabs>
        <w:ind w:left="1440" w:hanging="360"/>
      </w:pPr>
      <w:rPr>
        <w:rFonts w:ascii="Courier New" w:hAnsi="Courier New"/>
      </w:rPr>
    </w:lvl>
    <w:lvl w:ilvl="2" w:tplc="DA7AF9B6">
      <w:start w:val="1"/>
      <w:numFmt w:val="bullet"/>
      <w:lvlText w:val=""/>
      <w:lvlJc w:val="left"/>
      <w:pPr>
        <w:tabs>
          <w:tab w:val="num" w:pos="2160"/>
        </w:tabs>
        <w:ind w:left="2160" w:hanging="360"/>
      </w:pPr>
      <w:rPr>
        <w:rFonts w:ascii="Wingdings" w:hAnsi="Wingdings"/>
      </w:rPr>
    </w:lvl>
    <w:lvl w:ilvl="3" w:tplc="594648A2">
      <w:start w:val="1"/>
      <w:numFmt w:val="bullet"/>
      <w:lvlText w:val=""/>
      <w:lvlJc w:val="left"/>
      <w:pPr>
        <w:tabs>
          <w:tab w:val="num" w:pos="2880"/>
        </w:tabs>
        <w:ind w:left="2880" w:hanging="360"/>
      </w:pPr>
      <w:rPr>
        <w:rFonts w:ascii="Symbol" w:hAnsi="Symbol"/>
      </w:rPr>
    </w:lvl>
    <w:lvl w:ilvl="4" w:tplc="D6029E3E">
      <w:start w:val="1"/>
      <w:numFmt w:val="bullet"/>
      <w:lvlText w:val="o"/>
      <w:lvlJc w:val="left"/>
      <w:pPr>
        <w:tabs>
          <w:tab w:val="num" w:pos="3600"/>
        </w:tabs>
        <w:ind w:left="3600" w:hanging="360"/>
      </w:pPr>
      <w:rPr>
        <w:rFonts w:ascii="Courier New" w:hAnsi="Courier New"/>
      </w:rPr>
    </w:lvl>
    <w:lvl w:ilvl="5" w:tplc="3BEA1396">
      <w:start w:val="1"/>
      <w:numFmt w:val="bullet"/>
      <w:lvlText w:val=""/>
      <w:lvlJc w:val="left"/>
      <w:pPr>
        <w:tabs>
          <w:tab w:val="num" w:pos="4320"/>
        </w:tabs>
        <w:ind w:left="4320" w:hanging="360"/>
      </w:pPr>
      <w:rPr>
        <w:rFonts w:ascii="Wingdings" w:hAnsi="Wingdings"/>
      </w:rPr>
    </w:lvl>
    <w:lvl w:ilvl="6" w:tplc="C3401542">
      <w:start w:val="1"/>
      <w:numFmt w:val="bullet"/>
      <w:lvlText w:val=""/>
      <w:lvlJc w:val="left"/>
      <w:pPr>
        <w:tabs>
          <w:tab w:val="num" w:pos="5040"/>
        </w:tabs>
        <w:ind w:left="5040" w:hanging="360"/>
      </w:pPr>
      <w:rPr>
        <w:rFonts w:ascii="Symbol" w:hAnsi="Symbol"/>
      </w:rPr>
    </w:lvl>
    <w:lvl w:ilvl="7" w:tplc="F1A02AA8">
      <w:start w:val="1"/>
      <w:numFmt w:val="bullet"/>
      <w:lvlText w:val="o"/>
      <w:lvlJc w:val="left"/>
      <w:pPr>
        <w:tabs>
          <w:tab w:val="num" w:pos="5760"/>
        </w:tabs>
        <w:ind w:left="5760" w:hanging="360"/>
      </w:pPr>
      <w:rPr>
        <w:rFonts w:ascii="Courier New" w:hAnsi="Courier New"/>
      </w:rPr>
    </w:lvl>
    <w:lvl w:ilvl="8" w:tplc="CBA06A64">
      <w:start w:val="1"/>
      <w:numFmt w:val="bullet"/>
      <w:lvlText w:val=""/>
      <w:lvlJc w:val="left"/>
      <w:pPr>
        <w:tabs>
          <w:tab w:val="num" w:pos="6480"/>
        </w:tabs>
        <w:ind w:left="6480" w:hanging="360"/>
      </w:pPr>
      <w:rPr>
        <w:rFonts w:ascii="Wingdings" w:hAnsi="Wingdings"/>
      </w:rPr>
    </w:lvl>
  </w:abstractNum>
  <w:abstractNum w:abstractNumId="628" w15:restartNumberingAfterBreak="0">
    <w:nsid w:val="72230736"/>
    <w:multiLevelType w:val="hybridMultilevel"/>
    <w:tmpl w:val="72230736"/>
    <w:lvl w:ilvl="0" w:tplc="9C0C1C12">
      <w:start w:val="1"/>
      <w:numFmt w:val="bullet"/>
      <w:lvlText w:val=""/>
      <w:lvlJc w:val="left"/>
      <w:pPr>
        <w:ind w:left="720" w:hanging="360"/>
      </w:pPr>
      <w:rPr>
        <w:rFonts w:ascii="Symbol" w:hAnsi="Symbol"/>
      </w:rPr>
    </w:lvl>
    <w:lvl w:ilvl="1" w:tplc="6928A624">
      <w:start w:val="1"/>
      <w:numFmt w:val="bullet"/>
      <w:lvlText w:val="o"/>
      <w:lvlJc w:val="left"/>
      <w:pPr>
        <w:tabs>
          <w:tab w:val="num" w:pos="1440"/>
        </w:tabs>
        <w:ind w:left="1440" w:hanging="360"/>
      </w:pPr>
      <w:rPr>
        <w:rFonts w:ascii="Courier New" w:hAnsi="Courier New"/>
      </w:rPr>
    </w:lvl>
    <w:lvl w:ilvl="2" w:tplc="1ED652F2">
      <w:start w:val="1"/>
      <w:numFmt w:val="bullet"/>
      <w:lvlText w:val=""/>
      <w:lvlJc w:val="left"/>
      <w:pPr>
        <w:tabs>
          <w:tab w:val="num" w:pos="2160"/>
        </w:tabs>
        <w:ind w:left="2160" w:hanging="360"/>
      </w:pPr>
      <w:rPr>
        <w:rFonts w:ascii="Wingdings" w:hAnsi="Wingdings"/>
      </w:rPr>
    </w:lvl>
    <w:lvl w:ilvl="3" w:tplc="9210D45A">
      <w:start w:val="1"/>
      <w:numFmt w:val="bullet"/>
      <w:lvlText w:val=""/>
      <w:lvlJc w:val="left"/>
      <w:pPr>
        <w:tabs>
          <w:tab w:val="num" w:pos="2880"/>
        </w:tabs>
        <w:ind w:left="2880" w:hanging="360"/>
      </w:pPr>
      <w:rPr>
        <w:rFonts w:ascii="Symbol" w:hAnsi="Symbol"/>
      </w:rPr>
    </w:lvl>
    <w:lvl w:ilvl="4" w:tplc="03820750">
      <w:start w:val="1"/>
      <w:numFmt w:val="bullet"/>
      <w:lvlText w:val="o"/>
      <w:lvlJc w:val="left"/>
      <w:pPr>
        <w:tabs>
          <w:tab w:val="num" w:pos="3600"/>
        </w:tabs>
        <w:ind w:left="3600" w:hanging="360"/>
      </w:pPr>
      <w:rPr>
        <w:rFonts w:ascii="Courier New" w:hAnsi="Courier New"/>
      </w:rPr>
    </w:lvl>
    <w:lvl w:ilvl="5" w:tplc="E646C6BA">
      <w:start w:val="1"/>
      <w:numFmt w:val="bullet"/>
      <w:lvlText w:val=""/>
      <w:lvlJc w:val="left"/>
      <w:pPr>
        <w:tabs>
          <w:tab w:val="num" w:pos="4320"/>
        </w:tabs>
        <w:ind w:left="4320" w:hanging="360"/>
      </w:pPr>
      <w:rPr>
        <w:rFonts w:ascii="Wingdings" w:hAnsi="Wingdings"/>
      </w:rPr>
    </w:lvl>
    <w:lvl w:ilvl="6" w:tplc="55DC71AC">
      <w:start w:val="1"/>
      <w:numFmt w:val="bullet"/>
      <w:lvlText w:val=""/>
      <w:lvlJc w:val="left"/>
      <w:pPr>
        <w:tabs>
          <w:tab w:val="num" w:pos="5040"/>
        </w:tabs>
        <w:ind w:left="5040" w:hanging="360"/>
      </w:pPr>
      <w:rPr>
        <w:rFonts w:ascii="Symbol" w:hAnsi="Symbol"/>
      </w:rPr>
    </w:lvl>
    <w:lvl w:ilvl="7" w:tplc="3D36AB28">
      <w:start w:val="1"/>
      <w:numFmt w:val="bullet"/>
      <w:lvlText w:val="o"/>
      <w:lvlJc w:val="left"/>
      <w:pPr>
        <w:tabs>
          <w:tab w:val="num" w:pos="5760"/>
        </w:tabs>
        <w:ind w:left="5760" w:hanging="360"/>
      </w:pPr>
      <w:rPr>
        <w:rFonts w:ascii="Courier New" w:hAnsi="Courier New"/>
      </w:rPr>
    </w:lvl>
    <w:lvl w:ilvl="8" w:tplc="CB029BBA">
      <w:start w:val="1"/>
      <w:numFmt w:val="bullet"/>
      <w:lvlText w:val=""/>
      <w:lvlJc w:val="left"/>
      <w:pPr>
        <w:tabs>
          <w:tab w:val="num" w:pos="6480"/>
        </w:tabs>
        <w:ind w:left="6480" w:hanging="360"/>
      </w:pPr>
      <w:rPr>
        <w:rFonts w:ascii="Wingdings" w:hAnsi="Wingdings"/>
      </w:rPr>
    </w:lvl>
  </w:abstractNum>
  <w:abstractNum w:abstractNumId="629" w15:restartNumberingAfterBreak="0">
    <w:nsid w:val="72230737"/>
    <w:multiLevelType w:val="hybridMultilevel"/>
    <w:tmpl w:val="72230737"/>
    <w:lvl w:ilvl="0" w:tplc="A09E718E">
      <w:start w:val="1"/>
      <w:numFmt w:val="bullet"/>
      <w:lvlText w:val=""/>
      <w:lvlJc w:val="left"/>
      <w:pPr>
        <w:tabs>
          <w:tab w:val="num" w:pos="720"/>
        </w:tabs>
        <w:ind w:left="720" w:hanging="360"/>
      </w:pPr>
      <w:rPr>
        <w:rFonts w:ascii="Symbol" w:hAnsi="Symbol"/>
      </w:rPr>
    </w:lvl>
    <w:lvl w:ilvl="1" w:tplc="CD4C7D9A">
      <w:start w:val="1"/>
      <w:numFmt w:val="bullet"/>
      <w:lvlText w:val="o"/>
      <w:lvlJc w:val="left"/>
      <w:pPr>
        <w:tabs>
          <w:tab w:val="num" w:pos="1440"/>
        </w:tabs>
        <w:ind w:left="1440" w:hanging="360"/>
      </w:pPr>
      <w:rPr>
        <w:rFonts w:ascii="Courier New" w:hAnsi="Courier New"/>
      </w:rPr>
    </w:lvl>
    <w:lvl w:ilvl="2" w:tplc="F5F4211A">
      <w:start w:val="1"/>
      <w:numFmt w:val="bullet"/>
      <w:lvlText w:val=""/>
      <w:lvlJc w:val="left"/>
      <w:pPr>
        <w:tabs>
          <w:tab w:val="num" w:pos="2160"/>
        </w:tabs>
        <w:ind w:left="2160" w:hanging="360"/>
      </w:pPr>
      <w:rPr>
        <w:rFonts w:ascii="Wingdings" w:hAnsi="Wingdings"/>
      </w:rPr>
    </w:lvl>
    <w:lvl w:ilvl="3" w:tplc="3970F230">
      <w:start w:val="1"/>
      <w:numFmt w:val="bullet"/>
      <w:lvlText w:val=""/>
      <w:lvlJc w:val="left"/>
      <w:pPr>
        <w:tabs>
          <w:tab w:val="num" w:pos="2880"/>
        </w:tabs>
        <w:ind w:left="2880" w:hanging="360"/>
      </w:pPr>
      <w:rPr>
        <w:rFonts w:ascii="Symbol" w:hAnsi="Symbol"/>
      </w:rPr>
    </w:lvl>
    <w:lvl w:ilvl="4" w:tplc="D93A3B96">
      <w:start w:val="1"/>
      <w:numFmt w:val="bullet"/>
      <w:lvlText w:val="o"/>
      <w:lvlJc w:val="left"/>
      <w:pPr>
        <w:tabs>
          <w:tab w:val="num" w:pos="3600"/>
        </w:tabs>
        <w:ind w:left="3600" w:hanging="360"/>
      </w:pPr>
      <w:rPr>
        <w:rFonts w:ascii="Courier New" w:hAnsi="Courier New"/>
      </w:rPr>
    </w:lvl>
    <w:lvl w:ilvl="5" w:tplc="3F10C3C4">
      <w:start w:val="1"/>
      <w:numFmt w:val="bullet"/>
      <w:lvlText w:val=""/>
      <w:lvlJc w:val="left"/>
      <w:pPr>
        <w:tabs>
          <w:tab w:val="num" w:pos="4320"/>
        </w:tabs>
        <w:ind w:left="4320" w:hanging="360"/>
      </w:pPr>
      <w:rPr>
        <w:rFonts w:ascii="Wingdings" w:hAnsi="Wingdings"/>
      </w:rPr>
    </w:lvl>
    <w:lvl w:ilvl="6" w:tplc="DFBE0DBE">
      <w:start w:val="1"/>
      <w:numFmt w:val="bullet"/>
      <w:lvlText w:val=""/>
      <w:lvlJc w:val="left"/>
      <w:pPr>
        <w:tabs>
          <w:tab w:val="num" w:pos="5040"/>
        </w:tabs>
        <w:ind w:left="5040" w:hanging="360"/>
      </w:pPr>
      <w:rPr>
        <w:rFonts w:ascii="Symbol" w:hAnsi="Symbol"/>
      </w:rPr>
    </w:lvl>
    <w:lvl w:ilvl="7" w:tplc="A148B362">
      <w:start w:val="1"/>
      <w:numFmt w:val="bullet"/>
      <w:lvlText w:val="o"/>
      <w:lvlJc w:val="left"/>
      <w:pPr>
        <w:tabs>
          <w:tab w:val="num" w:pos="5760"/>
        </w:tabs>
        <w:ind w:left="5760" w:hanging="360"/>
      </w:pPr>
      <w:rPr>
        <w:rFonts w:ascii="Courier New" w:hAnsi="Courier New"/>
      </w:rPr>
    </w:lvl>
    <w:lvl w:ilvl="8" w:tplc="3A74E716">
      <w:start w:val="1"/>
      <w:numFmt w:val="bullet"/>
      <w:lvlText w:val=""/>
      <w:lvlJc w:val="left"/>
      <w:pPr>
        <w:tabs>
          <w:tab w:val="num" w:pos="6480"/>
        </w:tabs>
        <w:ind w:left="6480" w:hanging="360"/>
      </w:pPr>
      <w:rPr>
        <w:rFonts w:ascii="Wingdings" w:hAnsi="Wingdings"/>
      </w:rPr>
    </w:lvl>
  </w:abstractNum>
  <w:abstractNum w:abstractNumId="630" w15:restartNumberingAfterBreak="0">
    <w:nsid w:val="72230738"/>
    <w:multiLevelType w:val="hybridMultilevel"/>
    <w:tmpl w:val="72230738"/>
    <w:lvl w:ilvl="0" w:tplc="92A412FA">
      <w:start w:val="1"/>
      <w:numFmt w:val="bullet"/>
      <w:lvlText w:val=""/>
      <w:lvlJc w:val="left"/>
      <w:pPr>
        <w:ind w:left="720" w:hanging="360"/>
      </w:pPr>
      <w:rPr>
        <w:rFonts w:ascii="Symbol" w:hAnsi="Symbol"/>
      </w:rPr>
    </w:lvl>
    <w:lvl w:ilvl="1" w:tplc="4DF2CF84">
      <w:start w:val="1"/>
      <w:numFmt w:val="bullet"/>
      <w:lvlText w:val="o"/>
      <w:lvlJc w:val="left"/>
      <w:pPr>
        <w:tabs>
          <w:tab w:val="num" w:pos="1440"/>
        </w:tabs>
        <w:ind w:left="1440" w:hanging="360"/>
      </w:pPr>
      <w:rPr>
        <w:rFonts w:ascii="Courier New" w:hAnsi="Courier New"/>
      </w:rPr>
    </w:lvl>
    <w:lvl w:ilvl="2" w:tplc="92C412C6">
      <w:start w:val="1"/>
      <w:numFmt w:val="bullet"/>
      <w:lvlText w:val=""/>
      <w:lvlJc w:val="left"/>
      <w:pPr>
        <w:tabs>
          <w:tab w:val="num" w:pos="2160"/>
        </w:tabs>
        <w:ind w:left="2160" w:hanging="360"/>
      </w:pPr>
      <w:rPr>
        <w:rFonts w:ascii="Wingdings" w:hAnsi="Wingdings"/>
      </w:rPr>
    </w:lvl>
    <w:lvl w:ilvl="3" w:tplc="B81EF1E8">
      <w:start w:val="1"/>
      <w:numFmt w:val="bullet"/>
      <w:lvlText w:val=""/>
      <w:lvlJc w:val="left"/>
      <w:pPr>
        <w:tabs>
          <w:tab w:val="num" w:pos="2880"/>
        </w:tabs>
        <w:ind w:left="2880" w:hanging="360"/>
      </w:pPr>
      <w:rPr>
        <w:rFonts w:ascii="Symbol" w:hAnsi="Symbol"/>
      </w:rPr>
    </w:lvl>
    <w:lvl w:ilvl="4" w:tplc="04020862">
      <w:start w:val="1"/>
      <w:numFmt w:val="bullet"/>
      <w:lvlText w:val="o"/>
      <w:lvlJc w:val="left"/>
      <w:pPr>
        <w:tabs>
          <w:tab w:val="num" w:pos="3600"/>
        </w:tabs>
        <w:ind w:left="3600" w:hanging="360"/>
      </w:pPr>
      <w:rPr>
        <w:rFonts w:ascii="Courier New" w:hAnsi="Courier New"/>
      </w:rPr>
    </w:lvl>
    <w:lvl w:ilvl="5" w:tplc="FEDE1C74">
      <w:start w:val="1"/>
      <w:numFmt w:val="bullet"/>
      <w:lvlText w:val=""/>
      <w:lvlJc w:val="left"/>
      <w:pPr>
        <w:tabs>
          <w:tab w:val="num" w:pos="4320"/>
        </w:tabs>
        <w:ind w:left="4320" w:hanging="360"/>
      </w:pPr>
      <w:rPr>
        <w:rFonts w:ascii="Wingdings" w:hAnsi="Wingdings"/>
      </w:rPr>
    </w:lvl>
    <w:lvl w:ilvl="6" w:tplc="F070C0AC">
      <w:start w:val="1"/>
      <w:numFmt w:val="bullet"/>
      <w:lvlText w:val=""/>
      <w:lvlJc w:val="left"/>
      <w:pPr>
        <w:tabs>
          <w:tab w:val="num" w:pos="5040"/>
        </w:tabs>
        <w:ind w:left="5040" w:hanging="360"/>
      </w:pPr>
      <w:rPr>
        <w:rFonts w:ascii="Symbol" w:hAnsi="Symbol"/>
      </w:rPr>
    </w:lvl>
    <w:lvl w:ilvl="7" w:tplc="12F0E04E">
      <w:start w:val="1"/>
      <w:numFmt w:val="bullet"/>
      <w:lvlText w:val="o"/>
      <w:lvlJc w:val="left"/>
      <w:pPr>
        <w:tabs>
          <w:tab w:val="num" w:pos="5760"/>
        </w:tabs>
        <w:ind w:left="5760" w:hanging="360"/>
      </w:pPr>
      <w:rPr>
        <w:rFonts w:ascii="Courier New" w:hAnsi="Courier New"/>
      </w:rPr>
    </w:lvl>
    <w:lvl w:ilvl="8" w:tplc="CDC0D252">
      <w:start w:val="1"/>
      <w:numFmt w:val="bullet"/>
      <w:lvlText w:val=""/>
      <w:lvlJc w:val="left"/>
      <w:pPr>
        <w:tabs>
          <w:tab w:val="num" w:pos="6480"/>
        </w:tabs>
        <w:ind w:left="6480" w:hanging="360"/>
      </w:pPr>
      <w:rPr>
        <w:rFonts w:ascii="Wingdings" w:hAnsi="Wingdings"/>
      </w:rPr>
    </w:lvl>
  </w:abstractNum>
  <w:abstractNum w:abstractNumId="631" w15:restartNumberingAfterBreak="0">
    <w:nsid w:val="72230739"/>
    <w:multiLevelType w:val="hybridMultilevel"/>
    <w:tmpl w:val="72230739"/>
    <w:lvl w:ilvl="0" w:tplc="E828E4F2">
      <w:start w:val="1"/>
      <w:numFmt w:val="bullet"/>
      <w:lvlText w:val=""/>
      <w:lvlJc w:val="left"/>
      <w:pPr>
        <w:ind w:left="720" w:hanging="360"/>
      </w:pPr>
      <w:rPr>
        <w:rFonts w:ascii="Symbol" w:hAnsi="Symbol"/>
      </w:rPr>
    </w:lvl>
    <w:lvl w:ilvl="1" w:tplc="B74EAE8A">
      <w:start w:val="1"/>
      <w:numFmt w:val="bullet"/>
      <w:lvlText w:val="o"/>
      <w:lvlJc w:val="left"/>
      <w:pPr>
        <w:tabs>
          <w:tab w:val="num" w:pos="1440"/>
        </w:tabs>
        <w:ind w:left="1440" w:hanging="360"/>
      </w:pPr>
      <w:rPr>
        <w:rFonts w:ascii="Courier New" w:hAnsi="Courier New"/>
      </w:rPr>
    </w:lvl>
    <w:lvl w:ilvl="2" w:tplc="84DA049A">
      <w:start w:val="1"/>
      <w:numFmt w:val="bullet"/>
      <w:lvlText w:val=""/>
      <w:lvlJc w:val="left"/>
      <w:pPr>
        <w:tabs>
          <w:tab w:val="num" w:pos="2160"/>
        </w:tabs>
        <w:ind w:left="2160" w:hanging="360"/>
      </w:pPr>
      <w:rPr>
        <w:rFonts w:ascii="Wingdings" w:hAnsi="Wingdings"/>
      </w:rPr>
    </w:lvl>
    <w:lvl w:ilvl="3" w:tplc="F8C664AC">
      <w:start w:val="1"/>
      <w:numFmt w:val="bullet"/>
      <w:lvlText w:val=""/>
      <w:lvlJc w:val="left"/>
      <w:pPr>
        <w:tabs>
          <w:tab w:val="num" w:pos="2880"/>
        </w:tabs>
        <w:ind w:left="2880" w:hanging="360"/>
      </w:pPr>
      <w:rPr>
        <w:rFonts w:ascii="Symbol" w:hAnsi="Symbol"/>
      </w:rPr>
    </w:lvl>
    <w:lvl w:ilvl="4" w:tplc="7968F674">
      <w:start w:val="1"/>
      <w:numFmt w:val="bullet"/>
      <w:lvlText w:val="o"/>
      <w:lvlJc w:val="left"/>
      <w:pPr>
        <w:tabs>
          <w:tab w:val="num" w:pos="3600"/>
        </w:tabs>
        <w:ind w:left="3600" w:hanging="360"/>
      </w:pPr>
      <w:rPr>
        <w:rFonts w:ascii="Courier New" w:hAnsi="Courier New"/>
      </w:rPr>
    </w:lvl>
    <w:lvl w:ilvl="5" w:tplc="4942FCB2">
      <w:start w:val="1"/>
      <w:numFmt w:val="bullet"/>
      <w:lvlText w:val=""/>
      <w:lvlJc w:val="left"/>
      <w:pPr>
        <w:tabs>
          <w:tab w:val="num" w:pos="4320"/>
        </w:tabs>
        <w:ind w:left="4320" w:hanging="360"/>
      </w:pPr>
      <w:rPr>
        <w:rFonts w:ascii="Wingdings" w:hAnsi="Wingdings"/>
      </w:rPr>
    </w:lvl>
    <w:lvl w:ilvl="6" w:tplc="FB381DF0">
      <w:start w:val="1"/>
      <w:numFmt w:val="bullet"/>
      <w:lvlText w:val=""/>
      <w:lvlJc w:val="left"/>
      <w:pPr>
        <w:tabs>
          <w:tab w:val="num" w:pos="5040"/>
        </w:tabs>
        <w:ind w:left="5040" w:hanging="360"/>
      </w:pPr>
      <w:rPr>
        <w:rFonts w:ascii="Symbol" w:hAnsi="Symbol"/>
      </w:rPr>
    </w:lvl>
    <w:lvl w:ilvl="7" w:tplc="E7A2F6EC">
      <w:start w:val="1"/>
      <w:numFmt w:val="bullet"/>
      <w:lvlText w:val="o"/>
      <w:lvlJc w:val="left"/>
      <w:pPr>
        <w:tabs>
          <w:tab w:val="num" w:pos="5760"/>
        </w:tabs>
        <w:ind w:left="5760" w:hanging="360"/>
      </w:pPr>
      <w:rPr>
        <w:rFonts w:ascii="Courier New" w:hAnsi="Courier New"/>
      </w:rPr>
    </w:lvl>
    <w:lvl w:ilvl="8" w:tplc="65B2B3D0">
      <w:start w:val="1"/>
      <w:numFmt w:val="bullet"/>
      <w:lvlText w:val=""/>
      <w:lvlJc w:val="left"/>
      <w:pPr>
        <w:tabs>
          <w:tab w:val="num" w:pos="6480"/>
        </w:tabs>
        <w:ind w:left="6480" w:hanging="360"/>
      </w:pPr>
      <w:rPr>
        <w:rFonts w:ascii="Wingdings" w:hAnsi="Wingdings"/>
      </w:rPr>
    </w:lvl>
  </w:abstractNum>
  <w:abstractNum w:abstractNumId="632" w15:restartNumberingAfterBreak="0">
    <w:nsid w:val="7223073A"/>
    <w:multiLevelType w:val="hybridMultilevel"/>
    <w:tmpl w:val="7223073A"/>
    <w:lvl w:ilvl="0" w:tplc="C828244C">
      <w:start w:val="1"/>
      <w:numFmt w:val="bullet"/>
      <w:lvlText w:val=""/>
      <w:lvlJc w:val="left"/>
      <w:pPr>
        <w:ind w:left="720" w:hanging="360"/>
      </w:pPr>
      <w:rPr>
        <w:rFonts w:ascii="Symbol" w:hAnsi="Symbol"/>
      </w:rPr>
    </w:lvl>
    <w:lvl w:ilvl="1" w:tplc="DE060CC4">
      <w:start w:val="1"/>
      <w:numFmt w:val="bullet"/>
      <w:lvlText w:val="o"/>
      <w:lvlJc w:val="left"/>
      <w:pPr>
        <w:tabs>
          <w:tab w:val="num" w:pos="1440"/>
        </w:tabs>
        <w:ind w:left="1440" w:hanging="360"/>
      </w:pPr>
      <w:rPr>
        <w:rFonts w:ascii="Courier New" w:hAnsi="Courier New"/>
      </w:rPr>
    </w:lvl>
    <w:lvl w:ilvl="2" w:tplc="3E92E8C0">
      <w:start w:val="1"/>
      <w:numFmt w:val="bullet"/>
      <w:lvlText w:val=""/>
      <w:lvlJc w:val="left"/>
      <w:pPr>
        <w:tabs>
          <w:tab w:val="num" w:pos="2160"/>
        </w:tabs>
        <w:ind w:left="2160" w:hanging="360"/>
      </w:pPr>
      <w:rPr>
        <w:rFonts w:ascii="Wingdings" w:hAnsi="Wingdings"/>
      </w:rPr>
    </w:lvl>
    <w:lvl w:ilvl="3" w:tplc="95CC5958">
      <w:start w:val="1"/>
      <w:numFmt w:val="bullet"/>
      <w:lvlText w:val=""/>
      <w:lvlJc w:val="left"/>
      <w:pPr>
        <w:tabs>
          <w:tab w:val="num" w:pos="2880"/>
        </w:tabs>
        <w:ind w:left="2880" w:hanging="360"/>
      </w:pPr>
      <w:rPr>
        <w:rFonts w:ascii="Symbol" w:hAnsi="Symbol"/>
      </w:rPr>
    </w:lvl>
    <w:lvl w:ilvl="4" w:tplc="116E28A8">
      <w:start w:val="1"/>
      <w:numFmt w:val="bullet"/>
      <w:lvlText w:val="o"/>
      <w:lvlJc w:val="left"/>
      <w:pPr>
        <w:tabs>
          <w:tab w:val="num" w:pos="3600"/>
        </w:tabs>
        <w:ind w:left="3600" w:hanging="360"/>
      </w:pPr>
      <w:rPr>
        <w:rFonts w:ascii="Courier New" w:hAnsi="Courier New"/>
      </w:rPr>
    </w:lvl>
    <w:lvl w:ilvl="5" w:tplc="327C1272">
      <w:start w:val="1"/>
      <w:numFmt w:val="bullet"/>
      <w:lvlText w:val=""/>
      <w:lvlJc w:val="left"/>
      <w:pPr>
        <w:tabs>
          <w:tab w:val="num" w:pos="4320"/>
        </w:tabs>
        <w:ind w:left="4320" w:hanging="360"/>
      </w:pPr>
      <w:rPr>
        <w:rFonts w:ascii="Wingdings" w:hAnsi="Wingdings"/>
      </w:rPr>
    </w:lvl>
    <w:lvl w:ilvl="6" w:tplc="ED905D58">
      <w:start w:val="1"/>
      <w:numFmt w:val="bullet"/>
      <w:lvlText w:val=""/>
      <w:lvlJc w:val="left"/>
      <w:pPr>
        <w:tabs>
          <w:tab w:val="num" w:pos="5040"/>
        </w:tabs>
        <w:ind w:left="5040" w:hanging="360"/>
      </w:pPr>
      <w:rPr>
        <w:rFonts w:ascii="Symbol" w:hAnsi="Symbol"/>
      </w:rPr>
    </w:lvl>
    <w:lvl w:ilvl="7" w:tplc="72AE11EC">
      <w:start w:val="1"/>
      <w:numFmt w:val="bullet"/>
      <w:lvlText w:val="o"/>
      <w:lvlJc w:val="left"/>
      <w:pPr>
        <w:tabs>
          <w:tab w:val="num" w:pos="5760"/>
        </w:tabs>
        <w:ind w:left="5760" w:hanging="360"/>
      </w:pPr>
      <w:rPr>
        <w:rFonts w:ascii="Courier New" w:hAnsi="Courier New"/>
      </w:rPr>
    </w:lvl>
    <w:lvl w:ilvl="8" w:tplc="0B541902">
      <w:start w:val="1"/>
      <w:numFmt w:val="bullet"/>
      <w:lvlText w:val=""/>
      <w:lvlJc w:val="left"/>
      <w:pPr>
        <w:tabs>
          <w:tab w:val="num" w:pos="6480"/>
        </w:tabs>
        <w:ind w:left="6480" w:hanging="360"/>
      </w:pPr>
      <w:rPr>
        <w:rFonts w:ascii="Wingdings" w:hAnsi="Wingdings"/>
      </w:rPr>
    </w:lvl>
  </w:abstractNum>
  <w:abstractNum w:abstractNumId="633" w15:restartNumberingAfterBreak="0">
    <w:nsid w:val="7223073B"/>
    <w:multiLevelType w:val="hybridMultilevel"/>
    <w:tmpl w:val="7223073B"/>
    <w:lvl w:ilvl="0" w:tplc="7AAC8382">
      <w:start w:val="1"/>
      <w:numFmt w:val="bullet"/>
      <w:lvlText w:val=""/>
      <w:lvlJc w:val="left"/>
      <w:pPr>
        <w:ind w:left="720" w:hanging="360"/>
      </w:pPr>
      <w:rPr>
        <w:rFonts w:ascii="Symbol" w:hAnsi="Symbol"/>
      </w:rPr>
    </w:lvl>
    <w:lvl w:ilvl="1" w:tplc="75EEA072">
      <w:start w:val="1"/>
      <w:numFmt w:val="bullet"/>
      <w:lvlText w:val="o"/>
      <w:lvlJc w:val="left"/>
      <w:pPr>
        <w:tabs>
          <w:tab w:val="num" w:pos="1440"/>
        </w:tabs>
        <w:ind w:left="1440" w:hanging="360"/>
      </w:pPr>
      <w:rPr>
        <w:rFonts w:ascii="Courier New" w:hAnsi="Courier New"/>
      </w:rPr>
    </w:lvl>
    <w:lvl w:ilvl="2" w:tplc="A9EC6F90">
      <w:start w:val="1"/>
      <w:numFmt w:val="bullet"/>
      <w:lvlText w:val=""/>
      <w:lvlJc w:val="left"/>
      <w:pPr>
        <w:tabs>
          <w:tab w:val="num" w:pos="2160"/>
        </w:tabs>
        <w:ind w:left="2160" w:hanging="360"/>
      </w:pPr>
      <w:rPr>
        <w:rFonts w:ascii="Wingdings" w:hAnsi="Wingdings"/>
      </w:rPr>
    </w:lvl>
    <w:lvl w:ilvl="3" w:tplc="5274B626">
      <w:start w:val="1"/>
      <w:numFmt w:val="bullet"/>
      <w:lvlText w:val=""/>
      <w:lvlJc w:val="left"/>
      <w:pPr>
        <w:tabs>
          <w:tab w:val="num" w:pos="2880"/>
        </w:tabs>
        <w:ind w:left="2880" w:hanging="360"/>
      </w:pPr>
      <w:rPr>
        <w:rFonts w:ascii="Symbol" w:hAnsi="Symbol"/>
      </w:rPr>
    </w:lvl>
    <w:lvl w:ilvl="4" w:tplc="87CAC9B6">
      <w:start w:val="1"/>
      <w:numFmt w:val="bullet"/>
      <w:lvlText w:val="o"/>
      <w:lvlJc w:val="left"/>
      <w:pPr>
        <w:tabs>
          <w:tab w:val="num" w:pos="3600"/>
        </w:tabs>
        <w:ind w:left="3600" w:hanging="360"/>
      </w:pPr>
      <w:rPr>
        <w:rFonts w:ascii="Courier New" w:hAnsi="Courier New"/>
      </w:rPr>
    </w:lvl>
    <w:lvl w:ilvl="5" w:tplc="C870EF5C">
      <w:start w:val="1"/>
      <w:numFmt w:val="bullet"/>
      <w:lvlText w:val=""/>
      <w:lvlJc w:val="left"/>
      <w:pPr>
        <w:tabs>
          <w:tab w:val="num" w:pos="4320"/>
        </w:tabs>
        <w:ind w:left="4320" w:hanging="360"/>
      </w:pPr>
      <w:rPr>
        <w:rFonts w:ascii="Wingdings" w:hAnsi="Wingdings"/>
      </w:rPr>
    </w:lvl>
    <w:lvl w:ilvl="6" w:tplc="239C924C">
      <w:start w:val="1"/>
      <w:numFmt w:val="bullet"/>
      <w:lvlText w:val=""/>
      <w:lvlJc w:val="left"/>
      <w:pPr>
        <w:tabs>
          <w:tab w:val="num" w:pos="5040"/>
        </w:tabs>
        <w:ind w:left="5040" w:hanging="360"/>
      </w:pPr>
      <w:rPr>
        <w:rFonts w:ascii="Symbol" w:hAnsi="Symbol"/>
      </w:rPr>
    </w:lvl>
    <w:lvl w:ilvl="7" w:tplc="EDD499A4">
      <w:start w:val="1"/>
      <w:numFmt w:val="bullet"/>
      <w:lvlText w:val="o"/>
      <w:lvlJc w:val="left"/>
      <w:pPr>
        <w:tabs>
          <w:tab w:val="num" w:pos="5760"/>
        </w:tabs>
        <w:ind w:left="5760" w:hanging="360"/>
      </w:pPr>
      <w:rPr>
        <w:rFonts w:ascii="Courier New" w:hAnsi="Courier New"/>
      </w:rPr>
    </w:lvl>
    <w:lvl w:ilvl="8" w:tplc="BC020A7E">
      <w:start w:val="1"/>
      <w:numFmt w:val="bullet"/>
      <w:lvlText w:val=""/>
      <w:lvlJc w:val="left"/>
      <w:pPr>
        <w:tabs>
          <w:tab w:val="num" w:pos="6480"/>
        </w:tabs>
        <w:ind w:left="6480" w:hanging="360"/>
      </w:pPr>
      <w:rPr>
        <w:rFonts w:ascii="Wingdings" w:hAnsi="Wingdings"/>
      </w:rPr>
    </w:lvl>
  </w:abstractNum>
  <w:abstractNum w:abstractNumId="634" w15:restartNumberingAfterBreak="0">
    <w:nsid w:val="7223073C"/>
    <w:multiLevelType w:val="hybridMultilevel"/>
    <w:tmpl w:val="7223073C"/>
    <w:lvl w:ilvl="0" w:tplc="E01E85F0">
      <w:start w:val="1"/>
      <w:numFmt w:val="bullet"/>
      <w:lvlText w:val=""/>
      <w:lvlJc w:val="left"/>
      <w:pPr>
        <w:tabs>
          <w:tab w:val="num" w:pos="720"/>
        </w:tabs>
        <w:ind w:left="720" w:hanging="360"/>
      </w:pPr>
      <w:rPr>
        <w:rFonts w:ascii="Symbol" w:hAnsi="Symbol"/>
      </w:rPr>
    </w:lvl>
    <w:lvl w:ilvl="1" w:tplc="C67036F2">
      <w:start w:val="1"/>
      <w:numFmt w:val="bullet"/>
      <w:lvlText w:val="o"/>
      <w:lvlJc w:val="left"/>
      <w:pPr>
        <w:tabs>
          <w:tab w:val="num" w:pos="1440"/>
        </w:tabs>
        <w:ind w:left="1440" w:hanging="360"/>
      </w:pPr>
      <w:rPr>
        <w:rFonts w:ascii="Courier New" w:hAnsi="Courier New"/>
      </w:rPr>
    </w:lvl>
    <w:lvl w:ilvl="2" w:tplc="5B5C6104">
      <w:start w:val="1"/>
      <w:numFmt w:val="bullet"/>
      <w:lvlText w:val=""/>
      <w:lvlJc w:val="left"/>
      <w:pPr>
        <w:tabs>
          <w:tab w:val="num" w:pos="2160"/>
        </w:tabs>
        <w:ind w:left="2160" w:hanging="360"/>
      </w:pPr>
      <w:rPr>
        <w:rFonts w:ascii="Wingdings" w:hAnsi="Wingdings"/>
      </w:rPr>
    </w:lvl>
    <w:lvl w:ilvl="3" w:tplc="53B4AB16">
      <w:start w:val="1"/>
      <w:numFmt w:val="bullet"/>
      <w:lvlText w:val=""/>
      <w:lvlJc w:val="left"/>
      <w:pPr>
        <w:tabs>
          <w:tab w:val="num" w:pos="2880"/>
        </w:tabs>
        <w:ind w:left="2880" w:hanging="360"/>
      </w:pPr>
      <w:rPr>
        <w:rFonts w:ascii="Symbol" w:hAnsi="Symbol"/>
      </w:rPr>
    </w:lvl>
    <w:lvl w:ilvl="4" w:tplc="F336F976">
      <w:start w:val="1"/>
      <w:numFmt w:val="bullet"/>
      <w:lvlText w:val="o"/>
      <w:lvlJc w:val="left"/>
      <w:pPr>
        <w:tabs>
          <w:tab w:val="num" w:pos="3600"/>
        </w:tabs>
        <w:ind w:left="3600" w:hanging="360"/>
      </w:pPr>
      <w:rPr>
        <w:rFonts w:ascii="Courier New" w:hAnsi="Courier New"/>
      </w:rPr>
    </w:lvl>
    <w:lvl w:ilvl="5" w:tplc="B2F0393E">
      <w:start w:val="1"/>
      <w:numFmt w:val="bullet"/>
      <w:lvlText w:val=""/>
      <w:lvlJc w:val="left"/>
      <w:pPr>
        <w:tabs>
          <w:tab w:val="num" w:pos="4320"/>
        </w:tabs>
        <w:ind w:left="4320" w:hanging="360"/>
      </w:pPr>
      <w:rPr>
        <w:rFonts w:ascii="Wingdings" w:hAnsi="Wingdings"/>
      </w:rPr>
    </w:lvl>
    <w:lvl w:ilvl="6" w:tplc="4AB8D9AA">
      <w:start w:val="1"/>
      <w:numFmt w:val="bullet"/>
      <w:lvlText w:val=""/>
      <w:lvlJc w:val="left"/>
      <w:pPr>
        <w:tabs>
          <w:tab w:val="num" w:pos="5040"/>
        </w:tabs>
        <w:ind w:left="5040" w:hanging="360"/>
      </w:pPr>
      <w:rPr>
        <w:rFonts w:ascii="Symbol" w:hAnsi="Symbol"/>
      </w:rPr>
    </w:lvl>
    <w:lvl w:ilvl="7" w:tplc="D188DF7E">
      <w:start w:val="1"/>
      <w:numFmt w:val="bullet"/>
      <w:lvlText w:val="o"/>
      <w:lvlJc w:val="left"/>
      <w:pPr>
        <w:tabs>
          <w:tab w:val="num" w:pos="5760"/>
        </w:tabs>
        <w:ind w:left="5760" w:hanging="360"/>
      </w:pPr>
      <w:rPr>
        <w:rFonts w:ascii="Courier New" w:hAnsi="Courier New"/>
      </w:rPr>
    </w:lvl>
    <w:lvl w:ilvl="8" w:tplc="695A43A8">
      <w:start w:val="1"/>
      <w:numFmt w:val="bullet"/>
      <w:lvlText w:val=""/>
      <w:lvlJc w:val="left"/>
      <w:pPr>
        <w:tabs>
          <w:tab w:val="num" w:pos="6480"/>
        </w:tabs>
        <w:ind w:left="6480" w:hanging="360"/>
      </w:pPr>
      <w:rPr>
        <w:rFonts w:ascii="Wingdings" w:hAnsi="Wingdings"/>
      </w:rPr>
    </w:lvl>
  </w:abstractNum>
  <w:abstractNum w:abstractNumId="635" w15:restartNumberingAfterBreak="0">
    <w:nsid w:val="7223073D"/>
    <w:multiLevelType w:val="hybridMultilevel"/>
    <w:tmpl w:val="7223073D"/>
    <w:lvl w:ilvl="0" w:tplc="4C20D2D4">
      <w:start w:val="1"/>
      <w:numFmt w:val="bullet"/>
      <w:lvlText w:val=""/>
      <w:lvlJc w:val="left"/>
      <w:pPr>
        <w:ind w:left="720" w:hanging="360"/>
      </w:pPr>
      <w:rPr>
        <w:rFonts w:ascii="Symbol" w:hAnsi="Symbol"/>
      </w:rPr>
    </w:lvl>
    <w:lvl w:ilvl="1" w:tplc="93548AF0">
      <w:start w:val="1"/>
      <w:numFmt w:val="bullet"/>
      <w:lvlText w:val="o"/>
      <w:lvlJc w:val="left"/>
      <w:pPr>
        <w:tabs>
          <w:tab w:val="num" w:pos="1440"/>
        </w:tabs>
        <w:ind w:left="1440" w:hanging="360"/>
      </w:pPr>
      <w:rPr>
        <w:rFonts w:ascii="Courier New" w:hAnsi="Courier New"/>
      </w:rPr>
    </w:lvl>
    <w:lvl w:ilvl="2" w:tplc="85B6F87A">
      <w:start w:val="1"/>
      <w:numFmt w:val="bullet"/>
      <w:lvlText w:val=""/>
      <w:lvlJc w:val="left"/>
      <w:pPr>
        <w:tabs>
          <w:tab w:val="num" w:pos="2160"/>
        </w:tabs>
        <w:ind w:left="2160" w:hanging="360"/>
      </w:pPr>
      <w:rPr>
        <w:rFonts w:ascii="Wingdings" w:hAnsi="Wingdings"/>
      </w:rPr>
    </w:lvl>
    <w:lvl w:ilvl="3" w:tplc="EB4A0B50">
      <w:start w:val="1"/>
      <w:numFmt w:val="bullet"/>
      <w:lvlText w:val=""/>
      <w:lvlJc w:val="left"/>
      <w:pPr>
        <w:tabs>
          <w:tab w:val="num" w:pos="2880"/>
        </w:tabs>
        <w:ind w:left="2880" w:hanging="360"/>
      </w:pPr>
      <w:rPr>
        <w:rFonts w:ascii="Symbol" w:hAnsi="Symbol"/>
      </w:rPr>
    </w:lvl>
    <w:lvl w:ilvl="4" w:tplc="571A11A2">
      <w:start w:val="1"/>
      <w:numFmt w:val="bullet"/>
      <w:lvlText w:val="o"/>
      <w:lvlJc w:val="left"/>
      <w:pPr>
        <w:tabs>
          <w:tab w:val="num" w:pos="3600"/>
        </w:tabs>
        <w:ind w:left="3600" w:hanging="360"/>
      </w:pPr>
      <w:rPr>
        <w:rFonts w:ascii="Courier New" w:hAnsi="Courier New"/>
      </w:rPr>
    </w:lvl>
    <w:lvl w:ilvl="5" w:tplc="D4C06AEC">
      <w:start w:val="1"/>
      <w:numFmt w:val="bullet"/>
      <w:lvlText w:val=""/>
      <w:lvlJc w:val="left"/>
      <w:pPr>
        <w:tabs>
          <w:tab w:val="num" w:pos="4320"/>
        </w:tabs>
        <w:ind w:left="4320" w:hanging="360"/>
      </w:pPr>
      <w:rPr>
        <w:rFonts w:ascii="Wingdings" w:hAnsi="Wingdings"/>
      </w:rPr>
    </w:lvl>
    <w:lvl w:ilvl="6" w:tplc="388004E2">
      <w:start w:val="1"/>
      <w:numFmt w:val="bullet"/>
      <w:lvlText w:val=""/>
      <w:lvlJc w:val="left"/>
      <w:pPr>
        <w:tabs>
          <w:tab w:val="num" w:pos="5040"/>
        </w:tabs>
        <w:ind w:left="5040" w:hanging="360"/>
      </w:pPr>
      <w:rPr>
        <w:rFonts w:ascii="Symbol" w:hAnsi="Symbol"/>
      </w:rPr>
    </w:lvl>
    <w:lvl w:ilvl="7" w:tplc="C166EC20">
      <w:start w:val="1"/>
      <w:numFmt w:val="bullet"/>
      <w:lvlText w:val="o"/>
      <w:lvlJc w:val="left"/>
      <w:pPr>
        <w:tabs>
          <w:tab w:val="num" w:pos="5760"/>
        </w:tabs>
        <w:ind w:left="5760" w:hanging="360"/>
      </w:pPr>
      <w:rPr>
        <w:rFonts w:ascii="Courier New" w:hAnsi="Courier New"/>
      </w:rPr>
    </w:lvl>
    <w:lvl w:ilvl="8" w:tplc="34CC0172">
      <w:start w:val="1"/>
      <w:numFmt w:val="bullet"/>
      <w:lvlText w:val=""/>
      <w:lvlJc w:val="left"/>
      <w:pPr>
        <w:tabs>
          <w:tab w:val="num" w:pos="6480"/>
        </w:tabs>
        <w:ind w:left="6480" w:hanging="360"/>
      </w:pPr>
      <w:rPr>
        <w:rFonts w:ascii="Wingdings" w:hAnsi="Wingdings"/>
      </w:rPr>
    </w:lvl>
  </w:abstractNum>
  <w:abstractNum w:abstractNumId="636" w15:restartNumberingAfterBreak="0">
    <w:nsid w:val="7223073E"/>
    <w:multiLevelType w:val="hybridMultilevel"/>
    <w:tmpl w:val="7223073E"/>
    <w:lvl w:ilvl="0" w:tplc="2F867C52">
      <w:start w:val="1"/>
      <w:numFmt w:val="bullet"/>
      <w:lvlText w:val=""/>
      <w:lvlJc w:val="left"/>
      <w:pPr>
        <w:ind w:left="720" w:hanging="360"/>
      </w:pPr>
      <w:rPr>
        <w:rFonts w:ascii="Symbol" w:hAnsi="Symbol"/>
      </w:rPr>
    </w:lvl>
    <w:lvl w:ilvl="1" w:tplc="E79262C8">
      <w:start w:val="1"/>
      <w:numFmt w:val="bullet"/>
      <w:lvlText w:val="o"/>
      <w:lvlJc w:val="left"/>
      <w:pPr>
        <w:tabs>
          <w:tab w:val="num" w:pos="1440"/>
        </w:tabs>
        <w:ind w:left="1440" w:hanging="360"/>
      </w:pPr>
      <w:rPr>
        <w:rFonts w:ascii="Courier New" w:hAnsi="Courier New"/>
      </w:rPr>
    </w:lvl>
    <w:lvl w:ilvl="2" w:tplc="F960742A">
      <w:start w:val="1"/>
      <w:numFmt w:val="bullet"/>
      <w:lvlText w:val=""/>
      <w:lvlJc w:val="left"/>
      <w:pPr>
        <w:tabs>
          <w:tab w:val="num" w:pos="2160"/>
        </w:tabs>
        <w:ind w:left="2160" w:hanging="360"/>
      </w:pPr>
      <w:rPr>
        <w:rFonts w:ascii="Wingdings" w:hAnsi="Wingdings"/>
      </w:rPr>
    </w:lvl>
    <w:lvl w:ilvl="3" w:tplc="EDDEE740">
      <w:start w:val="1"/>
      <w:numFmt w:val="bullet"/>
      <w:lvlText w:val=""/>
      <w:lvlJc w:val="left"/>
      <w:pPr>
        <w:tabs>
          <w:tab w:val="num" w:pos="2880"/>
        </w:tabs>
        <w:ind w:left="2880" w:hanging="360"/>
      </w:pPr>
      <w:rPr>
        <w:rFonts w:ascii="Symbol" w:hAnsi="Symbol"/>
      </w:rPr>
    </w:lvl>
    <w:lvl w:ilvl="4" w:tplc="4048793A">
      <w:start w:val="1"/>
      <w:numFmt w:val="bullet"/>
      <w:lvlText w:val="o"/>
      <w:lvlJc w:val="left"/>
      <w:pPr>
        <w:tabs>
          <w:tab w:val="num" w:pos="3600"/>
        </w:tabs>
        <w:ind w:left="3600" w:hanging="360"/>
      </w:pPr>
      <w:rPr>
        <w:rFonts w:ascii="Courier New" w:hAnsi="Courier New"/>
      </w:rPr>
    </w:lvl>
    <w:lvl w:ilvl="5" w:tplc="3B3A7DCE">
      <w:start w:val="1"/>
      <w:numFmt w:val="bullet"/>
      <w:lvlText w:val=""/>
      <w:lvlJc w:val="left"/>
      <w:pPr>
        <w:tabs>
          <w:tab w:val="num" w:pos="4320"/>
        </w:tabs>
        <w:ind w:left="4320" w:hanging="360"/>
      </w:pPr>
      <w:rPr>
        <w:rFonts w:ascii="Wingdings" w:hAnsi="Wingdings"/>
      </w:rPr>
    </w:lvl>
    <w:lvl w:ilvl="6" w:tplc="D70454C8">
      <w:start w:val="1"/>
      <w:numFmt w:val="bullet"/>
      <w:lvlText w:val=""/>
      <w:lvlJc w:val="left"/>
      <w:pPr>
        <w:tabs>
          <w:tab w:val="num" w:pos="5040"/>
        </w:tabs>
        <w:ind w:left="5040" w:hanging="360"/>
      </w:pPr>
      <w:rPr>
        <w:rFonts w:ascii="Symbol" w:hAnsi="Symbol"/>
      </w:rPr>
    </w:lvl>
    <w:lvl w:ilvl="7" w:tplc="F018684E">
      <w:start w:val="1"/>
      <w:numFmt w:val="bullet"/>
      <w:lvlText w:val="o"/>
      <w:lvlJc w:val="left"/>
      <w:pPr>
        <w:tabs>
          <w:tab w:val="num" w:pos="5760"/>
        </w:tabs>
        <w:ind w:left="5760" w:hanging="360"/>
      </w:pPr>
      <w:rPr>
        <w:rFonts w:ascii="Courier New" w:hAnsi="Courier New"/>
      </w:rPr>
    </w:lvl>
    <w:lvl w:ilvl="8" w:tplc="D102C20E">
      <w:start w:val="1"/>
      <w:numFmt w:val="bullet"/>
      <w:lvlText w:val=""/>
      <w:lvlJc w:val="left"/>
      <w:pPr>
        <w:tabs>
          <w:tab w:val="num" w:pos="6480"/>
        </w:tabs>
        <w:ind w:left="6480" w:hanging="360"/>
      </w:pPr>
      <w:rPr>
        <w:rFonts w:ascii="Wingdings" w:hAnsi="Wingdings"/>
      </w:rPr>
    </w:lvl>
  </w:abstractNum>
  <w:abstractNum w:abstractNumId="637" w15:restartNumberingAfterBreak="0">
    <w:nsid w:val="7223073F"/>
    <w:multiLevelType w:val="hybridMultilevel"/>
    <w:tmpl w:val="7223073F"/>
    <w:lvl w:ilvl="0" w:tplc="9EF80840">
      <w:start w:val="1"/>
      <w:numFmt w:val="bullet"/>
      <w:lvlText w:val=""/>
      <w:lvlJc w:val="left"/>
      <w:pPr>
        <w:ind w:left="720" w:hanging="360"/>
      </w:pPr>
      <w:rPr>
        <w:rFonts w:ascii="Symbol" w:hAnsi="Symbol"/>
      </w:rPr>
    </w:lvl>
    <w:lvl w:ilvl="1" w:tplc="03005C7E">
      <w:start w:val="1"/>
      <w:numFmt w:val="bullet"/>
      <w:lvlText w:val="o"/>
      <w:lvlJc w:val="left"/>
      <w:pPr>
        <w:tabs>
          <w:tab w:val="num" w:pos="1440"/>
        </w:tabs>
        <w:ind w:left="1440" w:hanging="360"/>
      </w:pPr>
      <w:rPr>
        <w:rFonts w:ascii="Courier New" w:hAnsi="Courier New"/>
      </w:rPr>
    </w:lvl>
    <w:lvl w:ilvl="2" w:tplc="EB5E1A68">
      <w:start w:val="1"/>
      <w:numFmt w:val="bullet"/>
      <w:lvlText w:val=""/>
      <w:lvlJc w:val="left"/>
      <w:pPr>
        <w:tabs>
          <w:tab w:val="num" w:pos="2160"/>
        </w:tabs>
        <w:ind w:left="2160" w:hanging="360"/>
      </w:pPr>
      <w:rPr>
        <w:rFonts w:ascii="Wingdings" w:hAnsi="Wingdings"/>
      </w:rPr>
    </w:lvl>
    <w:lvl w:ilvl="3" w:tplc="5C5CB0D6">
      <w:start w:val="1"/>
      <w:numFmt w:val="bullet"/>
      <w:lvlText w:val=""/>
      <w:lvlJc w:val="left"/>
      <w:pPr>
        <w:tabs>
          <w:tab w:val="num" w:pos="2880"/>
        </w:tabs>
        <w:ind w:left="2880" w:hanging="360"/>
      </w:pPr>
      <w:rPr>
        <w:rFonts w:ascii="Symbol" w:hAnsi="Symbol"/>
      </w:rPr>
    </w:lvl>
    <w:lvl w:ilvl="4" w:tplc="6D3ABA34">
      <w:start w:val="1"/>
      <w:numFmt w:val="bullet"/>
      <w:lvlText w:val="o"/>
      <w:lvlJc w:val="left"/>
      <w:pPr>
        <w:tabs>
          <w:tab w:val="num" w:pos="3600"/>
        </w:tabs>
        <w:ind w:left="3600" w:hanging="360"/>
      </w:pPr>
      <w:rPr>
        <w:rFonts w:ascii="Courier New" w:hAnsi="Courier New"/>
      </w:rPr>
    </w:lvl>
    <w:lvl w:ilvl="5" w:tplc="E5F2056E">
      <w:start w:val="1"/>
      <w:numFmt w:val="bullet"/>
      <w:lvlText w:val=""/>
      <w:lvlJc w:val="left"/>
      <w:pPr>
        <w:tabs>
          <w:tab w:val="num" w:pos="4320"/>
        </w:tabs>
        <w:ind w:left="4320" w:hanging="360"/>
      </w:pPr>
      <w:rPr>
        <w:rFonts w:ascii="Wingdings" w:hAnsi="Wingdings"/>
      </w:rPr>
    </w:lvl>
    <w:lvl w:ilvl="6" w:tplc="93385C02">
      <w:start w:val="1"/>
      <w:numFmt w:val="bullet"/>
      <w:lvlText w:val=""/>
      <w:lvlJc w:val="left"/>
      <w:pPr>
        <w:tabs>
          <w:tab w:val="num" w:pos="5040"/>
        </w:tabs>
        <w:ind w:left="5040" w:hanging="360"/>
      </w:pPr>
      <w:rPr>
        <w:rFonts w:ascii="Symbol" w:hAnsi="Symbol"/>
      </w:rPr>
    </w:lvl>
    <w:lvl w:ilvl="7" w:tplc="4C360F42">
      <w:start w:val="1"/>
      <w:numFmt w:val="bullet"/>
      <w:lvlText w:val="o"/>
      <w:lvlJc w:val="left"/>
      <w:pPr>
        <w:tabs>
          <w:tab w:val="num" w:pos="5760"/>
        </w:tabs>
        <w:ind w:left="5760" w:hanging="360"/>
      </w:pPr>
      <w:rPr>
        <w:rFonts w:ascii="Courier New" w:hAnsi="Courier New"/>
      </w:rPr>
    </w:lvl>
    <w:lvl w:ilvl="8" w:tplc="A5BA5EF4">
      <w:start w:val="1"/>
      <w:numFmt w:val="bullet"/>
      <w:lvlText w:val=""/>
      <w:lvlJc w:val="left"/>
      <w:pPr>
        <w:tabs>
          <w:tab w:val="num" w:pos="6480"/>
        </w:tabs>
        <w:ind w:left="6480" w:hanging="360"/>
      </w:pPr>
      <w:rPr>
        <w:rFonts w:ascii="Wingdings" w:hAnsi="Wingdings"/>
      </w:rPr>
    </w:lvl>
  </w:abstractNum>
  <w:abstractNum w:abstractNumId="638" w15:restartNumberingAfterBreak="0">
    <w:nsid w:val="72230740"/>
    <w:multiLevelType w:val="hybridMultilevel"/>
    <w:tmpl w:val="72230740"/>
    <w:lvl w:ilvl="0" w:tplc="8196D762">
      <w:start w:val="1"/>
      <w:numFmt w:val="bullet"/>
      <w:lvlText w:val=""/>
      <w:lvlJc w:val="left"/>
      <w:pPr>
        <w:ind w:left="720" w:hanging="360"/>
      </w:pPr>
      <w:rPr>
        <w:rFonts w:ascii="Symbol" w:hAnsi="Symbol"/>
      </w:rPr>
    </w:lvl>
    <w:lvl w:ilvl="1" w:tplc="4C4C668A">
      <w:start w:val="1"/>
      <w:numFmt w:val="bullet"/>
      <w:lvlText w:val="o"/>
      <w:lvlJc w:val="left"/>
      <w:pPr>
        <w:tabs>
          <w:tab w:val="num" w:pos="1440"/>
        </w:tabs>
        <w:ind w:left="1440" w:hanging="360"/>
      </w:pPr>
      <w:rPr>
        <w:rFonts w:ascii="Courier New" w:hAnsi="Courier New"/>
      </w:rPr>
    </w:lvl>
    <w:lvl w:ilvl="2" w:tplc="4B207202">
      <w:start w:val="1"/>
      <w:numFmt w:val="bullet"/>
      <w:lvlText w:val=""/>
      <w:lvlJc w:val="left"/>
      <w:pPr>
        <w:tabs>
          <w:tab w:val="num" w:pos="2160"/>
        </w:tabs>
        <w:ind w:left="2160" w:hanging="360"/>
      </w:pPr>
      <w:rPr>
        <w:rFonts w:ascii="Wingdings" w:hAnsi="Wingdings"/>
      </w:rPr>
    </w:lvl>
    <w:lvl w:ilvl="3" w:tplc="4D10EACA">
      <w:start w:val="1"/>
      <w:numFmt w:val="bullet"/>
      <w:lvlText w:val=""/>
      <w:lvlJc w:val="left"/>
      <w:pPr>
        <w:tabs>
          <w:tab w:val="num" w:pos="2880"/>
        </w:tabs>
        <w:ind w:left="2880" w:hanging="360"/>
      </w:pPr>
      <w:rPr>
        <w:rFonts w:ascii="Symbol" w:hAnsi="Symbol"/>
      </w:rPr>
    </w:lvl>
    <w:lvl w:ilvl="4" w:tplc="03680626">
      <w:start w:val="1"/>
      <w:numFmt w:val="bullet"/>
      <w:lvlText w:val="o"/>
      <w:lvlJc w:val="left"/>
      <w:pPr>
        <w:tabs>
          <w:tab w:val="num" w:pos="3600"/>
        </w:tabs>
        <w:ind w:left="3600" w:hanging="360"/>
      </w:pPr>
      <w:rPr>
        <w:rFonts w:ascii="Courier New" w:hAnsi="Courier New"/>
      </w:rPr>
    </w:lvl>
    <w:lvl w:ilvl="5" w:tplc="372840AA">
      <w:start w:val="1"/>
      <w:numFmt w:val="bullet"/>
      <w:lvlText w:val=""/>
      <w:lvlJc w:val="left"/>
      <w:pPr>
        <w:tabs>
          <w:tab w:val="num" w:pos="4320"/>
        </w:tabs>
        <w:ind w:left="4320" w:hanging="360"/>
      </w:pPr>
      <w:rPr>
        <w:rFonts w:ascii="Wingdings" w:hAnsi="Wingdings"/>
      </w:rPr>
    </w:lvl>
    <w:lvl w:ilvl="6" w:tplc="1E8AF75A">
      <w:start w:val="1"/>
      <w:numFmt w:val="bullet"/>
      <w:lvlText w:val=""/>
      <w:lvlJc w:val="left"/>
      <w:pPr>
        <w:tabs>
          <w:tab w:val="num" w:pos="5040"/>
        </w:tabs>
        <w:ind w:left="5040" w:hanging="360"/>
      </w:pPr>
      <w:rPr>
        <w:rFonts w:ascii="Symbol" w:hAnsi="Symbol"/>
      </w:rPr>
    </w:lvl>
    <w:lvl w:ilvl="7" w:tplc="E2D8336E">
      <w:start w:val="1"/>
      <w:numFmt w:val="bullet"/>
      <w:lvlText w:val="o"/>
      <w:lvlJc w:val="left"/>
      <w:pPr>
        <w:tabs>
          <w:tab w:val="num" w:pos="5760"/>
        </w:tabs>
        <w:ind w:left="5760" w:hanging="360"/>
      </w:pPr>
      <w:rPr>
        <w:rFonts w:ascii="Courier New" w:hAnsi="Courier New"/>
      </w:rPr>
    </w:lvl>
    <w:lvl w:ilvl="8" w:tplc="4D343DC8">
      <w:start w:val="1"/>
      <w:numFmt w:val="bullet"/>
      <w:lvlText w:val=""/>
      <w:lvlJc w:val="left"/>
      <w:pPr>
        <w:tabs>
          <w:tab w:val="num" w:pos="6480"/>
        </w:tabs>
        <w:ind w:left="6480" w:hanging="360"/>
      </w:pPr>
      <w:rPr>
        <w:rFonts w:ascii="Wingdings" w:hAnsi="Wingdings"/>
      </w:rPr>
    </w:lvl>
  </w:abstractNum>
  <w:abstractNum w:abstractNumId="639" w15:restartNumberingAfterBreak="0">
    <w:nsid w:val="72230741"/>
    <w:multiLevelType w:val="hybridMultilevel"/>
    <w:tmpl w:val="72230741"/>
    <w:lvl w:ilvl="0" w:tplc="339C5F38">
      <w:start w:val="1"/>
      <w:numFmt w:val="bullet"/>
      <w:lvlText w:val=""/>
      <w:lvlJc w:val="left"/>
      <w:pPr>
        <w:ind w:left="720" w:hanging="360"/>
      </w:pPr>
      <w:rPr>
        <w:rFonts w:ascii="Symbol" w:hAnsi="Symbol"/>
      </w:rPr>
    </w:lvl>
    <w:lvl w:ilvl="1" w:tplc="7DBE8432">
      <w:start w:val="1"/>
      <w:numFmt w:val="bullet"/>
      <w:lvlText w:val="o"/>
      <w:lvlJc w:val="left"/>
      <w:pPr>
        <w:tabs>
          <w:tab w:val="num" w:pos="1440"/>
        </w:tabs>
        <w:ind w:left="1440" w:hanging="360"/>
      </w:pPr>
      <w:rPr>
        <w:rFonts w:ascii="Courier New" w:hAnsi="Courier New"/>
      </w:rPr>
    </w:lvl>
    <w:lvl w:ilvl="2" w:tplc="0D062426">
      <w:start w:val="1"/>
      <w:numFmt w:val="bullet"/>
      <w:lvlText w:val=""/>
      <w:lvlJc w:val="left"/>
      <w:pPr>
        <w:tabs>
          <w:tab w:val="num" w:pos="2160"/>
        </w:tabs>
        <w:ind w:left="2160" w:hanging="360"/>
      </w:pPr>
      <w:rPr>
        <w:rFonts w:ascii="Wingdings" w:hAnsi="Wingdings"/>
      </w:rPr>
    </w:lvl>
    <w:lvl w:ilvl="3" w:tplc="097E83F4">
      <w:start w:val="1"/>
      <w:numFmt w:val="bullet"/>
      <w:lvlText w:val=""/>
      <w:lvlJc w:val="left"/>
      <w:pPr>
        <w:tabs>
          <w:tab w:val="num" w:pos="2880"/>
        </w:tabs>
        <w:ind w:left="2880" w:hanging="360"/>
      </w:pPr>
      <w:rPr>
        <w:rFonts w:ascii="Symbol" w:hAnsi="Symbol"/>
      </w:rPr>
    </w:lvl>
    <w:lvl w:ilvl="4" w:tplc="CF1C0F0A">
      <w:start w:val="1"/>
      <w:numFmt w:val="bullet"/>
      <w:lvlText w:val="o"/>
      <w:lvlJc w:val="left"/>
      <w:pPr>
        <w:tabs>
          <w:tab w:val="num" w:pos="3600"/>
        </w:tabs>
        <w:ind w:left="3600" w:hanging="360"/>
      </w:pPr>
      <w:rPr>
        <w:rFonts w:ascii="Courier New" w:hAnsi="Courier New"/>
      </w:rPr>
    </w:lvl>
    <w:lvl w:ilvl="5" w:tplc="2FB0BEBA">
      <w:start w:val="1"/>
      <w:numFmt w:val="bullet"/>
      <w:lvlText w:val=""/>
      <w:lvlJc w:val="left"/>
      <w:pPr>
        <w:tabs>
          <w:tab w:val="num" w:pos="4320"/>
        </w:tabs>
        <w:ind w:left="4320" w:hanging="360"/>
      </w:pPr>
      <w:rPr>
        <w:rFonts w:ascii="Wingdings" w:hAnsi="Wingdings"/>
      </w:rPr>
    </w:lvl>
    <w:lvl w:ilvl="6" w:tplc="A1142EF0">
      <w:start w:val="1"/>
      <w:numFmt w:val="bullet"/>
      <w:lvlText w:val=""/>
      <w:lvlJc w:val="left"/>
      <w:pPr>
        <w:tabs>
          <w:tab w:val="num" w:pos="5040"/>
        </w:tabs>
        <w:ind w:left="5040" w:hanging="360"/>
      </w:pPr>
      <w:rPr>
        <w:rFonts w:ascii="Symbol" w:hAnsi="Symbol"/>
      </w:rPr>
    </w:lvl>
    <w:lvl w:ilvl="7" w:tplc="F3BE5F68">
      <w:start w:val="1"/>
      <w:numFmt w:val="bullet"/>
      <w:lvlText w:val="o"/>
      <w:lvlJc w:val="left"/>
      <w:pPr>
        <w:tabs>
          <w:tab w:val="num" w:pos="5760"/>
        </w:tabs>
        <w:ind w:left="5760" w:hanging="360"/>
      </w:pPr>
      <w:rPr>
        <w:rFonts w:ascii="Courier New" w:hAnsi="Courier New"/>
      </w:rPr>
    </w:lvl>
    <w:lvl w:ilvl="8" w:tplc="78F260EE">
      <w:start w:val="1"/>
      <w:numFmt w:val="bullet"/>
      <w:lvlText w:val=""/>
      <w:lvlJc w:val="left"/>
      <w:pPr>
        <w:tabs>
          <w:tab w:val="num" w:pos="6480"/>
        </w:tabs>
        <w:ind w:left="6480" w:hanging="360"/>
      </w:pPr>
      <w:rPr>
        <w:rFonts w:ascii="Wingdings" w:hAnsi="Wingdings"/>
      </w:rPr>
    </w:lvl>
  </w:abstractNum>
  <w:abstractNum w:abstractNumId="640" w15:restartNumberingAfterBreak="0">
    <w:nsid w:val="72230742"/>
    <w:multiLevelType w:val="hybridMultilevel"/>
    <w:tmpl w:val="72230742"/>
    <w:lvl w:ilvl="0" w:tplc="71205680">
      <w:start w:val="1"/>
      <w:numFmt w:val="bullet"/>
      <w:lvlText w:val=""/>
      <w:lvlJc w:val="left"/>
      <w:pPr>
        <w:tabs>
          <w:tab w:val="num" w:pos="720"/>
        </w:tabs>
        <w:ind w:left="720" w:hanging="360"/>
      </w:pPr>
      <w:rPr>
        <w:rFonts w:ascii="Symbol" w:hAnsi="Symbol"/>
      </w:rPr>
    </w:lvl>
    <w:lvl w:ilvl="1" w:tplc="D03043BE">
      <w:start w:val="1"/>
      <w:numFmt w:val="bullet"/>
      <w:lvlText w:val="o"/>
      <w:lvlJc w:val="left"/>
      <w:pPr>
        <w:tabs>
          <w:tab w:val="num" w:pos="1440"/>
        </w:tabs>
        <w:ind w:left="1440" w:hanging="360"/>
      </w:pPr>
      <w:rPr>
        <w:rFonts w:ascii="Courier New" w:hAnsi="Courier New"/>
      </w:rPr>
    </w:lvl>
    <w:lvl w:ilvl="2" w:tplc="503A1AA8">
      <w:start w:val="1"/>
      <w:numFmt w:val="bullet"/>
      <w:lvlText w:val=""/>
      <w:lvlJc w:val="left"/>
      <w:pPr>
        <w:tabs>
          <w:tab w:val="num" w:pos="2160"/>
        </w:tabs>
        <w:ind w:left="2160" w:hanging="360"/>
      </w:pPr>
      <w:rPr>
        <w:rFonts w:ascii="Wingdings" w:hAnsi="Wingdings"/>
      </w:rPr>
    </w:lvl>
    <w:lvl w:ilvl="3" w:tplc="0E9837B8">
      <w:start w:val="1"/>
      <w:numFmt w:val="bullet"/>
      <w:lvlText w:val=""/>
      <w:lvlJc w:val="left"/>
      <w:pPr>
        <w:tabs>
          <w:tab w:val="num" w:pos="2880"/>
        </w:tabs>
        <w:ind w:left="2880" w:hanging="360"/>
      </w:pPr>
      <w:rPr>
        <w:rFonts w:ascii="Symbol" w:hAnsi="Symbol"/>
      </w:rPr>
    </w:lvl>
    <w:lvl w:ilvl="4" w:tplc="050A8F46">
      <w:start w:val="1"/>
      <w:numFmt w:val="bullet"/>
      <w:lvlText w:val="o"/>
      <w:lvlJc w:val="left"/>
      <w:pPr>
        <w:tabs>
          <w:tab w:val="num" w:pos="3600"/>
        </w:tabs>
        <w:ind w:left="3600" w:hanging="360"/>
      </w:pPr>
      <w:rPr>
        <w:rFonts w:ascii="Courier New" w:hAnsi="Courier New"/>
      </w:rPr>
    </w:lvl>
    <w:lvl w:ilvl="5" w:tplc="EDB2785A">
      <w:start w:val="1"/>
      <w:numFmt w:val="bullet"/>
      <w:lvlText w:val=""/>
      <w:lvlJc w:val="left"/>
      <w:pPr>
        <w:tabs>
          <w:tab w:val="num" w:pos="4320"/>
        </w:tabs>
        <w:ind w:left="4320" w:hanging="360"/>
      </w:pPr>
      <w:rPr>
        <w:rFonts w:ascii="Wingdings" w:hAnsi="Wingdings"/>
      </w:rPr>
    </w:lvl>
    <w:lvl w:ilvl="6" w:tplc="9C04BBE4">
      <w:start w:val="1"/>
      <w:numFmt w:val="bullet"/>
      <w:lvlText w:val=""/>
      <w:lvlJc w:val="left"/>
      <w:pPr>
        <w:tabs>
          <w:tab w:val="num" w:pos="5040"/>
        </w:tabs>
        <w:ind w:left="5040" w:hanging="360"/>
      </w:pPr>
      <w:rPr>
        <w:rFonts w:ascii="Symbol" w:hAnsi="Symbol"/>
      </w:rPr>
    </w:lvl>
    <w:lvl w:ilvl="7" w:tplc="D3BC8BEA">
      <w:start w:val="1"/>
      <w:numFmt w:val="bullet"/>
      <w:lvlText w:val="o"/>
      <w:lvlJc w:val="left"/>
      <w:pPr>
        <w:tabs>
          <w:tab w:val="num" w:pos="5760"/>
        </w:tabs>
        <w:ind w:left="5760" w:hanging="360"/>
      </w:pPr>
      <w:rPr>
        <w:rFonts w:ascii="Courier New" w:hAnsi="Courier New"/>
      </w:rPr>
    </w:lvl>
    <w:lvl w:ilvl="8" w:tplc="1F16EC18">
      <w:start w:val="1"/>
      <w:numFmt w:val="bullet"/>
      <w:lvlText w:val=""/>
      <w:lvlJc w:val="left"/>
      <w:pPr>
        <w:tabs>
          <w:tab w:val="num" w:pos="6480"/>
        </w:tabs>
        <w:ind w:left="6480" w:hanging="360"/>
      </w:pPr>
      <w:rPr>
        <w:rFonts w:ascii="Wingdings" w:hAnsi="Wingdings"/>
      </w:rPr>
    </w:lvl>
  </w:abstractNum>
  <w:abstractNum w:abstractNumId="641" w15:restartNumberingAfterBreak="0">
    <w:nsid w:val="72230743"/>
    <w:multiLevelType w:val="hybridMultilevel"/>
    <w:tmpl w:val="72230743"/>
    <w:lvl w:ilvl="0" w:tplc="938E34DC">
      <w:start w:val="1"/>
      <w:numFmt w:val="bullet"/>
      <w:lvlText w:val=""/>
      <w:lvlJc w:val="left"/>
      <w:pPr>
        <w:ind w:left="720" w:hanging="360"/>
      </w:pPr>
      <w:rPr>
        <w:rFonts w:ascii="Symbol" w:hAnsi="Symbol"/>
      </w:rPr>
    </w:lvl>
    <w:lvl w:ilvl="1" w:tplc="3F10C6B0">
      <w:start w:val="1"/>
      <w:numFmt w:val="bullet"/>
      <w:lvlText w:val="o"/>
      <w:lvlJc w:val="left"/>
      <w:pPr>
        <w:tabs>
          <w:tab w:val="num" w:pos="1440"/>
        </w:tabs>
        <w:ind w:left="1440" w:hanging="360"/>
      </w:pPr>
      <w:rPr>
        <w:rFonts w:ascii="Courier New" w:hAnsi="Courier New"/>
      </w:rPr>
    </w:lvl>
    <w:lvl w:ilvl="2" w:tplc="0B143C82">
      <w:start w:val="1"/>
      <w:numFmt w:val="bullet"/>
      <w:lvlText w:val=""/>
      <w:lvlJc w:val="left"/>
      <w:pPr>
        <w:tabs>
          <w:tab w:val="num" w:pos="2160"/>
        </w:tabs>
        <w:ind w:left="2160" w:hanging="360"/>
      </w:pPr>
      <w:rPr>
        <w:rFonts w:ascii="Wingdings" w:hAnsi="Wingdings"/>
      </w:rPr>
    </w:lvl>
    <w:lvl w:ilvl="3" w:tplc="A1D042C6">
      <w:start w:val="1"/>
      <w:numFmt w:val="bullet"/>
      <w:lvlText w:val=""/>
      <w:lvlJc w:val="left"/>
      <w:pPr>
        <w:tabs>
          <w:tab w:val="num" w:pos="2880"/>
        </w:tabs>
        <w:ind w:left="2880" w:hanging="360"/>
      </w:pPr>
      <w:rPr>
        <w:rFonts w:ascii="Symbol" w:hAnsi="Symbol"/>
      </w:rPr>
    </w:lvl>
    <w:lvl w:ilvl="4" w:tplc="091E1C1C">
      <w:start w:val="1"/>
      <w:numFmt w:val="bullet"/>
      <w:lvlText w:val="o"/>
      <w:lvlJc w:val="left"/>
      <w:pPr>
        <w:tabs>
          <w:tab w:val="num" w:pos="3600"/>
        </w:tabs>
        <w:ind w:left="3600" w:hanging="360"/>
      </w:pPr>
      <w:rPr>
        <w:rFonts w:ascii="Courier New" w:hAnsi="Courier New"/>
      </w:rPr>
    </w:lvl>
    <w:lvl w:ilvl="5" w:tplc="BABEB82C">
      <w:start w:val="1"/>
      <w:numFmt w:val="bullet"/>
      <w:lvlText w:val=""/>
      <w:lvlJc w:val="left"/>
      <w:pPr>
        <w:tabs>
          <w:tab w:val="num" w:pos="4320"/>
        </w:tabs>
        <w:ind w:left="4320" w:hanging="360"/>
      </w:pPr>
      <w:rPr>
        <w:rFonts w:ascii="Wingdings" w:hAnsi="Wingdings"/>
      </w:rPr>
    </w:lvl>
    <w:lvl w:ilvl="6" w:tplc="06A8DBD4">
      <w:start w:val="1"/>
      <w:numFmt w:val="bullet"/>
      <w:lvlText w:val=""/>
      <w:lvlJc w:val="left"/>
      <w:pPr>
        <w:tabs>
          <w:tab w:val="num" w:pos="5040"/>
        </w:tabs>
        <w:ind w:left="5040" w:hanging="360"/>
      </w:pPr>
      <w:rPr>
        <w:rFonts w:ascii="Symbol" w:hAnsi="Symbol"/>
      </w:rPr>
    </w:lvl>
    <w:lvl w:ilvl="7" w:tplc="12A0D14C">
      <w:start w:val="1"/>
      <w:numFmt w:val="bullet"/>
      <w:lvlText w:val="o"/>
      <w:lvlJc w:val="left"/>
      <w:pPr>
        <w:tabs>
          <w:tab w:val="num" w:pos="5760"/>
        </w:tabs>
        <w:ind w:left="5760" w:hanging="360"/>
      </w:pPr>
      <w:rPr>
        <w:rFonts w:ascii="Courier New" w:hAnsi="Courier New"/>
      </w:rPr>
    </w:lvl>
    <w:lvl w:ilvl="8" w:tplc="F93AC94C">
      <w:start w:val="1"/>
      <w:numFmt w:val="bullet"/>
      <w:lvlText w:val=""/>
      <w:lvlJc w:val="left"/>
      <w:pPr>
        <w:tabs>
          <w:tab w:val="num" w:pos="6480"/>
        </w:tabs>
        <w:ind w:left="6480" w:hanging="360"/>
      </w:pPr>
      <w:rPr>
        <w:rFonts w:ascii="Wingdings" w:hAnsi="Wingdings"/>
      </w:rPr>
    </w:lvl>
  </w:abstractNum>
  <w:abstractNum w:abstractNumId="642" w15:restartNumberingAfterBreak="0">
    <w:nsid w:val="72230744"/>
    <w:multiLevelType w:val="hybridMultilevel"/>
    <w:tmpl w:val="72230744"/>
    <w:lvl w:ilvl="0" w:tplc="2E68C76C">
      <w:start w:val="1"/>
      <w:numFmt w:val="bullet"/>
      <w:lvlText w:val=""/>
      <w:lvlJc w:val="left"/>
      <w:pPr>
        <w:ind w:left="720" w:hanging="360"/>
      </w:pPr>
      <w:rPr>
        <w:rFonts w:ascii="Symbol" w:hAnsi="Symbol"/>
      </w:rPr>
    </w:lvl>
    <w:lvl w:ilvl="1" w:tplc="23945916">
      <w:start w:val="1"/>
      <w:numFmt w:val="bullet"/>
      <w:lvlText w:val="o"/>
      <w:lvlJc w:val="left"/>
      <w:pPr>
        <w:tabs>
          <w:tab w:val="num" w:pos="1440"/>
        </w:tabs>
        <w:ind w:left="1440" w:hanging="360"/>
      </w:pPr>
      <w:rPr>
        <w:rFonts w:ascii="Courier New" w:hAnsi="Courier New"/>
      </w:rPr>
    </w:lvl>
    <w:lvl w:ilvl="2" w:tplc="2820B6DA">
      <w:start w:val="1"/>
      <w:numFmt w:val="bullet"/>
      <w:lvlText w:val=""/>
      <w:lvlJc w:val="left"/>
      <w:pPr>
        <w:tabs>
          <w:tab w:val="num" w:pos="2160"/>
        </w:tabs>
        <w:ind w:left="2160" w:hanging="360"/>
      </w:pPr>
      <w:rPr>
        <w:rFonts w:ascii="Wingdings" w:hAnsi="Wingdings"/>
      </w:rPr>
    </w:lvl>
    <w:lvl w:ilvl="3" w:tplc="64E2D00A">
      <w:start w:val="1"/>
      <w:numFmt w:val="bullet"/>
      <w:lvlText w:val=""/>
      <w:lvlJc w:val="left"/>
      <w:pPr>
        <w:tabs>
          <w:tab w:val="num" w:pos="2880"/>
        </w:tabs>
        <w:ind w:left="2880" w:hanging="360"/>
      </w:pPr>
      <w:rPr>
        <w:rFonts w:ascii="Symbol" w:hAnsi="Symbol"/>
      </w:rPr>
    </w:lvl>
    <w:lvl w:ilvl="4" w:tplc="C510AD02">
      <w:start w:val="1"/>
      <w:numFmt w:val="bullet"/>
      <w:lvlText w:val="o"/>
      <w:lvlJc w:val="left"/>
      <w:pPr>
        <w:tabs>
          <w:tab w:val="num" w:pos="3600"/>
        </w:tabs>
        <w:ind w:left="3600" w:hanging="360"/>
      </w:pPr>
      <w:rPr>
        <w:rFonts w:ascii="Courier New" w:hAnsi="Courier New"/>
      </w:rPr>
    </w:lvl>
    <w:lvl w:ilvl="5" w:tplc="9244B18C">
      <w:start w:val="1"/>
      <w:numFmt w:val="bullet"/>
      <w:lvlText w:val=""/>
      <w:lvlJc w:val="left"/>
      <w:pPr>
        <w:tabs>
          <w:tab w:val="num" w:pos="4320"/>
        </w:tabs>
        <w:ind w:left="4320" w:hanging="360"/>
      </w:pPr>
      <w:rPr>
        <w:rFonts w:ascii="Wingdings" w:hAnsi="Wingdings"/>
      </w:rPr>
    </w:lvl>
    <w:lvl w:ilvl="6" w:tplc="EAF8D262">
      <w:start w:val="1"/>
      <w:numFmt w:val="bullet"/>
      <w:lvlText w:val=""/>
      <w:lvlJc w:val="left"/>
      <w:pPr>
        <w:tabs>
          <w:tab w:val="num" w:pos="5040"/>
        </w:tabs>
        <w:ind w:left="5040" w:hanging="360"/>
      </w:pPr>
      <w:rPr>
        <w:rFonts w:ascii="Symbol" w:hAnsi="Symbol"/>
      </w:rPr>
    </w:lvl>
    <w:lvl w:ilvl="7" w:tplc="7E725860">
      <w:start w:val="1"/>
      <w:numFmt w:val="bullet"/>
      <w:lvlText w:val="o"/>
      <w:lvlJc w:val="left"/>
      <w:pPr>
        <w:tabs>
          <w:tab w:val="num" w:pos="5760"/>
        </w:tabs>
        <w:ind w:left="5760" w:hanging="360"/>
      </w:pPr>
      <w:rPr>
        <w:rFonts w:ascii="Courier New" w:hAnsi="Courier New"/>
      </w:rPr>
    </w:lvl>
    <w:lvl w:ilvl="8" w:tplc="EDF22264">
      <w:start w:val="1"/>
      <w:numFmt w:val="bullet"/>
      <w:lvlText w:val=""/>
      <w:lvlJc w:val="left"/>
      <w:pPr>
        <w:tabs>
          <w:tab w:val="num" w:pos="6480"/>
        </w:tabs>
        <w:ind w:left="6480" w:hanging="360"/>
      </w:pPr>
      <w:rPr>
        <w:rFonts w:ascii="Wingdings" w:hAnsi="Wingdings"/>
      </w:rPr>
    </w:lvl>
  </w:abstractNum>
  <w:abstractNum w:abstractNumId="643" w15:restartNumberingAfterBreak="0">
    <w:nsid w:val="72230745"/>
    <w:multiLevelType w:val="hybridMultilevel"/>
    <w:tmpl w:val="72230745"/>
    <w:lvl w:ilvl="0" w:tplc="10B44FB2">
      <w:start w:val="1"/>
      <w:numFmt w:val="bullet"/>
      <w:lvlText w:val=""/>
      <w:lvlJc w:val="left"/>
      <w:pPr>
        <w:ind w:left="720" w:hanging="360"/>
      </w:pPr>
      <w:rPr>
        <w:rFonts w:ascii="Symbol" w:hAnsi="Symbol"/>
      </w:rPr>
    </w:lvl>
    <w:lvl w:ilvl="1" w:tplc="DDBE5252">
      <w:start w:val="1"/>
      <w:numFmt w:val="bullet"/>
      <w:lvlText w:val="o"/>
      <w:lvlJc w:val="left"/>
      <w:pPr>
        <w:tabs>
          <w:tab w:val="num" w:pos="1440"/>
        </w:tabs>
        <w:ind w:left="1440" w:hanging="360"/>
      </w:pPr>
      <w:rPr>
        <w:rFonts w:ascii="Courier New" w:hAnsi="Courier New"/>
      </w:rPr>
    </w:lvl>
    <w:lvl w:ilvl="2" w:tplc="8C2AD0EA">
      <w:start w:val="1"/>
      <w:numFmt w:val="bullet"/>
      <w:lvlText w:val=""/>
      <w:lvlJc w:val="left"/>
      <w:pPr>
        <w:tabs>
          <w:tab w:val="num" w:pos="2160"/>
        </w:tabs>
        <w:ind w:left="2160" w:hanging="360"/>
      </w:pPr>
      <w:rPr>
        <w:rFonts w:ascii="Wingdings" w:hAnsi="Wingdings"/>
      </w:rPr>
    </w:lvl>
    <w:lvl w:ilvl="3" w:tplc="1BC6FD78">
      <w:start w:val="1"/>
      <w:numFmt w:val="bullet"/>
      <w:lvlText w:val=""/>
      <w:lvlJc w:val="left"/>
      <w:pPr>
        <w:tabs>
          <w:tab w:val="num" w:pos="2880"/>
        </w:tabs>
        <w:ind w:left="2880" w:hanging="360"/>
      </w:pPr>
      <w:rPr>
        <w:rFonts w:ascii="Symbol" w:hAnsi="Symbol"/>
      </w:rPr>
    </w:lvl>
    <w:lvl w:ilvl="4" w:tplc="83D4DDA6">
      <w:start w:val="1"/>
      <w:numFmt w:val="bullet"/>
      <w:lvlText w:val="o"/>
      <w:lvlJc w:val="left"/>
      <w:pPr>
        <w:tabs>
          <w:tab w:val="num" w:pos="3600"/>
        </w:tabs>
        <w:ind w:left="3600" w:hanging="360"/>
      </w:pPr>
      <w:rPr>
        <w:rFonts w:ascii="Courier New" w:hAnsi="Courier New"/>
      </w:rPr>
    </w:lvl>
    <w:lvl w:ilvl="5" w:tplc="BB147AE4">
      <w:start w:val="1"/>
      <w:numFmt w:val="bullet"/>
      <w:lvlText w:val=""/>
      <w:lvlJc w:val="left"/>
      <w:pPr>
        <w:tabs>
          <w:tab w:val="num" w:pos="4320"/>
        </w:tabs>
        <w:ind w:left="4320" w:hanging="360"/>
      </w:pPr>
      <w:rPr>
        <w:rFonts w:ascii="Wingdings" w:hAnsi="Wingdings"/>
      </w:rPr>
    </w:lvl>
    <w:lvl w:ilvl="6" w:tplc="FCCCCB58">
      <w:start w:val="1"/>
      <w:numFmt w:val="bullet"/>
      <w:lvlText w:val=""/>
      <w:lvlJc w:val="left"/>
      <w:pPr>
        <w:tabs>
          <w:tab w:val="num" w:pos="5040"/>
        </w:tabs>
        <w:ind w:left="5040" w:hanging="360"/>
      </w:pPr>
      <w:rPr>
        <w:rFonts w:ascii="Symbol" w:hAnsi="Symbol"/>
      </w:rPr>
    </w:lvl>
    <w:lvl w:ilvl="7" w:tplc="86A8818A">
      <w:start w:val="1"/>
      <w:numFmt w:val="bullet"/>
      <w:lvlText w:val="o"/>
      <w:lvlJc w:val="left"/>
      <w:pPr>
        <w:tabs>
          <w:tab w:val="num" w:pos="5760"/>
        </w:tabs>
        <w:ind w:left="5760" w:hanging="360"/>
      </w:pPr>
      <w:rPr>
        <w:rFonts w:ascii="Courier New" w:hAnsi="Courier New"/>
      </w:rPr>
    </w:lvl>
    <w:lvl w:ilvl="8" w:tplc="0854C92A">
      <w:start w:val="1"/>
      <w:numFmt w:val="bullet"/>
      <w:lvlText w:val=""/>
      <w:lvlJc w:val="left"/>
      <w:pPr>
        <w:tabs>
          <w:tab w:val="num" w:pos="6480"/>
        </w:tabs>
        <w:ind w:left="6480" w:hanging="360"/>
      </w:pPr>
      <w:rPr>
        <w:rFonts w:ascii="Wingdings" w:hAnsi="Wingdings"/>
      </w:rPr>
    </w:lvl>
  </w:abstractNum>
  <w:abstractNum w:abstractNumId="644" w15:restartNumberingAfterBreak="0">
    <w:nsid w:val="72230746"/>
    <w:multiLevelType w:val="hybridMultilevel"/>
    <w:tmpl w:val="72230746"/>
    <w:lvl w:ilvl="0" w:tplc="1310BCEA">
      <w:start w:val="1"/>
      <w:numFmt w:val="bullet"/>
      <w:lvlText w:val=""/>
      <w:lvlJc w:val="left"/>
      <w:pPr>
        <w:ind w:left="720" w:hanging="360"/>
      </w:pPr>
      <w:rPr>
        <w:rFonts w:ascii="Symbol" w:hAnsi="Symbol"/>
      </w:rPr>
    </w:lvl>
    <w:lvl w:ilvl="1" w:tplc="0088BCDE">
      <w:start w:val="1"/>
      <w:numFmt w:val="bullet"/>
      <w:lvlText w:val="o"/>
      <w:lvlJc w:val="left"/>
      <w:pPr>
        <w:tabs>
          <w:tab w:val="num" w:pos="1440"/>
        </w:tabs>
        <w:ind w:left="1440" w:hanging="360"/>
      </w:pPr>
      <w:rPr>
        <w:rFonts w:ascii="Courier New" w:hAnsi="Courier New"/>
      </w:rPr>
    </w:lvl>
    <w:lvl w:ilvl="2" w:tplc="4B9E5F0C">
      <w:start w:val="1"/>
      <w:numFmt w:val="bullet"/>
      <w:lvlText w:val=""/>
      <w:lvlJc w:val="left"/>
      <w:pPr>
        <w:tabs>
          <w:tab w:val="num" w:pos="2160"/>
        </w:tabs>
        <w:ind w:left="2160" w:hanging="360"/>
      </w:pPr>
      <w:rPr>
        <w:rFonts w:ascii="Wingdings" w:hAnsi="Wingdings"/>
      </w:rPr>
    </w:lvl>
    <w:lvl w:ilvl="3" w:tplc="E98AFE0C">
      <w:start w:val="1"/>
      <w:numFmt w:val="bullet"/>
      <w:lvlText w:val=""/>
      <w:lvlJc w:val="left"/>
      <w:pPr>
        <w:tabs>
          <w:tab w:val="num" w:pos="2880"/>
        </w:tabs>
        <w:ind w:left="2880" w:hanging="360"/>
      </w:pPr>
      <w:rPr>
        <w:rFonts w:ascii="Symbol" w:hAnsi="Symbol"/>
      </w:rPr>
    </w:lvl>
    <w:lvl w:ilvl="4" w:tplc="CD90895A">
      <w:start w:val="1"/>
      <w:numFmt w:val="bullet"/>
      <w:lvlText w:val="o"/>
      <w:lvlJc w:val="left"/>
      <w:pPr>
        <w:tabs>
          <w:tab w:val="num" w:pos="3600"/>
        </w:tabs>
        <w:ind w:left="3600" w:hanging="360"/>
      </w:pPr>
      <w:rPr>
        <w:rFonts w:ascii="Courier New" w:hAnsi="Courier New"/>
      </w:rPr>
    </w:lvl>
    <w:lvl w:ilvl="5" w:tplc="B1EAEFCE">
      <w:start w:val="1"/>
      <w:numFmt w:val="bullet"/>
      <w:lvlText w:val=""/>
      <w:lvlJc w:val="left"/>
      <w:pPr>
        <w:tabs>
          <w:tab w:val="num" w:pos="4320"/>
        </w:tabs>
        <w:ind w:left="4320" w:hanging="360"/>
      </w:pPr>
      <w:rPr>
        <w:rFonts w:ascii="Wingdings" w:hAnsi="Wingdings"/>
      </w:rPr>
    </w:lvl>
    <w:lvl w:ilvl="6" w:tplc="5AB2D028">
      <w:start w:val="1"/>
      <w:numFmt w:val="bullet"/>
      <w:lvlText w:val=""/>
      <w:lvlJc w:val="left"/>
      <w:pPr>
        <w:tabs>
          <w:tab w:val="num" w:pos="5040"/>
        </w:tabs>
        <w:ind w:left="5040" w:hanging="360"/>
      </w:pPr>
      <w:rPr>
        <w:rFonts w:ascii="Symbol" w:hAnsi="Symbol"/>
      </w:rPr>
    </w:lvl>
    <w:lvl w:ilvl="7" w:tplc="3836CBCC">
      <w:start w:val="1"/>
      <w:numFmt w:val="bullet"/>
      <w:lvlText w:val="o"/>
      <w:lvlJc w:val="left"/>
      <w:pPr>
        <w:tabs>
          <w:tab w:val="num" w:pos="5760"/>
        </w:tabs>
        <w:ind w:left="5760" w:hanging="360"/>
      </w:pPr>
      <w:rPr>
        <w:rFonts w:ascii="Courier New" w:hAnsi="Courier New"/>
      </w:rPr>
    </w:lvl>
    <w:lvl w:ilvl="8" w:tplc="FAC63B34">
      <w:start w:val="1"/>
      <w:numFmt w:val="bullet"/>
      <w:lvlText w:val=""/>
      <w:lvlJc w:val="left"/>
      <w:pPr>
        <w:tabs>
          <w:tab w:val="num" w:pos="6480"/>
        </w:tabs>
        <w:ind w:left="6480" w:hanging="360"/>
      </w:pPr>
      <w:rPr>
        <w:rFonts w:ascii="Wingdings" w:hAnsi="Wingdings"/>
      </w:rPr>
    </w:lvl>
  </w:abstractNum>
  <w:abstractNum w:abstractNumId="645" w15:restartNumberingAfterBreak="0">
    <w:nsid w:val="72230747"/>
    <w:multiLevelType w:val="hybridMultilevel"/>
    <w:tmpl w:val="72230747"/>
    <w:lvl w:ilvl="0" w:tplc="E1981FF8">
      <w:start w:val="1"/>
      <w:numFmt w:val="bullet"/>
      <w:lvlText w:val=""/>
      <w:lvlJc w:val="left"/>
      <w:pPr>
        <w:ind w:left="720" w:hanging="360"/>
      </w:pPr>
      <w:rPr>
        <w:rFonts w:ascii="Symbol" w:hAnsi="Symbol"/>
      </w:rPr>
    </w:lvl>
    <w:lvl w:ilvl="1" w:tplc="C7DE4180">
      <w:start w:val="1"/>
      <w:numFmt w:val="bullet"/>
      <w:lvlText w:val="o"/>
      <w:lvlJc w:val="left"/>
      <w:pPr>
        <w:tabs>
          <w:tab w:val="num" w:pos="1440"/>
        </w:tabs>
        <w:ind w:left="1440" w:hanging="360"/>
      </w:pPr>
      <w:rPr>
        <w:rFonts w:ascii="Courier New" w:hAnsi="Courier New"/>
      </w:rPr>
    </w:lvl>
    <w:lvl w:ilvl="2" w:tplc="15523640">
      <w:start w:val="1"/>
      <w:numFmt w:val="bullet"/>
      <w:lvlText w:val=""/>
      <w:lvlJc w:val="left"/>
      <w:pPr>
        <w:tabs>
          <w:tab w:val="num" w:pos="2160"/>
        </w:tabs>
        <w:ind w:left="2160" w:hanging="360"/>
      </w:pPr>
      <w:rPr>
        <w:rFonts w:ascii="Wingdings" w:hAnsi="Wingdings"/>
      </w:rPr>
    </w:lvl>
    <w:lvl w:ilvl="3" w:tplc="A2982D8A">
      <w:start w:val="1"/>
      <w:numFmt w:val="bullet"/>
      <w:lvlText w:val=""/>
      <w:lvlJc w:val="left"/>
      <w:pPr>
        <w:tabs>
          <w:tab w:val="num" w:pos="2880"/>
        </w:tabs>
        <w:ind w:left="2880" w:hanging="360"/>
      </w:pPr>
      <w:rPr>
        <w:rFonts w:ascii="Symbol" w:hAnsi="Symbol"/>
      </w:rPr>
    </w:lvl>
    <w:lvl w:ilvl="4" w:tplc="8312E5DC">
      <w:start w:val="1"/>
      <w:numFmt w:val="bullet"/>
      <w:lvlText w:val="o"/>
      <w:lvlJc w:val="left"/>
      <w:pPr>
        <w:tabs>
          <w:tab w:val="num" w:pos="3600"/>
        </w:tabs>
        <w:ind w:left="3600" w:hanging="360"/>
      </w:pPr>
      <w:rPr>
        <w:rFonts w:ascii="Courier New" w:hAnsi="Courier New"/>
      </w:rPr>
    </w:lvl>
    <w:lvl w:ilvl="5" w:tplc="B6927604">
      <w:start w:val="1"/>
      <w:numFmt w:val="bullet"/>
      <w:lvlText w:val=""/>
      <w:lvlJc w:val="left"/>
      <w:pPr>
        <w:tabs>
          <w:tab w:val="num" w:pos="4320"/>
        </w:tabs>
        <w:ind w:left="4320" w:hanging="360"/>
      </w:pPr>
      <w:rPr>
        <w:rFonts w:ascii="Wingdings" w:hAnsi="Wingdings"/>
      </w:rPr>
    </w:lvl>
    <w:lvl w:ilvl="6" w:tplc="F29CD88E">
      <w:start w:val="1"/>
      <w:numFmt w:val="bullet"/>
      <w:lvlText w:val=""/>
      <w:lvlJc w:val="left"/>
      <w:pPr>
        <w:tabs>
          <w:tab w:val="num" w:pos="5040"/>
        </w:tabs>
        <w:ind w:left="5040" w:hanging="360"/>
      </w:pPr>
      <w:rPr>
        <w:rFonts w:ascii="Symbol" w:hAnsi="Symbol"/>
      </w:rPr>
    </w:lvl>
    <w:lvl w:ilvl="7" w:tplc="3DD6CD6A">
      <w:start w:val="1"/>
      <w:numFmt w:val="bullet"/>
      <w:lvlText w:val="o"/>
      <w:lvlJc w:val="left"/>
      <w:pPr>
        <w:tabs>
          <w:tab w:val="num" w:pos="5760"/>
        </w:tabs>
        <w:ind w:left="5760" w:hanging="360"/>
      </w:pPr>
      <w:rPr>
        <w:rFonts w:ascii="Courier New" w:hAnsi="Courier New"/>
      </w:rPr>
    </w:lvl>
    <w:lvl w:ilvl="8" w:tplc="DB8E6370">
      <w:start w:val="1"/>
      <w:numFmt w:val="bullet"/>
      <w:lvlText w:val=""/>
      <w:lvlJc w:val="left"/>
      <w:pPr>
        <w:tabs>
          <w:tab w:val="num" w:pos="6480"/>
        </w:tabs>
        <w:ind w:left="6480" w:hanging="360"/>
      </w:pPr>
      <w:rPr>
        <w:rFonts w:ascii="Wingdings" w:hAnsi="Wingdings"/>
      </w:rPr>
    </w:lvl>
  </w:abstractNum>
  <w:abstractNum w:abstractNumId="646" w15:restartNumberingAfterBreak="0">
    <w:nsid w:val="72230748"/>
    <w:multiLevelType w:val="hybridMultilevel"/>
    <w:tmpl w:val="72230748"/>
    <w:lvl w:ilvl="0" w:tplc="66761804">
      <w:start w:val="1"/>
      <w:numFmt w:val="bullet"/>
      <w:lvlText w:val=""/>
      <w:lvlJc w:val="left"/>
      <w:pPr>
        <w:ind w:left="720" w:hanging="360"/>
      </w:pPr>
      <w:rPr>
        <w:rFonts w:ascii="Symbol" w:hAnsi="Symbol"/>
      </w:rPr>
    </w:lvl>
    <w:lvl w:ilvl="1" w:tplc="909E6C34">
      <w:start w:val="1"/>
      <w:numFmt w:val="bullet"/>
      <w:lvlText w:val="o"/>
      <w:lvlJc w:val="left"/>
      <w:pPr>
        <w:tabs>
          <w:tab w:val="num" w:pos="1440"/>
        </w:tabs>
        <w:ind w:left="1440" w:hanging="360"/>
      </w:pPr>
      <w:rPr>
        <w:rFonts w:ascii="Courier New" w:hAnsi="Courier New"/>
      </w:rPr>
    </w:lvl>
    <w:lvl w:ilvl="2" w:tplc="7AF44E0E">
      <w:start w:val="1"/>
      <w:numFmt w:val="bullet"/>
      <w:lvlText w:val=""/>
      <w:lvlJc w:val="left"/>
      <w:pPr>
        <w:tabs>
          <w:tab w:val="num" w:pos="2160"/>
        </w:tabs>
        <w:ind w:left="2160" w:hanging="360"/>
      </w:pPr>
      <w:rPr>
        <w:rFonts w:ascii="Wingdings" w:hAnsi="Wingdings"/>
      </w:rPr>
    </w:lvl>
    <w:lvl w:ilvl="3" w:tplc="EBBC27B8">
      <w:start w:val="1"/>
      <w:numFmt w:val="bullet"/>
      <w:lvlText w:val=""/>
      <w:lvlJc w:val="left"/>
      <w:pPr>
        <w:tabs>
          <w:tab w:val="num" w:pos="2880"/>
        </w:tabs>
        <w:ind w:left="2880" w:hanging="360"/>
      </w:pPr>
      <w:rPr>
        <w:rFonts w:ascii="Symbol" w:hAnsi="Symbol"/>
      </w:rPr>
    </w:lvl>
    <w:lvl w:ilvl="4" w:tplc="29864694">
      <w:start w:val="1"/>
      <w:numFmt w:val="bullet"/>
      <w:lvlText w:val="o"/>
      <w:lvlJc w:val="left"/>
      <w:pPr>
        <w:tabs>
          <w:tab w:val="num" w:pos="3600"/>
        </w:tabs>
        <w:ind w:left="3600" w:hanging="360"/>
      </w:pPr>
      <w:rPr>
        <w:rFonts w:ascii="Courier New" w:hAnsi="Courier New"/>
      </w:rPr>
    </w:lvl>
    <w:lvl w:ilvl="5" w:tplc="1C986AB8">
      <w:start w:val="1"/>
      <w:numFmt w:val="bullet"/>
      <w:lvlText w:val=""/>
      <w:lvlJc w:val="left"/>
      <w:pPr>
        <w:tabs>
          <w:tab w:val="num" w:pos="4320"/>
        </w:tabs>
        <w:ind w:left="4320" w:hanging="360"/>
      </w:pPr>
      <w:rPr>
        <w:rFonts w:ascii="Wingdings" w:hAnsi="Wingdings"/>
      </w:rPr>
    </w:lvl>
    <w:lvl w:ilvl="6" w:tplc="7108A210">
      <w:start w:val="1"/>
      <w:numFmt w:val="bullet"/>
      <w:lvlText w:val=""/>
      <w:lvlJc w:val="left"/>
      <w:pPr>
        <w:tabs>
          <w:tab w:val="num" w:pos="5040"/>
        </w:tabs>
        <w:ind w:left="5040" w:hanging="360"/>
      </w:pPr>
      <w:rPr>
        <w:rFonts w:ascii="Symbol" w:hAnsi="Symbol"/>
      </w:rPr>
    </w:lvl>
    <w:lvl w:ilvl="7" w:tplc="A75C1CAC">
      <w:start w:val="1"/>
      <w:numFmt w:val="bullet"/>
      <w:lvlText w:val="o"/>
      <w:lvlJc w:val="left"/>
      <w:pPr>
        <w:tabs>
          <w:tab w:val="num" w:pos="5760"/>
        </w:tabs>
        <w:ind w:left="5760" w:hanging="360"/>
      </w:pPr>
      <w:rPr>
        <w:rFonts w:ascii="Courier New" w:hAnsi="Courier New"/>
      </w:rPr>
    </w:lvl>
    <w:lvl w:ilvl="8" w:tplc="3984CD16">
      <w:start w:val="1"/>
      <w:numFmt w:val="bullet"/>
      <w:lvlText w:val=""/>
      <w:lvlJc w:val="left"/>
      <w:pPr>
        <w:tabs>
          <w:tab w:val="num" w:pos="6480"/>
        </w:tabs>
        <w:ind w:left="6480" w:hanging="360"/>
      </w:pPr>
      <w:rPr>
        <w:rFonts w:ascii="Wingdings" w:hAnsi="Wingdings"/>
      </w:rPr>
    </w:lvl>
  </w:abstractNum>
  <w:abstractNum w:abstractNumId="647" w15:restartNumberingAfterBreak="0">
    <w:nsid w:val="72230749"/>
    <w:multiLevelType w:val="hybridMultilevel"/>
    <w:tmpl w:val="72230749"/>
    <w:lvl w:ilvl="0" w:tplc="D5FA57B6">
      <w:start w:val="1"/>
      <w:numFmt w:val="bullet"/>
      <w:lvlText w:val=""/>
      <w:lvlJc w:val="left"/>
      <w:pPr>
        <w:tabs>
          <w:tab w:val="num" w:pos="720"/>
        </w:tabs>
        <w:ind w:left="720" w:hanging="360"/>
      </w:pPr>
      <w:rPr>
        <w:rFonts w:ascii="Symbol" w:hAnsi="Symbol"/>
      </w:rPr>
    </w:lvl>
    <w:lvl w:ilvl="1" w:tplc="6C22B4CA">
      <w:start w:val="1"/>
      <w:numFmt w:val="bullet"/>
      <w:lvlText w:val="o"/>
      <w:lvlJc w:val="left"/>
      <w:pPr>
        <w:tabs>
          <w:tab w:val="num" w:pos="1440"/>
        </w:tabs>
        <w:ind w:left="1440" w:hanging="360"/>
      </w:pPr>
      <w:rPr>
        <w:rFonts w:ascii="Courier New" w:hAnsi="Courier New"/>
      </w:rPr>
    </w:lvl>
    <w:lvl w:ilvl="2" w:tplc="1E308010">
      <w:start w:val="1"/>
      <w:numFmt w:val="bullet"/>
      <w:lvlText w:val=""/>
      <w:lvlJc w:val="left"/>
      <w:pPr>
        <w:tabs>
          <w:tab w:val="num" w:pos="2160"/>
        </w:tabs>
        <w:ind w:left="2160" w:hanging="360"/>
      </w:pPr>
      <w:rPr>
        <w:rFonts w:ascii="Wingdings" w:hAnsi="Wingdings"/>
      </w:rPr>
    </w:lvl>
    <w:lvl w:ilvl="3" w:tplc="8662C046">
      <w:start w:val="1"/>
      <w:numFmt w:val="bullet"/>
      <w:lvlText w:val=""/>
      <w:lvlJc w:val="left"/>
      <w:pPr>
        <w:tabs>
          <w:tab w:val="num" w:pos="2880"/>
        </w:tabs>
        <w:ind w:left="2880" w:hanging="360"/>
      </w:pPr>
      <w:rPr>
        <w:rFonts w:ascii="Symbol" w:hAnsi="Symbol"/>
      </w:rPr>
    </w:lvl>
    <w:lvl w:ilvl="4" w:tplc="D31C982A">
      <w:start w:val="1"/>
      <w:numFmt w:val="bullet"/>
      <w:lvlText w:val="o"/>
      <w:lvlJc w:val="left"/>
      <w:pPr>
        <w:tabs>
          <w:tab w:val="num" w:pos="3600"/>
        </w:tabs>
        <w:ind w:left="3600" w:hanging="360"/>
      </w:pPr>
      <w:rPr>
        <w:rFonts w:ascii="Courier New" w:hAnsi="Courier New"/>
      </w:rPr>
    </w:lvl>
    <w:lvl w:ilvl="5" w:tplc="02C0FE7C">
      <w:start w:val="1"/>
      <w:numFmt w:val="bullet"/>
      <w:lvlText w:val=""/>
      <w:lvlJc w:val="left"/>
      <w:pPr>
        <w:tabs>
          <w:tab w:val="num" w:pos="4320"/>
        </w:tabs>
        <w:ind w:left="4320" w:hanging="360"/>
      </w:pPr>
      <w:rPr>
        <w:rFonts w:ascii="Wingdings" w:hAnsi="Wingdings"/>
      </w:rPr>
    </w:lvl>
    <w:lvl w:ilvl="6" w:tplc="A8F42E36">
      <w:start w:val="1"/>
      <w:numFmt w:val="bullet"/>
      <w:lvlText w:val=""/>
      <w:lvlJc w:val="left"/>
      <w:pPr>
        <w:tabs>
          <w:tab w:val="num" w:pos="5040"/>
        </w:tabs>
        <w:ind w:left="5040" w:hanging="360"/>
      </w:pPr>
      <w:rPr>
        <w:rFonts w:ascii="Symbol" w:hAnsi="Symbol"/>
      </w:rPr>
    </w:lvl>
    <w:lvl w:ilvl="7" w:tplc="25E87944">
      <w:start w:val="1"/>
      <w:numFmt w:val="bullet"/>
      <w:lvlText w:val="o"/>
      <w:lvlJc w:val="left"/>
      <w:pPr>
        <w:tabs>
          <w:tab w:val="num" w:pos="5760"/>
        </w:tabs>
        <w:ind w:left="5760" w:hanging="360"/>
      </w:pPr>
      <w:rPr>
        <w:rFonts w:ascii="Courier New" w:hAnsi="Courier New"/>
      </w:rPr>
    </w:lvl>
    <w:lvl w:ilvl="8" w:tplc="A636161A">
      <w:start w:val="1"/>
      <w:numFmt w:val="bullet"/>
      <w:lvlText w:val=""/>
      <w:lvlJc w:val="left"/>
      <w:pPr>
        <w:tabs>
          <w:tab w:val="num" w:pos="6480"/>
        </w:tabs>
        <w:ind w:left="6480" w:hanging="360"/>
      </w:pPr>
      <w:rPr>
        <w:rFonts w:ascii="Wingdings" w:hAnsi="Wingdings"/>
      </w:rPr>
    </w:lvl>
  </w:abstractNum>
  <w:abstractNum w:abstractNumId="648" w15:restartNumberingAfterBreak="0">
    <w:nsid w:val="7223074A"/>
    <w:multiLevelType w:val="hybridMultilevel"/>
    <w:tmpl w:val="7223074A"/>
    <w:lvl w:ilvl="0" w:tplc="5F8CE270">
      <w:start w:val="1"/>
      <w:numFmt w:val="bullet"/>
      <w:lvlText w:val=""/>
      <w:lvlJc w:val="left"/>
      <w:pPr>
        <w:ind w:left="720" w:hanging="360"/>
      </w:pPr>
      <w:rPr>
        <w:rFonts w:ascii="Symbol" w:hAnsi="Symbol"/>
      </w:rPr>
    </w:lvl>
    <w:lvl w:ilvl="1" w:tplc="5E4AC79E">
      <w:start w:val="1"/>
      <w:numFmt w:val="bullet"/>
      <w:lvlText w:val="o"/>
      <w:lvlJc w:val="left"/>
      <w:pPr>
        <w:tabs>
          <w:tab w:val="num" w:pos="1440"/>
        </w:tabs>
        <w:ind w:left="1440" w:hanging="360"/>
      </w:pPr>
      <w:rPr>
        <w:rFonts w:ascii="Courier New" w:hAnsi="Courier New"/>
      </w:rPr>
    </w:lvl>
    <w:lvl w:ilvl="2" w:tplc="7206CA4A">
      <w:start w:val="1"/>
      <w:numFmt w:val="bullet"/>
      <w:lvlText w:val=""/>
      <w:lvlJc w:val="left"/>
      <w:pPr>
        <w:tabs>
          <w:tab w:val="num" w:pos="2160"/>
        </w:tabs>
        <w:ind w:left="2160" w:hanging="360"/>
      </w:pPr>
      <w:rPr>
        <w:rFonts w:ascii="Wingdings" w:hAnsi="Wingdings"/>
      </w:rPr>
    </w:lvl>
    <w:lvl w:ilvl="3" w:tplc="1CB8235C">
      <w:start w:val="1"/>
      <w:numFmt w:val="bullet"/>
      <w:lvlText w:val=""/>
      <w:lvlJc w:val="left"/>
      <w:pPr>
        <w:tabs>
          <w:tab w:val="num" w:pos="2880"/>
        </w:tabs>
        <w:ind w:left="2880" w:hanging="360"/>
      </w:pPr>
      <w:rPr>
        <w:rFonts w:ascii="Symbol" w:hAnsi="Symbol"/>
      </w:rPr>
    </w:lvl>
    <w:lvl w:ilvl="4" w:tplc="0BF2A370">
      <w:start w:val="1"/>
      <w:numFmt w:val="bullet"/>
      <w:lvlText w:val="o"/>
      <w:lvlJc w:val="left"/>
      <w:pPr>
        <w:tabs>
          <w:tab w:val="num" w:pos="3600"/>
        </w:tabs>
        <w:ind w:left="3600" w:hanging="360"/>
      </w:pPr>
      <w:rPr>
        <w:rFonts w:ascii="Courier New" w:hAnsi="Courier New"/>
      </w:rPr>
    </w:lvl>
    <w:lvl w:ilvl="5" w:tplc="95BCD3F0">
      <w:start w:val="1"/>
      <w:numFmt w:val="bullet"/>
      <w:lvlText w:val=""/>
      <w:lvlJc w:val="left"/>
      <w:pPr>
        <w:tabs>
          <w:tab w:val="num" w:pos="4320"/>
        </w:tabs>
        <w:ind w:left="4320" w:hanging="360"/>
      </w:pPr>
      <w:rPr>
        <w:rFonts w:ascii="Wingdings" w:hAnsi="Wingdings"/>
      </w:rPr>
    </w:lvl>
    <w:lvl w:ilvl="6" w:tplc="32764556">
      <w:start w:val="1"/>
      <w:numFmt w:val="bullet"/>
      <w:lvlText w:val=""/>
      <w:lvlJc w:val="left"/>
      <w:pPr>
        <w:tabs>
          <w:tab w:val="num" w:pos="5040"/>
        </w:tabs>
        <w:ind w:left="5040" w:hanging="360"/>
      </w:pPr>
      <w:rPr>
        <w:rFonts w:ascii="Symbol" w:hAnsi="Symbol"/>
      </w:rPr>
    </w:lvl>
    <w:lvl w:ilvl="7" w:tplc="4684BAE4">
      <w:start w:val="1"/>
      <w:numFmt w:val="bullet"/>
      <w:lvlText w:val="o"/>
      <w:lvlJc w:val="left"/>
      <w:pPr>
        <w:tabs>
          <w:tab w:val="num" w:pos="5760"/>
        </w:tabs>
        <w:ind w:left="5760" w:hanging="360"/>
      </w:pPr>
      <w:rPr>
        <w:rFonts w:ascii="Courier New" w:hAnsi="Courier New"/>
      </w:rPr>
    </w:lvl>
    <w:lvl w:ilvl="8" w:tplc="2E689588">
      <w:start w:val="1"/>
      <w:numFmt w:val="bullet"/>
      <w:lvlText w:val=""/>
      <w:lvlJc w:val="left"/>
      <w:pPr>
        <w:tabs>
          <w:tab w:val="num" w:pos="6480"/>
        </w:tabs>
        <w:ind w:left="6480" w:hanging="360"/>
      </w:pPr>
      <w:rPr>
        <w:rFonts w:ascii="Wingdings" w:hAnsi="Wingdings"/>
      </w:rPr>
    </w:lvl>
  </w:abstractNum>
  <w:abstractNum w:abstractNumId="649" w15:restartNumberingAfterBreak="0">
    <w:nsid w:val="7223074B"/>
    <w:multiLevelType w:val="hybridMultilevel"/>
    <w:tmpl w:val="7223074B"/>
    <w:lvl w:ilvl="0" w:tplc="F72C01D8">
      <w:start w:val="1"/>
      <w:numFmt w:val="bullet"/>
      <w:lvlText w:val=""/>
      <w:lvlJc w:val="left"/>
      <w:pPr>
        <w:ind w:left="720" w:hanging="360"/>
      </w:pPr>
      <w:rPr>
        <w:rFonts w:ascii="Symbol" w:hAnsi="Symbol"/>
      </w:rPr>
    </w:lvl>
    <w:lvl w:ilvl="1" w:tplc="0C7EB114">
      <w:start w:val="1"/>
      <w:numFmt w:val="bullet"/>
      <w:lvlText w:val="o"/>
      <w:lvlJc w:val="left"/>
      <w:pPr>
        <w:tabs>
          <w:tab w:val="num" w:pos="1440"/>
        </w:tabs>
        <w:ind w:left="1440" w:hanging="360"/>
      </w:pPr>
      <w:rPr>
        <w:rFonts w:ascii="Courier New" w:hAnsi="Courier New"/>
      </w:rPr>
    </w:lvl>
    <w:lvl w:ilvl="2" w:tplc="F212381A">
      <w:start w:val="1"/>
      <w:numFmt w:val="bullet"/>
      <w:lvlText w:val=""/>
      <w:lvlJc w:val="left"/>
      <w:pPr>
        <w:tabs>
          <w:tab w:val="num" w:pos="2160"/>
        </w:tabs>
        <w:ind w:left="2160" w:hanging="360"/>
      </w:pPr>
      <w:rPr>
        <w:rFonts w:ascii="Wingdings" w:hAnsi="Wingdings"/>
      </w:rPr>
    </w:lvl>
    <w:lvl w:ilvl="3" w:tplc="BB10E17A">
      <w:start w:val="1"/>
      <w:numFmt w:val="bullet"/>
      <w:lvlText w:val=""/>
      <w:lvlJc w:val="left"/>
      <w:pPr>
        <w:tabs>
          <w:tab w:val="num" w:pos="2880"/>
        </w:tabs>
        <w:ind w:left="2880" w:hanging="360"/>
      </w:pPr>
      <w:rPr>
        <w:rFonts w:ascii="Symbol" w:hAnsi="Symbol"/>
      </w:rPr>
    </w:lvl>
    <w:lvl w:ilvl="4" w:tplc="A728424C">
      <w:start w:val="1"/>
      <w:numFmt w:val="bullet"/>
      <w:lvlText w:val="o"/>
      <w:lvlJc w:val="left"/>
      <w:pPr>
        <w:tabs>
          <w:tab w:val="num" w:pos="3600"/>
        </w:tabs>
        <w:ind w:left="3600" w:hanging="360"/>
      </w:pPr>
      <w:rPr>
        <w:rFonts w:ascii="Courier New" w:hAnsi="Courier New"/>
      </w:rPr>
    </w:lvl>
    <w:lvl w:ilvl="5" w:tplc="ED521F4E">
      <w:start w:val="1"/>
      <w:numFmt w:val="bullet"/>
      <w:lvlText w:val=""/>
      <w:lvlJc w:val="left"/>
      <w:pPr>
        <w:tabs>
          <w:tab w:val="num" w:pos="4320"/>
        </w:tabs>
        <w:ind w:left="4320" w:hanging="360"/>
      </w:pPr>
      <w:rPr>
        <w:rFonts w:ascii="Wingdings" w:hAnsi="Wingdings"/>
      </w:rPr>
    </w:lvl>
    <w:lvl w:ilvl="6" w:tplc="66A42364">
      <w:start w:val="1"/>
      <w:numFmt w:val="bullet"/>
      <w:lvlText w:val=""/>
      <w:lvlJc w:val="left"/>
      <w:pPr>
        <w:tabs>
          <w:tab w:val="num" w:pos="5040"/>
        </w:tabs>
        <w:ind w:left="5040" w:hanging="360"/>
      </w:pPr>
      <w:rPr>
        <w:rFonts w:ascii="Symbol" w:hAnsi="Symbol"/>
      </w:rPr>
    </w:lvl>
    <w:lvl w:ilvl="7" w:tplc="0CE64882">
      <w:start w:val="1"/>
      <w:numFmt w:val="bullet"/>
      <w:lvlText w:val="o"/>
      <w:lvlJc w:val="left"/>
      <w:pPr>
        <w:tabs>
          <w:tab w:val="num" w:pos="5760"/>
        </w:tabs>
        <w:ind w:left="5760" w:hanging="360"/>
      </w:pPr>
      <w:rPr>
        <w:rFonts w:ascii="Courier New" w:hAnsi="Courier New"/>
      </w:rPr>
    </w:lvl>
    <w:lvl w:ilvl="8" w:tplc="20B06F98">
      <w:start w:val="1"/>
      <w:numFmt w:val="bullet"/>
      <w:lvlText w:val=""/>
      <w:lvlJc w:val="left"/>
      <w:pPr>
        <w:tabs>
          <w:tab w:val="num" w:pos="6480"/>
        </w:tabs>
        <w:ind w:left="6480" w:hanging="360"/>
      </w:pPr>
      <w:rPr>
        <w:rFonts w:ascii="Wingdings" w:hAnsi="Wingdings"/>
      </w:rPr>
    </w:lvl>
  </w:abstractNum>
  <w:abstractNum w:abstractNumId="650" w15:restartNumberingAfterBreak="0">
    <w:nsid w:val="7223074C"/>
    <w:multiLevelType w:val="hybridMultilevel"/>
    <w:tmpl w:val="7223074C"/>
    <w:lvl w:ilvl="0" w:tplc="1DFC9520">
      <w:start w:val="1"/>
      <w:numFmt w:val="bullet"/>
      <w:lvlText w:val=""/>
      <w:lvlJc w:val="left"/>
      <w:pPr>
        <w:ind w:left="720" w:hanging="360"/>
      </w:pPr>
      <w:rPr>
        <w:rFonts w:ascii="Symbol" w:hAnsi="Symbol"/>
      </w:rPr>
    </w:lvl>
    <w:lvl w:ilvl="1" w:tplc="698C8908">
      <w:start w:val="1"/>
      <w:numFmt w:val="bullet"/>
      <w:lvlText w:val="o"/>
      <w:lvlJc w:val="left"/>
      <w:pPr>
        <w:tabs>
          <w:tab w:val="num" w:pos="1440"/>
        </w:tabs>
        <w:ind w:left="1440" w:hanging="360"/>
      </w:pPr>
      <w:rPr>
        <w:rFonts w:ascii="Courier New" w:hAnsi="Courier New"/>
      </w:rPr>
    </w:lvl>
    <w:lvl w:ilvl="2" w:tplc="7FD0E9A2">
      <w:start w:val="1"/>
      <w:numFmt w:val="bullet"/>
      <w:lvlText w:val=""/>
      <w:lvlJc w:val="left"/>
      <w:pPr>
        <w:tabs>
          <w:tab w:val="num" w:pos="2160"/>
        </w:tabs>
        <w:ind w:left="2160" w:hanging="360"/>
      </w:pPr>
      <w:rPr>
        <w:rFonts w:ascii="Wingdings" w:hAnsi="Wingdings"/>
      </w:rPr>
    </w:lvl>
    <w:lvl w:ilvl="3" w:tplc="6A68B504">
      <w:start w:val="1"/>
      <w:numFmt w:val="bullet"/>
      <w:lvlText w:val=""/>
      <w:lvlJc w:val="left"/>
      <w:pPr>
        <w:tabs>
          <w:tab w:val="num" w:pos="2880"/>
        </w:tabs>
        <w:ind w:left="2880" w:hanging="360"/>
      </w:pPr>
      <w:rPr>
        <w:rFonts w:ascii="Symbol" w:hAnsi="Symbol"/>
      </w:rPr>
    </w:lvl>
    <w:lvl w:ilvl="4" w:tplc="1018CF1E">
      <w:start w:val="1"/>
      <w:numFmt w:val="bullet"/>
      <w:lvlText w:val="o"/>
      <w:lvlJc w:val="left"/>
      <w:pPr>
        <w:tabs>
          <w:tab w:val="num" w:pos="3600"/>
        </w:tabs>
        <w:ind w:left="3600" w:hanging="360"/>
      </w:pPr>
      <w:rPr>
        <w:rFonts w:ascii="Courier New" w:hAnsi="Courier New"/>
      </w:rPr>
    </w:lvl>
    <w:lvl w:ilvl="5" w:tplc="36DA9166">
      <w:start w:val="1"/>
      <w:numFmt w:val="bullet"/>
      <w:lvlText w:val=""/>
      <w:lvlJc w:val="left"/>
      <w:pPr>
        <w:tabs>
          <w:tab w:val="num" w:pos="4320"/>
        </w:tabs>
        <w:ind w:left="4320" w:hanging="360"/>
      </w:pPr>
      <w:rPr>
        <w:rFonts w:ascii="Wingdings" w:hAnsi="Wingdings"/>
      </w:rPr>
    </w:lvl>
    <w:lvl w:ilvl="6" w:tplc="6E1E0ABA">
      <w:start w:val="1"/>
      <w:numFmt w:val="bullet"/>
      <w:lvlText w:val=""/>
      <w:lvlJc w:val="left"/>
      <w:pPr>
        <w:tabs>
          <w:tab w:val="num" w:pos="5040"/>
        </w:tabs>
        <w:ind w:left="5040" w:hanging="360"/>
      </w:pPr>
      <w:rPr>
        <w:rFonts w:ascii="Symbol" w:hAnsi="Symbol"/>
      </w:rPr>
    </w:lvl>
    <w:lvl w:ilvl="7" w:tplc="F1A8719C">
      <w:start w:val="1"/>
      <w:numFmt w:val="bullet"/>
      <w:lvlText w:val="o"/>
      <w:lvlJc w:val="left"/>
      <w:pPr>
        <w:tabs>
          <w:tab w:val="num" w:pos="5760"/>
        </w:tabs>
        <w:ind w:left="5760" w:hanging="360"/>
      </w:pPr>
      <w:rPr>
        <w:rFonts w:ascii="Courier New" w:hAnsi="Courier New"/>
      </w:rPr>
    </w:lvl>
    <w:lvl w:ilvl="8" w:tplc="EF8ED602">
      <w:start w:val="1"/>
      <w:numFmt w:val="bullet"/>
      <w:lvlText w:val=""/>
      <w:lvlJc w:val="left"/>
      <w:pPr>
        <w:tabs>
          <w:tab w:val="num" w:pos="6480"/>
        </w:tabs>
        <w:ind w:left="6480" w:hanging="360"/>
      </w:pPr>
      <w:rPr>
        <w:rFonts w:ascii="Wingdings" w:hAnsi="Wingdings"/>
      </w:rPr>
    </w:lvl>
  </w:abstractNum>
  <w:abstractNum w:abstractNumId="651" w15:restartNumberingAfterBreak="0">
    <w:nsid w:val="7223074D"/>
    <w:multiLevelType w:val="hybridMultilevel"/>
    <w:tmpl w:val="7223074D"/>
    <w:lvl w:ilvl="0" w:tplc="ADB22AEA">
      <w:start w:val="1"/>
      <w:numFmt w:val="bullet"/>
      <w:lvlText w:val=""/>
      <w:lvlJc w:val="left"/>
      <w:pPr>
        <w:ind w:left="720" w:hanging="360"/>
      </w:pPr>
      <w:rPr>
        <w:rFonts w:ascii="Symbol" w:hAnsi="Symbol"/>
      </w:rPr>
    </w:lvl>
    <w:lvl w:ilvl="1" w:tplc="DBD29E92">
      <w:start w:val="1"/>
      <w:numFmt w:val="bullet"/>
      <w:lvlText w:val="o"/>
      <w:lvlJc w:val="left"/>
      <w:pPr>
        <w:tabs>
          <w:tab w:val="num" w:pos="1440"/>
        </w:tabs>
        <w:ind w:left="1440" w:hanging="360"/>
      </w:pPr>
      <w:rPr>
        <w:rFonts w:ascii="Courier New" w:hAnsi="Courier New"/>
      </w:rPr>
    </w:lvl>
    <w:lvl w:ilvl="2" w:tplc="D8605668">
      <w:start w:val="1"/>
      <w:numFmt w:val="bullet"/>
      <w:lvlText w:val=""/>
      <w:lvlJc w:val="left"/>
      <w:pPr>
        <w:tabs>
          <w:tab w:val="num" w:pos="2160"/>
        </w:tabs>
        <w:ind w:left="2160" w:hanging="360"/>
      </w:pPr>
      <w:rPr>
        <w:rFonts w:ascii="Wingdings" w:hAnsi="Wingdings"/>
      </w:rPr>
    </w:lvl>
    <w:lvl w:ilvl="3" w:tplc="26DC08C6">
      <w:start w:val="1"/>
      <w:numFmt w:val="bullet"/>
      <w:lvlText w:val=""/>
      <w:lvlJc w:val="left"/>
      <w:pPr>
        <w:tabs>
          <w:tab w:val="num" w:pos="2880"/>
        </w:tabs>
        <w:ind w:left="2880" w:hanging="360"/>
      </w:pPr>
      <w:rPr>
        <w:rFonts w:ascii="Symbol" w:hAnsi="Symbol"/>
      </w:rPr>
    </w:lvl>
    <w:lvl w:ilvl="4" w:tplc="F8C66282">
      <w:start w:val="1"/>
      <w:numFmt w:val="bullet"/>
      <w:lvlText w:val="o"/>
      <w:lvlJc w:val="left"/>
      <w:pPr>
        <w:tabs>
          <w:tab w:val="num" w:pos="3600"/>
        </w:tabs>
        <w:ind w:left="3600" w:hanging="360"/>
      </w:pPr>
      <w:rPr>
        <w:rFonts w:ascii="Courier New" w:hAnsi="Courier New"/>
      </w:rPr>
    </w:lvl>
    <w:lvl w:ilvl="5" w:tplc="B56435E8">
      <w:start w:val="1"/>
      <w:numFmt w:val="bullet"/>
      <w:lvlText w:val=""/>
      <w:lvlJc w:val="left"/>
      <w:pPr>
        <w:tabs>
          <w:tab w:val="num" w:pos="4320"/>
        </w:tabs>
        <w:ind w:left="4320" w:hanging="360"/>
      </w:pPr>
      <w:rPr>
        <w:rFonts w:ascii="Wingdings" w:hAnsi="Wingdings"/>
      </w:rPr>
    </w:lvl>
    <w:lvl w:ilvl="6" w:tplc="621EB846">
      <w:start w:val="1"/>
      <w:numFmt w:val="bullet"/>
      <w:lvlText w:val=""/>
      <w:lvlJc w:val="left"/>
      <w:pPr>
        <w:tabs>
          <w:tab w:val="num" w:pos="5040"/>
        </w:tabs>
        <w:ind w:left="5040" w:hanging="360"/>
      </w:pPr>
      <w:rPr>
        <w:rFonts w:ascii="Symbol" w:hAnsi="Symbol"/>
      </w:rPr>
    </w:lvl>
    <w:lvl w:ilvl="7" w:tplc="D900549C">
      <w:start w:val="1"/>
      <w:numFmt w:val="bullet"/>
      <w:lvlText w:val="o"/>
      <w:lvlJc w:val="left"/>
      <w:pPr>
        <w:tabs>
          <w:tab w:val="num" w:pos="5760"/>
        </w:tabs>
        <w:ind w:left="5760" w:hanging="360"/>
      </w:pPr>
      <w:rPr>
        <w:rFonts w:ascii="Courier New" w:hAnsi="Courier New"/>
      </w:rPr>
    </w:lvl>
    <w:lvl w:ilvl="8" w:tplc="66B221E8">
      <w:start w:val="1"/>
      <w:numFmt w:val="bullet"/>
      <w:lvlText w:val=""/>
      <w:lvlJc w:val="left"/>
      <w:pPr>
        <w:tabs>
          <w:tab w:val="num" w:pos="6480"/>
        </w:tabs>
        <w:ind w:left="6480" w:hanging="360"/>
      </w:pPr>
      <w:rPr>
        <w:rFonts w:ascii="Wingdings" w:hAnsi="Wingdings"/>
      </w:rPr>
    </w:lvl>
  </w:abstractNum>
  <w:abstractNum w:abstractNumId="652" w15:restartNumberingAfterBreak="0">
    <w:nsid w:val="7223074E"/>
    <w:multiLevelType w:val="hybridMultilevel"/>
    <w:tmpl w:val="7223074E"/>
    <w:lvl w:ilvl="0" w:tplc="53BE12D0">
      <w:start w:val="1"/>
      <w:numFmt w:val="bullet"/>
      <w:lvlText w:val=""/>
      <w:lvlJc w:val="left"/>
      <w:pPr>
        <w:tabs>
          <w:tab w:val="num" w:pos="720"/>
        </w:tabs>
        <w:ind w:left="720" w:hanging="360"/>
      </w:pPr>
      <w:rPr>
        <w:rFonts w:ascii="Symbol" w:hAnsi="Symbol"/>
      </w:rPr>
    </w:lvl>
    <w:lvl w:ilvl="1" w:tplc="2A52D8A6">
      <w:start w:val="1"/>
      <w:numFmt w:val="bullet"/>
      <w:lvlText w:val="o"/>
      <w:lvlJc w:val="left"/>
      <w:pPr>
        <w:tabs>
          <w:tab w:val="num" w:pos="1440"/>
        </w:tabs>
        <w:ind w:left="1440" w:hanging="360"/>
      </w:pPr>
      <w:rPr>
        <w:rFonts w:ascii="Courier New" w:hAnsi="Courier New"/>
      </w:rPr>
    </w:lvl>
    <w:lvl w:ilvl="2" w:tplc="F760DE38">
      <w:start w:val="1"/>
      <w:numFmt w:val="bullet"/>
      <w:lvlText w:val=""/>
      <w:lvlJc w:val="left"/>
      <w:pPr>
        <w:tabs>
          <w:tab w:val="num" w:pos="2160"/>
        </w:tabs>
        <w:ind w:left="2160" w:hanging="360"/>
      </w:pPr>
      <w:rPr>
        <w:rFonts w:ascii="Wingdings" w:hAnsi="Wingdings"/>
      </w:rPr>
    </w:lvl>
    <w:lvl w:ilvl="3" w:tplc="B5D42E12">
      <w:start w:val="1"/>
      <w:numFmt w:val="bullet"/>
      <w:lvlText w:val=""/>
      <w:lvlJc w:val="left"/>
      <w:pPr>
        <w:tabs>
          <w:tab w:val="num" w:pos="2880"/>
        </w:tabs>
        <w:ind w:left="2880" w:hanging="360"/>
      </w:pPr>
      <w:rPr>
        <w:rFonts w:ascii="Symbol" w:hAnsi="Symbol"/>
      </w:rPr>
    </w:lvl>
    <w:lvl w:ilvl="4" w:tplc="C2B2CAC6">
      <w:start w:val="1"/>
      <w:numFmt w:val="bullet"/>
      <w:lvlText w:val="o"/>
      <w:lvlJc w:val="left"/>
      <w:pPr>
        <w:tabs>
          <w:tab w:val="num" w:pos="3600"/>
        </w:tabs>
        <w:ind w:left="3600" w:hanging="360"/>
      </w:pPr>
      <w:rPr>
        <w:rFonts w:ascii="Courier New" w:hAnsi="Courier New"/>
      </w:rPr>
    </w:lvl>
    <w:lvl w:ilvl="5" w:tplc="A75AC850">
      <w:start w:val="1"/>
      <w:numFmt w:val="bullet"/>
      <w:lvlText w:val=""/>
      <w:lvlJc w:val="left"/>
      <w:pPr>
        <w:tabs>
          <w:tab w:val="num" w:pos="4320"/>
        </w:tabs>
        <w:ind w:left="4320" w:hanging="360"/>
      </w:pPr>
      <w:rPr>
        <w:rFonts w:ascii="Wingdings" w:hAnsi="Wingdings"/>
      </w:rPr>
    </w:lvl>
    <w:lvl w:ilvl="6" w:tplc="28E440B4">
      <w:start w:val="1"/>
      <w:numFmt w:val="bullet"/>
      <w:lvlText w:val=""/>
      <w:lvlJc w:val="left"/>
      <w:pPr>
        <w:tabs>
          <w:tab w:val="num" w:pos="5040"/>
        </w:tabs>
        <w:ind w:left="5040" w:hanging="360"/>
      </w:pPr>
      <w:rPr>
        <w:rFonts w:ascii="Symbol" w:hAnsi="Symbol"/>
      </w:rPr>
    </w:lvl>
    <w:lvl w:ilvl="7" w:tplc="AF9EB8B2">
      <w:start w:val="1"/>
      <w:numFmt w:val="bullet"/>
      <w:lvlText w:val="o"/>
      <w:lvlJc w:val="left"/>
      <w:pPr>
        <w:tabs>
          <w:tab w:val="num" w:pos="5760"/>
        </w:tabs>
        <w:ind w:left="5760" w:hanging="360"/>
      </w:pPr>
      <w:rPr>
        <w:rFonts w:ascii="Courier New" w:hAnsi="Courier New"/>
      </w:rPr>
    </w:lvl>
    <w:lvl w:ilvl="8" w:tplc="09B832A6">
      <w:start w:val="1"/>
      <w:numFmt w:val="bullet"/>
      <w:lvlText w:val=""/>
      <w:lvlJc w:val="left"/>
      <w:pPr>
        <w:tabs>
          <w:tab w:val="num" w:pos="6480"/>
        </w:tabs>
        <w:ind w:left="6480" w:hanging="360"/>
      </w:pPr>
      <w:rPr>
        <w:rFonts w:ascii="Wingdings" w:hAnsi="Wingdings"/>
      </w:rPr>
    </w:lvl>
  </w:abstractNum>
  <w:abstractNum w:abstractNumId="653" w15:restartNumberingAfterBreak="0">
    <w:nsid w:val="7223074F"/>
    <w:multiLevelType w:val="hybridMultilevel"/>
    <w:tmpl w:val="7223074F"/>
    <w:lvl w:ilvl="0" w:tplc="C40C7342">
      <w:start w:val="1"/>
      <w:numFmt w:val="bullet"/>
      <w:lvlText w:val=""/>
      <w:lvlJc w:val="left"/>
      <w:pPr>
        <w:ind w:left="720" w:hanging="360"/>
      </w:pPr>
      <w:rPr>
        <w:rFonts w:ascii="Symbol" w:hAnsi="Symbol"/>
      </w:rPr>
    </w:lvl>
    <w:lvl w:ilvl="1" w:tplc="136468DC">
      <w:start w:val="1"/>
      <w:numFmt w:val="bullet"/>
      <w:lvlText w:val="o"/>
      <w:lvlJc w:val="left"/>
      <w:pPr>
        <w:tabs>
          <w:tab w:val="num" w:pos="1440"/>
        </w:tabs>
        <w:ind w:left="1440" w:hanging="360"/>
      </w:pPr>
      <w:rPr>
        <w:rFonts w:ascii="Courier New" w:hAnsi="Courier New"/>
      </w:rPr>
    </w:lvl>
    <w:lvl w:ilvl="2" w:tplc="591298F4">
      <w:start w:val="1"/>
      <w:numFmt w:val="bullet"/>
      <w:lvlText w:val=""/>
      <w:lvlJc w:val="left"/>
      <w:pPr>
        <w:tabs>
          <w:tab w:val="num" w:pos="2160"/>
        </w:tabs>
        <w:ind w:left="2160" w:hanging="360"/>
      </w:pPr>
      <w:rPr>
        <w:rFonts w:ascii="Wingdings" w:hAnsi="Wingdings"/>
      </w:rPr>
    </w:lvl>
    <w:lvl w:ilvl="3" w:tplc="4C9C8D22">
      <w:start w:val="1"/>
      <w:numFmt w:val="bullet"/>
      <w:lvlText w:val=""/>
      <w:lvlJc w:val="left"/>
      <w:pPr>
        <w:tabs>
          <w:tab w:val="num" w:pos="2880"/>
        </w:tabs>
        <w:ind w:left="2880" w:hanging="360"/>
      </w:pPr>
      <w:rPr>
        <w:rFonts w:ascii="Symbol" w:hAnsi="Symbol"/>
      </w:rPr>
    </w:lvl>
    <w:lvl w:ilvl="4" w:tplc="D1149CB4">
      <w:start w:val="1"/>
      <w:numFmt w:val="bullet"/>
      <w:lvlText w:val="o"/>
      <w:lvlJc w:val="left"/>
      <w:pPr>
        <w:tabs>
          <w:tab w:val="num" w:pos="3600"/>
        </w:tabs>
        <w:ind w:left="3600" w:hanging="360"/>
      </w:pPr>
      <w:rPr>
        <w:rFonts w:ascii="Courier New" w:hAnsi="Courier New"/>
      </w:rPr>
    </w:lvl>
    <w:lvl w:ilvl="5" w:tplc="3802FB1E">
      <w:start w:val="1"/>
      <w:numFmt w:val="bullet"/>
      <w:lvlText w:val=""/>
      <w:lvlJc w:val="left"/>
      <w:pPr>
        <w:tabs>
          <w:tab w:val="num" w:pos="4320"/>
        </w:tabs>
        <w:ind w:left="4320" w:hanging="360"/>
      </w:pPr>
      <w:rPr>
        <w:rFonts w:ascii="Wingdings" w:hAnsi="Wingdings"/>
      </w:rPr>
    </w:lvl>
    <w:lvl w:ilvl="6" w:tplc="58FC139A">
      <w:start w:val="1"/>
      <w:numFmt w:val="bullet"/>
      <w:lvlText w:val=""/>
      <w:lvlJc w:val="left"/>
      <w:pPr>
        <w:tabs>
          <w:tab w:val="num" w:pos="5040"/>
        </w:tabs>
        <w:ind w:left="5040" w:hanging="360"/>
      </w:pPr>
      <w:rPr>
        <w:rFonts w:ascii="Symbol" w:hAnsi="Symbol"/>
      </w:rPr>
    </w:lvl>
    <w:lvl w:ilvl="7" w:tplc="515249CE">
      <w:start w:val="1"/>
      <w:numFmt w:val="bullet"/>
      <w:lvlText w:val="o"/>
      <w:lvlJc w:val="left"/>
      <w:pPr>
        <w:tabs>
          <w:tab w:val="num" w:pos="5760"/>
        </w:tabs>
        <w:ind w:left="5760" w:hanging="360"/>
      </w:pPr>
      <w:rPr>
        <w:rFonts w:ascii="Courier New" w:hAnsi="Courier New"/>
      </w:rPr>
    </w:lvl>
    <w:lvl w:ilvl="8" w:tplc="C4F8116E">
      <w:start w:val="1"/>
      <w:numFmt w:val="bullet"/>
      <w:lvlText w:val=""/>
      <w:lvlJc w:val="left"/>
      <w:pPr>
        <w:tabs>
          <w:tab w:val="num" w:pos="6480"/>
        </w:tabs>
        <w:ind w:left="6480" w:hanging="360"/>
      </w:pPr>
      <w:rPr>
        <w:rFonts w:ascii="Wingdings" w:hAnsi="Wingdings"/>
      </w:rPr>
    </w:lvl>
  </w:abstractNum>
  <w:abstractNum w:abstractNumId="654" w15:restartNumberingAfterBreak="0">
    <w:nsid w:val="72230750"/>
    <w:multiLevelType w:val="hybridMultilevel"/>
    <w:tmpl w:val="72230750"/>
    <w:lvl w:ilvl="0" w:tplc="AAE0BE20">
      <w:start w:val="1"/>
      <w:numFmt w:val="bullet"/>
      <w:lvlText w:val=""/>
      <w:lvlJc w:val="left"/>
      <w:pPr>
        <w:ind w:left="720" w:hanging="360"/>
      </w:pPr>
      <w:rPr>
        <w:rFonts w:ascii="Symbol" w:hAnsi="Symbol"/>
      </w:rPr>
    </w:lvl>
    <w:lvl w:ilvl="1" w:tplc="61EE4BB0">
      <w:start w:val="1"/>
      <w:numFmt w:val="bullet"/>
      <w:lvlText w:val="o"/>
      <w:lvlJc w:val="left"/>
      <w:pPr>
        <w:tabs>
          <w:tab w:val="num" w:pos="1440"/>
        </w:tabs>
        <w:ind w:left="1440" w:hanging="360"/>
      </w:pPr>
      <w:rPr>
        <w:rFonts w:ascii="Courier New" w:hAnsi="Courier New"/>
      </w:rPr>
    </w:lvl>
    <w:lvl w:ilvl="2" w:tplc="F086C50C">
      <w:start w:val="1"/>
      <w:numFmt w:val="bullet"/>
      <w:lvlText w:val=""/>
      <w:lvlJc w:val="left"/>
      <w:pPr>
        <w:tabs>
          <w:tab w:val="num" w:pos="2160"/>
        </w:tabs>
        <w:ind w:left="2160" w:hanging="360"/>
      </w:pPr>
      <w:rPr>
        <w:rFonts w:ascii="Wingdings" w:hAnsi="Wingdings"/>
      </w:rPr>
    </w:lvl>
    <w:lvl w:ilvl="3" w:tplc="1AEACCA2">
      <w:start w:val="1"/>
      <w:numFmt w:val="bullet"/>
      <w:lvlText w:val=""/>
      <w:lvlJc w:val="left"/>
      <w:pPr>
        <w:tabs>
          <w:tab w:val="num" w:pos="2880"/>
        </w:tabs>
        <w:ind w:left="2880" w:hanging="360"/>
      </w:pPr>
      <w:rPr>
        <w:rFonts w:ascii="Symbol" w:hAnsi="Symbol"/>
      </w:rPr>
    </w:lvl>
    <w:lvl w:ilvl="4" w:tplc="01D0C79C">
      <w:start w:val="1"/>
      <w:numFmt w:val="bullet"/>
      <w:lvlText w:val="o"/>
      <w:lvlJc w:val="left"/>
      <w:pPr>
        <w:tabs>
          <w:tab w:val="num" w:pos="3600"/>
        </w:tabs>
        <w:ind w:left="3600" w:hanging="360"/>
      </w:pPr>
      <w:rPr>
        <w:rFonts w:ascii="Courier New" w:hAnsi="Courier New"/>
      </w:rPr>
    </w:lvl>
    <w:lvl w:ilvl="5" w:tplc="49861400">
      <w:start w:val="1"/>
      <w:numFmt w:val="bullet"/>
      <w:lvlText w:val=""/>
      <w:lvlJc w:val="left"/>
      <w:pPr>
        <w:tabs>
          <w:tab w:val="num" w:pos="4320"/>
        </w:tabs>
        <w:ind w:left="4320" w:hanging="360"/>
      </w:pPr>
      <w:rPr>
        <w:rFonts w:ascii="Wingdings" w:hAnsi="Wingdings"/>
      </w:rPr>
    </w:lvl>
    <w:lvl w:ilvl="6" w:tplc="BF8AA032">
      <w:start w:val="1"/>
      <w:numFmt w:val="bullet"/>
      <w:lvlText w:val=""/>
      <w:lvlJc w:val="left"/>
      <w:pPr>
        <w:tabs>
          <w:tab w:val="num" w:pos="5040"/>
        </w:tabs>
        <w:ind w:left="5040" w:hanging="360"/>
      </w:pPr>
      <w:rPr>
        <w:rFonts w:ascii="Symbol" w:hAnsi="Symbol"/>
      </w:rPr>
    </w:lvl>
    <w:lvl w:ilvl="7" w:tplc="27E62AF4">
      <w:start w:val="1"/>
      <w:numFmt w:val="bullet"/>
      <w:lvlText w:val="o"/>
      <w:lvlJc w:val="left"/>
      <w:pPr>
        <w:tabs>
          <w:tab w:val="num" w:pos="5760"/>
        </w:tabs>
        <w:ind w:left="5760" w:hanging="360"/>
      </w:pPr>
      <w:rPr>
        <w:rFonts w:ascii="Courier New" w:hAnsi="Courier New"/>
      </w:rPr>
    </w:lvl>
    <w:lvl w:ilvl="8" w:tplc="4A76ED4E">
      <w:start w:val="1"/>
      <w:numFmt w:val="bullet"/>
      <w:lvlText w:val=""/>
      <w:lvlJc w:val="left"/>
      <w:pPr>
        <w:tabs>
          <w:tab w:val="num" w:pos="6480"/>
        </w:tabs>
        <w:ind w:left="6480" w:hanging="360"/>
      </w:pPr>
      <w:rPr>
        <w:rFonts w:ascii="Wingdings" w:hAnsi="Wingdings"/>
      </w:rPr>
    </w:lvl>
  </w:abstractNum>
  <w:abstractNum w:abstractNumId="655" w15:restartNumberingAfterBreak="0">
    <w:nsid w:val="72230751"/>
    <w:multiLevelType w:val="hybridMultilevel"/>
    <w:tmpl w:val="72230751"/>
    <w:lvl w:ilvl="0" w:tplc="6B9A525A">
      <w:start w:val="1"/>
      <w:numFmt w:val="bullet"/>
      <w:lvlText w:val=""/>
      <w:lvlJc w:val="left"/>
      <w:pPr>
        <w:ind w:left="720" w:hanging="360"/>
      </w:pPr>
      <w:rPr>
        <w:rFonts w:ascii="Symbol" w:hAnsi="Symbol"/>
      </w:rPr>
    </w:lvl>
    <w:lvl w:ilvl="1" w:tplc="BD8645D4">
      <w:start w:val="1"/>
      <w:numFmt w:val="bullet"/>
      <w:lvlText w:val="o"/>
      <w:lvlJc w:val="left"/>
      <w:pPr>
        <w:tabs>
          <w:tab w:val="num" w:pos="1440"/>
        </w:tabs>
        <w:ind w:left="1440" w:hanging="360"/>
      </w:pPr>
      <w:rPr>
        <w:rFonts w:ascii="Courier New" w:hAnsi="Courier New"/>
      </w:rPr>
    </w:lvl>
    <w:lvl w:ilvl="2" w:tplc="4742288E">
      <w:start w:val="1"/>
      <w:numFmt w:val="bullet"/>
      <w:lvlText w:val=""/>
      <w:lvlJc w:val="left"/>
      <w:pPr>
        <w:tabs>
          <w:tab w:val="num" w:pos="2160"/>
        </w:tabs>
        <w:ind w:left="2160" w:hanging="360"/>
      </w:pPr>
      <w:rPr>
        <w:rFonts w:ascii="Wingdings" w:hAnsi="Wingdings"/>
      </w:rPr>
    </w:lvl>
    <w:lvl w:ilvl="3" w:tplc="4D725D9A">
      <w:start w:val="1"/>
      <w:numFmt w:val="bullet"/>
      <w:lvlText w:val=""/>
      <w:lvlJc w:val="left"/>
      <w:pPr>
        <w:tabs>
          <w:tab w:val="num" w:pos="2880"/>
        </w:tabs>
        <w:ind w:left="2880" w:hanging="360"/>
      </w:pPr>
      <w:rPr>
        <w:rFonts w:ascii="Symbol" w:hAnsi="Symbol"/>
      </w:rPr>
    </w:lvl>
    <w:lvl w:ilvl="4" w:tplc="6BC4BCE0">
      <w:start w:val="1"/>
      <w:numFmt w:val="bullet"/>
      <w:lvlText w:val="o"/>
      <w:lvlJc w:val="left"/>
      <w:pPr>
        <w:tabs>
          <w:tab w:val="num" w:pos="3600"/>
        </w:tabs>
        <w:ind w:left="3600" w:hanging="360"/>
      </w:pPr>
      <w:rPr>
        <w:rFonts w:ascii="Courier New" w:hAnsi="Courier New"/>
      </w:rPr>
    </w:lvl>
    <w:lvl w:ilvl="5" w:tplc="96140BEC">
      <w:start w:val="1"/>
      <w:numFmt w:val="bullet"/>
      <w:lvlText w:val=""/>
      <w:lvlJc w:val="left"/>
      <w:pPr>
        <w:tabs>
          <w:tab w:val="num" w:pos="4320"/>
        </w:tabs>
        <w:ind w:left="4320" w:hanging="360"/>
      </w:pPr>
      <w:rPr>
        <w:rFonts w:ascii="Wingdings" w:hAnsi="Wingdings"/>
      </w:rPr>
    </w:lvl>
    <w:lvl w:ilvl="6" w:tplc="E200D09A">
      <w:start w:val="1"/>
      <w:numFmt w:val="bullet"/>
      <w:lvlText w:val=""/>
      <w:lvlJc w:val="left"/>
      <w:pPr>
        <w:tabs>
          <w:tab w:val="num" w:pos="5040"/>
        </w:tabs>
        <w:ind w:left="5040" w:hanging="360"/>
      </w:pPr>
      <w:rPr>
        <w:rFonts w:ascii="Symbol" w:hAnsi="Symbol"/>
      </w:rPr>
    </w:lvl>
    <w:lvl w:ilvl="7" w:tplc="1A3A9294">
      <w:start w:val="1"/>
      <w:numFmt w:val="bullet"/>
      <w:lvlText w:val="o"/>
      <w:lvlJc w:val="left"/>
      <w:pPr>
        <w:tabs>
          <w:tab w:val="num" w:pos="5760"/>
        </w:tabs>
        <w:ind w:left="5760" w:hanging="360"/>
      </w:pPr>
      <w:rPr>
        <w:rFonts w:ascii="Courier New" w:hAnsi="Courier New"/>
      </w:rPr>
    </w:lvl>
    <w:lvl w:ilvl="8" w:tplc="E2765EF8">
      <w:start w:val="1"/>
      <w:numFmt w:val="bullet"/>
      <w:lvlText w:val=""/>
      <w:lvlJc w:val="left"/>
      <w:pPr>
        <w:tabs>
          <w:tab w:val="num" w:pos="6480"/>
        </w:tabs>
        <w:ind w:left="6480" w:hanging="360"/>
      </w:pPr>
      <w:rPr>
        <w:rFonts w:ascii="Wingdings" w:hAnsi="Wingdings"/>
      </w:rPr>
    </w:lvl>
  </w:abstractNum>
  <w:abstractNum w:abstractNumId="656" w15:restartNumberingAfterBreak="0">
    <w:nsid w:val="72230752"/>
    <w:multiLevelType w:val="hybridMultilevel"/>
    <w:tmpl w:val="72230752"/>
    <w:lvl w:ilvl="0" w:tplc="38C07F14">
      <w:start w:val="1"/>
      <w:numFmt w:val="bullet"/>
      <w:lvlText w:val=""/>
      <w:lvlJc w:val="left"/>
      <w:pPr>
        <w:ind w:left="720" w:hanging="360"/>
      </w:pPr>
      <w:rPr>
        <w:rFonts w:ascii="Symbol" w:hAnsi="Symbol"/>
      </w:rPr>
    </w:lvl>
    <w:lvl w:ilvl="1" w:tplc="A2C84C66">
      <w:start w:val="1"/>
      <w:numFmt w:val="bullet"/>
      <w:lvlText w:val="o"/>
      <w:lvlJc w:val="left"/>
      <w:pPr>
        <w:tabs>
          <w:tab w:val="num" w:pos="1440"/>
        </w:tabs>
        <w:ind w:left="1440" w:hanging="360"/>
      </w:pPr>
      <w:rPr>
        <w:rFonts w:ascii="Courier New" w:hAnsi="Courier New"/>
      </w:rPr>
    </w:lvl>
    <w:lvl w:ilvl="2" w:tplc="66C87F6E">
      <w:start w:val="1"/>
      <w:numFmt w:val="bullet"/>
      <w:lvlText w:val=""/>
      <w:lvlJc w:val="left"/>
      <w:pPr>
        <w:tabs>
          <w:tab w:val="num" w:pos="2160"/>
        </w:tabs>
        <w:ind w:left="2160" w:hanging="360"/>
      </w:pPr>
      <w:rPr>
        <w:rFonts w:ascii="Wingdings" w:hAnsi="Wingdings"/>
      </w:rPr>
    </w:lvl>
    <w:lvl w:ilvl="3" w:tplc="334C31E4">
      <w:start w:val="1"/>
      <w:numFmt w:val="bullet"/>
      <w:lvlText w:val=""/>
      <w:lvlJc w:val="left"/>
      <w:pPr>
        <w:tabs>
          <w:tab w:val="num" w:pos="2880"/>
        </w:tabs>
        <w:ind w:left="2880" w:hanging="360"/>
      </w:pPr>
      <w:rPr>
        <w:rFonts w:ascii="Symbol" w:hAnsi="Symbol"/>
      </w:rPr>
    </w:lvl>
    <w:lvl w:ilvl="4" w:tplc="69100954">
      <w:start w:val="1"/>
      <w:numFmt w:val="bullet"/>
      <w:lvlText w:val="o"/>
      <w:lvlJc w:val="left"/>
      <w:pPr>
        <w:tabs>
          <w:tab w:val="num" w:pos="3600"/>
        </w:tabs>
        <w:ind w:left="3600" w:hanging="360"/>
      </w:pPr>
      <w:rPr>
        <w:rFonts w:ascii="Courier New" w:hAnsi="Courier New"/>
      </w:rPr>
    </w:lvl>
    <w:lvl w:ilvl="5" w:tplc="1F1026A0">
      <w:start w:val="1"/>
      <w:numFmt w:val="bullet"/>
      <w:lvlText w:val=""/>
      <w:lvlJc w:val="left"/>
      <w:pPr>
        <w:tabs>
          <w:tab w:val="num" w:pos="4320"/>
        </w:tabs>
        <w:ind w:left="4320" w:hanging="360"/>
      </w:pPr>
      <w:rPr>
        <w:rFonts w:ascii="Wingdings" w:hAnsi="Wingdings"/>
      </w:rPr>
    </w:lvl>
    <w:lvl w:ilvl="6" w:tplc="2952804E">
      <w:start w:val="1"/>
      <w:numFmt w:val="bullet"/>
      <w:lvlText w:val=""/>
      <w:lvlJc w:val="left"/>
      <w:pPr>
        <w:tabs>
          <w:tab w:val="num" w:pos="5040"/>
        </w:tabs>
        <w:ind w:left="5040" w:hanging="360"/>
      </w:pPr>
      <w:rPr>
        <w:rFonts w:ascii="Symbol" w:hAnsi="Symbol"/>
      </w:rPr>
    </w:lvl>
    <w:lvl w:ilvl="7" w:tplc="BF1C3C78">
      <w:start w:val="1"/>
      <w:numFmt w:val="bullet"/>
      <w:lvlText w:val="o"/>
      <w:lvlJc w:val="left"/>
      <w:pPr>
        <w:tabs>
          <w:tab w:val="num" w:pos="5760"/>
        </w:tabs>
        <w:ind w:left="5760" w:hanging="360"/>
      </w:pPr>
      <w:rPr>
        <w:rFonts w:ascii="Courier New" w:hAnsi="Courier New"/>
      </w:rPr>
    </w:lvl>
    <w:lvl w:ilvl="8" w:tplc="258E335A">
      <w:start w:val="1"/>
      <w:numFmt w:val="bullet"/>
      <w:lvlText w:val=""/>
      <w:lvlJc w:val="left"/>
      <w:pPr>
        <w:tabs>
          <w:tab w:val="num" w:pos="6480"/>
        </w:tabs>
        <w:ind w:left="6480" w:hanging="360"/>
      </w:pPr>
      <w:rPr>
        <w:rFonts w:ascii="Wingdings" w:hAnsi="Wingdings"/>
      </w:rPr>
    </w:lvl>
  </w:abstractNum>
  <w:abstractNum w:abstractNumId="657" w15:restartNumberingAfterBreak="0">
    <w:nsid w:val="72230753"/>
    <w:multiLevelType w:val="hybridMultilevel"/>
    <w:tmpl w:val="72230753"/>
    <w:lvl w:ilvl="0" w:tplc="C6EA92C6">
      <w:start w:val="1"/>
      <w:numFmt w:val="bullet"/>
      <w:lvlText w:val=""/>
      <w:lvlJc w:val="left"/>
      <w:pPr>
        <w:tabs>
          <w:tab w:val="num" w:pos="720"/>
        </w:tabs>
        <w:ind w:left="720" w:hanging="360"/>
      </w:pPr>
      <w:rPr>
        <w:rFonts w:ascii="Symbol" w:hAnsi="Symbol"/>
      </w:rPr>
    </w:lvl>
    <w:lvl w:ilvl="1" w:tplc="4A923E70">
      <w:start w:val="1"/>
      <w:numFmt w:val="bullet"/>
      <w:lvlText w:val="o"/>
      <w:lvlJc w:val="left"/>
      <w:pPr>
        <w:tabs>
          <w:tab w:val="num" w:pos="1440"/>
        </w:tabs>
        <w:ind w:left="1440" w:hanging="360"/>
      </w:pPr>
      <w:rPr>
        <w:rFonts w:ascii="Courier New" w:hAnsi="Courier New"/>
      </w:rPr>
    </w:lvl>
    <w:lvl w:ilvl="2" w:tplc="9AA0557C">
      <w:start w:val="1"/>
      <w:numFmt w:val="bullet"/>
      <w:lvlText w:val=""/>
      <w:lvlJc w:val="left"/>
      <w:pPr>
        <w:tabs>
          <w:tab w:val="num" w:pos="2160"/>
        </w:tabs>
        <w:ind w:left="2160" w:hanging="360"/>
      </w:pPr>
      <w:rPr>
        <w:rFonts w:ascii="Wingdings" w:hAnsi="Wingdings"/>
      </w:rPr>
    </w:lvl>
    <w:lvl w:ilvl="3" w:tplc="D68E9DC6">
      <w:start w:val="1"/>
      <w:numFmt w:val="bullet"/>
      <w:lvlText w:val=""/>
      <w:lvlJc w:val="left"/>
      <w:pPr>
        <w:tabs>
          <w:tab w:val="num" w:pos="2880"/>
        </w:tabs>
        <w:ind w:left="2880" w:hanging="360"/>
      </w:pPr>
      <w:rPr>
        <w:rFonts w:ascii="Symbol" w:hAnsi="Symbol"/>
      </w:rPr>
    </w:lvl>
    <w:lvl w:ilvl="4" w:tplc="210624FE">
      <w:start w:val="1"/>
      <w:numFmt w:val="bullet"/>
      <w:lvlText w:val="o"/>
      <w:lvlJc w:val="left"/>
      <w:pPr>
        <w:tabs>
          <w:tab w:val="num" w:pos="3600"/>
        </w:tabs>
        <w:ind w:left="3600" w:hanging="360"/>
      </w:pPr>
      <w:rPr>
        <w:rFonts w:ascii="Courier New" w:hAnsi="Courier New"/>
      </w:rPr>
    </w:lvl>
    <w:lvl w:ilvl="5" w:tplc="80687B16">
      <w:start w:val="1"/>
      <w:numFmt w:val="bullet"/>
      <w:lvlText w:val=""/>
      <w:lvlJc w:val="left"/>
      <w:pPr>
        <w:tabs>
          <w:tab w:val="num" w:pos="4320"/>
        </w:tabs>
        <w:ind w:left="4320" w:hanging="360"/>
      </w:pPr>
      <w:rPr>
        <w:rFonts w:ascii="Wingdings" w:hAnsi="Wingdings"/>
      </w:rPr>
    </w:lvl>
    <w:lvl w:ilvl="6" w:tplc="6366BA9E">
      <w:start w:val="1"/>
      <w:numFmt w:val="bullet"/>
      <w:lvlText w:val=""/>
      <w:lvlJc w:val="left"/>
      <w:pPr>
        <w:tabs>
          <w:tab w:val="num" w:pos="5040"/>
        </w:tabs>
        <w:ind w:left="5040" w:hanging="360"/>
      </w:pPr>
      <w:rPr>
        <w:rFonts w:ascii="Symbol" w:hAnsi="Symbol"/>
      </w:rPr>
    </w:lvl>
    <w:lvl w:ilvl="7" w:tplc="E00CAAE0">
      <w:start w:val="1"/>
      <w:numFmt w:val="bullet"/>
      <w:lvlText w:val="o"/>
      <w:lvlJc w:val="left"/>
      <w:pPr>
        <w:tabs>
          <w:tab w:val="num" w:pos="5760"/>
        </w:tabs>
        <w:ind w:left="5760" w:hanging="360"/>
      </w:pPr>
      <w:rPr>
        <w:rFonts w:ascii="Courier New" w:hAnsi="Courier New"/>
      </w:rPr>
    </w:lvl>
    <w:lvl w:ilvl="8" w:tplc="04F6D110">
      <w:start w:val="1"/>
      <w:numFmt w:val="bullet"/>
      <w:lvlText w:val=""/>
      <w:lvlJc w:val="left"/>
      <w:pPr>
        <w:tabs>
          <w:tab w:val="num" w:pos="6480"/>
        </w:tabs>
        <w:ind w:left="6480" w:hanging="360"/>
      </w:pPr>
      <w:rPr>
        <w:rFonts w:ascii="Wingdings" w:hAnsi="Wingdings"/>
      </w:rPr>
    </w:lvl>
  </w:abstractNum>
  <w:abstractNum w:abstractNumId="658" w15:restartNumberingAfterBreak="0">
    <w:nsid w:val="72230754"/>
    <w:multiLevelType w:val="hybridMultilevel"/>
    <w:tmpl w:val="72230754"/>
    <w:lvl w:ilvl="0" w:tplc="AF4EF266">
      <w:start w:val="1"/>
      <w:numFmt w:val="bullet"/>
      <w:lvlText w:val=""/>
      <w:lvlJc w:val="left"/>
      <w:pPr>
        <w:ind w:left="720" w:hanging="360"/>
      </w:pPr>
      <w:rPr>
        <w:rFonts w:ascii="Symbol" w:hAnsi="Symbol"/>
      </w:rPr>
    </w:lvl>
    <w:lvl w:ilvl="1" w:tplc="CFB27CFE">
      <w:start w:val="1"/>
      <w:numFmt w:val="bullet"/>
      <w:lvlText w:val="o"/>
      <w:lvlJc w:val="left"/>
      <w:pPr>
        <w:tabs>
          <w:tab w:val="num" w:pos="1440"/>
        </w:tabs>
        <w:ind w:left="1440" w:hanging="360"/>
      </w:pPr>
      <w:rPr>
        <w:rFonts w:ascii="Courier New" w:hAnsi="Courier New"/>
      </w:rPr>
    </w:lvl>
    <w:lvl w:ilvl="2" w:tplc="BA20DCD0">
      <w:start w:val="1"/>
      <w:numFmt w:val="bullet"/>
      <w:lvlText w:val=""/>
      <w:lvlJc w:val="left"/>
      <w:pPr>
        <w:tabs>
          <w:tab w:val="num" w:pos="2160"/>
        </w:tabs>
        <w:ind w:left="2160" w:hanging="360"/>
      </w:pPr>
      <w:rPr>
        <w:rFonts w:ascii="Wingdings" w:hAnsi="Wingdings"/>
      </w:rPr>
    </w:lvl>
    <w:lvl w:ilvl="3" w:tplc="CA64EA68">
      <w:start w:val="1"/>
      <w:numFmt w:val="bullet"/>
      <w:lvlText w:val=""/>
      <w:lvlJc w:val="left"/>
      <w:pPr>
        <w:tabs>
          <w:tab w:val="num" w:pos="2880"/>
        </w:tabs>
        <w:ind w:left="2880" w:hanging="360"/>
      </w:pPr>
      <w:rPr>
        <w:rFonts w:ascii="Symbol" w:hAnsi="Symbol"/>
      </w:rPr>
    </w:lvl>
    <w:lvl w:ilvl="4" w:tplc="57220BBC">
      <w:start w:val="1"/>
      <w:numFmt w:val="bullet"/>
      <w:lvlText w:val="o"/>
      <w:lvlJc w:val="left"/>
      <w:pPr>
        <w:tabs>
          <w:tab w:val="num" w:pos="3600"/>
        </w:tabs>
        <w:ind w:left="3600" w:hanging="360"/>
      </w:pPr>
      <w:rPr>
        <w:rFonts w:ascii="Courier New" w:hAnsi="Courier New"/>
      </w:rPr>
    </w:lvl>
    <w:lvl w:ilvl="5" w:tplc="95AEA552">
      <w:start w:val="1"/>
      <w:numFmt w:val="bullet"/>
      <w:lvlText w:val=""/>
      <w:lvlJc w:val="left"/>
      <w:pPr>
        <w:tabs>
          <w:tab w:val="num" w:pos="4320"/>
        </w:tabs>
        <w:ind w:left="4320" w:hanging="360"/>
      </w:pPr>
      <w:rPr>
        <w:rFonts w:ascii="Wingdings" w:hAnsi="Wingdings"/>
      </w:rPr>
    </w:lvl>
    <w:lvl w:ilvl="6" w:tplc="E7C62C9C">
      <w:start w:val="1"/>
      <w:numFmt w:val="bullet"/>
      <w:lvlText w:val=""/>
      <w:lvlJc w:val="left"/>
      <w:pPr>
        <w:tabs>
          <w:tab w:val="num" w:pos="5040"/>
        </w:tabs>
        <w:ind w:left="5040" w:hanging="360"/>
      </w:pPr>
      <w:rPr>
        <w:rFonts w:ascii="Symbol" w:hAnsi="Symbol"/>
      </w:rPr>
    </w:lvl>
    <w:lvl w:ilvl="7" w:tplc="AEEC48A8">
      <w:start w:val="1"/>
      <w:numFmt w:val="bullet"/>
      <w:lvlText w:val="o"/>
      <w:lvlJc w:val="left"/>
      <w:pPr>
        <w:tabs>
          <w:tab w:val="num" w:pos="5760"/>
        </w:tabs>
        <w:ind w:left="5760" w:hanging="360"/>
      </w:pPr>
      <w:rPr>
        <w:rFonts w:ascii="Courier New" w:hAnsi="Courier New"/>
      </w:rPr>
    </w:lvl>
    <w:lvl w:ilvl="8" w:tplc="D7C084BA">
      <w:start w:val="1"/>
      <w:numFmt w:val="bullet"/>
      <w:lvlText w:val=""/>
      <w:lvlJc w:val="left"/>
      <w:pPr>
        <w:tabs>
          <w:tab w:val="num" w:pos="6480"/>
        </w:tabs>
        <w:ind w:left="6480" w:hanging="360"/>
      </w:pPr>
      <w:rPr>
        <w:rFonts w:ascii="Wingdings" w:hAnsi="Wingdings"/>
      </w:rPr>
    </w:lvl>
  </w:abstractNum>
  <w:abstractNum w:abstractNumId="659" w15:restartNumberingAfterBreak="0">
    <w:nsid w:val="72230755"/>
    <w:multiLevelType w:val="hybridMultilevel"/>
    <w:tmpl w:val="72230755"/>
    <w:lvl w:ilvl="0" w:tplc="50B0ED48">
      <w:start w:val="1"/>
      <w:numFmt w:val="bullet"/>
      <w:lvlText w:val=""/>
      <w:lvlJc w:val="left"/>
      <w:pPr>
        <w:ind w:left="720" w:hanging="360"/>
      </w:pPr>
      <w:rPr>
        <w:rFonts w:ascii="Symbol" w:hAnsi="Symbol"/>
      </w:rPr>
    </w:lvl>
    <w:lvl w:ilvl="1" w:tplc="7CFC4A2A">
      <w:start w:val="1"/>
      <w:numFmt w:val="bullet"/>
      <w:lvlText w:val="o"/>
      <w:lvlJc w:val="left"/>
      <w:pPr>
        <w:tabs>
          <w:tab w:val="num" w:pos="1440"/>
        </w:tabs>
        <w:ind w:left="1440" w:hanging="360"/>
      </w:pPr>
      <w:rPr>
        <w:rFonts w:ascii="Courier New" w:hAnsi="Courier New"/>
      </w:rPr>
    </w:lvl>
    <w:lvl w:ilvl="2" w:tplc="9C40BADE">
      <w:start w:val="1"/>
      <w:numFmt w:val="bullet"/>
      <w:lvlText w:val=""/>
      <w:lvlJc w:val="left"/>
      <w:pPr>
        <w:tabs>
          <w:tab w:val="num" w:pos="2160"/>
        </w:tabs>
        <w:ind w:left="2160" w:hanging="360"/>
      </w:pPr>
      <w:rPr>
        <w:rFonts w:ascii="Wingdings" w:hAnsi="Wingdings"/>
      </w:rPr>
    </w:lvl>
    <w:lvl w:ilvl="3" w:tplc="84E49ED6">
      <w:start w:val="1"/>
      <w:numFmt w:val="bullet"/>
      <w:lvlText w:val=""/>
      <w:lvlJc w:val="left"/>
      <w:pPr>
        <w:tabs>
          <w:tab w:val="num" w:pos="2880"/>
        </w:tabs>
        <w:ind w:left="2880" w:hanging="360"/>
      </w:pPr>
      <w:rPr>
        <w:rFonts w:ascii="Symbol" w:hAnsi="Symbol"/>
      </w:rPr>
    </w:lvl>
    <w:lvl w:ilvl="4" w:tplc="1E90BCCC">
      <w:start w:val="1"/>
      <w:numFmt w:val="bullet"/>
      <w:lvlText w:val="o"/>
      <w:lvlJc w:val="left"/>
      <w:pPr>
        <w:tabs>
          <w:tab w:val="num" w:pos="3600"/>
        </w:tabs>
        <w:ind w:left="3600" w:hanging="360"/>
      </w:pPr>
      <w:rPr>
        <w:rFonts w:ascii="Courier New" w:hAnsi="Courier New"/>
      </w:rPr>
    </w:lvl>
    <w:lvl w:ilvl="5" w:tplc="77D83C6C">
      <w:start w:val="1"/>
      <w:numFmt w:val="bullet"/>
      <w:lvlText w:val=""/>
      <w:lvlJc w:val="left"/>
      <w:pPr>
        <w:tabs>
          <w:tab w:val="num" w:pos="4320"/>
        </w:tabs>
        <w:ind w:left="4320" w:hanging="360"/>
      </w:pPr>
      <w:rPr>
        <w:rFonts w:ascii="Wingdings" w:hAnsi="Wingdings"/>
      </w:rPr>
    </w:lvl>
    <w:lvl w:ilvl="6" w:tplc="77FA465A">
      <w:start w:val="1"/>
      <w:numFmt w:val="bullet"/>
      <w:lvlText w:val=""/>
      <w:lvlJc w:val="left"/>
      <w:pPr>
        <w:tabs>
          <w:tab w:val="num" w:pos="5040"/>
        </w:tabs>
        <w:ind w:left="5040" w:hanging="360"/>
      </w:pPr>
      <w:rPr>
        <w:rFonts w:ascii="Symbol" w:hAnsi="Symbol"/>
      </w:rPr>
    </w:lvl>
    <w:lvl w:ilvl="7" w:tplc="7A160D8A">
      <w:start w:val="1"/>
      <w:numFmt w:val="bullet"/>
      <w:lvlText w:val="o"/>
      <w:lvlJc w:val="left"/>
      <w:pPr>
        <w:tabs>
          <w:tab w:val="num" w:pos="5760"/>
        </w:tabs>
        <w:ind w:left="5760" w:hanging="360"/>
      </w:pPr>
      <w:rPr>
        <w:rFonts w:ascii="Courier New" w:hAnsi="Courier New"/>
      </w:rPr>
    </w:lvl>
    <w:lvl w:ilvl="8" w:tplc="DA3A65AC">
      <w:start w:val="1"/>
      <w:numFmt w:val="bullet"/>
      <w:lvlText w:val=""/>
      <w:lvlJc w:val="left"/>
      <w:pPr>
        <w:tabs>
          <w:tab w:val="num" w:pos="6480"/>
        </w:tabs>
        <w:ind w:left="6480" w:hanging="360"/>
      </w:pPr>
      <w:rPr>
        <w:rFonts w:ascii="Wingdings" w:hAnsi="Wingdings"/>
      </w:rPr>
    </w:lvl>
  </w:abstractNum>
  <w:abstractNum w:abstractNumId="660" w15:restartNumberingAfterBreak="0">
    <w:nsid w:val="72230756"/>
    <w:multiLevelType w:val="hybridMultilevel"/>
    <w:tmpl w:val="72230756"/>
    <w:lvl w:ilvl="0" w:tplc="7E76E386">
      <w:start w:val="1"/>
      <w:numFmt w:val="bullet"/>
      <w:lvlText w:val=""/>
      <w:lvlJc w:val="left"/>
      <w:pPr>
        <w:ind w:left="720" w:hanging="360"/>
      </w:pPr>
      <w:rPr>
        <w:rFonts w:ascii="Symbol" w:hAnsi="Symbol"/>
      </w:rPr>
    </w:lvl>
    <w:lvl w:ilvl="1" w:tplc="45C03FCA">
      <w:start w:val="1"/>
      <w:numFmt w:val="bullet"/>
      <w:lvlText w:val="o"/>
      <w:lvlJc w:val="left"/>
      <w:pPr>
        <w:tabs>
          <w:tab w:val="num" w:pos="1440"/>
        </w:tabs>
        <w:ind w:left="1440" w:hanging="360"/>
      </w:pPr>
      <w:rPr>
        <w:rFonts w:ascii="Courier New" w:hAnsi="Courier New"/>
      </w:rPr>
    </w:lvl>
    <w:lvl w:ilvl="2" w:tplc="B14E941E">
      <w:start w:val="1"/>
      <w:numFmt w:val="bullet"/>
      <w:lvlText w:val=""/>
      <w:lvlJc w:val="left"/>
      <w:pPr>
        <w:tabs>
          <w:tab w:val="num" w:pos="2160"/>
        </w:tabs>
        <w:ind w:left="2160" w:hanging="360"/>
      </w:pPr>
      <w:rPr>
        <w:rFonts w:ascii="Wingdings" w:hAnsi="Wingdings"/>
      </w:rPr>
    </w:lvl>
    <w:lvl w:ilvl="3" w:tplc="B5586576">
      <w:start w:val="1"/>
      <w:numFmt w:val="bullet"/>
      <w:lvlText w:val=""/>
      <w:lvlJc w:val="left"/>
      <w:pPr>
        <w:tabs>
          <w:tab w:val="num" w:pos="2880"/>
        </w:tabs>
        <w:ind w:left="2880" w:hanging="360"/>
      </w:pPr>
      <w:rPr>
        <w:rFonts w:ascii="Symbol" w:hAnsi="Symbol"/>
      </w:rPr>
    </w:lvl>
    <w:lvl w:ilvl="4" w:tplc="E2686038">
      <w:start w:val="1"/>
      <w:numFmt w:val="bullet"/>
      <w:lvlText w:val="o"/>
      <w:lvlJc w:val="left"/>
      <w:pPr>
        <w:tabs>
          <w:tab w:val="num" w:pos="3600"/>
        </w:tabs>
        <w:ind w:left="3600" w:hanging="360"/>
      </w:pPr>
      <w:rPr>
        <w:rFonts w:ascii="Courier New" w:hAnsi="Courier New"/>
      </w:rPr>
    </w:lvl>
    <w:lvl w:ilvl="5" w:tplc="BB787074">
      <w:start w:val="1"/>
      <w:numFmt w:val="bullet"/>
      <w:lvlText w:val=""/>
      <w:lvlJc w:val="left"/>
      <w:pPr>
        <w:tabs>
          <w:tab w:val="num" w:pos="4320"/>
        </w:tabs>
        <w:ind w:left="4320" w:hanging="360"/>
      </w:pPr>
      <w:rPr>
        <w:rFonts w:ascii="Wingdings" w:hAnsi="Wingdings"/>
      </w:rPr>
    </w:lvl>
    <w:lvl w:ilvl="6" w:tplc="9D5C72EA">
      <w:start w:val="1"/>
      <w:numFmt w:val="bullet"/>
      <w:lvlText w:val=""/>
      <w:lvlJc w:val="left"/>
      <w:pPr>
        <w:tabs>
          <w:tab w:val="num" w:pos="5040"/>
        </w:tabs>
        <w:ind w:left="5040" w:hanging="360"/>
      </w:pPr>
      <w:rPr>
        <w:rFonts w:ascii="Symbol" w:hAnsi="Symbol"/>
      </w:rPr>
    </w:lvl>
    <w:lvl w:ilvl="7" w:tplc="FDDC82F6">
      <w:start w:val="1"/>
      <w:numFmt w:val="bullet"/>
      <w:lvlText w:val="o"/>
      <w:lvlJc w:val="left"/>
      <w:pPr>
        <w:tabs>
          <w:tab w:val="num" w:pos="5760"/>
        </w:tabs>
        <w:ind w:left="5760" w:hanging="360"/>
      </w:pPr>
      <w:rPr>
        <w:rFonts w:ascii="Courier New" w:hAnsi="Courier New"/>
      </w:rPr>
    </w:lvl>
    <w:lvl w:ilvl="8" w:tplc="ADE0EAB8">
      <w:start w:val="1"/>
      <w:numFmt w:val="bullet"/>
      <w:lvlText w:val=""/>
      <w:lvlJc w:val="left"/>
      <w:pPr>
        <w:tabs>
          <w:tab w:val="num" w:pos="6480"/>
        </w:tabs>
        <w:ind w:left="6480" w:hanging="360"/>
      </w:pPr>
      <w:rPr>
        <w:rFonts w:ascii="Wingdings" w:hAnsi="Wingdings"/>
      </w:rPr>
    </w:lvl>
  </w:abstractNum>
  <w:abstractNum w:abstractNumId="661" w15:restartNumberingAfterBreak="0">
    <w:nsid w:val="72230757"/>
    <w:multiLevelType w:val="hybridMultilevel"/>
    <w:tmpl w:val="72230757"/>
    <w:lvl w:ilvl="0" w:tplc="946430B0">
      <w:start w:val="1"/>
      <w:numFmt w:val="bullet"/>
      <w:lvlText w:val=""/>
      <w:lvlJc w:val="left"/>
      <w:pPr>
        <w:ind w:left="720" w:hanging="360"/>
      </w:pPr>
      <w:rPr>
        <w:rFonts w:ascii="Symbol" w:hAnsi="Symbol"/>
      </w:rPr>
    </w:lvl>
    <w:lvl w:ilvl="1" w:tplc="20663416">
      <w:start w:val="1"/>
      <w:numFmt w:val="bullet"/>
      <w:lvlText w:val="o"/>
      <w:lvlJc w:val="left"/>
      <w:pPr>
        <w:tabs>
          <w:tab w:val="num" w:pos="1440"/>
        </w:tabs>
        <w:ind w:left="1440" w:hanging="360"/>
      </w:pPr>
      <w:rPr>
        <w:rFonts w:ascii="Courier New" w:hAnsi="Courier New"/>
      </w:rPr>
    </w:lvl>
    <w:lvl w:ilvl="2" w:tplc="79F2B9CA">
      <w:start w:val="1"/>
      <w:numFmt w:val="bullet"/>
      <w:lvlText w:val=""/>
      <w:lvlJc w:val="left"/>
      <w:pPr>
        <w:tabs>
          <w:tab w:val="num" w:pos="2160"/>
        </w:tabs>
        <w:ind w:left="2160" w:hanging="360"/>
      </w:pPr>
      <w:rPr>
        <w:rFonts w:ascii="Wingdings" w:hAnsi="Wingdings"/>
      </w:rPr>
    </w:lvl>
    <w:lvl w:ilvl="3" w:tplc="278470B4">
      <w:start w:val="1"/>
      <w:numFmt w:val="bullet"/>
      <w:lvlText w:val=""/>
      <w:lvlJc w:val="left"/>
      <w:pPr>
        <w:tabs>
          <w:tab w:val="num" w:pos="2880"/>
        </w:tabs>
        <w:ind w:left="2880" w:hanging="360"/>
      </w:pPr>
      <w:rPr>
        <w:rFonts w:ascii="Symbol" w:hAnsi="Symbol"/>
      </w:rPr>
    </w:lvl>
    <w:lvl w:ilvl="4" w:tplc="219475D2">
      <w:start w:val="1"/>
      <w:numFmt w:val="bullet"/>
      <w:lvlText w:val="o"/>
      <w:lvlJc w:val="left"/>
      <w:pPr>
        <w:tabs>
          <w:tab w:val="num" w:pos="3600"/>
        </w:tabs>
        <w:ind w:left="3600" w:hanging="360"/>
      </w:pPr>
      <w:rPr>
        <w:rFonts w:ascii="Courier New" w:hAnsi="Courier New"/>
      </w:rPr>
    </w:lvl>
    <w:lvl w:ilvl="5" w:tplc="6E74E0B0">
      <w:start w:val="1"/>
      <w:numFmt w:val="bullet"/>
      <w:lvlText w:val=""/>
      <w:lvlJc w:val="left"/>
      <w:pPr>
        <w:tabs>
          <w:tab w:val="num" w:pos="4320"/>
        </w:tabs>
        <w:ind w:left="4320" w:hanging="360"/>
      </w:pPr>
      <w:rPr>
        <w:rFonts w:ascii="Wingdings" w:hAnsi="Wingdings"/>
      </w:rPr>
    </w:lvl>
    <w:lvl w:ilvl="6" w:tplc="4E2EB9CC">
      <w:start w:val="1"/>
      <w:numFmt w:val="bullet"/>
      <w:lvlText w:val=""/>
      <w:lvlJc w:val="left"/>
      <w:pPr>
        <w:tabs>
          <w:tab w:val="num" w:pos="5040"/>
        </w:tabs>
        <w:ind w:left="5040" w:hanging="360"/>
      </w:pPr>
      <w:rPr>
        <w:rFonts w:ascii="Symbol" w:hAnsi="Symbol"/>
      </w:rPr>
    </w:lvl>
    <w:lvl w:ilvl="7" w:tplc="7D14EA2A">
      <w:start w:val="1"/>
      <w:numFmt w:val="bullet"/>
      <w:lvlText w:val="o"/>
      <w:lvlJc w:val="left"/>
      <w:pPr>
        <w:tabs>
          <w:tab w:val="num" w:pos="5760"/>
        </w:tabs>
        <w:ind w:left="5760" w:hanging="360"/>
      </w:pPr>
      <w:rPr>
        <w:rFonts w:ascii="Courier New" w:hAnsi="Courier New"/>
      </w:rPr>
    </w:lvl>
    <w:lvl w:ilvl="8" w:tplc="0346E796">
      <w:start w:val="1"/>
      <w:numFmt w:val="bullet"/>
      <w:lvlText w:val=""/>
      <w:lvlJc w:val="left"/>
      <w:pPr>
        <w:tabs>
          <w:tab w:val="num" w:pos="6480"/>
        </w:tabs>
        <w:ind w:left="6480" w:hanging="360"/>
      </w:pPr>
      <w:rPr>
        <w:rFonts w:ascii="Wingdings" w:hAnsi="Wingdings"/>
      </w:rPr>
    </w:lvl>
  </w:abstractNum>
  <w:abstractNum w:abstractNumId="662" w15:restartNumberingAfterBreak="0">
    <w:nsid w:val="72230758"/>
    <w:multiLevelType w:val="hybridMultilevel"/>
    <w:tmpl w:val="72230758"/>
    <w:lvl w:ilvl="0" w:tplc="83002778">
      <w:start w:val="1"/>
      <w:numFmt w:val="bullet"/>
      <w:lvlText w:val=""/>
      <w:lvlJc w:val="left"/>
      <w:pPr>
        <w:tabs>
          <w:tab w:val="num" w:pos="720"/>
        </w:tabs>
        <w:ind w:left="720" w:hanging="360"/>
      </w:pPr>
      <w:rPr>
        <w:rFonts w:ascii="Symbol" w:hAnsi="Symbol"/>
      </w:rPr>
    </w:lvl>
    <w:lvl w:ilvl="1" w:tplc="8370D180">
      <w:start w:val="1"/>
      <w:numFmt w:val="bullet"/>
      <w:lvlText w:val="o"/>
      <w:lvlJc w:val="left"/>
      <w:pPr>
        <w:tabs>
          <w:tab w:val="num" w:pos="1440"/>
        </w:tabs>
        <w:ind w:left="1440" w:hanging="360"/>
      </w:pPr>
      <w:rPr>
        <w:rFonts w:ascii="Courier New" w:hAnsi="Courier New"/>
      </w:rPr>
    </w:lvl>
    <w:lvl w:ilvl="2" w:tplc="DC5C3EB2">
      <w:start w:val="1"/>
      <w:numFmt w:val="bullet"/>
      <w:lvlText w:val=""/>
      <w:lvlJc w:val="left"/>
      <w:pPr>
        <w:tabs>
          <w:tab w:val="num" w:pos="2160"/>
        </w:tabs>
        <w:ind w:left="2160" w:hanging="360"/>
      </w:pPr>
      <w:rPr>
        <w:rFonts w:ascii="Wingdings" w:hAnsi="Wingdings"/>
      </w:rPr>
    </w:lvl>
    <w:lvl w:ilvl="3" w:tplc="A920CDDC">
      <w:start w:val="1"/>
      <w:numFmt w:val="bullet"/>
      <w:lvlText w:val=""/>
      <w:lvlJc w:val="left"/>
      <w:pPr>
        <w:tabs>
          <w:tab w:val="num" w:pos="2880"/>
        </w:tabs>
        <w:ind w:left="2880" w:hanging="360"/>
      </w:pPr>
      <w:rPr>
        <w:rFonts w:ascii="Symbol" w:hAnsi="Symbol"/>
      </w:rPr>
    </w:lvl>
    <w:lvl w:ilvl="4" w:tplc="1D6C24D2">
      <w:start w:val="1"/>
      <w:numFmt w:val="bullet"/>
      <w:lvlText w:val="o"/>
      <w:lvlJc w:val="left"/>
      <w:pPr>
        <w:tabs>
          <w:tab w:val="num" w:pos="3600"/>
        </w:tabs>
        <w:ind w:left="3600" w:hanging="360"/>
      </w:pPr>
      <w:rPr>
        <w:rFonts w:ascii="Courier New" w:hAnsi="Courier New"/>
      </w:rPr>
    </w:lvl>
    <w:lvl w:ilvl="5" w:tplc="F668AE50">
      <w:start w:val="1"/>
      <w:numFmt w:val="bullet"/>
      <w:lvlText w:val=""/>
      <w:lvlJc w:val="left"/>
      <w:pPr>
        <w:tabs>
          <w:tab w:val="num" w:pos="4320"/>
        </w:tabs>
        <w:ind w:left="4320" w:hanging="360"/>
      </w:pPr>
      <w:rPr>
        <w:rFonts w:ascii="Wingdings" w:hAnsi="Wingdings"/>
      </w:rPr>
    </w:lvl>
    <w:lvl w:ilvl="6" w:tplc="D8EE9BE2">
      <w:start w:val="1"/>
      <w:numFmt w:val="bullet"/>
      <w:lvlText w:val=""/>
      <w:lvlJc w:val="left"/>
      <w:pPr>
        <w:tabs>
          <w:tab w:val="num" w:pos="5040"/>
        </w:tabs>
        <w:ind w:left="5040" w:hanging="360"/>
      </w:pPr>
      <w:rPr>
        <w:rFonts w:ascii="Symbol" w:hAnsi="Symbol"/>
      </w:rPr>
    </w:lvl>
    <w:lvl w:ilvl="7" w:tplc="B0A2E74E">
      <w:start w:val="1"/>
      <w:numFmt w:val="bullet"/>
      <w:lvlText w:val="o"/>
      <w:lvlJc w:val="left"/>
      <w:pPr>
        <w:tabs>
          <w:tab w:val="num" w:pos="5760"/>
        </w:tabs>
        <w:ind w:left="5760" w:hanging="360"/>
      </w:pPr>
      <w:rPr>
        <w:rFonts w:ascii="Courier New" w:hAnsi="Courier New"/>
      </w:rPr>
    </w:lvl>
    <w:lvl w:ilvl="8" w:tplc="1FC2981A">
      <w:start w:val="1"/>
      <w:numFmt w:val="bullet"/>
      <w:lvlText w:val=""/>
      <w:lvlJc w:val="left"/>
      <w:pPr>
        <w:tabs>
          <w:tab w:val="num" w:pos="6480"/>
        </w:tabs>
        <w:ind w:left="6480" w:hanging="360"/>
      </w:pPr>
      <w:rPr>
        <w:rFonts w:ascii="Wingdings" w:hAnsi="Wingdings"/>
      </w:rPr>
    </w:lvl>
  </w:abstractNum>
  <w:abstractNum w:abstractNumId="663" w15:restartNumberingAfterBreak="0">
    <w:nsid w:val="72230759"/>
    <w:multiLevelType w:val="hybridMultilevel"/>
    <w:tmpl w:val="72230759"/>
    <w:lvl w:ilvl="0" w:tplc="F6D279E0">
      <w:start w:val="1"/>
      <w:numFmt w:val="bullet"/>
      <w:lvlText w:val=""/>
      <w:lvlJc w:val="left"/>
      <w:pPr>
        <w:ind w:left="720" w:hanging="360"/>
      </w:pPr>
      <w:rPr>
        <w:rFonts w:ascii="Symbol" w:hAnsi="Symbol"/>
      </w:rPr>
    </w:lvl>
    <w:lvl w:ilvl="1" w:tplc="0E4AA9E4">
      <w:start w:val="1"/>
      <w:numFmt w:val="bullet"/>
      <w:lvlText w:val="o"/>
      <w:lvlJc w:val="left"/>
      <w:pPr>
        <w:tabs>
          <w:tab w:val="num" w:pos="1440"/>
        </w:tabs>
        <w:ind w:left="1440" w:hanging="360"/>
      </w:pPr>
      <w:rPr>
        <w:rFonts w:ascii="Courier New" w:hAnsi="Courier New"/>
      </w:rPr>
    </w:lvl>
    <w:lvl w:ilvl="2" w:tplc="1DC0C842">
      <w:start w:val="1"/>
      <w:numFmt w:val="bullet"/>
      <w:lvlText w:val=""/>
      <w:lvlJc w:val="left"/>
      <w:pPr>
        <w:tabs>
          <w:tab w:val="num" w:pos="2160"/>
        </w:tabs>
        <w:ind w:left="2160" w:hanging="360"/>
      </w:pPr>
      <w:rPr>
        <w:rFonts w:ascii="Wingdings" w:hAnsi="Wingdings"/>
      </w:rPr>
    </w:lvl>
    <w:lvl w:ilvl="3" w:tplc="433253D0">
      <w:start w:val="1"/>
      <w:numFmt w:val="bullet"/>
      <w:lvlText w:val=""/>
      <w:lvlJc w:val="left"/>
      <w:pPr>
        <w:tabs>
          <w:tab w:val="num" w:pos="2880"/>
        </w:tabs>
        <w:ind w:left="2880" w:hanging="360"/>
      </w:pPr>
      <w:rPr>
        <w:rFonts w:ascii="Symbol" w:hAnsi="Symbol"/>
      </w:rPr>
    </w:lvl>
    <w:lvl w:ilvl="4" w:tplc="BED6CE76">
      <w:start w:val="1"/>
      <w:numFmt w:val="bullet"/>
      <w:lvlText w:val="o"/>
      <w:lvlJc w:val="left"/>
      <w:pPr>
        <w:tabs>
          <w:tab w:val="num" w:pos="3600"/>
        </w:tabs>
        <w:ind w:left="3600" w:hanging="360"/>
      </w:pPr>
      <w:rPr>
        <w:rFonts w:ascii="Courier New" w:hAnsi="Courier New"/>
      </w:rPr>
    </w:lvl>
    <w:lvl w:ilvl="5" w:tplc="3AEE0974">
      <w:start w:val="1"/>
      <w:numFmt w:val="bullet"/>
      <w:lvlText w:val=""/>
      <w:lvlJc w:val="left"/>
      <w:pPr>
        <w:tabs>
          <w:tab w:val="num" w:pos="4320"/>
        </w:tabs>
        <w:ind w:left="4320" w:hanging="360"/>
      </w:pPr>
      <w:rPr>
        <w:rFonts w:ascii="Wingdings" w:hAnsi="Wingdings"/>
      </w:rPr>
    </w:lvl>
    <w:lvl w:ilvl="6" w:tplc="185CDD3C">
      <w:start w:val="1"/>
      <w:numFmt w:val="bullet"/>
      <w:lvlText w:val=""/>
      <w:lvlJc w:val="left"/>
      <w:pPr>
        <w:tabs>
          <w:tab w:val="num" w:pos="5040"/>
        </w:tabs>
        <w:ind w:left="5040" w:hanging="360"/>
      </w:pPr>
      <w:rPr>
        <w:rFonts w:ascii="Symbol" w:hAnsi="Symbol"/>
      </w:rPr>
    </w:lvl>
    <w:lvl w:ilvl="7" w:tplc="FC14343E">
      <w:start w:val="1"/>
      <w:numFmt w:val="bullet"/>
      <w:lvlText w:val="o"/>
      <w:lvlJc w:val="left"/>
      <w:pPr>
        <w:tabs>
          <w:tab w:val="num" w:pos="5760"/>
        </w:tabs>
        <w:ind w:left="5760" w:hanging="360"/>
      </w:pPr>
      <w:rPr>
        <w:rFonts w:ascii="Courier New" w:hAnsi="Courier New"/>
      </w:rPr>
    </w:lvl>
    <w:lvl w:ilvl="8" w:tplc="A216A49E">
      <w:start w:val="1"/>
      <w:numFmt w:val="bullet"/>
      <w:lvlText w:val=""/>
      <w:lvlJc w:val="left"/>
      <w:pPr>
        <w:tabs>
          <w:tab w:val="num" w:pos="6480"/>
        </w:tabs>
        <w:ind w:left="6480" w:hanging="360"/>
      </w:pPr>
      <w:rPr>
        <w:rFonts w:ascii="Wingdings" w:hAnsi="Wingdings"/>
      </w:rPr>
    </w:lvl>
  </w:abstractNum>
  <w:abstractNum w:abstractNumId="664" w15:restartNumberingAfterBreak="0">
    <w:nsid w:val="7223075A"/>
    <w:multiLevelType w:val="hybridMultilevel"/>
    <w:tmpl w:val="7223075A"/>
    <w:lvl w:ilvl="0" w:tplc="E47AC5DA">
      <w:start w:val="1"/>
      <w:numFmt w:val="bullet"/>
      <w:lvlText w:val=""/>
      <w:lvlJc w:val="left"/>
      <w:pPr>
        <w:ind w:left="720" w:hanging="360"/>
      </w:pPr>
      <w:rPr>
        <w:rFonts w:ascii="Symbol" w:hAnsi="Symbol"/>
      </w:rPr>
    </w:lvl>
    <w:lvl w:ilvl="1" w:tplc="E74626BE">
      <w:start w:val="1"/>
      <w:numFmt w:val="bullet"/>
      <w:lvlText w:val="o"/>
      <w:lvlJc w:val="left"/>
      <w:pPr>
        <w:tabs>
          <w:tab w:val="num" w:pos="1440"/>
        </w:tabs>
        <w:ind w:left="1440" w:hanging="360"/>
      </w:pPr>
      <w:rPr>
        <w:rFonts w:ascii="Courier New" w:hAnsi="Courier New"/>
      </w:rPr>
    </w:lvl>
    <w:lvl w:ilvl="2" w:tplc="B46C041C">
      <w:start w:val="1"/>
      <w:numFmt w:val="bullet"/>
      <w:lvlText w:val=""/>
      <w:lvlJc w:val="left"/>
      <w:pPr>
        <w:tabs>
          <w:tab w:val="num" w:pos="2160"/>
        </w:tabs>
        <w:ind w:left="2160" w:hanging="360"/>
      </w:pPr>
      <w:rPr>
        <w:rFonts w:ascii="Wingdings" w:hAnsi="Wingdings"/>
      </w:rPr>
    </w:lvl>
    <w:lvl w:ilvl="3" w:tplc="11A8ACD6">
      <w:start w:val="1"/>
      <w:numFmt w:val="bullet"/>
      <w:lvlText w:val=""/>
      <w:lvlJc w:val="left"/>
      <w:pPr>
        <w:tabs>
          <w:tab w:val="num" w:pos="2880"/>
        </w:tabs>
        <w:ind w:left="2880" w:hanging="360"/>
      </w:pPr>
      <w:rPr>
        <w:rFonts w:ascii="Symbol" w:hAnsi="Symbol"/>
      </w:rPr>
    </w:lvl>
    <w:lvl w:ilvl="4" w:tplc="0FE08BD4">
      <w:start w:val="1"/>
      <w:numFmt w:val="bullet"/>
      <w:lvlText w:val="o"/>
      <w:lvlJc w:val="left"/>
      <w:pPr>
        <w:tabs>
          <w:tab w:val="num" w:pos="3600"/>
        </w:tabs>
        <w:ind w:left="3600" w:hanging="360"/>
      </w:pPr>
      <w:rPr>
        <w:rFonts w:ascii="Courier New" w:hAnsi="Courier New"/>
      </w:rPr>
    </w:lvl>
    <w:lvl w:ilvl="5" w:tplc="D33E9FF6">
      <w:start w:val="1"/>
      <w:numFmt w:val="bullet"/>
      <w:lvlText w:val=""/>
      <w:lvlJc w:val="left"/>
      <w:pPr>
        <w:tabs>
          <w:tab w:val="num" w:pos="4320"/>
        </w:tabs>
        <w:ind w:left="4320" w:hanging="360"/>
      </w:pPr>
      <w:rPr>
        <w:rFonts w:ascii="Wingdings" w:hAnsi="Wingdings"/>
      </w:rPr>
    </w:lvl>
    <w:lvl w:ilvl="6" w:tplc="2CDEA9A4">
      <w:start w:val="1"/>
      <w:numFmt w:val="bullet"/>
      <w:lvlText w:val=""/>
      <w:lvlJc w:val="left"/>
      <w:pPr>
        <w:tabs>
          <w:tab w:val="num" w:pos="5040"/>
        </w:tabs>
        <w:ind w:left="5040" w:hanging="360"/>
      </w:pPr>
      <w:rPr>
        <w:rFonts w:ascii="Symbol" w:hAnsi="Symbol"/>
      </w:rPr>
    </w:lvl>
    <w:lvl w:ilvl="7" w:tplc="6CE06986">
      <w:start w:val="1"/>
      <w:numFmt w:val="bullet"/>
      <w:lvlText w:val="o"/>
      <w:lvlJc w:val="left"/>
      <w:pPr>
        <w:tabs>
          <w:tab w:val="num" w:pos="5760"/>
        </w:tabs>
        <w:ind w:left="5760" w:hanging="360"/>
      </w:pPr>
      <w:rPr>
        <w:rFonts w:ascii="Courier New" w:hAnsi="Courier New"/>
      </w:rPr>
    </w:lvl>
    <w:lvl w:ilvl="8" w:tplc="997A4AF8">
      <w:start w:val="1"/>
      <w:numFmt w:val="bullet"/>
      <w:lvlText w:val=""/>
      <w:lvlJc w:val="left"/>
      <w:pPr>
        <w:tabs>
          <w:tab w:val="num" w:pos="6480"/>
        </w:tabs>
        <w:ind w:left="6480" w:hanging="360"/>
      </w:pPr>
      <w:rPr>
        <w:rFonts w:ascii="Wingdings" w:hAnsi="Wingdings"/>
      </w:rPr>
    </w:lvl>
  </w:abstractNum>
  <w:abstractNum w:abstractNumId="665" w15:restartNumberingAfterBreak="0">
    <w:nsid w:val="7223075B"/>
    <w:multiLevelType w:val="hybridMultilevel"/>
    <w:tmpl w:val="7223075B"/>
    <w:lvl w:ilvl="0" w:tplc="8A6481B0">
      <w:start w:val="1"/>
      <w:numFmt w:val="bullet"/>
      <w:lvlText w:val=""/>
      <w:lvlJc w:val="left"/>
      <w:pPr>
        <w:ind w:left="720" w:hanging="360"/>
      </w:pPr>
      <w:rPr>
        <w:rFonts w:ascii="Symbol" w:hAnsi="Symbol"/>
      </w:rPr>
    </w:lvl>
    <w:lvl w:ilvl="1" w:tplc="DF9AD1BE">
      <w:start w:val="1"/>
      <w:numFmt w:val="bullet"/>
      <w:lvlText w:val="o"/>
      <w:lvlJc w:val="left"/>
      <w:pPr>
        <w:tabs>
          <w:tab w:val="num" w:pos="1440"/>
        </w:tabs>
        <w:ind w:left="1440" w:hanging="360"/>
      </w:pPr>
      <w:rPr>
        <w:rFonts w:ascii="Courier New" w:hAnsi="Courier New"/>
      </w:rPr>
    </w:lvl>
    <w:lvl w:ilvl="2" w:tplc="EE586106">
      <w:start w:val="1"/>
      <w:numFmt w:val="bullet"/>
      <w:lvlText w:val=""/>
      <w:lvlJc w:val="left"/>
      <w:pPr>
        <w:tabs>
          <w:tab w:val="num" w:pos="2160"/>
        </w:tabs>
        <w:ind w:left="2160" w:hanging="360"/>
      </w:pPr>
      <w:rPr>
        <w:rFonts w:ascii="Wingdings" w:hAnsi="Wingdings"/>
      </w:rPr>
    </w:lvl>
    <w:lvl w:ilvl="3" w:tplc="929AC418">
      <w:start w:val="1"/>
      <w:numFmt w:val="bullet"/>
      <w:lvlText w:val=""/>
      <w:lvlJc w:val="left"/>
      <w:pPr>
        <w:tabs>
          <w:tab w:val="num" w:pos="2880"/>
        </w:tabs>
        <w:ind w:left="2880" w:hanging="360"/>
      </w:pPr>
      <w:rPr>
        <w:rFonts w:ascii="Symbol" w:hAnsi="Symbol"/>
      </w:rPr>
    </w:lvl>
    <w:lvl w:ilvl="4" w:tplc="732E070E">
      <w:start w:val="1"/>
      <w:numFmt w:val="bullet"/>
      <w:lvlText w:val="o"/>
      <w:lvlJc w:val="left"/>
      <w:pPr>
        <w:tabs>
          <w:tab w:val="num" w:pos="3600"/>
        </w:tabs>
        <w:ind w:left="3600" w:hanging="360"/>
      </w:pPr>
      <w:rPr>
        <w:rFonts w:ascii="Courier New" w:hAnsi="Courier New"/>
      </w:rPr>
    </w:lvl>
    <w:lvl w:ilvl="5" w:tplc="EE282E80">
      <w:start w:val="1"/>
      <w:numFmt w:val="bullet"/>
      <w:lvlText w:val=""/>
      <w:lvlJc w:val="left"/>
      <w:pPr>
        <w:tabs>
          <w:tab w:val="num" w:pos="4320"/>
        </w:tabs>
        <w:ind w:left="4320" w:hanging="360"/>
      </w:pPr>
      <w:rPr>
        <w:rFonts w:ascii="Wingdings" w:hAnsi="Wingdings"/>
      </w:rPr>
    </w:lvl>
    <w:lvl w:ilvl="6" w:tplc="41247548">
      <w:start w:val="1"/>
      <w:numFmt w:val="bullet"/>
      <w:lvlText w:val=""/>
      <w:lvlJc w:val="left"/>
      <w:pPr>
        <w:tabs>
          <w:tab w:val="num" w:pos="5040"/>
        </w:tabs>
        <w:ind w:left="5040" w:hanging="360"/>
      </w:pPr>
      <w:rPr>
        <w:rFonts w:ascii="Symbol" w:hAnsi="Symbol"/>
      </w:rPr>
    </w:lvl>
    <w:lvl w:ilvl="7" w:tplc="C68EEBC2">
      <w:start w:val="1"/>
      <w:numFmt w:val="bullet"/>
      <w:lvlText w:val="o"/>
      <w:lvlJc w:val="left"/>
      <w:pPr>
        <w:tabs>
          <w:tab w:val="num" w:pos="5760"/>
        </w:tabs>
        <w:ind w:left="5760" w:hanging="360"/>
      </w:pPr>
      <w:rPr>
        <w:rFonts w:ascii="Courier New" w:hAnsi="Courier New"/>
      </w:rPr>
    </w:lvl>
    <w:lvl w:ilvl="8" w:tplc="3998D5C0">
      <w:start w:val="1"/>
      <w:numFmt w:val="bullet"/>
      <w:lvlText w:val=""/>
      <w:lvlJc w:val="left"/>
      <w:pPr>
        <w:tabs>
          <w:tab w:val="num" w:pos="6480"/>
        </w:tabs>
        <w:ind w:left="6480" w:hanging="360"/>
      </w:pPr>
      <w:rPr>
        <w:rFonts w:ascii="Wingdings" w:hAnsi="Wingdings"/>
      </w:rPr>
    </w:lvl>
  </w:abstractNum>
  <w:abstractNum w:abstractNumId="666" w15:restartNumberingAfterBreak="0">
    <w:nsid w:val="7223075C"/>
    <w:multiLevelType w:val="hybridMultilevel"/>
    <w:tmpl w:val="7223075C"/>
    <w:lvl w:ilvl="0" w:tplc="077A4F80">
      <w:start w:val="1"/>
      <w:numFmt w:val="bullet"/>
      <w:lvlText w:val=""/>
      <w:lvlJc w:val="left"/>
      <w:pPr>
        <w:ind w:left="720" w:hanging="360"/>
      </w:pPr>
      <w:rPr>
        <w:rFonts w:ascii="Symbol" w:hAnsi="Symbol"/>
      </w:rPr>
    </w:lvl>
    <w:lvl w:ilvl="1" w:tplc="7060B746">
      <w:start w:val="1"/>
      <w:numFmt w:val="bullet"/>
      <w:lvlText w:val="o"/>
      <w:lvlJc w:val="left"/>
      <w:pPr>
        <w:tabs>
          <w:tab w:val="num" w:pos="1440"/>
        </w:tabs>
        <w:ind w:left="1440" w:hanging="360"/>
      </w:pPr>
      <w:rPr>
        <w:rFonts w:ascii="Courier New" w:hAnsi="Courier New"/>
      </w:rPr>
    </w:lvl>
    <w:lvl w:ilvl="2" w:tplc="901A96F8">
      <w:start w:val="1"/>
      <w:numFmt w:val="bullet"/>
      <w:lvlText w:val=""/>
      <w:lvlJc w:val="left"/>
      <w:pPr>
        <w:tabs>
          <w:tab w:val="num" w:pos="2160"/>
        </w:tabs>
        <w:ind w:left="2160" w:hanging="360"/>
      </w:pPr>
      <w:rPr>
        <w:rFonts w:ascii="Wingdings" w:hAnsi="Wingdings"/>
      </w:rPr>
    </w:lvl>
    <w:lvl w:ilvl="3" w:tplc="2F2CF122">
      <w:start w:val="1"/>
      <w:numFmt w:val="bullet"/>
      <w:lvlText w:val=""/>
      <w:lvlJc w:val="left"/>
      <w:pPr>
        <w:tabs>
          <w:tab w:val="num" w:pos="2880"/>
        </w:tabs>
        <w:ind w:left="2880" w:hanging="360"/>
      </w:pPr>
      <w:rPr>
        <w:rFonts w:ascii="Symbol" w:hAnsi="Symbol"/>
      </w:rPr>
    </w:lvl>
    <w:lvl w:ilvl="4" w:tplc="4990AAD0">
      <w:start w:val="1"/>
      <w:numFmt w:val="bullet"/>
      <w:lvlText w:val="o"/>
      <w:lvlJc w:val="left"/>
      <w:pPr>
        <w:tabs>
          <w:tab w:val="num" w:pos="3600"/>
        </w:tabs>
        <w:ind w:left="3600" w:hanging="360"/>
      </w:pPr>
      <w:rPr>
        <w:rFonts w:ascii="Courier New" w:hAnsi="Courier New"/>
      </w:rPr>
    </w:lvl>
    <w:lvl w:ilvl="5" w:tplc="83D87A96">
      <w:start w:val="1"/>
      <w:numFmt w:val="bullet"/>
      <w:lvlText w:val=""/>
      <w:lvlJc w:val="left"/>
      <w:pPr>
        <w:tabs>
          <w:tab w:val="num" w:pos="4320"/>
        </w:tabs>
        <w:ind w:left="4320" w:hanging="360"/>
      </w:pPr>
      <w:rPr>
        <w:rFonts w:ascii="Wingdings" w:hAnsi="Wingdings"/>
      </w:rPr>
    </w:lvl>
    <w:lvl w:ilvl="6" w:tplc="3AC02B3A">
      <w:start w:val="1"/>
      <w:numFmt w:val="bullet"/>
      <w:lvlText w:val=""/>
      <w:lvlJc w:val="left"/>
      <w:pPr>
        <w:tabs>
          <w:tab w:val="num" w:pos="5040"/>
        </w:tabs>
        <w:ind w:left="5040" w:hanging="360"/>
      </w:pPr>
      <w:rPr>
        <w:rFonts w:ascii="Symbol" w:hAnsi="Symbol"/>
      </w:rPr>
    </w:lvl>
    <w:lvl w:ilvl="7" w:tplc="C91EFC50">
      <w:start w:val="1"/>
      <w:numFmt w:val="bullet"/>
      <w:lvlText w:val="o"/>
      <w:lvlJc w:val="left"/>
      <w:pPr>
        <w:tabs>
          <w:tab w:val="num" w:pos="5760"/>
        </w:tabs>
        <w:ind w:left="5760" w:hanging="360"/>
      </w:pPr>
      <w:rPr>
        <w:rFonts w:ascii="Courier New" w:hAnsi="Courier New"/>
      </w:rPr>
    </w:lvl>
    <w:lvl w:ilvl="8" w:tplc="1AA0CCF6">
      <w:start w:val="1"/>
      <w:numFmt w:val="bullet"/>
      <w:lvlText w:val=""/>
      <w:lvlJc w:val="left"/>
      <w:pPr>
        <w:tabs>
          <w:tab w:val="num" w:pos="6480"/>
        </w:tabs>
        <w:ind w:left="6480" w:hanging="360"/>
      </w:pPr>
      <w:rPr>
        <w:rFonts w:ascii="Wingdings" w:hAnsi="Wingdings"/>
      </w:rPr>
    </w:lvl>
  </w:abstractNum>
  <w:abstractNum w:abstractNumId="667" w15:restartNumberingAfterBreak="0">
    <w:nsid w:val="7223075D"/>
    <w:multiLevelType w:val="hybridMultilevel"/>
    <w:tmpl w:val="7223075D"/>
    <w:lvl w:ilvl="0" w:tplc="CE3A2D3E">
      <w:start w:val="1"/>
      <w:numFmt w:val="bullet"/>
      <w:lvlText w:val=""/>
      <w:lvlJc w:val="left"/>
      <w:pPr>
        <w:tabs>
          <w:tab w:val="num" w:pos="720"/>
        </w:tabs>
        <w:ind w:left="720" w:hanging="360"/>
      </w:pPr>
      <w:rPr>
        <w:rFonts w:ascii="Symbol" w:hAnsi="Symbol"/>
      </w:rPr>
    </w:lvl>
    <w:lvl w:ilvl="1" w:tplc="F94C5B3C">
      <w:start w:val="1"/>
      <w:numFmt w:val="bullet"/>
      <w:lvlText w:val="o"/>
      <w:lvlJc w:val="left"/>
      <w:pPr>
        <w:tabs>
          <w:tab w:val="num" w:pos="1440"/>
        </w:tabs>
        <w:ind w:left="1440" w:hanging="360"/>
      </w:pPr>
      <w:rPr>
        <w:rFonts w:ascii="Courier New" w:hAnsi="Courier New"/>
      </w:rPr>
    </w:lvl>
    <w:lvl w:ilvl="2" w:tplc="82AC9AA6">
      <w:start w:val="1"/>
      <w:numFmt w:val="bullet"/>
      <w:lvlText w:val=""/>
      <w:lvlJc w:val="left"/>
      <w:pPr>
        <w:tabs>
          <w:tab w:val="num" w:pos="2160"/>
        </w:tabs>
        <w:ind w:left="2160" w:hanging="360"/>
      </w:pPr>
      <w:rPr>
        <w:rFonts w:ascii="Wingdings" w:hAnsi="Wingdings"/>
      </w:rPr>
    </w:lvl>
    <w:lvl w:ilvl="3" w:tplc="46B4ED26">
      <w:start w:val="1"/>
      <w:numFmt w:val="bullet"/>
      <w:lvlText w:val=""/>
      <w:lvlJc w:val="left"/>
      <w:pPr>
        <w:tabs>
          <w:tab w:val="num" w:pos="2880"/>
        </w:tabs>
        <w:ind w:left="2880" w:hanging="360"/>
      </w:pPr>
      <w:rPr>
        <w:rFonts w:ascii="Symbol" w:hAnsi="Symbol"/>
      </w:rPr>
    </w:lvl>
    <w:lvl w:ilvl="4" w:tplc="5F969BE6">
      <w:start w:val="1"/>
      <w:numFmt w:val="bullet"/>
      <w:lvlText w:val="o"/>
      <w:lvlJc w:val="left"/>
      <w:pPr>
        <w:tabs>
          <w:tab w:val="num" w:pos="3600"/>
        </w:tabs>
        <w:ind w:left="3600" w:hanging="360"/>
      </w:pPr>
      <w:rPr>
        <w:rFonts w:ascii="Courier New" w:hAnsi="Courier New"/>
      </w:rPr>
    </w:lvl>
    <w:lvl w:ilvl="5" w:tplc="57246170">
      <w:start w:val="1"/>
      <w:numFmt w:val="bullet"/>
      <w:lvlText w:val=""/>
      <w:lvlJc w:val="left"/>
      <w:pPr>
        <w:tabs>
          <w:tab w:val="num" w:pos="4320"/>
        </w:tabs>
        <w:ind w:left="4320" w:hanging="360"/>
      </w:pPr>
      <w:rPr>
        <w:rFonts w:ascii="Wingdings" w:hAnsi="Wingdings"/>
      </w:rPr>
    </w:lvl>
    <w:lvl w:ilvl="6" w:tplc="64FA6880">
      <w:start w:val="1"/>
      <w:numFmt w:val="bullet"/>
      <w:lvlText w:val=""/>
      <w:lvlJc w:val="left"/>
      <w:pPr>
        <w:tabs>
          <w:tab w:val="num" w:pos="5040"/>
        </w:tabs>
        <w:ind w:left="5040" w:hanging="360"/>
      </w:pPr>
      <w:rPr>
        <w:rFonts w:ascii="Symbol" w:hAnsi="Symbol"/>
      </w:rPr>
    </w:lvl>
    <w:lvl w:ilvl="7" w:tplc="764827DC">
      <w:start w:val="1"/>
      <w:numFmt w:val="bullet"/>
      <w:lvlText w:val="o"/>
      <w:lvlJc w:val="left"/>
      <w:pPr>
        <w:tabs>
          <w:tab w:val="num" w:pos="5760"/>
        </w:tabs>
        <w:ind w:left="5760" w:hanging="360"/>
      </w:pPr>
      <w:rPr>
        <w:rFonts w:ascii="Courier New" w:hAnsi="Courier New"/>
      </w:rPr>
    </w:lvl>
    <w:lvl w:ilvl="8" w:tplc="A37435C8">
      <w:start w:val="1"/>
      <w:numFmt w:val="bullet"/>
      <w:lvlText w:val=""/>
      <w:lvlJc w:val="left"/>
      <w:pPr>
        <w:tabs>
          <w:tab w:val="num" w:pos="6480"/>
        </w:tabs>
        <w:ind w:left="6480" w:hanging="360"/>
      </w:pPr>
      <w:rPr>
        <w:rFonts w:ascii="Wingdings" w:hAnsi="Wingdings"/>
      </w:rPr>
    </w:lvl>
  </w:abstractNum>
  <w:abstractNum w:abstractNumId="668" w15:restartNumberingAfterBreak="0">
    <w:nsid w:val="7223075E"/>
    <w:multiLevelType w:val="hybridMultilevel"/>
    <w:tmpl w:val="7223075E"/>
    <w:lvl w:ilvl="0" w:tplc="A35209F0">
      <w:start w:val="1"/>
      <w:numFmt w:val="bullet"/>
      <w:lvlText w:val=""/>
      <w:lvlJc w:val="left"/>
      <w:pPr>
        <w:ind w:left="720" w:hanging="360"/>
      </w:pPr>
      <w:rPr>
        <w:rFonts w:ascii="Symbol" w:hAnsi="Symbol"/>
      </w:rPr>
    </w:lvl>
    <w:lvl w:ilvl="1" w:tplc="AB2AED50">
      <w:start w:val="1"/>
      <w:numFmt w:val="bullet"/>
      <w:lvlText w:val="o"/>
      <w:lvlJc w:val="left"/>
      <w:pPr>
        <w:tabs>
          <w:tab w:val="num" w:pos="1440"/>
        </w:tabs>
        <w:ind w:left="1440" w:hanging="360"/>
      </w:pPr>
      <w:rPr>
        <w:rFonts w:ascii="Courier New" w:hAnsi="Courier New"/>
      </w:rPr>
    </w:lvl>
    <w:lvl w:ilvl="2" w:tplc="ACE2E722">
      <w:start w:val="1"/>
      <w:numFmt w:val="bullet"/>
      <w:lvlText w:val=""/>
      <w:lvlJc w:val="left"/>
      <w:pPr>
        <w:tabs>
          <w:tab w:val="num" w:pos="2160"/>
        </w:tabs>
        <w:ind w:left="2160" w:hanging="360"/>
      </w:pPr>
      <w:rPr>
        <w:rFonts w:ascii="Wingdings" w:hAnsi="Wingdings"/>
      </w:rPr>
    </w:lvl>
    <w:lvl w:ilvl="3" w:tplc="964C5ACA">
      <w:start w:val="1"/>
      <w:numFmt w:val="bullet"/>
      <w:lvlText w:val=""/>
      <w:lvlJc w:val="left"/>
      <w:pPr>
        <w:tabs>
          <w:tab w:val="num" w:pos="2880"/>
        </w:tabs>
        <w:ind w:left="2880" w:hanging="360"/>
      </w:pPr>
      <w:rPr>
        <w:rFonts w:ascii="Symbol" w:hAnsi="Symbol"/>
      </w:rPr>
    </w:lvl>
    <w:lvl w:ilvl="4" w:tplc="53EE2294">
      <w:start w:val="1"/>
      <w:numFmt w:val="bullet"/>
      <w:lvlText w:val="o"/>
      <w:lvlJc w:val="left"/>
      <w:pPr>
        <w:tabs>
          <w:tab w:val="num" w:pos="3600"/>
        </w:tabs>
        <w:ind w:left="3600" w:hanging="360"/>
      </w:pPr>
      <w:rPr>
        <w:rFonts w:ascii="Courier New" w:hAnsi="Courier New"/>
      </w:rPr>
    </w:lvl>
    <w:lvl w:ilvl="5" w:tplc="0B2257A6">
      <w:start w:val="1"/>
      <w:numFmt w:val="bullet"/>
      <w:lvlText w:val=""/>
      <w:lvlJc w:val="left"/>
      <w:pPr>
        <w:tabs>
          <w:tab w:val="num" w:pos="4320"/>
        </w:tabs>
        <w:ind w:left="4320" w:hanging="360"/>
      </w:pPr>
      <w:rPr>
        <w:rFonts w:ascii="Wingdings" w:hAnsi="Wingdings"/>
      </w:rPr>
    </w:lvl>
    <w:lvl w:ilvl="6" w:tplc="E466C96E">
      <w:start w:val="1"/>
      <w:numFmt w:val="bullet"/>
      <w:lvlText w:val=""/>
      <w:lvlJc w:val="left"/>
      <w:pPr>
        <w:tabs>
          <w:tab w:val="num" w:pos="5040"/>
        </w:tabs>
        <w:ind w:left="5040" w:hanging="360"/>
      </w:pPr>
      <w:rPr>
        <w:rFonts w:ascii="Symbol" w:hAnsi="Symbol"/>
      </w:rPr>
    </w:lvl>
    <w:lvl w:ilvl="7" w:tplc="2A94C632">
      <w:start w:val="1"/>
      <w:numFmt w:val="bullet"/>
      <w:lvlText w:val="o"/>
      <w:lvlJc w:val="left"/>
      <w:pPr>
        <w:tabs>
          <w:tab w:val="num" w:pos="5760"/>
        </w:tabs>
        <w:ind w:left="5760" w:hanging="360"/>
      </w:pPr>
      <w:rPr>
        <w:rFonts w:ascii="Courier New" w:hAnsi="Courier New"/>
      </w:rPr>
    </w:lvl>
    <w:lvl w:ilvl="8" w:tplc="F44208DC">
      <w:start w:val="1"/>
      <w:numFmt w:val="bullet"/>
      <w:lvlText w:val=""/>
      <w:lvlJc w:val="left"/>
      <w:pPr>
        <w:tabs>
          <w:tab w:val="num" w:pos="6480"/>
        </w:tabs>
        <w:ind w:left="6480" w:hanging="360"/>
      </w:pPr>
      <w:rPr>
        <w:rFonts w:ascii="Wingdings" w:hAnsi="Wingdings"/>
      </w:rPr>
    </w:lvl>
  </w:abstractNum>
  <w:abstractNum w:abstractNumId="669" w15:restartNumberingAfterBreak="0">
    <w:nsid w:val="7223075F"/>
    <w:multiLevelType w:val="hybridMultilevel"/>
    <w:tmpl w:val="7223075F"/>
    <w:lvl w:ilvl="0" w:tplc="04545AE8">
      <w:start w:val="1"/>
      <w:numFmt w:val="bullet"/>
      <w:lvlText w:val=""/>
      <w:lvlJc w:val="left"/>
      <w:pPr>
        <w:ind w:left="720" w:hanging="360"/>
      </w:pPr>
      <w:rPr>
        <w:rFonts w:ascii="Symbol" w:hAnsi="Symbol"/>
      </w:rPr>
    </w:lvl>
    <w:lvl w:ilvl="1" w:tplc="F536B838">
      <w:start w:val="1"/>
      <w:numFmt w:val="bullet"/>
      <w:lvlText w:val="o"/>
      <w:lvlJc w:val="left"/>
      <w:pPr>
        <w:tabs>
          <w:tab w:val="num" w:pos="1440"/>
        </w:tabs>
        <w:ind w:left="1440" w:hanging="360"/>
      </w:pPr>
      <w:rPr>
        <w:rFonts w:ascii="Courier New" w:hAnsi="Courier New"/>
      </w:rPr>
    </w:lvl>
    <w:lvl w:ilvl="2" w:tplc="C6E864D6">
      <w:start w:val="1"/>
      <w:numFmt w:val="bullet"/>
      <w:lvlText w:val=""/>
      <w:lvlJc w:val="left"/>
      <w:pPr>
        <w:tabs>
          <w:tab w:val="num" w:pos="2160"/>
        </w:tabs>
        <w:ind w:left="2160" w:hanging="360"/>
      </w:pPr>
      <w:rPr>
        <w:rFonts w:ascii="Wingdings" w:hAnsi="Wingdings"/>
      </w:rPr>
    </w:lvl>
    <w:lvl w:ilvl="3" w:tplc="01B6E030">
      <w:start w:val="1"/>
      <w:numFmt w:val="bullet"/>
      <w:lvlText w:val=""/>
      <w:lvlJc w:val="left"/>
      <w:pPr>
        <w:tabs>
          <w:tab w:val="num" w:pos="2880"/>
        </w:tabs>
        <w:ind w:left="2880" w:hanging="360"/>
      </w:pPr>
      <w:rPr>
        <w:rFonts w:ascii="Symbol" w:hAnsi="Symbol"/>
      </w:rPr>
    </w:lvl>
    <w:lvl w:ilvl="4" w:tplc="23D62ADC">
      <w:start w:val="1"/>
      <w:numFmt w:val="bullet"/>
      <w:lvlText w:val="o"/>
      <w:lvlJc w:val="left"/>
      <w:pPr>
        <w:tabs>
          <w:tab w:val="num" w:pos="3600"/>
        </w:tabs>
        <w:ind w:left="3600" w:hanging="360"/>
      </w:pPr>
      <w:rPr>
        <w:rFonts w:ascii="Courier New" w:hAnsi="Courier New"/>
      </w:rPr>
    </w:lvl>
    <w:lvl w:ilvl="5" w:tplc="97181B12">
      <w:start w:val="1"/>
      <w:numFmt w:val="bullet"/>
      <w:lvlText w:val=""/>
      <w:lvlJc w:val="left"/>
      <w:pPr>
        <w:tabs>
          <w:tab w:val="num" w:pos="4320"/>
        </w:tabs>
        <w:ind w:left="4320" w:hanging="360"/>
      </w:pPr>
      <w:rPr>
        <w:rFonts w:ascii="Wingdings" w:hAnsi="Wingdings"/>
      </w:rPr>
    </w:lvl>
    <w:lvl w:ilvl="6" w:tplc="0368133E">
      <w:start w:val="1"/>
      <w:numFmt w:val="bullet"/>
      <w:lvlText w:val=""/>
      <w:lvlJc w:val="left"/>
      <w:pPr>
        <w:tabs>
          <w:tab w:val="num" w:pos="5040"/>
        </w:tabs>
        <w:ind w:left="5040" w:hanging="360"/>
      </w:pPr>
      <w:rPr>
        <w:rFonts w:ascii="Symbol" w:hAnsi="Symbol"/>
      </w:rPr>
    </w:lvl>
    <w:lvl w:ilvl="7" w:tplc="76C4B55E">
      <w:start w:val="1"/>
      <w:numFmt w:val="bullet"/>
      <w:lvlText w:val="o"/>
      <w:lvlJc w:val="left"/>
      <w:pPr>
        <w:tabs>
          <w:tab w:val="num" w:pos="5760"/>
        </w:tabs>
        <w:ind w:left="5760" w:hanging="360"/>
      </w:pPr>
      <w:rPr>
        <w:rFonts w:ascii="Courier New" w:hAnsi="Courier New"/>
      </w:rPr>
    </w:lvl>
    <w:lvl w:ilvl="8" w:tplc="75C8EA18">
      <w:start w:val="1"/>
      <w:numFmt w:val="bullet"/>
      <w:lvlText w:val=""/>
      <w:lvlJc w:val="left"/>
      <w:pPr>
        <w:tabs>
          <w:tab w:val="num" w:pos="6480"/>
        </w:tabs>
        <w:ind w:left="6480" w:hanging="360"/>
      </w:pPr>
      <w:rPr>
        <w:rFonts w:ascii="Wingdings" w:hAnsi="Wingdings"/>
      </w:rPr>
    </w:lvl>
  </w:abstractNum>
  <w:abstractNum w:abstractNumId="670" w15:restartNumberingAfterBreak="0">
    <w:nsid w:val="72230760"/>
    <w:multiLevelType w:val="hybridMultilevel"/>
    <w:tmpl w:val="72230760"/>
    <w:lvl w:ilvl="0" w:tplc="5AFC1198">
      <w:start w:val="1"/>
      <w:numFmt w:val="bullet"/>
      <w:lvlText w:val=""/>
      <w:lvlJc w:val="left"/>
      <w:pPr>
        <w:ind w:left="720" w:hanging="360"/>
      </w:pPr>
      <w:rPr>
        <w:rFonts w:ascii="Symbol" w:hAnsi="Symbol"/>
      </w:rPr>
    </w:lvl>
    <w:lvl w:ilvl="1" w:tplc="524EE62A">
      <w:start w:val="1"/>
      <w:numFmt w:val="bullet"/>
      <w:lvlText w:val="o"/>
      <w:lvlJc w:val="left"/>
      <w:pPr>
        <w:tabs>
          <w:tab w:val="num" w:pos="1440"/>
        </w:tabs>
        <w:ind w:left="1440" w:hanging="360"/>
      </w:pPr>
      <w:rPr>
        <w:rFonts w:ascii="Courier New" w:hAnsi="Courier New"/>
      </w:rPr>
    </w:lvl>
    <w:lvl w:ilvl="2" w:tplc="9FFAB804">
      <w:start w:val="1"/>
      <w:numFmt w:val="bullet"/>
      <w:lvlText w:val=""/>
      <w:lvlJc w:val="left"/>
      <w:pPr>
        <w:tabs>
          <w:tab w:val="num" w:pos="2160"/>
        </w:tabs>
        <w:ind w:left="2160" w:hanging="360"/>
      </w:pPr>
      <w:rPr>
        <w:rFonts w:ascii="Wingdings" w:hAnsi="Wingdings"/>
      </w:rPr>
    </w:lvl>
    <w:lvl w:ilvl="3" w:tplc="F1B67936">
      <w:start w:val="1"/>
      <w:numFmt w:val="bullet"/>
      <w:lvlText w:val=""/>
      <w:lvlJc w:val="left"/>
      <w:pPr>
        <w:tabs>
          <w:tab w:val="num" w:pos="2880"/>
        </w:tabs>
        <w:ind w:left="2880" w:hanging="360"/>
      </w:pPr>
      <w:rPr>
        <w:rFonts w:ascii="Symbol" w:hAnsi="Symbol"/>
      </w:rPr>
    </w:lvl>
    <w:lvl w:ilvl="4" w:tplc="6E8452CC">
      <w:start w:val="1"/>
      <w:numFmt w:val="bullet"/>
      <w:lvlText w:val="o"/>
      <w:lvlJc w:val="left"/>
      <w:pPr>
        <w:tabs>
          <w:tab w:val="num" w:pos="3600"/>
        </w:tabs>
        <w:ind w:left="3600" w:hanging="360"/>
      </w:pPr>
      <w:rPr>
        <w:rFonts w:ascii="Courier New" w:hAnsi="Courier New"/>
      </w:rPr>
    </w:lvl>
    <w:lvl w:ilvl="5" w:tplc="CFB84582">
      <w:start w:val="1"/>
      <w:numFmt w:val="bullet"/>
      <w:lvlText w:val=""/>
      <w:lvlJc w:val="left"/>
      <w:pPr>
        <w:tabs>
          <w:tab w:val="num" w:pos="4320"/>
        </w:tabs>
        <w:ind w:left="4320" w:hanging="360"/>
      </w:pPr>
      <w:rPr>
        <w:rFonts w:ascii="Wingdings" w:hAnsi="Wingdings"/>
      </w:rPr>
    </w:lvl>
    <w:lvl w:ilvl="6" w:tplc="1E26DD46">
      <w:start w:val="1"/>
      <w:numFmt w:val="bullet"/>
      <w:lvlText w:val=""/>
      <w:lvlJc w:val="left"/>
      <w:pPr>
        <w:tabs>
          <w:tab w:val="num" w:pos="5040"/>
        </w:tabs>
        <w:ind w:left="5040" w:hanging="360"/>
      </w:pPr>
      <w:rPr>
        <w:rFonts w:ascii="Symbol" w:hAnsi="Symbol"/>
      </w:rPr>
    </w:lvl>
    <w:lvl w:ilvl="7" w:tplc="677C6044">
      <w:start w:val="1"/>
      <w:numFmt w:val="bullet"/>
      <w:lvlText w:val="o"/>
      <w:lvlJc w:val="left"/>
      <w:pPr>
        <w:tabs>
          <w:tab w:val="num" w:pos="5760"/>
        </w:tabs>
        <w:ind w:left="5760" w:hanging="360"/>
      </w:pPr>
      <w:rPr>
        <w:rFonts w:ascii="Courier New" w:hAnsi="Courier New"/>
      </w:rPr>
    </w:lvl>
    <w:lvl w:ilvl="8" w:tplc="A9BE8AC2">
      <w:start w:val="1"/>
      <w:numFmt w:val="bullet"/>
      <w:lvlText w:val=""/>
      <w:lvlJc w:val="left"/>
      <w:pPr>
        <w:tabs>
          <w:tab w:val="num" w:pos="6480"/>
        </w:tabs>
        <w:ind w:left="6480" w:hanging="360"/>
      </w:pPr>
      <w:rPr>
        <w:rFonts w:ascii="Wingdings" w:hAnsi="Wingdings"/>
      </w:rPr>
    </w:lvl>
  </w:abstractNum>
  <w:abstractNum w:abstractNumId="671" w15:restartNumberingAfterBreak="0">
    <w:nsid w:val="72230761"/>
    <w:multiLevelType w:val="hybridMultilevel"/>
    <w:tmpl w:val="72230761"/>
    <w:lvl w:ilvl="0" w:tplc="4BFA4B8E">
      <w:start w:val="1"/>
      <w:numFmt w:val="bullet"/>
      <w:lvlText w:val=""/>
      <w:lvlJc w:val="left"/>
      <w:pPr>
        <w:ind w:left="720" w:hanging="360"/>
      </w:pPr>
      <w:rPr>
        <w:rFonts w:ascii="Symbol" w:hAnsi="Symbol"/>
      </w:rPr>
    </w:lvl>
    <w:lvl w:ilvl="1" w:tplc="066EF6B6">
      <w:start w:val="1"/>
      <w:numFmt w:val="bullet"/>
      <w:lvlText w:val="o"/>
      <w:lvlJc w:val="left"/>
      <w:pPr>
        <w:tabs>
          <w:tab w:val="num" w:pos="1440"/>
        </w:tabs>
        <w:ind w:left="1440" w:hanging="360"/>
      </w:pPr>
      <w:rPr>
        <w:rFonts w:ascii="Courier New" w:hAnsi="Courier New"/>
      </w:rPr>
    </w:lvl>
    <w:lvl w:ilvl="2" w:tplc="3E9A054E">
      <w:start w:val="1"/>
      <w:numFmt w:val="bullet"/>
      <w:lvlText w:val=""/>
      <w:lvlJc w:val="left"/>
      <w:pPr>
        <w:tabs>
          <w:tab w:val="num" w:pos="2160"/>
        </w:tabs>
        <w:ind w:left="2160" w:hanging="360"/>
      </w:pPr>
      <w:rPr>
        <w:rFonts w:ascii="Wingdings" w:hAnsi="Wingdings"/>
      </w:rPr>
    </w:lvl>
    <w:lvl w:ilvl="3" w:tplc="F60A7AE0">
      <w:start w:val="1"/>
      <w:numFmt w:val="bullet"/>
      <w:lvlText w:val=""/>
      <w:lvlJc w:val="left"/>
      <w:pPr>
        <w:tabs>
          <w:tab w:val="num" w:pos="2880"/>
        </w:tabs>
        <w:ind w:left="2880" w:hanging="360"/>
      </w:pPr>
      <w:rPr>
        <w:rFonts w:ascii="Symbol" w:hAnsi="Symbol"/>
      </w:rPr>
    </w:lvl>
    <w:lvl w:ilvl="4" w:tplc="54548D1E">
      <w:start w:val="1"/>
      <w:numFmt w:val="bullet"/>
      <w:lvlText w:val="o"/>
      <w:lvlJc w:val="left"/>
      <w:pPr>
        <w:tabs>
          <w:tab w:val="num" w:pos="3600"/>
        </w:tabs>
        <w:ind w:left="3600" w:hanging="360"/>
      </w:pPr>
      <w:rPr>
        <w:rFonts w:ascii="Courier New" w:hAnsi="Courier New"/>
      </w:rPr>
    </w:lvl>
    <w:lvl w:ilvl="5" w:tplc="1A6E4142">
      <w:start w:val="1"/>
      <w:numFmt w:val="bullet"/>
      <w:lvlText w:val=""/>
      <w:lvlJc w:val="left"/>
      <w:pPr>
        <w:tabs>
          <w:tab w:val="num" w:pos="4320"/>
        </w:tabs>
        <w:ind w:left="4320" w:hanging="360"/>
      </w:pPr>
      <w:rPr>
        <w:rFonts w:ascii="Wingdings" w:hAnsi="Wingdings"/>
      </w:rPr>
    </w:lvl>
    <w:lvl w:ilvl="6" w:tplc="14BA6052">
      <w:start w:val="1"/>
      <w:numFmt w:val="bullet"/>
      <w:lvlText w:val=""/>
      <w:lvlJc w:val="left"/>
      <w:pPr>
        <w:tabs>
          <w:tab w:val="num" w:pos="5040"/>
        </w:tabs>
        <w:ind w:left="5040" w:hanging="360"/>
      </w:pPr>
      <w:rPr>
        <w:rFonts w:ascii="Symbol" w:hAnsi="Symbol"/>
      </w:rPr>
    </w:lvl>
    <w:lvl w:ilvl="7" w:tplc="9628FB20">
      <w:start w:val="1"/>
      <w:numFmt w:val="bullet"/>
      <w:lvlText w:val="o"/>
      <w:lvlJc w:val="left"/>
      <w:pPr>
        <w:tabs>
          <w:tab w:val="num" w:pos="5760"/>
        </w:tabs>
        <w:ind w:left="5760" w:hanging="360"/>
      </w:pPr>
      <w:rPr>
        <w:rFonts w:ascii="Courier New" w:hAnsi="Courier New"/>
      </w:rPr>
    </w:lvl>
    <w:lvl w:ilvl="8" w:tplc="B4908F30">
      <w:start w:val="1"/>
      <w:numFmt w:val="bullet"/>
      <w:lvlText w:val=""/>
      <w:lvlJc w:val="left"/>
      <w:pPr>
        <w:tabs>
          <w:tab w:val="num" w:pos="6480"/>
        </w:tabs>
        <w:ind w:left="6480" w:hanging="360"/>
      </w:pPr>
      <w:rPr>
        <w:rFonts w:ascii="Wingdings" w:hAnsi="Wingdings"/>
      </w:rPr>
    </w:lvl>
  </w:abstractNum>
  <w:abstractNum w:abstractNumId="672" w15:restartNumberingAfterBreak="0">
    <w:nsid w:val="72230762"/>
    <w:multiLevelType w:val="hybridMultilevel"/>
    <w:tmpl w:val="72230762"/>
    <w:lvl w:ilvl="0" w:tplc="A0BCD224">
      <w:start w:val="1"/>
      <w:numFmt w:val="bullet"/>
      <w:lvlText w:val=""/>
      <w:lvlJc w:val="left"/>
      <w:pPr>
        <w:ind w:left="720" w:hanging="360"/>
      </w:pPr>
      <w:rPr>
        <w:rFonts w:ascii="Symbol" w:hAnsi="Symbol"/>
      </w:rPr>
    </w:lvl>
    <w:lvl w:ilvl="1" w:tplc="644295F6">
      <w:start w:val="1"/>
      <w:numFmt w:val="bullet"/>
      <w:lvlText w:val="o"/>
      <w:lvlJc w:val="left"/>
      <w:pPr>
        <w:tabs>
          <w:tab w:val="num" w:pos="1440"/>
        </w:tabs>
        <w:ind w:left="1440" w:hanging="360"/>
      </w:pPr>
      <w:rPr>
        <w:rFonts w:ascii="Courier New" w:hAnsi="Courier New"/>
      </w:rPr>
    </w:lvl>
    <w:lvl w:ilvl="2" w:tplc="98429808">
      <w:start w:val="1"/>
      <w:numFmt w:val="bullet"/>
      <w:lvlText w:val=""/>
      <w:lvlJc w:val="left"/>
      <w:pPr>
        <w:tabs>
          <w:tab w:val="num" w:pos="2160"/>
        </w:tabs>
        <w:ind w:left="2160" w:hanging="360"/>
      </w:pPr>
      <w:rPr>
        <w:rFonts w:ascii="Wingdings" w:hAnsi="Wingdings"/>
      </w:rPr>
    </w:lvl>
    <w:lvl w:ilvl="3" w:tplc="02E68266">
      <w:start w:val="1"/>
      <w:numFmt w:val="bullet"/>
      <w:lvlText w:val=""/>
      <w:lvlJc w:val="left"/>
      <w:pPr>
        <w:tabs>
          <w:tab w:val="num" w:pos="2880"/>
        </w:tabs>
        <w:ind w:left="2880" w:hanging="360"/>
      </w:pPr>
      <w:rPr>
        <w:rFonts w:ascii="Symbol" w:hAnsi="Symbol"/>
      </w:rPr>
    </w:lvl>
    <w:lvl w:ilvl="4" w:tplc="25B4BA80">
      <w:start w:val="1"/>
      <w:numFmt w:val="bullet"/>
      <w:lvlText w:val="o"/>
      <w:lvlJc w:val="left"/>
      <w:pPr>
        <w:tabs>
          <w:tab w:val="num" w:pos="3600"/>
        </w:tabs>
        <w:ind w:left="3600" w:hanging="360"/>
      </w:pPr>
      <w:rPr>
        <w:rFonts w:ascii="Courier New" w:hAnsi="Courier New"/>
      </w:rPr>
    </w:lvl>
    <w:lvl w:ilvl="5" w:tplc="40E88566">
      <w:start w:val="1"/>
      <w:numFmt w:val="bullet"/>
      <w:lvlText w:val=""/>
      <w:lvlJc w:val="left"/>
      <w:pPr>
        <w:tabs>
          <w:tab w:val="num" w:pos="4320"/>
        </w:tabs>
        <w:ind w:left="4320" w:hanging="360"/>
      </w:pPr>
      <w:rPr>
        <w:rFonts w:ascii="Wingdings" w:hAnsi="Wingdings"/>
      </w:rPr>
    </w:lvl>
    <w:lvl w:ilvl="6" w:tplc="1BA274D6">
      <w:start w:val="1"/>
      <w:numFmt w:val="bullet"/>
      <w:lvlText w:val=""/>
      <w:lvlJc w:val="left"/>
      <w:pPr>
        <w:tabs>
          <w:tab w:val="num" w:pos="5040"/>
        </w:tabs>
        <w:ind w:left="5040" w:hanging="360"/>
      </w:pPr>
      <w:rPr>
        <w:rFonts w:ascii="Symbol" w:hAnsi="Symbol"/>
      </w:rPr>
    </w:lvl>
    <w:lvl w:ilvl="7" w:tplc="9A0E7FB0">
      <w:start w:val="1"/>
      <w:numFmt w:val="bullet"/>
      <w:lvlText w:val="o"/>
      <w:lvlJc w:val="left"/>
      <w:pPr>
        <w:tabs>
          <w:tab w:val="num" w:pos="5760"/>
        </w:tabs>
        <w:ind w:left="5760" w:hanging="360"/>
      </w:pPr>
      <w:rPr>
        <w:rFonts w:ascii="Courier New" w:hAnsi="Courier New"/>
      </w:rPr>
    </w:lvl>
    <w:lvl w:ilvl="8" w:tplc="27DC6EAE">
      <w:start w:val="1"/>
      <w:numFmt w:val="bullet"/>
      <w:lvlText w:val=""/>
      <w:lvlJc w:val="left"/>
      <w:pPr>
        <w:tabs>
          <w:tab w:val="num" w:pos="6480"/>
        </w:tabs>
        <w:ind w:left="6480" w:hanging="360"/>
      </w:pPr>
      <w:rPr>
        <w:rFonts w:ascii="Wingdings" w:hAnsi="Wingdings"/>
      </w:rPr>
    </w:lvl>
  </w:abstractNum>
  <w:abstractNum w:abstractNumId="673" w15:restartNumberingAfterBreak="0">
    <w:nsid w:val="72230763"/>
    <w:multiLevelType w:val="hybridMultilevel"/>
    <w:tmpl w:val="72230763"/>
    <w:lvl w:ilvl="0" w:tplc="B3845DB0">
      <w:start w:val="1"/>
      <w:numFmt w:val="bullet"/>
      <w:lvlText w:val=""/>
      <w:lvlJc w:val="left"/>
      <w:pPr>
        <w:tabs>
          <w:tab w:val="num" w:pos="720"/>
        </w:tabs>
        <w:ind w:left="720" w:hanging="360"/>
      </w:pPr>
      <w:rPr>
        <w:rFonts w:ascii="Symbol" w:hAnsi="Symbol"/>
      </w:rPr>
    </w:lvl>
    <w:lvl w:ilvl="1" w:tplc="964A37C2">
      <w:start w:val="1"/>
      <w:numFmt w:val="bullet"/>
      <w:lvlText w:val="o"/>
      <w:lvlJc w:val="left"/>
      <w:pPr>
        <w:tabs>
          <w:tab w:val="num" w:pos="1440"/>
        </w:tabs>
        <w:ind w:left="1440" w:hanging="360"/>
      </w:pPr>
      <w:rPr>
        <w:rFonts w:ascii="Courier New" w:hAnsi="Courier New"/>
      </w:rPr>
    </w:lvl>
    <w:lvl w:ilvl="2" w:tplc="94481218">
      <w:start w:val="1"/>
      <w:numFmt w:val="bullet"/>
      <w:lvlText w:val=""/>
      <w:lvlJc w:val="left"/>
      <w:pPr>
        <w:tabs>
          <w:tab w:val="num" w:pos="2160"/>
        </w:tabs>
        <w:ind w:left="2160" w:hanging="360"/>
      </w:pPr>
      <w:rPr>
        <w:rFonts w:ascii="Wingdings" w:hAnsi="Wingdings"/>
      </w:rPr>
    </w:lvl>
    <w:lvl w:ilvl="3" w:tplc="6890EBF6">
      <w:start w:val="1"/>
      <w:numFmt w:val="bullet"/>
      <w:lvlText w:val=""/>
      <w:lvlJc w:val="left"/>
      <w:pPr>
        <w:tabs>
          <w:tab w:val="num" w:pos="2880"/>
        </w:tabs>
        <w:ind w:left="2880" w:hanging="360"/>
      </w:pPr>
      <w:rPr>
        <w:rFonts w:ascii="Symbol" w:hAnsi="Symbol"/>
      </w:rPr>
    </w:lvl>
    <w:lvl w:ilvl="4" w:tplc="D97AD4DA">
      <w:start w:val="1"/>
      <w:numFmt w:val="bullet"/>
      <w:lvlText w:val="o"/>
      <w:lvlJc w:val="left"/>
      <w:pPr>
        <w:tabs>
          <w:tab w:val="num" w:pos="3600"/>
        </w:tabs>
        <w:ind w:left="3600" w:hanging="360"/>
      </w:pPr>
      <w:rPr>
        <w:rFonts w:ascii="Courier New" w:hAnsi="Courier New"/>
      </w:rPr>
    </w:lvl>
    <w:lvl w:ilvl="5" w:tplc="7186C2BC">
      <w:start w:val="1"/>
      <w:numFmt w:val="bullet"/>
      <w:lvlText w:val=""/>
      <w:lvlJc w:val="left"/>
      <w:pPr>
        <w:tabs>
          <w:tab w:val="num" w:pos="4320"/>
        </w:tabs>
        <w:ind w:left="4320" w:hanging="360"/>
      </w:pPr>
      <w:rPr>
        <w:rFonts w:ascii="Wingdings" w:hAnsi="Wingdings"/>
      </w:rPr>
    </w:lvl>
    <w:lvl w:ilvl="6" w:tplc="416C55E8">
      <w:start w:val="1"/>
      <w:numFmt w:val="bullet"/>
      <w:lvlText w:val=""/>
      <w:lvlJc w:val="left"/>
      <w:pPr>
        <w:tabs>
          <w:tab w:val="num" w:pos="5040"/>
        </w:tabs>
        <w:ind w:left="5040" w:hanging="360"/>
      </w:pPr>
      <w:rPr>
        <w:rFonts w:ascii="Symbol" w:hAnsi="Symbol"/>
      </w:rPr>
    </w:lvl>
    <w:lvl w:ilvl="7" w:tplc="0C48A284">
      <w:start w:val="1"/>
      <w:numFmt w:val="bullet"/>
      <w:lvlText w:val="o"/>
      <w:lvlJc w:val="left"/>
      <w:pPr>
        <w:tabs>
          <w:tab w:val="num" w:pos="5760"/>
        </w:tabs>
        <w:ind w:left="5760" w:hanging="360"/>
      </w:pPr>
      <w:rPr>
        <w:rFonts w:ascii="Courier New" w:hAnsi="Courier New"/>
      </w:rPr>
    </w:lvl>
    <w:lvl w:ilvl="8" w:tplc="4D3ED7A6">
      <w:start w:val="1"/>
      <w:numFmt w:val="bullet"/>
      <w:lvlText w:val=""/>
      <w:lvlJc w:val="left"/>
      <w:pPr>
        <w:tabs>
          <w:tab w:val="num" w:pos="6480"/>
        </w:tabs>
        <w:ind w:left="6480" w:hanging="360"/>
      </w:pPr>
      <w:rPr>
        <w:rFonts w:ascii="Wingdings" w:hAnsi="Wingdings"/>
      </w:rPr>
    </w:lvl>
  </w:abstractNum>
  <w:abstractNum w:abstractNumId="674" w15:restartNumberingAfterBreak="0">
    <w:nsid w:val="72230764"/>
    <w:multiLevelType w:val="hybridMultilevel"/>
    <w:tmpl w:val="72230764"/>
    <w:lvl w:ilvl="0" w:tplc="266C4EE8">
      <w:start w:val="1"/>
      <w:numFmt w:val="bullet"/>
      <w:lvlText w:val=""/>
      <w:lvlJc w:val="left"/>
      <w:pPr>
        <w:ind w:left="720" w:hanging="360"/>
      </w:pPr>
      <w:rPr>
        <w:rFonts w:ascii="Symbol" w:hAnsi="Symbol"/>
      </w:rPr>
    </w:lvl>
    <w:lvl w:ilvl="1" w:tplc="B2260EA6">
      <w:start w:val="1"/>
      <w:numFmt w:val="bullet"/>
      <w:lvlText w:val="o"/>
      <w:lvlJc w:val="left"/>
      <w:pPr>
        <w:tabs>
          <w:tab w:val="num" w:pos="1440"/>
        </w:tabs>
        <w:ind w:left="1440" w:hanging="360"/>
      </w:pPr>
      <w:rPr>
        <w:rFonts w:ascii="Courier New" w:hAnsi="Courier New"/>
      </w:rPr>
    </w:lvl>
    <w:lvl w:ilvl="2" w:tplc="589E0D72">
      <w:start w:val="1"/>
      <w:numFmt w:val="bullet"/>
      <w:lvlText w:val=""/>
      <w:lvlJc w:val="left"/>
      <w:pPr>
        <w:tabs>
          <w:tab w:val="num" w:pos="2160"/>
        </w:tabs>
        <w:ind w:left="2160" w:hanging="360"/>
      </w:pPr>
      <w:rPr>
        <w:rFonts w:ascii="Wingdings" w:hAnsi="Wingdings"/>
      </w:rPr>
    </w:lvl>
    <w:lvl w:ilvl="3" w:tplc="3ABCB5FE">
      <w:start w:val="1"/>
      <w:numFmt w:val="bullet"/>
      <w:lvlText w:val=""/>
      <w:lvlJc w:val="left"/>
      <w:pPr>
        <w:tabs>
          <w:tab w:val="num" w:pos="2880"/>
        </w:tabs>
        <w:ind w:left="2880" w:hanging="360"/>
      </w:pPr>
      <w:rPr>
        <w:rFonts w:ascii="Symbol" w:hAnsi="Symbol"/>
      </w:rPr>
    </w:lvl>
    <w:lvl w:ilvl="4" w:tplc="5C20A73C">
      <w:start w:val="1"/>
      <w:numFmt w:val="bullet"/>
      <w:lvlText w:val="o"/>
      <w:lvlJc w:val="left"/>
      <w:pPr>
        <w:tabs>
          <w:tab w:val="num" w:pos="3600"/>
        </w:tabs>
        <w:ind w:left="3600" w:hanging="360"/>
      </w:pPr>
      <w:rPr>
        <w:rFonts w:ascii="Courier New" w:hAnsi="Courier New"/>
      </w:rPr>
    </w:lvl>
    <w:lvl w:ilvl="5" w:tplc="1FE0254C">
      <w:start w:val="1"/>
      <w:numFmt w:val="bullet"/>
      <w:lvlText w:val=""/>
      <w:lvlJc w:val="left"/>
      <w:pPr>
        <w:tabs>
          <w:tab w:val="num" w:pos="4320"/>
        </w:tabs>
        <w:ind w:left="4320" w:hanging="360"/>
      </w:pPr>
      <w:rPr>
        <w:rFonts w:ascii="Wingdings" w:hAnsi="Wingdings"/>
      </w:rPr>
    </w:lvl>
    <w:lvl w:ilvl="6" w:tplc="46A817E4">
      <w:start w:val="1"/>
      <w:numFmt w:val="bullet"/>
      <w:lvlText w:val=""/>
      <w:lvlJc w:val="left"/>
      <w:pPr>
        <w:tabs>
          <w:tab w:val="num" w:pos="5040"/>
        </w:tabs>
        <w:ind w:left="5040" w:hanging="360"/>
      </w:pPr>
      <w:rPr>
        <w:rFonts w:ascii="Symbol" w:hAnsi="Symbol"/>
      </w:rPr>
    </w:lvl>
    <w:lvl w:ilvl="7" w:tplc="0F184D84">
      <w:start w:val="1"/>
      <w:numFmt w:val="bullet"/>
      <w:lvlText w:val="o"/>
      <w:lvlJc w:val="left"/>
      <w:pPr>
        <w:tabs>
          <w:tab w:val="num" w:pos="5760"/>
        </w:tabs>
        <w:ind w:left="5760" w:hanging="360"/>
      </w:pPr>
      <w:rPr>
        <w:rFonts w:ascii="Courier New" w:hAnsi="Courier New"/>
      </w:rPr>
    </w:lvl>
    <w:lvl w:ilvl="8" w:tplc="1DC43F10">
      <w:start w:val="1"/>
      <w:numFmt w:val="bullet"/>
      <w:lvlText w:val=""/>
      <w:lvlJc w:val="left"/>
      <w:pPr>
        <w:tabs>
          <w:tab w:val="num" w:pos="6480"/>
        </w:tabs>
        <w:ind w:left="6480" w:hanging="360"/>
      </w:pPr>
      <w:rPr>
        <w:rFonts w:ascii="Wingdings" w:hAnsi="Wingdings"/>
      </w:rPr>
    </w:lvl>
  </w:abstractNum>
  <w:abstractNum w:abstractNumId="675" w15:restartNumberingAfterBreak="0">
    <w:nsid w:val="72230765"/>
    <w:multiLevelType w:val="hybridMultilevel"/>
    <w:tmpl w:val="72230765"/>
    <w:lvl w:ilvl="0" w:tplc="D4C62F80">
      <w:start w:val="1"/>
      <w:numFmt w:val="bullet"/>
      <w:lvlText w:val=""/>
      <w:lvlJc w:val="left"/>
      <w:pPr>
        <w:ind w:left="720" w:hanging="360"/>
      </w:pPr>
      <w:rPr>
        <w:rFonts w:ascii="Symbol" w:hAnsi="Symbol"/>
      </w:rPr>
    </w:lvl>
    <w:lvl w:ilvl="1" w:tplc="8B28E67C">
      <w:start w:val="1"/>
      <w:numFmt w:val="bullet"/>
      <w:lvlText w:val="o"/>
      <w:lvlJc w:val="left"/>
      <w:pPr>
        <w:ind w:left="1440" w:hanging="360"/>
      </w:pPr>
      <w:rPr>
        <w:rFonts w:ascii="Courier New" w:hAnsi="Courier New"/>
      </w:rPr>
    </w:lvl>
    <w:lvl w:ilvl="2" w:tplc="D9D6A05C">
      <w:start w:val="1"/>
      <w:numFmt w:val="bullet"/>
      <w:lvlText w:val=""/>
      <w:lvlJc w:val="left"/>
      <w:pPr>
        <w:ind w:left="2160" w:hanging="360"/>
      </w:pPr>
      <w:rPr>
        <w:rFonts w:ascii="Wingdings" w:hAnsi="Wingdings"/>
      </w:rPr>
    </w:lvl>
    <w:lvl w:ilvl="3" w:tplc="7A6E5D48">
      <w:start w:val="1"/>
      <w:numFmt w:val="bullet"/>
      <w:lvlText w:val=""/>
      <w:lvlJc w:val="left"/>
      <w:pPr>
        <w:tabs>
          <w:tab w:val="num" w:pos="2880"/>
        </w:tabs>
        <w:ind w:left="2880" w:hanging="360"/>
      </w:pPr>
      <w:rPr>
        <w:rFonts w:ascii="Symbol" w:hAnsi="Symbol"/>
      </w:rPr>
    </w:lvl>
    <w:lvl w:ilvl="4" w:tplc="E9CE1154">
      <w:start w:val="1"/>
      <w:numFmt w:val="bullet"/>
      <w:lvlText w:val="o"/>
      <w:lvlJc w:val="left"/>
      <w:pPr>
        <w:tabs>
          <w:tab w:val="num" w:pos="3600"/>
        </w:tabs>
        <w:ind w:left="3600" w:hanging="360"/>
      </w:pPr>
      <w:rPr>
        <w:rFonts w:ascii="Courier New" w:hAnsi="Courier New"/>
      </w:rPr>
    </w:lvl>
    <w:lvl w:ilvl="5" w:tplc="18560FBA">
      <w:start w:val="1"/>
      <w:numFmt w:val="bullet"/>
      <w:lvlText w:val=""/>
      <w:lvlJc w:val="left"/>
      <w:pPr>
        <w:tabs>
          <w:tab w:val="num" w:pos="4320"/>
        </w:tabs>
        <w:ind w:left="4320" w:hanging="360"/>
      </w:pPr>
      <w:rPr>
        <w:rFonts w:ascii="Wingdings" w:hAnsi="Wingdings"/>
      </w:rPr>
    </w:lvl>
    <w:lvl w:ilvl="6" w:tplc="B6625AEC">
      <w:start w:val="1"/>
      <w:numFmt w:val="bullet"/>
      <w:lvlText w:val=""/>
      <w:lvlJc w:val="left"/>
      <w:pPr>
        <w:tabs>
          <w:tab w:val="num" w:pos="5040"/>
        </w:tabs>
        <w:ind w:left="5040" w:hanging="360"/>
      </w:pPr>
      <w:rPr>
        <w:rFonts w:ascii="Symbol" w:hAnsi="Symbol"/>
      </w:rPr>
    </w:lvl>
    <w:lvl w:ilvl="7" w:tplc="7408D4E0">
      <w:start w:val="1"/>
      <w:numFmt w:val="bullet"/>
      <w:lvlText w:val="o"/>
      <w:lvlJc w:val="left"/>
      <w:pPr>
        <w:tabs>
          <w:tab w:val="num" w:pos="5760"/>
        </w:tabs>
        <w:ind w:left="5760" w:hanging="360"/>
      </w:pPr>
      <w:rPr>
        <w:rFonts w:ascii="Courier New" w:hAnsi="Courier New"/>
      </w:rPr>
    </w:lvl>
    <w:lvl w:ilvl="8" w:tplc="4CCECF70">
      <w:start w:val="1"/>
      <w:numFmt w:val="bullet"/>
      <w:lvlText w:val=""/>
      <w:lvlJc w:val="left"/>
      <w:pPr>
        <w:tabs>
          <w:tab w:val="num" w:pos="6480"/>
        </w:tabs>
        <w:ind w:left="6480" w:hanging="360"/>
      </w:pPr>
      <w:rPr>
        <w:rFonts w:ascii="Wingdings" w:hAnsi="Wingdings"/>
      </w:rPr>
    </w:lvl>
  </w:abstractNum>
  <w:abstractNum w:abstractNumId="676" w15:restartNumberingAfterBreak="0">
    <w:nsid w:val="72230766"/>
    <w:multiLevelType w:val="hybridMultilevel"/>
    <w:tmpl w:val="72230766"/>
    <w:lvl w:ilvl="0" w:tplc="ED322FCA">
      <w:start w:val="1"/>
      <w:numFmt w:val="bullet"/>
      <w:lvlText w:val=""/>
      <w:lvlJc w:val="left"/>
      <w:pPr>
        <w:ind w:left="720" w:hanging="360"/>
      </w:pPr>
      <w:rPr>
        <w:rFonts w:ascii="Symbol" w:hAnsi="Symbol"/>
      </w:rPr>
    </w:lvl>
    <w:lvl w:ilvl="1" w:tplc="CE8A087A">
      <w:start w:val="1"/>
      <w:numFmt w:val="bullet"/>
      <w:lvlText w:val="o"/>
      <w:lvlJc w:val="left"/>
      <w:pPr>
        <w:tabs>
          <w:tab w:val="num" w:pos="1440"/>
        </w:tabs>
        <w:ind w:left="1440" w:hanging="360"/>
      </w:pPr>
      <w:rPr>
        <w:rFonts w:ascii="Courier New" w:hAnsi="Courier New"/>
      </w:rPr>
    </w:lvl>
    <w:lvl w:ilvl="2" w:tplc="ACC6C2B0">
      <w:start w:val="1"/>
      <w:numFmt w:val="bullet"/>
      <w:lvlText w:val=""/>
      <w:lvlJc w:val="left"/>
      <w:pPr>
        <w:tabs>
          <w:tab w:val="num" w:pos="2160"/>
        </w:tabs>
        <w:ind w:left="2160" w:hanging="360"/>
      </w:pPr>
      <w:rPr>
        <w:rFonts w:ascii="Wingdings" w:hAnsi="Wingdings"/>
      </w:rPr>
    </w:lvl>
    <w:lvl w:ilvl="3" w:tplc="5D922E64">
      <w:start w:val="1"/>
      <w:numFmt w:val="bullet"/>
      <w:lvlText w:val=""/>
      <w:lvlJc w:val="left"/>
      <w:pPr>
        <w:tabs>
          <w:tab w:val="num" w:pos="2880"/>
        </w:tabs>
        <w:ind w:left="2880" w:hanging="360"/>
      </w:pPr>
      <w:rPr>
        <w:rFonts w:ascii="Symbol" w:hAnsi="Symbol"/>
      </w:rPr>
    </w:lvl>
    <w:lvl w:ilvl="4" w:tplc="3AE6FE10">
      <w:start w:val="1"/>
      <w:numFmt w:val="bullet"/>
      <w:lvlText w:val="o"/>
      <w:lvlJc w:val="left"/>
      <w:pPr>
        <w:tabs>
          <w:tab w:val="num" w:pos="3600"/>
        </w:tabs>
        <w:ind w:left="3600" w:hanging="360"/>
      </w:pPr>
      <w:rPr>
        <w:rFonts w:ascii="Courier New" w:hAnsi="Courier New"/>
      </w:rPr>
    </w:lvl>
    <w:lvl w:ilvl="5" w:tplc="49AA53CC">
      <w:start w:val="1"/>
      <w:numFmt w:val="bullet"/>
      <w:lvlText w:val=""/>
      <w:lvlJc w:val="left"/>
      <w:pPr>
        <w:tabs>
          <w:tab w:val="num" w:pos="4320"/>
        </w:tabs>
        <w:ind w:left="4320" w:hanging="360"/>
      </w:pPr>
      <w:rPr>
        <w:rFonts w:ascii="Wingdings" w:hAnsi="Wingdings"/>
      </w:rPr>
    </w:lvl>
    <w:lvl w:ilvl="6" w:tplc="4B38079A">
      <w:start w:val="1"/>
      <w:numFmt w:val="bullet"/>
      <w:lvlText w:val=""/>
      <w:lvlJc w:val="left"/>
      <w:pPr>
        <w:tabs>
          <w:tab w:val="num" w:pos="5040"/>
        </w:tabs>
        <w:ind w:left="5040" w:hanging="360"/>
      </w:pPr>
      <w:rPr>
        <w:rFonts w:ascii="Symbol" w:hAnsi="Symbol"/>
      </w:rPr>
    </w:lvl>
    <w:lvl w:ilvl="7" w:tplc="E0C2EF14">
      <w:start w:val="1"/>
      <w:numFmt w:val="bullet"/>
      <w:lvlText w:val="o"/>
      <w:lvlJc w:val="left"/>
      <w:pPr>
        <w:tabs>
          <w:tab w:val="num" w:pos="5760"/>
        </w:tabs>
        <w:ind w:left="5760" w:hanging="360"/>
      </w:pPr>
      <w:rPr>
        <w:rFonts w:ascii="Courier New" w:hAnsi="Courier New"/>
      </w:rPr>
    </w:lvl>
    <w:lvl w:ilvl="8" w:tplc="5F6E705A">
      <w:start w:val="1"/>
      <w:numFmt w:val="bullet"/>
      <w:lvlText w:val=""/>
      <w:lvlJc w:val="left"/>
      <w:pPr>
        <w:tabs>
          <w:tab w:val="num" w:pos="6480"/>
        </w:tabs>
        <w:ind w:left="6480" w:hanging="360"/>
      </w:pPr>
      <w:rPr>
        <w:rFonts w:ascii="Wingdings" w:hAnsi="Wingdings"/>
      </w:rPr>
    </w:lvl>
  </w:abstractNum>
  <w:abstractNum w:abstractNumId="677" w15:restartNumberingAfterBreak="0">
    <w:nsid w:val="72230767"/>
    <w:multiLevelType w:val="hybridMultilevel"/>
    <w:tmpl w:val="72230767"/>
    <w:lvl w:ilvl="0" w:tplc="C34A7B2E">
      <w:start w:val="1"/>
      <w:numFmt w:val="bullet"/>
      <w:lvlText w:val=""/>
      <w:lvlJc w:val="left"/>
      <w:pPr>
        <w:ind w:left="720" w:hanging="360"/>
      </w:pPr>
      <w:rPr>
        <w:rFonts w:ascii="Symbol" w:hAnsi="Symbol"/>
      </w:rPr>
    </w:lvl>
    <w:lvl w:ilvl="1" w:tplc="07C0A472">
      <w:start w:val="1"/>
      <w:numFmt w:val="bullet"/>
      <w:lvlText w:val="o"/>
      <w:lvlJc w:val="left"/>
      <w:pPr>
        <w:tabs>
          <w:tab w:val="num" w:pos="1440"/>
        </w:tabs>
        <w:ind w:left="1440" w:hanging="360"/>
      </w:pPr>
      <w:rPr>
        <w:rFonts w:ascii="Courier New" w:hAnsi="Courier New"/>
      </w:rPr>
    </w:lvl>
    <w:lvl w:ilvl="2" w:tplc="231EA734">
      <w:start w:val="1"/>
      <w:numFmt w:val="bullet"/>
      <w:lvlText w:val=""/>
      <w:lvlJc w:val="left"/>
      <w:pPr>
        <w:tabs>
          <w:tab w:val="num" w:pos="2160"/>
        </w:tabs>
        <w:ind w:left="2160" w:hanging="360"/>
      </w:pPr>
      <w:rPr>
        <w:rFonts w:ascii="Wingdings" w:hAnsi="Wingdings"/>
      </w:rPr>
    </w:lvl>
    <w:lvl w:ilvl="3" w:tplc="2828F46A">
      <w:start w:val="1"/>
      <w:numFmt w:val="bullet"/>
      <w:lvlText w:val=""/>
      <w:lvlJc w:val="left"/>
      <w:pPr>
        <w:tabs>
          <w:tab w:val="num" w:pos="2880"/>
        </w:tabs>
        <w:ind w:left="2880" w:hanging="360"/>
      </w:pPr>
      <w:rPr>
        <w:rFonts w:ascii="Symbol" w:hAnsi="Symbol"/>
      </w:rPr>
    </w:lvl>
    <w:lvl w:ilvl="4" w:tplc="1BB2BAC2">
      <w:start w:val="1"/>
      <w:numFmt w:val="bullet"/>
      <w:lvlText w:val="o"/>
      <w:lvlJc w:val="left"/>
      <w:pPr>
        <w:tabs>
          <w:tab w:val="num" w:pos="3600"/>
        </w:tabs>
        <w:ind w:left="3600" w:hanging="360"/>
      </w:pPr>
      <w:rPr>
        <w:rFonts w:ascii="Courier New" w:hAnsi="Courier New"/>
      </w:rPr>
    </w:lvl>
    <w:lvl w:ilvl="5" w:tplc="365E3164">
      <w:start w:val="1"/>
      <w:numFmt w:val="bullet"/>
      <w:lvlText w:val=""/>
      <w:lvlJc w:val="left"/>
      <w:pPr>
        <w:tabs>
          <w:tab w:val="num" w:pos="4320"/>
        </w:tabs>
        <w:ind w:left="4320" w:hanging="360"/>
      </w:pPr>
      <w:rPr>
        <w:rFonts w:ascii="Wingdings" w:hAnsi="Wingdings"/>
      </w:rPr>
    </w:lvl>
    <w:lvl w:ilvl="6" w:tplc="45E4B43E">
      <w:start w:val="1"/>
      <w:numFmt w:val="bullet"/>
      <w:lvlText w:val=""/>
      <w:lvlJc w:val="left"/>
      <w:pPr>
        <w:tabs>
          <w:tab w:val="num" w:pos="5040"/>
        </w:tabs>
        <w:ind w:left="5040" w:hanging="360"/>
      </w:pPr>
      <w:rPr>
        <w:rFonts w:ascii="Symbol" w:hAnsi="Symbol"/>
      </w:rPr>
    </w:lvl>
    <w:lvl w:ilvl="7" w:tplc="1DBACB2A">
      <w:start w:val="1"/>
      <w:numFmt w:val="bullet"/>
      <w:lvlText w:val="o"/>
      <w:lvlJc w:val="left"/>
      <w:pPr>
        <w:tabs>
          <w:tab w:val="num" w:pos="5760"/>
        </w:tabs>
        <w:ind w:left="5760" w:hanging="360"/>
      </w:pPr>
      <w:rPr>
        <w:rFonts w:ascii="Courier New" w:hAnsi="Courier New"/>
      </w:rPr>
    </w:lvl>
    <w:lvl w:ilvl="8" w:tplc="AE9C0D2A">
      <w:start w:val="1"/>
      <w:numFmt w:val="bullet"/>
      <w:lvlText w:val=""/>
      <w:lvlJc w:val="left"/>
      <w:pPr>
        <w:tabs>
          <w:tab w:val="num" w:pos="6480"/>
        </w:tabs>
        <w:ind w:left="6480" w:hanging="360"/>
      </w:pPr>
      <w:rPr>
        <w:rFonts w:ascii="Wingdings" w:hAnsi="Wingdings"/>
      </w:rPr>
    </w:lvl>
  </w:abstractNum>
  <w:abstractNum w:abstractNumId="678" w15:restartNumberingAfterBreak="0">
    <w:nsid w:val="72230768"/>
    <w:multiLevelType w:val="hybridMultilevel"/>
    <w:tmpl w:val="72230768"/>
    <w:lvl w:ilvl="0" w:tplc="4A74A17E">
      <w:start w:val="1"/>
      <w:numFmt w:val="bullet"/>
      <w:lvlText w:val=""/>
      <w:lvlJc w:val="left"/>
      <w:pPr>
        <w:ind w:left="720" w:hanging="360"/>
      </w:pPr>
      <w:rPr>
        <w:rFonts w:ascii="Symbol" w:hAnsi="Symbol"/>
      </w:rPr>
    </w:lvl>
    <w:lvl w:ilvl="1" w:tplc="029C637A">
      <w:start w:val="1"/>
      <w:numFmt w:val="bullet"/>
      <w:lvlText w:val="o"/>
      <w:lvlJc w:val="left"/>
      <w:pPr>
        <w:tabs>
          <w:tab w:val="num" w:pos="1440"/>
        </w:tabs>
        <w:ind w:left="1440" w:hanging="360"/>
      </w:pPr>
      <w:rPr>
        <w:rFonts w:ascii="Courier New" w:hAnsi="Courier New"/>
      </w:rPr>
    </w:lvl>
    <w:lvl w:ilvl="2" w:tplc="C1207530">
      <w:start w:val="1"/>
      <w:numFmt w:val="bullet"/>
      <w:lvlText w:val=""/>
      <w:lvlJc w:val="left"/>
      <w:pPr>
        <w:tabs>
          <w:tab w:val="num" w:pos="2160"/>
        </w:tabs>
        <w:ind w:left="2160" w:hanging="360"/>
      </w:pPr>
      <w:rPr>
        <w:rFonts w:ascii="Wingdings" w:hAnsi="Wingdings"/>
      </w:rPr>
    </w:lvl>
    <w:lvl w:ilvl="3" w:tplc="1DB85C9C">
      <w:start w:val="1"/>
      <w:numFmt w:val="bullet"/>
      <w:lvlText w:val=""/>
      <w:lvlJc w:val="left"/>
      <w:pPr>
        <w:tabs>
          <w:tab w:val="num" w:pos="2880"/>
        </w:tabs>
        <w:ind w:left="2880" w:hanging="360"/>
      </w:pPr>
      <w:rPr>
        <w:rFonts w:ascii="Symbol" w:hAnsi="Symbol"/>
      </w:rPr>
    </w:lvl>
    <w:lvl w:ilvl="4" w:tplc="34785018">
      <w:start w:val="1"/>
      <w:numFmt w:val="bullet"/>
      <w:lvlText w:val="o"/>
      <w:lvlJc w:val="left"/>
      <w:pPr>
        <w:tabs>
          <w:tab w:val="num" w:pos="3600"/>
        </w:tabs>
        <w:ind w:left="3600" w:hanging="360"/>
      </w:pPr>
      <w:rPr>
        <w:rFonts w:ascii="Courier New" w:hAnsi="Courier New"/>
      </w:rPr>
    </w:lvl>
    <w:lvl w:ilvl="5" w:tplc="34948A80">
      <w:start w:val="1"/>
      <w:numFmt w:val="bullet"/>
      <w:lvlText w:val=""/>
      <w:lvlJc w:val="left"/>
      <w:pPr>
        <w:tabs>
          <w:tab w:val="num" w:pos="4320"/>
        </w:tabs>
        <w:ind w:left="4320" w:hanging="360"/>
      </w:pPr>
      <w:rPr>
        <w:rFonts w:ascii="Wingdings" w:hAnsi="Wingdings"/>
      </w:rPr>
    </w:lvl>
    <w:lvl w:ilvl="6" w:tplc="F8C435E6">
      <w:start w:val="1"/>
      <w:numFmt w:val="bullet"/>
      <w:lvlText w:val=""/>
      <w:lvlJc w:val="left"/>
      <w:pPr>
        <w:tabs>
          <w:tab w:val="num" w:pos="5040"/>
        </w:tabs>
        <w:ind w:left="5040" w:hanging="360"/>
      </w:pPr>
      <w:rPr>
        <w:rFonts w:ascii="Symbol" w:hAnsi="Symbol"/>
      </w:rPr>
    </w:lvl>
    <w:lvl w:ilvl="7" w:tplc="3730BD02">
      <w:start w:val="1"/>
      <w:numFmt w:val="bullet"/>
      <w:lvlText w:val="o"/>
      <w:lvlJc w:val="left"/>
      <w:pPr>
        <w:tabs>
          <w:tab w:val="num" w:pos="5760"/>
        </w:tabs>
        <w:ind w:left="5760" w:hanging="360"/>
      </w:pPr>
      <w:rPr>
        <w:rFonts w:ascii="Courier New" w:hAnsi="Courier New"/>
      </w:rPr>
    </w:lvl>
    <w:lvl w:ilvl="8" w:tplc="9A145F84">
      <w:start w:val="1"/>
      <w:numFmt w:val="bullet"/>
      <w:lvlText w:val=""/>
      <w:lvlJc w:val="left"/>
      <w:pPr>
        <w:tabs>
          <w:tab w:val="num" w:pos="6480"/>
        </w:tabs>
        <w:ind w:left="6480" w:hanging="360"/>
      </w:pPr>
      <w:rPr>
        <w:rFonts w:ascii="Wingdings" w:hAnsi="Wingdings"/>
      </w:rPr>
    </w:lvl>
  </w:abstractNum>
  <w:abstractNum w:abstractNumId="679" w15:restartNumberingAfterBreak="0">
    <w:nsid w:val="72230769"/>
    <w:multiLevelType w:val="hybridMultilevel"/>
    <w:tmpl w:val="72230769"/>
    <w:lvl w:ilvl="0" w:tplc="CE402A64">
      <w:start w:val="1"/>
      <w:numFmt w:val="bullet"/>
      <w:lvlText w:val=""/>
      <w:lvlJc w:val="left"/>
      <w:pPr>
        <w:tabs>
          <w:tab w:val="num" w:pos="720"/>
        </w:tabs>
        <w:ind w:left="720" w:hanging="360"/>
      </w:pPr>
      <w:rPr>
        <w:rFonts w:ascii="Symbol" w:hAnsi="Symbol"/>
      </w:rPr>
    </w:lvl>
    <w:lvl w:ilvl="1" w:tplc="9BD48560">
      <w:start w:val="1"/>
      <w:numFmt w:val="bullet"/>
      <w:lvlText w:val="o"/>
      <w:lvlJc w:val="left"/>
      <w:pPr>
        <w:tabs>
          <w:tab w:val="num" w:pos="1440"/>
        </w:tabs>
        <w:ind w:left="1440" w:hanging="360"/>
      </w:pPr>
      <w:rPr>
        <w:rFonts w:ascii="Courier New" w:hAnsi="Courier New"/>
      </w:rPr>
    </w:lvl>
    <w:lvl w:ilvl="2" w:tplc="3D3EDE92">
      <w:start w:val="1"/>
      <w:numFmt w:val="bullet"/>
      <w:lvlText w:val=""/>
      <w:lvlJc w:val="left"/>
      <w:pPr>
        <w:tabs>
          <w:tab w:val="num" w:pos="2160"/>
        </w:tabs>
        <w:ind w:left="2160" w:hanging="360"/>
      </w:pPr>
      <w:rPr>
        <w:rFonts w:ascii="Wingdings" w:hAnsi="Wingdings"/>
      </w:rPr>
    </w:lvl>
    <w:lvl w:ilvl="3" w:tplc="31444B3A">
      <w:start w:val="1"/>
      <w:numFmt w:val="bullet"/>
      <w:lvlText w:val=""/>
      <w:lvlJc w:val="left"/>
      <w:pPr>
        <w:tabs>
          <w:tab w:val="num" w:pos="2880"/>
        </w:tabs>
        <w:ind w:left="2880" w:hanging="360"/>
      </w:pPr>
      <w:rPr>
        <w:rFonts w:ascii="Symbol" w:hAnsi="Symbol"/>
      </w:rPr>
    </w:lvl>
    <w:lvl w:ilvl="4" w:tplc="443C06C8">
      <w:start w:val="1"/>
      <w:numFmt w:val="bullet"/>
      <w:lvlText w:val="o"/>
      <w:lvlJc w:val="left"/>
      <w:pPr>
        <w:tabs>
          <w:tab w:val="num" w:pos="3600"/>
        </w:tabs>
        <w:ind w:left="3600" w:hanging="360"/>
      </w:pPr>
      <w:rPr>
        <w:rFonts w:ascii="Courier New" w:hAnsi="Courier New"/>
      </w:rPr>
    </w:lvl>
    <w:lvl w:ilvl="5" w:tplc="A2CE3618">
      <w:start w:val="1"/>
      <w:numFmt w:val="bullet"/>
      <w:lvlText w:val=""/>
      <w:lvlJc w:val="left"/>
      <w:pPr>
        <w:tabs>
          <w:tab w:val="num" w:pos="4320"/>
        </w:tabs>
        <w:ind w:left="4320" w:hanging="360"/>
      </w:pPr>
      <w:rPr>
        <w:rFonts w:ascii="Wingdings" w:hAnsi="Wingdings"/>
      </w:rPr>
    </w:lvl>
    <w:lvl w:ilvl="6" w:tplc="C2360722">
      <w:start w:val="1"/>
      <w:numFmt w:val="bullet"/>
      <w:lvlText w:val=""/>
      <w:lvlJc w:val="left"/>
      <w:pPr>
        <w:tabs>
          <w:tab w:val="num" w:pos="5040"/>
        </w:tabs>
        <w:ind w:left="5040" w:hanging="360"/>
      </w:pPr>
      <w:rPr>
        <w:rFonts w:ascii="Symbol" w:hAnsi="Symbol"/>
      </w:rPr>
    </w:lvl>
    <w:lvl w:ilvl="7" w:tplc="E772B4A2">
      <w:start w:val="1"/>
      <w:numFmt w:val="bullet"/>
      <w:lvlText w:val="o"/>
      <w:lvlJc w:val="left"/>
      <w:pPr>
        <w:tabs>
          <w:tab w:val="num" w:pos="5760"/>
        </w:tabs>
        <w:ind w:left="5760" w:hanging="360"/>
      </w:pPr>
      <w:rPr>
        <w:rFonts w:ascii="Courier New" w:hAnsi="Courier New"/>
      </w:rPr>
    </w:lvl>
    <w:lvl w:ilvl="8" w:tplc="4BD45DE8">
      <w:start w:val="1"/>
      <w:numFmt w:val="bullet"/>
      <w:lvlText w:val=""/>
      <w:lvlJc w:val="left"/>
      <w:pPr>
        <w:tabs>
          <w:tab w:val="num" w:pos="6480"/>
        </w:tabs>
        <w:ind w:left="6480" w:hanging="360"/>
      </w:pPr>
      <w:rPr>
        <w:rFonts w:ascii="Wingdings" w:hAnsi="Wingdings"/>
      </w:rPr>
    </w:lvl>
  </w:abstractNum>
  <w:abstractNum w:abstractNumId="680" w15:restartNumberingAfterBreak="0">
    <w:nsid w:val="7223076A"/>
    <w:multiLevelType w:val="hybridMultilevel"/>
    <w:tmpl w:val="7223076A"/>
    <w:lvl w:ilvl="0" w:tplc="A90A7A56">
      <w:start w:val="1"/>
      <w:numFmt w:val="bullet"/>
      <w:lvlText w:val=""/>
      <w:lvlJc w:val="left"/>
      <w:pPr>
        <w:ind w:left="720" w:hanging="360"/>
      </w:pPr>
      <w:rPr>
        <w:rFonts w:ascii="Symbol" w:hAnsi="Symbol"/>
      </w:rPr>
    </w:lvl>
    <w:lvl w:ilvl="1" w:tplc="993E6824">
      <w:start w:val="1"/>
      <w:numFmt w:val="bullet"/>
      <w:lvlText w:val="o"/>
      <w:lvlJc w:val="left"/>
      <w:pPr>
        <w:ind w:left="1440" w:hanging="360"/>
      </w:pPr>
      <w:rPr>
        <w:rFonts w:ascii="Courier New" w:hAnsi="Courier New"/>
      </w:rPr>
    </w:lvl>
    <w:lvl w:ilvl="2" w:tplc="95BE0AA6">
      <w:start w:val="1"/>
      <w:numFmt w:val="bullet"/>
      <w:lvlText w:val=""/>
      <w:lvlJc w:val="left"/>
      <w:pPr>
        <w:tabs>
          <w:tab w:val="num" w:pos="2160"/>
        </w:tabs>
        <w:ind w:left="2160" w:hanging="360"/>
      </w:pPr>
      <w:rPr>
        <w:rFonts w:ascii="Wingdings" w:hAnsi="Wingdings"/>
      </w:rPr>
    </w:lvl>
    <w:lvl w:ilvl="3" w:tplc="E1088748">
      <w:start w:val="1"/>
      <w:numFmt w:val="bullet"/>
      <w:lvlText w:val=""/>
      <w:lvlJc w:val="left"/>
      <w:pPr>
        <w:tabs>
          <w:tab w:val="num" w:pos="2880"/>
        </w:tabs>
        <w:ind w:left="2880" w:hanging="360"/>
      </w:pPr>
      <w:rPr>
        <w:rFonts w:ascii="Symbol" w:hAnsi="Symbol"/>
      </w:rPr>
    </w:lvl>
    <w:lvl w:ilvl="4" w:tplc="4E4E61D0">
      <w:start w:val="1"/>
      <w:numFmt w:val="bullet"/>
      <w:lvlText w:val="o"/>
      <w:lvlJc w:val="left"/>
      <w:pPr>
        <w:tabs>
          <w:tab w:val="num" w:pos="3600"/>
        </w:tabs>
        <w:ind w:left="3600" w:hanging="360"/>
      </w:pPr>
      <w:rPr>
        <w:rFonts w:ascii="Courier New" w:hAnsi="Courier New"/>
      </w:rPr>
    </w:lvl>
    <w:lvl w:ilvl="5" w:tplc="C756D09A">
      <w:start w:val="1"/>
      <w:numFmt w:val="bullet"/>
      <w:lvlText w:val=""/>
      <w:lvlJc w:val="left"/>
      <w:pPr>
        <w:tabs>
          <w:tab w:val="num" w:pos="4320"/>
        </w:tabs>
        <w:ind w:left="4320" w:hanging="360"/>
      </w:pPr>
      <w:rPr>
        <w:rFonts w:ascii="Wingdings" w:hAnsi="Wingdings"/>
      </w:rPr>
    </w:lvl>
    <w:lvl w:ilvl="6" w:tplc="584E40AC">
      <w:start w:val="1"/>
      <w:numFmt w:val="bullet"/>
      <w:lvlText w:val=""/>
      <w:lvlJc w:val="left"/>
      <w:pPr>
        <w:tabs>
          <w:tab w:val="num" w:pos="5040"/>
        </w:tabs>
        <w:ind w:left="5040" w:hanging="360"/>
      </w:pPr>
      <w:rPr>
        <w:rFonts w:ascii="Symbol" w:hAnsi="Symbol"/>
      </w:rPr>
    </w:lvl>
    <w:lvl w:ilvl="7" w:tplc="56E03D94">
      <w:start w:val="1"/>
      <w:numFmt w:val="bullet"/>
      <w:lvlText w:val="o"/>
      <w:lvlJc w:val="left"/>
      <w:pPr>
        <w:tabs>
          <w:tab w:val="num" w:pos="5760"/>
        </w:tabs>
        <w:ind w:left="5760" w:hanging="360"/>
      </w:pPr>
      <w:rPr>
        <w:rFonts w:ascii="Courier New" w:hAnsi="Courier New"/>
      </w:rPr>
    </w:lvl>
    <w:lvl w:ilvl="8" w:tplc="D01C39B2">
      <w:start w:val="1"/>
      <w:numFmt w:val="bullet"/>
      <w:lvlText w:val=""/>
      <w:lvlJc w:val="left"/>
      <w:pPr>
        <w:tabs>
          <w:tab w:val="num" w:pos="6480"/>
        </w:tabs>
        <w:ind w:left="6480" w:hanging="360"/>
      </w:pPr>
      <w:rPr>
        <w:rFonts w:ascii="Wingdings" w:hAnsi="Wingdings"/>
      </w:rPr>
    </w:lvl>
  </w:abstractNum>
  <w:abstractNum w:abstractNumId="681" w15:restartNumberingAfterBreak="0">
    <w:nsid w:val="7223076B"/>
    <w:multiLevelType w:val="hybridMultilevel"/>
    <w:tmpl w:val="7223076B"/>
    <w:lvl w:ilvl="0" w:tplc="B044C36A">
      <w:start w:val="1"/>
      <w:numFmt w:val="bullet"/>
      <w:lvlText w:val=""/>
      <w:lvlJc w:val="left"/>
      <w:pPr>
        <w:ind w:left="720" w:hanging="360"/>
      </w:pPr>
      <w:rPr>
        <w:rFonts w:ascii="Symbol" w:hAnsi="Symbol"/>
      </w:rPr>
    </w:lvl>
    <w:lvl w:ilvl="1" w:tplc="509028A8">
      <w:start w:val="1"/>
      <w:numFmt w:val="bullet"/>
      <w:lvlText w:val="o"/>
      <w:lvlJc w:val="left"/>
      <w:pPr>
        <w:tabs>
          <w:tab w:val="num" w:pos="1440"/>
        </w:tabs>
        <w:ind w:left="1440" w:hanging="360"/>
      </w:pPr>
      <w:rPr>
        <w:rFonts w:ascii="Courier New" w:hAnsi="Courier New"/>
      </w:rPr>
    </w:lvl>
    <w:lvl w:ilvl="2" w:tplc="24BCA458">
      <w:start w:val="1"/>
      <w:numFmt w:val="bullet"/>
      <w:lvlText w:val=""/>
      <w:lvlJc w:val="left"/>
      <w:pPr>
        <w:tabs>
          <w:tab w:val="num" w:pos="2160"/>
        </w:tabs>
        <w:ind w:left="2160" w:hanging="360"/>
      </w:pPr>
      <w:rPr>
        <w:rFonts w:ascii="Wingdings" w:hAnsi="Wingdings"/>
      </w:rPr>
    </w:lvl>
    <w:lvl w:ilvl="3" w:tplc="4BD48C36">
      <w:start w:val="1"/>
      <w:numFmt w:val="bullet"/>
      <w:lvlText w:val=""/>
      <w:lvlJc w:val="left"/>
      <w:pPr>
        <w:tabs>
          <w:tab w:val="num" w:pos="2880"/>
        </w:tabs>
        <w:ind w:left="2880" w:hanging="360"/>
      </w:pPr>
      <w:rPr>
        <w:rFonts w:ascii="Symbol" w:hAnsi="Symbol"/>
      </w:rPr>
    </w:lvl>
    <w:lvl w:ilvl="4" w:tplc="87B2567A">
      <w:start w:val="1"/>
      <w:numFmt w:val="bullet"/>
      <w:lvlText w:val="o"/>
      <w:lvlJc w:val="left"/>
      <w:pPr>
        <w:tabs>
          <w:tab w:val="num" w:pos="3600"/>
        </w:tabs>
        <w:ind w:left="3600" w:hanging="360"/>
      </w:pPr>
      <w:rPr>
        <w:rFonts w:ascii="Courier New" w:hAnsi="Courier New"/>
      </w:rPr>
    </w:lvl>
    <w:lvl w:ilvl="5" w:tplc="09E04480">
      <w:start w:val="1"/>
      <w:numFmt w:val="bullet"/>
      <w:lvlText w:val=""/>
      <w:lvlJc w:val="left"/>
      <w:pPr>
        <w:tabs>
          <w:tab w:val="num" w:pos="4320"/>
        </w:tabs>
        <w:ind w:left="4320" w:hanging="360"/>
      </w:pPr>
      <w:rPr>
        <w:rFonts w:ascii="Wingdings" w:hAnsi="Wingdings"/>
      </w:rPr>
    </w:lvl>
    <w:lvl w:ilvl="6" w:tplc="324C1410">
      <w:start w:val="1"/>
      <w:numFmt w:val="bullet"/>
      <w:lvlText w:val=""/>
      <w:lvlJc w:val="left"/>
      <w:pPr>
        <w:tabs>
          <w:tab w:val="num" w:pos="5040"/>
        </w:tabs>
        <w:ind w:left="5040" w:hanging="360"/>
      </w:pPr>
      <w:rPr>
        <w:rFonts w:ascii="Symbol" w:hAnsi="Symbol"/>
      </w:rPr>
    </w:lvl>
    <w:lvl w:ilvl="7" w:tplc="F39AEBCE">
      <w:start w:val="1"/>
      <w:numFmt w:val="bullet"/>
      <w:lvlText w:val="o"/>
      <w:lvlJc w:val="left"/>
      <w:pPr>
        <w:tabs>
          <w:tab w:val="num" w:pos="5760"/>
        </w:tabs>
        <w:ind w:left="5760" w:hanging="360"/>
      </w:pPr>
      <w:rPr>
        <w:rFonts w:ascii="Courier New" w:hAnsi="Courier New"/>
      </w:rPr>
    </w:lvl>
    <w:lvl w:ilvl="8" w:tplc="C57A83C2">
      <w:start w:val="1"/>
      <w:numFmt w:val="bullet"/>
      <w:lvlText w:val=""/>
      <w:lvlJc w:val="left"/>
      <w:pPr>
        <w:tabs>
          <w:tab w:val="num" w:pos="6480"/>
        </w:tabs>
        <w:ind w:left="6480" w:hanging="360"/>
      </w:pPr>
      <w:rPr>
        <w:rFonts w:ascii="Wingdings" w:hAnsi="Wingdings"/>
      </w:rPr>
    </w:lvl>
  </w:abstractNum>
  <w:abstractNum w:abstractNumId="682" w15:restartNumberingAfterBreak="0">
    <w:nsid w:val="7223076C"/>
    <w:multiLevelType w:val="hybridMultilevel"/>
    <w:tmpl w:val="7223076C"/>
    <w:lvl w:ilvl="0" w:tplc="FAF8A23E">
      <w:start w:val="1"/>
      <w:numFmt w:val="bullet"/>
      <w:lvlText w:val=""/>
      <w:lvlJc w:val="left"/>
      <w:pPr>
        <w:ind w:left="720" w:hanging="360"/>
      </w:pPr>
      <w:rPr>
        <w:rFonts w:ascii="Symbol" w:hAnsi="Symbol"/>
      </w:rPr>
    </w:lvl>
    <w:lvl w:ilvl="1" w:tplc="C45A5AA0">
      <w:start w:val="1"/>
      <w:numFmt w:val="bullet"/>
      <w:lvlText w:val="o"/>
      <w:lvlJc w:val="left"/>
      <w:pPr>
        <w:tabs>
          <w:tab w:val="num" w:pos="1440"/>
        </w:tabs>
        <w:ind w:left="1440" w:hanging="360"/>
      </w:pPr>
      <w:rPr>
        <w:rFonts w:ascii="Courier New" w:hAnsi="Courier New"/>
      </w:rPr>
    </w:lvl>
    <w:lvl w:ilvl="2" w:tplc="3794956E">
      <w:start w:val="1"/>
      <w:numFmt w:val="bullet"/>
      <w:lvlText w:val=""/>
      <w:lvlJc w:val="left"/>
      <w:pPr>
        <w:tabs>
          <w:tab w:val="num" w:pos="2160"/>
        </w:tabs>
        <w:ind w:left="2160" w:hanging="360"/>
      </w:pPr>
      <w:rPr>
        <w:rFonts w:ascii="Wingdings" w:hAnsi="Wingdings"/>
      </w:rPr>
    </w:lvl>
    <w:lvl w:ilvl="3" w:tplc="03E6EDEC">
      <w:start w:val="1"/>
      <w:numFmt w:val="bullet"/>
      <w:lvlText w:val=""/>
      <w:lvlJc w:val="left"/>
      <w:pPr>
        <w:tabs>
          <w:tab w:val="num" w:pos="2880"/>
        </w:tabs>
        <w:ind w:left="2880" w:hanging="360"/>
      </w:pPr>
      <w:rPr>
        <w:rFonts w:ascii="Symbol" w:hAnsi="Symbol"/>
      </w:rPr>
    </w:lvl>
    <w:lvl w:ilvl="4" w:tplc="F89C1480">
      <w:start w:val="1"/>
      <w:numFmt w:val="bullet"/>
      <w:lvlText w:val="o"/>
      <w:lvlJc w:val="left"/>
      <w:pPr>
        <w:tabs>
          <w:tab w:val="num" w:pos="3600"/>
        </w:tabs>
        <w:ind w:left="3600" w:hanging="360"/>
      </w:pPr>
      <w:rPr>
        <w:rFonts w:ascii="Courier New" w:hAnsi="Courier New"/>
      </w:rPr>
    </w:lvl>
    <w:lvl w:ilvl="5" w:tplc="BAAE5006">
      <w:start w:val="1"/>
      <w:numFmt w:val="bullet"/>
      <w:lvlText w:val=""/>
      <w:lvlJc w:val="left"/>
      <w:pPr>
        <w:tabs>
          <w:tab w:val="num" w:pos="4320"/>
        </w:tabs>
        <w:ind w:left="4320" w:hanging="360"/>
      </w:pPr>
      <w:rPr>
        <w:rFonts w:ascii="Wingdings" w:hAnsi="Wingdings"/>
      </w:rPr>
    </w:lvl>
    <w:lvl w:ilvl="6" w:tplc="7B9ED090">
      <w:start w:val="1"/>
      <w:numFmt w:val="bullet"/>
      <w:lvlText w:val=""/>
      <w:lvlJc w:val="left"/>
      <w:pPr>
        <w:tabs>
          <w:tab w:val="num" w:pos="5040"/>
        </w:tabs>
        <w:ind w:left="5040" w:hanging="360"/>
      </w:pPr>
      <w:rPr>
        <w:rFonts w:ascii="Symbol" w:hAnsi="Symbol"/>
      </w:rPr>
    </w:lvl>
    <w:lvl w:ilvl="7" w:tplc="CC46256E">
      <w:start w:val="1"/>
      <w:numFmt w:val="bullet"/>
      <w:lvlText w:val="o"/>
      <w:lvlJc w:val="left"/>
      <w:pPr>
        <w:tabs>
          <w:tab w:val="num" w:pos="5760"/>
        </w:tabs>
        <w:ind w:left="5760" w:hanging="360"/>
      </w:pPr>
      <w:rPr>
        <w:rFonts w:ascii="Courier New" w:hAnsi="Courier New"/>
      </w:rPr>
    </w:lvl>
    <w:lvl w:ilvl="8" w:tplc="4B52E64C">
      <w:start w:val="1"/>
      <w:numFmt w:val="bullet"/>
      <w:lvlText w:val=""/>
      <w:lvlJc w:val="left"/>
      <w:pPr>
        <w:tabs>
          <w:tab w:val="num" w:pos="6480"/>
        </w:tabs>
        <w:ind w:left="6480" w:hanging="360"/>
      </w:pPr>
      <w:rPr>
        <w:rFonts w:ascii="Wingdings" w:hAnsi="Wingdings"/>
      </w:rPr>
    </w:lvl>
  </w:abstractNum>
  <w:abstractNum w:abstractNumId="683" w15:restartNumberingAfterBreak="0">
    <w:nsid w:val="7223076D"/>
    <w:multiLevelType w:val="hybridMultilevel"/>
    <w:tmpl w:val="7223076D"/>
    <w:lvl w:ilvl="0" w:tplc="BF5CC738">
      <w:start w:val="1"/>
      <w:numFmt w:val="bullet"/>
      <w:lvlText w:val=""/>
      <w:lvlJc w:val="left"/>
      <w:pPr>
        <w:ind w:left="720" w:hanging="360"/>
      </w:pPr>
      <w:rPr>
        <w:rFonts w:ascii="Symbol" w:hAnsi="Symbol"/>
      </w:rPr>
    </w:lvl>
    <w:lvl w:ilvl="1" w:tplc="3C0279F0">
      <w:start w:val="1"/>
      <w:numFmt w:val="bullet"/>
      <w:lvlText w:val="o"/>
      <w:lvlJc w:val="left"/>
      <w:pPr>
        <w:tabs>
          <w:tab w:val="num" w:pos="1440"/>
        </w:tabs>
        <w:ind w:left="1440" w:hanging="360"/>
      </w:pPr>
      <w:rPr>
        <w:rFonts w:ascii="Courier New" w:hAnsi="Courier New"/>
      </w:rPr>
    </w:lvl>
    <w:lvl w:ilvl="2" w:tplc="47E0CA1A">
      <w:start w:val="1"/>
      <w:numFmt w:val="bullet"/>
      <w:lvlText w:val=""/>
      <w:lvlJc w:val="left"/>
      <w:pPr>
        <w:tabs>
          <w:tab w:val="num" w:pos="2160"/>
        </w:tabs>
        <w:ind w:left="2160" w:hanging="360"/>
      </w:pPr>
      <w:rPr>
        <w:rFonts w:ascii="Wingdings" w:hAnsi="Wingdings"/>
      </w:rPr>
    </w:lvl>
    <w:lvl w:ilvl="3" w:tplc="DB5E34AC">
      <w:start w:val="1"/>
      <w:numFmt w:val="bullet"/>
      <w:lvlText w:val=""/>
      <w:lvlJc w:val="left"/>
      <w:pPr>
        <w:tabs>
          <w:tab w:val="num" w:pos="2880"/>
        </w:tabs>
        <w:ind w:left="2880" w:hanging="360"/>
      </w:pPr>
      <w:rPr>
        <w:rFonts w:ascii="Symbol" w:hAnsi="Symbol"/>
      </w:rPr>
    </w:lvl>
    <w:lvl w:ilvl="4" w:tplc="06D45046">
      <w:start w:val="1"/>
      <w:numFmt w:val="bullet"/>
      <w:lvlText w:val="o"/>
      <w:lvlJc w:val="left"/>
      <w:pPr>
        <w:tabs>
          <w:tab w:val="num" w:pos="3600"/>
        </w:tabs>
        <w:ind w:left="3600" w:hanging="360"/>
      </w:pPr>
      <w:rPr>
        <w:rFonts w:ascii="Courier New" w:hAnsi="Courier New"/>
      </w:rPr>
    </w:lvl>
    <w:lvl w:ilvl="5" w:tplc="0F163646">
      <w:start w:val="1"/>
      <w:numFmt w:val="bullet"/>
      <w:lvlText w:val=""/>
      <w:lvlJc w:val="left"/>
      <w:pPr>
        <w:tabs>
          <w:tab w:val="num" w:pos="4320"/>
        </w:tabs>
        <w:ind w:left="4320" w:hanging="360"/>
      </w:pPr>
      <w:rPr>
        <w:rFonts w:ascii="Wingdings" w:hAnsi="Wingdings"/>
      </w:rPr>
    </w:lvl>
    <w:lvl w:ilvl="6" w:tplc="8E967756">
      <w:start w:val="1"/>
      <w:numFmt w:val="bullet"/>
      <w:lvlText w:val=""/>
      <w:lvlJc w:val="left"/>
      <w:pPr>
        <w:tabs>
          <w:tab w:val="num" w:pos="5040"/>
        </w:tabs>
        <w:ind w:left="5040" w:hanging="360"/>
      </w:pPr>
      <w:rPr>
        <w:rFonts w:ascii="Symbol" w:hAnsi="Symbol"/>
      </w:rPr>
    </w:lvl>
    <w:lvl w:ilvl="7" w:tplc="BCE63EC8">
      <w:start w:val="1"/>
      <w:numFmt w:val="bullet"/>
      <w:lvlText w:val="o"/>
      <w:lvlJc w:val="left"/>
      <w:pPr>
        <w:tabs>
          <w:tab w:val="num" w:pos="5760"/>
        </w:tabs>
        <w:ind w:left="5760" w:hanging="360"/>
      </w:pPr>
      <w:rPr>
        <w:rFonts w:ascii="Courier New" w:hAnsi="Courier New"/>
      </w:rPr>
    </w:lvl>
    <w:lvl w:ilvl="8" w:tplc="CCBA98A0">
      <w:start w:val="1"/>
      <w:numFmt w:val="bullet"/>
      <w:lvlText w:val=""/>
      <w:lvlJc w:val="left"/>
      <w:pPr>
        <w:tabs>
          <w:tab w:val="num" w:pos="6480"/>
        </w:tabs>
        <w:ind w:left="6480" w:hanging="360"/>
      </w:pPr>
      <w:rPr>
        <w:rFonts w:ascii="Wingdings" w:hAnsi="Wingdings"/>
      </w:rPr>
    </w:lvl>
  </w:abstractNum>
  <w:abstractNum w:abstractNumId="684" w15:restartNumberingAfterBreak="0">
    <w:nsid w:val="7223076E"/>
    <w:multiLevelType w:val="hybridMultilevel"/>
    <w:tmpl w:val="7223076E"/>
    <w:lvl w:ilvl="0" w:tplc="648853EE">
      <w:start w:val="1"/>
      <w:numFmt w:val="bullet"/>
      <w:lvlText w:val=""/>
      <w:lvlJc w:val="left"/>
      <w:pPr>
        <w:tabs>
          <w:tab w:val="num" w:pos="720"/>
        </w:tabs>
        <w:ind w:left="720" w:hanging="360"/>
      </w:pPr>
      <w:rPr>
        <w:rFonts w:ascii="Symbol" w:hAnsi="Symbol"/>
      </w:rPr>
    </w:lvl>
    <w:lvl w:ilvl="1" w:tplc="50B6ADE2">
      <w:start w:val="1"/>
      <w:numFmt w:val="bullet"/>
      <w:lvlText w:val="o"/>
      <w:lvlJc w:val="left"/>
      <w:pPr>
        <w:tabs>
          <w:tab w:val="num" w:pos="1440"/>
        </w:tabs>
        <w:ind w:left="1440" w:hanging="360"/>
      </w:pPr>
      <w:rPr>
        <w:rFonts w:ascii="Courier New" w:hAnsi="Courier New"/>
      </w:rPr>
    </w:lvl>
    <w:lvl w:ilvl="2" w:tplc="68D0948C">
      <w:start w:val="1"/>
      <w:numFmt w:val="bullet"/>
      <w:lvlText w:val=""/>
      <w:lvlJc w:val="left"/>
      <w:pPr>
        <w:tabs>
          <w:tab w:val="num" w:pos="2160"/>
        </w:tabs>
        <w:ind w:left="2160" w:hanging="360"/>
      </w:pPr>
      <w:rPr>
        <w:rFonts w:ascii="Wingdings" w:hAnsi="Wingdings"/>
      </w:rPr>
    </w:lvl>
    <w:lvl w:ilvl="3" w:tplc="68D672BE">
      <w:start w:val="1"/>
      <w:numFmt w:val="bullet"/>
      <w:lvlText w:val=""/>
      <w:lvlJc w:val="left"/>
      <w:pPr>
        <w:tabs>
          <w:tab w:val="num" w:pos="2880"/>
        </w:tabs>
        <w:ind w:left="2880" w:hanging="360"/>
      </w:pPr>
      <w:rPr>
        <w:rFonts w:ascii="Symbol" w:hAnsi="Symbol"/>
      </w:rPr>
    </w:lvl>
    <w:lvl w:ilvl="4" w:tplc="734EDA46">
      <w:start w:val="1"/>
      <w:numFmt w:val="bullet"/>
      <w:lvlText w:val="o"/>
      <w:lvlJc w:val="left"/>
      <w:pPr>
        <w:tabs>
          <w:tab w:val="num" w:pos="3600"/>
        </w:tabs>
        <w:ind w:left="3600" w:hanging="360"/>
      </w:pPr>
      <w:rPr>
        <w:rFonts w:ascii="Courier New" w:hAnsi="Courier New"/>
      </w:rPr>
    </w:lvl>
    <w:lvl w:ilvl="5" w:tplc="2DAA390A">
      <w:start w:val="1"/>
      <w:numFmt w:val="bullet"/>
      <w:lvlText w:val=""/>
      <w:lvlJc w:val="left"/>
      <w:pPr>
        <w:tabs>
          <w:tab w:val="num" w:pos="4320"/>
        </w:tabs>
        <w:ind w:left="4320" w:hanging="360"/>
      </w:pPr>
      <w:rPr>
        <w:rFonts w:ascii="Wingdings" w:hAnsi="Wingdings"/>
      </w:rPr>
    </w:lvl>
    <w:lvl w:ilvl="6" w:tplc="9DB6D228">
      <w:start w:val="1"/>
      <w:numFmt w:val="bullet"/>
      <w:lvlText w:val=""/>
      <w:lvlJc w:val="left"/>
      <w:pPr>
        <w:tabs>
          <w:tab w:val="num" w:pos="5040"/>
        </w:tabs>
        <w:ind w:left="5040" w:hanging="360"/>
      </w:pPr>
      <w:rPr>
        <w:rFonts w:ascii="Symbol" w:hAnsi="Symbol"/>
      </w:rPr>
    </w:lvl>
    <w:lvl w:ilvl="7" w:tplc="D5E68566">
      <w:start w:val="1"/>
      <w:numFmt w:val="bullet"/>
      <w:lvlText w:val="o"/>
      <w:lvlJc w:val="left"/>
      <w:pPr>
        <w:tabs>
          <w:tab w:val="num" w:pos="5760"/>
        </w:tabs>
        <w:ind w:left="5760" w:hanging="360"/>
      </w:pPr>
      <w:rPr>
        <w:rFonts w:ascii="Courier New" w:hAnsi="Courier New"/>
      </w:rPr>
    </w:lvl>
    <w:lvl w:ilvl="8" w:tplc="05C8133E">
      <w:start w:val="1"/>
      <w:numFmt w:val="bullet"/>
      <w:lvlText w:val=""/>
      <w:lvlJc w:val="left"/>
      <w:pPr>
        <w:tabs>
          <w:tab w:val="num" w:pos="6480"/>
        </w:tabs>
        <w:ind w:left="6480" w:hanging="360"/>
      </w:pPr>
      <w:rPr>
        <w:rFonts w:ascii="Wingdings" w:hAnsi="Wingdings"/>
      </w:rPr>
    </w:lvl>
  </w:abstractNum>
  <w:abstractNum w:abstractNumId="685" w15:restartNumberingAfterBreak="0">
    <w:nsid w:val="7223076F"/>
    <w:multiLevelType w:val="hybridMultilevel"/>
    <w:tmpl w:val="7223076F"/>
    <w:lvl w:ilvl="0" w:tplc="DFC40CEA">
      <w:start w:val="1"/>
      <w:numFmt w:val="bullet"/>
      <w:lvlText w:val=""/>
      <w:lvlJc w:val="left"/>
      <w:pPr>
        <w:ind w:left="720" w:hanging="360"/>
      </w:pPr>
      <w:rPr>
        <w:rFonts w:ascii="Symbol" w:hAnsi="Symbol"/>
      </w:rPr>
    </w:lvl>
    <w:lvl w:ilvl="1" w:tplc="E17CD528">
      <w:start w:val="1"/>
      <w:numFmt w:val="bullet"/>
      <w:lvlText w:val="o"/>
      <w:lvlJc w:val="left"/>
      <w:pPr>
        <w:tabs>
          <w:tab w:val="num" w:pos="1440"/>
        </w:tabs>
        <w:ind w:left="1440" w:hanging="360"/>
      </w:pPr>
      <w:rPr>
        <w:rFonts w:ascii="Courier New" w:hAnsi="Courier New"/>
      </w:rPr>
    </w:lvl>
    <w:lvl w:ilvl="2" w:tplc="E4F08CCC">
      <w:start w:val="1"/>
      <w:numFmt w:val="bullet"/>
      <w:lvlText w:val=""/>
      <w:lvlJc w:val="left"/>
      <w:pPr>
        <w:tabs>
          <w:tab w:val="num" w:pos="2160"/>
        </w:tabs>
        <w:ind w:left="2160" w:hanging="360"/>
      </w:pPr>
      <w:rPr>
        <w:rFonts w:ascii="Wingdings" w:hAnsi="Wingdings"/>
      </w:rPr>
    </w:lvl>
    <w:lvl w:ilvl="3" w:tplc="E8F23C48">
      <w:start w:val="1"/>
      <w:numFmt w:val="bullet"/>
      <w:lvlText w:val=""/>
      <w:lvlJc w:val="left"/>
      <w:pPr>
        <w:tabs>
          <w:tab w:val="num" w:pos="2880"/>
        </w:tabs>
        <w:ind w:left="2880" w:hanging="360"/>
      </w:pPr>
      <w:rPr>
        <w:rFonts w:ascii="Symbol" w:hAnsi="Symbol"/>
      </w:rPr>
    </w:lvl>
    <w:lvl w:ilvl="4" w:tplc="1D3C1086">
      <w:start w:val="1"/>
      <w:numFmt w:val="bullet"/>
      <w:lvlText w:val="o"/>
      <w:lvlJc w:val="left"/>
      <w:pPr>
        <w:tabs>
          <w:tab w:val="num" w:pos="3600"/>
        </w:tabs>
        <w:ind w:left="3600" w:hanging="360"/>
      </w:pPr>
      <w:rPr>
        <w:rFonts w:ascii="Courier New" w:hAnsi="Courier New"/>
      </w:rPr>
    </w:lvl>
    <w:lvl w:ilvl="5" w:tplc="57665916">
      <w:start w:val="1"/>
      <w:numFmt w:val="bullet"/>
      <w:lvlText w:val=""/>
      <w:lvlJc w:val="left"/>
      <w:pPr>
        <w:tabs>
          <w:tab w:val="num" w:pos="4320"/>
        </w:tabs>
        <w:ind w:left="4320" w:hanging="360"/>
      </w:pPr>
      <w:rPr>
        <w:rFonts w:ascii="Wingdings" w:hAnsi="Wingdings"/>
      </w:rPr>
    </w:lvl>
    <w:lvl w:ilvl="6" w:tplc="1FF09356">
      <w:start w:val="1"/>
      <w:numFmt w:val="bullet"/>
      <w:lvlText w:val=""/>
      <w:lvlJc w:val="left"/>
      <w:pPr>
        <w:tabs>
          <w:tab w:val="num" w:pos="5040"/>
        </w:tabs>
        <w:ind w:left="5040" w:hanging="360"/>
      </w:pPr>
      <w:rPr>
        <w:rFonts w:ascii="Symbol" w:hAnsi="Symbol"/>
      </w:rPr>
    </w:lvl>
    <w:lvl w:ilvl="7" w:tplc="D81C290A">
      <w:start w:val="1"/>
      <w:numFmt w:val="bullet"/>
      <w:lvlText w:val="o"/>
      <w:lvlJc w:val="left"/>
      <w:pPr>
        <w:tabs>
          <w:tab w:val="num" w:pos="5760"/>
        </w:tabs>
        <w:ind w:left="5760" w:hanging="360"/>
      </w:pPr>
      <w:rPr>
        <w:rFonts w:ascii="Courier New" w:hAnsi="Courier New"/>
      </w:rPr>
    </w:lvl>
    <w:lvl w:ilvl="8" w:tplc="B900AF1C">
      <w:start w:val="1"/>
      <w:numFmt w:val="bullet"/>
      <w:lvlText w:val=""/>
      <w:lvlJc w:val="left"/>
      <w:pPr>
        <w:tabs>
          <w:tab w:val="num" w:pos="6480"/>
        </w:tabs>
        <w:ind w:left="6480" w:hanging="360"/>
      </w:pPr>
      <w:rPr>
        <w:rFonts w:ascii="Wingdings" w:hAnsi="Wingdings"/>
      </w:rPr>
    </w:lvl>
  </w:abstractNum>
  <w:abstractNum w:abstractNumId="686" w15:restartNumberingAfterBreak="0">
    <w:nsid w:val="72230770"/>
    <w:multiLevelType w:val="hybridMultilevel"/>
    <w:tmpl w:val="72230770"/>
    <w:lvl w:ilvl="0" w:tplc="7CBEE26C">
      <w:start w:val="1"/>
      <w:numFmt w:val="bullet"/>
      <w:lvlText w:val=""/>
      <w:lvlJc w:val="left"/>
      <w:pPr>
        <w:ind w:left="720" w:hanging="360"/>
      </w:pPr>
      <w:rPr>
        <w:rFonts w:ascii="Symbol" w:hAnsi="Symbol"/>
      </w:rPr>
    </w:lvl>
    <w:lvl w:ilvl="1" w:tplc="04688BAA">
      <w:start w:val="1"/>
      <w:numFmt w:val="bullet"/>
      <w:lvlText w:val="o"/>
      <w:lvlJc w:val="left"/>
      <w:pPr>
        <w:tabs>
          <w:tab w:val="num" w:pos="1440"/>
        </w:tabs>
        <w:ind w:left="1440" w:hanging="360"/>
      </w:pPr>
      <w:rPr>
        <w:rFonts w:ascii="Courier New" w:hAnsi="Courier New"/>
      </w:rPr>
    </w:lvl>
    <w:lvl w:ilvl="2" w:tplc="91109590">
      <w:start w:val="1"/>
      <w:numFmt w:val="bullet"/>
      <w:lvlText w:val=""/>
      <w:lvlJc w:val="left"/>
      <w:pPr>
        <w:tabs>
          <w:tab w:val="num" w:pos="2160"/>
        </w:tabs>
        <w:ind w:left="2160" w:hanging="360"/>
      </w:pPr>
      <w:rPr>
        <w:rFonts w:ascii="Wingdings" w:hAnsi="Wingdings"/>
      </w:rPr>
    </w:lvl>
    <w:lvl w:ilvl="3" w:tplc="18DAE422">
      <w:start w:val="1"/>
      <w:numFmt w:val="bullet"/>
      <w:lvlText w:val=""/>
      <w:lvlJc w:val="left"/>
      <w:pPr>
        <w:tabs>
          <w:tab w:val="num" w:pos="2880"/>
        </w:tabs>
        <w:ind w:left="2880" w:hanging="360"/>
      </w:pPr>
      <w:rPr>
        <w:rFonts w:ascii="Symbol" w:hAnsi="Symbol"/>
      </w:rPr>
    </w:lvl>
    <w:lvl w:ilvl="4" w:tplc="ABD0D42E">
      <w:start w:val="1"/>
      <w:numFmt w:val="bullet"/>
      <w:lvlText w:val="o"/>
      <w:lvlJc w:val="left"/>
      <w:pPr>
        <w:tabs>
          <w:tab w:val="num" w:pos="3600"/>
        </w:tabs>
        <w:ind w:left="3600" w:hanging="360"/>
      </w:pPr>
      <w:rPr>
        <w:rFonts w:ascii="Courier New" w:hAnsi="Courier New"/>
      </w:rPr>
    </w:lvl>
    <w:lvl w:ilvl="5" w:tplc="815E766A">
      <w:start w:val="1"/>
      <w:numFmt w:val="bullet"/>
      <w:lvlText w:val=""/>
      <w:lvlJc w:val="left"/>
      <w:pPr>
        <w:tabs>
          <w:tab w:val="num" w:pos="4320"/>
        </w:tabs>
        <w:ind w:left="4320" w:hanging="360"/>
      </w:pPr>
      <w:rPr>
        <w:rFonts w:ascii="Wingdings" w:hAnsi="Wingdings"/>
      </w:rPr>
    </w:lvl>
    <w:lvl w:ilvl="6" w:tplc="226CD052">
      <w:start w:val="1"/>
      <w:numFmt w:val="bullet"/>
      <w:lvlText w:val=""/>
      <w:lvlJc w:val="left"/>
      <w:pPr>
        <w:tabs>
          <w:tab w:val="num" w:pos="5040"/>
        </w:tabs>
        <w:ind w:left="5040" w:hanging="360"/>
      </w:pPr>
      <w:rPr>
        <w:rFonts w:ascii="Symbol" w:hAnsi="Symbol"/>
      </w:rPr>
    </w:lvl>
    <w:lvl w:ilvl="7" w:tplc="9424C4BE">
      <w:start w:val="1"/>
      <w:numFmt w:val="bullet"/>
      <w:lvlText w:val="o"/>
      <w:lvlJc w:val="left"/>
      <w:pPr>
        <w:tabs>
          <w:tab w:val="num" w:pos="5760"/>
        </w:tabs>
        <w:ind w:left="5760" w:hanging="360"/>
      </w:pPr>
      <w:rPr>
        <w:rFonts w:ascii="Courier New" w:hAnsi="Courier New"/>
      </w:rPr>
    </w:lvl>
    <w:lvl w:ilvl="8" w:tplc="47308C80">
      <w:start w:val="1"/>
      <w:numFmt w:val="bullet"/>
      <w:lvlText w:val=""/>
      <w:lvlJc w:val="left"/>
      <w:pPr>
        <w:tabs>
          <w:tab w:val="num" w:pos="6480"/>
        </w:tabs>
        <w:ind w:left="6480" w:hanging="360"/>
      </w:pPr>
      <w:rPr>
        <w:rFonts w:ascii="Wingdings" w:hAnsi="Wingdings"/>
      </w:rPr>
    </w:lvl>
  </w:abstractNum>
  <w:abstractNum w:abstractNumId="687" w15:restartNumberingAfterBreak="0">
    <w:nsid w:val="72230771"/>
    <w:multiLevelType w:val="hybridMultilevel"/>
    <w:tmpl w:val="72230771"/>
    <w:lvl w:ilvl="0" w:tplc="CAA84324">
      <w:start w:val="1"/>
      <w:numFmt w:val="bullet"/>
      <w:lvlText w:val=""/>
      <w:lvlJc w:val="left"/>
      <w:pPr>
        <w:ind w:left="720" w:hanging="360"/>
      </w:pPr>
      <w:rPr>
        <w:rFonts w:ascii="Symbol" w:hAnsi="Symbol"/>
      </w:rPr>
    </w:lvl>
    <w:lvl w:ilvl="1" w:tplc="26169294">
      <w:start w:val="1"/>
      <w:numFmt w:val="bullet"/>
      <w:lvlText w:val="o"/>
      <w:lvlJc w:val="left"/>
      <w:pPr>
        <w:tabs>
          <w:tab w:val="num" w:pos="1440"/>
        </w:tabs>
        <w:ind w:left="1440" w:hanging="360"/>
      </w:pPr>
      <w:rPr>
        <w:rFonts w:ascii="Courier New" w:hAnsi="Courier New"/>
      </w:rPr>
    </w:lvl>
    <w:lvl w:ilvl="2" w:tplc="CC2C386E">
      <w:start w:val="1"/>
      <w:numFmt w:val="bullet"/>
      <w:lvlText w:val=""/>
      <w:lvlJc w:val="left"/>
      <w:pPr>
        <w:tabs>
          <w:tab w:val="num" w:pos="2160"/>
        </w:tabs>
        <w:ind w:left="2160" w:hanging="360"/>
      </w:pPr>
      <w:rPr>
        <w:rFonts w:ascii="Wingdings" w:hAnsi="Wingdings"/>
      </w:rPr>
    </w:lvl>
    <w:lvl w:ilvl="3" w:tplc="42866FDE">
      <w:start w:val="1"/>
      <w:numFmt w:val="bullet"/>
      <w:lvlText w:val=""/>
      <w:lvlJc w:val="left"/>
      <w:pPr>
        <w:tabs>
          <w:tab w:val="num" w:pos="2880"/>
        </w:tabs>
        <w:ind w:left="2880" w:hanging="360"/>
      </w:pPr>
      <w:rPr>
        <w:rFonts w:ascii="Symbol" w:hAnsi="Symbol"/>
      </w:rPr>
    </w:lvl>
    <w:lvl w:ilvl="4" w:tplc="1A80EB78">
      <w:start w:val="1"/>
      <w:numFmt w:val="bullet"/>
      <w:lvlText w:val="o"/>
      <w:lvlJc w:val="left"/>
      <w:pPr>
        <w:tabs>
          <w:tab w:val="num" w:pos="3600"/>
        </w:tabs>
        <w:ind w:left="3600" w:hanging="360"/>
      </w:pPr>
      <w:rPr>
        <w:rFonts w:ascii="Courier New" w:hAnsi="Courier New"/>
      </w:rPr>
    </w:lvl>
    <w:lvl w:ilvl="5" w:tplc="1DE2B476">
      <w:start w:val="1"/>
      <w:numFmt w:val="bullet"/>
      <w:lvlText w:val=""/>
      <w:lvlJc w:val="left"/>
      <w:pPr>
        <w:tabs>
          <w:tab w:val="num" w:pos="4320"/>
        </w:tabs>
        <w:ind w:left="4320" w:hanging="360"/>
      </w:pPr>
      <w:rPr>
        <w:rFonts w:ascii="Wingdings" w:hAnsi="Wingdings"/>
      </w:rPr>
    </w:lvl>
    <w:lvl w:ilvl="6" w:tplc="BE2C2F3E">
      <w:start w:val="1"/>
      <w:numFmt w:val="bullet"/>
      <w:lvlText w:val=""/>
      <w:lvlJc w:val="left"/>
      <w:pPr>
        <w:tabs>
          <w:tab w:val="num" w:pos="5040"/>
        </w:tabs>
        <w:ind w:left="5040" w:hanging="360"/>
      </w:pPr>
      <w:rPr>
        <w:rFonts w:ascii="Symbol" w:hAnsi="Symbol"/>
      </w:rPr>
    </w:lvl>
    <w:lvl w:ilvl="7" w:tplc="AB0EDB4C">
      <w:start w:val="1"/>
      <w:numFmt w:val="bullet"/>
      <w:lvlText w:val="o"/>
      <w:lvlJc w:val="left"/>
      <w:pPr>
        <w:tabs>
          <w:tab w:val="num" w:pos="5760"/>
        </w:tabs>
        <w:ind w:left="5760" w:hanging="360"/>
      </w:pPr>
      <w:rPr>
        <w:rFonts w:ascii="Courier New" w:hAnsi="Courier New"/>
      </w:rPr>
    </w:lvl>
    <w:lvl w:ilvl="8" w:tplc="B0C04FBA">
      <w:start w:val="1"/>
      <w:numFmt w:val="bullet"/>
      <w:lvlText w:val=""/>
      <w:lvlJc w:val="left"/>
      <w:pPr>
        <w:tabs>
          <w:tab w:val="num" w:pos="6480"/>
        </w:tabs>
        <w:ind w:left="6480" w:hanging="360"/>
      </w:pPr>
      <w:rPr>
        <w:rFonts w:ascii="Wingdings" w:hAnsi="Wingdings"/>
      </w:rPr>
    </w:lvl>
  </w:abstractNum>
  <w:abstractNum w:abstractNumId="688" w15:restartNumberingAfterBreak="0">
    <w:nsid w:val="72230772"/>
    <w:multiLevelType w:val="hybridMultilevel"/>
    <w:tmpl w:val="72230772"/>
    <w:lvl w:ilvl="0" w:tplc="7A6AA3BA">
      <w:start w:val="1"/>
      <w:numFmt w:val="bullet"/>
      <w:lvlText w:val=""/>
      <w:lvlJc w:val="left"/>
      <w:pPr>
        <w:ind w:left="720" w:hanging="360"/>
      </w:pPr>
      <w:rPr>
        <w:rFonts w:ascii="Symbol" w:hAnsi="Symbol"/>
      </w:rPr>
    </w:lvl>
    <w:lvl w:ilvl="1" w:tplc="A3EC0FC0">
      <w:start w:val="1"/>
      <w:numFmt w:val="bullet"/>
      <w:lvlText w:val="o"/>
      <w:lvlJc w:val="left"/>
      <w:pPr>
        <w:tabs>
          <w:tab w:val="num" w:pos="1440"/>
        </w:tabs>
        <w:ind w:left="1440" w:hanging="360"/>
      </w:pPr>
      <w:rPr>
        <w:rFonts w:ascii="Courier New" w:hAnsi="Courier New"/>
      </w:rPr>
    </w:lvl>
    <w:lvl w:ilvl="2" w:tplc="AA10ACA2">
      <w:start w:val="1"/>
      <w:numFmt w:val="bullet"/>
      <w:lvlText w:val=""/>
      <w:lvlJc w:val="left"/>
      <w:pPr>
        <w:tabs>
          <w:tab w:val="num" w:pos="2160"/>
        </w:tabs>
        <w:ind w:left="2160" w:hanging="360"/>
      </w:pPr>
      <w:rPr>
        <w:rFonts w:ascii="Wingdings" w:hAnsi="Wingdings"/>
      </w:rPr>
    </w:lvl>
    <w:lvl w:ilvl="3" w:tplc="3DE25E74">
      <w:start w:val="1"/>
      <w:numFmt w:val="bullet"/>
      <w:lvlText w:val=""/>
      <w:lvlJc w:val="left"/>
      <w:pPr>
        <w:tabs>
          <w:tab w:val="num" w:pos="2880"/>
        </w:tabs>
        <w:ind w:left="2880" w:hanging="360"/>
      </w:pPr>
      <w:rPr>
        <w:rFonts w:ascii="Symbol" w:hAnsi="Symbol"/>
      </w:rPr>
    </w:lvl>
    <w:lvl w:ilvl="4" w:tplc="E724DB14">
      <w:start w:val="1"/>
      <w:numFmt w:val="bullet"/>
      <w:lvlText w:val="o"/>
      <w:lvlJc w:val="left"/>
      <w:pPr>
        <w:tabs>
          <w:tab w:val="num" w:pos="3600"/>
        </w:tabs>
        <w:ind w:left="3600" w:hanging="360"/>
      </w:pPr>
      <w:rPr>
        <w:rFonts w:ascii="Courier New" w:hAnsi="Courier New"/>
      </w:rPr>
    </w:lvl>
    <w:lvl w:ilvl="5" w:tplc="1082A864">
      <w:start w:val="1"/>
      <w:numFmt w:val="bullet"/>
      <w:lvlText w:val=""/>
      <w:lvlJc w:val="left"/>
      <w:pPr>
        <w:tabs>
          <w:tab w:val="num" w:pos="4320"/>
        </w:tabs>
        <w:ind w:left="4320" w:hanging="360"/>
      </w:pPr>
      <w:rPr>
        <w:rFonts w:ascii="Wingdings" w:hAnsi="Wingdings"/>
      </w:rPr>
    </w:lvl>
    <w:lvl w:ilvl="6" w:tplc="6EE81358">
      <w:start w:val="1"/>
      <w:numFmt w:val="bullet"/>
      <w:lvlText w:val=""/>
      <w:lvlJc w:val="left"/>
      <w:pPr>
        <w:tabs>
          <w:tab w:val="num" w:pos="5040"/>
        </w:tabs>
        <w:ind w:left="5040" w:hanging="360"/>
      </w:pPr>
      <w:rPr>
        <w:rFonts w:ascii="Symbol" w:hAnsi="Symbol"/>
      </w:rPr>
    </w:lvl>
    <w:lvl w:ilvl="7" w:tplc="953EE772">
      <w:start w:val="1"/>
      <w:numFmt w:val="bullet"/>
      <w:lvlText w:val="o"/>
      <w:lvlJc w:val="left"/>
      <w:pPr>
        <w:tabs>
          <w:tab w:val="num" w:pos="5760"/>
        </w:tabs>
        <w:ind w:left="5760" w:hanging="360"/>
      </w:pPr>
      <w:rPr>
        <w:rFonts w:ascii="Courier New" w:hAnsi="Courier New"/>
      </w:rPr>
    </w:lvl>
    <w:lvl w:ilvl="8" w:tplc="B6D0CCE0">
      <w:start w:val="1"/>
      <w:numFmt w:val="bullet"/>
      <w:lvlText w:val=""/>
      <w:lvlJc w:val="left"/>
      <w:pPr>
        <w:tabs>
          <w:tab w:val="num" w:pos="6480"/>
        </w:tabs>
        <w:ind w:left="6480" w:hanging="360"/>
      </w:pPr>
      <w:rPr>
        <w:rFonts w:ascii="Wingdings" w:hAnsi="Wingdings"/>
      </w:rPr>
    </w:lvl>
  </w:abstractNum>
  <w:abstractNum w:abstractNumId="689" w15:restartNumberingAfterBreak="0">
    <w:nsid w:val="72230773"/>
    <w:multiLevelType w:val="hybridMultilevel"/>
    <w:tmpl w:val="72230773"/>
    <w:lvl w:ilvl="0" w:tplc="36525802">
      <w:start w:val="1"/>
      <w:numFmt w:val="bullet"/>
      <w:lvlText w:val=""/>
      <w:lvlJc w:val="left"/>
      <w:pPr>
        <w:tabs>
          <w:tab w:val="num" w:pos="720"/>
        </w:tabs>
        <w:ind w:left="720" w:hanging="360"/>
      </w:pPr>
      <w:rPr>
        <w:rFonts w:ascii="Symbol" w:hAnsi="Symbol"/>
      </w:rPr>
    </w:lvl>
    <w:lvl w:ilvl="1" w:tplc="D35048E0">
      <w:start w:val="1"/>
      <w:numFmt w:val="bullet"/>
      <w:lvlText w:val="o"/>
      <w:lvlJc w:val="left"/>
      <w:pPr>
        <w:tabs>
          <w:tab w:val="num" w:pos="1440"/>
        </w:tabs>
        <w:ind w:left="1440" w:hanging="360"/>
      </w:pPr>
      <w:rPr>
        <w:rFonts w:ascii="Courier New" w:hAnsi="Courier New"/>
      </w:rPr>
    </w:lvl>
    <w:lvl w:ilvl="2" w:tplc="1F60121E">
      <w:start w:val="1"/>
      <w:numFmt w:val="bullet"/>
      <w:lvlText w:val=""/>
      <w:lvlJc w:val="left"/>
      <w:pPr>
        <w:tabs>
          <w:tab w:val="num" w:pos="2160"/>
        </w:tabs>
        <w:ind w:left="2160" w:hanging="360"/>
      </w:pPr>
      <w:rPr>
        <w:rFonts w:ascii="Wingdings" w:hAnsi="Wingdings"/>
      </w:rPr>
    </w:lvl>
    <w:lvl w:ilvl="3" w:tplc="4DC631F2">
      <w:start w:val="1"/>
      <w:numFmt w:val="bullet"/>
      <w:lvlText w:val=""/>
      <w:lvlJc w:val="left"/>
      <w:pPr>
        <w:tabs>
          <w:tab w:val="num" w:pos="2880"/>
        </w:tabs>
        <w:ind w:left="2880" w:hanging="360"/>
      </w:pPr>
      <w:rPr>
        <w:rFonts w:ascii="Symbol" w:hAnsi="Symbol"/>
      </w:rPr>
    </w:lvl>
    <w:lvl w:ilvl="4" w:tplc="67A81588">
      <w:start w:val="1"/>
      <w:numFmt w:val="bullet"/>
      <w:lvlText w:val="o"/>
      <w:lvlJc w:val="left"/>
      <w:pPr>
        <w:tabs>
          <w:tab w:val="num" w:pos="3600"/>
        </w:tabs>
        <w:ind w:left="3600" w:hanging="360"/>
      </w:pPr>
      <w:rPr>
        <w:rFonts w:ascii="Courier New" w:hAnsi="Courier New"/>
      </w:rPr>
    </w:lvl>
    <w:lvl w:ilvl="5" w:tplc="45CC2188">
      <w:start w:val="1"/>
      <w:numFmt w:val="bullet"/>
      <w:lvlText w:val=""/>
      <w:lvlJc w:val="left"/>
      <w:pPr>
        <w:tabs>
          <w:tab w:val="num" w:pos="4320"/>
        </w:tabs>
        <w:ind w:left="4320" w:hanging="360"/>
      </w:pPr>
      <w:rPr>
        <w:rFonts w:ascii="Wingdings" w:hAnsi="Wingdings"/>
      </w:rPr>
    </w:lvl>
    <w:lvl w:ilvl="6" w:tplc="A34E697C">
      <w:start w:val="1"/>
      <w:numFmt w:val="bullet"/>
      <w:lvlText w:val=""/>
      <w:lvlJc w:val="left"/>
      <w:pPr>
        <w:tabs>
          <w:tab w:val="num" w:pos="5040"/>
        </w:tabs>
        <w:ind w:left="5040" w:hanging="360"/>
      </w:pPr>
      <w:rPr>
        <w:rFonts w:ascii="Symbol" w:hAnsi="Symbol"/>
      </w:rPr>
    </w:lvl>
    <w:lvl w:ilvl="7" w:tplc="2912F386">
      <w:start w:val="1"/>
      <w:numFmt w:val="bullet"/>
      <w:lvlText w:val="o"/>
      <w:lvlJc w:val="left"/>
      <w:pPr>
        <w:tabs>
          <w:tab w:val="num" w:pos="5760"/>
        </w:tabs>
        <w:ind w:left="5760" w:hanging="360"/>
      </w:pPr>
      <w:rPr>
        <w:rFonts w:ascii="Courier New" w:hAnsi="Courier New"/>
      </w:rPr>
    </w:lvl>
    <w:lvl w:ilvl="8" w:tplc="1A9E9D18">
      <w:start w:val="1"/>
      <w:numFmt w:val="bullet"/>
      <w:lvlText w:val=""/>
      <w:lvlJc w:val="left"/>
      <w:pPr>
        <w:tabs>
          <w:tab w:val="num" w:pos="6480"/>
        </w:tabs>
        <w:ind w:left="6480" w:hanging="360"/>
      </w:pPr>
      <w:rPr>
        <w:rFonts w:ascii="Wingdings" w:hAnsi="Wingdings"/>
      </w:rPr>
    </w:lvl>
  </w:abstractNum>
  <w:abstractNum w:abstractNumId="690" w15:restartNumberingAfterBreak="0">
    <w:nsid w:val="72230774"/>
    <w:multiLevelType w:val="hybridMultilevel"/>
    <w:tmpl w:val="72230774"/>
    <w:lvl w:ilvl="0" w:tplc="6FA0C9F6">
      <w:start w:val="1"/>
      <w:numFmt w:val="bullet"/>
      <w:lvlText w:val=""/>
      <w:lvlJc w:val="left"/>
      <w:pPr>
        <w:ind w:left="720" w:hanging="360"/>
      </w:pPr>
      <w:rPr>
        <w:rFonts w:ascii="Symbol" w:hAnsi="Symbol"/>
      </w:rPr>
    </w:lvl>
    <w:lvl w:ilvl="1" w:tplc="749AD7CE">
      <w:start w:val="1"/>
      <w:numFmt w:val="bullet"/>
      <w:lvlText w:val="o"/>
      <w:lvlJc w:val="left"/>
      <w:pPr>
        <w:ind w:left="1440" w:hanging="360"/>
      </w:pPr>
      <w:rPr>
        <w:rFonts w:ascii="Courier New" w:hAnsi="Courier New"/>
      </w:rPr>
    </w:lvl>
    <w:lvl w:ilvl="2" w:tplc="8BAE3B6A">
      <w:start w:val="1"/>
      <w:numFmt w:val="bullet"/>
      <w:lvlText w:val=""/>
      <w:lvlJc w:val="left"/>
      <w:pPr>
        <w:tabs>
          <w:tab w:val="num" w:pos="2160"/>
        </w:tabs>
        <w:ind w:left="2160" w:hanging="360"/>
      </w:pPr>
      <w:rPr>
        <w:rFonts w:ascii="Wingdings" w:hAnsi="Wingdings"/>
      </w:rPr>
    </w:lvl>
    <w:lvl w:ilvl="3" w:tplc="D70C7C58">
      <w:start w:val="1"/>
      <w:numFmt w:val="bullet"/>
      <w:lvlText w:val=""/>
      <w:lvlJc w:val="left"/>
      <w:pPr>
        <w:tabs>
          <w:tab w:val="num" w:pos="2880"/>
        </w:tabs>
        <w:ind w:left="2880" w:hanging="360"/>
      </w:pPr>
      <w:rPr>
        <w:rFonts w:ascii="Symbol" w:hAnsi="Symbol"/>
      </w:rPr>
    </w:lvl>
    <w:lvl w:ilvl="4" w:tplc="A676A3D8">
      <w:start w:val="1"/>
      <w:numFmt w:val="bullet"/>
      <w:lvlText w:val="o"/>
      <w:lvlJc w:val="left"/>
      <w:pPr>
        <w:tabs>
          <w:tab w:val="num" w:pos="3600"/>
        </w:tabs>
        <w:ind w:left="3600" w:hanging="360"/>
      </w:pPr>
      <w:rPr>
        <w:rFonts w:ascii="Courier New" w:hAnsi="Courier New"/>
      </w:rPr>
    </w:lvl>
    <w:lvl w:ilvl="5" w:tplc="2F3A2592">
      <w:start w:val="1"/>
      <w:numFmt w:val="bullet"/>
      <w:lvlText w:val=""/>
      <w:lvlJc w:val="left"/>
      <w:pPr>
        <w:tabs>
          <w:tab w:val="num" w:pos="4320"/>
        </w:tabs>
        <w:ind w:left="4320" w:hanging="360"/>
      </w:pPr>
      <w:rPr>
        <w:rFonts w:ascii="Wingdings" w:hAnsi="Wingdings"/>
      </w:rPr>
    </w:lvl>
    <w:lvl w:ilvl="6" w:tplc="A23EBA42">
      <w:start w:val="1"/>
      <w:numFmt w:val="bullet"/>
      <w:lvlText w:val=""/>
      <w:lvlJc w:val="left"/>
      <w:pPr>
        <w:tabs>
          <w:tab w:val="num" w:pos="5040"/>
        </w:tabs>
        <w:ind w:left="5040" w:hanging="360"/>
      </w:pPr>
      <w:rPr>
        <w:rFonts w:ascii="Symbol" w:hAnsi="Symbol"/>
      </w:rPr>
    </w:lvl>
    <w:lvl w:ilvl="7" w:tplc="052831C4">
      <w:start w:val="1"/>
      <w:numFmt w:val="bullet"/>
      <w:lvlText w:val="o"/>
      <w:lvlJc w:val="left"/>
      <w:pPr>
        <w:tabs>
          <w:tab w:val="num" w:pos="5760"/>
        </w:tabs>
        <w:ind w:left="5760" w:hanging="360"/>
      </w:pPr>
      <w:rPr>
        <w:rFonts w:ascii="Courier New" w:hAnsi="Courier New"/>
      </w:rPr>
    </w:lvl>
    <w:lvl w:ilvl="8" w:tplc="A1523080">
      <w:start w:val="1"/>
      <w:numFmt w:val="bullet"/>
      <w:lvlText w:val=""/>
      <w:lvlJc w:val="left"/>
      <w:pPr>
        <w:tabs>
          <w:tab w:val="num" w:pos="6480"/>
        </w:tabs>
        <w:ind w:left="6480" w:hanging="360"/>
      </w:pPr>
      <w:rPr>
        <w:rFonts w:ascii="Wingdings" w:hAnsi="Wingdings"/>
      </w:rPr>
    </w:lvl>
  </w:abstractNum>
  <w:abstractNum w:abstractNumId="691" w15:restartNumberingAfterBreak="0">
    <w:nsid w:val="72230775"/>
    <w:multiLevelType w:val="hybridMultilevel"/>
    <w:tmpl w:val="72230775"/>
    <w:lvl w:ilvl="0" w:tplc="7424F7E2">
      <w:start w:val="1"/>
      <w:numFmt w:val="bullet"/>
      <w:lvlText w:val=""/>
      <w:lvlJc w:val="left"/>
      <w:pPr>
        <w:ind w:left="720" w:hanging="360"/>
      </w:pPr>
      <w:rPr>
        <w:rFonts w:ascii="Symbol" w:hAnsi="Symbol"/>
      </w:rPr>
    </w:lvl>
    <w:lvl w:ilvl="1" w:tplc="2E04D87A">
      <w:start w:val="1"/>
      <w:numFmt w:val="bullet"/>
      <w:lvlText w:val="o"/>
      <w:lvlJc w:val="left"/>
      <w:pPr>
        <w:tabs>
          <w:tab w:val="num" w:pos="1440"/>
        </w:tabs>
        <w:ind w:left="1440" w:hanging="360"/>
      </w:pPr>
      <w:rPr>
        <w:rFonts w:ascii="Courier New" w:hAnsi="Courier New"/>
      </w:rPr>
    </w:lvl>
    <w:lvl w:ilvl="2" w:tplc="4866D1B0">
      <w:start w:val="1"/>
      <w:numFmt w:val="bullet"/>
      <w:lvlText w:val=""/>
      <w:lvlJc w:val="left"/>
      <w:pPr>
        <w:tabs>
          <w:tab w:val="num" w:pos="2160"/>
        </w:tabs>
        <w:ind w:left="2160" w:hanging="360"/>
      </w:pPr>
      <w:rPr>
        <w:rFonts w:ascii="Wingdings" w:hAnsi="Wingdings"/>
      </w:rPr>
    </w:lvl>
    <w:lvl w:ilvl="3" w:tplc="C90ED814">
      <w:start w:val="1"/>
      <w:numFmt w:val="bullet"/>
      <w:lvlText w:val=""/>
      <w:lvlJc w:val="left"/>
      <w:pPr>
        <w:tabs>
          <w:tab w:val="num" w:pos="2880"/>
        </w:tabs>
        <w:ind w:left="2880" w:hanging="360"/>
      </w:pPr>
      <w:rPr>
        <w:rFonts w:ascii="Symbol" w:hAnsi="Symbol"/>
      </w:rPr>
    </w:lvl>
    <w:lvl w:ilvl="4" w:tplc="F2789304">
      <w:start w:val="1"/>
      <w:numFmt w:val="bullet"/>
      <w:lvlText w:val="o"/>
      <w:lvlJc w:val="left"/>
      <w:pPr>
        <w:tabs>
          <w:tab w:val="num" w:pos="3600"/>
        </w:tabs>
        <w:ind w:left="3600" w:hanging="360"/>
      </w:pPr>
      <w:rPr>
        <w:rFonts w:ascii="Courier New" w:hAnsi="Courier New"/>
      </w:rPr>
    </w:lvl>
    <w:lvl w:ilvl="5" w:tplc="79B0AF96">
      <w:start w:val="1"/>
      <w:numFmt w:val="bullet"/>
      <w:lvlText w:val=""/>
      <w:lvlJc w:val="left"/>
      <w:pPr>
        <w:tabs>
          <w:tab w:val="num" w:pos="4320"/>
        </w:tabs>
        <w:ind w:left="4320" w:hanging="360"/>
      </w:pPr>
      <w:rPr>
        <w:rFonts w:ascii="Wingdings" w:hAnsi="Wingdings"/>
      </w:rPr>
    </w:lvl>
    <w:lvl w:ilvl="6" w:tplc="A85075EE">
      <w:start w:val="1"/>
      <w:numFmt w:val="bullet"/>
      <w:lvlText w:val=""/>
      <w:lvlJc w:val="left"/>
      <w:pPr>
        <w:tabs>
          <w:tab w:val="num" w:pos="5040"/>
        </w:tabs>
        <w:ind w:left="5040" w:hanging="360"/>
      </w:pPr>
      <w:rPr>
        <w:rFonts w:ascii="Symbol" w:hAnsi="Symbol"/>
      </w:rPr>
    </w:lvl>
    <w:lvl w:ilvl="7" w:tplc="88A0F228">
      <w:start w:val="1"/>
      <w:numFmt w:val="bullet"/>
      <w:lvlText w:val="o"/>
      <w:lvlJc w:val="left"/>
      <w:pPr>
        <w:tabs>
          <w:tab w:val="num" w:pos="5760"/>
        </w:tabs>
        <w:ind w:left="5760" w:hanging="360"/>
      </w:pPr>
      <w:rPr>
        <w:rFonts w:ascii="Courier New" w:hAnsi="Courier New"/>
      </w:rPr>
    </w:lvl>
    <w:lvl w:ilvl="8" w:tplc="7408D0DE">
      <w:start w:val="1"/>
      <w:numFmt w:val="bullet"/>
      <w:lvlText w:val=""/>
      <w:lvlJc w:val="left"/>
      <w:pPr>
        <w:tabs>
          <w:tab w:val="num" w:pos="6480"/>
        </w:tabs>
        <w:ind w:left="6480" w:hanging="360"/>
      </w:pPr>
      <w:rPr>
        <w:rFonts w:ascii="Wingdings" w:hAnsi="Wingdings"/>
      </w:rPr>
    </w:lvl>
  </w:abstractNum>
  <w:abstractNum w:abstractNumId="692" w15:restartNumberingAfterBreak="0">
    <w:nsid w:val="72230776"/>
    <w:multiLevelType w:val="hybridMultilevel"/>
    <w:tmpl w:val="72230776"/>
    <w:lvl w:ilvl="0" w:tplc="5FBE80C8">
      <w:start w:val="1"/>
      <w:numFmt w:val="bullet"/>
      <w:lvlText w:val=""/>
      <w:lvlJc w:val="left"/>
      <w:pPr>
        <w:ind w:left="720" w:hanging="360"/>
      </w:pPr>
      <w:rPr>
        <w:rFonts w:ascii="Symbol" w:hAnsi="Symbol"/>
      </w:rPr>
    </w:lvl>
    <w:lvl w:ilvl="1" w:tplc="1E0E84D6">
      <w:start w:val="1"/>
      <w:numFmt w:val="bullet"/>
      <w:lvlText w:val="o"/>
      <w:lvlJc w:val="left"/>
      <w:pPr>
        <w:tabs>
          <w:tab w:val="num" w:pos="1440"/>
        </w:tabs>
        <w:ind w:left="1440" w:hanging="360"/>
      </w:pPr>
      <w:rPr>
        <w:rFonts w:ascii="Courier New" w:hAnsi="Courier New"/>
      </w:rPr>
    </w:lvl>
    <w:lvl w:ilvl="2" w:tplc="955A266C">
      <w:start w:val="1"/>
      <w:numFmt w:val="bullet"/>
      <w:lvlText w:val=""/>
      <w:lvlJc w:val="left"/>
      <w:pPr>
        <w:tabs>
          <w:tab w:val="num" w:pos="2160"/>
        </w:tabs>
        <w:ind w:left="2160" w:hanging="360"/>
      </w:pPr>
      <w:rPr>
        <w:rFonts w:ascii="Wingdings" w:hAnsi="Wingdings"/>
      </w:rPr>
    </w:lvl>
    <w:lvl w:ilvl="3" w:tplc="6542207C">
      <w:start w:val="1"/>
      <w:numFmt w:val="bullet"/>
      <w:lvlText w:val=""/>
      <w:lvlJc w:val="left"/>
      <w:pPr>
        <w:tabs>
          <w:tab w:val="num" w:pos="2880"/>
        </w:tabs>
        <w:ind w:left="2880" w:hanging="360"/>
      </w:pPr>
      <w:rPr>
        <w:rFonts w:ascii="Symbol" w:hAnsi="Symbol"/>
      </w:rPr>
    </w:lvl>
    <w:lvl w:ilvl="4" w:tplc="B486F264">
      <w:start w:val="1"/>
      <w:numFmt w:val="bullet"/>
      <w:lvlText w:val="o"/>
      <w:lvlJc w:val="left"/>
      <w:pPr>
        <w:tabs>
          <w:tab w:val="num" w:pos="3600"/>
        </w:tabs>
        <w:ind w:left="3600" w:hanging="360"/>
      </w:pPr>
      <w:rPr>
        <w:rFonts w:ascii="Courier New" w:hAnsi="Courier New"/>
      </w:rPr>
    </w:lvl>
    <w:lvl w:ilvl="5" w:tplc="9C74A1C8">
      <w:start w:val="1"/>
      <w:numFmt w:val="bullet"/>
      <w:lvlText w:val=""/>
      <w:lvlJc w:val="left"/>
      <w:pPr>
        <w:tabs>
          <w:tab w:val="num" w:pos="4320"/>
        </w:tabs>
        <w:ind w:left="4320" w:hanging="360"/>
      </w:pPr>
      <w:rPr>
        <w:rFonts w:ascii="Wingdings" w:hAnsi="Wingdings"/>
      </w:rPr>
    </w:lvl>
    <w:lvl w:ilvl="6" w:tplc="1EB44A0E">
      <w:start w:val="1"/>
      <w:numFmt w:val="bullet"/>
      <w:lvlText w:val=""/>
      <w:lvlJc w:val="left"/>
      <w:pPr>
        <w:tabs>
          <w:tab w:val="num" w:pos="5040"/>
        </w:tabs>
        <w:ind w:left="5040" w:hanging="360"/>
      </w:pPr>
      <w:rPr>
        <w:rFonts w:ascii="Symbol" w:hAnsi="Symbol"/>
      </w:rPr>
    </w:lvl>
    <w:lvl w:ilvl="7" w:tplc="567EA4AA">
      <w:start w:val="1"/>
      <w:numFmt w:val="bullet"/>
      <w:lvlText w:val="o"/>
      <w:lvlJc w:val="left"/>
      <w:pPr>
        <w:tabs>
          <w:tab w:val="num" w:pos="5760"/>
        </w:tabs>
        <w:ind w:left="5760" w:hanging="360"/>
      </w:pPr>
      <w:rPr>
        <w:rFonts w:ascii="Courier New" w:hAnsi="Courier New"/>
      </w:rPr>
    </w:lvl>
    <w:lvl w:ilvl="8" w:tplc="BDA88F52">
      <w:start w:val="1"/>
      <w:numFmt w:val="bullet"/>
      <w:lvlText w:val=""/>
      <w:lvlJc w:val="left"/>
      <w:pPr>
        <w:tabs>
          <w:tab w:val="num" w:pos="6480"/>
        </w:tabs>
        <w:ind w:left="6480" w:hanging="360"/>
      </w:pPr>
      <w:rPr>
        <w:rFonts w:ascii="Wingdings" w:hAnsi="Wingdings"/>
      </w:rPr>
    </w:lvl>
  </w:abstractNum>
  <w:abstractNum w:abstractNumId="693" w15:restartNumberingAfterBreak="0">
    <w:nsid w:val="72230777"/>
    <w:multiLevelType w:val="hybridMultilevel"/>
    <w:tmpl w:val="72230777"/>
    <w:lvl w:ilvl="0" w:tplc="9696960A">
      <w:start w:val="1"/>
      <w:numFmt w:val="bullet"/>
      <w:lvlText w:val=""/>
      <w:lvlJc w:val="left"/>
      <w:pPr>
        <w:ind w:left="720" w:hanging="360"/>
      </w:pPr>
      <w:rPr>
        <w:rFonts w:ascii="Symbol" w:hAnsi="Symbol"/>
      </w:rPr>
    </w:lvl>
    <w:lvl w:ilvl="1" w:tplc="66229228">
      <w:start w:val="1"/>
      <w:numFmt w:val="bullet"/>
      <w:lvlText w:val="o"/>
      <w:lvlJc w:val="left"/>
      <w:pPr>
        <w:tabs>
          <w:tab w:val="num" w:pos="1440"/>
        </w:tabs>
        <w:ind w:left="1440" w:hanging="360"/>
      </w:pPr>
      <w:rPr>
        <w:rFonts w:ascii="Courier New" w:hAnsi="Courier New"/>
      </w:rPr>
    </w:lvl>
    <w:lvl w:ilvl="2" w:tplc="9F364FE4">
      <w:start w:val="1"/>
      <w:numFmt w:val="bullet"/>
      <w:lvlText w:val=""/>
      <w:lvlJc w:val="left"/>
      <w:pPr>
        <w:tabs>
          <w:tab w:val="num" w:pos="2160"/>
        </w:tabs>
        <w:ind w:left="2160" w:hanging="360"/>
      </w:pPr>
      <w:rPr>
        <w:rFonts w:ascii="Wingdings" w:hAnsi="Wingdings"/>
      </w:rPr>
    </w:lvl>
    <w:lvl w:ilvl="3" w:tplc="3580F8CA">
      <w:start w:val="1"/>
      <w:numFmt w:val="bullet"/>
      <w:lvlText w:val=""/>
      <w:lvlJc w:val="left"/>
      <w:pPr>
        <w:tabs>
          <w:tab w:val="num" w:pos="2880"/>
        </w:tabs>
        <w:ind w:left="2880" w:hanging="360"/>
      </w:pPr>
      <w:rPr>
        <w:rFonts w:ascii="Symbol" w:hAnsi="Symbol"/>
      </w:rPr>
    </w:lvl>
    <w:lvl w:ilvl="4" w:tplc="247278BC">
      <w:start w:val="1"/>
      <w:numFmt w:val="bullet"/>
      <w:lvlText w:val="o"/>
      <w:lvlJc w:val="left"/>
      <w:pPr>
        <w:tabs>
          <w:tab w:val="num" w:pos="3600"/>
        </w:tabs>
        <w:ind w:left="3600" w:hanging="360"/>
      </w:pPr>
      <w:rPr>
        <w:rFonts w:ascii="Courier New" w:hAnsi="Courier New"/>
      </w:rPr>
    </w:lvl>
    <w:lvl w:ilvl="5" w:tplc="304E9A80">
      <w:start w:val="1"/>
      <w:numFmt w:val="bullet"/>
      <w:lvlText w:val=""/>
      <w:lvlJc w:val="left"/>
      <w:pPr>
        <w:tabs>
          <w:tab w:val="num" w:pos="4320"/>
        </w:tabs>
        <w:ind w:left="4320" w:hanging="360"/>
      </w:pPr>
      <w:rPr>
        <w:rFonts w:ascii="Wingdings" w:hAnsi="Wingdings"/>
      </w:rPr>
    </w:lvl>
    <w:lvl w:ilvl="6" w:tplc="BD52837C">
      <w:start w:val="1"/>
      <w:numFmt w:val="bullet"/>
      <w:lvlText w:val=""/>
      <w:lvlJc w:val="left"/>
      <w:pPr>
        <w:tabs>
          <w:tab w:val="num" w:pos="5040"/>
        </w:tabs>
        <w:ind w:left="5040" w:hanging="360"/>
      </w:pPr>
      <w:rPr>
        <w:rFonts w:ascii="Symbol" w:hAnsi="Symbol"/>
      </w:rPr>
    </w:lvl>
    <w:lvl w:ilvl="7" w:tplc="8D5EF83A">
      <w:start w:val="1"/>
      <w:numFmt w:val="bullet"/>
      <w:lvlText w:val="o"/>
      <w:lvlJc w:val="left"/>
      <w:pPr>
        <w:tabs>
          <w:tab w:val="num" w:pos="5760"/>
        </w:tabs>
        <w:ind w:left="5760" w:hanging="360"/>
      </w:pPr>
      <w:rPr>
        <w:rFonts w:ascii="Courier New" w:hAnsi="Courier New"/>
      </w:rPr>
    </w:lvl>
    <w:lvl w:ilvl="8" w:tplc="94669262">
      <w:start w:val="1"/>
      <w:numFmt w:val="bullet"/>
      <w:lvlText w:val=""/>
      <w:lvlJc w:val="left"/>
      <w:pPr>
        <w:tabs>
          <w:tab w:val="num" w:pos="6480"/>
        </w:tabs>
        <w:ind w:left="6480" w:hanging="360"/>
      </w:pPr>
      <w:rPr>
        <w:rFonts w:ascii="Wingdings" w:hAnsi="Wingdings"/>
      </w:rPr>
    </w:lvl>
  </w:abstractNum>
  <w:abstractNum w:abstractNumId="694" w15:restartNumberingAfterBreak="0">
    <w:nsid w:val="72230778"/>
    <w:multiLevelType w:val="hybridMultilevel"/>
    <w:tmpl w:val="72230778"/>
    <w:lvl w:ilvl="0" w:tplc="3650E820">
      <w:start w:val="1"/>
      <w:numFmt w:val="bullet"/>
      <w:lvlText w:val=""/>
      <w:lvlJc w:val="left"/>
      <w:pPr>
        <w:ind w:left="720" w:hanging="360"/>
      </w:pPr>
      <w:rPr>
        <w:rFonts w:ascii="Symbol" w:hAnsi="Symbol"/>
      </w:rPr>
    </w:lvl>
    <w:lvl w:ilvl="1" w:tplc="B6A43184">
      <w:start w:val="1"/>
      <w:numFmt w:val="bullet"/>
      <w:lvlText w:val="o"/>
      <w:lvlJc w:val="left"/>
      <w:pPr>
        <w:tabs>
          <w:tab w:val="num" w:pos="1440"/>
        </w:tabs>
        <w:ind w:left="1440" w:hanging="360"/>
      </w:pPr>
      <w:rPr>
        <w:rFonts w:ascii="Courier New" w:hAnsi="Courier New"/>
      </w:rPr>
    </w:lvl>
    <w:lvl w:ilvl="2" w:tplc="15FCC47E">
      <w:start w:val="1"/>
      <w:numFmt w:val="bullet"/>
      <w:lvlText w:val=""/>
      <w:lvlJc w:val="left"/>
      <w:pPr>
        <w:tabs>
          <w:tab w:val="num" w:pos="2160"/>
        </w:tabs>
        <w:ind w:left="2160" w:hanging="360"/>
      </w:pPr>
      <w:rPr>
        <w:rFonts w:ascii="Wingdings" w:hAnsi="Wingdings"/>
      </w:rPr>
    </w:lvl>
    <w:lvl w:ilvl="3" w:tplc="ADB8DA02">
      <w:start w:val="1"/>
      <w:numFmt w:val="bullet"/>
      <w:lvlText w:val=""/>
      <w:lvlJc w:val="left"/>
      <w:pPr>
        <w:tabs>
          <w:tab w:val="num" w:pos="2880"/>
        </w:tabs>
        <w:ind w:left="2880" w:hanging="360"/>
      </w:pPr>
      <w:rPr>
        <w:rFonts w:ascii="Symbol" w:hAnsi="Symbol"/>
      </w:rPr>
    </w:lvl>
    <w:lvl w:ilvl="4" w:tplc="1D42F16A">
      <w:start w:val="1"/>
      <w:numFmt w:val="bullet"/>
      <w:lvlText w:val="o"/>
      <w:lvlJc w:val="left"/>
      <w:pPr>
        <w:tabs>
          <w:tab w:val="num" w:pos="3600"/>
        </w:tabs>
        <w:ind w:left="3600" w:hanging="360"/>
      </w:pPr>
      <w:rPr>
        <w:rFonts w:ascii="Courier New" w:hAnsi="Courier New"/>
      </w:rPr>
    </w:lvl>
    <w:lvl w:ilvl="5" w:tplc="201C1F72">
      <w:start w:val="1"/>
      <w:numFmt w:val="bullet"/>
      <w:lvlText w:val=""/>
      <w:lvlJc w:val="left"/>
      <w:pPr>
        <w:tabs>
          <w:tab w:val="num" w:pos="4320"/>
        </w:tabs>
        <w:ind w:left="4320" w:hanging="360"/>
      </w:pPr>
      <w:rPr>
        <w:rFonts w:ascii="Wingdings" w:hAnsi="Wingdings"/>
      </w:rPr>
    </w:lvl>
    <w:lvl w:ilvl="6" w:tplc="E3B637D0">
      <w:start w:val="1"/>
      <w:numFmt w:val="bullet"/>
      <w:lvlText w:val=""/>
      <w:lvlJc w:val="left"/>
      <w:pPr>
        <w:tabs>
          <w:tab w:val="num" w:pos="5040"/>
        </w:tabs>
        <w:ind w:left="5040" w:hanging="360"/>
      </w:pPr>
      <w:rPr>
        <w:rFonts w:ascii="Symbol" w:hAnsi="Symbol"/>
      </w:rPr>
    </w:lvl>
    <w:lvl w:ilvl="7" w:tplc="B9EE8AA4">
      <w:start w:val="1"/>
      <w:numFmt w:val="bullet"/>
      <w:lvlText w:val="o"/>
      <w:lvlJc w:val="left"/>
      <w:pPr>
        <w:tabs>
          <w:tab w:val="num" w:pos="5760"/>
        </w:tabs>
        <w:ind w:left="5760" w:hanging="360"/>
      </w:pPr>
      <w:rPr>
        <w:rFonts w:ascii="Courier New" w:hAnsi="Courier New"/>
      </w:rPr>
    </w:lvl>
    <w:lvl w:ilvl="8" w:tplc="28D27756">
      <w:start w:val="1"/>
      <w:numFmt w:val="bullet"/>
      <w:lvlText w:val=""/>
      <w:lvlJc w:val="left"/>
      <w:pPr>
        <w:tabs>
          <w:tab w:val="num" w:pos="6480"/>
        </w:tabs>
        <w:ind w:left="6480" w:hanging="360"/>
      </w:pPr>
      <w:rPr>
        <w:rFonts w:ascii="Wingdings" w:hAnsi="Wingdings"/>
      </w:rPr>
    </w:lvl>
  </w:abstractNum>
  <w:abstractNum w:abstractNumId="695" w15:restartNumberingAfterBreak="0">
    <w:nsid w:val="72230779"/>
    <w:multiLevelType w:val="hybridMultilevel"/>
    <w:tmpl w:val="72230779"/>
    <w:lvl w:ilvl="0" w:tplc="7382BF84">
      <w:start w:val="1"/>
      <w:numFmt w:val="bullet"/>
      <w:lvlText w:val=""/>
      <w:lvlJc w:val="left"/>
      <w:pPr>
        <w:tabs>
          <w:tab w:val="num" w:pos="720"/>
        </w:tabs>
        <w:ind w:left="720" w:hanging="360"/>
      </w:pPr>
      <w:rPr>
        <w:rFonts w:ascii="Symbol" w:hAnsi="Symbol"/>
      </w:rPr>
    </w:lvl>
    <w:lvl w:ilvl="1" w:tplc="9FEE1132">
      <w:start w:val="1"/>
      <w:numFmt w:val="bullet"/>
      <w:lvlText w:val="o"/>
      <w:lvlJc w:val="left"/>
      <w:pPr>
        <w:tabs>
          <w:tab w:val="num" w:pos="1440"/>
        </w:tabs>
        <w:ind w:left="1440" w:hanging="360"/>
      </w:pPr>
      <w:rPr>
        <w:rFonts w:ascii="Courier New" w:hAnsi="Courier New"/>
      </w:rPr>
    </w:lvl>
    <w:lvl w:ilvl="2" w:tplc="04A8E482">
      <w:start w:val="1"/>
      <w:numFmt w:val="bullet"/>
      <w:lvlText w:val=""/>
      <w:lvlJc w:val="left"/>
      <w:pPr>
        <w:tabs>
          <w:tab w:val="num" w:pos="2160"/>
        </w:tabs>
        <w:ind w:left="2160" w:hanging="360"/>
      </w:pPr>
      <w:rPr>
        <w:rFonts w:ascii="Wingdings" w:hAnsi="Wingdings"/>
      </w:rPr>
    </w:lvl>
    <w:lvl w:ilvl="3" w:tplc="F2E25DAA">
      <w:start w:val="1"/>
      <w:numFmt w:val="bullet"/>
      <w:lvlText w:val=""/>
      <w:lvlJc w:val="left"/>
      <w:pPr>
        <w:tabs>
          <w:tab w:val="num" w:pos="2880"/>
        </w:tabs>
        <w:ind w:left="2880" w:hanging="360"/>
      </w:pPr>
      <w:rPr>
        <w:rFonts w:ascii="Symbol" w:hAnsi="Symbol"/>
      </w:rPr>
    </w:lvl>
    <w:lvl w:ilvl="4" w:tplc="A2EA6C50">
      <w:start w:val="1"/>
      <w:numFmt w:val="bullet"/>
      <w:lvlText w:val="o"/>
      <w:lvlJc w:val="left"/>
      <w:pPr>
        <w:tabs>
          <w:tab w:val="num" w:pos="3600"/>
        </w:tabs>
        <w:ind w:left="3600" w:hanging="360"/>
      </w:pPr>
      <w:rPr>
        <w:rFonts w:ascii="Courier New" w:hAnsi="Courier New"/>
      </w:rPr>
    </w:lvl>
    <w:lvl w:ilvl="5" w:tplc="A0209162">
      <w:start w:val="1"/>
      <w:numFmt w:val="bullet"/>
      <w:lvlText w:val=""/>
      <w:lvlJc w:val="left"/>
      <w:pPr>
        <w:tabs>
          <w:tab w:val="num" w:pos="4320"/>
        </w:tabs>
        <w:ind w:left="4320" w:hanging="360"/>
      </w:pPr>
      <w:rPr>
        <w:rFonts w:ascii="Wingdings" w:hAnsi="Wingdings"/>
      </w:rPr>
    </w:lvl>
    <w:lvl w:ilvl="6" w:tplc="CF2EBD38">
      <w:start w:val="1"/>
      <w:numFmt w:val="bullet"/>
      <w:lvlText w:val=""/>
      <w:lvlJc w:val="left"/>
      <w:pPr>
        <w:tabs>
          <w:tab w:val="num" w:pos="5040"/>
        </w:tabs>
        <w:ind w:left="5040" w:hanging="360"/>
      </w:pPr>
      <w:rPr>
        <w:rFonts w:ascii="Symbol" w:hAnsi="Symbol"/>
      </w:rPr>
    </w:lvl>
    <w:lvl w:ilvl="7" w:tplc="B0E85096">
      <w:start w:val="1"/>
      <w:numFmt w:val="bullet"/>
      <w:lvlText w:val="o"/>
      <w:lvlJc w:val="left"/>
      <w:pPr>
        <w:tabs>
          <w:tab w:val="num" w:pos="5760"/>
        </w:tabs>
        <w:ind w:left="5760" w:hanging="360"/>
      </w:pPr>
      <w:rPr>
        <w:rFonts w:ascii="Courier New" w:hAnsi="Courier New"/>
      </w:rPr>
    </w:lvl>
    <w:lvl w:ilvl="8" w:tplc="DEC48ECC">
      <w:start w:val="1"/>
      <w:numFmt w:val="bullet"/>
      <w:lvlText w:val=""/>
      <w:lvlJc w:val="left"/>
      <w:pPr>
        <w:tabs>
          <w:tab w:val="num" w:pos="6480"/>
        </w:tabs>
        <w:ind w:left="6480" w:hanging="360"/>
      </w:pPr>
      <w:rPr>
        <w:rFonts w:ascii="Wingdings" w:hAnsi="Wingdings"/>
      </w:rPr>
    </w:lvl>
  </w:abstractNum>
  <w:abstractNum w:abstractNumId="696" w15:restartNumberingAfterBreak="0">
    <w:nsid w:val="7223077A"/>
    <w:multiLevelType w:val="hybridMultilevel"/>
    <w:tmpl w:val="7223077A"/>
    <w:lvl w:ilvl="0" w:tplc="84E852C4">
      <w:start w:val="1"/>
      <w:numFmt w:val="bullet"/>
      <w:lvlText w:val=""/>
      <w:lvlJc w:val="left"/>
      <w:pPr>
        <w:ind w:left="720" w:hanging="360"/>
      </w:pPr>
      <w:rPr>
        <w:rFonts w:ascii="Symbol" w:hAnsi="Symbol"/>
      </w:rPr>
    </w:lvl>
    <w:lvl w:ilvl="1" w:tplc="8C121E2A">
      <w:start w:val="1"/>
      <w:numFmt w:val="bullet"/>
      <w:lvlText w:val="o"/>
      <w:lvlJc w:val="left"/>
      <w:pPr>
        <w:tabs>
          <w:tab w:val="num" w:pos="1440"/>
        </w:tabs>
        <w:ind w:left="1440" w:hanging="360"/>
      </w:pPr>
      <w:rPr>
        <w:rFonts w:ascii="Courier New" w:hAnsi="Courier New"/>
      </w:rPr>
    </w:lvl>
    <w:lvl w:ilvl="2" w:tplc="98E62E02">
      <w:start w:val="1"/>
      <w:numFmt w:val="bullet"/>
      <w:lvlText w:val=""/>
      <w:lvlJc w:val="left"/>
      <w:pPr>
        <w:tabs>
          <w:tab w:val="num" w:pos="2160"/>
        </w:tabs>
        <w:ind w:left="2160" w:hanging="360"/>
      </w:pPr>
      <w:rPr>
        <w:rFonts w:ascii="Wingdings" w:hAnsi="Wingdings"/>
      </w:rPr>
    </w:lvl>
    <w:lvl w:ilvl="3" w:tplc="4816064E">
      <w:start w:val="1"/>
      <w:numFmt w:val="bullet"/>
      <w:lvlText w:val=""/>
      <w:lvlJc w:val="left"/>
      <w:pPr>
        <w:tabs>
          <w:tab w:val="num" w:pos="2880"/>
        </w:tabs>
        <w:ind w:left="2880" w:hanging="360"/>
      </w:pPr>
      <w:rPr>
        <w:rFonts w:ascii="Symbol" w:hAnsi="Symbol"/>
      </w:rPr>
    </w:lvl>
    <w:lvl w:ilvl="4" w:tplc="2174BD4E">
      <w:start w:val="1"/>
      <w:numFmt w:val="bullet"/>
      <w:lvlText w:val="o"/>
      <w:lvlJc w:val="left"/>
      <w:pPr>
        <w:tabs>
          <w:tab w:val="num" w:pos="3600"/>
        </w:tabs>
        <w:ind w:left="3600" w:hanging="360"/>
      </w:pPr>
      <w:rPr>
        <w:rFonts w:ascii="Courier New" w:hAnsi="Courier New"/>
      </w:rPr>
    </w:lvl>
    <w:lvl w:ilvl="5" w:tplc="FEEE7FFC">
      <w:start w:val="1"/>
      <w:numFmt w:val="bullet"/>
      <w:lvlText w:val=""/>
      <w:lvlJc w:val="left"/>
      <w:pPr>
        <w:tabs>
          <w:tab w:val="num" w:pos="4320"/>
        </w:tabs>
        <w:ind w:left="4320" w:hanging="360"/>
      </w:pPr>
      <w:rPr>
        <w:rFonts w:ascii="Wingdings" w:hAnsi="Wingdings"/>
      </w:rPr>
    </w:lvl>
    <w:lvl w:ilvl="6" w:tplc="469E8568">
      <w:start w:val="1"/>
      <w:numFmt w:val="bullet"/>
      <w:lvlText w:val=""/>
      <w:lvlJc w:val="left"/>
      <w:pPr>
        <w:tabs>
          <w:tab w:val="num" w:pos="5040"/>
        </w:tabs>
        <w:ind w:left="5040" w:hanging="360"/>
      </w:pPr>
      <w:rPr>
        <w:rFonts w:ascii="Symbol" w:hAnsi="Symbol"/>
      </w:rPr>
    </w:lvl>
    <w:lvl w:ilvl="7" w:tplc="4E9E7B2C">
      <w:start w:val="1"/>
      <w:numFmt w:val="bullet"/>
      <w:lvlText w:val="o"/>
      <w:lvlJc w:val="left"/>
      <w:pPr>
        <w:tabs>
          <w:tab w:val="num" w:pos="5760"/>
        </w:tabs>
        <w:ind w:left="5760" w:hanging="360"/>
      </w:pPr>
      <w:rPr>
        <w:rFonts w:ascii="Courier New" w:hAnsi="Courier New"/>
      </w:rPr>
    </w:lvl>
    <w:lvl w:ilvl="8" w:tplc="EC447110">
      <w:start w:val="1"/>
      <w:numFmt w:val="bullet"/>
      <w:lvlText w:val=""/>
      <w:lvlJc w:val="left"/>
      <w:pPr>
        <w:tabs>
          <w:tab w:val="num" w:pos="6480"/>
        </w:tabs>
        <w:ind w:left="6480" w:hanging="360"/>
      </w:pPr>
      <w:rPr>
        <w:rFonts w:ascii="Wingdings" w:hAnsi="Wingdings"/>
      </w:rPr>
    </w:lvl>
  </w:abstractNum>
  <w:abstractNum w:abstractNumId="697" w15:restartNumberingAfterBreak="0">
    <w:nsid w:val="7223077B"/>
    <w:multiLevelType w:val="hybridMultilevel"/>
    <w:tmpl w:val="7223077B"/>
    <w:lvl w:ilvl="0" w:tplc="93D84314">
      <w:start w:val="1"/>
      <w:numFmt w:val="bullet"/>
      <w:lvlText w:val=""/>
      <w:lvlJc w:val="left"/>
      <w:pPr>
        <w:ind w:left="720" w:hanging="360"/>
      </w:pPr>
      <w:rPr>
        <w:rFonts w:ascii="Symbol" w:hAnsi="Symbol"/>
      </w:rPr>
    </w:lvl>
    <w:lvl w:ilvl="1" w:tplc="AB9642B2">
      <w:start w:val="1"/>
      <w:numFmt w:val="bullet"/>
      <w:lvlText w:val="o"/>
      <w:lvlJc w:val="left"/>
      <w:pPr>
        <w:tabs>
          <w:tab w:val="num" w:pos="1440"/>
        </w:tabs>
        <w:ind w:left="1440" w:hanging="360"/>
      </w:pPr>
      <w:rPr>
        <w:rFonts w:ascii="Courier New" w:hAnsi="Courier New"/>
      </w:rPr>
    </w:lvl>
    <w:lvl w:ilvl="2" w:tplc="122EDA4C">
      <w:start w:val="1"/>
      <w:numFmt w:val="bullet"/>
      <w:lvlText w:val=""/>
      <w:lvlJc w:val="left"/>
      <w:pPr>
        <w:tabs>
          <w:tab w:val="num" w:pos="2160"/>
        </w:tabs>
        <w:ind w:left="2160" w:hanging="360"/>
      </w:pPr>
      <w:rPr>
        <w:rFonts w:ascii="Wingdings" w:hAnsi="Wingdings"/>
      </w:rPr>
    </w:lvl>
    <w:lvl w:ilvl="3" w:tplc="2DE2893C">
      <w:start w:val="1"/>
      <w:numFmt w:val="bullet"/>
      <w:lvlText w:val=""/>
      <w:lvlJc w:val="left"/>
      <w:pPr>
        <w:tabs>
          <w:tab w:val="num" w:pos="2880"/>
        </w:tabs>
        <w:ind w:left="2880" w:hanging="360"/>
      </w:pPr>
      <w:rPr>
        <w:rFonts w:ascii="Symbol" w:hAnsi="Symbol"/>
      </w:rPr>
    </w:lvl>
    <w:lvl w:ilvl="4" w:tplc="6268BBA8">
      <w:start w:val="1"/>
      <w:numFmt w:val="bullet"/>
      <w:lvlText w:val="o"/>
      <w:lvlJc w:val="left"/>
      <w:pPr>
        <w:tabs>
          <w:tab w:val="num" w:pos="3600"/>
        </w:tabs>
        <w:ind w:left="3600" w:hanging="360"/>
      </w:pPr>
      <w:rPr>
        <w:rFonts w:ascii="Courier New" w:hAnsi="Courier New"/>
      </w:rPr>
    </w:lvl>
    <w:lvl w:ilvl="5" w:tplc="C48EF1D6">
      <w:start w:val="1"/>
      <w:numFmt w:val="bullet"/>
      <w:lvlText w:val=""/>
      <w:lvlJc w:val="left"/>
      <w:pPr>
        <w:tabs>
          <w:tab w:val="num" w:pos="4320"/>
        </w:tabs>
        <w:ind w:left="4320" w:hanging="360"/>
      </w:pPr>
      <w:rPr>
        <w:rFonts w:ascii="Wingdings" w:hAnsi="Wingdings"/>
      </w:rPr>
    </w:lvl>
    <w:lvl w:ilvl="6" w:tplc="3DBEF364">
      <w:start w:val="1"/>
      <w:numFmt w:val="bullet"/>
      <w:lvlText w:val=""/>
      <w:lvlJc w:val="left"/>
      <w:pPr>
        <w:tabs>
          <w:tab w:val="num" w:pos="5040"/>
        </w:tabs>
        <w:ind w:left="5040" w:hanging="360"/>
      </w:pPr>
      <w:rPr>
        <w:rFonts w:ascii="Symbol" w:hAnsi="Symbol"/>
      </w:rPr>
    </w:lvl>
    <w:lvl w:ilvl="7" w:tplc="0DE690CA">
      <w:start w:val="1"/>
      <w:numFmt w:val="bullet"/>
      <w:lvlText w:val="o"/>
      <w:lvlJc w:val="left"/>
      <w:pPr>
        <w:tabs>
          <w:tab w:val="num" w:pos="5760"/>
        </w:tabs>
        <w:ind w:left="5760" w:hanging="360"/>
      </w:pPr>
      <w:rPr>
        <w:rFonts w:ascii="Courier New" w:hAnsi="Courier New"/>
      </w:rPr>
    </w:lvl>
    <w:lvl w:ilvl="8" w:tplc="3CB07706">
      <w:start w:val="1"/>
      <w:numFmt w:val="bullet"/>
      <w:lvlText w:val=""/>
      <w:lvlJc w:val="left"/>
      <w:pPr>
        <w:tabs>
          <w:tab w:val="num" w:pos="6480"/>
        </w:tabs>
        <w:ind w:left="6480" w:hanging="360"/>
      </w:pPr>
      <w:rPr>
        <w:rFonts w:ascii="Wingdings" w:hAnsi="Wingdings"/>
      </w:rPr>
    </w:lvl>
  </w:abstractNum>
  <w:abstractNum w:abstractNumId="698" w15:restartNumberingAfterBreak="0">
    <w:nsid w:val="7223077C"/>
    <w:multiLevelType w:val="hybridMultilevel"/>
    <w:tmpl w:val="7223077C"/>
    <w:lvl w:ilvl="0" w:tplc="BAA4AAEA">
      <w:start w:val="1"/>
      <w:numFmt w:val="bullet"/>
      <w:lvlText w:val=""/>
      <w:lvlJc w:val="left"/>
      <w:pPr>
        <w:ind w:left="720" w:hanging="360"/>
      </w:pPr>
      <w:rPr>
        <w:rFonts w:ascii="Symbol" w:hAnsi="Symbol"/>
      </w:rPr>
    </w:lvl>
    <w:lvl w:ilvl="1" w:tplc="79B44D92">
      <w:start w:val="1"/>
      <w:numFmt w:val="bullet"/>
      <w:lvlText w:val="o"/>
      <w:lvlJc w:val="left"/>
      <w:pPr>
        <w:tabs>
          <w:tab w:val="num" w:pos="1440"/>
        </w:tabs>
        <w:ind w:left="1440" w:hanging="360"/>
      </w:pPr>
      <w:rPr>
        <w:rFonts w:ascii="Courier New" w:hAnsi="Courier New"/>
      </w:rPr>
    </w:lvl>
    <w:lvl w:ilvl="2" w:tplc="4B2686F4">
      <w:start w:val="1"/>
      <w:numFmt w:val="bullet"/>
      <w:lvlText w:val=""/>
      <w:lvlJc w:val="left"/>
      <w:pPr>
        <w:tabs>
          <w:tab w:val="num" w:pos="2160"/>
        </w:tabs>
        <w:ind w:left="2160" w:hanging="360"/>
      </w:pPr>
      <w:rPr>
        <w:rFonts w:ascii="Wingdings" w:hAnsi="Wingdings"/>
      </w:rPr>
    </w:lvl>
    <w:lvl w:ilvl="3" w:tplc="B89857BC">
      <w:start w:val="1"/>
      <w:numFmt w:val="bullet"/>
      <w:lvlText w:val=""/>
      <w:lvlJc w:val="left"/>
      <w:pPr>
        <w:tabs>
          <w:tab w:val="num" w:pos="2880"/>
        </w:tabs>
        <w:ind w:left="2880" w:hanging="360"/>
      </w:pPr>
      <w:rPr>
        <w:rFonts w:ascii="Symbol" w:hAnsi="Symbol"/>
      </w:rPr>
    </w:lvl>
    <w:lvl w:ilvl="4" w:tplc="4CC8F3F8">
      <w:start w:val="1"/>
      <w:numFmt w:val="bullet"/>
      <w:lvlText w:val="o"/>
      <w:lvlJc w:val="left"/>
      <w:pPr>
        <w:tabs>
          <w:tab w:val="num" w:pos="3600"/>
        </w:tabs>
        <w:ind w:left="3600" w:hanging="360"/>
      </w:pPr>
      <w:rPr>
        <w:rFonts w:ascii="Courier New" w:hAnsi="Courier New"/>
      </w:rPr>
    </w:lvl>
    <w:lvl w:ilvl="5" w:tplc="04F8F132">
      <w:start w:val="1"/>
      <w:numFmt w:val="bullet"/>
      <w:lvlText w:val=""/>
      <w:lvlJc w:val="left"/>
      <w:pPr>
        <w:tabs>
          <w:tab w:val="num" w:pos="4320"/>
        </w:tabs>
        <w:ind w:left="4320" w:hanging="360"/>
      </w:pPr>
      <w:rPr>
        <w:rFonts w:ascii="Wingdings" w:hAnsi="Wingdings"/>
      </w:rPr>
    </w:lvl>
    <w:lvl w:ilvl="6" w:tplc="8B3C03C6">
      <w:start w:val="1"/>
      <w:numFmt w:val="bullet"/>
      <w:lvlText w:val=""/>
      <w:lvlJc w:val="left"/>
      <w:pPr>
        <w:tabs>
          <w:tab w:val="num" w:pos="5040"/>
        </w:tabs>
        <w:ind w:left="5040" w:hanging="360"/>
      </w:pPr>
      <w:rPr>
        <w:rFonts w:ascii="Symbol" w:hAnsi="Symbol"/>
      </w:rPr>
    </w:lvl>
    <w:lvl w:ilvl="7" w:tplc="35405B6C">
      <w:start w:val="1"/>
      <w:numFmt w:val="bullet"/>
      <w:lvlText w:val="o"/>
      <w:lvlJc w:val="left"/>
      <w:pPr>
        <w:tabs>
          <w:tab w:val="num" w:pos="5760"/>
        </w:tabs>
        <w:ind w:left="5760" w:hanging="360"/>
      </w:pPr>
      <w:rPr>
        <w:rFonts w:ascii="Courier New" w:hAnsi="Courier New"/>
      </w:rPr>
    </w:lvl>
    <w:lvl w:ilvl="8" w:tplc="B0567572">
      <w:start w:val="1"/>
      <w:numFmt w:val="bullet"/>
      <w:lvlText w:val=""/>
      <w:lvlJc w:val="left"/>
      <w:pPr>
        <w:tabs>
          <w:tab w:val="num" w:pos="6480"/>
        </w:tabs>
        <w:ind w:left="6480" w:hanging="360"/>
      </w:pPr>
      <w:rPr>
        <w:rFonts w:ascii="Wingdings" w:hAnsi="Wingdings"/>
      </w:rPr>
    </w:lvl>
  </w:abstractNum>
  <w:abstractNum w:abstractNumId="699" w15:restartNumberingAfterBreak="0">
    <w:nsid w:val="7223077D"/>
    <w:multiLevelType w:val="hybridMultilevel"/>
    <w:tmpl w:val="7223077D"/>
    <w:lvl w:ilvl="0" w:tplc="4B428BAE">
      <w:start w:val="1"/>
      <w:numFmt w:val="bullet"/>
      <w:lvlText w:val=""/>
      <w:lvlJc w:val="left"/>
      <w:pPr>
        <w:ind w:left="720" w:hanging="360"/>
      </w:pPr>
      <w:rPr>
        <w:rFonts w:ascii="Symbol" w:hAnsi="Symbol"/>
      </w:rPr>
    </w:lvl>
    <w:lvl w:ilvl="1" w:tplc="0982097A">
      <w:start w:val="1"/>
      <w:numFmt w:val="bullet"/>
      <w:lvlText w:val="o"/>
      <w:lvlJc w:val="left"/>
      <w:pPr>
        <w:tabs>
          <w:tab w:val="num" w:pos="1440"/>
        </w:tabs>
        <w:ind w:left="1440" w:hanging="360"/>
      </w:pPr>
      <w:rPr>
        <w:rFonts w:ascii="Courier New" w:hAnsi="Courier New"/>
      </w:rPr>
    </w:lvl>
    <w:lvl w:ilvl="2" w:tplc="D6B0984E">
      <w:start w:val="1"/>
      <w:numFmt w:val="bullet"/>
      <w:lvlText w:val=""/>
      <w:lvlJc w:val="left"/>
      <w:pPr>
        <w:tabs>
          <w:tab w:val="num" w:pos="2160"/>
        </w:tabs>
        <w:ind w:left="2160" w:hanging="360"/>
      </w:pPr>
      <w:rPr>
        <w:rFonts w:ascii="Wingdings" w:hAnsi="Wingdings"/>
      </w:rPr>
    </w:lvl>
    <w:lvl w:ilvl="3" w:tplc="6CE4E7CA">
      <w:start w:val="1"/>
      <w:numFmt w:val="bullet"/>
      <w:lvlText w:val=""/>
      <w:lvlJc w:val="left"/>
      <w:pPr>
        <w:tabs>
          <w:tab w:val="num" w:pos="2880"/>
        </w:tabs>
        <w:ind w:left="2880" w:hanging="360"/>
      </w:pPr>
      <w:rPr>
        <w:rFonts w:ascii="Symbol" w:hAnsi="Symbol"/>
      </w:rPr>
    </w:lvl>
    <w:lvl w:ilvl="4" w:tplc="D8500676">
      <w:start w:val="1"/>
      <w:numFmt w:val="bullet"/>
      <w:lvlText w:val="o"/>
      <w:lvlJc w:val="left"/>
      <w:pPr>
        <w:tabs>
          <w:tab w:val="num" w:pos="3600"/>
        </w:tabs>
        <w:ind w:left="3600" w:hanging="360"/>
      </w:pPr>
      <w:rPr>
        <w:rFonts w:ascii="Courier New" w:hAnsi="Courier New"/>
      </w:rPr>
    </w:lvl>
    <w:lvl w:ilvl="5" w:tplc="3DBE1EAC">
      <w:start w:val="1"/>
      <w:numFmt w:val="bullet"/>
      <w:lvlText w:val=""/>
      <w:lvlJc w:val="left"/>
      <w:pPr>
        <w:tabs>
          <w:tab w:val="num" w:pos="4320"/>
        </w:tabs>
        <w:ind w:left="4320" w:hanging="360"/>
      </w:pPr>
      <w:rPr>
        <w:rFonts w:ascii="Wingdings" w:hAnsi="Wingdings"/>
      </w:rPr>
    </w:lvl>
    <w:lvl w:ilvl="6" w:tplc="2B94386A">
      <w:start w:val="1"/>
      <w:numFmt w:val="bullet"/>
      <w:lvlText w:val=""/>
      <w:lvlJc w:val="left"/>
      <w:pPr>
        <w:tabs>
          <w:tab w:val="num" w:pos="5040"/>
        </w:tabs>
        <w:ind w:left="5040" w:hanging="360"/>
      </w:pPr>
      <w:rPr>
        <w:rFonts w:ascii="Symbol" w:hAnsi="Symbol"/>
      </w:rPr>
    </w:lvl>
    <w:lvl w:ilvl="7" w:tplc="9B7EADEE">
      <w:start w:val="1"/>
      <w:numFmt w:val="bullet"/>
      <w:lvlText w:val="o"/>
      <w:lvlJc w:val="left"/>
      <w:pPr>
        <w:tabs>
          <w:tab w:val="num" w:pos="5760"/>
        </w:tabs>
        <w:ind w:left="5760" w:hanging="360"/>
      </w:pPr>
      <w:rPr>
        <w:rFonts w:ascii="Courier New" w:hAnsi="Courier New"/>
      </w:rPr>
    </w:lvl>
    <w:lvl w:ilvl="8" w:tplc="FEB032C2">
      <w:start w:val="1"/>
      <w:numFmt w:val="bullet"/>
      <w:lvlText w:val=""/>
      <w:lvlJc w:val="left"/>
      <w:pPr>
        <w:tabs>
          <w:tab w:val="num" w:pos="6480"/>
        </w:tabs>
        <w:ind w:left="6480" w:hanging="360"/>
      </w:pPr>
      <w:rPr>
        <w:rFonts w:ascii="Wingdings" w:hAnsi="Wingdings"/>
      </w:rPr>
    </w:lvl>
  </w:abstractNum>
  <w:abstractNum w:abstractNumId="700" w15:restartNumberingAfterBreak="0">
    <w:nsid w:val="7223077E"/>
    <w:multiLevelType w:val="hybridMultilevel"/>
    <w:tmpl w:val="7223077E"/>
    <w:lvl w:ilvl="0" w:tplc="5276CD16">
      <w:start w:val="1"/>
      <w:numFmt w:val="bullet"/>
      <w:lvlText w:val=""/>
      <w:lvlJc w:val="left"/>
      <w:pPr>
        <w:ind w:left="720" w:hanging="360"/>
      </w:pPr>
      <w:rPr>
        <w:rFonts w:ascii="Symbol" w:hAnsi="Symbol"/>
      </w:rPr>
    </w:lvl>
    <w:lvl w:ilvl="1" w:tplc="3FCAA9B4">
      <w:start w:val="1"/>
      <w:numFmt w:val="bullet"/>
      <w:lvlText w:val="o"/>
      <w:lvlJc w:val="left"/>
      <w:pPr>
        <w:tabs>
          <w:tab w:val="num" w:pos="1440"/>
        </w:tabs>
        <w:ind w:left="1440" w:hanging="360"/>
      </w:pPr>
      <w:rPr>
        <w:rFonts w:ascii="Courier New" w:hAnsi="Courier New"/>
      </w:rPr>
    </w:lvl>
    <w:lvl w:ilvl="2" w:tplc="E0BC2D04">
      <w:start w:val="1"/>
      <w:numFmt w:val="bullet"/>
      <w:lvlText w:val=""/>
      <w:lvlJc w:val="left"/>
      <w:pPr>
        <w:tabs>
          <w:tab w:val="num" w:pos="2160"/>
        </w:tabs>
        <w:ind w:left="2160" w:hanging="360"/>
      </w:pPr>
      <w:rPr>
        <w:rFonts w:ascii="Wingdings" w:hAnsi="Wingdings"/>
      </w:rPr>
    </w:lvl>
    <w:lvl w:ilvl="3" w:tplc="6042398A">
      <w:start w:val="1"/>
      <w:numFmt w:val="bullet"/>
      <w:lvlText w:val=""/>
      <w:lvlJc w:val="left"/>
      <w:pPr>
        <w:tabs>
          <w:tab w:val="num" w:pos="2880"/>
        </w:tabs>
        <w:ind w:left="2880" w:hanging="360"/>
      </w:pPr>
      <w:rPr>
        <w:rFonts w:ascii="Symbol" w:hAnsi="Symbol"/>
      </w:rPr>
    </w:lvl>
    <w:lvl w:ilvl="4" w:tplc="D99014D8">
      <w:start w:val="1"/>
      <w:numFmt w:val="bullet"/>
      <w:lvlText w:val="o"/>
      <w:lvlJc w:val="left"/>
      <w:pPr>
        <w:tabs>
          <w:tab w:val="num" w:pos="3600"/>
        </w:tabs>
        <w:ind w:left="3600" w:hanging="360"/>
      </w:pPr>
      <w:rPr>
        <w:rFonts w:ascii="Courier New" w:hAnsi="Courier New"/>
      </w:rPr>
    </w:lvl>
    <w:lvl w:ilvl="5" w:tplc="1BC01AB6">
      <w:start w:val="1"/>
      <w:numFmt w:val="bullet"/>
      <w:lvlText w:val=""/>
      <w:lvlJc w:val="left"/>
      <w:pPr>
        <w:tabs>
          <w:tab w:val="num" w:pos="4320"/>
        </w:tabs>
        <w:ind w:left="4320" w:hanging="360"/>
      </w:pPr>
      <w:rPr>
        <w:rFonts w:ascii="Wingdings" w:hAnsi="Wingdings"/>
      </w:rPr>
    </w:lvl>
    <w:lvl w:ilvl="6" w:tplc="133EA386">
      <w:start w:val="1"/>
      <w:numFmt w:val="bullet"/>
      <w:lvlText w:val=""/>
      <w:lvlJc w:val="left"/>
      <w:pPr>
        <w:tabs>
          <w:tab w:val="num" w:pos="5040"/>
        </w:tabs>
        <w:ind w:left="5040" w:hanging="360"/>
      </w:pPr>
      <w:rPr>
        <w:rFonts w:ascii="Symbol" w:hAnsi="Symbol"/>
      </w:rPr>
    </w:lvl>
    <w:lvl w:ilvl="7" w:tplc="D04C9DF8">
      <w:start w:val="1"/>
      <w:numFmt w:val="bullet"/>
      <w:lvlText w:val="o"/>
      <w:lvlJc w:val="left"/>
      <w:pPr>
        <w:tabs>
          <w:tab w:val="num" w:pos="5760"/>
        </w:tabs>
        <w:ind w:left="5760" w:hanging="360"/>
      </w:pPr>
      <w:rPr>
        <w:rFonts w:ascii="Courier New" w:hAnsi="Courier New"/>
      </w:rPr>
    </w:lvl>
    <w:lvl w:ilvl="8" w:tplc="A25079D6">
      <w:start w:val="1"/>
      <w:numFmt w:val="bullet"/>
      <w:lvlText w:val=""/>
      <w:lvlJc w:val="left"/>
      <w:pPr>
        <w:tabs>
          <w:tab w:val="num" w:pos="6480"/>
        </w:tabs>
        <w:ind w:left="6480" w:hanging="360"/>
      </w:pPr>
      <w:rPr>
        <w:rFonts w:ascii="Wingdings" w:hAnsi="Wingdings"/>
      </w:rPr>
    </w:lvl>
  </w:abstractNum>
  <w:abstractNum w:abstractNumId="701" w15:restartNumberingAfterBreak="0">
    <w:nsid w:val="7223077F"/>
    <w:multiLevelType w:val="hybridMultilevel"/>
    <w:tmpl w:val="7223077F"/>
    <w:lvl w:ilvl="0" w:tplc="45DEB0EA">
      <w:start w:val="1"/>
      <w:numFmt w:val="bullet"/>
      <w:lvlText w:val=""/>
      <w:lvlJc w:val="left"/>
      <w:pPr>
        <w:tabs>
          <w:tab w:val="num" w:pos="720"/>
        </w:tabs>
        <w:ind w:left="720" w:hanging="360"/>
      </w:pPr>
      <w:rPr>
        <w:rFonts w:ascii="Symbol" w:hAnsi="Symbol"/>
      </w:rPr>
    </w:lvl>
    <w:lvl w:ilvl="1" w:tplc="71C28446">
      <w:start w:val="1"/>
      <w:numFmt w:val="bullet"/>
      <w:lvlText w:val="o"/>
      <w:lvlJc w:val="left"/>
      <w:pPr>
        <w:tabs>
          <w:tab w:val="num" w:pos="1440"/>
        </w:tabs>
        <w:ind w:left="1440" w:hanging="360"/>
      </w:pPr>
      <w:rPr>
        <w:rFonts w:ascii="Courier New" w:hAnsi="Courier New"/>
      </w:rPr>
    </w:lvl>
    <w:lvl w:ilvl="2" w:tplc="1BCCB1EE">
      <w:start w:val="1"/>
      <w:numFmt w:val="bullet"/>
      <w:lvlText w:val=""/>
      <w:lvlJc w:val="left"/>
      <w:pPr>
        <w:tabs>
          <w:tab w:val="num" w:pos="2160"/>
        </w:tabs>
        <w:ind w:left="2160" w:hanging="360"/>
      </w:pPr>
      <w:rPr>
        <w:rFonts w:ascii="Wingdings" w:hAnsi="Wingdings"/>
      </w:rPr>
    </w:lvl>
    <w:lvl w:ilvl="3" w:tplc="A0964362">
      <w:start w:val="1"/>
      <w:numFmt w:val="bullet"/>
      <w:lvlText w:val=""/>
      <w:lvlJc w:val="left"/>
      <w:pPr>
        <w:tabs>
          <w:tab w:val="num" w:pos="2880"/>
        </w:tabs>
        <w:ind w:left="2880" w:hanging="360"/>
      </w:pPr>
      <w:rPr>
        <w:rFonts w:ascii="Symbol" w:hAnsi="Symbol"/>
      </w:rPr>
    </w:lvl>
    <w:lvl w:ilvl="4" w:tplc="7286D970">
      <w:start w:val="1"/>
      <w:numFmt w:val="bullet"/>
      <w:lvlText w:val="o"/>
      <w:lvlJc w:val="left"/>
      <w:pPr>
        <w:tabs>
          <w:tab w:val="num" w:pos="3600"/>
        </w:tabs>
        <w:ind w:left="3600" w:hanging="360"/>
      </w:pPr>
      <w:rPr>
        <w:rFonts w:ascii="Courier New" w:hAnsi="Courier New"/>
      </w:rPr>
    </w:lvl>
    <w:lvl w:ilvl="5" w:tplc="52DC58A0">
      <w:start w:val="1"/>
      <w:numFmt w:val="bullet"/>
      <w:lvlText w:val=""/>
      <w:lvlJc w:val="left"/>
      <w:pPr>
        <w:tabs>
          <w:tab w:val="num" w:pos="4320"/>
        </w:tabs>
        <w:ind w:left="4320" w:hanging="360"/>
      </w:pPr>
      <w:rPr>
        <w:rFonts w:ascii="Wingdings" w:hAnsi="Wingdings"/>
      </w:rPr>
    </w:lvl>
    <w:lvl w:ilvl="6" w:tplc="7E9E086C">
      <w:start w:val="1"/>
      <w:numFmt w:val="bullet"/>
      <w:lvlText w:val=""/>
      <w:lvlJc w:val="left"/>
      <w:pPr>
        <w:tabs>
          <w:tab w:val="num" w:pos="5040"/>
        </w:tabs>
        <w:ind w:left="5040" w:hanging="360"/>
      </w:pPr>
      <w:rPr>
        <w:rFonts w:ascii="Symbol" w:hAnsi="Symbol"/>
      </w:rPr>
    </w:lvl>
    <w:lvl w:ilvl="7" w:tplc="773E0E40">
      <w:start w:val="1"/>
      <w:numFmt w:val="bullet"/>
      <w:lvlText w:val="o"/>
      <w:lvlJc w:val="left"/>
      <w:pPr>
        <w:tabs>
          <w:tab w:val="num" w:pos="5760"/>
        </w:tabs>
        <w:ind w:left="5760" w:hanging="360"/>
      </w:pPr>
      <w:rPr>
        <w:rFonts w:ascii="Courier New" w:hAnsi="Courier New"/>
      </w:rPr>
    </w:lvl>
    <w:lvl w:ilvl="8" w:tplc="014AE856">
      <w:start w:val="1"/>
      <w:numFmt w:val="bullet"/>
      <w:lvlText w:val=""/>
      <w:lvlJc w:val="left"/>
      <w:pPr>
        <w:tabs>
          <w:tab w:val="num" w:pos="6480"/>
        </w:tabs>
        <w:ind w:left="6480" w:hanging="360"/>
      </w:pPr>
      <w:rPr>
        <w:rFonts w:ascii="Wingdings" w:hAnsi="Wingdings"/>
      </w:rPr>
    </w:lvl>
  </w:abstractNum>
  <w:abstractNum w:abstractNumId="702" w15:restartNumberingAfterBreak="0">
    <w:nsid w:val="72230780"/>
    <w:multiLevelType w:val="hybridMultilevel"/>
    <w:tmpl w:val="72230780"/>
    <w:lvl w:ilvl="0" w:tplc="882465F2">
      <w:start w:val="1"/>
      <w:numFmt w:val="bullet"/>
      <w:lvlText w:val=""/>
      <w:lvlJc w:val="left"/>
      <w:pPr>
        <w:ind w:left="720" w:hanging="360"/>
      </w:pPr>
      <w:rPr>
        <w:rFonts w:ascii="Symbol" w:hAnsi="Symbol"/>
      </w:rPr>
    </w:lvl>
    <w:lvl w:ilvl="1" w:tplc="7A76908E">
      <w:start w:val="1"/>
      <w:numFmt w:val="bullet"/>
      <w:lvlText w:val="o"/>
      <w:lvlJc w:val="left"/>
      <w:pPr>
        <w:tabs>
          <w:tab w:val="num" w:pos="1440"/>
        </w:tabs>
        <w:ind w:left="1440" w:hanging="360"/>
      </w:pPr>
      <w:rPr>
        <w:rFonts w:ascii="Courier New" w:hAnsi="Courier New"/>
      </w:rPr>
    </w:lvl>
    <w:lvl w:ilvl="2" w:tplc="3D040B5C">
      <w:start w:val="1"/>
      <w:numFmt w:val="bullet"/>
      <w:lvlText w:val=""/>
      <w:lvlJc w:val="left"/>
      <w:pPr>
        <w:tabs>
          <w:tab w:val="num" w:pos="2160"/>
        </w:tabs>
        <w:ind w:left="2160" w:hanging="360"/>
      </w:pPr>
      <w:rPr>
        <w:rFonts w:ascii="Wingdings" w:hAnsi="Wingdings"/>
      </w:rPr>
    </w:lvl>
    <w:lvl w:ilvl="3" w:tplc="4BBC039C">
      <w:start w:val="1"/>
      <w:numFmt w:val="bullet"/>
      <w:lvlText w:val=""/>
      <w:lvlJc w:val="left"/>
      <w:pPr>
        <w:tabs>
          <w:tab w:val="num" w:pos="2880"/>
        </w:tabs>
        <w:ind w:left="2880" w:hanging="360"/>
      </w:pPr>
      <w:rPr>
        <w:rFonts w:ascii="Symbol" w:hAnsi="Symbol"/>
      </w:rPr>
    </w:lvl>
    <w:lvl w:ilvl="4" w:tplc="CBD40C8E">
      <w:start w:val="1"/>
      <w:numFmt w:val="bullet"/>
      <w:lvlText w:val="o"/>
      <w:lvlJc w:val="left"/>
      <w:pPr>
        <w:tabs>
          <w:tab w:val="num" w:pos="3600"/>
        </w:tabs>
        <w:ind w:left="3600" w:hanging="360"/>
      </w:pPr>
      <w:rPr>
        <w:rFonts w:ascii="Courier New" w:hAnsi="Courier New"/>
      </w:rPr>
    </w:lvl>
    <w:lvl w:ilvl="5" w:tplc="080E50AA">
      <w:start w:val="1"/>
      <w:numFmt w:val="bullet"/>
      <w:lvlText w:val=""/>
      <w:lvlJc w:val="left"/>
      <w:pPr>
        <w:tabs>
          <w:tab w:val="num" w:pos="4320"/>
        </w:tabs>
        <w:ind w:left="4320" w:hanging="360"/>
      </w:pPr>
      <w:rPr>
        <w:rFonts w:ascii="Wingdings" w:hAnsi="Wingdings"/>
      </w:rPr>
    </w:lvl>
    <w:lvl w:ilvl="6" w:tplc="DD328224">
      <w:start w:val="1"/>
      <w:numFmt w:val="bullet"/>
      <w:lvlText w:val=""/>
      <w:lvlJc w:val="left"/>
      <w:pPr>
        <w:tabs>
          <w:tab w:val="num" w:pos="5040"/>
        </w:tabs>
        <w:ind w:left="5040" w:hanging="360"/>
      </w:pPr>
      <w:rPr>
        <w:rFonts w:ascii="Symbol" w:hAnsi="Symbol"/>
      </w:rPr>
    </w:lvl>
    <w:lvl w:ilvl="7" w:tplc="3F88A046">
      <w:start w:val="1"/>
      <w:numFmt w:val="bullet"/>
      <w:lvlText w:val="o"/>
      <w:lvlJc w:val="left"/>
      <w:pPr>
        <w:tabs>
          <w:tab w:val="num" w:pos="5760"/>
        </w:tabs>
        <w:ind w:left="5760" w:hanging="360"/>
      </w:pPr>
      <w:rPr>
        <w:rFonts w:ascii="Courier New" w:hAnsi="Courier New"/>
      </w:rPr>
    </w:lvl>
    <w:lvl w:ilvl="8" w:tplc="366A0752">
      <w:start w:val="1"/>
      <w:numFmt w:val="bullet"/>
      <w:lvlText w:val=""/>
      <w:lvlJc w:val="left"/>
      <w:pPr>
        <w:tabs>
          <w:tab w:val="num" w:pos="6480"/>
        </w:tabs>
        <w:ind w:left="6480" w:hanging="360"/>
      </w:pPr>
      <w:rPr>
        <w:rFonts w:ascii="Wingdings" w:hAnsi="Wingdings"/>
      </w:rPr>
    </w:lvl>
  </w:abstractNum>
  <w:abstractNum w:abstractNumId="703" w15:restartNumberingAfterBreak="0">
    <w:nsid w:val="72230781"/>
    <w:multiLevelType w:val="hybridMultilevel"/>
    <w:tmpl w:val="72230781"/>
    <w:lvl w:ilvl="0" w:tplc="1B4C737C">
      <w:start w:val="1"/>
      <w:numFmt w:val="bullet"/>
      <w:lvlText w:val=""/>
      <w:lvlJc w:val="left"/>
      <w:pPr>
        <w:ind w:left="720" w:hanging="360"/>
      </w:pPr>
      <w:rPr>
        <w:rFonts w:ascii="Symbol" w:hAnsi="Symbol"/>
      </w:rPr>
    </w:lvl>
    <w:lvl w:ilvl="1" w:tplc="DFA8BA42">
      <w:start w:val="1"/>
      <w:numFmt w:val="bullet"/>
      <w:lvlText w:val="o"/>
      <w:lvlJc w:val="left"/>
      <w:pPr>
        <w:tabs>
          <w:tab w:val="num" w:pos="1440"/>
        </w:tabs>
        <w:ind w:left="1440" w:hanging="360"/>
      </w:pPr>
      <w:rPr>
        <w:rFonts w:ascii="Courier New" w:hAnsi="Courier New"/>
      </w:rPr>
    </w:lvl>
    <w:lvl w:ilvl="2" w:tplc="286C0DD6">
      <w:start w:val="1"/>
      <w:numFmt w:val="bullet"/>
      <w:lvlText w:val=""/>
      <w:lvlJc w:val="left"/>
      <w:pPr>
        <w:tabs>
          <w:tab w:val="num" w:pos="2160"/>
        </w:tabs>
        <w:ind w:left="2160" w:hanging="360"/>
      </w:pPr>
      <w:rPr>
        <w:rFonts w:ascii="Wingdings" w:hAnsi="Wingdings"/>
      </w:rPr>
    </w:lvl>
    <w:lvl w:ilvl="3" w:tplc="48FAF954">
      <w:start w:val="1"/>
      <w:numFmt w:val="bullet"/>
      <w:lvlText w:val=""/>
      <w:lvlJc w:val="left"/>
      <w:pPr>
        <w:tabs>
          <w:tab w:val="num" w:pos="2880"/>
        </w:tabs>
        <w:ind w:left="2880" w:hanging="360"/>
      </w:pPr>
      <w:rPr>
        <w:rFonts w:ascii="Symbol" w:hAnsi="Symbol"/>
      </w:rPr>
    </w:lvl>
    <w:lvl w:ilvl="4" w:tplc="AF3E7DC4">
      <w:start w:val="1"/>
      <w:numFmt w:val="bullet"/>
      <w:lvlText w:val="o"/>
      <w:lvlJc w:val="left"/>
      <w:pPr>
        <w:tabs>
          <w:tab w:val="num" w:pos="3600"/>
        </w:tabs>
        <w:ind w:left="3600" w:hanging="360"/>
      </w:pPr>
      <w:rPr>
        <w:rFonts w:ascii="Courier New" w:hAnsi="Courier New"/>
      </w:rPr>
    </w:lvl>
    <w:lvl w:ilvl="5" w:tplc="2934FB1E">
      <w:start w:val="1"/>
      <w:numFmt w:val="bullet"/>
      <w:lvlText w:val=""/>
      <w:lvlJc w:val="left"/>
      <w:pPr>
        <w:tabs>
          <w:tab w:val="num" w:pos="4320"/>
        </w:tabs>
        <w:ind w:left="4320" w:hanging="360"/>
      </w:pPr>
      <w:rPr>
        <w:rFonts w:ascii="Wingdings" w:hAnsi="Wingdings"/>
      </w:rPr>
    </w:lvl>
    <w:lvl w:ilvl="6" w:tplc="4970CFB4">
      <w:start w:val="1"/>
      <w:numFmt w:val="bullet"/>
      <w:lvlText w:val=""/>
      <w:lvlJc w:val="left"/>
      <w:pPr>
        <w:tabs>
          <w:tab w:val="num" w:pos="5040"/>
        </w:tabs>
        <w:ind w:left="5040" w:hanging="360"/>
      </w:pPr>
      <w:rPr>
        <w:rFonts w:ascii="Symbol" w:hAnsi="Symbol"/>
      </w:rPr>
    </w:lvl>
    <w:lvl w:ilvl="7" w:tplc="ABE616B0">
      <w:start w:val="1"/>
      <w:numFmt w:val="bullet"/>
      <w:lvlText w:val="o"/>
      <w:lvlJc w:val="left"/>
      <w:pPr>
        <w:tabs>
          <w:tab w:val="num" w:pos="5760"/>
        </w:tabs>
        <w:ind w:left="5760" w:hanging="360"/>
      </w:pPr>
      <w:rPr>
        <w:rFonts w:ascii="Courier New" w:hAnsi="Courier New"/>
      </w:rPr>
    </w:lvl>
    <w:lvl w:ilvl="8" w:tplc="C3A2B4A6">
      <w:start w:val="1"/>
      <w:numFmt w:val="bullet"/>
      <w:lvlText w:val=""/>
      <w:lvlJc w:val="left"/>
      <w:pPr>
        <w:tabs>
          <w:tab w:val="num" w:pos="6480"/>
        </w:tabs>
        <w:ind w:left="6480" w:hanging="360"/>
      </w:pPr>
      <w:rPr>
        <w:rFonts w:ascii="Wingdings" w:hAnsi="Wingdings"/>
      </w:rPr>
    </w:lvl>
  </w:abstractNum>
  <w:abstractNum w:abstractNumId="704" w15:restartNumberingAfterBreak="0">
    <w:nsid w:val="72230782"/>
    <w:multiLevelType w:val="hybridMultilevel"/>
    <w:tmpl w:val="72230782"/>
    <w:lvl w:ilvl="0" w:tplc="D3E6C38A">
      <w:start w:val="1"/>
      <w:numFmt w:val="bullet"/>
      <w:lvlText w:val=""/>
      <w:lvlJc w:val="left"/>
      <w:pPr>
        <w:ind w:left="720" w:hanging="360"/>
      </w:pPr>
      <w:rPr>
        <w:rFonts w:ascii="Symbol" w:hAnsi="Symbol"/>
      </w:rPr>
    </w:lvl>
    <w:lvl w:ilvl="1" w:tplc="F66631F4">
      <w:start w:val="1"/>
      <w:numFmt w:val="bullet"/>
      <w:lvlText w:val="o"/>
      <w:lvlJc w:val="left"/>
      <w:pPr>
        <w:tabs>
          <w:tab w:val="num" w:pos="1440"/>
        </w:tabs>
        <w:ind w:left="1440" w:hanging="360"/>
      </w:pPr>
      <w:rPr>
        <w:rFonts w:ascii="Courier New" w:hAnsi="Courier New"/>
      </w:rPr>
    </w:lvl>
    <w:lvl w:ilvl="2" w:tplc="CCB831EE">
      <w:start w:val="1"/>
      <w:numFmt w:val="bullet"/>
      <w:lvlText w:val=""/>
      <w:lvlJc w:val="left"/>
      <w:pPr>
        <w:tabs>
          <w:tab w:val="num" w:pos="2160"/>
        </w:tabs>
        <w:ind w:left="2160" w:hanging="360"/>
      </w:pPr>
      <w:rPr>
        <w:rFonts w:ascii="Wingdings" w:hAnsi="Wingdings"/>
      </w:rPr>
    </w:lvl>
    <w:lvl w:ilvl="3" w:tplc="E30AA5B6">
      <w:start w:val="1"/>
      <w:numFmt w:val="bullet"/>
      <w:lvlText w:val=""/>
      <w:lvlJc w:val="left"/>
      <w:pPr>
        <w:tabs>
          <w:tab w:val="num" w:pos="2880"/>
        </w:tabs>
        <w:ind w:left="2880" w:hanging="360"/>
      </w:pPr>
      <w:rPr>
        <w:rFonts w:ascii="Symbol" w:hAnsi="Symbol"/>
      </w:rPr>
    </w:lvl>
    <w:lvl w:ilvl="4" w:tplc="A32EB0AA">
      <w:start w:val="1"/>
      <w:numFmt w:val="bullet"/>
      <w:lvlText w:val="o"/>
      <w:lvlJc w:val="left"/>
      <w:pPr>
        <w:tabs>
          <w:tab w:val="num" w:pos="3600"/>
        </w:tabs>
        <w:ind w:left="3600" w:hanging="360"/>
      </w:pPr>
      <w:rPr>
        <w:rFonts w:ascii="Courier New" w:hAnsi="Courier New"/>
      </w:rPr>
    </w:lvl>
    <w:lvl w:ilvl="5" w:tplc="EED4C982">
      <w:start w:val="1"/>
      <w:numFmt w:val="bullet"/>
      <w:lvlText w:val=""/>
      <w:lvlJc w:val="left"/>
      <w:pPr>
        <w:tabs>
          <w:tab w:val="num" w:pos="4320"/>
        </w:tabs>
        <w:ind w:left="4320" w:hanging="360"/>
      </w:pPr>
      <w:rPr>
        <w:rFonts w:ascii="Wingdings" w:hAnsi="Wingdings"/>
      </w:rPr>
    </w:lvl>
    <w:lvl w:ilvl="6" w:tplc="041AA8A6">
      <w:start w:val="1"/>
      <w:numFmt w:val="bullet"/>
      <w:lvlText w:val=""/>
      <w:lvlJc w:val="left"/>
      <w:pPr>
        <w:tabs>
          <w:tab w:val="num" w:pos="5040"/>
        </w:tabs>
        <w:ind w:left="5040" w:hanging="360"/>
      </w:pPr>
      <w:rPr>
        <w:rFonts w:ascii="Symbol" w:hAnsi="Symbol"/>
      </w:rPr>
    </w:lvl>
    <w:lvl w:ilvl="7" w:tplc="7F6E1C96">
      <w:start w:val="1"/>
      <w:numFmt w:val="bullet"/>
      <w:lvlText w:val="o"/>
      <w:lvlJc w:val="left"/>
      <w:pPr>
        <w:tabs>
          <w:tab w:val="num" w:pos="5760"/>
        </w:tabs>
        <w:ind w:left="5760" w:hanging="360"/>
      </w:pPr>
      <w:rPr>
        <w:rFonts w:ascii="Courier New" w:hAnsi="Courier New"/>
      </w:rPr>
    </w:lvl>
    <w:lvl w:ilvl="8" w:tplc="EC8A016E">
      <w:start w:val="1"/>
      <w:numFmt w:val="bullet"/>
      <w:lvlText w:val=""/>
      <w:lvlJc w:val="left"/>
      <w:pPr>
        <w:tabs>
          <w:tab w:val="num" w:pos="6480"/>
        </w:tabs>
        <w:ind w:left="6480" w:hanging="360"/>
      </w:pPr>
      <w:rPr>
        <w:rFonts w:ascii="Wingdings" w:hAnsi="Wingdings"/>
      </w:rPr>
    </w:lvl>
  </w:abstractNum>
  <w:abstractNum w:abstractNumId="705" w15:restartNumberingAfterBreak="0">
    <w:nsid w:val="72230783"/>
    <w:multiLevelType w:val="hybridMultilevel"/>
    <w:tmpl w:val="72230783"/>
    <w:lvl w:ilvl="0" w:tplc="2FD0BC12">
      <w:start w:val="1"/>
      <w:numFmt w:val="bullet"/>
      <w:lvlText w:val=""/>
      <w:lvlJc w:val="left"/>
      <w:pPr>
        <w:ind w:left="720" w:hanging="360"/>
      </w:pPr>
      <w:rPr>
        <w:rFonts w:ascii="Symbol" w:hAnsi="Symbol"/>
      </w:rPr>
    </w:lvl>
    <w:lvl w:ilvl="1" w:tplc="9EF48C90">
      <w:start w:val="1"/>
      <w:numFmt w:val="bullet"/>
      <w:lvlText w:val="o"/>
      <w:lvlJc w:val="left"/>
      <w:pPr>
        <w:tabs>
          <w:tab w:val="num" w:pos="1440"/>
        </w:tabs>
        <w:ind w:left="1440" w:hanging="360"/>
      </w:pPr>
      <w:rPr>
        <w:rFonts w:ascii="Courier New" w:hAnsi="Courier New"/>
      </w:rPr>
    </w:lvl>
    <w:lvl w:ilvl="2" w:tplc="E89E84F2">
      <w:start w:val="1"/>
      <w:numFmt w:val="bullet"/>
      <w:lvlText w:val=""/>
      <w:lvlJc w:val="left"/>
      <w:pPr>
        <w:tabs>
          <w:tab w:val="num" w:pos="2160"/>
        </w:tabs>
        <w:ind w:left="2160" w:hanging="360"/>
      </w:pPr>
      <w:rPr>
        <w:rFonts w:ascii="Wingdings" w:hAnsi="Wingdings"/>
      </w:rPr>
    </w:lvl>
    <w:lvl w:ilvl="3" w:tplc="BBFC3A48">
      <w:start w:val="1"/>
      <w:numFmt w:val="bullet"/>
      <w:lvlText w:val=""/>
      <w:lvlJc w:val="left"/>
      <w:pPr>
        <w:tabs>
          <w:tab w:val="num" w:pos="2880"/>
        </w:tabs>
        <w:ind w:left="2880" w:hanging="360"/>
      </w:pPr>
      <w:rPr>
        <w:rFonts w:ascii="Symbol" w:hAnsi="Symbol"/>
      </w:rPr>
    </w:lvl>
    <w:lvl w:ilvl="4" w:tplc="2C96E3DC">
      <w:start w:val="1"/>
      <w:numFmt w:val="bullet"/>
      <w:lvlText w:val="o"/>
      <w:lvlJc w:val="left"/>
      <w:pPr>
        <w:tabs>
          <w:tab w:val="num" w:pos="3600"/>
        </w:tabs>
        <w:ind w:left="3600" w:hanging="360"/>
      </w:pPr>
      <w:rPr>
        <w:rFonts w:ascii="Courier New" w:hAnsi="Courier New"/>
      </w:rPr>
    </w:lvl>
    <w:lvl w:ilvl="5" w:tplc="1946FCD6">
      <w:start w:val="1"/>
      <w:numFmt w:val="bullet"/>
      <w:lvlText w:val=""/>
      <w:lvlJc w:val="left"/>
      <w:pPr>
        <w:tabs>
          <w:tab w:val="num" w:pos="4320"/>
        </w:tabs>
        <w:ind w:left="4320" w:hanging="360"/>
      </w:pPr>
      <w:rPr>
        <w:rFonts w:ascii="Wingdings" w:hAnsi="Wingdings"/>
      </w:rPr>
    </w:lvl>
    <w:lvl w:ilvl="6" w:tplc="2A3CCCA4">
      <w:start w:val="1"/>
      <w:numFmt w:val="bullet"/>
      <w:lvlText w:val=""/>
      <w:lvlJc w:val="left"/>
      <w:pPr>
        <w:tabs>
          <w:tab w:val="num" w:pos="5040"/>
        </w:tabs>
        <w:ind w:left="5040" w:hanging="360"/>
      </w:pPr>
      <w:rPr>
        <w:rFonts w:ascii="Symbol" w:hAnsi="Symbol"/>
      </w:rPr>
    </w:lvl>
    <w:lvl w:ilvl="7" w:tplc="441A306A">
      <w:start w:val="1"/>
      <w:numFmt w:val="bullet"/>
      <w:lvlText w:val="o"/>
      <w:lvlJc w:val="left"/>
      <w:pPr>
        <w:tabs>
          <w:tab w:val="num" w:pos="5760"/>
        </w:tabs>
        <w:ind w:left="5760" w:hanging="360"/>
      </w:pPr>
      <w:rPr>
        <w:rFonts w:ascii="Courier New" w:hAnsi="Courier New"/>
      </w:rPr>
    </w:lvl>
    <w:lvl w:ilvl="8" w:tplc="E3140954">
      <w:start w:val="1"/>
      <w:numFmt w:val="bullet"/>
      <w:lvlText w:val=""/>
      <w:lvlJc w:val="left"/>
      <w:pPr>
        <w:tabs>
          <w:tab w:val="num" w:pos="6480"/>
        </w:tabs>
        <w:ind w:left="6480" w:hanging="360"/>
      </w:pPr>
      <w:rPr>
        <w:rFonts w:ascii="Wingdings" w:hAnsi="Wingdings"/>
      </w:rPr>
    </w:lvl>
  </w:abstractNum>
  <w:abstractNum w:abstractNumId="706" w15:restartNumberingAfterBreak="0">
    <w:nsid w:val="72230784"/>
    <w:multiLevelType w:val="hybridMultilevel"/>
    <w:tmpl w:val="72230784"/>
    <w:lvl w:ilvl="0" w:tplc="83ACC45A">
      <w:start w:val="1"/>
      <w:numFmt w:val="bullet"/>
      <w:lvlText w:val=""/>
      <w:lvlJc w:val="left"/>
      <w:pPr>
        <w:ind w:left="720" w:hanging="360"/>
      </w:pPr>
      <w:rPr>
        <w:rFonts w:ascii="Symbol" w:hAnsi="Symbol"/>
      </w:rPr>
    </w:lvl>
    <w:lvl w:ilvl="1" w:tplc="26944FCE">
      <w:start w:val="1"/>
      <w:numFmt w:val="bullet"/>
      <w:lvlText w:val="o"/>
      <w:lvlJc w:val="left"/>
      <w:pPr>
        <w:tabs>
          <w:tab w:val="num" w:pos="1440"/>
        </w:tabs>
        <w:ind w:left="1440" w:hanging="360"/>
      </w:pPr>
      <w:rPr>
        <w:rFonts w:ascii="Courier New" w:hAnsi="Courier New"/>
      </w:rPr>
    </w:lvl>
    <w:lvl w:ilvl="2" w:tplc="0E0663EC">
      <w:start w:val="1"/>
      <w:numFmt w:val="bullet"/>
      <w:lvlText w:val=""/>
      <w:lvlJc w:val="left"/>
      <w:pPr>
        <w:tabs>
          <w:tab w:val="num" w:pos="2160"/>
        </w:tabs>
        <w:ind w:left="2160" w:hanging="360"/>
      </w:pPr>
      <w:rPr>
        <w:rFonts w:ascii="Wingdings" w:hAnsi="Wingdings"/>
      </w:rPr>
    </w:lvl>
    <w:lvl w:ilvl="3" w:tplc="F1CA8AB6">
      <w:start w:val="1"/>
      <w:numFmt w:val="bullet"/>
      <w:lvlText w:val=""/>
      <w:lvlJc w:val="left"/>
      <w:pPr>
        <w:tabs>
          <w:tab w:val="num" w:pos="2880"/>
        </w:tabs>
        <w:ind w:left="2880" w:hanging="360"/>
      </w:pPr>
      <w:rPr>
        <w:rFonts w:ascii="Symbol" w:hAnsi="Symbol"/>
      </w:rPr>
    </w:lvl>
    <w:lvl w:ilvl="4" w:tplc="EC3C58CE">
      <w:start w:val="1"/>
      <w:numFmt w:val="bullet"/>
      <w:lvlText w:val="o"/>
      <w:lvlJc w:val="left"/>
      <w:pPr>
        <w:tabs>
          <w:tab w:val="num" w:pos="3600"/>
        </w:tabs>
        <w:ind w:left="3600" w:hanging="360"/>
      </w:pPr>
      <w:rPr>
        <w:rFonts w:ascii="Courier New" w:hAnsi="Courier New"/>
      </w:rPr>
    </w:lvl>
    <w:lvl w:ilvl="5" w:tplc="30825CA2">
      <w:start w:val="1"/>
      <w:numFmt w:val="bullet"/>
      <w:lvlText w:val=""/>
      <w:lvlJc w:val="left"/>
      <w:pPr>
        <w:tabs>
          <w:tab w:val="num" w:pos="4320"/>
        </w:tabs>
        <w:ind w:left="4320" w:hanging="360"/>
      </w:pPr>
      <w:rPr>
        <w:rFonts w:ascii="Wingdings" w:hAnsi="Wingdings"/>
      </w:rPr>
    </w:lvl>
    <w:lvl w:ilvl="6" w:tplc="4E600FA6">
      <w:start w:val="1"/>
      <w:numFmt w:val="bullet"/>
      <w:lvlText w:val=""/>
      <w:lvlJc w:val="left"/>
      <w:pPr>
        <w:tabs>
          <w:tab w:val="num" w:pos="5040"/>
        </w:tabs>
        <w:ind w:left="5040" w:hanging="360"/>
      </w:pPr>
      <w:rPr>
        <w:rFonts w:ascii="Symbol" w:hAnsi="Symbol"/>
      </w:rPr>
    </w:lvl>
    <w:lvl w:ilvl="7" w:tplc="9D181F5C">
      <w:start w:val="1"/>
      <w:numFmt w:val="bullet"/>
      <w:lvlText w:val="o"/>
      <w:lvlJc w:val="left"/>
      <w:pPr>
        <w:tabs>
          <w:tab w:val="num" w:pos="5760"/>
        </w:tabs>
        <w:ind w:left="5760" w:hanging="360"/>
      </w:pPr>
      <w:rPr>
        <w:rFonts w:ascii="Courier New" w:hAnsi="Courier New"/>
      </w:rPr>
    </w:lvl>
    <w:lvl w:ilvl="8" w:tplc="688634D6">
      <w:start w:val="1"/>
      <w:numFmt w:val="bullet"/>
      <w:lvlText w:val=""/>
      <w:lvlJc w:val="left"/>
      <w:pPr>
        <w:tabs>
          <w:tab w:val="num" w:pos="6480"/>
        </w:tabs>
        <w:ind w:left="6480" w:hanging="360"/>
      </w:pPr>
      <w:rPr>
        <w:rFonts w:ascii="Wingdings" w:hAnsi="Wingdings"/>
      </w:rPr>
    </w:lvl>
  </w:abstractNum>
  <w:abstractNum w:abstractNumId="707" w15:restartNumberingAfterBreak="0">
    <w:nsid w:val="72230785"/>
    <w:multiLevelType w:val="hybridMultilevel"/>
    <w:tmpl w:val="72230785"/>
    <w:lvl w:ilvl="0" w:tplc="AC6643E6">
      <w:start w:val="1"/>
      <w:numFmt w:val="bullet"/>
      <w:lvlText w:val=""/>
      <w:lvlJc w:val="left"/>
      <w:pPr>
        <w:ind w:left="720" w:hanging="360"/>
      </w:pPr>
      <w:rPr>
        <w:rFonts w:ascii="Symbol" w:hAnsi="Symbol"/>
      </w:rPr>
    </w:lvl>
    <w:lvl w:ilvl="1" w:tplc="423AFCD0">
      <w:start w:val="1"/>
      <w:numFmt w:val="bullet"/>
      <w:lvlText w:val="o"/>
      <w:lvlJc w:val="left"/>
      <w:pPr>
        <w:tabs>
          <w:tab w:val="num" w:pos="1440"/>
        </w:tabs>
        <w:ind w:left="1440" w:hanging="360"/>
      </w:pPr>
      <w:rPr>
        <w:rFonts w:ascii="Courier New" w:hAnsi="Courier New"/>
      </w:rPr>
    </w:lvl>
    <w:lvl w:ilvl="2" w:tplc="5ABEBE26">
      <w:start w:val="1"/>
      <w:numFmt w:val="bullet"/>
      <w:lvlText w:val=""/>
      <w:lvlJc w:val="left"/>
      <w:pPr>
        <w:tabs>
          <w:tab w:val="num" w:pos="2160"/>
        </w:tabs>
        <w:ind w:left="2160" w:hanging="360"/>
      </w:pPr>
      <w:rPr>
        <w:rFonts w:ascii="Wingdings" w:hAnsi="Wingdings"/>
      </w:rPr>
    </w:lvl>
    <w:lvl w:ilvl="3" w:tplc="34C8535E">
      <w:start w:val="1"/>
      <w:numFmt w:val="bullet"/>
      <w:lvlText w:val=""/>
      <w:lvlJc w:val="left"/>
      <w:pPr>
        <w:tabs>
          <w:tab w:val="num" w:pos="2880"/>
        </w:tabs>
        <w:ind w:left="2880" w:hanging="360"/>
      </w:pPr>
      <w:rPr>
        <w:rFonts w:ascii="Symbol" w:hAnsi="Symbol"/>
      </w:rPr>
    </w:lvl>
    <w:lvl w:ilvl="4" w:tplc="B0FE95B2">
      <w:start w:val="1"/>
      <w:numFmt w:val="bullet"/>
      <w:lvlText w:val="o"/>
      <w:lvlJc w:val="left"/>
      <w:pPr>
        <w:tabs>
          <w:tab w:val="num" w:pos="3600"/>
        </w:tabs>
        <w:ind w:left="3600" w:hanging="360"/>
      </w:pPr>
      <w:rPr>
        <w:rFonts w:ascii="Courier New" w:hAnsi="Courier New"/>
      </w:rPr>
    </w:lvl>
    <w:lvl w:ilvl="5" w:tplc="7ADE0B40">
      <w:start w:val="1"/>
      <w:numFmt w:val="bullet"/>
      <w:lvlText w:val=""/>
      <w:lvlJc w:val="left"/>
      <w:pPr>
        <w:tabs>
          <w:tab w:val="num" w:pos="4320"/>
        </w:tabs>
        <w:ind w:left="4320" w:hanging="360"/>
      </w:pPr>
      <w:rPr>
        <w:rFonts w:ascii="Wingdings" w:hAnsi="Wingdings"/>
      </w:rPr>
    </w:lvl>
    <w:lvl w:ilvl="6" w:tplc="0870240E">
      <w:start w:val="1"/>
      <w:numFmt w:val="bullet"/>
      <w:lvlText w:val=""/>
      <w:lvlJc w:val="left"/>
      <w:pPr>
        <w:tabs>
          <w:tab w:val="num" w:pos="5040"/>
        </w:tabs>
        <w:ind w:left="5040" w:hanging="360"/>
      </w:pPr>
      <w:rPr>
        <w:rFonts w:ascii="Symbol" w:hAnsi="Symbol"/>
      </w:rPr>
    </w:lvl>
    <w:lvl w:ilvl="7" w:tplc="9B28EB14">
      <w:start w:val="1"/>
      <w:numFmt w:val="bullet"/>
      <w:lvlText w:val="o"/>
      <w:lvlJc w:val="left"/>
      <w:pPr>
        <w:tabs>
          <w:tab w:val="num" w:pos="5760"/>
        </w:tabs>
        <w:ind w:left="5760" w:hanging="360"/>
      </w:pPr>
      <w:rPr>
        <w:rFonts w:ascii="Courier New" w:hAnsi="Courier New"/>
      </w:rPr>
    </w:lvl>
    <w:lvl w:ilvl="8" w:tplc="EB12CE88">
      <w:start w:val="1"/>
      <w:numFmt w:val="bullet"/>
      <w:lvlText w:val=""/>
      <w:lvlJc w:val="left"/>
      <w:pPr>
        <w:tabs>
          <w:tab w:val="num" w:pos="6480"/>
        </w:tabs>
        <w:ind w:left="6480" w:hanging="360"/>
      </w:pPr>
      <w:rPr>
        <w:rFonts w:ascii="Wingdings" w:hAnsi="Wingdings"/>
      </w:rPr>
    </w:lvl>
  </w:abstractNum>
  <w:abstractNum w:abstractNumId="708" w15:restartNumberingAfterBreak="0">
    <w:nsid w:val="72230786"/>
    <w:multiLevelType w:val="hybridMultilevel"/>
    <w:tmpl w:val="72230786"/>
    <w:lvl w:ilvl="0" w:tplc="CD586406">
      <w:start w:val="1"/>
      <w:numFmt w:val="bullet"/>
      <w:lvlText w:val=""/>
      <w:lvlJc w:val="left"/>
      <w:pPr>
        <w:tabs>
          <w:tab w:val="num" w:pos="720"/>
        </w:tabs>
        <w:ind w:left="720" w:hanging="360"/>
      </w:pPr>
      <w:rPr>
        <w:rFonts w:ascii="Symbol" w:hAnsi="Symbol"/>
      </w:rPr>
    </w:lvl>
    <w:lvl w:ilvl="1" w:tplc="9F24A6B4">
      <w:start w:val="1"/>
      <w:numFmt w:val="bullet"/>
      <w:lvlText w:val="o"/>
      <w:lvlJc w:val="left"/>
      <w:pPr>
        <w:tabs>
          <w:tab w:val="num" w:pos="1440"/>
        </w:tabs>
        <w:ind w:left="1440" w:hanging="360"/>
      </w:pPr>
      <w:rPr>
        <w:rFonts w:ascii="Courier New" w:hAnsi="Courier New"/>
      </w:rPr>
    </w:lvl>
    <w:lvl w:ilvl="2" w:tplc="C73E4B4C">
      <w:start w:val="1"/>
      <w:numFmt w:val="bullet"/>
      <w:lvlText w:val=""/>
      <w:lvlJc w:val="left"/>
      <w:pPr>
        <w:tabs>
          <w:tab w:val="num" w:pos="2160"/>
        </w:tabs>
        <w:ind w:left="2160" w:hanging="360"/>
      </w:pPr>
      <w:rPr>
        <w:rFonts w:ascii="Wingdings" w:hAnsi="Wingdings"/>
      </w:rPr>
    </w:lvl>
    <w:lvl w:ilvl="3" w:tplc="065C405A">
      <w:start w:val="1"/>
      <w:numFmt w:val="bullet"/>
      <w:lvlText w:val=""/>
      <w:lvlJc w:val="left"/>
      <w:pPr>
        <w:tabs>
          <w:tab w:val="num" w:pos="2880"/>
        </w:tabs>
        <w:ind w:left="2880" w:hanging="360"/>
      </w:pPr>
      <w:rPr>
        <w:rFonts w:ascii="Symbol" w:hAnsi="Symbol"/>
      </w:rPr>
    </w:lvl>
    <w:lvl w:ilvl="4" w:tplc="4EC079CA">
      <w:start w:val="1"/>
      <w:numFmt w:val="bullet"/>
      <w:lvlText w:val="o"/>
      <w:lvlJc w:val="left"/>
      <w:pPr>
        <w:tabs>
          <w:tab w:val="num" w:pos="3600"/>
        </w:tabs>
        <w:ind w:left="3600" w:hanging="360"/>
      </w:pPr>
      <w:rPr>
        <w:rFonts w:ascii="Courier New" w:hAnsi="Courier New"/>
      </w:rPr>
    </w:lvl>
    <w:lvl w:ilvl="5" w:tplc="9DB25016">
      <w:start w:val="1"/>
      <w:numFmt w:val="bullet"/>
      <w:lvlText w:val=""/>
      <w:lvlJc w:val="left"/>
      <w:pPr>
        <w:tabs>
          <w:tab w:val="num" w:pos="4320"/>
        </w:tabs>
        <w:ind w:left="4320" w:hanging="360"/>
      </w:pPr>
      <w:rPr>
        <w:rFonts w:ascii="Wingdings" w:hAnsi="Wingdings"/>
      </w:rPr>
    </w:lvl>
    <w:lvl w:ilvl="6" w:tplc="C3A8BFC4">
      <w:start w:val="1"/>
      <w:numFmt w:val="bullet"/>
      <w:lvlText w:val=""/>
      <w:lvlJc w:val="left"/>
      <w:pPr>
        <w:tabs>
          <w:tab w:val="num" w:pos="5040"/>
        </w:tabs>
        <w:ind w:left="5040" w:hanging="360"/>
      </w:pPr>
      <w:rPr>
        <w:rFonts w:ascii="Symbol" w:hAnsi="Symbol"/>
      </w:rPr>
    </w:lvl>
    <w:lvl w:ilvl="7" w:tplc="59882806">
      <w:start w:val="1"/>
      <w:numFmt w:val="bullet"/>
      <w:lvlText w:val="o"/>
      <w:lvlJc w:val="left"/>
      <w:pPr>
        <w:tabs>
          <w:tab w:val="num" w:pos="5760"/>
        </w:tabs>
        <w:ind w:left="5760" w:hanging="360"/>
      </w:pPr>
      <w:rPr>
        <w:rFonts w:ascii="Courier New" w:hAnsi="Courier New"/>
      </w:rPr>
    </w:lvl>
    <w:lvl w:ilvl="8" w:tplc="C1FC8E80">
      <w:start w:val="1"/>
      <w:numFmt w:val="bullet"/>
      <w:lvlText w:val=""/>
      <w:lvlJc w:val="left"/>
      <w:pPr>
        <w:tabs>
          <w:tab w:val="num" w:pos="6480"/>
        </w:tabs>
        <w:ind w:left="6480" w:hanging="360"/>
      </w:pPr>
      <w:rPr>
        <w:rFonts w:ascii="Wingdings" w:hAnsi="Wingdings"/>
      </w:rPr>
    </w:lvl>
  </w:abstractNum>
  <w:abstractNum w:abstractNumId="709" w15:restartNumberingAfterBreak="0">
    <w:nsid w:val="72230787"/>
    <w:multiLevelType w:val="hybridMultilevel"/>
    <w:tmpl w:val="72230787"/>
    <w:lvl w:ilvl="0" w:tplc="A5A41B66">
      <w:start w:val="1"/>
      <w:numFmt w:val="bullet"/>
      <w:lvlText w:val=""/>
      <w:lvlJc w:val="left"/>
      <w:pPr>
        <w:ind w:left="720" w:hanging="360"/>
      </w:pPr>
      <w:rPr>
        <w:rFonts w:ascii="Symbol" w:hAnsi="Symbol"/>
      </w:rPr>
    </w:lvl>
    <w:lvl w:ilvl="1" w:tplc="67FC9B18">
      <w:start w:val="1"/>
      <w:numFmt w:val="bullet"/>
      <w:lvlText w:val="o"/>
      <w:lvlJc w:val="left"/>
      <w:pPr>
        <w:tabs>
          <w:tab w:val="num" w:pos="1440"/>
        </w:tabs>
        <w:ind w:left="1440" w:hanging="360"/>
      </w:pPr>
      <w:rPr>
        <w:rFonts w:ascii="Courier New" w:hAnsi="Courier New"/>
      </w:rPr>
    </w:lvl>
    <w:lvl w:ilvl="2" w:tplc="871CC282">
      <w:start w:val="1"/>
      <w:numFmt w:val="bullet"/>
      <w:lvlText w:val=""/>
      <w:lvlJc w:val="left"/>
      <w:pPr>
        <w:tabs>
          <w:tab w:val="num" w:pos="2160"/>
        </w:tabs>
        <w:ind w:left="2160" w:hanging="360"/>
      </w:pPr>
      <w:rPr>
        <w:rFonts w:ascii="Wingdings" w:hAnsi="Wingdings"/>
      </w:rPr>
    </w:lvl>
    <w:lvl w:ilvl="3" w:tplc="9BD499B6">
      <w:start w:val="1"/>
      <w:numFmt w:val="bullet"/>
      <w:lvlText w:val=""/>
      <w:lvlJc w:val="left"/>
      <w:pPr>
        <w:tabs>
          <w:tab w:val="num" w:pos="2880"/>
        </w:tabs>
        <w:ind w:left="2880" w:hanging="360"/>
      </w:pPr>
      <w:rPr>
        <w:rFonts w:ascii="Symbol" w:hAnsi="Symbol"/>
      </w:rPr>
    </w:lvl>
    <w:lvl w:ilvl="4" w:tplc="66BCBD04">
      <w:start w:val="1"/>
      <w:numFmt w:val="bullet"/>
      <w:lvlText w:val="o"/>
      <w:lvlJc w:val="left"/>
      <w:pPr>
        <w:tabs>
          <w:tab w:val="num" w:pos="3600"/>
        </w:tabs>
        <w:ind w:left="3600" w:hanging="360"/>
      </w:pPr>
      <w:rPr>
        <w:rFonts w:ascii="Courier New" w:hAnsi="Courier New"/>
      </w:rPr>
    </w:lvl>
    <w:lvl w:ilvl="5" w:tplc="ED1E4CEE">
      <w:start w:val="1"/>
      <w:numFmt w:val="bullet"/>
      <w:lvlText w:val=""/>
      <w:lvlJc w:val="left"/>
      <w:pPr>
        <w:tabs>
          <w:tab w:val="num" w:pos="4320"/>
        </w:tabs>
        <w:ind w:left="4320" w:hanging="360"/>
      </w:pPr>
      <w:rPr>
        <w:rFonts w:ascii="Wingdings" w:hAnsi="Wingdings"/>
      </w:rPr>
    </w:lvl>
    <w:lvl w:ilvl="6" w:tplc="CBC247B0">
      <w:start w:val="1"/>
      <w:numFmt w:val="bullet"/>
      <w:lvlText w:val=""/>
      <w:lvlJc w:val="left"/>
      <w:pPr>
        <w:tabs>
          <w:tab w:val="num" w:pos="5040"/>
        </w:tabs>
        <w:ind w:left="5040" w:hanging="360"/>
      </w:pPr>
      <w:rPr>
        <w:rFonts w:ascii="Symbol" w:hAnsi="Symbol"/>
      </w:rPr>
    </w:lvl>
    <w:lvl w:ilvl="7" w:tplc="87DEB388">
      <w:start w:val="1"/>
      <w:numFmt w:val="bullet"/>
      <w:lvlText w:val="o"/>
      <w:lvlJc w:val="left"/>
      <w:pPr>
        <w:tabs>
          <w:tab w:val="num" w:pos="5760"/>
        </w:tabs>
        <w:ind w:left="5760" w:hanging="360"/>
      </w:pPr>
      <w:rPr>
        <w:rFonts w:ascii="Courier New" w:hAnsi="Courier New"/>
      </w:rPr>
    </w:lvl>
    <w:lvl w:ilvl="8" w:tplc="E27C7512">
      <w:start w:val="1"/>
      <w:numFmt w:val="bullet"/>
      <w:lvlText w:val=""/>
      <w:lvlJc w:val="left"/>
      <w:pPr>
        <w:tabs>
          <w:tab w:val="num" w:pos="6480"/>
        </w:tabs>
        <w:ind w:left="6480" w:hanging="360"/>
      </w:pPr>
      <w:rPr>
        <w:rFonts w:ascii="Wingdings" w:hAnsi="Wingdings"/>
      </w:rPr>
    </w:lvl>
  </w:abstractNum>
  <w:abstractNum w:abstractNumId="710" w15:restartNumberingAfterBreak="0">
    <w:nsid w:val="72230788"/>
    <w:multiLevelType w:val="hybridMultilevel"/>
    <w:tmpl w:val="72230788"/>
    <w:lvl w:ilvl="0" w:tplc="E4F8B562">
      <w:start w:val="1"/>
      <w:numFmt w:val="bullet"/>
      <w:lvlText w:val="o"/>
      <w:lvlJc w:val="left"/>
      <w:pPr>
        <w:ind w:left="720" w:hanging="360"/>
      </w:pPr>
      <w:rPr>
        <w:rFonts w:ascii="Courier New" w:hAnsi="Courier New"/>
      </w:rPr>
    </w:lvl>
    <w:lvl w:ilvl="1" w:tplc="00EA8294">
      <w:start w:val="1"/>
      <w:numFmt w:val="bullet"/>
      <w:lvlText w:val="o"/>
      <w:lvlJc w:val="left"/>
      <w:pPr>
        <w:tabs>
          <w:tab w:val="num" w:pos="1440"/>
        </w:tabs>
        <w:ind w:left="1440" w:hanging="360"/>
      </w:pPr>
      <w:rPr>
        <w:rFonts w:ascii="Courier New" w:hAnsi="Courier New"/>
      </w:rPr>
    </w:lvl>
    <w:lvl w:ilvl="2" w:tplc="E74A8948">
      <w:start w:val="1"/>
      <w:numFmt w:val="bullet"/>
      <w:lvlText w:val=""/>
      <w:lvlJc w:val="left"/>
      <w:pPr>
        <w:tabs>
          <w:tab w:val="num" w:pos="2160"/>
        </w:tabs>
        <w:ind w:left="2160" w:hanging="360"/>
      </w:pPr>
      <w:rPr>
        <w:rFonts w:ascii="Wingdings" w:hAnsi="Wingdings"/>
      </w:rPr>
    </w:lvl>
    <w:lvl w:ilvl="3" w:tplc="329016B4">
      <w:start w:val="1"/>
      <w:numFmt w:val="bullet"/>
      <w:lvlText w:val=""/>
      <w:lvlJc w:val="left"/>
      <w:pPr>
        <w:tabs>
          <w:tab w:val="num" w:pos="2880"/>
        </w:tabs>
        <w:ind w:left="2880" w:hanging="360"/>
      </w:pPr>
      <w:rPr>
        <w:rFonts w:ascii="Symbol" w:hAnsi="Symbol"/>
      </w:rPr>
    </w:lvl>
    <w:lvl w:ilvl="4" w:tplc="75AE0196">
      <w:start w:val="1"/>
      <w:numFmt w:val="bullet"/>
      <w:lvlText w:val="o"/>
      <w:lvlJc w:val="left"/>
      <w:pPr>
        <w:tabs>
          <w:tab w:val="num" w:pos="3600"/>
        </w:tabs>
        <w:ind w:left="3600" w:hanging="360"/>
      </w:pPr>
      <w:rPr>
        <w:rFonts w:ascii="Courier New" w:hAnsi="Courier New"/>
      </w:rPr>
    </w:lvl>
    <w:lvl w:ilvl="5" w:tplc="2E06EC78">
      <w:start w:val="1"/>
      <w:numFmt w:val="bullet"/>
      <w:lvlText w:val=""/>
      <w:lvlJc w:val="left"/>
      <w:pPr>
        <w:tabs>
          <w:tab w:val="num" w:pos="4320"/>
        </w:tabs>
        <w:ind w:left="4320" w:hanging="360"/>
      </w:pPr>
      <w:rPr>
        <w:rFonts w:ascii="Wingdings" w:hAnsi="Wingdings"/>
      </w:rPr>
    </w:lvl>
    <w:lvl w:ilvl="6" w:tplc="5A68E1AE">
      <w:start w:val="1"/>
      <w:numFmt w:val="bullet"/>
      <w:lvlText w:val=""/>
      <w:lvlJc w:val="left"/>
      <w:pPr>
        <w:tabs>
          <w:tab w:val="num" w:pos="5040"/>
        </w:tabs>
        <w:ind w:left="5040" w:hanging="360"/>
      </w:pPr>
      <w:rPr>
        <w:rFonts w:ascii="Symbol" w:hAnsi="Symbol"/>
      </w:rPr>
    </w:lvl>
    <w:lvl w:ilvl="7" w:tplc="62D4B524">
      <w:start w:val="1"/>
      <w:numFmt w:val="bullet"/>
      <w:lvlText w:val="o"/>
      <w:lvlJc w:val="left"/>
      <w:pPr>
        <w:tabs>
          <w:tab w:val="num" w:pos="5760"/>
        </w:tabs>
        <w:ind w:left="5760" w:hanging="360"/>
      </w:pPr>
      <w:rPr>
        <w:rFonts w:ascii="Courier New" w:hAnsi="Courier New"/>
      </w:rPr>
    </w:lvl>
    <w:lvl w:ilvl="8" w:tplc="AB42AA8A">
      <w:start w:val="1"/>
      <w:numFmt w:val="bullet"/>
      <w:lvlText w:val=""/>
      <w:lvlJc w:val="left"/>
      <w:pPr>
        <w:tabs>
          <w:tab w:val="num" w:pos="6480"/>
        </w:tabs>
        <w:ind w:left="6480" w:hanging="360"/>
      </w:pPr>
      <w:rPr>
        <w:rFonts w:ascii="Wingdings" w:hAnsi="Wingdings"/>
      </w:rPr>
    </w:lvl>
  </w:abstractNum>
  <w:abstractNum w:abstractNumId="711" w15:restartNumberingAfterBreak="0">
    <w:nsid w:val="72230789"/>
    <w:multiLevelType w:val="hybridMultilevel"/>
    <w:tmpl w:val="72230789"/>
    <w:lvl w:ilvl="0" w:tplc="FC583EAC">
      <w:start w:val="1"/>
      <w:numFmt w:val="bullet"/>
      <w:lvlText w:val=""/>
      <w:lvlJc w:val="left"/>
      <w:pPr>
        <w:ind w:left="720" w:hanging="360"/>
      </w:pPr>
      <w:rPr>
        <w:rFonts w:ascii="Symbol" w:hAnsi="Symbol"/>
      </w:rPr>
    </w:lvl>
    <w:lvl w:ilvl="1" w:tplc="D6FABDD2">
      <w:start w:val="1"/>
      <w:numFmt w:val="bullet"/>
      <w:lvlText w:val="o"/>
      <w:lvlJc w:val="left"/>
      <w:pPr>
        <w:tabs>
          <w:tab w:val="num" w:pos="1440"/>
        </w:tabs>
        <w:ind w:left="1440" w:hanging="360"/>
      </w:pPr>
      <w:rPr>
        <w:rFonts w:ascii="Courier New" w:hAnsi="Courier New"/>
      </w:rPr>
    </w:lvl>
    <w:lvl w:ilvl="2" w:tplc="947E54DA">
      <w:start w:val="1"/>
      <w:numFmt w:val="bullet"/>
      <w:lvlText w:val=""/>
      <w:lvlJc w:val="left"/>
      <w:pPr>
        <w:tabs>
          <w:tab w:val="num" w:pos="2160"/>
        </w:tabs>
        <w:ind w:left="2160" w:hanging="360"/>
      </w:pPr>
      <w:rPr>
        <w:rFonts w:ascii="Wingdings" w:hAnsi="Wingdings"/>
      </w:rPr>
    </w:lvl>
    <w:lvl w:ilvl="3" w:tplc="A8F64F80">
      <w:start w:val="1"/>
      <w:numFmt w:val="bullet"/>
      <w:lvlText w:val=""/>
      <w:lvlJc w:val="left"/>
      <w:pPr>
        <w:tabs>
          <w:tab w:val="num" w:pos="2880"/>
        </w:tabs>
        <w:ind w:left="2880" w:hanging="360"/>
      </w:pPr>
      <w:rPr>
        <w:rFonts w:ascii="Symbol" w:hAnsi="Symbol"/>
      </w:rPr>
    </w:lvl>
    <w:lvl w:ilvl="4" w:tplc="3238D868">
      <w:start w:val="1"/>
      <w:numFmt w:val="bullet"/>
      <w:lvlText w:val="o"/>
      <w:lvlJc w:val="left"/>
      <w:pPr>
        <w:tabs>
          <w:tab w:val="num" w:pos="3600"/>
        </w:tabs>
        <w:ind w:left="3600" w:hanging="360"/>
      </w:pPr>
      <w:rPr>
        <w:rFonts w:ascii="Courier New" w:hAnsi="Courier New"/>
      </w:rPr>
    </w:lvl>
    <w:lvl w:ilvl="5" w:tplc="9FC4920E">
      <w:start w:val="1"/>
      <w:numFmt w:val="bullet"/>
      <w:lvlText w:val=""/>
      <w:lvlJc w:val="left"/>
      <w:pPr>
        <w:tabs>
          <w:tab w:val="num" w:pos="4320"/>
        </w:tabs>
        <w:ind w:left="4320" w:hanging="360"/>
      </w:pPr>
      <w:rPr>
        <w:rFonts w:ascii="Wingdings" w:hAnsi="Wingdings"/>
      </w:rPr>
    </w:lvl>
    <w:lvl w:ilvl="6" w:tplc="B01C997C">
      <w:start w:val="1"/>
      <w:numFmt w:val="bullet"/>
      <w:lvlText w:val=""/>
      <w:lvlJc w:val="left"/>
      <w:pPr>
        <w:tabs>
          <w:tab w:val="num" w:pos="5040"/>
        </w:tabs>
        <w:ind w:left="5040" w:hanging="360"/>
      </w:pPr>
      <w:rPr>
        <w:rFonts w:ascii="Symbol" w:hAnsi="Symbol"/>
      </w:rPr>
    </w:lvl>
    <w:lvl w:ilvl="7" w:tplc="B44C6446">
      <w:start w:val="1"/>
      <w:numFmt w:val="bullet"/>
      <w:lvlText w:val="o"/>
      <w:lvlJc w:val="left"/>
      <w:pPr>
        <w:tabs>
          <w:tab w:val="num" w:pos="5760"/>
        </w:tabs>
        <w:ind w:left="5760" w:hanging="360"/>
      </w:pPr>
      <w:rPr>
        <w:rFonts w:ascii="Courier New" w:hAnsi="Courier New"/>
      </w:rPr>
    </w:lvl>
    <w:lvl w:ilvl="8" w:tplc="3FECAEAA">
      <w:start w:val="1"/>
      <w:numFmt w:val="bullet"/>
      <w:lvlText w:val=""/>
      <w:lvlJc w:val="left"/>
      <w:pPr>
        <w:tabs>
          <w:tab w:val="num" w:pos="6480"/>
        </w:tabs>
        <w:ind w:left="6480" w:hanging="360"/>
      </w:pPr>
      <w:rPr>
        <w:rFonts w:ascii="Wingdings" w:hAnsi="Wingdings"/>
      </w:rPr>
    </w:lvl>
  </w:abstractNum>
  <w:abstractNum w:abstractNumId="712" w15:restartNumberingAfterBreak="0">
    <w:nsid w:val="7223078A"/>
    <w:multiLevelType w:val="hybridMultilevel"/>
    <w:tmpl w:val="7223078A"/>
    <w:lvl w:ilvl="0" w:tplc="66FAEBA6">
      <w:start w:val="1"/>
      <w:numFmt w:val="bullet"/>
      <w:lvlText w:val=""/>
      <w:lvlJc w:val="left"/>
      <w:pPr>
        <w:ind w:left="720" w:hanging="360"/>
      </w:pPr>
      <w:rPr>
        <w:rFonts w:ascii="Symbol" w:hAnsi="Symbol"/>
      </w:rPr>
    </w:lvl>
    <w:lvl w:ilvl="1" w:tplc="DDEA14C2">
      <w:start w:val="1"/>
      <w:numFmt w:val="bullet"/>
      <w:lvlText w:val="o"/>
      <w:lvlJc w:val="left"/>
      <w:pPr>
        <w:tabs>
          <w:tab w:val="num" w:pos="1440"/>
        </w:tabs>
        <w:ind w:left="1440" w:hanging="360"/>
      </w:pPr>
      <w:rPr>
        <w:rFonts w:ascii="Courier New" w:hAnsi="Courier New"/>
      </w:rPr>
    </w:lvl>
    <w:lvl w:ilvl="2" w:tplc="956825A8">
      <w:start w:val="1"/>
      <w:numFmt w:val="bullet"/>
      <w:lvlText w:val=""/>
      <w:lvlJc w:val="left"/>
      <w:pPr>
        <w:tabs>
          <w:tab w:val="num" w:pos="2160"/>
        </w:tabs>
        <w:ind w:left="2160" w:hanging="360"/>
      </w:pPr>
      <w:rPr>
        <w:rFonts w:ascii="Wingdings" w:hAnsi="Wingdings"/>
      </w:rPr>
    </w:lvl>
    <w:lvl w:ilvl="3" w:tplc="F77E29E6">
      <w:start w:val="1"/>
      <w:numFmt w:val="bullet"/>
      <w:lvlText w:val=""/>
      <w:lvlJc w:val="left"/>
      <w:pPr>
        <w:tabs>
          <w:tab w:val="num" w:pos="2880"/>
        </w:tabs>
        <w:ind w:left="2880" w:hanging="360"/>
      </w:pPr>
      <w:rPr>
        <w:rFonts w:ascii="Symbol" w:hAnsi="Symbol"/>
      </w:rPr>
    </w:lvl>
    <w:lvl w:ilvl="4" w:tplc="E33AE94A">
      <w:start w:val="1"/>
      <w:numFmt w:val="bullet"/>
      <w:lvlText w:val="o"/>
      <w:lvlJc w:val="left"/>
      <w:pPr>
        <w:tabs>
          <w:tab w:val="num" w:pos="3600"/>
        </w:tabs>
        <w:ind w:left="3600" w:hanging="360"/>
      </w:pPr>
      <w:rPr>
        <w:rFonts w:ascii="Courier New" w:hAnsi="Courier New"/>
      </w:rPr>
    </w:lvl>
    <w:lvl w:ilvl="5" w:tplc="5538D812">
      <w:start w:val="1"/>
      <w:numFmt w:val="bullet"/>
      <w:lvlText w:val=""/>
      <w:lvlJc w:val="left"/>
      <w:pPr>
        <w:tabs>
          <w:tab w:val="num" w:pos="4320"/>
        </w:tabs>
        <w:ind w:left="4320" w:hanging="360"/>
      </w:pPr>
      <w:rPr>
        <w:rFonts w:ascii="Wingdings" w:hAnsi="Wingdings"/>
      </w:rPr>
    </w:lvl>
    <w:lvl w:ilvl="6" w:tplc="CEDED5AC">
      <w:start w:val="1"/>
      <w:numFmt w:val="bullet"/>
      <w:lvlText w:val=""/>
      <w:lvlJc w:val="left"/>
      <w:pPr>
        <w:tabs>
          <w:tab w:val="num" w:pos="5040"/>
        </w:tabs>
        <w:ind w:left="5040" w:hanging="360"/>
      </w:pPr>
      <w:rPr>
        <w:rFonts w:ascii="Symbol" w:hAnsi="Symbol"/>
      </w:rPr>
    </w:lvl>
    <w:lvl w:ilvl="7" w:tplc="B8227286">
      <w:start w:val="1"/>
      <w:numFmt w:val="bullet"/>
      <w:lvlText w:val="o"/>
      <w:lvlJc w:val="left"/>
      <w:pPr>
        <w:tabs>
          <w:tab w:val="num" w:pos="5760"/>
        </w:tabs>
        <w:ind w:left="5760" w:hanging="360"/>
      </w:pPr>
      <w:rPr>
        <w:rFonts w:ascii="Courier New" w:hAnsi="Courier New"/>
      </w:rPr>
    </w:lvl>
    <w:lvl w:ilvl="8" w:tplc="EDA8E128">
      <w:start w:val="1"/>
      <w:numFmt w:val="bullet"/>
      <w:lvlText w:val=""/>
      <w:lvlJc w:val="left"/>
      <w:pPr>
        <w:tabs>
          <w:tab w:val="num" w:pos="6480"/>
        </w:tabs>
        <w:ind w:left="6480" w:hanging="360"/>
      </w:pPr>
      <w:rPr>
        <w:rFonts w:ascii="Wingdings" w:hAnsi="Wingdings"/>
      </w:rPr>
    </w:lvl>
  </w:abstractNum>
  <w:abstractNum w:abstractNumId="713" w15:restartNumberingAfterBreak="0">
    <w:nsid w:val="7223078B"/>
    <w:multiLevelType w:val="hybridMultilevel"/>
    <w:tmpl w:val="7223078B"/>
    <w:lvl w:ilvl="0" w:tplc="F0C8AD04">
      <w:start w:val="1"/>
      <w:numFmt w:val="bullet"/>
      <w:lvlText w:val=""/>
      <w:lvlJc w:val="left"/>
      <w:pPr>
        <w:ind w:left="720" w:hanging="360"/>
      </w:pPr>
      <w:rPr>
        <w:rFonts w:ascii="Symbol" w:hAnsi="Symbol"/>
      </w:rPr>
    </w:lvl>
    <w:lvl w:ilvl="1" w:tplc="13D4012E">
      <w:start w:val="1"/>
      <w:numFmt w:val="bullet"/>
      <w:lvlText w:val="o"/>
      <w:lvlJc w:val="left"/>
      <w:pPr>
        <w:tabs>
          <w:tab w:val="num" w:pos="1440"/>
        </w:tabs>
        <w:ind w:left="1440" w:hanging="360"/>
      </w:pPr>
      <w:rPr>
        <w:rFonts w:ascii="Courier New" w:hAnsi="Courier New"/>
      </w:rPr>
    </w:lvl>
    <w:lvl w:ilvl="2" w:tplc="8CB4685A">
      <w:start w:val="1"/>
      <w:numFmt w:val="bullet"/>
      <w:lvlText w:val=""/>
      <w:lvlJc w:val="left"/>
      <w:pPr>
        <w:tabs>
          <w:tab w:val="num" w:pos="2160"/>
        </w:tabs>
        <w:ind w:left="2160" w:hanging="360"/>
      </w:pPr>
      <w:rPr>
        <w:rFonts w:ascii="Wingdings" w:hAnsi="Wingdings"/>
      </w:rPr>
    </w:lvl>
    <w:lvl w:ilvl="3" w:tplc="C4A0BFA0">
      <w:start w:val="1"/>
      <w:numFmt w:val="bullet"/>
      <w:lvlText w:val=""/>
      <w:lvlJc w:val="left"/>
      <w:pPr>
        <w:tabs>
          <w:tab w:val="num" w:pos="2880"/>
        </w:tabs>
        <w:ind w:left="2880" w:hanging="360"/>
      </w:pPr>
      <w:rPr>
        <w:rFonts w:ascii="Symbol" w:hAnsi="Symbol"/>
      </w:rPr>
    </w:lvl>
    <w:lvl w:ilvl="4" w:tplc="F51CDBB4">
      <w:start w:val="1"/>
      <w:numFmt w:val="bullet"/>
      <w:lvlText w:val="o"/>
      <w:lvlJc w:val="left"/>
      <w:pPr>
        <w:tabs>
          <w:tab w:val="num" w:pos="3600"/>
        </w:tabs>
        <w:ind w:left="3600" w:hanging="360"/>
      </w:pPr>
      <w:rPr>
        <w:rFonts w:ascii="Courier New" w:hAnsi="Courier New"/>
      </w:rPr>
    </w:lvl>
    <w:lvl w:ilvl="5" w:tplc="1820C88E">
      <w:start w:val="1"/>
      <w:numFmt w:val="bullet"/>
      <w:lvlText w:val=""/>
      <w:lvlJc w:val="left"/>
      <w:pPr>
        <w:tabs>
          <w:tab w:val="num" w:pos="4320"/>
        </w:tabs>
        <w:ind w:left="4320" w:hanging="360"/>
      </w:pPr>
      <w:rPr>
        <w:rFonts w:ascii="Wingdings" w:hAnsi="Wingdings"/>
      </w:rPr>
    </w:lvl>
    <w:lvl w:ilvl="6" w:tplc="A6F8FC16">
      <w:start w:val="1"/>
      <w:numFmt w:val="bullet"/>
      <w:lvlText w:val=""/>
      <w:lvlJc w:val="left"/>
      <w:pPr>
        <w:tabs>
          <w:tab w:val="num" w:pos="5040"/>
        </w:tabs>
        <w:ind w:left="5040" w:hanging="360"/>
      </w:pPr>
      <w:rPr>
        <w:rFonts w:ascii="Symbol" w:hAnsi="Symbol"/>
      </w:rPr>
    </w:lvl>
    <w:lvl w:ilvl="7" w:tplc="A4D878FE">
      <w:start w:val="1"/>
      <w:numFmt w:val="bullet"/>
      <w:lvlText w:val="o"/>
      <w:lvlJc w:val="left"/>
      <w:pPr>
        <w:tabs>
          <w:tab w:val="num" w:pos="5760"/>
        </w:tabs>
        <w:ind w:left="5760" w:hanging="360"/>
      </w:pPr>
      <w:rPr>
        <w:rFonts w:ascii="Courier New" w:hAnsi="Courier New"/>
      </w:rPr>
    </w:lvl>
    <w:lvl w:ilvl="8" w:tplc="0E38E198">
      <w:start w:val="1"/>
      <w:numFmt w:val="bullet"/>
      <w:lvlText w:val=""/>
      <w:lvlJc w:val="left"/>
      <w:pPr>
        <w:tabs>
          <w:tab w:val="num" w:pos="6480"/>
        </w:tabs>
        <w:ind w:left="6480" w:hanging="360"/>
      </w:pPr>
      <w:rPr>
        <w:rFonts w:ascii="Wingdings" w:hAnsi="Wingdings"/>
      </w:rPr>
    </w:lvl>
  </w:abstractNum>
  <w:abstractNum w:abstractNumId="714" w15:restartNumberingAfterBreak="0">
    <w:nsid w:val="7223078C"/>
    <w:multiLevelType w:val="hybridMultilevel"/>
    <w:tmpl w:val="7223078C"/>
    <w:lvl w:ilvl="0" w:tplc="08483434">
      <w:start w:val="1"/>
      <w:numFmt w:val="bullet"/>
      <w:lvlText w:val=""/>
      <w:lvlJc w:val="left"/>
      <w:pPr>
        <w:ind w:left="720" w:hanging="360"/>
      </w:pPr>
      <w:rPr>
        <w:rFonts w:ascii="Symbol" w:hAnsi="Symbol"/>
      </w:rPr>
    </w:lvl>
    <w:lvl w:ilvl="1" w:tplc="1526CC56">
      <w:start w:val="1"/>
      <w:numFmt w:val="bullet"/>
      <w:lvlText w:val="o"/>
      <w:lvlJc w:val="left"/>
      <w:pPr>
        <w:tabs>
          <w:tab w:val="num" w:pos="1440"/>
        </w:tabs>
        <w:ind w:left="1440" w:hanging="360"/>
      </w:pPr>
      <w:rPr>
        <w:rFonts w:ascii="Courier New" w:hAnsi="Courier New"/>
      </w:rPr>
    </w:lvl>
    <w:lvl w:ilvl="2" w:tplc="A37C7A8E">
      <w:start w:val="1"/>
      <w:numFmt w:val="bullet"/>
      <w:lvlText w:val=""/>
      <w:lvlJc w:val="left"/>
      <w:pPr>
        <w:tabs>
          <w:tab w:val="num" w:pos="2160"/>
        </w:tabs>
        <w:ind w:left="2160" w:hanging="360"/>
      </w:pPr>
      <w:rPr>
        <w:rFonts w:ascii="Wingdings" w:hAnsi="Wingdings"/>
      </w:rPr>
    </w:lvl>
    <w:lvl w:ilvl="3" w:tplc="185CC5F6">
      <w:start w:val="1"/>
      <w:numFmt w:val="bullet"/>
      <w:lvlText w:val=""/>
      <w:lvlJc w:val="left"/>
      <w:pPr>
        <w:tabs>
          <w:tab w:val="num" w:pos="2880"/>
        </w:tabs>
        <w:ind w:left="2880" w:hanging="360"/>
      </w:pPr>
      <w:rPr>
        <w:rFonts w:ascii="Symbol" w:hAnsi="Symbol"/>
      </w:rPr>
    </w:lvl>
    <w:lvl w:ilvl="4" w:tplc="EDB26180">
      <w:start w:val="1"/>
      <w:numFmt w:val="bullet"/>
      <w:lvlText w:val="o"/>
      <w:lvlJc w:val="left"/>
      <w:pPr>
        <w:tabs>
          <w:tab w:val="num" w:pos="3600"/>
        </w:tabs>
        <w:ind w:left="3600" w:hanging="360"/>
      </w:pPr>
      <w:rPr>
        <w:rFonts w:ascii="Courier New" w:hAnsi="Courier New"/>
      </w:rPr>
    </w:lvl>
    <w:lvl w:ilvl="5" w:tplc="FD4853DE">
      <w:start w:val="1"/>
      <w:numFmt w:val="bullet"/>
      <w:lvlText w:val=""/>
      <w:lvlJc w:val="left"/>
      <w:pPr>
        <w:tabs>
          <w:tab w:val="num" w:pos="4320"/>
        </w:tabs>
        <w:ind w:left="4320" w:hanging="360"/>
      </w:pPr>
      <w:rPr>
        <w:rFonts w:ascii="Wingdings" w:hAnsi="Wingdings"/>
      </w:rPr>
    </w:lvl>
    <w:lvl w:ilvl="6" w:tplc="E786816E">
      <w:start w:val="1"/>
      <w:numFmt w:val="bullet"/>
      <w:lvlText w:val=""/>
      <w:lvlJc w:val="left"/>
      <w:pPr>
        <w:tabs>
          <w:tab w:val="num" w:pos="5040"/>
        </w:tabs>
        <w:ind w:left="5040" w:hanging="360"/>
      </w:pPr>
      <w:rPr>
        <w:rFonts w:ascii="Symbol" w:hAnsi="Symbol"/>
      </w:rPr>
    </w:lvl>
    <w:lvl w:ilvl="7" w:tplc="DF5ECB78">
      <w:start w:val="1"/>
      <w:numFmt w:val="bullet"/>
      <w:lvlText w:val="o"/>
      <w:lvlJc w:val="left"/>
      <w:pPr>
        <w:tabs>
          <w:tab w:val="num" w:pos="5760"/>
        </w:tabs>
        <w:ind w:left="5760" w:hanging="360"/>
      </w:pPr>
      <w:rPr>
        <w:rFonts w:ascii="Courier New" w:hAnsi="Courier New"/>
      </w:rPr>
    </w:lvl>
    <w:lvl w:ilvl="8" w:tplc="2F08C988">
      <w:start w:val="1"/>
      <w:numFmt w:val="bullet"/>
      <w:lvlText w:val=""/>
      <w:lvlJc w:val="left"/>
      <w:pPr>
        <w:tabs>
          <w:tab w:val="num" w:pos="6480"/>
        </w:tabs>
        <w:ind w:left="6480" w:hanging="360"/>
      </w:pPr>
      <w:rPr>
        <w:rFonts w:ascii="Wingdings" w:hAnsi="Wingdings"/>
      </w:rPr>
    </w:lvl>
  </w:abstractNum>
  <w:abstractNum w:abstractNumId="715" w15:restartNumberingAfterBreak="0">
    <w:nsid w:val="7223078D"/>
    <w:multiLevelType w:val="hybridMultilevel"/>
    <w:tmpl w:val="7223078D"/>
    <w:lvl w:ilvl="0" w:tplc="742EAD64">
      <w:start w:val="1"/>
      <w:numFmt w:val="bullet"/>
      <w:lvlText w:val=""/>
      <w:lvlJc w:val="left"/>
      <w:pPr>
        <w:ind w:left="720" w:hanging="360"/>
      </w:pPr>
      <w:rPr>
        <w:rFonts w:ascii="Symbol" w:hAnsi="Symbol"/>
      </w:rPr>
    </w:lvl>
    <w:lvl w:ilvl="1" w:tplc="579A47BE">
      <w:start w:val="1"/>
      <w:numFmt w:val="bullet"/>
      <w:lvlText w:val="o"/>
      <w:lvlJc w:val="left"/>
      <w:pPr>
        <w:tabs>
          <w:tab w:val="num" w:pos="1440"/>
        </w:tabs>
        <w:ind w:left="1440" w:hanging="360"/>
      </w:pPr>
      <w:rPr>
        <w:rFonts w:ascii="Courier New" w:hAnsi="Courier New"/>
      </w:rPr>
    </w:lvl>
    <w:lvl w:ilvl="2" w:tplc="D548A93E">
      <w:start w:val="1"/>
      <w:numFmt w:val="bullet"/>
      <w:lvlText w:val=""/>
      <w:lvlJc w:val="left"/>
      <w:pPr>
        <w:tabs>
          <w:tab w:val="num" w:pos="2160"/>
        </w:tabs>
        <w:ind w:left="2160" w:hanging="360"/>
      </w:pPr>
      <w:rPr>
        <w:rFonts w:ascii="Wingdings" w:hAnsi="Wingdings"/>
      </w:rPr>
    </w:lvl>
    <w:lvl w:ilvl="3" w:tplc="387C73EE">
      <w:start w:val="1"/>
      <w:numFmt w:val="bullet"/>
      <w:lvlText w:val=""/>
      <w:lvlJc w:val="left"/>
      <w:pPr>
        <w:tabs>
          <w:tab w:val="num" w:pos="2880"/>
        </w:tabs>
        <w:ind w:left="2880" w:hanging="360"/>
      </w:pPr>
      <w:rPr>
        <w:rFonts w:ascii="Symbol" w:hAnsi="Symbol"/>
      </w:rPr>
    </w:lvl>
    <w:lvl w:ilvl="4" w:tplc="D89A15E8">
      <w:start w:val="1"/>
      <w:numFmt w:val="bullet"/>
      <w:lvlText w:val="o"/>
      <w:lvlJc w:val="left"/>
      <w:pPr>
        <w:tabs>
          <w:tab w:val="num" w:pos="3600"/>
        </w:tabs>
        <w:ind w:left="3600" w:hanging="360"/>
      </w:pPr>
      <w:rPr>
        <w:rFonts w:ascii="Courier New" w:hAnsi="Courier New"/>
      </w:rPr>
    </w:lvl>
    <w:lvl w:ilvl="5" w:tplc="A72CF6DA">
      <w:start w:val="1"/>
      <w:numFmt w:val="bullet"/>
      <w:lvlText w:val=""/>
      <w:lvlJc w:val="left"/>
      <w:pPr>
        <w:tabs>
          <w:tab w:val="num" w:pos="4320"/>
        </w:tabs>
        <w:ind w:left="4320" w:hanging="360"/>
      </w:pPr>
      <w:rPr>
        <w:rFonts w:ascii="Wingdings" w:hAnsi="Wingdings"/>
      </w:rPr>
    </w:lvl>
    <w:lvl w:ilvl="6" w:tplc="9FB43EF0">
      <w:start w:val="1"/>
      <w:numFmt w:val="bullet"/>
      <w:lvlText w:val=""/>
      <w:lvlJc w:val="left"/>
      <w:pPr>
        <w:tabs>
          <w:tab w:val="num" w:pos="5040"/>
        </w:tabs>
        <w:ind w:left="5040" w:hanging="360"/>
      </w:pPr>
      <w:rPr>
        <w:rFonts w:ascii="Symbol" w:hAnsi="Symbol"/>
      </w:rPr>
    </w:lvl>
    <w:lvl w:ilvl="7" w:tplc="F55A27D4">
      <w:start w:val="1"/>
      <w:numFmt w:val="bullet"/>
      <w:lvlText w:val="o"/>
      <w:lvlJc w:val="left"/>
      <w:pPr>
        <w:tabs>
          <w:tab w:val="num" w:pos="5760"/>
        </w:tabs>
        <w:ind w:left="5760" w:hanging="360"/>
      </w:pPr>
      <w:rPr>
        <w:rFonts w:ascii="Courier New" w:hAnsi="Courier New"/>
      </w:rPr>
    </w:lvl>
    <w:lvl w:ilvl="8" w:tplc="683060F8">
      <w:start w:val="1"/>
      <w:numFmt w:val="bullet"/>
      <w:lvlText w:val=""/>
      <w:lvlJc w:val="left"/>
      <w:pPr>
        <w:tabs>
          <w:tab w:val="num" w:pos="6480"/>
        </w:tabs>
        <w:ind w:left="6480" w:hanging="360"/>
      </w:pPr>
      <w:rPr>
        <w:rFonts w:ascii="Wingdings" w:hAnsi="Wingdings"/>
      </w:rPr>
    </w:lvl>
  </w:abstractNum>
  <w:abstractNum w:abstractNumId="716" w15:restartNumberingAfterBreak="0">
    <w:nsid w:val="7223078E"/>
    <w:multiLevelType w:val="hybridMultilevel"/>
    <w:tmpl w:val="7223078E"/>
    <w:lvl w:ilvl="0" w:tplc="29FCEDF4">
      <w:start w:val="1"/>
      <w:numFmt w:val="bullet"/>
      <w:lvlText w:val=""/>
      <w:lvlJc w:val="left"/>
      <w:pPr>
        <w:tabs>
          <w:tab w:val="num" w:pos="720"/>
        </w:tabs>
        <w:ind w:left="720" w:hanging="360"/>
      </w:pPr>
      <w:rPr>
        <w:rFonts w:ascii="Symbol" w:hAnsi="Symbol"/>
      </w:rPr>
    </w:lvl>
    <w:lvl w:ilvl="1" w:tplc="3E908A54">
      <w:start w:val="1"/>
      <w:numFmt w:val="bullet"/>
      <w:lvlText w:val="o"/>
      <w:lvlJc w:val="left"/>
      <w:pPr>
        <w:tabs>
          <w:tab w:val="num" w:pos="1440"/>
        </w:tabs>
        <w:ind w:left="1440" w:hanging="360"/>
      </w:pPr>
      <w:rPr>
        <w:rFonts w:ascii="Courier New" w:hAnsi="Courier New"/>
      </w:rPr>
    </w:lvl>
    <w:lvl w:ilvl="2" w:tplc="3DAA27FA">
      <w:start w:val="1"/>
      <w:numFmt w:val="bullet"/>
      <w:lvlText w:val=""/>
      <w:lvlJc w:val="left"/>
      <w:pPr>
        <w:tabs>
          <w:tab w:val="num" w:pos="2160"/>
        </w:tabs>
        <w:ind w:left="2160" w:hanging="360"/>
      </w:pPr>
      <w:rPr>
        <w:rFonts w:ascii="Wingdings" w:hAnsi="Wingdings"/>
      </w:rPr>
    </w:lvl>
    <w:lvl w:ilvl="3" w:tplc="182A73E6">
      <w:start w:val="1"/>
      <w:numFmt w:val="bullet"/>
      <w:lvlText w:val=""/>
      <w:lvlJc w:val="left"/>
      <w:pPr>
        <w:tabs>
          <w:tab w:val="num" w:pos="2880"/>
        </w:tabs>
        <w:ind w:left="2880" w:hanging="360"/>
      </w:pPr>
      <w:rPr>
        <w:rFonts w:ascii="Symbol" w:hAnsi="Symbol"/>
      </w:rPr>
    </w:lvl>
    <w:lvl w:ilvl="4" w:tplc="B2E8E404">
      <w:start w:val="1"/>
      <w:numFmt w:val="bullet"/>
      <w:lvlText w:val="o"/>
      <w:lvlJc w:val="left"/>
      <w:pPr>
        <w:tabs>
          <w:tab w:val="num" w:pos="3600"/>
        </w:tabs>
        <w:ind w:left="3600" w:hanging="360"/>
      </w:pPr>
      <w:rPr>
        <w:rFonts w:ascii="Courier New" w:hAnsi="Courier New"/>
      </w:rPr>
    </w:lvl>
    <w:lvl w:ilvl="5" w:tplc="1C6E2404">
      <w:start w:val="1"/>
      <w:numFmt w:val="bullet"/>
      <w:lvlText w:val=""/>
      <w:lvlJc w:val="left"/>
      <w:pPr>
        <w:tabs>
          <w:tab w:val="num" w:pos="4320"/>
        </w:tabs>
        <w:ind w:left="4320" w:hanging="360"/>
      </w:pPr>
      <w:rPr>
        <w:rFonts w:ascii="Wingdings" w:hAnsi="Wingdings"/>
      </w:rPr>
    </w:lvl>
    <w:lvl w:ilvl="6" w:tplc="FBB038B6">
      <w:start w:val="1"/>
      <w:numFmt w:val="bullet"/>
      <w:lvlText w:val=""/>
      <w:lvlJc w:val="left"/>
      <w:pPr>
        <w:tabs>
          <w:tab w:val="num" w:pos="5040"/>
        </w:tabs>
        <w:ind w:left="5040" w:hanging="360"/>
      </w:pPr>
      <w:rPr>
        <w:rFonts w:ascii="Symbol" w:hAnsi="Symbol"/>
      </w:rPr>
    </w:lvl>
    <w:lvl w:ilvl="7" w:tplc="23B658AC">
      <w:start w:val="1"/>
      <w:numFmt w:val="bullet"/>
      <w:lvlText w:val="o"/>
      <w:lvlJc w:val="left"/>
      <w:pPr>
        <w:tabs>
          <w:tab w:val="num" w:pos="5760"/>
        </w:tabs>
        <w:ind w:left="5760" w:hanging="360"/>
      </w:pPr>
      <w:rPr>
        <w:rFonts w:ascii="Courier New" w:hAnsi="Courier New"/>
      </w:rPr>
    </w:lvl>
    <w:lvl w:ilvl="8" w:tplc="42AE5B0E">
      <w:start w:val="1"/>
      <w:numFmt w:val="bullet"/>
      <w:lvlText w:val=""/>
      <w:lvlJc w:val="left"/>
      <w:pPr>
        <w:tabs>
          <w:tab w:val="num" w:pos="6480"/>
        </w:tabs>
        <w:ind w:left="6480" w:hanging="360"/>
      </w:pPr>
      <w:rPr>
        <w:rFonts w:ascii="Wingdings" w:hAnsi="Wingdings"/>
      </w:rPr>
    </w:lvl>
  </w:abstractNum>
  <w:abstractNum w:abstractNumId="717" w15:restartNumberingAfterBreak="0">
    <w:nsid w:val="7223078F"/>
    <w:multiLevelType w:val="hybridMultilevel"/>
    <w:tmpl w:val="7223078F"/>
    <w:lvl w:ilvl="0" w:tplc="00D2D7FA">
      <w:start w:val="1"/>
      <w:numFmt w:val="bullet"/>
      <w:lvlText w:val="o"/>
      <w:lvlJc w:val="left"/>
      <w:pPr>
        <w:ind w:left="720" w:hanging="360"/>
      </w:pPr>
      <w:rPr>
        <w:rFonts w:ascii="Courier New" w:hAnsi="Courier New"/>
      </w:rPr>
    </w:lvl>
    <w:lvl w:ilvl="1" w:tplc="3AAC4304">
      <w:start w:val="1"/>
      <w:numFmt w:val="bullet"/>
      <w:lvlText w:val="o"/>
      <w:lvlJc w:val="left"/>
      <w:pPr>
        <w:ind w:left="1440" w:hanging="360"/>
      </w:pPr>
      <w:rPr>
        <w:rFonts w:ascii="Courier New" w:hAnsi="Courier New"/>
      </w:rPr>
    </w:lvl>
    <w:lvl w:ilvl="2" w:tplc="3F2849DE">
      <w:start w:val="1"/>
      <w:numFmt w:val="bullet"/>
      <w:lvlText w:val=""/>
      <w:lvlJc w:val="left"/>
      <w:pPr>
        <w:tabs>
          <w:tab w:val="num" w:pos="2160"/>
        </w:tabs>
        <w:ind w:left="2160" w:hanging="360"/>
      </w:pPr>
      <w:rPr>
        <w:rFonts w:ascii="Wingdings" w:hAnsi="Wingdings"/>
      </w:rPr>
    </w:lvl>
    <w:lvl w:ilvl="3" w:tplc="35569474">
      <w:start w:val="1"/>
      <w:numFmt w:val="bullet"/>
      <w:lvlText w:val=""/>
      <w:lvlJc w:val="left"/>
      <w:pPr>
        <w:tabs>
          <w:tab w:val="num" w:pos="2880"/>
        </w:tabs>
        <w:ind w:left="2880" w:hanging="360"/>
      </w:pPr>
      <w:rPr>
        <w:rFonts w:ascii="Symbol" w:hAnsi="Symbol"/>
      </w:rPr>
    </w:lvl>
    <w:lvl w:ilvl="4" w:tplc="9BD0222C">
      <w:start w:val="1"/>
      <w:numFmt w:val="bullet"/>
      <w:lvlText w:val="o"/>
      <w:lvlJc w:val="left"/>
      <w:pPr>
        <w:tabs>
          <w:tab w:val="num" w:pos="3600"/>
        </w:tabs>
        <w:ind w:left="3600" w:hanging="360"/>
      </w:pPr>
      <w:rPr>
        <w:rFonts w:ascii="Courier New" w:hAnsi="Courier New"/>
      </w:rPr>
    </w:lvl>
    <w:lvl w:ilvl="5" w:tplc="4F40B990">
      <w:start w:val="1"/>
      <w:numFmt w:val="bullet"/>
      <w:lvlText w:val=""/>
      <w:lvlJc w:val="left"/>
      <w:pPr>
        <w:tabs>
          <w:tab w:val="num" w:pos="4320"/>
        </w:tabs>
        <w:ind w:left="4320" w:hanging="360"/>
      </w:pPr>
      <w:rPr>
        <w:rFonts w:ascii="Wingdings" w:hAnsi="Wingdings"/>
      </w:rPr>
    </w:lvl>
    <w:lvl w:ilvl="6" w:tplc="7544478A">
      <w:start w:val="1"/>
      <w:numFmt w:val="bullet"/>
      <w:lvlText w:val=""/>
      <w:lvlJc w:val="left"/>
      <w:pPr>
        <w:tabs>
          <w:tab w:val="num" w:pos="5040"/>
        </w:tabs>
        <w:ind w:left="5040" w:hanging="360"/>
      </w:pPr>
      <w:rPr>
        <w:rFonts w:ascii="Symbol" w:hAnsi="Symbol"/>
      </w:rPr>
    </w:lvl>
    <w:lvl w:ilvl="7" w:tplc="0AE685AC">
      <w:start w:val="1"/>
      <w:numFmt w:val="bullet"/>
      <w:lvlText w:val="o"/>
      <w:lvlJc w:val="left"/>
      <w:pPr>
        <w:tabs>
          <w:tab w:val="num" w:pos="5760"/>
        </w:tabs>
        <w:ind w:left="5760" w:hanging="360"/>
      </w:pPr>
      <w:rPr>
        <w:rFonts w:ascii="Courier New" w:hAnsi="Courier New"/>
      </w:rPr>
    </w:lvl>
    <w:lvl w:ilvl="8" w:tplc="BA7EED7A">
      <w:start w:val="1"/>
      <w:numFmt w:val="bullet"/>
      <w:lvlText w:val=""/>
      <w:lvlJc w:val="left"/>
      <w:pPr>
        <w:tabs>
          <w:tab w:val="num" w:pos="6480"/>
        </w:tabs>
        <w:ind w:left="6480" w:hanging="360"/>
      </w:pPr>
      <w:rPr>
        <w:rFonts w:ascii="Wingdings" w:hAnsi="Wingdings"/>
      </w:rPr>
    </w:lvl>
  </w:abstractNum>
  <w:abstractNum w:abstractNumId="718" w15:restartNumberingAfterBreak="0">
    <w:nsid w:val="72230790"/>
    <w:multiLevelType w:val="hybridMultilevel"/>
    <w:tmpl w:val="72230790"/>
    <w:lvl w:ilvl="0" w:tplc="01683412">
      <w:start w:val="1"/>
      <w:numFmt w:val="bullet"/>
      <w:lvlText w:val=""/>
      <w:lvlJc w:val="left"/>
      <w:pPr>
        <w:ind w:left="720" w:hanging="360"/>
      </w:pPr>
      <w:rPr>
        <w:rFonts w:ascii="Symbol" w:hAnsi="Symbol"/>
      </w:rPr>
    </w:lvl>
    <w:lvl w:ilvl="1" w:tplc="1E7E1C46">
      <w:start w:val="1"/>
      <w:numFmt w:val="bullet"/>
      <w:lvlText w:val="o"/>
      <w:lvlJc w:val="left"/>
      <w:pPr>
        <w:tabs>
          <w:tab w:val="num" w:pos="1440"/>
        </w:tabs>
        <w:ind w:left="1440" w:hanging="360"/>
      </w:pPr>
      <w:rPr>
        <w:rFonts w:ascii="Courier New" w:hAnsi="Courier New"/>
      </w:rPr>
    </w:lvl>
    <w:lvl w:ilvl="2" w:tplc="0D40D6D4">
      <w:start w:val="1"/>
      <w:numFmt w:val="bullet"/>
      <w:lvlText w:val=""/>
      <w:lvlJc w:val="left"/>
      <w:pPr>
        <w:tabs>
          <w:tab w:val="num" w:pos="2160"/>
        </w:tabs>
        <w:ind w:left="2160" w:hanging="360"/>
      </w:pPr>
      <w:rPr>
        <w:rFonts w:ascii="Wingdings" w:hAnsi="Wingdings"/>
      </w:rPr>
    </w:lvl>
    <w:lvl w:ilvl="3" w:tplc="032E343A">
      <w:start w:val="1"/>
      <w:numFmt w:val="bullet"/>
      <w:lvlText w:val=""/>
      <w:lvlJc w:val="left"/>
      <w:pPr>
        <w:tabs>
          <w:tab w:val="num" w:pos="2880"/>
        </w:tabs>
        <w:ind w:left="2880" w:hanging="360"/>
      </w:pPr>
      <w:rPr>
        <w:rFonts w:ascii="Symbol" w:hAnsi="Symbol"/>
      </w:rPr>
    </w:lvl>
    <w:lvl w:ilvl="4" w:tplc="1C88F934">
      <w:start w:val="1"/>
      <w:numFmt w:val="bullet"/>
      <w:lvlText w:val="o"/>
      <w:lvlJc w:val="left"/>
      <w:pPr>
        <w:tabs>
          <w:tab w:val="num" w:pos="3600"/>
        </w:tabs>
        <w:ind w:left="3600" w:hanging="360"/>
      </w:pPr>
      <w:rPr>
        <w:rFonts w:ascii="Courier New" w:hAnsi="Courier New"/>
      </w:rPr>
    </w:lvl>
    <w:lvl w:ilvl="5" w:tplc="00D2B130">
      <w:start w:val="1"/>
      <w:numFmt w:val="bullet"/>
      <w:lvlText w:val=""/>
      <w:lvlJc w:val="left"/>
      <w:pPr>
        <w:tabs>
          <w:tab w:val="num" w:pos="4320"/>
        </w:tabs>
        <w:ind w:left="4320" w:hanging="360"/>
      </w:pPr>
      <w:rPr>
        <w:rFonts w:ascii="Wingdings" w:hAnsi="Wingdings"/>
      </w:rPr>
    </w:lvl>
    <w:lvl w:ilvl="6" w:tplc="1854A808">
      <w:start w:val="1"/>
      <w:numFmt w:val="bullet"/>
      <w:lvlText w:val=""/>
      <w:lvlJc w:val="left"/>
      <w:pPr>
        <w:tabs>
          <w:tab w:val="num" w:pos="5040"/>
        </w:tabs>
        <w:ind w:left="5040" w:hanging="360"/>
      </w:pPr>
      <w:rPr>
        <w:rFonts w:ascii="Symbol" w:hAnsi="Symbol"/>
      </w:rPr>
    </w:lvl>
    <w:lvl w:ilvl="7" w:tplc="D946DB6C">
      <w:start w:val="1"/>
      <w:numFmt w:val="bullet"/>
      <w:lvlText w:val="o"/>
      <w:lvlJc w:val="left"/>
      <w:pPr>
        <w:tabs>
          <w:tab w:val="num" w:pos="5760"/>
        </w:tabs>
        <w:ind w:left="5760" w:hanging="360"/>
      </w:pPr>
      <w:rPr>
        <w:rFonts w:ascii="Courier New" w:hAnsi="Courier New"/>
      </w:rPr>
    </w:lvl>
    <w:lvl w:ilvl="8" w:tplc="404287B6">
      <w:start w:val="1"/>
      <w:numFmt w:val="bullet"/>
      <w:lvlText w:val=""/>
      <w:lvlJc w:val="left"/>
      <w:pPr>
        <w:tabs>
          <w:tab w:val="num" w:pos="6480"/>
        </w:tabs>
        <w:ind w:left="6480" w:hanging="360"/>
      </w:pPr>
      <w:rPr>
        <w:rFonts w:ascii="Wingdings" w:hAnsi="Wingdings"/>
      </w:rPr>
    </w:lvl>
  </w:abstractNum>
  <w:abstractNum w:abstractNumId="719" w15:restartNumberingAfterBreak="0">
    <w:nsid w:val="72230791"/>
    <w:multiLevelType w:val="hybridMultilevel"/>
    <w:tmpl w:val="72230791"/>
    <w:lvl w:ilvl="0" w:tplc="D4E00DC6">
      <w:start w:val="1"/>
      <w:numFmt w:val="bullet"/>
      <w:lvlText w:val=""/>
      <w:lvlJc w:val="left"/>
      <w:pPr>
        <w:ind w:left="720" w:hanging="360"/>
      </w:pPr>
      <w:rPr>
        <w:rFonts w:ascii="Symbol" w:hAnsi="Symbol"/>
      </w:rPr>
    </w:lvl>
    <w:lvl w:ilvl="1" w:tplc="D570A31E">
      <w:start w:val="1"/>
      <w:numFmt w:val="bullet"/>
      <w:lvlText w:val="o"/>
      <w:lvlJc w:val="left"/>
      <w:pPr>
        <w:ind w:left="1440" w:hanging="360"/>
      </w:pPr>
      <w:rPr>
        <w:rFonts w:ascii="Courier New" w:hAnsi="Courier New"/>
      </w:rPr>
    </w:lvl>
    <w:lvl w:ilvl="2" w:tplc="3D1CA72E">
      <w:start w:val="1"/>
      <w:numFmt w:val="bullet"/>
      <w:lvlText w:val=""/>
      <w:lvlJc w:val="left"/>
      <w:pPr>
        <w:tabs>
          <w:tab w:val="num" w:pos="2160"/>
        </w:tabs>
        <w:ind w:left="2160" w:hanging="360"/>
      </w:pPr>
      <w:rPr>
        <w:rFonts w:ascii="Wingdings" w:hAnsi="Wingdings"/>
      </w:rPr>
    </w:lvl>
    <w:lvl w:ilvl="3" w:tplc="192C29CC">
      <w:start w:val="1"/>
      <w:numFmt w:val="bullet"/>
      <w:lvlText w:val=""/>
      <w:lvlJc w:val="left"/>
      <w:pPr>
        <w:tabs>
          <w:tab w:val="num" w:pos="2880"/>
        </w:tabs>
        <w:ind w:left="2880" w:hanging="360"/>
      </w:pPr>
      <w:rPr>
        <w:rFonts w:ascii="Symbol" w:hAnsi="Symbol"/>
      </w:rPr>
    </w:lvl>
    <w:lvl w:ilvl="4" w:tplc="DF3C8D80">
      <w:start w:val="1"/>
      <w:numFmt w:val="bullet"/>
      <w:lvlText w:val="o"/>
      <w:lvlJc w:val="left"/>
      <w:pPr>
        <w:tabs>
          <w:tab w:val="num" w:pos="3600"/>
        </w:tabs>
        <w:ind w:left="3600" w:hanging="360"/>
      </w:pPr>
      <w:rPr>
        <w:rFonts w:ascii="Courier New" w:hAnsi="Courier New"/>
      </w:rPr>
    </w:lvl>
    <w:lvl w:ilvl="5" w:tplc="E0142216">
      <w:start w:val="1"/>
      <w:numFmt w:val="bullet"/>
      <w:lvlText w:val=""/>
      <w:lvlJc w:val="left"/>
      <w:pPr>
        <w:tabs>
          <w:tab w:val="num" w:pos="4320"/>
        </w:tabs>
        <w:ind w:left="4320" w:hanging="360"/>
      </w:pPr>
      <w:rPr>
        <w:rFonts w:ascii="Wingdings" w:hAnsi="Wingdings"/>
      </w:rPr>
    </w:lvl>
    <w:lvl w:ilvl="6" w:tplc="FEDA8D3C">
      <w:start w:val="1"/>
      <w:numFmt w:val="bullet"/>
      <w:lvlText w:val=""/>
      <w:lvlJc w:val="left"/>
      <w:pPr>
        <w:tabs>
          <w:tab w:val="num" w:pos="5040"/>
        </w:tabs>
        <w:ind w:left="5040" w:hanging="360"/>
      </w:pPr>
      <w:rPr>
        <w:rFonts w:ascii="Symbol" w:hAnsi="Symbol"/>
      </w:rPr>
    </w:lvl>
    <w:lvl w:ilvl="7" w:tplc="D5BACA8C">
      <w:start w:val="1"/>
      <w:numFmt w:val="bullet"/>
      <w:lvlText w:val="o"/>
      <w:lvlJc w:val="left"/>
      <w:pPr>
        <w:tabs>
          <w:tab w:val="num" w:pos="5760"/>
        </w:tabs>
        <w:ind w:left="5760" w:hanging="360"/>
      </w:pPr>
      <w:rPr>
        <w:rFonts w:ascii="Courier New" w:hAnsi="Courier New"/>
      </w:rPr>
    </w:lvl>
    <w:lvl w:ilvl="8" w:tplc="D1EE1D0E">
      <w:start w:val="1"/>
      <w:numFmt w:val="bullet"/>
      <w:lvlText w:val=""/>
      <w:lvlJc w:val="left"/>
      <w:pPr>
        <w:tabs>
          <w:tab w:val="num" w:pos="6480"/>
        </w:tabs>
        <w:ind w:left="6480" w:hanging="360"/>
      </w:pPr>
      <w:rPr>
        <w:rFonts w:ascii="Wingdings" w:hAnsi="Wingdings"/>
      </w:rPr>
    </w:lvl>
  </w:abstractNum>
  <w:abstractNum w:abstractNumId="720" w15:restartNumberingAfterBreak="0">
    <w:nsid w:val="72230792"/>
    <w:multiLevelType w:val="hybridMultilevel"/>
    <w:tmpl w:val="72230792"/>
    <w:lvl w:ilvl="0" w:tplc="9D30C416">
      <w:start w:val="1"/>
      <w:numFmt w:val="bullet"/>
      <w:lvlText w:val=""/>
      <w:lvlJc w:val="left"/>
      <w:pPr>
        <w:ind w:left="720" w:hanging="360"/>
      </w:pPr>
      <w:rPr>
        <w:rFonts w:ascii="Symbol" w:hAnsi="Symbol"/>
      </w:rPr>
    </w:lvl>
    <w:lvl w:ilvl="1" w:tplc="FEA21E06">
      <w:start w:val="1"/>
      <w:numFmt w:val="bullet"/>
      <w:lvlText w:val="o"/>
      <w:lvlJc w:val="left"/>
      <w:pPr>
        <w:ind w:left="1440" w:hanging="360"/>
      </w:pPr>
      <w:rPr>
        <w:rFonts w:ascii="Courier New" w:hAnsi="Courier New"/>
      </w:rPr>
    </w:lvl>
    <w:lvl w:ilvl="2" w:tplc="1B087B6E">
      <w:start w:val="1"/>
      <w:numFmt w:val="bullet"/>
      <w:lvlText w:val=""/>
      <w:lvlJc w:val="left"/>
      <w:pPr>
        <w:ind w:left="2160" w:hanging="360"/>
      </w:pPr>
      <w:rPr>
        <w:rFonts w:ascii="Wingdings" w:hAnsi="Wingdings"/>
      </w:rPr>
    </w:lvl>
    <w:lvl w:ilvl="3" w:tplc="CBEA8BF0">
      <w:start w:val="1"/>
      <w:numFmt w:val="bullet"/>
      <w:lvlText w:val=""/>
      <w:lvlJc w:val="left"/>
      <w:pPr>
        <w:tabs>
          <w:tab w:val="num" w:pos="2880"/>
        </w:tabs>
        <w:ind w:left="2880" w:hanging="360"/>
      </w:pPr>
      <w:rPr>
        <w:rFonts w:ascii="Symbol" w:hAnsi="Symbol"/>
      </w:rPr>
    </w:lvl>
    <w:lvl w:ilvl="4" w:tplc="059CAF04">
      <w:start w:val="1"/>
      <w:numFmt w:val="bullet"/>
      <w:lvlText w:val="o"/>
      <w:lvlJc w:val="left"/>
      <w:pPr>
        <w:tabs>
          <w:tab w:val="num" w:pos="3600"/>
        </w:tabs>
        <w:ind w:left="3600" w:hanging="360"/>
      </w:pPr>
      <w:rPr>
        <w:rFonts w:ascii="Courier New" w:hAnsi="Courier New"/>
      </w:rPr>
    </w:lvl>
    <w:lvl w:ilvl="5" w:tplc="D23A876E">
      <w:start w:val="1"/>
      <w:numFmt w:val="bullet"/>
      <w:lvlText w:val=""/>
      <w:lvlJc w:val="left"/>
      <w:pPr>
        <w:tabs>
          <w:tab w:val="num" w:pos="4320"/>
        </w:tabs>
        <w:ind w:left="4320" w:hanging="360"/>
      </w:pPr>
      <w:rPr>
        <w:rFonts w:ascii="Wingdings" w:hAnsi="Wingdings"/>
      </w:rPr>
    </w:lvl>
    <w:lvl w:ilvl="6" w:tplc="00FAB62E">
      <w:start w:val="1"/>
      <w:numFmt w:val="bullet"/>
      <w:lvlText w:val=""/>
      <w:lvlJc w:val="left"/>
      <w:pPr>
        <w:tabs>
          <w:tab w:val="num" w:pos="5040"/>
        </w:tabs>
        <w:ind w:left="5040" w:hanging="360"/>
      </w:pPr>
      <w:rPr>
        <w:rFonts w:ascii="Symbol" w:hAnsi="Symbol"/>
      </w:rPr>
    </w:lvl>
    <w:lvl w:ilvl="7" w:tplc="BB66B0F4">
      <w:start w:val="1"/>
      <w:numFmt w:val="bullet"/>
      <w:lvlText w:val="o"/>
      <w:lvlJc w:val="left"/>
      <w:pPr>
        <w:tabs>
          <w:tab w:val="num" w:pos="5760"/>
        </w:tabs>
        <w:ind w:left="5760" w:hanging="360"/>
      </w:pPr>
      <w:rPr>
        <w:rFonts w:ascii="Courier New" w:hAnsi="Courier New"/>
      </w:rPr>
    </w:lvl>
    <w:lvl w:ilvl="8" w:tplc="180A83EA">
      <w:start w:val="1"/>
      <w:numFmt w:val="bullet"/>
      <w:lvlText w:val=""/>
      <w:lvlJc w:val="left"/>
      <w:pPr>
        <w:tabs>
          <w:tab w:val="num" w:pos="6480"/>
        </w:tabs>
        <w:ind w:left="6480" w:hanging="360"/>
      </w:pPr>
      <w:rPr>
        <w:rFonts w:ascii="Wingdings" w:hAnsi="Wingdings"/>
      </w:rPr>
    </w:lvl>
  </w:abstractNum>
  <w:abstractNum w:abstractNumId="721" w15:restartNumberingAfterBreak="0">
    <w:nsid w:val="72230793"/>
    <w:multiLevelType w:val="hybridMultilevel"/>
    <w:tmpl w:val="72230793"/>
    <w:lvl w:ilvl="0" w:tplc="E8BAD9C2">
      <w:start w:val="1"/>
      <w:numFmt w:val="bullet"/>
      <w:lvlText w:val=""/>
      <w:lvlJc w:val="left"/>
      <w:pPr>
        <w:ind w:left="720" w:hanging="360"/>
      </w:pPr>
      <w:rPr>
        <w:rFonts w:ascii="Symbol" w:hAnsi="Symbol"/>
      </w:rPr>
    </w:lvl>
    <w:lvl w:ilvl="1" w:tplc="73FE5EB6">
      <w:start w:val="1"/>
      <w:numFmt w:val="bullet"/>
      <w:lvlText w:val="o"/>
      <w:lvlJc w:val="left"/>
      <w:pPr>
        <w:tabs>
          <w:tab w:val="num" w:pos="1440"/>
        </w:tabs>
        <w:ind w:left="1440" w:hanging="360"/>
      </w:pPr>
      <w:rPr>
        <w:rFonts w:ascii="Courier New" w:hAnsi="Courier New"/>
      </w:rPr>
    </w:lvl>
    <w:lvl w:ilvl="2" w:tplc="F2B489E0">
      <w:start w:val="1"/>
      <w:numFmt w:val="bullet"/>
      <w:lvlText w:val=""/>
      <w:lvlJc w:val="left"/>
      <w:pPr>
        <w:tabs>
          <w:tab w:val="num" w:pos="2160"/>
        </w:tabs>
        <w:ind w:left="2160" w:hanging="360"/>
      </w:pPr>
      <w:rPr>
        <w:rFonts w:ascii="Wingdings" w:hAnsi="Wingdings"/>
      </w:rPr>
    </w:lvl>
    <w:lvl w:ilvl="3" w:tplc="00029B7E">
      <w:start w:val="1"/>
      <w:numFmt w:val="bullet"/>
      <w:lvlText w:val=""/>
      <w:lvlJc w:val="left"/>
      <w:pPr>
        <w:tabs>
          <w:tab w:val="num" w:pos="2880"/>
        </w:tabs>
        <w:ind w:left="2880" w:hanging="360"/>
      </w:pPr>
      <w:rPr>
        <w:rFonts w:ascii="Symbol" w:hAnsi="Symbol"/>
      </w:rPr>
    </w:lvl>
    <w:lvl w:ilvl="4" w:tplc="C9C64A70">
      <w:start w:val="1"/>
      <w:numFmt w:val="bullet"/>
      <w:lvlText w:val="o"/>
      <w:lvlJc w:val="left"/>
      <w:pPr>
        <w:tabs>
          <w:tab w:val="num" w:pos="3600"/>
        </w:tabs>
        <w:ind w:left="3600" w:hanging="360"/>
      </w:pPr>
      <w:rPr>
        <w:rFonts w:ascii="Courier New" w:hAnsi="Courier New"/>
      </w:rPr>
    </w:lvl>
    <w:lvl w:ilvl="5" w:tplc="31CE19A0">
      <w:start w:val="1"/>
      <w:numFmt w:val="bullet"/>
      <w:lvlText w:val=""/>
      <w:lvlJc w:val="left"/>
      <w:pPr>
        <w:tabs>
          <w:tab w:val="num" w:pos="4320"/>
        </w:tabs>
        <w:ind w:left="4320" w:hanging="360"/>
      </w:pPr>
      <w:rPr>
        <w:rFonts w:ascii="Wingdings" w:hAnsi="Wingdings"/>
      </w:rPr>
    </w:lvl>
    <w:lvl w:ilvl="6" w:tplc="8B501CEC">
      <w:start w:val="1"/>
      <w:numFmt w:val="bullet"/>
      <w:lvlText w:val=""/>
      <w:lvlJc w:val="left"/>
      <w:pPr>
        <w:tabs>
          <w:tab w:val="num" w:pos="5040"/>
        </w:tabs>
        <w:ind w:left="5040" w:hanging="360"/>
      </w:pPr>
      <w:rPr>
        <w:rFonts w:ascii="Symbol" w:hAnsi="Symbol"/>
      </w:rPr>
    </w:lvl>
    <w:lvl w:ilvl="7" w:tplc="CDD0534A">
      <w:start w:val="1"/>
      <w:numFmt w:val="bullet"/>
      <w:lvlText w:val="o"/>
      <w:lvlJc w:val="left"/>
      <w:pPr>
        <w:tabs>
          <w:tab w:val="num" w:pos="5760"/>
        </w:tabs>
        <w:ind w:left="5760" w:hanging="360"/>
      </w:pPr>
      <w:rPr>
        <w:rFonts w:ascii="Courier New" w:hAnsi="Courier New"/>
      </w:rPr>
    </w:lvl>
    <w:lvl w:ilvl="8" w:tplc="AB1E0DEA">
      <w:start w:val="1"/>
      <w:numFmt w:val="bullet"/>
      <w:lvlText w:val=""/>
      <w:lvlJc w:val="left"/>
      <w:pPr>
        <w:tabs>
          <w:tab w:val="num" w:pos="6480"/>
        </w:tabs>
        <w:ind w:left="6480" w:hanging="360"/>
      </w:pPr>
      <w:rPr>
        <w:rFonts w:ascii="Wingdings" w:hAnsi="Wingdings"/>
      </w:rPr>
    </w:lvl>
  </w:abstractNum>
  <w:abstractNum w:abstractNumId="722" w15:restartNumberingAfterBreak="0">
    <w:nsid w:val="72230794"/>
    <w:multiLevelType w:val="hybridMultilevel"/>
    <w:tmpl w:val="72230794"/>
    <w:lvl w:ilvl="0" w:tplc="BBE866C4">
      <w:start w:val="1"/>
      <w:numFmt w:val="bullet"/>
      <w:lvlText w:val=""/>
      <w:lvlJc w:val="left"/>
      <w:pPr>
        <w:ind w:left="720" w:hanging="360"/>
      </w:pPr>
      <w:rPr>
        <w:rFonts w:ascii="Symbol" w:hAnsi="Symbol"/>
      </w:rPr>
    </w:lvl>
    <w:lvl w:ilvl="1" w:tplc="05BEC522">
      <w:start w:val="1"/>
      <w:numFmt w:val="bullet"/>
      <w:lvlText w:val="o"/>
      <w:lvlJc w:val="left"/>
      <w:pPr>
        <w:tabs>
          <w:tab w:val="num" w:pos="1440"/>
        </w:tabs>
        <w:ind w:left="1440" w:hanging="360"/>
      </w:pPr>
      <w:rPr>
        <w:rFonts w:ascii="Courier New" w:hAnsi="Courier New"/>
      </w:rPr>
    </w:lvl>
    <w:lvl w:ilvl="2" w:tplc="3740FBD6">
      <w:start w:val="1"/>
      <w:numFmt w:val="bullet"/>
      <w:lvlText w:val=""/>
      <w:lvlJc w:val="left"/>
      <w:pPr>
        <w:tabs>
          <w:tab w:val="num" w:pos="2160"/>
        </w:tabs>
        <w:ind w:left="2160" w:hanging="360"/>
      </w:pPr>
      <w:rPr>
        <w:rFonts w:ascii="Wingdings" w:hAnsi="Wingdings"/>
      </w:rPr>
    </w:lvl>
    <w:lvl w:ilvl="3" w:tplc="D1AEA094">
      <w:start w:val="1"/>
      <w:numFmt w:val="bullet"/>
      <w:lvlText w:val=""/>
      <w:lvlJc w:val="left"/>
      <w:pPr>
        <w:tabs>
          <w:tab w:val="num" w:pos="2880"/>
        </w:tabs>
        <w:ind w:left="2880" w:hanging="360"/>
      </w:pPr>
      <w:rPr>
        <w:rFonts w:ascii="Symbol" w:hAnsi="Symbol"/>
      </w:rPr>
    </w:lvl>
    <w:lvl w:ilvl="4" w:tplc="E984F682">
      <w:start w:val="1"/>
      <w:numFmt w:val="bullet"/>
      <w:lvlText w:val="o"/>
      <w:lvlJc w:val="left"/>
      <w:pPr>
        <w:tabs>
          <w:tab w:val="num" w:pos="3600"/>
        </w:tabs>
        <w:ind w:left="3600" w:hanging="360"/>
      </w:pPr>
      <w:rPr>
        <w:rFonts w:ascii="Courier New" w:hAnsi="Courier New"/>
      </w:rPr>
    </w:lvl>
    <w:lvl w:ilvl="5" w:tplc="6A443468">
      <w:start w:val="1"/>
      <w:numFmt w:val="bullet"/>
      <w:lvlText w:val=""/>
      <w:lvlJc w:val="left"/>
      <w:pPr>
        <w:tabs>
          <w:tab w:val="num" w:pos="4320"/>
        </w:tabs>
        <w:ind w:left="4320" w:hanging="360"/>
      </w:pPr>
      <w:rPr>
        <w:rFonts w:ascii="Wingdings" w:hAnsi="Wingdings"/>
      </w:rPr>
    </w:lvl>
    <w:lvl w:ilvl="6" w:tplc="C8F60F3E">
      <w:start w:val="1"/>
      <w:numFmt w:val="bullet"/>
      <w:lvlText w:val=""/>
      <w:lvlJc w:val="left"/>
      <w:pPr>
        <w:tabs>
          <w:tab w:val="num" w:pos="5040"/>
        </w:tabs>
        <w:ind w:left="5040" w:hanging="360"/>
      </w:pPr>
      <w:rPr>
        <w:rFonts w:ascii="Symbol" w:hAnsi="Symbol"/>
      </w:rPr>
    </w:lvl>
    <w:lvl w:ilvl="7" w:tplc="12F4688C">
      <w:start w:val="1"/>
      <w:numFmt w:val="bullet"/>
      <w:lvlText w:val="o"/>
      <w:lvlJc w:val="left"/>
      <w:pPr>
        <w:tabs>
          <w:tab w:val="num" w:pos="5760"/>
        </w:tabs>
        <w:ind w:left="5760" w:hanging="360"/>
      </w:pPr>
      <w:rPr>
        <w:rFonts w:ascii="Courier New" w:hAnsi="Courier New"/>
      </w:rPr>
    </w:lvl>
    <w:lvl w:ilvl="8" w:tplc="2F84265E">
      <w:start w:val="1"/>
      <w:numFmt w:val="bullet"/>
      <w:lvlText w:val=""/>
      <w:lvlJc w:val="left"/>
      <w:pPr>
        <w:tabs>
          <w:tab w:val="num" w:pos="6480"/>
        </w:tabs>
        <w:ind w:left="6480" w:hanging="360"/>
      </w:pPr>
      <w:rPr>
        <w:rFonts w:ascii="Wingdings" w:hAnsi="Wingdings"/>
      </w:rPr>
    </w:lvl>
  </w:abstractNum>
  <w:abstractNum w:abstractNumId="723" w15:restartNumberingAfterBreak="0">
    <w:nsid w:val="72230795"/>
    <w:multiLevelType w:val="hybridMultilevel"/>
    <w:tmpl w:val="72230795"/>
    <w:lvl w:ilvl="0" w:tplc="29145F70">
      <w:start w:val="1"/>
      <w:numFmt w:val="bullet"/>
      <w:lvlText w:val=""/>
      <w:lvlJc w:val="left"/>
      <w:pPr>
        <w:ind w:left="720" w:hanging="360"/>
      </w:pPr>
      <w:rPr>
        <w:rFonts w:ascii="Symbol" w:hAnsi="Symbol"/>
      </w:rPr>
    </w:lvl>
    <w:lvl w:ilvl="1" w:tplc="C2EE9D86">
      <w:start w:val="1"/>
      <w:numFmt w:val="bullet"/>
      <w:lvlText w:val="o"/>
      <w:lvlJc w:val="left"/>
      <w:pPr>
        <w:tabs>
          <w:tab w:val="num" w:pos="1440"/>
        </w:tabs>
        <w:ind w:left="1440" w:hanging="360"/>
      </w:pPr>
      <w:rPr>
        <w:rFonts w:ascii="Courier New" w:hAnsi="Courier New"/>
      </w:rPr>
    </w:lvl>
    <w:lvl w:ilvl="2" w:tplc="844E2856">
      <w:start w:val="1"/>
      <w:numFmt w:val="bullet"/>
      <w:lvlText w:val=""/>
      <w:lvlJc w:val="left"/>
      <w:pPr>
        <w:tabs>
          <w:tab w:val="num" w:pos="2160"/>
        </w:tabs>
        <w:ind w:left="2160" w:hanging="360"/>
      </w:pPr>
      <w:rPr>
        <w:rFonts w:ascii="Wingdings" w:hAnsi="Wingdings"/>
      </w:rPr>
    </w:lvl>
    <w:lvl w:ilvl="3" w:tplc="BA8C07BE">
      <w:start w:val="1"/>
      <w:numFmt w:val="bullet"/>
      <w:lvlText w:val=""/>
      <w:lvlJc w:val="left"/>
      <w:pPr>
        <w:tabs>
          <w:tab w:val="num" w:pos="2880"/>
        </w:tabs>
        <w:ind w:left="2880" w:hanging="360"/>
      </w:pPr>
      <w:rPr>
        <w:rFonts w:ascii="Symbol" w:hAnsi="Symbol"/>
      </w:rPr>
    </w:lvl>
    <w:lvl w:ilvl="4" w:tplc="5740A554">
      <w:start w:val="1"/>
      <w:numFmt w:val="bullet"/>
      <w:lvlText w:val="o"/>
      <w:lvlJc w:val="left"/>
      <w:pPr>
        <w:tabs>
          <w:tab w:val="num" w:pos="3600"/>
        </w:tabs>
        <w:ind w:left="3600" w:hanging="360"/>
      </w:pPr>
      <w:rPr>
        <w:rFonts w:ascii="Courier New" w:hAnsi="Courier New"/>
      </w:rPr>
    </w:lvl>
    <w:lvl w:ilvl="5" w:tplc="FF3EBC84">
      <w:start w:val="1"/>
      <w:numFmt w:val="bullet"/>
      <w:lvlText w:val=""/>
      <w:lvlJc w:val="left"/>
      <w:pPr>
        <w:tabs>
          <w:tab w:val="num" w:pos="4320"/>
        </w:tabs>
        <w:ind w:left="4320" w:hanging="360"/>
      </w:pPr>
      <w:rPr>
        <w:rFonts w:ascii="Wingdings" w:hAnsi="Wingdings"/>
      </w:rPr>
    </w:lvl>
    <w:lvl w:ilvl="6" w:tplc="CB88A114">
      <w:start w:val="1"/>
      <w:numFmt w:val="bullet"/>
      <w:lvlText w:val=""/>
      <w:lvlJc w:val="left"/>
      <w:pPr>
        <w:tabs>
          <w:tab w:val="num" w:pos="5040"/>
        </w:tabs>
        <w:ind w:left="5040" w:hanging="360"/>
      </w:pPr>
      <w:rPr>
        <w:rFonts w:ascii="Symbol" w:hAnsi="Symbol"/>
      </w:rPr>
    </w:lvl>
    <w:lvl w:ilvl="7" w:tplc="2696A4CE">
      <w:start w:val="1"/>
      <w:numFmt w:val="bullet"/>
      <w:lvlText w:val="o"/>
      <w:lvlJc w:val="left"/>
      <w:pPr>
        <w:tabs>
          <w:tab w:val="num" w:pos="5760"/>
        </w:tabs>
        <w:ind w:left="5760" w:hanging="360"/>
      </w:pPr>
      <w:rPr>
        <w:rFonts w:ascii="Courier New" w:hAnsi="Courier New"/>
      </w:rPr>
    </w:lvl>
    <w:lvl w:ilvl="8" w:tplc="FD14A4C2">
      <w:start w:val="1"/>
      <w:numFmt w:val="bullet"/>
      <w:lvlText w:val=""/>
      <w:lvlJc w:val="left"/>
      <w:pPr>
        <w:tabs>
          <w:tab w:val="num" w:pos="6480"/>
        </w:tabs>
        <w:ind w:left="6480" w:hanging="360"/>
      </w:pPr>
      <w:rPr>
        <w:rFonts w:ascii="Wingdings" w:hAnsi="Wingdings"/>
      </w:rPr>
    </w:lvl>
  </w:abstractNum>
  <w:abstractNum w:abstractNumId="724" w15:restartNumberingAfterBreak="0">
    <w:nsid w:val="72230796"/>
    <w:multiLevelType w:val="hybridMultilevel"/>
    <w:tmpl w:val="72230796"/>
    <w:lvl w:ilvl="0" w:tplc="1A860B8E">
      <w:start w:val="1"/>
      <w:numFmt w:val="bullet"/>
      <w:lvlText w:val=""/>
      <w:lvlJc w:val="left"/>
      <w:pPr>
        <w:ind w:left="720" w:hanging="360"/>
      </w:pPr>
      <w:rPr>
        <w:rFonts w:ascii="Symbol" w:hAnsi="Symbol"/>
      </w:rPr>
    </w:lvl>
    <w:lvl w:ilvl="1" w:tplc="8F261D04">
      <w:start w:val="1"/>
      <w:numFmt w:val="bullet"/>
      <w:lvlText w:val="o"/>
      <w:lvlJc w:val="left"/>
      <w:pPr>
        <w:tabs>
          <w:tab w:val="num" w:pos="1440"/>
        </w:tabs>
        <w:ind w:left="1440" w:hanging="360"/>
      </w:pPr>
      <w:rPr>
        <w:rFonts w:ascii="Courier New" w:hAnsi="Courier New"/>
      </w:rPr>
    </w:lvl>
    <w:lvl w:ilvl="2" w:tplc="867CB8FE">
      <w:start w:val="1"/>
      <w:numFmt w:val="bullet"/>
      <w:lvlText w:val=""/>
      <w:lvlJc w:val="left"/>
      <w:pPr>
        <w:tabs>
          <w:tab w:val="num" w:pos="2160"/>
        </w:tabs>
        <w:ind w:left="2160" w:hanging="360"/>
      </w:pPr>
      <w:rPr>
        <w:rFonts w:ascii="Wingdings" w:hAnsi="Wingdings"/>
      </w:rPr>
    </w:lvl>
    <w:lvl w:ilvl="3" w:tplc="5BC292E6">
      <w:start w:val="1"/>
      <w:numFmt w:val="bullet"/>
      <w:lvlText w:val=""/>
      <w:lvlJc w:val="left"/>
      <w:pPr>
        <w:tabs>
          <w:tab w:val="num" w:pos="2880"/>
        </w:tabs>
        <w:ind w:left="2880" w:hanging="360"/>
      </w:pPr>
      <w:rPr>
        <w:rFonts w:ascii="Symbol" w:hAnsi="Symbol"/>
      </w:rPr>
    </w:lvl>
    <w:lvl w:ilvl="4" w:tplc="E83A885E">
      <w:start w:val="1"/>
      <w:numFmt w:val="bullet"/>
      <w:lvlText w:val="o"/>
      <w:lvlJc w:val="left"/>
      <w:pPr>
        <w:tabs>
          <w:tab w:val="num" w:pos="3600"/>
        </w:tabs>
        <w:ind w:left="3600" w:hanging="360"/>
      </w:pPr>
      <w:rPr>
        <w:rFonts w:ascii="Courier New" w:hAnsi="Courier New"/>
      </w:rPr>
    </w:lvl>
    <w:lvl w:ilvl="5" w:tplc="1B50270E">
      <w:start w:val="1"/>
      <w:numFmt w:val="bullet"/>
      <w:lvlText w:val=""/>
      <w:lvlJc w:val="left"/>
      <w:pPr>
        <w:tabs>
          <w:tab w:val="num" w:pos="4320"/>
        </w:tabs>
        <w:ind w:left="4320" w:hanging="360"/>
      </w:pPr>
      <w:rPr>
        <w:rFonts w:ascii="Wingdings" w:hAnsi="Wingdings"/>
      </w:rPr>
    </w:lvl>
    <w:lvl w:ilvl="6" w:tplc="9CEA575A">
      <w:start w:val="1"/>
      <w:numFmt w:val="bullet"/>
      <w:lvlText w:val=""/>
      <w:lvlJc w:val="left"/>
      <w:pPr>
        <w:tabs>
          <w:tab w:val="num" w:pos="5040"/>
        </w:tabs>
        <w:ind w:left="5040" w:hanging="360"/>
      </w:pPr>
      <w:rPr>
        <w:rFonts w:ascii="Symbol" w:hAnsi="Symbol"/>
      </w:rPr>
    </w:lvl>
    <w:lvl w:ilvl="7" w:tplc="9F028C06">
      <w:start w:val="1"/>
      <w:numFmt w:val="bullet"/>
      <w:lvlText w:val="o"/>
      <w:lvlJc w:val="left"/>
      <w:pPr>
        <w:tabs>
          <w:tab w:val="num" w:pos="5760"/>
        </w:tabs>
        <w:ind w:left="5760" w:hanging="360"/>
      </w:pPr>
      <w:rPr>
        <w:rFonts w:ascii="Courier New" w:hAnsi="Courier New"/>
      </w:rPr>
    </w:lvl>
    <w:lvl w:ilvl="8" w:tplc="369C4952">
      <w:start w:val="1"/>
      <w:numFmt w:val="bullet"/>
      <w:lvlText w:val=""/>
      <w:lvlJc w:val="left"/>
      <w:pPr>
        <w:tabs>
          <w:tab w:val="num" w:pos="6480"/>
        </w:tabs>
        <w:ind w:left="6480" w:hanging="360"/>
      </w:pPr>
      <w:rPr>
        <w:rFonts w:ascii="Wingdings" w:hAnsi="Wingdings"/>
      </w:rPr>
    </w:lvl>
  </w:abstractNum>
  <w:abstractNum w:abstractNumId="725" w15:restartNumberingAfterBreak="0">
    <w:nsid w:val="72230797"/>
    <w:multiLevelType w:val="hybridMultilevel"/>
    <w:tmpl w:val="72230797"/>
    <w:lvl w:ilvl="0" w:tplc="AE022682">
      <w:start w:val="1"/>
      <w:numFmt w:val="bullet"/>
      <w:lvlText w:val=""/>
      <w:lvlJc w:val="left"/>
      <w:pPr>
        <w:tabs>
          <w:tab w:val="num" w:pos="720"/>
        </w:tabs>
        <w:ind w:left="720" w:hanging="360"/>
      </w:pPr>
      <w:rPr>
        <w:rFonts w:ascii="Symbol" w:hAnsi="Symbol"/>
      </w:rPr>
    </w:lvl>
    <w:lvl w:ilvl="1" w:tplc="C406ABE4">
      <w:start w:val="1"/>
      <w:numFmt w:val="bullet"/>
      <w:lvlText w:val="o"/>
      <w:lvlJc w:val="left"/>
      <w:pPr>
        <w:tabs>
          <w:tab w:val="num" w:pos="1440"/>
        </w:tabs>
        <w:ind w:left="1440" w:hanging="360"/>
      </w:pPr>
      <w:rPr>
        <w:rFonts w:ascii="Courier New" w:hAnsi="Courier New"/>
      </w:rPr>
    </w:lvl>
    <w:lvl w:ilvl="2" w:tplc="E96C7168">
      <w:start w:val="1"/>
      <w:numFmt w:val="bullet"/>
      <w:lvlText w:val=""/>
      <w:lvlJc w:val="left"/>
      <w:pPr>
        <w:tabs>
          <w:tab w:val="num" w:pos="2160"/>
        </w:tabs>
        <w:ind w:left="2160" w:hanging="360"/>
      </w:pPr>
      <w:rPr>
        <w:rFonts w:ascii="Wingdings" w:hAnsi="Wingdings"/>
      </w:rPr>
    </w:lvl>
    <w:lvl w:ilvl="3" w:tplc="468A9C40">
      <w:start w:val="1"/>
      <w:numFmt w:val="bullet"/>
      <w:lvlText w:val=""/>
      <w:lvlJc w:val="left"/>
      <w:pPr>
        <w:tabs>
          <w:tab w:val="num" w:pos="2880"/>
        </w:tabs>
        <w:ind w:left="2880" w:hanging="360"/>
      </w:pPr>
      <w:rPr>
        <w:rFonts w:ascii="Symbol" w:hAnsi="Symbol"/>
      </w:rPr>
    </w:lvl>
    <w:lvl w:ilvl="4" w:tplc="BCAA79F8">
      <w:start w:val="1"/>
      <w:numFmt w:val="bullet"/>
      <w:lvlText w:val="o"/>
      <w:lvlJc w:val="left"/>
      <w:pPr>
        <w:tabs>
          <w:tab w:val="num" w:pos="3600"/>
        </w:tabs>
        <w:ind w:left="3600" w:hanging="360"/>
      </w:pPr>
      <w:rPr>
        <w:rFonts w:ascii="Courier New" w:hAnsi="Courier New"/>
      </w:rPr>
    </w:lvl>
    <w:lvl w:ilvl="5" w:tplc="BCC6ABF2">
      <w:start w:val="1"/>
      <w:numFmt w:val="bullet"/>
      <w:lvlText w:val=""/>
      <w:lvlJc w:val="left"/>
      <w:pPr>
        <w:tabs>
          <w:tab w:val="num" w:pos="4320"/>
        </w:tabs>
        <w:ind w:left="4320" w:hanging="360"/>
      </w:pPr>
      <w:rPr>
        <w:rFonts w:ascii="Wingdings" w:hAnsi="Wingdings"/>
      </w:rPr>
    </w:lvl>
    <w:lvl w:ilvl="6" w:tplc="E85EE794">
      <w:start w:val="1"/>
      <w:numFmt w:val="bullet"/>
      <w:lvlText w:val=""/>
      <w:lvlJc w:val="left"/>
      <w:pPr>
        <w:tabs>
          <w:tab w:val="num" w:pos="5040"/>
        </w:tabs>
        <w:ind w:left="5040" w:hanging="360"/>
      </w:pPr>
      <w:rPr>
        <w:rFonts w:ascii="Symbol" w:hAnsi="Symbol"/>
      </w:rPr>
    </w:lvl>
    <w:lvl w:ilvl="7" w:tplc="9FB69B84">
      <w:start w:val="1"/>
      <w:numFmt w:val="bullet"/>
      <w:lvlText w:val="o"/>
      <w:lvlJc w:val="left"/>
      <w:pPr>
        <w:tabs>
          <w:tab w:val="num" w:pos="5760"/>
        </w:tabs>
        <w:ind w:left="5760" w:hanging="360"/>
      </w:pPr>
      <w:rPr>
        <w:rFonts w:ascii="Courier New" w:hAnsi="Courier New"/>
      </w:rPr>
    </w:lvl>
    <w:lvl w:ilvl="8" w:tplc="94F60478">
      <w:start w:val="1"/>
      <w:numFmt w:val="bullet"/>
      <w:lvlText w:val=""/>
      <w:lvlJc w:val="left"/>
      <w:pPr>
        <w:tabs>
          <w:tab w:val="num" w:pos="6480"/>
        </w:tabs>
        <w:ind w:left="6480" w:hanging="360"/>
      </w:pPr>
      <w:rPr>
        <w:rFonts w:ascii="Wingdings" w:hAnsi="Wingdings"/>
      </w:rPr>
    </w:lvl>
  </w:abstractNum>
  <w:abstractNum w:abstractNumId="726" w15:restartNumberingAfterBreak="0">
    <w:nsid w:val="72230798"/>
    <w:multiLevelType w:val="hybridMultilevel"/>
    <w:tmpl w:val="72230798"/>
    <w:lvl w:ilvl="0" w:tplc="20D0272A">
      <w:start w:val="1"/>
      <w:numFmt w:val="bullet"/>
      <w:lvlText w:val=""/>
      <w:lvlJc w:val="left"/>
      <w:pPr>
        <w:ind w:left="720" w:hanging="360"/>
      </w:pPr>
      <w:rPr>
        <w:rFonts w:ascii="Symbol" w:hAnsi="Symbol"/>
      </w:rPr>
    </w:lvl>
    <w:lvl w:ilvl="1" w:tplc="FE7EECC4">
      <w:start w:val="1"/>
      <w:numFmt w:val="bullet"/>
      <w:lvlText w:val="o"/>
      <w:lvlJc w:val="left"/>
      <w:pPr>
        <w:ind w:left="1440" w:hanging="360"/>
      </w:pPr>
      <w:rPr>
        <w:rFonts w:ascii="Courier New" w:hAnsi="Courier New"/>
      </w:rPr>
    </w:lvl>
    <w:lvl w:ilvl="2" w:tplc="9EC2FE7C">
      <w:start w:val="1"/>
      <w:numFmt w:val="bullet"/>
      <w:lvlText w:val=""/>
      <w:lvlJc w:val="left"/>
      <w:pPr>
        <w:tabs>
          <w:tab w:val="num" w:pos="2160"/>
        </w:tabs>
        <w:ind w:left="2160" w:hanging="360"/>
      </w:pPr>
      <w:rPr>
        <w:rFonts w:ascii="Wingdings" w:hAnsi="Wingdings"/>
      </w:rPr>
    </w:lvl>
    <w:lvl w:ilvl="3" w:tplc="9B14D360">
      <w:start w:val="1"/>
      <w:numFmt w:val="bullet"/>
      <w:lvlText w:val=""/>
      <w:lvlJc w:val="left"/>
      <w:pPr>
        <w:tabs>
          <w:tab w:val="num" w:pos="2880"/>
        </w:tabs>
        <w:ind w:left="2880" w:hanging="360"/>
      </w:pPr>
      <w:rPr>
        <w:rFonts w:ascii="Symbol" w:hAnsi="Symbol"/>
      </w:rPr>
    </w:lvl>
    <w:lvl w:ilvl="4" w:tplc="8DBE5170">
      <w:start w:val="1"/>
      <w:numFmt w:val="bullet"/>
      <w:lvlText w:val="o"/>
      <w:lvlJc w:val="left"/>
      <w:pPr>
        <w:tabs>
          <w:tab w:val="num" w:pos="3600"/>
        </w:tabs>
        <w:ind w:left="3600" w:hanging="360"/>
      </w:pPr>
      <w:rPr>
        <w:rFonts w:ascii="Courier New" w:hAnsi="Courier New"/>
      </w:rPr>
    </w:lvl>
    <w:lvl w:ilvl="5" w:tplc="AA087B3C">
      <w:start w:val="1"/>
      <w:numFmt w:val="bullet"/>
      <w:lvlText w:val=""/>
      <w:lvlJc w:val="left"/>
      <w:pPr>
        <w:tabs>
          <w:tab w:val="num" w:pos="4320"/>
        </w:tabs>
        <w:ind w:left="4320" w:hanging="360"/>
      </w:pPr>
      <w:rPr>
        <w:rFonts w:ascii="Wingdings" w:hAnsi="Wingdings"/>
      </w:rPr>
    </w:lvl>
    <w:lvl w:ilvl="6" w:tplc="16F2870E">
      <w:start w:val="1"/>
      <w:numFmt w:val="bullet"/>
      <w:lvlText w:val=""/>
      <w:lvlJc w:val="left"/>
      <w:pPr>
        <w:tabs>
          <w:tab w:val="num" w:pos="5040"/>
        </w:tabs>
        <w:ind w:left="5040" w:hanging="360"/>
      </w:pPr>
      <w:rPr>
        <w:rFonts w:ascii="Symbol" w:hAnsi="Symbol"/>
      </w:rPr>
    </w:lvl>
    <w:lvl w:ilvl="7" w:tplc="BF583FB0">
      <w:start w:val="1"/>
      <w:numFmt w:val="bullet"/>
      <w:lvlText w:val="o"/>
      <w:lvlJc w:val="left"/>
      <w:pPr>
        <w:tabs>
          <w:tab w:val="num" w:pos="5760"/>
        </w:tabs>
        <w:ind w:left="5760" w:hanging="360"/>
      </w:pPr>
      <w:rPr>
        <w:rFonts w:ascii="Courier New" w:hAnsi="Courier New"/>
      </w:rPr>
    </w:lvl>
    <w:lvl w:ilvl="8" w:tplc="CFE2B07A">
      <w:start w:val="1"/>
      <w:numFmt w:val="bullet"/>
      <w:lvlText w:val=""/>
      <w:lvlJc w:val="left"/>
      <w:pPr>
        <w:tabs>
          <w:tab w:val="num" w:pos="6480"/>
        </w:tabs>
        <w:ind w:left="6480" w:hanging="360"/>
      </w:pPr>
      <w:rPr>
        <w:rFonts w:ascii="Wingdings" w:hAnsi="Wingdings"/>
      </w:rPr>
    </w:lvl>
  </w:abstractNum>
  <w:abstractNum w:abstractNumId="727" w15:restartNumberingAfterBreak="0">
    <w:nsid w:val="72230799"/>
    <w:multiLevelType w:val="hybridMultilevel"/>
    <w:tmpl w:val="72230799"/>
    <w:lvl w:ilvl="0" w:tplc="1C9254F6">
      <w:start w:val="1"/>
      <w:numFmt w:val="bullet"/>
      <w:lvlText w:val=""/>
      <w:lvlJc w:val="left"/>
      <w:pPr>
        <w:ind w:left="720" w:hanging="360"/>
      </w:pPr>
      <w:rPr>
        <w:rFonts w:ascii="Symbol" w:hAnsi="Symbol"/>
      </w:rPr>
    </w:lvl>
    <w:lvl w:ilvl="1" w:tplc="D9263AB8">
      <w:start w:val="1"/>
      <w:numFmt w:val="bullet"/>
      <w:lvlText w:val="o"/>
      <w:lvlJc w:val="left"/>
      <w:pPr>
        <w:tabs>
          <w:tab w:val="num" w:pos="1440"/>
        </w:tabs>
        <w:ind w:left="1440" w:hanging="360"/>
      </w:pPr>
      <w:rPr>
        <w:rFonts w:ascii="Courier New" w:hAnsi="Courier New"/>
      </w:rPr>
    </w:lvl>
    <w:lvl w:ilvl="2" w:tplc="FE9C59FE">
      <w:start w:val="1"/>
      <w:numFmt w:val="bullet"/>
      <w:lvlText w:val=""/>
      <w:lvlJc w:val="left"/>
      <w:pPr>
        <w:tabs>
          <w:tab w:val="num" w:pos="2160"/>
        </w:tabs>
        <w:ind w:left="2160" w:hanging="360"/>
      </w:pPr>
      <w:rPr>
        <w:rFonts w:ascii="Wingdings" w:hAnsi="Wingdings"/>
      </w:rPr>
    </w:lvl>
    <w:lvl w:ilvl="3" w:tplc="B852AB06">
      <w:start w:val="1"/>
      <w:numFmt w:val="bullet"/>
      <w:lvlText w:val=""/>
      <w:lvlJc w:val="left"/>
      <w:pPr>
        <w:tabs>
          <w:tab w:val="num" w:pos="2880"/>
        </w:tabs>
        <w:ind w:left="2880" w:hanging="360"/>
      </w:pPr>
      <w:rPr>
        <w:rFonts w:ascii="Symbol" w:hAnsi="Symbol"/>
      </w:rPr>
    </w:lvl>
    <w:lvl w:ilvl="4" w:tplc="A8FC4AD2">
      <w:start w:val="1"/>
      <w:numFmt w:val="bullet"/>
      <w:lvlText w:val="o"/>
      <w:lvlJc w:val="left"/>
      <w:pPr>
        <w:tabs>
          <w:tab w:val="num" w:pos="3600"/>
        </w:tabs>
        <w:ind w:left="3600" w:hanging="360"/>
      </w:pPr>
      <w:rPr>
        <w:rFonts w:ascii="Courier New" w:hAnsi="Courier New"/>
      </w:rPr>
    </w:lvl>
    <w:lvl w:ilvl="5" w:tplc="CD08515C">
      <w:start w:val="1"/>
      <w:numFmt w:val="bullet"/>
      <w:lvlText w:val=""/>
      <w:lvlJc w:val="left"/>
      <w:pPr>
        <w:tabs>
          <w:tab w:val="num" w:pos="4320"/>
        </w:tabs>
        <w:ind w:left="4320" w:hanging="360"/>
      </w:pPr>
      <w:rPr>
        <w:rFonts w:ascii="Wingdings" w:hAnsi="Wingdings"/>
      </w:rPr>
    </w:lvl>
    <w:lvl w:ilvl="6" w:tplc="B40A67D0">
      <w:start w:val="1"/>
      <w:numFmt w:val="bullet"/>
      <w:lvlText w:val=""/>
      <w:lvlJc w:val="left"/>
      <w:pPr>
        <w:tabs>
          <w:tab w:val="num" w:pos="5040"/>
        </w:tabs>
        <w:ind w:left="5040" w:hanging="360"/>
      </w:pPr>
      <w:rPr>
        <w:rFonts w:ascii="Symbol" w:hAnsi="Symbol"/>
      </w:rPr>
    </w:lvl>
    <w:lvl w:ilvl="7" w:tplc="0D82B1D2">
      <w:start w:val="1"/>
      <w:numFmt w:val="bullet"/>
      <w:lvlText w:val="o"/>
      <w:lvlJc w:val="left"/>
      <w:pPr>
        <w:tabs>
          <w:tab w:val="num" w:pos="5760"/>
        </w:tabs>
        <w:ind w:left="5760" w:hanging="360"/>
      </w:pPr>
      <w:rPr>
        <w:rFonts w:ascii="Courier New" w:hAnsi="Courier New"/>
      </w:rPr>
    </w:lvl>
    <w:lvl w:ilvl="8" w:tplc="346C8C36">
      <w:start w:val="1"/>
      <w:numFmt w:val="bullet"/>
      <w:lvlText w:val=""/>
      <w:lvlJc w:val="left"/>
      <w:pPr>
        <w:tabs>
          <w:tab w:val="num" w:pos="6480"/>
        </w:tabs>
        <w:ind w:left="6480" w:hanging="360"/>
      </w:pPr>
      <w:rPr>
        <w:rFonts w:ascii="Wingdings" w:hAnsi="Wingdings"/>
      </w:rPr>
    </w:lvl>
  </w:abstractNum>
  <w:abstractNum w:abstractNumId="728" w15:restartNumberingAfterBreak="0">
    <w:nsid w:val="7223079A"/>
    <w:multiLevelType w:val="hybridMultilevel"/>
    <w:tmpl w:val="7223079A"/>
    <w:lvl w:ilvl="0" w:tplc="327068BA">
      <w:start w:val="1"/>
      <w:numFmt w:val="bullet"/>
      <w:lvlText w:val=""/>
      <w:lvlJc w:val="left"/>
      <w:pPr>
        <w:ind w:left="720" w:hanging="360"/>
      </w:pPr>
      <w:rPr>
        <w:rFonts w:ascii="Symbol" w:hAnsi="Symbol"/>
      </w:rPr>
    </w:lvl>
    <w:lvl w:ilvl="1" w:tplc="263C3670">
      <w:start w:val="1"/>
      <w:numFmt w:val="bullet"/>
      <w:lvlText w:val="o"/>
      <w:lvlJc w:val="left"/>
      <w:pPr>
        <w:tabs>
          <w:tab w:val="num" w:pos="1440"/>
        </w:tabs>
        <w:ind w:left="1440" w:hanging="360"/>
      </w:pPr>
      <w:rPr>
        <w:rFonts w:ascii="Courier New" w:hAnsi="Courier New"/>
      </w:rPr>
    </w:lvl>
    <w:lvl w:ilvl="2" w:tplc="B0D8C540">
      <w:start w:val="1"/>
      <w:numFmt w:val="bullet"/>
      <w:lvlText w:val=""/>
      <w:lvlJc w:val="left"/>
      <w:pPr>
        <w:tabs>
          <w:tab w:val="num" w:pos="2160"/>
        </w:tabs>
        <w:ind w:left="2160" w:hanging="360"/>
      </w:pPr>
      <w:rPr>
        <w:rFonts w:ascii="Wingdings" w:hAnsi="Wingdings"/>
      </w:rPr>
    </w:lvl>
    <w:lvl w:ilvl="3" w:tplc="B6CADB50">
      <w:start w:val="1"/>
      <w:numFmt w:val="bullet"/>
      <w:lvlText w:val=""/>
      <w:lvlJc w:val="left"/>
      <w:pPr>
        <w:tabs>
          <w:tab w:val="num" w:pos="2880"/>
        </w:tabs>
        <w:ind w:left="2880" w:hanging="360"/>
      </w:pPr>
      <w:rPr>
        <w:rFonts w:ascii="Symbol" w:hAnsi="Symbol"/>
      </w:rPr>
    </w:lvl>
    <w:lvl w:ilvl="4" w:tplc="214A827A">
      <w:start w:val="1"/>
      <w:numFmt w:val="bullet"/>
      <w:lvlText w:val="o"/>
      <w:lvlJc w:val="left"/>
      <w:pPr>
        <w:tabs>
          <w:tab w:val="num" w:pos="3600"/>
        </w:tabs>
        <w:ind w:left="3600" w:hanging="360"/>
      </w:pPr>
      <w:rPr>
        <w:rFonts w:ascii="Courier New" w:hAnsi="Courier New"/>
      </w:rPr>
    </w:lvl>
    <w:lvl w:ilvl="5" w:tplc="F1D8A010">
      <w:start w:val="1"/>
      <w:numFmt w:val="bullet"/>
      <w:lvlText w:val=""/>
      <w:lvlJc w:val="left"/>
      <w:pPr>
        <w:tabs>
          <w:tab w:val="num" w:pos="4320"/>
        </w:tabs>
        <w:ind w:left="4320" w:hanging="360"/>
      </w:pPr>
      <w:rPr>
        <w:rFonts w:ascii="Wingdings" w:hAnsi="Wingdings"/>
      </w:rPr>
    </w:lvl>
    <w:lvl w:ilvl="6" w:tplc="21B204D8">
      <w:start w:val="1"/>
      <w:numFmt w:val="bullet"/>
      <w:lvlText w:val=""/>
      <w:lvlJc w:val="left"/>
      <w:pPr>
        <w:tabs>
          <w:tab w:val="num" w:pos="5040"/>
        </w:tabs>
        <w:ind w:left="5040" w:hanging="360"/>
      </w:pPr>
      <w:rPr>
        <w:rFonts w:ascii="Symbol" w:hAnsi="Symbol"/>
      </w:rPr>
    </w:lvl>
    <w:lvl w:ilvl="7" w:tplc="430207D2">
      <w:start w:val="1"/>
      <w:numFmt w:val="bullet"/>
      <w:lvlText w:val="o"/>
      <w:lvlJc w:val="left"/>
      <w:pPr>
        <w:tabs>
          <w:tab w:val="num" w:pos="5760"/>
        </w:tabs>
        <w:ind w:left="5760" w:hanging="360"/>
      </w:pPr>
      <w:rPr>
        <w:rFonts w:ascii="Courier New" w:hAnsi="Courier New"/>
      </w:rPr>
    </w:lvl>
    <w:lvl w:ilvl="8" w:tplc="439C4706">
      <w:start w:val="1"/>
      <w:numFmt w:val="bullet"/>
      <w:lvlText w:val=""/>
      <w:lvlJc w:val="left"/>
      <w:pPr>
        <w:tabs>
          <w:tab w:val="num" w:pos="6480"/>
        </w:tabs>
        <w:ind w:left="6480" w:hanging="360"/>
      </w:pPr>
      <w:rPr>
        <w:rFonts w:ascii="Wingdings" w:hAnsi="Wingdings"/>
      </w:rPr>
    </w:lvl>
  </w:abstractNum>
  <w:abstractNum w:abstractNumId="729" w15:restartNumberingAfterBreak="0">
    <w:nsid w:val="7223079B"/>
    <w:multiLevelType w:val="hybridMultilevel"/>
    <w:tmpl w:val="7223079B"/>
    <w:lvl w:ilvl="0" w:tplc="ECECA258">
      <w:start w:val="1"/>
      <w:numFmt w:val="bullet"/>
      <w:lvlText w:val=""/>
      <w:lvlJc w:val="left"/>
      <w:pPr>
        <w:ind w:left="720" w:hanging="360"/>
      </w:pPr>
      <w:rPr>
        <w:rFonts w:ascii="Symbol" w:hAnsi="Symbol"/>
      </w:rPr>
    </w:lvl>
    <w:lvl w:ilvl="1" w:tplc="BB56669E">
      <w:start w:val="1"/>
      <w:numFmt w:val="bullet"/>
      <w:lvlText w:val="o"/>
      <w:lvlJc w:val="left"/>
      <w:pPr>
        <w:tabs>
          <w:tab w:val="num" w:pos="1440"/>
        </w:tabs>
        <w:ind w:left="1440" w:hanging="360"/>
      </w:pPr>
      <w:rPr>
        <w:rFonts w:ascii="Courier New" w:hAnsi="Courier New"/>
      </w:rPr>
    </w:lvl>
    <w:lvl w:ilvl="2" w:tplc="50788FA2">
      <w:start w:val="1"/>
      <w:numFmt w:val="bullet"/>
      <w:lvlText w:val=""/>
      <w:lvlJc w:val="left"/>
      <w:pPr>
        <w:tabs>
          <w:tab w:val="num" w:pos="2160"/>
        </w:tabs>
        <w:ind w:left="2160" w:hanging="360"/>
      </w:pPr>
      <w:rPr>
        <w:rFonts w:ascii="Wingdings" w:hAnsi="Wingdings"/>
      </w:rPr>
    </w:lvl>
    <w:lvl w:ilvl="3" w:tplc="B5CCF3A2">
      <w:start w:val="1"/>
      <w:numFmt w:val="bullet"/>
      <w:lvlText w:val=""/>
      <w:lvlJc w:val="left"/>
      <w:pPr>
        <w:tabs>
          <w:tab w:val="num" w:pos="2880"/>
        </w:tabs>
        <w:ind w:left="2880" w:hanging="360"/>
      </w:pPr>
      <w:rPr>
        <w:rFonts w:ascii="Symbol" w:hAnsi="Symbol"/>
      </w:rPr>
    </w:lvl>
    <w:lvl w:ilvl="4" w:tplc="4FA0104E">
      <w:start w:val="1"/>
      <w:numFmt w:val="bullet"/>
      <w:lvlText w:val="o"/>
      <w:lvlJc w:val="left"/>
      <w:pPr>
        <w:tabs>
          <w:tab w:val="num" w:pos="3600"/>
        </w:tabs>
        <w:ind w:left="3600" w:hanging="360"/>
      </w:pPr>
      <w:rPr>
        <w:rFonts w:ascii="Courier New" w:hAnsi="Courier New"/>
      </w:rPr>
    </w:lvl>
    <w:lvl w:ilvl="5" w:tplc="03866C32">
      <w:start w:val="1"/>
      <w:numFmt w:val="bullet"/>
      <w:lvlText w:val=""/>
      <w:lvlJc w:val="left"/>
      <w:pPr>
        <w:tabs>
          <w:tab w:val="num" w:pos="4320"/>
        </w:tabs>
        <w:ind w:left="4320" w:hanging="360"/>
      </w:pPr>
      <w:rPr>
        <w:rFonts w:ascii="Wingdings" w:hAnsi="Wingdings"/>
      </w:rPr>
    </w:lvl>
    <w:lvl w:ilvl="6" w:tplc="32122FDA">
      <w:start w:val="1"/>
      <w:numFmt w:val="bullet"/>
      <w:lvlText w:val=""/>
      <w:lvlJc w:val="left"/>
      <w:pPr>
        <w:tabs>
          <w:tab w:val="num" w:pos="5040"/>
        </w:tabs>
        <w:ind w:left="5040" w:hanging="360"/>
      </w:pPr>
      <w:rPr>
        <w:rFonts w:ascii="Symbol" w:hAnsi="Symbol"/>
      </w:rPr>
    </w:lvl>
    <w:lvl w:ilvl="7" w:tplc="2340A5BA">
      <w:start w:val="1"/>
      <w:numFmt w:val="bullet"/>
      <w:lvlText w:val="o"/>
      <w:lvlJc w:val="left"/>
      <w:pPr>
        <w:tabs>
          <w:tab w:val="num" w:pos="5760"/>
        </w:tabs>
        <w:ind w:left="5760" w:hanging="360"/>
      </w:pPr>
      <w:rPr>
        <w:rFonts w:ascii="Courier New" w:hAnsi="Courier New"/>
      </w:rPr>
    </w:lvl>
    <w:lvl w:ilvl="8" w:tplc="5D5E7BB4">
      <w:start w:val="1"/>
      <w:numFmt w:val="bullet"/>
      <w:lvlText w:val=""/>
      <w:lvlJc w:val="left"/>
      <w:pPr>
        <w:tabs>
          <w:tab w:val="num" w:pos="6480"/>
        </w:tabs>
        <w:ind w:left="6480" w:hanging="360"/>
      </w:pPr>
      <w:rPr>
        <w:rFonts w:ascii="Wingdings" w:hAnsi="Wingdings"/>
      </w:rPr>
    </w:lvl>
  </w:abstractNum>
  <w:abstractNum w:abstractNumId="730" w15:restartNumberingAfterBreak="0">
    <w:nsid w:val="7223079C"/>
    <w:multiLevelType w:val="hybridMultilevel"/>
    <w:tmpl w:val="7223079C"/>
    <w:lvl w:ilvl="0" w:tplc="DF16E196">
      <w:start w:val="1"/>
      <w:numFmt w:val="bullet"/>
      <w:lvlText w:val=""/>
      <w:lvlJc w:val="left"/>
      <w:pPr>
        <w:tabs>
          <w:tab w:val="num" w:pos="720"/>
        </w:tabs>
        <w:ind w:left="720" w:hanging="360"/>
      </w:pPr>
      <w:rPr>
        <w:rFonts w:ascii="Symbol" w:hAnsi="Symbol"/>
      </w:rPr>
    </w:lvl>
    <w:lvl w:ilvl="1" w:tplc="C7DE0AAE">
      <w:start w:val="1"/>
      <w:numFmt w:val="bullet"/>
      <w:lvlText w:val="o"/>
      <w:lvlJc w:val="left"/>
      <w:pPr>
        <w:tabs>
          <w:tab w:val="num" w:pos="1440"/>
        </w:tabs>
        <w:ind w:left="1440" w:hanging="360"/>
      </w:pPr>
      <w:rPr>
        <w:rFonts w:ascii="Courier New" w:hAnsi="Courier New"/>
      </w:rPr>
    </w:lvl>
    <w:lvl w:ilvl="2" w:tplc="1FFC8728">
      <w:start w:val="1"/>
      <w:numFmt w:val="bullet"/>
      <w:lvlText w:val=""/>
      <w:lvlJc w:val="left"/>
      <w:pPr>
        <w:tabs>
          <w:tab w:val="num" w:pos="2160"/>
        </w:tabs>
        <w:ind w:left="2160" w:hanging="360"/>
      </w:pPr>
      <w:rPr>
        <w:rFonts w:ascii="Wingdings" w:hAnsi="Wingdings"/>
      </w:rPr>
    </w:lvl>
    <w:lvl w:ilvl="3" w:tplc="84C621FE">
      <w:start w:val="1"/>
      <w:numFmt w:val="bullet"/>
      <w:lvlText w:val=""/>
      <w:lvlJc w:val="left"/>
      <w:pPr>
        <w:tabs>
          <w:tab w:val="num" w:pos="2880"/>
        </w:tabs>
        <w:ind w:left="2880" w:hanging="360"/>
      </w:pPr>
      <w:rPr>
        <w:rFonts w:ascii="Symbol" w:hAnsi="Symbol"/>
      </w:rPr>
    </w:lvl>
    <w:lvl w:ilvl="4" w:tplc="544A147C">
      <w:start w:val="1"/>
      <w:numFmt w:val="bullet"/>
      <w:lvlText w:val="o"/>
      <w:lvlJc w:val="left"/>
      <w:pPr>
        <w:tabs>
          <w:tab w:val="num" w:pos="3600"/>
        </w:tabs>
        <w:ind w:left="3600" w:hanging="360"/>
      </w:pPr>
      <w:rPr>
        <w:rFonts w:ascii="Courier New" w:hAnsi="Courier New"/>
      </w:rPr>
    </w:lvl>
    <w:lvl w:ilvl="5" w:tplc="30DE117A">
      <w:start w:val="1"/>
      <w:numFmt w:val="bullet"/>
      <w:lvlText w:val=""/>
      <w:lvlJc w:val="left"/>
      <w:pPr>
        <w:tabs>
          <w:tab w:val="num" w:pos="4320"/>
        </w:tabs>
        <w:ind w:left="4320" w:hanging="360"/>
      </w:pPr>
      <w:rPr>
        <w:rFonts w:ascii="Wingdings" w:hAnsi="Wingdings"/>
      </w:rPr>
    </w:lvl>
    <w:lvl w:ilvl="6" w:tplc="BC5CBC86">
      <w:start w:val="1"/>
      <w:numFmt w:val="bullet"/>
      <w:lvlText w:val=""/>
      <w:lvlJc w:val="left"/>
      <w:pPr>
        <w:tabs>
          <w:tab w:val="num" w:pos="5040"/>
        </w:tabs>
        <w:ind w:left="5040" w:hanging="360"/>
      </w:pPr>
      <w:rPr>
        <w:rFonts w:ascii="Symbol" w:hAnsi="Symbol"/>
      </w:rPr>
    </w:lvl>
    <w:lvl w:ilvl="7" w:tplc="CF64C8A0">
      <w:start w:val="1"/>
      <w:numFmt w:val="bullet"/>
      <w:lvlText w:val="o"/>
      <w:lvlJc w:val="left"/>
      <w:pPr>
        <w:tabs>
          <w:tab w:val="num" w:pos="5760"/>
        </w:tabs>
        <w:ind w:left="5760" w:hanging="360"/>
      </w:pPr>
      <w:rPr>
        <w:rFonts w:ascii="Courier New" w:hAnsi="Courier New"/>
      </w:rPr>
    </w:lvl>
    <w:lvl w:ilvl="8" w:tplc="33D86F22">
      <w:start w:val="1"/>
      <w:numFmt w:val="bullet"/>
      <w:lvlText w:val=""/>
      <w:lvlJc w:val="left"/>
      <w:pPr>
        <w:tabs>
          <w:tab w:val="num" w:pos="6480"/>
        </w:tabs>
        <w:ind w:left="6480" w:hanging="360"/>
      </w:pPr>
      <w:rPr>
        <w:rFonts w:ascii="Wingdings" w:hAnsi="Wingdings"/>
      </w:rPr>
    </w:lvl>
  </w:abstractNum>
  <w:abstractNum w:abstractNumId="731" w15:restartNumberingAfterBreak="0">
    <w:nsid w:val="7223079D"/>
    <w:multiLevelType w:val="hybridMultilevel"/>
    <w:tmpl w:val="7223079D"/>
    <w:lvl w:ilvl="0" w:tplc="50DC6D16">
      <w:start w:val="1"/>
      <w:numFmt w:val="bullet"/>
      <w:lvlText w:val=""/>
      <w:lvlJc w:val="left"/>
      <w:pPr>
        <w:ind w:left="720" w:hanging="360"/>
      </w:pPr>
      <w:rPr>
        <w:rFonts w:ascii="Symbol" w:hAnsi="Symbol"/>
      </w:rPr>
    </w:lvl>
    <w:lvl w:ilvl="1" w:tplc="78BC4F98">
      <w:start w:val="1"/>
      <w:numFmt w:val="bullet"/>
      <w:lvlText w:val="o"/>
      <w:lvlJc w:val="left"/>
      <w:pPr>
        <w:tabs>
          <w:tab w:val="num" w:pos="1440"/>
        </w:tabs>
        <w:ind w:left="1440" w:hanging="360"/>
      </w:pPr>
      <w:rPr>
        <w:rFonts w:ascii="Courier New" w:hAnsi="Courier New"/>
      </w:rPr>
    </w:lvl>
    <w:lvl w:ilvl="2" w:tplc="D9DA2580">
      <w:start w:val="1"/>
      <w:numFmt w:val="bullet"/>
      <w:lvlText w:val=""/>
      <w:lvlJc w:val="left"/>
      <w:pPr>
        <w:tabs>
          <w:tab w:val="num" w:pos="2160"/>
        </w:tabs>
        <w:ind w:left="2160" w:hanging="360"/>
      </w:pPr>
      <w:rPr>
        <w:rFonts w:ascii="Wingdings" w:hAnsi="Wingdings"/>
      </w:rPr>
    </w:lvl>
    <w:lvl w:ilvl="3" w:tplc="299EE7A0">
      <w:start w:val="1"/>
      <w:numFmt w:val="bullet"/>
      <w:lvlText w:val=""/>
      <w:lvlJc w:val="left"/>
      <w:pPr>
        <w:tabs>
          <w:tab w:val="num" w:pos="2880"/>
        </w:tabs>
        <w:ind w:left="2880" w:hanging="360"/>
      </w:pPr>
      <w:rPr>
        <w:rFonts w:ascii="Symbol" w:hAnsi="Symbol"/>
      </w:rPr>
    </w:lvl>
    <w:lvl w:ilvl="4" w:tplc="92D21314">
      <w:start w:val="1"/>
      <w:numFmt w:val="bullet"/>
      <w:lvlText w:val="o"/>
      <w:lvlJc w:val="left"/>
      <w:pPr>
        <w:tabs>
          <w:tab w:val="num" w:pos="3600"/>
        </w:tabs>
        <w:ind w:left="3600" w:hanging="360"/>
      </w:pPr>
      <w:rPr>
        <w:rFonts w:ascii="Courier New" w:hAnsi="Courier New"/>
      </w:rPr>
    </w:lvl>
    <w:lvl w:ilvl="5" w:tplc="58B8194A">
      <w:start w:val="1"/>
      <w:numFmt w:val="bullet"/>
      <w:lvlText w:val=""/>
      <w:lvlJc w:val="left"/>
      <w:pPr>
        <w:tabs>
          <w:tab w:val="num" w:pos="4320"/>
        </w:tabs>
        <w:ind w:left="4320" w:hanging="360"/>
      </w:pPr>
      <w:rPr>
        <w:rFonts w:ascii="Wingdings" w:hAnsi="Wingdings"/>
      </w:rPr>
    </w:lvl>
    <w:lvl w:ilvl="6" w:tplc="704ECEDE">
      <w:start w:val="1"/>
      <w:numFmt w:val="bullet"/>
      <w:lvlText w:val=""/>
      <w:lvlJc w:val="left"/>
      <w:pPr>
        <w:tabs>
          <w:tab w:val="num" w:pos="5040"/>
        </w:tabs>
        <w:ind w:left="5040" w:hanging="360"/>
      </w:pPr>
      <w:rPr>
        <w:rFonts w:ascii="Symbol" w:hAnsi="Symbol"/>
      </w:rPr>
    </w:lvl>
    <w:lvl w:ilvl="7" w:tplc="AE42BB1A">
      <w:start w:val="1"/>
      <w:numFmt w:val="bullet"/>
      <w:lvlText w:val="o"/>
      <w:lvlJc w:val="left"/>
      <w:pPr>
        <w:tabs>
          <w:tab w:val="num" w:pos="5760"/>
        </w:tabs>
        <w:ind w:left="5760" w:hanging="360"/>
      </w:pPr>
      <w:rPr>
        <w:rFonts w:ascii="Courier New" w:hAnsi="Courier New"/>
      </w:rPr>
    </w:lvl>
    <w:lvl w:ilvl="8" w:tplc="622EECF0">
      <w:start w:val="1"/>
      <w:numFmt w:val="bullet"/>
      <w:lvlText w:val=""/>
      <w:lvlJc w:val="left"/>
      <w:pPr>
        <w:tabs>
          <w:tab w:val="num" w:pos="6480"/>
        </w:tabs>
        <w:ind w:left="6480" w:hanging="360"/>
      </w:pPr>
      <w:rPr>
        <w:rFonts w:ascii="Wingdings" w:hAnsi="Wingdings"/>
      </w:rPr>
    </w:lvl>
  </w:abstractNum>
  <w:abstractNum w:abstractNumId="732" w15:restartNumberingAfterBreak="0">
    <w:nsid w:val="7223079E"/>
    <w:multiLevelType w:val="hybridMultilevel"/>
    <w:tmpl w:val="7223079E"/>
    <w:lvl w:ilvl="0" w:tplc="2558154E">
      <w:start w:val="1"/>
      <w:numFmt w:val="bullet"/>
      <w:lvlText w:val=""/>
      <w:lvlJc w:val="left"/>
      <w:pPr>
        <w:ind w:left="720" w:hanging="360"/>
      </w:pPr>
      <w:rPr>
        <w:rFonts w:ascii="Symbol" w:hAnsi="Symbol"/>
      </w:rPr>
    </w:lvl>
    <w:lvl w:ilvl="1" w:tplc="C1C886F4">
      <w:start w:val="1"/>
      <w:numFmt w:val="bullet"/>
      <w:lvlText w:val="o"/>
      <w:lvlJc w:val="left"/>
      <w:pPr>
        <w:ind w:left="1440" w:hanging="360"/>
      </w:pPr>
      <w:rPr>
        <w:rFonts w:ascii="Courier New" w:hAnsi="Courier New"/>
      </w:rPr>
    </w:lvl>
    <w:lvl w:ilvl="2" w:tplc="BB8EEB84">
      <w:start w:val="1"/>
      <w:numFmt w:val="bullet"/>
      <w:lvlText w:val=""/>
      <w:lvlJc w:val="left"/>
      <w:pPr>
        <w:tabs>
          <w:tab w:val="num" w:pos="2160"/>
        </w:tabs>
        <w:ind w:left="2160" w:hanging="360"/>
      </w:pPr>
      <w:rPr>
        <w:rFonts w:ascii="Wingdings" w:hAnsi="Wingdings"/>
      </w:rPr>
    </w:lvl>
    <w:lvl w:ilvl="3" w:tplc="CD4C8812">
      <w:start w:val="1"/>
      <w:numFmt w:val="bullet"/>
      <w:lvlText w:val=""/>
      <w:lvlJc w:val="left"/>
      <w:pPr>
        <w:tabs>
          <w:tab w:val="num" w:pos="2880"/>
        </w:tabs>
        <w:ind w:left="2880" w:hanging="360"/>
      </w:pPr>
      <w:rPr>
        <w:rFonts w:ascii="Symbol" w:hAnsi="Symbol"/>
      </w:rPr>
    </w:lvl>
    <w:lvl w:ilvl="4" w:tplc="C1A44060">
      <w:start w:val="1"/>
      <w:numFmt w:val="bullet"/>
      <w:lvlText w:val="o"/>
      <w:lvlJc w:val="left"/>
      <w:pPr>
        <w:tabs>
          <w:tab w:val="num" w:pos="3600"/>
        </w:tabs>
        <w:ind w:left="3600" w:hanging="360"/>
      </w:pPr>
      <w:rPr>
        <w:rFonts w:ascii="Courier New" w:hAnsi="Courier New"/>
      </w:rPr>
    </w:lvl>
    <w:lvl w:ilvl="5" w:tplc="F97CB1A0">
      <w:start w:val="1"/>
      <w:numFmt w:val="bullet"/>
      <w:lvlText w:val=""/>
      <w:lvlJc w:val="left"/>
      <w:pPr>
        <w:tabs>
          <w:tab w:val="num" w:pos="4320"/>
        </w:tabs>
        <w:ind w:left="4320" w:hanging="360"/>
      </w:pPr>
      <w:rPr>
        <w:rFonts w:ascii="Wingdings" w:hAnsi="Wingdings"/>
      </w:rPr>
    </w:lvl>
    <w:lvl w:ilvl="6" w:tplc="F58EE446">
      <w:start w:val="1"/>
      <w:numFmt w:val="bullet"/>
      <w:lvlText w:val=""/>
      <w:lvlJc w:val="left"/>
      <w:pPr>
        <w:tabs>
          <w:tab w:val="num" w:pos="5040"/>
        </w:tabs>
        <w:ind w:left="5040" w:hanging="360"/>
      </w:pPr>
      <w:rPr>
        <w:rFonts w:ascii="Symbol" w:hAnsi="Symbol"/>
      </w:rPr>
    </w:lvl>
    <w:lvl w:ilvl="7" w:tplc="FE42CF58">
      <w:start w:val="1"/>
      <w:numFmt w:val="bullet"/>
      <w:lvlText w:val="o"/>
      <w:lvlJc w:val="left"/>
      <w:pPr>
        <w:tabs>
          <w:tab w:val="num" w:pos="5760"/>
        </w:tabs>
        <w:ind w:left="5760" w:hanging="360"/>
      </w:pPr>
      <w:rPr>
        <w:rFonts w:ascii="Courier New" w:hAnsi="Courier New"/>
      </w:rPr>
    </w:lvl>
    <w:lvl w:ilvl="8" w:tplc="185E0DC8">
      <w:start w:val="1"/>
      <w:numFmt w:val="bullet"/>
      <w:lvlText w:val=""/>
      <w:lvlJc w:val="left"/>
      <w:pPr>
        <w:tabs>
          <w:tab w:val="num" w:pos="6480"/>
        </w:tabs>
        <w:ind w:left="6480" w:hanging="360"/>
      </w:pPr>
      <w:rPr>
        <w:rFonts w:ascii="Wingdings" w:hAnsi="Wingdings"/>
      </w:rPr>
    </w:lvl>
  </w:abstractNum>
  <w:abstractNum w:abstractNumId="733" w15:restartNumberingAfterBreak="0">
    <w:nsid w:val="7223079F"/>
    <w:multiLevelType w:val="hybridMultilevel"/>
    <w:tmpl w:val="7223079F"/>
    <w:lvl w:ilvl="0" w:tplc="772AE0B8">
      <w:start w:val="1"/>
      <w:numFmt w:val="bullet"/>
      <w:lvlText w:val=""/>
      <w:lvlJc w:val="left"/>
      <w:pPr>
        <w:ind w:left="720" w:hanging="360"/>
      </w:pPr>
      <w:rPr>
        <w:rFonts w:ascii="Symbol" w:hAnsi="Symbol"/>
      </w:rPr>
    </w:lvl>
    <w:lvl w:ilvl="1" w:tplc="966E7C38">
      <w:start w:val="1"/>
      <w:numFmt w:val="bullet"/>
      <w:lvlText w:val="o"/>
      <w:lvlJc w:val="left"/>
      <w:pPr>
        <w:tabs>
          <w:tab w:val="num" w:pos="1440"/>
        </w:tabs>
        <w:ind w:left="1440" w:hanging="360"/>
      </w:pPr>
      <w:rPr>
        <w:rFonts w:ascii="Courier New" w:hAnsi="Courier New"/>
      </w:rPr>
    </w:lvl>
    <w:lvl w:ilvl="2" w:tplc="D0C21E48">
      <w:start w:val="1"/>
      <w:numFmt w:val="bullet"/>
      <w:lvlText w:val=""/>
      <w:lvlJc w:val="left"/>
      <w:pPr>
        <w:tabs>
          <w:tab w:val="num" w:pos="2160"/>
        </w:tabs>
        <w:ind w:left="2160" w:hanging="360"/>
      </w:pPr>
      <w:rPr>
        <w:rFonts w:ascii="Wingdings" w:hAnsi="Wingdings"/>
      </w:rPr>
    </w:lvl>
    <w:lvl w:ilvl="3" w:tplc="2D8A7154">
      <w:start w:val="1"/>
      <w:numFmt w:val="bullet"/>
      <w:lvlText w:val=""/>
      <w:lvlJc w:val="left"/>
      <w:pPr>
        <w:tabs>
          <w:tab w:val="num" w:pos="2880"/>
        </w:tabs>
        <w:ind w:left="2880" w:hanging="360"/>
      </w:pPr>
      <w:rPr>
        <w:rFonts w:ascii="Symbol" w:hAnsi="Symbol"/>
      </w:rPr>
    </w:lvl>
    <w:lvl w:ilvl="4" w:tplc="2CD421A2">
      <w:start w:val="1"/>
      <w:numFmt w:val="bullet"/>
      <w:lvlText w:val="o"/>
      <w:lvlJc w:val="left"/>
      <w:pPr>
        <w:tabs>
          <w:tab w:val="num" w:pos="3600"/>
        </w:tabs>
        <w:ind w:left="3600" w:hanging="360"/>
      </w:pPr>
      <w:rPr>
        <w:rFonts w:ascii="Courier New" w:hAnsi="Courier New"/>
      </w:rPr>
    </w:lvl>
    <w:lvl w:ilvl="5" w:tplc="9CE0E388">
      <w:start w:val="1"/>
      <w:numFmt w:val="bullet"/>
      <w:lvlText w:val=""/>
      <w:lvlJc w:val="left"/>
      <w:pPr>
        <w:tabs>
          <w:tab w:val="num" w:pos="4320"/>
        </w:tabs>
        <w:ind w:left="4320" w:hanging="360"/>
      </w:pPr>
      <w:rPr>
        <w:rFonts w:ascii="Wingdings" w:hAnsi="Wingdings"/>
      </w:rPr>
    </w:lvl>
    <w:lvl w:ilvl="6" w:tplc="5C9A0EAC">
      <w:start w:val="1"/>
      <w:numFmt w:val="bullet"/>
      <w:lvlText w:val=""/>
      <w:lvlJc w:val="left"/>
      <w:pPr>
        <w:tabs>
          <w:tab w:val="num" w:pos="5040"/>
        </w:tabs>
        <w:ind w:left="5040" w:hanging="360"/>
      </w:pPr>
      <w:rPr>
        <w:rFonts w:ascii="Symbol" w:hAnsi="Symbol"/>
      </w:rPr>
    </w:lvl>
    <w:lvl w:ilvl="7" w:tplc="34B8057C">
      <w:start w:val="1"/>
      <w:numFmt w:val="bullet"/>
      <w:lvlText w:val="o"/>
      <w:lvlJc w:val="left"/>
      <w:pPr>
        <w:tabs>
          <w:tab w:val="num" w:pos="5760"/>
        </w:tabs>
        <w:ind w:left="5760" w:hanging="360"/>
      </w:pPr>
      <w:rPr>
        <w:rFonts w:ascii="Courier New" w:hAnsi="Courier New"/>
      </w:rPr>
    </w:lvl>
    <w:lvl w:ilvl="8" w:tplc="B8BA3B8A">
      <w:start w:val="1"/>
      <w:numFmt w:val="bullet"/>
      <w:lvlText w:val=""/>
      <w:lvlJc w:val="left"/>
      <w:pPr>
        <w:tabs>
          <w:tab w:val="num" w:pos="6480"/>
        </w:tabs>
        <w:ind w:left="6480" w:hanging="360"/>
      </w:pPr>
      <w:rPr>
        <w:rFonts w:ascii="Wingdings" w:hAnsi="Wingdings"/>
      </w:rPr>
    </w:lvl>
  </w:abstractNum>
  <w:abstractNum w:abstractNumId="734" w15:restartNumberingAfterBreak="0">
    <w:nsid w:val="722307A0"/>
    <w:multiLevelType w:val="hybridMultilevel"/>
    <w:tmpl w:val="722307A0"/>
    <w:lvl w:ilvl="0" w:tplc="05DC0BE4">
      <w:start w:val="1"/>
      <w:numFmt w:val="bullet"/>
      <w:lvlText w:val=""/>
      <w:lvlJc w:val="left"/>
      <w:pPr>
        <w:ind w:left="720" w:hanging="360"/>
      </w:pPr>
      <w:rPr>
        <w:rFonts w:ascii="Symbol" w:hAnsi="Symbol"/>
      </w:rPr>
    </w:lvl>
    <w:lvl w:ilvl="1" w:tplc="8CC4BF28">
      <w:start w:val="1"/>
      <w:numFmt w:val="bullet"/>
      <w:lvlText w:val="o"/>
      <w:lvlJc w:val="left"/>
      <w:pPr>
        <w:tabs>
          <w:tab w:val="num" w:pos="1440"/>
        </w:tabs>
        <w:ind w:left="1440" w:hanging="360"/>
      </w:pPr>
      <w:rPr>
        <w:rFonts w:ascii="Courier New" w:hAnsi="Courier New"/>
      </w:rPr>
    </w:lvl>
    <w:lvl w:ilvl="2" w:tplc="1B247D7C">
      <w:start w:val="1"/>
      <w:numFmt w:val="bullet"/>
      <w:lvlText w:val=""/>
      <w:lvlJc w:val="left"/>
      <w:pPr>
        <w:tabs>
          <w:tab w:val="num" w:pos="2160"/>
        </w:tabs>
        <w:ind w:left="2160" w:hanging="360"/>
      </w:pPr>
      <w:rPr>
        <w:rFonts w:ascii="Wingdings" w:hAnsi="Wingdings"/>
      </w:rPr>
    </w:lvl>
    <w:lvl w:ilvl="3" w:tplc="8A661352">
      <w:start w:val="1"/>
      <w:numFmt w:val="bullet"/>
      <w:lvlText w:val=""/>
      <w:lvlJc w:val="left"/>
      <w:pPr>
        <w:tabs>
          <w:tab w:val="num" w:pos="2880"/>
        </w:tabs>
        <w:ind w:left="2880" w:hanging="360"/>
      </w:pPr>
      <w:rPr>
        <w:rFonts w:ascii="Symbol" w:hAnsi="Symbol"/>
      </w:rPr>
    </w:lvl>
    <w:lvl w:ilvl="4" w:tplc="87FA233E">
      <w:start w:val="1"/>
      <w:numFmt w:val="bullet"/>
      <w:lvlText w:val="o"/>
      <w:lvlJc w:val="left"/>
      <w:pPr>
        <w:tabs>
          <w:tab w:val="num" w:pos="3600"/>
        </w:tabs>
        <w:ind w:left="3600" w:hanging="360"/>
      </w:pPr>
      <w:rPr>
        <w:rFonts w:ascii="Courier New" w:hAnsi="Courier New"/>
      </w:rPr>
    </w:lvl>
    <w:lvl w:ilvl="5" w:tplc="6FE4E1E8">
      <w:start w:val="1"/>
      <w:numFmt w:val="bullet"/>
      <w:lvlText w:val=""/>
      <w:lvlJc w:val="left"/>
      <w:pPr>
        <w:tabs>
          <w:tab w:val="num" w:pos="4320"/>
        </w:tabs>
        <w:ind w:left="4320" w:hanging="360"/>
      </w:pPr>
      <w:rPr>
        <w:rFonts w:ascii="Wingdings" w:hAnsi="Wingdings"/>
      </w:rPr>
    </w:lvl>
    <w:lvl w:ilvl="6" w:tplc="442CCBFA">
      <w:start w:val="1"/>
      <w:numFmt w:val="bullet"/>
      <w:lvlText w:val=""/>
      <w:lvlJc w:val="left"/>
      <w:pPr>
        <w:tabs>
          <w:tab w:val="num" w:pos="5040"/>
        </w:tabs>
        <w:ind w:left="5040" w:hanging="360"/>
      </w:pPr>
      <w:rPr>
        <w:rFonts w:ascii="Symbol" w:hAnsi="Symbol"/>
      </w:rPr>
    </w:lvl>
    <w:lvl w:ilvl="7" w:tplc="D870D374">
      <w:start w:val="1"/>
      <w:numFmt w:val="bullet"/>
      <w:lvlText w:val="o"/>
      <w:lvlJc w:val="left"/>
      <w:pPr>
        <w:tabs>
          <w:tab w:val="num" w:pos="5760"/>
        </w:tabs>
        <w:ind w:left="5760" w:hanging="360"/>
      </w:pPr>
      <w:rPr>
        <w:rFonts w:ascii="Courier New" w:hAnsi="Courier New"/>
      </w:rPr>
    </w:lvl>
    <w:lvl w:ilvl="8" w:tplc="B852ACF6">
      <w:start w:val="1"/>
      <w:numFmt w:val="bullet"/>
      <w:lvlText w:val=""/>
      <w:lvlJc w:val="left"/>
      <w:pPr>
        <w:tabs>
          <w:tab w:val="num" w:pos="6480"/>
        </w:tabs>
        <w:ind w:left="6480" w:hanging="360"/>
      </w:pPr>
      <w:rPr>
        <w:rFonts w:ascii="Wingdings" w:hAnsi="Wingdings"/>
      </w:rPr>
    </w:lvl>
  </w:abstractNum>
  <w:abstractNum w:abstractNumId="735" w15:restartNumberingAfterBreak="0">
    <w:nsid w:val="722307A1"/>
    <w:multiLevelType w:val="hybridMultilevel"/>
    <w:tmpl w:val="722307A1"/>
    <w:lvl w:ilvl="0" w:tplc="EFEA9DAE">
      <w:start w:val="1"/>
      <w:numFmt w:val="bullet"/>
      <w:lvlText w:val=""/>
      <w:lvlJc w:val="left"/>
      <w:pPr>
        <w:ind w:left="720" w:hanging="360"/>
      </w:pPr>
      <w:rPr>
        <w:rFonts w:ascii="Symbol" w:hAnsi="Symbol"/>
      </w:rPr>
    </w:lvl>
    <w:lvl w:ilvl="1" w:tplc="B7747ADE">
      <w:start w:val="1"/>
      <w:numFmt w:val="bullet"/>
      <w:lvlText w:val="o"/>
      <w:lvlJc w:val="left"/>
      <w:pPr>
        <w:tabs>
          <w:tab w:val="num" w:pos="1440"/>
        </w:tabs>
        <w:ind w:left="1440" w:hanging="360"/>
      </w:pPr>
      <w:rPr>
        <w:rFonts w:ascii="Courier New" w:hAnsi="Courier New"/>
      </w:rPr>
    </w:lvl>
    <w:lvl w:ilvl="2" w:tplc="F6A84306">
      <w:start w:val="1"/>
      <w:numFmt w:val="bullet"/>
      <w:lvlText w:val=""/>
      <w:lvlJc w:val="left"/>
      <w:pPr>
        <w:tabs>
          <w:tab w:val="num" w:pos="2160"/>
        </w:tabs>
        <w:ind w:left="2160" w:hanging="360"/>
      </w:pPr>
      <w:rPr>
        <w:rFonts w:ascii="Wingdings" w:hAnsi="Wingdings"/>
      </w:rPr>
    </w:lvl>
    <w:lvl w:ilvl="3" w:tplc="CF7C7268">
      <w:start w:val="1"/>
      <w:numFmt w:val="bullet"/>
      <w:lvlText w:val=""/>
      <w:lvlJc w:val="left"/>
      <w:pPr>
        <w:tabs>
          <w:tab w:val="num" w:pos="2880"/>
        </w:tabs>
        <w:ind w:left="2880" w:hanging="360"/>
      </w:pPr>
      <w:rPr>
        <w:rFonts w:ascii="Symbol" w:hAnsi="Symbol"/>
      </w:rPr>
    </w:lvl>
    <w:lvl w:ilvl="4" w:tplc="99ACDAFA">
      <w:start w:val="1"/>
      <w:numFmt w:val="bullet"/>
      <w:lvlText w:val="o"/>
      <w:lvlJc w:val="left"/>
      <w:pPr>
        <w:tabs>
          <w:tab w:val="num" w:pos="3600"/>
        </w:tabs>
        <w:ind w:left="3600" w:hanging="360"/>
      </w:pPr>
      <w:rPr>
        <w:rFonts w:ascii="Courier New" w:hAnsi="Courier New"/>
      </w:rPr>
    </w:lvl>
    <w:lvl w:ilvl="5" w:tplc="314A4AB2">
      <w:start w:val="1"/>
      <w:numFmt w:val="bullet"/>
      <w:lvlText w:val=""/>
      <w:lvlJc w:val="left"/>
      <w:pPr>
        <w:tabs>
          <w:tab w:val="num" w:pos="4320"/>
        </w:tabs>
        <w:ind w:left="4320" w:hanging="360"/>
      </w:pPr>
      <w:rPr>
        <w:rFonts w:ascii="Wingdings" w:hAnsi="Wingdings"/>
      </w:rPr>
    </w:lvl>
    <w:lvl w:ilvl="6" w:tplc="DF84486C">
      <w:start w:val="1"/>
      <w:numFmt w:val="bullet"/>
      <w:lvlText w:val=""/>
      <w:lvlJc w:val="left"/>
      <w:pPr>
        <w:tabs>
          <w:tab w:val="num" w:pos="5040"/>
        </w:tabs>
        <w:ind w:left="5040" w:hanging="360"/>
      </w:pPr>
      <w:rPr>
        <w:rFonts w:ascii="Symbol" w:hAnsi="Symbol"/>
      </w:rPr>
    </w:lvl>
    <w:lvl w:ilvl="7" w:tplc="A6384EF2">
      <w:start w:val="1"/>
      <w:numFmt w:val="bullet"/>
      <w:lvlText w:val="o"/>
      <w:lvlJc w:val="left"/>
      <w:pPr>
        <w:tabs>
          <w:tab w:val="num" w:pos="5760"/>
        </w:tabs>
        <w:ind w:left="5760" w:hanging="360"/>
      </w:pPr>
      <w:rPr>
        <w:rFonts w:ascii="Courier New" w:hAnsi="Courier New"/>
      </w:rPr>
    </w:lvl>
    <w:lvl w:ilvl="8" w:tplc="0A7802D4">
      <w:start w:val="1"/>
      <w:numFmt w:val="bullet"/>
      <w:lvlText w:val=""/>
      <w:lvlJc w:val="left"/>
      <w:pPr>
        <w:tabs>
          <w:tab w:val="num" w:pos="6480"/>
        </w:tabs>
        <w:ind w:left="6480" w:hanging="360"/>
      </w:pPr>
      <w:rPr>
        <w:rFonts w:ascii="Wingdings" w:hAnsi="Wingdings"/>
      </w:rPr>
    </w:lvl>
  </w:abstractNum>
  <w:abstractNum w:abstractNumId="736" w15:restartNumberingAfterBreak="0">
    <w:nsid w:val="722307A2"/>
    <w:multiLevelType w:val="hybridMultilevel"/>
    <w:tmpl w:val="722307A2"/>
    <w:lvl w:ilvl="0" w:tplc="B3BA754C">
      <w:start w:val="1"/>
      <w:numFmt w:val="bullet"/>
      <w:lvlText w:val=""/>
      <w:lvlJc w:val="left"/>
      <w:pPr>
        <w:tabs>
          <w:tab w:val="num" w:pos="720"/>
        </w:tabs>
        <w:ind w:left="720" w:hanging="360"/>
      </w:pPr>
      <w:rPr>
        <w:rFonts w:ascii="Symbol" w:hAnsi="Symbol"/>
      </w:rPr>
    </w:lvl>
    <w:lvl w:ilvl="1" w:tplc="65725BB2">
      <w:start w:val="1"/>
      <w:numFmt w:val="bullet"/>
      <w:lvlText w:val="o"/>
      <w:lvlJc w:val="left"/>
      <w:pPr>
        <w:tabs>
          <w:tab w:val="num" w:pos="1440"/>
        </w:tabs>
        <w:ind w:left="1440" w:hanging="360"/>
      </w:pPr>
      <w:rPr>
        <w:rFonts w:ascii="Courier New" w:hAnsi="Courier New"/>
      </w:rPr>
    </w:lvl>
    <w:lvl w:ilvl="2" w:tplc="4FC8040C">
      <w:start w:val="1"/>
      <w:numFmt w:val="bullet"/>
      <w:lvlText w:val=""/>
      <w:lvlJc w:val="left"/>
      <w:pPr>
        <w:tabs>
          <w:tab w:val="num" w:pos="2160"/>
        </w:tabs>
        <w:ind w:left="2160" w:hanging="360"/>
      </w:pPr>
      <w:rPr>
        <w:rFonts w:ascii="Wingdings" w:hAnsi="Wingdings"/>
      </w:rPr>
    </w:lvl>
    <w:lvl w:ilvl="3" w:tplc="A3A2E9E4">
      <w:start w:val="1"/>
      <w:numFmt w:val="bullet"/>
      <w:lvlText w:val=""/>
      <w:lvlJc w:val="left"/>
      <w:pPr>
        <w:tabs>
          <w:tab w:val="num" w:pos="2880"/>
        </w:tabs>
        <w:ind w:left="2880" w:hanging="360"/>
      </w:pPr>
      <w:rPr>
        <w:rFonts w:ascii="Symbol" w:hAnsi="Symbol"/>
      </w:rPr>
    </w:lvl>
    <w:lvl w:ilvl="4" w:tplc="9182D48C">
      <w:start w:val="1"/>
      <w:numFmt w:val="bullet"/>
      <w:lvlText w:val="o"/>
      <w:lvlJc w:val="left"/>
      <w:pPr>
        <w:tabs>
          <w:tab w:val="num" w:pos="3600"/>
        </w:tabs>
        <w:ind w:left="3600" w:hanging="360"/>
      </w:pPr>
      <w:rPr>
        <w:rFonts w:ascii="Courier New" w:hAnsi="Courier New"/>
      </w:rPr>
    </w:lvl>
    <w:lvl w:ilvl="5" w:tplc="C0AE8C64">
      <w:start w:val="1"/>
      <w:numFmt w:val="bullet"/>
      <w:lvlText w:val=""/>
      <w:lvlJc w:val="left"/>
      <w:pPr>
        <w:tabs>
          <w:tab w:val="num" w:pos="4320"/>
        </w:tabs>
        <w:ind w:left="4320" w:hanging="360"/>
      </w:pPr>
      <w:rPr>
        <w:rFonts w:ascii="Wingdings" w:hAnsi="Wingdings"/>
      </w:rPr>
    </w:lvl>
    <w:lvl w:ilvl="6" w:tplc="3B9C3394">
      <w:start w:val="1"/>
      <w:numFmt w:val="bullet"/>
      <w:lvlText w:val=""/>
      <w:lvlJc w:val="left"/>
      <w:pPr>
        <w:tabs>
          <w:tab w:val="num" w:pos="5040"/>
        </w:tabs>
        <w:ind w:left="5040" w:hanging="360"/>
      </w:pPr>
      <w:rPr>
        <w:rFonts w:ascii="Symbol" w:hAnsi="Symbol"/>
      </w:rPr>
    </w:lvl>
    <w:lvl w:ilvl="7" w:tplc="1342364A">
      <w:start w:val="1"/>
      <w:numFmt w:val="bullet"/>
      <w:lvlText w:val="o"/>
      <w:lvlJc w:val="left"/>
      <w:pPr>
        <w:tabs>
          <w:tab w:val="num" w:pos="5760"/>
        </w:tabs>
        <w:ind w:left="5760" w:hanging="360"/>
      </w:pPr>
      <w:rPr>
        <w:rFonts w:ascii="Courier New" w:hAnsi="Courier New"/>
      </w:rPr>
    </w:lvl>
    <w:lvl w:ilvl="8" w:tplc="42D2FF4A">
      <w:start w:val="1"/>
      <w:numFmt w:val="bullet"/>
      <w:lvlText w:val=""/>
      <w:lvlJc w:val="left"/>
      <w:pPr>
        <w:tabs>
          <w:tab w:val="num" w:pos="6480"/>
        </w:tabs>
        <w:ind w:left="6480" w:hanging="360"/>
      </w:pPr>
      <w:rPr>
        <w:rFonts w:ascii="Wingdings" w:hAnsi="Wingdings"/>
      </w:rPr>
    </w:lvl>
  </w:abstractNum>
  <w:abstractNum w:abstractNumId="737" w15:restartNumberingAfterBreak="0">
    <w:nsid w:val="722307A3"/>
    <w:multiLevelType w:val="hybridMultilevel"/>
    <w:tmpl w:val="722307A3"/>
    <w:lvl w:ilvl="0" w:tplc="6A2EF5FC">
      <w:start w:val="1"/>
      <w:numFmt w:val="bullet"/>
      <w:lvlText w:val=""/>
      <w:lvlJc w:val="left"/>
      <w:pPr>
        <w:ind w:left="720" w:hanging="360"/>
      </w:pPr>
      <w:rPr>
        <w:rFonts w:ascii="Symbol" w:hAnsi="Symbol"/>
      </w:rPr>
    </w:lvl>
    <w:lvl w:ilvl="1" w:tplc="54EC7D36">
      <w:start w:val="1"/>
      <w:numFmt w:val="bullet"/>
      <w:lvlText w:val="o"/>
      <w:lvlJc w:val="left"/>
      <w:pPr>
        <w:ind w:left="1440" w:hanging="360"/>
      </w:pPr>
      <w:rPr>
        <w:rFonts w:ascii="Courier New" w:hAnsi="Courier New"/>
      </w:rPr>
    </w:lvl>
    <w:lvl w:ilvl="2" w:tplc="1CDC9762">
      <w:start w:val="1"/>
      <w:numFmt w:val="bullet"/>
      <w:lvlText w:val=""/>
      <w:lvlJc w:val="left"/>
      <w:pPr>
        <w:tabs>
          <w:tab w:val="num" w:pos="2160"/>
        </w:tabs>
        <w:ind w:left="2160" w:hanging="360"/>
      </w:pPr>
      <w:rPr>
        <w:rFonts w:ascii="Wingdings" w:hAnsi="Wingdings"/>
      </w:rPr>
    </w:lvl>
    <w:lvl w:ilvl="3" w:tplc="1C5C4520">
      <w:start w:val="1"/>
      <w:numFmt w:val="bullet"/>
      <w:lvlText w:val=""/>
      <w:lvlJc w:val="left"/>
      <w:pPr>
        <w:tabs>
          <w:tab w:val="num" w:pos="2880"/>
        </w:tabs>
        <w:ind w:left="2880" w:hanging="360"/>
      </w:pPr>
      <w:rPr>
        <w:rFonts w:ascii="Symbol" w:hAnsi="Symbol"/>
      </w:rPr>
    </w:lvl>
    <w:lvl w:ilvl="4" w:tplc="621C616E">
      <w:start w:val="1"/>
      <w:numFmt w:val="bullet"/>
      <w:lvlText w:val="o"/>
      <w:lvlJc w:val="left"/>
      <w:pPr>
        <w:tabs>
          <w:tab w:val="num" w:pos="3600"/>
        </w:tabs>
        <w:ind w:left="3600" w:hanging="360"/>
      </w:pPr>
      <w:rPr>
        <w:rFonts w:ascii="Courier New" w:hAnsi="Courier New"/>
      </w:rPr>
    </w:lvl>
    <w:lvl w:ilvl="5" w:tplc="2946DFE6">
      <w:start w:val="1"/>
      <w:numFmt w:val="bullet"/>
      <w:lvlText w:val=""/>
      <w:lvlJc w:val="left"/>
      <w:pPr>
        <w:tabs>
          <w:tab w:val="num" w:pos="4320"/>
        </w:tabs>
        <w:ind w:left="4320" w:hanging="360"/>
      </w:pPr>
      <w:rPr>
        <w:rFonts w:ascii="Wingdings" w:hAnsi="Wingdings"/>
      </w:rPr>
    </w:lvl>
    <w:lvl w:ilvl="6" w:tplc="230E5870">
      <w:start w:val="1"/>
      <w:numFmt w:val="bullet"/>
      <w:lvlText w:val=""/>
      <w:lvlJc w:val="left"/>
      <w:pPr>
        <w:tabs>
          <w:tab w:val="num" w:pos="5040"/>
        </w:tabs>
        <w:ind w:left="5040" w:hanging="360"/>
      </w:pPr>
      <w:rPr>
        <w:rFonts w:ascii="Symbol" w:hAnsi="Symbol"/>
      </w:rPr>
    </w:lvl>
    <w:lvl w:ilvl="7" w:tplc="27CADEA0">
      <w:start w:val="1"/>
      <w:numFmt w:val="bullet"/>
      <w:lvlText w:val="o"/>
      <w:lvlJc w:val="left"/>
      <w:pPr>
        <w:tabs>
          <w:tab w:val="num" w:pos="5760"/>
        </w:tabs>
        <w:ind w:left="5760" w:hanging="360"/>
      </w:pPr>
      <w:rPr>
        <w:rFonts w:ascii="Courier New" w:hAnsi="Courier New"/>
      </w:rPr>
    </w:lvl>
    <w:lvl w:ilvl="8" w:tplc="256ADC64">
      <w:start w:val="1"/>
      <w:numFmt w:val="bullet"/>
      <w:lvlText w:val=""/>
      <w:lvlJc w:val="left"/>
      <w:pPr>
        <w:tabs>
          <w:tab w:val="num" w:pos="6480"/>
        </w:tabs>
        <w:ind w:left="6480" w:hanging="360"/>
      </w:pPr>
      <w:rPr>
        <w:rFonts w:ascii="Wingdings" w:hAnsi="Wingdings"/>
      </w:rPr>
    </w:lvl>
  </w:abstractNum>
  <w:abstractNum w:abstractNumId="738" w15:restartNumberingAfterBreak="0">
    <w:nsid w:val="722307A4"/>
    <w:multiLevelType w:val="hybridMultilevel"/>
    <w:tmpl w:val="722307A4"/>
    <w:lvl w:ilvl="0" w:tplc="A016E75A">
      <w:start w:val="1"/>
      <w:numFmt w:val="bullet"/>
      <w:lvlText w:val=""/>
      <w:lvlJc w:val="left"/>
      <w:pPr>
        <w:ind w:left="720" w:hanging="360"/>
      </w:pPr>
      <w:rPr>
        <w:rFonts w:ascii="Symbol" w:hAnsi="Symbol"/>
      </w:rPr>
    </w:lvl>
    <w:lvl w:ilvl="1" w:tplc="E822F5BC">
      <w:start w:val="1"/>
      <w:numFmt w:val="bullet"/>
      <w:lvlText w:val="o"/>
      <w:lvlJc w:val="left"/>
      <w:pPr>
        <w:tabs>
          <w:tab w:val="num" w:pos="1440"/>
        </w:tabs>
        <w:ind w:left="1440" w:hanging="360"/>
      </w:pPr>
      <w:rPr>
        <w:rFonts w:ascii="Courier New" w:hAnsi="Courier New"/>
      </w:rPr>
    </w:lvl>
    <w:lvl w:ilvl="2" w:tplc="D6622CD6">
      <w:start w:val="1"/>
      <w:numFmt w:val="bullet"/>
      <w:lvlText w:val=""/>
      <w:lvlJc w:val="left"/>
      <w:pPr>
        <w:tabs>
          <w:tab w:val="num" w:pos="2160"/>
        </w:tabs>
        <w:ind w:left="2160" w:hanging="360"/>
      </w:pPr>
      <w:rPr>
        <w:rFonts w:ascii="Wingdings" w:hAnsi="Wingdings"/>
      </w:rPr>
    </w:lvl>
    <w:lvl w:ilvl="3" w:tplc="83746B92">
      <w:start w:val="1"/>
      <w:numFmt w:val="bullet"/>
      <w:lvlText w:val=""/>
      <w:lvlJc w:val="left"/>
      <w:pPr>
        <w:tabs>
          <w:tab w:val="num" w:pos="2880"/>
        </w:tabs>
        <w:ind w:left="2880" w:hanging="360"/>
      </w:pPr>
      <w:rPr>
        <w:rFonts w:ascii="Symbol" w:hAnsi="Symbol"/>
      </w:rPr>
    </w:lvl>
    <w:lvl w:ilvl="4" w:tplc="2BFCB69E">
      <w:start w:val="1"/>
      <w:numFmt w:val="bullet"/>
      <w:lvlText w:val="o"/>
      <w:lvlJc w:val="left"/>
      <w:pPr>
        <w:tabs>
          <w:tab w:val="num" w:pos="3600"/>
        </w:tabs>
        <w:ind w:left="3600" w:hanging="360"/>
      </w:pPr>
      <w:rPr>
        <w:rFonts w:ascii="Courier New" w:hAnsi="Courier New"/>
      </w:rPr>
    </w:lvl>
    <w:lvl w:ilvl="5" w:tplc="7E76E52C">
      <w:start w:val="1"/>
      <w:numFmt w:val="bullet"/>
      <w:lvlText w:val=""/>
      <w:lvlJc w:val="left"/>
      <w:pPr>
        <w:tabs>
          <w:tab w:val="num" w:pos="4320"/>
        </w:tabs>
        <w:ind w:left="4320" w:hanging="360"/>
      </w:pPr>
      <w:rPr>
        <w:rFonts w:ascii="Wingdings" w:hAnsi="Wingdings"/>
      </w:rPr>
    </w:lvl>
    <w:lvl w:ilvl="6" w:tplc="4C722760">
      <w:start w:val="1"/>
      <w:numFmt w:val="bullet"/>
      <w:lvlText w:val=""/>
      <w:lvlJc w:val="left"/>
      <w:pPr>
        <w:tabs>
          <w:tab w:val="num" w:pos="5040"/>
        </w:tabs>
        <w:ind w:left="5040" w:hanging="360"/>
      </w:pPr>
      <w:rPr>
        <w:rFonts w:ascii="Symbol" w:hAnsi="Symbol"/>
      </w:rPr>
    </w:lvl>
    <w:lvl w:ilvl="7" w:tplc="19F8A67E">
      <w:start w:val="1"/>
      <w:numFmt w:val="bullet"/>
      <w:lvlText w:val="o"/>
      <w:lvlJc w:val="left"/>
      <w:pPr>
        <w:tabs>
          <w:tab w:val="num" w:pos="5760"/>
        </w:tabs>
        <w:ind w:left="5760" w:hanging="360"/>
      </w:pPr>
      <w:rPr>
        <w:rFonts w:ascii="Courier New" w:hAnsi="Courier New"/>
      </w:rPr>
    </w:lvl>
    <w:lvl w:ilvl="8" w:tplc="CD500C7A">
      <w:start w:val="1"/>
      <w:numFmt w:val="bullet"/>
      <w:lvlText w:val=""/>
      <w:lvlJc w:val="left"/>
      <w:pPr>
        <w:tabs>
          <w:tab w:val="num" w:pos="6480"/>
        </w:tabs>
        <w:ind w:left="6480" w:hanging="360"/>
      </w:pPr>
      <w:rPr>
        <w:rFonts w:ascii="Wingdings" w:hAnsi="Wingdings"/>
      </w:rPr>
    </w:lvl>
  </w:abstractNum>
  <w:abstractNum w:abstractNumId="739" w15:restartNumberingAfterBreak="0">
    <w:nsid w:val="722307A5"/>
    <w:multiLevelType w:val="hybridMultilevel"/>
    <w:tmpl w:val="722307A5"/>
    <w:lvl w:ilvl="0" w:tplc="5DA63B0C">
      <w:start w:val="1"/>
      <w:numFmt w:val="bullet"/>
      <w:lvlText w:val=""/>
      <w:lvlJc w:val="left"/>
      <w:pPr>
        <w:ind w:left="720" w:hanging="360"/>
      </w:pPr>
      <w:rPr>
        <w:rFonts w:ascii="Symbol" w:hAnsi="Symbol"/>
      </w:rPr>
    </w:lvl>
    <w:lvl w:ilvl="1" w:tplc="98685554">
      <w:start w:val="1"/>
      <w:numFmt w:val="bullet"/>
      <w:lvlText w:val="o"/>
      <w:lvlJc w:val="left"/>
      <w:pPr>
        <w:tabs>
          <w:tab w:val="num" w:pos="1440"/>
        </w:tabs>
        <w:ind w:left="1440" w:hanging="360"/>
      </w:pPr>
      <w:rPr>
        <w:rFonts w:ascii="Courier New" w:hAnsi="Courier New"/>
      </w:rPr>
    </w:lvl>
    <w:lvl w:ilvl="2" w:tplc="D9449278">
      <w:start w:val="1"/>
      <w:numFmt w:val="bullet"/>
      <w:lvlText w:val=""/>
      <w:lvlJc w:val="left"/>
      <w:pPr>
        <w:tabs>
          <w:tab w:val="num" w:pos="2160"/>
        </w:tabs>
        <w:ind w:left="2160" w:hanging="360"/>
      </w:pPr>
      <w:rPr>
        <w:rFonts w:ascii="Wingdings" w:hAnsi="Wingdings"/>
      </w:rPr>
    </w:lvl>
    <w:lvl w:ilvl="3" w:tplc="941A253A">
      <w:start w:val="1"/>
      <w:numFmt w:val="bullet"/>
      <w:lvlText w:val=""/>
      <w:lvlJc w:val="left"/>
      <w:pPr>
        <w:tabs>
          <w:tab w:val="num" w:pos="2880"/>
        </w:tabs>
        <w:ind w:left="2880" w:hanging="360"/>
      </w:pPr>
      <w:rPr>
        <w:rFonts w:ascii="Symbol" w:hAnsi="Symbol"/>
      </w:rPr>
    </w:lvl>
    <w:lvl w:ilvl="4" w:tplc="9FB2DD82">
      <w:start w:val="1"/>
      <w:numFmt w:val="bullet"/>
      <w:lvlText w:val="o"/>
      <w:lvlJc w:val="left"/>
      <w:pPr>
        <w:tabs>
          <w:tab w:val="num" w:pos="3600"/>
        </w:tabs>
        <w:ind w:left="3600" w:hanging="360"/>
      </w:pPr>
      <w:rPr>
        <w:rFonts w:ascii="Courier New" w:hAnsi="Courier New"/>
      </w:rPr>
    </w:lvl>
    <w:lvl w:ilvl="5" w:tplc="3D34640E">
      <w:start w:val="1"/>
      <w:numFmt w:val="bullet"/>
      <w:lvlText w:val=""/>
      <w:lvlJc w:val="left"/>
      <w:pPr>
        <w:tabs>
          <w:tab w:val="num" w:pos="4320"/>
        </w:tabs>
        <w:ind w:left="4320" w:hanging="360"/>
      </w:pPr>
      <w:rPr>
        <w:rFonts w:ascii="Wingdings" w:hAnsi="Wingdings"/>
      </w:rPr>
    </w:lvl>
    <w:lvl w:ilvl="6" w:tplc="CC62686A">
      <w:start w:val="1"/>
      <w:numFmt w:val="bullet"/>
      <w:lvlText w:val=""/>
      <w:lvlJc w:val="left"/>
      <w:pPr>
        <w:tabs>
          <w:tab w:val="num" w:pos="5040"/>
        </w:tabs>
        <w:ind w:left="5040" w:hanging="360"/>
      </w:pPr>
      <w:rPr>
        <w:rFonts w:ascii="Symbol" w:hAnsi="Symbol"/>
      </w:rPr>
    </w:lvl>
    <w:lvl w:ilvl="7" w:tplc="2DA2E6CE">
      <w:start w:val="1"/>
      <w:numFmt w:val="bullet"/>
      <w:lvlText w:val="o"/>
      <w:lvlJc w:val="left"/>
      <w:pPr>
        <w:tabs>
          <w:tab w:val="num" w:pos="5760"/>
        </w:tabs>
        <w:ind w:left="5760" w:hanging="360"/>
      </w:pPr>
      <w:rPr>
        <w:rFonts w:ascii="Courier New" w:hAnsi="Courier New"/>
      </w:rPr>
    </w:lvl>
    <w:lvl w:ilvl="8" w:tplc="047081F2">
      <w:start w:val="1"/>
      <w:numFmt w:val="bullet"/>
      <w:lvlText w:val=""/>
      <w:lvlJc w:val="left"/>
      <w:pPr>
        <w:tabs>
          <w:tab w:val="num" w:pos="6480"/>
        </w:tabs>
        <w:ind w:left="6480" w:hanging="360"/>
      </w:pPr>
      <w:rPr>
        <w:rFonts w:ascii="Wingdings" w:hAnsi="Wingdings"/>
      </w:rPr>
    </w:lvl>
  </w:abstractNum>
  <w:abstractNum w:abstractNumId="740" w15:restartNumberingAfterBreak="0">
    <w:nsid w:val="722307A6"/>
    <w:multiLevelType w:val="hybridMultilevel"/>
    <w:tmpl w:val="722307A6"/>
    <w:lvl w:ilvl="0" w:tplc="B4FEE83E">
      <w:start w:val="1"/>
      <w:numFmt w:val="bullet"/>
      <w:lvlText w:val=""/>
      <w:lvlJc w:val="left"/>
      <w:pPr>
        <w:ind w:left="720" w:hanging="360"/>
      </w:pPr>
      <w:rPr>
        <w:rFonts w:ascii="Symbol" w:hAnsi="Symbol"/>
      </w:rPr>
    </w:lvl>
    <w:lvl w:ilvl="1" w:tplc="5616050A">
      <w:start w:val="1"/>
      <w:numFmt w:val="bullet"/>
      <w:lvlText w:val="o"/>
      <w:lvlJc w:val="left"/>
      <w:pPr>
        <w:tabs>
          <w:tab w:val="num" w:pos="1440"/>
        </w:tabs>
        <w:ind w:left="1440" w:hanging="360"/>
      </w:pPr>
      <w:rPr>
        <w:rFonts w:ascii="Courier New" w:hAnsi="Courier New"/>
      </w:rPr>
    </w:lvl>
    <w:lvl w:ilvl="2" w:tplc="9738EEE6">
      <w:start w:val="1"/>
      <w:numFmt w:val="bullet"/>
      <w:lvlText w:val=""/>
      <w:lvlJc w:val="left"/>
      <w:pPr>
        <w:tabs>
          <w:tab w:val="num" w:pos="2160"/>
        </w:tabs>
        <w:ind w:left="2160" w:hanging="360"/>
      </w:pPr>
      <w:rPr>
        <w:rFonts w:ascii="Wingdings" w:hAnsi="Wingdings"/>
      </w:rPr>
    </w:lvl>
    <w:lvl w:ilvl="3" w:tplc="B5D65C8C">
      <w:start w:val="1"/>
      <w:numFmt w:val="bullet"/>
      <w:lvlText w:val=""/>
      <w:lvlJc w:val="left"/>
      <w:pPr>
        <w:tabs>
          <w:tab w:val="num" w:pos="2880"/>
        </w:tabs>
        <w:ind w:left="2880" w:hanging="360"/>
      </w:pPr>
      <w:rPr>
        <w:rFonts w:ascii="Symbol" w:hAnsi="Symbol"/>
      </w:rPr>
    </w:lvl>
    <w:lvl w:ilvl="4" w:tplc="E09A1F38">
      <w:start w:val="1"/>
      <w:numFmt w:val="bullet"/>
      <w:lvlText w:val="o"/>
      <w:lvlJc w:val="left"/>
      <w:pPr>
        <w:tabs>
          <w:tab w:val="num" w:pos="3600"/>
        </w:tabs>
        <w:ind w:left="3600" w:hanging="360"/>
      </w:pPr>
      <w:rPr>
        <w:rFonts w:ascii="Courier New" w:hAnsi="Courier New"/>
      </w:rPr>
    </w:lvl>
    <w:lvl w:ilvl="5" w:tplc="11F6634C">
      <w:start w:val="1"/>
      <w:numFmt w:val="bullet"/>
      <w:lvlText w:val=""/>
      <w:lvlJc w:val="left"/>
      <w:pPr>
        <w:tabs>
          <w:tab w:val="num" w:pos="4320"/>
        </w:tabs>
        <w:ind w:left="4320" w:hanging="360"/>
      </w:pPr>
      <w:rPr>
        <w:rFonts w:ascii="Wingdings" w:hAnsi="Wingdings"/>
      </w:rPr>
    </w:lvl>
    <w:lvl w:ilvl="6" w:tplc="C58C39CC">
      <w:start w:val="1"/>
      <w:numFmt w:val="bullet"/>
      <w:lvlText w:val=""/>
      <w:lvlJc w:val="left"/>
      <w:pPr>
        <w:tabs>
          <w:tab w:val="num" w:pos="5040"/>
        </w:tabs>
        <w:ind w:left="5040" w:hanging="360"/>
      </w:pPr>
      <w:rPr>
        <w:rFonts w:ascii="Symbol" w:hAnsi="Symbol"/>
      </w:rPr>
    </w:lvl>
    <w:lvl w:ilvl="7" w:tplc="B790C2B0">
      <w:start w:val="1"/>
      <w:numFmt w:val="bullet"/>
      <w:lvlText w:val="o"/>
      <w:lvlJc w:val="left"/>
      <w:pPr>
        <w:tabs>
          <w:tab w:val="num" w:pos="5760"/>
        </w:tabs>
        <w:ind w:left="5760" w:hanging="360"/>
      </w:pPr>
      <w:rPr>
        <w:rFonts w:ascii="Courier New" w:hAnsi="Courier New"/>
      </w:rPr>
    </w:lvl>
    <w:lvl w:ilvl="8" w:tplc="5026419C">
      <w:start w:val="1"/>
      <w:numFmt w:val="bullet"/>
      <w:lvlText w:val=""/>
      <w:lvlJc w:val="left"/>
      <w:pPr>
        <w:tabs>
          <w:tab w:val="num" w:pos="6480"/>
        </w:tabs>
        <w:ind w:left="6480" w:hanging="360"/>
      </w:pPr>
      <w:rPr>
        <w:rFonts w:ascii="Wingdings" w:hAnsi="Wingdings"/>
      </w:rPr>
    </w:lvl>
  </w:abstractNum>
  <w:abstractNum w:abstractNumId="741" w15:restartNumberingAfterBreak="0">
    <w:nsid w:val="722307A7"/>
    <w:multiLevelType w:val="hybridMultilevel"/>
    <w:tmpl w:val="722307A7"/>
    <w:lvl w:ilvl="0" w:tplc="42DC885E">
      <w:start w:val="1"/>
      <w:numFmt w:val="bullet"/>
      <w:lvlText w:val=""/>
      <w:lvlJc w:val="left"/>
      <w:pPr>
        <w:tabs>
          <w:tab w:val="num" w:pos="720"/>
        </w:tabs>
        <w:ind w:left="720" w:hanging="360"/>
      </w:pPr>
      <w:rPr>
        <w:rFonts w:ascii="Symbol" w:hAnsi="Symbol"/>
      </w:rPr>
    </w:lvl>
    <w:lvl w:ilvl="1" w:tplc="F222B4D6">
      <w:start w:val="1"/>
      <w:numFmt w:val="bullet"/>
      <w:lvlText w:val="o"/>
      <w:lvlJc w:val="left"/>
      <w:pPr>
        <w:tabs>
          <w:tab w:val="num" w:pos="1440"/>
        </w:tabs>
        <w:ind w:left="1440" w:hanging="360"/>
      </w:pPr>
      <w:rPr>
        <w:rFonts w:ascii="Courier New" w:hAnsi="Courier New"/>
      </w:rPr>
    </w:lvl>
    <w:lvl w:ilvl="2" w:tplc="2EB64354">
      <w:start w:val="1"/>
      <w:numFmt w:val="bullet"/>
      <w:lvlText w:val=""/>
      <w:lvlJc w:val="left"/>
      <w:pPr>
        <w:tabs>
          <w:tab w:val="num" w:pos="2160"/>
        </w:tabs>
        <w:ind w:left="2160" w:hanging="360"/>
      </w:pPr>
      <w:rPr>
        <w:rFonts w:ascii="Wingdings" w:hAnsi="Wingdings"/>
      </w:rPr>
    </w:lvl>
    <w:lvl w:ilvl="3" w:tplc="767E64A2">
      <w:start w:val="1"/>
      <w:numFmt w:val="bullet"/>
      <w:lvlText w:val=""/>
      <w:lvlJc w:val="left"/>
      <w:pPr>
        <w:tabs>
          <w:tab w:val="num" w:pos="2880"/>
        </w:tabs>
        <w:ind w:left="2880" w:hanging="360"/>
      </w:pPr>
      <w:rPr>
        <w:rFonts w:ascii="Symbol" w:hAnsi="Symbol"/>
      </w:rPr>
    </w:lvl>
    <w:lvl w:ilvl="4" w:tplc="F84C319A">
      <w:start w:val="1"/>
      <w:numFmt w:val="bullet"/>
      <w:lvlText w:val="o"/>
      <w:lvlJc w:val="left"/>
      <w:pPr>
        <w:tabs>
          <w:tab w:val="num" w:pos="3600"/>
        </w:tabs>
        <w:ind w:left="3600" w:hanging="360"/>
      </w:pPr>
      <w:rPr>
        <w:rFonts w:ascii="Courier New" w:hAnsi="Courier New"/>
      </w:rPr>
    </w:lvl>
    <w:lvl w:ilvl="5" w:tplc="6D3AE08E">
      <w:start w:val="1"/>
      <w:numFmt w:val="bullet"/>
      <w:lvlText w:val=""/>
      <w:lvlJc w:val="left"/>
      <w:pPr>
        <w:tabs>
          <w:tab w:val="num" w:pos="4320"/>
        </w:tabs>
        <w:ind w:left="4320" w:hanging="360"/>
      </w:pPr>
      <w:rPr>
        <w:rFonts w:ascii="Wingdings" w:hAnsi="Wingdings"/>
      </w:rPr>
    </w:lvl>
    <w:lvl w:ilvl="6" w:tplc="29A88F10">
      <w:start w:val="1"/>
      <w:numFmt w:val="bullet"/>
      <w:lvlText w:val=""/>
      <w:lvlJc w:val="left"/>
      <w:pPr>
        <w:tabs>
          <w:tab w:val="num" w:pos="5040"/>
        </w:tabs>
        <w:ind w:left="5040" w:hanging="360"/>
      </w:pPr>
      <w:rPr>
        <w:rFonts w:ascii="Symbol" w:hAnsi="Symbol"/>
      </w:rPr>
    </w:lvl>
    <w:lvl w:ilvl="7" w:tplc="EA2076C2">
      <w:start w:val="1"/>
      <w:numFmt w:val="bullet"/>
      <w:lvlText w:val="o"/>
      <w:lvlJc w:val="left"/>
      <w:pPr>
        <w:tabs>
          <w:tab w:val="num" w:pos="5760"/>
        </w:tabs>
        <w:ind w:left="5760" w:hanging="360"/>
      </w:pPr>
      <w:rPr>
        <w:rFonts w:ascii="Courier New" w:hAnsi="Courier New"/>
      </w:rPr>
    </w:lvl>
    <w:lvl w:ilvl="8" w:tplc="6BFE4B78">
      <w:start w:val="1"/>
      <w:numFmt w:val="bullet"/>
      <w:lvlText w:val=""/>
      <w:lvlJc w:val="left"/>
      <w:pPr>
        <w:tabs>
          <w:tab w:val="num" w:pos="6480"/>
        </w:tabs>
        <w:ind w:left="6480" w:hanging="360"/>
      </w:pPr>
      <w:rPr>
        <w:rFonts w:ascii="Wingdings" w:hAnsi="Wingdings"/>
      </w:rPr>
    </w:lvl>
  </w:abstractNum>
  <w:abstractNum w:abstractNumId="742" w15:restartNumberingAfterBreak="0">
    <w:nsid w:val="722307A8"/>
    <w:multiLevelType w:val="hybridMultilevel"/>
    <w:tmpl w:val="722307A8"/>
    <w:lvl w:ilvl="0" w:tplc="1E0E73D0">
      <w:start w:val="1"/>
      <w:numFmt w:val="bullet"/>
      <w:lvlText w:val=""/>
      <w:lvlJc w:val="left"/>
      <w:pPr>
        <w:ind w:left="720" w:hanging="360"/>
      </w:pPr>
      <w:rPr>
        <w:rFonts w:ascii="Symbol" w:hAnsi="Symbol"/>
      </w:rPr>
    </w:lvl>
    <w:lvl w:ilvl="1" w:tplc="4C70DC58">
      <w:start w:val="1"/>
      <w:numFmt w:val="bullet"/>
      <w:lvlText w:val="o"/>
      <w:lvlJc w:val="left"/>
      <w:pPr>
        <w:ind w:left="1440" w:hanging="360"/>
      </w:pPr>
      <w:rPr>
        <w:rFonts w:ascii="Courier New" w:hAnsi="Courier New"/>
      </w:rPr>
    </w:lvl>
    <w:lvl w:ilvl="2" w:tplc="C966F570">
      <w:start w:val="1"/>
      <w:numFmt w:val="bullet"/>
      <w:lvlText w:val=""/>
      <w:lvlJc w:val="left"/>
      <w:pPr>
        <w:tabs>
          <w:tab w:val="num" w:pos="2160"/>
        </w:tabs>
        <w:ind w:left="2160" w:hanging="360"/>
      </w:pPr>
      <w:rPr>
        <w:rFonts w:ascii="Wingdings" w:hAnsi="Wingdings"/>
      </w:rPr>
    </w:lvl>
    <w:lvl w:ilvl="3" w:tplc="8326B694">
      <w:start w:val="1"/>
      <w:numFmt w:val="bullet"/>
      <w:lvlText w:val=""/>
      <w:lvlJc w:val="left"/>
      <w:pPr>
        <w:tabs>
          <w:tab w:val="num" w:pos="2880"/>
        </w:tabs>
        <w:ind w:left="2880" w:hanging="360"/>
      </w:pPr>
      <w:rPr>
        <w:rFonts w:ascii="Symbol" w:hAnsi="Symbol"/>
      </w:rPr>
    </w:lvl>
    <w:lvl w:ilvl="4" w:tplc="D64E2C46">
      <w:start w:val="1"/>
      <w:numFmt w:val="bullet"/>
      <w:lvlText w:val="o"/>
      <w:lvlJc w:val="left"/>
      <w:pPr>
        <w:tabs>
          <w:tab w:val="num" w:pos="3600"/>
        </w:tabs>
        <w:ind w:left="3600" w:hanging="360"/>
      </w:pPr>
      <w:rPr>
        <w:rFonts w:ascii="Courier New" w:hAnsi="Courier New"/>
      </w:rPr>
    </w:lvl>
    <w:lvl w:ilvl="5" w:tplc="05D28292">
      <w:start w:val="1"/>
      <w:numFmt w:val="bullet"/>
      <w:lvlText w:val=""/>
      <w:lvlJc w:val="left"/>
      <w:pPr>
        <w:tabs>
          <w:tab w:val="num" w:pos="4320"/>
        </w:tabs>
        <w:ind w:left="4320" w:hanging="360"/>
      </w:pPr>
      <w:rPr>
        <w:rFonts w:ascii="Wingdings" w:hAnsi="Wingdings"/>
      </w:rPr>
    </w:lvl>
    <w:lvl w:ilvl="6" w:tplc="84C4F096">
      <w:start w:val="1"/>
      <w:numFmt w:val="bullet"/>
      <w:lvlText w:val=""/>
      <w:lvlJc w:val="left"/>
      <w:pPr>
        <w:tabs>
          <w:tab w:val="num" w:pos="5040"/>
        </w:tabs>
        <w:ind w:left="5040" w:hanging="360"/>
      </w:pPr>
      <w:rPr>
        <w:rFonts w:ascii="Symbol" w:hAnsi="Symbol"/>
      </w:rPr>
    </w:lvl>
    <w:lvl w:ilvl="7" w:tplc="53D6C42C">
      <w:start w:val="1"/>
      <w:numFmt w:val="bullet"/>
      <w:lvlText w:val="o"/>
      <w:lvlJc w:val="left"/>
      <w:pPr>
        <w:tabs>
          <w:tab w:val="num" w:pos="5760"/>
        </w:tabs>
        <w:ind w:left="5760" w:hanging="360"/>
      </w:pPr>
      <w:rPr>
        <w:rFonts w:ascii="Courier New" w:hAnsi="Courier New"/>
      </w:rPr>
    </w:lvl>
    <w:lvl w:ilvl="8" w:tplc="4800BBA0">
      <w:start w:val="1"/>
      <w:numFmt w:val="bullet"/>
      <w:lvlText w:val=""/>
      <w:lvlJc w:val="left"/>
      <w:pPr>
        <w:tabs>
          <w:tab w:val="num" w:pos="6480"/>
        </w:tabs>
        <w:ind w:left="6480" w:hanging="360"/>
      </w:pPr>
      <w:rPr>
        <w:rFonts w:ascii="Wingdings" w:hAnsi="Wingdings"/>
      </w:rPr>
    </w:lvl>
  </w:abstractNum>
  <w:abstractNum w:abstractNumId="743" w15:restartNumberingAfterBreak="0">
    <w:nsid w:val="722307A9"/>
    <w:multiLevelType w:val="hybridMultilevel"/>
    <w:tmpl w:val="722307A9"/>
    <w:lvl w:ilvl="0" w:tplc="90546C70">
      <w:start w:val="1"/>
      <w:numFmt w:val="bullet"/>
      <w:lvlText w:val=""/>
      <w:lvlJc w:val="left"/>
      <w:pPr>
        <w:ind w:left="720" w:hanging="360"/>
      </w:pPr>
      <w:rPr>
        <w:rFonts w:ascii="Symbol" w:hAnsi="Symbol"/>
      </w:rPr>
    </w:lvl>
    <w:lvl w:ilvl="1" w:tplc="76A06FDA">
      <w:start w:val="1"/>
      <w:numFmt w:val="bullet"/>
      <w:lvlText w:val="o"/>
      <w:lvlJc w:val="left"/>
      <w:pPr>
        <w:tabs>
          <w:tab w:val="num" w:pos="1440"/>
        </w:tabs>
        <w:ind w:left="1440" w:hanging="360"/>
      </w:pPr>
      <w:rPr>
        <w:rFonts w:ascii="Courier New" w:hAnsi="Courier New"/>
      </w:rPr>
    </w:lvl>
    <w:lvl w:ilvl="2" w:tplc="8C0639A2">
      <w:start w:val="1"/>
      <w:numFmt w:val="bullet"/>
      <w:lvlText w:val=""/>
      <w:lvlJc w:val="left"/>
      <w:pPr>
        <w:tabs>
          <w:tab w:val="num" w:pos="2160"/>
        </w:tabs>
        <w:ind w:left="2160" w:hanging="360"/>
      </w:pPr>
      <w:rPr>
        <w:rFonts w:ascii="Wingdings" w:hAnsi="Wingdings"/>
      </w:rPr>
    </w:lvl>
    <w:lvl w:ilvl="3" w:tplc="7092274C">
      <w:start w:val="1"/>
      <w:numFmt w:val="bullet"/>
      <w:lvlText w:val=""/>
      <w:lvlJc w:val="left"/>
      <w:pPr>
        <w:tabs>
          <w:tab w:val="num" w:pos="2880"/>
        </w:tabs>
        <w:ind w:left="2880" w:hanging="360"/>
      </w:pPr>
      <w:rPr>
        <w:rFonts w:ascii="Symbol" w:hAnsi="Symbol"/>
      </w:rPr>
    </w:lvl>
    <w:lvl w:ilvl="4" w:tplc="D5C21734">
      <w:start w:val="1"/>
      <w:numFmt w:val="bullet"/>
      <w:lvlText w:val="o"/>
      <w:lvlJc w:val="left"/>
      <w:pPr>
        <w:tabs>
          <w:tab w:val="num" w:pos="3600"/>
        </w:tabs>
        <w:ind w:left="3600" w:hanging="360"/>
      </w:pPr>
      <w:rPr>
        <w:rFonts w:ascii="Courier New" w:hAnsi="Courier New"/>
      </w:rPr>
    </w:lvl>
    <w:lvl w:ilvl="5" w:tplc="7AACAEFC">
      <w:start w:val="1"/>
      <w:numFmt w:val="bullet"/>
      <w:lvlText w:val=""/>
      <w:lvlJc w:val="left"/>
      <w:pPr>
        <w:tabs>
          <w:tab w:val="num" w:pos="4320"/>
        </w:tabs>
        <w:ind w:left="4320" w:hanging="360"/>
      </w:pPr>
      <w:rPr>
        <w:rFonts w:ascii="Wingdings" w:hAnsi="Wingdings"/>
      </w:rPr>
    </w:lvl>
    <w:lvl w:ilvl="6" w:tplc="9FB42532">
      <w:start w:val="1"/>
      <w:numFmt w:val="bullet"/>
      <w:lvlText w:val=""/>
      <w:lvlJc w:val="left"/>
      <w:pPr>
        <w:tabs>
          <w:tab w:val="num" w:pos="5040"/>
        </w:tabs>
        <w:ind w:left="5040" w:hanging="360"/>
      </w:pPr>
      <w:rPr>
        <w:rFonts w:ascii="Symbol" w:hAnsi="Symbol"/>
      </w:rPr>
    </w:lvl>
    <w:lvl w:ilvl="7" w:tplc="3A16D238">
      <w:start w:val="1"/>
      <w:numFmt w:val="bullet"/>
      <w:lvlText w:val="o"/>
      <w:lvlJc w:val="left"/>
      <w:pPr>
        <w:tabs>
          <w:tab w:val="num" w:pos="5760"/>
        </w:tabs>
        <w:ind w:left="5760" w:hanging="360"/>
      </w:pPr>
      <w:rPr>
        <w:rFonts w:ascii="Courier New" w:hAnsi="Courier New"/>
      </w:rPr>
    </w:lvl>
    <w:lvl w:ilvl="8" w:tplc="2C622EC8">
      <w:start w:val="1"/>
      <w:numFmt w:val="bullet"/>
      <w:lvlText w:val=""/>
      <w:lvlJc w:val="left"/>
      <w:pPr>
        <w:tabs>
          <w:tab w:val="num" w:pos="6480"/>
        </w:tabs>
        <w:ind w:left="6480" w:hanging="360"/>
      </w:pPr>
      <w:rPr>
        <w:rFonts w:ascii="Wingdings" w:hAnsi="Wingdings"/>
      </w:rPr>
    </w:lvl>
  </w:abstractNum>
  <w:abstractNum w:abstractNumId="744" w15:restartNumberingAfterBreak="0">
    <w:nsid w:val="722307AA"/>
    <w:multiLevelType w:val="hybridMultilevel"/>
    <w:tmpl w:val="722307AA"/>
    <w:lvl w:ilvl="0" w:tplc="A168C37E">
      <w:start w:val="1"/>
      <w:numFmt w:val="bullet"/>
      <w:lvlText w:val=""/>
      <w:lvlJc w:val="left"/>
      <w:pPr>
        <w:ind w:left="720" w:hanging="360"/>
      </w:pPr>
      <w:rPr>
        <w:rFonts w:ascii="Symbol" w:hAnsi="Symbol"/>
      </w:rPr>
    </w:lvl>
    <w:lvl w:ilvl="1" w:tplc="737E3D8A">
      <w:start w:val="1"/>
      <w:numFmt w:val="bullet"/>
      <w:lvlText w:val="o"/>
      <w:lvlJc w:val="left"/>
      <w:pPr>
        <w:tabs>
          <w:tab w:val="num" w:pos="1440"/>
        </w:tabs>
        <w:ind w:left="1440" w:hanging="360"/>
      </w:pPr>
      <w:rPr>
        <w:rFonts w:ascii="Courier New" w:hAnsi="Courier New"/>
      </w:rPr>
    </w:lvl>
    <w:lvl w:ilvl="2" w:tplc="6A466FCE">
      <w:start w:val="1"/>
      <w:numFmt w:val="bullet"/>
      <w:lvlText w:val=""/>
      <w:lvlJc w:val="left"/>
      <w:pPr>
        <w:tabs>
          <w:tab w:val="num" w:pos="2160"/>
        </w:tabs>
        <w:ind w:left="2160" w:hanging="360"/>
      </w:pPr>
      <w:rPr>
        <w:rFonts w:ascii="Wingdings" w:hAnsi="Wingdings"/>
      </w:rPr>
    </w:lvl>
    <w:lvl w:ilvl="3" w:tplc="9B9E88E4">
      <w:start w:val="1"/>
      <w:numFmt w:val="bullet"/>
      <w:lvlText w:val=""/>
      <w:lvlJc w:val="left"/>
      <w:pPr>
        <w:tabs>
          <w:tab w:val="num" w:pos="2880"/>
        </w:tabs>
        <w:ind w:left="2880" w:hanging="360"/>
      </w:pPr>
      <w:rPr>
        <w:rFonts w:ascii="Symbol" w:hAnsi="Symbol"/>
      </w:rPr>
    </w:lvl>
    <w:lvl w:ilvl="4" w:tplc="25C8F398">
      <w:start w:val="1"/>
      <w:numFmt w:val="bullet"/>
      <w:lvlText w:val="o"/>
      <w:lvlJc w:val="left"/>
      <w:pPr>
        <w:tabs>
          <w:tab w:val="num" w:pos="3600"/>
        </w:tabs>
        <w:ind w:left="3600" w:hanging="360"/>
      </w:pPr>
      <w:rPr>
        <w:rFonts w:ascii="Courier New" w:hAnsi="Courier New"/>
      </w:rPr>
    </w:lvl>
    <w:lvl w:ilvl="5" w:tplc="92C2CAD4">
      <w:start w:val="1"/>
      <w:numFmt w:val="bullet"/>
      <w:lvlText w:val=""/>
      <w:lvlJc w:val="left"/>
      <w:pPr>
        <w:tabs>
          <w:tab w:val="num" w:pos="4320"/>
        </w:tabs>
        <w:ind w:left="4320" w:hanging="360"/>
      </w:pPr>
      <w:rPr>
        <w:rFonts w:ascii="Wingdings" w:hAnsi="Wingdings"/>
      </w:rPr>
    </w:lvl>
    <w:lvl w:ilvl="6" w:tplc="C9AA3386">
      <w:start w:val="1"/>
      <w:numFmt w:val="bullet"/>
      <w:lvlText w:val=""/>
      <w:lvlJc w:val="left"/>
      <w:pPr>
        <w:tabs>
          <w:tab w:val="num" w:pos="5040"/>
        </w:tabs>
        <w:ind w:left="5040" w:hanging="360"/>
      </w:pPr>
      <w:rPr>
        <w:rFonts w:ascii="Symbol" w:hAnsi="Symbol"/>
      </w:rPr>
    </w:lvl>
    <w:lvl w:ilvl="7" w:tplc="F1329532">
      <w:start w:val="1"/>
      <w:numFmt w:val="bullet"/>
      <w:lvlText w:val="o"/>
      <w:lvlJc w:val="left"/>
      <w:pPr>
        <w:tabs>
          <w:tab w:val="num" w:pos="5760"/>
        </w:tabs>
        <w:ind w:left="5760" w:hanging="360"/>
      </w:pPr>
      <w:rPr>
        <w:rFonts w:ascii="Courier New" w:hAnsi="Courier New"/>
      </w:rPr>
    </w:lvl>
    <w:lvl w:ilvl="8" w:tplc="18361818">
      <w:start w:val="1"/>
      <w:numFmt w:val="bullet"/>
      <w:lvlText w:val=""/>
      <w:lvlJc w:val="left"/>
      <w:pPr>
        <w:tabs>
          <w:tab w:val="num" w:pos="6480"/>
        </w:tabs>
        <w:ind w:left="6480" w:hanging="360"/>
      </w:pPr>
      <w:rPr>
        <w:rFonts w:ascii="Wingdings" w:hAnsi="Wingdings"/>
      </w:rPr>
    </w:lvl>
  </w:abstractNum>
  <w:abstractNum w:abstractNumId="745" w15:restartNumberingAfterBreak="0">
    <w:nsid w:val="722307AB"/>
    <w:multiLevelType w:val="hybridMultilevel"/>
    <w:tmpl w:val="722307AB"/>
    <w:lvl w:ilvl="0" w:tplc="3EF49BF2">
      <w:start w:val="1"/>
      <w:numFmt w:val="bullet"/>
      <w:lvlText w:val=""/>
      <w:lvlJc w:val="left"/>
      <w:pPr>
        <w:ind w:left="720" w:hanging="360"/>
      </w:pPr>
      <w:rPr>
        <w:rFonts w:ascii="Symbol" w:hAnsi="Symbol"/>
      </w:rPr>
    </w:lvl>
    <w:lvl w:ilvl="1" w:tplc="137612C0">
      <w:start w:val="1"/>
      <w:numFmt w:val="bullet"/>
      <w:lvlText w:val="o"/>
      <w:lvlJc w:val="left"/>
      <w:pPr>
        <w:tabs>
          <w:tab w:val="num" w:pos="1440"/>
        </w:tabs>
        <w:ind w:left="1440" w:hanging="360"/>
      </w:pPr>
      <w:rPr>
        <w:rFonts w:ascii="Courier New" w:hAnsi="Courier New"/>
      </w:rPr>
    </w:lvl>
    <w:lvl w:ilvl="2" w:tplc="99E21DC8">
      <w:start w:val="1"/>
      <w:numFmt w:val="bullet"/>
      <w:lvlText w:val=""/>
      <w:lvlJc w:val="left"/>
      <w:pPr>
        <w:tabs>
          <w:tab w:val="num" w:pos="2160"/>
        </w:tabs>
        <w:ind w:left="2160" w:hanging="360"/>
      </w:pPr>
      <w:rPr>
        <w:rFonts w:ascii="Wingdings" w:hAnsi="Wingdings"/>
      </w:rPr>
    </w:lvl>
    <w:lvl w:ilvl="3" w:tplc="E10E596A">
      <w:start w:val="1"/>
      <w:numFmt w:val="bullet"/>
      <w:lvlText w:val=""/>
      <w:lvlJc w:val="left"/>
      <w:pPr>
        <w:tabs>
          <w:tab w:val="num" w:pos="2880"/>
        </w:tabs>
        <w:ind w:left="2880" w:hanging="360"/>
      </w:pPr>
      <w:rPr>
        <w:rFonts w:ascii="Symbol" w:hAnsi="Symbol"/>
      </w:rPr>
    </w:lvl>
    <w:lvl w:ilvl="4" w:tplc="BB6C8FB0">
      <w:start w:val="1"/>
      <w:numFmt w:val="bullet"/>
      <w:lvlText w:val="o"/>
      <w:lvlJc w:val="left"/>
      <w:pPr>
        <w:tabs>
          <w:tab w:val="num" w:pos="3600"/>
        </w:tabs>
        <w:ind w:left="3600" w:hanging="360"/>
      </w:pPr>
      <w:rPr>
        <w:rFonts w:ascii="Courier New" w:hAnsi="Courier New"/>
      </w:rPr>
    </w:lvl>
    <w:lvl w:ilvl="5" w:tplc="CB586708">
      <w:start w:val="1"/>
      <w:numFmt w:val="bullet"/>
      <w:lvlText w:val=""/>
      <w:lvlJc w:val="left"/>
      <w:pPr>
        <w:tabs>
          <w:tab w:val="num" w:pos="4320"/>
        </w:tabs>
        <w:ind w:left="4320" w:hanging="360"/>
      </w:pPr>
      <w:rPr>
        <w:rFonts w:ascii="Wingdings" w:hAnsi="Wingdings"/>
      </w:rPr>
    </w:lvl>
    <w:lvl w:ilvl="6" w:tplc="15BC2472">
      <w:start w:val="1"/>
      <w:numFmt w:val="bullet"/>
      <w:lvlText w:val=""/>
      <w:lvlJc w:val="left"/>
      <w:pPr>
        <w:tabs>
          <w:tab w:val="num" w:pos="5040"/>
        </w:tabs>
        <w:ind w:left="5040" w:hanging="360"/>
      </w:pPr>
      <w:rPr>
        <w:rFonts w:ascii="Symbol" w:hAnsi="Symbol"/>
      </w:rPr>
    </w:lvl>
    <w:lvl w:ilvl="7" w:tplc="B1A81DD2">
      <w:start w:val="1"/>
      <w:numFmt w:val="bullet"/>
      <w:lvlText w:val="o"/>
      <w:lvlJc w:val="left"/>
      <w:pPr>
        <w:tabs>
          <w:tab w:val="num" w:pos="5760"/>
        </w:tabs>
        <w:ind w:left="5760" w:hanging="360"/>
      </w:pPr>
      <w:rPr>
        <w:rFonts w:ascii="Courier New" w:hAnsi="Courier New"/>
      </w:rPr>
    </w:lvl>
    <w:lvl w:ilvl="8" w:tplc="7346ADA8">
      <w:start w:val="1"/>
      <w:numFmt w:val="bullet"/>
      <w:lvlText w:val=""/>
      <w:lvlJc w:val="left"/>
      <w:pPr>
        <w:tabs>
          <w:tab w:val="num" w:pos="6480"/>
        </w:tabs>
        <w:ind w:left="6480" w:hanging="360"/>
      </w:pPr>
      <w:rPr>
        <w:rFonts w:ascii="Wingdings" w:hAnsi="Wingdings"/>
      </w:rPr>
    </w:lvl>
  </w:abstractNum>
  <w:abstractNum w:abstractNumId="746" w15:restartNumberingAfterBreak="0">
    <w:nsid w:val="722307AC"/>
    <w:multiLevelType w:val="hybridMultilevel"/>
    <w:tmpl w:val="722307AC"/>
    <w:lvl w:ilvl="0" w:tplc="F1ACED18">
      <w:start w:val="1"/>
      <w:numFmt w:val="bullet"/>
      <w:lvlText w:val=""/>
      <w:lvlJc w:val="left"/>
      <w:pPr>
        <w:tabs>
          <w:tab w:val="num" w:pos="720"/>
        </w:tabs>
        <w:ind w:left="720" w:hanging="360"/>
      </w:pPr>
      <w:rPr>
        <w:rFonts w:ascii="Symbol" w:hAnsi="Symbol"/>
      </w:rPr>
    </w:lvl>
    <w:lvl w:ilvl="1" w:tplc="6A6664C8">
      <w:start w:val="1"/>
      <w:numFmt w:val="bullet"/>
      <w:lvlText w:val="o"/>
      <w:lvlJc w:val="left"/>
      <w:pPr>
        <w:tabs>
          <w:tab w:val="num" w:pos="1440"/>
        </w:tabs>
        <w:ind w:left="1440" w:hanging="360"/>
      </w:pPr>
      <w:rPr>
        <w:rFonts w:ascii="Courier New" w:hAnsi="Courier New"/>
      </w:rPr>
    </w:lvl>
    <w:lvl w:ilvl="2" w:tplc="AFBC2BC6">
      <w:start w:val="1"/>
      <w:numFmt w:val="bullet"/>
      <w:lvlText w:val=""/>
      <w:lvlJc w:val="left"/>
      <w:pPr>
        <w:tabs>
          <w:tab w:val="num" w:pos="2160"/>
        </w:tabs>
        <w:ind w:left="2160" w:hanging="360"/>
      </w:pPr>
      <w:rPr>
        <w:rFonts w:ascii="Wingdings" w:hAnsi="Wingdings"/>
      </w:rPr>
    </w:lvl>
    <w:lvl w:ilvl="3" w:tplc="A44A1242">
      <w:start w:val="1"/>
      <w:numFmt w:val="bullet"/>
      <w:lvlText w:val=""/>
      <w:lvlJc w:val="left"/>
      <w:pPr>
        <w:tabs>
          <w:tab w:val="num" w:pos="2880"/>
        </w:tabs>
        <w:ind w:left="2880" w:hanging="360"/>
      </w:pPr>
      <w:rPr>
        <w:rFonts w:ascii="Symbol" w:hAnsi="Symbol"/>
      </w:rPr>
    </w:lvl>
    <w:lvl w:ilvl="4" w:tplc="C78E38DE">
      <w:start w:val="1"/>
      <w:numFmt w:val="bullet"/>
      <w:lvlText w:val="o"/>
      <w:lvlJc w:val="left"/>
      <w:pPr>
        <w:tabs>
          <w:tab w:val="num" w:pos="3600"/>
        </w:tabs>
        <w:ind w:left="3600" w:hanging="360"/>
      </w:pPr>
      <w:rPr>
        <w:rFonts w:ascii="Courier New" w:hAnsi="Courier New"/>
      </w:rPr>
    </w:lvl>
    <w:lvl w:ilvl="5" w:tplc="F6C4654A">
      <w:start w:val="1"/>
      <w:numFmt w:val="bullet"/>
      <w:lvlText w:val=""/>
      <w:lvlJc w:val="left"/>
      <w:pPr>
        <w:tabs>
          <w:tab w:val="num" w:pos="4320"/>
        </w:tabs>
        <w:ind w:left="4320" w:hanging="360"/>
      </w:pPr>
      <w:rPr>
        <w:rFonts w:ascii="Wingdings" w:hAnsi="Wingdings"/>
      </w:rPr>
    </w:lvl>
    <w:lvl w:ilvl="6" w:tplc="513E1192">
      <w:start w:val="1"/>
      <w:numFmt w:val="bullet"/>
      <w:lvlText w:val=""/>
      <w:lvlJc w:val="left"/>
      <w:pPr>
        <w:tabs>
          <w:tab w:val="num" w:pos="5040"/>
        </w:tabs>
        <w:ind w:left="5040" w:hanging="360"/>
      </w:pPr>
      <w:rPr>
        <w:rFonts w:ascii="Symbol" w:hAnsi="Symbol"/>
      </w:rPr>
    </w:lvl>
    <w:lvl w:ilvl="7" w:tplc="60B0B2BC">
      <w:start w:val="1"/>
      <w:numFmt w:val="bullet"/>
      <w:lvlText w:val="o"/>
      <w:lvlJc w:val="left"/>
      <w:pPr>
        <w:tabs>
          <w:tab w:val="num" w:pos="5760"/>
        </w:tabs>
        <w:ind w:left="5760" w:hanging="360"/>
      </w:pPr>
      <w:rPr>
        <w:rFonts w:ascii="Courier New" w:hAnsi="Courier New"/>
      </w:rPr>
    </w:lvl>
    <w:lvl w:ilvl="8" w:tplc="42E84168">
      <w:start w:val="1"/>
      <w:numFmt w:val="bullet"/>
      <w:lvlText w:val=""/>
      <w:lvlJc w:val="left"/>
      <w:pPr>
        <w:tabs>
          <w:tab w:val="num" w:pos="6480"/>
        </w:tabs>
        <w:ind w:left="6480" w:hanging="360"/>
      </w:pPr>
      <w:rPr>
        <w:rFonts w:ascii="Wingdings" w:hAnsi="Wingdings"/>
      </w:rPr>
    </w:lvl>
  </w:abstractNum>
  <w:abstractNum w:abstractNumId="747" w15:restartNumberingAfterBreak="0">
    <w:nsid w:val="722307AD"/>
    <w:multiLevelType w:val="hybridMultilevel"/>
    <w:tmpl w:val="722307AD"/>
    <w:lvl w:ilvl="0" w:tplc="0156B270">
      <w:start w:val="1"/>
      <w:numFmt w:val="bullet"/>
      <w:lvlText w:val=""/>
      <w:lvlJc w:val="left"/>
      <w:pPr>
        <w:ind w:left="720" w:hanging="360"/>
      </w:pPr>
      <w:rPr>
        <w:rFonts w:ascii="Symbol" w:hAnsi="Symbol"/>
      </w:rPr>
    </w:lvl>
    <w:lvl w:ilvl="1" w:tplc="1DBC2506">
      <w:start w:val="1"/>
      <w:numFmt w:val="bullet"/>
      <w:lvlText w:val="o"/>
      <w:lvlJc w:val="left"/>
      <w:pPr>
        <w:tabs>
          <w:tab w:val="num" w:pos="1440"/>
        </w:tabs>
        <w:ind w:left="1440" w:hanging="360"/>
      </w:pPr>
      <w:rPr>
        <w:rFonts w:ascii="Courier New" w:hAnsi="Courier New"/>
      </w:rPr>
    </w:lvl>
    <w:lvl w:ilvl="2" w:tplc="9BA8065E">
      <w:start w:val="1"/>
      <w:numFmt w:val="bullet"/>
      <w:lvlText w:val=""/>
      <w:lvlJc w:val="left"/>
      <w:pPr>
        <w:tabs>
          <w:tab w:val="num" w:pos="2160"/>
        </w:tabs>
        <w:ind w:left="2160" w:hanging="360"/>
      </w:pPr>
      <w:rPr>
        <w:rFonts w:ascii="Wingdings" w:hAnsi="Wingdings"/>
      </w:rPr>
    </w:lvl>
    <w:lvl w:ilvl="3" w:tplc="8E501458">
      <w:start w:val="1"/>
      <w:numFmt w:val="bullet"/>
      <w:lvlText w:val=""/>
      <w:lvlJc w:val="left"/>
      <w:pPr>
        <w:tabs>
          <w:tab w:val="num" w:pos="2880"/>
        </w:tabs>
        <w:ind w:left="2880" w:hanging="360"/>
      </w:pPr>
      <w:rPr>
        <w:rFonts w:ascii="Symbol" w:hAnsi="Symbol"/>
      </w:rPr>
    </w:lvl>
    <w:lvl w:ilvl="4" w:tplc="DF0C7926">
      <w:start w:val="1"/>
      <w:numFmt w:val="bullet"/>
      <w:lvlText w:val="o"/>
      <w:lvlJc w:val="left"/>
      <w:pPr>
        <w:tabs>
          <w:tab w:val="num" w:pos="3600"/>
        </w:tabs>
        <w:ind w:left="3600" w:hanging="360"/>
      </w:pPr>
      <w:rPr>
        <w:rFonts w:ascii="Courier New" w:hAnsi="Courier New"/>
      </w:rPr>
    </w:lvl>
    <w:lvl w:ilvl="5" w:tplc="060AF8C8">
      <w:start w:val="1"/>
      <w:numFmt w:val="bullet"/>
      <w:lvlText w:val=""/>
      <w:lvlJc w:val="left"/>
      <w:pPr>
        <w:tabs>
          <w:tab w:val="num" w:pos="4320"/>
        </w:tabs>
        <w:ind w:left="4320" w:hanging="360"/>
      </w:pPr>
      <w:rPr>
        <w:rFonts w:ascii="Wingdings" w:hAnsi="Wingdings"/>
      </w:rPr>
    </w:lvl>
    <w:lvl w:ilvl="6" w:tplc="CED8D1C2">
      <w:start w:val="1"/>
      <w:numFmt w:val="bullet"/>
      <w:lvlText w:val=""/>
      <w:lvlJc w:val="left"/>
      <w:pPr>
        <w:tabs>
          <w:tab w:val="num" w:pos="5040"/>
        </w:tabs>
        <w:ind w:left="5040" w:hanging="360"/>
      </w:pPr>
      <w:rPr>
        <w:rFonts w:ascii="Symbol" w:hAnsi="Symbol"/>
      </w:rPr>
    </w:lvl>
    <w:lvl w:ilvl="7" w:tplc="83C0D884">
      <w:start w:val="1"/>
      <w:numFmt w:val="bullet"/>
      <w:lvlText w:val="o"/>
      <w:lvlJc w:val="left"/>
      <w:pPr>
        <w:tabs>
          <w:tab w:val="num" w:pos="5760"/>
        </w:tabs>
        <w:ind w:left="5760" w:hanging="360"/>
      </w:pPr>
      <w:rPr>
        <w:rFonts w:ascii="Courier New" w:hAnsi="Courier New"/>
      </w:rPr>
    </w:lvl>
    <w:lvl w:ilvl="8" w:tplc="DE806F54">
      <w:start w:val="1"/>
      <w:numFmt w:val="bullet"/>
      <w:lvlText w:val=""/>
      <w:lvlJc w:val="left"/>
      <w:pPr>
        <w:tabs>
          <w:tab w:val="num" w:pos="6480"/>
        </w:tabs>
        <w:ind w:left="6480" w:hanging="360"/>
      </w:pPr>
      <w:rPr>
        <w:rFonts w:ascii="Wingdings" w:hAnsi="Wingdings"/>
      </w:rPr>
    </w:lvl>
  </w:abstractNum>
  <w:abstractNum w:abstractNumId="748" w15:restartNumberingAfterBreak="0">
    <w:nsid w:val="722307AE"/>
    <w:multiLevelType w:val="hybridMultilevel"/>
    <w:tmpl w:val="722307AE"/>
    <w:lvl w:ilvl="0" w:tplc="4056B502">
      <w:start w:val="1"/>
      <w:numFmt w:val="bullet"/>
      <w:lvlText w:val=""/>
      <w:lvlJc w:val="left"/>
      <w:pPr>
        <w:ind w:left="720" w:hanging="360"/>
      </w:pPr>
      <w:rPr>
        <w:rFonts w:ascii="Symbol" w:hAnsi="Symbol"/>
      </w:rPr>
    </w:lvl>
    <w:lvl w:ilvl="1" w:tplc="B06A773C">
      <w:start w:val="1"/>
      <w:numFmt w:val="bullet"/>
      <w:lvlText w:val="o"/>
      <w:lvlJc w:val="left"/>
      <w:pPr>
        <w:tabs>
          <w:tab w:val="num" w:pos="1440"/>
        </w:tabs>
        <w:ind w:left="1440" w:hanging="360"/>
      </w:pPr>
      <w:rPr>
        <w:rFonts w:ascii="Courier New" w:hAnsi="Courier New"/>
      </w:rPr>
    </w:lvl>
    <w:lvl w:ilvl="2" w:tplc="BCCA0BEA">
      <w:start w:val="1"/>
      <w:numFmt w:val="bullet"/>
      <w:lvlText w:val=""/>
      <w:lvlJc w:val="left"/>
      <w:pPr>
        <w:tabs>
          <w:tab w:val="num" w:pos="2160"/>
        </w:tabs>
        <w:ind w:left="2160" w:hanging="360"/>
      </w:pPr>
      <w:rPr>
        <w:rFonts w:ascii="Wingdings" w:hAnsi="Wingdings"/>
      </w:rPr>
    </w:lvl>
    <w:lvl w:ilvl="3" w:tplc="51A0FC06">
      <w:start w:val="1"/>
      <w:numFmt w:val="bullet"/>
      <w:lvlText w:val=""/>
      <w:lvlJc w:val="left"/>
      <w:pPr>
        <w:tabs>
          <w:tab w:val="num" w:pos="2880"/>
        </w:tabs>
        <w:ind w:left="2880" w:hanging="360"/>
      </w:pPr>
      <w:rPr>
        <w:rFonts w:ascii="Symbol" w:hAnsi="Symbol"/>
      </w:rPr>
    </w:lvl>
    <w:lvl w:ilvl="4" w:tplc="10DC3082">
      <w:start w:val="1"/>
      <w:numFmt w:val="bullet"/>
      <w:lvlText w:val="o"/>
      <w:lvlJc w:val="left"/>
      <w:pPr>
        <w:tabs>
          <w:tab w:val="num" w:pos="3600"/>
        </w:tabs>
        <w:ind w:left="3600" w:hanging="360"/>
      </w:pPr>
      <w:rPr>
        <w:rFonts w:ascii="Courier New" w:hAnsi="Courier New"/>
      </w:rPr>
    </w:lvl>
    <w:lvl w:ilvl="5" w:tplc="7232510C">
      <w:start w:val="1"/>
      <w:numFmt w:val="bullet"/>
      <w:lvlText w:val=""/>
      <w:lvlJc w:val="left"/>
      <w:pPr>
        <w:tabs>
          <w:tab w:val="num" w:pos="4320"/>
        </w:tabs>
        <w:ind w:left="4320" w:hanging="360"/>
      </w:pPr>
      <w:rPr>
        <w:rFonts w:ascii="Wingdings" w:hAnsi="Wingdings"/>
      </w:rPr>
    </w:lvl>
    <w:lvl w:ilvl="6" w:tplc="9B08EAE0">
      <w:start w:val="1"/>
      <w:numFmt w:val="bullet"/>
      <w:lvlText w:val=""/>
      <w:lvlJc w:val="left"/>
      <w:pPr>
        <w:tabs>
          <w:tab w:val="num" w:pos="5040"/>
        </w:tabs>
        <w:ind w:left="5040" w:hanging="360"/>
      </w:pPr>
      <w:rPr>
        <w:rFonts w:ascii="Symbol" w:hAnsi="Symbol"/>
      </w:rPr>
    </w:lvl>
    <w:lvl w:ilvl="7" w:tplc="26E44666">
      <w:start w:val="1"/>
      <w:numFmt w:val="bullet"/>
      <w:lvlText w:val="o"/>
      <w:lvlJc w:val="left"/>
      <w:pPr>
        <w:tabs>
          <w:tab w:val="num" w:pos="5760"/>
        </w:tabs>
        <w:ind w:left="5760" w:hanging="360"/>
      </w:pPr>
      <w:rPr>
        <w:rFonts w:ascii="Courier New" w:hAnsi="Courier New"/>
      </w:rPr>
    </w:lvl>
    <w:lvl w:ilvl="8" w:tplc="2574529E">
      <w:start w:val="1"/>
      <w:numFmt w:val="bullet"/>
      <w:lvlText w:val=""/>
      <w:lvlJc w:val="left"/>
      <w:pPr>
        <w:tabs>
          <w:tab w:val="num" w:pos="6480"/>
        </w:tabs>
        <w:ind w:left="6480" w:hanging="360"/>
      </w:pPr>
      <w:rPr>
        <w:rFonts w:ascii="Wingdings" w:hAnsi="Wingdings"/>
      </w:rPr>
    </w:lvl>
  </w:abstractNum>
  <w:abstractNum w:abstractNumId="749" w15:restartNumberingAfterBreak="0">
    <w:nsid w:val="722307AF"/>
    <w:multiLevelType w:val="hybridMultilevel"/>
    <w:tmpl w:val="722307AF"/>
    <w:lvl w:ilvl="0" w:tplc="9DC4DDF6">
      <w:start w:val="1"/>
      <w:numFmt w:val="bullet"/>
      <w:lvlText w:val=""/>
      <w:lvlJc w:val="left"/>
      <w:pPr>
        <w:ind w:left="720" w:hanging="360"/>
      </w:pPr>
      <w:rPr>
        <w:rFonts w:ascii="Symbol" w:hAnsi="Symbol"/>
      </w:rPr>
    </w:lvl>
    <w:lvl w:ilvl="1" w:tplc="B330D830">
      <w:start w:val="1"/>
      <w:numFmt w:val="bullet"/>
      <w:lvlText w:val="o"/>
      <w:lvlJc w:val="left"/>
      <w:pPr>
        <w:tabs>
          <w:tab w:val="num" w:pos="1440"/>
        </w:tabs>
        <w:ind w:left="1440" w:hanging="360"/>
      </w:pPr>
      <w:rPr>
        <w:rFonts w:ascii="Courier New" w:hAnsi="Courier New"/>
      </w:rPr>
    </w:lvl>
    <w:lvl w:ilvl="2" w:tplc="2788178E">
      <w:start w:val="1"/>
      <w:numFmt w:val="bullet"/>
      <w:lvlText w:val=""/>
      <w:lvlJc w:val="left"/>
      <w:pPr>
        <w:tabs>
          <w:tab w:val="num" w:pos="2160"/>
        </w:tabs>
        <w:ind w:left="2160" w:hanging="360"/>
      </w:pPr>
      <w:rPr>
        <w:rFonts w:ascii="Wingdings" w:hAnsi="Wingdings"/>
      </w:rPr>
    </w:lvl>
    <w:lvl w:ilvl="3" w:tplc="27881B0C">
      <w:start w:val="1"/>
      <w:numFmt w:val="bullet"/>
      <w:lvlText w:val=""/>
      <w:lvlJc w:val="left"/>
      <w:pPr>
        <w:tabs>
          <w:tab w:val="num" w:pos="2880"/>
        </w:tabs>
        <w:ind w:left="2880" w:hanging="360"/>
      </w:pPr>
      <w:rPr>
        <w:rFonts w:ascii="Symbol" w:hAnsi="Symbol"/>
      </w:rPr>
    </w:lvl>
    <w:lvl w:ilvl="4" w:tplc="1E48073C">
      <w:start w:val="1"/>
      <w:numFmt w:val="bullet"/>
      <w:lvlText w:val="o"/>
      <w:lvlJc w:val="left"/>
      <w:pPr>
        <w:tabs>
          <w:tab w:val="num" w:pos="3600"/>
        </w:tabs>
        <w:ind w:left="3600" w:hanging="360"/>
      </w:pPr>
      <w:rPr>
        <w:rFonts w:ascii="Courier New" w:hAnsi="Courier New"/>
      </w:rPr>
    </w:lvl>
    <w:lvl w:ilvl="5" w:tplc="C18224DA">
      <w:start w:val="1"/>
      <w:numFmt w:val="bullet"/>
      <w:lvlText w:val=""/>
      <w:lvlJc w:val="left"/>
      <w:pPr>
        <w:tabs>
          <w:tab w:val="num" w:pos="4320"/>
        </w:tabs>
        <w:ind w:left="4320" w:hanging="360"/>
      </w:pPr>
      <w:rPr>
        <w:rFonts w:ascii="Wingdings" w:hAnsi="Wingdings"/>
      </w:rPr>
    </w:lvl>
    <w:lvl w:ilvl="6" w:tplc="335CB224">
      <w:start w:val="1"/>
      <w:numFmt w:val="bullet"/>
      <w:lvlText w:val=""/>
      <w:lvlJc w:val="left"/>
      <w:pPr>
        <w:tabs>
          <w:tab w:val="num" w:pos="5040"/>
        </w:tabs>
        <w:ind w:left="5040" w:hanging="360"/>
      </w:pPr>
      <w:rPr>
        <w:rFonts w:ascii="Symbol" w:hAnsi="Symbol"/>
      </w:rPr>
    </w:lvl>
    <w:lvl w:ilvl="7" w:tplc="7ADE0066">
      <w:start w:val="1"/>
      <w:numFmt w:val="bullet"/>
      <w:lvlText w:val="o"/>
      <w:lvlJc w:val="left"/>
      <w:pPr>
        <w:tabs>
          <w:tab w:val="num" w:pos="5760"/>
        </w:tabs>
        <w:ind w:left="5760" w:hanging="360"/>
      </w:pPr>
      <w:rPr>
        <w:rFonts w:ascii="Courier New" w:hAnsi="Courier New"/>
      </w:rPr>
    </w:lvl>
    <w:lvl w:ilvl="8" w:tplc="A8487254">
      <w:start w:val="1"/>
      <w:numFmt w:val="bullet"/>
      <w:lvlText w:val=""/>
      <w:lvlJc w:val="left"/>
      <w:pPr>
        <w:tabs>
          <w:tab w:val="num" w:pos="6480"/>
        </w:tabs>
        <w:ind w:left="6480" w:hanging="360"/>
      </w:pPr>
      <w:rPr>
        <w:rFonts w:ascii="Wingdings" w:hAnsi="Wingdings"/>
      </w:rPr>
    </w:lvl>
  </w:abstractNum>
  <w:abstractNum w:abstractNumId="750" w15:restartNumberingAfterBreak="0">
    <w:nsid w:val="722307B0"/>
    <w:multiLevelType w:val="hybridMultilevel"/>
    <w:tmpl w:val="722307B0"/>
    <w:lvl w:ilvl="0" w:tplc="38683A28">
      <w:start w:val="1"/>
      <w:numFmt w:val="bullet"/>
      <w:lvlText w:val=""/>
      <w:lvlJc w:val="left"/>
      <w:pPr>
        <w:ind w:left="720" w:hanging="360"/>
      </w:pPr>
      <w:rPr>
        <w:rFonts w:ascii="Symbol" w:hAnsi="Symbol"/>
      </w:rPr>
    </w:lvl>
    <w:lvl w:ilvl="1" w:tplc="90CE9564">
      <w:start w:val="1"/>
      <w:numFmt w:val="bullet"/>
      <w:lvlText w:val="o"/>
      <w:lvlJc w:val="left"/>
      <w:pPr>
        <w:tabs>
          <w:tab w:val="num" w:pos="1440"/>
        </w:tabs>
        <w:ind w:left="1440" w:hanging="360"/>
      </w:pPr>
      <w:rPr>
        <w:rFonts w:ascii="Courier New" w:hAnsi="Courier New"/>
      </w:rPr>
    </w:lvl>
    <w:lvl w:ilvl="2" w:tplc="A3D83958">
      <w:start w:val="1"/>
      <w:numFmt w:val="bullet"/>
      <w:lvlText w:val=""/>
      <w:lvlJc w:val="left"/>
      <w:pPr>
        <w:tabs>
          <w:tab w:val="num" w:pos="2160"/>
        </w:tabs>
        <w:ind w:left="2160" w:hanging="360"/>
      </w:pPr>
      <w:rPr>
        <w:rFonts w:ascii="Wingdings" w:hAnsi="Wingdings"/>
      </w:rPr>
    </w:lvl>
    <w:lvl w:ilvl="3" w:tplc="35D0F34A">
      <w:start w:val="1"/>
      <w:numFmt w:val="bullet"/>
      <w:lvlText w:val=""/>
      <w:lvlJc w:val="left"/>
      <w:pPr>
        <w:tabs>
          <w:tab w:val="num" w:pos="2880"/>
        </w:tabs>
        <w:ind w:left="2880" w:hanging="360"/>
      </w:pPr>
      <w:rPr>
        <w:rFonts w:ascii="Symbol" w:hAnsi="Symbol"/>
      </w:rPr>
    </w:lvl>
    <w:lvl w:ilvl="4" w:tplc="FAF08778">
      <w:start w:val="1"/>
      <w:numFmt w:val="bullet"/>
      <w:lvlText w:val="o"/>
      <w:lvlJc w:val="left"/>
      <w:pPr>
        <w:tabs>
          <w:tab w:val="num" w:pos="3600"/>
        </w:tabs>
        <w:ind w:left="3600" w:hanging="360"/>
      </w:pPr>
      <w:rPr>
        <w:rFonts w:ascii="Courier New" w:hAnsi="Courier New"/>
      </w:rPr>
    </w:lvl>
    <w:lvl w:ilvl="5" w:tplc="76DA0A84">
      <w:start w:val="1"/>
      <w:numFmt w:val="bullet"/>
      <w:lvlText w:val=""/>
      <w:lvlJc w:val="left"/>
      <w:pPr>
        <w:tabs>
          <w:tab w:val="num" w:pos="4320"/>
        </w:tabs>
        <w:ind w:left="4320" w:hanging="360"/>
      </w:pPr>
      <w:rPr>
        <w:rFonts w:ascii="Wingdings" w:hAnsi="Wingdings"/>
      </w:rPr>
    </w:lvl>
    <w:lvl w:ilvl="6" w:tplc="CEF899E2">
      <w:start w:val="1"/>
      <w:numFmt w:val="bullet"/>
      <w:lvlText w:val=""/>
      <w:lvlJc w:val="left"/>
      <w:pPr>
        <w:tabs>
          <w:tab w:val="num" w:pos="5040"/>
        </w:tabs>
        <w:ind w:left="5040" w:hanging="360"/>
      </w:pPr>
      <w:rPr>
        <w:rFonts w:ascii="Symbol" w:hAnsi="Symbol"/>
      </w:rPr>
    </w:lvl>
    <w:lvl w:ilvl="7" w:tplc="1DB0523A">
      <w:start w:val="1"/>
      <w:numFmt w:val="bullet"/>
      <w:lvlText w:val="o"/>
      <w:lvlJc w:val="left"/>
      <w:pPr>
        <w:tabs>
          <w:tab w:val="num" w:pos="5760"/>
        </w:tabs>
        <w:ind w:left="5760" w:hanging="360"/>
      </w:pPr>
      <w:rPr>
        <w:rFonts w:ascii="Courier New" w:hAnsi="Courier New"/>
      </w:rPr>
    </w:lvl>
    <w:lvl w:ilvl="8" w:tplc="CDA4AC3E">
      <w:start w:val="1"/>
      <w:numFmt w:val="bullet"/>
      <w:lvlText w:val=""/>
      <w:lvlJc w:val="left"/>
      <w:pPr>
        <w:tabs>
          <w:tab w:val="num" w:pos="6480"/>
        </w:tabs>
        <w:ind w:left="6480" w:hanging="360"/>
      </w:pPr>
      <w:rPr>
        <w:rFonts w:ascii="Wingdings" w:hAnsi="Wingdings"/>
      </w:rPr>
    </w:lvl>
  </w:abstractNum>
  <w:abstractNum w:abstractNumId="751" w15:restartNumberingAfterBreak="0">
    <w:nsid w:val="722307B1"/>
    <w:multiLevelType w:val="hybridMultilevel"/>
    <w:tmpl w:val="722307B1"/>
    <w:lvl w:ilvl="0" w:tplc="0DDAA4AE">
      <w:start w:val="1"/>
      <w:numFmt w:val="bullet"/>
      <w:lvlText w:val=""/>
      <w:lvlJc w:val="left"/>
      <w:pPr>
        <w:tabs>
          <w:tab w:val="num" w:pos="720"/>
        </w:tabs>
        <w:ind w:left="720" w:hanging="360"/>
      </w:pPr>
      <w:rPr>
        <w:rFonts w:ascii="Symbol" w:hAnsi="Symbol"/>
      </w:rPr>
    </w:lvl>
    <w:lvl w:ilvl="1" w:tplc="583C48A8">
      <w:start w:val="1"/>
      <w:numFmt w:val="bullet"/>
      <w:lvlText w:val="o"/>
      <w:lvlJc w:val="left"/>
      <w:pPr>
        <w:tabs>
          <w:tab w:val="num" w:pos="1440"/>
        </w:tabs>
        <w:ind w:left="1440" w:hanging="360"/>
      </w:pPr>
      <w:rPr>
        <w:rFonts w:ascii="Courier New" w:hAnsi="Courier New"/>
      </w:rPr>
    </w:lvl>
    <w:lvl w:ilvl="2" w:tplc="BD6C6BC2">
      <w:start w:val="1"/>
      <w:numFmt w:val="bullet"/>
      <w:lvlText w:val=""/>
      <w:lvlJc w:val="left"/>
      <w:pPr>
        <w:tabs>
          <w:tab w:val="num" w:pos="2160"/>
        </w:tabs>
        <w:ind w:left="2160" w:hanging="360"/>
      </w:pPr>
      <w:rPr>
        <w:rFonts w:ascii="Wingdings" w:hAnsi="Wingdings"/>
      </w:rPr>
    </w:lvl>
    <w:lvl w:ilvl="3" w:tplc="5030CDA2">
      <w:start w:val="1"/>
      <w:numFmt w:val="bullet"/>
      <w:lvlText w:val=""/>
      <w:lvlJc w:val="left"/>
      <w:pPr>
        <w:tabs>
          <w:tab w:val="num" w:pos="2880"/>
        </w:tabs>
        <w:ind w:left="2880" w:hanging="360"/>
      </w:pPr>
      <w:rPr>
        <w:rFonts w:ascii="Symbol" w:hAnsi="Symbol"/>
      </w:rPr>
    </w:lvl>
    <w:lvl w:ilvl="4" w:tplc="3F0408EC">
      <w:start w:val="1"/>
      <w:numFmt w:val="bullet"/>
      <w:lvlText w:val="o"/>
      <w:lvlJc w:val="left"/>
      <w:pPr>
        <w:tabs>
          <w:tab w:val="num" w:pos="3600"/>
        </w:tabs>
        <w:ind w:left="3600" w:hanging="360"/>
      </w:pPr>
      <w:rPr>
        <w:rFonts w:ascii="Courier New" w:hAnsi="Courier New"/>
      </w:rPr>
    </w:lvl>
    <w:lvl w:ilvl="5" w:tplc="C1C674E2">
      <w:start w:val="1"/>
      <w:numFmt w:val="bullet"/>
      <w:lvlText w:val=""/>
      <w:lvlJc w:val="left"/>
      <w:pPr>
        <w:tabs>
          <w:tab w:val="num" w:pos="4320"/>
        </w:tabs>
        <w:ind w:left="4320" w:hanging="360"/>
      </w:pPr>
      <w:rPr>
        <w:rFonts w:ascii="Wingdings" w:hAnsi="Wingdings"/>
      </w:rPr>
    </w:lvl>
    <w:lvl w:ilvl="6" w:tplc="9FE45EB0">
      <w:start w:val="1"/>
      <w:numFmt w:val="bullet"/>
      <w:lvlText w:val=""/>
      <w:lvlJc w:val="left"/>
      <w:pPr>
        <w:tabs>
          <w:tab w:val="num" w:pos="5040"/>
        </w:tabs>
        <w:ind w:left="5040" w:hanging="360"/>
      </w:pPr>
      <w:rPr>
        <w:rFonts w:ascii="Symbol" w:hAnsi="Symbol"/>
      </w:rPr>
    </w:lvl>
    <w:lvl w:ilvl="7" w:tplc="12D25150">
      <w:start w:val="1"/>
      <w:numFmt w:val="bullet"/>
      <w:lvlText w:val="o"/>
      <w:lvlJc w:val="left"/>
      <w:pPr>
        <w:tabs>
          <w:tab w:val="num" w:pos="5760"/>
        </w:tabs>
        <w:ind w:left="5760" w:hanging="360"/>
      </w:pPr>
      <w:rPr>
        <w:rFonts w:ascii="Courier New" w:hAnsi="Courier New"/>
      </w:rPr>
    </w:lvl>
    <w:lvl w:ilvl="8" w:tplc="D592CD64">
      <w:start w:val="1"/>
      <w:numFmt w:val="bullet"/>
      <w:lvlText w:val=""/>
      <w:lvlJc w:val="left"/>
      <w:pPr>
        <w:tabs>
          <w:tab w:val="num" w:pos="6480"/>
        </w:tabs>
        <w:ind w:left="6480" w:hanging="360"/>
      </w:pPr>
      <w:rPr>
        <w:rFonts w:ascii="Wingdings" w:hAnsi="Wingdings"/>
      </w:rPr>
    </w:lvl>
  </w:abstractNum>
  <w:abstractNum w:abstractNumId="752" w15:restartNumberingAfterBreak="0">
    <w:nsid w:val="722307B2"/>
    <w:multiLevelType w:val="hybridMultilevel"/>
    <w:tmpl w:val="722307B2"/>
    <w:lvl w:ilvl="0" w:tplc="47004D1C">
      <w:start w:val="1"/>
      <w:numFmt w:val="bullet"/>
      <w:lvlText w:val=""/>
      <w:lvlJc w:val="left"/>
      <w:pPr>
        <w:ind w:left="720" w:hanging="360"/>
      </w:pPr>
      <w:rPr>
        <w:rFonts w:ascii="Symbol" w:hAnsi="Symbol"/>
      </w:rPr>
    </w:lvl>
    <w:lvl w:ilvl="1" w:tplc="A25E64C6">
      <w:start w:val="1"/>
      <w:numFmt w:val="bullet"/>
      <w:lvlText w:val="o"/>
      <w:lvlJc w:val="left"/>
      <w:pPr>
        <w:tabs>
          <w:tab w:val="num" w:pos="1440"/>
        </w:tabs>
        <w:ind w:left="1440" w:hanging="360"/>
      </w:pPr>
      <w:rPr>
        <w:rFonts w:ascii="Courier New" w:hAnsi="Courier New"/>
      </w:rPr>
    </w:lvl>
    <w:lvl w:ilvl="2" w:tplc="931C1C42">
      <w:start w:val="1"/>
      <w:numFmt w:val="bullet"/>
      <w:lvlText w:val=""/>
      <w:lvlJc w:val="left"/>
      <w:pPr>
        <w:tabs>
          <w:tab w:val="num" w:pos="2160"/>
        </w:tabs>
        <w:ind w:left="2160" w:hanging="360"/>
      </w:pPr>
      <w:rPr>
        <w:rFonts w:ascii="Wingdings" w:hAnsi="Wingdings"/>
      </w:rPr>
    </w:lvl>
    <w:lvl w:ilvl="3" w:tplc="4F80565A">
      <w:start w:val="1"/>
      <w:numFmt w:val="bullet"/>
      <w:lvlText w:val=""/>
      <w:lvlJc w:val="left"/>
      <w:pPr>
        <w:tabs>
          <w:tab w:val="num" w:pos="2880"/>
        </w:tabs>
        <w:ind w:left="2880" w:hanging="360"/>
      </w:pPr>
      <w:rPr>
        <w:rFonts w:ascii="Symbol" w:hAnsi="Symbol"/>
      </w:rPr>
    </w:lvl>
    <w:lvl w:ilvl="4" w:tplc="491631DA">
      <w:start w:val="1"/>
      <w:numFmt w:val="bullet"/>
      <w:lvlText w:val="o"/>
      <w:lvlJc w:val="left"/>
      <w:pPr>
        <w:tabs>
          <w:tab w:val="num" w:pos="3600"/>
        </w:tabs>
        <w:ind w:left="3600" w:hanging="360"/>
      </w:pPr>
      <w:rPr>
        <w:rFonts w:ascii="Courier New" w:hAnsi="Courier New"/>
      </w:rPr>
    </w:lvl>
    <w:lvl w:ilvl="5" w:tplc="CF1E51A6">
      <w:start w:val="1"/>
      <w:numFmt w:val="bullet"/>
      <w:lvlText w:val=""/>
      <w:lvlJc w:val="left"/>
      <w:pPr>
        <w:tabs>
          <w:tab w:val="num" w:pos="4320"/>
        </w:tabs>
        <w:ind w:left="4320" w:hanging="360"/>
      </w:pPr>
      <w:rPr>
        <w:rFonts w:ascii="Wingdings" w:hAnsi="Wingdings"/>
      </w:rPr>
    </w:lvl>
    <w:lvl w:ilvl="6" w:tplc="9CB67788">
      <w:start w:val="1"/>
      <w:numFmt w:val="bullet"/>
      <w:lvlText w:val=""/>
      <w:lvlJc w:val="left"/>
      <w:pPr>
        <w:tabs>
          <w:tab w:val="num" w:pos="5040"/>
        </w:tabs>
        <w:ind w:left="5040" w:hanging="360"/>
      </w:pPr>
      <w:rPr>
        <w:rFonts w:ascii="Symbol" w:hAnsi="Symbol"/>
      </w:rPr>
    </w:lvl>
    <w:lvl w:ilvl="7" w:tplc="255815F8">
      <w:start w:val="1"/>
      <w:numFmt w:val="bullet"/>
      <w:lvlText w:val="o"/>
      <w:lvlJc w:val="left"/>
      <w:pPr>
        <w:tabs>
          <w:tab w:val="num" w:pos="5760"/>
        </w:tabs>
        <w:ind w:left="5760" w:hanging="360"/>
      </w:pPr>
      <w:rPr>
        <w:rFonts w:ascii="Courier New" w:hAnsi="Courier New"/>
      </w:rPr>
    </w:lvl>
    <w:lvl w:ilvl="8" w:tplc="4B92A8B6">
      <w:start w:val="1"/>
      <w:numFmt w:val="bullet"/>
      <w:lvlText w:val=""/>
      <w:lvlJc w:val="left"/>
      <w:pPr>
        <w:tabs>
          <w:tab w:val="num" w:pos="6480"/>
        </w:tabs>
        <w:ind w:left="6480" w:hanging="360"/>
      </w:pPr>
      <w:rPr>
        <w:rFonts w:ascii="Wingdings" w:hAnsi="Wingdings"/>
      </w:rPr>
    </w:lvl>
  </w:abstractNum>
  <w:abstractNum w:abstractNumId="753" w15:restartNumberingAfterBreak="0">
    <w:nsid w:val="722307B3"/>
    <w:multiLevelType w:val="hybridMultilevel"/>
    <w:tmpl w:val="722307B3"/>
    <w:lvl w:ilvl="0" w:tplc="25F6D194">
      <w:start w:val="1"/>
      <w:numFmt w:val="bullet"/>
      <w:lvlText w:val=""/>
      <w:lvlJc w:val="left"/>
      <w:pPr>
        <w:ind w:left="720" w:hanging="360"/>
      </w:pPr>
      <w:rPr>
        <w:rFonts w:ascii="Symbol" w:hAnsi="Symbol"/>
      </w:rPr>
    </w:lvl>
    <w:lvl w:ilvl="1" w:tplc="CD469548">
      <w:start w:val="1"/>
      <w:numFmt w:val="bullet"/>
      <w:lvlText w:val="o"/>
      <w:lvlJc w:val="left"/>
      <w:pPr>
        <w:tabs>
          <w:tab w:val="num" w:pos="1440"/>
        </w:tabs>
        <w:ind w:left="1440" w:hanging="360"/>
      </w:pPr>
      <w:rPr>
        <w:rFonts w:ascii="Courier New" w:hAnsi="Courier New"/>
      </w:rPr>
    </w:lvl>
    <w:lvl w:ilvl="2" w:tplc="5B542B1E">
      <w:start w:val="1"/>
      <w:numFmt w:val="bullet"/>
      <w:lvlText w:val=""/>
      <w:lvlJc w:val="left"/>
      <w:pPr>
        <w:tabs>
          <w:tab w:val="num" w:pos="2160"/>
        </w:tabs>
        <w:ind w:left="2160" w:hanging="360"/>
      </w:pPr>
      <w:rPr>
        <w:rFonts w:ascii="Wingdings" w:hAnsi="Wingdings"/>
      </w:rPr>
    </w:lvl>
    <w:lvl w:ilvl="3" w:tplc="7A741BAE">
      <w:start w:val="1"/>
      <w:numFmt w:val="bullet"/>
      <w:lvlText w:val=""/>
      <w:lvlJc w:val="left"/>
      <w:pPr>
        <w:tabs>
          <w:tab w:val="num" w:pos="2880"/>
        </w:tabs>
        <w:ind w:left="2880" w:hanging="360"/>
      </w:pPr>
      <w:rPr>
        <w:rFonts w:ascii="Symbol" w:hAnsi="Symbol"/>
      </w:rPr>
    </w:lvl>
    <w:lvl w:ilvl="4" w:tplc="5D7CFA6E">
      <w:start w:val="1"/>
      <w:numFmt w:val="bullet"/>
      <w:lvlText w:val="o"/>
      <w:lvlJc w:val="left"/>
      <w:pPr>
        <w:tabs>
          <w:tab w:val="num" w:pos="3600"/>
        </w:tabs>
        <w:ind w:left="3600" w:hanging="360"/>
      </w:pPr>
      <w:rPr>
        <w:rFonts w:ascii="Courier New" w:hAnsi="Courier New"/>
      </w:rPr>
    </w:lvl>
    <w:lvl w:ilvl="5" w:tplc="11F098DA">
      <w:start w:val="1"/>
      <w:numFmt w:val="bullet"/>
      <w:lvlText w:val=""/>
      <w:lvlJc w:val="left"/>
      <w:pPr>
        <w:tabs>
          <w:tab w:val="num" w:pos="4320"/>
        </w:tabs>
        <w:ind w:left="4320" w:hanging="360"/>
      </w:pPr>
      <w:rPr>
        <w:rFonts w:ascii="Wingdings" w:hAnsi="Wingdings"/>
      </w:rPr>
    </w:lvl>
    <w:lvl w:ilvl="6" w:tplc="83388E3C">
      <w:start w:val="1"/>
      <w:numFmt w:val="bullet"/>
      <w:lvlText w:val=""/>
      <w:lvlJc w:val="left"/>
      <w:pPr>
        <w:tabs>
          <w:tab w:val="num" w:pos="5040"/>
        </w:tabs>
        <w:ind w:left="5040" w:hanging="360"/>
      </w:pPr>
      <w:rPr>
        <w:rFonts w:ascii="Symbol" w:hAnsi="Symbol"/>
      </w:rPr>
    </w:lvl>
    <w:lvl w:ilvl="7" w:tplc="0B90154E">
      <w:start w:val="1"/>
      <w:numFmt w:val="bullet"/>
      <w:lvlText w:val="o"/>
      <w:lvlJc w:val="left"/>
      <w:pPr>
        <w:tabs>
          <w:tab w:val="num" w:pos="5760"/>
        </w:tabs>
        <w:ind w:left="5760" w:hanging="360"/>
      </w:pPr>
      <w:rPr>
        <w:rFonts w:ascii="Courier New" w:hAnsi="Courier New"/>
      </w:rPr>
    </w:lvl>
    <w:lvl w:ilvl="8" w:tplc="D736EEF2">
      <w:start w:val="1"/>
      <w:numFmt w:val="bullet"/>
      <w:lvlText w:val=""/>
      <w:lvlJc w:val="left"/>
      <w:pPr>
        <w:tabs>
          <w:tab w:val="num" w:pos="6480"/>
        </w:tabs>
        <w:ind w:left="6480" w:hanging="360"/>
      </w:pPr>
      <w:rPr>
        <w:rFonts w:ascii="Wingdings" w:hAnsi="Wingdings"/>
      </w:rPr>
    </w:lvl>
  </w:abstractNum>
  <w:abstractNum w:abstractNumId="754" w15:restartNumberingAfterBreak="0">
    <w:nsid w:val="722307B4"/>
    <w:multiLevelType w:val="hybridMultilevel"/>
    <w:tmpl w:val="722307B4"/>
    <w:lvl w:ilvl="0" w:tplc="C8F01D26">
      <w:start w:val="1"/>
      <w:numFmt w:val="bullet"/>
      <w:lvlText w:val=""/>
      <w:lvlJc w:val="left"/>
      <w:pPr>
        <w:ind w:left="720" w:hanging="360"/>
      </w:pPr>
      <w:rPr>
        <w:rFonts w:ascii="Symbol" w:hAnsi="Symbol"/>
      </w:rPr>
    </w:lvl>
    <w:lvl w:ilvl="1" w:tplc="C5700358">
      <w:start w:val="1"/>
      <w:numFmt w:val="bullet"/>
      <w:lvlText w:val="o"/>
      <w:lvlJc w:val="left"/>
      <w:pPr>
        <w:tabs>
          <w:tab w:val="num" w:pos="1440"/>
        </w:tabs>
        <w:ind w:left="1440" w:hanging="360"/>
      </w:pPr>
      <w:rPr>
        <w:rFonts w:ascii="Courier New" w:hAnsi="Courier New"/>
      </w:rPr>
    </w:lvl>
    <w:lvl w:ilvl="2" w:tplc="BFBC1EE2">
      <w:start w:val="1"/>
      <w:numFmt w:val="bullet"/>
      <w:lvlText w:val=""/>
      <w:lvlJc w:val="left"/>
      <w:pPr>
        <w:tabs>
          <w:tab w:val="num" w:pos="2160"/>
        </w:tabs>
        <w:ind w:left="2160" w:hanging="360"/>
      </w:pPr>
      <w:rPr>
        <w:rFonts w:ascii="Wingdings" w:hAnsi="Wingdings"/>
      </w:rPr>
    </w:lvl>
    <w:lvl w:ilvl="3" w:tplc="24ECB684">
      <w:start w:val="1"/>
      <w:numFmt w:val="bullet"/>
      <w:lvlText w:val=""/>
      <w:lvlJc w:val="left"/>
      <w:pPr>
        <w:tabs>
          <w:tab w:val="num" w:pos="2880"/>
        </w:tabs>
        <w:ind w:left="2880" w:hanging="360"/>
      </w:pPr>
      <w:rPr>
        <w:rFonts w:ascii="Symbol" w:hAnsi="Symbol"/>
      </w:rPr>
    </w:lvl>
    <w:lvl w:ilvl="4" w:tplc="58AC3FB0">
      <w:start w:val="1"/>
      <w:numFmt w:val="bullet"/>
      <w:lvlText w:val="o"/>
      <w:lvlJc w:val="left"/>
      <w:pPr>
        <w:tabs>
          <w:tab w:val="num" w:pos="3600"/>
        </w:tabs>
        <w:ind w:left="3600" w:hanging="360"/>
      </w:pPr>
      <w:rPr>
        <w:rFonts w:ascii="Courier New" w:hAnsi="Courier New"/>
      </w:rPr>
    </w:lvl>
    <w:lvl w:ilvl="5" w:tplc="C00C40D8">
      <w:start w:val="1"/>
      <w:numFmt w:val="bullet"/>
      <w:lvlText w:val=""/>
      <w:lvlJc w:val="left"/>
      <w:pPr>
        <w:tabs>
          <w:tab w:val="num" w:pos="4320"/>
        </w:tabs>
        <w:ind w:left="4320" w:hanging="360"/>
      </w:pPr>
      <w:rPr>
        <w:rFonts w:ascii="Wingdings" w:hAnsi="Wingdings"/>
      </w:rPr>
    </w:lvl>
    <w:lvl w:ilvl="6" w:tplc="1D524FDA">
      <w:start w:val="1"/>
      <w:numFmt w:val="bullet"/>
      <w:lvlText w:val=""/>
      <w:lvlJc w:val="left"/>
      <w:pPr>
        <w:tabs>
          <w:tab w:val="num" w:pos="5040"/>
        </w:tabs>
        <w:ind w:left="5040" w:hanging="360"/>
      </w:pPr>
      <w:rPr>
        <w:rFonts w:ascii="Symbol" w:hAnsi="Symbol"/>
      </w:rPr>
    </w:lvl>
    <w:lvl w:ilvl="7" w:tplc="E4B23A3C">
      <w:start w:val="1"/>
      <w:numFmt w:val="bullet"/>
      <w:lvlText w:val="o"/>
      <w:lvlJc w:val="left"/>
      <w:pPr>
        <w:tabs>
          <w:tab w:val="num" w:pos="5760"/>
        </w:tabs>
        <w:ind w:left="5760" w:hanging="360"/>
      </w:pPr>
      <w:rPr>
        <w:rFonts w:ascii="Courier New" w:hAnsi="Courier New"/>
      </w:rPr>
    </w:lvl>
    <w:lvl w:ilvl="8" w:tplc="7AA47BBC">
      <w:start w:val="1"/>
      <w:numFmt w:val="bullet"/>
      <w:lvlText w:val=""/>
      <w:lvlJc w:val="left"/>
      <w:pPr>
        <w:tabs>
          <w:tab w:val="num" w:pos="6480"/>
        </w:tabs>
        <w:ind w:left="6480" w:hanging="360"/>
      </w:pPr>
      <w:rPr>
        <w:rFonts w:ascii="Wingdings" w:hAnsi="Wingdings"/>
      </w:rPr>
    </w:lvl>
  </w:abstractNum>
  <w:abstractNum w:abstractNumId="755" w15:restartNumberingAfterBreak="0">
    <w:nsid w:val="722307B5"/>
    <w:multiLevelType w:val="hybridMultilevel"/>
    <w:tmpl w:val="722307B5"/>
    <w:lvl w:ilvl="0" w:tplc="A3685E34">
      <w:start w:val="1"/>
      <w:numFmt w:val="bullet"/>
      <w:lvlText w:val=""/>
      <w:lvlJc w:val="left"/>
      <w:pPr>
        <w:ind w:left="720" w:hanging="360"/>
      </w:pPr>
      <w:rPr>
        <w:rFonts w:ascii="Symbol" w:hAnsi="Symbol"/>
      </w:rPr>
    </w:lvl>
    <w:lvl w:ilvl="1" w:tplc="5BFE7302">
      <w:start w:val="1"/>
      <w:numFmt w:val="bullet"/>
      <w:lvlText w:val="o"/>
      <w:lvlJc w:val="left"/>
      <w:pPr>
        <w:tabs>
          <w:tab w:val="num" w:pos="1440"/>
        </w:tabs>
        <w:ind w:left="1440" w:hanging="360"/>
      </w:pPr>
      <w:rPr>
        <w:rFonts w:ascii="Courier New" w:hAnsi="Courier New"/>
      </w:rPr>
    </w:lvl>
    <w:lvl w:ilvl="2" w:tplc="99EA27C0">
      <w:start w:val="1"/>
      <w:numFmt w:val="bullet"/>
      <w:lvlText w:val=""/>
      <w:lvlJc w:val="left"/>
      <w:pPr>
        <w:tabs>
          <w:tab w:val="num" w:pos="2160"/>
        </w:tabs>
        <w:ind w:left="2160" w:hanging="360"/>
      </w:pPr>
      <w:rPr>
        <w:rFonts w:ascii="Wingdings" w:hAnsi="Wingdings"/>
      </w:rPr>
    </w:lvl>
    <w:lvl w:ilvl="3" w:tplc="5F1AE27E">
      <w:start w:val="1"/>
      <w:numFmt w:val="bullet"/>
      <w:lvlText w:val=""/>
      <w:lvlJc w:val="left"/>
      <w:pPr>
        <w:tabs>
          <w:tab w:val="num" w:pos="2880"/>
        </w:tabs>
        <w:ind w:left="2880" w:hanging="360"/>
      </w:pPr>
      <w:rPr>
        <w:rFonts w:ascii="Symbol" w:hAnsi="Symbol"/>
      </w:rPr>
    </w:lvl>
    <w:lvl w:ilvl="4" w:tplc="B1D6EB60">
      <w:start w:val="1"/>
      <w:numFmt w:val="bullet"/>
      <w:lvlText w:val="o"/>
      <w:lvlJc w:val="left"/>
      <w:pPr>
        <w:tabs>
          <w:tab w:val="num" w:pos="3600"/>
        </w:tabs>
        <w:ind w:left="3600" w:hanging="360"/>
      </w:pPr>
      <w:rPr>
        <w:rFonts w:ascii="Courier New" w:hAnsi="Courier New"/>
      </w:rPr>
    </w:lvl>
    <w:lvl w:ilvl="5" w:tplc="4B8A51F2">
      <w:start w:val="1"/>
      <w:numFmt w:val="bullet"/>
      <w:lvlText w:val=""/>
      <w:lvlJc w:val="left"/>
      <w:pPr>
        <w:tabs>
          <w:tab w:val="num" w:pos="4320"/>
        </w:tabs>
        <w:ind w:left="4320" w:hanging="360"/>
      </w:pPr>
      <w:rPr>
        <w:rFonts w:ascii="Wingdings" w:hAnsi="Wingdings"/>
      </w:rPr>
    </w:lvl>
    <w:lvl w:ilvl="6" w:tplc="2F426782">
      <w:start w:val="1"/>
      <w:numFmt w:val="bullet"/>
      <w:lvlText w:val=""/>
      <w:lvlJc w:val="left"/>
      <w:pPr>
        <w:tabs>
          <w:tab w:val="num" w:pos="5040"/>
        </w:tabs>
        <w:ind w:left="5040" w:hanging="360"/>
      </w:pPr>
      <w:rPr>
        <w:rFonts w:ascii="Symbol" w:hAnsi="Symbol"/>
      </w:rPr>
    </w:lvl>
    <w:lvl w:ilvl="7" w:tplc="742418D2">
      <w:start w:val="1"/>
      <w:numFmt w:val="bullet"/>
      <w:lvlText w:val="o"/>
      <w:lvlJc w:val="left"/>
      <w:pPr>
        <w:tabs>
          <w:tab w:val="num" w:pos="5760"/>
        </w:tabs>
        <w:ind w:left="5760" w:hanging="360"/>
      </w:pPr>
      <w:rPr>
        <w:rFonts w:ascii="Courier New" w:hAnsi="Courier New"/>
      </w:rPr>
    </w:lvl>
    <w:lvl w:ilvl="8" w:tplc="7C2C2AD6">
      <w:start w:val="1"/>
      <w:numFmt w:val="bullet"/>
      <w:lvlText w:val=""/>
      <w:lvlJc w:val="left"/>
      <w:pPr>
        <w:tabs>
          <w:tab w:val="num" w:pos="6480"/>
        </w:tabs>
        <w:ind w:left="6480" w:hanging="360"/>
      </w:pPr>
      <w:rPr>
        <w:rFonts w:ascii="Wingdings" w:hAnsi="Wingdings"/>
      </w:rPr>
    </w:lvl>
  </w:abstractNum>
  <w:abstractNum w:abstractNumId="756" w15:restartNumberingAfterBreak="0">
    <w:nsid w:val="722307B6"/>
    <w:multiLevelType w:val="hybridMultilevel"/>
    <w:tmpl w:val="722307B6"/>
    <w:lvl w:ilvl="0" w:tplc="CF6E5E9A">
      <w:start w:val="1"/>
      <w:numFmt w:val="bullet"/>
      <w:lvlText w:val=""/>
      <w:lvlJc w:val="left"/>
      <w:pPr>
        <w:ind w:left="720" w:hanging="360"/>
      </w:pPr>
      <w:rPr>
        <w:rFonts w:ascii="Symbol" w:hAnsi="Symbol"/>
      </w:rPr>
    </w:lvl>
    <w:lvl w:ilvl="1" w:tplc="8D206C8E">
      <w:start w:val="1"/>
      <w:numFmt w:val="bullet"/>
      <w:lvlText w:val="o"/>
      <w:lvlJc w:val="left"/>
      <w:pPr>
        <w:tabs>
          <w:tab w:val="num" w:pos="1440"/>
        </w:tabs>
        <w:ind w:left="1440" w:hanging="360"/>
      </w:pPr>
      <w:rPr>
        <w:rFonts w:ascii="Courier New" w:hAnsi="Courier New"/>
      </w:rPr>
    </w:lvl>
    <w:lvl w:ilvl="2" w:tplc="03842C5E">
      <w:start w:val="1"/>
      <w:numFmt w:val="bullet"/>
      <w:lvlText w:val=""/>
      <w:lvlJc w:val="left"/>
      <w:pPr>
        <w:tabs>
          <w:tab w:val="num" w:pos="2160"/>
        </w:tabs>
        <w:ind w:left="2160" w:hanging="360"/>
      </w:pPr>
      <w:rPr>
        <w:rFonts w:ascii="Wingdings" w:hAnsi="Wingdings"/>
      </w:rPr>
    </w:lvl>
    <w:lvl w:ilvl="3" w:tplc="8634167E">
      <w:start w:val="1"/>
      <w:numFmt w:val="bullet"/>
      <w:lvlText w:val=""/>
      <w:lvlJc w:val="left"/>
      <w:pPr>
        <w:tabs>
          <w:tab w:val="num" w:pos="2880"/>
        </w:tabs>
        <w:ind w:left="2880" w:hanging="360"/>
      </w:pPr>
      <w:rPr>
        <w:rFonts w:ascii="Symbol" w:hAnsi="Symbol"/>
      </w:rPr>
    </w:lvl>
    <w:lvl w:ilvl="4" w:tplc="313AF82E">
      <w:start w:val="1"/>
      <w:numFmt w:val="bullet"/>
      <w:lvlText w:val="o"/>
      <w:lvlJc w:val="left"/>
      <w:pPr>
        <w:tabs>
          <w:tab w:val="num" w:pos="3600"/>
        </w:tabs>
        <w:ind w:left="3600" w:hanging="360"/>
      </w:pPr>
      <w:rPr>
        <w:rFonts w:ascii="Courier New" w:hAnsi="Courier New"/>
      </w:rPr>
    </w:lvl>
    <w:lvl w:ilvl="5" w:tplc="9C2A801A">
      <w:start w:val="1"/>
      <w:numFmt w:val="bullet"/>
      <w:lvlText w:val=""/>
      <w:lvlJc w:val="left"/>
      <w:pPr>
        <w:tabs>
          <w:tab w:val="num" w:pos="4320"/>
        </w:tabs>
        <w:ind w:left="4320" w:hanging="360"/>
      </w:pPr>
      <w:rPr>
        <w:rFonts w:ascii="Wingdings" w:hAnsi="Wingdings"/>
      </w:rPr>
    </w:lvl>
    <w:lvl w:ilvl="6" w:tplc="0B2A9A1A">
      <w:start w:val="1"/>
      <w:numFmt w:val="bullet"/>
      <w:lvlText w:val=""/>
      <w:lvlJc w:val="left"/>
      <w:pPr>
        <w:tabs>
          <w:tab w:val="num" w:pos="5040"/>
        </w:tabs>
        <w:ind w:left="5040" w:hanging="360"/>
      </w:pPr>
      <w:rPr>
        <w:rFonts w:ascii="Symbol" w:hAnsi="Symbol"/>
      </w:rPr>
    </w:lvl>
    <w:lvl w:ilvl="7" w:tplc="3CA01ADA">
      <w:start w:val="1"/>
      <w:numFmt w:val="bullet"/>
      <w:lvlText w:val="o"/>
      <w:lvlJc w:val="left"/>
      <w:pPr>
        <w:tabs>
          <w:tab w:val="num" w:pos="5760"/>
        </w:tabs>
        <w:ind w:left="5760" w:hanging="360"/>
      </w:pPr>
      <w:rPr>
        <w:rFonts w:ascii="Courier New" w:hAnsi="Courier New"/>
      </w:rPr>
    </w:lvl>
    <w:lvl w:ilvl="8" w:tplc="89145A5C">
      <w:start w:val="1"/>
      <w:numFmt w:val="bullet"/>
      <w:lvlText w:val=""/>
      <w:lvlJc w:val="left"/>
      <w:pPr>
        <w:tabs>
          <w:tab w:val="num" w:pos="6480"/>
        </w:tabs>
        <w:ind w:left="6480" w:hanging="360"/>
      </w:pPr>
      <w:rPr>
        <w:rFonts w:ascii="Wingdings" w:hAnsi="Wingdings"/>
      </w:rPr>
    </w:lvl>
  </w:abstractNum>
  <w:abstractNum w:abstractNumId="757" w15:restartNumberingAfterBreak="0">
    <w:nsid w:val="722307B7"/>
    <w:multiLevelType w:val="hybridMultilevel"/>
    <w:tmpl w:val="722307B7"/>
    <w:lvl w:ilvl="0" w:tplc="4A88956E">
      <w:start w:val="1"/>
      <w:numFmt w:val="bullet"/>
      <w:lvlText w:val=""/>
      <w:lvlJc w:val="left"/>
      <w:pPr>
        <w:tabs>
          <w:tab w:val="num" w:pos="720"/>
        </w:tabs>
        <w:ind w:left="720" w:hanging="360"/>
      </w:pPr>
      <w:rPr>
        <w:rFonts w:ascii="Symbol" w:hAnsi="Symbol"/>
      </w:rPr>
    </w:lvl>
    <w:lvl w:ilvl="1" w:tplc="214CD1D4">
      <w:start w:val="1"/>
      <w:numFmt w:val="bullet"/>
      <w:lvlText w:val="o"/>
      <w:lvlJc w:val="left"/>
      <w:pPr>
        <w:tabs>
          <w:tab w:val="num" w:pos="1440"/>
        </w:tabs>
        <w:ind w:left="1440" w:hanging="360"/>
      </w:pPr>
      <w:rPr>
        <w:rFonts w:ascii="Courier New" w:hAnsi="Courier New"/>
      </w:rPr>
    </w:lvl>
    <w:lvl w:ilvl="2" w:tplc="2E608C68">
      <w:start w:val="1"/>
      <w:numFmt w:val="bullet"/>
      <w:lvlText w:val=""/>
      <w:lvlJc w:val="left"/>
      <w:pPr>
        <w:tabs>
          <w:tab w:val="num" w:pos="2160"/>
        </w:tabs>
        <w:ind w:left="2160" w:hanging="360"/>
      </w:pPr>
      <w:rPr>
        <w:rFonts w:ascii="Wingdings" w:hAnsi="Wingdings"/>
      </w:rPr>
    </w:lvl>
    <w:lvl w:ilvl="3" w:tplc="E9785DCE">
      <w:start w:val="1"/>
      <w:numFmt w:val="bullet"/>
      <w:lvlText w:val=""/>
      <w:lvlJc w:val="left"/>
      <w:pPr>
        <w:tabs>
          <w:tab w:val="num" w:pos="2880"/>
        </w:tabs>
        <w:ind w:left="2880" w:hanging="360"/>
      </w:pPr>
      <w:rPr>
        <w:rFonts w:ascii="Symbol" w:hAnsi="Symbol"/>
      </w:rPr>
    </w:lvl>
    <w:lvl w:ilvl="4" w:tplc="31C6C15A">
      <w:start w:val="1"/>
      <w:numFmt w:val="bullet"/>
      <w:lvlText w:val="o"/>
      <w:lvlJc w:val="left"/>
      <w:pPr>
        <w:tabs>
          <w:tab w:val="num" w:pos="3600"/>
        </w:tabs>
        <w:ind w:left="3600" w:hanging="360"/>
      </w:pPr>
      <w:rPr>
        <w:rFonts w:ascii="Courier New" w:hAnsi="Courier New"/>
      </w:rPr>
    </w:lvl>
    <w:lvl w:ilvl="5" w:tplc="4650F686">
      <w:start w:val="1"/>
      <w:numFmt w:val="bullet"/>
      <w:lvlText w:val=""/>
      <w:lvlJc w:val="left"/>
      <w:pPr>
        <w:tabs>
          <w:tab w:val="num" w:pos="4320"/>
        </w:tabs>
        <w:ind w:left="4320" w:hanging="360"/>
      </w:pPr>
      <w:rPr>
        <w:rFonts w:ascii="Wingdings" w:hAnsi="Wingdings"/>
      </w:rPr>
    </w:lvl>
    <w:lvl w:ilvl="6" w:tplc="FCAC187E">
      <w:start w:val="1"/>
      <w:numFmt w:val="bullet"/>
      <w:lvlText w:val=""/>
      <w:lvlJc w:val="left"/>
      <w:pPr>
        <w:tabs>
          <w:tab w:val="num" w:pos="5040"/>
        </w:tabs>
        <w:ind w:left="5040" w:hanging="360"/>
      </w:pPr>
      <w:rPr>
        <w:rFonts w:ascii="Symbol" w:hAnsi="Symbol"/>
      </w:rPr>
    </w:lvl>
    <w:lvl w:ilvl="7" w:tplc="DA78D9EA">
      <w:start w:val="1"/>
      <w:numFmt w:val="bullet"/>
      <w:lvlText w:val="o"/>
      <w:lvlJc w:val="left"/>
      <w:pPr>
        <w:tabs>
          <w:tab w:val="num" w:pos="5760"/>
        </w:tabs>
        <w:ind w:left="5760" w:hanging="360"/>
      </w:pPr>
      <w:rPr>
        <w:rFonts w:ascii="Courier New" w:hAnsi="Courier New"/>
      </w:rPr>
    </w:lvl>
    <w:lvl w:ilvl="8" w:tplc="691CECCA">
      <w:start w:val="1"/>
      <w:numFmt w:val="bullet"/>
      <w:lvlText w:val=""/>
      <w:lvlJc w:val="left"/>
      <w:pPr>
        <w:tabs>
          <w:tab w:val="num" w:pos="6480"/>
        </w:tabs>
        <w:ind w:left="6480" w:hanging="360"/>
      </w:pPr>
      <w:rPr>
        <w:rFonts w:ascii="Wingdings" w:hAnsi="Wingdings"/>
      </w:rPr>
    </w:lvl>
  </w:abstractNum>
  <w:abstractNum w:abstractNumId="758" w15:restartNumberingAfterBreak="0">
    <w:nsid w:val="722307B8"/>
    <w:multiLevelType w:val="hybridMultilevel"/>
    <w:tmpl w:val="722307B8"/>
    <w:lvl w:ilvl="0" w:tplc="6D1059A4">
      <w:start w:val="1"/>
      <w:numFmt w:val="bullet"/>
      <w:lvlText w:val=""/>
      <w:lvlJc w:val="left"/>
      <w:pPr>
        <w:ind w:left="720" w:hanging="360"/>
      </w:pPr>
      <w:rPr>
        <w:rFonts w:ascii="Symbol" w:hAnsi="Symbol"/>
      </w:rPr>
    </w:lvl>
    <w:lvl w:ilvl="1" w:tplc="63CE5146">
      <w:start w:val="1"/>
      <w:numFmt w:val="bullet"/>
      <w:lvlText w:val="o"/>
      <w:lvlJc w:val="left"/>
      <w:pPr>
        <w:tabs>
          <w:tab w:val="num" w:pos="1440"/>
        </w:tabs>
        <w:ind w:left="1440" w:hanging="360"/>
      </w:pPr>
      <w:rPr>
        <w:rFonts w:ascii="Courier New" w:hAnsi="Courier New"/>
      </w:rPr>
    </w:lvl>
    <w:lvl w:ilvl="2" w:tplc="5F8E2606">
      <w:start w:val="1"/>
      <w:numFmt w:val="bullet"/>
      <w:lvlText w:val=""/>
      <w:lvlJc w:val="left"/>
      <w:pPr>
        <w:tabs>
          <w:tab w:val="num" w:pos="2160"/>
        </w:tabs>
        <w:ind w:left="2160" w:hanging="360"/>
      </w:pPr>
      <w:rPr>
        <w:rFonts w:ascii="Wingdings" w:hAnsi="Wingdings"/>
      </w:rPr>
    </w:lvl>
    <w:lvl w:ilvl="3" w:tplc="00D0A0E6">
      <w:start w:val="1"/>
      <w:numFmt w:val="bullet"/>
      <w:lvlText w:val=""/>
      <w:lvlJc w:val="left"/>
      <w:pPr>
        <w:tabs>
          <w:tab w:val="num" w:pos="2880"/>
        </w:tabs>
        <w:ind w:left="2880" w:hanging="360"/>
      </w:pPr>
      <w:rPr>
        <w:rFonts w:ascii="Symbol" w:hAnsi="Symbol"/>
      </w:rPr>
    </w:lvl>
    <w:lvl w:ilvl="4" w:tplc="30FCC394">
      <w:start w:val="1"/>
      <w:numFmt w:val="bullet"/>
      <w:lvlText w:val="o"/>
      <w:lvlJc w:val="left"/>
      <w:pPr>
        <w:tabs>
          <w:tab w:val="num" w:pos="3600"/>
        </w:tabs>
        <w:ind w:left="3600" w:hanging="360"/>
      </w:pPr>
      <w:rPr>
        <w:rFonts w:ascii="Courier New" w:hAnsi="Courier New"/>
      </w:rPr>
    </w:lvl>
    <w:lvl w:ilvl="5" w:tplc="85045B10">
      <w:start w:val="1"/>
      <w:numFmt w:val="bullet"/>
      <w:lvlText w:val=""/>
      <w:lvlJc w:val="left"/>
      <w:pPr>
        <w:tabs>
          <w:tab w:val="num" w:pos="4320"/>
        </w:tabs>
        <w:ind w:left="4320" w:hanging="360"/>
      </w:pPr>
      <w:rPr>
        <w:rFonts w:ascii="Wingdings" w:hAnsi="Wingdings"/>
      </w:rPr>
    </w:lvl>
    <w:lvl w:ilvl="6" w:tplc="0AD04E96">
      <w:start w:val="1"/>
      <w:numFmt w:val="bullet"/>
      <w:lvlText w:val=""/>
      <w:lvlJc w:val="left"/>
      <w:pPr>
        <w:tabs>
          <w:tab w:val="num" w:pos="5040"/>
        </w:tabs>
        <w:ind w:left="5040" w:hanging="360"/>
      </w:pPr>
      <w:rPr>
        <w:rFonts w:ascii="Symbol" w:hAnsi="Symbol"/>
      </w:rPr>
    </w:lvl>
    <w:lvl w:ilvl="7" w:tplc="29E0E7DA">
      <w:start w:val="1"/>
      <w:numFmt w:val="bullet"/>
      <w:lvlText w:val="o"/>
      <w:lvlJc w:val="left"/>
      <w:pPr>
        <w:tabs>
          <w:tab w:val="num" w:pos="5760"/>
        </w:tabs>
        <w:ind w:left="5760" w:hanging="360"/>
      </w:pPr>
      <w:rPr>
        <w:rFonts w:ascii="Courier New" w:hAnsi="Courier New"/>
      </w:rPr>
    </w:lvl>
    <w:lvl w:ilvl="8" w:tplc="43C407FE">
      <w:start w:val="1"/>
      <w:numFmt w:val="bullet"/>
      <w:lvlText w:val=""/>
      <w:lvlJc w:val="left"/>
      <w:pPr>
        <w:tabs>
          <w:tab w:val="num" w:pos="6480"/>
        </w:tabs>
        <w:ind w:left="6480" w:hanging="360"/>
      </w:pPr>
      <w:rPr>
        <w:rFonts w:ascii="Wingdings" w:hAnsi="Wingdings"/>
      </w:rPr>
    </w:lvl>
  </w:abstractNum>
  <w:abstractNum w:abstractNumId="759" w15:restartNumberingAfterBreak="0">
    <w:nsid w:val="722307B9"/>
    <w:multiLevelType w:val="hybridMultilevel"/>
    <w:tmpl w:val="722307B9"/>
    <w:lvl w:ilvl="0" w:tplc="381E373E">
      <w:start w:val="1"/>
      <w:numFmt w:val="bullet"/>
      <w:lvlText w:val=""/>
      <w:lvlJc w:val="left"/>
      <w:pPr>
        <w:ind w:left="720" w:hanging="360"/>
      </w:pPr>
      <w:rPr>
        <w:rFonts w:ascii="Symbol" w:hAnsi="Symbol"/>
      </w:rPr>
    </w:lvl>
    <w:lvl w:ilvl="1" w:tplc="BAF6DD92">
      <w:start w:val="1"/>
      <w:numFmt w:val="bullet"/>
      <w:lvlText w:val="o"/>
      <w:lvlJc w:val="left"/>
      <w:pPr>
        <w:tabs>
          <w:tab w:val="num" w:pos="1440"/>
        </w:tabs>
        <w:ind w:left="1440" w:hanging="360"/>
      </w:pPr>
      <w:rPr>
        <w:rFonts w:ascii="Courier New" w:hAnsi="Courier New"/>
      </w:rPr>
    </w:lvl>
    <w:lvl w:ilvl="2" w:tplc="C64C098A">
      <w:start w:val="1"/>
      <w:numFmt w:val="bullet"/>
      <w:lvlText w:val=""/>
      <w:lvlJc w:val="left"/>
      <w:pPr>
        <w:tabs>
          <w:tab w:val="num" w:pos="2160"/>
        </w:tabs>
        <w:ind w:left="2160" w:hanging="360"/>
      </w:pPr>
      <w:rPr>
        <w:rFonts w:ascii="Wingdings" w:hAnsi="Wingdings"/>
      </w:rPr>
    </w:lvl>
    <w:lvl w:ilvl="3" w:tplc="724E93DC">
      <w:start w:val="1"/>
      <w:numFmt w:val="bullet"/>
      <w:lvlText w:val=""/>
      <w:lvlJc w:val="left"/>
      <w:pPr>
        <w:tabs>
          <w:tab w:val="num" w:pos="2880"/>
        </w:tabs>
        <w:ind w:left="2880" w:hanging="360"/>
      </w:pPr>
      <w:rPr>
        <w:rFonts w:ascii="Symbol" w:hAnsi="Symbol"/>
      </w:rPr>
    </w:lvl>
    <w:lvl w:ilvl="4" w:tplc="E0BA0150">
      <w:start w:val="1"/>
      <w:numFmt w:val="bullet"/>
      <w:lvlText w:val="o"/>
      <w:lvlJc w:val="left"/>
      <w:pPr>
        <w:tabs>
          <w:tab w:val="num" w:pos="3600"/>
        </w:tabs>
        <w:ind w:left="3600" w:hanging="360"/>
      </w:pPr>
      <w:rPr>
        <w:rFonts w:ascii="Courier New" w:hAnsi="Courier New"/>
      </w:rPr>
    </w:lvl>
    <w:lvl w:ilvl="5" w:tplc="B2D40FFC">
      <w:start w:val="1"/>
      <w:numFmt w:val="bullet"/>
      <w:lvlText w:val=""/>
      <w:lvlJc w:val="left"/>
      <w:pPr>
        <w:tabs>
          <w:tab w:val="num" w:pos="4320"/>
        </w:tabs>
        <w:ind w:left="4320" w:hanging="360"/>
      </w:pPr>
      <w:rPr>
        <w:rFonts w:ascii="Wingdings" w:hAnsi="Wingdings"/>
      </w:rPr>
    </w:lvl>
    <w:lvl w:ilvl="6" w:tplc="9084A15A">
      <w:start w:val="1"/>
      <w:numFmt w:val="bullet"/>
      <w:lvlText w:val=""/>
      <w:lvlJc w:val="left"/>
      <w:pPr>
        <w:tabs>
          <w:tab w:val="num" w:pos="5040"/>
        </w:tabs>
        <w:ind w:left="5040" w:hanging="360"/>
      </w:pPr>
      <w:rPr>
        <w:rFonts w:ascii="Symbol" w:hAnsi="Symbol"/>
      </w:rPr>
    </w:lvl>
    <w:lvl w:ilvl="7" w:tplc="6EAAE9DC">
      <w:start w:val="1"/>
      <w:numFmt w:val="bullet"/>
      <w:lvlText w:val="o"/>
      <w:lvlJc w:val="left"/>
      <w:pPr>
        <w:tabs>
          <w:tab w:val="num" w:pos="5760"/>
        </w:tabs>
        <w:ind w:left="5760" w:hanging="360"/>
      </w:pPr>
      <w:rPr>
        <w:rFonts w:ascii="Courier New" w:hAnsi="Courier New"/>
      </w:rPr>
    </w:lvl>
    <w:lvl w:ilvl="8" w:tplc="62C49442">
      <w:start w:val="1"/>
      <w:numFmt w:val="bullet"/>
      <w:lvlText w:val=""/>
      <w:lvlJc w:val="left"/>
      <w:pPr>
        <w:tabs>
          <w:tab w:val="num" w:pos="6480"/>
        </w:tabs>
        <w:ind w:left="6480" w:hanging="360"/>
      </w:pPr>
      <w:rPr>
        <w:rFonts w:ascii="Wingdings" w:hAnsi="Wingdings"/>
      </w:rPr>
    </w:lvl>
  </w:abstractNum>
  <w:abstractNum w:abstractNumId="760" w15:restartNumberingAfterBreak="0">
    <w:nsid w:val="722307BA"/>
    <w:multiLevelType w:val="hybridMultilevel"/>
    <w:tmpl w:val="722307BA"/>
    <w:lvl w:ilvl="0" w:tplc="BF665B90">
      <w:start w:val="1"/>
      <w:numFmt w:val="bullet"/>
      <w:lvlText w:val=""/>
      <w:lvlJc w:val="left"/>
      <w:pPr>
        <w:ind w:left="720" w:hanging="360"/>
      </w:pPr>
      <w:rPr>
        <w:rFonts w:ascii="Symbol" w:hAnsi="Symbol"/>
      </w:rPr>
    </w:lvl>
    <w:lvl w:ilvl="1" w:tplc="3A46E954">
      <w:start w:val="1"/>
      <w:numFmt w:val="bullet"/>
      <w:lvlText w:val="o"/>
      <w:lvlJc w:val="left"/>
      <w:pPr>
        <w:tabs>
          <w:tab w:val="num" w:pos="1440"/>
        </w:tabs>
        <w:ind w:left="1440" w:hanging="360"/>
      </w:pPr>
      <w:rPr>
        <w:rFonts w:ascii="Courier New" w:hAnsi="Courier New"/>
      </w:rPr>
    </w:lvl>
    <w:lvl w:ilvl="2" w:tplc="E7F40D0E">
      <w:start w:val="1"/>
      <w:numFmt w:val="bullet"/>
      <w:lvlText w:val=""/>
      <w:lvlJc w:val="left"/>
      <w:pPr>
        <w:tabs>
          <w:tab w:val="num" w:pos="2160"/>
        </w:tabs>
        <w:ind w:left="2160" w:hanging="360"/>
      </w:pPr>
      <w:rPr>
        <w:rFonts w:ascii="Wingdings" w:hAnsi="Wingdings"/>
      </w:rPr>
    </w:lvl>
    <w:lvl w:ilvl="3" w:tplc="1DE05F34">
      <w:start w:val="1"/>
      <w:numFmt w:val="bullet"/>
      <w:lvlText w:val=""/>
      <w:lvlJc w:val="left"/>
      <w:pPr>
        <w:tabs>
          <w:tab w:val="num" w:pos="2880"/>
        </w:tabs>
        <w:ind w:left="2880" w:hanging="360"/>
      </w:pPr>
      <w:rPr>
        <w:rFonts w:ascii="Symbol" w:hAnsi="Symbol"/>
      </w:rPr>
    </w:lvl>
    <w:lvl w:ilvl="4" w:tplc="CA745296">
      <w:start w:val="1"/>
      <w:numFmt w:val="bullet"/>
      <w:lvlText w:val="o"/>
      <w:lvlJc w:val="left"/>
      <w:pPr>
        <w:tabs>
          <w:tab w:val="num" w:pos="3600"/>
        </w:tabs>
        <w:ind w:left="3600" w:hanging="360"/>
      </w:pPr>
      <w:rPr>
        <w:rFonts w:ascii="Courier New" w:hAnsi="Courier New"/>
      </w:rPr>
    </w:lvl>
    <w:lvl w:ilvl="5" w:tplc="AA7028DA">
      <w:start w:val="1"/>
      <w:numFmt w:val="bullet"/>
      <w:lvlText w:val=""/>
      <w:lvlJc w:val="left"/>
      <w:pPr>
        <w:tabs>
          <w:tab w:val="num" w:pos="4320"/>
        </w:tabs>
        <w:ind w:left="4320" w:hanging="360"/>
      </w:pPr>
      <w:rPr>
        <w:rFonts w:ascii="Wingdings" w:hAnsi="Wingdings"/>
      </w:rPr>
    </w:lvl>
    <w:lvl w:ilvl="6" w:tplc="A4DE6636">
      <w:start w:val="1"/>
      <w:numFmt w:val="bullet"/>
      <w:lvlText w:val=""/>
      <w:lvlJc w:val="left"/>
      <w:pPr>
        <w:tabs>
          <w:tab w:val="num" w:pos="5040"/>
        </w:tabs>
        <w:ind w:left="5040" w:hanging="360"/>
      </w:pPr>
      <w:rPr>
        <w:rFonts w:ascii="Symbol" w:hAnsi="Symbol"/>
      </w:rPr>
    </w:lvl>
    <w:lvl w:ilvl="7" w:tplc="B652E564">
      <w:start w:val="1"/>
      <w:numFmt w:val="bullet"/>
      <w:lvlText w:val="o"/>
      <w:lvlJc w:val="left"/>
      <w:pPr>
        <w:tabs>
          <w:tab w:val="num" w:pos="5760"/>
        </w:tabs>
        <w:ind w:left="5760" w:hanging="360"/>
      </w:pPr>
      <w:rPr>
        <w:rFonts w:ascii="Courier New" w:hAnsi="Courier New"/>
      </w:rPr>
    </w:lvl>
    <w:lvl w:ilvl="8" w:tplc="E0FCAE5C">
      <w:start w:val="1"/>
      <w:numFmt w:val="bullet"/>
      <w:lvlText w:val=""/>
      <w:lvlJc w:val="left"/>
      <w:pPr>
        <w:tabs>
          <w:tab w:val="num" w:pos="6480"/>
        </w:tabs>
        <w:ind w:left="6480" w:hanging="360"/>
      </w:pPr>
      <w:rPr>
        <w:rFonts w:ascii="Wingdings" w:hAnsi="Wingdings"/>
      </w:rPr>
    </w:lvl>
  </w:abstractNum>
  <w:abstractNum w:abstractNumId="761" w15:restartNumberingAfterBreak="0">
    <w:nsid w:val="722307BB"/>
    <w:multiLevelType w:val="hybridMultilevel"/>
    <w:tmpl w:val="722307BB"/>
    <w:lvl w:ilvl="0" w:tplc="014AF632">
      <w:start w:val="1"/>
      <w:numFmt w:val="bullet"/>
      <w:lvlText w:val=""/>
      <w:lvlJc w:val="left"/>
      <w:pPr>
        <w:ind w:left="720" w:hanging="360"/>
      </w:pPr>
      <w:rPr>
        <w:rFonts w:ascii="Symbol" w:hAnsi="Symbol"/>
      </w:rPr>
    </w:lvl>
    <w:lvl w:ilvl="1" w:tplc="5F2EE4A2">
      <w:start w:val="1"/>
      <w:numFmt w:val="bullet"/>
      <w:lvlText w:val="o"/>
      <w:lvlJc w:val="left"/>
      <w:pPr>
        <w:tabs>
          <w:tab w:val="num" w:pos="1440"/>
        </w:tabs>
        <w:ind w:left="1440" w:hanging="360"/>
      </w:pPr>
      <w:rPr>
        <w:rFonts w:ascii="Courier New" w:hAnsi="Courier New"/>
      </w:rPr>
    </w:lvl>
    <w:lvl w:ilvl="2" w:tplc="E206B8D6">
      <w:start w:val="1"/>
      <w:numFmt w:val="bullet"/>
      <w:lvlText w:val=""/>
      <w:lvlJc w:val="left"/>
      <w:pPr>
        <w:tabs>
          <w:tab w:val="num" w:pos="2160"/>
        </w:tabs>
        <w:ind w:left="2160" w:hanging="360"/>
      </w:pPr>
      <w:rPr>
        <w:rFonts w:ascii="Wingdings" w:hAnsi="Wingdings"/>
      </w:rPr>
    </w:lvl>
    <w:lvl w:ilvl="3" w:tplc="5CCA3E82">
      <w:start w:val="1"/>
      <w:numFmt w:val="bullet"/>
      <w:lvlText w:val=""/>
      <w:lvlJc w:val="left"/>
      <w:pPr>
        <w:tabs>
          <w:tab w:val="num" w:pos="2880"/>
        </w:tabs>
        <w:ind w:left="2880" w:hanging="360"/>
      </w:pPr>
      <w:rPr>
        <w:rFonts w:ascii="Symbol" w:hAnsi="Symbol"/>
      </w:rPr>
    </w:lvl>
    <w:lvl w:ilvl="4" w:tplc="6A6638F0">
      <w:start w:val="1"/>
      <w:numFmt w:val="bullet"/>
      <w:lvlText w:val="o"/>
      <w:lvlJc w:val="left"/>
      <w:pPr>
        <w:tabs>
          <w:tab w:val="num" w:pos="3600"/>
        </w:tabs>
        <w:ind w:left="3600" w:hanging="360"/>
      </w:pPr>
      <w:rPr>
        <w:rFonts w:ascii="Courier New" w:hAnsi="Courier New"/>
      </w:rPr>
    </w:lvl>
    <w:lvl w:ilvl="5" w:tplc="C0DC6440">
      <w:start w:val="1"/>
      <w:numFmt w:val="bullet"/>
      <w:lvlText w:val=""/>
      <w:lvlJc w:val="left"/>
      <w:pPr>
        <w:tabs>
          <w:tab w:val="num" w:pos="4320"/>
        </w:tabs>
        <w:ind w:left="4320" w:hanging="360"/>
      </w:pPr>
      <w:rPr>
        <w:rFonts w:ascii="Wingdings" w:hAnsi="Wingdings"/>
      </w:rPr>
    </w:lvl>
    <w:lvl w:ilvl="6" w:tplc="80662E26">
      <w:start w:val="1"/>
      <w:numFmt w:val="bullet"/>
      <w:lvlText w:val=""/>
      <w:lvlJc w:val="left"/>
      <w:pPr>
        <w:tabs>
          <w:tab w:val="num" w:pos="5040"/>
        </w:tabs>
        <w:ind w:left="5040" w:hanging="360"/>
      </w:pPr>
      <w:rPr>
        <w:rFonts w:ascii="Symbol" w:hAnsi="Symbol"/>
      </w:rPr>
    </w:lvl>
    <w:lvl w:ilvl="7" w:tplc="DEDA0708">
      <w:start w:val="1"/>
      <w:numFmt w:val="bullet"/>
      <w:lvlText w:val="o"/>
      <w:lvlJc w:val="left"/>
      <w:pPr>
        <w:tabs>
          <w:tab w:val="num" w:pos="5760"/>
        </w:tabs>
        <w:ind w:left="5760" w:hanging="360"/>
      </w:pPr>
      <w:rPr>
        <w:rFonts w:ascii="Courier New" w:hAnsi="Courier New"/>
      </w:rPr>
    </w:lvl>
    <w:lvl w:ilvl="8" w:tplc="F718080E">
      <w:start w:val="1"/>
      <w:numFmt w:val="bullet"/>
      <w:lvlText w:val=""/>
      <w:lvlJc w:val="left"/>
      <w:pPr>
        <w:tabs>
          <w:tab w:val="num" w:pos="6480"/>
        </w:tabs>
        <w:ind w:left="6480" w:hanging="360"/>
      </w:pPr>
      <w:rPr>
        <w:rFonts w:ascii="Wingdings" w:hAnsi="Wingdings"/>
      </w:rPr>
    </w:lvl>
  </w:abstractNum>
  <w:abstractNum w:abstractNumId="762" w15:restartNumberingAfterBreak="0">
    <w:nsid w:val="722307BC"/>
    <w:multiLevelType w:val="hybridMultilevel"/>
    <w:tmpl w:val="722307BC"/>
    <w:lvl w:ilvl="0" w:tplc="BB7E85A6">
      <w:start w:val="1"/>
      <w:numFmt w:val="bullet"/>
      <w:lvlText w:val=""/>
      <w:lvlJc w:val="left"/>
      <w:pPr>
        <w:ind w:left="720" w:hanging="360"/>
      </w:pPr>
      <w:rPr>
        <w:rFonts w:ascii="Symbol" w:hAnsi="Symbol"/>
      </w:rPr>
    </w:lvl>
    <w:lvl w:ilvl="1" w:tplc="99D60CFA">
      <w:start w:val="1"/>
      <w:numFmt w:val="bullet"/>
      <w:lvlText w:val="o"/>
      <w:lvlJc w:val="left"/>
      <w:pPr>
        <w:tabs>
          <w:tab w:val="num" w:pos="1440"/>
        </w:tabs>
        <w:ind w:left="1440" w:hanging="360"/>
      </w:pPr>
      <w:rPr>
        <w:rFonts w:ascii="Courier New" w:hAnsi="Courier New"/>
      </w:rPr>
    </w:lvl>
    <w:lvl w:ilvl="2" w:tplc="1A966E06">
      <w:start w:val="1"/>
      <w:numFmt w:val="bullet"/>
      <w:lvlText w:val=""/>
      <w:lvlJc w:val="left"/>
      <w:pPr>
        <w:tabs>
          <w:tab w:val="num" w:pos="2160"/>
        </w:tabs>
        <w:ind w:left="2160" w:hanging="360"/>
      </w:pPr>
      <w:rPr>
        <w:rFonts w:ascii="Wingdings" w:hAnsi="Wingdings"/>
      </w:rPr>
    </w:lvl>
    <w:lvl w:ilvl="3" w:tplc="6D9E9EE6">
      <w:start w:val="1"/>
      <w:numFmt w:val="bullet"/>
      <w:lvlText w:val=""/>
      <w:lvlJc w:val="left"/>
      <w:pPr>
        <w:tabs>
          <w:tab w:val="num" w:pos="2880"/>
        </w:tabs>
        <w:ind w:left="2880" w:hanging="360"/>
      </w:pPr>
      <w:rPr>
        <w:rFonts w:ascii="Symbol" w:hAnsi="Symbol"/>
      </w:rPr>
    </w:lvl>
    <w:lvl w:ilvl="4" w:tplc="4B7C5112">
      <w:start w:val="1"/>
      <w:numFmt w:val="bullet"/>
      <w:lvlText w:val="o"/>
      <w:lvlJc w:val="left"/>
      <w:pPr>
        <w:tabs>
          <w:tab w:val="num" w:pos="3600"/>
        </w:tabs>
        <w:ind w:left="3600" w:hanging="360"/>
      </w:pPr>
      <w:rPr>
        <w:rFonts w:ascii="Courier New" w:hAnsi="Courier New"/>
      </w:rPr>
    </w:lvl>
    <w:lvl w:ilvl="5" w:tplc="B9BC1608">
      <w:start w:val="1"/>
      <w:numFmt w:val="bullet"/>
      <w:lvlText w:val=""/>
      <w:lvlJc w:val="left"/>
      <w:pPr>
        <w:tabs>
          <w:tab w:val="num" w:pos="4320"/>
        </w:tabs>
        <w:ind w:left="4320" w:hanging="360"/>
      </w:pPr>
      <w:rPr>
        <w:rFonts w:ascii="Wingdings" w:hAnsi="Wingdings"/>
      </w:rPr>
    </w:lvl>
    <w:lvl w:ilvl="6" w:tplc="7EF4DC9A">
      <w:start w:val="1"/>
      <w:numFmt w:val="bullet"/>
      <w:lvlText w:val=""/>
      <w:lvlJc w:val="left"/>
      <w:pPr>
        <w:tabs>
          <w:tab w:val="num" w:pos="5040"/>
        </w:tabs>
        <w:ind w:left="5040" w:hanging="360"/>
      </w:pPr>
      <w:rPr>
        <w:rFonts w:ascii="Symbol" w:hAnsi="Symbol"/>
      </w:rPr>
    </w:lvl>
    <w:lvl w:ilvl="7" w:tplc="A0BAA5F8">
      <w:start w:val="1"/>
      <w:numFmt w:val="bullet"/>
      <w:lvlText w:val="o"/>
      <w:lvlJc w:val="left"/>
      <w:pPr>
        <w:tabs>
          <w:tab w:val="num" w:pos="5760"/>
        </w:tabs>
        <w:ind w:left="5760" w:hanging="360"/>
      </w:pPr>
      <w:rPr>
        <w:rFonts w:ascii="Courier New" w:hAnsi="Courier New"/>
      </w:rPr>
    </w:lvl>
    <w:lvl w:ilvl="8" w:tplc="A72E238C">
      <w:start w:val="1"/>
      <w:numFmt w:val="bullet"/>
      <w:lvlText w:val=""/>
      <w:lvlJc w:val="left"/>
      <w:pPr>
        <w:tabs>
          <w:tab w:val="num" w:pos="6480"/>
        </w:tabs>
        <w:ind w:left="6480" w:hanging="360"/>
      </w:pPr>
      <w:rPr>
        <w:rFonts w:ascii="Wingdings" w:hAnsi="Wingdings"/>
      </w:rPr>
    </w:lvl>
  </w:abstractNum>
  <w:abstractNum w:abstractNumId="763" w15:restartNumberingAfterBreak="0">
    <w:nsid w:val="722307BD"/>
    <w:multiLevelType w:val="hybridMultilevel"/>
    <w:tmpl w:val="722307BD"/>
    <w:lvl w:ilvl="0" w:tplc="7AB619A4">
      <w:start w:val="1"/>
      <w:numFmt w:val="bullet"/>
      <w:lvlText w:val=""/>
      <w:lvlJc w:val="left"/>
      <w:pPr>
        <w:ind w:left="720" w:hanging="360"/>
      </w:pPr>
      <w:rPr>
        <w:rFonts w:ascii="Symbol" w:hAnsi="Symbol"/>
      </w:rPr>
    </w:lvl>
    <w:lvl w:ilvl="1" w:tplc="EAFED488">
      <w:start w:val="1"/>
      <w:numFmt w:val="bullet"/>
      <w:lvlText w:val="o"/>
      <w:lvlJc w:val="left"/>
      <w:pPr>
        <w:tabs>
          <w:tab w:val="num" w:pos="1440"/>
        </w:tabs>
        <w:ind w:left="1440" w:hanging="360"/>
      </w:pPr>
      <w:rPr>
        <w:rFonts w:ascii="Courier New" w:hAnsi="Courier New"/>
      </w:rPr>
    </w:lvl>
    <w:lvl w:ilvl="2" w:tplc="F4FAB064">
      <w:start w:val="1"/>
      <w:numFmt w:val="bullet"/>
      <w:lvlText w:val=""/>
      <w:lvlJc w:val="left"/>
      <w:pPr>
        <w:tabs>
          <w:tab w:val="num" w:pos="2160"/>
        </w:tabs>
        <w:ind w:left="2160" w:hanging="360"/>
      </w:pPr>
      <w:rPr>
        <w:rFonts w:ascii="Wingdings" w:hAnsi="Wingdings"/>
      </w:rPr>
    </w:lvl>
    <w:lvl w:ilvl="3" w:tplc="64EE6108">
      <w:start w:val="1"/>
      <w:numFmt w:val="bullet"/>
      <w:lvlText w:val=""/>
      <w:lvlJc w:val="left"/>
      <w:pPr>
        <w:tabs>
          <w:tab w:val="num" w:pos="2880"/>
        </w:tabs>
        <w:ind w:left="2880" w:hanging="360"/>
      </w:pPr>
      <w:rPr>
        <w:rFonts w:ascii="Symbol" w:hAnsi="Symbol"/>
      </w:rPr>
    </w:lvl>
    <w:lvl w:ilvl="4" w:tplc="EE24710E">
      <w:start w:val="1"/>
      <w:numFmt w:val="bullet"/>
      <w:lvlText w:val="o"/>
      <w:lvlJc w:val="left"/>
      <w:pPr>
        <w:tabs>
          <w:tab w:val="num" w:pos="3600"/>
        </w:tabs>
        <w:ind w:left="3600" w:hanging="360"/>
      </w:pPr>
      <w:rPr>
        <w:rFonts w:ascii="Courier New" w:hAnsi="Courier New"/>
      </w:rPr>
    </w:lvl>
    <w:lvl w:ilvl="5" w:tplc="AFE8C250">
      <w:start w:val="1"/>
      <w:numFmt w:val="bullet"/>
      <w:lvlText w:val=""/>
      <w:lvlJc w:val="left"/>
      <w:pPr>
        <w:tabs>
          <w:tab w:val="num" w:pos="4320"/>
        </w:tabs>
        <w:ind w:left="4320" w:hanging="360"/>
      </w:pPr>
      <w:rPr>
        <w:rFonts w:ascii="Wingdings" w:hAnsi="Wingdings"/>
      </w:rPr>
    </w:lvl>
    <w:lvl w:ilvl="6" w:tplc="05E0A1FC">
      <w:start w:val="1"/>
      <w:numFmt w:val="bullet"/>
      <w:lvlText w:val=""/>
      <w:lvlJc w:val="left"/>
      <w:pPr>
        <w:tabs>
          <w:tab w:val="num" w:pos="5040"/>
        </w:tabs>
        <w:ind w:left="5040" w:hanging="360"/>
      </w:pPr>
      <w:rPr>
        <w:rFonts w:ascii="Symbol" w:hAnsi="Symbol"/>
      </w:rPr>
    </w:lvl>
    <w:lvl w:ilvl="7" w:tplc="C138192E">
      <w:start w:val="1"/>
      <w:numFmt w:val="bullet"/>
      <w:lvlText w:val="o"/>
      <w:lvlJc w:val="left"/>
      <w:pPr>
        <w:tabs>
          <w:tab w:val="num" w:pos="5760"/>
        </w:tabs>
        <w:ind w:left="5760" w:hanging="360"/>
      </w:pPr>
      <w:rPr>
        <w:rFonts w:ascii="Courier New" w:hAnsi="Courier New"/>
      </w:rPr>
    </w:lvl>
    <w:lvl w:ilvl="8" w:tplc="733A0600">
      <w:start w:val="1"/>
      <w:numFmt w:val="bullet"/>
      <w:lvlText w:val=""/>
      <w:lvlJc w:val="left"/>
      <w:pPr>
        <w:tabs>
          <w:tab w:val="num" w:pos="6480"/>
        </w:tabs>
        <w:ind w:left="6480" w:hanging="360"/>
      </w:pPr>
      <w:rPr>
        <w:rFonts w:ascii="Wingdings" w:hAnsi="Wingdings"/>
      </w:rPr>
    </w:lvl>
  </w:abstractNum>
  <w:abstractNum w:abstractNumId="764" w15:restartNumberingAfterBreak="0">
    <w:nsid w:val="722307BE"/>
    <w:multiLevelType w:val="hybridMultilevel"/>
    <w:tmpl w:val="722307BE"/>
    <w:lvl w:ilvl="0" w:tplc="122EBC40">
      <w:start w:val="1"/>
      <w:numFmt w:val="bullet"/>
      <w:lvlText w:val=""/>
      <w:lvlJc w:val="left"/>
      <w:pPr>
        <w:tabs>
          <w:tab w:val="num" w:pos="720"/>
        </w:tabs>
        <w:ind w:left="720" w:hanging="360"/>
      </w:pPr>
      <w:rPr>
        <w:rFonts w:ascii="Symbol" w:hAnsi="Symbol"/>
      </w:rPr>
    </w:lvl>
    <w:lvl w:ilvl="1" w:tplc="74322B5E">
      <w:start w:val="1"/>
      <w:numFmt w:val="bullet"/>
      <w:lvlText w:val="o"/>
      <w:lvlJc w:val="left"/>
      <w:pPr>
        <w:tabs>
          <w:tab w:val="num" w:pos="1440"/>
        </w:tabs>
        <w:ind w:left="1440" w:hanging="360"/>
      </w:pPr>
      <w:rPr>
        <w:rFonts w:ascii="Courier New" w:hAnsi="Courier New"/>
      </w:rPr>
    </w:lvl>
    <w:lvl w:ilvl="2" w:tplc="37924A6E">
      <w:start w:val="1"/>
      <w:numFmt w:val="bullet"/>
      <w:lvlText w:val=""/>
      <w:lvlJc w:val="left"/>
      <w:pPr>
        <w:tabs>
          <w:tab w:val="num" w:pos="2160"/>
        </w:tabs>
        <w:ind w:left="2160" w:hanging="360"/>
      </w:pPr>
      <w:rPr>
        <w:rFonts w:ascii="Wingdings" w:hAnsi="Wingdings"/>
      </w:rPr>
    </w:lvl>
    <w:lvl w:ilvl="3" w:tplc="DEBA12E4">
      <w:start w:val="1"/>
      <w:numFmt w:val="bullet"/>
      <w:lvlText w:val=""/>
      <w:lvlJc w:val="left"/>
      <w:pPr>
        <w:tabs>
          <w:tab w:val="num" w:pos="2880"/>
        </w:tabs>
        <w:ind w:left="2880" w:hanging="360"/>
      </w:pPr>
      <w:rPr>
        <w:rFonts w:ascii="Symbol" w:hAnsi="Symbol"/>
      </w:rPr>
    </w:lvl>
    <w:lvl w:ilvl="4" w:tplc="32EE42B2">
      <w:start w:val="1"/>
      <w:numFmt w:val="bullet"/>
      <w:lvlText w:val="o"/>
      <w:lvlJc w:val="left"/>
      <w:pPr>
        <w:tabs>
          <w:tab w:val="num" w:pos="3600"/>
        </w:tabs>
        <w:ind w:left="3600" w:hanging="360"/>
      </w:pPr>
      <w:rPr>
        <w:rFonts w:ascii="Courier New" w:hAnsi="Courier New"/>
      </w:rPr>
    </w:lvl>
    <w:lvl w:ilvl="5" w:tplc="1C3A4F4E">
      <w:start w:val="1"/>
      <w:numFmt w:val="bullet"/>
      <w:lvlText w:val=""/>
      <w:lvlJc w:val="left"/>
      <w:pPr>
        <w:tabs>
          <w:tab w:val="num" w:pos="4320"/>
        </w:tabs>
        <w:ind w:left="4320" w:hanging="360"/>
      </w:pPr>
      <w:rPr>
        <w:rFonts w:ascii="Wingdings" w:hAnsi="Wingdings"/>
      </w:rPr>
    </w:lvl>
    <w:lvl w:ilvl="6" w:tplc="E62837B4">
      <w:start w:val="1"/>
      <w:numFmt w:val="bullet"/>
      <w:lvlText w:val=""/>
      <w:lvlJc w:val="left"/>
      <w:pPr>
        <w:tabs>
          <w:tab w:val="num" w:pos="5040"/>
        </w:tabs>
        <w:ind w:left="5040" w:hanging="360"/>
      </w:pPr>
      <w:rPr>
        <w:rFonts w:ascii="Symbol" w:hAnsi="Symbol"/>
      </w:rPr>
    </w:lvl>
    <w:lvl w:ilvl="7" w:tplc="4D6A6AC8">
      <w:start w:val="1"/>
      <w:numFmt w:val="bullet"/>
      <w:lvlText w:val="o"/>
      <w:lvlJc w:val="left"/>
      <w:pPr>
        <w:tabs>
          <w:tab w:val="num" w:pos="5760"/>
        </w:tabs>
        <w:ind w:left="5760" w:hanging="360"/>
      </w:pPr>
      <w:rPr>
        <w:rFonts w:ascii="Courier New" w:hAnsi="Courier New"/>
      </w:rPr>
    </w:lvl>
    <w:lvl w:ilvl="8" w:tplc="F6640FD8">
      <w:start w:val="1"/>
      <w:numFmt w:val="bullet"/>
      <w:lvlText w:val=""/>
      <w:lvlJc w:val="left"/>
      <w:pPr>
        <w:tabs>
          <w:tab w:val="num" w:pos="6480"/>
        </w:tabs>
        <w:ind w:left="6480" w:hanging="360"/>
      </w:pPr>
      <w:rPr>
        <w:rFonts w:ascii="Wingdings" w:hAnsi="Wingdings"/>
      </w:rPr>
    </w:lvl>
  </w:abstractNum>
  <w:abstractNum w:abstractNumId="765" w15:restartNumberingAfterBreak="0">
    <w:nsid w:val="722307BF"/>
    <w:multiLevelType w:val="hybridMultilevel"/>
    <w:tmpl w:val="722307BF"/>
    <w:lvl w:ilvl="0" w:tplc="3F02BE10">
      <w:start w:val="1"/>
      <w:numFmt w:val="bullet"/>
      <w:lvlText w:val=""/>
      <w:lvlJc w:val="left"/>
      <w:pPr>
        <w:ind w:left="720" w:hanging="360"/>
      </w:pPr>
      <w:rPr>
        <w:rFonts w:ascii="Symbol" w:hAnsi="Symbol"/>
      </w:rPr>
    </w:lvl>
    <w:lvl w:ilvl="1" w:tplc="004E0AC0">
      <w:start w:val="1"/>
      <w:numFmt w:val="bullet"/>
      <w:lvlText w:val="o"/>
      <w:lvlJc w:val="left"/>
      <w:pPr>
        <w:tabs>
          <w:tab w:val="num" w:pos="1440"/>
        </w:tabs>
        <w:ind w:left="1440" w:hanging="360"/>
      </w:pPr>
      <w:rPr>
        <w:rFonts w:ascii="Courier New" w:hAnsi="Courier New"/>
      </w:rPr>
    </w:lvl>
    <w:lvl w:ilvl="2" w:tplc="DCCCF8EA">
      <w:start w:val="1"/>
      <w:numFmt w:val="bullet"/>
      <w:lvlText w:val=""/>
      <w:lvlJc w:val="left"/>
      <w:pPr>
        <w:tabs>
          <w:tab w:val="num" w:pos="2160"/>
        </w:tabs>
        <w:ind w:left="2160" w:hanging="360"/>
      </w:pPr>
      <w:rPr>
        <w:rFonts w:ascii="Wingdings" w:hAnsi="Wingdings"/>
      </w:rPr>
    </w:lvl>
    <w:lvl w:ilvl="3" w:tplc="AE100D02">
      <w:start w:val="1"/>
      <w:numFmt w:val="bullet"/>
      <w:lvlText w:val=""/>
      <w:lvlJc w:val="left"/>
      <w:pPr>
        <w:tabs>
          <w:tab w:val="num" w:pos="2880"/>
        </w:tabs>
        <w:ind w:left="2880" w:hanging="360"/>
      </w:pPr>
      <w:rPr>
        <w:rFonts w:ascii="Symbol" w:hAnsi="Symbol"/>
      </w:rPr>
    </w:lvl>
    <w:lvl w:ilvl="4" w:tplc="589A9198">
      <w:start w:val="1"/>
      <w:numFmt w:val="bullet"/>
      <w:lvlText w:val="o"/>
      <w:lvlJc w:val="left"/>
      <w:pPr>
        <w:tabs>
          <w:tab w:val="num" w:pos="3600"/>
        </w:tabs>
        <w:ind w:left="3600" w:hanging="360"/>
      </w:pPr>
      <w:rPr>
        <w:rFonts w:ascii="Courier New" w:hAnsi="Courier New"/>
      </w:rPr>
    </w:lvl>
    <w:lvl w:ilvl="5" w:tplc="FF483280">
      <w:start w:val="1"/>
      <w:numFmt w:val="bullet"/>
      <w:lvlText w:val=""/>
      <w:lvlJc w:val="left"/>
      <w:pPr>
        <w:tabs>
          <w:tab w:val="num" w:pos="4320"/>
        </w:tabs>
        <w:ind w:left="4320" w:hanging="360"/>
      </w:pPr>
      <w:rPr>
        <w:rFonts w:ascii="Wingdings" w:hAnsi="Wingdings"/>
      </w:rPr>
    </w:lvl>
    <w:lvl w:ilvl="6" w:tplc="E068AA5C">
      <w:start w:val="1"/>
      <w:numFmt w:val="bullet"/>
      <w:lvlText w:val=""/>
      <w:lvlJc w:val="left"/>
      <w:pPr>
        <w:tabs>
          <w:tab w:val="num" w:pos="5040"/>
        </w:tabs>
        <w:ind w:left="5040" w:hanging="360"/>
      </w:pPr>
      <w:rPr>
        <w:rFonts w:ascii="Symbol" w:hAnsi="Symbol"/>
      </w:rPr>
    </w:lvl>
    <w:lvl w:ilvl="7" w:tplc="2AAE9D50">
      <w:start w:val="1"/>
      <w:numFmt w:val="bullet"/>
      <w:lvlText w:val="o"/>
      <w:lvlJc w:val="left"/>
      <w:pPr>
        <w:tabs>
          <w:tab w:val="num" w:pos="5760"/>
        </w:tabs>
        <w:ind w:left="5760" w:hanging="360"/>
      </w:pPr>
      <w:rPr>
        <w:rFonts w:ascii="Courier New" w:hAnsi="Courier New"/>
      </w:rPr>
    </w:lvl>
    <w:lvl w:ilvl="8" w:tplc="A0BA980C">
      <w:start w:val="1"/>
      <w:numFmt w:val="bullet"/>
      <w:lvlText w:val=""/>
      <w:lvlJc w:val="left"/>
      <w:pPr>
        <w:tabs>
          <w:tab w:val="num" w:pos="6480"/>
        </w:tabs>
        <w:ind w:left="6480" w:hanging="360"/>
      </w:pPr>
      <w:rPr>
        <w:rFonts w:ascii="Wingdings" w:hAnsi="Wingdings"/>
      </w:rPr>
    </w:lvl>
  </w:abstractNum>
  <w:abstractNum w:abstractNumId="766" w15:restartNumberingAfterBreak="0">
    <w:nsid w:val="722307C0"/>
    <w:multiLevelType w:val="hybridMultilevel"/>
    <w:tmpl w:val="722307C0"/>
    <w:lvl w:ilvl="0" w:tplc="01B6E9BC">
      <w:start w:val="1"/>
      <w:numFmt w:val="bullet"/>
      <w:lvlText w:val=""/>
      <w:lvlJc w:val="left"/>
      <w:pPr>
        <w:ind w:left="720" w:hanging="360"/>
      </w:pPr>
      <w:rPr>
        <w:rFonts w:ascii="Symbol" w:hAnsi="Symbol"/>
      </w:rPr>
    </w:lvl>
    <w:lvl w:ilvl="1" w:tplc="8B0CBCB2">
      <w:start w:val="1"/>
      <w:numFmt w:val="bullet"/>
      <w:lvlText w:val="o"/>
      <w:lvlJc w:val="left"/>
      <w:pPr>
        <w:tabs>
          <w:tab w:val="num" w:pos="1440"/>
        </w:tabs>
        <w:ind w:left="1440" w:hanging="360"/>
      </w:pPr>
      <w:rPr>
        <w:rFonts w:ascii="Courier New" w:hAnsi="Courier New"/>
      </w:rPr>
    </w:lvl>
    <w:lvl w:ilvl="2" w:tplc="A7DC5702">
      <w:start w:val="1"/>
      <w:numFmt w:val="bullet"/>
      <w:lvlText w:val=""/>
      <w:lvlJc w:val="left"/>
      <w:pPr>
        <w:tabs>
          <w:tab w:val="num" w:pos="2160"/>
        </w:tabs>
        <w:ind w:left="2160" w:hanging="360"/>
      </w:pPr>
      <w:rPr>
        <w:rFonts w:ascii="Wingdings" w:hAnsi="Wingdings"/>
      </w:rPr>
    </w:lvl>
    <w:lvl w:ilvl="3" w:tplc="558C5B86">
      <w:start w:val="1"/>
      <w:numFmt w:val="bullet"/>
      <w:lvlText w:val=""/>
      <w:lvlJc w:val="left"/>
      <w:pPr>
        <w:tabs>
          <w:tab w:val="num" w:pos="2880"/>
        </w:tabs>
        <w:ind w:left="2880" w:hanging="360"/>
      </w:pPr>
      <w:rPr>
        <w:rFonts w:ascii="Symbol" w:hAnsi="Symbol"/>
      </w:rPr>
    </w:lvl>
    <w:lvl w:ilvl="4" w:tplc="95F43752">
      <w:start w:val="1"/>
      <w:numFmt w:val="bullet"/>
      <w:lvlText w:val="o"/>
      <w:lvlJc w:val="left"/>
      <w:pPr>
        <w:tabs>
          <w:tab w:val="num" w:pos="3600"/>
        </w:tabs>
        <w:ind w:left="3600" w:hanging="360"/>
      </w:pPr>
      <w:rPr>
        <w:rFonts w:ascii="Courier New" w:hAnsi="Courier New"/>
      </w:rPr>
    </w:lvl>
    <w:lvl w:ilvl="5" w:tplc="A784FF04">
      <w:start w:val="1"/>
      <w:numFmt w:val="bullet"/>
      <w:lvlText w:val=""/>
      <w:lvlJc w:val="left"/>
      <w:pPr>
        <w:tabs>
          <w:tab w:val="num" w:pos="4320"/>
        </w:tabs>
        <w:ind w:left="4320" w:hanging="360"/>
      </w:pPr>
      <w:rPr>
        <w:rFonts w:ascii="Wingdings" w:hAnsi="Wingdings"/>
      </w:rPr>
    </w:lvl>
    <w:lvl w:ilvl="6" w:tplc="05C23A2E">
      <w:start w:val="1"/>
      <w:numFmt w:val="bullet"/>
      <w:lvlText w:val=""/>
      <w:lvlJc w:val="left"/>
      <w:pPr>
        <w:tabs>
          <w:tab w:val="num" w:pos="5040"/>
        </w:tabs>
        <w:ind w:left="5040" w:hanging="360"/>
      </w:pPr>
      <w:rPr>
        <w:rFonts w:ascii="Symbol" w:hAnsi="Symbol"/>
      </w:rPr>
    </w:lvl>
    <w:lvl w:ilvl="7" w:tplc="570E3D5A">
      <w:start w:val="1"/>
      <w:numFmt w:val="bullet"/>
      <w:lvlText w:val="o"/>
      <w:lvlJc w:val="left"/>
      <w:pPr>
        <w:tabs>
          <w:tab w:val="num" w:pos="5760"/>
        </w:tabs>
        <w:ind w:left="5760" w:hanging="360"/>
      </w:pPr>
      <w:rPr>
        <w:rFonts w:ascii="Courier New" w:hAnsi="Courier New"/>
      </w:rPr>
    </w:lvl>
    <w:lvl w:ilvl="8" w:tplc="288622B2">
      <w:start w:val="1"/>
      <w:numFmt w:val="bullet"/>
      <w:lvlText w:val=""/>
      <w:lvlJc w:val="left"/>
      <w:pPr>
        <w:tabs>
          <w:tab w:val="num" w:pos="6480"/>
        </w:tabs>
        <w:ind w:left="6480" w:hanging="360"/>
      </w:pPr>
      <w:rPr>
        <w:rFonts w:ascii="Wingdings" w:hAnsi="Wingdings"/>
      </w:rPr>
    </w:lvl>
  </w:abstractNum>
  <w:abstractNum w:abstractNumId="767" w15:restartNumberingAfterBreak="0">
    <w:nsid w:val="722307C1"/>
    <w:multiLevelType w:val="hybridMultilevel"/>
    <w:tmpl w:val="722307C1"/>
    <w:lvl w:ilvl="0" w:tplc="6596AEB4">
      <w:start w:val="1"/>
      <w:numFmt w:val="bullet"/>
      <w:lvlText w:val=""/>
      <w:lvlJc w:val="left"/>
      <w:pPr>
        <w:ind w:left="720" w:hanging="360"/>
      </w:pPr>
      <w:rPr>
        <w:rFonts w:ascii="Symbol" w:hAnsi="Symbol"/>
      </w:rPr>
    </w:lvl>
    <w:lvl w:ilvl="1" w:tplc="9B966506">
      <w:start w:val="1"/>
      <w:numFmt w:val="bullet"/>
      <w:lvlText w:val="o"/>
      <w:lvlJc w:val="left"/>
      <w:pPr>
        <w:tabs>
          <w:tab w:val="num" w:pos="1440"/>
        </w:tabs>
        <w:ind w:left="1440" w:hanging="360"/>
      </w:pPr>
      <w:rPr>
        <w:rFonts w:ascii="Courier New" w:hAnsi="Courier New"/>
      </w:rPr>
    </w:lvl>
    <w:lvl w:ilvl="2" w:tplc="00446FEA">
      <w:start w:val="1"/>
      <w:numFmt w:val="bullet"/>
      <w:lvlText w:val=""/>
      <w:lvlJc w:val="left"/>
      <w:pPr>
        <w:tabs>
          <w:tab w:val="num" w:pos="2160"/>
        </w:tabs>
        <w:ind w:left="2160" w:hanging="360"/>
      </w:pPr>
      <w:rPr>
        <w:rFonts w:ascii="Wingdings" w:hAnsi="Wingdings"/>
      </w:rPr>
    </w:lvl>
    <w:lvl w:ilvl="3" w:tplc="BBAA063A">
      <w:start w:val="1"/>
      <w:numFmt w:val="bullet"/>
      <w:lvlText w:val=""/>
      <w:lvlJc w:val="left"/>
      <w:pPr>
        <w:tabs>
          <w:tab w:val="num" w:pos="2880"/>
        </w:tabs>
        <w:ind w:left="2880" w:hanging="360"/>
      </w:pPr>
      <w:rPr>
        <w:rFonts w:ascii="Symbol" w:hAnsi="Symbol"/>
      </w:rPr>
    </w:lvl>
    <w:lvl w:ilvl="4" w:tplc="53FC84D2">
      <w:start w:val="1"/>
      <w:numFmt w:val="bullet"/>
      <w:lvlText w:val="o"/>
      <w:lvlJc w:val="left"/>
      <w:pPr>
        <w:tabs>
          <w:tab w:val="num" w:pos="3600"/>
        </w:tabs>
        <w:ind w:left="3600" w:hanging="360"/>
      </w:pPr>
      <w:rPr>
        <w:rFonts w:ascii="Courier New" w:hAnsi="Courier New"/>
      </w:rPr>
    </w:lvl>
    <w:lvl w:ilvl="5" w:tplc="DA8CC120">
      <w:start w:val="1"/>
      <w:numFmt w:val="bullet"/>
      <w:lvlText w:val=""/>
      <w:lvlJc w:val="left"/>
      <w:pPr>
        <w:tabs>
          <w:tab w:val="num" w:pos="4320"/>
        </w:tabs>
        <w:ind w:left="4320" w:hanging="360"/>
      </w:pPr>
      <w:rPr>
        <w:rFonts w:ascii="Wingdings" w:hAnsi="Wingdings"/>
      </w:rPr>
    </w:lvl>
    <w:lvl w:ilvl="6" w:tplc="5B58D154">
      <w:start w:val="1"/>
      <w:numFmt w:val="bullet"/>
      <w:lvlText w:val=""/>
      <w:lvlJc w:val="left"/>
      <w:pPr>
        <w:tabs>
          <w:tab w:val="num" w:pos="5040"/>
        </w:tabs>
        <w:ind w:left="5040" w:hanging="360"/>
      </w:pPr>
      <w:rPr>
        <w:rFonts w:ascii="Symbol" w:hAnsi="Symbol"/>
      </w:rPr>
    </w:lvl>
    <w:lvl w:ilvl="7" w:tplc="09625DB2">
      <w:start w:val="1"/>
      <w:numFmt w:val="bullet"/>
      <w:lvlText w:val="o"/>
      <w:lvlJc w:val="left"/>
      <w:pPr>
        <w:tabs>
          <w:tab w:val="num" w:pos="5760"/>
        </w:tabs>
        <w:ind w:left="5760" w:hanging="360"/>
      </w:pPr>
      <w:rPr>
        <w:rFonts w:ascii="Courier New" w:hAnsi="Courier New"/>
      </w:rPr>
    </w:lvl>
    <w:lvl w:ilvl="8" w:tplc="0FC43B76">
      <w:start w:val="1"/>
      <w:numFmt w:val="bullet"/>
      <w:lvlText w:val=""/>
      <w:lvlJc w:val="left"/>
      <w:pPr>
        <w:tabs>
          <w:tab w:val="num" w:pos="6480"/>
        </w:tabs>
        <w:ind w:left="6480" w:hanging="360"/>
      </w:pPr>
      <w:rPr>
        <w:rFonts w:ascii="Wingdings" w:hAnsi="Wingdings"/>
      </w:rPr>
    </w:lvl>
  </w:abstractNum>
  <w:abstractNum w:abstractNumId="768" w15:restartNumberingAfterBreak="0">
    <w:nsid w:val="722307C2"/>
    <w:multiLevelType w:val="hybridMultilevel"/>
    <w:tmpl w:val="722307C2"/>
    <w:lvl w:ilvl="0" w:tplc="B34CF1A4">
      <w:start w:val="1"/>
      <w:numFmt w:val="bullet"/>
      <w:lvlText w:val=""/>
      <w:lvlJc w:val="left"/>
      <w:pPr>
        <w:ind w:left="720" w:hanging="360"/>
      </w:pPr>
      <w:rPr>
        <w:rFonts w:ascii="Symbol" w:hAnsi="Symbol"/>
      </w:rPr>
    </w:lvl>
    <w:lvl w:ilvl="1" w:tplc="C8E6CF16">
      <w:start w:val="1"/>
      <w:numFmt w:val="bullet"/>
      <w:lvlText w:val="o"/>
      <w:lvlJc w:val="left"/>
      <w:pPr>
        <w:tabs>
          <w:tab w:val="num" w:pos="1440"/>
        </w:tabs>
        <w:ind w:left="1440" w:hanging="360"/>
      </w:pPr>
      <w:rPr>
        <w:rFonts w:ascii="Courier New" w:hAnsi="Courier New"/>
      </w:rPr>
    </w:lvl>
    <w:lvl w:ilvl="2" w:tplc="07F2202A">
      <w:start w:val="1"/>
      <w:numFmt w:val="bullet"/>
      <w:lvlText w:val=""/>
      <w:lvlJc w:val="left"/>
      <w:pPr>
        <w:tabs>
          <w:tab w:val="num" w:pos="2160"/>
        </w:tabs>
        <w:ind w:left="2160" w:hanging="360"/>
      </w:pPr>
      <w:rPr>
        <w:rFonts w:ascii="Wingdings" w:hAnsi="Wingdings"/>
      </w:rPr>
    </w:lvl>
    <w:lvl w:ilvl="3" w:tplc="30745052">
      <w:start w:val="1"/>
      <w:numFmt w:val="bullet"/>
      <w:lvlText w:val=""/>
      <w:lvlJc w:val="left"/>
      <w:pPr>
        <w:tabs>
          <w:tab w:val="num" w:pos="2880"/>
        </w:tabs>
        <w:ind w:left="2880" w:hanging="360"/>
      </w:pPr>
      <w:rPr>
        <w:rFonts w:ascii="Symbol" w:hAnsi="Symbol"/>
      </w:rPr>
    </w:lvl>
    <w:lvl w:ilvl="4" w:tplc="B5BEBB30">
      <w:start w:val="1"/>
      <w:numFmt w:val="bullet"/>
      <w:lvlText w:val="o"/>
      <w:lvlJc w:val="left"/>
      <w:pPr>
        <w:tabs>
          <w:tab w:val="num" w:pos="3600"/>
        </w:tabs>
        <w:ind w:left="3600" w:hanging="360"/>
      </w:pPr>
      <w:rPr>
        <w:rFonts w:ascii="Courier New" w:hAnsi="Courier New"/>
      </w:rPr>
    </w:lvl>
    <w:lvl w:ilvl="5" w:tplc="BE4019AE">
      <w:start w:val="1"/>
      <w:numFmt w:val="bullet"/>
      <w:lvlText w:val=""/>
      <w:lvlJc w:val="left"/>
      <w:pPr>
        <w:tabs>
          <w:tab w:val="num" w:pos="4320"/>
        </w:tabs>
        <w:ind w:left="4320" w:hanging="360"/>
      </w:pPr>
      <w:rPr>
        <w:rFonts w:ascii="Wingdings" w:hAnsi="Wingdings"/>
      </w:rPr>
    </w:lvl>
    <w:lvl w:ilvl="6" w:tplc="B03C790E">
      <w:start w:val="1"/>
      <w:numFmt w:val="bullet"/>
      <w:lvlText w:val=""/>
      <w:lvlJc w:val="left"/>
      <w:pPr>
        <w:tabs>
          <w:tab w:val="num" w:pos="5040"/>
        </w:tabs>
        <w:ind w:left="5040" w:hanging="360"/>
      </w:pPr>
      <w:rPr>
        <w:rFonts w:ascii="Symbol" w:hAnsi="Symbol"/>
      </w:rPr>
    </w:lvl>
    <w:lvl w:ilvl="7" w:tplc="A6C8F35A">
      <w:start w:val="1"/>
      <w:numFmt w:val="bullet"/>
      <w:lvlText w:val="o"/>
      <w:lvlJc w:val="left"/>
      <w:pPr>
        <w:tabs>
          <w:tab w:val="num" w:pos="5760"/>
        </w:tabs>
        <w:ind w:left="5760" w:hanging="360"/>
      </w:pPr>
      <w:rPr>
        <w:rFonts w:ascii="Courier New" w:hAnsi="Courier New"/>
      </w:rPr>
    </w:lvl>
    <w:lvl w:ilvl="8" w:tplc="47364008">
      <w:start w:val="1"/>
      <w:numFmt w:val="bullet"/>
      <w:lvlText w:val=""/>
      <w:lvlJc w:val="left"/>
      <w:pPr>
        <w:tabs>
          <w:tab w:val="num" w:pos="6480"/>
        </w:tabs>
        <w:ind w:left="6480" w:hanging="360"/>
      </w:pPr>
      <w:rPr>
        <w:rFonts w:ascii="Wingdings" w:hAnsi="Wingdings"/>
      </w:rPr>
    </w:lvl>
  </w:abstractNum>
  <w:abstractNum w:abstractNumId="769" w15:restartNumberingAfterBreak="0">
    <w:nsid w:val="722307C3"/>
    <w:multiLevelType w:val="hybridMultilevel"/>
    <w:tmpl w:val="722307C3"/>
    <w:lvl w:ilvl="0" w:tplc="8A10EB68">
      <w:start w:val="1"/>
      <w:numFmt w:val="bullet"/>
      <w:lvlText w:val=""/>
      <w:lvlJc w:val="left"/>
      <w:pPr>
        <w:ind w:left="720" w:hanging="360"/>
      </w:pPr>
      <w:rPr>
        <w:rFonts w:ascii="Symbol" w:hAnsi="Symbol"/>
      </w:rPr>
    </w:lvl>
    <w:lvl w:ilvl="1" w:tplc="B46C0690">
      <w:start w:val="1"/>
      <w:numFmt w:val="bullet"/>
      <w:lvlText w:val="o"/>
      <w:lvlJc w:val="left"/>
      <w:pPr>
        <w:tabs>
          <w:tab w:val="num" w:pos="1440"/>
        </w:tabs>
        <w:ind w:left="1440" w:hanging="360"/>
      </w:pPr>
      <w:rPr>
        <w:rFonts w:ascii="Courier New" w:hAnsi="Courier New"/>
      </w:rPr>
    </w:lvl>
    <w:lvl w:ilvl="2" w:tplc="1BEEE462">
      <w:start w:val="1"/>
      <w:numFmt w:val="bullet"/>
      <w:lvlText w:val=""/>
      <w:lvlJc w:val="left"/>
      <w:pPr>
        <w:tabs>
          <w:tab w:val="num" w:pos="2160"/>
        </w:tabs>
        <w:ind w:left="2160" w:hanging="360"/>
      </w:pPr>
      <w:rPr>
        <w:rFonts w:ascii="Wingdings" w:hAnsi="Wingdings"/>
      </w:rPr>
    </w:lvl>
    <w:lvl w:ilvl="3" w:tplc="13D652F6">
      <w:start w:val="1"/>
      <w:numFmt w:val="bullet"/>
      <w:lvlText w:val=""/>
      <w:lvlJc w:val="left"/>
      <w:pPr>
        <w:tabs>
          <w:tab w:val="num" w:pos="2880"/>
        </w:tabs>
        <w:ind w:left="2880" w:hanging="360"/>
      </w:pPr>
      <w:rPr>
        <w:rFonts w:ascii="Symbol" w:hAnsi="Symbol"/>
      </w:rPr>
    </w:lvl>
    <w:lvl w:ilvl="4" w:tplc="0344A31A">
      <w:start w:val="1"/>
      <w:numFmt w:val="bullet"/>
      <w:lvlText w:val="o"/>
      <w:lvlJc w:val="left"/>
      <w:pPr>
        <w:tabs>
          <w:tab w:val="num" w:pos="3600"/>
        </w:tabs>
        <w:ind w:left="3600" w:hanging="360"/>
      </w:pPr>
      <w:rPr>
        <w:rFonts w:ascii="Courier New" w:hAnsi="Courier New"/>
      </w:rPr>
    </w:lvl>
    <w:lvl w:ilvl="5" w:tplc="A1D4AC1A">
      <w:start w:val="1"/>
      <w:numFmt w:val="bullet"/>
      <w:lvlText w:val=""/>
      <w:lvlJc w:val="left"/>
      <w:pPr>
        <w:tabs>
          <w:tab w:val="num" w:pos="4320"/>
        </w:tabs>
        <w:ind w:left="4320" w:hanging="360"/>
      </w:pPr>
      <w:rPr>
        <w:rFonts w:ascii="Wingdings" w:hAnsi="Wingdings"/>
      </w:rPr>
    </w:lvl>
    <w:lvl w:ilvl="6" w:tplc="07C20892">
      <w:start w:val="1"/>
      <w:numFmt w:val="bullet"/>
      <w:lvlText w:val=""/>
      <w:lvlJc w:val="left"/>
      <w:pPr>
        <w:tabs>
          <w:tab w:val="num" w:pos="5040"/>
        </w:tabs>
        <w:ind w:left="5040" w:hanging="360"/>
      </w:pPr>
      <w:rPr>
        <w:rFonts w:ascii="Symbol" w:hAnsi="Symbol"/>
      </w:rPr>
    </w:lvl>
    <w:lvl w:ilvl="7" w:tplc="21AAD5E4">
      <w:start w:val="1"/>
      <w:numFmt w:val="bullet"/>
      <w:lvlText w:val="o"/>
      <w:lvlJc w:val="left"/>
      <w:pPr>
        <w:tabs>
          <w:tab w:val="num" w:pos="5760"/>
        </w:tabs>
        <w:ind w:left="5760" w:hanging="360"/>
      </w:pPr>
      <w:rPr>
        <w:rFonts w:ascii="Courier New" w:hAnsi="Courier New"/>
      </w:rPr>
    </w:lvl>
    <w:lvl w:ilvl="8" w:tplc="4972F7C8">
      <w:start w:val="1"/>
      <w:numFmt w:val="bullet"/>
      <w:lvlText w:val=""/>
      <w:lvlJc w:val="left"/>
      <w:pPr>
        <w:tabs>
          <w:tab w:val="num" w:pos="6480"/>
        </w:tabs>
        <w:ind w:left="6480" w:hanging="360"/>
      </w:pPr>
      <w:rPr>
        <w:rFonts w:ascii="Wingdings" w:hAnsi="Wingdings"/>
      </w:rPr>
    </w:lvl>
  </w:abstractNum>
  <w:abstractNum w:abstractNumId="770" w15:restartNumberingAfterBreak="0">
    <w:nsid w:val="722307C4"/>
    <w:multiLevelType w:val="hybridMultilevel"/>
    <w:tmpl w:val="722307C4"/>
    <w:lvl w:ilvl="0" w:tplc="728E4A7E">
      <w:start w:val="1"/>
      <w:numFmt w:val="bullet"/>
      <w:lvlText w:val=""/>
      <w:lvlJc w:val="left"/>
      <w:pPr>
        <w:tabs>
          <w:tab w:val="num" w:pos="720"/>
        </w:tabs>
        <w:ind w:left="720" w:hanging="360"/>
      </w:pPr>
      <w:rPr>
        <w:rFonts w:ascii="Symbol" w:hAnsi="Symbol"/>
      </w:rPr>
    </w:lvl>
    <w:lvl w:ilvl="1" w:tplc="3962AF86">
      <w:start w:val="1"/>
      <w:numFmt w:val="bullet"/>
      <w:lvlText w:val="o"/>
      <w:lvlJc w:val="left"/>
      <w:pPr>
        <w:tabs>
          <w:tab w:val="num" w:pos="1440"/>
        </w:tabs>
        <w:ind w:left="1440" w:hanging="360"/>
      </w:pPr>
      <w:rPr>
        <w:rFonts w:ascii="Courier New" w:hAnsi="Courier New"/>
      </w:rPr>
    </w:lvl>
    <w:lvl w:ilvl="2" w:tplc="2318C15A">
      <w:start w:val="1"/>
      <w:numFmt w:val="bullet"/>
      <w:lvlText w:val=""/>
      <w:lvlJc w:val="left"/>
      <w:pPr>
        <w:tabs>
          <w:tab w:val="num" w:pos="2160"/>
        </w:tabs>
        <w:ind w:left="2160" w:hanging="360"/>
      </w:pPr>
      <w:rPr>
        <w:rFonts w:ascii="Wingdings" w:hAnsi="Wingdings"/>
      </w:rPr>
    </w:lvl>
    <w:lvl w:ilvl="3" w:tplc="38C2C098">
      <w:start w:val="1"/>
      <w:numFmt w:val="bullet"/>
      <w:lvlText w:val=""/>
      <w:lvlJc w:val="left"/>
      <w:pPr>
        <w:tabs>
          <w:tab w:val="num" w:pos="2880"/>
        </w:tabs>
        <w:ind w:left="2880" w:hanging="360"/>
      </w:pPr>
      <w:rPr>
        <w:rFonts w:ascii="Symbol" w:hAnsi="Symbol"/>
      </w:rPr>
    </w:lvl>
    <w:lvl w:ilvl="4" w:tplc="0B9CCD38">
      <w:start w:val="1"/>
      <w:numFmt w:val="bullet"/>
      <w:lvlText w:val="o"/>
      <w:lvlJc w:val="left"/>
      <w:pPr>
        <w:tabs>
          <w:tab w:val="num" w:pos="3600"/>
        </w:tabs>
        <w:ind w:left="3600" w:hanging="360"/>
      </w:pPr>
      <w:rPr>
        <w:rFonts w:ascii="Courier New" w:hAnsi="Courier New"/>
      </w:rPr>
    </w:lvl>
    <w:lvl w:ilvl="5" w:tplc="9CE0B72C">
      <w:start w:val="1"/>
      <w:numFmt w:val="bullet"/>
      <w:lvlText w:val=""/>
      <w:lvlJc w:val="left"/>
      <w:pPr>
        <w:tabs>
          <w:tab w:val="num" w:pos="4320"/>
        </w:tabs>
        <w:ind w:left="4320" w:hanging="360"/>
      </w:pPr>
      <w:rPr>
        <w:rFonts w:ascii="Wingdings" w:hAnsi="Wingdings"/>
      </w:rPr>
    </w:lvl>
    <w:lvl w:ilvl="6" w:tplc="BABAE594">
      <w:start w:val="1"/>
      <w:numFmt w:val="bullet"/>
      <w:lvlText w:val=""/>
      <w:lvlJc w:val="left"/>
      <w:pPr>
        <w:tabs>
          <w:tab w:val="num" w:pos="5040"/>
        </w:tabs>
        <w:ind w:left="5040" w:hanging="360"/>
      </w:pPr>
      <w:rPr>
        <w:rFonts w:ascii="Symbol" w:hAnsi="Symbol"/>
      </w:rPr>
    </w:lvl>
    <w:lvl w:ilvl="7" w:tplc="E2E879AC">
      <w:start w:val="1"/>
      <w:numFmt w:val="bullet"/>
      <w:lvlText w:val="o"/>
      <w:lvlJc w:val="left"/>
      <w:pPr>
        <w:tabs>
          <w:tab w:val="num" w:pos="5760"/>
        </w:tabs>
        <w:ind w:left="5760" w:hanging="360"/>
      </w:pPr>
      <w:rPr>
        <w:rFonts w:ascii="Courier New" w:hAnsi="Courier New"/>
      </w:rPr>
    </w:lvl>
    <w:lvl w:ilvl="8" w:tplc="50DED2E4">
      <w:start w:val="1"/>
      <w:numFmt w:val="bullet"/>
      <w:lvlText w:val=""/>
      <w:lvlJc w:val="left"/>
      <w:pPr>
        <w:tabs>
          <w:tab w:val="num" w:pos="6480"/>
        </w:tabs>
        <w:ind w:left="6480" w:hanging="360"/>
      </w:pPr>
      <w:rPr>
        <w:rFonts w:ascii="Wingdings" w:hAnsi="Wingdings"/>
      </w:rPr>
    </w:lvl>
  </w:abstractNum>
  <w:abstractNum w:abstractNumId="771" w15:restartNumberingAfterBreak="0">
    <w:nsid w:val="722307C5"/>
    <w:multiLevelType w:val="hybridMultilevel"/>
    <w:tmpl w:val="722307C5"/>
    <w:lvl w:ilvl="0" w:tplc="CF9E5DB8">
      <w:start w:val="1"/>
      <w:numFmt w:val="bullet"/>
      <w:lvlText w:val=""/>
      <w:lvlJc w:val="left"/>
      <w:pPr>
        <w:ind w:left="720" w:hanging="360"/>
      </w:pPr>
      <w:rPr>
        <w:rFonts w:ascii="Symbol" w:hAnsi="Symbol"/>
      </w:rPr>
    </w:lvl>
    <w:lvl w:ilvl="1" w:tplc="EAFA0060">
      <w:start w:val="1"/>
      <w:numFmt w:val="bullet"/>
      <w:lvlText w:val="o"/>
      <w:lvlJc w:val="left"/>
      <w:pPr>
        <w:tabs>
          <w:tab w:val="num" w:pos="1440"/>
        </w:tabs>
        <w:ind w:left="1440" w:hanging="360"/>
      </w:pPr>
      <w:rPr>
        <w:rFonts w:ascii="Courier New" w:hAnsi="Courier New"/>
      </w:rPr>
    </w:lvl>
    <w:lvl w:ilvl="2" w:tplc="9FB6BAA8">
      <w:start w:val="1"/>
      <w:numFmt w:val="bullet"/>
      <w:lvlText w:val=""/>
      <w:lvlJc w:val="left"/>
      <w:pPr>
        <w:tabs>
          <w:tab w:val="num" w:pos="2160"/>
        </w:tabs>
        <w:ind w:left="2160" w:hanging="360"/>
      </w:pPr>
      <w:rPr>
        <w:rFonts w:ascii="Wingdings" w:hAnsi="Wingdings"/>
      </w:rPr>
    </w:lvl>
    <w:lvl w:ilvl="3" w:tplc="6A5CA294">
      <w:start w:val="1"/>
      <w:numFmt w:val="bullet"/>
      <w:lvlText w:val=""/>
      <w:lvlJc w:val="left"/>
      <w:pPr>
        <w:tabs>
          <w:tab w:val="num" w:pos="2880"/>
        </w:tabs>
        <w:ind w:left="2880" w:hanging="360"/>
      </w:pPr>
      <w:rPr>
        <w:rFonts w:ascii="Symbol" w:hAnsi="Symbol"/>
      </w:rPr>
    </w:lvl>
    <w:lvl w:ilvl="4" w:tplc="B5807ACA">
      <w:start w:val="1"/>
      <w:numFmt w:val="bullet"/>
      <w:lvlText w:val="o"/>
      <w:lvlJc w:val="left"/>
      <w:pPr>
        <w:tabs>
          <w:tab w:val="num" w:pos="3600"/>
        </w:tabs>
        <w:ind w:left="3600" w:hanging="360"/>
      </w:pPr>
      <w:rPr>
        <w:rFonts w:ascii="Courier New" w:hAnsi="Courier New"/>
      </w:rPr>
    </w:lvl>
    <w:lvl w:ilvl="5" w:tplc="F628E4B6">
      <w:start w:val="1"/>
      <w:numFmt w:val="bullet"/>
      <w:lvlText w:val=""/>
      <w:lvlJc w:val="left"/>
      <w:pPr>
        <w:tabs>
          <w:tab w:val="num" w:pos="4320"/>
        </w:tabs>
        <w:ind w:left="4320" w:hanging="360"/>
      </w:pPr>
      <w:rPr>
        <w:rFonts w:ascii="Wingdings" w:hAnsi="Wingdings"/>
      </w:rPr>
    </w:lvl>
    <w:lvl w:ilvl="6" w:tplc="9BC42F9A">
      <w:start w:val="1"/>
      <w:numFmt w:val="bullet"/>
      <w:lvlText w:val=""/>
      <w:lvlJc w:val="left"/>
      <w:pPr>
        <w:tabs>
          <w:tab w:val="num" w:pos="5040"/>
        </w:tabs>
        <w:ind w:left="5040" w:hanging="360"/>
      </w:pPr>
      <w:rPr>
        <w:rFonts w:ascii="Symbol" w:hAnsi="Symbol"/>
      </w:rPr>
    </w:lvl>
    <w:lvl w:ilvl="7" w:tplc="AD2C2702">
      <w:start w:val="1"/>
      <w:numFmt w:val="bullet"/>
      <w:lvlText w:val="o"/>
      <w:lvlJc w:val="left"/>
      <w:pPr>
        <w:tabs>
          <w:tab w:val="num" w:pos="5760"/>
        </w:tabs>
        <w:ind w:left="5760" w:hanging="360"/>
      </w:pPr>
      <w:rPr>
        <w:rFonts w:ascii="Courier New" w:hAnsi="Courier New"/>
      </w:rPr>
    </w:lvl>
    <w:lvl w:ilvl="8" w:tplc="D8302962">
      <w:start w:val="1"/>
      <w:numFmt w:val="bullet"/>
      <w:lvlText w:val=""/>
      <w:lvlJc w:val="left"/>
      <w:pPr>
        <w:tabs>
          <w:tab w:val="num" w:pos="6480"/>
        </w:tabs>
        <w:ind w:left="6480" w:hanging="360"/>
      </w:pPr>
      <w:rPr>
        <w:rFonts w:ascii="Wingdings" w:hAnsi="Wingdings"/>
      </w:rPr>
    </w:lvl>
  </w:abstractNum>
  <w:abstractNum w:abstractNumId="772" w15:restartNumberingAfterBreak="0">
    <w:nsid w:val="722307C6"/>
    <w:multiLevelType w:val="hybridMultilevel"/>
    <w:tmpl w:val="722307C6"/>
    <w:lvl w:ilvl="0" w:tplc="955442C0">
      <w:start w:val="1"/>
      <w:numFmt w:val="bullet"/>
      <w:lvlText w:val=""/>
      <w:lvlJc w:val="left"/>
      <w:pPr>
        <w:ind w:left="720" w:hanging="360"/>
      </w:pPr>
      <w:rPr>
        <w:rFonts w:ascii="Symbol" w:hAnsi="Symbol"/>
      </w:rPr>
    </w:lvl>
    <w:lvl w:ilvl="1" w:tplc="23E0BA6E">
      <w:start w:val="1"/>
      <w:numFmt w:val="bullet"/>
      <w:lvlText w:val="o"/>
      <w:lvlJc w:val="left"/>
      <w:pPr>
        <w:tabs>
          <w:tab w:val="num" w:pos="1440"/>
        </w:tabs>
        <w:ind w:left="1440" w:hanging="360"/>
      </w:pPr>
      <w:rPr>
        <w:rFonts w:ascii="Courier New" w:hAnsi="Courier New"/>
      </w:rPr>
    </w:lvl>
    <w:lvl w:ilvl="2" w:tplc="8B14F5BE">
      <w:start w:val="1"/>
      <w:numFmt w:val="bullet"/>
      <w:lvlText w:val=""/>
      <w:lvlJc w:val="left"/>
      <w:pPr>
        <w:tabs>
          <w:tab w:val="num" w:pos="2160"/>
        </w:tabs>
        <w:ind w:left="2160" w:hanging="360"/>
      </w:pPr>
      <w:rPr>
        <w:rFonts w:ascii="Wingdings" w:hAnsi="Wingdings"/>
      </w:rPr>
    </w:lvl>
    <w:lvl w:ilvl="3" w:tplc="041C0050">
      <w:start w:val="1"/>
      <w:numFmt w:val="bullet"/>
      <w:lvlText w:val=""/>
      <w:lvlJc w:val="left"/>
      <w:pPr>
        <w:tabs>
          <w:tab w:val="num" w:pos="2880"/>
        </w:tabs>
        <w:ind w:left="2880" w:hanging="360"/>
      </w:pPr>
      <w:rPr>
        <w:rFonts w:ascii="Symbol" w:hAnsi="Symbol"/>
      </w:rPr>
    </w:lvl>
    <w:lvl w:ilvl="4" w:tplc="4E3A6294">
      <w:start w:val="1"/>
      <w:numFmt w:val="bullet"/>
      <w:lvlText w:val="o"/>
      <w:lvlJc w:val="left"/>
      <w:pPr>
        <w:tabs>
          <w:tab w:val="num" w:pos="3600"/>
        </w:tabs>
        <w:ind w:left="3600" w:hanging="360"/>
      </w:pPr>
      <w:rPr>
        <w:rFonts w:ascii="Courier New" w:hAnsi="Courier New"/>
      </w:rPr>
    </w:lvl>
    <w:lvl w:ilvl="5" w:tplc="5532F4B8">
      <w:start w:val="1"/>
      <w:numFmt w:val="bullet"/>
      <w:lvlText w:val=""/>
      <w:lvlJc w:val="left"/>
      <w:pPr>
        <w:tabs>
          <w:tab w:val="num" w:pos="4320"/>
        </w:tabs>
        <w:ind w:left="4320" w:hanging="360"/>
      </w:pPr>
      <w:rPr>
        <w:rFonts w:ascii="Wingdings" w:hAnsi="Wingdings"/>
      </w:rPr>
    </w:lvl>
    <w:lvl w:ilvl="6" w:tplc="D97CFD00">
      <w:start w:val="1"/>
      <w:numFmt w:val="bullet"/>
      <w:lvlText w:val=""/>
      <w:lvlJc w:val="left"/>
      <w:pPr>
        <w:tabs>
          <w:tab w:val="num" w:pos="5040"/>
        </w:tabs>
        <w:ind w:left="5040" w:hanging="360"/>
      </w:pPr>
      <w:rPr>
        <w:rFonts w:ascii="Symbol" w:hAnsi="Symbol"/>
      </w:rPr>
    </w:lvl>
    <w:lvl w:ilvl="7" w:tplc="7706B1E0">
      <w:start w:val="1"/>
      <w:numFmt w:val="bullet"/>
      <w:lvlText w:val="o"/>
      <w:lvlJc w:val="left"/>
      <w:pPr>
        <w:tabs>
          <w:tab w:val="num" w:pos="5760"/>
        </w:tabs>
        <w:ind w:left="5760" w:hanging="360"/>
      </w:pPr>
      <w:rPr>
        <w:rFonts w:ascii="Courier New" w:hAnsi="Courier New"/>
      </w:rPr>
    </w:lvl>
    <w:lvl w:ilvl="8" w:tplc="4C025636">
      <w:start w:val="1"/>
      <w:numFmt w:val="bullet"/>
      <w:lvlText w:val=""/>
      <w:lvlJc w:val="left"/>
      <w:pPr>
        <w:tabs>
          <w:tab w:val="num" w:pos="6480"/>
        </w:tabs>
        <w:ind w:left="6480" w:hanging="360"/>
      </w:pPr>
      <w:rPr>
        <w:rFonts w:ascii="Wingdings" w:hAnsi="Wingdings"/>
      </w:rPr>
    </w:lvl>
  </w:abstractNum>
  <w:abstractNum w:abstractNumId="773" w15:restartNumberingAfterBreak="0">
    <w:nsid w:val="722307C7"/>
    <w:multiLevelType w:val="hybridMultilevel"/>
    <w:tmpl w:val="722307C7"/>
    <w:lvl w:ilvl="0" w:tplc="B8C85200">
      <w:start w:val="1"/>
      <w:numFmt w:val="bullet"/>
      <w:lvlText w:val=""/>
      <w:lvlJc w:val="left"/>
      <w:pPr>
        <w:ind w:left="720" w:hanging="360"/>
      </w:pPr>
      <w:rPr>
        <w:rFonts w:ascii="Symbol" w:hAnsi="Symbol"/>
      </w:rPr>
    </w:lvl>
    <w:lvl w:ilvl="1" w:tplc="3BA0C2BC">
      <w:start w:val="1"/>
      <w:numFmt w:val="bullet"/>
      <w:lvlText w:val="o"/>
      <w:lvlJc w:val="left"/>
      <w:pPr>
        <w:tabs>
          <w:tab w:val="num" w:pos="1440"/>
        </w:tabs>
        <w:ind w:left="1440" w:hanging="360"/>
      </w:pPr>
      <w:rPr>
        <w:rFonts w:ascii="Courier New" w:hAnsi="Courier New"/>
      </w:rPr>
    </w:lvl>
    <w:lvl w:ilvl="2" w:tplc="427CF85C">
      <w:start w:val="1"/>
      <w:numFmt w:val="bullet"/>
      <w:lvlText w:val=""/>
      <w:lvlJc w:val="left"/>
      <w:pPr>
        <w:tabs>
          <w:tab w:val="num" w:pos="2160"/>
        </w:tabs>
        <w:ind w:left="2160" w:hanging="360"/>
      </w:pPr>
      <w:rPr>
        <w:rFonts w:ascii="Wingdings" w:hAnsi="Wingdings"/>
      </w:rPr>
    </w:lvl>
    <w:lvl w:ilvl="3" w:tplc="8AFA1162">
      <w:start w:val="1"/>
      <w:numFmt w:val="bullet"/>
      <w:lvlText w:val=""/>
      <w:lvlJc w:val="left"/>
      <w:pPr>
        <w:tabs>
          <w:tab w:val="num" w:pos="2880"/>
        </w:tabs>
        <w:ind w:left="2880" w:hanging="360"/>
      </w:pPr>
      <w:rPr>
        <w:rFonts w:ascii="Symbol" w:hAnsi="Symbol"/>
      </w:rPr>
    </w:lvl>
    <w:lvl w:ilvl="4" w:tplc="4B02FF82">
      <w:start w:val="1"/>
      <w:numFmt w:val="bullet"/>
      <w:lvlText w:val="o"/>
      <w:lvlJc w:val="left"/>
      <w:pPr>
        <w:tabs>
          <w:tab w:val="num" w:pos="3600"/>
        </w:tabs>
        <w:ind w:left="3600" w:hanging="360"/>
      </w:pPr>
      <w:rPr>
        <w:rFonts w:ascii="Courier New" w:hAnsi="Courier New"/>
      </w:rPr>
    </w:lvl>
    <w:lvl w:ilvl="5" w:tplc="A8DEE0F4">
      <w:start w:val="1"/>
      <w:numFmt w:val="bullet"/>
      <w:lvlText w:val=""/>
      <w:lvlJc w:val="left"/>
      <w:pPr>
        <w:tabs>
          <w:tab w:val="num" w:pos="4320"/>
        </w:tabs>
        <w:ind w:left="4320" w:hanging="360"/>
      </w:pPr>
      <w:rPr>
        <w:rFonts w:ascii="Wingdings" w:hAnsi="Wingdings"/>
      </w:rPr>
    </w:lvl>
    <w:lvl w:ilvl="6" w:tplc="90187A36">
      <w:start w:val="1"/>
      <w:numFmt w:val="bullet"/>
      <w:lvlText w:val=""/>
      <w:lvlJc w:val="left"/>
      <w:pPr>
        <w:tabs>
          <w:tab w:val="num" w:pos="5040"/>
        </w:tabs>
        <w:ind w:left="5040" w:hanging="360"/>
      </w:pPr>
      <w:rPr>
        <w:rFonts w:ascii="Symbol" w:hAnsi="Symbol"/>
      </w:rPr>
    </w:lvl>
    <w:lvl w:ilvl="7" w:tplc="F6D615D6">
      <w:start w:val="1"/>
      <w:numFmt w:val="bullet"/>
      <w:lvlText w:val="o"/>
      <w:lvlJc w:val="left"/>
      <w:pPr>
        <w:tabs>
          <w:tab w:val="num" w:pos="5760"/>
        </w:tabs>
        <w:ind w:left="5760" w:hanging="360"/>
      </w:pPr>
      <w:rPr>
        <w:rFonts w:ascii="Courier New" w:hAnsi="Courier New"/>
      </w:rPr>
    </w:lvl>
    <w:lvl w:ilvl="8" w:tplc="1A4E870C">
      <w:start w:val="1"/>
      <w:numFmt w:val="bullet"/>
      <w:lvlText w:val=""/>
      <w:lvlJc w:val="left"/>
      <w:pPr>
        <w:tabs>
          <w:tab w:val="num" w:pos="6480"/>
        </w:tabs>
        <w:ind w:left="6480" w:hanging="360"/>
      </w:pPr>
      <w:rPr>
        <w:rFonts w:ascii="Wingdings" w:hAnsi="Wingdings"/>
      </w:rPr>
    </w:lvl>
  </w:abstractNum>
  <w:abstractNum w:abstractNumId="774" w15:restartNumberingAfterBreak="0">
    <w:nsid w:val="722307C8"/>
    <w:multiLevelType w:val="hybridMultilevel"/>
    <w:tmpl w:val="722307C8"/>
    <w:lvl w:ilvl="0" w:tplc="279879C2">
      <w:start w:val="1"/>
      <w:numFmt w:val="bullet"/>
      <w:lvlText w:val=""/>
      <w:lvlJc w:val="left"/>
      <w:pPr>
        <w:ind w:left="720" w:hanging="360"/>
      </w:pPr>
      <w:rPr>
        <w:rFonts w:ascii="Symbol" w:hAnsi="Symbol"/>
      </w:rPr>
    </w:lvl>
    <w:lvl w:ilvl="1" w:tplc="6778D7C8">
      <w:start w:val="1"/>
      <w:numFmt w:val="bullet"/>
      <w:lvlText w:val="o"/>
      <w:lvlJc w:val="left"/>
      <w:pPr>
        <w:tabs>
          <w:tab w:val="num" w:pos="1440"/>
        </w:tabs>
        <w:ind w:left="1440" w:hanging="360"/>
      </w:pPr>
      <w:rPr>
        <w:rFonts w:ascii="Courier New" w:hAnsi="Courier New"/>
      </w:rPr>
    </w:lvl>
    <w:lvl w:ilvl="2" w:tplc="BC94F8EA">
      <w:start w:val="1"/>
      <w:numFmt w:val="bullet"/>
      <w:lvlText w:val=""/>
      <w:lvlJc w:val="left"/>
      <w:pPr>
        <w:tabs>
          <w:tab w:val="num" w:pos="2160"/>
        </w:tabs>
        <w:ind w:left="2160" w:hanging="360"/>
      </w:pPr>
      <w:rPr>
        <w:rFonts w:ascii="Wingdings" w:hAnsi="Wingdings"/>
      </w:rPr>
    </w:lvl>
    <w:lvl w:ilvl="3" w:tplc="E6A291D0">
      <w:start w:val="1"/>
      <w:numFmt w:val="bullet"/>
      <w:lvlText w:val=""/>
      <w:lvlJc w:val="left"/>
      <w:pPr>
        <w:tabs>
          <w:tab w:val="num" w:pos="2880"/>
        </w:tabs>
        <w:ind w:left="2880" w:hanging="360"/>
      </w:pPr>
      <w:rPr>
        <w:rFonts w:ascii="Symbol" w:hAnsi="Symbol"/>
      </w:rPr>
    </w:lvl>
    <w:lvl w:ilvl="4" w:tplc="3DB8126E">
      <w:start w:val="1"/>
      <w:numFmt w:val="bullet"/>
      <w:lvlText w:val="o"/>
      <w:lvlJc w:val="left"/>
      <w:pPr>
        <w:tabs>
          <w:tab w:val="num" w:pos="3600"/>
        </w:tabs>
        <w:ind w:left="3600" w:hanging="360"/>
      </w:pPr>
      <w:rPr>
        <w:rFonts w:ascii="Courier New" w:hAnsi="Courier New"/>
      </w:rPr>
    </w:lvl>
    <w:lvl w:ilvl="5" w:tplc="72B4D866">
      <w:start w:val="1"/>
      <w:numFmt w:val="bullet"/>
      <w:lvlText w:val=""/>
      <w:lvlJc w:val="left"/>
      <w:pPr>
        <w:tabs>
          <w:tab w:val="num" w:pos="4320"/>
        </w:tabs>
        <w:ind w:left="4320" w:hanging="360"/>
      </w:pPr>
      <w:rPr>
        <w:rFonts w:ascii="Wingdings" w:hAnsi="Wingdings"/>
      </w:rPr>
    </w:lvl>
    <w:lvl w:ilvl="6" w:tplc="840AD816">
      <w:start w:val="1"/>
      <w:numFmt w:val="bullet"/>
      <w:lvlText w:val=""/>
      <w:lvlJc w:val="left"/>
      <w:pPr>
        <w:tabs>
          <w:tab w:val="num" w:pos="5040"/>
        </w:tabs>
        <w:ind w:left="5040" w:hanging="360"/>
      </w:pPr>
      <w:rPr>
        <w:rFonts w:ascii="Symbol" w:hAnsi="Symbol"/>
      </w:rPr>
    </w:lvl>
    <w:lvl w:ilvl="7" w:tplc="7C44B458">
      <w:start w:val="1"/>
      <w:numFmt w:val="bullet"/>
      <w:lvlText w:val="o"/>
      <w:lvlJc w:val="left"/>
      <w:pPr>
        <w:tabs>
          <w:tab w:val="num" w:pos="5760"/>
        </w:tabs>
        <w:ind w:left="5760" w:hanging="360"/>
      </w:pPr>
      <w:rPr>
        <w:rFonts w:ascii="Courier New" w:hAnsi="Courier New"/>
      </w:rPr>
    </w:lvl>
    <w:lvl w:ilvl="8" w:tplc="02143A68">
      <w:start w:val="1"/>
      <w:numFmt w:val="bullet"/>
      <w:lvlText w:val=""/>
      <w:lvlJc w:val="left"/>
      <w:pPr>
        <w:tabs>
          <w:tab w:val="num" w:pos="6480"/>
        </w:tabs>
        <w:ind w:left="6480" w:hanging="360"/>
      </w:pPr>
      <w:rPr>
        <w:rFonts w:ascii="Wingdings" w:hAnsi="Wingdings"/>
      </w:rPr>
    </w:lvl>
  </w:abstractNum>
  <w:abstractNum w:abstractNumId="775" w15:restartNumberingAfterBreak="0">
    <w:nsid w:val="722307C9"/>
    <w:multiLevelType w:val="hybridMultilevel"/>
    <w:tmpl w:val="722307C9"/>
    <w:lvl w:ilvl="0" w:tplc="CEE0F1DC">
      <w:start w:val="1"/>
      <w:numFmt w:val="bullet"/>
      <w:lvlText w:val=""/>
      <w:lvlJc w:val="left"/>
      <w:pPr>
        <w:tabs>
          <w:tab w:val="num" w:pos="720"/>
        </w:tabs>
        <w:ind w:left="720" w:hanging="360"/>
      </w:pPr>
      <w:rPr>
        <w:rFonts w:ascii="Symbol" w:hAnsi="Symbol"/>
      </w:rPr>
    </w:lvl>
    <w:lvl w:ilvl="1" w:tplc="2488BFC0">
      <w:start w:val="1"/>
      <w:numFmt w:val="bullet"/>
      <w:lvlText w:val="o"/>
      <w:lvlJc w:val="left"/>
      <w:pPr>
        <w:tabs>
          <w:tab w:val="num" w:pos="1440"/>
        </w:tabs>
        <w:ind w:left="1440" w:hanging="360"/>
      </w:pPr>
      <w:rPr>
        <w:rFonts w:ascii="Courier New" w:hAnsi="Courier New"/>
      </w:rPr>
    </w:lvl>
    <w:lvl w:ilvl="2" w:tplc="E28245DC">
      <w:start w:val="1"/>
      <w:numFmt w:val="bullet"/>
      <w:lvlText w:val=""/>
      <w:lvlJc w:val="left"/>
      <w:pPr>
        <w:tabs>
          <w:tab w:val="num" w:pos="2160"/>
        </w:tabs>
        <w:ind w:left="2160" w:hanging="360"/>
      </w:pPr>
      <w:rPr>
        <w:rFonts w:ascii="Wingdings" w:hAnsi="Wingdings"/>
      </w:rPr>
    </w:lvl>
    <w:lvl w:ilvl="3" w:tplc="8C60CA52">
      <w:start w:val="1"/>
      <w:numFmt w:val="bullet"/>
      <w:lvlText w:val=""/>
      <w:lvlJc w:val="left"/>
      <w:pPr>
        <w:tabs>
          <w:tab w:val="num" w:pos="2880"/>
        </w:tabs>
        <w:ind w:left="2880" w:hanging="360"/>
      </w:pPr>
      <w:rPr>
        <w:rFonts w:ascii="Symbol" w:hAnsi="Symbol"/>
      </w:rPr>
    </w:lvl>
    <w:lvl w:ilvl="4" w:tplc="242026FE">
      <w:start w:val="1"/>
      <w:numFmt w:val="bullet"/>
      <w:lvlText w:val="o"/>
      <w:lvlJc w:val="left"/>
      <w:pPr>
        <w:tabs>
          <w:tab w:val="num" w:pos="3600"/>
        </w:tabs>
        <w:ind w:left="3600" w:hanging="360"/>
      </w:pPr>
      <w:rPr>
        <w:rFonts w:ascii="Courier New" w:hAnsi="Courier New"/>
      </w:rPr>
    </w:lvl>
    <w:lvl w:ilvl="5" w:tplc="267E0314">
      <w:start w:val="1"/>
      <w:numFmt w:val="bullet"/>
      <w:lvlText w:val=""/>
      <w:lvlJc w:val="left"/>
      <w:pPr>
        <w:tabs>
          <w:tab w:val="num" w:pos="4320"/>
        </w:tabs>
        <w:ind w:left="4320" w:hanging="360"/>
      </w:pPr>
      <w:rPr>
        <w:rFonts w:ascii="Wingdings" w:hAnsi="Wingdings"/>
      </w:rPr>
    </w:lvl>
    <w:lvl w:ilvl="6" w:tplc="55C85CE6">
      <w:start w:val="1"/>
      <w:numFmt w:val="bullet"/>
      <w:lvlText w:val=""/>
      <w:lvlJc w:val="left"/>
      <w:pPr>
        <w:tabs>
          <w:tab w:val="num" w:pos="5040"/>
        </w:tabs>
        <w:ind w:left="5040" w:hanging="360"/>
      </w:pPr>
      <w:rPr>
        <w:rFonts w:ascii="Symbol" w:hAnsi="Symbol"/>
      </w:rPr>
    </w:lvl>
    <w:lvl w:ilvl="7" w:tplc="44189DB2">
      <w:start w:val="1"/>
      <w:numFmt w:val="bullet"/>
      <w:lvlText w:val="o"/>
      <w:lvlJc w:val="left"/>
      <w:pPr>
        <w:tabs>
          <w:tab w:val="num" w:pos="5760"/>
        </w:tabs>
        <w:ind w:left="5760" w:hanging="360"/>
      </w:pPr>
      <w:rPr>
        <w:rFonts w:ascii="Courier New" w:hAnsi="Courier New"/>
      </w:rPr>
    </w:lvl>
    <w:lvl w:ilvl="8" w:tplc="35BCC6E0">
      <w:start w:val="1"/>
      <w:numFmt w:val="bullet"/>
      <w:lvlText w:val=""/>
      <w:lvlJc w:val="left"/>
      <w:pPr>
        <w:tabs>
          <w:tab w:val="num" w:pos="6480"/>
        </w:tabs>
        <w:ind w:left="6480" w:hanging="360"/>
      </w:pPr>
      <w:rPr>
        <w:rFonts w:ascii="Wingdings" w:hAnsi="Wingdings"/>
      </w:rPr>
    </w:lvl>
  </w:abstractNum>
  <w:abstractNum w:abstractNumId="776" w15:restartNumberingAfterBreak="0">
    <w:nsid w:val="722307CA"/>
    <w:multiLevelType w:val="hybridMultilevel"/>
    <w:tmpl w:val="722307CA"/>
    <w:lvl w:ilvl="0" w:tplc="485AF3A4">
      <w:start w:val="1"/>
      <w:numFmt w:val="bullet"/>
      <w:lvlText w:val=""/>
      <w:lvlJc w:val="left"/>
      <w:pPr>
        <w:ind w:left="720" w:hanging="360"/>
      </w:pPr>
      <w:rPr>
        <w:rFonts w:ascii="Symbol" w:hAnsi="Symbol"/>
      </w:rPr>
    </w:lvl>
    <w:lvl w:ilvl="1" w:tplc="742065D4">
      <w:start w:val="1"/>
      <w:numFmt w:val="bullet"/>
      <w:lvlText w:val="o"/>
      <w:lvlJc w:val="left"/>
      <w:pPr>
        <w:tabs>
          <w:tab w:val="num" w:pos="1440"/>
        </w:tabs>
        <w:ind w:left="1440" w:hanging="360"/>
      </w:pPr>
      <w:rPr>
        <w:rFonts w:ascii="Courier New" w:hAnsi="Courier New"/>
      </w:rPr>
    </w:lvl>
    <w:lvl w:ilvl="2" w:tplc="0A3AAC04">
      <w:start w:val="1"/>
      <w:numFmt w:val="bullet"/>
      <w:lvlText w:val=""/>
      <w:lvlJc w:val="left"/>
      <w:pPr>
        <w:tabs>
          <w:tab w:val="num" w:pos="2160"/>
        </w:tabs>
        <w:ind w:left="2160" w:hanging="360"/>
      </w:pPr>
      <w:rPr>
        <w:rFonts w:ascii="Wingdings" w:hAnsi="Wingdings"/>
      </w:rPr>
    </w:lvl>
    <w:lvl w:ilvl="3" w:tplc="8DDEE810">
      <w:start w:val="1"/>
      <w:numFmt w:val="bullet"/>
      <w:lvlText w:val=""/>
      <w:lvlJc w:val="left"/>
      <w:pPr>
        <w:tabs>
          <w:tab w:val="num" w:pos="2880"/>
        </w:tabs>
        <w:ind w:left="2880" w:hanging="360"/>
      </w:pPr>
      <w:rPr>
        <w:rFonts w:ascii="Symbol" w:hAnsi="Symbol"/>
      </w:rPr>
    </w:lvl>
    <w:lvl w:ilvl="4" w:tplc="48A071BE">
      <w:start w:val="1"/>
      <w:numFmt w:val="bullet"/>
      <w:lvlText w:val="o"/>
      <w:lvlJc w:val="left"/>
      <w:pPr>
        <w:tabs>
          <w:tab w:val="num" w:pos="3600"/>
        </w:tabs>
        <w:ind w:left="3600" w:hanging="360"/>
      </w:pPr>
      <w:rPr>
        <w:rFonts w:ascii="Courier New" w:hAnsi="Courier New"/>
      </w:rPr>
    </w:lvl>
    <w:lvl w:ilvl="5" w:tplc="1124F62C">
      <w:start w:val="1"/>
      <w:numFmt w:val="bullet"/>
      <w:lvlText w:val=""/>
      <w:lvlJc w:val="left"/>
      <w:pPr>
        <w:tabs>
          <w:tab w:val="num" w:pos="4320"/>
        </w:tabs>
        <w:ind w:left="4320" w:hanging="360"/>
      </w:pPr>
      <w:rPr>
        <w:rFonts w:ascii="Wingdings" w:hAnsi="Wingdings"/>
      </w:rPr>
    </w:lvl>
    <w:lvl w:ilvl="6" w:tplc="BF8A9C7E">
      <w:start w:val="1"/>
      <w:numFmt w:val="bullet"/>
      <w:lvlText w:val=""/>
      <w:lvlJc w:val="left"/>
      <w:pPr>
        <w:tabs>
          <w:tab w:val="num" w:pos="5040"/>
        </w:tabs>
        <w:ind w:left="5040" w:hanging="360"/>
      </w:pPr>
      <w:rPr>
        <w:rFonts w:ascii="Symbol" w:hAnsi="Symbol"/>
      </w:rPr>
    </w:lvl>
    <w:lvl w:ilvl="7" w:tplc="F48899F8">
      <w:start w:val="1"/>
      <w:numFmt w:val="bullet"/>
      <w:lvlText w:val="o"/>
      <w:lvlJc w:val="left"/>
      <w:pPr>
        <w:tabs>
          <w:tab w:val="num" w:pos="5760"/>
        </w:tabs>
        <w:ind w:left="5760" w:hanging="360"/>
      </w:pPr>
      <w:rPr>
        <w:rFonts w:ascii="Courier New" w:hAnsi="Courier New"/>
      </w:rPr>
    </w:lvl>
    <w:lvl w:ilvl="8" w:tplc="4AA88C92">
      <w:start w:val="1"/>
      <w:numFmt w:val="bullet"/>
      <w:lvlText w:val=""/>
      <w:lvlJc w:val="left"/>
      <w:pPr>
        <w:tabs>
          <w:tab w:val="num" w:pos="6480"/>
        </w:tabs>
        <w:ind w:left="6480" w:hanging="360"/>
      </w:pPr>
      <w:rPr>
        <w:rFonts w:ascii="Wingdings" w:hAnsi="Wingdings"/>
      </w:rPr>
    </w:lvl>
  </w:abstractNum>
  <w:abstractNum w:abstractNumId="777" w15:restartNumberingAfterBreak="0">
    <w:nsid w:val="722307CB"/>
    <w:multiLevelType w:val="hybridMultilevel"/>
    <w:tmpl w:val="722307CB"/>
    <w:lvl w:ilvl="0" w:tplc="1668E2A8">
      <w:start w:val="1"/>
      <w:numFmt w:val="bullet"/>
      <w:lvlText w:val=""/>
      <w:lvlJc w:val="left"/>
      <w:pPr>
        <w:ind w:left="720" w:hanging="360"/>
      </w:pPr>
      <w:rPr>
        <w:rFonts w:ascii="Symbol" w:hAnsi="Symbol"/>
      </w:rPr>
    </w:lvl>
    <w:lvl w:ilvl="1" w:tplc="023033D6">
      <w:start w:val="1"/>
      <w:numFmt w:val="bullet"/>
      <w:lvlText w:val="o"/>
      <w:lvlJc w:val="left"/>
      <w:pPr>
        <w:tabs>
          <w:tab w:val="num" w:pos="1440"/>
        </w:tabs>
        <w:ind w:left="1440" w:hanging="360"/>
      </w:pPr>
      <w:rPr>
        <w:rFonts w:ascii="Courier New" w:hAnsi="Courier New"/>
      </w:rPr>
    </w:lvl>
    <w:lvl w:ilvl="2" w:tplc="271007EA">
      <w:start w:val="1"/>
      <w:numFmt w:val="bullet"/>
      <w:lvlText w:val=""/>
      <w:lvlJc w:val="left"/>
      <w:pPr>
        <w:tabs>
          <w:tab w:val="num" w:pos="2160"/>
        </w:tabs>
        <w:ind w:left="2160" w:hanging="360"/>
      </w:pPr>
      <w:rPr>
        <w:rFonts w:ascii="Wingdings" w:hAnsi="Wingdings"/>
      </w:rPr>
    </w:lvl>
    <w:lvl w:ilvl="3" w:tplc="EF5E7E14">
      <w:start w:val="1"/>
      <w:numFmt w:val="bullet"/>
      <w:lvlText w:val=""/>
      <w:lvlJc w:val="left"/>
      <w:pPr>
        <w:tabs>
          <w:tab w:val="num" w:pos="2880"/>
        </w:tabs>
        <w:ind w:left="2880" w:hanging="360"/>
      </w:pPr>
      <w:rPr>
        <w:rFonts w:ascii="Symbol" w:hAnsi="Symbol"/>
      </w:rPr>
    </w:lvl>
    <w:lvl w:ilvl="4" w:tplc="26B07C98">
      <w:start w:val="1"/>
      <w:numFmt w:val="bullet"/>
      <w:lvlText w:val="o"/>
      <w:lvlJc w:val="left"/>
      <w:pPr>
        <w:tabs>
          <w:tab w:val="num" w:pos="3600"/>
        </w:tabs>
        <w:ind w:left="3600" w:hanging="360"/>
      </w:pPr>
      <w:rPr>
        <w:rFonts w:ascii="Courier New" w:hAnsi="Courier New"/>
      </w:rPr>
    </w:lvl>
    <w:lvl w:ilvl="5" w:tplc="4FA0FE4E">
      <w:start w:val="1"/>
      <w:numFmt w:val="bullet"/>
      <w:lvlText w:val=""/>
      <w:lvlJc w:val="left"/>
      <w:pPr>
        <w:tabs>
          <w:tab w:val="num" w:pos="4320"/>
        </w:tabs>
        <w:ind w:left="4320" w:hanging="360"/>
      </w:pPr>
      <w:rPr>
        <w:rFonts w:ascii="Wingdings" w:hAnsi="Wingdings"/>
      </w:rPr>
    </w:lvl>
    <w:lvl w:ilvl="6" w:tplc="7AD26DB0">
      <w:start w:val="1"/>
      <w:numFmt w:val="bullet"/>
      <w:lvlText w:val=""/>
      <w:lvlJc w:val="left"/>
      <w:pPr>
        <w:tabs>
          <w:tab w:val="num" w:pos="5040"/>
        </w:tabs>
        <w:ind w:left="5040" w:hanging="360"/>
      </w:pPr>
      <w:rPr>
        <w:rFonts w:ascii="Symbol" w:hAnsi="Symbol"/>
      </w:rPr>
    </w:lvl>
    <w:lvl w:ilvl="7" w:tplc="8E6C5E80">
      <w:start w:val="1"/>
      <w:numFmt w:val="bullet"/>
      <w:lvlText w:val="o"/>
      <w:lvlJc w:val="left"/>
      <w:pPr>
        <w:tabs>
          <w:tab w:val="num" w:pos="5760"/>
        </w:tabs>
        <w:ind w:left="5760" w:hanging="360"/>
      </w:pPr>
      <w:rPr>
        <w:rFonts w:ascii="Courier New" w:hAnsi="Courier New"/>
      </w:rPr>
    </w:lvl>
    <w:lvl w:ilvl="8" w:tplc="CA4A1834">
      <w:start w:val="1"/>
      <w:numFmt w:val="bullet"/>
      <w:lvlText w:val=""/>
      <w:lvlJc w:val="left"/>
      <w:pPr>
        <w:tabs>
          <w:tab w:val="num" w:pos="6480"/>
        </w:tabs>
        <w:ind w:left="6480" w:hanging="360"/>
      </w:pPr>
      <w:rPr>
        <w:rFonts w:ascii="Wingdings" w:hAnsi="Wingdings"/>
      </w:rPr>
    </w:lvl>
  </w:abstractNum>
  <w:abstractNum w:abstractNumId="778" w15:restartNumberingAfterBreak="0">
    <w:nsid w:val="722307CC"/>
    <w:multiLevelType w:val="hybridMultilevel"/>
    <w:tmpl w:val="722307CC"/>
    <w:lvl w:ilvl="0" w:tplc="10CA8BA0">
      <w:start w:val="1"/>
      <w:numFmt w:val="bullet"/>
      <w:lvlText w:val=""/>
      <w:lvlJc w:val="left"/>
      <w:pPr>
        <w:ind w:left="720" w:hanging="360"/>
      </w:pPr>
      <w:rPr>
        <w:rFonts w:ascii="Symbol" w:hAnsi="Symbol"/>
      </w:rPr>
    </w:lvl>
    <w:lvl w:ilvl="1" w:tplc="E6CA94D2">
      <w:start w:val="1"/>
      <w:numFmt w:val="bullet"/>
      <w:lvlText w:val="o"/>
      <w:lvlJc w:val="left"/>
      <w:pPr>
        <w:tabs>
          <w:tab w:val="num" w:pos="1440"/>
        </w:tabs>
        <w:ind w:left="1440" w:hanging="360"/>
      </w:pPr>
      <w:rPr>
        <w:rFonts w:ascii="Courier New" w:hAnsi="Courier New"/>
      </w:rPr>
    </w:lvl>
    <w:lvl w:ilvl="2" w:tplc="CE6C8B3E">
      <w:start w:val="1"/>
      <w:numFmt w:val="bullet"/>
      <w:lvlText w:val=""/>
      <w:lvlJc w:val="left"/>
      <w:pPr>
        <w:tabs>
          <w:tab w:val="num" w:pos="2160"/>
        </w:tabs>
        <w:ind w:left="2160" w:hanging="360"/>
      </w:pPr>
      <w:rPr>
        <w:rFonts w:ascii="Wingdings" w:hAnsi="Wingdings"/>
      </w:rPr>
    </w:lvl>
    <w:lvl w:ilvl="3" w:tplc="53484416">
      <w:start w:val="1"/>
      <w:numFmt w:val="bullet"/>
      <w:lvlText w:val=""/>
      <w:lvlJc w:val="left"/>
      <w:pPr>
        <w:tabs>
          <w:tab w:val="num" w:pos="2880"/>
        </w:tabs>
        <w:ind w:left="2880" w:hanging="360"/>
      </w:pPr>
      <w:rPr>
        <w:rFonts w:ascii="Symbol" w:hAnsi="Symbol"/>
      </w:rPr>
    </w:lvl>
    <w:lvl w:ilvl="4" w:tplc="967A6796">
      <w:start w:val="1"/>
      <w:numFmt w:val="bullet"/>
      <w:lvlText w:val="o"/>
      <w:lvlJc w:val="left"/>
      <w:pPr>
        <w:tabs>
          <w:tab w:val="num" w:pos="3600"/>
        </w:tabs>
        <w:ind w:left="3600" w:hanging="360"/>
      </w:pPr>
      <w:rPr>
        <w:rFonts w:ascii="Courier New" w:hAnsi="Courier New"/>
      </w:rPr>
    </w:lvl>
    <w:lvl w:ilvl="5" w:tplc="4976A1D6">
      <w:start w:val="1"/>
      <w:numFmt w:val="bullet"/>
      <w:lvlText w:val=""/>
      <w:lvlJc w:val="left"/>
      <w:pPr>
        <w:tabs>
          <w:tab w:val="num" w:pos="4320"/>
        </w:tabs>
        <w:ind w:left="4320" w:hanging="360"/>
      </w:pPr>
      <w:rPr>
        <w:rFonts w:ascii="Wingdings" w:hAnsi="Wingdings"/>
      </w:rPr>
    </w:lvl>
    <w:lvl w:ilvl="6" w:tplc="0144C692">
      <w:start w:val="1"/>
      <w:numFmt w:val="bullet"/>
      <w:lvlText w:val=""/>
      <w:lvlJc w:val="left"/>
      <w:pPr>
        <w:tabs>
          <w:tab w:val="num" w:pos="5040"/>
        </w:tabs>
        <w:ind w:left="5040" w:hanging="360"/>
      </w:pPr>
      <w:rPr>
        <w:rFonts w:ascii="Symbol" w:hAnsi="Symbol"/>
      </w:rPr>
    </w:lvl>
    <w:lvl w:ilvl="7" w:tplc="616A8838">
      <w:start w:val="1"/>
      <w:numFmt w:val="bullet"/>
      <w:lvlText w:val="o"/>
      <w:lvlJc w:val="left"/>
      <w:pPr>
        <w:tabs>
          <w:tab w:val="num" w:pos="5760"/>
        </w:tabs>
        <w:ind w:left="5760" w:hanging="360"/>
      </w:pPr>
      <w:rPr>
        <w:rFonts w:ascii="Courier New" w:hAnsi="Courier New"/>
      </w:rPr>
    </w:lvl>
    <w:lvl w:ilvl="8" w:tplc="521C5E3C">
      <w:start w:val="1"/>
      <w:numFmt w:val="bullet"/>
      <w:lvlText w:val=""/>
      <w:lvlJc w:val="left"/>
      <w:pPr>
        <w:tabs>
          <w:tab w:val="num" w:pos="6480"/>
        </w:tabs>
        <w:ind w:left="6480" w:hanging="360"/>
      </w:pPr>
      <w:rPr>
        <w:rFonts w:ascii="Wingdings" w:hAnsi="Wingdings"/>
      </w:rPr>
    </w:lvl>
  </w:abstractNum>
  <w:abstractNum w:abstractNumId="779" w15:restartNumberingAfterBreak="0">
    <w:nsid w:val="722307CD"/>
    <w:multiLevelType w:val="hybridMultilevel"/>
    <w:tmpl w:val="722307CD"/>
    <w:lvl w:ilvl="0" w:tplc="1334016C">
      <w:start w:val="1"/>
      <w:numFmt w:val="bullet"/>
      <w:lvlText w:val=""/>
      <w:lvlJc w:val="left"/>
      <w:pPr>
        <w:ind w:left="720" w:hanging="360"/>
      </w:pPr>
      <w:rPr>
        <w:rFonts w:ascii="Symbol" w:hAnsi="Symbol"/>
      </w:rPr>
    </w:lvl>
    <w:lvl w:ilvl="1" w:tplc="F6CC8B50">
      <w:start w:val="1"/>
      <w:numFmt w:val="bullet"/>
      <w:lvlText w:val="o"/>
      <w:lvlJc w:val="left"/>
      <w:pPr>
        <w:tabs>
          <w:tab w:val="num" w:pos="1440"/>
        </w:tabs>
        <w:ind w:left="1440" w:hanging="360"/>
      </w:pPr>
      <w:rPr>
        <w:rFonts w:ascii="Courier New" w:hAnsi="Courier New"/>
      </w:rPr>
    </w:lvl>
    <w:lvl w:ilvl="2" w:tplc="F794A472">
      <w:start w:val="1"/>
      <w:numFmt w:val="bullet"/>
      <w:lvlText w:val=""/>
      <w:lvlJc w:val="left"/>
      <w:pPr>
        <w:tabs>
          <w:tab w:val="num" w:pos="2160"/>
        </w:tabs>
        <w:ind w:left="2160" w:hanging="360"/>
      </w:pPr>
      <w:rPr>
        <w:rFonts w:ascii="Wingdings" w:hAnsi="Wingdings"/>
      </w:rPr>
    </w:lvl>
    <w:lvl w:ilvl="3" w:tplc="36EEDAEE">
      <w:start w:val="1"/>
      <w:numFmt w:val="bullet"/>
      <w:lvlText w:val=""/>
      <w:lvlJc w:val="left"/>
      <w:pPr>
        <w:tabs>
          <w:tab w:val="num" w:pos="2880"/>
        </w:tabs>
        <w:ind w:left="2880" w:hanging="360"/>
      </w:pPr>
      <w:rPr>
        <w:rFonts w:ascii="Symbol" w:hAnsi="Symbol"/>
      </w:rPr>
    </w:lvl>
    <w:lvl w:ilvl="4" w:tplc="5590E7DC">
      <w:start w:val="1"/>
      <w:numFmt w:val="bullet"/>
      <w:lvlText w:val="o"/>
      <w:lvlJc w:val="left"/>
      <w:pPr>
        <w:tabs>
          <w:tab w:val="num" w:pos="3600"/>
        </w:tabs>
        <w:ind w:left="3600" w:hanging="360"/>
      </w:pPr>
      <w:rPr>
        <w:rFonts w:ascii="Courier New" w:hAnsi="Courier New"/>
      </w:rPr>
    </w:lvl>
    <w:lvl w:ilvl="5" w:tplc="81EE0886">
      <w:start w:val="1"/>
      <w:numFmt w:val="bullet"/>
      <w:lvlText w:val=""/>
      <w:lvlJc w:val="left"/>
      <w:pPr>
        <w:tabs>
          <w:tab w:val="num" w:pos="4320"/>
        </w:tabs>
        <w:ind w:left="4320" w:hanging="360"/>
      </w:pPr>
      <w:rPr>
        <w:rFonts w:ascii="Wingdings" w:hAnsi="Wingdings"/>
      </w:rPr>
    </w:lvl>
    <w:lvl w:ilvl="6" w:tplc="639A94A0">
      <w:start w:val="1"/>
      <w:numFmt w:val="bullet"/>
      <w:lvlText w:val=""/>
      <w:lvlJc w:val="left"/>
      <w:pPr>
        <w:tabs>
          <w:tab w:val="num" w:pos="5040"/>
        </w:tabs>
        <w:ind w:left="5040" w:hanging="360"/>
      </w:pPr>
      <w:rPr>
        <w:rFonts w:ascii="Symbol" w:hAnsi="Symbol"/>
      </w:rPr>
    </w:lvl>
    <w:lvl w:ilvl="7" w:tplc="499A2E82">
      <w:start w:val="1"/>
      <w:numFmt w:val="bullet"/>
      <w:lvlText w:val="o"/>
      <w:lvlJc w:val="left"/>
      <w:pPr>
        <w:tabs>
          <w:tab w:val="num" w:pos="5760"/>
        </w:tabs>
        <w:ind w:left="5760" w:hanging="360"/>
      </w:pPr>
      <w:rPr>
        <w:rFonts w:ascii="Courier New" w:hAnsi="Courier New"/>
      </w:rPr>
    </w:lvl>
    <w:lvl w:ilvl="8" w:tplc="9A3A4EA0">
      <w:start w:val="1"/>
      <w:numFmt w:val="bullet"/>
      <w:lvlText w:val=""/>
      <w:lvlJc w:val="left"/>
      <w:pPr>
        <w:tabs>
          <w:tab w:val="num" w:pos="6480"/>
        </w:tabs>
        <w:ind w:left="6480" w:hanging="360"/>
      </w:pPr>
      <w:rPr>
        <w:rFonts w:ascii="Wingdings" w:hAnsi="Wingdings"/>
      </w:rPr>
    </w:lvl>
  </w:abstractNum>
  <w:abstractNum w:abstractNumId="780" w15:restartNumberingAfterBreak="0">
    <w:nsid w:val="722307CE"/>
    <w:multiLevelType w:val="hybridMultilevel"/>
    <w:tmpl w:val="722307CE"/>
    <w:lvl w:ilvl="0" w:tplc="94ACED62">
      <w:start w:val="1"/>
      <w:numFmt w:val="bullet"/>
      <w:lvlText w:val=""/>
      <w:lvlJc w:val="left"/>
      <w:pPr>
        <w:ind w:left="720" w:hanging="360"/>
      </w:pPr>
      <w:rPr>
        <w:rFonts w:ascii="Symbol" w:hAnsi="Symbol"/>
      </w:rPr>
    </w:lvl>
    <w:lvl w:ilvl="1" w:tplc="90B85042">
      <w:start w:val="1"/>
      <w:numFmt w:val="bullet"/>
      <w:lvlText w:val="o"/>
      <w:lvlJc w:val="left"/>
      <w:pPr>
        <w:tabs>
          <w:tab w:val="num" w:pos="1440"/>
        </w:tabs>
        <w:ind w:left="1440" w:hanging="360"/>
      </w:pPr>
      <w:rPr>
        <w:rFonts w:ascii="Courier New" w:hAnsi="Courier New"/>
      </w:rPr>
    </w:lvl>
    <w:lvl w:ilvl="2" w:tplc="4814A1BA">
      <w:start w:val="1"/>
      <w:numFmt w:val="bullet"/>
      <w:lvlText w:val=""/>
      <w:lvlJc w:val="left"/>
      <w:pPr>
        <w:tabs>
          <w:tab w:val="num" w:pos="2160"/>
        </w:tabs>
        <w:ind w:left="2160" w:hanging="360"/>
      </w:pPr>
      <w:rPr>
        <w:rFonts w:ascii="Wingdings" w:hAnsi="Wingdings"/>
      </w:rPr>
    </w:lvl>
    <w:lvl w:ilvl="3" w:tplc="D60644D0">
      <w:start w:val="1"/>
      <w:numFmt w:val="bullet"/>
      <w:lvlText w:val=""/>
      <w:lvlJc w:val="left"/>
      <w:pPr>
        <w:tabs>
          <w:tab w:val="num" w:pos="2880"/>
        </w:tabs>
        <w:ind w:left="2880" w:hanging="360"/>
      </w:pPr>
      <w:rPr>
        <w:rFonts w:ascii="Symbol" w:hAnsi="Symbol"/>
      </w:rPr>
    </w:lvl>
    <w:lvl w:ilvl="4" w:tplc="51F0ED86">
      <w:start w:val="1"/>
      <w:numFmt w:val="bullet"/>
      <w:lvlText w:val="o"/>
      <w:lvlJc w:val="left"/>
      <w:pPr>
        <w:tabs>
          <w:tab w:val="num" w:pos="3600"/>
        </w:tabs>
        <w:ind w:left="3600" w:hanging="360"/>
      </w:pPr>
      <w:rPr>
        <w:rFonts w:ascii="Courier New" w:hAnsi="Courier New"/>
      </w:rPr>
    </w:lvl>
    <w:lvl w:ilvl="5" w:tplc="E528DE54">
      <w:start w:val="1"/>
      <w:numFmt w:val="bullet"/>
      <w:lvlText w:val=""/>
      <w:lvlJc w:val="left"/>
      <w:pPr>
        <w:tabs>
          <w:tab w:val="num" w:pos="4320"/>
        </w:tabs>
        <w:ind w:left="4320" w:hanging="360"/>
      </w:pPr>
      <w:rPr>
        <w:rFonts w:ascii="Wingdings" w:hAnsi="Wingdings"/>
      </w:rPr>
    </w:lvl>
    <w:lvl w:ilvl="6" w:tplc="CC08CDE2">
      <w:start w:val="1"/>
      <w:numFmt w:val="bullet"/>
      <w:lvlText w:val=""/>
      <w:lvlJc w:val="left"/>
      <w:pPr>
        <w:tabs>
          <w:tab w:val="num" w:pos="5040"/>
        </w:tabs>
        <w:ind w:left="5040" w:hanging="360"/>
      </w:pPr>
      <w:rPr>
        <w:rFonts w:ascii="Symbol" w:hAnsi="Symbol"/>
      </w:rPr>
    </w:lvl>
    <w:lvl w:ilvl="7" w:tplc="102E2AA6">
      <w:start w:val="1"/>
      <w:numFmt w:val="bullet"/>
      <w:lvlText w:val="o"/>
      <w:lvlJc w:val="left"/>
      <w:pPr>
        <w:tabs>
          <w:tab w:val="num" w:pos="5760"/>
        </w:tabs>
        <w:ind w:left="5760" w:hanging="360"/>
      </w:pPr>
      <w:rPr>
        <w:rFonts w:ascii="Courier New" w:hAnsi="Courier New"/>
      </w:rPr>
    </w:lvl>
    <w:lvl w:ilvl="8" w:tplc="9132BF70">
      <w:start w:val="1"/>
      <w:numFmt w:val="bullet"/>
      <w:lvlText w:val=""/>
      <w:lvlJc w:val="left"/>
      <w:pPr>
        <w:tabs>
          <w:tab w:val="num" w:pos="6480"/>
        </w:tabs>
        <w:ind w:left="6480" w:hanging="360"/>
      </w:pPr>
      <w:rPr>
        <w:rFonts w:ascii="Wingdings" w:hAnsi="Wingdings"/>
      </w:rPr>
    </w:lvl>
  </w:abstractNum>
  <w:abstractNum w:abstractNumId="781" w15:restartNumberingAfterBreak="0">
    <w:nsid w:val="722307CF"/>
    <w:multiLevelType w:val="hybridMultilevel"/>
    <w:tmpl w:val="722307CF"/>
    <w:lvl w:ilvl="0" w:tplc="10D287A2">
      <w:start w:val="1"/>
      <w:numFmt w:val="bullet"/>
      <w:lvlText w:val=""/>
      <w:lvlJc w:val="left"/>
      <w:pPr>
        <w:ind w:left="720" w:hanging="360"/>
      </w:pPr>
      <w:rPr>
        <w:rFonts w:ascii="Symbol" w:hAnsi="Symbol"/>
      </w:rPr>
    </w:lvl>
    <w:lvl w:ilvl="1" w:tplc="FC6A0F48">
      <w:start w:val="1"/>
      <w:numFmt w:val="bullet"/>
      <w:lvlText w:val="o"/>
      <w:lvlJc w:val="left"/>
      <w:pPr>
        <w:tabs>
          <w:tab w:val="num" w:pos="1440"/>
        </w:tabs>
        <w:ind w:left="1440" w:hanging="360"/>
      </w:pPr>
      <w:rPr>
        <w:rFonts w:ascii="Courier New" w:hAnsi="Courier New"/>
      </w:rPr>
    </w:lvl>
    <w:lvl w:ilvl="2" w:tplc="A71E9632">
      <w:start w:val="1"/>
      <w:numFmt w:val="bullet"/>
      <w:lvlText w:val=""/>
      <w:lvlJc w:val="left"/>
      <w:pPr>
        <w:tabs>
          <w:tab w:val="num" w:pos="2160"/>
        </w:tabs>
        <w:ind w:left="2160" w:hanging="360"/>
      </w:pPr>
      <w:rPr>
        <w:rFonts w:ascii="Wingdings" w:hAnsi="Wingdings"/>
      </w:rPr>
    </w:lvl>
    <w:lvl w:ilvl="3" w:tplc="6AC80FA6">
      <w:start w:val="1"/>
      <w:numFmt w:val="bullet"/>
      <w:lvlText w:val=""/>
      <w:lvlJc w:val="left"/>
      <w:pPr>
        <w:tabs>
          <w:tab w:val="num" w:pos="2880"/>
        </w:tabs>
        <w:ind w:left="2880" w:hanging="360"/>
      </w:pPr>
      <w:rPr>
        <w:rFonts w:ascii="Symbol" w:hAnsi="Symbol"/>
      </w:rPr>
    </w:lvl>
    <w:lvl w:ilvl="4" w:tplc="CCC40096">
      <w:start w:val="1"/>
      <w:numFmt w:val="bullet"/>
      <w:lvlText w:val="o"/>
      <w:lvlJc w:val="left"/>
      <w:pPr>
        <w:tabs>
          <w:tab w:val="num" w:pos="3600"/>
        </w:tabs>
        <w:ind w:left="3600" w:hanging="360"/>
      </w:pPr>
      <w:rPr>
        <w:rFonts w:ascii="Courier New" w:hAnsi="Courier New"/>
      </w:rPr>
    </w:lvl>
    <w:lvl w:ilvl="5" w:tplc="C76E629A">
      <w:start w:val="1"/>
      <w:numFmt w:val="bullet"/>
      <w:lvlText w:val=""/>
      <w:lvlJc w:val="left"/>
      <w:pPr>
        <w:tabs>
          <w:tab w:val="num" w:pos="4320"/>
        </w:tabs>
        <w:ind w:left="4320" w:hanging="360"/>
      </w:pPr>
      <w:rPr>
        <w:rFonts w:ascii="Wingdings" w:hAnsi="Wingdings"/>
      </w:rPr>
    </w:lvl>
    <w:lvl w:ilvl="6" w:tplc="3054681C">
      <w:start w:val="1"/>
      <w:numFmt w:val="bullet"/>
      <w:lvlText w:val=""/>
      <w:lvlJc w:val="left"/>
      <w:pPr>
        <w:tabs>
          <w:tab w:val="num" w:pos="5040"/>
        </w:tabs>
        <w:ind w:left="5040" w:hanging="360"/>
      </w:pPr>
      <w:rPr>
        <w:rFonts w:ascii="Symbol" w:hAnsi="Symbol"/>
      </w:rPr>
    </w:lvl>
    <w:lvl w:ilvl="7" w:tplc="57DE7432">
      <w:start w:val="1"/>
      <w:numFmt w:val="bullet"/>
      <w:lvlText w:val="o"/>
      <w:lvlJc w:val="left"/>
      <w:pPr>
        <w:tabs>
          <w:tab w:val="num" w:pos="5760"/>
        </w:tabs>
        <w:ind w:left="5760" w:hanging="360"/>
      </w:pPr>
      <w:rPr>
        <w:rFonts w:ascii="Courier New" w:hAnsi="Courier New"/>
      </w:rPr>
    </w:lvl>
    <w:lvl w:ilvl="8" w:tplc="43348040">
      <w:start w:val="1"/>
      <w:numFmt w:val="bullet"/>
      <w:lvlText w:val=""/>
      <w:lvlJc w:val="left"/>
      <w:pPr>
        <w:tabs>
          <w:tab w:val="num" w:pos="6480"/>
        </w:tabs>
        <w:ind w:left="6480" w:hanging="360"/>
      </w:pPr>
      <w:rPr>
        <w:rFonts w:ascii="Wingdings" w:hAnsi="Wingdings"/>
      </w:rPr>
    </w:lvl>
  </w:abstractNum>
  <w:abstractNum w:abstractNumId="782" w15:restartNumberingAfterBreak="0">
    <w:nsid w:val="722307D0"/>
    <w:multiLevelType w:val="hybridMultilevel"/>
    <w:tmpl w:val="722307D0"/>
    <w:lvl w:ilvl="0" w:tplc="7550DB2C">
      <w:start w:val="1"/>
      <w:numFmt w:val="bullet"/>
      <w:lvlText w:val=""/>
      <w:lvlJc w:val="left"/>
      <w:pPr>
        <w:ind w:left="720" w:hanging="360"/>
      </w:pPr>
      <w:rPr>
        <w:rFonts w:ascii="Symbol" w:hAnsi="Symbol"/>
      </w:rPr>
    </w:lvl>
    <w:lvl w:ilvl="1" w:tplc="B75CB8D8">
      <w:start w:val="1"/>
      <w:numFmt w:val="bullet"/>
      <w:lvlText w:val="o"/>
      <w:lvlJc w:val="left"/>
      <w:pPr>
        <w:tabs>
          <w:tab w:val="num" w:pos="1440"/>
        </w:tabs>
        <w:ind w:left="1440" w:hanging="360"/>
      </w:pPr>
      <w:rPr>
        <w:rFonts w:ascii="Courier New" w:hAnsi="Courier New"/>
      </w:rPr>
    </w:lvl>
    <w:lvl w:ilvl="2" w:tplc="E62E1156">
      <w:start w:val="1"/>
      <w:numFmt w:val="bullet"/>
      <w:lvlText w:val=""/>
      <w:lvlJc w:val="left"/>
      <w:pPr>
        <w:tabs>
          <w:tab w:val="num" w:pos="2160"/>
        </w:tabs>
        <w:ind w:left="2160" w:hanging="360"/>
      </w:pPr>
      <w:rPr>
        <w:rFonts w:ascii="Wingdings" w:hAnsi="Wingdings"/>
      </w:rPr>
    </w:lvl>
    <w:lvl w:ilvl="3" w:tplc="833616C8">
      <w:start w:val="1"/>
      <w:numFmt w:val="bullet"/>
      <w:lvlText w:val=""/>
      <w:lvlJc w:val="left"/>
      <w:pPr>
        <w:tabs>
          <w:tab w:val="num" w:pos="2880"/>
        </w:tabs>
        <w:ind w:left="2880" w:hanging="360"/>
      </w:pPr>
      <w:rPr>
        <w:rFonts w:ascii="Symbol" w:hAnsi="Symbol"/>
      </w:rPr>
    </w:lvl>
    <w:lvl w:ilvl="4" w:tplc="407C3A68">
      <w:start w:val="1"/>
      <w:numFmt w:val="bullet"/>
      <w:lvlText w:val="o"/>
      <w:lvlJc w:val="left"/>
      <w:pPr>
        <w:tabs>
          <w:tab w:val="num" w:pos="3600"/>
        </w:tabs>
        <w:ind w:left="3600" w:hanging="360"/>
      </w:pPr>
      <w:rPr>
        <w:rFonts w:ascii="Courier New" w:hAnsi="Courier New"/>
      </w:rPr>
    </w:lvl>
    <w:lvl w:ilvl="5" w:tplc="36FE05F2">
      <w:start w:val="1"/>
      <w:numFmt w:val="bullet"/>
      <w:lvlText w:val=""/>
      <w:lvlJc w:val="left"/>
      <w:pPr>
        <w:tabs>
          <w:tab w:val="num" w:pos="4320"/>
        </w:tabs>
        <w:ind w:left="4320" w:hanging="360"/>
      </w:pPr>
      <w:rPr>
        <w:rFonts w:ascii="Wingdings" w:hAnsi="Wingdings"/>
      </w:rPr>
    </w:lvl>
    <w:lvl w:ilvl="6" w:tplc="7D441CF2">
      <w:start w:val="1"/>
      <w:numFmt w:val="bullet"/>
      <w:lvlText w:val=""/>
      <w:lvlJc w:val="left"/>
      <w:pPr>
        <w:tabs>
          <w:tab w:val="num" w:pos="5040"/>
        </w:tabs>
        <w:ind w:left="5040" w:hanging="360"/>
      </w:pPr>
      <w:rPr>
        <w:rFonts w:ascii="Symbol" w:hAnsi="Symbol"/>
      </w:rPr>
    </w:lvl>
    <w:lvl w:ilvl="7" w:tplc="CE564ADC">
      <w:start w:val="1"/>
      <w:numFmt w:val="bullet"/>
      <w:lvlText w:val="o"/>
      <w:lvlJc w:val="left"/>
      <w:pPr>
        <w:tabs>
          <w:tab w:val="num" w:pos="5760"/>
        </w:tabs>
        <w:ind w:left="5760" w:hanging="360"/>
      </w:pPr>
      <w:rPr>
        <w:rFonts w:ascii="Courier New" w:hAnsi="Courier New"/>
      </w:rPr>
    </w:lvl>
    <w:lvl w:ilvl="8" w:tplc="285EFB10">
      <w:start w:val="1"/>
      <w:numFmt w:val="bullet"/>
      <w:lvlText w:val=""/>
      <w:lvlJc w:val="left"/>
      <w:pPr>
        <w:tabs>
          <w:tab w:val="num" w:pos="6480"/>
        </w:tabs>
        <w:ind w:left="6480" w:hanging="360"/>
      </w:pPr>
      <w:rPr>
        <w:rFonts w:ascii="Wingdings" w:hAnsi="Wingdings"/>
      </w:rPr>
    </w:lvl>
  </w:abstractNum>
  <w:abstractNum w:abstractNumId="783" w15:restartNumberingAfterBreak="0">
    <w:nsid w:val="722307D1"/>
    <w:multiLevelType w:val="hybridMultilevel"/>
    <w:tmpl w:val="722307D1"/>
    <w:lvl w:ilvl="0" w:tplc="B4722D3E">
      <w:start w:val="1"/>
      <w:numFmt w:val="bullet"/>
      <w:lvlText w:val=""/>
      <w:lvlJc w:val="left"/>
      <w:pPr>
        <w:tabs>
          <w:tab w:val="num" w:pos="720"/>
        </w:tabs>
        <w:ind w:left="720" w:hanging="360"/>
      </w:pPr>
      <w:rPr>
        <w:rFonts w:ascii="Symbol" w:hAnsi="Symbol"/>
      </w:rPr>
    </w:lvl>
    <w:lvl w:ilvl="1" w:tplc="00C6E510">
      <w:start w:val="1"/>
      <w:numFmt w:val="bullet"/>
      <w:lvlText w:val="o"/>
      <w:lvlJc w:val="left"/>
      <w:pPr>
        <w:tabs>
          <w:tab w:val="num" w:pos="1440"/>
        </w:tabs>
        <w:ind w:left="1440" w:hanging="360"/>
      </w:pPr>
      <w:rPr>
        <w:rFonts w:ascii="Courier New" w:hAnsi="Courier New"/>
      </w:rPr>
    </w:lvl>
    <w:lvl w:ilvl="2" w:tplc="165652CC">
      <w:start w:val="1"/>
      <w:numFmt w:val="bullet"/>
      <w:lvlText w:val=""/>
      <w:lvlJc w:val="left"/>
      <w:pPr>
        <w:tabs>
          <w:tab w:val="num" w:pos="2160"/>
        </w:tabs>
        <w:ind w:left="2160" w:hanging="360"/>
      </w:pPr>
      <w:rPr>
        <w:rFonts w:ascii="Wingdings" w:hAnsi="Wingdings"/>
      </w:rPr>
    </w:lvl>
    <w:lvl w:ilvl="3" w:tplc="BC9AE944">
      <w:start w:val="1"/>
      <w:numFmt w:val="bullet"/>
      <w:lvlText w:val=""/>
      <w:lvlJc w:val="left"/>
      <w:pPr>
        <w:tabs>
          <w:tab w:val="num" w:pos="2880"/>
        </w:tabs>
        <w:ind w:left="2880" w:hanging="360"/>
      </w:pPr>
      <w:rPr>
        <w:rFonts w:ascii="Symbol" w:hAnsi="Symbol"/>
      </w:rPr>
    </w:lvl>
    <w:lvl w:ilvl="4" w:tplc="748804C2">
      <w:start w:val="1"/>
      <w:numFmt w:val="bullet"/>
      <w:lvlText w:val="o"/>
      <w:lvlJc w:val="left"/>
      <w:pPr>
        <w:tabs>
          <w:tab w:val="num" w:pos="3600"/>
        </w:tabs>
        <w:ind w:left="3600" w:hanging="360"/>
      </w:pPr>
      <w:rPr>
        <w:rFonts w:ascii="Courier New" w:hAnsi="Courier New"/>
      </w:rPr>
    </w:lvl>
    <w:lvl w:ilvl="5" w:tplc="EC668FEC">
      <w:start w:val="1"/>
      <w:numFmt w:val="bullet"/>
      <w:lvlText w:val=""/>
      <w:lvlJc w:val="left"/>
      <w:pPr>
        <w:tabs>
          <w:tab w:val="num" w:pos="4320"/>
        </w:tabs>
        <w:ind w:left="4320" w:hanging="360"/>
      </w:pPr>
      <w:rPr>
        <w:rFonts w:ascii="Wingdings" w:hAnsi="Wingdings"/>
      </w:rPr>
    </w:lvl>
    <w:lvl w:ilvl="6" w:tplc="D49859DE">
      <w:start w:val="1"/>
      <w:numFmt w:val="bullet"/>
      <w:lvlText w:val=""/>
      <w:lvlJc w:val="left"/>
      <w:pPr>
        <w:tabs>
          <w:tab w:val="num" w:pos="5040"/>
        </w:tabs>
        <w:ind w:left="5040" w:hanging="360"/>
      </w:pPr>
      <w:rPr>
        <w:rFonts w:ascii="Symbol" w:hAnsi="Symbol"/>
      </w:rPr>
    </w:lvl>
    <w:lvl w:ilvl="7" w:tplc="32AC798E">
      <w:start w:val="1"/>
      <w:numFmt w:val="bullet"/>
      <w:lvlText w:val="o"/>
      <w:lvlJc w:val="left"/>
      <w:pPr>
        <w:tabs>
          <w:tab w:val="num" w:pos="5760"/>
        </w:tabs>
        <w:ind w:left="5760" w:hanging="360"/>
      </w:pPr>
      <w:rPr>
        <w:rFonts w:ascii="Courier New" w:hAnsi="Courier New"/>
      </w:rPr>
    </w:lvl>
    <w:lvl w:ilvl="8" w:tplc="E17002D8">
      <w:start w:val="1"/>
      <w:numFmt w:val="bullet"/>
      <w:lvlText w:val=""/>
      <w:lvlJc w:val="left"/>
      <w:pPr>
        <w:tabs>
          <w:tab w:val="num" w:pos="6480"/>
        </w:tabs>
        <w:ind w:left="6480" w:hanging="360"/>
      </w:pPr>
      <w:rPr>
        <w:rFonts w:ascii="Wingdings" w:hAnsi="Wingdings"/>
      </w:rPr>
    </w:lvl>
  </w:abstractNum>
  <w:abstractNum w:abstractNumId="784" w15:restartNumberingAfterBreak="0">
    <w:nsid w:val="722307D2"/>
    <w:multiLevelType w:val="hybridMultilevel"/>
    <w:tmpl w:val="722307D2"/>
    <w:lvl w:ilvl="0" w:tplc="5BFEBBEE">
      <w:start w:val="1"/>
      <w:numFmt w:val="bullet"/>
      <w:lvlText w:val=""/>
      <w:lvlJc w:val="left"/>
      <w:pPr>
        <w:ind w:left="720" w:hanging="360"/>
      </w:pPr>
      <w:rPr>
        <w:rFonts w:ascii="Symbol" w:hAnsi="Symbol"/>
      </w:rPr>
    </w:lvl>
    <w:lvl w:ilvl="1" w:tplc="181E7D80">
      <w:start w:val="1"/>
      <w:numFmt w:val="bullet"/>
      <w:lvlText w:val="o"/>
      <w:lvlJc w:val="left"/>
      <w:pPr>
        <w:tabs>
          <w:tab w:val="num" w:pos="1440"/>
        </w:tabs>
        <w:ind w:left="1440" w:hanging="360"/>
      </w:pPr>
      <w:rPr>
        <w:rFonts w:ascii="Courier New" w:hAnsi="Courier New"/>
      </w:rPr>
    </w:lvl>
    <w:lvl w:ilvl="2" w:tplc="3AC63F32">
      <w:start w:val="1"/>
      <w:numFmt w:val="bullet"/>
      <w:lvlText w:val=""/>
      <w:lvlJc w:val="left"/>
      <w:pPr>
        <w:tabs>
          <w:tab w:val="num" w:pos="2160"/>
        </w:tabs>
        <w:ind w:left="2160" w:hanging="360"/>
      </w:pPr>
      <w:rPr>
        <w:rFonts w:ascii="Wingdings" w:hAnsi="Wingdings"/>
      </w:rPr>
    </w:lvl>
    <w:lvl w:ilvl="3" w:tplc="ECAC4008">
      <w:start w:val="1"/>
      <w:numFmt w:val="bullet"/>
      <w:lvlText w:val=""/>
      <w:lvlJc w:val="left"/>
      <w:pPr>
        <w:tabs>
          <w:tab w:val="num" w:pos="2880"/>
        </w:tabs>
        <w:ind w:left="2880" w:hanging="360"/>
      </w:pPr>
      <w:rPr>
        <w:rFonts w:ascii="Symbol" w:hAnsi="Symbol"/>
      </w:rPr>
    </w:lvl>
    <w:lvl w:ilvl="4" w:tplc="F4945154">
      <w:start w:val="1"/>
      <w:numFmt w:val="bullet"/>
      <w:lvlText w:val="o"/>
      <w:lvlJc w:val="left"/>
      <w:pPr>
        <w:tabs>
          <w:tab w:val="num" w:pos="3600"/>
        </w:tabs>
        <w:ind w:left="3600" w:hanging="360"/>
      </w:pPr>
      <w:rPr>
        <w:rFonts w:ascii="Courier New" w:hAnsi="Courier New"/>
      </w:rPr>
    </w:lvl>
    <w:lvl w:ilvl="5" w:tplc="7F3ED494">
      <w:start w:val="1"/>
      <w:numFmt w:val="bullet"/>
      <w:lvlText w:val=""/>
      <w:lvlJc w:val="left"/>
      <w:pPr>
        <w:tabs>
          <w:tab w:val="num" w:pos="4320"/>
        </w:tabs>
        <w:ind w:left="4320" w:hanging="360"/>
      </w:pPr>
      <w:rPr>
        <w:rFonts w:ascii="Wingdings" w:hAnsi="Wingdings"/>
      </w:rPr>
    </w:lvl>
    <w:lvl w:ilvl="6" w:tplc="D66EEFB6">
      <w:start w:val="1"/>
      <w:numFmt w:val="bullet"/>
      <w:lvlText w:val=""/>
      <w:lvlJc w:val="left"/>
      <w:pPr>
        <w:tabs>
          <w:tab w:val="num" w:pos="5040"/>
        </w:tabs>
        <w:ind w:left="5040" w:hanging="360"/>
      </w:pPr>
      <w:rPr>
        <w:rFonts w:ascii="Symbol" w:hAnsi="Symbol"/>
      </w:rPr>
    </w:lvl>
    <w:lvl w:ilvl="7" w:tplc="ABB49138">
      <w:start w:val="1"/>
      <w:numFmt w:val="bullet"/>
      <w:lvlText w:val="o"/>
      <w:lvlJc w:val="left"/>
      <w:pPr>
        <w:tabs>
          <w:tab w:val="num" w:pos="5760"/>
        </w:tabs>
        <w:ind w:left="5760" w:hanging="360"/>
      </w:pPr>
      <w:rPr>
        <w:rFonts w:ascii="Courier New" w:hAnsi="Courier New"/>
      </w:rPr>
    </w:lvl>
    <w:lvl w:ilvl="8" w:tplc="A99AE31C">
      <w:start w:val="1"/>
      <w:numFmt w:val="bullet"/>
      <w:lvlText w:val=""/>
      <w:lvlJc w:val="left"/>
      <w:pPr>
        <w:tabs>
          <w:tab w:val="num" w:pos="6480"/>
        </w:tabs>
        <w:ind w:left="6480" w:hanging="360"/>
      </w:pPr>
      <w:rPr>
        <w:rFonts w:ascii="Wingdings" w:hAnsi="Wingdings"/>
      </w:rPr>
    </w:lvl>
  </w:abstractNum>
  <w:abstractNum w:abstractNumId="785" w15:restartNumberingAfterBreak="0">
    <w:nsid w:val="722307D3"/>
    <w:multiLevelType w:val="hybridMultilevel"/>
    <w:tmpl w:val="722307D3"/>
    <w:lvl w:ilvl="0" w:tplc="F8D0D578">
      <w:start w:val="1"/>
      <w:numFmt w:val="bullet"/>
      <w:lvlText w:val=""/>
      <w:lvlJc w:val="left"/>
      <w:pPr>
        <w:ind w:left="720" w:hanging="360"/>
      </w:pPr>
      <w:rPr>
        <w:rFonts w:ascii="Symbol" w:hAnsi="Symbol"/>
      </w:rPr>
    </w:lvl>
    <w:lvl w:ilvl="1" w:tplc="FA08A3EA">
      <w:start w:val="1"/>
      <w:numFmt w:val="bullet"/>
      <w:lvlText w:val="o"/>
      <w:lvlJc w:val="left"/>
      <w:pPr>
        <w:tabs>
          <w:tab w:val="num" w:pos="1440"/>
        </w:tabs>
        <w:ind w:left="1440" w:hanging="360"/>
      </w:pPr>
      <w:rPr>
        <w:rFonts w:ascii="Courier New" w:hAnsi="Courier New"/>
      </w:rPr>
    </w:lvl>
    <w:lvl w:ilvl="2" w:tplc="DEFCF75C">
      <w:start w:val="1"/>
      <w:numFmt w:val="bullet"/>
      <w:lvlText w:val=""/>
      <w:lvlJc w:val="left"/>
      <w:pPr>
        <w:tabs>
          <w:tab w:val="num" w:pos="2160"/>
        </w:tabs>
        <w:ind w:left="2160" w:hanging="360"/>
      </w:pPr>
      <w:rPr>
        <w:rFonts w:ascii="Wingdings" w:hAnsi="Wingdings"/>
      </w:rPr>
    </w:lvl>
    <w:lvl w:ilvl="3" w:tplc="4470F6CC">
      <w:start w:val="1"/>
      <w:numFmt w:val="bullet"/>
      <w:lvlText w:val=""/>
      <w:lvlJc w:val="left"/>
      <w:pPr>
        <w:tabs>
          <w:tab w:val="num" w:pos="2880"/>
        </w:tabs>
        <w:ind w:left="2880" w:hanging="360"/>
      </w:pPr>
      <w:rPr>
        <w:rFonts w:ascii="Symbol" w:hAnsi="Symbol"/>
      </w:rPr>
    </w:lvl>
    <w:lvl w:ilvl="4" w:tplc="79AA13D0">
      <w:start w:val="1"/>
      <w:numFmt w:val="bullet"/>
      <w:lvlText w:val="o"/>
      <w:lvlJc w:val="left"/>
      <w:pPr>
        <w:tabs>
          <w:tab w:val="num" w:pos="3600"/>
        </w:tabs>
        <w:ind w:left="3600" w:hanging="360"/>
      </w:pPr>
      <w:rPr>
        <w:rFonts w:ascii="Courier New" w:hAnsi="Courier New"/>
      </w:rPr>
    </w:lvl>
    <w:lvl w:ilvl="5" w:tplc="54FA6A7C">
      <w:start w:val="1"/>
      <w:numFmt w:val="bullet"/>
      <w:lvlText w:val=""/>
      <w:lvlJc w:val="left"/>
      <w:pPr>
        <w:tabs>
          <w:tab w:val="num" w:pos="4320"/>
        </w:tabs>
        <w:ind w:left="4320" w:hanging="360"/>
      </w:pPr>
      <w:rPr>
        <w:rFonts w:ascii="Wingdings" w:hAnsi="Wingdings"/>
      </w:rPr>
    </w:lvl>
    <w:lvl w:ilvl="6" w:tplc="888CDD78">
      <w:start w:val="1"/>
      <w:numFmt w:val="bullet"/>
      <w:lvlText w:val=""/>
      <w:lvlJc w:val="left"/>
      <w:pPr>
        <w:tabs>
          <w:tab w:val="num" w:pos="5040"/>
        </w:tabs>
        <w:ind w:left="5040" w:hanging="360"/>
      </w:pPr>
      <w:rPr>
        <w:rFonts w:ascii="Symbol" w:hAnsi="Symbol"/>
      </w:rPr>
    </w:lvl>
    <w:lvl w:ilvl="7" w:tplc="FD6E2E46">
      <w:start w:val="1"/>
      <w:numFmt w:val="bullet"/>
      <w:lvlText w:val="o"/>
      <w:lvlJc w:val="left"/>
      <w:pPr>
        <w:tabs>
          <w:tab w:val="num" w:pos="5760"/>
        </w:tabs>
        <w:ind w:left="5760" w:hanging="360"/>
      </w:pPr>
      <w:rPr>
        <w:rFonts w:ascii="Courier New" w:hAnsi="Courier New"/>
      </w:rPr>
    </w:lvl>
    <w:lvl w:ilvl="8" w:tplc="99302B70">
      <w:start w:val="1"/>
      <w:numFmt w:val="bullet"/>
      <w:lvlText w:val=""/>
      <w:lvlJc w:val="left"/>
      <w:pPr>
        <w:tabs>
          <w:tab w:val="num" w:pos="6480"/>
        </w:tabs>
        <w:ind w:left="6480" w:hanging="360"/>
      </w:pPr>
      <w:rPr>
        <w:rFonts w:ascii="Wingdings" w:hAnsi="Wingdings"/>
      </w:rPr>
    </w:lvl>
  </w:abstractNum>
  <w:abstractNum w:abstractNumId="786" w15:restartNumberingAfterBreak="0">
    <w:nsid w:val="722307D4"/>
    <w:multiLevelType w:val="hybridMultilevel"/>
    <w:tmpl w:val="722307D4"/>
    <w:lvl w:ilvl="0" w:tplc="5C9681F6">
      <w:start w:val="1"/>
      <w:numFmt w:val="bullet"/>
      <w:lvlText w:val=""/>
      <w:lvlJc w:val="left"/>
      <w:pPr>
        <w:ind w:left="720" w:hanging="360"/>
      </w:pPr>
      <w:rPr>
        <w:rFonts w:ascii="Symbol" w:hAnsi="Symbol"/>
      </w:rPr>
    </w:lvl>
    <w:lvl w:ilvl="1" w:tplc="2CA66664">
      <w:start w:val="1"/>
      <w:numFmt w:val="bullet"/>
      <w:lvlText w:val="o"/>
      <w:lvlJc w:val="left"/>
      <w:pPr>
        <w:tabs>
          <w:tab w:val="num" w:pos="1440"/>
        </w:tabs>
        <w:ind w:left="1440" w:hanging="360"/>
      </w:pPr>
      <w:rPr>
        <w:rFonts w:ascii="Courier New" w:hAnsi="Courier New"/>
      </w:rPr>
    </w:lvl>
    <w:lvl w:ilvl="2" w:tplc="973C8886">
      <w:start w:val="1"/>
      <w:numFmt w:val="bullet"/>
      <w:lvlText w:val=""/>
      <w:lvlJc w:val="left"/>
      <w:pPr>
        <w:tabs>
          <w:tab w:val="num" w:pos="2160"/>
        </w:tabs>
        <w:ind w:left="2160" w:hanging="360"/>
      </w:pPr>
      <w:rPr>
        <w:rFonts w:ascii="Wingdings" w:hAnsi="Wingdings"/>
      </w:rPr>
    </w:lvl>
    <w:lvl w:ilvl="3" w:tplc="F370919A">
      <w:start w:val="1"/>
      <w:numFmt w:val="bullet"/>
      <w:lvlText w:val=""/>
      <w:lvlJc w:val="left"/>
      <w:pPr>
        <w:tabs>
          <w:tab w:val="num" w:pos="2880"/>
        </w:tabs>
        <w:ind w:left="2880" w:hanging="360"/>
      </w:pPr>
      <w:rPr>
        <w:rFonts w:ascii="Symbol" w:hAnsi="Symbol"/>
      </w:rPr>
    </w:lvl>
    <w:lvl w:ilvl="4" w:tplc="35F6A240">
      <w:start w:val="1"/>
      <w:numFmt w:val="bullet"/>
      <w:lvlText w:val="o"/>
      <w:lvlJc w:val="left"/>
      <w:pPr>
        <w:tabs>
          <w:tab w:val="num" w:pos="3600"/>
        </w:tabs>
        <w:ind w:left="3600" w:hanging="360"/>
      </w:pPr>
      <w:rPr>
        <w:rFonts w:ascii="Courier New" w:hAnsi="Courier New"/>
      </w:rPr>
    </w:lvl>
    <w:lvl w:ilvl="5" w:tplc="1480E3E8">
      <w:start w:val="1"/>
      <w:numFmt w:val="bullet"/>
      <w:lvlText w:val=""/>
      <w:lvlJc w:val="left"/>
      <w:pPr>
        <w:tabs>
          <w:tab w:val="num" w:pos="4320"/>
        </w:tabs>
        <w:ind w:left="4320" w:hanging="360"/>
      </w:pPr>
      <w:rPr>
        <w:rFonts w:ascii="Wingdings" w:hAnsi="Wingdings"/>
      </w:rPr>
    </w:lvl>
    <w:lvl w:ilvl="6" w:tplc="C97634D8">
      <w:start w:val="1"/>
      <w:numFmt w:val="bullet"/>
      <w:lvlText w:val=""/>
      <w:lvlJc w:val="left"/>
      <w:pPr>
        <w:tabs>
          <w:tab w:val="num" w:pos="5040"/>
        </w:tabs>
        <w:ind w:left="5040" w:hanging="360"/>
      </w:pPr>
      <w:rPr>
        <w:rFonts w:ascii="Symbol" w:hAnsi="Symbol"/>
      </w:rPr>
    </w:lvl>
    <w:lvl w:ilvl="7" w:tplc="A358D3A6">
      <w:start w:val="1"/>
      <w:numFmt w:val="bullet"/>
      <w:lvlText w:val="o"/>
      <w:lvlJc w:val="left"/>
      <w:pPr>
        <w:tabs>
          <w:tab w:val="num" w:pos="5760"/>
        </w:tabs>
        <w:ind w:left="5760" w:hanging="360"/>
      </w:pPr>
      <w:rPr>
        <w:rFonts w:ascii="Courier New" w:hAnsi="Courier New"/>
      </w:rPr>
    </w:lvl>
    <w:lvl w:ilvl="8" w:tplc="185E2BA2">
      <w:start w:val="1"/>
      <w:numFmt w:val="bullet"/>
      <w:lvlText w:val=""/>
      <w:lvlJc w:val="left"/>
      <w:pPr>
        <w:tabs>
          <w:tab w:val="num" w:pos="6480"/>
        </w:tabs>
        <w:ind w:left="6480" w:hanging="360"/>
      </w:pPr>
      <w:rPr>
        <w:rFonts w:ascii="Wingdings" w:hAnsi="Wingdings"/>
      </w:rPr>
    </w:lvl>
  </w:abstractNum>
  <w:abstractNum w:abstractNumId="787" w15:restartNumberingAfterBreak="0">
    <w:nsid w:val="722307D5"/>
    <w:multiLevelType w:val="hybridMultilevel"/>
    <w:tmpl w:val="722307D5"/>
    <w:lvl w:ilvl="0" w:tplc="77B2780C">
      <w:start w:val="1"/>
      <w:numFmt w:val="bullet"/>
      <w:lvlText w:val=""/>
      <w:lvlJc w:val="left"/>
      <w:pPr>
        <w:ind w:left="720" w:hanging="360"/>
      </w:pPr>
      <w:rPr>
        <w:rFonts w:ascii="Symbol" w:hAnsi="Symbol"/>
      </w:rPr>
    </w:lvl>
    <w:lvl w:ilvl="1" w:tplc="F4D88392">
      <w:start w:val="1"/>
      <w:numFmt w:val="bullet"/>
      <w:lvlText w:val="o"/>
      <w:lvlJc w:val="left"/>
      <w:pPr>
        <w:tabs>
          <w:tab w:val="num" w:pos="1440"/>
        </w:tabs>
        <w:ind w:left="1440" w:hanging="360"/>
      </w:pPr>
      <w:rPr>
        <w:rFonts w:ascii="Courier New" w:hAnsi="Courier New"/>
      </w:rPr>
    </w:lvl>
    <w:lvl w:ilvl="2" w:tplc="220C6BDC">
      <w:start w:val="1"/>
      <w:numFmt w:val="bullet"/>
      <w:lvlText w:val=""/>
      <w:lvlJc w:val="left"/>
      <w:pPr>
        <w:tabs>
          <w:tab w:val="num" w:pos="2160"/>
        </w:tabs>
        <w:ind w:left="2160" w:hanging="360"/>
      </w:pPr>
      <w:rPr>
        <w:rFonts w:ascii="Wingdings" w:hAnsi="Wingdings"/>
      </w:rPr>
    </w:lvl>
    <w:lvl w:ilvl="3" w:tplc="3EE2BB24">
      <w:start w:val="1"/>
      <w:numFmt w:val="bullet"/>
      <w:lvlText w:val=""/>
      <w:lvlJc w:val="left"/>
      <w:pPr>
        <w:tabs>
          <w:tab w:val="num" w:pos="2880"/>
        </w:tabs>
        <w:ind w:left="2880" w:hanging="360"/>
      </w:pPr>
      <w:rPr>
        <w:rFonts w:ascii="Symbol" w:hAnsi="Symbol"/>
      </w:rPr>
    </w:lvl>
    <w:lvl w:ilvl="4" w:tplc="029A3C40">
      <w:start w:val="1"/>
      <w:numFmt w:val="bullet"/>
      <w:lvlText w:val="o"/>
      <w:lvlJc w:val="left"/>
      <w:pPr>
        <w:tabs>
          <w:tab w:val="num" w:pos="3600"/>
        </w:tabs>
        <w:ind w:left="3600" w:hanging="360"/>
      </w:pPr>
      <w:rPr>
        <w:rFonts w:ascii="Courier New" w:hAnsi="Courier New"/>
      </w:rPr>
    </w:lvl>
    <w:lvl w:ilvl="5" w:tplc="C7E402AA">
      <w:start w:val="1"/>
      <w:numFmt w:val="bullet"/>
      <w:lvlText w:val=""/>
      <w:lvlJc w:val="left"/>
      <w:pPr>
        <w:tabs>
          <w:tab w:val="num" w:pos="4320"/>
        </w:tabs>
        <w:ind w:left="4320" w:hanging="360"/>
      </w:pPr>
      <w:rPr>
        <w:rFonts w:ascii="Wingdings" w:hAnsi="Wingdings"/>
      </w:rPr>
    </w:lvl>
    <w:lvl w:ilvl="6" w:tplc="8C925484">
      <w:start w:val="1"/>
      <w:numFmt w:val="bullet"/>
      <w:lvlText w:val=""/>
      <w:lvlJc w:val="left"/>
      <w:pPr>
        <w:tabs>
          <w:tab w:val="num" w:pos="5040"/>
        </w:tabs>
        <w:ind w:left="5040" w:hanging="360"/>
      </w:pPr>
      <w:rPr>
        <w:rFonts w:ascii="Symbol" w:hAnsi="Symbol"/>
      </w:rPr>
    </w:lvl>
    <w:lvl w:ilvl="7" w:tplc="B7C241B0">
      <w:start w:val="1"/>
      <w:numFmt w:val="bullet"/>
      <w:lvlText w:val="o"/>
      <w:lvlJc w:val="left"/>
      <w:pPr>
        <w:tabs>
          <w:tab w:val="num" w:pos="5760"/>
        </w:tabs>
        <w:ind w:left="5760" w:hanging="360"/>
      </w:pPr>
      <w:rPr>
        <w:rFonts w:ascii="Courier New" w:hAnsi="Courier New"/>
      </w:rPr>
    </w:lvl>
    <w:lvl w:ilvl="8" w:tplc="6F302382">
      <w:start w:val="1"/>
      <w:numFmt w:val="bullet"/>
      <w:lvlText w:val=""/>
      <w:lvlJc w:val="left"/>
      <w:pPr>
        <w:tabs>
          <w:tab w:val="num" w:pos="6480"/>
        </w:tabs>
        <w:ind w:left="6480" w:hanging="360"/>
      </w:pPr>
      <w:rPr>
        <w:rFonts w:ascii="Wingdings" w:hAnsi="Wingdings"/>
      </w:rPr>
    </w:lvl>
  </w:abstractNum>
  <w:abstractNum w:abstractNumId="788" w15:restartNumberingAfterBreak="0">
    <w:nsid w:val="722307D6"/>
    <w:multiLevelType w:val="hybridMultilevel"/>
    <w:tmpl w:val="722307D6"/>
    <w:lvl w:ilvl="0" w:tplc="BBF4EEF4">
      <w:start w:val="1"/>
      <w:numFmt w:val="bullet"/>
      <w:lvlText w:val=""/>
      <w:lvlJc w:val="left"/>
      <w:pPr>
        <w:ind w:left="720" w:hanging="360"/>
      </w:pPr>
      <w:rPr>
        <w:rFonts w:ascii="Symbol" w:hAnsi="Symbol"/>
      </w:rPr>
    </w:lvl>
    <w:lvl w:ilvl="1" w:tplc="9E34C38E">
      <w:start w:val="1"/>
      <w:numFmt w:val="bullet"/>
      <w:lvlText w:val="o"/>
      <w:lvlJc w:val="left"/>
      <w:pPr>
        <w:tabs>
          <w:tab w:val="num" w:pos="1440"/>
        </w:tabs>
        <w:ind w:left="1440" w:hanging="360"/>
      </w:pPr>
      <w:rPr>
        <w:rFonts w:ascii="Courier New" w:hAnsi="Courier New"/>
      </w:rPr>
    </w:lvl>
    <w:lvl w:ilvl="2" w:tplc="D080535A">
      <w:start w:val="1"/>
      <w:numFmt w:val="bullet"/>
      <w:lvlText w:val=""/>
      <w:lvlJc w:val="left"/>
      <w:pPr>
        <w:tabs>
          <w:tab w:val="num" w:pos="2160"/>
        </w:tabs>
        <w:ind w:left="2160" w:hanging="360"/>
      </w:pPr>
      <w:rPr>
        <w:rFonts w:ascii="Wingdings" w:hAnsi="Wingdings"/>
      </w:rPr>
    </w:lvl>
    <w:lvl w:ilvl="3" w:tplc="02A8490C">
      <w:start w:val="1"/>
      <w:numFmt w:val="bullet"/>
      <w:lvlText w:val=""/>
      <w:lvlJc w:val="left"/>
      <w:pPr>
        <w:tabs>
          <w:tab w:val="num" w:pos="2880"/>
        </w:tabs>
        <w:ind w:left="2880" w:hanging="360"/>
      </w:pPr>
      <w:rPr>
        <w:rFonts w:ascii="Symbol" w:hAnsi="Symbol"/>
      </w:rPr>
    </w:lvl>
    <w:lvl w:ilvl="4" w:tplc="D794F13C">
      <w:start w:val="1"/>
      <w:numFmt w:val="bullet"/>
      <w:lvlText w:val="o"/>
      <w:lvlJc w:val="left"/>
      <w:pPr>
        <w:tabs>
          <w:tab w:val="num" w:pos="3600"/>
        </w:tabs>
        <w:ind w:left="3600" w:hanging="360"/>
      </w:pPr>
      <w:rPr>
        <w:rFonts w:ascii="Courier New" w:hAnsi="Courier New"/>
      </w:rPr>
    </w:lvl>
    <w:lvl w:ilvl="5" w:tplc="17707736">
      <w:start w:val="1"/>
      <w:numFmt w:val="bullet"/>
      <w:lvlText w:val=""/>
      <w:lvlJc w:val="left"/>
      <w:pPr>
        <w:tabs>
          <w:tab w:val="num" w:pos="4320"/>
        </w:tabs>
        <w:ind w:left="4320" w:hanging="360"/>
      </w:pPr>
      <w:rPr>
        <w:rFonts w:ascii="Wingdings" w:hAnsi="Wingdings"/>
      </w:rPr>
    </w:lvl>
    <w:lvl w:ilvl="6" w:tplc="F05CC3CE">
      <w:start w:val="1"/>
      <w:numFmt w:val="bullet"/>
      <w:lvlText w:val=""/>
      <w:lvlJc w:val="left"/>
      <w:pPr>
        <w:tabs>
          <w:tab w:val="num" w:pos="5040"/>
        </w:tabs>
        <w:ind w:left="5040" w:hanging="360"/>
      </w:pPr>
      <w:rPr>
        <w:rFonts w:ascii="Symbol" w:hAnsi="Symbol"/>
      </w:rPr>
    </w:lvl>
    <w:lvl w:ilvl="7" w:tplc="668C88E6">
      <w:start w:val="1"/>
      <w:numFmt w:val="bullet"/>
      <w:lvlText w:val="o"/>
      <w:lvlJc w:val="left"/>
      <w:pPr>
        <w:tabs>
          <w:tab w:val="num" w:pos="5760"/>
        </w:tabs>
        <w:ind w:left="5760" w:hanging="360"/>
      </w:pPr>
      <w:rPr>
        <w:rFonts w:ascii="Courier New" w:hAnsi="Courier New"/>
      </w:rPr>
    </w:lvl>
    <w:lvl w:ilvl="8" w:tplc="701A35AE">
      <w:start w:val="1"/>
      <w:numFmt w:val="bullet"/>
      <w:lvlText w:val=""/>
      <w:lvlJc w:val="left"/>
      <w:pPr>
        <w:tabs>
          <w:tab w:val="num" w:pos="6480"/>
        </w:tabs>
        <w:ind w:left="6480" w:hanging="360"/>
      </w:pPr>
      <w:rPr>
        <w:rFonts w:ascii="Wingdings" w:hAnsi="Wingdings"/>
      </w:rPr>
    </w:lvl>
  </w:abstractNum>
  <w:abstractNum w:abstractNumId="789" w15:restartNumberingAfterBreak="0">
    <w:nsid w:val="722307D7"/>
    <w:multiLevelType w:val="hybridMultilevel"/>
    <w:tmpl w:val="722307D7"/>
    <w:lvl w:ilvl="0" w:tplc="3FA889FA">
      <w:start w:val="1"/>
      <w:numFmt w:val="bullet"/>
      <w:lvlText w:val=""/>
      <w:lvlJc w:val="left"/>
      <w:pPr>
        <w:ind w:left="720" w:hanging="360"/>
      </w:pPr>
      <w:rPr>
        <w:rFonts w:ascii="Symbol" w:hAnsi="Symbol"/>
      </w:rPr>
    </w:lvl>
    <w:lvl w:ilvl="1" w:tplc="B01A655C">
      <w:start w:val="1"/>
      <w:numFmt w:val="bullet"/>
      <w:lvlText w:val="o"/>
      <w:lvlJc w:val="left"/>
      <w:pPr>
        <w:tabs>
          <w:tab w:val="num" w:pos="1440"/>
        </w:tabs>
        <w:ind w:left="1440" w:hanging="360"/>
      </w:pPr>
      <w:rPr>
        <w:rFonts w:ascii="Courier New" w:hAnsi="Courier New"/>
      </w:rPr>
    </w:lvl>
    <w:lvl w:ilvl="2" w:tplc="D878F06C">
      <w:start w:val="1"/>
      <w:numFmt w:val="bullet"/>
      <w:lvlText w:val=""/>
      <w:lvlJc w:val="left"/>
      <w:pPr>
        <w:tabs>
          <w:tab w:val="num" w:pos="2160"/>
        </w:tabs>
        <w:ind w:left="2160" w:hanging="360"/>
      </w:pPr>
      <w:rPr>
        <w:rFonts w:ascii="Wingdings" w:hAnsi="Wingdings"/>
      </w:rPr>
    </w:lvl>
    <w:lvl w:ilvl="3" w:tplc="25C44D88">
      <w:start w:val="1"/>
      <w:numFmt w:val="bullet"/>
      <w:lvlText w:val=""/>
      <w:lvlJc w:val="left"/>
      <w:pPr>
        <w:tabs>
          <w:tab w:val="num" w:pos="2880"/>
        </w:tabs>
        <w:ind w:left="2880" w:hanging="360"/>
      </w:pPr>
      <w:rPr>
        <w:rFonts w:ascii="Symbol" w:hAnsi="Symbol"/>
      </w:rPr>
    </w:lvl>
    <w:lvl w:ilvl="4" w:tplc="DFF07760">
      <w:start w:val="1"/>
      <w:numFmt w:val="bullet"/>
      <w:lvlText w:val="o"/>
      <w:lvlJc w:val="left"/>
      <w:pPr>
        <w:tabs>
          <w:tab w:val="num" w:pos="3600"/>
        </w:tabs>
        <w:ind w:left="3600" w:hanging="360"/>
      </w:pPr>
      <w:rPr>
        <w:rFonts w:ascii="Courier New" w:hAnsi="Courier New"/>
      </w:rPr>
    </w:lvl>
    <w:lvl w:ilvl="5" w:tplc="42C62BC2">
      <w:start w:val="1"/>
      <w:numFmt w:val="bullet"/>
      <w:lvlText w:val=""/>
      <w:lvlJc w:val="left"/>
      <w:pPr>
        <w:tabs>
          <w:tab w:val="num" w:pos="4320"/>
        </w:tabs>
        <w:ind w:left="4320" w:hanging="360"/>
      </w:pPr>
      <w:rPr>
        <w:rFonts w:ascii="Wingdings" w:hAnsi="Wingdings"/>
      </w:rPr>
    </w:lvl>
    <w:lvl w:ilvl="6" w:tplc="3494928A">
      <w:start w:val="1"/>
      <w:numFmt w:val="bullet"/>
      <w:lvlText w:val=""/>
      <w:lvlJc w:val="left"/>
      <w:pPr>
        <w:tabs>
          <w:tab w:val="num" w:pos="5040"/>
        </w:tabs>
        <w:ind w:left="5040" w:hanging="360"/>
      </w:pPr>
      <w:rPr>
        <w:rFonts w:ascii="Symbol" w:hAnsi="Symbol"/>
      </w:rPr>
    </w:lvl>
    <w:lvl w:ilvl="7" w:tplc="6316A2FA">
      <w:start w:val="1"/>
      <w:numFmt w:val="bullet"/>
      <w:lvlText w:val="o"/>
      <w:lvlJc w:val="left"/>
      <w:pPr>
        <w:tabs>
          <w:tab w:val="num" w:pos="5760"/>
        </w:tabs>
        <w:ind w:left="5760" w:hanging="360"/>
      </w:pPr>
      <w:rPr>
        <w:rFonts w:ascii="Courier New" w:hAnsi="Courier New"/>
      </w:rPr>
    </w:lvl>
    <w:lvl w:ilvl="8" w:tplc="BD482BFC">
      <w:start w:val="1"/>
      <w:numFmt w:val="bullet"/>
      <w:lvlText w:val=""/>
      <w:lvlJc w:val="left"/>
      <w:pPr>
        <w:tabs>
          <w:tab w:val="num" w:pos="6480"/>
        </w:tabs>
        <w:ind w:left="6480" w:hanging="360"/>
      </w:pPr>
      <w:rPr>
        <w:rFonts w:ascii="Wingdings" w:hAnsi="Wingdings"/>
      </w:rPr>
    </w:lvl>
  </w:abstractNum>
  <w:abstractNum w:abstractNumId="790" w15:restartNumberingAfterBreak="0">
    <w:nsid w:val="722307D8"/>
    <w:multiLevelType w:val="hybridMultilevel"/>
    <w:tmpl w:val="722307D8"/>
    <w:lvl w:ilvl="0" w:tplc="3CCCA906">
      <w:start w:val="1"/>
      <w:numFmt w:val="bullet"/>
      <w:lvlText w:val=""/>
      <w:lvlJc w:val="left"/>
      <w:pPr>
        <w:ind w:left="720" w:hanging="360"/>
      </w:pPr>
      <w:rPr>
        <w:rFonts w:ascii="Symbol" w:hAnsi="Symbol"/>
      </w:rPr>
    </w:lvl>
    <w:lvl w:ilvl="1" w:tplc="B4CC7B06">
      <w:start w:val="1"/>
      <w:numFmt w:val="bullet"/>
      <w:lvlText w:val="o"/>
      <w:lvlJc w:val="left"/>
      <w:pPr>
        <w:tabs>
          <w:tab w:val="num" w:pos="1440"/>
        </w:tabs>
        <w:ind w:left="1440" w:hanging="360"/>
      </w:pPr>
      <w:rPr>
        <w:rFonts w:ascii="Courier New" w:hAnsi="Courier New"/>
      </w:rPr>
    </w:lvl>
    <w:lvl w:ilvl="2" w:tplc="34E6CCD0">
      <w:start w:val="1"/>
      <w:numFmt w:val="bullet"/>
      <w:lvlText w:val=""/>
      <w:lvlJc w:val="left"/>
      <w:pPr>
        <w:tabs>
          <w:tab w:val="num" w:pos="2160"/>
        </w:tabs>
        <w:ind w:left="2160" w:hanging="360"/>
      </w:pPr>
      <w:rPr>
        <w:rFonts w:ascii="Wingdings" w:hAnsi="Wingdings"/>
      </w:rPr>
    </w:lvl>
    <w:lvl w:ilvl="3" w:tplc="CE508A94">
      <w:start w:val="1"/>
      <w:numFmt w:val="bullet"/>
      <w:lvlText w:val=""/>
      <w:lvlJc w:val="left"/>
      <w:pPr>
        <w:tabs>
          <w:tab w:val="num" w:pos="2880"/>
        </w:tabs>
        <w:ind w:left="2880" w:hanging="360"/>
      </w:pPr>
      <w:rPr>
        <w:rFonts w:ascii="Symbol" w:hAnsi="Symbol"/>
      </w:rPr>
    </w:lvl>
    <w:lvl w:ilvl="4" w:tplc="F9143334">
      <w:start w:val="1"/>
      <w:numFmt w:val="bullet"/>
      <w:lvlText w:val="o"/>
      <w:lvlJc w:val="left"/>
      <w:pPr>
        <w:tabs>
          <w:tab w:val="num" w:pos="3600"/>
        </w:tabs>
        <w:ind w:left="3600" w:hanging="360"/>
      </w:pPr>
      <w:rPr>
        <w:rFonts w:ascii="Courier New" w:hAnsi="Courier New"/>
      </w:rPr>
    </w:lvl>
    <w:lvl w:ilvl="5" w:tplc="9D9A9B7C">
      <w:start w:val="1"/>
      <w:numFmt w:val="bullet"/>
      <w:lvlText w:val=""/>
      <w:lvlJc w:val="left"/>
      <w:pPr>
        <w:tabs>
          <w:tab w:val="num" w:pos="4320"/>
        </w:tabs>
        <w:ind w:left="4320" w:hanging="360"/>
      </w:pPr>
      <w:rPr>
        <w:rFonts w:ascii="Wingdings" w:hAnsi="Wingdings"/>
      </w:rPr>
    </w:lvl>
    <w:lvl w:ilvl="6" w:tplc="8408A426">
      <w:start w:val="1"/>
      <w:numFmt w:val="bullet"/>
      <w:lvlText w:val=""/>
      <w:lvlJc w:val="left"/>
      <w:pPr>
        <w:tabs>
          <w:tab w:val="num" w:pos="5040"/>
        </w:tabs>
        <w:ind w:left="5040" w:hanging="360"/>
      </w:pPr>
      <w:rPr>
        <w:rFonts w:ascii="Symbol" w:hAnsi="Symbol"/>
      </w:rPr>
    </w:lvl>
    <w:lvl w:ilvl="7" w:tplc="BCF467FC">
      <w:start w:val="1"/>
      <w:numFmt w:val="bullet"/>
      <w:lvlText w:val="o"/>
      <w:lvlJc w:val="left"/>
      <w:pPr>
        <w:tabs>
          <w:tab w:val="num" w:pos="5760"/>
        </w:tabs>
        <w:ind w:left="5760" w:hanging="360"/>
      </w:pPr>
      <w:rPr>
        <w:rFonts w:ascii="Courier New" w:hAnsi="Courier New"/>
      </w:rPr>
    </w:lvl>
    <w:lvl w:ilvl="8" w:tplc="B5D40EB8">
      <w:start w:val="1"/>
      <w:numFmt w:val="bullet"/>
      <w:lvlText w:val=""/>
      <w:lvlJc w:val="left"/>
      <w:pPr>
        <w:tabs>
          <w:tab w:val="num" w:pos="6480"/>
        </w:tabs>
        <w:ind w:left="6480" w:hanging="360"/>
      </w:pPr>
      <w:rPr>
        <w:rFonts w:ascii="Wingdings" w:hAnsi="Wingdings"/>
      </w:rPr>
    </w:lvl>
  </w:abstractNum>
  <w:abstractNum w:abstractNumId="791" w15:restartNumberingAfterBreak="0">
    <w:nsid w:val="722307D9"/>
    <w:multiLevelType w:val="hybridMultilevel"/>
    <w:tmpl w:val="722307D9"/>
    <w:lvl w:ilvl="0" w:tplc="6BA04C8C">
      <w:start w:val="1"/>
      <w:numFmt w:val="bullet"/>
      <w:lvlText w:val=""/>
      <w:lvlJc w:val="left"/>
      <w:pPr>
        <w:tabs>
          <w:tab w:val="num" w:pos="720"/>
        </w:tabs>
        <w:ind w:left="720" w:hanging="360"/>
      </w:pPr>
      <w:rPr>
        <w:rFonts w:ascii="Symbol" w:hAnsi="Symbol"/>
      </w:rPr>
    </w:lvl>
    <w:lvl w:ilvl="1" w:tplc="FF560A64">
      <w:start w:val="1"/>
      <w:numFmt w:val="bullet"/>
      <w:lvlText w:val="o"/>
      <w:lvlJc w:val="left"/>
      <w:pPr>
        <w:tabs>
          <w:tab w:val="num" w:pos="1440"/>
        </w:tabs>
        <w:ind w:left="1440" w:hanging="360"/>
      </w:pPr>
      <w:rPr>
        <w:rFonts w:ascii="Courier New" w:hAnsi="Courier New"/>
      </w:rPr>
    </w:lvl>
    <w:lvl w:ilvl="2" w:tplc="057A7152">
      <w:start w:val="1"/>
      <w:numFmt w:val="bullet"/>
      <w:lvlText w:val=""/>
      <w:lvlJc w:val="left"/>
      <w:pPr>
        <w:tabs>
          <w:tab w:val="num" w:pos="2160"/>
        </w:tabs>
        <w:ind w:left="2160" w:hanging="360"/>
      </w:pPr>
      <w:rPr>
        <w:rFonts w:ascii="Wingdings" w:hAnsi="Wingdings"/>
      </w:rPr>
    </w:lvl>
    <w:lvl w:ilvl="3" w:tplc="B734FDD0">
      <w:start w:val="1"/>
      <w:numFmt w:val="bullet"/>
      <w:lvlText w:val=""/>
      <w:lvlJc w:val="left"/>
      <w:pPr>
        <w:tabs>
          <w:tab w:val="num" w:pos="2880"/>
        </w:tabs>
        <w:ind w:left="2880" w:hanging="360"/>
      </w:pPr>
      <w:rPr>
        <w:rFonts w:ascii="Symbol" w:hAnsi="Symbol"/>
      </w:rPr>
    </w:lvl>
    <w:lvl w:ilvl="4" w:tplc="9A927876">
      <w:start w:val="1"/>
      <w:numFmt w:val="bullet"/>
      <w:lvlText w:val="o"/>
      <w:lvlJc w:val="left"/>
      <w:pPr>
        <w:tabs>
          <w:tab w:val="num" w:pos="3600"/>
        </w:tabs>
        <w:ind w:left="3600" w:hanging="360"/>
      </w:pPr>
      <w:rPr>
        <w:rFonts w:ascii="Courier New" w:hAnsi="Courier New"/>
      </w:rPr>
    </w:lvl>
    <w:lvl w:ilvl="5" w:tplc="B6D0FABC">
      <w:start w:val="1"/>
      <w:numFmt w:val="bullet"/>
      <w:lvlText w:val=""/>
      <w:lvlJc w:val="left"/>
      <w:pPr>
        <w:tabs>
          <w:tab w:val="num" w:pos="4320"/>
        </w:tabs>
        <w:ind w:left="4320" w:hanging="360"/>
      </w:pPr>
      <w:rPr>
        <w:rFonts w:ascii="Wingdings" w:hAnsi="Wingdings"/>
      </w:rPr>
    </w:lvl>
    <w:lvl w:ilvl="6" w:tplc="90741D02">
      <w:start w:val="1"/>
      <w:numFmt w:val="bullet"/>
      <w:lvlText w:val=""/>
      <w:lvlJc w:val="left"/>
      <w:pPr>
        <w:tabs>
          <w:tab w:val="num" w:pos="5040"/>
        </w:tabs>
        <w:ind w:left="5040" w:hanging="360"/>
      </w:pPr>
      <w:rPr>
        <w:rFonts w:ascii="Symbol" w:hAnsi="Symbol"/>
      </w:rPr>
    </w:lvl>
    <w:lvl w:ilvl="7" w:tplc="2A5C925A">
      <w:start w:val="1"/>
      <w:numFmt w:val="bullet"/>
      <w:lvlText w:val="o"/>
      <w:lvlJc w:val="left"/>
      <w:pPr>
        <w:tabs>
          <w:tab w:val="num" w:pos="5760"/>
        </w:tabs>
        <w:ind w:left="5760" w:hanging="360"/>
      </w:pPr>
      <w:rPr>
        <w:rFonts w:ascii="Courier New" w:hAnsi="Courier New"/>
      </w:rPr>
    </w:lvl>
    <w:lvl w:ilvl="8" w:tplc="F4C84272">
      <w:start w:val="1"/>
      <w:numFmt w:val="bullet"/>
      <w:lvlText w:val=""/>
      <w:lvlJc w:val="left"/>
      <w:pPr>
        <w:tabs>
          <w:tab w:val="num" w:pos="6480"/>
        </w:tabs>
        <w:ind w:left="6480" w:hanging="360"/>
      </w:pPr>
      <w:rPr>
        <w:rFonts w:ascii="Wingdings" w:hAnsi="Wingdings"/>
      </w:rPr>
    </w:lvl>
  </w:abstractNum>
  <w:abstractNum w:abstractNumId="792" w15:restartNumberingAfterBreak="0">
    <w:nsid w:val="722307DA"/>
    <w:multiLevelType w:val="hybridMultilevel"/>
    <w:tmpl w:val="722307DA"/>
    <w:lvl w:ilvl="0" w:tplc="62B08326">
      <w:start w:val="1"/>
      <w:numFmt w:val="bullet"/>
      <w:lvlText w:val=""/>
      <w:lvlJc w:val="left"/>
      <w:pPr>
        <w:ind w:left="720" w:hanging="360"/>
      </w:pPr>
      <w:rPr>
        <w:rFonts w:ascii="Symbol" w:hAnsi="Symbol"/>
      </w:rPr>
    </w:lvl>
    <w:lvl w:ilvl="1" w:tplc="C0585FCE">
      <w:start w:val="1"/>
      <w:numFmt w:val="bullet"/>
      <w:lvlText w:val="o"/>
      <w:lvlJc w:val="left"/>
      <w:pPr>
        <w:tabs>
          <w:tab w:val="num" w:pos="1440"/>
        </w:tabs>
        <w:ind w:left="1440" w:hanging="360"/>
      </w:pPr>
      <w:rPr>
        <w:rFonts w:ascii="Courier New" w:hAnsi="Courier New"/>
      </w:rPr>
    </w:lvl>
    <w:lvl w:ilvl="2" w:tplc="D1A439D0">
      <w:start w:val="1"/>
      <w:numFmt w:val="bullet"/>
      <w:lvlText w:val=""/>
      <w:lvlJc w:val="left"/>
      <w:pPr>
        <w:tabs>
          <w:tab w:val="num" w:pos="2160"/>
        </w:tabs>
        <w:ind w:left="2160" w:hanging="360"/>
      </w:pPr>
      <w:rPr>
        <w:rFonts w:ascii="Wingdings" w:hAnsi="Wingdings"/>
      </w:rPr>
    </w:lvl>
    <w:lvl w:ilvl="3" w:tplc="43A80854">
      <w:start w:val="1"/>
      <w:numFmt w:val="bullet"/>
      <w:lvlText w:val=""/>
      <w:lvlJc w:val="left"/>
      <w:pPr>
        <w:tabs>
          <w:tab w:val="num" w:pos="2880"/>
        </w:tabs>
        <w:ind w:left="2880" w:hanging="360"/>
      </w:pPr>
      <w:rPr>
        <w:rFonts w:ascii="Symbol" w:hAnsi="Symbol"/>
      </w:rPr>
    </w:lvl>
    <w:lvl w:ilvl="4" w:tplc="EBFA9C2A">
      <w:start w:val="1"/>
      <w:numFmt w:val="bullet"/>
      <w:lvlText w:val="o"/>
      <w:lvlJc w:val="left"/>
      <w:pPr>
        <w:tabs>
          <w:tab w:val="num" w:pos="3600"/>
        </w:tabs>
        <w:ind w:left="3600" w:hanging="360"/>
      </w:pPr>
      <w:rPr>
        <w:rFonts w:ascii="Courier New" w:hAnsi="Courier New"/>
      </w:rPr>
    </w:lvl>
    <w:lvl w:ilvl="5" w:tplc="A7588950">
      <w:start w:val="1"/>
      <w:numFmt w:val="bullet"/>
      <w:lvlText w:val=""/>
      <w:lvlJc w:val="left"/>
      <w:pPr>
        <w:tabs>
          <w:tab w:val="num" w:pos="4320"/>
        </w:tabs>
        <w:ind w:left="4320" w:hanging="360"/>
      </w:pPr>
      <w:rPr>
        <w:rFonts w:ascii="Wingdings" w:hAnsi="Wingdings"/>
      </w:rPr>
    </w:lvl>
    <w:lvl w:ilvl="6" w:tplc="68B450A8">
      <w:start w:val="1"/>
      <w:numFmt w:val="bullet"/>
      <w:lvlText w:val=""/>
      <w:lvlJc w:val="left"/>
      <w:pPr>
        <w:tabs>
          <w:tab w:val="num" w:pos="5040"/>
        </w:tabs>
        <w:ind w:left="5040" w:hanging="360"/>
      </w:pPr>
      <w:rPr>
        <w:rFonts w:ascii="Symbol" w:hAnsi="Symbol"/>
      </w:rPr>
    </w:lvl>
    <w:lvl w:ilvl="7" w:tplc="A4921206">
      <w:start w:val="1"/>
      <w:numFmt w:val="bullet"/>
      <w:lvlText w:val="o"/>
      <w:lvlJc w:val="left"/>
      <w:pPr>
        <w:tabs>
          <w:tab w:val="num" w:pos="5760"/>
        </w:tabs>
        <w:ind w:left="5760" w:hanging="360"/>
      </w:pPr>
      <w:rPr>
        <w:rFonts w:ascii="Courier New" w:hAnsi="Courier New"/>
      </w:rPr>
    </w:lvl>
    <w:lvl w:ilvl="8" w:tplc="EF288B48">
      <w:start w:val="1"/>
      <w:numFmt w:val="bullet"/>
      <w:lvlText w:val=""/>
      <w:lvlJc w:val="left"/>
      <w:pPr>
        <w:tabs>
          <w:tab w:val="num" w:pos="6480"/>
        </w:tabs>
        <w:ind w:left="6480" w:hanging="360"/>
      </w:pPr>
      <w:rPr>
        <w:rFonts w:ascii="Wingdings" w:hAnsi="Wingdings"/>
      </w:rPr>
    </w:lvl>
  </w:abstractNum>
  <w:abstractNum w:abstractNumId="793" w15:restartNumberingAfterBreak="0">
    <w:nsid w:val="722307DB"/>
    <w:multiLevelType w:val="hybridMultilevel"/>
    <w:tmpl w:val="722307DB"/>
    <w:lvl w:ilvl="0" w:tplc="5A62DEAE">
      <w:start w:val="1"/>
      <w:numFmt w:val="bullet"/>
      <w:lvlText w:val=""/>
      <w:lvlJc w:val="left"/>
      <w:pPr>
        <w:ind w:left="720" w:hanging="360"/>
      </w:pPr>
      <w:rPr>
        <w:rFonts w:ascii="Symbol" w:hAnsi="Symbol"/>
      </w:rPr>
    </w:lvl>
    <w:lvl w:ilvl="1" w:tplc="4B521ED4">
      <w:start w:val="1"/>
      <w:numFmt w:val="bullet"/>
      <w:lvlText w:val="o"/>
      <w:lvlJc w:val="left"/>
      <w:pPr>
        <w:tabs>
          <w:tab w:val="num" w:pos="1440"/>
        </w:tabs>
        <w:ind w:left="1440" w:hanging="360"/>
      </w:pPr>
      <w:rPr>
        <w:rFonts w:ascii="Courier New" w:hAnsi="Courier New"/>
      </w:rPr>
    </w:lvl>
    <w:lvl w:ilvl="2" w:tplc="26C83BE8">
      <w:start w:val="1"/>
      <w:numFmt w:val="bullet"/>
      <w:lvlText w:val=""/>
      <w:lvlJc w:val="left"/>
      <w:pPr>
        <w:tabs>
          <w:tab w:val="num" w:pos="2160"/>
        </w:tabs>
        <w:ind w:left="2160" w:hanging="360"/>
      </w:pPr>
      <w:rPr>
        <w:rFonts w:ascii="Wingdings" w:hAnsi="Wingdings"/>
      </w:rPr>
    </w:lvl>
    <w:lvl w:ilvl="3" w:tplc="BF12A8DA">
      <w:start w:val="1"/>
      <w:numFmt w:val="bullet"/>
      <w:lvlText w:val=""/>
      <w:lvlJc w:val="left"/>
      <w:pPr>
        <w:tabs>
          <w:tab w:val="num" w:pos="2880"/>
        </w:tabs>
        <w:ind w:left="2880" w:hanging="360"/>
      </w:pPr>
      <w:rPr>
        <w:rFonts w:ascii="Symbol" w:hAnsi="Symbol"/>
      </w:rPr>
    </w:lvl>
    <w:lvl w:ilvl="4" w:tplc="43629B88">
      <w:start w:val="1"/>
      <w:numFmt w:val="bullet"/>
      <w:lvlText w:val="o"/>
      <w:lvlJc w:val="left"/>
      <w:pPr>
        <w:tabs>
          <w:tab w:val="num" w:pos="3600"/>
        </w:tabs>
        <w:ind w:left="3600" w:hanging="360"/>
      </w:pPr>
      <w:rPr>
        <w:rFonts w:ascii="Courier New" w:hAnsi="Courier New"/>
      </w:rPr>
    </w:lvl>
    <w:lvl w:ilvl="5" w:tplc="3EEE9F86">
      <w:start w:val="1"/>
      <w:numFmt w:val="bullet"/>
      <w:lvlText w:val=""/>
      <w:lvlJc w:val="left"/>
      <w:pPr>
        <w:tabs>
          <w:tab w:val="num" w:pos="4320"/>
        </w:tabs>
        <w:ind w:left="4320" w:hanging="360"/>
      </w:pPr>
      <w:rPr>
        <w:rFonts w:ascii="Wingdings" w:hAnsi="Wingdings"/>
      </w:rPr>
    </w:lvl>
    <w:lvl w:ilvl="6" w:tplc="78862DF2">
      <w:start w:val="1"/>
      <w:numFmt w:val="bullet"/>
      <w:lvlText w:val=""/>
      <w:lvlJc w:val="left"/>
      <w:pPr>
        <w:tabs>
          <w:tab w:val="num" w:pos="5040"/>
        </w:tabs>
        <w:ind w:left="5040" w:hanging="360"/>
      </w:pPr>
      <w:rPr>
        <w:rFonts w:ascii="Symbol" w:hAnsi="Symbol"/>
      </w:rPr>
    </w:lvl>
    <w:lvl w:ilvl="7" w:tplc="E7F4056E">
      <w:start w:val="1"/>
      <w:numFmt w:val="bullet"/>
      <w:lvlText w:val="o"/>
      <w:lvlJc w:val="left"/>
      <w:pPr>
        <w:tabs>
          <w:tab w:val="num" w:pos="5760"/>
        </w:tabs>
        <w:ind w:left="5760" w:hanging="360"/>
      </w:pPr>
      <w:rPr>
        <w:rFonts w:ascii="Courier New" w:hAnsi="Courier New"/>
      </w:rPr>
    </w:lvl>
    <w:lvl w:ilvl="8" w:tplc="A4A4D06E">
      <w:start w:val="1"/>
      <w:numFmt w:val="bullet"/>
      <w:lvlText w:val=""/>
      <w:lvlJc w:val="left"/>
      <w:pPr>
        <w:tabs>
          <w:tab w:val="num" w:pos="6480"/>
        </w:tabs>
        <w:ind w:left="6480" w:hanging="360"/>
      </w:pPr>
      <w:rPr>
        <w:rFonts w:ascii="Wingdings" w:hAnsi="Wingdings"/>
      </w:rPr>
    </w:lvl>
  </w:abstractNum>
  <w:abstractNum w:abstractNumId="794" w15:restartNumberingAfterBreak="0">
    <w:nsid w:val="722307DC"/>
    <w:multiLevelType w:val="hybridMultilevel"/>
    <w:tmpl w:val="722307DC"/>
    <w:lvl w:ilvl="0" w:tplc="C91CEDD6">
      <w:start w:val="1"/>
      <w:numFmt w:val="bullet"/>
      <w:lvlText w:val=""/>
      <w:lvlJc w:val="left"/>
      <w:pPr>
        <w:ind w:left="720" w:hanging="360"/>
      </w:pPr>
      <w:rPr>
        <w:rFonts w:ascii="Symbol" w:hAnsi="Symbol"/>
      </w:rPr>
    </w:lvl>
    <w:lvl w:ilvl="1" w:tplc="C88669CE">
      <w:start w:val="1"/>
      <w:numFmt w:val="bullet"/>
      <w:lvlText w:val="o"/>
      <w:lvlJc w:val="left"/>
      <w:pPr>
        <w:tabs>
          <w:tab w:val="num" w:pos="1440"/>
        </w:tabs>
        <w:ind w:left="1440" w:hanging="360"/>
      </w:pPr>
      <w:rPr>
        <w:rFonts w:ascii="Courier New" w:hAnsi="Courier New"/>
      </w:rPr>
    </w:lvl>
    <w:lvl w:ilvl="2" w:tplc="905A5980">
      <w:start w:val="1"/>
      <w:numFmt w:val="bullet"/>
      <w:lvlText w:val=""/>
      <w:lvlJc w:val="left"/>
      <w:pPr>
        <w:tabs>
          <w:tab w:val="num" w:pos="2160"/>
        </w:tabs>
        <w:ind w:left="2160" w:hanging="360"/>
      </w:pPr>
      <w:rPr>
        <w:rFonts w:ascii="Wingdings" w:hAnsi="Wingdings"/>
      </w:rPr>
    </w:lvl>
    <w:lvl w:ilvl="3" w:tplc="0A66439E">
      <w:start w:val="1"/>
      <w:numFmt w:val="bullet"/>
      <w:lvlText w:val=""/>
      <w:lvlJc w:val="left"/>
      <w:pPr>
        <w:tabs>
          <w:tab w:val="num" w:pos="2880"/>
        </w:tabs>
        <w:ind w:left="2880" w:hanging="360"/>
      </w:pPr>
      <w:rPr>
        <w:rFonts w:ascii="Symbol" w:hAnsi="Symbol"/>
      </w:rPr>
    </w:lvl>
    <w:lvl w:ilvl="4" w:tplc="84D68E54">
      <w:start w:val="1"/>
      <w:numFmt w:val="bullet"/>
      <w:lvlText w:val="o"/>
      <w:lvlJc w:val="left"/>
      <w:pPr>
        <w:tabs>
          <w:tab w:val="num" w:pos="3600"/>
        </w:tabs>
        <w:ind w:left="3600" w:hanging="360"/>
      </w:pPr>
      <w:rPr>
        <w:rFonts w:ascii="Courier New" w:hAnsi="Courier New"/>
      </w:rPr>
    </w:lvl>
    <w:lvl w:ilvl="5" w:tplc="B2282C80">
      <w:start w:val="1"/>
      <w:numFmt w:val="bullet"/>
      <w:lvlText w:val=""/>
      <w:lvlJc w:val="left"/>
      <w:pPr>
        <w:tabs>
          <w:tab w:val="num" w:pos="4320"/>
        </w:tabs>
        <w:ind w:left="4320" w:hanging="360"/>
      </w:pPr>
      <w:rPr>
        <w:rFonts w:ascii="Wingdings" w:hAnsi="Wingdings"/>
      </w:rPr>
    </w:lvl>
    <w:lvl w:ilvl="6" w:tplc="7D9663A8">
      <w:start w:val="1"/>
      <w:numFmt w:val="bullet"/>
      <w:lvlText w:val=""/>
      <w:lvlJc w:val="left"/>
      <w:pPr>
        <w:tabs>
          <w:tab w:val="num" w:pos="5040"/>
        </w:tabs>
        <w:ind w:left="5040" w:hanging="360"/>
      </w:pPr>
      <w:rPr>
        <w:rFonts w:ascii="Symbol" w:hAnsi="Symbol"/>
      </w:rPr>
    </w:lvl>
    <w:lvl w:ilvl="7" w:tplc="B0C036EE">
      <w:start w:val="1"/>
      <w:numFmt w:val="bullet"/>
      <w:lvlText w:val="o"/>
      <w:lvlJc w:val="left"/>
      <w:pPr>
        <w:tabs>
          <w:tab w:val="num" w:pos="5760"/>
        </w:tabs>
        <w:ind w:left="5760" w:hanging="360"/>
      </w:pPr>
      <w:rPr>
        <w:rFonts w:ascii="Courier New" w:hAnsi="Courier New"/>
      </w:rPr>
    </w:lvl>
    <w:lvl w:ilvl="8" w:tplc="D9C27D30">
      <w:start w:val="1"/>
      <w:numFmt w:val="bullet"/>
      <w:lvlText w:val=""/>
      <w:lvlJc w:val="left"/>
      <w:pPr>
        <w:tabs>
          <w:tab w:val="num" w:pos="6480"/>
        </w:tabs>
        <w:ind w:left="6480" w:hanging="360"/>
      </w:pPr>
      <w:rPr>
        <w:rFonts w:ascii="Wingdings" w:hAnsi="Wingdings"/>
      </w:rPr>
    </w:lvl>
  </w:abstractNum>
  <w:abstractNum w:abstractNumId="795" w15:restartNumberingAfterBreak="0">
    <w:nsid w:val="722307DD"/>
    <w:multiLevelType w:val="hybridMultilevel"/>
    <w:tmpl w:val="722307DD"/>
    <w:lvl w:ilvl="0" w:tplc="7C88008C">
      <w:start w:val="1"/>
      <w:numFmt w:val="bullet"/>
      <w:lvlText w:val=""/>
      <w:lvlJc w:val="left"/>
      <w:pPr>
        <w:ind w:left="720" w:hanging="360"/>
      </w:pPr>
      <w:rPr>
        <w:rFonts w:ascii="Symbol" w:hAnsi="Symbol"/>
      </w:rPr>
    </w:lvl>
    <w:lvl w:ilvl="1" w:tplc="39501BB2">
      <w:start w:val="1"/>
      <w:numFmt w:val="bullet"/>
      <w:lvlText w:val="o"/>
      <w:lvlJc w:val="left"/>
      <w:pPr>
        <w:tabs>
          <w:tab w:val="num" w:pos="1440"/>
        </w:tabs>
        <w:ind w:left="1440" w:hanging="360"/>
      </w:pPr>
      <w:rPr>
        <w:rFonts w:ascii="Courier New" w:hAnsi="Courier New"/>
      </w:rPr>
    </w:lvl>
    <w:lvl w:ilvl="2" w:tplc="E0E8E5E0">
      <w:start w:val="1"/>
      <w:numFmt w:val="bullet"/>
      <w:lvlText w:val=""/>
      <w:lvlJc w:val="left"/>
      <w:pPr>
        <w:tabs>
          <w:tab w:val="num" w:pos="2160"/>
        </w:tabs>
        <w:ind w:left="2160" w:hanging="360"/>
      </w:pPr>
      <w:rPr>
        <w:rFonts w:ascii="Wingdings" w:hAnsi="Wingdings"/>
      </w:rPr>
    </w:lvl>
    <w:lvl w:ilvl="3" w:tplc="84067FBC">
      <w:start w:val="1"/>
      <w:numFmt w:val="bullet"/>
      <w:lvlText w:val=""/>
      <w:lvlJc w:val="left"/>
      <w:pPr>
        <w:tabs>
          <w:tab w:val="num" w:pos="2880"/>
        </w:tabs>
        <w:ind w:left="2880" w:hanging="360"/>
      </w:pPr>
      <w:rPr>
        <w:rFonts w:ascii="Symbol" w:hAnsi="Symbol"/>
      </w:rPr>
    </w:lvl>
    <w:lvl w:ilvl="4" w:tplc="C8B8C16E">
      <w:start w:val="1"/>
      <w:numFmt w:val="bullet"/>
      <w:lvlText w:val="o"/>
      <w:lvlJc w:val="left"/>
      <w:pPr>
        <w:tabs>
          <w:tab w:val="num" w:pos="3600"/>
        </w:tabs>
        <w:ind w:left="3600" w:hanging="360"/>
      </w:pPr>
      <w:rPr>
        <w:rFonts w:ascii="Courier New" w:hAnsi="Courier New"/>
      </w:rPr>
    </w:lvl>
    <w:lvl w:ilvl="5" w:tplc="441AF7E8">
      <w:start w:val="1"/>
      <w:numFmt w:val="bullet"/>
      <w:lvlText w:val=""/>
      <w:lvlJc w:val="left"/>
      <w:pPr>
        <w:tabs>
          <w:tab w:val="num" w:pos="4320"/>
        </w:tabs>
        <w:ind w:left="4320" w:hanging="360"/>
      </w:pPr>
      <w:rPr>
        <w:rFonts w:ascii="Wingdings" w:hAnsi="Wingdings"/>
      </w:rPr>
    </w:lvl>
    <w:lvl w:ilvl="6" w:tplc="4A844130">
      <w:start w:val="1"/>
      <w:numFmt w:val="bullet"/>
      <w:lvlText w:val=""/>
      <w:lvlJc w:val="left"/>
      <w:pPr>
        <w:tabs>
          <w:tab w:val="num" w:pos="5040"/>
        </w:tabs>
        <w:ind w:left="5040" w:hanging="360"/>
      </w:pPr>
      <w:rPr>
        <w:rFonts w:ascii="Symbol" w:hAnsi="Symbol"/>
      </w:rPr>
    </w:lvl>
    <w:lvl w:ilvl="7" w:tplc="53763538">
      <w:start w:val="1"/>
      <w:numFmt w:val="bullet"/>
      <w:lvlText w:val="o"/>
      <w:lvlJc w:val="left"/>
      <w:pPr>
        <w:tabs>
          <w:tab w:val="num" w:pos="5760"/>
        </w:tabs>
        <w:ind w:left="5760" w:hanging="360"/>
      </w:pPr>
      <w:rPr>
        <w:rFonts w:ascii="Courier New" w:hAnsi="Courier New"/>
      </w:rPr>
    </w:lvl>
    <w:lvl w:ilvl="8" w:tplc="F2DA4494">
      <w:start w:val="1"/>
      <w:numFmt w:val="bullet"/>
      <w:lvlText w:val=""/>
      <w:lvlJc w:val="left"/>
      <w:pPr>
        <w:tabs>
          <w:tab w:val="num" w:pos="6480"/>
        </w:tabs>
        <w:ind w:left="6480" w:hanging="360"/>
      </w:pPr>
      <w:rPr>
        <w:rFonts w:ascii="Wingdings" w:hAnsi="Wingdings"/>
      </w:rPr>
    </w:lvl>
  </w:abstractNum>
  <w:abstractNum w:abstractNumId="796" w15:restartNumberingAfterBreak="0">
    <w:nsid w:val="722307DE"/>
    <w:multiLevelType w:val="hybridMultilevel"/>
    <w:tmpl w:val="722307DE"/>
    <w:lvl w:ilvl="0" w:tplc="6D9215D6">
      <w:start w:val="1"/>
      <w:numFmt w:val="bullet"/>
      <w:lvlText w:val=""/>
      <w:lvlJc w:val="left"/>
      <w:pPr>
        <w:tabs>
          <w:tab w:val="num" w:pos="720"/>
        </w:tabs>
        <w:ind w:left="720" w:hanging="360"/>
      </w:pPr>
      <w:rPr>
        <w:rFonts w:ascii="Symbol" w:hAnsi="Symbol"/>
      </w:rPr>
    </w:lvl>
    <w:lvl w:ilvl="1" w:tplc="302EDF5A">
      <w:start w:val="1"/>
      <w:numFmt w:val="bullet"/>
      <w:lvlText w:val="o"/>
      <w:lvlJc w:val="left"/>
      <w:pPr>
        <w:tabs>
          <w:tab w:val="num" w:pos="1440"/>
        </w:tabs>
        <w:ind w:left="1440" w:hanging="360"/>
      </w:pPr>
      <w:rPr>
        <w:rFonts w:ascii="Courier New" w:hAnsi="Courier New"/>
      </w:rPr>
    </w:lvl>
    <w:lvl w:ilvl="2" w:tplc="0DDAD4BA">
      <w:start w:val="1"/>
      <w:numFmt w:val="bullet"/>
      <w:lvlText w:val=""/>
      <w:lvlJc w:val="left"/>
      <w:pPr>
        <w:tabs>
          <w:tab w:val="num" w:pos="2160"/>
        </w:tabs>
        <w:ind w:left="2160" w:hanging="360"/>
      </w:pPr>
      <w:rPr>
        <w:rFonts w:ascii="Wingdings" w:hAnsi="Wingdings"/>
      </w:rPr>
    </w:lvl>
    <w:lvl w:ilvl="3" w:tplc="5B4C0248">
      <w:start w:val="1"/>
      <w:numFmt w:val="bullet"/>
      <w:lvlText w:val=""/>
      <w:lvlJc w:val="left"/>
      <w:pPr>
        <w:tabs>
          <w:tab w:val="num" w:pos="2880"/>
        </w:tabs>
        <w:ind w:left="2880" w:hanging="360"/>
      </w:pPr>
      <w:rPr>
        <w:rFonts w:ascii="Symbol" w:hAnsi="Symbol"/>
      </w:rPr>
    </w:lvl>
    <w:lvl w:ilvl="4" w:tplc="E938B40E">
      <w:start w:val="1"/>
      <w:numFmt w:val="bullet"/>
      <w:lvlText w:val="o"/>
      <w:lvlJc w:val="left"/>
      <w:pPr>
        <w:tabs>
          <w:tab w:val="num" w:pos="3600"/>
        </w:tabs>
        <w:ind w:left="3600" w:hanging="360"/>
      </w:pPr>
      <w:rPr>
        <w:rFonts w:ascii="Courier New" w:hAnsi="Courier New"/>
      </w:rPr>
    </w:lvl>
    <w:lvl w:ilvl="5" w:tplc="0BEE15B6">
      <w:start w:val="1"/>
      <w:numFmt w:val="bullet"/>
      <w:lvlText w:val=""/>
      <w:lvlJc w:val="left"/>
      <w:pPr>
        <w:tabs>
          <w:tab w:val="num" w:pos="4320"/>
        </w:tabs>
        <w:ind w:left="4320" w:hanging="360"/>
      </w:pPr>
      <w:rPr>
        <w:rFonts w:ascii="Wingdings" w:hAnsi="Wingdings"/>
      </w:rPr>
    </w:lvl>
    <w:lvl w:ilvl="6" w:tplc="354E402C">
      <w:start w:val="1"/>
      <w:numFmt w:val="bullet"/>
      <w:lvlText w:val=""/>
      <w:lvlJc w:val="left"/>
      <w:pPr>
        <w:tabs>
          <w:tab w:val="num" w:pos="5040"/>
        </w:tabs>
        <w:ind w:left="5040" w:hanging="360"/>
      </w:pPr>
      <w:rPr>
        <w:rFonts w:ascii="Symbol" w:hAnsi="Symbol"/>
      </w:rPr>
    </w:lvl>
    <w:lvl w:ilvl="7" w:tplc="5F9EBEEA">
      <w:start w:val="1"/>
      <w:numFmt w:val="bullet"/>
      <w:lvlText w:val="o"/>
      <w:lvlJc w:val="left"/>
      <w:pPr>
        <w:tabs>
          <w:tab w:val="num" w:pos="5760"/>
        </w:tabs>
        <w:ind w:left="5760" w:hanging="360"/>
      </w:pPr>
      <w:rPr>
        <w:rFonts w:ascii="Courier New" w:hAnsi="Courier New"/>
      </w:rPr>
    </w:lvl>
    <w:lvl w:ilvl="8" w:tplc="A450223C">
      <w:start w:val="1"/>
      <w:numFmt w:val="bullet"/>
      <w:lvlText w:val=""/>
      <w:lvlJc w:val="left"/>
      <w:pPr>
        <w:tabs>
          <w:tab w:val="num" w:pos="6480"/>
        </w:tabs>
        <w:ind w:left="6480" w:hanging="360"/>
      </w:pPr>
      <w:rPr>
        <w:rFonts w:ascii="Wingdings" w:hAnsi="Wingdings"/>
      </w:rPr>
    </w:lvl>
  </w:abstractNum>
  <w:abstractNum w:abstractNumId="797" w15:restartNumberingAfterBreak="0">
    <w:nsid w:val="722307DF"/>
    <w:multiLevelType w:val="hybridMultilevel"/>
    <w:tmpl w:val="722307DF"/>
    <w:lvl w:ilvl="0" w:tplc="35D210E0">
      <w:start w:val="1"/>
      <w:numFmt w:val="bullet"/>
      <w:lvlText w:val=""/>
      <w:lvlJc w:val="left"/>
      <w:pPr>
        <w:ind w:left="720" w:hanging="360"/>
      </w:pPr>
      <w:rPr>
        <w:rFonts w:ascii="Symbol" w:hAnsi="Symbol"/>
      </w:rPr>
    </w:lvl>
    <w:lvl w:ilvl="1" w:tplc="D0BEB89C">
      <w:start w:val="1"/>
      <w:numFmt w:val="bullet"/>
      <w:lvlText w:val="o"/>
      <w:lvlJc w:val="left"/>
      <w:pPr>
        <w:tabs>
          <w:tab w:val="num" w:pos="1440"/>
        </w:tabs>
        <w:ind w:left="1440" w:hanging="360"/>
      </w:pPr>
      <w:rPr>
        <w:rFonts w:ascii="Courier New" w:hAnsi="Courier New"/>
      </w:rPr>
    </w:lvl>
    <w:lvl w:ilvl="2" w:tplc="D520E5C4">
      <w:start w:val="1"/>
      <w:numFmt w:val="bullet"/>
      <w:lvlText w:val=""/>
      <w:lvlJc w:val="left"/>
      <w:pPr>
        <w:tabs>
          <w:tab w:val="num" w:pos="2160"/>
        </w:tabs>
        <w:ind w:left="2160" w:hanging="360"/>
      </w:pPr>
      <w:rPr>
        <w:rFonts w:ascii="Wingdings" w:hAnsi="Wingdings"/>
      </w:rPr>
    </w:lvl>
    <w:lvl w:ilvl="3" w:tplc="1E8EA770">
      <w:start w:val="1"/>
      <w:numFmt w:val="bullet"/>
      <w:lvlText w:val=""/>
      <w:lvlJc w:val="left"/>
      <w:pPr>
        <w:tabs>
          <w:tab w:val="num" w:pos="2880"/>
        </w:tabs>
        <w:ind w:left="2880" w:hanging="360"/>
      </w:pPr>
      <w:rPr>
        <w:rFonts w:ascii="Symbol" w:hAnsi="Symbol"/>
      </w:rPr>
    </w:lvl>
    <w:lvl w:ilvl="4" w:tplc="E3026C76">
      <w:start w:val="1"/>
      <w:numFmt w:val="bullet"/>
      <w:lvlText w:val="o"/>
      <w:lvlJc w:val="left"/>
      <w:pPr>
        <w:tabs>
          <w:tab w:val="num" w:pos="3600"/>
        </w:tabs>
        <w:ind w:left="3600" w:hanging="360"/>
      </w:pPr>
      <w:rPr>
        <w:rFonts w:ascii="Courier New" w:hAnsi="Courier New"/>
      </w:rPr>
    </w:lvl>
    <w:lvl w:ilvl="5" w:tplc="44FAAF76">
      <w:start w:val="1"/>
      <w:numFmt w:val="bullet"/>
      <w:lvlText w:val=""/>
      <w:lvlJc w:val="left"/>
      <w:pPr>
        <w:tabs>
          <w:tab w:val="num" w:pos="4320"/>
        </w:tabs>
        <w:ind w:left="4320" w:hanging="360"/>
      </w:pPr>
      <w:rPr>
        <w:rFonts w:ascii="Wingdings" w:hAnsi="Wingdings"/>
      </w:rPr>
    </w:lvl>
    <w:lvl w:ilvl="6" w:tplc="C36CA4A0">
      <w:start w:val="1"/>
      <w:numFmt w:val="bullet"/>
      <w:lvlText w:val=""/>
      <w:lvlJc w:val="left"/>
      <w:pPr>
        <w:tabs>
          <w:tab w:val="num" w:pos="5040"/>
        </w:tabs>
        <w:ind w:left="5040" w:hanging="360"/>
      </w:pPr>
      <w:rPr>
        <w:rFonts w:ascii="Symbol" w:hAnsi="Symbol"/>
      </w:rPr>
    </w:lvl>
    <w:lvl w:ilvl="7" w:tplc="3F46EF64">
      <w:start w:val="1"/>
      <w:numFmt w:val="bullet"/>
      <w:lvlText w:val="o"/>
      <w:lvlJc w:val="left"/>
      <w:pPr>
        <w:tabs>
          <w:tab w:val="num" w:pos="5760"/>
        </w:tabs>
        <w:ind w:left="5760" w:hanging="360"/>
      </w:pPr>
      <w:rPr>
        <w:rFonts w:ascii="Courier New" w:hAnsi="Courier New"/>
      </w:rPr>
    </w:lvl>
    <w:lvl w:ilvl="8" w:tplc="4D5C3D7E">
      <w:start w:val="1"/>
      <w:numFmt w:val="bullet"/>
      <w:lvlText w:val=""/>
      <w:lvlJc w:val="left"/>
      <w:pPr>
        <w:tabs>
          <w:tab w:val="num" w:pos="6480"/>
        </w:tabs>
        <w:ind w:left="6480" w:hanging="360"/>
      </w:pPr>
      <w:rPr>
        <w:rFonts w:ascii="Wingdings" w:hAnsi="Wingdings"/>
      </w:rPr>
    </w:lvl>
  </w:abstractNum>
  <w:abstractNum w:abstractNumId="798" w15:restartNumberingAfterBreak="0">
    <w:nsid w:val="722307E0"/>
    <w:multiLevelType w:val="hybridMultilevel"/>
    <w:tmpl w:val="722307E0"/>
    <w:lvl w:ilvl="0" w:tplc="566A7FBE">
      <w:start w:val="1"/>
      <w:numFmt w:val="bullet"/>
      <w:lvlText w:val=""/>
      <w:lvlJc w:val="left"/>
      <w:pPr>
        <w:ind w:left="720" w:hanging="360"/>
      </w:pPr>
      <w:rPr>
        <w:rFonts w:ascii="Symbol" w:hAnsi="Symbol"/>
      </w:rPr>
    </w:lvl>
    <w:lvl w:ilvl="1" w:tplc="2C7031B4">
      <w:start w:val="1"/>
      <w:numFmt w:val="bullet"/>
      <w:lvlText w:val="o"/>
      <w:lvlJc w:val="left"/>
      <w:pPr>
        <w:tabs>
          <w:tab w:val="num" w:pos="1440"/>
        </w:tabs>
        <w:ind w:left="1440" w:hanging="360"/>
      </w:pPr>
      <w:rPr>
        <w:rFonts w:ascii="Courier New" w:hAnsi="Courier New"/>
      </w:rPr>
    </w:lvl>
    <w:lvl w:ilvl="2" w:tplc="48F2F812">
      <w:start w:val="1"/>
      <w:numFmt w:val="bullet"/>
      <w:lvlText w:val=""/>
      <w:lvlJc w:val="left"/>
      <w:pPr>
        <w:tabs>
          <w:tab w:val="num" w:pos="2160"/>
        </w:tabs>
        <w:ind w:left="2160" w:hanging="360"/>
      </w:pPr>
      <w:rPr>
        <w:rFonts w:ascii="Wingdings" w:hAnsi="Wingdings"/>
      </w:rPr>
    </w:lvl>
    <w:lvl w:ilvl="3" w:tplc="97229402">
      <w:start w:val="1"/>
      <w:numFmt w:val="bullet"/>
      <w:lvlText w:val=""/>
      <w:lvlJc w:val="left"/>
      <w:pPr>
        <w:tabs>
          <w:tab w:val="num" w:pos="2880"/>
        </w:tabs>
        <w:ind w:left="2880" w:hanging="360"/>
      </w:pPr>
      <w:rPr>
        <w:rFonts w:ascii="Symbol" w:hAnsi="Symbol"/>
      </w:rPr>
    </w:lvl>
    <w:lvl w:ilvl="4" w:tplc="930CE038">
      <w:start w:val="1"/>
      <w:numFmt w:val="bullet"/>
      <w:lvlText w:val="o"/>
      <w:lvlJc w:val="left"/>
      <w:pPr>
        <w:tabs>
          <w:tab w:val="num" w:pos="3600"/>
        </w:tabs>
        <w:ind w:left="3600" w:hanging="360"/>
      </w:pPr>
      <w:rPr>
        <w:rFonts w:ascii="Courier New" w:hAnsi="Courier New"/>
      </w:rPr>
    </w:lvl>
    <w:lvl w:ilvl="5" w:tplc="5ACCBAB0">
      <w:start w:val="1"/>
      <w:numFmt w:val="bullet"/>
      <w:lvlText w:val=""/>
      <w:lvlJc w:val="left"/>
      <w:pPr>
        <w:tabs>
          <w:tab w:val="num" w:pos="4320"/>
        </w:tabs>
        <w:ind w:left="4320" w:hanging="360"/>
      </w:pPr>
      <w:rPr>
        <w:rFonts w:ascii="Wingdings" w:hAnsi="Wingdings"/>
      </w:rPr>
    </w:lvl>
    <w:lvl w:ilvl="6" w:tplc="8E9EAC96">
      <w:start w:val="1"/>
      <w:numFmt w:val="bullet"/>
      <w:lvlText w:val=""/>
      <w:lvlJc w:val="left"/>
      <w:pPr>
        <w:tabs>
          <w:tab w:val="num" w:pos="5040"/>
        </w:tabs>
        <w:ind w:left="5040" w:hanging="360"/>
      </w:pPr>
      <w:rPr>
        <w:rFonts w:ascii="Symbol" w:hAnsi="Symbol"/>
      </w:rPr>
    </w:lvl>
    <w:lvl w:ilvl="7" w:tplc="67ACA128">
      <w:start w:val="1"/>
      <w:numFmt w:val="bullet"/>
      <w:lvlText w:val="o"/>
      <w:lvlJc w:val="left"/>
      <w:pPr>
        <w:tabs>
          <w:tab w:val="num" w:pos="5760"/>
        </w:tabs>
        <w:ind w:left="5760" w:hanging="360"/>
      </w:pPr>
      <w:rPr>
        <w:rFonts w:ascii="Courier New" w:hAnsi="Courier New"/>
      </w:rPr>
    </w:lvl>
    <w:lvl w:ilvl="8" w:tplc="E892AD32">
      <w:start w:val="1"/>
      <w:numFmt w:val="bullet"/>
      <w:lvlText w:val=""/>
      <w:lvlJc w:val="left"/>
      <w:pPr>
        <w:tabs>
          <w:tab w:val="num" w:pos="6480"/>
        </w:tabs>
        <w:ind w:left="6480" w:hanging="360"/>
      </w:pPr>
      <w:rPr>
        <w:rFonts w:ascii="Wingdings" w:hAnsi="Wingdings"/>
      </w:rPr>
    </w:lvl>
  </w:abstractNum>
  <w:abstractNum w:abstractNumId="799" w15:restartNumberingAfterBreak="0">
    <w:nsid w:val="722307E1"/>
    <w:multiLevelType w:val="hybridMultilevel"/>
    <w:tmpl w:val="722307E1"/>
    <w:lvl w:ilvl="0" w:tplc="13FE4532">
      <w:start w:val="1"/>
      <w:numFmt w:val="bullet"/>
      <w:lvlText w:val=""/>
      <w:lvlJc w:val="left"/>
      <w:pPr>
        <w:ind w:left="720" w:hanging="360"/>
      </w:pPr>
      <w:rPr>
        <w:rFonts w:ascii="Symbol" w:hAnsi="Symbol"/>
      </w:rPr>
    </w:lvl>
    <w:lvl w:ilvl="1" w:tplc="EEACC8A0">
      <w:start w:val="1"/>
      <w:numFmt w:val="bullet"/>
      <w:lvlText w:val="o"/>
      <w:lvlJc w:val="left"/>
      <w:pPr>
        <w:tabs>
          <w:tab w:val="num" w:pos="1440"/>
        </w:tabs>
        <w:ind w:left="1440" w:hanging="360"/>
      </w:pPr>
      <w:rPr>
        <w:rFonts w:ascii="Courier New" w:hAnsi="Courier New"/>
      </w:rPr>
    </w:lvl>
    <w:lvl w:ilvl="2" w:tplc="4D62F8E0">
      <w:start w:val="1"/>
      <w:numFmt w:val="bullet"/>
      <w:lvlText w:val=""/>
      <w:lvlJc w:val="left"/>
      <w:pPr>
        <w:tabs>
          <w:tab w:val="num" w:pos="2160"/>
        </w:tabs>
        <w:ind w:left="2160" w:hanging="360"/>
      </w:pPr>
      <w:rPr>
        <w:rFonts w:ascii="Wingdings" w:hAnsi="Wingdings"/>
      </w:rPr>
    </w:lvl>
    <w:lvl w:ilvl="3" w:tplc="3F3E76BE">
      <w:start w:val="1"/>
      <w:numFmt w:val="bullet"/>
      <w:lvlText w:val=""/>
      <w:lvlJc w:val="left"/>
      <w:pPr>
        <w:tabs>
          <w:tab w:val="num" w:pos="2880"/>
        </w:tabs>
        <w:ind w:left="2880" w:hanging="360"/>
      </w:pPr>
      <w:rPr>
        <w:rFonts w:ascii="Symbol" w:hAnsi="Symbol"/>
      </w:rPr>
    </w:lvl>
    <w:lvl w:ilvl="4" w:tplc="D4A8B352">
      <w:start w:val="1"/>
      <w:numFmt w:val="bullet"/>
      <w:lvlText w:val="o"/>
      <w:lvlJc w:val="left"/>
      <w:pPr>
        <w:tabs>
          <w:tab w:val="num" w:pos="3600"/>
        </w:tabs>
        <w:ind w:left="3600" w:hanging="360"/>
      </w:pPr>
      <w:rPr>
        <w:rFonts w:ascii="Courier New" w:hAnsi="Courier New"/>
      </w:rPr>
    </w:lvl>
    <w:lvl w:ilvl="5" w:tplc="C5168A90">
      <w:start w:val="1"/>
      <w:numFmt w:val="bullet"/>
      <w:lvlText w:val=""/>
      <w:lvlJc w:val="left"/>
      <w:pPr>
        <w:tabs>
          <w:tab w:val="num" w:pos="4320"/>
        </w:tabs>
        <w:ind w:left="4320" w:hanging="360"/>
      </w:pPr>
      <w:rPr>
        <w:rFonts w:ascii="Wingdings" w:hAnsi="Wingdings"/>
      </w:rPr>
    </w:lvl>
    <w:lvl w:ilvl="6" w:tplc="44C232AC">
      <w:start w:val="1"/>
      <w:numFmt w:val="bullet"/>
      <w:lvlText w:val=""/>
      <w:lvlJc w:val="left"/>
      <w:pPr>
        <w:tabs>
          <w:tab w:val="num" w:pos="5040"/>
        </w:tabs>
        <w:ind w:left="5040" w:hanging="360"/>
      </w:pPr>
      <w:rPr>
        <w:rFonts w:ascii="Symbol" w:hAnsi="Symbol"/>
      </w:rPr>
    </w:lvl>
    <w:lvl w:ilvl="7" w:tplc="4A54E978">
      <w:start w:val="1"/>
      <w:numFmt w:val="bullet"/>
      <w:lvlText w:val="o"/>
      <w:lvlJc w:val="left"/>
      <w:pPr>
        <w:tabs>
          <w:tab w:val="num" w:pos="5760"/>
        </w:tabs>
        <w:ind w:left="5760" w:hanging="360"/>
      </w:pPr>
      <w:rPr>
        <w:rFonts w:ascii="Courier New" w:hAnsi="Courier New"/>
      </w:rPr>
    </w:lvl>
    <w:lvl w:ilvl="8" w:tplc="35767728">
      <w:start w:val="1"/>
      <w:numFmt w:val="bullet"/>
      <w:lvlText w:val=""/>
      <w:lvlJc w:val="left"/>
      <w:pPr>
        <w:tabs>
          <w:tab w:val="num" w:pos="6480"/>
        </w:tabs>
        <w:ind w:left="6480" w:hanging="360"/>
      </w:pPr>
      <w:rPr>
        <w:rFonts w:ascii="Wingdings" w:hAnsi="Wingdings"/>
      </w:rPr>
    </w:lvl>
  </w:abstractNum>
  <w:abstractNum w:abstractNumId="800" w15:restartNumberingAfterBreak="0">
    <w:nsid w:val="722307E2"/>
    <w:multiLevelType w:val="hybridMultilevel"/>
    <w:tmpl w:val="722307E2"/>
    <w:lvl w:ilvl="0" w:tplc="12FEDC92">
      <w:start w:val="1"/>
      <w:numFmt w:val="bullet"/>
      <w:lvlText w:val=""/>
      <w:lvlJc w:val="left"/>
      <w:pPr>
        <w:ind w:left="720" w:hanging="360"/>
      </w:pPr>
      <w:rPr>
        <w:rFonts w:ascii="Symbol" w:hAnsi="Symbol"/>
      </w:rPr>
    </w:lvl>
    <w:lvl w:ilvl="1" w:tplc="5390400C">
      <w:start w:val="1"/>
      <w:numFmt w:val="bullet"/>
      <w:lvlText w:val="o"/>
      <w:lvlJc w:val="left"/>
      <w:pPr>
        <w:tabs>
          <w:tab w:val="num" w:pos="1440"/>
        </w:tabs>
        <w:ind w:left="1440" w:hanging="360"/>
      </w:pPr>
      <w:rPr>
        <w:rFonts w:ascii="Courier New" w:hAnsi="Courier New"/>
      </w:rPr>
    </w:lvl>
    <w:lvl w:ilvl="2" w:tplc="6E7A993A">
      <w:start w:val="1"/>
      <w:numFmt w:val="bullet"/>
      <w:lvlText w:val=""/>
      <w:lvlJc w:val="left"/>
      <w:pPr>
        <w:tabs>
          <w:tab w:val="num" w:pos="2160"/>
        </w:tabs>
        <w:ind w:left="2160" w:hanging="360"/>
      </w:pPr>
      <w:rPr>
        <w:rFonts w:ascii="Wingdings" w:hAnsi="Wingdings"/>
      </w:rPr>
    </w:lvl>
    <w:lvl w:ilvl="3" w:tplc="D4902B46">
      <w:start w:val="1"/>
      <w:numFmt w:val="bullet"/>
      <w:lvlText w:val=""/>
      <w:lvlJc w:val="left"/>
      <w:pPr>
        <w:tabs>
          <w:tab w:val="num" w:pos="2880"/>
        </w:tabs>
        <w:ind w:left="2880" w:hanging="360"/>
      </w:pPr>
      <w:rPr>
        <w:rFonts w:ascii="Symbol" w:hAnsi="Symbol"/>
      </w:rPr>
    </w:lvl>
    <w:lvl w:ilvl="4" w:tplc="9E50F758">
      <w:start w:val="1"/>
      <w:numFmt w:val="bullet"/>
      <w:lvlText w:val="o"/>
      <w:lvlJc w:val="left"/>
      <w:pPr>
        <w:tabs>
          <w:tab w:val="num" w:pos="3600"/>
        </w:tabs>
        <w:ind w:left="3600" w:hanging="360"/>
      </w:pPr>
      <w:rPr>
        <w:rFonts w:ascii="Courier New" w:hAnsi="Courier New"/>
      </w:rPr>
    </w:lvl>
    <w:lvl w:ilvl="5" w:tplc="916C827A">
      <w:start w:val="1"/>
      <w:numFmt w:val="bullet"/>
      <w:lvlText w:val=""/>
      <w:lvlJc w:val="left"/>
      <w:pPr>
        <w:tabs>
          <w:tab w:val="num" w:pos="4320"/>
        </w:tabs>
        <w:ind w:left="4320" w:hanging="360"/>
      </w:pPr>
      <w:rPr>
        <w:rFonts w:ascii="Wingdings" w:hAnsi="Wingdings"/>
      </w:rPr>
    </w:lvl>
    <w:lvl w:ilvl="6" w:tplc="25DCAF74">
      <w:start w:val="1"/>
      <w:numFmt w:val="bullet"/>
      <w:lvlText w:val=""/>
      <w:lvlJc w:val="left"/>
      <w:pPr>
        <w:tabs>
          <w:tab w:val="num" w:pos="5040"/>
        </w:tabs>
        <w:ind w:left="5040" w:hanging="360"/>
      </w:pPr>
      <w:rPr>
        <w:rFonts w:ascii="Symbol" w:hAnsi="Symbol"/>
      </w:rPr>
    </w:lvl>
    <w:lvl w:ilvl="7" w:tplc="819CA5C6">
      <w:start w:val="1"/>
      <w:numFmt w:val="bullet"/>
      <w:lvlText w:val="o"/>
      <w:lvlJc w:val="left"/>
      <w:pPr>
        <w:tabs>
          <w:tab w:val="num" w:pos="5760"/>
        </w:tabs>
        <w:ind w:left="5760" w:hanging="360"/>
      </w:pPr>
      <w:rPr>
        <w:rFonts w:ascii="Courier New" w:hAnsi="Courier New"/>
      </w:rPr>
    </w:lvl>
    <w:lvl w:ilvl="8" w:tplc="1E9499E6">
      <w:start w:val="1"/>
      <w:numFmt w:val="bullet"/>
      <w:lvlText w:val=""/>
      <w:lvlJc w:val="left"/>
      <w:pPr>
        <w:tabs>
          <w:tab w:val="num" w:pos="6480"/>
        </w:tabs>
        <w:ind w:left="6480" w:hanging="360"/>
      </w:pPr>
      <w:rPr>
        <w:rFonts w:ascii="Wingdings" w:hAnsi="Wingdings"/>
      </w:rPr>
    </w:lvl>
  </w:abstractNum>
  <w:abstractNum w:abstractNumId="801" w15:restartNumberingAfterBreak="0">
    <w:nsid w:val="722307E3"/>
    <w:multiLevelType w:val="hybridMultilevel"/>
    <w:tmpl w:val="722307E3"/>
    <w:lvl w:ilvl="0" w:tplc="3A8A4F42">
      <w:start w:val="1"/>
      <w:numFmt w:val="bullet"/>
      <w:lvlText w:val=""/>
      <w:lvlJc w:val="left"/>
      <w:pPr>
        <w:tabs>
          <w:tab w:val="num" w:pos="720"/>
        </w:tabs>
        <w:ind w:left="720" w:hanging="360"/>
      </w:pPr>
      <w:rPr>
        <w:rFonts w:ascii="Symbol" w:hAnsi="Symbol"/>
      </w:rPr>
    </w:lvl>
    <w:lvl w:ilvl="1" w:tplc="2F9CCABC">
      <w:start w:val="1"/>
      <w:numFmt w:val="bullet"/>
      <w:lvlText w:val="o"/>
      <w:lvlJc w:val="left"/>
      <w:pPr>
        <w:tabs>
          <w:tab w:val="num" w:pos="1440"/>
        </w:tabs>
        <w:ind w:left="1440" w:hanging="360"/>
      </w:pPr>
      <w:rPr>
        <w:rFonts w:ascii="Courier New" w:hAnsi="Courier New"/>
      </w:rPr>
    </w:lvl>
    <w:lvl w:ilvl="2" w:tplc="109C8750">
      <w:start w:val="1"/>
      <w:numFmt w:val="bullet"/>
      <w:lvlText w:val=""/>
      <w:lvlJc w:val="left"/>
      <w:pPr>
        <w:tabs>
          <w:tab w:val="num" w:pos="2160"/>
        </w:tabs>
        <w:ind w:left="2160" w:hanging="360"/>
      </w:pPr>
      <w:rPr>
        <w:rFonts w:ascii="Wingdings" w:hAnsi="Wingdings"/>
      </w:rPr>
    </w:lvl>
    <w:lvl w:ilvl="3" w:tplc="84DA4888">
      <w:start w:val="1"/>
      <w:numFmt w:val="bullet"/>
      <w:lvlText w:val=""/>
      <w:lvlJc w:val="left"/>
      <w:pPr>
        <w:tabs>
          <w:tab w:val="num" w:pos="2880"/>
        </w:tabs>
        <w:ind w:left="2880" w:hanging="360"/>
      </w:pPr>
      <w:rPr>
        <w:rFonts w:ascii="Symbol" w:hAnsi="Symbol"/>
      </w:rPr>
    </w:lvl>
    <w:lvl w:ilvl="4" w:tplc="1320FFCE">
      <w:start w:val="1"/>
      <w:numFmt w:val="bullet"/>
      <w:lvlText w:val="o"/>
      <w:lvlJc w:val="left"/>
      <w:pPr>
        <w:tabs>
          <w:tab w:val="num" w:pos="3600"/>
        </w:tabs>
        <w:ind w:left="3600" w:hanging="360"/>
      </w:pPr>
      <w:rPr>
        <w:rFonts w:ascii="Courier New" w:hAnsi="Courier New"/>
      </w:rPr>
    </w:lvl>
    <w:lvl w:ilvl="5" w:tplc="22A2F386">
      <w:start w:val="1"/>
      <w:numFmt w:val="bullet"/>
      <w:lvlText w:val=""/>
      <w:lvlJc w:val="left"/>
      <w:pPr>
        <w:tabs>
          <w:tab w:val="num" w:pos="4320"/>
        </w:tabs>
        <w:ind w:left="4320" w:hanging="360"/>
      </w:pPr>
      <w:rPr>
        <w:rFonts w:ascii="Wingdings" w:hAnsi="Wingdings"/>
      </w:rPr>
    </w:lvl>
    <w:lvl w:ilvl="6" w:tplc="FF40F1A4">
      <w:start w:val="1"/>
      <w:numFmt w:val="bullet"/>
      <w:lvlText w:val=""/>
      <w:lvlJc w:val="left"/>
      <w:pPr>
        <w:tabs>
          <w:tab w:val="num" w:pos="5040"/>
        </w:tabs>
        <w:ind w:left="5040" w:hanging="360"/>
      </w:pPr>
      <w:rPr>
        <w:rFonts w:ascii="Symbol" w:hAnsi="Symbol"/>
      </w:rPr>
    </w:lvl>
    <w:lvl w:ilvl="7" w:tplc="B17A1DD2">
      <w:start w:val="1"/>
      <w:numFmt w:val="bullet"/>
      <w:lvlText w:val="o"/>
      <w:lvlJc w:val="left"/>
      <w:pPr>
        <w:tabs>
          <w:tab w:val="num" w:pos="5760"/>
        </w:tabs>
        <w:ind w:left="5760" w:hanging="360"/>
      </w:pPr>
      <w:rPr>
        <w:rFonts w:ascii="Courier New" w:hAnsi="Courier New"/>
      </w:rPr>
    </w:lvl>
    <w:lvl w:ilvl="8" w:tplc="704EF716">
      <w:start w:val="1"/>
      <w:numFmt w:val="bullet"/>
      <w:lvlText w:val=""/>
      <w:lvlJc w:val="left"/>
      <w:pPr>
        <w:tabs>
          <w:tab w:val="num" w:pos="6480"/>
        </w:tabs>
        <w:ind w:left="6480" w:hanging="360"/>
      </w:pPr>
      <w:rPr>
        <w:rFonts w:ascii="Wingdings" w:hAnsi="Wingdings"/>
      </w:rPr>
    </w:lvl>
  </w:abstractNum>
  <w:abstractNum w:abstractNumId="802" w15:restartNumberingAfterBreak="0">
    <w:nsid w:val="722307E4"/>
    <w:multiLevelType w:val="hybridMultilevel"/>
    <w:tmpl w:val="722307E4"/>
    <w:lvl w:ilvl="0" w:tplc="FE907866">
      <w:start w:val="1"/>
      <w:numFmt w:val="bullet"/>
      <w:lvlText w:val=""/>
      <w:lvlJc w:val="left"/>
      <w:pPr>
        <w:ind w:left="720" w:hanging="360"/>
      </w:pPr>
      <w:rPr>
        <w:rFonts w:ascii="Symbol" w:hAnsi="Symbol"/>
      </w:rPr>
    </w:lvl>
    <w:lvl w:ilvl="1" w:tplc="82FCA21A">
      <w:start w:val="1"/>
      <w:numFmt w:val="bullet"/>
      <w:lvlText w:val="o"/>
      <w:lvlJc w:val="left"/>
      <w:pPr>
        <w:tabs>
          <w:tab w:val="num" w:pos="1440"/>
        </w:tabs>
        <w:ind w:left="1440" w:hanging="360"/>
      </w:pPr>
      <w:rPr>
        <w:rFonts w:ascii="Courier New" w:hAnsi="Courier New"/>
      </w:rPr>
    </w:lvl>
    <w:lvl w:ilvl="2" w:tplc="2A8A59F0">
      <w:start w:val="1"/>
      <w:numFmt w:val="bullet"/>
      <w:lvlText w:val=""/>
      <w:lvlJc w:val="left"/>
      <w:pPr>
        <w:tabs>
          <w:tab w:val="num" w:pos="2160"/>
        </w:tabs>
        <w:ind w:left="2160" w:hanging="360"/>
      </w:pPr>
      <w:rPr>
        <w:rFonts w:ascii="Wingdings" w:hAnsi="Wingdings"/>
      </w:rPr>
    </w:lvl>
    <w:lvl w:ilvl="3" w:tplc="AA726960">
      <w:start w:val="1"/>
      <w:numFmt w:val="bullet"/>
      <w:lvlText w:val=""/>
      <w:lvlJc w:val="left"/>
      <w:pPr>
        <w:tabs>
          <w:tab w:val="num" w:pos="2880"/>
        </w:tabs>
        <w:ind w:left="2880" w:hanging="360"/>
      </w:pPr>
      <w:rPr>
        <w:rFonts w:ascii="Symbol" w:hAnsi="Symbol"/>
      </w:rPr>
    </w:lvl>
    <w:lvl w:ilvl="4" w:tplc="188AAB64">
      <w:start w:val="1"/>
      <w:numFmt w:val="bullet"/>
      <w:lvlText w:val="o"/>
      <w:lvlJc w:val="left"/>
      <w:pPr>
        <w:tabs>
          <w:tab w:val="num" w:pos="3600"/>
        </w:tabs>
        <w:ind w:left="3600" w:hanging="360"/>
      </w:pPr>
      <w:rPr>
        <w:rFonts w:ascii="Courier New" w:hAnsi="Courier New"/>
      </w:rPr>
    </w:lvl>
    <w:lvl w:ilvl="5" w:tplc="C71E58F2">
      <w:start w:val="1"/>
      <w:numFmt w:val="bullet"/>
      <w:lvlText w:val=""/>
      <w:lvlJc w:val="left"/>
      <w:pPr>
        <w:tabs>
          <w:tab w:val="num" w:pos="4320"/>
        </w:tabs>
        <w:ind w:left="4320" w:hanging="360"/>
      </w:pPr>
      <w:rPr>
        <w:rFonts w:ascii="Wingdings" w:hAnsi="Wingdings"/>
      </w:rPr>
    </w:lvl>
    <w:lvl w:ilvl="6" w:tplc="BC50C11E">
      <w:start w:val="1"/>
      <w:numFmt w:val="bullet"/>
      <w:lvlText w:val=""/>
      <w:lvlJc w:val="left"/>
      <w:pPr>
        <w:tabs>
          <w:tab w:val="num" w:pos="5040"/>
        </w:tabs>
        <w:ind w:left="5040" w:hanging="360"/>
      </w:pPr>
      <w:rPr>
        <w:rFonts w:ascii="Symbol" w:hAnsi="Symbol"/>
      </w:rPr>
    </w:lvl>
    <w:lvl w:ilvl="7" w:tplc="3E74406E">
      <w:start w:val="1"/>
      <w:numFmt w:val="bullet"/>
      <w:lvlText w:val="o"/>
      <w:lvlJc w:val="left"/>
      <w:pPr>
        <w:tabs>
          <w:tab w:val="num" w:pos="5760"/>
        </w:tabs>
        <w:ind w:left="5760" w:hanging="360"/>
      </w:pPr>
      <w:rPr>
        <w:rFonts w:ascii="Courier New" w:hAnsi="Courier New"/>
      </w:rPr>
    </w:lvl>
    <w:lvl w:ilvl="8" w:tplc="317CECF6">
      <w:start w:val="1"/>
      <w:numFmt w:val="bullet"/>
      <w:lvlText w:val=""/>
      <w:lvlJc w:val="left"/>
      <w:pPr>
        <w:tabs>
          <w:tab w:val="num" w:pos="6480"/>
        </w:tabs>
        <w:ind w:left="6480" w:hanging="360"/>
      </w:pPr>
      <w:rPr>
        <w:rFonts w:ascii="Wingdings" w:hAnsi="Wingdings"/>
      </w:rPr>
    </w:lvl>
  </w:abstractNum>
  <w:abstractNum w:abstractNumId="803" w15:restartNumberingAfterBreak="0">
    <w:nsid w:val="722307E5"/>
    <w:multiLevelType w:val="hybridMultilevel"/>
    <w:tmpl w:val="722307E5"/>
    <w:lvl w:ilvl="0" w:tplc="8F6EECCC">
      <w:start w:val="1"/>
      <w:numFmt w:val="bullet"/>
      <w:lvlText w:val=""/>
      <w:lvlJc w:val="left"/>
      <w:pPr>
        <w:ind w:left="720" w:hanging="360"/>
      </w:pPr>
      <w:rPr>
        <w:rFonts w:ascii="Symbol" w:hAnsi="Symbol"/>
      </w:rPr>
    </w:lvl>
    <w:lvl w:ilvl="1" w:tplc="12300ADC">
      <w:start w:val="1"/>
      <w:numFmt w:val="bullet"/>
      <w:lvlText w:val="o"/>
      <w:lvlJc w:val="left"/>
      <w:pPr>
        <w:tabs>
          <w:tab w:val="num" w:pos="1440"/>
        </w:tabs>
        <w:ind w:left="1440" w:hanging="360"/>
      </w:pPr>
      <w:rPr>
        <w:rFonts w:ascii="Courier New" w:hAnsi="Courier New"/>
      </w:rPr>
    </w:lvl>
    <w:lvl w:ilvl="2" w:tplc="DBFCCD24">
      <w:start w:val="1"/>
      <w:numFmt w:val="bullet"/>
      <w:lvlText w:val=""/>
      <w:lvlJc w:val="left"/>
      <w:pPr>
        <w:tabs>
          <w:tab w:val="num" w:pos="2160"/>
        </w:tabs>
        <w:ind w:left="2160" w:hanging="360"/>
      </w:pPr>
      <w:rPr>
        <w:rFonts w:ascii="Wingdings" w:hAnsi="Wingdings"/>
      </w:rPr>
    </w:lvl>
    <w:lvl w:ilvl="3" w:tplc="96746D0E">
      <w:start w:val="1"/>
      <w:numFmt w:val="bullet"/>
      <w:lvlText w:val=""/>
      <w:lvlJc w:val="left"/>
      <w:pPr>
        <w:tabs>
          <w:tab w:val="num" w:pos="2880"/>
        </w:tabs>
        <w:ind w:left="2880" w:hanging="360"/>
      </w:pPr>
      <w:rPr>
        <w:rFonts w:ascii="Symbol" w:hAnsi="Symbol"/>
      </w:rPr>
    </w:lvl>
    <w:lvl w:ilvl="4" w:tplc="09CA0B0C">
      <w:start w:val="1"/>
      <w:numFmt w:val="bullet"/>
      <w:lvlText w:val="o"/>
      <w:lvlJc w:val="left"/>
      <w:pPr>
        <w:tabs>
          <w:tab w:val="num" w:pos="3600"/>
        </w:tabs>
        <w:ind w:left="3600" w:hanging="360"/>
      </w:pPr>
      <w:rPr>
        <w:rFonts w:ascii="Courier New" w:hAnsi="Courier New"/>
      </w:rPr>
    </w:lvl>
    <w:lvl w:ilvl="5" w:tplc="48C668B8">
      <w:start w:val="1"/>
      <w:numFmt w:val="bullet"/>
      <w:lvlText w:val=""/>
      <w:lvlJc w:val="left"/>
      <w:pPr>
        <w:tabs>
          <w:tab w:val="num" w:pos="4320"/>
        </w:tabs>
        <w:ind w:left="4320" w:hanging="360"/>
      </w:pPr>
      <w:rPr>
        <w:rFonts w:ascii="Wingdings" w:hAnsi="Wingdings"/>
      </w:rPr>
    </w:lvl>
    <w:lvl w:ilvl="6" w:tplc="D1F64A44">
      <w:start w:val="1"/>
      <w:numFmt w:val="bullet"/>
      <w:lvlText w:val=""/>
      <w:lvlJc w:val="left"/>
      <w:pPr>
        <w:tabs>
          <w:tab w:val="num" w:pos="5040"/>
        </w:tabs>
        <w:ind w:left="5040" w:hanging="360"/>
      </w:pPr>
      <w:rPr>
        <w:rFonts w:ascii="Symbol" w:hAnsi="Symbol"/>
      </w:rPr>
    </w:lvl>
    <w:lvl w:ilvl="7" w:tplc="A65E0438">
      <w:start w:val="1"/>
      <w:numFmt w:val="bullet"/>
      <w:lvlText w:val="o"/>
      <w:lvlJc w:val="left"/>
      <w:pPr>
        <w:tabs>
          <w:tab w:val="num" w:pos="5760"/>
        </w:tabs>
        <w:ind w:left="5760" w:hanging="360"/>
      </w:pPr>
      <w:rPr>
        <w:rFonts w:ascii="Courier New" w:hAnsi="Courier New"/>
      </w:rPr>
    </w:lvl>
    <w:lvl w:ilvl="8" w:tplc="31AAB9DA">
      <w:start w:val="1"/>
      <w:numFmt w:val="bullet"/>
      <w:lvlText w:val=""/>
      <w:lvlJc w:val="left"/>
      <w:pPr>
        <w:tabs>
          <w:tab w:val="num" w:pos="6480"/>
        </w:tabs>
        <w:ind w:left="6480" w:hanging="360"/>
      </w:pPr>
      <w:rPr>
        <w:rFonts w:ascii="Wingdings" w:hAnsi="Wingdings"/>
      </w:rPr>
    </w:lvl>
  </w:abstractNum>
  <w:abstractNum w:abstractNumId="804" w15:restartNumberingAfterBreak="0">
    <w:nsid w:val="722307E6"/>
    <w:multiLevelType w:val="hybridMultilevel"/>
    <w:tmpl w:val="722307E6"/>
    <w:lvl w:ilvl="0" w:tplc="F716D298">
      <w:start w:val="1"/>
      <w:numFmt w:val="bullet"/>
      <w:lvlText w:val=""/>
      <w:lvlJc w:val="left"/>
      <w:pPr>
        <w:ind w:left="720" w:hanging="360"/>
      </w:pPr>
      <w:rPr>
        <w:rFonts w:ascii="Symbol" w:hAnsi="Symbol"/>
      </w:rPr>
    </w:lvl>
    <w:lvl w:ilvl="1" w:tplc="93966464">
      <w:start w:val="1"/>
      <w:numFmt w:val="bullet"/>
      <w:lvlText w:val="o"/>
      <w:lvlJc w:val="left"/>
      <w:pPr>
        <w:tabs>
          <w:tab w:val="num" w:pos="1440"/>
        </w:tabs>
        <w:ind w:left="1440" w:hanging="360"/>
      </w:pPr>
      <w:rPr>
        <w:rFonts w:ascii="Courier New" w:hAnsi="Courier New"/>
      </w:rPr>
    </w:lvl>
    <w:lvl w:ilvl="2" w:tplc="D0C23AEA">
      <w:start w:val="1"/>
      <w:numFmt w:val="bullet"/>
      <w:lvlText w:val=""/>
      <w:lvlJc w:val="left"/>
      <w:pPr>
        <w:tabs>
          <w:tab w:val="num" w:pos="2160"/>
        </w:tabs>
        <w:ind w:left="2160" w:hanging="360"/>
      </w:pPr>
      <w:rPr>
        <w:rFonts w:ascii="Wingdings" w:hAnsi="Wingdings"/>
      </w:rPr>
    </w:lvl>
    <w:lvl w:ilvl="3" w:tplc="6EB0BDDA">
      <w:start w:val="1"/>
      <w:numFmt w:val="bullet"/>
      <w:lvlText w:val=""/>
      <w:lvlJc w:val="left"/>
      <w:pPr>
        <w:tabs>
          <w:tab w:val="num" w:pos="2880"/>
        </w:tabs>
        <w:ind w:left="2880" w:hanging="360"/>
      </w:pPr>
      <w:rPr>
        <w:rFonts w:ascii="Symbol" w:hAnsi="Symbol"/>
      </w:rPr>
    </w:lvl>
    <w:lvl w:ilvl="4" w:tplc="DA521122">
      <w:start w:val="1"/>
      <w:numFmt w:val="bullet"/>
      <w:lvlText w:val="o"/>
      <w:lvlJc w:val="left"/>
      <w:pPr>
        <w:tabs>
          <w:tab w:val="num" w:pos="3600"/>
        </w:tabs>
        <w:ind w:left="3600" w:hanging="360"/>
      </w:pPr>
      <w:rPr>
        <w:rFonts w:ascii="Courier New" w:hAnsi="Courier New"/>
      </w:rPr>
    </w:lvl>
    <w:lvl w:ilvl="5" w:tplc="A9801D80">
      <w:start w:val="1"/>
      <w:numFmt w:val="bullet"/>
      <w:lvlText w:val=""/>
      <w:lvlJc w:val="left"/>
      <w:pPr>
        <w:tabs>
          <w:tab w:val="num" w:pos="4320"/>
        </w:tabs>
        <w:ind w:left="4320" w:hanging="360"/>
      </w:pPr>
      <w:rPr>
        <w:rFonts w:ascii="Wingdings" w:hAnsi="Wingdings"/>
      </w:rPr>
    </w:lvl>
    <w:lvl w:ilvl="6" w:tplc="24007452">
      <w:start w:val="1"/>
      <w:numFmt w:val="bullet"/>
      <w:lvlText w:val=""/>
      <w:lvlJc w:val="left"/>
      <w:pPr>
        <w:tabs>
          <w:tab w:val="num" w:pos="5040"/>
        </w:tabs>
        <w:ind w:left="5040" w:hanging="360"/>
      </w:pPr>
      <w:rPr>
        <w:rFonts w:ascii="Symbol" w:hAnsi="Symbol"/>
      </w:rPr>
    </w:lvl>
    <w:lvl w:ilvl="7" w:tplc="0836586C">
      <w:start w:val="1"/>
      <w:numFmt w:val="bullet"/>
      <w:lvlText w:val="o"/>
      <w:lvlJc w:val="left"/>
      <w:pPr>
        <w:tabs>
          <w:tab w:val="num" w:pos="5760"/>
        </w:tabs>
        <w:ind w:left="5760" w:hanging="360"/>
      </w:pPr>
      <w:rPr>
        <w:rFonts w:ascii="Courier New" w:hAnsi="Courier New"/>
      </w:rPr>
    </w:lvl>
    <w:lvl w:ilvl="8" w:tplc="9CB8E378">
      <w:start w:val="1"/>
      <w:numFmt w:val="bullet"/>
      <w:lvlText w:val=""/>
      <w:lvlJc w:val="left"/>
      <w:pPr>
        <w:tabs>
          <w:tab w:val="num" w:pos="6480"/>
        </w:tabs>
        <w:ind w:left="6480" w:hanging="360"/>
      </w:pPr>
      <w:rPr>
        <w:rFonts w:ascii="Wingdings" w:hAnsi="Wingdings"/>
      </w:rPr>
    </w:lvl>
  </w:abstractNum>
  <w:abstractNum w:abstractNumId="805" w15:restartNumberingAfterBreak="0">
    <w:nsid w:val="722307E7"/>
    <w:multiLevelType w:val="hybridMultilevel"/>
    <w:tmpl w:val="722307E7"/>
    <w:lvl w:ilvl="0" w:tplc="FA52C778">
      <w:start w:val="1"/>
      <w:numFmt w:val="bullet"/>
      <w:lvlText w:val=""/>
      <w:lvlJc w:val="left"/>
      <w:pPr>
        <w:ind w:left="720" w:hanging="360"/>
      </w:pPr>
      <w:rPr>
        <w:rFonts w:ascii="Symbol" w:hAnsi="Symbol"/>
      </w:rPr>
    </w:lvl>
    <w:lvl w:ilvl="1" w:tplc="E83E25C8">
      <w:start w:val="1"/>
      <w:numFmt w:val="bullet"/>
      <w:lvlText w:val="o"/>
      <w:lvlJc w:val="left"/>
      <w:pPr>
        <w:tabs>
          <w:tab w:val="num" w:pos="1440"/>
        </w:tabs>
        <w:ind w:left="1440" w:hanging="360"/>
      </w:pPr>
      <w:rPr>
        <w:rFonts w:ascii="Courier New" w:hAnsi="Courier New"/>
      </w:rPr>
    </w:lvl>
    <w:lvl w:ilvl="2" w:tplc="B04E1772">
      <w:start w:val="1"/>
      <w:numFmt w:val="bullet"/>
      <w:lvlText w:val=""/>
      <w:lvlJc w:val="left"/>
      <w:pPr>
        <w:tabs>
          <w:tab w:val="num" w:pos="2160"/>
        </w:tabs>
        <w:ind w:left="2160" w:hanging="360"/>
      </w:pPr>
      <w:rPr>
        <w:rFonts w:ascii="Wingdings" w:hAnsi="Wingdings"/>
      </w:rPr>
    </w:lvl>
    <w:lvl w:ilvl="3" w:tplc="F2A401CE">
      <w:start w:val="1"/>
      <w:numFmt w:val="bullet"/>
      <w:lvlText w:val=""/>
      <w:lvlJc w:val="left"/>
      <w:pPr>
        <w:tabs>
          <w:tab w:val="num" w:pos="2880"/>
        </w:tabs>
        <w:ind w:left="2880" w:hanging="360"/>
      </w:pPr>
      <w:rPr>
        <w:rFonts w:ascii="Symbol" w:hAnsi="Symbol"/>
      </w:rPr>
    </w:lvl>
    <w:lvl w:ilvl="4" w:tplc="727A1082">
      <w:start w:val="1"/>
      <w:numFmt w:val="bullet"/>
      <w:lvlText w:val="o"/>
      <w:lvlJc w:val="left"/>
      <w:pPr>
        <w:tabs>
          <w:tab w:val="num" w:pos="3600"/>
        </w:tabs>
        <w:ind w:left="3600" w:hanging="360"/>
      </w:pPr>
      <w:rPr>
        <w:rFonts w:ascii="Courier New" w:hAnsi="Courier New"/>
      </w:rPr>
    </w:lvl>
    <w:lvl w:ilvl="5" w:tplc="B0B0DD20">
      <w:start w:val="1"/>
      <w:numFmt w:val="bullet"/>
      <w:lvlText w:val=""/>
      <w:lvlJc w:val="left"/>
      <w:pPr>
        <w:tabs>
          <w:tab w:val="num" w:pos="4320"/>
        </w:tabs>
        <w:ind w:left="4320" w:hanging="360"/>
      </w:pPr>
      <w:rPr>
        <w:rFonts w:ascii="Wingdings" w:hAnsi="Wingdings"/>
      </w:rPr>
    </w:lvl>
    <w:lvl w:ilvl="6" w:tplc="AE14DB38">
      <w:start w:val="1"/>
      <w:numFmt w:val="bullet"/>
      <w:lvlText w:val=""/>
      <w:lvlJc w:val="left"/>
      <w:pPr>
        <w:tabs>
          <w:tab w:val="num" w:pos="5040"/>
        </w:tabs>
        <w:ind w:left="5040" w:hanging="360"/>
      </w:pPr>
      <w:rPr>
        <w:rFonts w:ascii="Symbol" w:hAnsi="Symbol"/>
      </w:rPr>
    </w:lvl>
    <w:lvl w:ilvl="7" w:tplc="7554B3B6">
      <w:start w:val="1"/>
      <w:numFmt w:val="bullet"/>
      <w:lvlText w:val="o"/>
      <w:lvlJc w:val="left"/>
      <w:pPr>
        <w:tabs>
          <w:tab w:val="num" w:pos="5760"/>
        </w:tabs>
        <w:ind w:left="5760" w:hanging="360"/>
      </w:pPr>
      <w:rPr>
        <w:rFonts w:ascii="Courier New" w:hAnsi="Courier New"/>
      </w:rPr>
    </w:lvl>
    <w:lvl w:ilvl="8" w:tplc="C45EC0B8">
      <w:start w:val="1"/>
      <w:numFmt w:val="bullet"/>
      <w:lvlText w:val=""/>
      <w:lvlJc w:val="left"/>
      <w:pPr>
        <w:tabs>
          <w:tab w:val="num" w:pos="6480"/>
        </w:tabs>
        <w:ind w:left="6480" w:hanging="360"/>
      </w:pPr>
      <w:rPr>
        <w:rFonts w:ascii="Wingdings" w:hAnsi="Wingdings"/>
      </w:rPr>
    </w:lvl>
  </w:abstractNum>
  <w:abstractNum w:abstractNumId="806" w15:restartNumberingAfterBreak="0">
    <w:nsid w:val="722307E8"/>
    <w:multiLevelType w:val="hybridMultilevel"/>
    <w:tmpl w:val="722307E8"/>
    <w:lvl w:ilvl="0" w:tplc="599413CC">
      <w:start w:val="1"/>
      <w:numFmt w:val="bullet"/>
      <w:lvlText w:val=""/>
      <w:lvlJc w:val="left"/>
      <w:pPr>
        <w:tabs>
          <w:tab w:val="num" w:pos="720"/>
        </w:tabs>
        <w:ind w:left="720" w:hanging="360"/>
      </w:pPr>
      <w:rPr>
        <w:rFonts w:ascii="Symbol" w:hAnsi="Symbol"/>
      </w:rPr>
    </w:lvl>
    <w:lvl w:ilvl="1" w:tplc="CEF06638">
      <w:start w:val="1"/>
      <w:numFmt w:val="bullet"/>
      <w:lvlText w:val="o"/>
      <w:lvlJc w:val="left"/>
      <w:pPr>
        <w:tabs>
          <w:tab w:val="num" w:pos="1440"/>
        </w:tabs>
        <w:ind w:left="1440" w:hanging="360"/>
      </w:pPr>
      <w:rPr>
        <w:rFonts w:ascii="Courier New" w:hAnsi="Courier New"/>
      </w:rPr>
    </w:lvl>
    <w:lvl w:ilvl="2" w:tplc="F4CCE838">
      <w:start w:val="1"/>
      <w:numFmt w:val="bullet"/>
      <w:lvlText w:val=""/>
      <w:lvlJc w:val="left"/>
      <w:pPr>
        <w:tabs>
          <w:tab w:val="num" w:pos="2160"/>
        </w:tabs>
        <w:ind w:left="2160" w:hanging="360"/>
      </w:pPr>
      <w:rPr>
        <w:rFonts w:ascii="Wingdings" w:hAnsi="Wingdings"/>
      </w:rPr>
    </w:lvl>
    <w:lvl w:ilvl="3" w:tplc="45DEAAA8">
      <w:start w:val="1"/>
      <w:numFmt w:val="bullet"/>
      <w:lvlText w:val=""/>
      <w:lvlJc w:val="left"/>
      <w:pPr>
        <w:tabs>
          <w:tab w:val="num" w:pos="2880"/>
        </w:tabs>
        <w:ind w:left="2880" w:hanging="360"/>
      </w:pPr>
      <w:rPr>
        <w:rFonts w:ascii="Symbol" w:hAnsi="Symbol"/>
      </w:rPr>
    </w:lvl>
    <w:lvl w:ilvl="4" w:tplc="7D76B4A2">
      <w:start w:val="1"/>
      <w:numFmt w:val="bullet"/>
      <w:lvlText w:val="o"/>
      <w:lvlJc w:val="left"/>
      <w:pPr>
        <w:tabs>
          <w:tab w:val="num" w:pos="3600"/>
        </w:tabs>
        <w:ind w:left="3600" w:hanging="360"/>
      </w:pPr>
      <w:rPr>
        <w:rFonts w:ascii="Courier New" w:hAnsi="Courier New"/>
      </w:rPr>
    </w:lvl>
    <w:lvl w:ilvl="5" w:tplc="59CC70D2">
      <w:start w:val="1"/>
      <w:numFmt w:val="bullet"/>
      <w:lvlText w:val=""/>
      <w:lvlJc w:val="left"/>
      <w:pPr>
        <w:tabs>
          <w:tab w:val="num" w:pos="4320"/>
        </w:tabs>
        <w:ind w:left="4320" w:hanging="360"/>
      </w:pPr>
      <w:rPr>
        <w:rFonts w:ascii="Wingdings" w:hAnsi="Wingdings"/>
      </w:rPr>
    </w:lvl>
    <w:lvl w:ilvl="6" w:tplc="B77CA68E">
      <w:start w:val="1"/>
      <w:numFmt w:val="bullet"/>
      <w:lvlText w:val=""/>
      <w:lvlJc w:val="left"/>
      <w:pPr>
        <w:tabs>
          <w:tab w:val="num" w:pos="5040"/>
        </w:tabs>
        <w:ind w:left="5040" w:hanging="360"/>
      </w:pPr>
      <w:rPr>
        <w:rFonts w:ascii="Symbol" w:hAnsi="Symbol"/>
      </w:rPr>
    </w:lvl>
    <w:lvl w:ilvl="7" w:tplc="1DA837D4">
      <w:start w:val="1"/>
      <w:numFmt w:val="bullet"/>
      <w:lvlText w:val="o"/>
      <w:lvlJc w:val="left"/>
      <w:pPr>
        <w:tabs>
          <w:tab w:val="num" w:pos="5760"/>
        </w:tabs>
        <w:ind w:left="5760" w:hanging="360"/>
      </w:pPr>
      <w:rPr>
        <w:rFonts w:ascii="Courier New" w:hAnsi="Courier New"/>
      </w:rPr>
    </w:lvl>
    <w:lvl w:ilvl="8" w:tplc="14346CAE">
      <w:start w:val="1"/>
      <w:numFmt w:val="bullet"/>
      <w:lvlText w:val=""/>
      <w:lvlJc w:val="left"/>
      <w:pPr>
        <w:tabs>
          <w:tab w:val="num" w:pos="6480"/>
        </w:tabs>
        <w:ind w:left="6480" w:hanging="360"/>
      </w:pPr>
      <w:rPr>
        <w:rFonts w:ascii="Wingdings" w:hAnsi="Wingdings"/>
      </w:rPr>
    </w:lvl>
  </w:abstractNum>
  <w:abstractNum w:abstractNumId="807" w15:restartNumberingAfterBreak="0">
    <w:nsid w:val="722307E9"/>
    <w:multiLevelType w:val="hybridMultilevel"/>
    <w:tmpl w:val="722307E9"/>
    <w:lvl w:ilvl="0" w:tplc="F9389842">
      <w:start w:val="1"/>
      <w:numFmt w:val="bullet"/>
      <w:lvlText w:val=""/>
      <w:lvlJc w:val="left"/>
      <w:pPr>
        <w:ind w:left="720" w:hanging="360"/>
      </w:pPr>
      <w:rPr>
        <w:rFonts w:ascii="Symbol" w:hAnsi="Symbol"/>
      </w:rPr>
    </w:lvl>
    <w:lvl w:ilvl="1" w:tplc="BBDA1B5C">
      <w:start w:val="1"/>
      <w:numFmt w:val="bullet"/>
      <w:lvlText w:val="o"/>
      <w:lvlJc w:val="left"/>
      <w:pPr>
        <w:tabs>
          <w:tab w:val="num" w:pos="1440"/>
        </w:tabs>
        <w:ind w:left="1440" w:hanging="360"/>
      </w:pPr>
      <w:rPr>
        <w:rFonts w:ascii="Courier New" w:hAnsi="Courier New"/>
      </w:rPr>
    </w:lvl>
    <w:lvl w:ilvl="2" w:tplc="DBD8760C">
      <w:start w:val="1"/>
      <w:numFmt w:val="bullet"/>
      <w:lvlText w:val=""/>
      <w:lvlJc w:val="left"/>
      <w:pPr>
        <w:tabs>
          <w:tab w:val="num" w:pos="2160"/>
        </w:tabs>
        <w:ind w:left="2160" w:hanging="360"/>
      </w:pPr>
      <w:rPr>
        <w:rFonts w:ascii="Wingdings" w:hAnsi="Wingdings"/>
      </w:rPr>
    </w:lvl>
    <w:lvl w:ilvl="3" w:tplc="3B664346">
      <w:start w:val="1"/>
      <w:numFmt w:val="bullet"/>
      <w:lvlText w:val=""/>
      <w:lvlJc w:val="left"/>
      <w:pPr>
        <w:tabs>
          <w:tab w:val="num" w:pos="2880"/>
        </w:tabs>
        <w:ind w:left="2880" w:hanging="360"/>
      </w:pPr>
      <w:rPr>
        <w:rFonts w:ascii="Symbol" w:hAnsi="Symbol"/>
      </w:rPr>
    </w:lvl>
    <w:lvl w:ilvl="4" w:tplc="5FE2C524">
      <w:start w:val="1"/>
      <w:numFmt w:val="bullet"/>
      <w:lvlText w:val="o"/>
      <w:lvlJc w:val="left"/>
      <w:pPr>
        <w:tabs>
          <w:tab w:val="num" w:pos="3600"/>
        </w:tabs>
        <w:ind w:left="3600" w:hanging="360"/>
      </w:pPr>
      <w:rPr>
        <w:rFonts w:ascii="Courier New" w:hAnsi="Courier New"/>
      </w:rPr>
    </w:lvl>
    <w:lvl w:ilvl="5" w:tplc="6BE6C280">
      <w:start w:val="1"/>
      <w:numFmt w:val="bullet"/>
      <w:lvlText w:val=""/>
      <w:lvlJc w:val="left"/>
      <w:pPr>
        <w:tabs>
          <w:tab w:val="num" w:pos="4320"/>
        </w:tabs>
        <w:ind w:left="4320" w:hanging="360"/>
      </w:pPr>
      <w:rPr>
        <w:rFonts w:ascii="Wingdings" w:hAnsi="Wingdings"/>
      </w:rPr>
    </w:lvl>
    <w:lvl w:ilvl="6" w:tplc="5FC479EC">
      <w:start w:val="1"/>
      <w:numFmt w:val="bullet"/>
      <w:lvlText w:val=""/>
      <w:lvlJc w:val="left"/>
      <w:pPr>
        <w:tabs>
          <w:tab w:val="num" w:pos="5040"/>
        </w:tabs>
        <w:ind w:left="5040" w:hanging="360"/>
      </w:pPr>
      <w:rPr>
        <w:rFonts w:ascii="Symbol" w:hAnsi="Symbol"/>
      </w:rPr>
    </w:lvl>
    <w:lvl w:ilvl="7" w:tplc="C528047E">
      <w:start w:val="1"/>
      <w:numFmt w:val="bullet"/>
      <w:lvlText w:val="o"/>
      <w:lvlJc w:val="left"/>
      <w:pPr>
        <w:tabs>
          <w:tab w:val="num" w:pos="5760"/>
        </w:tabs>
        <w:ind w:left="5760" w:hanging="360"/>
      </w:pPr>
      <w:rPr>
        <w:rFonts w:ascii="Courier New" w:hAnsi="Courier New"/>
      </w:rPr>
    </w:lvl>
    <w:lvl w:ilvl="8" w:tplc="C8644EE4">
      <w:start w:val="1"/>
      <w:numFmt w:val="bullet"/>
      <w:lvlText w:val=""/>
      <w:lvlJc w:val="left"/>
      <w:pPr>
        <w:tabs>
          <w:tab w:val="num" w:pos="6480"/>
        </w:tabs>
        <w:ind w:left="6480" w:hanging="360"/>
      </w:pPr>
      <w:rPr>
        <w:rFonts w:ascii="Wingdings" w:hAnsi="Wingdings"/>
      </w:rPr>
    </w:lvl>
  </w:abstractNum>
  <w:abstractNum w:abstractNumId="808" w15:restartNumberingAfterBreak="0">
    <w:nsid w:val="722307EA"/>
    <w:multiLevelType w:val="hybridMultilevel"/>
    <w:tmpl w:val="722307EA"/>
    <w:lvl w:ilvl="0" w:tplc="C1543938">
      <w:start w:val="1"/>
      <w:numFmt w:val="bullet"/>
      <w:lvlText w:val=""/>
      <w:lvlJc w:val="left"/>
      <w:pPr>
        <w:ind w:left="720" w:hanging="360"/>
      </w:pPr>
      <w:rPr>
        <w:rFonts w:ascii="Symbol" w:hAnsi="Symbol"/>
      </w:rPr>
    </w:lvl>
    <w:lvl w:ilvl="1" w:tplc="6C22C7EA">
      <w:start w:val="1"/>
      <w:numFmt w:val="bullet"/>
      <w:lvlText w:val="o"/>
      <w:lvlJc w:val="left"/>
      <w:pPr>
        <w:tabs>
          <w:tab w:val="num" w:pos="1440"/>
        </w:tabs>
        <w:ind w:left="1440" w:hanging="360"/>
      </w:pPr>
      <w:rPr>
        <w:rFonts w:ascii="Courier New" w:hAnsi="Courier New"/>
      </w:rPr>
    </w:lvl>
    <w:lvl w:ilvl="2" w:tplc="DEDAE5C0">
      <w:start w:val="1"/>
      <w:numFmt w:val="bullet"/>
      <w:lvlText w:val=""/>
      <w:lvlJc w:val="left"/>
      <w:pPr>
        <w:tabs>
          <w:tab w:val="num" w:pos="2160"/>
        </w:tabs>
        <w:ind w:left="2160" w:hanging="360"/>
      </w:pPr>
      <w:rPr>
        <w:rFonts w:ascii="Wingdings" w:hAnsi="Wingdings"/>
      </w:rPr>
    </w:lvl>
    <w:lvl w:ilvl="3" w:tplc="9918CED0">
      <w:start w:val="1"/>
      <w:numFmt w:val="bullet"/>
      <w:lvlText w:val=""/>
      <w:lvlJc w:val="left"/>
      <w:pPr>
        <w:tabs>
          <w:tab w:val="num" w:pos="2880"/>
        </w:tabs>
        <w:ind w:left="2880" w:hanging="360"/>
      </w:pPr>
      <w:rPr>
        <w:rFonts w:ascii="Symbol" w:hAnsi="Symbol"/>
      </w:rPr>
    </w:lvl>
    <w:lvl w:ilvl="4" w:tplc="ADE4829C">
      <w:start w:val="1"/>
      <w:numFmt w:val="bullet"/>
      <w:lvlText w:val="o"/>
      <w:lvlJc w:val="left"/>
      <w:pPr>
        <w:tabs>
          <w:tab w:val="num" w:pos="3600"/>
        </w:tabs>
        <w:ind w:left="3600" w:hanging="360"/>
      </w:pPr>
      <w:rPr>
        <w:rFonts w:ascii="Courier New" w:hAnsi="Courier New"/>
      </w:rPr>
    </w:lvl>
    <w:lvl w:ilvl="5" w:tplc="0002C53E">
      <w:start w:val="1"/>
      <w:numFmt w:val="bullet"/>
      <w:lvlText w:val=""/>
      <w:lvlJc w:val="left"/>
      <w:pPr>
        <w:tabs>
          <w:tab w:val="num" w:pos="4320"/>
        </w:tabs>
        <w:ind w:left="4320" w:hanging="360"/>
      </w:pPr>
      <w:rPr>
        <w:rFonts w:ascii="Wingdings" w:hAnsi="Wingdings"/>
      </w:rPr>
    </w:lvl>
    <w:lvl w:ilvl="6" w:tplc="8E5E3836">
      <w:start w:val="1"/>
      <w:numFmt w:val="bullet"/>
      <w:lvlText w:val=""/>
      <w:lvlJc w:val="left"/>
      <w:pPr>
        <w:tabs>
          <w:tab w:val="num" w:pos="5040"/>
        </w:tabs>
        <w:ind w:left="5040" w:hanging="360"/>
      </w:pPr>
      <w:rPr>
        <w:rFonts w:ascii="Symbol" w:hAnsi="Symbol"/>
      </w:rPr>
    </w:lvl>
    <w:lvl w:ilvl="7" w:tplc="C3B6C16E">
      <w:start w:val="1"/>
      <w:numFmt w:val="bullet"/>
      <w:lvlText w:val="o"/>
      <w:lvlJc w:val="left"/>
      <w:pPr>
        <w:tabs>
          <w:tab w:val="num" w:pos="5760"/>
        </w:tabs>
        <w:ind w:left="5760" w:hanging="360"/>
      </w:pPr>
      <w:rPr>
        <w:rFonts w:ascii="Courier New" w:hAnsi="Courier New"/>
      </w:rPr>
    </w:lvl>
    <w:lvl w:ilvl="8" w:tplc="0B7ACB1E">
      <w:start w:val="1"/>
      <w:numFmt w:val="bullet"/>
      <w:lvlText w:val=""/>
      <w:lvlJc w:val="left"/>
      <w:pPr>
        <w:tabs>
          <w:tab w:val="num" w:pos="6480"/>
        </w:tabs>
        <w:ind w:left="6480" w:hanging="360"/>
      </w:pPr>
      <w:rPr>
        <w:rFonts w:ascii="Wingdings" w:hAnsi="Wingdings"/>
      </w:rPr>
    </w:lvl>
  </w:abstractNum>
  <w:abstractNum w:abstractNumId="809" w15:restartNumberingAfterBreak="0">
    <w:nsid w:val="722307EB"/>
    <w:multiLevelType w:val="hybridMultilevel"/>
    <w:tmpl w:val="722307EB"/>
    <w:lvl w:ilvl="0" w:tplc="09DEE3FE">
      <w:start w:val="1"/>
      <w:numFmt w:val="bullet"/>
      <w:lvlText w:val=""/>
      <w:lvlJc w:val="left"/>
      <w:pPr>
        <w:ind w:left="720" w:hanging="360"/>
      </w:pPr>
      <w:rPr>
        <w:rFonts w:ascii="Symbol" w:hAnsi="Symbol"/>
      </w:rPr>
    </w:lvl>
    <w:lvl w:ilvl="1" w:tplc="49C80ED2">
      <w:start w:val="1"/>
      <w:numFmt w:val="bullet"/>
      <w:lvlText w:val="o"/>
      <w:lvlJc w:val="left"/>
      <w:pPr>
        <w:tabs>
          <w:tab w:val="num" w:pos="1440"/>
        </w:tabs>
        <w:ind w:left="1440" w:hanging="360"/>
      </w:pPr>
      <w:rPr>
        <w:rFonts w:ascii="Courier New" w:hAnsi="Courier New"/>
      </w:rPr>
    </w:lvl>
    <w:lvl w:ilvl="2" w:tplc="FC249322">
      <w:start w:val="1"/>
      <w:numFmt w:val="bullet"/>
      <w:lvlText w:val=""/>
      <w:lvlJc w:val="left"/>
      <w:pPr>
        <w:tabs>
          <w:tab w:val="num" w:pos="2160"/>
        </w:tabs>
        <w:ind w:left="2160" w:hanging="360"/>
      </w:pPr>
      <w:rPr>
        <w:rFonts w:ascii="Wingdings" w:hAnsi="Wingdings"/>
      </w:rPr>
    </w:lvl>
    <w:lvl w:ilvl="3" w:tplc="1D8A912A">
      <w:start w:val="1"/>
      <w:numFmt w:val="bullet"/>
      <w:lvlText w:val=""/>
      <w:lvlJc w:val="left"/>
      <w:pPr>
        <w:tabs>
          <w:tab w:val="num" w:pos="2880"/>
        </w:tabs>
        <w:ind w:left="2880" w:hanging="360"/>
      </w:pPr>
      <w:rPr>
        <w:rFonts w:ascii="Symbol" w:hAnsi="Symbol"/>
      </w:rPr>
    </w:lvl>
    <w:lvl w:ilvl="4" w:tplc="710446E0">
      <w:start w:val="1"/>
      <w:numFmt w:val="bullet"/>
      <w:lvlText w:val="o"/>
      <w:lvlJc w:val="left"/>
      <w:pPr>
        <w:tabs>
          <w:tab w:val="num" w:pos="3600"/>
        </w:tabs>
        <w:ind w:left="3600" w:hanging="360"/>
      </w:pPr>
      <w:rPr>
        <w:rFonts w:ascii="Courier New" w:hAnsi="Courier New"/>
      </w:rPr>
    </w:lvl>
    <w:lvl w:ilvl="5" w:tplc="4AE23E02">
      <w:start w:val="1"/>
      <w:numFmt w:val="bullet"/>
      <w:lvlText w:val=""/>
      <w:lvlJc w:val="left"/>
      <w:pPr>
        <w:tabs>
          <w:tab w:val="num" w:pos="4320"/>
        </w:tabs>
        <w:ind w:left="4320" w:hanging="360"/>
      </w:pPr>
      <w:rPr>
        <w:rFonts w:ascii="Wingdings" w:hAnsi="Wingdings"/>
      </w:rPr>
    </w:lvl>
    <w:lvl w:ilvl="6" w:tplc="43EE4D74">
      <w:start w:val="1"/>
      <w:numFmt w:val="bullet"/>
      <w:lvlText w:val=""/>
      <w:lvlJc w:val="left"/>
      <w:pPr>
        <w:tabs>
          <w:tab w:val="num" w:pos="5040"/>
        </w:tabs>
        <w:ind w:left="5040" w:hanging="360"/>
      </w:pPr>
      <w:rPr>
        <w:rFonts w:ascii="Symbol" w:hAnsi="Symbol"/>
      </w:rPr>
    </w:lvl>
    <w:lvl w:ilvl="7" w:tplc="C826040A">
      <w:start w:val="1"/>
      <w:numFmt w:val="bullet"/>
      <w:lvlText w:val="o"/>
      <w:lvlJc w:val="left"/>
      <w:pPr>
        <w:tabs>
          <w:tab w:val="num" w:pos="5760"/>
        </w:tabs>
        <w:ind w:left="5760" w:hanging="360"/>
      </w:pPr>
      <w:rPr>
        <w:rFonts w:ascii="Courier New" w:hAnsi="Courier New"/>
      </w:rPr>
    </w:lvl>
    <w:lvl w:ilvl="8" w:tplc="397CA3AC">
      <w:start w:val="1"/>
      <w:numFmt w:val="bullet"/>
      <w:lvlText w:val=""/>
      <w:lvlJc w:val="left"/>
      <w:pPr>
        <w:tabs>
          <w:tab w:val="num" w:pos="6480"/>
        </w:tabs>
        <w:ind w:left="6480" w:hanging="360"/>
      </w:pPr>
      <w:rPr>
        <w:rFonts w:ascii="Wingdings" w:hAnsi="Wingdings"/>
      </w:rPr>
    </w:lvl>
  </w:abstractNum>
  <w:abstractNum w:abstractNumId="810" w15:restartNumberingAfterBreak="0">
    <w:nsid w:val="722307EC"/>
    <w:multiLevelType w:val="hybridMultilevel"/>
    <w:tmpl w:val="722307EC"/>
    <w:lvl w:ilvl="0" w:tplc="FDD6C416">
      <w:start w:val="1"/>
      <w:numFmt w:val="bullet"/>
      <w:lvlText w:val=""/>
      <w:lvlJc w:val="left"/>
      <w:pPr>
        <w:ind w:left="720" w:hanging="360"/>
      </w:pPr>
      <w:rPr>
        <w:rFonts w:ascii="Symbol" w:hAnsi="Symbol"/>
      </w:rPr>
    </w:lvl>
    <w:lvl w:ilvl="1" w:tplc="F7622B9C">
      <w:start w:val="1"/>
      <w:numFmt w:val="bullet"/>
      <w:lvlText w:val="o"/>
      <w:lvlJc w:val="left"/>
      <w:pPr>
        <w:tabs>
          <w:tab w:val="num" w:pos="1440"/>
        </w:tabs>
        <w:ind w:left="1440" w:hanging="360"/>
      </w:pPr>
      <w:rPr>
        <w:rFonts w:ascii="Courier New" w:hAnsi="Courier New"/>
      </w:rPr>
    </w:lvl>
    <w:lvl w:ilvl="2" w:tplc="50424C48">
      <w:start w:val="1"/>
      <w:numFmt w:val="bullet"/>
      <w:lvlText w:val=""/>
      <w:lvlJc w:val="left"/>
      <w:pPr>
        <w:tabs>
          <w:tab w:val="num" w:pos="2160"/>
        </w:tabs>
        <w:ind w:left="2160" w:hanging="360"/>
      </w:pPr>
      <w:rPr>
        <w:rFonts w:ascii="Wingdings" w:hAnsi="Wingdings"/>
      </w:rPr>
    </w:lvl>
    <w:lvl w:ilvl="3" w:tplc="F9CA4E8E">
      <w:start w:val="1"/>
      <w:numFmt w:val="bullet"/>
      <w:lvlText w:val=""/>
      <w:lvlJc w:val="left"/>
      <w:pPr>
        <w:tabs>
          <w:tab w:val="num" w:pos="2880"/>
        </w:tabs>
        <w:ind w:left="2880" w:hanging="360"/>
      </w:pPr>
      <w:rPr>
        <w:rFonts w:ascii="Symbol" w:hAnsi="Symbol"/>
      </w:rPr>
    </w:lvl>
    <w:lvl w:ilvl="4" w:tplc="2A6E3380">
      <w:start w:val="1"/>
      <w:numFmt w:val="bullet"/>
      <w:lvlText w:val="o"/>
      <w:lvlJc w:val="left"/>
      <w:pPr>
        <w:tabs>
          <w:tab w:val="num" w:pos="3600"/>
        </w:tabs>
        <w:ind w:left="3600" w:hanging="360"/>
      </w:pPr>
      <w:rPr>
        <w:rFonts w:ascii="Courier New" w:hAnsi="Courier New"/>
      </w:rPr>
    </w:lvl>
    <w:lvl w:ilvl="5" w:tplc="0EE0F944">
      <w:start w:val="1"/>
      <w:numFmt w:val="bullet"/>
      <w:lvlText w:val=""/>
      <w:lvlJc w:val="left"/>
      <w:pPr>
        <w:tabs>
          <w:tab w:val="num" w:pos="4320"/>
        </w:tabs>
        <w:ind w:left="4320" w:hanging="360"/>
      </w:pPr>
      <w:rPr>
        <w:rFonts w:ascii="Wingdings" w:hAnsi="Wingdings"/>
      </w:rPr>
    </w:lvl>
    <w:lvl w:ilvl="6" w:tplc="6B2ACB90">
      <w:start w:val="1"/>
      <w:numFmt w:val="bullet"/>
      <w:lvlText w:val=""/>
      <w:lvlJc w:val="left"/>
      <w:pPr>
        <w:tabs>
          <w:tab w:val="num" w:pos="5040"/>
        </w:tabs>
        <w:ind w:left="5040" w:hanging="360"/>
      </w:pPr>
      <w:rPr>
        <w:rFonts w:ascii="Symbol" w:hAnsi="Symbol"/>
      </w:rPr>
    </w:lvl>
    <w:lvl w:ilvl="7" w:tplc="0ADE4A3E">
      <w:start w:val="1"/>
      <w:numFmt w:val="bullet"/>
      <w:lvlText w:val="o"/>
      <w:lvlJc w:val="left"/>
      <w:pPr>
        <w:tabs>
          <w:tab w:val="num" w:pos="5760"/>
        </w:tabs>
        <w:ind w:left="5760" w:hanging="360"/>
      </w:pPr>
      <w:rPr>
        <w:rFonts w:ascii="Courier New" w:hAnsi="Courier New"/>
      </w:rPr>
    </w:lvl>
    <w:lvl w:ilvl="8" w:tplc="86D64880">
      <w:start w:val="1"/>
      <w:numFmt w:val="bullet"/>
      <w:lvlText w:val=""/>
      <w:lvlJc w:val="left"/>
      <w:pPr>
        <w:tabs>
          <w:tab w:val="num" w:pos="6480"/>
        </w:tabs>
        <w:ind w:left="6480" w:hanging="360"/>
      </w:pPr>
      <w:rPr>
        <w:rFonts w:ascii="Wingdings" w:hAnsi="Wingdings"/>
      </w:rPr>
    </w:lvl>
  </w:abstractNum>
  <w:abstractNum w:abstractNumId="811" w15:restartNumberingAfterBreak="0">
    <w:nsid w:val="722307ED"/>
    <w:multiLevelType w:val="hybridMultilevel"/>
    <w:tmpl w:val="722307ED"/>
    <w:lvl w:ilvl="0" w:tplc="F33CD386">
      <w:start w:val="1"/>
      <w:numFmt w:val="bullet"/>
      <w:lvlText w:val=""/>
      <w:lvlJc w:val="left"/>
      <w:pPr>
        <w:tabs>
          <w:tab w:val="num" w:pos="720"/>
        </w:tabs>
        <w:ind w:left="720" w:hanging="360"/>
      </w:pPr>
      <w:rPr>
        <w:rFonts w:ascii="Symbol" w:hAnsi="Symbol"/>
      </w:rPr>
    </w:lvl>
    <w:lvl w:ilvl="1" w:tplc="4BE64E10">
      <w:start w:val="1"/>
      <w:numFmt w:val="bullet"/>
      <w:lvlText w:val="o"/>
      <w:lvlJc w:val="left"/>
      <w:pPr>
        <w:tabs>
          <w:tab w:val="num" w:pos="1440"/>
        </w:tabs>
        <w:ind w:left="1440" w:hanging="360"/>
      </w:pPr>
      <w:rPr>
        <w:rFonts w:ascii="Courier New" w:hAnsi="Courier New"/>
      </w:rPr>
    </w:lvl>
    <w:lvl w:ilvl="2" w:tplc="1D4EC026">
      <w:start w:val="1"/>
      <w:numFmt w:val="bullet"/>
      <w:lvlText w:val=""/>
      <w:lvlJc w:val="left"/>
      <w:pPr>
        <w:tabs>
          <w:tab w:val="num" w:pos="2160"/>
        </w:tabs>
        <w:ind w:left="2160" w:hanging="360"/>
      </w:pPr>
      <w:rPr>
        <w:rFonts w:ascii="Wingdings" w:hAnsi="Wingdings"/>
      </w:rPr>
    </w:lvl>
    <w:lvl w:ilvl="3" w:tplc="EA94EA9C">
      <w:start w:val="1"/>
      <w:numFmt w:val="bullet"/>
      <w:lvlText w:val=""/>
      <w:lvlJc w:val="left"/>
      <w:pPr>
        <w:tabs>
          <w:tab w:val="num" w:pos="2880"/>
        </w:tabs>
        <w:ind w:left="2880" w:hanging="360"/>
      </w:pPr>
      <w:rPr>
        <w:rFonts w:ascii="Symbol" w:hAnsi="Symbol"/>
      </w:rPr>
    </w:lvl>
    <w:lvl w:ilvl="4" w:tplc="E4286154">
      <w:start w:val="1"/>
      <w:numFmt w:val="bullet"/>
      <w:lvlText w:val="o"/>
      <w:lvlJc w:val="left"/>
      <w:pPr>
        <w:tabs>
          <w:tab w:val="num" w:pos="3600"/>
        </w:tabs>
        <w:ind w:left="3600" w:hanging="360"/>
      </w:pPr>
      <w:rPr>
        <w:rFonts w:ascii="Courier New" w:hAnsi="Courier New"/>
      </w:rPr>
    </w:lvl>
    <w:lvl w:ilvl="5" w:tplc="557E2D26">
      <w:start w:val="1"/>
      <w:numFmt w:val="bullet"/>
      <w:lvlText w:val=""/>
      <w:lvlJc w:val="left"/>
      <w:pPr>
        <w:tabs>
          <w:tab w:val="num" w:pos="4320"/>
        </w:tabs>
        <w:ind w:left="4320" w:hanging="360"/>
      </w:pPr>
      <w:rPr>
        <w:rFonts w:ascii="Wingdings" w:hAnsi="Wingdings"/>
      </w:rPr>
    </w:lvl>
    <w:lvl w:ilvl="6" w:tplc="930496E8">
      <w:start w:val="1"/>
      <w:numFmt w:val="bullet"/>
      <w:lvlText w:val=""/>
      <w:lvlJc w:val="left"/>
      <w:pPr>
        <w:tabs>
          <w:tab w:val="num" w:pos="5040"/>
        </w:tabs>
        <w:ind w:left="5040" w:hanging="360"/>
      </w:pPr>
      <w:rPr>
        <w:rFonts w:ascii="Symbol" w:hAnsi="Symbol"/>
      </w:rPr>
    </w:lvl>
    <w:lvl w:ilvl="7" w:tplc="EA44C6D4">
      <w:start w:val="1"/>
      <w:numFmt w:val="bullet"/>
      <w:lvlText w:val="o"/>
      <w:lvlJc w:val="left"/>
      <w:pPr>
        <w:tabs>
          <w:tab w:val="num" w:pos="5760"/>
        </w:tabs>
        <w:ind w:left="5760" w:hanging="360"/>
      </w:pPr>
      <w:rPr>
        <w:rFonts w:ascii="Courier New" w:hAnsi="Courier New"/>
      </w:rPr>
    </w:lvl>
    <w:lvl w:ilvl="8" w:tplc="68C4AB08">
      <w:start w:val="1"/>
      <w:numFmt w:val="bullet"/>
      <w:lvlText w:val=""/>
      <w:lvlJc w:val="left"/>
      <w:pPr>
        <w:tabs>
          <w:tab w:val="num" w:pos="6480"/>
        </w:tabs>
        <w:ind w:left="6480" w:hanging="360"/>
      </w:pPr>
      <w:rPr>
        <w:rFonts w:ascii="Wingdings" w:hAnsi="Wingdings"/>
      </w:rPr>
    </w:lvl>
  </w:abstractNum>
  <w:abstractNum w:abstractNumId="812" w15:restartNumberingAfterBreak="0">
    <w:nsid w:val="722307EE"/>
    <w:multiLevelType w:val="hybridMultilevel"/>
    <w:tmpl w:val="722307EE"/>
    <w:lvl w:ilvl="0" w:tplc="776E1536">
      <w:start w:val="1"/>
      <w:numFmt w:val="bullet"/>
      <w:lvlText w:val=""/>
      <w:lvlJc w:val="left"/>
      <w:pPr>
        <w:ind w:left="720" w:hanging="360"/>
      </w:pPr>
      <w:rPr>
        <w:rFonts w:ascii="Symbol" w:hAnsi="Symbol"/>
      </w:rPr>
    </w:lvl>
    <w:lvl w:ilvl="1" w:tplc="108061B4">
      <w:start w:val="1"/>
      <w:numFmt w:val="bullet"/>
      <w:lvlText w:val="o"/>
      <w:lvlJc w:val="left"/>
      <w:pPr>
        <w:tabs>
          <w:tab w:val="num" w:pos="1440"/>
        </w:tabs>
        <w:ind w:left="1440" w:hanging="360"/>
      </w:pPr>
      <w:rPr>
        <w:rFonts w:ascii="Courier New" w:hAnsi="Courier New"/>
      </w:rPr>
    </w:lvl>
    <w:lvl w:ilvl="2" w:tplc="C44AC190">
      <w:start w:val="1"/>
      <w:numFmt w:val="bullet"/>
      <w:lvlText w:val=""/>
      <w:lvlJc w:val="left"/>
      <w:pPr>
        <w:tabs>
          <w:tab w:val="num" w:pos="2160"/>
        </w:tabs>
        <w:ind w:left="2160" w:hanging="360"/>
      </w:pPr>
      <w:rPr>
        <w:rFonts w:ascii="Wingdings" w:hAnsi="Wingdings"/>
      </w:rPr>
    </w:lvl>
    <w:lvl w:ilvl="3" w:tplc="2E5ABA7A">
      <w:start w:val="1"/>
      <w:numFmt w:val="bullet"/>
      <w:lvlText w:val=""/>
      <w:lvlJc w:val="left"/>
      <w:pPr>
        <w:tabs>
          <w:tab w:val="num" w:pos="2880"/>
        </w:tabs>
        <w:ind w:left="2880" w:hanging="360"/>
      </w:pPr>
      <w:rPr>
        <w:rFonts w:ascii="Symbol" w:hAnsi="Symbol"/>
      </w:rPr>
    </w:lvl>
    <w:lvl w:ilvl="4" w:tplc="5C36E036">
      <w:start w:val="1"/>
      <w:numFmt w:val="bullet"/>
      <w:lvlText w:val="o"/>
      <w:lvlJc w:val="left"/>
      <w:pPr>
        <w:tabs>
          <w:tab w:val="num" w:pos="3600"/>
        </w:tabs>
        <w:ind w:left="3600" w:hanging="360"/>
      </w:pPr>
      <w:rPr>
        <w:rFonts w:ascii="Courier New" w:hAnsi="Courier New"/>
      </w:rPr>
    </w:lvl>
    <w:lvl w:ilvl="5" w:tplc="3CE47C92">
      <w:start w:val="1"/>
      <w:numFmt w:val="bullet"/>
      <w:lvlText w:val=""/>
      <w:lvlJc w:val="left"/>
      <w:pPr>
        <w:tabs>
          <w:tab w:val="num" w:pos="4320"/>
        </w:tabs>
        <w:ind w:left="4320" w:hanging="360"/>
      </w:pPr>
      <w:rPr>
        <w:rFonts w:ascii="Wingdings" w:hAnsi="Wingdings"/>
      </w:rPr>
    </w:lvl>
    <w:lvl w:ilvl="6" w:tplc="6E6CC4AA">
      <w:start w:val="1"/>
      <w:numFmt w:val="bullet"/>
      <w:lvlText w:val=""/>
      <w:lvlJc w:val="left"/>
      <w:pPr>
        <w:tabs>
          <w:tab w:val="num" w:pos="5040"/>
        </w:tabs>
        <w:ind w:left="5040" w:hanging="360"/>
      </w:pPr>
      <w:rPr>
        <w:rFonts w:ascii="Symbol" w:hAnsi="Symbol"/>
      </w:rPr>
    </w:lvl>
    <w:lvl w:ilvl="7" w:tplc="515E1B7C">
      <w:start w:val="1"/>
      <w:numFmt w:val="bullet"/>
      <w:lvlText w:val="o"/>
      <w:lvlJc w:val="left"/>
      <w:pPr>
        <w:tabs>
          <w:tab w:val="num" w:pos="5760"/>
        </w:tabs>
        <w:ind w:left="5760" w:hanging="360"/>
      </w:pPr>
      <w:rPr>
        <w:rFonts w:ascii="Courier New" w:hAnsi="Courier New"/>
      </w:rPr>
    </w:lvl>
    <w:lvl w:ilvl="8" w:tplc="D3CE2764">
      <w:start w:val="1"/>
      <w:numFmt w:val="bullet"/>
      <w:lvlText w:val=""/>
      <w:lvlJc w:val="left"/>
      <w:pPr>
        <w:tabs>
          <w:tab w:val="num" w:pos="6480"/>
        </w:tabs>
        <w:ind w:left="6480" w:hanging="360"/>
      </w:pPr>
      <w:rPr>
        <w:rFonts w:ascii="Wingdings" w:hAnsi="Wingdings"/>
      </w:rPr>
    </w:lvl>
  </w:abstractNum>
  <w:abstractNum w:abstractNumId="813" w15:restartNumberingAfterBreak="0">
    <w:nsid w:val="722307EF"/>
    <w:multiLevelType w:val="hybridMultilevel"/>
    <w:tmpl w:val="722307EF"/>
    <w:lvl w:ilvl="0" w:tplc="4FE8EC4E">
      <w:start w:val="1"/>
      <w:numFmt w:val="bullet"/>
      <w:lvlText w:val=""/>
      <w:lvlJc w:val="left"/>
      <w:pPr>
        <w:ind w:left="720" w:hanging="360"/>
      </w:pPr>
      <w:rPr>
        <w:rFonts w:ascii="Symbol" w:hAnsi="Symbol"/>
      </w:rPr>
    </w:lvl>
    <w:lvl w:ilvl="1" w:tplc="0C6CC61E">
      <w:start w:val="1"/>
      <w:numFmt w:val="bullet"/>
      <w:lvlText w:val="o"/>
      <w:lvlJc w:val="left"/>
      <w:pPr>
        <w:tabs>
          <w:tab w:val="num" w:pos="1440"/>
        </w:tabs>
        <w:ind w:left="1440" w:hanging="360"/>
      </w:pPr>
      <w:rPr>
        <w:rFonts w:ascii="Courier New" w:hAnsi="Courier New"/>
      </w:rPr>
    </w:lvl>
    <w:lvl w:ilvl="2" w:tplc="0512E77A">
      <w:start w:val="1"/>
      <w:numFmt w:val="bullet"/>
      <w:lvlText w:val=""/>
      <w:lvlJc w:val="left"/>
      <w:pPr>
        <w:tabs>
          <w:tab w:val="num" w:pos="2160"/>
        </w:tabs>
        <w:ind w:left="2160" w:hanging="360"/>
      </w:pPr>
      <w:rPr>
        <w:rFonts w:ascii="Wingdings" w:hAnsi="Wingdings"/>
      </w:rPr>
    </w:lvl>
    <w:lvl w:ilvl="3" w:tplc="CC30E1A0">
      <w:start w:val="1"/>
      <w:numFmt w:val="bullet"/>
      <w:lvlText w:val=""/>
      <w:lvlJc w:val="left"/>
      <w:pPr>
        <w:tabs>
          <w:tab w:val="num" w:pos="2880"/>
        </w:tabs>
        <w:ind w:left="2880" w:hanging="360"/>
      </w:pPr>
      <w:rPr>
        <w:rFonts w:ascii="Symbol" w:hAnsi="Symbol"/>
      </w:rPr>
    </w:lvl>
    <w:lvl w:ilvl="4" w:tplc="5AD4D260">
      <w:start w:val="1"/>
      <w:numFmt w:val="bullet"/>
      <w:lvlText w:val="o"/>
      <w:lvlJc w:val="left"/>
      <w:pPr>
        <w:tabs>
          <w:tab w:val="num" w:pos="3600"/>
        </w:tabs>
        <w:ind w:left="3600" w:hanging="360"/>
      </w:pPr>
      <w:rPr>
        <w:rFonts w:ascii="Courier New" w:hAnsi="Courier New"/>
      </w:rPr>
    </w:lvl>
    <w:lvl w:ilvl="5" w:tplc="28F0F026">
      <w:start w:val="1"/>
      <w:numFmt w:val="bullet"/>
      <w:lvlText w:val=""/>
      <w:lvlJc w:val="left"/>
      <w:pPr>
        <w:tabs>
          <w:tab w:val="num" w:pos="4320"/>
        </w:tabs>
        <w:ind w:left="4320" w:hanging="360"/>
      </w:pPr>
      <w:rPr>
        <w:rFonts w:ascii="Wingdings" w:hAnsi="Wingdings"/>
      </w:rPr>
    </w:lvl>
    <w:lvl w:ilvl="6" w:tplc="949EED34">
      <w:start w:val="1"/>
      <w:numFmt w:val="bullet"/>
      <w:lvlText w:val=""/>
      <w:lvlJc w:val="left"/>
      <w:pPr>
        <w:tabs>
          <w:tab w:val="num" w:pos="5040"/>
        </w:tabs>
        <w:ind w:left="5040" w:hanging="360"/>
      </w:pPr>
      <w:rPr>
        <w:rFonts w:ascii="Symbol" w:hAnsi="Symbol"/>
      </w:rPr>
    </w:lvl>
    <w:lvl w:ilvl="7" w:tplc="820EF7C8">
      <w:start w:val="1"/>
      <w:numFmt w:val="bullet"/>
      <w:lvlText w:val="o"/>
      <w:lvlJc w:val="left"/>
      <w:pPr>
        <w:tabs>
          <w:tab w:val="num" w:pos="5760"/>
        </w:tabs>
        <w:ind w:left="5760" w:hanging="360"/>
      </w:pPr>
      <w:rPr>
        <w:rFonts w:ascii="Courier New" w:hAnsi="Courier New"/>
      </w:rPr>
    </w:lvl>
    <w:lvl w:ilvl="8" w:tplc="35EE5800">
      <w:start w:val="1"/>
      <w:numFmt w:val="bullet"/>
      <w:lvlText w:val=""/>
      <w:lvlJc w:val="left"/>
      <w:pPr>
        <w:tabs>
          <w:tab w:val="num" w:pos="6480"/>
        </w:tabs>
        <w:ind w:left="6480" w:hanging="360"/>
      </w:pPr>
      <w:rPr>
        <w:rFonts w:ascii="Wingdings" w:hAnsi="Wingdings"/>
      </w:rPr>
    </w:lvl>
  </w:abstractNum>
  <w:abstractNum w:abstractNumId="814" w15:restartNumberingAfterBreak="0">
    <w:nsid w:val="722307F0"/>
    <w:multiLevelType w:val="hybridMultilevel"/>
    <w:tmpl w:val="722307F0"/>
    <w:lvl w:ilvl="0" w:tplc="838C3B8A">
      <w:start w:val="1"/>
      <w:numFmt w:val="bullet"/>
      <w:lvlText w:val=""/>
      <w:lvlJc w:val="left"/>
      <w:pPr>
        <w:ind w:left="720" w:hanging="360"/>
      </w:pPr>
      <w:rPr>
        <w:rFonts w:ascii="Symbol" w:hAnsi="Symbol"/>
      </w:rPr>
    </w:lvl>
    <w:lvl w:ilvl="1" w:tplc="AEE057BC">
      <w:start w:val="1"/>
      <w:numFmt w:val="bullet"/>
      <w:lvlText w:val="o"/>
      <w:lvlJc w:val="left"/>
      <w:pPr>
        <w:tabs>
          <w:tab w:val="num" w:pos="1440"/>
        </w:tabs>
        <w:ind w:left="1440" w:hanging="360"/>
      </w:pPr>
      <w:rPr>
        <w:rFonts w:ascii="Courier New" w:hAnsi="Courier New"/>
      </w:rPr>
    </w:lvl>
    <w:lvl w:ilvl="2" w:tplc="5FC69CB8">
      <w:start w:val="1"/>
      <w:numFmt w:val="bullet"/>
      <w:lvlText w:val=""/>
      <w:lvlJc w:val="left"/>
      <w:pPr>
        <w:tabs>
          <w:tab w:val="num" w:pos="2160"/>
        </w:tabs>
        <w:ind w:left="2160" w:hanging="360"/>
      </w:pPr>
      <w:rPr>
        <w:rFonts w:ascii="Wingdings" w:hAnsi="Wingdings"/>
      </w:rPr>
    </w:lvl>
    <w:lvl w:ilvl="3" w:tplc="C1D0F0E4">
      <w:start w:val="1"/>
      <w:numFmt w:val="bullet"/>
      <w:lvlText w:val=""/>
      <w:lvlJc w:val="left"/>
      <w:pPr>
        <w:tabs>
          <w:tab w:val="num" w:pos="2880"/>
        </w:tabs>
        <w:ind w:left="2880" w:hanging="360"/>
      </w:pPr>
      <w:rPr>
        <w:rFonts w:ascii="Symbol" w:hAnsi="Symbol"/>
      </w:rPr>
    </w:lvl>
    <w:lvl w:ilvl="4" w:tplc="E556A55E">
      <w:start w:val="1"/>
      <w:numFmt w:val="bullet"/>
      <w:lvlText w:val="o"/>
      <w:lvlJc w:val="left"/>
      <w:pPr>
        <w:tabs>
          <w:tab w:val="num" w:pos="3600"/>
        </w:tabs>
        <w:ind w:left="3600" w:hanging="360"/>
      </w:pPr>
      <w:rPr>
        <w:rFonts w:ascii="Courier New" w:hAnsi="Courier New"/>
      </w:rPr>
    </w:lvl>
    <w:lvl w:ilvl="5" w:tplc="799CC03C">
      <w:start w:val="1"/>
      <w:numFmt w:val="bullet"/>
      <w:lvlText w:val=""/>
      <w:lvlJc w:val="left"/>
      <w:pPr>
        <w:tabs>
          <w:tab w:val="num" w:pos="4320"/>
        </w:tabs>
        <w:ind w:left="4320" w:hanging="360"/>
      </w:pPr>
      <w:rPr>
        <w:rFonts w:ascii="Wingdings" w:hAnsi="Wingdings"/>
      </w:rPr>
    </w:lvl>
    <w:lvl w:ilvl="6" w:tplc="3864E1C4">
      <w:start w:val="1"/>
      <w:numFmt w:val="bullet"/>
      <w:lvlText w:val=""/>
      <w:lvlJc w:val="left"/>
      <w:pPr>
        <w:tabs>
          <w:tab w:val="num" w:pos="5040"/>
        </w:tabs>
        <w:ind w:left="5040" w:hanging="360"/>
      </w:pPr>
      <w:rPr>
        <w:rFonts w:ascii="Symbol" w:hAnsi="Symbol"/>
      </w:rPr>
    </w:lvl>
    <w:lvl w:ilvl="7" w:tplc="A67A0190">
      <w:start w:val="1"/>
      <w:numFmt w:val="bullet"/>
      <w:lvlText w:val="o"/>
      <w:lvlJc w:val="left"/>
      <w:pPr>
        <w:tabs>
          <w:tab w:val="num" w:pos="5760"/>
        </w:tabs>
        <w:ind w:left="5760" w:hanging="360"/>
      </w:pPr>
      <w:rPr>
        <w:rFonts w:ascii="Courier New" w:hAnsi="Courier New"/>
      </w:rPr>
    </w:lvl>
    <w:lvl w:ilvl="8" w:tplc="5128EACA">
      <w:start w:val="1"/>
      <w:numFmt w:val="bullet"/>
      <w:lvlText w:val=""/>
      <w:lvlJc w:val="left"/>
      <w:pPr>
        <w:tabs>
          <w:tab w:val="num" w:pos="6480"/>
        </w:tabs>
        <w:ind w:left="6480" w:hanging="360"/>
      </w:pPr>
      <w:rPr>
        <w:rFonts w:ascii="Wingdings" w:hAnsi="Wingdings"/>
      </w:rPr>
    </w:lvl>
  </w:abstractNum>
  <w:abstractNum w:abstractNumId="815" w15:restartNumberingAfterBreak="0">
    <w:nsid w:val="722307F1"/>
    <w:multiLevelType w:val="hybridMultilevel"/>
    <w:tmpl w:val="722307F1"/>
    <w:lvl w:ilvl="0" w:tplc="0AFE099C">
      <w:start w:val="1"/>
      <w:numFmt w:val="bullet"/>
      <w:lvlText w:val=""/>
      <w:lvlJc w:val="left"/>
      <w:pPr>
        <w:ind w:left="720" w:hanging="360"/>
      </w:pPr>
      <w:rPr>
        <w:rFonts w:ascii="Symbol" w:hAnsi="Symbol"/>
      </w:rPr>
    </w:lvl>
    <w:lvl w:ilvl="1" w:tplc="F70AFFD4">
      <w:start w:val="1"/>
      <w:numFmt w:val="bullet"/>
      <w:lvlText w:val="o"/>
      <w:lvlJc w:val="left"/>
      <w:pPr>
        <w:tabs>
          <w:tab w:val="num" w:pos="1440"/>
        </w:tabs>
        <w:ind w:left="1440" w:hanging="360"/>
      </w:pPr>
      <w:rPr>
        <w:rFonts w:ascii="Courier New" w:hAnsi="Courier New"/>
      </w:rPr>
    </w:lvl>
    <w:lvl w:ilvl="2" w:tplc="14A8D668">
      <w:start w:val="1"/>
      <w:numFmt w:val="bullet"/>
      <w:lvlText w:val=""/>
      <w:lvlJc w:val="left"/>
      <w:pPr>
        <w:tabs>
          <w:tab w:val="num" w:pos="2160"/>
        </w:tabs>
        <w:ind w:left="2160" w:hanging="360"/>
      </w:pPr>
      <w:rPr>
        <w:rFonts w:ascii="Wingdings" w:hAnsi="Wingdings"/>
      </w:rPr>
    </w:lvl>
    <w:lvl w:ilvl="3" w:tplc="FEB07482">
      <w:start w:val="1"/>
      <w:numFmt w:val="bullet"/>
      <w:lvlText w:val=""/>
      <w:lvlJc w:val="left"/>
      <w:pPr>
        <w:tabs>
          <w:tab w:val="num" w:pos="2880"/>
        </w:tabs>
        <w:ind w:left="2880" w:hanging="360"/>
      </w:pPr>
      <w:rPr>
        <w:rFonts w:ascii="Symbol" w:hAnsi="Symbol"/>
      </w:rPr>
    </w:lvl>
    <w:lvl w:ilvl="4" w:tplc="44C24F92">
      <w:start w:val="1"/>
      <w:numFmt w:val="bullet"/>
      <w:lvlText w:val="o"/>
      <w:lvlJc w:val="left"/>
      <w:pPr>
        <w:tabs>
          <w:tab w:val="num" w:pos="3600"/>
        </w:tabs>
        <w:ind w:left="3600" w:hanging="360"/>
      </w:pPr>
      <w:rPr>
        <w:rFonts w:ascii="Courier New" w:hAnsi="Courier New"/>
      </w:rPr>
    </w:lvl>
    <w:lvl w:ilvl="5" w:tplc="0D3E5E74">
      <w:start w:val="1"/>
      <w:numFmt w:val="bullet"/>
      <w:lvlText w:val=""/>
      <w:lvlJc w:val="left"/>
      <w:pPr>
        <w:tabs>
          <w:tab w:val="num" w:pos="4320"/>
        </w:tabs>
        <w:ind w:left="4320" w:hanging="360"/>
      </w:pPr>
      <w:rPr>
        <w:rFonts w:ascii="Wingdings" w:hAnsi="Wingdings"/>
      </w:rPr>
    </w:lvl>
    <w:lvl w:ilvl="6" w:tplc="07EEB760">
      <w:start w:val="1"/>
      <w:numFmt w:val="bullet"/>
      <w:lvlText w:val=""/>
      <w:lvlJc w:val="left"/>
      <w:pPr>
        <w:tabs>
          <w:tab w:val="num" w:pos="5040"/>
        </w:tabs>
        <w:ind w:left="5040" w:hanging="360"/>
      </w:pPr>
      <w:rPr>
        <w:rFonts w:ascii="Symbol" w:hAnsi="Symbol"/>
      </w:rPr>
    </w:lvl>
    <w:lvl w:ilvl="7" w:tplc="52D8BF9C">
      <w:start w:val="1"/>
      <w:numFmt w:val="bullet"/>
      <w:lvlText w:val="o"/>
      <w:lvlJc w:val="left"/>
      <w:pPr>
        <w:tabs>
          <w:tab w:val="num" w:pos="5760"/>
        </w:tabs>
        <w:ind w:left="5760" w:hanging="360"/>
      </w:pPr>
      <w:rPr>
        <w:rFonts w:ascii="Courier New" w:hAnsi="Courier New"/>
      </w:rPr>
    </w:lvl>
    <w:lvl w:ilvl="8" w:tplc="742C4A0C">
      <w:start w:val="1"/>
      <w:numFmt w:val="bullet"/>
      <w:lvlText w:val=""/>
      <w:lvlJc w:val="left"/>
      <w:pPr>
        <w:tabs>
          <w:tab w:val="num" w:pos="6480"/>
        </w:tabs>
        <w:ind w:left="6480" w:hanging="360"/>
      </w:pPr>
      <w:rPr>
        <w:rFonts w:ascii="Wingdings" w:hAnsi="Wingdings"/>
      </w:rPr>
    </w:lvl>
  </w:abstractNum>
  <w:abstractNum w:abstractNumId="816" w15:restartNumberingAfterBreak="0">
    <w:nsid w:val="722307F2"/>
    <w:multiLevelType w:val="hybridMultilevel"/>
    <w:tmpl w:val="722307F2"/>
    <w:lvl w:ilvl="0" w:tplc="AA50672C">
      <w:start w:val="1"/>
      <w:numFmt w:val="bullet"/>
      <w:lvlText w:val=""/>
      <w:lvlJc w:val="left"/>
      <w:pPr>
        <w:tabs>
          <w:tab w:val="num" w:pos="720"/>
        </w:tabs>
        <w:ind w:left="720" w:hanging="360"/>
      </w:pPr>
      <w:rPr>
        <w:rFonts w:ascii="Symbol" w:hAnsi="Symbol"/>
      </w:rPr>
    </w:lvl>
    <w:lvl w:ilvl="1" w:tplc="8408CE54">
      <w:start w:val="1"/>
      <w:numFmt w:val="bullet"/>
      <w:lvlText w:val="o"/>
      <w:lvlJc w:val="left"/>
      <w:pPr>
        <w:tabs>
          <w:tab w:val="num" w:pos="1440"/>
        </w:tabs>
        <w:ind w:left="1440" w:hanging="360"/>
      </w:pPr>
      <w:rPr>
        <w:rFonts w:ascii="Courier New" w:hAnsi="Courier New"/>
      </w:rPr>
    </w:lvl>
    <w:lvl w:ilvl="2" w:tplc="FFDC53AE">
      <w:start w:val="1"/>
      <w:numFmt w:val="bullet"/>
      <w:lvlText w:val=""/>
      <w:lvlJc w:val="left"/>
      <w:pPr>
        <w:tabs>
          <w:tab w:val="num" w:pos="2160"/>
        </w:tabs>
        <w:ind w:left="2160" w:hanging="360"/>
      </w:pPr>
      <w:rPr>
        <w:rFonts w:ascii="Wingdings" w:hAnsi="Wingdings"/>
      </w:rPr>
    </w:lvl>
    <w:lvl w:ilvl="3" w:tplc="D39EF0CC">
      <w:start w:val="1"/>
      <w:numFmt w:val="bullet"/>
      <w:lvlText w:val=""/>
      <w:lvlJc w:val="left"/>
      <w:pPr>
        <w:tabs>
          <w:tab w:val="num" w:pos="2880"/>
        </w:tabs>
        <w:ind w:left="2880" w:hanging="360"/>
      </w:pPr>
      <w:rPr>
        <w:rFonts w:ascii="Symbol" w:hAnsi="Symbol"/>
      </w:rPr>
    </w:lvl>
    <w:lvl w:ilvl="4" w:tplc="53207634">
      <w:start w:val="1"/>
      <w:numFmt w:val="bullet"/>
      <w:lvlText w:val="o"/>
      <w:lvlJc w:val="left"/>
      <w:pPr>
        <w:tabs>
          <w:tab w:val="num" w:pos="3600"/>
        </w:tabs>
        <w:ind w:left="3600" w:hanging="360"/>
      </w:pPr>
      <w:rPr>
        <w:rFonts w:ascii="Courier New" w:hAnsi="Courier New"/>
      </w:rPr>
    </w:lvl>
    <w:lvl w:ilvl="5" w:tplc="3C063AB6">
      <w:start w:val="1"/>
      <w:numFmt w:val="bullet"/>
      <w:lvlText w:val=""/>
      <w:lvlJc w:val="left"/>
      <w:pPr>
        <w:tabs>
          <w:tab w:val="num" w:pos="4320"/>
        </w:tabs>
        <w:ind w:left="4320" w:hanging="360"/>
      </w:pPr>
      <w:rPr>
        <w:rFonts w:ascii="Wingdings" w:hAnsi="Wingdings"/>
      </w:rPr>
    </w:lvl>
    <w:lvl w:ilvl="6" w:tplc="B324DFFA">
      <w:start w:val="1"/>
      <w:numFmt w:val="bullet"/>
      <w:lvlText w:val=""/>
      <w:lvlJc w:val="left"/>
      <w:pPr>
        <w:tabs>
          <w:tab w:val="num" w:pos="5040"/>
        </w:tabs>
        <w:ind w:left="5040" w:hanging="360"/>
      </w:pPr>
      <w:rPr>
        <w:rFonts w:ascii="Symbol" w:hAnsi="Symbol"/>
      </w:rPr>
    </w:lvl>
    <w:lvl w:ilvl="7" w:tplc="39887DEE">
      <w:start w:val="1"/>
      <w:numFmt w:val="bullet"/>
      <w:lvlText w:val="o"/>
      <w:lvlJc w:val="left"/>
      <w:pPr>
        <w:tabs>
          <w:tab w:val="num" w:pos="5760"/>
        </w:tabs>
        <w:ind w:left="5760" w:hanging="360"/>
      </w:pPr>
      <w:rPr>
        <w:rFonts w:ascii="Courier New" w:hAnsi="Courier New"/>
      </w:rPr>
    </w:lvl>
    <w:lvl w:ilvl="8" w:tplc="A5321110">
      <w:start w:val="1"/>
      <w:numFmt w:val="bullet"/>
      <w:lvlText w:val=""/>
      <w:lvlJc w:val="left"/>
      <w:pPr>
        <w:tabs>
          <w:tab w:val="num" w:pos="6480"/>
        </w:tabs>
        <w:ind w:left="6480" w:hanging="360"/>
      </w:pPr>
      <w:rPr>
        <w:rFonts w:ascii="Wingdings" w:hAnsi="Wingdings"/>
      </w:rPr>
    </w:lvl>
  </w:abstractNum>
  <w:abstractNum w:abstractNumId="817" w15:restartNumberingAfterBreak="0">
    <w:nsid w:val="722307F3"/>
    <w:multiLevelType w:val="hybridMultilevel"/>
    <w:tmpl w:val="722307F3"/>
    <w:lvl w:ilvl="0" w:tplc="2812B2B6">
      <w:start w:val="1"/>
      <w:numFmt w:val="bullet"/>
      <w:lvlText w:val=""/>
      <w:lvlJc w:val="left"/>
      <w:pPr>
        <w:ind w:left="720" w:hanging="360"/>
      </w:pPr>
      <w:rPr>
        <w:rFonts w:ascii="Symbol" w:hAnsi="Symbol"/>
      </w:rPr>
    </w:lvl>
    <w:lvl w:ilvl="1" w:tplc="8036FB70">
      <w:start w:val="1"/>
      <w:numFmt w:val="bullet"/>
      <w:lvlText w:val="o"/>
      <w:lvlJc w:val="left"/>
      <w:pPr>
        <w:tabs>
          <w:tab w:val="num" w:pos="1440"/>
        </w:tabs>
        <w:ind w:left="1440" w:hanging="360"/>
      </w:pPr>
      <w:rPr>
        <w:rFonts w:ascii="Courier New" w:hAnsi="Courier New"/>
      </w:rPr>
    </w:lvl>
    <w:lvl w:ilvl="2" w:tplc="8B5270C0">
      <w:start w:val="1"/>
      <w:numFmt w:val="bullet"/>
      <w:lvlText w:val=""/>
      <w:lvlJc w:val="left"/>
      <w:pPr>
        <w:tabs>
          <w:tab w:val="num" w:pos="2160"/>
        </w:tabs>
        <w:ind w:left="2160" w:hanging="360"/>
      </w:pPr>
      <w:rPr>
        <w:rFonts w:ascii="Wingdings" w:hAnsi="Wingdings"/>
      </w:rPr>
    </w:lvl>
    <w:lvl w:ilvl="3" w:tplc="D6E6B780">
      <w:start w:val="1"/>
      <w:numFmt w:val="bullet"/>
      <w:lvlText w:val=""/>
      <w:lvlJc w:val="left"/>
      <w:pPr>
        <w:tabs>
          <w:tab w:val="num" w:pos="2880"/>
        </w:tabs>
        <w:ind w:left="2880" w:hanging="360"/>
      </w:pPr>
      <w:rPr>
        <w:rFonts w:ascii="Symbol" w:hAnsi="Symbol"/>
      </w:rPr>
    </w:lvl>
    <w:lvl w:ilvl="4" w:tplc="4322FE8E">
      <w:start w:val="1"/>
      <w:numFmt w:val="bullet"/>
      <w:lvlText w:val="o"/>
      <w:lvlJc w:val="left"/>
      <w:pPr>
        <w:tabs>
          <w:tab w:val="num" w:pos="3600"/>
        </w:tabs>
        <w:ind w:left="3600" w:hanging="360"/>
      </w:pPr>
      <w:rPr>
        <w:rFonts w:ascii="Courier New" w:hAnsi="Courier New"/>
      </w:rPr>
    </w:lvl>
    <w:lvl w:ilvl="5" w:tplc="446C488A">
      <w:start w:val="1"/>
      <w:numFmt w:val="bullet"/>
      <w:lvlText w:val=""/>
      <w:lvlJc w:val="left"/>
      <w:pPr>
        <w:tabs>
          <w:tab w:val="num" w:pos="4320"/>
        </w:tabs>
        <w:ind w:left="4320" w:hanging="360"/>
      </w:pPr>
      <w:rPr>
        <w:rFonts w:ascii="Wingdings" w:hAnsi="Wingdings"/>
      </w:rPr>
    </w:lvl>
    <w:lvl w:ilvl="6" w:tplc="3A4CDABA">
      <w:start w:val="1"/>
      <w:numFmt w:val="bullet"/>
      <w:lvlText w:val=""/>
      <w:lvlJc w:val="left"/>
      <w:pPr>
        <w:tabs>
          <w:tab w:val="num" w:pos="5040"/>
        </w:tabs>
        <w:ind w:left="5040" w:hanging="360"/>
      </w:pPr>
      <w:rPr>
        <w:rFonts w:ascii="Symbol" w:hAnsi="Symbol"/>
      </w:rPr>
    </w:lvl>
    <w:lvl w:ilvl="7" w:tplc="A4A24918">
      <w:start w:val="1"/>
      <w:numFmt w:val="bullet"/>
      <w:lvlText w:val="o"/>
      <w:lvlJc w:val="left"/>
      <w:pPr>
        <w:tabs>
          <w:tab w:val="num" w:pos="5760"/>
        </w:tabs>
        <w:ind w:left="5760" w:hanging="360"/>
      </w:pPr>
      <w:rPr>
        <w:rFonts w:ascii="Courier New" w:hAnsi="Courier New"/>
      </w:rPr>
    </w:lvl>
    <w:lvl w:ilvl="8" w:tplc="825C64C2">
      <w:start w:val="1"/>
      <w:numFmt w:val="bullet"/>
      <w:lvlText w:val=""/>
      <w:lvlJc w:val="left"/>
      <w:pPr>
        <w:tabs>
          <w:tab w:val="num" w:pos="6480"/>
        </w:tabs>
        <w:ind w:left="6480" w:hanging="360"/>
      </w:pPr>
      <w:rPr>
        <w:rFonts w:ascii="Wingdings" w:hAnsi="Wingdings"/>
      </w:rPr>
    </w:lvl>
  </w:abstractNum>
  <w:abstractNum w:abstractNumId="818" w15:restartNumberingAfterBreak="0">
    <w:nsid w:val="722307F4"/>
    <w:multiLevelType w:val="hybridMultilevel"/>
    <w:tmpl w:val="722307F4"/>
    <w:lvl w:ilvl="0" w:tplc="E782F440">
      <w:start w:val="1"/>
      <w:numFmt w:val="bullet"/>
      <w:lvlText w:val=""/>
      <w:lvlJc w:val="left"/>
      <w:pPr>
        <w:ind w:left="720" w:hanging="360"/>
      </w:pPr>
      <w:rPr>
        <w:rFonts w:ascii="Symbol" w:hAnsi="Symbol"/>
      </w:rPr>
    </w:lvl>
    <w:lvl w:ilvl="1" w:tplc="F8B85176">
      <w:start w:val="1"/>
      <w:numFmt w:val="bullet"/>
      <w:lvlText w:val="o"/>
      <w:lvlJc w:val="left"/>
      <w:pPr>
        <w:tabs>
          <w:tab w:val="num" w:pos="1440"/>
        </w:tabs>
        <w:ind w:left="1440" w:hanging="360"/>
      </w:pPr>
      <w:rPr>
        <w:rFonts w:ascii="Courier New" w:hAnsi="Courier New"/>
      </w:rPr>
    </w:lvl>
    <w:lvl w:ilvl="2" w:tplc="792E6B9A">
      <w:start w:val="1"/>
      <w:numFmt w:val="bullet"/>
      <w:lvlText w:val=""/>
      <w:lvlJc w:val="left"/>
      <w:pPr>
        <w:tabs>
          <w:tab w:val="num" w:pos="2160"/>
        </w:tabs>
        <w:ind w:left="2160" w:hanging="360"/>
      </w:pPr>
      <w:rPr>
        <w:rFonts w:ascii="Wingdings" w:hAnsi="Wingdings"/>
      </w:rPr>
    </w:lvl>
    <w:lvl w:ilvl="3" w:tplc="5184868E">
      <w:start w:val="1"/>
      <w:numFmt w:val="bullet"/>
      <w:lvlText w:val=""/>
      <w:lvlJc w:val="left"/>
      <w:pPr>
        <w:tabs>
          <w:tab w:val="num" w:pos="2880"/>
        </w:tabs>
        <w:ind w:left="2880" w:hanging="360"/>
      </w:pPr>
      <w:rPr>
        <w:rFonts w:ascii="Symbol" w:hAnsi="Symbol"/>
      </w:rPr>
    </w:lvl>
    <w:lvl w:ilvl="4" w:tplc="6C02FB3A">
      <w:start w:val="1"/>
      <w:numFmt w:val="bullet"/>
      <w:lvlText w:val="o"/>
      <w:lvlJc w:val="left"/>
      <w:pPr>
        <w:tabs>
          <w:tab w:val="num" w:pos="3600"/>
        </w:tabs>
        <w:ind w:left="3600" w:hanging="360"/>
      </w:pPr>
      <w:rPr>
        <w:rFonts w:ascii="Courier New" w:hAnsi="Courier New"/>
      </w:rPr>
    </w:lvl>
    <w:lvl w:ilvl="5" w:tplc="80642006">
      <w:start w:val="1"/>
      <w:numFmt w:val="bullet"/>
      <w:lvlText w:val=""/>
      <w:lvlJc w:val="left"/>
      <w:pPr>
        <w:tabs>
          <w:tab w:val="num" w:pos="4320"/>
        </w:tabs>
        <w:ind w:left="4320" w:hanging="360"/>
      </w:pPr>
      <w:rPr>
        <w:rFonts w:ascii="Wingdings" w:hAnsi="Wingdings"/>
      </w:rPr>
    </w:lvl>
    <w:lvl w:ilvl="6" w:tplc="E3D26F1E">
      <w:start w:val="1"/>
      <w:numFmt w:val="bullet"/>
      <w:lvlText w:val=""/>
      <w:lvlJc w:val="left"/>
      <w:pPr>
        <w:tabs>
          <w:tab w:val="num" w:pos="5040"/>
        </w:tabs>
        <w:ind w:left="5040" w:hanging="360"/>
      </w:pPr>
      <w:rPr>
        <w:rFonts w:ascii="Symbol" w:hAnsi="Symbol"/>
      </w:rPr>
    </w:lvl>
    <w:lvl w:ilvl="7" w:tplc="46ACC95C">
      <w:start w:val="1"/>
      <w:numFmt w:val="bullet"/>
      <w:lvlText w:val="o"/>
      <w:lvlJc w:val="left"/>
      <w:pPr>
        <w:tabs>
          <w:tab w:val="num" w:pos="5760"/>
        </w:tabs>
        <w:ind w:left="5760" w:hanging="360"/>
      </w:pPr>
      <w:rPr>
        <w:rFonts w:ascii="Courier New" w:hAnsi="Courier New"/>
      </w:rPr>
    </w:lvl>
    <w:lvl w:ilvl="8" w:tplc="67FA4DBA">
      <w:start w:val="1"/>
      <w:numFmt w:val="bullet"/>
      <w:lvlText w:val=""/>
      <w:lvlJc w:val="left"/>
      <w:pPr>
        <w:tabs>
          <w:tab w:val="num" w:pos="6480"/>
        </w:tabs>
        <w:ind w:left="6480" w:hanging="360"/>
      </w:pPr>
      <w:rPr>
        <w:rFonts w:ascii="Wingdings" w:hAnsi="Wingdings"/>
      </w:rPr>
    </w:lvl>
  </w:abstractNum>
  <w:abstractNum w:abstractNumId="819" w15:restartNumberingAfterBreak="0">
    <w:nsid w:val="722307F5"/>
    <w:multiLevelType w:val="hybridMultilevel"/>
    <w:tmpl w:val="722307F5"/>
    <w:lvl w:ilvl="0" w:tplc="AF8E54FA">
      <w:start w:val="1"/>
      <w:numFmt w:val="bullet"/>
      <w:lvlText w:val=""/>
      <w:lvlJc w:val="left"/>
      <w:pPr>
        <w:ind w:left="720" w:hanging="360"/>
      </w:pPr>
      <w:rPr>
        <w:rFonts w:ascii="Symbol" w:hAnsi="Symbol"/>
      </w:rPr>
    </w:lvl>
    <w:lvl w:ilvl="1" w:tplc="5B72C28C">
      <w:start w:val="1"/>
      <w:numFmt w:val="bullet"/>
      <w:lvlText w:val="o"/>
      <w:lvlJc w:val="left"/>
      <w:pPr>
        <w:tabs>
          <w:tab w:val="num" w:pos="1440"/>
        </w:tabs>
        <w:ind w:left="1440" w:hanging="360"/>
      </w:pPr>
      <w:rPr>
        <w:rFonts w:ascii="Courier New" w:hAnsi="Courier New"/>
      </w:rPr>
    </w:lvl>
    <w:lvl w:ilvl="2" w:tplc="18ACC154">
      <w:start w:val="1"/>
      <w:numFmt w:val="bullet"/>
      <w:lvlText w:val=""/>
      <w:lvlJc w:val="left"/>
      <w:pPr>
        <w:tabs>
          <w:tab w:val="num" w:pos="2160"/>
        </w:tabs>
        <w:ind w:left="2160" w:hanging="360"/>
      </w:pPr>
      <w:rPr>
        <w:rFonts w:ascii="Wingdings" w:hAnsi="Wingdings"/>
      </w:rPr>
    </w:lvl>
    <w:lvl w:ilvl="3" w:tplc="6A08249A">
      <w:start w:val="1"/>
      <w:numFmt w:val="bullet"/>
      <w:lvlText w:val=""/>
      <w:lvlJc w:val="left"/>
      <w:pPr>
        <w:tabs>
          <w:tab w:val="num" w:pos="2880"/>
        </w:tabs>
        <w:ind w:left="2880" w:hanging="360"/>
      </w:pPr>
      <w:rPr>
        <w:rFonts w:ascii="Symbol" w:hAnsi="Symbol"/>
      </w:rPr>
    </w:lvl>
    <w:lvl w:ilvl="4" w:tplc="7B5E37EA">
      <w:start w:val="1"/>
      <w:numFmt w:val="bullet"/>
      <w:lvlText w:val="o"/>
      <w:lvlJc w:val="left"/>
      <w:pPr>
        <w:tabs>
          <w:tab w:val="num" w:pos="3600"/>
        </w:tabs>
        <w:ind w:left="3600" w:hanging="360"/>
      </w:pPr>
      <w:rPr>
        <w:rFonts w:ascii="Courier New" w:hAnsi="Courier New"/>
      </w:rPr>
    </w:lvl>
    <w:lvl w:ilvl="5" w:tplc="6F324A00">
      <w:start w:val="1"/>
      <w:numFmt w:val="bullet"/>
      <w:lvlText w:val=""/>
      <w:lvlJc w:val="left"/>
      <w:pPr>
        <w:tabs>
          <w:tab w:val="num" w:pos="4320"/>
        </w:tabs>
        <w:ind w:left="4320" w:hanging="360"/>
      </w:pPr>
      <w:rPr>
        <w:rFonts w:ascii="Wingdings" w:hAnsi="Wingdings"/>
      </w:rPr>
    </w:lvl>
    <w:lvl w:ilvl="6" w:tplc="6FC2C6D6">
      <w:start w:val="1"/>
      <w:numFmt w:val="bullet"/>
      <w:lvlText w:val=""/>
      <w:lvlJc w:val="left"/>
      <w:pPr>
        <w:tabs>
          <w:tab w:val="num" w:pos="5040"/>
        </w:tabs>
        <w:ind w:left="5040" w:hanging="360"/>
      </w:pPr>
      <w:rPr>
        <w:rFonts w:ascii="Symbol" w:hAnsi="Symbol"/>
      </w:rPr>
    </w:lvl>
    <w:lvl w:ilvl="7" w:tplc="A6C8E52C">
      <w:start w:val="1"/>
      <w:numFmt w:val="bullet"/>
      <w:lvlText w:val="o"/>
      <w:lvlJc w:val="left"/>
      <w:pPr>
        <w:tabs>
          <w:tab w:val="num" w:pos="5760"/>
        </w:tabs>
        <w:ind w:left="5760" w:hanging="360"/>
      </w:pPr>
      <w:rPr>
        <w:rFonts w:ascii="Courier New" w:hAnsi="Courier New"/>
      </w:rPr>
    </w:lvl>
    <w:lvl w:ilvl="8" w:tplc="74206CE2">
      <w:start w:val="1"/>
      <w:numFmt w:val="bullet"/>
      <w:lvlText w:val=""/>
      <w:lvlJc w:val="left"/>
      <w:pPr>
        <w:tabs>
          <w:tab w:val="num" w:pos="6480"/>
        </w:tabs>
        <w:ind w:left="6480" w:hanging="360"/>
      </w:pPr>
      <w:rPr>
        <w:rFonts w:ascii="Wingdings" w:hAnsi="Wingdings"/>
      </w:rPr>
    </w:lvl>
  </w:abstractNum>
  <w:abstractNum w:abstractNumId="820" w15:restartNumberingAfterBreak="0">
    <w:nsid w:val="722307F6"/>
    <w:multiLevelType w:val="hybridMultilevel"/>
    <w:tmpl w:val="722307F6"/>
    <w:lvl w:ilvl="0" w:tplc="F7AADE3C">
      <w:start w:val="1"/>
      <w:numFmt w:val="bullet"/>
      <w:lvlText w:val=""/>
      <w:lvlJc w:val="left"/>
      <w:pPr>
        <w:ind w:left="720" w:hanging="360"/>
      </w:pPr>
      <w:rPr>
        <w:rFonts w:ascii="Symbol" w:hAnsi="Symbol"/>
      </w:rPr>
    </w:lvl>
    <w:lvl w:ilvl="1" w:tplc="574EE4A4">
      <w:start w:val="1"/>
      <w:numFmt w:val="bullet"/>
      <w:lvlText w:val="o"/>
      <w:lvlJc w:val="left"/>
      <w:pPr>
        <w:tabs>
          <w:tab w:val="num" w:pos="1440"/>
        </w:tabs>
        <w:ind w:left="1440" w:hanging="360"/>
      </w:pPr>
      <w:rPr>
        <w:rFonts w:ascii="Courier New" w:hAnsi="Courier New"/>
      </w:rPr>
    </w:lvl>
    <w:lvl w:ilvl="2" w:tplc="FA16E1AC">
      <w:start w:val="1"/>
      <w:numFmt w:val="bullet"/>
      <w:lvlText w:val=""/>
      <w:lvlJc w:val="left"/>
      <w:pPr>
        <w:tabs>
          <w:tab w:val="num" w:pos="2160"/>
        </w:tabs>
        <w:ind w:left="2160" w:hanging="360"/>
      </w:pPr>
      <w:rPr>
        <w:rFonts w:ascii="Wingdings" w:hAnsi="Wingdings"/>
      </w:rPr>
    </w:lvl>
    <w:lvl w:ilvl="3" w:tplc="04D60370">
      <w:start w:val="1"/>
      <w:numFmt w:val="bullet"/>
      <w:lvlText w:val=""/>
      <w:lvlJc w:val="left"/>
      <w:pPr>
        <w:tabs>
          <w:tab w:val="num" w:pos="2880"/>
        </w:tabs>
        <w:ind w:left="2880" w:hanging="360"/>
      </w:pPr>
      <w:rPr>
        <w:rFonts w:ascii="Symbol" w:hAnsi="Symbol"/>
      </w:rPr>
    </w:lvl>
    <w:lvl w:ilvl="4" w:tplc="26561E8A">
      <w:start w:val="1"/>
      <w:numFmt w:val="bullet"/>
      <w:lvlText w:val="o"/>
      <w:lvlJc w:val="left"/>
      <w:pPr>
        <w:tabs>
          <w:tab w:val="num" w:pos="3600"/>
        </w:tabs>
        <w:ind w:left="3600" w:hanging="360"/>
      </w:pPr>
      <w:rPr>
        <w:rFonts w:ascii="Courier New" w:hAnsi="Courier New"/>
      </w:rPr>
    </w:lvl>
    <w:lvl w:ilvl="5" w:tplc="116CBC84">
      <w:start w:val="1"/>
      <w:numFmt w:val="bullet"/>
      <w:lvlText w:val=""/>
      <w:lvlJc w:val="left"/>
      <w:pPr>
        <w:tabs>
          <w:tab w:val="num" w:pos="4320"/>
        </w:tabs>
        <w:ind w:left="4320" w:hanging="360"/>
      </w:pPr>
      <w:rPr>
        <w:rFonts w:ascii="Wingdings" w:hAnsi="Wingdings"/>
      </w:rPr>
    </w:lvl>
    <w:lvl w:ilvl="6" w:tplc="8C4A5E24">
      <w:start w:val="1"/>
      <w:numFmt w:val="bullet"/>
      <w:lvlText w:val=""/>
      <w:lvlJc w:val="left"/>
      <w:pPr>
        <w:tabs>
          <w:tab w:val="num" w:pos="5040"/>
        </w:tabs>
        <w:ind w:left="5040" w:hanging="360"/>
      </w:pPr>
      <w:rPr>
        <w:rFonts w:ascii="Symbol" w:hAnsi="Symbol"/>
      </w:rPr>
    </w:lvl>
    <w:lvl w:ilvl="7" w:tplc="DFAA1322">
      <w:start w:val="1"/>
      <w:numFmt w:val="bullet"/>
      <w:lvlText w:val="o"/>
      <w:lvlJc w:val="left"/>
      <w:pPr>
        <w:tabs>
          <w:tab w:val="num" w:pos="5760"/>
        </w:tabs>
        <w:ind w:left="5760" w:hanging="360"/>
      </w:pPr>
      <w:rPr>
        <w:rFonts w:ascii="Courier New" w:hAnsi="Courier New"/>
      </w:rPr>
    </w:lvl>
    <w:lvl w:ilvl="8" w:tplc="47BEA15A">
      <w:start w:val="1"/>
      <w:numFmt w:val="bullet"/>
      <w:lvlText w:val=""/>
      <w:lvlJc w:val="left"/>
      <w:pPr>
        <w:tabs>
          <w:tab w:val="num" w:pos="6480"/>
        </w:tabs>
        <w:ind w:left="6480" w:hanging="360"/>
      </w:pPr>
      <w:rPr>
        <w:rFonts w:ascii="Wingdings" w:hAnsi="Wingdings"/>
      </w:rPr>
    </w:lvl>
  </w:abstractNum>
  <w:abstractNum w:abstractNumId="821" w15:restartNumberingAfterBreak="0">
    <w:nsid w:val="722307F7"/>
    <w:multiLevelType w:val="hybridMultilevel"/>
    <w:tmpl w:val="722307F7"/>
    <w:lvl w:ilvl="0" w:tplc="C560A176">
      <w:start w:val="1"/>
      <w:numFmt w:val="bullet"/>
      <w:lvlText w:val=""/>
      <w:lvlJc w:val="left"/>
      <w:pPr>
        <w:ind w:left="720" w:hanging="360"/>
      </w:pPr>
      <w:rPr>
        <w:rFonts w:ascii="Symbol" w:hAnsi="Symbol"/>
      </w:rPr>
    </w:lvl>
    <w:lvl w:ilvl="1" w:tplc="BC08255A">
      <w:start w:val="1"/>
      <w:numFmt w:val="bullet"/>
      <w:lvlText w:val="o"/>
      <w:lvlJc w:val="left"/>
      <w:pPr>
        <w:tabs>
          <w:tab w:val="num" w:pos="1440"/>
        </w:tabs>
        <w:ind w:left="1440" w:hanging="360"/>
      </w:pPr>
      <w:rPr>
        <w:rFonts w:ascii="Courier New" w:hAnsi="Courier New"/>
      </w:rPr>
    </w:lvl>
    <w:lvl w:ilvl="2" w:tplc="587858E6">
      <w:start w:val="1"/>
      <w:numFmt w:val="bullet"/>
      <w:lvlText w:val=""/>
      <w:lvlJc w:val="left"/>
      <w:pPr>
        <w:tabs>
          <w:tab w:val="num" w:pos="2160"/>
        </w:tabs>
        <w:ind w:left="2160" w:hanging="360"/>
      </w:pPr>
      <w:rPr>
        <w:rFonts w:ascii="Wingdings" w:hAnsi="Wingdings"/>
      </w:rPr>
    </w:lvl>
    <w:lvl w:ilvl="3" w:tplc="CD34C76E">
      <w:start w:val="1"/>
      <w:numFmt w:val="bullet"/>
      <w:lvlText w:val=""/>
      <w:lvlJc w:val="left"/>
      <w:pPr>
        <w:tabs>
          <w:tab w:val="num" w:pos="2880"/>
        </w:tabs>
        <w:ind w:left="2880" w:hanging="360"/>
      </w:pPr>
      <w:rPr>
        <w:rFonts w:ascii="Symbol" w:hAnsi="Symbol"/>
      </w:rPr>
    </w:lvl>
    <w:lvl w:ilvl="4" w:tplc="5D88A3CA">
      <w:start w:val="1"/>
      <w:numFmt w:val="bullet"/>
      <w:lvlText w:val="o"/>
      <w:lvlJc w:val="left"/>
      <w:pPr>
        <w:tabs>
          <w:tab w:val="num" w:pos="3600"/>
        </w:tabs>
        <w:ind w:left="3600" w:hanging="360"/>
      </w:pPr>
      <w:rPr>
        <w:rFonts w:ascii="Courier New" w:hAnsi="Courier New"/>
      </w:rPr>
    </w:lvl>
    <w:lvl w:ilvl="5" w:tplc="2FD8E2B8">
      <w:start w:val="1"/>
      <w:numFmt w:val="bullet"/>
      <w:lvlText w:val=""/>
      <w:lvlJc w:val="left"/>
      <w:pPr>
        <w:tabs>
          <w:tab w:val="num" w:pos="4320"/>
        </w:tabs>
        <w:ind w:left="4320" w:hanging="360"/>
      </w:pPr>
      <w:rPr>
        <w:rFonts w:ascii="Wingdings" w:hAnsi="Wingdings"/>
      </w:rPr>
    </w:lvl>
    <w:lvl w:ilvl="6" w:tplc="6FD248FC">
      <w:start w:val="1"/>
      <w:numFmt w:val="bullet"/>
      <w:lvlText w:val=""/>
      <w:lvlJc w:val="left"/>
      <w:pPr>
        <w:tabs>
          <w:tab w:val="num" w:pos="5040"/>
        </w:tabs>
        <w:ind w:left="5040" w:hanging="360"/>
      </w:pPr>
      <w:rPr>
        <w:rFonts w:ascii="Symbol" w:hAnsi="Symbol"/>
      </w:rPr>
    </w:lvl>
    <w:lvl w:ilvl="7" w:tplc="467EE6C0">
      <w:start w:val="1"/>
      <w:numFmt w:val="bullet"/>
      <w:lvlText w:val="o"/>
      <w:lvlJc w:val="left"/>
      <w:pPr>
        <w:tabs>
          <w:tab w:val="num" w:pos="5760"/>
        </w:tabs>
        <w:ind w:left="5760" w:hanging="360"/>
      </w:pPr>
      <w:rPr>
        <w:rFonts w:ascii="Courier New" w:hAnsi="Courier New"/>
      </w:rPr>
    </w:lvl>
    <w:lvl w:ilvl="8" w:tplc="113A38A8">
      <w:start w:val="1"/>
      <w:numFmt w:val="bullet"/>
      <w:lvlText w:val=""/>
      <w:lvlJc w:val="left"/>
      <w:pPr>
        <w:tabs>
          <w:tab w:val="num" w:pos="6480"/>
        </w:tabs>
        <w:ind w:left="6480" w:hanging="360"/>
      </w:pPr>
      <w:rPr>
        <w:rFonts w:ascii="Wingdings" w:hAnsi="Wingdings"/>
      </w:rPr>
    </w:lvl>
  </w:abstractNum>
  <w:abstractNum w:abstractNumId="822" w15:restartNumberingAfterBreak="0">
    <w:nsid w:val="722307F8"/>
    <w:multiLevelType w:val="hybridMultilevel"/>
    <w:tmpl w:val="722307F8"/>
    <w:lvl w:ilvl="0" w:tplc="89D2A9FC">
      <w:start w:val="1"/>
      <w:numFmt w:val="bullet"/>
      <w:lvlText w:val=""/>
      <w:lvlJc w:val="left"/>
      <w:pPr>
        <w:ind w:left="720" w:hanging="360"/>
      </w:pPr>
      <w:rPr>
        <w:rFonts w:ascii="Symbol" w:hAnsi="Symbol"/>
      </w:rPr>
    </w:lvl>
    <w:lvl w:ilvl="1" w:tplc="DE0C07B8">
      <w:start w:val="1"/>
      <w:numFmt w:val="bullet"/>
      <w:lvlText w:val="o"/>
      <w:lvlJc w:val="left"/>
      <w:pPr>
        <w:tabs>
          <w:tab w:val="num" w:pos="1440"/>
        </w:tabs>
        <w:ind w:left="1440" w:hanging="360"/>
      </w:pPr>
      <w:rPr>
        <w:rFonts w:ascii="Courier New" w:hAnsi="Courier New"/>
      </w:rPr>
    </w:lvl>
    <w:lvl w:ilvl="2" w:tplc="56F69CFC">
      <w:start w:val="1"/>
      <w:numFmt w:val="bullet"/>
      <w:lvlText w:val=""/>
      <w:lvlJc w:val="left"/>
      <w:pPr>
        <w:tabs>
          <w:tab w:val="num" w:pos="2160"/>
        </w:tabs>
        <w:ind w:left="2160" w:hanging="360"/>
      </w:pPr>
      <w:rPr>
        <w:rFonts w:ascii="Wingdings" w:hAnsi="Wingdings"/>
      </w:rPr>
    </w:lvl>
    <w:lvl w:ilvl="3" w:tplc="D9CC177E">
      <w:start w:val="1"/>
      <w:numFmt w:val="bullet"/>
      <w:lvlText w:val=""/>
      <w:lvlJc w:val="left"/>
      <w:pPr>
        <w:tabs>
          <w:tab w:val="num" w:pos="2880"/>
        </w:tabs>
        <w:ind w:left="2880" w:hanging="360"/>
      </w:pPr>
      <w:rPr>
        <w:rFonts w:ascii="Symbol" w:hAnsi="Symbol"/>
      </w:rPr>
    </w:lvl>
    <w:lvl w:ilvl="4" w:tplc="A06486FE">
      <w:start w:val="1"/>
      <w:numFmt w:val="bullet"/>
      <w:lvlText w:val="o"/>
      <w:lvlJc w:val="left"/>
      <w:pPr>
        <w:tabs>
          <w:tab w:val="num" w:pos="3600"/>
        </w:tabs>
        <w:ind w:left="3600" w:hanging="360"/>
      </w:pPr>
      <w:rPr>
        <w:rFonts w:ascii="Courier New" w:hAnsi="Courier New"/>
      </w:rPr>
    </w:lvl>
    <w:lvl w:ilvl="5" w:tplc="56B26FBE">
      <w:start w:val="1"/>
      <w:numFmt w:val="bullet"/>
      <w:lvlText w:val=""/>
      <w:lvlJc w:val="left"/>
      <w:pPr>
        <w:tabs>
          <w:tab w:val="num" w:pos="4320"/>
        </w:tabs>
        <w:ind w:left="4320" w:hanging="360"/>
      </w:pPr>
      <w:rPr>
        <w:rFonts w:ascii="Wingdings" w:hAnsi="Wingdings"/>
      </w:rPr>
    </w:lvl>
    <w:lvl w:ilvl="6" w:tplc="7038915E">
      <w:start w:val="1"/>
      <w:numFmt w:val="bullet"/>
      <w:lvlText w:val=""/>
      <w:lvlJc w:val="left"/>
      <w:pPr>
        <w:tabs>
          <w:tab w:val="num" w:pos="5040"/>
        </w:tabs>
        <w:ind w:left="5040" w:hanging="360"/>
      </w:pPr>
      <w:rPr>
        <w:rFonts w:ascii="Symbol" w:hAnsi="Symbol"/>
      </w:rPr>
    </w:lvl>
    <w:lvl w:ilvl="7" w:tplc="5C520C66">
      <w:start w:val="1"/>
      <w:numFmt w:val="bullet"/>
      <w:lvlText w:val="o"/>
      <w:lvlJc w:val="left"/>
      <w:pPr>
        <w:tabs>
          <w:tab w:val="num" w:pos="5760"/>
        </w:tabs>
        <w:ind w:left="5760" w:hanging="360"/>
      </w:pPr>
      <w:rPr>
        <w:rFonts w:ascii="Courier New" w:hAnsi="Courier New"/>
      </w:rPr>
    </w:lvl>
    <w:lvl w:ilvl="8" w:tplc="F1028CDA">
      <w:start w:val="1"/>
      <w:numFmt w:val="bullet"/>
      <w:lvlText w:val=""/>
      <w:lvlJc w:val="left"/>
      <w:pPr>
        <w:tabs>
          <w:tab w:val="num" w:pos="6480"/>
        </w:tabs>
        <w:ind w:left="6480" w:hanging="360"/>
      </w:pPr>
      <w:rPr>
        <w:rFonts w:ascii="Wingdings" w:hAnsi="Wingdings"/>
      </w:rPr>
    </w:lvl>
  </w:abstractNum>
  <w:abstractNum w:abstractNumId="823" w15:restartNumberingAfterBreak="0">
    <w:nsid w:val="722307F9"/>
    <w:multiLevelType w:val="hybridMultilevel"/>
    <w:tmpl w:val="722307F9"/>
    <w:lvl w:ilvl="0" w:tplc="20DC22A6">
      <w:start w:val="1"/>
      <w:numFmt w:val="bullet"/>
      <w:lvlText w:val=""/>
      <w:lvlJc w:val="left"/>
      <w:pPr>
        <w:ind w:left="720" w:hanging="360"/>
      </w:pPr>
      <w:rPr>
        <w:rFonts w:ascii="Symbol" w:hAnsi="Symbol"/>
      </w:rPr>
    </w:lvl>
    <w:lvl w:ilvl="1" w:tplc="965E0F7E">
      <w:start w:val="1"/>
      <w:numFmt w:val="bullet"/>
      <w:lvlText w:val="o"/>
      <w:lvlJc w:val="left"/>
      <w:pPr>
        <w:tabs>
          <w:tab w:val="num" w:pos="1440"/>
        </w:tabs>
        <w:ind w:left="1440" w:hanging="360"/>
      </w:pPr>
      <w:rPr>
        <w:rFonts w:ascii="Courier New" w:hAnsi="Courier New"/>
      </w:rPr>
    </w:lvl>
    <w:lvl w:ilvl="2" w:tplc="C01C652A">
      <w:start w:val="1"/>
      <w:numFmt w:val="bullet"/>
      <w:lvlText w:val=""/>
      <w:lvlJc w:val="left"/>
      <w:pPr>
        <w:tabs>
          <w:tab w:val="num" w:pos="2160"/>
        </w:tabs>
        <w:ind w:left="2160" w:hanging="360"/>
      </w:pPr>
      <w:rPr>
        <w:rFonts w:ascii="Wingdings" w:hAnsi="Wingdings"/>
      </w:rPr>
    </w:lvl>
    <w:lvl w:ilvl="3" w:tplc="96EC8A22">
      <w:start w:val="1"/>
      <w:numFmt w:val="bullet"/>
      <w:lvlText w:val=""/>
      <w:lvlJc w:val="left"/>
      <w:pPr>
        <w:tabs>
          <w:tab w:val="num" w:pos="2880"/>
        </w:tabs>
        <w:ind w:left="2880" w:hanging="360"/>
      </w:pPr>
      <w:rPr>
        <w:rFonts w:ascii="Symbol" w:hAnsi="Symbol"/>
      </w:rPr>
    </w:lvl>
    <w:lvl w:ilvl="4" w:tplc="A1EEAA30">
      <w:start w:val="1"/>
      <w:numFmt w:val="bullet"/>
      <w:lvlText w:val="o"/>
      <w:lvlJc w:val="left"/>
      <w:pPr>
        <w:tabs>
          <w:tab w:val="num" w:pos="3600"/>
        </w:tabs>
        <w:ind w:left="3600" w:hanging="360"/>
      </w:pPr>
      <w:rPr>
        <w:rFonts w:ascii="Courier New" w:hAnsi="Courier New"/>
      </w:rPr>
    </w:lvl>
    <w:lvl w:ilvl="5" w:tplc="A8F099C6">
      <w:start w:val="1"/>
      <w:numFmt w:val="bullet"/>
      <w:lvlText w:val=""/>
      <w:lvlJc w:val="left"/>
      <w:pPr>
        <w:tabs>
          <w:tab w:val="num" w:pos="4320"/>
        </w:tabs>
        <w:ind w:left="4320" w:hanging="360"/>
      </w:pPr>
      <w:rPr>
        <w:rFonts w:ascii="Wingdings" w:hAnsi="Wingdings"/>
      </w:rPr>
    </w:lvl>
    <w:lvl w:ilvl="6" w:tplc="B426B454">
      <w:start w:val="1"/>
      <w:numFmt w:val="bullet"/>
      <w:lvlText w:val=""/>
      <w:lvlJc w:val="left"/>
      <w:pPr>
        <w:tabs>
          <w:tab w:val="num" w:pos="5040"/>
        </w:tabs>
        <w:ind w:left="5040" w:hanging="360"/>
      </w:pPr>
      <w:rPr>
        <w:rFonts w:ascii="Symbol" w:hAnsi="Symbol"/>
      </w:rPr>
    </w:lvl>
    <w:lvl w:ilvl="7" w:tplc="6E2C2020">
      <w:start w:val="1"/>
      <w:numFmt w:val="bullet"/>
      <w:lvlText w:val="o"/>
      <w:lvlJc w:val="left"/>
      <w:pPr>
        <w:tabs>
          <w:tab w:val="num" w:pos="5760"/>
        </w:tabs>
        <w:ind w:left="5760" w:hanging="360"/>
      </w:pPr>
      <w:rPr>
        <w:rFonts w:ascii="Courier New" w:hAnsi="Courier New"/>
      </w:rPr>
    </w:lvl>
    <w:lvl w:ilvl="8" w:tplc="AF2C996E">
      <w:start w:val="1"/>
      <w:numFmt w:val="bullet"/>
      <w:lvlText w:val=""/>
      <w:lvlJc w:val="left"/>
      <w:pPr>
        <w:tabs>
          <w:tab w:val="num" w:pos="6480"/>
        </w:tabs>
        <w:ind w:left="6480" w:hanging="360"/>
      </w:pPr>
      <w:rPr>
        <w:rFonts w:ascii="Wingdings" w:hAnsi="Wingdings"/>
      </w:rPr>
    </w:lvl>
  </w:abstractNum>
  <w:abstractNum w:abstractNumId="824" w15:restartNumberingAfterBreak="0">
    <w:nsid w:val="722307FA"/>
    <w:multiLevelType w:val="hybridMultilevel"/>
    <w:tmpl w:val="722307FA"/>
    <w:lvl w:ilvl="0" w:tplc="3E7A53EE">
      <w:start w:val="1"/>
      <w:numFmt w:val="bullet"/>
      <w:lvlText w:val=""/>
      <w:lvlJc w:val="left"/>
      <w:pPr>
        <w:tabs>
          <w:tab w:val="num" w:pos="720"/>
        </w:tabs>
        <w:ind w:left="720" w:hanging="360"/>
      </w:pPr>
      <w:rPr>
        <w:rFonts w:ascii="Symbol" w:hAnsi="Symbol"/>
      </w:rPr>
    </w:lvl>
    <w:lvl w:ilvl="1" w:tplc="41688DE0">
      <w:start w:val="1"/>
      <w:numFmt w:val="bullet"/>
      <w:lvlText w:val="o"/>
      <w:lvlJc w:val="left"/>
      <w:pPr>
        <w:tabs>
          <w:tab w:val="num" w:pos="1440"/>
        </w:tabs>
        <w:ind w:left="1440" w:hanging="360"/>
      </w:pPr>
      <w:rPr>
        <w:rFonts w:ascii="Courier New" w:hAnsi="Courier New"/>
      </w:rPr>
    </w:lvl>
    <w:lvl w:ilvl="2" w:tplc="613CCEBE">
      <w:start w:val="1"/>
      <w:numFmt w:val="bullet"/>
      <w:lvlText w:val=""/>
      <w:lvlJc w:val="left"/>
      <w:pPr>
        <w:tabs>
          <w:tab w:val="num" w:pos="2160"/>
        </w:tabs>
        <w:ind w:left="2160" w:hanging="360"/>
      </w:pPr>
      <w:rPr>
        <w:rFonts w:ascii="Wingdings" w:hAnsi="Wingdings"/>
      </w:rPr>
    </w:lvl>
    <w:lvl w:ilvl="3" w:tplc="FC027AD2">
      <w:start w:val="1"/>
      <w:numFmt w:val="bullet"/>
      <w:lvlText w:val=""/>
      <w:lvlJc w:val="left"/>
      <w:pPr>
        <w:tabs>
          <w:tab w:val="num" w:pos="2880"/>
        </w:tabs>
        <w:ind w:left="2880" w:hanging="360"/>
      </w:pPr>
      <w:rPr>
        <w:rFonts w:ascii="Symbol" w:hAnsi="Symbol"/>
      </w:rPr>
    </w:lvl>
    <w:lvl w:ilvl="4" w:tplc="4A40CD80">
      <w:start w:val="1"/>
      <w:numFmt w:val="bullet"/>
      <w:lvlText w:val="o"/>
      <w:lvlJc w:val="left"/>
      <w:pPr>
        <w:tabs>
          <w:tab w:val="num" w:pos="3600"/>
        </w:tabs>
        <w:ind w:left="3600" w:hanging="360"/>
      </w:pPr>
      <w:rPr>
        <w:rFonts w:ascii="Courier New" w:hAnsi="Courier New"/>
      </w:rPr>
    </w:lvl>
    <w:lvl w:ilvl="5" w:tplc="4712137C">
      <w:start w:val="1"/>
      <w:numFmt w:val="bullet"/>
      <w:lvlText w:val=""/>
      <w:lvlJc w:val="left"/>
      <w:pPr>
        <w:tabs>
          <w:tab w:val="num" w:pos="4320"/>
        </w:tabs>
        <w:ind w:left="4320" w:hanging="360"/>
      </w:pPr>
      <w:rPr>
        <w:rFonts w:ascii="Wingdings" w:hAnsi="Wingdings"/>
      </w:rPr>
    </w:lvl>
    <w:lvl w:ilvl="6" w:tplc="C6DC699C">
      <w:start w:val="1"/>
      <w:numFmt w:val="bullet"/>
      <w:lvlText w:val=""/>
      <w:lvlJc w:val="left"/>
      <w:pPr>
        <w:tabs>
          <w:tab w:val="num" w:pos="5040"/>
        </w:tabs>
        <w:ind w:left="5040" w:hanging="360"/>
      </w:pPr>
      <w:rPr>
        <w:rFonts w:ascii="Symbol" w:hAnsi="Symbol"/>
      </w:rPr>
    </w:lvl>
    <w:lvl w:ilvl="7" w:tplc="F59AC40E">
      <w:start w:val="1"/>
      <w:numFmt w:val="bullet"/>
      <w:lvlText w:val="o"/>
      <w:lvlJc w:val="left"/>
      <w:pPr>
        <w:tabs>
          <w:tab w:val="num" w:pos="5760"/>
        </w:tabs>
        <w:ind w:left="5760" w:hanging="360"/>
      </w:pPr>
      <w:rPr>
        <w:rFonts w:ascii="Courier New" w:hAnsi="Courier New"/>
      </w:rPr>
    </w:lvl>
    <w:lvl w:ilvl="8" w:tplc="E8B4D85C">
      <w:start w:val="1"/>
      <w:numFmt w:val="bullet"/>
      <w:lvlText w:val=""/>
      <w:lvlJc w:val="left"/>
      <w:pPr>
        <w:tabs>
          <w:tab w:val="num" w:pos="6480"/>
        </w:tabs>
        <w:ind w:left="6480" w:hanging="360"/>
      </w:pPr>
      <w:rPr>
        <w:rFonts w:ascii="Wingdings" w:hAnsi="Wingdings"/>
      </w:rPr>
    </w:lvl>
  </w:abstractNum>
  <w:abstractNum w:abstractNumId="825" w15:restartNumberingAfterBreak="0">
    <w:nsid w:val="722307FB"/>
    <w:multiLevelType w:val="hybridMultilevel"/>
    <w:tmpl w:val="722307FB"/>
    <w:lvl w:ilvl="0" w:tplc="4F62F702">
      <w:start w:val="1"/>
      <w:numFmt w:val="bullet"/>
      <w:lvlText w:val=""/>
      <w:lvlJc w:val="left"/>
      <w:pPr>
        <w:ind w:left="720" w:hanging="360"/>
      </w:pPr>
      <w:rPr>
        <w:rFonts w:ascii="Symbol" w:hAnsi="Symbol"/>
      </w:rPr>
    </w:lvl>
    <w:lvl w:ilvl="1" w:tplc="CA141B30">
      <w:start w:val="1"/>
      <w:numFmt w:val="bullet"/>
      <w:lvlText w:val="o"/>
      <w:lvlJc w:val="left"/>
      <w:pPr>
        <w:tabs>
          <w:tab w:val="num" w:pos="1440"/>
        </w:tabs>
        <w:ind w:left="1440" w:hanging="360"/>
      </w:pPr>
      <w:rPr>
        <w:rFonts w:ascii="Courier New" w:hAnsi="Courier New"/>
      </w:rPr>
    </w:lvl>
    <w:lvl w:ilvl="2" w:tplc="7FC4F192">
      <w:start w:val="1"/>
      <w:numFmt w:val="bullet"/>
      <w:lvlText w:val=""/>
      <w:lvlJc w:val="left"/>
      <w:pPr>
        <w:tabs>
          <w:tab w:val="num" w:pos="2160"/>
        </w:tabs>
        <w:ind w:left="2160" w:hanging="360"/>
      </w:pPr>
      <w:rPr>
        <w:rFonts w:ascii="Wingdings" w:hAnsi="Wingdings"/>
      </w:rPr>
    </w:lvl>
    <w:lvl w:ilvl="3" w:tplc="263639BA">
      <w:start w:val="1"/>
      <w:numFmt w:val="bullet"/>
      <w:lvlText w:val=""/>
      <w:lvlJc w:val="left"/>
      <w:pPr>
        <w:tabs>
          <w:tab w:val="num" w:pos="2880"/>
        </w:tabs>
        <w:ind w:left="2880" w:hanging="360"/>
      </w:pPr>
      <w:rPr>
        <w:rFonts w:ascii="Symbol" w:hAnsi="Symbol"/>
      </w:rPr>
    </w:lvl>
    <w:lvl w:ilvl="4" w:tplc="01A8FFA4">
      <w:start w:val="1"/>
      <w:numFmt w:val="bullet"/>
      <w:lvlText w:val="o"/>
      <w:lvlJc w:val="left"/>
      <w:pPr>
        <w:tabs>
          <w:tab w:val="num" w:pos="3600"/>
        </w:tabs>
        <w:ind w:left="3600" w:hanging="360"/>
      </w:pPr>
      <w:rPr>
        <w:rFonts w:ascii="Courier New" w:hAnsi="Courier New"/>
      </w:rPr>
    </w:lvl>
    <w:lvl w:ilvl="5" w:tplc="CCE2A99E">
      <w:start w:val="1"/>
      <w:numFmt w:val="bullet"/>
      <w:lvlText w:val=""/>
      <w:lvlJc w:val="left"/>
      <w:pPr>
        <w:tabs>
          <w:tab w:val="num" w:pos="4320"/>
        </w:tabs>
        <w:ind w:left="4320" w:hanging="360"/>
      </w:pPr>
      <w:rPr>
        <w:rFonts w:ascii="Wingdings" w:hAnsi="Wingdings"/>
      </w:rPr>
    </w:lvl>
    <w:lvl w:ilvl="6" w:tplc="B38A25AC">
      <w:start w:val="1"/>
      <w:numFmt w:val="bullet"/>
      <w:lvlText w:val=""/>
      <w:lvlJc w:val="left"/>
      <w:pPr>
        <w:tabs>
          <w:tab w:val="num" w:pos="5040"/>
        </w:tabs>
        <w:ind w:left="5040" w:hanging="360"/>
      </w:pPr>
      <w:rPr>
        <w:rFonts w:ascii="Symbol" w:hAnsi="Symbol"/>
      </w:rPr>
    </w:lvl>
    <w:lvl w:ilvl="7" w:tplc="857AFFC8">
      <w:start w:val="1"/>
      <w:numFmt w:val="bullet"/>
      <w:lvlText w:val="o"/>
      <w:lvlJc w:val="left"/>
      <w:pPr>
        <w:tabs>
          <w:tab w:val="num" w:pos="5760"/>
        </w:tabs>
        <w:ind w:left="5760" w:hanging="360"/>
      </w:pPr>
      <w:rPr>
        <w:rFonts w:ascii="Courier New" w:hAnsi="Courier New"/>
      </w:rPr>
    </w:lvl>
    <w:lvl w:ilvl="8" w:tplc="22CA05BC">
      <w:start w:val="1"/>
      <w:numFmt w:val="bullet"/>
      <w:lvlText w:val=""/>
      <w:lvlJc w:val="left"/>
      <w:pPr>
        <w:tabs>
          <w:tab w:val="num" w:pos="6480"/>
        </w:tabs>
        <w:ind w:left="6480" w:hanging="360"/>
      </w:pPr>
      <w:rPr>
        <w:rFonts w:ascii="Wingdings" w:hAnsi="Wingdings"/>
      </w:rPr>
    </w:lvl>
  </w:abstractNum>
  <w:abstractNum w:abstractNumId="826" w15:restartNumberingAfterBreak="0">
    <w:nsid w:val="722307FC"/>
    <w:multiLevelType w:val="hybridMultilevel"/>
    <w:tmpl w:val="722307FC"/>
    <w:lvl w:ilvl="0" w:tplc="02863A56">
      <w:start w:val="1"/>
      <w:numFmt w:val="bullet"/>
      <w:lvlText w:val=""/>
      <w:lvlJc w:val="left"/>
      <w:pPr>
        <w:ind w:left="720" w:hanging="360"/>
      </w:pPr>
      <w:rPr>
        <w:rFonts w:ascii="Symbol" w:hAnsi="Symbol"/>
      </w:rPr>
    </w:lvl>
    <w:lvl w:ilvl="1" w:tplc="5248238E">
      <w:start w:val="1"/>
      <w:numFmt w:val="bullet"/>
      <w:lvlText w:val="o"/>
      <w:lvlJc w:val="left"/>
      <w:pPr>
        <w:tabs>
          <w:tab w:val="num" w:pos="1440"/>
        </w:tabs>
        <w:ind w:left="1440" w:hanging="360"/>
      </w:pPr>
      <w:rPr>
        <w:rFonts w:ascii="Courier New" w:hAnsi="Courier New"/>
      </w:rPr>
    </w:lvl>
    <w:lvl w:ilvl="2" w:tplc="5DFCFBC8">
      <w:start w:val="1"/>
      <w:numFmt w:val="bullet"/>
      <w:lvlText w:val=""/>
      <w:lvlJc w:val="left"/>
      <w:pPr>
        <w:tabs>
          <w:tab w:val="num" w:pos="2160"/>
        </w:tabs>
        <w:ind w:left="2160" w:hanging="360"/>
      </w:pPr>
      <w:rPr>
        <w:rFonts w:ascii="Wingdings" w:hAnsi="Wingdings"/>
      </w:rPr>
    </w:lvl>
    <w:lvl w:ilvl="3" w:tplc="E636640A">
      <w:start w:val="1"/>
      <w:numFmt w:val="bullet"/>
      <w:lvlText w:val=""/>
      <w:lvlJc w:val="left"/>
      <w:pPr>
        <w:tabs>
          <w:tab w:val="num" w:pos="2880"/>
        </w:tabs>
        <w:ind w:left="2880" w:hanging="360"/>
      </w:pPr>
      <w:rPr>
        <w:rFonts w:ascii="Symbol" w:hAnsi="Symbol"/>
      </w:rPr>
    </w:lvl>
    <w:lvl w:ilvl="4" w:tplc="39AE2F96">
      <w:start w:val="1"/>
      <w:numFmt w:val="bullet"/>
      <w:lvlText w:val="o"/>
      <w:lvlJc w:val="left"/>
      <w:pPr>
        <w:tabs>
          <w:tab w:val="num" w:pos="3600"/>
        </w:tabs>
        <w:ind w:left="3600" w:hanging="360"/>
      </w:pPr>
      <w:rPr>
        <w:rFonts w:ascii="Courier New" w:hAnsi="Courier New"/>
      </w:rPr>
    </w:lvl>
    <w:lvl w:ilvl="5" w:tplc="EF66E3E8">
      <w:start w:val="1"/>
      <w:numFmt w:val="bullet"/>
      <w:lvlText w:val=""/>
      <w:lvlJc w:val="left"/>
      <w:pPr>
        <w:tabs>
          <w:tab w:val="num" w:pos="4320"/>
        </w:tabs>
        <w:ind w:left="4320" w:hanging="360"/>
      </w:pPr>
      <w:rPr>
        <w:rFonts w:ascii="Wingdings" w:hAnsi="Wingdings"/>
      </w:rPr>
    </w:lvl>
    <w:lvl w:ilvl="6" w:tplc="B898590E">
      <w:start w:val="1"/>
      <w:numFmt w:val="bullet"/>
      <w:lvlText w:val=""/>
      <w:lvlJc w:val="left"/>
      <w:pPr>
        <w:tabs>
          <w:tab w:val="num" w:pos="5040"/>
        </w:tabs>
        <w:ind w:left="5040" w:hanging="360"/>
      </w:pPr>
      <w:rPr>
        <w:rFonts w:ascii="Symbol" w:hAnsi="Symbol"/>
      </w:rPr>
    </w:lvl>
    <w:lvl w:ilvl="7" w:tplc="006EC970">
      <w:start w:val="1"/>
      <w:numFmt w:val="bullet"/>
      <w:lvlText w:val="o"/>
      <w:lvlJc w:val="left"/>
      <w:pPr>
        <w:tabs>
          <w:tab w:val="num" w:pos="5760"/>
        </w:tabs>
        <w:ind w:left="5760" w:hanging="360"/>
      </w:pPr>
      <w:rPr>
        <w:rFonts w:ascii="Courier New" w:hAnsi="Courier New"/>
      </w:rPr>
    </w:lvl>
    <w:lvl w:ilvl="8" w:tplc="6E0EA87A">
      <w:start w:val="1"/>
      <w:numFmt w:val="bullet"/>
      <w:lvlText w:val=""/>
      <w:lvlJc w:val="left"/>
      <w:pPr>
        <w:tabs>
          <w:tab w:val="num" w:pos="6480"/>
        </w:tabs>
        <w:ind w:left="6480" w:hanging="360"/>
      </w:pPr>
      <w:rPr>
        <w:rFonts w:ascii="Wingdings" w:hAnsi="Wingdings"/>
      </w:rPr>
    </w:lvl>
  </w:abstractNum>
  <w:abstractNum w:abstractNumId="827" w15:restartNumberingAfterBreak="0">
    <w:nsid w:val="722307FD"/>
    <w:multiLevelType w:val="hybridMultilevel"/>
    <w:tmpl w:val="722307FD"/>
    <w:lvl w:ilvl="0" w:tplc="8D824BBC">
      <w:start w:val="1"/>
      <w:numFmt w:val="bullet"/>
      <w:lvlText w:val=""/>
      <w:lvlJc w:val="left"/>
      <w:pPr>
        <w:ind w:left="720" w:hanging="360"/>
      </w:pPr>
      <w:rPr>
        <w:rFonts w:ascii="Symbol" w:hAnsi="Symbol"/>
      </w:rPr>
    </w:lvl>
    <w:lvl w:ilvl="1" w:tplc="DBEC92F8">
      <w:start w:val="1"/>
      <w:numFmt w:val="bullet"/>
      <w:lvlText w:val="o"/>
      <w:lvlJc w:val="left"/>
      <w:pPr>
        <w:tabs>
          <w:tab w:val="num" w:pos="1440"/>
        </w:tabs>
        <w:ind w:left="1440" w:hanging="360"/>
      </w:pPr>
      <w:rPr>
        <w:rFonts w:ascii="Courier New" w:hAnsi="Courier New"/>
      </w:rPr>
    </w:lvl>
    <w:lvl w:ilvl="2" w:tplc="9CC81F02">
      <w:start w:val="1"/>
      <w:numFmt w:val="bullet"/>
      <w:lvlText w:val=""/>
      <w:lvlJc w:val="left"/>
      <w:pPr>
        <w:tabs>
          <w:tab w:val="num" w:pos="2160"/>
        </w:tabs>
        <w:ind w:left="2160" w:hanging="360"/>
      </w:pPr>
      <w:rPr>
        <w:rFonts w:ascii="Wingdings" w:hAnsi="Wingdings"/>
      </w:rPr>
    </w:lvl>
    <w:lvl w:ilvl="3" w:tplc="FFF60D8A">
      <w:start w:val="1"/>
      <w:numFmt w:val="bullet"/>
      <w:lvlText w:val=""/>
      <w:lvlJc w:val="left"/>
      <w:pPr>
        <w:tabs>
          <w:tab w:val="num" w:pos="2880"/>
        </w:tabs>
        <w:ind w:left="2880" w:hanging="360"/>
      </w:pPr>
      <w:rPr>
        <w:rFonts w:ascii="Symbol" w:hAnsi="Symbol"/>
      </w:rPr>
    </w:lvl>
    <w:lvl w:ilvl="4" w:tplc="D8885752">
      <w:start w:val="1"/>
      <w:numFmt w:val="bullet"/>
      <w:lvlText w:val="o"/>
      <w:lvlJc w:val="left"/>
      <w:pPr>
        <w:tabs>
          <w:tab w:val="num" w:pos="3600"/>
        </w:tabs>
        <w:ind w:left="3600" w:hanging="360"/>
      </w:pPr>
      <w:rPr>
        <w:rFonts w:ascii="Courier New" w:hAnsi="Courier New"/>
      </w:rPr>
    </w:lvl>
    <w:lvl w:ilvl="5" w:tplc="500C47AC">
      <w:start w:val="1"/>
      <w:numFmt w:val="bullet"/>
      <w:lvlText w:val=""/>
      <w:lvlJc w:val="left"/>
      <w:pPr>
        <w:tabs>
          <w:tab w:val="num" w:pos="4320"/>
        </w:tabs>
        <w:ind w:left="4320" w:hanging="360"/>
      </w:pPr>
      <w:rPr>
        <w:rFonts w:ascii="Wingdings" w:hAnsi="Wingdings"/>
      </w:rPr>
    </w:lvl>
    <w:lvl w:ilvl="6" w:tplc="26FE54A0">
      <w:start w:val="1"/>
      <w:numFmt w:val="bullet"/>
      <w:lvlText w:val=""/>
      <w:lvlJc w:val="left"/>
      <w:pPr>
        <w:tabs>
          <w:tab w:val="num" w:pos="5040"/>
        </w:tabs>
        <w:ind w:left="5040" w:hanging="360"/>
      </w:pPr>
      <w:rPr>
        <w:rFonts w:ascii="Symbol" w:hAnsi="Symbol"/>
      </w:rPr>
    </w:lvl>
    <w:lvl w:ilvl="7" w:tplc="DF647CE0">
      <w:start w:val="1"/>
      <w:numFmt w:val="bullet"/>
      <w:lvlText w:val="o"/>
      <w:lvlJc w:val="left"/>
      <w:pPr>
        <w:tabs>
          <w:tab w:val="num" w:pos="5760"/>
        </w:tabs>
        <w:ind w:left="5760" w:hanging="360"/>
      </w:pPr>
      <w:rPr>
        <w:rFonts w:ascii="Courier New" w:hAnsi="Courier New"/>
      </w:rPr>
    </w:lvl>
    <w:lvl w:ilvl="8" w:tplc="171A9C22">
      <w:start w:val="1"/>
      <w:numFmt w:val="bullet"/>
      <w:lvlText w:val=""/>
      <w:lvlJc w:val="left"/>
      <w:pPr>
        <w:tabs>
          <w:tab w:val="num" w:pos="6480"/>
        </w:tabs>
        <w:ind w:left="6480" w:hanging="360"/>
      </w:pPr>
      <w:rPr>
        <w:rFonts w:ascii="Wingdings" w:hAnsi="Wingdings"/>
      </w:rPr>
    </w:lvl>
  </w:abstractNum>
  <w:abstractNum w:abstractNumId="828" w15:restartNumberingAfterBreak="0">
    <w:nsid w:val="722307FE"/>
    <w:multiLevelType w:val="hybridMultilevel"/>
    <w:tmpl w:val="722307FE"/>
    <w:lvl w:ilvl="0" w:tplc="2B50290C">
      <w:start w:val="1"/>
      <w:numFmt w:val="bullet"/>
      <w:lvlText w:val=""/>
      <w:lvlJc w:val="left"/>
      <w:pPr>
        <w:ind w:left="720" w:hanging="360"/>
      </w:pPr>
      <w:rPr>
        <w:rFonts w:ascii="Symbol" w:hAnsi="Symbol"/>
      </w:rPr>
    </w:lvl>
    <w:lvl w:ilvl="1" w:tplc="04F229E6">
      <w:start w:val="1"/>
      <w:numFmt w:val="bullet"/>
      <w:lvlText w:val="o"/>
      <w:lvlJc w:val="left"/>
      <w:pPr>
        <w:tabs>
          <w:tab w:val="num" w:pos="1440"/>
        </w:tabs>
        <w:ind w:left="1440" w:hanging="360"/>
      </w:pPr>
      <w:rPr>
        <w:rFonts w:ascii="Courier New" w:hAnsi="Courier New"/>
      </w:rPr>
    </w:lvl>
    <w:lvl w:ilvl="2" w:tplc="E7C298CA">
      <w:start w:val="1"/>
      <w:numFmt w:val="bullet"/>
      <w:lvlText w:val=""/>
      <w:lvlJc w:val="left"/>
      <w:pPr>
        <w:tabs>
          <w:tab w:val="num" w:pos="2160"/>
        </w:tabs>
        <w:ind w:left="2160" w:hanging="360"/>
      </w:pPr>
      <w:rPr>
        <w:rFonts w:ascii="Wingdings" w:hAnsi="Wingdings"/>
      </w:rPr>
    </w:lvl>
    <w:lvl w:ilvl="3" w:tplc="E6084066">
      <w:start w:val="1"/>
      <w:numFmt w:val="bullet"/>
      <w:lvlText w:val=""/>
      <w:lvlJc w:val="left"/>
      <w:pPr>
        <w:tabs>
          <w:tab w:val="num" w:pos="2880"/>
        </w:tabs>
        <w:ind w:left="2880" w:hanging="360"/>
      </w:pPr>
      <w:rPr>
        <w:rFonts w:ascii="Symbol" w:hAnsi="Symbol"/>
      </w:rPr>
    </w:lvl>
    <w:lvl w:ilvl="4" w:tplc="0D9207AC">
      <w:start w:val="1"/>
      <w:numFmt w:val="bullet"/>
      <w:lvlText w:val="o"/>
      <w:lvlJc w:val="left"/>
      <w:pPr>
        <w:tabs>
          <w:tab w:val="num" w:pos="3600"/>
        </w:tabs>
        <w:ind w:left="3600" w:hanging="360"/>
      </w:pPr>
      <w:rPr>
        <w:rFonts w:ascii="Courier New" w:hAnsi="Courier New"/>
      </w:rPr>
    </w:lvl>
    <w:lvl w:ilvl="5" w:tplc="B1AC8FE2">
      <w:start w:val="1"/>
      <w:numFmt w:val="bullet"/>
      <w:lvlText w:val=""/>
      <w:lvlJc w:val="left"/>
      <w:pPr>
        <w:tabs>
          <w:tab w:val="num" w:pos="4320"/>
        </w:tabs>
        <w:ind w:left="4320" w:hanging="360"/>
      </w:pPr>
      <w:rPr>
        <w:rFonts w:ascii="Wingdings" w:hAnsi="Wingdings"/>
      </w:rPr>
    </w:lvl>
    <w:lvl w:ilvl="6" w:tplc="4800ACAE">
      <w:start w:val="1"/>
      <w:numFmt w:val="bullet"/>
      <w:lvlText w:val=""/>
      <w:lvlJc w:val="left"/>
      <w:pPr>
        <w:tabs>
          <w:tab w:val="num" w:pos="5040"/>
        </w:tabs>
        <w:ind w:left="5040" w:hanging="360"/>
      </w:pPr>
      <w:rPr>
        <w:rFonts w:ascii="Symbol" w:hAnsi="Symbol"/>
      </w:rPr>
    </w:lvl>
    <w:lvl w:ilvl="7" w:tplc="0D6E6F40">
      <w:start w:val="1"/>
      <w:numFmt w:val="bullet"/>
      <w:lvlText w:val="o"/>
      <w:lvlJc w:val="left"/>
      <w:pPr>
        <w:tabs>
          <w:tab w:val="num" w:pos="5760"/>
        </w:tabs>
        <w:ind w:left="5760" w:hanging="360"/>
      </w:pPr>
      <w:rPr>
        <w:rFonts w:ascii="Courier New" w:hAnsi="Courier New"/>
      </w:rPr>
    </w:lvl>
    <w:lvl w:ilvl="8" w:tplc="752E0AC0">
      <w:start w:val="1"/>
      <w:numFmt w:val="bullet"/>
      <w:lvlText w:val=""/>
      <w:lvlJc w:val="left"/>
      <w:pPr>
        <w:tabs>
          <w:tab w:val="num" w:pos="6480"/>
        </w:tabs>
        <w:ind w:left="6480" w:hanging="360"/>
      </w:pPr>
      <w:rPr>
        <w:rFonts w:ascii="Wingdings" w:hAnsi="Wingdings"/>
      </w:rPr>
    </w:lvl>
  </w:abstractNum>
  <w:abstractNum w:abstractNumId="829" w15:restartNumberingAfterBreak="0">
    <w:nsid w:val="722307FF"/>
    <w:multiLevelType w:val="hybridMultilevel"/>
    <w:tmpl w:val="722307FF"/>
    <w:lvl w:ilvl="0" w:tplc="AE346BC0">
      <w:start w:val="1"/>
      <w:numFmt w:val="bullet"/>
      <w:lvlText w:val=""/>
      <w:lvlJc w:val="left"/>
      <w:pPr>
        <w:tabs>
          <w:tab w:val="num" w:pos="720"/>
        </w:tabs>
        <w:ind w:left="720" w:hanging="360"/>
      </w:pPr>
      <w:rPr>
        <w:rFonts w:ascii="Symbol" w:hAnsi="Symbol"/>
      </w:rPr>
    </w:lvl>
    <w:lvl w:ilvl="1" w:tplc="39F6117E">
      <w:start w:val="1"/>
      <w:numFmt w:val="bullet"/>
      <w:lvlText w:val="o"/>
      <w:lvlJc w:val="left"/>
      <w:pPr>
        <w:tabs>
          <w:tab w:val="num" w:pos="1440"/>
        </w:tabs>
        <w:ind w:left="1440" w:hanging="360"/>
      </w:pPr>
      <w:rPr>
        <w:rFonts w:ascii="Courier New" w:hAnsi="Courier New"/>
      </w:rPr>
    </w:lvl>
    <w:lvl w:ilvl="2" w:tplc="8DFEC962">
      <w:start w:val="1"/>
      <w:numFmt w:val="bullet"/>
      <w:lvlText w:val=""/>
      <w:lvlJc w:val="left"/>
      <w:pPr>
        <w:tabs>
          <w:tab w:val="num" w:pos="2160"/>
        </w:tabs>
        <w:ind w:left="2160" w:hanging="360"/>
      </w:pPr>
      <w:rPr>
        <w:rFonts w:ascii="Wingdings" w:hAnsi="Wingdings"/>
      </w:rPr>
    </w:lvl>
    <w:lvl w:ilvl="3" w:tplc="52DE6E40">
      <w:start w:val="1"/>
      <w:numFmt w:val="bullet"/>
      <w:lvlText w:val=""/>
      <w:lvlJc w:val="left"/>
      <w:pPr>
        <w:tabs>
          <w:tab w:val="num" w:pos="2880"/>
        </w:tabs>
        <w:ind w:left="2880" w:hanging="360"/>
      </w:pPr>
      <w:rPr>
        <w:rFonts w:ascii="Symbol" w:hAnsi="Symbol"/>
      </w:rPr>
    </w:lvl>
    <w:lvl w:ilvl="4" w:tplc="FBA20AAA">
      <w:start w:val="1"/>
      <w:numFmt w:val="bullet"/>
      <w:lvlText w:val="o"/>
      <w:lvlJc w:val="left"/>
      <w:pPr>
        <w:tabs>
          <w:tab w:val="num" w:pos="3600"/>
        </w:tabs>
        <w:ind w:left="3600" w:hanging="360"/>
      </w:pPr>
      <w:rPr>
        <w:rFonts w:ascii="Courier New" w:hAnsi="Courier New"/>
      </w:rPr>
    </w:lvl>
    <w:lvl w:ilvl="5" w:tplc="97D2D038">
      <w:start w:val="1"/>
      <w:numFmt w:val="bullet"/>
      <w:lvlText w:val=""/>
      <w:lvlJc w:val="left"/>
      <w:pPr>
        <w:tabs>
          <w:tab w:val="num" w:pos="4320"/>
        </w:tabs>
        <w:ind w:left="4320" w:hanging="360"/>
      </w:pPr>
      <w:rPr>
        <w:rFonts w:ascii="Wingdings" w:hAnsi="Wingdings"/>
      </w:rPr>
    </w:lvl>
    <w:lvl w:ilvl="6" w:tplc="AF446364">
      <w:start w:val="1"/>
      <w:numFmt w:val="bullet"/>
      <w:lvlText w:val=""/>
      <w:lvlJc w:val="left"/>
      <w:pPr>
        <w:tabs>
          <w:tab w:val="num" w:pos="5040"/>
        </w:tabs>
        <w:ind w:left="5040" w:hanging="360"/>
      </w:pPr>
      <w:rPr>
        <w:rFonts w:ascii="Symbol" w:hAnsi="Symbol"/>
      </w:rPr>
    </w:lvl>
    <w:lvl w:ilvl="7" w:tplc="905210D6">
      <w:start w:val="1"/>
      <w:numFmt w:val="bullet"/>
      <w:lvlText w:val="o"/>
      <w:lvlJc w:val="left"/>
      <w:pPr>
        <w:tabs>
          <w:tab w:val="num" w:pos="5760"/>
        </w:tabs>
        <w:ind w:left="5760" w:hanging="360"/>
      </w:pPr>
      <w:rPr>
        <w:rFonts w:ascii="Courier New" w:hAnsi="Courier New"/>
      </w:rPr>
    </w:lvl>
    <w:lvl w:ilvl="8" w:tplc="2E5C04B6">
      <w:start w:val="1"/>
      <w:numFmt w:val="bullet"/>
      <w:lvlText w:val=""/>
      <w:lvlJc w:val="left"/>
      <w:pPr>
        <w:tabs>
          <w:tab w:val="num" w:pos="6480"/>
        </w:tabs>
        <w:ind w:left="6480" w:hanging="360"/>
      </w:pPr>
      <w:rPr>
        <w:rFonts w:ascii="Wingdings" w:hAnsi="Wingdings"/>
      </w:rPr>
    </w:lvl>
  </w:abstractNum>
  <w:abstractNum w:abstractNumId="830" w15:restartNumberingAfterBreak="0">
    <w:nsid w:val="72230800"/>
    <w:multiLevelType w:val="hybridMultilevel"/>
    <w:tmpl w:val="72230800"/>
    <w:lvl w:ilvl="0" w:tplc="91469AE2">
      <w:start w:val="1"/>
      <w:numFmt w:val="bullet"/>
      <w:lvlText w:val=""/>
      <w:lvlJc w:val="left"/>
      <w:pPr>
        <w:ind w:left="720" w:hanging="360"/>
      </w:pPr>
      <w:rPr>
        <w:rFonts w:ascii="Symbol" w:hAnsi="Symbol"/>
      </w:rPr>
    </w:lvl>
    <w:lvl w:ilvl="1" w:tplc="55AAD350">
      <w:start w:val="1"/>
      <w:numFmt w:val="bullet"/>
      <w:lvlText w:val="o"/>
      <w:lvlJc w:val="left"/>
      <w:pPr>
        <w:tabs>
          <w:tab w:val="num" w:pos="1440"/>
        </w:tabs>
        <w:ind w:left="1440" w:hanging="360"/>
      </w:pPr>
      <w:rPr>
        <w:rFonts w:ascii="Courier New" w:hAnsi="Courier New"/>
      </w:rPr>
    </w:lvl>
    <w:lvl w:ilvl="2" w:tplc="31F85908">
      <w:start w:val="1"/>
      <w:numFmt w:val="bullet"/>
      <w:lvlText w:val=""/>
      <w:lvlJc w:val="left"/>
      <w:pPr>
        <w:tabs>
          <w:tab w:val="num" w:pos="2160"/>
        </w:tabs>
        <w:ind w:left="2160" w:hanging="360"/>
      </w:pPr>
      <w:rPr>
        <w:rFonts w:ascii="Wingdings" w:hAnsi="Wingdings"/>
      </w:rPr>
    </w:lvl>
    <w:lvl w:ilvl="3" w:tplc="0DD27B28">
      <w:start w:val="1"/>
      <w:numFmt w:val="bullet"/>
      <w:lvlText w:val=""/>
      <w:lvlJc w:val="left"/>
      <w:pPr>
        <w:tabs>
          <w:tab w:val="num" w:pos="2880"/>
        </w:tabs>
        <w:ind w:left="2880" w:hanging="360"/>
      </w:pPr>
      <w:rPr>
        <w:rFonts w:ascii="Symbol" w:hAnsi="Symbol"/>
      </w:rPr>
    </w:lvl>
    <w:lvl w:ilvl="4" w:tplc="3244D026">
      <w:start w:val="1"/>
      <w:numFmt w:val="bullet"/>
      <w:lvlText w:val="o"/>
      <w:lvlJc w:val="left"/>
      <w:pPr>
        <w:tabs>
          <w:tab w:val="num" w:pos="3600"/>
        </w:tabs>
        <w:ind w:left="3600" w:hanging="360"/>
      </w:pPr>
      <w:rPr>
        <w:rFonts w:ascii="Courier New" w:hAnsi="Courier New"/>
      </w:rPr>
    </w:lvl>
    <w:lvl w:ilvl="5" w:tplc="E4D67EFC">
      <w:start w:val="1"/>
      <w:numFmt w:val="bullet"/>
      <w:lvlText w:val=""/>
      <w:lvlJc w:val="left"/>
      <w:pPr>
        <w:tabs>
          <w:tab w:val="num" w:pos="4320"/>
        </w:tabs>
        <w:ind w:left="4320" w:hanging="360"/>
      </w:pPr>
      <w:rPr>
        <w:rFonts w:ascii="Wingdings" w:hAnsi="Wingdings"/>
      </w:rPr>
    </w:lvl>
    <w:lvl w:ilvl="6" w:tplc="08E8FC0C">
      <w:start w:val="1"/>
      <w:numFmt w:val="bullet"/>
      <w:lvlText w:val=""/>
      <w:lvlJc w:val="left"/>
      <w:pPr>
        <w:tabs>
          <w:tab w:val="num" w:pos="5040"/>
        </w:tabs>
        <w:ind w:left="5040" w:hanging="360"/>
      </w:pPr>
      <w:rPr>
        <w:rFonts w:ascii="Symbol" w:hAnsi="Symbol"/>
      </w:rPr>
    </w:lvl>
    <w:lvl w:ilvl="7" w:tplc="E4F2A60E">
      <w:start w:val="1"/>
      <w:numFmt w:val="bullet"/>
      <w:lvlText w:val="o"/>
      <w:lvlJc w:val="left"/>
      <w:pPr>
        <w:tabs>
          <w:tab w:val="num" w:pos="5760"/>
        </w:tabs>
        <w:ind w:left="5760" w:hanging="360"/>
      </w:pPr>
      <w:rPr>
        <w:rFonts w:ascii="Courier New" w:hAnsi="Courier New"/>
      </w:rPr>
    </w:lvl>
    <w:lvl w:ilvl="8" w:tplc="05DC4D10">
      <w:start w:val="1"/>
      <w:numFmt w:val="bullet"/>
      <w:lvlText w:val=""/>
      <w:lvlJc w:val="left"/>
      <w:pPr>
        <w:tabs>
          <w:tab w:val="num" w:pos="6480"/>
        </w:tabs>
        <w:ind w:left="6480" w:hanging="360"/>
      </w:pPr>
      <w:rPr>
        <w:rFonts w:ascii="Wingdings" w:hAnsi="Wingdings"/>
      </w:rPr>
    </w:lvl>
  </w:abstractNum>
  <w:abstractNum w:abstractNumId="831" w15:restartNumberingAfterBreak="0">
    <w:nsid w:val="72230801"/>
    <w:multiLevelType w:val="hybridMultilevel"/>
    <w:tmpl w:val="72230801"/>
    <w:lvl w:ilvl="0" w:tplc="80C45C58">
      <w:start w:val="1"/>
      <w:numFmt w:val="bullet"/>
      <w:lvlText w:val=""/>
      <w:lvlJc w:val="left"/>
      <w:pPr>
        <w:ind w:left="720" w:hanging="360"/>
      </w:pPr>
      <w:rPr>
        <w:rFonts w:ascii="Symbol" w:hAnsi="Symbol"/>
      </w:rPr>
    </w:lvl>
    <w:lvl w:ilvl="1" w:tplc="3336E43A">
      <w:start w:val="1"/>
      <w:numFmt w:val="bullet"/>
      <w:lvlText w:val="o"/>
      <w:lvlJc w:val="left"/>
      <w:pPr>
        <w:tabs>
          <w:tab w:val="num" w:pos="1440"/>
        </w:tabs>
        <w:ind w:left="1440" w:hanging="360"/>
      </w:pPr>
      <w:rPr>
        <w:rFonts w:ascii="Courier New" w:hAnsi="Courier New"/>
      </w:rPr>
    </w:lvl>
    <w:lvl w:ilvl="2" w:tplc="1092147C">
      <w:start w:val="1"/>
      <w:numFmt w:val="bullet"/>
      <w:lvlText w:val=""/>
      <w:lvlJc w:val="left"/>
      <w:pPr>
        <w:tabs>
          <w:tab w:val="num" w:pos="2160"/>
        </w:tabs>
        <w:ind w:left="2160" w:hanging="360"/>
      </w:pPr>
      <w:rPr>
        <w:rFonts w:ascii="Wingdings" w:hAnsi="Wingdings"/>
      </w:rPr>
    </w:lvl>
    <w:lvl w:ilvl="3" w:tplc="2B0A92C2">
      <w:start w:val="1"/>
      <w:numFmt w:val="bullet"/>
      <w:lvlText w:val=""/>
      <w:lvlJc w:val="left"/>
      <w:pPr>
        <w:tabs>
          <w:tab w:val="num" w:pos="2880"/>
        </w:tabs>
        <w:ind w:left="2880" w:hanging="360"/>
      </w:pPr>
      <w:rPr>
        <w:rFonts w:ascii="Symbol" w:hAnsi="Symbol"/>
      </w:rPr>
    </w:lvl>
    <w:lvl w:ilvl="4" w:tplc="C8A8807C">
      <w:start w:val="1"/>
      <w:numFmt w:val="bullet"/>
      <w:lvlText w:val="o"/>
      <w:lvlJc w:val="left"/>
      <w:pPr>
        <w:tabs>
          <w:tab w:val="num" w:pos="3600"/>
        </w:tabs>
        <w:ind w:left="3600" w:hanging="360"/>
      </w:pPr>
      <w:rPr>
        <w:rFonts w:ascii="Courier New" w:hAnsi="Courier New"/>
      </w:rPr>
    </w:lvl>
    <w:lvl w:ilvl="5" w:tplc="A3BABB7C">
      <w:start w:val="1"/>
      <w:numFmt w:val="bullet"/>
      <w:lvlText w:val=""/>
      <w:lvlJc w:val="left"/>
      <w:pPr>
        <w:tabs>
          <w:tab w:val="num" w:pos="4320"/>
        </w:tabs>
        <w:ind w:left="4320" w:hanging="360"/>
      </w:pPr>
      <w:rPr>
        <w:rFonts w:ascii="Wingdings" w:hAnsi="Wingdings"/>
      </w:rPr>
    </w:lvl>
    <w:lvl w:ilvl="6" w:tplc="2654BA32">
      <w:start w:val="1"/>
      <w:numFmt w:val="bullet"/>
      <w:lvlText w:val=""/>
      <w:lvlJc w:val="left"/>
      <w:pPr>
        <w:tabs>
          <w:tab w:val="num" w:pos="5040"/>
        </w:tabs>
        <w:ind w:left="5040" w:hanging="360"/>
      </w:pPr>
      <w:rPr>
        <w:rFonts w:ascii="Symbol" w:hAnsi="Symbol"/>
      </w:rPr>
    </w:lvl>
    <w:lvl w:ilvl="7" w:tplc="B338FCA2">
      <w:start w:val="1"/>
      <w:numFmt w:val="bullet"/>
      <w:lvlText w:val="o"/>
      <w:lvlJc w:val="left"/>
      <w:pPr>
        <w:tabs>
          <w:tab w:val="num" w:pos="5760"/>
        </w:tabs>
        <w:ind w:left="5760" w:hanging="360"/>
      </w:pPr>
      <w:rPr>
        <w:rFonts w:ascii="Courier New" w:hAnsi="Courier New"/>
      </w:rPr>
    </w:lvl>
    <w:lvl w:ilvl="8" w:tplc="9EFEDFCA">
      <w:start w:val="1"/>
      <w:numFmt w:val="bullet"/>
      <w:lvlText w:val=""/>
      <w:lvlJc w:val="left"/>
      <w:pPr>
        <w:tabs>
          <w:tab w:val="num" w:pos="6480"/>
        </w:tabs>
        <w:ind w:left="6480" w:hanging="360"/>
      </w:pPr>
      <w:rPr>
        <w:rFonts w:ascii="Wingdings" w:hAnsi="Wingdings"/>
      </w:rPr>
    </w:lvl>
  </w:abstractNum>
  <w:abstractNum w:abstractNumId="832" w15:restartNumberingAfterBreak="0">
    <w:nsid w:val="72230802"/>
    <w:multiLevelType w:val="hybridMultilevel"/>
    <w:tmpl w:val="72230802"/>
    <w:lvl w:ilvl="0" w:tplc="93E41646">
      <w:start w:val="1"/>
      <w:numFmt w:val="bullet"/>
      <w:lvlText w:val=""/>
      <w:lvlJc w:val="left"/>
      <w:pPr>
        <w:ind w:left="720" w:hanging="360"/>
      </w:pPr>
      <w:rPr>
        <w:rFonts w:ascii="Symbol" w:hAnsi="Symbol"/>
      </w:rPr>
    </w:lvl>
    <w:lvl w:ilvl="1" w:tplc="BF90AB4E">
      <w:start w:val="1"/>
      <w:numFmt w:val="bullet"/>
      <w:lvlText w:val="o"/>
      <w:lvlJc w:val="left"/>
      <w:pPr>
        <w:tabs>
          <w:tab w:val="num" w:pos="1440"/>
        </w:tabs>
        <w:ind w:left="1440" w:hanging="360"/>
      </w:pPr>
      <w:rPr>
        <w:rFonts w:ascii="Courier New" w:hAnsi="Courier New"/>
      </w:rPr>
    </w:lvl>
    <w:lvl w:ilvl="2" w:tplc="837E1F28">
      <w:start w:val="1"/>
      <w:numFmt w:val="bullet"/>
      <w:lvlText w:val=""/>
      <w:lvlJc w:val="left"/>
      <w:pPr>
        <w:tabs>
          <w:tab w:val="num" w:pos="2160"/>
        </w:tabs>
        <w:ind w:left="2160" w:hanging="360"/>
      </w:pPr>
      <w:rPr>
        <w:rFonts w:ascii="Wingdings" w:hAnsi="Wingdings"/>
      </w:rPr>
    </w:lvl>
    <w:lvl w:ilvl="3" w:tplc="A9B07654">
      <w:start w:val="1"/>
      <w:numFmt w:val="bullet"/>
      <w:lvlText w:val=""/>
      <w:lvlJc w:val="left"/>
      <w:pPr>
        <w:tabs>
          <w:tab w:val="num" w:pos="2880"/>
        </w:tabs>
        <w:ind w:left="2880" w:hanging="360"/>
      </w:pPr>
      <w:rPr>
        <w:rFonts w:ascii="Symbol" w:hAnsi="Symbol"/>
      </w:rPr>
    </w:lvl>
    <w:lvl w:ilvl="4" w:tplc="DB82B004">
      <w:start w:val="1"/>
      <w:numFmt w:val="bullet"/>
      <w:lvlText w:val="o"/>
      <w:lvlJc w:val="left"/>
      <w:pPr>
        <w:tabs>
          <w:tab w:val="num" w:pos="3600"/>
        </w:tabs>
        <w:ind w:left="3600" w:hanging="360"/>
      </w:pPr>
      <w:rPr>
        <w:rFonts w:ascii="Courier New" w:hAnsi="Courier New"/>
      </w:rPr>
    </w:lvl>
    <w:lvl w:ilvl="5" w:tplc="FE9442A6">
      <w:start w:val="1"/>
      <w:numFmt w:val="bullet"/>
      <w:lvlText w:val=""/>
      <w:lvlJc w:val="left"/>
      <w:pPr>
        <w:tabs>
          <w:tab w:val="num" w:pos="4320"/>
        </w:tabs>
        <w:ind w:left="4320" w:hanging="360"/>
      </w:pPr>
      <w:rPr>
        <w:rFonts w:ascii="Wingdings" w:hAnsi="Wingdings"/>
      </w:rPr>
    </w:lvl>
    <w:lvl w:ilvl="6" w:tplc="629EE31C">
      <w:start w:val="1"/>
      <w:numFmt w:val="bullet"/>
      <w:lvlText w:val=""/>
      <w:lvlJc w:val="left"/>
      <w:pPr>
        <w:tabs>
          <w:tab w:val="num" w:pos="5040"/>
        </w:tabs>
        <w:ind w:left="5040" w:hanging="360"/>
      </w:pPr>
      <w:rPr>
        <w:rFonts w:ascii="Symbol" w:hAnsi="Symbol"/>
      </w:rPr>
    </w:lvl>
    <w:lvl w:ilvl="7" w:tplc="60064C8E">
      <w:start w:val="1"/>
      <w:numFmt w:val="bullet"/>
      <w:lvlText w:val="o"/>
      <w:lvlJc w:val="left"/>
      <w:pPr>
        <w:tabs>
          <w:tab w:val="num" w:pos="5760"/>
        </w:tabs>
        <w:ind w:left="5760" w:hanging="360"/>
      </w:pPr>
      <w:rPr>
        <w:rFonts w:ascii="Courier New" w:hAnsi="Courier New"/>
      </w:rPr>
    </w:lvl>
    <w:lvl w:ilvl="8" w:tplc="724098AC">
      <w:start w:val="1"/>
      <w:numFmt w:val="bullet"/>
      <w:lvlText w:val=""/>
      <w:lvlJc w:val="left"/>
      <w:pPr>
        <w:tabs>
          <w:tab w:val="num" w:pos="6480"/>
        </w:tabs>
        <w:ind w:left="6480" w:hanging="360"/>
      </w:pPr>
      <w:rPr>
        <w:rFonts w:ascii="Wingdings" w:hAnsi="Wingdings"/>
      </w:rPr>
    </w:lvl>
  </w:abstractNum>
  <w:abstractNum w:abstractNumId="833" w15:restartNumberingAfterBreak="0">
    <w:nsid w:val="72230803"/>
    <w:multiLevelType w:val="hybridMultilevel"/>
    <w:tmpl w:val="72230803"/>
    <w:lvl w:ilvl="0" w:tplc="E286B740">
      <w:start w:val="1"/>
      <w:numFmt w:val="bullet"/>
      <w:lvlText w:val=""/>
      <w:lvlJc w:val="left"/>
      <w:pPr>
        <w:ind w:left="720" w:hanging="360"/>
      </w:pPr>
      <w:rPr>
        <w:rFonts w:ascii="Symbol" w:hAnsi="Symbol"/>
      </w:rPr>
    </w:lvl>
    <w:lvl w:ilvl="1" w:tplc="9950FCBA">
      <w:start w:val="1"/>
      <w:numFmt w:val="bullet"/>
      <w:lvlText w:val="o"/>
      <w:lvlJc w:val="left"/>
      <w:pPr>
        <w:tabs>
          <w:tab w:val="num" w:pos="1440"/>
        </w:tabs>
        <w:ind w:left="1440" w:hanging="360"/>
      </w:pPr>
      <w:rPr>
        <w:rFonts w:ascii="Courier New" w:hAnsi="Courier New"/>
      </w:rPr>
    </w:lvl>
    <w:lvl w:ilvl="2" w:tplc="3692D332">
      <w:start w:val="1"/>
      <w:numFmt w:val="bullet"/>
      <w:lvlText w:val=""/>
      <w:lvlJc w:val="left"/>
      <w:pPr>
        <w:tabs>
          <w:tab w:val="num" w:pos="2160"/>
        </w:tabs>
        <w:ind w:left="2160" w:hanging="360"/>
      </w:pPr>
      <w:rPr>
        <w:rFonts w:ascii="Wingdings" w:hAnsi="Wingdings"/>
      </w:rPr>
    </w:lvl>
    <w:lvl w:ilvl="3" w:tplc="A38CCE34">
      <w:start w:val="1"/>
      <w:numFmt w:val="bullet"/>
      <w:lvlText w:val=""/>
      <w:lvlJc w:val="left"/>
      <w:pPr>
        <w:tabs>
          <w:tab w:val="num" w:pos="2880"/>
        </w:tabs>
        <w:ind w:left="2880" w:hanging="360"/>
      </w:pPr>
      <w:rPr>
        <w:rFonts w:ascii="Symbol" w:hAnsi="Symbol"/>
      </w:rPr>
    </w:lvl>
    <w:lvl w:ilvl="4" w:tplc="3920CE16">
      <w:start w:val="1"/>
      <w:numFmt w:val="bullet"/>
      <w:lvlText w:val="o"/>
      <w:lvlJc w:val="left"/>
      <w:pPr>
        <w:tabs>
          <w:tab w:val="num" w:pos="3600"/>
        </w:tabs>
        <w:ind w:left="3600" w:hanging="360"/>
      </w:pPr>
      <w:rPr>
        <w:rFonts w:ascii="Courier New" w:hAnsi="Courier New"/>
      </w:rPr>
    </w:lvl>
    <w:lvl w:ilvl="5" w:tplc="CA06D0AA">
      <w:start w:val="1"/>
      <w:numFmt w:val="bullet"/>
      <w:lvlText w:val=""/>
      <w:lvlJc w:val="left"/>
      <w:pPr>
        <w:tabs>
          <w:tab w:val="num" w:pos="4320"/>
        </w:tabs>
        <w:ind w:left="4320" w:hanging="360"/>
      </w:pPr>
      <w:rPr>
        <w:rFonts w:ascii="Wingdings" w:hAnsi="Wingdings"/>
      </w:rPr>
    </w:lvl>
    <w:lvl w:ilvl="6" w:tplc="8858102C">
      <w:start w:val="1"/>
      <w:numFmt w:val="bullet"/>
      <w:lvlText w:val=""/>
      <w:lvlJc w:val="left"/>
      <w:pPr>
        <w:tabs>
          <w:tab w:val="num" w:pos="5040"/>
        </w:tabs>
        <w:ind w:left="5040" w:hanging="360"/>
      </w:pPr>
      <w:rPr>
        <w:rFonts w:ascii="Symbol" w:hAnsi="Symbol"/>
      </w:rPr>
    </w:lvl>
    <w:lvl w:ilvl="7" w:tplc="C1DA6A9C">
      <w:start w:val="1"/>
      <w:numFmt w:val="bullet"/>
      <w:lvlText w:val="o"/>
      <w:lvlJc w:val="left"/>
      <w:pPr>
        <w:tabs>
          <w:tab w:val="num" w:pos="5760"/>
        </w:tabs>
        <w:ind w:left="5760" w:hanging="360"/>
      </w:pPr>
      <w:rPr>
        <w:rFonts w:ascii="Courier New" w:hAnsi="Courier New"/>
      </w:rPr>
    </w:lvl>
    <w:lvl w:ilvl="8" w:tplc="3AE4A482">
      <w:start w:val="1"/>
      <w:numFmt w:val="bullet"/>
      <w:lvlText w:val=""/>
      <w:lvlJc w:val="left"/>
      <w:pPr>
        <w:tabs>
          <w:tab w:val="num" w:pos="6480"/>
        </w:tabs>
        <w:ind w:left="6480" w:hanging="360"/>
      </w:pPr>
      <w:rPr>
        <w:rFonts w:ascii="Wingdings" w:hAnsi="Wingdings"/>
      </w:rPr>
    </w:lvl>
  </w:abstractNum>
  <w:abstractNum w:abstractNumId="834" w15:restartNumberingAfterBreak="0">
    <w:nsid w:val="72230804"/>
    <w:multiLevelType w:val="hybridMultilevel"/>
    <w:tmpl w:val="72230804"/>
    <w:lvl w:ilvl="0" w:tplc="2BF01C7E">
      <w:start w:val="1"/>
      <w:numFmt w:val="bullet"/>
      <w:lvlText w:val=""/>
      <w:lvlJc w:val="left"/>
      <w:pPr>
        <w:ind w:left="720" w:hanging="360"/>
      </w:pPr>
      <w:rPr>
        <w:rFonts w:ascii="Symbol" w:hAnsi="Symbol"/>
      </w:rPr>
    </w:lvl>
    <w:lvl w:ilvl="1" w:tplc="66AA0B84">
      <w:start w:val="1"/>
      <w:numFmt w:val="bullet"/>
      <w:lvlText w:val="o"/>
      <w:lvlJc w:val="left"/>
      <w:pPr>
        <w:tabs>
          <w:tab w:val="num" w:pos="1440"/>
        </w:tabs>
        <w:ind w:left="1440" w:hanging="360"/>
      </w:pPr>
      <w:rPr>
        <w:rFonts w:ascii="Courier New" w:hAnsi="Courier New"/>
      </w:rPr>
    </w:lvl>
    <w:lvl w:ilvl="2" w:tplc="40DA568E">
      <w:start w:val="1"/>
      <w:numFmt w:val="bullet"/>
      <w:lvlText w:val=""/>
      <w:lvlJc w:val="left"/>
      <w:pPr>
        <w:tabs>
          <w:tab w:val="num" w:pos="2160"/>
        </w:tabs>
        <w:ind w:left="2160" w:hanging="360"/>
      </w:pPr>
      <w:rPr>
        <w:rFonts w:ascii="Wingdings" w:hAnsi="Wingdings"/>
      </w:rPr>
    </w:lvl>
    <w:lvl w:ilvl="3" w:tplc="FD125A56">
      <w:start w:val="1"/>
      <w:numFmt w:val="bullet"/>
      <w:lvlText w:val=""/>
      <w:lvlJc w:val="left"/>
      <w:pPr>
        <w:tabs>
          <w:tab w:val="num" w:pos="2880"/>
        </w:tabs>
        <w:ind w:left="2880" w:hanging="360"/>
      </w:pPr>
      <w:rPr>
        <w:rFonts w:ascii="Symbol" w:hAnsi="Symbol"/>
      </w:rPr>
    </w:lvl>
    <w:lvl w:ilvl="4" w:tplc="1C820750">
      <w:start w:val="1"/>
      <w:numFmt w:val="bullet"/>
      <w:lvlText w:val="o"/>
      <w:lvlJc w:val="left"/>
      <w:pPr>
        <w:tabs>
          <w:tab w:val="num" w:pos="3600"/>
        </w:tabs>
        <w:ind w:left="3600" w:hanging="360"/>
      </w:pPr>
      <w:rPr>
        <w:rFonts w:ascii="Courier New" w:hAnsi="Courier New"/>
      </w:rPr>
    </w:lvl>
    <w:lvl w:ilvl="5" w:tplc="D5688A2C">
      <w:start w:val="1"/>
      <w:numFmt w:val="bullet"/>
      <w:lvlText w:val=""/>
      <w:lvlJc w:val="left"/>
      <w:pPr>
        <w:tabs>
          <w:tab w:val="num" w:pos="4320"/>
        </w:tabs>
        <w:ind w:left="4320" w:hanging="360"/>
      </w:pPr>
      <w:rPr>
        <w:rFonts w:ascii="Wingdings" w:hAnsi="Wingdings"/>
      </w:rPr>
    </w:lvl>
    <w:lvl w:ilvl="6" w:tplc="5DA6FF18">
      <w:start w:val="1"/>
      <w:numFmt w:val="bullet"/>
      <w:lvlText w:val=""/>
      <w:lvlJc w:val="left"/>
      <w:pPr>
        <w:tabs>
          <w:tab w:val="num" w:pos="5040"/>
        </w:tabs>
        <w:ind w:left="5040" w:hanging="360"/>
      </w:pPr>
      <w:rPr>
        <w:rFonts w:ascii="Symbol" w:hAnsi="Symbol"/>
      </w:rPr>
    </w:lvl>
    <w:lvl w:ilvl="7" w:tplc="C1BA96A6">
      <w:start w:val="1"/>
      <w:numFmt w:val="bullet"/>
      <w:lvlText w:val="o"/>
      <w:lvlJc w:val="left"/>
      <w:pPr>
        <w:tabs>
          <w:tab w:val="num" w:pos="5760"/>
        </w:tabs>
        <w:ind w:left="5760" w:hanging="360"/>
      </w:pPr>
      <w:rPr>
        <w:rFonts w:ascii="Courier New" w:hAnsi="Courier New"/>
      </w:rPr>
    </w:lvl>
    <w:lvl w:ilvl="8" w:tplc="EB641EE4">
      <w:start w:val="1"/>
      <w:numFmt w:val="bullet"/>
      <w:lvlText w:val=""/>
      <w:lvlJc w:val="left"/>
      <w:pPr>
        <w:tabs>
          <w:tab w:val="num" w:pos="6480"/>
        </w:tabs>
        <w:ind w:left="6480" w:hanging="360"/>
      </w:pPr>
      <w:rPr>
        <w:rFonts w:ascii="Wingdings" w:hAnsi="Wingdings"/>
      </w:rPr>
    </w:lvl>
  </w:abstractNum>
  <w:abstractNum w:abstractNumId="835" w15:restartNumberingAfterBreak="0">
    <w:nsid w:val="72230805"/>
    <w:multiLevelType w:val="hybridMultilevel"/>
    <w:tmpl w:val="72230805"/>
    <w:lvl w:ilvl="0" w:tplc="31260D3A">
      <w:start w:val="1"/>
      <w:numFmt w:val="bullet"/>
      <w:lvlText w:val=""/>
      <w:lvlJc w:val="left"/>
      <w:pPr>
        <w:tabs>
          <w:tab w:val="num" w:pos="720"/>
        </w:tabs>
        <w:ind w:left="720" w:hanging="360"/>
      </w:pPr>
      <w:rPr>
        <w:rFonts w:ascii="Symbol" w:hAnsi="Symbol"/>
      </w:rPr>
    </w:lvl>
    <w:lvl w:ilvl="1" w:tplc="AD9007E0">
      <w:start w:val="1"/>
      <w:numFmt w:val="bullet"/>
      <w:lvlText w:val="o"/>
      <w:lvlJc w:val="left"/>
      <w:pPr>
        <w:tabs>
          <w:tab w:val="num" w:pos="1440"/>
        </w:tabs>
        <w:ind w:left="1440" w:hanging="360"/>
      </w:pPr>
      <w:rPr>
        <w:rFonts w:ascii="Courier New" w:hAnsi="Courier New"/>
      </w:rPr>
    </w:lvl>
    <w:lvl w:ilvl="2" w:tplc="7898F98C">
      <w:start w:val="1"/>
      <w:numFmt w:val="bullet"/>
      <w:lvlText w:val=""/>
      <w:lvlJc w:val="left"/>
      <w:pPr>
        <w:tabs>
          <w:tab w:val="num" w:pos="2160"/>
        </w:tabs>
        <w:ind w:left="2160" w:hanging="360"/>
      </w:pPr>
      <w:rPr>
        <w:rFonts w:ascii="Wingdings" w:hAnsi="Wingdings"/>
      </w:rPr>
    </w:lvl>
    <w:lvl w:ilvl="3" w:tplc="174619A6">
      <w:start w:val="1"/>
      <w:numFmt w:val="bullet"/>
      <w:lvlText w:val=""/>
      <w:lvlJc w:val="left"/>
      <w:pPr>
        <w:tabs>
          <w:tab w:val="num" w:pos="2880"/>
        </w:tabs>
        <w:ind w:left="2880" w:hanging="360"/>
      </w:pPr>
      <w:rPr>
        <w:rFonts w:ascii="Symbol" w:hAnsi="Symbol"/>
      </w:rPr>
    </w:lvl>
    <w:lvl w:ilvl="4" w:tplc="53D47770">
      <w:start w:val="1"/>
      <w:numFmt w:val="bullet"/>
      <w:lvlText w:val="o"/>
      <w:lvlJc w:val="left"/>
      <w:pPr>
        <w:tabs>
          <w:tab w:val="num" w:pos="3600"/>
        </w:tabs>
        <w:ind w:left="3600" w:hanging="360"/>
      </w:pPr>
      <w:rPr>
        <w:rFonts w:ascii="Courier New" w:hAnsi="Courier New"/>
      </w:rPr>
    </w:lvl>
    <w:lvl w:ilvl="5" w:tplc="61940A30">
      <w:start w:val="1"/>
      <w:numFmt w:val="bullet"/>
      <w:lvlText w:val=""/>
      <w:lvlJc w:val="left"/>
      <w:pPr>
        <w:tabs>
          <w:tab w:val="num" w:pos="4320"/>
        </w:tabs>
        <w:ind w:left="4320" w:hanging="360"/>
      </w:pPr>
      <w:rPr>
        <w:rFonts w:ascii="Wingdings" w:hAnsi="Wingdings"/>
      </w:rPr>
    </w:lvl>
    <w:lvl w:ilvl="6" w:tplc="39721E9C">
      <w:start w:val="1"/>
      <w:numFmt w:val="bullet"/>
      <w:lvlText w:val=""/>
      <w:lvlJc w:val="left"/>
      <w:pPr>
        <w:tabs>
          <w:tab w:val="num" w:pos="5040"/>
        </w:tabs>
        <w:ind w:left="5040" w:hanging="360"/>
      </w:pPr>
      <w:rPr>
        <w:rFonts w:ascii="Symbol" w:hAnsi="Symbol"/>
      </w:rPr>
    </w:lvl>
    <w:lvl w:ilvl="7" w:tplc="B6E2A6EE">
      <w:start w:val="1"/>
      <w:numFmt w:val="bullet"/>
      <w:lvlText w:val="o"/>
      <w:lvlJc w:val="left"/>
      <w:pPr>
        <w:tabs>
          <w:tab w:val="num" w:pos="5760"/>
        </w:tabs>
        <w:ind w:left="5760" w:hanging="360"/>
      </w:pPr>
      <w:rPr>
        <w:rFonts w:ascii="Courier New" w:hAnsi="Courier New"/>
      </w:rPr>
    </w:lvl>
    <w:lvl w:ilvl="8" w:tplc="9AA2E898">
      <w:start w:val="1"/>
      <w:numFmt w:val="bullet"/>
      <w:lvlText w:val=""/>
      <w:lvlJc w:val="left"/>
      <w:pPr>
        <w:tabs>
          <w:tab w:val="num" w:pos="6480"/>
        </w:tabs>
        <w:ind w:left="6480" w:hanging="360"/>
      </w:pPr>
      <w:rPr>
        <w:rFonts w:ascii="Wingdings" w:hAnsi="Wingdings"/>
      </w:rPr>
    </w:lvl>
  </w:abstractNum>
  <w:abstractNum w:abstractNumId="836" w15:restartNumberingAfterBreak="0">
    <w:nsid w:val="72230806"/>
    <w:multiLevelType w:val="hybridMultilevel"/>
    <w:tmpl w:val="72230806"/>
    <w:lvl w:ilvl="0" w:tplc="0E02DBCA">
      <w:start w:val="1"/>
      <w:numFmt w:val="bullet"/>
      <w:lvlText w:val=""/>
      <w:lvlJc w:val="left"/>
      <w:pPr>
        <w:ind w:left="720" w:hanging="360"/>
      </w:pPr>
      <w:rPr>
        <w:rFonts w:ascii="Symbol" w:hAnsi="Symbol"/>
      </w:rPr>
    </w:lvl>
    <w:lvl w:ilvl="1" w:tplc="82C8ADDC">
      <w:start w:val="1"/>
      <w:numFmt w:val="bullet"/>
      <w:lvlText w:val="o"/>
      <w:lvlJc w:val="left"/>
      <w:pPr>
        <w:tabs>
          <w:tab w:val="num" w:pos="1440"/>
        </w:tabs>
        <w:ind w:left="1440" w:hanging="360"/>
      </w:pPr>
      <w:rPr>
        <w:rFonts w:ascii="Courier New" w:hAnsi="Courier New"/>
      </w:rPr>
    </w:lvl>
    <w:lvl w:ilvl="2" w:tplc="6B5E725C">
      <w:start w:val="1"/>
      <w:numFmt w:val="bullet"/>
      <w:lvlText w:val=""/>
      <w:lvlJc w:val="left"/>
      <w:pPr>
        <w:tabs>
          <w:tab w:val="num" w:pos="2160"/>
        </w:tabs>
        <w:ind w:left="2160" w:hanging="360"/>
      </w:pPr>
      <w:rPr>
        <w:rFonts w:ascii="Wingdings" w:hAnsi="Wingdings"/>
      </w:rPr>
    </w:lvl>
    <w:lvl w:ilvl="3" w:tplc="B2BC429A">
      <w:start w:val="1"/>
      <w:numFmt w:val="bullet"/>
      <w:lvlText w:val=""/>
      <w:lvlJc w:val="left"/>
      <w:pPr>
        <w:tabs>
          <w:tab w:val="num" w:pos="2880"/>
        </w:tabs>
        <w:ind w:left="2880" w:hanging="360"/>
      </w:pPr>
      <w:rPr>
        <w:rFonts w:ascii="Symbol" w:hAnsi="Symbol"/>
      </w:rPr>
    </w:lvl>
    <w:lvl w:ilvl="4" w:tplc="67D28126">
      <w:start w:val="1"/>
      <w:numFmt w:val="bullet"/>
      <w:lvlText w:val="o"/>
      <w:lvlJc w:val="left"/>
      <w:pPr>
        <w:tabs>
          <w:tab w:val="num" w:pos="3600"/>
        </w:tabs>
        <w:ind w:left="3600" w:hanging="360"/>
      </w:pPr>
      <w:rPr>
        <w:rFonts w:ascii="Courier New" w:hAnsi="Courier New"/>
      </w:rPr>
    </w:lvl>
    <w:lvl w:ilvl="5" w:tplc="1714E27C">
      <w:start w:val="1"/>
      <w:numFmt w:val="bullet"/>
      <w:lvlText w:val=""/>
      <w:lvlJc w:val="left"/>
      <w:pPr>
        <w:tabs>
          <w:tab w:val="num" w:pos="4320"/>
        </w:tabs>
        <w:ind w:left="4320" w:hanging="360"/>
      </w:pPr>
      <w:rPr>
        <w:rFonts w:ascii="Wingdings" w:hAnsi="Wingdings"/>
      </w:rPr>
    </w:lvl>
    <w:lvl w:ilvl="6" w:tplc="61904AB6">
      <w:start w:val="1"/>
      <w:numFmt w:val="bullet"/>
      <w:lvlText w:val=""/>
      <w:lvlJc w:val="left"/>
      <w:pPr>
        <w:tabs>
          <w:tab w:val="num" w:pos="5040"/>
        </w:tabs>
        <w:ind w:left="5040" w:hanging="360"/>
      </w:pPr>
      <w:rPr>
        <w:rFonts w:ascii="Symbol" w:hAnsi="Symbol"/>
      </w:rPr>
    </w:lvl>
    <w:lvl w:ilvl="7" w:tplc="BE0A1A60">
      <w:start w:val="1"/>
      <w:numFmt w:val="bullet"/>
      <w:lvlText w:val="o"/>
      <w:lvlJc w:val="left"/>
      <w:pPr>
        <w:tabs>
          <w:tab w:val="num" w:pos="5760"/>
        </w:tabs>
        <w:ind w:left="5760" w:hanging="360"/>
      </w:pPr>
      <w:rPr>
        <w:rFonts w:ascii="Courier New" w:hAnsi="Courier New"/>
      </w:rPr>
    </w:lvl>
    <w:lvl w:ilvl="8" w:tplc="202CA228">
      <w:start w:val="1"/>
      <w:numFmt w:val="bullet"/>
      <w:lvlText w:val=""/>
      <w:lvlJc w:val="left"/>
      <w:pPr>
        <w:tabs>
          <w:tab w:val="num" w:pos="6480"/>
        </w:tabs>
        <w:ind w:left="6480" w:hanging="360"/>
      </w:pPr>
      <w:rPr>
        <w:rFonts w:ascii="Wingdings" w:hAnsi="Wingdings"/>
      </w:rPr>
    </w:lvl>
  </w:abstractNum>
  <w:abstractNum w:abstractNumId="837" w15:restartNumberingAfterBreak="0">
    <w:nsid w:val="72230807"/>
    <w:multiLevelType w:val="hybridMultilevel"/>
    <w:tmpl w:val="72230807"/>
    <w:lvl w:ilvl="0" w:tplc="24D41AD0">
      <w:start w:val="1"/>
      <w:numFmt w:val="bullet"/>
      <w:lvlText w:val=""/>
      <w:lvlJc w:val="left"/>
      <w:pPr>
        <w:ind w:left="720" w:hanging="360"/>
      </w:pPr>
      <w:rPr>
        <w:rFonts w:ascii="Symbol" w:hAnsi="Symbol"/>
      </w:rPr>
    </w:lvl>
    <w:lvl w:ilvl="1" w:tplc="DFC88068">
      <w:start w:val="1"/>
      <w:numFmt w:val="bullet"/>
      <w:lvlText w:val="o"/>
      <w:lvlJc w:val="left"/>
      <w:pPr>
        <w:tabs>
          <w:tab w:val="num" w:pos="1440"/>
        </w:tabs>
        <w:ind w:left="1440" w:hanging="360"/>
      </w:pPr>
      <w:rPr>
        <w:rFonts w:ascii="Courier New" w:hAnsi="Courier New"/>
      </w:rPr>
    </w:lvl>
    <w:lvl w:ilvl="2" w:tplc="94C0F01A">
      <w:start w:val="1"/>
      <w:numFmt w:val="bullet"/>
      <w:lvlText w:val=""/>
      <w:lvlJc w:val="left"/>
      <w:pPr>
        <w:tabs>
          <w:tab w:val="num" w:pos="2160"/>
        </w:tabs>
        <w:ind w:left="2160" w:hanging="360"/>
      </w:pPr>
      <w:rPr>
        <w:rFonts w:ascii="Wingdings" w:hAnsi="Wingdings"/>
      </w:rPr>
    </w:lvl>
    <w:lvl w:ilvl="3" w:tplc="DEC48292">
      <w:start w:val="1"/>
      <w:numFmt w:val="bullet"/>
      <w:lvlText w:val=""/>
      <w:lvlJc w:val="left"/>
      <w:pPr>
        <w:tabs>
          <w:tab w:val="num" w:pos="2880"/>
        </w:tabs>
        <w:ind w:left="2880" w:hanging="360"/>
      </w:pPr>
      <w:rPr>
        <w:rFonts w:ascii="Symbol" w:hAnsi="Symbol"/>
      </w:rPr>
    </w:lvl>
    <w:lvl w:ilvl="4" w:tplc="92AC355C">
      <w:start w:val="1"/>
      <w:numFmt w:val="bullet"/>
      <w:lvlText w:val="o"/>
      <w:lvlJc w:val="left"/>
      <w:pPr>
        <w:tabs>
          <w:tab w:val="num" w:pos="3600"/>
        </w:tabs>
        <w:ind w:left="3600" w:hanging="360"/>
      </w:pPr>
      <w:rPr>
        <w:rFonts w:ascii="Courier New" w:hAnsi="Courier New"/>
      </w:rPr>
    </w:lvl>
    <w:lvl w:ilvl="5" w:tplc="6020078C">
      <w:start w:val="1"/>
      <w:numFmt w:val="bullet"/>
      <w:lvlText w:val=""/>
      <w:lvlJc w:val="left"/>
      <w:pPr>
        <w:tabs>
          <w:tab w:val="num" w:pos="4320"/>
        </w:tabs>
        <w:ind w:left="4320" w:hanging="360"/>
      </w:pPr>
      <w:rPr>
        <w:rFonts w:ascii="Wingdings" w:hAnsi="Wingdings"/>
      </w:rPr>
    </w:lvl>
    <w:lvl w:ilvl="6" w:tplc="D7A696CA">
      <w:start w:val="1"/>
      <w:numFmt w:val="bullet"/>
      <w:lvlText w:val=""/>
      <w:lvlJc w:val="left"/>
      <w:pPr>
        <w:tabs>
          <w:tab w:val="num" w:pos="5040"/>
        </w:tabs>
        <w:ind w:left="5040" w:hanging="360"/>
      </w:pPr>
      <w:rPr>
        <w:rFonts w:ascii="Symbol" w:hAnsi="Symbol"/>
      </w:rPr>
    </w:lvl>
    <w:lvl w:ilvl="7" w:tplc="6540AA4E">
      <w:start w:val="1"/>
      <w:numFmt w:val="bullet"/>
      <w:lvlText w:val="o"/>
      <w:lvlJc w:val="left"/>
      <w:pPr>
        <w:tabs>
          <w:tab w:val="num" w:pos="5760"/>
        </w:tabs>
        <w:ind w:left="5760" w:hanging="360"/>
      </w:pPr>
      <w:rPr>
        <w:rFonts w:ascii="Courier New" w:hAnsi="Courier New"/>
      </w:rPr>
    </w:lvl>
    <w:lvl w:ilvl="8" w:tplc="E190D45C">
      <w:start w:val="1"/>
      <w:numFmt w:val="bullet"/>
      <w:lvlText w:val=""/>
      <w:lvlJc w:val="left"/>
      <w:pPr>
        <w:tabs>
          <w:tab w:val="num" w:pos="6480"/>
        </w:tabs>
        <w:ind w:left="6480" w:hanging="360"/>
      </w:pPr>
      <w:rPr>
        <w:rFonts w:ascii="Wingdings" w:hAnsi="Wingdings"/>
      </w:rPr>
    </w:lvl>
  </w:abstractNum>
  <w:abstractNum w:abstractNumId="838" w15:restartNumberingAfterBreak="0">
    <w:nsid w:val="72230808"/>
    <w:multiLevelType w:val="hybridMultilevel"/>
    <w:tmpl w:val="72230808"/>
    <w:lvl w:ilvl="0" w:tplc="9FA64658">
      <w:start w:val="1"/>
      <w:numFmt w:val="bullet"/>
      <w:lvlText w:val=""/>
      <w:lvlJc w:val="left"/>
      <w:pPr>
        <w:ind w:left="720" w:hanging="360"/>
      </w:pPr>
      <w:rPr>
        <w:rFonts w:ascii="Symbol" w:hAnsi="Symbol"/>
      </w:rPr>
    </w:lvl>
    <w:lvl w:ilvl="1" w:tplc="FBAE03CA">
      <w:start w:val="1"/>
      <w:numFmt w:val="bullet"/>
      <w:lvlText w:val="o"/>
      <w:lvlJc w:val="left"/>
      <w:pPr>
        <w:tabs>
          <w:tab w:val="num" w:pos="1440"/>
        </w:tabs>
        <w:ind w:left="1440" w:hanging="360"/>
      </w:pPr>
      <w:rPr>
        <w:rFonts w:ascii="Courier New" w:hAnsi="Courier New"/>
      </w:rPr>
    </w:lvl>
    <w:lvl w:ilvl="2" w:tplc="A036CC7A">
      <w:start w:val="1"/>
      <w:numFmt w:val="bullet"/>
      <w:lvlText w:val=""/>
      <w:lvlJc w:val="left"/>
      <w:pPr>
        <w:tabs>
          <w:tab w:val="num" w:pos="2160"/>
        </w:tabs>
        <w:ind w:left="2160" w:hanging="360"/>
      </w:pPr>
      <w:rPr>
        <w:rFonts w:ascii="Wingdings" w:hAnsi="Wingdings"/>
      </w:rPr>
    </w:lvl>
    <w:lvl w:ilvl="3" w:tplc="E008225A">
      <w:start w:val="1"/>
      <w:numFmt w:val="bullet"/>
      <w:lvlText w:val=""/>
      <w:lvlJc w:val="left"/>
      <w:pPr>
        <w:tabs>
          <w:tab w:val="num" w:pos="2880"/>
        </w:tabs>
        <w:ind w:left="2880" w:hanging="360"/>
      </w:pPr>
      <w:rPr>
        <w:rFonts w:ascii="Symbol" w:hAnsi="Symbol"/>
      </w:rPr>
    </w:lvl>
    <w:lvl w:ilvl="4" w:tplc="286407E8">
      <w:start w:val="1"/>
      <w:numFmt w:val="bullet"/>
      <w:lvlText w:val="o"/>
      <w:lvlJc w:val="left"/>
      <w:pPr>
        <w:tabs>
          <w:tab w:val="num" w:pos="3600"/>
        </w:tabs>
        <w:ind w:left="3600" w:hanging="360"/>
      </w:pPr>
      <w:rPr>
        <w:rFonts w:ascii="Courier New" w:hAnsi="Courier New"/>
      </w:rPr>
    </w:lvl>
    <w:lvl w:ilvl="5" w:tplc="B79697FC">
      <w:start w:val="1"/>
      <w:numFmt w:val="bullet"/>
      <w:lvlText w:val=""/>
      <w:lvlJc w:val="left"/>
      <w:pPr>
        <w:tabs>
          <w:tab w:val="num" w:pos="4320"/>
        </w:tabs>
        <w:ind w:left="4320" w:hanging="360"/>
      </w:pPr>
      <w:rPr>
        <w:rFonts w:ascii="Wingdings" w:hAnsi="Wingdings"/>
      </w:rPr>
    </w:lvl>
    <w:lvl w:ilvl="6" w:tplc="08B67FA6">
      <w:start w:val="1"/>
      <w:numFmt w:val="bullet"/>
      <w:lvlText w:val=""/>
      <w:lvlJc w:val="left"/>
      <w:pPr>
        <w:tabs>
          <w:tab w:val="num" w:pos="5040"/>
        </w:tabs>
        <w:ind w:left="5040" w:hanging="360"/>
      </w:pPr>
      <w:rPr>
        <w:rFonts w:ascii="Symbol" w:hAnsi="Symbol"/>
      </w:rPr>
    </w:lvl>
    <w:lvl w:ilvl="7" w:tplc="A9A2415C">
      <w:start w:val="1"/>
      <w:numFmt w:val="bullet"/>
      <w:lvlText w:val="o"/>
      <w:lvlJc w:val="left"/>
      <w:pPr>
        <w:tabs>
          <w:tab w:val="num" w:pos="5760"/>
        </w:tabs>
        <w:ind w:left="5760" w:hanging="360"/>
      </w:pPr>
      <w:rPr>
        <w:rFonts w:ascii="Courier New" w:hAnsi="Courier New"/>
      </w:rPr>
    </w:lvl>
    <w:lvl w:ilvl="8" w:tplc="D96C9B3A">
      <w:start w:val="1"/>
      <w:numFmt w:val="bullet"/>
      <w:lvlText w:val=""/>
      <w:lvlJc w:val="left"/>
      <w:pPr>
        <w:tabs>
          <w:tab w:val="num" w:pos="6480"/>
        </w:tabs>
        <w:ind w:left="6480" w:hanging="360"/>
      </w:pPr>
      <w:rPr>
        <w:rFonts w:ascii="Wingdings" w:hAnsi="Wingdings"/>
      </w:rPr>
    </w:lvl>
  </w:abstractNum>
  <w:abstractNum w:abstractNumId="839" w15:restartNumberingAfterBreak="0">
    <w:nsid w:val="72230809"/>
    <w:multiLevelType w:val="hybridMultilevel"/>
    <w:tmpl w:val="72230809"/>
    <w:lvl w:ilvl="0" w:tplc="7F2C4C42">
      <w:start w:val="1"/>
      <w:numFmt w:val="bullet"/>
      <w:lvlText w:val=""/>
      <w:lvlJc w:val="left"/>
      <w:pPr>
        <w:ind w:left="720" w:hanging="360"/>
      </w:pPr>
      <w:rPr>
        <w:rFonts w:ascii="Symbol" w:hAnsi="Symbol"/>
      </w:rPr>
    </w:lvl>
    <w:lvl w:ilvl="1" w:tplc="0BE6BB60">
      <w:start w:val="1"/>
      <w:numFmt w:val="bullet"/>
      <w:lvlText w:val="o"/>
      <w:lvlJc w:val="left"/>
      <w:pPr>
        <w:tabs>
          <w:tab w:val="num" w:pos="1440"/>
        </w:tabs>
        <w:ind w:left="1440" w:hanging="360"/>
      </w:pPr>
      <w:rPr>
        <w:rFonts w:ascii="Courier New" w:hAnsi="Courier New"/>
      </w:rPr>
    </w:lvl>
    <w:lvl w:ilvl="2" w:tplc="E5CEADA6">
      <w:start w:val="1"/>
      <w:numFmt w:val="bullet"/>
      <w:lvlText w:val=""/>
      <w:lvlJc w:val="left"/>
      <w:pPr>
        <w:tabs>
          <w:tab w:val="num" w:pos="2160"/>
        </w:tabs>
        <w:ind w:left="2160" w:hanging="360"/>
      </w:pPr>
      <w:rPr>
        <w:rFonts w:ascii="Wingdings" w:hAnsi="Wingdings"/>
      </w:rPr>
    </w:lvl>
    <w:lvl w:ilvl="3" w:tplc="2EC6E2C8">
      <w:start w:val="1"/>
      <w:numFmt w:val="bullet"/>
      <w:lvlText w:val=""/>
      <w:lvlJc w:val="left"/>
      <w:pPr>
        <w:tabs>
          <w:tab w:val="num" w:pos="2880"/>
        </w:tabs>
        <w:ind w:left="2880" w:hanging="360"/>
      </w:pPr>
      <w:rPr>
        <w:rFonts w:ascii="Symbol" w:hAnsi="Symbol"/>
      </w:rPr>
    </w:lvl>
    <w:lvl w:ilvl="4" w:tplc="D93A1586">
      <w:start w:val="1"/>
      <w:numFmt w:val="bullet"/>
      <w:lvlText w:val="o"/>
      <w:lvlJc w:val="left"/>
      <w:pPr>
        <w:tabs>
          <w:tab w:val="num" w:pos="3600"/>
        </w:tabs>
        <w:ind w:left="3600" w:hanging="360"/>
      </w:pPr>
      <w:rPr>
        <w:rFonts w:ascii="Courier New" w:hAnsi="Courier New"/>
      </w:rPr>
    </w:lvl>
    <w:lvl w:ilvl="5" w:tplc="25244E7C">
      <w:start w:val="1"/>
      <w:numFmt w:val="bullet"/>
      <w:lvlText w:val=""/>
      <w:lvlJc w:val="left"/>
      <w:pPr>
        <w:tabs>
          <w:tab w:val="num" w:pos="4320"/>
        </w:tabs>
        <w:ind w:left="4320" w:hanging="360"/>
      </w:pPr>
      <w:rPr>
        <w:rFonts w:ascii="Wingdings" w:hAnsi="Wingdings"/>
      </w:rPr>
    </w:lvl>
    <w:lvl w:ilvl="6" w:tplc="769491F0">
      <w:start w:val="1"/>
      <w:numFmt w:val="bullet"/>
      <w:lvlText w:val=""/>
      <w:lvlJc w:val="left"/>
      <w:pPr>
        <w:tabs>
          <w:tab w:val="num" w:pos="5040"/>
        </w:tabs>
        <w:ind w:left="5040" w:hanging="360"/>
      </w:pPr>
      <w:rPr>
        <w:rFonts w:ascii="Symbol" w:hAnsi="Symbol"/>
      </w:rPr>
    </w:lvl>
    <w:lvl w:ilvl="7" w:tplc="2B0E2380">
      <w:start w:val="1"/>
      <w:numFmt w:val="bullet"/>
      <w:lvlText w:val="o"/>
      <w:lvlJc w:val="left"/>
      <w:pPr>
        <w:tabs>
          <w:tab w:val="num" w:pos="5760"/>
        </w:tabs>
        <w:ind w:left="5760" w:hanging="360"/>
      </w:pPr>
      <w:rPr>
        <w:rFonts w:ascii="Courier New" w:hAnsi="Courier New"/>
      </w:rPr>
    </w:lvl>
    <w:lvl w:ilvl="8" w:tplc="5AD03058">
      <w:start w:val="1"/>
      <w:numFmt w:val="bullet"/>
      <w:lvlText w:val=""/>
      <w:lvlJc w:val="left"/>
      <w:pPr>
        <w:tabs>
          <w:tab w:val="num" w:pos="6480"/>
        </w:tabs>
        <w:ind w:left="6480" w:hanging="360"/>
      </w:pPr>
      <w:rPr>
        <w:rFonts w:ascii="Wingdings" w:hAnsi="Wingdings"/>
      </w:rPr>
    </w:lvl>
  </w:abstractNum>
  <w:abstractNum w:abstractNumId="840" w15:restartNumberingAfterBreak="0">
    <w:nsid w:val="7223080A"/>
    <w:multiLevelType w:val="hybridMultilevel"/>
    <w:tmpl w:val="7223080A"/>
    <w:lvl w:ilvl="0" w:tplc="9D566D3E">
      <w:start w:val="1"/>
      <w:numFmt w:val="bullet"/>
      <w:lvlText w:val=""/>
      <w:lvlJc w:val="left"/>
      <w:pPr>
        <w:ind w:left="720" w:hanging="360"/>
      </w:pPr>
      <w:rPr>
        <w:rFonts w:ascii="Symbol" w:hAnsi="Symbol"/>
      </w:rPr>
    </w:lvl>
    <w:lvl w:ilvl="1" w:tplc="521440A2">
      <w:start w:val="1"/>
      <w:numFmt w:val="bullet"/>
      <w:lvlText w:val="o"/>
      <w:lvlJc w:val="left"/>
      <w:pPr>
        <w:tabs>
          <w:tab w:val="num" w:pos="1440"/>
        </w:tabs>
        <w:ind w:left="1440" w:hanging="360"/>
      </w:pPr>
      <w:rPr>
        <w:rFonts w:ascii="Courier New" w:hAnsi="Courier New"/>
      </w:rPr>
    </w:lvl>
    <w:lvl w:ilvl="2" w:tplc="FE582320">
      <w:start w:val="1"/>
      <w:numFmt w:val="bullet"/>
      <w:lvlText w:val=""/>
      <w:lvlJc w:val="left"/>
      <w:pPr>
        <w:tabs>
          <w:tab w:val="num" w:pos="2160"/>
        </w:tabs>
        <w:ind w:left="2160" w:hanging="360"/>
      </w:pPr>
      <w:rPr>
        <w:rFonts w:ascii="Wingdings" w:hAnsi="Wingdings"/>
      </w:rPr>
    </w:lvl>
    <w:lvl w:ilvl="3" w:tplc="FA38F840">
      <w:start w:val="1"/>
      <w:numFmt w:val="bullet"/>
      <w:lvlText w:val=""/>
      <w:lvlJc w:val="left"/>
      <w:pPr>
        <w:tabs>
          <w:tab w:val="num" w:pos="2880"/>
        </w:tabs>
        <w:ind w:left="2880" w:hanging="360"/>
      </w:pPr>
      <w:rPr>
        <w:rFonts w:ascii="Symbol" w:hAnsi="Symbol"/>
      </w:rPr>
    </w:lvl>
    <w:lvl w:ilvl="4" w:tplc="5484D2B8">
      <w:start w:val="1"/>
      <w:numFmt w:val="bullet"/>
      <w:lvlText w:val="o"/>
      <w:lvlJc w:val="left"/>
      <w:pPr>
        <w:tabs>
          <w:tab w:val="num" w:pos="3600"/>
        </w:tabs>
        <w:ind w:left="3600" w:hanging="360"/>
      </w:pPr>
      <w:rPr>
        <w:rFonts w:ascii="Courier New" w:hAnsi="Courier New"/>
      </w:rPr>
    </w:lvl>
    <w:lvl w:ilvl="5" w:tplc="68306C6C">
      <w:start w:val="1"/>
      <w:numFmt w:val="bullet"/>
      <w:lvlText w:val=""/>
      <w:lvlJc w:val="left"/>
      <w:pPr>
        <w:tabs>
          <w:tab w:val="num" w:pos="4320"/>
        </w:tabs>
        <w:ind w:left="4320" w:hanging="360"/>
      </w:pPr>
      <w:rPr>
        <w:rFonts w:ascii="Wingdings" w:hAnsi="Wingdings"/>
      </w:rPr>
    </w:lvl>
    <w:lvl w:ilvl="6" w:tplc="CA3E69BA">
      <w:start w:val="1"/>
      <w:numFmt w:val="bullet"/>
      <w:lvlText w:val=""/>
      <w:lvlJc w:val="left"/>
      <w:pPr>
        <w:tabs>
          <w:tab w:val="num" w:pos="5040"/>
        </w:tabs>
        <w:ind w:left="5040" w:hanging="360"/>
      </w:pPr>
      <w:rPr>
        <w:rFonts w:ascii="Symbol" w:hAnsi="Symbol"/>
      </w:rPr>
    </w:lvl>
    <w:lvl w:ilvl="7" w:tplc="6B8C798C">
      <w:start w:val="1"/>
      <w:numFmt w:val="bullet"/>
      <w:lvlText w:val="o"/>
      <w:lvlJc w:val="left"/>
      <w:pPr>
        <w:tabs>
          <w:tab w:val="num" w:pos="5760"/>
        </w:tabs>
        <w:ind w:left="5760" w:hanging="360"/>
      </w:pPr>
      <w:rPr>
        <w:rFonts w:ascii="Courier New" w:hAnsi="Courier New"/>
      </w:rPr>
    </w:lvl>
    <w:lvl w:ilvl="8" w:tplc="4F12F0E4">
      <w:start w:val="1"/>
      <w:numFmt w:val="bullet"/>
      <w:lvlText w:val=""/>
      <w:lvlJc w:val="left"/>
      <w:pPr>
        <w:tabs>
          <w:tab w:val="num" w:pos="6480"/>
        </w:tabs>
        <w:ind w:left="6480" w:hanging="360"/>
      </w:pPr>
      <w:rPr>
        <w:rFonts w:ascii="Wingdings" w:hAnsi="Wingdings"/>
      </w:rPr>
    </w:lvl>
  </w:abstractNum>
  <w:abstractNum w:abstractNumId="841" w15:restartNumberingAfterBreak="0">
    <w:nsid w:val="7223080B"/>
    <w:multiLevelType w:val="hybridMultilevel"/>
    <w:tmpl w:val="7223080B"/>
    <w:lvl w:ilvl="0" w:tplc="08027DEC">
      <w:start w:val="1"/>
      <w:numFmt w:val="bullet"/>
      <w:lvlText w:val=""/>
      <w:lvlJc w:val="left"/>
      <w:pPr>
        <w:tabs>
          <w:tab w:val="num" w:pos="720"/>
        </w:tabs>
        <w:ind w:left="720" w:hanging="360"/>
      </w:pPr>
      <w:rPr>
        <w:rFonts w:ascii="Symbol" w:hAnsi="Symbol"/>
      </w:rPr>
    </w:lvl>
    <w:lvl w:ilvl="1" w:tplc="6966C7AE">
      <w:start w:val="1"/>
      <w:numFmt w:val="bullet"/>
      <w:lvlText w:val="o"/>
      <w:lvlJc w:val="left"/>
      <w:pPr>
        <w:tabs>
          <w:tab w:val="num" w:pos="1440"/>
        </w:tabs>
        <w:ind w:left="1440" w:hanging="360"/>
      </w:pPr>
      <w:rPr>
        <w:rFonts w:ascii="Courier New" w:hAnsi="Courier New"/>
      </w:rPr>
    </w:lvl>
    <w:lvl w:ilvl="2" w:tplc="EB36F43C">
      <w:start w:val="1"/>
      <w:numFmt w:val="bullet"/>
      <w:lvlText w:val=""/>
      <w:lvlJc w:val="left"/>
      <w:pPr>
        <w:tabs>
          <w:tab w:val="num" w:pos="2160"/>
        </w:tabs>
        <w:ind w:left="2160" w:hanging="360"/>
      </w:pPr>
      <w:rPr>
        <w:rFonts w:ascii="Wingdings" w:hAnsi="Wingdings"/>
      </w:rPr>
    </w:lvl>
    <w:lvl w:ilvl="3" w:tplc="386AAE72">
      <w:start w:val="1"/>
      <w:numFmt w:val="bullet"/>
      <w:lvlText w:val=""/>
      <w:lvlJc w:val="left"/>
      <w:pPr>
        <w:tabs>
          <w:tab w:val="num" w:pos="2880"/>
        </w:tabs>
        <w:ind w:left="2880" w:hanging="360"/>
      </w:pPr>
      <w:rPr>
        <w:rFonts w:ascii="Symbol" w:hAnsi="Symbol"/>
      </w:rPr>
    </w:lvl>
    <w:lvl w:ilvl="4" w:tplc="E36428A2">
      <w:start w:val="1"/>
      <w:numFmt w:val="bullet"/>
      <w:lvlText w:val="o"/>
      <w:lvlJc w:val="left"/>
      <w:pPr>
        <w:tabs>
          <w:tab w:val="num" w:pos="3600"/>
        </w:tabs>
        <w:ind w:left="3600" w:hanging="360"/>
      </w:pPr>
      <w:rPr>
        <w:rFonts w:ascii="Courier New" w:hAnsi="Courier New"/>
      </w:rPr>
    </w:lvl>
    <w:lvl w:ilvl="5" w:tplc="3384DE08">
      <w:start w:val="1"/>
      <w:numFmt w:val="bullet"/>
      <w:lvlText w:val=""/>
      <w:lvlJc w:val="left"/>
      <w:pPr>
        <w:tabs>
          <w:tab w:val="num" w:pos="4320"/>
        </w:tabs>
        <w:ind w:left="4320" w:hanging="360"/>
      </w:pPr>
      <w:rPr>
        <w:rFonts w:ascii="Wingdings" w:hAnsi="Wingdings"/>
      </w:rPr>
    </w:lvl>
    <w:lvl w:ilvl="6" w:tplc="7CA42EBE">
      <w:start w:val="1"/>
      <w:numFmt w:val="bullet"/>
      <w:lvlText w:val=""/>
      <w:lvlJc w:val="left"/>
      <w:pPr>
        <w:tabs>
          <w:tab w:val="num" w:pos="5040"/>
        </w:tabs>
        <w:ind w:left="5040" w:hanging="360"/>
      </w:pPr>
      <w:rPr>
        <w:rFonts w:ascii="Symbol" w:hAnsi="Symbol"/>
      </w:rPr>
    </w:lvl>
    <w:lvl w:ilvl="7" w:tplc="75CC8D92">
      <w:start w:val="1"/>
      <w:numFmt w:val="bullet"/>
      <w:lvlText w:val="o"/>
      <w:lvlJc w:val="left"/>
      <w:pPr>
        <w:tabs>
          <w:tab w:val="num" w:pos="5760"/>
        </w:tabs>
        <w:ind w:left="5760" w:hanging="360"/>
      </w:pPr>
      <w:rPr>
        <w:rFonts w:ascii="Courier New" w:hAnsi="Courier New"/>
      </w:rPr>
    </w:lvl>
    <w:lvl w:ilvl="8" w:tplc="BD88AF34">
      <w:start w:val="1"/>
      <w:numFmt w:val="bullet"/>
      <w:lvlText w:val=""/>
      <w:lvlJc w:val="left"/>
      <w:pPr>
        <w:tabs>
          <w:tab w:val="num" w:pos="6480"/>
        </w:tabs>
        <w:ind w:left="6480" w:hanging="360"/>
      </w:pPr>
      <w:rPr>
        <w:rFonts w:ascii="Wingdings" w:hAnsi="Wingdings"/>
      </w:rPr>
    </w:lvl>
  </w:abstractNum>
  <w:abstractNum w:abstractNumId="842" w15:restartNumberingAfterBreak="0">
    <w:nsid w:val="7223080C"/>
    <w:multiLevelType w:val="hybridMultilevel"/>
    <w:tmpl w:val="7223080C"/>
    <w:lvl w:ilvl="0" w:tplc="D7266F54">
      <w:start w:val="1"/>
      <w:numFmt w:val="bullet"/>
      <w:lvlText w:val=""/>
      <w:lvlJc w:val="left"/>
      <w:pPr>
        <w:ind w:left="720" w:hanging="360"/>
      </w:pPr>
      <w:rPr>
        <w:rFonts w:ascii="Symbol" w:hAnsi="Symbol"/>
      </w:rPr>
    </w:lvl>
    <w:lvl w:ilvl="1" w:tplc="61464896">
      <w:start w:val="1"/>
      <w:numFmt w:val="bullet"/>
      <w:lvlText w:val="o"/>
      <w:lvlJc w:val="left"/>
      <w:pPr>
        <w:tabs>
          <w:tab w:val="num" w:pos="1440"/>
        </w:tabs>
        <w:ind w:left="1440" w:hanging="360"/>
      </w:pPr>
      <w:rPr>
        <w:rFonts w:ascii="Courier New" w:hAnsi="Courier New"/>
      </w:rPr>
    </w:lvl>
    <w:lvl w:ilvl="2" w:tplc="1B22477A">
      <w:start w:val="1"/>
      <w:numFmt w:val="bullet"/>
      <w:lvlText w:val=""/>
      <w:lvlJc w:val="left"/>
      <w:pPr>
        <w:tabs>
          <w:tab w:val="num" w:pos="2160"/>
        </w:tabs>
        <w:ind w:left="2160" w:hanging="360"/>
      </w:pPr>
      <w:rPr>
        <w:rFonts w:ascii="Wingdings" w:hAnsi="Wingdings"/>
      </w:rPr>
    </w:lvl>
    <w:lvl w:ilvl="3" w:tplc="78A02BBC">
      <w:start w:val="1"/>
      <w:numFmt w:val="bullet"/>
      <w:lvlText w:val=""/>
      <w:lvlJc w:val="left"/>
      <w:pPr>
        <w:tabs>
          <w:tab w:val="num" w:pos="2880"/>
        </w:tabs>
        <w:ind w:left="2880" w:hanging="360"/>
      </w:pPr>
      <w:rPr>
        <w:rFonts w:ascii="Symbol" w:hAnsi="Symbol"/>
      </w:rPr>
    </w:lvl>
    <w:lvl w:ilvl="4" w:tplc="47421804">
      <w:start w:val="1"/>
      <w:numFmt w:val="bullet"/>
      <w:lvlText w:val="o"/>
      <w:lvlJc w:val="left"/>
      <w:pPr>
        <w:tabs>
          <w:tab w:val="num" w:pos="3600"/>
        </w:tabs>
        <w:ind w:left="3600" w:hanging="360"/>
      </w:pPr>
      <w:rPr>
        <w:rFonts w:ascii="Courier New" w:hAnsi="Courier New"/>
      </w:rPr>
    </w:lvl>
    <w:lvl w:ilvl="5" w:tplc="A3B25C26">
      <w:start w:val="1"/>
      <w:numFmt w:val="bullet"/>
      <w:lvlText w:val=""/>
      <w:lvlJc w:val="left"/>
      <w:pPr>
        <w:tabs>
          <w:tab w:val="num" w:pos="4320"/>
        </w:tabs>
        <w:ind w:left="4320" w:hanging="360"/>
      </w:pPr>
      <w:rPr>
        <w:rFonts w:ascii="Wingdings" w:hAnsi="Wingdings"/>
      </w:rPr>
    </w:lvl>
    <w:lvl w:ilvl="6" w:tplc="80BC2B10">
      <w:start w:val="1"/>
      <w:numFmt w:val="bullet"/>
      <w:lvlText w:val=""/>
      <w:lvlJc w:val="left"/>
      <w:pPr>
        <w:tabs>
          <w:tab w:val="num" w:pos="5040"/>
        </w:tabs>
        <w:ind w:left="5040" w:hanging="360"/>
      </w:pPr>
      <w:rPr>
        <w:rFonts w:ascii="Symbol" w:hAnsi="Symbol"/>
      </w:rPr>
    </w:lvl>
    <w:lvl w:ilvl="7" w:tplc="5EBE3122">
      <w:start w:val="1"/>
      <w:numFmt w:val="bullet"/>
      <w:lvlText w:val="o"/>
      <w:lvlJc w:val="left"/>
      <w:pPr>
        <w:tabs>
          <w:tab w:val="num" w:pos="5760"/>
        </w:tabs>
        <w:ind w:left="5760" w:hanging="360"/>
      </w:pPr>
      <w:rPr>
        <w:rFonts w:ascii="Courier New" w:hAnsi="Courier New"/>
      </w:rPr>
    </w:lvl>
    <w:lvl w:ilvl="8" w:tplc="7206E5AC">
      <w:start w:val="1"/>
      <w:numFmt w:val="bullet"/>
      <w:lvlText w:val=""/>
      <w:lvlJc w:val="left"/>
      <w:pPr>
        <w:tabs>
          <w:tab w:val="num" w:pos="6480"/>
        </w:tabs>
        <w:ind w:left="6480" w:hanging="360"/>
      </w:pPr>
      <w:rPr>
        <w:rFonts w:ascii="Wingdings" w:hAnsi="Wingdings"/>
      </w:rPr>
    </w:lvl>
  </w:abstractNum>
  <w:abstractNum w:abstractNumId="843" w15:restartNumberingAfterBreak="0">
    <w:nsid w:val="7223080D"/>
    <w:multiLevelType w:val="hybridMultilevel"/>
    <w:tmpl w:val="7223080D"/>
    <w:lvl w:ilvl="0" w:tplc="400806DA">
      <w:start w:val="1"/>
      <w:numFmt w:val="bullet"/>
      <w:lvlText w:val=""/>
      <w:lvlJc w:val="left"/>
      <w:pPr>
        <w:ind w:left="720" w:hanging="360"/>
      </w:pPr>
      <w:rPr>
        <w:rFonts w:ascii="Symbol" w:hAnsi="Symbol"/>
      </w:rPr>
    </w:lvl>
    <w:lvl w:ilvl="1" w:tplc="2CF65F3C">
      <w:start w:val="1"/>
      <w:numFmt w:val="bullet"/>
      <w:lvlText w:val="o"/>
      <w:lvlJc w:val="left"/>
      <w:pPr>
        <w:tabs>
          <w:tab w:val="num" w:pos="1440"/>
        </w:tabs>
        <w:ind w:left="1440" w:hanging="360"/>
      </w:pPr>
      <w:rPr>
        <w:rFonts w:ascii="Courier New" w:hAnsi="Courier New"/>
      </w:rPr>
    </w:lvl>
    <w:lvl w:ilvl="2" w:tplc="E4182400">
      <w:start w:val="1"/>
      <w:numFmt w:val="bullet"/>
      <w:lvlText w:val=""/>
      <w:lvlJc w:val="left"/>
      <w:pPr>
        <w:tabs>
          <w:tab w:val="num" w:pos="2160"/>
        </w:tabs>
        <w:ind w:left="2160" w:hanging="360"/>
      </w:pPr>
      <w:rPr>
        <w:rFonts w:ascii="Wingdings" w:hAnsi="Wingdings"/>
      </w:rPr>
    </w:lvl>
    <w:lvl w:ilvl="3" w:tplc="92E6FC28">
      <w:start w:val="1"/>
      <w:numFmt w:val="bullet"/>
      <w:lvlText w:val=""/>
      <w:lvlJc w:val="left"/>
      <w:pPr>
        <w:tabs>
          <w:tab w:val="num" w:pos="2880"/>
        </w:tabs>
        <w:ind w:left="2880" w:hanging="360"/>
      </w:pPr>
      <w:rPr>
        <w:rFonts w:ascii="Symbol" w:hAnsi="Symbol"/>
      </w:rPr>
    </w:lvl>
    <w:lvl w:ilvl="4" w:tplc="0D28265C">
      <w:start w:val="1"/>
      <w:numFmt w:val="bullet"/>
      <w:lvlText w:val="o"/>
      <w:lvlJc w:val="left"/>
      <w:pPr>
        <w:tabs>
          <w:tab w:val="num" w:pos="3600"/>
        </w:tabs>
        <w:ind w:left="3600" w:hanging="360"/>
      </w:pPr>
      <w:rPr>
        <w:rFonts w:ascii="Courier New" w:hAnsi="Courier New"/>
      </w:rPr>
    </w:lvl>
    <w:lvl w:ilvl="5" w:tplc="0436091C">
      <w:start w:val="1"/>
      <w:numFmt w:val="bullet"/>
      <w:lvlText w:val=""/>
      <w:lvlJc w:val="left"/>
      <w:pPr>
        <w:tabs>
          <w:tab w:val="num" w:pos="4320"/>
        </w:tabs>
        <w:ind w:left="4320" w:hanging="360"/>
      </w:pPr>
      <w:rPr>
        <w:rFonts w:ascii="Wingdings" w:hAnsi="Wingdings"/>
      </w:rPr>
    </w:lvl>
    <w:lvl w:ilvl="6" w:tplc="E042CC36">
      <w:start w:val="1"/>
      <w:numFmt w:val="bullet"/>
      <w:lvlText w:val=""/>
      <w:lvlJc w:val="left"/>
      <w:pPr>
        <w:tabs>
          <w:tab w:val="num" w:pos="5040"/>
        </w:tabs>
        <w:ind w:left="5040" w:hanging="360"/>
      </w:pPr>
      <w:rPr>
        <w:rFonts w:ascii="Symbol" w:hAnsi="Symbol"/>
      </w:rPr>
    </w:lvl>
    <w:lvl w:ilvl="7" w:tplc="D3EE0260">
      <w:start w:val="1"/>
      <w:numFmt w:val="bullet"/>
      <w:lvlText w:val="o"/>
      <w:lvlJc w:val="left"/>
      <w:pPr>
        <w:tabs>
          <w:tab w:val="num" w:pos="5760"/>
        </w:tabs>
        <w:ind w:left="5760" w:hanging="360"/>
      </w:pPr>
      <w:rPr>
        <w:rFonts w:ascii="Courier New" w:hAnsi="Courier New"/>
      </w:rPr>
    </w:lvl>
    <w:lvl w:ilvl="8" w:tplc="7504B640">
      <w:start w:val="1"/>
      <w:numFmt w:val="bullet"/>
      <w:lvlText w:val=""/>
      <w:lvlJc w:val="left"/>
      <w:pPr>
        <w:tabs>
          <w:tab w:val="num" w:pos="6480"/>
        </w:tabs>
        <w:ind w:left="6480" w:hanging="360"/>
      </w:pPr>
      <w:rPr>
        <w:rFonts w:ascii="Wingdings" w:hAnsi="Wingdings"/>
      </w:rPr>
    </w:lvl>
  </w:abstractNum>
  <w:abstractNum w:abstractNumId="844" w15:restartNumberingAfterBreak="0">
    <w:nsid w:val="7223080E"/>
    <w:multiLevelType w:val="hybridMultilevel"/>
    <w:tmpl w:val="7223080E"/>
    <w:lvl w:ilvl="0" w:tplc="6102EE56">
      <w:start w:val="1"/>
      <w:numFmt w:val="bullet"/>
      <w:lvlText w:val=""/>
      <w:lvlJc w:val="left"/>
      <w:pPr>
        <w:ind w:left="720" w:hanging="360"/>
      </w:pPr>
      <w:rPr>
        <w:rFonts w:ascii="Symbol" w:hAnsi="Symbol"/>
      </w:rPr>
    </w:lvl>
    <w:lvl w:ilvl="1" w:tplc="097AFE20">
      <w:start w:val="1"/>
      <w:numFmt w:val="bullet"/>
      <w:lvlText w:val="o"/>
      <w:lvlJc w:val="left"/>
      <w:pPr>
        <w:tabs>
          <w:tab w:val="num" w:pos="1440"/>
        </w:tabs>
        <w:ind w:left="1440" w:hanging="360"/>
      </w:pPr>
      <w:rPr>
        <w:rFonts w:ascii="Courier New" w:hAnsi="Courier New"/>
      </w:rPr>
    </w:lvl>
    <w:lvl w:ilvl="2" w:tplc="A270212A">
      <w:start w:val="1"/>
      <w:numFmt w:val="bullet"/>
      <w:lvlText w:val=""/>
      <w:lvlJc w:val="left"/>
      <w:pPr>
        <w:tabs>
          <w:tab w:val="num" w:pos="2160"/>
        </w:tabs>
        <w:ind w:left="2160" w:hanging="360"/>
      </w:pPr>
      <w:rPr>
        <w:rFonts w:ascii="Wingdings" w:hAnsi="Wingdings"/>
      </w:rPr>
    </w:lvl>
    <w:lvl w:ilvl="3" w:tplc="AAC00A14">
      <w:start w:val="1"/>
      <w:numFmt w:val="bullet"/>
      <w:lvlText w:val=""/>
      <w:lvlJc w:val="left"/>
      <w:pPr>
        <w:tabs>
          <w:tab w:val="num" w:pos="2880"/>
        </w:tabs>
        <w:ind w:left="2880" w:hanging="360"/>
      </w:pPr>
      <w:rPr>
        <w:rFonts w:ascii="Symbol" w:hAnsi="Symbol"/>
      </w:rPr>
    </w:lvl>
    <w:lvl w:ilvl="4" w:tplc="F768DBB4">
      <w:start w:val="1"/>
      <w:numFmt w:val="bullet"/>
      <w:lvlText w:val="o"/>
      <w:lvlJc w:val="left"/>
      <w:pPr>
        <w:tabs>
          <w:tab w:val="num" w:pos="3600"/>
        </w:tabs>
        <w:ind w:left="3600" w:hanging="360"/>
      </w:pPr>
      <w:rPr>
        <w:rFonts w:ascii="Courier New" w:hAnsi="Courier New"/>
      </w:rPr>
    </w:lvl>
    <w:lvl w:ilvl="5" w:tplc="4680195E">
      <w:start w:val="1"/>
      <w:numFmt w:val="bullet"/>
      <w:lvlText w:val=""/>
      <w:lvlJc w:val="left"/>
      <w:pPr>
        <w:tabs>
          <w:tab w:val="num" w:pos="4320"/>
        </w:tabs>
        <w:ind w:left="4320" w:hanging="360"/>
      </w:pPr>
      <w:rPr>
        <w:rFonts w:ascii="Wingdings" w:hAnsi="Wingdings"/>
      </w:rPr>
    </w:lvl>
    <w:lvl w:ilvl="6" w:tplc="6E32E442">
      <w:start w:val="1"/>
      <w:numFmt w:val="bullet"/>
      <w:lvlText w:val=""/>
      <w:lvlJc w:val="left"/>
      <w:pPr>
        <w:tabs>
          <w:tab w:val="num" w:pos="5040"/>
        </w:tabs>
        <w:ind w:left="5040" w:hanging="360"/>
      </w:pPr>
      <w:rPr>
        <w:rFonts w:ascii="Symbol" w:hAnsi="Symbol"/>
      </w:rPr>
    </w:lvl>
    <w:lvl w:ilvl="7" w:tplc="5E00BE6E">
      <w:start w:val="1"/>
      <w:numFmt w:val="bullet"/>
      <w:lvlText w:val="o"/>
      <w:lvlJc w:val="left"/>
      <w:pPr>
        <w:tabs>
          <w:tab w:val="num" w:pos="5760"/>
        </w:tabs>
        <w:ind w:left="5760" w:hanging="360"/>
      </w:pPr>
      <w:rPr>
        <w:rFonts w:ascii="Courier New" w:hAnsi="Courier New"/>
      </w:rPr>
    </w:lvl>
    <w:lvl w:ilvl="8" w:tplc="37F2908E">
      <w:start w:val="1"/>
      <w:numFmt w:val="bullet"/>
      <w:lvlText w:val=""/>
      <w:lvlJc w:val="left"/>
      <w:pPr>
        <w:tabs>
          <w:tab w:val="num" w:pos="6480"/>
        </w:tabs>
        <w:ind w:left="6480" w:hanging="360"/>
      </w:pPr>
      <w:rPr>
        <w:rFonts w:ascii="Wingdings" w:hAnsi="Wingdings"/>
      </w:rPr>
    </w:lvl>
  </w:abstractNum>
  <w:abstractNum w:abstractNumId="845" w15:restartNumberingAfterBreak="0">
    <w:nsid w:val="7223080F"/>
    <w:multiLevelType w:val="hybridMultilevel"/>
    <w:tmpl w:val="7223080F"/>
    <w:lvl w:ilvl="0" w:tplc="C0BA390C">
      <w:start w:val="1"/>
      <w:numFmt w:val="bullet"/>
      <w:lvlText w:val=""/>
      <w:lvlJc w:val="left"/>
      <w:pPr>
        <w:ind w:left="720" w:hanging="360"/>
      </w:pPr>
      <w:rPr>
        <w:rFonts w:ascii="Symbol" w:hAnsi="Symbol"/>
      </w:rPr>
    </w:lvl>
    <w:lvl w:ilvl="1" w:tplc="DE2CDA3C">
      <w:start w:val="1"/>
      <w:numFmt w:val="bullet"/>
      <w:lvlText w:val="o"/>
      <w:lvlJc w:val="left"/>
      <w:pPr>
        <w:tabs>
          <w:tab w:val="num" w:pos="1440"/>
        </w:tabs>
        <w:ind w:left="1440" w:hanging="360"/>
      </w:pPr>
      <w:rPr>
        <w:rFonts w:ascii="Courier New" w:hAnsi="Courier New"/>
      </w:rPr>
    </w:lvl>
    <w:lvl w:ilvl="2" w:tplc="A9A6B120">
      <w:start w:val="1"/>
      <w:numFmt w:val="bullet"/>
      <w:lvlText w:val=""/>
      <w:lvlJc w:val="left"/>
      <w:pPr>
        <w:tabs>
          <w:tab w:val="num" w:pos="2160"/>
        </w:tabs>
        <w:ind w:left="2160" w:hanging="360"/>
      </w:pPr>
      <w:rPr>
        <w:rFonts w:ascii="Wingdings" w:hAnsi="Wingdings"/>
      </w:rPr>
    </w:lvl>
    <w:lvl w:ilvl="3" w:tplc="A1105794">
      <w:start w:val="1"/>
      <w:numFmt w:val="bullet"/>
      <w:lvlText w:val=""/>
      <w:lvlJc w:val="left"/>
      <w:pPr>
        <w:tabs>
          <w:tab w:val="num" w:pos="2880"/>
        </w:tabs>
        <w:ind w:left="2880" w:hanging="360"/>
      </w:pPr>
      <w:rPr>
        <w:rFonts w:ascii="Symbol" w:hAnsi="Symbol"/>
      </w:rPr>
    </w:lvl>
    <w:lvl w:ilvl="4" w:tplc="2A1A6B7E">
      <w:start w:val="1"/>
      <w:numFmt w:val="bullet"/>
      <w:lvlText w:val="o"/>
      <w:lvlJc w:val="left"/>
      <w:pPr>
        <w:tabs>
          <w:tab w:val="num" w:pos="3600"/>
        </w:tabs>
        <w:ind w:left="3600" w:hanging="360"/>
      </w:pPr>
      <w:rPr>
        <w:rFonts w:ascii="Courier New" w:hAnsi="Courier New"/>
      </w:rPr>
    </w:lvl>
    <w:lvl w:ilvl="5" w:tplc="44D28582">
      <w:start w:val="1"/>
      <w:numFmt w:val="bullet"/>
      <w:lvlText w:val=""/>
      <w:lvlJc w:val="left"/>
      <w:pPr>
        <w:tabs>
          <w:tab w:val="num" w:pos="4320"/>
        </w:tabs>
        <w:ind w:left="4320" w:hanging="360"/>
      </w:pPr>
      <w:rPr>
        <w:rFonts w:ascii="Wingdings" w:hAnsi="Wingdings"/>
      </w:rPr>
    </w:lvl>
    <w:lvl w:ilvl="6" w:tplc="3776F868">
      <w:start w:val="1"/>
      <w:numFmt w:val="bullet"/>
      <w:lvlText w:val=""/>
      <w:lvlJc w:val="left"/>
      <w:pPr>
        <w:tabs>
          <w:tab w:val="num" w:pos="5040"/>
        </w:tabs>
        <w:ind w:left="5040" w:hanging="360"/>
      </w:pPr>
      <w:rPr>
        <w:rFonts w:ascii="Symbol" w:hAnsi="Symbol"/>
      </w:rPr>
    </w:lvl>
    <w:lvl w:ilvl="7" w:tplc="52A63D0E">
      <w:start w:val="1"/>
      <w:numFmt w:val="bullet"/>
      <w:lvlText w:val="o"/>
      <w:lvlJc w:val="left"/>
      <w:pPr>
        <w:tabs>
          <w:tab w:val="num" w:pos="5760"/>
        </w:tabs>
        <w:ind w:left="5760" w:hanging="360"/>
      </w:pPr>
      <w:rPr>
        <w:rFonts w:ascii="Courier New" w:hAnsi="Courier New"/>
      </w:rPr>
    </w:lvl>
    <w:lvl w:ilvl="8" w:tplc="C4568C5A">
      <w:start w:val="1"/>
      <w:numFmt w:val="bullet"/>
      <w:lvlText w:val=""/>
      <w:lvlJc w:val="left"/>
      <w:pPr>
        <w:tabs>
          <w:tab w:val="num" w:pos="6480"/>
        </w:tabs>
        <w:ind w:left="6480" w:hanging="360"/>
      </w:pPr>
      <w:rPr>
        <w:rFonts w:ascii="Wingdings" w:hAnsi="Wingdings"/>
      </w:rPr>
    </w:lvl>
  </w:abstractNum>
  <w:abstractNum w:abstractNumId="846" w15:restartNumberingAfterBreak="0">
    <w:nsid w:val="72230810"/>
    <w:multiLevelType w:val="hybridMultilevel"/>
    <w:tmpl w:val="72230810"/>
    <w:lvl w:ilvl="0" w:tplc="0050392E">
      <w:start w:val="1"/>
      <w:numFmt w:val="bullet"/>
      <w:lvlText w:val=""/>
      <w:lvlJc w:val="left"/>
      <w:pPr>
        <w:ind w:left="720" w:hanging="360"/>
      </w:pPr>
      <w:rPr>
        <w:rFonts w:ascii="Symbol" w:hAnsi="Symbol"/>
      </w:rPr>
    </w:lvl>
    <w:lvl w:ilvl="1" w:tplc="EAD4528E">
      <w:start w:val="1"/>
      <w:numFmt w:val="bullet"/>
      <w:lvlText w:val="o"/>
      <w:lvlJc w:val="left"/>
      <w:pPr>
        <w:tabs>
          <w:tab w:val="num" w:pos="1440"/>
        </w:tabs>
        <w:ind w:left="1440" w:hanging="360"/>
      </w:pPr>
      <w:rPr>
        <w:rFonts w:ascii="Courier New" w:hAnsi="Courier New"/>
      </w:rPr>
    </w:lvl>
    <w:lvl w:ilvl="2" w:tplc="6E72984A">
      <w:start w:val="1"/>
      <w:numFmt w:val="bullet"/>
      <w:lvlText w:val=""/>
      <w:lvlJc w:val="left"/>
      <w:pPr>
        <w:tabs>
          <w:tab w:val="num" w:pos="2160"/>
        </w:tabs>
        <w:ind w:left="2160" w:hanging="360"/>
      </w:pPr>
      <w:rPr>
        <w:rFonts w:ascii="Wingdings" w:hAnsi="Wingdings"/>
      </w:rPr>
    </w:lvl>
    <w:lvl w:ilvl="3" w:tplc="D18C61E4">
      <w:start w:val="1"/>
      <w:numFmt w:val="bullet"/>
      <w:lvlText w:val=""/>
      <w:lvlJc w:val="left"/>
      <w:pPr>
        <w:tabs>
          <w:tab w:val="num" w:pos="2880"/>
        </w:tabs>
        <w:ind w:left="2880" w:hanging="360"/>
      </w:pPr>
      <w:rPr>
        <w:rFonts w:ascii="Symbol" w:hAnsi="Symbol"/>
      </w:rPr>
    </w:lvl>
    <w:lvl w:ilvl="4" w:tplc="F0D258AA">
      <w:start w:val="1"/>
      <w:numFmt w:val="bullet"/>
      <w:lvlText w:val="o"/>
      <w:lvlJc w:val="left"/>
      <w:pPr>
        <w:tabs>
          <w:tab w:val="num" w:pos="3600"/>
        </w:tabs>
        <w:ind w:left="3600" w:hanging="360"/>
      </w:pPr>
      <w:rPr>
        <w:rFonts w:ascii="Courier New" w:hAnsi="Courier New"/>
      </w:rPr>
    </w:lvl>
    <w:lvl w:ilvl="5" w:tplc="D2325CE0">
      <w:start w:val="1"/>
      <w:numFmt w:val="bullet"/>
      <w:lvlText w:val=""/>
      <w:lvlJc w:val="left"/>
      <w:pPr>
        <w:tabs>
          <w:tab w:val="num" w:pos="4320"/>
        </w:tabs>
        <w:ind w:left="4320" w:hanging="360"/>
      </w:pPr>
      <w:rPr>
        <w:rFonts w:ascii="Wingdings" w:hAnsi="Wingdings"/>
      </w:rPr>
    </w:lvl>
    <w:lvl w:ilvl="6" w:tplc="986CF69A">
      <w:start w:val="1"/>
      <w:numFmt w:val="bullet"/>
      <w:lvlText w:val=""/>
      <w:lvlJc w:val="left"/>
      <w:pPr>
        <w:tabs>
          <w:tab w:val="num" w:pos="5040"/>
        </w:tabs>
        <w:ind w:left="5040" w:hanging="360"/>
      </w:pPr>
      <w:rPr>
        <w:rFonts w:ascii="Symbol" w:hAnsi="Symbol"/>
      </w:rPr>
    </w:lvl>
    <w:lvl w:ilvl="7" w:tplc="2FC62BA8">
      <w:start w:val="1"/>
      <w:numFmt w:val="bullet"/>
      <w:lvlText w:val="o"/>
      <w:lvlJc w:val="left"/>
      <w:pPr>
        <w:tabs>
          <w:tab w:val="num" w:pos="5760"/>
        </w:tabs>
        <w:ind w:left="5760" w:hanging="360"/>
      </w:pPr>
      <w:rPr>
        <w:rFonts w:ascii="Courier New" w:hAnsi="Courier New"/>
      </w:rPr>
    </w:lvl>
    <w:lvl w:ilvl="8" w:tplc="5BB6ACDA">
      <w:start w:val="1"/>
      <w:numFmt w:val="bullet"/>
      <w:lvlText w:val=""/>
      <w:lvlJc w:val="left"/>
      <w:pPr>
        <w:tabs>
          <w:tab w:val="num" w:pos="6480"/>
        </w:tabs>
        <w:ind w:left="6480" w:hanging="360"/>
      </w:pPr>
      <w:rPr>
        <w:rFonts w:ascii="Wingdings" w:hAnsi="Wingdings"/>
      </w:rPr>
    </w:lvl>
  </w:abstractNum>
  <w:abstractNum w:abstractNumId="847" w15:restartNumberingAfterBreak="0">
    <w:nsid w:val="72230811"/>
    <w:multiLevelType w:val="hybridMultilevel"/>
    <w:tmpl w:val="72230811"/>
    <w:lvl w:ilvl="0" w:tplc="B6B4845C">
      <w:start w:val="1"/>
      <w:numFmt w:val="bullet"/>
      <w:lvlText w:val=""/>
      <w:lvlJc w:val="left"/>
      <w:pPr>
        <w:tabs>
          <w:tab w:val="num" w:pos="720"/>
        </w:tabs>
        <w:ind w:left="720" w:hanging="360"/>
      </w:pPr>
      <w:rPr>
        <w:rFonts w:ascii="Symbol" w:hAnsi="Symbol"/>
      </w:rPr>
    </w:lvl>
    <w:lvl w:ilvl="1" w:tplc="41002F88">
      <w:start w:val="1"/>
      <w:numFmt w:val="bullet"/>
      <w:lvlText w:val="o"/>
      <w:lvlJc w:val="left"/>
      <w:pPr>
        <w:tabs>
          <w:tab w:val="num" w:pos="1440"/>
        </w:tabs>
        <w:ind w:left="1440" w:hanging="360"/>
      </w:pPr>
      <w:rPr>
        <w:rFonts w:ascii="Courier New" w:hAnsi="Courier New"/>
      </w:rPr>
    </w:lvl>
    <w:lvl w:ilvl="2" w:tplc="CE065708">
      <w:start w:val="1"/>
      <w:numFmt w:val="bullet"/>
      <w:lvlText w:val=""/>
      <w:lvlJc w:val="left"/>
      <w:pPr>
        <w:tabs>
          <w:tab w:val="num" w:pos="2160"/>
        </w:tabs>
        <w:ind w:left="2160" w:hanging="360"/>
      </w:pPr>
      <w:rPr>
        <w:rFonts w:ascii="Wingdings" w:hAnsi="Wingdings"/>
      </w:rPr>
    </w:lvl>
    <w:lvl w:ilvl="3" w:tplc="1E9A82D2">
      <w:start w:val="1"/>
      <w:numFmt w:val="bullet"/>
      <w:lvlText w:val=""/>
      <w:lvlJc w:val="left"/>
      <w:pPr>
        <w:tabs>
          <w:tab w:val="num" w:pos="2880"/>
        </w:tabs>
        <w:ind w:left="2880" w:hanging="360"/>
      </w:pPr>
      <w:rPr>
        <w:rFonts w:ascii="Symbol" w:hAnsi="Symbol"/>
      </w:rPr>
    </w:lvl>
    <w:lvl w:ilvl="4" w:tplc="157A66A0">
      <w:start w:val="1"/>
      <w:numFmt w:val="bullet"/>
      <w:lvlText w:val="o"/>
      <w:lvlJc w:val="left"/>
      <w:pPr>
        <w:tabs>
          <w:tab w:val="num" w:pos="3600"/>
        </w:tabs>
        <w:ind w:left="3600" w:hanging="360"/>
      </w:pPr>
      <w:rPr>
        <w:rFonts w:ascii="Courier New" w:hAnsi="Courier New"/>
      </w:rPr>
    </w:lvl>
    <w:lvl w:ilvl="5" w:tplc="97C266E4">
      <w:start w:val="1"/>
      <w:numFmt w:val="bullet"/>
      <w:lvlText w:val=""/>
      <w:lvlJc w:val="left"/>
      <w:pPr>
        <w:tabs>
          <w:tab w:val="num" w:pos="4320"/>
        </w:tabs>
        <w:ind w:left="4320" w:hanging="360"/>
      </w:pPr>
      <w:rPr>
        <w:rFonts w:ascii="Wingdings" w:hAnsi="Wingdings"/>
      </w:rPr>
    </w:lvl>
    <w:lvl w:ilvl="6" w:tplc="ADA044D2">
      <w:start w:val="1"/>
      <w:numFmt w:val="bullet"/>
      <w:lvlText w:val=""/>
      <w:lvlJc w:val="left"/>
      <w:pPr>
        <w:tabs>
          <w:tab w:val="num" w:pos="5040"/>
        </w:tabs>
        <w:ind w:left="5040" w:hanging="360"/>
      </w:pPr>
      <w:rPr>
        <w:rFonts w:ascii="Symbol" w:hAnsi="Symbol"/>
      </w:rPr>
    </w:lvl>
    <w:lvl w:ilvl="7" w:tplc="8B6AFB28">
      <w:start w:val="1"/>
      <w:numFmt w:val="bullet"/>
      <w:lvlText w:val="o"/>
      <w:lvlJc w:val="left"/>
      <w:pPr>
        <w:tabs>
          <w:tab w:val="num" w:pos="5760"/>
        </w:tabs>
        <w:ind w:left="5760" w:hanging="360"/>
      </w:pPr>
      <w:rPr>
        <w:rFonts w:ascii="Courier New" w:hAnsi="Courier New"/>
      </w:rPr>
    </w:lvl>
    <w:lvl w:ilvl="8" w:tplc="C722E590">
      <w:start w:val="1"/>
      <w:numFmt w:val="bullet"/>
      <w:lvlText w:val=""/>
      <w:lvlJc w:val="left"/>
      <w:pPr>
        <w:tabs>
          <w:tab w:val="num" w:pos="6480"/>
        </w:tabs>
        <w:ind w:left="6480" w:hanging="360"/>
      </w:pPr>
      <w:rPr>
        <w:rFonts w:ascii="Wingdings" w:hAnsi="Wingdings"/>
      </w:rPr>
    </w:lvl>
  </w:abstractNum>
  <w:abstractNum w:abstractNumId="848" w15:restartNumberingAfterBreak="0">
    <w:nsid w:val="72230812"/>
    <w:multiLevelType w:val="hybridMultilevel"/>
    <w:tmpl w:val="72230812"/>
    <w:lvl w:ilvl="0" w:tplc="94F88E1E">
      <w:start w:val="1"/>
      <w:numFmt w:val="bullet"/>
      <w:lvlText w:val=""/>
      <w:lvlJc w:val="left"/>
      <w:pPr>
        <w:ind w:left="720" w:hanging="360"/>
      </w:pPr>
      <w:rPr>
        <w:rFonts w:ascii="Symbol" w:hAnsi="Symbol"/>
      </w:rPr>
    </w:lvl>
    <w:lvl w:ilvl="1" w:tplc="7CB22480">
      <w:start w:val="1"/>
      <w:numFmt w:val="bullet"/>
      <w:lvlText w:val="o"/>
      <w:lvlJc w:val="left"/>
      <w:pPr>
        <w:tabs>
          <w:tab w:val="num" w:pos="1440"/>
        </w:tabs>
        <w:ind w:left="1440" w:hanging="360"/>
      </w:pPr>
      <w:rPr>
        <w:rFonts w:ascii="Courier New" w:hAnsi="Courier New"/>
      </w:rPr>
    </w:lvl>
    <w:lvl w:ilvl="2" w:tplc="89B2E7A0">
      <w:start w:val="1"/>
      <w:numFmt w:val="bullet"/>
      <w:lvlText w:val=""/>
      <w:lvlJc w:val="left"/>
      <w:pPr>
        <w:tabs>
          <w:tab w:val="num" w:pos="2160"/>
        </w:tabs>
        <w:ind w:left="2160" w:hanging="360"/>
      </w:pPr>
      <w:rPr>
        <w:rFonts w:ascii="Wingdings" w:hAnsi="Wingdings"/>
      </w:rPr>
    </w:lvl>
    <w:lvl w:ilvl="3" w:tplc="80C2056C">
      <w:start w:val="1"/>
      <w:numFmt w:val="bullet"/>
      <w:lvlText w:val=""/>
      <w:lvlJc w:val="left"/>
      <w:pPr>
        <w:tabs>
          <w:tab w:val="num" w:pos="2880"/>
        </w:tabs>
        <w:ind w:left="2880" w:hanging="360"/>
      </w:pPr>
      <w:rPr>
        <w:rFonts w:ascii="Symbol" w:hAnsi="Symbol"/>
      </w:rPr>
    </w:lvl>
    <w:lvl w:ilvl="4" w:tplc="63229646">
      <w:start w:val="1"/>
      <w:numFmt w:val="bullet"/>
      <w:lvlText w:val="o"/>
      <w:lvlJc w:val="left"/>
      <w:pPr>
        <w:tabs>
          <w:tab w:val="num" w:pos="3600"/>
        </w:tabs>
        <w:ind w:left="3600" w:hanging="360"/>
      </w:pPr>
      <w:rPr>
        <w:rFonts w:ascii="Courier New" w:hAnsi="Courier New"/>
      </w:rPr>
    </w:lvl>
    <w:lvl w:ilvl="5" w:tplc="830CCEF6">
      <w:start w:val="1"/>
      <w:numFmt w:val="bullet"/>
      <w:lvlText w:val=""/>
      <w:lvlJc w:val="left"/>
      <w:pPr>
        <w:tabs>
          <w:tab w:val="num" w:pos="4320"/>
        </w:tabs>
        <w:ind w:left="4320" w:hanging="360"/>
      </w:pPr>
      <w:rPr>
        <w:rFonts w:ascii="Wingdings" w:hAnsi="Wingdings"/>
      </w:rPr>
    </w:lvl>
    <w:lvl w:ilvl="6" w:tplc="2C88C28E">
      <w:start w:val="1"/>
      <w:numFmt w:val="bullet"/>
      <w:lvlText w:val=""/>
      <w:lvlJc w:val="left"/>
      <w:pPr>
        <w:tabs>
          <w:tab w:val="num" w:pos="5040"/>
        </w:tabs>
        <w:ind w:left="5040" w:hanging="360"/>
      </w:pPr>
      <w:rPr>
        <w:rFonts w:ascii="Symbol" w:hAnsi="Symbol"/>
      </w:rPr>
    </w:lvl>
    <w:lvl w:ilvl="7" w:tplc="39B68270">
      <w:start w:val="1"/>
      <w:numFmt w:val="bullet"/>
      <w:lvlText w:val="o"/>
      <w:lvlJc w:val="left"/>
      <w:pPr>
        <w:tabs>
          <w:tab w:val="num" w:pos="5760"/>
        </w:tabs>
        <w:ind w:left="5760" w:hanging="360"/>
      </w:pPr>
      <w:rPr>
        <w:rFonts w:ascii="Courier New" w:hAnsi="Courier New"/>
      </w:rPr>
    </w:lvl>
    <w:lvl w:ilvl="8" w:tplc="A4224BFE">
      <w:start w:val="1"/>
      <w:numFmt w:val="bullet"/>
      <w:lvlText w:val=""/>
      <w:lvlJc w:val="left"/>
      <w:pPr>
        <w:tabs>
          <w:tab w:val="num" w:pos="6480"/>
        </w:tabs>
        <w:ind w:left="6480" w:hanging="360"/>
      </w:pPr>
      <w:rPr>
        <w:rFonts w:ascii="Wingdings" w:hAnsi="Wingdings"/>
      </w:rPr>
    </w:lvl>
  </w:abstractNum>
  <w:abstractNum w:abstractNumId="849" w15:restartNumberingAfterBreak="0">
    <w:nsid w:val="72230813"/>
    <w:multiLevelType w:val="hybridMultilevel"/>
    <w:tmpl w:val="72230813"/>
    <w:lvl w:ilvl="0" w:tplc="B802C3A2">
      <w:start w:val="1"/>
      <w:numFmt w:val="bullet"/>
      <w:lvlText w:val=""/>
      <w:lvlJc w:val="left"/>
      <w:pPr>
        <w:ind w:left="720" w:hanging="360"/>
      </w:pPr>
      <w:rPr>
        <w:rFonts w:ascii="Symbol" w:hAnsi="Symbol"/>
      </w:rPr>
    </w:lvl>
    <w:lvl w:ilvl="1" w:tplc="D968F7D6">
      <w:start w:val="1"/>
      <w:numFmt w:val="bullet"/>
      <w:lvlText w:val="o"/>
      <w:lvlJc w:val="left"/>
      <w:pPr>
        <w:tabs>
          <w:tab w:val="num" w:pos="1440"/>
        </w:tabs>
        <w:ind w:left="1440" w:hanging="360"/>
      </w:pPr>
      <w:rPr>
        <w:rFonts w:ascii="Courier New" w:hAnsi="Courier New"/>
      </w:rPr>
    </w:lvl>
    <w:lvl w:ilvl="2" w:tplc="7C08C640">
      <w:start w:val="1"/>
      <w:numFmt w:val="bullet"/>
      <w:lvlText w:val=""/>
      <w:lvlJc w:val="left"/>
      <w:pPr>
        <w:tabs>
          <w:tab w:val="num" w:pos="2160"/>
        </w:tabs>
        <w:ind w:left="2160" w:hanging="360"/>
      </w:pPr>
      <w:rPr>
        <w:rFonts w:ascii="Wingdings" w:hAnsi="Wingdings"/>
      </w:rPr>
    </w:lvl>
    <w:lvl w:ilvl="3" w:tplc="13480E58">
      <w:start w:val="1"/>
      <w:numFmt w:val="bullet"/>
      <w:lvlText w:val=""/>
      <w:lvlJc w:val="left"/>
      <w:pPr>
        <w:tabs>
          <w:tab w:val="num" w:pos="2880"/>
        </w:tabs>
        <w:ind w:left="2880" w:hanging="360"/>
      </w:pPr>
      <w:rPr>
        <w:rFonts w:ascii="Symbol" w:hAnsi="Symbol"/>
      </w:rPr>
    </w:lvl>
    <w:lvl w:ilvl="4" w:tplc="B8007670">
      <w:start w:val="1"/>
      <w:numFmt w:val="bullet"/>
      <w:lvlText w:val="o"/>
      <w:lvlJc w:val="left"/>
      <w:pPr>
        <w:tabs>
          <w:tab w:val="num" w:pos="3600"/>
        </w:tabs>
        <w:ind w:left="3600" w:hanging="360"/>
      </w:pPr>
      <w:rPr>
        <w:rFonts w:ascii="Courier New" w:hAnsi="Courier New"/>
      </w:rPr>
    </w:lvl>
    <w:lvl w:ilvl="5" w:tplc="2BDAD9CE">
      <w:start w:val="1"/>
      <w:numFmt w:val="bullet"/>
      <w:lvlText w:val=""/>
      <w:lvlJc w:val="left"/>
      <w:pPr>
        <w:tabs>
          <w:tab w:val="num" w:pos="4320"/>
        </w:tabs>
        <w:ind w:left="4320" w:hanging="360"/>
      </w:pPr>
      <w:rPr>
        <w:rFonts w:ascii="Wingdings" w:hAnsi="Wingdings"/>
      </w:rPr>
    </w:lvl>
    <w:lvl w:ilvl="6" w:tplc="424A789E">
      <w:start w:val="1"/>
      <w:numFmt w:val="bullet"/>
      <w:lvlText w:val=""/>
      <w:lvlJc w:val="left"/>
      <w:pPr>
        <w:tabs>
          <w:tab w:val="num" w:pos="5040"/>
        </w:tabs>
        <w:ind w:left="5040" w:hanging="360"/>
      </w:pPr>
      <w:rPr>
        <w:rFonts w:ascii="Symbol" w:hAnsi="Symbol"/>
      </w:rPr>
    </w:lvl>
    <w:lvl w:ilvl="7" w:tplc="A8C877A6">
      <w:start w:val="1"/>
      <w:numFmt w:val="bullet"/>
      <w:lvlText w:val="o"/>
      <w:lvlJc w:val="left"/>
      <w:pPr>
        <w:tabs>
          <w:tab w:val="num" w:pos="5760"/>
        </w:tabs>
        <w:ind w:left="5760" w:hanging="360"/>
      </w:pPr>
      <w:rPr>
        <w:rFonts w:ascii="Courier New" w:hAnsi="Courier New"/>
      </w:rPr>
    </w:lvl>
    <w:lvl w:ilvl="8" w:tplc="BD82BF1E">
      <w:start w:val="1"/>
      <w:numFmt w:val="bullet"/>
      <w:lvlText w:val=""/>
      <w:lvlJc w:val="left"/>
      <w:pPr>
        <w:tabs>
          <w:tab w:val="num" w:pos="6480"/>
        </w:tabs>
        <w:ind w:left="6480" w:hanging="360"/>
      </w:pPr>
      <w:rPr>
        <w:rFonts w:ascii="Wingdings" w:hAnsi="Wingdings"/>
      </w:rPr>
    </w:lvl>
  </w:abstractNum>
  <w:abstractNum w:abstractNumId="850" w15:restartNumberingAfterBreak="0">
    <w:nsid w:val="72230814"/>
    <w:multiLevelType w:val="hybridMultilevel"/>
    <w:tmpl w:val="72230814"/>
    <w:lvl w:ilvl="0" w:tplc="06949E5E">
      <w:start w:val="1"/>
      <w:numFmt w:val="bullet"/>
      <w:lvlText w:val=""/>
      <w:lvlJc w:val="left"/>
      <w:pPr>
        <w:ind w:left="720" w:hanging="360"/>
      </w:pPr>
      <w:rPr>
        <w:rFonts w:ascii="Symbol" w:hAnsi="Symbol"/>
      </w:rPr>
    </w:lvl>
    <w:lvl w:ilvl="1" w:tplc="E6D63C70">
      <w:start w:val="1"/>
      <w:numFmt w:val="bullet"/>
      <w:lvlText w:val="o"/>
      <w:lvlJc w:val="left"/>
      <w:pPr>
        <w:tabs>
          <w:tab w:val="num" w:pos="1440"/>
        </w:tabs>
        <w:ind w:left="1440" w:hanging="360"/>
      </w:pPr>
      <w:rPr>
        <w:rFonts w:ascii="Courier New" w:hAnsi="Courier New"/>
      </w:rPr>
    </w:lvl>
    <w:lvl w:ilvl="2" w:tplc="0BA4DC80">
      <w:start w:val="1"/>
      <w:numFmt w:val="bullet"/>
      <w:lvlText w:val=""/>
      <w:lvlJc w:val="left"/>
      <w:pPr>
        <w:tabs>
          <w:tab w:val="num" w:pos="2160"/>
        </w:tabs>
        <w:ind w:left="2160" w:hanging="360"/>
      </w:pPr>
      <w:rPr>
        <w:rFonts w:ascii="Wingdings" w:hAnsi="Wingdings"/>
      </w:rPr>
    </w:lvl>
    <w:lvl w:ilvl="3" w:tplc="D1764430">
      <w:start w:val="1"/>
      <w:numFmt w:val="bullet"/>
      <w:lvlText w:val=""/>
      <w:lvlJc w:val="left"/>
      <w:pPr>
        <w:tabs>
          <w:tab w:val="num" w:pos="2880"/>
        </w:tabs>
        <w:ind w:left="2880" w:hanging="360"/>
      </w:pPr>
      <w:rPr>
        <w:rFonts w:ascii="Symbol" w:hAnsi="Symbol"/>
      </w:rPr>
    </w:lvl>
    <w:lvl w:ilvl="4" w:tplc="79AADA16">
      <w:start w:val="1"/>
      <w:numFmt w:val="bullet"/>
      <w:lvlText w:val="o"/>
      <w:lvlJc w:val="left"/>
      <w:pPr>
        <w:tabs>
          <w:tab w:val="num" w:pos="3600"/>
        </w:tabs>
        <w:ind w:left="3600" w:hanging="360"/>
      </w:pPr>
      <w:rPr>
        <w:rFonts w:ascii="Courier New" w:hAnsi="Courier New"/>
      </w:rPr>
    </w:lvl>
    <w:lvl w:ilvl="5" w:tplc="27149F48">
      <w:start w:val="1"/>
      <w:numFmt w:val="bullet"/>
      <w:lvlText w:val=""/>
      <w:lvlJc w:val="left"/>
      <w:pPr>
        <w:tabs>
          <w:tab w:val="num" w:pos="4320"/>
        </w:tabs>
        <w:ind w:left="4320" w:hanging="360"/>
      </w:pPr>
      <w:rPr>
        <w:rFonts w:ascii="Wingdings" w:hAnsi="Wingdings"/>
      </w:rPr>
    </w:lvl>
    <w:lvl w:ilvl="6" w:tplc="F320C324">
      <w:start w:val="1"/>
      <w:numFmt w:val="bullet"/>
      <w:lvlText w:val=""/>
      <w:lvlJc w:val="left"/>
      <w:pPr>
        <w:tabs>
          <w:tab w:val="num" w:pos="5040"/>
        </w:tabs>
        <w:ind w:left="5040" w:hanging="360"/>
      </w:pPr>
      <w:rPr>
        <w:rFonts w:ascii="Symbol" w:hAnsi="Symbol"/>
      </w:rPr>
    </w:lvl>
    <w:lvl w:ilvl="7" w:tplc="B060C9AC">
      <w:start w:val="1"/>
      <w:numFmt w:val="bullet"/>
      <w:lvlText w:val="o"/>
      <w:lvlJc w:val="left"/>
      <w:pPr>
        <w:tabs>
          <w:tab w:val="num" w:pos="5760"/>
        </w:tabs>
        <w:ind w:left="5760" w:hanging="360"/>
      </w:pPr>
      <w:rPr>
        <w:rFonts w:ascii="Courier New" w:hAnsi="Courier New"/>
      </w:rPr>
    </w:lvl>
    <w:lvl w:ilvl="8" w:tplc="6226C2FC">
      <w:start w:val="1"/>
      <w:numFmt w:val="bullet"/>
      <w:lvlText w:val=""/>
      <w:lvlJc w:val="left"/>
      <w:pPr>
        <w:tabs>
          <w:tab w:val="num" w:pos="6480"/>
        </w:tabs>
        <w:ind w:left="6480" w:hanging="360"/>
      </w:pPr>
      <w:rPr>
        <w:rFonts w:ascii="Wingdings" w:hAnsi="Wingdings"/>
      </w:rPr>
    </w:lvl>
  </w:abstractNum>
  <w:abstractNum w:abstractNumId="851" w15:restartNumberingAfterBreak="0">
    <w:nsid w:val="72230815"/>
    <w:multiLevelType w:val="hybridMultilevel"/>
    <w:tmpl w:val="72230815"/>
    <w:lvl w:ilvl="0" w:tplc="0A4C5588">
      <w:start w:val="1"/>
      <w:numFmt w:val="bullet"/>
      <w:lvlText w:val=""/>
      <w:lvlJc w:val="left"/>
      <w:pPr>
        <w:ind w:left="720" w:hanging="360"/>
      </w:pPr>
      <w:rPr>
        <w:rFonts w:ascii="Symbol" w:hAnsi="Symbol"/>
      </w:rPr>
    </w:lvl>
    <w:lvl w:ilvl="1" w:tplc="CC2AE592">
      <w:start w:val="1"/>
      <w:numFmt w:val="bullet"/>
      <w:lvlText w:val="o"/>
      <w:lvlJc w:val="left"/>
      <w:pPr>
        <w:tabs>
          <w:tab w:val="num" w:pos="1440"/>
        </w:tabs>
        <w:ind w:left="1440" w:hanging="360"/>
      </w:pPr>
      <w:rPr>
        <w:rFonts w:ascii="Courier New" w:hAnsi="Courier New"/>
      </w:rPr>
    </w:lvl>
    <w:lvl w:ilvl="2" w:tplc="D0BA1BDA">
      <w:start w:val="1"/>
      <w:numFmt w:val="bullet"/>
      <w:lvlText w:val=""/>
      <w:lvlJc w:val="left"/>
      <w:pPr>
        <w:tabs>
          <w:tab w:val="num" w:pos="2160"/>
        </w:tabs>
        <w:ind w:left="2160" w:hanging="360"/>
      </w:pPr>
      <w:rPr>
        <w:rFonts w:ascii="Wingdings" w:hAnsi="Wingdings"/>
      </w:rPr>
    </w:lvl>
    <w:lvl w:ilvl="3" w:tplc="F3B0271E">
      <w:start w:val="1"/>
      <w:numFmt w:val="bullet"/>
      <w:lvlText w:val=""/>
      <w:lvlJc w:val="left"/>
      <w:pPr>
        <w:tabs>
          <w:tab w:val="num" w:pos="2880"/>
        </w:tabs>
        <w:ind w:left="2880" w:hanging="360"/>
      </w:pPr>
      <w:rPr>
        <w:rFonts w:ascii="Symbol" w:hAnsi="Symbol"/>
      </w:rPr>
    </w:lvl>
    <w:lvl w:ilvl="4" w:tplc="372270FE">
      <w:start w:val="1"/>
      <w:numFmt w:val="bullet"/>
      <w:lvlText w:val="o"/>
      <w:lvlJc w:val="left"/>
      <w:pPr>
        <w:tabs>
          <w:tab w:val="num" w:pos="3600"/>
        </w:tabs>
        <w:ind w:left="3600" w:hanging="360"/>
      </w:pPr>
      <w:rPr>
        <w:rFonts w:ascii="Courier New" w:hAnsi="Courier New"/>
      </w:rPr>
    </w:lvl>
    <w:lvl w:ilvl="5" w:tplc="3F12F8EA">
      <w:start w:val="1"/>
      <w:numFmt w:val="bullet"/>
      <w:lvlText w:val=""/>
      <w:lvlJc w:val="left"/>
      <w:pPr>
        <w:tabs>
          <w:tab w:val="num" w:pos="4320"/>
        </w:tabs>
        <w:ind w:left="4320" w:hanging="360"/>
      </w:pPr>
      <w:rPr>
        <w:rFonts w:ascii="Wingdings" w:hAnsi="Wingdings"/>
      </w:rPr>
    </w:lvl>
    <w:lvl w:ilvl="6" w:tplc="BBC61E8C">
      <w:start w:val="1"/>
      <w:numFmt w:val="bullet"/>
      <w:lvlText w:val=""/>
      <w:lvlJc w:val="left"/>
      <w:pPr>
        <w:tabs>
          <w:tab w:val="num" w:pos="5040"/>
        </w:tabs>
        <w:ind w:left="5040" w:hanging="360"/>
      </w:pPr>
      <w:rPr>
        <w:rFonts w:ascii="Symbol" w:hAnsi="Symbol"/>
      </w:rPr>
    </w:lvl>
    <w:lvl w:ilvl="7" w:tplc="44247724">
      <w:start w:val="1"/>
      <w:numFmt w:val="bullet"/>
      <w:lvlText w:val="o"/>
      <w:lvlJc w:val="left"/>
      <w:pPr>
        <w:tabs>
          <w:tab w:val="num" w:pos="5760"/>
        </w:tabs>
        <w:ind w:left="5760" w:hanging="360"/>
      </w:pPr>
      <w:rPr>
        <w:rFonts w:ascii="Courier New" w:hAnsi="Courier New"/>
      </w:rPr>
    </w:lvl>
    <w:lvl w:ilvl="8" w:tplc="2F02EDEE">
      <w:start w:val="1"/>
      <w:numFmt w:val="bullet"/>
      <w:lvlText w:val=""/>
      <w:lvlJc w:val="left"/>
      <w:pPr>
        <w:tabs>
          <w:tab w:val="num" w:pos="6480"/>
        </w:tabs>
        <w:ind w:left="6480" w:hanging="360"/>
      </w:pPr>
      <w:rPr>
        <w:rFonts w:ascii="Wingdings" w:hAnsi="Wingdings"/>
      </w:rPr>
    </w:lvl>
  </w:abstractNum>
  <w:abstractNum w:abstractNumId="852" w15:restartNumberingAfterBreak="0">
    <w:nsid w:val="72230816"/>
    <w:multiLevelType w:val="hybridMultilevel"/>
    <w:tmpl w:val="72230816"/>
    <w:lvl w:ilvl="0" w:tplc="9CB09DB8">
      <w:start w:val="1"/>
      <w:numFmt w:val="bullet"/>
      <w:lvlText w:val=""/>
      <w:lvlJc w:val="left"/>
      <w:pPr>
        <w:ind w:left="720" w:hanging="360"/>
      </w:pPr>
      <w:rPr>
        <w:rFonts w:ascii="Symbol" w:hAnsi="Symbol"/>
      </w:rPr>
    </w:lvl>
    <w:lvl w:ilvl="1" w:tplc="0AF850D4">
      <w:start w:val="1"/>
      <w:numFmt w:val="bullet"/>
      <w:lvlText w:val="o"/>
      <w:lvlJc w:val="left"/>
      <w:pPr>
        <w:tabs>
          <w:tab w:val="num" w:pos="1440"/>
        </w:tabs>
        <w:ind w:left="1440" w:hanging="360"/>
      </w:pPr>
      <w:rPr>
        <w:rFonts w:ascii="Courier New" w:hAnsi="Courier New"/>
      </w:rPr>
    </w:lvl>
    <w:lvl w:ilvl="2" w:tplc="3F38944C">
      <w:start w:val="1"/>
      <w:numFmt w:val="bullet"/>
      <w:lvlText w:val=""/>
      <w:lvlJc w:val="left"/>
      <w:pPr>
        <w:tabs>
          <w:tab w:val="num" w:pos="2160"/>
        </w:tabs>
        <w:ind w:left="2160" w:hanging="360"/>
      </w:pPr>
      <w:rPr>
        <w:rFonts w:ascii="Wingdings" w:hAnsi="Wingdings"/>
      </w:rPr>
    </w:lvl>
    <w:lvl w:ilvl="3" w:tplc="AF1AFAEA">
      <w:start w:val="1"/>
      <w:numFmt w:val="bullet"/>
      <w:lvlText w:val=""/>
      <w:lvlJc w:val="left"/>
      <w:pPr>
        <w:tabs>
          <w:tab w:val="num" w:pos="2880"/>
        </w:tabs>
        <w:ind w:left="2880" w:hanging="360"/>
      </w:pPr>
      <w:rPr>
        <w:rFonts w:ascii="Symbol" w:hAnsi="Symbol"/>
      </w:rPr>
    </w:lvl>
    <w:lvl w:ilvl="4" w:tplc="A714453E">
      <w:start w:val="1"/>
      <w:numFmt w:val="bullet"/>
      <w:lvlText w:val="o"/>
      <w:lvlJc w:val="left"/>
      <w:pPr>
        <w:tabs>
          <w:tab w:val="num" w:pos="3600"/>
        </w:tabs>
        <w:ind w:left="3600" w:hanging="360"/>
      </w:pPr>
      <w:rPr>
        <w:rFonts w:ascii="Courier New" w:hAnsi="Courier New"/>
      </w:rPr>
    </w:lvl>
    <w:lvl w:ilvl="5" w:tplc="C5F60EA4">
      <w:start w:val="1"/>
      <w:numFmt w:val="bullet"/>
      <w:lvlText w:val=""/>
      <w:lvlJc w:val="left"/>
      <w:pPr>
        <w:tabs>
          <w:tab w:val="num" w:pos="4320"/>
        </w:tabs>
        <w:ind w:left="4320" w:hanging="360"/>
      </w:pPr>
      <w:rPr>
        <w:rFonts w:ascii="Wingdings" w:hAnsi="Wingdings"/>
      </w:rPr>
    </w:lvl>
    <w:lvl w:ilvl="6" w:tplc="FEE2C46A">
      <w:start w:val="1"/>
      <w:numFmt w:val="bullet"/>
      <w:lvlText w:val=""/>
      <w:lvlJc w:val="left"/>
      <w:pPr>
        <w:tabs>
          <w:tab w:val="num" w:pos="5040"/>
        </w:tabs>
        <w:ind w:left="5040" w:hanging="360"/>
      </w:pPr>
      <w:rPr>
        <w:rFonts w:ascii="Symbol" w:hAnsi="Symbol"/>
      </w:rPr>
    </w:lvl>
    <w:lvl w:ilvl="7" w:tplc="9744B6F8">
      <w:start w:val="1"/>
      <w:numFmt w:val="bullet"/>
      <w:lvlText w:val="o"/>
      <w:lvlJc w:val="left"/>
      <w:pPr>
        <w:tabs>
          <w:tab w:val="num" w:pos="5760"/>
        </w:tabs>
        <w:ind w:left="5760" w:hanging="360"/>
      </w:pPr>
      <w:rPr>
        <w:rFonts w:ascii="Courier New" w:hAnsi="Courier New"/>
      </w:rPr>
    </w:lvl>
    <w:lvl w:ilvl="8" w:tplc="E6FA9186">
      <w:start w:val="1"/>
      <w:numFmt w:val="bullet"/>
      <w:lvlText w:val=""/>
      <w:lvlJc w:val="left"/>
      <w:pPr>
        <w:tabs>
          <w:tab w:val="num" w:pos="6480"/>
        </w:tabs>
        <w:ind w:left="6480" w:hanging="360"/>
      </w:pPr>
      <w:rPr>
        <w:rFonts w:ascii="Wingdings" w:hAnsi="Wingdings"/>
      </w:rPr>
    </w:lvl>
  </w:abstractNum>
  <w:abstractNum w:abstractNumId="853" w15:restartNumberingAfterBreak="0">
    <w:nsid w:val="72230817"/>
    <w:multiLevelType w:val="hybridMultilevel"/>
    <w:tmpl w:val="72230817"/>
    <w:lvl w:ilvl="0" w:tplc="AAE47D4A">
      <w:start w:val="1"/>
      <w:numFmt w:val="bullet"/>
      <w:lvlText w:val=""/>
      <w:lvlJc w:val="left"/>
      <w:pPr>
        <w:ind w:left="720" w:hanging="360"/>
      </w:pPr>
      <w:rPr>
        <w:rFonts w:ascii="Symbol" w:hAnsi="Symbol"/>
      </w:rPr>
    </w:lvl>
    <w:lvl w:ilvl="1" w:tplc="0F8A8622">
      <w:start w:val="1"/>
      <w:numFmt w:val="bullet"/>
      <w:lvlText w:val="o"/>
      <w:lvlJc w:val="left"/>
      <w:pPr>
        <w:ind w:left="1440" w:hanging="360"/>
      </w:pPr>
      <w:rPr>
        <w:rFonts w:ascii="Courier New" w:hAnsi="Courier New"/>
      </w:rPr>
    </w:lvl>
    <w:lvl w:ilvl="2" w:tplc="6D7EDAB0">
      <w:start w:val="1"/>
      <w:numFmt w:val="bullet"/>
      <w:lvlText w:val=""/>
      <w:lvlJc w:val="left"/>
      <w:pPr>
        <w:tabs>
          <w:tab w:val="num" w:pos="2160"/>
        </w:tabs>
        <w:ind w:left="2160" w:hanging="360"/>
      </w:pPr>
      <w:rPr>
        <w:rFonts w:ascii="Wingdings" w:hAnsi="Wingdings"/>
      </w:rPr>
    </w:lvl>
    <w:lvl w:ilvl="3" w:tplc="1472C870">
      <w:start w:val="1"/>
      <w:numFmt w:val="bullet"/>
      <w:lvlText w:val=""/>
      <w:lvlJc w:val="left"/>
      <w:pPr>
        <w:tabs>
          <w:tab w:val="num" w:pos="2880"/>
        </w:tabs>
        <w:ind w:left="2880" w:hanging="360"/>
      </w:pPr>
      <w:rPr>
        <w:rFonts w:ascii="Symbol" w:hAnsi="Symbol"/>
      </w:rPr>
    </w:lvl>
    <w:lvl w:ilvl="4" w:tplc="216A28FA">
      <w:start w:val="1"/>
      <w:numFmt w:val="bullet"/>
      <w:lvlText w:val="o"/>
      <w:lvlJc w:val="left"/>
      <w:pPr>
        <w:tabs>
          <w:tab w:val="num" w:pos="3600"/>
        </w:tabs>
        <w:ind w:left="3600" w:hanging="360"/>
      </w:pPr>
      <w:rPr>
        <w:rFonts w:ascii="Courier New" w:hAnsi="Courier New"/>
      </w:rPr>
    </w:lvl>
    <w:lvl w:ilvl="5" w:tplc="61649EFE">
      <w:start w:val="1"/>
      <w:numFmt w:val="bullet"/>
      <w:lvlText w:val=""/>
      <w:lvlJc w:val="left"/>
      <w:pPr>
        <w:tabs>
          <w:tab w:val="num" w:pos="4320"/>
        </w:tabs>
        <w:ind w:left="4320" w:hanging="360"/>
      </w:pPr>
      <w:rPr>
        <w:rFonts w:ascii="Wingdings" w:hAnsi="Wingdings"/>
      </w:rPr>
    </w:lvl>
    <w:lvl w:ilvl="6" w:tplc="237A6176">
      <w:start w:val="1"/>
      <w:numFmt w:val="bullet"/>
      <w:lvlText w:val=""/>
      <w:lvlJc w:val="left"/>
      <w:pPr>
        <w:tabs>
          <w:tab w:val="num" w:pos="5040"/>
        </w:tabs>
        <w:ind w:left="5040" w:hanging="360"/>
      </w:pPr>
      <w:rPr>
        <w:rFonts w:ascii="Symbol" w:hAnsi="Symbol"/>
      </w:rPr>
    </w:lvl>
    <w:lvl w:ilvl="7" w:tplc="6ABC2108">
      <w:start w:val="1"/>
      <w:numFmt w:val="bullet"/>
      <w:lvlText w:val="o"/>
      <w:lvlJc w:val="left"/>
      <w:pPr>
        <w:tabs>
          <w:tab w:val="num" w:pos="5760"/>
        </w:tabs>
        <w:ind w:left="5760" w:hanging="360"/>
      </w:pPr>
      <w:rPr>
        <w:rFonts w:ascii="Courier New" w:hAnsi="Courier New"/>
      </w:rPr>
    </w:lvl>
    <w:lvl w:ilvl="8" w:tplc="759EA2CA">
      <w:start w:val="1"/>
      <w:numFmt w:val="bullet"/>
      <w:lvlText w:val=""/>
      <w:lvlJc w:val="left"/>
      <w:pPr>
        <w:tabs>
          <w:tab w:val="num" w:pos="6480"/>
        </w:tabs>
        <w:ind w:left="6480" w:hanging="360"/>
      </w:pPr>
      <w:rPr>
        <w:rFonts w:ascii="Wingdings" w:hAnsi="Wingdings"/>
      </w:rPr>
    </w:lvl>
  </w:abstractNum>
  <w:abstractNum w:abstractNumId="854" w15:restartNumberingAfterBreak="0">
    <w:nsid w:val="72230818"/>
    <w:multiLevelType w:val="hybridMultilevel"/>
    <w:tmpl w:val="72230818"/>
    <w:lvl w:ilvl="0" w:tplc="F7FC2B96">
      <w:start w:val="1"/>
      <w:numFmt w:val="bullet"/>
      <w:lvlText w:val=""/>
      <w:lvlJc w:val="left"/>
      <w:pPr>
        <w:ind w:left="720" w:hanging="360"/>
      </w:pPr>
      <w:rPr>
        <w:rFonts w:ascii="Symbol" w:hAnsi="Symbol"/>
      </w:rPr>
    </w:lvl>
    <w:lvl w:ilvl="1" w:tplc="61D8169A">
      <w:start w:val="1"/>
      <w:numFmt w:val="bullet"/>
      <w:lvlText w:val="o"/>
      <w:lvlJc w:val="left"/>
      <w:pPr>
        <w:tabs>
          <w:tab w:val="num" w:pos="1440"/>
        </w:tabs>
        <w:ind w:left="1440" w:hanging="360"/>
      </w:pPr>
      <w:rPr>
        <w:rFonts w:ascii="Courier New" w:hAnsi="Courier New"/>
      </w:rPr>
    </w:lvl>
    <w:lvl w:ilvl="2" w:tplc="8BEE8AFE">
      <w:start w:val="1"/>
      <w:numFmt w:val="bullet"/>
      <w:lvlText w:val=""/>
      <w:lvlJc w:val="left"/>
      <w:pPr>
        <w:tabs>
          <w:tab w:val="num" w:pos="2160"/>
        </w:tabs>
        <w:ind w:left="2160" w:hanging="360"/>
      </w:pPr>
      <w:rPr>
        <w:rFonts w:ascii="Wingdings" w:hAnsi="Wingdings"/>
      </w:rPr>
    </w:lvl>
    <w:lvl w:ilvl="3" w:tplc="B236590E">
      <w:start w:val="1"/>
      <w:numFmt w:val="bullet"/>
      <w:lvlText w:val=""/>
      <w:lvlJc w:val="left"/>
      <w:pPr>
        <w:tabs>
          <w:tab w:val="num" w:pos="2880"/>
        </w:tabs>
        <w:ind w:left="2880" w:hanging="360"/>
      </w:pPr>
      <w:rPr>
        <w:rFonts w:ascii="Symbol" w:hAnsi="Symbol"/>
      </w:rPr>
    </w:lvl>
    <w:lvl w:ilvl="4" w:tplc="0744F832">
      <w:start w:val="1"/>
      <w:numFmt w:val="bullet"/>
      <w:lvlText w:val="o"/>
      <w:lvlJc w:val="left"/>
      <w:pPr>
        <w:tabs>
          <w:tab w:val="num" w:pos="3600"/>
        </w:tabs>
        <w:ind w:left="3600" w:hanging="360"/>
      </w:pPr>
      <w:rPr>
        <w:rFonts w:ascii="Courier New" w:hAnsi="Courier New"/>
      </w:rPr>
    </w:lvl>
    <w:lvl w:ilvl="5" w:tplc="3764775E">
      <w:start w:val="1"/>
      <w:numFmt w:val="bullet"/>
      <w:lvlText w:val=""/>
      <w:lvlJc w:val="left"/>
      <w:pPr>
        <w:tabs>
          <w:tab w:val="num" w:pos="4320"/>
        </w:tabs>
        <w:ind w:left="4320" w:hanging="360"/>
      </w:pPr>
      <w:rPr>
        <w:rFonts w:ascii="Wingdings" w:hAnsi="Wingdings"/>
      </w:rPr>
    </w:lvl>
    <w:lvl w:ilvl="6" w:tplc="C89CB76E">
      <w:start w:val="1"/>
      <w:numFmt w:val="bullet"/>
      <w:lvlText w:val=""/>
      <w:lvlJc w:val="left"/>
      <w:pPr>
        <w:tabs>
          <w:tab w:val="num" w:pos="5040"/>
        </w:tabs>
        <w:ind w:left="5040" w:hanging="360"/>
      </w:pPr>
      <w:rPr>
        <w:rFonts w:ascii="Symbol" w:hAnsi="Symbol"/>
      </w:rPr>
    </w:lvl>
    <w:lvl w:ilvl="7" w:tplc="81320064">
      <w:start w:val="1"/>
      <w:numFmt w:val="bullet"/>
      <w:lvlText w:val="o"/>
      <w:lvlJc w:val="left"/>
      <w:pPr>
        <w:tabs>
          <w:tab w:val="num" w:pos="5760"/>
        </w:tabs>
        <w:ind w:left="5760" w:hanging="360"/>
      </w:pPr>
      <w:rPr>
        <w:rFonts w:ascii="Courier New" w:hAnsi="Courier New"/>
      </w:rPr>
    </w:lvl>
    <w:lvl w:ilvl="8" w:tplc="585C4092">
      <w:start w:val="1"/>
      <w:numFmt w:val="bullet"/>
      <w:lvlText w:val=""/>
      <w:lvlJc w:val="left"/>
      <w:pPr>
        <w:tabs>
          <w:tab w:val="num" w:pos="6480"/>
        </w:tabs>
        <w:ind w:left="6480" w:hanging="360"/>
      </w:pPr>
      <w:rPr>
        <w:rFonts w:ascii="Wingdings" w:hAnsi="Wingdings"/>
      </w:rPr>
    </w:lvl>
  </w:abstractNum>
  <w:abstractNum w:abstractNumId="855" w15:restartNumberingAfterBreak="0">
    <w:nsid w:val="72230819"/>
    <w:multiLevelType w:val="hybridMultilevel"/>
    <w:tmpl w:val="72230819"/>
    <w:lvl w:ilvl="0" w:tplc="E57C552C">
      <w:start w:val="1"/>
      <w:numFmt w:val="bullet"/>
      <w:lvlText w:val=""/>
      <w:lvlJc w:val="left"/>
      <w:pPr>
        <w:tabs>
          <w:tab w:val="num" w:pos="720"/>
        </w:tabs>
        <w:ind w:left="720" w:hanging="360"/>
      </w:pPr>
      <w:rPr>
        <w:rFonts w:ascii="Symbol" w:hAnsi="Symbol"/>
      </w:rPr>
    </w:lvl>
    <w:lvl w:ilvl="1" w:tplc="13BA2D32">
      <w:start w:val="1"/>
      <w:numFmt w:val="bullet"/>
      <w:lvlText w:val="o"/>
      <w:lvlJc w:val="left"/>
      <w:pPr>
        <w:tabs>
          <w:tab w:val="num" w:pos="1440"/>
        </w:tabs>
        <w:ind w:left="1440" w:hanging="360"/>
      </w:pPr>
      <w:rPr>
        <w:rFonts w:ascii="Courier New" w:hAnsi="Courier New"/>
      </w:rPr>
    </w:lvl>
    <w:lvl w:ilvl="2" w:tplc="46C66610">
      <w:start w:val="1"/>
      <w:numFmt w:val="bullet"/>
      <w:lvlText w:val=""/>
      <w:lvlJc w:val="left"/>
      <w:pPr>
        <w:tabs>
          <w:tab w:val="num" w:pos="2160"/>
        </w:tabs>
        <w:ind w:left="2160" w:hanging="360"/>
      </w:pPr>
      <w:rPr>
        <w:rFonts w:ascii="Wingdings" w:hAnsi="Wingdings"/>
      </w:rPr>
    </w:lvl>
    <w:lvl w:ilvl="3" w:tplc="0ED8F06A">
      <w:start w:val="1"/>
      <w:numFmt w:val="bullet"/>
      <w:lvlText w:val=""/>
      <w:lvlJc w:val="left"/>
      <w:pPr>
        <w:tabs>
          <w:tab w:val="num" w:pos="2880"/>
        </w:tabs>
        <w:ind w:left="2880" w:hanging="360"/>
      </w:pPr>
      <w:rPr>
        <w:rFonts w:ascii="Symbol" w:hAnsi="Symbol"/>
      </w:rPr>
    </w:lvl>
    <w:lvl w:ilvl="4" w:tplc="DAFCA250">
      <w:start w:val="1"/>
      <w:numFmt w:val="bullet"/>
      <w:lvlText w:val="o"/>
      <w:lvlJc w:val="left"/>
      <w:pPr>
        <w:tabs>
          <w:tab w:val="num" w:pos="3600"/>
        </w:tabs>
        <w:ind w:left="3600" w:hanging="360"/>
      </w:pPr>
      <w:rPr>
        <w:rFonts w:ascii="Courier New" w:hAnsi="Courier New"/>
      </w:rPr>
    </w:lvl>
    <w:lvl w:ilvl="5" w:tplc="7C0C6C80">
      <w:start w:val="1"/>
      <w:numFmt w:val="bullet"/>
      <w:lvlText w:val=""/>
      <w:lvlJc w:val="left"/>
      <w:pPr>
        <w:tabs>
          <w:tab w:val="num" w:pos="4320"/>
        </w:tabs>
        <w:ind w:left="4320" w:hanging="360"/>
      </w:pPr>
      <w:rPr>
        <w:rFonts w:ascii="Wingdings" w:hAnsi="Wingdings"/>
      </w:rPr>
    </w:lvl>
    <w:lvl w:ilvl="6" w:tplc="FC56FB26">
      <w:start w:val="1"/>
      <w:numFmt w:val="bullet"/>
      <w:lvlText w:val=""/>
      <w:lvlJc w:val="left"/>
      <w:pPr>
        <w:tabs>
          <w:tab w:val="num" w:pos="5040"/>
        </w:tabs>
        <w:ind w:left="5040" w:hanging="360"/>
      </w:pPr>
      <w:rPr>
        <w:rFonts w:ascii="Symbol" w:hAnsi="Symbol"/>
      </w:rPr>
    </w:lvl>
    <w:lvl w:ilvl="7" w:tplc="8D78DB0E">
      <w:start w:val="1"/>
      <w:numFmt w:val="bullet"/>
      <w:lvlText w:val="o"/>
      <w:lvlJc w:val="left"/>
      <w:pPr>
        <w:tabs>
          <w:tab w:val="num" w:pos="5760"/>
        </w:tabs>
        <w:ind w:left="5760" w:hanging="360"/>
      </w:pPr>
      <w:rPr>
        <w:rFonts w:ascii="Courier New" w:hAnsi="Courier New"/>
      </w:rPr>
    </w:lvl>
    <w:lvl w:ilvl="8" w:tplc="481A6744">
      <w:start w:val="1"/>
      <w:numFmt w:val="bullet"/>
      <w:lvlText w:val=""/>
      <w:lvlJc w:val="left"/>
      <w:pPr>
        <w:tabs>
          <w:tab w:val="num" w:pos="6480"/>
        </w:tabs>
        <w:ind w:left="6480" w:hanging="360"/>
      </w:pPr>
      <w:rPr>
        <w:rFonts w:ascii="Wingdings" w:hAnsi="Wingdings"/>
      </w:rPr>
    </w:lvl>
  </w:abstractNum>
  <w:abstractNum w:abstractNumId="856" w15:restartNumberingAfterBreak="0">
    <w:nsid w:val="7223081A"/>
    <w:multiLevelType w:val="hybridMultilevel"/>
    <w:tmpl w:val="7223081A"/>
    <w:lvl w:ilvl="0" w:tplc="D7E4C898">
      <w:start w:val="1"/>
      <w:numFmt w:val="bullet"/>
      <w:lvlText w:val=""/>
      <w:lvlJc w:val="left"/>
      <w:pPr>
        <w:ind w:left="720" w:hanging="360"/>
      </w:pPr>
      <w:rPr>
        <w:rFonts w:ascii="Symbol" w:hAnsi="Symbol"/>
      </w:rPr>
    </w:lvl>
    <w:lvl w:ilvl="1" w:tplc="EB7CA922">
      <w:start w:val="1"/>
      <w:numFmt w:val="bullet"/>
      <w:lvlText w:val="o"/>
      <w:lvlJc w:val="left"/>
      <w:pPr>
        <w:tabs>
          <w:tab w:val="num" w:pos="1440"/>
        </w:tabs>
        <w:ind w:left="1440" w:hanging="360"/>
      </w:pPr>
      <w:rPr>
        <w:rFonts w:ascii="Courier New" w:hAnsi="Courier New"/>
      </w:rPr>
    </w:lvl>
    <w:lvl w:ilvl="2" w:tplc="074080AA">
      <w:start w:val="1"/>
      <w:numFmt w:val="bullet"/>
      <w:lvlText w:val=""/>
      <w:lvlJc w:val="left"/>
      <w:pPr>
        <w:tabs>
          <w:tab w:val="num" w:pos="2160"/>
        </w:tabs>
        <w:ind w:left="2160" w:hanging="360"/>
      </w:pPr>
      <w:rPr>
        <w:rFonts w:ascii="Wingdings" w:hAnsi="Wingdings"/>
      </w:rPr>
    </w:lvl>
    <w:lvl w:ilvl="3" w:tplc="640A50F0">
      <w:start w:val="1"/>
      <w:numFmt w:val="bullet"/>
      <w:lvlText w:val=""/>
      <w:lvlJc w:val="left"/>
      <w:pPr>
        <w:tabs>
          <w:tab w:val="num" w:pos="2880"/>
        </w:tabs>
        <w:ind w:left="2880" w:hanging="360"/>
      </w:pPr>
      <w:rPr>
        <w:rFonts w:ascii="Symbol" w:hAnsi="Symbol"/>
      </w:rPr>
    </w:lvl>
    <w:lvl w:ilvl="4" w:tplc="7D9AF1EE">
      <w:start w:val="1"/>
      <w:numFmt w:val="bullet"/>
      <w:lvlText w:val="o"/>
      <w:lvlJc w:val="left"/>
      <w:pPr>
        <w:tabs>
          <w:tab w:val="num" w:pos="3600"/>
        </w:tabs>
        <w:ind w:left="3600" w:hanging="360"/>
      </w:pPr>
      <w:rPr>
        <w:rFonts w:ascii="Courier New" w:hAnsi="Courier New"/>
      </w:rPr>
    </w:lvl>
    <w:lvl w:ilvl="5" w:tplc="D1A89900">
      <w:start w:val="1"/>
      <w:numFmt w:val="bullet"/>
      <w:lvlText w:val=""/>
      <w:lvlJc w:val="left"/>
      <w:pPr>
        <w:tabs>
          <w:tab w:val="num" w:pos="4320"/>
        </w:tabs>
        <w:ind w:left="4320" w:hanging="360"/>
      </w:pPr>
      <w:rPr>
        <w:rFonts w:ascii="Wingdings" w:hAnsi="Wingdings"/>
      </w:rPr>
    </w:lvl>
    <w:lvl w:ilvl="6" w:tplc="0652E176">
      <w:start w:val="1"/>
      <w:numFmt w:val="bullet"/>
      <w:lvlText w:val=""/>
      <w:lvlJc w:val="left"/>
      <w:pPr>
        <w:tabs>
          <w:tab w:val="num" w:pos="5040"/>
        </w:tabs>
        <w:ind w:left="5040" w:hanging="360"/>
      </w:pPr>
      <w:rPr>
        <w:rFonts w:ascii="Symbol" w:hAnsi="Symbol"/>
      </w:rPr>
    </w:lvl>
    <w:lvl w:ilvl="7" w:tplc="2AC4101C">
      <w:start w:val="1"/>
      <w:numFmt w:val="bullet"/>
      <w:lvlText w:val="o"/>
      <w:lvlJc w:val="left"/>
      <w:pPr>
        <w:tabs>
          <w:tab w:val="num" w:pos="5760"/>
        </w:tabs>
        <w:ind w:left="5760" w:hanging="360"/>
      </w:pPr>
      <w:rPr>
        <w:rFonts w:ascii="Courier New" w:hAnsi="Courier New"/>
      </w:rPr>
    </w:lvl>
    <w:lvl w:ilvl="8" w:tplc="54D27FC4">
      <w:start w:val="1"/>
      <w:numFmt w:val="bullet"/>
      <w:lvlText w:val=""/>
      <w:lvlJc w:val="left"/>
      <w:pPr>
        <w:tabs>
          <w:tab w:val="num" w:pos="6480"/>
        </w:tabs>
        <w:ind w:left="6480" w:hanging="360"/>
      </w:pPr>
      <w:rPr>
        <w:rFonts w:ascii="Wingdings" w:hAnsi="Wingdings"/>
      </w:rPr>
    </w:lvl>
  </w:abstractNum>
  <w:abstractNum w:abstractNumId="857" w15:restartNumberingAfterBreak="0">
    <w:nsid w:val="7223081B"/>
    <w:multiLevelType w:val="hybridMultilevel"/>
    <w:tmpl w:val="7223081B"/>
    <w:lvl w:ilvl="0" w:tplc="0F22F4E8">
      <w:start w:val="1"/>
      <w:numFmt w:val="bullet"/>
      <w:lvlText w:val=""/>
      <w:lvlJc w:val="left"/>
      <w:pPr>
        <w:ind w:left="720" w:hanging="360"/>
      </w:pPr>
      <w:rPr>
        <w:rFonts w:ascii="Symbol" w:hAnsi="Symbol"/>
      </w:rPr>
    </w:lvl>
    <w:lvl w:ilvl="1" w:tplc="EB1AEC38">
      <w:start w:val="1"/>
      <w:numFmt w:val="bullet"/>
      <w:lvlText w:val="o"/>
      <w:lvlJc w:val="left"/>
      <w:pPr>
        <w:tabs>
          <w:tab w:val="num" w:pos="1440"/>
        </w:tabs>
        <w:ind w:left="1440" w:hanging="360"/>
      </w:pPr>
      <w:rPr>
        <w:rFonts w:ascii="Courier New" w:hAnsi="Courier New"/>
      </w:rPr>
    </w:lvl>
    <w:lvl w:ilvl="2" w:tplc="C266689A">
      <w:start w:val="1"/>
      <w:numFmt w:val="bullet"/>
      <w:lvlText w:val=""/>
      <w:lvlJc w:val="left"/>
      <w:pPr>
        <w:tabs>
          <w:tab w:val="num" w:pos="2160"/>
        </w:tabs>
        <w:ind w:left="2160" w:hanging="360"/>
      </w:pPr>
      <w:rPr>
        <w:rFonts w:ascii="Wingdings" w:hAnsi="Wingdings"/>
      </w:rPr>
    </w:lvl>
    <w:lvl w:ilvl="3" w:tplc="75FEF0E6">
      <w:start w:val="1"/>
      <w:numFmt w:val="bullet"/>
      <w:lvlText w:val=""/>
      <w:lvlJc w:val="left"/>
      <w:pPr>
        <w:tabs>
          <w:tab w:val="num" w:pos="2880"/>
        </w:tabs>
        <w:ind w:left="2880" w:hanging="360"/>
      </w:pPr>
      <w:rPr>
        <w:rFonts w:ascii="Symbol" w:hAnsi="Symbol"/>
      </w:rPr>
    </w:lvl>
    <w:lvl w:ilvl="4" w:tplc="358C82E2">
      <w:start w:val="1"/>
      <w:numFmt w:val="bullet"/>
      <w:lvlText w:val="o"/>
      <w:lvlJc w:val="left"/>
      <w:pPr>
        <w:tabs>
          <w:tab w:val="num" w:pos="3600"/>
        </w:tabs>
        <w:ind w:left="3600" w:hanging="360"/>
      </w:pPr>
      <w:rPr>
        <w:rFonts w:ascii="Courier New" w:hAnsi="Courier New"/>
      </w:rPr>
    </w:lvl>
    <w:lvl w:ilvl="5" w:tplc="80D278AC">
      <w:start w:val="1"/>
      <w:numFmt w:val="bullet"/>
      <w:lvlText w:val=""/>
      <w:lvlJc w:val="left"/>
      <w:pPr>
        <w:tabs>
          <w:tab w:val="num" w:pos="4320"/>
        </w:tabs>
        <w:ind w:left="4320" w:hanging="360"/>
      </w:pPr>
      <w:rPr>
        <w:rFonts w:ascii="Wingdings" w:hAnsi="Wingdings"/>
      </w:rPr>
    </w:lvl>
    <w:lvl w:ilvl="6" w:tplc="D5441F98">
      <w:start w:val="1"/>
      <w:numFmt w:val="bullet"/>
      <w:lvlText w:val=""/>
      <w:lvlJc w:val="left"/>
      <w:pPr>
        <w:tabs>
          <w:tab w:val="num" w:pos="5040"/>
        </w:tabs>
        <w:ind w:left="5040" w:hanging="360"/>
      </w:pPr>
      <w:rPr>
        <w:rFonts w:ascii="Symbol" w:hAnsi="Symbol"/>
      </w:rPr>
    </w:lvl>
    <w:lvl w:ilvl="7" w:tplc="6680D212">
      <w:start w:val="1"/>
      <w:numFmt w:val="bullet"/>
      <w:lvlText w:val="o"/>
      <w:lvlJc w:val="left"/>
      <w:pPr>
        <w:tabs>
          <w:tab w:val="num" w:pos="5760"/>
        </w:tabs>
        <w:ind w:left="5760" w:hanging="360"/>
      </w:pPr>
      <w:rPr>
        <w:rFonts w:ascii="Courier New" w:hAnsi="Courier New"/>
      </w:rPr>
    </w:lvl>
    <w:lvl w:ilvl="8" w:tplc="B14C4E58">
      <w:start w:val="1"/>
      <w:numFmt w:val="bullet"/>
      <w:lvlText w:val=""/>
      <w:lvlJc w:val="left"/>
      <w:pPr>
        <w:tabs>
          <w:tab w:val="num" w:pos="6480"/>
        </w:tabs>
        <w:ind w:left="6480" w:hanging="360"/>
      </w:pPr>
      <w:rPr>
        <w:rFonts w:ascii="Wingdings" w:hAnsi="Wingdings"/>
      </w:rPr>
    </w:lvl>
  </w:abstractNum>
  <w:abstractNum w:abstractNumId="858" w15:restartNumberingAfterBreak="0">
    <w:nsid w:val="7223081C"/>
    <w:multiLevelType w:val="hybridMultilevel"/>
    <w:tmpl w:val="7223081C"/>
    <w:lvl w:ilvl="0" w:tplc="D7C65704">
      <w:start w:val="1"/>
      <w:numFmt w:val="bullet"/>
      <w:lvlText w:val=""/>
      <w:lvlJc w:val="left"/>
      <w:pPr>
        <w:ind w:left="720" w:hanging="360"/>
      </w:pPr>
      <w:rPr>
        <w:rFonts w:ascii="Symbol" w:hAnsi="Symbol"/>
      </w:rPr>
    </w:lvl>
    <w:lvl w:ilvl="1" w:tplc="90E65C82">
      <w:start w:val="1"/>
      <w:numFmt w:val="bullet"/>
      <w:lvlText w:val="o"/>
      <w:lvlJc w:val="left"/>
      <w:pPr>
        <w:tabs>
          <w:tab w:val="num" w:pos="1440"/>
        </w:tabs>
        <w:ind w:left="1440" w:hanging="360"/>
      </w:pPr>
      <w:rPr>
        <w:rFonts w:ascii="Courier New" w:hAnsi="Courier New"/>
      </w:rPr>
    </w:lvl>
    <w:lvl w:ilvl="2" w:tplc="809AFF64">
      <w:start w:val="1"/>
      <w:numFmt w:val="bullet"/>
      <w:lvlText w:val=""/>
      <w:lvlJc w:val="left"/>
      <w:pPr>
        <w:tabs>
          <w:tab w:val="num" w:pos="2160"/>
        </w:tabs>
        <w:ind w:left="2160" w:hanging="360"/>
      </w:pPr>
      <w:rPr>
        <w:rFonts w:ascii="Wingdings" w:hAnsi="Wingdings"/>
      </w:rPr>
    </w:lvl>
    <w:lvl w:ilvl="3" w:tplc="6A48ABF0">
      <w:start w:val="1"/>
      <w:numFmt w:val="bullet"/>
      <w:lvlText w:val=""/>
      <w:lvlJc w:val="left"/>
      <w:pPr>
        <w:tabs>
          <w:tab w:val="num" w:pos="2880"/>
        </w:tabs>
        <w:ind w:left="2880" w:hanging="360"/>
      </w:pPr>
      <w:rPr>
        <w:rFonts w:ascii="Symbol" w:hAnsi="Symbol"/>
      </w:rPr>
    </w:lvl>
    <w:lvl w:ilvl="4" w:tplc="88A483C6">
      <w:start w:val="1"/>
      <w:numFmt w:val="bullet"/>
      <w:lvlText w:val="o"/>
      <w:lvlJc w:val="left"/>
      <w:pPr>
        <w:tabs>
          <w:tab w:val="num" w:pos="3600"/>
        </w:tabs>
        <w:ind w:left="3600" w:hanging="360"/>
      </w:pPr>
      <w:rPr>
        <w:rFonts w:ascii="Courier New" w:hAnsi="Courier New"/>
      </w:rPr>
    </w:lvl>
    <w:lvl w:ilvl="5" w:tplc="CBAAF4BC">
      <w:start w:val="1"/>
      <w:numFmt w:val="bullet"/>
      <w:lvlText w:val=""/>
      <w:lvlJc w:val="left"/>
      <w:pPr>
        <w:tabs>
          <w:tab w:val="num" w:pos="4320"/>
        </w:tabs>
        <w:ind w:left="4320" w:hanging="360"/>
      </w:pPr>
      <w:rPr>
        <w:rFonts w:ascii="Wingdings" w:hAnsi="Wingdings"/>
      </w:rPr>
    </w:lvl>
    <w:lvl w:ilvl="6" w:tplc="5C9C2A7E">
      <w:start w:val="1"/>
      <w:numFmt w:val="bullet"/>
      <w:lvlText w:val=""/>
      <w:lvlJc w:val="left"/>
      <w:pPr>
        <w:tabs>
          <w:tab w:val="num" w:pos="5040"/>
        </w:tabs>
        <w:ind w:left="5040" w:hanging="360"/>
      </w:pPr>
      <w:rPr>
        <w:rFonts w:ascii="Symbol" w:hAnsi="Symbol"/>
      </w:rPr>
    </w:lvl>
    <w:lvl w:ilvl="7" w:tplc="7F34625A">
      <w:start w:val="1"/>
      <w:numFmt w:val="bullet"/>
      <w:lvlText w:val="o"/>
      <w:lvlJc w:val="left"/>
      <w:pPr>
        <w:tabs>
          <w:tab w:val="num" w:pos="5760"/>
        </w:tabs>
        <w:ind w:left="5760" w:hanging="360"/>
      </w:pPr>
      <w:rPr>
        <w:rFonts w:ascii="Courier New" w:hAnsi="Courier New"/>
      </w:rPr>
    </w:lvl>
    <w:lvl w:ilvl="8" w:tplc="9BC41960">
      <w:start w:val="1"/>
      <w:numFmt w:val="bullet"/>
      <w:lvlText w:val=""/>
      <w:lvlJc w:val="left"/>
      <w:pPr>
        <w:tabs>
          <w:tab w:val="num" w:pos="6480"/>
        </w:tabs>
        <w:ind w:left="6480" w:hanging="360"/>
      </w:pPr>
      <w:rPr>
        <w:rFonts w:ascii="Wingdings" w:hAnsi="Wingdings"/>
      </w:rPr>
    </w:lvl>
  </w:abstractNum>
  <w:abstractNum w:abstractNumId="859" w15:restartNumberingAfterBreak="0">
    <w:nsid w:val="7223081D"/>
    <w:multiLevelType w:val="hybridMultilevel"/>
    <w:tmpl w:val="7223081D"/>
    <w:lvl w:ilvl="0" w:tplc="CAC6BE12">
      <w:start w:val="1"/>
      <w:numFmt w:val="bullet"/>
      <w:lvlText w:val=""/>
      <w:lvlJc w:val="left"/>
      <w:pPr>
        <w:ind w:left="720" w:hanging="360"/>
      </w:pPr>
      <w:rPr>
        <w:rFonts w:ascii="Symbol" w:hAnsi="Symbol"/>
      </w:rPr>
    </w:lvl>
    <w:lvl w:ilvl="1" w:tplc="3C145908">
      <w:start w:val="1"/>
      <w:numFmt w:val="bullet"/>
      <w:lvlText w:val="o"/>
      <w:lvlJc w:val="left"/>
      <w:pPr>
        <w:tabs>
          <w:tab w:val="num" w:pos="1440"/>
        </w:tabs>
        <w:ind w:left="1440" w:hanging="360"/>
      </w:pPr>
      <w:rPr>
        <w:rFonts w:ascii="Courier New" w:hAnsi="Courier New"/>
      </w:rPr>
    </w:lvl>
    <w:lvl w:ilvl="2" w:tplc="107E0D60">
      <w:start w:val="1"/>
      <w:numFmt w:val="bullet"/>
      <w:lvlText w:val=""/>
      <w:lvlJc w:val="left"/>
      <w:pPr>
        <w:tabs>
          <w:tab w:val="num" w:pos="2160"/>
        </w:tabs>
        <w:ind w:left="2160" w:hanging="360"/>
      </w:pPr>
      <w:rPr>
        <w:rFonts w:ascii="Wingdings" w:hAnsi="Wingdings"/>
      </w:rPr>
    </w:lvl>
    <w:lvl w:ilvl="3" w:tplc="9BAC9C52">
      <w:start w:val="1"/>
      <w:numFmt w:val="bullet"/>
      <w:lvlText w:val=""/>
      <w:lvlJc w:val="left"/>
      <w:pPr>
        <w:tabs>
          <w:tab w:val="num" w:pos="2880"/>
        </w:tabs>
        <w:ind w:left="2880" w:hanging="360"/>
      </w:pPr>
      <w:rPr>
        <w:rFonts w:ascii="Symbol" w:hAnsi="Symbol"/>
      </w:rPr>
    </w:lvl>
    <w:lvl w:ilvl="4" w:tplc="9DA43210">
      <w:start w:val="1"/>
      <w:numFmt w:val="bullet"/>
      <w:lvlText w:val="o"/>
      <w:lvlJc w:val="left"/>
      <w:pPr>
        <w:tabs>
          <w:tab w:val="num" w:pos="3600"/>
        </w:tabs>
        <w:ind w:left="3600" w:hanging="360"/>
      </w:pPr>
      <w:rPr>
        <w:rFonts w:ascii="Courier New" w:hAnsi="Courier New"/>
      </w:rPr>
    </w:lvl>
    <w:lvl w:ilvl="5" w:tplc="FD8EB7F4">
      <w:start w:val="1"/>
      <w:numFmt w:val="bullet"/>
      <w:lvlText w:val=""/>
      <w:lvlJc w:val="left"/>
      <w:pPr>
        <w:tabs>
          <w:tab w:val="num" w:pos="4320"/>
        </w:tabs>
        <w:ind w:left="4320" w:hanging="360"/>
      </w:pPr>
      <w:rPr>
        <w:rFonts w:ascii="Wingdings" w:hAnsi="Wingdings"/>
      </w:rPr>
    </w:lvl>
    <w:lvl w:ilvl="6" w:tplc="7AFA309A">
      <w:start w:val="1"/>
      <w:numFmt w:val="bullet"/>
      <w:lvlText w:val=""/>
      <w:lvlJc w:val="left"/>
      <w:pPr>
        <w:tabs>
          <w:tab w:val="num" w:pos="5040"/>
        </w:tabs>
        <w:ind w:left="5040" w:hanging="360"/>
      </w:pPr>
      <w:rPr>
        <w:rFonts w:ascii="Symbol" w:hAnsi="Symbol"/>
      </w:rPr>
    </w:lvl>
    <w:lvl w:ilvl="7" w:tplc="FB86D2D0">
      <w:start w:val="1"/>
      <w:numFmt w:val="bullet"/>
      <w:lvlText w:val="o"/>
      <w:lvlJc w:val="left"/>
      <w:pPr>
        <w:tabs>
          <w:tab w:val="num" w:pos="5760"/>
        </w:tabs>
        <w:ind w:left="5760" w:hanging="360"/>
      </w:pPr>
      <w:rPr>
        <w:rFonts w:ascii="Courier New" w:hAnsi="Courier New"/>
      </w:rPr>
    </w:lvl>
    <w:lvl w:ilvl="8" w:tplc="353C9774">
      <w:start w:val="1"/>
      <w:numFmt w:val="bullet"/>
      <w:lvlText w:val=""/>
      <w:lvlJc w:val="left"/>
      <w:pPr>
        <w:tabs>
          <w:tab w:val="num" w:pos="6480"/>
        </w:tabs>
        <w:ind w:left="6480" w:hanging="360"/>
      </w:pPr>
      <w:rPr>
        <w:rFonts w:ascii="Wingdings" w:hAnsi="Wingdings"/>
      </w:rPr>
    </w:lvl>
  </w:abstractNum>
  <w:abstractNum w:abstractNumId="860" w15:restartNumberingAfterBreak="0">
    <w:nsid w:val="7223081E"/>
    <w:multiLevelType w:val="hybridMultilevel"/>
    <w:tmpl w:val="7223081E"/>
    <w:lvl w:ilvl="0" w:tplc="E3E0C6E6">
      <w:start w:val="1"/>
      <w:numFmt w:val="bullet"/>
      <w:lvlText w:val=""/>
      <w:lvlJc w:val="left"/>
      <w:pPr>
        <w:ind w:left="720" w:hanging="360"/>
      </w:pPr>
      <w:rPr>
        <w:rFonts w:ascii="Symbol" w:hAnsi="Symbol"/>
      </w:rPr>
    </w:lvl>
    <w:lvl w:ilvl="1" w:tplc="0AEA0836">
      <w:start w:val="1"/>
      <w:numFmt w:val="bullet"/>
      <w:lvlText w:val="o"/>
      <w:lvlJc w:val="left"/>
      <w:pPr>
        <w:tabs>
          <w:tab w:val="num" w:pos="1440"/>
        </w:tabs>
        <w:ind w:left="1440" w:hanging="360"/>
      </w:pPr>
      <w:rPr>
        <w:rFonts w:ascii="Courier New" w:hAnsi="Courier New"/>
      </w:rPr>
    </w:lvl>
    <w:lvl w:ilvl="2" w:tplc="5D249716">
      <w:start w:val="1"/>
      <w:numFmt w:val="bullet"/>
      <w:lvlText w:val=""/>
      <w:lvlJc w:val="left"/>
      <w:pPr>
        <w:tabs>
          <w:tab w:val="num" w:pos="2160"/>
        </w:tabs>
        <w:ind w:left="2160" w:hanging="360"/>
      </w:pPr>
      <w:rPr>
        <w:rFonts w:ascii="Wingdings" w:hAnsi="Wingdings"/>
      </w:rPr>
    </w:lvl>
    <w:lvl w:ilvl="3" w:tplc="C44AFA42">
      <w:start w:val="1"/>
      <w:numFmt w:val="bullet"/>
      <w:lvlText w:val=""/>
      <w:lvlJc w:val="left"/>
      <w:pPr>
        <w:tabs>
          <w:tab w:val="num" w:pos="2880"/>
        </w:tabs>
        <w:ind w:left="2880" w:hanging="360"/>
      </w:pPr>
      <w:rPr>
        <w:rFonts w:ascii="Symbol" w:hAnsi="Symbol"/>
      </w:rPr>
    </w:lvl>
    <w:lvl w:ilvl="4" w:tplc="491AC86E">
      <w:start w:val="1"/>
      <w:numFmt w:val="bullet"/>
      <w:lvlText w:val="o"/>
      <w:lvlJc w:val="left"/>
      <w:pPr>
        <w:tabs>
          <w:tab w:val="num" w:pos="3600"/>
        </w:tabs>
        <w:ind w:left="3600" w:hanging="360"/>
      </w:pPr>
      <w:rPr>
        <w:rFonts w:ascii="Courier New" w:hAnsi="Courier New"/>
      </w:rPr>
    </w:lvl>
    <w:lvl w:ilvl="5" w:tplc="A9D2558E">
      <w:start w:val="1"/>
      <w:numFmt w:val="bullet"/>
      <w:lvlText w:val=""/>
      <w:lvlJc w:val="left"/>
      <w:pPr>
        <w:tabs>
          <w:tab w:val="num" w:pos="4320"/>
        </w:tabs>
        <w:ind w:left="4320" w:hanging="360"/>
      </w:pPr>
      <w:rPr>
        <w:rFonts w:ascii="Wingdings" w:hAnsi="Wingdings"/>
      </w:rPr>
    </w:lvl>
    <w:lvl w:ilvl="6" w:tplc="C36ECD82">
      <w:start w:val="1"/>
      <w:numFmt w:val="bullet"/>
      <w:lvlText w:val=""/>
      <w:lvlJc w:val="left"/>
      <w:pPr>
        <w:tabs>
          <w:tab w:val="num" w:pos="5040"/>
        </w:tabs>
        <w:ind w:left="5040" w:hanging="360"/>
      </w:pPr>
      <w:rPr>
        <w:rFonts w:ascii="Symbol" w:hAnsi="Symbol"/>
      </w:rPr>
    </w:lvl>
    <w:lvl w:ilvl="7" w:tplc="76286F9C">
      <w:start w:val="1"/>
      <w:numFmt w:val="bullet"/>
      <w:lvlText w:val="o"/>
      <w:lvlJc w:val="left"/>
      <w:pPr>
        <w:tabs>
          <w:tab w:val="num" w:pos="5760"/>
        </w:tabs>
        <w:ind w:left="5760" w:hanging="360"/>
      </w:pPr>
      <w:rPr>
        <w:rFonts w:ascii="Courier New" w:hAnsi="Courier New"/>
      </w:rPr>
    </w:lvl>
    <w:lvl w:ilvl="8" w:tplc="5414EB52">
      <w:start w:val="1"/>
      <w:numFmt w:val="bullet"/>
      <w:lvlText w:val=""/>
      <w:lvlJc w:val="left"/>
      <w:pPr>
        <w:tabs>
          <w:tab w:val="num" w:pos="6480"/>
        </w:tabs>
        <w:ind w:left="6480" w:hanging="360"/>
      </w:pPr>
      <w:rPr>
        <w:rFonts w:ascii="Wingdings" w:hAnsi="Wingdings"/>
      </w:rPr>
    </w:lvl>
  </w:abstractNum>
  <w:abstractNum w:abstractNumId="861" w15:restartNumberingAfterBreak="0">
    <w:nsid w:val="7223081F"/>
    <w:multiLevelType w:val="hybridMultilevel"/>
    <w:tmpl w:val="7223081F"/>
    <w:lvl w:ilvl="0" w:tplc="9B1C296C">
      <w:start w:val="1"/>
      <w:numFmt w:val="bullet"/>
      <w:lvlText w:val=""/>
      <w:lvlJc w:val="left"/>
      <w:pPr>
        <w:ind w:left="720" w:hanging="360"/>
      </w:pPr>
      <w:rPr>
        <w:rFonts w:ascii="Symbol" w:hAnsi="Symbol"/>
      </w:rPr>
    </w:lvl>
    <w:lvl w:ilvl="1" w:tplc="8CDEAB06">
      <w:start w:val="1"/>
      <w:numFmt w:val="bullet"/>
      <w:lvlText w:val="o"/>
      <w:lvlJc w:val="left"/>
      <w:pPr>
        <w:tabs>
          <w:tab w:val="num" w:pos="1440"/>
        </w:tabs>
        <w:ind w:left="1440" w:hanging="360"/>
      </w:pPr>
      <w:rPr>
        <w:rFonts w:ascii="Courier New" w:hAnsi="Courier New"/>
      </w:rPr>
    </w:lvl>
    <w:lvl w:ilvl="2" w:tplc="9C644748">
      <w:start w:val="1"/>
      <w:numFmt w:val="bullet"/>
      <w:lvlText w:val=""/>
      <w:lvlJc w:val="left"/>
      <w:pPr>
        <w:tabs>
          <w:tab w:val="num" w:pos="2160"/>
        </w:tabs>
        <w:ind w:left="2160" w:hanging="360"/>
      </w:pPr>
      <w:rPr>
        <w:rFonts w:ascii="Wingdings" w:hAnsi="Wingdings"/>
      </w:rPr>
    </w:lvl>
    <w:lvl w:ilvl="3" w:tplc="188AB292">
      <w:start w:val="1"/>
      <w:numFmt w:val="bullet"/>
      <w:lvlText w:val=""/>
      <w:lvlJc w:val="left"/>
      <w:pPr>
        <w:tabs>
          <w:tab w:val="num" w:pos="2880"/>
        </w:tabs>
        <w:ind w:left="2880" w:hanging="360"/>
      </w:pPr>
      <w:rPr>
        <w:rFonts w:ascii="Symbol" w:hAnsi="Symbol"/>
      </w:rPr>
    </w:lvl>
    <w:lvl w:ilvl="4" w:tplc="1C682CC0">
      <w:start w:val="1"/>
      <w:numFmt w:val="bullet"/>
      <w:lvlText w:val="o"/>
      <w:lvlJc w:val="left"/>
      <w:pPr>
        <w:tabs>
          <w:tab w:val="num" w:pos="3600"/>
        </w:tabs>
        <w:ind w:left="3600" w:hanging="360"/>
      </w:pPr>
      <w:rPr>
        <w:rFonts w:ascii="Courier New" w:hAnsi="Courier New"/>
      </w:rPr>
    </w:lvl>
    <w:lvl w:ilvl="5" w:tplc="2F2E7EF6">
      <w:start w:val="1"/>
      <w:numFmt w:val="bullet"/>
      <w:lvlText w:val=""/>
      <w:lvlJc w:val="left"/>
      <w:pPr>
        <w:tabs>
          <w:tab w:val="num" w:pos="4320"/>
        </w:tabs>
        <w:ind w:left="4320" w:hanging="360"/>
      </w:pPr>
      <w:rPr>
        <w:rFonts w:ascii="Wingdings" w:hAnsi="Wingdings"/>
      </w:rPr>
    </w:lvl>
    <w:lvl w:ilvl="6" w:tplc="45E83284">
      <w:start w:val="1"/>
      <w:numFmt w:val="bullet"/>
      <w:lvlText w:val=""/>
      <w:lvlJc w:val="left"/>
      <w:pPr>
        <w:tabs>
          <w:tab w:val="num" w:pos="5040"/>
        </w:tabs>
        <w:ind w:left="5040" w:hanging="360"/>
      </w:pPr>
      <w:rPr>
        <w:rFonts w:ascii="Symbol" w:hAnsi="Symbol"/>
      </w:rPr>
    </w:lvl>
    <w:lvl w:ilvl="7" w:tplc="64DA6DA6">
      <w:start w:val="1"/>
      <w:numFmt w:val="bullet"/>
      <w:lvlText w:val="o"/>
      <w:lvlJc w:val="left"/>
      <w:pPr>
        <w:tabs>
          <w:tab w:val="num" w:pos="5760"/>
        </w:tabs>
        <w:ind w:left="5760" w:hanging="360"/>
      </w:pPr>
      <w:rPr>
        <w:rFonts w:ascii="Courier New" w:hAnsi="Courier New"/>
      </w:rPr>
    </w:lvl>
    <w:lvl w:ilvl="8" w:tplc="1130BF6A">
      <w:start w:val="1"/>
      <w:numFmt w:val="bullet"/>
      <w:lvlText w:val=""/>
      <w:lvlJc w:val="left"/>
      <w:pPr>
        <w:tabs>
          <w:tab w:val="num" w:pos="6480"/>
        </w:tabs>
        <w:ind w:left="6480" w:hanging="360"/>
      </w:pPr>
      <w:rPr>
        <w:rFonts w:ascii="Wingdings" w:hAnsi="Wingdings"/>
      </w:rPr>
    </w:lvl>
  </w:abstractNum>
  <w:abstractNum w:abstractNumId="862" w15:restartNumberingAfterBreak="0">
    <w:nsid w:val="72230820"/>
    <w:multiLevelType w:val="hybridMultilevel"/>
    <w:tmpl w:val="72230820"/>
    <w:lvl w:ilvl="0" w:tplc="4E964984">
      <w:start w:val="1"/>
      <w:numFmt w:val="bullet"/>
      <w:lvlText w:val=""/>
      <w:lvlJc w:val="left"/>
      <w:pPr>
        <w:ind w:left="720" w:hanging="360"/>
      </w:pPr>
      <w:rPr>
        <w:rFonts w:ascii="Symbol" w:hAnsi="Symbol"/>
      </w:rPr>
    </w:lvl>
    <w:lvl w:ilvl="1" w:tplc="DD14D1BC">
      <w:start w:val="1"/>
      <w:numFmt w:val="bullet"/>
      <w:lvlText w:val="o"/>
      <w:lvlJc w:val="left"/>
      <w:pPr>
        <w:ind w:left="1440" w:hanging="360"/>
      </w:pPr>
      <w:rPr>
        <w:rFonts w:ascii="Courier New" w:hAnsi="Courier New"/>
      </w:rPr>
    </w:lvl>
    <w:lvl w:ilvl="2" w:tplc="C9A2C66E">
      <w:start w:val="1"/>
      <w:numFmt w:val="bullet"/>
      <w:lvlText w:val=""/>
      <w:lvlJc w:val="left"/>
      <w:pPr>
        <w:ind w:left="2160" w:hanging="360"/>
      </w:pPr>
      <w:rPr>
        <w:rFonts w:ascii="Wingdings" w:hAnsi="Wingdings"/>
      </w:rPr>
    </w:lvl>
    <w:lvl w:ilvl="3" w:tplc="F840777E">
      <w:start w:val="1"/>
      <w:numFmt w:val="bullet"/>
      <w:lvlText w:val=""/>
      <w:lvlJc w:val="left"/>
      <w:pPr>
        <w:tabs>
          <w:tab w:val="num" w:pos="2880"/>
        </w:tabs>
        <w:ind w:left="2880" w:hanging="360"/>
      </w:pPr>
      <w:rPr>
        <w:rFonts w:ascii="Symbol" w:hAnsi="Symbol"/>
      </w:rPr>
    </w:lvl>
    <w:lvl w:ilvl="4" w:tplc="A2AC0E28">
      <w:start w:val="1"/>
      <w:numFmt w:val="bullet"/>
      <w:lvlText w:val="o"/>
      <w:lvlJc w:val="left"/>
      <w:pPr>
        <w:tabs>
          <w:tab w:val="num" w:pos="3600"/>
        </w:tabs>
        <w:ind w:left="3600" w:hanging="360"/>
      </w:pPr>
      <w:rPr>
        <w:rFonts w:ascii="Courier New" w:hAnsi="Courier New"/>
      </w:rPr>
    </w:lvl>
    <w:lvl w:ilvl="5" w:tplc="74902B02">
      <w:start w:val="1"/>
      <w:numFmt w:val="bullet"/>
      <w:lvlText w:val=""/>
      <w:lvlJc w:val="left"/>
      <w:pPr>
        <w:tabs>
          <w:tab w:val="num" w:pos="4320"/>
        </w:tabs>
        <w:ind w:left="4320" w:hanging="360"/>
      </w:pPr>
      <w:rPr>
        <w:rFonts w:ascii="Wingdings" w:hAnsi="Wingdings"/>
      </w:rPr>
    </w:lvl>
    <w:lvl w:ilvl="6" w:tplc="74E60EFC">
      <w:start w:val="1"/>
      <w:numFmt w:val="bullet"/>
      <w:lvlText w:val=""/>
      <w:lvlJc w:val="left"/>
      <w:pPr>
        <w:tabs>
          <w:tab w:val="num" w:pos="5040"/>
        </w:tabs>
        <w:ind w:left="5040" w:hanging="360"/>
      </w:pPr>
      <w:rPr>
        <w:rFonts w:ascii="Symbol" w:hAnsi="Symbol"/>
      </w:rPr>
    </w:lvl>
    <w:lvl w:ilvl="7" w:tplc="474478A4">
      <w:start w:val="1"/>
      <w:numFmt w:val="bullet"/>
      <w:lvlText w:val="o"/>
      <w:lvlJc w:val="left"/>
      <w:pPr>
        <w:tabs>
          <w:tab w:val="num" w:pos="5760"/>
        </w:tabs>
        <w:ind w:left="5760" w:hanging="360"/>
      </w:pPr>
      <w:rPr>
        <w:rFonts w:ascii="Courier New" w:hAnsi="Courier New"/>
      </w:rPr>
    </w:lvl>
    <w:lvl w:ilvl="8" w:tplc="CDBE7192">
      <w:start w:val="1"/>
      <w:numFmt w:val="bullet"/>
      <w:lvlText w:val=""/>
      <w:lvlJc w:val="left"/>
      <w:pPr>
        <w:tabs>
          <w:tab w:val="num" w:pos="6480"/>
        </w:tabs>
        <w:ind w:left="6480" w:hanging="360"/>
      </w:pPr>
      <w:rPr>
        <w:rFonts w:ascii="Wingdings" w:hAnsi="Wingdings"/>
      </w:rPr>
    </w:lvl>
  </w:abstractNum>
  <w:abstractNum w:abstractNumId="863" w15:restartNumberingAfterBreak="0">
    <w:nsid w:val="72230821"/>
    <w:multiLevelType w:val="hybridMultilevel"/>
    <w:tmpl w:val="72230821"/>
    <w:lvl w:ilvl="0" w:tplc="C930AA30">
      <w:start w:val="1"/>
      <w:numFmt w:val="bullet"/>
      <w:lvlText w:val=""/>
      <w:lvlJc w:val="left"/>
      <w:pPr>
        <w:ind w:left="720" w:hanging="360"/>
      </w:pPr>
      <w:rPr>
        <w:rFonts w:ascii="Symbol" w:hAnsi="Symbol"/>
      </w:rPr>
    </w:lvl>
    <w:lvl w:ilvl="1" w:tplc="A8D22CF4">
      <w:start w:val="1"/>
      <w:numFmt w:val="bullet"/>
      <w:lvlText w:val="o"/>
      <w:lvlJc w:val="left"/>
      <w:pPr>
        <w:tabs>
          <w:tab w:val="num" w:pos="1440"/>
        </w:tabs>
        <w:ind w:left="1440" w:hanging="360"/>
      </w:pPr>
      <w:rPr>
        <w:rFonts w:ascii="Courier New" w:hAnsi="Courier New"/>
      </w:rPr>
    </w:lvl>
    <w:lvl w:ilvl="2" w:tplc="FE92F1BC">
      <w:start w:val="1"/>
      <w:numFmt w:val="bullet"/>
      <w:lvlText w:val=""/>
      <w:lvlJc w:val="left"/>
      <w:pPr>
        <w:tabs>
          <w:tab w:val="num" w:pos="2160"/>
        </w:tabs>
        <w:ind w:left="2160" w:hanging="360"/>
      </w:pPr>
      <w:rPr>
        <w:rFonts w:ascii="Wingdings" w:hAnsi="Wingdings"/>
      </w:rPr>
    </w:lvl>
    <w:lvl w:ilvl="3" w:tplc="43A2F39A">
      <w:start w:val="1"/>
      <w:numFmt w:val="bullet"/>
      <w:lvlText w:val=""/>
      <w:lvlJc w:val="left"/>
      <w:pPr>
        <w:tabs>
          <w:tab w:val="num" w:pos="2880"/>
        </w:tabs>
        <w:ind w:left="2880" w:hanging="360"/>
      </w:pPr>
      <w:rPr>
        <w:rFonts w:ascii="Symbol" w:hAnsi="Symbol"/>
      </w:rPr>
    </w:lvl>
    <w:lvl w:ilvl="4" w:tplc="EE9C5992">
      <w:start w:val="1"/>
      <w:numFmt w:val="bullet"/>
      <w:lvlText w:val="o"/>
      <w:lvlJc w:val="left"/>
      <w:pPr>
        <w:tabs>
          <w:tab w:val="num" w:pos="3600"/>
        </w:tabs>
        <w:ind w:left="3600" w:hanging="360"/>
      </w:pPr>
      <w:rPr>
        <w:rFonts w:ascii="Courier New" w:hAnsi="Courier New"/>
      </w:rPr>
    </w:lvl>
    <w:lvl w:ilvl="5" w:tplc="91CCD3B8">
      <w:start w:val="1"/>
      <w:numFmt w:val="bullet"/>
      <w:lvlText w:val=""/>
      <w:lvlJc w:val="left"/>
      <w:pPr>
        <w:tabs>
          <w:tab w:val="num" w:pos="4320"/>
        </w:tabs>
        <w:ind w:left="4320" w:hanging="360"/>
      </w:pPr>
      <w:rPr>
        <w:rFonts w:ascii="Wingdings" w:hAnsi="Wingdings"/>
      </w:rPr>
    </w:lvl>
    <w:lvl w:ilvl="6" w:tplc="F18AE104">
      <w:start w:val="1"/>
      <w:numFmt w:val="bullet"/>
      <w:lvlText w:val=""/>
      <w:lvlJc w:val="left"/>
      <w:pPr>
        <w:tabs>
          <w:tab w:val="num" w:pos="5040"/>
        </w:tabs>
        <w:ind w:left="5040" w:hanging="360"/>
      </w:pPr>
      <w:rPr>
        <w:rFonts w:ascii="Symbol" w:hAnsi="Symbol"/>
      </w:rPr>
    </w:lvl>
    <w:lvl w:ilvl="7" w:tplc="028AB4B0">
      <w:start w:val="1"/>
      <w:numFmt w:val="bullet"/>
      <w:lvlText w:val="o"/>
      <w:lvlJc w:val="left"/>
      <w:pPr>
        <w:tabs>
          <w:tab w:val="num" w:pos="5760"/>
        </w:tabs>
        <w:ind w:left="5760" w:hanging="360"/>
      </w:pPr>
      <w:rPr>
        <w:rFonts w:ascii="Courier New" w:hAnsi="Courier New"/>
      </w:rPr>
    </w:lvl>
    <w:lvl w:ilvl="8" w:tplc="507AC0E2">
      <w:start w:val="1"/>
      <w:numFmt w:val="bullet"/>
      <w:lvlText w:val=""/>
      <w:lvlJc w:val="left"/>
      <w:pPr>
        <w:tabs>
          <w:tab w:val="num" w:pos="6480"/>
        </w:tabs>
        <w:ind w:left="6480" w:hanging="360"/>
      </w:pPr>
      <w:rPr>
        <w:rFonts w:ascii="Wingdings" w:hAnsi="Wingdings"/>
      </w:rPr>
    </w:lvl>
  </w:abstractNum>
  <w:abstractNum w:abstractNumId="864" w15:restartNumberingAfterBreak="0">
    <w:nsid w:val="72230822"/>
    <w:multiLevelType w:val="hybridMultilevel"/>
    <w:tmpl w:val="72230822"/>
    <w:lvl w:ilvl="0" w:tplc="F50A1E1A">
      <w:start w:val="1"/>
      <w:numFmt w:val="bullet"/>
      <w:lvlText w:val=""/>
      <w:lvlJc w:val="left"/>
      <w:pPr>
        <w:ind w:left="720" w:hanging="360"/>
      </w:pPr>
      <w:rPr>
        <w:rFonts w:ascii="Symbol" w:hAnsi="Symbol"/>
      </w:rPr>
    </w:lvl>
    <w:lvl w:ilvl="1" w:tplc="3EF25D16">
      <w:start w:val="1"/>
      <w:numFmt w:val="bullet"/>
      <w:lvlText w:val="o"/>
      <w:lvlJc w:val="left"/>
      <w:pPr>
        <w:ind w:left="1440" w:hanging="360"/>
      </w:pPr>
      <w:rPr>
        <w:rFonts w:ascii="Courier New" w:hAnsi="Courier New"/>
      </w:rPr>
    </w:lvl>
    <w:lvl w:ilvl="2" w:tplc="6B762222">
      <w:start w:val="1"/>
      <w:numFmt w:val="bullet"/>
      <w:lvlText w:val=""/>
      <w:lvlJc w:val="left"/>
      <w:pPr>
        <w:tabs>
          <w:tab w:val="num" w:pos="2160"/>
        </w:tabs>
        <w:ind w:left="2160" w:hanging="360"/>
      </w:pPr>
      <w:rPr>
        <w:rFonts w:ascii="Wingdings" w:hAnsi="Wingdings"/>
      </w:rPr>
    </w:lvl>
    <w:lvl w:ilvl="3" w:tplc="F104CA8E">
      <w:start w:val="1"/>
      <w:numFmt w:val="bullet"/>
      <w:lvlText w:val=""/>
      <w:lvlJc w:val="left"/>
      <w:pPr>
        <w:tabs>
          <w:tab w:val="num" w:pos="2880"/>
        </w:tabs>
        <w:ind w:left="2880" w:hanging="360"/>
      </w:pPr>
      <w:rPr>
        <w:rFonts w:ascii="Symbol" w:hAnsi="Symbol"/>
      </w:rPr>
    </w:lvl>
    <w:lvl w:ilvl="4" w:tplc="339AEADE">
      <w:start w:val="1"/>
      <w:numFmt w:val="bullet"/>
      <w:lvlText w:val="o"/>
      <w:lvlJc w:val="left"/>
      <w:pPr>
        <w:tabs>
          <w:tab w:val="num" w:pos="3600"/>
        </w:tabs>
        <w:ind w:left="3600" w:hanging="360"/>
      </w:pPr>
      <w:rPr>
        <w:rFonts w:ascii="Courier New" w:hAnsi="Courier New"/>
      </w:rPr>
    </w:lvl>
    <w:lvl w:ilvl="5" w:tplc="F8BCF016">
      <w:start w:val="1"/>
      <w:numFmt w:val="bullet"/>
      <w:lvlText w:val=""/>
      <w:lvlJc w:val="left"/>
      <w:pPr>
        <w:tabs>
          <w:tab w:val="num" w:pos="4320"/>
        </w:tabs>
        <w:ind w:left="4320" w:hanging="360"/>
      </w:pPr>
      <w:rPr>
        <w:rFonts w:ascii="Wingdings" w:hAnsi="Wingdings"/>
      </w:rPr>
    </w:lvl>
    <w:lvl w:ilvl="6" w:tplc="32347E70">
      <w:start w:val="1"/>
      <w:numFmt w:val="bullet"/>
      <w:lvlText w:val=""/>
      <w:lvlJc w:val="left"/>
      <w:pPr>
        <w:tabs>
          <w:tab w:val="num" w:pos="5040"/>
        </w:tabs>
        <w:ind w:left="5040" w:hanging="360"/>
      </w:pPr>
      <w:rPr>
        <w:rFonts w:ascii="Symbol" w:hAnsi="Symbol"/>
      </w:rPr>
    </w:lvl>
    <w:lvl w:ilvl="7" w:tplc="1A4EAB86">
      <w:start w:val="1"/>
      <w:numFmt w:val="bullet"/>
      <w:lvlText w:val="o"/>
      <w:lvlJc w:val="left"/>
      <w:pPr>
        <w:tabs>
          <w:tab w:val="num" w:pos="5760"/>
        </w:tabs>
        <w:ind w:left="5760" w:hanging="360"/>
      </w:pPr>
      <w:rPr>
        <w:rFonts w:ascii="Courier New" w:hAnsi="Courier New"/>
      </w:rPr>
    </w:lvl>
    <w:lvl w:ilvl="8" w:tplc="D32E4A7C">
      <w:start w:val="1"/>
      <w:numFmt w:val="bullet"/>
      <w:lvlText w:val=""/>
      <w:lvlJc w:val="left"/>
      <w:pPr>
        <w:tabs>
          <w:tab w:val="num" w:pos="6480"/>
        </w:tabs>
        <w:ind w:left="6480" w:hanging="360"/>
      </w:pPr>
      <w:rPr>
        <w:rFonts w:ascii="Wingdings" w:hAnsi="Wingdings"/>
      </w:rPr>
    </w:lvl>
  </w:abstractNum>
  <w:abstractNum w:abstractNumId="865" w15:restartNumberingAfterBreak="0">
    <w:nsid w:val="72230823"/>
    <w:multiLevelType w:val="hybridMultilevel"/>
    <w:tmpl w:val="72230823"/>
    <w:lvl w:ilvl="0" w:tplc="C342592E">
      <w:start w:val="1"/>
      <w:numFmt w:val="bullet"/>
      <w:lvlText w:val=""/>
      <w:lvlJc w:val="left"/>
      <w:pPr>
        <w:ind w:left="720" w:hanging="360"/>
      </w:pPr>
      <w:rPr>
        <w:rFonts w:ascii="Symbol" w:hAnsi="Symbol"/>
      </w:rPr>
    </w:lvl>
    <w:lvl w:ilvl="1" w:tplc="C512F11A">
      <w:start w:val="1"/>
      <w:numFmt w:val="bullet"/>
      <w:lvlText w:val="o"/>
      <w:lvlJc w:val="left"/>
      <w:pPr>
        <w:tabs>
          <w:tab w:val="num" w:pos="1440"/>
        </w:tabs>
        <w:ind w:left="1440" w:hanging="360"/>
      </w:pPr>
      <w:rPr>
        <w:rFonts w:ascii="Courier New" w:hAnsi="Courier New"/>
      </w:rPr>
    </w:lvl>
    <w:lvl w:ilvl="2" w:tplc="1CAAF35A">
      <w:start w:val="1"/>
      <w:numFmt w:val="bullet"/>
      <w:lvlText w:val=""/>
      <w:lvlJc w:val="left"/>
      <w:pPr>
        <w:tabs>
          <w:tab w:val="num" w:pos="2160"/>
        </w:tabs>
        <w:ind w:left="2160" w:hanging="360"/>
      </w:pPr>
      <w:rPr>
        <w:rFonts w:ascii="Wingdings" w:hAnsi="Wingdings"/>
      </w:rPr>
    </w:lvl>
    <w:lvl w:ilvl="3" w:tplc="7F66CB8A">
      <w:start w:val="1"/>
      <w:numFmt w:val="bullet"/>
      <w:lvlText w:val=""/>
      <w:lvlJc w:val="left"/>
      <w:pPr>
        <w:tabs>
          <w:tab w:val="num" w:pos="2880"/>
        </w:tabs>
        <w:ind w:left="2880" w:hanging="360"/>
      </w:pPr>
      <w:rPr>
        <w:rFonts w:ascii="Symbol" w:hAnsi="Symbol"/>
      </w:rPr>
    </w:lvl>
    <w:lvl w:ilvl="4" w:tplc="F4AAD506">
      <w:start w:val="1"/>
      <w:numFmt w:val="bullet"/>
      <w:lvlText w:val="o"/>
      <w:lvlJc w:val="left"/>
      <w:pPr>
        <w:tabs>
          <w:tab w:val="num" w:pos="3600"/>
        </w:tabs>
        <w:ind w:left="3600" w:hanging="360"/>
      </w:pPr>
      <w:rPr>
        <w:rFonts w:ascii="Courier New" w:hAnsi="Courier New"/>
      </w:rPr>
    </w:lvl>
    <w:lvl w:ilvl="5" w:tplc="06100F64">
      <w:start w:val="1"/>
      <w:numFmt w:val="bullet"/>
      <w:lvlText w:val=""/>
      <w:lvlJc w:val="left"/>
      <w:pPr>
        <w:tabs>
          <w:tab w:val="num" w:pos="4320"/>
        </w:tabs>
        <w:ind w:left="4320" w:hanging="360"/>
      </w:pPr>
      <w:rPr>
        <w:rFonts w:ascii="Wingdings" w:hAnsi="Wingdings"/>
      </w:rPr>
    </w:lvl>
    <w:lvl w:ilvl="6" w:tplc="AB186756">
      <w:start w:val="1"/>
      <w:numFmt w:val="bullet"/>
      <w:lvlText w:val=""/>
      <w:lvlJc w:val="left"/>
      <w:pPr>
        <w:tabs>
          <w:tab w:val="num" w:pos="5040"/>
        </w:tabs>
        <w:ind w:left="5040" w:hanging="360"/>
      </w:pPr>
      <w:rPr>
        <w:rFonts w:ascii="Symbol" w:hAnsi="Symbol"/>
      </w:rPr>
    </w:lvl>
    <w:lvl w:ilvl="7" w:tplc="DA7411FA">
      <w:start w:val="1"/>
      <w:numFmt w:val="bullet"/>
      <w:lvlText w:val="o"/>
      <w:lvlJc w:val="left"/>
      <w:pPr>
        <w:tabs>
          <w:tab w:val="num" w:pos="5760"/>
        </w:tabs>
        <w:ind w:left="5760" w:hanging="360"/>
      </w:pPr>
      <w:rPr>
        <w:rFonts w:ascii="Courier New" w:hAnsi="Courier New"/>
      </w:rPr>
    </w:lvl>
    <w:lvl w:ilvl="8" w:tplc="23167C78">
      <w:start w:val="1"/>
      <w:numFmt w:val="bullet"/>
      <w:lvlText w:val=""/>
      <w:lvlJc w:val="left"/>
      <w:pPr>
        <w:tabs>
          <w:tab w:val="num" w:pos="6480"/>
        </w:tabs>
        <w:ind w:left="6480" w:hanging="360"/>
      </w:pPr>
      <w:rPr>
        <w:rFonts w:ascii="Wingdings" w:hAnsi="Wingdings"/>
      </w:rPr>
    </w:lvl>
  </w:abstractNum>
  <w:abstractNum w:abstractNumId="866" w15:restartNumberingAfterBreak="0">
    <w:nsid w:val="72230824"/>
    <w:multiLevelType w:val="hybridMultilevel"/>
    <w:tmpl w:val="72230824"/>
    <w:lvl w:ilvl="0" w:tplc="BA38A416">
      <w:start w:val="1"/>
      <w:numFmt w:val="bullet"/>
      <w:lvlText w:val=""/>
      <w:lvlJc w:val="left"/>
      <w:pPr>
        <w:ind w:left="720" w:hanging="360"/>
      </w:pPr>
      <w:rPr>
        <w:rFonts w:ascii="Symbol" w:hAnsi="Symbol"/>
      </w:rPr>
    </w:lvl>
    <w:lvl w:ilvl="1" w:tplc="7958B070">
      <w:start w:val="1"/>
      <w:numFmt w:val="bullet"/>
      <w:lvlText w:val="o"/>
      <w:lvlJc w:val="left"/>
      <w:pPr>
        <w:tabs>
          <w:tab w:val="num" w:pos="1440"/>
        </w:tabs>
        <w:ind w:left="1440" w:hanging="360"/>
      </w:pPr>
      <w:rPr>
        <w:rFonts w:ascii="Courier New" w:hAnsi="Courier New"/>
      </w:rPr>
    </w:lvl>
    <w:lvl w:ilvl="2" w:tplc="5A084AEC">
      <w:start w:val="1"/>
      <w:numFmt w:val="bullet"/>
      <w:lvlText w:val=""/>
      <w:lvlJc w:val="left"/>
      <w:pPr>
        <w:tabs>
          <w:tab w:val="num" w:pos="2160"/>
        </w:tabs>
        <w:ind w:left="2160" w:hanging="360"/>
      </w:pPr>
      <w:rPr>
        <w:rFonts w:ascii="Wingdings" w:hAnsi="Wingdings"/>
      </w:rPr>
    </w:lvl>
    <w:lvl w:ilvl="3" w:tplc="8CA4DB08">
      <w:start w:val="1"/>
      <w:numFmt w:val="bullet"/>
      <w:lvlText w:val=""/>
      <w:lvlJc w:val="left"/>
      <w:pPr>
        <w:tabs>
          <w:tab w:val="num" w:pos="2880"/>
        </w:tabs>
        <w:ind w:left="2880" w:hanging="360"/>
      </w:pPr>
      <w:rPr>
        <w:rFonts w:ascii="Symbol" w:hAnsi="Symbol"/>
      </w:rPr>
    </w:lvl>
    <w:lvl w:ilvl="4" w:tplc="69B842EE">
      <w:start w:val="1"/>
      <w:numFmt w:val="bullet"/>
      <w:lvlText w:val="o"/>
      <w:lvlJc w:val="left"/>
      <w:pPr>
        <w:tabs>
          <w:tab w:val="num" w:pos="3600"/>
        </w:tabs>
        <w:ind w:left="3600" w:hanging="360"/>
      </w:pPr>
      <w:rPr>
        <w:rFonts w:ascii="Courier New" w:hAnsi="Courier New"/>
      </w:rPr>
    </w:lvl>
    <w:lvl w:ilvl="5" w:tplc="1AF8E834">
      <w:start w:val="1"/>
      <w:numFmt w:val="bullet"/>
      <w:lvlText w:val=""/>
      <w:lvlJc w:val="left"/>
      <w:pPr>
        <w:tabs>
          <w:tab w:val="num" w:pos="4320"/>
        </w:tabs>
        <w:ind w:left="4320" w:hanging="360"/>
      </w:pPr>
      <w:rPr>
        <w:rFonts w:ascii="Wingdings" w:hAnsi="Wingdings"/>
      </w:rPr>
    </w:lvl>
    <w:lvl w:ilvl="6" w:tplc="A03EDBCA">
      <w:start w:val="1"/>
      <w:numFmt w:val="bullet"/>
      <w:lvlText w:val=""/>
      <w:lvlJc w:val="left"/>
      <w:pPr>
        <w:tabs>
          <w:tab w:val="num" w:pos="5040"/>
        </w:tabs>
        <w:ind w:left="5040" w:hanging="360"/>
      </w:pPr>
      <w:rPr>
        <w:rFonts w:ascii="Symbol" w:hAnsi="Symbol"/>
      </w:rPr>
    </w:lvl>
    <w:lvl w:ilvl="7" w:tplc="69B47B7C">
      <w:start w:val="1"/>
      <w:numFmt w:val="bullet"/>
      <w:lvlText w:val="o"/>
      <w:lvlJc w:val="left"/>
      <w:pPr>
        <w:tabs>
          <w:tab w:val="num" w:pos="5760"/>
        </w:tabs>
        <w:ind w:left="5760" w:hanging="360"/>
      </w:pPr>
      <w:rPr>
        <w:rFonts w:ascii="Courier New" w:hAnsi="Courier New"/>
      </w:rPr>
    </w:lvl>
    <w:lvl w:ilvl="8" w:tplc="C1846CBC">
      <w:start w:val="1"/>
      <w:numFmt w:val="bullet"/>
      <w:lvlText w:val=""/>
      <w:lvlJc w:val="left"/>
      <w:pPr>
        <w:tabs>
          <w:tab w:val="num" w:pos="6480"/>
        </w:tabs>
        <w:ind w:left="6480" w:hanging="360"/>
      </w:pPr>
      <w:rPr>
        <w:rFonts w:ascii="Wingdings" w:hAnsi="Wingdings"/>
      </w:rPr>
    </w:lvl>
  </w:abstractNum>
  <w:abstractNum w:abstractNumId="867" w15:restartNumberingAfterBreak="0">
    <w:nsid w:val="72230825"/>
    <w:multiLevelType w:val="hybridMultilevel"/>
    <w:tmpl w:val="72230825"/>
    <w:lvl w:ilvl="0" w:tplc="76B0E37E">
      <w:start w:val="1"/>
      <w:numFmt w:val="bullet"/>
      <w:lvlText w:val=""/>
      <w:lvlJc w:val="left"/>
      <w:pPr>
        <w:ind w:left="720" w:hanging="360"/>
      </w:pPr>
      <w:rPr>
        <w:rFonts w:ascii="Symbol" w:hAnsi="Symbol"/>
      </w:rPr>
    </w:lvl>
    <w:lvl w:ilvl="1" w:tplc="04AA26D8">
      <w:start w:val="1"/>
      <w:numFmt w:val="bullet"/>
      <w:lvlText w:val="o"/>
      <w:lvlJc w:val="left"/>
      <w:pPr>
        <w:tabs>
          <w:tab w:val="num" w:pos="1440"/>
        </w:tabs>
        <w:ind w:left="1440" w:hanging="360"/>
      </w:pPr>
      <w:rPr>
        <w:rFonts w:ascii="Courier New" w:hAnsi="Courier New"/>
      </w:rPr>
    </w:lvl>
    <w:lvl w:ilvl="2" w:tplc="AC90AF5E">
      <w:start w:val="1"/>
      <w:numFmt w:val="bullet"/>
      <w:lvlText w:val=""/>
      <w:lvlJc w:val="left"/>
      <w:pPr>
        <w:tabs>
          <w:tab w:val="num" w:pos="2160"/>
        </w:tabs>
        <w:ind w:left="2160" w:hanging="360"/>
      </w:pPr>
      <w:rPr>
        <w:rFonts w:ascii="Wingdings" w:hAnsi="Wingdings"/>
      </w:rPr>
    </w:lvl>
    <w:lvl w:ilvl="3" w:tplc="1DC8CF8A">
      <w:start w:val="1"/>
      <w:numFmt w:val="bullet"/>
      <w:lvlText w:val=""/>
      <w:lvlJc w:val="left"/>
      <w:pPr>
        <w:tabs>
          <w:tab w:val="num" w:pos="2880"/>
        </w:tabs>
        <w:ind w:left="2880" w:hanging="360"/>
      </w:pPr>
      <w:rPr>
        <w:rFonts w:ascii="Symbol" w:hAnsi="Symbol"/>
      </w:rPr>
    </w:lvl>
    <w:lvl w:ilvl="4" w:tplc="875673D8">
      <w:start w:val="1"/>
      <w:numFmt w:val="bullet"/>
      <w:lvlText w:val="o"/>
      <w:lvlJc w:val="left"/>
      <w:pPr>
        <w:tabs>
          <w:tab w:val="num" w:pos="3600"/>
        </w:tabs>
        <w:ind w:left="3600" w:hanging="360"/>
      </w:pPr>
      <w:rPr>
        <w:rFonts w:ascii="Courier New" w:hAnsi="Courier New"/>
      </w:rPr>
    </w:lvl>
    <w:lvl w:ilvl="5" w:tplc="8348C686">
      <w:start w:val="1"/>
      <w:numFmt w:val="bullet"/>
      <w:lvlText w:val=""/>
      <w:lvlJc w:val="left"/>
      <w:pPr>
        <w:tabs>
          <w:tab w:val="num" w:pos="4320"/>
        </w:tabs>
        <w:ind w:left="4320" w:hanging="360"/>
      </w:pPr>
      <w:rPr>
        <w:rFonts w:ascii="Wingdings" w:hAnsi="Wingdings"/>
      </w:rPr>
    </w:lvl>
    <w:lvl w:ilvl="6" w:tplc="8A8216A8">
      <w:start w:val="1"/>
      <w:numFmt w:val="bullet"/>
      <w:lvlText w:val=""/>
      <w:lvlJc w:val="left"/>
      <w:pPr>
        <w:tabs>
          <w:tab w:val="num" w:pos="5040"/>
        </w:tabs>
        <w:ind w:left="5040" w:hanging="360"/>
      </w:pPr>
      <w:rPr>
        <w:rFonts w:ascii="Symbol" w:hAnsi="Symbol"/>
      </w:rPr>
    </w:lvl>
    <w:lvl w:ilvl="7" w:tplc="AADEAC18">
      <w:start w:val="1"/>
      <w:numFmt w:val="bullet"/>
      <w:lvlText w:val="o"/>
      <w:lvlJc w:val="left"/>
      <w:pPr>
        <w:tabs>
          <w:tab w:val="num" w:pos="5760"/>
        </w:tabs>
        <w:ind w:left="5760" w:hanging="360"/>
      </w:pPr>
      <w:rPr>
        <w:rFonts w:ascii="Courier New" w:hAnsi="Courier New"/>
      </w:rPr>
    </w:lvl>
    <w:lvl w:ilvl="8" w:tplc="B750074E">
      <w:start w:val="1"/>
      <w:numFmt w:val="bullet"/>
      <w:lvlText w:val=""/>
      <w:lvlJc w:val="left"/>
      <w:pPr>
        <w:tabs>
          <w:tab w:val="num" w:pos="6480"/>
        </w:tabs>
        <w:ind w:left="6480" w:hanging="360"/>
      </w:pPr>
      <w:rPr>
        <w:rFonts w:ascii="Wingdings" w:hAnsi="Wingdings"/>
      </w:rPr>
    </w:lvl>
  </w:abstractNum>
  <w:abstractNum w:abstractNumId="868" w15:restartNumberingAfterBreak="0">
    <w:nsid w:val="72230826"/>
    <w:multiLevelType w:val="hybridMultilevel"/>
    <w:tmpl w:val="72230826"/>
    <w:lvl w:ilvl="0" w:tplc="983CCDD2">
      <w:start w:val="1"/>
      <w:numFmt w:val="bullet"/>
      <w:lvlText w:val="o"/>
      <w:lvlJc w:val="left"/>
      <w:pPr>
        <w:ind w:left="720" w:hanging="360"/>
      </w:pPr>
      <w:rPr>
        <w:rFonts w:ascii="Courier New" w:hAnsi="Courier New"/>
      </w:rPr>
    </w:lvl>
    <w:lvl w:ilvl="1" w:tplc="76007B38">
      <w:start w:val="1"/>
      <w:numFmt w:val="bullet"/>
      <w:lvlText w:val="o"/>
      <w:lvlJc w:val="left"/>
      <w:pPr>
        <w:tabs>
          <w:tab w:val="num" w:pos="1440"/>
        </w:tabs>
        <w:ind w:left="1440" w:hanging="360"/>
      </w:pPr>
      <w:rPr>
        <w:rFonts w:ascii="Courier New" w:hAnsi="Courier New"/>
      </w:rPr>
    </w:lvl>
    <w:lvl w:ilvl="2" w:tplc="75CEE89C">
      <w:start w:val="1"/>
      <w:numFmt w:val="bullet"/>
      <w:lvlText w:val=""/>
      <w:lvlJc w:val="left"/>
      <w:pPr>
        <w:tabs>
          <w:tab w:val="num" w:pos="2160"/>
        </w:tabs>
        <w:ind w:left="2160" w:hanging="360"/>
      </w:pPr>
      <w:rPr>
        <w:rFonts w:ascii="Wingdings" w:hAnsi="Wingdings"/>
      </w:rPr>
    </w:lvl>
    <w:lvl w:ilvl="3" w:tplc="55CE489C">
      <w:start w:val="1"/>
      <w:numFmt w:val="bullet"/>
      <w:lvlText w:val=""/>
      <w:lvlJc w:val="left"/>
      <w:pPr>
        <w:tabs>
          <w:tab w:val="num" w:pos="2880"/>
        </w:tabs>
        <w:ind w:left="2880" w:hanging="360"/>
      </w:pPr>
      <w:rPr>
        <w:rFonts w:ascii="Symbol" w:hAnsi="Symbol"/>
      </w:rPr>
    </w:lvl>
    <w:lvl w:ilvl="4" w:tplc="1DCEB08C">
      <w:start w:val="1"/>
      <w:numFmt w:val="bullet"/>
      <w:lvlText w:val="o"/>
      <w:lvlJc w:val="left"/>
      <w:pPr>
        <w:tabs>
          <w:tab w:val="num" w:pos="3600"/>
        </w:tabs>
        <w:ind w:left="3600" w:hanging="360"/>
      </w:pPr>
      <w:rPr>
        <w:rFonts w:ascii="Courier New" w:hAnsi="Courier New"/>
      </w:rPr>
    </w:lvl>
    <w:lvl w:ilvl="5" w:tplc="7272D8B8">
      <w:start w:val="1"/>
      <w:numFmt w:val="bullet"/>
      <w:lvlText w:val=""/>
      <w:lvlJc w:val="left"/>
      <w:pPr>
        <w:tabs>
          <w:tab w:val="num" w:pos="4320"/>
        </w:tabs>
        <w:ind w:left="4320" w:hanging="360"/>
      </w:pPr>
      <w:rPr>
        <w:rFonts w:ascii="Wingdings" w:hAnsi="Wingdings"/>
      </w:rPr>
    </w:lvl>
    <w:lvl w:ilvl="6" w:tplc="A5CE402A">
      <w:start w:val="1"/>
      <w:numFmt w:val="bullet"/>
      <w:lvlText w:val=""/>
      <w:lvlJc w:val="left"/>
      <w:pPr>
        <w:tabs>
          <w:tab w:val="num" w:pos="5040"/>
        </w:tabs>
        <w:ind w:left="5040" w:hanging="360"/>
      </w:pPr>
      <w:rPr>
        <w:rFonts w:ascii="Symbol" w:hAnsi="Symbol"/>
      </w:rPr>
    </w:lvl>
    <w:lvl w:ilvl="7" w:tplc="1418322A">
      <w:start w:val="1"/>
      <w:numFmt w:val="bullet"/>
      <w:lvlText w:val="o"/>
      <w:lvlJc w:val="left"/>
      <w:pPr>
        <w:tabs>
          <w:tab w:val="num" w:pos="5760"/>
        </w:tabs>
        <w:ind w:left="5760" w:hanging="360"/>
      </w:pPr>
      <w:rPr>
        <w:rFonts w:ascii="Courier New" w:hAnsi="Courier New"/>
      </w:rPr>
    </w:lvl>
    <w:lvl w:ilvl="8" w:tplc="E44CFE9A">
      <w:start w:val="1"/>
      <w:numFmt w:val="bullet"/>
      <w:lvlText w:val=""/>
      <w:lvlJc w:val="left"/>
      <w:pPr>
        <w:tabs>
          <w:tab w:val="num" w:pos="6480"/>
        </w:tabs>
        <w:ind w:left="6480" w:hanging="360"/>
      </w:pPr>
      <w:rPr>
        <w:rFonts w:ascii="Wingdings" w:hAnsi="Wingdings"/>
      </w:rPr>
    </w:lvl>
  </w:abstractNum>
  <w:abstractNum w:abstractNumId="869" w15:restartNumberingAfterBreak="0">
    <w:nsid w:val="72230827"/>
    <w:multiLevelType w:val="hybridMultilevel"/>
    <w:tmpl w:val="72230827"/>
    <w:lvl w:ilvl="0" w:tplc="53986922">
      <w:start w:val="1"/>
      <w:numFmt w:val="bullet"/>
      <w:lvlText w:val=""/>
      <w:lvlJc w:val="left"/>
      <w:pPr>
        <w:ind w:left="720" w:hanging="360"/>
      </w:pPr>
      <w:rPr>
        <w:rFonts w:ascii="Symbol" w:hAnsi="Symbol"/>
      </w:rPr>
    </w:lvl>
    <w:lvl w:ilvl="1" w:tplc="D480B464">
      <w:start w:val="1"/>
      <w:numFmt w:val="bullet"/>
      <w:lvlText w:val="o"/>
      <w:lvlJc w:val="left"/>
      <w:pPr>
        <w:tabs>
          <w:tab w:val="num" w:pos="1440"/>
        </w:tabs>
        <w:ind w:left="1440" w:hanging="360"/>
      </w:pPr>
      <w:rPr>
        <w:rFonts w:ascii="Courier New" w:hAnsi="Courier New"/>
      </w:rPr>
    </w:lvl>
    <w:lvl w:ilvl="2" w:tplc="D72E8E16">
      <w:start w:val="1"/>
      <w:numFmt w:val="bullet"/>
      <w:lvlText w:val=""/>
      <w:lvlJc w:val="left"/>
      <w:pPr>
        <w:tabs>
          <w:tab w:val="num" w:pos="2160"/>
        </w:tabs>
        <w:ind w:left="2160" w:hanging="360"/>
      </w:pPr>
      <w:rPr>
        <w:rFonts w:ascii="Wingdings" w:hAnsi="Wingdings"/>
      </w:rPr>
    </w:lvl>
    <w:lvl w:ilvl="3" w:tplc="446C76F0">
      <w:start w:val="1"/>
      <w:numFmt w:val="bullet"/>
      <w:lvlText w:val=""/>
      <w:lvlJc w:val="left"/>
      <w:pPr>
        <w:tabs>
          <w:tab w:val="num" w:pos="2880"/>
        </w:tabs>
        <w:ind w:left="2880" w:hanging="360"/>
      </w:pPr>
      <w:rPr>
        <w:rFonts w:ascii="Symbol" w:hAnsi="Symbol"/>
      </w:rPr>
    </w:lvl>
    <w:lvl w:ilvl="4" w:tplc="41BE67F8">
      <w:start w:val="1"/>
      <w:numFmt w:val="bullet"/>
      <w:lvlText w:val="o"/>
      <w:lvlJc w:val="left"/>
      <w:pPr>
        <w:tabs>
          <w:tab w:val="num" w:pos="3600"/>
        </w:tabs>
        <w:ind w:left="3600" w:hanging="360"/>
      </w:pPr>
      <w:rPr>
        <w:rFonts w:ascii="Courier New" w:hAnsi="Courier New"/>
      </w:rPr>
    </w:lvl>
    <w:lvl w:ilvl="5" w:tplc="1BAE29F4">
      <w:start w:val="1"/>
      <w:numFmt w:val="bullet"/>
      <w:lvlText w:val=""/>
      <w:lvlJc w:val="left"/>
      <w:pPr>
        <w:tabs>
          <w:tab w:val="num" w:pos="4320"/>
        </w:tabs>
        <w:ind w:left="4320" w:hanging="360"/>
      </w:pPr>
      <w:rPr>
        <w:rFonts w:ascii="Wingdings" w:hAnsi="Wingdings"/>
      </w:rPr>
    </w:lvl>
    <w:lvl w:ilvl="6" w:tplc="F9640300">
      <w:start w:val="1"/>
      <w:numFmt w:val="bullet"/>
      <w:lvlText w:val=""/>
      <w:lvlJc w:val="left"/>
      <w:pPr>
        <w:tabs>
          <w:tab w:val="num" w:pos="5040"/>
        </w:tabs>
        <w:ind w:left="5040" w:hanging="360"/>
      </w:pPr>
      <w:rPr>
        <w:rFonts w:ascii="Symbol" w:hAnsi="Symbol"/>
      </w:rPr>
    </w:lvl>
    <w:lvl w:ilvl="7" w:tplc="7DDA70A8">
      <w:start w:val="1"/>
      <w:numFmt w:val="bullet"/>
      <w:lvlText w:val="o"/>
      <w:lvlJc w:val="left"/>
      <w:pPr>
        <w:tabs>
          <w:tab w:val="num" w:pos="5760"/>
        </w:tabs>
        <w:ind w:left="5760" w:hanging="360"/>
      </w:pPr>
      <w:rPr>
        <w:rFonts w:ascii="Courier New" w:hAnsi="Courier New"/>
      </w:rPr>
    </w:lvl>
    <w:lvl w:ilvl="8" w:tplc="62D89652">
      <w:start w:val="1"/>
      <w:numFmt w:val="bullet"/>
      <w:lvlText w:val=""/>
      <w:lvlJc w:val="left"/>
      <w:pPr>
        <w:tabs>
          <w:tab w:val="num" w:pos="6480"/>
        </w:tabs>
        <w:ind w:left="6480" w:hanging="360"/>
      </w:pPr>
      <w:rPr>
        <w:rFonts w:ascii="Wingdings" w:hAnsi="Wingdings"/>
      </w:rPr>
    </w:lvl>
  </w:abstractNum>
  <w:abstractNum w:abstractNumId="870" w15:restartNumberingAfterBreak="0">
    <w:nsid w:val="72230828"/>
    <w:multiLevelType w:val="hybridMultilevel"/>
    <w:tmpl w:val="72230828"/>
    <w:lvl w:ilvl="0" w:tplc="EB9E9CDE">
      <w:start w:val="1"/>
      <w:numFmt w:val="bullet"/>
      <w:lvlText w:val="o"/>
      <w:lvlJc w:val="left"/>
      <w:pPr>
        <w:ind w:left="720" w:hanging="360"/>
      </w:pPr>
      <w:rPr>
        <w:rFonts w:ascii="Courier New" w:hAnsi="Courier New"/>
      </w:rPr>
    </w:lvl>
    <w:lvl w:ilvl="1" w:tplc="7EE0CA4C">
      <w:start w:val="1"/>
      <w:numFmt w:val="bullet"/>
      <w:lvlText w:val="o"/>
      <w:lvlJc w:val="left"/>
      <w:pPr>
        <w:tabs>
          <w:tab w:val="num" w:pos="1440"/>
        </w:tabs>
        <w:ind w:left="1440" w:hanging="360"/>
      </w:pPr>
      <w:rPr>
        <w:rFonts w:ascii="Courier New" w:hAnsi="Courier New"/>
      </w:rPr>
    </w:lvl>
    <w:lvl w:ilvl="2" w:tplc="5CF206C6">
      <w:start w:val="1"/>
      <w:numFmt w:val="bullet"/>
      <w:lvlText w:val=""/>
      <w:lvlJc w:val="left"/>
      <w:pPr>
        <w:tabs>
          <w:tab w:val="num" w:pos="2160"/>
        </w:tabs>
        <w:ind w:left="2160" w:hanging="360"/>
      </w:pPr>
      <w:rPr>
        <w:rFonts w:ascii="Wingdings" w:hAnsi="Wingdings"/>
      </w:rPr>
    </w:lvl>
    <w:lvl w:ilvl="3" w:tplc="1AA23412">
      <w:start w:val="1"/>
      <w:numFmt w:val="bullet"/>
      <w:lvlText w:val=""/>
      <w:lvlJc w:val="left"/>
      <w:pPr>
        <w:tabs>
          <w:tab w:val="num" w:pos="2880"/>
        </w:tabs>
        <w:ind w:left="2880" w:hanging="360"/>
      </w:pPr>
      <w:rPr>
        <w:rFonts w:ascii="Symbol" w:hAnsi="Symbol"/>
      </w:rPr>
    </w:lvl>
    <w:lvl w:ilvl="4" w:tplc="FD261EDA">
      <w:start w:val="1"/>
      <w:numFmt w:val="bullet"/>
      <w:lvlText w:val="o"/>
      <w:lvlJc w:val="left"/>
      <w:pPr>
        <w:tabs>
          <w:tab w:val="num" w:pos="3600"/>
        </w:tabs>
        <w:ind w:left="3600" w:hanging="360"/>
      </w:pPr>
      <w:rPr>
        <w:rFonts w:ascii="Courier New" w:hAnsi="Courier New"/>
      </w:rPr>
    </w:lvl>
    <w:lvl w:ilvl="5" w:tplc="F9804174">
      <w:start w:val="1"/>
      <w:numFmt w:val="bullet"/>
      <w:lvlText w:val=""/>
      <w:lvlJc w:val="left"/>
      <w:pPr>
        <w:tabs>
          <w:tab w:val="num" w:pos="4320"/>
        </w:tabs>
        <w:ind w:left="4320" w:hanging="360"/>
      </w:pPr>
      <w:rPr>
        <w:rFonts w:ascii="Wingdings" w:hAnsi="Wingdings"/>
      </w:rPr>
    </w:lvl>
    <w:lvl w:ilvl="6" w:tplc="845064D6">
      <w:start w:val="1"/>
      <w:numFmt w:val="bullet"/>
      <w:lvlText w:val=""/>
      <w:lvlJc w:val="left"/>
      <w:pPr>
        <w:tabs>
          <w:tab w:val="num" w:pos="5040"/>
        </w:tabs>
        <w:ind w:left="5040" w:hanging="360"/>
      </w:pPr>
      <w:rPr>
        <w:rFonts w:ascii="Symbol" w:hAnsi="Symbol"/>
      </w:rPr>
    </w:lvl>
    <w:lvl w:ilvl="7" w:tplc="E2F2EACC">
      <w:start w:val="1"/>
      <w:numFmt w:val="bullet"/>
      <w:lvlText w:val="o"/>
      <w:lvlJc w:val="left"/>
      <w:pPr>
        <w:tabs>
          <w:tab w:val="num" w:pos="5760"/>
        </w:tabs>
        <w:ind w:left="5760" w:hanging="360"/>
      </w:pPr>
      <w:rPr>
        <w:rFonts w:ascii="Courier New" w:hAnsi="Courier New"/>
      </w:rPr>
    </w:lvl>
    <w:lvl w:ilvl="8" w:tplc="470CE648">
      <w:start w:val="1"/>
      <w:numFmt w:val="bullet"/>
      <w:lvlText w:val=""/>
      <w:lvlJc w:val="left"/>
      <w:pPr>
        <w:tabs>
          <w:tab w:val="num" w:pos="6480"/>
        </w:tabs>
        <w:ind w:left="6480" w:hanging="360"/>
      </w:pPr>
      <w:rPr>
        <w:rFonts w:ascii="Wingdings" w:hAnsi="Wingdings"/>
      </w:rPr>
    </w:lvl>
  </w:abstractNum>
  <w:abstractNum w:abstractNumId="871" w15:restartNumberingAfterBreak="0">
    <w:nsid w:val="72230829"/>
    <w:multiLevelType w:val="hybridMultilevel"/>
    <w:tmpl w:val="72230829"/>
    <w:lvl w:ilvl="0" w:tplc="781C4C0A">
      <w:start w:val="1"/>
      <w:numFmt w:val="bullet"/>
      <w:lvlText w:val=""/>
      <w:lvlJc w:val="left"/>
      <w:pPr>
        <w:ind w:left="720" w:hanging="360"/>
      </w:pPr>
      <w:rPr>
        <w:rFonts w:ascii="Symbol" w:hAnsi="Symbol"/>
      </w:rPr>
    </w:lvl>
    <w:lvl w:ilvl="1" w:tplc="9C004AC8">
      <w:start w:val="1"/>
      <w:numFmt w:val="bullet"/>
      <w:lvlText w:val="o"/>
      <w:lvlJc w:val="left"/>
      <w:pPr>
        <w:tabs>
          <w:tab w:val="num" w:pos="1440"/>
        </w:tabs>
        <w:ind w:left="1440" w:hanging="360"/>
      </w:pPr>
      <w:rPr>
        <w:rFonts w:ascii="Courier New" w:hAnsi="Courier New"/>
      </w:rPr>
    </w:lvl>
    <w:lvl w:ilvl="2" w:tplc="6C8CAB3A">
      <w:start w:val="1"/>
      <w:numFmt w:val="bullet"/>
      <w:lvlText w:val=""/>
      <w:lvlJc w:val="left"/>
      <w:pPr>
        <w:tabs>
          <w:tab w:val="num" w:pos="2160"/>
        </w:tabs>
        <w:ind w:left="2160" w:hanging="360"/>
      </w:pPr>
      <w:rPr>
        <w:rFonts w:ascii="Wingdings" w:hAnsi="Wingdings"/>
      </w:rPr>
    </w:lvl>
    <w:lvl w:ilvl="3" w:tplc="78B885A4">
      <w:start w:val="1"/>
      <w:numFmt w:val="bullet"/>
      <w:lvlText w:val=""/>
      <w:lvlJc w:val="left"/>
      <w:pPr>
        <w:tabs>
          <w:tab w:val="num" w:pos="2880"/>
        </w:tabs>
        <w:ind w:left="2880" w:hanging="360"/>
      </w:pPr>
      <w:rPr>
        <w:rFonts w:ascii="Symbol" w:hAnsi="Symbol"/>
      </w:rPr>
    </w:lvl>
    <w:lvl w:ilvl="4" w:tplc="66EE502E">
      <w:start w:val="1"/>
      <w:numFmt w:val="bullet"/>
      <w:lvlText w:val="o"/>
      <w:lvlJc w:val="left"/>
      <w:pPr>
        <w:tabs>
          <w:tab w:val="num" w:pos="3600"/>
        </w:tabs>
        <w:ind w:left="3600" w:hanging="360"/>
      </w:pPr>
      <w:rPr>
        <w:rFonts w:ascii="Courier New" w:hAnsi="Courier New"/>
      </w:rPr>
    </w:lvl>
    <w:lvl w:ilvl="5" w:tplc="87100E90">
      <w:start w:val="1"/>
      <w:numFmt w:val="bullet"/>
      <w:lvlText w:val=""/>
      <w:lvlJc w:val="left"/>
      <w:pPr>
        <w:tabs>
          <w:tab w:val="num" w:pos="4320"/>
        </w:tabs>
        <w:ind w:left="4320" w:hanging="360"/>
      </w:pPr>
      <w:rPr>
        <w:rFonts w:ascii="Wingdings" w:hAnsi="Wingdings"/>
      </w:rPr>
    </w:lvl>
    <w:lvl w:ilvl="6" w:tplc="2B7A6BA0">
      <w:start w:val="1"/>
      <w:numFmt w:val="bullet"/>
      <w:lvlText w:val=""/>
      <w:lvlJc w:val="left"/>
      <w:pPr>
        <w:tabs>
          <w:tab w:val="num" w:pos="5040"/>
        </w:tabs>
        <w:ind w:left="5040" w:hanging="360"/>
      </w:pPr>
      <w:rPr>
        <w:rFonts w:ascii="Symbol" w:hAnsi="Symbol"/>
      </w:rPr>
    </w:lvl>
    <w:lvl w:ilvl="7" w:tplc="34DC6C66">
      <w:start w:val="1"/>
      <w:numFmt w:val="bullet"/>
      <w:lvlText w:val="o"/>
      <w:lvlJc w:val="left"/>
      <w:pPr>
        <w:tabs>
          <w:tab w:val="num" w:pos="5760"/>
        </w:tabs>
        <w:ind w:left="5760" w:hanging="360"/>
      </w:pPr>
      <w:rPr>
        <w:rFonts w:ascii="Courier New" w:hAnsi="Courier New"/>
      </w:rPr>
    </w:lvl>
    <w:lvl w:ilvl="8" w:tplc="180267BA">
      <w:start w:val="1"/>
      <w:numFmt w:val="bullet"/>
      <w:lvlText w:val=""/>
      <w:lvlJc w:val="left"/>
      <w:pPr>
        <w:tabs>
          <w:tab w:val="num" w:pos="6480"/>
        </w:tabs>
        <w:ind w:left="6480" w:hanging="360"/>
      </w:pPr>
      <w:rPr>
        <w:rFonts w:ascii="Wingdings" w:hAnsi="Wingdings"/>
      </w:rPr>
    </w:lvl>
  </w:abstractNum>
  <w:abstractNum w:abstractNumId="872" w15:restartNumberingAfterBreak="0">
    <w:nsid w:val="7223082A"/>
    <w:multiLevelType w:val="hybridMultilevel"/>
    <w:tmpl w:val="7223082A"/>
    <w:lvl w:ilvl="0" w:tplc="161A6558">
      <w:start w:val="1"/>
      <w:numFmt w:val="bullet"/>
      <w:lvlText w:val="o"/>
      <w:lvlJc w:val="left"/>
      <w:pPr>
        <w:ind w:left="720" w:hanging="360"/>
      </w:pPr>
      <w:rPr>
        <w:rFonts w:ascii="Courier New" w:hAnsi="Courier New"/>
      </w:rPr>
    </w:lvl>
    <w:lvl w:ilvl="1" w:tplc="55287458">
      <w:start w:val="1"/>
      <w:numFmt w:val="bullet"/>
      <w:lvlText w:val="o"/>
      <w:lvlJc w:val="left"/>
      <w:pPr>
        <w:tabs>
          <w:tab w:val="num" w:pos="1440"/>
        </w:tabs>
        <w:ind w:left="1440" w:hanging="360"/>
      </w:pPr>
      <w:rPr>
        <w:rFonts w:ascii="Courier New" w:hAnsi="Courier New"/>
      </w:rPr>
    </w:lvl>
    <w:lvl w:ilvl="2" w:tplc="C36812A4">
      <w:start w:val="1"/>
      <w:numFmt w:val="bullet"/>
      <w:lvlText w:val=""/>
      <w:lvlJc w:val="left"/>
      <w:pPr>
        <w:tabs>
          <w:tab w:val="num" w:pos="2160"/>
        </w:tabs>
        <w:ind w:left="2160" w:hanging="360"/>
      </w:pPr>
      <w:rPr>
        <w:rFonts w:ascii="Wingdings" w:hAnsi="Wingdings"/>
      </w:rPr>
    </w:lvl>
    <w:lvl w:ilvl="3" w:tplc="7B808510">
      <w:start w:val="1"/>
      <w:numFmt w:val="bullet"/>
      <w:lvlText w:val=""/>
      <w:lvlJc w:val="left"/>
      <w:pPr>
        <w:tabs>
          <w:tab w:val="num" w:pos="2880"/>
        </w:tabs>
        <w:ind w:left="2880" w:hanging="360"/>
      </w:pPr>
      <w:rPr>
        <w:rFonts w:ascii="Symbol" w:hAnsi="Symbol"/>
      </w:rPr>
    </w:lvl>
    <w:lvl w:ilvl="4" w:tplc="32E83A1E">
      <w:start w:val="1"/>
      <w:numFmt w:val="bullet"/>
      <w:lvlText w:val="o"/>
      <w:lvlJc w:val="left"/>
      <w:pPr>
        <w:tabs>
          <w:tab w:val="num" w:pos="3600"/>
        </w:tabs>
        <w:ind w:left="3600" w:hanging="360"/>
      </w:pPr>
      <w:rPr>
        <w:rFonts w:ascii="Courier New" w:hAnsi="Courier New"/>
      </w:rPr>
    </w:lvl>
    <w:lvl w:ilvl="5" w:tplc="0E7C2704">
      <w:start w:val="1"/>
      <w:numFmt w:val="bullet"/>
      <w:lvlText w:val=""/>
      <w:lvlJc w:val="left"/>
      <w:pPr>
        <w:tabs>
          <w:tab w:val="num" w:pos="4320"/>
        </w:tabs>
        <w:ind w:left="4320" w:hanging="360"/>
      </w:pPr>
      <w:rPr>
        <w:rFonts w:ascii="Wingdings" w:hAnsi="Wingdings"/>
      </w:rPr>
    </w:lvl>
    <w:lvl w:ilvl="6" w:tplc="4234385C">
      <w:start w:val="1"/>
      <w:numFmt w:val="bullet"/>
      <w:lvlText w:val=""/>
      <w:lvlJc w:val="left"/>
      <w:pPr>
        <w:tabs>
          <w:tab w:val="num" w:pos="5040"/>
        </w:tabs>
        <w:ind w:left="5040" w:hanging="360"/>
      </w:pPr>
      <w:rPr>
        <w:rFonts w:ascii="Symbol" w:hAnsi="Symbol"/>
      </w:rPr>
    </w:lvl>
    <w:lvl w:ilvl="7" w:tplc="87CC1CC2">
      <w:start w:val="1"/>
      <w:numFmt w:val="bullet"/>
      <w:lvlText w:val="o"/>
      <w:lvlJc w:val="left"/>
      <w:pPr>
        <w:tabs>
          <w:tab w:val="num" w:pos="5760"/>
        </w:tabs>
        <w:ind w:left="5760" w:hanging="360"/>
      </w:pPr>
      <w:rPr>
        <w:rFonts w:ascii="Courier New" w:hAnsi="Courier New"/>
      </w:rPr>
    </w:lvl>
    <w:lvl w:ilvl="8" w:tplc="8A4E79E8">
      <w:start w:val="1"/>
      <w:numFmt w:val="bullet"/>
      <w:lvlText w:val=""/>
      <w:lvlJc w:val="left"/>
      <w:pPr>
        <w:tabs>
          <w:tab w:val="num" w:pos="6480"/>
        </w:tabs>
        <w:ind w:left="6480" w:hanging="360"/>
      </w:pPr>
      <w:rPr>
        <w:rFonts w:ascii="Wingdings" w:hAnsi="Wingdings"/>
      </w:rPr>
    </w:lvl>
  </w:abstractNum>
  <w:abstractNum w:abstractNumId="873" w15:restartNumberingAfterBreak="0">
    <w:nsid w:val="7223082B"/>
    <w:multiLevelType w:val="hybridMultilevel"/>
    <w:tmpl w:val="7223082B"/>
    <w:lvl w:ilvl="0" w:tplc="B3427A2A">
      <w:start w:val="1"/>
      <w:numFmt w:val="bullet"/>
      <w:lvlText w:val="o"/>
      <w:lvlJc w:val="left"/>
      <w:pPr>
        <w:ind w:left="720" w:hanging="360"/>
      </w:pPr>
      <w:rPr>
        <w:rFonts w:ascii="Courier New" w:hAnsi="Courier New"/>
      </w:rPr>
    </w:lvl>
    <w:lvl w:ilvl="1" w:tplc="04DA5CF6">
      <w:start w:val="1"/>
      <w:numFmt w:val="bullet"/>
      <w:lvlText w:val="o"/>
      <w:lvlJc w:val="left"/>
      <w:pPr>
        <w:tabs>
          <w:tab w:val="num" w:pos="1440"/>
        </w:tabs>
        <w:ind w:left="1440" w:hanging="360"/>
      </w:pPr>
      <w:rPr>
        <w:rFonts w:ascii="Courier New" w:hAnsi="Courier New"/>
      </w:rPr>
    </w:lvl>
    <w:lvl w:ilvl="2" w:tplc="A698B732">
      <w:start w:val="1"/>
      <w:numFmt w:val="bullet"/>
      <w:lvlText w:val=""/>
      <w:lvlJc w:val="left"/>
      <w:pPr>
        <w:tabs>
          <w:tab w:val="num" w:pos="2160"/>
        </w:tabs>
        <w:ind w:left="2160" w:hanging="360"/>
      </w:pPr>
      <w:rPr>
        <w:rFonts w:ascii="Wingdings" w:hAnsi="Wingdings"/>
      </w:rPr>
    </w:lvl>
    <w:lvl w:ilvl="3" w:tplc="A1AEFF84">
      <w:start w:val="1"/>
      <w:numFmt w:val="bullet"/>
      <w:lvlText w:val=""/>
      <w:lvlJc w:val="left"/>
      <w:pPr>
        <w:tabs>
          <w:tab w:val="num" w:pos="2880"/>
        </w:tabs>
        <w:ind w:left="2880" w:hanging="360"/>
      </w:pPr>
      <w:rPr>
        <w:rFonts w:ascii="Symbol" w:hAnsi="Symbol"/>
      </w:rPr>
    </w:lvl>
    <w:lvl w:ilvl="4" w:tplc="EDBCD3A0">
      <w:start w:val="1"/>
      <w:numFmt w:val="bullet"/>
      <w:lvlText w:val="o"/>
      <w:lvlJc w:val="left"/>
      <w:pPr>
        <w:tabs>
          <w:tab w:val="num" w:pos="3600"/>
        </w:tabs>
        <w:ind w:left="3600" w:hanging="360"/>
      </w:pPr>
      <w:rPr>
        <w:rFonts w:ascii="Courier New" w:hAnsi="Courier New"/>
      </w:rPr>
    </w:lvl>
    <w:lvl w:ilvl="5" w:tplc="52B679A0">
      <w:start w:val="1"/>
      <w:numFmt w:val="bullet"/>
      <w:lvlText w:val=""/>
      <w:lvlJc w:val="left"/>
      <w:pPr>
        <w:tabs>
          <w:tab w:val="num" w:pos="4320"/>
        </w:tabs>
        <w:ind w:left="4320" w:hanging="360"/>
      </w:pPr>
      <w:rPr>
        <w:rFonts w:ascii="Wingdings" w:hAnsi="Wingdings"/>
      </w:rPr>
    </w:lvl>
    <w:lvl w:ilvl="6" w:tplc="8EAA8484">
      <w:start w:val="1"/>
      <w:numFmt w:val="bullet"/>
      <w:lvlText w:val=""/>
      <w:lvlJc w:val="left"/>
      <w:pPr>
        <w:tabs>
          <w:tab w:val="num" w:pos="5040"/>
        </w:tabs>
        <w:ind w:left="5040" w:hanging="360"/>
      </w:pPr>
      <w:rPr>
        <w:rFonts w:ascii="Symbol" w:hAnsi="Symbol"/>
      </w:rPr>
    </w:lvl>
    <w:lvl w:ilvl="7" w:tplc="38AC9AEA">
      <w:start w:val="1"/>
      <w:numFmt w:val="bullet"/>
      <w:lvlText w:val="o"/>
      <w:lvlJc w:val="left"/>
      <w:pPr>
        <w:tabs>
          <w:tab w:val="num" w:pos="5760"/>
        </w:tabs>
        <w:ind w:left="5760" w:hanging="360"/>
      </w:pPr>
      <w:rPr>
        <w:rFonts w:ascii="Courier New" w:hAnsi="Courier New"/>
      </w:rPr>
    </w:lvl>
    <w:lvl w:ilvl="8" w:tplc="99B2D062">
      <w:start w:val="1"/>
      <w:numFmt w:val="bullet"/>
      <w:lvlText w:val=""/>
      <w:lvlJc w:val="left"/>
      <w:pPr>
        <w:tabs>
          <w:tab w:val="num" w:pos="6480"/>
        </w:tabs>
        <w:ind w:left="6480" w:hanging="360"/>
      </w:pPr>
      <w:rPr>
        <w:rFonts w:ascii="Wingdings" w:hAnsi="Wingdings"/>
      </w:rPr>
    </w:lvl>
  </w:abstractNum>
  <w:abstractNum w:abstractNumId="874" w15:restartNumberingAfterBreak="0">
    <w:nsid w:val="7223082C"/>
    <w:multiLevelType w:val="hybridMultilevel"/>
    <w:tmpl w:val="7223082C"/>
    <w:lvl w:ilvl="0" w:tplc="557286CC">
      <w:start w:val="1"/>
      <w:numFmt w:val="bullet"/>
      <w:lvlText w:val=""/>
      <w:lvlJc w:val="left"/>
      <w:pPr>
        <w:ind w:left="720" w:hanging="360"/>
      </w:pPr>
      <w:rPr>
        <w:rFonts w:ascii="Symbol" w:hAnsi="Symbol"/>
      </w:rPr>
    </w:lvl>
    <w:lvl w:ilvl="1" w:tplc="A4EA2E5E">
      <w:start w:val="1"/>
      <w:numFmt w:val="bullet"/>
      <w:lvlText w:val="o"/>
      <w:lvlJc w:val="left"/>
      <w:pPr>
        <w:tabs>
          <w:tab w:val="num" w:pos="1440"/>
        </w:tabs>
        <w:ind w:left="1440" w:hanging="360"/>
      </w:pPr>
      <w:rPr>
        <w:rFonts w:ascii="Courier New" w:hAnsi="Courier New"/>
      </w:rPr>
    </w:lvl>
    <w:lvl w:ilvl="2" w:tplc="4E30FE8C">
      <w:start w:val="1"/>
      <w:numFmt w:val="bullet"/>
      <w:lvlText w:val=""/>
      <w:lvlJc w:val="left"/>
      <w:pPr>
        <w:tabs>
          <w:tab w:val="num" w:pos="2160"/>
        </w:tabs>
        <w:ind w:left="2160" w:hanging="360"/>
      </w:pPr>
      <w:rPr>
        <w:rFonts w:ascii="Wingdings" w:hAnsi="Wingdings"/>
      </w:rPr>
    </w:lvl>
    <w:lvl w:ilvl="3" w:tplc="E82EE3FC">
      <w:start w:val="1"/>
      <w:numFmt w:val="bullet"/>
      <w:lvlText w:val=""/>
      <w:lvlJc w:val="left"/>
      <w:pPr>
        <w:tabs>
          <w:tab w:val="num" w:pos="2880"/>
        </w:tabs>
        <w:ind w:left="2880" w:hanging="360"/>
      </w:pPr>
      <w:rPr>
        <w:rFonts w:ascii="Symbol" w:hAnsi="Symbol"/>
      </w:rPr>
    </w:lvl>
    <w:lvl w:ilvl="4" w:tplc="D6EC9B2A">
      <w:start w:val="1"/>
      <w:numFmt w:val="bullet"/>
      <w:lvlText w:val="o"/>
      <w:lvlJc w:val="left"/>
      <w:pPr>
        <w:tabs>
          <w:tab w:val="num" w:pos="3600"/>
        </w:tabs>
        <w:ind w:left="3600" w:hanging="360"/>
      </w:pPr>
      <w:rPr>
        <w:rFonts w:ascii="Courier New" w:hAnsi="Courier New"/>
      </w:rPr>
    </w:lvl>
    <w:lvl w:ilvl="5" w:tplc="06BEFF76">
      <w:start w:val="1"/>
      <w:numFmt w:val="bullet"/>
      <w:lvlText w:val=""/>
      <w:lvlJc w:val="left"/>
      <w:pPr>
        <w:tabs>
          <w:tab w:val="num" w:pos="4320"/>
        </w:tabs>
        <w:ind w:left="4320" w:hanging="360"/>
      </w:pPr>
      <w:rPr>
        <w:rFonts w:ascii="Wingdings" w:hAnsi="Wingdings"/>
      </w:rPr>
    </w:lvl>
    <w:lvl w:ilvl="6" w:tplc="1C903B20">
      <w:start w:val="1"/>
      <w:numFmt w:val="bullet"/>
      <w:lvlText w:val=""/>
      <w:lvlJc w:val="left"/>
      <w:pPr>
        <w:tabs>
          <w:tab w:val="num" w:pos="5040"/>
        </w:tabs>
        <w:ind w:left="5040" w:hanging="360"/>
      </w:pPr>
      <w:rPr>
        <w:rFonts w:ascii="Symbol" w:hAnsi="Symbol"/>
      </w:rPr>
    </w:lvl>
    <w:lvl w:ilvl="7" w:tplc="C7E8BA34">
      <w:start w:val="1"/>
      <w:numFmt w:val="bullet"/>
      <w:lvlText w:val="o"/>
      <w:lvlJc w:val="left"/>
      <w:pPr>
        <w:tabs>
          <w:tab w:val="num" w:pos="5760"/>
        </w:tabs>
        <w:ind w:left="5760" w:hanging="360"/>
      </w:pPr>
      <w:rPr>
        <w:rFonts w:ascii="Courier New" w:hAnsi="Courier New"/>
      </w:rPr>
    </w:lvl>
    <w:lvl w:ilvl="8" w:tplc="F134FC1C">
      <w:start w:val="1"/>
      <w:numFmt w:val="bullet"/>
      <w:lvlText w:val=""/>
      <w:lvlJc w:val="left"/>
      <w:pPr>
        <w:tabs>
          <w:tab w:val="num" w:pos="6480"/>
        </w:tabs>
        <w:ind w:left="6480" w:hanging="360"/>
      </w:pPr>
      <w:rPr>
        <w:rFonts w:ascii="Wingdings" w:hAnsi="Wingdings"/>
      </w:rPr>
    </w:lvl>
  </w:abstractNum>
  <w:abstractNum w:abstractNumId="875" w15:restartNumberingAfterBreak="0">
    <w:nsid w:val="7223082D"/>
    <w:multiLevelType w:val="hybridMultilevel"/>
    <w:tmpl w:val="7223082D"/>
    <w:lvl w:ilvl="0" w:tplc="5A0624EE">
      <w:start w:val="1"/>
      <w:numFmt w:val="bullet"/>
      <w:lvlText w:val=""/>
      <w:lvlJc w:val="left"/>
      <w:pPr>
        <w:ind w:left="720" w:hanging="360"/>
      </w:pPr>
      <w:rPr>
        <w:rFonts w:ascii="Symbol" w:hAnsi="Symbol"/>
      </w:rPr>
    </w:lvl>
    <w:lvl w:ilvl="1" w:tplc="00BC8E80">
      <w:start w:val="1"/>
      <w:numFmt w:val="bullet"/>
      <w:lvlText w:val="o"/>
      <w:lvlJc w:val="left"/>
      <w:pPr>
        <w:tabs>
          <w:tab w:val="num" w:pos="1440"/>
        </w:tabs>
        <w:ind w:left="1440" w:hanging="360"/>
      </w:pPr>
      <w:rPr>
        <w:rFonts w:ascii="Courier New" w:hAnsi="Courier New"/>
      </w:rPr>
    </w:lvl>
    <w:lvl w:ilvl="2" w:tplc="659EDE4A">
      <w:start w:val="1"/>
      <w:numFmt w:val="bullet"/>
      <w:lvlText w:val=""/>
      <w:lvlJc w:val="left"/>
      <w:pPr>
        <w:tabs>
          <w:tab w:val="num" w:pos="2160"/>
        </w:tabs>
        <w:ind w:left="2160" w:hanging="360"/>
      </w:pPr>
      <w:rPr>
        <w:rFonts w:ascii="Wingdings" w:hAnsi="Wingdings"/>
      </w:rPr>
    </w:lvl>
    <w:lvl w:ilvl="3" w:tplc="3BE2B8AE">
      <w:start w:val="1"/>
      <w:numFmt w:val="bullet"/>
      <w:lvlText w:val=""/>
      <w:lvlJc w:val="left"/>
      <w:pPr>
        <w:tabs>
          <w:tab w:val="num" w:pos="2880"/>
        </w:tabs>
        <w:ind w:left="2880" w:hanging="360"/>
      </w:pPr>
      <w:rPr>
        <w:rFonts w:ascii="Symbol" w:hAnsi="Symbol"/>
      </w:rPr>
    </w:lvl>
    <w:lvl w:ilvl="4" w:tplc="961C36A2">
      <w:start w:val="1"/>
      <w:numFmt w:val="bullet"/>
      <w:lvlText w:val="o"/>
      <w:lvlJc w:val="left"/>
      <w:pPr>
        <w:tabs>
          <w:tab w:val="num" w:pos="3600"/>
        </w:tabs>
        <w:ind w:left="3600" w:hanging="360"/>
      </w:pPr>
      <w:rPr>
        <w:rFonts w:ascii="Courier New" w:hAnsi="Courier New"/>
      </w:rPr>
    </w:lvl>
    <w:lvl w:ilvl="5" w:tplc="31FAB3FE">
      <w:start w:val="1"/>
      <w:numFmt w:val="bullet"/>
      <w:lvlText w:val=""/>
      <w:lvlJc w:val="left"/>
      <w:pPr>
        <w:tabs>
          <w:tab w:val="num" w:pos="4320"/>
        </w:tabs>
        <w:ind w:left="4320" w:hanging="360"/>
      </w:pPr>
      <w:rPr>
        <w:rFonts w:ascii="Wingdings" w:hAnsi="Wingdings"/>
      </w:rPr>
    </w:lvl>
    <w:lvl w:ilvl="6" w:tplc="CDBC46F6">
      <w:start w:val="1"/>
      <w:numFmt w:val="bullet"/>
      <w:lvlText w:val=""/>
      <w:lvlJc w:val="left"/>
      <w:pPr>
        <w:tabs>
          <w:tab w:val="num" w:pos="5040"/>
        </w:tabs>
        <w:ind w:left="5040" w:hanging="360"/>
      </w:pPr>
      <w:rPr>
        <w:rFonts w:ascii="Symbol" w:hAnsi="Symbol"/>
      </w:rPr>
    </w:lvl>
    <w:lvl w:ilvl="7" w:tplc="B852D494">
      <w:start w:val="1"/>
      <w:numFmt w:val="bullet"/>
      <w:lvlText w:val="o"/>
      <w:lvlJc w:val="left"/>
      <w:pPr>
        <w:tabs>
          <w:tab w:val="num" w:pos="5760"/>
        </w:tabs>
        <w:ind w:left="5760" w:hanging="360"/>
      </w:pPr>
      <w:rPr>
        <w:rFonts w:ascii="Courier New" w:hAnsi="Courier New"/>
      </w:rPr>
    </w:lvl>
    <w:lvl w:ilvl="8" w:tplc="B2423B4C">
      <w:start w:val="1"/>
      <w:numFmt w:val="bullet"/>
      <w:lvlText w:val=""/>
      <w:lvlJc w:val="left"/>
      <w:pPr>
        <w:tabs>
          <w:tab w:val="num" w:pos="6480"/>
        </w:tabs>
        <w:ind w:left="6480" w:hanging="360"/>
      </w:pPr>
      <w:rPr>
        <w:rFonts w:ascii="Wingdings" w:hAnsi="Wingdings"/>
      </w:rPr>
    </w:lvl>
  </w:abstractNum>
  <w:abstractNum w:abstractNumId="876" w15:restartNumberingAfterBreak="0">
    <w:nsid w:val="7223082E"/>
    <w:multiLevelType w:val="hybridMultilevel"/>
    <w:tmpl w:val="7223082E"/>
    <w:lvl w:ilvl="0" w:tplc="8544299C">
      <w:start w:val="1"/>
      <w:numFmt w:val="bullet"/>
      <w:lvlText w:val="o"/>
      <w:lvlJc w:val="left"/>
      <w:pPr>
        <w:ind w:left="720" w:hanging="360"/>
      </w:pPr>
      <w:rPr>
        <w:rFonts w:ascii="Courier New" w:hAnsi="Courier New"/>
      </w:rPr>
    </w:lvl>
    <w:lvl w:ilvl="1" w:tplc="8D50C3F6">
      <w:start w:val="1"/>
      <w:numFmt w:val="bullet"/>
      <w:lvlText w:val="o"/>
      <w:lvlJc w:val="left"/>
      <w:pPr>
        <w:tabs>
          <w:tab w:val="num" w:pos="1440"/>
        </w:tabs>
        <w:ind w:left="1440" w:hanging="360"/>
      </w:pPr>
      <w:rPr>
        <w:rFonts w:ascii="Courier New" w:hAnsi="Courier New"/>
      </w:rPr>
    </w:lvl>
    <w:lvl w:ilvl="2" w:tplc="2FC4D3EC">
      <w:start w:val="1"/>
      <w:numFmt w:val="bullet"/>
      <w:lvlText w:val=""/>
      <w:lvlJc w:val="left"/>
      <w:pPr>
        <w:tabs>
          <w:tab w:val="num" w:pos="2160"/>
        </w:tabs>
        <w:ind w:left="2160" w:hanging="360"/>
      </w:pPr>
      <w:rPr>
        <w:rFonts w:ascii="Wingdings" w:hAnsi="Wingdings"/>
      </w:rPr>
    </w:lvl>
    <w:lvl w:ilvl="3" w:tplc="820A2B84">
      <w:start w:val="1"/>
      <w:numFmt w:val="bullet"/>
      <w:lvlText w:val=""/>
      <w:lvlJc w:val="left"/>
      <w:pPr>
        <w:tabs>
          <w:tab w:val="num" w:pos="2880"/>
        </w:tabs>
        <w:ind w:left="2880" w:hanging="360"/>
      </w:pPr>
      <w:rPr>
        <w:rFonts w:ascii="Symbol" w:hAnsi="Symbol"/>
      </w:rPr>
    </w:lvl>
    <w:lvl w:ilvl="4" w:tplc="AA3AE2BA">
      <w:start w:val="1"/>
      <w:numFmt w:val="bullet"/>
      <w:lvlText w:val="o"/>
      <w:lvlJc w:val="left"/>
      <w:pPr>
        <w:tabs>
          <w:tab w:val="num" w:pos="3600"/>
        </w:tabs>
        <w:ind w:left="3600" w:hanging="360"/>
      </w:pPr>
      <w:rPr>
        <w:rFonts w:ascii="Courier New" w:hAnsi="Courier New"/>
      </w:rPr>
    </w:lvl>
    <w:lvl w:ilvl="5" w:tplc="AF6651FC">
      <w:start w:val="1"/>
      <w:numFmt w:val="bullet"/>
      <w:lvlText w:val=""/>
      <w:lvlJc w:val="left"/>
      <w:pPr>
        <w:tabs>
          <w:tab w:val="num" w:pos="4320"/>
        </w:tabs>
        <w:ind w:left="4320" w:hanging="360"/>
      </w:pPr>
      <w:rPr>
        <w:rFonts w:ascii="Wingdings" w:hAnsi="Wingdings"/>
      </w:rPr>
    </w:lvl>
    <w:lvl w:ilvl="6" w:tplc="B3C075AA">
      <w:start w:val="1"/>
      <w:numFmt w:val="bullet"/>
      <w:lvlText w:val=""/>
      <w:lvlJc w:val="left"/>
      <w:pPr>
        <w:tabs>
          <w:tab w:val="num" w:pos="5040"/>
        </w:tabs>
        <w:ind w:left="5040" w:hanging="360"/>
      </w:pPr>
      <w:rPr>
        <w:rFonts w:ascii="Symbol" w:hAnsi="Symbol"/>
      </w:rPr>
    </w:lvl>
    <w:lvl w:ilvl="7" w:tplc="6ECAAA72">
      <w:start w:val="1"/>
      <w:numFmt w:val="bullet"/>
      <w:lvlText w:val="o"/>
      <w:lvlJc w:val="left"/>
      <w:pPr>
        <w:tabs>
          <w:tab w:val="num" w:pos="5760"/>
        </w:tabs>
        <w:ind w:left="5760" w:hanging="360"/>
      </w:pPr>
      <w:rPr>
        <w:rFonts w:ascii="Courier New" w:hAnsi="Courier New"/>
      </w:rPr>
    </w:lvl>
    <w:lvl w:ilvl="8" w:tplc="46686800">
      <w:start w:val="1"/>
      <w:numFmt w:val="bullet"/>
      <w:lvlText w:val=""/>
      <w:lvlJc w:val="left"/>
      <w:pPr>
        <w:tabs>
          <w:tab w:val="num" w:pos="6480"/>
        </w:tabs>
        <w:ind w:left="6480" w:hanging="360"/>
      </w:pPr>
      <w:rPr>
        <w:rFonts w:ascii="Wingdings" w:hAnsi="Wingdings"/>
      </w:rPr>
    </w:lvl>
  </w:abstractNum>
  <w:abstractNum w:abstractNumId="877" w15:restartNumberingAfterBreak="0">
    <w:nsid w:val="7223082F"/>
    <w:multiLevelType w:val="hybridMultilevel"/>
    <w:tmpl w:val="7223082F"/>
    <w:lvl w:ilvl="0" w:tplc="6388F190">
      <w:start w:val="1"/>
      <w:numFmt w:val="bullet"/>
      <w:lvlText w:val=""/>
      <w:lvlJc w:val="left"/>
      <w:pPr>
        <w:ind w:left="720" w:hanging="360"/>
      </w:pPr>
      <w:rPr>
        <w:rFonts w:ascii="Symbol" w:hAnsi="Symbol"/>
      </w:rPr>
    </w:lvl>
    <w:lvl w:ilvl="1" w:tplc="C9BA98FE">
      <w:start w:val="1"/>
      <w:numFmt w:val="bullet"/>
      <w:lvlText w:val="o"/>
      <w:lvlJc w:val="left"/>
      <w:pPr>
        <w:tabs>
          <w:tab w:val="num" w:pos="1440"/>
        </w:tabs>
        <w:ind w:left="1440" w:hanging="360"/>
      </w:pPr>
      <w:rPr>
        <w:rFonts w:ascii="Courier New" w:hAnsi="Courier New"/>
      </w:rPr>
    </w:lvl>
    <w:lvl w:ilvl="2" w:tplc="D550E3DA">
      <w:start w:val="1"/>
      <w:numFmt w:val="bullet"/>
      <w:lvlText w:val=""/>
      <w:lvlJc w:val="left"/>
      <w:pPr>
        <w:tabs>
          <w:tab w:val="num" w:pos="2160"/>
        </w:tabs>
        <w:ind w:left="2160" w:hanging="360"/>
      </w:pPr>
      <w:rPr>
        <w:rFonts w:ascii="Wingdings" w:hAnsi="Wingdings"/>
      </w:rPr>
    </w:lvl>
    <w:lvl w:ilvl="3" w:tplc="D0AE4C94">
      <w:start w:val="1"/>
      <w:numFmt w:val="bullet"/>
      <w:lvlText w:val=""/>
      <w:lvlJc w:val="left"/>
      <w:pPr>
        <w:tabs>
          <w:tab w:val="num" w:pos="2880"/>
        </w:tabs>
        <w:ind w:left="2880" w:hanging="360"/>
      </w:pPr>
      <w:rPr>
        <w:rFonts w:ascii="Symbol" w:hAnsi="Symbol"/>
      </w:rPr>
    </w:lvl>
    <w:lvl w:ilvl="4" w:tplc="28C21268">
      <w:start w:val="1"/>
      <w:numFmt w:val="bullet"/>
      <w:lvlText w:val="o"/>
      <w:lvlJc w:val="left"/>
      <w:pPr>
        <w:tabs>
          <w:tab w:val="num" w:pos="3600"/>
        </w:tabs>
        <w:ind w:left="3600" w:hanging="360"/>
      </w:pPr>
      <w:rPr>
        <w:rFonts w:ascii="Courier New" w:hAnsi="Courier New"/>
      </w:rPr>
    </w:lvl>
    <w:lvl w:ilvl="5" w:tplc="7460051E">
      <w:start w:val="1"/>
      <w:numFmt w:val="bullet"/>
      <w:lvlText w:val=""/>
      <w:lvlJc w:val="left"/>
      <w:pPr>
        <w:tabs>
          <w:tab w:val="num" w:pos="4320"/>
        </w:tabs>
        <w:ind w:left="4320" w:hanging="360"/>
      </w:pPr>
      <w:rPr>
        <w:rFonts w:ascii="Wingdings" w:hAnsi="Wingdings"/>
      </w:rPr>
    </w:lvl>
    <w:lvl w:ilvl="6" w:tplc="9D6A8124">
      <w:start w:val="1"/>
      <w:numFmt w:val="bullet"/>
      <w:lvlText w:val=""/>
      <w:lvlJc w:val="left"/>
      <w:pPr>
        <w:tabs>
          <w:tab w:val="num" w:pos="5040"/>
        </w:tabs>
        <w:ind w:left="5040" w:hanging="360"/>
      </w:pPr>
      <w:rPr>
        <w:rFonts w:ascii="Symbol" w:hAnsi="Symbol"/>
      </w:rPr>
    </w:lvl>
    <w:lvl w:ilvl="7" w:tplc="DA6E6BFC">
      <w:start w:val="1"/>
      <w:numFmt w:val="bullet"/>
      <w:lvlText w:val="o"/>
      <w:lvlJc w:val="left"/>
      <w:pPr>
        <w:tabs>
          <w:tab w:val="num" w:pos="5760"/>
        </w:tabs>
        <w:ind w:left="5760" w:hanging="360"/>
      </w:pPr>
      <w:rPr>
        <w:rFonts w:ascii="Courier New" w:hAnsi="Courier New"/>
      </w:rPr>
    </w:lvl>
    <w:lvl w:ilvl="8" w:tplc="FA401B52">
      <w:start w:val="1"/>
      <w:numFmt w:val="bullet"/>
      <w:lvlText w:val=""/>
      <w:lvlJc w:val="left"/>
      <w:pPr>
        <w:tabs>
          <w:tab w:val="num" w:pos="6480"/>
        </w:tabs>
        <w:ind w:left="6480" w:hanging="360"/>
      </w:pPr>
      <w:rPr>
        <w:rFonts w:ascii="Wingdings" w:hAnsi="Wingdings"/>
      </w:rPr>
    </w:lvl>
  </w:abstractNum>
  <w:abstractNum w:abstractNumId="878" w15:restartNumberingAfterBreak="0">
    <w:nsid w:val="72230830"/>
    <w:multiLevelType w:val="hybridMultilevel"/>
    <w:tmpl w:val="72230830"/>
    <w:lvl w:ilvl="0" w:tplc="41DCFA50">
      <w:start w:val="1"/>
      <w:numFmt w:val="bullet"/>
      <w:lvlText w:val=""/>
      <w:lvlJc w:val="left"/>
      <w:pPr>
        <w:ind w:left="720" w:hanging="360"/>
      </w:pPr>
      <w:rPr>
        <w:rFonts w:ascii="Symbol" w:hAnsi="Symbol"/>
      </w:rPr>
    </w:lvl>
    <w:lvl w:ilvl="1" w:tplc="91144378">
      <w:start w:val="1"/>
      <w:numFmt w:val="bullet"/>
      <w:lvlText w:val="o"/>
      <w:lvlJc w:val="left"/>
      <w:pPr>
        <w:tabs>
          <w:tab w:val="num" w:pos="1440"/>
        </w:tabs>
        <w:ind w:left="1440" w:hanging="360"/>
      </w:pPr>
      <w:rPr>
        <w:rFonts w:ascii="Courier New" w:hAnsi="Courier New"/>
      </w:rPr>
    </w:lvl>
    <w:lvl w:ilvl="2" w:tplc="AB78BEC2">
      <w:start w:val="1"/>
      <w:numFmt w:val="bullet"/>
      <w:lvlText w:val=""/>
      <w:lvlJc w:val="left"/>
      <w:pPr>
        <w:tabs>
          <w:tab w:val="num" w:pos="2160"/>
        </w:tabs>
        <w:ind w:left="2160" w:hanging="360"/>
      </w:pPr>
      <w:rPr>
        <w:rFonts w:ascii="Wingdings" w:hAnsi="Wingdings"/>
      </w:rPr>
    </w:lvl>
    <w:lvl w:ilvl="3" w:tplc="B6A8DD26">
      <w:start w:val="1"/>
      <w:numFmt w:val="bullet"/>
      <w:lvlText w:val=""/>
      <w:lvlJc w:val="left"/>
      <w:pPr>
        <w:tabs>
          <w:tab w:val="num" w:pos="2880"/>
        </w:tabs>
        <w:ind w:left="2880" w:hanging="360"/>
      </w:pPr>
      <w:rPr>
        <w:rFonts w:ascii="Symbol" w:hAnsi="Symbol"/>
      </w:rPr>
    </w:lvl>
    <w:lvl w:ilvl="4" w:tplc="8D989696">
      <w:start w:val="1"/>
      <w:numFmt w:val="bullet"/>
      <w:lvlText w:val="o"/>
      <w:lvlJc w:val="left"/>
      <w:pPr>
        <w:tabs>
          <w:tab w:val="num" w:pos="3600"/>
        </w:tabs>
        <w:ind w:left="3600" w:hanging="360"/>
      </w:pPr>
      <w:rPr>
        <w:rFonts w:ascii="Courier New" w:hAnsi="Courier New"/>
      </w:rPr>
    </w:lvl>
    <w:lvl w:ilvl="5" w:tplc="97426B86">
      <w:start w:val="1"/>
      <w:numFmt w:val="bullet"/>
      <w:lvlText w:val=""/>
      <w:lvlJc w:val="left"/>
      <w:pPr>
        <w:tabs>
          <w:tab w:val="num" w:pos="4320"/>
        </w:tabs>
        <w:ind w:left="4320" w:hanging="360"/>
      </w:pPr>
      <w:rPr>
        <w:rFonts w:ascii="Wingdings" w:hAnsi="Wingdings"/>
      </w:rPr>
    </w:lvl>
    <w:lvl w:ilvl="6" w:tplc="9642ED0A">
      <w:start w:val="1"/>
      <w:numFmt w:val="bullet"/>
      <w:lvlText w:val=""/>
      <w:lvlJc w:val="left"/>
      <w:pPr>
        <w:tabs>
          <w:tab w:val="num" w:pos="5040"/>
        </w:tabs>
        <w:ind w:left="5040" w:hanging="360"/>
      </w:pPr>
      <w:rPr>
        <w:rFonts w:ascii="Symbol" w:hAnsi="Symbol"/>
      </w:rPr>
    </w:lvl>
    <w:lvl w:ilvl="7" w:tplc="4BE640E6">
      <w:start w:val="1"/>
      <w:numFmt w:val="bullet"/>
      <w:lvlText w:val="o"/>
      <w:lvlJc w:val="left"/>
      <w:pPr>
        <w:tabs>
          <w:tab w:val="num" w:pos="5760"/>
        </w:tabs>
        <w:ind w:left="5760" w:hanging="360"/>
      </w:pPr>
      <w:rPr>
        <w:rFonts w:ascii="Courier New" w:hAnsi="Courier New"/>
      </w:rPr>
    </w:lvl>
    <w:lvl w:ilvl="8" w:tplc="213C8110">
      <w:start w:val="1"/>
      <w:numFmt w:val="bullet"/>
      <w:lvlText w:val=""/>
      <w:lvlJc w:val="left"/>
      <w:pPr>
        <w:tabs>
          <w:tab w:val="num" w:pos="6480"/>
        </w:tabs>
        <w:ind w:left="6480" w:hanging="360"/>
      </w:pPr>
      <w:rPr>
        <w:rFonts w:ascii="Wingdings" w:hAnsi="Wingdings"/>
      </w:rPr>
    </w:lvl>
  </w:abstractNum>
  <w:abstractNum w:abstractNumId="879" w15:restartNumberingAfterBreak="0">
    <w:nsid w:val="72230831"/>
    <w:multiLevelType w:val="hybridMultilevel"/>
    <w:tmpl w:val="72230831"/>
    <w:lvl w:ilvl="0" w:tplc="69FC6C36">
      <w:start w:val="1"/>
      <w:numFmt w:val="bullet"/>
      <w:lvlText w:val=""/>
      <w:lvlJc w:val="left"/>
      <w:pPr>
        <w:ind w:left="720" w:hanging="360"/>
      </w:pPr>
      <w:rPr>
        <w:rFonts w:ascii="Symbol" w:hAnsi="Symbol"/>
      </w:rPr>
    </w:lvl>
    <w:lvl w:ilvl="1" w:tplc="B9CC6E58">
      <w:start w:val="1"/>
      <w:numFmt w:val="bullet"/>
      <w:lvlText w:val="o"/>
      <w:lvlJc w:val="left"/>
      <w:pPr>
        <w:tabs>
          <w:tab w:val="num" w:pos="1440"/>
        </w:tabs>
        <w:ind w:left="1440" w:hanging="360"/>
      </w:pPr>
      <w:rPr>
        <w:rFonts w:ascii="Courier New" w:hAnsi="Courier New"/>
      </w:rPr>
    </w:lvl>
    <w:lvl w:ilvl="2" w:tplc="AC0E1BC4">
      <w:start w:val="1"/>
      <w:numFmt w:val="bullet"/>
      <w:lvlText w:val=""/>
      <w:lvlJc w:val="left"/>
      <w:pPr>
        <w:tabs>
          <w:tab w:val="num" w:pos="2160"/>
        </w:tabs>
        <w:ind w:left="2160" w:hanging="360"/>
      </w:pPr>
      <w:rPr>
        <w:rFonts w:ascii="Wingdings" w:hAnsi="Wingdings"/>
      </w:rPr>
    </w:lvl>
    <w:lvl w:ilvl="3" w:tplc="8F46E828">
      <w:start w:val="1"/>
      <w:numFmt w:val="bullet"/>
      <w:lvlText w:val=""/>
      <w:lvlJc w:val="left"/>
      <w:pPr>
        <w:tabs>
          <w:tab w:val="num" w:pos="2880"/>
        </w:tabs>
        <w:ind w:left="2880" w:hanging="360"/>
      </w:pPr>
      <w:rPr>
        <w:rFonts w:ascii="Symbol" w:hAnsi="Symbol"/>
      </w:rPr>
    </w:lvl>
    <w:lvl w:ilvl="4" w:tplc="E8F829DA">
      <w:start w:val="1"/>
      <w:numFmt w:val="bullet"/>
      <w:lvlText w:val="o"/>
      <w:lvlJc w:val="left"/>
      <w:pPr>
        <w:tabs>
          <w:tab w:val="num" w:pos="3600"/>
        </w:tabs>
        <w:ind w:left="3600" w:hanging="360"/>
      </w:pPr>
      <w:rPr>
        <w:rFonts w:ascii="Courier New" w:hAnsi="Courier New"/>
      </w:rPr>
    </w:lvl>
    <w:lvl w:ilvl="5" w:tplc="DECCB69A">
      <w:start w:val="1"/>
      <w:numFmt w:val="bullet"/>
      <w:lvlText w:val=""/>
      <w:lvlJc w:val="left"/>
      <w:pPr>
        <w:tabs>
          <w:tab w:val="num" w:pos="4320"/>
        </w:tabs>
        <w:ind w:left="4320" w:hanging="360"/>
      </w:pPr>
      <w:rPr>
        <w:rFonts w:ascii="Wingdings" w:hAnsi="Wingdings"/>
      </w:rPr>
    </w:lvl>
    <w:lvl w:ilvl="6" w:tplc="C8F020F2">
      <w:start w:val="1"/>
      <w:numFmt w:val="bullet"/>
      <w:lvlText w:val=""/>
      <w:lvlJc w:val="left"/>
      <w:pPr>
        <w:tabs>
          <w:tab w:val="num" w:pos="5040"/>
        </w:tabs>
        <w:ind w:left="5040" w:hanging="360"/>
      </w:pPr>
      <w:rPr>
        <w:rFonts w:ascii="Symbol" w:hAnsi="Symbol"/>
      </w:rPr>
    </w:lvl>
    <w:lvl w:ilvl="7" w:tplc="4958421A">
      <w:start w:val="1"/>
      <w:numFmt w:val="bullet"/>
      <w:lvlText w:val="o"/>
      <w:lvlJc w:val="left"/>
      <w:pPr>
        <w:tabs>
          <w:tab w:val="num" w:pos="5760"/>
        </w:tabs>
        <w:ind w:left="5760" w:hanging="360"/>
      </w:pPr>
      <w:rPr>
        <w:rFonts w:ascii="Courier New" w:hAnsi="Courier New"/>
      </w:rPr>
    </w:lvl>
    <w:lvl w:ilvl="8" w:tplc="54DE233C">
      <w:start w:val="1"/>
      <w:numFmt w:val="bullet"/>
      <w:lvlText w:val=""/>
      <w:lvlJc w:val="left"/>
      <w:pPr>
        <w:tabs>
          <w:tab w:val="num" w:pos="6480"/>
        </w:tabs>
        <w:ind w:left="6480" w:hanging="360"/>
      </w:pPr>
      <w:rPr>
        <w:rFonts w:ascii="Wingdings" w:hAnsi="Wingdings"/>
      </w:rPr>
    </w:lvl>
  </w:abstractNum>
  <w:abstractNum w:abstractNumId="880" w15:restartNumberingAfterBreak="0">
    <w:nsid w:val="72230832"/>
    <w:multiLevelType w:val="hybridMultilevel"/>
    <w:tmpl w:val="72230832"/>
    <w:lvl w:ilvl="0" w:tplc="F7922618">
      <w:start w:val="1"/>
      <w:numFmt w:val="bullet"/>
      <w:lvlText w:val=""/>
      <w:lvlJc w:val="left"/>
      <w:pPr>
        <w:ind w:left="720" w:hanging="360"/>
      </w:pPr>
      <w:rPr>
        <w:rFonts w:ascii="Symbol" w:hAnsi="Symbol"/>
      </w:rPr>
    </w:lvl>
    <w:lvl w:ilvl="1" w:tplc="D562D066">
      <w:start w:val="1"/>
      <w:numFmt w:val="bullet"/>
      <w:lvlText w:val="o"/>
      <w:lvlJc w:val="left"/>
      <w:pPr>
        <w:tabs>
          <w:tab w:val="num" w:pos="1440"/>
        </w:tabs>
        <w:ind w:left="1440" w:hanging="360"/>
      </w:pPr>
      <w:rPr>
        <w:rFonts w:ascii="Courier New" w:hAnsi="Courier New"/>
      </w:rPr>
    </w:lvl>
    <w:lvl w:ilvl="2" w:tplc="99F257C2">
      <w:start w:val="1"/>
      <w:numFmt w:val="bullet"/>
      <w:lvlText w:val=""/>
      <w:lvlJc w:val="left"/>
      <w:pPr>
        <w:tabs>
          <w:tab w:val="num" w:pos="2160"/>
        </w:tabs>
        <w:ind w:left="2160" w:hanging="360"/>
      </w:pPr>
      <w:rPr>
        <w:rFonts w:ascii="Wingdings" w:hAnsi="Wingdings"/>
      </w:rPr>
    </w:lvl>
    <w:lvl w:ilvl="3" w:tplc="2A209C98">
      <w:start w:val="1"/>
      <w:numFmt w:val="bullet"/>
      <w:lvlText w:val=""/>
      <w:lvlJc w:val="left"/>
      <w:pPr>
        <w:tabs>
          <w:tab w:val="num" w:pos="2880"/>
        </w:tabs>
        <w:ind w:left="2880" w:hanging="360"/>
      </w:pPr>
      <w:rPr>
        <w:rFonts w:ascii="Symbol" w:hAnsi="Symbol"/>
      </w:rPr>
    </w:lvl>
    <w:lvl w:ilvl="4" w:tplc="EC842F64">
      <w:start w:val="1"/>
      <w:numFmt w:val="bullet"/>
      <w:lvlText w:val="o"/>
      <w:lvlJc w:val="left"/>
      <w:pPr>
        <w:tabs>
          <w:tab w:val="num" w:pos="3600"/>
        </w:tabs>
        <w:ind w:left="3600" w:hanging="360"/>
      </w:pPr>
      <w:rPr>
        <w:rFonts w:ascii="Courier New" w:hAnsi="Courier New"/>
      </w:rPr>
    </w:lvl>
    <w:lvl w:ilvl="5" w:tplc="6700C824">
      <w:start w:val="1"/>
      <w:numFmt w:val="bullet"/>
      <w:lvlText w:val=""/>
      <w:lvlJc w:val="left"/>
      <w:pPr>
        <w:tabs>
          <w:tab w:val="num" w:pos="4320"/>
        </w:tabs>
        <w:ind w:left="4320" w:hanging="360"/>
      </w:pPr>
      <w:rPr>
        <w:rFonts w:ascii="Wingdings" w:hAnsi="Wingdings"/>
      </w:rPr>
    </w:lvl>
    <w:lvl w:ilvl="6" w:tplc="C06EC81A">
      <w:start w:val="1"/>
      <w:numFmt w:val="bullet"/>
      <w:lvlText w:val=""/>
      <w:lvlJc w:val="left"/>
      <w:pPr>
        <w:tabs>
          <w:tab w:val="num" w:pos="5040"/>
        </w:tabs>
        <w:ind w:left="5040" w:hanging="360"/>
      </w:pPr>
      <w:rPr>
        <w:rFonts w:ascii="Symbol" w:hAnsi="Symbol"/>
      </w:rPr>
    </w:lvl>
    <w:lvl w:ilvl="7" w:tplc="4B5C8EC8">
      <w:start w:val="1"/>
      <w:numFmt w:val="bullet"/>
      <w:lvlText w:val="o"/>
      <w:lvlJc w:val="left"/>
      <w:pPr>
        <w:tabs>
          <w:tab w:val="num" w:pos="5760"/>
        </w:tabs>
        <w:ind w:left="5760" w:hanging="360"/>
      </w:pPr>
      <w:rPr>
        <w:rFonts w:ascii="Courier New" w:hAnsi="Courier New"/>
      </w:rPr>
    </w:lvl>
    <w:lvl w:ilvl="8" w:tplc="198420F6">
      <w:start w:val="1"/>
      <w:numFmt w:val="bullet"/>
      <w:lvlText w:val=""/>
      <w:lvlJc w:val="left"/>
      <w:pPr>
        <w:tabs>
          <w:tab w:val="num" w:pos="6480"/>
        </w:tabs>
        <w:ind w:left="6480" w:hanging="360"/>
      </w:pPr>
      <w:rPr>
        <w:rFonts w:ascii="Wingdings" w:hAnsi="Wingdings"/>
      </w:rPr>
    </w:lvl>
  </w:abstractNum>
  <w:abstractNum w:abstractNumId="881" w15:restartNumberingAfterBreak="0">
    <w:nsid w:val="72230833"/>
    <w:multiLevelType w:val="hybridMultilevel"/>
    <w:tmpl w:val="72230833"/>
    <w:lvl w:ilvl="0" w:tplc="B31CAE10">
      <w:start w:val="1"/>
      <w:numFmt w:val="bullet"/>
      <w:lvlText w:val=""/>
      <w:lvlJc w:val="left"/>
      <w:pPr>
        <w:ind w:left="720" w:hanging="360"/>
      </w:pPr>
      <w:rPr>
        <w:rFonts w:ascii="Symbol" w:hAnsi="Symbol"/>
      </w:rPr>
    </w:lvl>
    <w:lvl w:ilvl="1" w:tplc="37E01862">
      <w:start w:val="1"/>
      <w:numFmt w:val="bullet"/>
      <w:lvlText w:val="o"/>
      <w:lvlJc w:val="left"/>
      <w:pPr>
        <w:tabs>
          <w:tab w:val="num" w:pos="1440"/>
        </w:tabs>
        <w:ind w:left="1440" w:hanging="360"/>
      </w:pPr>
      <w:rPr>
        <w:rFonts w:ascii="Courier New" w:hAnsi="Courier New"/>
      </w:rPr>
    </w:lvl>
    <w:lvl w:ilvl="2" w:tplc="C168405A">
      <w:start w:val="1"/>
      <w:numFmt w:val="bullet"/>
      <w:lvlText w:val=""/>
      <w:lvlJc w:val="left"/>
      <w:pPr>
        <w:tabs>
          <w:tab w:val="num" w:pos="2160"/>
        </w:tabs>
        <w:ind w:left="2160" w:hanging="360"/>
      </w:pPr>
      <w:rPr>
        <w:rFonts w:ascii="Wingdings" w:hAnsi="Wingdings"/>
      </w:rPr>
    </w:lvl>
    <w:lvl w:ilvl="3" w:tplc="0D62E372">
      <w:start w:val="1"/>
      <w:numFmt w:val="bullet"/>
      <w:lvlText w:val=""/>
      <w:lvlJc w:val="left"/>
      <w:pPr>
        <w:tabs>
          <w:tab w:val="num" w:pos="2880"/>
        </w:tabs>
        <w:ind w:left="2880" w:hanging="360"/>
      </w:pPr>
      <w:rPr>
        <w:rFonts w:ascii="Symbol" w:hAnsi="Symbol"/>
      </w:rPr>
    </w:lvl>
    <w:lvl w:ilvl="4" w:tplc="491AC156">
      <w:start w:val="1"/>
      <w:numFmt w:val="bullet"/>
      <w:lvlText w:val="o"/>
      <w:lvlJc w:val="left"/>
      <w:pPr>
        <w:tabs>
          <w:tab w:val="num" w:pos="3600"/>
        </w:tabs>
        <w:ind w:left="3600" w:hanging="360"/>
      </w:pPr>
      <w:rPr>
        <w:rFonts w:ascii="Courier New" w:hAnsi="Courier New"/>
      </w:rPr>
    </w:lvl>
    <w:lvl w:ilvl="5" w:tplc="8EE20008">
      <w:start w:val="1"/>
      <w:numFmt w:val="bullet"/>
      <w:lvlText w:val=""/>
      <w:lvlJc w:val="left"/>
      <w:pPr>
        <w:tabs>
          <w:tab w:val="num" w:pos="4320"/>
        </w:tabs>
        <w:ind w:left="4320" w:hanging="360"/>
      </w:pPr>
      <w:rPr>
        <w:rFonts w:ascii="Wingdings" w:hAnsi="Wingdings"/>
      </w:rPr>
    </w:lvl>
    <w:lvl w:ilvl="6" w:tplc="70D889C4">
      <w:start w:val="1"/>
      <w:numFmt w:val="bullet"/>
      <w:lvlText w:val=""/>
      <w:lvlJc w:val="left"/>
      <w:pPr>
        <w:tabs>
          <w:tab w:val="num" w:pos="5040"/>
        </w:tabs>
        <w:ind w:left="5040" w:hanging="360"/>
      </w:pPr>
      <w:rPr>
        <w:rFonts w:ascii="Symbol" w:hAnsi="Symbol"/>
      </w:rPr>
    </w:lvl>
    <w:lvl w:ilvl="7" w:tplc="94726CFE">
      <w:start w:val="1"/>
      <w:numFmt w:val="bullet"/>
      <w:lvlText w:val="o"/>
      <w:lvlJc w:val="left"/>
      <w:pPr>
        <w:tabs>
          <w:tab w:val="num" w:pos="5760"/>
        </w:tabs>
        <w:ind w:left="5760" w:hanging="360"/>
      </w:pPr>
      <w:rPr>
        <w:rFonts w:ascii="Courier New" w:hAnsi="Courier New"/>
      </w:rPr>
    </w:lvl>
    <w:lvl w:ilvl="8" w:tplc="DAD0F0D2">
      <w:start w:val="1"/>
      <w:numFmt w:val="bullet"/>
      <w:lvlText w:val=""/>
      <w:lvlJc w:val="left"/>
      <w:pPr>
        <w:tabs>
          <w:tab w:val="num" w:pos="6480"/>
        </w:tabs>
        <w:ind w:left="6480" w:hanging="360"/>
      </w:pPr>
      <w:rPr>
        <w:rFonts w:ascii="Wingdings" w:hAnsi="Wingdings"/>
      </w:rPr>
    </w:lvl>
  </w:abstractNum>
  <w:abstractNum w:abstractNumId="882" w15:restartNumberingAfterBreak="0">
    <w:nsid w:val="72230834"/>
    <w:multiLevelType w:val="hybridMultilevel"/>
    <w:tmpl w:val="72230834"/>
    <w:lvl w:ilvl="0" w:tplc="C9F8E15A">
      <w:start w:val="1"/>
      <w:numFmt w:val="bullet"/>
      <w:lvlText w:val=""/>
      <w:lvlJc w:val="left"/>
      <w:pPr>
        <w:ind w:left="720" w:hanging="360"/>
      </w:pPr>
      <w:rPr>
        <w:rFonts w:ascii="Symbol" w:hAnsi="Symbol"/>
      </w:rPr>
    </w:lvl>
    <w:lvl w:ilvl="1" w:tplc="BAF87118">
      <w:start w:val="1"/>
      <w:numFmt w:val="bullet"/>
      <w:lvlText w:val="o"/>
      <w:lvlJc w:val="left"/>
      <w:pPr>
        <w:tabs>
          <w:tab w:val="num" w:pos="1440"/>
        </w:tabs>
        <w:ind w:left="1440" w:hanging="360"/>
      </w:pPr>
      <w:rPr>
        <w:rFonts w:ascii="Courier New" w:hAnsi="Courier New"/>
      </w:rPr>
    </w:lvl>
    <w:lvl w:ilvl="2" w:tplc="30B021CA">
      <w:start w:val="1"/>
      <w:numFmt w:val="bullet"/>
      <w:lvlText w:val=""/>
      <w:lvlJc w:val="left"/>
      <w:pPr>
        <w:tabs>
          <w:tab w:val="num" w:pos="2160"/>
        </w:tabs>
        <w:ind w:left="2160" w:hanging="360"/>
      </w:pPr>
      <w:rPr>
        <w:rFonts w:ascii="Wingdings" w:hAnsi="Wingdings"/>
      </w:rPr>
    </w:lvl>
    <w:lvl w:ilvl="3" w:tplc="CEE4B816">
      <w:start w:val="1"/>
      <w:numFmt w:val="bullet"/>
      <w:lvlText w:val=""/>
      <w:lvlJc w:val="left"/>
      <w:pPr>
        <w:tabs>
          <w:tab w:val="num" w:pos="2880"/>
        </w:tabs>
        <w:ind w:left="2880" w:hanging="360"/>
      </w:pPr>
      <w:rPr>
        <w:rFonts w:ascii="Symbol" w:hAnsi="Symbol"/>
      </w:rPr>
    </w:lvl>
    <w:lvl w:ilvl="4" w:tplc="D2DA8A8E">
      <w:start w:val="1"/>
      <w:numFmt w:val="bullet"/>
      <w:lvlText w:val="o"/>
      <w:lvlJc w:val="left"/>
      <w:pPr>
        <w:tabs>
          <w:tab w:val="num" w:pos="3600"/>
        </w:tabs>
        <w:ind w:left="3600" w:hanging="360"/>
      </w:pPr>
      <w:rPr>
        <w:rFonts w:ascii="Courier New" w:hAnsi="Courier New"/>
      </w:rPr>
    </w:lvl>
    <w:lvl w:ilvl="5" w:tplc="E39A22CC">
      <w:start w:val="1"/>
      <w:numFmt w:val="bullet"/>
      <w:lvlText w:val=""/>
      <w:lvlJc w:val="left"/>
      <w:pPr>
        <w:tabs>
          <w:tab w:val="num" w:pos="4320"/>
        </w:tabs>
        <w:ind w:left="4320" w:hanging="360"/>
      </w:pPr>
      <w:rPr>
        <w:rFonts w:ascii="Wingdings" w:hAnsi="Wingdings"/>
      </w:rPr>
    </w:lvl>
    <w:lvl w:ilvl="6" w:tplc="3272A31E">
      <w:start w:val="1"/>
      <w:numFmt w:val="bullet"/>
      <w:lvlText w:val=""/>
      <w:lvlJc w:val="left"/>
      <w:pPr>
        <w:tabs>
          <w:tab w:val="num" w:pos="5040"/>
        </w:tabs>
        <w:ind w:left="5040" w:hanging="360"/>
      </w:pPr>
      <w:rPr>
        <w:rFonts w:ascii="Symbol" w:hAnsi="Symbol"/>
      </w:rPr>
    </w:lvl>
    <w:lvl w:ilvl="7" w:tplc="5CAC9432">
      <w:start w:val="1"/>
      <w:numFmt w:val="bullet"/>
      <w:lvlText w:val="o"/>
      <w:lvlJc w:val="left"/>
      <w:pPr>
        <w:tabs>
          <w:tab w:val="num" w:pos="5760"/>
        </w:tabs>
        <w:ind w:left="5760" w:hanging="360"/>
      </w:pPr>
      <w:rPr>
        <w:rFonts w:ascii="Courier New" w:hAnsi="Courier New"/>
      </w:rPr>
    </w:lvl>
    <w:lvl w:ilvl="8" w:tplc="F1445476">
      <w:start w:val="1"/>
      <w:numFmt w:val="bullet"/>
      <w:lvlText w:val=""/>
      <w:lvlJc w:val="left"/>
      <w:pPr>
        <w:tabs>
          <w:tab w:val="num" w:pos="6480"/>
        </w:tabs>
        <w:ind w:left="6480" w:hanging="360"/>
      </w:pPr>
      <w:rPr>
        <w:rFonts w:ascii="Wingdings" w:hAnsi="Wingdings"/>
      </w:rPr>
    </w:lvl>
  </w:abstractNum>
  <w:abstractNum w:abstractNumId="883" w15:restartNumberingAfterBreak="0">
    <w:nsid w:val="72230835"/>
    <w:multiLevelType w:val="hybridMultilevel"/>
    <w:tmpl w:val="72230835"/>
    <w:lvl w:ilvl="0" w:tplc="1D42B9D4">
      <w:start w:val="1"/>
      <w:numFmt w:val="bullet"/>
      <w:lvlText w:val=""/>
      <w:lvlJc w:val="left"/>
      <w:pPr>
        <w:ind w:left="720" w:hanging="360"/>
      </w:pPr>
      <w:rPr>
        <w:rFonts w:ascii="Symbol" w:hAnsi="Symbol"/>
      </w:rPr>
    </w:lvl>
    <w:lvl w:ilvl="1" w:tplc="AF4A5540">
      <w:start w:val="1"/>
      <w:numFmt w:val="bullet"/>
      <w:lvlText w:val="o"/>
      <w:lvlJc w:val="left"/>
      <w:pPr>
        <w:tabs>
          <w:tab w:val="num" w:pos="1440"/>
        </w:tabs>
        <w:ind w:left="1440" w:hanging="360"/>
      </w:pPr>
      <w:rPr>
        <w:rFonts w:ascii="Courier New" w:hAnsi="Courier New"/>
      </w:rPr>
    </w:lvl>
    <w:lvl w:ilvl="2" w:tplc="0C2EBEB8">
      <w:start w:val="1"/>
      <w:numFmt w:val="bullet"/>
      <w:lvlText w:val=""/>
      <w:lvlJc w:val="left"/>
      <w:pPr>
        <w:tabs>
          <w:tab w:val="num" w:pos="2160"/>
        </w:tabs>
        <w:ind w:left="2160" w:hanging="360"/>
      </w:pPr>
      <w:rPr>
        <w:rFonts w:ascii="Wingdings" w:hAnsi="Wingdings"/>
      </w:rPr>
    </w:lvl>
    <w:lvl w:ilvl="3" w:tplc="45322674">
      <w:start w:val="1"/>
      <w:numFmt w:val="bullet"/>
      <w:lvlText w:val=""/>
      <w:lvlJc w:val="left"/>
      <w:pPr>
        <w:tabs>
          <w:tab w:val="num" w:pos="2880"/>
        </w:tabs>
        <w:ind w:left="2880" w:hanging="360"/>
      </w:pPr>
      <w:rPr>
        <w:rFonts w:ascii="Symbol" w:hAnsi="Symbol"/>
      </w:rPr>
    </w:lvl>
    <w:lvl w:ilvl="4" w:tplc="7A4C3122">
      <w:start w:val="1"/>
      <w:numFmt w:val="bullet"/>
      <w:lvlText w:val="o"/>
      <w:lvlJc w:val="left"/>
      <w:pPr>
        <w:tabs>
          <w:tab w:val="num" w:pos="3600"/>
        </w:tabs>
        <w:ind w:left="3600" w:hanging="360"/>
      </w:pPr>
      <w:rPr>
        <w:rFonts w:ascii="Courier New" w:hAnsi="Courier New"/>
      </w:rPr>
    </w:lvl>
    <w:lvl w:ilvl="5" w:tplc="4EF0DA60">
      <w:start w:val="1"/>
      <w:numFmt w:val="bullet"/>
      <w:lvlText w:val=""/>
      <w:lvlJc w:val="left"/>
      <w:pPr>
        <w:tabs>
          <w:tab w:val="num" w:pos="4320"/>
        </w:tabs>
        <w:ind w:left="4320" w:hanging="360"/>
      </w:pPr>
      <w:rPr>
        <w:rFonts w:ascii="Wingdings" w:hAnsi="Wingdings"/>
      </w:rPr>
    </w:lvl>
    <w:lvl w:ilvl="6" w:tplc="32228B70">
      <w:start w:val="1"/>
      <w:numFmt w:val="bullet"/>
      <w:lvlText w:val=""/>
      <w:lvlJc w:val="left"/>
      <w:pPr>
        <w:tabs>
          <w:tab w:val="num" w:pos="5040"/>
        </w:tabs>
        <w:ind w:left="5040" w:hanging="360"/>
      </w:pPr>
      <w:rPr>
        <w:rFonts w:ascii="Symbol" w:hAnsi="Symbol"/>
      </w:rPr>
    </w:lvl>
    <w:lvl w:ilvl="7" w:tplc="C25CD1DE">
      <w:start w:val="1"/>
      <w:numFmt w:val="bullet"/>
      <w:lvlText w:val="o"/>
      <w:lvlJc w:val="left"/>
      <w:pPr>
        <w:tabs>
          <w:tab w:val="num" w:pos="5760"/>
        </w:tabs>
        <w:ind w:left="5760" w:hanging="360"/>
      </w:pPr>
      <w:rPr>
        <w:rFonts w:ascii="Courier New" w:hAnsi="Courier New"/>
      </w:rPr>
    </w:lvl>
    <w:lvl w:ilvl="8" w:tplc="D62E5188">
      <w:start w:val="1"/>
      <w:numFmt w:val="bullet"/>
      <w:lvlText w:val=""/>
      <w:lvlJc w:val="left"/>
      <w:pPr>
        <w:tabs>
          <w:tab w:val="num" w:pos="6480"/>
        </w:tabs>
        <w:ind w:left="6480" w:hanging="360"/>
      </w:pPr>
      <w:rPr>
        <w:rFonts w:ascii="Wingdings" w:hAnsi="Wingdings"/>
      </w:rPr>
    </w:lvl>
  </w:abstractNum>
  <w:abstractNum w:abstractNumId="884" w15:restartNumberingAfterBreak="0">
    <w:nsid w:val="72230836"/>
    <w:multiLevelType w:val="hybridMultilevel"/>
    <w:tmpl w:val="72230836"/>
    <w:lvl w:ilvl="0" w:tplc="AB1CBFD6">
      <w:start w:val="1"/>
      <w:numFmt w:val="bullet"/>
      <w:lvlText w:val=""/>
      <w:lvlJc w:val="left"/>
      <w:pPr>
        <w:ind w:left="720" w:hanging="360"/>
      </w:pPr>
      <w:rPr>
        <w:rFonts w:ascii="Symbol" w:hAnsi="Symbol"/>
      </w:rPr>
    </w:lvl>
    <w:lvl w:ilvl="1" w:tplc="EE748224">
      <w:start w:val="1"/>
      <w:numFmt w:val="bullet"/>
      <w:lvlText w:val="o"/>
      <w:lvlJc w:val="left"/>
      <w:pPr>
        <w:tabs>
          <w:tab w:val="num" w:pos="1440"/>
        </w:tabs>
        <w:ind w:left="1440" w:hanging="360"/>
      </w:pPr>
      <w:rPr>
        <w:rFonts w:ascii="Courier New" w:hAnsi="Courier New"/>
      </w:rPr>
    </w:lvl>
    <w:lvl w:ilvl="2" w:tplc="214CA110">
      <w:start w:val="1"/>
      <w:numFmt w:val="bullet"/>
      <w:lvlText w:val=""/>
      <w:lvlJc w:val="left"/>
      <w:pPr>
        <w:tabs>
          <w:tab w:val="num" w:pos="2160"/>
        </w:tabs>
        <w:ind w:left="2160" w:hanging="360"/>
      </w:pPr>
      <w:rPr>
        <w:rFonts w:ascii="Wingdings" w:hAnsi="Wingdings"/>
      </w:rPr>
    </w:lvl>
    <w:lvl w:ilvl="3" w:tplc="8C9001E4">
      <w:start w:val="1"/>
      <w:numFmt w:val="bullet"/>
      <w:lvlText w:val=""/>
      <w:lvlJc w:val="left"/>
      <w:pPr>
        <w:tabs>
          <w:tab w:val="num" w:pos="2880"/>
        </w:tabs>
        <w:ind w:left="2880" w:hanging="360"/>
      </w:pPr>
      <w:rPr>
        <w:rFonts w:ascii="Symbol" w:hAnsi="Symbol"/>
      </w:rPr>
    </w:lvl>
    <w:lvl w:ilvl="4" w:tplc="02B2B0D8">
      <w:start w:val="1"/>
      <w:numFmt w:val="bullet"/>
      <w:lvlText w:val="o"/>
      <w:lvlJc w:val="left"/>
      <w:pPr>
        <w:tabs>
          <w:tab w:val="num" w:pos="3600"/>
        </w:tabs>
        <w:ind w:left="3600" w:hanging="360"/>
      </w:pPr>
      <w:rPr>
        <w:rFonts w:ascii="Courier New" w:hAnsi="Courier New"/>
      </w:rPr>
    </w:lvl>
    <w:lvl w:ilvl="5" w:tplc="CD7A3774">
      <w:start w:val="1"/>
      <w:numFmt w:val="bullet"/>
      <w:lvlText w:val=""/>
      <w:lvlJc w:val="left"/>
      <w:pPr>
        <w:tabs>
          <w:tab w:val="num" w:pos="4320"/>
        </w:tabs>
        <w:ind w:left="4320" w:hanging="360"/>
      </w:pPr>
      <w:rPr>
        <w:rFonts w:ascii="Wingdings" w:hAnsi="Wingdings"/>
      </w:rPr>
    </w:lvl>
    <w:lvl w:ilvl="6" w:tplc="EBFCD412">
      <w:start w:val="1"/>
      <w:numFmt w:val="bullet"/>
      <w:lvlText w:val=""/>
      <w:lvlJc w:val="left"/>
      <w:pPr>
        <w:tabs>
          <w:tab w:val="num" w:pos="5040"/>
        </w:tabs>
        <w:ind w:left="5040" w:hanging="360"/>
      </w:pPr>
      <w:rPr>
        <w:rFonts w:ascii="Symbol" w:hAnsi="Symbol"/>
      </w:rPr>
    </w:lvl>
    <w:lvl w:ilvl="7" w:tplc="43600DBE">
      <w:start w:val="1"/>
      <w:numFmt w:val="bullet"/>
      <w:lvlText w:val="o"/>
      <w:lvlJc w:val="left"/>
      <w:pPr>
        <w:tabs>
          <w:tab w:val="num" w:pos="5760"/>
        </w:tabs>
        <w:ind w:left="5760" w:hanging="360"/>
      </w:pPr>
      <w:rPr>
        <w:rFonts w:ascii="Courier New" w:hAnsi="Courier New"/>
      </w:rPr>
    </w:lvl>
    <w:lvl w:ilvl="8" w:tplc="8A206B22">
      <w:start w:val="1"/>
      <w:numFmt w:val="bullet"/>
      <w:lvlText w:val=""/>
      <w:lvlJc w:val="left"/>
      <w:pPr>
        <w:tabs>
          <w:tab w:val="num" w:pos="6480"/>
        </w:tabs>
        <w:ind w:left="6480" w:hanging="360"/>
      </w:pPr>
      <w:rPr>
        <w:rFonts w:ascii="Wingdings" w:hAnsi="Wingdings"/>
      </w:rPr>
    </w:lvl>
  </w:abstractNum>
  <w:abstractNum w:abstractNumId="885" w15:restartNumberingAfterBreak="0">
    <w:nsid w:val="72230837"/>
    <w:multiLevelType w:val="hybridMultilevel"/>
    <w:tmpl w:val="72230837"/>
    <w:lvl w:ilvl="0" w:tplc="A5B8F3AA">
      <w:start w:val="1"/>
      <w:numFmt w:val="bullet"/>
      <w:lvlText w:val=""/>
      <w:lvlJc w:val="left"/>
      <w:pPr>
        <w:ind w:left="720" w:hanging="360"/>
      </w:pPr>
      <w:rPr>
        <w:rFonts w:ascii="Symbol" w:hAnsi="Symbol"/>
      </w:rPr>
    </w:lvl>
    <w:lvl w:ilvl="1" w:tplc="61D818BE">
      <w:start w:val="1"/>
      <w:numFmt w:val="bullet"/>
      <w:lvlText w:val="o"/>
      <w:lvlJc w:val="left"/>
      <w:pPr>
        <w:tabs>
          <w:tab w:val="num" w:pos="1440"/>
        </w:tabs>
        <w:ind w:left="1440" w:hanging="360"/>
      </w:pPr>
      <w:rPr>
        <w:rFonts w:ascii="Courier New" w:hAnsi="Courier New"/>
      </w:rPr>
    </w:lvl>
    <w:lvl w:ilvl="2" w:tplc="9F4A8582">
      <w:start w:val="1"/>
      <w:numFmt w:val="bullet"/>
      <w:lvlText w:val=""/>
      <w:lvlJc w:val="left"/>
      <w:pPr>
        <w:tabs>
          <w:tab w:val="num" w:pos="2160"/>
        </w:tabs>
        <w:ind w:left="2160" w:hanging="360"/>
      </w:pPr>
      <w:rPr>
        <w:rFonts w:ascii="Wingdings" w:hAnsi="Wingdings"/>
      </w:rPr>
    </w:lvl>
    <w:lvl w:ilvl="3" w:tplc="6EC86042">
      <w:start w:val="1"/>
      <w:numFmt w:val="bullet"/>
      <w:lvlText w:val=""/>
      <w:lvlJc w:val="left"/>
      <w:pPr>
        <w:tabs>
          <w:tab w:val="num" w:pos="2880"/>
        </w:tabs>
        <w:ind w:left="2880" w:hanging="360"/>
      </w:pPr>
      <w:rPr>
        <w:rFonts w:ascii="Symbol" w:hAnsi="Symbol"/>
      </w:rPr>
    </w:lvl>
    <w:lvl w:ilvl="4" w:tplc="176A8884">
      <w:start w:val="1"/>
      <w:numFmt w:val="bullet"/>
      <w:lvlText w:val="o"/>
      <w:lvlJc w:val="left"/>
      <w:pPr>
        <w:tabs>
          <w:tab w:val="num" w:pos="3600"/>
        </w:tabs>
        <w:ind w:left="3600" w:hanging="360"/>
      </w:pPr>
      <w:rPr>
        <w:rFonts w:ascii="Courier New" w:hAnsi="Courier New"/>
      </w:rPr>
    </w:lvl>
    <w:lvl w:ilvl="5" w:tplc="BEAA0AB6">
      <w:start w:val="1"/>
      <w:numFmt w:val="bullet"/>
      <w:lvlText w:val=""/>
      <w:lvlJc w:val="left"/>
      <w:pPr>
        <w:tabs>
          <w:tab w:val="num" w:pos="4320"/>
        </w:tabs>
        <w:ind w:left="4320" w:hanging="360"/>
      </w:pPr>
      <w:rPr>
        <w:rFonts w:ascii="Wingdings" w:hAnsi="Wingdings"/>
      </w:rPr>
    </w:lvl>
    <w:lvl w:ilvl="6" w:tplc="3850D728">
      <w:start w:val="1"/>
      <w:numFmt w:val="bullet"/>
      <w:lvlText w:val=""/>
      <w:lvlJc w:val="left"/>
      <w:pPr>
        <w:tabs>
          <w:tab w:val="num" w:pos="5040"/>
        </w:tabs>
        <w:ind w:left="5040" w:hanging="360"/>
      </w:pPr>
      <w:rPr>
        <w:rFonts w:ascii="Symbol" w:hAnsi="Symbol"/>
      </w:rPr>
    </w:lvl>
    <w:lvl w:ilvl="7" w:tplc="D2582FE0">
      <w:start w:val="1"/>
      <w:numFmt w:val="bullet"/>
      <w:lvlText w:val="o"/>
      <w:lvlJc w:val="left"/>
      <w:pPr>
        <w:tabs>
          <w:tab w:val="num" w:pos="5760"/>
        </w:tabs>
        <w:ind w:left="5760" w:hanging="360"/>
      </w:pPr>
      <w:rPr>
        <w:rFonts w:ascii="Courier New" w:hAnsi="Courier New"/>
      </w:rPr>
    </w:lvl>
    <w:lvl w:ilvl="8" w:tplc="FFB0BCDC">
      <w:start w:val="1"/>
      <w:numFmt w:val="bullet"/>
      <w:lvlText w:val=""/>
      <w:lvlJc w:val="left"/>
      <w:pPr>
        <w:tabs>
          <w:tab w:val="num" w:pos="6480"/>
        </w:tabs>
        <w:ind w:left="6480" w:hanging="360"/>
      </w:pPr>
      <w:rPr>
        <w:rFonts w:ascii="Wingdings" w:hAnsi="Wingdings"/>
      </w:rPr>
    </w:lvl>
  </w:abstractNum>
  <w:abstractNum w:abstractNumId="886" w15:restartNumberingAfterBreak="0">
    <w:nsid w:val="72230838"/>
    <w:multiLevelType w:val="hybridMultilevel"/>
    <w:tmpl w:val="72230838"/>
    <w:lvl w:ilvl="0" w:tplc="EFFC260C">
      <w:start w:val="1"/>
      <w:numFmt w:val="bullet"/>
      <w:lvlText w:val=""/>
      <w:lvlJc w:val="left"/>
      <w:pPr>
        <w:ind w:left="720" w:hanging="360"/>
      </w:pPr>
      <w:rPr>
        <w:rFonts w:ascii="Symbol" w:hAnsi="Symbol"/>
      </w:rPr>
    </w:lvl>
    <w:lvl w:ilvl="1" w:tplc="2050F022">
      <w:start w:val="1"/>
      <w:numFmt w:val="bullet"/>
      <w:lvlText w:val="o"/>
      <w:lvlJc w:val="left"/>
      <w:pPr>
        <w:tabs>
          <w:tab w:val="num" w:pos="1440"/>
        </w:tabs>
        <w:ind w:left="1440" w:hanging="360"/>
      </w:pPr>
      <w:rPr>
        <w:rFonts w:ascii="Courier New" w:hAnsi="Courier New"/>
      </w:rPr>
    </w:lvl>
    <w:lvl w:ilvl="2" w:tplc="F65A87B4">
      <w:start w:val="1"/>
      <w:numFmt w:val="bullet"/>
      <w:lvlText w:val=""/>
      <w:lvlJc w:val="left"/>
      <w:pPr>
        <w:tabs>
          <w:tab w:val="num" w:pos="2160"/>
        </w:tabs>
        <w:ind w:left="2160" w:hanging="360"/>
      </w:pPr>
      <w:rPr>
        <w:rFonts w:ascii="Wingdings" w:hAnsi="Wingdings"/>
      </w:rPr>
    </w:lvl>
    <w:lvl w:ilvl="3" w:tplc="7ACA0868">
      <w:start w:val="1"/>
      <w:numFmt w:val="bullet"/>
      <w:lvlText w:val=""/>
      <w:lvlJc w:val="left"/>
      <w:pPr>
        <w:tabs>
          <w:tab w:val="num" w:pos="2880"/>
        </w:tabs>
        <w:ind w:left="2880" w:hanging="360"/>
      </w:pPr>
      <w:rPr>
        <w:rFonts w:ascii="Symbol" w:hAnsi="Symbol"/>
      </w:rPr>
    </w:lvl>
    <w:lvl w:ilvl="4" w:tplc="BB3C8BAC">
      <w:start w:val="1"/>
      <w:numFmt w:val="bullet"/>
      <w:lvlText w:val="o"/>
      <w:lvlJc w:val="left"/>
      <w:pPr>
        <w:tabs>
          <w:tab w:val="num" w:pos="3600"/>
        </w:tabs>
        <w:ind w:left="3600" w:hanging="360"/>
      </w:pPr>
      <w:rPr>
        <w:rFonts w:ascii="Courier New" w:hAnsi="Courier New"/>
      </w:rPr>
    </w:lvl>
    <w:lvl w:ilvl="5" w:tplc="A92C9DA6">
      <w:start w:val="1"/>
      <w:numFmt w:val="bullet"/>
      <w:lvlText w:val=""/>
      <w:lvlJc w:val="left"/>
      <w:pPr>
        <w:tabs>
          <w:tab w:val="num" w:pos="4320"/>
        </w:tabs>
        <w:ind w:left="4320" w:hanging="360"/>
      </w:pPr>
      <w:rPr>
        <w:rFonts w:ascii="Wingdings" w:hAnsi="Wingdings"/>
      </w:rPr>
    </w:lvl>
    <w:lvl w:ilvl="6" w:tplc="81D40DA4">
      <w:start w:val="1"/>
      <w:numFmt w:val="bullet"/>
      <w:lvlText w:val=""/>
      <w:lvlJc w:val="left"/>
      <w:pPr>
        <w:tabs>
          <w:tab w:val="num" w:pos="5040"/>
        </w:tabs>
        <w:ind w:left="5040" w:hanging="360"/>
      </w:pPr>
      <w:rPr>
        <w:rFonts w:ascii="Symbol" w:hAnsi="Symbol"/>
      </w:rPr>
    </w:lvl>
    <w:lvl w:ilvl="7" w:tplc="9B36E126">
      <w:start w:val="1"/>
      <w:numFmt w:val="bullet"/>
      <w:lvlText w:val="o"/>
      <w:lvlJc w:val="left"/>
      <w:pPr>
        <w:tabs>
          <w:tab w:val="num" w:pos="5760"/>
        </w:tabs>
        <w:ind w:left="5760" w:hanging="360"/>
      </w:pPr>
      <w:rPr>
        <w:rFonts w:ascii="Courier New" w:hAnsi="Courier New"/>
      </w:rPr>
    </w:lvl>
    <w:lvl w:ilvl="8" w:tplc="00D2F584">
      <w:start w:val="1"/>
      <w:numFmt w:val="bullet"/>
      <w:lvlText w:val=""/>
      <w:lvlJc w:val="left"/>
      <w:pPr>
        <w:tabs>
          <w:tab w:val="num" w:pos="6480"/>
        </w:tabs>
        <w:ind w:left="6480" w:hanging="360"/>
      </w:pPr>
      <w:rPr>
        <w:rFonts w:ascii="Wingdings" w:hAnsi="Wingdings"/>
      </w:rPr>
    </w:lvl>
  </w:abstractNum>
  <w:abstractNum w:abstractNumId="887" w15:restartNumberingAfterBreak="0">
    <w:nsid w:val="72230839"/>
    <w:multiLevelType w:val="hybridMultilevel"/>
    <w:tmpl w:val="72230839"/>
    <w:lvl w:ilvl="0" w:tplc="E1BEEA98">
      <w:start w:val="1"/>
      <w:numFmt w:val="bullet"/>
      <w:lvlText w:val=""/>
      <w:lvlJc w:val="left"/>
      <w:pPr>
        <w:ind w:left="720" w:hanging="360"/>
      </w:pPr>
      <w:rPr>
        <w:rFonts w:ascii="Symbol" w:hAnsi="Symbol"/>
      </w:rPr>
    </w:lvl>
    <w:lvl w:ilvl="1" w:tplc="780CE608">
      <w:start w:val="1"/>
      <w:numFmt w:val="bullet"/>
      <w:lvlText w:val="o"/>
      <w:lvlJc w:val="left"/>
      <w:pPr>
        <w:tabs>
          <w:tab w:val="num" w:pos="1440"/>
        </w:tabs>
        <w:ind w:left="1440" w:hanging="360"/>
      </w:pPr>
      <w:rPr>
        <w:rFonts w:ascii="Courier New" w:hAnsi="Courier New"/>
      </w:rPr>
    </w:lvl>
    <w:lvl w:ilvl="2" w:tplc="4BF8D0F8">
      <w:start w:val="1"/>
      <w:numFmt w:val="bullet"/>
      <w:lvlText w:val=""/>
      <w:lvlJc w:val="left"/>
      <w:pPr>
        <w:tabs>
          <w:tab w:val="num" w:pos="2160"/>
        </w:tabs>
        <w:ind w:left="2160" w:hanging="360"/>
      </w:pPr>
      <w:rPr>
        <w:rFonts w:ascii="Wingdings" w:hAnsi="Wingdings"/>
      </w:rPr>
    </w:lvl>
    <w:lvl w:ilvl="3" w:tplc="5D1A2582">
      <w:start w:val="1"/>
      <w:numFmt w:val="bullet"/>
      <w:lvlText w:val=""/>
      <w:lvlJc w:val="left"/>
      <w:pPr>
        <w:tabs>
          <w:tab w:val="num" w:pos="2880"/>
        </w:tabs>
        <w:ind w:left="2880" w:hanging="360"/>
      </w:pPr>
      <w:rPr>
        <w:rFonts w:ascii="Symbol" w:hAnsi="Symbol"/>
      </w:rPr>
    </w:lvl>
    <w:lvl w:ilvl="4" w:tplc="4126D308">
      <w:start w:val="1"/>
      <w:numFmt w:val="bullet"/>
      <w:lvlText w:val="o"/>
      <w:lvlJc w:val="left"/>
      <w:pPr>
        <w:tabs>
          <w:tab w:val="num" w:pos="3600"/>
        </w:tabs>
        <w:ind w:left="3600" w:hanging="360"/>
      </w:pPr>
      <w:rPr>
        <w:rFonts w:ascii="Courier New" w:hAnsi="Courier New"/>
      </w:rPr>
    </w:lvl>
    <w:lvl w:ilvl="5" w:tplc="6A70D71E">
      <w:start w:val="1"/>
      <w:numFmt w:val="bullet"/>
      <w:lvlText w:val=""/>
      <w:lvlJc w:val="left"/>
      <w:pPr>
        <w:tabs>
          <w:tab w:val="num" w:pos="4320"/>
        </w:tabs>
        <w:ind w:left="4320" w:hanging="360"/>
      </w:pPr>
      <w:rPr>
        <w:rFonts w:ascii="Wingdings" w:hAnsi="Wingdings"/>
      </w:rPr>
    </w:lvl>
    <w:lvl w:ilvl="6" w:tplc="3B664A1A">
      <w:start w:val="1"/>
      <w:numFmt w:val="bullet"/>
      <w:lvlText w:val=""/>
      <w:lvlJc w:val="left"/>
      <w:pPr>
        <w:tabs>
          <w:tab w:val="num" w:pos="5040"/>
        </w:tabs>
        <w:ind w:left="5040" w:hanging="360"/>
      </w:pPr>
      <w:rPr>
        <w:rFonts w:ascii="Symbol" w:hAnsi="Symbol"/>
      </w:rPr>
    </w:lvl>
    <w:lvl w:ilvl="7" w:tplc="56AEA39C">
      <w:start w:val="1"/>
      <w:numFmt w:val="bullet"/>
      <w:lvlText w:val="o"/>
      <w:lvlJc w:val="left"/>
      <w:pPr>
        <w:tabs>
          <w:tab w:val="num" w:pos="5760"/>
        </w:tabs>
        <w:ind w:left="5760" w:hanging="360"/>
      </w:pPr>
      <w:rPr>
        <w:rFonts w:ascii="Courier New" w:hAnsi="Courier New"/>
      </w:rPr>
    </w:lvl>
    <w:lvl w:ilvl="8" w:tplc="0510982E">
      <w:start w:val="1"/>
      <w:numFmt w:val="bullet"/>
      <w:lvlText w:val=""/>
      <w:lvlJc w:val="left"/>
      <w:pPr>
        <w:tabs>
          <w:tab w:val="num" w:pos="6480"/>
        </w:tabs>
        <w:ind w:left="6480" w:hanging="360"/>
      </w:pPr>
      <w:rPr>
        <w:rFonts w:ascii="Wingdings" w:hAnsi="Wingdings"/>
      </w:rPr>
    </w:lvl>
  </w:abstractNum>
  <w:abstractNum w:abstractNumId="888" w15:restartNumberingAfterBreak="0">
    <w:nsid w:val="7223083A"/>
    <w:multiLevelType w:val="hybridMultilevel"/>
    <w:tmpl w:val="7223083A"/>
    <w:lvl w:ilvl="0" w:tplc="0B8E925A">
      <w:start w:val="1"/>
      <w:numFmt w:val="bullet"/>
      <w:lvlText w:val=""/>
      <w:lvlJc w:val="left"/>
      <w:pPr>
        <w:ind w:left="720" w:hanging="360"/>
      </w:pPr>
      <w:rPr>
        <w:rFonts w:ascii="Symbol" w:hAnsi="Symbol"/>
      </w:rPr>
    </w:lvl>
    <w:lvl w:ilvl="1" w:tplc="EF60FEE0">
      <w:start w:val="1"/>
      <w:numFmt w:val="bullet"/>
      <w:lvlText w:val="o"/>
      <w:lvlJc w:val="left"/>
      <w:pPr>
        <w:tabs>
          <w:tab w:val="num" w:pos="1440"/>
        </w:tabs>
        <w:ind w:left="1440" w:hanging="360"/>
      </w:pPr>
      <w:rPr>
        <w:rFonts w:ascii="Courier New" w:hAnsi="Courier New"/>
      </w:rPr>
    </w:lvl>
    <w:lvl w:ilvl="2" w:tplc="A43031D2">
      <w:start w:val="1"/>
      <w:numFmt w:val="bullet"/>
      <w:lvlText w:val=""/>
      <w:lvlJc w:val="left"/>
      <w:pPr>
        <w:tabs>
          <w:tab w:val="num" w:pos="2160"/>
        </w:tabs>
        <w:ind w:left="2160" w:hanging="360"/>
      </w:pPr>
      <w:rPr>
        <w:rFonts w:ascii="Wingdings" w:hAnsi="Wingdings"/>
      </w:rPr>
    </w:lvl>
    <w:lvl w:ilvl="3" w:tplc="B2586926">
      <w:start w:val="1"/>
      <w:numFmt w:val="bullet"/>
      <w:lvlText w:val=""/>
      <w:lvlJc w:val="left"/>
      <w:pPr>
        <w:tabs>
          <w:tab w:val="num" w:pos="2880"/>
        </w:tabs>
        <w:ind w:left="2880" w:hanging="360"/>
      </w:pPr>
      <w:rPr>
        <w:rFonts w:ascii="Symbol" w:hAnsi="Symbol"/>
      </w:rPr>
    </w:lvl>
    <w:lvl w:ilvl="4" w:tplc="39A0100E">
      <w:start w:val="1"/>
      <w:numFmt w:val="bullet"/>
      <w:lvlText w:val="o"/>
      <w:lvlJc w:val="left"/>
      <w:pPr>
        <w:tabs>
          <w:tab w:val="num" w:pos="3600"/>
        </w:tabs>
        <w:ind w:left="3600" w:hanging="360"/>
      </w:pPr>
      <w:rPr>
        <w:rFonts w:ascii="Courier New" w:hAnsi="Courier New"/>
      </w:rPr>
    </w:lvl>
    <w:lvl w:ilvl="5" w:tplc="3FF61A78">
      <w:start w:val="1"/>
      <w:numFmt w:val="bullet"/>
      <w:lvlText w:val=""/>
      <w:lvlJc w:val="left"/>
      <w:pPr>
        <w:tabs>
          <w:tab w:val="num" w:pos="4320"/>
        </w:tabs>
        <w:ind w:left="4320" w:hanging="360"/>
      </w:pPr>
      <w:rPr>
        <w:rFonts w:ascii="Wingdings" w:hAnsi="Wingdings"/>
      </w:rPr>
    </w:lvl>
    <w:lvl w:ilvl="6" w:tplc="C0AAAF20">
      <w:start w:val="1"/>
      <w:numFmt w:val="bullet"/>
      <w:lvlText w:val=""/>
      <w:lvlJc w:val="left"/>
      <w:pPr>
        <w:tabs>
          <w:tab w:val="num" w:pos="5040"/>
        </w:tabs>
        <w:ind w:left="5040" w:hanging="360"/>
      </w:pPr>
      <w:rPr>
        <w:rFonts w:ascii="Symbol" w:hAnsi="Symbol"/>
      </w:rPr>
    </w:lvl>
    <w:lvl w:ilvl="7" w:tplc="E71CD1CE">
      <w:start w:val="1"/>
      <w:numFmt w:val="bullet"/>
      <w:lvlText w:val="o"/>
      <w:lvlJc w:val="left"/>
      <w:pPr>
        <w:tabs>
          <w:tab w:val="num" w:pos="5760"/>
        </w:tabs>
        <w:ind w:left="5760" w:hanging="360"/>
      </w:pPr>
      <w:rPr>
        <w:rFonts w:ascii="Courier New" w:hAnsi="Courier New"/>
      </w:rPr>
    </w:lvl>
    <w:lvl w:ilvl="8" w:tplc="89C84728">
      <w:start w:val="1"/>
      <w:numFmt w:val="bullet"/>
      <w:lvlText w:val=""/>
      <w:lvlJc w:val="left"/>
      <w:pPr>
        <w:tabs>
          <w:tab w:val="num" w:pos="6480"/>
        </w:tabs>
        <w:ind w:left="6480" w:hanging="360"/>
      </w:pPr>
      <w:rPr>
        <w:rFonts w:ascii="Wingdings" w:hAnsi="Wingdings"/>
      </w:rPr>
    </w:lvl>
  </w:abstractNum>
  <w:abstractNum w:abstractNumId="889" w15:restartNumberingAfterBreak="0">
    <w:nsid w:val="7223083B"/>
    <w:multiLevelType w:val="hybridMultilevel"/>
    <w:tmpl w:val="7223083B"/>
    <w:lvl w:ilvl="0" w:tplc="031C9206">
      <w:start w:val="1"/>
      <w:numFmt w:val="bullet"/>
      <w:lvlText w:val=""/>
      <w:lvlJc w:val="left"/>
      <w:pPr>
        <w:ind w:left="720" w:hanging="360"/>
      </w:pPr>
      <w:rPr>
        <w:rFonts w:ascii="Symbol" w:hAnsi="Symbol"/>
      </w:rPr>
    </w:lvl>
    <w:lvl w:ilvl="1" w:tplc="7D06B6F8">
      <w:start w:val="1"/>
      <w:numFmt w:val="bullet"/>
      <w:lvlText w:val="o"/>
      <w:lvlJc w:val="left"/>
      <w:pPr>
        <w:tabs>
          <w:tab w:val="num" w:pos="1440"/>
        </w:tabs>
        <w:ind w:left="1440" w:hanging="360"/>
      </w:pPr>
      <w:rPr>
        <w:rFonts w:ascii="Courier New" w:hAnsi="Courier New"/>
      </w:rPr>
    </w:lvl>
    <w:lvl w:ilvl="2" w:tplc="E2FC618A">
      <w:start w:val="1"/>
      <w:numFmt w:val="bullet"/>
      <w:lvlText w:val=""/>
      <w:lvlJc w:val="left"/>
      <w:pPr>
        <w:tabs>
          <w:tab w:val="num" w:pos="2160"/>
        </w:tabs>
        <w:ind w:left="2160" w:hanging="360"/>
      </w:pPr>
      <w:rPr>
        <w:rFonts w:ascii="Wingdings" w:hAnsi="Wingdings"/>
      </w:rPr>
    </w:lvl>
    <w:lvl w:ilvl="3" w:tplc="4176A5A0">
      <w:start w:val="1"/>
      <w:numFmt w:val="bullet"/>
      <w:lvlText w:val=""/>
      <w:lvlJc w:val="left"/>
      <w:pPr>
        <w:tabs>
          <w:tab w:val="num" w:pos="2880"/>
        </w:tabs>
        <w:ind w:left="2880" w:hanging="360"/>
      </w:pPr>
      <w:rPr>
        <w:rFonts w:ascii="Symbol" w:hAnsi="Symbol"/>
      </w:rPr>
    </w:lvl>
    <w:lvl w:ilvl="4" w:tplc="87425E9C">
      <w:start w:val="1"/>
      <w:numFmt w:val="bullet"/>
      <w:lvlText w:val="o"/>
      <w:lvlJc w:val="left"/>
      <w:pPr>
        <w:tabs>
          <w:tab w:val="num" w:pos="3600"/>
        </w:tabs>
        <w:ind w:left="3600" w:hanging="360"/>
      </w:pPr>
      <w:rPr>
        <w:rFonts w:ascii="Courier New" w:hAnsi="Courier New"/>
      </w:rPr>
    </w:lvl>
    <w:lvl w:ilvl="5" w:tplc="FBA80C66">
      <w:start w:val="1"/>
      <w:numFmt w:val="bullet"/>
      <w:lvlText w:val=""/>
      <w:lvlJc w:val="left"/>
      <w:pPr>
        <w:tabs>
          <w:tab w:val="num" w:pos="4320"/>
        </w:tabs>
        <w:ind w:left="4320" w:hanging="360"/>
      </w:pPr>
      <w:rPr>
        <w:rFonts w:ascii="Wingdings" w:hAnsi="Wingdings"/>
      </w:rPr>
    </w:lvl>
    <w:lvl w:ilvl="6" w:tplc="E0FEF560">
      <w:start w:val="1"/>
      <w:numFmt w:val="bullet"/>
      <w:lvlText w:val=""/>
      <w:lvlJc w:val="left"/>
      <w:pPr>
        <w:tabs>
          <w:tab w:val="num" w:pos="5040"/>
        </w:tabs>
        <w:ind w:left="5040" w:hanging="360"/>
      </w:pPr>
      <w:rPr>
        <w:rFonts w:ascii="Symbol" w:hAnsi="Symbol"/>
      </w:rPr>
    </w:lvl>
    <w:lvl w:ilvl="7" w:tplc="E80001F2">
      <w:start w:val="1"/>
      <w:numFmt w:val="bullet"/>
      <w:lvlText w:val="o"/>
      <w:lvlJc w:val="left"/>
      <w:pPr>
        <w:tabs>
          <w:tab w:val="num" w:pos="5760"/>
        </w:tabs>
        <w:ind w:left="5760" w:hanging="360"/>
      </w:pPr>
      <w:rPr>
        <w:rFonts w:ascii="Courier New" w:hAnsi="Courier New"/>
      </w:rPr>
    </w:lvl>
    <w:lvl w:ilvl="8" w:tplc="E124A400">
      <w:start w:val="1"/>
      <w:numFmt w:val="bullet"/>
      <w:lvlText w:val=""/>
      <w:lvlJc w:val="left"/>
      <w:pPr>
        <w:tabs>
          <w:tab w:val="num" w:pos="6480"/>
        </w:tabs>
        <w:ind w:left="6480" w:hanging="360"/>
      </w:pPr>
      <w:rPr>
        <w:rFonts w:ascii="Wingdings" w:hAnsi="Wingdings"/>
      </w:rPr>
    </w:lvl>
  </w:abstractNum>
  <w:abstractNum w:abstractNumId="890" w15:restartNumberingAfterBreak="0">
    <w:nsid w:val="7223083C"/>
    <w:multiLevelType w:val="hybridMultilevel"/>
    <w:tmpl w:val="7223083C"/>
    <w:lvl w:ilvl="0" w:tplc="9F9EE6BE">
      <w:start w:val="1"/>
      <w:numFmt w:val="bullet"/>
      <w:lvlText w:val=""/>
      <w:lvlJc w:val="left"/>
      <w:pPr>
        <w:ind w:left="720" w:hanging="360"/>
      </w:pPr>
      <w:rPr>
        <w:rFonts w:ascii="Symbol" w:hAnsi="Symbol"/>
      </w:rPr>
    </w:lvl>
    <w:lvl w:ilvl="1" w:tplc="9D1E2EB0">
      <w:start w:val="1"/>
      <w:numFmt w:val="bullet"/>
      <w:lvlText w:val="o"/>
      <w:lvlJc w:val="left"/>
      <w:pPr>
        <w:tabs>
          <w:tab w:val="num" w:pos="1440"/>
        </w:tabs>
        <w:ind w:left="1440" w:hanging="360"/>
      </w:pPr>
      <w:rPr>
        <w:rFonts w:ascii="Courier New" w:hAnsi="Courier New"/>
      </w:rPr>
    </w:lvl>
    <w:lvl w:ilvl="2" w:tplc="87648BC6">
      <w:start w:val="1"/>
      <w:numFmt w:val="bullet"/>
      <w:lvlText w:val=""/>
      <w:lvlJc w:val="left"/>
      <w:pPr>
        <w:tabs>
          <w:tab w:val="num" w:pos="2160"/>
        </w:tabs>
        <w:ind w:left="2160" w:hanging="360"/>
      </w:pPr>
      <w:rPr>
        <w:rFonts w:ascii="Wingdings" w:hAnsi="Wingdings"/>
      </w:rPr>
    </w:lvl>
    <w:lvl w:ilvl="3" w:tplc="8E385BCE">
      <w:start w:val="1"/>
      <w:numFmt w:val="bullet"/>
      <w:lvlText w:val=""/>
      <w:lvlJc w:val="left"/>
      <w:pPr>
        <w:tabs>
          <w:tab w:val="num" w:pos="2880"/>
        </w:tabs>
        <w:ind w:left="2880" w:hanging="360"/>
      </w:pPr>
      <w:rPr>
        <w:rFonts w:ascii="Symbol" w:hAnsi="Symbol"/>
      </w:rPr>
    </w:lvl>
    <w:lvl w:ilvl="4" w:tplc="8BEC5F86">
      <w:start w:val="1"/>
      <w:numFmt w:val="bullet"/>
      <w:lvlText w:val="o"/>
      <w:lvlJc w:val="left"/>
      <w:pPr>
        <w:tabs>
          <w:tab w:val="num" w:pos="3600"/>
        </w:tabs>
        <w:ind w:left="3600" w:hanging="360"/>
      </w:pPr>
      <w:rPr>
        <w:rFonts w:ascii="Courier New" w:hAnsi="Courier New"/>
      </w:rPr>
    </w:lvl>
    <w:lvl w:ilvl="5" w:tplc="F54AA2AE">
      <w:start w:val="1"/>
      <w:numFmt w:val="bullet"/>
      <w:lvlText w:val=""/>
      <w:lvlJc w:val="left"/>
      <w:pPr>
        <w:tabs>
          <w:tab w:val="num" w:pos="4320"/>
        </w:tabs>
        <w:ind w:left="4320" w:hanging="360"/>
      </w:pPr>
      <w:rPr>
        <w:rFonts w:ascii="Wingdings" w:hAnsi="Wingdings"/>
      </w:rPr>
    </w:lvl>
    <w:lvl w:ilvl="6" w:tplc="5ADE942C">
      <w:start w:val="1"/>
      <w:numFmt w:val="bullet"/>
      <w:lvlText w:val=""/>
      <w:lvlJc w:val="left"/>
      <w:pPr>
        <w:tabs>
          <w:tab w:val="num" w:pos="5040"/>
        </w:tabs>
        <w:ind w:left="5040" w:hanging="360"/>
      </w:pPr>
      <w:rPr>
        <w:rFonts w:ascii="Symbol" w:hAnsi="Symbol"/>
      </w:rPr>
    </w:lvl>
    <w:lvl w:ilvl="7" w:tplc="CA5CC11A">
      <w:start w:val="1"/>
      <w:numFmt w:val="bullet"/>
      <w:lvlText w:val="o"/>
      <w:lvlJc w:val="left"/>
      <w:pPr>
        <w:tabs>
          <w:tab w:val="num" w:pos="5760"/>
        </w:tabs>
        <w:ind w:left="5760" w:hanging="360"/>
      </w:pPr>
      <w:rPr>
        <w:rFonts w:ascii="Courier New" w:hAnsi="Courier New"/>
      </w:rPr>
    </w:lvl>
    <w:lvl w:ilvl="8" w:tplc="7B2CAFE4">
      <w:start w:val="1"/>
      <w:numFmt w:val="bullet"/>
      <w:lvlText w:val=""/>
      <w:lvlJc w:val="left"/>
      <w:pPr>
        <w:tabs>
          <w:tab w:val="num" w:pos="6480"/>
        </w:tabs>
        <w:ind w:left="6480" w:hanging="360"/>
      </w:pPr>
      <w:rPr>
        <w:rFonts w:ascii="Wingdings" w:hAnsi="Wingdings"/>
      </w:rPr>
    </w:lvl>
  </w:abstractNum>
  <w:abstractNum w:abstractNumId="891" w15:restartNumberingAfterBreak="0">
    <w:nsid w:val="7223083D"/>
    <w:multiLevelType w:val="hybridMultilevel"/>
    <w:tmpl w:val="7223083D"/>
    <w:lvl w:ilvl="0" w:tplc="368CFEF8">
      <w:start w:val="1"/>
      <w:numFmt w:val="bullet"/>
      <w:lvlText w:val=""/>
      <w:lvlJc w:val="left"/>
      <w:pPr>
        <w:ind w:left="720" w:hanging="360"/>
      </w:pPr>
      <w:rPr>
        <w:rFonts w:ascii="Symbol" w:hAnsi="Symbol"/>
      </w:rPr>
    </w:lvl>
    <w:lvl w:ilvl="1" w:tplc="F2A415A4">
      <w:start w:val="1"/>
      <w:numFmt w:val="bullet"/>
      <w:lvlText w:val="o"/>
      <w:lvlJc w:val="left"/>
      <w:pPr>
        <w:tabs>
          <w:tab w:val="num" w:pos="1440"/>
        </w:tabs>
        <w:ind w:left="1440" w:hanging="360"/>
      </w:pPr>
      <w:rPr>
        <w:rFonts w:ascii="Courier New" w:hAnsi="Courier New"/>
      </w:rPr>
    </w:lvl>
    <w:lvl w:ilvl="2" w:tplc="8154FDDE">
      <w:start w:val="1"/>
      <w:numFmt w:val="bullet"/>
      <w:lvlText w:val=""/>
      <w:lvlJc w:val="left"/>
      <w:pPr>
        <w:tabs>
          <w:tab w:val="num" w:pos="2160"/>
        </w:tabs>
        <w:ind w:left="2160" w:hanging="360"/>
      </w:pPr>
      <w:rPr>
        <w:rFonts w:ascii="Wingdings" w:hAnsi="Wingdings"/>
      </w:rPr>
    </w:lvl>
    <w:lvl w:ilvl="3" w:tplc="EE609424">
      <w:start w:val="1"/>
      <w:numFmt w:val="bullet"/>
      <w:lvlText w:val=""/>
      <w:lvlJc w:val="left"/>
      <w:pPr>
        <w:tabs>
          <w:tab w:val="num" w:pos="2880"/>
        </w:tabs>
        <w:ind w:left="2880" w:hanging="360"/>
      </w:pPr>
      <w:rPr>
        <w:rFonts w:ascii="Symbol" w:hAnsi="Symbol"/>
      </w:rPr>
    </w:lvl>
    <w:lvl w:ilvl="4" w:tplc="B03C7FEC">
      <w:start w:val="1"/>
      <w:numFmt w:val="bullet"/>
      <w:lvlText w:val="o"/>
      <w:lvlJc w:val="left"/>
      <w:pPr>
        <w:tabs>
          <w:tab w:val="num" w:pos="3600"/>
        </w:tabs>
        <w:ind w:left="3600" w:hanging="360"/>
      </w:pPr>
      <w:rPr>
        <w:rFonts w:ascii="Courier New" w:hAnsi="Courier New"/>
      </w:rPr>
    </w:lvl>
    <w:lvl w:ilvl="5" w:tplc="F75E905C">
      <w:start w:val="1"/>
      <w:numFmt w:val="bullet"/>
      <w:lvlText w:val=""/>
      <w:lvlJc w:val="left"/>
      <w:pPr>
        <w:tabs>
          <w:tab w:val="num" w:pos="4320"/>
        </w:tabs>
        <w:ind w:left="4320" w:hanging="360"/>
      </w:pPr>
      <w:rPr>
        <w:rFonts w:ascii="Wingdings" w:hAnsi="Wingdings"/>
      </w:rPr>
    </w:lvl>
    <w:lvl w:ilvl="6" w:tplc="A09E7268">
      <w:start w:val="1"/>
      <w:numFmt w:val="bullet"/>
      <w:lvlText w:val=""/>
      <w:lvlJc w:val="left"/>
      <w:pPr>
        <w:tabs>
          <w:tab w:val="num" w:pos="5040"/>
        </w:tabs>
        <w:ind w:left="5040" w:hanging="360"/>
      </w:pPr>
      <w:rPr>
        <w:rFonts w:ascii="Symbol" w:hAnsi="Symbol"/>
      </w:rPr>
    </w:lvl>
    <w:lvl w:ilvl="7" w:tplc="9894D852">
      <w:start w:val="1"/>
      <w:numFmt w:val="bullet"/>
      <w:lvlText w:val="o"/>
      <w:lvlJc w:val="left"/>
      <w:pPr>
        <w:tabs>
          <w:tab w:val="num" w:pos="5760"/>
        </w:tabs>
        <w:ind w:left="5760" w:hanging="360"/>
      </w:pPr>
      <w:rPr>
        <w:rFonts w:ascii="Courier New" w:hAnsi="Courier New"/>
      </w:rPr>
    </w:lvl>
    <w:lvl w:ilvl="8" w:tplc="6B46C3AA">
      <w:start w:val="1"/>
      <w:numFmt w:val="bullet"/>
      <w:lvlText w:val=""/>
      <w:lvlJc w:val="left"/>
      <w:pPr>
        <w:tabs>
          <w:tab w:val="num" w:pos="6480"/>
        </w:tabs>
        <w:ind w:left="6480" w:hanging="360"/>
      </w:pPr>
      <w:rPr>
        <w:rFonts w:ascii="Wingdings" w:hAnsi="Wingdings"/>
      </w:rPr>
    </w:lvl>
  </w:abstractNum>
  <w:abstractNum w:abstractNumId="892" w15:restartNumberingAfterBreak="0">
    <w:nsid w:val="7223083E"/>
    <w:multiLevelType w:val="hybridMultilevel"/>
    <w:tmpl w:val="7223083E"/>
    <w:lvl w:ilvl="0" w:tplc="69C8BE94">
      <w:start w:val="1"/>
      <w:numFmt w:val="bullet"/>
      <w:lvlText w:val=""/>
      <w:lvlJc w:val="left"/>
      <w:pPr>
        <w:ind w:left="720" w:hanging="360"/>
      </w:pPr>
      <w:rPr>
        <w:rFonts w:ascii="Symbol" w:hAnsi="Symbol"/>
      </w:rPr>
    </w:lvl>
    <w:lvl w:ilvl="1" w:tplc="BE126FE0">
      <w:start w:val="1"/>
      <w:numFmt w:val="bullet"/>
      <w:lvlText w:val="o"/>
      <w:lvlJc w:val="left"/>
      <w:pPr>
        <w:tabs>
          <w:tab w:val="num" w:pos="1440"/>
        </w:tabs>
        <w:ind w:left="1440" w:hanging="360"/>
      </w:pPr>
      <w:rPr>
        <w:rFonts w:ascii="Courier New" w:hAnsi="Courier New"/>
      </w:rPr>
    </w:lvl>
    <w:lvl w:ilvl="2" w:tplc="6B447634">
      <w:start w:val="1"/>
      <w:numFmt w:val="bullet"/>
      <w:lvlText w:val=""/>
      <w:lvlJc w:val="left"/>
      <w:pPr>
        <w:tabs>
          <w:tab w:val="num" w:pos="2160"/>
        </w:tabs>
        <w:ind w:left="2160" w:hanging="360"/>
      </w:pPr>
      <w:rPr>
        <w:rFonts w:ascii="Wingdings" w:hAnsi="Wingdings"/>
      </w:rPr>
    </w:lvl>
    <w:lvl w:ilvl="3" w:tplc="229E67BC">
      <w:start w:val="1"/>
      <w:numFmt w:val="bullet"/>
      <w:lvlText w:val=""/>
      <w:lvlJc w:val="left"/>
      <w:pPr>
        <w:tabs>
          <w:tab w:val="num" w:pos="2880"/>
        </w:tabs>
        <w:ind w:left="2880" w:hanging="360"/>
      </w:pPr>
      <w:rPr>
        <w:rFonts w:ascii="Symbol" w:hAnsi="Symbol"/>
      </w:rPr>
    </w:lvl>
    <w:lvl w:ilvl="4" w:tplc="1FA8E218">
      <w:start w:val="1"/>
      <w:numFmt w:val="bullet"/>
      <w:lvlText w:val="o"/>
      <w:lvlJc w:val="left"/>
      <w:pPr>
        <w:tabs>
          <w:tab w:val="num" w:pos="3600"/>
        </w:tabs>
        <w:ind w:left="3600" w:hanging="360"/>
      </w:pPr>
      <w:rPr>
        <w:rFonts w:ascii="Courier New" w:hAnsi="Courier New"/>
      </w:rPr>
    </w:lvl>
    <w:lvl w:ilvl="5" w:tplc="6630D79E">
      <w:start w:val="1"/>
      <w:numFmt w:val="bullet"/>
      <w:lvlText w:val=""/>
      <w:lvlJc w:val="left"/>
      <w:pPr>
        <w:tabs>
          <w:tab w:val="num" w:pos="4320"/>
        </w:tabs>
        <w:ind w:left="4320" w:hanging="360"/>
      </w:pPr>
      <w:rPr>
        <w:rFonts w:ascii="Wingdings" w:hAnsi="Wingdings"/>
      </w:rPr>
    </w:lvl>
    <w:lvl w:ilvl="6" w:tplc="7070F42C">
      <w:start w:val="1"/>
      <w:numFmt w:val="bullet"/>
      <w:lvlText w:val=""/>
      <w:lvlJc w:val="left"/>
      <w:pPr>
        <w:tabs>
          <w:tab w:val="num" w:pos="5040"/>
        </w:tabs>
        <w:ind w:left="5040" w:hanging="360"/>
      </w:pPr>
      <w:rPr>
        <w:rFonts w:ascii="Symbol" w:hAnsi="Symbol"/>
      </w:rPr>
    </w:lvl>
    <w:lvl w:ilvl="7" w:tplc="F93E6950">
      <w:start w:val="1"/>
      <w:numFmt w:val="bullet"/>
      <w:lvlText w:val="o"/>
      <w:lvlJc w:val="left"/>
      <w:pPr>
        <w:tabs>
          <w:tab w:val="num" w:pos="5760"/>
        </w:tabs>
        <w:ind w:left="5760" w:hanging="360"/>
      </w:pPr>
      <w:rPr>
        <w:rFonts w:ascii="Courier New" w:hAnsi="Courier New"/>
      </w:rPr>
    </w:lvl>
    <w:lvl w:ilvl="8" w:tplc="7826E7D8">
      <w:start w:val="1"/>
      <w:numFmt w:val="bullet"/>
      <w:lvlText w:val=""/>
      <w:lvlJc w:val="left"/>
      <w:pPr>
        <w:tabs>
          <w:tab w:val="num" w:pos="6480"/>
        </w:tabs>
        <w:ind w:left="6480" w:hanging="360"/>
      </w:pPr>
      <w:rPr>
        <w:rFonts w:ascii="Wingdings" w:hAnsi="Wingdings"/>
      </w:rPr>
    </w:lvl>
  </w:abstractNum>
  <w:abstractNum w:abstractNumId="893" w15:restartNumberingAfterBreak="0">
    <w:nsid w:val="7223083F"/>
    <w:multiLevelType w:val="hybridMultilevel"/>
    <w:tmpl w:val="7223083F"/>
    <w:lvl w:ilvl="0" w:tplc="6958DF88">
      <w:start w:val="1"/>
      <w:numFmt w:val="bullet"/>
      <w:lvlText w:val=""/>
      <w:lvlJc w:val="left"/>
      <w:pPr>
        <w:ind w:left="720" w:hanging="360"/>
      </w:pPr>
      <w:rPr>
        <w:rFonts w:ascii="Symbol" w:hAnsi="Symbol"/>
      </w:rPr>
    </w:lvl>
    <w:lvl w:ilvl="1" w:tplc="E00E0A52">
      <w:start w:val="1"/>
      <w:numFmt w:val="bullet"/>
      <w:lvlText w:val="o"/>
      <w:lvlJc w:val="left"/>
      <w:pPr>
        <w:tabs>
          <w:tab w:val="num" w:pos="1440"/>
        </w:tabs>
        <w:ind w:left="1440" w:hanging="360"/>
      </w:pPr>
      <w:rPr>
        <w:rFonts w:ascii="Courier New" w:hAnsi="Courier New"/>
      </w:rPr>
    </w:lvl>
    <w:lvl w:ilvl="2" w:tplc="5BA2DEB6">
      <w:start w:val="1"/>
      <w:numFmt w:val="bullet"/>
      <w:lvlText w:val=""/>
      <w:lvlJc w:val="left"/>
      <w:pPr>
        <w:tabs>
          <w:tab w:val="num" w:pos="2160"/>
        </w:tabs>
        <w:ind w:left="2160" w:hanging="360"/>
      </w:pPr>
      <w:rPr>
        <w:rFonts w:ascii="Wingdings" w:hAnsi="Wingdings"/>
      </w:rPr>
    </w:lvl>
    <w:lvl w:ilvl="3" w:tplc="68C604BA">
      <w:start w:val="1"/>
      <w:numFmt w:val="bullet"/>
      <w:lvlText w:val=""/>
      <w:lvlJc w:val="left"/>
      <w:pPr>
        <w:tabs>
          <w:tab w:val="num" w:pos="2880"/>
        </w:tabs>
        <w:ind w:left="2880" w:hanging="360"/>
      </w:pPr>
      <w:rPr>
        <w:rFonts w:ascii="Symbol" w:hAnsi="Symbol"/>
      </w:rPr>
    </w:lvl>
    <w:lvl w:ilvl="4" w:tplc="CB9486A4">
      <w:start w:val="1"/>
      <w:numFmt w:val="bullet"/>
      <w:lvlText w:val="o"/>
      <w:lvlJc w:val="left"/>
      <w:pPr>
        <w:tabs>
          <w:tab w:val="num" w:pos="3600"/>
        </w:tabs>
        <w:ind w:left="3600" w:hanging="360"/>
      </w:pPr>
      <w:rPr>
        <w:rFonts w:ascii="Courier New" w:hAnsi="Courier New"/>
      </w:rPr>
    </w:lvl>
    <w:lvl w:ilvl="5" w:tplc="B0FAD4BC">
      <w:start w:val="1"/>
      <w:numFmt w:val="bullet"/>
      <w:lvlText w:val=""/>
      <w:lvlJc w:val="left"/>
      <w:pPr>
        <w:tabs>
          <w:tab w:val="num" w:pos="4320"/>
        </w:tabs>
        <w:ind w:left="4320" w:hanging="360"/>
      </w:pPr>
      <w:rPr>
        <w:rFonts w:ascii="Wingdings" w:hAnsi="Wingdings"/>
      </w:rPr>
    </w:lvl>
    <w:lvl w:ilvl="6" w:tplc="BF34AF22">
      <w:start w:val="1"/>
      <w:numFmt w:val="bullet"/>
      <w:lvlText w:val=""/>
      <w:lvlJc w:val="left"/>
      <w:pPr>
        <w:tabs>
          <w:tab w:val="num" w:pos="5040"/>
        </w:tabs>
        <w:ind w:left="5040" w:hanging="360"/>
      </w:pPr>
      <w:rPr>
        <w:rFonts w:ascii="Symbol" w:hAnsi="Symbol"/>
      </w:rPr>
    </w:lvl>
    <w:lvl w:ilvl="7" w:tplc="571C4D8A">
      <w:start w:val="1"/>
      <w:numFmt w:val="bullet"/>
      <w:lvlText w:val="o"/>
      <w:lvlJc w:val="left"/>
      <w:pPr>
        <w:tabs>
          <w:tab w:val="num" w:pos="5760"/>
        </w:tabs>
        <w:ind w:left="5760" w:hanging="360"/>
      </w:pPr>
      <w:rPr>
        <w:rFonts w:ascii="Courier New" w:hAnsi="Courier New"/>
      </w:rPr>
    </w:lvl>
    <w:lvl w:ilvl="8" w:tplc="398047B0">
      <w:start w:val="1"/>
      <w:numFmt w:val="bullet"/>
      <w:lvlText w:val=""/>
      <w:lvlJc w:val="left"/>
      <w:pPr>
        <w:tabs>
          <w:tab w:val="num" w:pos="6480"/>
        </w:tabs>
        <w:ind w:left="6480" w:hanging="360"/>
      </w:pPr>
      <w:rPr>
        <w:rFonts w:ascii="Wingdings" w:hAnsi="Wingdings"/>
      </w:rPr>
    </w:lvl>
  </w:abstractNum>
  <w:abstractNum w:abstractNumId="894" w15:restartNumberingAfterBreak="0">
    <w:nsid w:val="72230840"/>
    <w:multiLevelType w:val="hybridMultilevel"/>
    <w:tmpl w:val="72230840"/>
    <w:lvl w:ilvl="0" w:tplc="709A1DC4">
      <w:start w:val="1"/>
      <w:numFmt w:val="bullet"/>
      <w:lvlText w:val=""/>
      <w:lvlJc w:val="left"/>
      <w:pPr>
        <w:ind w:left="720" w:hanging="360"/>
      </w:pPr>
      <w:rPr>
        <w:rFonts w:ascii="Symbol" w:hAnsi="Symbol"/>
      </w:rPr>
    </w:lvl>
    <w:lvl w:ilvl="1" w:tplc="2CC85D82">
      <w:start w:val="1"/>
      <w:numFmt w:val="bullet"/>
      <w:lvlText w:val="o"/>
      <w:lvlJc w:val="left"/>
      <w:pPr>
        <w:tabs>
          <w:tab w:val="num" w:pos="1440"/>
        </w:tabs>
        <w:ind w:left="1440" w:hanging="360"/>
      </w:pPr>
      <w:rPr>
        <w:rFonts w:ascii="Courier New" w:hAnsi="Courier New"/>
      </w:rPr>
    </w:lvl>
    <w:lvl w:ilvl="2" w:tplc="C3589F3E">
      <w:start w:val="1"/>
      <w:numFmt w:val="bullet"/>
      <w:lvlText w:val=""/>
      <w:lvlJc w:val="left"/>
      <w:pPr>
        <w:tabs>
          <w:tab w:val="num" w:pos="2160"/>
        </w:tabs>
        <w:ind w:left="2160" w:hanging="360"/>
      </w:pPr>
      <w:rPr>
        <w:rFonts w:ascii="Wingdings" w:hAnsi="Wingdings"/>
      </w:rPr>
    </w:lvl>
    <w:lvl w:ilvl="3" w:tplc="7D546250">
      <w:start w:val="1"/>
      <w:numFmt w:val="bullet"/>
      <w:lvlText w:val=""/>
      <w:lvlJc w:val="left"/>
      <w:pPr>
        <w:tabs>
          <w:tab w:val="num" w:pos="2880"/>
        </w:tabs>
        <w:ind w:left="2880" w:hanging="360"/>
      </w:pPr>
      <w:rPr>
        <w:rFonts w:ascii="Symbol" w:hAnsi="Symbol"/>
      </w:rPr>
    </w:lvl>
    <w:lvl w:ilvl="4" w:tplc="FF7AB600">
      <w:start w:val="1"/>
      <w:numFmt w:val="bullet"/>
      <w:lvlText w:val="o"/>
      <w:lvlJc w:val="left"/>
      <w:pPr>
        <w:tabs>
          <w:tab w:val="num" w:pos="3600"/>
        </w:tabs>
        <w:ind w:left="3600" w:hanging="360"/>
      </w:pPr>
      <w:rPr>
        <w:rFonts w:ascii="Courier New" w:hAnsi="Courier New"/>
      </w:rPr>
    </w:lvl>
    <w:lvl w:ilvl="5" w:tplc="9620BB1E">
      <w:start w:val="1"/>
      <w:numFmt w:val="bullet"/>
      <w:lvlText w:val=""/>
      <w:lvlJc w:val="left"/>
      <w:pPr>
        <w:tabs>
          <w:tab w:val="num" w:pos="4320"/>
        </w:tabs>
        <w:ind w:left="4320" w:hanging="360"/>
      </w:pPr>
      <w:rPr>
        <w:rFonts w:ascii="Wingdings" w:hAnsi="Wingdings"/>
      </w:rPr>
    </w:lvl>
    <w:lvl w:ilvl="6" w:tplc="0EAADE8E">
      <w:start w:val="1"/>
      <w:numFmt w:val="bullet"/>
      <w:lvlText w:val=""/>
      <w:lvlJc w:val="left"/>
      <w:pPr>
        <w:tabs>
          <w:tab w:val="num" w:pos="5040"/>
        </w:tabs>
        <w:ind w:left="5040" w:hanging="360"/>
      </w:pPr>
      <w:rPr>
        <w:rFonts w:ascii="Symbol" w:hAnsi="Symbol"/>
      </w:rPr>
    </w:lvl>
    <w:lvl w:ilvl="7" w:tplc="86E4792E">
      <w:start w:val="1"/>
      <w:numFmt w:val="bullet"/>
      <w:lvlText w:val="o"/>
      <w:lvlJc w:val="left"/>
      <w:pPr>
        <w:tabs>
          <w:tab w:val="num" w:pos="5760"/>
        </w:tabs>
        <w:ind w:left="5760" w:hanging="360"/>
      </w:pPr>
      <w:rPr>
        <w:rFonts w:ascii="Courier New" w:hAnsi="Courier New"/>
      </w:rPr>
    </w:lvl>
    <w:lvl w:ilvl="8" w:tplc="38D0EBD8">
      <w:start w:val="1"/>
      <w:numFmt w:val="bullet"/>
      <w:lvlText w:val=""/>
      <w:lvlJc w:val="left"/>
      <w:pPr>
        <w:tabs>
          <w:tab w:val="num" w:pos="6480"/>
        </w:tabs>
        <w:ind w:left="6480" w:hanging="360"/>
      </w:pPr>
      <w:rPr>
        <w:rFonts w:ascii="Wingdings" w:hAnsi="Wingdings"/>
      </w:rPr>
    </w:lvl>
  </w:abstractNum>
  <w:abstractNum w:abstractNumId="895" w15:restartNumberingAfterBreak="0">
    <w:nsid w:val="72230841"/>
    <w:multiLevelType w:val="hybridMultilevel"/>
    <w:tmpl w:val="72230841"/>
    <w:lvl w:ilvl="0" w:tplc="DDCA15EE">
      <w:start w:val="1"/>
      <w:numFmt w:val="bullet"/>
      <w:lvlText w:val=""/>
      <w:lvlJc w:val="left"/>
      <w:pPr>
        <w:ind w:left="720" w:hanging="360"/>
      </w:pPr>
      <w:rPr>
        <w:rFonts w:ascii="Symbol" w:hAnsi="Symbol"/>
      </w:rPr>
    </w:lvl>
    <w:lvl w:ilvl="1" w:tplc="A286678E">
      <w:start w:val="1"/>
      <w:numFmt w:val="bullet"/>
      <w:lvlText w:val="o"/>
      <w:lvlJc w:val="left"/>
      <w:pPr>
        <w:tabs>
          <w:tab w:val="num" w:pos="1440"/>
        </w:tabs>
        <w:ind w:left="1440" w:hanging="360"/>
      </w:pPr>
      <w:rPr>
        <w:rFonts w:ascii="Courier New" w:hAnsi="Courier New"/>
      </w:rPr>
    </w:lvl>
    <w:lvl w:ilvl="2" w:tplc="3FDEB966">
      <w:start w:val="1"/>
      <w:numFmt w:val="bullet"/>
      <w:lvlText w:val=""/>
      <w:lvlJc w:val="left"/>
      <w:pPr>
        <w:tabs>
          <w:tab w:val="num" w:pos="2160"/>
        </w:tabs>
        <w:ind w:left="2160" w:hanging="360"/>
      </w:pPr>
      <w:rPr>
        <w:rFonts w:ascii="Wingdings" w:hAnsi="Wingdings"/>
      </w:rPr>
    </w:lvl>
    <w:lvl w:ilvl="3" w:tplc="FAAEA194">
      <w:start w:val="1"/>
      <w:numFmt w:val="bullet"/>
      <w:lvlText w:val=""/>
      <w:lvlJc w:val="left"/>
      <w:pPr>
        <w:tabs>
          <w:tab w:val="num" w:pos="2880"/>
        </w:tabs>
        <w:ind w:left="2880" w:hanging="360"/>
      </w:pPr>
      <w:rPr>
        <w:rFonts w:ascii="Symbol" w:hAnsi="Symbol"/>
      </w:rPr>
    </w:lvl>
    <w:lvl w:ilvl="4" w:tplc="5672E0CE">
      <w:start w:val="1"/>
      <w:numFmt w:val="bullet"/>
      <w:lvlText w:val="o"/>
      <w:lvlJc w:val="left"/>
      <w:pPr>
        <w:tabs>
          <w:tab w:val="num" w:pos="3600"/>
        </w:tabs>
        <w:ind w:left="3600" w:hanging="360"/>
      </w:pPr>
      <w:rPr>
        <w:rFonts w:ascii="Courier New" w:hAnsi="Courier New"/>
      </w:rPr>
    </w:lvl>
    <w:lvl w:ilvl="5" w:tplc="E1D8B0DE">
      <w:start w:val="1"/>
      <w:numFmt w:val="bullet"/>
      <w:lvlText w:val=""/>
      <w:lvlJc w:val="left"/>
      <w:pPr>
        <w:tabs>
          <w:tab w:val="num" w:pos="4320"/>
        </w:tabs>
        <w:ind w:left="4320" w:hanging="360"/>
      </w:pPr>
      <w:rPr>
        <w:rFonts w:ascii="Wingdings" w:hAnsi="Wingdings"/>
      </w:rPr>
    </w:lvl>
    <w:lvl w:ilvl="6" w:tplc="AB8C86C8">
      <w:start w:val="1"/>
      <w:numFmt w:val="bullet"/>
      <w:lvlText w:val=""/>
      <w:lvlJc w:val="left"/>
      <w:pPr>
        <w:tabs>
          <w:tab w:val="num" w:pos="5040"/>
        </w:tabs>
        <w:ind w:left="5040" w:hanging="360"/>
      </w:pPr>
      <w:rPr>
        <w:rFonts w:ascii="Symbol" w:hAnsi="Symbol"/>
      </w:rPr>
    </w:lvl>
    <w:lvl w:ilvl="7" w:tplc="14567E36">
      <w:start w:val="1"/>
      <w:numFmt w:val="bullet"/>
      <w:lvlText w:val="o"/>
      <w:lvlJc w:val="left"/>
      <w:pPr>
        <w:tabs>
          <w:tab w:val="num" w:pos="5760"/>
        </w:tabs>
        <w:ind w:left="5760" w:hanging="360"/>
      </w:pPr>
      <w:rPr>
        <w:rFonts w:ascii="Courier New" w:hAnsi="Courier New"/>
      </w:rPr>
    </w:lvl>
    <w:lvl w:ilvl="8" w:tplc="4508961A">
      <w:start w:val="1"/>
      <w:numFmt w:val="bullet"/>
      <w:lvlText w:val=""/>
      <w:lvlJc w:val="left"/>
      <w:pPr>
        <w:tabs>
          <w:tab w:val="num" w:pos="6480"/>
        </w:tabs>
        <w:ind w:left="6480" w:hanging="360"/>
      </w:pPr>
      <w:rPr>
        <w:rFonts w:ascii="Wingdings" w:hAnsi="Wingdings"/>
      </w:rPr>
    </w:lvl>
  </w:abstractNum>
  <w:abstractNum w:abstractNumId="896" w15:restartNumberingAfterBreak="0">
    <w:nsid w:val="72230842"/>
    <w:multiLevelType w:val="hybridMultilevel"/>
    <w:tmpl w:val="72230842"/>
    <w:lvl w:ilvl="0" w:tplc="0964C256">
      <w:start w:val="1"/>
      <w:numFmt w:val="bullet"/>
      <w:lvlText w:val=""/>
      <w:lvlJc w:val="left"/>
      <w:pPr>
        <w:ind w:left="720" w:hanging="360"/>
      </w:pPr>
      <w:rPr>
        <w:rFonts w:ascii="Symbol" w:hAnsi="Symbol"/>
      </w:rPr>
    </w:lvl>
    <w:lvl w:ilvl="1" w:tplc="EDF68154">
      <w:start w:val="1"/>
      <w:numFmt w:val="bullet"/>
      <w:lvlText w:val="o"/>
      <w:lvlJc w:val="left"/>
      <w:pPr>
        <w:tabs>
          <w:tab w:val="num" w:pos="1440"/>
        </w:tabs>
        <w:ind w:left="1440" w:hanging="360"/>
      </w:pPr>
      <w:rPr>
        <w:rFonts w:ascii="Courier New" w:hAnsi="Courier New"/>
      </w:rPr>
    </w:lvl>
    <w:lvl w:ilvl="2" w:tplc="13CE2916">
      <w:start w:val="1"/>
      <w:numFmt w:val="bullet"/>
      <w:lvlText w:val=""/>
      <w:lvlJc w:val="left"/>
      <w:pPr>
        <w:tabs>
          <w:tab w:val="num" w:pos="2160"/>
        </w:tabs>
        <w:ind w:left="2160" w:hanging="360"/>
      </w:pPr>
      <w:rPr>
        <w:rFonts w:ascii="Wingdings" w:hAnsi="Wingdings"/>
      </w:rPr>
    </w:lvl>
    <w:lvl w:ilvl="3" w:tplc="A9BE7112">
      <w:start w:val="1"/>
      <w:numFmt w:val="bullet"/>
      <w:lvlText w:val=""/>
      <w:lvlJc w:val="left"/>
      <w:pPr>
        <w:tabs>
          <w:tab w:val="num" w:pos="2880"/>
        </w:tabs>
        <w:ind w:left="2880" w:hanging="360"/>
      </w:pPr>
      <w:rPr>
        <w:rFonts w:ascii="Symbol" w:hAnsi="Symbol"/>
      </w:rPr>
    </w:lvl>
    <w:lvl w:ilvl="4" w:tplc="3378D9BA">
      <w:start w:val="1"/>
      <w:numFmt w:val="bullet"/>
      <w:lvlText w:val="o"/>
      <w:lvlJc w:val="left"/>
      <w:pPr>
        <w:tabs>
          <w:tab w:val="num" w:pos="3600"/>
        </w:tabs>
        <w:ind w:left="3600" w:hanging="360"/>
      </w:pPr>
      <w:rPr>
        <w:rFonts w:ascii="Courier New" w:hAnsi="Courier New"/>
      </w:rPr>
    </w:lvl>
    <w:lvl w:ilvl="5" w:tplc="780A9E3E">
      <w:start w:val="1"/>
      <w:numFmt w:val="bullet"/>
      <w:lvlText w:val=""/>
      <w:lvlJc w:val="left"/>
      <w:pPr>
        <w:tabs>
          <w:tab w:val="num" w:pos="4320"/>
        </w:tabs>
        <w:ind w:left="4320" w:hanging="360"/>
      </w:pPr>
      <w:rPr>
        <w:rFonts w:ascii="Wingdings" w:hAnsi="Wingdings"/>
      </w:rPr>
    </w:lvl>
    <w:lvl w:ilvl="6" w:tplc="4022D8AC">
      <w:start w:val="1"/>
      <w:numFmt w:val="bullet"/>
      <w:lvlText w:val=""/>
      <w:lvlJc w:val="left"/>
      <w:pPr>
        <w:tabs>
          <w:tab w:val="num" w:pos="5040"/>
        </w:tabs>
        <w:ind w:left="5040" w:hanging="360"/>
      </w:pPr>
      <w:rPr>
        <w:rFonts w:ascii="Symbol" w:hAnsi="Symbol"/>
      </w:rPr>
    </w:lvl>
    <w:lvl w:ilvl="7" w:tplc="EE8C136A">
      <w:start w:val="1"/>
      <w:numFmt w:val="bullet"/>
      <w:lvlText w:val="o"/>
      <w:lvlJc w:val="left"/>
      <w:pPr>
        <w:tabs>
          <w:tab w:val="num" w:pos="5760"/>
        </w:tabs>
        <w:ind w:left="5760" w:hanging="360"/>
      </w:pPr>
      <w:rPr>
        <w:rFonts w:ascii="Courier New" w:hAnsi="Courier New"/>
      </w:rPr>
    </w:lvl>
    <w:lvl w:ilvl="8" w:tplc="3BE41BE2">
      <w:start w:val="1"/>
      <w:numFmt w:val="bullet"/>
      <w:lvlText w:val=""/>
      <w:lvlJc w:val="left"/>
      <w:pPr>
        <w:tabs>
          <w:tab w:val="num" w:pos="6480"/>
        </w:tabs>
        <w:ind w:left="6480" w:hanging="360"/>
      </w:pPr>
      <w:rPr>
        <w:rFonts w:ascii="Wingdings" w:hAnsi="Wingdings"/>
      </w:rPr>
    </w:lvl>
  </w:abstractNum>
  <w:abstractNum w:abstractNumId="897" w15:restartNumberingAfterBreak="0">
    <w:nsid w:val="72230843"/>
    <w:multiLevelType w:val="hybridMultilevel"/>
    <w:tmpl w:val="72230843"/>
    <w:lvl w:ilvl="0" w:tplc="45E8249C">
      <w:start w:val="1"/>
      <w:numFmt w:val="bullet"/>
      <w:lvlText w:val=""/>
      <w:lvlJc w:val="left"/>
      <w:pPr>
        <w:ind w:left="720" w:hanging="360"/>
      </w:pPr>
      <w:rPr>
        <w:rFonts w:ascii="Symbol" w:hAnsi="Symbol"/>
      </w:rPr>
    </w:lvl>
    <w:lvl w:ilvl="1" w:tplc="D2E64BC2">
      <w:start w:val="1"/>
      <w:numFmt w:val="bullet"/>
      <w:lvlText w:val="o"/>
      <w:lvlJc w:val="left"/>
      <w:pPr>
        <w:tabs>
          <w:tab w:val="num" w:pos="1440"/>
        </w:tabs>
        <w:ind w:left="1440" w:hanging="360"/>
      </w:pPr>
      <w:rPr>
        <w:rFonts w:ascii="Courier New" w:hAnsi="Courier New"/>
      </w:rPr>
    </w:lvl>
    <w:lvl w:ilvl="2" w:tplc="C1CC4BE6">
      <w:start w:val="1"/>
      <w:numFmt w:val="bullet"/>
      <w:lvlText w:val=""/>
      <w:lvlJc w:val="left"/>
      <w:pPr>
        <w:tabs>
          <w:tab w:val="num" w:pos="2160"/>
        </w:tabs>
        <w:ind w:left="2160" w:hanging="360"/>
      </w:pPr>
      <w:rPr>
        <w:rFonts w:ascii="Wingdings" w:hAnsi="Wingdings"/>
      </w:rPr>
    </w:lvl>
    <w:lvl w:ilvl="3" w:tplc="21426952">
      <w:start w:val="1"/>
      <w:numFmt w:val="bullet"/>
      <w:lvlText w:val=""/>
      <w:lvlJc w:val="left"/>
      <w:pPr>
        <w:tabs>
          <w:tab w:val="num" w:pos="2880"/>
        </w:tabs>
        <w:ind w:left="2880" w:hanging="360"/>
      </w:pPr>
      <w:rPr>
        <w:rFonts w:ascii="Symbol" w:hAnsi="Symbol"/>
      </w:rPr>
    </w:lvl>
    <w:lvl w:ilvl="4" w:tplc="E8E07B52">
      <w:start w:val="1"/>
      <w:numFmt w:val="bullet"/>
      <w:lvlText w:val="o"/>
      <w:lvlJc w:val="left"/>
      <w:pPr>
        <w:tabs>
          <w:tab w:val="num" w:pos="3600"/>
        </w:tabs>
        <w:ind w:left="3600" w:hanging="360"/>
      </w:pPr>
      <w:rPr>
        <w:rFonts w:ascii="Courier New" w:hAnsi="Courier New"/>
      </w:rPr>
    </w:lvl>
    <w:lvl w:ilvl="5" w:tplc="5B0C3FEE">
      <w:start w:val="1"/>
      <w:numFmt w:val="bullet"/>
      <w:lvlText w:val=""/>
      <w:lvlJc w:val="left"/>
      <w:pPr>
        <w:tabs>
          <w:tab w:val="num" w:pos="4320"/>
        </w:tabs>
        <w:ind w:left="4320" w:hanging="360"/>
      </w:pPr>
      <w:rPr>
        <w:rFonts w:ascii="Wingdings" w:hAnsi="Wingdings"/>
      </w:rPr>
    </w:lvl>
    <w:lvl w:ilvl="6" w:tplc="FC7A6958">
      <w:start w:val="1"/>
      <w:numFmt w:val="bullet"/>
      <w:lvlText w:val=""/>
      <w:lvlJc w:val="left"/>
      <w:pPr>
        <w:tabs>
          <w:tab w:val="num" w:pos="5040"/>
        </w:tabs>
        <w:ind w:left="5040" w:hanging="360"/>
      </w:pPr>
      <w:rPr>
        <w:rFonts w:ascii="Symbol" w:hAnsi="Symbol"/>
      </w:rPr>
    </w:lvl>
    <w:lvl w:ilvl="7" w:tplc="CC66F54C">
      <w:start w:val="1"/>
      <w:numFmt w:val="bullet"/>
      <w:lvlText w:val="o"/>
      <w:lvlJc w:val="left"/>
      <w:pPr>
        <w:tabs>
          <w:tab w:val="num" w:pos="5760"/>
        </w:tabs>
        <w:ind w:left="5760" w:hanging="360"/>
      </w:pPr>
      <w:rPr>
        <w:rFonts w:ascii="Courier New" w:hAnsi="Courier New"/>
      </w:rPr>
    </w:lvl>
    <w:lvl w:ilvl="8" w:tplc="25BCFF9E">
      <w:start w:val="1"/>
      <w:numFmt w:val="bullet"/>
      <w:lvlText w:val=""/>
      <w:lvlJc w:val="left"/>
      <w:pPr>
        <w:tabs>
          <w:tab w:val="num" w:pos="6480"/>
        </w:tabs>
        <w:ind w:left="6480" w:hanging="360"/>
      </w:pPr>
      <w:rPr>
        <w:rFonts w:ascii="Wingdings" w:hAnsi="Wingdings"/>
      </w:rPr>
    </w:lvl>
  </w:abstractNum>
  <w:abstractNum w:abstractNumId="898" w15:restartNumberingAfterBreak="0">
    <w:nsid w:val="72230844"/>
    <w:multiLevelType w:val="hybridMultilevel"/>
    <w:tmpl w:val="72230844"/>
    <w:lvl w:ilvl="0" w:tplc="F45E5FE2">
      <w:start w:val="1"/>
      <w:numFmt w:val="bullet"/>
      <w:lvlText w:val=""/>
      <w:lvlJc w:val="left"/>
      <w:pPr>
        <w:tabs>
          <w:tab w:val="num" w:pos="720"/>
        </w:tabs>
        <w:ind w:left="720" w:hanging="360"/>
      </w:pPr>
      <w:rPr>
        <w:rFonts w:ascii="Symbol" w:hAnsi="Symbol"/>
      </w:rPr>
    </w:lvl>
    <w:lvl w:ilvl="1" w:tplc="B7B2BE74">
      <w:start w:val="1"/>
      <w:numFmt w:val="bullet"/>
      <w:lvlText w:val="o"/>
      <w:lvlJc w:val="left"/>
      <w:pPr>
        <w:tabs>
          <w:tab w:val="num" w:pos="1440"/>
        </w:tabs>
        <w:ind w:left="1440" w:hanging="360"/>
      </w:pPr>
      <w:rPr>
        <w:rFonts w:ascii="Courier New" w:hAnsi="Courier New"/>
      </w:rPr>
    </w:lvl>
    <w:lvl w:ilvl="2" w:tplc="ECBC959E">
      <w:start w:val="1"/>
      <w:numFmt w:val="bullet"/>
      <w:lvlText w:val=""/>
      <w:lvlJc w:val="left"/>
      <w:pPr>
        <w:tabs>
          <w:tab w:val="num" w:pos="2160"/>
        </w:tabs>
        <w:ind w:left="2160" w:hanging="360"/>
      </w:pPr>
      <w:rPr>
        <w:rFonts w:ascii="Wingdings" w:hAnsi="Wingdings"/>
      </w:rPr>
    </w:lvl>
    <w:lvl w:ilvl="3" w:tplc="32FE83D0">
      <w:start w:val="1"/>
      <w:numFmt w:val="bullet"/>
      <w:lvlText w:val=""/>
      <w:lvlJc w:val="left"/>
      <w:pPr>
        <w:tabs>
          <w:tab w:val="num" w:pos="2880"/>
        </w:tabs>
        <w:ind w:left="2880" w:hanging="360"/>
      </w:pPr>
      <w:rPr>
        <w:rFonts w:ascii="Symbol" w:hAnsi="Symbol"/>
      </w:rPr>
    </w:lvl>
    <w:lvl w:ilvl="4" w:tplc="5AA87592">
      <w:start w:val="1"/>
      <w:numFmt w:val="bullet"/>
      <w:lvlText w:val="o"/>
      <w:lvlJc w:val="left"/>
      <w:pPr>
        <w:tabs>
          <w:tab w:val="num" w:pos="3600"/>
        </w:tabs>
        <w:ind w:left="3600" w:hanging="360"/>
      </w:pPr>
      <w:rPr>
        <w:rFonts w:ascii="Courier New" w:hAnsi="Courier New"/>
      </w:rPr>
    </w:lvl>
    <w:lvl w:ilvl="5" w:tplc="C11E1580">
      <w:start w:val="1"/>
      <w:numFmt w:val="bullet"/>
      <w:lvlText w:val=""/>
      <w:lvlJc w:val="left"/>
      <w:pPr>
        <w:tabs>
          <w:tab w:val="num" w:pos="4320"/>
        </w:tabs>
        <w:ind w:left="4320" w:hanging="360"/>
      </w:pPr>
      <w:rPr>
        <w:rFonts w:ascii="Wingdings" w:hAnsi="Wingdings"/>
      </w:rPr>
    </w:lvl>
    <w:lvl w:ilvl="6" w:tplc="18B4F77C">
      <w:start w:val="1"/>
      <w:numFmt w:val="bullet"/>
      <w:lvlText w:val=""/>
      <w:lvlJc w:val="left"/>
      <w:pPr>
        <w:tabs>
          <w:tab w:val="num" w:pos="5040"/>
        </w:tabs>
        <w:ind w:left="5040" w:hanging="360"/>
      </w:pPr>
      <w:rPr>
        <w:rFonts w:ascii="Symbol" w:hAnsi="Symbol"/>
      </w:rPr>
    </w:lvl>
    <w:lvl w:ilvl="7" w:tplc="1B5276C2">
      <w:start w:val="1"/>
      <w:numFmt w:val="bullet"/>
      <w:lvlText w:val="o"/>
      <w:lvlJc w:val="left"/>
      <w:pPr>
        <w:tabs>
          <w:tab w:val="num" w:pos="5760"/>
        </w:tabs>
        <w:ind w:left="5760" w:hanging="360"/>
      </w:pPr>
      <w:rPr>
        <w:rFonts w:ascii="Courier New" w:hAnsi="Courier New"/>
      </w:rPr>
    </w:lvl>
    <w:lvl w:ilvl="8" w:tplc="78060308">
      <w:start w:val="1"/>
      <w:numFmt w:val="bullet"/>
      <w:lvlText w:val=""/>
      <w:lvlJc w:val="left"/>
      <w:pPr>
        <w:tabs>
          <w:tab w:val="num" w:pos="6480"/>
        </w:tabs>
        <w:ind w:left="6480" w:hanging="360"/>
      </w:pPr>
      <w:rPr>
        <w:rFonts w:ascii="Wingdings" w:hAnsi="Wingdings"/>
      </w:rPr>
    </w:lvl>
  </w:abstractNum>
  <w:abstractNum w:abstractNumId="899" w15:restartNumberingAfterBreak="0">
    <w:nsid w:val="72230845"/>
    <w:multiLevelType w:val="hybridMultilevel"/>
    <w:tmpl w:val="72230845"/>
    <w:lvl w:ilvl="0" w:tplc="068EAE12">
      <w:start w:val="1"/>
      <w:numFmt w:val="bullet"/>
      <w:lvlText w:val=""/>
      <w:lvlJc w:val="left"/>
      <w:pPr>
        <w:ind w:left="720" w:hanging="360"/>
      </w:pPr>
      <w:rPr>
        <w:rFonts w:ascii="Symbol" w:hAnsi="Symbol"/>
      </w:rPr>
    </w:lvl>
    <w:lvl w:ilvl="1" w:tplc="99D8792E">
      <w:start w:val="1"/>
      <w:numFmt w:val="bullet"/>
      <w:lvlText w:val="o"/>
      <w:lvlJc w:val="left"/>
      <w:pPr>
        <w:tabs>
          <w:tab w:val="num" w:pos="1440"/>
        </w:tabs>
        <w:ind w:left="1440" w:hanging="360"/>
      </w:pPr>
      <w:rPr>
        <w:rFonts w:ascii="Courier New" w:hAnsi="Courier New"/>
      </w:rPr>
    </w:lvl>
    <w:lvl w:ilvl="2" w:tplc="46B85C2E">
      <w:start w:val="1"/>
      <w:numFmt w:val="bullet"/>
      <w:lvlText w:val=""/>
      <w:lvlJc w:val="left"/>
      <w:pPr>
        <w:tabs>
          <w:tab w:val="num" w:pos="2160"/>
        </w:tabs>
        <w:ind w:left="2160" w:hanging="360"/>
      </w:pPr>
      <w:rPr>
        <w:rFonts w:ascii="Wingdings" w:hAnsi="Wingdings"/>
      </w:rPr>
    </w:lvl>
    <w:lvl w:ilvl="3" w:tplc="DB96A816">
      <w:start w:val="1"/>
      <w:numFmt w:val="bullet"/>
      <w:lvlText w:val=""/>
      <w:lvlJc w:val="left"/>
      <w:pPr>
        <w:tabs>
          <w:tab w:val="num" w:pos="2880"/>
        </w:tabs>
        <w:ind w:left="2880" w:hanging="360"/>
      </w:pPr>
      <w:rPr>
        <w:rFonts w:ascii="Symbol" w:hAnsi="Symbol"/>
      </w:rPr>
    </w:lvl>
    <w:lvl w:ilvl="4" w:tplc="CC3824C8">
      <w:start w:val="1"/>
      <w:numFmt w:val="bullet"/>
      <w:lvlText w:val="o"/>
      <w:lvlJc w:val="left"/>
      <w:pPr>
        <w:tabs>
          <w:tab w:val="num" w:pos="3600"/>
        </w:tabs>
        <w:ind w:left="3600" w:hanging="360"/>
      </w:pPr>
      <w:rPr>
        <w:rFonts w:ascii="Courier New" w:hAnsi="Courier New"/>
      </w:rPr>
    </w:lvl>
    <w:lvl w:ilvl="5" w:tplc="5A443D68">
      <w:start w:val="1"/>
      <w:numFmt w:val="bullet"/>
      <w:lvlText w:val=""/>
      <w:lvlJc w:val="left"/>
      <w:pPr>
        <w:tabs>
          <w:tab w:val="num" w:pos="4320"/>
        </w:tabs>
        <w:ind w:left="4320" w:hanging="360"/>
      </w:pPr>
      <w:rPr>
        <w:rFonts w:ascii="Wingdings" w:hAnsi="Wingdings"/>
      </w:rPr>
    </w:lvl>
    <w:lvl w:ilvl="6" w:tplc="43186DF6">
      <w:start w:val="1"/>
      <w:numFmt w:val="bullet"/>
      <w:lvlText w:val=""/>
      <w:lvlJc w:val="left"/>
      <w:pPr>
        <w:tabs>
          <w:tab w:val="num" w:pos="5040"/>
        </w:tabs>
        <w:ind w:left="5040" w:hanging="360"/>
      </w:pPr>
      <w:rPr>
        <w:rFonts w:ascii="Symbol" w:hAnsi="Symbol"/>
      </w:rPr>
    </w:lvl>
    <w:lvl w:ilvl="7" w:tplc="D6BA1C48">
      <w:start w:val="1"/>
      <w:numFmt w:val="bullet"/>
      <w:lvlText w:val="o"/>
      <w:lvlJc w:val="left"/>
      <w:pPr>
        <w:tabs>
          <w:tab w:val="num" w:pos="5760"/>
        </w:tabs>
        <w:ind w:left="5760" w:hanging="360"/>
      </w:pPr>
      <w:rPr>
        <w:rFonts w:ascii="Courier New" w:hAnsi="Courier New"/>
      </w:rPr>
    </w:lvl>
    <w:lvl w:ilvl="8" w:tplc="44DE57B2">
      <w:start w:val="1"/>
      <w:numFmt w:val="bullet"/>
      <w:lvlText w:val=""/>
      <w:lvlJc w:val="left"/>
      <w:pPr>
        <w:tabs>
          <w:tab w:val="num" w:pos="6480"/>
        </w:tabs>
        <w:ind w:left="6480" w:hanging="360"/>
      </w:pPr>
      <w:rPr>
        <w:rFonts w:ascii="Wingdings" w:hAnsi="Wingdings"/>
      </w:rPr>
    </w:lvl>
  </w:abstractNum>
  <w:abstractNum w:abstractNumId="900" w15:restartNumberingAfterBreak="0">
    <w:nsid w:val="72230846"/>
    <w:multiLevelType w:val="hybridMultilevel"/>
    <w:tmpl w:val="72230846"/>
    <w:lvl w:ilvl="0" w:tplc="314228F6">
      <w:start w:val="1"/>
      <w:numFmt w:val="bullet"/>
      <w:lvlText w:val=""/>
      <w:lvlJc w:val="left"/>
      <w:pPr>
        <w:ind w:left="720" w:hanging="360"/>
      </w:pPr>
      <w:rPr>
        <w:rFonts w:ascii="Symbol" w:hAnsi="Symbol"/>
      </w:rPr>
    </w:lvl>
    <w:lvl w:ilvl="1" w:tplc="B6A8BF18">
      <w:start w:val="1"/>
      <w:numFmt w:val="bullet"/>
      <w:lvlText w:val="o"/>
      <w:lvlJc w:val="left"/>
      <w:pPr>
        <w:tabs>
          <w:tab w:val="num" w:pos="1440"/>
        </w:tabs>
        <w:ind w:left="1440" w:hanging="360"/>
      </w:pPr>
      <w:rPr>
        <w:rFonts w:ascii="Courier New" w:hAnsi="Courier New"/>
      </w:rPr>
    </w:lvl>
    <w:lvl w:ilvl="2" w:tplc="7EF0371E">
      <w:start w:val="1"/>
      <w:numFmt w:val="bullet"/>
      <w:lvlText w:val=""/>
      <w:lvlJc w:val="left"/>
      <w:pPr>
        <w:tabs>
          <w:tab w:val="num" w:pos="2160"/>
        </w:tabs>
        <w:ind w:left="2160" w:hanging="360"/>
      </w:pPr>
      <w:rPr>
        <w:rFonts w:ascii="Wingdings" w:hAnsi="Wingdings"/>
      </w:rPr>
    </w:lvl>
    <w:lvl w:ilvl="3" w:tplc="EC622AE0">
      <w:start w:val="1"/>
      <w:numFmt w:val="bullet"/>
      <w:lvlText w:val=""/>
      <w:lvlJc w:val="left"/>
      <w:pPr>
        <w:tabs>
          <w:tab w:val="num" w:pos="2880"/>
        </w:tabs>
        <w:ind w:left="2880" w:hanging="360"/>
      </w:pPr>
      <w:rPr>
        <w:rFonts w:ascii="Symbol" w:hAnsi="Symbol"/>
      </w:rPr>
    </w:lvl>
    <w:lvl w:ilvl="4" w:tplc="5ABC6B66">
      <w:start w:val="1"/>
      <w:numFmt w:val="bullet"/>
      <w:lvlText w:val="o"/>
      <w:lvlJc w:val="left"/>
      <w:pPr>
        <w:tabs>
          <w:tab w:val="num" w:pos="3600"/>
        </w:tabs>
        <w:ind w:left="3600" w:hanging="360"/>
      </w:pPr>
      <w:rPr>
        <w:rFonts w:ascii="Courier New" w:hAnsi="Courier New"/>
      </w:rPr>
    </w:lvl>
    <w:lvl w:ilvl="5" w:tplc="B0E25FB8">
      <w:start w:val="1"/>
      <w:numFmt w:val="bullet"/>
      <w:lvlText w:val=""/>
      <w:lvlJc w:val="left"/>
      <w:pPr>
        <w:tabs>
          <w:tab w:val="num" w:pos="4320"/>
        </w:tabs>
        <w:ind w:left="4320" w:hanging="360"/>
      </w:pPr>
      <w:rPr>
        <w:rFonts w:ascii="Wingdings" w:hAnsi="Wingdings"/>
      </w:rPr>
    </w:lvl>
    <w:lvl w:ilvl="6" w:tplc="AB0C7130">
      <w:start w:val="1"/>
      <w:numFmt w:val="bullet"/>
      <w:lvlText w:val=""/>
      <w:lvlJc w:val="left"/>
      <w:pPr>
        <w:tabs>
          <w:tab w:val="num" w:pos="5040"/>
        </w:tabs>
        <w:ind w:left="5040" w:hanging="360"/>
      </w:pPr>
      <w:rPr>
        <w:rFonts w:ascii="Symbol" w:hAnsi="Symbol"/>
      </w:rPr>
    </w:lvl>
    <w:lvl w:ilvl="7" w:tplc="D69A67EA">
      <w:start w:val="1"/>
      <w:numFmt w:val="bullet"/>
      <w:lvlText w:val="o"/>
      <w:lvlJc w:val="left"/>
      <w:pPr>
        <w:tabs>
          <w:tab w:val="num" w:pos="5760"/>
        </w:tabs>
        <w:ind w:left="5760" w:hanging="360"/>
      </w:pPr>
      <w:rPr>
        <w:rFonts w:ascii="Courier New" w:hAnsi="Courier New"/>
      </w:rPr>
    </w:lvl>
    <w:lvl w:ilvl="8" w:tplc="D9762672">
      <w:start w:val="1"/>
      <w:numFmt w:val="bullet"/>
      <w:lvlText w:val=""/>
      <w:lvlJc w:val="left"/>
      <w:pPr>
        <w:tabs>
          <w:tab w:val="num" w:pos="6480"/>
        </w:tabs>
        <w:ind w:left="6480" w:hanging="360"/>
      </w:pPr>
      <w:rPr>
        <w:rFonts w:ascii="Wingdings" w:hAnsi="Wingdings"/>
      </w:rPr>
    </w:lvl>
  </w:abstractNum>
  <w:abstractNum w:abstractNumId="901" w15:restartNumberingAfterBreak="0">
    <w:nsid w:val="72230847"/>
    <w:multiLevelType w:val="hybridMultilevel"/>
    <w:tmpl w:val="72230847"/>
    <w:lvl w:ilvl="0" w:tplc="3A16D7EE">
      <w:start w:val="1"/>
      <w:numFmt w:val="bullet"/>
      <w:lvlText w:val=""/>
      <w:lvlJc w:val="left"/>
      <w:pPr>
        <w:ind w:left="720" w:hanging="360"/>
      </w:pPr>
      <w:rPr>
        <w:rFonts w:ascii="Symbol" w:hAnsi="Symbol"/>
      </w:rPr>
    </w:lvl>
    <w:lvl w:ilvl="1" w:tplc="54BAF304">
      <w:start w:val="1"/>
      <w:numFmt w:val="bullet"/>
      <w:lvlText w:val="o"/>
      <w:lvlJc w:val="left"/>
      <w:pPr>
        <w:tabs>
          <w:tab w:val="num" w:pos="1440"/>
        </w:tabs>
        <w:ind w:left="1440" w:hanging="360"/>
      </w:pPr>
      <w:rPr>
        <w:rFonts w:ascii="Courier New" w:hAnsi="Courier New"/>
      </w:rPr>
    </w:lvl>
    <w:lvl w:ilvl="2" w:tplc="7BB8B982">
      <w:start w:val="1"/>
      <w:numFmt w:val="bullet"/>
      <w:lvlText w:val=""/>
      <w:lvlJc w:val="left"/>
      <w:pPr>
        <w:tabs>
          <w:tab w:val="num" w:pos="2160"/>
        </w:tabs>
        <w:ind w:left="2160" w:hanging="360"/>
      </w:pPr>
      <w:rPr>
        <w:rFonts w:ascii="Wingdings" w:hAnsi="Wingdings"/>
      </w:rPr>
    </w:lvl>
    <w:lvl w:ilvl="3" w:tplc="278CAFCE">
      <w:start w:val="1"/>
      <w:numFmt w:val="bullet"/>
      <w:lvlText w:val=""/>
      <w:lvlJc w:val="left"/>
      <w:pPr>
        <w:tabs>
          <w:tab w:val="num" w:pos="2880"/>
        </w:tabs>
        <w:ind w:left="2880" w:hanging="360"/>
      </w:pPr>
      <w:rPr>
        <w:rFonts w:ascii="Symbol" w:hAnsi="Symbol"/>
      </w:rPr>
    </w:lvl>
    <w:lvl w:ilvl="4" w:tplc="0748A50E">
      <w:start w:val="1"/>
      <w:numFmt w:val="bullet"/>
      <w:lvlText w:val="o"/>
      <w:lvlJc w:val="left"/>
      <w:pPr>
        <w:tabs>
          <w:tab w:val="num" w:pos="3600"/>
        </w:tabs>
        <w:ind w:left="3600" w:hanging="360"/>
      </w:pPr>
      <w:rPr>
        <w:rFonts w:ascii="Courier New" w:hAnsi="Courier New"/>
      </w:rPr>
    </w:lvl>
    <w:lvl w:ilvl="5" w:tplc="8236CC12">
      <w:start w:val="1"/>
      <w:numFmt w:val="bullet"/>
      <w:lvlText w:val=""/>
      <w:lvlJc w:val="left"/>
      <w:pPr>
        <w:tabs>
          <w:tab w:val="num" w:pos="4320"/>
        </w:tabs>
        <w:ind w:left="4320" w:hanging="360"/>
      </w:pPr>
      <w:rPr>
        <w:rFonts w:ascii="Wingdings" w:hAnsi="Wingdings"/>
      </w:rPr>
    </w:lvl>
    <w:lvl w:ilvl="6" w:tplc="696CF2DE">
      <w:start w:val="1"/>
      <w:numFmt w:val="bullet"/>
      <w:lvlText w:val=""/>
      <w:lvlJc w:val="left"/>
      <w:pPr>
        <w:tabs>
          <w:tab w:val="num" w:pos="5040"/>
        </w:tabs>
        <w:ind w:left="5040" w:hanging="360"/>
      </w:pPr>
      <w:rPr>
        <w:rFonts w:ascii="Symbol" w:hAnsi="Symbol"/>
      </w:rPr>
    </w:lvl>
    <w:lvl w:ilvl="7" w:tplc="C83AE04E">
      <w:start w:val="1"/>
      <w:numFmt w:val="bullet"/>
      <w:lvlText w:val="o"/>
      <w:lvlJc w:val="left"/>
      <w:pPr>
        <w:tabs>
          <w:tab w:val="num" w:pos="5760"/>
        </w:tabs>
        <w:ind w:left="5760" w:hanging="360"/>
      </w:pPr>
      <w:rPr>
        <w:rFonts w:ascii="Courier New" w:hAnsi="Courier New"/>
      </w:rPr>
    </w:lvl>
    <w:lvl w:ilvl="8" w:tplc="D1AAEB10">
      <w:start w:val="1"/>
      <w:numFmt w:val="bullet"/>
      <w:lvlText w:val=""/>
      <w:lvlJc w:val="left"/>
      <w:pPr>
        <w:tabs>
          <w:tab w:val="num" w:pos="6480"/>
        </w:tabs>
        <w:ind w:left="6480" w:hanging="360"/>
      </w:pPr>
      <w:rPr>
        <w:rFonts w:ascii="Wingdings" w:hAnsi="Wingdings"/>
      </w:rPr>
    </w:lvl>
  </w:abstractNum>
  <w:abstractNum w:abstractNumId="902" w15:restartNumberingAfterBreak="0">
    <w:nsid w:val="72230848"/>
    <w:multiLevelType w:val="hybridMultilevel"/>
    <w:tmpl w:val="72230848"/>
    <w:lvl w:ilvl="0" w:tplc="64EABB8C">
      <w:start w:val="1"/>
      <w:numFmt w:val="bullet"/>
      <w:lvlText w:val=""/>
      <w:lvlJc w:val="left"/>
      <w:pPr>
        <w:ind w:left="720" w:hanging="360"/>
      </w:pPr>
      <w:rPr>
        <w:rFonts w:ascii="Symbol" w:hAnsi="Symbol"/>
      </w:rPr>
    </w:lvl>
    <w:lvl w:ilvl="1" w:tplc="7A8002D2">
      <w:start w:val="1"/>
      <w:numFmt w:val="bullet"/>
      <w:lvlText w:val="o"/>
      <w:lvlJc w:val="left"/>
      <w:pPr>
        <w:tabs>
          <w:tab w:val="num" w:pos="1440"/>
        </w:tabs>
        <w:ind w:left="1440" w:hanging="360"/>
      </w:pPr>
      <w:rPr>
        <w:rFonts w:ascii="Courier New" w:hAnsi="Courier New"/>
      </w:rPr>
    </w:lvl>
    <w:lvl w:ilvl="2" w:tplc="9F2016E8">
      <w:start w:val="1"/>
      <w:numFmt w:val="bullet"/>
      <w:lvlText w:val=""/>
      <w:lvlJc w:val="left"/>
      <w:pPr>
        <w:tabs>
          <w:tab w:val="num" w:pos="2160"/>
        </w:tabs>
        <w:ind w:left="2160" w:hanging="360"/>
      </w:pPr>
      <w:rPr>
        <w:rFonts w:ascii="Wingdings" w:hAnsi="Wingdings"/>
      </w:rPr>
    </w:lvl>
    <w:lvl w:ilvl="3" w:tplc="23CEDA36">
      <w:start w:val="1"/>
      <w:numFmt w:val="bullet"/>
      <w:lvlText w:val=""/>
      <w:lvlJc w:val="left"/>
      <w:pPr>
        <w:tabs>
          <w:tab w:val="num" w:pos="2880"/>
        </w:tabs>
        <w:ind w:left="2880" w:hanging="360"/>
      </w:pPr>
      <w:rPr>
        <w:rFonts w:ascii="Symbol" w:hAnsi="Symbol"/>
      </w:rPr>
    </w:lvl>
    <w:lvl w:ilvl="4" w:tplc="C958B30A">
      <w:start w:val="1"/>
      <w:numFmt w:val="bullet"/>
      <w:lvlText w:val="o"/>
      <w:lvlJc w:val="left"/>
      <w:pPr>
        <w:tabs>
          <w:tab w:val="num" w:pos="3600"/>
        </w:tabs>
        <w:ind w:left="3600" w:hanging="360"/>
      </w:pPr>
      <w:rPr>
        <w:rFonts w:ascii="Courier New" w:hAnsi="Courier New"/>
      </w:rPr>
    </w:lvl>
    <w:lvl w:ilvl="5" w:tplc="F38605BC">
      <w:start w:val="1"/>
      <w:numFmt w:val="bullet"/>
      <w:lvlText w:val=""/>
      <w:lvlJc w:val="left"/>
      <w:pPr>
        <w:tabs>
          <w:tab w:val="num" w:pos="4320"/>
        </w:tabs>
        <w:ind w:left="4320" w:hanging="360"/>
      </w:pPr>
      <w:rPr>
        <w:rFonts w:ascii="Wingdings" w:hAnsi="Wingdings"/>
      </w:rPr>
    </w:lvl>
    <w:lvl w:ilvl="6" w:tplc="449A37DC">
      <w:start w:val="1"/>
      <w:numFmt w:val="bullet"/>
      <w:lvlText w:val=""/>
      <w:lvlJc w:val="left"/>
      <w:pPr>
        <w:tabs>
          <w:tab w:val="num" w:pos="5040"/>
        </w:tabs>
        <w:ind w:left="5040" w:hanging="360"/>
      </w:pPr>
      <w:rPr>
        <w:rFonts w:ascii="Symbol" w:hAnsi="Symbol"/>
      </w:rPr>
    </w:lvl>
    <w:lvl w:ilvl="7" w:tplc="6FA6993E">
      <w:start w:val="1"/>
      <w:numFmt w:val="bullet"/>
      <w:lvlText w:val="o"/>
      <w:lvlJc w:val="left"/>
      <w:pPr>
        <w:tabs>
          <w:tab w:val="num" w:pos="5760"/>
        </w:tabs>
        <w:ind w:left="5760" w:hanging="360"/>
      </w:pPr>
      <w:rPr>
        <w:rFonts w:ascii="Courier New" w:hAnsi="Courier New"/>
      </w:rPr>
    </w:lvl>
    <w:lvl w:ilvl="8" w:tplc="6EECDD0C">
      <w:start w:val="1"/>
      <w:numFmt w:val="bullet"/>
      <w:lvlText w:val=""/>
      <w:lvlJc w:val="left"/>
      <w:pPr>
        <w:tabs>
          <w:tab w:val="num" w:pos="6480"/>
        </w:tabs>
        <w:ind w:left="6480" w:hanging="360"/>
      </w:pPr>
      <w:rPr>
        <w:rFonts w:ascii="Wingdings" w:hAnsi="Wingdings"/>
      </w:rPr>
    </w:lvl>
  </w:abstractNum>
  <w:abstractNum w:abstractNumId="903" w15:restartNumberingAfterBreak="0">
    <w:nsid w:val="72230849"/>
    <w:multiLevelType w:val="hybridMultilevel"/>
    <w:tmpl w:val="72230849"/>
    <w:lvl w:ilvl="0" w:tplc="65387BF2">
      <w:start w:val="1"/>
      <w:numFmt w:val="bullet"/>
      <w:lvlText w:val=""/>
      <w:lvlJc w:val="left"/>
      <w:pPr>
        <w:ind w:left="720" w:hanging="360"/>
      </w:pPr>
      <w:rPr>
        <w:rFonts w:ascii="Symbol" w:hAnsi="Symbol"/>
      </w:rPr>
    </w:lvl>
    <w:lvl w:ilvl="1" w:tplc="73B2DFC4">
      <w:start w:val="1"/>
      <w:numFmt w:val="bullet"/>
      <w:lvlText w:val="o"/>
      <w:lvlJc w:val="left"/>
      <w:pPr>
        <w:ind w:left="1440" w:hanging="360"/>
      </w:pPr>
      <w:rPr>
        <w:rFonts w:ascii="Courier New" w:hAnsi="Courier New"/>
      </w:rPr>
    </w:lvl>
    <w:lvl w:ilvl="2" w:tplc="E3C6BF7A">
      <w:start w:val="1"/>
      <w:numFmt w:val="bullet"/>
      <w:lvlText w:val=""/>
      <w:lvlJc w:val="left"/>
      <w:pPr>
        <w:tabs>
          <w:tab w:val="num" w:pos="2160"/>
        </w:tabs>
        <w:ind w:left="2160" w:hanging="360"/>
      </w:pPr>
      <w:rPr>
        <w:rFonts w:ascii="Wingdings" w:hAnsi="Wingdings"/>
      </w:rPr>
    </w:lvl>
    <w:lvl w:ilvl="3" w:tplc="469E6D20">
      <w:start w:val="1"/>
      <w:numFmt w:val="bullet"/>
      <w:lvlText w:val=""/>
      <w:lvlJc w:val="left"/>
      <w:pPr>
        <w:tabs>
          <w:tab w:val="num" w:pos="2880"/>
        </w:tabs>
        <w:ind w:left="2880" w:hanging="360"/>
      </w:pPr>
      <w:rPr>
        <w:rFonts w:ascii="Symbol" w:hAnsi="Symbol"/>
      </w:rPr>
    </w:lvl>
    <w:lvl w:ilvl="4" w:tplc="CE6EF7B2">
      <w:start w:val="1"/>
      <w:numFmt w:val="bullet"/>
      <w:lvlText w:val="o"/>
      <w:lvlJc w:val="left"/>
      <w:pPr>
        <w:tabs>
          <w:tab w:val="num" w:pos="3600"/>
        </w:tabs>
        <w:ind w:left="3600" w:hanging="360"/>
      </w:pPr>
      <w:rPr>
        <w:rFonts w:ascii="Courier New" w:hAnsi="Courier New"/>
      </w:rPr>
    </w:lvl>
    <w:lvl w:ilvl="5" w:tplc="214CD2B0">
      <w:start w:val="1"/>
      <w:numFmt w:val="bullet"/>
      <w:lvlText w:val=""/>
      <w:lvlJc w:val="left"/>
      <w:pPr>
        <w:tabs>
          <w:tab w:val="num" w:pos="4320"/>
        </w:tabs>
        <w:ind w:left="4320" w:hanging="360"/>
      </w:pPr>
      <w:rPr>
        <w:rFonts w:ascii="Wingdings" w:hAnsi="Wingdings"/>
      </w:rPr>
    </w:lvl>
    <w:lvl w:ilvl="6" w:tplc="4BF46346">
      <w:start w:val="1"/>
      <w:numFmt w:val="bullet"/>
      <w:lvlText w:val=""/>
      <w:lvlJc w:val="left"/>
      <w:pPr>
        <w:tabs>
          <w:tab w:val="num" w:pos="5040"/>
        </w:tabs>
        <w:ind w:left="5040" w:hanging="360"/>
      </w:pPr>
      <w:rPr>
        <w:rFonts w:ascii="Symbol" w:hAnsi="Symbol"/>
      </w:rPr>
    </w:lvl>
    <w:lvl w:ilvl="7" w:tplc="CDDAC9B4">
      <w:start w:val="1"/>
      <w:numFmt w:val="bullet"/>
      <w:lvlText w:val="o"/>
      <w:lvlJc w:val="left"/>
      <w:pPr>
        <w:tabs>
          <w:tab w:val="num" w:pos="5760"/>
        </w:tabs>
        <w:ind w:left="5760" w:hanging="360"/>
      </w:pPr>
      <w:rPr>
        <w:rFonts w:ascii="Courier New" w:hAnsi="Courier New"/>
      </w:rPr>
    </w:lvl>
    <w:lvl w:ilvl="8" w:tplc="BB4499E8">
      <w:start w:val="1"/>
      <w:numFmt w:val="bullet"/>
      <w:lvlText w:val=""/>
      <w:lvlJc w:val="left"/>
      <w:pPr>
        <w:tabs>
          <w:tab w:val="num" w:pos="6480"/>
        </w:tabs>
        <w:ind w:left="6480" w:hanging="360"/>
      </w:pPr>
      <w:rPr>
        <w:rFonts w:ascii="Wingdings" w:hAnsi="Wingdings"/>
      </w:rPr>
    </w:lvl>
  </w:abstractNum>
  <w:abstractNum w:abstractNumId="904" w15:restartNumberingAfterBreak="0">
    <w:nsid w:val="7223084A"/>
    <w:multiLevelType w:val="hybridMultilevel"/>
    <w:tmpl w:val="7223084A"/>
    <w:lvl w:ilvl="0" w:tplc="A65E173C">
      <w:start w:val="1"/>
      <w:numFmt w:val="bullet"/>
      <w:lvlText w:val=""/>
      <w:lvlJc w:val="left"/>
      <w:pPr>
        <w:ind w:left="720" w:hanging="360"/>
      </w:pPr>
      <w:rPr>
        <w:rFonts w:ascii="Symbol" w:hAnsi="Symbol"/>
      </w:rPr>
    </w:lvl>
    <w:lvl w:ilvl="1" w:tplc="B31852C6">
      <w:start w:val="1"/>
      <w:numFmt w:val="bullet"/>
      <w:lvlText w:val="o"/>
      <w:lvlJc w:val="left"/>
      <w:pPr>
        <w:tabs>
          <w:tab w:val="num" w:pos="1440"/>
        </w:tabs>
        <w:ind w:left="1440" w:hanging="360"/>
      </w:pPr>
      <w:rPr>
        <w:rFonts w:ascii="Courier New" w:hAnsi="Courier New"/>
      </w:rPr>
    </w:lvl>
    <w:lvl w:ilvl="2" w:tplc="C9FEC7A0">
      <w:start w:val="1"/>
      <w:numFmt w:val="bullet"/>
      <w:lvlText w:val=""/>
      <w:lvlJc w:val="left"/>
      <w:pPr>
        <w:tabs>
          <w:tab w:val="num" w:pos="2160"/>
        </w:tabs>
        <w:ind w:left="2160" w:hanging="360"/>
      </w:pPr>
      <w:rPr>
        <w:rFonts w:ascii="Wingdings" w:hAnsi="Wingdings"/>
      </w:rPr>
    </w:lvl>
    <w:lvl w:ilvl="3" w:tplc="EE5865AC">
      <w:start w:val="1"/>
      <w:numFmt w:val="bullet"/>
      <w:lvlText w:val=""/>
      <w:lvlJc w:val="left"/>
      <w:pPr>
        <w:tabs>
          <w:tab w:val="num" w:pos="2880"/>
        </w:tabs>
        <w:ind w:left="2880" w:hanging="360"/>
      </w:pPr>
      <w:rPr>
        <w:rFonts w:ascii="Symbol" w:hAnsi="Symbol"/>
      </w:rPr>
    </w:lvl>
    <w:lvl w:ilvl="4" w:tplc="DBB8C106">
      <w:start w:val="1"/>
      <w:numFmt w:val="bullet"/>
      <w:lvlText w:val="o"/>
      <w:lvlJc w:val="left"/>
      <w:pPr>
        <w:tabs>
          <w:tab w:val="num" w:pos="3600"/>
        </w:tabs>
        <w:ind w:left="3600" w:hanging="360"/>
      </w:pPr>
      <w:rPr>
        <w:rFonts w:ascii="Courier New" w:hAnsi="Courier New"/>
      </w:rPr>
    </w:lvl>
    <w:lvl w:ilvl="5" w:tplc="AC18AC18">
      <w:start w:val="1"/>
      <w:numFmt w:val="bullet"/>
      <w:lvlText w:val=""/>
      <w:lvlJc w:val="left"/>
      <w:pPr>
        <w:tabs>
          <w:tab w:val="num" w:pos="4320"/>
        </w:tabs>
        <w:ind w:left="4320" w:hanging="360"/>
      </w:pPr>
      <w:rPr>
        <w:rFonts w:ascii="Wingdings" w:hAnsi="Wingdings"/>
      </w:rPr>
    </w:lvl>
    <w:lvl w:ilvl="6" w:tplc="A6AED4F6">
      <w:start w:val="1"/>
      <w:numFmt w:val="bullet"/>
      <w:lvlText w:val=""/>
      <w:lvlJc w:val="left"/>
      <w:pPr>
        <w:tabs>
          <w:tab w:val="num" w:pos="5040"/>
        </w:tabs>
        <w:ind w:left="5040" w:hanging="360"/>
      </w:pPr>
      <w:rPr>
        <w:rFonts w:ascii="Symbol" w:hAnsi="Symbol"/>
      </w:rPr>
    </w:lvl>
    <w:lvl w:ilvl="7" w:tplc="9BA6C056">
      <w:start w:val="1"/>
      <w:numFmt w:val="bullet"/>
      <w:lvlText w:val="o"/>
      <w:lvlJc w:val="left"/>
      <w:pPr>
        <w:tabs>
          <w:tab w:val="num" w:pos="5760"/>
        </w:tabs>
        <w:ind w:left="5760" w:hanging="360"/>
      </w:pPr>
      <w:rPr>
        <w:rFonts w:ascii="Courier New" w:hAnsi="Courier New"/>
      </w:rPr>
    </w:lvl>
    <w:lvl w:ilvl="8" w:tplc="226CD150">
      <w:start w:val="1"/>
      <w:numFmt w:val="bullet"/>
      <w:lvlText w:val=""/>
      <w:lvlJc w:val="left"/>
      <w:pPr>
        <w:tabs>
          <w:tab w:val="num" w:pos="6480"/>
        </w:tabs>
        <w:ind w:left="6480" w:hanging="360"/>
      </w:pPr>
      <w:rPr>
        <w:rFonts w:ascii="Wingdings" w:hAnsi="Wingdings"/>
      </w:rPr>
    </w:lvl>
  </w:abstractNum>
  <w:abstractNum w:abstractNumId="905" w15:restartNumberingAfterBreak="0">
    <w:nsid w:val="7223084B"/>
    <w:multiLevelType w:val="hybridMultilevel"/>
    <w:tmpl w:val="7223084B"/>
    <w:lvl w:ilvl="0" w:tplc="A86CE490">
      <w:start w:val="1"/>
      <w:numFmt w:val="bullet"/>
      <w:lvlText w:val=""/>
      <w:lvlJc w:val="left"/>
      <w:pPr>
        <w:tabs>
          <w:tab w:val="num" w:pos="720"/>
        </w:tabs>
        <w:ind w:left="720" w:hanging="360"/>
      </w:pPr>
      <w:rPr>
        <w:rFonts w:ascii="Symbol" w:hAnsi="Symbol"/>
      </w:rPr>
    </w:lvl>
    <w:lvl w:ilvl="1" w:tplc="F5AA2C6A">
      <w:start w:val="1"/>
      <w:numFmt w:val="bullet"/>
      <w:lvlText w:val="o"/>
      <w:lvlJc w:val="left"/>
      <w:pPr>
        <w:tabs>
          <w:tab w:val="num" w:pos="1440"/>
        </w:tabs>
        <w:ind w:left="1440" w:hanging="360"/>
      </w:pPr>
      <w:rPr>
        <w:rFonts w:ascii="Courier New" w:hAnsi="Courier New"/>
      </w:rPr>
    </w:lvl>
    <w:lvl w:ilvl="2" w:tplc="34AE4278">
      <w:start w:val="1"/>
      <w:numFmt w:val="bullet"/>
      <w:lvlText w:val=""/>
      <w:lvlJc w:val="left"/>
      <w:pPr>
        <w:tabs>
          <w:tab w:val="num" w:pos="2160"/>
        </w:tabs>
        <w:ind w:left="2160" w:hanging="360"/>
      </w:pPr>
      <w:rPr>
        <w:rFonts w:ascii="Wingdings" w:hAnsi="Wingdings"/>
      </w:rPr>
    </w:lvl>
    <w:lvl w:ilvl="3" w:tplc="4C62CEF6">
      <w:start w:val="1"/>
      <w:numFmt w:val="bullet"/>
      <w:lvlText w:val=""/>
      <w:lvlJc w:val="left"/>
      <w:pPr>
        <w:tabs>
          <w:tab w:val="num" w:pos="2880"/>
        </w:tabs>
        <w:ind w:left="2880" w:hanging="360"/>
      </w:pPr>
      <w:rPr>
        <w:rFonts w:ascii="Symbol" w:hAnsi="Symbol"/>
      </w:rPr>
    </w:lvl>
    <w:lvl w:ilvl="4" w:tplc="612E7894">
      <w:start w:val="1"/>
      <w:numFmt w:val="bullet"/>
      <w:lvlText w:val="o"/>
      <w:lvlJc w:val="left"/>
      <w:pPr>
        <w:tabs>
          <w:tab w:val="num" w:pos="3600"/>
        </w:tabs>
        <w:ind w:left="3600" w:hanging="360"/>
      </w:pPr>
      <w:rPr>
        <w:rFonts w:ascii="Courier New" w:hAnsi="Courier New"/>
      </w:rPr>
    </w:lvl>
    <w:lvl w:ilvl="5" w:tplc="6B10C0E0">
      <w:start w:val="1"/>
      <w:numFmt w:val="bullet"/>
      <w:lvlText w:val=""/>
      <w:lvlJc w:val="left"/>
      <w:pPr>
        <w:tabs>
          <w:tab w:val="num" w:pos="4320"/>
        </w:tabs>
        <w:ind w:left="4320" w:hanging="360"/>
      </w:pPr>
      <w:rPr>
        <w:rFonts w:ascii="Wingdings" w:hAnsi="Wingdings"/>
      </w:rPr>
    </w:lvl>
    <w:lvl w:ilvl="6" w:tplc="09B6FC4A">
      <w:start w:val="1"/>
      <w:numFmt w:val="bullet"/>
      <w:lvlText w:val=""/>
      <w:lvlJc w:val="left"/>
      <w:pPr>
        <w:tabs>
          <w:tab w:val="num" w:pos="5040"/>
        </w:tabs>
        <w:ind w:left="5040" w:hanging="360"/>
      </w:pPr>
      <w:rPr>
        <w:rFonts w:ascii="Symbol" w:hAnsi="Symbol"/>
      </w:rPr>
    </w:lvl>
    <w:lvl w:ilvl="7" w:tplc="479CAE62">
      <w:start w:val="1"/>
      <w:numFmt w:val="bullet"/>
      <w:lvlText w:val="o"/>
      <w:lvlJc w:val="left"/>
      <w:pPr>
        <w:tabs>
          <w:tab w:val="num" w:pos="5760"/>
        </w:tabs>
        <w:ind w:left="5760" w:hanging="360"/>
      </w:pPr>
      <w:rPr>
        <w:rFonts w:ascii="Courier New" w:hAnsi="Courier New"/>
      </w:rPr>
    </w:lvl>
    <w:lvl w:ilvl="8" w:tplc="6BF4C812">
      <w:start w:val="1"/>
      <w:numFmt w:val="bullet"/>
      <w:lvlText w:val=""/>
      <w:lvlJc w:val="left"/>
      <w:pPr>
        <w:tabs>
          <w:tab w:val="num" w:pos="6480"/>
        </w:tabs>
        <w:ind w:left="6480" w:hanging="360"/>
      </w:pPr>
      <w:rPr>
        <w:rFonts w:ascii="Wingdings" w:hAnsi="Wingdings"/>
      </w:rPr>
    </w:lvl>
  </w:abstractNum>
  <w:abstractNum w:abstractNumId="906" w15:restartNumberingAfterBreak="0">
    <w:nsid w:val="7223084C"/>
    <w:multiLevelType w:val="hybridMultilevel"/>
    <w:tmpl w:val="7223084C"/>
    <w:lvl w:ilvl="0" w:tplc="4B72B33A">
      <w:start w:val="1"/>
      <w:numFmt w:val="bullet"/>
      <w:lvlText w:val=""/>
      <w:lvlJc w:val="left"/>
      <w:pPr>
        <w:ind w:left="720" w:hanging="360"/>
      </w:pPr>
      <w:rPr>
        <w:rFonts w:ascii="Symbol" w:hAnsi="Symbol"/>
      </w:rPr>
    </w:lvl>
    <w:lvl w:ilvl="1" w:tplc="3DA08C28">
      <w:start w:val="1"/>
      <w:numFmt w:val="bullet"/>
      <w:lvlText w:val="o"/>
      <w:lvlJc w:val="left"/>
      <w:pPr>
        <w:tabs>
          <w:tab w:val="num" w:pos="1440"/>
        </w:tabs>
        <w:ind w:left="1440" w:hanging="360"/>
      </w:pPr>
      <w:rPr>
        <w:rFonts w:ascii="Courier New" w:hAnsi="Courier New"/>
      </w:rPr>
    </w:lvl>
    <w:lvl w:ilvl="2" w:tplc="47DAC7B2">
      <w:start w:val="1"/>
      <w:numFmt w:val="bullet"/>
      <w:lvlText w:val=""/>
      <w:lvlJc w:val="left"/>
      <w:pPr>
        <w:tabs>
          <w:tab w:val="num" w:pos="2160"/>
        </w:tabs>
        <w:ind w:left="2160" w:hanging="360"/>
      </w:pPr>
      <w:rPr>
        <w:rFonts w:ascii="Wingdings" w:hAnsi="Wingdings"/>
      </w:rPr>
    </w:lvl>
    <w:lvl w:ilvl="3" w:tplc="7D48C9CC">
      <w:start w:val="1"/>
      <w:numFmt w:val="bullet"/>
      <w:lvlText w:val=""/>
      <w:lvlJc w:val="left"/>
      <w:pPr>
        <w:tabs>
          <w:tab w:val="num" w:pos="2880"/>
        </w:tabs>
        <w:ind w:left="2880" w:hanging="360"/>
      </w:pPr>
      <w:rPr>
        <w:rFonts w:ascii="Symbol" w:hAnsi="Symbol"/>
      </w:rPr>
    </w:lvl>
    <w:lvl w:ilvl="4" w:tplc="3786606A">
      <w:start w:val="1"/>
      <w:numFmt w:val="bullet"/>
      <w:lvlText w:val="o"/>
      <w:lvlJc w:val="left"/>
      <w:pPr>
        <w:tabs>
          <w:tab w:val="num" w:pos="3600"/>
        </w:tabs>
        <w:ind w:left="3600" w:hanging="360"/>
      </w:pPr>
      <w:rPr>
        <w:rFonts w:ascii="Courier New" w:hAnsi="Courier New"/>
      </w:rPr>
    </w:lvl>
    <w:lvl w:ilvl="5" w:tplc="22602CEA">
      <w:start w:val="1"/>
      <w:numFmt w:val="bullet"/>
      <w:lvlText w:val=""/>
      <w:lvlJc w:val="left"/>
      <w:pPr>
        <w:tabs>
          <w:tab w:val="num" w:pos="4320"/>
        </w:tabs>
        <w:ind w:left="4320" w:hanging="360"/>
      </w:pPr>
      <w:rPr>
        <w:rFonts w:ascii="Wingdings" w:hAnsi="Wingdings"/>
      </w:rPr>
    </w:lvl>
    <w:lvl w:ilvl="6" w:tplc="7DAE03F0">
      <w:start w:val="1"/>
      <w:numFmt w:val="bullet"/>
      <w:lvlText w:val=""/>
      <w:lvlJc w:val="left"/>
      <w:pPr>
        <w:tabs>
          <w:tab w:val="num" w:pos="5040"/>
        </w:tabs>
        <w:ind w:left="5040" w:hanging="360"/>
      </w:pPr>
      <w:rPr>
        <w:rFonts w:ascii="Symbol" w:hAnsi="Symbol"/>
      </w:rPr>
    </w:lvl>
    <w:lvl w:ilvl="7" w:tplc="6044A956">
      <w:start w:val="1"/>
      <w:numFmt w:val="bullet"/>
      <w:lvlText w:val="o"/>
      <w:lvlJc w:val="left"/>
      <w:pPr>
        <w:tabs>
          <w:tab w:val="num" w:pos="5760"/>
        </w:tabs>
        <w:ind w:left="5760" w:hanging="360"/>
      </w:pPr>
      <w:rPr>
        <w:rFonts w:ascii="Courier New" w:hAnsi="Courier New"/>
      </w:rPr>
    </w:lvl>
    <w:lvl w:ilvl="8" w:tplc="B680F0CC">
      <w:start w:val="1"/>
      <w:numFmt w:val="bullet"/>
      <w:lvlText w:val=""/>
      <w:lvlJc w:val="left"/>
      <w:pPr>
        <w:tabs>
          <w:tab w:val="num" w:pos="6480"/>
        </w:tabs>
        <w:ind w:left="6480" w:hanging="360"/>
      </w:pPr>
      <w:rPr>
        <w:rFonts w:ascii="Wingdings" w:hAnsi="Wingdings"/>
      </w:rPr>
    </w:lvl>
  </w:abstractNum>
  <w:abstractNum w:abstractNumId="907" w15:restartNumberingAfterBreak="0">
    <w:nsid w:val="7223084D"/>
    <w:multiLevelType w:val="hybridMultilevel"/>
    <w:tmpl w:val="7223084D"/>
    <w:lvl w:ilvl="0" w:tplc="C0CCE590">
      <w:start w:val="1"/>
      <w:numFmt w:val="bullet"/>
      <w:lvlText w:val=""/>
      <w:lvlJc w:val="left"/>
      <w:pPr>
        <w:ind w:left="720" w:hanging="360"/>
      </w:pPr>
      <w:rPr>
        <w:rFonts w:ascii="Symbol" w:hAnsi="Symbol"/>
      </w:rPr>
    </w:lvl>
    <w:lvl w:ilvl="1" w:tplc="60F0532C">
      <w:start w:val="1"/>
      <w:numFmt w:val="bullet"/>
      <w:lvlText w:val="o"/>
      <w:lvlJc w:val="left"/>
      <w:pPr>
        <w:tabs>
          <w:tab w:val="num" w:pos="1440"/>
        </w:tabs>
        <w:ind w:left="1440" w:hanging="360"/>
      </w:pPr>
      <w:rPr>
        <w:rFonts w:ascii="Courier New" w:hAnsi="Courier New"/>
      </w:rPr>
    </w:lvl>
    <w:lvl w:ilvl="2" w:tplc="36D88760">
      <w:start w:val="1"/>
      <w:numFmt w:val="bullet"/>
      <w:lvlText w:val=""/>
      <w:lvlJc w:val="left"/>
      <w:pPr>
        <w:tabs>
          <w:tab w:val="num" w:pos="2160"/>
        </w:tabs>
        <w:ind w:left="2160" w:hanging="360"/>
      </w:pPr>
      <w:rPr>
        <w:rFonts w:ascii="Wingdings" w:hAnsi="Wingdings"/>
      </w:rPr>
    </w:lvl>
    <w:lvl w:ilvl="3" w:tplc="D41CE714">
      <w:start w:val="1"/>
      <w:numFmt w:val="bullet"/>
      <w:lvlText w:val=""/>
      <w:lvlJc w:val="left"/>
      <w:pPr>
        <w:tabs>
          <w:tab w:val="num" w:pos="2880"/>
        </w:tabs>
        <w:ind w:left="2880" w:hanging="360"/>
      </w:pPr>
      <w:rPr>
        <w:rFonts w:ascii="Symbol" w:hAnsi="Symbol"/>
      </w:rPr>
    </w:lvl>
    <w:lvl w:ilvl="4" w:tplc="895284AC">
      <w:start w:val="1"/>
      <w:numFmt w:val="bullet"/>
      <w:lvlText w:val="o"/>
      <w:lvlJc w:val="left"/>
      <w:pPr>
        <w:tabs>
          <w:tab w:val="num" w:pos="3600"/>
        </w:tabs>
        <w:ind w:left="3600" w:hanging="360"/>
      </w:pPr>
      <w:rPr>
        <w:rFonts w:ascii="Courier New" w:hAnsi="Courier New"/>
      </w:rPr>
    </w:lvl>
    <w:lvl w:ilvl="5" w:tplc="52FA9396">
      <w:start w:val="1"/>
      <w:numFmt w:val="bullet"/>
      <w:lvlText w:val=""/>
      <w:lvlJc w:val="left"/>
      <w:pPr>
        <w:tabs>
          <w:tab w:val="num" w:pos="4320"/>
        </w:tabs>
        <w:ind w:left="4320" w:hanging="360"/>
      </w:pPr>
      <w:rPr>
        <w:rFonts w:ascii="Wingdings" w:hAnsi="Wingdings"/>
      </w:rPr>
    </w:lvl>
    <w:lvl w:ilvl="6" w:tplc="839A416C">
      <w:start w:val="1"/>
      <w:numFmt w:val="bullet"/>
      <w:lvlText w:val=""/>
      <w:lvlJc w:val="left"/>
      <w:pPr>
        <w:tabs>
          <w:tab w:val="num" w:pos="5040"/>
        </w:tabs>
        <w:ind w:left="5040" w:hanging="360"/>
      </w:pPr>
      <w:rPr>
        <w:rFonts w:ascii="Symbol" w:hAnsi="Symbol"/>
      </w:rPr>
    </w:lvl>
    <w:lvl w:ilvl="7" w:tplc="4A087AB4">
      <w:start w:val="1"/>
      <w:numFmt w:val="bullet"/>
      <w:lvlText w:val="o"/>
      <w:lvlJc w:val="left"/>
      <w:pPr>
        <w:tabs>
          <w:tab w:val="num" w:pos="5760"/>
        </w:tabs>
        <w:ind w:left="5760" w:hanging="360"/>
      </w:pPr>
      <w:rPr>
        <w:rFonts w:ascii="Courier New" w:hAnsi="Courier New"/>
      </w:rPr>
    </w:lvl>
    <w:lvl w:ilvl="8" w:tplc="DDFE08A0">
      <w:start w:val="1"/>
      <w:numFmt w:val="bullet"/>
      <w:lvlText w:val=""/>
      <w:lvlJc w:val="left"/>
      <w:pPr>
        <w:tabs>
          <w:tab w:val="num" w:pos="6480"/>
        </w:tabs>
        <w:ind w:left="6480" w:hanging="360"/>
      </w:pPr>
      <w:rPr>
        <w:rFonts w:ascii="Wingdings" w:hAnsi="Wingdings"/>
      </w:rPr>
    </w:lvl>
  </w:abstractNum>
  <w:abstractNum w:abstractNumId="908" w15:restartNumberingAfterBreak="0">
    <w:nsid w:val="7223084E"/>
    <w:multiLevelType w:val="hybridMultilevel"/>
    <w:tmpl w:val="7223084E"/>
    <w:lvl w:ilvl="0" w:tplc="FAF2CECE">
      <w:start w:val="1"/>
      <w:numFmt w:val="bullet"/>
      <w:lvlText w:val=""/>
      <w:lvlJc w:val="left"/>
      <w:pPr>
        <w:ind w:left="720" w:hanging="360"/>
      </w:pPr>
      <w:rPr>
        <w:rFonts w:ascii="Symbol" w:hAnsi="Symbol"/>
      </w:rPr>
    </w:lvl>
    <w:lvl w:ilvl="1" w:tplc="5972F5FE">
      <w:start w:val="1"/>
      <w:numFmt w:val="bullet"/>
      <w:lvlText w:val="o"/>
      <w:lvlJc w:val="left"/>
      <w:pPr>
        <w:tabs>
          <w:tab w:val="num" w:pos="1440"/>
        </w:tabs>
        <w:ind w:left="1440" w:hanging="360"/>
      </w:pPr>
      <w:rPr>
        <w:rFonts w:ascii="Courier New" w:hAnsi="Courier New"/>
      </w:rPr>
    </w:lvl>
    <w:lvl w:ilvl="2" w:tplc="B9629240">
      <w:start w:val="1"/>
      <w:numFmt w:val="bullet"/>
      <w:lvlText w:val=""/>
      <w:lvlJc w:val="left"/>
      <w:pPr>
        <w:tabs>
          <w:tab w:val="num" w:pos="2160"/>
        </w:tabs>
        <w:ind w:left="2160" w:hanging="360"/>
      </w:pPr>
      <w:rPr>
        <w:rFonts w:ascii="Wingdings" w:hAnsi="Wingdings"/>
      </w:rPr>
    </w:lvl>
    <w:lvl w:ilvl="3" w:tplc="3544D384">
      <w:start w:val="1"/>
      <w:numFmt w:val="bullet"/>
      <w:lvlText w:val=""/>
      <w:lvlJc w:val="left"/>
      <w:pPr>
        <w:tabs>
          <w:tab w:val="num" w:pos="2880"/>
        </w:tabs>
        <w:ind w:left="2880" w:hanging="360"/>
      </w:pPr>
      <w:rPr>
        <w:rFonts w:ascii="Symbol" w:hAnsi="Symbol"/>
      </w:rPr>
    </w:lvl>
    <w:lvl w:ilvl="4" w:tplc="09ECF784">
      <w:start w:val="1"/>
      <w:numFmt w:val="bullet"/>
      <w:lvlText w:val="o"/>
      <w:lvlJc w:val="left"/>
      <w:pPr>
        <w:tabs>
          <w:tab w:val="num" w:pos="3600"/>
        </w:tabs>
        <w:ind w:left="3600" w:hanging="360"/>
      </w:pPr>
      <w:rPr>
        <w:rFonts w:ascii="Courier New" w:hAnsi="Courier New"/>
      </w:rPr>
    </w:lvl>
    <w:lvl w:ilvl="5" w:tplc="16D07462">
      <w:start w:val="1"/>
      <w:numFmt w:val="bullet"/>
      <w:lvlText w:val=""/>
      <w:lvlJc w:val="left"/>
      <w:pPr>
        <w:tabs>
          <w:tab w:val="num" w:pos="4320"/>
        </w:tabs>
        <w:ind w:left="4320" w:hanging="360"/>
      </w:pPr>
      <w:rPr>
        <w:rFonts w:ascii="Wingdings" w:hAnsi="Wingdings"/>
      </w:rPr>
    </w:lvl>
    <w:lvl w:ilvl="6" w:tplc="4B10F226">
      <w:start w:val="1"/>
      <w:numFmt w:val="bullet"/>
      <w:lvlText w:val=""/>
      <w:lvlJc w:val="left"/>
      <w:pPr>
        <w:tabs>
          <w:tab w:val="num" w:pos="5040"/>
        </w:tabs>
        <w:ind w:left="5040" w:hanging="360"/>
      </w:pPr>
      <w:rPr>
        <w:rFonts w:ascii="Symbol" w:hAnsi="Symbol"/>
      </w:rPr>
    </w:lvl>
    <w:lvl w:ilvl="7" w:tplc="47EA665A">
      <w:start w:val="1"/>
      <w:numFmt w:val="bullet"/>
      <w:lvlText w:val="o"/>
      <w:lvlJc w:val="left"/>
      <w:pPr>
        <w:tabs>
          <w:tab w:val="num" w:pos="5760"/>
        </w:tabs>
        <w:ind w:left="5760" w:hanging="360"/>
      </w:pPr>
      <w:rPr>
        <w:rFonts w:ascii="Courier New" w:hAnsi="Courier New"/>
      </w:rPr>
    </w:lvl>
    <w:lvl w:ilvl="8" w:tplc="E20C8C42">
      <w:start w:val="1"/>
      <w:numFmt w:val="bullet"/>
      <w:lvlText w:val=""/>
      <w:lvlJc w:val="left"/>
      <w:pPr>
        <w:tabs>
          <w:tab w:val="num" w:pos="6480"/>
        </w:tabs>
        <w:ind w:left="6480" w:hanging="360"/>
      </w:pPr>
      <w:rPr>
        <w:rFonts w:ascii="Wingdings" w:hAnsi="Wingdings"/>
      </w:rPr>
    </w:lvl>
  </w:abstractNum>
  <w:abstractNum w:abstractNumId="909" w15:restartNumberingAfterBreak="0">
    <w:nsid w:val="7223084F"/>
    <w:multiLevelType w:val="hybridMultilevel"/>
    <w:tmpl w:val="7223084F"/>
    <w:lvl w:ilvl="0" w:tplc="9702B6D2">
      <w:start w:val="1"/>
      <w:numFmt w:val="bullet"/>
      <w:lvlText w:val=""/>
      <w:lvlJc w:val="left"/>
      <w:pPr>
        <w:ind w:left="720" w:hanging="360"/>
      </w:pPr>
      <w:rPr>
        <w:rFonts w:ascii="Symbol" w:hAnsi="Symbol"/>
      </w:rPr>
    </w:lvl>
    <w:lvl w:ilvl="1" w:tplc="45181648">
      <w:start w:val="1"/>
      <w:numFmt w:val="bullet"/>
      <w:lvlText w:val="o"/>
      <w:lvlJc w:val="left"/>
      <w:pPr>
        <w:ind w:left="1440" w:hanging="360"/>
      </w:pPr>
      <w:rPr>
        <w:rFonts w:ascii="Courier New" w:hAnsi="Courier New"/>
      </w:rPr>
    </w:lvl>
    <w:lvl w:ilvl="2" w:tplc="2564B252">
      <w:start w:val="1"/>
      <w:numFmt w:val="bullet"/>
      <w:lvlText w:val=""/>
      <w:lvlJc w:val="left"/>
      <w:pPr>
        <w:tabs>
          <w:tab w:val="num" w:pos="2160"/>
        </w:tabs>
        <w:ind w:left="2160" w:hanging="360"/>
      </w:pPr>
      <w:rPr>
        <w:rFonts w:ascii="Wingdings" w:hAnsi="Wingdings"/>
      </w:rPr>
    </w:lvl>
    <w:lvl w:ilvl="3" w:tplc="8B1C24F0">
      <w:start w:val="1"/>
      <w:numFmt w:val="bullet"/>
      <w:lvlText w:val=""/>
      <w:lvlJc w:val="left"/>
      <w:pPr>
        <w:tabs>
          <w:tab w:val="num" w:pos="2880"/>
        </w:tabs>
        <w:ind w:left="2880" w:hanging="360"/>
      </w:pPr>
      <w:rPr>
        <w:rFonts w:ascii="Symbol" w:hAnsi="Symbol"/>
      </w:rPr>
    </w:lvl>
    <w:lvl w:ilvl="4" w:tplc="4FDC2474">
      <w:start w:val="1"/>
      <w:numFmt w:val="bullet"/>
      <w:lvlText w:val="o"/>
      <w:lvlJc w:val="left"/>
      <w:pPr>
        <w:tabs>
          <w:tab w:val="num" w:pos="3600"/>
        </w:tabs>
        <w:ind w:left="3600" w:hanging="360"/>
      </w:pPr>
      <w:rPr>
        <w:rFonts w:ascii="Courier New" w:hAnsi="Courier New"/>
      </w:rPr>
    </w:lvl>
    <w:lvl w:ilvl="5" w:tplc="01C2B8A4">
      <w:start w:val="1"/>
      <w:numFmt w:val="bullet"/>
      <w:lvlText w:val=""/>
      <w:lvlJc w:val="left"/>
      <w:pPr>
        <w:tabs>
          <w:tab w:val="num" w:pos="4320"/>
        </w:tabs>
        <w:ind w:left="4320" w:hanging="360"/>
      </w:pPr>
      <w:rPr>
        <w:rFonts w:ascii="Wingdings" w:hAnsi="Wingdings"/>
      </w:rPr>
    </w:lvl>
    <w:lvl w:ilvl="6" w:tplc="FCE8F9FE">
      <w:start w:val="1"/>
      <w:numFmt w:val="bullet"/>
      <w:lvlText w:val=""/>
      <w:lvlJc w:val="left"/>
      <w:pPr>
        <w:tabs>
          <w:tab w:val="num" w:pos="5040"/>
        </w:tabs>
        <w:ind w:left="5040" w:hanging="360"/>
      </w:pPr>
      <w:rPr>
        <w:rFonts w:ascii="Symbol" w:hAnsi="Symbol"/>
      </w:rPr>
    </w:lvl>
    <w:lvl w:ilvl="7" w:tplc="108054C8">
      <w:start w:val="1"/>
      <w:numFmt w:val="bullet"/>
      <w:lvlText w:val="o"/>
      <w:lvlJc w:val="left"/>
      <w:pPr>
        <w:tabs>
          <w:tab w:val="num" w:pos="5760"/>
        </w:tabs>
        <w:ind w:left="5760" w:hanging="360"/>
      </w:pPr>
      <w:rPr>
        <w:rFonts w:ascii="Courier New" w:hAnsi="Courier New"/>
      </w:rPr>
    </w:lvl>
    <w:lvl w:ilvl="8" w:tplc="FB3011F4">
      <w:start w:val="1"/>
      <w:numFmt w:val="bullet"/>
      <w:lvlText w:val=""/>
      <w:lvlJc w:val="left"/>
      <w:pPr>
        <w:tabs>
          <w:tab w:val="num" w:pos="6480"/>
        </w:tabs>
        <w:ind w:left="6480" w:hanging="360"/>
      </w:pPr>
      <w:rPr>
        <w:rFonts w:ascii="Wingdings" w:hAnsi="Wingdings"/>
      </w:rPr>
    </w:lvl>
  </w:abstractNum>
  <w:abstractNum w:abstractNumId="910" w15:restartNumberingAfterBreak="0">
    <w:nsid w:val="72230850"/>
    <w:multiLevelType w:val="hybridMultilevel"/>
    <w:tmpl w:val="72230850"/>
    <w:lvl w:ilvl="0" w:tplc="21CC05FA">
      <w:start w:val="1"/>
      <w:numFmt w:val="bullet"/>
      <w:lvlText w:val=""/>
      <w:lvlJc w:val="left"/>
      <w:pPr>
        <w:ind w:left="720" w:hanging="360"/>
      </w:pPr>
      <w:rPr>
        <w:rFonts w:ascii="Symbol" w:hAnsi="Symbol"/>
      </w:rPr>
    </w:lvl>
    <w:lvl w:ilvl="1" w:tplc="A170BA22">
      <w:start w:val="1"/>
      <w:numFmt w:val="bullet"/>
      <w:lvlText w:val="o"/>
      <w:lvlJc w:val="left"/>
      <w:pPr>
        <w:tabs>
          <w:tab w:val="num" w:pos="1440"/>
        </w:tabs>
        <w:ind w:left="1440" w:hanging="360"/>
      </w:pPr>
      <w:rPr>
        <w:rFonts w:ascii="Courier New" w:hAnsi="Courier New"/>
      </w:rPr>
    </w:lvl>
    <w:lvl w:ilvl="2" w:tplc="2A266B48">
      <w:start w:val="1"/>
      <w:numFmt w:val="bullet"/>
      <w:lvlText w:val=""/>
      <w:lvlJc w:val="left"/>
      <w:pPr>
        <w:tabs>
          <w:tab w:val="num" w:pos="2160"/>
        </w:tabs>
        <w:ind w:left="2160" w:hanging="360"/>
      </w:pPr>
      <w:rPr>
        <w:rFonts w:ascii="Wingdings" w:hAnsi="Wingdings"/>
      </w:rPr>
    </w:lvl>
    <w:lvl w:ilvl="3" w:tplc="452AAAA4">
      <w:start w:val="1"/>
      <w:numFmt w:val="bullet"/>
      <w:lvlText w:val=""/>
      <w:lvlJc w:val="left"/>
      <w:pPr>
        <w:tabs>
          <w:tab w:val="num" w:pos="2880"/>
        </w:tabs>
        <w:ind w:left="2880" w:hanging="360"/>
      </w:pPr>
      <w:rPr>
        <w:rFonts w:ascii="Symbol" w:hAnsi="Symbol"/>
      </w:rPr>
    </w:lvl>
    <w:lvl w:ilvl="4" w:tplc="F9A85470">
      <w:start w:val="1"/>
      <w:numFmt w:val="bullet"/>
      <w:lvlText w:val="o"/>
      <w:lvlJc w:val="left"/>
      <w:pPr>
        <w:tabs>
          <w:tab w:val="num" w:pos="3600"/>
        </w:tabs>
        <w:ind w:left="3600" w:hanging="360"/>
      </w:pPr>
      <w:rPr>
        <w:rFonts w:ascii="Courier New" w:hAnsi="Courier New"/>
      </w:rPr>
    </w:lvl>
    <w:lvl w:ilvl="5" w:tplc="CE006AD8">
      <w:start w:val="1"/>
      <w:numFmt w:val="bullet"/>
      <w:lvlText w:val=""/>
      <w:lvlJc w:val="left"/>
      <w:pPr>
        <w:tabs>
          <w:tab w:val="num" w:pos="4320"/>
        </w:tabs>
        <w:ind w:left="4320" w:hanging="360"/>
      </w:pPr>
      <w:rPr>
        <w:rFonts w:ascii="Wingdings" w:hAnsi="Wingdings"/>
      </w:rPr>
    </w:lvl>
    <w:lvl w:ilvl="6" w:tplc="55D435D8">
      <w:start w:val="1"/>
      <w:numFmt w:val="bullet"/>
      <w:lvlText w:val=""/>
      <w:lvlJc w:val="left"/>
      <w:pPr>
        <w:tabs>
          <w:tab w:val="num" w:pos="5040"/>
        </w:tabs>
        <w:ind w:left="5040" w:hanging="360"/>
      </w:pPr>
      <w:rPr>
        <w:rFonts w:ascii="Symbol" w:hAnsi="Symbol"/>
      </w:rPr>
    </w:lvl>
    <w:lvl w:ilvl="7" w:tplc="F8E05D16">
      <w:start w:val="1"/>
      <w:numFmt w:val="bullet"/>
      <w:lvlText w:val="o"/>
      <w:lvlJc w:val="left"/>
      <w:pPr>
        <w:tabs>
          <w:tab w:val="num" w:pos="5760"/>
        </w:tabs>
        <w:ind w:left="5760" w:hanging="360"/>
      </w:pPr>
      <w:rPr>
        <w:rFonts w:ascii="Courier New" w:hAnsi="Courier New"/>
      </w:rPr>
    </w:lvl>
    <w:lvl w:ilvl="8" w:tplc="98E87A22">
      <w:start w:val="1"/>
      <w:numFmt w:val="bullet"/>
      <w:lvlText w:val=""/>
      <w:lvlJc w:val="left"/>
      <w:pPr>
        <w:tabs>
          <w:tab w:val="num" w:pos="6480"/>
        </w:tabs>
        <w:ind w:left="6480" w:hanging="360"/>
      </w:pPr>
      <w:rPr>
        <w:rFonts w:ascii="Wingdings" w:hAnsi="Wingdings"/>
      </w:rPr>
    </w:lvl>
  </w:abstractNum>
  <w:abstractNum w:abstractNumId="911" w15:restartNumberingAfterBreak="0">
    <w:nsid w:val="72230851"/>
    <w:multiLevelType w:val="hybridMultilevel"/>
    <w:tmpl w:val="72230851"/>
    <w:lvl w:ilvl="0" w:tplc="6198793E">
      <w:start w:val="1"/>
      <w:numFmt w:val="bullet"/>
      <w:lvlText w:val=""/>
      <w:lvlJc w:val="left"/>
      <w:pPr>
        <w:ind w:left="720" w:hanging="360"/>
      </w:pPr>
      <w:rPr>
        <w:rFonts w:ascii="Symbol" w:hAnsi="Symbol"/>
      </w:rPr>
    </w:lvl>
    <w:lvl w:ilvl="1" w:tplc="DC404098">
      <w:start w:val="1"/>
      <w:numFmt w:val="bullet"/>
      <w:lvlText w:val="o"/>
      <w:lvlJc w:val="left"/>
      <w:pPr>
        <w:tabs>
          <w:tab w:val="num" w:pos="1440"/>
        </w:tabs>
        <w:ind w:left="1440" w:hanging="360"/>
      </w:pPr>
      <w:rPr>
        <w:rFonts w:ascii="Courier New" w:hAnsi="Courier New"/>
      </w:rPr>
    </w:lvl>
    <w:lvl w:ilvl="2" w:tplc="6EE01718">
      <w:start w:val="1"/>
      <w:numFmt w:val="bullet"/>
      <w:lvlText w:val=""/>
      <w:lvlJc w:val="left"/>
      <w:pPr>
        <w:tabs>
          <w:tab w:val="num" w:pos="2160"/>
        </w:tabs>
        <w:ind w:left="2160" w:hanging="360"/>
      </w:pPr>
      <w:rPr>
        <w:rFonts w:ascii="Wingdings" w:hAnsi="Wingdings"/>
      </w:rPr>
    </w:lvl>
    <w:lvl w:ilvl="3" w:tplc="32264466">
      <w:start w:val="1"/>
      <w:numFmt w:val="bullet"/>
      <w:lvlText w:val=""/>
      <w:lvlJc w:val="left"/>
      <w:pPr>
        <w:tabs>
          <w:tab w:val="num" w:pos="2880"/>
        </w:tabs>
        <w:ind w:left="2880" w:hanging="360"/>
      </w:pPr>
      <w:rPr>
        <w:rFonts w:ascii="Symbol" w:hAnsi="Symbol"/>
      </w:rPr>
    </w:lvl>
    <w:lvl w:ilvl="4" w:tplc="71C0536A">
      <w:start w:val="1"/>
      <w:numFmt w:val="bullet"/>
      <w:lvlText w:val="o"/>
      <w:lvlJc w:val="left"/>
      <w:pPr>
        <w:tabs>
          <w:tab w:val="num" w:pos="3600"/>
        </w:tabs>
        <w:ind w:left="3600" w:hanging="360"/>
      </w:pPr>
      <w:rPr>
        <w:rFonts w:ascii="Courier New" w:hAnsi="Courier New"/>
      </w:rPr>
    </w:lvl>
    <w:lvl w:ilvl="5" w:tplc="A058DF3E">
      <w:start w:val="1"/>
      <w:numFmt w:val="bullet"/>
      <w:lvlText w:val=""/>
      <w:lvlJc w:val="left"/>
      <w:pPr>
        <w:tabs>
          <w:tab w:val="num" w:pos="4320"/>
        </w:tabs>
        <w:ind w:left="4320" w:hanging="360"/>
      </w:pPr>
      <w:rPr>
        <w:rFonts w:ascii="Wingdings" w:hAnsi="Wingdings"/>
      </w:rPr>
    </w:lvl>
    <w:lvl w:ilvl="6" w:tplc="D6B0CF72">
      <w:start w:val="1"/>
      <w:numFmt w:val="bullet"/>
      <w:lvlText w:val=""/>
      <w:lvlJc w:val="left"/>
      <w:pPr>
        <w:tabs>
          <w:tab w:val="num" w:pos="5040"/>
        </w:tabs>
        <w:ind w:left="5040" w:hanging="360"/>
      </w:pPr>
      <w:rPr>
        <w:rFonts w:ascii="Symbol" w:hAnsi="Symbol"/>
      </w:rPr>
    </w:lvl>
    <w:lvl w:ilvl="7" w:tplc="F5CAD17A">
      <w:start w:val="1"/>
      <w:numFmt w:val="bullet"/>
      <w:lvlText w:val="o"/>
      <w:lvlJc w:val="left"/>
      <w:pPr>
        <w:tabs>
          <w:tab w:val="num" w:pos="5760"/>
        </w:tabs>
        <w:ind w:left="5760" w:hanging="360"/>
      </w:pPr>
      <w:rPr>
        <w:rFonts w:ascii="Courier New" w:hAnsi="Courier New"/>
      </w:rPr>
    </w:lvl>
    <w:lvl w:ilvl="8" w:tplc="D926166E">
      <w:start w:val="1"/>
      <w:numFmt w:val="bullet"/>
      <w:lvlText w:val=""/>
      <w:lvlJc w:val="left"/>
      <w:pPr>
        <w:tabs>
          <w:tab w:val="num" w:pos="6480"/>
        </w:tabs>
        <w:ind w:left="6480" w:hanging="360"/>
      </w:pPr>
      <w:rPr>
        <w:rFonts w:ascii="Wingdings" w:hAnsi="Wingdings"/>
      </w:rPr>
    </w:lvl>
  </w:abstractNum>
  <w:abstractNum w:abstractNumId="912" w15:restartNumberingAfterBreak="0">
    <w:nsid w:val="72230852"/>
    <w:multiLevelType w:val="hybridMultilevel"/>
    <w:tmpl w:val="72230852"/>
    <w:lvl w:ilvl="0" w:tplc="B12ED8E2">
      <w:start w:val="1"/>
      <w:numFmt w:val="bullet"/>
      <w:lvlText w:val=""/>
      <w:lvlJc w:val="left"/>
      <w:pPr>
        <w:ind w:left="720" w:hanging="360"/>
      </w:pPr>
      <w:rPr>
        <w:rFonts w:ascii="Symbol" w:hAnsi="Symbol"/>
      </w:rPr>
    </w:lvl>
    <w:lvl w:ilvl="1" w:tplc="F4529BFA">
      <w:start w:val="1"/>
      <w:numFmt w:val="bullet"/>
      <w:lvlText w:val="o"/>
      <w:lvlJc w:val="left"/>
      <w:pPr>
        <w:ind w:left="1440" w:hanging="360"/>
      </w:pPr>
      <w:rPr>
        <w:rFonts w:ascii="Courier New" w:hAnsi="Courier New"/>
      </w:rPr>
    </w:lvl>
    <w:lvl w:ilvl="2" w:tplc="61580762">
      <w:start w:val="1"/>
      <w:numFmt w:val="bullet"/>
      <w:lvlText w:val=""/>
      <w:lvlJc w:val="left"/>
      <w:pPr>
        <w:tabs>
          <w:tab w:val="num" w:pos="2160"/>
        </w:tabs>
        <w:ind w:left="2160" w:hanging="360"/>
      </w:pPr>
      <w:rPr>
        <w:rFonts w:ascii="Wingdings" w:hAnsi="Wingdings"/>
      </w:rPr>
    </w:lvl>
    <w:lvl w:ilvl="3" w:tplc="82BCD9F2">
      <w:start w:val="1"/>
      <w:numFmt w:val="bullet"/>
      <w:lvlText w:val=""/>
      <w:lvlJc w:val="left"/>
      <w:pPr>
        <w:tabs>
          <w:tab w:val="num" w:pos="2880"/>
        </w:tabs>
        <w:ind w:left="2880" w:hanging="360"/>
      </w:pPr>
      <w:rPr>
        <w:rFonts w:ascii="Symbol" w:hAnsi="Symbol"/>
      </w:rPr>
    </w:lvl>
    <w:lvl w:ilvl="4" w:tplc="A5C88AC4">
      <w:start w:val="1"/>
      <w:numFmt w:val="bullet"/>
      <w:lvlText w:val="o"/>
      <w:lvlJc w:val="left"/>
      <w:pPr>
        <w:tabs>
          <w:tab w:val="num" w:pos="3600"/>
        </w:tabs>
        <w:ind w:left="3600" w:hanging="360"/>
      </w:pPr>
      <w:rPr>
        <w:rFonts w:ascii="Courier New" w:hAnsi="Courier New"/>
      </w:rPr>
    </w:lvl>
    <w:lvl w:ilvl="5" w:tplc="E1A4F61C">
      <w:start w:val="1"/>
      <w:numFmt w:val="bullet"/>
      <w:lvlText w:val=""/>
      <w:lvlJc w:val="left"/>
      <w:pPr>
        <w:tabs>
          <w:tab w:val="num" w:pos="4320"/>
        </w:tabs>
        <w:ind w:left="4320" w:hanging="360"/>
      </w:pPr>
      <w:rPr>
        <w:rFonts w:ascii="Wingdings" w:hAnsi="Wingdings"/>
      </w:rPr>
    </w:lvl>
    <w:lvl w:ilvl="6" w:tplc="2AF6A068">
      <w:start w:val="1"/>
      <w:numFmt w:val="bullet"/>
      <w:lvlText w:val=""/>
      <w:lvlJc w:val="left"/>
      <w:pPr>
        <w:tabs>
          <w:tab w:val="num" w:pos="5040"/>
        </w:tabs>
        <w:ind w:left="5040" w:hanging="360"/>
      </w:pPr>
      <w:rPr>
        <w:rFonts w:ascii="Symbol" w:hAnsi="Symbol"/>
      </w:rPr>
    </w:lvl>
    <w:lvl w:ilvl="7" w:tplc="4F96B9BA">
      <w:start w:val="1"/>
      <w:numFmt w:val="bullet"/>
      <w:lvlText w:val="o"/>
      <w:lvlJc w:val="left"/>
      <w:pPr>
        <w:tabs>
          <w:tab w:val="num" w:pos="5760"/>
        </w:tabs>
        <w:ind w:left="5760" w:hanging="360"/>
      </w:pPr>
      <w:rPr>
        <w:rFonts w:ascii="Courier New" w:hAnsi="Courier New"/>
      </w:rPr>
    </w:lvl>
    <w:lvl w:ilvl="8" w:tplc="C9181A70">
      <w:start w:val="1"/>
      <w:numFmt w:val="bullet"/>
      <w:lvlText w:val=""/>
      <w:lvlJc w:val="left"/>
      <w:pPr>
        <w:tabs>
          <w:tab w:val="num" w:pos="6480"/>
        </w:tabs>
        <w:ind w:left="6480" w:hanging="360"/>
      </w:pPr>
      <w:rPr>
        <w:rFonts w:ascii="Wingdings" w:hAnsi="Wingdings"/>
      </w:rPr>
    </w:lvl>
  </w:abstractNum>
  <w:abstractNum w:abstractNumId="913" w15:restartNumberingAfterBreak="0">
    <w:nsid w:val="72230853"/>
    <w:multiLevelType w:val="hybridMultilevel"/>
    <w:tmpl w:val="72230853"/>
    <w:lvl w:ilvl="0" w:tplc="DAF800A4">
      <w:start w:val="1"/>
      <w:numFmt w:val="bullet"/>
      <w:lvlText w:val=""/>
      <w:lvlJc w:val="left"/>
      <w:pPr>
        <w:ind w:left="720" w:hanging="360"/>
      </w:pPr>
      <w:rPr>
        <w:rFonts w:ascii="Symbol" w:hAnsi="Symbol"/>
      </w:rPr>
    </w:lvl>
    <w:lvl w:ilvl="1" w:tplc="D30050C2">
      <w:start w:val="1"/>
      <w:numFmt w:val="bullet"/>
      <w:lvlText w:val="o"/>
      <w:lvlJc w:val="left"/>
      <w:pPr>
        <w:tabs>
          <w:tab w:val="num" w:pos="1440"/>
        </w:tabs>
        <w:ind w:left="1440" w:hanging="360"/>
      </w:pPr>
      <w:rPr>
        <w:rFonts w:ascii="Courier New" w:hAnsi="Courier New"/>
      </w:rPr>
    </w:lvl>
    <w:lvl w:ilvl="2" w:tplc="9D845C18">
      <w:start w:val="1"/>
      <w:numFmt w:val="bullet"/>
      <w:lvlText w:val=""/>
      <w:lvlJc w:val="left"/>
      <w:pPr>
        <w:tabs>
          <w:tab w:val="num" w:pos="2160"/>
        </w:tabs>
        <w:ind w:left="2160" w:hanging="360"/>
      </w:pPr>
      <w:rPr>
        <w:rFonts w:ascii="Wingdings" w:hAnsi="Wingdings"/>
      </w:rPr>
    </w:lvl>
    <w:lvl w:ilvl="3" w:tplc="9C062F3E">
      <w:start w:val="1"/>
      <w:numFmt w:val="bullet"/>
      <w:lvlText w:val=""/>
      <w:lvlJc w:val="left"/>
      <w:pPr>
        <w:tabs>
          <w:tab w:val="num" w:pos="2880"/>
        </w:tabs>
        <w:ind w:left="2880" w:hanging="360"/>
      </w:pPr>
      <w:rPr>
        <w:rFonts w:ascii="Symbol" w:hAnsi="Symbol"/>
      </w:rPr>
    </w:lvl>
    <w:lvl w:ilvl="4" w:tplc="DD7EBBB0">
      <w:start w:val="1"/>
      <w:numFmt w:val="bullet"/>
      <w:lvlText w:val="o"/>
      <w:lvlJc w:val="left"/>
      <w:pPr>
        <w:tabs>
          <w:tab w:val="num" w:pos="3600"/>
        </w:tabs>
        <w:ind w:left="3600" w:hanging="360"/>
      </w:pPr>
      <w:rPr>
        <w:rFonts w:ascii="Courier New" w:hAnsi="Courier New"/>
      </w:rPr>
    </w:lvl>
    <w:lvl w:ilvl="5" w:tplc="FABA7730">
      <w:start w:val="1"/>
      <w:numFmt w:val="bullet"/>
      <w:lvlText w:val=""/>
      <w:lvlJc w:val="left"/>
      <w:pPr>
        <w:tabs>
          <w:tab w:val="num" w:pos="4320"/>
        </w:tabs>
        <w:ind w:left="4320" w:hanging="360"/>
      </w:pPr>
      <w:rPr>
        <w:rFonts w:ascii="Wingdings" w:hAnsi="Wingdings"/>
      </w:rPr>
    </w:lvl>
    <w:lvl w:ilvl="6" w:tplc="EE8E3FFA">
      <w:start w:val="1"/>
      <w:numFmt w:val="bullet"/>
      <w:lvlText w:val=""/>
      <w:lvlJc w:val="left"/>
      <w:pPr>
        <w:tabs>
          <w:tab w:val="num" w:pos="5040"/>
        </w:tabs>
        <w:ind w:left="5040" w:hanging="360"/>
      </w:pPr>
      <w:rPr>
        <w:rFonts w:ascii="Symbol" w:hAnsi="Symbol"/>
      </w:rPr>
    </w:lvl>
    <w:lvl w:ilvl="7" w:tplc="B3601A76">
      <w:start w:val="1"/>
      <w:numFmt w:val="bullet"/>
      <w:lvlText w:val="o"/>
      <w:lvlJc w:val="left"/>
      <w:pPr>
        <w:tabs>
          <w:tab w:val="num" w:pos="5760"/>
        </w:tabs>
        <w:ind w:left="5760" w:hanging="360"/>
      </w:pPr>
      <w:rPr>
        <w:rFonts w:ascii="Courier New" w:hAnsi="Courier New"/>
      </w:rPr>
    </w:lvl>
    <w:lvl w:ilvl="8" w:tplc="6D467924">
      <w:start w:val="1"/>
      <w:numFmt w:val="bullet"/>
      <w:lvlText w:val=""/>
      <w:lvlJc w:val="left"/>
      <w:pPr>
        <w:tabs>
          <w:tab w:val="num" w:pos="6480"/>
        </w:tabs>
        <w:ind w:left="6480" w:hanging="360"/>
      </w:pPr>
      <w:rPr>
        <w:rFonts w:ascii="Wingdings" w:hAnsi="Wingdings"/>
      </w:rPr>
    </w:lvl>
  </w:abstractNum>
  <w:abstractNum w:abstractNumId="914" w15:restartNumberingAfterBreak="0">
    <w:nsid w:val="72230854"/>
    <w:multiLevelType w:val="hybridMultilevel"/>
    <w:tmpl w:val="72230854"/>
    <w:lvl w:ilvl="0" w:tplc="4EF813CE">
      <w:start w:val="1"/>
      <w:numFmt w:val="bullet"/>
      <w:lvlText w:val=""/>
      <w:lvlJc w:val="left"/>
      <w:pPr>
        <w:ind w:left="720" w:hanging="360"/>
      </w:pPr>
      <w:rPr>
        <w:rFonts w:ascii="Symbol" w:hAnsi="Symbol"/>
      </w:rPr>
    </w:lvl>
    <w:lvl w:ilvl="1" w:tplc="368E3230">
      <w:start w:val="1"/>
      <w:numFmt w:val="bullet"/>
      <w:lvlText w:val="o"/>
      <w:lvlJc w:val="left"/>
      <w:pPr>
        <w:tabs>
          <w:tab w:val="num" w:pos="1440"/>
        </w:tabs>
        <w:ind w:left="1440" w:hanging="360"/>
      </w:pPr>
      <w:rPr>
        <w:rFonts w:ascii="Courier New" w:hAnsi="Courier New"/>
      </w:rPr>
    </w:lvl>
    <w:lvl w:ilvl="2" w:tplc="DB7843BE">
      <w:start w:val="1"/>
      <w:numFmt w:val="bullet"/>
      <w:lvlText w:val=""/>
      <w:lvlJc w:val="left"/>
      <w:pPr>
        <w:tabs>
          <w:tab w:val="num" w:pos="2160"/>
        </w:tabs>
        <w:ind w:left="2160" w:hanging="360"/>
      </w:pPr>
      <w:rPr>
        <w:rFonts w:ascii="Wingdings" w:hAnsi="Wingdings"/>
      </w:rPr>
    </w:lvl>
    <w:lvl w:ilvl="3" w:tplc="1EC4A86A">
      <w:start w:val="1"/>
      <w:numFmt w:val="bullet"/>
      <w:lvlText w:val=""/>
      <w:lvlJc w:val="left"/>
      <w:pPr>
        <w:tabs>
          <w:tab w:val="num" w:pos="2880"/>
        </w:tabs>
        <w:ind w:left="2880" w:hanging="360"/>
      </w:pPr>
      <w:rPr>
        <w:rFonts w:ascii="Symbol" w:hAnsi="Symbol"/>
      </w:rPr>
    </w:lvl>
    <w:lvl w:ilvl="4" w:tplc="85044D38">
      <w:start w:val="1"/>
      <w:numFmt w:val="bullet"/>
      <w:lvlText w:val="o"/>
      <w:lvlJc w:val="left"/>
      <w:pPr>
        <w:tabs>
          <w:tab w:val="num" w:pos="3600"/>
        </w:tabs>
        <w:ind w:left="3600" w:hanging="360"/>
      </w:pPr>
      <w:rPr>
        <w:rFonts w:ascii="Courier New" w:hAnsi="Courier New"/>
      </w:rPr>
    </w:lvl>
    <w:lvl w:ilvl="5" w:tplc="AF8ADE12">
      <w:start w:val="1"/>
      <w:numFmt w:val="bullet"/>
      <w:lvlText w:val=""/>
      <w:lvlJc w:val="left"/>
      <w:pPr>
        <w:tabs>
          <w:tab w:val="num" w:pos="4320"/>
        </w:tabs>
        <w:ind w:left="4320" w:hanging="360"/>
      </w:pPr>
      <w:rPr>
        <w:rFonts w:ascii="Wingdings" w:hAnsi="Wingdings"/>
      </w:rPr>
    </w:lvl>
    <w:lvl w:ilvl="6" w:tplc="0AF228B0">
      <w:start w:val="1"/>
      <w:numFmt w:val="bullet"/>
      <w:lvlText w:val=""/>
      <w:lvlJc w:val="left"/>
      <w:pPr>
        <w:tabs>
          <w:tab w:val="num" w:pos="5040"/>
        </w:tabs>
        <w:ind w:left="5040" w:hanging="360"/>
      </w:pPr>
      <w:rPr>
        <w:rFonts w:ascii="Symbol" w:hAnsi="Symbol"/>
      </w:rPr>
    </w:lvl>
    <w:lvl w:ilvl="7" w:tplc="58D8D768">
      <w:start w:val="1"/>
      <w:numFmt w:val="bullet"/>
      <w:lvlText w:val="o"/>
      <w:lvlJc w:val="left"/>
      <w:pPr>
        <w:tabs>
          <w:tab w:val="num" w:pos="5760"/>
        </w:tabs>
        <w:ind w:left="5760" w:hanging="360"/>
      </w:pPr>
      <w:rPr>
        <w:rFonts w:ascii="Courier New" w:hAnsi="Courier New"/>
      </w:rPr>
    </w:lvl>
    <w:lvl w:ilvl="8" w:tplc="45D218FE">
      <w:start w:val="1"/>
      <w:numFmt w:val="bullet"/>
      <w:lvlText w:val=""/>
      <w:lvlJc w:val="left"/>
      <w:pPr>
        <w:tabs>
          <w:tab w:val="num" w:pos="6480"/>
        </w:tabs>
        <w:ind w:left="6480" w:hanging="360"/>
      </w:pPr>
      <w:rPr>
        <w:rFonts w:ascii="Wingdings" w:hAnsi="Wingdings"/>
      </w:rPr>
    </w:lvl>
  </w:abstractNum>
  <w:abstractNum w:abstractNumId="915" w15:restartNumberingAfterBreak="0">
    <w:nsid w:val="72230855"/>
    <w:multiLevelType w:val="hybridMultilevel"/>
    <w:tmpl w:val="72230855"/>
    <w:lvl w:ilvl="0" w:tplc="53AA1730">
      <w:start w:val="1"/>
      <w:numFmt w:val="bullet"/>
      <w:lvlText w:val=""/>
      <w:lvlJc w:val="left"/>
      <w:pPr>
        <w:ind w:left="720" w:hanging="360"/>
      </w:pPr>
      <w:rPr>
        <w:rFonts w:ascii="Symbol" w:hAnsi="Symbol"/>
      </w:rPr>
    </w:lvl>
    <w:lvl w:ilvl="1" w:tplc="F6583EF8">
      <w:start w:val="1"/>
      <w:numFmt w:val="bullet"/>
      <w:lvlText w:val="o"/>
      <w:lvlJc w:val="left"/>
      <w:pPr>
        <w:ind w:left="1440" w:hanging="360"/>
      </w:pPr>
      <w:rPr>
        <w:rFonts w:ascii="Courier New" w:hAnsi="Courier New"/>
      </w:rPr>
    </w:lvl>
    <w:lvl w:ilvl="2" w:tplc="04C0732E">
      <w:start w:val="1"/>
      <w:numFmt w:val="bullet"/>
      <w:lvlText w:val=""/>
      <w:lvlJc w:val="left"/>
      <w:pPr>
        <w:tabs>
          <w:tab w:val="num" w:pos="2160"/>
        </w:tabs>
        <w:ind w:left="2160" w:hanging="360"/>
      </w:pPr>
      <w:rPr>
        <w:rFonts w:ascii="Wingdings" w:hAnsi="Wingdings"/>
      </w:rPr>
    </w:lvl>
    <w:lvl w:ilvl="3" w:tplc="4EC425D4">
      <w:start w:val="1"/>
      <w:numFmt w:val="bullet"/>
      <w:lvlText w:val=""/>
      <w:lvlJc w:val="left"/>
      <w:pPr>
        <w:tabs>
          <w:tab w:val="num" w:pos="2880"/>
        </w:tabs>
        <w:ind w:left="2880" w:hanging="360"/>
      </w:pPr>
      <w:rPr>
        <w:rFonts w:ascii="Symbol" w:hAnsi="Symbol"/>
      </w:rPr>
    </w:lvl>
    <w:lvl w:ilvl="4" w:tplc="9E6648F2">
      <w:start w:val="1"/>
      <w:numFmt w:val="bullet"/>
      <w:lvlText w:val="o"/>
      <w:lvlJc w:val="left"/>
      <w:pPr>
        <w:tabs>
          <w:tab w:val="num" w:pos="3600"/>
        </w:tabs>
        <w:ind w:left="3600" w:hanging="360"/>
      </w:pPr>
      <w:rPr>
        <w:rFonts w:ascii="Courier New" w:hAnsi="Courier New"/>
      </w:rPr>
    </w:lvl>
    <w:lvl w:ilvl="5" w:tplc="DA9058AC">
      <w:start w:val="1"/>
      <w:numFmt w:val="bullet"/>
      <w:lvlText w:val=""/>
      <w:lvlJc w:val="left"/>
      <w:pPr>
        <w:tabs>
          <w:tab w:val="num" w:pos="4320"/>
        </w:tabs>
        <w:ind w:left="4320" w:hanging="360"/>
      </w:pPr>
      <w:rPr>
        <w:rFonts w:ascii="Wingdings" w:hAnsi="Wingdings"/>
      </w:rPr>
    </w:lvl>
    <w:lvl w:ilvl="6" w:tplc="13EA4B3C">
      <w:start w:val="1"/>
      <w:numFmt w:val="bullet"/>
      <w:lvlText w:val=""/>
      <w:lvlJc w:val="left"/>
      <w:pPr>
        <w:tabs>
          <w:tab w:val="num" w:pos="5040"/>
        </w:tabs>
        <w:ind w:left="5040" w:hanging="360"/>
      </w:pPr>
      <w:rPr>
        <w:rFonts w:ascii="Symbol" w:hAnsi="Symbol"/>
      </w:rPr>
    </w:lvl>
    <w:lvl w:ilvl="7" w:tplc="BD087678">
      <w:start w:val="1"/>
      <w:numFmt w:val="bullet"/>
      <w:lvlText w:val="o"/>
      <w:lvlJc w:val="left"/>
      <w:pPr>
        <w:tabs>
          <w:tab w:val="num" w:pos="5760"/>
        </w:tabs>
        <w:ind w:left="5760" w:hanging="360"/>
      </w:pPr>
      <w:rPr>
        <w:rFonts w:ascii="Courier New" w:hAnsi="Courier New"/>
      </w:rPr>
    </w:lvl>
    <w:lvl w:ilvl="8" w:tplc="79D0B89E">
      <w:start w:val="1"/>
      <w:numFmt w:val="bullet"/>
      <w:lvlText w:val=""/>
      <w:lvlJc w:val="left"/>
      <w:pPr>
        <w:tabs>
          <w:tab w:val="num" w:pos="6480"/>
        </w:tabs>
        <w:ind w:left="6480" w:hanging="360"/>
      </w:pPr>
      <w:rPr>
        <w:rFonts w:ascii="Wingdings" w:hAnsi="Wingdings"/>
      </w:rPr>
    </w:lvl>
  </w:abstractNum>
  <w:abstractNum w:abstractNumId="916" w15:restartNumberingAfterBreak="0">
    <w:nsid w:val="72230856"/>
    <w:multiLevelType w:val="hybridMultilevel"/>
    <w:tmpl w:val="72230856"/>
    <w:lvl w:ilvl="0" w:tplc="09A68A9C">
      <w:start w:val="1"/>
      <w:numFmt w:val="bullet"/>
      <w:lvlText w:val=""/>
      <w:lvlJc w:val="left"/>
      <w:pPr>
        <w:ind w:left="720" w:hanging="360"/>
      </w:pPr>
      <w:rPr>
        <w:rFonts w:ascii="Symbol" w:hAnsi="Symbol"/>
      </w:rPr>
    </w:lvl>
    <w:lvl w:ilvl="1" w:tplc="072C9D04">
      <w:start w:val="1"/>
      <w:numFmt w:val="bullet"/>
      <w:lvlText w:val="o"/>
      <w:lvlJc w:val="left"/>
      <w:pPr>
        <w:tabs>
          <w:tab w:val="num" w:pos="1440"/>
        </w:tabs>
        <w:ind w:left="1440" w:hanging="360"/>
      </w:pPr>
      <w:rPr>
        <w:rFonts w:ascii="Courier New" w:hAnsi="Courier New"/>
      </w:rPr>
    </w:lvl>
    <w:lvl w:ilvl="2" w:tplc="19820942">
      <w:start w:val="1"/>
      <w:numFmt w:val="bullet"/>
      <w:lvlText w:val=""/>
      <w:lvlJc w:val="left"/>
      <w:pPr>
        <w:tabs>
          <w:tab w:val="num" w:pos="2160"/>
        </w:tabs>
        <w:ind w:left="2160" w:hanging="360"/>
      </w:pPr>
      <w:rPr>
        <w:rFonts w:ascii="Wingdings" w:hAnsi="Wingdings"/>
      </w:rPr>
    </w:lvl>
    <w:lvl w:ilvl="3" w:tplc="637621F6">
      <w:start w:val="1"/>
      <w:numFmt w:val="bullet"/>
      <w:lvlText w:val=""/>
      <w:lvlJc w:val="left"/>
      <w:pPr>
        <w:tabs>
          <w:tab w:val="num" w:pos="2880"/>
        </w:tabs>
        <w:ind w:left="2880" w:hanging="360"/>
      </w:pPr>
      <w:rPr>
        <w:rFonts w:ascii="Symbol" w:hAnsi="Symbol"/>
      </w:rPr>
    </w:lvl>
    <w:lvl w:ilvl="4" w:tplc="2D9E6404">
      <w:start w:val="1"/>
      <w:numFmt w:val="bullet"/>
      <w:lvlText w:val="o"/>
      <w:lvlJc w:val="left"/>
      <w:pPr>
        <w:tabs>
          <w:tab w:val="num" w:pos="3600"/>
        </w:tabs>
        <w:ind w:left="3600" w:hanging="360"/>
      </w:pPr>
      <w:rPr>
        <w:rFonts w:ascii="Courier New" w:hAnsi="Courier New"/>
      </w:rPr>
    </w:lvl>
    <w:lvl w:ilvl="5" w:tplc="430A254E">
      <w:start w:val="1"/>
      <w:numFmt w:val="bullet"/>
      <w:lvlText w:val=""/>
      <w:lvlJc w:val="left"/>
      <w:pPr>
        <w:tabs>
          <w:tab w:val="num" w:pos="4320"/>
        </w:tabs>
        <w:ind w:left="4320" w:hanging="360"/>
      </w:pPr>
      <w:rPr>
        <w:rFonts w:ascii="Wingdings" w:hAnsi="Wingdings"/>
      </w:rPr>
    </w:lvl>
    <w:lvl w:ilvl="6" w:tplc="77F691AA">
      <w:start w:val="1"/>
      <w:numFmt w:val="bullet"/>
      <w:lvlText w:val=""/>
      <w:lvlJc w:val="left"/>
      <w:pPr>
        <w:tabs>
          <w:tab w:val="num" w:pos="5040"/>
        </w:tabs>
        <w:ind w:left="5040" w:hanging="360"/>
      </w:pPr>
      <w:rPr>
        <w:rFonts w:ascii="Symbol" w:hAnsi="Symbol"/>
      </w:rPr>
    </w:lvl>
    <w:lvl w:ilvl="7" w:tplc="8F50819E">
      <w:start w:val="1"/>
      <w:numFmt w:val="bullet"/>
      <w:lvlText w:val="o"/>
      <w:lvlJc w:val="left"/>
      <w:pPr>
        <w:tabs>
          <w:tab w:val="num" w:pos="5760"/>
        </w:tabs>
        <w:ind w:left="5760" w:hanging="360"/>
      </w:pPr>
      <w:rPr>
        <w:rFonts w:ascii="Courier New" w:hAnsi="Courier New"/>
      </w:rPr>
    </w:lvl>
    <w:lvl w:ilvl="8" w:tplc="F668A862">
      <w:start w:val="1"/>
      <w:numFmt w:val="bullet"/>
      <w:lvlText w:val=""/>
      <w:lvlJc w:val="left"/>
      <w:pPr>
        <w:tabs>
          <w:tab w:val="num" w:pos="6480"/>
        </w:tabs>
        <w:ind w:left="6480" w:hanging="360"/>
      </w:pPr>
      <w:rPr>
        <w:rFonts w:ascii="Wingdings" w:hAnsi="Wingdings"/>
      </w:rPr>
    </w:lvl>
  </w:abstractNum>
  <w:abstractNum w:abstractNumId="917" w15:restartNumberingAfterBreak="0">
    <w:nsid w:val="72230857"/>
    <w:multiLevelType w:val="hybridMultilevel"/>
    <w:tmpl w:val="72230857"/>
    <w:lvl w:ilvl="0" w:tplc="58C03BB0">
      <w:start w:val="1"/>
      <w:numFmt w:val="bullet"/>
      <w:lvlText w:val=""/>
      <w:lvlJc w:val="left"/>
      <w:pPr>
        <w:ind w:left="720" w:hanging="360"/>
      </w:pPr>
      <w:rPr>
        <w:rFonts w:ascii="Symbol" w:hAnsi="Symbol"/>
      </w:rPr>
    </w:lvl>
    <w:lvl w:ilvl="1" w:tplc="1C0443FA">
      <w:start w:val="1"/>
      <w:numFmt w:val="bullet"/>
      <w:lvlText w:val="o"/>
      <w:lvlJc w:val="left"/>
      <w:pPr>
        <w:tabs>
          <w:tab w:val="num" w:pos="1440"/>
        </w:tabs>
        <w:ind w:left="1440" w:hanging="360"/>
      </w:pPr>
      <w:rPr>
        <w:rFonts w:ascii="Courier New" w:hAnsi="Courier New"/>
      </w:rPr>
    </w:lvl>
    <w:lvl w:ilvl="2" w:tplc="1D5A4A50">
      <w:start w:val="1"/>
      <w:numFmt w:val="bullet"/>
      <w:lvlText w:val=""/>
      <w:lvlJc w:val="left"/>
      <w:pPr>
        <w:tabs>
          <w:tab w:val="num" w:pos="2160"/>
        </w:tabs>
        <w:ind w:left="2160" w:hanging="360"/>
      </w:pPr>
      <w:rPr>
        <w:rFonts w:ascii="Wingdings" w:hAnsi="Wingdings"/>
      </w:rPr>
    </w:lvl>
    <w:lvl w:ilvl="3" w:tplc="3580E7A8">
      <w:start w:val="1"/>
      <w:numFmt w:val="bullet"/>
      <w:lvlText w:val=""/>
      <w:lvlJc w:val="left"/>
      <w:pPr>
        <w:tabs>
          <w:tab w:val="num" w:pos="2880"/>
        </w:tabs>
        <w:ind w:left="2880" w:hanging="360"/>
      </w:pPr>
      <w:rPr>
        <w:rFonts w:ascii="Symbol" w:hAnsi="Symbol"/>
      </w:rPr>
    </w:lvl>
    <w:lvl w:ilvl="4" w:tplc="ACAA6AD4">
      <w:start w:val="1"/>
      <w:numFmt w:val="bullet"/>
      <w:lvlText w:val="o"/>
      <w:lvlJc w:val="left"/>
      <w:pPr>
        <w:tabs>
          <w:tab w:val="num" w:pos="3600"/>
        </w:tabs>
        <w:ind w:left="3600" w:hanging="360"/>
      </w:pPr>
      <w:rPr>
        <w:rFonts w:ascii="Courier New" w:hAnsi="Courier New"/>
      </w:rPr>
    </w:lvl>
    <w:lvl w:ilvl="5" w:tplc="E8C423CE">
      <w:start w:val="1"/>
      <w:numFmt w:val="bullet"/>
      <w:lvlText w:val=""/>
      <w:lvlJc w:val="left"/>
      <w:pPr>
        <w:tabs>
          <w:tab w:val="num" w:pos="4320"/>
        </w:tabs>
        <w:ind w:left="4320" w:hanging="360"/>
      </w:pPr>
      <w:rPr>
        <w:rFonts w:ascii="Wingdings" w:hAnsi="Wingdings"/>
      </w:rPr>
    </w:lvl>
    <w:lvl w:ilvl="6" w:tplc="EB92EABA">
      <w:start w:val="1"/>
      <w:numFmt w:val="bullet"/>
      <w:lvlText w:val=""/>
      <w:lvlJc w:val="left"/>
      <w:pPr>
        <w:tabs>
          <w:tab w:val="num" w:pos="5040"/>
        </w:tabs>
        <w:ind w:left="5040" w:hanging="360"/>
      </w:pPr>
      <w:rPr>
        <w:rFonts w:ascii="Symbol" w:hAnsi="Symbol"/>
      </w:rPr>
    </w:lvl>
    <w:lvl w:ilvl="7" w:tplc="5F68A300">
      <w:start w:val="1"/>
      <w:numFmt w:val="bullet"/>
      <w:lvlText w:val="o"/>
      <w:lvlJc w:val="left"/>
      <w:pPr>
        <w:tabs>
          <w:tab w:val="num" w:pos="5760"/>
        </w:tabs>
        <w:ind w:left="5760" w:hanging="360"/>
      </w:pPr>
      <w:rPr>
        <w:rFonts w:ascii="Courier New" w:hAnsi="Courier New"/>
      </w:rPr>
    </w:lvl>
    <w:lvl w:ilvl="8" w:tplc="EA4875BC">
      <w:start w:val="1"/>
      <w:numFmt w:val="bullet"/>
      <w:lvlText w:val=""/>
      <w:lvlJc w:val="left"/>
      <w:pPr>
        <w:tabs>
          <w:tab w:val="num" w:pos="6480"/>
        </w:tabs>
        <w:ind w:left="6480" w:hanging="360"/>
      </w:pPr>
      <w:rPr>
        <w:rFonts w:ascii="Wingdings" w:hAnsi="Wingdings"/>
      </w:rPr>
    </w:lvl>
  </w:abstractNum>
  <w:abstractNum w:abstractNumId="918" w15:restartNumberingAfterBreak="0">
    <w:nsid w:val="72230858"/>
    <w:multiLevelType w:val="hybridMultilevel"/>
    <w:tmpl w:val="72230858"/>
    <w:lvl w:ilvl="0" w:tplc="AF7EF7BA">
      <w:start w:val="1"/>
      <w:numFmt w:val="bullet"/>
      <w:lvlText w:val=""/>
      <w:lvlJc w:val="left"/>
      <w:pPr>
        <w:ind w:left="720" w:hanging="360"/>
      </w:pPr>
      <w:rPr>
        <w:rFonts w:ascii="Symbol" w:hAnsi="Symbol"/>
      </w:rPr>
    </w:lvl>
    <w:lvl w:ilvl="1" w:tplc="220EBF84">
      <w:start w:val="1"/>
      <w:numFmt w:val="bullet"/>
      <w:lvlText w:val="o"/>
      <w:lvlJc w:val="left"/>
      <w:pPr>
        <w:tabs>
          <w:tab w:val="num" w:pos="1440"/>
        </w:tabs>
        <w:ind w:left="1440" w:hanging="360"/>
      </w:pPr>
      <w:rPr>
        <w:rFonts w:ascii="Courier New" w:hAnsi="Courier New"/>
      </w:rPr>
    </w:lvl>
    <w:lvl w:ilvl="2" w:tplc="E0FA86F0">
      <w:start w:val="1"/>
      <w:numFmt w:val="bullet"/>
      <w:lvlText w:val=""/>
      <w:lvlJc w:val="left"/>
      <w:pPr>
        <w:tabs>
          <w:tab w:val="num" w:pos="2160"/>
        </w:tabs>
        <w:ind w:left="2160" w:hanging="360"/>
      </w:pPr>
      <w:rPr>
        <w:rFonts w:ascii="Wingdings" w:hAnsi="Wingdings"/>
      </w:rPr>
    </w:lvl>
    <w:lvl w:ilvl="3" w:tplc="1856DC76">
      <w:start w:val="1"/>
      <w:numFmt w:val="bullet"/>
      <w:lvlText w:val=""/>
      <w:lvlJc w:val="left"/>
      <w:pPr>
        <w:tabs>
          <w:tab w:val="num" w:pos="2880"/>
        </w:tabs>
        <w:ind w:left="2880" w:hanging="360"/>
      </w:pPr>
      <w:rPr>
        <w:rFonts w:ascii="Symbol" w:hAnsi="Symbol"/>
      </w:rPr>
    </w:lvl>
    <w:lvl w:ilvl="4" w:tplc="3F144BBA">
      <w:start w:val="1"/>
      <w:numFmt w:val="bullet"/>
      <w:lvlText w:val="o"/>
      <w:lvlJc w:val="left"/>
      <w:pPr>
        <w:tabs>
          <w:tab w:val="num" w:pos="3600"/>
        </w:tabs>
        <w:ind w:left="3600" w:hanging="360"/>
      </w:pPr>
      <w:rPr>
        <w:rFonts w:ascii="Courier New" w:hAnsi="Courier New"/>
      </w:rPr>
    </w:lvl>
    <w:lvl w:ilvl="5" w:tplc="A3AA51B2">
      <w:start w:val="1"/>
      <w:numFmt w:val="bullet"/>
      <w:lvlText w:val=""/>
      <w:lvlJc w:val="left"/>
      <w:pPr>
        <w:tabs>
          <w:tab w:val="num" w:pos="4320"/>
        </w:tabs>
        <w:ind w:left="4320" w:hanging="360"/>
      </w:pPr>
      <w:rPr>
        <w:rFonts w:ascii="Wingdings" w:hAnsi="Wingdings"/>
      </w:rPr>
    </w:lvl>
    <w:lvl w:ilvl="6" w:tplc="79A4F336">
      <w:start w:val="1"/>
      <w:numFmt w:val="bullet"/>
      <w:lvlText w:val=""/>
      <w:lvlJc w:val="left"/>
      <w:pPr>
        <w:tabs>
          <w:tab w:val="num" w:pos="5040"/>
        </w:tabs>
        <w:ind w:left="5040" w:hanging="360"/>
      </w:pPr>
      <w:rPr>
        <w:rFonts w:ascii="Symbol" w:hAnsi="Symbol"/>
      </w:rPr>
    </w:lvl>
    <w:lvl w:ilvl="7" w:tplc="18C23DF4">
      <w:start w:val="1"/>
      <w:numFmt w:val="bullet"/>
      <w:lvlText w:val="o"/>
      <w:lvlJc w:val="left"/>
      <w:pPr>
        <w:tabs>
          <w:tab w:val="num" w:pos="5760"/>
        </w:tabs>
        <w:ind w:left="5760" w:hanging="360"/>
      </w:pPr>
      <w:rPr>
        <w:rFonts w:ascii="Courier New" w:hAnsi="Courier New"/>
      </w:rPr>
    </w:lvl>
    <w:lvl w:ilvl="8" w:tplc="1ABABF6A">
      <w:start w:val="1"/>
      <w:numFmt w:val="bullet"/>
      <w:lvlText w:val=""/>
      <w:lvlJc w:val="left"/>
      <w:pPr>
        <w:tabs>
          <w:tab w:val="num" w:pos="6480"/>
        </w:tabs>
        <w:ind w:left="6480" w:hanging="360"/>
      </w:pPr>
      <w:rPr>
        <w:rFonts w:ascii="Wingdings" w:hAnsi="Wingdings"/>
      </w:rPr>
    </w:lvl>
  </w:abstractNum>
  <w:abstractNum w:abstractNumId="919" w15:restartNumberingAfterBreak="0">
    <w:nsid w:val="72230859"/>
    <w:multiLevelType w:val="hybridMultilevel"/>
    <w:tmpl w:val="72230859"/>
    <w:lvl w:ilvl="0" w:tplc="D27A3432">
      <w:start w:val="1"/>
      <w:numFmt w:val="bullet"/>
      <w:lvlText w:val=""/>
      <w:lvlJc w:val="left"/>
      <w:pPr>
        <w:tabs>
          <w:tab w:val="num" w:pos="720"/>
        </w:tabs>
        <w:ind w:left="720" w:hanging="360"/>
      </w:pPr>
      <w:rPr>
        <w:rFonts w:ascii="Symbol" w:hAnsi="Symbol"/>
      </w:rPr>
    </w:lvl>
    <w:lvl w:ilvl="1" w:tplc="D6200228">
      <w:start w:val="1"/>
      <w:numFmt w:val="bullet"/>
      <w:lvlText w:val="o"/>
      <w:lvlJc w:val="left"/>
      <w:pPr>
        <w:tabs>
          <w:tab w:val="num" w:pos="1440"/>
        </w:tabs>
        <w:ind w:left="1440" w:hanging="360"/>
      </w:pPr>
      <w:rPr>
        <w:rFonts w:ascii="Courier New" w:hAnsi="Courier New"/>
      </w:rPr>
    </w:lvl>
    <w:lvl w:ilvl="2" w:tplc="F36C3B94">
      <w:start w:val="1"/>
      <w:numFmt w:val="bullet"/>
      <w:lvlText w:val=""/>
      <w:lvlJc w:val="left"/>
      <w:pPr>
        <w:tabs>
          <w:tab w:val="num" w:pos="2160"/>
        </w:tabs>
        <w:ind w:left="2160" w:hanging="360"/>
      </w:pPr>
      <w:rPr>
        <w:rFonts w:ascii="Wingdings" w:hAnsi="Wingdings"/>
      </w:rPr>
    </w:lvl>
    <w:lvl w:ilvl="3" w:tplc="EE20EE4A">
      <w:start w:val="1"/>
      <w:numFmt w:val="bullet"/>
      <w:lvlText w:val=""/>
      <w:lvlJc w:val="left"/>
      <w:pPr>
        <w:tabs>
          <w:tab w:val="num" w:pos="2880"/>
        </w:tabs>
        <w:ind w:left="2880" w:hanging="360"/>
      </w:pPr>
      <w:rPr>
        <w:rFonts w:ascii="Symbol" w:hAnsi="Symbol"/>
      </w:rPr>
    </w:lvl>
    <w:lvl w:ilvl="4" w:tplc="32123BA6">
      <w:start w:val="1"/>
      <w:numFmt w:val="bullet"/>
      <w:lvlText w:val="o"/>
      <w:lvlJc w:val="left"/>
      <w:pPr>
        <w:tabs>
          <w:tab w:val="num" w:pos="3600"/>
        </w:tabs>
        <w:ind w:left="3600" w:hanging="360"/>
      </w:pPr>
      <w:rPr>
        <w:rFonts w:ascii="Courier New" w:hAnsi="Courier New"/>
      </w:rPr>
    </w:lvl>
    <w:lvl w:ilvl="5" w:tplc="BFF47A02">
      <w:start w:val="1"/>
      <w:numFmt w:val="bullet"/>
      <w:lvlText w:val=""/>
      <w:lvlJc w:val="left"/>
      <w:pPr>
        <w:tabs>
          <w:tab w:val="num" w:pos="4320"/>
        </w:tabs>
        <w:ind w:left="4320" w:hanging="360"/>
      </w:pPr>
      <w:rPr>
        <w:rFonts w:ascii="Wingdings" w:hAnsi="Wingdings"/>
      </w:rPr>
    </w:lvl>
    <w:lvl w:ilvl="6" w:tplc="3A58AE06">
      <w:start w:val="1"/>
      <w:numFmt w:val="bullet"/>
      <w:lvlText w:val=""/>
      <w:lvlJc w:val="left"/>
      <w:pPr>
        <w:tabs>
          <w:tab w:val="num" w:pos="5040"/>
        </w:tabs>
        <w:ind w:left="5040" w:hanging="360"/>
      </w:pPr>
      <w:rPr>
        <w:rFonts w:ascii="Symbol" w:hAnsi="Symbol"/>
      </w:rPr>
    </w:lvl>
    <w:lvl w:ilvl="7" w:tplc="874A8D6E">
      <w:start w:val="1"/>
      <w:numFmt w:val="bullet"/>
      <w:lvlText w:val="o"/>
      <w:lvlJc w:val="left"/>
      <w:pPr>
        <w:tabs>
          <w:tab w:val="num" w:pos="5760"/>
        </w:tabs>
        <w:ind w:left="5760" w:hanging="360"/>
      </w:pPr>
      <w:rPr>
        <w:rFonts w:ascii="Courier New" w:hAnsi="Courier New"/>
      </w:rPr>
    </w:lvl>
    <w:lvl w:ilvl="8" w:tplc="43D82B60">
      <w:start w:val="1"/>
      <w:numFmt w:val="bullet"/>
      <w:lvlText w:val=""/>
      <w:lvlJc w:val="left"/>
      <w:pPr>
        <w:tabs>
          <w:tab w:val="num" w:pos="6480"/>
        </w:tabs>
        <w:ind w:left="6480" w:hanging="360"/>
      </w:pPr>
      <w:rPr>
        <w:rFonts w:ascii="Wingdings" w:hAnsi="Wingdings"/>
      </w:rPr>
    </w:lvl>
  </w:abstractNum>
  <w:abstractNum w:abstractNumId="920" w15:restartNumberingAfterBreak="0">
    <w:nsid w:val="7223085A"/>
    <w:multiLevelType w:val="hybridMultilevel"/>
    <w:tmpl w:val="7223085A"/>
    <w:lvl w:ilvl="0" w:tplc="FFD8B0B8">
      <w:start w:val="1"/>
      <w:numFmt w:val="bullet"/>
      <w:lvlText w:val=""/>
      <w:lvlJc w:val="left"/>
      <w:pPr>
        <w:ind w:left="720" w:hanging="360"/>
      </w:pPr>
      <w:rPr>
        <w:rFonts w:ascii="Symbol" w:hAnsi="Symbol"/>
      </w:rPr>
    </w:lvl>
    <w:lvl w:ilvl="1" w:tplc="164CBE5A">
      <w:start w:val="1"/>
      <w:numFmt w:val="bullet"/>
      <w:lvlText w:val="o"/>
      <w:lvlJc w:val="left"/>
      <w:pPr>
        <w:ind w:left="1440" w:hanging="360"/>
      </w:pPr>
      <w:rPr>
        <w:rFonts w:ascii="Courier New" w:hAnsi="Courier New"/>
      </w:rPr>
    </w:lvl>
    <w:lvl w:ilvl="2" w:tplc="1E7CE51E">
      <w:start w:val="1"/>
      <w:numFmt w:val="bullet"/>
      <w:lvlText w:val=""/>
      <w:lvlJc w:val="left"/>
      <w:pPr>
        <w:tabs>
          <w:tab w:val="num" w:pos="2160"/>
        </w:tabs>
        <w:ind w:left="2160" w:hanging="360"/>
      </w:pPr>
      <w:rPr>
        <w:rFonts w:ascii="Wingdings" w:hAnsi="Wingdings"/>
      </w:rPr>
    </w:lvl>
    <w:lvl w:ilvl="3" w:tplc="3D5A3800">
      <w:start w:val="1"/>
      <w:numFmt w:val="bullet"/>
      <w:lvlText w:val=""/>
      <w:lvlJc w:val="left"/>
      <w:pPr>
        <w:tabs>
          <w:tab w:val="num" w:pos="2880"/>
        </w:tabs>
        <w:ind w:left="2880" w:hanging="360"/>
      </w:pPr>
      <w:rPr>
        <w:rFonts w:ascii="Symbol" w:hAnsi="Symbol"/>
      </w:rPr>
    </w:lvl>
    <w:lvl w:ilvl="4" w:tplc="E90650CC">
      <w:start w:val="1"/>
      <w:numFmt w:val="bullet"/>
      <w:lvlText w:val="o"/>
      <w:lvlJc w:val="left"/>
      <w:pPr>
        <w:tabs>
          <w:tab w:val="num" w:pos="3600"/>
        </w:tabs>
        <w:ind w:left="3600" w:hanging="360"/>
      </w:pPr>
      <w:rPr>
        <w:rFonts w:ascii="Courier New" w:hAnsi="Courier New"/>
      </w:rPr>
    </w:lvl>
    <w:lvl w:ilvl="5" w:tplc="F50A37AA">
      <w:start w:val="1"/>
      <w:numFmt w:val="bullet"/>
      <w:lvlText w:val=""/>
      <w:lvlJc w:val="left"/>
      <w:pPr>
        <w:tabs>
          <w:tab w:val="num" w:pos="4320"/>
        </w:tabs>
        <w:ind w:left="4320" w:hanging="360"/>
      </w:pPr>
      <w:rPr>
        <w:rFonts w:ascii="Wingdings" w:hAnsi="Wingdings"/>
      </w:rPr>
    </w:lvl>
    <w:lvl w:ilvl="6" w:tplc="D444B41C">
      <w:start w:val="1"/>
      <w:numFmt w:val="bullet"/>
      <w:lvlText w:val=""/>
      <w:lvlJc w:val="left"/>
      <w:pPr>
        <w:tabs>
          <w:tab w:val="num" w:pos="5040"/>
        </w:tabs>
        <w:ind w:left="5040" w:hanging="360"/>
      </w:pPr>
      <w:rPr>
        <w:rFonts w:ascii="Symbol" w:hAnsi="Symbol"/>
      </w:rPr>
    </w:lvl>
    <w:lvl w:ilvl="7" w:tplc="4DD098C8">
      <w:start w:val="1"/>
      <w:numFmt w:val="bullet"/>
      <w:lvlText w:val="o"/>
      <w:lvlJc w:val="left"/>
      <w:pPr>
        <w:tabs>
          <w:tab w:val="num" w:pos="5760"/>
        </w:tabs>
        <w:ind w:left="5760" w:hanging="360"/>
      </w:pPr>
      <w:rPr>
        <w:rFonts w:ascii="Courier New" w:hAnsi="Courier New"/>
      </w:rPr>
    </w:lvl>
    <w:lvl w:ilvl="8" w:tplc="9F4EE8E0">
      <w:start w:val="1"/>
      <w:numFmt w:val="bullet"/>
      <w:lvlText w:val=""/>
      <w:lvlJc w:val="left"/>
      <w:pPr>
        <w:tabs>
          <w:tab w:val="num" w:pos="6480"/>
        </w:tabs>
        <w:ind w:left="6480" w:hanging="360"/>
      </w:pPr>
      <w:rPr>
        <w:rFonts w:ascii="Wingdings" w:hAnsi="Wingdings"/>
      </w:rPr>
    </w:lvl>
  </w:abstractNum>
  <w:abstractNum w:abstractNumId="921" w15:restartNumberingAfterBreak="0">
    <w:nsid w:val="7223085B"/>
    <w:multiLevelType w:val="hybridMultilevel"/>
    <w:tmpl w:val="7223085B"/>
    <w:lvl w:ilvl="0" w:tplc="81704750">
      <w:start w:val="1"/>
      <w:numFmt w:val="bullet"/>
      <w:lvlText w:val="o"/>
      <w:lvlJc w:val="left"/>
      <w:pPr>
        <w:ind w:left="720" w:hanging="360"/>
      </w:pPr>
      <w:rPr>
        <w:rFonts w:ascii="Courier New" w:hAnsi="Courier New"/>
      </w:rPr>
    </w:lvl>
    <w:lvl w:ilvl="1" w:tplc="57B89B8A">
      <w:start w:val="1"/>
      <w:numFmt w:val="bullet"/>
      <w:lvlText w:val="o"/>
      <w:lvlJc w:val="left"/>
      <w:pPr>
        <w:tabs>
          <w:tab w:val="num" w:pos="1440"/>
        </w:tabs>
        <w:ind w:left="1440" w:hanging="360"/>
      </w:pPr>
      <w:rPr>
        <w:rFonts w:ascii="Courier New" w:hAnsi="Courier New"/>
      </w:rPr>
    </w:lvl>
    <w:lvl w:ilvl="2" w:tplc="78802C52">
      <w:start w:val="1"/>
      <w:numFmt w:val="bullet"/>
      <w:lvlText w:val=""/>
      <w:lvlJc w:val="left"/>
      <w:pPr>
        <w:tabs>
          <w:tab w:val="num" w:pos="2160"/>
        </w:tabs>
        <w:ind w:left="2160" w:hanging="360"/>
      </w:pPr>
      <w:rPr>
        <w:rFonts w:ascii="Wingdings" w:hAnsi="Wingdings"/>
      </w:rPr>
    </w:lvl>
    <w:lvl w:ilvl="3" w:tplc="8E4A4836">
      <w:start w:val="1"/>
      <w:numFmt w:val="bullet"/>
      <w:lvlText w:val=""/>
      <w:lvlJc w:val="left"/>
      <w:pPr>
        <w:tabs>
          <w:tab w:val="num" w:pos="2880"/>
        </w:tabs>
        <w:ind w:left="2880" w:hanging="360"/>
      </w:pPr>
      <w:rPr>
        <w:rFonts w:ascii="Symbol" w:hAnsi="Symbol"/>
      </w:rPr>
    </w:lvl>
    <w:lvl w:ilvl="4" w:tplc="AE9E5B98">
      <w:start w:val="1"/>
      <w:numFmt w:val="bullet"/>
      <w:lvlText w:val="o"/>
      <w:lvlJc w:val="left"/>
      <w:pPr>
        <w:tabs>
          <w:tab w:val="num" w:pos="3600"/>
        </w:tabs>
        <w:ind w:left="3600" w:hanging="360"/>
      </w:pPr>
      <w:rPr>
        <w:rFonts w:ascii="Courier New" w:hAnsi="Courier New"/>
      </w:rPr>
    </w:lvl>
    <w:lvl w:ilvl="5" w:tplc="38988AC0">
      <w:start w:val="1"/>
      <w:numFmt w:val="bullet"/>
      <w:lvlText w:val=""/>
      <w:lvlJc w:val="left"/>
      <w:pPr>
        <w:tabs>
          <w:tab w:val="num" w:pos="4320"/>
        </w:tabs>
        <w:ind w:left="4320" w:hanging="360"/>
      </w:pPr>
      <w:rPr>
        <w:rFonts w:ascii="Wingdings" w:hAnsi="Wingdings"/>
      </w:rPr>
    </w:lvl>
    <w:lvl w:ilvl="6" w:tplc="5CCA29D8">
      <w:start w:val="1"/>
      <w:numFmt w:val="bullet"/>
      <w:lvlText w:val=""/>
      <w:lvlJc w:val="left"/>
      <w:pPr>
        <w:tabs>
          <w:tab w:val="num" w:pos="5040"/>
        </w:tabs>
        <w:ind w:left="5040" w:hanging="360"/>
      </w:pPr>
      <w:rPr>
        <w:rFonts w:ascii="Symbol" w:hAnsi="Symbol"/>
      </w:rPr>
    </w:lvl>
    <w:lvl w:ilvl="7" w:tplc="BCD4937E">
      <w:start w:val="1"/>
      <w:numFmt w:val="bullet"/>
      <w:lvlText w:val="o"/>
      <w:lvlJc w:val="left"/>
      <w:pPr>
        <w:tabs>
          <w:tab w:val="num" w:pos="5760"/>
        </w:tabs>
        <w:ind w:left="5760" w:hanging="360"/>
      </w:pPr>
      <w:rPr>
        <w:rFonts w:ascii="Courier New" w:hAnsi="Courier New"/>
      </w:rPr>
    </w:lvl>
    <w:lvl w:ilvl="8" w:tplc="C5EA1FCE">
      <w:start w:val="1"/>
      <w:numFmt w:val="bullet"/>
      <w:lvlText w:val=""/>
      <w:lvlJc w:val="left"/>
      <w:pPr>
        <w:tabs>
          <w:tab w:val="num" w:pos="6480"/>
        </w:tabs>
        <w:ind w:left="6480" w:hanging="360"/>
      </w:pPr>
      <w:rPr>
        <w:rFonts w:ascii="Wingdings" w:hAnsi="Wingdings"/>
      </w:rPr>
    </w:lvl>
  </w:abstractNum>
  <w:abstractNum w:abstractNumId="922" w15:restartNumberingAfterBreak="0">
    <w:nsid w:val="7223085C"/>
    <w:multiLevelType w:val="hybridMultilevel"/>
    <w:tmpl w:val="7223085C"/>
    <w:lvl w:ilvl="0" w:tplc="56FA45FC">
      <w:start w:val="1"/>
      <w:numFmt w:val="bullet"/>
      <w:lvlText w:val=""/>
      <w:lvlJc w:val="left"/>
      <w:pPr>
        <w:ind w:left="720" w:hanging="360"/>
      </w:pPr>
      <w:rPr>
        <w:rFonts w:ascii="Symbol" w:hAnsi="Symbol"/>
      </w:rPr>
    </w:lvl>
    <w:lvl w:ilvl="1" w:tplc="533E09B2">
      <w:start w:val="1"/>
      <w:numFmt w:val="bullet"/>
      <w:lvlText w:val="o"/>
      <w:lvlJc w:val="left"/>
      <w:pPr>
        <w:tabs>
          <w:tab w:val="num" w:pos="1440"/>
        </w:tabs>
        <w:ind w:left="1440" w:hanging="360"/>
      </w:pPr>
      <w:rPr>
        <w:rFonts w:ascii="Courier New" w:hAnsi="Courier New"/>
      </w:rPr>
    </w:lvl>
    <w:lvl w:ilvl="2" w:tplc="548256DC">
      <w:start w:val="1"/>
      <w:numFmt w:val="bullet"/>
      <w:lvlText w:val=""/>
      <w:lvlJc w:val="left"/>
      <w:pPr>
        <w:tabs>
          <w:tab w:val="num" w:pos="2160"/>
        </w:tabs>
        <w:ind w:left="2160" w:hanging="360"/>
      </w:pPr>
      <w:rPr>
        <w:rFonts w:ascii="Wingdings" w:hAnsi="Wingdings"/>
      </w:rPr>
    </w:lvl>
    <w:lvl w:ilvl="3" w:tplc="B58AF0F4">
      <w:start w:val="1"/>
      <w:numFmt w:val="bullet"/>
      <w:lvlText w:val=""/>
      <w:lvlJc w:val="left"/>
      <w:pPr>
        <w:tabs>
          <w:tab w:val="num" w:pos="2880"/>
        </w:tabs>
        <w:ind w:left="2880" w:hanging="360"/>
      </w:pPr>
      <w:rPr>
        <w:rFonts w:ascii="Symbol" w:hAnsi="Symbol"/>
      </w:rPr>
    </w:lvl>
    <w:lvl w:ilvl="4" w:tplc="89EC8EF2">
      <w:start w:val="1"/>
      <w:numFmt w:val="bullet"/>
      <w:lvlText w:val="o"/>
      <w:lvlJc w:val="left"/>
      <w:pPr>
        <w:tabs>
          <w:tab w:val="num" w:pos="3600"/>
        </w:tabs>
        <w:ind w:left="3600" w:hanging="360"/>
      </w:pPr>
      <w:rPr>
        <w:rFonts w:ascii="Courier New" w:hAnsi="Courier New"/>
      </w:rPr>
    </w:lvl>
    <w:lvl w:ilvl="5" w:tplc="4928E66A">
      <w:start w:val="1"/>
      <w:numFmt w:val="bullet"/>
      <w:lvlText w:val=""/>
      <w:lvlJc w:val="left"/>
      <w:pPr>
        <w:tabs>
          <w:tab w:val="num" w:pos="4320"/>
        </w:tabs>
        <w:ind w:left="4320" w:hanging="360"/>
      </w:pPr>
      <w:rPr>
        <w:rFonts w:ascii="Wingdings" w:hAnsi="Wingdings"/>
      </w:rPr>
    </w:lvl>
    <w:lvl w:ilvl="6" w:tplc="30C086B6">
      <w:start w:val="1"/>
      <w:numFmt w:val="bullet"/>
      <w:lvlText w:val=""/>
      <w:lvlJc w:val="left"/>
      <w:pPr>
        <w:tabs>
          <w:tab w:val="num" w:pos="5040"/>
        </w:tabs>
        <w:ind w:left="5040" w:hanging="360"/>
      </w:pPr>
      <w:rPr>
        <w:rFonts w:ascii="Symbol" w:hAnsi="Symbol"/>
      </w:rPr>
    </w:lvl>
    <w:lvl w:ilvl="7" w:tplc="6A3AC54E">
      <w:start w:val="1"/>
      <w:numFmt w:val="bullet"/>
      <w:lvlText w:val="o"/>
      <w:lvlJc w:val="left"/>
      <w:pPr>
        <w:tabs>
          <w:tab w:val="num" w:pos="5760"/>
        </w:tabs>
        <w:ind w:left="5760" w:hanging="360"/>
      </w:pPr>
      <w:rPr>
        <w:rFonts w:ascii="Courier New" w:hAnsi="Courier New"/>
      </w:rPr>
    </w:lvl>
    <w:lvl w:ilvl="8" w:tplc="CAB86A5C">
      <w:start w:val="1"/>
      <w:numFmt w:val="bullet"/>
      <w:lvlText w:val=""/>
      <w:lvlJc w:val="left"/>
      <w:pPr>
        <w:tabs>
          <w:tab w:val="num" w:pos="6480"/>
        </w:tabs>
        <w:ind w:left="6480" w:hanging="360"/>
      </w:pPr>
      <w:rPr>
        <w:rFonts w:ascii="Wingdings" w:hAnsi="Wingdings"/>
      </w:rPr>
    </w:lvl>
  </w:abstractNum>
  <w:abstractNum w:abstractNumId="923" w15:restartNumberingAfterBreak="0">
    <w:nsid w:val="7223085D"/>
    <w:multiLevelType w:val="hybridMultilevel"/>
    <w:tmpl w:val="7223085D"/>
    <w:lvl w:ilvl="0" w:tplc="33443FC4">
      <w:start w:val="1"/>
      <w:numFmt w:val="bullet"/>
      <w:lvlText w:val="o"/>
      <w:lvlJc w:val="left"/>
      <w:pPr>
        <w:ind w:left="720" w:hanging="360"/>
      </w:pPr>
      <w:rPr>
        <w:rFonts w:ascii="Courier New" w:hAnsi="Courier New"/>
      </w:rPr>
    </w:lvl>
    <w:lvl w:ilvl="1" w:tplc="CE006D64">
      <w:start w:val="1"/>
      <w:numFmt w:val="bullet"/>
      <w:lvlText w:val="o"/>
      <w:lvlJc w:val="left"/>
      <w:pPr>
        <w:tabs>
          <w:tab w:val="num" w:pos="1440"/>
        </w:tabs>
        <w:ind w:left="1440" w:hanging="360"/>
      </w:pPr>
      <w:rPr>
        <w:rFonts w:ascii="Courier New" w:hAnsi="Courier New"/>
      </w:rPr>
    </w:lvl>
    <w:lvl w:ilvl="2" w:tplc="F9F6FB42">
      <w:start w:val="1"/>
      <w:numFmt w:val="bullet"/>
      <w:lvlText w:val=""/>
      <w:lvlJc w:val="left"/>
      <w:pPr>
        <w:tabs>
          <w:tab w:val="num" w:pos="2160"/>
        </w:tabs>
        <w:ind w:left="2160" w:hanging="360"/>
      </w:pPr>
      <w:rPr>
        <w:rFonts w:ascii="Wingdings" w:hAnsi="Wingdings"/>
      </w:rPr>
    </w:lvl>
    <w:lvl w:ilvl="3" w:tplc="B2BEDA88">
      <w:start w:val="1"/>
      <w:numFmt w:val="bullet"/>
      <w:lvlText w:val=""/>
      <w:lvlJc w:val="left"/>
      <w:pPr>
        <w:tabs>
          <w:tab w:val="num" w:pos="2880"/>
        </w:tabs>
        <w:ind w:left="2880" w:hanging="360"/>
      </w:pPr>
      <w:rPr>
        <w:rFonts w:ascii="Symbol" w:hAnsi="Symbol"/>
      </w:rPr>
    </w:lvl>
    <w:lvl w:ilvl="4" w:tplc="456E0B14">
      <w:start w:val="1"/>
      <w:numFmt w:val="bullet"/>
      <w:lvlText w:val="o"/>
      <w:lvlJc w:val="left"/>
      <w:pPr>
        <w:tabs>
          <w:tab w:val="num" w:pos="3600"/>
        </w:tabs>
        <w:ind w:left="3600" w:hanging="360"/>
      </w:pPr>
      <w:rPr>
        <w:rFonts w:ascii="Courier New" w:hAnsi="Courier New"/>
      </w:rPr>
    </w:lvl>
    <w:lvl w:ilvl="5" w:tplc="5192BC38">
      <w:start w:val="1"/>
      <w:numFmt w:val="bullet"/>
      <w:lvlText w:val=""/>
      <w:lvlJc w:val="left"/>
      <w:pPr>
        <w:tabs>
          <w:tab w:val="num" w:pos="4320"/>
        </w:tabs>
        <w:ind w:left="4320" w:hanging="360"/>
      </w:pPr>
      <w:rPr>
        <w:rFonts w:ascii="Wingdings" w:hAnsi="Wingdings"/>
      </w:rPr>
    </w:lvl>
    <w:lvl w:ilvl="6" w:tplc="42F2C772">
      <w:start w:val="1"/>
      <w:numFmt w:val="bullet"/>
      <w:lvlText w:val=""/>
      <w:lvlJc w:val="left"/>
      <w:pPr>
        <w:tabs>
          <w:tab w:val="num" w:pos="5040"/>
        </w:tabs>
        <w:ind w:left="5040" w:hanging="360"/>
      </w:pPr>
      <w:rPr>
        <w:rFonts w:ascii="Symbol" w:hAnsi="Symbol"/>
      </w:rPr>
    </w:lvl>
    <w:lvl w:ilvl="7" w:tplc="FC448616">
      <w:start w:val="1"/>
      <w:numFmt w:val="bullet"/>
      <w:lvlText w:val="o"/>
      <w:lvlJc w:val="left"/>
      <w:pPr>
        <w:tabs>
          <w:tab w:val="num" w:pos="5760"/>
        </w:tabs>
        <w:ind w:left="5760" w:hanging="360"/>
      </w:pPr>
      <w:rPr>
        <w:rFonts w:ascii="Courier New" w:hAnsi="Courier New"/>
      </w:rPr>
    </w:lvl>
    <w:lvl w:ilvl="8" w:tplc="818AECBE">
      <w:start w:val="1"/>
      <w:numFmt w:val="bullet"/>
      <w:lvlText w:val=""/>
      <w:lvlJc w:val="left"/>
      <w:pPr>
        <w:tabs>
          <w:tab w:val="num" w:pos="6480"/>
        </w:tabs>
        <w:ind w:left="6480" w:hanging="360"/>
      </w:pPr>
      <w:rPr>
        <w:rFonts w:ascii="Wingdings" w:hAnsi="Wingdings"/>
      </w:rPr>
    </w:lvl>
  </w:abstractNum>
  <w:abstractNum w:abstractNumId="924" w15:restartNumberingAfterBreak="0">
    <w:nsid w:val="7223085E"/>
    <w:multiLevelType w:val="hybridMultilevel"/>
    <w:tmpl w:val="7223085E"/>
    <w:lvl w:ilvl="0" w:tplc="A7C6D0EA">
      <w:start w:val="1"/>
      <w:numFmt w:val="bullet"/>
      <w:lvlText w:val=""/>
      <w:lvlJc w:val="left"/>
      <w:pPr>
        <w:ind w:left="720" w:hanging="360"/>
      </w:pPr>
      <w:rPr>
        <w:rFonts w:ascii="Symbol" w:hAnsi="Symbol"/>
      </w:rPr>
    </w:lvl>
    <w:lvl w:ilvl="1" w:tplc="265C097E">
      <w:start w:val="1"/>
      <w:numFmt w:val="bullet"/>
      <w:lvlText w:val="o"/>
      <w:lvlJc w:val="left"/>
      <w:pPr>
        <w:tabs>
          <w:tab w:val="num" w:pos="1440"/>
        </w:tabs>
        <w:ind w:left="1440" w:hanging="360"/>
      </w:pPr>
      <w:rPr>
        <w:rFonts w:ascii="Courier New" w:hAnsi="Courier New"/>
      </w:rPr>
    </w:lvl>
    <w:lvl w:ilvl="2" w:tplc="AAEA553A">
      <w:start w:val="1"/>
      <w:numFmt w:val="bullet"/>
      <w:lvlText w:val=""/>
      <w:lvlJc w:val="left"/>
      <w:pPr>
        <w:tabs>
          <w:tab w:val="num" w:pos="2160"/>
        </w:tabs>
        <w:ind w:left="2160" w:hanging="360"/>
      </w:pPr>
      <w:rPr>
        <w:rFonts w:ascii="Wingdings" w:hAnsi="Wingdings"/>
      </w:rPr>
    </w:lvl>
    <w:lvl w:ilvl="3" w:tplc="0FC66892">
      <w:start w:val="1"/>
      <w:numFmt w:val="bullet"/>
      <w:lvlText w:val=""/>
      <w:lvlJc w:val="left"/>
      <w:pPr>
        <w:tabs>
          <w:tab w:val="num" w:pos="2880"/>
        </w:tabs>
        <w:ind w:left="2880" w:hanging="360"/>
      </w:pPr>
      <w:rPr>
        <w:rFonts w:ascii="Symbol" w:hAnsi="Symbol"/>
      </w:rPr>
    </w:lvl>
    <w:lvl w:ilvl="4" w:tplc="396060AC">
      <w:start w:val="1"/>
      <w:numFmt w:val="bullet"/>
      <w:lvlText w:val="o"/>
      <w:lvlJc w:val="left"/>
      <w:pPr>
        <w:tabs>
          <w:tab w:val="num" w:pos="3600"/>
        </w:tabs>
        <w:ind w:left="3600" w:hanging="360"/>
      </w:pPr>
      <w:rPr>
        <w:rFonts w:ascii="Courier New" w:hAnsi="Courier New"/>
      </w:rPr>
    </w:lvl>
    <w:lvl w:ilvl="5" w:tplc="FED273CE">
      <w:start w:val="1"/>
      <w:numFmt w:val="bullet"/>
      <w:lvlText w:val=""/>
      <w:lvlJc w:val="left"/>
      <w:pPr>
        <w:tabs>
          <w:tab w:val="num" w:pos="4320"/>
        </w:tabs>
        <w:ind w:left="4320" w:hanging="360"/>
      </w:pPr>
      <w:rPr>
        <w:rFonts w:ascii="Wingdings" w:hAnsi="Wingdings"/>
      </w:rPr>
    </w:lvl>
    <w:lvl w:ilvl="6" w:tplc="107E3844">
      <w:start w:val="1"/>
      <w:numFmt w:val="bullet"/>
      <w:lvlText w:val=""/>
      <w:lvlJc w:val="left"/>
      <w:pPr>
        <w:tabs>
          <w:tab w:val="num" w:pos="5040"/>
        </w:tabs>
        <w:ind w:left="5040" w:hanging="360"/>
      </w:pPr>
      <w:rPr>
        <w:rFonts w:ascii="Symbol" w:hAnsi="Symbol"/>
      </w:rPr>
    </w:lvl>
    <w:lvl w:ilvl="7" w:tplc="0E1E14CA">
      <w:start w:val="1"/>
      <w:numFmt w:val="bullet"/>
      <w:lvlText w:val="o"/>
      <w:lvlJc w:val="left"/>
      <w:pPr>
        <w:tabs>
          <w:tab w:val="num" w:pos="5760"/>
        </w:tabs>
        <w:ind w:left="5760" w:hanging="360"/>
      </w:pPr>
      <w:rPr>
        <w:rFonts w:ascii="Courier New" w:hAnsi="Courier New"/>
      </w:rPr>
    </w:lvl>
    <w:lvl w:ilvl="8" w:tplc="DE0C0A3C">
      <w:start w:val="1"/>
      <w:numFmt w:val="bullet"/>
      <w:lvlText w:val=""/>
      <w:lvlJc w:val="left"/>
      <w:pPr>
        <w:tabs>
          <w:tab w:val="num" w:pos="6480"/>
        </w:tabs>
        <w:ind w:left="6480" w:hanging="360"/>
      </w:pPr>
      <w:rPr>
        <w:rFonts w:ascii="Wingdings" w:hAnsi="Wingdings"/>
      </w:rPr>
    </w:lvl>
  </w:abstractNum>
  <w:abstractNum w:abstractNumId="925" w15:restartNumberingAfterBreak="0">
    <w:nsid w:val="7223085F"/>
    <w:multiLevelType w:val="hybridMultilevel"/>
    <w:tmpl w:val="7223085F"/>
    <w:lvl w:ilvl="0" w:tplc="2D9E841A">
      <w:start w:val="1"/>
      <w:numFmt w:val="bullet"/>
      <w:lvlText w:val=""/>
      <w:lvlJc w:val="left"/>
      <w:pPr>
        <w:ind w:left="720" w:hanging="360"/>
      </w:pPr>
      <w:rPr>
        <w:rFonts w:ascii="Symbol" w:hAnsi="Symbol"/>
      </w:rPr>
    </w:lvl>
    <w:lvl w:ilvl="1" w:tplc="7BE8E6FE">
      <w:start w:val="1"/>
      <w:numFmt w:val="bullet"/>
      <w:lvlText w:val="o"/>
      <w:lvlJc w:val="left"/>
      <w:pPr>
        <w:tabs>
          <w:tab w:val="num" w:pos="1440"/>
        </w:tabs>
        <w:ind w:left="1440" w:hanging="360"/>
      </w:pPr>
      <w:rPr>
        <w:rFonts w:ascii="Courier New" w:hAnsi="Courier New"/>
      </w:rPr>
    </w:lvl>
    <w:lvl w:ilvl="2" w:tplc="2E469126">
      <w:start w:val="1"/>
      <w:numFmt w:val="bullet"/>
      <w:lvlText w:val=""/>
      <w:lvlJc w:val="left"/>
      <w:pPr>
        <w:tabs>
          <w:tab w:val="num" w:pos="2160"/>
        </w:tabs>
        <w:ind w:left="2160" w:hanging="360"/>
      </w:pPr>
      <w:rPr>
        <w:rFonts w:ascii="Wingdings" w:hAnsi="Wingdings"/>
      </w:rPr>
    </w:lvl>
    <w:lvl w:ilvl="3" w:tplc="DD4E8C68">
      <w:start w:val="1"/>
      <w:numFmt w:val="bullet"/>
      <w:lvlText w:val=""/>
      <w:lvlJc w:val="left"/>
      <w:pPr>
        <w:tabs>
          <w:tab w:val="num" w:pos="2880"/>
        </w:tabs>
        <w:ind w:left="2880" w:hanging="360"/>
      </w:pPr>
      <w:rPr>
        <w:rFonts w:ascii="Symbol" w:hAnsi="Symbol"/>
      </w:rPr>
    </w:lvl>
    <w:lvl w:ilvl="4" w:tplc="FC18EA9C">
      <w:start w:val="1"/>
      <w:numFmt w:val="bullet"/>
      <w:lvlText w:val="o"/>
      <w:lvlJc w:val="left"/>
      <w:pPr>
        <w:tabs>
          <w:tab w:val="num" w:pos="3600"/>
        </w:tabs>
        <w:ind w:left="3600" w:hanging="360"/>
      </w:pPr>
      <w:rPr>
        <w:rFonts w:ascii="Courier New" w:hAnsi="Courier New"/>
      </w:rPr>
    </w:lvl>
    <w:lvl w:ilvl="5" w:tplc="289689DE">
      <w:start w:val="1"/>
      <w:numFmt w:val="bullet"/>
      <w:lvlText w:val=""/>
      <w:lvlJc w:val="left"/>
      <w:pPr>
        <w:tabs>
          <w:tab w:val="num" w:pos="4320"/>
        </w:tabs>
        <w:ind w:left="4320" w:hanging="360"/>
      </w:pPr>
      <w:rPr>
        <w:rFonts w:ascii="Wingdings" w:hAnsi="Wingdings"/>
      </w:rPr>
    </w:lvl>
    <w:lvl w:ilvl="6" w:tplc="98F8EAC6">
      <w:start w:val="1"/>
      <w:numFmt w:val="bullet"/>
      <w:lvlText w:val=""/>
      <w:lvlJc w:val="left"/>
      <w:pPr>
        <w:tabs>
          <w:tab w:val="num" w:pos="5040"/>
        </w:tabs>
        <w:ind w:left="5040" w:hanging="360"/>
      </w:pPr>
      <w:rPr>
        <w:rFonts w:ascii="Symbol" w:hAnsi="Symbol"/>
      </w:rPr>
    </w:lvl>
    <w:lvl w:ilvl="7" w:tplc="58262B1A">
      <w:start w:val="1"/>
      <w:numFmt w:val="bullet"/>
      <w:lvlText w:val="o"/>
      <w:lvlJc w:val="left"/>
      <w:pPr>
        <w:tabs>
          <w:tab w:val="num" w:pos="5760"/>
        </w:tabs>
        <w:ind w:left="5760" w:hanging="360"/>
      </w:pPr>
      <w:rPr>
        <w:rFonts w:ascii="Courier New" w:hAnsi="Courier New"/>
      </w:rPr>
    </w:lvl>
    <w:lvl w:ilvl="8" w:tplc="FA0E6C50">
      <w:start w:val="1"/>
      <w:numFmt w:val="bullet"/>
      <w:lvlText w:val=""/>
      <w:lvlJc w:val="left"/>
      <w:pPr>
        <w:tabs>
          <w:tab w:val="num" w:pos="6480"/>
        </w:tabs>
        <w:ind w:left="6480" w:hanging="360"/>
      </w:pPr>
      <w:rPr>
        <w:rFonts w:ascii="Wingdings" w:hAnsi="Wingdings"/>
      </w:rPr>
    </w:lvl>
  </w:abstractNum>
  <w:abstractNum w:abstractNumId="926" w15:restartNumberingAfterBreak="0">
    <w:nsid w:val="72230860"/>
    <w:multiLevelType w:val="hybridMultilevel"/>
    <w:tmpl w:val="72230860"/>
    <w:lvl w:ilvl="0" w:tplc="CC1E2236">
      <w:start w:val="1"/>
      <w:numFmt w:val="bullet"/>
      <w:lvlText w:val=""/>
      <w:lvlJc w:val="left"/>
      <w:pPr>
        <w:ind w:left="720" w:hanging="360"/>
      </w:pPr>
      <w:rPr>
        <w:rFonts w:ascii="Symbol" w:hAnsi="Symbol"/>
      </w:rPr>
    </w:lvl>
    <w:lvl w:ilvl="1" w:tplc="BDA63442">
      <w:start w:val="1"/>
      <w:numFmt w:val="bullet"/>
      <w:lvlText w:val="o"/>
      <w:lvlJc w:val="left"/>
      <w:pPr>
        <w:tabs>
          <w:tab w:val="num" w:pos="1440"/>
        </w:tabs>
        <w:ind w:left="1440" w:hanging="360"/>
      </w:pPr>
      <w:rPr>
        <w:rFonts w:ascii="Courier New" w:hAnsi="Courier New"/>
      </w:rPr>
    </w:lvl>
    <w:lvl w:ilvl="2" w:tplc="1A1CE56A">
      <w:start w:val="1"/>
      <w:numFmt w:val="bullet"/>
      <w:lvlText w:val=""/>
      <w:lvlJc w:val="left"/>
      <w:pPr>
        <w:tabs>
          <w:tab w:val="num" w:pos="2160"/>
        </w:tabs>
        <w:ind w:left="2160" w:hanging="360"/>
      </w:pPr>
      <w:rPr>
        <w:rFonts w:ascii="Wingdings" w:hAnsi="Wingdings"/>
      </w:rPr>
    </w:lvl>
    <w:lvl w:ilvl="3" w:tplc="BBFC53B6">
      <w:start w:val="1"/>
      <w:numFmt w:val="bullet"/>
      <w:lvlText w:val=""/>
      <w:lvlJc w:val="left"/>
      <w:pPr>
        <w:tabs>
          <w:tab w:val="num" w:pos="2880"/>
        </w:tabs>
        <w:ind w:left="2880" w:hanging="360"/>
      </w:pPr>
      <w:rPr>
        <w:rFonts w:ascii="Symbol" w:hAnsi="Symbol"/>
      </w:rPr>
    </w:lvl>
    <w:lvl w:ilvl="4" w:tplc="C09EFC9C">
      <w:start w:val="1"/>
      <w:numFmt w:val="bullet"/>
      <w:lvlText w:val="o"/>
      <w:lvlJc w:val="left"/>
      <w:pPr>
        <w:tabs>
          <w:tab w:val="num" w:pos="3600"/>
        </w:tabs>
        <w:ind w:left="3600" w:hanging="360"/>
      </w:pPr>
      <w:rPr>
        <w:rFonts w:ascii="Courier New" w:hAnsi="Courier New"/>
      </w:rPr>
    </w:lvl>
    <w:lvl w:ilvl="5" w:tplc="9AAAFEEE">
      <w:start w:val="1"/>
      <w:numFmt w:val="bullet"/>
      <w:lvlText w:val=""/>
      <w:lvlJc w:val="left"/>
      <w:pPr>
        <w:tabs>
          <w:tab w:val="num" w:pos="4320"/>
        </w:tabs>
        <w:ind w:left="4320" w:hanging="360"/>
      </w:pPr>
      <w:rPr>
        <w:rFonts w:ascii="Wingdings" w:hAnsi="Wingdings"/>
      </w:rPr>
    </w:lvl>
    <w:lvl w:ilvl="6" w:tplc="74DC7DB2">
      <w:start w:val="1"/>
      <w:numFmt w:val="bullet"/>
      <w:lvlText w:val=""/>
      <w:lvlJc w:val="left"/>
      <w:pPr>
        <w:tabs>
          <w:tab w:val="num" w:pos="5040"/>
        </w:tabs>
        <w:ind w:left="5040" w:hanging="360"/>
      </w:pPr>
      <w:rPr>
        <w:rFonts w:ascii="Symbol" w:hAnsi="Symbol"/>
      </w:rPr>
    </w:lvl>
    <w:lvl w:ilvl="7" w:tplc="8B8272B0">
      <w:start w:val="1"/>
      <w:numFmt w:val="bullet"/>
      <w:lvlText w:val="o"/>
      <w:lvlJc w:val="left"/>
      <w:pPr>
        <w:tabs>
          <w:tab w:val="num" w:pos="5760"/>
        </w:tabs>
        <w:ind w:left="5760" w:hanging="360"/>
      </w:pPr>
      <w:rPr>
        <w:rFonts w:ascii="Courier New" w:hAnsi="Courier New"/>
      </w:rPr>
    </w:lvl>
    <w:lvl w:ilvl="8" w:tplc="678CBCF4">
      <w:start w:val="1"/>
      <w:numFmt w:val="bullet"/>
      <w:lvlText w:val=""/>
      <w:lvlJc w:val="left"/>
      <w:pPr>
        <w:tabs>
          <w:tab w:val="num" w:pos="6480"/>
        </w:tabs>
        <w:ind w:left="6480" w:hanging="360"/>
      </w:pPr>
      <w:rPr>
        <w:rFonts w:ascii="Wingdings" w:hAnsi="Wingdings"/>
      </w:rPr>
    </w:lvl>
  </w:abstractNum>
  <w:abstractNum w:abstractNumId="927" w15:restartNumberingAfterBreak="0">
    <w:nsid w:val="72230861"/>
    <w:multiLevelType w:val="hybridMultilevel"/>
    <w:tmpl w:val="72230861"/>
    <w:lvl w:ilvl="0" w:tplc="700295AC">
      <w:start w:val="1"/>
      <w:numFmt w:val="bullet"/>
      <w:lvlText w:val=""/>
      <w:lvlJc w:val="left"/>
      <w:pPr>
        <w:ind w:left="720" w:hanging="360"/>
      </w:pPr>
      <w:rPr>
        <w:rFonts w:ascii="Symbol" w:hAnsi="Symbol"/>
      </w:rPr>
    </w:lvl>
    <w:lvl w:ilvl="1" w:tplc="725A8936">
      <w:start w:val="1"/>
      <w:numFmt w:val="bullet"/>
      <w:lvlText w:val="o"/>
      <w:lvlJc w:val="left"/>
      <w:pPr>
        <w:tabs>
          <w:tab w:val="num" w:pos="1440"/>
        </w:tabs>
        <w:ind w:left="1440" w:hanging="360"/>
      </w:pPr>
      <w:rPr>
        <w:rFonts w:ascii="Courier New" w:hAnsi="Courier New"/>
      </w:rPr>
    </w:lvl>
    <w:lvl w:ilvl="2" w:tplc="4C3E3DC0">
      <w:start w:val="1"/>
      <w:numFmt w:val="bullet"/>
      <w:lvlText w:val=""/>
      <w:lvlJc w:val="left"/>
      <w:pPr>
        <w:tabs>
          <w:tab w:val="num" w:pos="2160"/>
        </w:tabs>
        <w:ind w:left="2160" w:hanging="360"/>
      </w:pPr>
      <w:rPr>
        <w:rFonts w:ascii="Wingdings" w:hAnsi="Wingdings"/>
      </w:rPr>
    </w:lvl>
    <w:lvl w:ilvl="3" w:tplc="5D8E7606">
      <w:start w:val="1"/>
      <w:numFmt w:val="bullet"/>
      <w:lvlText w:val=""/>
      <w:lvlJc w:val="left"/>
      <w:pPr>
        <w:tabs>
          <w:tab w:val="num" w:pos="2880"/>
        </w:tabs>
        <w:ind w:left="2880" w:hanging="360"/>
      </w:pPr>
      <w:rPr>
        <w:rFonts w:ascii="Symbol" w:hAnsi="Symbol"/>
      </w:rPr>
    </w:lvl>
    <w:lvl w:ilvl="4" w:tplc="659A2C60">
      <w:start w:val="1"/>
      <w:numFmt w:val="bullet"/>
      <w:lvlText w:val="o"/>
      <w:lvlJc w:val="left"/>
      <w:pPr>
        <w:tabs>
          <w:tab w:val="num" w:pos="3600"/>
        </w:tabs>
        <w:ind w:left="3600" w:hanging="360"/>
      </w:pPr>
      <w:rPr>
        <w:rFonts w:ascii="Courier New" w:hAnsi="Courier New"/>
      </w:rPr>
    </w:lvl>
    <w:lvl w:ilvl="5" w:tplc="B22A79BE">
      <w:start w:val="1"/>
      <w:numFmt w:val="bullet"/>
      <w:lvlText w:val=""/>
      <w:lvlJc w:val="left"/>
      <w:pPr>
        <w:tabs>
          <w:tab w:val="num" w:pos="4320"/>
        </w:tabs>
        <w:ind w:left="4320" w:hanging="360"/>
      </w:pPr>
      <w:rPr>
        <w:rFonts w:ascii="Wingdings" w:hAnsi="Wingdings"/>
      </w:rPr>
    </w:lvl>
    <w:lvl w:ilvl="6" w:tplc="FCCE10B4">
      <w:start w:val="1"/>
      <w:numFmt w:val="bullet"/>
      <w:lvlText w:val=""/>
      <w:lvlJc w:val="left"/>
      <w:pPr>
        <w:tabs>
          <w:tab w:val="num" w:pos="5040"/>
        </w:tabs>
        <w:ind w:left="5040" w:hanging="360"/>
      </w:pPr>
      <w:rPr>
        <w:rFonts w:ascii="Symbol" w:hAnsi="Symbol"/>
      </w:rPr>
    </w:lvl>
    <w:lvl w:ilvl="7" w:tplc="35404CDC">
      <w:start w:val="1"/>
      <w:numFmt w:val="bullet"/>
      <w:lvlText w:val="o"/>
      <w:lvlJc w:val="left"/>
      <w:pPr>
        <w:tabs>
          <w:tab w:val="num" w:pos="5760"/>
        </w:tabs>
        <w:ind w:left="5760" w:hanging="360"/>
      </w:pPr>
      <w:rPr>
        <w:rFonts w:ascii="Courier New" w:hAnsi="Courier New"/>
      </w:rPr>
    </w:lvl>
    <w:lvl w:ilvl="8" w:tplc="FA9258EE">
      <w:start w:val="1"/>
      <w:numFmt w:val="bullet"/>
      <w:lvlText w:val=""/>
      <w:lvlJc w:val="left"/>
      <w:pPr>
        <w:tabs>
          <w:tab w:val="num" w:pos="6480"/>
        </w:tabs>
        <w:ind w:left="6480" w:hanging="360"/>
      </w:pPr>
      <w:rPr>
        <w:rFonts w:ascii="Wingdings" w:hAnsi="Wingdings"/>
      </w:rPr>
    </w:lvl>
  </w:abstractNum>
  <w:abstractNum w:abstractNumId="928" w15:restartNumberingAfterBreak="0">
    <w:nsid w:val="72230862"/>
    <w:multiLevelType w:val="hybridMultilevel"/>
    <w:tmpl w:val="72230862"/>
    <w:lvl w:ilvl="0" w:tplc="BDE6C73C">
      <w:start w:val="1"/>
      <w:numFmt w:val="bullet"/>
      <w:lvlText w:val=""/>
      <w:lvlJc w:val="left"/>
      <w:pPr>
        <w:ind w:left="720" w:hanging="360"/>
      </w:pPr>
      <w:rPr>
        <w:rFonts w:ascii="Symbol" w:hAnsi="Symbol"/>
      </w:rPr>
    </w:lvl>
    <w:lvl w:ilvl="1" w:tplc="C0B448DE">
      <w:start w:val="1"/>
      <w:numFmt w:val="bullet"/>
      <w:lvlText w:val="o"/>
      <w:lvlJc w:val="left"/>
      <w:pPr>
        <w:tabs>
          <w:tab w:val="num" w:pos="1440"/>
        </w:tabs>
        <w:ind w:left="1440" w:hanging="360"/>
      </w:pPr>
      <w:rPr>
        <w:rFonts w:ascii="Courier New" w:hAnsi="Courier New"/>
      </w:rPr>
    </w:lvl>
    <w:lvl w:ilvl="2" w:tplc="B9488938">
      <w:start w:val="1"/>
      <w:numFmt w:val="bullet"/>
      <w:lvlText w:val=""/>
      <w:lvlJc w:val="left"/>
      <w:pPr>
        <w:tabs>
          <w:tab w:val="num" w:pos="2160"/>
        </w:tabs>
        <w:ind w:left="2160" w:hanging="360"/>
      </w:pPr>
      <w:rPr>
        <w:rFonts w:ascii="Wingdings" w:hAnsi="Wingdings"/>
      </w:rPr>
    </w:lvl>
    <w:lvl w:ilvl="3" w:tplc="CEF4E636">
      <w:start w:val="1"/>
      <w:numFmt w:val="bullet"/>
      <w:lvlText w:val=""/>
      <w:lvlJc w:val="left"/>
      <w:pPr>
        <w:tabs>
          <w:tab w:val="num" w:pos="2880"/>
        </w:tabs>
        <w:ind w:left="2880" w:hanging="360"/>
      </w:pPr>
      <w:rPr>
        <w:rFonts w:ascii="Symbol" w:hAnsi="Symbol"/>
      </w:rPr>
    </w:lvl>
    <w:lvl w:ilvl="4" w:tplc="2E7EE9F0">
      <w:start w:val="1"/>
      <w:numFmt w:val="bullet"/>
      <w:lvlText w:val="o"/>
      <w:lvlJc w:val="left"/>
      <w:pPr>
        <w:tabs>
          <w:tab w:val="num" w:pos="3600"/>
        </w:tabs>
        <w:ind w:left="3600" w:hanging="360"/>
      </w:pPr>
      <w:rPr>
        <w:rFonts w:ascii="Courier New" w:hAnsi="Courier New"/>
      </w:rPr>
    </w:lvl>
    <w:lvl w:ilvl="5" w:tplc="23B8A6C0">
      <w:start w:val="1"/>
      <w:numFmt w:val="bullet"/>
      <w:lvlText w:val=""/>
      <w:lvlJc w:val="left"/>
      <w:pPr>
        <w:tabs>
          <w:tab w:val="num" w:pos="4320"/>
        </w:tabs>
        <w:ind w:left="4320" w:hanging="360"/>
      </w:pPr>
      <w:rPr>
        <w:rFonts w:ascii="Wingdings" w:hAnsi="Wingdings"/>
      </w:rPr>
    </w:lvl>
    <w:lvl w:ilvl="6" w:tplc="8878F4A2">
      <w:start w:val="1"/>
      <w:numFmt w:val="bullet"/>
      <w:lvlText w:val=""/>
      <w:lvlJc w:val="left"/>
      <w:pPr>
        <w:tabs>
          <w:tab w:val="num" w:pos="5040"/>
        </w:tabs>
        <w:ind w:left="5040" w:hanging="360"/>
      </w:pPr>
      <w:rPr>
        <w:rFonts w:ascii="Symbol" w:hAnsi="Symbol"/>
      </w:rPr>
    </w:lvl>
    <w:lvl w:ilvl="7" w:tplc="87B84460">
      <w:start w:val="1"/>
      <w:numFmt w:val="bullet"/>
      <w:lvlText w:val="o"/>
      <w:lvlJc w:val="left"/>
      <w:pPr>
        <w:tabs>
          <w:tab w:val="num" w:pos="5760"/>
        </w:tabs>
        <w:ind w:left="5760" w:hanging="360"/>
      </w:pPr>
      <w:rPr>
        <w:rFonts w:ascii="Courier New" w:hAnsi="Courier New"/>
      </w:rPr>
    </w:lvl>
    <w:lvl w:ilvl="8" w:tplc="83EC7D8C">
      <w:start w:val="1"/>
      <w:numFmt w:val="bullet"/>
      <w:lvlText w:val=""/>
      <w:lvlJc w:val="left"/>
      <w:pPr>
        <w:tabs>
          <w:tab w:val="num" w:pos="6480"/>
        </w:tabs>
        <w:ind w:left="6480" w:hanging="360"/>
      </w:pPr>
      <w:rPr>
        <w:rFonts w:ascii="Wingdings" w:hAnsi="Wingdings"/>
      </w:rPr>
    </w:lvl>
  </w:abstractNum>
  <w:abstractNum w:abstractNumId="929" w15:restartNumberingAfterBreak="0">
    <w:nsid w:val="72230863"/>
    <w:multiLevelType w:val="hybridMultilevel"/>
    <w:tmpl w:val="72230863"/>
    <w:lvl w:ilvl="0" w:tplc="1C1A7E5C">
      <w:start w:val="1"/>
      <w:numFmt w:val="bullet"/>
      <w:lvlText w:val=""/>
      <w:lvlJc w:val="left"/>
      <w:pPr>
        <w:ind w:left="720" w:hanging="360"/>
      </w:pPr>
      <w:rPr>
        <w:rFonts w:ascii="Symbol" w:hAnsi="Symbol"/>
      </w:rPr>
    </w:lvl>
    <w:lvl w:ilvl="1" w:tplc="250A775A">
      <w:start w:val="1"/>
      <w:numFmt w:val="bullet"/>
      <w:lvlText w:val="o"/>
      <w:lvlJc w:val="left"/>
      <w:pPr>
        <w:tabs>
          <w:tab w:val="num" w:pos="1440"/>
        </w:tabs>
        <w:ind w:left="1440" w:hanging="360"/>
      </w:pPr>
      <w:rPr>
        <w:rFonts w:ascii="Courier New" w:hAnsi="Courier New"/>
      </w:rPr>
    </w:lvl>
    <w:lvl w:ilvl="2" w:tplc="54D62216">
      <w:start w:val="1"/>
      <w:numFmt w:val="bullet"/>
      <w:lvlText w:val=""/>
      <w:lvlJc w:val="left"/>
      <w:pPr>
        <w:tabs>
          <w:tab w:val="num" w:pos="2160"/>
        </w:tabs>
        <w:ind w:left="2160" w:hanging="360"/>
      </w:pPr>
      <w:rPr>
        <w:rFonts w:ascii="Wingdings" w:hAnsi="Wingdings"/>
      </w:rPr>
    </w:lvl>
    <w:lvl w:ilvl="3" w:tplc="2A625E82">
      <w:start w:val="1"/>
      <w:numFmt w:val="bullet"/>
      <w:lvlText w:val=""/>
      <w:lvlJc w:val="left"/>
      <w:pPr>
        <w:tabs>
          <w:tab w:val="num" w:pos="2880"/>
        </w:tabs>
        <w:ind w:left="2880" w:hanging="360"/>
      </w:pPr>
      <w:rPr>
        <w:rFonts w:ascii="Symbol" w:hAnsi="Symbol"/>
      </w:rPr>
    </w:lvl>
    <w:lvl w:ilvl="4" w:tplc="F86041C2">
      <w:start w:val="1"/>
      <w:numFmt w:val="bullet"/>
      <w:lvlText w:val="o"/>
      <w:lvlJc w:val="left"/>
      <w:pPr>
        <w:tabs>
          <w:tab w:val="num" w:pos="3600"/>
        </w:tabs>
        <w:ind w:left="3600" w:hanging="360"/>
      </w:pPr>
      <w:rPr>
        <w:rFonts w:ascii="Courier New" w:hAnsi="Courier New"/>
      </w:rPr>
    </w:lvl>
    <w:lvl w:ilvl="5" w:tplc="03F063C2">
      <w:start w:val="1"/>
      <w:numFmt w:val="bullet"/>
      <w:lvlText w:val=""/>
      <w:lvlJc w:val="left"/>
      <w:pPr>
        <w:tabs>
          <w:tab w:val="num" w:pos="4320"/>
        </w:tabs>
        <w:ind w:left="4320" w:hanging="360"/>
      </w:pPr>
      <w:rPr>
        <w:rFonts w:ascii="Wingdings" w:hAnsi="Wingdings"/>
      </w:rPr>
    </w:lvl>
    <w:lvl w:ilvl="6" w:tplc="9AA42590">
      <w:start w:val="1"/>
      <w:numFmt w:val="bullet"/>
      <w:lvlText w:val=""/>
      <w:lvlJc w:val="left"/>
      <w:pPr>
        <w:tabs>
          <w:tab w:val="num" w:pos="5040"/>
        </w:tabs>
        <w:ind w:left="5040" w:hanging="360"/>
      </w:pPr>
      <w:rPr>
        <w:rFonts w:ascii="Symbol" w:hAnsi="Symbol"/>
      </w:rPr>
    </w:lvl>
    <w:lvl w:ilvl="7" w:tplc="57C0E83A">
      <w:start w:val="1"/>
      <w:numFmt w:val="bullet"/>
      <w:lvlText w:val="o"/>
      <w:lvlJc w:val="left"/>
      <w:pPr>
        <w:tabs>
          <w:tab w:val="num" w:pos="5760"/>
        </w:tabs>
        <w:ind w:left="5760" w:hanging="360"/>
      </w:pPr>
      <w:rPr>
        <w:rFonts w:ascii="Courier New" w:hAnsi="Courier New"/>
      </w:rPr>
    </w:lvl>
    <w:lvl w:ilvl="8" w:tplc="B34A9AD4">
      <w:start w:val="1"/>
      <w:numFmt w:val="bullet"/>
      <w:lvlText w:val=""/>
      <w:lvlJc w:val="left"/>
      <w:pPr>
        <w:tabs>
          <w:tab w:val="num" w:pos="6480"/>
        </w:tabs>
        <w:ind w:left="6480" w:hanging="360"/>
      </w:pPr>
      <w:rPr>
        <w:rFonts w:ascii="Wingdings" w:hAnsi="Wingdings"/>
      </w:rPr>
    </w:lvl>
  </w:abstractNum>
  <w:abstractNum w:abstractNumId="930" w15:restartNumberingAfterBreak="0">
    <w:nsid w:val="72230864"/>
    <w:multiLevelType w:val="hybridMultilevel"/>
    <w:tmpl w:val="72230864"/>
    <w:lvl w:ilvl="0" w:tplc="A7C6FAD8">
      <w:start w:val="1"/>
      <w:numFmt w:val="bullet"/>
      <w:lvlText w:val=""/>
      <w:lvlJc w:val="left"/>
      <w:pPr>
        <w:ind w:left="720" w:hanging="360"/>
      </w:pPr>
      <w:rPr>
        <w:rFonts w:ascii="Symbol" w:hAnsi="Symbol"/>
      </w:rPr>
    </w:lvl>
    <w:lvl w:ilvl="1" w:tplc="F7029F84">
      <w:start w:val="1"/>
      <w:numFmt w:val="bullet"/>
      <w:lvlText w:val="o"/>
      <w:lvlJc w:val="left"/>
      <w:pPr>
        <w:tabs>
          <w:tab w:val="num" w:pos="1440"/>
        </w:tabs>
        <w:ind w:left="1440" w:hanging="360"/>
      </w:pPr>
      <w:rPr>
        <w:rFonts w:ascii="Courier New" w:hAnsi="Courier New"/>
      </w:rPr>
    </w:lvl>
    <w:lvl w:ilvl="2" w:tplc="27D0AFA6">
      <w:start w:val="1"/>
      <w:numFmt w:val="bullet"/>
      <w:lvlText w:val=""/>
      <w:lvlJc w:val="left"/>
      <w:pPr>
        <w:tabs>
          <w:tab w:val="num" w:pos="2160"/>
        </w:tabs>
        <w:ind w:left="2160" w:hanging="360"/>
      </w:pPr>
      <w:rPr>
        <w:rFonts w:ascii="Wingdings" w:hAnsi="Wingdings"/>
      </w:rPr>
    </w:lvl>
    <w:lvl w:ilvl="3" w:tplc="0DDC0B2A">
      <w:start w:val="1"/>
      <w:numFmt w:val="bullet"/>
      <w:lvlText w:val=""/>
      <w:lvlJc w:val="left"/>
      <w:pPr>
        <w:tabs>
          <w:tab w:val="num" w:pos="2880"/>
        </w:tabs>
        <w:ind w:left="2880" w:hanging="360"/>
      </w:pPr>
      <w:rPr>
        <w:rFonts w:ascii="Symbol" w:hAnsi="Symbol"/>
      </w:rPr>
    </w:lvl>
    <w:lvl w:ilvl="4" w:tplc="8FDC558E">
      <w:start w:val="1"/>
      <w:numFmt w:val="bullet"/>
      <w:lvlText w:val="o"/>
      <w:lvlJc w:val="left"/>
      <w:pPr>
        <w:tabs>
          <w:tab w:val="num" w:pos="3600"/>
        </w:tabs>
        <w:ind w:left="3600" w:hanging="360"/>
      </w:pPr>
      <w:rPr>
        <w:rFonts w:ascii="Courier New" w:hAnsi="Courier New"/>
      </w:rPr>
    </w:lvl>
    <w:lvl w:ilvl="5" w:tplc="AFBAE7C0">
      <w:start w:val="1"/>
      <w:numFmt w:val="bullet"/>
      <w:lvlText w:val=""/>
      <w:lvlJc w:val="left"/>
      <w:pPr>
        <w:tabs>
          <w:tab w:val="num" w:pos="4320"/>
        </w:tabs>
        <w:ind w:left="4320" w:hanging="360"/>
      </w:pPr>
      <w:rPr>
        <w:rFonts w:ascii="Wingdings" w:hAnsi="Wingdings"/>
      </w:rPr>
    </w:lvl>
    <w:lvl w:ilvl="6" w:tplc="427AD794">
      <w:start w:val="1"/>
      <w:numFmt w:val="bullet"/>
      <w:lvlText w:val=""/>
      <w:lvlJc w:val="left"/>
      <w:pPr>
        <w:tabs>
          <w:tab w:val="num" w:pos="5040"/>
        </w:tabs>
        <w:ind w:left="5040" w:hanging="360"/>
      </w:pPr>
      <w:rPr>
        <w:rFonts w:ascii="Symbol" w:hAnsi="Symbol"/>
      </w:rPr>
    </w:lvl>
    <w:lvl w:ilvl="7" w:tplc="F1E45982">
      <w:start w:val="1"/>
      <w:numFmt w:val="bullet"/>
      <w:lvlText w:val="o"/>
      <w:lvlJc w:val="left"/>
      <w:pPr>
        <w:tabs>
          <w:tab w:val="num" w:pos="5760"/>
        </w:tabs>
        <w:ind w:left="5760" w:hanging="360"/>
      </w:pPr>
      <w:rPr>
        <w:rFonts w:ascii="Courier New" w:hAnsi="Courier New"/>
      </w:rPr>
    </w:lvl>
    <w:lvl w:ilvl="8" w:tplc="523AD3B4">
      <w:start w:val="1"/>
      <w:numFmt w:val="bullet"/>
      <w:lvlText w:val=""/>
      <w:lvlJc w:val="left"/>
      <w:pPr>
        <w:tabs>
          <w:tab w:val="num" w:pos="6480"/>
        </w:tabs>
        <w:ind w:left="6480" w:hanging="360"/>
      </w:pPr>
      <w:rPr>
        <w:rFonts w:ascii="Wingdings" w:hAnsi="Wingdings"/>
      </w:rPr>
    </w:lvl>
  </w:abstractNum>
  <w:abstractNum w:abstractNumId="931" w15:restartNumberingAfterBreak="0">
    <w:nsid w:val="72230865"/>
    <w:multiLevelType w:val="hybridMultilevel"/>
    <w:tmpl w:val="72230865"/>
    <w:lvl w:ilvl="0" w:tplc="54082914">
      <w:start w:val="1"/>
      <w:numFmt w:val="bullet"/>
      <w:lvlText w:val=""/>
      <w:lvlJc w:val="left"/>
      <w:pPr>
        <w:tabs>
          <w:tab w:val="num" w:pos="720"/>
        </w:tabs>
        <w:ind w:left="720" w:hanging="360"/>
      </w:pPr>
      <w:rPr>
        <w:rFonts w:ascii="Symbol" w:hAnsi="Symbol"/>
      </w:rPr>
    </w:lvl>
    <w:lvl w:ilvl="1" w:tplc="6C240E70">
      <w:start w:val="1"/>
      <w:numFmt w:val="bullet"/>
      <w:lvlText w:val="o"/>
      <w:lvlJc w:val="left"/>
      <w:pPr>
        <w:tabs>
          <w:tab w:val="num" w:pos="1440"/>
        </w:tabs>
        <w:ind w:left="1440" w:hanging="360"/>
      </w:pPr>
      <w:rPr>
        <w:rFonts w:ascii="Courier New" w:hAnsi="Courier New"/>
      </w:rPr>
    </w:lvl>
    <w:lvl w:ilvl="2" w:tplc="44E09D52">
      <w:start w:val="1"/>
      <w:numFmt w:val="bullet"/>
      <w:lvlText w:val=""/>
      <w:lvlJc w:val="left"/>
      <w:pPr>
        <w:tabs>
          <w:tab w:val="num" w:pos="2160"/>
        </w:tabs>
        <w:ind w:left="2160" w:hanging="360"/>
      </w:pPr>
      <w:rPr>
        <w:rFonts w:ascii="Wingdings" w:hAnsi="Wingdings"/>
      </w:rPr>
    </w:lvl>
    <w:lvl w:ilvl="3" w:tplc="F078F324">
      <w:start w:val="1"/>
      <w:numFmt w:val="bullet"/>
      <w:lvlText w:val=""/>
      <w:lvlJc w:val="left"/>
      <w:pPr>
        <w:tabs>
          <w:tab w:val="num" w:pos="2880"/>
        </w:tabs>
        <w:ind w:left="2880" w:hanging="360"/>
      </w:pPr>
      <w:rPr>
        <w:rFonts w:ascii="Symbol" w:hAnsi="Symbol"/>
      </w:rPr>
    </w:lvl>
    <w:lvl w:ilvl="4" w:tplc="6FB864C0">
      <w:start w:val="1"/>
      <w:numFmt w:val="bullet"/>
      <w:lvlText w:val="o"/>
      <w:lvlJc w:val="left"/>
      <w:pPr>
        <w:tabs>
          <w:tab w:val="num" w:pos="3600"/>
        </w:tabs>
        <w:ind w:left="3600" w:hanging="360"/>
      </w:pPr>
      <w:rPr>
        <w:rFonts w:ascii="Courier New" w:hAnsi="Courier New"/>
      </w:rPr>
    </w:lvl>
    <w:lvl w:ilvl="5" w:tplc="7F4622EA">
      <w:start w:val="1"/>
      <w:numFmt w:val="bullet"/>
      <w:lvlText w:val=""/>
      <w:lvlJc w:val="left"/>
      <w:pPr>
        <w:tabs>
          <w:tab w:val="num" w:pos="4320"/>
        </w:tabs>
        <w:ind w:left="4320" w:hanging="360"/>
      </w:pPr>
      <w:rPr>
        <w:rFonts w:ascii="Wingdings" w:hAnsi="Wingdings"/>
      </w:rPr>
    </w:lvl>
    <w:lvl w:ilvl="6" w:tplc="D8F48F52">
      <w:start w:val="1"/>
      <w:numFmt w:val="bullet"/>
      <w:lvlText w:val=""/>
      <w:lvlJc w:val="left"/>
      <w:pPr>
        <w:tabs>
          <w:tab w:val="num" w:pos="5040"/>
        </w:tabs>
        <w:ind w:left="5040" w:hanging="360"/>
      </w:pPr>
      <w:rPr>
        <w:rFonts w:ascii="Symbol" w:hAnsi="Symbol"/>
      </w:rPr>
    </w:lvl>
    <w:lvl w:ilvl="7" w:tplc="AD3E9D80">
      <w:start w:val="1"/>
      <w:numFmt w:val="bullet"/>
      <w:lvlText w:val="o"/>
      <w:lvlJc w:val="left"/>
      <w:pPr>
        <w:tabs>
          <w:tab w:val="num" w:pos="5760"/>
        </w:tabs>
        <w:ind w:left="5760" w:hanging="360"/>
      </w:pPr>
      <w:rPr>
        <w:rFonts w:ascii="Courier New" w:hAnsi="Courier New"/>
      </w:rPr>
    </w:lvl>
    <w:lvl w:ilvl="8" w:tplc="9DB22220">
      <w:start w:val="1"/>
      <w:numFmt w:val="bullet"/>
      <w:lvlText w:val=""/>
      <w:lvlJc w:val="left"/>
      <w:pPr>
        <w:tabs>
          <w:tab w:val="num" w:pos="6480"/>
        </w:tabs>
        <w:ind w:left="6480" w:hanging="360"/>
      </w:pPr>
      <w:rPr>
        <w:rFonts w:ascii="Wingdings" w:hAnsi="Wingdings"/>
      </w:rPr>
    </w:lvl>
  </w:abstractNum>
  <w:abstractNum w:abstractNumId="932" w15:restartNumberingAfterBreak="0">
    <w:nsid w:val="72230866"/>
    <w:multiLevelType w:val="hybridMultilevel"/>
    <w:tmpl w:val="72230866"/>
    <w:lvl w:ilvl="0" w:tplc="DA7C809E">
      <w:start w:val="1"/>
      <w:numFmt w:val="bullet"/>
      <w:lvlText w:val="o"/>
      <w:lvlJc w:val="left"/>
      <w:pPr>
        <w:ind w:left="720" w:hanging="360"/>
      </w:pPr>
      <w:rPr>
        <w:rFonts w:ascii="Courier New" w:hAnsi="Courier New"/>
      </w:rPr>
    </w:lvl>
    <w:lvl w:ilvl="1" w:tplc="C584EDB2">
      <w:start w:val="1"/>
      <w:numFmt w:val="bullet"/>
      <w:lvlText w:val="o"/>
      <w:lvlJc w:val="left"/>
      <w:pPr>
        <w:tabs>
          <w:tab w:val="num" w:pos="1440"/>
        </w:tabs>
        <w:ind w:left="1440" w:hanging="360"/>
      </w:pPr>
      <w:rPr>
        <w:rFonts w:ascii="Courier New" w:hAnsi="Courier New"/>
      </w:rPr>
    </w:lvl>
    <w:lvl w:ilvl="2" w:tplc="53BA6702">
      <w:start w:val="1"/>
      <w:numFmt w:val="bullet"/>
      <w:lvlText w:val=""/>
      <w:lvlJc w:val="left"/>
      <w:pPr>
        <w:tabs>
          <w:tab w:val="num" w:pos="2160"/>
        </w:tabs>
        <w:ind w:left="2160" w:hanging="360"/>
      </w:pPr>
      <w:rPr>
        <w:rFonts w:ascii="Wingdings" w:hAnsi="Wingdings"/>
      </w:rPr>
    </w:lvl>
    <w:lvl w:ilvl="3" w:tplc="0EC64126">
      <w:start w:val="1"/>
      <w:numFmt w:val="bullet"/>
      <w:lvlText w:val=""/>
      <w:lvlJc w:val="left"/>
      <w:pPr>
        <w:tabs>
          <w:tab w:val="num" w:pos="2880"/>
        </w:tabs>
        <w:ind w:left="2880" w:hanging="360"/>
      </w:pPr>
      <w:rPr>
        <w:rFonts w:ascii="Symbol" w:hAnsi="Symbol"/>
      </w:rPr>
    </w:lvl>
    <w:lvl w:ilvl="4" w:tplc="9D822B0A">
      <w:start w:val="1"/>
      <w:numFmt w:val="bullet"/>
      <w:lvlText w:val="o"/>
      <w:lvlJc w:val="left"/>
      <w:pPr>
        <w:tabs>
          <w:tab w:val="num" w:pos="3600"/>
        </w:tabs>
        <w:ind w:left="3600" w:hanging="360"/>
      </w:pPr>
      <w:rPr>
        <w:rFonts w:ascii="Courier New" w:hAnsi="Courier New"/>
      </w:rPr>
    </w:lvl>
    <w:lvl w:ilvl="5" w:tplc="7E646AD4">
      <w:start w:val="1"/>
      <w:numFmt w:val="bullet"/>
      <w:lvlText w:val=""/>
      <w:lvlJc w:val="left"/>
      <w:pPr>
        <w:tabs>
          <w:tab w:val="num" w:pos="4320"/>
        </w:tabs>
        <w:ind w:left="4320" w:hanging="360"/>
      </w:pPr>
      <w:rPr>
        <w:rFonts w:ascii="Wingdings" w:hAnsi="Wingdings"/>
      </w:rPr>
    </w:lvl>
    <w:lvl w:ilvl="6" w:tplc="E9142214">
      <w:start w:val="1"/>
      <w:numFmt w:val="bullet"/>
      <w:lvlText w:val=""/>
      <w:lvlJc w:val="left"/>
      <w:pPr>
        <w:tabs>
          <w:tab w:val="num" w:pos="5040"/>
        </w:tabs>
        <w:ind w:left="5040" w:hanging="360"/>
      </w:pPr>
      <w:rPr>
        <w:rFonts w:ascii="Symbol" w:hAnsi="Symbol"/>
      </w:rPr>
    </w:lvl>
    <w:lvl w:ilvl="7" w:tplc="BD0AA5AA">
      <w:start w:val="1"/>
      <w:numFmt w:val="bullet"/>
      <w:lvlText w:val="o"/>
      <w:lvlJc w:val="left"/>
      <w:pPr>
        <w:tabs>
          <w:tab w:val="num" w:pos="5760"/>
        </w:tabs>
        <w:ind w:left="5760" w:hanging="360"/>
      </w:pPr>
      <w:rPr>
        <w:rFonts w:ascii="Courier New" w:hAnsi="Courier New"/>
      </w:rPr>
    </w:lvl>
    <w:lvl w:ilvl="8" w:tplc="1B7E2D46">
      <w:start w:val="1"/>
      <w:numFmt w:val="bullet"/>
      <w:lvlText w:val=""/>
      <w:lvlJc w:val="left"/>
      <w:pPr>
        <w:tabs>
          <w:tab w:val="num" w:pos="6480"/>
        </w:tabs>
        <w:ind w:left="6480" w:hanging="360"/>
      </w:pPr>
      <w:rPr>
        <w:rFonts w:ascii="Wingdings" w:hAnsi="Wingdings"/>
      </w:rPr>
    </w:lvl>
  </w:abstractNum>
  <w:abstractNum w:abstractNumId="933" w15:restartNumberingAfterBreak="0">
    <w:nsid w:val="72230867"/>
    <w:multiLevelType w:val="hybridMultilevel"/>
    <w:tmpl w:val="72230867"/>
    <w:lvl w:ilvl="0" w:tplc="22D0ED28">
      <w:start w:val="1"/>
      <w:numFmt w:val="bullet"/>
      <w:lvlText w:val=""/>
      <w:lvlJc w:val="left"/>
      <w:pPr>
        <w:ind w:left="720" w:hanging="360"/>
      </w:pPr>
      <w:rPr>
        <w:rFonts w:ascii="Symbol" w:hAnsi="Symbol"/>
      </w:rPr>
    </w:lvl>
    <w:lvl w:ilvl="1" w:tplc="D6C25134">
      <w:start w:val="1"/>
      <w:numFmt w:val="bullet"/>
      <w:lvlText w:val="o"/>
      <w:lvlJc w:val="left"/>
      <w:pPr>
        <w:tabs>
          <w:tab w:val="num" w:pos="1440"/>
        </w:tabs>
        <w:ind w:left="1440" w:hanging="360"/>
      </w:pPr>
      <w:rPr>
        <w:rFonts w:ascii="Courier New" w:hAnsi="Courier New"/>
      </w:rPr>
    </w:lvl>
    <w:lvl w:ilvl="2" w:tplc="BBD2092E">
      <w:start w:val="1"/>
      <w:numFmt w:val="bullet"/>
      <w:lvlText w:val=""/>
      <w:lvlJc w:val="left"/>
      <w:pPr>
        <w:tabs>
          <w:tab w:val="num" w:pos="2160"/>
        </w:tabs>
        <w:ind w:left="2160" w:hanging="360"/>
      </w:pPr>
      <w:rPr>
        <w:rFonts w:ascii="Wingdings" w:hAnsi="Wingdings"/>
      </w:rPr>
    </w:lvl>
    <w:lvl w:ilvl="3" w:tplc="8BBE9CC2">
      <w:start w:val="1"/>
      <w:numFmt w:val="bullet"/>
      <w:lvlText w:val=""/>
      <w:lvlJc w:val="left"/>
      <w:pPr>
        <w:tabs>
          <w:tab w:val="num" w:pos="2880"/>
        </w:tabs>
        <w:ind w:left="2880" w:hanging="360"/>
      </w:pPr>
      <w:rPr>
        <w:rFonts w:ascii="Symbol" w:hAnsi="Symbol"/>
      </w:rPr>
    </w:lvl>
    <w:lvl w:ilvl="4" w:tplc="5C546570">
      <w:start w:val="1"/>
      <w:numFmt w:val="bullet"/>
      <w:lvlText w:val="o"/>
      <w:lvlJc w:val="left"/>
      <w:pPr>
        <w:tabs>
          <w:tab w:val="num" w:pos="3600"/>
        </w:tabs>
        <w:ind w:left="3600" w:hanging="360"/>
      </w:pPr>
      <w:rPr>
        <w:rFonts w:ascii="Courier New" w:hAnsi="Courier New"/>
      </w:rPr>
    </w:lvl>
    <w:lvl w:ilvl="5" w:tplc="E0A244D2">
      <w:start w:val="1"/>
      <w:numFmt w:val="bullet"/>
      <w:lvlText w:val=""/>
      <w:lvlJc w:val="left"/>
      <w:pPr>
        <w:tabs>
          <w:tab w:val="num" w:pos="4320"/>
        </w:tabs>
        <w:ind w:left="4320" w:hanging="360"/>
      </w:pPr>
      <w:rPr>
        <w:rFonts w:ascii="Wingdings" w:hAnsi="Wingdings"/>
      </w:rPr>
    </w:lvl>
    <w:lvl w:ilvl="6" w:tplc="7D848EFC">
      <w:start w:val="1"/>
      <w:numFmt w:val="bullet"/>
      <w:lvlText w:val=""/>
      <w:lvlJc w:val="left"/>
      <w:pPr>
        <w:tabs>
          <w:tab w:val="num" w:pos="5040"/>
        </w:tabs>
        <w:ind w:left="5040" w:hanging="360"/>
      </w:pPr>
      <w:rPr>
        <w:rFonts w:ascii="Symbol" w:hAnsi="Symbol"/>
      </w:rPr>
    </w:lvl>
    <w:lvl w:ilvl="7" w:tplc="BA84ECFC">
      <w:start w:val="1"/>
      <w:numFmt w:val="bullet"/>
      <w:lvlText w:val="o"/>
      <w:lvlJc w:val="left"/>
      <w:pPr>
        <w:tabs>
          <w:tab w:val="num" w:pos="5760"/>
        </w:tabs>
        <w:ind w:left="5760" w:hanging="360"/>
      </w:pPr>
      <w:rPr>
        <w:rFonts w:ascii="Courier New" w:hAnsi="Courier New"/>
      </w:rPr>
    </w:lvl>
    <w:lvl w:ilvl="8" w:tplc="1478A6D4">
      <w:start w:val="1"/>
      <w:numFmt w:val="bullet"/>
      <w:lvlText w:val=""/>
      <w:lvlJc w:val="left"/>
      <w:pPr>
        <w:tabs>
          <w:tab w:val="num" w:pos="6480"/>
        </w:tabs>
        <w:ind w:left="6480" w:hanging="360"/>
      </w:pPr>
      <w:rPr>
        <w:rFonts w:ascii="Wingdings" w:hAnsi="Wingdings"/>
      </w:rPr>
    </w:lvl>
  </w:abstractNum>
  <w:abstractNum w:abstractNumId="934" w15:restartNumberingAfterBreak="0">
    <w:nsid w:val="72230868"/>
    <w:multiLevelType w:val="hybridMultilevel"/>
    <w:tmpl w:val="72230868"/>
    <w:lvl w:ilvl="0" w:tplc="CCA6A60C">
      <w:start w:val="1"/>
      <w:numFmt w:val="bullet"/>
      <w:lvlText w:val="o"/>
      <w:lvlJc w:val="left"/>
      <w:pPr>
        <w:ind w:left="720" w:hanging="360"/>
      </w:pPr>
      <w:rPr>
        <w:rFonts w:ascii="Courier New" w:hAnsi="Courier New"/>
      </w:rPr>
    </w:lvl>
    <w:lvl w:ilvl="1" w:tplc="8C60C800">
      <w:start w:val="1"/>
      <w:numFmt w:val="bullet"/>
      <w:lvlText w:val="o"/>
      <w:lvlJc w:val="left"/>
      <w:pPr>
        <w:tabs>
          <w:tab w:val="num" w:pos="1440"/>
        </w:tabs>
        <w:ind w:left="1440" w:hanging="360"/>
      </w:pPr>
      <w:rPr>
        <w:rFonts w:ascii="Courier New" w:hAnsi="Courier New"/>
      </w:rPr>
    </w:lvl>
    <w:lvl w:ilvl="2" w:tplc="61709C26">
      <w:start w:val="1"/>
      <w:numFmt w:val="bullet"/>
      <w:lvlText w:val=""/>
      <w:lvlJc w:val="left"/>
      <w:pPr>
        <w:tabs>
          <w:tab w:val="num" w:pos="2160"/>
        </w:tabs>
        <w:ind w:left="2160" w:hanging="360"/>
      </w:pPr>
      <w:rPr>
        <w:rFonts w:ascii="Wingdings" w:hAnsi="Wingdings"/>
      </w:rPr>
    </w:lvl>
    <w:lvl w:ilvl="3" w:tplc="E946E004">
      <w:start w:val="1"/>
      <w:numFmt w:val="bullet"/>
      <w:lvlText w:val=""/>
      <w:lvlJc w:val="left"/>
      <w:pPr>
        <w:tabs>
          <w:tab w:val="num" w:pos="2880"/>
        </w:tabs>
        <w:ind w:left="2880" w:hanging="360"/>
      </w:pPr>
      <w:rPr>
        <w:rFonts w:ascii="Symbol" w:hAnsi="Symbol"/>
      </w:rPr>
    </w:lvl>
    <w:lvl w:ilvl="4" w:tplc="B4F842DC">
      <w:start w:val="1"/>
      <w:numFmt w:val="bullet"/>
      <w:lvlText w:val="o"/>
      <w:lvlJc w:val="left"/>
      <w:pPr>
        <w:tabs>
          <w:tab w:val="num" w:pos="3600"/>
        </w:tabs>
        <w:ind w:left="3600" w:hanging="360"/>
      </w:pPr>
      <w:rPr>
        <w:rFonts w:ascii="Courier New" w:hAnsi="Courier New"/>
      </w:rPr>
    </w:lvl>
    <w:lvl w:ilvl="5" w:tplc="5D16A004">
      <w:start w:val="1"/>
      <w:numFmt w:val="bullet"/>
      <w:lvlText w:val=""/>
      <w:lvlJc w:val="left"/>
      <w:pPr>
        <w:tabs>
          <w:tab w:val="num" w:pos="4320"/>
        </w:tabs>
        <w:ind w:left="4320" w:hanging="360"/>
      </w:pPr>
      <w:rPr>
        <w:rFonts w:ascii="Wingdings" w:hAnsi="Wingdings"/>
      </w:rPr>
    </w:lvl>
    <w:lvl w:ilvl="6" w:tplc="6B9E229E">
      <w:start w:val="1"/>
      <w:numFmt w:val="bullet"/>
      <w:lvlText w:val=""/>
      <w:lvlJc w:val="left"/>
      <w:pPr>
        <w:tabs>
          <w:tab w:val="num" w:pos="5040"/>
        </w:tabs>
        <w:ind w:left="5040" w:hanging="360"/>
      </w:pPr>
      <w:rPr>
        <w:rFonts w:ascii="Symbol" w:hAnsi="Symbol"/>
      </w:rPr>
    </w:lvl>
    <w:lvl w:ilvl="7" w:tplc="523662A2">
      <w:start w:val="1"/>
      <w:numFmt w:val="bullet"/>
      <w:lvlText w:val="o"/>
      <w:lvlJc w:val="left"/>
      <w:pPr>
        <w:tabs>
          <w:tab w:val="num" w:pos="5760"/>
        </w:tabs>
        <w:ind w:left="5760" w:hanging="360"/>
      </w:pPr>
      <w:rPr>
        <w:rFonts w:ascii="Courier New" w:hAnsi="Courier New"/>
      </w:rPr>
    </w:lvl>
    <w:lvl w:ilvl="8" w:tplc="4BD0BBDE">
      <w:start w:val="1"/>
      <w:numFmt w:val="bullet"/>
      <w:lvlText w:val=""/>
      <w:lvlJc w:val="left"/>
      <w:pPr>
        <w:tabs>
          <w:tab w:val="num" w:pos="6480"/>
        </w:tabs>
        <w:ind w:left="6480" w:hanging="360"/>
      </w:pPr>
      <w:rPr>
        <w:rFonts w:ascii="Wingdings" w:hAnsi="Wingdings"/>
      </w:rPr>
    </w:lvl>
  </w:abstractNum>
  <w:abstractNum w:abstractNumId="935" w15:restartNumberingAfterBreak="0">
    <w:nsid w:val="72230869"/>
    <w:multiLevelType w:val="hybridMultilevel"/>
    <w:tmpl w:val="72230869"/>
    <w:lvl w:ilvl="0" w:tplc="07467E5E">
      <w:start w:val="1"/>
      <w:numFmt w:val="bullet"/>
      <w:lvlText w:val=""/>
      <w:lvlJc w:val="left"/>
      <w:pPr>
        <w:ind w:left="720" w:hanging="360"/>
      </w:pPr>
      <w:rPr>
        <w:rFonts w:ascii="Symbol" w:hAnsi="Symbol"/>
      </w:rPr>
    </w:lvl>
    <w:lvl w:ilvl="1" w:tplc="838031E0">
      <w:start w:val="1"/>
      <w:numFmt w:val="bullet"/>
      <w:lvlText w:val="o"/>
      <w:lvlJc w:val="left"/>
      <w:pPr>
        <w:tabs>
          <w:tab w:val="num" w:pos="1440"/>
        </w:tabs>
        <w:ind w:left="1440" w:hanging="360"/>
      </w:pPr>
      <w:rPr>
        <w:rFonts w:ascii="Courier New" w:hAnsi="Courier New"/>
      </w:rPr>
    </w:lvl>
    <w:lvl w:ilvl="2" w:tplc="CD26C85A">
      <w:start w:val="1"/>
      <w:numFmt w:val="bullet"/>
      <w:lvlText w:val=""/>
      <w:lvlJc w:val="left"/>
      <w:pPr>
        <w:tabs>
          <w:tab w:val="num" w:pos="2160"/>
        </w:tabs>
        <w:ind w:left="2160" w:hanging="360"/>
      </w:pPr>
      <w:rPr>
        <w:rFonts w:ascii="Wingdings" w:hAnsi="Wingdings"/>
      </w:rPr>
    </w:lvl>
    <w:lvl w:ilvl="3" w:tplc="AAA29828">
      <w:start w:val="1"/>
      <w:numFmt w:val="bullet"/>
      <w:lvlText w:val=""/>
      <w:lvlJc w:val="left"/>
      <w:pPr>
        <w:tabs>
          <w:tab w:val="num" w:pos="2880"/>
        </w:tabs>
        <w:ind w:left="2880" w:hanging="360"/>
      </w:pPr>
      <w:rPr>
        <w:rFonts w:ascii="Symbol" w:hAnsi="Symbol"/>
      </w:rPr>
    </w:lvl>
    <w:lvl w:ilvl="4" w:tplc="E2627690">
      <w:start w:val="1"/>
      <w:numFmt w:val="bullet"/>
      <w:lvlText w:val="o"/>
      <w:lvlJc w:val="left"/>
      <w:pPr>
        <w:tabs>
          <w:tab w:val="num" w:pos="3600"/>
        </w:tabs>
        <w:ind w:left="3600" w:hanging="360"/>
      </w:pPr>
      <w:rPr>
        <w:rFonts w:ascii="Courier New" w:hAnsi="Courier New"/>
      </w:rPr>
    </w:lvl>
    <w:lvl w:ilvl="5" w:tplc="10F2812A">
      <w:start w:val="1"/>
      <w:numFmt w:val="bullet"/>
      <w:lvlText w:val=""/>
      <w:lvlJc w:val="left"/>
      <w:pPr>
        <w:tabs>
          <w:tab w:val="num" w:pos="4320"/>
        </w:tabs>
        <w:ind w:left="4320" w:hanging="360"/>
      </w:pPr>
      <w:rPr>
        <w:rFonts w:ascii="Wingdings" w:hAnsi="Wingdings"/>
      </w:rPr>
    </w:lvl>
    <w:lvl w:ilvl="6" w:tplc="9C1A2B1E">
      <w:start w:val="1"/>
      <w:numFmt w:val="bullet"/>
      <w:lvlText w:val=""/>
      <w:lvlJc w:val="left"/>
      <w:pPr>
        <w:tabs>
          <w:tab w:val="num" w:pos="5040"/>
        </w:tabs>
        <w:ind w:left="5040" w:hanging="360"/>
      </w:pPr>
      <w:rPr>
        <w:rFonts w:ascii="Symbol" w:hAnsi="Symbol"/>
      </w:rPr>
    </w:lvl>
    <w:lvl w:ilvl="7" w:tplc="93D2617A">
      <w:start w:val="1"/>
      <w:numFmt w:val="bullet"/>
      <w:lvlText w:val="o"/>
      <w:lvlJc w:val="left"/>
      <w:pPr>
        <w:tabs>
          <w:tab w:val="num" w:pos="5760"/>
        </w:tabs>
        <w:ind w:left="5760" w:hanging="360"/>
      </w:pPr>
      <w:rPr>
        <w:rFonts w:ascii="Courier New" w:hAnsi="Courier New"/>
      </w:rPr>
    </w:lvl>
    <w:lvl w:ilvl="8" w:tplc="07CA43F8">
      <w:start w:val="1"/>
      <w:numFmt w:val="bullet"/>
      <w:lvlText w:val=""/>
      <w:lvlJc w:val="left"/>
      <w:pPr>
        <w:tabs>
          <w:tab w:val="num" w:pos="6480"/>
        </w:tabs>
        <w:ind w:left="6480" w:hanging="360"/>
      </w:pPr>
      <w:rPr>
        <w:rFonts w:ascii="Wingdings" w:hAnsi="Wingdings"/>
      </w:rPr>
    </w:lvl>
  </w:abstractNum>
  <w:abstractNum w:abstractNumId="936" w15:restartNumberingAfterBreak="0">
    <w:nsid w:val="7223086A"/>
    <w:multiLevelType w:val="hybridMultilevel"/>
    <w:tmpl w:val="7223086A"/>
    <w:lvl w:ilvl="0" w:tplc="60DC2DC0">
      <w:start w:val="1"/>
      <w:numFmt w:val="bullet"/>
      <w:lvlText w:val=""/>
      <w:lvlJc w:val="left"/>
      <w:pPr>
        <w:ind w:left="720" w:hanging="360"/>
      </w:pPr>
      <w:rPr>
        <w:rFonts w:ascii="Symbol" w:hAnsi="Symbol"/>
      </w:rPr>
    </w:lvl>
    <w:lvl w:ilvl="1" w:tplc="A6C2ED22">
      <w:start w:val="1"/>
      <w:numFmt w:val="bullet"/>
      <w:lvlText w:val="o"/>
      <w:lvlJc w:val="left"/>
      <w:pPr>
        <w:tabs>
          <w:tab w:val="num" w:pos="1440"/>
        </w:tabs>
        <w:ind w:left="1440" w:hanging="360"/>
      </w:pPr>
      <w:rPr>
        <w:rFonts w:ascii="Courier New" w:hAnsi="Courier New"/>
      </w:rPr>
    </w:lvl>
    <w:lvl w:ilvl="2" w:tplc="BA5E1D32">
      <w:start w:val="1"/>
      <w:numFmt w:val="bullet"/>
      <w:lvlText w:val=""/>
      <w:lvlJc w:val="left"/>
      <w:pPr>
        <w:tabs>
          <w:tab w:val="num" w:pos="2160"/>
        </w:tabs>
        <w:ind w:left="2160" w:hanging="360"/>
      </w:pPr>
      <w:rPr>
        <w:rFonts w:ascii="Wingdings" w:hAnsi="Wingdings"/>
      </w:rPr>
    </w:lvl>
    <w:lvl w:ilvl="3" w:tplc="73A4E0DE">
      <w:start w:val="1"/>
      <w:numFmt w:val="bullet"/>
      <w:lvlText w:val=""/>
      <w:lvlJc w:val="left"/>
      <w:pPr>
        <w:tabs>
          <w:tab w:val="num" w:pos="2880"/>
        </w:tabs>
        <w:ind w:left="2880" w:hanging="360"/>
      </w:pPr>
      <w:rPr>
        <w:rFonts w:ascii="Symbol" w:hAnsi="Symbol"/>
      </w:rPr>
    </w:lvl>
    <w:lvl w:ilvl="4" w:tplc="4E522DE4">
      <w:start w:val="1"/>
      <w:numFmt w:val="bullet"/>
      <w:lvlText w:val="o"/>
      <w:lvlJc w:val="left"/>
      <w:pPr>
        <w:tabs>
          <w:tab w:val="num" w:pos="3600"/>
        </w:tabs>
        <w:ind w:left="3600" w:hanging="360"/>
      </w:pPr>
      <w:rPr>
        <w:rFonts w:ascii="Courier New" w:hAnsi="Courier New"/>
      </w:rPr>
    </w:lvl>
    <w:lvl w:ilvl="5" w:tplc="D58255EE">
      <w:start w:val="1"/>
      <w:numFmt w:val="bullet"/>
      <w:lvlText w:val=""/>
      <w:lvlJc w:val="left"/>
      <w:pPr>
        <w:tabs>
          <w:tab w:val="num" w:pos="4320"/>
        </w:tabs>
        <w:ind w:left="4320" w:hanging="360"/>
      </w:pPr>
      <w:rPr>
        <w:rFonts w:ascii="Wingdings" w:hAnsi="Wingdings"/>
      </w:rPr>
    </w:lvl>
    <w:lvl w:ilvl="6" w:tplc="E45C2380">
      <w:start w:val="1"/>
      <w:numFmt w:val="bullet"/>
      <w:lvlText w:val=""/>
      <w:lvlJc w:val="left"/>
      <w:pPr>
        <w:tabs>
          <w:tab w:val="num" w:pos="5040"/>
        </w:tabs>
        <w:ind w:left="5040" w:hanging="360"/>
      </w:pPr>
      <w:rPr>
        <w:rFonts w:ascii="Symbol" w:hAnsi="Symbol"/>
      </w:rPr>
    </w:lvl>
    <w:lvl w:ilvl="7" w:tplc="706AFDA0">
      <w:start w:val="1"/>
      <w:numFmt w:val="bullet"/>
      <w:lvlText w:val="o"/>
      <w:lvlJc w:val="left"/>
      <w:pPr>
        <w:tabs>
          <w:tab w:val="num" w:pos="5760"/>
        </w:tabs>
        <w:ind w:left="5760" w:hanging="360"/>
      </w:pPr>
      <w:rPr>
        <w:rFonts w:ascii="Courier New" w:hAnsi="Courier New"/>
      </w:rPr>
    </w:lvl>
    <w:lvl w:ilvl="8" w:tplc="8D72F90E">
      <w:start w:val="1"/>
      <w:numFmt w:val="bullet"/>
      <w:lvlText w:val=""/>
      <w:lvlJc w:val="left"/>
      <w:pPr>
        <w:tabs>
          <w:tab w:val="num" w:pos="6480"/>
        </w:tabs>
        <w:ind w:left="6480" w:hanging="360"/>
      </w:pPr>
      <w:rPr>
        <w:rFonts w:ascii="Wingdings" w:hAnsi="Wingdings"/>
      </w:rPr>
    </w:lvl>
  </w:abstractNum>
  <w:abstractNum w:abstractNumId="937" w15:restartNumberingAfterBreak="0">
    <w:nsid w:val="7223086B"/>
    <w:multiLevelType w:val="hybridMultilevel"/>
    <w:tmpl w:val="7223086B"/>
    <w:lvl w:ilvl="0" w:tplc="7BFE225E">
      <w:start w:val="1"/>
      <w:numFmt w:val="bullet"/>
      <w:lvlText w:val=""/>
      <w:lvlJc w:val="left"/>
      <w:pPr>
        <w:ind w:left="720" w:hanging="360"/>
      </w:pPr>
      <w:rPr>
        <w:rFonts w:ascii="Symbol" w:hAnsi="Symbol"/>
      </w:rPr>
    </w:lvl>
    <w:lvl w:ilvl="1" w:tplc="B328B3B8">
      <w:start w:val="1"/>
      <w:numFmt w:val="bullet"/>
      <w:lvlText w:val="o"/>
      <w:lvlJc w:val="left"/>
      <w:pPr>
        <w:tabs>
          <w:tab w:val="num" w:pos="1440"/>
        </w:tabs>
        <w:ind w:left="1440" w:hanging="360"/>
      </w:pPr>
      <w:rPr>
        <w:rFonts w:ascii="Courier New" w:hAnsi="Courier New"/>
      </w:rPr>
    </w:lvl>
    <w:lvl w:ilvl="2" w:tplc="3E942B14">
      <w:start w:val="1"/>
      <w:numFmt w:val="bullet"/>
      <w:lvlText w:val=""/>
      <w:lvlJc w:val="left"/>
      <w:pPr>
        <w:tabs>
          <w:tab w:val="num" w:pos="2160"/>
        </w:tabs>
        <w:ind w:left="2160" w:hanging="360"/>
      </w:pPr>
      <w:rPr>
        <w:rFonts w:ascii="Wingdings" w:hAnsi="Wingdings"/>
      </w:rPr>
    </w:lvl>
    <w:lvl w:ilvl="3" w:tplc="1D56E2A8">
      <w:start w:val="1"/>
      <w:numFmt w:val="bullet"/>
      <w:lvlText w:val=""/>
      <w:lvlJc w:val="left"/>
      <w:pPr>
        <w:tabs>
          <w:tab w:val="num" w:pos="2880"/>
        </w:tabs>
        <w:ind w:left="2880" w:hanging="360"/>
      </w:pPr>
      <w:rPr>
        <w:rFonts w:ascii="Symbol" w:hAnsi="Symbol"/>
      </w:rPr>
    </w:lvl>
    <w:lvl w:ilvl="4" w:tplc="02FCE9FC">
      <w:start w:val="1"/>
      <w:numFmt w:val="bullet"/>
      <w:lvlText w:val="o"/>
      <w:lvlJc w:val="left"/>
      <w:pPr>
        <w:tabs>
          <w:tab w:val="num" w:pos="3600"/>
        </w:tabs>
        <w:ind w:left="3600" w:hanging="360"/>
      </w:pPr>
      <w:rPr>
        <w:rFonts w:ascii="Courier New" w:hAnsi="Courier New"/>
      </w:rPr>
    </w:lvl>
    <w:lvl w:ilvl="5" w:tplc="EE4C8498">
      <w:start w:val="1"/>
      <w:numFmt w:val="bullet"/>
      <w:lvlText w:val=""/>
      <w:lvlJc w:val="left"/>
      <w:pPr>
        <w:tabs>
          <w:tab w:val="num" w:pos="4320"/>
        </w:tabs>
        <w:ind w:left="4320" w:hanging="360"/>
      </w:pPr>
      <w:rPr>
        <w:rFonts w:ascii="Wingdings" w:hAnsi="Wingdings"/>
      </w:rPr>
    </w:lvl>
    <w:lvl w:ilvl="6" w:tplc="481CBA10">
      <w:start w:val="1"/>
      <w:numFmt w:val="bullet"/>
      <w:lvlText w:val=""/>
      <w:lvlJc w:val="left"/>
      <w:pPr>
        <w:tabs>
          <w:tab w:val="num" w:pos="5040"/>
        </w:tabs>
        <w:ind w:left="5040" w:hanging="360"/>
      </w:pPr>
      <w:rPr>
        <w:rFonts w:ascii="Symbol" w:hAnsi="Symbol"/>
      </w:rPr>
    </w:lvl>
    <w:lvl w:ilvl="7" w:tplc="A7F27CC0">
      <w:start w:val="1"/>
      <w:numFmt w:val="bullet"/>
      <w:lvlText w:val="o"/>
      <w:lvlJc w:val="left"/>
      <w:pPr>
        <w:tabs>
          <w:tab w:val="num" w:pos="5760"/>
        </w:tabs>
        <w:ind w:left="5760" w:hanging="360"/>
      </w:pPr>
      <w:rPr>
        <w:rFonts w:ascii="Courier New" w:hAnsi="Courier New"/>
      </w:rPr>
    </w:lvl>
    <w:lvl w:ilvl="8" w:tplc="6ED42A30">
      <w:start w:val="1"/>
      <w:numFmt w:val="bullet"/>
      <w:lvlText w:val=""/>
      <w:lvlJc w:val="left"/>
      <w:pPr>
        <w:tabs>
          <w:tab w:val="num" w:pos="6480"/>
        </w:tabs>
        <w:ind w:left="6480" w:hanging="360"/>
      </w:pPr>
      <w:rPr>
        <w:rFonts w:ascii="Wingdings" w:hAnsi="Wingdings"/>
      </w:rPr>
    </w:lvl>
  </w:abstractNum>
  <w:abstractNum w:abstractNumId="938" w15:restartNumberingAfterBreak="0">
    <w:nsid w:val="7223086C"/>
    <w:multiLevelType w:val="hybridMultilevel"/>
    <w:tmpl w:val="7223086C"/>
    <w:lvl w:ilvl="0" w:tplc="35A2CE20">
      <w:start w:val="1"/>
      <w:numFmt w:val="bullet"/>
      <w:lvlText w:val=""/>
      <w:lvlJc w:val="left"/>
      <w:pPr>
        <w:ind w:left="720" w:hanging="360"/>
      </w:pPr>
      <w:rPr>
        <w:rFonts w:ascii="Symbol" w:hAnsi="Symbol"/>
      </w:rPr>
    </w:lvl>
    <w:lvl w:ilvl="1" w:tplc="3DA69674">
      <w:start w:val="1"/>
      <w:numFmt w:val="bullet"/>
      <w:lvlText w:val="o"/>
      <w:lvlJc w:val="left"/>
      <w:pPr>
        <w:tabs>
          <w:tab w:val="num" w:pos="1440"/>
        </w:tabs>
        <w:ind w:left="1440" w:hanging="360"/>
      </w:pPr>
      <w:rPr>
        <w:rFonts w:ascii="Courier New" w:hAnsi="Courier New"/>
      </w:rPr>
    </w:lvl>
    <w:lvl w:ilvl="2" w:tplc="684E02FA">
      <w:start w:val="1"/>
      <w:numFmt w:val="bullet"/>
      <w:lvlText w:val=""/>
      <w:lvlJc w:val="left"/>
      <w:pPr>
        <w:tabs>
          <w:tab w:val="num" w:pos="2160"/>
        </w:tabs>
        <w:ind w:left="2160" w:hanging="360"/>
      </w:pPr>
      <w:rPr>
        <w:rFonts w:ascii="Wingdings" w:hAnsi="Wingdings"/>
      </w:rPr>
    </w:lvl>
    <w:lvl w:ilvl="3" w:tplc="82405DDE">
      <w:start w:val="1"/>
      <w:numFmt w:val="bullet"/>
      <w:lvlText w:val=""/>
      <w:lvlJc w:val="left"/>
      <w:pPr>
        <w:tabs>
          <w:tab w:val="num" w:pos="2880"/>
        </w:tabs>
        <w:ind w:left="2880" w:hanging="360"/>
      </w:pPr>
      <w:rPr>
        <w:rFonts w:ascii="Symbol" w:hAnsi="Symbol"/>
      </w:rPr>
    </w:lvl>
    <w:lvl w:ilvl="4" w:tplc="61489904">
      <w:start w:val="1"/>
      <w:numFmt w:val="bullet"/>
      <w:lvlText w:val="o"/>
      <w:lvlJc w:val="left"/>
      <w:pPr>
        <w:tabs>
          <w:tab w:val="num" w:pos="3600"/>
        </w:tabs>
        <w:ind w:left="3600" w:hanging="360"/>
      </w:pPr>
      <w:rPr>
        <w:rFonts w:ascii="Courier New" w:hAnsi="Courier New"/>
      </w:rPr>
    </w:lvl>
    <w:lvl w:ilvl="5" w:tplc="BDA6FC48">
      <w:start w:val="1"/>
      <w:numFmt w:val="bullet"/>
      <w:lvlText w:val=""/>
      <w:lvlJc w:val="left"/>
      <w:pPr>
        <w:tabs>
          <w:tab w:val="num" w:pos="4320"/>
        </w:tabs>
        <w:ind w:left="4320" w:hanging="360"/>
      </w:pPr>
      <w:rPr>
        <w:rFonts w:ascii="Wingdings" w:hAnsi="Wingdings"/>
      </w:rPr>
    </w:lvl>
    <w:lvl w:ilvl="6" w:tplc="085E6376">
      <w:start w:val="1"/>
      <w:numFmt w:val="bullet"/>
      <w:lvlText w:val=""/>
      <w:lvlJc w:val="left"/>
      <w:pPr>
        <w:tabs>
          <w:tab w:val="num" w:pos="5040"/>
        </w:tabs>
        <w:ind w:left="5040" w:hanging="360"/>
      </w:pPr>
      <w:rPr>
        <w:rFonts w:ascii="Symbol" w:hAnsi="Symbol"/>
      </w:rPr>
    </w:lvl>
    <w:lvl w:ilvl="7" w:tplc="169829AE">
      <w:start w:val="1"/>
      <w:numFmt w:val="bullet"/>
      <w:lvlText w:val="o"/>
      <w:lvlJc w:val="left"/>
      <w:pPr>
        <w:tabs>
          <w:tab w:val="num" w:pos="5760"/>
        </w:tabs>
        <w:ind w:left="5760" w:hanging="360"/>
      </w:pPr>
      <w:rPr>
        <w:rFonts w:ascii="Courier New" w:hAnsi="Courier New"/>
      </w:rPr>
    </w:lvl>
    <w:lvl w:ilvl="8" w:tplc="6DAE4C44">
      <w:start w:val="1"/>
      <w:numFmt w:val="bullet"/>
      <w:lvlText w:val=""/>
      <w:lvlJc w:val="left"/>
      <w:pPr>
        <w:tabs>
          <w:tab w:val="num" w:pos="6480"/>
        </w:tabs>
        <w:ind w:left="6480" w:hanging="360"/>
      </w:pPr>
      <w:rPr>
        <w:rFonts w:ascii="Wingdings" w:hAnsi="Wingdings"/>
      </w:rPr>
    </w:lvl>
  </w:abstractNum>
  <w:abstractNum w:abstractNumId="939" w15:restartNumberingAfterBreak="0">
    <w:nsid w:val="7223086D"/>
    <w:multiLevelType w:val="hybridMultilevel"/>
    <w:tmpl w:val="7223086D"/>
    <w:lvl w:ilvl="0" w:tplc="C5E6B464">
      <w:start w:val="1"/>
      <w:numFmt w:val="bullet"/>
      <w:lvlText w:val=""/>
      <w:lvlJc w:val="left"/>
      <w:pPr>
        <w:tabs>
          <w:tab w:val="num" w:pos="720"/>
        </w:tabs>
        <w:ind w:left="720" w:hanging="360"/>
      </w:pPr>
      <w:rPr>
        <w:rFonts w:ascii="Symbol" w:hAnsi="Symbol"/>
      </w:rPr>
    </w:lvl>
    <w:lvl w:ilvl="1" w:tplc="D744C738">
      <w:start w:val="1"/>
      <w:numFmt w:val="bullet"/>
      <w:lvlText w:val="o"/>
      <w:lvlJc w:val="left"/>
      <w:pPr>
        <w:tabs>
          <w:tab w:val="num" w:pos="1440"/>
        </w:tabs>
        <w:ind w:left="1440" w:hanging="360"/>
      </w:pPr>
      <w:rPr>
        <w:rFonts w:ascii="Courier New" w:hAnsi="Courier New"/>
      </w:rPr>
    </w:lvl>
    <w:lvl w:ilvl="2" w:tplc="3CFE3300">
      <w:start w:val="1"/>
      <w:numFmt w:val="bullet"/>
      <w:lvlText w:val=""/>
      <w:lvlJc w:val="left"/>
      <w:pPr>
        <w:tabs>
          <w:tab w:val="num" w:pos="2160"/>
        </w:tabs>
        <w:ind w:left="2160" w:hanging="360"/>
      </w:pPr>
      <w:rPr>
        <w:rFonts w:ascii="Wingdings" w:hAnsi="Wingdings"/>
      </w:rPr>
    </w:lvl>
    <w:lvl w:ilvl="3" w:tplc="1370FBF8">
      <w:start w:val="1"/>
      <w:numFmt w:val="bullet"/>
      <w:lvlText w:val=""/>
      <w:lvlJc w:val="left"/>
      <w:pPr>
        <w:tabs>
          <w:tab w:val="num" w:pos="2880"/>
        </w:tabs>
        <w:ind w:left="2880" w:hanging="360"/>
      </w:pPr>
      <w:rPr>
        <w:rFonts w:ascii="Symbol" w:hAnsi="Symbol"/>
      </w:rPr>
    </w:lvl>
    <w:lvl w:ilvl="4" w:tplc="0CFA46E0">
      <w:start w:val="1"/>
      <w:numFmt w:val="bullet"/>
      <w:lvlText w:val="o"/>
      <w:lvlJc w:val="left"/>
      <w:pPr>
        <w:tabs>
          <w:tab w:val="num" w:pos="3600"/>
        </w:tabs>
        <w:ind w:left="3600" w:hanging="360"/>
      </w:pPr>
      <w:rPr>
        <w:rFonts w:ascii="Courier New" w:hAnsi="Courier New"/>
      </w:rPr>
    </w:lvl>
    <w:lvl w:ilvl="5" w:tplc="7DF6A9AE">
      <w:start w:val="1"/>
      <w:numFmt w:val="bullet"/>
      <w:lvlText w:val=""/>
      <w:lvlJc w:val="left"/>
      <w:pPr>
        <w:tabs>
          <w:tab w:val="num" w:pos="4320"/>
        </w:tabs>
        <w:ind w:left="4320" w:hanging="360"/>
      </w:pPr>
      <w:rPr>
        <w:rFonts w:ascii="Wingdings" w:hAnsi="Wingdings"/>
      </w:rPr>
    </w:lvl>
    <w:lvl w:ilvl="6" w:tplc="0950B03A">
      <w:start w:val="1"/>
      <w:numFmt w:val="bullet"/>
      <w:lvlText w:val=""/>
      <w:lvlJc w:val="left"/>
      <w:pPr>
        <w:tabs>
          <w:tab w:val="num" w:pos="5040"/>
        </w:tabs>
        <w:ind w:left="5040" w:hanging="360"/>
      </w:pPr>
      <w:rPr>
        <w:rFonts w:ascii="Symbol" w:hAnsi="Symbol"/>
      </w:rPr>
    </w:lvl>
    <w:lvl w:ilvl="7" w:tplc="2A4608CA">
      <w:start w:val="1"/>
      <w:numFmt w:val="bullet"/>
      <w:lvlText w:val="o"/>
      <w:lvlJc w:val="left"/>
      <w:pPr>
        <w:tabs>
          <w:tab w:val="num" w:pos="5760"/>
        </w:tabs>
        <w:ind w:left="5760" w:hanging="360"/>
      </w:pPr>
      <w:rPr>
        <w:rFonts w:ascii="Courier New" w:hAnsi="Courier New"/>
      </w:rPr>
    </w:lvl>
    <w:lvl w:ilvl="8" w:tplc="94C4A052">
      <w:start w:val="1"/>
      <w:numFmt w:val="bullet"/>
      <w:lvlText w:val=""/>
      <w:lvlJc w:val="left"/>
      <w:pPr>
        <w:tabs>
          <w:tab w:val="num" w:pos="6480"/>
        </w:tabs>
        <w:ind w:left="6480" w:hanging="360"/>
      </w:pPr>
      <w:rPr>
        <w:rFonts w:ascii="Wingdings" w:hAnsi="Wingdings"/>
      </w:rPr>
    </w:lvl>
  </w:abstractNum>
  <w:abstractNum w:abstractNumId="940" w15:restartNumberingAfterBreak="0">
    <w:nsid w:val="7223086E"/>
    <w:multiLevelType w:val="hybridMultilevel"/>
    <w:tmpl w:val="7223086E"/>
    <w:lvl w:ilvl="0" w:tplc="4D66AB8C">
      <w:start w:val="1"/>
      <w:numFmt w:val="bullet"/>
      <w:lvlText w:val="o"/>
      <w:lvlJc w:val="left"/>
      <w:pPr>
        <w:ind w:left="720" w:hanging="360"/>
      </w:pPr>
      <w:rPr>
        <w:rFonts w:ascii="Courier New" w:hAnsi="Courier New"/>
      </w:rPr>
    </w:lvl>
    <w:lvl w:ilvl="1" w:tplc="91003D70">
      <w:start w:val="1"/>
      <w:numFmt w:val="bullet"/>
      <w:lvlText w:val="o"/>
      <w:lvlJc w:val="left"/>
      <w:pPr>
        <w:tabs>
          <w:tab w:val="num" w:pos="1440"/>
        </w:tabs>
        <w:ind w:left="1440" w:hanging="360"/>
      </w:pPr>
      <w:rPr>
        <w:rFonts w:ascii="Courier New" w:hAnsi="Courier New"/>
      </w:rPr>
    </w:lvl>
    <w:lvl w:ilvl="2" w:tplc="47FCF11E">
      <w:start w:val="1"/>
      <w:numFmt w:val="bullet"/>
      <w:lvlText w:val=""/>
      <w:lvlJc w:val="left"/>
      <w:pPr>
        <w:tabs>
          <w:tab w:val="num" w:pos="2160"/>
        </w:tabs>
        <w:ind w:left="2160" w:hanging="360"/>
      </w:pPr>
      <w:rPr>
        <w:rFonts w:ascii="Wingdings" w:hAnsi="Wingdings"/>
      </w:rPr>
    </w:lvl>
    <w:lvl w:ilvl="3" w:tplc="A4A26974">
      <w:start w:val="1"/>
      <w:numFmt w:val="bullet"/>
      <w:lvlText w:val=""/>
      <w:lvlJc w:val="left"/>
      <w:pPr>
        <w:tabs>
          <w:tab w:val="num" w:pos="2880"/>
        </w:tabs>
        <w:ind w:left="2880" w:hanging="360"/>
      </w:pPr>
      <w:rPr>
        <w:rFonts w:ascii="Symbol" w:hAnsi="Symbol"/>
      </w:rPr>
    </w:lvl>
    <w:lvl w:ilvl="4" w:tplc="17E03596">
      <w:start w:val="1"/>
      <w:numFmt w:val="bullet"/>
      <w:lvlText w:val="o"/>
      <w:lvlJc w:val="left"/>
      <w:pPr>
        <w:tabs>
          <w:tab w:val="num" w:pos="3600"/>
        </w:tabs>
        <w:ind w:left="3600" w:hanging="360"/>
      </w:pPr>
      <w:rPr>
        <w:rFonts w:ascii="Courier New" w:hAnsi="Courier New"/>
      </w:rPr>
    </w:lvl>
    <w:lvl w:ilvl="5" w:tplc="078E48B0">
      <w:start w:val="1"/>
      <w:numFmt w:val="bullet"/>
      <w:lvlText w:val=""/>
      <w:lvlJc w:val="left"/>
      <w:pPr>
        <w:tabs>
          <w:tab w:val="num" w:pos="4320"/>
        </w:tabs>
        <w:ind w:left="4320" w:hanging="360"/>
      </w:pPr>
      <w:rPr>
        <w:rFonts w:ascii="Wingdings" w:hAnsi="Wingdings"/>
      </w:rPr>
    </w:lvl>
    <w:lvl w:ilvl="6" w:tplc="E654D592">
      <w:start w:val="1"/>
      <w:numFmt w:val="bullet"/>
      <w:lvlText w:val=""/>
      <w:lvlJc w:val="left"/>
      <w:pPr>
        <w:tabs>
          <w:tab w:val="num" w:pos="5040"/>
        </w:tabs>
        <w:ind w:left="5040" w:hanging="360"/>
      </w:pPr>
      <w:rPr>
        <w:rFonts w:ascii="Symbol" w:hAnsi="Symbol"/>
      </w:rPr>
    </w:lvl>
    <w:lvl w:ilvl="7" w:tplc="FF761640">
      <w:start w:val="1"/>
      <w:numFmt w:val="bullet"/>
      <w:lvlText w:val="o"/>
      <w:lvlJc w:val="left"/>
      <w:pPr>
        <w:tabs>
          <w:tab w:val="num" w:pos="5760"/>
        </w:tabs>
        <w:ind w:left="5760" w:hanging="360"/>
      </w:pPr>
      <w:rPr>
        <w:rFonts w:ascii="Courier New" w:hAnsi="Courier New"/>
      </w:rPr>
    </w:lvl>
    <w:lvl w:ilvl="8" w:tplc="140C520E">
      <w:start w:val="1"/>
      <w:numFmt w:val="bullet"/>
      <w:lvlText w:val=""/>
      <w:lvlJc w:val="left"/>
      <w:pPr>
        <w:tabs>
          <w:tab w:val="num" w:pos="6480"/>
        </w:tabs>
        <w:ind w:left="6480" w:hanging="360"/>
      </w:pPr>
      <w:rPr>
        <w:rFonts w:ascii="Wingdings" w:hAnsi="Wingdings"/>
      </w:rPr>
    </w:lvl>
  </w:abstractNum>
  <w:abstractNum w:abstractNumId="941" w15:restartNumberingAfterBreak="0">
    <w:nsid w:val="7223086F"/>
    <w:multiLevelType w:val="hybridMultilevel"/>
    <w:tmpl w:val="7223086F"/>
    <w:lvl w:ilvl="0" w:tplc="0D5CEFA8">
      <w:start w:val="1"/>
      <w:numFmt w:val="bullet"/>
      <w:lvlText w:val=""/>
      <w:lvlJc w:val="left"/>
      <w:pPr>
        <w:ind w:left="720" w:hanging="360"/>
      </w:pPr>
      <w:rPr>
        <w:rFonts w:ascii="Symbol" w:hAnsi="Symbol"/>
      </w:rPr>
    </w:lvl>
    <w:lvl w:ilvl="1" w:tplc="B9AEBC0A">
      <w:start w:val="1"/>
      <w:numFmt w:val="bullet"/>
      <w:lvlText w:val="o"/>
      <w:lvlJc w:val="left"/>
      <w:pPr>
        <w:tabs>
          <w:tab w:val="num" w:pos="1440"/>
        </w:tabs>
        <w:ind w:left="1440" w:hanging="360"/>
      </w:pPr>
      <w:rPr>
        <w:rFonts w:ascii="Courier New" w:hAnsi="Courier New"/>
      </w:rPr>
    </w:lvl>
    <w:lvl w:ilvl="2" w:tplc="5192BBFA">
      <w:start w:val="1"/>
      <w:numFmt w:val="bullet"/>
      <w:lvlText w:val=""/>
      <w:lvlJc w:val="left"/>
      <w:pPr>
        <w:tabs>
          <w:tab w:val="num" w:pos="2160"/>
        </w:tabs>
        <w:ind w:left="2160" w:hanging="360"/>
      </w:pPr>
      <w:rPr>
        <w:rFonts w:ascii="Wingdings" w:hAnsi="Wingdings"/>
      </w:rPr>
    </w:lvl>
    <w:lvl w:ilvl="3" w:tplc="EB5CEF4C">
      <w:start w:val="1"/>
      <w:numFmt w:val="bullet"/>
      <w:lvlText w:val=""/>
      <w:lvlJc w:val="left"/>
      <w:pPr>
        <w:tabs>
          <w:tab w:val="num" w:pos="2880"/>
        </w:tabs>
        <w:ind w:left="2880" w:hanging="360"/>
      </w:pPr>
      <w:rPr>
        <w:rFonts w:ascii="Symbol" w:hAnsi="Symbol"/>
      </w:rPr>
    </w:lvl>
    <w:lvl w:ilvl="4" w:tplc="F79CCA28">
      <w:start w:val="1"/>
      <w:numFmt w:val="bullet"/>
      <w:lvlText w:val="o"/>
      <w:lvlJc w:val="left"/>
      <w:pPr>
        <w:tabs>
          <w:tab w:val="num" w:pos="3600"/>
        </w:tabs>
        <w:ind w:left="3600" w:hanging="360"/>
      </w:pPr>
      <w:rPr>
        <w:rFonts w:ascii="Courier New" w:hAnsi="Courier New"/>
      </w:rPr>
    </w:lvl>
    <w:lvl w:ilvl="5" w:tplc="04AA5F64">
      <w:start w:val="1"/>
      <w:numFmt w:val="bullet"/>
      <w:lvlText w:val=""/>
      <w:lvlJc w:val="left"/>
      <w:pPr>
        <w:tabs>
          <w:tab w:val="num" w:pos="4320"/>
        </w:tabs>
        <w:ind w:left="4320" w:hanging="360"/>
      </w:pPr>
      <w:rPr>
        <w:rFonts w:ascii="Wingdings" w:hAnsi="Wingdings"/>
      </w:rPr>
    </w:lvl>
    <w:lvl w:ilvl="6" w:tplc="1D6C2CCC">
      <w:start w:val="1"/>
      <w:numFmt w:val="bullet"/>
      <w:lvlText w:val=""/>
      <w:lvlJc w:val="left"/>
      <w:pPr>
        <w:tabs>
          <w:tab w:val="num" w:pos="5040"/>
        </w:tabs>
        <w:ind w:left="5040" w:hanging="360"/>
      </w:pPr>
      <w:rPr>
        <w:rFonts w:ascii="Symbol" w:hAnsi="Symbol"/>
      </w:rPr>
    </w:lvl>
    <w:lvl w:ilvl="7" w:tplc="DD0E1C3E">
      <w:start w:val="1"/>
      <w:numFmt w:val="bullet"/>
      <w:lvlText w:val="o"/>
      <w:lvlJc w:val="left"/>
      <w:pPr>
        <w:tabs>
          <w:tab w:val="num" w:pos="5760"/>
        </w:tabs>
        <w:ind w:left="5760" w:hanging="360"/>
      </w:pPr>
      <w:rPr>
        <w:rFonts w:ascii="Courier New" w:hAnsi="Courier New"/>
      </w:rPr>
    </w:lvl>
    <w:lvl w:ilvl="8" w:tplc="DACED2F8">
      <w:start w:val="1"/>
      <w:numFmt w:val="bullet"/>
      <w:lvlText w:val=""/>
      <w:lvlJc w:val="left"/>
      <w:pPr>
        <w:tabs>
          <w:tab w:val="num" w:pos="6480"/>
        </w:tabs>
        <w:ind w:left="6480" w:hanging="360"/>
      </w:pPr>
      <w:rPr>
        <w:rFonts w:ascii="Wingdings" w:hAnsi="Wingdings"/>
      </w:rPr>
    </w:lvl>
  </w:abstractNum>
  <w:abstractNum w:abstractNumId="942" w15:restartNumberingAfterBreak="0">
    <w:nsid w:val="72230870"/>
    <w:multiLevelType w:val="hybridMultilevel"/>
    <w:tmpl w:val="72230870"/>
    <w:lvl w:ilvl="0" w:tplc="06D09E22">
      <w:start w:val="1"/>
      <w:numFmt w:val="bullet"/>
      <w:lvlText w:val="o"/>
      <w:lvlJc w:val="left"/>
      <w:pPr>
        <w:ind w:left="720" w:hanging="360"/>
      </w:pPr>
      <w:rPr>
        <w:rFonts w:ascii="Courier New" w:hAnsi="Courier New"/>
      </w:rPr>
    </w:lvl>
    <w:lvl w:ilvl="1" w:tplc="0B38BF3C">
      <w:start w:val="1"/>
      <w:numFmt w:val="bullet"/>
      <w:lvlText w:val="o"/>
      <w:lvlJc w:val="left"/>
      <w:pPr>
        <w:tabs>
          <w:tab w:val="num" w:pos="1440"/>
        </w:tabs>
        <w:ind w:left="1440" w:hanging="360"/>
      </w:pPr>
      <w:rPr>
        <w:rFonts w:ascii="Courier New" w:hAnsi="Courier New"/>
      </w:rPr>
    </w:lvl>
    <w:lvl w:ilvl="2" w:tplc="FF202B46">
      <w:start w:val="1"/>
      <w:numFmt w:val="bullet"/>
      <w:lvlText w:val=""/>
      <w:lvlJc w:val="left"/>
      <w:pPr>
        <w:tabs>
          <w:tab w:val="num" w:pos="2160"/>
        </w:tabs>
        <w:ind w:left="2160" w:hanging="360"/>
      </w:pPr>
      <w:rPr>
        <w:rFonts w:ascii="Wingdings" w:hAnsi="Wingdings"/>
      </w:rPr>
    </w:lvl>
    <w:lvl w:ilvl="3" w:tplc="6C0C7D8E">
      <w:start w:val="1"/>
      <w:numFmt w:val="bullet"/>
      <w:lvlText w:val=""/>
      <w:lvlJc w:val="left"/>
      <w:pPr>
        <w:tabs>
          <w:tab w:val="num" w:pos="2880"/>
        </w:tabs>
        <w:ind w:left="2880" w:hanging="360"/>
      </w:pPr>
      <w:rPr>
        <w:rFonts w:ascii="Symbol" w:hAnsi="Symbol"/>
      </w:rPr>
    </w:lvl>
    <w:lvl w:ilvl="4" w:tplc="3A846D2C">
      <w:start w:val="1"/>
      <w:numFmt w:val="bullet"/>
      <w:lvlText w:val="o"/>
      <w:lvlJc w:val="left"/>
      <w:pPr>
        <w:tabs>
          <w:tab w:val="num" w:pos="3600"/>
        </w:tabs>
        <w:ind w:left="3600" w:hanging="360"/>
      </w:pPr>
      <w:rPr>
        <w:rFonts w:ascii="Courier New" w:hAnsi="Courier New"/>
      </w:rPr>
    </w:lvl>
    <w:lvl w:ilvl="5" w:tplc="CDC0EB00">
      <w:start w:val="1"/>
      <w:numFmt w:val="bullet"/>
      <w:lvlText w:val=""/>
      <w:lvlJc w:val="left"/>
      <w:pPr>
        <w:tabs>
          <w:tab w:val="num" w:pos="4320"/>
        </w:tabs>
        <w:ind w:left="4320" w:hanging="360"/>
      </w:pPr>
      <w:rPr>
        <w:rFonts w:ascii="Wingdings" w:hAnsi="Wingdings"/>
      </w:rPr>
    </w:lvl>
    <w:lvl w:ilvl="6" w:tplc="ED5C8D88">
      <w:start w:val="1"/>
      <w:numFmt w:val="bullet"/>
      <w:lvlText w:val=""/>
      <w:lvlJc w:val="left"/>
      <w:pPr>
        <w:tabs>
          <w:tab w:val="num" w:pos="5040"/>
        </w:tabs>
        <w:ind w:left="5040" w:hanging="360"/>
      </w:pPr>
      <w:rPr>
        <w:rFonts w:ascii="Symbol" w:hAnsi="Symbol"/>
      </w:rPr>
    </w:lvl>
    <w:lvl w:ilvl="7" w:tplc="03486322">
      <w:start w:val="1"/>
      <w:numFmt w:val="bullet"/>
      <w:lvlText w:val="o"/>
      <w:lvlJc w:val="left"/>
      <w:pPr>
        <w:tabs>
          <w:tab w:val="num" w:pos="5760"/>
        </w:tabs>
        <w:ind w:left="5760" w:hanging="360"/>
      </w:pPr>
      <w:rPr>
        <w:rFonts w:ascii="Courier New" w:hAnsi="Courier New"/>
      </w:rPr>
    </w:lvl>
    <w:lvl w:ilvl="8" w:tplc="8B721AD2">
      <w:start w:val="1"/>
      <w:numFmt w:val="bullet"/>
      <w:lvlText w:val=""/>
      <w:lvlJc w:val="left"/>
      <w:pPr>
        <w:tabs>
          <w:tab w:val="num" w:pos="6480"/>
        </w:tabs>
        <w:ind w:left="6480" w:hanging="360"/>
      </w:pPr>
      <w:rPr>
        <w:rFonts w:ascii="Wingdings" w:hAnsi="Wingdings"/>
      </w:rPr>
    </w:lvl>
  </w:abstractNum>
  <w:abstractNum w:abstractNumId="943" w15:restartNumberingAfterBreak="0">
    <w:nsid w:val="72230871"/>
    <w:multiLevelType w:val="hybridMultilevel"/>
    <w:tmpl w:val="72230871"/>
    <w:lvl w:ilvl="0" w:tplc="24401B48">
      <w:start w:val="1"/>
      <w:numFmt w:val="bullet"/>
      <w:lvlText w:val=""/>
      <w:lvlJc w:val="left"/>
      <w:pPr>
        <w:ind w:left="720" w:hanging="360"/>
      </w:pPr>
      <w:rPr>
        <w:rFonts w:ascii="Symbol" w:hAnsi="Symbol"/>
      </w:rPr>
    </w:lvl>
    <w:lvl w:ilvl="1" w:tplc="E012A6F2">
      <w:start w:val="1"/>
      <w:numFmt w:val="bullet"/>
      <w:lvlText w:val="o"/>
      <w:lvlJc w:val="left"/>
      <w:pPr>
        <w:tabs>
          <w:tab w:val="num" w:pos="1440"/>
        </w:tabs>
        <w:ind w:left="1440" w:hanging="360"/>
      </w:pPr>
      <w:rPr>
        <w:rFonts w:ascii="Courier New" w:hAnsi="Courier New"/>
      </w:rPr>
    </w:lvl>
    <w:lvl w:ilvl="2" w:tplc="169CB00E">
      <w:start w:val="1"/>
      <w:numFmt w:val="bullet"/>
      <w:lvlText w:val=""/>
      <w:lvlJc w:val="left"/>
      <w:pPr>
        <w:tabs>
          <w:tab w:val="num" w:pos="2160"/>
        </w:tabs>
        <w:ind w:left="2160" w:hanging="360"/>
      </w:pPr>
      <w:rPr>
        <w:rFonts w:ascii="Wingdings" w:hAnsi="Wingdings"/>
      </w:rPr>
    </w:lvl>
    <w:lvl w:ilvl="3" w:tplc="8AD8F88E">
      <w:start w:val="1"/>
      <w:numFmt w:val="bullet"/>
      <w:lvlText w:val=""/>
      <w:lvlJc w:val="left"/>
      <w:pPr>
        <w:tabs>
          <w:tab w:val="num" w:pos="2880"/>
        </w:tabs>
        <w:ind w:left="2880" w:hanging="360"/>
      </w:pPr>
      <w:rPr>
        <w:rFonts w:ascii="Symbol" w:hAnsi="Symbol"/>
      </w:rPr>
    </w:lvl>
    <w:lvl w:ilvl="4" w:tplc="22D47FCC">
      <w:start w:val="1"/>
      <w:numFmt w:val="bullet"/>
      <w:lvlText w:val="o"/>
      <w:lvlJc w:val="left"/>
      <w:pPr>
        <w:tabs>
          <w:tab w:val="num" w:pos="3600"/>
        </w:tabs>
        <w:ind w:left="3600" w:hanging="360"/>
      </w:pPr>
      <w:rPr>
        <w:rFonts w:ascii="Courier New" w:hAnsi="Courier New"/>
      </w:rPr>
    </w:lvl>
    <w:lvl w:ilvl="5" w:tplc="2A3EEF4E">
      <w:start w:val="1"/>
      <w:numFmt w:val="bullet"/>
      <w:lvlText w:val=""/>
      <w:lvlJc w:val="left"/>
      <w:pPr>
        <w:tabs>
          <w:tab w:val="num" w:pos="4320"/>
        </w:tabs>
        <w:ind w:left="4320" w:hanging="360"/>
      </w:pPr>
      <w:rPr>
        <w:rFonts w:ascii="Wingdings" w:hAnsi="Wingdings"/>
      </w:rPr>
    </w:lvl>
    <w:lvl w:ilvl="6" w:tplc="2508FE76">
      <w:start w:val="1"/>
      <w:numFmt w:val="bullet"/>
      <w:lvlText w:val=""/>
      <w:lvlJc w:val="left"/>
      <w:pPr>
        <w:tabs>
          <w:tab w:val="num" w:pos="5040"/>
        </w:tabs>
        <w:ind w:left="5040" w:hanging="360"/>
      </w:pPr>
      <w:rPr>
        <w:rFonts w:ascii="Symbol" w:hAnsi="Symbol"/>
      </w:rPr>
    </w:lvl>
    <w:lvl w:ilvl="7" w:tplc="8BA6DDCE">
      <w:start w:val="1"/>
      <w:numFmt w:val="bullet"/>
      <w:lvlText w:val="o"/>
      <w:lvlJc w:val="left"/>
      <w:pPr>
        <w:tabs>
          <w:tab w:val="num" w:pos="5760"/>
        </w:tabs>
        <w:ind w:left="5760" w:hanging="360"/>
      </w:pPr>
      <w:rPr>
        <w:rFonts w:ascii="Courier New" w:hAnsi="Courier New"/>
      </w:rPr>
    </w:lvl>
    <w:lvl w:ilvl="8" w:tplc="CAB28754">
      <w:start w:val="1"/>
      <w:numFmt w:val="bullet"/>
      <w:lvlText w:val=""/>
      <w:lvlJc w:val="left"/>
      <w:pPr>
        <w:tabs>
          <w:tab w:val="num" w:pos="6480"/>
        </w:tabs>
        <w:ind w:left="6480" w:hanging="360"/>
      </w:pPr>
      <w:rPr>
        <w:rFonts w:ascii="Wingdings" w:hAnsi="Wingdings"/>
      </w:rPr>
    </w:lvl>
  </w:abstractNum>
  <w:abstractNum w:abstractNumId="944" w15:restartNumberingAfterBreak="0">
    <w:nsid w:val="72230872"/>
    <w:multiLevelType w:val="hybridMultilevel"/>
    <w:tmpl w:val="72230872"/>
    <w:lvl w:ilvl="0" w:tplc="A88EF590">
      <w:start w:val="1"/>
      <w:numFmt w:val="bullet"/>
      <w:lvlText w:val=""/>
      <w:lvlJc w:val="left"/>
      <w:pPr>
        <w:ind w:left="720" w:hanging="360"/>
      </w:pPr>
      <w:rPr>
        <w:rFonts w:ascii="Symbol" w:hAnsi="Symbol"/>
      </w:rPr>
    </w:lvl>
    <w:lvl w:ilvl="1" w:tplc="5C6E4BEA">
      <w:start w:val="1"/>
      <w:numFmt w:val="bullet"/>
      <w:lvlText w:val="o"/>
      <w:lvlJc w:val="left"/>
      <w:pPr>
        <w:tabs>
          <w:tab w:val="num" w:pos="1440"/>
        </w:tabs>
        <w:ind w:left="1440" w:hanging="360"/>
      </w:pPr>
      <w:rPr>
        <w:rFonts w:ascii="Courier New" w:hAnsi="Courier New"/>
      </w:rPr>
    </w:lvl>
    <w:lvl w:ilvl="2" w:tplc="C2166744">
      <w:start w:val="1"/>
      <w:numFmt w:val="bullet"/>
      <w:lvlText w:val=""/>
      <w:lvlJc w:val="left"/>
      <w:pPr>
        <w:tabs>
          <w:tab w:val="num" w:pos="2160"/>
        </w:tabs>
        <w:ind w:left="2160" w:hanging="360"/>
      </w:pPr>
      <w:rPr>
        <w:rFonts w:ascii="Wingdings" w:hAnsi="Wingdings"/>
      </w:rPr>
    </w:lvl>
    <w:lvl w:ilvl="3" w:tplc="3A34512C">
      <w:start w:val="1"/>
      <w:numFmt w:val="bullet"/>
      <w:lvlText w:val=""/>
      <w:lvlJc w:val="left"/>
      <w:pPr>
        <w:tabs>
          <w:tab w:val="num" w:pos="2880"/>
        </w:tabs>
        <w:ind w:left="2880" w:hanging="360"/>
      </w:pPr>
      <w:rPr>
        <w:rFonts w:ascii="Symbol" w:hAnsi="Symbol"/>
      </w:rPr>
    </w:lvl>
    <w:lvl w:ilvl="4" w:tplc="90849A54">
      <w:start w:val="1"/>
      <w:numFmt w:val="bullet"/>
      <w:lvlText w:val="o"/>
      <w:lvlJc w:val="left"/>
      <w:pPr>
        <w:tabs>
          <w:tab w:val="num" w:pos="3600"/>
        </w:tabs>
        <w:ind w:left="3600" w:hanging="360"/>
      </w:pPr>
      <w:rPr>
        <w:rFonts w:ascii="Courier New" w:hAnsi="Courier New"/>
      </w:rPr>
    </w:lvl>
    <w:lvl w:ilvl="5" w:tplc="1F86CA6E">
      <w:start w:val="1"/>
      <w:numFmt w:val="bullet"/>
      <w:lvlText w:val=""/>
      <w:lvlJc w:val="left"/>
      <w:pPr>
        <w:tabs>
          <w:tab w:val="num" w:pos="4320"/>
        </w:tabs>
        <w:ind w:left="4320" w:hanging="360"/>
      </w:pPr>
      <w:rPr>
        <w:rFonts w:ascii="Wingdings" w:hAnsi="Wingdings"/>
      </w:rPr>
    </w:lvl>
    <w:lvl w:ilvl="6" w:tplc="5762DC82">
      <w:start w:val="1"/>
      <w:numFmt w:val="bullet"/>
      <w:lvlText w:val=""/>
      <w:lvlJc w:val="left"/>
      <w:pPr>
        <w:tabs>
          <w:tab w:val="num" w:pos="5040"/>
        </w:tabs>
        <w:ind w:left="5040" w:hanging="360"/>
      </w:pPr>
      <w:rPr>
        <w:rFonts w:ascii="Symbol" w:hAnsi="Symbol"/>
      </w:rPr>
    </w:lvl>
    <w:lvl w:ilvl="7" w:tplc="FED48DB8">
      <w:start w:val="1"/>
      <w:numFmt w:val="bullet"/>
      <w:lvlText w:val="o"/>
      <w:lvlJc w:val="left"/>
      <w:pPr>
        <w:tabs>
          <w:tab w:val="num" w:pos="5760"/>
        </w:tabs>
        <w:ind w:left="5760" w:hanging="360"/>
      </w:pPr>
      <w:rPr>
        <w:rFonts w:ascii="Courier New" w:hAnsi="Courier New"/>
      </w:rPr>
    </w:lvl>
    <w:lvl w:ilvl="8" w:tplc="42A03F40">
      <w:start w:val="1"/>
      <w:numFmt w:val="bullet"/>
      <w:lvlText w:val=""/>
      <w:lvlJc w:val="left"/>
      <w:pPr>
        <w:tabs>
          <w:tab w:val="num" w:pos="6480"/>
        </w:tabs>
        <w:ind w:left="6480" w:hanging="360"/>
      </w:pPr>
      <w:rPr>
        <w:rFonts w:ascii="Wingdings" w:hAnsi="Wingdings"/>
      </w:rPr>
    </w:lvl>
  </w:abstractNum>
  <w:abstractNum w:abstractNumId="945" w15:restartNumberingAfterBreak="0">
    <w:nsid w:val="72230873"/>
    <w:multiLevelType w:val="hybridMultilevel"/>
    <w:tmpl w:val="72230873"/>
    <w:lvl w:ilvl="0" w:tplc="09A08554">
      <w:start w:val="1"/>
      <w:numFmt w:val="bullet"/>
      <w:lvlText w:val=""/>
      <w:lvlJc w:val="left"/>
      <w:pPr>
        <w:ind w:left="720" w:hanging="360"/>
      </w:pPr>
      <w:rPr>
        <w:rFonts w:ascii="Symbol" w:hAnsi="Symbol"/>
      </w:rPr>
    </w:lvl>
    <w:lvl w:ilvl="1" w:tplc="82AC91BC">
      <w:start w:val="1"/>
      <w:numFmt w:val="bullet"/>
      <w:lvlText w:val="o"/>
      <w:lvlJc w:val="left"/>
      <w:pPr>
        <w:tabs>
          <w:tab w:val="num" w:pos="1440"/>
        </w:tabs>
        <w:ind w:left="1440" w:hanging="360"/>
      </w:pPr>
      <w:rPr>
        <w:rFonts w:ascii="Courier New" w:hAnsi="Courier New"/>
      </w:rPr>
    </w:lvl>
    <w:lvl w:ilvl="2" w:tplc="60F27DC4">
      <w:start w:val="1"/>
      <w:numFmt w:val="bullet"/>
      <w:lvlText w:val=""/>
      <w:lvlJc w:val="left"/>
      <w:pPr>
        <w:tabs>
          <w:tab w:val="num" w:pos="2160"/>
        </w:tabs>
        <w:ind w:left="2160" w:hanging="360"/>
      </w:pPr>
      <w:rPr>
        <w:rFonts w:ascii="Wingdings" w:hAnsi="Wingdings"/>
      </w:rPr>
    </w:lvl>
    <w:lvl w:ilvl="3" w:tplc="41024C88">
      <w:start w:val="1"/>
      <w:numFmt w:val="bullet"/>
      <w:lvlText w:val=""/>
      <w:lvlJc w:val="left"/>
      <w:pPr>
        <w:tabs>
          <w:tab w:val="num" w:pos="2880"/>
        </w:tabs>
        <w:ind w:left="2880" w:hanging="360"/>
      </w:pPr>
      <w:rPr>
        <w:rFonts w:ascii="Symbol" w:hAnsi="Symbol"/>
      </w:rPr>
    </w:lvl>
    <w:lvl w:ilvl="4" w:tplc="7196DFD0">
      <w:start w:val="1"/>
      <w:numFmt w:val="bullet"/>
      <w:lvlText w:val="o"/>
      <w:lvlJc w:val="left"/>
      <w:pPr>
        <w:tabs>
          <w:tab w:val="num" w:pos="3600"/>
        </w:tabs>
        <w:ind w:left="3600" w:hanging="360"/>
      </w:pPr>
      <w:rPr>
        <w:rFonts w:ascii="Courier New" w:hAnsi="Courier New"/>
      </w:rPr>
    </w:lvl>
    <w:lvl w:ilvl="5" w:tplc="DE32B20E">
      <w:start w:val="1"/>
      <w:numFmt w:val="bullet"/>
      <w:lvlText w:val=""/>
      <w:lvlJc w:val="left"/>
      <w:pPr>
        <w:tabs>
          <w:tab w:val="num" w:pos="4320"/>
        </w:tabs>
        <w:ind w:left="4320" w:hanging="360"/>
      </w:pPr>
      <w:rPr>
        <w:rFonts w:ascii="Wingdings" w:hAnsi="Wingdings"/>
      </w:rPr>
    </w:lvl>
    <w:lvl w:ilvl="6" w:tplc="5D4E03F2">
      <w:start w:val="1"/>
      <w:numFmt w:val="bullet"/>
      <w:lvlText w:val=""/>
      <w:lvlJc w:val="left"/>
      <w:pPr>
        <w:tabs>
          <w:tab w:val="num" w:pos="5040"/>
        </w:tabs>
        <w:ind w:left="5040" w:hanging="360"/>
      </w:pPr>
      <w:rPr>
        <w:rFonts w:ascii="Symbol" w:hAnsi="Symbol"/>
      </w:rPr>
    </w:lvl>
    <w:lvl w:ilvl="7" w:tplc="AA7832E6">
      <w:start w:val="1"/>
      <w:numFmt w:val="bullet"/>
      <w:lvlText w:val="o"/>
      <w:lvlJc w:val="left"/>
      <w:pPr>
        <w:tabs>
          <w:tab w:val="num" w:pos="5760"/>
        </w:tabs>
        <w:ind w:left="5760" w:hanging="360"/>
      </w:pPr>
      <w:rPr>
        <w:rFonts w:ascii="Courier New" w:hAnsi="Courier New"/>
      </w:rPr>
    </w:lvl>
    <w:lvl w:ilvl="8" w:tplc="1C92679A">
      <w:start w:val="1"/>
      <w:numFmt w:val="bullet"/>
      <w:lvlText w:val=""/>
      <w:lvlJc w:val="left"/>
      <w:pPr>
        <w:tabs>
          <w:tab w:val="num" w:pos="6480"/>
        </w:tabs>
        <w:ind w:left="6480" w:hanging="360"/>
      </w:pPr>
      <w:rPr>
        <w:rFonts w:ascii="Wingdings" w:hAnsi="Wingdings"/>
      </w:rPr>
    </w:lvl>
  </w:abstractNum>
  <w:abstractNum w:abstractNumId="946" w15:restartNumberingAfterBreak="0">
    <w:nsid w:val="72230874"/>
    <w:multiLevelType w:val="hybridMultilevel"/>
    <w:tmpl w:val="72230874"/>
    <w:lvl w:ilvl="0" w:tplc="DEFC0442">
      <w:start w:val="1"/>
      <w:numFmt w:val="bullet"/>
      <w:lvlText w:val=""/>
      <w:lvlJc w:val="left"/>
      <w:pPr>
        <w:ind w:left="720" w:hanging="360"/>
      </w:pPr>
      <w:rPr>
        <w:rFonts w:ascii="Symbol" w:hAnsi="Symbol"/>
      </w:rPr>
    </w:lvl>
    <w:lvl w:ilvl="1" w:tplc="A95CE1B2">
      <w:start w:val="1"/>
      <w:numFmt w:val="bullet"/>
      <w:lvlText w:val="o"/>
      <w:lvlJc w:val="left"/>
      <w:pPr>
        <w:tabs>
          <w:tab w:val="num" w:pos="1440"/>
        </w:tabs>
        <w:ind w:left="1440" w:hanging="360"/>
      </w:pPr>
      <w:rPr>
        <w:rFonts w:ascii="Courier New" w:hAnsi="Courier New"/>
      </w:rPr>
    </w:lvl>
    <w:lvl w:ilvl="2" w:tplc="F5CAC8DC">
      <w:start w:val="1"/>
      <w:numFmt w:val="bullet"/>
      <w:lvlText w:val=""/>
      <w:lvlJc w:val="left"/>
      <w:pPr>
        <w:tabs>
          <w:tab w:val="num" w:pos="2160"/>
        </w:tabs>
        <w:ind w:left="2160" w:hanging="360"/>
      </w:pPr>
      <w:rPr>
        <w:rFonts w:ascii="Wingdings" w:hAnsi="Wingdings"/>
      </w:rPr>
    </w:lvl>
    <w:lvl w:ilvl="3" w:tplc="161A5A18">
      <w:start w:val="1"/>
      <w:numFmt w:val="bullet"/>
      <w:lvlText w:val=""/>
      <w:lvlJc w:val="left"/>
      <w:pPr>
        <w:tabs>
          <w:tab w:val="num" w:pos="2880"/>
        </w:tabs>
        <w:ind w:left="2880" w:hanging="360"/>
      </w:pPr>
      <w:rPr>
        <w:rFonts w:ascii="Symbol" w:hAnsi="Symbol"/>
      </w:rPr>
    </w:lvl>
    <w:lvl w:ilvl="4" w:tplc="D1265BBA">
      <w:start w:val="1"/>
      <w:numFmt w:val="bullet"/>
      <w:lvlText w:val="o"/>
      <w:lvlJc w:val="left"/>
      <w:pPr>
        <w:tabs>
          <w:tab w:val="num" w:pos="3600"/>
        </w:tabs>
        <w:ind w:left="3600" w:hanging="360"/>
      </w:pPr>
      <w:rPr>
        <w:rFonts w:ascii="Courier New" w:hAnsi="Courier New"/>
      </w:rPr>
    </w:lvl>
    <w:lvl w:ilvl="5" w:tplc="7C9856B6">
      <w:start w:val="1"/>
      <w:numFmt w:val="bullet"/>
      <w:lvlText w:val=""/>
      <w:lvlJc w:val="left"/>
      <w:pPr>
        <w:tabs>
          <w:tab w:val="num" w:pos="4320"/>
        </w:tabs>
        <w:ind w:left="4320" w:hanging="360"/>
      </w:pPr>
      <w:rPr>
        <w:rFonts w:ascii="Wingdings" w:hAnsi="Wingdings"/>
      </w:rPr>
    </w:lvl>
    <w:lvl w:ilvl="6" w:tplc="E2267EF2">
      <w:start w:val="1"/>
      <w:numFmt w:val="bullet"/>
      <w:lvlText w:val=""/>
      <w:lvlJc w:val="left"/>
      <w:pPr>
        <w:tabs>
          <w:tab w:val="num" w:pos="5040"/>
        </w:tabs>
        <w:ind w:left="5040" w:hanging="360"/>
      </w:pPr>
      <w:rPr>
        <w:rFonts w:ascii="Symbol" w:hAnsi="Symbol"/>
      </w:rPr>
    </w:lvl>
    <w:lvl w:ilvl="7" w:tplc="8BCECBC6">
      <w:start w:val="1"/>
      <w:numFmt w:val="bullet"/>
      <w:lvlText w:val="o"/>
      <w:lvlJc w:val="left"/>
      <w:pPr>
        <w:tabs>
          <w:tab w:val="num" w:pos="5760"/>
        </w:tabs>
        <w:ind w:left="5760" w:hanging="360"/>
      </w:pPr>
      <w:rPr>
        <w:rFonts w:ascii="Courier New" w:hAnsi="Courier New"/>
      </w:rPr>
    </w:lvl>
    <w:lvl w:ilvl="8" w:tplc="EBEA0ECE">
      <w:start w:val="1"/>
      <w:numFmt w:val="bullet"/>
      <w:lvlText w:val=""/>
      <w:lvlJc w:val="left"/>
      <w:pPr>
        <w:tabs>
          <w:tab w:val="num" w:pos="6480"/>
        </w:tabs>
        <w:ind w:left="6480" w:hanging="360"/>
      </w:pPr>
      <w:rPr>
        <w:rFonts w:ascii="Wingdings" w:hAnsi="Wingdings"/>
      </w:rPr>
    </w:lvl>
  </w:abstractNum>
  <w:abstractNum w:abstractNumId="947" w15:restartNumberingAfterBreak="0">
    <w:nsid w:val="72230875"/>
    <w:multiLevelType w:val="hybridMultilevel"/>
    <w:tmpl w:val="72230875"/>
    <w:lvl w:ilvl="0" w:tplc="C5C4943C">
      <w:start w:val="1"/>
      <w:numFmt w:val="bullet"/>
      <w:lvlText w:val=""/>
      <w:lvlJc w:val="left"/>
      <w:pPr>
        <w:ind w:left="720" w:hanging="360"/>
      </w:pPr>
      <w:rPr>
        <w:rFonts w:ascii="Symbol" w:hAnsi="Symbol"/>
      </w:rPr>
    </w:lvl>
    <w:lvl w:ilvl="1" w:tplc="61E4F41A">
      <w:start w:val="1"/>
      <w:numFmt w:val="bullet"/>
      <w:lvlText w:val="o"/>
      <w:lvlJc w:val="left"/>
      <w:pPr>
        <w:tabs>
          <w:tab w:val="num" w:pos="1440"/>
        </w:tabs>
        <w:ind w:left="1440" w:hanging="360"/>
      </w:pPr>
      <w:rPr>
        <w:rFonts w:ascii="Courier New" w:hAnsi="Courier New"/>
      </w:rPr>
    </w:lvl>
    <w:lvl w:ilvl="2" w:tplc="39FA7582">
      <w:start w:val="1"/>
      <w:numFmt w:val="bullet"/>
      <w:lvlText w:val=""/>
      <w:lvlJc w:val="left"/>
      <w:pPr>
        <w:tabs>
          <w:tab w:val="num" w:pos="2160"/>
        </w:tabs>
        <w:ind w:left="2160" w:hanging="360"/>
      </w:pPr>
      <w:rPr>
        <w:rFonts w:ascii="Wingdings" w:hAnsi="Wingdings"/>
      </w:rPr>
    </w:lvl>
    <w:lvl w:ilvl="3" w:tplc="99E2F314">
      <w:start w:val="1"/>
      <w:numFmt w:val="bullet"/>
      <w:lvlText w:val=""/>
      <w:lvlJc w:val="left"/>
      <w:pPr>
        <w:tabs>
          <w:tab w:val="num" w:pos="2880"/>
        </w:tabs>
        <w:ind w:left="2880" w:hanging="360"/>
      </w:pPr>
      <w:rPr>
        <w:rFonts w:ascii="Symbol" w:hAnsi="Symbol"/>
      </w:rPr>
    </w:lvl>
    <w:lvl w:ilvl="4" w:tplc="DCE0FAD2">
      <w:start w:val="1"/>
      <w:numFmt w:val="bullet"/>
      <w:lvlText w:val="o"/>
      <w:lvlJc w:val="left"/>
      <w:pPr>
        <w:tabs>
          <w:tab w:val="num" w:pos="3600"/>
        </w:tabs>
        <w:ind w:left="3600" w:hanging="360"/>
      </w:pPr>
      <w:rPr>
        <w:rFonts w:ascii="Courier New" w:hAnsi="Courier New"/>
      </w:rPr>
    </w:lvl>
    <w:lvl w:ilvl="5" w:tplc="132CDD20">
      <w:start w:val="1"/>
      <w:numFmt w:val="bullet"/>
      <w:lvlText w:val=""/>
      <w:lvlJc w:val="left"/>
      <w:pPr>
        <w:tabs>
          <w:tab w:val="num" w:pos="4320"/>
        </w:tabs>
        <w:ind w:left="4320" w:hanging="360"/>
      </w:pPr>
      <w:rPr>
        <w:rFonts w:ascii="Wingdings" w:hAnsi="Wingdings"/>
      </w:rPr>
    </w:lvl>
    <w:lvl w:ilvl="6" w:tplc="A7BC4A5A">
      <w:start w:val="1"/>
      <w:numFmt w:val="bullet"/>
      <w:lvlText w:val=""/>
      <w:lvlJc w:val="left"/>
      <w:pPr>
        <w:tabs>
          <w:tab w:val="num" w:pos="5040"/>
        </w:tabs>
        <w:ind w:left="5040" w:hanging="360"/>
      </w:pPr>
      <w:rPr>
        <w:rFonts w:ascii="Symbol" w:hAnsi="Symbol"/>
      </w:rPr>
    </w:lvl>
    <w:lvl w:ilvl="7" w:tplc="D94CD6C4">
      <w:start w:val="1"/>
      <w:numFmt w:val="bullet"/>
      <w:lvlText w:val="o"/>
      <w:lvlJc w:val="left"/>
      <w:pPr>
        <w:tabs>
          <w:tab w:val="num" w:pos="5760"/>
        </w:tabs>
        <w:ind w:left="5760" w:hanging="360"/>
      </w:pPr>
      <w:rPr>
        <w:rFonts w:ascii="Courier New" w:hAnsi="Courier New"/>
      </w:rPr>
    </w:lvl>
    <w:lvl w:ilvl="8" w:tplc="960E0CDA">
      <w:start w:val="1"/>
      <w:numFmt w:val="bullet"/>
      <w:lvlText w:val=""/>
      <w:lvlJc w:val="left"/>
      <w:pPr>
        <w:tabs>
          <w:tab w:val="num" w:pos="6480"/>
        </w:tabs>
        <w:ind w:left="6480" w:hanging="360"/>
      </w:pPr>
      <w:rPr>
        <w:rFonts w:ascii="Wingdings" w:hAnsi="Wingdings"/>
      </w:rPr>
    </w:lvl>
  </w:abstractNum>
  <w:abstractNum w:abstractNumId="948" w15:restartNumberingAfterBreak="0">
    <w:nsid w:val="72230876"/>
    <w:multiLevelType w:val="hybridMultilevel"/>
    <w:tmpl w:val="72230876"/>
    <w:lvl w:ilvl="0" w:tplc="8E140C66">
      <w:start w:val="1"/>
      <w:numFmt w:val="bullet"/>
      <w:lvlText w:val=""/>
      <w:lvlJc w:val="left"/>
      <w:pPr>
        <w:ind w:left="720" w:hanging="360"/>
      </w:pPr>
      <w:rPr>
        <w:rFonts w:ascii="Symbol" w:hAnsi="Symbol"/>
      </w:rPr>
    </w:lvl>
    <w:lvl w:ilvl="1" w:tplc="FF3E8C6A">
      <w:start w:val="1"/>
      <w:numFmt w:val="bullet"/>
      <w:lvlText w:val="o"/>
      <w:lvlJc w:val="left"/>
      <w:pPr>
        <w:tabs>
          <w:tab w:val="num" w:pos="1440"/>
        </w:tabs>
        <w:ind w:left="1440" w:hanging="360"/>
      </w:pPr>
      <w:rPr>
        <w:rFonts w:ascii="Courier New" w:hAnsi="Courier New"/>
      </w:rPr>
    </w:lvl>
    <w:lvl w:ilvl="2" w:tplc="55203C3C">
      <w:start w:val="1"/>
      <w:numFmt w:val="bullet"/>
      <w:lvlText w:val=""/>
      <w:lvlJc w:val="left"/>
      <w:pPr>
        <w:tabs>
          <w:tab w:val="num" w:pos="2160"/>
        </w:tabs>
        <w:ind w:left="2160" w:hanging="360"/>
      </w:pPr>
      <w:rPr>
        <w:rFonts w:ascii="Wingdings" w:hAnsi="Wingdings"/>
      </w:rPr>
    </w:lvl>
    <w:lvl w:ilvl="3" w:tplc="3202CA26">
      <w:start w:val="1"/>
      <w:numFmt w:val="bullet"/>
      <w:lvlText w:val=""/>
      <w:lvlJc w:val="left"/>
      <w:pPr>
        <w:tabs>
          <w:tab w:val="num" w:pos="2880"/>
        </w:tabs>
        <w:ind w:left="2880" w:hanging="360"/>
      </w:pPr>
      <w:rPr>
        <w:rFonts w:ascii="Symbol" w:hAnsi="Symbol"/>
      </w:rPr>
    </w:lvl>
    <w:lvl w:ilvl="4" w:tplc="A39AE582">
      <w:start w:val="1"/>
      <w:numFmt w:val="bullet"/>
      <w:lvlText w:val="o"/>
      <w:lvlJc w:val="left"/>
      <w:pPr>
        <w:tabs>
          <w:tab w:val="num" w:pos="3600"/>
        </w:tabs>
        <w:ind w:left="3600" w:hanging="360"/>
      </w:pPr>
      <w:rPr>
        <w:rFonts w:ascii="Courier New" w:hAnsi="Courier New"/>
      </w:rPr>
    </w:lvl>
    <w:lvl w:ilvl="5" w:tplc="64CA2DCA">
      <w:start w:val="1"/>
      <w:numFmt w:val="bullet"/>
      <w:lvlText w:val=""/>
      <w:lvlJc w:val="left"/>
      <w:pPr>
        <w:tabs>
          <w:tab w:val="num" w:pos="4320"/>
        </w:tabs>
        <w:ind w:left="4320" w:hanging="360"/>
      </w:pPr>
      <w:rPr>
        <w:rFonts w:ascii="Wingdings" w:hAnsi="Wingdings"/>
      </w:rPr>
    </w:lvl>
    <w:lvl w:ilvl="6" w:tplc="EF04047C">
      <w:start w:val="1"/>
      <w:numFmt w:val="bullet"/>
      <w:lvlText w:val=""/>
      <w:lvlJc w:val="left"/>
      <w:pPr>
        <w:tabs>
          <w:tab w:val="num" w:pos="5040"/>
        </w:tabs>
        <w:ind w:left="5040" w:hanging="360"/>
      </w:pPr>
      <w:rPr>
        <w:rFonts w:ascii="Symbol" w:hAnsi="Symbol"/>
      </w:rPr>
    </w:lvl>
    <w:lvl w:ilvl="7" w:tplc="5686E798">
      <w:start w:val="1"/>
      <w:numFmt w:val="bullet"/>
      <w:lvlText w:val="o"/>
      <w:lvlJc w:val="left"/>
      <w:pPr>
        <w:tabs>
          <w:tab w:val="num" w:pos="5760"/>
        </w:tabs>
        <w:ind w:left="5760" w:hanging="360"/>
      </w:pPr>
      <w:rPr>
        <w:rFonts w:ascii="Courier New" w:hAnsi="Courier New"/>
      </w:rPr>
    </w:lvl>
    <w:lvl w:ilvl="8" w:tplc="4C34BBCC">
      <w:start w:val="1"/>
      <w:numFmt w:val="bullet"/>
      <w:lvlText w:val=""/>
      <w:lvlJc w:val="left"/>
      <w:pPr>
        <w:tabs>
          <w:tab w:val="num" w:pos="6480"/>
        </w:tabs>
        <w:ind w:left="6480" w:hanging="360"/>
      </w:pPr>
      <w:rPr>
        <w:rFonts w:ascii="Wingdings" w:hAnsi="Wingdings"/>
      </w:rPr>
    </w:lvl>
  </w:abstractNum>
  <w:abstractNum w:abstractNumId="949" w15:restartNumberingAfterBreak="0">
    <w:nsid w:val="72230877"/>
    <w:multiLevelType w:val="hybridMultilevel"/>
    <w:tmpl w:val="72230877"/>
    <w:lvl w:ilvl="0" w:tplc="80B0559A">
      <w:start w:val="1"/>
      <w:numFmt w:val="bullet"/>
      <w:lvlText w:val="o"/>
      <w:lvlJc w:val="left"/>
      <w:pPr>
        <w:ind w:left="720" w:hanging="360"/>
      </w:pPr>
      <w:rPr>
        <w:rFonts w:ascii="Courier New" w:hAnsi="Courier New"/>
      </w:rPr>
    </w:lvl>
    <w:lvl w:ilvl="1" w:tplc="59B61398">
      <w:start w:val="1"/>
      <w:numFmt w:val="bullet"/>
      <w:lvlText w:val="o"/>
      <w:lvlJc w:val="left"/>
      <w:pPr>
        <w:tabs>
          <w:tab w:val="num" w:pos="1440"/>
        </w:tabs>
        <w:ind w:left="1440" w:hanging="360"/>
      </w:pPr>
      <w:rPr>
        <w:rFonts w:ascii="Courier New" w:hAnsi="Courier New"/>
      </w:rPr>
    </w:lvl>
    <w:lvl w:ilvl="2" w:tplc="01102B8C">
      <w:start w:val="1"/>
      <w:numFmt w:val="bullet"/>
      <w:lvlText w:val=""/>
      <w:lvlJc w:val="left"/>
      <w:pPr>
        <w:tabs>
          <w:tab w:val="num" w:pos="2160"/>
        </w:tabs>
        <w:ind w:left="2160" w:hanging="360"/>
      </w:pPr>
      <w:rPr>
        <w:rFonts w:ascii="Wingdings" w:hAnsi="Wingdings"/>
      </w:rPr>
    </w:lvl>
    <w:lvl w:ilvl="3" w:tplc="15EE9D6C">
      <w:start w:val="1"/>
      <w:numFmt w:val="bullet"/>
      <w:lvlText w:val=""/>
      <w:lvlJc w:val="left"/>
      <w:pPr>
        <w:tabs>
          <w:tab w:val="num" w:pos="2880"/>
        </w:tabs>
        <w:ind w:left="2880" w:hanging="360"/>
      </w:pPr>
      <w:rPr>
        <w:rFonts w:ascii="Symbol" w:hAnsi="Symbol"/>
      </w:rPr>
    </w:lvl>
    <w:lvl w:ilvl="4" w:tplc="C5F0226E">
      <w:start w:val="1"/>
      <w:numFmt w:val="bullet"/>
      <w:lvlText w:val="o"/>
      <w:lvlJc w:val="left"/>
      <w:pPr>
        <w:tabs>
          <w:tab w:val="num" w:pos="3600"/>
        </w:tabs>
        <w:ind w:left="3600" w:hanging="360"/>
      </w:pPr>
      <w:rPr>
        <w:rFonts w:ascii="Courier New" w:hAnsi="Courier New"/>
      </w:rPr>
    </w:lvl>
    <w:lvl w:ilvl="5" w:tplc="42AE8C48">
      <w:start w:val="1"/>
      <w:numFmt w:val="bullet"/>
      <w:lvlText w:val=""/>
      <w:lvlJc w:val="left"/>
      <w:pPr>
        <w:tabs>
          <w:tab w:val="num" w:pos="4320"/>
        </w:tabs>
        <w:ind w:left="4320" w:hanging="360"/>
      </w:pPr>
      <w:rPr>
        <w:rFonts w:ascii="Wingdings" w:hAnsi="Wingdings"/>
      </w:rPr>
    </w:lvl>
    <w:lvl w:ilvl="6" w:tplc="2BE4582A">
      <w:start w:val="1"/>
      <w:numFmt w:val="bullet"/>
      <w:lvlText w:val=""/>
      <w:lvlJc w:val="left"/>
      <w:pPr>
        <w:tabs>
          <w:tab w:val="num" w:pos="5040"/>
        </w:tabs>
        <w:ind w:left="5040" w:hanging="360"/>
      </w:pPr>
      <w:rPr>
        <w:rFonts w:ascii="Symbol" w:hAnsi="Symbol"/>
      </w:rPr>
    </w:lvl>
    <w:lvl w:ilvl="7" w:tplc="B75030D0">
      <w:start w:val="1"/>
      <w:numFmt w:val="bullet"/>
      <w:lvlText w:val="o"/>
      <w:lvlJc w:val="left"/>
      <w:pPr>
        <w:tabs>
          <w:tab w:val="num" w:pos="5760"/>
        </w:tabs>
        <w:ind w:left="5760" w:hanging="360"/>
      </w:pPr>
      <w:rPr>
        <w:rFonts w:ascii="Courier New" w:hAnsi="Courier New"/>
      </w:rPr>
    </w:lvl>
    <w:lvl w:ilvl="8" w:tplc="FA6477A6">
      <w:start w:val="1"/>
      <w:numFmt w:val="bullet"/>
      <w:lvlText w:val=""/>
      <w:lvlJc w:val="left"/>
      <w:pPr>
        <w:tabs>
          <w:tab w:val="num" w:pos="6480"/>
        </w:tabs>
        <w:ind w:left="6480" w:hanging="360"/>
      </w:pPr>
      <w:rPr>
        <w:rFonts w:ascii="Wingdings" w:hAnsi="Wingdings"/>
      </w:rPr>
    </w:lvl>
  </w:abstractNum>
  <w:abstractNum w:abstractNumId="950" w15:restartNumberingAfterBreak="0">
    <w:nsid w:val="72230878"/>
    <w:multiLevelType w:val="hybridMultilevel"/>
    <w:tmpl w:val="72230878"/>
    <w:lvl w:ilvl="0" w:tplc="7B9A2F24">
      <w:start w:val="1"/>
      <w:numFmt w:val="bullet"/>
      <w:lvlText w:val=""/>
      <w:lvlJc w:val="left"/>
      <w:pPr>
        <w:ind w:left="720" w:hanging="360"/>
      </w:pPr>
      <w:rPr>
        <w:rFonts w:ascii="Symbol" w:hAnsi="Symbol"/>
      </w:rPr>
    </w:lvl>
    <w:lvl w:ilvl="1" w:tplc="CE7CEB86">
      <w:start w:val="1"/>
      <w:numFmt w:val="bullet"/>
      <w:lvlText w:val="o"/>
      <w:lvlJc w:val="left"/>
      <w:pPr>
        <w:tabs>
          <w:tab w:val="num" w:pos="1440"/>
        </w:tabs>
        <w:ind w:left="1440" w:hanging="360"/>
      </w:pPr>
      <w:rPr>
        <w:rFonts w:ascii="Courier New" w:hAnsi="Courier New"/>
      </w:rPr>
    </w:lvl>
    <w:lvl w:ilvl="2" w:tplc="F296F0DC">
      <w:start w:val="1"/>
      <w:numFmt w:val="bullet"/>
      <w:lvlText w:val=""/>
      <w:lvlJc w:val="left"/>
      <w:pPr>
        <w:tabs>
          <w:tab w:val="num" w:pos="2160"/>
        </w:tabs>
        <w:ind w:left="2160" w:hanging="360"/>
      </w:pPr>
      <w:rPr>
        <w:rFonts w:ascii="Wingdings" w:hAnsi="Wingdings"/>
      </w:rPr>
    </w:lvl>
    <w:lvl w:ilvl="3" w:tplc="EDA43E22">
      <w:start w:val="1"/>
      <w:numFmt w:val="bullet"/>
      <w:lvlText w:val=""/>
      <w:lvlJc w:val="left"/>
      <w:pPr>
        <w:tabs>
          <w:tab w:val="num" w:pos="2880"/>
        </w:tabs>
        <w:ind w:left="2880" w:hanging="360"/>
      </w:pPr>
      <w:rPr>
        <w:rFonts w:ascii="Symbol" w:hAnsi="Symbol"/>
      </w:rPr>
    </w:lvl>
    <w:lvl w:ilvl="4" w:tplc="EE109AE8">
      <w:start w:val="1"/>
      <w:numFmt w:val="bullet"/>
      <w:lvlText w:val="o"/>
      <w:lvlJc w:val="left"/>
      <w:pPr>
        <w:tabs>
          <w:tab w:val="num" w:pos="3600"/>
        </w:tabs>
        <w:ind w:left="3600" w:hanging="360"/>
      </w:pPr>
      <w:rPr>
        <w:rFonts w:ascii="Courier New" w:hAnsi="Courier New"/>
      </w:rPr>
    </w:lvl>
    <w:lvl w:ilvl="5" w:tplc="5D088860">
      <w:start w:val="1"/>
      <w:numFmt w:val="bullet"/>
      <w:lvlText w:val=""/>
      <w:lvlJc w:val="left"/>
      <w:pPr>
        <w:tabs>
          <w:tab w:val="num" w:pos="4320"/>
        </w:tabs>
        <w:ind w:left="4320" w:hanging="360"/>
      </w:pPr>
      <w:rPr>
        <w:rFonts w:ascii="Wingdings" w:hAnsi="Wingdings"/>
      </w:rPr>
    </w:lvl>
    <w:lvl w:ilvl="6" w:tplc="5106DA82">
      <w:start w:val="1"/>
      <w:numFmt w:val="bullet"/>
      <w:lvlText w:val=""/>
      <w:lvlJc w:val="left"/>
      <w:pPr>
        <w:tabs>
          <w:tab w:val="num" w:pos="5040"/>
        </w:tabs>
        <w:ind w:left="5040" w:hanging="360"/>
      </w:pPr>
      <w:rPr>
        <w:rFonts w:ascii="Symbol" w:hAnsi="Symbol"/>
      </w:rPr>
    </w:lvl>
    <w:lvl w:ilvl="7" w:tplc="557265DA">
      <w:start w:val="1"/>
      <w:numFmt w:val="bullet"/>
      <w:lvlText w:val="o"/>
      <w:lvlJc w:val="left"/>
      <w:pPr>
        <w:tabs>
          <w:tab w:val="num" w:pos="5760"/>
        </w:tabs>
        <w:ind w:left="5760" w:hanging="360"/>
      </w:pPr>
      <w:rPr>
        <w:rFonts w:ascii="Courier New" w:hAnsi="Courier New"/>
      </w:rPr>
    </w:lvl>
    <w:lvl w:ilvl="8" w:tplc="C8BE9524">
      <w:start w:val="1"/>
      <w:numFmt w:val="bullet"/>
      <w:lvlText w:val=""/>
      <w:lvlJc w:val="left"/>
      <w:pPr>
        <w:tabs>
          <w:tab w:val="num" w:pos="6480"/>
        </w:tabs>
        <w:ind w:left="6480" w:hanging="360"/>
      </w:pPr>
      <w:rPr>
        <w:rFonts w:ascii="Wingdings" w:hAnsi="Wingdings"/>
      </w:rPr>
    </w:lvl>
  </w:abstractNum>
  <w:abstractNum w:abstractNumId="951" w15:restartNumberingAfterBreak="0">
    <w:nsid w:val="72230879"/>
    <w:multiLevelType w:val="hybridMultilevel"/>
    <w:tmpl w:val="72230879"/>
    <w:lvl w:ilvl="0" w:tplc="DED29DEC">
      <w:start w:val="1"/>
      <w:numFmt w:val="bullet"/>
      <w:lvlText w:val="o"/>
      <w:lvlJc w:val="left"/>
      <w:pPr>
        <w:ind w:left="720" w:hanging="360"/>
      </w:pPr>
      <w:rPr>
        <w:rFonts w:ascii="Courier New" w:hAnsi="Courier New"/>
      </w:rPr>
    </w:lvl>
    <w:lvl w:ilvl="1" w:tplc="FC62E664">
      <w:start w:val="1"/>
      <w:numFmt w:val="bullet"/>
      <w:lvlText w:val="o"/>
      <w:lvlJc w:val="left"/>
      <w:pPr>
        <w:tabs>
          <w:tab w:val="num" w:pos="1440"/>
        </w:tabs>
        <w:ind w:left="1440" w:hanging="360"/>
      </w:pPr>
      <w:rPr>
        <w:rFonts w:ascii="Courier New" w:hAnsi="Courier New"/>
      </w:rPr>
    </w:lvl>
    <w:lvl w:ilvl="2" w:tplc="12246CD8">
      <w:start w:val="1"/>
      <w:numFmt w:val="bullet"/>
      <w:lvlText w:val=""/>
      <w:lvlJc w:val="left"/>
      <w:pPr>
        <w:tabs>
          <w:tab w:val="num" w:pos="2160"/>
        </w:tabs>
        <w:ind w:left="2160" w:hanging="360"/>
      </w:pPr>
      <w:rPr>
        <w:rFonts w:ascii="Wingdings" w:hAnsi="Wingdings"/>
      </w:rPr>
    </w:lvl>
    <w:lvl w:ilvl="3" w:tplc="3586C822">
      <w:start w:val="1"/>
      <w:numFmt w:val="bullet"/>
      <w:lvlText w:val=""/>
      <w:lvlJc w:val="left"/>
      <w:pPr>
        <w:tabs>
          <w:tab w:val="num" w:pos="2880"/>
        </w:tabs>
        <w:ind w:left="2880" w:hanging="360"/>
      </w:pPr>
      <w:rPr>
        <w:rFonts w:ascii="Symbol" w:hAnsi="Symbol"/>
      </w:rPr>
    </w:lvl>
    <w:lvl w:ilvl="4" w:tplc="6ECAD86E">
      <w:start w:val="1"/>
      <w:numFmt w:val="bullet"/>
      <w:lvlText w:val="o"/>
      <w:lvlJc w:val="left"/>
      <w:pPr>
        <w:tabs>
          <w:tab w:val="num" w:pos="3600"/>
        </w:tabs>
        <w:ind w:left="3600" w:hanging="360"/>
      </w:pPr>
      <w:rPr>
        <w:rFonts w:ascii="Courier New" w:hAnsi="Courier New"/>
      </w:rPr>
    </w:lvl>
    <w:lvl w:ilvl="5" w:tplc="8386146C">
      <w:start w:val="1"/>
      <w:numFmt w:val="bullet"/>
      <w:lvlText w:val=""/>
      <w:lvlJc w:val="left"/>
      <w:pPr>
        <w:tabs>
          <w:tab w:val="num" w:pos="4320"/>
        </w:tabs>
        <w:ind w:left="4320" w:hanging="360"/>
      </w:pPr>
      <w:rPr>
        <w:rFonts w:ascii="Wingdings" w:hAnsi="Wingdings"/>
      </w:rPr>
    </w:lvl>
    <w:lvl w:ilvl="6" w:tplc="BABC59A4">
      <w:start w:val="1"/>
      <w:numFmt w:val="bullet"/>
      <w:lvlText w:val=""/>
      <w:lvlJc w:val="left"/>
      <w:pPr>
        <w:tabs>
          <w:tab w:val="num" w:pos="5040"/>
        </w:tabs>
        <w:ind w:left="5040" w:hanging="360"/>
      </w:pPr>
      <w:rPr>
        <w:rFonts w:ascii="Symbol" w:hAnsi="Symbol"/>
      </w:rPr>
    </w:lvl>
    <w:lvl w:ilvl="7" w:tplc="78560B4E">
      <w:start w:val="1"/>
      <w:numFmt w:val="bullet"/>
      <w:lvlText w:val="o"/>
      <w:lvlJc w:val="left"/>
      <w:pPr>
        <w:tabs>
          <w:tab w:val="num" w:pos="5760"/>
        </w:tabs>
        <w:ind w:left="5760" w:hanging="360"/>
      </w:pPr>
      <w:rPr>
        <w:rFonts w:ascii="Courier New" w:hAnsi="Courier New"/>
      </w:rPr>
    </w:lvl>
    <w:lvl w:ilvl="8" w:tplc="0756CBC8">
      <w:start w:val="1"/>
      <w:numFmt w:val="bullet"/>
      <w:lvlText w:val=""/>
      <w:lvlJc w:val="left"/>
      <w:pPr>
        <w:tabs>
          <w:tab w:val="num" w:pos="6480"/>
        </w:tabs>
        <w:ind w:left="6480" w:hanging="360"/>
      </w:pPr>
      <w:rPr>
        <w:rFonts w:ascii="Wingdings" w:hAnsi="Wingdings"/>
      </w:rPr>
    </w:lvl>
  </w:abstractNum>
  <w:abstractNum w:abstractNumId="952" w15:restartNumberingAfterBreak="0">
    <w:nsid w:val="7223087A"/>
    <w:multiLevelType w:val="hybridMultilevel"/>
    <w:tmpl w:val="7223087A"/>
    <w:lvl w:ilvl="0" w:tplc="7000392E">
      <w:start w:val="1"/>
      <w:numFmt w:val="bullet"/>
      <w:lvlText w:val=""/>
      <w:lvlJc w:val="left"/>
      <w:pPr>
        <w:ind w:left="720" w:hanging="360"/>
      </w:pPr>
      <w:rPr>
        <w:rFonts w:ascii="Symbol" w:hAnsi="Symbol"/>
      </w:rPr>
    </w:lvl>
    <w:lvl w:ilvl="1" w:tplc="2D8258A6">
      <w:start w:val="1"/>
      <w:numFmt w:val="bullet"/>
      <w:lvlText w:val="o"/>
      <w:lvlJc w:val="left"/>
      <w:pPr>
        <w:ind w:left="1440" w:hanging="360"/>
      </w:pPr>
      <w:rPr>
        <w:rFonts w:ascii="Courier New" w:hAnsi="Courier New"/>
      </w:rPr>
    </w:lvl>
    <w:lvl w:ilvl="2" w:tplc="2A58C552">
      <w:start w:val="1"/>
      <w:numFmt w:val="bullet"/>
      <w:lvlText w:val=""/>
      <w:lvlJc w:val="left"/>
      <w:pPr>
        <w:tabs>
          <w:tab w:val="num" w:pos="2160"/>
        </w:tabs>
        <w:ind w:left="2160" w:hanging="360"/>
      </w:pPr>
      <w:rPr>
        <w:rFonts w:ascii="Wingdings" w:hAnsi="Wingdings"/>
      </w:rPr>
    </w:lvl>
    <w:lvl w:ilvl="3" w:tplc="5782A460">
      <w:start w:val="1"/>
      <w:numFmt w:val="bullet"/>
      <w:lvlText w:val=""/>
      <w:lvlJc w:val="left"/>
      <w:pPr>
        <w:tabs>
          <w:tab w:val="num" w:pos="2880"/>
        </w:tabs>
        <w:ind w:left="2880" w:hanging="360"/>
      </w:pPr>
      <w:rPr>
        <w:rFonts w:ascii="Symbol" w:hAnsi="Symbol"/>
      </w:rPr>
    </w:lvl>
    <w:lvl w:ilvl="4" w:tplc="8BC0EEF6">
      <w:start w:val="1"/>
      <w:numFmt w:val="bullet"/>
      <w:lvlText w:val="o"/>
      <w:lvlJc w:val="left"/>
      <w:pPr>
        <w:tabs>
          <w:tab w:val="num" w:pos="3600"/>
        </w:tabs>
        <w:ind w:left="3600" w:hanging="360"/>
      </w:pPr>
      <w:rPr>
        <w:rFonts w:ascii="Courier New" w:hAnsi="Courier New"/>
      </w:rPr>
    </w:lvl>
    <w:lvl w:ilvl="5" w:tplc="026C6458">
      <w:start w:val="1"/>
      <w:numFmt w:val="bullet"/>
      <w:lvlText w:val=""/>
      <w:lvlJc w:val="left"/>
      <w:pPr>
        <w:tabs>
          <w:tab w:val="num" w:pos="4320"/>
        </w:tabs>
        <w:ind w:left="4320" w:hanging="360"/>
      </w:pPr>
      <w:rPr>
        <w:rFonts w:ascii="Wingdings" w:hAnsi="Wingdings"/>
      </w:rPr>
    </w:lvl>
    <w:lvl w:ilvl="6" w:tplc="E640C6EE">
      <w:start w:val="1"/>
      <w:numFmt w:val="bullet"/>
      <w:lvlText w:val=""/>
      <w:lvlJc w:val="left"/>
      <w:pPr>
        <w:tabs>
          <w:tab w:val="num" w:pos="5040"/>
        </w:tabs>
        <w:ind w:left="5040" w:hanging="360"/>
      </w:pPr>
      <w:rPr>
        <w:rFonts w:ascii="Symbol" w:hAnsi="Symbol"/>
      </w:rPr>
    </w:lvl>
    <w:lvl w:ilvl="7" w:tplc="107A86FE">
      <w:start w:val="1"/>
      <w:numFmt w:val="bullet"/>
      <w:lvlText w:val="o"/>
      <w:lvlJc w:val="left"/>
      <w:pPr>
        <w:tabs>
          <w:tab w:val="num" w:pos="5760"/>
        </w:tabs>
        <w:ind w:left="5760" w:hanging="360"/>
      </w:pPr>
      <w:rPr>
        <w:rFonts w:ascii="Courier New" w:hAnsi="Courier New"/>
      </w:rPr>
    </w:lvl>
    <w:lvl w:ilvl="8" w:tplc="5D4CBE6A">
      <w:start w:val="1"/>
      <w:numFmt w:val="bullet"/>
      <w:lvlText w:val=""/>
      <w:lvlJc w:val="left"/>
      <w:pPr>
        <w:tabs>
          <w:tab w:val="num" w:pos="6480"/>
        </w:tabs>
        <w:ind w:left="6480" w:hanging="360"/>
      </w:pPr>
      <w:rPr>
        <w:rFonts w:ascii="Wingdings" w:hAnsi="Wingdings"/>
      </w:rPr>
    </w:lvl>
  </w:abstractNum>
  <w:abstractNum w:abstractNumId="953" w15:restartNumberingAfterBreak="0">
    <w:nsid w:val="7223087B"/>
    <w:multiLevelType w:val="hybridMultilevel"/>
    <w:tmpl w:val="7223087B"/>
    <w:lvl w:ilvl="0" w:tplc="0BA62FD2">
      <w:start w:val="1"/>
      <w:numFmt w:val="bullet"/>
      <w:lvlText w:val=""/>
      <w:lvlJc w:val="left"/>
      <w:pPr>
        <w:ind w:left="720" w:hanging="360"/>
      </w:pPr>
      <w:rPr>
        <w:rFonts w:ascii="Symbol" w:hAnsi="Symbol"/>
      </w:rPr>
    </w:lvl>
    <w:lvl w:ilvl="1" w:tplc="E4AE852A">
      <w:start w:val="1"/>
      <w:numFmt w:val="bullet"/>
      <w:lvlText w:val="o"/>
      <w:lvlJc w:val="left"/>
      <w:pPr>
        <w:tabs>
          <w:tab w:val="num" w:pos="1440"/>
        </w:tabs>
        <w:ind w:left="1440" w:hanging="360"/>
      </w:pPr>
      <w:rPr>
        <w:rFonts w:ascii="Courier New" w:hAnsi="Courier New"/>
      </w:rPr>
    </w:lvl>
    <w:lvl w:ilvl="2" w:tplc="2EDC1DA8">
      <w:start w:val="1"/>
      <w:numFmt w:val="bullet"/>
      <w:lvlText w:val=""/>
      <w:lvlJc w:val="left"/>
      <w:pPr>
        <w:tabs>
          <w:tab w:val="num" w:pos="2160"/>
        </w:tabs>
        <w:ind w:left="2160" w:hanging="360"/>
      </w:pPr>
      <w:rPr>
        <w:rFonts w:ascii="Wingdings" w:hAnsi="Wingdings"/>
      </w:rPr>
    </w:lvl>
    <w:lvl w:ilvl="3" w:tplc="14EE56A0">
      <w:start w:val="1"/>
      <w:numFmt w:val="bullet"/>
      <w:lvlText w:val=""/>
      <w:lvlJc w:val="left"/>
      <w:pPr>
        <w:tabs>
          <w:tab w:val="num" w:pos="2880"/>
        </w:tabs>
        <w:ind w:left="2880" w:hanging="360"/>
      </w:pPr>
      <w:rPr>
        <w:rFonts w:ascii="Symbol" w:hAnsi="Symbol"/>
      </w:rPr>
    </w:lvl>
    <w:lvl w:ilvl="4" w:tplc="C1C64668">
      <w:start w:val="1"/>
      <w:numFmt w:val="bullet"/>
      <w:lvlText w:val="o"/>
      <w:lvlJc w:val="left"/>
      <w:pPr>
        <w:tabs>
          <w:tab w:val="num" w:pos="3600"/>
        </w:tabs>
        <w:ind w:left="3600" w:hanging="360"/>
      </w:pPr>
      <w:rPr>
        <w:rFonts w:ascii="Courier New" w:hAnsi="Courier New"/>
      </w:rPr>
    </w:lvl>
    <w:lvl w:ilvl="5" w:tplc="709A3878">
      <w:start w:val="1"/>
      <w:numFmt w:val="bullet"/>
      <w:lvlText w:val=""/>
      <w:lvlJc w:val="left"/>
      <w:pPr>
        <w:tabs>
          <w:tab w:val="num" w:pos="4320"/>
        </w:tabs>
        <w:ind w:left="4320" w:hanging="360"/>
      </w:pPr>
      <w:rPr>
        <w:rFonts w:ascii="Wingdings" w:hAnsi="Wingdings"/>
      </w:rPr>
    </w:lvl>
    <w:lvl w:ilvl="6" w:tplc="B6C2A1C4">
      <w:start w:val="1"/>
      <w:numFmt w:val="bullet"/>
      <w:lvlText w:val=""/>
      <w:lvlJc w:val="left"/>
      <w:pPr>
        <w:tabs>
          <w:tab w:val="num" w:pos="5040"/>
        </w:tabs>
        <w:ind w:left="5040" w:hanging="360"/>
      </w:pPr>
      <w:rPr>
        <w:rFonts w:ascii="Symbol" w:hAnsi="Symbol"/>
      </w:rPr>
    </w:lvl>
    <w:lvl w:ilvl="7" w:tplc="4B1A996C">
      <w:start w:val="1"/>
      <w:numFmt w:val="bullet"/>
      <w:lvlText w:val="o"/>
      <w:lvlJc w:val="left"/>
      <w:pPr>
        <w:tabs>
          <w:tab w:val="num" w:pos="5760"/>
        </w:tabs>
        <w:ind w:left="5760" w:hanging="360"/>
      </w:pPr>
      <w:rPr>
        <w:rFonts w:ascii="Courier New" w:hAnsi="Courier New"/>
      </w:rPr>
    </w:lvl>
    <w:lvl w:ilvl="8" w:tplc="442CA9B6">
      <w:start w:val="1"/>
      <w:numFmt w:val="bullet"/>
      <w:lvlText w:val=""/>
      <w:lvlJc w:val="left"/>
      <w:pPr>
        <w:tabs>
          <w:tab w:val="num" w:pos="6480"/>
        </w:tabs>
        <w:ind w:left="6480" w:hanging="360"/>
      </w:pPr>
      <w:rPr>
        <w:rFonts w:ascii="Wingdings" w:hAnsi="Wingdings"/>
      </w:rPr>
    </w:lvl>
  </w:abstractNum>
  <w:abstractNum w:abstractNumId="954" w15:restartNumberingAfterBreak="0">
    <w:nsid w:val="7223087C"/>
    <w:multiLevelType w:val="hybridMultilevel"/>
    <w:tmpl w:val="7223087C"/>
    <w:lvl w:ilvl="0" w:tplc="45D69AE4">
      <w:start w:val="1"/>
      <w:numFmt w:val="bullet"/>
      <w:lvlText w:val=""/>
      <w:lvlJc w:val="left"/>
      <w:pPr>
        <w:ind w:left="720" w:hanging="360"/>
      </w:pPr>
      <w:rPr>
        <w:rFonts w:ascii="Symbol" w:hAnsi="Symbol"/>
      </w:rPr>
    </w:lvl>
    <w:lvl w:ilvl="1" w:tplc="ACFAA754">
      <w:start w:val="1"/>
      <w:numFmt w:val="bullet"/>
      <w:lvlText w:val="o"/>
      <w:lvlJc w:val="left"/>
      <w:pPr>
        <w:tabs>
          <w:tab w:val="num" w:pos="1440"/>
        </w:tabs>
        <w:ind w:left="1440" w:hanging="360"/>
      </w:pPr>
      <w:rPr>
        <w:rFonts w:ascii="Courier New" w:hAnsi="Courier New"/>
      </w:rPr>
    </w:lvl>
    <w:lvl w:ilvl="2" w:tplc="AD1A4F1A">
      <w:start w:val="1"/>
      <w:numFmt w:val="bullet"/>
      <w:lvlText w:val=""/>
      <w:lvlJc w:val="left"/>
      <w:pPr>
        <w:tabs>
          <w:tab w:val="num" w:pos="2160"/>
        </w:tabs>
        <w:ind w:left="2160" w:hanging="360"/>
      </w:pPr>
      <w:rPr>
        <w:rFonts w:ascii="Wingdings" w:hAnsi="Wingdings"/>
      </w:rPr>
    </w:lvl>
    <w:lvl w:ilvl="3" w:tplc="1480B44C">
      <w:start w:val="1"/>
      <w:numFmt w:val="bullet"/>
      <w:lvlText w:val=""/>
      <w:lvlJc w:val="left"/>
      <w:pPr>
        <w:tabs>
          <w:tab w:val="num" w:pos="2880"/>
        </w:tabs>
        <w:ind w:left="2880" w:hanging="360"/>
      </w:pPr>
      <w:rPr>
        <w:rFonts w:ascii="Symbol" w:hAnsi="Symbol"/>
      </w:rPr>
    </w:lvl>
    <w:lvl w:ilvl="4" w:tplc="4D506FD6">
      <w:start w:val="1"/>
      <w:numFmt w:val="bullet"/>
      <w:lvlText w:val="o"/>
      <w:lvlJc w:val="left"/>
      <w:pPr>
        <w:tabs>
          <w:tab w:val="num" w:pos="3600"/>
        </w:tabs>
        <w:ind w:left="3600" w:hanging="360"/>
      </w:pPr>
      <w:rPr>
        <w:rFonts w:ascii="Courier New" w:hAnsi="Courier New"/>
      </w:rPr>
    </w:lvl>
    <w:lvl w:ilvl="5" w:tplc="E1BEBE52">
      <w:start w:val="1"/>
      <w:numFmt w:val="bullet"/>
      <w:lvlText w:val=""/>
      <w:lvlJc w:val="left"/>
      <w:pPr>
        <w:tabs>
          <w:tab w:val="num" w:pos="4320"/>
        </w:tabs>
        <w:ind w:left="4320" w:hanging="360"/>
      </w:pPr>
      <w:rPr>
        <w:rFonts w:ascii="Wingdings" w:hAnsi="Wingdings"/>
      </w:rPr>
    </w:lvl>
    <w:lvl w:ilvl="6" w:tplc="DAC2BE3C">
      <w:start w:val="1"/>
      <w:numFmt w:val="bullet"/>
      <w:lvlText w:val=""/>
      <w:lvlJc w:val="left"/>
      <w:pPr>
        <w:tabs>
          <w:tab w:val="num" w:pos="5040"/>
        </w:tabs>
        <w:ind w:left="5040" w:hanging="360"/>
      </w:pPr>
      <w:rPr>
        <w:rFonts w:ascii="Symbol" w:hAnsi="Symbol"/>
      </w:rPr>
    </w:lvl>
    <w:lvl w:ilvl="7" w:tplc="8E92E3EE">
      <w:start w:val="1"/>
      <w:numFmt w:val="bullet"/>
      <w:lvlText w:val="o"/>
      <w:lvlJc w:val="left"/>
      <w:pPr>
        <w:tabs>
          <w:tab w:val="num" w:pos="5760"/>
        </w:tabs>
        <w:ind w:left="5760" w:hanging="360"/>
      </w:pPr>
      <w:rPr>
        <w:rFonts w:ascii="Courier New" w:hAnsi="Courier New"/>
      </w:rPr>
    </w:lvl>
    <w:lvl w:ilvl="8" w:tplc="A7945E16">
      <w:start w:val="1"/>
      <w:numFmt w:val="bullet"/>
      <w:lvlText w:val=""/>
      <w:lvlJc w:val="left"/>
      <w:pPr>
        <w:tabs>
          <w:tab w:val="num" w:pos="6480"/>
        </w:tabs>
        <w:ind w:left="6480" w:hanging="360"/>
      </w:pPr>
      <w:rPr>
        <w:rFonts w:ascii="Wingdings" w:hAnsi="Wingdings"/>
      </w:rPr>
    </w:lvl>
  </w:abstractNum>
  <w:abstractNum w:abstractNumId="955" w15:restartNumberingAfterBreak="0">
    <w:nsid w:val="7223087D"/>
    <w:multiLevelType w:val="hybridMultilevel"/>
    <w:tmpl w:val="7223087D"/>
    <w:lvl w:ilvl="0" w:tplc="845E68D6">
      <w:start w:val="1"/>
      <w:numFmt w:val="bullet"/>
      <w:lvlText w:val=""/>
      <w:lvlJc w:val="left"/>
      <w:pPr>
        <w:ind w:left="720" w:hanging="360"/>
      </w:pPr>
      <w:rPr>
        <w:rFonts w:ascii="Symbol" w:hAnsi="Symbol"/>
      </w:rPr>
    </w:lvl>
    <w:lvl w:ilvl="1" w:tplc="5D282062">
      <w:start w:val="1"/>
      <w:numFmt w:val="bullet"/>
      <w:lvlText w:val="o"/>
      <w:lvlJc w:val="left"/>
      <w:pPr>
        <w:tabs>
          <w:tab w:val="num" w:pos="1440"/>
        </w:tabs>
        <w:ind w:left="1440" w:hanging="360"/>
      </w:pPr>
      <w:rPr>
        <w:rFonts w:ascii="Courier New" w:hAnsi="Courier New"/>
      </w:rPr>
    </w:lvl>
    <w:lvl w:ilvl="2" w:tplc="B6241304">
      <w:start w:val="1"/>
      <w:numFmt w:val="bullet"/>
      <w:lvlText w:val=""/>
      <w:lvlJc w:val="left"/>
      <w:pPr>
        <w:tabs>
          <w:tab w:val="num" w:pos="2160"/>
        </w:tabs>
        <w:ind w:left="2160" w:hanging="360"/>
      </w:pPr>
      <w:rPr>
        <w:rFonts w:ascii="Wingdings" w:hAnsi="Wingdings"/>
      </w:rPr>
    </w:lvl>
    <w:lvl w:ilvl="3" w:tplc="D6D8B5A0">
      <w:start w:val="1"/>
      <w:numFmt w:val="bullet"/>
      <w:lvlText w:val=""/>
      <w:lvlJc w:val="left"/>
      <w:pPr>
        <w:tabs>
          <w:tab w:val="num" w:pos="2880"/>
        </w:tabs>
        <w:ind w:left="2880" w:hanging="360"/>
      </w:pPr>
      <w:rPr>
        <w:rFonts w:ascii="Symbol" w:hAnsi="Symbol"/>
      </w:rPr>
    </w:lvl>
    <w:lvl w:ilvl="4" w:tplc="6BA65C26">
      <w:start w:val="1"/>
      <w:numFmt w:val="bullet"/>
      <w:lvlText w:val="o"/>
      <w:lvlJc w:val="left"/>
      <w:pPr>
        <w:tabs>
          <w:tab w:val="num" w:pos="3600"/>
        </w:tabs>
        <w:ind w:left="3600" w:hanging="360"/>
      </w:pPr>
      <w:rPr>
        <w:rFonts w:ascii="Courier New" w:hAnsi="Courier New"/>
      </w:rPr>
    </w:lvl>
    <w:lvl w:ilvl="5" w:tplc="76CE5D72">
      <w:start w:val="1"/>
      <w:numFmt w:val="bullet"/>
      <w:lvlText w:val=""/>
      <w:lvlJc w:val="left"/>
      <w:pPr>
        <w:tabs>
          <w:tab w:val="num" w:pos="4320"/>
        </w:tabs>
        <w:ind w:left="4320" w:hanging="360"/>
      </w:pPr>
      <w:rPr>
        <w:rFonts w:ascii="Wingdings" w:hAnsi="Wingdings"/>
      </w:rPr>
    </w:lvl>
    <w:lvl w:ilvl="6" w:tplc="36B87826">
      <w:start w:val="1"/>
      <w:numFmt w:val="bullet"/>
      <w:lvlText w:val=""/>
      <w:lvlJc w:val="left"/>
      <w:pPr>
        <w:tabs>
          <w:tab w:val="num" w:pos="5040"/>
        </w:tabs>
        <w:ind w:left="5040" w:hanging="360"/>
      </w:pPr>
      <w:rPr>
        <w:rFonts w:ascii="Symbol" w:hAnsi="Symbol"/>
      </w:rPr>
    </w:lvl>
    <w:lvl w:ilvl="7" w:tplc="BEAEAA24">
      <w:start w:val="1"/>
      <w:numFmt w:val="bullet"/>
      <w:lvlText w:val="o"/>
      <w:lvlJc w:val="left"/>
      <w:pPr>
        <w:tabs>
          <w:tab w:val="num" w:pos="5760"/>
        </w:tabs>
        <w:ind w:left="5760" w:hanging="360"/>
      </w:pPr>
      <w:rPr>
        <w:rFonts w:ascii="Courier New" w:hAnsi="Courier New"/>
      </w:rPr>
    </w:lvl>
    <w:lvl w:ilvl="8" w:tplc="A5D8CD0A">
      <w:start w:val="1"/>
      <w:numFmt w:val="bullet"/>
      <w:lvlText w:val=""/>
      <w:lvlJc w:val="left"/>
      <w:pPr>
        <w:tabs>
          <w:tab w:val="num" w:pos="6480"/>
        </w:tabs>
        <w:ind w:left="6480" w:hanging="360"/>
      </w:pPr>
      <w:rPr>
        <w:rFonts w:ascii="Wingdings" w:hAnsi="Wingdings"/>
      </w:rPr>
    </w:lvl>
  </w:abstractNum>
  <w:abstractNum w:abstractNumId="956" w15:restartNumberingAfterBreak="0">
    <w:nsid w:val="7223087E"/>
    <w:multiLevelType w:val="hybridMultilevel"/>
    <w:tmpl w:val="7223087E"/>
    <w:lvl w:ilvl="0" w:tplc="C922CCD8">
      <w:start w:val="1"/>
      <w:numFmt w:val="bullet"/>
      <w:lvlText w:val=""/>
      <w:lvlJc w:val="left"/>
      <w:pPr>
        <w:ind w:left="720" w:hanging="360"/>
      </w:pPr>
      <w:rPr>
        <w:rFonts w:ascii="Symbol" w:hAnsi="Symbol"/>
      </w:rPr>
    </w:lvl>
    <w:lvl w:ilvl="1" w:tplc="F0208B52">
      <w:start w:val="1"/>
      <w:numFmt w:val="bullet"/>
      <w:lvlText w:val="o"/>
      <w:lvlJc w:val="left"/>
      <w:pPr>
        <w:tabs>
          <w:tab w:val="num" w:pos="1440"/>
        </w:tabs>
        <w:ind w:left="1440" w:hanging="360"/>
      </w:pPr>
      <w:rPr>
        <w:rFonts w:ascii="Courier New" w:hAnsi="Courier New"/>
      </w:rPr>
    </w:lvl>
    <w:lvl w:ilvl="2" w:tplc="38767E76">
      <w:start w:val="1"/>
      <w:numFmt w:val="bullet"/>
      <w:lvlText w:val=""/>
      <w:lvlJc w:val="left"/>
      <w:pPr>
        <w:tabs>
          <w:tab w:val="num" w:pos="2160"/>
        </w:tabs>
        <w:ind w:left="2160" w:hanging="360"/>
      </w:pPr>
      <w:rPr>
        <w:rFonts w:ascii="Wingdings" w:hAnsi="Wingdings"/>
      </w:rPr>
    </w:lvl>
    <w:lvl w:ilvl="3" w:tplc="F9FCCA0E">
      <w:start w:val="1"/>
      <w:numFmt w:val="bullet"/>
      <w:lvlText w:val=""/>
      <w:lvlJc w:val="left"/>
      <w:pPr>
        <w:tabs>
          <w:tab w:val="num" w:pos="2880"/>
        </w:tabs>
        <w:ind w:left="2880" w:hanging="360"/>
      </w:pPr>
      <w:rPr>
        <w:rFonts w:ascii="Symbol" w:hAnsi="Symbol"/>
      </w:rPr>
    </w:lvl>
    <w:lvl w:ilvl="4" w:tplc="17FC6A30">
      <w:start w:val="1"/>
      <w:numFmt w:val="bullet"/>
      <w:lvlText w:val="o"/>
      <w:lvlJc w:val="left"/>
      <w:pPr>
        <w:tabs>
          <w:tab w:val="num" w:pos="3600"/>
        </w:tabs>
        <w:ind w:left="3600" w:hanging="360"/>
      </w:pPr>
      <w:rPr>
        <w:rFonts w:ascii="Courier New" w:hAnsi="Courier New"/>
      </w:rPr>
    </w:lvl>
    <w:lvl w:ilvl="5" w:tplc="0E82078C">
      <w:start w:val="1"/>
      <w:numFmt w:val="bullet"/>
      <w:lvlText w:val=""/>
      <w:lvlJc w:val="left"/>
      <w:pPr>
        <w:tabs>
          <w:tab w:val="num" w:pos="4320"/>
        </w:tabs>
        <w:ind w:left="4320" w:hanging="360"/>
      </w:pPr>
      <w:rPr>
        <w:rFonts w:ascii="Wingdings" w:hAnsi="Wingdings"/>
      </w:rPr>
    </w:lvl>
    <w:lvl w:ilvl="6" w:tplc="E2F44E60">
      <w:start w:val="1"/>
      <w:numFmt w:val="bullet"/>
      <w:lvlText w:val=""/>
      <w:lvlJc w:val="left"/>
      <w:pPr>
        <w:tabs>
          <w:tab w:val="num" w:pos="5040"/>
        </w:tabs>
        <w:ind w:left="5040" w:hanging="360"/>
      </w:pPr>
      <w:rPr>
        <w:rFonts w:ascii="Symbol" w:hAnsi="Symbol"/>
      </w:rPr>
    </w:lvl>
    <w:lvl w:ilvl="7" w:tplc="4B56934A">
      <w:start w:val="1"/>
      <w:numFmt w:val="bullet"/>
      <w:lvlText w:val="o"/>
      <w:lvlJc w:val="left"/>
      <w:pPr>
        <w:tabs>
          <w:tab w:val="num" w:pos="5760"/>
        </w:tabs>
        <w:ind w:left="5760" w:hanging="360"/>
      </w:pPr>
      <w:rPr>
        <w:rFonts w:ascii="Courier New" w:hAnsi="Courier New"/>
      </w:rPr>
    </w:lvl>
    <w:lvl w:ilvl="8" w:tplc="2C703F56">
      <w:start w:val="1"/>
      <w:numFmt w:val="bullet"/>
      <w:lvlText w:val=""/>
      <w:lvlJc w:val="left"/>
      <w:pPr>
        <w:tabs>
          <w:tab w:val="num" w:pos="6480"/>
        </w:tabs>
        <w:ind w:left="6480" w:hanging="360"/>
      </w:pPr>
      <w:rPr>
        <w:rFonts w:ascii="Wingdings" w:hAnsi="Wingdings"/>
      </w:rPr>
    </w:lvl>
  </w:abstractNum>
  <w:abstractNum w:abstractNumId="957" w15:restartNumberingAfterBreak="0">
    <w:nsid w:val="7223087F"/>
    <w:multiLevelType w:val="hybridMultilevel"/>
    <w:tmpl w:val="7223087F"/>
    <w:lvl w:ilvl="0" w:tplc="B3BEEF32">
      <w:start w:val="1"/>
      <w:numFmt w:val="bullet"/>
      <w:lvlText w:val=""/>
      <w:lvlJc w:val="left"/>
      <w:pPr>
        <w:ind w:left="720" w:hanging="360"/>
      </w:pPr>
      <w:rPr>
        <w:rFonts w:ascii="Symbol" w:hAnsi="Symbol"/>
      </w:rPr>
    </w:lvl>
    <w:lvl w:ilvl="1" w:tplc="D7404B86">
      <w:start w:val="1"/>
      <w:numFmt w:val="bullet"/>
      <w:lvlText w:val="o"/>
      <w:lvlJc w:val="left"/>
      <w:pPr>
        <w:tabs>
          <w:tab w:val="num" w:pos="1440"/>
        </w:tabs>
        <w:ind w:left="1440" w:hanging="360"/>
      </w:pPr>
      <w:rPr>
        <w:rFonts w:ascii="Courier New" w:hAnsi="Courier New"/>
      </w:rPr>
    </w:lvl>
    <w:lvl w:ilvl="2" w:tplc="BB0A025E">
      <w:start w:val="1"/>
      <w:numFmt w:val="bullet"/>
      <w:lvlText w:val=""/>
      <w:lvlJc w:val="left"/>
      <w:pPr>
        <w:tabs>
          <w:tab w:val="num" w:pos="2160"/>
        </w:tabs>
        <w:ind w:left="2160" w:hanging="360"/>
      </w:pPr>
      <w:rPr>
        <w:rFonts w:ascii="Wingdings" w:hAnsi="Wingdings"/>
      </w:rPr>
    </w:lvl>
    <w:lvl w:ilvl="3" w:tplc="0E62487E">
      <w:start w:val="1"/>
      <w:numFmt w:val="bullet"/>
      <w:lvlText w:val=""/>
      <w:lvlJc w:val="left"/>
      <w:pPr>
        <w:tabs>
          <w:tab w:val="num" w:pos="2880"/>
        </w:tabs>
        <w:ind w:left="2880" w:hanging="360"/>
      </w:pPr>
      <w:rPr>
        <w:rFonts w:ascii="Symbol" w:hAnsi="Symbol"/>
      </w:rPr>
    </w:lvl>
    <w:lvl w:ilvl="4" w:tplc="82F2EAF0">
      <w:start w:val="1"/>
      <w:numFmt w:val="bullet"/>
      <w:lvlText w:val="o"/>
      <w:lvlJc w:val="left"/>
      <w:pPr>
        <w:tabs>
          <w:tab w:val="num" w:pos="3600"/>
        </w:tabs>
        <w:ind w:left="3600" w:hanging="360"/>
      </w:pPr>
      <w:rPr>
        <w:rFonts w:ascii="Courier New" w:hAnsi="Courier New"/>
      </w:rPr>
    </w:lvl>
    <w:lvl w:ilvl="5" w:tplc="A3E405A4">
      <w:start w:val="1"/>
      <w:numFmt w:val="bullet"/>
      <w:lvlText w:val=""/>
      <w:lvlJc w:val="left"/>
      <w:pPr>
        <w:tabs>
          <w:tab w:val="num" w:pos="4320"/>
        </w:tabs>
        <w:ind w:left="4320" w:hanging="360"/>
      </w:pPr>
      <w:rPr>
        <w:rFonts w:ascii="Wingdings" w:hAnsi="Wingdings"/>
      </w:rPr>
    </w:lvl>
    <w:lvl w:ilvl="6" w:tplc="B0F2D9FE">
      <w:start w:val="1"/>
      <w:numFmt w:val="bullet"/>
      <w:lvlText w:val=""/>
      <w:lvlJc w:val="left"/>
      <w:pPr>
        <w:tabs>
          <w:tab w:val="num" w:pos="5040"/>
        </w:tabs>
        <w:ind w:left="5040" w:hanging="360"/>
      </w:pPr>
      <w:rPr>
        <w:rFonts w:ascii="Symbol" w:hAnsi="Symbol"/>
      </w:rPr>
    </w:lvl>
    <w:lvl w:ilvl="7" w:tplc="723AB584">
      <w:start w:val="1"/>
      <w:numFmt w:val="bullet"/>
      <w:lvlText w:val="o"/>
      <w:lvlJc w:val="left"/>
      <w:pPr>
        <w:tabs>
          <w:tab w:val="num" w:pos="5760"/>
        </w:tabs>
        <w:ind w:left="5760" w:hanging="360"/>
      </w:pPr>
      <w:rPr>
        <w:rFonts w:ascii="Courier New" w:hAnsi="Courier New"/>
      </w:rPr>
    </w:lvl>
    <w:lvl w:ilvl="8" w:tplc="09288DBC">
      <w:start w:val="1"/>
      <w:numFmt w:val="bullet"/>
      <w:lvlText w:val=""/>
      <w:lvlJc w:val="left"/>
      <w:pPr>
        <w:tabs>
          <w:tab w:val="num" w:pos="6480"/>
        </w:tabs>
        <w:ind w:left="6480" w:hanging="360"/>
      </w:pPr>
      <w:rPr>
        <w:rFonts w:ascii="Wingdings" w:hAnsi="Wingdings"/>
      </w:rPr>
    </w:lvl>
  </w:abstractNum>
  <w:abstractNum w:abstractNumId="958" w15:restartNumberingAfterBreak="0">
    <w:nsid w:val="72230880"/>
    <w:multiLevelType w:val="hybridMultilevel"/>
    <w:tmpl w:val="72230880"/>
    <w:lvl w:ilvl="0" w:tplc="4896185A">
      <w:start w:val="1"/>
      <w:numFmt w:val="bullet"/>
      <w:lvlText w:val=""/>
      <w:lvlJc w:val="left"/>
      <w:pPr>
        <w:tabs>
          <w:tab w:val="num" w:pos="720"/>
        </w:tabs>
        <w:ind w:left="720" w:hanging="360"/>
      </w:pPr>
      <w:rPr>
        <w:rFonts w:ascii="Symbol" w:hAnsi="Symbol"/>
      </w:rPr>
    </w:lvl>
    <w:lvl w:ilvl="1" w:tplc="AFE463FC">
      <w:start w:val="1"/>
      <w:numFmt w:val="bullet"/>
      <w:lvlText w:val="o"/>
      <w:lvlJc w:val="left"/>
      <w:pPr>
        <w:tabs>
          <w:tab w:val="num" w:pos="1440"/>
        </w:tabs>
        <w:ind w:left="1440" w:hanging="360"/>
      </w:pPr>
      <w:rPr>
        <w:rFonts w:ascii="Courier New" w:hAnsi="Courier New"/>
      </w:rPr>
    </w:lvl>
    <w:lvl w:ilvl="2" w:tplc="51A8F4EE">
      <w:start w:val="1"/>
      <w:numFmt w:val="bullet"/>
      <w:lvlText w:val=""/>
      <w:lvlJc w:val="left"/>
      <w:pPr>
        <w:tabs>
          <w:tab w:val="num" w:pos="2160"/>
        </w:tabs>
        <w:ind w:left="2160" w:hanging="360"/>
      </w:pPr>
      <w:rPr>
        <w:rFonts w:ascii="Wingdings" w:hAnsi="Wingdings"/>
      </w:rPr>
    </w:lvl>
    <w:lvl w:ilvl="3" w:tplc="08FC2A38">
      <w:start w:val="1"/>
      <w:numFmt w:val="bullet"/>
      <w:lvlText w:val=""/>
      <w:lvlJc w:val="left"/>
      <w:pPr>
        <w:tabs>
          <w:tab w:val="num" w:pos="2880"/>
        </w:tabs>
        <w:ind w:left="2880" w:hanging="360"/>
      </w:pPr>
      <w:rPr>
        <w:rFonts w:ascii="Symbol" w:hAnsi="Symbol"/>
      </w:rPr>
    </w:lvl>
    <w:lvl w:ilvl="4" w:tplc="14CEAB5C">
      <w:start w:val="1"/>
      <w:numFmt w:val="bullet"/>
      <w:lvlText w:val="o"/>
      <w:lvlJc w:val="left"/>
      <w:pPr>
        <w:tabs>
          <w:tab w:val="num" w:pos="3600"/>
        </w:tabs>
        <w:ind w:left="3600" w:hanging="360"/>
      </w:pPr>
      <w:rPr>
        <w:rFonts w:ascii="Courier New" w:hAnsi="Courier New"/>
      </w:rPr>
    </w:lvl>
    <w:lvl w:ilvl="5" w:tplc="95B24B38">
      <w:start w:val="1"/>
      <w:numFmt w:val="bullet"/>
      <w:lvlText w:val=""/>
      <w:lvlJc w:val="left"/>
      <w:pPr>
        <w:tabs>
          <w:tab w:val="num" w:pos="4320"/>
        </w:tabs>
        <w:ind w:left="4320" w:hanging="360"/>
      </w:pPr>
      <w:rPr>
        <w:rFonts w:ascii="Wingdings" w:hAnsi="Wingdings"/>
      </w:rPr>
    </w:lvl>
    <w:lvl w:ilvl="6" w:tplc="037ACC34">
      <w:start w:val="1"/>
      <w:numFmt w:val="bullet"/>
      <w:lvlText w:val=""/>
      <w:lvlJc w:val="left"/>
      <w:pPr>
        <w:tabs>
          <w:tab w:val="num" w:pos="5040"/>
        </w:tabs>
        <w:ind w:left="5040" w:hanging="360"/>
      </w:pPr>
      <w:rPr>
        <w:rFonts w:ascii="Symbol" w:hAnsi="Symbol"/>
      </w:rPr>
    </w:lvl>
    <w:lvl w:ilvl="7" w:tplc="75441D58">
      <w:start w:val="1"/>
      <w:numFmt w:val="bullet"/>
      <w:lvlText w:val="o"/>
      <w:lvlJc w:val="left"/>
      <w:pPr>
        <w:tabs>
          <w:tab w:val="num" w:pos="5760"/>
        </w:tabs>
        <w:ind w:left="5760" w:hanging="360"/>
      </w:pPr>
      <w:rPr>
        <w:rFonts w:ascii="Courier New" w:hAnsi="Courier New"/>
      </w:rPr>
    </w:lvl>
    <w:lvl w:ilvl="8" w:tplc="307209DC">
      <w:start w:val="1"/>
      <w:numFmt w:val="bullet"/>
      <w:lvlText w:val=""/>
      <w:lvlJc w:val="left"/>
      <w:pPr>
        <w:tabs>
          <w:tab w:val="num" w:pos="6480"/>
        </w:tabs>
        <w:ind w:left="6480" w:hanging="360"/>
      </w:pPr>
      <w:rPr>
        <w:rFonts w:ascii="Wingdings" w:hAnsi="Wingdings"/>
      </w:rPr>
    </w:lvl>
  </w:abstractNum>
  <w:abstractNum w:abstractNumId="959" w15:restartNumberingAfterBreak="0">
    <w:nsid w:val="72230881"/>
    <w:multiLevelType w:val="hybridMultilevel"/>
    <w:tmpl w:val="72230881"/>
    <w:lvl w:ilvl="0" w:tplc="DF94D7D2">
      <w:start w:val="1"/>
      <w:numFmt w:val="bullet"/>
      <w:lvlText w:val=""/>
      <w:lvlJc w:val="left"/>
      <w:pPr>
        <w:ind w:left="720" w:hanging="360"/>
      </w:pPr>
      <w:rPr>
        <w:rFonts w:ascii="Symbol" w:hAnsi="Symbol"/>
      </w:rPr>
    </w:lvl>
    <w:lvl w:ilvl="1" w:tplc="1BD898B6">
      <w:start w:val="1"/>
      <w:numFmt w:val="bullet"/>
      <w:lvlText w:val="o"/>
      <w:lvlJc w:val="left"/>
      <w:pPr>
        <w:tabs>
          <w:tab w:val="num" w:pos="1440"/>
        </w:tabs>
        <w:ind w:left="1440" w:hanging="360"/>
      </w:pPr>
      <w:rPr>
        <w:rFonts w:ascii="Courier New" w:hAnsi="Courier New"/>
      </w:rPr>
    </w:lvl>
    <w:lvl w:ilvl="2" w:tplc="EEC2111C">
      <w:start w:val="1"/>
      <w:numFmt w:val="bullet"/>
      <w:lvlText w:val=""/>
      <w:lvlJc w:val="left"/>
      <w:pPr>
        <w:tabs>
          <w:tab w:val="num" w:pos="2160"/>
        </w:tabs>
        <w:ind w:left="2160" w:hanging="360"/>
      </w:pPr>
      <w:rPr>
        <w:rFonts w:ascii="Wingdings" w:hAnsi="Wingdings"/>
      </w:rPr>
    </w:lvl>
    <w:lvl w:ilvl="3" w:tplc="BB80A71E">
      <w:start w:val="1"/>
      <w:numFmt w:val="bullet"/>
      <w:lvlText w:val=""/>
      <w:lvlJc w:val="left"/>
      <w:pPr>
        <w:tabs>
          <w:tab w:val="num" w:pos="2880"/>
        </w:tabs>
        <w:ind w:left="2880" w:hanging="360"/>
      </w:pPr>
      <w:rPr>
        <w:rFonts w:ascii="Symbol" w:hAnsi="Symbol"/>
      </w:rPr>
    </w:lvl>
    <w:lvl w:ilvl="4" w:tplc="94DA1162">
      <w:start w:val="1"/>
      <w:numFmt w:val="bullet"/>
      <w:lvlText w:val="o"/>
      <w:lvlJc w:val="left"/>
      <w:pPr>
        <w:tabs>
          <w:tab w:val="num" w:pos="3600"/>
        </w:tabs>
        <w:ind w:left="3600" w:hanging="360"/>
      </w:pPr>
      <w:rPr>
        <w:rFonts w:ascii="Courier New" w:hAnsi="Courier New"/>
      </w:rPr>
    </w:lvl>
    <w:lvl w:ilvl="5" w:tplc="51D83524">
      <w:start w:val="1"/>
      <w:numFmt w:val="bullet"/>
      <w:lvlText w:val=""/>
      <w:lvlJc w:val="left"/>
      <w:pPr>
        <w:tabs>
          <w:tab w:val="num" w:pos="4320"/>
        </w:tabs>
        <w:ind w:left="4320" w:hanging="360"/>
      </w:pPr>
      <w:rPr>
        <w:rFonts w:ascii="Wingdings" w:hAnsi="Wingdings"/>
      </w:rPr>
    </w:lvl>
    <w:lvl w:ilvl="6" w:tplc="128A9248">
      <w:start w:val="1"/>
      <w:numFmt w:val="bullet"/>
      <w:lvlText w:val=""/>
      <w:lvlJc w:val="left"/>
      <w:pPr>
        <w:tabs>
          <w:tab w:val="num" w:pos="5040"/>
        </w:tabs>
        <w:ind w:left="5040" w:hanging="360"/>
      </w:pPr>
      <w:rPr>
        <w:rFonts w:ascii="Symbol" w:hAnsi="Symbol"/>
      </w:rPr>
    </w:lvl>
    <w:lvl w:ilvl="7" w:tplc="49AA6084">
      <w:start w:val="1"/>
      <w:numFmt w:val="bullet"/>
      <w:lvlText w:val="o"/>
      <w:lvlJc w:val="left"/>
      <w:pPr>
        <w:tabs>
          <w:tab w:val="num" w:pos="5760"/>
        </w:tabs>
        <w:ind w:left="5760" w:hanging="360"/>
      </w:pPr>
      <w:rPr>
        <w:rFonts w:ascii="Courier New" w:hAnsi="Courier New"/>
      </w:rPr>
    </w:lvl>
    <w:lvl w:ilvl="8" w:tplc="13F866E4">
      <w:start w:val="1"/>
      <w:numFmt w:val="bullet"/>
      <w:lvlText w:val=""/>
      <w:lvlJc w:val="left"/>
      <w:pPr>
        <w:tabs>
          <w:tab w:val="num" w:pos="6480"/>
        </w:tabs>
        <w:ind w:left="6480" w:hanging="360"/>
      </w:pPr>
      <w:rPr>
        <w:rFonts w:ascii="Wingdings" w:hAnsi="Wingdings"/>
      </w:rPr>
    </w:lvl>
  </w:abstractNum>
  <w:abstractNum w:abstractNumId="960" w15:restartNumberingAfterBreak="0">
    <w:nsid w:val="72230882"/>
    <w:multiLevelType w:val="hybridMultilevel"/>
    <w:tmpl w:val="72230882"/>
    <w:lvl w:ilvl="0" w:tplc="0F98866C">
      <w:start w:val="1"/>
      <w:numFmt w:val="bullet"/>
      <w:lvlText w:val=""/>
      <w:lvlJc w:val="left"/>
      <w:pPr>
        <w:ind w:left="720" w:hanging="360"/>
      </w:pPr>
      <w:rPr>
        <w:rFonts w:ascii="Symbol" w:hAnsi="Symbol"/>
      </w:rPr>
    </w:lvl>
    <w:lvl w:ilvl="1" w:tplc="4120E13C">
      <w:start w:val="1"/>
      <w:numFmt w:val="bullet"/>
      <w:lvlText w:val="o"/>
      <w:lvlJc w:val="left"/>
      <w:pPr>
        <w:tabs>
          <w:tab w:val="num" w:pos="1440"/>
        </w:tabs>
        <w:ind w:left="1440" w:hanging="360"/>
      </w:pPr>
      <w:rPr>
        <w:rFonts w:ascii="Courier New" w:hAnsi="Courier New"/>
      </w:rPr>
    </w:lvl>
    <w:lvl w:ilvl="2" w:tplc="5540EE30">
      <w:start w:val="1"/>
      <w:numFmt w:val="bullet"/>
      <w:lvlText w:val=""/>
      <w:lvlJc w:val="left"/>
      <w:pPr>
        <w:tabs>
          <w:tab w:val="num" w:pos="2160"/>
        </w:tabs>
        <w:ind w:left="2160" w:hanging="360"/>
      </w:pPr>
      <w:rPr>
        <w:rFonts w:ascii="Wingdings" w:hAnsi="Wingdings"/>
      </w:rPr>
    </w:lvl>
    <w:lvl w:ilvl="3" w:tplc="651C6290">
      <w:start w:val="1"/>
      <w:numFmt w:val="bullet"/>
      <w:lvlText w:val=""/>
      <w:lvlJc w:val="left"/>
      <w:pPr>
        <w:tabs>
          <w:tab w:val="num" w:pos="2880"/>
        </w:tabs>
        <w:ind w:left="2880" w:hanging="360"/>
      </w:pPr>
      <w:rPr>
        <w:rFonts w:ascii="Symbol" w:hAnsi="Symbol"/>
      </w:rPr>
    </w:lvl>
    <w:lvl w:ilvl="4" w:tplc="A8EAC2EE">
      <w:start w:val="1"/>
      <w:numFmt w:val="bullet"/>
      <w:lvlText w:val="o"/>
      <w:lvlJc w:val="left"/>
      <w:pPr>
        <w:tabs>
          <w:tab w:val="num" w:pos="3600"/>
        </w:tabs>
        <w:ind w:left="3600" w:hanging="360"/>
      </w:pPr>
      <w:rPr>
        <w:rFonts w:ascii="Courier New" w:hAnsi="Courier New"/>
      </w:rPr>
    </w:lvl>
    <w:lvl w:ilvl="5" w:tplc="AF5C0B54">
      <w:start w:val="1"/>
      <w:numFmt w:val="bullet"/>
      <w:lvlText w:val=""/>
      <w:lvlJc w:val="left"/>
      <w:pPr>
        <w:tabs>
          <w:tab w:val="num" w:pos="4320"/>
        </w:tabs>
        <w:ind w:left="4320" w:hanging="360"/>
      </w:pPr>
      <w:rPr>
        <w:rFonts w:ascii="Wingdings" w:hAnsi="Wingdings"/>
      </w:rPr>
    </w:lvl>
    <w:lvl w:ilvl="6" w:tplc="E3F01760">
      <w:start w:val="1"/>
      <w:numFmt w:val="bullet"/>
      <w:lvlText w:val=""/>
      <w:lvlJc w:val="left"/>
      <w:pPr>
        <w:tabs>
          <w:tab w:val="num" w:pos="5040"/>
        </w:tabs>
        <w:ind w:left="5040" w:hanging="360"/>
      </w:pPr>
      <w:rPr>
        <w:rFonts w:ascii="Symbol" w:hAnsi="Symbol"/>
      </w:rPr>
    </w:lvl>
    <w:lvl w:ilvl="7" w:tplc="FD9A807E">
      <w:start w:val="1"/>
      <w:numFmt w:val="bullet"/>
      <w:lvlText w:val="o"/>
      <w:lvlJc w:val="left"/>
      <w:pPr>
        <w:tabs>
          <w:tab w:val="num" w:pos="5760"/>
        </w:tabs>
        <w:ind w:left="5760" w:hanging="360"/>
      </w:pPr>
      <w:rPr>
        <w:rFonts w:ascii="Courier New" w:hAnsi="Courier New"/>
      </w:rPr>
    </w:lvl>
    <w:lvl w:ilvl="8" w:tplc="F38002AE">
      <w:start w:val="1"/>
      <w:numFmt w:val="bullet"/>
      <w:lvlText w:val=""/>
      <w:lvlJc w:val="left"/>
      <w:pPr>
        <w:tabs>
          <w:tab w:val="num" w:pos="6480"/>
        </w:tabs>
        <w:ind w:left="6480" w:hanging="360"/>
      </w:pPr>
      <w:rPr>
        <w:rFonts w:ascii="Wingdings" w:hAnsi="Wingdings"/>
      </w:rPr>
    </w:lvl>
  </w:abstractNum>
  <w:abstractNum w:abstractNumId="961" w15:restartNumberingAfterBreak="0">
    <w:nsid w:val="72230883"/>
    <w:multiLevelType w:val="hybridMultilevel"/>
    <w:tmpl w:val="72230883"/>
    <w:lvl w:ilvl="0" w:tplc="5038C8EA">
      <w:start w:val="1"/>
      <w:numFmt w:val="bullet"/>
      <w:lvlText w:val=""/>
      <w:lvlJc w:val="left"/>
      <w:pPr>
        <w:tabs>
          <w:tab w:val="num" w:pos="720"/>
        </w:tabs>
        <w:ind w:left="720" w:hanging="360"/>
      </w:pPr>
      <w:rPr>
        <w:rFonts w:ascii="Symbol" w:hAnsi="Symbol"/>
      </w:rPr>
    </w:lvl>
    <w:lvl w:ilvl="1" w:tplc="3D9038BE">
      <w:start w:val="1"/>
      <w:numFmt w:val="bullet"/>
      <w:lvlText w:val="o"/>
      <w:lvlJc w:val="left"/>
      <w:pPr>
        <w:tabs>
          <w:tab w:val="num" w:pos="1440"/>
        </w:tabs>
        <w:ind w:left="1440" w:hanging="360"/>
      </w:pPr>
      <w:rPr>
        <w:rFonts w:ascii="Courier New" w:hAnsi="Courier New"/>
      </w:rPr>
    </w:lvl>
    <w:lvl w:ilvl="2" w:tplc="4DC60E22">
      <w:start w:val="1"/>
      <w:numFmt w:val="bullet"/>
      <w:lvlText w:val=""/>
      <w:lvlJc w:val="left"/>
      <w:pPr>
        <w:tabs>
          <w:tab w:val="num" w:pos="2160"/>
        </w:tabs>
        <w:ind w:left="2160" w:hanging="360"/>
      </w:pPr>
      <w:rPr>
        <w:rFonts w:ascii="Wingdings" w:hAnsi="Wingdings"/>
      </w:rPr>
    </w:lvl>
    <w:lvl w:ilvl="3" w:tplc="8DB25B08">
      <w:start w:val="1"/>
      <w:numFmt w:val="bullet"/>
      <w:lvlText w:val=""/>
      <w:lvlJc w:val="left"/>
      <w:pPr>
        <w:tabs>
          <w:tab w:val="num" w:pos="2880"/>
        </w:tabs>
        <w:ind w:left="2880" w:hanging="360"/>
      </w:pPr>
      <w:rPr>
        <w:rFonts w:ascii="Symbol" w:hAnsi="Symbol"/>
      </w:rPr>
    </w:lvl>
    <w:lvl w:ilvl="4" w:tplc="AAAABDAA">
      <w:start w:val="1"/>
      <w:numFmt w:val="bullet"/>
      <w:lvlText w:val="o"/>
      <w:lvlJc w:val="left"/>
      <w:pPr>
        <w:tabs>
          <w:tab w:val="num" w:pos="3600"/>
        </w:tabs>
        <w:ind w:left="3600" w:hanging="360"/>
      </w:pPr>
      <w:rPr>
        <w:rFonts w:ascii="Courier New" w:hAnsi="Courier New"/>
      </w:rPr>
    </w:lvl>
    <w:lvl w:ilvl="5" w:tplc="BCE2CBFE">
      <w:start w:val="1"/>
      <w:numFmt w:val="bullet"/>
      <w:lvlText w:val=""/>
      <w:lvlJc w:val="left"/>
      <w:pPr>
        <w:tabs>
          <w:tab w:val="num" w:pos="4320"/>
        </w:tabs>
        <w:ind w:left="4320" w:hanging="360"/>
      </w:pPr>
      <w:rPr>
        <w:rFonts w:ascii="Wingdings" w:hAnsi="Wingdings"/>
      </w:rPr>
    </w:lvl>
    <w:lvl w:ilvl="6" w:tplc="8D28C402">
      <w:start w:val="1"/>
      <w:numFmt w:val="bullet"/>
      <w:lvlText w:val=""/>
      <w:lvlJc w:val="left"/>
      <w:pPr>
        <w:tabs>
          <w:tab w:val="num" w:pos="5040"/>
        </w:tabs>
        <w:ind w:left="5040" w:hanging="360"/>
      </w:pPr>
      <w:rPr>
        <w:rFonts w:ascii="Symbol" w:hAnsi="Symbol"/>
      </w:rPr>
    </w:lvl>
    <w:lvl w:ilvl="7" w:tplc="0CD6ECA0">
      <w:start w:val="1"/>
      <w:numFmt w:val="bullet"/>
      <w:lvlText w:val="o"/>
      <w:lvlJc w:val="left"/>
      <w:pPr>
        <w:tabs>
          <w:tab w:val="num" w:pos="5760"/>
        </w:tabs>
        <w:ind w:left="5760" w:hanging="360"/>
      </w:pPr>
      <w:rPr>
        <w:rFonts w:ascii="Courier New" w:hAnsi="Courier New"/>
      </w:rPr>
    </w:lvl>
    <w:lvl w:ilvl="8" w:tplc="5EC41E2E">
      <w:start w:val="1"/>
      <w:numFmt w:val="bullet"/>
      <w:lvlText w:val=""/>
      <w:lvlJc w:val="left"/>
      <w:pPr>
        <w:tabs>
          <w:tab w:val="num" w:pos="6480"/>
        </w:tabs>
        <w:ind w:left="6480" w:hanging="360"/>
      </w:pPr>
      <w:rPr>
        <w:rFonts w:ascii="Wingdings" w:hAnsi="Wingdings"/>
      </w:rPr>
    </w:lvl>
  </w:abstractNum>
  <w:abstractNum w:abstractNumId="962" w15:restartNumberingAfterBreak="0">
    <w:nsid w:val="72230884"/>
    <w:multiLevelType w:val="hybridMultilevel"/>
    <w:tmpl w:val="72230884"/>
    <w:lvl w:ilvl="0" w:tplc="72D6D914">
      <w:start w:val="1"/>
      <w:numFmt w:val="bullet"/>
      <w:lvlText w:val=""/>
      <w:lvlJc w:val="left"/>
      <w:pPr>
        <w:tabs>
          <w:tab w:val="num" w:pos="720"/>
        </w:tabs>
        <w:ind w:left="720" w:hanging="360"/>
      </w:pPr>
      <w:rPr>
        <w:rFonts w:ascii="Symbol" w:hAnsi="Symbol"/>
      </w:rPr>
    </w:lvl>
    <w:lvl w:ilvl="1" w:tplc="7AA44CAE">
      <w:start w:val="1"/>
      <w:numFmt w:val="bullet"/>
      <w:lvlText w:val="o"/>
      <w:lvlJc w:val="left"/>
      <w:pPr>
        <w:tabs>
          <w:tab w:val="num" w:pos="1440"/>
        </w:tabs>
        <w:ind w:left="1440" w:hanging="360"/>
      </w:pPr>
      <w:rPr>
        <w:rFonts w:ascii="Courier New" w:hAnsi="Courier New"/>
      </w:rPr>
    </w:lvl>
    <w:lvl w:ilvl="2" w:tplc="00BC8CD8">
      <w:start w:val="1"/>
      <w:numFmt w:val="bullet"/>
      <w:lvlText w:val=""/>
      <w:lvlJc w:val="left"/>
      <w:pPr>
        <w:tabs>
          <w:tab w:val="num" w:pos="2160"/>
        </w:tabs>
        <w:ind w:left="2160" w:hanging="360"/>
      </w:pPr>
      <w:rPr>
        <w:rFonts w:ascii="Wingdings" w:hAnsi="Wingdings"/>
      </w:rPr>
    </w:lvl>
    <w:lvl w:ilvl="3" w:tplc="C04E054E">
      <w:start w:val="1"/>
      <w:numFmt w:val="bullet"/>
      <w:lvlText w:val=""/>
      <w:lvlJc w:val="left"/>
      <w:pPr>
        <w:tabs>
          <w:tab w:val="num" w:pos="2880"/>
        </w:tabs>
        <w:ind w:left="2880" w:hanging="360"/>
      </w:pPr>
      <w:rPr>
        <w:rFonts w:ascii="Symbol" w:hAnsi="Symbol"/>
      </w:rPr>
    </w:lvl>
    <w:lvl w:ilvl="4" w:tplc="D6400A96">
      <w:start w:val="1"/>
      <w:numFmt w:val="bullet"/>
      <w:lvlText w:val="o"/>
      <w:lvlJc w:val="left"/>
      <w:pPr>
        <w:tabs>
          <w:tab w:val="num" w:pos="3600"/>
        </w:tabs>
        <w:ind w:left="3600" w:hanging="360"/>
      </w:pPr>
      <w:rPr>
        <w:rFonts w:ascii="Courier New" w:hAnsi="Courier New"/>
      </w:rPr>
    </w:lvl>
    <w:lvl w:ilvl="5" w:tplc="7CCAF63C">
      <w:start w:val="1"/>
      <w:numFmt w:val="bullet"/>
      <w:lvlText w:val=""/>
      <w:lvlJc w:val="left"/>
      <w:pPr>
        <w:tabs>
          <w:tab w:val="num" w:pos="4320"/>
        </w:tabs>
        <w:ind w:left="4320" w:hanging="360"/>
      </w:pPr>
      <w:rPr>
        <w:rFonts w:ascii="Wingdings" w:hAnsi="Wingdings"/>
      </w:rPr>
    </w:lvl>
    <w:lvl w:ilvl="6" w:tplc="06901764">
      <w:start w:val="1"/>
      <w:numFmt w:val="bullet"/>
      <w:lvlText w:val=""/>
      <w:lvlJc w:val="left"/>
      <w:pPr>
        <w:tabs>
          <w:tab w:val="num" w:pos="5040"/>
        </w:tabs>
        <w:ind w:left="5040" w:hanging="360"/>
      </w:pPr>
      <w:rPr>
        <w:rFonts w:ascii="Symbol" w:hAnsi="Symbol"/>
      </w:rPr>
    </w:lvl>
    <w:lvl w:ilvl="7" w:tplc="D0CCBA16">
      <w:start w:val="1"/>
      <w:numFmt w:val="bullet"/>
      <w:lvlText w:val="o"/>
      <w:lvlJc w:val="left"/>
      <w:pPr>
        <w:tabs>
          <w:tab w:val="num" w:pos="5760"/>
        </w:tabs>
        <w:ind w:left="5760" w:hanging="360"/>
      </w:pPr>
      <w:rPr>
        <w:rFonts w:ascii="Courier New" w:hAnsi="Courier New"/>
      </w:rPr>
    </w:lvl>
    <w:lvl w:ilvl="8" w:tplc="903CE8E2">
      <w:start w:val="1"/>
      <w:numFmt w:val="bullet"/>
      <w:lvlText w:val=""/>
      <w:lvlJc w:val="left"/>
      <w:pPr>
        <w:tabs>
          <w:tab w:val="num" w:pos="6480"/>
        </w:tabs>
        <w:ind w:left="6480" w:hanging="360"/>
      </w:pPr>
      <w:rPr>
        <w:rFonts w:ascii="Wingdings" w:hAnsi="Wingdings"/>
      </w:rPr>
    </w:lvl>
  </w:abstractNum>
  <w:abstractNum w:abstractNumId="963" w15:restartNumberingAfterBreak="0">
    <w:nsid w:val="72230885"/>
    <w:multiLevelType w:val="hybridMultilevel"/>
    <w:tmpl w:val="72230885"/>
    <w:lvl w:ilvl="0" w:tplc="1F3C8156">
      <w:start w:val="1"/>
      <w:numFmt w:val="bullet"/>
      <w:lvlText w:val=""/>
      <w:lvlJc w:val="left"/>
      <w:pPr>
        <w:ind w:left="720" w:hanging="360"/>
      </w:pPr>
      <w:rPr>
        <w:rFonts w:ascii="Symbol" w:hAnsi="Symbol"/>
      </w:rPr>
    </w:lvl>
    <w:lvl w:ilvl="1" w:tplc="21BEBBFC">
      <w:start w:val="1"/>
      <w:numFmt w:val="bullet"/>
      <w:lvlText w:val="o"/>
      <w:lvlJc w:val="left"/>
      <w:pPr>
        <w:tabs>
          <w:tab w:val="num" w:pos="1440"/>
        </w:tabs>
        <w:ind w:left="1440" w:hanging="360"/>
      </w:pPr>
      <w:rPr>
        <w:rFonts w:ascii="Courier New" w:hAnsi="Courier New"/>
      </w:rPr>
    </w:lvl>
    <w:lvl w:ilvl="2" w:tplc="59F69226">
      <w:start w:val="1"/>
      <w:numFmt w:val="bullet"/>
      <w:lvlText w:val=""/>
      <w:lvlJc w:val="left"/>
      <w:pPr>
        <w:tabs>
          <w:tab w:val="num" w:pos="2160"/>
        </w:tabs>
        <w:ind w:left="2160" w:hanging="360"/>
      </w:pPr>
      <w:rPr>
        <w:rFonts w:ascii="Wingdings" w:hAnsi="Wingdings"/>
      </w:rPr>
    </w:lvl>
    <w:lvl w:ilvl="3" w:tplc="28B279C0">
      <w:start w:val="1"/>
      <w:numFmt w:val="bullet"/>
      <w:lvlText w:val=""/>
      <w:lvlJc w:val="left"/>
      <w:pPr>
        <w:tabs>
          <w:tab w:val="num" w:pos="2880"/>
        </w:tabs>
        <w:ind w:left="2880" w:hanging="360"/>
      </w:pPr>
      <w:rPr>
        <w:rFonts w:ascii="Symbol" w:hAnsi="Symbol"/>
      </w:rPr>
    </w:lvl>
    <w:lvl w:ilvl="4" w:tplc="16DEC930">
      <w:start w:val="1"/>
      <w:numFmt w:val="bullet"/>
      <w:lvlText w:val="o"/>
      <w:lvlJc w:val="left"/>
      <w:pPr>
        <w:tabs>
          <w:tab w:val="num" w:pos="3600"/>
        </w:tabs>
        <w:ind w:left="3600" w:hanging="360"/>
      </w:pPr>
      <w:rPr>
        <w:rFonts w:ascii="Courier New" w:hAnsi="Courier New"/>
      </w:rPr>
    </w:lvl>
    <w:lvl w:ilvl="5" w:tplc="DE760D90">
      <w:start w:val="1"/>
      <w:numFmt w:val="bullet"/>
      <w:lvlText w:val=""/>
      <w:lvlJc w:val="left"/>
      <w:pPr>
        <w:tabs>
          <w:tab w:val="num" w:pos="4320"/>
        </w:tabs>
        <w:ind w:left="4320" w:hanging="360"/>
      </w:pPr>
      <w:rPr>
        <w:rFonts w:ascii="Wingdings" w:hAnsi="Wingdings"/>
      </w:rPr>
    </w:lvl>
    <w:lvl w:ilvl="6" w:tplc="9D36CD3E">
      <w:start w:val="1"/>
      <w:numFmt w:val="bullet"/>
      <w:lvlText w:val=""/>
      <w:lvlJc w:val="left"/>
      <w:pPr>
        <w:tabs>
          <w:tab w:val="num" w:pos="5040"/>
        </w:tabs>
        <w:ind w:left="5040" w:hanging="360"/>
      </w:pPr>
      <w:rPr>
        <w:rFonts w:ascii="Symbol" w:hAnsi="Symbol"/>
      </w:rPr>
    </w:lvl>
    <w:lvl w:ilvl="7" w:tplc="69A0C01E">
      <w:start w:val="1"/>
      <w:numFmt w:val="bullet"/>
      <w:lvlText w:val="o"/>
      <w:lvlJc w:val="left"/>
      <w:pPr>
        <w:tabs>
          <w:tab w:val="num" w:pos="5760"/>
        </w:tabs>
        <w:ind w:left="5760" w:hanging="360"/>
      </w:pPr>
      <w:rPr>
        <w:rFonts w:ascii="Courier New" w:hAnsi="Courier New"/>
      </w:rPr>
    </w:lvl>
    <w:lvl w:ilvl="8" w:tplc="B5645120">
      <w:start w:val="1"/>
      <w:numFmt w:val="bullet"/>
      <w:lvlText w:val=""/>
      <w:lvlJc w:val="left"/>
      <w:pPr>
        <w:tabs>
          <w:tab w:val="num" w:pos="6480"/>
        </w:tabs>
        <w:ind w:left="6480" w:hanging="360"/>
      </w:pPr>
      <w:rPr>
        <w:rFonts w:ascii="Wingdings" w:hAnsi="Wingdings"/>
      </w:rPr>
    </w:lvl>
  </w:abstractNum>
  <w:abstractNum w:abstractNumId="964" w15:restartNumberingAfterBreak="0">
    <w:nsid w:val="72230886"/>
    <w:multiLevelType w:val="hybridMultilevel"/>
    <w:tmpl w:val="72230886"/>
    <w:lvl w:ilvl="0" w:tplc="03F64852">
      <w:start w:val="1"/>
      <w:numFmt w:val="bullet"/>
      <w:lvlText w:val=""/>
      <w:lvlJc w:val="left"/>
      <w:pPr>
        <w:ind w:left="720" w:hanging="360"/>
      </w:pPr>
      <w:rPr>
        <w:rFonts w:ascii="Symbol" w:hAnsi="Symbol"/>
      </w:rPr>
    </w:lvl>
    <w:lvl w:ilvl="1" w:tplc="C226CAEC">
      <w:start w:val="1"/>
      <w:numFmt w:val="bullet"/>
      <w:lvlText w:val="o"/>
      <w:lvlJc w:val="left"/>
      <w:pPr>
        <w:tabs>
          <w:tab w:val="num" w:pos="1440"/>
        </w:tabs>
        <w:ind w:left="1440" w:hanging="360"/>
      </w:pPr>
      <w:rPr>
        <w:rFonts w:ascii="Courier New" w:hAnsi="Courier New"/>
      </w:rPr>
    </w:lvl>
    <w:lvl w:ilvl="2" w:tplc="7D9EBDFA">
      <w:start w:val="1"/>
      <w:numFmt w:val="bullet"/>
      <w:lvlText w:val=""/>
      <w:lvlJc w:val="left"/>
      <w:pPr>
        <w:tabs>
          <w:tab w:val="num" w:pos="2160"/>
        </w:tabs>
        <w:ind w:left="2160" w:hanging="360"/>
      </w:pPr>
      <w:rPr>
        <w:rFonts w:ascii="Wingdings" w:hAnsi="Wingdings"/>
      </w:rPr>
    </w:lvl>
    <w:lvl w:ilvl="3" w:tplc="D376E88A">
      <w:start w:val="1"/>
      <w:numFmt w:val="bullet"/>
      <w:lvlText w:val=""/>
      <w:lvlJc w:val="left"/>
      <w:pPr>
        <w:tabs>
          <w:tab w:val="num" w:pos="2880"/>
        </w:tabs>
        <w:ind w:left="2880" w:hanging="360"/>
      </w:pPr>
      <w:rPr>
        <w:rFonts w:ascii="Symbol" w:hAnsi="Symbol"/>
      </w:rPr>
    </w:lvl>
    <w:lvl w:ilvl="4" w:tplc="A9CA17B6">
      <w:start w:val="1"/>
      <w:numFmt w:val="bullet"/>
      <w:lvlText w:val="o"/>
      <w:lvlJc w:val="left"/>
      <w:pPr>
        <w:tabs>
          <w:tab w:val="num" w:pos="3600"/>
        </w:tabs>
        <w:ind w:left="3600" w:hanging="360"/>
      </w:pPr>
      <w:rPr>
        <w:rFonts w:ascii="Courier New" w:hAnsi="Courier New"/>
      </w:rPr>
    </w:lvl>
    <w:lvl w:ilvl="5" w:tplc="12A8FD9C">
      <w:start w:val="1"/>
      <w:numFmt w:val="bullet"/>
      <w:lvlText w:val=""/>
      <w:lvlJc w:val="left"/>
      <w:pPr>
        <w:tabs>
          <w:tab w:val="num" w:pos="4320"/>
        </w:tabs>
        <w:ind w:left="4320" w:hanging="360"/>
      </w:pPr>
      <w:rPr>
        <w:rFonts w:ascii="Wingdings" w:hAnsi="Wingdings"/>
      </w:rPr>
    </w:lvl>
    <w:lvl w:ilvl="6" w:tplc="F2706814">
      <w:start w:val="1"/>
      <w:numFmt w:val="bullet"/>
      <w:lvlText w:val=""/>
      <w:lvlJc w:val="left"/>
      <w:pPr>
        <w:tabs>
          <w:tab w:val="num" w:pos="5040"/>
        </w:tabs>
        <w:ind w:left="5040" w:hanging="360"/>
      </w:pPr>
      <w:rPr>
        <w:rFonts w:ascii="Symbol" w:hAnsi="Symbol"/>
      </w:rPr>
    </w:lvl>
    <w:lvl w:ilvl="7" w:tplc="326471CE">
      <w:start w:val="1"/>
      <w:numFmt w:val="bullet"/>
      <w:lvlText w:val="o"/>
      <w:lvlJc w:val="left"/>
      <w:pPr>
        <w:tabs>
          <w:tab w:val="num" w:pos="5760"/>
        </w:tabs>
        <w:ind w:left="5760" w:hanging="360"/>
      </w:pPr>
      <w:rPr>
        <w:rFonts w:ascii="Courier New" w:hAnsi="Courier New"/>
      </w:rPr>
    </w:lvl>
    <w:lvl w:ilvl="8" w:tplc="5F72F73E">
      <w:start w:val="1"/>
      <w:numFmt w:val="bullet"/>
      <w:lvlText w:val=""/>
      <w:lvlJc w:val="left"/>
      <w:pPr>
        <w:tabs>
          <w:tab w:val="num" w:pos="6480"/>
        </w:tabs>
        <w:ind w:left="6480" w:hanging="360"/>
      </w:pPr>
      <w:rPr>
        <w:rFonts w:ascii="Wingdings" w:hAnsi="Wingdings"/>
      </w:rPr>
    </w:lvl>
  </w:abstractNum>
  <w:abstractNum w:abstractNumId="965" w15:restartNumberingAfterBreak="0">
    <w:nsid w:val="72230887"/>
    <w:multiLevelType w:val="hybridMultilevel"/>
    <w:tmpl w:val="72230887"/>
    <w:lvl w:ilvl="0" w:tplc="DF3EF3FE">
      <w:start w:val="1"/>
      <w:numFmt w:val="bullet"/>
      <w:lvlText w:val=""/>
      <w:lvlJc w:val="left"/>
      <w:pPr>
        <w:ind w:left="720" w:hanging="360"/>
      </w:pPr>
      <w:rPr>
        <w:rFonts w:ascii="Symbol" w:hAnsi="Symbol"/>
      </w:rPr>
    </w:lvl>
    <w:lvl w:ilvl="1" w:tplc="087A94B2">
      <w:start w:val="1"/>
      <w:numFmt w:val="bullet"/>
      <w:lvlText w:val="o"/>
      <w:lvlJc w:val="left"/>
      <w:pPr>
        <w:tabs>
          <w:tab w:val="num" w:pos="1440"/>
        </w:tabs>
        <w:ind w:left="1440" w:hanging="360"/>
      </w:pPr>
      <w:rPr>
        <w:rFonts w:ascii="Courier New" w:hAnsi="Courier New"/>
      </w:rPr>
    </w:lvl>
    <w:lvl w:ilvl="2" w:tplc="0B90180E">
      <w:start w:val="1"/>
      <w:numFmt w:val="bullet"/>
      <w:lvlText w:val=""/>
      <w:lvlJc w:val="left"/>
      <w:pPr>
        <w:tabs>
          <w:tab w:val="num" w:pos="2160"/>
        </w:tabs>
        <w:ind w:left="2160" w:hanging="360"/>
      </w:pPr>
      <w:rPr>
        <w:rFonts w:ascii="Wingdings" w:hAnsi="Wingdings"/>
      </w:rPr>
    </w:lvl>
    <w:lvl w:ilvl="3" w:tplc="27F66556">
      <w:start w:val="1"/>
      <w:numFmt w:val="bullet"/>
      <w:lvlText w:val=""/>
      <w:lvlJc w:val="left"/>
      <w:pPr>
        <w:tabs>
          <w:tab w:val="num" w:pos="2880"/>
        </w:tabs>
        <w:ind w:left="2880" w:hanging="360"/>
      </w:pPr>
      <w:rPr>
        <w:rFonts w:ascii="Symbol" w:hAnsi="Symbol"/>
      </w:rPr>
    </w:lvl>
    <w:lvl w:ilvl="4" w:tplc="2F148370">
      <w:start w:val="1"/>
      <w:numFmt w:val="bullet"/>
      <w:lvlText w:val="o"/>
      <w:lvlJc w:val="left"/>
      <w:pPr>
        <w:tabs>
          <w:tab w:val="num" w:pos="3600"/>
        </w:tabs>
        <w:ind w:left="3600" w:hanging="360"/>
      </w:pPr>
      <w:rPr>
        <w:rFonts w:ascii="Courier New" w:hAnsi="Courier New"/>
      </w:rPr>
    </w:lvl>
    <w:lvl w:ilvl="5" w:tplc="EFF40014">
      <w:start w:val="1"/>
      <w:numFmt w:val="bullet"/>
      <w:lvlText w:val=""/>
      <w:lvlJc w:val="left"/>
      <w:pPr>
        <w:tabs>
          <w:tab w:val="num" w:pos="4320"/>
        </w:tabs>
        <w:ind w:left="4320" w:hanging="360"/>
      </w:pPr>
      <w:rPr>
        <w:rFonts w:ascii="Wingdings" w:hAnsi="Wingdings"/>
      </w:rPr>
    </w:lvl>
    <w:lvl w:ilvl="6" w:tplc="46885ED4">
      <w:start w:val="1"/>
      <w:numFmt w:val="bullet"/>
      <w:lvlText w:val=""/>
      <w:lvlJc w:val="left"/>
      <w:pPr>
        <w:tabs>
          <w:tab w:val="num" w:pos="5040"/>
        </w:tabs>
        <w:ind w:left="5040" w:hanging="360"/>
      </w:pPr>
      <w:rPr>
        <w:rFonts w:ascii="Symbol" w:hAnsi="Symbol"/>
      </w:rPr>
    </w:lvl>
    <w:lvl w:ilvl="7" w:tplc="61B25BE8">
      <w:start w:val="1"/>
      <w:numFmt w:val="bullet"/>
      <w:lvlText w:val="o"/>
      <w:lvlJc w:val="left"/>
      <w:pPr>
        <w:tabs>
          <w:tab w:val="num" w:pos="5760"/>
        </w:tabs>
        <w:ind w:left="5760" w:hanging="360"/>
      </w:pPr>
      <w:rPr>
        <w:rFonts w:ascii="Courier New" w:hAnsi="Courier New"/>
      </w:rPr>
    </w:lvl>
    <w:lvl w:ilvl="8" w:tplc="2A92A81A">
      <w:start w:val="1"/>
      <w:numFmt w:val="bullet"/>
      <w:lvlText w:val=""/>
      <w:lvlJc w:val="left"/>
      <w:pPr>
        <w:tabs>
          <w:tab w:val="num" w:pos="6480"/>
        </w:tabs>
        <w:ind w:left="6480" w:hanging="360"/>
      </w:pPr>
      <w:rPr>
        <w:rFonts w:ascii="Wingdings" w:hAnsi="Wingdings"/>
      </w:rPr>
    </w:lvl>
  </w:abstractNum>
  <w:abstractNum w:abstractNumId="966" w15:restartNumberingAfterBreak="0">
    <w:nsid w:val="72230888"/>
    <w:multiLevelType w:val="hybridMultilevel"/>
    <w:tmpl w:val="72230888"/>
    <w:lvl w:ilvl="0" w:tplc="3BEAFE48">
      <w:start w:val="1"/>
      <w:numFmt w:val="bullet"/>
      <w:lvlText w:val=""/>
      <w:lvlJc w:val="left"/>
      <w:pPr>
        <w:tabs>
          <w:tab w:val="num" w:pos="720"/>
        </w:tabs>
        <w:ind w:left="720" w:hanging="360"/>
      </w:pPr>
      <w:rPr>
        <w:rFonts w:ascii="Symbol" w:hAnsi="Symbol"/>
      </w:rPr>
    </w:lvl>
    <w:lvl w:ilvl="1" w:tplc="C068EB68">
      <w:start w:val="1"/>
      <w:numFmt w:val="bullet"/>
      <w:lvlText w:val="o"/>
      <w:lvlJc w:val="left"/>
      <w:pPr>
        <w:tabs>
          <w:tab w:val="num" w:pos="1440"/>
        </w:tabs>
        <w:ind w:left="1440" w:hanging="360"/>
      </w:pPr>
      <w:rPr>
        <w:rFonts w:ascii="Courier New" w:hAnsi="Courier New"/>
      </w:rPr>
    </w:lvl>
    <w:lvl w:ilvl="2" w:tplc="B33CB1DC">
      <w:start w:val="1"/>
      <w:numFmt w:val="bullet"/>
      <w:lvlText w:val=""/>
      <w:lvlJc w:val="left"/>
      <w:pPr>
        <w:tabs>
          <w:tab w:val="num" w:pos="2160"/>
        </w:tabs>
        <w:ind w:left="2160" w:hanging="360"/>
      </w:pPr>
      <w:rPr>
        <w:rFonts w:ascii="Wingdings" w:hAnsi="Wingdings"/>
      </w:rPr>
    </w:lvl>
    <w:lvl w:ilvl="3" w:tplc="EF460E16">
      <w:start w:val="1"/>
      <w:numFmt w:val="bullet"/>
      <w:lvlText w:val=""/>
      <w:lvlJc w:val="left"/>
      <w:pPr>
        <w:tabs>
          <w:tab w:val="num" w:pos="2880"/>
        </w:tabs>
        <w:ind w:left="2880" w:hanging="360"/>
      </w:pPr>
      <w:rPr>
        <w:rFonts w:ascii="Symbol" w:hAnsi="Symbol"/>
      </w:rPr>
    </w:lvl>
    <w:lvl w:ilvl="4" w:tplc="DB74A238">
      <w:start w:val="1"/>
      <w:numFmt w:val="bullet"/>
      <w:lvlText w:val="o"/>
      <w:lvlJc w:val="left"/>
      <w:pPr>
        <w:tabs>
          <w:tab w:val="num" w:pos="3600"/>
        </w:tabs>
        <w:ind w:left="3600" w:hanging="360"/>
      </w:pPr>
      <w:rPr>
        <w:rFonts w:ascii="Courier New" w:hAnsi="Courier New"/>
      </w:rPr>
    </w:lvl>
    <w:lvl w:ilvl="5" w:tplc="C620503E">
      <w:start w:val="1"/>
      <w:numFmt w:val="bullet"/>
      <w:lvlText w:val=""/>
      <w:lvlJc w:val="left"/>
      <w:pPr>
        <w:tabs>
          <w:tab w:val="num" w:pos="4320"/>
        </w:tabs>
        <w:ind w:left="4320" w:hanging="360"/>
      </w:pPr>
      <w:rPr>
        <w:rFonts w:ascii="Wingdings" w:hAnsi="Wingdings"/>
      </w:rPr>
    </w:lvl>
    <w:lvl w:ilvl="6" w:tplc="C34CEF6C">
      <w:start w:val="1"/>
      <w:numFmt w:val="bullet"/>
      <w:lvlText w:val=""/>
      <w:lvlJc w:val="left"/>
      <w:pPr>
        <w:tabs>
          <w:tab w:val="num" w:pos="5040"/>
        </w:tabs>
        <w:ind w:left="5040" w:hanging="360"/>
      </w:pPr>
      <w:rPr>
        <w:rFonts w:ascii="Symbol" w:hAnsi="Symbol"/>
      </w:rPr>
    </w:lvl>
    <w:lvl w:ilvl="7" w:tplc="94E8307C">
      <w:start w:val="1"/>
      <w:numFmt w:val="bullet"/>
      <w:lvlText w:val="o"/>
      <w:lvlJc w:val="left"/>
      <w:pPr>
        <w:tabs>
          <w:tab w:val="num" w:pos="5760"/>
        </w:tabs>
        <w:ind w:left="5760" w:hanging="360"/>
      </w:pPr>
      <w:rPr>
        <w:rFonts w:ascii="Courier New" w:hAnsi="Courier New"/>
      </w:rPr>
    </w:lvl>
    <w:lvl w:ilvl="8" w:tplc="72FC98FA">
      <w:start w:val="1"/>
      <w:numFmt w:val="bullet"/>
      <w:lvlText w:val=""/>
      <w:lvlJc w:val="left"/>
      <w:pPr>
        <w:tabs>
          <w:tab w:val="num" w:pos="6480"/>
        </w:tabs>
        <w:ind w:left="6480" w:hanging="360"/>
      </w:pPr>
      <w:rPr>
        <w:rFonts w:ascii="Wingdings" w:hAnsi="Wingdings"/>
      </w:rPr>
    </w:lvl>
  </w:abstractNum>
  <w:abstractNum w:abstractNumId="967" w15:restartNumberingAfterBreak="0">
    <w:nsid w:val="72230889"/>
    <w:multiLevelType w:val="hybridMultilevel"/>
    <w:tmpl w:val="72230889"/>
    <w:lvl w:ilvl="0" w:tplc="C7603BCE">
      <w:start w:val="1"/>
      <w:numFmt w:val="bullet"/>
      <w:lvlText w:val=""/>
      <w:lvlJc w:val="left"/>
      <w:pPr>
        <w:ind w:left="720" w:hanging="360"/>
      </w:pPr>
      <w:rPr>
        <w:rFonts w:ascii="Symbol" w:hAnsi="Symbol"/>
      </w:rPr>
    </w:lvl>
    <w:lvl w:ilvl="1" w:tplc="ACE2CDC0">
      <w:start w:val="1"/>
      <w:numFmt w:val="bullet"/>
      <w:lvlText w:val="o"/>
      <w:lvlJc w:val="left"/>
      <w:pPr>
        <w:tabs>
          <w:tab w:val="num" w:pos="1440"/>
        </w:tabs>
        <w:ind w:left="1440" w:hanging="360"/>
      </w:pPr>
      <w:rPr>
        <w:rFonts w:ascii="Courier New" w:hAnsi="Courier New"/>
      </w:rPr>
    </w:lvl>
    <w:lvl w:ilvl="2" w:tplc="F454FED8">
      <w:start w:val="1"/>
      <w:numFmt w:val="bullet"/>
      <w:lvlText w:val=""/>
      <w:lvlJc w:val="left"/>
      <w:pPr>
        <w:tabs>
          <w:tab w:val="num" w:pos="2160"/>
        </w:tabs>
        <w:ind w:left="2160" w:hanging="360"/>
      </w:pPr>
      <w:rPr>
        <w:rFonts w:ascii="Wingdings" w:hAnsi="Wingdings"/>
      </w:rPr>
    </w:lvl>
    <w:lvl w:ilvl="3" w:tplc="4B8EE8EE">
      <w:start w:val="1"/>
      <w:numFmt w:val="bullet"/>
      <w:lvlText w:val=""/>
      <w:lvlJc w:val="left"/>
      <w:pPr>
        <w:tabs>
          <w:tab w:val="num" w:pos="2880"/>
        </w:tabs>
        <w:ind w:left="2880" w:hanging="360"/>
      </w:pPr>
      <w:rPr>
        <w:rFonts w:ascii="Symbol" w:hAnsi="Symbol"/>
      </w:rPr>
    </w:lvl>
    <w:lvl w:ilvl="4" w:tplc="7716F94E">
      <w:start w:val="1"/>
      <w:numFmt w:val="bullet"/>
      <w:lvlText w:val="o"/>
      <w:lvlJc w:val="left"/>
      <w:pPr>
        <w:tabs>
          <w:tab w:val="num" w:pos="3600"/>
        </w:tabs>
        <w:ind w:left="3600" w:hanging="360"/>
      </w:pPr>
      <w:rPr>
        <w:rFonts w:ascii="Courier New" w:hAnsi="Courier New"/>
      </w:rPr>
    </w:lvl>
    <w:lvl w:ilvl="5" w:tplc="B3FEB6D6">
      <w:start w:val="1"/>
      <w:numFmt w:val="bullet"/>
      <w:lvlText w:val=""/>
      <w:lvlJc w:val="left"/>
      <w:pPr>
        <w:tabs>
          <w:tab w:val="num" w:pos="4320"/>
        </w:tabs>
        <w:ind w:left="4320" w:hanging="360"/>
      </w:pPr>
      <w:rPr>
        <w:rFonts w:ascii="Wingdings" w:hAnsi="Wingdings"/>
      </w:rPr>
    </w:lvl>
    <w:lvl w:ilvl="6" w:tplc="E8F457D4">
      <w:start w:val="1"/>
      <w:numFmt w:val="bullet"/>
      <w:lvlText w:val=""/>
      <w:lvlJc w:val="left"/>
      <w:pPr>
        <w:tabs>
          <w:tab w:val="num" w:pos="5040"/>
        </w:tabs>
        <w:ind w:left="5040" w:hanging="360"/>
      </w:pPr>
      <w:rPr>
        <w:rFonts w:ascii="Symbol" w:hAnsi="Symbol"/>
      </w:rPr>
    </w:lvl>
    <w:lvl w:ilvl="7" w:tplc="B7E448A6">
      <w:start w:val="1"/>
      <w:numFmt w:val="bullet"/>
      <w:lvlText w:val="o"/>
      <w:lvlJc w:val="left"/>
      <w:pPr>
        <w:tabs>
          <w:tab w:val="num" w:pos="5760"/>
        </w:tabs>
        <w:ind w:left="5760" w:hanging="360"/>
      </w:pPr>
      <w:rPr>
        <w:rFonts w:ascii="Courier New" w:hAnsi="Courier New"/>
      </w:rPr>
    </w:lvl>
    <w:lvl w:ilvl="8" w:tplc="601CAA60">
      <w:start w:val="1"/>
      <w:numFmt w:val="bullet"/>
      <w:lvlText w:val=""/>
      <w:lvlJc w:val="left"/>
      <w:pPr>
        <w:tabs>
          <w:tab w:val="num" w:pos="6480"/>
        </w:tabs>
        <w:ind w:left="6480" w:hanging="360"/>
      </w:pPr>
      <w:rPr>
        <w:rFonts w:ascii="Wingdings" w:hAnsi="Wingdings"/>
      </w:rPr>
    </w:lvl>
  </w:abstractNum>
  <w:abstractNum w:abstractNumId="968" w15:restartNumberingAfterBreak="0">
    <w:nsid w:val="7223088A"/>
    <w:multiLevelType w:val="hybridMultilevel"/>
    <w:tmpl w:val="7223088A"/>
    <w:lvl w:ilvl="0" w:tplc="06809E10">
      <w:start w:val="1"/>
      <w:numFmt w:val="bullet"/>
      <w:lvlText w:val=""/>
      <w:lvlJc w:val="left"/>
      <w:pPr>
        <w:ind w:left="720" w:hanging="360"/>
      </w:pPr>
      <w:rPr>
        <w:rFonts w:ascii="Symbol" w:hAnsi="Symbol"/>
      </w:rPr>
    </w:lvl>
    <w:lvl w:ilvl="1" w:tplc="6C322E8C">
      <w:start w:val="1"/>
      <w:numFmt w:val="bullet"/>
      <w:lvlText w:val="o"/>
      <w:lvlJc w:val="left"/>
      <w:pPr>
        <w:tabs>
          <w:tab w:val="num" w:pos="1440"/>
        </w:tabs>
        <w:ind w:left="1440" w:hanging="360"/>
      </w:pPr>
      <w:rPr>
        <w:rFonts w:ascii="Courier New" w:hAnsi="Courier New"/>
      </w:rPr>
    </w:lvl>
    <w:lvl w:ilvl="2" w:tplc="15DC15D8">
      <w:start w:val="1"/>
      <w:numFmt w:val="bullet"/>
      <w:lvlText w:val=""/>
      <w:lvlJc w:val="left"/>
      <w:pPr>
        <w:tabs>
          <w:tab w:val="num" w:pos="2160"/>
        </w:tabs>
        <w:ind w:left="2160" w:hanging="360"/>
      </w:pPr>
      <w:rPr>
        <w:rFonts w:ascii="Wingdings" w:hAnsi="Wingdings"/>
      </w:rPr>
    </w:lvl>
    <w:lvl w:ilvl="3" w:tplc="5B88C238">
      <w:start w:val="1"/>
      <w:numFmt w:val="bullet"/>
      <w:lvlText w:val=""/>
      <w:lvlJc w:val="left"/>
      <w:pPr>
        <w:tabs>
          <w:tab w:val="num" w:pos="2880"/>
        </w:tabs>
        <w:ind w:left="2880" w:hanging="360"/>
      </w:pPr>
      <w:rPr>
        <w:rFonts w:ascii="Symbol" w:hAnsi="Symbol"/>
      </w:rPr>
    </w:lvl>
    <w:lvl w:ilvl="4" w:tplc="9AF06A9E">
      <w:start w:val="1"/>
      <w:numFmt w:val="bullet"/>
      <w:lvlText w:val="o"/>
      <w:lvlJc w:val="left"/>
      <w:pPr>
        <w:tabs>
          <w:tab w:val="num" w:pos="3600"/>
        </w:tabs>
        <w:ind w:left="3600" w:hanging="360"/>
      </w:pPr>
      <w:rPr>
        <w:rFonts w:ascii="Courier New" w:hAnsi="Courier New"/>
      </w:rPr>
    </w:lvl>
    <w:lvl w:ilvl="5" w:tplc="B4D014D2">
      <w:start w:val="1"/>
      <w:numFmt w:val="bullet"/>
      <w:lvlText w:val=""/>
      <w:lvlJc w:val="left"/>
      <w:pPr>
        <w:tabs>
          <w:tab w:val="num" w:pos="4320"/>
        </w:tabs>
        <w:ind w:left="4320" w:hanging="360"/>
      </w:pPr>
      <w:rPr>
        <w:rFonts w:ascii="Wingdings" w:hAnsi="Wingdings"/>
      </w:rPr>
    </w:lvl>
    <w:lvl w:ilvl="6" w:tplc="114A8434">
      <w:start w:val="1"/>
      <w:numFmt w:val="bullet"/>
      <w:lvlText w:val=""/>
      <w:lvlJc w:val="left"/>
      <w:pPr>
        <w:tabs>
          <w:tab w:val="num" w:pos="5040"/>
        </w:tabs>
        <w:ind w:left="5040" w:hanging="360"/>
      </w:pPr>
      <w:rPr>
        <w:rFonts w:ascii="Symbol" w:hAnsi="Symbol"/>
      </w:rPr>
    </w:lvl>
    <w:lvl w:ilvl="7" w:tplc="2A6CD238">
      <w:start w:val="1"/>
      <w:numFmt w:val="bullet"/>
      <w:lvlText w:val="o"/>
      <w:lvlJc w:val="left"/>
      <w:pPr>
        <w:tabs>
          <w:tab w:val="num" w:pos="5760"/>
        </w:tabs>
        <w:ind w:left="5760" w:hanging="360"/>
      </w:pPr>
      <w:rPr>
        <w:rFonts w:ascii="Courier New" w:hAnsi="Courier New"/>
      </w:rPr>
    </w:lvl>
    <w:lvl w:ilvl="8" w:tplc="2CA638CA">
      <w:start w:val="1"/>
      <w:numFmt w:val="bullet"/>
      <w:lvlText w:val=""/>
      <w:lvlJc w:val="left"/>
      <w:pPr>
        <w:tabs>
          <w:tab w:val="num" w:pos="6480"/>
        </w:tabs>
        <w:ind w:left="6480" w:hanging="360"/>
      </w:pPr>
      <w:rPr>
        <w:rFonts w:ascii="Wingdings" w:hAnsi="Wingdings"/>
      </w:rPr>
    </w:lvl>
  </w:abstractNum>
  <w:abstractNum w:abstractNumId="969" w15:restartNumberingAfterBreak="0">
    <w:nsid w:val="7223088B"/>
    <w:multiLevelType w:val="hybridMultilevel"/>
    <w:tmpl w:val="7223088B"/>
    <w:lvl w:ilvl="0" w:tplc="C8D4F85C">
      <w:start w:val="1"/>
      <w:numFmt w:val="bullet"/>
      <w:lvlText w:val=""/>
      <w:lvlJc w:val="left"/>
      <w:pPr>
        <w:ind w:left="720" w:hanging="360"/>
      </w:pPr>
      <w:rPr>
        <w:rFonts w:ascii="Symbol" w:hAnsi="Symbol"/>
      </w:rPr>
    </w:lvl>
    <w:lvl w:ilvl="1" w:tplc="6E8C491E">
      <w:start w:val="1"/>
      <w:numFmt w:val="bullet"/>
      <w:lvlText w:val="o"/>
      <w:lvlJc w:val="left"/>
      <w:pPr>
        <w:tabs>
          <w:tab w:val="num" w:pos="1440"/>
        </w:tabs>
        <w:ind w:left="1440" w:hanging="360"/>
      </w:pPr>
      <w:rPr>
        <w:rFonts w:ascii="Courier New" w:hAnsi="Courier New"/>
      </w:rPr>
    </w:lvl>
    <w:lvl w:ilvl="2" w:tplc="9894F6AC">
      <w:start w:val="1"/>
      <w:numFmt w:val="bullet"/>
      <w:lvlText w:val=""/>
      <w:lvlJc w:val="left"/>
      <w:pPr>
        <w:tabs>
          <w:tab w:val="num" w:pos="2160"/>
        </w:tabs>
        <w:ind w:left="2160" w:hanging="360"/>
      </w:pPr>
      <w:rPr>
        <w:rFonts w:ascii="Wingdings" w:hAnsi="Wingdings"/>
      </w:rPr>
    </w:lvl>
    <w:lvl w:ilvl="3" w:tplc="AAD07554">
      <w:start w:val="1"/>
      <w:numFmt w:val="bullet"/>
      <w:lvlText w:val=""/>
      <w:lvlJc w:val="left"/>
      <w:pPr>
        <w:tabs>
          <w:tab w:val="num" w:pos="2880"/>
        </w:tabs>
        <w:ind w:left="2880" w:hanging="360"/>
      </w:pPr>
      <w:rPr>
        <w:rFonts w:ascii="Symbol" w:hAnsi="Symbol"/>
      </w:rPr>
    </w:lvl>
    <w:lvl w:ilvl="4" w:tplc="7FE602BA">
      <w:start w:val="1"/>
      <w:numFmt w:val="bullet"/>
      <w:lvlText w:val="o"/>
      <w:lvlJc w:val="left"/>
      <w:pPr>
        <w:tabs>
          <w:tab w:val="num" w:pos="3600"/>
        </w:tabs>
        <w:ind w:left="3600" w:hanging="360"/>
      </w:pPr>
      <w:rPr>
        <w:rFonts w:ascii="Courier New" w:hAnsi="Courier New"/>
      </w:rPr>
    </w:lvl>
    <w:lvl w:ilvl="5" w:tplc="FE20B430">
      <w:start w:val="1"/>
      <w:numFmt w:val="bullet"/>
      <w:lvlText w:val=""/>
      <w:lvlJc w:val="left"/>
      <w:pPr>
        <w:tabs>
          <w:tab w:val="num" w:pos="4320"/>
        </w:tabs>
        <w:ind w:left="4320" w:hanging="360"/>
      </w:pPr>
      <w:rPr>
        <w:rFonts w:ascii="Wingdings" w:hAnsi="Wingdings"/>
      </w:rPr>
    </w:lvl>
    <w:lvl w:ilvl="6" w:tplc="075CC964">
      <w:start w:val="1"/>
      <w:numFmt w:val="bullet"/>
      <w:lvlText w:val=""/>
      <w:lvlJc w:val="left"/>
      <w:pPr>
        <w:tabs>
          <w:tab w:val="num" w:pos="5040"/>
        </w:tabs>
        <w:ind w:left="5040" w:hanging="360"/>
      </w:pPr>
      <w:rPr>
        <w:rFonts w:ascii="Symbol" w:hAnsi="Symbol"/>
      </w:rPr>
    </w:lvl>
    <w:lvl w:ilvl="7" w:tplc="84541AA8">
      <w:start w:val="1"/>
      <w:numFmt w:val="bullet"/>
      <w:lvlText w:val="o"/>
      <w:lvlJc w:val="left"/>
      <w:pPr>
        <w:tabs>
          <w:tab w:val="num" w:pos="5760"/>
        </w:tabs>
        <w:ind w:left="5760" w:hanging="360"/>
      </w:pPr>
      <w:rPr>
        <w:rFonts w:ascii="Courier New" w:hAnsi="Courier New"/>
      </w:rPr>
    </w:lvl>
    <w:lvl w:ilvl="8" w:tplc="DDFCB152">
      <w:start w:val="1"/>
      <w:numFmt w:val="bullet"/>
      <w:lvlText w:val=""/>
      <w:lvlJc w:val="left"/>
      <w:pPr>
        <w:tabs>
          <w:tab w:val="num" w:pos="6480"/>
        </w:tabs>
        <w:ind w:left="6480" w:hanging="360"/>
      </w:pPr>
      <w:rPr>
        <w:rFonts w:ascii="Wingdings" w:hAnsi="Wingdings"/>
      </w:rPr>
    </w:lvl>
  </w:abstractNum>
  <w:abstractNum w:abstractNumId="970" w15:restartNumberingAfterBreak="0">
    <w:nsid w:val="7223088C"/>
    <w:multiLevelType w:val="hybridMultilevel"/>
    <w:tmpl w:val="7223088C"/>
    <w:lvl w:ilvl="0" w:tplc="50CE770C">
      <w:start w:val="1"/>
      <w:numFmt w:val="bullet"/>
      <w:lvlText w:val=""/>
      <w:lvlJc w:val="left"/>
      <w:pPr>
        <w:ind w:left="720" w:hanging="360"/>
      </w:pPr>
      <w:rPr>
        <w:rFonts w:ascii="Symbol" w:hAnsi="Symbol"/>
      </w:rPr>
    </w:lvl>
    <w:lvl w:ilvl="1" w:tplc="A9D4C6DA">
      <w:start w:val="1"/>
      <w:numFmt w:val="bullet"/>
      <w:lvlText w:val="o"/>
      <w:lvlJc w:val="left"/>
      <w:pPr>
        <w:tabs>
          <w:tab w:val="num" w:pos="1440"/>
        </w:tabs>
        <w:ind w:left="1440" w:hanging="360"/>
      </w:pPr>
      <w:rPr>
        <w:rFonts w:ascii="Courier New" w:hAnsi="Courier New"/>
      </w:rPr>
    </w:lvl>
    <w:lvl w:ilvl="2" w:tplc="43F67F90">
      <w:start w:val="1"/>
      <w:numFmt w:val="bullet"/>
      <w:lvlText w:val=""/>
      <w:lvlJc w:val="left"/>
      <w:pPr>
        <w:tabs>
          <w:tab w:val="num" w:pos="2160"/>
        </w:tabs>
        <w:ind w:left="2160" w:hanging="360"/>
      </w:pPr>
      <w:rPr>
        <w:rFonts w:ascii="Wingdings" w:hAnsi="Wingdings"/>
      </w:rPr>
    </w:lvl>
    <w:lvl w:ilvl="3" w:tplc="41D26A34">
      <w:start w:val="1"/>
      <w:numFmt w:val="bullet"/>
      <w:lvlText w:val=""/>
      <w:lvlJc w:val="left"/>
      <w:pPr>
        <w:tabs>
          <w:tab w:val="num" w:pos="2880"/>
        </w:tabs>
        <w:ind w:left="2880" w:hanging="360"/>
      </w:pPr>
      <w:rPr>
        <w:rFonts w:ascii="Symbol" w:hAnsi="Symbol"/>
      </w:rPr>
    </w:lvl>
    <w:lvl w:ilvl="4" w:tplc="E4205A3A">
      <w:start w:val="1"/>
      <w:numFmt w:val="bullet"/>
      <w:lvlText w:val="o"/>
      <w:lvlJc w:val="left"/>
      <w:pPr>
        <w:tabs>
          <w:tab w:val="num" w:pos="3600"/>
        </w:tabs>
        <w:ind w:left="3600" w:hanging="360"/>
      </w:pPr>
      <w:rPr>
        <w:rFonts w:ascii="Courier New" w:hAnsi="Courier New"/>
      </w:rPr>
    </w:lvl>
    <w:lvl w:ilvl="5" w:tplc="EC341C12">
      <w:start w:val="1"/>
      <w:numFmt w:val="bullet"/>
      <w:lvlText w:val=""/>
      <w:lvlJc w:val="left"/>
      <w:pPr>
        <w:tabs>
          <w:tab w:val="num" w:pos="4320"/>
        </w:tabs>
        <w:ind w:left="4320" w:hanging="360"/>
      </w:pPr>
      <w:rPr>
        <w:rFonts w:ascii="Wingdings" w:hAnsi="Wingdings"/>
      </w:rPr>
    </w:lvl>
    <w:lvl w:ilvl="6" w:tplc="68B41CA6">
      <w:start w:val="1"/>
      <w:numFmt w:val="bullet"/>
      <w:lvlText w:val=""/>
      <w:lvlJc w:val="left"/>
      <w:pPr>
        <w:tabs>
          <w:tab w:val="num" w:pos="5040"/>
        </w:tabs>
        <w:ind w:left="5040" w:hanging="360"/>
      </w:pPr>
      <w:rPr>
        <w:rFonts w:ascii="Symbol" w:hAnsi="Symbol"/>
      </w:rPr>
    </w:lvl>
    <w:lvl w:ilvl="7" w:tplc="94483C1C">
      <w:start w:val="1"/>
      <w:numFmt w:val="bullet"/>
      <w:lvlText w:val="o"/>
      <w:lvlJc w:val="left"/>
      <w:pPr>
        <w:tabs>
          <w:tab w:val="num" w:pos="5760"/>
        </w:tabs>
        <w:ind w:left="5760" w:hanging="360"/>
      </w:pPr>
      <w:rPr>
        <w:rFonts w:ascii="Courier New" w:hAnsi="Courier New"/>
      </w:rPr>
    </w:lvl>
    <w:lvl w:ilvl="8" w:tplc="465CC0E4">
      <w:start w:val="1"/>
      <w:numFmt w:val="bullet"/>
      <w:lvlText w:val=""/>
      <w:lvlJc w:val="left"/>
      <w:pPr>
        <w:tabs>
          <w:tab w:val="num" w:pos="6480"/>
        </w:tabs>
        <w:ind w:left="6480" w:hanging="360"/>
      </w:pPr>
      <w:rPr>
        <w:rFonts w:ascii="Wingdings" w:hAnsi="Wingdings"/>
      </w:rPr>
    </w:lvl>
  </w:abstractNum>
  <w:abstractNum w:abstractNumId="971" w15:restartNumberingAfterBreak="0">
    <w:nsid w:val="7223088D"/>
    <w:multiLevelType w:val="hybridMultilevel"/>
    <w:tmpl w:val="7223088D"/>
    <w:lvl w:ilvl="0" w:tplc="13668B2A">
      <w:start w:val="1"/>
      <w:numFmt w:val="bullet"/>
      <w:lvlText w:val=""/>
      <w:lvlJc w:val="left"/>
      <w:pPr>
        <w:ind w:left="720" w:hanging="360"/>
      </w:pPr>
      <w:rPr>
        <w:rFonts w:ascii="Symbol" w:hAnsi="Symbol"/>
      </w:rPr>
    </w:lvl>
    <w:lvl w:ilvl="1" w:tplc="70526402">
      <w:start w:val="1"/>
      <w:numFmt w:val="bullet"/>
      <w:lvlText w:val="o"/>
      <w:lvlJc w:val="left"/>
      <w:pPr>
        <w:tabs>
          <w:tab w:val="num" w:pos="1440"/>
        </w:tabs>
        <w:ind w:left="1440" w:hanging="360"/>
      </w:pPr>
      <w:rPr>
        <w:rFonts w:ascii="Courier New" w:hAnsi="Courier New"/>
      </w:rPr>
    </w:lvl>
    <w:lvl w:ilvl="2" w:tplc="1FD44FD4">
      <w:start w:val="1"/>
      <w:numFmt w:val="bullet"/>
      <w:lvlText w:val=""/>
      <w:lvlJc w:val="left"/>
      <w:pPr>
        <w:tabs>
          <w:tab w:val="num" w:pos="2160"/>
        </w:tabs>
        <w:ind w:left="2160" w:hanging="360"/>
      </w:pPr>
      <w:rPr>
        <w:rFonts w:ascii="Wingdings" w:hAnsi="Wingdings"/>
      </w:rPr>
    </w:lvl>
    <w:lvl w:ilvl="3" w:tplc="FBEACED0">
      <w:start w:val="1"/>
      <w:numFmt w:val="bullet"/>
      <w:lvlText w:val=""/>
      <w:lvlJc w:val="left"/>
      <w:pPr>
        <w:tabs>
          <w:tab w:val="num" w:pos="2880"/>
        </w:tabs>
        <w:ind w:left="2880" w:hanging="360"/>
      </w:pPr>
      <w:rPr>
        <w:rFonts w:ascii="Symbol" w:hAnsi="Symbol"/>
      </w:rPr>
    </w:lvl>
    <w:lvl w:ilvl="4" w:tplc="A386D6FA">
      <w:start w:val="1"/>
      <w:numFmt w:val="bullet"/>
      <w:lvlText w:val="o"/>
      <w:lvlJc w:val="left"/>
      <w:pPr>
        <w:tabs>
          <w:tab w:val="num" w:pos="3600"/>
        </w:tabs>
        <w:ind w:left="3600" w:hanging="360"/>
      </w:pPr>
      <w:rPr>
        <w:rFonts w:ascii="Courier New" w:hAnsi="Courier New"/>
      </w:rPr>
    </w:lvl>
    <w:lvl w:ilvl="5" w:tplc="E60AB5FC">
      <w:start w:val="1"/>
      <w:numFmt w:val="bullet"/>
      <w:lvlText w:val=""/>
      <w:lvlJc w:val="left"/>
      <w:pPr>
        <w:tabs>
          <w:tab w:val="num" w:pos="4320"/>
        </w:tabs>
        <w:ind w:left="4320" w:hanging="360"/>
      </w:pPr>
      <w:rPr>
        <w:rFonts w:ascii="Wingdings" w:hAnsi="Wingdings"/>
      </w:rPr>
    </w:lvl>
    <w:lvl w:ilvl="6" w:tplc="FA88DA50">
      <w:start w:val="1"/>
      <w:numFmt w:val="bullet"/>
      <w:lvlText w:val=""/>
      <w:lvlJc w:val="left"/>
      <w:pPr>
        <w:tabs>
          <w:tab w:val="num" w:pos="5040"/>
        </w:tabs>
        <w:ind w:left="5040" w:hanging="360"/>
      </w:pPr>
      <w:rPr>
        <w:rFonts w:ascii="Symbol" w:hAnsi="Symbol"/>
      </w:rPr>
    </w:lvl>
    <w:lvl w:ilvl="7" w:tplc="CD9C5BDE">
      <w:start w:val="1"/>
      <w:numFmt w:val="bullet"/>
      <w:lvlText w:val="o"/>
      <w:lvlJc w:val="left"/>
      <w:pPr>
        <w:tabs>
          <w:tab w:val="num" w:pos="5760"/>
        </w:tabs>
        <w:ind w:left="5760" w:hanging="360"/>
      </w:pPr>
      <w:rPr>
        <w:rFonts w:ascii="Courier New" w:hAnsi="Courier New"/>
      </w:rPr>
    </w:lvl>
    <w:lvl w:ilvl="8" w:tplc="B57860C6">
      <w:start w:val="1"/>
      <w:numFmt w:val="bullet"/>
      <w:lvlText w:val=""/>
      <w:lvlJc w:val="left"/>
      <w:pPr>
        <w:tabs>
          <w:tab w:val="num" w:pos="6480"/>
        </w:tabs>
        <w:ind w:left="6480" w:hanging="360"/>
      </w:pPr>
      <w:rPr>
        <w:rFonts w:ascii="Wingdings" w:hAnsi="Wingdings"/>
      </w:rPr>
    </w:lvl>
  </w:abstractNum>
  <w:abstractNum w:abstractNumId="972" w15:restartNumberingAfterBreak="0">
    <w:nsid w:val="7223088E"/>
    <w:multiLevelType w:val="hybridMultilevel"/>
    <w:tmpl w:val="7223088E"/>
    <w:lvl w:ilvl="0" w:tplc="75DAD18C">
      <w:start w:val="1"/>
      <w:numFmt w:val="bullet"/>
      <w:lvlText w:val=""/>
      <w:lvlJc w:val="left"/>
      <w:pPr>
        <w:ind w:left="720" w:hanging="360"/>
      </w:pPr>
      <w:rPr>
        <w:rFonts w:ascii="Symbol" w:hAnsi="Symbol"/>
      </w:rPr>
    </w:lvl>
    <w:lvl w:ilvl="1" w:tplc="9132B570">
      <w:start w:val="1"/>
      <w:numFmt w:val="bullet"/>
      <w:lvlText w:val="o"/>
      <w:lvlJc w:val="left"/>
      <w:pPr>
        <w:tabs>
          <w:tab w:val="num" w:pos="1440"/>
        </w:tabs>
        <w:ind w:left="1440" w:hanging="360"/>
      </w:pPr>
      <w:rPr>
        <w:rFonts w:ascii="Courier New" w:hAnsi="Courier New"/>
      </w:rPr>
    </w:lvl>
    <w:lvl w:ilvl="2" w:tplc="190A02DC">
      <w:start w:val="1"/>
      <w:numFmt w:val="bullet"/>
      <w:lvlText w:val=""/>
      <w:lvlJc w:val="left"/>
      <w:pPr>
        <w:tabs>
          <w:tab w:val="num" w:pos="2160"/>
        </w:tabs>
        <w:ind w:left="2160" w:hanging="360"/>
      </w:pPr>
      <w:rPr>
        <w:rFonts w:ascii="Wingdings" w:hAnsi="Wingdings"/>
      </w:rPr>
    </w:lvl>
    <w:lvl w:ilvl="3" w:tplc="F7BA409C">
      <w:start w:val="1"/>
      <w:numFmt w:val="bullet"/>
      <w:lvlText w:val=""/>
      <w:lvlJc w:val="left"/>
      <w:pPr>
        <w:tabs>
          <w:tab w:val="num" w:pos="2880"/>
        </w:tabs>
        <w:ind w:left="2880" w:hanging="360"/>
      </w:pPr>
      <w:rPr>
        <w:rFonts w:ascii="Symbol" w:hAnsi="Symbol"/>
      </w:rPr>
    </w:lvl>
    <w:lvl w:ilvl="4" w:tplc="344CC9EA">
      <w:start w:val="1"/>
      <w:numFmt w:val="bullet"/>
      <w:lvlText w:val="o"/>
      <w:lvlJc w:val="left"/>
      <w:pPr>
        <w:tabs>
          <w:tab w:val="num" w:pos="3600"/>
        </w:tabs>
        <w:ind w:left="3600" w:hanging="360"/>
      </w:pPr>
      <w:rPr>
        <w:rFonts w:ascii="Courier New" w:hAnsi="Courier New"/>
      </w:rPr>
    </w:lvl>
    <w:lvl w:ilvl="5" w:tplc="D304F0E2">
      <w:start w:val="1"/>
      <w:numFmt w:val="bullet"/>
      <w:lvlText w:val=""/>
      <w:lvlJc w:val="left"/>
      <w:pPr>
        <w:tabs>
          <w:tab w:val="num" w:pos="4320"/>
        </w:tabs>
        <w:ind w:left="4320" w:hanging="360"/>
      </w:pPr>
      <w:rPr>
        <w:rFonts w:ascii="Wingdings" w:hAnsi="Wingdings"/>
      </w:rPr>
    </w:lvl>
    <w:lvl w:ilvl="6" w:tplc="D3F4B070">
      <w:start w:val="1"/>
      <w:numFmt w:val="bullet"/>
      <w:lvlText w:val=""/>
      <w:lvlJc w:val="left"/>
      <w:pPr>
        <w:tabs>
          <w:tab w:val="num" w:pos="5040"/>
        </w:tabs>
        <w:ind w:left="5040" w:hanging="360"/>
      </w:pPr>
      <w:rPr>
        <w:rFonts w:ascii="Symbol" w:hAnsi="Symbol"/>
      </w:rPr>
    </w:lvl>
    <w:lvl w:ilvl="7" w:tplc="3F423520">
      <w:start w:val="1"/>
      <w:numFmt w:val="bullet"/>
      <w:lvlText w:val="o"/>
      <w:lvlJc w:val="left"/>
      <w:pPr>
        <w:tabs>
          <w:tab w:val="num" w:pos="5760"/>
        </w:tabs>
        <w:ind w:left="5760" w:hanging="360"/>
      </w:pPr>
      <w:rPr>
        <w:rFonts w:ascii="Courier New" w:hAnsi="Courier New"/>
      </w:rPr>
    </w:lvl>
    <w:lvl w:ilvl="8" w:tplc="8D8A74A6">
      <w:start w:val="1"/>
      <w:numFmt w:val="bullet"/>
      <w:lvlText w:val=""/>
      <w:lvlJc w:val="left"/>
      <w:pPr>
        <w:tabs>
          <w:tab w:val="num" w:pos="6480"/>
        </w:tabs>
        <w:ind w:left="6480" w:hanging="360"/>
      </w:pPr>
      <w:rPr>
        <w:rFonts w:ascii="Wingdings" w:hAnsi="Wingdings"/>
      </w:rPr>
    </w:lvl>
  </w:abstractNum>
  <w:abstractNum w:abstractNumId="973" w15:restartNumberingAfterBreak="0">
    <w:nsid w:val="7223088F"/>
    <w:multiLevelType w:val="hybridMultilevel"/>
    <w:tmpl w:val="7223088F"/>
    <w:lvl w:ilvl="0" w:tplc="3C2E30F8">
      <w:start w:val="1"/>
      <w:numFmt w:val="bullet"/>
      <w:lvlText w:val=""/>
      <w:lvlJc w:val="left"/>
      <w:pPr>
        <w:ind w:left="720" w:hanging="360"/>
      </w:pPr>
      <w:rPr>
        <w:rFonts w:ascii="Symbol" w:hAnsi="Symbol"/>
      </w:rPr>
    </w:lvl>
    <w:lvl w:ilvl="1" w:tplc="0C9AE7BE">
      <w:start w:val="1"/>
      <w:numFmt w:val="bullet"/>
      <w:lvlText w:val="o"/>
      <w:lvlJc w:val="left"/>
      <w:pPr>
        <w:tabs>
          <w:tab w:val="num" w:pos="1440"/>
        </w:tabs>
        <w:ind w:left="1440" w:hanging="360"/>
      </w:pPr>
      <w:rPr>
        <w:rFonts w:ascii="Courier New" w:hAnsi="Courier New"/>
      </w:rPr>
    </w:lvl>
    <w:lvl w:ilvl="2" w:tplc="EF9833B4">
      <w:start w:val="1"/>
      <w:numFmt w:val="bullet"/>
      <w:lvlText w:val=""/>
      <w:lvlJc w:val="left"/>
      <w:pPr>
        <w:tabs>
          <w:tab w:val="num" w:pos="2160"/>
        </w:tabs>
        <w:ind w:left="2160" w:hanging="360"/>
      </w:pPr>
      <w:rPr>
        <w:rFonts w:ascii="Wingdings" w:hAnsi="Wingdings"/>
      </w:rPr>
    </w:lvl>
    <w:lvl w:ilvl="3" w:tplc="0BF4DD14">
      <w:start w:val="1"/>
      <w:numFmt w:val="bullet"/>
      <w:lvlText w:val=""/>
      <w:lvlJc w:val="left"/>
      <w:pPr>
        <w:tabs>
          <w:tab w:val="num" w:pos="2880"/>
        </w:tabs>
        <w:ind w:left="2880" w:hanging="360"/>
      </w:pPr>
      <w:rPr>
        <w:rFonts w:ascii="Symbol" w:hAnsi="Symbol"/>
      </w:rPr>
    </w:lvl>
    <w:lvl w:ilvl="4" w:tplc="C554D7DC">
      <w:start w:val="1"/>
      <w:numFmt w:val="bullet"/>
      <w:lvlText w:val="o"/>
      <w:lvlJc w:val="left"/>
      <w:pPr>
        <w:tabs>
          <w:tab w:val="num" w:pos="3600"/>
        </w:tabs>
        <w:ind w:left="3600" w:hanging="360"/>
      </w:pPr>
      <w:rPr>
        <w:rFonts w:ascii="Courier New" w:hAnsi="Courier New"/>
      </w:rPr>
    </w:lvl>
    <w:lvl w:ilvl="5" w:tplc="8DE4F34A">
      <w:start w:val="1"/>
      <w:numFmt w:val="bullet"/>
      <w:lvlText w:val=""/>
      <w:lvlJc w:val="left"/>
      <w:pPr>
        <w:tabs>
          <w:tab w:val="num" w:pos="4320"/>
        </w:tabs>
        <w:ind w:left="4320" w:hanging="360"/>
      </w:pPr>
      <w:rPr>
        <w:rFonts w:ascii="Wingdings" w:hAnsi="Wingdings"/>
      </w:rPr>
    </w:lvl>
    <w:lvl w:ilvl="6" w:tplc="F9EC9976">
      <w:start w:val="1"/>
      <w:numFmt w:val="bullet"/>
      <w:lvlText w:val=""/>
      <w:lvlJc w:val="left"/>
      <w:pPr>
        <w:tabs>
          <w:tab w:val="num" w:pos="5040"/>
        </w:tabs>
        <w:ind w:left="5040" w:hanging="360"/>
      </w:pPr>
      <w:rPr>
        <w:rFonts w:ascii="Symbol" w:hAnsi="Symbol"/>
      </w:rPr>
    </w:lvl>
    <w:lvl w:ilvl="7" w:tplc="AF8619DA">
      <w:start w:val="1"/>
      <w:numFmt w:val="bullet"/>
      <w:lvlText w:val="o"/>
      <w:lvlJc w:val="left"/>
      <w:pPr>
        <w:tabs>
          <w:tab w:val="num" w:pos="5760"/>
        </w:tabs>
        <w:ind w:left="5760" w:hanging="360"/>
      </w:pPr>
      <w:rPr>
        <w:rFonts w:ascii="Courier New" w:hAnsi="Courier New"/>
      </w:rPr>
    </w:lvl>
    <w:lvl w:ilvl="8" w:tplc="47E4637E">
      <w:start w:val="1"/>
      <w:numFmt w:val="bullet"/>
      <w:lvlText w:val=""/>
      <w:lvlJc w:val="left"/>
      <w:pPr>
        <w:tabs>
          <w:tab w:val="num" w:pos="6480"/>
        </w:tabs>
        <w:ind w:left="6480" w:hanging="360"/>
      </w:pPr>
      <w:rPr>
        <w:rFonts w:ascii="Wingdings" w:hAnsi="Wingdings"/>
      </w:rPr>
    </w:lvl>
  </w:abstractNum>
  <w:abstractNum w:abstractNumId="974" w15:restartNumberingAfterBreak="0">
    <w:nsid w:val="72230890"/>
    <w:multiLevelType w:val="hybridMultilevel"/>
    <w:tmpl w:val="72230890"/>
    <w:lvl w:ilvl="0" w:tplc="B964A530">
      <w:start w:val="1"/>
      <w:numFmt w:val="bullet"/>
      <w:lvlText w:val=""/>
      <w:lvlJc w:val="left"/>
      <w:pPr>
        <w:ind w:left="720" w:hanging="360"/>
      </w:pPr>
      <w:rPr>
        <w:rFonts w:ascii="Symbol" w:hAnsi="Symbol"/>
      </w:rPr>
    </w:lvl>
    <w:lvl w:ilvl="1" w:tplc="98FA5B78">
      <w:start w:val="1"/>
      <w:numFmt w:val="bullet"/>
      <w:lvlText w:val="o"/>
      <w:lvlJc w:val="left"/>
      <w:pPr>
        <w:tabs>
          <w:tab w:val="num" w:pos="1440"/>
        </w:tabs>
        <w:ind w:left="1440" w:hanging="360"/>
      </w:pPr>
      <w:rPr>
        <w:rFonts w:ascii="Courier New" w:hAnsi="Courier New"/>
      </w:rPr>
    </w:lvl>
    <w:lvl w:ilvl="2" w:tplc="6232865E">
      <w:start w:val="1"/>
      <w:numFmt w:val="bullet"/>
      <w:lvlText w:val=""/>
      <w:lvlJc w:val="left"/>
      <w:pPr>
        <w:tabs>
          <w:tab w:val="num" w:pos="2160"/>
        </w:tabs>
        <w:ind w:left="2160" w:hanging="360"/>
      </w:pPr>
      <w:rPr>
        <w:rFonts w:ascii="Wingdings" w:hAnsi="Wingdings"/>
      </w:rPr>
    </w:lvl>
    <w:lvl w:ilvl="3" w:tplc="2322147A">
      <w:start w:val="1"/>
      <w:numFmt w:val="bullet"/>
      <w:lvlText w:val=""/>
      <w:lvlJc w:val="left"/>
      <w:pPr>
        <w:tabs>
          <w:tab w:val="num" w:pos="2880"/>
        </w:tabs>
        <w:ind w:left="2880" w:hanging="360"/>
      </w:pPr>
      <w:rPr>
        <w:rFonts w:ascii="Symbol" w:hAnsi="Symbol"/>
      </w:rPr>
    </w:lvl>
    <w:lvl w:ilvl="4" w:tplc="CD442538">
      <w:start w:val="1"/>
      <w:numFmt w:val="bullet"/>
      <w:lvlText w:val="o"/>
      <w:lvlJc w:val="left"/>
      <w:pPr>
        <w:tabs>
          <w:tab w:val="num" w:pos="3600"/>
        </w:tabs>
        <w:ind w:left="3600" w:hanging="360"/>
      </w:pPr>
      <w:rPr>
        <w:rFonts w:ascii="Courier New" w:hAnsi="Courier New"/>
      </w:rPr>
    </w:lvl>
    <w:lvl w:ilvl="5" w:tplc="615A1CD2">
      <w:start w:val="1"/>
      <w:numFmt w:val="bullet"/>
      <w:lvlText w:val=""/>
      <w:lvlJc w:val="left"/>
      <w:pPr>
        <w:tabs>
          <w:tab w:val="num" w:pos="4320"/>
        </w:tabs>
        <w:ind w:left="4320" w:hanging="360"/>
      </w:pPr>
      <w:rPr>
        <w:rFonts w:ascii="Wingdings" w:hAnsi="Wingdings"/>
      </w:rPr>
    </w:lvl>
    <w:lvl w:ilvl="6" w:tplc="2B5CEBA4">
      <w:start w:val="1"/>
      <w:numFmt w:val="bullet"/>
      <w:lvlText w:val=""/>
      <w:lvlJc w:val="left"/>
      <w:pPr>
        <w:tabs>
          <w:tab w:val="num" w:pos="5040"/>
        </w:tabs>
        <w:ind w:left="5040" w:hanging="360"/>
      </w:pPr>
      <w:rPr>
        <w:rFonts w:ascii="Symbol" w:hAnsi="Symbol"/>
      </w:rPr>
    </w:lvl>
    <w:lvl w:ilvl="7" w:tplc="BB66B23E">
      <w:start w:val="1"/>
      <w:numFmt w:val="bullet"/>
      <w:lvlText w:val="o"/>
      <w:lvlJc w:val="left"/>
      <w:pPr>
        <w:tabs>
          <w:tab w:val="num" w:pos="5760"/>
        </w:tabs>
        <w:ind w:left="5760" w:hanging="360"/>
      </w:pPr>
      <w:rPr>
        <w:rFonts w:ascii="Courier New" w:hAnsi="Courier New"/>
      </w:rPr>
    </w:lvl>
    <w:lvl w:ilvl="8" w:tplc="6EDC4C94">
      <w:start w:val="1"/>
      <w:numFmt w:val="bullet"/>
      <w:lvlText w:val=""/>
      <w:lvlJc w:val="left"/>
      <w:pPr>
        <w:tabs>
          <w:tab w:val="num" w:pos="6480"/>
        </w:tabs>
        <w:ind w:left="6480" w:hanging="360"/>
      </w:pPr>
      <w:rPr>
        <w:rFonts w:ascii="Wingdings" w:hAnsi="Wingdings"/>
      </w:rPr>
    </w:lvl>
  </w:abstractNum>
  <w:abstractNum w:abstractNumId="975" w15:restartNumberingAfterBreak="0">
    <w:nsid w:val="72230891"/>
    <w:multiLevelType w:val="hybridMultilevel"/>
    <w:tmpl w:val="72230891"/>
    <w:lvl w:ilvl="0" w:tplc="7B808404">
      <w:start w:val="1"/>
      <w:numFmt w:val="bullet"/>
      <w:lvlText w:val=""/>
      <w:lvlJc w:val="left"/>
      <w:pPr>
        <w:ind w:left="720" w:hanging="360"/>
      </w:pPr>
      <w:rPr>
        <w:rFonts w:ascii="Symbol" w:hAnsi="Symbol"/>
      </w:rPr>
    </w:lvl>
    <w:lvl w:ilvl="1" w:tplc="21A6586A">
      <w:start w:val="1"/>
      <w:numFmt w:val="bullet"/>
      <w:lvlText w:val="o"/>
      <w:lvlJc w:val="left"/>
      <w:pPr>
        <w:tabs>
          <w:tab w:val="num" w:pos="1440"/>
        </w:tabs>
        <w:ind w:left="1440" w:hanging="360"/>
      </w:pPr>
      <w:rPr>
        <w:rFonts w:ascii="Courier New" w:hAnsi="Courier New"/>
      </w:rPr>
    </w:lvl>
    <w:lvl w:ilvl="2" w:tplc="3AA4FE40">
      <w:start w:val="1"/>
      <w:numFmt w:val="bullet"/>
      <w:lvlText w:val=""/>
      <w:lvlJc w:val="left"/>
      <w:pPr>
        <w:tabs>
          <w:tab w:val="num" w:pos="2160"/>
        </w:tabs>
        <w:ind w:left="2160" w:hanging="360"/>
      </w:pPr>
      <w:rPr>
        <w:rFonts w:ascii="Wingdings" w:hAnsi="Wingdings"/>
      </w:rPr>
    </w:lvl>
    <w:lvl w:ilvl="3" w:tplc="6826D094">
      <w:start w:val="1"/>
      <w:numFmt w:val="bullet"/>
      <w:lvlText w:val=""/>
      <w:lvlJc w:val="left"/>
      <w:pPr>
        <w:tabs>
          <w:tab w:val="num" w:pos="2880"/>
        </w:tabs>
        <w:ind w:left="2880" w:hanging="360"/>
      </w:pPr>
      <w:rPr>
        <w:rFonts w:ascii="Symbol" w:hAnsi="Symbol"/>
      </w:rPr>
    </w:lvl>
    <w:lvl w:ilvl="4" w:tplc="7DEC67D6">
      <w:start w:val="1"/>
      <w:numFmt w:val="bullet"/>
      <w:lvlText w:val="o"/>
      <w:lvlJc w:val="left"/>
      <w:pPr>
        <w:tabs>
          <w:tab w:val="num" w:pos="3600"/>
        </w:tabs>
        <w:ind w:left="3600" w:hanging="360"/>
      </w:pPr>
      <w:rPr>
        <w:rFonts w:ascii="Courier New" w:hAnsi="Courier New"/>
      </w:rPr>
    </w:lvl>
    <w:lvl w:ilvl="5" w:tplc="EDB86C88">
      <w:start w:val="1"/>
      <w:numFmt w:val="bullet"/>
      <w:lvlText w:val=""/>
      <w:lvlJc w:val="left"/>
      <w:pPr>
        <w:tabs>
          <w:tab w:val="num" w:pos="4320"/>
        </w:tabs>
        <w:ind w:left="4320" w:hanging="360"/>
      </w:pPr>
      <w:rPr>
        <w:rFonts w:ascii="Wingdings" w:hAnsi="Wingdings"/>
      </w:rPr>
    </w:lvl>
    <w:lvl w:ilvl="6" w:tplc="0E8C6220">
      <w:start w:val="1"/>
      <w:numFmt w:val="bullet"/>
      <w:lvlText w:val=""/>
      <w:lvlJc w:val="left"/>
      <w:pPr>
        <w:tabs>
          <w:tab w:val="num" w:pos="5040"/>
        </w:tabs>
        <w:ind w:left="5040" w:hanging="360"/>
      </w:pPr>
      <w:rPr>
        <w:rFonts w:ascii="Symbol" w:hAnsi="Symbol"/>
      </w:rPr>
    </w:lvl>
    <w:lvl w:ilvl="7" w:tplc="CDFCB1AA">
      <w:start w:val="1"/>
      <w:numFmt w:val="bullet"/>
      <w:lvlText w:val="o"/>
      <w:lvlJc w:val="left"/>
      <w:pPr>
        <w:tabs>
          <w:tab w:val="num" w:pos="5760"/>
        </w:tabs>
        <w:ind w:left="5760" w:hanging="360"/>
      </w:pPr>
      <w:rPr>
        <w:rFonts w:ascii="Courier New" w:hAnsi="Courier New"/>
      </w:rPr>
    </w:lvl>
    <w:lvl w:ilvl="8" w:tplc="78EEDDB6">
      <w:start w:val="1"/>
      <w:numFmt w:val="bullet"/>
      <w:lvlText w:val=""/>
      <w:lvlJc w:val="left"/>
      <w:pPr>
        <w:tabs>
          <w:tab w:val="num" w:pos="6480"/>
        </w:tabs>
        <w:ind w:left="6480" w:hanging="360"/>
      </w:pPr>
      <w:rPr>
        <w:rFonts w:ascii="Wingdings" w:hAnsi="Wingdings"/>
      </w:rPr>
    </w:lvl>
  </w:abstractNum>
  <w:abstractNum w:abstractNumId="976" w15:restartNumberingAfterBreak="0">
    <w:nsid w:val="72230892"/>
    <w:multiLevelType w:val="hybridMultilevel"/>
    <w:tmpl w:val="72230892"/>
    <w:lvl w:ilvl="0" w:tplc="15B29E7C">
      <w:start w:val="1"/>
      <w:numFmt w:val="bullet"/>
      <w:lvlText w:val=""/>
      <w:lvlJc w:val="left"/>
      <w:pPr>
        <w:ind w:left="720" w:hanging="360"/>
      </w:pPr>
      <w:rPr>
        <w:rFonts w:ascii="Symbol" w:hAnsi="Symbol"/>
      </w:rPr>
    </w:lvl>
    <w:lvl w:ilvl="1" w:tplc="811EFE28">
      <w:start w:val="1"/>
      <w:numFmt w:val="bullet"/>
      <w:lvlText w:val="o"/>
      <w:lvlJc w:val="left"/>
      <w:pPr>
        <w:tabs>
          <w:tab w:val="num" w:pos="1440"/>
        </w:tabs>
        <w:ind w:left="1440" w:hanging="360"/>
      </w:pPr>
      <w:rPr>
        <w:rFonts w:ascii="Courier New" w:hAnsi="Courier New"/>
      </w:rPr>
    </w:lvl>
    <w:lvl w:ilvl="2" w:tplc="C8A045DE">
      <w:start w:val="1"/>
      <w:numFmt w:val="bullet"/>
      <w:lvlText w:val=""/>
      <w:lvlJc w:val="left"/>
      <w:pPr>
        <w:tabs>
          <w:tab w:val="num" w:pos="2160"/>
        </w:tabs>
        <w:ind w:left="2160" w:hanging="360"/>
      </w:pPr>
      <w:rPr>
        <w:rFonts w:ascii="Wingdings" w:hAnsi="Wingdings"/>
      </w:rPr>
    </w:lvl>
    <w:lvl w:ilvl="3" w:tplc="AB36CF6E">
      <w:start w:val="1"/>
      <w:numFmt w:val="bullet"/>
      <w:lvlText w:val=""/>
      <w:lvlJc w:val="left"/>
      <w:pPr>
        <w:tabs>
          <w:tab w:val="num" w:pos="2880"/>
        </w:tabs>
        <w:ind w:left="2880" w:hanging="360"/>
      </w:pPr>
      <w:rPr>
        <w:rFonts w:ascii="Symbol" w:hAnsi="Symbol"/>
      </w:rPr>
    </w:lvl>
    <w:lvl w:ilvl="4" w:tplc="5314A442">
      <w:start w:val="1"/>
      <w:numFmt w:val="bullet"/>
      <w:lvlText w:val="o"/>
      <w:lvlJc w:val="left"/>
      <w:pPr>
        <w:tabs>
          <w:tab w:val="num" w:pos="3600"/>
        </w:tabs>
        <w:ind w:left="3600" w:hanging="360"/>
      </w:pPr>
      <w:rPr>
        <w:rFonts w:ascii="Courier New" w:hAnsi="Courier New"/>
      </w:rPr>
    </w:lvl>
    <w:lvl w:ilvl="5" w:tplc="F376C108">
      <w:start w:val="1"/>
      <w:numFmt w:val="bullet"/>
      <w:lvlText w:val=""/>
      <w:lvlJc w:val="left"/>
      <w:pPr>
        <w:tabs>
          <w:tab w:val="num" w:pos="4320"/>
        </w:tabs>
        <w:ind w:left="4320" w:hanging="360"/>
      </w:pPr>
      <w:rPr>
        <w:rFonts w:ascii="Wingdings" w:hAnsi="Wingdings"/>
      </w:rPr>
    </w:lvl>
    <w:lvl w:ilvl="6" w:tplc="C4EC37A0">
      <w:start w:val="1"/>
      <w:numFmt w:val="bullet"/>
      <w:lvlText w:val=""/>
      <w:lvlJc w:val="left"/>
      <w:pPr>
        <w:tabs>
          <w:tab w:val="num" w:pos="5040"/>
        </w:tabs>
        <w:ind w:left="5040" w:hanging="360"/>
      </w:pPr>
      <w:rPr>
        <w:rFonts w:ascii="Symbol" w:hAnsi="Symbol"/>
      </w:rPr>
    </w:lvl>
    <w:lvl w:ilvl="7" w:tplc="4A82E15A">
      <w:start w:val="1"/>
      <w:numFmt w:val="bullet"/>
      <w:lvlText w:val="o"/>
      <w:lvlJc w:val="left"/>
      <w:pPr>
        <w:tabs>
          <w:tab w:val="num" w:pos="5760"/>
        </w:tabs>
        <w:ind w:left="5760" w:hanging="360"/>
      </w:pPr>
      <w:rPr>
        <w:rFonts w:ascii="Courier New" w:hAnsi="Courier New"/>
      </w:rPr>
    </w:lvl>
    <w:lvl w:ilvl="8" w:tplc="E0BE9024">
      <w:start w:val="1"/>
      <w:numFmt w:val="bullet"/>
      <w:lvlText w:val=""/>
      <w:lvlJc w:val="left"/>
      <w:pPr>
        <w:tabs>
          <w:tab w:val="num" w:pos="6480"/>
        </w:tabs>
        <w:ind w:left="6480" w:hanging="360"/>
      </w:pPr>
      <w:rPr>
        <w:rFonts w:ascii="Wingdings" w:hAnsi="Wingdings"/>
      </w:rPr>
    </w:lvl>
  </w:abstractNum>
  <w:abstractNum w:abstractNumId="977" w15:restartNumberingAfterBreak="0">
    <w:nsid w:val="72230893"/>
    <w:multiLevelType w:val="hybridMultilevel"/>
    <w:tmpl w:val="72230893"/>
    <w:lvl w:ilvl="0" w:tplc="986E3426">
      <w:start w:val="1"/>
      <w:numFmt w:val="bullet"/>
      <w:lvlText w:val="o"/>
      <w:lvlJc w:val="left"/>
      <w:pPr>
        <w:ind w:left="720" w:hanging="360"/>
      </w:pPr>
      <w:rPr>
        <w:rFonts w:ascii="Courier New" w:hAnsi="Courier New"/>
      </w:rPr>
    </w:lvl>
    <w:lvl w:ilvl="1" w:tplc="136A4D86">
      <w:start w:val="1"/>
      <w:numFmt w:val="bullet"/>
      <w:lvlText w:val="o"/>
      <w:lvlJc w:val="left"/>
      <w:pPr>
        <w:tabs>
          <w:tab w:val="num" w:pos="1440"/>
        </w:tabs>
        <w:ind w:left="1440" w:hanging="360"/>
      </w:pPr>
      <w:rPr>
        <w:rFonts w:ascii="Courier New" w:hAnsi="Courier New"/>
      </w:rPr>
    </w:lvl>
    <w:lvl w:ilvl="2" w:tplc="6FE4E55A">
      <w:start w:val="1"/>
      <w:numFmt w:val="bullet"/>
      <w:lvlText w:val=""/>
      <w:lvlJc w:val="left"/>
      <w:pPr>
        <w:tabs>
          <w:tab w:val="num" w:pos="2160"/>
        </w:tabs>
        <w:ind w:left="2160" w:hanging="360"/>
      </w:pPr>
      <w:rPr>
        <w:rFonts w:ascii="Wingdings" w:hAnsi="Wingdings"/>
      </w:rPr>
    </w:lvl>
    <w:lvl w:ilvl="3" w:tplc="32EE2272">
      <w:start w:val="1"/>
      <w:numFmt w:val="bullet"/>
      <w:lvlText w:val=""/>
      <w:lvlJc w:val="left"/>
      <w:pPr>
        <w:tabs>
          <w:tab w:val="num" w:pos="2880"/>
        </w:tabs>
        <w:ind w:left="2880" w:hanging="360"/>
      </w:pPr>
      <w:rPr>
        <w:rFonts w:ascii="Symbol" w:hAnsi="Symbol"/>
      </w:rPr>
    </w:lvl>
    <w:lvl w:ilvl="4" w:tplc="DCB00898">
      <w:start w:val="1"/>
      <w:numFmt w:val="bullet"/>
      <w:lvlText w:val="o"/>
      <w:lvlJc w:val="left"/>
      <w:pPr>
        <w:tabs>
          <w:tab w:val="num" w:pos="3600"/>
        </w:tabs>
        <w:ind w:left="3600" w:hanging="360"/>
      </w:pPr>
      <w:rPr>
        <w:rFonts w:ascii="Courier New" w:hAnsi="Courier New"/>
      </w:rPr>
    </w:lvl>
    <w:lvl w:ilvl="5" w:tplc="30A8013E">
      <w:start w:val="1"/>
      <w:numFmt w:val="bullet"/>
      <w:lvlText w:val=""/>
      <w:lvlJc w:val="left"/>
      <w:pPr>
        <w:tabs>
          <w:tab w:val="num" w:pos="4320"/>
        </w:tabs>
        <w:ind w:left="4320" w:hanging="360"/>
      </w:pPr>
      <w:rPr>
        <w:rFonts w:ascii="Wingdings" w:hAnsi="Wingdings"/>
      </w:rPr>
    </w:lvl>
    <w:lvl w:ilvl="6" w:tplc="1B341EE0">
      <w:start w:val="1"/>
      <w:numFmt w:val="bullet"/>
      <w:lvlText w:val=""/>
      <w:lvlJc w:val="left"/>
      <w:pPr>
        <w:tabs>
          <w:tab w:val="num" w:pos="5040"/>
        </w:tabs>
        <w:ind w:left="5040" w:hanging="360"/>
      </w:pPr>
      <w:rPr>
        <w:rFonts w:ascii="Symbol" w:hAnsi="Symbol"/>
      </w:rPr>
    </w:lvl>
    <w:lvl w:ilvl="7" w:tplc="C3F88F92">
      <w:start w:val="1"/>
      <w:numFmt w:val="bullet"/>
      <w:lvlText w:val="o"/>
      <w:lvlJc w:val="left"/>
      <w:pPr>
        <w:tabs>
          <w:tab w:val="num" w:pos="5760"/>
        </w:tabs>
        <w:ind w:left="5760" w:hanging="360"/>
      </w:pPr>
      <w:rPr>
        <w:rFonts w:ascii="Courier New" w:hAnsi="Courier New"/>
      </w:rPr>
    </w:lvl>
    <w:lvl w:ilvl="8" w:tplc="6D9ED124">
      <w:start w:val="1"/>
      <w:numFmt w:val="bullet"/>
      <w:lvlText w:val=""/>
      <w:lvlJc w:val="left"/>
      <w:pPr>
        <w:tabs>
          <w:tab w:val="num" w:pos="6480"/>
        </w:tabs>
        <w:ind w:left="6480" w:hanging="360"/>
      </w:pPr>
      <w:rPr>
        <w:rFonts w:ascii="Wingdings" w:hAnsi="Wingdings"/>
      </w:rPr>
    </w:lvl>
  </w:abstractNum>
  <w:abstractNum w:abstractNumId="978" w15:restartNumberingAfterBreak="0">
    <w:nsid w:val="72230894"/>
    <w:multiLevelType w:val="hybridMultilevel"/>
    <w:tmpl w:val="72230894"/>
    <w:lvl w:ilvl="0" w:tplc="B8B0C614">
      <w:start w:val="1"/>
      <w:numFmt w:val="bullet"/>
      <w:lvlText w:val="o"/>
      <w:lvlJc w:val="left"/>
      <w:pPr>
        <w:ind w:left="720" w:hanging="360"/>
      </w:pPr>
      <w:rPr>
        <w:rFonts w:ascii="Courier New" w:hAnsi="Courier New"/>
      </w:rPr>
    </w:lvl>
    <w:lvl w:ilvl="1" w:tplc="7AAEEA82">
      <w:start w:val="1"/>
      <w:numFmt w:val="bullet"/>
      <w:lvlText w:val="o"/>
      <w:lvlJc w:val="left"/>
      <w:pPr>
        <w:tabs>
          <w:tab w:val="num" w:pos="1440"/>
        </w:tabs>
        <w:ind w:left="1440" w:hanging="360"/>
      </w:pPr>
      <w:rPr>
        <w:rFonts w:ascii="Courier New" w:hAnsi="Courier New"/>
      </w:rPr>
    </w:lvl>
    <w:lvl w:ilvl="2" w:tplc="41D6010A">
      <w:start w:val="1"/>
      <w:numFmt w:val="bullet"/>
      <w:lvlText w:val=""/>
      <w:lvlJc w:val="left"/>
      <w:pPr>
        <w:tabs>
          <w:tab w:val="num" w:pos="2160"/>
        </w:tabs>
        <w:ind w:left="2160" w:hanging="360"/>
      </w:pPr>
      <w:rPr>
        <w:rFonts w:ascii="Wingdings" w:hAnsi="Wingdings"/>
      </w:rPr>
    </w:lvl>
    <w:lvl w:ilvl="3" w:tplc="40A2E07C">
      <w:start w:val="1"/>
      <w:numFmt w:val="bullet"/>
      <w:lvlText w:val=""/>
      <w:lvlJc w:val="left"/>
      <w:pPr>
        <w:tabs>
          <w:tab w:val="num" w:pos="2880"/>
        </w:tabs>
        <w:ind w:left="2880" w:hanging="360"/>
      </w:pPr>
      <w:rPr>
        <w:rFonts w:ascii="Symbol" w:hAnsi="Symbol"/>
      </w:rPr>
    </w:lvl>
    <w:lvl w:ilvl="4" w:tplc="886E8BCC">
      <w:start w:val="1"/>
      <w:numFmt w:val="bullet"/>
      <w:lvlText w:val="o"/>
      <w:lvlJc w:val="left"/>
      <w:pPr>
        <w:tabs>
          <w:tab w:val="num" w:pos="3600"/>
        </w:tabs>
        <w:ind w:left="3600" w:hanging="360"/>
      </w:pPr>
      <w:rPr>
        <w:rFonts w:ascii="Courier New" w:hAnsi="Courier New"/>
      </w:rPr>
    </w:lvl>
    <w:lvl w:ilvl="5" w:tplc="AF608A50">
      <w:start w:val="1"/>
      <w:numFmt w:val="bullet"/>
      <w:lvlText w:val=""/>
      <w:lvlJc w:val="left"/>
      <w:pPr>
        <w:tabs>
          <w:tab w:val="num" w:pos="4320"/>
        </w:tabs>
        <w:ind w:left="4320" w:hanging="360"/>
      </w:pPr>
      <w:rPr>
        <w:rFonts w:ascii="Wingdings" w:hAnsi="Wingdings"/>
      </w:rPr>
    </w:lvl>
    <w:lvl w:ilvl="6" w:tplc="C21A0A10">
      <w:start w:val="1"/>
      <w:numFmt w:val="bullet"/>
      <w:lvlText w:val=""/>
      <w:lvlJc w:val="left"/>
      <w:pPr>
        <w:tabs>
          <w:tab w:val="num" w:pos="5040"/>
        </w:tabs>
        <w:ind w:left="5040" w:hanging="360"/>
      </w:pPr>
      <w:rPr>
        <w:rFonts w:ascii="Symbol" w:hAnsi="Symbol"/>
      </w:rPr>
    </w:lvl>
    <w:lvl w:ilvl="7" w:tplc="44ACD462">
      <w:start w:val="1"/>
      <w:numFmt w:val="bullet"/>
      <w:lvlText w:val="o"/>
      <w:lvlJc w:val="left"/>
      <w:pPr>
        <w:tabs>
          <w:tab w:val="num" w:pos="5760"/>
        </w:tabs>
        <w:ind w:left="5760" w:hanging="360"/>
      </w:pPr>
      <w:rPr>
        <w:rFonts w:ascii="Courier New" w:hAnsi="Courier New"/>
      </w:rPr>
    </w:lvl>
    <w:lvl w:ilvl="8" w:tplc="3252E106">
      <w:start w:val="1"/>
      <w:numFmt w:val="bullet"/>
      <w:lvlText w:val=""/>
      <w:lvlJc w:val="left"/>
      <w:pPr>
        <w:tabs>
          <w:tab w:val="num" w:pos="6480"/>
        </w:tabs>
        <w:ind w:left="6480" w:hanging="360"/>
      </w:pPr>
      <w:rPr>
        <w:rFonts w:ascii="Wingdings" w:hAnsi="Wingdings"/>
      </w:rPr>
    </w:lvl>
  </w:abstractNum>
  <w:abstractNum w:abstractNumId="979" w15:restartNumberingAfterBreak="0">
    <w:nsid w:val="72230895"/>
    <w:multiLevelType w:val="hybridMultilevel"/>
    <w:tmpl w:val="72230895"/>
    <w:lvl w:ilvl="0" w:tplc="37529764">
      <w:start w:val="1"/>
      <w:numFmt w:val="bullet"/>
      <w:lvlText w:val="o"/>
      <w:lvlJc w:val="left"/>
      <w:pPr>
        <w:ind w:left="720" w:hanging="360"/>
      </w:pPr>
      <w:rPr>
        <w:rFonts w:ascii="Courier New" w:hAnsi="Courier New"/>
      </w:rPr>
    </w:lvl>
    <w:lvl w:ilvl="1" w:tplc="5330D0B6">
      <w:start w:val="1"/>
      <w:numFmt w:val="bullet"/>
      <w:lvlText w:val="o"/>
      <w:lvlJc w:val="left"/>
      <w:pPr>
        <w:tabs>
          <w:tab w:val="num" w:pos="1440"/>
        </w:tabs>
        <w:ind w:left="1440" w:hanging="360"/>
      </w:pPr>
      <w:rPr>
        <w:rFonts w:ascii="Courier New" w:hAnsi="Courier New"/>
      </w:rPr>
    </w:lvl>
    <w:lvl w:ilvl="2" w:tplc="85F8E668">
      <w:start w:val="1"/>
      <w:numFmt w:val="bullet"/>
      <w:lvlText w:val=""/>
      <w:lvlJc w:val="left"/>
      <w:pPr>
        <w:tabs>
          <w:tab w:val="num" w:pos="2160"/>
        </w:tabs>
        <w:ind w:left="2160" w:hanging="360"/>
      </w:pPr>
      <w:rPr>
        <w:rFonts w:ascii="Wingdings" w:hAnsi="Wingdings"/>
      </w:rPr>
    </w:lvl>
    <w:lvl w:ilvl="3" w:tplc="B08CA03E">
      <w:start w:val="1"/>
      <w:numFmt w:val="bullet"/>
      <w:lvlText w:val=""/>
      <w:lvlJc w:val="left"/>
      <w:pPr>
        <w:tabs>
          <w:tab w:val="num" w:pos="2880"/>
        </w:tabs>
        <w:ind w:left="2880" w:hanging="360"/>
      </w:pPr>
      <w:rPr>
        <w:rFonts w:ascii="Symbol" w:hAnsi="Symbol"/>
      </w:rPr>
    </w:lvl>
    <w:lvl w:ilvl="4" w:tplc="D324938E">
      <w:start w:val="1"/>
      <w:numFmt w:val="bullet"/>
      <w:lvlText w:val="o"/>
      <w:lvlJc w:val="left"/>
      <w:pPr>
        <w:tabs>
          <w:tab w:val="num" w:pos="3600"/>
        </w:tabs>
        <w:ind w:left="3600" w:hanging="360"/>
      </w:pPr>
      <w:rPr>
        <w:rFonts w:ascii="Courier New" w:hAnsi="Courier New"/>
      </w:rPr>
    </w:lvl>
    <w:lvl w:ilvl="5" w:tplc="145ECF62">
      <w:start w:val="1"/>
      <w:numFmt w:val="bullet"/>
      <w:lvlText w:val=""/>
      <w:lvlJc w:val="left"/>
      <w:pPr>
        <w:tabs>
          <w:tab w:val="num" w:pos="4320"/>
        </w:tabs>
        <w:ind w:left="4320" w:hanging="360"/>
      </w:pPr>
      <w:rPr>
        <w:rFonts w:ascii="Wingdings" w:hAnsi="Wingdings"/>
      </w:rPr>
    </w:lvl>
    <w:lvl w:ilvl="6" w:tplc="7DD48FD4">
      <w:start w:val="1"/>
      <w:numFmt w:val="bullet"/>
      <w:lvlText w:val=""/>
      <w:lvlJc w:val="left"/>
      <w:pPr>
        <w:tabs>
          <w:tab w:val="num" w:pos="5040"/>
        </w:tabs>
        <w:ind w:left="5040" w:hanging="360"/>
      </w:pPr>
      <w:rPr>
        <w:rFonts w:ascii="Symbol" w:hAnsi="Symbol"/>
      </w:rPr>
    </w:lvl>
    <w:lvl w:ilvl="7" w:tplc="389E7482">
      <w:start w:val="1"/>
      <w:numFmt w:val="bullet"/>
      <w:lvlText w:val="o"/>
      <w:lvlJc w:val="left"/>
      <w:pPr>
        <w:tabs>
          <w:tab w:val="num" w:pos="5760"/>
        </w:tabs>
        <w:ind w:left="5760" w:hanging="360"/>
      </w:pPr>
      <w:rPr>
        <w:rFonts w:ascii="Courier New" w:hAnsi="Courier New"/>
      </w:rPr>
    </w:lvl>
    <w:lvl w:ilvl="8" w:tplc="0470967A">
      <w:start w:val="1"/>
      <w:numFmt w:val="bullet"/>
      <w:lvlText w:val=""/>
      <w:lvlJc w:val="left"/>
      <w:pPr>
        <w:tabs>
          <w:tab w:val="num" w:pos="6480"/>
        </w:tabs>
        <w:ind w:left="6480" w:hanging="360"/>
      </w:pPr>
      <w:rPr>
        <w:rFonts w:ascii="Wingdings" w:hAnsi="Wingdings"/>
      </w:rPr>
    </w:lvl>
  </w:abstractNum>
  <w:abstractNum w:abstractNumId="980" w15:restartNumberingAfterBreak="0">
    <w:nsid w:val="72230896"/>
    <w:multiLevelType w:val="hybridMultilevel"/>
    <w:tmpl w:val="72230896"/>
    <w:lvl w:ilvl="0" w:tplc="FD985D80">
      <w:start w:val="1"/>
      <w:numFmt w:val="bullet"/>
      <w:lvlText w:val="o"/>
      <w:lvlJc w:val="left"/>
      <w:pPr>
        <w:ind w:left="720" w:hanging="360"/>
      </w:pPr>
      <w:rPr>
        <w:rFonts w:ascii="Courier New" w:hAnsi="Courier New"/>
      </w:rPr>
    </w:lvl>
    <w:lvl w:ilvl="1" w:tplc="5A2E13E2">
      <w:start w:val="1"/>
      <w:numFmt w:val="bullet"/>
      <w:lvlText w:val="o"/>
      <w:lvlJc w:val="left"/>
      <w:pPr>
        <w:tabs>
          <w:tab w:val="num" w:pos="1440"/>
        </w:tabs>
        <w:ind w:left="1440" w:hanging="360"/>
      </w:pPr>
      <w:rPr>
        <w:rFonts w:ascii="Courier New" w:hAnsi="Courier New"/>
      </w:rPr>
    </w:lvl>
    <w:lvl w:ilvl="2" w:tplc="46C09C66">
      <w:start w:val="1"/>
      <w:numFmt w:val="bullet"/>
      <w:lvlText w:val=""/>
      <w:lvlJc w:val="left"/>
      <w:pPr>
        <w:tabs>
          <w:tab w:val="num" w:pos="2160"/>
        </w:tabs>
        <w:ind w:left="2160" w:hanging="360"/>
      </w:pPr>
      <w:rPr>
        <w:rFonts w:ascii="Wingdings" w:hAnsi="Wingdings"/>
      </w:rPr>
    </w:lvl>
    <w:lvl w:ilvl="3" w:tplc="92CC1C5E">
      <w:start w:val="1"/>
      <w:numFmt w:val="bullet"/>
      <w:lvlText w:val=""/>
      <w:lvlJc w:val="left"/>
      <w:pPr>
        <w:tabs>
          <w:tab w:val="num" w:pos="2880"/>
        </w:tabs>
        <w:ind w:left="2880" w:hanging="360"/>
      </w:pPr>
      <w:rPr>
        <w:rFonts w:ascii="Symbol" w:hAnsi="Symbol"/>
      </w:rPr>
    </w:lvl>
    <w:lvl w:ilvl="4" w:tplc="BC942704">
      <w:start w:val="1"/>
      <w:numFmt w:val="bullet"/>
      <w:lvlText w:val="o"/>
      <w:lvlJc w:val="left"/>
      <w:pPr>
        <w:tabs>
          <w:tab w:val="num" w:pos="3600"/>
        </w:tabs>
        <w:ind w:left="3600" w:hanging="360"/>
      </w:pPr>
      <w:rPr>
        <w:rFonts w:ascii="Courier New" w:hAnsi="Courier New"/>
      </w:rPr>
    </w:lvl>
    <w:lvl w:ilvl="5" w:tplc="510CB38C">
      <w:start w:val="1"/>
      <w:numFmt w:val="bullet"/>
      <w:lvlText w:val=""/>
      <w:lvlJc w:val="left"/>
      <w:pPr>
        <w:tabs>
          <w:tab w:val="num" w:pos="4320"/>
        </w:tabs>
        <w:ind w:left="4320" w:hanging="360"/>
      </w:pPr>
      <w:rPr>
        <w:rFonts w:ascii="Wingdings" w:hAnsi="Wingdings"/>
      </w:rPr>
    </w:lvl>
    <w:lvl w:ilvl="6" w:tplc="8B5A7024">
      <w:start w:val="1"/>
      <w:numFmt w:val="bullet"/>
      <w:lvlText w:val=""/>
      <w:lvlJc w:val="left"/>
      <w:pPr>
        <w:tabs>
          <w:tab w:val="num" w:pos="5040"/>
        </w:tabs>
        <w:ind w:left="5040" w:hanging="360"/>
      </w:pPr>
      <w:rPr>
        <w:rFonts w:ascii="Symbol" w:hAnsi="Symbol"/>
      </w:rPr>
    </w:lvl>
    <w:lvl w:ilvl="7" w:tplc="A6300218">
      <w:start w:val="1"/>
      <w:numFmt w:val="bullet"/>
      <w:lvlText w:val="o"/>
      <w:lvlJc w:val="left"/>
      <w:pPr>
        <w:tabs>
          <w:tab w:val="num" w:pos="5760"/>
        </w:tabs>
        <w:ind w:left="5760" w:hanging="360"/>
      </w:pPr>
      <w:rPr>
        <w:rFonts w:ascii="Courier New" w:hAnsi="Courier New"/>
      </w:rPr>
    </w:lvl>
    <w:lvl w:ilvl="8" w:tplc="C3FC1410">
      <w:start w:val="1"/>
      <w:numFmt w:val="bullet"/>
      <w:lvlText w:val=""/>
      <w:lvlJc w:val="left"/>
      <w:pPr>
        <w:tabs>
          <w:tab w:val="num" w:pos="6480"/>
        </w:tabs>
        <w:ind w:left="6480" w:hanging="360"/>
      </w:pPr>
      <w:rPr>
        <w:rFonts w:ascii="Wingdings" w:hAnsi="Wingdings"/>
      </w:rPr>
    </w:lvl>
  </w:abstractNum>
  <w:abstractNum w:abstractNumId="981" w15:restartNumberingAfterBreak="0">
    <w:nsid w:val="72230897"/>
    <w:multiLevelType w:val="hybridMultilevel"/>
    <w:tmpl w:val="72230897"/>
    <w:lvl w:ilvl="0" w:tplc="16FC3B3E">
      <w:start w:val="1"/>
      <w:numFmt w:val="bullet"/>
      <w:lvlText w:val="o"/>
      <w:lvlJc w:val="left"/>
      <w:pPr>
        <w:ind w:left="720" w:hanging="360"/>
      </w:pPr>
      <w:rPr>
        <w:rFonts w:ascii="Courier New" w:hAnsi="Courier New"/>
      </w:rPr>
    </w:lvl>
    <w:lvl w:ilvl="1" w:tplc="271A5DD2">
      <w:start w:val="1"/>
      <w:numFmt w:val="bullet"/>
      <w:lvlText w:val="o"/>
      <w:lvlJc w:val="left"/>
      <w:pPr>
        <w:tabs>
          <w:tab w:val="num" w:pos="1440"/>
        </w:tabs>
        <w:ind w:left="1440" w:hanging="360"/>
      </w:pPr>
      <w:rPr>
        <w:rFonts w:ascii="Courier New" w:hAnsi="Courier New"/>
      </w:rPr>
    </w:lvl>
    <w:lvl w:ilvl="2" w:tplc="AAE8F324">
      <w:start w:val="1"/>
      <w:numFmt w:val="bullet"/>
      <w:lvlText w:val=""/>
      <w:lvlJc w:val="left"/>
      <w:pPr>
        <w:tabs>
          <w:tab w:val="num" w:pos="2160"/>
        </w:tabs>
        <w:ind w:left="2160" w:hanging="360"/>
      </w:pPr>
      <w:rPr>
        <w:rFonts w:ascii="Wingdings" w:hAnsi="Wingdings"/>
      </w:rPr>
    </w:lvl>
    <w:lvl w:ilvl="3" w:tplc="6BB8E2D4">
      <w:start w:val="1"/>
      <w:numFmt w:val="bullet"/>
      <w:lvlText w:val=""/>
      <w:lvlJc w:val="left"/>
      <w:pPr>
        <w:tabs>
          <w:tab w:val="num" w:pos="2880"/>
        </w:tabs>
        <w:ind w:left="2880" w:hanging="360"/>
      </w:pPr>
      <w:rPr>
        <w:rFonts w:ascii="Symbol" w:hAnsi="Symbol"/>
      </w:rPr>
    </w:lvl>
    <w:lvl w:ilvl="4" w:tplc="89642ADE">
      <w:start w:val="1"/>
      <w:numFmt w:val="bullet"/>
      <w:lvlText w:val="o"/>
      <w:lvlJc w:val="left"/>
      <w:pPr>
        <w:tabs>
          <w:tab w:val="num" w:pos="3600"/>
        </w:tabs>
        <w:ind w:left="3600" w:hanging="360"/>
      </w:pPr>
      <w:rPr>
        <w:rFonts w:ascii="Courier New" w:hAnsi="Courier New"/>
      </w:rPr>
    </w:lvl>
    <w:lvl w:ilvl="5" w:tplc="EA3CB36E">
      <w:start w:val="1"/>
      <w:numFmt w:val="bullet"/>
      <w:lvlText w:val=""/>
      <w:lvlJc w:val="left"/>
      <w:pPr>
        <w:tabs>
          <w:tab w:val="num" w:pos="4320"/>
        </w:tabs>
        <w:ind w:left="4320" w:hanging="360"/>
      </w:pPr>
      <w:rPr>
        <w:rFonts w:ascii="Wingdings" w:hAnsi="Wingdings"/>
      </w:rPr>
    </w:lvl>
    <w:lvl w:ilvl="6" w:tplc="391C788E">
      <w:start w:val="1"/>
      <w:numFmt w:val="bullet"/>
      <w:lvlText w:val=""/>
      <w:lvlJc w:val="left"/>
      <w:pPr>
        <w:tabs>
          <w:tab w:val="num" w:pos="5040"/>
        </w:tabs>
        <w:ind w:left="5040" w:hanging="360"/>
      </w:pPr>
      <w:rPr>
        <w:rFonts w:ascii="Symbol" w:hAnsi="Symbol"/>
      </w:rPr>
    </w:lvl>
    <w:lvl w:ilvl="7" w:tplc="4EEE6A06">
      <w:start w:val="1"/>
      <w:numFmt w:val="bullet"/>
      <w:lvlText w:val="o"/>
      <w:lvlJc w:val="left"/>
      <w:pPr>
        <w:tabs>
          <w:tab w:val="num" w:pos="5760"/>
        </w:tabs>
        <w:ind w:left="5760" w:hanging="360"/>
      </w:pPr>
      <w:rPr>
        <w:rFonts w:ascii="Courier New" w:hAnsi="Courier New"/>
      </w:rPr>
    </w:lvl>
    <w:lvl w:ilvl="8" w:tplc="F1B41ADA">
      <w:start w:val="1"/>
      <w:numFmt w:val="bullet"/>
      <w:lvlText w:val=""/>
      <w:lvlJc w:val="left"/>
      <w:pPr>
        <w:tabs>
          <w:tab w:val="num" w:pos="6480"/>
        </w:tabs>
        <w:ind w:left="6480" w:hanging="360"/>
      </w:pPr>
      <w:rPr>
        <w:rFonts w:ascii="Wingdings" w:hAnsi="Wingdings"/>
      </w:rPr>
    </w:lvl>
  </w:abstractNum>
  <w:abstractNum w:abstractNumId="982" w15:restartNumberingAfterBreak="0">
    <w:nsid w:val="72230898"/>
    <w:multiLevelType w:val="hybridMultilevel"/>
    <w:tmpl w:val="72230898"/>
    <w:lvl w:ilvl="0" w:tplc="CF1E5F3A">
      <w:start w:val="1"/>
      <w:numFmt w:val="bullet"/>
      <w:lvlText w:val=""/>
      <w:lvlJc w:val="left"/>
      <w:pPr>
        <w:ind w:left="720" w:hanging="360"/>
      </w:pPr>
      <w:rPr>
        <w:rFonts w:ascii="Symbol" w:hAnsi="Symbol"/>
      </w:rPr>
    </w:lvl>
    <w:lvl w:ilvl="1" w:tplc="C85E33E0">
      <w:start w:val="1"/>
      <w:numFmt w:val="bullet"/>
      <w:lvlText w:val="o"/>
      <w:lvlJc w:val="left"/>
      <w:pPr>
        <w:tabs>
          <w:tab w:val="num" w:pos="1440"/>
        </w:tabs>
        <w:ind w:left="1440" w:hanging="360"/>
      </w:pPr>
      <w:rPr>
        <w:rFonts w:ascii="Courier New" w:hAnsi="Courier New"/>
      </w:rPr>
    </w:lvl>
    <w:lvl w:ilvl="2" w:tplc="6032F0F6">
      <w:start w:val="1"/>
      <w:numFmt w:val="bullet"/>
      <w:lvlText w:val=""/>
      <w:lvlJc w:val="left"/>
      <w:pPr>
        <w:tabs>
          <w:tab w:val="num" w:pos="2160"/>
        </w:tabs>
        <w:ind w:left="2160" w:hanging="360"/>
      </w:pPr>
      <w:rPr>
        <w:rFonts w:ascii="Wingdings" w:hAnsi="Wingdings"/>
      </w:rPr>
    </w:lvl>
    <w:lvl w:ilvl="3" w:tplc="977CF5CE">
      <w:start w:val="1"/>
      <w:numFmt w:val="bullet"/>
      <w:lvlText w:val=""/>
      <w:lvlJc w:val="left"/>
      <w:pPr>
        <w:tabs>
          <w:tab w:val="num" w:pos="2880"/>
        </w:tabs>
        <w:ind w:left="2880" w:hanging="360"/>
      </w:pPr>
      <w:rPr>
        <w:rFonts w:ascii="Symbol" w:hAnsi="Symbol"/>
      </w:rPr>
    </w:lvl>
    <w:lvl w:ilvl="4" w:tplc="7CE856CC">
      <w:start w:val="1"/>
      <w:numFmt w:val="bullet"/>
      <w:lvlText w:val="o"/>
      <w:lvlJc w:val="left"/>
      <w:pPr>
        <w:tabs>
          <w:tab w:val="num" w:pos="3600"/>
        </w:tabs>
        <w:ind w:left="3600" w:hanging="360"/>
      </w:pPr>
      <w:rPr>
        <w:rFonts w:ascii="Courier New" w:hAnsi="Courier New"/>
      </w:rPr>
    </w:lvl>
    <w:lvl w:ilvl="5" w:tplc="447002D2">
      <w:start w:val="1"/>
      <w:numFmt w:val="bullet"/>
      <w:lvlText w:val=""/>
      <w:lvlJc w:val="left"/>
      <w:pPr>
        <w:tabs>
          <w:tab w:val="num" w:pos="4320"/>
        </w:tabs>
        <w:ind w:left="4320" w:hanging="360"/>
      </w:pPr>
      <w:rPr>
        <w:rFonts w:ascii="Wingdings" w:hAnsi="Wingdings"/>
      </w:rPr>
    </w:lvl>
    <w:lvl w:ilvl="6" w:tplc="85E89FFC">
      <w:start w:val="1"/>
      <w:numFmt w:val="bullet"/>
      <w:lvlText w:val=""/>
      <w:lvlJc w:val="left"/>
      <w:pPr>
        <w:tabs>
          <w:tab w:val="num" w:pos="5040"/>
        </w:tabs>
        <w:ind w:left="5040" w:hanging="360"/>
      </w:pPr>
      <w:rPr>
        <w:rFonts w:ascii="Symbol" w:hAnsi="Symbol"/>
      </w:rPr>
    </w:lvl>
    <w:lvl w:ilvl="7" w:tplc="F80C8EEC">
      <w:start w:val="1"/>
      <w:numFmt w:val="bullet"/>
      <w:lvlText w:val="o"/>
      <w:lvlJc w:val="left"/>
      <w:pPr>
        <w:tabs>
          <w:tab w:val="num" w:pos="5760"/>
        </w:tabs>
        <w:ind w:left="5760" w:hanging="360"/>
      </w:pPr>
      <w:rPr>
        <w:rFonts w:ascii="Courier New" w:hAnsi="Courier New"/>
      </w:rPr>
    </w:lvl>
    <w:lvl w:ilvl="8" w:tplc="636A5EB2">
      <w:start w:val="1"/>
      <w:numFmt w:val="bullet"/>
      <w:lvlText w:val=""/>
      <w:lvlJc w:val="left"/>
      <w:pPr>
        <w:tabs>
          <w:tab w:val="num" w:pos="6480"/>
        </w:tabs>
        <w:ind w:left="6480" w:hanging="360"/>
      </w:pPr>
      <w:rPr>
        <w:rFonts w:ascii="Wingdings" w:hAnsi="Wingdings"/>
      </w:rPr>
    </w:lvl>
  </w:abstractNum>
  <w:abstractNum w:abstractNumId="983" w15:restartNumberingAfterBreak="0">
    <w:nsid w:val="72230899"/>
    <w:multiLevelType w:val="hybridMultilevel"/>
    <w:tmpl w:val="72230899"/>
    <w:lvl w:ilvl="0" w:tplc="CB7CD16C">
      <w:start w:val="1"/>
      <w:numFmt w:val="bullet"/>
      <w:lvlText w:val="o"/>
      <w:lvlJc w:val="left"/>
      <w:pPr>
        <w:ind w:left="720" w:hanging="360"/>
      </w:pPr>
      <w:rPr>
        <w:rFonts w:ascii="Courier New" w:hAnsi="Courier New"/>
      </w:rPr>
    </w:lvl>
    <w:lvl w:ilvl="1" w:tplc="9710BEC0">
      <w:start w:val="1"/>
      <w:numFmt w:val="bullet"/>
      <w:lvlText w:val="o"/>
      <w:lvlJc w:val="left"/>
      <w:pPr>
        <w:tabs>
          <w:tab w:val="num" w:pos="1440"/>
        </w:tabs>
        <w:ind w:left="1440" w:hanging="360"/>
      </w:pPr>
      <w:rPr>
        <w:rFonts w:ascii="Courier New" w:hAnsi="Courier New"/>
      </w:rPr>
    </w:lvl>
    <w:lvl w:ilvl="2" w:tplc="81A8936E">
      <w:start w:val="1"/>
      <w:numFmt w:val="bullet"/>
      <w:lvlText w:val=""/>
      <w:lvlJc w:val="left"/>
      <w:pPr>
        <w:tabs>
          <w:tab w:val="num" w:pos="2160"/>
        </w:tabs>
        <w:ind w:left="2160" w:hanging="360"/>
      </w:pPr>
      <w:rPr>
        <w:rFonts w:ascii="Wingdings" w:hAnsi="Wingdings"/>
      </w:rPr>
    </w:lvl>
    <w:lvl w:ilvl="3" w:tplc="73B6740E">
      <w:start w:val="1"/>
      <w:numFmt w:val="bullet"/>
      <w:lvlText w:val=""/>
      <w:lvlJc w:val="left"/>
      <w:pPr>
        <w:tabs>
          <w:tab w:val="num" w:pos="2880"/>
        </w:tabs>
        <w:ind w:left="2880" w:hanging="360"/>
      </w:pPr>
      <w:rPr>
        <w:rFonts w:ascii="Symbol" w:hAnsi="Symbol"/>
      </w:rPr>
    </w:lvl>
    <w:lvl w:ilvl="4" w:tplc="9CA850F8">
      <w:start w:val="1"/>
      <w:numFmt w:val="bullet"/>
      <w:lvlText w:val="o"/>
      <w:lvlJc w:val="left"/>
      <w:pPr>
        <w:tabs>
          <w:tab w:val="num" w:pos="3600"/>
        </w:tabs>
        <w:ind w:left="3600" w:hanging="360"/>
      </w:pPr>
      <w:rPr>
        <w:rFonts w:ascii="Courier New" w:hAnsi="Courier New"/>
      </w:rPr>
    </w:lvl>
    <w:lvl w:ilvl="5" w:tplc="C0A4D3C0">
      <w:start w:val="1"/>
      <w:numFmt w:val="bullet"/>
      <w:lvlText w:val=""/>
      <w:lvlJc w:val="left"/>
      <w:pPr>
        <w:tabs>
          <w:tab w:val="num" w:pos="4320"/>
        </w:tabs>
        <w:ind w:left="4320" w:hanging="360"/>
      </w:pPr>
      <w:rPr>
        <w:rFonts w:ascii="Wingdings" w:hAnsi="Wingdings"/>
      </w:rPr>
    </w:lvl>
    <w:lvl w:ilvl="6" w:tplc="1F58D166">
      <w:start w:val="1"/>
      <w:numFmt w:val="bullet"/>
      <w:lvlText w:val=""/>
      <w:lvlJc w:val="left"/>
      <w:pPr>
        <w:tabs>
          <w:tab w:val="num" w:pos="5040"/>
        </w:tabs>
        <w:ind w:left="5040" w:hanging="360"/>
      </w:pPr>
      <w:rPr>
        <w:rFonts w:ascii="Symbol" w:hAnsi="Symbol"/>
      </w:rPr>
    </w:lvl>
    <w:lvl w:ilvl="7" w:tplc="B6961972">
      <w:start w:val="1"/>
      <w:numFmt w:val="bullet"/>
      <w:lvlText w:val="o"/>
      <w:lvlJc w:val="left"/>
      <w:pPr>
        <w:tabs>
          <w:tab w:val="num" w:pos="5760"/>
        </w:tabs>
        <w:ind w:left="5760" w:hanging="360"/>
      </w:pPr>
      <w:rPr>
        <w:rFonts w:ascii="Courier New" w:hAnsi="Courier New"/>
      </w:rPr>
    </w:lvl>
    <w:lvl w:ilvl="8" w:tplc="69D80794">
      <w:start w:val="1"/>
      <w:numFmt w:val="bullet"/>
      <w:lvlText w:val=""/>
      <w:lvlJc w:val="left"/>
      <w:pPr>
        <w:tabs>
          <w:tab w:val="num" w:pos="6480"/>
        </w:tabs>
        <w:ind w:left="6480" w:hanging="360"/>
      </w:pPr>
      <w:rPr>
        <w:rFonts w:ascii="Wingdings" w:hAnsi="Wingdings"/>
      </w:rPr>
    </w:lvl>
  </w:abstractNum>
  <w:abstractNum w:abstractNumId="984" w15:restartNumberingAfterBreak="0">
    <w:nsid w:val="7223089A"/>
    <w:multiLevelType w:val="hybridMultilevel"/>
    <w:tmpl w:val="7223089A"/>
    <w:lvl w:ilvl="0" w:tplc="8B8E3702">
      <w:start w:val="1"/>
      <w:numFmt w:val="bullet"/>
      <w:lvlText w:val=""/>
      <w:lvlJc w:val="left"/>
      <w:pPr>
        <w:ind w:left="720" w:hanging="360"/>
      </w:pPr>
      <w:rPr>
        <w:rFonts w:ascii="Symbol" w:hAnsi="Symbol"/>
      </w:rPr>
    </w:lvl>
    <w:lvl w:ilvl="1" w:tplc="A936E8F0">
      <w:start w:val="1"/>
      <w:numFmt w:val="bullet"/>
      <w:lvlText w:val="o"/>
      <w:lvlJc w:val="left"/>
      <w:pPr>
        <w:tabs>
          <w:tab w:val="num" w:pos="1440"/>
        </w:tabs>
        <w:ind w:left="1440" w:hanging="360"/>
      </w:pPr>
      <w:rPr>
        <w:rFonts w:ascii="Courier New" w:hAnsi="Courier New"/>
      </w:rPr>
    </w:lvl>
    <w:lvl w:ilvl="2" w:tplc="F7040A10">
      <w:start w:val="1"/>
      <w:numFmt w:val="bullet"/>
      <w:lvlText w:val=""/>
      <w:lvlJc w:val="left"/>
      <w:pPr>
        <w:tabs>
          <w:tab w:val="num" w:pos="2160"/>
        </w:tabs>
        <w:ind w:left="2160" w:hanging="360"/>
      </w:pPr>
      <w:rPr>
        <w:rFonts w:ascii="Wingdings" w:hAnsi="Wingdings"/>
      </w:rPr>
    </w:lvl>
    <w:lvl w:ilvl="3" w:tplc="450405AC">
      <w:start w:val="1"/>
      <w:numFmt w:val="bullet"/>
      <w:lvlText w:val=""/>
      <w:lvlJc w:val="left"/>
      <w:pPr>
        <w:tabs>
          <w:tab w:val="num" w:pos="2880"/>
        </w:tabs>
        <w:ind w:left="2880" w:hanging="360"/>
      </w:pPr>
      <w:rPr>
        <w:rFonts w:ascii="Symbol" w:hAnsi="Symbol"/>
      </w:rPr>
    </w:lvl>
    <w:lvl w:ilvl="4" w:tplc="E84ADC94">
      <w:start w:val="1"/>
      <w:numFmt w:val="bullet"/>
      <w:lvlText w:val="o"/>
      <w:lvlJc w:val="left"/>
      <w:pPr>
        <w:tabs>
          <w:tab w:val="num" w:pos="3600"/>
        </w:tabs>
        <w:ind w:left="3600" w:hanging="360"/>
      </w:pPr>
      <w:rPr>
        <w:rFonts w:ascii="Courier New" w:hAnsi="Courier New"/>
      </w:rPr>
    </w:lvl>
    <w:lvl w:ilvl="5" w:tplc="D9F8A472">
      <w:start w:val="1"/>
      <w:numFmt w:val="bullet"/>
      <w:lvlText w:val=""/>
      <w:lvlJc w:val="left"/>
      <w:pPr>
        <w:tabs>
          <w:tab w:val="num" w:pos="4320"/>
        </w:tabs>
        <w:ind w:left="4320" w:hanging="360"/>
      </w:pPr>
      <w:rPr>
        <w:rFonts w:ascii="Wingdings" w:hAnsi="Wingdings"/>
      </w:rPr>
    </w:lvl>
    <w:lvl w:ilvl="6" w:tplc="3AE829D6">
      <w:start w:val="1"/>
      <w:numFmt w:val="bullet"/>
      <w:lvlText w:val=""/>
      <w:lvlJc w:val="left"/>
      <w:pPr>
        <w:tabs>
          <w:tab w:val="num" w:pos="5040"/>
        </w:tabs>
        <w:ind w:left="5040" w:hanging="360"/>
      </w:pPr>
      <w:rPr>
        <w:rFonts w:ascii="Symbol" w:hAnsi="Symbol"/>
      </w:rPr>
    </w:lvl>
    <w:lvl w:ilvl="7" w:tplc="66ECC2BE">
      <w:start w:val="1"/>
      <w:numFmt w:val="bullet"/>
      <w:lvlText w:val="o"/>
      <w:lvlJc w:val="left"/>
      <w:pPr>
        <w:tabs>
          <w:tab w:val="num" w:pos="5760"/>
        </w:tabs>
        <w:ind w:left="5760" w:hanging="360"/>
      </w:pPr>
      <w:rPr>
        <w:rFonts w:ascii="Courier New" w:hAnsi="Courier New"/>
      </w:rPr>
    </w:lvl>
    <w:lvl w:ilvl="8" w:tplc="7B7819B6">
      <w:start w:val="1"/>
      <w:numFmt w:val="bullet"/>
      <w:lvlText w:val=""/>
      <w:lvlJc w:val="left"/>
      <w:pPr>
        <w:tabs>
          <w:tab w:val="num" w:pos="6480"/>
        </w:tabs>
        <w:ind w:left="6480" w:hanging="360"/>
      </w:pPr>
      <w:rPr>
        <w:rFonts w:ascii="Wingdings" w:hAnsi="Wingdings"/>
      </w:rPr>
    </w:lvl>
  </w:abstractNum>
  <w:abstractNum w:abstractNumId="985" w15:restartNumberingAfterBreak="0">
    <w:nsid w:val="7223089B"/>
    <w:multiLevelType w:val="hybridMultilevel"/>
    <w:tmpl w:val="7223089B"/>
    <w:lvl w:ilvl="0" w:tplc="8124CE82">
      <w:start w:val="1"/>
      <w:numFmt w:val="bullet"/>
      <w:lvlText w:val=""/>
      <w:lvlJc w:val="left"/>
      <w:pPr>
        <w:ind w:left="720" w:hanging="360"/>
      </w:pPr>
      <w:rPr>
        <w:rFonts w:ascii="Symbol" w:hAnsi="Symbol"/>
      </w:rPr>
    </w:lvl>
    <w:lvl w:ilvl="1" w:tplc="CA883AEE">
      <w:start w:val="1"/>
      <w:numFmt w:val="bullet"/>
      <w:lvlText w:val="o"/>
      <w:lvlJc w:val="left"/>
      <w:pPr>
        <w:tabs>
          <w:tab w:val="num" w:pos="1440"/>
        </w:tabs>
        <w:ind w:left="1440" w:hanging="360"/>
      </w:pPr>
      <w:rPr>
        <w:rFonts w:ascii="Courier New" w:hAnsi="Courier New"/>
      </w:rPr>
    </w:lvl>
    <w:lvl w:ilvl="2" w:tplc="2C7026FC">
      <w:start w:val="1"/>
      <w:numFmt w:val="bullet"/>
      <w:lvlText w:val=""/>
      <w:lvlJc w:val="left"/>
      <w:pPr>
        <w:tabs>
          <w:tab w:val="num" w:pos="2160"/>
        </w:tabs>
        <w:ind w:left="2160" w:hanging="360"/>
      </w:pPr>
      <w:rPr>
        <w:rFonts w:ascii="Wingdings" w:hAnsi="Wingdings"/>
      </w:rPr>
    </w:lvl>
    <w:lvl w:ilvl="3" w:tplc="0694CAC2">
      <w:start w:val="1"/>
      <w:numFmt w:val="bullet"/>
      <w:lvlText w:val=""/>
      <w:lvlJc w:val="left"/>
      <w:pPr>
        <w:tabs>
          <w:tab w:val="num" w:pos="2880"/>
        </w:tabs>
        <w:ind w:left="2880" w:hanging="360"/>
      </w:pPr>
      <w:rPr>
        <w:rFonts w:ascii="Symbol" w:hAnsi="Symbol"/>
      </w:rPr>
    </w:lvl>
    <w:lvl w:ilvl="4" w:tplc="22B26046">
      <w:start w:val="1"/>
      <w:numFmt w:val="bullet"/>
      <w:lvlText w:val="o"/>
      <w:lvlJc w:val="left"/>
      <w:pPr>
        <w:tabs>
          <w:tab w:val="num" w:pos="3600"/>
        </w:tabs>
        <w:ind w:left="3600" w:hanging="360"/>
      </w:pPr>
      <w:rPr>
        <w:rFonts w:ascii="Courier New" w:hAnsi="Courier New"/>
      </w:rPr>
    </w:lvl>
    <w:lvl w:ilvl="5" w:tplc="C1A0C44C">
      <w:start w:val="1"/>
      <w:numFmt w:val="bullet"/>
      <w:lvlText w:val=""/>
      <w:lvlJc w:val="left"/>
      <w:pPr>
        <w:tabs>
          <w:tab w:val="num" w:pos="4320"/>
        </w:tabs>
        <w:ind w:left="4320" w:hanging="360"/>
      </w:pPr>
      <w:rPr>
        <w:rFonts w:ascii="Wingdings" w:hAnsi="Wingdings"/>
      </w:rPr>
    </w:lvl>
    <w:lvl w:ilvl="6" w:tplc="325A1C6A">
      <w:start w:val="1"/>
      <w:numFmt w:val="bullet"/>
      <w:lvlText w:val=""/>
      <w:lvlJc w:val="left"/>
      <w:pPr>
        <w:tabs>
          <w:tab w:val="num" w:pos="5040"/>
        </w:tabs>
        <w:ind w:left="5040" w:hanging="360"/>
      </w:pPr>
      <w:rPr>
        <w:rFonts w:ascii="Symbol" w:hAnsi="Symbol"/>
      </w:rPr>
    </w:lvl>
    <w:lvl w:ilvl="7" w:tplc="64104FD6">
      <w:start w:val="1"/>
      <w:numFmt w:val="bullet"/>
      <w:lvlText w:val="o"/>
      <w:lvlJc w:val="left"/>
      <w:pPr>
        <w:tabs>
          <w:tab w:val="num" w:pos="5760"/>
        </w:tabs>
        <w:ind w:left="5760" w:hanging="360"/>
      </w:pPr>
      <w:rPr>
        <w:rFonts w:ascii="Courier New" w:hAnsi="Courier New"/>
      </w:rPr>
    </w:lvl>
    <w:lvl w:ilvl="8" w:tplc="3BE4E36A">
      <w:start w:val="1"/>
      <w:numFmt w:val="bullet"/>
      <w:lvlText w:val=""/>
      <w:lvlJc w:val="left"/>
      <w:pPr>
        <w:tabs>
          <w:tab w:val="num" w:pos="6480"/>
        </w:tabs>
        <w:ind w:left="6480" w:hanging="360"/>
      </w:pPr>
      <w:rPr>
        <w:rFonts w:ascii="Wingdings" w:hAnsi="Wingdings"/>
      </w:rPr>
    </w:lvl>
  </w:abstractNum>
  <w:abstractNum w:abstractNumId="986" w15:restartNumberingAfterBreak="0">
    <w:nsid w:val="7223089C"/>
    <w:multiLevelType w:val="hybridMultilevel"/>
    <w:tmpl w:val="7223089C"/>
    <w:lvl w:ilvl="0" w:tplc="A662A28C">
      <w:start w:val="1"/>
      <w:numFmt w:val="bullet"/>
      <w:lvlText w:val=""/>
      <w:lvlJc w:val="left"/>
      <w:pPr>
        <w:ind w:left="720" w:hanging="360"/>
      </w:pPr>
      <w:rPr>
        <w:rFonts w:ascii="Symbol" w:hAnsi="Symbol"/>
      </w:rPr>
    </w:lvl>
    <w:lvl w:ilvl="1" w:tplc="63E249CC">
      <w:start w:val="1"/>
      <w:numFmt w:val="bullet"/>
      <w:lvlText w:val="o"/>
      <w:lvlJc w:val="left"/>
      <w:pPr>
        <w:tabs>
          <w:tab w:val="num" w:pos="1440"/>
        </w:tabs>
        <w:ind w:left="1440" w:hanging="360"/>
      </w:pPr>
      <w:rPr>
        <w:rFonts w:ascii="Courier New" w:hAnsi="Courier New"/>
      </w:rPr>
    </w:lvl>
    <w:lvl w:ilvl="2" w:tplc="81121D9C">
      <w:start w:val="1"/>
      <w:numFmt w:val="bullet"/>
      <w:lvlText w:val=""/>
      <w:lvlJc w:val="left"/>
      <w:pPr>
        <w:tabs>
          <w:tab w:val="num" w:pos="2160"/>
        </w:tabs>
        <w:ind w:left="2160" w:hanging="360"/>
      </w:pPr>
      <w:rPr>
        <w:rFonts w:ascii="Wingdings" w:hAnsi="Wingdings"/>
      </w:rPr>
    </w:lvl>
    <w:lvl w:ilvl="3" w:tplc="6AB8B218">
      <w:start w:val="1"/>
      <w:numFmt w:val="bullet"/>
      <w:lvlText w:val=""/>
      <w:lvlJc w:val="left"/>
      <w:pPr>
        <w:tabs>
          <w:tab w:val="num" w:pos="2880"/>
        </w:tabs>
        <w:ind w:left="2880" w:hanging="360"/>
      </w:pPr>
      <w:rPr>
        <w:rFonts w:ascii="Symbol" w:hAnsi="Symbol"/>
      </w:rPr>
    </w:lvl>
    <w:lvl w:ilvl="4" w:tplc="CADAA90A">
      <w:start w:val="1"/>
      <w:numFmt w:val="bullet"/>
      <w:lvlText w:val="o"/>
      <w:lvlJc w:val="left"/>
      <w:pPr>
        <w:tabs>
          <w:tab w:val="num" w:pos="3600"/>
        </w:tabs>
        <w:ind w:left="3600" w:hanging="360"/>
      </w:pPr>
      <w:rPr>
        <w:rFonts w:ascii="Courier New" w:hAnsi="Courier New"/>
      </w:rPr>
    </w:lvl>
    <w:lvl w:ilvl="5" w:tplc="841487CE">
      <w:start w:val="1"/>
      <w:numFmt w:val="bullet"/>
      <w:lvlText w:val=""/>
      <w:lvlJc w:val="left"/>
      <w:pPr>
        <w:tabs>
          <w:tab w:val="num" w:pos="4320"/>
        </w:tabs>
        <w:ind w:left="4320" w:hanging="360"/>
      </w:pPr>
      <w:rPr>
        <w:rFonts w:ascii="Wingdings" w:hAnsi="Wingdings"/>
      </w:rPr>
    </w:lvl>
    <w:lvl w:ilvl="6" w:tplc="66540692">
      <w:start w:val="1"/>
      <w:numFmt w:val="bullet"/>
      <w:lvlText w:val=""/>
      <w:lvlJc w:val="left"/>
      <w:pPr>
        <w:tabs>
          <w:tab w:val="num" w:pos="5040"/>
        </w:tabs>
        <w:ind w:left="5040" w:hanging="360"/>
      </w:pPr>
      <w:rPr>
        <w:rFonts w:ascii="Symbol" w:hAnsi="Symbol"/>
      </w:rPr>
    </w:lvl>
    <w:lvl w:ilvl="7" w:tplc="8AAA096A">
      <w:start w:val="1"/>
      <w:numFmt w:val="bullet"/>
      <w:lvlText w:val="o"/>
      <w:lvlJc w:val="left"/>
      <w:pPr>
        <w:tabs>
          <w:tab w:val="num" w:pos="5760"/>
        </w:tabs>
        <w:ind w:left="5760" w:hanging="360"/>
      </w:pPr>
      <w:rPr>
        <w:rFonts w:ascii="Courier New" w:hAnsi="Courier New"/>
      </w:rPr>
    </w:lvl>
    <w:lvl w:ilvl="8" w:tplc="A8D802CC">
      <w:start w:val="1"/>
      <w:numFmt w:val="bullet"/>
      <w:lvlText w:val=""/>
      <w:lvlJc w:val="left"/>
      <w:pPr>
        <w:tabs>
          <w:tab w:val="num" w:pos="6480"/>
        </w:tabs>
        <w:ind w:left="6480" w:hanging="360"/>
      </w:pPr>
      <w:rPr>
        <w:rFonts w:ascii="Wingdings" w:hAnsi="Wingdings"/>
      </w:rPr>
    </w:lvl>
  </w:abstractNum>
  <w:abstractNum w:abstractNumId="987" w15:restartNumberingAfterBreak="0">
    <w:nsid w:val="7223089D"/>
    <w:multiLevelType w:val="hybridMultilevel"/>
    <w:tmpl w:val="7223089D"/>
    <w:lvl w:ilvl="0" w:tplc="22A223E0">
      <w:start w:val="1"/>
      <w:numFmt w:val="bullet"/>
      <w:lvlText w:val=""/>
      <w:lvlJc w:val="left"/>
      <w:pPr>
        <w:ind w:left="720" w:hanging="360"/>
      </w:pPr>
      <w:rPr>
        <w:rFonts w:ascii="Symbol" w:hAnsi="Symbol"/>
      </w:rPr>
    </w:lvl>
    <w:lvl w:ilvl="1" w:tplc="B53C3694">
      <w:start w:val="1"/>
      <w:numFmt w:val="bullet"/>
      <w:lvlText w:val="o"/>
      <w:lvlJc w:val="left"/>
      <w:pPr>
        <w:tabs>
          <w:tab w:val="num" w:pos="1440"/>
        </w:tabs>
        <w:ind w:left="1440" w:hanging="360"/>
      </w:pPr>
      <w:rPr>
        <w:rFonts w:ascii="Courier New" w:hAnsi="Courier New"/>
      </w:rPr>
    </w:lvl>
    <w:lvl w:ilvl="2" w:tplc="1F56A006">
      <w:start w:val="1"/>
      <w:numFmt w:val="bullet"/>
      <w:lvlText w:val=""/>
      <w:lvlJc w:val="left"/>
      <w:pPr>
        <w:tabs>
          <w:tab w:val="num" w:pos="2160"/>
        </w:tabs>
        <w:ind w:left="2160" w:hanging="360"/>
      </w:pPr>
      <w:rPr>
        <w:rFonts w:ascii="Wingdings" w:hAnsi="Wingdings"/>
      </w:rPr>
    </w:lvl>
    <w:lvl w:ilvl="3" w:tplc="936C3DE2">
      <w:start w:val="1"/>
      <w:numFmt w:val="bullet"/>
      <w:lvlText w:val=""/>
      <w:lvlJc w:val="left"/>
      <w:pPr>
        <w:tabs>
          <w:tab w:val="num" w:pos="2880"/>
        </w:tabs>
        <w:ind w:left="2880" w:hanging="360"/>
      </w:pPr>
      <w:rPr>
        <w:rFonts w:ascii="Symbol" w:hAnsi="Symbol"/>
      </w:rPr>
    </w:lvl>
    <w:lvl w:ilvl="4" w:tplc="67EAF800">
      <w:start w:val="1"/>
      <w:numFmt w:val="bullet"/>
      <w:lvlText w:val="o"/>
      <w:lvlJc w:val="left"/>
      <w:pPr>
        <w:tabs>
          <w:tab w:val="num" w:pos="3600"/>
        </w:tabs>
        <w:ind w:left="3600" w:hanging="360"/>
      </w:pPr>
      <w:rPr>
        <w:rFonts w:ascii="Courier New" w:hAnsi="Courier New"/>
      </w:rPr>
    </w:lvl>
    <w:lvl w:ilvl="5" w:tplc="9CACDF86">
      <w:start w:val="1"/>
      <w:numFmt w:val="bullet"/>
      <w:lvlText w:val=""/>
      <w:lvlJc w:val="left"/>
      <w:pPr>
        <w:tabs>
          <w:tab w:val="num" w:pos="4320"/>
        </w:tabs>
        <w:ind w:left="4320" w:hanging="360"/>
      </w:pPr>
      <w:rPr>
        <w:rFonts w:ascii="Wingdings" w:hAnsi="Wingdings"/>
      </w:rPr>
    </w:lvl>
    <w:lvl w:ilvl="6" w:tplc="D7464708">
      <w:start w:val="1"/>
      <w:numFmt w:val="bullet"/>
      <w:lvlText w:val=""/>
      <w:lvlJc w:val="left"/>
      <w:pPr>
        <w:tabs>
          <w:tab w:val="num" w:pos="5040"/>
        </w:tabs>
        <w:ind w:left="5040" w:hanging="360"/>
      </w:pPr>
      <w:rPr>
        <w:rFonts w:ascii="Symbol" w:hAnsi="Symbol"/>
      </w:rPr>
    </w:lvl>
    <w:lvl w:ilvl="7" w:tplc="7F9C12D0">
      <w:start w:val="1"/>
      <w:numFmt w:val="bullet"/>
      <w:lvlText w:val="o"/>
      <w:lvlJc w:val="left"/>
      <w:pPr>
        <w:tabs>
          <w:tab w:val="num" w:pos="5760"/>
        </w:tabs>
        <w:ind w:left="5760" w:hanging="360"/>
      </w:pPr>
      <w:rPr>
        <w:rFonts w:ascii="Courier New" w:hAnsi="Courier New"/>
      </w:rPr>
    </w:lvl>
    <w:lvl w:ilvl="8" w:tplc="1DC68CF0">
      <w:start w:val="1"/>
      <w:numFmt w:val="bullet"/>
      <w:lvlText w:val=""/>
      <w:lvlJc w:val="left"/>
      <w:pPr>
        <w:tabs>
          <w:tab w:val="num" w:pos="6480"/>
        </w:tabs>
        <w:ind w:left="6480" w:hanging="360"/>
      </w:pPr>
      <w:rPr>
        <w:rFonts w:ascii="Wingdings" w:hAnsi="Wingdings"/>
      </w:rPr>
    </w:lvl>
  </w:abstractNum>
  <w:abstractNum w:abstractNumId="988" w15:restartNumberingAfterBreak="0">
    <w:nsid w:val="7223089E"/>
    <w:multiLevelType w:val="hybridMultilevel"/>
    <w:tmpl w:val="7223089E"/>
    <w:lvl w:ilvl="0" w:tplc="4C26C536">
      <w:start w:val="1"/>
      <w:numFmt w:val="bullet"/>
      <w:lvlText w:val=""/>
      <w:lvlJc w:val="left"/>
      <w:pPr>
        <w:ind w:left="720" w:hanging="360"/>
      </w:pPr>
      <w:rPr>
        <w:rFonts w:ascii="Symbol" w:hAnsi="Symbol"/>
      </w:rPr>
    </w:lvl>
    <w:lvl w:ilvl="1" w:tplc="5E3C788A">
      <w:start w:val="1"/>
      <w:numFmt w:val="bullet"/>
      <w:lvlText w:val="o"/>
      <w:lvlJc w:val="left"/>
      <w:pPr>
        <w:tabs>
          <w:tab w:val="num" w:pos="1440"/>
        </w:tabs>
        <w:ind w:left="1440" w:hanging="360"/>
      </w:pPr>
      <w:rPr>
        <w:rFonts w:ascii="Courier New" w:hAnsi="Courier New"/>
      </w:rPr>
    </w:lvl>
    <w:lvl w:ilvl="2" w:tplc="D0D88C94">
      <w:start w:val="1"/>
      <w:numFmt w:val="bullet"/>
      <w:lvlText w:val=""/>
      <w:lvlJc w:val="left"/>
      <w:pPr>
        <w:tabs>
          <w:tab w:val="num" w:pos="2160"/>
        </w:tabs>
        <w:ind w:left="2160" w:hanging="360"/>
      </w:pPr>
      <w:rPr>
        <w:rFonts w:ascii="Wingdings" w:hAnsi="Wingdings"/>
      </w:rPr>
    </w:lvl>
    <w:lvl w:ilvl="3" w:tplc="A8E00EC4">
      <w:start w:val="1"/>
      <w:numFmt w:val="bullet"/>
      <w:lvlText w:val=""/>
      <w:lvlJc w:val="left"/>
      <w:pPr>
        <w:tabs>
          <w:tab w:val="num" w:pos="2880"/>
        </w:tabs>
        <w:ind w:left="2880" w:hanging="360"/>
      </w:pPr>
      <w:rPr>
        <w:rFonts w:ascii="Symbol" w:hAnsi="Symbol"/>
      </w:rPr>
    </w:lvl>
    <w:lvl w:ilvl="4" w:tplc="CEAC218A">
      <w:start w:val="1"/>
      <w:numFmt w:val="bullet"/>
      <w:lvlText w:val="o"/>
      <w:lvlJc w:val="left"/>
      <w:pPr>
        <w:tabs>
          <w:tab w:val="num" w:pos="3600"/>
        </w:tabs>
        <w:ind w:left="3600" w:hanging="360"/>
      </w:pPr>
      <w:rPr>
        <w:rFonts w:ascii="Courier New" w:hAnsi="Courier New"/>
      </w:rPr>
    </w:lvl>
    <w:lvl w:ilvl="5" w:tplc="FE7441BA">
      <w:start w:val="1"/>
      <w:numFmt w:val="bullet"/>
      <w:lvlText w:val=""/>
      <w:lvlJc w:val="left"/>
      <w:pPr>
        <w:tabs>
          <w:tab w:val="num" w:pos="4320"/>
        </w:tabs>
        <w:ind w:left="4320" w:hanging="360"/>
      </w:pPr>
      <w:rPr>
        <w:rFonts w:ascii="Wingdings" w:hAnsi="Wingdings"/>
      </w:rPr>
    </w:lvl>
    <w:lvl w:ilvl="6" w:tplc="017E7614">
      <w:start w:val="1"/>
      <w:numFmt w:val="bullet"/>
      <w:lvlText w:val=""/>
      <w:lvlJc w:val="left"/>
      <w:pPr>
        <w:tabs>
          <w:tab w:val="num" w:pos="5040"/>
        </w:tabs>
        <w:ind w:left="5040" w:hanging="360"/>
      </w:pPr>
      <w:rPr>
        <w:rFonts w:ascii="Symbol" w:hAnsi="Symbol"/>
      </w:rPr>
    </w:lvl>
    <w:lvl w:ilvl="7" w:tplc="3B2ED982">
      <w:start w:val="1"/>
      <w:numFmt w:val="bullet"/>
      <w:lvlText w:val="o"/>
      <w:lvlJc w:val="left"/>
      <w:pPr>
        <w:tabs>
          <w:tab w:val="num" w:pos="5760"/>
        </w:tabs>
        <w:ind w:left="5760" w:hanging="360"/>
      </w:pPr>
      <w:rPr>
        <w:rFonts w:ascii="Courier New" w:hAnsi="Courier New"/>
      </w:rPr>
    </w:lvl>
    <w:lvl w:ilvl="8" w:tplc="F500836E">
      <w:start w:val="1"/>
      <w:numFmt w:val="bullet"/>
      <w:lvlText w:val=""/>
      <w:lvlJc w:val="left"/>
      <w:pPr>
        <w:tabs>
          <w:tab w:val="num" w:pos="6480"/>
        </w:tabs>
        <w:ind w:left="6480" w:hanging="360"/>
      </w:pPr>
      <w:rPr>
        <w:rFonts w:ascii="Wingdings" w:hAnsi="Wingdings"/>
      </w:rPr>
    </w:lvl>
  </w:abstractNum>
  <w:abstractNum w:abstractNumId="989" w15:restartNumberingAfterBreak="0">
    <w:nsid w:val="7223089F"/>
    <w:multiLevelType w:val="hybridMultilevel"/>
    <w:tmpl w:val="7223089F"/>
    <w:lvl w:ilvl="0" w:tplc="73923CAC">
      <w:start w:val="1"/>
      <w:numFmt w:val="bullet"/>
      <w:lvlText w:val=""/>
      <w:lvlJc w:val="left"/>
      <w:pPr>
        <w:ind w:left="720" w:hanging="360"/>
      </w:pPr>
      <w:rPr>
        <w:rFonts w:ascii="Symbol" w:hAnsi="Symbol"/>
      </w:rPr>
    </w:lvl>
    <w:lvl w:ilvl="1" w:tplc="E8BE7192">
      <w:start w:val="1"/>
      <w:numFmt w:val="bullet"/>
      <w:lvlText w:val="o"/>
      <w:lvlJc w:val="left"/>
      <w:pPr>
        <w:tabs>
          <w:tab w:val="num" w:pos="1440"/>
        </w:tabs>
        <w:ind w:left="1440" w:hanging="360"/>
      </w:pPr>
      <w:rPr>
        <w:rFonts w:ascii="Courier New" w:hAnsi="Courier New"/>
      </w:rPr>
    </w:lvl>
    <w:lvl w:ilvl="2" w:tplc="4D4E389E">
      <w:start w:val="1"/>
      <w:numFmt w:val="bullet"/>
      <w:lvlText w:val=""/>
      <w:lvlJc w:val="left"/>
      <w:pPr>
        <w:tabs>
          <w:tab w:val="num" w:pos="2160"/>
        </w:tabs>
        <w:ind w:left="2160" w:hanging="360"/>
      </w:pPr>
      <w:rPr>
        <w:rFonts w:ascii="Wingdings" w:hAnsi="Wingdings"/>
      </w:rPr>
    </w:lvl>
    <w:lvl w:ilvl="3" w:tplc="7BBC626E">
      <w:start w:val="1"/>
      <w:numFmt w:val="bullet"/>
      <w:lvlText w:val=""/>
      <w:lvlJc w:val="left"/>
      <w:pPr>
        <w:tabs>
          <w:tab w:val="num" w:pos="2880"/>
        </w:tabs>
        <w:ind w:left="2880" w:hanging="360"/>
      </w:pPr>
      <w:rPr>
        <w:rFonts w:ascii="Symbol" w:hAnsi="Symbol"/>
      </w:rPr>
    </w:lvl>
    <w:lvl w:ilvl="4" w:tplc="919A3C18">
      <w:start w:val="1"/>
      <w:numFmt w:val="bullet"/>
      <w:lvlText w:val="o"/>
      <w:lvlJc w:val="left"/>
      <w:pPr>
        <w:tabs>
          <w:tab w:val="num" w:pos="3600"/>
        </w:tabs>
        <w:ind w:left="3600" w:hanging="360"/>
      </w:pPr>
      <w:rPr>
        <w:rFonts w:ascii="Courier New" w:hAnsi="Courier New"/>
      </w:rPr>
    </w:lvl>
    <w:lvl w:ilvl="5" w:tplc="E5A20AA6">
      <w:start w:val="1"/>
      <w:numFmt w:val="bullet"/>
      <w:lvlText w:val=""/>
      <w:lvlJc w:val="left"/>
      <w:pPr>
        <w:tabs>
          <w:tab w:val="num" w:pos="4320"/>
        </w:tabs>
        <w:ind w:left="4320" w:hanging="360"/>
      </w:pPr>
      <w:rPr>
        <w:rFonts w:ascii="Wingdings" w:hAnsi="Wingdings"/>
      </w:rPr>
    </w:lvl>
    <w:lvl w:ilvl="6" w:tplc="C3A4DE18">
      <w:start w:val="1"/>
      <w:numFmt w:val="bullet"/>
      <w:lvlText w:val=""/>
      <w:lvlJc w:val="left"/>
      <w:pPr>
        <w:tabs>
          <w:tab w:val="num" w:pos="5040"/>
        </w:tabs>
        <w:ind w:left="5040" w:hanging="360"/>
      </w:pPr>
      <w:rPr>
        <w:rFonts w:ascii="Symbol" w:hAnsi="Symbol"/>
      </w:rPr>
    </w:lvl>
    <w:lvl w:ilvl="7" w:tplc="FB104AEE">
      <w:start w:val="1"/>
      <w:numFmt w:val="bullet"/>
      <w:lvlText w:val="o"/>
      <w:lvlJc w:val="left"/>
      <w:pPr>
        <w:tabs>
          <w:tab w:val="num" w:pos="5760"/>
        </w:tabs>
        <w:ind w:left="5760" w:hanging="360"/>
      </w:pPr>
      <w:rPr>
        <w:rFonts w:ascii="Courier New" w:hAnsi="Courier New"/>
      </w:rPr>
    </w:lvl>
    <w:lvl w:ilvl="8" w:tplc="1F123510">
      <w:start w:val="1"/>
      <w:numFmt w:val="bullet"/>
      <w:lvlText w:val=""/>
      <w:lvlJc w:val="left"/>
      <w:pPr>
        <w:tabs>
          <w:tab w:val="num" w:pos="6480"/>
        </w:tabs>
        <w:ind w:left="6480" w:hanging="360"/>
      </w:pPr>
      <w:rPr>
        <w:rFonts w:ascii="Wingdings" w:hAnsi="Wingdings"/>
      </w:rPr>
    </w:lvl>
  </w:abstractNum>
  <w:abstractNum w:abstractNumId="990" w15:restartNumberingAfterBreak="0">
    <w:nsid w:val="722308A0"/>
    <w:multiLevelType w:val="hybridMultilevel"/>
    <w:tmpl w:val="722308A0"/>
    <w:lvl w:ilvl="0" w:tplc="8C122D2C">
      <w:start w:val="1"/>
      <w:numFmt w:val="bullet"/>
      <w:lvlText w:val=""/>
      <w:lvlJc w:val="left"/>
      <w:pPr>
        <w:ind w:left="720" w:hanging="360"/>
      </w:pPr>
      <w:rPr>
        <w:rFonts w:ascii="Symbol" w:hAnsi="Symbol"/>
      </w:rPr>
    </w:lvl>
    <w:lvl w:ilvl="1" w:tplc="5790B842">
      <w:start w:val="1"/>
      <w:numFmt w:val="bullet"/>
      <w:lvlText w:val="o"/>
      <w:lvlJc w:val="left"/>
      <w:pPr>
        <w:tabs>
          <w:tab w:val="num" w:pos="1440"/>
        </w:tabs>
        <w:ind w:left="1440" w:hanging="360"/>
      </w:pPr>
      <w:rPr>
        <w:rFonts w:ascii="Courier New" w:hAnsi="Courier New"/>
      </w:rPr>
    </w:lvl>
    <w:lvl w:ilvl="2" w:tplc="612E93F8">
      <w:start w:val="1"/>
      <w:numFmt w:val="bullet"/>
      <w:lvlText w:val=""/>
      <w:lvlJc w:val="left"/>
      <w:pPr>
        <w:tabs>
          <w:tab w:val="num" w:pos="2160"/>
        </w:tabs>
        <w:ind w:left="2160" w:hanging="360"/>
      </w:pPr>
      <w:rPr>
        <w:rFonts w:ascii="Wingdings" w:hAnsi="Wingdings"/>
      </w:rPr>
    </w:lvl>
    <w:lvl w:ilvl="3" w:tplc="1DE6534E">
      <w:start w:val="1"/>
      <w:numFmt w:val="bullet"/>
      <w:lvlText w:val=""/>
      <w:lvlJc w:val="left"/>
      <w:pPr>
        <w:tabs>
          <w:tab w:val="num" w:pos="2880"/>
        </w:tabs>
        <w:ind w:left="2880" w:hanging="360"/>
      </w:pPr>
      <w:rPr>
        <w:rFonts w:ascii="Symbol" w:hAnsi="Symbol"/>
      </w:rPr>
    </w:lvl>
    <w:lvl w:ilvl="4" w:tplc="505C3676">
      <w:start w:val="1"/>
      <w:numFmt w:val="bullet"/>
      <w:lvlText w:val="o"/>
      <w:lvlJc w:val="left"/>
      <w:pPr>
        <w:tabs>
          <w:tab w:val="num" w:pos="3600"/>
        </w:tabs>
        <w:ind w:left="3600" w:hanging="360"/>
      </w:pPr>
      <w:rPr>
        <w:rFonts w:ascii="Courier New" w:hAnsi="Courier New"/>
      </w:rPr>
    </w:lvl>
    <w:lvl w:ilvl="5" w:tplc="B1D60D82">
      <w:start w:val="1"/>
      <w:numFmt w:val="bullet"/>
      <w:lvlText w:val=""/>
      <w:lvlJc w:val="left"/>
      <w:pPr>
        <w:tabs>
          <w:tab w:val="num" w:pos="4320"/>
        </w:tabs>
        <w:ind w:left="4320" w:hanging="360"/>
      </w:pPr>
      <w:rPr>
        <w:rFonts w:ascii="Wingdings" w:hAnsi="Wingdings"/>
      </w:rPr>
    </w:lvl>
    <w:lvl w:ilvl="6" w:tplc="76086B98">
      <w:start w:val="1"/>
      <w:numFmt w:val="bullet"/>
      <w:lvlText w:val=""/>
      <w:lvlJc w:val="left"/>
      <w:pPr>
        <w:tabs>
          <w:tab w:val="num" w:pos="5040"/>
        </w:tabs>
        <w:ind w:left="5040" w:hanging="360"/>
      </w:pPr>
      <w:rPr>
        <w:rFonts w:ascii="Symbol" w:hAnsi="Symbol"/>
      </w:rPr>
    </w:lvl>
    <w:lvl w:ilvl="7" w:tplc="0296A744">
      <w:start w:val="1"/>
      <w:numFmt w:val="bullet"/>
      <w:lvlText w:val="o"/>
      <w:lvlJc w:val="left"/>
      <w:pPr>
        <w:tabs>
          <w:tab w:val="num" w:pos="5760"/>
        </w:tabs>
        <w:ind w:left="5760" w:hanging="360"/>
      </w:pPr>
      <w:rPr>
        <w:rFonts w:ascii="Courier New" w:hAnsi="Courier New"/>
      </w:rPr>
    </w:lvl>
    <w:lvl w:ilvl="8" w:tplc="774ACB20">
      <w:start w:val="1"/>
      <w:numFmt w:val="bullet"/>
      <w:lvlText w:val=""/>
      <w:lvlJc w:val="left"/>
      <w:pPr>
        <w:tabs>
          <w:tab w:val="num" w:pos="6480"/>
        </w:tabs>
        <w:ind w:left="6480" w:hanging="360"/>
      </w:pPr>
      <w:rPr>
        <w:rFonts w:ascii="Wingdings" w:hAnsi="Wingdings"/>
      </w:rPr>
    </w:lvl>
  </w:abstractNum>
  <w:abstractNum w:abstractNumId="991" w15:restartNumberingAfterBreak="0">
    <w:nsid w:val="722308A1"/>
    <w:multiLevelType w:val="hybridMultilevel"/>
    <w:tmpl w:val="722308A1"/>
    <w:lvl w:ilvl="0" w:tplc="4C74620A">
      <w:start w:val="1"/>
      <w:numFmt w:val="bullet"/>
      <w:lvlText w:val="o"/>
      <w:lvlJc w:val="left"/>
      <w:pPr>
        <w:ind w:left="720" w:hanging="360"/>
      </w:pPr>
      <w:rPr>
        <w:rFonts w:ascii="Courier New" w:hAnsi="Courier New"/>
      </w:rPr>
    </w:lvl>
    <w:lvl w:ilvl="1" w:tplc="8E98D972">
      <w:start w:val="1"/>
      <w:numFmt w:val="bullet"/>
      <w:lvlText w:val="o"/>
      <w:lvlJc w:val="left"/>
      <w:pPr>
        <w:ind w:left="1440" w:hanging="360"/>
      </w:pPr>
      <w:rPr>
        <w:rFonts w:ascii="Courier New" w:hAnsi="Courier New"/>
      </w:rPr>
    </w:lvl>
    <w:lvl w:ilvl="2" w:tplc="AAC01B62">
      <w:start w:val="1"/>
      <w:numFmt w:val="bullet"/>
      <w:lvlText w:val=""/>
      <w:lvlJc w:val="left"/>
      <w:pPr>
        <w:ind w:left="2160" w:hanging="360"/>
      </w:pPr>
      <w:rPr>
        <w:rFonts w:ascii="Wingdings" w:hAnsi="Wingdings"/>
      </w:rPr>
    </w:lvl>
    <w:lvl w:ilvl="3" w:tplc="E4784C74">
      <w:start w:val="1"/>
      <w:numFmt w:val="bullet"/>
      <w:lvlText w:val=""/>
      <w:lvlJc w:val="left"/>
      <w:pPr>
        <w:tabs>
          <w:tab w:val="num" w:pos="2880"/>
        </w:tabs>
        <w:ind w:left="2880" w:hanging="360"/>
      </w:pPr>
      <w:rPr>
        <w:rFonts w:ascii="Symbol" w:hAnsi="Symbol"/>
      </w:rPr>
    </w:lvl>
    <w:lvl w:ilvl="4" w:tplc="7A1ADCEE">
      <w:start w:val="1"/>
      <w:numFmt w:val="bullet"/>
      <w:lvlText w:val="o"/>
      <w:lvlJc w:val="left"/>
      <w:pPr>
        <w:tabs>
          <w:tab w:val="num" w:pos="3600"/>
        </w:tabs>
        <w:ind w:left="3600" w:hanging="360"/>
      </w:pPr>
      <w:rPr>
        <w:rFonts w:ascii="Courier New" w:hAnsi="Courier New"/>
      </w:rPr>
    </w:lvl>
    <w:lvl w:ilvl="5" w:tplc="402E7754">
      <w:start w:val="1"/>
      <w:numFmt w:val="bullet"/>
      <w:lvlText w:val=""/>
      <w:lvlJc w:val="left"/>
      <w:pPr>
        <w:tabs>
          <w:tab w:val="num" w:pos="4320"/>
        </w:tabs>
        <w:ind w:left="4320" w:hanging="360"/>
      </w:pPr>
      <w:rPr>
        <w:rFonts w:ascii="Wingdings" w:hAnsi="Wingdings"/>
      </w:rPr>
    </w:lvl>
    <w:lvl w:ilvl="6" w:tplc="51CC6044">
      <w:start w:val="1"/>
      <w:numFmt w:val="bullet"/>
      <w:lvlText w:val=""/>
      <w:lvlJc w:val="left"/>
      <w:pPr>
        <w:tabs>
          <w:tab w:val="num" w:pos="5040"/>
        </w:tabs>
        <w:ind w:left="5040" w:hanging="360"/>
      </w:pPr>
      <w:rPr>
        <w:rFonts w:ascii="Symbol" w:hAnsi="Symbol"/>
      </w:rPr>
    </w:lvl>
    <w:lvl w:ilvl="7" w:tplc="68D8B3C8">
      <w:start w:val="1"/>
      <w:numFmt w:val="bullet"/>
      <w:lvlText w:val="o"/>
      <w:lvlJc w:val="left"/>
      <w:pPr>
        <w:tabs>
          <w:tab w:val="num" w:pos="5760"/>
        </w:tabs>
        <w:ind w:left="5760" w:hanging="360"/>
      </w:pPr>
      <w:rPr>
        <w:rFonts w:ascii="Courier New" w:hAnsi="Courier New"/>
      </w:rPr>
    </w:lvl>
    <w:lvl w:ilvl="8" w:tplc="9E6C15F4">
      <w:start w:val="1"/>
      <w:numFmt w:val="bullet"/>
      <w:lvlText w:val=""/>
      <w:lvlJc w:val="left"/>
      <w:pPr>
        <w:tabs>
          <w:tab w:val="num" w:pos="6480"/>
        </w:tabs>
        <w:ind w:left="6480" w:hanging="360"/>
      </w:pPr>
      <w:rPr>
        <w:rFonts w:ascii="Wingdings" w:hAnsi="Wingdings"/>
      </w:rPr>
    </w:lvl>
  </w:abstractNum>
  <w:abstractNum w:abstractNumId="992" w15:restartNumberingAfterBreak="0">
    <w:nsid w:val="722308A2"/>
    <w:multiLevelType w:val="hybridMultilevel"/>
    <w:tmpl w:val="722308A2"/>
    <w:lvl w:ilvl="0" w:tplc="F65AA34A">
      <w:start w:val="1"/>
      <w:numFmt w:val="bullet"/>
      <w:lvlText w:val="o"/>
      <w:lvlJc w:val="left"/>
      <w:pPr>
        <w:ind w:left="720" w:hanging="360"/>
      </w:pPr>
      <w:rPr>
        <w:rFonts w:ascii="Courier New" w:hAnsi="Courier New"/>
      </w:rPr>
    </w:lvl>
    <w:lvl w:ilvl="1" w:tplc="F7D8A562">
      <w:start w:val="1"/>
      <w:numFmt w:val="bullet"/>
      <w:lvlText w:val="o"/>
      <w:lvlJc w:val="left"/>
      <w:pPr>
        <w:ind w:left="1440" w:hanging="360"/>
      </w:pPr>
      <w:rPr>
        <w:rFonts w:ascii="Courier New" w:hAnsi="Courier New"/>
      </w:rPr>
    </w:lvl>
    <w:lvl w:ilvl="2" w:tplc="1D6C3FFE">
      <w:start w:val="1"/>
      <w:numFmt w:val="bullet"/>
      <w:lvlText w:val=""/>
      <w:lvlJc w:val="left"/>
      <w:pPr>
        <w:ind w:left="2160" w:hanging="360"/>
      </w:pPr>
      <w:rPr>
        <w:rFonts w:ascii="Wingdings" w:hAnsi="Wingdings"/>
      </w:rPr>
    </w:lvl>
    <w:lvl w:ilvl="3" w:tplc="54D264D4">
      <w:start w:val="1"/>
      <w:numFmt w:val="bullet"/>
      <w:lvlText w:val=""/>
      <w:lvlJc w:val="left"/>
      <w:pPr>
        <w:tabs>
          <w:tab w:val="num" w:pos="2880"/>
        </w:tabs>
        <w:ind w:left="2880" w:hanging="360"/>
      </w:pPr>
      <w:rPr>
        <w:rFonts w:ascii="Symbol" w:hAnsi="Symbol"/>
      </w:rPr>
    </w:lvl>
    <w:lvl w:ilvl="4" w:tplc="730AAEE6">
      <w:start w:val="1"/>
      <w:numFmt w:val="bullet"/>
      <w:lvlText w:val="o"/>
      <w:lvlJc w:val="left"/>
      <w:pPr>
        <w:tabs>
          <w:tab w:val="num" w:pos="3600"/>
        </w:tabs>
        <w:ind w:left="3600" w:hanging="360"/>
      </w:pPr>
      <w:rPr>
        <w:rFonts w:ascii="Courier New" w:hAnsi="Courier New"/>
      </w:rPr>
    </w:lvl>
    <w:lvl w:ilvl="5" w:tplc="4BD24F7C">
      <w:start w:val="1"/>
      <w:numFmt w:val="bullet"/>
      <w:lvlText w:val=""/>
      <w:lvlJc w:val="left"/>
      <w:pPr>
        <w:tabs>
          <w:tab w:val="num" w:pos="4320"/>
        </w:tabs>
        <w:ind w:left="4320" w:hanging="360"/>
      </w:pPr>
      <w:rPr>
        <w:rFonts w:ascii="Wingdings" w:hAnsi="Wingdings"/>
      </w:rPr>
    </w:lvl>
    <w:lvl w:ilvl="6" w:tplc="A17A75D8">
      <w:start w:val="1"/>
      <w:numFmt w:val="bullet"/>
      <w:lvlText w:val=""/>
      <w:lvlJc w:val="left"/>
      <w:pPr>
        <w:tabs>
          <w:tab w:val="num" w:pos="5040"/>
        </w:tabs>
        <w:ind w:left="5040" w:hanging="360"/>
      </w:pPr>
      <w:rPr>
        <w:rFonts w:ascii="Symbol" w:hAnsi="Symbol"/>
      </w:rPr>
    </w:lvl>
    <w:lvl w:ilvl="7" w:tplc="8196D756">
      <w:start w:val="1"/>
      <w:numFmt w:val="bullet"/>
      <w:lvlText w:val="o"/>
      <w:lvlJc w:val="left"/>
      <w:pPr>
        <w:tabs>
          <w:tab w:val="num" w:pos="5760"/>
        </w:tabs>
        <w:ind w:left="5760" w:hanging="360"/>
      </w:pPr>
      <w:rPr>
        <w:rFonts w:ascii="Courier New" w:hAnsi="Courier New"/>
      </w:rPr>
    </w:lvl>
    <w:lvl w:ilvl="8" w:tplc="AE86D2D4">
      <w:start w:val="1"/>
      <w:numFmt w:val="bullet"/>
      <w:lvlText w:val=""/>
      <w:lvlJc w:val="left"/>
      <w:pPr>
        <w:tabs>
          <w:tab w:val="num" w:pos="6480"/>
        </w:tabs>
        <w:ind w:left="6480" w:hanging="360"/>
      </w:pPr>
      <w:rPr>
        <w:rFonts w:ascii="Wingdings" w:hAnsi="Wingdings"/>
      </w:rPr>
    </w:lvl>
  </w:abstractNum>
  <w:abstractNum w:abstractNumId="993" w15:restartNumberingAfterBreak="0">
    <w:nsid w:val="722308A3"/>
    <w:multiLevelType w:val="hybridMultilevel"/>
    <w:tmpl w:val="722308A3"/>
    <w:lvl w:ilvl="0" w:tplc="C39E071A">
      <w:start w:val="1"/>
      <w:numFmt w:val="bullet"/>
      <w:lvlText w:val=""/>
      <w:lvlJc w:val="left"/>
      <w:pPr>
        <w:ind w:left="720" w:hanging="360"/>
      </w:pPr>
      <w:rPr>
        <w:rFonts w:ascii="Symbol" w:hAnsi="Symbol"/>
      </w:rPr>
    </w:lvl>
    <w:lvl w:ilvl="1" w:tplc="DDCA1020">
      <w:start w:val="1"/>
      <w:numFmt w:val="bullet"/>
      <w:lvlText w:val="o"/>
      <w:lvlJc w:val="left"/>
      <w:pPr>
        <w:tabs>
          <w:tab w:val="num" w:pos="1440"/>
        </w:tabs>
        <w:ind w:left="1440" w:hanging="360"/>
      </w:pPr>
      <w:rPr>
        <w:rFonts w:ascii="Courier New" w:hAnsi="Courier New"/>
      </w:rPr>
    </w:lvl>
    <w:lvl w:ilvl="2" w:tplc="203CFB0C">
      <w:start w:val="1"/>
      <w:numFmt w:val="bullet"/>
      <w:lvlText w:val=""/>
      <w:lvlJc w:val="left"/>
      <w:pPr>
        <w:tabs>
          <w:tab w:val="num" w:pos="2160"/>
        </w:tabs>
        <w:ind w:left="2160" w:hanging="360"/>
      </w:pPr>
      <w:rPr>
        <w:rFonts w:ascii="Wingdings" w:hAnsi="Wingdings"/>
      </w:rPr>
    </w:lvl>
    <w:lvl w:ilvl="3" w:tplc="A118999C">
      <w:start w:val="1"/>
      <w:numFmt w:val="bullet"/>
      <w:lvlText w:val=""/>
      <w:lvlJc w:val="left"/>
      <w:pPr>
        <w:tabs>
          <w:tab w:val="num" w:pos="2880"/>
        </w:tabs>
        <w:ind w:left="2880" w:hanging="360"/>
      </w:pPr>
      <w:rPr>
        <w:rFonts w:ascii="Symbol" w:hAnsi="Symbol"/>
      </w:rPr>
    </w:lvl>
    <w:lvl w:ilvl="4" w:tplc="81647EC6">
      <w:start w:val="1"/>
      <w:numFmt w:val="bullet"/>
      <w:lvlText w:val="o"/>
      <w:lvlJc w:val="left"/>
      <w:pPr>
        <w:tabs>
          <w:tab w:val="num" w:pos="3600"/>
        </w:tabs>
        <w:ind w:left="3600" w:hanging="360"/>
      </w:pPr>
      <w:rPr>
        <w:rFonts w:ascii="Courier New" w:hAnsi="Courier New"/>
      </w:rPr>
    </w:lvl>
    <w:lvl w:ilvl="5" w:tplc="F89C0824">
      <w:start w:val="1"/>
      <w:numFmt w:val="bullet"/>
      <w:lvlText w:val=""/>
      <w:lvlJc w:val="left"/>
      <w:pPr>
        <w:tabs>
          <w:tab w:val="num" w:pos="4320"/>
        </w:tabs>
        <w:ind w:left="4320" w:hanging="360"/>
      </w:pPr>
      <w:rPr>
        <w:rFonts w:ascii="Wingdings" w:hAnsi="Wingdings"/>
      </w:rPr>
    </w:lvl>
    <w:lvl w:ilvl="6" w:tplc="AE4634F6">
      <w:start w:val="1"/>
      <w:numFmt w:val="bullet"/>
      <w:lvlText w:val=""/>
      <w:lvlJc w:val="left"/>
      <w:pPr>
        <w:tabs>
          <w:tab w:val="num" w:pos="5040"/>
        </w:tabs>
        <w:ind w:left="5040" w:hanging="360"/>
      </w:pPr>
      <w:rPr>
        <w:rFonts w:ascii="Symbol" w:hAnsi="Symbol"/>
      </w:rPr>
    </w:lvl>
    <w:lvl w:ilvl="7" w:tplc="36D28BE6">
      <w:start w:val="1"/>
      <w:numFmt w:val="bullet"/>
      <w:lvlText w:val="o"/>
      <w:lvlJc w:val="left"/>
      <w:pPr>
        <w:tabs>
          <w:tab w:val="num" w:pos="5760"/>
        </w:tabs>
        <w:ind w:left="5760" w:hanging="360"/>
      </w:pPr>
      <w:rPr>
        <w:rFonts w:ascii="Courier New" w:hAnsi="Courier New"/>
      </w:rPr>
    </w:lvl>
    <w:lvl w:ilvl="8" w:tplc="934EC552">
      <w:start w:val="1"/>
      <w:numFmt w:val="bullet"/>
      <w:lvlText w:val=""/>
      <w:lvlJc w:val="left"/>
      <w:pPr>
        <w:tabs>
          <w:tab w:val="num" w:pos="6480"/>
        </w:tabs>
        <w:ind w:left="6480" w:hanging="360"/>
      </w:pPr>
      <w:rPr>
        <w:rFonts w:ascii="Wingdings" w:hAnsi="Wingdings"/>
      </w:rPr>
    </w:lvl>
  </w:abstractNum>
  <w:abstractNum w:abstractNumId="994" w15:restartNumberingAfterBreak="0">
    <w:nsid w:val="722308A4"/>
    <w:multiLevelType w:val="hybridMultilevel"/>
    <w:tmpl w:val="722308A4"/>
    <w:lvl w:ilvl="0" w:tplc="340E513E">
      <w:start w:val="1"/>
      <w:numFmt w:val="bullet"/>
      <w:lvlText w:val=""/>
      <w:lvlJc w:val="left"/>
      <w:pPr>
        <w:ind w:left="720" w:hanging="360"/>
      </w:pPr>
      <w:rPr>
        <w:rFonts w:ascii="Symbol" w:hAnsi="Symbol"/>
      </w:rPr>
    </w:lvl>
    <w:lvl w:ilvl="1" w:tplc="34527692">
      <w:start w:val="1"/>
      <w:numFmt w:val="bullet"/>
      <w:lvlText w:val="o"/>
      <w:lvlJc w:val="left"/>
      <w:pPr>
        <w:tabs>
          <w:tab w:val="num" w:pos="1440"/>
        </w:tabs>
        <w:ind w:left="1440" w:hanging="360"/>
      </w:pPr>
      <w:rPr>
        <w:rFonts w:ascii="Courier New" w:hAnsi="Courier New"/>
      </w:rPr>
    </w:lvl>
    <w:lvl w:ilvl="2" w:tplc="3B06DCAA">
      <w:start w:val="1"/>
      <w:numFmt w:val="bullet"/>
      <w:lvlText w:val=""/>
      <w:lvlJc w:val="left"/>
      <w:pPr>
        <w:tabs>
          <w:tab w:val="num" w:pos="2160"/>
        </w:tabs>
        <w:ind w:left="2160" w:hanging="360"/>
      </w:pPr>
      <w:rPr>
        <w:rFonts w:ascii="Wingdings" w:hAnsi="Wingdings"/>
      </w:rPr>
    </w:lvl>
    <w:lvl w:ilvl="3" w:tplc="226A9A54">
      <w:start w:val="1"/>
      <w:numFmt w:val="bullet"/>
      <w:lvlText w:val=""/>
      <w:lvlJc w:val="left"/>
      <w:pPr>
        <w:tabs>
          <w:tab w:val="num" w:pos="2880"/>
        </w:tabs>
        <w:ind w:left="2880" w:hanging="360"/>
      </w:pPr>
      <w:rPr>
        <w:rFonts w:ascii="Symbol" w:hAnsi="Symbol"/>
      </w:rPr>
    </w:lvl>
    <w:lvl w:ilvl="4" w:tplc="F0A6CEBC">
      <w:start w:val="1"/>
      <w:numFmt w:val="bullet"/>
      <w:lvlText w:val="o"/>
      <w:lvlJc w:val="left"/>
      <w:pPr>
        <w:tabs>
          <w:tab w:val="num" w:pos="3600"/>
        </w:tabs>
        <w:ind w:left="3600" w:hanging="360"/>
      </w:pPr>
      <w:rPr>
        <w:rFonts w:ascii="Courier New" w:hAnsi="Courier New"/>
      </w:rPr>
    </w:lvl>
    <w:lvl w:ilvl="5" w:tplc="9064D052">
      <w:start w:val="1"/>
      <w:numFmt w:val="bullet"/>
      <w:lvlText w:val=""/>
      <w:lvlJc w:val="left"/>
      <w:pPr>
        <w:tabs>
          <w:tab w:val="num" w:pos="4320"/>
        </w:tabs>
        <w:ind w:left="4320" w:hanging="360"/>
      </w:pPr>
      <w:rPr>
        <w:rFonts w:ascii="Wingdings" w:hAnsi="Wingdings"/>
      </w:rPr>
    </w:lvl>
    <w:lvl w:ilvl="6" w:tplc="811213C6">
      <w:start w:val="1"/>
      <w:numFmt w:val="bullet"/>
      <w:lvlText w:val=""/>
      <w:lvlJc w:val="left"/>
      <w:pPr>
        <w:tabs>
          <w:tab w:val="num" w:pos="5040"/>
        </w:tabs>
        <w:ind w:left="5040" w:hanging="360"/>
      </w:pPr>
      <w:rPr>
        <w:rFonts w:ascii="Symbol" w:hAnsi="Symbol"/>
      </w:rPr>
    </w:lvl>
    <w:lvl w:ilvl="7" w:tplc="F7E6EF3C">
      <w:start w:val="1"/>
      <w:numFmt w:val="bullet"/>
      <w:lvlText w:val="o"/>
      <w:lvlJc w:val="left"/>
      <w:pPr>
        <w:tabs>
          <w:tab w:val="num" w:pos="5760"/>
        </w:tabs>
        <w:ind w:left="5760" w:hanging="360"/>
      </w:pPr>
      <w:rPr>
        <w:rFonts w:ascii="Courier New" w:hAnsi="Courier New"/>
      </w:rPr>
    </w:lvl>
    <w:lvl w:ilvl="8" w:tplc="6DA84398">
      <w:start w:val="1"/>
      <w:numFmt w:val="bullet"/>
      <w:lvlText w:val=""/>
      <w:lvlJc w:val="left"/>
      <w:pPr>
        <w:tabs>
          <w:tab w:val="num" w:pos="6480"/>
        </w:tabs>
        <w:ind w:left="6480" w:hanging="360"/>
      </w:pPr>
      <w:rPr>
        <w:rFonts w:ascii="Wingdings" w:hAnsi="Wingdings"/>
      </w:rPr>
    </w:lvl>
  </w:abstractNum>
  <w:abstractNum w:abstractNumId="995" w15:restartNumberingAfterBreak="0">
    <w:nsid w:val="722308A5"/>
    <w:multiLevelType w:val="hybridMultilevel"/>
    <w:tmpl w:val="722308A5"/>
    <w:lvl w:ilvl="0" w:tplc="9C783D3A">
      <w:start w:val="1"/>
      <w:numFmt w:val="bullet"/>
      <w:lvlText w:val=""/>
      <w:lvlJc w:val="left"/>
      <w:pPr>
        <w:ind w:left="720" w:hanging="360"/>
      </w:pPr>
      <w:rPr>
        <w:rFonts w:ascii="Symbol" w:hAnsi="Symbol"/>
      </w:rPr>
    </w:lvl>
    <w:lvl w:ilvl="1" w:tplc="29E49784">
      <w:start w:val="1"/>
      <w:numFmt w:val="bullet"/>
      <w:lvlText w:val="o"/>
      <w:lvlJc w:val="left"/>
      <w:pPr>
        <w:tabs>
          <w:tab w:val="num" w:pos="1440"/>
        </w:tabs>
        <w:ind w:left="1440" w:hanging="360"/>
      </w:pPr>
      <w:rPr>
        <w:rFonts w:ascii="Courier New" w:hAnsi="Courier New"/>
      </w:rPr>
    </w:lvl>
    <w:lvl w:ilvl="2" w:tplc="2016577A">
      <w:start w:val="1"/>
      <w:numFmt w:val="bullet"/>
      <w:lvlText w:val=""/>
      <w:lvlJc w:val="left"/>
      <w:pPr>
        <w:tabs>
          <w:tab w:val="num" w:pos="2160"/>
        </w:tabs>
        <w:ind w:left="2160" w:hanging="360"/>
      </w:pPr>
      <w:rPr>
        <w:rFonts w:ascii="Wingdings" w:hAnsi="Wingdings"/>
      </w:rPr>
    </w:lvl>
    <w:lvl w:ilvl="3" w:tplc="42A8A6B8">
      <w:start w:val="1"/>
      <w:numFmt w:val="bullet"/>
      <w:lvlText w:val=""/>
      <w:lvlJc w:val="left"/>
      <w:pPr>
        <w:tabs>
          <w:tab w:val="num" w:pos="2880"/>
        </w:tabs>
        <w:ind w:left="2880" w:hanging="360"/>
      </w:pPr>
      <w:rPr>
        <w:rFonts w:ascii="Symbol" w:hAnsi="Symbol"/>
      </w:rPr>
    </w:lvl>
    <w:lvl w:ilvl="4" w:tplc="52B8D58E">
      <w:start w:val="1"/>
      <w:numFmt w:val="bullet"/>
      <w:lvlText w:val="o"/>
      <w:lvlJc w:val="left"/>
      <w:pPr>
        <w:tabs>
          <w:tab w:val="num" w:pos="3600"/>
        </w:tabs>
        <w:ind w:left="3600" w:hanging="360"/>
      </w:pPr>
      <w:rPr>
        <w:rFonts w:ascii="Courier New" w:hAnsi="Courier New"/>
      </w:rPr>
    </w:lvl>
    <w:lvl w:ilvl="5" w:tplc="23ACEB32">
      <w:start w:val="1"/>
      <w:numFmt w:val="bullet"/>
      <w:lvlText w:val=""/>
      <w:lvlJc w:val="left"/>
      <w:pPr>
        <w:tabs>
          <w:tab w:val="num" w:pos="4320"/>
        </w:tabs>
        <w:ind w:left="4320" w:hanging="360"/>
      </w:pPr>
      <w:rPr>
        <w:rFonts w:ascii="Wingdings" w:hAnsi="Wingdings"/>
      </w:rPr>
    </w:lvl>
    <w:lvl w:ilvl="6" w:tplc="5C0CD552">
      <w:start w:val="1"/>
      <w:numFmt w:val="bullet"/>
      <w:lvlText w:val=""/>
      <w:lvlJc w:val="left"/>
      <w:pPr>
        <w:tabs>
          <w:tab w:val="num" w:pos="5040"/>
        </w:tabs>
        <w:ind w:left="5040" w:hanging="360"/>
      </w:pPr>
      <w:rPr>
        <w:rFonts w:ascii="Symbol" w:hAnsi="Symbol"/>
      </w:rPr>
    </w:lvl>
    <w:lvl w:ilvl="7" w:tplc="57F6F9A4">
      <w:start w:val="1"/>
      <w:numFmt w:val="bullet"/>
      <w:lvlText w:val="o"/>
      <w:lvlJc w:val="left"/>
      <w:pPr>
        <w:tabs>
          <w:tab w:val="num" w:pos="5760"/>
        </w:tabs>
        <w:ind w:left="5760" w:hanging="360"/>
      </w:pPr>
      <w:rPr>
        <w:rFonts w:ascii="Courier New" w:hAnsi="Courier New"/>
      </w:rPr>
    </w:lvl>
    <w:lvl w:ilvl="8" w:tplc="9710DE4C">
      <w:start w:val="1"/>
      <w:numFmt w:val="bullet"/>
      <w:lvlText w:val=""/>
      <w:lvlJc w:val="left"/>
      <w:pPr>
        <w:tabs>
          <w:tab w:val="num" w:pos="6480"/>
        </w:tabs>
        <w:ind w:left="6480" w:hanging="360"/>
      </w:pPr>
      <w:rPr>
        <w:rFonts w:ascii="Wingdings" w:hAnsi="Wingdings"/>
      </w:rPr>
    </w:lvl>
  </w:abstractNum>
  <w:abstractNum w:abstractNumId="996" w15:restartNumberingAfterBreak="0">
    <w:nsid w:val="722308A6"/>
    <w:multiLevelType w:val="hybridMultilevel"/>
    <w:tmpl w:val="722308A6"/>
    <w:lvl w:ilvl="0" w:tplc="033C52BA">
      <w:start w:val="1"/>
      <w:numFmt w:val="bullet"/>
      <w:lvlText w:val=""/>
      <w:lvlJc w:val="left"/>
      <w:pPr>
        <w:ind w:left="720" w:hanging="360"/>
      </w:pPr>
      <w:rPr>
        <w:rFonts w:ascii="Symbol" w:hAnsi="Symbol"/>
      </w:rPr>
    </w:lvl>
    <w:lvl w:ilvl="1" w:tplc="1BD41B9C">
      <w:start w:val="1"/>
      <w:numFmt w:val="bullet"/>
      <w:lvlText w:val="o"/>
      <w:lvlJc w:val="left"/>
      <w:pPr>
        <w:tabs>
          <w:tab w:val="num" w:pos="1440"/>
        </w:tabs>
        <w:ind w:left="1440" w:hanging="360"/>
      </w:pPr>
      <w:rPr>
        <w:rFonts w:ascii="Courier New" w:hAnsi="Courier New"/>
      </w:rPr>
    </w:lvl>
    <w:lvl w:ilvl="2" w:tplc="8EDC1BC8">
      <w:start w:val="1"/>
      <w:numFmt w:val="bullet"/>
      <w:lvlText w:val=""/>
      <w:lvlJc w:val="left"/>
      <w:pPr>
        <w:tabs>
          <w:tab w:val="num" w:pos="2160"/>
        </w:tabs>
        <w:ind w:left="2160" w:hanging="360"/>
      </w:pPr>
      <w:rPr>
        <w:rFonts w:ascii="Wingdings" w:hAnsi="Wingdings"/>
      </w:rPr>
    </w:lvl>
    <w:lvl w:ilvl="3" w:tplc="1610C20E">
      <w:start w:val="1"/>
      <w:numFmt w:val="bullet"/>
      <w:lvlText w:val=""/>
      <w:lvlJc w:val="left"/>
      <w:pPr>
        <w:tabs>
          <w:tab w:val="num" w:pos="2880"/>
        </w:tabs>
        <w:ind w:left="2880" w:hanging="360"/>
      </w:pPr>
      <w:rPr>
        <w:rFonts w:ascii="Symbol" w:hAnsi="Symbol"/>
      </w:rPr>
    </w:lvl>
    <w:lvl w:ilvl="4" w:tplc="3D4A8FD8">
      <w:start w:val="1"/>
      <w:numFmt w:val="bullet"/>
      <w:lvlText w:val="o"/>
      <w:lvlJc w:val="left"/>
      <w:pPr>
        <w:tabs>
          <w:tab w:val="num" w:pos="3600"/>
        </w:tabs>
        <w:ind w:left="3600" w:hanging="360"/>
      </w:pPr>
      <w:rPr>
        <w:rFonts w:ascii="Courier New" w:hAnsi="Courier New"/>
      </w:rPr>
    </w:lvl>
    <w:lvl w:ilvl="5" w:tplc="DEFE7A6C">
      <w:start w:val="1"/>
      <w:numFmt w:val="bullet"/>
      <w:lvlText w:val=""/>
      <w:lvlJc w:val="left"/>
      <w:pPr>
        <w:tabs>
          <w:tab w:val="num" w:pos="4320"/>
        </w:tabs>
        <w:ind w:left="4320" w:hanging="360"/>
      </w:pPr>
      <w:rPr>
        <w:rFonts w:ascii="Wingdings" w:hAnsi="Wingdings"/>
      </w:rPr>
    </w:lvl>
    <w:lvl w:ilvl="6" w:tplc="231C2A28">
      <w:start w:val="1"/>
      <w:numFmt w:val="bullet"/>
      <w:lvlText w:val=""/>
      <w:lvlJc w:val="left"/>
      <w:pPr>
        <w:tabs>
          <w:tab w:val="num" w:pos="5040"/>
        </w:tabs>
        <w:ind w:left="5040" w:hanging="360"/>
      </w:pPr>
      <w:rPr>
        <w:rFonts w:ascii="Symbol" w:hAnsi="Symbol"/>
      </w:rPr>
    </w:lvl>
    <w:lvl w:ilvl="7" w:tplc="B122F0A0">
      <w:start w:val="1"/>
      <w:numFmt w:val="bullet"/>
      <w:lvlText w:val="o"/>
      <w:lvlJc w:val="left"/>
      <w:pPr>
        <w:tabs>
          <w:tab w:val="num" w:pos="5760"/>
        </w:tabs>
        <w:ind w:left="5760" w:hanging="360"/>
      </w:pPr>
      <w:rPr>
        <w:rFonts w:ascii="Courier New" w:hAnsi="Courier New"/>
      </w:rPr>
    </w:lvl>
    <w:lvl w:ilvl="8" w:tplc="E22A22AC">
      <w:start w:val="1"/>
      <w:numFmt w:val="bullet"/>
      <w:lvlText w:val=""/>
      <w:lvlJc w:val="left"/>
      <w:pPr>
        <w:tabs>
          <w:tab w:val="num" w:pos="6480"/>
        </w:tabs>
        <w:ind w:left="6480" w:hanging="360"/>
      </w:pPr>
      <w:rPr>
        <w:rFonts w:ascii="Wingdings" w:hAnsi="Wingdings"/>
      </w:rPr>
    </w:lvl>
  </w:abstractNum>
  <w:abstractNum w:abstractNumId="997" w15:restartNumberingAfterBreak="0">
    <w:nsid w:val="722308A7"/>
    <w:multiLevelType w:val="hybridMultilevel"/>
    <w:tmpl w:val="722308A7"/>
    <w:lvl w:ilvl="0" w:tplc="37D2D546">
      <w:start w:val="1"/>
      <w:numFmt w:val="bullet"/>
      <w:lvlText w:val=""/>
      <w:lvlJc w:val="left"/>
      <w:pPr>
        <w:ind w:left="720" w:hanging="360"/>
      </w:pPr>
      <w:rPr>
        <w:rFonts w:ascii="Symbol" w:hAnsi="Symbol"/>
      </w:rPr>
    </w:lvl>
    <w:lvl w:ilvl="1" w:tplc="668C9382">
      <w:start w:val="1"/>
      <w:numFmt w:val="bullet"/>
      <w:lvlText w:val="o"/>
      <w:lvlJc w:val="left"/>
      <w:pPr>
        <w:tabs>
          <w:tab w:val="num" w:pos="1440"/>
        </w:tabs>
        <w:ind w:left="1440" w:hanging="360"/>
      </w:pPr>
      <w:rPr>
        <w:rFonts w:ascii="Courier New" w:hAnsi="Courier New"/>
      </w:rPr>
    </w:lvl>
    <w:lvl w:ilvl="2" w:tplc="6BB8F5DA">
      <w:start w:val="1"/>
      <w:numFmt w:val="bullet"/>
      <w:lvlText w:val=""/>
      <w:lvlJc w:val="left"/>
      <w:pPr>
        <w:tabs>
          <w:tab w:val="num" w:pos="2160"/>
        </w:tabs>
        <w:ind w:left="2160" w:hanging="360"/>
      </w:pPr>
      <w:rPr>
        <w:rFonts w:ascii="Wingdings" w:hAnsi="Wingdings"/>
      </w:rPr>
    </w:lvl>
    <w:lvl w:ilvl="3" w:tplc="3F38AF18">
      <w:start w:val="1"/>
      <w:numFmt w:val="bullet"/>
      <w:lvlText w:val=""/>
      <w:lvlJc w:val="left"/>
      <w:pPr>
        <w:tabs>
          <w:tab w:val="num" w:pos="2880"/>
        </w:tabs>
        <w:ind w:left="2880" w:hanging="360"/>
      </w:pPr>
      <w:rPr>
        <w:rFonts w:ascii="Symbol" w:hAnsi="Symbol"/>
      </w:rPr>
    </w:lvl>
    <w:lvl w:ilvl="4" w:tplc="A588CCBC">
      <w:start w:val="1"/>
      <w:numFmt w:val="bullet"/>
      <w:lvlText w:val="o"/>
      <w:lvlJc w:val="left"/>
      <w:pPr>
        <w:tabs>
          <w:tab w:val="num" w:pos="3600"/>
        </w:tabs>
        <w:ind w:left="3600" w:hanging="360"/>
      </w:pPr>
      <w:rPr>
        <w:rFonts w:ascii="Courier New" w:hAnsi="Courier New"/>
      </w:rPr>
    </w:lvl>
    <w:lvl w:ilvl="5" w:tplc="CB3C40F0">
      <w:start w:val="1"/>
      <w:numFmt w:val="bullet"/>
      <w:lvlText w:val=""/>
      <w:lvlJc w:val="left"/>
      <w:pPr>
        <w:tabs>
          <w:tab w:val="num" w:pos="4320"/>
        </w:tabs>
        <w:ind w:left="4320" w:hanging="360"/>
      </w:pPr>
      <w:rPr>
        <w:rFonts w:ascii="Wingdings" w:hAnsi="Wingdings"/>
      </w:rPr>
    </w:lvl>
    <w:lvl w:ilvl="6" w:tplc="98E4CBEC">
      <w:start w:val="1"/>
      <w:numFmt w:val="bullet"/>
      <w:lvlText w:val=""/>
      <w:lvlJc w:val="left"/>
      <w:pPr>
        <w:tabs>
          <w:tab w:val="num" w:pos="5040"/>
        </w:tabs>
        <w:ind w:left="5040" w:hanging="360"/>
      </w:pPr>
      <w:rPr>
        <w:rFonts w:ascii="Symbol" w:hAnsi="Symbol"/>
      </w:rPr>
    </w:lvl>
    <w:lvl w:ilvl="7" w:tplc="B76422C0">
      <w:start w:val="1"/>
      <w:numFmt w:val="bullet"/>
      <w:lvlText w:val="o"/>
      <w:lvlJc w:val="left"/>
      <w:pPr>
        <w:tabs>
          <w:tab w:val="num" w:pos="5760"/>
        </w:tabs>
        <w:ind w:left="5760" w:hanging="360"/>
      </w:pPr>
      <w:rPr>
        <w:rFonts w:ascii="Courier New" w:hAnsi="Courier New"/>
      </w:rPr>
    </w:lvl>
    <w:lvl w:ilvl="8" w:tplc="A7642AAC">
      <w:start w:val="1"/>
      <w:numFmt w:val="bullet"/>
      <w:lvlText w:val=""/>
      <w:lvlJc w:val="left"/>
      <w:pPr>
        <w:tabs>
          <w:tab w:val="num" w:pos="6480"/>
        </w:tabs>
        <w:ind w:left="6480" w:hanging="360"/>
      </w:pPr>
      <w:rPr>
        <w:rFonts w:ascii="Wingdings" w:hAnsi="Wingdings"/>
      </w:rPr>
    </w:lvl>
  </w:abstractNum>
  <w:abstractNum w:abstractNumId="998" w15:restartNumberingAfterBreak="0">
    <w:nsid w:val="722308A8"/>
    <w:multiLevelType w:val="hybridMultilevel"/>
    <w:tmpl w:val="722308A8"/>
    <w:lvl w:ilvl="0" w:tplc="62BAD3B4">
      <w:start w:val="1"/>
      <w:numFmt w:val="bullet"/>
      <w:lvlText w:val=""/>
      <w:lvlJc w:val="left"/>
      <w:pPr>
        <w:ind w:left="720" w:hanging="360"/>
      </w:pPr>
      <w:rPr>
        <w:rFonts w:ascii="Symbol" w:hAnsi="Symbol"/>
      </w:rPr>
    </w:lvl>
    <w:lvl w:ilvl="1" w:tplc="4B36E886">
      <w:start w:val="1"/>
      <w:numFmt w:val="bullet"/>
      <w:lvlText w:val="o"/>
      <w:lvlJc w:val="left"/>
      <w:pPr>
        <w:tabs>
          <w:tab w:val="num" w:pos="1440"/>
        </w:tabs>
        <w:ind w:left="1440" w:hanging="360"/>
      </w:pPr>
      <w:rPr>
        <w:rFonts w:ascii="Courier New" w:hAnsi="Courier New"/>
      </w:rPr>
    </w:lvl>
    <w:lvl w:ilvl="2" w:tplc="F6B4FC44">
      <w:start w:val="1"/>
      <w:numFmt w:val="bullet"/>
      <w:lvlText w:val=""/>
      <w:lvlJc w:val="left"/>
      <w:pPr>
        <w:tabs>
          <w:tab w:val="num" w:pos="2160"/>
        </w:tabs>
        <w:ind w:left="2160" w:hanging="360"/>
      </w:pPr>
      <w:rPr>
        <w:rFonts w:ascii="Wingdings" w:hAnsi="Wingdings"/>
      </w:rPr>
    </w:lvl>
    <w:lvl w:ilvl="3" w:tplc="6716423A">
      <w:start w:val="1"/>
      <w:numFmt w:val="bullet"/>
      <w:lvlText w:val=""/>
      <w:lvlJc w:val="left"/>
      <w:pPr>
        <w:tabs>
          <w:tab w:val="num" w:pos="2880"/>
        </w:tabs>
        <w:ind w:left="2880" w:hanging="360"/>
      </w:pPr>
      <w:rPr>
        <w:rFonts w:ascii="Symbol" w:hAnsi="Symbol"/>
      </w:rPr>
    </w:lvl>
    <w:lvl w:ilvl="4" w:tplc="06485CD4">
      <w:start w:val="1"/>
      <w:numFmt w:val="bullet"/>
      <w:lvlText w:val="o"/>
      <w:lvlJc w:val="left"/>
      <w:pPr>
        <w:tabs>
          <w:tab w:val="num" w:pos="3600"/>
        </w:tabs>
        <w:ind w:left="3600" w:hanging="360"/>
      </w:pPr>
      <w:rPr>
        <w:rFonts w:ascii="Courier New" w:hAnsi="Courier New"/>
      </w:rPr>
    </w:lvl>
    <w:lvl w:ilvl="5" w:tplc="9DC40F7E">
      <w:start w:val="1"/>
      <w:numFmt w:val="bullet"/>
      <w:lvlText w:val=""/>
      <w:lvlJc w:val="left"/>
      <w:pPr>
        <w:tabs>
          <w:tab w:val="num" w:pos="4320"/>
        </w:tabs>
        <w:ind w:left="4320" w:hanging="360"/>
      </w:pPr>
      <w:rPr>
        <w:rFonts w:ascii="Wingdings" w:hAnsi="Wingdings"/>
      </w:rPr>
    </w:lvl>
    <w:lvl w:ilvl="6" w:tplc="99C6D1BE">
      <w:start w:val="1"/>
      <w:numFmt w:val="bullet"/>
      <w:lvlText w:val=""/>
      <w:lvlJc w:val="left"/>
      <w:pPr>
        <w:tabs>
          <w:tab w:val="num" w:pos="5040"/>
        </w:tabs>
        <w:ind w:left="5040" w:hanging="360"/>
      </w:pPr>
      <w:rPr>
        <w:rFonts w:ascii="Symbol" w:hAnsi="Symbol"/>
      </w:rPr>
    </w:lvl>
    <w:lvl w:ilvl="7" w:tplc="03A07766">
      <w:start w:val="1"/>
      <w:numFmt w:val="bullet"/>
      <w:lvlText w:val="o"/>
      <w:lvlJc w:val="left"/>
      <w:pPr>
        <w:tabs>
          <w:tab w:val="num" w:pos="5760"/>
        </w:tabs>
        <w:ind w:left="5760" w:hanging="360"/>
      </w:pPr>
      <w:rPr>
        <w:rFonts w:ascii="Courier New" w:hAnsi="Courier New"/>
      </w:rPr>
    </w:lvl>
    <w:lvl w:ilvl="8" w:tplc="E3D2B080">
      <w:start w:val="1"/>
      <w:numFmt w:val="bullet"/>
      <w:lvlText w:val=""/>
      <w:lvlJc w:val="left"/>
      <w:pPr>
        <w:tabs>
          <w:tab w:val="num" w:pos="6480"/>
        </w:tabs>
        <w:ind w:left="6480" w:hanging="360"/>
      </w:pPr>
      <w:rPr>
        <w:rFonts w:ascii="Wingdings" w:hAnsi="Wingdings"/>
      </w:rPr>
    </w:lvl>
  </w:abstractNum>
  <w:abstractNum w:abstractNumId="999" w15:restartNumberingAfterBreak="0">
    <w:nsid w:val="722308A9"/>
    <w:multiLevelType w:val="hybridMultilevel"/>
    <w:tmpl w:val="722308A9"/>
    <w:lvl w:ilvl="0" w:tplc="ABBAAFB4">
      <w:start w:val="1"/>
      <w:numFmt w:val="bullet"/>
      <w:lvlText w:val=""/>
      <w:lvlJc w:val="left"/>
      <w:pPr>
        <w:ind w:left="720" w:hanging="360"/>
      </w:pPr>
      <w:rPr>
        <w:rFonts w:ascii="Symbol" w:hAnsi="Symbol"/>
      </w:rPr>
    </w:lvl>
    <w:lvl w:ilvl="1" w:tplc="034A6846">
      <w:start w:val="1"/>
      <w:numFmt w:val="bullet"/>
      <w:lvlText w:val="o"/>
      <w:lvlJc w:val="left"/>
      <w:pPr>
        <w:tabs>
          <w:tab w:val="num" w:pos="1440"/>
        </w:tabs>
        <w:ind w:left="1440" w:hanging="360"/>
      </w:pPr>
      <w:rPr>
        <w:rFonts w:ascii="Courier New" w:hAnsi="Courier New"/>
      </w:rPr>
    </w:lvl>
    <w:lvl w:ilvl="2" w:tplc="D0C4AB7A">
      <w:start w:val="1"/>
      <w:numFmt w:val="bullet"/>
      <w:lvlText w:val=""/>
      <w:lvlJc w:val="left"/>
      <w:pPr>
        <w:tabs>
          <w:tab w:val="num" w:pos="2160"/>
        </w:tabs>
        <w:ind w:left="2160" w:hanging="360"/>
      </w:pPr>
      <w:rPr>
        <w:rFonts w:ascii="Wingdings" w:hAnsi="Wingdings"/>
      </w:rPr>
    </w:lvl>
    <w:lvl w:ilvl="3" w:tplc="D94CF1DC">
      <w:start w:val="1"/>
      <w:numFmt w:val="bullet"/>
      <w:lvlText w:val=""/>
      <w:lvlJc w:val="left"/>
      <w:pPr>
        <w:tabs>
          <w:tab w:val="num" w:pos="2880"/>
        </w:tabs>
        <w:ind w:left="2880" w:hanging="360"/>
      </w:pPr>
      <w:rPr>
        <w:rFonts w:ascii="Symbol" w:hAnsi="Symbol"/>
      </w:rPr>
    </w:lvl>
    <w:lvl w:ilvl="4" w:tplc="420059CA">
      <w:start w:val="1"/>
      <w:numFmt w:val="bullet"/>
      <w:lvlText w:val="o"/>
      <w:lvlJc w:val="left"/>
      <w:pPr>
        <w:tabs>
          <w:tab w:val="num" w:pos="3600"/>
        </w:tabs>
        <w:ind w:left="3600" w:hanging="360"/>
      </w:pPr>
      <w:rPr>
        <w:rFonts w:ascii="Courier New" w:hAnsi="Courier New"/>
      </w:rPr>
    </w:lvl>
    <w:lvl w:ilvl="5" w:tplc="EF7E4B18">
      <w:start w:val="1"/>
      <w:numFmt w:val="bullet"/>
      <w:lvlText w:val=""/>
      <w:lvlJc w:val="left"/>
      <w:pPr>
        <w:tabs>
          <w:tab w:val="num" w:pos="4320"/>
        </w:tabs>
        <w:ind w:left="4320" w:hanging="360"/>
      </w:pPr>
      <w:rPr>
        <w:rFonts w:ascii="Wingdings" w:hAnsi="Wingdings"/>
      </w:rPr>
    </w:lvl>
    <w:lvl w:ilvl="6" w:tplc="4EDE0D7A">
      <w:start w:val="1"/>
      <w:numFmt w:val="bullet"/>
      <w:lvlText w:val=""/>
      <w:lvlJc w:val="left"/>
      <w:pPr>
        <w:tabs>
          <w:tab w:val="num" w:pos="5040"/>
        </w:tabs>
        <w:ind w:left="5040" w:hanging="360"/>
      </w:pPr>
      <w:rPr>
        <w:rFonts w:ascii="Symbol" w:hAnsi="Symbol"/>
      </w:rPr>
    </w:lvl>
    <w:lvl w:ilvl="7" w:tplc="3FD8953C">
      <w:start w:val="1"/>
      <w:numFmt w:val="bullet"/>
      <w:lvlText w:val="o"/>
      <w:lvlJc w:val="left"/>
      <w:pPr>
        <w:tabs>
          <w:tab w:val="num" w:pos="5760"/>
        </w:tabs>
        <w:ind w:left="5760" w:hanging="360"/>
      </w:pPr>
      <w:rPr>
        <w:rFonts w:ascii="Courier New" w:hAnsi="Courier New"/>
      </w:rPr>
    </w:lvl>
    <w:lvl w:ilvl="8" w:tplc="CD886A42">
      <w:start w:val="1"/>
      <w:numFmt w:val="bullet"/>
      <w:lvlText w:val=""/>
      <w:lvlJc w:val="left"/>
      <w:pPr>
        <w:tabs>
          <w:tab w:val="num" w:pos="6480"/>
        </w:tabs>
        <w:ind w:left="6480" w:hanging="360"/>
      </w:pPr>
      <w:rPr>
        <w:rFonts w:ascii="Wingdings" w:hAnsi="Wingdings"/>
      </w:rPr>
    </w:lvl>
  </w:abstractNum>
  <w:abstractNum w:abstractNumId="1000" w15:restartNumberingAfterBreak="0">
    <w:nsid w:val="722308AA"/>
    <w:multiLevelType w:val="hybridMultilevel"/>
    <w:tmpl w:val="722308AA"/>
    <w:lvl w:ilvl="0" w:tplc="5AF84E7E">
      <w:start w:val="1"/>
      <w:numFmt w:val="bullet"/>
      <w:lvlText w:val=""/>
      <w:lvlJc w:val="left"/>
      <w:pPr>
        <w:ind w:left="720" w:hanging="360"/>
      </w:pPr>
      <w:rPr>
        <w:rFonts w:ascii="Symbol" w:hAnsi="Symbol"/>
      </w:rPr>
    </w:lvl>
    <w:lvl w:ilvl="1" w:tplc="8E6403D8">
      <w:start w:val="1"/>
      <w:numFmt w:val="bullet"/>
      <w:lvlText w:val="o"/>
      <w:lvlJc w:val="left"/>
      <w:pPr>
        <w:tabs>
          <w:tab w:val="num" w:pos="1440"/>
        </w:tabs>
        <w:ind w:left="1440" w:hanging="360"/>
      </w:pPr>
      <w:rPr>
        <w:rFonts w:ascii="Courier New" w:hAnsi="Courier New"/>
      </w:rPr>
    </w:lvl>
    <w:lvl w:ilvl="2" w:tplc="F3327C50">
      <w:start w:val="1"/>
      <w:numFmt w:val="bullet"/>
      <w:lvlText w:val=""/>
      <w:lvlJc w:val="left"/>
      <w:pPr>
        <w:tabs>
          <w:tab w:val="num" w:pos="2160"/>
        </w:tabs>
        <w:ind w:left="2160" w:hanging="360"/>
      </w:pPr>
      <w:rPr>
        <w:rFonts w:ascii="Wingdings" w:hAnsi="Wingdings"/>
      </w:rPr>
    </w:lvl>
    <w:lvl w:ilvl="3" w:tplc="7B5E46AA">
      <w:start w:val="1"/>
      <w:numFmt w:val="bullet"/>
      <w:lvlText w:val=""/>
      <w:lvlJc w:val="left"/>
      <w:pPr>
        <w:tabs>
          <w:tab w:val="num" w:pos="2880"/>
        </w:tabs>
        <w:ind w:left="2880" w:hanging="360"/>
      </w:pPr>
      <w:rPr>
        <w:rFonts w:ascii="Symbol" w:hAnsi="Symbol"/>
      </w:rPr>
    </w:lvl>
    <w:lvl w:ilvl="4" w:tplc="4F746548">
      <w:start w:val="1"/>
      <w:numFmt w:val="bullet"/>
      <w:lvlText w:val="o"/>
      <w:lvlJc w:val="left"/>
      <w:pPr>
        <w:tabs>
          <w:tab w:val="num" w:pos="3600"/>
        </w:tabs>
        <w:ind w:left="3600" w:hanging="360"/>
      </w:pPr>
      <w:rPr>
        <w:rFonts w:ascii="Courier New" w:hAnsi="Courier New"/>
      </w:rPr>
    </w:lvl>
    <w:lvl w:ilvl="5" w:tplc="D09CB01A">
      <w:start w:val="1"/>
      <w:numFmt w:val="bullet"/>
      <w:lvlText w:val=""/>
      <w:lvlJc w:val="left"/>
      <w:pPr>
        <w:tabs>
          <w:tab w:val="num" w:pos="4320"/>
        </w:tabs>
        <w:ind w:left="4320" w:hanging="360"/>
      </w:pPr>
      <w:rPr>
        <w:rFonts w:ascii="Wingdings" w:hAnsi="Wingdings"/>
      </w:rPr>
    </w:lvl>
    <w:lvl w:ilvl="6" w:tplc="4D16C556">
      <w:start w:val="1"/>
      <w:numFmt w:val="bullet"/>
      <w:lvlText w:val=""/>
      <w:lvlJc w:val="left"/>
      <w:pPr>
        <w:tabs>
          <w:tab w:val="num" w:pos="5040"/>
        </w:tabs>
        <w:ind w:left="5040" w:hanging="360"/>
      </w:pPr>
      <w:rPr>
        <w:rFonts w:ascii="Symbol" w:hAnsi="Symbol"/>
      </w:rPr>
    </w:lvl>
    <w:lvl w:ilvl="7" w:tplc="FC4479EE">
      <w:start w:val="1"/>
      <w:numFmt w:val="bullet"/>
      <w:lvlText w:val="o"/>
      <w:lvlJc w:val="left"/>
      <w:pPr>
        <w:tabs>
          <w:tab w:val="num" w:pos="5760"/>
        </w:tabs>
        <w:ind w:left="5760" w:hanging="360"/>
      </w:pPr>
      <w:rPr>
        <w:rFonts w:ascii="Courier New" w:hAnsi="Courier New"/>
      </w:rPr>
    </w:lvl>
    <w:lvl w:ilvl="8" w:tplc="250E040E">
      <w:start w:val="1"/>
      <w:numFmt w:val="bullet"/>
      <w:lvlText w:val=""/>
      <w:lvlJc w:val="left"/>
      <w:pPr>
        <w:tabs>
          <w:tab w:val="num" w:pos="6480"/>
        </w:tabs>
        <w:ind w:left="6480" w:hanging="360"/>
      </w:pPr>
      <w:rPr>
        <w:rFonts w:ascii="Wingdings" w:hAnsi="Wingdings"/>
      </w:rPr>
    </w:lvl>
  </w:abstractNum>
  <w:abstractNum w:abstractNumId="1001" w15:restartNumberingAfterBreak="0">
    <w:nsid w:val="722308AB"/>
    <w:multiLevelType w:val="hybridMultilevel"/>
    <w:tmpl w:val="722308AB"/>
    <w:lvl w:ilvl="0" w:tplc="4B6A728E">
      <w:start w:val="1"/>
      <w:numFmt w:val="bullet"/>
      <w:lvlText w:val=""/>
      <w:lvlJc w:val="left"/>
      <w:pPr>
        <w:ind w:left="720" w:hanging="360"/>
      </w:pPr>
      <w:rPr>
        <w:rFonts w:ascii="Symbol" w:hAnsi="Symbol"/>
      </w:rPr>
    </w:lvl>
    <w:lvl w:ilvl="1" w:tplc="16CC0DF2">
      <w:start w:val="1"/>
      <w:numFmt w:val="bullet"/>
      <w:lvlText w:val="o"/>
      <w:lvlJc w:val="left"/>
      <w:pPr>
        <w:tabs>
          <w:tab w:val="num" w:pos="1440"/>
        </w:tabs>
        <w:ind w:left="1440" w:hanging="360"/>
      </w:pPr>
      <w:rPr>
        <w:rFonts w:ascii="Courier New" w:hAnsi="Courier New"/>
      </w:rPr>
    </w:lvl>
    <w:lvl w:ilvl="2" w:tplc="6C580A58">
      <w:start w:val="1"/>
      <w:numFmt w:val="bullet"/>
      <w:lvlText w:val=""/>
      <w:lvlJc w:val="left"/>
      <w:pPr>
        <w:tabs>
          <w:tab w:val="num" w:pos="2160"/>
        </w:tabs>
        <w:ind w:left="2160" w:hanging="360"/>
      </w:pPr>
      <w:rPr>
        <w:rFonts w:ascii="Wingdings" w:hAnsi="Wingdings"/>
      </w:rPr>
    </w:lvl>
    <w:lvl w:ilvl="3" w:tplc="149E420C">
      <w:start w:val="1"/>
      <w:numFmt w:val="bullet"/>
      <w:lvlText w:val=""/>
      <w:lvlJc w:val="left"/>
      <w:pPr>
        <w:tabs>
          <w:tab w:val="num" w:pos="2880"/>
        </w:tabs>
        <w:ind w:left="2880" w:hanging="360"/>
      </w:pPr>
      <w:rPr>
        <w:rFonts w:ascii="Symbol" w:hAnsi="Symbol"/>
      </w:rPr>
    </w:lvl>
    <w:lvl w:ilvl="4" w:tplc="4E544638">
      <w:start w:val="1"/>
      <w:numFmt w:val="bullet"/>
      <w:lvlText w:val="o"/>
      <w:lvlJc w:val="left"/>
      <w:pPr>
        <w:tabs>
          <w:tab w:val="num" w:pos="3600"/>
        </w:tabs>
        <w:ind w:left="3600" w:hanging="360"/>
      </w:pPr>
      <w:rPr>
        <w:rFonts w:ascii="Courier New" w:hAnsi="Courier New"/>
      </w:rPr>
    </w:lvl>
    <w:lvl w:ilvl="5" w:tplc="4A30A1A0">
      <w:start w:val="1"/>
      <w:numFmt w:val="bullet"/>
      <w:lvlText w:val=""/>
      <w:lvlJc w:val="left"/>
      <w:pPr>
        <w:tabs>
          <w:tab w:val="num" w:pos="4320"/>
        </w:tabs>
        <w:ind w:left="4320" w:hanging="360"/>
      </w:pPr>
      <w:rPr>
        <w:rFonts w:ascii="Wingdings" w:hAnsi="Wingdings"/>
      </w:rPr>
    </w:lvl>
    <w:lvl w:ilvl="6" w:tplc="F0C8DB1A">
      <w:start w:val="1"/>
      <w:numFmt w:val="bullet"/>
      <w:lvlText w:val=""/>
      <w:lvlJc w:val="left"/>
      <w:pPr>
        <w:tabs>
          <w:tab w:val="num" w:pos="5040"/>
        </w:tabs>
        <w:ind w:left="5040" w:hanging="360"/>
      </w:pPr>
      <w:rPr>
        <w:rFonts w:ascii="Symbol" w:hAnsi="Symbol"/>
      </w:rPr>
    </w:lvl>
    <w:lvl w:ilvl="7" w:tplc="14BCB27C">
      <w:start w:val="1"/>
      <w:numFmt w:val="bullet"/>
      <w:lvlText w:val="o"/>
      <w:lvlJc w:val="left"/>
      <w:pPr>
        <w:tabs>
          <w:tab w:val="num" w:pos="5760"/>
        </w:tabs>
        <w:ind w:left="5760" w:hanging="360"/>
      </w:pPr>
      <w:rPr>
        <w:rFonts w:ascii="Courier New" w:hAnsi="Courier New"/>
      </w:rPr>
    </w:lvl>
    <w:lvl w:ilvl="8" w:tplc="F0E054AA">
      <w:start w:val="1"/>
      <w:numFmt w:val="bullet"/>
      <w:lvlText w:val=""/>
      <w:lvlJc w:val="left"/>
      <w:pPr>
        <w:tabs>
          <w:tab w:val="num" w:pos="6480"/>
        </w:tabs>
        <w:ind w:left="6480" w:hanging="360"/>
      </w:pPr>
      <w:rPr>
        <w:rFonts w:ascii="Wingdings" w:hAnsi="Wingdings"/>
      </w:rPr>
    </w:lvl>
  </w:abstractNum>
  <w:abstractNum w:abstractNumId="1002" w15:restartNumberingAfterBreak="0">
    <w:nsid w:val="722308AC"/>
    <w:multiLevelType w:val="hybridMultilevel"/>
    <w:tmpl w:val="722308AC"/>
    <w:lvl w:ilvl="0" w:tplc="EDFEEC40">
      <w:start w:val="1"/>
      <w:numFmt w:val="bullet"/>
      <w:lvlText w:val=""/>
      <w:lvlJc w:val="left"/>
      <w:pPr>
        <w:ind w:left="720" w:hanging="360"/>
      </w:pPr>
      <w:rPr>
        <w:rFonts w:ascii="Symbol" w:hAnsi="Symbol"/>
      </w:rPr>
    </w:lvl>
    <w:lvl w:ilvl="1" w:tplc="1CE0FEBE">
      <w:start w:val="1"/>
      <w:numFmt w:val="bullet"/>
      <w:lvlText w:val="o"/>
      <w:lvlJc w:val="left"/>
      <w:pPr>
        <w:tabs>
          <w:tab w:val="num" w:pos="1440"/>
        </w:tabs>
        <w:ind w:left="1440" w:hanging="360"/>
      </w:pPr>
      <w:rPr>
        <w:rFonts w:ascii="Courier New" w:hAnsi="Courier New"/>
      </w:rPr>
    </w:lvl>
    <w:lvl w:ilvl="2" w:tplc="861ED374">
      <w:start w:val="1"/>
      <w:numFmt w:val="bullet"/>
      <w:lvlText w:val=""/>
      <w:lvlJc w:val="left"/>
      <w:pPr>
        <w:tabs>
          <w:tab w:val="num" w:pos="2160"/>
        </w:tabs>
        <w:ind w:left="2160" w:hanging="360"/>
      </w:pPr>
      <w:rPr>
        <w:rFonts w:ascii="Wingdings" w:hAnsi="Wingdings"/>
      </w:rPr>
    </w:lvl>
    <w:lvl w:ilvl="3" w:tplc="8902B91E">
      <w:start w:val="1"/>
      <w:numFmt w:val="bullet"/>
      <w:lvlText w:val=""/>
      <w:lvlJc w:val="left"/>
      <w:pPr>
        <w:tabs>
          <w:tab w:val="num" w:pos="2880"/>
        </w:tabs>
        <w:ind w:left="2880" w:hanging="360"/>
      </w:pPr>
      <w:rPr>
        <w:rFonts w:ascii="Symbol" w:hAnsi="Symbol"/>
      </w:rPr>
    </w:lvl>
    <w:lvl w:ilvl="4" w:tplc="50EA9B5A">
      <w:start w:val="1"/>
      <w:numFmt w:val="bullet"/>
      <w:lvlText w:val="o"/>
      <w:lvlJc w:val="left"/>
      <w:pPr>
        <w:tabs>
          <w:tab w:val="num" w:pos="3600"/>
        </w:tabs>
        <w:ind w:left="3600" w:hanging="360"/>
      </w:pPr>
      <w:rPr>
        <w:rFonts w:ascii="Courier New" w:hAnsi="Courier New"/>
      </w:rPr>
    </w:lvl>
    <w:lvl w:ilvl="5" w:tplc="6E74BC3A">
      <w:start w:val="1"/>
      <w:numFmt w:val="bullet"/>
      <w:lvlText w:val=""/>
      <w:lvlJc w:val="left"/>
      <w:pPr>
        <w:tabs>
          <w:tab w:val="num" w:pos="4320"/>
        </w:tabs>
        <w:ind w:left="4320" w:hanging="360"/>
      </w:pPr>
      <w:rPr>
        <w:rFonts w:ascii="Wingdings" w:hAnsi="Wingdings"/>
      </w:rPr>
    </w:lvl>
    <w:lvl w:ilvl="6" w:tplc="8486A460">
      <w:start w:val="1"/>
      <w:numFmt w:val="bullet"/>
      <w:lvlText w:val=""/>
      <w:lvlJc w:val="left"/>
      <w:pPr>
        <w:tabs>
          <w:tab w:val="num" w:pos="5040"/>
        </w:tabs>
        <w:ind w:left="5040" w:hanging="360"/>
      </w:pPr>
      <w:rPr>
        <w:rFonts w:ascii="Symbol" w:hAnsi="Symbol"/>
      </w:rPr>
    </w:lvl>
    <w:lvl w:ilvl="7" w:tplc="7308653C">
      <w:start w:val="1"/>
      <w:numFmt w:val="bullet"/>
      <w:lvlText w:val="o"/>
      <w:lvlJc w:val="left"/>
      <w:pPr>
        <w:tabs>
          <w:tab w:val="num" w:pos="5760"/>
        </w:tabs>
        <w:ind w:left="5760" w:hanging="360"/>
      </w:pPr>
      <w:rPr>
        <w:rFonts w:ascii="Courier New" w:hAnsi="Courier New"/>
      </w:rPr>
    </w:lvl>
    <w:lvl w:ilvl="8" w:tplc="0E5C4D12">
      <w:start w:val="1"/>
      <w:numFmt w:val="bullet"/>
      <w:lvlText w:val=""/>
      <w:lvlJc w:val="left"/>
      <w:pPr>
        <w:tabs>
          <w:tab w:val="num" w:pos="6480"/>
        </w:tabs>
        <w:ind w:left="6480" w:hanging="360"/>
      </w:pPr>
      <w:rPr>
        <w:rFonts w:ascii="Wingdings" w:hAnsi="Wingdings"/>
      </w:rPr>
    </w:lvl>
  </w:abstractNum>
  <w:abstractNum w:abstractNumId="1003" w15:restartNumberingAfterBreak="0">
    <w:nsid w:val="722308AD"/>
    <w:multiLevelType w:val="hybridMultilevel"/>
    <w:tmpl w:val="722308AD"/>
    <w:lvl w:ilvl="0" w:tplc="85B6F71C">
      <w:start w:val="1"/>
      <w:numFmt w:val="bullet"/>
      <w:lvlText w:val=""/>
      <w:lvlJc w:val="left"/>
      <w:pPr>
        <w:ind w:left="720" w:hanging="360"/>
      </w:pPr>
      <w:rPr>
        <w:rFonts w:ascii="Symbol" w:hAnsi="Symbol"/>
      </w:rPr>
    </w:lvl>
    <w:lvl w:ilvl="1" w:tplc="77B8416A">
      <w:start w:val="1"/>
      <w:numFmt w:val="bullet"/>
      <w:lvlText w:val="o"/>
      <w:lvlJc w:val="left"/>
      <w:pPr>
        <w:tabs>
          <w:tab w:val="num" w:pos="1440"/>
        </w:tabs>
        <w:ind w:left="1440" w:hanging="360"/>
      </w:pPr>
      <w:rPr>
        <w:rFonts w:ascii="Courier New" w:hAnsi="Courier New"/>
      </w:rPr>
    </w:lvl>
    <w:lvl w:ilvl="2" w:tplc="FE407ABA">
      <w:start w:val="1"/>
      <w:numFmt w:val="bullet"/>
      <w:lvlText w:val=""/>
      <w:lvlJc w:val="left"/>
      <w:pPr>
        <w:tabs>
          <w:tab w:val="num" w:pos="2160"/>
        </w:tabs>
        <w:ind w:left="2160" w:hanging="360"/>
      </w:pPr>
      <w:rPr>
        <w:rFonts w:ascii="Wingdings" w:hAnsi="Wingdings"/>
      </w:rPr>
    </w:lvl>
    <w:lvl w:ilvl="3" w:tplc="BCA82872">
      <w:start w:val="1"/>
      <w:numFmt w:val="bullet"/>
      <w:lvlText w:val=""/>
      <w:lvlJc w:val="left"/>
      <w:pPr>
        <w:tabs>
          <w:tab w:val="num" w:pos="2880"/>
        </w:tabs>
        <w:ind w:left="2880" w:hanging="360"/>
      </w:pPr>
      <w:rPr>
        <w:rFonts w:ascii="Symbol" w:hAnsi="Symbol"/>
      </w:rPr>
    </w:lvl>
    <w:lvl w:ilvl="4" w:tplc="E7369BA4">
      <w:start w:val="1"/>
      <w:numFmt w:val="bullet"/>
      <w:lvlText w:val="o"/>
      <w:lvlJc w:val="left"/>
      <w:pPr>
        <w:tabs>
          <w:tab w:val="num" w:pos="3600"/>
        </w:tabs>
        <w:ind w:left="3600" w:hanging="360"/>
      </w:pPr>
      <w:rPr>
        <w:rFonts w:ascii="Courier New" w:hAnsi="Courier New"/>
      </w:rPr>
    </w:lvl>
    <w:lvl w:ilvl="5" w:tplc="4ACCFB64">
      <w:start w:val="1"/>
      <w:numFmt w:val="bullet"/>
      <w:lvlText w:val=""/>
      <w:lvlJc w:val="left"/>
      <w:pPr>
        <w:tabs>
          <w:tab w:val="num" w:pos="4320"/>
        </w:tabs>
        <w:ind w:left="4320" w:hanging="360"/>
      </w:pPr>
      <w:rPr>
        <w:rFonts w:ascii="Wingdings" w:hAnsi="Wingdings"/>
      </w:rPr>
    </w:lvl>
    <w:lvl w:ilvl="6" w:tplc="D68A2B40">
      <w:start w:val="1"/>
      <w:numFmt w:val="bullet"/>
      <w:lvlText w:val=""/>
      <w:lvlJc w:val="left"/>
      <w:pPr>
        <w:tabs>
          <w:tab w:val="num" w:pos="5040"/>
        </w:tabs>
        <w:ind w:left="5040" w:hanging="360"/>
      </w:pPr>
      <w:rPr>
        <w:rFonts w:ascii="Symbol" w:hAnsi="Symbol"/>
      </w:rPr>
    </w:lvl>
    <w:lvl w:ilvl="7" w:tplc="9B3A9A1C">
      <w:start w:val="1"/>
      <w:numFmt w:val="bullet"/>
      <w:lvlText w:val="o"/>
      <w:lvlJc w:val="left"/>
      <w:pPr>
        <w:tabs>
          <w:tab w:val="num" w:pos="5760"/>
        </w:tabs>
        <w:ind w:left="5760" w:hanging="360"/>
      </w:pPr>
      <w:rPr>
        <w:rFonts w:ascii="Courier New" w:hAnsi="Courier New"/>
      </w:rPr>
    </w:lvl>
    <w:lvl w:ilvl="8" w:tplc="B1F0CD6C">
      <w:start w:val="1"/>
      <w:numFmt w:val="bullet"/>
      <w:lvlText w:val=""/>
      <w:lvlJc w:val="left"/>
      <w:pPr>
        <w:tabs>
          <w:tab w:val="num" w:pos="6480"/>
        </w:tabs>
        <w:ind w:left="6480" w:hanging="360"/>
      </w:pPr>
      <w:rPr>
        <w:rFonts w:ascii="Wingdings" w:hAnsi="Wingdings"/>
      </w:rPr>
    </w:lvl>
  </w:abstractNum>
  <w:abstractNum w:abstractNumId="1004" w15:restartNumberingAfterBreak="0">
    <w:nsid w:val="722308AE"/>
    <w:multiLevelType w:val="hybridMultilevel"/>
    <w:tmpl w:val="722308AE"/>
    <w:lvl w:ilvl="0" w:tplc="0A2CB398">
      <w:start w:val="1"/>
      <w:numFmt w:val="bullet"/>
      <w:lvlText w:val=""/>
      <w:lvlJc w:val="left"/>
      <w:pPr>
        <w:ind w:left="720" w:hanging="360"/>
      </w:pPr>
      <w:rPr>
        <w:rFonts w:ascii="Symbol" w:hAnsi="Symbol"/>
      </w:rPr>
    </w:lvl>
    <w:lvl w:ilvl="1" w:tplc="436CE222">
      <w:start w:val="1"/>
      <w:numFmt w:val="bullet"/>
      <w:lvlText w:val="o"/>
      <w:lvlJc w:val="left"/>
      <w:pPr>
        <w:tabs>
          <w:tab w:val="num" w:pos="1440"/>
        </w:tabs>
        <w:ind w:left="1440" w:hanging="360"/>
      </w:pPr>
      <w:rPr>
        <w:rFonts w:ascii="Courier New" w:hAnsi="Courier New"/>
      </w:rPr>
    </w:lvl>
    <w:lvl w:ilvl="2" w:tplc="E6E6C40E">
      <w:start w:val="1"/>
      <w:numFmt w:val="bullet"/>
      <w:lvlText w:val=""/>
      <w:lvlJc w:val="left"/>
      <w:pPr>
        <w:tabs>
          <w:tab w:val="num" w:pos="2160"/>
        </w:tabs>
        <w:ind w:left="2160" w:hanging="360"/>
      </w:pPr>
      <w:rPr>
        <w:rFonts w:ascii="Wingdings" w:hAnsi="Wingdings"/>
      </w:rPr>
    </w:lvl>
    <w:lvl w:ilvl="3" w:tplc="C15EBABA">
      <w:start w:val="1"/>
      <w:numFmt w:val="bullet"/>
      <w:lvlText w:val=""/>
      <w:lvlJc w:val="left"/>
      <w:pPr>
        <w:tabs>
          <w:tab w:val="num" w:pos="2880"/>
        </w:tabs>
        <w:ind w:left="2880" w:hanging="360"/>
      </w:pPr>
      <w:rPr>
        <w:rFonts w:ascii="Symbol" w:hAnsi="Symbol"/>
      </w:rPr>
    </w:lvl>
    <w:lvl w:ilvl="4" w:tplc="FAC4D790">
      <w:start w:val="1"/>
      <w:numFmt w:val="bullet"/>
      <w:lvlText w:val="o"/>
      <w:lvlJc w:val="left"/>
      <w:pPr>
        <w:tabs>
          <w:tab w:val="num" w:pos="3600"/>
        </w:tabs>
        <w:ind w:left="3600" w:hanging="360"/>
      </w:pPr>
      <w:rPr>
        <w:rFonts w:ascii="Courier New" w:hAnsi="Courier New"/>
      </w:rPr>
    </w:lvl>
    <w:lvl w:ilvl="5" w:tplc="64186110">
      <w:start w:val="1"/>
      <w:numFmt w:val="bullet"/>
      <w:lvlText w:val=""/>
      <w:lvlJc w:val="left"/>
      <w:pPr>
        <w:tabs>
          <w:tab w:val="num" w:pos="4320"/>
        </w:tabs>
        <w:ind w:left="4320" w:hanging="360"/>
      </w:pPr>
      <w:rPr>
        <w:rFonts w:ascii="Wingdings" w:hAnsi="Wingdings"/>
      </w:rPr>
    </w:lvl>
    <w:lvl w:ilvl="6" w:tplc="34E247EE">
      <w:start w:val="1"/>
      <w:numFmt w:val="bullet"/>
      <w:lvlText w:val=""/>
      <w:lvlJc w:val="left"/>
      <w:pPr>
        <w:tabs>
          <w:tab w:val="num" w:pos="5040"/>
        </w:tabs>
        <w:ind w:left="5040" w:hanging="360"/>
      </w:pPr>
      <w:rPr>
        <w:rFonts w:ascii="Symbol" w:hAnsi="Symbol"/>
      </w:rPr>
    </w:lvl>
    <w:lvl w:ilvl="7" w:tplc="D4067A12">
      <w:start w:val="1"/>
      <w:numFmt w:val="bullet"/>
      <w:lvlText w:val="o"/>
      <w:lvlJc w:val="left"/>
      <w:pPr>
        <w:tabs>
          <w:tab w:val="num" w:pos="5760"/>
        </w:tabs>
        <w:ind w:left="5760" w:hanging="360"/>
      </w:pPr>
      <w:rPr>
        <w:rFonts w:ascii="Courier New" w:hAnsi="Courier New"/>
      </w:rPr>
    </w:lvl>
    <w:lvl w:ilvl="8" w:tplc="63EE1674">
      <w:start w:val="1"/>
      <w:numFmt w:val="bullet"/>
      <w:lvlText w:val=""/>
      <w:lvlJc w:val="left"/>
      <w:pPr>
        <w:tabs>
          <w:tab w:val="num" w:pos="6480"/>
        </w:tabs>
        <w:ind w:left="6480" w:hanging="360"/>
      </w:pPr>
      <w:rPr>
        <w:rFonts w:ascii="Wingdings" w:hAnsi="Wingdings"/>
      </w:rPr>
    </w:lvl>
  </w:abstractNum>
  <w:abstractNum w:abstractNumId="1005" w15:restartNumberingAfterBreak="0">
    <w:nsid w:val="722308AF"/>
    <w:multiLevelType w:val="hybridMultilevel"/>
    <w:tmpl w:val="722308AF"/>
    <w:lvl w:ilvl="0" w:tplc="9872F2AA">
      <w:start w:val="1"/>
      <w:numFmt w:val="bullet"/>
      <w:lvlText w:val=""/>
      <w:lvlJc w:val="left"/>
      <w:pPr>
        <w:ind w:left="720" w:hanging="360"/>
      </w:pPr>
      <w:rPr>
        <w:rFonts w:ascii="Symbol" w:hAnsi="Symbol"/>
      </w:rPr>
    </w:lvl>
    <w:lvl w:ilvl="1" w:tplc="2EFABAFC">
      <w:start w:val="1"/>
      <w:numFmt w:val="bullet"/>
      <w:lvlText w:val="o"/>
      <w:lvlJc w:val="left"/>
      <w:pPr>
        <w:tabs>
          <w:tab w:val="num" w:pos="1440"/>
        </w:tabs>
        <w:ind w:left="1440" w:hanging="360"/>
      </w:pPr>
      <w:rPr>
        <w:rFonts w:ascii="Courier New" w:hAnsi="Courier New"/>
      </w:rPr>
    </w:lvl>
    <w:lvl w:ilvl="2" w:tplc="F01AA65C">
      <w:start w:val="1"/>
      <w:numFmt w:val="bullet"/>
      <w:lvlText w:val=""/>
      <w:lvlJc w:val="left"/>
      <w:pPr>
        <w:tabs>
          <w:tab w:val="num" w:pos="2160"/>
        </w:tabs>
        <w:ind w:left="2160" w:hanging="360"/>
      </w:pPr>
      <w:rPr>
        <w:rFonts w:ascii="Wingdings" w:hAnsi="Wingdings"/>
      </w:rPr>
    </w:lvl>
    <w:lvl w:ilvl="3" w:tplc="C80CEE86">
      <w:start w:val="1"/>
      <w:numFmt w:val="bullet"/>
      <w:lvlText w:val=""/>
      <w:lvlJc w:val="left"/>
      <w:pPr>
        <w:tabs>
          <w:tab w:val="num" w:pos="2880"/>
        </w:tabs>
        <w:ind w:left="2880" w:hanging="360"/>
      </w:pPr>
      <w:rPr>
        <w:rFonts w:ascii="Symbol" w:hAnsi="Symbol"/>
      </w:rPr>
    </w:lvl>
    <w:lvl w:ilvl="4" w:tplc="4AA6331C">
      <w:start w:val="1"/>
      <w:numFmt w:val="bullet"/>
      <w:lvlText w:val="o"/>
      <w:lvlJc w:val="left"/>
      <w:pPr>
        <w:tabs>
          <w:tab w:val="num" w:pos="3600"/>
        </w:tabs>
        <w:ind w:left="3600" w:hanging="360"/>
      </w:pPr>
      <w:rPr>
        <w:rFonts w:ascii="Courier New" w:hAnsi="Courier New"/>
      </w:rPr>
    </w:lvl>
    <w:lvl w:ilvl="5" w:tplc="3490E238">
      <w:start w:val="1"/>
      <w:numFmt w:val="bullet"/>
      <w:lvlText w:val=""/>
      <w:lvlJc w:val="left"/>
      <w:pPr>
        <w:tabs>
          <w:tab w:val="num" w:pos="4320"/>
        </w:tabs>
        <w:ind w:left="4320" w:hanging="360"/>
      </w:pPr>
      <w:rPr>
        <w:rFonts w:ascii="Wingdings" w:hAnsi="Wingdings"/>
      </w:rPr>
    </w:lvl>
    <w:lvl w:ilvl="6" w:tplc="FEDA8FF0">
      <w:start w:val="1"/>
      <w:numFmt w:val="bullet"/>
      <w:lvlText w:val=""/>
      <w:lvlJc w:val="left"/>
      <w:pPr>
        <w:tabs>
          <w:tab w:val="num" w:pos="5040"/>
        </w:tabs>
        <w:ind w:left="5040" w:hanging="360"/>
      </w:pPr>
      <w:rPr>
        <w:rFonts w:ascii="Symbol" w:hAnsi="Symbol"/>
      </w:rPr>
    </w:lvl>
    <w:lvl w:ilvl="7" w:tplc="6D641046">
      <w:start w:val="1"/>
      <w:numFmt w:val="bullet"/>
      <w:lvlText w:val="o"/>
      <w:lvlJc w:val="left"/>
      <w:pPr>
        <w:tabs>
          <w:tab w:val="num" w:pos="5760"/>
        </w:tabs>
        <w:ind w:left="5760" w:hanging="360"/>
      </w:pPr>
      <w:rPr>
        <w:rFonts w:ascii="Courier New" w:hAnsi="Courier New"/>
      </w:rPr>
    </w:lvl>
    <w:lvl w:ilvl="8" w:tplc="BA7CAC3A">
      <w:start w:val="1"/>
      <w:numFmt w:val="bullet"/>
      <w:lvlText w:val=""/>
      <w:lvlJc w:val="left"/>
      <w:pPr>
        <w:tabs>
          <w:tab w:val="num" w:pos="6480"/>
        </w:tabs>
        <w:ind w:left="6480" w:hanging="360"/>
      </w:pPr>
      <w:rPr>
        <w:rFonts w:ascii="Wingdings" w:hAnsi="Wingdings"/>
      </w:rPr>
    </w:lvl>
  </w:abstractNum>
  <w:abstractNum w:abstractNumId="1006" w15:restartNumberingAfterBreak="0">
    <w:nsid w:val="722308B0"/>
    <w:multiLevelType w:val="hybridMultilevel"/>
    <w:tmpl w:val="722308B0"/>
    <w:lvl w:ilvl="0" w:tplc="562C6046">
      <w:start w:val="1"/>
      <w:numFmt w:val="bullet"/>
      <w:lvlText w:val=""/>
      <w:lvlJc w:val="left"/>
      <w:pPr>
        <w:ind w:left="720" w:hanging="360"/>
      </w:pPr>
      <w:rPr>
        <w:rFonts w:ascii="Symbol" w:hAnsi="Symbol"/>
      </w:rPr>
    </w:lvl>
    <w:lvl w:ilvl="1" w:tplc="E60E5E22">
      <w:start w:val="1"/>
      <w:numFmt w:val="bullet"/>
      <w:lvlText w:val="o"/>
      <w:lvlJc w:val="left"/>
      <w:pPr>
        <w:tabs>
          <w:tab w:val="num" w:pos="1440"/>
        </w:tabs>
        <w:ind w:left="1440" w:hanging="360"/>
      </w:pPr>
      <w:rPr>
        <w:rFonts w:ascii="Courier New" w:hAnsi="Courier New"/>
      </w:rPr>
    </w:lvl>
    <w:lvl w:ilvl="2" w:tplc="B9628E86">
      <w:start w:val="1"/>
      <w:numFmt w:val="bullet"/>
      <w:lvlText w:val=""/>
      <w:lvlJc w:val="left"/>
      <w:pPr>
        <w:tabs>
          <w:tab w:val="num" w:pos="2160"/>
        </w:tabs>
        <w:ind w:left="2160" w:hanging="360"/>
      </w:pPr>
      <w:rPr>
        <w:rFonts w:ascii="Wingdings" w:hAnsi="Wingdings"/>
      </w:rPr>
    </w:lvl>
    <w:lvl w:ilvl="3" w:tplc="316202CC">
      <w:start w:val="1"/>
      <w:numFmt w:val="bullet"/>
      <w:lvlText w:val=""/>
      <w:lvlJc w:val="left"/>
      <w:pPr>
        <w:tabs>
          <w:tab w:val="num" w:pos="2880"/>
        </w:tabs>
        <w:ind w:left="2880" w:hanging="360"/>
      </w:pPr>
      <w:rPr>
        <w:rFonts w:ascii="Symbol" w:hAnsi="Symbol"/>
      </w:rPr>
    </w:lvl>
    <w:lvl w:ilvl="4" w:tplc="CC6CC77C">
      <w:start w:val="1"/>
      <w:numFmt w:val="bullet"/>
      <w:lvlText w:val="o"/>
      <w:lvlJc w:val="left"/>
      <w:pPr>
        <w:tabs>
          <w:tab w:val="num" w:pos="3600"/>
        </w:tabs>
        <w:ind w:left="3600" w:hanging="360"/>
      </w:pPr>
      <w:rPr>
        <w:rFonts w:ascii="Courier New" w:hAnsi="Courier New"/>
      </w:rPr>
    </w:lvl>
    <w:lvl w:ilvl="5" w:tplc="53EC1570">
      <w:start w:val="1"/>
      <w:numFmt w:val="bullet"/>
      <w:lvlText w:val=""/>
      <w:lvlJc w:val="left"/>
      <w:pPr>
        <w:tabs>
          <w:tab w:val="num" w:pos="4320"/>
        </w:tabs>
        <w:ind w:left="4320" w:hanging="360"/>
      </w:pPr>
      <w:rPr>
        <w:rFonts w:ascii="Wingdings" w:hAnsi="Wingdings"/>
      </w:rPr>
    </w:lvl>
    <w:lvl w:ilvl="6" w:tplc="D9AEA02C">
      <w:start w:val="1"/>
      <w:numFmt w:val="bullet"/>
      <w:lvlText w:val=""/>
      <w:lvlJc w:val="left"/>
      <w:pPr>
        <w:tabs>
          <w:tab w:val="num" w:pos="5040"/>
        </w:tabs>
        <w:ind w:left="5040" w:hanging="360"/>
      </w:pPr>
      <w:rPr>
        <w:rFonts w:ascii="Symbol" w:hAnsi="Symbol"/>
      </w:rPr>
    </w:lvl>
    <w:lvl w:ilvl="7" w:tplc="5CA6D93A">
      <w:start w:val="1"/>
      <w:numFmt w:val="bullet"/>
      <w:lvlText w:val="o"/>
      <w:lvlJc w:val="left"/>
      <w:pPr>
        <w:tabs>
          <w:tab w:val="num" w:pos="5760"/>
        </w:tabs>
        <w:ind w:left="5760" w:hanging="360"/>
      </w:pPr>
      <w:rPr>
        <w:rFonts w:ascii="Courier New" w:hAnsi="Courier New"/>
      </w:rPr>
    </w:lvl>
    <w:lvl w:ilvl="8" w:tplc="2594186E">
      <w:start w:val="1"/>
      <w:numFmt w:val="bullet"/>
      <w:lvlText w:val=""/>
      <w:lvlJc w:val="left"/>
      <w:pPr>
        <w:tabs>
          <w:tab w:val="num" w:pos="6480"/>
        </w:tabs>
        <w:ind w:left="6480" w:hanging="360"/>
      </w:pPr>
      <w:rPr>
        <w:rFonts w:ascii="Wingdings" w:hAnsi="Wingdings"/>
      </w:rPr>
    </w:lvl>
  </w:abstractNum>
  <w:abstractNum w:abstractNumId="1007" w15:restartNumberingAfterBreak="0">
    <w:nsid w:val="722308B1"/>
    <w:multiLevelType w:val="hybridMultilevel"/>
    <w:tmpl w:val="722308B1"/>
    <w:lvl w:ilvl="0" w:tplc="D77ADBD8">
      <w:start w:val="1"/>
      <w:numFmt w:val="bullet"/>
      <w:lvlText w:val=""/>
      <w:lvlJc w:val="left"/>
      <w:pPr>
        <w:ind w:left="720" w:hanging="360"/>
      </w:pPr>
      <w:rPr>
        <w:rFonts w:ascii="Symbol" w:hAnsi="Symbol"/>
      </w:rPr>
    </w:lvl>
    <w:lvl w:ilvl="1" w:tplc="9AA40A1C">
      <w:start w:val="1"/>
      <w:numFmt w:val="bullet"/>
      <w:lvlText w:val="o"/>
      <w:lvlJc w:val="left"/>
      <w:pPr>
        <w:tabs>
          <w:tab w:val="num" w:pos="1440"/>
        </w:tabs>
        <w:ind w:left="1440" w:hanging="360"/>
      </w:pPr>
      <w:rPr>
        <w:rFonts w:ascii="Courier New" w:hAnsi="Courier New"/>
      </w:rPr>
    </w:lvl>
    <w:lvl w:ilvl="2" w:tplc="5378B4B2">
      <w:start w:val="1"/>
      <w:numFmt w:val="bullet"/>
      <w:lvlText w:val=""/>
      <w:lvlJc w:val="left"/>
      <w:pPr>
        <w:tabs>
          <w:tab w:val="num" w:pos="2160"/>
        </w:tabs>
        <w:ind w:left="2160" w:hanging="360"/>
      </w:pPr>
      <w:rPr>
        <w:rFonts w:ascii="Wingdings" w:hAnsi="Wingdings"/>
      </w:rPr>
    </w:lvl>
    <w:lvl w:ilvl="3" w:tplc="8586F27A">
      <w:start w:val="1"/>
      <w:numFmt w:val="bullet"/>
      <w:lvlText w:val=""/>
      <w:lvlJc w:val="left"/>
      <w:pPr>
        <w:tabs>
          <w:tab w:val="num" w:pos="2880"/>
        </w:tabs>
        <w:ind w:left="2880" w:hanging="360"/>
      </w:pPr>
      <w:rPr>
        <w:rFonts w:ascii="Symbol" w:hAnsi="Symbol"/>
      </w:rPr>
    </w:lvl>
    <w:lvl w:ilvl="4" w:tplc="E47AC1D0">
      <w:start w:val="1"/>
      <w:numFmt w:val="bullet"/>
      <w:lvlText w:val="o"/>
      <w:lvlJc w:val="left"/>
      <w:pPr>
        <w:tabs>
          <w:tab w:val="num" w:pos="3600"/>
        </w:tabs>
        <w:ind w:left="3600" w:hanging="360"/>
      </w:pPr>
      <w:rPr>
        <w:rFonts w:ascii="Courier New" w:hAnsi="Courier New"/>
      </w:rPr>
    </w:lvl>
    <w:lvl w:ilvl="5" w:tplc="FD7868E4">
      <w:start w:val="1"/>
      <w:numFmt w:val="bullet"/>
      <w:lvlText w:val=""/>
      <w:lvlJc w:val="left"/>
      <w:pPr>
        <w:tabs>
          <w:tab w:val="num" w:pos="4320"/>
        </w:tabs>
        <w:ind w:left="4320" w:hanging="360"/>
      </w:pPr>
      <w:rPr>
        <w:rFonts w:ascii="Wingdings" w:hAnsi="Wingdings"/>
      </w:rPr>
    </w:lvl>
    <w:lvl w:ilvl="6" w:tplc="86D040B6">
      <w:start w:val="1"/>
      <w:numFmt w:val="bullet"/>
      <w:lvlText w:val=""/>
      <w:lvlJc w:val="left"/>
      <w:pPr>
        <w:tabs>
          <w:tab w:val="num" w:pos="5040"/>
        </w:tabs>
        <w:ind w:left="5040" w:hanging="360"/>
      </w:pPr>
      <w:rPr>
        <w:rFonts w:ascii="Symbol" w:hAnsi="Symbol"/>
      </w:rPr>
    </w:lvl>
    <w:lvl w:ilvl="7" w:tplc="F3BC2B12">
      <w:start w:val="1"/>
      <w:numFmt w:val="bullet"/>
      <w:lvlText w:val="o"/>
      <w:lvlJc w:val="left"/>
      <w:pPr>
        <w:tabs>
          <w:tab w:val="num" w:pos="5760"/>
        </w:tabs>
        <w:ind w:left="5760" w:hanging="360"/>
      </w:pPr>
      <w:rPr>
        <w:rFonts w:ascii="Courier New" w:hAnsi="Courier New"/>
      </w:rPr>
    </w:lvl>
    <w:lvl w:ilvl="8" w:tplc="D61EF1BE">
      <w:start w:val="1"/>
      <w:numFmt w:val="bullet"/>
      <w:lvlText w:val=""/>
      <w:lvlJc w:val="left"/>
      <w:pPr>
        <w:tabs>
          <w:tab w:val="num" w:pos="6480"/>
        </w:tabs>
        <w:ind w:left="6480" w:hanging="360"/>
      </w:pPr>
      <w:rPr>
        <w:rFonts w:ascii="Wingdings" w:hAnsi="Wingdings"/>
      </w:rPr>
    </w:lvl>
  </w:abstractNum>
  <w:abstractNum w:abstractNumId="1008" w15:restartNumberingAfterBreak="0">
    <w:nsid w:val="722308B2"/>
    <w:multiLevelType w:val="hybridMultilevel"/>
    <w:tmpl w:val="722308B2"/>
    <w:lvl w:ilvl="0" w:tplc="2CDAF360">
      <w:start w:val="1"/>
      <w:numFmt w:val="bullet"/>
      <w:lvlText w:val=""/>
      <w:lvlJc w:val="left"/>
      <w:pPr>
        <w:ind w:left="720" w:hanging="360"/>
      </w:pPr>
      <w:rPr>
        <w:rFonts w:ascii="Symbol" w:hAnsi="Symbol"/>
      </w:rPr>
    </w:lvl>
    <w:lvl w:ilvl="1" w:tplc="43C65BF0">
      <w:start w:val="1"/>
      <w:numFmt w:val="bullet"/>
      <w:lvlText w:val="o"/>
      <w:lvlJc w:val="left"/>
      <w:pPr>
        <w:tabs>
          <w:tab w:val="num" w:pos="1440"/>
        </w:tabs>
        <w:ind w:left="1440" w:hanging="360"/>
      </w:pPr>
      <w:rPr>
        <w:rFonts w:ascii="Courier New" w:hAnsi="Courier New"/>
      </w:rPr>
    </w:lvl>
    <w:lvl w:ilvl="2" w:tplc="A2F63E7C">
      <w:start w:val="1"/>
      <w:numFmt w:val="bullet"/>
      <w:lvlText w:val=""/>
      <w:lvlJc w:val="left"/>
      <w:pPr>
        <w:tabs>
          <w:tab w:val="num" w:pos="2160"/>
        </w:tabs>
        <w:ind w:left="2160" w:hanging="360"/>
      </w:pPr>
      <w:rPr>
        <w:rFonts w:ascii="Wingdings" w:hAnsi="Wingdings"/>
      </w:rPr>
    </w:lvl>
    <w:lvl w:ilvl="3" w:tplc="9508C4A4">
      <w:start w:val="1"/>
      <w:numFmt w:val="bullet"/>
      <w:lvlText w:val=""/>
      <w:lvlJc w:val="left"/>
      <w:pPr>
        <w:tabs>
          <w:tab w:val="num" w:pos="2880"/>
        </w:tabs>
        <w:ind w:left="2880" w:hanging="360"/>
      </w:pPr>
      <w:rPr>
        <w:rFonts w:ascii="Symbol" w:hAnsi="Symbol"/>
      </w:rPr>
    </w:lvl>
    <w:lvl w:ilvl="4" w:tplc="4A0E4832">
      <w:start w:val="1"/>
      <w:numFmt w:val="bullet"/>
      <w:lvlText w:val="o"/>
      <w:lvlJc w:val="left"/>
      <w:pPr>
        <w:tabs>
          <w:tab w:val="num" w:pos="3600"/>
        </w:tabs>
        <w:ind w:left="3600" w:hanging="360"/>
      </w:pPr>
      <w:rPr>
        <w:rFonts w:ascii="Courier New" w:hAnsi="Courier New"/>
      </w:rPr>
    </w:lvl>
    <w:lvl w:ilvl="5" w:tplc="FA2E6A22">
      <w:start w:val="1"/>
      <w:numFmt w:val="bullet"/>
      <w:lvlText w:val=""/>
      <w:lvlJc w:val="left"/>
      <w:pPr>
        <w:tabs>
          <w:tab w:val="num" w:pos="4320"/>
        </w:tabs>
        <w:ind w:left="4320" w:hanging="360"/>
      </w:pPr>
      <w:rPr>
        <w:rFonts w:ascii="Wingdings" w:hAnsi="Wingdings"/>
      </w:rPr>
    </w:lvl>
    <w:lvl w:ilvl="6" w:tplc="36AE3D6E">
      <w:start w:val="1"/>
      <w:numFmt w:val="bullet"/>
      <w:lvlText w:val=""/>
      <w:lvlJc w:val="left"/>
      <w:pPr>
        <w:tabs>
          <w:tab w:val="num" w:pos="5040"/>
        </w:tabs>
        <w:ind w:left="5040" w:hanging="360"/>
      </w:pPr>
      <w:rPr>
        <w:rFonts w:ascii="Symbol" w:hAnsi="Symbol"/>
      </w:rPr>
    </w:lvl>
    <w:lvl w:ilvl="7" w:tplc="29D66BB4">
      <w:start w:val="1"/>
      <w:numFmt w:val="bullet"/>
      <w:lvlText w:val="o"/>
      <w:lvlJc w:val="left"/>
      <w:pPr>
        <w:tabs>
          <w:tab w:val="num" w:pos="5760"/>
        </w:tabs>
        <w:ind w:left="5760" w:hanging="360"/>
      </w:pPr>
      <w:rPr>
        <w:rFonts w:ascii="Courier New" w:hAnsi="Courier New"/>
      </w:rPr>
    </w:lvl>
    <w:lvl w:ilvl="8" w:tplc="471C4E92">
      <w:start w:val="1"/>
      <w:numFmt w:val="bullet"/>
      <w:lvlText w:val=""/>
      <w:lvlJc w:val="left"/>
      <w:pPr>
        <w:tabs>
          <w:tab w:val="num" w:pos="6480"/>
        </w:tabs>
        <w:ind w:left="6480" w:hanging="360"/>
      </w:pPr>
      <w:rPr>
        <w:rFonts w:ascii="Wingdings" w:hAnsi="Wingdings"/>
      </w:rPr>
    </w:lvl>
  </w:abstractNum>
  <w:abstractNum w:abstractNumId="1009" w15:restartNumberingAfterBreak="0">
    <w:nsid w:val="722308B3"/>
    <w:multiLevelType w:val="hybridMultilevel"/>
    <w:tmpl w:val="722308B3"/>
    <w:lvl w:ilvl="0" w:tplc="0E6EF43E">
      <w:start w:val="1"/>
      <w:numFmt w:val="bullet"/>
      <w:lvlText w:val=""/>
      <w:lvlJc w:val="left"/>
      <w:pPr>
        <w:ind w:left="720" w:hanging="360"/>
      </w:pPr>
      <w:rPr>
        <w:rFonts w:ascii="Symbol" w:hAnsi="Symbol"/>
      </w:rPr>
    </w:lvl>
    <w:lvl w:ilvl="1" w:tplc="9E7C7D54">
      <w:start w:val="1"/>
      <w:numFmt w:val="bullet"/>
      <w:lvlText w:val="o"/>
      <w:lvlJc w:val="left"/>
      <w:pPr>
        <w:tabs>
          <w:tab w:val="num" w:pos="1440"/>
        </w:tabs>
        <w:ind w:left="1440" w:hanging="360"/>
      </w:pPr>
      <w:rPr>
        <w:rFonts w:ascii="Courier New" w:hAnsi="Courier New"/>
      </w:rPr>
    </w:lvl>
    <w:lvl w:ilvl="2" w:tplc="61B0080E">
      <w:start w:val="1"/>
      <w:numFmt w:val="bullet"/>
      <w:lvlText w:val=""/>
      <w:lvlJc w:val="left"/>
      <w:pPr>
        <w:tabs>
          <w:tab w:val="num" w:pos="2160"/>
        </w:tabs>
        <w:ind w:left="2160" w:hanging="360"/>
      </w:pPr>
      <w:rPr>
        <w:rFonts w:ascii="Wingdings" w:hAnsi="Wingdings"/>
      </w:rPr>
    </w:lvl>
    <w:lvl w:ilvl="3" w:tplc="807E002C">
      <w:start w:val="1"/>
      <w:numFmt w:val="bullet"/>
      <w:lvlText w:val=""/>
      <w:lvlJc w:val="left"/>
      <w:pPr>
        <w:tabs>
          <w:tab w:val="num" w:pos="2880"/>
        </w:tabs>
        <w:ind w:left="2880" w:hanging="360"/>
      </w:pPr>
      <w:rPr>
        <w:rFonts w:ascii="Symbol" w:hAnsi="Symbol"/>
      </w:rPr>
    </w:lvl>
    <w:lvl w:ilvl="4" w:tplc="11683718">
      <w:start w:val="1"/>
      <w:numFmt w:val="bullet"/>
      <w:lvlText w:val="o"/>
      <w:lvlJc w:val="left"/>
      <w:pPr>
        <w:tabs>
          <w:tab w:val="num" w:pos="3600"/>
        </w:tabs>
        <w:ind w:left="3600" w:hanging="360"/>
      </w:pPr>
      <w:rPr>
        <w:rFonts w:ascii="Courier New" w:hAnsi="Courier New"/>
      </w:rPr>
    </w:lvl>
    <w:lvl w:ilvl="5" w:tplc="FE7EEE22">
      <w:start w:val="1"/>
      <w:numFmt w:val="bullet"/>
      <w:lvlText w:val=""/>
      <w:lvlJc w:val="left"/>
      <w:pPr>
        <w:tabs>
          <w:tab w:val="num" w:pos="4320"/>
        </w:tabs>
        <w:ind w:left="4320" w:hanging="360"/>
      </w:pPr>
      <w:rPr>
        <w:rFonts w:ascii="Wingdings" w:hAnsi="Wingdings"/>
      </w:rPr>
    </w:lvl>
    <w:lvl w:ilvl="6" w:tplc="4E9C1CE0">
      <w:start w:val="1"/>
      <w:numFmt w:val="bullet"/>
      <w:lvlText w:val=""/>
      <w:lvlJc w:val="left"/>
      <w:pPr>
        <w:tabs>
          <w:tab w:val="num" w:pos="5040"/>
        </w:tabs>
        <w:ind w:left="5040" w:hanging="360"/>
      </w:pPr>
      <w:rPr>
        <w:rFonts w:ascii="Symbol" w:hAnsi="Symbol"/>
      </w:rPr>
    </w:lvl>
    <w:lvl w:ilvl="7" w:tplc="1C2066E6">
      <w:start w:val="1"/>
      <w:numFmt w:val="bullet"/>
      <w:lvlText w:val="o"/>
      <w:lvlJc w:val="left"/>
      <w:pPr>
        <w:tabs>
          <w:tab w:val="num" w:pos="5760"/>
        </w:tabs>
        <w:ind w:left="5760" w:hanging="360"/>
      </w:pPr>
      <w:rPr>
        <w:rFonts w:ascii="Courier New" w:hAnsi="Courier New"/>
      </w:rPr>
    </w:lvl>
    <w:lvl w:ilvl="8" w:tplc="E988AF5A">
      <w:start w:val="1"/>
      <w:numFmt w:val="bullet"/>
      <w:lvlText w:val=""/>
      <w:lvlJc w:val="left"/>
      <w:pPr>
        <w:tabs>
          <w:tab w:val="num" w:pos="6480"/>
        </w:tabs>
        <w:ind w:left="6480" w:hanging="360"/>
      </w:pPr>
      <w:rPr>
        <w:rFonts w:ascii="Wingdings" w:hAnsi="Wingdings"/>
      </w:rPr>
    </w:lvl>
  </w:abstractNum>
  <w:abstractNum w:abstractNumId="1010" w15:restartNumberingAfterBreak="0">
    <w:nsid w:val="722308B4"/>
    <w:multiLevelType w:val="hybridMultilevel"/>
    <w:tmpl w:val="722308B4"/>
    <w:lvl w:ilvl="0" w:tplc="487E897C">
      <w:start w:val="1"/>
      <w:numFmt w:val="bullet"/>
      <w:lvlText w:val=""/>
      <w:lvlJc w:val="left"/>
      <w:pPr>
        <w:ind w:left="720" w:hanging="360"/>
      </w:pPr>
      <w:rPr>
        <w:rFonts w:ascii="Symbol" w:hAnsi="Symbol"/>
      </w:rPr>
    </w:lvl>
    <w:lvl w:ilvl="1" w:tplc="C324E63C">
      <w:start w:val="1"/>
      <w:numFmt w:val="bullet"/>
      <w:lvlText w:val="o"/>
      <w:lvlJc w:val="left"/>
      <w:pPr>
        <w:tabs>
          <w:tab w:val="num" w:pos="1440"/>
        </w:tabs>
        <w:ind w:left="1440" w:hanging="360"/>
      </w:pPr>
      <w:rPr>
        <w:rFonts w:ascii="Courier New" w:hAnsi="Courier New"/>
      </w:rPr>
    </w:lvl>
    <w:lvl w:ilvl="2" w:tplc="094C02DE">
      <w:start w:val="1"/>
      <w:numFmt w:val="bullet"/>
      <w:lvlText w:val=""/>
      <w:lvlJc w:val="left"/>
      <w:pPr>
        <w:tabs>
          <w:tab w:val="num" w:pos="2160"/>
        </w:tabs>
        <w:ind w:left="2160" w:hanging="360"/>
      </w:pPr>
      <w:rPr>
        <w:rFonts w:ascii="Wingdings" w:hAnsi="Wingdings"/>
      </w:rPr>
    </w:lvl>
    <w:lvl w:ilvl="3" w:tplc="42729D9C">
      <w:start w:val="1"/>
      <w:numFmt w:val="bullet"/>
      <w:lvlText w:val=""/>
      <w:lvlJc w:val="left"/>
      <w:pPr>
        <w:tabs>
          <w:tab w:val="num" w:pos="2880"/>
        </w:tabs>
        <w:ind w:left="2880" w:hanging="360"/>
      </w:pPr>
      <w:rPr>
        <w:rFonts w:ascii="Symbol" w:hAnsi="Symbol"/>
      </w:rPr>
    </w:lvl>
    <w:lvl w:ilvl="4" w:tplc="064AA384">
      <w:start w:val="1"/>
      <w:numFmt w:val="bullet"/>
      <w:lvlText w:val="o"/>
      <w:lvlJc w:val="left"/>
      <w:pPr>
        <w:tabs>
          <w:tab w:val="num" w:pos="3600"/>
        </w:tabs>
        <w:ind w:left="3600" w:hanging="360"/>
      </w:pPr>
      <w:rPr>
        <w:rFonts w:ascii="Courier New" w:hAnsi="Courier New"/>
      </w:rPr>
    </w:lvl>
    <w:lvl w:ilvl="5" w:tplc="B1EE8AC4">
      <w:start w:val="1"/>
      <w:numFmt w:val="bullet"/>
      <w:lvlText w:val=""/>
      <w:lvlJc w:val="left"/>
      <w:pPr>
        <w:tabs>
          <w:tab w:val="num" w:pos="4320"/>
        </w:tabs>
        <w:ind w:left="4320" w:hanging="360"/>
      </w:pPr>
      <w:rPr>
        <w:rFonts w:ascii="Wingdings" w:hAnsi="Wingdings"/>
      </w:rPr>
    </w:lvl>
    <w:lvl w:ilvl="6" w:tplc="1ACC609C">
      <w:start w:val="1"/>
      <w:numFmt w:val="bullet"/>
      <w:lvlText w:val=""/>
      <w:lvlJc w:val="left"/>
      <w:pPr>
        <w:tabs>
          <w:tab w:val="num" w:pos="5040"/>
        </w:tabs>
        <w:ind w:left="5040" w:hanging="360"/>
      </w:pPr>
      <w:rPr>
        <w:rFonts w:ascii="Symbol" w:hAnsi="Symbol"/>
      </w:rPr>
    </w:lvl>
    <w:lvl w:ilvl="7" w:tplc="C922C5FE">
      <w:start w:val="1"/>
      <w:numFmt w:val="bullet"/>
      <w:lvlText w:val="o"/>
      <w:lvlJc w:val="left"/>
      <w:pPr>
        <w:tabs>
          <w:tab w:val="num" w:pos="5760"/>
        </w:tabs>
        <w:ind w:left="5760" w:hanging="360"/>
      </w:pPr>
      <w:rPr>
        <w:rFonts w:ascii="Courier New" w:hAnsi="Courier New"/>
      </w:rPr>
    </w:lvl>
    <w:lvl w:ilvl="8" w:tplc="34DC33F8">
      <w:start w:val="1"/>
      <w:numFmt w:val="bullet"/>
      <w:lvlText w:val=""/>
      <w:lvlJc w:val="left"/>
      <w:pPr>
        <w:tabs>
          <w:tab w:val="num" w:pos="6480"/>
        </w:tabs>
        <w:ind w:left="6480" w:hanging="360"/>
      </w:pPr>
      <w:rPr>
        <w:rFonts w:ascii="Wingdings" w:hAnsi="Wingdings"/>
      </w:rPr>
    </w:lvl>
  </w:abstractNum>
  <w:abstractNum w:abstractNumId="1011" w15:restartNumberingAfterBreak="0">
    <w:nsid w:val="722308B5"/>
    <w:multiLevelType w:val="hybridMultilevel"/>
    <w:tmpl w:val="722308B5"/>
    <w:lvl w:ilvl="0" w:tplc="34C8578E">
      <w:start w:val="1"/>
      <w:numFmt w:val="bullet"/>
      <w:lvlText w:val=""/>
      <w:lvlJc w:val="left"/>
      <w:pPr>
        <w:ind w:left="720" w:hanging="360"/>
      </w:pPr>
      <w:rPr>
        <w:rFonts w:ascii="Symbol" w:hAnsi="Symbol"/>
      </w:rPr>
    </w:lvl>
    <w:lvl w:ilvl="1" w:tplc="3DC88AAA">
      <w:start w:val="1"/>
      <w:numFmt w:val="bullet"/>
      <w:lvlText w:val="o"/>
      <w:lvlJc w:val="left"/>
      <w:pPr>
        <w:tabs>
          <w:tab w:val="num" w:pos="1440"/>
        </w:tabs>
        <w:ind w:left="1440" w:hanging="360"/>
      </w:pPr>
      <w:rPr>
        <w:rFonts w:ascii="Courier New" w:hAnsi="Courier New"/>
      </w:rPr>
    </w:lvl>
    <w:lvl w:ilvl="2" w:tplc="23B42E50">
      <w:start w:val="1"/>
      <w:numFmt w:val="bullet"/>
      <w:lvlText w:val=""/>
      <w:lvlJc w:val="left"/>
      <w:pPr>
        <w:tabs>
          <w:tab w:val="num" w:pos="2160"/>
        </w:tabs>
        <w:ind w:left="2160" w:hanging="360"/>
      </w:pPr>
      <w:rPr>
        <w:rFonts w:ascii="Wingdings" w:hAnsi="Wingdings"/>
      </w:rPr>
    </w:lvl>
    <w:lvl w:ilvl="3" w:tplc="2A02F142">
      <w:start w:val="1"/>
      <w:numFmt w:val="bullet"/>
      <w:lvlText w:val=""/>
      <w:lvlJc w:val="left"/>
      <w:pPr>
        <w:tabs>
          <w:tab w:val="num" w:pos="2880"/>
        </w:tabs>
        <w:ind w:left="2880" w:hanging="360"/>
      </w:pPr>
      <w:rPr>
        <w:rFonts w:ascii="Symbol" w:hAnsi="Symbol"/>
      </w:rPr>
    </w:lvl>
    <w:lvl w:ilvl="4" w:tplc="F20A0E4C">
      <w:start w:val="1"/>
      <w:numFmt w:val="bullet"/>
      <w:lvlText w:val="o"/>
      <w:lvlJc w:val="left"/>
      <w:pPr>
        <w:tabs>
          <w:tab w:val="num" w:pos="3600"/>
        </w:tabs>
        <w:ind w:left="3600" w:hanging="360"/>
      </w:pPr>
      <w:rPr>
        <w:rFonts w:ascii="Courier New" w:hAnsi="Courier New"/>
      </w:rPr>
    </w:lvl>
    <w:lvl w:ilvl="5" w:tplc="B582CE26">
      <w:start w:val="1"/>
      <w:numFmt w:val="bullet"/>
      <w:lvlText w:val=""/>
      <w:lvlJc w:val="left"/>
      <w:pPr>
        <w:tabs>
          <w:tab w:val="num" w:pos="4320"/>
        </w:tabs>
        <w:ind w:left="4320" w:hanging="360"/>
      </w:pPr>
      <w:rPr>
        <w:rFonts w:ascii="Wingdings" w:hAnsi="Wingdings"/>
      </w:rPr>
    </w:lvl>
    <w:lvl w:ilvl="6" w:tplc="2624A440">
      <w:start w:val="1"/>
      <w:numFmt w:val="bullet"/>
      <w:lvlText w:val=""/>
      <w:lvlJc w:val="left"/>
      <w:pPr>
        <w:tabs>
          <w:tab w:val="num" w:pos="5040"/>
        </w:tabs>
        <w:ind w:left="5040" w:hanging="360"/>
      </w:pPr>
      <w:rPr>
        <w:rFonts w:ascii="Symbol" w:hAnsi="Symbol"/>
      </w:rPr>
    </w:lvl>
    <w:lvl w:ilvl="7" w:tplc="C56C41FC">
      <w:start w:val="1"/>
      <w:numFmt w:val="bullet"/>
      <w:lvlText w:val="o"/>
      <w:lvlJc w:val="left"/>
      <w:pPr>
        <w:tabs>
          <w:tab w:val="num" w:pos="5760"/>
        </w:tabs>
        <w:ind w:left="5760" w:hanging="360"/>
      </w:pPr>
      <w:rPr>
        <w:rFonts w:ascii="Courier New" w:hAnsi="Courier New"/>
      </w:rPr>
    </w:lvl>
    <w:lvl w:ilvl="8" w:tplc="C784AEC4">
      <w:start w:val="1"/>
      <w:numFmt w:val="bullet"/>
      <w:lvlText w:val=""/>
      <w:lvlJc w:val="left"/>
      <w:pPr>
        <w:tabs>
          <w:tab w:val="num" w:pos="6480"/>
        </w:tabs>
        <w:ind w:left="6480" w:hanging="360"/>
      </w:pPr>
      <w:rPr>
        <w:rFonts w:ascii="Wingdings" w:hAnsi="Wingdings"/>
      </w:rPr>
    </w:lvl>
  </w:abstractNum>
  <w:abstractNum w:abstractNumId="1012" w15:restartNumberingAfterBreak="0">
    <w:nsid w:val="722308B6"/>
    <w:multiLevelType w:val="hybridMultilevel"/>
    <w:tmpl w:val="722308B6"/>
    <w:lvl w:ilvl="0" w:tplc="CE4279AA">
      <w:start w:val="1"/>
      <w:numFmt w:val="bullet"/>
      <w:lvlText w:val=""/>
      <w:lvlJc w:val="left"/>
      <w:pPr>
        <w:ind w:left="720" w:hanging="360"/>
      </w:pPr>
      <w:rPr>
        <w:rFonts w:ascii="Symbol" w:hAnsi="Symbol"/>
      </w:rPr>
    </w:lvl>
    <w:lvl w:ilvl="1" w:tplc="0F8CD0C8">
      <w:start w:val="1"/>
      <w:numFmt w:val="bullet"/>
      <w:lvlText w:val="o"/>
      <w:lvlJc w:val="left"/>
      <w:pPr>
        <w:tabs>
          <w:tab w:val="num" w:pos="1440"/>
        </w:tabs>
        <w:ind w:left="1440" w:hanging="360"/>
      </w:pPr>
      <w:rPr>
        <w:rFonts w:ascii="Courier New" w:hAnsi="Courier New"/>
      </w:rPr>
    </w:lvl>
    <w:lvl w:ilvl="2" w:tplc="2B1E8EB0">
      <w:start w:val="1"/>
      <w:numFmt w:val="bullet"/>
      <w:lvlText w:val=""/>
      <w:lvlJc w:val="left"/>
      <w:pPr>
        <w:tabs>
          <w:tab w:val="num" w:pos="2160"/>
        </w:tabs>
        <w:ind w:left="2160" w:hanging="360"/>
      </w:pPr>
      <w:rPr>
        <w:rFonts w:ascii="Wingdings" w:hAnsi="Wingdings"/>
      </w:rPr>
    </w:lvl>
    <w:lvl w:ilvl="3" w:tplc="9E28D3B2">
      <w:start w:val="1"/>
      <w:numFmt w:val="bullet"/>
      <w:lvlText w:val=""/>
      <w:lvlJc w:val="left"/>
      <w:pPr>
        <w:tabs>
          <w:tab w:val="num" w:pos="2880"/>
        </w:tabs>
        <w:ind w:left="2880" w:hanging="360"/>
      </w:pPr>
      <w:rPr>
        <w:rFonts w:ascii="Symbol" w:hAnsi="Symbol"/>
      </w:rPr>
    </w:lvl>
    <w:lvl w:ilvl="4" w:tplc="E70404FE">
      <w:start w:val="1"/>
      <w:numFmt w:val="bullet"/>
      <w:lvlText w:val="o"/>
      <w:lvlJc w:val="left"/>
      <w:pPr>
        <w:tabs>
          <w:tab w:val="num" w:pos="3600"/>
        </w:tabs>
        <w:ind w:left="3600" w:hanging="360"/>
      </w:pPr>
      <w:rPr>
        <w:rFonts w:ascii="Courier New" w:hAnsi="Courier New"/>
      </w:rPr>
    </w:lvl>
    <w:lvl w:ilvl="5" w:tplc="F0B4AAD8">
      <w:start w:val="1"/>
      <w:numFmt w:val="bullet"/>
      <w:lvlText w:val=""/>
      <w:lvlJc w:val="left"/>
      <w:pPr>
        <w:tabs>
          <w:tab w:val="num" w:pos="4320"/>
        </w:tabs>
        <w:ind w:left="4320" w:hanging="360"/>
      </w:pPr>
      <w:rPr>
        <w:rFonts w:ascii="Wingdings" w:hAnsi="Wingdings"/>
      </w:rPr>
    </w:lvl>
    <w:lvl w:ilvl="6" w:tplc="BDDAC61E">
      <w:start w:val="1"/>
      <w:numFmt w:val="bullet"/>
      <w:lvlText w:val=""/>
      <w:lvlJc w:val="left"/>
      <w:pPr>
        <w:tabs>
          <w:tab w:val="num" w:pos="5040"/>
        </w:tabs>
        <w:ind w:left="5040" w:hanging="360"/>
      </w:pPr>
      <w:rPr>
        <w:rFonts w:ascii="Symbol" w:hAnsi="Symbol"/>
      </w:rPr>
    </w:lvl>
    <w:lvl w:ilvl="7" w:tplc="E4E6D2EA">
      <w:start w:val="1"/>
      <w:numFmt w:val="bullet"/>
      <w:lvlText w:val="o"/>
      <w:lvlJc w:val="left"/>
      <w:pPr>
        <w:tabs>
          <w:tab w:val="num" w:pos="5760"/>
        </w:tabs>
        <w:ind w:left="5760" w:hanging="360"/>
      </w:pPr>
      <w:rPr>
        <w:rFonts w:ascii="Courier New" w:hAnsi="Courier New"/>
      </w:rPr>
    </w:lvl>
    <w:lvl w:ilvl="8" w:tplc="DEECA60E">
      <w:start w:val="1"/>
      <w:numFmt w:val="bullet"/>
      <w:lvlText w:val=""/>
      <w:lvlJc w:val="left"/>
      <w:pPr>
        <w:tabs>
          <w:tab w:val="num" w:pos="6480"/>
        </w:tabs>
        <w:ind w:left="6480" w:hanging="360"/>
      </w:pPr>
      <w:rPr>
        <w:rFonts w:ascii="Wingdings" w:hAnsi="Wingdings"/>
      </w:rPr>
    </w:lvl>
  </w:abstractNum>
  <w:abstractNum w:abstractNumId="1013" w15:restartNumberingAfterBreak="0">
    <w:nsid w:val="722308B7"/>
    <w:multiLevelType w:val="hybridMultilevel"/>
    <w:tmpl w:val="722308B7"/>
    <w:lvl w:ilvl="0" w:tplc="F8A0D9A0">
      <w:start w:val="1"/>
      <w:numFmt w:val="bullet"/>
      <w:lvlText w:val=""/>
      <w:lvlJc w:val="left"/>
      <w:pPr>
        <w:ind w:left="720" w:hanging="360"/>
      </w:pPr>
      <w:rPr>
        <w:rFonts w:ascii="Symbol" w:hAnsi="Symbol"/>
      </w:rPr>
    </w:lvl>
    <w:lvl w:ilvl="1" w:tplc="5D88C0A2">
      <w:start w:val="1"/>
      <w:numFmt w:val="bullet"/>
      <w:lvlText w:val="o"/>
      <w:lvlJc w:val="left"/>
      <w:pPr>
        <w:tabs>
          <w:tab w:val="num" w:pos="1440"/>
        </w:tabs>
        <w:ind w:left="1440" w:hanging="360"/>
      </w:pPr>
      <w:rPr>
        <w:rFonts w:ascii="Courier New" w:hAnsi="Courier New"/>
      </w:rPr>
    </w:lvl>
    <w:lvl w:ilvl="2" w:tplc="B1FED352">
      <w:start w:val="1"/>
      <w:numFmt w:val="bullet"/>
      <w:lvlText w:val=""/>
      <w:lvlJc w:val="left"/>
      <w:pPr>
        <w:tabs>
          <w:tab w:val="num" w:pos="2160"/>
        </w:tabs>
        <w:ind w:left="2160" w:hanging="360"/>
      </w:pPr>
      <w:rPr>
        <w:rFonts w:ascii="Wingdings" w:hAnsi="Wingdings"/>
      </w:rPr>
    </w:lvl>
    <w:lvl w:ilvl="3" w:tplc="802694A6">
      <w:start w:val="1"/>
      <w:numFmt w:val="bullet"/>
      <w:lvlText w:val=""/>
      <w:lvlJc w:val="left"/>
      <w:pPr>
        <w:tabs>
          <w:tab w:val="num" w:pos="2880"/>
        </w:tabs>
        <w:ind w:left="2880" w:hanging="360"/>
      </w:pPr>
      <w:rPr>
        <w:rFonts w:ascii="Symbol" w:hAnsi="Symbol"/>
      </w:rPr>
    </w:lvl>
    <w:lvl w:ilvl="4" w:tplc="25F48F0E">
      <w:start w:val="1"/>
      <w:numFmt w:val="bullet"/>
      <w:lvlText w:val="o"/>
      <w:lvlJc w:val="left"/>
      <w:pPr>
        <w:tabs>
          <w:tab w:val="num" w:pos="3600"/>
        </w:tabs>
        <w:ind w:left="3600" w:hanging="360"/>
      </w:pPr>
      <w:rPr>
        <w:rFonts w:ascii="Courier New" w:hAnsi="Courier New"/>
      </w:rPr>
    </w:lvl>
    <w:lvl w:ilvl="5" w:tplc="8726465C">
      <w:start w:val="1"/>
      <w:numFmt w:val="bullet"/>
      <w:lvlText w:val=""/>
      <w:lvlJc w:val="left"/>
      <w:pPr>
        <w:tabs>
          <w:tab w:val="num" w:pos="4320"/>
        </w:tabs>
        <w:ind w:left="4320" w:hanging="360"/>
      </w:pPr>
      <w:rPr>
        <w:rFonts w:ascii="Wingdings" w:hAnsi="Wingdings"/>
      </w:rPr>
    </w:lvl>
    <w:lvl w:ilvl="6" w:tplc="A70CE5FC">
      <w:start w:val="1"/>
      <w:numFmt w:val="bullet"/>
      <w:lvlText w:val=""/>
      <w:lvlJc w:val="left"/>
      <w:pPr>
        <w:tabs>
          <w:tab w:val="num" w:pos="5040"/>
        </w:tabs>
        <w:ind w:left="5040" w:hanging="360"/>
      </w:pPr>
      <w:rPr>
        <w:rFonts w:ascii="Symbol" w:hAnsi="Symbol"/>
      </w:rPr>
    </w:lvl>
    <w:lvl w:ilvl="7" w:tplc="7482054A">
      <w:start w:val="1"/>
      <w:numFmt w:val="bullet"/>
      <w:lvlText w:val="o"/>
      <w:lvlJc w:val="left"/>
      <w:pPr>
        <w:tabs>
          <w:tab w:val="num" w:pos="5760"/>
        </w:tabs>
        <w:ind w:left="5760" w:hanging="360"/>
      </w:pPr>
      <w:rPr>
        <w:rFonts w:ascii="Courier New" w:hAnsi="Courier New"/>
      </w:rPr>
    </w:lvl>
    <w:lvl w:ilvl="8" w:tplc="5F20E58C">
      <w:start w:val="1"/>
      <w:numFmt w:val="bullet"/>
      <w:lvlText w:val=""/>
      <w:lvlJc w:val="left"/>
      <w:pPr>
        <w:tabs>
          <w:tab w:val="num" w:pos="6480"/>
        </w:tabs>
        <w:ind w:left="6480" w:hanging="360"/>
      </w:pPr>
      <w:rPr>
        <w:rFonts w:ascii="Wingdings" w:hAnsi="Wingdings"/>
      </w:rPr>
    </w:lvl>
  </w:abstractNum>
  <w:abstractNum w:abstractNumId="1014" w15:restartNumberingAfterBreak="0">
    <w:nsid w:val="722308B8"/>
    <w:multiLevelType w:val="hybridMultilevel"/>
    <w:tmpl w:val="722308B8"/>
    <w:lvl w:ilvl="0" w:tplc="B9826632">
      <w:start w:val="1"/>
      <w:numFmt w:val="bullet"/>
      <w:lvlText w:val=""/>
      <w:lvlJc w:val="left"/>
      <w:pPr>
        <w:ind w:left="720" w:hanging="360"/>
      </w:pPr>
      <w:rPr>
        <w:rFonts w:ascii="Symbol" w:hAnsi="Symbol"/>
      </w:rPr>
    </w:lvl>
    <w:lvl w:ilvl="1" w:tplc="E4A88B6E">
      <w:start w:val="1"/>
      <w:numFmt w:val="bullet"/>
      <w:lvlText w:val="o"/>
      <w:lvlJc w:val="left"/>
      <w:pPr>
        <w:tabs>
          <w:tab w:val="num" w:pos="1440"/>
        </w:tabs>
        <w:ind w:left="1440" w:hanging="360"/>
      </w:pPr>
      <w:rPr>
        <w:rFonts w:ascii="Courier New" w:hAnsi="Courier New"/>
      </w:rPr>
    </w:lvl>
    <w:lvl w:ilvl="2" w:tplc="61CAD756">
      <w:start w:val="1"/>
      <w:numFmt w:val="bullet"/>
      <w:lvlText w:val=""/>
      <w:lvlJc w:val="left"/>
      <w:pPr>
        <w:tabs>
          <w:tab w:val="num" w:pos="2160"/>
        </w:tabs>
        <w:ind w:left="2160" w:hanging="360"/>
      </w:pPr>
      <w:rPr>
        <w:rFonts w:ascii="Wingdings" w:hAnsi="Wingdings"/>
      </w:rPr>
    </w:lvl>
    <w:lvl w:ilvl="3" w:tplc="9EAA8088">
      <w:start w:val="1"/>
      <w:numFmt w:val="bullet"/>
      <w:lvlText w:val=""/>
      <w:lvlJc w:val="left"/>
      <w:pPr>
        <w:tabs>
          <w:tab w:val="num" w:pos="2880"/>
        </w:tabs>
        <w:ind w:left="2880" w:hanging="360"/>
      </w:pPr>
      <w:rPr>
        <w:rFonts w:ascii="Symbol" w:hAnsi="Symbol"/>
      </w:rPr>
    </w:lvl>
    <w:lvl w:ilvl="4" w:tplc="82627D2E">
      <w:start w:val="1"/>
      <w:numFmt w:val="bullet"/>
      <w:lvlText w:val="o"/>
      <w:lvlJc w:val="left"/>
      <w:pPr>
        <w:tabs>
          <w:tab w:val="num" w:pos="3600"/>
        </w:tabs>
        <w:ind w:left="3600" w:hanging="360"/>
      </w:pPr>
      <w:rPr>
        <w:rFonts w:ascii="Courier New" w:hAnsi="Courier New"/>
      </w:rPr>
    </w:lvl>
    <w:lvl w:ilvl="5" w:tplc="E52A1CE8">
      <w:start w:val="1"/>
      <w:numFmt w:val="bullet"/>
      <w:lvlText w:val=""/>
      <w:lvlJc w:val="left"/>
      <w:pPr>
        <w:tabs>
          <w:tab w:val="num" w:pos="4320"/>
        </w:tabs>
        <w:ind w:left="4320" w:hanging="360"/>
      </w:pPr>
      <w:rPr>
        <w:rFonts w:ascii="Wingdings" w:hAnsi="Wingdings"/>
      </w:rPr>
    </w:lvl>
    <w:lvl w:ilvl="6" w:tplc="5D1C583C">
      <w:start w:val="1"/>
      <w:numFmt w:val="bullet"/>
      <w:lvlText w:val=""/>
      <w:lvlJc w:val="left"/>
      <w:pPr>
        <w:tabs>
          <w:tab w:val="num" w:pos="5040"/>
        </w:tabs>
        <w:ind w:left="5040" w:hanging="360"/>
      </w:pPr>
      <w:rPr>
        <w:rFonts w:ascii="Symbol" w:hAnsi="Symbol"/>
      </w:rPr>
    </w:lvl>
    <w:lvl w:ilvl="7" w:tplc="701C5E72">
      <w:start w:val="1"/>
      <w:numFmt w:val="bullet"/>
      <w:lvlText w:val="o"/>
      <w:lvlJc w:val="left"/>
      <w:pPr>
        <w:tabs>
          <w:tab w:val="num" w:pos="5760"/>
        </w:tabs>
        <w:ind w:left="5760" w:hanging="360"/>
      </w:pPr>
      <w:rPr>
        <w:rFonts w:ascii="Courier New" w:hAnsi="Courier New"/>
      </w:rPr>
    </w:lvl>
    <w:lvl w:ilvl="8" w:tplc="B43032F4">
      <w:start w:val="1"/>
      <w:numFmt w:val="bullet"/>
      <w:lvlText w:val=""/>
      <w:lvlJc w:val="left"/>
      <w:pPr>
        <w:tabs>
          <w:tab w:val="num" w:pos="6480"/>
        </w:tabs>
        <w:ind w:left="6480" w:hanging="360"/>
      </w:pPr>
      <w:rPr>
        <w:rFonts w:ascii="Wingdings" w:hAnsi="Wingdings"/>
      </w:rPr>
    </w:lvl>
  </w:abstractNum>
  <w:abstractNum w:abstractNumId="1015" w15:restartNumberingAfterBreak="0">
    <w:nsid w:val="722308B9"/>
    <w:multiLevelType w:val="hybridMultilevel"/>
    <w:tmpl w:val="722308B9"/>
    <w:lvl w:ilvl="0" w:tplc="57A4C56C">
      <w:start w:val="1"/>
      <w:numFmt w:val="bullet"/>
      <w:lvlText w:val=""/>
      <w:lvlJc w:val="left"/>
      <w:pPr>
        <w:ind w:left="720" w:hanging="360"/>
      </w:pPr>
      <w:rPr>
        <w:rFonts w:ascii="Symbol" w:hAnsi="Symbol"/>
      </w:rPr>
    </w:lvl>
    <w:lvl w:ilvl="1" w:tplc="35E03352">
      <w:start w:val="1"/>
      <w:numFmt w:val="bullet"/>
      <w:lvlText w:val="o"/>
      <w:lvlJc w:val="left"/>
      <w:pPr>
        <w:tabs>
          <w:tab w:val="num" w:pos="1440"/>
        </w:tabs>
        <w:ind w:left="1440" w:hanging="360"/>
      </w:pPr>
      <w:rPr>
        <w:rFonts w:ascii="Courier New" w:hAnsi="Courier New"/>
      </w:rPr>
    </w:lvl>
    <w:lvl w:ilvl="2" w:tplc="3728462A">
      <w:start w:val="1"/>
      <w:numFmt w:val="bullet"/>
      <w:lvlText w:val=""/>
      <w:lvlJc w:val="left"/>
      <w:pPr>
        <w:tabs>
          <w:tab w:val="num" w:pos="2160"/>
        </w:tabs>
        <w:ind w:left="2160" w:hanging="360"/>
      </w:pPr>
      <w:rPr>
        <w:rFonts w:ascii="Wingdings" w:hAnsi="Wingdings"/>
      </w:rPr>
    </w:lvl>
    <w:lvl w:ilvl="3" w:tplc="481CC792">
      <w:start w:val="1"/>
      <w:numFmt w:val="bullet"/>
      <w:lvlText w:val=""/>
      <w:lvlJc w:val="left"/>
      <w:pPr>
        <w:tabs>
          <w:tab w:val="num" w:pos="2880"/>
        </w:tabs>
        <w:ind w:left="2880" w:hanging="360"/>
      </w:pPr>
      <w:rPr>
        <w:rFonts w:ascii="Symbol" w:hAnsi="Symbol"/>
      </w:rPr>
    </w:lvl>
    <w:lvl w:ilvl="4" w:tplc="B39E28A6">
      <w:start w:val="1"/>
      <w:numFmt w:val="bullet"/>
      <w:lvlText w:val="o"/>
      <w:lvlJc w:val="left"/>
      <w:pPr>
        <w:tabs>
          <w:tab w:val="num" w:pos="3600"/>
        </w:tabs>
        <w:ind w:left="3600" w:hanging="360"/>
      </w:pPr>
      <w:rPr>
        <w:rFonts w:ascii="Courier New" w:hAnsi="Courier New"/>
      </w:rPr>
    </w:lvl>
    <w:lvl w:ilvl="5" w:tplc="C954564C">
      <w:start w:val="1"/>
      <w:numFmt w:val="bullet"/>
      <w:lvlText w:val=""/>
      <w:lvlJc w:val="left"/>
      <w:pPr>
        <w:tabs>
          <w:tab w:val="num" w:pos="4320"/>
        </w:tabs>
        <w:ind w:left="4320" w:hanging="360"/>
      </w:pPr>
      <w:rPr>
        <w:rFonts w:ascii="Wingdings" w:hAnsi="Wingdings"/>
      </w:rPr>
    </w:lvl>
    <w:lvl w:ilvl="6" w:tplc="FED2568C">
      <w:start w:val="1"/>
      <w:numFmt w:val="bullet"/>
      <w:lvlText w:val=""/>
      <w:lvlJc w:val="left"/>
      <w:pPr>
        <w:tabs>
          <w:tab w:val="num" w:pos="5040"/>
        </w:tabs>
        <w:ind w:left="5040" w:hanging="360"/>
      </w:pPr>
      <w:rPr>
        <w:rFonts w:ascii="Symbol" w:hAnsi="Symbol"/>
      </w:rPr>
    </w:lvl>
    <w:lvl w:ilvl="7" w:tplc="D46273E0">
      <w:start w:val="1"/>
      <w:numFmt w:val="bullet"/>
      <w:lvlText w:val="o"/>
      <w:lvlJc w:val="left"/>
      <w:pPr>
        <w:tabs>
          <w:tab w:val="num" w:pos="5760"/>
        </w:tabs>
        <w:ind w:left="5760" w:hanging="360"/>
      </w:pPr>
      <w:rPr>
        <w:rFonts w:ascii="Courier New" w:hAnsi="Courier New"/>
      </w:rPr>
    </w:lvl>
    <w:lvl w:ilvl="8" w:tplc="BF105A54">
      <w:start w:val="1"/>
      <w:numFmt w:val="bullet"/>
      <w:lvlText w:val=""/>
      <w:lvlJc w:val="left"/>
      <w:pPr>
        <w:tabs>
          <w:tab w:val="num" w:pos="6480"/>
        </w:tabs>
        <w:ind w:left="6480" w:hanging="360"/>
      </w:pPr>
      <w:rPr>
        <w:rFonts w:ascii="Wingdings" w:hAnsi="Wingdings"/>
      </w:rPr>
    </w:lvl>
  </w:abstractNum>
  <w:abstractNum w:abstractNumId="1016" w15:restartNumberingAfterBreak="0">
    <w:nsid w:val="722308BA"/>
    <w:multiLevelType w:val="hybridMultilevel"/>
    <w:tmpl w:val="722308BA"/>
    <w:lvl w:ilvl="0" w:tplc="72EC51E8">
      <w:start w:val="1"/>
      <w:numFmt w:val="bullet"/>
      <w:lvlText w:val=""/>
      <w:lvlJc w:val="left"/>
      <w:pPr>
        <w:ind w:left="720" w:hanging="360"/>
      </w:pPr>
      <w:rPr>
        <w:rFonts w:ascii="Symbol" w:hAnsi="Symbol"/>
      </w:rPr>
    </w:lvl>
    <w:lvl w:ilvl="1" w:tplc="8E641644">
      <w:start w:val="1"/>
      <w:numFmt w:val="bullet"/>
      <w:lvlText w:val="o"/>
      <w:lvlJc w:val="left"/>
      <w:pPr>
        <w:tabs>
          <w:tab w:val="num" w:pos="1440"/>
        </w:tabs>
        <w:ind w:left="1440" w:hanging="360"/>
      </w:pPr>
      <w:rPr>
        <w:rFonts w:ascii="Courier New" w:hAnsi="Courier New"/>
      </w:rPr>
    </w:lvl>
    <w:lvl w:ilvl="2" w:tplc="7F0EDFF6">
      <w:start w:val="1"/>
      <w:numFmt w:val="bullet"/>
      <w:lvlText w:val=""/>
      <w:lvlJc w:val="left"/>
      <w:pPr>
        <w:tabs>
          <w:tab w:val="num" w:pos="2160"/>
        </w:tabs>
        <w:ind w:left="2160" w:hanging="360"/>
      </w:pPr>
      <w:rPr>
        <w:rFonts w:ascii="Wingdings" w:hAnsi="Wingdings"/>
      </w:rPr>
    </w:lvl>
    <w:lvl w:ilvl="3" w:tplc="5D5C2CDC">
      <w:start w:val="1"/>
      <w:numFmt w:val="bullet"/>
      <w:lvlText w:val=""/>
      <w:lvlJc w:val="left"/>
      <w:pPr>
        <w:tabs>
          <w:tab w:val="num" w:pos="2880"/>
        </w:tabs>
        <w:ind w:left="2880" w:hanging="360"/>
      </w:pPr>
      <w:rPr>
        <w:rFonts w:ascii="Symbol" w:hAnsi="Symbol"/>
      </w:rPr>
    </w:lvl>
    <w:lvl w:ilvl="4" w:tplc="5428EEE0">
      <w:start w:val="1"/>
      <w:numFmt w:val="bullet"/>
      <w:lvlText w:val="o"/>
      <w:lvlJc w:val="left"/>
      <w:pPr>
        <w:tabs>
          <w:tab w:val="num" w:pos="3600"/>
        </w:tabs>
        <w:ind w:left="3600" w:hanging="360"/>
      </w:pPr>
      <w:rPr>
        <w:rFonts w:ascii="Courier New" w:hAnsi="Courier New"/>
      </w:rPr>
    </w:lvl>
    <w:lvl w:ilvl="5" w:tplc="C1CC22A4">
      <w:start w:val="1"/>
      <w:numFmt w:val="bullet"/>
      <w:lvlText w:val=""/>
      <w:lvlJc w:val="left"/>
      <w:pPr>
        <w:tabs>
          <w:tab w:val="num" w:pos="4320"/>
        </w:tabs>
        <w:ind w:left="4320" w:hanging="360"/>
      </w:pPr>
      <w:rPr>
        <w:rFonts w:ascii="Wingdings" w:hAnsi="Wingdings"/>
      </w:rPr>
    </w:lvl>
    <w:lvl w:ilvl="6" w:tplc="4426DF82">
      <w:start w:val="1"/>
      <w:numFmt w:val="bullet"/>
      <w:lvlText w:val=""/>
      <w:lvlJc w:val="left"/>
      <w:pPr>
        <w:tabs>
          <w:tab w:val="num" w:pos="5040"/>
        </w:tabs>
        <w:ind w:left="5040" w:hanging="360"/>
      </w:pPr>
      <w:rPr>
        <w:rFonts w:ascii="Symbol" w:hAnsi="Symbol"/>
      </w:rPr>
    </w:lvl>
    <w:lvl w:ilvl="7" w:tplc="FF8C2AE6">
      <w:start w:val="1"/>
      <w:numFmt w:val="bullet"/>
      <w:lvlText w:val="o"/>
      <w:lvlJc w:val="left"/>
      <w:pPr>
        <w:tabs>
          <w:tab w:val="num" w:pos="5760"/>
        </w:tabs>
        <w:ind w:left="5760" w:hanging="360"/>
      </w:pPr>
      <w:rPr>
        <w:rFonts w:ascii="Courier New" w:hAnsi="Courier New"/>
      </w:rPr>
    </w:lvl>
    <w:lvl w:ilvl="8" w:tplc="2176114A">
      <w:start w:val="1"/>
      <w:numFmt w:val="bullet"/>
      <w:lvlText w:val=""/>
      <w:lvlJc w:val="left"/>
      <w:pPr>
        <w:tabs>
          <w:tab w:val="num" w:pos="6480"/>
        </w:tabs>
        <w:ind w:left="6480" w:hanging="360"/>
      </w:pPr>
      <w:rPr>
        <w:rFonts w:ascii="Wingdings" w:hAnsi="Wingdings"/>
      </w:rPr>
    </w:lvl>
  </w:abstractNum>
  <w:abstractNum w:abstractNumId="1017" w15:restartNumberingAfterBreak="0">
    <w:nsid w:val="722308BB"/>
    <w:multiLevelType w:val="hybridMultilevel"/>
    <w:tmpl w:val="722308BB"/>
    <w:lvl w:ilvl="0" w:tplc="AC2A670C">
      <w:start w:val="1"/>
      <w:numFmt w:val="bullet"/>
      <w:lvlText w:val=""/>
      <w:lvlJc w:val="left"/>
      <w:pPr>
        <w:ind w:left="720" w:hanging="360"/>
      </w:pPr>
      <w:rPr>
        <w:rFonts w:ascii="Symbol" w:hAnsi="Symbol"/>
      </w:rPr>
    </w:lvl>
    <w:lvl w:ilvl="1" w:tplc="C59440E2">
      <w:start w:val="1"/>
      <w:numFmt w:val="bullet"/>
      <w:lvlText w:val="o"/>
      <w:lvlJc w:val="left"/>
      <w:pPr>
        <w:tabs>
          <w:tab w:val="num" w:pos="1440"/>
        </w:tabs>
        <w:ind w:left="1440" w:hanging="360"/>
      </w:pPr>
      <w:rPr>
        <w:rFonts w:ascii="Courier New" w:hAnsi="Courier New"/>
      </w:rPr>
    </w:lvl>
    <w:lvl w:ilvl="2" w:tplc="AC8CFEBC">
      <w:start w:val="1"/>
      <w:numFmt w:val="bullet"/>
      <w:lvlText w:val=""/>
      <w:lvlJc w:val="left"/>
      <w:pPr>
        <w:tabs>
          <w:tab w:val="num" w:pos="2160"/>
        </w:tabs>
        <w:ind w:left="2160" w:hanging="360"/>
      </w:pPr>
      <w:rPr>
        <w:rFonts w:ascii="Wingdings" w:hAnsi="Wingdings"/>
      </w:rPr>
    </w:lvl>
    <w:lvl w:ilvl="3" w:tplc="2C368588">
      <w:start w:val="1"/>
      <w:numFmt w:val="bullet"/>
      <w:lvlText w:val=""/>
      <w:lvlJc w:val="left"/>
      <w:pPr>
        <w:tabs>
          <w:tab w:val="num" w:pos="2880"/>
        </w:tabs>
        <w:ind w:left="2880" w:hanging="360"/>
      </w:pPr>
      <w:rPr>
        <w:rFonts w:ascii="Symbol" w:hAnsi="Symbol"/>
      </w:rPr>
    </w:lvl>
    <w:lvl w:ilvl="4" w:tplc="10C22AC8">
      <w:start w:val="1"/>
      <w:numFmt w:val="bullet"/>
      <w:lvlText w:val="o"/>
      <w:lvlJc w:val="left"/>
      <w:pPr>
        <w:tabs>
          <w:tab w:val="num" w:pos="3600"/>
        </w:tabs>
        <w:ind w:left="3600" w:hanging="360"/>
      </w:pPr>
      <w:rPr>
        <w:rFonts w:ascii="Courier New" w:hAnsi="Courier New"/>
      </w:rPr>
    </w:lvl>
    <w:lvl w:ilvl="5" w:tplc="83F84C78">
      <w:start w:val="1"/>
      <w:numFmt w:val="bullet"/>
      <w:lvlText w:val=""/>
      <w:lvlJc w:val="left"/>
      <w:pPr>
        <w:tabs>
          <w:tab w:val="num" w:pos="4320"/>
        </w:tabs>
        <w:ind w:left="4320" w:hanging="360"/>
      </w:pPr>
      <w:rPr>
        <w:rFonts w:ascii="Wingdings" w:hAnsi="Wingdings"/>
      </w:rPr>
    </w:lvl>
    <w:lvl w:ilvl="6" w:tplc="FB7EC122">
      <w:start w:val="1"/>
      <w:numFmt w:val="bullet"/>
      <w:lvlText w:val=""/>
      <w:lvlJc w:val="left"/>
      <w:pPr>
        <w:tabs>
          <w:tab w:val="num" w:pos="5040"/>
        </w:tabs>
        <w:ind w:left="5040" w:hanging="360"/>
      </w:pPr>
      <w:rPr>
        <w:rFonts w:ascii="Symbol" w:hAnsi="Symbol"/>
      </w:rPr>
    </w:lvl>
    <w:lvl w:ilvl="7" w:tplc="B49070FC">
      <w:start w:val="1"/>
      <w:numFmt w:val="bullet"/>
      <w:lvlText w:val="o"/>
      <w:lvlJc w:val="left"/>
      <w:pPr>
        <w:tabs>
          <w:tab w:val="num" w:pos="5760"/>
        </w:tabs>
        <w:ind w:left="5760" w:hanging="360"/>
      </w:pPr>
      <w:rPr>
        <w:rFonts w:ascii="Courier New" w:hAnsi="Courier New"/>
      </w:rPr>
    </w:lvl>
    <w:lvl w:ilvl="8" w:tplc="E3443C98">
      <w:start w:val="1"/>
      <w:numFmt w:val="bullet"/>
      <w:lvlText w:val=""/>
      <w:lvlJc w:val="left"/>
      <w:pPr>
        <w:tabs>
          <w:tab w:val="num" w:pos="6480"/>
        </w:tabs>
        <w:ind w:left="6480" w:hanging="360"/>
      </w:pPr>
      <w:rPr>
        <w:rFonts w:ascii="Wingdings" w:hAnsi="Wingdings"/>
      </w:rPr>
    </w:lvl>
  </w:abstractNum>
  <w:abstractNum w:abstractNumId="1018" w15:restartNumberingAfterBreak="0">
    <w:nsid w:val="722308BC"/>
    <w:multiLevelType w:val="hybridMultilevel"/>
    <w:tmpl w:val="722308BC"/>
    <w:lvl w:ilvl="0" w:tplc="A4ACC35E">
      <w:start w:val="1"/>
      <w:numFmt w:val="bullet"/>
      <w:lvlText w:val=""/>
      <w:lvlJc w:val="left"/>
      <w:pPr>
        <w:ind w:left="720" w:hanging="360"/>
      </w:pPr>
      <w:rPr>
        <w:rFonts w:ascii="Symbol" w:hAnsi="Symbol"/>
      </w:rPr>
    </w:lvl>
    <w:lvl w:ilvl="1" w:tplc="72301DAE">
      <w:start w:val="1"/>
      <w:numFmt w:val="bullet"/>
      <w:lvlText w:val="o"/>
      <w:lvlJc w:val="left"/>
      <w:pPr>
        <w:tabs>
          <w:tab w:val="num" w:pos="1440"/>
        </w:tabs>
        <w:ind w:left="1440" w:hanging="360"/>
      </w:pPr>
      <w:rPr>
        <w:rFonts w:ascii="Courier New" w:hAnsi="Courier New"/>
      </w:rPr>
    </w:lvl>
    <w:lvl w:ilvl="2" w:tplc="07802872">
      <w:start w:val="1"/>
      <w:numFmt w:val="bullet"/>
      <w:lvlText w:val=""/>
      <w:lvlJc w:val="left"/>
      <w:pPr>
        <w:tabs>
          <w:tab w:val="num" w:pos="2160"/>
        </w:tabs>
        <w:ind w:left="2160" w:hanging="360"/>
      </w:pPr>
      <w:rPr>
        <w:rFonts w:ascii="Wingdings" w:hAnsi="Wingdings"/>
      </w:rPr>
    </w:lvl>
    <w:lvl w:ilvl="3" w:tplc="0DAA95F4">
      <w:start w:val="1"/>
      <w:numFmt w:val="bullet"/>
      <w:lvlText w:val=""/>
      <w:lvlJc w:val="left"/>
      <w:pPr>
        <w:tabs>
          <w:tab w:val="num" w:pos="2880"/>
        </w:tabs>
        <w:ind w:left="2880" w:hanging="360"/>
      </w:pPr>
      <w:rPr>
        <w:rFonts w:ascii="Symbol" w:hAnsi="Symbol"/>
      </w:rPr>
    </w:lvl>
    <w:lvl w:ilvl="4" w:tplc="22740348">
      <w:start w:val="1"/>
      <w:numFmt w:val="bullet"/>
      <w:lvlText w:val="o"/>
      <w:lvlJc w:val="left"/>
      <w:pPr>
        <w:tabs>
          <w:tab w:val="num" w:pos="3600"/>
        </w:tabs>
        <w:ind w:left="3600" w:hanging="360"/>
      </w:pPr>
      <w:rPr>
        <w:rFonts w:ascii="Courier New" w:hAnsi="Courier New"/>
      </w:rPr>
    </w:lvl>
    <w:lvl w:ilvl="5" w:tplc="5A5CF162">
      <w:start w:val="1"/>
      <w:numFmt w:val="bullet"/>
      <w:lvlText w:val=""/>
      <w:lvlJc w:val="left"/>
      <w:pPr>
        <w:tabs>
          <w:tab w:val="num" w:pos="4320"/>
        </w:tabs>
        <w:ind w:left="4320" w:hanging="360"/>
      </w:pPr>
      <w:rPr>
        <w:rFonts w:ascii="Wingdings" w:hAnsi="Wingdings"/>
      </w:rPr>
    </w:lvl>
    <w:lvl w:ilvl="6" w:tplc="00D2B23A">
      <w:start w:val="1"/>
      <w:numFmt w:val="bullet"/>
      <w:lvlText w:val=""/>
      <w:lvlJc w:val="left"/>
      <w:pPr>
        <w:tabs>
          <w:tab w:val="num" w:pos="5040"/>
        </w:tabs>
        <w:ind w:left="5040" w:hanging="360"/>
      </w:pPr>
      <w:rPr>
        <w:rFonts w:ascii="Symbol" w:hAnsi="Symbol"/>
      </w:rPr>
    </w:lvl>
    <w:lvl w:ilvl="7" w:tplc="F1BAEDA0">
      <w:start w:val="1"/>
      <w:numFmt w:val="bullet"/>
      <w:lvlText w:val="o"/>
      <w:lvlJc w:val="left"/>
      <w:pPr>
        <w:tabs>
          <w:tab w:val="num" w:pos="5760"/>
        </w:tabs>
        <w:ind w:left="5760" w:hanging="360"/>
      </w:pPr>
      <w:rPr>
        <w:rFonts w:ascii="Courier New" w:hAnsi="Courier New"/>
      </w:rPr>
    </w:lvl>
    <w:lvl w:ilvl="8" w:tplc="98603B1E">
      <w:start w:val="1"/>
      <w:numFmt w:val="bullet"/>
      <w:lvlText w:val=""/>
      <w:lvlJc w:val="left"/>
      <w:pPr>
        <w:tabs>
          <w:tab w:val="num" w:pos="6480"/>
        </w:tabs>
        <w:ind w:left="6480" w:hanging="360"/>
      </w:pPr>
      <w:rPr>
        <w:rFonts w:ascii="Wingdings" w:hAnsi="Wingdings"/>
      </w:rPr>
    </w:lvl>
  </w:abstractNum>
  <w:abstractNum w:abstractNumId="1019" w15:restartNumberingAfterBreak="0">
    <w:nsid w:val="722308BD"/>
    <w:multiLevelType w:val="hybridMultilevel"/>
    <w:tmpl w:val="722308BD"/>
    <w:lvl w:ilvl="0" w:tplc="C670717C">
      <w:start w:val="1"/>
      <w:numFmt w:val="bullet"/>
      <w:lvlText w:val=""/>
      <w:lvlJc w:val="left"/>
      <w:pPr>
        <w:ind w:left="720" w:hanging="360"/>
      </w:pPr>
      <w:rPr>
        <w:rFonts w:ascii="Symbol" w:hAnsi="Symbol"/>
      </w:rPr>
    </w:lvl>
    <w:lvl w:ilvl="1" w:tplc="2BF261B0">
      <w:start w:val="1"/>
      <w:numFmt w:val="bullet"/>
      <w:lvlText w:val="o"/>
      <w:lvlJc w:val="left"/>
      <w:pPr>
        <w:tabs>
          <w:tab w:val="num" w:pos="1440"/>
        </w:tabs>
        <w:ind w:left="1440" w:hanging="360"/>
      </w:pPr>
      <w:rPr>
        <w:rFonts w:ascii="Courier New" w:hAnsi="Courier New"/>
      </w:rPr>
    </w:lvl>
    <w:lvl w:ilvl="2" w:tplc="1280398A">
      <w:start w:val="1"/>
      <w:numFmt w:val="bullet"/>
      <w:lvlText w:val=""/>
      <w:lvlJc w:val="left"/>
      <w:pPr>
        <w:tabs>
          <w:tab w:val="num" w:pos="2160"/>
        </w:tabs>
        <w:ind w:left="2160" w:hanging="360"/>
      </w:pPr>
      <w:rPr>
        <w:rFonts w:ascii="Wingdings" w:hAnsi="Wingdings"/>
      </w:rPr>
    </w:lvl>
    <w:lvl w:ilvl="3" w:tplc="AFA4B1F6">
      <w:start w:val="1"/>
      <w:numFmt w:val="bullet"/>
      <w:lvlText w:val=""/>
      <w:lvlJc w:val="left"/>
      <w:pPr>
        <w:tabs>
          <w:tab w:val="num" w:pos="2880"/>
        </w:tabs>
        <w:ind w:left="2880" w:hanging="360"/>
      </w:pPr>
      <w:rPr>
        <w:rFonts w:ascii="Symbol" w:hAnsi="Symbol"/>
      </w:rPr>
    </w:lvl>
    <w:lvl w:ilvl="4" w:tplc="A6A49012">
      <w:start w:val="1"/>
      <w:numFmt w:val="bullet"/>
      <w:lvlText w:val="o"/>
      <w:lvlJc w:val="left"/>
      <w:pPr>
        <w:tabs>
          <w:tab w:val="num" w:pos="3600"/>
        </w:tabs>
        <w:ind w:left="3600" w:hanging="360"/>
      </w:pPr>
      <w:rPr>
        <w:rFonts w:ascii="Courier New" w:hAnsi="Courier New"/>
      </w:rPr>
    </w:lvl>
    <w:lvl w:ilvl="5" w:tplc="9010504A">
      <w:start w:val="1"/>
      <w:numFmt w:val="bullet"/>
      <w:lvlText w:val=""/>
      <w:lvlJc w:val="left"/>
      <w:pPr>
        <w:tabs>
          <w:tab w:val="num" w:pos="4320"/>
        </w:tabs>
        <w:ind w:left="4320" w:hanging="360"/>
      </w:pPr>
      <w:rPr>
        <w:rFonts w:ascii="Wingdings" w:hAnsi="Wingdings"/>
      </w:rPr>
    </w:lvl>
    <w:lvl w:ilvl="6" w:tplc="773CDCF0">
      <w:start w:val="1"/>
      <w:numFmt w:val="bullet"/>
      <w:lvlText w:val=""/>
      <w:lvlJc w:val="left"/>
      <w:pPr>
        <w:tabs>
          <w:tab w:val="num" w:pos="5040"/>
        </w:tabs>
        <w:ind w:left="5040" w:hanging="360"/>
      </w:pPr>
      <w:rPr>
        <w:rFonts w:ascii="Symbol" w:hAnsi="Symbol"/>
      </w:rPr>
    </w:lvl>
    <w:lvl w:ilvl="7" w:tplc="861444EA">
      <w:start w:val="1"/>
      <w:numFmt w:val="bullet"/>
      <w:lvlText w:val="o"/>
      <w:lvlJc w:val="left"/>
      <w:pPr>
        <w:tabs>
          <w:tab w:val="num" w:pos="5760"/>
        </w:tabs>
        <w:ind w:left="5760" w:hanging="360"/>
      </w:pPr>
      <w:rPr>
        <w:rFonts w:ascii="Courier New" w:hAnsi="Courier New"/>
      </w:rPr>
    </w:lvl>
    <w:lvl w:ilvl="8" w:tplc="12CA430E">
      <w:start w:val="1"/>
      <w:numFmt w:val="bullet"/>
      <w:lvlText w:val=""/>
      <w:lvlJc w:val="left"/>
      <w:pPr>
        <w:tabs>
          <w:tab w:val="num" w:pos="6480"/>
        </w:tabs>
        <w:ind w:left="6480" w:hanging="360"/>
      </w:pPr>
      <w:rPr>
        <w:rFonts w:ascii="Wingdings" w:hAnsi="Wingdings"/>
      </w:rPr>
    </w:lvl>
  </w:abstractNum>
  <w:abstractNum w:abstractNumId="1020" w15:restartNumberingAfterBreak="0">
    <w:nsid w:val="722308BE"/>
    <w:multiLevelType w:val="hybridMultilevel"/>
    <w:tmpl w:val="722308BE"/>
    <w:lvl w:ilvl="0" w:tplc="71CABA98">
      <w:start w:val="1"/>
      <w:numFmt w:val="bullet"/>
      <w:lvlText w:val=""/>
      <w:lvlJc w:val="left"/>
      <w:pPr>
        <w:ind w:left="720" w:hanging="360"/>
      </w:pPr>
      <w:rPr>
        <w:rFonts w:ascii="Symbol" w:hAnsi="Symbol"/>
      </w:rPr>
    </w:lvl>
    <w:lvl w:ilvl="1" w:tplc="FDC64EEA">
      <w:start w:val="1"/>
      <w:numFmt w:val="bullet"/>
      <w:lvlText w:val="o"/>
      <w:lvlJc w:val="left"/>
      <w:pPr>
        <w:ind w:left="1440" w:hanging="360"/>
      </w:pPr>
      <w:rPr>
        <w:rFonts w:ascii="Courier New" w:hAnsi="Courier New"/>
      </w:rPr>
    </w:lvl>
    <w:lvl w:ilvl="2" w:tplc="D8805940">
      <w:start w:val="1"/>
      <w:numFmt w:val="bullet"/>
      <w:lvlText w:val=""/>
      <w:lvlJc w:val="left"/>
      <w:pPr>
        <w:tabs>
          <w:tab w:val="num" w:pos="2160"/>
        </w:tabs>
        <w:ind w:left="2160" w:hanging="360"/>
      </w:pPr>
      <w:rPr>
        <w:rFonts w:ascii="Wingdings" w:hAnsi="Wingdings"/>
      </w:rPr>
    </w:lvl>
    <w:lvl w:ilvl="3" w:tplc="5F244D68">
      <w:start w:val="1"/>
      <w:numFmt w:val="bullet"/>
      <w:lvlText w:val=""/>
      <w:lvlJc w:val="left"/>
      <w:pPr>
        <w:tabs>
          <w:tab w:val="num" w:pos="2880"/>
        </w:tabs>
        <w:ind w:left="2880" w:hanging="360"/>
      </w:pPr>
      <w:rPr>
        <w:rFonts w:ascii="Symbol" w:hAnsi="Symbol"/>
      </w:rPr>
    </w:lvl>
    <w:lvl w:ilvl="4" w:tplc="17CE81A4">
      <w:start w:val="1"/>
      <w:numFmt w:val="bullet"/>
      <w:lvlText w:val="o"/>
      <w:lvlJc w:val="left"/>
      <w:pPr>
        <w:tabs>
          <w:tab w:val="num" w:pos="3600"/>
        </w:tabs>
        <w:ind w:left="3600" w:hanging="360"/>
      </w:pPr>
      <w:rPr>
        <w:rFonts w:ascii="Courier New" w:hAnsi="Courier New"/>
      </w:rPr>
    </w:lvl>
    <w:lvl w:ilvl="5" w:tplc="E03CE756">
      <w:start w:val="1"/>
      <w:numFmt w:val="bullet"/>
      <w:lvlText w:val=""/>
      <w:lvlJc w:val="left"/>
      <w:pPr>
        <w:tabs>
          <w:tab w:val="num" w:pos="4320"/>
        </w:tabs>
        <w:ind w:left="4320" w:hanging="360"/>
      </w:pPr>
      <w:rPr>
        <w:rFonts w:ascii="Wingdings" w:hAnsi="Wingdings"/>
      </w:rPr>
    </w:lvl>
    <w:lvl w:ilvl="6" w:tplc="6A3E6798">
      <w:start w:val="1"/>
      <w:numFmt w:val="bullet"/>
      <w:lvlText w:val=""/>
      <w:lvlJc w:val="left"/>
      <w:pPr>
        <w:tabs>
          <w:tab w:val="num" w:pos="5040"/>
        </w:tabs>
        <w:ind w:left="5040" w:hanging="360"/>
      </w:pPr>
      <w:rPr>
        <w:rFonts w:ascii="Symbol" w:hAnsi="Symbol"/>
      </w:rPr>
    </w:lvl>
    <w:lvl w:ilvl="7" w:tplc="9CDC0D3A">
      <w:start w:val="1"/>
      <w:numFmt w:val="bullet"/>
      <w:lvlText w:val="o"/>
      <w:lvlJc w:val="left"/>
      <w:pPr>
        <w:tabs>
          <w:tab w:val="num" w:pos="5760"/>
        </w:tabs>
        <w:ind w:left="5760" w:hanging="360"/>
      </w:pPr>
      <w:rPr>
        <w:rFonts w:ascii="Courier New" w:hAnsi="Courier New"/>
      </w:rPr>
    </w:lvl>
    <w:lvl w:ilvl="8" w:tplc="DB0CD3D2">
      <w:start w:val="1"/>
      <w:numFmt w:val="bullet"/>
      <w:lvlText w:val=""/>
      <w:lvlJc w:val="left"/>
      <w:pPr>
        <w:tabs>
          <w:tab w:val="num" w:pos="6480"/>
        </w:tabs>
        <w:ind w:left="6480" w:hanging="360"/>
      </w:pPr>
      <w:rPr>
        <w:rFonts w:ascii="Wingdings" w:hAnsi="Wingdings"/>
      </w:rPr>
    </w:lvl>
  </w:abstractNum>
  <w:abstractNum w:abstractNumId="1021" w15:restartNumberingAfterBreak="0">
    <w:nsid w:val="722308BF"/>
    <w:multiLevelType w:val="hybridMultilevel"/>
    <w:tmpl w:val="722308BF"/>
    <w:lvl w:ilvl="0" w:tplc="D26C0F20">
      <w:start w:val="1"/>
      <w:numFmt w:val="bullet"/>
      <w:lvlText w:val=""/>
      <w:lvlJc w:val="left"/>
      <w:pPr>
        <w:ind w:left="720" w:hanging="360"/>
      </w:pPr>
      <w:rPr>
        <w:rFonts w:ascii="Symbol" w:hAnsi="Symbol"/>
      </w:rPr>
    </w:lvl>
    <w:lvl w:ilvl="1" w:tplc="7CC657C2">
      <w:start w:val="1"/>
      <w:numFmt w:val="bullet"/>
      <w:lvlText w:val="o"/>
      <w:lvlJc w:val="left"/>
      <w:pPr>
        <w:tabs>
          <w:tab w:val="num" w:pos="1440"/>
        </w:tabs>
        <w:ind w:left="1440" w:hanging="360"/>
      </w:pPr>
      <w:rPr>
        <w:rFonts w:ascii="Courier New" w:hAnsi="Courier New"/>
      </w:rPr>
    </w:lvl>
    <w:lvl w:ilvl="2" w:tplc="2D2C357C">
      <w:start w:val="1"/>
      <w:numFmt w:val="bullet"/>
      <w:lvlText w:val=""/>
      <w:lvlJc w:val="left"/>
      <w:pPr>
        <w:tabs>
          <w:tab w:val="num" w:pos="2160"/>
        </w:tabs>
        <w:ind w:left="2160" w:hanging="360"/>
      </w:pPr>
      <w:rPr>
        <w:rFonts w:ascii="Wingdings" w:hAnsi="Wingdings"/>
      </w:rPr>
    </w:lvl>
    <w:lvl w:ilvl="3" w:tplc="3F04CC30">
      <w:start w:val="1"/>
      <w:numFmt w:val="bullet"/>
      <w:lvlText w:val=""/>
      <w:lvlJc w:val="left"/>
      <w:pPr>
        <w:tabs>
          <w:tab w:val="num" w:pos="2880"/>
        </w:tabs>
        <w:ind w:left="2880" w:hanging="360"/>
      </w:pPr>
      <w:rPr>
        <w:rFonts w:ascii="Symbol" w:hAnsi="Symbol"/>
      </w:rPr>
    </w:lvl>
    <w:lvl w:ilvl="4" w:tplc="D67026D6">
      <w:start w:val="1"/>
      <w:numFmt w:val="bullet"/>
      <w:lvlText w:val="o"/>
      <w:lvlJc w:val="left"/>
      <w:pPr>
        <w:tabs>
          <w:tab w:val="num" w:pos="3600"/>
        </w:tabs>
        <w:ind w:left="3600" w:hanging="360"/>
      </w:pPr>
      <w:rPr>
        <w:rFonts w:ascii="Courier New" w:hAnsi="Courier New"/>
      </w:rPr>
    </w:lvl>
    <w:lvl w:ilvl="5" w:tplc="37AC230A">
      <w:start w:val="1"/>
      <w:numFmt w:val="bullet"/>
      <w:lvlText w:val=""/>
      <w:lvlJc w:val="left"/>
      <w:pPr>
        <w:tabs>
          <w:tab w:val="num" w:pos="4320"/>
        </w:tabs>
        <w:ind w:left="4320" w:hanging="360"/>
      </w:pPr>
      <w:rPr>
        <w:rFonts w:ascii="Wingdings" w:hAnsi="Wingdings"/>
      </w:rPr>
    </w:lvl>
    <w:lvl w:ilvl="6" w:tplc="98E4D31E">
      <w:start w:val="1"/>
      <w:numFmt w:val="bullet"/>
      <w:lvlText w:val=""/>
      <w:lvlJc w:val="left"/>
      <w:pPr>
        <w:tabs>
          <w:tab w:val="num" w:pos="5040"/>
        </w:tabs>
        <w:ind w:left="5040" w:hanging="360"/>
      </w:pPr>
      <w:rPr>
        <w:rFonts w:ascii="Symbol" w:hAnsi="Symbol"/>
      </w:rPr>
    </w:lvl>
    <w:lvl w:ilvl="7" w:tplc="BA3AD1C6">
      <w:start w:val="1"/>
      <w:numFmt w:val="bullet"/>
      <w:lvlText w:val="o"/>
      <w:lvlJc w:val="left"/>
      <w:pPr>
        <w:tabs>
          <w:tab w:val="num" w:pos="5760"/>
        </w:tabs>
        <w:ind w:left="5760" w:hanging="360"/>
      </w:pPr>
      <w:rPr>
        <w:rFonts w:ascii="Courier New" w:hAnsi="Courier New"/>
      </w:rPr>
    </w:lvl>
    <w:lvl w:ilvl="8" w:tplc="39AE1750">
      <w:start w:val="1"/>
      <w:numFmt w:val="bullet"/>
      <w:lvlText w:val=""/>
      <w:lvlJc w:val="left"/>
      <w:pPr>
        <w:tabs>
          <w:tab w:val="num" w:pos="6480"/>
        </w:tabs>
        <w:ind w:left="6480" w:hanging="360"/>
      </w:pPr>
      <w:rPr>
        <w:rFonts w:ascii="Wingdings" w:hAnsi="Wingdings"/>
      </w:rPr>
    </w:lvl>
  </w:abstractNum>
  <w:abstractNum w:abstractNumId="1022" w15:restartNumberingAfterBreak="0">
    <w:nsid w:val="722308C0"/>
    <w:multiLevelType w:val="hybridMultilevel"/>
    <w:tmpl w:val="722308C0"/>
    <w:lvl w:ilvl="0" w:tplc="687E3D18">
      <w:start w:val="1"/>
      <w:numFmt w:val="bullet"/>
      <w:lvlText w:val=""/>
      <w:lvlJc w:val="left"/>
      <w:pPr>
        <w:ind w:left="720" w:hanging="360"/>
      </w:pPr>
      <w:rPr>
        <w:rFonts w:ascii="Symbol" w:hAnsi="Symbol"/>
      </w:rPr>
    </w:lvl>
    <w:lvl w:ilvl="1" w:tplc="30CC5EF4">
      <w:start w:val="1"/>
      <w:numFmt w:val="bullet"/>
      <w:lvlText w:val="o"/>
      <w:lvlJc w:val="left"/>
      <w:pPr>
        <w:tabs>
          <w:tab w:val="num" w:pos="1440"/>
        </w:tabs>
        <w:ind w:left="1440" w:hanging="360"/>
      </w:pPr>
      <w:rPr>
        <w:rFonts w:ascii="Courier New" w:hAnsi="Courier New"/>
      </w:rPr>
    </w:lvl>
    <w:lvl w:ilvl="2" w:tplc="0DEC58C6">
      <w:start w:val="1"/>
      <w:numFmt w:val="bullet"/>
      <w:lvlText w:val=""/>
      <w:lvlJc w:val="left"/>
      <w:pPr>
        <w:tabs>
          <w:tab w:val="num" w:pos="2160"/>
        </w:tabs>
        <w:ind w:left="2160" w:hanging="360"/>
      </w:pPr>
      <w:rPr>
        <w:rFonts w:ascii="Wingdings" w:hAnsi="Wingdings"/>
      </w:rPr>
    </w:lvl>
    <w:lvl w:ilvl="3" w:tplc="3392C6A0">
      <w:start w:val="1"/>
      <w:numFmt w:val="bullet"/>
      <w:lvlText w:val=""/>
      <w:lvlJc w:val="left"/>
      <w:pPr>
        <w:tabs>
          <w:tab w:val="num" w:pos="2880"/>
        </w:tabs>
        <w:ind w:left="2880" w:hanging="360"/>
      </w:pPr>
      <w:rPr>
        <w:rFonts w:ascii="Symbol" w:hAnsi="Symbol"/>
      </w:rPr>
    </w:lvl>
    <w:lvl w:ilvl="4" w:tplc="66B48098">
      <w:start w:val="1"/>
      <w:numFmt w:val="bullet"/>
      <w:lvlText w:val="o"/>
      <w:lvlJc w:val="left"/>
      <w:pPr>
        <w:tabs>
          <w:tab w:val="num" w:pos="3600"/>
        </w:tabs>
        <w:ind w:left="3600" w:hanging="360"/>
      </w:pPr>
      <w:rPr>
        <w:rFonts w:ascii="Courier New" w:hAnsi="Courier New"/>
      </w:rPr>
    </w:lvl>
    <w:lvl w:ilvl="5" w:tplc="B0B25010">
      <w:start w:val="1"/>
      <w:numFmt w:val="bullet"/>
      <w:lvlText w:val=""/>
      <w:lvlJc w:val="left"/>
      <w:pPr>
        <w:tabs>
          <w:tab w:val="num" w:pos="4320"/>
        </w:tabs>
        <w:ind w:left="4320" w:hanging="360"/>
      </w:pPr>
      <w:rPr>
        <w:rFonts w:ascii="Wingdings" w:hAnsi="Wingdings"/>
      </w:rPr>
    </w:lvl>
    <w:lvl w:ilvl="6" w:tplc="FA764396">
      <w:start w:val="1"/>
      <w:numFmt w:val="bullet"/>
      <w:lvlText w:val=""/>
      <w:lvlJc w:val="left"/>
      <w:pPr>
        <w:tabs>
          <w:tab w:val="num" w:pos="5040"/>
        </w:tabs>
        <w:ind w:left="5040" w:hanging="360"/>
      </w:pPr>
      <w:rPr>
        <w:rFonts w:ascii="Symbol" w:hAnsi="Symbol"/>
      </w:rPr>
    </w:lvl>
    <w:lvl w:ilvl="7" w:tplc="27A2F108">
      <w:start w:val="1"/>
      <w:numFmt w:val="bullet"/>
      <w:lvlText w:val="o"/>
      <w:lvlJc w:val="left"/>
      <w:pPr>
        <w:tabs>
          <w:tab w:val="num" w:pos="5760"/>
        </w:tabs>
        <w:ind w:left="5760" w:hanging="360"/>
      </w:pPr>
      <w:rPr>
        <w:rFonts w:ascii="Courier New" w:hAnsi="Courier New"/>
      </w:rPr>
    </w:lvl>
    <w:lvl w:ilvl="8" w:tplc="6256E0A8">
      <w:start w:val="1"/>
      <w:numFmt w:val="bullet"/>
      <w:lvlText w:val=""/>
      <w:lvlJc w:val="left"/>
      <w:pPr>
        <w:tabs>
          <w:tab w:val="num" w:pos="6480"/>
        </w:tabs>
        <w:ind w:left="6480" w:hanging="360"/>
      </w:pPr>
      <w:rPr>
        <w:rFonts w:ascii="Wingdings" w:hAnsi="Wingdings"/>
      </w:rPr>
    </w:lvl>
  </w:abstractNum>
  <w:abstractNum w:abstractNumId="1023" w15:restartNumberingAfterBreak="0">
    <w:nsid w:val="722308C1"/>
    <w:multiLevelType w:val="hybridMultilevel"/>
    <w:tmpl w:val="722308C1"/>
    <w:lvl w:ilvl="0" w:tplc="3FAC0F72">
      <w:start w:val="1"/>
      <w:numFmt w:val="bullet"/>
      <w:lvlText w:val=""/>
      <w:lvlJc w:val="left"/>
      <w:pPr>
        <w:ind w:left="720" w:hanging="360"/>
      </w:pPr>
      <w:rPr>
        <w:rFonts w:ascii="Symbol" w:hAnsi="Symbol"/>
      </w:rPr>
    </w:lvl>
    <w:lvl w:ilvl="1" w:tplc="07E08D2E">
      <w:start w:val="1"/>
      <w:numFmt w:val="bullet"/>
      <w:lvlText w:val="o"/>
      <w:lvlJc w:val="left"/>
      <w:pPr>
        <w:tabs>
          <w:tab w:val="num" w:pos="1440"/>
        </w:tabs>
        <w:ind w:left="1440" w:hanging="360"/>
      </w:pPr>
      <w:rPr>
        <w:rFonts w:ascii="Courier New" w:hAnsi="Courier New"/>
      </w:rPr>
    </w:lvl>
    <w:lvl w:ilvl="2" w:tplc="A5FC681C">
      <w:start w:val="1"/>
      <w:numFmt w:val="bullet"/>
      <w:lvlText w:val=""/>
      <w:lvlJc w:val="left"/>
      <w:pPr>
        <w:tabs>
          <w:tab w:val="num" w:pos="2160"/>
        </w:tabs>
        <w:ind w:left="2160" w:hanging="360"/>
      </w:pPr>
      <w:rPr>
        <w:rFonts w:ascii="Wingdings" w:hAnsi="Wingdings"/>
      </w:rPr>
    </w:lvl>
    <w:lvl w:ilvl="3" w:tplc="9B6C0FE8">
      <w:start w:val="1"/>
      <w:numFmt w:val="bullet"/>
      <w:lvlText w:val=""/>
      <w:lvlJc w:val="left"/>
      <w:pPr>
        <w:tabs>
          <w:tab w:val="num" w:pos="2880"/>
        </w:tabs>
        <w:ind w:left="2880" w:hanging="360"/>
      </w:pPr>
      <w:rPr>
        <w:rFonts w:ascii="Symbol" w:hAnsi="Symbol"/>
      </w:rPr>
    </w:lvl>
    <w:lvl w:ilvl="4" w:tplc="B296B3F6">
      <w:start w:val="1"/>
      <w:numFmt w:val="bullet"/>
      <w:lvlText w:val="o"/>
      <w:lvlJc w:val="left"/>
      <w:pPr>
        <w:tabs>
          <w:tab w:val="num" w:pos="3600"/>
        </w:tabs>
        <w:ind w:left="3600" w:hanging="360"/>
      </w:pPr>
      <w:rPr>
        <w:rFonts w:ascii="Courier New" w:hAnsi="Courier New"/>
      </w:rPr>
    </w:lvl>
    <w:lvl w:ilvl="5" w:tplc="5C84A108">
      <w:start w:val="1"/>
      <w:numFmt w:val="bullet"/>
      <w:lvlText w:val=""/>
      <w:lvlJc w:val="left"/>
      <w:pPr>
        <w:tabs>
          <w:tab w:val="num" w:pos="4320"/>
        </w:tabs>
        <w:ind w:left="4320" w:hanging="360"/>
      </w:pPr>
      <w:rPr>
        <w:rFonts w:ascii="Wingdings" w:hAnsi="Wingdings"/>
      </w:rPr>
    </w:lvl>
    <w:lvl w:ilvl="6" w:tplc="1AB035F8">
      <w:start w:val="1"/>
      <w:numFmt w:val="bullet"/>
      <w:lvlText w:val=""/>
      <w:lvlJc w:val="left"/>
      <w:pPr>
        <w:tabs>
          <w:tab w:val="num" w:pos="5040"/>
        </w:tabs>
        <w:ind w:left="5040" w:hanging="360"/>
      </w:pPr>
      <w:rPr>
        <w:rFonts w:ascii="Symbol" w:hAnsi="Symbol"/>
      </w:rPr>
    </w:lvl>
    <w:lvl w:ilvl="7" w:tplc="DFF455B6">
      <w:start w:val="1"/>
      <w:numFmt w:val="bullet"/>
      <w:lvlText w:val="o"/>
      <w:lvlJc w:val="left"/>
      <w:pPr>
        <w:tabs>
          <w:tab w:val="num" w:pos="5760"/>
        </w:tabs>
        <w:ind w:left="5760" w:hanging="360"/>
      </w:pPr>
      <w:rPr>
        <w:rFonts w:ascii="Courier New" w:hAnsi="Courier New"/>
      </w:rPr>
    </w:lvl>
    <w:lvl w:ilvl="8" w:tplc="A3B2942C">
      <w:start w:val="1"/>
      <w:numFmt w:val="bullet"/>
      <w:lvlText w:val=""/>
      <w:lvlJc w:val="left"/>
      <w:pPr>
        <w:tabs>
          <w:tab w:val="num" w:pos="6480"/>
        </w:tabs>
        <w:ind w:left="6480" w:hanging="360"/>
      </w:pPr>
      <w:rPr>
        <w:rFonts w:ascii="Wingdings" w:hAnsi="Wingdings"/>
      </w:rPr>
    </w:lvl>
  </w:abstractNum>
  <w:abstractNum w:abstractNumId="1024" w15:restartNumberingAfterBreak="0">
    <w:nsid w:val="722308C2"/>
    <w:multiLevelType w:val="hybridMultilevel"/>
    <w:tmpl w:val="722308C2"/>
    <w:lvl w:ilvl="0" w:tplc="B79A07DE">
      <w:start w:val="1"/>
      <w:numFmt w:val="bullet"/>
      <w:lvlText w:val="o"/>
      <w:lvlJc w:val="left"/>
      <w:pPr>
        <w:ind w:left="720" w:hanging="360"/>
      </w:pPr>
      <w:rPr>
        <w:rFonts w:ascii="Courier New" w:hAnsi="Courier New"/>
      </w:rPr>
    </w:lvl>
    <w:lvl w:ilvl="1" w:tplc="2AAA0C4A">
      <w:start w:val="1"/>
      <w:numFmt w:val="bullet"/>
      <w:lvlText w:val="o"/>
      <w:lvlJc w:val="left"/>
      <w:pPr>
        <w:tabs>
          <w:tab w:val="num" w:pos="1440"/>
        </w:tabs>
        <w:ind w:left="1440" w:hanging="360"/>
      </w:pPr>
      <w:rPr>
        <w:rFonts w:ascii="Courier New" w:hAnsi="Courier New"/>
      </w:rPr>
    </w:lvl>
    <w:lvl w:ilvl="2" w:tplc="C12E735E">
      <w:start w:val="1"/>
      <w:numFmt w:val="bullet"/>
      <w:lvlText w:val=""/>
      <w:lvlJc w:val="left"/>
      <w:pPr>
        <w:tabs>
          <w:tab w:val="num" w:pos="2160"/>
        </w:tabs>
        <w:ind w:left="2160" w:hanging="360"/>
      </w:pPr>
      <w:rPr>
        <w:rFonts w:ascii="Wingdings" w:hAnsi="Wingdings"/>
      </w:rPr>
    </w:lvl>
    <w:lvl w:ilvl="3" w:tplc="726C05C6">
      <w:start w:val="1"/>
      <w:numFmt w:val="bullet"/>
      <w:lvlText w:val=""/>
      <w:lvlJc w:val="left"/>
      <w:pPr>
        <w:tabs>
          <w:tab w:val="num" w:pos="2880"/>
        </w:tabs>
        <w:ind w:left="2880" w:hanging="360"/>
      </w:pPr>
      <w:rPr>
        <w:rFonts w:ascii="Symbol" w:hAnsi="Symbol"/>
      </w:rPr>
    </w:lvl>
    <w:lvl w:ilvl="4" w:tplc="D4A68398">
      <w:start w:val="1"/>
      <w:numFmt w:val="bullet"/>
      <w:lvlText w:val="o"/>
      <w:lvlJc w:val="left"/>
      <w:pPr>
        <w:tabs>
          <w:tab w:val="num" w:pos="3600"/>
        </w:tabs>
        <w:ind w:left="3600" w:hanging="360"/>
      </w:pPr>
      <w:rPr>
        <w:rFonts w:ascii="Courier New" w:hAnsi="Courier New"/>
      </w:rPr>
    </w:lvl>
    <w:lvl w:ilvl="5" w:tplc="ED965ADE">
      <w:start w:val="1"/>
      <w:numFmt w:val="bullet"/>
      <w:lvlText w:val=""/>
      <w:lvlJc w:val="left"/>
      <w:pPr>
        <w:tabs>
          <w:tab w:val="num" w:pos="4320"/>
        </w:tabs>
        <w:ind w:left="4320" w:hanging="360"/>
      </w:pPr>
      <w:rPr>
        <w:rFonts w:ascii="Wingdings" w:hAnsi="Wingdings"/>
      </w:rPr>
    </w:lvl>
    <w:lvl w:ilvl="6" w:tplc="495001FE">
      <w:start w:val="1"/>
      <w:numFmt w:val="bullet"/>
      <w:lvlText w:val=""/>
      <w:lvlJc w:val="left"/>
      <w:pPr>
        <w:tabs>
          <w:tab w:val="num" w:pos="5040"/>
        </w:tabs>
        <w:ind w:left="5040" w:hanging="360"/>
      </w:pPr>
      <w:rPr>
        <w:rFonts w:ascii="Symbol" w:hAnsi="Symbol"/>
      </w:rPr>
    </w:lvl>
    <w:lvl w:ilvl="7" w:tplc="DA14CF0A">
      <w:start w:val="1"/>
      <w:numFmt w:val="bullet"/>
      <w:lvlText w:val="o"/>
      <w:lvlJc w:val="left"/>
      <w:pPr>
        <w:tabs>
          <w:tab w:val="num" w:pos="5760"/>
        </w:tabs>
        <w:ind w:left="5760" w:hanging="360"/>
      </w:pPr>
      <w:rPr>
        <w:rFonts w:ascii="Courier New" w:hAnsi="Courier New"/>
      </w:rPr>
    </w:lvl>
    <w:lvl w:ilvl="8" w:tplc="645A6A14">
      <w:start w:val="1"/>
      <w:numFmt w:val="bullet"/>
      <w:lvlText w:val=""/>
      <w:lvlJc w:val="left"/>
      <w:pPr>
        <w:tabs>
          <w:tab w:val="num" w:pos="6480"/>
        </w:tabs>
        <w:ind w:left="6480" w:hanging="360"/>
      </w:pPr>
      <w:rPr>
        <w:rFonts w:ascii="Wingdings" w:hAnsi="Wingdings"/>
      </w:rPr>
    </w:lvl>
  </w:abstractNum>
  <w:abstractNum w:abstractNumId="1025" w15:restartNumberingAfterBreak="0">
    <w:nsid w:val="722308C3"/>
    <w:multiLevelType w:val="hybridMultilevel"/>
    <w:tmpl w:val="722308C3"/>
    <w:lvl w:ilvl="0" w:tplc="E910923E">
      <w:start w:val="1"/>
      <w:numFmt w:val="bullet"/>
      <w:lvlText w:val=""/>
      <w:lvlJc w:val="left"/>
      <w:pPr>
        <w:ind w:left="720" w:hanging="360"/>
      </w:pPr>
      <w:rPr>
        <w:rFonts w:ascii="Symbol" w:hAnsi="Symbol"/>
      </w:rPr>
    </w:lvl>
    <w:lvl w:ilvl="1" w:tplc="F4F2ACB6">
      <w:start w:val="1"/>
      <w:numFmt w:val="bullet"/>
      <w:lvlText w:val="o"/>
      <w:lvlJc w:val="left"/>
      <w:pPr>
        <w:tabs>
          <w:tab w:val="num" w:pos="1440"/>
        </w:tabs>
        <w:ind w:left="1440" w:hanging="360"/>
      </w:pPr>
      <w:rPr>
        <w:rFonts w:ascii="Courier New" w:hAnsi="Courier New"/>
      </w:rPr>
    </w:lvl>
    <w:lvl w:ilvl="2" w:tplc="4B44E456">
      <w:start w:val="1"/>
      <w:numFmt w:val="bullet"/>
      <w:lvlText w:val=""/>
      <w:lvlJc w:val="left"/>
      <w:pPr>
        <w:tabs>
          <w:tab w:val="num" w:pos="2160"/>
        </w:tabs>
        <w:ind w:left="2160" w:hanging="360"/>
      </w:pPr>
      <w:rPr>
        <w:rFonts w:ascii="Wingdings" w:hAnsi="Wingdings"/>
      </w:rPr>
    </w:lvl>
    <w:lvl w:ilvl="3" w:tplc="56E611C6">
      <w:start w:val="1"/>
      <w:numFmt w:val="bullet"/>
      <w:lvlText w:val=""/>
      <w:lvlJc w:val="left"/>
      <w:pPr>
        <w:tabs>
          <w:tab w:val="num" w:pos="2880"/>
        </w:tabs>
        <w:ind w:left="2880" w:hanging="360"/>
      </w:pPr>
      <w:rPr>
        <w:rFonts w:ascii="Symbol" w:hAnsi="Symbol"/>
      </w:rPr>
    </w:lvl>
    <w:lvl w:ilvl="4" w:tplc="156626F0">
      <w:start w:val="1"/>
      <w:numFmt w:val="bullet"/>
      <w:lvlText w:val="o"/>
      <w:lvlJc w:val="left"/>
      <w:pPr>
        <w:tabs>
          <w:tab w:val="num" w:pos="3600"/>
        </w:tabs>
        <w:ind w:left="3600" w:hanging="360"/>
      </w:pPr>
      <w:rPr>
        <w:rFonts w:ascii="Courier New" w:hAnsi="Courier New"/>
      </w:rPr>
    </w:lvl>
    <w:lvl w:ilvl="5" w:tplc="53706FE4">
      <w:start w:val="1"/>
      <w:numFmt w:val="bullet"/>
      <w:lvlText w:val=""/>
      <w:lvlJc w:val="left"/>
      <w:pPr>
        <w:tabs>
          <w:tab w:val="num" w:pos="4320"/>
        </w:tabs>
        <w:ind w:left="4320" w:hanging="360"/>
      </w:pPr>
      <w:rPr>
        <w:rFonts w:ascii="Wingdings" w:hAnsi="Wingdings"/>
      </w:rPr>
    </w:lvl>
    <w:lvl w:ilvl="6" w:tplc="E6FE52D8">
      <w:start w:val="1"/>
      <w:numFmt w:val="bullet"/>
      <w:lvlText w:val=""/>
      <w:lvlJc w:val="left"/>
      <w:pPr>
        <w:tabs>
          <w:tab w:val="num" w:pos="5040"/>
        </w:tabs>
        <w:ind w:left="5040" w:hanging="360"/>
      </w:pPr>
      <w:rPr>
        <w:rFonts w:ascii="Symbol" w:hAnsi="Symbol"/>
      </w:rPr>
    </w:lvl>
    <w:lvl w:ilvl="7" w:tplc="87CC34E8">
      <w:start w:val="1"/>
      <w:numFmt w:val="bullet"/>
      <w:lvlText w:val="o"/>
      <w:lvlJc w:val="left"/>
      <w:pPr>
        <w:tabs>
          <w:tab w:val="num" w:pos="5760"/>
        </w:tabs>
        <w:ind w:left="5760" w:hanging="360"/>
      </w:pPr>
      <w:rPr>
        <w:rFonts w:ascii="Courier New" w:hAnsi="Courier New"/>
      </w:rPr>
    </w:lvl>
    <w:lvl w:ilvl="8" w:tplc="1EA88068">
      <w:start w:val="1"/>
      <w:numFmt w:val="bullet"/>
      <w:lvlText w:val=""/>
      <w:lvlJc w:val="left"/>
      <w:pPr>
        <w:tabs>
          <w:tab w:val="num" w:pos="6480"/>
        </w:tabs>
        <w:ind w:left="6480" w:hanging="360"/>
      </w:pPr>
      <w:rPr>
        <w:rFonts w:ascii="Wingdings" w:hAnsi="Wingdings"/>
      </w:rPr>
    </w:lvl>
  </w:abstractNum>
  <w:abstractNum w:abstractNumId="1026" w15:restartNumberingAfterBreak="0">
    <w:nsid w:val="722308C4"/>
    <w:multiLevelType w:val="hybridMultilevel"/>
    <w:tmpl w:val="722308C4"/>
    <w:lvl w:ilvl="0" w:tplc="06E28968">
      <w:start w:val="1"/>
      <w:numFmt w:val="bullet"/>
      <w:lvlText w:val=""/>
      <w:lvlJc w:val="left"/>
      <w:pPr>
        <w:ind w:left="720" w:hanging="360"/>
      </w:pPr>
      <w:rPr>
        <w:rFonts w:ascii="Symbol" w:hAnsi="Symbol"/>
      </w:rPr>
    </w:lvl>
    <w:lvl w:ilvl="1" w:tplc="E328183E">
      <w:start w:val="1"/>
      <w:numFmt w:val="bullet"/>
      <w:lvlText w:val="o"/>
      <w:lvlJc w:val="left"/>
      <w:pPr>
        <w:tabs>
          <w:tab w:val="num" w:pos="1440"/>
        </w:tabs>
        <w:ind w:left="1440" w:hanging="360"/>
      </w:pPr>
      <w:rPr>
        <w:rFonts w:ascii="Courier New" w:hAnsi="Courier New"/>
      </w:rPr>
    </w:lvl>
    <w:lvl w:ilvl="2" w:tplc="48F66846">
      <w:start w:val="1"/>
      <w:numFmt w:val="bullet"/>
      <w:lvlText w:val=""/>
      <w:lvlJc w:val="left"/>
      <w:pPr>
        <w:tabs>
          <w:tab w:val="num" w:pos="2160"/>
        </w:tabs>
        <w:ind w:left="2160" w:hanging="360"/>
      </w:pPr>
      <w:rPr>
        <w:rFonts w:ascii="Wingdings" w:hAnsi="Wingdings"/>
      </w:rPr>
    </w:lvl>
    <w:lvl w:ilvl="3" w:tplc="A5A05786">
      <w:start w:val="1"/>
      <w:numFmt w:val="bullet"/>
      <w:lvlText w:val=""/>
      <w:lvlJc w:val="left"/>
      <w:pPr>
        <w:tabs>
          <w:tab w:val="num" w:pos="2880"/>
        </w:tabs>
        <w:ind w:left="2880" w:hanging="360"/>
      </w:pPr>
      <w:rPr>
        <w:rFonts w:ascii="Symbol" w:hAnsi="Symbol"/>
      </w:rPr>
    </w:lvl>
    <w:lvl w:ilvl="4" w:tplc="0A802C86">
      <w:start w:val="1"/>
      <w:numFmt w:val="bullet"/>
      <w:lvlText w:val="o"/>
      <w:lvlJc w:val="left"/>
      <w:pPr>
        <w:tabs>
          <w:tab w:val="num" w:pos="3600"/>
        </w:tabs>
        <w:ind w:left="3600" w:hanging="360"/>
      </w:pPr>
      <w:rPr>
        <w:rFonts w:ascii="Courier New" w:hAnsi="Courier New"/>
      </w:rPr>
    </w:lvl>
    <w:lvl w:ilvl="5" w:tplc="99C46E90">
      <w:start w:val="1"/>
      <w:numFmt w:val="bullet"/>
      <w:lvlText w:val=""/>
      <w:lvlJc w:val="left"/>
      <w:pPr>
        <w:tabs>
          <w:tab w:val="num" w:pos="4320"/>
        </w:tabs>
        <w:ind w:left="4320" w:hanging="360"/>
      </w:pPr>
      <w:rPr>
        <w:rFonts w:ascii="Wingdings" w:hAnsi="Wingdings"/>
      </w:rPr>
    </w:lvl>
    <w:lvl w:ilvl="6" w:tplc="FE2C66BE">
      <w:start w:val="1"/>
      <w:numFmt w:val="bullet"/>
      <w:lvlText w:val=""/>
      <w:lvlJc w:val="left"/>
      <w:pPr>
        <w:tabs>
          <w:tab w:val="num" w:pos="5040"/>
        </w:tabs>
        <w:ind w:left="5040" w:hanging="360"/>
      </w:pPr>
      <w:rPr>
        <w:rFonts w:ascii="Symbol" w:hAnsi="Symbol"/>
      </w:rPr>
    </w:lvl>
    <w:lvl w:ilvl="7" w:tplc="F774E4AC">
      <w:start w:val="1"/>
      <w:numFmt w:val="bullet"/>
      <w:lvlText w:val="o"/>
      <w:lvlJc w:val="left"/>
      <w:pPr>
        <w:tabs>
          <w:tab w:val="num" w:pos="5760"/>
        </w:tabs>
        <w:ind w:left="5760" w:hanging="360"/>
      </w:pPr>
      <w:rPr>
        <w:rFonts w:ascii="Courier New" w:hAnsi="Courier New"/>
      </w:rPr>
    </w:lvl>
    <w:lvl w:ilvl="8" w:tplc="48485996">
      <w:start w:val="1"/>
      <w:numFmt w:val="bullet"/>
      <w:lvlText w:val=""/>
      <w:lvlJc w:val="left"/>
      <w:pPr>
        <w:tabs>
          <w:tab w:val="num" w:pos="6480"/>
        </w:tabs>
        <w:ind w:left="6480" w:hanging="360"/>
      </w:pPr>
      <w:rPr>
        <w:rFonts w:ascii="Wingdings" w:hAnsi="Wingdings"/>
      </w:rPr>
    </w:lvl>
  </w:abstractNum>
  <w:abstractNum w:abstractNumId="1027" w15:restartNumberingAfterBreak="0">
    <w:nsid w:val="722308C5"/>
    <w:multiLevelType w:val="hybridMultilevel"/>
    <w:tmpl w:val="722308C5"/>
    <w:lvl w:ilvl="0" w:tplc="25BC0222">
      <w:start w:val="1"/>
      <w:numFmt w:val="bullet"/>
      <w:lvlText w:val=""/>
      <w:lvlJc w:val="left"/>
      <w:pPr>
        <w:ind w:left="720" w:hanging="360"/>
      </w:pPr>
      <w:rPr>
        <w:rFonts w:ascii="Symbol" w:hAnsi="Symbol"/>
      </w:rPr>
    </w:lvl>
    <w:lvl w:ilvl="1" w:tplc="0E181176">
      <w:start w:val="1"/>
      <w:numFmt w:val="bullet"/>
      <w:lvlText w:val="o"/>
      <w:lvlJc w:val="left"/>
      <w:pPr>
        <w:tabs>
          <w:tab w:val="num" w:pos="1440"/>
        </w:tabs>
        <w:ind w:left="1440" w:hanging="360"/>
      </w:pPr>
      <w:rPr>
        <w:rFonts w:ascii="Courier New" w:hAnsi="Courier New"/>
      </w:rPr>
    </w:lvl>
    <w:lvl w:ilvl="2" w:tplc="63AA056E">
      <w:start w:val="1"/>
      <w:numFmt w:val="bullet"/>
      <w:lvlText w:val=""/>
      <w:lvlJc w:val="left"/>
      <w:pPr>
        <w:tabs>
          <w:tab w:val="num" w:pos="2160"/>
        </w:tabs>
        <w:ind w:left="2160" w:hanging="360"/>
      </w:pPr>
      <w:rPr>
        <w:rFonts w:ascii="Wingdings" w:hAnsi="Wingdings"/>
      </w:rPr>
    </w:lvl>
    <w:lvl w:ilvl="3" w:tplc="A4CE084A">
      <w:start w:val="1"/>
      <w:numFmt w:val="bullet"/>
      <w:lvlText w:val=""/>
      <w:lvlJc w:val="left"/>
      <w:pPr>
        <w:tabs>
          <w:tab w:val="num" w:pos="2880"/>
        </w:tabs>
        <w:ind w:left="2880" w:hanging="360"/>
      </w:pPr>
      <w:rPr>
        <w:rFonts w:ascii="Symbol" w:hAnsi="Symbol"/>
      </w:rPr>
    </w:lvl>
    <w:lvl w:ilvl="4" w:tplc="74C66A50">
      <w:start w:val="1"/>
      <w:numFmt w:val="bullet"/>
      <w:lvlText w:val="o"/>
      <w:lvlJc w:val="left"/>
      <w:pPr>
        <w:tabs>
          <w:tab w:val="num" w:pos="3600"/>
        </w:tabs>
        <w:ind w:left="3600" w:hanging="360"/>
      </w:pPr>
      <w:rPr>
        <w:rFonts w:ascii="Courier New" w:hAnsi="Courier New"/>
      </w:rPr>
    </w:lvl>
    <w:lvl w:ilvl="5" w:tplc="005C295C">
      <w:start w:val="1"/>
      <w:numFmt w:val="bullet"/>
      <w:lvlText w:val=""/>
      <w:lvlJc w:val="left"/>
      <w:pPr>
        <w:tabs>
          <w:tab w:val="num" w:pos="4320"/>
        </w:tabs>
        <w:ind w:left="4320" w:hanging="360"/>
      </w:pPr>
      <w:rPr>
        <w:rFonts w:ascii="Wingdings" w:hAnsi="Wingdings"/>
      </w:rPr>
    </w:lvl>
    <w:lvl w:ilvl="6" w:tplc="38486D42">
      <w:start w:val="1"/>
      <w:numFmt w:val="bullet"/>
      <w:lvlText w:val=""/>
      <w:lvlJc w:val="left"/>
      <w:pPr>
        <w:tabs>
          <w:tab w:val="num" w:pos="5040"/>
        </w:tabs>
        <w:ind w:left="5040" w:hanging="360"/>
      </w:pPr>
      <w:rPr>
        <w:rFonts w:ascii="Symbol" w:hAnsi="Symbol"/>
      </w:rPr>
    </w:lvl>
    <w:lvl w:ilvl="7" w:tplc="E6EA3534">
      <w:start w:val="1"/>
      <w:numFmt w:val="bullet"/>
      <w:lvlText w:val="o"/>
      <w:lvlJc w:val="left"/>
      <w:pPr>
        <w:tabs>
          <w:tab w:val="num" w:pos="5760"/>
        </w:tabs>
        <w:ind w:left="5760" w:hanging="360"/>
      </w:pPr>
      <w:rPr>
        <w:rFonts w:ascii="Courier New" w:hAnsi="Courier New"/>
      </w:rPr>
    </w:lvl>
    <w:lvl w:ilvl="8" w:tplc="8C925846">
      <w:start w:val="1"/>
      <w:numFmt w:val="bullet"/>
      <w:lvlText w:val=""/>
      <w:lvlJc w:val="left"/>
      <w:pPr>
        <w:tabs>
          <w:tab w:val="num" w:pos="6480"/>
        </w:tabs>
        <w:ind w:left="6480" w:hanging="360"/>
      </w:pPr>
      <w:rPr>
        <w:rFonts w:ascii="Wingdings" w:hAnsi="Wingdings"/>
      </w:rPr>
    </w:lvl>
  </w:abstractNum>
  <w:abstractNum w:abstractNumId="1028" w15:restartNumberingAfterBreak="0">
    <w:nsid w:val="722308C6"/>
    <w:multiLevelType w:val="hybridMultilevel"/>
    <w:tmpl w:val="722308C6"/>
    <w:lvl w:ilvl="0" w:tplc="EE4A0BB0">
      <w:start w:val="1"/>
      <w:numFmt w:val="bullet"/>
      <w:lvlText w:val=""/>
      <w:lvlJc w:val="left"/>
      <w:pPr>
        <w:ind w:left="720" w:hanging="360"/>
      </w:pPr>
      <w:rPr>
        <w:rFonts w:ascii="Symbol" w:hAnsi="Symbol"/>
      </w:rPr>
    </w:lvl>
    <w:lvl w:ilvl="1" w:tplc="AAECACCE">
      <w:start w:val="1"/>
      <w:numFmt w:val="bullet"/>
      <w:lvlText w:val="o"/>
      <w:lvlJc w:val="left"/>
      <w:pPr>
        <w:tabs>
          <w:tab w:val="num" w:pos="1440"/>
        </w:tabs>
        <w:ind w:left="1440" w:hanging="360"/>
      </w:pPr>
      <w:rPr>
        <w:rFonts w:ascii="Courier New" w:hAnsi="Courier New"/>
      </w:rPr>
    </w:lvl>
    <w:lvl w:ilvl="2" w:tplc="E8A81D08">
      <w:start w:val="1"/>
      <w:numFmt w:val="bullet"/>
      <w:lvlText w:val=""/>
      <w:lvlJc w:val="left"/>
      <w:pPr>
        <w:tabs>
          <w:tab w:val="num" w:pos="2160"/>
        </w:tabs>
        <w:ind w:left="2160" w:hanging="360"/>
      </w:pPr>
      <w:rPr>
        <w:rFonts w:ascii="Wingdings" w:hAnsi="Wingdings"/>
      </w:rPr>
    </w:lvl>
    <w:lvl w:ilvl="3" w:tplc="0AF6C044">
      <w:start w:val="1"/>
      <w:numFmt w:val="bullet"/>
      <w:lvlText w:val=""/>
      <w:lvlJc w:val="left"/>
      <w:pPr>
        <w:tabs>
          <w:tab w:val="num" w:pos="2880"/>
        </w:tabs>
        <w:ind w:left="2880" w:hanging="360"/>
      </w:pPr>
      <w:rPr>
        <w:rFonts w:ascii="Symbol" w:hAnsi="Symbol"/>
      </w:rPr>
    </w:lvl>
    <w:lvl w:ilvl="4" w:tplc="76A87062">
      <w:start w:val="1"/>
      <w:numFmt w:val="bullet"/>
      <w:lvlText w:val="o"/>
      <w:lvlJc w:val="left"/>
      <w:pPr>
        <w:tabs>
          <w:tab w:val="num" w:pos="3600"/>
        </w:tabs>
        <w:ind w:left="3600" w:hanging="360"/>
      </w:pPr>
      <w:rPr>
        <w:rFonts w:ascii="Courier New" w:hAnsi="Courier New"/>
      </w:rPr>
    </w:lvl>
    <w:lvl w:ilvl="5" w:tplc="013EF0B8">
      <w:start w:val="1"/>
      <w:numFmt w:val="bullet"/>
      <w:lvlText w:val=""/>
      <w:lvlJc w:val="left"/>
      <w:pPr>
        <w:tabs>
          <w:tab w:val="num" w:pos="4320"/>
        </w:tabs>
        <w:ind w:left="4320" w:hanging="360"/>
      </w:pPr>
      <w:rPr>
        <w:rFonts w:ascii="Wingdings" w:hAnsi="Wingdings"/>
      </w:rPr>
    </w:lvl>
    <w:lvl w:ilvl="6" w:tplc="8776259E">
      <w:start w:val="1"/>
      <w:numFmt w:val="bullet"/>
      <w:lvlText w:val=""/>
      <w:lvlJc w:val="left"/>
      <w:pPr>
        <w:tabs>
          <w:tab w:val="num" w:pos="5040"/>
        </w:tabs>
        <w:ind w:left="5040" w:hanging="360"/>
      </w:pPr>
      <w:rPr>
        <w:rFonts w:ascii="Symbol" w:hAnsi="Symbol"/>
      </w:rPr>
    </w:lvl>
    <w:lvl w:ilvl="7" w:tplc="822095FC">
      <w:start w:val="1"/>
      <w:numFmt w:val="bullet"/>
      <w:lvlText w:val="o"/>
      <w:lvlJc w:val="left"/>
      <w:pPr>
        <w:tabs>
          <w:tab w:val="num" w:pos="5760"/>
        </w:tabs>
        <w:ind w:left="5760" w:hanging="360"/>
      </w:pPr>
      <w:rPr>
        <w:rFonts w:ascii="Courier New" w:hAnsi="Courier New"/>
      </w:rPr>
    </w:lvl>
    <w:lvl w:ilvl="8" w:tplc="85A69036">
      <w:start w:val="1"/>
      <w:numFmt w:val="bullet"/>
      <w:lvlText w:val=""/>
      <w:lvlJc w:val="left"/>
      <w:pPr>
        <w:tabs>
          <w:tab w:val="num" w:pos="6480"/>
        </w:tabs>
        <w:ind w:left="6480" w:hanging="360"/>
      </w:pPr>
      <w:rPr>
        <w:rFonts w:ascii="Wingdings" w:hAnsi="Wingdings"/>
      </w:rPr>
    </w:lvl>
  </w:abstractNum>
  <w:abstractNum w:abstractNumId="1029" w15:restartNumberingAfterBreak="0">
    <w:nsid w:val="722308C7"/>
    <w:multiLevelType w:val="hybridMultilevel"/>
    <w:tmpl w:val="722308C7"/>
    <w:lvl w:ilvl="0" w:tplc="B95EF7E2">
      <w:start w:val="1"/>
      <w:numFmt w:val="bullet"/>
      <w:lvlText w:val=""/>
      <w:lvlJc w:val="left"/>
      <w:pPr>
        <w:ind w:left="720" w:hanging="360"/>
      </w:pPr>
      <w:rPr>
        <w:rFonts w:ascii="Symbol" w:hAnsi="Symbol"/>
      </w:rPr>
    </w:lvl>
    <w:lvl w:ilvl="1" w:tplc="607003C2">
      <w:start w:val="1"/>
      <w:numFmt w:val="bullet"/>
      <w:lvlText w:val="o"/>
      <w:lvlJc w:val="left"/>
      <w:pPr>
        <w:tabs>
          <w:tab w:val="num" w:pos="1440"/>
        </w:tabs>
        <w:ind w:left="1440" w:hanging="360"/>
      </w:pPr>
      <w:rPr>
        <w:rFonts w:ascii="Courier New" w:hAnsi="Courier New"/>
      </w:rPr>
    </w:lvl>
    <w:lvl w:ilvl="2" w:tplc="61C42AD0">
      <w:start w:val="1"/>
      <w:numFmt w:val="bullet"/>
      <w:lvlText w:val=""/>
      <w:lvlJc w:val="left"/>
      <w:pPr>
        <w:tabs>
          <w:tab w:val="num" w:pos="2160"/>
        </w:tabs>
        <w:ind w:left="2160" w:hanging="360"/>
      </w:pPr>
      <w:rPr>
        <w:rFonts w:ascii="Wingdings" w:hAnsi="Wingdings"/>
      </w:rPr>
    </w:lvl>
    <w:lvl w:ilvl="3" w:tplc="EDEE44D4">
      <w:start w:val="1"/>
      <w:numFmt w:val="bullet"/>
      <w:lvlText w:val=""/>
      <w:lvlJc w:val="left"/>
      <w:pPr>
        <w:tabs>
          <w:tab w:val="num" w:pos="2880"/>
        </w:tabs>
        <w:ind w:left="2880" w:hanging="360"/>
      </w:pPr>
      <w:rPr>
        <w:rFonts w:ascii="Symbol" w:hAnsi="Symbol"/>
      </w:rPr>
    </w:lvl>
    <w:lvl w:ilvl="4" w:tplc="DDC673E8">
      <w:start w:val="1"/>
      <w:numFmt w:val="bullet"/>
      <w:lvlText w:val="o"/>
      <w:lvlJc w:val="left"/>
      <w:pPr>
        <w:tabs>
          <w:tab w:val="num" w:pos="3600"/>
        </w:tabs>
        <w:ind w:left="3600" w:hanging="360"/>
      </w:pPr>
      <w:rPr>
        <w:rFonts w:ascii="Courier New" w:hAnsi="Courier New"/>
      </w:rPr>
    </w:lvl>
    <w:lvl w:ilvl="5" w:tplc="01043DA2">
      <w:start w:val="1"/>
      <w:numFmt w:val="bullet"/>
      <w:lvlText w:val=""/>
      <w:lvlJc w:val="left"/>
      <w:pPr>
        <w:tabs>
          <w:tab w:val="num" w:pos="4320"/>
        </w:tabs>
        <w:ind w:left="4320" w:hanging="360"/>
      </w:pPr>
      <w:rPr>
        <w:rFonts w:ascii="Wingdings" w:hAnsi="Wingdings"/>
      </w:rPr>
    </w:lvl>
    <w:lvl w:ilvl="6" w:tplc="F26A7512">
      <w:start w:val="1"/>
      <w:numFmt w:val="bullet"/>
      <w:lvlText w:val=""/>
      <w:lvlJc w:val="left"/>
      <w:pPr>
        <w:tabs>
          <w:tab w:val="num" w:pos="5040"/>
        </w:tabs>
        <w:ind w:left="5040" w:hanging="360"/>
      </w:pPr>
      <w:rPr>
        <w:rFonts w:ascii="Symbol" w:hAnsi="Symbol"/>
      </w:rPr>
    </w:lvl>
    <w:lvl w:ilvl="7" w:tplc="9148EE90">
      <w:start w:val="1"/>
      <w:numFmt w:val="bullet"/>
      <w:lvlText w:val="o"/>
      <w:lvlJc w:val="left"/>
      <w:pPr>
        <w:tabs>
          <w:tab w:val="num" w:pos="5760"/>
        </w:tabs>
        <w:ind w:left="5760" w:hanging="360"/>
      </w:pPr>
      <w:rPr>
        <w:rFonts w:ascii="Courier New" w:hAnsi="Courier New"/>
      </w:rPr>
    </w:lvl>
    <w:lvl w:ilvl="8" w:tplc="AF26D346">
      <w:start w:val="1"/>
      <w:numFmt w:val="bullet"/>
      <w:lvlText w:val=""/>
      <w:lvlJc w:val="left"/>
      <w:pPr>
        <w:tabs>
          <w:tab w:val="num" w:pos="6480"/>
        </w:tabs>
        <w:ind w:left="6480" w:hanging="360"/>
      </w:pPr>
      <w:rPr>
        <w:rFonts w:ascii="Wingdings" w:hAnsi="Wingdings"/>
      </w:rPr>
    </w:lvl>
  </w:abstractNum>
  <w:abstractNum w:abstractNumId="1030" w15:restartNumberingAfterBreak="0">
    <w:nsid w:val="722308C8"/>
    <w:multiLevelType w:val="hybridMultilevel"/>
    <w:tmpl w:val="722308C8"/>
    <w:lvl w:ilvl="0" w:tplc="8B00FAB4">
      <w:start w:val="1"/>
      <w:numFmt w:val="bullet"/>
      <w:lvlText w:val=""/>
      <w:lvlJc w:val="left"/>
      <w:pPr>
        <w:ind w:left="720" w:hanging="360"/>
      </w:pPr>
      <w:rPr>
        <w:rFonts w:ascii="Symbol" w:hAnsi="Symbol"/>
      </w:rPr>
    </w:lvl>
    <w:lvl w:ilvl="1" w:tplc="7C60DB26">
      <w:start w:val="1"/>
      <w:numFmt w:val="bullet"/>
      <w:lvlText w:val="o"/>
      <w:lvlJc w:val="left"/>
      <w:pPr>
        <w:tabs>
          <w:tab w:val="num" w:pos="1440"/>
        </w:tabs>
        <w:ind w:left="1440" w:hanging="360"/>
      </w:pPr>
      <w:rPr>
        <w:rFonts w:ascii="Courier New" w:hAnsi="Courier New"/>
      </w:rPr>
    </w:lvl>
    <w:lvl w:ilvl="2" w:tplc="F0CA10B6">
      <w:start w:val="1"/>
      <w:numFmt w:val="bullet"/>
      <w:lvlText w:val=""/>
      <w:lvlJc w:val="left"/>
      <w:pPr>
        <w:tabs>
          <w:tab w:val="num" w:pos="2160"/>
        </w:tabs>
        <w:ind w:left="2160" w:hanging="360"/>
      </w:pPr>
      <w:rPr>
        <w:rFonts w:ascii="Wingdings" w:hAnsi="Wingdings"/>
      </w:rPr>
    </w:lvl>
    <w:lvl w:ilvl="3" w:tplc="5C3495D2">
      <w:start w:val="1"/>
      <w:numFmt w:val="bullet"/>
      <w:lvlText w:val=""/>
      <w:lvlJc w:val="left"/>
      <w:pPr>
        <w:tabs>
          <w:tab w:val="num" w:pos="2880"/>
        </w:tabs>
        <w:ind w:left="2880" w:hanging="360"/>
      </w:pPr>
      <w:rPr>
        <w:rFonts w:ascii="Symbol" w:hAnsi="Symbol"/>
      </w:rPr>
    </w:lvl>
    <w:lvl w:ilvl="4" w:tplc="0D60685E">
      <w:start w:val="1"/>
      <w:numFmt w:val="bullet"/>
      <w:lvlText w:val="o"/>
      <w:lvlJc w:val="left"/>
      <w:pPr>
        <w:tabs>
          <w:tab w:val="num" w:pos="3600"/>
        </w:tabs>
        <w:ind w:left="3600" w:hanging="360"/>
      </w:pPr>
      <w:rPr>
        <w:rFonts w:ascii="Courier New" w:hAnsi="Courier New"/>
      </w:rPr>
    </w:lvl>
    <w:lvl w:ilvl="5" w:tplc="78EC53C6">
      <w:start w:val="1"/>
      <w:numFmt w:val="bullet"/>
      <w:lvlText w:val=""/>
      <w:lvlJc w:val="left"/>
      <w:pPr>
        <w:tabs>
          <w:tab w:val="num" w:pos="4320"/>
        </w:tabs>
        <w:ind w:left="4320" w:hanging="360"/>
      </w:pPr>
      <w:rPr>
        <w:rFonts w:ascii="Wingdings" w:hAnsi="Wingdings"/>
      </w:rPr>
    </w:lvl>
    <w:lvl w:ilvl="6" w:tplc="325C77C6">
      <w:start w:val="1"/>
      <w:numFmt w:val="bullet"/>
      <w:lvlText w:val=""/>
      <w:lvlJc w:val="left"/>
      <w:pPr>
        <w:tabs>
          <w:tab w:val="num" w:pos="5040"/>
        </w:tabs>
        <w:ind w:left="5040" w:hanging="360"/>
      </w:pPr>
      <w:rPr>
        <w:rFonts w:ascii="Symbol" w:hAnsi="Symbol"/>
      </w:rPr>
    </w:lvl>
    <w:lvl w:ilvl="7" w:tplc="7072251E">
      <w:start w:val="1"/>
      <w:numFmt w:val="bullet"/>
      <w:lvlText w:val="o"/>
      <w:lvlJc w:val="left"/>
      <w:pPr>
        <w:tabs>
          <w:tab w:val="num" w:pos="5760"/>
        </w:tabs>
        <w:ind w:left="5760" w:hanging="360"/>
      </w:pPr>
      <w:rPr>
        <w:rFonts w:ascii="Courier New" w:hAnsi="Courier New"/>
      </w:rPr>
    </w:lvl>
    <w:lvl w:ilvl="8" w:tplc="5D9ED794">
      <w:start w:val="1"/>
      <w:numFmt w:val="bullet"/>
      <w:lvlText w:val=""/>
      <w:lvlJc w:val="left"/>
      <w:pPr>
        <w:tabs>
          <w:tab w:val="num" w:pos="6480"/>
        </w:tabs>
        <w:ind w:left="6480" w:hanging="360"/>
      </w:pPr>
      <w:rPr>
        <w:rFonts w:ascii="Wingdings" w:hAnsi="Wingdings"/>
      </w:rPr>
    </w:lvl>
  </w:abstractNum>
  <w:abstractNum w:abstractNumId="1031" w15:restartNumberingAfterBreak="0">
    <w:nsid w:val="722308C9"/>
    <w:multiLevelType w:val="hybridMultilevel"/>
    <w:tmpl w:val="722308C9"/>
    <w:lvl w:ilvl="0" w:tplc="BE5E9382">
      <w:start w:val="1"/>
      <w:numFmt w:val="bullet"/>
      <w:lvlText w:val=""/>
      <w:lvlJc w:val="left"/>
      <w:pPr>
        <w:ind w:left="720" w:hanging="360"/>
      </w:pPr>
      <w:rPr>
        <w:rFonts w:ascii="Symbol" w:hAnsi="Symbol"/>
      </w:rPr>
    </w:lvl>
    <w:lvl w:ilvl="1" w:tplc="7AC08A10">
      <w:start w:val="1"/>
      <w:numFmt w:val="bullet"/>
      <w:lvlText w:val="o"/>
      <w:lvlJc w:val="left"/>
      <w:pPr>
        <w:tabs>
          <w:tab w:val="num" w:pos="1440"/>
        </w:tabs>
        <w:ind w:left="1440" w:hanging="360"/>
      </w:pPr>
      <w:rPr>
        <w:rFonts w:ascii="Courier New" w:hAnsi="Courier New"/>
      </w:rPr>
    </w:lvl>
    <w:lvl w:ilvl="2" w:tplc="0472CB6C">
      <w:start w:val="1"/>
      <w:numFmt w:val="bullet"/>
      <w:lvlText w:val=""/>
      <w:lvlJc w:val="left"/>
      <w:pPr>
        <w:tabs>
          <w:tab w:val="num" w:pos="2160"/>
        </w:tabs>
        <w:ind w:left="2160" w:hanging="360"/>
      </w:pPr>
      <w:rPr>
        <w:rFonts w:ascii="Wingdings" w:hAnsi="Wingdings"/>
      </w:rPr>
    </w:lvl>
    <w:lvl w:ilvl="3" w:tplc="9BF44614">
      <w:start w:val="1"/>
      <w:numFmt w:val="bullet"/>
      <w:lvlText w:val=""/>
      <w:lvlJc w:val="left"/>
      <w:pPr>
        <w:tabs>
          <w:tab w:val="num" w:pos="2880"/>
        </w:tabs>
        <w:ind w:left="2880" w:hanging="360"/>
      </w:pPr>
      <w:rPr>
        <w:rFonts w:ascii="Symbol" w:hAnsi="Symbol"/>
      </w:rPr>
    </w:lvl>
    <w:lvl w:ilvl="4" w:tplc="FBAA49C2">
      <w:start w:val="1"/>
      <w:numFmt w:val="bullet"/>
      <w:lvlText w:val="o"/>
      <w:lvlJc w:val="left"/>
      <w:pPr>
        <w:tabs>
          <w:tab w:val="num" w:pos="3600"/>
        </w:tabs>
        <w:ind w:left="3600" w:hanging="360"/>
      </w:pPr>
      <w:rPr>
        <w:rFonts w:ascii="Courier New" w:hAnsi="Courier New"/>
      </w:rPr>
    </w:lvl>
    <w:lvl w:ilvl="5" w:tplc="24928076">
      <w:start w:val="1"/>
      <w:numFmt w:val="bullet"/>
      <w:lvlText w:val=""/>
      <w:lvlJc w:val="left"/>
      <w:pPr>
        <w:tabs>
          <w:tab w:val="num" w:pos="4320"/>
        </w:tabs>
        <w:ind w:left="4320" w:hanging="360"/>
      </w:pPr>
      <w:rPr>
        <w:rFonts w:ascii="Wingdings" w:hAnsi="Wingdings"/>
      </w:rPr>
    </w:lvl>
    <w:lvl w:ilvl="6" w:tplc="D6EE2AE6">
      <w:start w:val="1"/>
      <w:numFmt w:val="bullet"/>
      <w:lvlText w:val=""/>
      <w:lvlJc w:val="left"/>
      <w:pPr>
        <w:tabs>
          <w:tab w:val="num" w:pos="5040"/>
        </w:tabs>
        <w:ind w:left="5040" w:hanging="360"/>
      </w:pPr>
      <w:rPr>
        <w:rFonts w:ascii="Symbol" w:hAnsi="Symbol"/>
      </w:rPr>
    </w:lvl>
    <w:lvl w:ilvl="7" w:tplc="31CEF102">
      <w:start w:val="1"/>
      <w:numFmt w:val="bullet"/>
      <w:lvlText w:val="o"/>
      <w:lvlJc w:val="left"/>
      <w:pPr>
        <w:tabs>
          <w:tab w:val="num" w:pos="5760"/>
        </w:tabs>
        <w:ind w:left="5760" w:hanging="360"/>
      </w:pPr>
      <w:rPr>
        <w:rFonts w:ascii="Courier New" w:hAnsi="Courier New"/>
      </w:rPr>
    </w:lvl>
    <w:lvl w:ilvl="8" w:tplc="715E872C">
      <w:start w:val="1"/>
      <w:numFmt w:val="bullet"/>
      <w:lvlText w:val=""/>
      <w:lvlJc w:val="left"/>
      <w:pPr>
        <w:tabs>
          <w:tab w:val="num" w:pos="6480"/>
        </w:tabs>
        <w:ind w:left="6480" w:hanging="360"/>
      </w:pPr>
      <w:rPr>
        <w:rFonts w:ascii="Wingdings" w:hAnsi="Wingdings"/>
      </w:rPr>
    </w:lvl>
  </w:abstractNum>
  <w:abstractNum w:abstractNumId="1032" w15:restartNumberingAfterBreak="0">
    <w:nsid w:val="722308CA"/>
    <w:multiLevelType w:val="hybridMultilevel"/>
    <w:tmpl w:val="722308CA"/>
    <w:lvl w:ilvl="0" w:tplc="E65C1E1E">
      <w:start w:val="1"/>
      <w:numFmt w:val="bullet"/>
      <w:lvlText w:val=""/>
      <w:lvlJc w:val="left"/>
      <w:pPr>
        <w:ind w:left="720" w:hanging="360"/>
      </w:pPr>
      <w:rPr>
        <w:rFonts w:ascii="Symbol" w:hAnsi="Symbol"/>
      </w:rPr>
    </w:lvl>
    <w:lvl w:ilvl="1" w:tplc="BD9C81FE">
      <w:start w:val="1"/>
      <w:numFmt w:val="bullet"/>
      <w:lvlText w:val="o"/>
      <w:lvlJc w:val="left"/>
      <w:pPr>
        <w:tabs>
          <w:tab w:val="num" w:pos="1440"/>
        </w:tabs>
        <w:ind w:left="1440" w:hanging="360"/>
      </w:pPr>
      <w:rPr>
        <w:rFonts w:ascii="Courier New" w:hAnsi="Courier New"/>
      </w:rPr>
    </w:lvl>
    <w:lvl w:ilvl="2" w:tplc="80802652">
      <w:start w:val="1"/>
      <w:numFmt w:val="bullet"/>
      <w:lvlText w:val=""/>
      <w:lvlJc w:val="left"/>
      <w:pPr>
        <w:tabs>
          <w:tab w:val="num" w:pos="2160"/>
        </w:tabs>
        <w:ind w:left="2160" w:hanging="360"/>
      </w:pPr>
      <w:rPr>
        <w:rFonts w:ascii="Wingdings" w:hAnsi="Wingdings"/>
      </w:rPr>
    </w:lvl>
    <w:lvl w:ilvl="3" w:tplc="62A0FFD4">
      <w:start w:val="1"/>
      <w:numFmt w:val="bullet"/>
      <w:lvlText w:val=""/>
      <w:lvlJc w:val="left"/>
      <w:pPr>
        <w:tabs>
          <w:tab w:val="num" w:pos="2880"/>
        </w:tabs>
        <w:ind w:left="2880" w:hanging="360"/>
      </w:pPr>
      <w:rPr>
        <w:rFonts w:ascii="Symbol" w:hAnsi="Symbol"/>
      </w:rPr>
    </w:lvl>
    <w:lvl w:ilvl="4" w:tplc="06DED50E">
      <w:start w:val="1"/>
      <w:numFmt w:val="bullet"/>
      <w:lvlText w:val="o"/>
      <w:lvlJc w:val="left"/>
      <w:pPr>
        <w:tabs>
          <w:tab w:val="num" w:pos="3600"/>
        </w:tabs>
        <w:ind w:left="3600" w:hanging="360"/>
      </w:pPr>
      <w:rPr>
        <w:rFonts w:ascii="Courier New" w:hAnsi="Courier New"/>
      </w:rPr>
    </w:lvl>
    <w:lvl w:ilvl="5" w:tplc="FAB0F376">
      <w:start w:val="1"/>
      <w:numFmt w:val="bullet"/>
      <w:lvlText w:val=""/>
      <w:lvlJc w:val="left"/>
      <w:pPr>
        <w:tabs>
          <w:tab w:val="num" w:pos="4320"/>
        </w:tabs>
        <w:ind w:left="4320" w:hanging="360"/>
      </w:pPr>
      <w:rPr>
        <w:rFonts w:ascii="Wingdings" w:hAnsi="Wingdings"/>
      </w:rPr>
    </w:lvl>
    <w:lvl w:ilvl="6" w:tplc="797600E6">
      <w:start w:val="1"/>
      <w:numFmt w:val="bullet"/>
      <w:lvlText w:val=""/>
      <w:lvlJc w:val="left"/>
      <w:pPr>
        <w:tabs>
          <w:tab w:val="num" w:pos="5040"/>
        </w:tabs>
        <w:ind w:left="5040" w:hanging="360"/>
      </w:pPr>
      <w:rPr>
        <w:rFonts w:ascii="Symbol" w:hAnsi="Symbol"/>
      </w:rPr>
    </w:lvl>
    <w:lvl w:ilvl="7" w:tplc="EE140D7C">
      <w:start w:val="1"/>
      <w:numFmt w:val="bullet"/>
      <w:lvlText w:val="o"/>
      <w:lvlJc w:val="left"/>
      <w:pPr>
        <w:tabs>
          <w:tab w:val="num" w:pos="5760"/>
        </w:tabs>
        <w:ind w:left="5760" w:hanging="360"/>
      </w:pPr>
      <w:rPr>
        <w:rFonts w:ascii="Courier New" w:hAnsi="Courier New"/>
      </w:rPr>
    </w:lvl>
    <w:lvl w:ilvl="8" w:tplc="95462114">
      <w:start w:val="1"/>
      <w:numFmt w:val="bullet"/>
      <w:lvlText w:val=""/>
      <w:lvlJc w:val="left"/>
      <w:pPr>
        <w:tabs>
          <w:tab w:val="num" w:pos="6480"/>
        </w:tabs>
        <w:ind w:left="6480" w:hanging="360"/>
      </w:pPr>
      <w:rPr>
        <w:rFonts w:ascii="Wingdings" w:hAnsi="Wingdings"/>
      </w:rPr>
    </w:lvl>
  </w:abstractNum>
  <w:abstractNum w:abstractNumId="1033" w15:restartNumberingAfterBreak="0">
    <w:nsid w:val="722308CB"/>
    <w:multiLevelType w:val="hybridMultilevel"/>
    <w:tmpl w:val="722308CB"/>
    <w:lvl w:ilvl="0" w:tplc="12B87044">
      <w:start w:val="1"/>
      <w:numFmt w:val="bullet"/>
      <w:lvlText w:val=""/>
      <w:lvlJc w:val="left"/>
      <w:pPr>
        <w:ind w:left="720" w:hanging="360"/>
      </w:pPr>
      <w:rPr>
        <w:rFonts w:ascii="Symbol" w:hAnsi="Symbol"/>
      </w:rPr>
    </w:lvl>
    <w:lvl w:ilvl="1" w:tplc="80C23758">
      <w:start w:val="1"/>
      <w:numFmt w:val="bullet"/>
      <w:lvlText w:val="o"/>
      <w:lvlJc w:val="left"/>
      <w:pPr>
        <w:tabs>
          <w:tab w:val="num" w:pos="1440"/>
        </w:tabs>
        <w:ind w:left="1440" w:hanging="360"/>
      </w:pPr>
      <w:rPr>
        <w:rFonts w:ascii="Courier New" w:hAnsi="Courier New"/>
      </w:rPr>
    </w:lvl>
    <w:lvl w:ilvl="2" w:tplc="BB065C0A">
      <w:start w:val="1"/>
      <w:numFmt w:val="bullet"/>
      <w:lvlText w:val=""/>
      <w:lvlJc w:val="left"/>
      <w:pPr>
        <w:tabs>
          <w:tab w:val="num" w:pos="2160"/>
        </w:tabs>
        <w:ind w:left="2160" w:hanging="360"/>
      </w:pPr>
      <w:rPr>
        <w:rFonts w:ascii="Wingdings" w:hAnsi="Wingdings"/>
      </w:rPr>
    </w:lvl>
    <w:lvl w:ilvl="3" w:tplc="4330EE3A">
      <w:start w:val="1"/>
      <w:numFmt w:val="bullet"/>
      <w:lvlText w:val=""/>
      <w:lvlJc w:val="left"/>
      <w:pPr>
        <w:tabs>
          <w:tab w:val="num" w:pos="2880"/>
        </w:tabs>
        <w:ind w:left="2880" w:hanging="360"/>
      </w:pPr>
      <w:rPr>
        <w:rFonts w:ascii="Symbol" w:hAnsi="Symbol"/>
      </w:rPr>
    </w:lvl>
    <w:lvl w:ilvl="4" w:tplc="C30E70A4">
      <w:start w:val="1"/>
      <w:numFmt w:val="bullet"/>
      <w:lvlText w:val="o"/>
      <w:lvlJc w:val="left"/>
      <w:pPr>
        <w:tabs>
          <w:tab w:val="num" w:pos="3600"/>
        </w:tabs>
        <w:ind w:left="3600" w:hanging="360"/>
      </w:pPr>
      <w:rPr>
        <w:rFonts w:ascii="Courier New" w:hAnsi="Courier New"/>
      </w:rPr>
    </w:lvl>
    <w:lvl w:ilvl="5" w:tplc="9EC2EB70">
      <w:start w:val="1"/>
      <w:numFmt w:val="bullet"/>
      <w:lvlText w:val=""/>
      <w:lvlJc w:val="left"/>
      <w:pPr>
        <w:tabs>
          <w:tab w:val="num" w:pos="4320"/>
        </w:tabs>
        <w:ind w:left="4320" w:hanging="360"/>
      </w:pPr>
      <w:rPr>
        <w:rFonts w:ascii="Wingdings" w:hAnsi="Wingdings"/>
      </w:rPr>
    </w:lvl>
    <w:lvl w:ilvl="6" w:tplc="ADF4DD92">
      <w:start w:val="1"/>
      <w:numFmt w:val="bullet"/>
      <w:lvlText w:val=""/>
      <w:lvlJc w:val="left"/>
      <w:pPr>
        <w:tabs>
          <w:tab w:val="num" w:pos="5040"/>
        </w:tabs>
        <w:ind w:left="5040" w:hanging="360"/>
      </w:pPr>
      <w:rPr>
        <w:rFonts w:ascii="Symbol" w:hAnsi="Symbol"/>
      </w:rPr>
    </w:lvl>
    <w:lvl w:ilvl="7" w:tplc="A5EAAC6E">
      <w:start w:val="1"/>
      <w:numFmt w:val="bullet"/>
      <w:lvlText w:val="o"/>
      <w:lvlJc w:val="left"/>
      <w:pPr>
        <w:tabs>
          <w:tab w:val="num" w:pos="5760"/>
        </w:tabs>
        <w:ind w:left="5760" w:hanging="360"/>
      </w:pPr>
      <w:rPr>
        <w:rFonts w:ascii="Courier New" w:hAnsi="Courier New"/>
      </w:rPr>
    </w:lvl>
    <w:lvl w:ilvl="8" w:tplc="682E0632">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19"/>
  </w:num>
  <w:num w:numId="7">
    <w:abstractNumId w:val="20"/>
  </w:num>
  <w:num w:numId="8">
    <w:abstractNumId w:val="7"/>
  </w:num>
  <w:num w:numId="9">
    <w:abstractNumId w:val="18"/>
  </w:num>
  <w:num w:numId="10">
    <w:abstractNumId w:val="17"/>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1"/>
  </w:num>
  <w:num w:numId="18">
    <w:abstractNumId w:val="16"/>
  </w:num>
  <w:num w:numId="19">
    <w:abstractNumId w:val="14"/>
  </w:num>
  <w:num w:numId="20">
    <w:abstractNumId w:val="22"/>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 w:numId="93">
    <w:abstractNumId w:val="95"/>
  </w:num>
  <w:num w:numId="94">
    <w:abstractNumId w:val="96"/>
  </w:num>
  <w:num w:numId="95">
    <w:abstractNumId w:val="97"/>
  </w:num>
  <w:num w:numId="96">
    <w:abstractNumId w:val="98"/>
  </w:num>
  <w:num w:numId="97">
    <w:abstractNumId w:val="99"/>
  </w:num>
  <w:num w:numId="98">
    <w:abstractNumId w:val="100"/>
  </w:num>
  <w:num w:numId="99">
    <w:abstractNumId w:val="101"/>
  </w:num>
  <w:num w:numId="100">
    <w:abstractNumId w:val="102"/>
  </w:num>
  <w:num w:numId="101">
    <w:abstractNumId w:val="103"/>
  </w:num>
  <w:num w:numId="102">
    <w:abstractNumId w:val="104"/>
  </w:num>
  <w:num w:numId="103">
    <w:abstractNumId w:val="105"/>
  </w:num>
  <w:num w:numId="104">
    <w:abstractNumId w:val="106"/>
  </w:num>
  <w:num w:numId="105">
    <w:abstractNumId w:val="107"/>
  </w:num>
  <w:num w:numId="106">
    <w:abstractNumId w:val="108"/>
  </w:num>
  <w:num w:numId="107">
    <w:abstractNumId w:val="109"/>
  </w:num>
  <w:num w:numId="108">
    <w:abstractNumId w:val="110"/>
  </w:num>
  <w:num w:numId="109">
    <w:abstractNumId w:val="111"/>
  </w:num>
  <w:num w:numId="110">
    <w:abstractNumId w:val="112"/>
  </w:num>
  <w:num w:numId="111">
    <w:abstractNumId w:val="113"/>
  </w:num>
  <w:num w:numId="112">
    <w:abstractNumId w:val="114"/>
  </w:num>
  <w:num w:numId="113">
    <w:abstractNumId w:val="115"/>
  </w:num>
  <w:num w:numId="114">
    <w:abstractNumId w:val="116"/>
  </w:num>
  <w:num w:numId="115">
    <w:abstractNumId w:val="117"/>
  </w:num>
  <w:num w:numId="116">
    <w:abstractNumId w:val="118"/>
  </w:num>
  <w:num w:numId="117">
    <w:abstractNumId w:val="119"/>
  </w:num>
  <w:num w:numId="118">
    <w:abstractNumId w:val="120"/>
  </w:num>
  <w:num w:numId="119">
    <w:abstractNumId w:val="121"/>
  </w:num>
  <w:num w:numId="120">
    <w:abstractNumId w:val="122"/>
  </w:num>
  <w:num w:numId="121">
    <w:abstractNumId w:val="123"/>
  </w:num>
  <w:num w:numId="122">
    <w:abstractNumId w:val="124"/>
  </w:num>
  <w:num w:numId="123">
    <w:abstractNumId w:val="125"/>
  </w:num>
  <w:num w:numId="124">
    <w:abstractNumId w:val="126"/>
  </w:num>
  <w:num w:numId="125">
    <w:abstractNumId w:val="127"/>
  </w:num>
  <w:num w:numId="126">
    <w:abstractNumId w:val="128"/>
  </w:num>
  <w:num w:numId="127">
    <w:abstractNumId w:val="129"/>
  </w:num>
  <w:num w:numId="128">
    <w:abstractNumId w:val="130"/>
  </w:num>
  <w:num w:numId="129">
    <w:abstractNumId w:val="131"/>
  </w:num>
  <w:num w:numId="130">
    <w:abstractNumId w:val="132"/>
  </w:num>
  <w:num w:numId="131">
    <w:abstractNumId w:val="133"/>
  </w:num>
  <w:num w:numId="132">
    <w:abstractNumId w:val="134"/>
  </w:num>
  <w:num w:numId="133">
    <w:abstractNumId w:val="135"/>
  </w:num>
  <w:num w:numId="134">
    <w:abstractNumId w:val="136"/>
  </w:num>
  <w:num w:numId="135">
    <w:abstractNumId w:val="137"/>
  </w:num>
  <w:num w:numId="136">
    <w:abstractNumId w:val="138"/>
  </w:num>
  <w:num w:numId="137">
    <w:abstractNumId w:val="139"/>
  </w:num>
  <w:num w:numId="138">
    <w:abstractNumId w:val="140"/>
  </w:num>
  <w:num w:numId="139">
    <w:abstractNumId w:val="141"/>
  </w:num>
  <w:num w:numId="140">
    <w:abstractNumId w:val="142"/>
  </w:num>
  <w:num w:numId="141">
    <w:abstractNumId w:val="143"/>
  </w:num>
  <w:num w:numId="142">
    <w:abstractNumId w:val="144"/>
  </w:num>
  <w:num w:numId="143">
    <w:abstractNumId w:val="145"/>
  </w:num>
  <w:num w:numId="144">
    <w:abstractNumId w:val="146"/>
  </w:num>
  <w:num w:numId="145">
    <w:abstractNumId w:val="147"/>
  </w:num>
  <w:num w:numId="146">
    <w:abstractNumId w:val="148"/>
  </w:num>
  <w:num w:numId="147">
    <w:abstractNumId w:val="149"/>
  </w:num>
  <w:num w:numId="148">
    <w:abstractNumId w:val="150"/>
  </w:num>
  <w:num w:numId="149">
    <w:abstractNumId w:val="151"/>
  </w:num>
  <w:num w:numId="150">
    <w:abstractNumId w:val="152"/>
  </w:num>
  <w:num w:numId="151">
    <w:abstractNumId w:val="153"/>
  </w:num>
  <w:num w:numId="152">
    <w:abstractNumId w:val="154"/>
  </w:num>
  <w:num w:numId="153">
    <w:abstractNumId w:val="155"/>
  </w:num>
  <w:num w:numId="154">
    <w:abstractNumId w:val="156"/>
  </w:num>
  <w:num w:numId="155">
    <w:abstractNumId w:val="157"/>
  </w:num>
  <w:num w:numId="156">
    <w:abstractNumId w:val="158"/>
  </w:num>
  <w:num w:numId="157">
    <w:abstractNumId w:val="159"/>
  </w:num>
  <w:num w:numId="158">
    <w:abstractNumId w:val="160"/>
  </w:num>
  <w:num w:numId="159">
    <w:abstractNumId w:val="161"/>
  </w:num>
  <w:num w:numId="160">
    <w:abstractNumId w:val="162"/>
  </w:num>
  <w:num w:numId="161">
    <w:abstractNumId w:val="163"/>
  </w:num>
  <w:num w:numId="162">
    <w:abstractNumId w:val="164"/>
  </w:num>
  <w:num w:numId="163">
    <w:abstractNumId w:val="165"/>
  </w:num>
  <w:num w:numId="164">
    <w:abstractNumId w:val="166"/>
  </w:num>
  <w:num w:numId="165">
    <w:abstractNumId w:val="167"/>
  </w:num>
  <w:num w:numId="166">
    <w:abstractNumId w:val="168"/>
  </w:num>
  <w:num w:numId="167">
    <w:abstractNumId w:val="169"/>
  </w:num>
  <w:num w:numId="168">
    <w:abstractNumId w:val="170"/>
  </w:num>
  <w:num w:numId="169">
    <w:abstractNumId w:val="171"/>
  </w:num>
  <w:num w:numId="170">
    <w:abstractNumId w:val="172"/>
  </w:num>
  <w:num w:numId="171">
    <w:abstractNumId w:val="173"/>
  </w:num>
  <w:num w:numId="172">
    <w:abstractNumId w:val="174"/>
  </w:num>
  <w:num w:numId="173">
    <w:abstractNumId w:val="175"/>
  </w:num>
  <w:num w:numId="174">
    <w:abstractNumId w:val="176"/>
  </w:num>
  <w:num w:numId="175">
    <w:abstractNumId w:val="177"/>
  </w:num>
  <w:num w:numId="176">
    <w:abstractNumId w:val="178"/>
  </w:num>
  <w:num w:numId="177">
    <w:abstractNumId w:val="179"/>
  </w:num>
  <w:num w:numId="178">
    <w:abstractNumId w:val="180"/>
  </w:num>
  <w:num w:numId="179">
    <w:abstractNumId w:val="181"/>
  </w:num>
  <w:num w:numId="180">
    <w:abstractNumId w:val="182"/>
  </w:num>
  <w:num w:numId="181">
    <w:abstractNumId w:val="183"/>
  </w:num>
  <w:num w:numId="182">
    <w:abstractNumId w:val="184"/>
  </w:num>
  <w:num w:numId="183">
    <w:abstractNumId w:val="185"/>
  </w:num>
  <w:num w:numId="184">
    <w:abstractNumId w:val="186"/>
  </w:num>
  <w:num w:numId="185">
    <w:abstractNumId w:val="187"/>
  </w:num>
  <w:num w:numId="186">
    <w:abstractNumId w:val="188"/>
  </w:num>
  <w:num w:numId="187">
    <w:abstractNumId w:val="189"/>
  </w:num>
  <w:num w:numId="188">
    <w:abstractNumId w:val="190"/>
  </w:num>
  <w:num w:numId="189">
    <w:abstractNumId w:val="191"/>
  </w:num>
  <w:num w:numId="190">
    <w:abstractNumId w:val="192"/>
  </w:num>
  <w:num w:numId="191">
    <w:abstractNumId w:val="193"/>
  </w:num>
  <w:num w:numId="192">
    <w:abstractNumId w:val="194"/>
  </w:num>
  <w:num w:numId="193">
    <w:abstractNumId w:val="195"/>
  </w:num>
  <w:num w:numId="194">
    <w:abstractNumId w:val="196"/>
  </w:num>
  <w:num w:numId="195">
    <w:abstractNumId w:val="197"/>
  </w:num>
  <w:num w:numId="196">
    <w:abstractNumId w:val="198"/>
  </w:num>
  <w:num w:numId="197">
    <w:abstractNumId w:val="199"/>
  </w:num>
  <w:num w:numId="198">
    <w:abstractNumId w:val="200"/>
  </w:num>
  <w:num w:numId="199">
    <w:abstractNumId w:val="201"/>
  </w:num>
  <w:num w:numId="200">
    <w:abstractNumId w:val="202"/>
  </w:num>
  <w:num w:numId="201">
    <w:abstractNumId w:val="203"/>
  </w:num>
  <w:num w:numId="202">
    <w:abstractNumId w:val="204"/>
  </w:num>
  <w:num w:numId="203">
    <w:abstractNumId w:val="205"/>
  </w:num>
  <w:num w:numId="204">
    <w:abstractNumId w:val="206"/>
  </w:num>
  <w:num w:numId="205">
    <w:abstractNumId w:val="207"/>
  </w:num>
  <w:num w:numId="206">
    <w:abstractNumId w:val="208"/>
  </w:num>
  <w:num w:numId="207">
    <w:abstractNumId w:val="209"/>
  </w:num>
  <w:num w:numId="208">
    <w:abstractNumId w:val="210"/>
  </w:num>
  <w:num w:numId="209">
    <w:abstractNumId w:val="211"/>
  </w:num>
  <w:num w:numId="210">
    <w:abstractNumId w:val="212"/>
  </w:num>
  <w:num w:numId="211">
    <w:abstractNumId w:val="213"/>
  </w:num>
  <w:num w:numId="212">
    <w:abstractNumId w:val="214"/>
  </w:num>
  <w:num w:numId="213">
    <w:abstractNumId w:val="215"/>
  </w:num>
  <w:num w:numId="214">
    <w:abstractNumId w:val="216"/>
  </w:num>
  <w:num w:numId="215">
    <w:abstractNumId w:val="217"/>
  </w:num>
  <w:num w:numId="216">
    <w:abstractNumId w:val="218"/>
  </w:num>
  <w:num w:numId="217">
    <w:abstractNumId w:val="219"/>
  </w:num>
  <w:num w:numId="218">
    <w:abstractNumId w:val="220"/>
  </w:num>
  <w:num w:numId="219">
    <w:abstractNumId w:val="221"/>
  </w:num>
  <w:num w:numId="220">
    <w:abstractNumId w:val="222"/>
  </w:num>
  <w:num w:numId="221">
    <w:abstractNumId w:val="223"/>
  </w:num>
  <w:num w:numId="222">
    <w:abstractNumId w:val="224"/>
  </w:num>
  <w:num w:numId="223">
    <w:abstractNumId w:val="225"/>
  </w:num>
  <w:num w:numId="224">
    <w:abstractNumId w:val="226"/>
  </w:num>
  <w:num w:numId="225">
    <w:abstractNumId w:val="227"/>
  </w:num>
  <w:num w:numId="226">
    <w:abstractNumId w:val="228"/>
  </w:num>
  <w:num w:numId="227">
    <w:abstractNumId w:val="229"/>
  </w:num>
  <w:num w:numId="228">
    <w:abstractNumId w:val="230"/>
  </w:num>
  <w:num w:numId="229">
    <w:abstractNumId w:val="231"/>
  </w:num>
  <w:num w:numId="230">
    <w:abstractNumId w:val="232"/>
  </w:num>
  <w:num w:numId="231">
    <w:abstractNumId w:val="233"/>
  </w:num>
  <w:num w:numId="232">
    <w:abstractNumId w:val="234"/>
  </w:num>
  <w:num w:numId="233">
    <w:abstractNumId w:val="235"/>
  </w:num>
  <w:num w:numId="234">
    <w:abstractNumId w:val="236"/>
  </w:num>
  <w:num w:numId="235">
    <w:abstractNumId w:val="237"/>
  </w:num>
  <w:num w:numId="236">
    <w:abstractNumId w:val="238"/>
  </w:num>
  <w:num w:numId="237">
    <w:abstractNumId w:val="239"/>
  </w:num>
  <w:num w:numId="238">
    <w:abstractNumId w:val="240"/>
  </w:num>
  <w:num w:numId="239">
    <w:abstractNumId w:val="241"/>
  </w:num>
  <w:num w:numId="240">
    <w:abstractNumId w:val="242"/>
  </w:num>
  <w:num w:numId="241">
    <w:abstractNumId w:val="243"/>
  </w:num>
  <w:num w:numId="242">
    <w:abstractNumId w:val="244"/>
  </w:num>
  <w:num w:numId="243">
    <w:abstractNumId w:val="245"/>
  </w:num>
  <w:num w:numId="244">
    <w:abstractNumId w:val="246"/>
  </w:num>
  <w:num w:numId="245">
    <w:abstractNumId w:val="247"/>
  </w:num>
  <w:num w:numId="246">
    <w:abstractNumId w:val="248"/>
  </w:num>
  <w:num w:numId="247">
    <w:abstractNumId w:val="249"/>
  </w:num>
  <w:num w:numId="248">
    <w:abstractNumId w:val="250"/>
  </w:num>
  <w:num w:numId="249">
    <w:abstractNumId w:val="251"/>
  </w:num>
  <w:num w:numId="250">
    <w:abstractNumId w:val="252"/>
  </w:num>
  <w:num w:numId="251">
    <w:abstractNumId w:val="253"/>
  </w:num>
  <w:num w:numId="252">
    <w:abstractNumId w:val="254"/>
  </w:num>
  <w:num w:numId="253">
    <w:abstractNumId w:val="255"/>
  </w:num>
  <w:num w:numId="254">
    <w:abstractNumId w:val="256"/>
  </w:num>
  <w:num w:numId="255">
    <w:abstractNumId w:val="257"/>
  </w:num>
  <w:num w:numId="256">
    <w:abstractNumId w:val="258"/>
  </w:num>
  <w:num w:numId="257">
    <w:abstractNumId w:val="259"/>
  </w:num>
  <w:num w:numId="258">
    <w:abstractNumId w:val="260"/>
  </w:num>
  <w:num w:numId="259">
    <w:abstractNumId w:val="261"/>
  </w:num>
  <w:num w:numId="260">
    <w:abstractNumId w:val="262"/>
  </w:num>
  <w:num w:numId="261">
    <w:abstractNumId w:val="263"/>
  </w:num>
  <w:num w:numId="262">
    <w:abstractNumId w:val="264"/>
  </w:num>
  <w:num w:numId="263">
    <w:abstractNumId w:val="265"/>
  </w:num>
  <w:num w:numId="264">
    <w:abstractNumId w:val="266"/>
  </w:num>
  <w:num w:numId="265">
    <w:abstractNumId w:val="267"/>
  </w:num>
  <w:num w:numId="266">
    <w:abstractNumId w:val="268"/>
  </w:num>
  <w:num w:numId="267">
    <w:abstractNumId w:val="269"/>
  </w:num>
  <w:num w:numId="268">
    <w:abstractNumId w:val="270"/>
  </w:num>
  <w:num w:numId="269">
    <w:abstractNumId w:val="271"/>
  </w:num>
  <w:num w:numId="270">
    <w:abstractNumId w:val="272"/>
  </w:num>
  <w:num w:numId="271">
    <w:abstractNumId w:val="273"/>
  </w:num>
  <w:num w:numId="272">
    <w:abstractNumId w:val="274"/>
  </w:num>
  <w:num w:numId="273">
    <w:abstractNumId w:val="275"/>
  </w:num>
  <w:num w:numId="274">
    <w:abstractNumId w:val="276"/>
  </w:num>
  <w:num w:numId="275">
    <w:abstractNumId w:val="277"/>
  </w:num>
  <w:num w:numId="276">
    <w:abstractNumId w:val="278"/>
  </w:num>
  <w:num w:numId="277">
    <w:abstractNumId w:val="279"/>
  </w:num>
  <w:num w:numId="278">
    <w:abstractNumId w:val="280"/>
  </w:num>
  <w:num w:numId="279">
    <w:abstractNumId w:val="281"/>
  </w:num>
  <w:num w:numId="280">
    <w:abstractNumId w:val="282"/>
  </w:num>
  <w:num w:numId="281">
    <w:abstractNumId w:val="283"/>
  </w:num>
  <w:num w:numId="282">
    <w:abstractNumId w:val="284"/>
  </w:num>
  <w:num w:numId="283">
    <w:abstractNumId w:val="285"/>
  </w:num>
  <w:num w:numId="284">
    <w:abstractNumId w:val="286"/>
  </w:num>
  <w:num w:numId="285">
    <w:abstractNumId w:val="287"/>
  </w:num>
  <w:num w:numId="286">
    <w:abstractNumId w:val="288"/>
  </w:num>
  <w:num w:numId="287">
    <w:abstractNumId w:val="289"/>
  </w:num>
  <w:num w:numId="288">
    <w:abstractNumId w:val="290"/>
  </w:num>
  <w:num w:numId="289">
    <w:abstractNumId w:val="291"/>
  </w:num>
  <w:num w:numId="290">
    <w:abstractNumId w:val="292"/>
  </w:num>
  <w:num w:numId="291">
    <w:abstractNumId w:val="293"/>
  </w:num>
  <w:num w:numId="292">
    <w:abstractNumId w:val="294"/>
  </w:num>
  <w:num w:numId="293">
    <w:abstractNumId w:val="295"/>
  </w:num>
  <w:num w:numId="294">
    <w:abstractNumId w:val="296"/>
  </w:num>
  <w:num w:numId="295">
    <w:abstractNumId w:val="297"/>
  </w:num>
  <w:num w:numId="296">
    <w:abstractNumId w:val="298"/>
  </w:num>
  <w:num w:numId="297">
    <w:abstractNumId w:val="299"/>
  </w:num>
  <w:num w:numId="298">
    <w:abstractNumId w:val="300"/>
  </w:num>
  <w:num w:numId="299">
    <w:abstractNumId w:val="301"/>
  </w:num>
  <w:num w:numId="300">
    <w:abstractNumId w:val="302"/>
  </w:num>
  <w:num w:numId="301">
    <w:abstractNumId w:val="303"/>
  </w:num>
  <w:num w:numId="302">
    <w:abstractNumId w:val="304"/>
  </w:num>
  <w:num w:numId="303">
    <w:abstractNumId w:val="305"/>
  </w:num>
  <w:num w:numId="304">
    <w:abstractNumId w:val="306"/>
  </w:num>
  <w:num w:numId="305">
    <w:abstractNumId w:val="307"/>
  </w:num>
  <w:num w:numId="306">
    <w:abstractNumId w:val="308"/>
  </w:num>
  <w:num w:numId="307">
    <w:abstractNumId w:val="309"/>
  </w:num>
  <w:num w:numId="308">
    <w:abstractNumId w:val="310"/>
  </w:num>
  <w:num w:numId="309">
    <w:abstractNumId w:val="311"/>
  </w:num>
  <w:num w:numId="310">
    <w:abstractNumId w:val="312"/>
  </w:num>
  <w:num w:numId="311">
    <w:abstractNumId w:val="313"/>
  </w:num>
  <w:num w:numId="312">
    <w:abstractNumId w:val="314"/>
  </w:num>
  <w:num w:numId="313">
    <w:abstractNumId w:val="315"/>
  </w:num>
  <w:num w:numId="314">
    <w:abstractNumId w:val="316"/>
  </w:num>
  <w:num w:numId="315">
    <w:abstractNumId w:val="317"/>
  </w:num>
  <w:num w:numId="316">
    <w:abstractNumId w:val="318"/>
  </w:num>
  <w:num w:numId="317">
    <w:abstractNumId w:val="319"/>
  </w:num>
  <w:num w:numId="318">
    <w:abstractNumId w:val="320"/>
  </w:num>
  <w:num w:numId="319">
    <w:abstractNumId w:val="321"/>
  </w:num>
  <w:num w:numId="320">
    <w:abstractNumId w:val="322"/>
  </w:num>
  <w:num w:numId="321">
    <w:abstractNumId w:val="323"/>
  </w:num>
  <w:num w:numId="322">
    <w:abstractNumId w:val="324"/>
  </w:num>
  <w:num w:numId="323">
    <w:abstractNumId w:val="325"/>
  </w:num>
  <w:num w:numId="324">
    <w:abstractNumId w:val="326"/>
  </w:num>
  <w:num w:numId="325">
    <w:abstractNumId w:val="327"/>
  </w:num>
  <w:num w:numId="326">
    <w:abstractNumId w:val="328"/>
  </w:num>
  <w:num w:numId="327">
    <w:abstractNumId w:val="329"/>
  </w:num>
  <w:num w:numId="328">
    <w:abstractNumId w:val="330"/>
  </w:num>
  <w:num w:numId="329">
    <w:abstractNumId w:val="331"/>
  </w:num>
  <w:num w:numId="330">
    <w:abstractNumId w:val="332"/>
  </w:num>
  <w:num w:numId="331">
    <w:abstractNumId w:val="333"/>
  </w:num>
  <w:num w:numId="332">
    <w:abstractNumId w:val="334"/>
  </w:num>
  <w:num w:numId="333">
    <w:abstractNumId w:val="335"/>
  </w:num>
  <w:num w:numId="334">
    <w:abstractNumId w:val="336"/>
  </w:num>
  <w:num w:numId="335">
    <w:abstractNumId w:val="337"/>
  </w:num>
  <w:num w:numId="336">
    <w:abstractNumId w:val="338"/>
  </w:num>
  <w:num w:numId="337">
    <w:abstractNumId w:val="339"/>
  </w:num>
  <w:num w:numId="338">
    <w:abstractNumId w:val="340"/>
  </w:num>
  <w:num w:numId="339">
    <w:abstractNumId w:val="341"/>
  </w:num>
  <w:num w:numId="340">
    <w:abstractNumId w:val="342"/>
  </w:num>
  <w:num w:numId="341">
    <w:abstractNumId w:val="343"/>
  </w:num>
  <w:num w:numId="342">
    <w:abstractNumId w:val="344"/>
  </w:num>
  <w:num w:numId="343">
    <w:abstractNumId w:val="345"/>
  </w:num>
  <w:num w:numId="344">
    <w:abstractNumId w:val="346"/>
  </w:num>
  <w:num w:numId="345">
    <w:abstractNumId w:val="347"/>
  </w:num>
  <w:num w:numId="346">
    <w:abstractNumId w:val="348"/>
  </w:num>
  <w:num w:numId="347">
    <w:abstractNumId w:val="349"/>
  </w:num>
  <w:num w:numId="348">
    <w:abstractNumId w:val="350"/>
  </w:num>
  <w:num w:numId="349">
    <w:abstractNumId w:val="351"/>
  </w:num>
  <w:num w:numId="350">
    <w:abstractNumId w:val="352"/>
  </w:num>
  <w:num w:numId="351">
    <w:abstractNumId w:val="353"/>
  </w:num>
  <w:num w:numId="352">
    <w:abstractNumId w:val="354"/>
  </w:num>
  <w:num w:numId="353">
    <w:abstractNumId w:val="355"/>
  </w:num>
  <w:num w:numId="354">
    <w:abstractNumId w:val="356"/>
  </w:num>
  <w:num w:numId="355">
    <w:abstractNumId w:val="357"/>
  </w:num>
  <w:num w:numId="356">
    <w:abstractNumId w:val="358"/>
  </w:num>
  <w:num w:numId="357">
    <w:abstractNumId w:val="359"/>
  </w:num>
  <w:num w:numId="358">
    <w:abstractNumId w:val="360"/>
  </w:num>
  <w:num w:numId="359">
    <w:abstractNumId w:val="361"/>
  </w:num>
  <w:num w:numId="360">
    <w:abstractNumId w:val="362"/>
  </w:num>
  <w:num w:numId="361">
    <w:abstractNumId w:val="363"/>
  </w:num>
  <w:num w:numId="362">
    <w:abstractNumId w:val="364"/>
  </w:num>
  <w:num w:numId="363">
    <w:abstractNumId w:val="365"/>
  </w:num>
  <w:num w:numId="364">
    <w:abstractNumId w:val="366"/>
  </w:num>
  <w:num w:numId="365">
    <w:abstractNumId w:val="367"/>
  </w:num>
  <w:num w:numId="366">
    <w:abstractNumId w:val="368"/>
  </w:num>
  <w:num w:numId="367">
    <w:abstractNumId w:val="369"/>
  </w:num>
  <w:num w:numId="368">
    <w:abstractNumId w:val="370"/>
  </w:num>
  <w:num w:numId="369">
    <w:abstractNumId w:val="371"/>
  </w:num>
  <w:num w:numId="370">
    <w:abstractNumId w:val="372"/>
  </w:num>
  <w:num w:numId="371">
    <w:abstractNumId w:val="373"/>
  </w:num>
  <w:num w:numId="372">
    <w:abstractNumId w:val="374"/>
  </w:num>
  <w:num w:numId="373">
    <w:abstractNumId w:val="375"/>
  </w:num>
  <w:num w:numId="374">
    <w:abstractNumId w:val="376"/>
  </w:num>
  <w:num w:numId="375">
    <w:abstractNumId w:val="377"/>
  </w:num>
  <w:num w:numId="376">
    <w:abstractNumId w:val="378"/>
  </w:num>
  <w:num w:numId="377">
    <w:abstractNumId w:val="379"/>
  </w:num>
  <w:num w:numId="378">
    <w:abstractNumId w:val="380"/>
  </w:num>
  <w:num w:numId="379">
    <w:abstractNumId w:val="381"/>
  </w:num>
  <w:num w:numId="380">
    <w:abstractNumId w:val="382"/>
  </w:num>
  <w:num w:numId="381">
    <w:abstractNumId w:val="383"/>
  </w:num>
  <w:num w:numId="382">
    <w:abstractNumId w:val="384"/>
  </w:num>
  <w:num w:numId="383">
    <w:abstractNumId w:val="385"/>
  </w:num>
  <w:num w:numId="384">
    <w:abstractNumId w:val="386"/>
  </w:num>
  <w:num w:numId="385">
    <w:abstractNumId w:val="387"/>
  </w:num>
  <w:num w:numId="386">
    <w:abstractNumId w:val="388"/>
  </w:num>
  <w:num w:numId="387">
    <w:abstractNumId w:val="389"/>
  </w:num>
  <w:num w:numId="388">
    <w:abstractNumId w:val="390"/>
  </w:num>
  <w:num w:numId="389">
    <w:abstractNumId w:val="391"/>
  </w:num>
  <w:num w:numId="390">
    <w:abstractNumId w:val="392"/>
  </w:num>
  <w:num w:numId="391">
    <w:abstractNumId w:val="393"/>
  </w:num>
  <w:num w:numId="392">
    <w:abstractNumId w:val="394"/>
  </w:num>
  <w:num w:numId="393">
    <w:abstractNumId w:val="395"/>
  </w:num>
  <w:num w:numId="394">
    <w:abstractNumId w:val="396"/>
  </w:num>
  <w:num w:numId="395">
    <w:abstractNumId w:val="397"/>
  </w:num>
  <w:num w:numId="396">
    <w:abstractNumId w:val="398"/>
  </w:num>
  <w:num w:numId="397">
    <w:abstractNumId w:val="399"/>
  </w:num>
  <w:num w:numId="398">
    <w:abstractNumId w:val="400"/>
  </w:num>
  <w:num w:numId="399">
    <w:abstractNumId w:val="401"/>
  </w:num>
  <w:num w:numId="400">
    <w:abstractNumId w:val="402"/>
  </w:num>
  <w:num w:numId="401">
    <w:abstractNumId w:val="403"/>
  </w:num>
  <w:num w:numId="402">
    <w:abstractNumId w:val="404"/>
  </w:num>
  <w:num w:numId="403">
    <w:abstractNumId w:val="405"/>
  </w:num>
  <w:num w:numId="404">
    <w:abstractNumId w:val="406"/>
  </w:num>
  <w:num w:numId="405">
    <w:abstractNumId w:val="407"/>
  </w:num>
  <w:num w:numId="406">
    <w:abstractNumId w:val="408"/>
  </w:num>
  <w:num w:numId="407">
    <w:abstractNumId w:val="409"/>
  </w:num>
  <w:num w:numId="408">
    <w:abstractNumId w:val="410"/>
  </w:num>
  <w:num w:numId="409">
    <w:abstractNumId w:val="411"/>
  </w:num>
  <w:num w:numId="410">
    <w:abstractNumId w:val="412"/>
  </w:num>
  <w:num w:numId="411">
    <w:abstractNumId w:val="413"/>
  </w:num>
  <w:num w:numId="412">
    <w:abstractNumId w:val="414"/>
  </w:num>
  <w:num w:numId="413">
    <w:abstractNumId w:val="415"/>
  </w:num>
  <w:num w:numId="414">
    <w:abstractNumId w:val="416"/>
  </w:num>
  <w:num w:numId="415">
    <w:abstractNumId w:val="417"/>
  </w:num>
  <w:num w:numId="416">
    <w:abstractNumId w:val="418"/>
  </w:num>
  <w:num w:numId="417">
    <w:abstractNumId w:val="419"/>
  </w:num>
  <w:num w:numId="418">
    <w:abstractNumId w:val="420"/>
  </w:num>
  <w:num w:numId="419">
    <w:abstractNumId w:val="421"/>
  </w:num>
  <w:num w:numId="420">
    <w:abstractNumId w:val="422"/>
  </w:num>
  <w:num w:numId="421">
    <w:abstractNumId w:val="423"/>
  </w:num>
  <w:num w:numId="422">
    <w:abstractNumId w:val="424"/>
  </w:num>
  <w:num w:numId="423">
    <w:abstractNumId w:val="425"/>
  </w:num>
  <w:num w:numId="424">
    <w:abstractNumId w:val="426"/>
  </w:num>
  <w:num w:numId="425">
    <w:abstractNumId w:val="427"/>
  </w:num>
  <w:num w:numId="426">
    <w:abstractNumId w:val="428"/>
  </w:num>
  <w:num w:numId="427">
    <w:abstractNumId w:val="429"/>
  </w:num>
  <w:num w:numId="428">
    <w:abstractNumId w:val="430"/>
  </w:num>
  <w:num w:numId="429">
    <w:abstractNumId w:val="431"/>
  </w:num>
  <w:num w:numId="430">
    <w:abstractNumId w:val="432"/>
  </w:num>
  <w:num w:numId="431">
    <w:abstractNumId w:val="433"/>
  </w:num>
  <w:num w:numId="432">
    <w:abstractNumId w:val="434"/>
  </w:num>
  <w:num w:numId="433">
    <w:abstractNumId w:val="435"/>
  </w:num>
  <w:num w:numId="434">
    <w:abstractNumId w:val="436"/>
  </w:num>
  <w:num w:numId="435">
    <w:abstractNumId w:val="437"/>
  </w:num>
  <w:num w:numId="436">
    <w:abstractNumId w:val="438"/>
  </w:num>
  <w:num w:numId="437">
    <w:abstractNumId w:val="439"/>
  </w:num>
  <w:num w:numId="438">
    <w:abstractNumId w:val="440"/>
  </w:num>
  <w:num w:numId="439">
    <w:abstractNumId w:val="441"/>
  </w:num>
  <w:num w:numId="440">
    <w:abstractNumId w:val="442"/>
  </w:num>
  <w:num w:numId="441">
    <w:abstractNumId w:val="443"/>
  </w:num>
  <w:num w:numId="442">
    <w:abstractNumId w:val="444"/>
  </w:num>
  <w:num w:numId="443">
    <w:abstractNumId w:val="445"/>
  </w:num>
  <w:num w:numId="444">
    <w:abstractNumId w:val="446"/>
  </w:num>
  <w:num w:numId="445">
    <w:abstractNumId w:val="447"/>
  </w:num>
  <w:num w:numId="446">
    <w:abstractNumId w:val="448"/>
  </w:num>
  <w:num w:numId="447">
    <w:abstractNumId w:val="449"/>
  </w:num>
  <w:num w:numId="448">
    <w:abstractNumId w:val="450"/>
  </w:num>
  <w:num w:numId="449">
    <w:abstractNumId w:val="451"/>
  </w:num>
  <w:num w:numId="450">
    <w:abstractNumId w:val="452"/>
  </w:num>
  <w:num w:numId="451">
    <w:abstractNumId w:val="453"/>
  </w:num>
  <w:num w:numId="452">
    <w:abstractNumId w:val="454"/>
  </w:num>
  <w:num w:numId="453">
    <w:abstractNumId w:val="455"/>
  </w:num>
  <w:num w:numId="454">
    <w:abstractNumId w:val="456"/>
  </w:num>
  <w:num w:numId="455">
    <w:abstractNumId w:val="457"/>
  </w:num>
  <w:num w:numId="456">
    <w:abstractNumId w:val="458"/>
  </w:num>
  <w:num w:numId="457">
    <w:abstractNumId w:val="459"/>
  </w:num>
  <w:num w:numId="458">
    <w:abstractNumId w:val="460"/>
  </w:num>
  <w:num w:numId="459">
    <w:abstractNumId w:val="461"/>
  </w:num>
  <w:num w:numId="460">
    <w:abstractNumId w:val="462"/>
  </w:num>
  <w:num w:numId="461">
    <w:abstractNumId w:val="463"/>
  </w:num>
  <w:num w:numId="462">
    <w:abstractNumId w:val="464"/>
  </w:num>
  <w:num w:numId="463">
    <w:abstractNumId w:val="465"/>
  </w:num>
  <w:num w:numId="464">
    <w:abstractNumId w:val="466"/>
  </w:num>
  <w:num w:numId="465">
    <w:abstractNumId w:val="467"/>
  </w:num>
  <w:num w:numId="466">
    <w:abstractNumId w:val="468"/>
  </w:num>
  <w:num w:numId="467">
    <w:abstractNumId w:val="469"/>
  </w:num>
  <w:num w:numId="468">
    <w:abstractNumId w:val="470"/>
  </w:num>
  <w:num w:numId="469">
    <w:abstractNumId w:val="471"/>
  </w:num>
  <w:num w:numId="470">
    <w:abstractNumId w:val="472"/>
  </w:num>
  <w:num w:numId="471">
    <w:abstractNumId w:val="473"/>
  </w:num>
  <w:num w:numId="472">
    <w:abstractNumId w:val="474"/>
  </w:num>
  <w:num w:numId="473">
    <w:abstractNumId w:val="475"/>
  </w:num>
  <w:num w:numId="474">
    <w:abstractNumId w:val="476"/>
  </w:num>
  <w:num w:numId="475">
    <w:abstractNumId w:val="477"/>
  </w:num>
  <w:num w:numId="476">
    <w:abstractNumId w:val="478"/>
  </w:num>
  <w:num w:numId="477">
    <w:abstractNumId w:val="479"/>
  </w:num>
  <w:num w:numId="478">
    <w:abstractNumId w:val="480"/>
  </w:num>
  <w:num w:numId="479">
    <w:abstractNumId w:val="481"/>
  </w:num>
  <w:num w:numId="480">
    <w:abstractNumId w:val="482"/>
  </w:num>
  <w:num w:numId="481">
    <w:abstractNumId w:val="483"/>
  </w:num>
  <w:num w:numId="482">
    <w:abstractNumId w:val="484"/>
  </w:num>
  <w:num w:numId="483">
    <w:abstractNumId w:val="485"/>
  </w:num>
  <w:num w:numId="484">
    <w:abstractNumId w:val="486"/>
  </w:num>
  <w:num w:numId="485">
    <w:abstractNumId w:val="487"/>
  </w:num>
  <w:num w:numId="486">
    <w:abstractNumId w:val="488"/>
  </w:num>
  <w:num w:numId="487">
    <w:abstractNumId w:val="489"/>
  </w:num>
  <w:num w:numId="488">
    <w:abstractNumId w:val="490"/>
  </w:num>
  <w:num w:numId="489">
    <w:abstractNumId w:val="491"/>
  </w:num>
  <w:num w:numId="490">
    <w:abstractNumId w:val="492"/>
  </w:num>
  <w:num w:numId="491">
    <w:abstractNumId w:val="493"/>
  </w:num>
  <w:num w:numId="492">
    <w:abstractNumId w:val="494"/>
  </w:num>
  <w:num w:numId="493">
    <w:abstractNumId w:val="495"/>
  </w:num>
  <w:num w:numId="494">
    <w:abstractNumId w:val="496"/>
  </w:num>
  <w:num w:numId="495">
    <w:abstractNumId w:val="497"/>
  </w:num>
  <w:num w:numId="496">
    <w:abstractNumId w:val="498"/>
  </w:num>
  <w:num w:numId="497">
    <w:abstractNumId w:val="499"/>
  </w:num>
  <w:num w:numId="498">
    <w:abstractNumId w:val="500"/>
  </w:num>
  <w:num w:numId="499">
    <w:abstractNumId w:val="501"/>
  </w:num>
  <w:num w:numId="500">
    <w:abstractNumId w:val="502"/>
  </w:num>
  <w:num w:numId="501">
    <w:abstractNumId w:val="503"/>
  </w:num>
  <w:num w:numId="502">
    <w:abstractNumId w:val="504"/>
  </w:num>
  <w:num w:numId="503">
    <w:abstractNumId w:val="505"/>
  </w:num>
  <w:num w:numId="504">
    <w:abstractNumId w:val="506"/>
  </w:num>
  <w:num w:numId="505">
    <w:abstractNumId w:val="507"/>
  </w:num>
  <w:num w:numId="506">
    <w:abstractNumId w:val="508"/>
  </w:num>
  <w:num w:numId="507">
    <w:abstractNumId w:val="509"/>
  </w:num>
  <w:num w:numId="508">
    <w:abstractNumId w:val="510"/>
  </w:num>
  <w:num w:numId="509">
    <w:abstractNumId w:val="511"/>
  </w:num>
  <w:num w:numId="510">
    <w:abstractNumId w:val="512"/>
  </w:num>
  <w:num w:numId="511">
    <w:abstractNumId w:val="513"/>
  </w:num>
  <w:num w:numId="512">
    <w:abstractNumId w:val="514"/>
  </w:num>
  <w:num w:numId="513">
    <w:abstractNumId w:val="515"/>
  </w:num>
  <w:num w:numId="514">
    <w:abstractNumId w:val="516"/>
  </w:num>
  <w:num w:numId="515">
    <w:abstractNumId w:val="517"/>
  </w:num>
  <w:num w:numId="516">
    <w:abstractNumId w:val="518"/>
  </w:num>
  <w:num w:numId="517">
    <w:abstractNumId w:val="519"/>
  </w:num>
  <w:num w:numId="518">
    <w:abstractNumId w:val="520"/>
  </w:num>
  <w:num w:numId="519">
    <w:abstractNumId w:val="521"/>
  </w:num>
  <w:num w:numId="520">
    <w:abstractNumId w:val="522"/>
  </w:num>
  <w:num w:numId="521">
    <w:abstractNumId w:val="523"/>
  </w:num>
  <w:num w:numId="522">
    <w:abstractNumId w:val="524"/>
  </w:num>
  <w:num w:numId="523">
    <w:abstractNumId w:val="525"/>
  </w:num>
  <w:num w:numId="524">
    <w:abstractNumId w:val="526"/>
  </w:num>
  <w:num w:numId="525">
    <w:abstractNumId w:val="527"/>
  </w:num>
  <w:num w:numId="526">
    <w:abstractNumId w:val="528"/>
  </w:num>
  <w:num w:numId="527">
    <w:abstractNumId w:val="529"/>
  </w:num>
  <w:num w:numId="528">
    <w:abstractNumId w:val="530"/>
  </w:num>
  <w:num w:numId="529">
    <w:abstractNumId w:val="531"/>
  </w:num>
  <w:num w:numId="530">
    <w:abstractNumId w:val="532"/>
  </w:num>
  <w:num w:numId="531">
    <w:abstractNumId w:val="533"/>
  </w:num>
  <w:num w:numId="532">
    <w:abstractNumId w:val="534"/>
  </w:num>
  <w:num w:numId="533">
    <w:abstractNumId w:val="535"/>
  </w:num>
  <w:num w:numId="534">
    <w:abstractNumId w:val="536"/>
  </w:num>
  <w:num w:numId="535">
    <w:abstractNumId w:val="537"/>
  </w:num>
  <w:num w:numId="536">
    <w:abstractNumId w:val="538"/>
  </w:num>
  <w:num w:numId="537">
    <w:abstractNumId w:val="539"/>
  </w:num>
  <w:num w:numId="538">
    <w:abstractNumId w:val="540"/>
  </w:num>
  <w:num w:numId="539">
    <w:abstractNumId w:val="541"/>
  </w:num>
  <w:num w:numId="540">
    <w:abstractNumId w:val="542"/>
  </w:num>
  <w:num w:numId="541">
    <w:abstractNumId w:val="543"/>
  </w:num>
  <w:num w:numId="542">
    <w:abstractNumId w:val="544"/>
  </w:num>
  <w:num w:numId="543">
    <w:abstractNumId w:val="545"/>
  </w:num>
  <w:num w:numId="544">
    <w:abstractNumId w:val="546"/>
  </w:num>
  <w:num w:numId="545">
    <w:abstractNumId w:val="547"/>
  </w:num>
  <w:num w:numId="546">
    <w:abstractNumId w:val="548"/>
  </w:num>
  <w:num w:numId="547">
    <w:abstractNumId w:val="549"/>
  </w:num>
  <w:num w:numId="548">
    <w:abstractNumId w:val="550"/>
  </w:num>
  <w:num w:numId="549">
    <w:abstractNumId w:val="551"/>
  </w:num>
  <w:num w:numId="550">
    <w:abstractNumId w:val="552"/>
  </w:num>
  <w:num w:numId="551">
    <w:abstractNumId w:val="553"/>
  </w:num>
  <w:num w:numId="552">
    <w:abstractNumId w:val="554"/>
  </w:num>
  <w:num w:numId="553">
    <w:abstractNumId w:val="555"/>
  </w:num>
  <w:num w:numId="554">
    <w:abstractNumId w:val="556"/>
  </w:num>
  <w:num w:numId="555">
    <w:abstractNumId w:val="557"/>
  </w:num>
  <w:num w:numId="556">
    <w:abstractNumId w:val="558"/>
  </w:num>
  <w:num w:numId="557">
    <w:abstractNumId w:val="559"/>
  </w:num>
  <w:num w:numId="558">
    <w:abstractNumId w:val="560"/>
  </w:num>
  <w:num w:numId="559">
    <w:abstractNumId w:val="561"/>
  </w:num>
  <w:num w:numId="560">
    <w:abstractNumId w:val="562"/>
  </w:num>
  <w:num w:numId="561">
    <w:abstractNumId w:val="563"/>
  </w:num>
  <w:num w:numId="562">
    <w:abstractNumId w:val="564"/>
  </w:num>
  <w:num w:numId="563">
    <w:abstractNumId w:val="565"/>
  </w:num>
  <w:num w:numId="564">
    <w:abstractNumId w:val="566"/>
  </w:num>
  <w:num w:numId="565">
    <w:abstractNumId w:val="567"/>
  </w:num>
  <w:num w:numId="566">
    <w:abstractNumId w:val="568"/>
  </w:num>
  <w:num w:numId="567">
    <w:abstractNumId w:val="569"/>
  </w:num>
  <w:num w:numId="568">
    <w:abstractNumId w:val="570"/>
  </w:num>
  <w:num w:numId="569">
    <w:abstractNumId w:val="571"/>
  </w:num>
  <w:num w:numId="570">
    <w:abstractNumId w:val="572"/>
  </w:num>
  <w:num w:numId="571">
    <w:abstractNumId w:val="573"/>
  </w:num>
  <w:num w:numId="572">
    <w:abstractNumId w:val="574"/>
  </w:num>
  <w:num w:numId="573">
    <w:abstractNumId w:val="575"/>
  </w:num>
  <w:num w:numId="574">
    <w:abstractNumId w:val="576"/>
  </w:num>
  <w:num w:numId="575">
    <w:abstractNumId w:val="577"/>
  </w:num>
  <w:num w:numId="576">
    <w:abstractNumId w:val="578"/>
  </w:num>
  <w:num w:numId="577">
    <w:abstractNumId w:val="579"/>
  </w:num>
  <w:num w:numId="578">
    <w:abstractNumId w:val="580"/>
  </w:num>
  <w:num w:numId="579">
    <w:abstractNumId w:val="581"/>
  </w:num>
  <w:num w:numId="580">
    <w:abstractNumId w:val="582"/>
  </w:num>
  <w:num w:numId="581">
    <w:abstractNumId w:val="583"/>
  </w:num>
  <w:num w:numId="582">
    <w:abstractNumId w:val="584"/>
  </w:num>
  <w:num w:numId="583">
    <w:abstractNumId w:val="585"/>
  </w:num>
  <w:num w:numId="584">
    <w:abstractNumId w:val="586"/>
  </w:num>
  <w:num w:numId="585">
    <w:abstractNumId w:val="587"/>
  </w:num>
  <w:num w:numId="586">
    <w:abstractNumId w:val="588"/>
  </w:num>
  <w:num w:numId="587">
    <w:abstractNumId w:val="589"/>
  </w:num>
  <w:num w:numId="588">
    <w:abstractNumId w:val="590"/>
  </w:num>
  <w:num w:numId="589">
    <w:abstractNumId w:val="591"/>
  </w:num>
  <w:num w:numId="590">
    <w:abstractNumId w:val="592"/>
  </w:num>
  <w:num w:numId="591">
    <w:abstractNumId w:val="593"/>
  </w:num>
  <w:num w:numId="592">
    <w:abstractNumId w:val="594"/>
  </w:num>
  <w:num w:numId="593">
    <w:abstractNumId w:val="595"/>
  </w:num>
  <w:num w:numId="594">
    <w:abstractNumId w:val="596"/>
  </w:num>
  <w:num w:numId="595">
    <w:abstractNumId w:val="597"/>
  </w:num>
  <w:num w:numId="596">
    <w:abstractNumId w:val="598"/>
  </w:num>
  <w:num w:numId="597">
    <w:abstractNumId w:val="599"/>
  </w:num>
  <w:num w:numId="598">
    <w:abstractNumId w:val="600"/>
  </w:num>
  <w:num w:numId="599">
    <w:abstractNumId w:val="601"/>
  </w:num>
  <w:num w:numId="600">
    <w:abstractNumId w:val="602"/>
  </w:num>
  <w:num w:numId="601">
    <w:abstractNumId w:val="603"/>
  </w:num>
  <w:num w:numId="602">
    <w:abstractNumId w:val="604"/>
  </w:num>
  <w:num w:numId="603">
    <w:abstractNumId w:val="605"/>
  </w:num>
  <w:num w:numId="604">
    <w:abstractNumId w:val="606"/>
  </w:num>
  <w:num w:numId="605">
    <w:abstractNumId w:val="607"/>
  </w:num>
  <w:num w:numId="606">
    <w:abstractNumId w:val="608"/>
  </w:num>
  <w:num w:numId="607">
    <w:abstractNumId w:val="609"/>
  </w:num>
  <w:num w:numId="608">
    <w:abstractNumId w:val="610"/>
  </w:num>
  <w:num w:numId="609">
    <w:abstractNumId w:val="611"/>
  </w:num>
  <w:num w:numId="610">
    <w:abstractNumId w:val="612"/>
  </w:num>
  <w:num w:numId="611">
    <w:abstractNumId w:val="613"/>
  </w:num>
  <w:num w:numId="612">
    <w:abstractNumId w:val="614"/>
  </w:num>
  <w:num w:numId="613">
    <w:abstractNumId w:val="615"/>
  </w:num>
  <w:num w:numId="614">
    <w:abstractNumId w:val="616"/>
  </w:num>
  <w:num w:numId="615">
    <w:abstractNumId w:val="617"/>
  </w:num>
  <w:num w:numId="616">
    <w:abstractNumId w:val="618"/>
  </w:num>
  <w:num w:numId="617">
    <w:abstractNumId w:val="619"/>
  </w:num>
  <w:num w:numId="618">
    <w:abstractNumId w:val="620"/>
  </w:num>
  <w:num w:numId="619">
    <w:abstractNumId w:val="621"/>
  </w:num>
  <w:num w:numId="620">
    <w:abstractNumId w:val="622"/>
  </w:num>
  <w:num w:numId="621">
    <w:abstractNumId w:val="623"/>
  </w:num>
  <w:num w:numId="622">
    <w:abstractNumId w:val="624"/>
  </w:num>
  <w:num w:numId="623">
    <w:abstractNumId w:val="625"/>
  </w:num>
  <w:num w:numId="624">
    <w:abstractNumId w:val="626"/>
  </w:num>
  <w:num w:numId="625">
    <w:abstractNumId w:val="627"/>
  </w:num>
  <w:num w:numId="626">
    <w:abstractNumId w:val="628"/>
  </w:num>
  <w:num w:numId="627">
    <w:abstractNumId w:val="629"/>
  </w:num>
  <w:num w:numId="628">
    <w:abstractNumId w:val="630"/>
  </w:num>
  <w:num w:numId="629">
    <w:abstractNumId w:val="631"/>
  </w:num>
  <w:num w:numId="630">
    <w:abstractNumId w:val="632"/>
  </w:num>
  <w:num w:numId="631">
    <w:abstractNumId w:val="633"/>
  </w:num>
  <w:num w:numId="632">
    <w:abstractNumId w:val="634"/>
  </w:num>
  <w:num w:numId="633">
    <w:abstractNumId w:val="635"/>
  </w:num>
  <w:num w:numId="634">
    <w:abstractNumId w:val="636"/>
  </w:num>
  <w:num w:numId="635">
    <w:abstractNumId w:val="637"/>
  </w:num>
  <w:num w:numId="636">
    <w:abstractNumId w:val="638"/>
  </w:num>
  <w:num w:numId="637">
    <w:abstractNumId w:val="639"/>
  </w:num>
  <w:num w:numId="638">
    <w:abstractNumId w:val="640"/>
  </w:num>
  <w:num w:numId="639">
    <w:abstractNumId w:val="641"/>
  </w:num>
  <w:num w:numId="640">
    <w:abstractNumId w:val="642"/>
  </w:num>
  <w:num w:numId="641">
    <w:abstractNumId w:val="643"/>
  </w:num>
  <w:num w:numId="642">
    <w:abstractNumId w:val="644"/>
  </w:num>
  <w:num w:numId="643">
    <w:abstractNumId w:val="645"/>
  </w:num>
  <w:num w:numId="644">
    <w:abstractNumId w:val="646"/>
  </w:num>
  <w:num w:numId="645">
    <w:abstractNumId w:val="647"/>
  </w:num>
  <w:num w:numId="646">
    <w:abstractNumId w:val="648"/>
  </w:num>
  <w:num w:numId="647">
    <w:abstractNumId w:val="649"/>
  </w:num>
  <w:num w:numId="648">
    <w:abstractNumId w:val="650"/>
  </w:num>
  <w:num w:numId="649">
    <w:abstractNumId w:val="651"/>
  </w:num>
  <w:num w:numId="650">
    <w:abstractNumId w:val="652"/>
  </w:num>
  <w:num w:numId="651">
    <w:abstractNumId w:val="653"/>
  </w:num>
  <w:num w:numId="652">
    <w:abstractNumId w:val="654"/>
  </w:num>
  <w:num w:numId="653">
    <w:abstractNumId w:val="655"/>
  </w:num>
  <w:num w:numId="654">
    <w:abstractNumId w:val="656"/>
  </w:num>
  <w:num w:numId="655">
    <w:abstractNumId w:val="657"/>
  </w:num>
  <w:num w:numId="656">
    <w:abstractNumId w:val="658"/>
  </w:num>
  <w:num w:numId="657">
    <w:abstractNumId w:val="659"/>
  </w:num>
  <w:num w:numId="658">
    <w:abstractNumId w:val="660"/>
  </w:num>
  <w:num w:numId="659">
    <w:abstractNumId w:val="661"/>
  </w:num>
  <w:num w:numId="660">
    <w:abstractNumId w:val="662"/>
  </w:num>
  <w:num w:numId="661">
    <w:abstractNumId w:val="663"/>
  </w:num>
  <w:num w:numId="662">
    <w:abstractNumId w:val="664"/>
  </w:num>
  <w:num w:numId="663">
    <w:abstractNumId w:val="665"/>
  </w:num>
  <w:num w:numId="664">
    <w:abstractNumId w:val="666"/>
  </w:num>
  <w:num w:numId="665">
    <w:abstractNumId w:val="667"/>
  </w:num>
  <w:num w:numId="666">
    <w:abstractNumId w:val="668"/>
  </w:num>
  <w:num w:numId="667">
    <w:abstractNumId w:val="669"/>
  </w:num>
  <w:num w:numId="668">
    <w:abstractNumId w:val="670"/>
  </w:num>
  <w:num w:numId="669">
    <w:abstractNumId w:val="671"/>
  </w:num>
  <w:num w:numId="670">
    <w:abstractNumId w:val="672"/>
  </w:num>
  <w:num w:numId="671">
    <w:abstractNumId w:val="673"/>
  </w:num>
  <w:num w:numId="672">
    <w:abstractNumId w:val="674"/>
  </w:num>
  <w:num w:numId="673">
    <w:abstractNumId w:val="675"/>
  </w:num>
  <w:num w:numId="674">
    <w:abstractNumId w:val="676"/>
  </w:num>
  <w:num w:numId="675">
    <w:abstractNumId w:val="677"/>
  </w:num>
  <w:num w:numId="676">
    <w:abstractNumId w:val="678"/>
  </w:num>
  <w:num w:numId="677">
    <w:abstractNumId w:val="679"/>
  </w:num>
  <w:num w:numId="678">
    <w:abstractNumId w:val="680"/>
  </w:num>
  <w:num w:numId="679">
    <w:abstractNumId w:val="681"/>
  </w:num>
  <w:num w:numId="680">
    <w:abstractNumId w:val="682"/>
  </w:num>
  <w:num w:numId="681">
    <w:abstractNumId w:val="683"/>
  </w:num>
  <w:num w:numId="682">
    <w:abstractNumId w:val="684"/>
  </w:num>
  <w:num w:numId="683">
    <w:abstractNumId w:val="685"/>
  </w:num>
  <w:num w:numId="684">
    <w:abstractNumId w:val="686"/>
  </w:num>
  <w:num w:numId="685">
    <w:abstractNumId w:val="687"/>
  </w:num>
  <w:num w:numId="686">
    <w:abstractNumId w:val="688"/>
  </w:num>
  <w:num w:numId="687">
    <w:abstractNumId w:val="689"/>
  </w:num>
  <w:num w:numId="688">
    <w:abstractNumId w:val="690"/>
  </w:num>
  <w:num w:numId="689">
    <w:abstractNumId w:val="691"/>
  </w:num>
  <w:num w:numId="690">
    <w:abstractNumId w:val="692"/>
  </w:num>
  <w:num w:numId="691">
    <w:abstractNumId w:val="693"/>
  </w:num>
  <w:num w:numId="692">
    <w:abstractNumId w:val="694"/>
  </w:num>
  <w:num w:numId="693">
    <w:abstractNumId w:val="695"/>
  </w:num>
  <w:num w:numId="694">
    <w:abstractNumId w:val="696"/>
  </w:num>
  <w:num w:numId="695">
    <w:abstractNumId w:val="697"/>
  </w:num>
  <w:num w:numId="696">
    <w:abstractNumId w:val="698"/>
  </w:num>
  <w:num w:numId="697">
    <w:abstractNumId w:val="699"/>
  </w:num>
  <w:num w:numId="698">
    <w:abstractNumId w:val="700"/>
  </w:num>
  <w:num w:numId="699">
    <w:abstractNumId w:val="701"/>
  </w:num>
  <w:num w:numId="700">
    <w:abstractNumId w:val="702"/>
  </w:num>
  <w:num w:numId="701">
    <w:abstractNumId w:val="703"/>
  </w:num>
  <w:num w:numId="702">
    <w:abstractNumId w:val="704"/>
  </w:num>
  <w:num w:numId="703">
    <w:abstractNumId w:val="705"/>
  </w:num>
  <w:num w:numId="704">
    <w:abstractNumId w:val="706"/>
  </w:num>
  <w:num w:numId="705">
    <w:abstractNumId w:val="707"/>
  </w:num>
  <w:num w:numId="706">
    <w:abstractNumId w:val="708"/>
  </w:num>
  <w:num w:numId="707">
    <w:abstractNumId w:val="709"/>
  </w:num>
  <w:num w:numId="708">
    <w:abstractNumId w:val="710"/>
  </w:num>
  <w:num w:numId="709">
    <w:abstractNumId w:val="711"/>
  </w:num>
  <w:num w:numId="710">
    <w:abstractNumId w:val="712"/>
  </w:num>
  <w:num w:numId="711">
    <w:abstractNumId w:val="713"/>
  </w:num>
  <w:num w:numId="712">
    <w:abstractNumId w:val="714"/>
  </w:num>
  <w:num w:numId="713">
    <w:abstractNumId w:val="715"/>
  </w:num>
  <w:num w:numId="714">
    <w:abstractNumId w:val="716"/>
  </w:num>
  <w:num w:numId="715">
    <w:abstractNumId w:val="717"/>
  </w:num>
  <w:num w:numId="716">
    <w:abstractNumId w:val="718"/>
  </w:num>
  <w:num w:numId="717">
    <w:abstractNumId w:val="719"/>
  </w:num>
  <w:num w:numId="718">
    <w:abstractNumId w:val="720"/>
  </w:num>
  <w:num w:numId="719">
    <w:abstractNumId w:val="721"/>
  </w:num>
  <w:num w:numId="720">
    <w:abstractNumId w:val="722"/>
  </w:num>
  <w:num w:numId="721">
    <w:abstractNumId w:val="723"/>
  </w:num>
  <w:num w:numId="722">
    <w:abstractNumId w:val="724"/>
  </w:num>
  <w:num w:numId="723">
    <w:abstractNumId w:val="725"/>
  </w:num>
  <w:num w:numId="724">
    <w:abstractNumId w:val="726"/>
  </w:num>
  <w:num w:numId="725">
    <w:abstractNumId w:val="727"/>
  </w:num>
  <w:num w:numId="726">
    <w:abstractNumId w:val="728"/>
  </w:num>
  <w:num w:numId="727">
    <w:abstractNumId w:val="729"/>
  </w:num>
  <w:num w:numId="728">
    <w:abstractNumId w:val="730"/>
  </w:num>
  <w:num w:numId="729">
    <w:abstractNumId w:val="731"/>
  </w:num>
  <w:num w:numId="730">
    <w:abstractNumId w:val="732"/>
  </w:num>
  <w:num w:numId="731">
    <w:abstractNumId w:val="733"/>
  </w:num>
  <w:num w:numId="732">
    <w:abstractNumId w:val="734"/>
  </w:num>
  <w:num w:numId="733">
    <w:abstractNumId w:val="735"/>
  </w:num>
  <w:num w:numId="734">
    <w:abstractNumId w:val="736"/>
  </w:num>
  <w:num w:numId="735">
    <w:abstractNumId w:val="737"/>
  </w:num>
  <w:num w:numId="736">
    <w:abstractNumId w:val="738"/>
  </w:num>
  <w:num w:numId="737">
    <w:abstractNumId w:val="739"/>
  </w:num>
  <w:num w:numId="738">
    <w:abstractNumId w:val="740"/>
  </w:num>
  <w:num w:numId="739">
    <w:abstractNumId w:val="741"/>
  </w:num>
  <w:num w:numId="740">
    <w:abstractNumId w:val="742"/>
  </w:num>
  <w:num w:numId="741">
    <w:abstractNumId w:val="743"/>
  </w:num>
  <w:num w:numId="742">
    <w:abstractNumId w:val="744"/>
  </w:num>
  <w:num w:numId="743">
    <w:abstractNumId w:val="745"/>
  </w:num>
  <w:num w:numId="744">
    <w:abstractNumId w:val="746"/>
  </w:num>
  <w:num w:numId="745">
    <w:abstractNumId w:val="747"/>
  </w:num>
  <w:num w:numId="746">
    <w:abstractNumId w:val="748"/>
  </w:num>
  <w:num w:numId="747">
    <w:abstractNumId w:val="749"/>
  </w:num>
  <w:num w:numId="748">
    <w:abstractNumId w:val="750"/>
  </w:num>
  <w:num w:numId="749">
    <w:abstractNumId w:val="751"/>
  </w:num>
  <w:num w:numId="750">
    <w:abstractNumId w:val="752"/>
  </w:num>
  <w:num w:numId="751">
    <w:abstractNumId w:val="753"/>
  </w:num>
  <w:num w:numId="752">
    <w:abstractNumId w:val="754"/>
  </w:num>
  <w:num w:numId="753">
    <w:abstractNumId w:val="755"/>
  </w:num>
  <w:num w:numId="754">
    <w:abstractNumId w:val="756"/>
  </w:num>
  <w:num w:numId="755">
    <w:abstractNumId w:val="757"/>
  </w:num>
  <w:num w:numId="756">
    <w:abstractNumId w:val="758"/>
  </w:num>
  <w:num w:numId="757">
    <w:abstractNumId w:val="759"/>
  </w:num>
  <w:num w:numId="758">
    <w:abstractNumId w:val="760"/>
  </w:num>
  <w:num w:numId="759">
    <w:abstractNumId w:val="761"/>
  </w:num>
  <w:num w:numId="760">
    <w:abstractNumId w:val="762"/>
  </w:num>
  <w:num w:numId="761">
    <w:abstractNumId w:val="763"/>
  </w:num>
  <w:num w:numId="762">
    <w:abstractNumId w:val="764"/>
  </w:num>
  <w:num w:numId="763">
    <w:abstractNumId w:val="765"/>
  </w:num>
  <w:num w:numId="764">
    <w:abstractNumId w:val="766"/>
  </w:num>
  <w:num w:numId="765">
    <w:abstractNumId w:val="767"/>
  </w:num>
  <w:num w:numId="766">
    <w:abstractNumId w:val="768"/>
  </w:num>
  <w:num w:numId="767">
    <w:abstractNumId w:val="769"/>
  </w:num>
  <w:num w:numId="768">
    <w:abstractNumId w:val="770"/>
  </w:num>
  <w:num w:numId="769">
    <w:abstractNumId w:val="771"/>
  </w:num>
  <w:num w:numId="770">
    <w:abstractNumId w:val="772"/>
  </w:num>
  <w:num w:numId="771">
    <w:abstractNumId w:val="773"/>
  </w:num>
  <w:num w:numId="772">
    <w:abstractNumId w:val="774"/>
  </w:num>
  <w:num w:numId="773">
    <w:abstractNumId w:val="775"/>
  </w:num>
  <w:num w:numId="774">
    <w:abstractNumId w:val="776"/>
  </w:num>
  <w:num w:numId="775">
    <w:abstractNumId w:val="777"/>
  </w:num>
  <w:num w:numId="776">
    <w:abstractNumId w:val="778"/>
  </w:num>
  <w:num w:numId="777">
    <w:abstractNumId w:val="779"/>
  </w:num>
  <w:num w:numId="778">
    <w:abstractNumId w:val="780"/>
  </w:num>
  <w:num w:numId="779">
    <w:abstractNumId w:val="781"/>
  </w:num>
  <w:num w:numId="780">
    <w:abstractNumId w:val="782"/>
  </w:num>
  <w:num w:numId="781">
    <w:abstractNumId w:val="783"/>
  </w:num>
  <w:num w:numId="782">
    <w:abstractNumId w:val="784"/>
  </w:num>
  <w:num w:numId="783">
    <w:abstractNumId w:val="785"/>
  </w:num>
  <w:num w:numId="784">
    <w:abstractNumId w:val="786"/>
  </w:num>
  <w:num w:numId="785">
    <w:abstractNumId w:val="787"/>
  </w:num>
  <w:num w:numId="786">
    <w:abstractNumId w:val="788"/>
  </w:num>
  <w:num w:numId="787">
    <w:abstractNumId w:val="789"/>
  </w:num>
  <w:num w:numId="788">
    <w:abstractNumId w:val="790"/>
  </w:num>
  <w:num w:numId="789">
    <w:abstractNumId w:val="791"/>
  </w:num>
  <w:num w:numId="790">
    <w:abstractNumId w:val="792"/>
  </w:num>
  <w:num w:numId="791">
    <w:abstractNumId w:val="793"/>
  </w:num>
  <w:num w:numId="792">
    <w:abstractNumId w:val="794"/>
  </w:num>
  <w:num w:numId="793">
    <w:abstractNumId w:val="795"/>
  </w:num>
  <w:num w:numId="794">
    <w:abstractNumId w:val="796"/>
  </w:num>
  <w:num w:numId="795">
    <w:abstractNumId w:val="797"/>
  </w:num>
  <w:num w:numId="796">
    <w:abstractNumId w:val="798"/>
  </w:num>
  <w:num w:numId="797">
    <w:abstractNumId w:val="799"/>
  </w:num>
  <w:num w:numId="798">
    <w:abstractNumId w:val="800"/>
  </w:num>
  <w:num w:numId="799">
    <w:abstractNumId w:val="801"/>
  </w:num>
  <w:num w:numId="800">
    <w:abstractNumId w:val="802"/>
  </w:num>
  <w:num w:numId="801">
    <w:abstractNumId w:val="803"/>
  </w:num>
  <w:num w:numId="802">
    <w:abstractNumId w:val="804"/>
  </w:num>
  <w:num w:numId="803">
    <w:abstractNumId w:val="805"/>
  </w:num>
  <w:num w:numId="804">
    <w:abstractNumId w:val="806"/>
  </w:num>
  <w:num w:numId="805">
    <w:abstractNumId w:val="807"/>
  </w:num>
  <w:num w:numId="806">
    <w:abstractNumId w:val="808"/>
  </w:num>
  <w:num w:numId="807">
    <w:abstractNumId w:val="809"/>
  </w:num>
  <w:num w:numId="808">
    <w:abstractNumId w:val="810"/>
  </w:num>
  <w:num w:numId="809">
    <w:abstractNumId w:val="811"/>
  </w:num>
  <w:num w:numId="810">
    <w:abstractNumId w:val="812"/>
  </w:num>
  <w:num w:numId="811">
    <w:abstractNumId w:val="813"/>
  </w:num>
  <w:num w:numId="812">
    <w:abstractNumId w:val="814"/>
  </w:num>
  <w:num w:numId="813">
    <w:abstractNumId w:val="815"/>
  </w:num>
  <w:num w:numId="814">
    <w:abstractNumId w:val="816"/>
  </w:num>
  <w:num w:numId="815">
    <w:abstractNumId w:val="817"/>
  </w:num>
  <w:num w:numId="816">
    <w:abstractNumId w:val="818"/>
  </w:num>
  <w:num w:numId="817">
    <w:abstractNumId w:val="819"/>
  </w:num>
  <w:num w:numId="818">
    <w:abstractNumId w:val="820"/>
  </w:num>
  <w:num w:numId="819">
    <w:abstractNumId w:val="821"/>
  </w:num>
  <w:num w:numId="820">
    <w:abstractNumId w:val="822"/>
  </w:num>
  <w:num w:numId="821">
    <w:abstractNumId w:val="823"/>
  </w:num>
  <w:num w:numId="822">
    <w:abstractNumId w:val="824"/>
  </w:num>
  <w:num w:numId="823">
    <w:abstractNumId w:val="825"/>
  </w:num>
  <w:num w:numId="824">
    <w:abstractNumId w:val="826"/>
  </w:num>
  <w:num w:numId="825">
    <w:abstractNumId w:val="827"/>
  </w:num>
  <w:num w:numId="826">
    <w:abstractNumId w:val="828"/>
  </w:num>
  <w:num w:numId="827">
    <w:abstractNumId w:val="829"/>
  </w:num>
  <w:num w:numId="828">
    <w:abstractNumId w:val="830"/>
  </w:num>
  <w:num w:numId="829">
    <w:abstractNumId w:val="831"/>
  </w:num>
  <w:num w:numId="830">
    <w:abstractNumId w:val="832"/>
  </w:num>
  <w:num w:numId="831">
    <w:abstractNumId w:val="833"/>
  </w:num>
  <w:num w:numId="832">
    <w:abstractNumId w:val="834"/>
  </w:num>
  <w:num w:numId="833">
    <w:abstractNumId w:val="835"/>
  </w:num>
  <w:num w:numId="834">
    <w:abstractNumId w:val="836"/>
  </w:num>
  <w:num w:numId="835">
    <w:abstractNumId w:val="837"/>
  </w:num>
  <w:num w:numId="836">
    <w:abstractNumId w:val="838"/>
  </w:num>
  <w:num w:numId="837">
    <w:abstractNumId w:val="839"/>
  </w:num>
  <w:num w:numId="838">
    <w:abstractNumId w:val="840"/>
  </w:num>
  <w:num w:numId="839">
    <w:abstractNumId w:val="841"/>
  </w:num>
  <w:num w:numId="840">
    <w:abstractNumId w:val="842"/>
  </w:num>
  <w:num w:numId="841">
    <w:abstractNumId w:val="843"/>
  </w:num>
  <w:num w:numId="842">
    <w:abstractNumId w:val="844"/>
  </w:num>
  <w:num w:numId="843">
    <w:abstractNumId w:val="845"/>
  </w:num>
  <w:num w:numId="844">
    <w:abstractNumId w:val="846"/>
  </w:num>
  <w:num w:numId="845">
    <w:abstractNumId w:val="847"/>
  </w:num>
  <w:num w:numId="846">
    <w:abstractNumId w:val="848"/>
  </w:num>
  <w:num w:numId="847">
    <w:abstractNumId w:val="849"/>
  </w:num>
  <w:num w:numId="848">
    <w:abstractNumId w:val="850"/>
  </w:num>
  <w:num w:numId="849">
    <w:abstractNumId w:val="851"/>
  </w:num>
  <w:num w:numId="850">
    <w:abstractNumId w:val="852"/>
  </w:num>
  <w:num w:numId="851">
    <w:abstractNumId w:val="853"/>
  </w:num>
  <w:num w:numId="852">
    <w:abstractNumId w:val="854"/>
  </w:num>
  <w:num w:numId="853">
    <w:abstractNumId w:val="855"/>
  </w:num>
  <w:num w:numId="854">
    <w:abstractNumId w:val="856"/>
  </w:num>
  <w:num w:numId="855">
    <w:abstractNumId w:val="857"/>
  </w:num>
  <w:num w:numId="856">
    <w:abstractNumId w:val="858"/>
  </w:num>
  <w:num w:numId="857">
    <w:abstractNumId w:val="859"/>
  </w:num>
  <w:num w:numId="858">
    <w:abstractNumId w:val="860"/>
  </w:num>
  <w:num w:numId="859">
    <w:abstractNumId w:val="861"/>
  </w:num>
  <w:num w:numId="860">
    <w:abstractNumId w:val="862"/>
  </w:num>
  <w:num w:numId="861">
    <w:abstractNumId w:val="863"/>
  </w:num>
  <w:num w:numId="862">
    <w:abstractNumId w:val="864"/>
  </w:num>
  <w:num w:numId="863">
    <w:abstractNumId w:val="865"/>
  </w:num>
  <w:num w:numId="864">
    <w:abstractNumId w:val="866"/>
  </w:num>
  <w:num w:numId="865">
    <w:abstractNumId w:val="867"/>
  </w:num>
  <w:num w:numId="866">
    <w:abstractNumId w:val="868"/>
  </w:num>
  <w:num w:numId="867">
    <w:abstractNumId w:val="869"/>
  </w:num>
  <w:num w:numId="868">
    <w:abstractNumId w:val="870"/>
  </w:num>
  <w:num w:numId="869">
    <w:abstractNumId w:val="871"/>
  </w:num>
  <w:num w:numId="870">
    <w:abstractNumId w:val="872"/>
  </w:num>
  <w:num w:numId="871">
    <w:abstractNumId w:val="873"/>
  </w:num>
  <w:num w:numId="872">
    <w:abstractNumId w:val="874"/>
  </w:num>
  <w:num w:numId="873">
    <w:abstractNumId w:val="875"/>
  </w:num>
  <w:num w:numId="874">
    <w:abstractNumId w:val="876"/>
  </w:num>
  <w:num w:numId="875">
    <w:abstractNumId w:val="877"/>
  </w:num>
  <w:num w:numId="876">
    <w:abstractNumId w:val="878"/>
  </w:num>
  <w:num w:numId="877">
    <w:abstractNumId w:val="879"/>
  </w:num>
  <w:num w:numId="878">
    <w:abstractNumId w:val="880"/>
  </w:num>
  <w:num w:numId="879">
    <w:abstractNumId w:val="881"/>
  </w:num>
  <w:num w:numId="880">
    <w:abstractNumId w:val="882"/>
  </w:num>
  <w:num w:numId="881">
    <w:abstractNumId w:val="883"/>
  </w:num>
  <w:num w:numId="882">
    <w:abstractNumId w:val="884"/>
  </w:num>
  <w:num w:numId="883">
    <w:abstractNumId w:val="885"/>
  </w:num>
  <w:num w:numId="884">
    <w:abstractNumId w:val="886"/>
  </w:num>
  <w:num w:numId="885">
    <w:abstractNumId w:val="887"/>
  </w:num>
  <w:num w:numId="886">
    <w:abstractNumId w:val="888"/>
  </w:num>
  <w:num w:numId="887">
    <w:abstractNumId w:val="889"/>
  </w:num>
  <w:num w:numId="888">
    <w:abstractNumId w:val="890"/>
  </w:num>
  <w:num w:numId="889">
    <w:abstractNumId w:val="891"/>
  </w:num>
  <w:num w:numId="890">
    <w:abstractNumId w:val="892"/>
  </w:num>
  <w:num w:numId="891">
    <w:abstractNumId w:val="893"/>
  </w:num>
  <w:num w:numId="892">
    <w:abstractNumId w:val="894"/>
  </w:num>
  <w:num w:numId="893">
    <w:abstractNumId w:val="895"/>
  </w:num>
  <w:num w:numId="894">
    <w:abstractNumId w:val="896"/>
  </w:num>
  <w:num w:numId="895">
    <w:abstractNumId w:val="897"/>
  </w:num>
  <w:num w:numId="896">
    <w:abstractNumId w:val="898"/>
  </w:num>
  <w:num w:numId="897">
    <w:abstractNumId w:val="899"/>
  </w:num>
  <w:num w:numId="898">
    <w:abstractNumId w:val="900"/>
  </w:num>
  <w:num w:numId="899">
    <w:abstractNumId w:val="901"/>
  </w:num>
  <w:num w:numId="900">
    <w:abstractNumId w:val="902"/>
  </w:num>
  <w:num w:numId="901">
    <w:abstractNumId w:val="903"/>
  </w:num>
  <w:num w:numId="902">
    <w:abstractNumId w:val="904"/>
  </w:num>
  <w:num w:numId="903">
    <w:abstractNumId w:val="905"/>
  </w:num>
  <w:num w:numId="904">
    <w:abstractNumId w:val="906"/>
  </w:num>
  <w:num w:numId="905">
    <w:abstractNumId w:val="907"/>
  </w:num>
  <w:num w:numId="906">
    <w:abstractNumId w:val="908"/>
  </w:num>
  <w:num w:numId="907">
    <w:abstractNumId w:val="909"/>
  </w:num>
  <w:num w:numId="908">
    <w:abstractNumId w:val="910"/>
  </w:num>
  <w:num w:numId="909">
    <w:abstractNumId w:val="911"/>
  </w:num>
  <w:num w:numId="910">
    <w:abstractNumId w:val="912"/>
  </w:num>
  <w:num w:numId="911">
    <w:abstractNumId w:val="913"/>
  </w:num>
  <w:num w:numId="912">
    <w:abstractNumId w:val="914"/>
  </w:num>
  <w:num w:numId="913">
    <w:abstractNumId w:val="915"/>
  </w:num>
  <w:num w:numId="914">
    <w:abstractNumId w:val="916"/>
  </w:num>
  <w:num w:numId="915">
    <w:abstractNumId w:val="917"/>
  </w:num>
  <w:num w:numId="916">
    <w:abstractNumId w:val="918"/>
  </w:num>
  <w:num w:numId="917">
    <w:abstractNumId w:val="919"/>
  </w:num>
  <w:num w:numId="918">
    <w:abstractNumId w:val="920"/>
  </w:num>
  <w:num w:numId="919">
    <w:abstractNumId w:val="921"/>
  </w:num>
  <w:num w:numId="920">
    <w:abstractNumId w:val="922"/>
  </w:num>
  <w:num w:numId="921">
    <w:abstractNumId w:val="923"/>
  </w:num>
  <w:num w:numId="922">
    <w:abstractNumId w:val="924"/>
  </w:num>
  <w:num w:numId="923">
    <w:abstractNumId w:val="925"/>
  </w:num>
  <w:num w:numId="924">
    <w:abstractNumId w:val="926"/>
  </w:num>
  <w:num w:numId="925">
    <w:abstractNumId w:val="927"/>
  </w:num>
  <w:num w:numId="926">
    <w:abstractNumId w:val="928"/>
  </w:num>
  <w:num w:numId="927">
    <w:abstractNumId w:val="929"/>
  </w:num>
  <w:num w:numId="928">
    <w:abstractNumId w:val="930"/>
  </w:num>
  <w:num w:numId="929">
    <w:abstractNumId w:val="931"/>
  </w:num>
  <w:num w:numId="930">
    <w:abstractNumId w:val="932"/>
  </w:num>
  <w:num w:numId="931">
    <w:abstractNumId w:val="933"/>
  </w:num>
  <w:num w:numId="932">
    <w:abstractNumId w:val="934"/>
  </w:num>
  <w:num w:numId="933">
    <w:abstractNumId w:val="935"/>
  </w:num>
  <w:num w:numId="934">
    <w:abstractNumId w:val="936"/>
  </w:num>
  <w:num w:numId="935">
    <w:abstractNumId w:val="937"/>
  </w:num>
  <w:num w:numId="936">
    <w:abstractNumId w:val="938"/>
  </w:num>
  <w:num w:numId="937">
    <w:abstractNumId w:val="939"/>
  </w:num>
  <w:num w:numId="938">
    <w:abstractNumId w:val="940"/>
  </w:num>
  <w:num w:numId="939">
    <w:abstractNumId w:val="941"/>
  </w:num>
  <w:num w:numId="940">
    <w:abstractNumId w:val="942"/>
  </w:num>
  <w:num w:numId="941">
    <w:abstractNumId w:val="943"/>
  </w:num>
  <w:num w:numId="942">
    <w:abstractNumId w:val="944"/>
  </w:num>
  <w:num w:numId="943">
    <w:abstractNumId w:val="945"/>
  </w:num>
  <w:num w:numId="944">
    <w:abstractNumId w:val="946"/>
  </w:num>
  <w:num w:numId="945">
    <w:abstractNumId w:val="947"/>
  </w:num>
  <w:num w:numId="946">
    <w:abstractNumId w:val="948"/>
  </w:num>
  <w:num w:numId="947">
    <w:abstractNumId w:val="949"/>
  </w:num>
  <w:num w:numId="948">
    <w:abstractNumId w:val="950"/>
  </w:num>
  <w:num w:numId="949">
    <w:abstractNumId w:val="951"/>
  </w:num>
  <w:num w:numId="950">
    <w:abstractNumId w:val="952"/>
  </w:num>
  <w:num w:numId="951">
    <w:abstractNumId w:val="953"/>
  </w:num>
  <w:num w:numId="952">
    <w:abstractNumId w:val="954"/>
  </w:num>
  <w:num w:numId="953">
    <w:abstractNumId w:val="955"/>
  </w:num>
  <w:num w:numId="954">
    <w:abstractNumId w:val="956"/>
  </w:num>
  <w:num w:numId="955">
    <w:abstractNumId w:val="957"/>
  </w:num>
  <w:num w:numId="956">
    <w:abstractNumId w:val="958"/>
  </w:num>
  <w:num w:numId="957">
    <w:abstractNumId w:val="959"/>
  </w:num>
  <w:num w:numId="958">
    <w:abstractNumId w:val="960"/>
  </w:num>
  <w:num w:numId="959">
    <w:abstractNumId w:val="961"/>
  </w:num>
  <w:num w:numId="960">
    <w:abstractNumId w:val="962"/>
  </w:num>
  <w:num w:numId="961">
    <w:abstractNumId w:val="963"/>
  </w:num>
  <w:num w:numId="962">
    <w:abstractNumId w:val="964"/>
  </w:num>
  <w:num w:numId="963">
    <w:abstractNumId w:val="965"/>
  </w:num>
  <w:num w:numId="964">
    <w:abstractNumId w:val="966"/>
  </w:num>
  <w:num w:numId="965">
    <w:abstractNumId w:val="967"/>
  </w:num>
  <w:num w:numId="966">
    <w:abstractNumId w:val="968"/>
  </w:num>
  <w:num w:numId="967">
    <w:abstractNumId w:val="969"/>
  </w:num>
  <w:num w:numId="968">
    <w:abstractNumId w:val="970"/>
  </w:num>
  <w:num w:numId="969">
    <w:abstractNumId w:val="971"/>
  </w:num>
  <w:num w:numId="970">
    <w:abstractNumId w:val="972"/>
  </w:num>
  <w:num w:numId="971">
    <w:abstractNumId w:val="973"/>
  </w:num>
  <w:num w:numId="972">
    <w:abstractNumId w:val="974"/>
  </w:num>
  <w:num w:numId="973">
    <w:abstractNumId w:val="975"/>
  </w:num>
  <w:num w:numId="974">
    <w:abstractNumId w:val="976"/>
  </w:num>
  <w:num w:numId="975">
    <w:abstractNumId w:val="977"/>
  </w:num>
  <w:num w:numId="976">
    <w:abstractNumId w:val="978"/>
  </w:num>
  <w:num w:numId="977">
    <w:abstractNumId w:val="979"/>
  </w:num>
  <w:num w:numId="978">
    <w:abstractNumId w:val="980"/>
  </w:num>
  <w:num w:numId="979">
    <w:abstractNumId w:val="981"/>
  </w:num>
  <w:num w:numId="980">
    <w:abstractNumId w:val="982"/>
  </w:num>
  <w:num w:numId="981">
    <w:abstractNumId w:val="983"/>
  </w:num>
  <w:num w:numId="982">
    <w:abstractNumId w:val="984"/>
  </w:num>
  <w:num w:numId="983">
    <w:abstractNumId w:val="985"/>
  </w:num>
  <w:num w:numId="984">
    <w:abstractNumId w:val="986"/>
  </w:num>
  <w:num w:numId="985">
    <w:abstractNumId w:val="987"/>
  </w:num>
  <w:num w:numId="986">
    <w:abstractNumId w:val="988"/>
  </w:num>
  <w:num w:numId="987">
    <w:abstractNumId w:val="989"/>
  </w:num>
  <w:num w:numId="988">
    <w:abstractNumId w:val="990"/>
  </w:num>
  <w:num w:numId="989">
    <w:abstractNumId w:val="991"/>
  </w:num>
  <w:num w:numId="990">
    <w:abstractNumId w:val="992"/>
  </w:num>
  <w:num w:numId="991">
    <w:abstractNumId w:val="993"/>
  </w:num>
  <w:num w:numId="992">
    <w:abstractNumId w:val="994"/>
  </w:num>
  <w:num w:numId="993">
    <w:abstractNumId w:val="995"/>
  </w:num>
  <w:num w:numId="994">
    <w:abstractNumId w:val="996"/>
  </w:num>
  <w:num w:numId="995">
    <w:abstractNumId w:val="997"/>
  </w:num>
  <w:num w:numId="996">
    <w:abstractNumId w:val="998"/>
  </w:num>
  <w:num w:numId="997">
    <w:abstractNumId w:val="999"/>
  </w:num>
  <w:num w:numId="998">
    <w:abstractNumId w:val="1000"/>
  </w:num>
  <w:num w:numId="999">
    <w:abstractNumId w:val="1001"/>
  </w:num>
  <w:num w:numId="1000">
    <w:abstractNumId w:val="1002"/>
  </w:num>
  <w:num w:numId="1001">
    <w:abstractNumId w:val="1003"/>
  </w:num>
  <w:num w:numId="1002">
    <w:abstractNumId w:val="1004"/>
  </w:num>
  <w:num w:numId="1003">
    <w:abstractNumId w:val="1005"/>
  </w:num>
  <w:num w:numId="1004">
    <w:abstractNumId w:val="1006"/>
  </w:num>
  <w:num w:numId="1005">
    <w:abstractNumId w:val="1007"/>
  </w:num>
  <w:num w:numId="1006">
    <w:abstractNumId w:val="1008"/>
  </w:num>
  <w:num w:numId="1007">
    <w:abstractNumId w:val="1009"/>
  </w:num>
  <w:num w:numId="1008">
    <w:abstractNumId w:val="1010"/>
  </w:num>
  <w:num w:numId="1009">
    <w:abstractNumId w:val="1011"/>
  </w:num>
  <w:num w:numId="1010">
    <w:abstractNumId w:val="1012"/>
  </w:num>
  <w:num w:numId="1011">
    <w:abstractNumId w:val="1013"/>
  </w:num>
  <w:num w:numId="1012">
    <w:abstractNumId w:val="1014"/>
  </w:num>
  <w:num w:numId="1013">
    <w:abstractNumId w:val="1015"/>
  </w:num>
  <w:num w:numId="1014">
    <w:abstractNumId w:val="1016"/>
  </w:num>
  <w:num w:numId="1015">
    <w:abstractNumId w:val="1017"/>
  </w:num>
  <w:num w:numId="1016">
    <w:abstractNumId w:val="1018"/>
  </w:num>
  <w:num w:numId="1017">
    <w:abstractNumId w:val="1019"/>
  </w:num>
  <w:num w:numId="1018">
    <w:abstractNumId w:val="1020"/>
  </w:num>
  <w:num w:numId="1019">
    <w:abstractNumId w:val="1021"/>
  </w:num>
  <w:num w:numId="1020">
    <w:abstractNumId w:val="1022"/>
  </w:num>
  <w:num w:numId="1021">
    <w:abstractNumId w:val="1023"/>
  </w:num>
  <w:num w:numId="1022">
    <w:abstractNumId w:val="1024"/>
  </w:num>
  <w:num w:numId="1023">
    <w:abstractNumId w:val="1025"/>
  </w:num>
  <w:num w:numId="1024">
    <w:abstractNumId w:val="1026"/>
  </w:num>
  <w:num w:numId="1025">
    <w:abstractNumId w:val="1027"/>
  </w:num>
  <w:num w:numId="1026">
    <w:abstractNumId w:val="1028"/>
  </w:num>
  <w:num w:numId="1027">
    <w:abstractNumId w:val="1029"/>
  </w:num>
  <w:num w:numId="1028">
    <w:abstractNumId w:val="1030"/>
  </w:num>
  <w:num w:numId="1029">
    <w:abstractNumId w:val="1031"/>
  </w:num>
  <w:num w:numId="1030">
    <w:abstractNumId w:val="1032"/>
  </w:num>
  <w:num w:numId="1031">
    <w:abstractNumId w:val="1033"/>
  </w:num>
  <w:numIdMacAtCleanup w:val="10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embedTrueTypeFonts/>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LW_DocType" w:val="REP"/>
  </w:docVars>
  <w:rsids>
    <w:rsidRoot w:val="00B538D8"/>
    <w:rsid w:val="00001E6E"/>
    <w:rsid w:val="000025C7"/>
    <w:rsid w:val="00002B97"/>
    <w:rsid w:val="00011C15"/>
    <w:rsid w:val="00013F30"/>
    <w:rsid w:val="000161D2"/>
    <w:rsid w:val="00027B3A"/>
    <w:rsid w:val="000465D1"/>
    <w:rsid w:val="000509CF"/>
    <w:rsid w:val="00052488"/>
    <w:rsid w:val="0005270A"/>
    <w:rsid w:val="000567D8"/>
    <w:rsid w:val="000610F9"/>
    <w:rsid w:val="00062C4F"/>
    <w:rsid w:val="00063729"/>
    <w:rsid w:val="0006666A"/>
    <w:rsid w:val="00066936"/>
    <w:rsid w:val="000700A3"/>
    <w:rsid w:val="00070BF2"/>
    <w:rsid w:val="00073100"/>
    <w:rsid w:val="00077D84"/>
    <w:rsid w:val="00084750"/>
    <w:rsid w:val="00094BC2"/>
    <w:rsid w:val="00097749"/>
    <w:rsid w:val="00097AD4"/>
    <w:rsid w:val="000A1ABB"/>
    <w:rsid w:val="000A2719"/>
    <w:rsid w:val="000A3480"/>
    <w:rsid w:val="000A3CD6"/>
    <w:rsid w:val="000A5F1F"/>
    <w:rsid w:val="000A612B"/>
    <w:rsid w:val="000B40D7"/>
    <w:rsid w:val="000B66B5"/>
    <w:rsid w:val="000B76DA"/>
    <w:rsid w:val="000C1FE8"/>
    <w:rsid w:val="000C269C"/>
    <w:rsid w:val="000C2E95"/>
    <w:rsid w:val="000C3217"/>
    <w:rsid w:val="000C494F"/>
    <w:rsid w:val="000C570C"/>
    <w:rsid w:val="000C778E"/>
    <w:rsid w:val="000D1F6A"/>
    <w:rsid w:val="000D49BF"/>
    <w:rsid w:val="000D6FA3"/>
    <w:rsid w:val="000E0B8E"/>
    <w:rsid w:val="000E0F54"/>
    <w:rsid w:val="000E1B5D"/>
    <w:rsid w:val="000E23C9"/>
    <w:rsid w:val="000E4C90"/>
    <w:rsid w:val="000F088C"/>
    <w:rsid w:val="000F1FF8"/>
    <w:rsid w:val="000F288D"/>
    <w:rsid w:val="000F2B29"/>
    <w:rsid w:val="000F4D07"/>
    <w:rsid w:val="000F77B2"/>
    <w:rsid w:val="00102D6F"/>
    <w:rsid w:val="00103CEE"/>
    <w:rsid w:val="00115C88"/>
    <w:rsid w:val="00116DD6"/>
    <w:rsid w:val="00117C66"/>
    <w:rsid w:val="00120799"/>
    <w:rsid w:val="001225A7"/>
    <w:rsid w:val="001233A5"/>
    <w:rsid w:val="00123B0C"/>
    <w:rsid w:val="00124612"/>
    <w:rsid w:val="00126C6E"/>
    <w:rsid w:val="00127FED"/>
    <w:rsid w:val="0013208A"/>
    <w:rsid w:val="00132A62"/>
    <w:rsid w:val="00135D7E"/>
    <w:rsid w:val="00136257"/>
    <w:rsid w:val="001404DA"/>
    <w:rsid w:val="001430E4"/>
    <w:rsid w:val="00147229"/>
    <w:rsid w:val="00153C72"/>
    <w:rsid w:val="00157E5A"/>
    <w:rsid w:val="00162E7B"/>
    <w:rsid w:val="00164810"/>
    <w:rsid w:val="00164D2A"/>
    <w:rsid w:val="001659FC"/>
    <w:rsid w:val="001677EA"/>
    <w:rsid w:val="00167F92"/>
    <w:rsid w:val="00170CD8"/>
    <w:rsid w:val="00171825"/>
    <w:rsid w:val="00171EBD"/>
    <w:rsid w:val="001755F5"/>
    <w:rsid w:val="00180BE9"/>
    <w:rsid w:val="001810DA"/>
    <w:rsid w:val="00192821"/>
    <w:rsid w:val="001934ED"/>
    <w:rsid w:val="00196DE7"/>
    <w:rsid w:val="001A0B3E"/>
    <w:rsid w:val="001A0F53"/>
    <w:rsid w:val="001A115C"/>
    <w:rsid w:val="001A6E77"/>
    <w:rsid w:val="001B284B"/>
    <w:rsid w:val="001B3243"/>
    <w:rsid w:val="001B4816"/>
    <w:rsid w:val="001B6D5B"/>
    <w:rsid w:val="001C0105"/>
    <w:rsid w:val="001C2C04"/>
    <w:rsid w:val="001C727B"/>
    <w:rsid w:val="001D0303"/>
    <w:rsid w:val="001D094F"/>
    <w:rsid w:val="001D32CC"/>
    <w:rsid w:val="001D35C9"/>
    <w:rsid w:val="001D534D"/>
    <w:rsid w:val="001D7835"/>
    <w:rsid w:val="001E1B85"/>
    <w:rsid w:val="001E1D5A"/>
    <w:rsid w:val="001F10DC"/>
    <w:rsid w:val="001F159E"/>
    <w:rsid w:val="001F4D52"/>
    <w:rsid w:val="001F7091"/>
    <w:rsid w:val="002031B8"/>
    <w:rsid w:val="00211D52"/>
    <w:rsid w:val="00213D61"/>
    <w:rsid w:val="00213F7E"/>
    <w:rsid w:val="00214CBA"/>
    <w:rsid w:val="0022049F"/>
    <w:rsid w:val="002217EF"/>
    <w:rsid w:val="002249E9"/>
    <w:rsid w:val="00230797"/>
    <w:rsid w:val="002318C0"/>
    <w:rsid w:val="002349C3"/>
    <w:rsid w:val="00236422"/>
    <w:rsid w:val="00252B51"/>
    <w:rsid w:val="0025435C"/>
    <w:rsid w:val="002559D7"/>
    <w:rsid w:val="00256893"/>
    <w:rsid w:val="0025740D"/>
    <w:rsid w:val="002643D8"/>
    <w:rsid w:val="002652D4"/>
    <w:rsid w:val="00270E99"/>
    <w:rsid w:val="0027265C"/>
    <w:rsid w:val="00273AB1"/>
    <w:rsid w:val="00275463"/>
    <w:rsid w:val="0027612B"/>
    <w:rsid w:val="00276253"/>
    <w:rsid w:val="00280E12"/>
    <w:rsid w:val="0029100A"/>
    <w:rsid w:val="00292B54"/>
    <w:rsid w:val="00296983"/>
    <w:rsid w:val="002A764E"/>
    <w:rsid w:val="002B150D"/>
    <w:rsid w:val="002B334D"/>
    <w:rsid w:val="002B57B0"/>
    <w:rsid w:val="002D1F0B"/>
    <w:rsid w:val="002E2EA7"/>
    <w:rsid w:val="002E2F12"/>
    <w:rsid w:val="002E457C"/>
    <w:rsid w:val="002F1A1E"/>
    <w:rsid w:val="002F21D8"/>
    <w:rsid w:val="002F399F"/>
    <w:rsid w:val="003000A8"/>
    <w:rsid w:val="00300F23"/>
    <w:rsid w:val="003039ED"/>
    <w:rsid w:val="00305BA4"/>
    <w:rsid w:val="00310935"/>
    <w:rsid w:val="0031284E"/>
    <w:rsid w:val="00313DB4"/>
    <w:rsid w:val="00314BC7"/>
    <w:rsid w:val="00317EAC"/>
    <w:rsid w:val="00320947"/>
    <w:rsid w:val="003269DC"/>
    <w:rsid w:val="003315A0"/>
    <w:rsid w:val="00335A6C"/>
    <w:rsid w:val="00341479"/>
    <w:rsid w:val="00346BC2"/>
    <w:rsid w:val="00350D1F"/>
    <w:rsid w:val="003528C3"/>
    <w:rsid w:val="0035305C"/>
    <w:rsid w:val="0035701C"/>
    <w:rsid w:val="003600B2"/>
    <w:rsid w:val="003616F6"/>
    <w:rsid w:val="0036424C"/>
    <w:rsid w:val="003677C2"/>
    <w:rsid w:val="00370BD4"/>
    <w:rsid w:val="003734F9"/>
    <w:rsid w:val="00373D3F"/>
    <w:rsid w:val="00373FCE"/>
    <w:rsid w:val="003800EA"/>
    <w:rsid w:val="003835F2"/>
    <w:rsid w:val="00387F2E"/>
    <w:rsid w:val="00390980"/>
    <w:rsid w:val="003930B0"/>
    <w:rsid w:val="0039384A"/>
    <w:rsid w:val="00395EBD"/>
    <w:rsid w:val="003A1DB6"/>
    <w:rsid w:val="003A4EA8"/>
    <w:rsid w:val="003B05E1"/>
    <w:rsid w:val="003B1046"/>
    <w:rsid w:val="003B4025"/>
    <w:rsid w:val="003B4FD5"/>
    <w:rsid w:val="003B5A4C"/>
    <w:rsid w:val="003B6D4A"/>
    <w:rsid w:val="003C5EE6"/>
    <w:rsid w:val="003C6C81"/>
    <w:rsid w:val="003C6E91"/>
    <w:rsid w:val="003D0D1A"/>
    <w:rsid w:val="003D2871"/>
    <w:rsid w:val="003D54AB"/>
    <w:rsid w:val="003D6038"/>
    <w:rsid w:val="003D6B97"/>
    <w:rsid w:val="003D7415"/>
    <w:rsid w:val="003E20E8"/>
    <w:rsid w:val="003F26A0"/>
    <w:rsid w:val="003F6BAD"/>
    <w:rsid w:val="00402C44"/>
    <w:rsid w:val="00403AEE"/>
    <w:rsid w:val="0042065A"/>
    <w:rsid w:val="004247C1"/>
    <w:rsid w:val="004256BD"/>
    <w:rsid w:val="00426DE9"/>
    <w:rsid w:val="004333F7"/>
    <w:rsid w:val="00435642"/>
    <w:rsid w:val="00436740"/>
    <w:rsid w:val="00440C49"/>
    <w:rsid w:val="004410C4"/>
    <w:rsid w:val="004415DD"/>
    <w:rsid w:val="0044304C"/>
    <w:rsid w:val="00446CDB"/>
    <w:rsid w:val="0045367A"/>
    <w:rsid w:val="0045450B"/>
    <w:rsid w:val="004551CD"/>
    <w:rsid w:val="0045561B"/>
    <w:rsid w:val="0046183D"/>
    <w:rsid w:val="00463BDE"/>
    <w:rsid w:val="004653AB"/>
    <w:rsid w:val="004675DD"/>
    <w:rsid w:val="00471404"/>
    <w:rsid w:val="00472B70"/>
    <w:rsid w:val="00473930"/>
    <w:rsid w:val="00480D7E"/>
    <w:rsid w:val="00481510"/>
    <w:rsid w:val="004820D8"/>
    <w:rsid w:val="004837C9"/>
    <w:rsid w:val="00483C37"/>
    <w:rsid w:val="00487D45"/>
    <w:rsid w:val="00492969"/>
    <w:rsid w:val="00492BAA"/>
    <w:rsid w:val="004936B2"/>
    <w:rsid w:val="00493CD1"/>
    <w:rsid w:val="00495491"/>
    <w:rsid w:val="004A1010"/>
    <w:rsid w:val="004A30DD"/>
    <w:rsid w:val="004A339B"/>
    <w:rsid w:val="004A33F6"/>
    <w:rsid w:val="004A6135"/>
    <w:rsid w:val="004B6788"/>
    <w:rsid w:val="004D111A"/>
    <w:rsid w:val="004D174D"/>
    <w:rsid w:val="004D4465"/>
    <w:rsid w:val="004E0320"/>
    <w:rsid w:val="004E1EFA"/>
    <w:rsid w:val="004E4892"/>
    <w:rsid w:val="004E4F78"/>
    <w:rsid w:val="004F1344"/>
    <w:rsid w:val="004F3466"/>
    <w:rsid w:val="004F4163"/>
    <w:rsid w:val="004F5302"/>
    <w:rsid w:val="004F7AEA"/>
    <w:rsid w:val="004F7FCB"/>
    <w:rsid w:val="00500B0F"/>
    <w:rsid w:val="00500F47"/>
    <w:rsid w:val="0050247A"/>
    <w:rsid w:val="005031FD"/>
    <w:rsid w:val="00503BD6"/>
    <w:rsid w:val="005103F1"/>
    <w:rsid w:val="00513D98"/>
    <w:rsid w:val="00513DDF"/>
    <w:rsid w:val="0051429C"/>
    <w:rsid w:val="0051495D"/>
    <w:rsid w:val="00520A73"/>
    <w:rsid w:val="00522CDD"/>
    <w:rsid w:val="00523057"/>
    <w:rsid w:val="00533CE2"/>
    <w:rsid w:val="00533D94"/>
    <w:rsid w:val="005347FE"/>
    <w:rsid w:val="005351C4"/>
    <w:rsid w:val="00540728"/>
    <w:rsid w:val="0054420F"/>
    <w:rsid w:val="005507F0"/>
    <w:rsid w:val="0055080F"/>
    <w:rsid w:val="005526A1"/>
    <w:rsid w:val="00554619"/>
    <w:rsid w:val="0056286B"/>
    <w:rsid w:val="0056464E"/>
    <w:rsid w:val="0056504B"/>
    <w:rsid w:val="005708CD"/>
    <w:rsid w:val="00573B11"/>
    <w:rsid w:val="005762A6"/>
    <w:rsid w:val="00577C7C"/>
    <w:rsid w:val="00581D46"/>
    <w:rsid w:val="00582465"/>
    <w:rsid w:val="005835DB"/>
    <w:rsid w:val="0058522A"/>
    <w:rsid w:val="00586587"/>
    <w:rsid w:val="00591357"/>
    <w:rsid w:val="005929CE"/>
    <w:rsid w:val="00592E64"/>
    <w:rsid w:val="005956D6"/>
    <w:rsid w:val="00596225"/>
    <w:rsid w:val="005A3E85"/>
    <w:rsid w:val="005A4E6C"/>
    <w:rsid w:val="005A7E2E"/>
    <w:rsid w:val="005B02DF"/>
    <w:rsid w:val="005B246C"/>
    <w:rsid w:val="005B64EE"/>
    <w:rsid w:val="005B6CAE"/>
    <w:rsid w:val="005B78CA"/>
    <w:rsid w:val="005C4370"/>
    <w:rsid w:val="005C5A7B"/>
    <w:rsid w:val="005C738E"/>
    <w:rsid w:val="005D2051"/>
    <w:rsid w:val="005D7F00"/>
    <w:rsid w:val="005E13F3"/>
    <w:rsid w:val="005E2F69"/>
    <w:rsid w:val="005E3AE2"/>
    <w:rsid w:val="005E62F8"/>
    <w:rsid w:val="005E7742"/>
    <w:rsid w:val="005F4C83"/>
    <w:rsid w:val="0060035A"/>
    <w:rsid w:val="00601990"/>
    <w:rsid w:val="00601CBC"/>
    <w:rsid w:val="006057F9"/>
    <w:rsid w:val="0060603B"/>
    <w:rsid w:val="00606455"/>
    <w:rsid w:val="006116E6"/>
    <w:rsid w:val="006124CE"/>
    <w:rsid w:val="00613117"/>
    <w:rsid w:val="00613798"/>
    <w:rsid w:val="006151DE"/>
    <w:rsid w:val="006157B8"/>
    <w:rsid w:val="006160A3"/>
    <w:rsid w:val="006208A1"/>
    <w:rsid w:val="00622438"/>
    <w:rsid w:val="00623950"/>
    <w:rsid w:val="006241B1"/>
    <w:rsid w:val="006260BC"/>
    <w:rsid w:val="006351D9"/>
    <w:rsid w:val="0063550E"/>
    <w:rsid w:val="0064258E"/>
    <w:rsid w:val="006430A2"/>
    <w:rsid w:val="00645E72"/>
    <w:rsid w:val="00645FC2"/>
    <w:rsid w:val="00647B27"/>
    <w:rsid w:val="00652AB7"/>
    <w:rsid w:val="00653F17"/>
    <w:rsid w:val="00655A9D"/>
    <w:rsid w:val="00662B1F"/>
    <w:rsid w:val="00664580"/>
    <w:rsid w:val="00665CB5"/>
    <w:rsid w:val="0067352E"/>
    <w:rsid w:val="006752F0"/>
    <w:rsid w:val="006761F1"/>
    <w:rsid w:val="0067763F"/>
    <w:rsid w:val="00677D23"/>
    <w:rsid w:val="00681D22"/>
    <w:rsid w:val="006823E0"/>
    <w:rsid w:val="00682E0A"/>
    <w:rsid w:val="00684864"/>
    <w:rsid w:val="0068582F"/>
    <w:rsid w:val="00687A5D"/>
    <w:rsid w:val="0069064B"/>
    <w:rsid w:val="00697AF8"/>
    <w:rsid w:val="00697B88"/>
    <w:rsid w:val="006A1E7E"/>
    <w:rsid w:val="006A642E"/>
    <w:rsid w:val="006A6603"/>
    <w:rsid w:val="006A6ADF"/>
    <w:rsid w:val="006A79C6"/>
    <w:rsid w:val="006A7B34"/>
    <w:rsid w:val="006B2045"/>
    <w:rsid w:val="006B3D4E"/>
    <w:rsid w:val="006B5E16"/>
    <w:rsid w:val="006C2059"/>
    <w:rsid w:val="006C3E71"/>
    <w:rsid w:val="006C4BB2"/>
    <w:rsid w:val="006C66F2"/>
    <w:rsid w:val="006D1B2F"/>
    <w:rsid w:val="006D4255"/>
    <w:rsid w:val="006D51D2"/>
    <w:rsid w:val="006D7733"/>
    <w:rsid w:val="006E141E"/>
    <w:rsid w:val="006E38BC"/>
    <w:rsid w:val="006F043F"/>
    <w:rsid w:val="006F2890"/>
    <w:rsid w:val="006F3C3C"/>
    <w:rsid w:val="006F40C8"/>
    <w:rsid w:val="007008B0"/>
    <w:rsid w:val="00701CDF"/>
    <w:rsid w:val="00702D11"/>
    <w:rsid w:val="007114E3"/>
    <w:rsid w:val="00712477"/>
    <w:rsid w:val="00716B84"/>
    <w:rsid w:val="0071733B"/>
    <w:rsid w:val="00722F31"/>
    <w:rsid w:val="00730878"/>
    <w:rsid w:val="0073128E"/>
    <w:rsid w:val="0073361C"/>
    <w:rsid w:val="00733ECB"/>
    <w:rsid w:val="00735504"/>
    <w:rsid w:val="007400B0"/>
    <w:rsid w:val="00745828"/>
    <w:rsid w:val="00745E3B"/>
    <w:rsid w:val="007522B8"/>
    <w:rsid w:val="00753BD9"/>
    <w:rsid w:val="00754A4E"/>
    <w:rsid w:val="00762B8C"/>
    <w:rsid w:val="0076455A"/>
    <w:rsid w:val="007656FD"/>
    <w:rsid w:val="007660E6"/>
    <w:rsid w:val="007668A0"/>
    <w:rsid w:val="00767DB2"/>
    <w:rsid w:val="00770266"/>
    <w:rsid w:val="00774D6C"/>
    <w:rsid w:val="0078153C"/>
    <w:rsid w:val="007826C1"/>
    <w:rsid w:val="0078362A"/>
    <w:rsid w:val="007855B4"/>
    <w:rsid w:val="00792538"/>
    <w:rsid w:val="00796234"/>
    <w:rsid w:val="007A1805"/>
    <w:rsid w:val="007A3328"/>
    <w:rsid w:val="007A635F"/>
    <w:rsid w:val="007B1B62"/>
    <w:rsid w:val="007B1E8F"/>
    <w:rsid w:val="007B1FC4"/>
    <w:rsid w:val="007B576B"/>
    <w:rsid w:val="007B61BD"/>
    <w:rsid w:val="007C5188"/>
    <w:rsid w:val="007D587A"/>
    <w:rsid w:val="007D5D56"/>
    <w:rsid w:val="007D6D19"/>
    <w:rsid w:val="007D6E83"/>
    <w:rsid w:val="007E02B0"/>
    <w:rsid w:val="007E2E52"/>
    <w:rsid w:val="007E5AA1"/>
    <w:rsid w:val="007F4D3A"/>
    <w:rsid w:val="007F5425"/>
    <w:rsid w:val="007F550F"/>
    <w:rsid w:val="00804844"/>
    <w:rsid w:val="00806281"/>
    <w:rsid w:val="0080631C"/>
    <w:rsid w:val="00822331"/>
    <w:rsid w:val="00823970"/>
    <w:rsid w:val="00824932"/>
    <w:rsid w:val="00831875"/>
    <w:rsid w:val="00833149"/>
    <w:rsid w:val="0083323C"/>
    <w:rsid w:val="00835A48"/>
    <w:rsid w:val="008361C0"/>
    <w:rsid w:val="008377CE"/>
    <w:rsid w:val="00841108"/>
    <w:rsid w:val="00844188"/>
    <w:rsid w:val="008460C0"/>
    <w:rsid w:val="00852277"/>
    <w:rsid w:val="0085264B"/>
    <w:rsid w:val="00862C72"/>
    <w:rsid w:val="00865F4C"/>
    <w:rsid w:val="008675BB"/>
    <w:rsid w:val="0086766F"/>
    <w:rsid w:val="00872453"/>
    <w:rsid w:val="00877A08"/>
    <w:rsid w:val="00881CAB"/>
    <w:rsid w:val="00885932"/>
    <w:rsid w:val="00890D8C"/>
    <w:rsid w:val="008949E7"/>
    <w:rsid w:val="00896B8B"/>
    <w:rsid w:val="008A3813"/>
    <w:rsid w:val="008B0569"/>
    <w:rsid w:val="008B3D56"/>
    <w:rsid w:val="008B6933"/>
    <w:rsid w:val="008B7655"/>
    <w:rsid w:val="008C265C"/>
    <w:rsid w:val="008C5263"/>
    <w:rsid w:val="008C69A8"/>
    <w:rsid w:val="008D1DF1"/>
    <w:rsid w:val="008D20B7"/>
    <w:rsid w:val="008D22EB"/>
    <w:rsid w:val="008F6004"/>
    <w:rsid w:val="008F6F4D"/>
    <w:rsid w:val="009023C1"/>
    <w:rsid w:val="00904F66"/>
    <w:rsid w:val="00906244"/>
    <w:rsid w:val="0091298E"/>
    <w:rsid w:val="0091395A"/>
    <w:rsid w:val="00917C39"/>
    <w:rsid w:val="00922575"/>
    <w:rsid w:val="009250B5"/>
    <w:rsid w:val="0093008E"/>
    <w:rsid w:val="00932D2B"/>
    <w:rsid w:val="00933977"/>
    <w:rsid w:val="00933AB3"/>
    <w:rsid w:val="0093544E"/>
    <w:rsid w:val="0093591A"/>
    <w:rsid w:val="00935975"/>
    <w:rsid w:val="00941838"/>
    <w:rsid w:val="009440D0"/>
    <w:rsid w:val="009479DA"/>
    <w:rsid w:val="00950DA3"/>
    <w:rsid w:val="00955D0B"/>
    <w:rsid w:val="009564CC"/>
    <w:rsid w:val="009567F1"/>
    <w:rsid w:val="0096173E"/>
    <w:rsid w:val="00961E83"/>
    <w:rsid w:val="0096308C"/>
    <w:rsid w:val="00963927"/>
    <w:rsid w:val="009649FC"/>
    <w:rsid w:val="00965273"/>
    <w:rsid w:val="009678C3"/>
    <w:rsid w:val="00967E22"/>
    <w:rsid w:val="0097024E"/>
    <w:rsid w:val="009719F1"/>
    <w:rsid w:val="00973C9F"/>
    <w:rsid w:val="009742F3"/>
    <w:rsid w:val="009757E4"/>
    <w:rsid w:val="0097740C"/>
    <w:rsid w:val="00981D73"/>
    <w:rsid w:val="00985132"/>
    <w:rsid w:val="00985272"/>
    <w:rsid w:val="00990D9F"/>
    <w:rsid w:val="00991CD2"/>
    <w:rsid w:val="00991EDD"/>
    <w:rsid w:val="00997D6B"/>
    <w:rsid w:val="009A45B6"/>
    <w:rsid w:val="009B31D3"/>
    <w:rsid w:val="009B3977"/>
    <w:rsid w:val="009C0DDE"/>
    <w:rsid w:val="009C1E4E"/>
    <w:rsid w:val="009C66D9"/>
    <w:rsid w:val="009C7B69"/>
    <w:rsid w:val="009D5849"/>
    <w:rsid w:val="009D6F5E"/>
    <w:rsid w:val="009E3C76"/>
    <w:rsid w:val="009E5C79"/>
    <w:rsid w:val="009E7D93"/>
    <w:rsid w:val="009F40F0"/>
    <w:rsid w:val="009F584F"/>
    <w:rsid w:val="009F60DB"/>
    <w:rsid w:val="009F7173"/>
    <w:rsid w:val="00A010F9"/>
    <w:rsid w:val="00A01402"/>
    <w:rsid w:val="00A03817"/>
    <w:rsid w:val="00A05415"/>
    <w:rsid w:val="00A056FC"/>
    <w:rsid w:val="00A07CBE"/>
    <w:rsid w:val="00A112AE"/>
    <w:rsid w:val="00A11929"/>
    <w:rsid w:val="00A1370F"/>
    <w:rsid w:val="00A20E9A"/>
    <w:rsid w:val="00A22775"/>
    <w:rsid w:val="00A24F4C"/>
    <w:rsid w:val="00A25A3B"/>
    <w:rsid w:val="00A32868"/>
    <w:rsid w:val="00A333C2"/>
    <w:rsid w:val="00A34070"/>
    <w:rsid w:val="00A35763"/>
    <w:rsid w:val="00A373F9"/>
    <w:rsid w:val="00A40DBE"/>
    <w:rsid w:val="00A41BAE"/>
    <w:rsid w:val="00A50A65"/>
    <w:rsid w:val="00A52742"/>
    <w:rsid w:val="00A60C30"/>
    <w:rsid w:val="00A65079"/>
    <w:rsid w:val="00A73622"/>
    <w:rsid w:val="00A7548C"/>
    <w:rsid w:val="00A80F3C"/>
    <w:rsid w:val="00A81C7B"/>
    <w:rsid w:val="00A845EB"/>
    <w:rsid w:val="00A85DE5"/>
    <w:rsid w:val="00A91087"/>
    <w:rsid w:val="00A930A3"/>
    <w:rsid w:val="00A9326B"/>
    <w:rsid w:val="00A94034"/>
    <w:rsid w:val="00AA05A9"/>
    <w:rsid w:val="00AA188B"/>
    <w:rsid w:val="00AA2E49"/>
    <w:rsid w:val="00AB0744"/>
    <w:rsid w:val="00AB0AF3"/>
    <w:rsid w:val="00AB36D7"/>
    <w:rsid w:val="00AC12E9"/>
    <w:rsid w:val="00AC73F5"/>
    <w:rsid w:val="00AD3BB9"/>
    <w:rsid w:val="00AD6E66"/>
    <w:rsid w:val="00AD7793"/>
    <w:rsid w:val="00AE0E87"/>
    <w:rsid w:val="00AE257B"/>
    <w:rsid w:val="00AE600B"/>
    <w:rsid w:val="00AE6F88"/>
    <w:rsid w:val="00AE709B"/>
    <w:rsid w:val="00AF0575"/>
    <w:rsid w:val="00AF1974"/>
    <w:rsid w:val="00AF2DC6"/>
    <w:rsid w:val="00AF341F"/>
    <w:rsid w:val="00AF41AE"/>
    <w:rsid w:val="00B00661"/>
    <w:rsid w:val="00B03C51"/>
    <w:rsid w:val="00B20D1D"/>
    <w:rsid w:val="00B21222"/>
    <w:rsid w:val="00B21E0A"/>
    <w:rsid w:val="00B2659E"/>
    <w:rsid w:val="00B27306"/>
    <w:rsid w:val="00B30A29"/>
    <w:rsid w:val="00B318F2"/>
    <w:rsid w:val="00B31D32"/>
    <w:rsid w:val="00B3222D"/>
    <w:rsid w:val="00B40BFF"/>
    <w:rsid w:val="00B443AB"/>
    <w:rsid w:val="00B45822"/>
    <w:rsid w:val="00B460D4"/>
    <w:rsid w:val="00B46162"/>
    <w:rsid w:val="00B476FF"/>
    <w:rsid w:val="00B538D8"/>
    <w:rsid w:val="00B55624"/>
    <w:rsid w:val="00B617BF"/>
    <w:rsid w:val="00B62C7C"/>
    <w:rsid w:val="00B634CE"/>
    <w:rsid w:val="00B6369C"/>
    <w:rsid w:val="00B715D7"/>
    <w:rsid w:val="00B72E62"/>
    <w:rsid w:val="00B73220"/>
    <w:rsid w:val="00B767CE"/>
    <w:rsid w:val="00B7764A"/>
    <w:rsid w:val="00B8133E"/>
    <w:rsid w:val="00B8350C"/>
    <w:rsid w:val="00B84E2F"/>
    <w:rsid w:val="00B85A61"/>
    <w:rsid w:val="00B86465"/>
    <w:rsid w:val="00B8703B"/>
    <w:rsid w:val="00B9026D"/>
    <w:rsid w:val="00B90745"/>
    <w:rsid w:val="00B92511"/>
    <w:rsid w:val="00B93020"/>
    <w:rsid w:val="00B93EA9"/>
    <w:rsid w:val="00B94542"/>
    <w:rsid w:val="00BA0280"/>
    <w:rsid w:val="00BA5FE9"/>
    <w:rsid w:val="00BB04AF"/>
    <w:rsid w:val="00BB0FFD"/>
    <w:rsid w:val="00BB2B5D"/>
    <w:rsid w:val="00BB66ED"/>
    <w:rsid w:val="00BB7D5C"/>
    <w:rsid w:val="00BC1F05"/>
    <w:rsid w:val="00BC3CD5"/>
    <w:rsid w:val="00BD1873"/>
    <w:rsid w:val="00BD365B"/>
    <w:rsid w:val="00BD37DC"/>
    <w:rsid w:val="00BD6214"/>
    <w:rsid w:val="00BD6D7E"/>
    <w:rsid w:val="00BE42BC"/>
    <w:rsid w:val="00BE7EFD"/>
    <w:rsid w:val="00BF23A6"/>
    <w:rsid w:val="00BF3502"/>
    <w:rsid w:val="00BF61CA"/>
    <w:rsid w:val="00BF6851"/>
    <w:rsid w:val="00BF70E8"/>
    <w:rsid w:val="00C02FD6"/>
    <w:rsid w:val="00C065A3"/>
    <w:rsid w:val="00C06E87"/>
    <w:rsid w:val="00C07A9C"/>
    <w:rsid w:val="00C11B5B"/>
    <w:rsid w:val="00C11BE8"/>
    <w:rsid w:val="00C239FD"/>
    <w:rsid w:val="00C24504"/>
    <w:rsid w:val="00C267DB"/>
    <w:rsid w:val="00C30808"/>
    <w:rsid w:val="00C31C13"/>
    <w:rsid w:val="00C32EA9"/>
    <w:rsid w:val="00C37449"/>
    <w:rsid w:val="00C4065C"/>
    <w:rsid w:val="00C431C7"/>
    <w:rsid w:val="00C44D42"/>
    <w:rsid w:val="00C513D9"/>
    <w:rsid w:val="00C51B09"/>
    <w:rsid w:val="00C53BBA"/>
    <w:rsid w:val="00C66855"/>
    <w:rsid w:val="00C679F5"/>
    <w:rsid w:val="00C7396B"/>
    <w:rsid w:val="00C77483"/>
    <w:rsid w:val="00C80F15"/>
    <w:rsid w:val="00C81F1C"/>
    <w:rsid w:val="00C839F9"/>
    <w:rsid w:val="00C8410C"/>
    <w:rsid w:val="00C850EC"/>
    <w:rsid w:val="00C93C45"/>
    <w:rsid w:val="00C94214"/>
    <w:rsid w:val="00C97CD8"/>
    <w:rsid w:val="00C97FEA"/>
    <w:rsid w:val="00CA254E"/>
    <w:rsid w:val="00CA3805"/>
    <w:rsid w:val="00CA4B21"/>
    <w:rsid w:val="00CB4E82"/>
    <w:rsid w:val="00CB70B2"/>
    <w:rsid w:val="00CC4CA1"/>
    <w:rsid w:val="00CD41E8"/>
    <w:rsid w:val="00CE1876"/>
    <w:rsid w:val="00CE1AA3"/>
    <w:rsid w:val="00CE44E0"/>
    <w:rsid w:val="00CE634B"/>
    <w:rsid w:val="00CE6C7E"/>
    <w:rsid w:val="00CE765E"/>
    <w:rsid w:val="00CF2B79"/>
    <w:rsid w:val="00D016B2"/>
    <w:rsid w:val="00D01FDC"/>
    <w:rsid w:val="00D04457"/>
    <w:rsid w:val="00D06E66"/>
    <w:rsid w:val="00D07EF5"/>
    <w:rsid w:val="00D11F45"/>
    <w:rsid w:val="00D16293"/>
    <w:rsid w:val="00D1798C"/>
    <w:rsid w:val="00D2323A"/>
    <w:rsid w:val="00D270C6"/>
    <w:rsid w:val="00D3271A"/>
    <w:rsid w:val="00D3774A"/>
    <w:rsid w:val="00D41F31"/>
    <w:rsid w:val="00D43C96"/>
    <w:rsid w:val="00D45D54"/>
    <w:rsid w:val="00D463BB"/>
    <w:rsid w:val="00D47A59"/>
    <w:rsid w:val="00D50C8E"/>
    <w:rsid w:val="00D56401"/>
    <w:rsid w:val="00D56D3F"/>
    <w:rsid w:val="00D60EA7"/>
    <w:rsid w:val="00D61034"/>
    <w:rsid w:val="00D61818"/>
    <w:rsid w:val="00D6288E"/>
    <w:rsid w:val="00D62EBC"/>
    <w:rsid w:val="00D63037"/>
    <w:rsid w:val="00D63843"/>
    <w:rsid w:val="00D64824"/>
    <w:rsid w:val="00D665B4"/>
    <w:rsid w:val="00D66F31"/>
    <w:rsid w:val="00D678A6"/>
    <w:rsid w:val="00D84936"/>
    <w:rsid w:val="00D871EF"/>
    <w:rsid w:val="00D9564A"/>
    <w:rsid w:val="00DA1018"/>
    <w:rsid w:val="00DA300A"/>
    <w:rsid w:val="00DA519F"/>
    <w:rsid w:val="00DA7483"/>
    <w:rsid w:val="00DB08E2"/>
    <w:rsid w:val="00DB61FF"/>
    <w:rsid w:val="00DB6D70"/>
    <w:rsid w:val="00DB72E9"/>
    <w:rsid w:val="00DB7B69"/>
    <w:rsid w:val="00DC048E"/>
    <w:rsid w:val="00DC1DCF"/>
    <w:rsid w:val="00DD0126"/>
    <w:rsid w:val="00DD5A16"/>
    <w:rsid w:val="00DD666B"/>
    <w:rsid w:val="00DD688A"/>
    <w:rsid w:val="00DD6B00"/>
    <w:rsid w:val="00DD6F94"/>
    <w:rsid w:val="00DD7E0F"/>
    <w:rsid w:val="00DE0620"/>
    <w:rsid w:val="00DE23CD"/>
    <w:rsid w:val="00DE5B0F"/>
    <w:rsid w:val="00DE7057"/>
    <w:rsid w:val="00DF1C5A"/>
    <w:rsid w:val="00E00250"/>
    <w:rsid w:val="00E00BFB"/>
    <w:rsid w:val="00E02876"/>
    <w:rsid w:val="00E05D0C"/>
    <w:rsid w:val="00E102D6"/>
    <w:rsid w:val="00E131E4"/>
    <w:rsid w:val="00E218BC"/>
    <w:rsid w:val="00E25FF2"/>
    <w:rsid w:val="00E27E99"/>
    <w:rsid w:val="00E350C5"/>
    <w:rsid w:val="00E36839"/>
    <w:rsid w:val="00E36CFE"/>
    <w:rsid w:val="00E376EB"/>
    <w:rsid w:val="00E416F7"/>
    <w:rsid w:val="00E43039"/>
    <w:rsid w:val="00E433A3"/>
    <w:rsid w:val="00E44E08"/>
    <w:rsid w:val="00E539EA"/>
    <w:rsid w:val="00E56C80"/>
    <w:rsid w:val="00E74C34"/>
    <w:rsid w:val="00E75314"/>
    <w:rsid w:val="00E80DA9"/>
    <w:rsid w:val="00E837D9"/>
    <w:rsid w:val="00E908F6"/>
    <w:rsid w:val="00E9195D"/>
    <w:rsid w:val="00E92EA6"/>
    <w:rsid w:val="00E96710"/>
    <w:rsid w:val="00E97EDE"/>
    <w:rsid w:val="00EA1D65"/>
    <w:rsid w:val="00EA4436"/>
    <w:rsid w:val="00EB1612"/>
    <w:rsid w:val="00EB1A85"/>
    <w:rsid w:val="00EB41E9"/>
    <w:rsid w:val="00EC30C6"/>
    <w:rsid w:val="00EC46D1"/>
    <w:rsid w:val="00ED6F6D"/>
    <w:rsid w:val="00EE0618"/>
    <w:rsid w:val="00EE2A9F"/>
    <w:rsid w:val="00EE44EE"/>
    <w:rsid w:val="00EF01EB"/>
    <w:rsid w:val="00EF053A"/>
    <w:rsid w:val="00EF0A6C"/>
    <w:rsid w:val="00EF187A"/>
    <w:rsid w:val="00EF3DBE"/>
    <w:rsid w:val="00EF61B7"/>
    <w:rsid w:val="00F01C6C"/>
    <w:rsid w:val="00F027A1"/>
    <w:rsid w:val="00F02EA4"/>
    <w:rsid w:val="00F04FBB"/>
    <w:rsid w:val="00F050FE"/>
    <w:rsid w:val="00F07103"/>
    <w:rsid w:val="00F15B9E"/>
    <w:rsid w:val="00F15C83"/>
    <w:rsid w:val="00F220A6"/>
    <w:rsid w:val="00F2218A"/>
    <w:rsid w:val="00F235A7"/>
    <w:rsid w:val="00F25280"/>
    <w:rsid w:val="00F31C52"/>
    <w:rsid w:val="00F3466D"/>
    <w:rsid w:val="00F42B41"/>
    <w:rsid w:val="00F44A31"/>
    <w:rsid w:val="00F521A2"/>
    <w:rsid w:val="00F522B6"/>
    <w:rsid w:val="00F56D48"/>
    <w:rsid w:val="00F57504"/>
    <w:rsid w:val="00F57F5E"/>
    <w:rsid w:val="00F60A85"/>
    <w:rsid w:val="00F62865"/>
    <w:rsid w:val="00F62EAE"/>
    <w:rsid w:val="00F63AA7"/>
    <w:rsid w:val="00F65987"/>
    <w:rsid w:val="00F72192"/>
    <w:rsid w:val="00F726E0"/>
    <w:rsid w:val="00F75192"/>
    <w:rsid w:val="00F76731"/>
    <w:rsid w:val="00F827A1"/>
    <w:rsid w:val="00F830ED"/>
    <w:rsid w:val="00F84139"/>
    <w:rsid w:val="00F91EF7"/>
    <w:rsid w:val="00F924AA"/>
    <w:rsid w:val="00F93F14"/>
    <w:rsid w:val="00F96518"/>
    <w:rsid w:val="00F97D98"/>
    <w:rsid w:val="00FA170B"/>
    <w:rsid w:val="00FA3205"/>
    <w:rsid w:val="00FA5EC2"/>
    <w:rsid w:val="00FB0230"/>
    <w:rsid w:val="00FB49AA"/>
    <w:rsid w:val="00FB561B"/>
    <w:rsid w:val="00FB7A20"/>
    <w:rsid w:val="00FC0939"/>
    <w:rsid w:val="00FC227B"/>
    <w:rsid w:val="00FC31BC"/>
    <w:rsid w:val="00FC46D4"/>
    <w:rsid w:val="00FC48CA"/>
    <w:rsid w:val="00FC674B"/>
    <w:rsid w:val="00FD0D13"/>
    <w:rsid w:val="00FD4934"/>
    <w:rsid w:val="00FD6CA9"/>
    <w:rsid w:val="00FD7E3F"/>
    <w:rsid w:val="00FE0D41"/>
    <w:rsid w:val="00FE23A0"/>
    <w:rsid w:val="00FE3D9F"/>
    <w:rsid w:val="00FE549C"/>
    <w:rsid w:val="00FE668E"/>
    <w:rsid w:val="00FE7349"/>
    <w:rsid w:val="00FF0F7B"/>
    <w:rsid w:val="00FF7BFC"/>
  </w:rsids>
  <m:mathPr>
    <m:mathFont m:val="Cambria Math"/>
    <m:brkBin m:val="before"/>
    <m:brkBinSub m:val="--"/>
    <m:smallFrac m:val="0"/>
    <m:dispDef/>
    <m:lMargin m:val="0"/>
    <m:rMargin m:val="0"/>
    <m:defJc m:val="centerGroup"/>
    <m:wrapRight/>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D6D7E"/>
    <w:pPr>
      <w:spacing w:before="120" w:after="120"/>
      <w:jc w:val="both"/>
    </w:pPr>
    <w:rPr>
      <w:sz w:val="24"/>
      <w:lang w:eastAsia="en-US"/>
    </w:rPr>
  </w:style>
  <w:style w:type="paragraph" w:styleId="Titre1">
    <w:name w:val="heading 1"/>
    <w:basedOn w:val="Normal"/>
    <w:next w:val="Normal"/>
    <w:qFormat/>
    <w:rsid w:val="00162E7B"/>
    <w:pPr>
      <w:keepNext/>
      <w:numPr>
        <w:numId w:val="19"/>
      </w:numPr>
      <w:spacing w:before="240" w:after="240"/>
      <w:outlineLvl w:val="0"/>
    </w:pPr>
    <w:rPr>
      <w:b/>
      <w:smallCaps/>
      <w:sz w:val="28"/>
      <w:lang w:val="fr-BE"/>
    </w:rPr>
  </w:style>
  <w:style w:type="paragraph" w:styleId="Titre2">
    <w:name w:val="heading 2"/>
    <w:basedOn w:val="Titre1"/>
    <w:next w:val="Normal"/>
    <w:link w:val="Titre2Car"/>
    <w:autoRedefine/>
    <w:qFormat/>
    <w:rsid w:val="00554619"/>
    <w:pPr>
      <w:numPr>
        <w:ilvl w:val="1"/>
      </w:numPr>
      <w:outlineLvl w:val="1"/>
    </w:pPr>
    <w:rPr>
      <w:smallCaps w:val="0"/>
      <w:sz w:val="24"/>
    </w:rPr>
  </w:style>
  <w:style w:type="paragraph" w:styleId="Titre3">
    <w:name w:val="heading 3"/>
    <w:basedOn w:val="Titre2"/>
    <w:next w:val="Normal"/>
    <w:link w:val="Titre3Car"/>
    <w:autoRedefine/>
    <w:qFormat/>
    <w:rsid w:val="00F235A7"/>
    <w:pPr>
      <w:numPr>
        <w:ilvl w:val="2"/>
      </w:numPr>
      <w:outlineLvl w:val="2"/>
    </w:pPr>
    <w:rPr>
      <w:b w:val="0"/>
      <w:color w:val="000000"/>
    </w:rPr>
  </w:style>
  <w:style w:type="paragraph" w:styleId="Titre4">
    <w:name w:val="heading 4"/>
    <w:basedOn w:val="Titre3"/>
    <w:next w:val="Normal"/>
    <w:link w:val="Titre4Car"/>
    <w:qFormat/>
    <w:rsid w:val="00554619"/>
    <w:pPr>
      <w:numPr>
        <w:ilvl w:val="3"/>
      </w:numPr>
      <w:outlineLvl w:val="3"/>
    </w:pPr>
    <w:rPr>
      <w:i/>
    </w:rPr>
  </w:style>
  <w:style w:type="paragraph" w:styleId="Titre5">
    <w:name w:val="heading 5"/>
    <w:basedOn w:val="Titre4"/>
    <w:next w:val="Normal"/>
    <w:qFormat/>
    <w:rsid w:val="001D534D"/>
    <w:pPr>
      <w:numPr>
        <w:ilvl w:val="4"/>
      </w:numPr>
      <w:jc w:val="left"/>
      <w:outlineLvl w:val="4"/>
    </w:pPr>
    <w:rPr>
      <w:rFonts w:ascii="Arial" w:hAnsi="Arial"/>
      <w:b/>
      <w:i w:val="0"/>
      <w:noProof/>
      <w:sz w:val="22"/>
    </w:rPr>
  </w:style>
  <w:style w:type="paragraph" w:styleId="Titre6">
    <w:name w:val="heading 6"/>
    <w:basedOn w:val="Titre5"/>
    <w:next w:val="Normal"/>
    <w:qFormat/>
    <w:rsid w:val="00F235A7"/>
    <w:pPr>
      <w:numPr>
        <w:ilvl w:val="5"/>
      </w:numPr>
      <w:spacing w:after="60"/>
      <w:outlineLvl w:val="5"/>
    </w:pPr>
    <w:rPr>
      <w:b w:val="0"/>
    </w:rPr>
  </w:style>
  <w:style w:type="paragraph" w:styleId="Titre7">
    <w:name w:val="heading 7"/>
    <w:basedOn w:val="Titre6"/>
    <w:next w:val="Normal"/>
    <w:qFormat/>
    <w:rsid w:val="00F235A7"/>
    <w:pPr>
      <w:numPr>
        <w:ilvl w:val="6"/>
      </w:numPr>
      <w:outlineLvl w:val="6"/>
    </w:pPr>
    <w:rPr>
      <w:i/>
    </w:rPr>
  </w:style>
  <w:style w:type="paragraph" w:styleId="Titre8">
    <w:name w:val="heading 8"/>
    <w:basedOn w:val="Titre7"/>
    <w:next w:val="Normal"/>
    <w:qFormat/>
    <w:rsid w:val="001D534D"/>
    <w:pPr>
      <w:numPr>
        <w:ilvl w:val="7"/>
      </w:numPr>
      <w:outlineLvl w:val="7"/>
    </w:pPr>
    <w:rPr>
      <w:rFonts w:ascii="Calibri" w:hAnsi="Calibri"/>
      <w:b/>
      <w:i w:val="0"/>
      <w:sz w:val="24"/>
    </w:rPr>
  </w:style>
  <w:style w:type="paragraph" w:styleId="Titre9">
    <w:name w:val="heading 9"/>
    <w:basedOn w:val="Titre8"/>
    <w:next w:val="Normal"/>
    <w:qFormat/>
    <w:rsid w:val="00F235A7"/>
    <w:pPr>
      <w:numPr>
        <w:ilvl w:val="8"/>
      </w:numPr>
      <w:outlineLvl w:val="8"/>
    </w:pPr>
    <w:rPr>
      <w:b w:val="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Normalcentr">
    <w:name w:val="Block Text"/>
    <w:basedOn w:val="Normal"/>
    <w:pPr>
      <w:ind w:left="1440" w:right="1440"/>
    </w:pPr>
  </w:style>
  <w:style w:type="paragraph" w:styleId="Corpsdetexte">
    <w:name w:val="Body Text"/>
    <w:basedOn w:val="Normal"/>
  </w:style>
  <w:style w:type="paragraph" w:styleId="Corpsdetexte2">
    <w:name w:val="Body Text 2"/>
    <w:basedOn w:val="Normal"/>
    <w:pPr>
      <w:spacing w:line="480" w:lineRule="auto"/>
    </w:pPr>
  </w:style>
  <w:style w:type="paragraph" w:styleId="Corpsdetexte3">
    <w:name w:val="Body Text 3"/>
    <w:basedOn w:val="Normal"/>
    <w:rPr>
      <w:sz w:val="16"/>
    </w:rPr>
  </w:style>
  <w:style w:type="paragraph" w:styleId="Retrait1religne">
    <w:name w:val="Body Text First Indent"/>
    <w:basedOn w:val="Corpsdetexte"/>
    <w:pPr>
      <w:ind w:firstLine="210"/>
    </w:pPr>
  </w:style>
  <w:style w:type="paragraph" w:styleId="Retraitcorpsdetexte">
    <w:name w:val="Body Text Indent"/>
    <w:basedOn w:val="Normal"/>
    <w:pPr>
      <w:ind w:left="283"/>
    </w:pPr>
  </w:style>
  <w:style w:type="paragraph" w:styleId="Retraitcorpset1relig">
    <w:name w:val="Body Text First Indent 2"/>
    <w:basedOn w:val="Retraitcorpsdetexte"/>
    <w:pPr>
      <w:ind w:firstLine="210"/>
    </w:pPr>
  </w:style>
  <w:style w:type="paragraph" w:styleId="Retraitcorpsdetexte2">
    <w:name w:val="Body Text Indent 2"/>
    <w:basedOn w:val="Normal"/>
    <w:pPr>
      <w:spacing w:line="480" w:lineRule="auto"/>
      <w:ind w:left="283"/>
    </w:pPr>
  </w:style>
  <w:style w:type="paragraph" w:styleId="Retraitcorpsdetexte3">
    <w:name w:val="Body Text Indent 3"/>
    <w:basedOn w:val="Normal"/>
    <w:pPr>
      <w:ind w:left="283"/>
    </w:pPr>
    <w:rPr>
      <w:sz w:val="16"/>
    </w:rPr>
  </w:style>
  <w:style w:type="paragraph" w:styleId="Lgende">
    <w:name w:val="caption"/>
    <w:basedOn w:val="Normal"/>
    <w:next w:val="Normal"/>
    <w:qFormat/>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Titre1"/>
    <w:pPr>
      <w:keepNext/>
      <w:spacing w:after="480"/>
      <w:jc w:val="center"/>
    </w:pPr>
    <w:rPr>
      <w:b/>
      <w:smallCaps/>
      <w:sz w:val="28"/>
    </w:rPr>
  </w:style>
  <w:style w:type="paragraph" w:styleId="Formuledepolitesse">
    <w:name w:val="Closing"/>
    <w:basedOn w:val="Normal"/>
    <w:pPr>
      <w:ind w:left="4252"/>
    </w:pPr>
  </w:style>
  <w:style w:type="paragraph" w:styleId="Commentaire">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Explorateurdedocuments">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Notedefin">
    <w:name w:val="endnote text"/>
    <w:basedOn w:val="Normal"/>
    <w:semiHidden/>
    <w:rPr>
      <w:sz w:val="20"/>
    </w:rPr>
  </w:style>
  <w:style w:type="paragraph" w:styleId="Adressedestinataire">
    <w:name w:val="envelope address"/>
    <w:basedOn w:val="Normal"/>
    <w:pPr>
      <w:framePr w:w="7920" w:h="1980" w:hRule="exact" w:hSpace="180" w:wrap="auto" w:hAnchor="page" w:xAlign="center" w:yAlign="bottom"/>
      <w:spacing w:after="0"/>
    </w:pPr>
  </w:style>
  <w:style w:type="paragraph" w:styleId="Adresseexpditeur">
    <w:name w:val="envelope return"/>
    <w:basedOn w:val="Normal"/>
    <w:pPr>
      <w:spacing w:after="0"/>
    </w:pPr>
    <w:rPr>
      <w:sz w:val="20"/>
    </w:rPr>
  </w:style>
  <w:style w:type="paragraph" w:styleId="Pieddepage">
    <w:name w:val="footer"/>
    <w:basedOn w:val="Normal"/>
    <w:link w:val="PieddepageCar"/>
    <w:uiPriority w:val="99"/>
    <w:pPr>
      <w:spacing w:after="0"/>
      <w:ind w:right="-567"/>
      <w:jc w:val="left"/>
    </w:pPr>
    <w:rPr>
      <w:rFonts w:ascii="Arial" w:hAnsi="Arial"/>
      <w:sz w:val="16"/>
    </w:rPr>
  </w:style>
  <w:style w:type="paragraph" w:styleId="Notedebasdepage">
    <w:name w:val="footnote text"/>
    <w:basedOn w:val="Normal"/>
    <w:semiHidden/>
    <w:pPr>
      <w:ind w:left="357" w:hanging="357"/>
    </w:pPr>
    <w:rPr>
      <w:sz w:val="20"/>
    </w:rPr>
  </w:style>
  <w:style w:type="paragraph" w:styleId="En-tte">
    <w:name w:val="header"/>
    <w:basedOn w:val="Normal"/>
    <w:link w:val="En-tteC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Titreindex">
    <w:name w:val="index heading"/>
    <w:basedOn w:val="Normal"/>
    <w:next w:val="Index1"/>
    <w:semiHidden/>
    <w:rPr>
      <w:rFonts w:ascii="Arial" w:hAnsi="Arial"/>
      <w:b/>
    </w:rPr>
  </w:style>
  <w:style w:type="paragraph" w:styleId="Liste">
    <w:name w:val="List"/>
    <w:basedOn w:val="Normal"/>
    <w:pPr>
      <w:ind w:left="283" w:hanging="283"/>
    </w:pPr>
  </w:style>
  <w:style w:type="paragraph" w:styleId="Liste2">
    <w:name w:val="List 2"/>
    <w:basedOn w:val="Normal"/>
    <w:pPr>
      <w:ind w:left="566" w:hanging="283"/>
    </w:pPr>
  </w:style>
  <w:style w:type="paragraph" w:styleId="Liste3">
    <w:name w:val="List 3"/>
    <w:basedOn w:val="Normal"/>
    <w:pPr>
      <w:ind w:left="849" w:hanging="283"/>
    </w:pPr>
  </w:style>
  <w:style w:type="paragraph" w:styleId="Liste4">
    <w:name w:val="List 4"/>
    <w:basedOn w:val="Normal"/>
    <w:pPr>
      <w:ind w:left="1132" w:hanging="283"/>
    </w:pPr>
  </w:style>
  <w:style w:type="paragraph" w:styleId="Liste5">
    <w:name w:val="List 5"/>
    <w:basedOn w:val="Normal"/>
    <w:pPr>
      <w:ind w:left="1415" w:hanging="283"/>
    </w:pPr>
  </w:style>
  <w:style w:type="paragraph" w:styleId="Listepuces">
    <w:name w:val="List Bullet"/>
    <w:basedOn w:val="Normal"/>
    <w:pPr>
      <w:numPr>
        <w:numId w:val="3"/>
      </w:numPr>
    </w:pPr>
  </w:style>
  <w:style w:type="paragraph" w:styleId="Listepuces2">
    <w:name w:val="List Bullet 2"/>
    <w:basedOn w:val="Text2"/>
    <w:pPr>
      <w:numPr>
        <w:numId w:val="5"/>
      </w:numPr>
      <w:tabs>
        <w:tab w:val="clear" w:pos="2302"/>
      </w:tabs>
    </w:pPr>
  </w:style>
  <w:style w:type="paragraph" w:styleId="Listepuces3">
    <w:name w:val="List Bullet 3"/>
    <w:basedOn w:val="Text3"/>
    <w:pPr>
      <w:numPr>
        <w:numId w:val="6"/>
      </w:numPr>
      <w:tabs>
        <w:tab w:val="clear" w:pos="2302"/>
      </w:tabs>
    </w:pPr>
  </w:style>
  <w:style w:type="paragraph" w:styleId="Listepuces4">
    <w:name w:val="List Bullet 4"/>
    <w:basedOn w:val="Text4"/>
    <w:pPr>
      <w:numPr>
        <w:numId w:val="7"/>
      </w:numPr>
      <w:tabs>
        <w:tab w:val="clear" w:pos="2302"/>
      </w:tabs>
    </w:pPr>
  </w:style>
  <w:style w:type="paragraph" w:styleId="Listepuces5">
    <w:name w:val="List Bullet 5"/>
    <w:basedOn w:val="Normal"/>
    <w:autoRedefine/>
    <w:pPr>
      <w:numPr>
        <w:numId w:val="1"/>
      </w:numPr>
    </w:pPr>
  </w:style>
  <w:style w:type="paragraph" w:styleId="Listecontinue">
    <w:name w:val="List Continue"/>
    <w:basedOn w:val="Normal"/>
    <w:pPr>
      <w:ind w:left="283"/>
    </w:pPr>
  </w:style>
  <w:style w:type="paragraph" w:styleId="Listecontinue2">
    <w:name w:val="List Continue 2"/>
    <w:basedOn w:val="Normal"/>
    <w:pPr>
      <w:ind w:left="566"/>
    </w:pPr>
  </w:style>
  <w:style w:type="paragraph" w:styleId="Listecontinue3">
    <w:name w:val="List Continue 3"/>
    <w:basedOn w:val="Normal"/>
    <w:pPr>
      <w:ind w:left="849"/>
    </w:pPr>
  </w:style>
  <w:style w:type="paragraph" w:styleId="Listecontinue4">
    <w:name w:val="List Continue 4"/>
    <w:basedOn w:val="Normal"/>
    <w:pPr>
      <w:ind w:left="1132"/>
    </w:pPr>
  </w:style>
  <w:style w:type="paragraph" w:styleId="Listecontinue5">
    <w:name w:val="List Continue 5"/>
    <w:basedOn w:val="Normal"/>
    <w:pPr>
      <w:ind w:left="1415"/>
    </w:pPr>
  </w:style>
  <w:style w:type="paragraph" w:styleId="Listenumros">
    <w:name w:val="List Number"/>
    <w:basedOn w:val="Normal"/>
    <w:pPr>
      <w:numPr>
        <w:numId w:val="13"/>
      </w:numPr>
    </w:pPr>
  </w:style>
  <w:style w:type="paragraph" w:styleId="Listenumros2">
    <w:name w:val="List Number 2"/>
    <w:basedOn w:val="Text2"/>
    <w:pPr>
      <w:numPr>
        <w:numId w:val="15"/>
      </w:numPr>
      <w:tabs>
        <w:tab w:val="clear" w:pos="2302"/>
      </w:tabs>
    </w:pPr>
  </w:style>
  <w:style w:type="paragraph" w:styleId="Listenumros3">
    <w:name w:val="List Number 3"/>
    <w:basedOn w:val="Text3"/>
    <w:pPr>
      <w:numPr>
        <w:numId w:val="16"/>
      </w:numPr>
      <w:tabs>
        <w:tab w:val="clear" w:pos="2302"/>
      </w:tabs>
    </w:pPr>
  </w:style>
  <w:style w:type="paragraph" w:styleId="Listenumros4">
    <w:name w:val="List Number 4"/>
    <w:basedOn w:val="Text4"/>
    <w:pPr>
      <w:numPr>
        <w:numId w:val="17"/>
      </w:numPr>
      <w:tabs>
        <w:tab w:val="clear" w:pos="2302"/>
      </w:tabs>
    </w:pPr>
  </w:style>
  <w:style w:type="paragraph" w:styleId="Listenumros5">
    <w:name w:val="List Number 5"/>
    <w:basedOn w:val="Normal"/>
    <w:pPr>
      <w:numPr>
        <w:numId w:val="2"/>
      </w:numPr>
    </w:pPr>
  </w:style>
  <w:style w:type="paragraph" w:styleId="Textede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eastAsia="en-US"/>
    </w:rPr>
  </w:style>
  <w:style w:type="paragraph" w:styleId="En-ttedemessage">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Retraitnormal">
    <w:name w:val="Normal Indent"/>
    <w:basedOn w:val="Normal"/>
    <w:pPr>
      <w:ind w:left="720"/>
    </w:pPr>
  </w:style>
  <w:style w:type="paragraph" w:styleId="Titredenote">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Titre1"/>
    <w:next w:val="Text1"/>
    <w:pPr>
      <w:keepNext w:val="0"/>
      <w:spacing w:before="0"/>
      <w:outlineLvl w:val="9"/>
    </w:pPr>
    <w:rPr>
      <w:b w:val="0"/>
      <w:smallCaps w:val="0"/>
    </w:rPr>
  </w:style>
  <w:style w:type="paragraph" w:customStyle="1" w:styleId="NumPar2">
    <w:name w:val="NumPar 2"/>
    <w:basedOn w:val="Titre2"/>
    <w:next w:val="Text2"/>
    <w:pPr>
      <w:keepNext w:val="0"/>
      <w:outlineLvl w:val="9"/>
    </w:pPr>
    <w:rPr>
      <w:b w:val="0"/>
    </w:rPr>
  </w:style>
  <w:style w:type="paragraph" w:customStyle="1" w:styleId="NumPar3">
    <w:name w:val="NumPar 3"/>
    <w:basedOn w:val="Titre3"/>
    <w:next w:val="Text3"/>
    <w:pPr>
      <w:keepNext w:val="0"/>
      <w:outlineLvl w:val="9"/>
    </w:pPr>
    <w:rPr>
      <w:i/>
    </w:rPr>
  </w:style>
  <w:style w:type="paragraph" w:customStyle="1" w:styleId="NumPar4">
    <w:name w:val="NumPar 4"/>
    <w:basedOn w:val="Titre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Textebrut">
    <w:name w:val="Plain Text"/>
    <w:basedOn w:val="Normal"/>
    <w:rPr>
      <w:rFonts w:ascii="Courier New" w:hAnsi="Courier New"/>
      <w:sz w:val="20"/>
    </w:rPr>
  </w:style>
  <w:style w:type="paragraph" w:styleId="Salutations">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ous-titr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desrfrencesjuridiques">
    <w:name w:val="table of authorities"/>
    <w:basedOn w:val="Normal"/>
    <w:next w:val="Normal"/>
    <w:semiHidden/>
    <w:pPr>
      <w:ind w:left="240" w:hanging="240"/>
    </w:pPr>
  </w:style>
  <w:style w:type="paragraph" w:styleId="Tabledesillustrations">
    <w:name w:val="table of figures"/>
    <w:basedOn w:val="Normal"/>
    <w:next w:val="Normal"/>
    <w:uiPriority w:val="99"/>
    <w:pPr>
      <w:ind w:left="480" w:hanging="480"/>
    </w:pPr>
  </w:style>
  <w:style w:type="paragraph" w:styleId="Titre">
    <w:name w:val="Title"/>
    <w:basedOn w:val="Normal"/>
    <w:next w:val="SubTitle1"/>
    <w:link w:val="TitreCar"/>
    <w:qFormat/>
    <w:pPr>
      <w:spacing w:after="480"/>
      <w:jc w:val="center"/>
    </w:pPr>
    <w:rPr>
      <w:b/>
      <w:kern w:val="28"/>
      <w:sz w:val="48"/>
    </w:rPr>
  </w:style>
  <w:style w:type="paragraph" w:styleId="TitreTR">
    <w:name w:val="toa heading"/>
    <w:basedOn w:val="Normal"/>
    <w:next w:val="Normal"/>
    <w:semiHidden/>
    <w:rPr>
      <w:rFonts w:ascii="Arial" w:hAnsi="Arial"/>
      <w:b/>
    </w:rPr>
  </w:style>
  <w:style w:type="paragraph" w:styleId="TM1">
    <w:name w:val="toc 1"/>
    <w:basedOn w:val="Normal"/>
    <w:next w:val="Normal"/>
    <w:uiPriority w:val="39"/>
    <w:qFormat/>
    <w:rsid w:val="00062C4F"/>
    <w:pPr>
      <w:tabs>
        <w:tab w:val="right" w:leader="dot" w:pos="10206"/>
      </w:tabs>
      <w:ind w:left="482" w:right="720" w:hanging="482"/>
    </w:pPr>
    <w:rPr>
      <w:caps/>
    </w:rPr>
  </w:style>
  <w:style w:type="paragraph" w:styleId="TM2">
    <w:name w:val="toc 2"/>
    <w:basedOn w:val="Normal"/>
    <w:next w:val="Normal"/>
    <w:uiPriority w:val="39"/>
    <w:qFormat/>
    <w:rsid w:val="00681D22"/>
    <w:pPr>
      <w:tabs>
        <w:tab w:val="right" w:leader="dot" w:pos="10206"/>
      </w:tabs>
      <w:spacing w:before="60" w:after="60"/>
      <w:ind w:left="595" w:right="720" w:hanging="595"/>
    </w:pPr>
  </w:style>
  <w:style w:type="paragraph" w:styleId="TM3">
    <w:name w:val="toc 3"/>
    <w:basedOn w:val="Normal"/>
    <w:next w:val="Normal"/>
    <w:uiPriority w:val="39"/>
    <w:qFormat/>
    <w:rsid w:val="00681D22"/>
    <w:pPr>
      <w:tabs>
        <w:tab w:val="right" w:leader="dot" w:pos="10206"/>
      </w:tabs>
      <w:spacing w:before="60" w:after="60"/>
      <w:ind w:left="839" w:right="720" w:hanging="839"/>
    </w:pPr>
  </w:style>
  <w:style w:type="paragraph" w:styleId="TM4">
    <w:name w:val="toc 4"/>
    <w:basedOn w:val="Normal"/>
    <w:next w:val="Normal"/>
    <w:uiPriority w:val="39"/>
    <w:pPr>
      <w:tabs>
        <w:tab w:val="right" w:leader="dot" w:pos="8641"/>
      </w:tabs>
      <w:spacing w:before="60" w:after="60"/>
      <w:ind w:left="2880" w:right="720" w:hanging="964"/>
    </w:pPr>
  </w:style>
  <w:style w:type="paragraph" w:styleId="TM5">
    <w:name w:val="toc 5"/>
    <w:basedOn w:val="Normal"/>
    <w:next w:val="Normal"/>
    <w:uiPriority w:val="39"/>
    <w:pPr>
      <w:tabs>
        <w:tab w:val="right" w:leader="dot" w:pos="8641"/>
      </w:tabs>
      <w:spacing w:before="240"/>
      <w:ind w:right="720"/>
    </w:pPr>
    <w:rPr>
      <w:caps/>
    </w:rPr>
  </w:style>
  <w:style w:type="paragraph" w:styleId="TM6">
    <w:name w:val="toc 6"/>
    <w:basedOn w:val="Normal"/>
    <w:next w:val="Normal"/>
    <w:autoRedefine/>
    <w:uiPriority w:val="39"/>
    <w:pPr>
      <w:ind w:left="1200"/>
    </w:pPr>
  </w:style>
  <w:style w:type="paragraph" w:styleId="TM7">
    <w:name w:val="toc 7"/>
    <w:basedOn w:val="Normal"/>
    <w:next w:val="Normal"/>
    <w:autoRedefine/>
    <w:uiPriority w:val="39"/>
    <w:pPr>
      <w:ind w:left="1440"/>
    </w:pPr>
  </w:style>
  <w:style w:type="paragraph" w:styleId="TM8">
    <w:name w:val="toc 8"/>
    <w:basedOn w:val="Normal"/>
    <w:next w:val="Normal"/>
    <w:autoRedefine/>
    <w:uiPriority w:val="39"/>
    <w:pPr>
      <w:ind w:left="1680"/>
    </w:pPr>
  </w:style>
  <w:style w:type="paragraph" w:styleId="TM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numId w:val="4"/>
      </w:numPr>
    </w:pPr>
  </w:style>
  <w:style w:type="paragraph" w:customStyle="1" w:styleId="ListDash">
    <w:name w:val="List Dash"/>
    <w:basedOn w:val="Normal"/>
    <w:pPr>
      <w:numPr>
        <w:numId w:val="8"/>
      </w:numPr>
    </w:pPr>
  </w:style>
  <w:style w:type="paragraph" w:customStyle="1" w:styleId="ListDash1">
    <w:name w:val="List Dash 1"/>
    <w:basedOn w:val="Text1"/>
    <w:pPr>
      <w:numPr>
        <w:numId w:val="9"/>
      </w:numPr>
    </w:pPr>
  </w:style>
  <w:style w:type="paragraph" w:customStyle="1" w:styleId="ListDash2">
    <w:name w:val="List Dash 2"/>
    <w:basedOn w:val="Text2"/>
    <w:pPr>
      <w:numPr>
        <w:numId w:val="10"/>
      </w:numPr>
      <w:tabs>
        <w:tab w:val="clear" w:pos="2302"/>
      </w:tabs>
    </w:pPr>
  </w:style>
  <w:style w:type="paragraph" w:customStyle="1" w:styleId="ListDash3">
    <w:name w:val="List Dash 3"/>
    <w:basedOn w:val="Text3"/>
    <w:pPr>
      <w:numPr>
        <w:numId w:val="11"/>
      </w:numPr>
      <w:tabs>
        <w:tab w:val="clear" w:pos="2302"/>
      </w:tabs>
    </w:pPr>
  </w:style>
  <w:style w:type="paragraph" w:customStyle="1" w:styleId="ListDash4">
    <w:name w:val="List Dash 4"/>
    <w:basedOn w:val="Text4"/>
    <w:pPr>
      <w:numPr>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En-ttedetabledesmatires">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PieddepageCar">
    <w:name w:val="Pied de page Car"/>
    <w:link w:val="Pieddepage"/>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En-tteCar">
    <w:name w:val="En-tête Car"/>
    <w:link w:val="En-tte"/>
    <w:uiPriority w:val="99"/>
    <w:rsid w:val="00B538D8"/>
    <w:rPr>
      <w:sz w:val="24"/>
      <w:lang w:eastAsia="en-US"/>
    </w:rPr>
  </w:style>
  <w:style w:type="character" w:styleId="Lienhypertexte">
    <w:name w:val="Hyperlink"/>
    <w:uiPriority w:val="99"/>
    <w:unhideWhenUsed/>
    <w:rsid w:val="00BF61CA"/>
    <w:rPr>
      <w:color w:val="0000FF"/>
      <w:u w:val="single"/>
    </w:rPr>
  </w:style>
  <w:style w:type="paragraph" w:styleId="Textedebulles">
    <w:name w:val="Balloon Text"/>
    <w:basedOn w:val="Normal"/>
    <w:link w:val="TextedebullesCar"/>
    <w:uiPriority w:val="99"/>
    <w:semiHidden/>
    <w:unhideWhenUsed/>
    <w:rsid w:val="00AF341F"/>
    <w:pPr>
      <w:spacing w:after="0"/>
    </w:pPr>
    <w:rPr>
      <w:rFonts w:ascii="Tahoma" w:hAnsi="Tahoma" w:cs="Tahoma"/>
      <w:sz w:val="16"/>
      <w:szCs w:val="16"/>
    </w:rPr>
  </w:style>
  <w:style w:type="character" w:customStyle="1" w:styleId="TextedebullesCar">
    <w:name w:val="Texte de bulles Car"/>
    <w:link w:val="Textedebulles"/>
    <w:uiPriority w:val="99"/>
    <w:semiHidden/>
    <w:rsid w:val="00AF341F"/>
    <w:rPr>
      <w:rFonts w:ascii="Tahoma" w:hAnsi="Tahoma" w:cs="Tahoma"/>
      <w:sz w:val="16"/>
      <w:szCs w:val="16"/>
      <w:lang w:eastAsia="en-US"/>
    </w:rPr>
  </w:style>
  <w:style w:type="character" w:customStyle="1" w:styleId="Titre4Car">
    <w:name w:val="Titre 4 Car"/>
    <w:link w:val="Titre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reCar">
    <w:name w:val="Titre Car"/>
    <w:link w:val="Titre"/>
    <w:rsid w:val="00DB72E9"/>
    <w:rPr>
      <w:b/>
      <w:kern w:val="28"/>
      <w:sz w:val="48"/>
      <w:lang w:eastAsia="en-US"/>
    </w:rPr>
  </w:style>
  <w:style w:type="table" w:styleId="Grilledutableau">
    <w:name w:val="Table Grid"/>
    <w:basedOn w:val="Tableau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Appelnotedebasdep">
    <w:name w:val="footnote reference"/>
    <w:uiPriority w:val="99"/>
    <w:semiHidden/>
    <w:unhideWhenUsed/>
    <w:rsid w:val="00D56D3F"/>
    <w:rPr>
      <w:vertAlign w:val="superscript"/>
    </w:rPr>
  </w:style>
  <w:style w:type="table" w:customStyle="1" w:styleId="TableGrid1">
    <w:name w:val="Table Grid1"/>
    <w:basedOn w:val="TableauNormal"/>
    <w:next w:val="Grilledutableau"/>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2Car">
    <w:name w:val="Titre 2 Car"/>
    <w:link w:val="Titre2"/>
    <w:rsid w:val="00554619"/>
    <w:rPr>
      <w:b/>
      <w:sz w:val="24"/>
      <w:lang w:val="fr-BE" w:eastAsia="en-US"/>
    </w:rPr>
  </w:style>
  <w:style w:type="character" w:customStyle="1" w:styleId="Titre3Car">
    <w:name w:val="Titre 3 Car"/>
    <w:link w:val="Titre3"/>
    <w:rsid w:val="00F235A7"/>
    <w:rPr>
      <w:color w:val="000000"/>
      <w:sz w:val="24"/>
      <w:lang w:val="fr-BE" w:eastAsia="en-US"/>
    </w:rPr>
  </w:style>
  <w:style w:type="paragraph" w:styleId="Paragraphedeliste">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jpeg"/><Relationship Id="rId21" Type="http://schemas.openxmlformats.org/officeDocument/2006/relationships/image" Target="media/image8.png"/><Relationship Id="rId42" Type="http://schemas.openxmlformats.org/officeDocument/2006/relationships/image" Target="media/image29.jpeg"/><Relationship Id="rId63" Type="http://schemas.openxmlformats.org/officeDocument/2006/relationships/image" Target="media/image50.jpeg"/><Relationship Id="rId84" Type="http://schemas.openxmlformats.org/officeDocument/2006/relationships/image" Target="media/image71.jpeg"/><Relationship Id="rId138" Type="http://schemas.openxmlformats.org/officeDocument/2006/relationships/image" Target="media/image125.jpeg"/><Relationship Id="rId159" Type="http://schemas.openxmlformats.org/officeDocument/2006/relationships/image" Target="media/image146.jpeg"/><Relationship Id="rId170" Type="http://schemas.openxmlformats.org/officeDocument/2006/relationships/image" Target="media/image157.jpeg"/><Relationship Id="rId191" Type="http://schemas.openxmlformats.org/officeDocument/2006/relationships/image" Target="media/image178.jpeg"/><Relationship Id="rId205" Type="http://schemas.openxmlformats.org/officeDocument/2006/relationships/image" Target="media/image192.jpeg"/><Relationship Id="rId107" Type="http://schemas.openxmlformats.org/officeDocument/2006/relationships/image" Target="media/image94.jpeg"/><Relationship Id="rId11" Type="http://schemas.openxmlformats.org/officeDocument/2006/relationships/header" Target="header2.xml"/><Relationship Id="rId32" Type="http://schemas.openxmlformats.org/officeDocument/2006/relationships/image" Target="media/image19.jpeg"/><Relationship Id="rId53" Type="http://schemas.openxmlformats.org/officeDocument/2006/relationships/image" Target="media/image40.jpeg"/><Relationship Id="rId74" Type="http://schemas.openxmlformats.org/officeDocument/2006/relationships/image" Target="media/image61.jpeg"/><Relationship Id="rId128" Type="http://schemas.openxmlformats.org/officeDocument/2006/relationships/image" Target="media/image115.jpeg"/><Relationship Id="rId149" Type="http://schemas.openxmlformats.org/officeDocument/2006/relationships/image" Target="media/image136.png"/><Relationship Id="rId5" Type="http://schemas.openxmlformats.org/officeDocument/2006/relationships/webSettings" Target="webSettings.xml"/><Relationship Id="rId90" Type="http://schemas.openxmlformats.org/officeDocument/2006/relationships/image" Target="media/image77.jpeg"/><Relationship Id="rId95" Type="http://schemas.openxmlformats.org/officeDocument/2006/relationships/image" Target="media/image82.jpeg"/><Relationship Id="rId160" Type="http://schemas.openxmlformats.org/officeDocument/2006/relationships/image" Target="media/image147.jpeg"/><Relationship Id="rId165" Type="http://schemas.openxmlformats.org/officeDocument/2006/relationships/image" Target="media/image152.jpeg"/><Relationship Id="rId181" Type="http://schemas.openxmlformats.org/officeDocument/2006/relationships/image" Target="media/image168.jpeg"/><Relationship Id="rId186" Type="http://schemas.openxmlformats.org/officeDocument/2006/relationships/image" Target="media/image173.jpeg"/><Relationship Id="rId216" Type="http://schemas.openxmlformats.org/officeDocument/2006/relationships/image" Target="media/image203.jpeg"/><Relationship Id="rId211" Type="http://schemas.openxmlformats.org/officeDocument/2006/relationships/image" Target="media/image198.jpeg"/><Relationship Id="rId22" Type="http://schemas.openxmlformats.org/officeDocument/2006/relationships/image" Target="media/image9.jpeg"/><Relationship Id="rId27" Type="http://schemas.openxmlformats.org/officeDocument/2006/relationships/image" Target="media/image14.jpeg"/><Relationship Id="rId43" Type="http://schemas.openxmlformats.org/officeDocument/2006/relationships/image" Target="media/image30.jpeg"/><Relationship Id="rId48" Type="http://schemas.openxmlformats.org/officeDocument/2006/relationships/image" Target="media/image35.jpeg"/><Relationship Id="rId64" Type="http://schemas.openxmlformats.org/officeDocument/2006/relationships/image" Target="media/image51.jpeg"/><Relationship Id="rId69" Type="http://schemas.openxmlformats.org/officeDocument/2006/relationships/image" Target="media/image56.jpeg"/><Relationship Id="rId113" Type="http://schemas.openxmlformats.org/officeDocument/2006/relationships/image" Target="media/image100.jpeg"/><Relationship Id="rId118" Type="http://schemas.openxmlformats.org/officeDocument/2006/relationships/image" Target="media/image105.jpeg"/><Relationship Id="rId134" Type="http://schemas.openxmlformats.org/officeDocument/2006/relationships/image" Target="media/image121.jpeg"/><Relationship Id="rId139" Type="http://schemas.openxmlformats.org/officeDocument/2006/relationships/image" Target="media/image126.jpeg"/><Relationship Id="rId80" Type="http://schemas.openxmlformats.org/officeDocument/2006/relationships/image" Target="media/image67.jpeg"/><Relationship Id="rId85" Type="http://schemas.openxmlformats.org/officeDocument/2006/relationships/image" Target="media/image72.jpeg"/><Relationship Id="rId150" Type="http://schemas.openxmlformats.org/officeDocument/2006/relationships/image" Target="media/image137.jpeg"/><Relationship Id="rId155" Type="http://schemas.openxmlformats.org/officeDocument/2006/relationships/image" Target="media/image142.jpeg"/><Relationship Id="rId171" Type="http://schemas.openxmlformats.org/officeDocument/2006/relationships/image" Target="media/image158.jpeg"/><Relationship Id="rId176" Type="http://schemas.openxmlformats.org/officeDocument/2006/relationships/image" Target="media/image163.jpeg"/><Relationship Id="rId192" Type="http://schemas.openxmlformats.org/officeDocument/2006/relationships/image" Target="media/image179.jpeg"/><Relationship Id="rId197" Type="http://schemas.openxmlformats.org/officeDocument/2006/relationships/image" Target="media/image184.jpeg"/><Relationship Id="rId206" Type="http://schemas.openxmlformats.org/officeDocument/2006/relationships/image" Target="media/image193.jpeg"/><Relationship Id="rId201" Type="http://schemas.openxmlformats.org/officeDocument/2006/relationships/image" Target="media/image188.jpeg"/><Relationship Id="rId12" Type="http://schemas.openxmlformats.org/officeDocument/2006/relationships/footer" Target="footer1.xml"/><Relationship Id="rId17" Type="http://schemas.openxmlformats.org/officeDocument/2006/relationships/image" Target="media/image4.jpeg"/><Relationship Id="rId33" Type="http://schemas.openxmlformats.org/officeDocument/2006/relationships/image" Target="media/image20.jpeg"/><Relationship Id="rId38" Type="http://schemas.openxmlformats.org/officeDocument/2006/relationships/image" Target="media/image25.jpeg"/><Relationship Id="rId59" Type="http://schemas.openxmlformats.org/officeDocument/2006/relationships/image" Target="media/image46.png"/><Relationship Id="rId103" Type="http://schemas.openxmlformats.org/officeDocument/2006/relationships/image" Target="media/image90.jpeg"/><Relationship Id="rId108" Type="http://schemas.openxmlformats.org/officeDocument/2006/relationships/image" Target="media/image95.jpeg"/><Relationship Id="rId124" Type="http://schemas.openxmlformats.org/officeDocument/2006/relationships/image" Target="media/image111.jpeg"/><Relationship Id="rId129" Type="http://schemas.openxmlformats.org/officeDocument/2006/relationships/image" Target="media/image116.jpeg"/><Relationship Id="rId54" Type="http://schemas.openxmlformats.org/officeDocument/2006/relationships/image" Target="media/image41.jpeg"/><Relationship Id="rId70" Type="http://schemas.openxmlformats.org/officeDocument/2006/relationships/image" Target="media/image57.jpeg"/><Relationship Id="rId75" Type="http://schemas.openxmlformats.org/officeDocument/2006/relationships/image" Target="media/image62.jpeg"/><Relationship Id="rId91" Type="http://schemas.openxmlformats.org/officeDocument/2006/relationships/image" Target="media/image78.jpeg"/><Relationship Id="rId96" Type="http://schemas.openxmlformats.org/officeDocument/2006/relationships/image" Target="media/image83.jpeg"/><Relationship Id="rId140" Type="http://schemas.openxmlformats.org/officeDocument/2006/relationships/image" Target="media/image127.jpeg"/><Relationship Id="rId145" Type="http://schemas.openxmlformats.org/officeDocument/2006/relationships/image" Target="media/image132.jpeg"/><Relationship Id="rId161" Type="http://schemas.openxmlformats.org/officeDocument/2006/relationships/image" Target="media/image148.png"/><Relationship Id="rId166" Type="http://schemas.openxmlformats.org/officeDocument/2006/relationships/image" Target="media/image153.jpeg"/><Relationship Id="rId182" Type="http://schemas.openxmlformats.org/officeDocument/2006/relationships/image" Target="media/image169.jpeg"/><Relationship Id="rId187" Type="http://schemas.openxmlformats.org/officeDocument/2006/relationships/image" Target="media/image174.jpeg"/><Relationship Id="rId21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99.jpeg"/><Relationship Id="rId23" Type="http://schemas.openxmlformats.org/officeDocument/2006/relationships/image" Target="media/image10.jpeg"/><Relationship Id="rId28" Type="http://schemas.openxmlformats.org/officeDocument/2006/relationships/image" Target="media/image15.jpeg"/><Relationship Id="rId49" Type="http://schemas.openxmlformats.org/officeDocument/2006/relationships/image" Target="media/image36.jpeg"/><Relationship Id="rId114" Type="http://schemas.openxmlformats.org/officeDocument/2006/relationships/image" Target="media/image101.jpeg"/><Relationship Id="rId119" Type="http://schemas.openxmlformats.org/officeDocument/2006/relationships/image" Target="media/image106.jpeg"/><Relationship Id="rId44" Type="http://schemas.openxmlformats.org/officeDocument/2006/relationships/image" Target="media/image31.jpeg"/><Relationship Id="rId60" Type="http://schemas.openxmlformats.org/officeDocument/2006/relationships/image" Target="media/image47.jpeg"/><Relationship Id="rId65" Type="http://schemas.openxmlformats.org/officeDocument/2006/relationships/image" Target="media/image52.jpeg"/><Relationship Id="rId81" Type="http://schemas.openxmlformats.org/officeDocument/2006/relationships/image" Target="media/image68.jpeg"/><Relationship Id="rId86" Type="http://schemas.openxmlformats.org/officeDocument/2006/relationships/image" Target="media/image73.jpeg"/><Relationship Id="rId130" Type="http://schemas.openxmlformats.org/officeDocument/2006/relationships/image" Target="media/image117.jpeg"/><Relationship Id="rId135" Type="http://schemas.openxmlformats.org/officeDocument/2006/relationships/image" Target="media/image122.jpeg"/><Relationship Id="rId151" Type="http://schemas.openxmlformats.org/officeDocument/2006/relationships/image" Target="media/image138.jpeg"/><Relationship Id="rId156" Type="http://schemas.openxmlformats.org/officeDocument/2006/relationships/image" Target="media/image143.jpeg"/><Relationship Id="rId177" Type="http://schemas.openxmlformats.org/officeDocument/2006/relationships/image" Target="media/image164.jpeg"/><Relationship Id="rId198" Type="http://schemas.openxmlformats.org/officeDocument/2006/relationships/image" Target="media/image185.jpeg"/><Relationship Id="rId172" Type="http://schemas.openxmlformats.org/officeDocument/2006/relationships/image" Target="media/image159.jpeg"/><Relationship Id="rId193" Type="http://schemas.openxmlformats.org/officeDocument/2006/relationships/image" Target="media/image180.jpeg"/><Relationship Id="rId202" Type="http://schemas.openxmlformats.org/officeDocument/2006/relationships/image" Target="media/image189.jpeg"/><Relationship Id="rId207" Type="http://schemas.openxmlformats.org/officeDocument/2006/relationships/image" Target="media/image194.jpeg"/><Relationship Id="rId13" Type="http://schemas.openxmlformats.org/officeDocument/2006/relationships/footer" Target="footer2.xml"/><Relationship Id="rId18" Type="http://schemas.openxmlformats.org/officeDocument/2006/relationships/image" Target="media/image5.jpeg"/><Relationship Id="rId39" Type="http://schemas.openxmlformats.org/officeDocument/2006/relationships/image" Target="media/image26.jpeg"/><Relationship Id="rId109" Type="http://schemas.openxmlformats.org/officeDocument/2006/relationships/image" Target="media/image96.jpeg"/><Relationship Id="rId34" Type="http://schemas.openxmlformats.org/officeDocument/2006/relationships/image" Target="media/image21.jpeg"/><Relationship Id="rId50" Type="http://schemas.openxmlformats.org/officeDocument/2006/relationships/image" Target="media/image37.jpeg"/><Relationship Id="rId55" Type="http://schemas.openxmlformats.org/officeDocument/2006/relationships/image" Target="media/image42.jpeg"/><Relationship Id="rId76" Type="http://schemas.openxmlformats.org/officeDocument/2006/relationships/image" Target="media/image63.jpeg"/><Relationship Id="rId97" Type="http://schemas.openxmlformats.org/officeDocument/2006/relationships/image" Target="media/image84.jpeg"/><Relationship Id="rId104" Type="http://schemas.openxmlformats.org/officeDocument/2006/relationships/image" Target="media/image91.jpeg"/><Relationship Id="rId120" Type="http://schemas.openxmlformats.org/officeDocument/2006/relationships/image" Target="media/image107.jpeg"/><Relationship Id="rId125" Type="http://schemas.openxmlformats.org/officeDocument/2006/relationships/image" Target="media/image112.jpeg"/><Relationship Id="rId141" Type="http://schemas.openxmlformats.org/officeDocument/2006/relationships/image" Target="media/image128.jpeg"/><Relationship Id="rId146" Type="http://schemas.openxmlformats.org/officeDocument/2006/relationships/image" Target="media/image133.jpeg"/><Relationship Id="rId167" Type="http://schemas.openxmlformats.org/officeDocument/2006/relationships/image" Target="media/image154.jpeg"/><Relationship Id="rId188" Type="http://schemas.openxmlformats.org/officeDocument/2006/relationships/image" Target="media/image175.jpeg"/><Relationship Id="rId7" Type="http://schemas.openxmlformats.org/officeDocument/2006/relationships/endnotes" Target="endnotes.xml"/><Relationship Id="rId71" Type="http://schemas.openxmlformats.org/officeDocument/2006/relationships/image" Target="media/image58.jpeg"/><Relationship Id="rId92" Type="http://schemas.openxmlformats.org/officeDocument/2006/relationships/image" Target="media/image79.jpeg"/><Relationship Id="rId162" Type="http://schemas.openxmlformats.org/officeDocument/2006/relationships/image" Target="media/image149.jpeg"/><Relationship Id="rId183" Type="http://schemas.openxmlformats.org/officeDocument/2006/relationships/image" Target="media/image170.jpeg"/><Relationship Id="rId213" Type="http://schemas.openxmlformats.org/officeDocument/2006/relationships/image" Target="media/image200.jpeg"/><Relationship Id="rId218"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6.jpeg"/><Relationship Id="rId24" Type="http://schemas.openxmlformats.org/officeDocument/2006/relationships/image" Target="media/image11.jpeg"/><Relationship Id="rId40" Type="http://schemas.openxmlformats.org/officeDocument/2006/relationships/image" Target="media/image27.jpeg"/><Relationship Id="rId45" Type="http://schemas.openxmlformats.org/officeDocument/2006/relationships/image" Target="media/image32.jpeg"/><Relationship Id="rId66" Type="http://schemas.openxmlformats.org/officeDocument/2006/relationships/image" Target="media/image53.jpeg"/><Relationship Id="rId87" Type="http://schemas.openxmlformats.org/officeDocument/2006/relationships/image" Target="media/image74.jpeg"/><Relationship Id="rId110" Type="http://schemas.openxmlformats.org/officeDocument/2006/relationships/image" Target="media/image97.jpeg"/><Relationship Id="rId115" Type="http://schemas.openxmlformats.org/officeDocument/2006/relationships/image" Target="media/image102.jpeg"/><Relationship Id="rId131" Type="http://schemas.openxmlformats.org/officeDocument/2006/relationships/image" Target="media/image118.jpeg"/><Relationship Id="rId136" Type="http://schemas.openxmlformats.org/officeDocument/2006/relationships/image" Target="media/image123.jpeg"/><Relationship Id="rId157" Type="http://schemas.openxmlformats.org/officeDocument/2006/relationships/image" Target="media/image144.jpeg"/><Relationship Id="rId178" Type="http://schemas.openxmlformats.org/officeDocument/2006/relationships/image" Target="media/image165.jpeg"/><Relationship Id="rId61" Type="http://schemas.openxmlformats.org/officeDocument/2006/relationships/image" Target="media/image48.jpeg"/><Relationship Id="rId82" Type="http://schemas.openxmlformats.org/officeDocument/2006/relationships/image" Target="media/image69.jpeg"/><Relationship Id="rId152" Type="http://schemas.openxmlformats.org/officeDocument/2006/relationships/image" Target="media/image139.jpeg"/><Relationship Id="rId173" Type="http://schemas.openxmlformats.org/officeDocument/2006/relationships/image" Target="media/image160.jpeg"/><Relationship Id="rId194" Type="http://schemas.openxmlformats.org/officeDocument/2006/relationships/image" Target="media/image181.jpeg"/><Relationship Id="rId199" Type="http://schemas.openxmlformats.org/officeDocument/2006/relationships/image" Target="media/image186.jpeg"/><Relationship Id="rId203" Type="http://schemas.openxmlformats.org/officeDocument/2006/relationships/image" Target="media/image190.jpeg"/><Relationship Id="rId208" Type="http://schemas.openxmlformats.org/officeDocument/2006/relationships/image" Target="media/image195.jpeg"/><Relationship Id="rId19" Type="http://schemas.openxmlformats.org/officeDocument/2006/relationships/image" Target="media/image6.jpeg"/><Relationship Id="rId14" Type="http://schemas.openxmlformats.org/officeDocument/2006/relationships/header" Target="header3.xml"/><Relationship Id="rId30" Type="http://schemas.openxmlformats.org/officeDocument/2006/relationships/image" Target="media/image17.jpeg"/><Relationship Id="rId35" Type="http://schemas.openxmlformats.org/officeDocument/2006/relationships/image" Target="media/image22.jpeg"/><Relationship Id="rId56" Type="http://schemas.openxmlformats.org/officeDocument/2006/relationships/image" Target="media/image43.jpeg"/><Relationship Id="rId77" Type="http://schemas.openxmlformats.org/officeDocument/2006/relationships/image" Target="media/image64.jpeg"/><Relationship Id="rId100" Type="http://schemas.openxmlformats.org/officeDocument/2006/relationships/image" Target="media/image87.jpeg"/><Relationship Id="rId105" Type="http://schemas.openxmlformats.org/officeDocument/2006/relationships/image" Target="media/image92.jpeg"/><Relationship Id="rId126" Type="http://schemas.openxmlformats.org/officeDocument/2006/relationships/image" Target="media/image113.jpeg"/><Relationship Id="rId147" Type="http://schemas.openxmlformats.org/officeDocument/2006/relationships/image" Target="media/image134.png"/><Relationship Id="rId168" Type="http://schemas.openxmlformats.org/officeDocument/2006/relationships/image" Target="media/image155.jpeg"/><Relationship Id="rId8" Type="http://schemas.openxmlformats.org/officeDocument/2006/relationships/image" Target="media/image1.png"/><Relationship Id="rId51" Type="http://schemas.openxmlformats.org/officeDocument/2006/relationships/image" Target="media/image38.jpeg"/><Relationship Id="rId72" Type="http://schemas.openxmlformats.org/officeDocument/2006/relationships/image" Target="media/image59.jpeg"/><Relationship Id="rId93" Type="http://schemas.openxmlformats.org/officeDocument/2006/relationships/image" Target="media/image80.jpeg"/><Relationship Id="rId98" Type="http://schemas.openxmlformats.org/officeDocument/2006/relationships/image" Target="media/image85.jpeg"/><Relationship Id="rId121" Type="http://schemas.openxmlformats.org/officeDocument/2006/relationships/image" Target="media/image108.jpeg"/><Relationship Id="rId142" Type="http://schemas.openxmlformats.org/officeDocument/2006/relationships/image" Target="media/image129.jpeg"/><Relationship Id="rId163" Type="http://schemas.openxmlformats.org/officeDocument/2006/relationships/image" Target="media/image150.jpeg"/><Relationship Id="rId184" Type="http://schemas.openxmlformats.org/officeDocument/2006/relationships/image" Target="media/image171.jpeg"/><Relationship Id="rId189" Type="http://schemas.openxmlformats.org/officeDocument/2006/relationships/image" Target="media/image176.jpeg"/><Relationship Id="rId3" Type="http://schemas.openxmlformats.org/officeDocument/2006/relationships/styles" Target="styles.xml"/><Relationship Id="rId214" Type="http://schemas.openxmlformats.org/officeDocument/2006/relationships/image" Target="media/image201.jpeg"/><Relationship Id="rId25" Type="http://schemas.openxmlformats.org/officeDocument/2006/relationships/image" Target="media/image12.jpeg"/><Relationship Id="rId46" Type="http://schemas.openxmlformats.org/officeDocument/2006/relationships/image" Target="media/image33.jpeg"/><Relationship Id="rId67" Type="http://schemas.openxmlformats.org/officeDocument/2006/relationships/image" Target="media/image54.jpeg"/><Relationship Id="rId116" Type="http://schemas.openxmlformats.org/officeDocument/2006/relationships/image" Target="media/image103.jpeg"/><Relationship Id="rId137" Type="http://schemas.openxmlformats.org/officeDocument/2006/relationships/image" Target="media/image124.jpeg"/><Relationship Id="rId158" Type="http://schemas.openxmlformats.org/officeDocument/2006/relationships/image" Target="media/image145.jpeg"/><Relationship Id="rId20" Type="http://schemas.openxmlformats.org/officeDocument/2006/relationships/image" Target="media/image7.png"/><Relationship Id="rId41" Type="http://schemas.openxmlformats.org/officeDocument/2006/relationships/image" Target="media/image28.jpeg"/><Relationship Id="rId62" Type="http://schemas.openxmlformats.org/officeDocument/2006/relationships/image" Target="media/image49.jpeg"/><Relationship Id="rId83" Type="http://schemas.openxmlformats.org/officeDocument/2006/relationships/image" Target="media/image70.jpeg"/><Relationship Id="rId88" Type="http://schemas.openxmlformats.org/officeDocument/2006/relationships/image" Target="media/image75.jpeg"/><Relationship Id="rId111" Type="http://schemas.openxmlformats.org/officeDocument/2006/relationships/image" Target="media/image98.jpeg"/><Relationship Id="rId132" Type="http://schemas.openxmlformats.org/officeDocument/2006/relationships/image" Target="media/image119.jpeg"/><Relationship Id="rId153" Type="http://schemas.openxmlformats.org/officeDocument/2006/relationships/image" Target="media/image140.jpeg"/><Relationship Id="rId174" Type="http://schemas.openxmlformats.org/officeDocument/2006/relationships/image" Target="media/image161.jpeg"/><Relationship Id="rId179" Type="http://schemas.openxmlformats.org/officeDocument/2006/relationships/image" Target="media/image166.jpeg"/><Relationship Id="rId195" Type="http://schemas.openxmlformats.org/officeDocument/2006/relationships/image" Target="media/image182.jpeg"/><Relationship Id="rId209" Type="http://schemas.openxmlformats.org/officeDocument/2006/relationships/image" Target="media/image196.jpeg"/><Relationship Id="rId190" Type="http://schemas.openxmlformats.org/officeDocument/2006/relationships/image" Target="media/image177.jpeg"/><Relationship Id="rId204" Type="http://schemas.openxmlformats.org/officeDocument/2006/relationships/image" Target="media/image191.jpeg"/><Relationship Id="rId15" Type="http://schemas.openxmlformats.org/officeDocument/2006/relationships/footer" Target="footer3.xml"/><Relationship Id="rId36" Type="http://schemas.openxmlformats.org/officeDocument/2006/relationships/image" Target="media/image23.jpeg"/><Relationship Id="rId57" Type="http://schemas.openxmlformats.org/officeDocument/2006/relationships/image" Target="media/image44.jpeg"/><Relationship Id="rId106" Type="http://schemas.openxmlformats.org/officeDocument/2006/relationships/image" Target="media/image93.jpeg"/><Relationship Id="rId127" Type="http://schemas.openxmlformats.org/officeDocument/2006/relationships/image" Target="media/image114.jpeg"/><Relationship Id="rId10" Type="http://schemas.openxmlformats.org/officeDocument/2006/relationships/header" Target="header1.xml"/><Relationship Id="rId31" Type="http://schemas.openxmlformats.org/officeDocument/2006/relationships/image" Target="media/image18.jpeg"/><Relationship Id="rId52" Type="http://schemas.openxmlformats.org/officeDocument/2006/relationships/image" Target="media/image39.jpeg"/><Relationship Id="rId73" Type="http://schemas.openxmlformats.org/officeDocument/2006/relationships/image" Target="media/image60.jpeg"/><Relationship Id="rId78" Type="http://schemas.openxmlformats.org/officeDocument/2006/relationships/image" Target="media/image65.jpeg"/><Relationship Id="rId94" Type="http://schemas.openxmlformats.org/officeDocument/2006/relationships/image" Target="media/image81.jpeg"/><Relationship Id="rId99" Type="http://schemas.openxmlformats.org/officeDocument/2006/relationships/image" Target="media/image86.jpeg"/><Relationship Id="rId101" Type="http://schemas.openxmlformats.org/officeDocument/2006/relationships/image" Target="media/image88.jpeg"/><Relationship Id="rId122" Type="http://schemas.openxmlformats.org/officeDocument/2006/relationships/image" Target="media/image109.jpeg"/><Relationship Id="rId143" Type="http://schemas.openxmlformats.org/officeDocument/2006/relationships/image" Target="media/image130.jpeg"/><Relationship Id="rId148" Type="http://schemas.openxmlformats.org/officeDocument/2006/relationships/image" Target="media/image135.png"/><Relationship Id="rId164" Type="http://schemas.openxmlformats.org/officeDocument/2006/relationships/image" Target="media/image151.jpeg"/><Relationship Id="rId169" Type="http://schemas.openxmlformats.org/officeDocument/2006/relationships/image" Target="media/image156.jpeg"/><Relationship Id="rId185" Type="http://schemas.openxmlformats.org/officeDocument/2006/relationships/image" Target="media/image172.jpe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67.jpeg"/><Relationship Id="rId210" Type="http://schemas.openxmlformats.org/officeDocument/2006/relationships/image" Target="media/image197.jpeg"/><Relationship Id="rId215" Type="http://schemas.openxmlformats.org/officeDocument/2006/relationships/image" Target="media/image202.jpeg"/><Relationship Id="rId26" Type="http://schemas.openxmlformats.org/officeDocument/2006/relationships/image" Target="media/image13.jpeg"/><Relationship Id="rId47" Type="http://schemas.openxmlformats.org/officeDocument/2006/relationships/image" Target="media/image34.jpeg"/><Relationship Id="rId68" Type="http://schemas.openxmlformats.org/officeDocument/2006/relationships/image" Target="media/image55.jpeg"/><Relationship Id="rId89" Type="http://schemas.openxmlformats.org/officeDocument/2006/relationships/image" Target="media/image76.jpeg"/><Relationship Id="rId112" Type="http://schemas.openxmlformats.org/officeDocument/2006/relationships/image" Target="media/image99.jpeg"/><Relationship Id="rId133" Type="http://schemas.openxmlformats.org/officeDocument/2006/relationships/image" Target="media/image120.jpeg"/><Relationship Id="rId154" Type="http://schemas.openxmlformats.org/officeDocument/2006/relationships/image" Target="media/image141.jpeg"/><Relationship Id="rId175" Type="http://schemas.openxmlformats.org/officeDocument/2006/relationships/image" Target="media/image162.jpeg"/><Relationship Id="rId196" Type="http://schemas.openxmlformats.org/officeDocument/2006/relationships/image" Target="media/image183.jpeg"/><Relationship Id="rId200" Type="http://schemas.openxmlformats.org/officeDocument/2006/relationships/image" Target="media/image187.jpeg"/><Relationship Id="rId16" Type="http://schemas.openxmlformats.org/officeDocument/2006/relationships/image" Target="media/image3.jpeg"/><Relationship Id="rId37" Type="http://schemas.openxmlformats.org/officeDocument/2006/relationships/image" Target="media/image24.jpeg"/><Relationship Id="rId58" Type="http://schemas.openxmlformats.org/officeDocument/2006/relationships/image" Target="media/image45.jpeg"/><Relationship Id="rId79" Type="http://schemas.openxmlformats.org/officeDocument/2006/relationships/image" Target="media/image66.jpeg"/><Relationship Id="rId102" Type="http://schemas.openxmlformats.org/officeDocument/2006/relationships/image" Target="media/image89.jpeg"/><Relationship Id="rId123" Type="http://schemas.openxmlformats.org/officeDocument/2006/relationships/image" Target="media/image110.jpeg"/><Relationship Id="rId144" Type="http://schemas.openxmlformats.org/officeDocument/2006/relationships/image" Target="media/image131.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EFF9CB4-78E9-4728-8F2C-770DA14EC0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264932</Words>
  <Characters>1457126</Characters>
  <Application>Microsoft Office Word</Application>
  <DocSecurity>0</DocSecurity>
  <Lines>12142</Lines>
  <Paragraphs>3437</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1718621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2022-04-01T09:12:00Z</dcterms:created>
  <dcterms:modified xsi:type="dcterms:W3CDTF">2022-04-01T09:12:00Z</dcterms:modified>
</cp:coreProperties>
</file>